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header40.xml" ContentType="application/vnd.openxmlformats-officedocument.wordprocessingml.header+xml"/>
  <Override PartName="/word/footer39.xml" ContentType="application/vnd.openxmlformats-officedocument.wordprocessingml.footer+xml"/>
  <Override PartName="/word/header41.xml" ContentType="application/vnd.openxmlformats-officedocument.wordprocessingml.head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header43.xml" ContentType="application/vnd.openxmlformats-officedocument.wordprocessingml.header+xml"/>
  <Override PartName="/word/footer42.xml" ContentType="application/vnd.openxmlformats-officedocument.wordprocessingml.footer+xml"/>
  <Override PartName="/word/header44.xml" ContentType="application/vnd.openxmlformats-officedocument.wordprocessingml.header+xml"/>
  <Override PartName="/word/footer43.xml" ContentType="application/vnd.openxmlformats-officedocument.wordprocessingml.footer+xml"/>
  <Override PartName="/word/header45.xml" ContentType="application/vnd.openxmlformats-officedocument.wordprocessingml.header+xml"/>
  <Override PartName="/word/footer44.xml" ContentType="application/vnd.openxmlformats-officedocument.wordprocessingml.footer+xml"/>
  <Override PartName="/word/header46.xml" ContentType="application/vnd.openxmlformats-officedocument.wordprocessingml.header+xml"/>
  <Override PartName="/word/footer45.xml" ContentType="application/vnd.openxmlformats-officedocument.wordprocessingml.footer+xml"/>
  <Override PartName="/word/header47.xml" ContentType="application/vnd.openxmlformats-officedocument.wordprocessingml.header+xml"/>
  <Override PartName="/word/footer46.xml" ContentType="application/vnd.openxmlformats-officedocument.wordprocessingml.footer+xml"/>
  <Override PartName="/word/header48.xml" ContentType="application/vnd.openxmlformats-officedocument.wordprocessingml.header+xml"/>
  <Override PartName="/word/footer47.xml" ContentType="application/vnd.openxmlformats-officedocument.wordprocessingml.footer+xml"/>
  <Override PartName="/word/header49.xml" ContentType="application/vnd.openxmlformats-officedocument.wordprocessingml.header+xml"/>
  <Override PartName="/word/footer48.xml" ContentType="application/vnd.openxmlformats-officedocument.wordprocessingml.footer+xml"/>
  <Override PartName="/word/header50.xml" ContentType="application/vnd.openxmlformats-officedocument.wordprocessingml.head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footer51.xml" ContentType="application/vnd.openxmlformats-officedocument.wordprocessingml.footer+xml"/>
  <Override PartName="/word/header53.xml" ContentType="application/vnd.openxmlformats-officedocument.wordprocessingml.header+xml"/>
  <Override PartName="/word/footer52.xml" ContentType="application/vnd.openxmlformats-officedocument.wordprocessingml.footer+xml"/>
  <Override PartName="/word/header54.xml" ContentType="application/vnd.openxmlformats-officedocument.wordprocessingml.header+xml"/>
  <Override PartName="/word/footer53.xml" ContentType="application/vnd.openxmlformats-officedocument.wordprocessingml.footer+xml"/>
  <Override PartName="/word/header55.xml" ContentType="application/vnd.openxmlformats-officedocument.wordprocessingml.header+xml"/>
  <Override PartName="/word/footer54.xml" ContentType="application/vnd.openxmlformats-officedocument.wordprocessingml.footer+xml"/>
  <Override PartName="/word/header56.xml" ContentType="application/vnd.openxmlformats-officedocument.wordprocessingml.header+xml"/>
  <Override PartName="/word/footer55.xml" ContentType="application/vnd.openxmlformats-officedocument.wordprocessingml.footer+xml"/>
  <Override PartName="/word/header57.xml" ContentType="application/vnd.openxmlformats-officedocument.wordprocessingml.header+xml"/>
  <Override PartName="/word/footer56.xml" ContentType="application/vnd.openxmlformats-officedocument.wordprocessingml.footer+xml"/>
  <Override PartName="/word/header58.xml" ContentType="application/vnd.openxmlformats-officedocument.wordprocessingml.header+xml"/>
  <Override PartName="/word/footer57.xml" ContentType="application/vnd.openxmlformats-officedocument.wordprocessingml.footer+xml"/>
  <Override PartName="/word/header59.xml" ContentType="application/vnd.openxmlformats-officedocument.wordprocessingml.header+xml"/>
  <Override PartName="/word/footer58.xml" ContentType="application/vnd.openxmlformats-officedocument.wordprocessingml.footer+xml"/>
  <Override PartName="/word/header60.xml" ContentType="application/vnd.openxmlformats-officedocument.wordprocessingml.header+xml"/>
  <Override PartName="/word/footer59.xml" ContentType="application/vnd.openxmlformats-officedocument.wordprocessingml.footer+xml"/>
  <Override PartName="/word/header61.xml" ContentType="application/vnd.openxmlformats-officedocument.wordprocessingml.header+xml"/>
  <Override PartName="/word/footer60.xml" ContentType="application/vnd.openxmlformats-officedocument.wordprocessingml.footer+xml"/>
  <Override PartName="/word/header62.xml" ContentType="application/vnd.openxmlformats-officedocument.wordprocessingml.header+xml"/>
  <Override PartName="/word/footer61.xml" ContentType="application/vnd.openxmlformats-officedocument.wordprocessingml.footer+xml"/>
  <Override PartName="/word/header63.xml" ContentType="application/vnd.openxmlformats-officedocument.wordprocessingml.header+xml"/>
  <Override PartName="/word/footer62.xml" ContentType="application/vnd.openxmlformats-officedocument.wordprocessingml.footer+xml"/>
  <Override PartName="/word/header64.xml" ContentType="application/vnd.openxmlformats-officedocument.wordprocessingml.header+xml"/>
  <Override PartName="/word/footer6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FDA" w:rsidRDefault="00F76C4C">
      <w:pPr>
        <w:pStyle w:val="Heading5"/>
        <w:rPr>
          <w:rFonts w:ascii="Palatino Linotype"/>
        </w:rPr>
      </w:pPr>
      <w:r>
        <w:pict>
          <v:group id="docshapegroup1" o:spid="_x0000_s1550" style="position:absolute;left:0;text-align:left;margin-left:0;margin-top:0;width:612pt;height:11in;z-index:-21338624;mso-position-horizontal-relative:page;mso-position-vertical-relative:page" coordsize="12240,15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571" type="#_x0000_t75" style="position:absolute;width:12240;height:15840">
              <v:imagedata r:id="rId7" o:title=""/>
            </v:shape>
            <v:shape id="docshape3" o:spid="_x0000_s1570" type="#_x0000_t75" style="position:absolute;left:3576;top:4801;width:8664;height:9705">
              <v:imagedata r:id="rId8" o:title=""/>
            </v:shape>
            <v:shape id="docshape4" o:spid="_x0000_s1569" style="position:absolute;left:1337;width:30;height:15840" coordorigin="1338" coordsize="30,15840" o:spt="100" adj="0,,0" path="m1368,13007r-30,l1338,15840r30,l1368,13007xm1368,r-30,l1338,12917r30,l1368,xe" fillcolor="#3489a1" stroked="f">
              <v:stroke joinstyle="round"/>
              <v:formulas/>
              <v:path arrowok="t" o:connecttype="segments"/>
            </v:shape>
            <v:rect id="docshape5" o:spid="_x0000_s1568" style="position:absolute;left:7332;top:3540;width:1774;height:6850" fillcolor="#77d4e3" stroked="f"/>
            <v:rect id="docshape6" o:spid="_x0000_s1567" style="position:absolute;left:6986;top:4336;width:669;height:4171" fillcolor="#f1e35c" stroked="f"/>
            <v:rect id="docshape7" o:spid="_x0000_s1566" style="position:absolute;left:9551;top:12640;width:1226;height:2718" fillcolor="#77d4e3" stroked="f"/>
            <v:shape id="docshape8" o:spid="_x0000_s1565" style="position:absolute;left:3394;top:4849;width:8846;height:9749" coordorigin="3394,4850" coordsize="8846,9749" o:spt="100" adj="0,,0" path="m7890,14182r,-1l7815,14172r-58,-20l7681,14142r-76,-11l7546,14109r-77,-12l7409,14074r-78,-14l7271,14036r-61,-25l7131,13996r-124,-53l6882,13888r-81,-19l6738,13840r-128,-59l6481,13719r-48,-42l6236,13579r-49,-44l6053,13466r-50,-45l5936,13385r-51,-46l5818,13302r-154,-142l5595,13122r-368,-350l5191,12711r-108,-104l5046,12544r-54,-52l4955,12428r-55,-53l4863,12311r-55,-54l4426,11609r,l4405,11535r-37,-64l4348,11397r-37,-63l4291,11261r-37,-62l4215,11054r-36,-61l4052,10501r,-79l4002,10219r1,-77l3987,10075r2,-76l3973,9934r5,-151l3963,9719r10,-220l3960,9437r8,-143l3978,9153r6,-69l4007,9004r12,-136l4033,8734r25,-76l4066,8592r8,-65l4100,8453r9,-64l4135,8316r10,-62l4172,8182r28,-71l4211,8051r28,-70l4268,7912r30,-69l4310,7786r30,-67l4371,7652r31,-65l4434,7522r32,-64l4498,7395r33,-63l4553,7292,4226,6737r-14,15l4178,6811r-35,60l4109,6931r-34,62l4042,7054r-33,63l3977,7180r-32,64l3913,7309r-31,65l3851,7440r-30,66l3791,7573r-30,68l3749,7699r-29,69l3691,7838r-28,70l3652,7969r-27,72l3615,8103r-27,72l3562,8249r-9,63l3544,8377r-25,75l3511,8517r-25,76l3479,8659r-14,135l3441,8872r-11,138l3419,9150r-14,213l3394,9580r14,64l3403,9792r15,65l3416,9894r-3,113l3429,10073r-1,77l3444,10216r-1,78l3493,10497r,79l3657,11210r36,61l3732,11416r37,63l3789,11552r37,64l3847,11689r37,64l3905,11827r459,780l4419,12661r37,64l4511,12778r37,64l4603,12895r37,62l4747,13062r37,62l5258,13574r69,39l5481,13755r68,37l5599,13838r68,36l5717,13920r134,69l5900,14034r132,67l6081,14144r195,96l6470,14331r127,59l6723,14446r80,17l6927,14517r62,26l7067,14558r61,25l7184,14598r706,-416xm11983,5758r-47,-24l11805,5669r-133,-63l11538,5546r-135,-58l11266,5432r-138,-54l10989,5326r-141,-49l10706,5231r-72,-23l10562,5186r-72,-21l10417,5145r-72,-20l10271,5105r-73,-19l10124,5068r-74,-17l9902,5018r-149,-30l9605,4960r-149,-25l9308,4914r-148,-20l9012,4878r-148,-14l8717,4853r-50,-3l8462,5737r57,3l8592,5744r74,4l8739,5753r74,7l8887,5766r73,8l9034,5782r74,9l9182,5801r74,11l9330,5823r74,12l9478,5848r74,14l9626,5876r74,15l9774,5907r74,17l9922,5942r73,18l10068,5979r73,19l10214,6019r72,21l10358,6061r71,22l10500,6106r71,24l10641,6154r70,25l10780,6205r70,26l10918,6258r69,28l11055,6314r67,29l11190,6372r66,30l11323,6433r66,31l11455,6496r65,32l11585,6562r64,33l11713,6630r23,12l11776,6651r62,-266l11983,5758xm12240,11549r-5,8l12190,11616r-44,59l12100,11733r-46,59l12007,11849r-47,58l11912,11964r-49,57l11814,12077r-51,56l11713,12188r-52,56l11609,12298r-53,55l11503,12407r-54,53l11395,12513r-55,52l11285,12616r-56,51l11173,12717r-56,50l11060,12815r-57,49l10946,12911r-58,47l10830,13004r-59,45l10712,13094r-59,44l10593,13182r-59,42l10473,13267r-60,41l10352,13349r-61,40l10229,13428r-62,39l10105,13505r-62,38l9980,13580r-63,36l9894,13629r-29,29l10059,13851r455,455l10622,14241r123,-78l10868,14082r122,-83l11110,13914r120,-87l11348,13737r117,-92l11580,13550r114,-97l11807,13353r112,-102l12029,13147r108,-106l12191,12987r49,-51l12240,11549xe" fillcolor="#f1e35c" stroked="f">
              <v:stroke joinstyle="round"/>
              <v:formulas/>
              <v:path arrowok="t" o:connecttype="segments"/>
            </v:shape>
            <v:line id="_x0000_s1564" style="position:absolute" from="1331,12962" to="5126,12962" strokecolor="#f1e35c" strokeweight="4.5pt"/>
            <v:line id="_x0000_s1563" style="position:absolute" from="1441,13072" to="5236,13072" strokecolor="#f1e35c" strokeweight="4.5pt"/>
            <v:line id="_x0000_s1562" style="position:absolute" from="1551,13182" to="5346,13182" strokecolor="#f1e35c" strokeweight="4.5pt"/>
            <v:line id="_x0000_s1561" style="position:absolute" from="1661,13292" to="5456,13292" strokecolor="#f1e35c" strokeweight="4.5pt"/>
            <v:line id="_x0000_s1560" style="position:absolute" from="1771,13402" to="5566,13402" strokecolor="#f1e35c" strokeweight="4.5pt"/>
            <v:line id="_x0000_s1559" style="position:absolute" from="1881,13512" to="5676,13512" strokecolor="#f1e35c" strokeweight="4.5pt"/>
            <v:line id="_x0000_s1558" style="position:absolute" from="1991,13622" to="5786,13622" strokecolor="#f1e35c" strokeweight="4.5pt"/>
            <v:line id="_x0000_s1557" style="position:absolute" from="2101,13732" to="5896,13732" strokecolor="#f1e35c" strokeweight="4.5pt"/>
            <v:line id="_x0000_s1556" style="position:absolute" from="2211,13842" to="6006,13842" strokecolor="#f1e35c" strokeweight="4.5pt"/>
            <v:line id="_x0000_s1555" style="position:absolute" from="2321,13952" to="6116,13952" strokecolor="#f1e35c" strokeweight="4.5pt"/>
            <v:shape id="docshape9" o:spid="_x0000_s1554" style="position:absolute;width:12240;height:15840" coordsize="12240,15840" path="m12240,1672r-11177,l1063,r-30,l1033,1672,,1672r,30l1033,1702r,14138l1063,15840r,-14138l12240,1702r,-30xe" fillcolor="#3489a1" stroked="f">
              <v:path arrowok="t"/>
            </v:shape>
            <v:shape id="docshape10" o:spid="_x0000_s1553" type="#_x0000_t75" style="position:absolute;left:3449;top:4302;width:8791;height:10275">
              <v:imagedata r:id="rId9" o:title=""/>
            </v:shape>
            <v:shape id="docshape11" o:spid="_x0000_s1552" style="position:absolute;left:1768;top:4948;width:1710;height:1710" coordorigin="1768,4948" coordsize="1710,1710" o:spt="100" adj="0,,0" path="m2623,6658r-73,-3l2478,6646r-70,-15l2340,6610r-66,-26l2212,6553r-60,-36l2096,6477r-52,-45l1995,6383r-45,-53l1910,6274r-36,-59l1843,6152r-26,-65l1796,6019r-15,-70l1772,5877r-4,-74l1772,5729r9,-72l1796,5587r21,-67l1843,5454r31,-62l1910,5332r40,-56l1995,5223r49,-48l2096,5130r56,-41l2212,5053r62,-31l2340,4996r68,-20l2478,4961r72,-10l2623,4948r74,3l2769,4961r70,15l2907,4996r65,26l3035,5053r59,36l3136,5119r-513,l2549,5123r-72,12l2407,5154r-66,26l2278,5213r-59,38l2165,5295r-49,50l2071,5399r-38,59l2000,5521r-26,66l1955,5656r-12,73l1939,5803r4,75l1955,5950r19,69l2000,6086r33,62l2071,6207r45,55l2165,6311r54,44l2278,6394r63,32l2407,6452r70,19l2549,6483r74,4l3136,6487r-42,30l3035,6553r-63,31l2907,6610r-68,21l2769,6646r-72,9l2623,6658xm3136,6487r-513,l2698,6483r72,-12l2840,6452r66,-26l2969,6394r58,-39l3082,6311r49,-49l3175,6207r39,-59l3247,6086r26,-67l3292,5950r11,-72l3307,5803r-4,-74l3292,5656r-19,-69l3247,5521r-33,-63l3175,5399r-44,-54l3082,5295r-55,-44l2969,5213r-63,-33l2840,5154r-70,-19l2698,5123r-75,-4l3136,5119r14,11l3203,5175r49,48l3297,5276r40,56l3373,5392r31,62l3430,5520r21,67l3466,5657r9,72l3478,5803r-3,74l3466,5949r-15,70l3430,6087r-26,65l3373,6215r-36,59l3297,6330r-45,53l3203,6432r-53,45l3136,6487xe" fillcolor="#f1e35c" stroked="f">
              <v:stroke joinstyle="round"/>
              <v:formulas/>
              <v:path arrowok="t" o:connecttype="segments"/>
            </v:shape>
            <v:shape id="docshape12" o:spid="_x0000_s1551" style="position:absolute;left:2608;top:4548;width:1230;height:1230" coordorigin="2609,4548" coordsize="1230,1230" path="m3224,5778r-60,-3l3104,5766r-59,-14l2988,5731r-54,-25l2882,5674r-48,-35l2789,5598r-41,-45l2712,5505r-31,-52l2656,5398r-21,-56l2621,5283r-9,-60l2609,5163r,-15l2613,5088r11,-60l2640,4970r22,-56l2689,4860r32,-51l2758,4761r42,-43l2845,4678r50,-34l2947,4614r55,-25l3060,4570r59,-13l3179,4550r45,-2l3239,4548r60,5l3359,4563r58,16l3473,4601r54,27l3578,4660r48,37l3669,4739r40,46l3743,4834r30,53l3798,4942r19,57l3830,5058r7,60l3839,5163r,15l3834,5238r-10,60l3808,5356r-22,56l3759,5466r-32,51l3689,5565r-41,44l3602,5648r-49,35l3500,5712r-55,25l3388,5756r-59,13l3269,5776r-45,2xe" stroked="f">
              <v:path arrowok="t"/>
            </v:shape>
            <w10:wrap anchorx="page" anchory="page"/>
          </v:group>
        </w:pict>
      </w:r>
      <w:bookmarkStart w:id="0" w:name="Binder48.pdf"/>
      <w:bookmarkStart w:id="1" w:name="Binder47.pdf"/>
      <w:bookmarkStart w:id="2" w:name="Binder46.pdf"/>
      <w:bookmarkStart w:id="3" w:name="Binder45.pdf"/>
      <w:bookmarkStart w:id="4" w:name="Binder44.pdf"/>
      <w:bookmarkStart w:id="5" w:name="Binder43.pdf"/>
      <w:bookmarkStart w:id="6" w:name="Binder42.pdf"/>
      <w:bookmarkStart w:id="7" w:name="Binder41.pdf"/>
      <w:bookmarkStart w:id="8" w:name="Binder40.pdf"/>
      <w:bookmarkStart w:id="9" w:name="Binder39.pdf"/>
      <w:bookmarkStart w:id="10" w:name="Binder38.pdf"/>
      <w:bookmarkStart w:id="11" w:name="Binder37.pdf"/>
      <w:bookmarkStart w:id="12" w:name="Binder36.pdf"/>
      <w:bookmarkStart w:id="13" w:name="Binder35.pdf"/>
      <w:bookmarkStart w:id="14" w:name="Binder34.pdf"/>
      <w:bookmarkStart w:id="15" w:name="Binder33.pdf"/>
      <w:bookmarkStart w:id="16" w:name="Binder32.pdf"/>
      <w:bookmarkStart w:id="17" w:name="Binder31.pdf"/>
      <w:bookmarkStart w:id="18" w:name="Binder30.pdf"/>
      <w:bookmarkStart w:id="19" w:name="Binder29.pdf"/>
      <w:bookmarkStart w:id="20" w:name="Binder28.pdf"/>
      <w:bookmarkStart w:id="21" w:name="Binder27.pdf"/>
      <w:bookmarkStart w:id="22" w:name="Binder26.pdf"/>
      <w:bookmarkStart w:id="23" w:name="Binder25.pdf"/>
      <w:bookmarkStart w:id="24" w:name="Binder24.pdf"/>
      <w:bookmarkStart w:id="25" w:name="Binder23.pdf"/>
      <w:bookmarkStart w:id="26" w:name="Binder22.pdf"/>
      <w:bookmarkStart w:id="27" w:name="Binder21.pdf"/>
      <w:bookmarkStart w:id="28" w:name="Binder20.pdf"/>
      <w:bookmarkStart w:id="29" w:name="Binder19.pdf"/>
      <w:bookmarkStart w:id="30" w:name="Binder18.pdf"/>
      <w:bookmarkStart w:id="31" w:name="Binder17.pdf"/>
      <w:bookmarkStart w:id="32" w:name="Binder16.pdf"/>
      <w:bookmarkStart w:id="33" w:name="Binder15.pdf"/>
      <w:bookmarkStart w:id="34" w:name="Binder14.pdf"/>
      <w:bookmarkStart w:id="35" w:name="Binder13.pdf"/>
      <w:bookmarkStart w:id="36" w:name="Binder12.pdf"/>
      <w:bookmarkStart w:id="37" w:name="Binder11.pdf"/>
      <w:bookmarkStart w:id="38" w:name="Binder10.pdf"/>
      <w:bookmarkStart w:id="39" w:name="Binder9.pdf"/>
      <w:bookmarkStart w:id="40" w:name="Binder8.pdf"/>
      <w:bookmarkStart w:id="41" w:name="Binder7.pdf"/>
      <w:bookmarkStart w:id="42" w:name="Binder6.pdf"/>
      <w:bookmarkStart w:id="43" w:name="Binder5.pdf"/>
      <w:bookmarkStart w:id="44" w:name="Binder4.pdf"/>
      <w:bookmarkStart w:id="45" w:name="2024_Report_Cover_Draft_1_(Magazine_Cove"/>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Palatino Linotype"/>
        </w:rPr>
        <w:t>REPORT</w:t>
      </w:r>
      <w:r>
        <w:rPr>
          <w:rFonts w:ascii="Palatino Linotype"/>
          <w:spacing w:val="25"/>
        </w:rPr>
        <w:t xml:space="preserve">  </w:t>
      </w:r>
      <w:r>
        <w:rPr>
          <w:rFonts w:ascii="Palatino Linotype"/>
        </w:rPr>
        <w:t>&amp;</w:t>
      </w:r>
      <w:r>
        <w:rPr>
          <w:rFonts w:ascii="Palatino Linotype"/>
          <w:spacing w:val="25"/>
        </w:rPr>
        <w:t xml:space="preserve">  </w:t>
      </w:r>
      <w:r>
        <w:rPr>
          <w:rFonts w:ascii="Palatino Linotype"/>
          <w:spacing w:val="-2"/>
        </w:rPr>
        <w:t>RECOMMENDATIONS</w:t>
      </w:r>
    </w:p>
    <w:p w:rsidR="00200FDA" w:rsidRDefault="00F76C4C">
      <w:pPr>
        <w:spacing w:before="332" w:line="345" w:lineRule="auto"/>
        <w:ind w:left="156"/>
        <w:rPr>
          <w:rFonts w:ascii="Palatino Linotype"/>
          <w:b/>
          <w:sz w:val="27"/>
        </w:rPr>
      </w:pPr>
      <w:r>
        <w:rPr>
          <w:rFonts w:ascii="Palatino Linotype"/>
          <w:b/>
          <w:spacing w:val="18"/>
          <w:sz w:val="27"/>
        </w:rPr>
        <w:t>MASSACHUSETTS</w:t>
      </w:r>
      <w:r>
        <w:rPr>
          <w:rFonts w:ascii="Palatino Linotype"/>
          <w:b/>
          <w:spacing w:val="80"/>
          <w:sz w:val="27"/>
        </w:rPr>
        <w:t xml:space="preserve"> </w:t>
      </w:r>
      <w:r>
        <w:rPr>
          <w:rFonts w:ascii="Palatino Linotype"/>
          <w:b/>
          <w:spacing w:val="18"/>
          <w:sz w:val="27"/>
        </w:rPr>
        <w:t>COMMISSION</w:t>
      </w:r>
      <w:r>
        <w:rPr>
          <w:rFonts w:ascii="Palatino Linotype"/>
          <w:b/>
          <w:spacing w:val="80"/>
          <w:sz w:val="27"/>
        </w:rPr>
        <w:t xml:space="preserve"> </w:t>
      </w:r>
      <w:r>
        <w:rPr>
          <w:rFonts w:ascii="Palatino Linotype"/>
          <w:b/>
          <w:spacing w:val="10"/>
          <w:sz w:val="27"/>
        </w:rPr>
        <w:t>ON</w:t>
      </w:r>
      <w:r>
        <w:rPr>
          <w:rFonts w:ascii="Palatino Linotype"/>
          <w:b/>
          <w:spacing w:val="80"/>
          <w:sz w:val="27"/>
        </w:rPr>
        <w:t xml:space="preserve"> </w:t>
      </w:r>
      <w:r>
        <w:rPr>
          <w:rFonts w:ascii="Palatino Linotype"/>
          <w:b/>
          <w:spacing w:val="17"/>
          <w:sz w:val="27"/>
        </w:rPr>
        <w:t>LESBIAN,</w:t>
      </w:r>
      <w:r>
        <w:rPr>
          <w:rFonts w:ascii="Palatino Linotype"/>
          <w:b/>
          <w:spacing w:val="80"/>
          <w:sz w:val="27"/>
        </w:rPr>
        <w:t xml:space="preserve"> </w:t>
      </w:r>
      <w:r>
        <w:rPr>
          <w:rFonts w:ascii="Palatino Linotype"/>
          <w:b/>
          <w:spacing w:val="15"/>
          <w:sz w:val="27"/>
        </w:rPr>
        <w:t>GAY,</w:t>
      </w:r>
      <w:r>
        <w:rPr>
          <w:rFonts w:ascii="Palatino Linotype"/>
          <w:b/>
          <w:spacing w:val="80"/>
          <w:sz w:val="27"/>
        </w:rPr>
        <w:t xml:space="preserve"> </w:t>
      </w:r>
      <w:r>
        <w:rPr>
          <w:rFonts w:ascii="Palatino Linotype"/>
          <w:b/>
          <w:spacing w:val="17"/>
          <w:sz w:val="27"/>
        </w:rPr>
        <w:t xml:space="preserve">BISEXUAL, </w:t>
      </w:r>
      <w:r>
        <w:rPr>
          <w:rFonts w:ascii="Palatino Linotype"/>
          <w:b/>
          <w:spacing w:val="18"/>
          <w:sz w:val="27"/>
        </w:rPr>
        <w:t>TRANSGENDER,</w:t>
      </w:r>
      <w:r>
        <w:rPr>
          <w:rFonts w:ascii="Palatino Linotype"/>
          <w:b/>
          <w:spacing w:val="40"/>
          <w:sz w:val="27"/>
        </w:rPr>
        <w:t xml:space="preserve"> </w:t>
      </w:r>
      <w:r>
        <w:rPr>
          <w:rFonts w:ascii="Palatino Linotype"/>
          <w:b/>
          <w:spacing w:val="16"/>
          <w:sz w:val="27"/>
        </w:rPr>
        <w:t>QUEER</w:t>
      </w:r>
      <w:r>
        <w:rPr>
          <w:rFonts w:ascii="Palatino Linotype"/>
          <w:b/>
          <w:spacing w:val="40"/>
          <w:sz w:val="27"/>
        </w:rPr>
        <w:t xml:space="preserve"> </w:t>
      </w:r>
      <w:r>
        <w:rPr>
          <w:rFonts w:ascii="Palatino Linotype"/>
          <w:b/>
          <w:sz w:val="27"/>
        </w:rPr>
        <w:t>&amp;</w:t>
      </w:r>
      <w:r>
        <w:rPr>
          <w:rFonts w:ascii="Palatino Linotype"/>
          <w:b/>
          <w:spacing w:val="40"/>
          <w:sz w:val="27"/>
        </w:rPr>
        <w:t xml:space="preserve"> </w:t>
      </w:r>
      <w:r>
        <w:rPr>
          <w:rFonts w:ascii="Palatino Linotype"/>
          <w:b/>
          <w:spacing w:val="18"/>
          <w:sz w:val="27"/>
        </w:rPr>
        <w:t>QUESTIONING</w:t>
      </w:r>
      <w:r>
        <w:rPr>
          <w:rFonts w:ascii="Palatino Linotype"/>
          <w:b/>
          <w:spacing w:val="40"/>
          <w:sz w:val="27"/>
        </w:rPr>
        <w:t xml:space="preserve"> </w:t>
      </w:r>
      <w:r>
        <w:rPr>
          <w:rFonts w:ascii="Palatino Linotype"/>
          <w:b/>
          <w:spacing w:val="16"/>
          <w:sz w:val="27"/>
        </w:rPr>
        <w:t>YOUTH</w:t>
      </w:r>
    </w:p>
    <w:p w:rsidR="00200FDA" w:rsidRDefault="00F76C4C">
      <w:pPr>
        <w:spacing w:before="149"/>
        <w:ind w:left="156"/>
        <w:rPr>
          <w:rFonts w:ascii="Palatino Linotype"/>
          <w:b/>
          <w:sz w:val="29"/>
        </w:rPr>
      </w:pPr>
      <w:r>
        <w:rPr>
          <w:rFonts w:ascii="Palatino Linotype"/>
          <w:b/>
          <w:spacing w:val="-8"/>
          <w:w w:val="125"/>
          <w:sz w:val="29"/>
        </w:rPr>
        <w:t>F</w:t>
      </w:r>
      <w:r>
        <w:rPr>
          <w:rFonts w:ascii="Palatino Linotype"/>
          <w:b/>
          <w:spacing w:val="-46"/>
          <w:w w:val="125"/>
          <w:sz w:val="29"/>
        </w:rPr>
        <w:t xml:space="preserve"> </w:t>
      </w:r>
      <w:r>
        <w:rPr>
          <w:rFonts w:ascii="Palatino Linotype"/>
          <w:b/>
          <w:spacing w:val="-8"/>
          <w:w w:val="125"/>
          <w:sz w:val="29"/>
        </w:rPr>
        <w:t>iscal</w:t>
      </w:r>
      <w:r>
        <w:rPr>
          <w:rFonts w:ascii="Palatino Linotype"/>
          <w:b/>
          <w:spacing w:val="-45"/>
          <w:w w:val="125"/>
          <w:sz w:val="29"/>
        </w:rPr>
        <w:t xml:space="preserve"> </w:t>
      </w:r>
      <w:r>
        <w:rPr>
          <w:rFonts w:ascii="Palatino Linotype"/>
          <w:b/>
          <w:spacing w:val="-8"/>
          <w:w w:val="125"/>
          <w:sz w:val="29"/>
        </w:rPr>
        <w:t>year</w:t>
      </w:r>
      <w:r>
        <w:rPr>
          <w:rFonts w:ascii="Palatino Linotype"/>
          <w:b/>
          <w:spacing w:val="-46"/>
          <w:w w:val="125"/>
          <w:sz w:val="29"/>
        </w:rPr>
        <w:t xml:space="preserve"> </w:t>
      </w:r>
      <w:r>
        <w:rPr>
          <w:rFonts w:ascii="Palatino Linotype"/>
          <w:b/>
          <w:spacing w:val="-8"/>
          <w:w w:val="125"/>
          <w:sz w:val="29"/>
        </w:rPr>
        <w:t>2024</w:t>
      </w:r>
    </w:p>
    <w:p w:rsidR="00200FDA" w:rsidRDefault="00F76C4C">
      <w:pPr>
        <w:spacing w:before="14"/>
        <w:ind w:left="156"/>
        <w:rPr>
          <w:rFonts w:ascii="Palatino Linotype"/>
          <w:b/>
          <w:sz w:val="29"/>
        </w:rPr>
      </w:pPr>
      <w:r>
        <w:rPr>
          <w:rFonts w:ascii="Palatino Linotype"/>
          <w:b/>
          <w:sz w:val="29"/>
        </w:rPr>
        <w:t>JUL</w:t>
      </w:r>
      <w:r w:rsidR="00340860">
        <w:rPr>
          <w:rFonts w:ascii="Palatino Linotype"/>
          <w:b/>
          <w:sz w:val="29"/>
        </w:rPr>
        <w:t>Y</w:t>
      </w:r>
      <w:bookmarkStart w:id="46" w:name="_GoBack"/>
      <w:bookmarkEnd w:id="46"/>
      <w:r>
        <w:rPr>
          <w:rFonts w:ascii="Palatino Linotype"/>
          <w:b/>
          <w:spacing w:val="-30"/>
          <w:sz w:val="29"/>
        </w:rPr>
        <w:t xml:space="preserve"> </w:t>
      </w:r>
      <w:r>
        <w:rPr>
          <w:rFonts w:ascii="Palatino Linotype"/>
          <w:b/>
          <w:sz w:val="29"/>
        </w:rPr>
        <w:t>1,</w:t>
      </w:r>
      <w:r>
        <w:rPr>
          <w:rFonts w:ascii="Palatino Linotype"/>
          <w:b/>
          <w:spacing w:val="-30"/>
          <w:sz w:val="29"/>
        </w:rPr>
        <w:t xml:space="preserve"> </w:t>
      </w:r>
      <w:r>
        <w:rPr>
          <w:rFonts w:ascii="Palatino Linotype"/>
          <w:b/>
          <w:sz w:val="29"/>
        </w:rPr>
        <w:t>2023--JUNE</w:t>
      </w:r>
      <w:r>
        <w:rPr>
          <w:rFonts w:ascii="Palatino Linotype"/>
          <w:b/>
          <w:spacing w:val="-29"/>
          <w:sz w:val="29"/>
        </w:rPr>
        <w:t xml:space="preserve"> </w:t>
      </w:r>
      <w:r>
        <w:rPr>
          <w:rFonts w:ascii="Palatino Linotype"/>
          <w:b/>
          <w:sz w:val="29"/>
        </w:rPr>
        <w:t>30,</w:t>
      </w:r>
      <w:r>
        <w:rPr>
          <w:rFonts w:ascii="Palatino Linotype"/>
          <w:b/>
          <w:spacing w:val="-30"/>
          <w:sz w:val="29"/>
        </w:rPr>
        <w:t xml:space="preserve"> </w:t>
      </w:r>
      <w:r>
        <w:rPr>
          <w:rFonts w:ascii="Palatino Linotype"/>
          <w:b/>
          <w:spacing w:val="-4"/>
          <w:sz w:val="29"/>
        </w:rPr>
        <w:t>2024</w:t>
      </w:r>
    </w:p>
    <w:p w:rsidR="00200FDA" w:rsidRDefault="00200FDA">
      <w:pPr>
        <w:rPr>
          <w:rFonts w:ascii="Palatino Linotype"/>
          <w:sz w:val="29"/>
        </w:rPr>
        <w:sectPr w:rsidR="00200FDA">
          <w:type w:val="continuous"/>
          <w:pgSz w:w="12240" w:h="15840"/>
          <w:pgMar w:top="720" w:right="180" w:bottom="280" w:left="1440" w:header="720" w:footer="720" w:gutter="0"/>
          <w:cols w:space="720"/>
        </w:sectPr>
      </w:pPr>
    </w:p>
    <w:p w:rsidR="00200FDA" w:rsidRDefault="00F76C4C">
      <w:pPr>
        <w:spacing w:before="44"/>
        <w:ind w:left="120" w:right="162"/>
        <w:jc w:val="both"/>
      </w:pPr>
      <w:bookmarkStart w:id="47" w:name="FY24_Acknowledgments"/>
      <w:bookmarkEnd w:id="47"/>
      <w:r>
        <w:rPr>
          <w:b/>
        </w:rPr>
        <w:lastRenderedPageBreak/>
        <w:t xml:space="preserve">Recommended citation: </w:t>
      </w:r>
      <w:r>
        <w:t>Massachusetts Commission on Lesbian, Gay, Bisexual, Transgender, Queer,</w:t>
      </w:r>
      <w:r>
        <w:rPr>
          <w:spacing w:val="-12"/>
        </w:rPr>
        <w:t xml:space="preserve"> </w:t>
      </w:r>
      <w:r>
        <w:t xml:space="preserve">and Questioning Youth. (2023). </w:t>
      </w:r>
      <w:r>
        <w:rPr>
          <w:i/>
        </w:rPr>
        <w:t>Massachusetts Commission on LGBTQ Youth: Report and Recommendations for Fiscal Year 2024</w:t>
      </w:r>
      <w:r>
        <w:t>. Retrieved from https:</w:t>
      </w:r>
      <w:hyperlink r:id="rId10">
        <w:r>
          <w:t>//w</w:t>
        </w:r>
      </w:hyperlink>
      <w:r>
        <w:t>ww</w:t>
      </w:r>
      <w:hyperlink r:id="rId11">
        <w:r>
          <w:t>.mass.gov/annual-recommendations</w:t>
        </w:r>
      </w:hyperlink>
    </w:p>
    <w:p w:rsidR="00200FDA" w:rsidRDefault="00200FDA">
      <w:pPr>
        <w:pStyle w:val="BodyText"/>
        <w:spacing w:before="3"/>
        <w:rPr>
          <w:sz w:val="25"/>
        </w:rPr>
      </w:pPr>
    </w:p>
    <w:p w:rsidR="00200FDA" w:rsidRDefault="00F76C4C">
      <w:pPr>
        <w:pStyle w:val="Heading9"/>
        <w:ind w:left="120"/>
        <w:jc w:val="both"/>
      </w:pPr>
      <w:r>
        <w:t>The</w:t>
      </w:r>
      <w:r>
        <w:rPr>
          <w:spacing w:val="-1"/>
        </w:rPr>
        <w:t xml:space="preserve"> </w:t>
      </w:r>
      <w:r>
        <w:t>Commission</w:t>
      </w:r>
      <w:r>
        <w:rPr>
          <w:spacing w:val="-1"/>
        </w:rPr>
        <w:t xml:space="preserve"> </w:t>
      </w:r>
      <w:r>
        <w:t>sincerely</w:t>
      </w:r>
      <w:r>
        <w:rPr>
          <w:spacing w:val="-1"/>
        </w:rPr>
        <w:t xml:space="preserve"> </w:t>
      </w:r>
      <w:r>
        <w:t>thanks</w:t>
      </w:r>
      <w:r>
        <w:rPr>
          <w:spacing w:val="-1"/>
        </w:rPr>
        <w:t xml:space="preserve"> </w:t>
      </w:r>
      <w:r>
        <w:t>the</w:t>
      </w:r>
      <w:r>
        <w:rPr>
          <w:spacing w:val="-1"/>
        </w:rPr>
        <w:t xml:space="preserve"> </w:t>
      </w:r>
      <w:r>
        <w:t>contributions</w:t>
      </w:r>
      <w:r>
        <w:rPr>
          <w:spacing w:val="-1"/>
        </w:rPr>
        <w:t xml:space="preserve"> </w:t>
      </w:r>
      <w:r>
        <w:t>of</w:t>
      </w:r>
      <w:r>
        <w:rPr>
          <w:spacing w:val="-1"/>
        </w:rPr>
        <w:t xml:space="preserve"> </w:t>
      </w:r>
      <w:r>
        <w:t>its</w:t>
      </w:r>
      <w:r>
        <w:rPr>
          <w:spacing w:val="-1"/>
        </w:rPr>
        <w:t xml:space="preserve"> </w:t>
      </w:r>
      <w:r>
        <w:t>staff,</w:t>
      </w:r>
      <w:r>
        <w:rPr>
          <w:spacing w:val="-1"/>
        </w:rPr>
        <w:t xml:space="preserve"> </w:t>
      </w:r>
      <w:r>
        <w:t>members, and</w:t>
      </w:r>
      <w:r>
        <w:rPr>
          <w:spacing w:val="-1"/>
        </w:rPr>
        <w:t xml:space="preserve"> </w:t>
      </w:r>
      <w:r>
        <w:rPr>
          <w:spacing w:val="-2"/>
        </w:rPr>
        <w:t>consultants:</w:t>
      </w:r>
    </w:p>
    <w:p w:rsidR="00200FDA" w:rsidRDefault="00200FDA">
      <w:pPr>
        <w:pStyle w:val="BodyText"/>
        <w:spacing w:before="8"/>
        <w:rPr>
          <w:b/>
          <w:sz w:val="28"/>
        </w:rPr>
      </w:pPr>
    </w:p>
    <w:p w:rsidR="00200FDA" w:rsidRDefault="00F76C4C">
      <w:pPr>
        <w:pStyle w:val="BodyText"/>
        <w:ind w:left="120"/>
      </w:pPr>
      <w:r>
        <w:t>Shaplaie Brooks,</w:t>
      </w:r>
      <w:r>
        <w:rPr>
          <w:spacing w:val="-1"/>
        </w:rPr>
        <w:t xml:space="preserve"> </w:t>
      </w:r>
      <w:r>
        <w:t>Executive</w:t>
      </w:r>
      <w:r>
        <w:rPr>
          <w:spacing w:val="-1"/>
        </w:rPr>
        <w:t xml:space="preserve"> </w:t>
      </w:r>
      <w:r>
        <w:t>Director</w:t>
      </w:r>
      <w:r>
        <w:rPr>
          <w:spacing w:val="-1"/>
        </w:rPr>
        <w:t xml:space="preserve"> </w:t>
      </w:r>
      <w:r>
        <w:t>and lead</w:t>
      </w:r>
      <w:r>
        <w:rPr>
          <w:spacing w:val="-1"/>
        </w:rPr>
        <w:t xml:space="preserve"> </w:t>
      </w:r>
      <w:r>
        <w:t>co-</w:t>
      </w:r>
      <w:r>
        <w:rPr>
          <w:spacing w:val="-2"/>
        </w:rPr>
        <w:t>editor</w:t>
      </w:r>
    </w:p>
    <w:p w:rsidR="00200FDA" w:rsidRDefault="00F76C4C">
      <w:pPr>
        <w:pStyle w:val="BodyText"/>
        <w:spacing w:before="40" w:line="276" w:lineRule="auto"/>
        <w:ind w:left="120" w:right="139"/>
      </w:pPr>
      <w:r>
        <w:t>Rayna</w:t>
      </w:r>
      <w:r>
        <w:rPr>
          <w:spacing w:val="23"/>
        </w:rPr>
        <w:t xml:space="preserve"> </w:t>
      </w:r>
      <w:r>
        <w:t>Hill,</w:t>
      </w:r>
      <w:r>
        <w:rPr>
          <w:spacing w:val="23"/>
        </w:rPr>
        <w:t xml:space="preserve"> </w:t>
      </w:r>
      <w:r>
        <w:t>Legislative</w:t>
      </w:r>
      <w:r>
        <w:rPr>
          <w:spacing w:val="23"/>
        </w:rPr>
        <w:t xml:space="preserve"> </w:t>
      </w:r>
      <w:r>
        <w:t>&amp;</w:t>
      </w:r>
      <w:r>
        <w:rPr>
          <w:spacing w:val="23"/>
        </w:rPr>
        <w:t xml:space="preserve"> </w:t>
      </w:r>
      <w:r>
        <w:t>Policy</w:t>
      </w:r>
      <w:r>
        <w:rPr>
          <w:spacing w:val="23"/>
        </w:rPr>
        <w:t xml:space="preserve"> </w:t>
      </w:r>
      <w:r>
        <w:t>Manager,</w:t>
      </w:r>
      <w:r>
        <w:rPr>
          <w:spacing w:val="23"/>
        </w:rPr>
        <w:t xml:space="preserve"> </w:t>
      </w:r>
      <w:r>
        <w:t>lead</w:t>
      </w:r>
      <w:r>
        <w:rPr>
          <w:spacing w:val="23"/>
        </w:rPr>
        <w:t xml:space="preserve"> </w:t>
      </w:r>
      <w:r>
        <w:t>co-editor</w:t>
      </w:r>
      <w:r>
        <w:rPr>
          <w:spacing w:val="23"/>
        </w:rPr>
        <w:t xml:space="preserve"> </w:t>
      </w:r>
      <w:r>
        <w:t>and</w:t>
      </w:r>
      <w:r>
        <w:rPr>
          <w:spacing w:val="23"/>
        </w:rPr>
        <w:t xml:space="preserve"> </w:t>
      </w:r>
      <w:r>
        <w:t>author</w:t>
      </w:r>
      <w:r>
        <w:rPr>
          <w:spacing w:val="23"/>
        </w:rPr>
        <w:t xml:space="preserve"> </w:t>
      </w:r>
      <w:r>
        <w:t>of ‘Eliminating Barriers to Service’, ‘Ending Homelessness’, ‘Advancing Justice’, and agency recommendations</w:t>
      </w:r>
    </w:p>
    <w:p w:rsidR="00200FDA" w:rsidRDefault="00F76C4C">
      <w:pPr>
        <w:pStyle w:val="BodyText"/>
        <w:spacing w:line="276" w:lineRule="auto"/>
        <w:ind w:left="120" w:right="818"/>
      </w:pPr>
      <w:r>
        <w:t>Craig</w:t>
      </w:r>
      <w:r>
        <w:rPr>
          <w:spacing w:val="-4"/>
        </w:rPr>
        <w:t xml:space="preserve"> </w:t>
      </w:r>
      <w:r>
        <w:t>Martin</w:t>
      </w:r>
      <w:r>
        <w:rPr>
          <w:spacing w:val="-4"/>
        </w:rPr>
        <w:t xml:space="preserve"> </w:t>
      </w:r>
      <w:r>
        <w:t>and</w:t>
      </w:r>
      <w:r>
        <w:rPr>
          <w:spacing w:val="-3"/>
        </w:rPr>
        <w:t xml:space="preserve"> </w:t>
      </w:r>
      <w:r>
        <w:t>Noemi</w:t>
      </w:r>
      <w:r>
        <w:rPr>
          <w:spacing w:val="-4"/>
        </w:rPr>
        <w:t xml:space="preserve"> </w:t>
      </w:r>
      <w:r>
        <w:t>Uribe,</w:t>
      </w:r>
      <w:r>
        <w:rPr>
          <w:spacing w:val="-4"/>
        </w:rPr>
        <w:t xml:space="preserve"> </w:t>
      </w:r>
      <w:r>
        <w:t>Commission</w:t>
      </w:r>
      <w:r>
        <w:rPr>
          <w:spacing w:val="-3"/>
        </w:rPr>
        <w:t xml:space="preserve"> </w:t>
      </w:r>
      <w:r>
        <w:t>Co-Chairs</w:t>
      </w:r>
      <w:r>
        <w:rPr>
          <w:spacing w:val="-3"/>
        </w:rPr>
        <w:t xml:space="preserve"> </w:t>
      </w:r>
      <w:r>
        <w:t>and</w:t>
      </w:r>
      <w:r>
        <w:rPr>
          <w:spacing w:val="-3"/>
        </w:rPr>
        <w:t xml:space="preserve"> </w:t>
      </w:r>
      <w:r>
        <w:t>co-authors</w:t>
      </w:r>
      <w:r>
        <w:rPr>
          <w:spacing w:val="-3"/>
        </w:rPr>
        <w:t xml:space="preserve"> </w:t>
      </w:r>
      <w:r>
        <w:t>of</w:t>
      </w:r>
      <w:r>
        <w:rPr>
          <w:spacing w:val="-4"/>
        </w:rPr>
        <w:t xml:space="preserve"> </w:t>
      </w:r>
      <w:r>
        <w:t>the</w:t>
      </w:r>
      <w:r>
        <w:rPr>
          <w:spacing w:val="-4"/>
        </w:rPr>
        <w:t xml:space="preserve"> </w:t>
      </w:r>
      <w:r>
        <w:t>Introduction</w:t>
      </w:r>
      <w:r>
        <w:rPr>
          <w:spacing w:val="-3"/>
        </w:rPr>
        <w:t xml:space="preserve"> </w:t>
      </w:r>
      <w:r>
        <w:t>Letter Joan Halford, lead researcher and author of “Protecting LGBTQ Child Welfare &amp; Well-Being”</w:t>
      </w:r>
    </w:p>
    <w:p w:rsidR="00200FDA" w:rsidRDefault="00F76C4C">
      <w:pPr>
        <w:pStyle w:val="BodyText"/>
        <w:spacing w:line="276" w:lineRule="auto"/>
        <w:ind w:left="120"/>
      </w:pPr>
      <w:r>
        <w:t>Kimm Topping, Safe Schools Program Manager, lead author</w:t>
      </w:r>
      <w:r>
        <w:rPr>
          <w:spacing w:val="-6"/>
        </w:rPr>
        <w:t xml:space="preserve"> </w:t>
      </w:r>
      <w:r>
        <w:t>of</w:t>
      </w:r>
      <w:r>
        <w:rPr>
          <w:spacing w:val="-5"/>
        </w:rPr>
        <w:t xml:space="preserve"> </w:t>
      </w:r>
      <w:r>
        <w:t>“Uplifting</w:t>
      </w:r>
      <w:r>
        <w:rPr>
          <w:spacing w:val="-5"/>
        </w:rPr>
        <w:t xml:space="preserve"> </w:t>
      </w:r>
      <w:r>
        <w:t>Education”</w:t>
      </w:r>
      <w:r>
        <w:rPr>
          <w:spacing w:val="-5"/>
        </w:rPr>
        <w:t xml:space="preserve"> </w:t>
      </w:r>
      <w:r>
        <w:t>&amp;</w:t>
      </w:r>
      <w:r>
        <w:rPr>
          <w:spacing w:val="-6"/>
        </w:rPr>
        <w:t xml:space="preserve"> </w:t>
      </w:r>
      <w:r>
        <w:t>education</w:t>
      </w:r>
      <w:r>
        <w:rPr>
          <w:spacing w:val="-5"/>
        </w:rPr>
        <w:t xml:space="preserve"> </w:t>
      </w:r>
      <w:r>
        <w:t xml:space="preserve">agency </w:t>
      </w:r>
      <w:r>
        <w:rPr>
          <w:spacing w:val="-2"/>
        </w:rPr>
        <w:t>recommendations</w:t>
      </w:r>
    </w:p>
    <w:p w:rsidR="00200FDA" w:rsidRDefault="00F76C4C">
      <w:pPr>
        <w:pStyle w:val="BodyText"/>
        <w:ind w:left="120"/>
      </w:pPr>
      <w:r>
        <w:t>Cas</w:t>
      </w:r>
      <w:r>
        <w:rPr>
          <w:spacing w:val="-4"/>
        </w:rPr>
        <w:t xml:space="preserve"> </w:t>
      </w:r>
      <w:r>
        <w:t>Martin,</w:t>
      </w:r>
      <w:r>
        <w:rPr>
          <w:spacing w:val="-2"/>
        </w:rPr>
        <w:t xml:space="preserve"> </w:t>
      </w:r>
      <w:r>
        <w:t>Lead</w:t>
      </w:r>
      <w:r>
        <w:rPr>
          <w:spacing w:val="-3"/>
        </w:rPr>
        <w:t xml:space="preserve"> </w:t>
      </w:r>
      <w:r>
        <w:t>Trainer</w:t>
      </w:r>
      <w:r>
        <w:rPr>
          <w:spacing w:val="-3"/>
        </w:rPr>
        <w:t xml:space="preserve"> </w:t>
      </w:r>
      <w:r>
        <w:t>(Western</w:t>
      </w:r>
      <w:r>
        <w:rPr>
          <w:spacing w:val="-3"/>
        </w:rPr>
        <w:t xml:space="preserve"> </w:t>
      </w:r>
      <w:r>
        <w:t>MA),</w:t>
      </w:r>
      <w:r>
        <w:rPr>
          <w:spacing w:val="-2"/>
        </w:rPr>
        <w:t xml:space="preserve"> </w:t>
      </w:r>
      <w:r>
        <w:t>co-author</w:t>
      </w:r>
      <w:r>
        <w:rPr>
          <w:spacing w:val="-2"/>
        </w:rPr>
        <w:t xml:space="preserve"> </w:t>
      </w:r>
      <w:r>
        <w:t>of</w:t>
      </w:r>
      <w:r>
        <w:rPr>
          <w:spacing w:val="-3"/>
        </w:rPr>
        <w:t xml:space="preserve"> </w:t>
      </w:r>
      <w:r>
        <w:t>"Uplifting</w:t>
      </w:r>
      <w:r>
        <w:rPr>
          <w:spacing w:val="-2"/>
        </w:rPr>
        <w:t xml:space="preserve"> Education"</w:t>
      </w:r>
    </w:p>
    <w:p w:rsidR="00200FDA" w:rsidRDefault="00F76C4C">
      <w:pPr>
        <w:pStyle w:val="BodyText"/>
        <w:spacing w:before="40" w:line="276" w:lineRule="auto"/>
        <w:ind w:left="119" w:right="818"/>
      </w:pPr>
      <w:r>
        <w:t>Karina</w:t>
      </w:r>
      <w:r>
        <w:rPr>
          <w:spacing w:val="-4"/>
        </w:rPr>
        <w:t xml:space="preserve"> </w:t>
      </w:r>
      <w:r>
        <w:t>Sumano,</w:t>
      </w:r>
      <w:r>
        <w:rPr>
          <w:spacing w:val="-3"/>
        </w:rPr>
        <w:t xml:space="preserve"> </w:t>
      </w:r>
      <w:r>
        <w:t>lead</w:t>
      </w:r>
      <w:r>
        <w:rPr>
          <w:spacing w:val="-4"/>
        </w:rPr>
        <w:t xml:space="preserve"> </w:t>
      </w:r>
      <w:r>
        <w:t>researcher</w:t>
      </w:r>
      <w:r>
        <w:rPr>
          <w:spacing w:val="-4"/>
        </w:rPr>
        <w:t xml:space="preserve"> </w:t>
      </w:r>
      <w:r>
        <w:t>and</w:t>
      </w:r>
      <w:r>
        <w:rPr>
          <w:spacing w:val="-3"/>
        </w:rPr>
        <w:t xml:space="preserve"> </w:t>
      </w:r>
      <w:r>
        <w:t>author</w:t>
      </w:r>
      <w:r>
        <w:rPr>
          <w:spacing w:val="-4"/>
        </w:rPr>
        <w:t xml:space="preserve"> </w:t>
      </w:r>
      <w:r>
        <w:t>of</w:t>
      </w:r>
      <w:r>
        <w:rPr>
          <w:spacing w:val="-4"/>
        </w:rPr>
        <w:t xml:space="preserve"> </w:t>
      </w:r>
      <w:r>
        <w:t>“Broadening</w:t>
      </w:r>
      <w:r>
        <w:rPr>
          <w:spacing w:val="-3"/>
        </w:rPr>
        <w:t xml:space="preserve"> </w:t>
      </w:r>
      <w:r>
        <w:t>Pregnancy</w:t>
      </w:r>
      <w:r>
        <w:rPr>
          <w:spacing w:val="-4"/>
        </w:rPr>
        <w:t xml:space="preserve"> </w:t>
      </w:r>
      <w:r>
        <w:t>&amp;</w:t>
      </w:r>
      <w:r>
        <w:rPr>
          <w:spacing w:val="-4"/>
        </w:rPr>
        <w:t xml:space="preserve"> </w:t>
      </w:r>
      <w:r>
        <w:t>Gynecological</w:t>
      </w:r>
      <w:r>
        <w:rPr>
          <w:spacing w:val="-3"/>
        </w:rPr>
        <w:t xml:space="preserve"> </w:t>
      </w:r>
      <w:r>
        <w:t>Health” Sarah Prager, lead researcher and author of “Improving Sexual Health”</w:t>
      </w:r>
    </w:p>
    <w:p w:rsidR="00200FDA" w:rsidRDefault="00F76C4C">
      <w:pPr>
        <w:pStyle w:val="BodyText"/>
        <w:spacing w:line="276" w:lineRule="auto"/>
        <w:ind w:left="120" w:right="2200"/>
      </w:pPr>
      <w:r>
        <w:t>Dallas Ducar, lead researcher and author of “Addressing Pediatric Health” Alexandra</w:t>
      </w:r>
      <w:r>
        <w:rPr>
          <w:spacing w:val="-5"/>
        </w:rPr>
        <w:t xml:space="preserve"> </w:t>
      </w:r>
      <w:r>
        <w:t>Gago,</w:t>
      </w:r>
      <w:r>
        <w:rPr>
          <w:spacing w:val="-5"/>
        </w:rPr>
        <w:t xml:space="preserve"> </w:t>
      </w:r>
      <w:r>
        <w:t>lead</w:t>
      </w:r>
      <w:r>
        <w:rPr>
          <w:spacing w:val="-5"/>
        </w:rPr>
        <w:t xml:space="preserve"> </w:t>
      </w:r>
      <w:r>
        <w:t>researcher</w:t>
      </w:r>
      <w:r>
        <w:rPr>
          <w:spacing w:val="-5"/>
        </w:rPr>
        <w:t xml:space="preserve"> </w:t>
      </w:r>
      <w:r>
        <w:t>and</w:t>
      </w:r>
      <w:r>
        <w:rPr>
          <w:spacing w:val="-4"/>
        </w:rPr>
        <w:t xml:space="preserve"> </w:t>
      </w:r>
      <w:r>
        <w:t>author</w:t>
      </w:r>
      <w:r>
        <w:rPr>
          <w:spacing w:val="-5"/>
        </w:rPr>
        <w:t xml:space="preserve"> </w:t>
      </w:r>
      <w:r>
        <w:t>of</w:t>
      </w:r>
      <w:r>
        <w:rPr>
          <w:spacing w:val="-4"/>
        </w:rPr>
        <w:t xml:space="preserve"> </w:t>
      </w:r>
      <w:r>
        <w:t>“Destigmatizing</w:t>
      </w:r>
      <w:r>
        <w:rPr>
          <w:spacing w:val="-4"/>
        </w:rPr>
        <w:t xml:space="preserve"> </w:t>
      </w:r>
      <w:r>
        <w:t>Public</w:t>
      </w:r>
      <w:r>
        <w:rPr>
          <w:spacing w:val="-4"/>
        </w:rPr>
        <w:t xml:space="preserve"> </w:t>
      </w:r>
      <w:r>
        <w:t>Health”</w:t>
      </w:r>
    </w:p>
    <w:p w:rsidR="00200FDA" w:rsidRDefault="00F76C4C">
      <w:pPr>
        <w:pStyle w:val="BodyText"/>
        <w:spacing w:line="276" w:lineRule="auto"/>
        <w:ind w:left="120" w:right="218"/>
      </w:pPr>
      <w:r>
        <w:t>Max</w:t>
      </w:r>
      <w:r>
        <w:rPr>
          <w:spacing w:val="-6"/>
        </w:rPr>
        <w:t xml:space="preserve"> </w:t>
      </w:r>
      <w:r>
        <w:t>Tang,</w:t>
      </w:r>
      <w:r>
        <w:rPr>
          <w:spacing w:val="-6"/>
        </w:rPr>
        <w:t xml:space="preserve"> </w:t>
      </w:r>
      <w:r>
        <w:t>Social</w:t>
      </w:r>
      <w:r>
        <w:rPr>
          <w:spacing w:val="-5"/>
        </w:rPr>
        <w:t xml:space="preserve"> </w:t>
      </w:r>
      <w:r>
        <w:t>Work</w:t>
      </w:r>
      <w:r>
        <w:rPr>
          <w:spacing w:val="-6"/>
        </w:rPr>
        <w:t xml:space="preserve"> </w:t>
      </w:r>
      <w:r>
        <w:t>Fellow,</w:t>
      </w:r>
      <w:r>
        <w:rPr>
          <w:spacing w:val="-6"/>
        </w:rPr>
        <w:t xml:space="preserve"> </w:t>
      </w:r>
      <w:r>
        <w:t>lead</w:t>
      </w:r>
      <w:r>
        <w:rPr>
          <w:spacing w:val="-6"/>
        </w:rPr>
        <w:t xml:space="preserve"> </w:t>
      </w:r>
      <w:r>
        <w:t>researcher</w:t>
      </w:r>
      <w:r>
        <w:rPr>
          <w:spacing w:val="-6"/>
        </w:rPr>
        <w:t xml:space="preserve"> </w:t>
      </w:r>
      <w:r>
        <w:t>and</w:t>
      </w:r>
      <w:r>
        <w:rPr>
          <w:spacing w:val="-5"/>
        </w:rPr>
        <w:t xml:space="preserve"> </w:t>
      </w:r>
      <w:r>
        <w:t>author</w:t>
      </w:r>
      <w:r>
        <w:rPr>
          <w:spacing w:val="-6"/>
        </w:rPr>
        <w:t xml:space="preserve"> </w:t>
      </w:r>
      <w:r>
        <w:t>of</w:t>
      </w:r>
      <w:r>
        <w:rPr>
          <w:spacing w:val="-6"/>
        </w:rPr>
        <w:t xml:space="preserve"> </w:t>
      </w:r>
      <w:r>
        <w:t>“Supporting</w:t>
      </w:r>
      <w:r>
        <w:rPr>
          <w:spacing w:val="-5"/>
        </w:rPr>
        <w:t xml:space="preserve"> </w:t>
      </w:r>
      <w:r>
        <w:t>Mental</w:t>
      </w:r>
      <w:r>
        <w:rPr>
          <w:spacing w:val="-6"/>
        </w:rPr>
        <w:t xml:space="preserve"> </w:t>
      </w:r>
      <w:r>
        <w:t>Health”</w:t>
      </w:r>
      <w:r>
        <w:rPr>
          <w:spacing w:val="-5"/>
        </w:rPr>
        <w:t xml:space="preserve"> </w:t>
      </w:r>
      <w:r>
        <w:t>and</w:t>
      </w:r>
      <w:r>
        <w:rPr>
          <w:spacing w:val="-6"/>
        </w:rPr>
        <w:t xml:space="preserve"> </w:t>
      </w:r>
      <w:r>
        <w:t>co-author of "</w:t>
      </w:r>
      <w:r>
        <w:t>Uplifting Education"</w:t>
      </w:r>
    </w:p>
    <w:p w:rsidR="00200FDA" w:rsidRDefault="00F76C4C">
      <w:pPr>
        <w:pStyle w:val="BodyText"/>
        <w:spacing w:line="276" w:lineRule="auto"/>
        <w:ind w:left="120" w:right="1498"/>
      </w:pPr>
      <w:r>
        <w:t>Karina</w:t>
      </w:r>
      <w:r>
        <w:rPr>
          <w:spacing w:val="-4"/>
        </w:rPr>
        <w:t xml:space="preserve"> </w:t>
      </w:r>
      <w:r>
        <w:t>Zeferino,</w:t>
      </w:r>
      <w:r>
        <w:rPr>
          <w:spacing w:val="-5"/>
        </w:rPr>
        <w:t xml:space="preserve"> </w:t>
      </w:r>
      <w:r>
        <w:t>lead</w:t>
      </w:r>
      <w:r>
        <w:rPr>
          <w:spacing w:val="-5"/>
        </w:rPr>
        <w:t xml:space="preserve"> </w:t>
      </w:r>
      <w:r>
        <w:t>researcher</w:t>
      </w:r>
      <w:r>
        <w:rPr>
          <w:spacing w:val="-5"/>
        </w:rPr>
        <w:t xml:space="preserve"> </w:t>
      </w:r>
      <w:r>
        <w:t>and</w:t>
      </w:r>
      <w:r>
        <w:rPr>
          <w:spacing w:val="-4"/>
        </w:rPr>
        <w:t xml:space="preserve"> </w:t>
      </w:r>
      <w:r>
        <w:t>author</w:t>
      </w:r>
      <w:r>
        <w:rPr>
          <w:spacing w:val="-5"/>
        </w:rPr>
        <w:t xml:space="preserve"> </w:t>
      </w:r>
      <w:r>
        <w:t>of</w:t>
      </w:r>
      <w:r>
        <w:rPr>
          <w:spacing w:val="-4"/>
        </w:rPr>
        <w:t xml:space="preserve"> </w:t>
      </w:r>
      <w:r>
        <w:t>“Expanding</w:t>
      </w:r>
      <w:r>
        <w:rPr>
          <w:spacing w:val="-4"/>
        </w:rPr>
        <w:t xml:space="preserve"> </w:t>
      </w:r>
      <w:r>
        <w:t>Inclusive</w:t>
      </w:r>
      <w:r>
        <w:rPr>
          <w:spacing w:val="-5"/>
        </w:rPr>
        <w:t xml:space="preserve"> </w:t>
      </w:r>
      <w:r>
        <w:t>Service</w:t>
      </w:r>
      <w:r>
        <w:rPr>
          <w:spacing w:val="-5"/>
        </w:rPr>
        <w:t xml:space="preserve"> </w:t>
      </w:r>
      <w:r>
        <w:t>Provision” Leija Helling, lead researcher and author of “Understanding Environmental Justice”</w:t>
      </w:r>
    </w:p>
    <w:p w:rsidR="00200FDA" w:rsidRDefault="00F76C4C">
      <w:pPr>
        <w:pStyle w:val="BodyText"/>
        <w:spacing w:line="276" w:lineRule="auto"/>
        <w:ind w:left="120" w:right="139"/>
      </w:pPr>
      <w:r>
        <w:t>Hannah</w:t>
      </w:r>
      <w:r>
        <w:rPr>
          <w:spacing w:val="40"/>
        </w:rPr>
        <w:t xml:space="preserve"> </w:t>
      </w:r>
      <w:r>
        <w:t>Hussey,</w:t>
      </w:r>
      <w:r>
        <w:rPr>
          <w:spacing w:val="40"/>
        </w:rPr>
        <w:t xml:space="preserve"> </w:t>
      </w:r>
      <w:r>
        <w:t>lead</w:t>
      </w:r>
      <w:r>
        <w:rPr>
          <w:spacing w:val="40"/>
        </w:rPr>
        <w:t xml:space="preserve"> </w:t>
      </w:r>
      <w:r>
        <w:t>researcher</w:t>
      </w:r>
      <w:r>
        <w:rPr>
          <w:spacing w:val="40"/>
        </w:rPr>
        <w:t xml:space="preserve"> </w:t>
      </w:r>
      <w:r>
        <w:t>and</w:t>
      </w:r>
      <w:r>
        <w:rPr>
          <w:spacing w:val="40"/>
        </w:rPr>
        <w:t xml:space="preserve"> </w:t>
      </w:r>
      <w:r>
        <w:t>author</w:t>
      </w:r>
      <w:r>
        <w:rPr>
          <w:spacing w:val="40"/>
        </w:rPr>
        <w:t xml:space="preserve"> </w:t>
      </w:r>
      <w:r>
        <w:t>of</w:t>
      </w:r>
      <w:r>
        <w:rPr>
          <w:spacing w:val="40"/>
        </w:rPr>
        <w:t xml:space="preserve"> </w:t>
      </w:r>
      <w:r>
        <w:t>agency</w:t>
      </w:r>
      <w:r>
        <w:rPr>
          <w:spacing w:val="40"/>
        </w:rPr>
        <w:t xml:space="preserve"> </w:t>
      </w:r>
      <w:r>
        <w:t>recommendatio</w:t>
      </w:r>
      <w:r>
        <w:t>ns</w:t>
      </w:r>
      <w:r>
        <w:rPr>
          <w:spacing w:val="40"/>
        </w:rPr>
        <w:t xml:space="preserve"> </w:t>
      </w:r>
      <w:r>
        <w:t>to</w:t>
      </w:r>
      <w:r>
        <w:rPr>
          <w:spacing w:val="40"/>
        </w:rPr>
        <w:t xml:space="preserve"> </w:t>
      </w:r>
      <w:r>
        <w:t>the</w:t>
      </w:r>
      <w:r>
        <w:rPr>
          <w:spacing w:val="40"/>
        </w:rPr>
        <w:t xml:space="preserve"> </w:t>
      </w:r>
      <w:r>
        <w:t>Office</w:t>
      </w:r>
      <w:r>
        <w:rPr>
          <w:spacing w:val="40"/>
        </w:rPr>
        <w:t xml:space="preserve"> </w:t>
      </w:r>
      <w:r>
        <w:t>of</w:t>
      </w:r>
      <w:r>
        <w:rPr>
          <w:spacing w:val="40"/>
        </w:rPr>
        <w:t xml:space="preserve"> </w:t>
      </w:r>
      <w:r>
        <w:t>the</w:t>
      </w:r>
      <w:r>
        <w:rPr>
          <w:spacing w:val="40"/>
        </w:rPr>
        <w:t xml:space="preserve"> </w:t>
      </w:r>
      <w:r>
        <w:t>Child Advocate and Committee for Public Counsel Services</w:t>
      </w:r>
    </w:p>
    <w:p w:rsidR="00200FDA" w:rsidRDefault="00F76C4C">
      <w:pPr>
        <w:pStyle w:val="BodyText"/>
        <w:spacing w:line="276" w:lineRule="auto"/>
        <w:ind w:left="120" w:right="4626"/>
        <w:jc w:val="both"/>
      </w:pPr>
      <w:r>
        <w:t>Brenda</w:t>
      </w:r>
      <w:r>
        <w:rPr>
          <w:spacing w:val="-2"/>
        </w:rPr>
        <w:t xml:space="preserve"> </w:t>
      </w:r>
      <w:r>
        <w:t>Gonzalez,</w:t>
      </w:r>
      <w:r>
        <w:rPr>
          <w:spacing w:val="-2"/>
        </w:rPr>
        <w:t xml:space="preserve"> </w:t>
      </w:r>
      <w:r>
        <w:t>Policy</w:t>
      </w:r>
      <w:r>
        <w:rPr>
          <w:spacing w:val="-2"/>
        </w:rPr>
        <w:t xml:space="preserve"> </w:t>
      </w:r>
      <w:r>
        <w:t>&amp;</w:t>
      </w:r>
      <w:r>
        <w:rPr>
          <w:spacing w:val="-2"/>
        </w:rPr>
        <w:t xml:space="preserve"> </w:t>
      </w:r>
      <w:r>
        <w:t>Research</w:t>
      </w:r>
      <w:r>
        <w:rPr>
          <w:spacing w:val="-2"/>
        </w:rPr>
        <w:t xml:space="preserve"> </w:t>
      </w:r>
      <w:r>
        <w:t>Intern,</w:t>
      </w:r>
      <w:r>
        <w:rPr>
          <w:spacing w:val="-2"/>
        </w:rPr>
        <w:t xml:space="preserve"> </w:t>
      </w:r>
      <w:r>
        <w:t>copyeditor Gianna</w:t>
      </w:r>
      <w:r>
        <w:rPr>
          <w:spacing w:val="-6"/>
        </w:rPr>
        <w:t xml:space="preserve"> </w:t>
      </w:r>
      <w:r>
        <w:t>Medeiros,</w:t>
      </w:r>
      <w:r>
        <w:rPr>
          <w:spacing w:val="-7"/>
        </w:rPr>
        <w:t xml:space="preserve"> </w:t>
      </w:r>
      <w:r>
        <w:t>Policy</w:t>
      </w:r>
      <w:r>
        <w:rPr>
          <w:spacing w:val="-7"/>
        </w:rPr>
        <w:t xml:space="preserve"> </w:t>
      </w:r>
      <w:r>
        <w:t>&amp;</w:t>
      </w:r>
      <w:r>
        <w:rPr>
          <w:spacing w:val="-7"/>
        </w:rPr>
        <w:t xml:space="preserve"> </w:t>
      </w:r>
      <w:r>
        <w:t>Research</w:t>
      </w:r>
      <w:r>
        <w:rPr>
          <w:spacing w:val="-7"/>
        </w:rPr>
        <w:t xml:space="preserve"> </w:t>
      </w:r>
      <w:r>
        <w:t>Intern,</w:t>
      </w:r>
      <w:r>
        <w:rPr>
          <w:spacing w:val="-7"/>
        </w:rPr>
        <w:t xml:space="preserve"> </w:t>
      </w:r>
      <w:r>
        <w:t>copyeditor Hanyuan Zhang, Policy &amp; Research Intern, copyeditor</w:t>
      </w:r>
    </w:p>
    <w:p w:rsidR="00200FDA" w:rsidRDefault="00200FDA">
      <w:pPr>
        <w:pStyle w:val="BodyText"/>
        <w:spacing w:before="4"/>
        <w:rPr>
          <w:sz w:val="25"/>
        </w:rPr>
      </w:pPr>
    </w:p>
    <w:p w:rsidR="00200FDA" w:rsidRDefault="00F76C4C">
      <w:pPr>
        <w:pStyle w:val="BodyText"/>
        <w:ind w:left="119" w:right="108"/>
        <w:jc w:val="both"/>
      </w:pPr>
      <w:r>
        <w:rPr>
          <w:b/>
        </w:rPr>
        <w:t>Acknowledgments:</w:t>
      </w:r>
      <w:r>
        <w:rPr>
          <w:b/>
          <w:spacing w:val="40"/>
        </w:rPr>
        <w:t xml:space="preserve"> </w:t>
      </w:r>
      <w:r>
        <w:t>The</w:t>
      </w:r>
      <w:r>
        <w:rPr>
          <w:spacing w:val="40"/>
        </w:rPr>
        <w:t xml:space="preserve"> </w:t>
      </w:r>
      <w:r>
        <w:t>authors</w:t>
      </w:r>
      <w:r>
        <w:rPr>
          <w:spacing w:val="40"/>
        </w:rPr>
        <w:t xml:space="preserve"> </w:t>
      </w:r>
      <w:r>
        <w:t>thank</w:t>
      </w:r>
      <w:r>
        <w:rPr>
          <w:spacing w:val="40"/>
        </w:rPr>
        <w:t xml:space="preserve"> </w:t>
      </w:r>
      <w:r>
        <w:t>the</w:t>
      </w:r>
      <w:r>
        <w:rPr>
          <w:spacing w:val="40"/>
        </w:rPr>
        <w:t xml:space="preserve"> </w:t>
      </w:r>
      <w:r>
        <w:t>Commission</w:t>
      </w:r>
      <w:r>
        <w:rPr>
          <w:spacing w:val="40"/>
        </w:rPr>
        <w:t xml:space="preserve"> </w:t>
      </w:r>
      <w:r>
        <w:t>members,</w:t>
      </w:r>
      <w:r>
        <w:rPr>
          <w:spacing w:val="40"/>
        </w:rPr>
        <w:t xml:space="preserve"> </w:t>
      </w:r>
      <w:r>
        <w:t>youth,</w:t>
      </w:r>
      <w:r>
        <w:rPr>
          <w:spacing w:val="40"/>
        </w:rPr>
        <w:t xml:space="preserve"> </w:t>
      </w:r>
      <w:r>
        <w:t>consultants,</w:t>
      </w:r>
      <w:r>
        <w:rPr>
          <w:spacing w:val="40"/>
        </w:rPr>
        <w:t xml:space="preserve"> </w:t>
      </w:r>
      <w:r>
        <w:t>agency</w:t>
      </w:r>
      <w:r>
        <w:rPr>
          <w:spacing w:val="40"/>
        </w:rPr>
        <w:t xml:space="preserve"> </w:t>
      </w:r>
      <w:r>
        <w:t>liaisons, community partners, and others who offered their feedback and opinions that contributed to this report.</w:t>
      </w:r>
    </w:p>
    <w:p w:rsidR="00200FDA" w:rsidRDefault="00200FDA">
      <w:pPr>
        <w:pStyle w:val="BodyText"/>
        <w:spacing w:before="4"/>
        <w:rPr>
          <w:sz w:val="25"/>
        </w:rPr>
      </w:pPr>
    </w:p>
    <w:p w:rsidR="00200FDA" w:rsidRDefault="00F76C4C">
      <w:pPr>
        <w:pStyle w:val="BodyText"/>
        <w:spacing w:line="276" w:lineRule="auto"/>
        <w:ind w:left="119" w:right="108"/>
        <w:jc w:val="both"/>
      </w:pPr>
      <w:r>
        <w:rPr>
          <w:b/>
        </w:rPr>
        <w:t xml:space="preserve">About Us: </w:t>
      </w:r>
      <w:r>
        <w:t>The Massachusetts Commission on Lesbian, Gay,</w:t>
      </w:r>
      <w:r>
        <w:t xml:space="preserve"> Bisexual, Transgender, Queer, and Questioning</w:t>
      </w:r>
      <w:r>
        <w:rPr>
          <w:spacing w:val="40"/>
        </w:rPr>
        <w:t xml:space="preserve"> </w:t>
      </w:r>
      <w:r>
        <w:t>(LGBTQ)</w:t>
      </w:r>
      <w:r>
        <w:rPr>
          <w:spacing w:val="40"/>
        </w:rPr>
        <w:t xml:space="preserve"> </w:t>
      </w:r>
      <w:r>
        <w:t>Youth</w:t>
      </w:r>
      <w:r>
        <w:rPr>
          <w:spacing w:val="40"/>
        </w:rPr>
        <w:t xml:space="preserve"> </w:t>
      </w:r>
      <w:r>
        <w:t>is</w:t>
      </w:r>
      <w:r>
        <w:rPr>
          <w:spacing w:val="40"/>
        </w:rPr>
        <w:t xml:space="preserve"> </w:t>
      </w:r>
      <w:r>
        <w:t>established</w:t>
      </w:r>
      <w:r>
        <w:rPr>
          <w:spacing w:val="40"/>
        </w:rPr>
        <w:t xml:space="preserve"> </w:t>
      </w:r>
      <w:r>
        <w:t>by</w:t>
      </w:r>
      <w:r>
        <w:rPr>
          <w:spacing w:val="40"/>
        </w:rPr>
        <w:t xml:space="preserve"> </w:t>
      </w:r>
      <w:r>
        <w:t>law</w:t>
      </w:r>
      <w:r>
        <w:rPr>
          <w:spacing w:val="40"/>
        </w:rPr>
        <w:t xml:space="preserve"> </w:t>
      </w:r>
      <w:r>
        <w:t>as</w:t>
      </w:r>
      <w:r>
        <w:rPr>
          <w:spacing w:val="40"/>
        </w:rPr>
        <w:t xml:space="preserve"> </w:t>
      </w:r>
      <w:r>
        <w:t>an</w:t>
      </w:r>
      <w:r>
        <w:rPr>
          <w:spacing w:val="40"/>
        </w:rPr>
        <w:t xml:space="preserve"> </w:t>
      </w:r>
      <w:r>
        <w:t>independent</w:t>
      </w:r>
      <w:r>
        <w:rPr>
          <w:spacing w:val="40"/>
        </w:rPr>
        <w:t xml:space="preserve"> </w:t>
      </w:r>
      <w:r>
        <w:t>agency</w:t>
      </w:r>
      <w:r>
        <w:rPr>
          <w:spacing w:val="40"/>
        </w:rPr>
        <w:t xml:space="preserve"> </w:t>
      </w:r>
      <w:r>
        <w:t>of</w:t>
      </w:r>
      <w:r>
        <w:rPr>
          <w:spacing w:val="40"/>
        </w:rPr>
        <w:t xml:space="preserve"> </w:t>
      </w:r>
      <w:r>
        <w:t>the</w:t>
      </w:r>
      <w:r>
        <w:rPr>
          <w:spacing w:val="32"/>
        </w:rPr>
        <w:t xml:space="preserve"> </w:t>
      </w:r>
      <w:r>
        <w:t>Commonwealth to recommend</w:t>
      </w:r>
      <w:r>
        <w:rPr>
          <w:spacing w:val="80"/>
        </w:rPr>
        <w:t xml:space="preserve"> </w:t>
      </w:r>
      <w:r>
        <w:t>to</w:t>
      </w:r>
      <w:r>
        <w:rPr>
          <w:spacing w:val="80"/>
        </w:rPr>
        <w:t xml:space="preserve"> </w:t>
      </w:r>
      <w:r>
        <w:t>all</w:t>
      </w:r>
      <w:r>
        <w:rPr>
          <w:spacing w:val="80"/>
        </w:rPr>
        <w:t xml:space="preserve"> </w:t>
      </w:r>
      <w:r>
        <w:t>branches</w:t>
      </w:r>
      <w:r>
        <w:rPr>
          <w:spacing w:val="80"/>
        </w:rPr>
        <w:t xml:space="preserve"> </w:t>
      </w:r>
      <w:r>
        <w:t>of</w:t>
      </w:r>
      <w:r>
        <w:rPr>
          <w:spacing w:val="80"/>
        </w:rPr>
        <w:t xml:space="preserve"> </w:t>
      </w:r>
      <w:r>
        <w:t>state</w:t>
      </w:r>
      <w:r>
        <w:rPr>
          <w:spacing w:val="76"/>
        </w:rPr>
        <w:t xml:space="preserve"> </w:t>
      </w:r>
      <w:r>
        <w:t>government</w:t>
      </w:r>
      <w:r>
        <w:rPr>
          <w:spacing w:val="77"/>
        </w:rPr>
        <w:t xml:space="preserve"> </w:t>
      </w:r>
      <w:r>
        <w:t>effective</w:t>
      </w:r>
      <w:r>
        <w:rPr>
          <w:spacing w:val="77"/>
        </w:rPr>
        <w:t xml:space="preserve"> </w:t>
      </w:r>
      <w:r>
        <w:t>policies,</w:t>
      </w:r>
      <w:r>
        <w:rPr>
          <w:spacing w:val="77"/>
        </w:rPr>
        <w:t xml:space="preserve"> </w:t>
      </w:r>
      <w:r>
        <w:t>programs,</w:t>
      </w:r>
      <w:r>
        <w:rPr>
          <w:spacing w:val="77"/>
        </w:rPr>
        <w:t xml:space="preserve"> </w:t>
      </w:r>
      <w:r>
        <w:t>and</w:t>
      </w:r>
      <w:r>
        <w:rPr>
          <w:spacing w:val="77"/>
        </w:rPr>
        <w:t xml:space="preserve"> </w:t>
      </w:r>
      <w:r>
        <w:t>resources for</w:t>
      </w:r>
      <w:r>
        <w:rPr>
          <w:spacing w:val="40"/>
        </w:rPr>
        <w:t xml:space="preserve"> </w:t>
      </w:r>
      <w:r>
        <w:t>LGBTQ</w:t>
      </w:r>
      <w:r>
        <w:rPr>
          <w:spacing w:val="40"/>
        </w:rPr>
        <w:t xml:space="preserve"> </w:t>
      </w:r>
      <w:r>
        <w:t>youth</w:t>
      </w:r>
      <w:r>
        <w:rPr>
          <w:spacing w:val="40"/>
        </w:rPr>
        <w:t xml:space="preserve"> </w:t>
      </w:r>
      <w:r>
        <w:t>to</w:t>
      </w:r>
      <w:r>
        <w:rPr>
          <w:spacing w:val="40"/>
        </w:rPr>
        <w:t xml:space="preserve"> </w:t>
      </w:r>
      <w:r>
        <w:t>thrive.</w:t>
      </w:r>
      <w:r>
        <w:rPr>
          <w:spacing w:val="40"/>
        </w:rPr>
        <w:t xml:space="preserve"> </w:t>
      </w:r>
      <w:r>
        <w:t>Per</w:t>
      </w:r>
      <w:r>
        <w:rPr>
          <w:spacing w:val="40"/>
        </w:rPr>
        <w:t xml:space="preserve"> </w:t>
      </w:r>
      <w:r>
        <w:t>its</w:t>
      </w:r>
      <w:r>
        <w:rPr>
          <w:spacing w:val="40"/>
        </w:rPr>
        <w:t xml:space="preserve"> </w:t>
      </w:r>
      <w:r>
        <w:t>legislative</w:t>
      </w:r>
      <w:r>
        <w:rPr>
          <w:spacing w:val="40"/>
        </w:rPr>
        <w:t xml:space="preserve"> </w:t>
      </w:r>
      <w:r>
        <w:t>authority,</w:t>
      </w:r>
      <w:r>
        <w:rPr>
          <w:spacing w:val="40"/>
        </w:rPr>
        <w:t xml:space="preserve"> </w:t>
      </w:r>
      <w:r>
        <w:t>the</w:t>
      </w:r>
      <w:r>
        <w:rPr>
          <w:spacing w:val="40"/>
        </w:rPr>
        <w:t xml:space="preserve"> </w:t>
      </w:r>
      <w:r>
        <w:t>Commission</w:t>
      </w:r>
      <w:r>
        <w:rPr>
          <w:spacing w:val="40"/>
        </w:rPr>
        <w:t xml:space="preserve"> </w:t>
      </w:r>
      <w:r>
        <w:t>works</w:t>
      </w:r>
      <w:r>
        <w:rPr>
          <w:spacing w:val="40"/>
        </w:rPr>
        <w:t xml:space="preserve"> </w:t>
      </w:r>
      <w:r>
        <w:t>closely</w:t>
      </w:r>
      <w:r>
        <w:rPr>
          <w:spacing w:val="40"/>
        </w:rPr>
        <w:t xml:space="preserve"> </w:t>
      </w:r>
      <w:r>
        <w:t>with</w:t>
      </w:r>
      <w:r>
        <w:rPr>
          <w:spacing w:val="40"/>
        </w:rPr>
        <w:t xml:space="preserve"> </w:t>
      </w:r>
      <w:r>
        <w:t>the agencies to which it issues non-binding recommendations to receive their input and assist them in achieving</w:t>
      </w:r>
      <w:r>
        <w:rPr>
          <w:spacing w:val="40"/>
        </w:rPr>
        <w:t xml:space="preserve"> </w:t>
      </w:r>
      <w:r>
        <w:t>the</w:t>
      </w:r>
      <w:r>
        <w:rPr>
          <w:spacing w:val="20"/>
        </w:rPr>
        <w:t xml:space="preserve"> </w:t>
      </w:r>
      <w:r>
        <w:t>goals</w:t>
      </w:r>
      <w:r>
        <w:rPr>
          <w:spacing w:val="80"/>
        </w:rPr>
        <w:t xml:space="preserve"> </w:t>
      </w:r>
      <w:r>
        <w:t>that</w:t>
      </w:r>
      <w:r>
        <w:rPr>
          <w:spacing w:val="80"/>
        </w:rPr>
        <w:t xml:space="preserve"> </w:t>
      </w:r>
      <w:r>
        <w:t>the</w:t>
      </w:r>
      <w:r>
        <w:rPr>
          <w:spacing w:val="80"/>
        </w:rPr>
        <w:t xml:space="preserve"> </w:t>
      </w:r>
      <w:r>
        <w:t>Commission</w:t>
      </w:r>
      <w:r>
        <w:rPr>
          <w:spacing w:val="80"/>
        </w:rPr>
        <w:t xml:space="preserve"> </w:t>
      </w:r>
      <w:r>
        <w:t>has</w:t>
      </w:r>
      <w:r>
        <w:rPr>
          <w:spacing w:val="80"/>
        </w:rPr>
        <w:t xml:space="preserve"> </w:t>
      </w:r>
      <w:r>
        <w:t>set.</w:t>
      </w:r>
      <w:r>
        <w:rPr>
          <w:spacing w:val="80"/>
        </w:rPr>
        <w:t xml:space="preserve"> </w:t>
      </w:r>
      <w:r>
        <w:t>The</w:t>
      </w:r>
      <w:r>
        <w:rPr>
          <w:spacing w:val="80"/>
        </w:rPr>
        <w:t xml:space="preserve"> </w:t>
      </w:r>
      <w:r>
        <w:t>Commission</w:t>
      </w:r>
      <w:r>
        <w:rPr>
          <w:spacing w:val="80"/>
        </w:rPr>
        <w:t xml:space="preserve"> </w:t>
      </w:r>
      <w:r>
        <w:t>was</w:t>
      </w:r>
      <w:r>
        <w:rPr>
          <w:spacing w:val="80"/>
        </w:rPr>
        <w:t xml:space="preserve"> </w:t>
      </w:r>
      <w:r>
        <w:t>originally</w:t>
      </w:r>
      <w:r>
        <w:rPr>
          <w:spacing w:val="80"/>
        </w:rPr>
        <w:t xml:space="preserve"> </w:t>
      </w:r>
      <w:r>
        <w:t>founded</w:t>
      </w:r>
      <w:r>
        <w:rPr>
          <w:spacing w:val="80"/>
        </w:rPr>
        <w:t xml:space="preserve"> </w:t>
      </w:r>
      <w:r>
        <w:t>as the</w:t>
      </w:r>
      <w:r>
        <w:rPr>
          <w:spacing w:val="40"/>
        </w:rPr>
        <w:t xml:space="preserve"> </w:t>
      </w:r>
      <w:r>
        <w:t>Gov</w:t>
      </w:r>
      <w:r>
        <w:t>ernor’s Commission</w:t>
      </w:r>
      <w:r>
        <w:rPr>
          <w:spacing w:val="40"/>
        </w:rPr>
        <w:t xml:space="preserve"> </w:t>
      </w:r>
      <w:r>
        <w:t>on</w:t>
      </w:r>
      <w:r>
        <w:rPr>
          <w:spacing w:val="40"/>
        </w:rPr>
        <w:t xml:space="preserve"> </w:t>
      </w:r>
      <w:r>
        <w:t>Gay</w:t>
      </w:r>
      <w:r>
        <w:rPr>
          <w:spacing w:val="40"/>
        </w:rPr>
        <w:t xml:space="preserve"> </w:t>
      </w:r>
      <w:r>
        <w:t>and</w:t>
      </w:r>
      <w:r>
        <w:rPr>
          <w:spacing w:val="40"/>
        </w:rPr>
        <w:t xml:space="preserve"> </w:t>
      </w:r>
      <w:r>
        <w:t>Lesbian</w:t>
      </w:r>
      <w:r>
        <w:rPr>
          <w:spacing w:val="40"/>
        </w:rPr>
        <w:t xml:space="preserve"> </w:t>
      </w:r>
      <w:r>
        <w:t>Youth</w:t>
      </w:r>
      <w:r>
        <w:rPr>
          <w:spacing w:val="40"/>
        </w:rPr>
        <w:t xml:space="preserve"> </w:t>
      </w:r>
      <w:r>
        <w:t>in</w:t>
      </w:r>
      <w:r>
        <w:rPr>
          <w:spacing w:val="40"/>
        </w:rPr>
        <w:t xml:space="preserve"> </w:t>
      </w:r>
      <w:r>
        <w:t>1992</w:t>
      </w:r>
      <w:r>
        <w:rPr>
          <w:spacing w:val="40"/>
        </w:rPr>
        <w:t xml:space="preserve"> </w:t>
      </w:r>
      <w:r>
        <w:t>in</w:t>
      </w:r>
      <w:r>
        <w:rPr>
          <w:spacing w:val="40"/>
        </w:rPr>
        <w:t xml:space="preserve"> </w:t>
      </w:r>
      <w:r>
        <w:t>response</w:t>
      </w:r>
      <w:r>
        <w:rPr>
          <w:spacing w:val="40"/>
        </w:rPr>
        <w:t xml:space="preserve"> </w:t>
      </w:r>
      <w:r>
        <w:t>to</w:t>
      </w:r>
      <w:r>
        <w:rPr>
          <w:spacing w:val="40"/>
        </w:rPr>
        <w:t xml:space="preserve"> </w:t>
      </w:r>
      <w:r>
        <w:t>high</w:t>
      </w:r>
      <w:r>
        <w:rPr>
          <w:spacing w:val="40"/>
        </w:rPr>
        <w:t xml:space="preserve"> </w:t>
      </w:r>
      <w:r>
        <w:t>suicide</w:t>
      </w:r>
      <w:r>
        <w:rPr>
          <w:spacing w:val="40"/>
        </w:rPr>
        <w:t xml:space="preserve"> </w:t>
      </w:r>
      <w:r>
        <w:t>rates among</w:t>
      </w:r>
      <w:r>
        <w:rPr>
          <w:spacing w:val="40"/>
        </w:rPr>
        <w:t xml:space="preserve"> </w:t>
      </w:r>
      <w:r>
        <w:t>gay</w:t>
      </w:r>
      <w:r>
        <w:rPr>
          <w:spacing w:val="40"/>
        </w:rPr>
        <w:t xml:space="preserve"> </w:t>
      </w:r>
      <w:r>
        <w:t>and lesbian young people, and was</w:t>
      </w:r>
      <w:r>
        <w:rPr>
          <w:spacing w:val="40"/>
        </w:rPr>
        <w:t xml:space="preserve"> </w:t>
      </w:r>
      <w:r>
        <w:t>reestablished by the legislature as an independent agency</w:t>
      </w:r>
      <w:r>
        <w:rPr>
          <w:spacing w:val="23"/>
        </w:rPr>
        <w:t xml:space="preserve"> </w:t>
      </w:r>
      <w:r>
        <w:t>in</w:t>
      </w:r>
      <w:r>
        <w:rPr>
          <w:spacing w:val="23"/>
        </w:rPr>
        <w:t xml:space="preserve"> </w:t>
      </w:r>
      <w:r>
        <w:t>2006</w:t>
      </w:r>
      <w:r>
        <w:rPr>
          <w:spacing w:val="23"/>
        </w:rPr>
        <w:t xml:space="preserve"> </w:t>
      </w:r>
      <w:r>
        <w:t>(Act of</w:t>
      </w:r>
      <w:r>
        <w:rPr>
          <w:spacing w:val="40"/>
        </w:rPr>
        <w:t xml:space="preserve"> </w:t>
      </w:r>
      <w:r>
        <w:t>Jul.</w:t>
      </w:r>
      <w:r>
        <w:rPr>
          <w:spacing w:val="40"/>
        </w:rPr>
        <w:t xml:space="preserve"> </w:t>
      </w:r>
      <w:r>
        <w:t>1,</w:t>
      </w:r>
      <w:r>
        <w:rPr>
          <w:spacing w:val="40"/>
        </w:rPr>
        <w:t xml:space="preserve"> </w:t>
      </w:r>
      <w:r>
        <w:t>2006,</w:t>
      </w:r>
      <w:r>
        <w:rPr>
          <w:spacing w:val="40"/>
        </w:rPr>
        <w:t xml:space="preserve"> </w:t>
      </w:r>
      <w:r>
        <w:t>Ch.</w:t>
      </w:r>
      <w:r>
        <w:rPr>
          <w:spacing w:val="40"/>
        </w:rPr>
        <w:t xml:space="preserve"> </w:t>
      </w:r>
      <w:r>
        <w:t>139</w:t>
      </w:r>
      <w:r>
        <w:rPr>
          <w:spacing w:val="40"/>
        </w:rPr>
        <w:t xml:space="preserve"> </w:t>
      </w:r>
      <w:r>
        <w:t>§4,</w:t>
      </w:r>
      <w:r>
        <w:rPr>
          <w:spacing w:val="40"/>
        </w:rPr>
        <w:t xml:space="preserve"> </w:t>
      </w:r>
      <w:r>
        <w:t>codified</w:t>
      </w:r>
      <w:r>
        <w:rPr>
          <w:spacing w:val="74"/>
        </w:rPr>
        <w:t xml:space="preserve"> </w:t>
      </w:r>
      <w:r>
        <w:t>in</w:t>
      </w:r>
      <w:r>
        <w:rPr>
          <w:spacing w:val="74"/>
        </w:rPr>
        <w:t xml:space="preserve"> </w:t>
      </w:r>
      <w:r>
        <w:t>Mass.</w:t>
      </w:r>
      <w:r>
        <w:rPr>
          <w:spacing w:val="74"/>
        </w:rPr>
        <w:t xml:space="preserve"> </w:t>
      </w:r>
      <w:r>
        <w:t>Gen.</w:t>
      </w:r>
      <w:r>
        <w:rPr>
          <w:spacing w:val="74"/>
        </w:rPr>
        <w:t xml:space="preserve"> </w:t>
      </w:r>
      <w:r>
        <w:t>Laws</w:t>
      </w:r>
      <w:r>
        <w:rPr>
          <w:spacing w:val="74"/>
        </w:rPr>
        <w:t xml:space="preserve"> </w:t>
      </w:r>
      <w:r>
        <w:t>Ch.</w:t>
      </w:r>
      <w:r>
        <w:rPr>
          <w:spacing w:val="74"/>
        </w:rPr>
        <w:t xml:space="preserve"> </w:t>
      </w:r>
      <w:r>
        <w:t>3</w:t>
      </w:r>
      <w:r>
        <w:rPr>
          <w:spacing w:val="74"/>
        </w:rPr>
        <w:t xml:space="preserve"> </w:t>
      </w:r>
      <w:r>
        <w:t>§67).</w:t>
      </w:r>
      <w:r>
        <w:rPr>
          <w:spacing w:val="74"/>
        </w:rPr>
        <w:t xml:space="preserve"> </w:t>
      </w:r>
      <w:r>
        <w:t>Thirty- one</w:t>
      </w:r>
      <w:r>
        <w:rPr>
          <w:spacing w:val="80"/>
        </w:rPr>
        <w:t xml:space="preserve"> </w:t>
      </w:r>
      <w:r>
        <w:t>years</w:t>
      </w:r>
      <w:r>
        <w:rPr>
          <w:spacing w:val="80"/>
        </w:rPr>
        <w:t xml:space="preserve"> </w:t>
      </w:r>
      <w:r>
        <w:t>after</w:t>
      </w:r>
      <w:r>
        <w:rPr>
          <w:spacing w:val="80"/>
        </w:rPr>
        <w:t xml:space="preserve"> </w:t>
      </w:r>
      <w:r>
        <w:t>the creation</w:t>
      </w:r>
      <w:r>
        <w:rPr>
          <w:spacing w:val="40"/>
        </w:rPr>
        <w:t xml:space="preserve"> </w:t>
      </w:r>
      <w:r>
        <w:t>of</w:t>
      </w:r>
      <w:r>
        <w:rPr>
          <w:spacing w:val="40"/>
        </w:rPr>
        <w:t xml:space="preserve"> </w:t>
      </w:r>
      <w:r>
        <w:t>the</w:t>
      </w:r>
      <w:r>
        <w:rPr>
          <w:spacing w:val="40"/>
        </w:rPr>
        <w:t xml:space="preserve"> </w:t>
      </w:r>
      <w:r>
        <w:t>original</w:t>
      </w:r>
      <w:r>
        <w:rPr>
          <w:spacing w:val="40"/>
        </w:rPr>
        <w:t xml:space="preserve"> </w:t>
      </w:r>
      <w:r>
        <w:t>Governor’s</w:t>
      </w:r>
      <w:r>
        <w:rPr>
          <w:spacing w:val="32"/>
        </w:rPr>
        <w:t xml:space="preserve"> </w:t>
      </w:r>
      <w:r>
        <w:t>Commission,</w:t>
      </w:r>
      <w:r>
        <w:rPr>
          <w:spacing w:val="40"/>
        </w:rPr>
        <w:t xml:space="preserve"> </w:t>
      </w:r>
      <w:r>
        <w:t>it</w:t>
      </w:r>
      <w:r>
        <w:rPr>
          <w:spacing w:val="40"/>
        </w:rPr>
        <w:t xml:space="preserve"> </w:t>
      </w:r>
      <w:r>
        <w:t>remains</w:t>
      </w:r>
      <w:r>
        <w:rPr>
          <w:spacing w:val="40"/>
        </w:rPr>
        <w:t xml:space="preserve"> </w:t>
      </w:r>
      <w:r>
        <w:t>the</w:t>
      </w:r>
      <w:r>
        <w:rPr>
          <w:spacing w:val="40"/>
        </w:rPr>
        <w:t xml:space="preserve"> </w:t>
      </w:r>
      <w:r>
        <w:t>first</w:t>
      </w:r>
      <w:r>
        <w:rPr>
          <w:spacing w:val="40"/>
        </w:rPr>
        <w:t xml:space="preserve"> </w:t>
      </w:r>
      <w:r>
        <w:t>and</w:t>
      </w:r>
      <w:r>
        <w:rPr>
          <w:spacing w:val="40"/>
        </w:rPr>
        <w:t xml:space="preserve"> </w:t>
      </w:r>
      <w:r>
        <w:t>only such</w:t>
      </w:r>
      <w:r>
        <w:rPr>
          <w:spacing w:val="40"/>
        </w:rPr>
        <w:t xml:space="preserve"> </w:t>
      </w:r>
      <w:r>
        <w:t>commission</w:t>
      </w:r>
      <w:r>
        <w:rPr>
          <w:spacing w:val="40"/>
        </w:rPr>
        <w:t xml:space="preserve"> </w:t>
      </w:r>
      <w:r>
        <w:t>in</w:t>
      </w:r>
      <w:r>
        <w:rPr>
          <w:spacing w:val="40"/>
        </w:rPr>
        <w:t xml:space="preserve"> </w:t>
      </w:r>
      <w:r>
        <w:t>the country dedicated to uplifting LGBTQ youth voices in state government.</w:t>
      </w:r>
    </w:p>
    <w:p w:rsidR="00200FDA" w:rsidRDefault="00200FDA">
      <w:pPr>
        <w:pStyle w:val="BodyText"/>
      </w:pPr>
    </w:p>
    <w:p w:rsidR="00200FDA" w:rsidRDefault="00F76C4C">
      <w:pPr>
        <w:pStyle w:val="BodyText"/>
        <w:ind w:left="120"/>
      </w:pPr>
      <w:r>
        <w:rPr>
          <w:b/>
        </w:rPr>
        <w:t>Contact</w:t>
      </w:r>
      <w:r>
        <w:rPr>
          <w:b/>
          <w:spacing w:val="-1"/>
        </w:rPr>
        <w:t xml:space="preserve"> </w:t>
      </w:r>
      <w:r>
        <w:rPr>
          <w:b/>
        </w:rPr>
        <w:t>Us:</w:t>
      </w:r>
      <w:r>
        <w:rPr>
          <w:b/>
          <w:spacing w:val="-1"/>
        </w:rPr>
        <w:t xml:space="preserve"> </w:t>
      </w:r>
      <w:r>
        <w:t>For</w:t>
      </w:r>
      <w:r>
        <w:rPr>
          <w:spacing w:val="-1"/>
        </w:rPr>
        <w:t xml:space="preserve"> </w:t>
      </w:r>
      <w:r>
        <w:t>print copies,</w:t>
      </w:r>
      <w:r>
        <w:rPr>
          <w:spacing w:val="-1"/>
        </w:rPr>
        <w:t xml:space="preserve"> </w:t>
      </w:r>
      <w:r>
        <w:t>permissions,</w:t>
      </w:r>
      <w:r>
        <w:rPr>
          <w:spacing w:val="-1"/>
        </w:rPr>
        <w:t xml:space="preserve"> </w:t>
      </w:r>
      <w:r>
        <w:t>and other</w:t>
      </w:r>
      <w:r>
        <w:rPr>
          <w:spacing w:val="-1"/>
        </w:rPr>
        <w:t xml:space="preserve"> </w:t>
      </w:r>
      <w:r>
        <w:t>inquiries, contact</w:t>
      </w:r>
      <w:r>
        <w:rPr>
          <w:spacing w:val="-1"/>
        </w:rPr>
        <w:t xml:space="preserve"> </w:t>
      </w:r>
      <w:r>
        <w:t>us</w:t>
      </w:r>
      <w:r>
        <w:rPr>
          <w:spacing w:val="-1"/>
        </w:rPr>
        <w:t xml:space="preserve"> </w:t>
      </w:r>
      <w:r>
        <w:t xml:space="preserve">at </w:t>
      </w:r>
      <w:hyperlink r:id="rId12">
        <w:r>
          <w:t>commission@ma-</w:t>
        </w:r>
        <w:r>
          <w:rPr>
            <w:spacing w:val="-2"/>
          </w:rPr>
          <w:t>lgbtq.org.</w:t>
        </w:r>
      </w:hyperlink>
    </w:p>
    <w:p w:rsidR="00200FDA" w:rsidRDefault="00200FDA">
      <w:pPr>
        <w:sectPr w:rsidR="00200FDA">
          <w:pgSz w:w="12240" w:h="15840"/>
          <w:pgMar w:top="1400" w:right="1280" w:bottom="280" w:left="1320" w:header="720" w:footer="720" w:gutter="0"/>
          <w:cols w:space="720"/>
        </w:sectPr>
      </w:pPr>
    </w:p>
    <w:p w:rsidR="00200FDA" w:rsidRDefault="00F76C4C">
      <w:pPr>
        <w:spacing w:before="52"/>
        <w:ind w:left="408"/>
        <w:rPr>
          <w:sz w:val="36"/>
        </w:rPr>
      </w:pPr>
      <w:r>
        <w:lastRenderedPageBreak/>
        <w:pict>
          <v:rect id="docshape14" o:spid="_x0000_s1549" style="position:absolute;left:0;text-align:left;margin-left:84.95pt;margin-top:25.5pt;width:442.1pt;height:.5pt;z-index:-15728128;mso-wrap-distance-left:0;mso-wrap-distance-right:0;mso-position-horizontal-relative:page" fillcolor="#0f6ec5" stroked="f">
            <w10:wrap type="topAndBottom" anchorx="page"/>
          </v:rect>
        </w:pict>
      </w:r>
      <w:bookmarkStart w:id="48" w:name="Letter_from_Leadership_FY24_-_DRAFT.pdf"/>
      <w:bookmarkStart w:id="49" w:name="Letter_from_Leadership"/>
      <w:bookmarkEnd w:id="48"/>
      <w:bookmarkEnd w:id="49"/>
      <w:r>
        <w:rPr>
          <w:color w:val="0A5293"/>
          <w:sz w:val="36"/>
        </w:rPr>
        <w:t>Letter</w:t>
      </w:r>
      <w:r>
        <w:rPr>
          <w:color w:val="0A5293"/>
          <w:spacing w:val="-4"/>
          <w:sz w:val="36"/>
        </w:rPr>
        <w:t xml:space="preserve"> </w:t>
      </w:r>
      <w:r>
        <w:rPr>
          <w:color w:val="0A5293"/>
          <w:sz w:val="36"/>
        </w:rPr>
        <w:t>from</w:t>
      </w:r>
      <w:r>
        <w:rPr>
          <w:color w:val="0A5293"/>
          <w:spacing w:val="-2"/>
          <w:sz w:val="36"/>
        </w:rPr>
        <w:t xml:space="preserve"> Leadership</w:t>
      </w:r>
    </w:p>
    <w:p w:rsidR="00200FDA" w:rsidRDefault="00200FDA">
      <w:pPr>
        <w:pStyle w:val="BodyText"/>
        <w:rPr>
          <w:sz w:val="20"/>
        </w:rPr>
      </w:pPr>
    </w:p>
    <w:p w:rsidR="00200FDA" w:rsidRDefault="00200FDA">
      <w:pPr>
        <w:pStyle w:val="BodyText"/>
        <w:spacing w:before="7"/>
        <w:rPr>
          <w:sz w:val="15"/>
        </w:rPr>
      </w:pPr>
    </w:p>
    <w:p w:rsidR="00200FDA" w:rsidRDefault="00F76C4C">
      <w:pPr>
        <w:spacing w:before="59" w:line="276" w:lineRule="auto"/>
        <w:ind w:left="408" w:right="443"/>
        <w:jc w:val="both"/>
        <w:rPr>
          <w:sz w:val="21"/>
        </w:rPr>
      </w:pPr>
      <w:r>
        <w:rPr>
          <w:sz w:val="21"/>
        </w:rPr>
        <w:t>Nearly 500 anti-LGBTQ bills have been introduced by policymakers in states across the nation; some have</w:t>
      </w:r>
      <w:r>
        <w:rPr>
          <w:spacing w:val="-7"/>
          <w:sz w:val="21"/>
        </w:rPr>
        <w:t xml:space="preserve"> </w:t>
      </w:r>
      <w:r>
        <w:rPr>
          <w:sz w:val="21"/>
        </w:rPr>
        <w:t>already</w:t>
      </w:r>
      <w:r>
        <w:rPr>
          <w:spacing w:val="-5"/>
          <w:sz w:val="21"/>
        </w:rPr>
        <w:t xml:space="preserve"> </w:t>
      </w:r>
      <w:r>
        <w:rPr>
          <w:sz w:val="21"/>
        </w:rPr>
        <w:t>been</w:t>
      </w:r>
      <w:r>
        <w:rPr>
          <w:spacing w:val="-8"/>
          <w:sz w:val="21"/>
        </w:rPr>
        <w:t xml:space="preserve"> </w:t>
      </w:r>
      <w:r>
        <w:rPr>
          <w:sz w:val="21"/>
        </w:rPr>
        <w:t>passed</w:t>
      </w:r>
      <w:r>
        <w:rPr>
          <w:spacing w:val="-8"/>
          <w:sz w:val="21"/>
        </w:rPr>
        <w:t xml:space="preserve"> </w:t>
      </w:r>
      <w:r>
        <w:rPr>
          <w:sz w:val="21"/>
        </w:rPr>
        <w:t>in</w:t>
      </w:r>
      <w:r>
        <w:rPr>
          <w:spacing w:val="-8"/>
          <w:sz w:val="21"/>
        </w:rPr>
        <w:t xml:space="preserve"> </w:t>
      </w:r>
      <w:r>
        <w:rPr>
          <w:sz w:val="21"/>
        </w:rPr>
        <w:t>Utah,</w:t>
      </w:r>
      <w:r>
        <w:rPr>
          <w:spacing w:val="-5"/>
          <w:sz w:val="21"/>
        </w:rPr>
        <w:t xml:space="preserve"> </w:t>
      </w:r>
      <w:r>
        <w:rPr>
          <w:sz w:val="21"/>
        </w:rPr>
        <w:t>South</w:t>
      </w:r>
      <w:r>
        <w:rPr>
          <w:spacing w:val="-6"/>
          <w:sz w:val="21"/>
        </w:rPr>
        <w:t xml:space="preserve"> </w:t>
      </w:r>
      <w:r>
        <w:rPr>
          <w:sz w:val="21"/>
        </w:rPr>
        <w:t>Dakota,</w:t>
      </w:r>
      <w:r>
        <w:rPr>
          <w:spacing w:val="-5"/>
          <w:sz w:val="21"/>
        </w:rPr>
        <w:t xml:space="preserve"> </w:t>
      </w:r>
      <w:r>
        <w:rPr>
          <w:sz w:val="21"/>
        </w:rPr>
        <w:t>Mississippi,</w:t>
      </w:r>
      <w:r>
        <w:rPr>
          <w:spacing w:val="-5"/>
          <w:sz w:val="21"/>
        </w:rPr>
        <w:t xml:space="preserve"> </w:t>
      </w:r>
      <w:r>
        <w:rPr>
          <w:sz w:val="21"/>
        </w:rPr>
        <w:t>Arkansas,</w:t>
      </w:r>
      <w:r>
        <w:rPr>
          <w:spacing w:val="-5"/>
          <w:sz w:val="21"/>
        </w:rPr>
        <w:t xml:space="preserve"> </w:t>
      </w:r>
      <w:r>
        <w:rPr>
          <w:sz w:val="21"/>
        </w:rPr>
        <w:t>Tennessee,</w:t>
      </w:r>
      <w:r>
        <w:rPr>
          <w:spacing w:val="-8"/>
          <w:sz w:val="21"/>
        </w:rPr>
        <w:t xml:space="preserve"> </w:t>
      </w:r>
      <w:r>
        <w:rPr>
          <w:sz w:val="21"/>
        </w:rPr>
        <w:t>West</w:t>
      </w:r>
      <w:r>
        <w:rPr>
          <w:spacing w:val="-6"/>
          <w:sz w:val="21"/>
        </w:rPr>
        <w:t xml:space="preserve"> </w:t>
      </w:r>
      <w:r>
        <w:rPr>
          <w:sz w:val="21"/>
        </w:rPr>
        <w:t>Virginia,</w:t>
      </w:r>
      <w:r>
        <w:rPr>
          <w:spacing w:val="-8"/>
          <w:sz w:val="21"/>
        </w:rPr>
        <w:t xml:space="preserve"> </w:t>
      </w:r>
      <w:r>
        <w:rPr>
          <w:sz w:val="21"/>
        </w:rPr>
        <w:t>Iowa, Georgia, and Idaho. Across the country, states are leg</w:t>
      </w:r>
      <w:r>
        <w:rPr>
          <w:sz w:val="21"/>
        </w:rPr>
        <w:t>islating discrimination, dehumanization, terrorization,</w:t>
      </w:r>
      <w:r>
        <w:rPr>
          <w:spacing w:val="-3"/>
          <w:sz w:val="21"/>
        </w:rPr>
        <w:t xml:space="preserve"> </w:t>
      </w:r>
      <w:r>
        <w:rPr>
          <w:sz w:val="21"/>
        </w:rPr>
        <w:t>and</w:t>
      </w:r>
      <w:r>
        <w:rPr>
          <w:spacing w:val="-3"/>
          <w:sz w:val="21"/>
        </w:rPr>
        <w:t xml:space="preserve"> </w:t>
      </w:r>
      <w:r>
        <w:rPr>
          <w:sz w:val="21"/>
        </w:rPr>
        <w:t>the</w:t>
      </w:r>
      <w:r>
        <w:rPr>
          <w:spacing w:val="-4"/>
          <w:sz w:val="21"/>
        </w:rPr>
        <w:t xml:space="preserve"> </w:t>
      </w:r>
      <w:r>
        <w:rPr>
          <w:sz w:val="21"/>
        </w:rPr>
        <w:t>erasure</w:t>
      </w:r>
      <w:r>
        <w:rPr>
          <w:spacing w:val="-3"/>
          <w:sz w:val="21"/>
        </w:rPr>
        <w:t xml:space="preserve"> </w:t>
      </w:r>
      <w:r>
        <w:rPr>
          <w:sz w:val="21"/>
        </w:rPr>
        <w:t>of</w:t>
      </w:r>
      <w:r>
        <w:rPr>
          <w:spacing w:val="-3"/>
          <w:sz w:val="21"/>
        </w:rPr>
        <w:t xml:space="preserve"> </w:t>
      </w:r>
      <w:r>
        <w:rPr>
          <w:sz w:val="21"/>
        </w:rPr>
        <w:t>millions</w:t>
      </w:r>
      <w:r>
        <w:rPr>
          <w:spacing w:val="-4"/>
          <w:sz w:val="21"/>
        </w:rPr>
        <w:t xml:space="preserve"> </w:t>
      </w:r>
      <w:r>
        <w:rPr>
          <w:sz w:val="21"/>
        </w:rPr>
        <w:t>of</w:t>
      </w:r>
      <w:r>
        <w:rPr>
          <w:spacing w:val="-4"/>
          <w:sz w:val="21"/>
        </w:rPr>
        <w:t xml:space="preserve"> </w:t>
      </w:r>
      <w:r>
        <w:rPr>
          <w:sz w:val="21"/>
        </w:rPr>
        <w:t>queer,</w:t>
      </w:r>
      <w:r>
        <w:rPr>
          <w:spacing w:val="-4"/>
          <w:sz w:val="21"/>
        </w:rPr>
        <w:t xml:space="preserve"> </w:t>
      </w:r>
      <w:r>
        <w:rPr>
          <w:sz w:val="21"/>
        </w:rPr>
        <w:t>gender</w:t>
      </w:r>
      <w:r>
        <w:rPr>
          <w:spacing w:val="-2"/>
          <w:sz w:val="21"/>
        </w:rPr>
        <w:t xml:space="preserve"> </w:t>
      </w:r>
      <w:r>
        <w:rPr>
          <w:sz w:val="21"/>
        </w:rPr>
        <w:t>expansive,</w:t>
      </w:r>
      <w:r>
        <w:rPr>
          <w:spacing w:val="-4"/>
          <w:sz w:val="21"/>
        </w:rPr>
        <w:t xml:space="preserve"> </w:t>
      </w:r>
      <w:r>
        <w:rPr>
          <w:sz w:val="21"/>
        </w:rPr>
        <w:t>and</w:t>
      </w:r>
      <w:r>
        <w:rPr>
          <w:spacing w:val="-4"/>
          <w:sz w:val="21"/>
        </w:rPr>
        <w:t xml:space="preserve"> </w:t>
      </w:r>
      <w:r>
        <w:rPr>
          <w:sz w:val="21"/>
        </w:rPr>
        <w:t>transgender</w:t>
      </w:r>
      <w:r>
        <w:rPr>
          <w:spacing w:val="-2"/>
          <w:sz w:val="21"/>
        </w:rPr>
        <w:t xml:space="preserve"> </w:t>
      </w:r>
      <w:r>
        <w:rPr>
          <w:sz w:val="21"/>
        </w:rPr>
        <w:t>youth,</w:t>
      </w:r>
      <w:r>
        <w:rPr>
          <w:spacing w:val="-4"/>
          <w:sz w:val="21"/>
        </w:rPr>
        <w:t xml:space="preserve"> </w:t>
      </w:r>
      <w:r>
        <w:rPr>
          <w:sz w:val="21"/>
        </w:rPr>
        <w:t>as</w:t>
      </w:r>
      <w:r>
        <w:rPr>
          <w:spacing w:val="-4"/>
          <w:sz w:val="21"/>
        </w:rPr>
        <w:t xml:space="preserve"> </w:t>
      </w:r>
      <w:r>
        <w:rPr>
          <w:sz w:val="21"/>
        </w:rPr>
        <w:t>well</w:t>
      </w:r>
      <w:r>
        <w:rPr>
          <w:spacing w:val="-3"/>
          <w:sz w:val="21"/>
        </w:rPr>
        <w:t xml:space="preserve"> </w:t>
      </w:r>
      <w:r>
        <w:rPr>
          <w:sz w:val="21"/>
        </w:rPr>
        <w:t>as their caregivers, providers, and educators.</w:t>
      </w:r>
    </w:p>
    <w:p w:rsidR="00200FDA" w:rsidRDefault="00200FDA">
      <w:pPr>
        <w:pStyle w:val="BodyText"/>
        <w:spacing w:before="10"/>
        <w:rPr>
          <w:sz w:val="19"/>
        </w:rPr>
      </w:pPr>
    </w:p>
    <w:p w:rsidR="00200FDA" w:rsidRDefault="00F76C4C">
      <w:pPr>
        <w:spacing w:line="276" w:lineRule="auto"/>
        <w:ind w:left="408" w:right="439"/>
        <w:jc w:val="both"/>
        <w:rPr>
          <w:sz w:val="21"/>
        </w:rPr>
      </w:pPr>
      <w:r>
        <w:rPr>
          <w:sz w:val="21"/>
        </w:rPr>
        <w:t>As the Commission releases its FY 2024 annual report in April of 2023, we condemn the fervent and disgraceful attacks from other states that seek to strip away the autonomy of LGBTQ youth and their caregivers. We understand that, for our LGBTQ youth, the C</w:t>
      </w:r>
      <w:r>
        <w:rPr>
          <w:sz w:val="21"/>
        </w:rPr>
        <w:t>OVID pandemic has exacerbated serious health disparities and socioeconomic experiences that are only compounded by the emotional, psychological, and</w:t>
      </w:r>
      <w:r>
        <w:rPr>
          <w:spacing w:val="-1"/>
          <w:sz w:val="21"/>
        </w:rPr>
        <w:t xml:space="preserve"> </w:t>
      </w:r>
      <w:r>
        <w:rPr>
          <w:sz w:val="21"/>
        </w:rPr>
        <w:t>physical</w:t>
      </w:r>
      <w:r>
        <w:rPr>
          <w:spacing w:val="-3"/>
          <w:sz w:val="21"/>
        </w:rPr>
        <w:t xml:space="preserve"> </w:t>
      </w:r>
      <w:r>
        <w:rPr>
          <w:sz w:val="21"/>
        </w:rPr>
        <w:t>pressures</w:t>
      </w:r>
      <w:r>
        <w:rPr>
          <w:spacing w:val="-4"/>
          <w:sz w:val="21"/>
        </w:rPr>
        <w:t xml:space="preserve"> </w:t>
      </w:r>
      <w:r>
        <w:rPr>
          <w:sz w:val="21"/>
        </w:rPr>
        <w:t>of</w:t>
      </w:r>
      <w:r>
        <w:rPr>
          <w:spacing w:val="-3"/>
          <w:sz w:val="21"/>
        </w:rPr>
        <w:t xml:space="preserve"> </w:t>
      </w:r>
      <w:r>
        <w:rPr>
          <w:sz w:val="21"/>
        </w:rPr>
        <w:t>homophobia, transphobia, xenophobia,</w:t>
      </w:r>
      <w:r>
        <w:rPr>
          <w:spacing w:val="-3"/>
          <w:sz w:val="21"/>
        </w:rPr>
        <w:t xml:space="preserve"> </w:t>
      </w:r>
      <w:r>
        <w:rPr>
          <w:sz w:val="21"/>
        </w:rPr>
        <w:t>and</w:t>
      </w:r>
      <w:r>
        <w:rPr>
          <w:spacing w:val="-1"/>
          <w:sz w:val="21"/>
        </w:rPr>
        <w:t xml:space="preserve"> </w:t>
      </w:r>
      <w:r>
        <w:rPr>
          <w:sz w:val="21"/>
        </w:rPr>
        <w:t>the terror of</w:t>
      </w:r>
      <w:r>
        <w:rPr>
          <w:spacing w:val="-3"/>
          <w:sz w:val="21"/>
        </w:rPr>
        <w:t xml:space="preserve"> </w:t>
      </w:r>
      <w:r>
        <w:rPr>
          <w:sz w:val="21"/>
        </w:rPr>
        <w:t>mass shootings that crush over</w:t>
      </w:r>
      <w:r>
        <w:rPr>
          <w:sz w:val="21"/>
        </w:rPr>
        <w:t xml:space="preserve"> 50.7 million students in schools across the United States.</w:t>
      </w:r>
    </w:p>
    <w:p w:rsidR="00200FDA" w:rsidRDefault="00200FDA">
      <w:pPr>
        <w:pStyle w:val="BodyText"/>
        <w:spacing w:before="8"/>
        <w:rPr>
          <w:sz w:val="19"/>
        </w:rPr>
      </w:pPr>
    </w:p>
    <w:p w:rsidR="00200FDA" w:rsidRDefault="00F76C4C">
      <w:pPr>
        <w:spacing w:before="1" w:line="276" w:lineRule="auto"/>
        <w:ind w:left="407" w:right="438"/>
        <w:jc w:val="both"/>
        <w:rPr>
          <w:sz w:val="21"/>
        </w:rPr>
      </w:pPr>
      <w:r>
        <w:rPr>
          <w:sz w:val="21"/>
        </w:rPr>
        <w:t>Across the nation, our LGBTQ youth are seeking light, love, and liberation from their families, schools, healthcare providers, legislators, and communities, all while trying to thrive in a danger</w:t>
      </w:r>
      <w:r>
        <w:rPr>
          <w:sz w:val="21"/>
        </w:rPr>
        <w:t>ous political environment that is attempting to erase them from history. As of April 24, 2023, the 469 anti-LGBTQ bills</w:t>
      </w:r>
      <w:r>
        <w:rPr>
          <w:spacing w:val="-1"/>
          <w:sz w:val="21"/>
        </w:rPr>
        <w:t xml:space="preserve"> </w:t>
      </w:r>
      <w:r>
        <w:rPr>
          <w:sz w:val="21"/>
        </w:rPr>
        <w:t>introduced target</w:t>
      </w:r>
      <w:r>
        <w:rPr>
          <w:spacing w:val="-1"/>
          <w:sz w:val="21"/>
        </w:rPr>
        <w:t xml:space="preserve"> </w:t>
      </w:r>
      <w:r>
        <w:rPr>
          <w:sz w:val="21"/>
        </w:rPr>
        <w:t>our youths’ rights</w:t>
      </w:r>
      <w:r>
        <w:rPr>
          <w:spacing w:val="-1"/>
          <w:sz w:val="21"/>
        </w:rPr>
        <w:t xml:space="preserve"> </w:t>
      </w:r>
      <w:r>
        <w:rPr>
          <w:sz w:val="21"/>
        </w:rPr>
        <w:t>to visibility, access</w:t>
      </w:r>
      <w:r>
        <w:rPr>
          <w:spacing w:val="-1"/>
          <w:sz w:val="21"/>
        </w:rPr>
        <w:t xml:space="preserve"> </w:t>
      </w:r>
      <w:r>
        <w:rPr>
          <w:sz w:val="21"/>
        </w:rPr>
        <w:t>to life-saving gender-affirming</w:t>
      </w:r>
      <w:r>
        <w:rPr>
          <w:spacing w:val="-1"/>
          <w:sz w:val="21"/>
        </w:rPr>
        <w:t xml:space="preserve"> </w:t>
      </w:r>
      <w:r>
        <w:rPr>
          <w:sz w:val="21"/>
        </w:rPr>
        <w:t>care, access to school sports, and LGBTQ book</w:t>
      </w:r>
      <w:r>
        <w:rPr>
          <w:sz w:val="21"/>
        </w:rPr>
        <w:t xml:space="preserve">s and literature. As a result, 50% of our queer and trans youth have seriously considered suicide in the past year. More than 70% of our LGBTQ youth experience anxiety, and 58% report symptoms of depression. Despite these statistics, 1 in 2 of LGBTQ youth </w:t>
      </w:r>
      <w:r>
        <w:rPr>
          <w:sz w:val="21"/>
        </w:rPr>
        <w:t>in Massachusetts were unable to access the mental health care they desperately wanted. As discussed throughout the following annual report, when we look at the experiences of Black, Latiné, Asian &amp; Pacific Islander, and Indigenous</w:t>
      </w:r>
      <w:r>
        <w:rPr>
          <w:spacing w:val="40"/>
          <w:sz w:val="21"/>
        </w:rPr>
        <w:t xml:space="preserve"> </w:t>
      </w:r>
      <w:r>
        <w:rPr>
          <w:sz w:val="21"/>
        </w:rPr>
        <w:t>LGBTQ</w:t>
      </w:r>
      <w:r>
        <w:rPr>
          <w:spacing w:val="40"/>
          <w:sz w:val="21"/>
        </w:rPr>
        <w:t xml:space="preserve"> </w:t>
      </w:r>
      <w:r>
        <w:rPr>
          <w:sz w:val="21"/>
        </w:rPr>
        <w:t>youth,</w:t>
      </w:r>
      <w:r>
        <w:rPr>
          <w:spacing w:val="40"/>
          <w:sz w:val="21"/>
        </w:rPr>
        <w:t xml:space="preserve"> </w:t>
      </w:r>
      <w:r>
        <w:rPr>
          <w:sz w:val="21"/>
        </w:rPr>
        <w:t>we</w:t>
      </w:r>
      <w:r>
        <w:rPr>
          <w:spacing w:val="40"/>
          <w:sz w:val="21"/>
        </w:rPr>
        <w:t xml:space="preserve"> </w:t>
      </w:r>
      <w:r>
        <w:rPr>
          <w:sz w:val="21"/>
        </w:rPr>
        <w:t>observe</w:t>
      </w:r>
      <w:r>
        <w:rPr>
          <w:spacing w:val="40"/>
          <w:sz w:val="21"/>
        </w:rPr>
        <w:t xml:space="preserve"> </w:t>
      </w:r>
      <w:r>
        <w:rPr>
          <w:sz w:val="21"/>
        </w:rPr>
        <w:t>h</w:t>
      </w:r>
      <w:r>
        <w:rPr>
          <w:sz w:val="21"/>
        </w:rPr>
        <w:t>igher</w:t>
      </w:r>
      <w:r>
        <w:rPr>
          <w:spacing w:val="40"/>
          <w:sz w:val="21"/>
        </w:rPr>
        <w:t xml:space="preserve"> </w:t>
      </w:r>
      <w:r>
        <w:rPr>
          <w:sz w:val="21"/>
        </w:rPr>
        <w:t>rates</w:t>
      </w:r>
      <w:r>
        <w:rPr>
          <w:spacing w:val="40"/>
          <w:sz w:val="21"/>
        </w:rPr>
        <w:t xml:space="preserve"> </w:t>
      </w:r>
      <w:r>
        <w:rPr>
          <w:sz w:val="21"/>
        </w:rPr>
        <w:t>of</w:t>
      </w:r>
      <w:r>
        <w:rPr>
          <w:spacing w:val="40"/>
          <w:sz w:val="21"/>
        </w:rPr>
        <w:t xml:space="preserve"> </w:t>
      </w:r>
      <w:r>
        <w:rPr>
          <w:sz w:val="21"/>
        </w:rPr>
        <w:t>victimization,</w:t>
      </w:r>
      <w:r>
        <w:rPr>
          <w:spacing w:val="40"/>
          <w:sz w:val="21"/>
        </w:rPr>
        <w:t xml:space="preserve"> </w:t>
      </w:r>
      <w:r>
        <w:rPr>
          <w:sz w:val="21"/>
        </w:rPr>
        <w:t>sexual violence,</w:t>
      </w:r>
      <w:r>
        <w:rPr>
          <w:spacing w:val="80"/>
          <w:sz w:val="21"/>
        </w:rPr>
        <w:t xml:space="preserve"> </w:t>
      </w:r>
      <w:r>
        <w:rPr>
          <w:sz w:val="21"/>
        </w:rPr>
        <w:t>policing,</w:t>
      </w:r>
      <w:r>
        <w:rPr>
          <w:spacing w:val="80"/>
          <w:sz w:val="21"/>
        </w:rPr>
        <w:t xml:space="preserve"> </w:t>
      </w:r>
      <w:r>
        <w:rPr>
          <w:sz w:val="21"/>
        </w:rPr>
        <w:t>homelessness, foster care, and invisibility.</w:t>
      </w:r>
    </w:p>
    <w:p w:rsidR="00200FDA" w:rsidRDefault="00200FDA">
      <w:pPr>
        <w:pStyle w:val="BodyText"/>
        <w:spacing w:before="7"/>
        <w:rPr>
          <w:sz w:val="19"/>
        </w:rPr>
      </w:pPr>
    </w:p>
    <w:p w:rsidR="00200FDA" w:rsidRDefault="00F76C4C">
      <w:pPr>
        <w:spacing w:before="1" w:line="276" w:lineRule="auto"/>
        <w:ind w:left="407" w:right="438" w:firstLine="47"/>
        <w:jc w:val="both"/>
        <w:rPr>
          <w:sz w:val="21"/>
        </w:rPr>
      </w:pPr>
      <w:r>
        <w:rPr>
          <w:sz w:val="21"/>
        </w:rPr>
        <w:t>When</w:t>
      </w:r>
      <w:r>
        <w:rPr>
          <w:spacing w:val="-3"/>
          <w:sz w:val="21"/>
        </w:rPr>
        <w:t xml:space="preserve"> </w:t>
      </w:r>
      <w:r>
        <w:rPr>
          <w:sz w:val="21"/>
        </w:rPr>
        <w:t>our</w:t>
      </w:r>
      <w:r>
        <w:rPr>
          <w:spacing w:val="-1"/>
          <w:sz w:val="21"/>
        </w:rPr>
        <w:t xml:space="preserve"> </w:t>
      </w:r>
      <w:r>
        <w:rPr>
          <w:sz w:val="21"/>
        </w:rPr>
        <w:t>LGBTQ</w:t>
      </w:r>
      <w:r>
        <w:rPr>
          <w:spacing w:val="-5"/>
          <w:sz w:val="21"/>
        </w:rPr>
        <w:t xml:space="preserve"> </w:t>
      </w:r>
      <w:r>
        <w:rPr>
          <w:sz w:val="21"/>
        </w:rPr>
        <w:t>youth</w:t>
      </w:r>
      <w:r>
        <w:rPr>
          <w:spacing w:val="-2"/>
          <w:sz w:val="21"/>
        </w:rPr>
        <w:t xml:space="preserve"> </w:t>
      </w:r>
      <w:r>
        <w:rPr>
          <w:sz w:val="21"/>
        </w:rPr>
        <w:t>can</w:t>
      </w:r>
      <w:r>
        <w:rPr>
          <w:spacing w:val="-5"/>
          <w:sz w:val="21"/>
        </w:rPr>
        <w:t xml:space="preserve"> </w:t>
      </w:r>
      <w:r>
        <w:rPr>
          <w:sz w:val="21"/>
        </w:rPr>
        <w:t>thrive</w:t>
      </w:r>
      <w:r>
        <w:rPr>
          <w:spacing w:val="-4"/>
          <w:sz w:val="21"/>
        </w:rPr>
        <w:t xml:space="preserve"> </w:t>
      </w:r>
      <w:r>
        <w:rPr>
          <w:sz w:val="21"/>
        </w:rPr>
        <w:t>as</w:t>
      </w:r>
      <w:r>
        <w:rPr>
          <w:spacing w:val="-3"/>
          <w:sz w:val="21"/>
        </w:rPr>
        <w:t xml:space="preserve"> </w:t>
      </w:r>
      <w:r>
        <w:rPr>
          <w:sz w:val="21"/>
        </w:rPr>
        <w:t>affirmed</w:t>
      </w:r>
      <w:r>
        <w:rPr>
          <w:spacing w:val="-3"/>
          <w:sz w:val="21"/>
        </w:rPr>
        <w:t xml:space="preserve"> </w:t>
      </w:r>
      <w:r>
        <w:rPr>
          <w:sz w:val="21"/>
        </w:rPr>
        <w:t>individuals</w:t>
      </w:r>
      <w:r>
        <w:rPr>
          <w:spacing w:val="-3"/>
          <w:sz w:val="21"/>
        </w:rPr>
        <w:t xml:space="preserve"> </w:t>
      </w:r>
      <w:r>
        <w:rPr>
          <w:sz w:val="21"/>
        </w:rPr>
        <w:t>who</w:t>
      </w:r>
      <w:r>
        <w:rPr>
          <w:spacing w:val="-3"/>
          <w:sz w:val="21"/>
        </w:rPr>
        <w:t xml:space="preserve"> </w:t>
      </w:r>
      <w:r>
        <w:rPr>
          <w:sz w:val="21"/>
        </w:rPr>
        <w:t>can</w:t>
      </w:r>
      <w:r>
        <w:rPr>
          <w:spacing w:val="-2"/>
          <w:sz w:val="21"/>
        </w:rPr>
        <w:t xml:space="preserve"> </w:t>
      </w:r>
      <w:r>
        <w:rPr>
          <w:sz w:val="21"/>
        </w:rPr>
        <w:t>live</w:t>
      </w:r>
      <w:r>
        <w:rPr>
          <w:spacing w:val="-4"/>
          <w:sz w:val="21"/>
        </w:rPr>
        <w:t xml:space="preserve"> </w:t>
      </w:r>
      <w:r>
        <w:rPr>
          <w:sz w:val="21"/>
        </w:rPr>
        <w:t>with</w:t>
      </w:r>
      <w:r>
        <w:rPr>
          <w:spacing w:val="-3"/>
          <w:sz w:val="21"/>
        </w:rPr>
        <w:t xml:space="preserve"> </w:t>
      </w:r>
      <w:r>
        <w:rPr>
          <w:sz w:val="21"/>
        </w:rPr>
        <w:t>dignity;</w:t>
      </w:r>
      <w:r>
        <w:rPr>
          <w:spacing w:val="-1"/>
          <w:sz w:val="21"/>
        </w:rPr>
        <w:t xml:space="preserve"> </w:t>
      </w:r>
      <w:r>
        <w:rPr>
          <w:sz w:val="21"/>
        </w:rPr>
        <w:t>enjoy</w:t>
      </w:r>
      <w:r>
        <w:rPr>
          <w:spacing w:val="-2"/>
          <w:sz w:val="21"/>
        </w:rPr>
        <w:t xml:space="preserve"> </w:t>
      </w:r>
      <w:r>
        <w:rPr>
          <w:sz w:val="21"/>
        </w:rPr>
        <w:t>equal</w:t>
      </w:r>
      <w:r>
        <w:rPr>
          <w:spacing w:val="-5"/>
          <w:sz w:val="21"/>
        </w:rPr>
        <w:t xml:space="preserve"> </w:t>
      </w:r>
      <w:r>
        <w:rPr>
          <w:sz w:val="21"/>
        </w:rPr>
        <w:t xml:space="preserve">access to sustainable livelihoods; receive nondiscriminatory and empowering education and health care; and are able to freely participate more fully in civic and democratic processes within their schools and communities, everyone wins! Research shows that </w:t>
      </w:r>
      <w:r>
        <w:rPr>
          <w:sz w:val="21"/>
        </w:rPr>
        <w:t>LGBTQ youth who are nurtured in schools and communities</w:t>
      </w:r>
      <w:r>
        <w:rPr>
          <w:spacing w:val="-10"/>
          <w:sz w:val="21"/>
        </w:rPr>
        <w:t xml:space="preserve"> </w:t>
      </w:r>
      <w:r>
        <w:rPr>
          <w:sz w:val="21"/>
        </w:rPr>
        <w:t>that</w:t>
      </w:r>
      <w:r>
        <w:rPr>
          <w:spacing w:val="-11"/>
          <w:sz w:val="21"/>
        </w:rPr>
        <w:t xml:space="preserve"> </w:t>
      </w:r>
      <w:r>
        <w:rPr>
          <w:sz w:val="21"/>
        </w:rPr>
        <w:t>intentionally</w:t>
      </w:r>
      <w:r>
        <w:rPr>
          <w:spacing w:val="-10"/>
          <w:sz w:val="21"/>
        </w:rPr>
        <w:t xml:space="preserve"> </w:t>
      </w:r>
      <w:r>
        <w:rPr>
          <w:sz w:val="21"/>
        </w:rPr>
        <w:t>serve</w:t>
      </w:r>
      <w:r>
        <w:rPr>
          <w:spacing w:val="-10"/>
          <w:sz w:val="21"/>
        </w:rPr>
        <w:t xml:space="preserve"> </w:t>
      </w:r>
      <w:r>
        <w:rPr>
          <w:sz w:val="21"/>
        </w:rPr>
        <w:t>as</w:t>
      </w:r>
      <w:r>
        <w:rPr>
          <w:spacing w:val="-10"/>
          <w:sz w:val="21"/>
        </w:rPr>
        <w:t xml:space="preserve"> </w:t>
      </w:r>
      <w:r>
        <w:rPr>
          <w:sz w:val="21"/>
        </w:rPr>
        <w:t>lighthouses</w:t>
      </w:r>
      <w:r>
        <w:rPr>
          <w:spacing w:val="-11"/>
          <w:sz w:val="21"/>
        </w:rPr>
        <w:t xml:space="preserve"> </w:t>
      </w:r>
      <w:r>
        <w:rPr>
          <w:sz w:val="21"/>
        </w:rPr>
        <w:t>of</w:t>
      </w:r>
      <w:r>
        <w:rPr>
          <w:spacing w:val="-10"/>
          <w:sz w:val="21"/>
        </w:rPr>
        <w:t xml:space="preserve"> </w:t>
      </w:r>
      <w:r>
        <w:rPr>
          <w:sz w:val="21"/>
        </w:rPr>
        <w:t>school</w:t>
      </w:r>
      <w:r>
        <w:rPr>
          <w:spacing w:val="-10"/>
          <w:sz w:val="21"/>
        </w:rPr>
        <w:t xml:space="preserve"> </w:t>
      </w:r>
      <w:r>
        <w:rPr>
          <w:sz w:val="21"/>
        </w:rPr>
        <w:t>connectedness</w:t>
      </w:r>
      <w:r>
        <w:rPr>
          <w:spacing w:val="-11"/>
          <w:sz w:val="21"/>
        </w:rPr>
        <w:t xml:space="preserve"> </w:t>
      </w:r>
      <w:r>
        <w:rPr>
          <w:sz w:val="21"/>
        </w:rPr>
        <w:t>foster</w:t>
      </w:r>
      <w:r>
        <w:rPr>
          <w:spacing w:val="-11"/>
          <w:sz w:val="21"/>
        </w:rPr>
        <w:t xml:space="preserve"> </w:t>
      </w:r>
      <w:r>
        <w:rPr>
          <w:sz w:val="21"/>
        </w:rPr>
        <w:t>exponential</w:t>
      </w:r>
      <w:r>
        <w:rPr>
          <w:spacing w:val="-10"/>
          <w:sz w:val="21"/>
        </w:rPr>
        <w:t xml:space="preserve"> </w:t>
      </w:r>
      <w:r>
        <w:rPr>
          <w:sz w:val="21"/>
        </w:rPr>
        <w:t>positive effects</w:t>
      </w:r>
      <w:r>
        <w:rPr>
          <w:spacing w:val="-8"/>
          <w:sz w:val="21"/>
        </w:rPr>
        <w:t xml:space="preserve"> </w:t>
      </w:r>
      <w:r>
        <w:rPr>
          <w:sz w:val="21"/>
        </w:rPr>
        <w:t>on</w:t>
      </w:r>
      <w:r>
        <w:rPr>
          <w:spacing w:val="-7"/>
          <w:sz w:val="21"/>
        </w:rPr>
        <w:t xml:space="preserve"> </w:t>
      </w:r>
      <w:r>
        <w:rPr>
          <w:sz w:val="21"/>
        </w:rPr>
        <w:t>their</w:t>
      </w:r>
      <w:r>
        <w:rPr>
          <w:spacing w:val="-6"/>
          <w:sz w:val="21"/>
        </w:rPr>
        <w:t xml:space="preserve"> </w:t>
      </w:r>
      <w:r>
        <w:rPr>
          <w:sz w:val="21"/>
        </w:rPr>
        <w:t>livelihoods.</w:t>
      </w:r>
      <w:r>
        <w:rPr>
          <w:spacing w:val="-7"/>
          <w:sz w:val="21"/>
        </w:rPr>
        <w:t xml:space="preserve"> </w:t>
      </w:r>
      <w:r>
        <w:rPr>
          <w:sz w:val="21"/>
        </w:rPr>
        <w:t>In</w:t>
      </w:r>
      <w:r>
        <w:rPr>
          <w:spacing w:val="-7"/>
          <w:sz w:val="21"/>
        </w:rPr>
        <w:t xml:space="preserve"> </w:t>
      </w:r>
      <w:r>
        <w:rPr>
          <w:sz w:val="21"/>
        </w:rPr>
        <w:t>environments</w:t>
      </w:r>
      <w:r>
        <w:rPr>
          <w:spacing w:val="-8"/>
          <w:sz w:val="21"/>
        </w:rPr>
        <w:t xml:space="preserve"> </w:t>
      </w:r>
      <w:r>
        <w:rPr>
          <w:sz w:val="21"/>
        </w:rPr>
        <w:t>where</w:t>
      </w:r>
      <w:r>
        <w:rPr>
          <w:spacing w:val="-6"/>
          <w:sz w:val="21"/>
        </w:rPr>
        <w:t xml:space="preserve"> </w:t>
      </w:r>
      <w:r>
        <w:rPr>
          <w:sz w:val="21"/>
        </w:rPr>
        <w:t>LGBTQ</w:t>
      </w:r>
      <w:r>
        <w:rPr>
          <w:spacing w:val="-7"/>
          <w:sz w:val="21"/>
        </w:rPr>
        <w:t xml:space="preserve"> </w:t>
      </w:r>
      <w:r>
        <w:rPr>
          <w:sz w:val="21"/>
        </w:rPr>
        <w:t>youth</w:t>
      </w:r>
      <w:r>
        <w:rPr>
          <w:spacing w:val="-7"/>
          <w:sz w:val="21"/>
        </w:rPr>
        <w:t xml:space="preserve"> </w:t>
      </w:r>
      <w:r>
        <w:rPr>
          <w:sz w:val="21"/>
        </w:rPr>
        <w:t>are</w:t>
      </w:r>
      <w:r>
        <w:rPr>
          <w:spacing w:val="-6"/>
          <w:sz w:val="21"/>
        </w:rPr>
        <w:t xml:space="preserve"> </w:t>
      </w:r>
      <w:r>
        <w:rPr>
          <w:sz w:val="21"/>
        </w:rPr>
        <w:t>supported</w:t>
      </w:r>
      <w:r>
        <w:rPr>
          <w:spacing w:val="-7"/>
          <w:sz w:val="21"/>
        </w:rPr>
        <w:t xml:space="preserve"> </w:t>
      </w:r>
      <w:r>
        <w:rPr>
          <w:sz w:val="21"/>
        </w:rPr>
        <w:t>and</w:t>
      </w:r>
      <w:r>
        <w:rPr>
          <w:spacing w:val="-7"/>
          <w:sz w:val="21"/>
        </w:rPr>
        <w:t xml:space="preserve"> </w:t>
      </w:r>
      <w:r>
        <w:rPr>
          <w:sz w:val="21"/>
        </w:rPr>
        <w:t>cared</w:t>
      </w:r>
      <w:r>
        <w:rPr>
          <w:spacing w:val="-7"/>
          <w:sz w:val="21"/>
        </w:rPr>
        <w:t xml:space="preserve"> </w:t>
      </w:r>
      <w:r>
        <w:rPr>
          <w:sz w:val="21"/>
        </w:rPr>
        <w:t>for</w:t>
      </w:r>
      <w:r>
        <w:rPr>
          <w:spacing w:val="-6"/>
          <w:sz w:val="21"/>
        </w:rPr>
        <w:t xml:space="preserve"> </w:t>
      </w:r>
      <w:r>
        <w:rPr>
          <w:sz w:val="21"/>
        </w:rPr>
        <w:t>by</w:t>
      </w:r>
      <w:r>
        <w:rPr>
          <w:spacing w:val="-6"/>
          <w:sz w:val="21"/>
        </w:rPr>
        <w:t xml:space="preserve"> </w:t>
      </w:r>
      <w:r>
        <w:rPr>
          <w:sz w:val="21"/>
        </w:rPr>
        <w:t>family, loved</w:t>
      </w:r>
      <w:r>
        <w:rPr>
          <w:spacing w:val="-12"/>
          <w:sz w:val="21"/>
        </w:rPr>
        <w:t xml:space="preserve"> </w:t>
      </w:r>
      <w:r>
        <w:rPr>
          <w:sz w:val="21"/>
        </w:rPr>
        <w:t>ones,</w:t>
      </w:r>
      <w:r>
        <w:rPr>
          <w:spacing w:val="-12"/>
          <w:sz w:val="21"/>
        </w:rPr>
        <w:t xml:space="preserve"> </w:t>
      </w:r>
      <w:r>
        <w:rPr>
          <w:sz w:val="21"/>
        </w:rPr>
        <w:t>friends,</w:t>
      </w:r>
      <w:r>
        <w:rPr>
          <w:spacing w:val="-12"/>
          <w:sz w:val="21"/>
        </w:rPr>
        <w:t xml:space="preserve"> </w:t>
      </w:r>
      <w:r>
        <w:rPr>
          <w:sz w:val="21"/>
        </w:rPr>
        <w:t>and</w:t>
      </w:r>
      <w:r>
        <w:rPr>
          <w:spacing w:val="-12"/>
          <w:sz w:val="21"/>
        </w:rPr>
        <w:t xml:space="preserve"> </w:t>
      </w:r>
      <w:r>
        <w:rPr>
          <w:sz w:val="21"/>
        </w:rPr>
        <w:t>educators;</w:t>
      </w:r>
      <w:r>
        <w:rPr>
          <w:spacing w:val="-12"/>
          <w:sz w:val="21"/>
        </w:rPr>
        <w:t xml:space="preserve"> </w:t>
      </w:r>
      <w:r>
        <w:rPr>
          <w:sz w:val="21"/>
        </w:rPr>
        <w:t>are</w:t>
      </w:r>
      <w:r>
        <w:rPr>
          <w:spacing w:val="-12"/>
          <w:sz w:val="21"/>
        </w:rPr>
        <w:t xml:space="preserve"> </w:t>
      </w:r>
      <w:r>
        <w:rPr>
          <w:sz w:val="21"/>
        </w:rPr>
        <w:t>accurately</w:t>
      </w:r>
      <w:r>
        <w:rPr>
          <w:spacing w:val="-12"/>
          <w:sz w:val="21"/>
        </w:rPr>
        <w:t xml:space="preserve"> </w:t>
      </w:r>
      <w:r>
        <w:rPr>
          <w:sz w:val="21"/>
        </w:rPr>
        <w:t>gendered;</w:t>
      </w:r>
      <w:r>
        <w:rPr>
          <w:spacing w:val="-11"/>
          <w:sz w:val="21"/>
        </w:rPr>
        <w:t xml:space="preserve"> </w:t>
      </w:r>
      <w:r>
        <w:rPr>
          <w:sz w:val="21"/>
        </w:rPr>
        <w:t>engage</w:t>
      </w:r>
      <w:r>
        <w:rPr>
          <w:spacing w:val="-12"/>
          <w:sz w:val="21"/>
        </w:rPr>
        <w:t xml:space="preserve"> </w:t>
      </w:r>
      <w:r>
        <w:rPr>
          <w:sz w:val="21"/>
        </w:rPr>
        <w:t>inclusive</w:t>
      </w:r>
      <w:r>
        <w:rPr>
          <w:spacing w:val="-12"/>
          <w:sz w:val="21"/>
        </w:rPr>
        <w:t xml:space="preserve"> </w:t>
      </w:r>
      <w:r>
        <w:rPr>
          <w:sz w:val="21"/>
        </w:rPr>
        <w:t>educational</w:t>
      </w:r>
      <w:r>
        <w:rPr>
          <w:spacing w:val="-12"/>
          <w:sz w:val="21"/>
        </w:rPr>
        <w:t xml:space="preserve"> </w:t>
      </w:r>
      <w:r>
        <w:rPr>
          <w:sz w:val="21"/>
        </w:rPr>
        <w:t>learning;</w:t>
      </w:r>
      <w:r>
        <w:rPr>
          <w:spacing w:val="-12"/>
          <w:sz w:val="21"/>
        </w:rPr>
        <w:t xml:space="preserve"> </w:t>
      </w:r>
      <w:r>
        <w:rPr>
          <w:sz w:val="21"/>
        </w:rPr>
        <w:t>have access to life-giving mental and health care; as well as see positive representations of themselves we see higher rates of connectedness, attendance, and th</w:t>
      </w:r>
      <w:r>
        <w:rPr>
          <w:sz w:val="21"/>
        </w:rPr>
        <w:t>riving as whole beings.</w:t>
      </w:r>
    </w:p>
    <w:p w:rsidR="00200FDA" w:rsidRDefault="00200FDA">
      <w:pPr>
        <w:pStyle w:val="BodyText"/>
        <w:spacing w:before="6"/>
        <w:rPr>
          <w:sz w:val="19"/>
        </w:rPr>
      </w:pPr>
    </w:p>
    <w:p w:rsidR="00200FDA" w:rsidRDefault="00F76C4C">
      <w:pPr>
        <w:spacing w:before="1" w:line="276" w:lineRule="auto"/>
        <w:ind w:left="407" w:right="439"/>
        <w:jc w:val="both"/>
        <w:rPr>
          <w:sz w:val="21"/>
        </w:rPr>
      </w:pPr>
      <w:r>
        <w:rPr>
          <w:sz w:val="21"/>
        </w:rPr>
        <w:t>As</w:t>
      </w:r>
      <w:r>
        <w:rPr>
          <w:spacing w:val="-7"/>
          <w:sz w:val="21"/>
        </w:rPr>
        <w:t xml:space="preserve"> </w:t>
      </w:r>
      <w:r>
        <w:rPr>
          <w:sz w:val="21"/>
        </w:rPr>
        <w:t>the</w:t>
      </w:r>
      <w:r>
        <w:rPr>
          <w:spacing w:val="-5"/>
          <w:sz w:val="21"/>
        </w:rPr>
        <w:t xml:space="preserve"> </w:t>
      </w:r>
      <w:r>
        <w:rPr>
          <w:sz w:val="21"/>
        </w:rPr>
        <w:t>state</w:t>
      </w:r>
      <w:r>
        <w:rPr>
          <w:spacing w:val="-5"/>
          <w:sz w:val="21"/>
        </w:rPr>
        <w:t xml:space="preserve"> </w:t>
      </w:r>
      <w:r>
        <w:rPr>
          <w:sz w:val="21"/>
        </w:rPr>
        <w:t>with</w:t>
      </w:r>
      <w:r>
        <w:rPr>
          <w:spacing w:val="-6"/>
          <w:sz w:val="21"/>
        </w:rPr>
        <w:t xml:space="preserve"> </w:t>
      </w:r>
      <w:r>
        <w:rPr>
          <w:sz w:val="21"/>
        </w:rPr>
        <w:t>the</w:t>
      </w:r>
      <w:r>
        <w:rPr>
          <w:spacing w:val="-5"/>
          <w:sz w:val="21"/>
        </w:rPr>
        <w:t xml:space="preserve"> </w:t>
      </w:r>
      <w:r>
        <w:rPr>
          <w:sz w:val="21"/>
        </w:rPr>
        <w:t>only</w:t>
      </w:r>
      <w:r>
        <w:rPr>
          <w:spacing w:val="-5"/>
          <w:sz w:val="21"/>
        </w:rPr>
        <w:t xml:space="preserve"> </w:t>
      </w:r>
      <w:r>
        <w:rPr>
          <w:sz w:val="21"/>
        </w:rPr>
        <w:t>Commission</w:t>
      </w:r>
      <w:r>
        <w:rPr>
          <w:spacing w:val="-6"/>
          <w:sz w:val="21"/>
        </w:rPr>
        <w:t xml:space="preserve"> </w:t>
      </w:r>
      <w:r>
        <w:rPr>
          <w:sz w:val="21"/>
        </w:rPr>
        <w:t>on</w:t>
      </w:r>
      <w:r>
        <w:rPr>
          <w:spacing w:val="-6"/>
          <w:sz w:val="21"/>
        </w:rPr>
        <w:t xml:space="preserve"> </w:t>
      </w:r>
      <w:r>
        <w:rPr>
          <w:sz w:val="21"/>
        </w:rPr>
        <w:t>LGBTQ</w:t>
      </w:r>
      <w:r>
        <w:rPr>
          <w:spacing w:val="-6"/>
          <w:sz w:val="21"/>
        </w:rPr>
        <w:t xml:space="preserve"> </w:t>
      </w:r>
      <w:r>
        <w:rPr>
          <w:sz w:val="21"/>
        </w:rPr>
        <w:t>Youth</w:t>
      </w:r>
      <w:r>
        <w:rPr>
          <w:spacing w:val="-6"/>
          <w:sz w:val="21"/>
        </w:rPr>
        <w:t xml:space="preserve"> </w:t>
      </w:r>
      <w:r>
        <w:rPr>
          <w:sz w:val="21"/>
        </w:rPr>
        <w:t>in</w:t>
      </w:r>
      <w:r>
        <w:rPr>
          <w:spacing w:val="-6"/>
          <w:sz w:val="21"/>
        </w:rPr>
        <w:t xml:space="preserve"> </w:t>
      </w:r>
      <w:r>
        <w:rPr>
          <w:sz w:val="21"/>
        </w:rPr>
        <w:t>the</w:t>
      </w:r>
      <w:r>
        <w:rPr>
          <w:spacing w:val="-5"/>
          <w:sz w:val="21"/>
        </w:rPr>
        <w:t xml:space="preserve"> </w:t>
      </w:r>
      <w:r>
        <w:rPr>
          <w:sz w:val="21"/>
        </w:rPr>
        <w:t>country,</w:t>
      </w:r>
      <w:r>
        <w:rPr>
          <w:spacing w:val="-6"/>
          <w:sz w:val="21"/>
        </w:rPr>
        <w:t xml:space="preserve"> </w:t>
      </w:r>
      <w:r>
        <w:rPr>
          <w:sz w:val="21"/>
        </w:rPr>
        <w:t>we</w:t>
      </w:r>
      <w:r>
        <w:rPr>
          <w:spacing w:val="-5"/>
          <w:sz w:val="21"/>
        </w:rPr>
        <w:t xml:space="preserve"> </w:t>
      </w:r>
      <w:r>
        <w:rPr>
          <w:sz w:val="21"/>
        </w:rPr>
        <w:t>believe</w:t>
      </w:r>
      <w:r>
        <w:rPr>
          <w:spacing w:val="-5"/>
          <w:sz w:val="21"/>
        </w:rPr>
        <w:t xml:space="preserve"> </w:t>
      </w:r>
      <w:r>
        <w:rPr>
          <w:sz w:val="21"/>
        </w:rPr>
        <w:t>it</w:t>
      </w:r>
      <w:r>
        <w:rPr>
          <w:spacing w:val="-7"/>
          <w:sz w:val="21"/>
        </w:rPr>
        <w:t xml:space="preserve"> </w:t>
      </w:r>
      <w:r>
        <w:rPr>
          <w:sz w:val="21"/>
        </w:rPr>
        <w:t>is</w:t>
      </w:r>
      <w:r>
        <w:rPr>
          <w:spacing w:val="-4"/>
          <w:sz w:val="21"/>
        </w:rPr>
        <w:t xml:space="preserve"> </w:t>
      </w:r>
      <w:r>
        <w:rPr>
          <w:sz w:val="21"/>
        </w:rPr>
        <w:t>our</w:t>
      </w:r>
      <w:r>
        <w:rPr>
          <w:spacing w:val="-5"/>
          <w:sz w:val="21"/>
        </w:rPr>
        <w:t xml:space="preserve"> </w:t>
      </w:r>
      <w:r>
        <w:rPr>
          <w:sz w:val="21"/>
        </w:rPr>
        <w:t>responsibility to</w:t>
      </w:r>
      <w:r>
        <w:rPr>
          <w:spacing w:val="-8"/>
          <w:sz w:val="21"/>
        </w:rPr>
        <w:t xml:space="preserve"> </w:t>
      </w:r>
      <w:r>
        <w:rPr>
          <w:sz w:val="21"/>
        </w:rPr>
        <w:t>be</w:t>
      </w:r>
      <w:r>
        <w:rPr>
          <w:spacing w:val="-6"/>
          <w:sz w:val="21"/>
        </w:rPr>
        <w:t xml:space="preserve"> </w:t>
      </w:r>
      <w:r>
        <w:rPr>
          <w:sz w:val="21"/>
        </w:rPr>
        <w:t>the</w:t>
      </w:r>
      <w:r>
        <w:rPr>
          <w:spacing w:val="-6"/>
          <w:sz w:val="21"/>
        </w:rPr>
        <w:t xml:space="preserve"> </w:t>
      </w:r>
      <w:r>
        <w:rPr>
          <w:sz w:val="21"/>
        </w:rPr>
        <w:t>lighthouse</w:t>
      </w:r>
      <w:r>
        <w:rPr>
          <w:spacing w:val="-6"/>
          <w:sz w:val="21"/>
        </w:rPr>
        <w:t xml:space="preserve"> </w:t>
      </w:r>
      <w:r>
        <w:rPr>
          <w:sz w:val="21"/>
        </w:rPr>
        <w:t>for</w:t>
      </w:r>
      <w:r>
        <w:rPr>
          <w:spacing w:val="-6"/>
          <w:sz w:val="21"/>
        </w:rPr>
        <w:t xml:space="preserve"> </w:t>
      </w:r>
      <w:r>
        <w:rPr>
          <w:sz w:val="21"/>
        </w:rPr>
        <w:t>LGBTQ</w:t>
      </w:r>
      <w:r>
        <w:rPr>
          <w:spacing w:val="-7"/>
          <w:sz w:val="21"/>
        </w:rPr>
        <w:t xml:space="preserve"> </w:t>
      </w:r>
      <w:r>
        <w:rPr>
          <w:sz w:val="21"/>
        </w:rPr>
        <w:t>youth</w:t>
      </w:r>
      <w:r>
        <w:rPr>
          <w:spacing w:val="-7"/>
          <w:sz w:val="21"/>
        </w:rPr>
        <w:t xml:space="preserve"> </w:t>
      </w:r>
      <w:r>
        <w:rPr>
          <w:sz w:val="21"/>
        </w:rPr>
        <w:t>and</w:t>
      </w:r>
      <w:r>
        <w:rPr>
          <w:spacing w:val="-7"/>
          <w:sz w:val="21"/>
        </w:rPr>
        <w:t xml:space="preserve"> </w:t>
      </w:r>
      <w:r>
        <w:rPr>
          <w:sz w:val="21"/>
        </w:rPr>
        <w:t>to</w:t>
      </w:r>
      <w:r>
        <w:rPr>
          <w:spacing w:val="-8"/>
          <w:sz w:val="21"/>
        </w:rPr>
        <w:t xml:space="preserve"> </w:t>
      </w:r>
      <w:r>
        <w:rPr>
          <w:sz w:val="21"/>
        </w:rPr>
        <w:t>uplift</w:t>
      </w:r>
      <w:r>
        <w:rPr>
          <w:spacing w:val="-8"/>
          <w:sz w:val="21"/>
        </w:rPr>
        <w:t xml:space="preserve"> </w:t>
      </w:r>
      <w:r>
        <w:rPr>
          <w:sz w:val="21"/>
        </w:rPr>
        <w:t>underserved</w:t>
      </w:r>
      <w:r>
        <w:rPr>
          <w:spacing w:val="-7"/>
          <w:sz w:val="21"/>
        </w:rPr>
        <w:t xml:space="preserve"> </w:t>
      </w:r>
      <w:r>
        <w:rPr>
          <w:sz w:val="21"/>
        </w:rPr>
        <w:t>populations</w:t>
      </w:r>
      <w:r>
        <w:rPr>
          <w:spacing w:val="-8"/>
          <w:sz w:val="21"/>
        </w:rPr>
        <w:t xml:space="preserve"> </w:t>
      </w:r>
      <w:r>
        <w:rPr>
          <w:sz w:val="21"/>
        </w:rPr>
        <w:t>across</w:t>
      </w:r>
      <w:r>
        <w:rPr>
          <w:spacing w:val="-8"/>
          <w:sz w:val="21"/>
        </w:rPr>
        <w:t xml:space="preserve"> </w:t>
      </w:r>
      <w:r>
        <w:rPr>
          <w:sz w:val="21"/>
        </w:rPr>
        <w:t>the</w:t>
      </w:r>
      <w:r>
        <w:rPr>
          <w:spacing w:val="-6"/>
          <w:sz w:val="21"/>
        </w:rPr>
        <w:t xml:space="preserve"> </w:t>
      </w:r>
      <w:r>
        <w:rPr>
          <w:sz w:val="21"/>
        </w:rPr>
        <w:t>Commonwealth. At</w:t>
      </w:r>
      <w:r>
        <w:rPr>
          <w:spacing w:val="-3"/>
          <w:sz w:val="21"/>
        </w:rPr>
        <w:t xml:space="preserve"> </w:t>
      </w:r>
      <w:r>
        <w:rPr>
          <w:sz w:val="21"/>
        </w:rPr>
        <w:t>every</w:t>
      </w:r>
      <w:r>
        <w:rPr>
          <w:spacing w:val="-4"/>
          <w:sz w:val="21"/>
        </w:rPr>
        <w:t xml:space="preserve"> </w:t>
      </w:r>
      <w:r>
        <w:rPr>
          <w:sz w:val="21"/>
        </w:rPr>
        <w:t>level,</w:t>
      </w:r>
      <w:r>
        <w:rPr>
          <w:spacing w:val="-4"/>
          <w:sz w:val="21"/>
        </w:rPr>
        <w:t xml:space="preserve"> </w:t>
      </w:r>
      <w:r>
        <w:rPr>
          <w:sz w:val="21"/>
        </w:rPr>
        <w:t>and</w:t>
      </w:r>
      <w:r>
        <w:rPr>
          <w:spacing w:val="-5"/>
          <w:sz w:val="21"/>
        </w:rPr>
        <w:t xml:space="preserve"> </w:t>
      </w:r>
      <w:r>
        <w:rPr>
          <w:sz w:val="21"/>
        </w:rPr>
        <w:t>within</w:t>
      </w:r>
      <w:r>
        <w:rPr>
          <w:spacing w:val="-5"/>
          <w:sz w:val="21"/>
        </w:rPr>
        <w:t xml:space="preserve"> </w:t>
      </w:r>
      <w:r>
        <w:rPr>
          <w:sz w:val="21"/>
        </w:rPr>
        <w:t>every</w:t>
      </w:r>
      <w:r>
        <w:rPr>
          <w:spacing w:val="-4"/>
          <w:sz w:val="21"/>
        </w:rPr>
        <w:t xml:space="preserve"> </w:t>
      </w:r>
      <w:r>
        <w:rPr>
          <w:sz w:val="21"/>
        </w:rPr>
        <w:t>institution,</w:t>
      </w:r>
      <w:r>
        <w:rPr>
          <w:spacing w:val="-2"/>
          <w:sz w:val="21"/>
        </w:rPr>
        <w:t xml:space="preserve"> </w:t>
      </w:r>
      <w:r>
        <w:rPr>
          <w:sz w:val="21"/>
        </w:rPr>
        <w:t>the</w:t>
      </w:r>
      <w:r>
        <w:rPr>
          <w:spacing w:val="-4"/>
          <w:sz w:val="21"/>
        </w:rPr>
        <w:t xml:space="preserve"> </w:t>
      </w:r>
      <w:r>
        <w:rPr>
          <w:sz w:val="21"/>
        </w:rPr>
        <w:t>Commission</w:t>
      </w:r>
      <w:r>
        <w:rPr>
          <w:spacing w:val="-3"/>
          <w:sz w:val="21"/>
        </w:rPr>
        <w:t xml:space="preserve"> </w:t>
      </w:r>
      <w:r>
        <w:rPr>
          <w:sz w:val="21"/>
        </w:rPr>
        <w:t>calls</w:t>
      </w:r>
      <w:r>
        <w:rPr>
          <w:spacing w:val="-3"/>
          <w:sz w:val="21"/>
        </w:rPr>
        <w:t xml:space="preserve"> </w:t>
      </w:r>
      <w:r>
        <w:rPr>
          <w:sz w:val="21"/>
        </w:rPr>
        <w:t>for</w:t>
      </w:r>
      <w:r>
        <w:rPr>
          <w:spacing w:val="-1"/>
          <w:sz w:val="21"/>
        </w:rPr>
        <w:t xml:space="preserve"> </w:t>
      </w:r>
      <w:r>
        <w:rPr>
          <w:sz w:val="21"/>
        </w:rPr>
        <w:t>the</w:t>
      </w:r>
      <w:r>
        <w:rPr>
          <w:spacing w:val="-4"/>
          <w:sz w:val="21"/>
        </w:rPr>
        <w:t xml:space="preserve"> </w:t>
      </w:r>
      <w:r>
        <w:rPr>
          <w:sz w:val="21"/>
        </w:rPr>
        <w:t>Commonwealth</w:t>
      </w:r>
      <w:r>
        <w:rPr>
          <w:spacing w:val="-2"/>
          <w:sz w:val="21"/>
        </w:rPr>
        <w:t xml:space="preserve"> </w:t>
      </w:r>
      <w:r>
        <w:rPr>
          <w:sz w:val="21"/>
        </w:rPr>
        <w:t>to</w:t>
      </w:r>
      <w:r>
        <w:rPr>
          <w:spacing w:val="-3"/>
          <w:sz w:val="21"/>
        </w:rPr>
        <w:t xml:space="preserve"> </w:t>
      </w:r>
      <w:r>
        <w:rPr>
          <w:sz w:val="21"/>
        </w:rPr>
        <w:t>say,</w:t>
      </w:r>
      <w:r>
        <w:rPr>
          <w:spacing w:val="-4"/>
          <w:sz w:val="21"/>
        </w:rPr>
        <w:t xml:space="preserve"> </w:t>
      </w:r>
      <w:r>
        <w:rPr>
          <w:sz w:val="21"/>
        </w:rPr>
        <w:t>“Not</w:t>
      </w:r>
      <w:r>
        <w:rPr>
          <w:spacing w:val="-3"/>
          <w:sz w:val="21"/>
        </w:rPr>
        <w:t xml:space="preserve"> </w:t>
      </w:r>
      <w:r>
        <w:rPr>
          <w:sz w:val="21"/>
        </w:rPr>
        <w:t xml:space="preserve">in </w:t>
      </w:r>
      <w:r>
        <w:rPr>
          <w:spacing w:val="-2"/>
          <w:sz w:val="21"/>
        </w:rPr>
        <w:t>Massachusetts!”</w:t>
      </w:r>
    </w:p>
    <w:p w:rsidR="00200FDA" w:rsidRDefault="00200FDA">
      <w:pPr>
        <w:spacing w:line="276" w:lineRule="auto"/>
        <w:jc w:val="both"/>
        <w:rPr>
          <w:sz w:val="21"/>
        </w:rPr>
        <w:sectPr w:rsidR="00200FDA">
          <w:headerReference w:type="default" r:id="rId13"/>
          <w:pgSz w:w="12240" w:h="15840"/>
          <w:pgMar w:top="1380" w:right="1280" w:bottom="280" w:left="1320" w:header="761" w:footer="0" w:gutter="0"/>
          <w:cols w:space="720"/>
        </w:sectPr>
      </w:pPr>
    </w:p>
    <w:p w:rsidR="00200FDA" w:rsidRDefault="00F76C4C">
      <w:pPr>
        <w:spacing w:before="48" w:line="276" w:lineRule="auto"/>
        <w:ind w:left="407" w:right="442"/>
        <w:jc w:val="both"/>
        <w:rPr>
          <w:sz w:val="21"/>
        </w:rPr>
      </w:pPr>
      <w:r>
        <w:rPr>
          <w:sz w:val="21"/>
        </w:rPr>
        <w:lastRenderedPageBreak/>
        <w:t xml:space="preserve">But, in order to do so, the Commonwealth must continuously address its own negligence towards ensuring comprehensive care for LGBTQ youth. Massachusetts General Law Chapter 76 section 5 explicitly states “No person shall be </w:t>
      </w:r>
      <w:r>
        <w:rPr>
          <w:sz w:val="21"/>
          <w:u w:val="single"/>
        </w:rPr>
        <w:t>excluded from or discriminated a</w:t>
      </w:r>
      <w:r>
        <w:rPr>
          <w:sz w:val="21"/>
          <w:u w:val="single"/>
        </w:rPr>
        <w:t>gainst</w:t>
      </w:r>
      <w:r>
        <w:rPr>
          <w:sz w:val="21"/>
        </w:rPr>
        <w:t xml:space="preserve"> in admission to a public school</w:t>
      </w:r>
      <w:r>
        <w:rPr>
          <w:spacing w:val="-7"/>
          <w:sz w:val="21"/>
        </w:rPr>
        <w:t xml:space="preserve"> </w:t>
      </w:r>
      <w:r>
        <w:rPr>
          <w:sz w:val="21"/>
        </w:rPr>
        <w:t>of</w:t>
      </w:r>
      <w:r>
        <w:rPr>
          <w:spacing w:val="-6"/>
          <w:sz w:val="21"/>
        </w:rPr>
        <w:t xml:space="preserve"> </w:t>
      </w:r>
      <w:r>
        <w:rPr>
          <w:sz w:val="21"/>
        </w:rPr>
        <w:t>any</w:t>
      </w:r>
      <w:r>
        <w:rPr>
          <w:spacing w:val="-6"/>
          <w:sz w:val="21"/>
        </w:rPr>
        <w:t xml:space="preserve"> </w:t>
      </w:r>
      <w:r>
        <w:rPr>
          <w:sz w:val="21"/>
        </w:rPr>
        <w:t>town,</w:t>
      </w:r>
      <w:r>
        <w:rPr>
          <w:spacing w:val="-7"/>
          <w:sz w:val="21"/>
        </w:rPr>
        <w:t xml:space="preserve"> </w:t>
      </w:r>
      <w:r>
        <w:rPr>
          <w:sz w:val="21"/>
          <w:u w:val="single"/>
        </w:rPr>
        <w:t>or</w:t>
      </w:r>
      <w:r>
        <w:rPr>
          <w:spacing w:val="-6"/>
          <w:sz w:val="21"/>
          <w:u w:val="single"/>
        </w:rPr>
        <w:t xml:space="preserve"> </w:t>
      </w:r>
      <w:r>
        <w:rPr>
          <w:sz w:val="21"/>
          <w:u w:val="single"/>
        </w:rPr>
        <w:t>in</w:t>
      </w:r>
      <w:r>
        <w:rPr>
          <w:spacing w:val="-7"/>
          <w:sz w:val="21"/>
          <w:u w:val="single"/>
        </w:rPr>
        <w:t xml:space="preserve"> </w:t>
      </w:r>
      <w:r>
        <w:rPr>
          <w:sz w:val="21"/>
          <w:u w:val="single"/>
        </w:rPr>
        <w:t>obtaining</w:t>
      </w:r>
      <w:r>
        <w:rPr>
          <w:spacing w:val="-8"/>
          <w:sz w:val="21"/>
          <w:u w:val="single"/>
        </w:rPr>
        <w:t xml:space="preserve"> </w:t>
      </w:r>
      <w:r>
        <w:rPr>
          <w:sz w:val="21"/>
          <w:u w:val="single"/>
        </w:rPr>
        <w:t>the</w:t>
      </w:r>
      <w:r>
        <w:rPr>
          <w:spacing w:val="-6"/>
          <w:sz w:val="21"/>
          <w:u w:val="single"/>
        </w:rPr>
        <w:t xml:space="preserve"> </w:t>
      </w:r>
      <w:r>
        <w:rPr>
          <w:sz w:val="21"/>
          <w:u w:val="single"/>
        </w:rPr>
        <w:t>advantages,</w:t>
      </w:r>
      <w:r>
        <w:rPr>
          <w:spacing w:val="-7"/>
          <w:sz w:val="21"/>
          <w:u w:val="single"/>
        </w:rPr>
        <w:t xml:space="preserve"> </w:t>
      </w:r>
      <w:r>
        <w:rPr>
          <w:sz w:val="21"/>
          <w:u w:val="single"/>
        </w:rPr>
        <w:t>privileges</w:t>
      </w:r>
      <w:r>
        <w:rPr>
          <w:spacing w:val="-8"/>
          <w:sz w:val="21"/>
          <w:u w:val="single"/>
        </w:rPr>
        <w:t xml:space="preserve"> </w:t>
      </w:r>
      <w:r>
        <w:rPr>
          <w:sz w:val="21"/>
          <w:u w:val="single"/>
        </w:rPr>
        <w:t>and</w:t>
      </w:r>
      <w:r>
        <w:rPr>
          <w:spacing w:val="-7"/>
          <w:sz w:val="21"/>
          <w:u w:val="single"/>
        </w:rPr>
        <w:t xml:space="preserve"> </w:t>
      </w:r>
      <w:r>
        <w:rPr>
          <w:sz w:val="21"/>
          <w:u w:val="single"/>
        </w:rPr>
        <w:t>courses</w:t>
      </w:r>
      <w:r>
        <w:rPr>
          <w:spacing w:val="-8"/>
          <w:sz w:val="21"/>
          <w:u w:val="single"/>
        </w:rPr>
        <w:t xml:space="preserve"> </w:t>
      </w:r>
      <w:r>
        <w:rPr>
          <w:sz w:val="21"/>
          <w:u w:val="single"/>
        </w:rPr>
        <w:t>of</w:t>
      </w:r>
      <w:r>
        <w:rPr>
          <w:spacing w:val="-6"/>
          <w:sz w:val="21"/>
          <w:u w:val="single"/>
        </w:rPr>
        <w:t xml:space="preserve"> </w:t>
      </w:r>
      <w:r>
        <w:rPr>
          <w:sz w:val="21"/>
          <w:u w:val="single"/>
        </w:rPr>
        <w:t>study</w:t>
      </w:r>
      <w:r>
        <w:rPr>
          <w:spacing w:val="-6"/>
          <w:sz w:val="21"/>
          <w:u w:val="single"/>
        </w:rPr>
        <w:t xml:space="preserve"> </w:t>
      </w:r>
      <w:r>
        <w:rPr>
          <w:sz w:val="21"/>
          <w:u w:val="single"/>
        </w:rPr>
        <w:t>of</w:t>
      </w:r>
      <w:r>
        <w:rPr>
          <w:spacing w:val="-9"/>
          <w:sz w:val="21"/>
          <w:u w:val="single"/>
        </w:rPr>
        <w:t xml:space="preserve"> </w:t>
      </w:r>
      <w:r>
        <w:rPr>
          <w:sz w:val="21"/>
          <w:u w:val="single"/>
        </w:rPr>
        <w:t>such</w:t>
      </w:r>
      <w:r>
        <w:rPr>
          <w:spacing w:val="-7"/>
          <w:sz w:val="21"/>
          <w:u w:val="single"/>
        </w:rPr>
        <w:t xml:space="preserve"> </w:t>
      </w:r>
      <w:r>
        <w:rPr>
          <w:sz w:val="21"/>
          <w:u w:val="single"/>
        </w:rPr>
        <w:t>public</w:t>
      </w:r>
      <w:r>
        <w:rPr>
          <w:spacing w:val="-7"/>
          <w:sz w:val="21"/>
          <w:u w:val="single"/>
        </w:rPr>
        <w:t xml:space="preserve"> </w:t>
      </w:r>
      <w:r>
        <w:rPr>
          <w:sz w:val="21"/>
          <w:u w:val="single"/>
        </w:rPr>
        <w:t>school</w:t>
      </w:r>
      <w:r>
        <w:rPr>
          <w:sz w:val="21"/>
        </w:rPr>
        <w:t xml:space="preserve"> </w:t>
      </w:r>
      <w:r>
        <w:rPr>
          <w:sz w:val="21"/>
          <w:u w:val="single"/>
        </w:rPr>
        <w:t>on</w:t>
      </w:r>
      <w:r>
        <w:rPr>
          <w:spacing w:val="-3"/>
          <w:sz w:val="21"/>
          <w:u w:val="single"/>
        </w:rPr>
        <w:t xml:space="preserve"> </w:t>
      </w:r>
      <w:r>
        <w:rPr>
          <w:sz w:val="21"/>
          <w:u w:val="single"/>
        </w:rPr>
        <w:t>account</w:t>
      </w:r>
      <w:r>
        <w:rPr>
          <w:spacing w:val="-3"/>
          <w:sz w:val="21"/>
          <w:u w:val="single"/>
        </w:rPr>
        <w:t xml:space="preserve"> </w:t>
      </w:r>
      <w:r>
        <w:rPr>
          <w:sz w:val="21"/>
          <w:u w:val="single"/>
        </w:rPr>
        <w:t>of</w:t>
      </w:r>
      <w:r>
        <w:rPr>
          <w:spacing w:val="-2"/>
          <w:sz w:val="21"/>
          <w:u w:val="single"/>
        </w:rPr>
        <w:t xml:space="preserve"> </w:t>
      </w:r>
      <w:r>
        <w:rPr>
          <w:sz w:val="21"/>
          <w:u w:val="single"/>
        </w:rPr>
        <w:t>race,</w:t>
      </w:r>
      <w:r>
        <w:rPr>
          <w:spacing w:val="-2"/>
          <w:sz w:val="21"/>
          <w:u w:val="single"/>
        </w:rPr>
        <w:t xml:space="preserve"> </w:t>
      </w:r>
      <w:r>
        <w:rPr>
          <w:sz w:val="21"/>
          <w:u w:val="single"/>
        </w:rPr>
        <w:t>color,</w:t>
      </w:r>
      <w:r>
        <w:rPr>
          <w:spacing w:val="-2"/>
          <w:sz w:val="21"/>
          <w:u w:val="single"/>
        </w:rPr>
        <w:t xml:space="preserve"> </w:t>
      </w:r>
      <w:r>
        <w:rPr>
          <w:sz w:val="21"/>
          <w:u w:val="single"/>
        </w:rPr>
        <w:t>sex,</w:t>
      </w:r>
      <w:r>
        <w:rPr>
          <w:spacing w:val="-2"/>
          <w:sz w:val="21"/>
          <w:u w:val="single"/>
        </w:rPr>
        <w:t xml:space="preserve"> </w:t>
      </w:r>
      <w:r>
        <w:rPr>
          <w:sz w:val="21"/>
          <w:u w:val="single"/>
        </w:rPr>
        <w:t>gender</w:t>
      </w:r>
      <w:r>
        <w:rPr>
          <w:spacing w:val="-1"/>
          <w:sz w:val="21"/>
          <w:u w:val="single"/>
        </w:rPr>
        <w:t xml:space="preserve"> </w:t>
      </w:r>
      <w:r>
        <w:rPr>
          <w:sz w:val="21"/>
          <w:u w:val="single"/>
        </w:rPr>
        <w:t>identity,</w:t>
      </w:r>
      <w:r>
        <w:rPr>
          <w:spacing w:val="-4"/>
          <w:sz w:val="21"/>
          <w:u w:val="single"/>
        </w:rPr>
        <w:t xml:space="preserve"> </w:t>
      </w:r>
      <w:r>
        <w:rPr>
          <w:sz w:val="21"/>
          <w:u w:val="single"/>
        </w:rPr>
        <w:t>religion,</w:t>
      </w:r>
      <w:r>
        <w:rPr>
          <w:spacing w:val="-2"/>
          <w:sz w:val="21"/>
          <w:u w:val="single"/>
        </w:rPr>
        <w:t xml:space="preserve"> </w:t>
      </w:r>
      <w:r>
        <w:rPr>
          <w:sz w:val="21"/>
          <w:u w:val="single"/>
        </w:rPr>
        <w:t>national</w:t>
      </w:r>
      <w:r>
        <w:rPr>
          <w:spacing w:val="-3"/>
          <w:sz w:val="21"/>
          <w:u w:val="single"/>
        </w:rPr>
        <w:t xml:space="preserve"> </w:t>
      </w:r>
      <w:r>
        <w:rPr>
          <w:sz w:val="21"/>
          <w:u w:val="single"/>
        </w:rPr>
        <w:t>origin</w:t>
      </w:r>
      <w:r>
        <w:rPr>
          <w:spacing w:val="-3"/>
          <w:sz w:val="21"/>
          <w:u w:val="single"/>
        </w:rPr>
        <w:t xml:space="preserve"> </w:t>
      </w:r>
      <w:r>
        <w:rPr>
          <w:sz w:val="21"/>
          <w:u w:val="single"/>
        </w:rPr>
        <w:t>or</w:t>
      </w:r>
      <w:r>
        <w:rPr>
          <w:spacing w:val="-1"/>
          <w:sz w:val="21"/>
          <w:u w:val="single"/>
        </w:rPr>
        <w:t xml:space="preserve"> </w:t>
      </w:r>
      <w:r>
        <w:rPr>
          <w:sz w:val="21"/>
          <w:u w:val="single"/>
        </w:rPr>
        <w:t>sexual</w:t>
      </w:r>
      <w:r>
        <w:rPr>
          <w:spacing w:val="-3"/>
          <w:sz w:val="21"/>
          <w:u w:val="single"/>
        </w:rPr>
        <w:t xml:space="preserve"> </w:t>
      </w:r>
      <w:r>
        <w:rPr>
          <w:sz w:val="21"/>
          <w:u w:val="single"/>
        </w:rPr>
        <w:t>orientation.”</w:t>
      </w:r>
      <w:r>
        <w:rPr>
          <w:sz w:val="21"/>
        </w:rPr>
        <w:t xml:space="preserve"> Yet,</w:t>
      </w:r>
      <w:r>
        <w:rPr>
          <w:spacing w:val="-2"/>
          <w:sz w:val="21"/>
        </w:rPr>
        <w:t xml:space="preserve"> </w:t>
      </w:r>
      <w:r>
        <w:rPr>
          <w:sz w:val="21"/>
        </w:rPr>
        <w:t>even within this state, we must acknowledge that there is an rise of anti-LGBTQ activity of people targeting the civil rights of children, youth, and families, including proposed book bans, protests at drag story hours, and bomb threats against Boston Chil</w:t>
      </w:r>
      <w:r>
        <w:rPr>
          <w:sz w:val="21"/>
        </w:rPr>
        <w:t>dren's Hospital for providing gender-affirming care. By ignoring these attacks, we unintentionally send a poignant message to our youth that – while those in power know of their suffering – there is little care and attention to the necessary work to protec</w:t>
      </w:r>
      <w:r>
        <w:rPr>
          <w:sz w:val="21"/>
        </w:rPr>
        <w:t>t the health, safety, and well-being of youth in this state.</w:t>
      </w:r>
    </w:p>
    <w:p w:rsidR="00200FDA" w:rsidRDefault="00200FDA">
      <w:pPr>
        <w:pStyle w:val="BodyText"/>
        <w:spacing w:before="8"/>
        <w:rPr>
          <w:sz w:val="19"/>
        </w:rPr>
      </w:pPr>
    </w:p>
    <w:p w:rsidR="00200FDA" w:rsidRDefault="00F76C4C">
      <w:pPr>
        <w:spacing w:line="276" w:lineRule="auto"/>
        <w:ind w:left="407" w:right="442"/>
        <w:jc w:val="both"/>
        <w:rPr>
          <w:sz w:val="21"/>
        </w:rPr>
      </w:pPr>
      <w:r>
        <w:rPr>
          <w:sz w:val="21"/>
        </w:rPr>
        <w:t>For 31 years, the Commission has had the honor of working with many advocates, legislators, parents, teachers, and administrators who care deeply for youth, and commends their important work thu</w:t>
      </w:r>
      <w:r>
        <w:rPr>
          <w:sz w:val="21"/>
        </w:rPr>
        <w:t>s far to protecting LGBTQ youth. With their help, the Commonwealth has become a leader in model legislation</w:t>
      </w:r>
      <w:r>
        <w:rPr>
          <w:spacing w:val="-9"/>
          <w:sz w:val="21"/>
        </w:rPr>
        <w:t xml:space="preserve"> </w:t>
      </w:r>
      <w:r>
        <w:rPr>
          <w:sz w:val="21"/>
        </w:rPr>
        <w:t>in</w:t>
      </w:r>
      <w:r>
        <w:rPr>
          <w:spacing w:val="-9"/>
          <w:sz w:val="21"/>
        </w:rPr>
        <w:t xml:space="preserve"> </w:t>
      </w:r>
      <w:r>
        <w:rPr>
          <w:sz w:val="21"/>
        </w:rPr>
        <w:t>regards</w:t>
      </w:r>
      <w:r>
        <w:rPr>
          <w:spacing w:val="-9"/>
          <w:sz w:val="21"/>
        </w:rPr>
        <w:t xml:space="preserve"> </w:t>
      </w:r>
      <w:r>
        <w:rPr>
          <w:sz w:val="21"/>
        </w:rPr>
        <w:t>to</w:t>
      </w:r>
      <w:r>
        <w:rPr>
          <w:spacing w:val="-9"/>
          <w:sz w:val="21"/>
        </w:rPr>
        <w:t xml:space="preserve"> </w:t>
      </w:r>
      <w:r>
        <w:rPr>
          <w:sz w:val="21"/>
        </w:rPr>
        <w:t>our</w:t>
      </w:r>
      <w:r>
        <w:rPr>
          <w:spacing w:val="-7"/>
          <w:sz w:val="21"/>
        </w:rPr>
        <w:t xml:space="preserve"> </w:t>
      </w:r>
      <w:r>
        <w:rPr>
          <w:sz w:val="21"/>
        </w:rPr>
        <w:t>laws</w:t>
      </w:r>
      <w:r>
        <w:rPr>
          <w:spacing w:val="-9"/>
          <w:sz w:val="21"/>
        </w:rPr>
        <w:t xml:space="preserve"> </w:t>
      </w:r>
      <w:r>
        <w:rPr>
          <w:sz w:val="21"/>
        </w:rPr>
        <w:t>and</w:t>
      </w:r>
      <w:r>
        <w:rPr>
          <w:spacing w:val="-9"/>
          <w:sz w:val="21"/>
        </w:rPr>
        <w:t xml:space="preserve"> </w:t>
      </w:r>
      <w:r>
        <w:rPr>
          <w:sz w:val="21"/>
        </w:rPr>
        <w:t>policies</w:t>
      </w:r>
      <w:r>
        <w:rPr>
          <w:spacing w:val="-9"/>
          <w:sz w:val="21"/>
        </w:rPr>
        <w:t xml:space="preserve"> </w:t>
      </w:r>
      <w:r>
        <w:rPr>
          <w:sz w:val="21"/>
        </w:rPr>
        <w:t>which</w:t>
      </w:r>
      <w:r>
        <w:rPr>
          <w:spacing w:val="-9"/>
          <w:sz w:val="21"/>
        </w:rPr>
        <w:t xml:space="preserve"> </w:t>
      </w:r>
      <w:r>
        <w:rPr>
          <w:sz w:val="21"/>
        </w:rPr>
        <w:t>have</w:t>
      </w:r>
      <w:r>
        <w:rPr>
          <w:spacing w:val="-10"/>
          <w:sz w:val="21"/>
        </w:rPr>
        <w:t xml:space="preserve"> </w:t>
      </w:r>
      <w:r>
        <w:rPr>
          <w:sz w:val="21"/>
        </w:rPr>
        <w:t>proven</w:t>
      </w:r>
      <w:r>
        <w:rPr>
          <w:spacing w:val="-9"/>
          <w:sz w:val="21"/>
        </w:rPr>
        <w:t xml:space="preserve"> </w:t>
      </w:r>
      <w:r>
        <w:rPr>
          <w:sz w:val="21"/>
        </w:rPr>
        <w:t>to</w:t>
      </w:r>
      <w:r>
        <w:rPr>
          <w:spacing w:val="-9"/>
          <w:sz w:val="21"/>
        </w:rPr>
        <w:t xml:space="preserve"> </w:t>
      </w:r>
      <w:r>
        <w:rPr>
          <w:sz w:val="21"/>
        </w:rPr>
        <w:t>improve</w:t>
      </w:r>
      <w:r>
        <w:rPr>
          <w:spacing w:val="-8"/>
          <w:sz w:val="21"/>
        </w:rPr>
        <w:t xml:space="preserve"> </w:t>
      </w:r>
      <w:r>
        <w:rPr>
          <w:sz w:val="21"/>
        </w:rPr>
        <w:t>outcomes</w:t>
      </w:r>
      <w:r>
        <w:rPr>
          <w:spacing w:val="-9"/>
          <w:sz w:val="21"/>
        </w:rPr>
        <w:t xml:space="preserve"> </w:t>
      </w:r>
      <w:r>
        <w:rPr>
          <w:sz w:val="21"/>
        </w:rPr>
        <w:t>for</w:t>
      </w:r>
      <w:r>
        <w:rPr>
          <w:spacing w:val="-7"/>
          <w:sz w:val="21"/>
        </w:rPr>
        <w:t xml:space="preserve"> </w:t>
      </w:r>
      <w:r>
        <w:rPr>
          <w:sz w:val="21"/>
        </w:rPr>
        <w:t>LGBTQ</w:t>
      </w:r>
      <w:r>
        <w:rPr>
          <w:spacing w:val="-9"/>
          <w:sz w:val="21"/>
        </w:rPr>
        <w:t xml:space="preserve"> </w:t>
      </w:r>
      <w:r>
        <w:rPr>
          <w:sz w:val="21"/>
        </w:rPr>
        <w:t>youth, including our expansive anti-discrimination protections for sexual orientation and gender identity; comprehensive anti-bullying laws; and nonbinary gender markers in schools, agencies, and state identification.</w:t>
      </w:r>
      <w:r>
        <w:rPr>
          <w:spacing w:val="-11"/>
          <w:sz w:val="21"/>
        </w:rPr>
        <w:t xml:space="preserve"> </w:t>
      </w:r>
      <w:r>
        <w:rPr>
          <w:sz w:val="21"/>
        </w:rPr>
        <w:t>The</w:t>
      </w:r>
      <w:r>
        <w:rPr>
          <w:spacing w:val="-12"/>
          <w:sz w:val="21"/>
        </w:rPr>
        <w:t xml:space="preserve"> </w:t>
      </w:r>
      <w:r>
        <w:rPr>
          <w:sz w:val="21"/>
        </w:rPr>
        <w:t>Commission</w:t>
      </w:r>
      <w:r>
        <w:rPr>
          <w:spacing w:val="-10"/>
          <w:sz w:val="21"/>
        </w:rPr>
        <w:t xml:space="preserve"> </w:t>
      </w:r>
      <w:r>
        <w:rPr>
          <w:sz w:val="21"/>
        </w:rPr>
        <w:t>implores</w:t>
      </w:r>
      <w:r>
        <w:rPr>
          <w:spacing w:val="-11"/>
          <w:sz w:val="21"/>
        </w:rPr>
        <w:t xml:space="preserve"> </w:t>
      </w:r>
      <w:r>
        <w:rPr>
          <w:sz w:val="21"/>
        </w:rPr>
        <w:t>the</w:t>
      </w:r>
      <w:r>
        <w:rPr>
          <w:spacing w:val="-12"/>
          <w:sz w:val="21"/>
        </w:rPr>
        <w:t xml:space="preserve"> </w:t>
      </w:r>
      <w:r>
        <w:rPr>
          <w:sz w:val="21"/>
        </w:rPr>
        <w:t>Commonweal</w:t>
      </w:r>
      <w:r>
        <w:rPr>
          <w:sz w:val="21"/>
        </w:rPr>
        <w:t>th</w:t>
      </w:r>
      <w:r>
        <w:rPr>
          <w:spacing w:val="-9"/>
          <w:sz w:val="21"/>
        </w:rPr>
        <w:t xml:space="preserve"> </w:t>
      </w:r>
      <w:r>
        <w:rPr>
          <w:sz w:val="21"/>
        </w:rPr>
        <w:t>to</w:t>
      </w:r>
      <w:r>
        <w:rPr>
          <w:spacing w:val="-11"/>
          <w:sz w:val="21"/>
        </w:rPr>
        <w:t xml:space="preserve"> </w:t>
      </w:r>
      <w:r>
        <w:rPr>
          <w:sz w:val="21"/>
        </w:rPr>
        <w:t>continue</w:t>
      </w:r>
      <w:r>
        <w:rPr>
          <w:spacing w:val="-10"/>
          <w:sz w:val="21"/>
        </w:rPr>
        <w:t xml:space="preserve"> </w:t>
      </w:r>
      <w:r>
        <w:rPr>
          <w:sz w:val="21"/>
        </w:rPr>
        <w:t>this</w:t>
      </w:r>
      <w:r>
        <w:rPr>
          <w:spacing w:val="-11"/>
          <w:sz w:val="21"/>
        </w:rPr>
        <w:t xml:space="preserve"> </w:t>
      </w:r>
      <w:r>
        <w:rPr>
          <w:sz w:val="21"/>
        </w:rPr>
        <w:t>critical</w:t>
      </w:r>
      <w:r>
        <w:rPr>
          <w:spacing w:val="-12"/>
          <w:sz w:val="21"/>
        </w:rPr>
        <w:t xml:space="preserve"> </w:t>
      </w:r>
      <w:r>
        <w:rPr>
          <w:sz w:val="21"/>
        </w:rPr>
        <w:t>work,</w:t>
      </w:r>
      <w:r>
        <w:rPr>
          <w:spacing w:val="-12"/>
          <w:sz w:val="21"/>
        </w:rPr>
        <w:t xml:space="preserve"> </w:t>
      </w:r>
      <w:r>
        <w:rPr>
          <w:sz w:val="21"/>
        </w:rPr>
        <w:t>and</w:t>
      </w:r>
      <w:r>
        <w:rPr>
          <w:spacing w:val="-10"/>
          <w:sz w:val="21"/>
        </w:rPr>
        <w:t xml:space="preserve"> </w:t>
      </w:r>
      <w:r>
        <w:rPr>
          <w:sz w:val="21"/>
        </w:rPr>
        <w:t>continue to support its work in creating brave and nurturing spaces and communities where all youth thrive.</w:t>
      </w:r>
    </w:p>
    <w:p w:rsidR="00200FDA" w:rsidRDefault="00200FDA">
      <w:pPr>
        <w:pStyle w:val="BodyText"/>
        <w:spacing w:before="9"/>
        <w:rPr>
          <w:sz w:val="19"/>
        </w:rPr>
      </w:pPr>
    </w:p>
    <w:p w:rsidR="00200FDA" w:rsidRDefault="00F76C4C">
      <w:pPr>
        <w:spacing w:line="276" w:lineRule="auto"/>
        <w:ind w:left="407" w:right="442"/>
        <w:jc w:val="both"/>
        <w:rPr>
          <w:sz w:val="21"/>
        </w:rPr>
      </w:pPr>
      <w:r>
        <w:rPr>
          <w:sz w:val="21"/>
        </w:rPr>
        <w:t>When we think of a safe space for all youth and how to make it better, we often silo problems in an effort</w:t>
      </w:r>
      <w:r>
        <w:rPr>
          <w:spacing w:val="-5"/>
          <w:sz w:val="21"/>
        </w:rPr>
        <w:t xml:space="preserve"> </w:t>
      </w:r>
      <w:r>
        <w:rPr>
          <w:sz w:val="21"/>
        </w:rPr>
        <w:t>t</w:t>
      </w:r>
      <w:r>
        <w:rPr>
          <w:sz w:val="21"/>
        </w:rPr>
        <w:t>o</w:t>
      </w:r>
      <w:r>
        <w:rPr>
          <w:spacing w:val="-2"/>
          <w:sz w:val="21"/>
        </w:rPr>
        <w:t xml:space="preserve"> </w:t>
      </w:r>
      <w:r>
        <w:rPr>
          <w:sz w:val="21"/>
        </w:rPr>
        <w:t>eradicate</w:t>
      </w:r>
      <w:r>
        <w:rPr>
          <w:spacing w:val="-1"/>
          <w:sz w:val="21"/>
        </w:rPr>
        <w:t xml:space="preserve"> </w:t>
      </w:r>
      <w:r>
        <w:rPr>
          <w:sz w:val="21"/>
        </w:rPr>
        <w:t>a</w:t>
      </w:r>
      <w:r>
        <w:rPr>
          <w:spacing w:val="-4"/>
          <w:sz w:val="21"/>
        </w:rPr>
        <w:t xml:space="preserve"> </w:t>
      </w:r>
      <w:r>
        <w:rPr>
          <w:sz w:val="21"/>
        </w:rPr>
        <w:t>single</w:t>
      </w:r>
      <w:r>
        <w:rPr>
          <w:spacing w:val="-1"/>
          <w:sz w:val="21"/>
        </w:rPr>
        <w:t xml:space="preserve"> </w:t>
      </w:r>
      <w:r>
        <w:rPr>
          <w:sz w:val="21"/>
        </w:rPr>
        <w:t>issue.</w:t>
      </w:r>
      <w:r>
        <w:rPr>
          <w:spacing w:val="-2"/>
          <w:sz w:val="21"/>
        </w:rPr>
        <w:t xml:space="preserve"> </w:t>
      </w:r>
      <w:r>
        <w:rPr>
          <w:sz w:val="21"/>
        </w:rPr>
        <w:t>When</w:t>
      </w:r>
      <w:r>
        <w:rPr>
          <w:spacing w:val="-4"/>
          <w:sz w:val="21"/>
        </w:rPr>
        <w:t xml:space="preserve"> </w:t>
      </w:r>
      <w:r>
        <w:rPr>
          <w:sz w:val="21"/>
        </w:rPr>
        <w:t>we</w:t>
      </w:r>
      <w:r>
        <w:rPr>
          <w:spacing w:val="-1"/>
          <w:sz w:val="21"/>
        </w:rPr>
        <w:t xml:space="preserve"> </w:t>
      </w:r>
      <w:r>
        <w:rPr>
          <w:sz w:val="21"/>
        </w:rPr>
        <w:t>house</w:t>
      </w:r>
      <w:r>
        <w:rPr>
          <w:spacing w:val="-3"/>
          <w:sz w:val="21"/>
        </w:rPr>
        <w:t xml:space="preserve"> </w:t>
      </w:r>
      <w:r>
        <w:rPr>
          <w:sz w:val="21"/>
        </w:rPr>
        <w:t>a</w:t>
      </w:r>
      <w:r>
        <w:rPr>
          <w:spacing w:val="-4"/>
          <w:sz w:val="21"/>
        </w:rPr>
        <w:t xml:space="preserve"> </w:t>
      </w:r>
      <w:r>
        <w:rPr>
          <w:sz w:val="21"/>
        </w:rPr>
        <w:t>youth,</w:t>
      </w:r>
      <w:r>
        <w:rPr>
          <w:spacing w:val="-1"/>
          <w:sz w:val="21"/>
        </w:rPr>
        <w:t xml:space="preserve"> </w:t>
      </w:r>
      <w:r>
        <w:rPr>
          <w:sz w:val="21"/>
        </w:rPr>
        <w:t>that</w:t>
      </w:r>
      <w:r>
        <w:rPr>
          <w:spacing w:val="-2"/>
          <w:sz w:val="21"/>
        </w:rPr>
        <w:t xml:space="preserve"> </w:t>
      </w:r>
      <w:r>
        <w:rPr>
          <w:sz w:val="21"/>
        </w:rPr>
        <w:t>same</w:t>
      </w:r>
      <w:r>
        <w:rPr>
          <w:spacing w:val="-3"/>
          <w:sz w:val="21"/>
        </w:rPr>
        <w:t xml:space="preserve"> </w:t>
      </w:r>
      <w:r>
        <w:rPr>
          <w:sz w:val="21"/>
        </w:rPr>
        <w:t>youth</w:t>
      </w:r>
      <w:r>
        <w:rPr>
          <w:spacing w:val="-2"/>
          <w:sz w:val="21"/>
        </w:rPr>
        <w:t xml:space="preserve"> </w:t>
      </w:r>
      <w:r>
        <w:rPr>
          <w:sz w:val="21"/>
        </w:rPr>
        <w:t>could</w:t>
      </w:r>
      <w:r>
        <w:rPr>
          <w:spacing w:val="-2"/>
          <w:sz w:val="21"/>
        </w:rPr>
        <w:t xml:space="preserve"> </w:t>
      </w:r>
      <w:r>
        <w:rPr>
          <w:sz w:val="21"/>
        </w:rPr>
        <w:t>be</w:t>
      </w:r>
      <w:r>
        <w:rPr>
          <w:spacing w:val="-3"/>
          <w:sz w:val="21"/>
        </w:rPr>
        <w:t xml:space="preserve"> </w:t>
      </w:r>
      <w:r>
        <w:rPr>
          <w:sz w:val="21"/>
        </w:rPr>
        <w:t>in</w:t>
      </w:r>
      <w:r>
        <w:rPr>
          <w:spacing w:val="-2"/>
          <w:sz w:val="21"/>
        </w:rPr>
        <w:t xml:space="preserve"> </w:t>
      </w:r>
      <w:r>
        <w:rPr>
          <w:sz w:val="21"/>
        </w:rPr>
        <w:t>danger</w:t>
      </w:r>
      <w:r>
        <w:rPr>
          <w:spacing w:val="-3"/>
          <w:sz w:val="21"/>
        </w:rPr>
        <w:t xml:space="preserve"> </w:t>
      </w:r>
      <w:r>
        <w:rPr>
          <w:sz w:val="21"/>
        </w:rPr>
        <w:t>of</w:t>
      </w:r>
      <w:r>
        <w:rPr>
          <w:spacing w:val="-1"/>
          <w:sz w:val="21"/>
        </w:rPr>
        <w:t xml:space="preserve"> </w:t>
      </w:r>
      <w:r>
        <w:rPr>
          <w:sz w:val="21"/>
        </w:rPr>
        <w:t xml:space="preserve">losing their housing because we didn’t take into consideration their gender identity, the employment discrimination they are facing, and its threat to their economic stability. This oversight subsequently places them at high risk for homelessness - again. </w:t>
      </w:r>
      <w:r>
        <w:rPr>
          <w:sz w:val="21"/>
        </w:rPr>
        <w:t>Let’s take it a step further. This youth is not only transgender,</w:t>
      </w:r>
      <w:r>
        <w:rPr>
          <w:spacing w:val="-6"/>
          <w:sz w:val="21"/>
        </w:rPr>
        <w:t xml:space="preserve"> </w:t>
      </w:r>
      <w:r>
        <w:rPr>
          <w:sz w:val="21"/>
        </w:rPr>
        <w:t>but</w:t>
      </w:r>
      <w:r>
        <w:rPr>
          <w:spacing w:val="-7"/>
          <w:sz w:val="21"/>
        </w:rPr>
        <w:t xml:space="preserve"> </w:t>
      </w:r>
      <w:r>
        <w:rPr>
          <w:sz w:val="21"/>
        </w:rPr>
        <w:t>she</w:t>
      </w:r>
      <w:r>
        <w:rPr>
          <w:spacing w:val="-5"/>
          <w:sz w:val="21"/>
        </w:rPr>
        <w:t xml:space="preserve"> </w:t>
      </w:r>
      <w:r>
        <w:rPr>
          <w:sz w:val="21"/>
        </w:rPr>
        <w:t>is</w:t>
      </w:r>
      <w:r>
        <w:rPr>
          <w:spacing w:val="-7"/>
          <w:sz w:val="21"/>
        </w:rPr>
        <w:t xml:space="preserve"> </w:t>
      </w:r>
      <w:r>
        <w:rPr>
          <w:sz w:val="21"/>
        </w:rPr>
        <w:t>a</w:t>
      </w:r>
      <w:r>
        <w:rPr>
          <w:spacing w:val="-6"/>
          <w:sz w:val="21"/>
        </w:rPr>
        <w:t xml:space="preserve"> </w:t>
      </w:r>
      <w:r>
        <w:rPr>
          <w:sz w:val="21"/>
        </w:rPr>
        <w:t>multisystem-involved</w:t>
      </w:r>
      <w:r>
        <w:rPr>
          <w:spacing w:val="-9"/>
          <w:sz w:val="21"/>
        </w:rPr>
        <w:t xml:space="preserve"> </w:t>
      </w:r>
      <w:r>
        <w:rPr>
          <w:sz w:val="21"/>
        </w:rPr>
        <w:t>(DCF</w:t>
      </w:r>
      <w:r>
        <w:rPr>
          <w:spacing w:val="-7"/>
          <w:sz w:val="21"/>
        </w:rPr>
        <w:t xml:space="preserve"> </w:t>
      </w:r>
      <w:r>
        <w:rPr>
          <w:sz w:val="21"/>
        </w:rPr>
        <w:t>and</w:t>
      </w:r>
      <w:r>
        <w:rPr>
          <w:spacing w:val="-9"/>
          <w:sz w:val="21"/>
        </w:rPr>
        <w:t xml:space="preserve"> </w:t>
      </w:r>
      <w:r>
        <w:rPr>
          <w:sz w:val="21"/>
        </w:rPr>
        <w:t>DYS)</w:t>
      </w:r>
      <w:r>
        <w:rPr>
          <w:spacing w:val="-5"/>
          <w:sz w:val="21"/>
        </w:rPr>
        <w:t xml:space="preserve"> </w:t>
      </w:r>
      <w:r>
        <w:rPr>
          <w:sz w:val="21"/>
        </w:rPr>
        <w:t>youth</w:t>
      </w:r>
      <w:r>
        <w:rPr>
          <w:spacing w:val="-6"/>
          <w:sz w:val="21"/>
        </w:rPr>
        <w:t xml:space="preserve"> </w:t>
      </w:r>
      <w:r>
        <w:rPr>
          <w:sz w:val="21"/>
        </w:rPr>
        <w:t>with</w:t>
      </w:r>
      <w:r>
        <w:rPr>
          <w:spacing w:val="-6"/>
          <w:sz w:val="21"/>
        </w:rPr>
        <w:t xml:space="preserve"> </w:t>
      </w:r>
      <w:r>
        <w:rPr>
          <w:sz w:val="21"/>
        </w:rPr>
        <w:t>a</w:t>
      </w:r>
      <w:r>
        <w:rPr>
          <w:spacing w:val="-6"/>
          <w:sz w:val="21"/>
        </w:rPr>
        <w:t xml:space="preserve"> </w:t>
      </w:r>
      <w:r>
        <w:rPr>
          <w:sz w:val="21"/>
        </w:rPr>
        <w:t>history</w:t>
      </w:r>
      <w:r>
        <w:rPr>
          <w:spacing w:val="-5"/>
          <w:sz w:val="21"/>
        </w:rPr>
        <w:t xml:space="preserve"> </w:t>
      </w:r>
      <w:r>
        <w:rPr>
          <w:sz w:val="21"/>
        </w:rPr>
        <w:t>of</w:t>
      </w:r>
      <w:r>
        <w:rPr>
          <w:spacing w:val="-8"/>
          <w:sz w:val="21"/>
        </w:rPr>
        <w:t xml:space="preserve"> </w:t>
      </w:r>
      <w:r>
        <w:rPr>
          <w:sz w:val="21"/>
        </w:rPr>
        <w:t>commercial</w:t>
      </w:r>
      <w:r>
        <w:rPr>
          <w:spacing w:val="-6"/>
          <w:sz w:val="21"/>
        </w:rPr>
        <w:t xml:space="preserve"> </w:t>
      </w:r>
      <w:r>
        <w:rPr>
          <w:sz w:val="21"/>
        </w:rPr>
        <w:t>sexual exploitation;</w:t>
      </w:r>
      <w:r>
        <w:rPr>
          <w:spacing w:val="-6"/>
          <w:sz w:val="21"/>
        </w:rPr>
        <w:t xml:space="preserve"> </w:t>
      </w:r>
      <w:r>
        <w:rPr>
          <w:sz w:val="21"/>
        </w:rPr>
        <w:t>she</w:t>
      </w:r>
      <w:r>
        <w:rPr>
          <w:spacing w:val="-6"/>
          <w:sz w:val="21"/>
        </w:rPr>
        <w:t xml:space="preserve"> </w:t>
      </w:r>
      <w:r>
        <w:rPr>
          <w:sz w:val="21"/>
        </w:rPr>
        <w:t>has</w:t>
      </w:r>
      <w:r>
        <w:rPr>
          <w:spacing w:val="-8"/>
          <w:sz w:val="21"/>
        </w:rPr>
        <w:t xml:space="preserve"> </w:t>
      </w:r>
      <w:r>
        <w:rPr>
          <w:sz w:val="21"/>
        </w:rPr>
        <w:t>an</w:t>
      </w:r>
      <w:r>
        <w:rPr>
          <w:spacing w:val="-7"/>
          <w:sz w:val="21"/>
        </w:rPr>
        <w:t xml:space="preserve"> </w:t>
      </w:r>
      <w:r>
        <w:rPr>
          <w:sz w:val="21"/>
        </w:rPr>
        <w:t>IQ</w:t>
      </w:r>
      <w:r>
        <w:rPr>
          <w:spacing w:val="-7"/>
          <w:sz w:val="21"/>
        </w:rPr>
        <w:t xml:space="preserve"> </w:t>
      </w:r>
      <w:r>
        <w:rPr>
          <w:sz w:val="21"/>
        </w:rPr>
        <w:t>of</w:t>
      </w:r>
      <w:r>
        <w:rPr>
          <w:spacing w:val="-6"/>
          <w:sz w:val="21"/>
        </w:rPr>
        <w:t xml:space="preserve"> </w:t>
      </w:r>
      <w:r>
        <w:rPr>
          <w:sz w:val="21"/>
        </w:rPr>
        <w:t>70,</w:t>
      </w:r>
      <w:r>
        <w:rPr>
          <w:spacing w:val="-7"/>
          <w:sz w:val="21"/>
        </w:rPr>
        <w:t xml:space="preserve"> </w:t>
      </w:r>
      <w:r>
        <w:rPr>
          <w:sz w:val="21"/>
        </w:rPr>
        <w:t>a</w:t>
      </w:r>
      <w:r>
        <w:rPr>
          <w:spacing w:val="-7"/>
          <w:sz w:val="21"/>
        </w:rPr>
        <w:t xml:space="preserve"> </w:t>
      </w:r>
      <w:r>
        <w:rPr>
          <w:sz w:val="21"/>
        </w:rPr>
        <w:t>mental</w:t>
      </w:r>
      <w:r>
        <w:rPr>
          <w:spacing w:val="-7"/>
          <w:sz w:val="21"/>
        </w:rPr>
        <w:t xml:space="preserve"> </w:t>
      </w:r>
      <w:r>
        <w:rPr>
          <w:sz w:val="21"/>
        </w:rPr>
        <w:t>health</w:t>
      </w:r>
      <w:r>
        <w:rPr>
          <w:spacing w:val="-7"/>
          <w:sz w:val="21"/>
        </w:rPr>
        <w:t xml:space="preserve"> </w:t>
      </w:r>
      <w:r>
        <w:rPr>
          <w:sz w:val="21"/>
        </w:rPr>
        <w:t>diagnosis,</w:t>
      </w:r>
      <w:r>
        <w:rPr>
          <w:spacing w:val="-7"/>
          <w:sz w:val="21"/>
        </w:rPr>
        <w:t xml:space="preserve"> </w:t>
      </w:r>
      <w:r>
        <w:rPr>
          <w:sz w:val="21"/>
        </w:rPr>
        <w:t>and</w:t>
      </w:r>
      <w:r>
        <w:rPr>
          <w:spacing w:val="-7"/>
          <w:sz w:val="21"/>
        </w:rPr>
        <w:t xml:space="preserve"> </w:t>
      </w:r>
      <w:r>
        <w:rPr>
          <w:sz w:val="21"/>
        </w:rPr>
        <w:t>she</w:t>
      </w:r>
      <w:r>
        <w:rPr>
          <w:spacing w:val="-6"/>
          <w:sz w:val="21"/>
        </w:rPr>
        <w:t xml:space="preserve"> </w:t>
      </w:r>
      <w:r>
        <w:rPr>
          <w:sz w:val="21"/>
        </w:rPr>
        <w:t>is</w:t>
      </w:r>
      <w:r>
        <w:rPr>
          <w:spacing w:val="-8"/>
          <w:sz w:val="21"/>
        </w:rPr>
        <w:t xml:space="preserve"> </w:t>
      </w:r>
      <w:r>
        <w:rPr>
          <w:sz w:val="21"/>
        </w:rPr>
        <w:t>Black.</w:t>
      </w:r>
      <w:r>
        <w:rPr>
          <w:spacing w:val="-7"/>
          <w:sz w:val="21"/>
        </w:rPr>
        <w:t xml:space="preserve"> </w:t>
      </w:r>
      <w:r>
        <w:rPr>
          <w:sz w:val="21"/>
        </w:rPr>
        <w:t>All</w:t>
      </w:r>
      <w:r>
        <w:rPr>
          <w:spacing w:val="-7"/>
          <w:sz w:val="21"/>
        </w:rPr>
        <w:t xml:space="preserve"> </w:t>
      </w:r>
      <w:r>
        <w:rPr>
          <w:sz w:val="21"/>
        </w:rPr>
        <w:t>of</w:t>
      </w:r>
      <w:r>
        <w:rPr>
          <w:spacing w:val="-9"/>
          <w:sz w:val="21"/>
        </w:rPr>
        <w:t xml:space="preserve"> </w:t>
      </w:r>
      <w:r>
        <w:rPr>
          <w:sz w:val="21"/>
        </w:rPr>
        <w:t>these</w:t>
      </w:r>
      <w:r>
        <w:rPr>
          <w:spacing w:val="-6"/>
          <w:sz w:val="21"/>
        </w:rPr>
        <w:t xml:space="preserve"> </w:t>
      </w:r>
      <w:r>
        <w:rPr>
          <w:sz w:val="21"/>
        </w:rPr>
        <w:t>identities</w:t>
      </w:r>
      <w:r>
        <w:rPr>
          <w:spacing w:val="-8"/>
          <w:sz w:val="21"/>
        </w:rPr>
        <w:t xml:space="preserve"> </w:t>
      </w:r>
      <w:r>
        <w:rPr>
          <w:sz w:val="21"/>
        </w:rPr>
        <w:t xml:space="preserve">place this youth at a much higher risk of marginalization, and failing to receive the appropriate services she </w:t>
      </w:r>
      <w:r>
        <w:rPr>
          <w:spacing w:val="-2"/>
          <w:sz w:val="21"/>
        </w:rPr>
        <w:t>needs.</w:t>
      </w:r>
    </w:p>
    <w:p w:rsidR="00200FDA" w:rsidRDefault="00200FDA">
      <w:pPr>
        <w:pStyle w:val="BodyText"/>
        <w:spacing w:before="7"/>
        <w:rPr>
          <w:sz w:val="19"/>
        </w:rPr>
      </w:pPr>
    </w:p>
    <w:p w:rsidR="00200FDA" w:rsidRDefault="00F76C4C">
      <w:pPr>
        <w:spacing w:line="276" w:lineRule="auto"/>
        <w:ind w:left="407" w:right="443"/>
        <w:jc w:val="both"/>
        <w:rPr>
          <w:sz w:val="21"/>
        </w:rPr>
      </w:pPr>
      <w:r>
        <w:rPr>
          <w:sz w:val="21"/>
        </w:rPr>
        <w:t>More often than not, other marginalized intersections are not considered when addressing systemic barriers to services. Unders</w:t>
      </w:r>
      <w:r>
        <w:rPr>
          <w:sz w:val="21"/>
        </w:rPr>
        <w:t>tanding these not so subtle nuances in identities are critical to servicing all youth and preparing them to thrive in a world built to work against them. Doing so often places our young</w:t>
      </w:r>
      <w:r>
        <w:rPr>
          <w:spacing w:val="-12"/>
          <w:sz w:val="21"/>
        </w:rPr>
        <w:t xml:space="preserve"> </w:t>
      </w:r>
      <w:r>
        <w:rPr>
          <w:sz w:val="21"/>
        </w:rPr>
        <w:t>people</w:t>
      </w:r>
      <w:r>
        <w:rPr>
          <w:spacing w:val="-12"/>
          <w:sz w:val="21"/>
        </w:rPr>
        <w:t xml:space="preserve"> </w:t>
      </w:r>
      <w:r>
        <w:rPr>
          <w:sz w:val="21"/>
        </w:rPr>
        <w:t>in</w:t>
      </w:r>
      <w:r>
        <w:rPr>
          <w:spacing w:val="-12"/>
          <w:sz w:val="21"/>
        </w:rPr>
        <w:t xml:space="preserve"> </w:t>
      </w:r>
      <w:r>
        <w:rPr>
          <w:sz w:val="21"/>
        </w:rPr>
        <w:t>a</w:t>
      </w:r>
      <w:r>
        <w:rPr>
          <w:spacing w:val="-12"/>
          <w:sz w:val="21"/>
        </w:rPr>
        <w:t xml:space="preserve"> </w:t>
      </w:r>
      <w:r>
        <w:rPr>
          <w:sz w:val="21"/>
        </w:rPr>
        <w:t>never</w:t>
      </w:r>
      <w:r>
        <w:rPr>
          <w:spacing w:val="-12"/>
          <w:sz w:val="21"/>
        </w:rPr>
        <w:t xml:space="preserve"> </w:t>
      </w:r>
      <w:r>
        <w:rPr>
          <w:sz w:val="21"/>
        </w:rPr>
        <w:t>ending</w:t>
      </w:r>
      <w:r>
        <w:rPr>
          <w:spacing w:val="-12"/>
          <w:sz w:val="21"/>
        </w:rPr>
        <w:t xml:space="preserve"> </w:t>
      </w:r>
      <w:r>
        <w:rPr>
          <w:sz w:val="21"/>
        </w:rPr>
        <w:t>cycle</w:t>
      </w:r>
      <w:r>
        <w:rPr>
          <w:spacing w:val="-12"/>
          <w:sz w:val="21"/>
        </w:rPr>
        <w:t xml:space="preserve"> </w:t>
      </w:r>
      <w:r>
        <w:rPr>
          <w:sz w:val="21"/>
        </w:rPr>
        <w:t>of</w:t>
      </w:r>
      <w:r>
        <w:rPr>
          <w:spacing w:val="-11"/>
          <w:sz w:val="21"/>
        </w:rPr>
        <w:t xml:space="preserve"> </w:t>
      </w:r>
      <w:r>
        <w:rPr>
          <w:sz w:val="21"/>
        </w:rPr>
        <w:t>oppression.</w:t>
      </w:r>
      <w:r>
        <w:rPr>
          <w:spacing w:val="-12"/>
          <w:sz w:val="21"/>
        </w:rPr>
        <w:t xml:space="preserve"> </w:t>
      </w:r>
      <w:r>
        <w:rPr>
          <w:sz w:val="21"/>
        </w:rPr>
        <w:t>When</w:t>
      </w:r>
      <w:r>
        <w:rPr>
          <w:spacing w:val="-12"/>
          <w:sz w:val="21"/>
        </w:rPr>
        <w:t xml:space="preserve"> </w:t>
      </w:r>
      <w:r>
        <w:rPr>
          <w:sz w:val="21"/>
        </w:rPr>
        <w:t>we</w:t>
      </w:r>
      <w:r>
        <w:rPr>
          <w:spacing w:val="-12"/>
          <w:sz w:val="21"/>
        </w:rPr>
        <w:t xml:space="preserve"> </w:t>
      </w:r>
      <w:r>
        <w:rPr>
          <w:sz w:val="21"/>
        </w:rPr>
        <w:t>look</w:t>
      </w:r>
      <w:r>
        <w:rPr>
          <w:spacing w:val="-12"/>
          <w:sz w:val="21"/>
        </w:rPr>
        <w:t xml:space="preserve"> </w:t>
      </w:r>
      <w:r>
        <w:rPr>
          <w:sz w:val="21"/>
        </w:rPr>
        <w:t>at</w:t>
      </w:r>
      <w:r>
        <w:rPr>
          <w:spacing w:val="-12"/>
          <w:sz w:val="21"/>
        </w:rPr>
        <w:t xml:space="preserve"> </w:t>
      </w:r>
      <w:r>
        <w:rPr>
          <w:sz w:val="21"/>
        </w:rPr>
        <w:t>youth</w:t>
      </w:r>
      <w:r>
        <w:rPr>
          <w:spacing w:val="-12"/>
          <w:sz w:val="21"/>
        </w:rPr>
        <w:t xml:space="preserve"> </w:t>
      </w:r>
      <w:r>
        <w:rPr>
          <w:sz w:val="21"/>
        </w:rPr>
        <w:t>ho</w:t>
      </w:r>
      <w:r>
        <w:rPr>
          <w:sz w:val="21"/>
        </w:rPr>
        <w:t>listically,</w:t>
      </w:r>
      <w:r>
        <w:rPr>
          <w:spacing w:val="-12"/>
          <w:sz w:val="21"/>
        </w:rPr>
        <w:t xml:space="preserve"> </w:t>
      </w:r>
      <w:r>
        <w:rPr>
          <w:sz w:val="21"/>
        </w:rPr>
        <w:t>we</w:t>
      </w:r>
      <w:r>
        <w:rPr>
          <w:spacing w:val="-11"/>
          <w:sz w:val="21"/>
        </w:rPr>
        <w:t xml:space="preserve"> </w:t>
      </w:r>
      <w:r>
        <w:rPr>
          <w:sz w:val="21"/>
        </w:rPr>
        <w:t>move</w:t>
      </w:r>
      <w:r>
        <w:rPr>
          <w:spacing w:val="-12"/>
          <w:sz w:val="21"/>
        </w:rPr>
        <w:t xml:space="preserve"> </w:t>
      </w:r>
      <w:r>
        <w:rPr>
          <w:sz w:val="21"/>
        </w:rPr>
        <w:t>beyond micro-level</w:t>
      </w:r>
      <w:r>
        <w:rPr>
          <w:spacing w:val="-1"/>
          <w:sz w:val="21"/>
        </w:rPr>
        <w:t xml:space="preserve"> </w:t>
      </w:r>
      <w:r>
        <w:rPr>
          <w:sz w:val="21"/>
        </w:rPr>
        <w:t>approaches</w:t>
      </w:r>
      <w:r>
        <w:rPr>
          <w:spacing w:val="-4"/>
          <w:sz w:val="21"/>
        </w:rPr>
        <w:t xml:space="preserve"> </w:t>
      </w:r>
      <w:r>
        <w:rPr>
          <w:sz w:val="21"/>
        </w:rPr>
        <w:t>to</w:t>
      </w:r>
      <w:r>
        <w:rPr>
          <w:spacing w:val="-1"/>
          <w:sz w:val="21"/>
        </w:rPr>
        <w:t xml:space="preserve"> </w:t>
      </w:r>
      <w:r>
        <w:rPr>
          <w:sz w:val="21"/>
        </w:rPr>
        <w:t>care</w:t>
      </w:r>
      <w:r>
        <w:rPr>
          <w:spacing w:val="-2"/>
          <w:sz w:val="21"/>
        </w:rPr>
        <w:t xml:space="preserve"> </w:t>
      </w:r>
      <w:r>
        <w:rPr>
          <w:sz w:val="21"/>
        </w:rPr>
        <w:t>and</w:t>
      </w:r>
      <w:r>
        <w:rPr>
          <w:spacing w:val="-1"/>
          <w:sz w:val="21"/>
        </w:rPr>
        <w:t xml:space="preserve"> </w:t>
      </w:r>
      <w:r>
        <w:rPr>
          <w:sz w:val="21"/>
        </w:rPr>
        <w:t>service</w:t>
      </w:r>
      <w:r>
        <w:rPr>
          <w:spacing w:val="-2"/>
          <w:sz w:val="21"/>
        </w:rPr>
        <w:t xml:space="preserve"> </w:t>
      </w:r>
      <w:r>
        <w:rPr>
          <w:sz w:val="21"/>
        </w:rPr>
        <w:t>provision</w:t>
      </w:r>
      <w:r>
        <w:rPr>
          <w:spacing w:val="-1"/>
          <w:sz w:val="21"/>
        </w:rPr>
        <w:t xml:space="preserve"> </w:t>
      </w:r>
      <w:r>
        <w:rPr>
          <w:sz w:val="21"/>
        </w:rPr>
        <w:t>onto</w:t>
      </w:r>
      <w:r>
        <w:rPr>
          <w:spacing w:val="-1"/>
          <w:sz w:val="21"/>
        </w:rPr>
        <w:t xml:space="preserve"> </w:t>
      </w:r>
      <w:r>
        <w:rPr>
          <w:sz w:val="21"/>
        </w:rPr>
        <w:t>a</w:t>
      </w:r>
      <w:r>
        <w:rPr>
          <w:spacing w:val="-1"/>
          <w:sz w:val="21"/>
        </w:rPr>
        <w:t xml:space="preserve"> </w:t>
      </w:r>
      <w:r>
        <w:rPr>
          <w:sz w:val="21"/>
        </w:rPr>
        <w:t>path</w:t>
      </w:r>
      <w:r>
        <w:rPr>
          <w:spacing w:val="-1"/>
          <w:sz w:val="21"/>
        </w:rPr>
        <w:t xml:space="preserve"> </w:t>
      </w:r>
      <w:r>
        <w:rPr>
          <w:sz w:val="21"/>
        </w:rPr>
        <w:t>that</w:t>
      </w:r>
      <w:r>
        <w:rPr>
          <w:spacing w:val="-4"/>
          <w:sz w:val="21"/>
        </w:rPr>
        <w:t xml:space="preserve"> </w:t>
      </w:r>
      <w:r>
        <w:rPr>
          <w:sz w:val="21"/>
        </w:rPr>
        <w:t>will</w:t>
      </w:r>
      <w:r>
        <w:rPr>
          <w:spacing w:val="-1"/>
          <w:sz w:val="21"/>
        </w:rPr>
        <w:t xml:space="preserve"> </w:t>
      </w:r>
      <w:r>
        <w:rPr>
          <w:sz w:val="21"/>
        </w:rPr>
        <w:t>create</w:t>
      </w:r>
      <w:r>
        <w:rPr>
          <w:spacing w:val="-2"/>
          <w:sz w:val="21"/>
        </w:rPr>
        <w:t xml:space="preserve"> </w:t>
      </w:r>
      <w:r>
        <w:rPr>
          <w:sz w:val="21"/>
        </w:rPr>
        <w:t>real</w:t>
      </w:r>
      <w:r>
        <w:rPr>
          <w:spacing w:val="-1"/>
          <w:sz w:val="21"/>
        </w:rPr>
        <w:t xml:space="preserve"> </w:t>
      </w:r>
      <w:r>
        <w:rPr>
          <w:sz w:val="21"/>
        </w:rPr>
        <w:t>structural</w:t>
      </w:r>
      <w:r>
        <w:rPr>
          <w:spacing w:val="-1"/>
          <w:sz w:val="21"/>
        </w:rPr>
        <w:t xml:space="preserve"> </w:t>
      </w:r>
      <w:r>
        <w:rPr>
          <w:sz w:val="21"/>
        </w:rPr>
        <w:t>change that benefits the whole person and community. Advocating and creating pathways to freedom and equity</w:t>
      </w:r>
      <w:r>
        <w:rPr>
          <w:spacing w:val="-3"/>
          <w:sz w:val="21"/>
        </w:rPr>
        <w:t xml:space="preserve"> </w:t>
      </w:r>
      <w:r>
        <w:rPr>
          <w:sz w:val="21"/>
        </w:rPr>
        <w:t>for</w:t>
      </w:r>
      <w:r>
        <w:rPr>
          <w:spacing w:val="-3"/>
          <w:sz w:val="21"/>
        </w:rPr>
        <w:t xml:space="preserve"> </w:t>
      </w:r>
      <w:r>
        <w:rPr>
          <w:sz w:val="21"/>
        </w:rPr>
        <w:t>the</w:t>
      </w:r>
      <w:r>
        <w:rPr>
          <w:spacing w:val="-3"/>
          <w:sz w:val="21"/>
        </w:rPr>
        <w:t xml:space="preserve"> </w:t>
      </w:r>
      <w:r>
        <w:rPr>
          <w:sz w:val="21"/>
        </w:rPr>
        <w:t>most</w:t>
      </w:r>
      <w:r>
        <w:rPr>
          <w:spacing w:val="-4"/>
          <w:sz w:val="21"/>
        </w:rPr>
        <w:t xml:space="preserve"> </w:t>
      </w:r>
      <w:r>
        <w:rPr>
          <w:sz w:val="21"/>
        </w:rPr>
        <w:t>marginalized</w:t>
      </w:r>
      <w:r>
        <w:rPr>
          <w:spacing w:val="-4"/>
          <w:sz w:val="21"/>
        </w:rPr>
        <w:t xml:space="preserve"> </w:t>
      </w:r>
      <w:r>
        <w:rPr>
          <w:sz w:val="21"/>
        </w:rPr>
        <w:t>person</w:t>
      </w:r>
      <w:r>
        <w:rPr>
          <w:spacing w:val="-4"/>
          <w:sz w:val="21"/>
        </w:rPr>
        <w:t xml:space="preserve"> </w:t>
      </w:r>
      <w:r>
        <w:rPr>
          <w:sz w:val="21"/>
        </w:rPr>
        <w:t>in</w:t>
      </w:r>
      <w:r>
        <w:rPr>
          <w:spacing w:val="-4"/>
          <w:sz w:val="21"/>
        </w:rPr>
        <w:t xml:space="preserve"> </w:t>
      </w:r>
      <w:r>
        <w:rPr>
          <w:sz w:val="21"/>
        </w:rPr>
        <w:t>the</w:t>
      </w:r>
      <w:r>
        <w:rPr>
          <w:spacing w:val="-3"/>
          <w:sz w:val="21"/>
        </w:rPr>
        <w:t xml:space="preserve"> </w:t>
      </w:r>
      <w:r>
        <w:rPr>
          <w:sz w:val="21"/>
        </w:rPr>
        <w:t>room</w:t>
      </w:r>
      <w:r>
        <w:rPr>
          <w:spacing w:val="-4"/>
          <w:sz w:val="21"/>
        </w:rPr>
        <w:t xml:space="preserve"> </w:t>
      </w:r>
      <w:r>
        <w:rPr>
          <w:sz w:val="21"/>
        </w:rPr>
        <w:t>not</w:t>
      </w:r>
      <w:r>
        <w:rPr>
          <w:spacing w:val="-4"/>
          <w:sz w:val="21"/>
        </w:rPr>
        <w:t xml:space="preserve"> </w:t>
      </w:r>
      <w:r>
        <w:rPr>
          <w:sz w:val="21"/>
        </w:rPr>
        <w:t>only</w:t>
      </w:r>
      <w:r>
        <w:rPr>
          <w:spacing w:val="-3"/>
          <w:sz w:val="21"/>
        </w:rPr>
        <w:t xml:space="preserve"> </w:t>
      </w:r>
      <w:r>
        <w:rPr>
          <w:sz w:val="21"/>
        </w:rPr>
        <w:t>liberates</w:t>
      </w:r>
      <w:r>
        <w:rPr>
          <w:spacing w:val="-4"/>
          <w:sz w:val="21"/>
        </w:rPr>
        <w:t xml:space="preserve"> </w:t>
      </w:r>
      <w:r>
        <w:rPr>
          <w:sz w:val="21"/>
        </w:rPr>
        <w:t>everyone</w:t>
      </w:r>
      <w:r>
        <w:rPr>
          <w:spacing w:val="-5"/>
          <w:sz w:val="21"/>
        </w:rPr>
        <w:t xml:space="preserve"> </w:t>
      </w:r>
      <w:r>
        <w:rPr>
          <w:sz w:val="21"/>
        </w:rPr>
        <w:t>else,</w:t>
      </w:r>
      <w:r>
        <w:rPr>
          <w:spacing w:val="-6"/>
          <w:sz w:val="21"/>
        </w:rPr>
        <w:t xml:space="preserve"> </w:t>
      </w:r>
      <w:r>
        <w:rPr>
          <w:sz w:val="21"/>
        </w:rPr>
        <w:t>it</w:t>
      </w:r>
      <w:r>
        <w:rPr>
          <w:spacing w:val="-4"/>
          <w:sz w:val="21"/>
        </w:rPr>
        <w:t xml:space="preserve"> </w:t>
      </w:r>
      <w:r>
        <w:rPr>
          <w:sz w:val="21"/>
        </w:rPr>
        <w:t>chips</w:t>
      </w:r>
      <w:r>
        <w:rPr>
          <w:spacing w:val="-4"/>
          <w:sz w:val="21"/>
        </w:rPr>
        <w:t xml:space="preserve"> </w:t>
      </w:r>
      <w:r>
        <w:rPr>
          <w:sz w:val="21"/>
        </w:rPr>
        <w:t>away</w:t>
      </w:r>
      <w:r>
        <w:rPr>
          <w:spacing w:val="-3"/>
          <w:sz w:val="21"/>
        </w:rPr>
        <w:t xml:space="preserve"> </w:t>
      </w:r>
      <w:r>
        <w:rPr>
          <w:sz w:val="21"/>
        </w:rPr>
        <w:t>at</w:t>
      </w:r>
      <w:r>
        <w:rPr>
          <w:spacing w:val="-4"/>
          <w:sz w:val="21"/>
        </w:rPr>
        <w:t xml:space="preserve"> </w:t>
      </w:r>
      <w:r>
        <w:rPr>
          <w:sz w:val="21"/>
        </w:rPr>
        <w:t>a broken system in order to rebuild better.</w:t>
      </w:r>
    </w:p>
    <w:p w:rsidR="00200FDA" w:rsidRDefault="00200FDA">
      <w:pPr>
        <w:pStyle w:val="BodyText"/>
        <w:spacing w:before="9"/>
        <w:rPr>
          <w:sz w:val="19"/>
        </w:rPr>
      </w:pPr>
    </w:p>
    <w:p w:rsidR="00200FDA" w:rsidRDefault="00F76C4C">
      <w:pPr>
        <w:spacing w:line="276" w:lineRule="auto"/>
        <w:ind w:left="407" w:right="442"/>
        <w:jc w:val="both"/>
        <w:rPr>
          <w:sz w:val="21"/>
        </w:rPr>
      </w:pPr>
      <w:r>
        <w:rPr>
          <w:sz w:val="21"/>
        </w:rPr>
        <w:t>Additionally, to free everyone, we must free the most marginalized person in the room. Those with multiple</w:t>
      </w:r>
      <w:r>
        <w:rPr>
          <w:spacing w:val="-12"/>
          <w:sz w:val="21"/>
        </w:rPr>
        <w:t xml:space="preserve"> </w:t>
      </w:r>
      <w:r>
        <w:rPr>
          <w:sz w:val="21"/>
        </w:rPr>
        <w:t>intersecting</w:t>
      </w:r>
      <w:r>
        <w:rPr>
          <w:spacing w:val="-12"/>
          <w:sz w:val="21"/>
        </w:rPr>
        <w:t xml:space="preserve"> </w:t>
      </w:r>
      <w:r>
        <w:rPr>
          <w:sz w:val="21"/>
        </w:rPr>
        <w:t>identiti</w:t>
      </w:r>
      <w:r>
        <w:rPr>
          <w:sz w:val="21"/>
        </w:rPr>
        <w:t>es</w:t>
      </w:r>
      <w:r>
        <w:rPr>
          <w:spacing w:val="-12"/>
          <w:sz w:val="21"/>
        </w:rPr>
        <w:t xml:space="preserve"> </w:t>
      </w:r>
      <w:r>
        <w:rPr>
          <w:sz w:val="21"/>
        </w:rPr>
        <w:t>have</w:t>
      </w:r>
      <w:r>
        <w:rPr>
          <w:spacing w:val="-12"/>
          <w:sz w:val="21"/>
        </w:rPr>
        <w:t xml:space="preserve"> </w:t>
      </w:r>
      <w:r>
        <w:rPr>
          <w:sz w:val="21"/>
        </w:rPr>
        <w:t>often</w:t>
      </w:r>
      <w:r>
        <w:rPr>
          <w:spacing w:val="-12"/>
          <w:sz w:val="21"/>
        </w:rPr>
        <w:t xml:space="preserve"> </w:t>
      </w:r>
      <w:r>
        <w:rPr>
          <w:sz w:val="21"/>
        </w:rPr>
        <w:t>been</w:t>
      </w:r>
      <w:r>
        <w:rPr>
          <w:spacing w:val="-12"/>
          <w:sz w:val="21"/>
        </w:rPr>
        <w:t xml:space="preserve"> </w:t>
      </w:r>
      <w:r>
        <w:rPr>
          <w:sz w:val="21"/>
        </w:rPr>
        <w:t>disregarded</w:t>
      </w:r>
      <w:r>
        <w:rPr>
          <w:spacing w:val="-12"/>
          <w:sz w:val="21"/>
        </w:rPr>
        <w:t xml:space="preserve"> </w:t>
      </w:r>
      <w:r>
        <w:rPr>
          <w:sz w:val="21"/>
        </w:rPr>
        <w:t>due</w:t>
      </w:r>
      <w:r>
        <w:rPr>
          <w:spacing w:val="-11"/>
          <w:sz w:val="21"/>
        </w:rPr>
        <w:t xml:space="preserve"> </w:t>
      </w:r>
      <w:r>
        <w:rPr>
          <w:sz w:val="21"/>
        </w:rPr>
        <w:t>to</w:t>
      </w:r>
      <w:r>
        <w:rPr>
          <w:spacing w:val="-12"/>
          <w:sz w:val="21"/>
        </w:rPr>
        <w:t xml:space="preserve"> </w:t>
      </w:r>
      <w:r>
        <w:rPr>
          <w:sz w:val="21"/>
        </w:rPr>
        <w:t>the</w:t>
      </w:r>
      <w:r>
        <w:rPr>
          <w:spacing w:val="-12"/>
          <w:sz w:val="21"/>
        </w:rPr>
        <w:t xml:space="preserve"> </w:t>
      </w:r>
      <w:r>
        <w:rPr>
          <w:sz w:val="21"/>
        </w:rPr>
        <w:t>systemic</w:t>
      </w:r>
      <w:r>
        <w:rPr>
          <w:spacing w:val="-12"/>
          <w:sz w:val="21"/>
        </w:rPr>
        <w:t xml:space="preserve"> </w:t>
      </w:r>
      <w:r>
        <w:rPr>
          <w:sz w:val="21"/>
        </w:rPr>
        <w:t>and</w:t>
      </w:r>
      <w:r>
        <w:rPr>
          <w:spacing w:val="-12"/>
          <w:sz w:val="21"/>
        </w:rPr>
        <w:t xml:space="preserve"> </w:t>
      </w:r>
      <w:r>
        <w:rPr>
          <w:sz w:val="21"/>
        </w:rPr>
        <w:t>insidious</w:t>
      </w:r>
      <w:r>
        <w:rPr>
          <w:spacing w:val="-12"/>
          <w:sz w:val="21"/>
        </w:rPr>
        <w:t xml:space="preserve"> </w:t>
      </w:r>
      <w:r>
        <w:rPr>
          <w:sz w:val="21"/>
        </w:rPr>
        <w:t>structures of white supremacy within this country, and the state of Massachusetts. We, as the Commission and people</w:t>
      </w:r>
      <w:r>
        <w:rPr>
          <w:spacing w:val="32"/>
          <w:sz w:val="21"/>
        </w:rPr>
        <w:t xml:space="preserve"> </w:t>
      </w:r>
      <w:r>
        <w:rPr>
          <w:sz w:val="21"/>
        </w:rPr>
        <w:t>of</w:t>
      </w:r>
      <w:r>
        <w:rPr>
          <w:spacing w:val="29"/>
          <w:sz w:val="21"/>
        </w:rPr>
        <w:t xml:space="preserve"> </w:t>
      </w:r>
      <w:r>
        <w:rPr>
          <w:sz w:val="21"/>
        </w:rPr>
        <w:t>this</w:t>
      </w:r>
      <w:r>
        <w:rPr>
          <w:spacing w:val="30"/>
          <w:sz w:val="21"/>
        </w:rPr>
        <w:t xml:space="preserve"> </w:t>
      </w:r>
      <w:r>
        <w:rPr>
          <w:sz w:val="21"/>
        </w:rPr>
        <w:t>country,</w:t>
      </w:r>
      <w:r>
        <w:rPr>
          <w:spacing w:val="29"/>
          <w:sz w:val="21"/>
        </w:rPr>
        <w:t xml:space="preserve"> </w:t>
      </w:r>
      <w:r>
        <w:rPr>
          <w:sz w:val="21"/>
        </w:rPr>
        <w:t>have</w:t>
      </w:r>
      <w:r>
        <w:rPr>
          <w:spacing w:val="32"/>
          <w:sz w:val="21"/>
        </w:rPr>
        <w:t xml:space="preserve"> </w:t>
      </w:r>
      <w:r>
        <w:rPr>
          <w:sz w:val="21"/>
        </w:rPr>
        <w:t>to</w:t>
      </w:r>
      <w:r>
        <w:rPr>
          <w:spacing w:val="30"/>
          <w:sz w:val="21"/>
        </w:rPr>
        <w:t xml:space="preserve"> </w:t>
      </w:r>
      <w:r>
        <w:rPr>
          <w:sz w:val="21"/>
        </w:rPr>
        <w:t>speak</w:t>
      </w:r>
      <w:r>
        <w:rPr>
          <w:spacing w:val="29"/>
          <w:sz w:val="21"/>
        </w:rPr>
        <w:t xml:space="preserve"> </w:t>
      </w:r>
      <w:r>
        <w:rPr>
          <w:sz w:val="21"/>
        </w:rPr>
        <w:t>truth</w:t>
      </w:r>
      <w:r>
        <w:rPr>
          <w:spacing w:val="31"/>
          <w:sz w:val="21"/>
        </w:rPr>
        <w:t xml:space="preserve"> </w:t>
      </w:r>
      <w:r>
        <w:rPr>
          <w:sz w:val="21"/>
        </w:rPr>
        <w:t>to</w:t>
      </w:r>
      <w:r>
        <w:rPr>
          <w:spacing w:val="30"/>
          <w:sz w:val="21"/>
        </w:rPr>
        <w:t xml:space="preserve"> </w:t>
      </w:r>
      <w:r>
        <w:rPr>
          <w:sz w:val="21"/>
        </w:rPr>
        <w:t>power</w:t>
      </w:r>
      <w:r>
        <w:rPr>
          <w:spacing w:val="30"/>
          <w:sz w:val="21"/>
        </w:rPr>
        <w:t xml:space="preserve"> </w:t>
      </w:r>
      <w:r>
        <w:rPr>
          <w:sz w:val="21"/>
        </w:rPr>
        <w:t>and</w:t>
      </w:r>
      <w:r>
        <w:rPr>
          <w:spacing w:val="31"/>
          <w:sz w:val="21"/>
        </w:rPr>
        <w:t xml:space="preserve"> </w:t>
      </w:r>
      <w:r>
        <w:rPr>
          <w:sz w:val="21"/>
        </w:rPr>
        <w:t>disavow</w:t>
      </w:r>
      <w:r>
        <w:rPr>
          <w:spacing w:val="29"/>
          <w:sz w:val="21"/>
        </w:rPr>
        <w:t xml:space="preserve"> </w:t>
      </w:r>
      <w:r>
        <w:rPr>
          <w:sz w:val="21"/>
        </w:rPr>
        <w:t>the</w:t>
      </w:r>
      <w:r>
        <w:rPr>
          <w:spacing w:val="32"/>
          <w:sz w:val="21"/>
        </w:rPr>
        <w:t xml:space="preserve"> </w:t>
      </w:r>
      <w:r>
        <w:rPr>
          <w:sz w:val="21"/>
        </w:rPr>
        <w:t>heteronormative</w:t>
      </w:r>
      <w:r>
        <w:rPr>
          <w:spacing w:val="32"/>
          <w:sz w:val="21"/>
        </w:rPr>
        <w:t xml:space="preserve"> </w:t>
      </w:r>
      <w:r>
        <w:rPr>
          <w:sz w:val="21"/>
        </w:rPr>
        <w:t>and</w:t>
      </w:r>
      <w:r>
        <w:rPr>
          <w:spacing w:val="28"/>
          <w:sz w:val="21"/>
        </w:rPr>
        <w:t xml:space="preserve"> </w:t>
      </w:r>
      <w:r>
        <w:rPr>
          <w:sz w:val="21"/>
        </w:rPr>
        <w:t>racist</w:t>
      </w:r>
    </w:p>
    <w:p w:rsidR="00200FDA" w:rsidRDefault="00200FDA">
      <w:pPr>
        <w:spacing w:line="276" w:lineRule="auto"/>
        <w:jc w:val="both"/>
        <w:rPr>
          <w:sz w:val="21"/>
        </w:rPr>
        <w:sectPr w:rsidR="00200FDA">
          <w:pgSz w:w="12240" w:h="15840"/>
          <w:pgMar w:top="1380" w:right="1280" w:bottom="280" w:left="1320" w:header="761" w:footer="0" w:gutter="0"/>
          <w:cols w:space="720"/>
        </w:sectPr>
      </w:pPr>
    </w:p>
    <w:p w:rsidR="00200FDA" w:rsidRDefault="00F76C4C">
      <w:pPr>
        <w:spacing w:before="48" w:line="276" w:lineRule="auto"/>
        <w:ind w:left="407" w:right="442"/>
        <w:jc w:val="both"/>
        <w:rPr>
          <w:sz w:val="21"/>
        </w:rPr>
      </w:pPr>
      <w:r>
        <w:rPr>
          <w:sz w:val="21"/>
        </w:rPr>
        <w:lastRenderedPageBreak/>
        <w:t xml:space="preserve">ideologies that have been cemented into law, and continue to seek new footholds across the country. The MA Commission on LGBTQ Youth will remain relentless and committed to utilizing our voice and power as unabated </w:t>
      </w:r>
      <w:r>
        <w:rPr>
          <w:sz w:val="21"/>
        </w:rPr>
        <w:t>champions for all LGBTQ youth, their families, and educators across the Commonwealth. Through partnerships, advocacy, love, and pride, our work will expand in the coming fiscal year to protect and uplift each youth at the core of their every intersection.</w:t>
      </w:r>
    </w:p>
    <w:p w:rsidR="00200FDA" w:rsidRDefault="00200FDA">
      <w:pPr>
        <w:pStyle w:val="BodyText"/>
        <w:spacing w:before="8"/>
        <w:rPr>
          <w:sz w:val="19"/>
        </w:rPr>
      </w:pPr>
    </w:p>
    <w:p w:rsidR="00200FDA" w:rsidRDefault="00F76C4C">
      <w:pPr>
        <w:spacing w:line="276" w:lineRule="auto"/>
        <w:ind w:left="407" w:right="441"/>
        <w:jc w:val="both"/>
        <w:rPr>
          <w:sz w:val="21"/>
        </w:rPr>
      </w:pPr>
      <w:r>
        <w:rPr>
          <w:sz w:val="21"/>
        </w:rPr>
        <w:t>Within this FY 2024 report, we provide recommendations now to 21 state entities. These recommendations are intended to amplify, not replace, the voices of the most marginalized young people in our communities, especially Black, Brown, Indigenous, immigrant</w:t>
      </w:r>
      <w:r>
        <w:rPr>
          <w:sz w:val="21"/>
        </w:rPr>
        <w:t>, disabled, neurodivergent, transgender, intersex, and gender expansive youth, as well as those in foster care, experiencing homelessness, are incarcerated, or have experienced sexual exploitation.</w:t>
      </w:r>
    </w:p>
    <w:p w:rsidR="00200FDA" w:rsidRDefault="00200FDA">
      <w:pPr>
        <w:pStyle w:val="BodyText"/>
        <w:spacing w:before="7"/>
        <w:rPr>
          <w:sz w:val="19"/>
        </w:rPr>
      </w:pPr>
    </w:p>
    <w:p w:rsidR="00200FDA" w:rsidRDefault="00F76C4C">
      <w:pPr>
        <w:spacing w:before="1" w:line="276" w:lineRule="auto"/>
        <w:ind w:left="407" w:right="444"/>
        <w:jc w:val="both"/>
        <w:rPr>
          <w:sz w:val="21"/>
        </w:rPr>
      </w:pPr>
      <w:r>
        <w:rPr>
          <w:sz w:val="21"/>
        </w:rPr>
        <w:t xml:space="preserve">As the Commission celebrates over 30 years of advocating </w:t>
      </w:r>
      <w:r>
        <w:rPr>
          <w:sz w:val="21"/>
        </w:rPr>
        <w:t>on the behalf of LGBTQ youth, we also look to renew our focus to hold ourselves, our colleagues, school communities &amp; districts, legislators, and agencies accountable to proactive, consistent, and inclusive approaches to service provision to create long-la</w:t>
      </w:r>
      <w:r>
        <w:rPr>
          <w:sz w:val="21"/>
        </w:rPr>
        <w:t>sting</w:t>
      </w:r>
      <w:r>
        <w:rPr>
          <w:spacing w:val="-5"/>
          <w:sz w:val="21"/>
        </w:rPr>
        <w:t xml:space="preserve"> </w:t>
      </w:r>
      <w:r>
        <w:rPr>
          <w:sz w:val="21"/>
        </w:rPr>
        <w:t>change.</w:t>
      </w:r>
      <w:r>
        <w:rPr>
          <w:spacing w:val="-5"/>
          <w:sz w:val="21"/>
        </w:rPr>
        <w:t xml:space="preserve"> </w:t>
      </w:r>
      <w:r>
        <w:rPr>
          <w:sz w:val="21"/>
        </w:rPr>
        <w:t>As</w:t>
      </w:r>
      <w:r>
        <w:rPr>
          <w:spacing w:val="-5"/>
          <w:sz w:val="21"/>
        </w:rPr>
        <w:t xml:space="preserve"> </w:t>
      </w:r>
      <w:r>
        <w:rPr>
          <w:sz w:val="21"/>
        </w:rPr>
        <w:t>we</w:t>
      </w:r>
      <w:r>
        <w:rPr>
          <w:spacing w:val="-4"/>
          <w:sz w:val="21"/>
        </w:rPr>
        <w:t xml:space="preserve"> </w:t>
      </w:r>
      <w:r>
        <w:rPr>
          <w:sz w:val="21"/>
        </w:rPr>
        <w:t>look</w:t>
      </w:r>
      <w:r>
        <w:rPr>
          <w:spacing w:val="-4"/>
          <w:sz w:val="21"/>
        </w:rPr>
        <w:t xml:space="preserve"> </w:t>
      </w:r>
      <w:r>
        <w:rPr>
          <w:sz w:val="21"/>
        </w:rPr>
        <w:t>to</w:t>
      </w:r>
      <w:r>
        <w:rPr>
          <w:spacing w:val="-5"/>
          <w:sz w:val="21"/>
        </w:rPr>
        <w:t xml:space="preserve"> </w:t>
      </w:r>
      <w:r>
        <w:rPr>
          <w:sz w:val="21"/>
        </w:rPr>
        <w:t>publish</w:t>
      </w:r>
      <w:r>
        <w:rPr>
          <w:spacing w:val="-5"/>
          <w:sz w:val="21"/>
        </w:rPr>
        <w:t xml:space="preserve"> </w:t>
      </w:r>
      <w:r>
        <w:rPr>
          <w:sz w:val="21"/>
        </w:rPr>
        <w:t>new</w:t>
      </w:r>
      <w:r>
        <w:rPr>
          <w:spacing w:val="-4"/>
          <w:sz w:val="21"/>
        </w:rPr>
        <w:t xml:space="preserve"> </w:t>
      </w:r>
      <w:r>
        <w:rPr>
          <w:sz w:val="21"/>
        </w:rPr>
        <w:t>recommendations</w:t>
      </w:r>
      <w:r>
        <w:rPr>
          <w:spacing w:val="-5"/>
          <w:sz w:val="21"/>
        </w:rPr>
        <w:t xml:space="preserve"> </w:t>
      </w:r>
      <w:r>
        <w:rPr>
          <w:sz w:val="21"/>
        </w:rPr>
        <w:t>and</w:t>
      </w:r>
      <w:r>
        <w:rPr>
          <w:spacing w:val="-5"/>
          <w:sz w:val="21"/>
        </w:rPr>
        <w:t xml:space="preserve"> </w:t>
      </w:r>
      <w:r>
        <w:rPr>
          <w:sz w:val="21"/>
        </w:rPr>
        <w:t>special</w:t>
      </w:r>
      <w:r>
        <w:rPr>
          <w:spacing w:val="-5"/>
          <w:sz w:val="21"/>
        </w:rPr>
        <w:t xml:space="preserve"> </w:t>
      </w:r>
      <w:r>
        <w:rPr>
          <w:sz w:val="21"/>
        </w:rPr>
        <w:t>reports</w:t>
      </w:r>
      <w:r>
        <w:rPr>
          <w:spacing w:val="-5"/>
          <w:sz w:val="21"/>
        </w:rPr>
        <w:t xml:space="preserve"> </w:t>
      </w:r>
      <w:r>
        <w:rPr>
          <w:sz w:val="21"/>
        </w:rPr>
        <w:t>on</w:t>
      </w:r>
      <w:r>
        <w:rPr>
          <w:spacing w:val="-5"/>
          <w:sz w:val="21"/>
        </w:rPr>
        <w:t xml:space="preserve"> </w:t>
      </w:r>
      <w:r>
        <w:rPr>
          <w:sz w:val="21"/>
        </w:rPr>
        <w:t>the</w:t>
      </w:r>
      <w:r>
        <w:rPr>
          <w:spacing w:val="-4"/>
          <w:sz w:val="21"/>
        </w:rPr>
        <w:t xml:space="preserve"> </w:t>
      </w:r>
      <w:r>
        <w:rPr>
          <w:sz w:val="21"/>
        </w:rPr>
        <w:t>realities</w:t>
      </w:r>
      <w:r>
        <w:rPr>
          <w:spacing w:val="-5"/>
          <w:sz w:val="21"/>
        </w:rPr>
        <w:t xml:space="preserve"> </w:t>
      </w:r>
      <w:r>
        <w:rPr>
          <w:sz w:val="21"/>
        </w:rPr>
        <w:t>of LGBTQ and QTBIPOC youth in the Commonwealth, we call to action all those in position to make significant changes to address the harms and disparities faced by t</w:t>
      </w:r>
      <w:r>
        <w:rPr>
          <w:sz w:val="21"/>
        </w:rPr>
        <w:t>oo many in this state.</w:t>
      </w:r>
    </w:p>
    <w:p w:rsidR="00200FDA" w:rsidRDefault="00200FDA">
      <w:pPr>
        <w:pStyle w:val="BodyText"/>
        <w:spacing w:before="8"/>
        <w:rPr>
          <w:sz w:val="19"/>
        </w:rPr>
      </w:pPr>
    </w:p>
    <w:p w:rsidR="00200FDA" w:rsidRDefault="00F76C4C">
      <w:pPr>
        <w:ind w:left="407"/>
        <w:rPr>
          <w:b/>
          <w:sz w:val="21"/>
        </w:rPr>
      </w:pPr>
      <w:r>
        <w:rPr>
          <w:b/>
          <w:sz w:val="21"/>
        </w:rPr>
        <w:t>The</w:t>
      </w:r>
      <w:r>
        <w:rPr>
          <w:b/>
          <w:spacing w:val="-7"/>
          <w:sz w:val="21"/>
        </w:rPr>
        <w:t xml:space="preserve"> </w:t>
      </w:r>
      <w:r>
        <w:rPr>
          <w:b/>
          <w:sz w:val="21"/>
        </w:rPr>
        <w:t>Commonwealth</w:t>
      </w:r>
      <w:r>
        <w:rPr>
          <w:b/>
          <w:spacing w:val="-7"/>
          <w:sz w:val="21"/>
        </w:rPr>
        <w:t xml:space="preserve"> </w:t>
      </w:r>
      <w:r>
        <w:rPr>
          <w:b/>
          <w:sz w:val="21"/>
        </w:rPr>
        <w:t>must</w:t>
      </w:r>
      <w:r>
        <w:rPr>
          <w:b/>
          <w:spacing w:val="-3"/>
          <w:sz w:val="21"/>
        </w:rPr>
        <w:t xml:space="preserve"> </w:t>
      </w:r>
      <w:r>
        <w:rPr>
          <w:b/>
          <w:sz w:val="21"/>
        </w:rPr>
        <w:t>commit</w:t>
      </w:r>
      <w:r>
        <w:rPr>
          <w:b/>
          <w:spacing w:val="-5"/>
          <w:sz w:val="21"/>
        </w:rPr>
        <w:t xml:space="preserve"> </w:t>
      </w:r>
      <w:r>
        <w:rPr>
          <w:b/>
          <w:sz w:val="21"/>
        </w:rPr>
        <w:t>to</w:t>
      </w:r>
      <w:r>
        <w:rPr>
          <w:b/>
          <w:spacing w:val="-5"/>
          <w:sz w:val="21"/>
        </w:rPr>
        <w:t xml:space="preserve"> </w:t>
      </w:r>
      <w:r>
        <w:rPr>
          <w:b/>
          <w:sz w:val="21"/>
        </w:rPr>
        <w:t>becoming</w:t>
      </w:r>
      <w:r>
        <w:rPr>
          <w:b/>
          <w:spacing w:val="-3"/>
          <w:sz w:val="21"/>
        </w:rPr>
        <w:t xml:space="preserve"> </w:t>
      </w:r>
      <w:r>
        <w:rPr>
          <w:b/>
          <w:spacing w:val="-2"/>
          <w:sz w:val="21"/>
        </w:rPr>
        <w:t>united.</w:t>
      </w:r>
    </w:p>
    <w:p w:rsidR="00200FDA" w:rsidRDefault="00200FDA">
      <w:pPr>
        <w:pStyle w:val="BodyText"/>
        <w:rPr>
          <w:b/>
          <w:sz w:val="20"/>
        </w:rPr>
      </w:pPr>
    </w:p>
    <w:p w:rsidR="00200FDA" w:rsidRDefault="00200FDA">
      <w:pPr>
        <w:pStyle w:val="BodyText"/>
        <w:rPr>
          <w:b/>
          <w:sz w:val="27"/>
        </w:rPr>
      </w:pPr>
    </w:p>
    <w:p w:rsidR="00200FDA" w:rsidRDefault="00F76C4C">
      <w:pPr>
        <w:ind w:left="407"/>
        <w:rPr>
          <w:sz w:val="21"/>
        </w:rPr>
      </w:pPr>
      <w:r>
        <w:rPr>
          <w:spacing w:val="-2"/>
          <w:sz w:val="21"/>
        </w:rPr>
        <w:t>Sincerely,</w:t>
      </w:r>
    </w:p>
    <w:p w:rsidR="00200FDA" w:rsidRDefault="00200FDA">
      <w:pPr>
        <w:pStyle w:val="BodyText"/>
        <w:spacing w:before="2"/>
        <w:rPr>
          <w:sz w:val="24"/>
        </w:rPr>
      </w:pPr>
    </w:p>
    <w:p w:rsidR="00200FDA" w:rsidRDefault="00200FDA">
      <w:pPr>
        <w:rPr>
          <w:sz w:val="24"/>
        </w:rPr>
        <w:sectPr w:rsidR="00200FDA">
          <w:pgSz w:w="12240" w:h="15840"/>
          <w:pgMar w:top="1380" w:right="1280" w:bottom="280" w:left="1320" w:header="761" w:footer="0" w:gutter="0"/>
          <w:cols w:space="720"/>
        </w:sectPr>
      </w:pPr>
    </w:p>
    <w:p w:rsidR="00200FDA" w:rsidRDefault="00F76C4C">
      <w:pPr>
        <w:spacing w:before="37"/>
        <w:ind w:left="460" w:right="38"/>
        <w:rPr>
          <w:sz w:val="18"/>
        </w:rPr>
      </w:pPr>
      <w:r>
        <w:rPr>
          <w:rFonts w:ascii="Segoe Script"/>
          <w:sz w:val="21"/>
        </w:rPr>
        <w:t>Craig</w:t>
      </w:r>
      <w:r>
        <w:rPr>
          <w:rFonts w:ascii="Segoe Script"/>
          <w:spacing w:val="-21"/>
          <w:sz w:val="21"/>
        </w:rPr>
        <w:t xml:space="preserve"> </w:t>
      </w:r>
      <w:r>
        <w:rPr>
          <w:rFonts w:ascii="Segoe Script"/>
          <w:sz w:val="21"/>
        </w:rPr>
        <w:t xml:space="preserve">Martin </w:t>
      </w:r>
      <w:r>
        <w:rPr>
          <w:spacing w:val="-2"/>
          <w:sz w:val="18"/>
        </w:rPr>
        <w:t>Co-Chair</w:t>
      </w:r>
      <w:r>
        <w:rPr>
          <w:spacing w:val="40"/>
          <w:sz w:val="18"/>
        </w:rPr>
        <w:t xml:space="preserve"> </w:t>
      </w:r>
      <w:r>
        <w:rPr>
          <w:spacing w:val="-2"/>
          <w:sz w:val="18"/>
        </w:rPr>
        <w:t>He/Him/His</w:t>
      </w:r>
    </w:p>
    <w:p w:rsidR="00200FDA" w:rsidRDefault="00F76C4C">
      <w:pPr>
        <w:spacing w:before="37"/>
        <w:ind w:left="460"/>
        <w:rPr>
          <w:rFonts w:ascii="Segoe Script"/>
          <w:sz w:val="21"/>
        </w:rPr>
      </w:pPr>
      <w:r>
        <w:br w:type="column"/>
      </w:r>
      <w:r>
        <w:rPr>
          <w:rFonts w:ascii="Segoe Script"/>
          <w:sz w:val="21"/>
        </w:rPr>
        <w:t>Noemi</w:t>
      </w:r>
      <w:r>
        <w:rPr>
          <w:rFonts w:ascii="Segoe Script"/>
          <w:spacing w:val="-6"/>
          <w:sz w:val="21"/>
        </w:rPr>
        <w:t xml:space="preserve"> </w:t>
      </w:r>
      <w:r>
        <w:rPr>
          <w:rFonts w:ascii="Segoe Script"/>
          <w:spacing w:val="-2"/>
          <w:sz w:val="21"/>
        </w:rPr>
        <w:t>Uribe</w:t>
      </w:r>
    </w:p>
    <w:p w:rsidR="00200FDA" w:rsidRDefault="00F76C4C">
      <w:pPr>
        <w:spacing w:before="3"/>
        <w:ind w:left="460" w:right="774" w:hanging="1"/>
        <w:rPr>
          <w:sz w:val="18"/>
        </w:rPr>
      </w:pPr>
      <w:r>
        <w:rPr>
          <w:spacing w:val="-2"/>
          <w:sz w:val="18"/>
        </w:rPr>
        <w:t>Co-Chair</w:t>
      </w:r>
      <w:r>
        <w:rPr>
          <w:sz w:val="18"/>
        </w:rPr>
        <w:t xml:space="preserve"> </w:t>
      </w:r>
      <w:r>
        <w:rPr>
          <w:spacing w:val="-2"/>
          <w:sz w:val="18"/>
        </w:rPr>
        <w:t>They/She</w:t>
      </w:r>
    </w:p>
    <w:p w:rsidR="00200FDA" w:rsidRDefault="00F76C4C">
      <w:pPr>
        <w:spacing w:before="37"/>
        <w:ind w:left="460" w:right="2568"/>
        <w:rPr>
          <w:sz w:val="18"/>
        </w:rPr>
      </w:pPr>
      <w:r>
        <w:br w:type="column"/>
      </w:r>
      <w:r>
        <w:rPr>
          <w:rFonts w:ascii="Segoe Script"/>
          <w:sz w:val="21"/>
        </w:rPr>
        <w:t>Shaplaie</w:t>
      </w:r>
      <w:r>
        <w:rPr>
          <w:rFonts w:ascii="Segoe Script"/>
          <w:spacing w:val="-21"/>
          <w:sz w:val="21"/>
        </w:rPr>
        <w:t xml:space="preserve"> </w:t>
      </w:r>
      <w:r>
        <w:rPr>
          <w:rFonts w:ascii="Segoe Script"/>
          <w:sz w:val="21"/>
        </w:rPr>
        <w:t xml:space="preserve">Brooks </w:t>
      </w:r>
      <w:r>
        <w:rPr>
          <w:sz w:val="18"/>
        </w:rPr>
        <w:t>Executive</w:t>
      </w:r>
      <w:r>
        <w:rPr>
          <w:spacing w:val="-2"/>
          <w:sz w:val="18"/>
        </w:rPr>
        <w:t xml:space="preserve"> </w:t>
      </w:r>
      <w:r>
        <w:rPr>
          <w:sz w:val="18"/>
        </w:rPr>
        <w:t xml:space="preserve">Director </w:t>
      </w:r>
      <w:r>
        <w:rPr>
          <w:spacing w:val="-2"/>
          <w:sz w:val="18"/>
        </w:rPr>
        <w:t>She/Her/Hers</w:t>
      </w:r>
    </w:p>
    <w:p w:rsidR="00200FDA" w:rsidRDefault="00200FDA">
      <w:pPr>
        <w:rPr>
          <w:sz w:val="18"/>
        </w:rPr>
        <w:sectPr w:rsidR="00200FDA">
          <w:type w:val="continuous"/>
          <w:pgSz w:w="12240" w:h="15840"/>
          <w:pgMar w:top="720" w:right="1280" w:bottom="280" w:left="1320" w:header="761" w:footer="0" w:gutter="0"/>
          <w:cols w:num="3" w:space="720" w:equalWidth="0">
            <w:col w:w="1979" w:space="176"/>
            <w:col w:w="1928" w:space="232"/>
            <w:col w:w="5325"/>
          </w:cols>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F76C4C">
      <w:pPr>
        <w:spacing w:before="272"/>
        <w:ind w:left="1852" w:right="256"/>
        <w:jc w:val="center"/>
        <w:rPr>
          <w:rFonts w:ascii="Georgia"/>
          <w:sz w:val="73"/>
        </w:rPr>
      </w:pPr>
      <w:bookmarkStart w:id="50" w:name="Blue_and_White_Simply_Neutral_Table_of_C"/>
      <w:bookmarkStart w:id="51" w:name="_bookmark0"/>
      <w:bookmarkStart w:id="52" w:name="_bookmark1"/>
      <w:bookmarkStart w:id="53" w:name="_bookmark2"/>
      <w:bookmarkEnd w:id="50"/>
      <w:bookmarkEnd w:id="51"/>
      <w:bookmarkEnd w:id="52"/>
      <w:bookmarkEnd w:id="53"/>
      <w:r>
        <w:rPr>
          <w:rFonts w:ascii="Georgia"/>
          <w:spacing w:val="-28"/>
          <w:sz w:val="73"/>
        </w:rPr>
        <w:t>TABLE</w:t>
      </w:r>
      <w:r>
        <w:rPr>
          <w:rFonts w:ascii="Georgia"/>
          <w:spacing w:val="-16"/>
          <w:sz w:val="73"/>
        </w:rPr>
        <w:t xml:space="preserve"> </w:t>
      </w:r>
      <w:r>
        <w:rPr>
          <w:rFonts w:ascii="Georgia"/>
          <w:spacing w:val="-28"/>
          <w:sz w:val="73"/>
        </w:rPr>
        <w:t>OF</w:t>
      </w:r>
      <w:r>
        <w:rPr>
          <w:rFonts w:ascii="Georgia"/>
          <w:spacing w:val="-15"/>
          <w:sz w:val="73"/>
        </w:rPr>
        <w:t xml:space="preserve"> </w:t>
      </w:r>
      <w:r>
        <w:rPr>
          <w:rFonts w:ascii="Georgia"/>
          <w:spacing w:val="-28"/>
          <w:sz w:val="73"/>
        </w:rPr>
        <w:t>CONTENTS</w:t>
      </w: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rPr>
          <w:rFonts w:ascii="Georgia"/>
          <w:sz w:val="20"/>
        </w:rPr>
        <w:sectPr w:rsidR="00200FDA">
          <w:headerReference w:type="default" r:id="rId14"/>
          <w:footerReference w:type="default" r:id="rId15"/>
          <w:pgSz w:w="12240" w:h="15840"/>
          <w:pgMar w:top="400" w:right="960" w:bottom="1280" w:left="1720" w:header="0" w:footer="1100" w:gutter="0"/>
          <w:cols w:space="720"/>
        </w:sectPr>
      </w:pPr>
    </w:p>
    <w:p w:rsidR="00200FDA" w:rsidRDefault="00F76C4C">
      <w:pPr>
        <w:spacing w:before="245"/>
        <w:ind w:left="1953"/>
        <w:rPr>
          <w:rFonts w:ascii="Georgia"/>
          <w:sz w:val="32"/>
        </w:rPr>
      </w:pPr>
      <w:hyperlink w:anchor="_bookmark3" w:history="1">
        <w:r>
          <w:rPr>
            <w:rFonts w:ascii="Georgia"/>
            <w:spacing w:val="-12"/>
            <w:sz w:val="32"/>
          </w:rPr>
          <w:t>2021</w:t>
        </w:r>
        <w:r>
          <w:rPr>
            <w:rFonts w:ascii="Georgia"/>
            <w:spacing w:val="-2"/>
            <w:sz w:val="32"/>
          </w:rPr>
          <w:t xml:space="preserve"> </w:t>
        </w:r>
        <w:r>
          <w:rPr>
            <w:rFonts w:ascii="Georgia"/>
            <w:spacing w:val="-12"/>
            <w:sz w:val="32"/>
          </w:rPr>
          <w:t>MYRBS</w:t>
        </w:r>
        <w:r>
          <w:rPr>
            <w:rFonts w:ascii="Georgia"/>
            <w:spacing w:val="-1"/>
            <w:sz w:val="32"/>
          </w:rPr>
          <w:t xml:space="preserve"> </w:t>
        </w:r>
        <w:r>
          <w:rPr>
            <w:rFonts w:ascii="Georgia"/>
            <w:spacing w:val="-12"/>
            <w:sz w:val="32"/>
          </w:rPr>
          <w:t>Analysis</w:t>
        </w:r>
      </w:hyperlink>
    </w:p>
    <w:p w:rsidR="00200FDA" w:rsidRDefault="00F76C4C">
      <w:pPr>
        <w:spacing w:before="283" w:line="412" w:lineRule="auto"/>
        <w:ind w:left="1953" w:right="1263"/>
        <w:rPr>
          <w:rFonts w:ascii="Georgia"/>
          <w:sz w:val="32"/>
        </w:rPr>
      </w:pPr>
      <w:hyperlink w:anchor="_bookmark4" w:history="1">
        <w:r>
          <w:rPr>
            <w:rFonts w:ascii="Georgia"/>
            <w:sz w:val="32"/>
          </w:rPr>
          <w:t>Anti-LGBTQ Attacks - Massachusetts</w:t>
        </w:r>
      </w:hyperlink>
      <w:r>
        <w:rPr>
          <w:rFonts w:ascii="Georgia"/>
          <w:sz w:val="32"/>
        </w:rPr>
        <w:t xml:space="preserve"> P</w:t>
      </w:r>
      <w:hyperlink w:anchor="_bookmark5" w:history="1">
        <w:r>
          <w:rPr>
            <w:rFonts w:ascii="Georgia"/>
            <w:sz w:val="32"/>
          </w:rPr>
          <w:t>rotecting LGBTQ Child Welfare</w:t>
        </w:r>
      </w:hyperlink>
      <w:r>
        <w:rPr>
          <w:rFonts w:ascii="Georgia"/>
          <w:sz w:val="32"/>
        </w:rPr>
        <w:t xml:space="preserve"> U</w:t>
      </w:r>
      <w:hyperlink w:anchor="_bookmark36" w:history="1">
        <w:r>
          <w:rPr>
            <w:rFonts w:ascii="Georgia"/>
            <w:sz w:val="32"/>
          </w:rPr>
          <w:t>plifting Education</w:t>
        </w:r>
      </w:hyperlink>
    </w:p>
    <w:p w:rsidR="00200FDA" w:rsidRDefault="00F76C4C">
      <w:pPr>
        <w:spacing w:before="2" w:line="412" w:lineRule="auto"/>
        <w:ind w:left="1953" w:right="1483"/>
        <w:rPr>
          <w:rFonts w:ascii="Georgia"/>
          <w:sz w:val="32"/>
        </w:rPr>
      </w:pPr>
      <w:r>
        <w:rPr>
          <w:rFonts w:ascii="Georgia"/>
          <w:sz w:val="32"/>
        </w:rPr>
        <w:t>D</w:t>
      </w:r>
      <w:hyperlink w:anchor="_bookmark94" w:history="1">
        <w:r>
          <w:rPr>
            <w:rFonts w:ascii="Georgia"/>
            <w:sz w:val="32"/>
          </w:rPr>
          <w:t>estigmatizing Public Health</w:t>
        </w:r>
      </w:hyperlink>
      <w:r>
        <w:rPr>
          <w:rFonts w:ascii="Georgia"/>
          <w:sz w:val="32"/>
        </w:rPr>
        <w:t xml:space="preserve"> </w:t>
      </w:r>
      <w:hyperlink w:anchor="_bookmark254" w:history="1">
        <w:r>
          <w:rPr>
            <w:rFonts w:ascii="Georgia"/>
            <w:sz w:val="32"/>
          </w:rPr>
          <w:t>Supporting Mental Health</w:t>
        </w:r>
      </w:hyperlink>
      <w:r>
        <w:rPr>
          <w:rFonts w:ascii="Georgia"/>
          <w:sz w:val="32"/>
        </w:rPr>
        <w:t xml:space="preserve"> A</w:t>
      </w:r>
      <w:hyperlink w:anchor="_bookmark351" w:history="1">
        <w:r>
          <w:rPr>
            <w:rFonts w:ascii="Georgia"/>
            <w:sz w:val="32"/>
          </w:rPr>
          <w:t>ddressing Pediatric Health</w:t>
        </w:r>
      </w:hyperlink>
    </w:p>
    <w:p w:rsidR="00200FDA" w:rsidRDefault="00F76C4C">
      <w:pPr>
        <w:spacing w:line="348" w:lineRule="exact"/>
        <w:ind w:left="1953"/>
        <w:rPr>
          <w:rFonts w:ascii="Georgia"/>
          <w:sz w:val="32"/>
        </w:rPr>
      </w:pPr>
      <w:hyperlink w:anchor="_bookmark446" w:history="1">
        <w:r>
          <w:rPr>
            <w:rFonts w:ascii="Georgia"/>
            <w:sz w:val="32"/>
          </w:rPr>
          <w:t>Broadening</w:t>
        </w:r>
        <w:r>
          <w:rPr>
            <w:rFonts w:ascii="Georgia"/>
            <w:spacing w:val="30"/>
            <w:sz w:val="32"/>
          </w:rPr>
          <w:t xml:space="preserve"> </w:t>
        </w:r>
        <w:r>
          <w:rPr>
            <w:rFonts w:ascii="Georgia"/>
            <w:sz w:val="32"/>
          </w:rPr>
          <w:t>Pregnancy</w:t>
        </w:r>
        <w:r>
          <w:rPr>
            <w:rFonts w:ascii="Georgia"/>
            <w:spacing w:val="31"/>
            <w:sz w:val="32"/>
          </w:rPr>
          <w:t xml:space="preserve"> </w:t>
        </w:r>
        <w:r>
          <w:rPr>
            <w:rFonts w:ascii="Georgia"/>
            <w:sz w:val="32"/>
          </w:rPr>
          <w:t>&amp;</w:t>
        </w:r>
        <w:r>
          <w:rPr>
            <w:rFonts w:ascii="Georgia"/>
            <w:spacing w:val="31"/>
            <w:sz w:val="32"/>
          </w:rPr>
          <w:t xml:space="preserve"> </w:t>
        </w:r>
        <w:r>
          <w:rPr>
            <w:rFonts w:ascii="Georgia"/>
            <w:sz w:val="32"/>
          </w:rPr>
          <w:t>Gynecological</w:t>
        </w:r>
        <w:r>
          <w:rPr>
            <w:rFonts w:ascii="Georgia"/>
            <w:spacing w:val="31"/>
            <w:sz w:val="32"/>
          </w:rPr>
          <w:t xml:space="preserve"> </w:t>
        </w:r>
        <w:r>
          <w:rPr>
            <w:rFonts w:ascii="Georgia"/>
            <w:spacing w:val="-2"/>
            <w:sz w:val="32"/>
          </w:rPr>
          <w:t>Health</w:t>
        </w:r>
      </w:hyperlink>
    </w:p>
    <w:p w:rsidR="00200FDA" w:rsidRDefault="00F76C4C">
      <w:pPr>
        <w:spacing w:before="303" w:line="415" w:lineRule="auto"/>
        <w:ind w:left="1953" w:right="2917"/>
        <w:rPr>
          <w:rFonts w:ascii="Georgia"/>
          <w:sz w:val="32"/>
        </w:rPr>
      </w:pPr>
      <w:hyperlink w:anchor="_bookmark524" w:history="1">
        <w:r>
          <w:rPr>
            <w:rFonts w:ascii="Georgia"/>
            <w:sz w:val="32"/>
          </w:rPr>
          <w:t>Improving Sexual Health</w:t>
        </w:r>
      </w:hyperlink>
      <w:r>
        <w:rPr>
          <w:rFonts w:ascii="Georgia"/>
          <w:sz w:val="32"/>
        </w:rPr>
        <w:t xml:space="preserve"> </w:t>
      </w:r>
      <w:hyperlink w:anchor="_bookmark580" w:history="1">
        <w:r>
          <w:rPr>
            <w:rFonts w:ascii="Georgia"/>
            <w:sz w:val="32"/>
          </w:rPr>
          <w:t>Ending Homelessness</w:t>
        </w:r>
      </w:hyperlink>
      <w:r>
        <w:rPr>
          <w:rFonts w:ascii="Georgia"/>
          <w:sz w:val="32"/>
        </w:rPr>
        <w:t xml:space="preserve"> </w:t>
      </w:r>
      <w:hyperlink w:anchor="_bookmark656" w:history="1">
        <w:r>
          <w:rPr>
            <w:rFonts w:ascii="Georgia"/>
            <w:sz w:val="32"/>
          </w:rPr>
          <w:t>Advancing Justice</w:t>
        </w:r>
      </w:hyperlink>
      <w:r>
        <w:rPr>
          <w:rFonts w:ascii="Georgia"/>
          <w:spacing w:val="40"/>
          <w:sz w:val="32"/>
        </w:rPr>
        <w:t xml:space="preserve"> </w:t>
      </w:r>
      <w:hyperlink w:anchor="_bookmark709" w:history="1">
        <w:r>
          <w:rPr>
            <w:rFonts w:ascii="Georgia"/>
            <w:sz w:val="32"/>
          </w:rPr>
          <w:t>Inclusive Service Provision</w:t>
        </w:r>
      </w:hyperlink>
    </w:p>
    <w:p w:rsidR="00200FDA" w:rsidRDefault="00F76C4C">
      <w:pPr>
        <w:spacing w:before="18" w:line="417" w:lineRule="auto"/>
        <w:ind w:left="1953" w:right="1263"/>
        <w:rPr>
          <w:rFonts w:ascii="Georgia"/>
          <w:sz w:val="32"/>
        </w:rPr>
      </w:pPr>
      <w:hyperlink w:anchor="_bookmark775" w:history="1">
        <w:r>
          <w:rPr>
            <w:rFonts w:ascii="Georgia"/>
            <w:sz w:val="32"/>
          </w:rPr>
          <w:t>Understanding Environmental Justice</w:t>
        </w:r>
      </w:hyperlink>
      <w:r>
        <w:rPr>
          <w:rFonts w:ascii="Georgia"/>
          <w:sz w:val="32"/>
        </w:rPr>
        <w:t xml:space="preserve"> </w:t>
      </w:r>
      <w:hyperlink w:anchor="_bookmark844" w:history="1">
        <w:r>
          <w:rPr>
            <w:rFonts w:ascii="Georgia"/>
            <w:sz w:val="32"/>
          </w:rPr>
          <w:t>Eliminating Barriers to Services</w:t>
        </w:r>
      </w:hyperlink>
      <w:r>
        <w:rPr>
          <w:rFonts w:ascii="Georgia"/>
          <w:sz w:val="32"/>
        </w:rPr>
        <w:t xml:space="preserve"> </w:t>
      </w:r>
      <w:hyperlink w:anchor="_bookmark847" w:history="1">
        <w:r>
          <w:rPr>
            <w:rFonts w:ascii="Georgia"/>
            <w:sz w:val="32"/>
          </w:rPr>
          <w:t>Agency Recommendations</w:t>
        </w:r>
      </w:hyperlink>
    </w:p>
    <w:p w:rsidR="00200FDA" w:rsidRDefault="00F76C4C">
      <w:pPr>
        <w:spacing w:before="7"/>
        <w:ind w:left="1953"/>
        <w:rPr>
          <w:rFonts w:ascii="Georgia"/>
          <w:sz w:val="32"/>
        </w:rPr>
      </w:pPr>
      <w:hyperlink w:anchor="_bookmark923" w:history="1">
        <w:r>
          <w:rPr>
            <w:rFonts w:ascii="Georgia"/>
            <w:spacing w:val="-2"/>
            <w:sz w:val="32"/>
          </w:rPr>
          <w:t>Glossary</w:t>
        </w:r>
      </w:hyperlink>
    </w:p>
    <w:p w:rsidR="00200FDA" w:rsidRDefault="00F76C4C">
      <w:pPr>
        <w:spacing w:before="251"/>
        <w:ind w:left="1953"/>
        <w:rPr>
          <w:rFonts w:ascii="Georgia"/>
          <w:sz w:val="32"/>
        </w:rPr>
      </w:pPr>
      <w:hyperlink w:anchor="_bookmark924" w:history="1">
        <w:r>
          <w:rPr>
            <w:rFonts w:ascii="Georgia"/>
            <w:sz w:val="32"/>
          </w:rPr>
          <w:t>Commission</w:t>
        </w:r>
        <w:r>
          <w:rPr>
            <w:rFonts w:ascii="Georgia"/>
            <w:spacing w:val="1"/>
            <w:sz w:val="32"/>
          </w:rPr>
          <w:t xml:space="preserve"> </w:t>
        </w:r>
        <w:r>
          <w:rPr>
            <w:rFonts w:ascii="Georgia"/>
            <w:sz w:val="32"/>
          </w:rPr>
          <w:t>Member</w:t>
        </w:r>
        <w:r>
          <w:rPr>
            <w:rFonts w:ascii="Georgia"/>
            <w:spacing w:val="1"/>
            <w:sz w:val="32"/>
          </w:rPr>
          <w:t xml:space="preserve"> </w:t>
        </w:r>
        <w:r>
          <w:rPr>
            <w:rFonts w:ascii="Georgia"/>
            <w:spacing w:val="-4"/>
            <w:sz w:val="32"/>
          </w:rPr>
          <w:t>List</w:t>
        </w:r>
      </w:hyperlink>
    </w:p>
    <w:p w:rsidR="00200FDA" w:rsidRDefault="00F76C4C">
      <w:pPr>
        <w:spacing w:before="245"/>
        <w:ind w:left="172" w:right="89"/>
        <w:jc w:val="center"/>
        <w:rPr>
          <w:rFonts w:ascii="Georgia"/>
          <w:sz w:val="32"/>
        </w:rPr>
      </w:pPr>
      <w:r>
        <w:br w:type="column"/>
      </w:r>
      <w:hyperlink w:anchor="_bookmark3" w:history="1">
        <w:r>
          <w:rPr>
            <w:rFonts w:ascii="Georgia"/>
            <w:spacing w:val="-10"/>
            <w:sz w:val="32"/>
          </w:rPr>
          <w:t>1</w:t>
        </w:r>
      </w:hyperlink>
    </w:p>
    <w:p w:rsidR="00200FDA" w:rsidRDefault="00F76C4C">
      <w:pPr>
        <w:spacing w:before="266"/>
        <w:ind w:left="83"/>
        <w:jc w:val="center"/>
        <w:rPr>
          <w:rFonts w:ascii="Georgia"/>
          <w:sz w:val="32"/>
        </w:rPr>
      </w:pPr>
      <w:hyperlink w:anchor="_bookmark4" w:history="1">
        <w:r>
          <w:rPr>
            <w:rFonts w:ascii="Georgia"/>
            <w:w w:val="89"/>
            <w:sz w:val="32"/>
          </w:rPr>
          <w:t>9</w:t>
        </w:r>
      </w:hyperlink>
    </w:p>
    <w:p w:rsidR="00200FDA" w:rsidRDefault="00F76C4C">
      <w:pPr>
        <w:spacing w:before="261"/>
        <w:ind w:left="172" w:right="89"/>
        <w:jc w:val="center"/>
        <w:rPr>
          <w:rFonts w:ascii="Georgia"/>
          <w:sz w:val="32"/>
        </w:rPr>
      </w:pPr>
      <w:hyperlink w:anchor="_bookmark5" w:history="1">
        <w:r>
          <w:rPr>
            <w:rFonts w:ascii="Georgia"/>
            <w:spacing w:val="-5"/>
            <w:sz w:val="32"/>
          </w:rPr>
          <w:t>10</w:t>
        </w:r>
      </w:hyperlink>
    </w:p>
    <w:p w:rsidR="00200FDA" w:rsidRDefault="00F76C4C">
      <w:pPr>
        <w:spacing w:before="270"/>
        <w:ind w:left="172" w:right="89"/>
        <w:jc w:val="center"/>
        <w:rPr>
          <w:rFonts w:ascii="Georgia"/>
          <w:sz w:val="32"/>
        </w:rPr>
      </w:pPr>
      <w:hyperlink w:anchor="_bookmark36" w:history="1">
        <w:r>
          <w:rPr>
            <w:rFonts w:ascii="Georgia"/>
            <w:spacing w:val="-5"/>
            <w:sz w:val="32"/>
          </w:rPr>
          <w:t>22</w:t>
        </w:r>
      </w:hyperlink>
    </w:p>
    <w:p w:rsidR="00200FDA" w:rsidRDefault="00F76C4C">
      <w:pPr>
        <w:spacing w:before="261"/>
        <w:ind w:left="172" w:right="89"/>
        <w:jc w:val="center"/>
        <w:rPr>
          <w:rFonts w:ascii="Georgia"/>
          <w:sz w:val="32"/>
        </w:rPr>
      </w:pPr>
      <w:hyperlink w:anchor="_bookmark94" w:history="1">
        <w:r>
          <w:rPr>
            <w:rFonts w:ascii="Georgia"/>
            <w:spacing w:val="-5"/>
            <w:sz w:val="32"/>
          </w:rPr>
          <w:t>36</w:t>
        </w:r>
      </w:hyperlink>
    </w:p>
    <w:p w:rsidR="00200FDA" w:rsidRDefault="00F76C4C">
      <w:pPr>
        <w:spacing w:before="271"/>
        <w:ind w:left="172" w:right="89"/>
        <w:jc w:val="center"/>
        <w:rPr>
          <w:rFonts w:ascii="Georgia"/>
          <w:sz w:val="32"/>
        </w:rPr>
      </w:pPr>
      <w:hyperlink w:anchor="_bookmark254" w:history="1">
        <w:r>
          <w:rPr>
            <w:rFonts w:ascii="Georgia"/>
            <w:spacing w:val="-5"/>
            <w:sz w:val="32"/>
          </w:rPr>
          <w:t>58</w:t>
        </w:r>
      </w:hyperlink>
    </w:p>
    <w:p w:rsidR="00200FDA" w:rsidRDefault="00F76C4C">
      <w:pPr>
        <w:spacing w:before="261"/>
        <w:ind w:left="172" w:right="89"/>
        <w:jc w:val="center"/>
        <w:rPr>
          <w:rFonts w:ascii="Georgia"/>
          <w:sz w:val="32"/>
        </w:rPr>
      </w:pPr>
      <w:hyperlink w:anchor="_bookmark351" w:history="1">
        <w:r>
          <w:rPr>
            <w:rFonts w:ascii="Georgia"/>
            <w:spacing w:val="-5"/>
            <w:w w:val="95"/>
            <w:sz w:val="32"/>
          </w:rPr>
          <w:t>82</w:t>
        </w:r>
      </w:hyperlink>
    </w:p>
    <w:p w:rsidR="00200FDA" w:rsidRDefault="00F76C4C">
      <w:pPr>
        <w:spacing w:before="265"/>
        <w:ind w:left="172" w:right="89"/>
        <w:jc w:val="center"/>
        <w:rPr>
          <w:rFonts w:ascii="Georgia"/>
          <w:sz w:val="32"/>
        </w:rPr>
      </w:pPr>
      <w:hyperlink w:anchor="_bookmark446" w:history="1">
        <w:r>
          <w:rPr>
            <w:rFonts w:ascii="Georgia"/>
            <w:spacing w:val="-5"/>
            <w:w w:val="95"/>
            <w:sz w:val="32"/>
          </w:rPr>
          <w:t>97</w:t>
        </w:r>
      </w:hyperlink>
    </w:p>
    <w:p w:rsidR="00200FDA" w:rsidRDefault="00F76C4C">
      <w:pPr>
        <w:spacing w:before="271"/>
        <w:ind w:left="172" w:right="89"/>
        <w:jc w:val="center"/>
        <w:rPr>
          <w:rFonts w:ascii="Georgia"/>
          <w:sz w:val="32"/>
        </w:rPr>
      </w:pPr>
      <w:hyperlink w:anchor="_bookmark524" w:history="1">
        <w:r>
          <w:rPr>
            <w:rFonts w:ascii="Georgia"/>
            <w:spacing w:val="-5"/>
            <w:sz w:val="32"/>
          </w:rPr>
          <w:t>116</w:t>
        </w:r>
      </w:hyperlink>
    </w:p>
    <w:p w:rsidR="00200FDA" w:rsidRDefault="00F76C4C">
      <w:pPr>
        <w:spacing w:before="275"/>
        <w:ind w:left="172" w:right="89"/>
        <w:jc w:val="center"/>
        <w:rPr>
          <w:rFonts w:ascii="Georgia"/>
          <w:sz w:val="32"/>
        </w:rPr>
      </w:pPr>
      <w:hyperlink w:anchor="_bookmark580" w:history="1">
        <w:r>
          <w:rPr>
            <w:rFonts w:ascii="Georgia"/>
            <w:spacing w:val="-5"/>
            <w:sz w:val="32"/>
          </w:rPr>
          <w:t>131</w:t>
        </w:r>
      </w:hyperlink>
    </w:p>
    <w:p w:rsidR="00200FDA" w:rsidRDefault="00F76C4C">
      <w:pPr>
        <w:spacing w:before="266"/>
        <w:ind w:left="172" w:right="89"/>
        <w:jc w:val="center"/>
        <w:rPr>
          <w:rFonts w:ascii="Georgia"/>
          <w:sz w:val="32"/>
        </w:rPr>
      </w:pPr>
      <w:hyperlink w:anchor="_bookmark656" w:history="1">
        <w:r>
          <w:rPr>
            <w:rFonts w:ascii="Georgia"/>
            <w:spacing w:val="-5"/>
            <w:sz w:val="32"/>
          </w:rPr>
          <w:t>144</w:t>
        </w:r>
      </w:hyperlink>
    </w:p>
    <w:p w:rsidR="00200FDA" w:rsidRDefault="00F76C4C">
      <w:pPr>
        <w:spacing w:before="279"/>
        <w:ind w:left="172" w:right="89"/>
        <w:jc w:val="center"/>
        <w:rPr>
          <w:rFonts w:ascii="Georgia"/>
          <w:sz w:val="32"/>
        </w:rPr>
      </w:pPr>
      <w:hyperlink w:anchor="_bookmark709" w:history="1">
        <w:r>
          <w:rPr>
            <w:rFonts w:ascii="Georgia"/>
            <w:spacing w:val="-5"/>
            <w:sz w:val="32"/>
          </w:rPr>
          <w:t>156</w:t>
        </w:r>
      </w:hyperlink>
    </w:p>
    <w:p w:rsidR="00200FDA" w:rsidRDefault="00F76C4C">
      <w:pPr>
        <w:spacing w:before="256"/>
        <w:ind w:left="172" w:right="89"/>
        <w:jc w:val="center"/>
        <w:rPr>
          <w:rFonts w:ascii="Georgia"/>
          <w:sz w:val="32"/>
        </w:rPr>
      </w:pPr>
      <w:hyperlink w:anchor="_bookmark775" w:history="1">
        <w:r>
          <w:rPr>
            <w:rFonts w:ascii="Georgia"/>
            <w:spacing w:val="-5"/>
            <w:sz w:val="32"/>
          </w:rPr>
          <w:t>172</w:t>
        </w:r>
      </w:hyperlink>
    </w:p>
    <w:p w:rsidR="00200FDA" w:rsidRDefault="00F76C4C">
      <w:pPr>
        <w:spacing w:before="279"/>
        <w:ind w:left="172" w:right="89"/>
        <w:jc w:val="center"/>
        <w:rPr>
          <w:rFonts w:ascii="Georgia"/>
          <w:sz w:val="32"/>
        </w:rPr>
      </w:pPr>
      <w:hyperlink w:anchor="_bookmark844" w:history="1">
        <w:r>
          <w:rPr>
            <w:rFonts w:ascii="Georgia"/>
            <w:spacing w:val="-5"/>
            <w:sz w:val="32"/>
          </w:rPr>
          <w:t>185</w:t>
        </w:r>
      </w:hyperlink>
    </w:p>
    <w:p w:rsidR="00200FDA" w:rsidRDefault="00F76C4C">
      <w:pPr>
        <w:spacing w:before="279"/>
        <w:ind w:left="172" w:right="89"/>
        <w:jc w:val="center"/>
        <w:rPr>
          <w:rFonts w:ascii="Georgia"/>
          <w:sz w:val="32"/>
        </w:rPr>
      </w:pPr>
      <w:hyperlink w:anchor="_bookmark847" w:history="1">
        <w:r>
          <w:rPr>
            <w:rFonts w:ascii="Georgia"/>
            <w:spacing w:val="-5"/>
            <w:sz w:val="32"/>
          </w:rPr>
          <w:t>190</w:t>
        </w:r>
      </w:hyperlink>
    </w:p>
    <w:p w:rsidR="00200FDA" w:rsidRDefault="00F76C4C">
      <w:pPr>
        <w:spacing w:before="256"/>
        <w:ind w:left="172" w:right="89"/>
        <w:jc w:val="center"/>
        <w:rPr>
          <w:rFonts w:ascii="Georgia"/>
          <w:sz w:val="32"/>
        </w:rPr>
      </w:pPr>
      <w:hyperlink w:anchor="_bookmark923" w:history="1">
        <w:r>
          <w:rPr>
            <w:rFonts w:ascii="Georgia"/>
            <w:spacing w:val="-5"/>
            <w:sz w:val="32"/>
          </w:rPr>
          <w:t>271</w:t>
        </w:r>
      </w:hyperlink>
    </w:p>
    <w:p w:rsidR="00200FDA" w:rsidRDefault="00F76C4C">
      <w:pPr>
        <w:spacing w:before="279"/>
        <w:ind w:left="172" w:right="89"/>
        <w:jc w:val="center"/>
        <w:rPr>
          <w:rFonts w:ascii="Georgia"/>
          <w:sz w:val="32"/>
        </w:rPr>
      </w:pPr>
      <w:hyperlink w:anchor="_bookmark924" w:history="1">
        <w:r>
          <w:rPr>
            <w:rFonts w:ascii="Georgia"/>
            <w:spacing w:val="-5"/>
            <w:w w:val="95"/>
            <w:sz w:val="32"/>
          </w:rPr>
          <w:t>277</w:t>
        </w:r>
      </w:hyperlink>
    </w:p>
    <w:p w:rsidR="00200FDA" w:rsidRDefault="00200FDA">
      <w:pPr>
        <w:jc w:val="center"/>
        <w:rPr>
          <w:rFonts w:ascii="Georgia"/>
          <w:sz w:val="32"/>
        </w:rPr>
        <w:sectPr w:rsidR="00200FDA">
          <w:type w:val="continuous"/>
          <w:pgSz w:w="12240" w:h="15840"/>
          <w:pgMar w:top="720" w:right="960" w:bottom="280" w:left="1720" w:header="0" w:footer="1100" w:gutter="0"/>
          <w:cols w:num="2" w:space="720" w:equalWidth="0">
            <w:col w:w="8719" w:space="40"/>
            <w:col w:w="801"/>
          </w:cols>
        </w:sectPr>
      </w:pPr>
    </w:p>
    <w:p w:rsidR="00200FDA" w:rsidRDefault="00F76C4C">
      <w:pPr>
        <w:pStyle w:val="BodyText"/>
        <w:rPr>
          <w:rFonts w:ascii="Georgia"/>
          <w:sz w:val="20"/>
        </w:rPr>
      </w:pPr>
      <w:r>
        <w:rPr>
          <w:noProof/>
        </w:rPr>
        <w:drawing>
          <wp:anchor distT="0" distB="0" distL="0" distR="0" simplePos="0" relativeHeight="15730176" behindDoc="0" locked="0" layoutInCell="1" allowOverlap="1">
            <wp:simplePos x="0" y="0"/>
            <wp:positionH relativeFrom="page">
              <wp:posOffset>493955</wp:posOffset>
            </wp:positionH>
            <wp:positionV relativeFrom="page">
              <wp:posOffset>260147</wp:posOffset>
            </wp:positionV>
            <wp:extent cx="1334890" cy="9522217"/>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6" cstate="print"/>
                    <a:stretch>
                      <a:fillRect/>
                    </a:stretch>
                  </pic:blipFill>
                  <pic:spPr>
                    <a:xfrm>
                      <a:off x="0" y="0"/>
                      <a:ext cx="1334890" cy="9522217"/>
                    </a:xfrm>
                    <a:prstGeom prst="rect">
                      <a:avLst/>
                    </a:prstGeom>
                  </pic:spPr>
                </pic:pic>
              </a:graphicData>
            </a:graphic>
          </wp:anchor>
        </w:drawing>
      </w:r>
    </w:p>
    <w:p w:rsidR="00200FDA" w:rsidRDefault="00200FDA">
      <w:pPr>
        <w:pStyle w:val="BodyText"/>
        <w:spacing w:before="10"/>
        <w:rPr>
          <w:rFonts w:ascii="Georgia"/>
          <w:sz w:val="18"/>
        </w:rPr>
      </w:pPr>
    </w:p>
    <w:p w:rsidR="00200FDA" w:rsidRDefault="00F76C4C">
      <w:pPr>
        <w:pStyle w:val="BodyText"/>
        <w:spacing w:line="20" w:lineRule="exact"/>
        <w:ind w:left="1344"/>
        <w:rPr>
          <w:rFonts w:ascii="Georgia"/>
          <w:sz w:val="2"/>
        </w:rPr>
      </w:pPr>
      <w:r>
        <w:rPr>
          <w:rFonts w:ascii="Georgia"/>
          <w:sz w:val="2"/>
        </w:rPr>
      </w:r>
      <w:r>
        <w:rPr>
          <w:rFonts w:ascii="Georgia"/>
          <w:sz w:val="2"/>
        </w:rPr>
        <w:pict>
          <v:group id="docshapegroup16" o:spid="_x0000_s1547" style="width:289.55pt;height:1.5pt;mso-position-horizontal-relative:char;mso-position-vertical-relative:line" coordsize="5791,30">
            <v:line id="_x0000_s1548" style="position:absolute" from="0,15" to="5790,15" strokecolor="#325973" strokeweight="1.5pt"/>
            <w10:anchorlock/>
          </v:group>
        </w:pict>
      </w:r>
    </w:p>
    <w:p w:rsidR="00200FDA" w:rsidRDefault="00200FDA">
      <w:pPr>
        <w:spacing w:line="20" w:lineRule="exact"/>
        <w:rPr>
          <w:rFonts w:ascii="Georgia"/>
          <w:sz w:val="2"/>
        </w:rPr>
        <w:sectPr w:rsidR="00200FDA">
          <w:type w:val="continuous"/>
          <w:pgSz w:w="12240" w:h="15840"/>
          <w:pgMar w:top="720" w:right="960" w:bottom="280" w:left="1720" w:header="0" w:footer="1100" w:gutter="0"/>
          <w:cols w:space="720"/>
        </w:sectPr>
      </w:pPr>
    </w:p>
    <w:p w:rsidR="00200FDA" w:rsidRDefault="00F76C4C">
      <w:pPr>
        <w:spacing w:before="173"/>
        <w:ind w:left="1896"/>
        <w:rPr>
          <w:rFonts w:ascii="Georgia"/>
          <w:sz w:val="73"/>
        </w:rPr>
      </w:pPr>
      <w:r>
        <w:rPr>
          <w:rFonts w:ascii="Georgia"/>
          <w:spacing w:val="-2"/>
          <w:sz w:val="73"/>
        </w:rPr>
        <w:lastRenderedPageBreak/>
        <w:t>CONTENTS</w:t>
      </w: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spacing w:before="10"/>
        <w:rPr>
          <w:rFonts w:ascii="Georgia"/>
          <w:sz w:val="19"/>
        </w:rPr>
      </w:pPr>
    </w:p>
    <w:p w:rsidR="00200FDA" w:rsidRDefault="00200FDA">
      <w:pPr>
        <w:rPr>
          <w:rFonts w:ascii="Georgia"/>
          <w:sz w:val="19"/>
        </w:rPr>
        <w:sectPr w:rsidR="00200FDA">
          <w:headerReference w:type="default" r:id="rId17"/>
          <w:footerReference w:type="default" r:id="rId18"/>
          <w:pgSz w:w="12240" w:h="15840"/>
          <w:pgMar w:top="1940" w:right="960" w:bottom="1280" w:left="1720" w:header="1125" w:footer="1100" w:gutter="0"/>
          <w:cols w:space="720"/>
        </w:sectPr>
      </w:pPr>
    </w:p>
    <w:p w:rsidR="00200FDA" w:rsidRDefault="00F76C4C">
      <w:pPr>
        <w:spacing w:before="99" w:line="427" w:lineRule="auto"/>
        <w:ind w:left="1896" w:right="2008"/>
        <w:rPr>
          <w:rFonts w:ascii="Georgia"/>
          <w:sz w:val="32"/>
        </w:rPr>
      </w:pPr>
      <w:hyperlink w:anchor="_bookmark847" w:history="1">
        <w:r>
          <w:rPr>
            <w:rFonts w:ascii="Georgia"/>
            <w:sz w:val="32"/>
          </w:rPr>
          <w:t>Early</w:t>
        </w:r>
        <w:r>
          <w:rPr>
            <w:rFonts w:ascii="Georgia"/>
            <w:spacing w:val="-6"/>
            <w:sz w:val="32"/>
          </w:rPr>
          <w:t xml:space="preserve"> </w:t>
        </w:r>
        <w:r>
          <w:rPr>
            <w:rFonts w:ascii="Georgia"/>
            <w:sz w:val="32"/>
          </w:rPr>
          <w:t>Education</w:t>
        </w:r>
        <w:r>
          <w:rPr>
            <w:rFonts w:ascii="Georgia"/>
            <w:spacing w:val="-6"/>
            <w:sz w:val="32"/>
          </w:rPr>
          <w:t xml:space="preserve"> </w:t>
        </w:r>
        <w:r>
          <w:rPr>
            <w:rFonts w:ascii="Georgia"/>
            <w:sz w:val="32"/>
          </w:rPr>
          <w:t>and</w:t>
        </w:r>
        <w:r>
          <w:rPr>
            <w:rFonts w:ascii="Georgia"/>
            <w:spacing w:val="-6"/>
            <w:sz w:val="32"/>
          </w:rPr>
          <w:t xml:space="preserve"> </w:t>
        </w:r>
        <w:r>
          <w:rPr>
            <w:rFonts w:ascii="Georgia"/>
            <w:sz w:val="32"/>
          </w:rPr>
          <w:t>Care</w:t>
        </w:r>
      </w:hyperlink>
      <w:r>
        <w:rPr>
          <w:rFonts w:ascii="Georgia"/>
          <w:sz w:val="32"/>
        </w:rPr>
        <w:t xml:space="preserve"> </w:t>
      </w:r>
      <w:hyperlink w:anchor="_bookmark848" w:history="1">
        <w:r>
          <w:rPr>
            <w:rFonts w:ascii="Georgia"/>
            <w:sz w:val="32"/>
          </w:rPr>
          <w:t>Higher Education</w:t>
        </w:r>
      </w:hyperlink>
    </w:p>
    <w:p w:rsidR="00200FDA" w:rsidRDefault="00F76C4C">
      <w:pPr>
        <w:spacing w:line="330" w:lineRule="exact"/>
        <w:ind w:left="1896"/>
        <w:rPr>
          <w:rFonts w:ascii="Georgia"/>
          <w:sz w:val="32"/>
        </w:rPr>
      </w:pPr>
      <w:hyperlink w:anchor="_bookmark857" w:history="1">
        <w:r>
          <w:rPr>
            <w:rFonts w:ascii="Georgia"/>
            <w:sz w:val="32"/>
          </w:rPr>
          <w:t>Elementary</w:t>
        </w:r>
        <w:r>
          <w:rPr>
            <w:rFonts w:ascii="Georgia"/>
            <w:spacing w:val="33"/>
            <w:sz w:val="32"/>
          </w:rPr>
          <w:t xml:space="preserve"> </w:t>
        </w:r>
        <w:r>
          <w:rPr>
            <w:rFonts w:ascii="Georgia"/>
            <w:sz w:val="32"/>
          </w:rPr>
          <w:t>&amp;</w:t>
        </w:r>
        <w:r>
          <w:rPr>
            <w:rFonts w:ascii="Georgia"/>
            <w:spacing w:val="33"/>
            <w:sz w:val="32"/>
          </w:rPr>
          <w:t xml:space="preserve"> </w:t>
        </w:r>
        <w:r>
          <w:rPr>
            <w:rFonts w:ascii="Georgia"/>
            <w:sz w:val="32"/>
          </w:rPr>
          <w:t>Secondary</w:t>
        </w:r>
        <w:r>
          <w:rPr>
            <w:rFonts w:ascii="Georgia"/>
            <w:spacing w:val="34"/>
            <w:sz w:val="32"/>
          </w:rPr>
          <w:t xml:space="preserve"> </w:t>
        </w:r>
        <w:r>
          <w:rPr>
            <w:rFonts w:ascii="Georgia"/>
            <w:spacing w:val="-2"/>
            <w:sz w:val="32"/>
          </w:rPr>
          <w:t>Education</w:t>
        </w:r>
      </w:hyperlink>
    </w:p>
    <w:p w:rsidR="00200FDA" w:rsidRDefault="00F76C4C">
      <w:pPr>
        <w:spacing w:before="274"/>
        <w:ind w:left="1896"/>
        <w:rPr>
          <w:rFonts w:ascii="Georgia"/>
          <w:sz w:val="32"/>
        </w:rPr>
      </w:pPr>
      <w:hyperlink w:anchor="_bookmark858" w:history="1">
        <w:r>
          <w:rPr>
            <w:rFonts w:ascii="Georgia"/>
            <w:w w:val="105"/>
            <w:sz w:val="32"/>
          </w:rPr>
          <w:t>Children</w:t>
        </w:r>
        <w:r>
          <w:rPr>
            <w:rFonts w:ascii="Georgia"/>
            <w:spacing w:val="-9"/>
            <w:w w:val="105"/>
            <w:sz w:val="32"/>
          </w:rPr>
          <w:t xml:space="preserve"> </w:t>
        </w:r>
        <w:r>
          <w:rPr>
            <w:rFonts w:ascii="Georgia"/>
            <w:w w:val="105"/>
            <w:sz w:val="32"/>
          </w:rPr>
          <w:t>&amp;</w:t>
        </w:r>
        <w:r>
          <w:rPr>
            <w:rFonts w:ascii="Georgia"/>
            <w:spacing w:val="-9"/>
            <w:w w:val="105"/>
            <w:sz w:val="32"/>
          </w:rPr>
          <w:t xml:space="preserve"> </w:t>
        </w:r>
        <w:r>
          <w:rPr>
            <w:rFonts w:ascii="Georgia"/>
            <w:spacing w:val="-2"/>
            <w:w w:val="105"/>
            <w:sz w:val="32"/>
          </w:rPr>
          <w:t>Families</w:t>
        </w:r>
      </w:hyperlink>
    </w:p>
    <w:p w:rsidR="00200FDA" w:rsidRDefault="00F76C4C">
      <w:pPr>
        <w:spacing w:before="262" w:line="412" w:lineRule="auto"/>
        <w:ind w:left="1896" w:right="896"/>
        <w:rPr>
          <w:rFonts w:ascii="Georgia"/>
          <w:sz w:val="32"/>
        </w:rPr>
      </w:pPr>
      <w:hyperlink w:anchor="_bookmark859" w:history="1">
        <w:r>
          <w:rPr>
            <w:rFonts w:ascii="Georgia"/>
            <w:w w:val="105"/>
            <w:sz w:val="32"/>
          </w:rPr>
          <w:t>Office of the Child Advocate</w:t>
        </w:r>
      </w:hyperlink>
      <w:r>
        <w:rPr>
          <w:rFonts w:ascii="Georgia"/>
          <w:w w:val="105"/>
          <w:sz w:val="32"/>
        </w:rPr>
        <w:t xml:space="preserve"> </w:t>
      </w:r>
      <w:hyperlink w:anchor="_bookmark879" w:history="1">
        <w:r>
          <w:rPr>
            <w:rFonts w:ascii="Georgia"/>
            <w:sz w:val="32"/>
          </w:rPr>
          <w:t>Committee for Public Counsel Services</w:t>
        </w:r>
      </w:hyperlink>
      <w:r>
        <w:rPr>
          <w:rFonts w:ascii="Georgia"/>
          <w:sz w:val="32"/>
        </w:rPr>
        <w:t xml:space="preserve"> </w:t>
      </w:r>
      <w:hyperlink w:anchor="_bookmark883" w:history="1">
        <w:r>
          <w:rPr>
            <w:rFonts w:ascii="Georgia"/>
            <w:w w:val="105"/>
            <w:sz w:val="32"/>
          </w:rPr>
          <w:t>Commission for the Blind</w:t>
        </w:r>
      </w:hyperlink>
    </w:p>
    <w:p w:rsidR="00200FDA" w:rsidRDefault="00F76C4C">
      <w:pPr>
        <w:spacing w:line="348" w:lineRule="exact"/>
        <w:ind w:left="1896"/>
        <w:rPr>
          <w:rFonts w:ascii="Georgia"/>
          <w:sz w:val="32"/>
        </w:rPr>
      </w:pPr>
      <w:hyperlink w:anchor="_bookmark884" w:history="1">
        <w:r>
          <w:rPr>
            <w:rFonts w:ascii="Georgia"/>
            <w:sz w:val="32"/>
          </w:rPr>
          <w:t>Commission for</w:t>
        </w:r>
        <w:r>
          <w:rPr>
            <w:rFonts w:ascii="Georgia"/>
            <w:spacing w:val="1"/>
            <w:sz w:val="32"/>
          </w:rPr>
          <w:t xml:space="preserve"> </w:t>
        </w:r>
        <w:r>
          <w:rPr>
            <w:rFonts w:ascii="Georgia"/>
            <w:sz w:val="32"/>
          </w:rPr>
          <w:t>the</w:t>
        </w:r>
        <w:r>
          <w:rPr>
            <w:rFonts w:ascii="Georgia"/>
            <w:spacing w:val="1"/>
            <w:sz w:val="32"/>
          </w:rPr>
          <w:t xml:space="preserve"> </w:t>
        </w:r>
        <w:r>
          <w:rPr>
            <w:rFonts w:ascii="Georgia"/>
            <w:sz w:val="32"/>
          </w:rPr>
          <w:t>Deaf</w:t>
        </w:r>
        <w:r>
          <w:rPr>
            <w:rFonts w:ascii="Georgia"/>
            <w:spacing w:val="1"/>
            <w:sz w:val="32"/>
          </w:rPr>
          <w:t xml:space="preserve"> </w:t>
        </w:r>
        <w:r>
          <w:rPr>
            <w:rFonts w:ascii="Georgia"/>
            <w:sz w:val="32"/>
          </w:rPr>
          <w:t>and</w:t>
        </w:r>
        <w:r>
          <w:rPr>
            <w:rFonts w:ascii="Georgia"/>
            <w:spacing w:val="1"/>
            <w:sz w:val="32"/>
          </w:rPr>
          <w:t xml:space="preserve"> </w:t>
        </w:r>
        <w:r>
          <w:rPr>
            <w:rFonts w:ascii="Georgia"/>
            <w:sz w:val="32"/>
          </w:rPr>
          <w:t>Hard of</w:t>
        </w:r>
        <w:r>
          <w:rPr>
            <w:rFonts w:ascii="Georgia"/>
            <w:spacing w:val="1"/>
            <w:sz w:val="32"/>
          </w:rPr>
          <w:t xml:space="preserve"> </w:t>
        </w:r>
        <w:r>
          <w:rPr>
            <w:rFonts w:ascii="Georgia"/>
            <w:spacing w:val="-2"/>
            <w:sz w:val="32"/>
          </w:rPr>
          <w:t>Hearing</w:t>
        </w:r>
      </w:hyperlink>
    </w:p>
    <w:p w:rsidR="00200FDA" w:rsidRDefault="00F76C4C">
      <w:pPr>
        <w:spacing w:before="302" w:line="415" w:lineRule="auto"/>
        <w:ind w:left="1896" w:right="2008"/>
        <w:rPr>
          <w:rFonts w:ascii="Georgia"/>
          <w:sz w:val="32"/>
        </w:rPr>
      </w:pPr>
      <w:hyperlink w:anchor="_bookmark889" w:history="1">
        <w:r>
          <w:rPr>
            <w:rFonts w:ascii="Georgia"/>
            <w:sz w:val="32"/>
          </w:rPr>
          <w:t>Rehabilitation Commission</w:t>
        </w:r>
      </w:hyperlink>
      <w:r>
        <w:rPr>
          <w:rFonts w:ascii="Georgia"/>
          <w:sz w:val="32"/>
        </w:rPr>
        <w:t xml:space="preserve"> </w:t>
      </w:r>
      <w:hyperlink w:anchor="_bookmark891" w:history="1">
        <w:r>
          <w:rPr>
            <w:rFonts w:ascii="Georgia"/>
            <w:sz w:val="32"/>
          </w:rPr>
          <w:t>Mental Health</w:t>
        </w:r>
      </w:hyperlink>
    </w:p>
    <w:p w:rsidR="00200FDA" w:rsidRDefault="00F76C4C">
      <w:pPr>
        <w:spacing w:before="15" w:line="408" w:lineRule="auto"/>
        <w:ind w:left="1896" w:right="3007"/>
        <w:rPr>
          <w:rFonts w:ascii="Georgia"/>
          <w:sz w:val="32"/>
        </w:rPr>
      </w:pPr>
      <w:r>
        <w:rPr>
          <w:rFonts w:ascii="Georgia"/>
          <w:sz w:val="32"/>
        </w:rPr>
        <w:t>P</w:t>
      </w:r>
      <w:hyperlink w:anchor="_bookmark893" w:history="1">
        <w:r>
          <w:rPr>
            <w:rFonts w:ascii="Georgia"/>
            <w:sz w:val="32"/>
          </w:rPr>
          <w:t>ublic</w:t>
        </w:r>
        <w:r>
          <w:rPr>
            <w:rFonts w:ascii="Georgia"/>
            <w:spacing w:val="-20"/>
            <w:sz w:val="32"/>
          </w:rPr>
          <w:t xml:space="preserve"> </w:t>
        </w:r>
        <w:r>
          <w:rPr>
            <w:rFonts w:ascii="Georgia"/>
            <w:sz w:val="32"/>
          </w:rPr>
          <w:t>Health</w:t>
        </w:r>
      </w:hyperlink>
      <w:r>
        <w:rPr>
          <w:rFonts w:ascii="Georgia"/>
          <w:sz w:val="32"/>
        </w:rPr>
        <w:t xml:space="preserve"> </w:t>
      </w:r>
      <w:r>
        <w:rPr>
          <w:rFonts w:ascii="Georgia"/>
          <w:spacing w:val="-2"/>
          <w:sz w:val="32"/>
        </w:rPr>
        <w:t>M</w:t>
      </w:r>
      <w:hyperlink w:anchor="_bookmark895" w:history="1">
        <w:r>
          <w:rPr>
            <w:rFonts w:ascii="Georgia"/>
            <w:spacing w:val="-2"/>
            <w:sz w:val="32"/>
          </w:rPr>
          <w:t>assHealth</w:t>
        </w:r>
      </w:hyperlink>
    </w:p>
    <w:p w:rsidR="00200FDA" w:rsidRDefault="00F76C4C">
      <w:pPr>
        <w:spacing w:before="26" w:line="424" w:lineRule="auto"/>
        <w:ind w:left="1896"/>
        <w:rPr>
          <w:rFonts w:ascii="Georgia"/>
          <w:sz w:val="32"/>
        </w:rPr>
      </w:pPr>
      <w:hyperlink w:anchor="_bookmark896" w:history="1">
        <w:r>
          <w:rPr>
            <w:rFonts w:ascii="Georgia"/>
            <w:sz w:val="32"/>
          </w:rPr>
          <w:t>Office for Refugees and Immigrants</w:t>
        </w:r>
      </w:hyperlink>
      <w:r>
        <w:rPr>
          <w:rFonts w:ascii="Georgia"/>
          <w:sz w:val="32"/>
        </w:rPr>
        <w:t xml:space="preserve"> </w:t>
      </w:r>
      <w:hyperlink w:anchor="_bookmark901" w:history="1">
        <w:r>
          <w:rPr>
            <w:rFonts w:ascii="Georgia"/>
            <w:sz w:val="32"/>
          </w:rPr>
          <w:t>Transitional Assistance</w:t>
        </w:r>
      </w:hyperlink>
    </w:p>
    <w:p w:rsidR="00200FDA" w:rsidRDefault="00F76C4C">
      <w:pPr>
        <w:spacing w:line="339" w:lineRule="exact"/>
        <w:ind w:left="1896"/>
        <w:rPr>
          <w:rFonts w:ascii="Georgia"/>
          <w:sz w:val="32"/>
        </w:rPr>
      </w:pPr>
      <w:hyperlink w:anchor="_bookmark905" w:history="1">
        <w:r>
          <w:rPr>
            <w:rFonts w:ascii="Georgia"/>
            <w:sz w:val="32"/>
          </w:rPr>
          <w:t>Youth</w:t>
        </w:r>
        <w:r>
          <w:rPr>
            <w:rFonts w:ascii="Georgia"/>
            <w:spacing w:val="13"/>
            <w:sz w:val="32"/>
          </w:rPr>
          <w:t xml:space="preserve"> </w:t>
        </w:r>
        <w:r>
          <w:rPr>
            <w:rFonts w:ascii="Georgia"/>
            <w:spacing w:val="-2"/>
            <w:sz w:val="32"/>
          </w:rPr>
          <w:t>Services</w:t>
        </w:r>
      </w:hyperlink>
    </w:p>
    <w:p w:rsidR="00200FDA" w:rsidRDefault="00F76C4C">
      <w:pPr>
        <w:spacing w:before="279"/>
        <w:ind w:left="1896"/>
        <w:rPr>
          <w:rFonts w:ascii="Georgia"/>
          <w:sz w:val="32"/>
        </w:rPr>
      </w:pPr>
      <w:r>
        <w:rPr>
          <w:rFonts w:ascii="Georgia"/>
          <w:sz w:val="32"/>
        </w:rPr>
        <w:t>P</w:t>
      </w:r>
      <w:hyperlink w:anchor="_bookmark906" w:history="1">
        <w:r>
          <w:rPr>
            <w:rFonts w:ascii="Georgia"/>
            <w:sz w:val="32"/>
          </w:rPr>
          <w:t>ublic</w:t>
        </w:r>
        <w:r>
          <w:rPr>
            <w:rFonts w:ascii="Georgia"/>
            <w:spacing w:val="28"/>
            <w:sz w:val="32"/>
          </w:rPr>
          <w:t xml:space="preserve"> </w:t>
        </w:r>
        <w:r>
          <w:rPr>
            <w:rFonts w:ascii="Georgia"/>
            <w:sz w:val="32"/>
          </w:rPr>
          <w:t>Safety</w:t>
        </w:r>
        <w:r>
          <w:rPr>
            <w:rFonts w:ascii="Georgia"/>
            <w:spacing w:val="28"/>
            <w:sz w:val="32"/>
          </w:rPr>
          <w:t xml:space="preserve"> </w:t>
        </w:r>
        <w:r>
          <w:rPr>
            <w:rFonts w:ascii="Georgia"/>
            <w:sz w:val="32"/>
          </w:rPr>
          <w:t>&amp;</w:t>
        </w:r>
        <w:r>
          <w:rPr>
            <w:rFonts w:ascii="Georgia"/>
            <w:spacing w:val="28"/>
            <w:sz w:val="32"/>
          </w:rPr>
          <w:t xml:space="preserve"> </w:t>
        </w:r>
        <w:r>
          <w:rPr>
            <w:rFonts w:ascii="Georgia"/>
            <w:spacing w:val="-2"/>
            <w:sz w:val="32"/>
          </w:rPr>
          <w:t>Security</w:t>
        </w:r>
      </w:hyperlink>
    </w:p>
    <w:p w:rsidR="00200FDA" w:rsidRDefault="00F76C4C">
      <w:pPr>
        <w:spacing w:before="99"/>
        <w:ind w:left="387"/>
        <w:rPr>
          <w:rFonts w:ascii="Georgia"/>
          <w:sz w:val="32"/>
        </w:rPr>
      </w:pPr>
      <w:r>
        <w:br w:type="column"/>
      </w:r>
      <w:hyperlink w:anchor="_bookmark847" w:history="1">
        <w:r>
          <w:rPr>
            <w:rFonts w:ascii="Georgia"/>
            <w:spacing w:val="-5"/>
            <w:sz w:val="32"/>
          </w:rPr>
          <w:t>190</w:t>
        </w:r>
      </w:hyperlink>
    </w:p>
    <w:p w:rsidR="00200FDA" w:rsidRDefault="00F76C4C">
      <w:pPr>
        <w:spacing w:before="265"/>
        <w:ind w:left="401"/>
        <w:rPr>
          <w:rFonts w:ascii="Georgia"/>
          <w:sz w:val="32"/>
        </w:rPr>
      </w:pPr>
      <w:hyperlink w:anchor="_bookmark848" w:history="1">
        <w:r>
          <w:rPr>
            <w:rFonts w:ascii="Georgia"/>
            <w:spacing w:val="-5"/>
            <w:sz w:val="32"/>
          </w:rPr>
          <w:t>194</w:t>
        </w:r>
      </w:hyperlink>
    </w:p>
    <w:p w:rsidR="00200FDA" w:rsidRDefault="00F76C4C">
      <w:pPr>
        <w:spacing w:before="261"/>
        <w:ind w:left="399"/>
        <w:rPr>
          <w:rFonts w:ascii="Georgia"/>
          <w:sz w:val="32"/>
        </w:rPr>
      </w:pPr>
      <w:hyperlink w:anchor="_bookmark857" w:history="1">
        <w:r>
          <w:rPr>
            <w:rFonts w:ascii="Georgia"/>
            <w:spacing w:val="-5"/>
            <w:sz w:val="32"/>
          </w:rPr>
          <w:t>198</w:t>
        </w:r>
      </w:hyperlink>
    </w:p>
    <w:p w:rsidR="00200FDA" w:rsidRDefault="00F76C4C">
      <w:pPr>
        <w:spacing w:before="271"/>
        <w:ind w:left="377"/>
        <w:rPr>
          <w:rFonts w:ascii="Georgia"/>
          <w:sz w:val="32"/>
        </w:rPr>
      </w:pPr>
      <w:hyperlink w:anchor="_bookmark858" w:history="1">
        <w:r>
          <w:rPr>
            <w:rFonts w:ascii="Georgia"/>
            <w:spacing w:val="-5"/>
            <w:sz w:val="32"/>
          </w:rPr>
          <w:t>206</w:t>
        </w:r>
      </w:hyperlink>
    </w:p>
    <w:p w:rsidR="00200FDA" w:rsidRDefault="00F76C4C">
      <w:pPr>
        <w:spacing w:before="261"/>
        <w:ind w:left="405"/>
        <w:rPr>
          <w:rFonts w:ascii="Georgia"/>
          <w:sz w:val="32"/>
        </w:rPr>
      </w:pPr>
      <w:hyperlink w:anchor="_bookmark859" w:history="1">
        <w:r>
          <w:rPr>
            <w:rFonts w:ascii="Georgia"/>
            <w:spacing w:val="-5"/>
            <w:sz w:val="32"/>
          </w:rPr>
          <w:t>213</w:t>
        </w:r>
      </w:hyperlink>
    </w:p>
    <w:p w:rsidR="00200FDA" w:rsidRDefault="00F76C4C">
      <w:pPr>
        <w:spacing w:before="270"/>
        <w:ind w:left="395"/>
        <w:rPr>
          <w:rFonts w:ascii="Georgia"/>
          <w:sz w:val="32"/>
        </w:rPr>
      </w:pPr>
      <w:hyperlink w:anchor="_bookmark879" w:history="1">
        <w:r>
          <w:rPr>
            <w:rFonts w:ascii="Georgia"/>
            <w:spacing w:val="-5"/>
            <w:sz w:val="32"/>
          </w:rPr>
          <w:t>222</w:t>
        </w:r>
      </w:hyperlink>
    </w:p>
    <w:p w:rsidR="00200FDA" w:rsidRDefault="00F76C4C">
      <w:pPr>
        <w:spacing w:before="261"/>
        <w:ind w:left="396"/>
        <w:rPr>
          <w:rFonts w:ascii="Georgia"/>
          <w:sz w:val="32"/>
        </w:rPr>
      </w:pPr>
      <w:hyperlink w:anchor="_bookmark883" w:history="1">
        <w:r>
          <w:rPr>
            <w:rFonts w:ascii="Georgia"/>
            <w:spacing w:val="-5"/>
            <w:sz w:val="32"/>
          </w:rPr>
          <w:t>225</w:t>
        </w:r>
      </w:hyperlink>
    </w:p>
    <w:p w:rsidR="00200FDA" w:rsidRDefault="00F76C4C">
      <w:pPr>
        <w:spacing w:before="266"/>
        <w:ind w:left="405"/>
        <w:rPr>
          <w:rFonts w:ascii="Georgia"/>
          <w:sz w:val="32"/>
        </w:rPr>
      </w:pPr>
      <w:hyperlink w:anchor="_bookmark884" w:history="1">
        <w:r>
          <w:rPr>
            <w:rFonts w:ascii="Georgia"/>
            <w:spacing w:val="-5"/>
            <w:w w:val="95"/>
            <w:sz w:val="32"/>
          </w:rPr>
          <w:t>227</w:t>
        </w:r>
      </w:hyperlink>
    </w:p>
    <w:p w:rsidR="00200FDA" w:rsidRDefault="00F76C4C">
      <w:pPr>
        <w:spacing w:before="270"/>
        <w:ind w:left="380"/>
        <w:rPr>
          <w:rFonts w:ascii="Georgia"/>
          <w:sz w:val="32"/>
        </w:rPr>
      </w:pPr>
      <w:hyperlink w:anchor="_bookmark889" w:history="1">
        <w:r>
          <w:rPr>
            <w:rFonts w:ascii="Georgia"/>
            <w:spacing w:val="-5"/>
            <w:sz w:val="32"/>
          </w:rPr>
          <w:t>230</w:t>
        </w:r>
      </w:hyperlink>
    </w:p>
    <w:p w:rsidR="00200FDA" w:rsidRDefault="00F76C4C">
      <w:pPr>
        <w:spacing w:before="275"/>
        <w:ind w:left="396"/>
        <w:rPr>
          <w:rFonts w:ascii="Georgia"/>
          <w:sz w:val="32"/>
        </w:rPr>
      </w:pPr>
      <w:hyperlink w:anchor="_bookmark891" w:history="1">
        <w:r>
          <w:rPr>
            <w:rFonts w:ascii="Georgia"/>
            <w:spacing w:val="-5"/>
            <w:sz w:val="32"/>
          </w:rPr>
          <w:t>233</w:t>
        </w:r>
      </w:hyperlink>
    </w:p>
    <w:p w:rsidR="00200FDA" w:rsidRDefault="00F76C4C">
      <w:pPr>
        <w:spacing w:before="266"/>
        <w:ind w:left="392"/>
        <w:rPr>
          <w:rFonts w:ascii="Georgia"/>
          <w:sz w:val="32"/>
        </w:rPr>
      </w:pPr>
      <w:hyperlink w:anchor="_bookmark893" w:history="1">
        <w:r>
          <w:rPr>
            <w:rFonts w:ascii="Georgia"/>
            <w:spacing w:val="-5"/>
            <w:w w:val="95"/>
            <w:sz w:val="32"/>
          </w:rPr>
          <w:t>238</w:t>
        </w:r>
      </w:hyperlink>
    </w:p>
    <w:p w:rsidR="00200FDA" w:rsidRDefault="00F76C4C">
      <w:pPr>
        <w:spacing w:before="279"/>
        <w:ind w:left="394"/>
        <w:rPr>
          <w:rFonts w:ascii="Georgia"/>
          <w:sz w:val="32"/>
        </w:rPr>
      </w:pPr>
      <w:hyperlink w:anchor="_bookmark895" w:history="1">
        <w:r>
          <w:rPr>
            <w:rFonts w:ascii="Georgia"/>
            <w:spacing w:val="-5"/>
            <w:sz w:val="32"/>
          </w:rPr>
          <w:t>242</w:t>
        </w:r>
      </w:hyperlink>
    </w:p>
    <w:p w:rsidR="00200FDA" w:rsidRDefault="00F76C4C">
      <w:pPr>
        <w:spacing w:before="256"/>
        <w:ind w:left="391"/>
        <w:rPr>
          <w:rFonts w:ascii="Georgia"/>
          <w:sz w:val="32"/>
        </w:rPr>
      </w:pPr>
      <w:hyperlink w:anchor="_bookmark896" w:history="1">
        <w:r>
          <w:rPr>
            <w:rFonts w:ascii="Georgia"/>
            <w:spacing w:val="-5"/>
            <w:sz w:val="32"/>
          </w:rPr>
          <w:t>246</w:t>
        </w:r>
      </w:hyperlink>
    </w:p>
    <w:p w:rsidR="00200FDA" w:rsidRDefault="00F76C4C">
      <w:pPr>
        <w:spacing w:before="279"/>
        <w:ind w:left="381"/>
        <w:rPr>
          <w:rFonts w:ascii="Georgia"/>
          <w:sz w:val="32"/>
        </w:rPr>
      </w:pPr>
      <w:hyperlink w:anchor="_bookmark901" w:history="1">
        <w:r>
          <w:rPr>
            <w:rFonts w:ascii="Georgia"/>
            <w:spacing w:val="-5"/>
            <w:sz w:val="32"/>
          </w:rPr>
          <w:t>250</w:t>
        </w:r>
      </w:hyperlink>
    </w:p>
    <w:p w:rsidR="00200FDA" w:rsidRDefault="00F76C4C">
      <w:pPr>
        <w:spacing w:before="280"/>
        <w:ind w:left="396"/>
        <w:rPr>
          <w:rFonts w:ascii="Georgia"/>
          <w:sz w:val="32"/>
        </w:rPr>
      </w:pPr>
      <w:hyperlink w:anchor="_bookmark905" w:history="1">
        <w:r>
          <w:rPr>
            <w:rFonts w:ascii="Georgia"/>
            <w:spacing w:val="-5"/>
            <w:sz w:val="32"/>
          </w:rPr>
          <w:t>253</w:t>
        </w:r>
      </w:hyperlink>
    </w:p>
    <w:p w:rsidR="00200FDA" w:rsidRDefault="00F76C4C">
      <w:pPr>
        <w:spacing w:before="255"/>
        <w:ind w:left="406"/>
        <w:rPr>
          <w:rFonts w:ascii="Georgia"/>
          <w:sz w:val="32"/>
        </w:rPr>
      </w:pPr>
      <w:hyperlink w:anchor="_bookmark906" w:history="1">
        <w:r>
          <w:rPr>
            <w:rFonts w:ascii="Georgia"/>
            <w:spacing w:val="-5"/>
            <w:sz w:val="32"/>
          </w:rPr>
          <w:t>257</w:t>
        </w:r>
      </w:hyperlink>
    </w:p>
    <w:p w:rsidR="00200FDA" w:rsidRDefault="00200FDA">
      <w:pPr>
        <w:rPr>
          <w:rFonts w:ascii="Georgia"/>
          <w:sz w:val="32"/>
        </w:rPr>
        <w:sectPr w:rsidR="00200FDA">
          <w:type w:val="continuous"/>
          <w:pgSz w:w="12240" w:h="15840"/>
          <w:pgMar w:top="720" w:right="960" w:bottom="280" w:left="1720" w:header="1125" w:footer="1100" w:gutter="0"/>
          <w:cols w:num="2" w:space="720" w:equalWidth="0">
            <w:col w:w="8474" w:space="40"/>
            <w:col w:w="1046"/>
          </w:cols>
        </w:sectPr>
      </w:pPr>
    </w:p>
    <w:p w:rsidR="00200FDA" w:rsidRDefault="00F76C4C">
      <w:pPr>
        <w:pStyle w:val="BodyText"/>
        <w:rPr>
          <w:rFonts w:ascii="Georgia"/>
          <w:sz w:val="20"/>
        </w:rPr>
      </w:pPr>
      <w:r>
        <w:rPr>
          <w:noProof/>
        </w:rPr>
        <w:drawing>
          <wp:anchor distT="0" distB="0" distL="0" distR="0" simplePos="0" relativeHeight="15731200" behindDoc="0" locked="0" layoutInCell="1" allowOverlap="1">
            <wp:simplePos x="0" y="0"/>
            <wp:positionH relativeFrom="page">
              <wp:posOffset>493955</wp:posOffset>
            </wp:positionH>
            <wp:positionV relativeFrom="page">
              <wp:posOffset>260147</wp:posOffset>
            </wp:positionV>
            <wp:extent cx="1334890" cy="9522217"/>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6" cstate="print"/>
                    <a:stretch>
                      <a:fillRect/>
                    </a:stretch>
                  </pic:blipFill>
                  <pic:spPr>
                    <a:xfrm>
                      <a:off x="0" y="0"/>
                      <a:ext cx="1334890" cy="9522217"/>
                    </a:xfrm>
                    <a:prstGeom prst="rect">
                      <a:avLst/>
                    </a:prstGeom>
                  </pic:spPr>
                </pic:pic>
              </a:graphicData>
            </a:graphic>
          </wp:anchor>
        </w:drawing>
      </w:r>
    </w:p>
    <w:p w:rsidR="00200FDA" w:rsidRDefault="00200FDA">
      <w:pPr>
        <w:pStyle w:val="BodyText"/>
        <w:rPr>
          <w:rFonts w:ascii="Georgia"/>
          <w:sz w:val="20"/>
        </w:rPr>
      </w:pPr>
    </w:p>
    <w:p w:rsidR="00200FDA" w:rsidRDefault="00200FDA">
      <w:pPr>
        <w:pStyle w:val="BodyText"/>
        <w:spacing w:before="7"/>
        <w:rPr>
          <w:rFonts w:ascii="Georgia"/>
          <w:sz w:val="25"/>
        </w:rPr>
      </w:pPr>
    </w:p>
    <w:p w:rsidR="00200FDA" w:rsidRDefault="00F76C4C">
      <w:pPr>
        <w:pStyle w:val="BodyText"/>
        <w:spacing w:line="20" w:lineRule="exact"/>
        <w:ind w:left="1344"/>
        <w:rPr>
          <w:rFonts w:ascii="Georgia"/>
          <w:sz w:val="2"/>
        </w:rPr>
      </w:pPr>
      <w:r>
        <w:rPr>
          <w:rFonts w:ascii="Georgia"/>
          <w:sz w:val="2"/>
        </w:rPr>
      </w:r>
      <w:r>
        <w:rPr>
          <w:rFonts w:ascii="Georgia"/>
          <w:sz w:val="2"/>
        </w:rPr>
        <w:pict>
          <v:group id="docshapegroup19" o:spid="_x0000_s1545" style="width:289.55pt;height:1.5pt;mso-position-horizontal-relative:char;mso-position-vertical-relative:line" coordsize="5791,30">
            <v:line id="_x0000_s1546" style="position:absolute" from="0,15" to="5790,15" strokecolor="#325973" strokeweight="1.5pt"/>
            <w10:anchorlock/>
          </v:group>
        </w:pict>
      </w:r>
    </w:p>
    <w:p w:rsidR="00200FDA" w:rsidRDefault="00200FDA">
      <w:pPr>
        <w:spacing w:line="20" w:lineRule="exact"/>
        <w:rPr>
          <w:rFonts w:ascii="Georgia"/>
          <w:sz w:val="2"/>
        </w:rPr>
        <w:sectPr w:rsidR="00200FDA">
          <w:type w:val="continuous"/>
          <w:pgSz w:w="12240" w:h="15840"/>
          <w:pgMar w:top="720" w:right="960" w:bottom="280" w:left="1720" w:header="1125" w:footer="1100" w:gutter="0"/>
          <w:cols w:space="720"/>
        </w:sectPr>
      </w:pPr>
    </w:p>
    <w:p w:rsidR="00200FDA" w:rsidRDefault="00F76C4C">
      <w:pPr>
        <w:spacing w:before="173"/>
        <w:ind w:left="716" w:right="392"/>
        <w:jc w:val="center"/>
        <w:rPr>
          <w:rFonts w:ascii="Georgia"/>
          <w:sz w:val="73"/>
        </w:rPr>
      </w:pPr>
      <w:r>
        <w:rPr>
          <w:rFonts w:ascii="Georgia"/>
          <w:spacing w:val="-19"/>
          <w:sz w:val="73"/>
        </w:rPr>
        <w:lastRenderedPageBreak/>
        <w:t>CONTENTS</w:t>
      </w:r>
      <w:r>
        <w:rPr>
          <w:rFonts w:ascii="Georgia"/>
          <w:spacing w:val="-17"/>
          <w:sz w:val="73"/>
        </w:rPr>
        <w:t xml:space="preserve"> </w:t>
      </w:r>
      <w:r>
        <w:rPr>
          <w:rFonts w:ascii="Georgia"/>
          <w:spacing w:val="-2"/>
          <w:sz w:val="73"/>
        </w:rPr>
        <w:t>CONT.</w:t>
      </w: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spacing w:before="10"/>
        <w:rPr>
          <w:rFonts w:ascii="Georgia"/>
          <w:sz w:val="19"/>
        </w:rPr>
      </w:pPr>
    </w:p>
    <w:p w:rsidR="00200FDA" w:rsidRDefault="00200FDA">
      <w:pPr>
        <w:rPr>
          <w:rFonts w:ascii="Georgia"/>
          <w:sz w:val="19"/>
        </w:rPr>
        <w:sectPr w:rsidR="00200FDA">
          <w:pgSz w:w="12240" w:h="15840"/>
          <w:pgMar w:top="1940" w:right="960" w:bottom="1280" w:left="1720" w:header="1125" w:footer="1100" w:gutter="0"/>
          <w:cols w:space="720"/>
        </w:sectPr>
      </w:pPr>
    </w:p>
    <w:p w:rsidR="00200FDA" w:rsidRDefault="00F76C4C">
      <w:pPr>
        <w:spacing w:before="99" w:line="427" w:lineRule="auto"/>
        <w:ind w:left="1896" w:right="734"/>
        <w:rPr>
          <w:rFonts w:ascii="Georgia"/>
          <w:sz w:val="32"/>
        </w:rPr>
      </w:pPr>
      <w:hyperlink w:anchor="_bookmark907" w:history="1">
        <w:r>
          <w:rPr>
            <w:rFonts w:ascii="Georgia"/>
            <w:sz w:val="32"/>
          </w:rPr>
          <w:t>Registry of Motor Vehicles</w:t>
        </w:r>
      </w:hyperlink>
      <w:r>
        <w:rPr>
          <w:rFonts w:ascii="Georgia"/>
          <w:spacing w:val="40"/>
          <w:sz w:val="32"/>
        </w:rPr>
        <w:t xml:space="preserve"> </w:t>
      </w:r>
      <w:r>
        <w:rPr>
          <w:rFonts w:ascii="Georgia"/>
          <w:sz w:val="32"/>
        </w:rPr>
        <w:t>B</w:t>
      </w:r>
      <w:hyperlink w:anchor="_bookmark911" w:history="1">
        <w:r>
          <w:rPr>
            <w:rFonts w:ascii="Georgia"/>
            <w:sz w:val="32"/>
          </w:rPr>
          <w:t>oard of Library Commissioners</w:t>
        </w:r>
      </w:hyperlink>
    </w:p>
    <w:p w:rsidR="00200FDA" w:rsidRDefault="00F76C4C">
      <w:pPr>
        <w:spacing w:line="330" w:lineRule="exact"/>
        <w:ind w:left="1896"/>
        <w:rPr>
          <w:rFonts w:ascii="Georgia"/>
          <w:sz w:val="32"/>
        </w:rPr>
      </w:pPr>
      <w:hyperlink w:anchor="_bookmark918" w:history="1">
        <w:r>
          <w:rPr>
            <w:rFonts w:ascii="Georgia"/>
            <w:sz w:val="32"/>
          </w:rPr>
          <w:t>Housing</w:t>
        </w:r>
        <w:r>
          <w:rPr>
            <w:rFonts w:ascii="Georgia"/>
            <w:spacing w:val="27"/>
            <w:sz w:val="32"/>
          </w:rPr>
          <w:t xml:space="preserve"> </w:t>
        </w:r>
        <w:r>
          <w:rPr>
            <w:rFonts w:ascii="Georgia"/>
            <w:sz w:val="32"/>
          </w:rPr>
          <w:t>&amp;</w:t>
        </w:r>
        <w:r>
          <w:rPr>
            <w:rFonts w:ascii="Georgia"/>
            <w:spacing w:val="27"/>
            <w:sz w:val="32"/>
          </w:rPr>
          <w:t xml:space="preserve"> </w:t>
        </w:r>
        <w:r>
          <w:rPr>
            <w:rFonts w:ascii="Georgia"/>
            <w:sz w:val="32"/>
          </w:rPr>
          <w:t>Community</w:t>
        </w:r>
        <w:r>
          <w:rPr>
            <w:rFonts w:ascii="Georgia"/>
            <w:spacing w:val="28"/>
            <w:sz w:val="32"/>
          </w:rPr>
          <w:t xml:space="preserve"> </w:t>
        </w:r>
        <w:r>
          <w:rPr>
            <w:rFonts w:ascii="Georgia"/>
            <w:spacing w:val="-2"/>
            <w:sz w:val="32"/>
          </w:rPr>
          <w:t>Development</w:t>
        </w:r>
      </w:hyperlink>
    </w:p>
    <w:p w:rsidR="00200FDA" w:rsidRDefault="00F76C4C">
      <w:pPr>
        <w:spacing w:before="274"/>
        <w:ind w:left="1896"/>
        <w:rPr>
          <w:rFonts w:ascii="Georgia"/>
          <w:sz w:val="32"/>
        </w:rPr>
      </w:pPr>
      <w:r>
        <w:rPr>
          <w:rFonts w:ascii="Georgia"/>
          <w:sz w:val="32"/>
        </w:rPr>
        <w:t>M</w:t>
      </w:r>
      <w:hyperlink w:anchor="_bookmark920" w:history="1">
        <w:r>
          <w:rPr>
            <w:rFonts w:ascii="Georgia"/>
            <w:sz w:val="32"/>
          </w:rPr>
          <w:t>assHire</w:t>
        </w:r>
        <w:r>
          <w:rPr>
            <w:rFonts w:ascii="Georgia"/>
            <w:spacing w:val="-4"/>
            <w:sz w:val="32"/>
          </w:rPr>
          <w:t xml:space="preserve"> </w:t>
        </w:r>
        <w:r>
          <w:rPr>
            <w:rFonts w:ascii="Georgia"/>
            <w:sz w:val="32"/>
          </w:rPr>
          <w:t>-</w:t>
        </w:r>
        <w:r>
          <w:rPr>
            <w:rFonts w:ascii="Georgia"/>
            <w:spacing w:val="-4"/>
            <w:sz w:val="32"/>
          </w:rPr>
          <w:t xml:space="preserve"> </w:t>
        </w:r>
        <w:r>
          <w:rPr>
            <w:rFonts w:ascii="Georgia"/>
            <w:sz w:val="32"/>
          </w:rPr>
          <w:t>Career</w:t>
        </w:r>
        <w:r>
          <w:rPr>
            <w:rFonts w:ascii="Georgia"/>
            <w:spacing w:val="-3"/>
            <w:sz w:val="32"/>
          </w:rPr>
          <w:t xml:space="preserve"> </w:t>
        </w:r>
        <w:r>
          <w:rPr>
            <w:rFonts w:ascii="Georgia"/>
            <w:spacing w:val="-2"/>
            <w:sz w:val="32"/>
          </w:rPr>
          <w:t>Services</w:t>
        </w:r>
      </w:hyperlink>
    </w:p>
    <w:p w:rsidR="00200FDA" w:rsidRDefault="00F76C4C">
      <w:pPr>
        <w:spacing w:before="99"/>
        <w:ind w:right="174"/>
        <w:jc w:val="right"/>
        <w:rPr>
          <w:rFonts w:ascii="Georgia"/>
          <w:sz w:val="32"/>
        </w:rPr>
      </w:pPr>
      <w:r>
        <w:br w:type="column"/>
      </w:r>
      <w:hyperlink w:anchor="_bookmark907" w:history="1">
        <w:r>
          <w:rPr>
            <w:rFonts w:ascii="Georgia"/>
            <w:spacing w:val="-5"/>
            <w:sz w:val="32"/>
          </w:rPr>
          <w:t>259</w:t>
        </w:r>
      </w:hyperlink>
    </w:p>
    <w:p w:rsidR="00200FDA" w:rsidRDefault="00F76C4C">
      <w:pPr>
        <w:spacing w:before="265"/>
        <w:ind w:right="183"/>
        <w:jc w:val="right"/>
        <w:rPr>
          <w:rFonts w:ascii="Georgia"/>
          <w:sz w:val="32"/>
        </w:rPr>
      </w:pPr>
      <w:hyperlink w:anchor="_bookmark911" w:history="1">
        <w:r>
          <w:rPr>
            <w:rFonts w:ascii="Georgia"/>
            <w:spacing w:val="-5"/>
            <w:sz w:val="32"/>
          </w:rPr>
          <w:t>261</w:t>
        </w:r>
      </w:hyperlink>
    </w:p>
    <w:p w:rsidR="00200FDA" w:rsidRDefault="00F76C4C">
      <w:pPr>
        <w:spacing w:before="261"/>
        <w:ind w:right="172"/>
        <w:jc w:val="right"/>
        <w:rPr>
          <w:rFonts w:ascii="Georgia"/>
          <w:sz w:val="32"/>
        </w:rPr>
      </w:pPr>
      <w:hyperlink w:anchor="_bookmark918" w:history="1">
        <w:r>
          <w:rPr>
            <w:rFonts w:ascii="Georgia"/>
            <w:spacing w:val="-5"/>
            <w:sz w:val="32"/>
          </w:rPr>
          <w:t>264</w:t>
        </w:r>
      </w:hyperlink>
    </w:p>
    <w:p w:rsidR="00200FDA" w:rsidRDefault="00F76C4C">
      <w:pPr>
        <w:spacing w:before="271"/>
        <w:ind w:right="170"/>
        <w:jc w:val="right"/>
        <w:rPr>
          <w:rFonts w:ascii="Georgia"/>
          <w:sz w:val="32"/>
        </w:rPr>
      </w:pPr>
      <w:hyperlink w:anchor="_bookmark920" w:history="1">
        <w:r>
          <w:rPr>
            <w:rFonts w:ascii="Georgia"/>
            <w:spacing w:val="-5"/>
            <w:sz w:val="32"/>
          </w:rPr>
          <w:t>268</w:t>
        </w:r>
      </w:hyperlink>
    </w:p>
    <w:p w:rsidR="00200FDA" w:rsidRDefault="00200FDA">
      <w:pPr>
        <w:jc w:val="right"/>
        <w:rPr>
          <w:rFonts w:ascii="Georgia"/>
          <w:sz w:val="32"/>
        </w:rPr>
        <w:sectPr w:rsidR="00200FDA">
          <w:type w:val="continuous"/>
          <w:pgSz w:w="12240" w:h="15840"/>
          <w:pgMar w:top="720" w:right="960" w:bottom="280" w:left="1720" w:header="1125" w:footer="1100" w:gutter="0"/>
          <w:cols w:num="2" w:space="720" w:equalWidth="0">
            <w:col w:w="7299" w:space="40"/>
            <w:col w:w="2221"/>
          </w:cols>
        </w:sectPr>
      </w:pPr>
    </w:p>
    <w:p w:rsidR="00200FDA" w:rsidRDefault="00F76C4C">
      <w:pPr>
        <w:pStyle w:val="BodyText"/>
        <w:rPr>
          <w:rFonts w:ascii="Georgia"/>
          <w:sz w:val="20"/>
        </w:rPr>
      </w:pPr>
      <w:r>
        <w:rPr>
          <w:noProof/>
        </w:rPr>
        <w:drawing>
          <wp:anchor distT="0" distB="0" distL="0" distR="0" simplePos="0" relativeHeight="15732224" behindDoc="0" locked="0" layoutInCell="1" allowOverlap="1">
            <wp:simplePos x="0" y="0"/>
            <wp:positionH relativeFrom="page">
              <wp:posOffset>493955</wp:posOffset>
            </wp:positionH>
            <wp:positionV relativeFrom="page">
              <wp:posOffset>260148</wp:posOffset>
            </wp:positionV>
            <wp:extent cx="1334890" cy="9522217"/>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6" cstate="print"/>
                    <a:stretch>
                      <a:fillRect/>
                    </a:stretch>
                  </pic:blipFill>
                  <pic:spPr>
                    <a:xfrm>
                      <a:off x="0" y="0"/>
                      <a:ext cx="1334890" cy="9522217"/>
                    </a:xfrm>
                    <a:prstGeom prst="rect">
                      <a:avLst/>
                    </a:prstGeom>
                  </pic:spPr>
                </pic:pic>
              </a:graphicData>
            </a:graphic>
          </wp:anchor>
        </w:drawing>
      </w: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spacing w:before="8"/>
        <w:rPr>
          <w:rFonts w:ascii="Georgia"/>
          <w:sz w:val="13"/>
        </w:rPr>
      </w:pPr>
    </w:p>
    <w:p w:rsidR="00200FDA" w:rsidRDefault="00F76C4C">
      <w:pPr>
        <w:pStyle w:val="BodyText"/>
        <w:spacing w:line="20" w:lineRule="exact"/>
        <w:ind w:left="1344"/>
        <w:rPr>
          <w:rFonts w:ascii="Georgia"/>
          <w:sz w:val="2"/>
        </w:rPr>
      </w:pPr>
      <w:r>
        <w:rPr>
          <w:rFonts w:ascii="Georgia"/>
          <w:sz w:val="2"/>
        </w:rPr>
      </w:r>
      <w:r>
        <w:rPr>
          <w:rFonts w:ascii="Georgia"/>
          <w:sz w:val="2"/>
        </w:rPr>
        <w:pict>
          <v:group id="docshapegroup20" o:spid="_x0000_s1543" style="width:289.55pt;height:1.5pt;mso-position-horizontal-relative:char;mso-position-vertical-relative:line" coordsize="5791,30">
            <v:line id="_x0000_s1544" style="position:absolute" from="0,15" to="5790,15" strokecolor="#325973" strokeweight="1.5pt"/>
            <w10:anchorlock/>
          </v:group>
        </w:pict>
      </w:r>
    </w:p>
    <w:p w:rsidR="00200FDA" w:rsidRDefault="00200FDA">
      <w:pPr>
        <w:spacing w:line="20" w:lineRule="exact"/>
        <w:rPr>
          <w:rFonts w:ascii="Georgia"/>
          <w:sz w:val="2"/>
        </w:rPr>
        <w:sectPr w:rsidR="00200FDA">
          <w:type w:val="continuous"/>
          <w:pgSz w:w="12240" w:h="15840"/>
          <w:pgMar w:top="720" w:right="960" w:bottom="280" w:left="1720" w:header="1125" w:footer="1100" w:gutter="0"/>
          <w:cols w:space="720"/>
        </w:sectPr>
      </w:pPr>
    </w:p>
    <w:p w:rsidR="00200FDA" w:rsidRDefault="00F76C4C">
      <w:pPr>
        <w:spacing w:before="65"/>
        <w:ind w:left="140"/>
        <w:rPr>
          <w:sz w:val="32"/>
        </w:rPr>
      </w:pPr>
      <w:r>
        <w:lastRenderedPageBreak/>
        <w:pict>
          <v:rect id="docshape24" o:spid="_x0000_s1542" style="position:absolute;left:0;text-align:left;margin-left:70.55pt;margin-top:23.75pt;width:470.9pt;height:.5pt;z-index:-15724544;mso-wrap-distance-left:0;mso-wrap-distance-right:0;mso-position-horizontal-relative:page" fillcolor="#0f6ec5" stroked="f">
            <w10:wrap type="topAndBottom" anchorx="page"/>
          </v:rect>
        </w:pict>
      </w:r>
      <w:bookmarkStart w:id="54" w:name="FY_24_MYRBS_Analysis.pdf"/>
      <w:bookmarkStart w:id="55" w:name="2021_MYRBS_Analysis"/>
      <w:bookmarkStart w:id="56" w:name="_bookmark3"/>
      <w:bookmarkEnd w:id="54"/>
      <w:bookmarkEnd w:id="55"/>
      <w:bookmarkEnd w:id="56"/>
      <w:r>
        <w:fldChar w:fldCharType="begin"/>
      </w:r>
      <w:r>
        <w:instrText xml:space="preserve"> HYPERLINK \l "_bookmark0" </w:instrText>
      </w:r>
      <w:r>
        <w:fldChar w:fldCharType="separate"/>
      </w:r>
      <w:r>
        <w:rPr>
          <w:color w:val="0A5293"/>
          <w:sz w:val="32"/>
        </w:rPr>
        <w:t>2021</w:t>
      </w:r>
      <w:r>
        <w:rPr>
          <w:color w:val="0A5293"/>
          <w:spacing w:val="-10"/>
          <w:sz w:val="32"/>
        </w:rPr>
        <w:t xml:space="preserve"> </w:t>
      </w:r>
      <w:r>
        <w:rPr>
          <w:color w:val="0A5293"/>
          <w:sz w:val="32"/>
        </w:rPr>
        <w:t>MYRBS</w:t>
      </w:r>
      <w:r>
        <w:rPr>
          <w:color w:val="0A5293"/>
          <w:spacing w:val="-8"/>
          <w:sz w:val="32"/>
        </w:rPr>
        <w:t xml:space="preserve"> </w:t>
      </w:r>
      <w:r>
        <w:rPr>
          <w:color w:val="0A5293"/>
          <w:spacing w:val="-2"/>
          <w:sz w:val="32"/>
        </w:rPr>
        <w:t>Analysis</w:t>
      </w:r>
      <w:r>
        <w:rPr>
          <w:color w:val="0A5293"/>
          <w:spacing w:val="-2"/>
          <w:sz w:val="32"/>
        </w:rPr>
        <w:fldChar w:fldCharType="end"/>
      </w:r>
    </w:p>
    <w:p w:rsidR="00200FDA" w:rsidRDefault="00200FDA">
      <w:pPr>
        <w:pStyle w:val="BodyText"/>
        <w:rPr>
          <w:sz w:val="15"/>
        </w:rPr>
      </w:pPr>
    </w:p>
    <w:p w:rsidR="00200FDA" w:rsidRDefault="00F76C4C">
      <w:pPr>
        <w:pStyle w:val="BodyText"/>
        <w:spacing w:before="56" w:line="276" w:lineRule="auto"/>
        <w:ind w:left="140" w:right="133"/>
        <w:jc w:val="both"/>
      </w:pPr>
      <w:r>
        <w:t>The Massachusetts Youth Risk Behavior Survey (MYRBS) is a biennial, representative survey of youth statewide.</w:t>
      </w:r>
      <w:r>
        <w:rPr>
          <w:spacing w:val="-13"/>
        </w:rPr>
        <w:t xml:space="preserve"> </w:t>
      </w:r>
      <w:r>
        <w:t>The</w:t>
      </w:r>
      <w:r>
        <w:rPr>
          <w:spacing w:val="-12"/>
        </w:rPr>
        <w:t xml:space="preserve"> </w:t>
      </w:r>
      <w:r>
        <w:t>longitudinal</w:t>
      </w:r>
      <w:r>
        <w:rPr>
          <w:spacing w:val="-13"/>
        </w:rPr>
        <w:t xml:space="preserve"> </w:t>
      </w:r>
      <w:r>
        <w:t>analyses</w:t>
      </w:r>
      <w:r>
        <w:rPr>
          <w:spacing w:val="-12"/>
        </w:rPr>
        <w:t xml:space="preserve"> </w:t>
      </w:r>
      <w:r>
        <w:t>presented</w:t>
      </w:r>
      <w:r>
        <w:rPr>
          <w:spacing w:val="-12"/>
        </w:rPr>
        <w:t xml:space="preserve"> </w:t>
      </w:r>
      <w:r>
        <w:t>here</w:t>
      </w:r>
      <w:r>
        <w:rPr>
          <w:spacing w:val="-11"/>
        </w:rPr>
        <w:t xml:space="preserve"> </w:t>
      </w:r>
      <w:r>
        <w:t>u</w:t>
      </w:r>
      <w:r>
        <w:t>se</w:t>
      </w:r>
      <w:r>
        <w:rPr>
          <w:spacing w:val="-11"/>
        </w:rPr>
        <w:t xml:space="preserve"> </w:t>
      </w:r>
      <w:r>
        <w:t>data</w:t>
      </w:r>
      <w:r>
        <w:rPr>
          <w:spacing w:val="-12"/>
        </w:rPr>
        <w:t xml:space="preserve"> </w:t>
      </w:r>
      <w:r>
        <w:t>from</w:t>
      </w:r>
      <w:r>
        <w:rPr>
          <w:spacing w:val="-10"/>
        </w:rPr>
        <w:t xml:space="preserve"> </w:t>
      </w:r>
      <w:r>
        <w:t>2015-2021.</w:t>
      </w:r>
      <w:r>
        <w:rPr>
          <w:spacing w:val="-12"/>
        </w:rPr>
        <w:t xml:space="preserve"> </w:t>
      </w:r>
      <w:r>
        <w:t>The</w:t>
      </w:r>
      <w:r>
        <w:rPr>
          <w:spacing w:val="-13"/>
        </w:rPr>
        <w:t xml:space="preserve"> </w:t>
      </w:r>
      <w:r>
        <w:t>other</w:t>
      </w:r>
      <w:r>
        <w:rPr>
          <w:spacing w:val="-12"/>
        </w:rPr>
        <w:t xml:space="preserve"> </w:t>
      </w:r>
      <w:r>
        <w:t>results</w:t>
      </w:r>
      <w:r>
        <w:rPr>
          <w:spacing w:val="-13"/>
        </w:rPr>
        <w:t xml:space="preserve"> </w:t>
      </w:r>
      <w:r>
        <w:t>rely</w:t>
      </w:r>
      <w:r>
        <w:rPr>
          <w:spacing w:val="-12"/>
        </w:rPr>
        <w:t xml:space="preserve"> </w:t>
      </w:r>
      <w:r>
        <w:t>upon 2021 data whenever possible (the most recent survey data available), but sometimes use data pooled across the 2019 and 2021 surveys, particularly where intersectionality of LGBTQ identity and other identities such as gender and race are examined.</w:t>
      </w:r>
    </w:p>
    <w:p w:rsidR="00200FDA" w:rsidRDefault="00200FDA">
      <w:pPr>
        <w:pStyle w:val="BodyText"/>
      </w:pPr>
    </w:p>
    <w:p w:rsidR="00200FDA" w:rsidRDefault="00F76C4C">
      <w:pPr>
        <w:pStyle w:val="Heading8"/>
        <w:spacing w:before="160"/>
      </w:pPr>
      <w:bookmarkStart w:id="57" w:name="Longitudinal_Trends,_2015-2021"/>
      <w:bookmarkEnd w:id="57"/>
      <w:r>
        <w:rPr>
          <w:color w:val="0A5293"/>
        </w:rPr>
        <w:t>Longitudinal</w:t>
      </w:r>
      <w:r>
        <w:rPr>
          <w:color w:val="0A5293"/>
          <w:spacing w:val="-5"/>
        </w:rPr>
        <w:t xml:space="preserve"> </w:t>
      </w:r>
      <w:r>
        <w:rPr>
          <w:color w:val="0A5293"/>
        </w:rPr>
        <w:t>Trends,</w:t>
      </w:r>
      <w:r>
        <w:rPr>
          <w:color w:val="0A5293"/>
          <w:spacing w:val="-4"/>
        </w:rPr>
        <w:t xml:space="preserve"> </w:t>
      </w:r>
      <w:r>
        <w:rPr>
          <w:color w:val="0A5293"/>
        </w:rPr>
        <w:t>2015-</w:t>
      </w:r>
      <w:r>
        <w:rPr>
          <w:color w:val="0A5293"/>
          <w:spacing w:val="-4"/>
        </w:rPr>
        <w:t>2021</w:t>
      </w:r>
    </w:p>
    <w:p w:rsidR="00200FDA" w:rsidRDefault="00200FDA">
      <w:pPr>
        <w:pStyle w:val="BodyText"/>
        <w:spacing w:before="8"/>
        <w:rPr>
          <w:sz w:val="19"/>
        </w:rPr>
      </w:pPr>
    </w:p>
    <w:p w:rsidR="00200FDA" w:rsidRDefault="00F76C4C">
      <w:pPr>
        <w:pStyle w:val="BodyText"/>
        <w:spacing w:line="276" w:lineRule="auto"/>
        <w:ind w:left="140" w:right="135"/>
        <w:jc w:val="both"/>
      </w:pPr>
      <w:r>
        <w:t>As shown in Figure 1, the percentage of youth in Massachusetts who identify as LBGTQ has increased gradually and significantly from 12.6% in 2015 to 21.9% in 2021 (p&lt;.001), and almost all of this increase occurred among yout</w:t>
      </w:r>
      <w:r>
        <w:t>h who identify as female. The percentage of youth identifying as female who identified as LGBTQ was 15.5% percent in 2015, and doubled to 32.9% in 2021, whereas among males, the percentage of youth identifying as LGBTQ increased only slightly, from 9.0% to</w:t>
      </w:r>
      <w:r>
        <w:t xml:space="preserve"> 10.2%.</w:t>
      </w:r>
    </w:p>
    <w:p w:rsidR="00200FDA" w:rsidRDefault="00F76C4C">
      <w:pPr>
        <w:pStyle w:val="BodyText"/>
        <w:spacing w:before="2"/>
        <w:rPr>
          <w:sz w:val="17"/>
        </w:rPr>
      </w:pPr>
      <w:r>
        <w:pict>
          <v:group id="docshapegroup25" o:spid="_x0000_s1514" style="position:absolute;margin-left:89.6pt;margin-top:11.7pt;width:432.75pt;height:252.75pt;z-index:-15724032;mso-wrap-distance-left:0;mso-wrap-distance-right:0;mso-position-horizontal-relative:page" coordorigin="1793,234" coordsize="8655,5055">
            <v:shape id="docshape26" o:spid="_x0000_s1541" style="position:absolute;left:2279;top:3410;width:1029;height:476" coordorigin="2279,3410" coordsize="1029,476" o:spt="100" adj="0,,0" path="m2279,3885r1028,m2279,3410r1028,e" filled="f" strokecolor="#d0e1f5">
              <v:stroke joinstyle="round"/>
              <v:formulas/>
              <v:path arrowok="t" o:connecttype="segments"/>
            </v:shape>
            <v:shape id="docshape27" o:spid="_x0000_s1540" type="#_x0000_t75" style="position:absolute;left:2574;top:3162;width:591;height:1199">
              <v:imagedata r:id="rId19" o:title=""/>
            </v:shape>
            <v:shape id="docshape28" o:spid="_x0000_s1539" style="position:absolute;left:3898;top:2935;width:3971;height:951" coordorigin="3898,2935" coordsize="3971,951" o:spt="100" adj="0,,0" path="m3898,3885r142,m4631,3885r591,m5812,3885r875,m3898,3410r1324,m5812,3410r875,m3898,2935r1324,m5812,2935r2057,e" filled="f" strokecolor="#d0e1f5">
              <v:stroke joinstyle="round"/>
              <v:formulas/>
              <v:path arrowok="t" o:connecttype="segments"/>
            </v:shape>
            <v:shape id="docshape29" o:spid="_x0000_s1538" type="#_x0000_t75" style="position:absolute;left:5221;top:2734;width:591;height:1626">
              <v:imagedata r:id="rId20" o:title=""/>
            </v:shape>
            <v:shape id="docshape30" o:spid="_x0000_s1537" style="position:absolute;left:2279;top:2457;width:6322;height:1428" coordorigin="2279,2457" coordsize="6322,1428" o:spt="100" adj="0,,0" path="m7278,3885r591,m8459,3885r142,m7278,3410r591,m8459,3410r142,m8459,2935r142,m2279,2457r5590,m8459,2457r142,e" filled="f" strokecolor="#d0e1f5">
              <v:stroke joinstyle="round"/>
              <v:formulas/>
              <v:path arrowok="t" o:connecttype="segments"/>
            </v:shape>
            <v:shape id="docshape31" o:spid="_x0000_s1536" type="#_x0000_t75" style="position:absolute;left:7868;top:2277;width:591;height:2083">
              <v:imagedata r:id="rId21" o:title=""/>
            </v:shape>
            <v:line id="_x0000_s1535" style="position:absolute" from="2279,2935" to="3307,2935" strokecolor="#d0e1f5"/>
            <v:shape id="docshape32" o:spid="_x0000_s1534" type="#_x0000_t75" style="position:absolute;left:3307;top:2886;width:591;height:1474">
              <v:imagedata r:id="rId22" o:title=""/>
            </v:shape>
            <v:shape id="docshape33" o:spid="_x0000_s1533" type="#_x0000_t75" style="position:absolute;left:5954;top:2249;width:591;height:2111">
              <v:imagedata r:id="rId23" o:title=""/>
            </v:shape>
            <v:shape id="docshape34" o:spid="_x0000_s1532" style="position:absolute;left:2279;top:1507;width:7941;height:2379" coordorigin="2279,1507" coordsize="7941,2379" o:spt="100" adj="0,,0" path="m9192,3885r142,m9192,3410r142,m9192,2935r1028,m9192,2457r1028,m2279,1982r6322,m9192,1982r1028,m2279,1507r6322,m9192,1507r1028,e" filled="f" strokecolor="#d0e1f5">
              <v:stroke joinstyle="round"/>
              <v:formulas/>
              <v:path arrowok="t" o:connecttype="segments"/>
            </v:shape>
            <v:shape id="docshape35" o:spid="_x0000_s1531" type="#_x0000_t75" style="position:absolute;left:8601;top:1231;width:591;height:3129">
              <v:imagedata r:id="rId24" o:title=""/>
            </v:shape>
            <v:shape id="docshape36" o:spid="_x0000_s1530" type="#_x0000_t75" style="position:absolute;left:4040;top:3504;width:591;height:856">
              <v:imagedata r:id="rId25" o:title=""/>
            </v:shape>
            <v:shape id="docshape37" o:spid="_x0000_s1529" type="#_x0000_t75" style="position:absolute;left:6686;top:3323;width:591;height:1037">
              <v:imagedata r:id="rId26" o:title=""/>
            </v:shape>
            <v:shape id="docshape38" o:spid="_x0000_s1528" style="position:absolute;left:9924;top:3410;width:296;height:476" coordorigin="9925,3410" coordsize="296,476" o:spt="100" adj="0,,0" path="m9925,3885r295,m9925,3410r295,e" filled="f" strokecolor="#d0e1f5">
              <v:stroke joinstyle="round"/>
              <v:formulas/>
              <v:path arrowok="t" o:connecttype="segments"/>
            </v:shape>
            <v:shape id="docshape39" o:spid="_x0000_s1527" type="#_x0000_t75" style="position:absolute;left:9333;top:3390;width:591;height:970">
              <v:imagedata r:id="rId27" o:title=""/>
            </v:shape>
            <v:line id="_x0000_s1526" style="position:absolute" from="2279,4360" to="10220,4360" strokecolor="#d0e1f5"/>
            <v:line id="_x0000_s1525" style="position:absolute" from="2279,1032" to="10220,1032" strokecolor="#d0e1f5"/>
            <v:shape id="docshape40" o:spid="_x0000_s1524" type="#_x0000_t75" style="position:absolute;left:4149;top:4943;width:99;height:99">
              <v:imagedata r:id="rId28" o:title=""/>
            </v:shape>
            <v:shape id="docshape41" o:spid="_x0000_s1523" type="#_x0000_t75" style="position:absolute;left:5912;top:4943;width:99;height:99">
              <v:imagedata r:id="rId29" o:title=""/>
            </v:shape>
            <v:shape id="docshape42" o:spid="_x0000_s1522" type="#_x0000_t75" style="position:absolute;left:7239;top:4943;width:99;height:99">
              <v:imagedata r:id="rId30" o:title=""/>
            </v:shape>
            <v:rect id="docshape43" o:spid="_x0000_s1521" style="position:absolute;left:1800;top:241;width:8640;height:5040" filled="f" strokecolor="#d0e1f5"/>
            <v:shapetype id="_x0000_t202" coordsize="21600,21600" o:spt="202" path="m,l,21600r21600,l21600,xe">
              <v:stroke joinstyle="miter"/>
              <v:path gradientshapeok="t" o:connecttype="rect"/>
            </v:shapetype>
            <v:shape id="docshape44" o:spid="_x0000_s1520" type="#_x0000_t202" style="position:absolute;left:4149;top:456;width:3961;height:320" filled="f" stroked="f">
              <v:textbox inset="0,0,0,0">
                <w:txbxContent>
                  <w:p w:rsidR="00200FDA" w:rsidRDefault="00F76C4C">
                    <w:pPr>
                      <w:spacing w:line="319" w:lineRule="exact"/>
                      <w:rPr>
                        <w:b/>
                        <w:sz w:val="32"/>
                      </w:rPr>
                    </w:pPr>
                    <w:r>
                      <w:rPr>
                        <w:b/>
                        <w:color w:val="16406C"/>
                        <w:sz w:val="32"/>
                      </w:rPr>
                      <w:t>2021</w:t>
                    </w:r>
                    <w:r>
                      <w:rPr>
                        <w:b/>
                        <w:color w:val="16406C"/>
                        <w:spacing w:val="-12"/>
                        <w:sz w:val="32"/>
                      </w:rPr>
                      <w:t xml:space="preserve"> </w:t>
                    </w:r>
                    <w:r>
                      <w:rPr>
                        <w:b/>
                        <w:color w:val="16406C"/>
                        <w:sz w:val="32"/>
                      </w:rPr>
                      <w:t>Number</w:t>
                    </w:r>
                    <w:r>
                      <w:rPr>
                        <w:b/>
                        <w:color w:val="16406C"/>
                        <w:spacing w:val="-12"/>
                        <w:sz w:val="32"/>
                      </w:rPr>
                      <w:t xml:space="preserve"> </w:t>
                    </w:r>
                    <w:r>
                      <w:rPr>
                        <w:b/>
                        <w:color w:val="16406C"/>
                        <w:sz w:val="32"/>
                      </w:rPr>
                      <w:t>of</w:t>
                    </w:r>
                    <w:r>
                      <w:rPr>
                        <w:b/>
                        <w:color w:val="16406C"/>
                        <w:spacing w:val="-15"/>
                        <w:sz w:val="32"/>
                      </w:rPr>
                      <w:t xml:space="preserve"> </w:t>
                    </w:r>
                    <w:r>
                      <w:rPr>
                        <w:b/>
                        <w:color w:val="16406C"/>
                        <w:sz w:val="32"/>
                      </w:rPr>
                      <w:t>LGBTQ</w:t>
                    </w:r>
                    <w:r>
                      <w:rPr>
                        <w:b/>
                        <w:color w:val="16406C"/>
                        <w:spacing w:val="-12"/>
                        <w:sz w:val="32"/>
                      </w:rPr>
                      <w:t xml:space="preserve"> </w:t>
                    </w:r>
                    <w:r>
                      <w:rPr>
                        <w:b/>
                        <w:color w:val="16406C"/>
                        <w:spacing w:val="-4"/>
                        <w:sz w:val="32"/>
                      </w:rPr>
                      <w:t>Youth</w:t>
                    </w:r>
                  </w:p>
                </w:txbxContent>
              </v:textbox>
            </v:shape>
            <v:shape id="docshape45" o:spid="_x0000_s1519" type="#_x0000_t202" style="position:absolute;left:1929;top:948;width:203;height:3508" filled="f" stroked="f">
              <v:textbox inset="0,0,0,0">
                <w:txbxContent>
                  <w:p w:rsidR="00200FDA" w:rsidRDefault="00F76C4C">
                    <w:pPr>
                      <w:spacing w:line="183" w:lineRule="exact"/>
                      <w:rPr>
                        <w:sz w:val="18"/>
                      </w:rPr>
                    </w:pPr>
                    <w:r>
                      <w:rPr>
                        <w:color w:val="16406C"/>
                        <w:spacing w:val="-5"/>
                        <w:sz w:val="18"/>
                      </w:rPr>
                      <w:t>35</w:t>
                    </w:r>
                  </w:p>
                  <w:p w:rsidR="00200FDA" w:rsidRDefault="00200FDA">
                    <w:pPr>
                      <w:spacing w:before="11"/>
                      <w:rPr>
                        <w:sz w:val="20"/>
                      </w:rPr>
                    </w:pPr>
                  </w:p>
                  <w:p w:rsidR="00200FDA" w:rsidRDefault="00F76C4C">
                    <w:pPr>
                      <w:rPr>
                        <w:sz w:val="18"/>
                      </w:rPr>
                    </w:pPr>
                    <w:r>
                      <w:rPr>
                        <w:color w:val="16406C"/>
                        <w:spacing w:val="-5"/>
                        <w:sz w:val="18"/>
                      </w:rPr>
                      <w:t>30</w:t>
                    </w:r>
                  </w:p>
                  <w:p w:rsidR="00200FDA" w:rsidRDefault="00200FDA">
                    <w:pPr>
                      <w:spacing w:before="12"/>
                      <w:rPr>
                        <w:sz w:val="20"/>
                      </w:rPr>
                    </w:pPr>
                  </w:p>
                  <w:p w:rsidR="00200FDA" w:rsidRDefault="00F76C4C">
                    <w:pPr>
                      <w:rPr>
                        <w:sz w:val="18"/>
                      </w:rPr>
                    </w:pPr>
                    <w:r>
                      <w:rPr>
                        <w:color w:val="16406C"/>
                        <w:spacing w:val="-5"/>
                        <w:sz w:val="18"/>
                      </w:rPr>
                      <w:t>25</w:t>
                    </w:r>
                  </w:p>
                  <w:p w:rsidR="00200FDA" w:rsidRDefault="00200FDA">
                    <w:pPr>
                      <w:spacing w:before="11"/>
                      <w:rPr>
                        <w:sz w:val="20"/>
                      </w:rPr>
                    </w:pPr>
                  </w:p>
                  <w:p w:rsidR="00200FDA" w:rsidRDefault="00F76C4C">
                    <w:pPr>
                      <w:rPr>
                        <w:sz w:val="18"/>
                      </w:rPr>
                    </w:pPr>
                    <w:r>
                      <w:rPr>
                        <w:color w:val="16406C"/>
                        <w:spacing w:val="-5"/>
                        <w:sz w:val="18"/>
                      </w:rPr>
                      <w:t>20</w:t>
                    </w:r>
                  </w:p>
                  <w:p w:rsidR="00200FDA" w:rsidRDefault="00200FDA">
                    <w:pPr>
                      <w:spacing w:before="12"/>
                      <w:rPr>
                        <w:sz w:val="20"/>
                      </w:rPr>
                    </w:pPr>
                  </w:p>
                  <w:p w:rsidR="00200FDA" w:rsidRDefault="00F76C4C">
                    <w:pPr>
                      <w:rPr>
                        <w:sz w:val="18"/>
                      </w:rPr>
                    </w:pPr>
                    <w:r>
                      <w:rPr>
                        <w:color w:val="16406C"/>
                        <w:spacing w:val="-5"/>
                        <w:sz w:val="18"/>
                      </w:rPr>
                      <w:t>15</w:t>
                    </w:r>
                  </w:p>
                  <w:p w:rsidR="00200FDA" w:rsidRDefault="00200FDA">
                    <w:pPr>
                      <w:spacing w:before="11"/>
                      <w:rPr>
                        <w:sz w:val="20"/>
                      </w:rPr>
                    </w:pPr>
                  </w:p>
                  <w:p w:rsidR="00200FDA" w:rsidRDefault="00F76C4C">
                    <w:pPr>
                      <w:rPr>
                        <w:sz w:val="18"/>
                      </w:rPr>
                    </w:pPr>
                    <w:r>
                      <w:rPr>
                        <w:color w:val="16406C"/>
                        <w:spacing w:val="-5"/>
                        <w:sz w:val="18"/>
                      </w:rPr>
                      <w:t>10</w:t>
                    </w:r>
                  </w:p>
                  <w:p w:rsidR="00200FDA" w:rsidRDefault="00200FDA">
                    <w:pPr>
                      <w:spacing w:before="12"/>
                      <w:rPr>
                        <w:sz w:val="20"/>
                      </w:rPr>
                    </w:pPr>
                  </w:p>
                  <w:p w:rsidR="00200FDA" w:rsidRDefault="00F76C4C">
                    <w:pPr>
                      <w:ind w:left="91"/>
                      <w:rPr>
                        <w:sz w:val="18"/>
                      </w:rPr>
                    </w:pPr>
                    <w:r>
                      <w:rPr>
                        <w:color w:val="16406C"/>
                        <w:sz w:val="18"/>
                      </w:rPr>
                      <w:t>5</w:t>
                    </w:r>
                  </w:p>
                  <w:p w:rsidR="00200FDA" w:rsidRDefault="00200FDA">
                    <w:pPr>
                      <w:spacing w:before="11"/>
                      <w:rPr>
                        <w:sz w:val="20"/>
                      </w:rPr>
                    </w:pPr>
                  </w:p>
                  <w:p w:rsidR="00200FDA" w:rsidRDefault="00F76C4C">
                    <w:pPr>
                      <w:spacing w:line="216" w:lineRule="exact"/>
                      <w:ind w:left="91"/>
                      <w:rPr>
                        <w:sz w:val="18"/>
                      </w:rPr>
                    </w:pPr>
                    <w:r>
                      <w:rPr>
                        <w:color w:val="16406C"/>
                        <w:sz w:val="18"/>
                      </w:rPr>
                      <w:t>0</w:t>
                    </w:r>
                  </w:p>
                </w:txbxContent>
              </v:textbox>
            </v:shape>
            <v:shape id="docshape46" o:spid="_x0000_s1518" type="#_x0000_t202" style="position:absolute;left:3420;top:4510;width:386;height:180" filled="f" stroked="f">
              <v:textbox inset="0,0,0,0">
                <w:txbxContent>
                  <w:p w:rsidR="00200FDA" w:rsidRDefault="00F76C4C">
                    <w:pPr>
                      <w:spacing w:line="180" w:lineRule="exact"/>
                      <w:rPr>
                        <w:sz w:val="18"/>
                      </w:rPr>
                    </w:pPr>
                    <w:r>
                      <w:rPr>
                        <w:color w:val="16406C"/>
                        <w:spacing w:val="-4"/>
                        <w:sz w:val="18"/>
                      </w:rPr>
                      <w:t>2015</w:t>
                    </w:r>
                  </w:p>
                </w:txbxContent>
              </v:textbox>
            </v:shape>
            <v:shape id="docshape47" o:spid="_x0000_s1517" type="#_x0000_t202" style="position:absolute;left:6067;top:4510;width:386;height:180" filled="f" stroked="f">
              <v:textbox inset="0,0,0,0">
                <w:txbxContent>
                  <w:p w:rsidR="00200FDA" w:rsidRDefault="00F76C4C">
                    <w:pPr>
                      <w:spacing w:line="180" w:lineRule="exact"/>
                      <w:rPr>
                        <w:sz w:val="18"/>
                      </w:rPr>
                    </w:pPr>
                    <w:r>
                      <w:rPr>
                        <w:color w:val="16406C"/>
                        <w:spacing w:val="-4"/>
                        <w:sz w:val="18"/>
                      </w:rPr>
                      <w:t>2019</w:t>
                    </w:r>
                  </w:p>
                </w:txbxContent>
              </v:textbox>
            </v:shape>
            <v:shape id="docshape48" o:spid="_x0000_s1516" type="#_x0000_t202" style="position:absolute;left:8714;top:4510;width:386;height:180" filled="f" stroked="f">
              <v:textbox inset="0,0,0,0">
                <w:txbxContent>
                  <w:p w:rsidR="00200FDA" w:rsidRDefault="00F76C4C">
                    <w:pPr>
                      <w:spacing w:line="180" w:lineRule="exact"/>
                      <w:rPr>
                        <w:sz w:val="18"/>
                      </w:rPr>
                    </w:pPr>
                    <w:r>
                      <w:rPr>
                        <w:color w:val="16406C"/>
                        <w:spacing w:val="-4"/>
                        <w:sz w:val="18"/>
                      </w:rPr>
                      <w:t>2021</w:t>
                    </w:r>
                  </w:p>
                </w:txbxContent>
              </v:textbox>
            </v:shape>
            <v:shape id="docshape49" o:spid="_x0000_s1515" type="#_x0000_t202" style="position:absolute;left:4290;top:4908;width:3893;height:180" filled="f" stroked="f">
              <v:textbox inset="0,0,0,0">
                <w:txbxContent>
                  <w:p w:rsidR="00200FDA" w:rsidRDefault="00F76C4C">
                    <w:pPr>
                      <w:tabs>
                        <w:tab w:val="left" w:pos="1762"/>
                        <w:tab w:val="left" w:pos="3089"/>
                      </w:tabs>
                      <w:spacing w:line="180" w:lineRule="exact"/>
                      <w:rPr>
                        <w:sz w:val="18"/>
                      </w:rPr>
                    </w:pPr>
                    <w:r>
                      <w:rPr>
                        <w:color w:val="16406C"/>
                        <w:sz w:val="18"/>
                      </w:rPr>
                      <w:t>Total</w:t>
                    </w:r>
                    <w:r>
                      <w:rPr>
                        <w:color w:val="16406C"/>
                        <w:spacing w:val="-4"/>
                        <w:sz w:val="18"/>
                      </w:rPr>
                      <w:t xml:space="preserve"> </w:t>
                    </w:r>
                    <w:r>
                      <w:rPr>
                        <w:color w:val="16406C"/>
                        <w:sz w:val="18"/>
                      </w:rPr>
                      <w:t>LGBTQ</w:t>
                    </w:r>
                    <w:r>
                      <w:rPr>
                        <w:color w:val="16406C"/>
                        <w:spacing w:val="-2"/>
                        <w:sz w:val="18"/>
                      </w:rPr>
                      <w:t xml:space="preserve"> Youth</w:t>
                    </w:r>
                    <w:r>
                      <w:rPr>
                        <w:color w:val="16406C"/>
                        <w:sz w:val="18"/>
                      </w:rPr>
                      <w:tab/>
                      <w:t>Total</w:t>
                    </w:r>
                    <w:r>
                      <w:rPr>
                        <w:color w:val="16406C"/>
                        <w:spacing w:val="-3"/>
                        <w:sz w:val="18"/>
                      </w:rPr>
                      <w:t xml:space="preserve"> </w:t>
                    </w:r>
                    <w:r>
                      <w:rPr>
                        <w:color w:val="16406C"/>
                        <w:spacing w:val="-2"/>
                        <w:sz w:val="18"/>
                      </w:rPr>
                      <w:t>Female</w:t>
                    </w:r>
                    <w:r>
                      <w:rPr>
                        <w:color w:val="16406C"/>
                        <w:sz w:val="18"/>
                      </w:rPr>
                      <w:tab/>
                      <w:t>Total</w:t>
                    </w:r>
                    <w:r>
                      <w:rPr>
                        <w:color w:val="16406C"/>
                        <w:spacing w:val="-3"/>
                        <w:sz w:val="18"/>
                      </w:rPr>
                      <w:t xml:space="preserve"> </w:t>
                    </w:r>
                    <w:r>
                      <w:rPr>
                        <w:color w:val="16406C"/>
                        <w:spacing w:val="-4"/>
                        <w:sz w:val="18"/>
                      </w:rPr>
                      <w:t>Male</w:t>
                    </w:r>
                  </w:p>
                </w:txbxContent>
              </v:textbox>
            </v:shape>
            <w10:wrap type="topAndBottom" anchorx="page"/>
          </v:group>
        </w:pict>
      </w:r>
    </w:p>
    <w:p w:rsidR="00200FDA" w:rsidRDefault="00200FDA">
      <w:pPr>
        <w:pStyle w:val="BodyText"/>
      </w:pPr>
    </w:p>
    <w:p w:rsidR="00200FDA" w:rsidRDefault="00200FDA">
      <w:pPr>
        <w:pStyle w:val="BodyText"/>
        <w:spacing w:before="4"/>
        <w:rPr>
          <w:sz w:val="25"/>
        </w:rPr>
      </w:pPr>
    </w:p>
    <w:p w:rsidR="00200FDA" w:rsidRDefault="00F76C4C">
      <w:pPr>
        <w:pStyle w:val="BodyText"/>
        <w:spacing w:line="276" w:lineRule="auto"/>
        <w:ind w:left="139" w:right="133"/>
        <w:jc w:val="both"/>
      </w:pPr>
      <w:r>
        <w:t>The percentage of youth who identify as transgender also increased significantly between 2015-2021 (p&lt;.001),</w:t>
      </w:r>
      <w:r>
        <w:rPr>
          <w:spacing w:val="-1"/>
        </w:rPr>
        <w:t xml:space="preserve"> </w:t>
      </w:r>
      <w:r>
        <w:t>from 2.9% in</w:t>
      </w:r>
      <w:r>
        <w:rPr>
          <w:spacing w:val="-2"/>
        </w:rPr>
        <w:t xml:space="preserve"> </w:t>
      </w:r>
      <w:r>
        <w:t>2015 to 5.3% in</w:t>
      </w:r>
      <w:r>
        <w:rPr>
          <w:spacing w:val="-2"/>
        </w:rPr>
        <w:t xml:space="preserve"> </w:t>
      </w:r>
      <w:r>
        <w:t>2021,</w:t>
      </w:r>
      <w:r>
        <w:rPr>
          <w:spacing w:val="-1"/>
        </w:rPr>
        <w:t xml:space="preserve"> </w:t>
      </w:r>
      <w:r>
        <w:t>but most of the increase</w:t>
      </w:r>
      <w:r>
        <w:rPr>
          <w:spacing w:val="-3"/>
        </w:rPr>
        <w:t xml:space="preserve"> </w:t>
      </w:r>
      <w:r>
        <w:t>occurred</w:t>
      </w:r>
      <w:r>
        <w:rPr>
          <w:spacing w:val="-4"/>
        </w:rPr>
        <w:t xml:space="preserve"> </w:t>
      </w:r>
      <w:r>
        <w:t>between</w:t>
      </w:r>
      <w:r>
        <w:rPr>
          <w:spacing w:val="-2"/>
        </w:rPr>
        <w:t xml:space="preserve"> </w:t>
      </w:r>
      <w:r>
        <w:t>2019 and</w:t>
      </w:r>
      <w:r>
        <w:rPr>
          <w:spacing w:val="-2"/>
        </w:rPr>
        <w:t xml:space="preserve"> </w:t>
      </w:r>
      <w:r>
        <w:t>2021. In 2015, there was no gender difference in the percentage of youth who identified as transgender. In 2017, there was a slight and statistically significant difference, with youth who identified as male being more likely to identity as transgender (3.</w:t>
      </w:r>
      <w:r>
        <w:t>2% versus 2.1%, p&lt;.01), and in 2019 there was no difference again. In 2021, youth who identified as female were significantly more likely to identify as transgender (6.3% versus 3.3%, p&lt;.001).</w:t>
      </w:r>
    </w:p>
    <w:p w:rsidR="00200FDA" w:rsidRDefault="00200FDA">
      <w:pPr>
        <w:spacing w:line="276" w:lineRule="auto"/>
        <w:jc w:val="both"/>
        <w:sectPr w:rsidR="00200FDA">
          <w:headerReference w:type="default" r:id="rId31"/>
          <w:footerReference w:type="default" r:id="rId32"/>
          <w:pgSz w:w="12240" w:h="15840"/>
          <w:pgMar w:top="1360" w:right="1300" w:bottom="1260" w:left="1300" w:header="761" w:footer="1062" w:gutter="0"/>
          <w:pgNumType w:start="1"/>
          <w:cols w:space="720"/>
        </w:sectPr>
      </w:pPr>
    </w:p>
    <w:p w:rsidR="00200FDA" w:rsidRDefault="00F76C4C">
      <w:pPr>
        <w:pStyle w:val="BodyText"/>
        <w:spacing w:before="64" w:line="276" w:lineRule="auto"/>
        <w:ind w:left="139" w:right="131"/>
        <w:jc w:val="both"/>
      </w:pPr>
      <w:r>
        <w:lastRenderedPageBreak/>
        <w:t>Looking at the intersection of race/ethnicity and LGBTQ identity, there were statistically differences (p&lt;.05)</w:t>
      </w:r>
      <w:r>
        <w:rPr>
          <w:spacing w:val="-6"/>
        </w:rPr>
        <w:t xml:space="preserve"> </w:t>
      </w:r>
      <w:r>
        <w:t>in</w:t>
      </w:r>
      <w:r>
        <w:rPr>
          <w:spacing w:val="-7"/>
        </w:rPr>
        <w:t xml:space="preserve"> </w:t>
      </w:r>
      <w:r>
        <w:t>the</w:t>
      </w:r>
      <w:r>
        <w:rPr>
          <w:spacing w:val="-8"/>
        </w:rPr>
        <w:t xml:space="preserve"> </w:t>
      </w:r>
      <w:r>
        <w:t>percentage</w:t>
      </w:r>
      <w:r>
        <w:rPr>
          <w:spacing w:val="-8"/>
        </w:rPr>
        <w:t xml:space="preserve"> </w:t>
      </w:r>
      <w:r>
        <w:t>of</w:t>
      </w:r>
      <w:r>
        <w:rPr>
          <w:spacing w:val="-7"/>
        </w:rPr>
        <w:t xml:space="preserve"> </w:t>
      </w:r>
      <w:r>
        <w:t>LGBTQ</w:t>
      </w:r>
      <w:r>
        <w:rPr>
          <w:spacing w:val="-9"/>
        </w:rPr>
        <w:t xml:space="preserve"> </w:t>
      </w:r>
      <w:r>
        <w:t>youth</w:t>
      </w:r>
      <w:r>
        <w:rPr>
          <w:spacing w:val="-7"/>
        </w:rPr>
        <w:t xml:space="preserve"> </w:t>
      </w:r>
      <w:r>
        <w:t>by</w:t>
      </w:r>
      <w:r>
        <w:rPr>
          <w:spacing w:val="-6"/>
        </w:rPr>
        <w:t xml:space="preserve"> </w:t>
      </w:r>
      <w:r>
        <w:t>race/ethnicity</w:t>
      </w:r>
      <w:r>
        <w:rPr>
          <w:spacing w:val="-6"/>
        </w:rPr>
        <w:t xml:space="preserve"> </w:t>
      </w:r>
      <w:r>
        <w:t>in</w:t>
      </w:r>
      <w:r>
        <w:rPr>
          <w:spacing w:val="-7"/>
        </w:rPr>
        <w:t xml:space="preserve"> </w:t>
      </w:r>
      <w:r>
        <w:t>all</w:t>
      </w:r>
      <w:r>
        <w:rPr>
          <w:spacing w:val="-9"/>
        </w:rPr>
        <w:t xml:space="preserve"> </w:t>
      </w:r>
      <w:r>
        <w:t>years</w:t>
      </w:r>
      <w:r>
        <w:rPr>
          <w:spacing w:val="-7"/>
        </w:rPr>
        <w:t xml:space="preserve"> </w:t>
      </w:r>
      <w:r>
        <w:t>except</w:t>
      </w:r>
      <w:r>
        <w:rPr>
          <w:spacing w:val="-9"/>
        </w:rPr>
        <w:t xml:space="preserve"> </w:t>
      </w:r>
      <w:r>
        <w:t>for</w:t>
      </w:r>
      <w:r>
        <w:rPr>
          <w:spacing w:val="-9"/>
        </w:rPr>
        <w:t xml:space="preserve"> </w:t>
      </w:r>
      <w:r>
        <w:t>2021</w:t>
      </w:r>
      <w:r>
        <w:rPr>
          <w:spacing w:val="-8"/>
        </w:rPr>
        <w:t xml:space="preserve"> </w:t>
      </w:r>
      <w:r>
        <w:t>(See</w:t>
      </w:r>
      <w:r>
        <w:rPr>
          <w:spacing w:val="-6"/>
        </w:rPr>
        <w:t xml:space="preserve"> </w:t>
      </w:r>
      <w:r>
        <w:t>Figure</w:t>
      </w:r>
      <w:r>
        <w:rPr>
          <w:spacing w:val="-8"/>
        </w:rPr>
        <w:t xml:space="preserve"> </w:t>
      </w:r>
      <w:r>
        <w:t>2.)</w:t>
      </w:r>
      <w:r>
        <w:rPr>
          <w:spacing w:val="-6"/>
        </w:rPr>
        <w:t xml:space="preserve"> </w:t>
      </w:r>
      <w:r>
        <w:t>The percentage of Asian youth who identify as L</w:t>
      </w:r>
      <w:r>
        <w:t>GBTQ has increased steadily, from 10.5% to 22.3%. The percentage of Black or African American</w:t>
      </w:r>
      <w:r>
        <w:rPr>
          <w:spacing w:val="-2"/>
        </w:rPr>
        <w:t xml:space="preserve"> </w:t>
      </w:r>
      <w:r>
        <w:t>youth</w:t>
      </w:r>
      <w:r>
        <w:rPr>
          <w:spacing w:val="-2"/>
        </w:rPr>
        <w:t xml:space="preserve"> </w:t>
      </w:r>
      <w:r>
        <w:t>who identify as LGBTQ has nearly doubled from 10.0% to 19.6%, the percentage of White youth nearly doubled also, from 11.5% to 20.7%, and the percentage amo</w:t>
      </w:r>
      <w:r>
        <w:t>ng</w:t>
      </w:r>
      <w:r>
        <w:rPr>
          <w:spacing w:val="-2"/>
        </w:rPr>
        <w:t xml:space="preserve"> </w:t>
      </w:r>
      <w:r>
        <w:t>Latinx</w:t>
      </w:r>
      <w:r>
        <w:rPr>
          <w:spacing w:val="-1"/>
        </w:rPr>
        <w:t xml:space="preserve"> </w:t>
      </w:r>
      <w:r>
        <w:t>youth</w:t>
      </w:r>
      <w:r>
        <w:rPr>
          <w:spacing w:val="-2"/>
        </w:rPr>
        <w:t xml:space="preserve"> </w:t>
      </w:r>
      <w:r>
        <w:t>increased</w:t>
      </w:r>
      <w:r>
        <w:rPr>
          <w:spacing w:val="-2"/>
        </w:rPr>
        <w:t xml:space="preserve"> </w:t>
      </w:r>
      <w:r>
        <w:t>from 12.5% to</w:t>
      </w:r>
      <w:r>
        <w:rPr>
          <w:spacing w:val="-2"/>
        </w:rPr>
        <w:t xml:space="preserve"> </w:t>
      </w:r>
      <w:r>
        <w:t>19.1%.</w:t>
      </w:r>
      <w:r>
        <w:rPr>
          <w:spacing w:val="-4"/>
        </w:rPr>
        <w:t xml:space="preserve"> </w:t>
      </w:r>
      <w:r>
        <w:t>Among</w:t>
      </w:r>
      <w:r>
        <w:rPr>
          <w:spacing w:val="-2"/>
        </w:rPr>
        <w:t xml:space="preserve"> </w:t>
      </w:r>
      <w:r>
        <w:t>youth</w:t>
      </w:r>
      <w:r>
        <w:rPr>
          <w:spacing w:val="-2"/>
        </w:rPr>
        <w:t xml:space="preserve"> </w:t>
      </w:r>
      <w:r>
        <w:t>who identify as</w:t>
      </w:r>
      <w:r>
        <w:rPr>
          <w:spacing w:val="-1"/>
        </w:rPr>
        <w:t xml:space="preserve"> </w:t>
      </w:r>
      <w:r>
        <w:t>Latinx</w:t>
      </w:r>
      <w:r>
        <w:rPr>
          <w:spacing w:val="-1"/>
        </w:rPr>
        <w:t xml:space="preserve"> </w:t>
      </w:r>
      <w:r>
        <w:t>and</w:t>
      </w:r>
      <w:r>
        <w:rPr>
          <w:spacing w:val="-2"/>
        </w:rPr>
        <w:t xml:space="preserve"> </w:t>
      </w:r>
      <w:r>
        <w:t>multiracial, the percentage increased only slightly, from 21.3% to 25%, and among youth who identify as multiracial and not Latinx, it more than doubled from 14.1% to 31.3%. The percentage of youth who identify as transgender</w:t>
      </w:r>
      <w:r>
        <w:rPr>
          <w:spacing w:val="-2"/>
        </w:rPr>
        <w:t xml:space="preserve"> </w:t>
      </w:r>
      <w:r>
        <w:t>is</w:t>
      </w:r>
      <w:r>
        <w:rPr>
          <w:spacing w:val="-4"/>
        </w:rPr>
        <w:t xml:space="preserve"> </w:t>
      </w:r>
      <w:r>
        <w:t>not</w:t>
      </w:r>
      <w:r>
        <w:rPr>
          <w:spacing w:val="-4"/>
        </w:rPr>
        <w:t xml:space="preserve"> </w:t>
      </w:r>
      <w:r>
        <w:t>analyzed</w:t>
      </w:r>
      <w:r>
        <w:rPr>
          <w:spacing w:val="-3"/>
        </w:rPr>
        <w:t xml:space="preserve"> </w:t>
      </w:r>
      <w:r>
        <w:t>by</w:t>
      </w:r>
      <w:r>
        <w:rPr>
          <w:spacing w:val="-1"/>
        </w:rPr>
        <w:t xml:space="preserve"> </w:t>
      </w:r>
      <w:r>
        <w:t>race/ethnic</w:t>
      </w:r>
      <w:r>
        <w:t>ity</w:t>
      </w:r>
      <w:r>
        <w:rPr>
          <w:spacing w:val="-1"/>
        </w:rPr>
        <w:t xml:space="preserve"> </w:t>
      </w:r>
      <w:r>
        <w:t>longitudinally</w:t>
      </w:r>
      <w:r>
        <w:rPr>
          <w:spacing w:val="-1"/>
        </w:rPr>
        <w:t xml:space="preserve"> </w:t>
      </w:r>
      <w:r>
        <w:t>for</w:t>
      </w:r>
      <w:r>
        <w:rPr>
          <w:spacing w:val="-4"/>
        </w:rPr>
        <w:t xml:space="preserve"> </w:t>
      </w:r>
      <w:r>
        <w:t>2015-2021,</w:t>
      </w:r>
      <w:r>
        <w:rPr>
          <w:spacing w:val="-2"/>
        </w:rPr>
        <w:t xml:space="preserve"> </w:t>
      </w:r>
      <w:r>
        <w:t>because</w:t>
      </w:r>
      <w:r>
        <w:rPr>
          <w:spacing w:val="-1"/>
        </w:rPr>
        <w:t xml:space="preserve"> </w:t>
      </w:r>
      <w:r>
        <w:t>the</w:t>
      </w:r>
      <w:r>
        <w:rPr>
          <w:spacing w:val="-4"/>
        </w:rPr>
        <w:t xml:space="preserve"> </w:t>
      </w:r>
      <w:r>
        <w:t>number</w:t>
      </w:r>
      <w:r>
        <w:rPr>
          <w:spacing w:val="-4"/>
        </w:rPr>
        <w:t xml:space="preserve"> </w:t>
      </w:r>
      <w:r>
        <w:t>of</w:t>
      </w:r>
      <w:r>
        <w:rPr>
          <w:spacing w:val="-4"/>
        </w:rPr>
        <w:t xml:space="preserve"> </w:t>
      </w:r>
      <w:r>
        <w:t>youth in each subgroup is too small to produce reliable estimates. Instead, 2019-2021 data were pooled to produce</w:t>
      </w:r>
      <w:r>
        <w:rPr>
          <w:spacing w:val="-5"/>
        </w:rPr>
        <w:t xml:space="preserve"> </w:t>
      </w:r>
      <w:r>
        <w:t>an</w:t>
      </w:r>
      <w:r>
        <w:rPr>
          <w:spacing w:val="-6"/>
        </w:rPr>
        <w:t xml:space="preserve"> </w:t>
      </w:r>
      <w:r>
        <w:t>estimate</w:t>
      </w:r>
      <w:r>
        <w:rPr>
          <w:spacing w:val="-5"/>
        </w:rPr>
        <w:t xml:space="preserve"> </w:t>
      </w:r>
      <w:r>
        <w:t>across</w:t>
      </w:r>
      <w:r>
        <w:rPr>
          <w:spacing w:val="-8"/>
        </w:rPr>
        <w:t xml:space="preserve"> </w:t>
      </w:r>
      <w:r>
        <w:t>the</w:t>
      </w:r>
      <w:r>
        <w:rPr>
          <w:spacing w:val="-5"/>
        </w:rPr>
        <w:t xml:space="preserve"> </w:t>
      </w:r>
      <w:r>
        <w:t>two</w:t>
      </w:r>
      <w:r>
        <w:rPr>
          <w:spacing w:val="-4"/>
        </w:rPr>
        <w:t xml:space="preserve"> </w:t>
      </w:r>
      <w:r>
        <w:t>years</w:t>
      </w:r>
      <w:r>
        <w:rPr>
          <w:spacing w:val="-8"/>
        </w:rPr>
        <w:t xml:space="preserve"> </w:t>
      </w:r>
      <w:r>
        <w:t>of</w:t>
      </w:r>
      <w:r>
        <w:rPr>
          <w:spacing w:val="-6"/>
        </w:rPr>
        <w:t xml:space="preserve"> </w:t>
      </w:r>
      <w:r>
        <w:t>data</w:t>
      </w:r>
      <w:r>
        <w:rPr>
          <w:spacing w:val="-6"/>
        </w:rPr>
        <w:t xml:space="preserve"> </w:t>
      </w:r>
      <w:r>
        <w:t>collection:</w:t>
      </w:r>
      <w:r>
        <w:rPr>
          <w:spacing w:val="-7"/>
        </w:rPr>
        <w:t xml:space="preserve"> </w:t>
      </w:r>
      <w:r>
        <w:t>3.6%</w:t>
      </w:r>
      <w:r>
        <w:rPr>
          <w:spacing w:val="-5"/>
        </w:rPr>
        <w:t xml:space="preserve"> </w:t>
      </w:r>
      <w:r>
        <w:t>of</w:t>
      </w:r>
      <w:r>
        <w:rPr>
          <w:spacing w:val="-6"/>
        </w:rPr>
        <w:t xml:space="preserve"> </w:t>
      </w:r>
      <w:r>
        <w:t>Asian</w:t>
      </w:r>
      <w:r>
        <w:rPr>
          <w:spacing w:val="-6"/>
        </w:rPr>
        <w:t xml:space="preserve"> </w:t>
      </w:r>
      <w:r>
        <w:t>youth,</w:t>
      </w:r>
      <w:r>
        <w:rPr>
          <w:spacing w:val="-8"/>
        </w:rPr>
        <w:t xml:space="preserve"> </w:t>
      </w:r>
      <w:r>
        <w:t>3.2%</w:t>
      </w:r>
      <w:r>
        <w:rPr>
          <w:spacing w:val="-7"/>
        </w:rPr>
        <w:t xml:space="preserve"> </w:t>
      </w:r>
      <w:r>
        <w:t>of</w:t>
      </w:r>
      <w:r>
        <w:rPr>
          <w:spacing w:val="-6"/>
        </w:rPr>
        <w:t xml:space="preserve"> </w:t>
      </w:r>
      <w:r>
        <w:t>Blac</w:t>
      </w:r>
      <w:r>
        <w:t>k</w:t>
      </w:r>
      <w:r>
        <w:rPr>
          <w:spacing w:val="-5"/>
        </w:rPr>
        <w:t xml:space="preserve"> </w:t>
      </w:r>
      <w:r>
        <w:t>or</w:t>
      </w:r>
      <w:r>
        <w:rPr>
          <w:spacing w:val="-6"/>
        </w:rPr>
        <w:t xml:space="preserve"> </w:t>
      </w:r>
      <w:r>
        <w:t>African American</w:t>
      </w:r>
      <w:r>
        <w:rPr>
          <w:spacing w:val="-4"/>
        </w:rPr>
        <w:t xml:space="preserve"> </w:t>
      </w:r>
      <w:r>
        <w:t>youth,</w:t>
      </w:r>
      <w:r>
        <w:rPr>
          <w:spacing w:val="-3"/>
        </w:rPr>
        <w:t xml:space="preserve"> </w:t>
      </w:r>
      <w:r>
        <w:t>4.4%</w:t>
      </w:r>
      <w:r>
        <w:rPr>
          <w:spacing w:val="-3"/>
        </w:rPr>
        <w:t xml:space="preserve"> </w:t>
      </w:r>
      <w:r>
        <w:t>of</w:t>
      </w:r>
      <w:r>
        <w:rPr>
          <w:spacing w:val="-3"/>
        </w:rPr>
        <w:t xml:space="preserve"> </w:t>
      </w:r>
      <w:r>
        <w:t>White</w:t>
      </w:r>
      <w:r>
        <w:rPr>
          <w:spacing w:val="-3"/>
        </w:rPr>
        <w:t xml:space="preserve"> </w:t>
      </w:r>
      <w:r>
        <w:t>youth,</w:t>
      </w:r>
      <w:r>
        <w:rPr>
          <w:spacing w:val="-3"/>
        </w:rPr>
        <w:t xml:space="preserve"> </w:t>
      </w:r>
      <w:r>
        <w:t>3.7%</w:t>
      </w:r>
      <w:r>
        <w:rPr>
          <w:spacing w:val="-3"/>
        </w:rPr>
        <w:t xml:space="preserve"> </w:t>
      </w:r>
      <w:r>
        <w:t>of</w:t>
      </w:r>
      <w:r>
        <w:rPr>
          <w:spacing w:val="-3"/>
        </w:rPr>
        <w:t xml:space="preserve"> </w:t>
      </w:r>
      <w:r>
        <w:t>Latinx</w:t>
      </w:r>
      <w:r>
        <w:rPr>
          <w:spacing w:val="-3"/>
        </w:rPr>
        <w:t xml:space="preserve"> </w:t>
      </w:r>
      <w:r>
        <w:t>youth,</w:t>
      </w:r>
      <w:r>
        <w:rPr>
          <w:spacing w:val="-3"/>
        </w:rPr>
        <w:t xml:space="preserve"> </w:t>
      </w:r>
      <w:r>
        <w:t>4.1%</w:t>
      </w:r>
      <w:r>
        <w:rPr>
          <w:spacing w:val="-3"/>
        </w:rPr>
        <w:t xml:space="preserve"> </w:t>
      </w:r>
      <w:r>
        <w:t>of</w:t>
      </w:r>
      <w:r>
        <w:rPr>
          <w:spacing w:val="-4"/>
        </w:rPr>
        <w:t xml:space="preserve"> </w:t>
      </w:r>
      <w:r>
        <w:t>multiracial</w:t>
      </w:r>
      <w:r>
        <w:rPr>
          <w:spacing w:val="-4"/>
        </w:rPr>
        <w:t xml:space="preserve"> </w:t>
      </w:r>
      <w:r>
        <w:t>Latinx youth,</w:t>
      </w:r>
      <w:r>
        <w:rPr>
          <w:spacing w:val="-3"/>
        </w:rPr>
        <w:t xml:space="preserve"> </w:t>
      </w:r>
      <w:r>
        <w:t>and</w:t>
      </w:r>
      <w:r>
        <w:rPr>
          <w:spacing w:val="-4"/>
        </w:rPr>
        <w:t xml:space="preserve"> </w:t>
      </w:r>
      <w:r>
        <w:t>6.7%</w:t>
      </w:r>
      <w:r>
        <w:rPr>
          <w:spacing w:val="-5"/>
        </w:rPr>
        <w:t xml:space="preserve"> </w:t>
      </w:r>
      <w:r>
        <w:t>of multiracial non-Latinx youth identified as transgender in 2019-2021.</w:t>
      </w:r>
    </w:p>
    <w:p w:rsidR="00200FDA" w:rsidRDefault="00F76C4C">
      <w:pPr>
        <w:pStyle w:val="BodyText"/>
        <w:spacing w:before="1"/>
        <w:rPr>
          <w:sz w:val="17"/>
        </w:rPr>
      </w:pPr>
      <w:r>
        <w:pict>
          <v:group id="docshapegroup50" o:spid="_x0000_s1464" style="position:absolute;margin-left:89.6pt;margin-top:11.65pt;width:432.75pt;height:252.75pt;z-index:-15723520;mso-wrap-distance-left:0;mso-wrap-distance-right:0;mso-position-horizontal-relative:page" coordorigin="1793,233" coordsize="8655,5055">
            <v:shape id="docshape51" o:spid="_x0000_s1513" style="position:absolute;left:2279;top:3250;width:711;height:444" coordorigin="2279,3251" coordsize="711,444" o:spt="100" adj="0,,0" path="m2279,3695r205,m2892,3695r98,m2279,3251r205,e" filled="f" strokecolor="#d0e1f5">
              <v:stroke joinstyle="round"/>
              <v:formulas/>
              <v:path arrowok="t" o:connecttype="segments"/>
            </v:shape>
            <v:shape id="docshape52" o:spid="_x0000_s1512" style="position:absolute;left:2892;top:3247;width:99;height:8" coordorigin="2892,3247" coordsize="99,8" o:spt="100" adj="0,,0" path="m2892,3255r98,m2892,3247r98,e" filled="f" strokecolor="#d0e1f5" strokeweight=".1171mm">
              <v:stroke joinstyle="round"/>
              <v:formulas/>
              <v:path arrowok="t" o:connecttype="segments"/>
            </v:shape>
            <v:shape id="docshape53" o:spid="_x0000_s1511" type="#_x0000_t75" style="position:absolute;left:2483;top:3207;width:409;height:933">
              <v:imagedata r:id="rId33" o:title=""/>
            </v:shape>
            <v:shape id="docshape54" o:spid="_x0000_s1510" style="position:absolute;left:3398;top:3694;width:915;height:2" coordorigin="3399,3695" coordsize="915,0" o:spt="100" adj="0,,0" path="m3399,3695r408,m4216,3695r98,e" filled="f" strokecolor="#d0e1f5">
              <v:stroke joinstyle="round"/>
              <v:formulas/>
              <v:path arrowok="t" o:connecttype="segments"/>
            </v:shape>
            <v:shape id="docshape55" o:spid="_x0000_s1509" style="position:absolute;left:3398;top:3247;width:915;height:8" coordorigin="3399,3247" coordsize="915,8" o:spt="100" adj="0,,0" path="m3399,3255r915,m3399,3247r915,e" filled="f" strokecolor="#d0e1f5" strokeweight=".1171mm">
              <v:stroke joinstyle="round"/>
              <v:formulas/>
              <v:path arrowok="t" o:connecttype="segments"/>
            </v:shape>
            <v:shape id="docshape56" o:spid="_x0000_s1508" type="#_x0000_t75" style="position:absolute;left:3807;top:3251;width:409;height:889">
              <v:imagedata r:id="rId34" o:title=""/>
            </v:shape>
            <v:shape id="docshape57" o:spid="_x0000_s1507" style="position:absolute;left:2279;top:2362;width:3358;height:444" coordorigin="2279,2363" coordsize="3358,444" o:spt="100" adj="0,,0" path="m2279,2807r711,m3399,2807r915,m2279,2363r711,m3399,2363r2238,e" filled="f" strokecolor="#d0e1f5">
              <v:stroke joinstyle="round"/>
              <v:formulas/>
              <v:path arrowok="t" o:connecttype="segments"/>
            </v:shape>
            <v:shape id="docshape58" o:spid="_x0000_s1506" type="#_x0000_t75" style="position:absolute;left:2990;top:2159;width:409;height:1981">
              <v:imagedata r:id="rId35" o:title=""/>
            </v:shape>
            <v:shape id="docshape59" o:spid="_x0000_s1505" style="position:absolute;left:4722;top:3694;width:915;height:2" coordorigin="4722,3695" coordsize="915,0" o:spt="100" adj="0,,0" path="m4722,3695r408,m5539,3695r98,e" filled="f" strokecolor="#d0e1f5">
              <v:stroke joinstyle="round"/>
              <v:formulas/>
              <v:path arrowok="t" o:connecttype="segments"/>
            </v:shape>
            <v:shape id="docshape60" o:spid="_x0000_s1504" style="position:absolute;left:4722;top:3247;width:915;height:8" coordorigin="4722,3247" coordsize="915,8" o:spt="100" adj="0,,0" path="m4722,3255r408,m4722,3247r408,m5539,3255r98,m5539,3247r98,e" filled="f" strokecolor="#d0e1f5" strokeweight=".1171mm">
              <v:stroke joinstyle="round"/>
              <v:formulas/>
              <v:path arrowok="t" o:connecttype="segments"/>
            </v:shape>
            <v:shape id="docshape61" o:spid="_x0000_s1503" type="#_x0000_t75" style="position:absolute;left:5130;top:3118;width:409;height:1022">
              <v:imagedata r:id="rId36" o:title=""/>
            </v:shape>
            <v:line id="_x0000_s1502" style="position:absolute" from="4722,2807" to="5637,2807" strokecolor="#d0e1f5"/>
            <v:shape id="docshape62" o:spid="_x0000_s1501" type="#_x0000_t75" style="position:absolute;left:4313;top:2399;width:409;height:1741">
              <v:imagedata r:id="rId37" o:title=""/>
            </v:shape>
            <v:shape id="docshape63" o:spid="_x0000_s1500" style="position:absolute;left:6045;top:3694;width:915;height:2" coordorigin="6045,3695" coordsize="915,0" o:spt="100" adj="0,,0" path="m6045,3695r409,m6862,3695r98,e" filled="f" strokecolor="#d0e1f5">
              <v:stroke joinstyle="round"/>
              <v:formulas/>
              <v:path arrowok="t" o:connecttype="segments"/>
            </v:shape>
            <v:shape id="docshape64" o:spid="_x0000_s1499" style="position:absolute;left:6045;top:3247;width:915;height:8" coordorigin="6045,3247" coordsize="915,8" o:spt="100" adj="0,,0" path="m6045,3255r409,m6045,3247r409,m6862,3255r98,m6862,3247r98,e" filled="f" strokecolor="#d0e1f5" strokeweight=".1171mm">
              <v:stroke joinstyle="round"/>
              <v:formulas/>
              <v:path arrowok="t" o:connecttype="segments"/>
            </v:shape>
            <v:shape id="docshape65" o:spid="_x0000_s1498" type="#_x0000_t75" style="position:absolute;left:6453;top:3029;width:409;height:1111">
              <v:imagedata r:id="rId38" o:title=""/>
            </v:shape>
            <v:shape id="docshape66" o:spid="_x0000_s1497" style="position:absolute;left:7368;top:3694;width:915;height:2" coordorigin="7369,3695" coordsize="915,0" o:spt="100" adj="0,,0" path="m7369,3695r408,m8186,3695r98,e" filled="f" strokecolor="#d0e1f5">
              <v:stroke joinstyle="round"/>
              <v:formulas/>
              <v:path arrowok="t" o:connecttype="segments"/>
            </v:shape>
            <v:shape id="docshape67" o:spid="_x0000_s1496" style="position:absolute;left:7368;top:3247;width:915;height:8" coordorigin="7369,3247" coordsize="915,8" o:spt="100" adj="0,,0" path="m7369,3255r408,m7369,3247r408,m8186,3255r98,m8186,3247r98,e" filled="f" strokecolor="#d0e1f5" strokeweight=".1171mm">
              <v:stroke joinstyle="round"/>
              <v:formulas/>
              <v:path arrowok="t" o:connecttype="segments"/>
            </v:shape>
            <v:shape id="docshape68" o:spid="_x0000_s1495" style="position:absolute;left:6045;top:2362;width:2239;height:444" coordorigin="6045,2363" coordsize="2239,444" o:spt="100" adj="0,,0" path="m7369,2807r408,m8186,2807r98,m6045,2363r1732,m8186,2363r98,e" filled="f" strokecolor="#d0e1f5">
              <v:stroke joinstyle="round"/>
              <v:formulas/>
              <v:path arrowok="t" o:connecttype="segments"/>
            </v:shape>
            <v:shape id="docshape69" o:spid="_x0000_s1494" type="#_x0000_t75" style="position:absolute;left:7777;top:2248;width:409;height:1892">
              <v:imagedata r:id="rId39" o:title=""/>
            </v:shape>
            <v:line id="_x0000_s1493" style="position:absolute" from="6045,2807" to="6960,2807" strokecolor="#d0e1f5"/>
            <v:shape id="docshape70" o:spid="_x0000_s1492" type="#_x0000_t75" style="position:absolute;left:5637;top:2301;width:409;height:1839">
              <v:imagedata r:id="rId40" o:title=""/>
            </v:shape>
            <v:shape id="docshape71" o:spid="_x0000_s1491" type="#_x0000_t75" style="position:absolute;left:6960;top:2443;width:409;height:1697">
              <v:imagedata r:id="rId41" o:title=""/>
            </v:shape>
            <v:shape id="docshape72" o:spid="_x0000_s1490" style="position:absolute;left:8692;top:3694;width:915;height:2" coordorigin="8692,3695" coordsize="915,0" o:spt="100" adj="0,,0" path="m8692,3695r409,m9509,3695r98,e" filled="f" strokecolor="#d0e1f5">
              <v:stroke joinstyle="round"/>
              <v:formulas/>
              <v:path arrowok="t" o:connecttype="segments"/>
            </v:shape>
            <v:shape id="docshape73" o:spid="_x0000_s1489" style="position:absolute;left:8692;top:3247;width:915;height:8" coordorigin="8692,3247" coordsize="915,8" o:spt="100" adj="0,,0" path="m8692,3255r409,m8692,3247r409,m9509,3255r98,m9509,3247r98,e" filled="f" strokecolor="#d0e1f5" strokeweight=".1171mm">
              <v:stroke joinstyle="round"/>
              <v:formulas/>
              <v:path arrowok="t" o:connecttype="segments"/>
            </v:shape>
            <v:shape id="docshape74" o:spid="_x0000_s1488" type="#_x0000_t75" style="position:absolute;left:9100;top:2887;width:409;height:1253">
              <v:imagedata r:id="rId42" o:title=""/>
            </v:shape>
            <v:shape id="docshape75" o:spid="_x0000_s1487" style="position:absolute;left:8692;top:2362;width:915;height:444" coordorigin="8692,2363" coordsize="915,444" o:spt="100" adj="0,,0" path="m8692,2807r915,m8692,2363r915,e" filled="f" strokecolor="#d0e1f5">
              <v:stroke joinstyle="round"/>
              <v:formulas/>
              <v:path arrowok="t" o:connecttype="segments"/>
            </v:shape>
            <v:shape id="docshape76" o:spid="_x0000_s1486" style="position:absolute;left:2279;top:1915;width:7328;height:8" coordorigin="2279,1915" coordsize="7328,8" o:spt="100" adj="0,,0" path="m2279,1923r7328,m2279,1915r7328,e" filled="f" strokecolor="#d0e1f5" strokeweight=".1189mm">
              <v:stroke joinstyle="round"/>
              <v:formulas/>
              <v:path arrowok="t" o:connecttype="segments"/>
            </v:shape>
            <v:shape id="docshape77" o:spid="_x0000_s1485" type="#_x0000_t75" style="position:absolute;left:8283;top:1919;width:409;height:2221">
              <v:imagedata r:id="rId43" o:title=""/>
            </v:shape>
            <v:line id="_x0000_s1484" style="position:absolute" from="10016,3695" to="10220,3695" strokecolor="#d0e1f5"/>
            <v:shape id="docshape78" o:spid="_x0000_s1483" style="position:absolute;left:10015;top:3247;width:205;height:8" coordorigin="10016,3247" coordsize="205,8" o:spt="100" adj="0,,0" path="m10016,3255r204,m10016,3247r204,e" filled="f" strokecolor="#d0e1f5" strokeweight=".1171mm">
              <v:stroke joinstyle="round"/>
              <v:formulas/>
              <v:path arrowok="t" o:connecttype="segments"/>
            </v:shape>
            <v:shape id="docshape79" o:spid="_x0000_s1482" style="position:absolute;left:10015;top:2362;width:205;height:444" coordorigin="10016,2363" coordsize="205,444" o:spt="100" adj="0,,0" path="m10016,2807r204,m10016,2363r204,e" filled="f" strokecolor="#d0e1f5">
              <v:stroke joinstyle="round"/>
              <v:formulas/>
              <v:path arrowok="t" o:connecttype="segments"/>
            </v:shape>
            <v:shape id="docshape80" o:spid="_x0000_s1481" style="position:absolute;left:10015;top:1915;width:205;height:8" coordorigin="10016,1915" coordsize="205,8" o:spt="100" adj="0,,0" path="m10016,1923r204,m10016,1915r204,e" filled="f" strokecolor="#d0e1f5" strokeweight=".1189mm">
              <v:stroke joinstyle="round"/>
              <v:formulas/>
              <v:path arrowok="t" o:connecttype="segments"/>
            </v:shape>
            <v:shape id="docshape81" o:spid="_x0000_s1480" style="position:absolute;left:2279;top:1474;width:7941;height:2" coordorigin="2279,1475" coordsize="7941,0" o:spt="100" adj="0,,0" path="m2279,1475r7328,m10016,1475r204,e" filled="f" strokecolor="#d0e1f5">
              <v:stroke joinstyle="round"/>
              <v:formulas/>
              <v:path arrowok="t" o:connecttype="segments"/>
            </v:shape>
            <v:shape id="docshape82" o:spid="_x0000_s1479" type="#_x0000_t75" style="position:absolute;left:9607;top:1359;width:409;height:2780">
              <v:imagedata r:id="rId44" o:title=""/>
            </v:shape>
            <v:line id="_x0000_s1478" style="position:absolute" from="2279,4140" to="10220,4140" strokecolor="#d0e1f5"/>
            <v:line id="_x0000_s1477" style="position:absolute" from="2279,1031" to="10220,1031" strokecolor="#d0e1f5"/>
            <v:shape id="docshape83" o:spid="_x0000_s1476" type="#_x0000_t75" style="position:absolute;left:5584;top:4942;width:99;height:99">
              <v:imagedata r:id="rId28" o:title=""/>
            </v:shape>
            <v:shape id="docshape84" o:spid="_x0000_s1475" type="#_x0000_t75" style="position:absolute;left:6221;top:4942;width:99;height:99">
              <v:imagedata r:id="rId29" o:title=""/>
            </v:shape>
            <v:rect id="docshape85" o:spid="_x0000_s1474" style="position:absolute;left:1800;top:240;width:8640;height:5040" filled="f" strokecolor="#d0e1f5"/>
            <v:shape id="docshape86" o:spid="_x0000_s1473" type="#_x0000_t202" style="position:absolute;left:3264;top:456;width:5734;height:320" filled="f" stroked="f">
              <v:textbox inset="0,0,0,0">
                <w:txbxContent>
                  <w:p w:rsidR="00200FDA" w:rsidRDefault="00F76C4C">
                    <w:pPr>
                      <w:spacing w:line="319" w:lineRule="exact"/>
                      <w:rPr>
                        <w:b/>
                        <w:sz w:val="32"/>
                      </w:rPr>
                    </w:pPr>
                    <w:r>
                      <w:rPr>
                        <w:b/>
                        <w:color w:val="16406C"/>
                        <w:sz w:val="32"/>
                      </w:rPr>
                      <w:t>Figure</w:t>
                    </w:r>
                    <w:r>
                      <w:rPr>
                        <w:b/>
                        <w:color w:val="16406C"/>
                        <w:spacing w:val="-13"/>
                        <w:sz w:val="32"/>
                      </w:rPr>
                      <w:t xml:space="preserve"> </w:t>
                    </w:r>
                    <w:r>
                      <w:rPr>
                        <w:b/>
                        <w:color w:val="16406C"/>
                        <w:sz w:val="32"/>
                      </w:rPr>
                      <w:t>2:</w:t>
                    </w:r>
                    <w:r>
                      <w:rPr>
                        <w:b/>
                        <w:color w:val="16406C"/>
                        <w:spacing w:val="-15"/>
                        <w:sz w:val="32"/>
                      </w:rPr>
                      <w:t xml:space="preserve"> </w:t>
                    </w:r>
                    <w:r>
                      <w:rPr>
                        <w:b/>
                        <w:color w:val="16406C"/>
                        <w:sz w:val="32"/>
                      </w:rPr>
                      <w:t>Racial</w:t>
                    </w:r>
                    <w:r>
                      <w:rPr>
                        <w:b/>
                        <w:color w:val="16406C"/>
                        <w:spacing w:val="-14"/>
                        <w:sz w:val="32"/>
                      </w:rPr>
                      <w:t xml:space="preserve"> </w:t>
                    </w:r>
                    <w:r>
                      <w:rPr>
                        <w:b/>
                        <w:color w:val="16406C"/>
                        <w:sz w:val="32"/>
                      </w:rPr>
                      <w:t>Breakdown</w:t>
                    </w:r>
                    <w:r>
                      <w:rPr>
                        <w:b/>
                        <w:color w:val="16406C"/>
                        <w:spacing w:val="-17"/>
                        <w:sz w:val="32"/>
                      </w:rPr>
                      <w:t xml:space="preserve"> </w:t>
                    </w:r>
                    <w:r>
                      <w:rPr>
                        <w:b/>
                        <w:color w:val="16406C"/>
                        <w:sz w:val="32"/>
                      </w:rPr>
                      <w:t>of</w:t>
                    </w:r>
                    <w:r>
                      <w:rPr>
                        <w:b/>
                        <w:color w:val="16406C"/>
                        <w:spacing w:val="-15"/>
                        <w:sz w:val="32"/>
                      </w:rPr>
                      <w:t xml:space="preserve"> </w:t>
                    </w:r>
                    <w:r>
                      <w:rPr>
                        <w:b/>
                        <w:color w:val="16406C"/>
                        <w:sz w:val="32"/>
                      </w:rPr>
                      <w:t>LGBTQ</w:t>
                    </w:r>
                    <w:r>
                      <w:rPr>
                        <w:b/>
                        <w:color w:val="16406C"/>
                        <w:spacing w:val="-12"/>
                        <w:sz w:val="32"/>
                      </w:rPr>
                      <w:t xml:space="preserve"> </w:t>
                    </w:r>
                    <w:r>
                      <w:rPr>
                        <w:b/>
                        <w:color w:val="16406C"/>
                        <w:spacing w:val="-2"/>
                        <w:sz w:val="32"/>
                      </w:rPr>
                      <w:t>Youth</w:t>
                    </w:r>
                  </w:p>
                </w:txbxContent>
              </v:textbox>
            </v:shape>
            <v:shape id="docshape87" o:spid="_x0000_s1472" type="#_x0000_t202" style="position:absolute;left:1929;top:946;width:203;height:3289" filled="f" stroked="f">
              <v:textbox inset="0,0,0,0">
                <w:txbxContent>
                  <w:p w:rsidR="00200FDA" w:rsidRDefault="00F76C4C">
                    <w:pPr>
                      <w:spacing w:line="183" w:lineRule="exact"/>
                      <w:rPr>
                        <w:sz w:val="18"/>
                      </w:rPr>
                    </w:pPr>
                    <w:r>
                      <w:rPr>
                        <w:color w:val="16406C"/>
                        <w:spacing w:val="-5"/>
                        <w:sz w:val="18"/>
                      </w:rPr>
                      <w:t>35</w:t>
                    </w:r>
                  </w:p>
                  <w:p w:rsidR="00200FDA" w:rsidRDefault="00200FDA">
                    <w:pPr>
                      <w:spacing w:before="4"/>
                      <w:rPr>
                        <w:sz w:val="18"/>
                      </w:rPr>
                    </w:pPr>
                  </w:p>
                  <w:p w:rsidR="00200FDA" w:rsidRDefault="00F76C4C">
                    <w:pPr>
                      <w:rPr>
                        <w:sz w:val="18"/>
                      </w:rPr>
                    </w:pPr>
                    <w:r>
                      <w:rPr>
                        <w:color w:val="16406C"/>
                        <w:spacing w:val="-5"/>
                        <w:sz w:val="18"/>
                      </w:rPr>
                      <w:t>30</w:t>
                    </w:r>
                  </w:p>
                  <w:p w:rsidR="00200FDA" w:rsidRDefault="00200FDA">
                    <w:pPr>
                      <w:spacing w:before="5"/>
                      <w:rPr>
                        <w:sz w:val="18"/>
                      </w:rPr>
                    </w:pPr>
                  </w:p>
                  <w:p w:rsidR="00200FDA" w:rsidRDefault="00F76C4C">
                    <w:pPr>
                      <w:rPr>
                        <w:sz w:val="18"/>
                      </w:rPr>
                    </w:pPr>
                    <w:r>
                      <w:rPr>
                        <w:color w:val="16406C"/>
                        <w:spacing w:val="-5"/>
                        <w:sz w:val="18"/>
                      </w:rPr>
                      <w:t>25</w:t>
                    </w:r>
                  </w:p>
                  <w:p w:rsidR="00200FDA" w:rsidRDefault="00200FDA">
                    <w:pPr>
                      <w:spacing w:before="4"/>
                      <w:rPr>
                        <w:sz w:val="18"/>
                      </w:rPr>
                    </w:pPr>
                  </w:p>
                  <w:p w:rsidR="00200FDA" w:rsidRDefault="00F76C4C">
                    <w:pPr>
                      <w:spacing w:before="1"/>
                      <w:rPr>
                        <w:sz w:val="18"/>
                      </w:rPr>
                    </w:pPr>
                    <w:r>
                      <w:rPr>
                        <w:color w:val="16406C"/>
                        <w:spacing w:val="-5"/>
                        <w:sz w:val="18"/>
                      </w:rPr>
                      <w:t>20</w:t>
                    </w:r>
                  </w:p>
                  <w:p w:rsidR="00200FDA" w:rsidRDefault="00200FDA">
                    <w:pPr>
                      <w:spacing w:before="4"/>
                      <w:rPr>
                        <w:sz w:val="18"/>
                      </w:rPr>
                    </w:pPr>
                  </w:p>
                  <w:p w:rsidR="00200FDA" w:rsidRDefault="00F76C4C">
                    <w:pPr>
                      <w:rPr>
                        <w:sz w:val="18"/>
                      </w:rPr>
                    </w:pPr>
                    <w:r>
                      <w:rPr>
                        <w:color w:val="16406C"/>
                        <w:spacing w:val="-5"/>
                        <w:sz w:val="18"/>
                      </w:rPr>
                      <w:t>15</w:t>
                    </w:r>
                  </w:p>
                  <w:p w:rsidR="00200FDA" w:rsidRDefault="00200FDA">
                    <w:pPr>
                      <w:spacing w:before="5"/>
                      <w:rPr>
                        <w:sz w:val="18"/>
                      </w:rPr>
                    </w:pPr>
                  </w:p>
                  <w:p w:rsidR="00200FDA" w:rsidRDefault="00F76C4C">
                    <w:pPr>
                      <w:rPr>
                        <w:sz w:val="18"/>
                      </w:rPr>
                    </w:pPr>
                    <w:r>
                      <w:rPr>
                        <w:color w:val="16406C"/>
                        <w:spacing w:val="-5"/>
                        <w:sz w:val="18"/>
                      </w:rPr>
                      <w:t>10</w:t>
                    </w:r>
                  </w:p>
                  <w:p w:rsidR="00200FDA" w:rsidRDefault="00200FDA">
                    <w:pPr>
                      <w:spacing w:before="4"/>
                      <w:rPr>
                        <w:sz w:val="18"/>
                      </w:rPr>
                    </w:pPr>
                  </w:p>
                  <w:p w:rsidR="00200FDA" w:rsidRDefault="00F76C4C">
                    <w:pPr>
                      <w:ind w:left="91"/>
                      <w:rPr>
                        <w:sz w:val="18"/>
                      </w:rPr>
                    </w:pPr>
                    <w:r>
                      <w:rPr>
                        <w:color w:val="16406C"/>
                        <w:sz w:val="18"/>
                      </w:rPr>
                      <w:t>5</w:t>
                    </w:r>
                  </w:p>
                  <w:p w:rsidR="00200FDA" w:rsidRDefault="00200FDA">
                    <w:pPr>
                      <w:spacing w:before="5"/>
                      <w:rPr>
                        <w:sz w:val="18"/>
                      </w:rPr>
                    </w:pPr>
                  </w:p>
                  <w:p w:rsidR="00200FDA" w:rsidRDefault="00F76C4C">
                    <w:pPr>
                      <w:spacing w:line="216" w:lineRule="exact"/>
                      <w:ind w:left="91"/>
                      <w:rPr>
                        <w:sz w:val="18"/>
                      </w:rPr>
                    </w:pPr>
                    <w:r>
                      <w:rPr>
                        <w:color w:val="16406C"/>
                        <w:sz w:val="18"/>
                      </w:rPr>
                      <w:t>0</w:t>
                    </w:r>
                  </w:p>
                </w:txbxContent>
              </v:textbox>
            </v:shape>
            <v:shape id="docshape88" o:spid="_x0000_s1471" type="#_x0000_t202" style="position:absolute;left:2742;top:4289;width:417;height:180" filled="f" stroked="f">
              <v:textbox inset="0,0,0,0">
                <w:txbxContent>
                  <w:p w:rsidR="00200FDA" w:rsidRDefault="00F76C4C">
                    <w:pPr>
                      <w:spacing w:line="180" w:lineRule="exact"/>
                      <w:rPr>
                        <w:sz w:val="18"/>
                      </w:rPr>
                    </w:pPr>
                    <w:r>
                      <w:rPr>
                        <w:color w:val="16406C"/>
                        <w:spacing w:val="-2"/>
                        <w:sz w:val="18"/>
                      </w:rPr>
                      <w:t>Asian</w:t>
                    </w:r>
                  </w:p>
                </w:txbxContent>
              </v:textbox>
            </v:shape>
            <v:shape id="docshape89" o:spid="_x0000_s1470" type="#_x0000_t202" style="position:absolute;left:3693;top:4289;width:1164;height:400" filled="f" stroked="f">
              <v:textbox inset="0,0,0,0">
                <w:txbxContent>
                  <w:p w:rsidR="00200FDA" w:rsidRDefault="00F76C4C">
                    <w:pPr>
                      <w:spacing w:line="183" w:lineRule="exact"/>
                      <w:ind w:left="-1" w:right="18"/>
                      <w:jc w:val="center"/>
                      <w:rPr>
                        <w:sz w:val="18"/>
                      </w:rPr>
                    </w:pPr>
                    <w:r>
                      <w:rPr>
                        <w:color w:val="16406C"/>
                        <w:sz w:val="18"/>
                      </w:rPr>
                      <w:t>Black</w:t>
                    </w:r>
                    <w:r>
                      <w:rPr>
                        <w:color w:val="16406C"/>
                        <w:spacing w:val="-5"/>
                        <w:sz w:val="18"/>
                      </w:rPr>
                      <w:t xml:space="preserve"> </w:t>
                    </w:r>
                    <w:r>
                      <w:rPr>
                        <w:color w:val="16406C"/>
                        <w:sz w:val="18"/>
                      </w:rPr>
                      <w:t>or</w:t>
                    </w:r>
                    <w:r>
                      <w:rPr>
                        <w:color w:val="16406C"/>
                        <w:spacing w:val="-2"/>
                        <w:sz w:val="18"/>
                      </w:rPr>
                      <w:t xml:space="preserve"> African</w:t>
                    </w:r>
                  </w:p>
                  <w:p w:rsidR="00200FDA" w:rsidRDefault="00F76C4C">
                    <w:pPr>
                      <w:spacing w:line="216" w:lineRule="exact"/>
                      <w:ind w:right="18"/>
                      <w:jc w:val="center"/>
                      <w:rPr>
                        <w:sz w:val="18"/>
                      </w:rPr>
                    </w:pPr>
                    <w:r>
                      <w:rPr>
                        <w:color w:val="16406C"/>
                        <w:spacing w:val="-2"/>
                        <w:sz w:val="18"/>
                      </w:rPr>
                      <w:t>American</w:t>
                    </w:r>
                  </w:p>
                </w:txbxContent>
              </v:textbox>
            </v:shape>
            <v:shape id="docshape90" o:spid="_x0000_s1469" type="#_x0000_t202" style="position:absolute;left:5364;top:4289;width:465;height:180" filled="f" stroked="f">
              <v:textbox inset="0,0,0,0">
                <w:txbxContent>
                  <w:p w:rsidR="00200FDA" w:rsidRDefault="00F76C4C">
                    <w:pPr>
                      <w:spacing w:line="180" w:lineRule="exact"/>
                      <w:rPr>
                        <w:sz w:val="18"/>
                      </w:rPr>
                    </w:pPr>
                    <w:r>
                      <w:rPr>
                        <w:color w:val="16406C"/>
                        <w:spacing w:val="-2"/>
                        <w:sz w:val="18"/>
                      </w:rPr>
                      <w:t>White</w:t>
                    </w:r>
                  </w:p>
                </w:txbxContent>
              </v:textbox>
            </v:shape>
            <v:shape id="docshape91" o:spid="_x0000_s1468" type="#_x0000_t202" style="position:absolute;left:6693;top:4289;width:456;height:180" filled="f" stroked="f">
              <v:textbox inset="0,0,0,0">
                <w:txbxContent>
                  <w:p w:rsidR="00200FDA" w:rsidRDefault="00F76C4C">
                    <w:pPr>
                      <w:spacing w:line="180" w:lineRule="exact"/>
                      <w:rPr>
                        <w:sz w:val="18"/>
                      </w:rPr>
                    </w:pPr>
                    <w:r>
                      <w:rPr>
                        <w:color w:val="16406C"/>
                        <w:spacing w:val="-2"/>
                        <w:sz w:val="18"/>
                      </w:rPr>
                      <w:t>Latinx</w:t>
                    </w:r>
                  </w:p>
                </w:txbxContent>
              </v:textbox>
            </v:shape>
            <v:shape id="docshape92" o:spid="_x0000_s1467" type="#_x0000_t202" style="position:absolute;left:7842;top:4289;width:806;height:400" filled="f" stroked="f">
              <v:textbox inset="0,0,0,0">
                <w:txbxContent>
                  <w:p w:rsidR="00200FDA" w:rsidRDefault="00F76C4C">
                    <w:pPr>
                      <w:spacing w:line="183" w:lineRule="exact"/>
                      <w:ind w:left="92"/>
                      <w:rPr>
                        <w:sz w:val="18"/>
                      </w:rPr>
                    </w:pPr>
                    <w:r>
                      <w:rPr>
                        <w:color w:val="16406C"/>
                        <w:sz w:val="18"/>
                      </w:rPr>
                      <w:t>Latinx</w:t>
                    </w:r>
                    <w:r>
                      <w:rPr>
                        <w:color w:val="16406C"/>
                        <w:spacing w:val="-1"/>
                        <w:sz w:val="18"/>
                      </w:rPr>
                      <w:t xml:space="preserve"> </w:t>
                    </w:r>
                    <w:r>
                      <w:rPr>
                        <w:color w:val="16406C"/>
                        <w:spacing w:val="-10"/>
                        <w:sz w:val="18"/>
                      </w:rPr>
                      <w:t>&amp;</w:t>
                    </w:r>
                  </w:p>
                  <w:p w:rsidR="00200FDA" w:rsidRDefault="00F76C4C">
                    <w:pPr>
                      <w:spacing w:line="216" w:lineRule="exact"/>
                      <w:rPr>
                        <w:sz w:val="18"/>
                      </w:rPr>
                    </w:pPr>
                    <w:r>
                      <w:rPr>
                        <w:color w:val="16406C"/>
                        <w:spacing w:val="-2"/>
                        <w:sz w:val="18"/>
                      </w:rPr>
                      <w:t>Multiracial</w:t>
                    </w:r>
                  </w:p>
                </w:txbxContent>
              </v:textbox>
            </v:shape>
            <v:shape id="docshape93" o:spid="_x0000_s1466" type="#_x0000_t202" style="position:absolute;left:9165;top:4289;width:806;height:180" filled="f" stroked="f">
              <v:textbox inset="0,0,0,0">
                <w:txbxContent>
                  <w:p w:rsidR="00200FDA" w:rsidRDefault="00F76C4C">
                    <w:pPr>
                      <w:spacing w:line="180" w:lineRule="exact"/>
                      <w:rPr>
                        <w:sz w:val="18"/>
                      </w:rPr>
                    </w:pPr>
                    <w:r>
                      <w:rPr>
                        <w:color w:val="16406C"/>
                        <w:spacing w:val="-2"/>
                        <w:sz w:val="18"/>
                      </w:rPr>
                      <w:t>Multiracial</w:t>
                    </w:r>
                  </w:p>
                </w:txbxContent>
              </v:textbox>
            </v:shape>
            <v:shape id="docshape94" o:spid="_x0000_s1465" type="#_x0000_t202" style="position:absolute;left:5725;top:4907;width:1023;height:180" filled="f" stroked="f">
              <v:textbox inset="0,0,0,0">
                <w:txbxContent>
                  <w:p w:rsidR="00200FDA" w:rsidRDefault="00F76C4C">
                    <w:pPr>
                      <w:tabs>
                        <w:tab w:val="left" w:pos="637"/>
                      </w:tabs>
                      <w:spacing w:line="180" w:lineRule="exact"/>
                      <w:rPr>
                        <w:sz w:val="18"/>
                      </w:rPr>
                    </w:pPr>
                    <w:r>
                      <w:rPr>
                        <w:color w:val="16406C"/>
                        <w:spacing w:val="-4"/>
                        <w:sz w:val="18"/>
                      </w:rPr>
                      <w:t>2015</w:t>
                    </w:r>
                    <w:r>
                      <w:rPr>
                        <w:color w:val="16406C"/>
                        <w:sz w:val="18"/>
                      </w:rPr>
                      <w:tab/>
                    </w:r>
                    <w:r>
                      <w:rPr>
                        <w:color w:val="16406C"/>
                        <w:spacing w:val="-4"/>
                        <w:sz w:val="18"/>
                      </w:rPr>
                      <w:t>2021</w:t>
                    </w:r>
                  </w:p>
                </w:txbxContent>
              </v:textbox>
            </v:shape>
            <w10:wrap type="topAndBottom" anchorx="page"/>
          </v:group>
        </w:pict>
      </w:r>
    </w:p>
    <w:p w:rsidR="00200FDA" w:rsidRDefault="00200FDA">
      <w:pPr>
        <w:pStyle w:val="BodyText"/>
      </w:pPr>
    </w:p>
    <w:p w:rsidR="00200FDA" w:rsidRDefault="00200FDA">
      <w:pPr>
        <w:pStyle w:val="BodyText"/>
        <w:spacing w:before="6"/>
        <w:rPr>
          <w:sz w:val="25"/>
        </w:rPr>
      </w:pPr>
    </w:p>
    <w:p w:rsidR="00200FDA" w:rsidRDefault="00F76C4C">
      <w:pPr>
        <w:pStyle w:val="BodyText"/>
        <w:spacing w:line="276" w:lineRule="auto"/>
        <w:ind w:left="139" w:right="132"/>
        <w:jc w:val="both"/>
      </w:pPr>
      <w:r>
        <w:t>LGBTQ youth were significantly less likely to be able to talk with at least one of their parents or another adult member about things that are important to them compared with heterosexual, cisgender (het-cis) youth across all years. While LBGTQ youth seeme</w:t>
      </w:r>
      <w:r>
        <w:t>d to make some gains in this area in 2017 and 2019, in 2021 only 60.6% said that they could talk with an adult at home, an even lower percentage than in 2015 (65.2%).</w:t>
      </w:r>
      <w:r>
        <w:rPr>
          <w:spacing w:val="-1"/>
        </w:rPr>
        <w:t xml:space="preserve"> </w:t>
      </w:r>
      <w:r>
        <w:t>In</w:t>
      </w:r>
      <w:r>
        <w:rPr>
          <w:spacing w:val="-2"/>
        </w:rPr>
        <w:t xml:space="preserve"> </w:t>
      </w:r>
      <w:r>
        <w:t>contrast,</w:t>
      </w:r>
      <w:r>
        <w:rPr>
          <w:spacing w:val="-1"/>
        </w:rPr>
        <w:t xml:space="preserve"> </w:t>
      </w:r>
      <w:r>
        <w:t>the percentage</w:t>
      </w:r>
      <w:r>
        <w:rPr>
          <w:spacing w:val="-3"/>
        </w:rPr>
        <w:t xml:space="preserve"> </w:t>
      </w:r>
      <w:r>
        <w:t>of</w:t>
      </w:r>
      <w:r>
        <w:rPr>
          <w:spacing w:val="-1"/>
        </w:rPr>
        <w:t xml:space="preserve"> </w:t>
      </w:r>
      <w:r>
        <w:t>het-cis</w:t>
      </w:r>
      <w:r>
        <w:rPr>
          <w:spacing w:val="-1"/>
        </w:rPr>
        <w:t xml:space="preserve"> </w:t>
      </w:r>
      <w:r>
        <w:t>youth</w:t>
      </w:r>
      <w:r>
        <w:rPr>
          <w:spacing w:val="-2"/>
        </w:rPr>
        <w:t xml:space="preserve"> </w:t>
      </w:r>
      <w:r>
        <w:t>who could</w:t>
      </w:r>
      <w:r>
        <w:rPr>
          <w:spacing w:val="-2"/>
        </w:rPr>
        <w:t xml:space="preserve"> </w:t>
      </w:r>
      <w:r>
        <w:t>talk</w:t>
      </w:r>
      <w:r>
        <w:rPr>
          <w:spacing w:val="-3"/>
        </w:rPr>
        <w:t xml:space="preserve"> </w:t>
      </w:r>
      <w:r>
        <w:t>with</w:t>
      </w:r>
      <w:r>
        <w:rPr>
          <w:spacing w:val="-2"/>
        </w:rPr>
        <w:t xml:space="preserve"> </w:t>
      </w:r>
      <w:r>
        <w:t>an</w:t>
      </w:r>
      <w:r>
        <w:rPr>
          <w:spacing w:val="-2"/>
        </w:rPr>
        <w:t xml:space="preserve"> </w:t>
      </w:r>
      <w:r>
        <w:t>adult</w:t>
      </w:r>
      <w:r>
        <w:rPr>
          <w:spacing w:val="-1"/>
        </w:rPr>
        <w:t xml:space="preserve"> </w:t>
      </w:r>
      <w:r>
        <w:t>at home has</w:t>
      </w:r>
      <w:r>
        <w:rPr>
          <w:spacing w:val="-1"/>
        </w:rPr>
        <w:t xml:space="preserve"> </w:t>
      </w:r>
      <w:r>
        <w:t>held</w:t>
      </w:r>
      <w:r>
        <w:rPr>
          <w:spacing w:val="-2"/>
        </w:rPr>
        <w:t xml:space="preserve"> </w:t>
      </w:r>
      <w:r>
        <w:t>fairly steady across this period, between 81-85%.</w:t>
      </w:r>
      <w:r>
        <w:rPr>
          <w:spacing w:val="40"/>
        </w:rPr>
        <w:t xml:space="preserve"> </w:t>
      </w:r>
      <w:r>
        <w:t>Additionally, LGBTQ youth were also significantly less likely than het-cis youth to have at least one teacher or other adult at school they could talk to if they had a problem</w:t>
      </w:r>
      <w:r>
        <w:rPr>
          <w:spacing w:val="-10"/>
        </w:rPr>
        <w:t xml:space="preserve"> </w:t>
      </w:r>
      <w:r>
        <w:t>in</w:t>
      </w:r>
      <w:r>
        <w:rPr>
          <w:spacing w:val="-12"/>
        </w:rPr>
        <w:t xml:space="preserve"> </w:t>
      </w:r>
      <w:r>
        <w:t>2015,</w:t>
      </w:r>
      <w:r>
        <w:rPr>
          <w:spacing w:val="-11"/>
        </w:rPr>
        <w:t xml:space="preserve"> </w:t>
      </w:r>
      <w:r>
        <w:t>2019,</w:t>
      </w:r>
      <w:r>
        <w:rPr>
          <w:spacing w:val="-9"/>
        </w:rPr>
        <w:t xml:space="preserve"> </w:t>
      </w:r>
      <w:r>
        <w:t>and</w:t>
      </w:r>
      <w:r>
        <w:rPr>
          <w:spacing w:val="-12"/>
        </w:rPr>
        <w:t xml:space="preserve"> </w:t>
      </w:r>
      <w:r>
        <w:t>2021,</w:t>
      </w:r>
      <w:r>
        <w:rPr>
          <w:spacing w:val="-9"/>
        </w:rPr>
        <w:t xml:space="preserve"> </w:t>
      </w:r>
      <w:r>
        <w:t>but</w:t>
      </w:r>
      <w:r>
        <w:rPr>
          <w:spacing w:val="-11"/>
        </w:rPr>
        <w:t xml:space="preserve"> </w:t>
      </w:r>
      <w:r>
        <w:t>the</w:t>
      </w:r>
      <w:r>
        <w:rPr>
          <w:spacing w:val="-11"/>
        </w:rPr>
        <w:t xml:space="preserve"> </w:t>
      </w:r>
      <w:r>
        <w:t>difference</w:t>
      </w:r>
      <w:r>
        <w:rPr>
          <w:spacing w:val="-11"/>
        </w:rPr>
        <w:t xml:space="preserve"> </w:t>
      </w:r>
      <w:r>
        <w:t>was</w:t>
      </w:r>
      <w:r>
        <w:rPr>
          <w:spacing w:val="-9"/>
        </w:rPr>
        <w:t xml:space="preserve"> </w:t>
      </w:r>
      <w:r>
        <w:t>not</w:t>
      </w:r>
      <w:r>
        <w:rPr>
          <w:spacing w:val="-8"/>
        </w:rPr>
        <w:t xml:space="preserve"> </w:t>
      </w:r>
      <w:r>
        <w:t>significant</w:t>
      </w:r>
      <w:r>
        <w:rPr>
          <w:spacing w:val="-11"/>
        </w:rPr>
        <w:t xml:space="preserve"> </w:t>
      </w:r>
      <w:r>
        <w:t>in</w:t>
      </w:r>
      <w:r>
        <w:rPr>
          <w:spacing w:val="-12"/>
        </w:rPr>
        <w:t xml:space="preserve"> </w:t>
      </w:r>
      <w:r>
        <w:t>2017.</w:t>
      </w:r>
      <w:r>
        <w:rPr>
          <w:spacing w:val="-12"/>
        </w:rPr>
        <w:t xml:space="preserve"> </w:t>
      </w:r>
      <w:r>
        <w:t>The</w:t>
      </w:r>
      <w:r>
        <w:rPr>
          <w:spacing w:val="-8"/>
        </w:rPr>
        <w:t xml:space="preserve"> </w:t>
      </w:r>
      <w:r>
        <w:t>percentage</w:t>
      </w:r>
      <w:r>
        <w:rPr>
          <w:spacing w:val="-11"/>
        </w:rPr>
        <w:t xml:space="preserve"> </w:t>
      </w:r>
      <w:r>
        <w:t>of</w:t>
      </w:r>
      <w:r>
        <w:rPr>
          <w:spacing w:val="-12"/>
        </w:rPr>
        <w:t xml:space="preserve"> </w:t>
      </w:r>
      <w:r>
        <w:t>LGBTQ youth</w:t>
      </w:r>
      <w:r>
        <w:rPr>
          <w:spacing w:val="-6"/>
        </w:rPr>
        <w:t xml:space="preserve"> </w:t>
      </w:r>
      <w:r>
        <w:t>who</w:t>
      </w:r>
      <w:r>
        <w:rPr>
          <w:spacing w:val="-2"/>
        </w:rPr>
        <w:t xml:space="preserve"> </w:t>
      </w:r>
      <w:r>
        <w:t>had</w:t>
      </w:r>
      <w:r>
        <w:rPr>
          <w:spacing w:val="-4"/>
        </w:rPr>
        <w:t xml:space="preserve"> </w:t>
      </w:r>
      <w:r>
        <w:t>an</w:t>
      </w:r>
      <w:r>
        <w:rPr>
          <w:spacing w:val="-4"/>
        </w:rPr>
        <w:t xml:space="preserve"> </w:t>
      </w:r>
      <w:r>
        <w:t>adult</w:t>
      </w:r>
      <w:r>
        <w:rPr>
          <w:spacing w:val="-3"/>
        </w:rPr>
        <w:t xml:space="preserve"> </w:t>
      </w:r>
      <w:r>
        <w:t>at</w:t>
      </w:r>
      <w:r>
        <w:rPr>
          <w:spacing w:val="-5"/>
        </w:rPr>
        <w:t xml:space="preserve"> </w:t>
      </w:r>
      <w:r>
        <w:t>school</w:t>
      </w:r>
      <w:r>
        <w:rPr>
          <w:spacing w:val="-4"/>
        </w:rPr>
        <w:t xml:space="preserve"> </w:t>
      </w:r>
      <w:r>
        <w:t>to</w:t>
      </w:r>
      <w:r>
        <w:rPr>
          <w:spacing w:val="-4"/>
        </w:rPr>
        <w:t xml:space="preserve"> </w:t>
      </w:r>
      <w:r>
        <w:t>talk</w:t>
      </w:r>
      <w:r>
        <w:rPr>
          <w:spacing w:val="-3"/>
        </w:rPr>
        <w:t xml:space="preserve"> </w:t>
      </w:r>
      <w:r>
        <w:t>with</w:t>
      </w:r>
      <w:r>
        <w:rPr>
          <w:spacing w:val="-4"/>
        </w:rPr>
        <w:t xml:space="preserve"> </w:t>
      </w:r>
      <w:r>
        <w:t>increased</w:t>
      </w:r>
      <w:r>
        <w:rPr>
          <w:spacing w:val="-4"/>
        </w:rPr>
        <w:t xml:space="preserve"> </w:t>
      </w:r>
      <w:r>
        <w:t>slightly</w:t>
      </w:r>
      <w:r>
        <w:rPr>
          <w:spacing w:val="-3"/>
        </w:rPr>
        <w:t xml:space="preserve"> </w:t>
      </w:r>
      <w:r>
        <w:t>from</w:t>
      </w:r>
      <w:r>
        <w:rPr>
          <w:spacing w:val="-2"/>
        </w:rPr>
        <w:t xml:space="preserve"> </w:t>
      </w:r>
      <w:r>
        <w:t>66.7%</w:t>
      </w:r>
      <w:r>
        <w:rPr>
          <w:spacing w:val="-3"/>
        </w:rPr>
        <w:t xml:space="preserve"> </w:t>
      </w:r>
      <w:r>
        <w:t>in</w:t>
      </w:r>
      <w:r>
        <w:rPr>
          <w:spacing w:val="-6"/>
        </w:rPr>
        <w:t xml:space="preserve"> </w:t>
      </w:r>
      <w:r>
        <w:t>2015</w:t>
      </w:r>
      <w:r>
        <w:rPr>
          <w:spacing w:val="-2"/>
        </w:rPr>
        <w:t xml:space="preserve"> </w:t>
      </w:r>
      <w:r>
        <w:t>to</w:t>
      </w:r>
      <w:r>
        <w:rPr>
          <w:spacing w:val="-2"/>
        </w:rPr>
        <w:t xml:space="preserve"> </w:t>
      </w:r>
      <w:r>
        <w:t>71.3%</w:t>
      </w:r>
      <w:r>
        <w:rPr>
          <w:spacing w:val="-3"/>
        </w:rPr>
        <w:t xml:space="preserve"> </w:t>
      </w:r>
      <w:r>
        <w:t>in</w:t>
      </w:r>
      <w:r>
        <w:rPr>
          <w:spacing w:val="-4"/>
        </w:rPr>
        <w:t xml:space="preserve"> </w:t>
      </w:r>
      <w:r>
        <w:t>2017,</w:t>
      </w:r>
      <w:r>
        <w:rPr>
          <w:spacing w:val="-3"/>
        </w:rPr>
        <w:t xml:space="preserve"> </w:t>
      </w:r>
      <w:r>
        <w:t>but then</w:t>
      </w:r>
      <w:r>
        <w:rPr>
          <w:spacing w:val="-2"/>
        </w:rPr>
        <w:t xml:space="preserve"> </w:t>
      </w:r>
      <w:r>
        <w:t>decreased</w:t>
      </w:r>
      <w:r>
        <w:rPr>
          <w:spacing w:val="-2"/>
        </w:rPr>
        <w:t xml:space="preserve"> </w:t>
      </w:r>
      <w:r>
        <w:t>back to</w:t>
      </w:r>
      <w:r>
        <w:rPr>
          <w:spacing w:val="-2"/>
        </w:rPr>
        <w:t xml:space="preserve"> </w:t>
      </w:r>
      <w:r>
        <w:t>69.9% in</w:t>
      </w:r>
      <w:r>
        <w:rPr>
          <w:spacing w:val="-4"/>
        </w:rPr>
        <w:t xml:space="preserve"> </w:t>
      </w:r>
      <w:r>
        <w:t>2019,</w:t>
      </w:r>
      <w:r>
        <w:rPr>
          <w:spacing w:val="-1"/>
        </w:rPr>
        <w:t xml:space="preserve"> </w:t>
      </w:r>
      <w:r>
        <w:t>and</w:t>
      </w:r>
      <w:r>
        <w:rPr>
          <w:spacing w:val="-2"/>
        </w:rPr>
        <w:t xml:space="preserve"> </w:t>
      </w:r>
      <w:r>
        <w:t>in</w:t>
      </w:r>
      <w:r>
        <w:rPr>
          <w:spacing w:val="-4"/>
        </w:rPr>
        <w:t xml:space="preserve"> </w:t>
      </w:r>
      <w:r>
        <w:t>2021</w:t>
      </w:r>
      <w:r>
        <w:rPr>
          <w:spacing w:val="-2"/>
        </w:rPr>
        <w:t xml:space="preserve"> </w:t>
      </w:r>
      <w:r>
        <w:t>was</w:t>
      </w:r>
      <w:r>
        <w:rPr>
          <w:spacing w:val="-1"/>
        </w:rPr>
        <w:t xml:space="preserve"> </w:t>
      </w:r>
      <w:r>
        <w:t>only</w:t>
      </w:r>
      <w:r>
        <w:rPr>
          <w:spacing w:val="-2"/>
        </w:rPr>
        <w:t xml:space="preserve"> </w:t>
      </w:r>
      <w:r>
        <w:t>60.0%.</w:t>
      </w:r>
      <w:r>
        <w:rPr>
          <w:spacing w:val="-1"/>
        </w:rPr>
        <w:t xml:space="preserve"> </w:t>
      </w:r>
      <w:r>
        <w:t>The</w:t>
      </w:r>
      <w:r>
        <w:rPr>
          <w:spacing w:val="-3"/>
        </w:rPr>
        <w:t xml:space="preserve"> </w:t>
      </w:r>
      <w:r>
        <w:t>percentage of</w:t>
      </w:r>
      <w:r>
        <w:rPr>
          <w:spacing w:val="-3"/>
        </w:rPr>
        <w:t xml:space="preserve"> </w:t>
      </w:r>
      <w:r>
        <w:t>het-cis</w:t>
      </w:r>
      <w:r>
        <w:rPr>
          <w:spacing w:val="-3"/>
        </w:rPr>
        <w:t xml:space="preserve"> </w:t>
      </w:r>
      <w:r>
        <w:t>youth</w:t>
      </w:r>
      <w:r>
        <w:rPr>
          <w:spacing w:val="-4"/>
        </w:rPr>
        <w:t xml:space="preserve"> </w:t>
      </w:r>
      <w:r>
        <w:t>who</w:t>
      </w:r>
    </w:p>
    <w:p w:rsidR="00200FDA" w:rsidRDefault="00200FDA">
      <w:pPr>
        <w:spacing w:line="276" w:lineRule="auto"/>
        <w:jc w:val="both"/>
        <w:sectPr w:rsidR="00200FDA">
          <w:pgSz w:w="12240" w:h="15840"/>
          <w:pgMar w:top="1360" w:right="1300" w:bottom="1260" w:left="1300" w:header="761" w:footer="1062" w:gutter="0"/>
          <w:cols w:space="720"/>
        </w:sectPr>
      </w:pPr>
    </w:p>
    <w:p w:rsidR="00200FDA" w:rsidRDefault="00F76C4C">
      <w:pPr>
        <w:pStyle w:val="BodyText"/>
        <w:spacing w:before="64" w:line="276" w:lineRule="auto"/>
        <w:ind w:left="140" w:right="134"/>
        <w:jc w:val="both"/>
      </w:pPr>
      <w:r>
        <w:lastRenderedPageBreak/>
        <w:t>had someone at school they could talk to also declined between 2019 and 2021, suggesting that the COVID-19 pandemic has affected relationships between youth and adults at school more broadly.</w:t>
      </w:r>
    </w:p>
    <w:p w:rsidR="00200FDA" w:rsidRDefault="00200FDA">
      <w:pPr>
        <w:pStyle w:val="BodyText"/>
        <w:spacing w:before="7"/>
        <w:rPr>
          <w:sz w:val="19"/>
        </w:rPr>
      </w:pPr>
    </w:p>
    <w:p w:rsidR="00200FDA" w:rsidRDefault="00F76C4C">
      <w:pPr>
        <w:pStyle w:val="BodyText"/>
        <w:spacing w:line="276" w:lineRule="auto"/>
        <w:ind w:left="139" w:right="134"/>
        <w:jc w:val="both"/>
      </w:pPr>
      <w:r>
        <w:t xml:space="preserve">LGBTQ youth were </w:t>
      </w:r>
      <w:r>
        <w:t>about twice as likely to be bullied in school, and that difference is both statistically significant</w:t>
      </w:r>
      <w:r>
        <w:rPr>
          <w:spacing w:val="-6"/>
        </w:rPr>
        <w:t xml:space="preserve"> </w:t>
      </w:r>
      <w:r>
        <w:t>and</w:t>
      </w:r>
      <w:r>
        <w:rPr>
          <w:spacing w:val="-7"/>
        </w:rPr>
        <w:t xml:space="preserve"> </w:t>
      </w:r>
      <w:r>
        <w:t>consistent</w:t>
      </w:r>
      <w:r>
        <w:rPr>
          <w:spacing w:val="-6"/>
        </w:rPr>
        <w:t xml:space="preserve"> </w:t>
      </w:r>
      <w:r>
        <w:t>across</w:t>
      </w:r>
      <w:r>
        <w:rPr>
          <w:spacing w:val="-7"/>
        </w:rPr>
        <w:t xml:space="preserve"> </w:t>
      </w:r>
      <w:r>
        <w:t>the</w:t>
      </w:r>
      <w:r>
        <w:rPr>
          <w:spacing w:val="-6"/>
        </w:rPr>
        <w:t xml:space="preserve"> </w:t>
      </w:r>
      <w:r>
        <w:t>years.</w:t>
      </w:r>
      <w:r>
        <w:rPr>
          <w:spacing w:val="-7"/>
        </w:rPr>
        <w:t xml:space="preserve"> </w:t>
      </w:r>
      <w:r>
        <w:t>The</w:t>
      </w:r>
      <w:r>
        <w:rPr>
          <w:spacing w:val="-6"/>
        </w:rPr>
        <w:t xml:space="preserve"> </w:t>
      </w:r>
      <w:r>
        <w:t>percentage</w:t>
      </w:r>
      <w:r>
        <w:rPr>
          <w:spacing w:val="-6"/>
        </w:rPr>
        <w:t xml:space="preserve"> </w:t>
      </w:r>
      <w:r>
        <w:t>of</w:t>
      </w:r>
      <w:r>
        <w:rPr>
          <w:spacing w:val="-7"/>
        </w:rPr>
        <w:t xml:space="preserve"> </w:t>
      </w:r>
      <w:r>
        <w:t>youth</w:t>
      </w:r>
      <w:r>
        <w:rPr>
          <w:spacing w:val="-7"/>
        </w:rPr>
        <w:t xml:space="preserve"> </w:t>
      </w:r>
      <w:r>
        <w:t>who</w:t>
      </w:r>
      <w:r>
        <w:rPr>
          <w:spacing w:val="-5"/>
        </w:rPr>
        <w:t xml:space="preserve"> </w:t>
      </w:r>
      <w:r>
        <w:t>were</w:t>
      </w:r>
      <w:r>
        <w:rPr>
          <w:spacing w:val="-6"/>
        </w:rPr>
        <w:t xml:space="preserve"> </w:t>
      </w:r>
      <w:r>
        <w:t>bullied</w:t>
      </w:r>
      <w:r>
        <w:rPr>
          <w:spacing w:val="-7"/>
        </w:rPr>
        <w:t xml:space="preserve"> </w:t>
      </w:r>
      <w:r>
        <w:t>is</w:t>
      </w:r>
      <w:r>
        <w:rPr>
          <w:spacing w:val="-6"/>
        </w:rPr>
        <w:t xml:space="preserve"> </w:t>
      </w:r>
      <w:r>
        <w:t>lower</w:t>
      </w:r>
      <w:r>
        <w:rPr>
          <w:spacing w:val="-7"/>
        </w:rPr>
        <w:t xml:space="preserve"> </w:t>
      </w:r>
      <w:r>
        <w:t>in</w:t>
      </w:r>
      <w:r>
        <w:rPr>
          <w:spacing w:val="-7"/>
        </w:rPr>
        <w:t xml:space="preserve"> </w:t>
      </w:r>
      <w:r>
        <w:t>2021</w:t>
      </w:r>
      <w:r>
        <w:rPr>
          <w:spacing w:val="-6"/>
        </w:rPr>
        <w:t xml:space="preserve"> </w:t>
      </w:r>
      <w:r>
        <w:t>for both</w:t>
      </w:r>
      <w:r>
        <w:rPr>
          <w:spacing w:val="-13"/>
        </w:rPr>
        <w:t xml:space="preserve"> </w:t>
      </w:r>
      <w:r>
        <w:t>LGBTQ</w:t>
      </w:r>
      <w:r>
        <w:rPr>
          <w:spacing w:val="-12"/>
        </w:rPr>
        <w:t xml:space="preserve"> </w:t>
      </w:r>
      <w:r>
        <w:t>youth</w:t>
      </w:r>
      <w:r>
        <w:rPr>
          <w:spacing w:val="-13"/>
        </w:rPr>
        <w:t xml:space="preserve"> </w:t>
      </w:r>
      <w:r>
        <w:t>and</w:t>
      </w:r>
      <w:r>
        <w:rPr>
          <w:spacing w:val="-11"/>
        </w:rPr>
        <w:t xml:space="preserve"> </w:t>
      </w:r>
      <w:r>
        <w:t>cis-het</w:t>
      </w:r>
      <w:r>
        <w:rPr>
          <w:spacing w:val="-10"/>
        </w:rPr>
        <w:t xml:space="preserve"> </w:t>
      </w:r>
      <w:r>
        <w:t>youth</w:t>
      </w:r>
      <w:r>
        <w:rPr>
          <w:spacing w:val="-11"/>
        </w:rPr>
        <w:t xml:space="preserve"> </w:t>
      </w:r>
      <w:r>
        <w:t>and</w:t>
      </w:r>
      <w:r>
        <w:rPr>
          <w:spacing w:val="-11"/>
        </w:rPr>
        <w:t xml:space="preserve"> </w:t>
      </w:r>
      <w:r>
        <w:t>is</w:t>
      </w:r>
      <w:r>
        <w:rPr>
          <w:spacing w:val="-10"/>
        </w:rPr>
        <w:t xml:space="preserve"> </w:t>
      </w:r>
      <w:r>
        <w:t>at</w:t>
      </w:r>
      <w:r>
        <w:rPr>
          <w:spacing w:val="-10"/>
        </w:rPr>
        <w:t xml:space="preserve"> </w:t>
      </w:r>
      <w:r>
        <w:t>its</w:t>
      </w:r>
      <w:r>
        <w:rPr>
          <w:spacing w:val="-13"/>
        </w:rPr>
        <w:t xml:space="preserve"> </w:t>
      </w:r>
      <w:r>
        <w:t>lowest</w:t>
      </w:r>
      <w:r>
        <w:rPr>
          <w:spacing w:val="-10"/>
        </w:rPr>
        <w:t xml:space="preserve"> </w:t>
      </w:r>
      <w:r>
        <w:t>level</w:t>
      </w:r>
      <w:r>
        <w:rPr>
          <w:spacing w:val="-10"/>
        </w:rPr>
        <w:t xml:space="preserve"> </w:t>
      </w:r>
      <w:r>
        <w:t>in</w:t>
      </w:r>
      <w:r>
        <w:rPr>
          <w:spacing w:val="-11"/>
        </w:rPr>
        <w:t xml:space="preserve"> </w:t>
      </w:r>
      <w:r>
        <w:t>that</w:t>
      </w:r>
      <w:r>
        <w:rPr>
          <w:spacing w:val="-10"/>
        </w:rPr>
        <w:t xml:space="preserve"> </w:t>
      </w:r>
      <w:r>
        <w:t>year:</w:t>
      </w:r>
      <w:r>
        <w:rPr>
          <w:spacing w:val="-12"/>
        </w:rPr>
        <w:t xml:space="preserve"> </w:t>
      </w:r>
      <w:r>
        <w:t>8.7%</w:t>
      </w:r>
      <w:r>
        <w:rPr>
          <w:spacing w:val="-10"/>
        </w:rPr>
        <w:t xml:space="preserve"> </w:t>
      </w:r>
      <w:r>
        <w:t>for</w:t>
      </w:r>
      <w:r>
        <w:rPr>
          <w:spacing w:val="-13"/>
        </w:rPr>
        <w:t xml:space="preserve"> </w:t>
      </w:r>
      <w:r>
        <w:t>cis-het</w:t>
      </w:r>
      <w:r>
        <w:rPr>
          <w:spacing w:val="-12"/>
        </w:rPr>
        <w:t xml:space="preserve"> </w:t>
      </w:r>
      <w:r>
        <w:t>youth</w:t>
      </w:r>
      <w:r>
        <w:rPr>
          <w:spacing w:val="-11"/>
        </w:rPr>
        <w:t xml:space="preserve"> </w:t>
      </w:r>
      <w:r>
        <w:t>and</w:t>
      </w:r>
      <w:r>
        <w:rPr>
          <w:spacing w:val="-13"/>
        </w:rPr>
        <w:t xml:space="preserve"> </w:t>
      </w:r>
      <w:r>
        <w:t>18.7% for LGBTQ youth.</w:t>
      </w:r>
    </w:p>
    <w:p w:rsidR="00200FDA" w:rsidRDefault="00200FDA">
      <w:pPr>
        <w:pStyle w:val="BodyText"/>
        <w:spacing w:before="8"/>
        <w:rPr>
          <w:sz w:val="19"/>
        </w:rPr>
      </w:pPr>
    </w:p>
    <w:p w:rsidR="00200FDA" w:rsidRDefault="00F76C4C">
      <w:pPr>
        <w:pStyle w:val="BodyText"/>
        <w:spacing w:line="276" w:lineRule="auto"/>
        <w:ind w:left="139" w:right="132"/>
        <w:jc w:val="both"/>
      </w:pPr>
      <w:r>
        <w:t xml:space="preserve">LGBTQ youth were significantly more likely than cis-het youth to be threatened at school and that difference is both statistically significant across the years. The percentage of LBGTQ </w:t>
      </w:r>
      <w:r>
        <w:t>youth who were threatened at school peaked at 11.7% in</w:t>
      </w:r>
      <w:r>
        <w:rPr>
          <w:spacing w:val="-3"/>
        </w:rPr>
        <w:t xml:space="preserve"> </w:t>
      </w:r>
      <w:r>
        <w:t>2019 and then declined to 9.5% in 2021, the lowest percentage during this period. LGBTQ youth were about three times more likely to skip school in the last 30 days because</w:t>
      </w:r>
      <w:r>
        <w:rPr>
          <w:spacing w:val="-3"/>
        </w:rPr>
        <w:t xml:space="preserve"> </w:t>
      </w:r>
      <w:r>
        <w:t>they felt</w:t>
      </w:r>
      <w:r>
        <w:rPr>
          <w:spacing w:val="-3"/>
        </w:rPr>
        <w:t xml:space="preserve"> </w:t>
      </w:r>
      <w:r>
        <w:t>they</w:t>
      </w:r>
      <w:r>
        <w:rPr>
          <w:spacing w:val="-2"/>
        </w:rPr>
        <w:t xml:space="preserve"> </w:t>
      </w:r>
      <w:r>
        <w:t>would</w:t>
      </w:r>
      <w:r>
        <w:rPr>
          <w:spacing w:val="-2"/>
        </w:rPr>
        <w:t xml:space="preserve"> </w:t>
      </w:r>
      <w:r>
        <w:t>be unsaf</w:t>
      </w:r>
      <w:r>
        <w:t>e</w:t>
      </w:r>
      <w:r>
        <w:rPr>
          <w:spacing w:val="-3"/>
        </w:rPr>
        <w:t xml:space="preserve"> </w:t>
      </w:r>
      <w:r>
        <w:t>at</w:t>
      </w:r>
      <w:r>
        <w:rPr>
          <w:spacing w:val="-3"/>
        </w:rPr>
        <w:t xml:space="preserve"> </w:t>
      </w:r>
      <w:r>
        <w:t>school</w:t>
      </w:r>
      <w:r>
        <w:rPr>
          <w:spacing w:val="-4"/>
        </w:rPr>
        <w:t xml:space="preserve"> </w:t>
      </w:r>
      <w:r>
        <w:t>or</w:t>
      </w:r>
      <w:r>
        <w:rPr>
          <w:spacing w:val="-6"/>
        </w:rPr>
        <w:t xml:space="preserve"> </w:t>
      </w:r>
      <w:r>
        <w:t>on</w:t>
      </w:r>
      <w:r>
        <w:rPr>
          <w:spacing w:val="-2"/>
        </w:rPr>
        <w:t xml:space="preserve"> </w:t>
      </w:r>
      <w:r>
        <w:t>their</w:t>
      </w:r>
      <w:r>
        <w:rPr>
          <w:spacing w:val="-3"/>
        </w:rPr>
        <w:t xml:space="preserve"> </w:t>
      </w:r>
      <w:r>
        <w:t>way</w:t>
      </w:r>
      <w:r>
        <w:rPr>
          <w:spacing w:val="-2"/>
        </w:rPr>
        <w:t xml:space="preserve"> </w:t>
      </w:r>
      <w:r>
        <w:t>to</w:t>
      </w:r>
      <w:r>
        <w:rPr>
          <w:spacing w:val="-4"/>
        </w:rPr>
        <w:t xml:space="preserve"> </w:t>
      </w:r>
      <w:r>
        <w:t>or</w:t>
      </w:r>
      <w:r>
        <w:rPr>
          <w:spacing w:val="-3"/>
        </w:rPr>
        <w:t xml:space="preserve"> </w:t>
      </w:r>
      <w:r>
        <w:t>from</w:t>
      </w:r>
      <w:r>
        <w:rPr>
          <w:spacing w:val="-2"/>
        </w:rPr>
        <w:t xml:space="preserve"> </w:t>
      </w:r>
      <w:r>
        <w:t>school,</w:t>
      </w:r>
      <w:r>
        <w:rPr>
          <w:spacing w:val="-3"/>
        </w:rPr>
        <w:t xml:space="preserve"> </w:t>
      </w:r>
      <w:r>
        <w:t>and</w:t>
      </w:r>
      <w:r>
        <w:rPr>
          <w:spacing w:val="-2"/>
        </w:rPr>
        <w:t xml:space="preserve"> </w:t>
      </w:r>
      <w:r>
        <w:t>that</w:t>
      </w:r>
      <w:r>
        <w:rPr>
          <w:spacing w:val="-3"/>
        </w:rPr>
        <w:t xml:space="preserve"> </w:t>
      </w:r>
      <w:r>
        <w:t>difference</w:t>
      </w:r>
      <w:r>
        <w:rPr>
          <w:spacing w:val="-3"/>
        </w:rPr>
        <w:t xml:space="preserve"> </w:t>
      </w:r>
      <w:r>
        <w:t>is also statistically</w:t>
      </w:r>
      <w:r>
        <w:rPr>
          <w:spacing w:val="-2"/>
        </w:rPr>
        <w:t xml:space="preserve"> </w:t>
      </w:r>
      <w:r>
        <w:t>significant</w:t>
      </w:r>
      <w:r>
        <w:rPr>
          <w:spacing w:val="-2"/>
        </w:rPr>
        <w:t xml:space="preserve"> </w:t>
      </w:r>
      <w:r>
        <w:t>and</w:t>
      </w:r>
      <w:r>
        <w:rPr>
          <w:spacing w:val="-1"/>
        </w:rPr>
        <w:t xml:space="preserve"> </w:t>
      </w:r>
      <w:r>
        <w:t>consistent</w:t>
      </w:r>
      <w:r>
        <w:rPr>
          <w:spacing w:val="-2"/>
        </w:rPr>
        <w:t xml:space="preserve"> </w:t>
      </w:r>
      <w:r>
        <w:t>across</w:t>
      </w:r>
      <w:r>
        <w:rPr>
          <w:spacing w:val="-2"/>
        </w:rPr>
        <w:t xml:space="preserve"> </w:t>
      </w:r>
      <w:r>
        <w:t>the</w:t>
      </w:r>
      <w:r>
        <w:rPr>
          <w:spacing w:val="-2"/>
        </w:rPr>
        <w:t xml:space="preserve"> </w:t>
      </w:r>
      <w:r>
        <w:t>years.</w:t>
      </w:r>
      <w:r>
        <w:rPr>
          <w:spacing w:val="-1"/>
        </w:rPr>
        <w:t xml:space="preserve"> </w:t>
      </w:r>
      <w:r>
        <w:t>While the percentage</w:t>
      </w:r>
      <w:r>
        <w:rPr>
          <w:spacing w:val="-2"/>
        </w:rPr>
        <w:t xml:space="preserve"> </w:t>
      </w:r>
      <w:r>
        <w:t>skipping</w:t>
      </w:r>
      <w:r>
        <w:rPr>
          <w:spacing w:val="-1"/>
        </w:rPr>
        <w:t xml:space="preserve"> </w:t>
      </w:r>
      <w:r>
        <w:t>school</w:t>
      </w:r>
      <w:r>
        <w:rPr>
          <w:spacing w:val="-2"/>
        </w:rPr>
        <w:t xml:space="preserve"> </w:t>
      </w:r>
      <w:r>
        <w:t>dipped a bit in 2017, it rose again in 2021, with 17.4% of LGBTQ youth reporting that they did so.</w:t>
      </w:r>
    </w:p>
    <w:p w:rsidR="00200FDA" w:rsidRDefault="00F76C4C">
      <w:pPr>
        <w:pStyle w:val="BodyText"/>
        <w:spacing w:before="2"/>
        <w:rPr>
          <w:sz w:val="17"/>
        </w:rPr>
      </w:pPr>
      <w:r>
        <w:pict>
          <v:group id="docshapegroup95" o:spid="_x0000_s1434" style="position:absolute;margin-left:89.6pt;margin-top:11.7pt;width:432.75pt;height:252.75pt;z-index:-15723008;mso-wrap-distance-left:0;mso-wrap-distance-right:0;mso-position-horizontal-relative:page" coordorigin="1793,234" coordsize="8655,5055">
            <v:shape id="docshape96" o:spid="_x0000_s1463" style="position:absolute;left:5016;top:2918;width:2;height:1443" coordorigin="5016,2918" coordsize="0,1443" o:spt="100" adj="0,,0" path="m5016,4250r,110m5016,3584r,444m5016,2918r,444e" filled="f" strokecolor="#d0e1f5">
              <v:stroke joinstyle="round"/>
              <v:formulas/>
              <v:path arrowok="t" o:connecttype="segments"/>
            </v:shape>
            <v:shape id="docshape97" o:spid="_x0000_s1462" type="#_x0000_t75" style="position:absolute;left:3992;top:3140;width:1637;height:444">
              <v:imagedata r:id="rId45" o:title=""/>
            </v:shape>
            <v:shape id="docshape98" o:spid="_x0000_s1461" style="position:absolute;left:6038;top:2918;width:2;height:1443" coordorigin="6038,2918" coordsize="0,1443" o:spt="100" adj="0,,0" path="m6038,4250r,110m6038,2918r,1110e" filled="f" strokecolor="#d0e1f5">
              <v:stroke joinstyle="round"/>
              <v:formulas/>
              <v:path arrowok="t" o:connecttype="segments"/>
            </v:shape>
            <v:shape id="docshape99" o:spid="_x0000_s1460" type="#_x0000_t75" style="position:absolute;left:3992;top:3805;width:2649;height:444">
              <v:imagedata r:id="rId46" o:title=""/>
            </v:shape>
            <v:shape id="docshape100" o:spid="_x0000_s1459" style="position:absolute;left:5016;top:1032;width:3068;height:3328" coordorigin="5016,1033" coordsize="3068,3328" o:spt="100" adj="0,,0" path="m5016,1587r,888m6038,1033r,1664m7061,2918r,1442m7061,1033r,1664m8083,2918r,1442m8083,1033r,1664e" filled="f" strokecolor="#d0e1f5">
              <v:stroke joinstyle="round"/>
              <v:formulas/>
              <v:path arrowok="t" o:connecttype="segments"/>
            </v:shape>
            <v:line id="_x0000_s1458" style="position:absolute" from="9106,1033" to="9106,4360" strokecolor="#d0e1f5"/>
            <v:shape id="docshape101" o:spid="_x0000_s1457" type="#_x0000_t75" style="position:absolute;left:3992;top:2474;width:5063;height:444">
              <v:imagedata r:id="rId47" o:title=""/>
            </v:shape>
            <v:shape id="docshape102" o:spid="_x0000_s1456" type="#_x0000_t75" style="position:absolute;left:3992;top:1809;width:4480;height:444">
              <v:imagedata r:id="rId48" o:title=""/>
            </v:shape>
            <v:line id="_x0000_s1455" style="position:absolute" from="5016,1033" to="5016,1365" strokecolor="#d0e1f5"/>
            <v:shape id="docshape103" o:spid="_x0000_s1454" type="#_x0000_t75" style="position:absolute;left:3992;top:1143;width:1841;height:444">
              <v:imagedata r:id="rId49" o:title=""/>
            </v:shape>
            <v:line id="_x0000_s1453" style="position:absolute" from="3993,4360" to="3993,1033" strokecolor="#d0e1f5"/>
            <v:line id="_x0000_s1452" style="position:absolute" from="10129,1033" to="10129,4360" strokecolor="#d0e1f5"/>
            <v:shape id="docshape104" o:spid="_x0000_s1451" type="#_x0000_t75" style="position:absolute;left:4924;top:4943;width:99;height:99">
              <v:imagedata r:id="rId29" o:title=""/>
            </v:shape>
            <v:shape id="docshape105" o:spid="_x0000_s1450" type="#_x0000_t75" style="position:absolute;left:6277;top:4943;width:99;height:99">
              <v:imagedata r:id="rId28" o:title=""/>
            </v:shape>
            <v:rect id="docshape106" o:spid="_x0000_s1449" style="position:absolute;left:1800;top:241;width:8640;height:5040" filled="f" strokecolor="#d0e1f5"/>
            <v:shape id="docshape107" o:spid="_x0000_s1448" type="#_x0000_t202" style="position:absolute;left:4135;top:457;width:3989;height:320" filled="f" stroked="f">
              <v:textbox inset="0,0,0,0">
                <w:txbxContent>
                  <w:p w:rsidR="00200FDA" w:rsidRDefault="00F76C4C">
                    <w:pPr>
                      <w:spacing w:line="319" w:lineRule="exact"/>
                      <w:rPr>
                        <w:b/>
                        <w:sz w:val="32"/>
                      </w:rPr>
                    </w:pPr>
                    <w:r>
                      <w:rPr>
                        <w:b/>
                        <w:color w:val="16406C"/>
                        <w:sz w:val="32"/>
                      </w:rPr>
                      <w:t>Figure</w:t>
                    </w:r>
                    <w:r>
                      <w:rPr>
                        <w:b/>
                        <w:color w:val="16406C"/>
                        <w:spacing w:val="-9"/>
                        <w:sz w:val="32"/>
                      </w:rPr>
                      <w:t xml:space="preserve"> </w:t>
                    </w:r>
                    <w:r>
                      <w:rPr>
                        <w:b/>
                        <w:color w:val="16406C"/>
                        <w:sz w:val="32"/>
                      </w:rPr>
                      <w:t>3:</w:t>
                    </w:r>
                    <w:r>
                      <w:rPr>
                        <w:b/>
                        <w:color w:val="16406C"/>
                        <w:spacing w:val="-10"/>
                        <w:sz w:val="32"/>
                      </w:rPr>
                      <w:t xml:space="preserve"> </w:t>
                    </w:r>
                    <w:r>
                      <w:rPr>
                        <w:b/>
                        <w:color w:val="16406C"/>
                        <w:sz w:val="32"/>
                      </w:rPr>
                      <w:t>Bullying</w:t>
                    </w:r>
                    <w:r>
                      <w:rPr>
                        <w:b/>
                        <w:color w:val="16406C"/>
                        <w:spacing w:val="-9"/>
                        <w:sz w:val="32"/>
                      </w:rPr>
                      <w:t xml:space="preserve"> </w:t>
                    </w:r>
                    <w:r>
                      <w:rPr>
                        <w:b/>
                        <w:color w:val="16406C"/>
                        <w:sz w:val="32"/>
                      </w:rPr>
                      <w:t>&amp;</w:t>
                    </w:r>
                    <w:r>
                      <w:rPr>
                        <w:b/>
                        <w:color w:val="16406C"/>
                        <w:spacing w:val="-10"/>
                        <w:sz w:val="32"/>
                      </w:rPr>
                      <w:t xml:space="preserve"> </w:t>
                    </w:r>
                    <w:r>
                      <w:rPr>
                        <w:b/>
                        <w:color w:val="16406C"/>
                        <w:sz w:val="32"/>
                      </w:rPr>
                      <w:t>Self-</w:t>
                    </w:r>
                    <w:r>
                      <w:rPr>
                        <w:b/>
                        <w:color w:val="16406C"/>
                        <w:spacing w:val="-4"/>
                        <w:sz w:val="32"/>
                      </w:rPr>
                      <w:t>Harm</w:t>
                    </w:r>
                  </w:p>
                </w:txbxContent>
              </v:textbox>
            </v:shape>
            <v:shape id="docshape108" o:spid="_x0000_s1447" type="#_x0000_t202" style="position:absolute;left:2651;top:1280;width:1193;height:180" filled="f" stroked="f">
              <v:textbox inset="0,0,0,0">
                <w:txbxContent>
                  <w:p w:rsidR="00200FDA" w:rsidRDefault="00F76C4C">
                    <w:pPr>
                      <w:spacing w:line="180" w:lineRule="exact"/>
                      <w:rPr>
                        <w:sz w:val="18"/>
                      </w:rPr>
                    </w:pPr>
                    <w:r>
                      <w:rPr>
                        <w:color w:val="16406C"/>
                        <w:sz w:val="18"/>
                      </w:rPr>
                      <w:t>Suicide</w:t>
                    </w:r>
                    <w:r>
                      <w:rPr>
                        <w:color w:val="16406C"/>
                        <w:spacing w:val="-5"/>
                        <w:sz w:val="18"/>
                      </w:rPr>
                      <w:t xml:space="preserve"> </w:t>
                    </w:r>
                    <w:r>
                      <w:rPr>
                        <w:color w:val="16406C"/>
                        <w:spacing w:val="-2"/>
                        <w:sz w:val="18"/>
                      </w:rPr>
                      <w:t>Attempt</w:t>
                    </w:r>
                  </w:p>
                </w:txbxContent>
              </v:textbox>
            </v:shape>
            <v:shape id="docshape109" o:spid="_x0000_s1446" type="#_x0000_t202" style="position:absolute;left:2620;top:1946;width:1226;height:180" filled="f" stroked="f">
              <v:textbox inset="0,0,0,0">
                <w:txbxContent>
                  <w:p w:rsidR="00200FDA" w:rsidRDefault="00F76C4C">
                    <w:pPr>
                      <w:spacing w:line="180" w:lineRule="exact"/>
                      <w:rPr>
                        <w:sz w:val="18"/>
                      </w:rPr>
                    </w:pPr>
                    <w:r>
                      <w:rPr>
                        <w:color w:val="16406C"/>
                        <w:sz w:val="18"/>
                      </w:rPr>
                      <w:t>Suicidal</w:t>
                    </w:r>
                    <w:r>
                      <w:rPr>
                        <w:color w:val="16406C"/>
                        <w:spacing w:val="-4"/>
                        <w:sz w:val="18"/>
                      </w:rPr>
                      <w:t xml:space="preserve"> </w:t>
                    </w:r>
                    <w:r>
                      <w:rPr>
                        <w:color w:val="16406C"/>
                        <w:spacing w:val="-2"/>
                        <w:sz w:val="18"/>
                      </w:rPr>
                      <w:t>Ideation</w:t>
                    </w:r>
                  </w:p>
                </w:txbxContent>
              </v:textbox>
            </v:shape>
            <v:shape id="docshape110" o:spid="_x0000_s1445" type="#_x0000_t202" style="position:absolute;left:3097;top:2612;width:750;height:180" filled="f" stroked="f">
              <v:textbox inset="0,0,0,0">
                <w:txbxContent>
                  <w:p w:rsidR="00200FDA" w:rsidRDefault="00F76C4C">
                    <w:pPr>
                      <w:spacing w:line="180" w:lineRule="exact"/>
                      <w:rPr>
                        <w:sz w:val="18"/>
                      </w:rPr>
                    </w:pPr>
                    <w:r>
                      <w:rPr>
                        <w:color w:val="16406C"/>
                        <w:spacing w:val="-2"/>
                        <w:sz w:val="18"/>
                      </w:rPr>
                      <w:t>Self-</w:t>
                    </w:r>
                    <w:r>
                      <w:rPr>
                        <w:color w:val="16406C"/>
                        <w:spacing w:val="-4"/>
                        <w:sz w:val="18"/>
                      </w:rPr>
                      <w:t>Harm</w:t>
                    </w:r>
                  </w:p>
                </w:txbxContent>
              </v:textbox>
            </v:shape>
            <v:shape id="docshape111" o:spid="_x0000_s1444" type="#_x0000_t202" style="position:absolute;left:2665;top:3277;width:1174;height:180" filled="f" stroked="f">
              <v:textbox inset="0,0,0,0">
                <w:txbxContent>
                  <w:p w:rsidR="00200FDA" w:rsidRDefault="00F76C4C">
                    <w:pPr>
                      <w:spacing w:line="180" w:lineRule="exact"/>
                      <w:rPr>
                        <w:sz w:val="18"/>
                      </w:rPr>
                    </w:pPr>
                    <w:r>
                      <w:rPr>
                        <w:color w:val="16406C"/>
                        <w:sz w:val="18"/>
                      </w:rPr>
                      <w:t>Sex</w:t>
                    </w:r>
                    <w:r>
                      <w:rPr>
                        <w:color w:val="16406C"/>
                        <w:spacing w:val="-7"/>
                        <w:sz w:val="18"/>
                      </w:rPr>
                      <w:t xml:space="preserve"> </w:t>
                    </w:r>
                    <w:r>
                      <w:rPr>
                        <w:color w:val="16406C"/>
                        <w:sz w:val="18"/>
                      </w:rPr>
                      <w:t>Against</w:t>
                    </w:r>
                    <w:r>
                      <w:rPr>
                        <w:color w:val="16406C"/>
                        <w:spacing w:val="-5"/>
                        <w:sz w:val="18"/>
                      </w:rPr>
                      <w:t xml:space="preserve"> </w:t>
                    </w:r>
                    <w:r>
                      <w:rPr>
                        <w:color w:val="16406C"/>
                        <w:spacing w:val="-4"/>
                        <w:sz w:val="18"/>
                      </w:rPr>
                      <w:t>Will</w:t>
                    </w:r>
                  </w:p>
                </w:txbxContent>
              </v:textbox>
            </v:shape>
            <v:shape id="docshape112" o:spid="_x0000_s1443" type="#_x0000_t202" style="position:absolute;left:2309;top:3943;width:1537;height:180" filled="f" stroked="f">
              <v:textbox inset="0,0,0,0">
                <w:txbxContent>
                  <w:p w:rsidR="00200FDA" w:rsidRDefault="00F76C4C">
                    <w:pPr>
                      <w:spacing w:line="180" w:lineRule="exact"/>
                      <w:rPr>
                        <w:sz w:val="18"/>
                      </w:rPr>
                    </w:pPr>
                    <w:r>
                      <w:rPr>
                        <w:color w:val="16406C"/>
                        <w:sz w:val="18"/>
                      </w:rPr>
                      <w:t>Bullied</w:t>
                    </w:r>
                    <w:r>
                      <w:rPr>
                        <w:color w:val="16406C"/>
                        <w:spacing w:val="-2"/>
                        <w:sz w:val="18"/>
                      </w:rPr>
                      <w:t xml:space="preserve"> Electronically</w:t>
                    </w:r>
                  </w:p>
                </w:txbxContent>
              </v:textbox>
            </v:shape>
            <v:shape id="docshape113" o:spid="_x0000_s1442" type="#_x0000_t202" style="position:absolute;left:3947;top:4510;width:112;height:180" filled="f" stroked="f">
              <v:textbox inset="0,0,0,0">
                <w:txbxContent>
                  <w:p w:rsidR="00200FDA" w:rsidRDefault="00F76C4C">
                    <w:pPr>
                      <w:spacing w:line="180" w:lineRule="exact"/>
                      <w:rPr>
                        <w:sz w:val="18"/>
                      </w:rPr>
                    </w:pPr>
                    <w:r>
                      <w:rPr>
                        <w:color w:val="16406C"/>
                        <w:sz w:val="18"/>
                      </w:rPr>
                      <w:t>0</w:t>
                    </w:r>
                  </w:p>
                </w:txbxContent>
              </v:textbox>
            </v:shape>
            <v:shape id="docshape114" o:spid="_x0000_s1441" type="#_x0000_t202" style="position:absolute;left:4924;top:4510;width:203;height:180" filled="f" stroked="f">
              <v:textbox inset="0,0,0,0">
                <w:txbxContent>
                  <w:p w:rsidR="00200FDA" w:rsidRDefault="00F76C4C">
                    <w:pPr>
                      <w:spacing w:line="180" w:lineRule="exact"/>
                      <w:rPr>
                        <w:sz w:val="18"/>
                      </w:rPr>
                    </w:pPr>
                    <w:r>
                      <w:rPr>
                        <w:color w:val="16406C"/>
                        <w:spacing w:val="-5"/>
                        <w:sz w:val="18"/>
                      </w:rPr>
                      <w:t>10</w:t>
                    </w:r>
                  </w:p>
                </w:txbxContent>
              </v:textbox>
            </v:shape>
            <v:shape id="docshape115" o:spid="_x0000_s1440" type="#_x0000_t202" style="position:absolute;left:5946;top:4510;width:203;height:180" filled="f" stroked="f">
              <v:textbox inset="0,0,0,0">
                <w:txbxContent>
                  <w:p w:rsidR="00200FDA" w:rsidRDefault="00F76C4C">
                    <w:pPr>
                      <w:spacing w:line="180" w:lineRule="exact"/>
                      <w:rPr>
                        <w:sz w:val="18"/>
                      </w:rPr>
                    </w:pPr>
                    <w:r>
                      <w:rPr>
                        <w:color w:val="16406C"/>
                        <w:spacing w:val="-5"/>
                        <w:sz w:val="18"/>
                      </w:rPr>
                      <w:t>20</w:t>
                    </w:r>
                  </w:p>
                </w:txbxContent>
              </v:textbox>
            </v:shape>
            <v:shape id="docshape116" o:spid="_x0000_s1439" type="#_x0000_t202" style="position:absolute;left:6969;top:4510;width:203;height:180" filled="f" stroked="f">
              <v:textbox inset="0,0,0,0">
                <w:txbxContent>
                  <w:p w:rsidR="00200FDA" w:rsidRDefault="00F76C4C">
                    <w:pPr>
                      <w:spacing w:line="180" w:lineRule="exact"/>
                      <w:rPr>
                        <w:sz w:val="18"/>
                      </w:rPr>
                    </w:pPr>
                    <w:r>
                      <w:rPr>
                        <w:color w:val="16406C"/>
                        <w:spacing w:val="-5"/>
                        <w:sz w:val="18"/>
                      </w:rPr>
                      <w:t>30</w:t>
                    </w:r>
                  </w:p>
                </w:txbxContent>
              </v:textbox>
            </v:shape>
            <v:shape id="docshape117" o:spid="_x0000_s1438" type="#_x0000_t202" style="position:absolute;left:7992;top:4510;width:203;height:180" filled="f" stroked="f">
              <v:textbox inset="0,0,0,0">
                <w:txbxContent>
                  <w:p w:rsidR="00200FDA" w:rsidRDefault="00F76C4C">
                    <w:pPr>
                      <w:spacing w:line="180" w:lineRule="exact"/>
                      <w:rPr>
                        <w:sz w:val="18"/>
                      </w:rPr>
                    </w:pPr>
                    <w:r>
                      <w:rPr>
                        <w:color w:val="16406C"/>
                        <w:spacing w:val="-5"/>
                        <w:sz w:val="18"/>
                      </w:rPr>
                      <w:t>40</w:t>
                    </w:r>
                  </w:p>
                </w:txbxContent>
              </v:textbox>
            </v:shape>
            <v:shape id="docshape118" o:spid="_x0000_s1437" type="#_x0000_t202" style="position:absolute;left:9015;top:4510;width:203;height:180" filled="f" stroked="f">
              <v:textbox inset="0,0,0,0">
                <w:txbxContent>
                  <w:p w:rsidR="00200FDA" w:rsidRDefault="00F76C4C">
                    <w:pPr>
                      <w:spacing w:line="180" w:lineRule="exact"/>
                      <w:rPr>
                        <w:sz w:val="18"/>
                      </w:rPr>
                    </w:pPr>
                    <w:r>
                      <w:rPr>
                        <w:color w:val="16406C"/>
                        <w:spacing w:val="-5"/>
                        <w:sz w:val="18"/>
                      </w:rPr>
                      <w:t>50</w:t>
                    </w:r>
                  </w:p>
                </w:txbxContent>
              </v:textbox>
            </v:shape>
            <v:shape id="docshape119" o:spid="_x0000_s1436" type="#_x0000_t202" style="position:absolute;left:10037;top:4510;width:203;height:180" filled="f" stroked="f">
              <v:textbox inset="0,0,0,0">
                <w:txbxContent>
                  <w:p w:rsidR="00200FDA" w:rsidRDefault="00F76C4C">
                    <w:pPr>
                      <w:spacing w:line="180" w:lineRule="exact"/>
                      <w:rPr>
                        <w:sz w:val="18"/>
                      </w:rPr>
                    </w:pPr>
                    <w:r>
                      <w:rPr>
                        <w:color w:val="16406C"/>
                        <w:spacing w:val="-5"/>
                        <w:sz w:val="18"/>
                      </w:rPr>
                      <w:t>60</w:t>
                    </w:r>
                  </w:p>
                </w:txbxContent>
              </v:textbox>
            </v:shape>
            <v:shape id="docshape120" o:spid="_x0000_s1435" type="#_x0000_t202" style="position:absolute;left:5065;top:4908;width:2341;height:180" filled="f" stroked="f">
              <v:textbox inset="0,0,0,0">
                <w:txbxContent>
                  <w:p w:rsidR="00200FDA" w:rsidRDefault="00F76C4C">
                    <w:pPr>
                      <w:tabs>
                        <w:tab w:val="left" w:pos="1352"/>
                      </w:tabs>
                      <w:spacing w:line="180" w:lineRule="exact"/>
                      <w:rPr>
                        <w:sz w:val="18"/>
                      </w:rPr>
                    </w:pPr>
                    <w:r>
                      <w:rPr>
                        <w:color w:val="16406C"/>
                        <w:sz w:val="18"/>
                      </w:rPr>
                      <w:t>Cis-Het</w:t>
                    </w:r>
                    <w:r>
                      <w:rPr>
                        <w:color w:val="16406C"/>
                        <w:spacing w:val="-4"/>
                        <w:sz w:val="18"/>
                      </w:rPr>
                      <w:t xml:space="preserve"> </w:t>
                    </w:r>
                    <w:r>
                      <w:rPr>
                        <w:color w:val="16406C"/>
                        <w:spacing w:val="-2"/>
                        <w:sz w:val="18"/>
                      </w:rPr>
                      <w:t>Youth</w:t>
                    </w:r>
                    <w:r>
                      <w:rPr>
                        <w:color w:val="16406C"/>
                        <w:sz w:val="18"/>
                      </w:rPr>
                      <w:tab/>
                      <w:t>LGBTQ</w:t>
                    </w:r>
                    <w:r>
                      <w:rPr>
                        <w:color w:val="16406C"/>
                        <w:spacing w:val="-3"/>
                        <w:sz w:val="18"/>
                      </w:rPr>
                      <w:t xml:space="preserve"> </w:t>
                    </w:r>
                    <w:r>
                      <w:rPr>
                        <w:color w:val="16406C"/>
                        <w:spacing w:val="-4"/>
                        <w:sz w:val="18"/>
                      </w:rPr>
                      <w:t>Youth</w:t>
                    </w:r>
                  </w:p>
                </w:txbxContent>
              </v:textbox>
            </v:shape>
            <w10:wrap type="topAndBottom" anchorx="page"/>
          </v:group>
        </w:pict>
      </w:r>
    </w:p>
    <w:p w:rsidR="00200FDA" w:rsidRDefault="00200FDA">
      <w:pPr>
        <w:pStyle w:val="BodyText"/>
        <w:spacing w:before="3"/>
      </w:pPr>
    </w:p>
    <w:p w:rsidR="00200FDA" w:rsidRDefault="00F76C4C">
      <w:pPr>
        <w:pStyle w:val="BodyText"/>
        <w:spacing w:before="1" w:line="276" w:lineRule="auto"/>
        <w:ind w:left="139" w:right="136"/>
        <w:jc w:val="both"/>
      </w:pPr>
      <w:r>
        <w:t>Figure 3 shows the percentage of LBGTQ and het-cis youth who reported being bullied electronically. LGBTQ</w:t>
      </w:r>
      <w:r>
        <w:rPr>
          <w:spacing w:val="-13"/>
        </w:rPr>
        <w:t xml:space="preserve"> </w:t>
      </w:r>
      <w:r>
        <w:t>youth</w:t>
      </w:r>
      <w:r>
        <w:rPr>
          <w:spacing w:val="-12"/>
        </w:rPr>
        <w:t xml:space="preserve"> </w:t>
      </w:r>
      <w:r>
        <w:t>were</w:t>
      </w:r>
      <w:r>
        <w:rPr>
          <w:spacing w:val="-13"/>
        </w:rPr>
        <w:t xml:space="preserve"> </w:t>
      </w:r>
      <w:r>
        <w:t>about</w:t>
      </w:r>
      <w:r>
        <w:rPr>
          <w:spacing w:val="-12"/>
        </w:rPr>
        <w:t xml:space="preserve"> </w:t>
      </w:r>
      <w:r>
        <w:t>twice</w:t>
      </w:r>
      <w:r>
        <w:rPr>
          <w:spacing w:val="-13"/>
        </w:rPr>
        <w:t xml:space="preserve"> </w:t>
      </w:r>
      <w:r>
        <w:t>as</w:t>
      </w:r>
      <w:r>
        <w:rPr>
          <w:spacing w:val="-12"/>
        </w:rPr>
        <w:t xml:space="preserve"> </w:t>
      </w:r>
      <w:r>
        <w:t>likely</w:t>
      </w:r>
      <w:r>
        <w:rPr>
          <w:spacing w:val="-13"/>
        </w:rPr>
        <w:t xml:space="preserve"> </w:t>
      </w:r>
      <w:r>
        <w:t>as</w:t>
      </w:r>
      <w:r>
        <w:rPr>
          <w:spacing w:val="-12"/>
        </w:rPr>
        <w:t xml:space="preserve"> </w:t>
      </w:r>
      <w:r>
        <w:t>het-cis</w:t>
      </w:r>
      <w:r>
        <w:rPr>
          <w:spacing w:val="-12"/>
        </w:rPr>
        <w:t xml:space="preserve"> </w:t>
      </w:r>
      <w:r>
        <w:t>youth</w:t>
      </w:r>
      <w:r>
        <w:rPr>
          <w:spacing w:val="-13"/>
        </w:rPr>
        <w:t xml:space="preserve"> </w:t>
      </w:r>
      <w:r>
        <w:t>to</w:t>
      </w:r>
      <w:r>
        <w:rPr>
          <w:spacing w:val="-12"/>
        </w:rPr>
        <w:t xml:space="preserve"> </w:t>
      </w:r>
      <w:r>
        <w:t>be</w:t>
      </w:r>
      <w:r>
        <w:rPr>
          <w:spacing w:val="-13"/>
        </w:rPr>
        <w:t xml:space="preserve"> </w:t>
      </w:r>
      <w:r>
        <w:t>bullied</w:t>
      </w:r>
      <w:r>
        <w:rPr>
          <w:spacing w:val="-12"/>
        </w:rPr>
        <w:t xml:space="preserve"> </w:t>
      </w:r>
      <w:r>
        <w:t>in</w:t>
      </w:r>
      <w:r>
        <w:rPr>
          <w:spacing w:val="-13"/>
        </w:rPr>
        <w:t xml:space="preserve"> </w:t>
      </w:r>
      <w:r>
        <w:t>this</w:t>
      </w:r>
      <w:r>
        <w:rPr>
          <w:spacing w:val="-12"/>
        </w:rPr>
        <w:t xml:space="preserve"> </w:t>
      </w:r>
      <w:r>
        <w:t>manner,</w:t>
      </w:r>
      <w:r>
        <w:rPr>
          <w:spacing w:val="-12"/>
        </w:rPr>
        <w:t xml:space="preserve"> </w:t>
      </w:r>
      <w:r>
        <w:t>and</w:t>
      </w:r>
      <w:r>
        <w:rPr>
          <w:spacing w:val="-13"/>
        </w:rPr>
        <w:t xml:space="preserve"> </w:t>
      </w:r>
      <w:r>
        <w:t>those</w:t>
      </w:r>
      <w:r>
        <w:rPr>
          <w:spacing w:val="-12"/>
        </w:rPr>
        <w:t xml:space="preserve"> </w:t>
      </w:r>
      <w:r>
        <w:t>differences were statistically significant in each year (p&lt;.001). In 2021, 25.9% of LGBTQ youth and 10.4% of het-cis youth reported being bullied electronically.</w:t>
      </w:r>
    </w:p>
    <w:p w:rsidR="00200FDA" w:rsidRDefault="00200FDA">
      <w:pPr>
        <w:pStyle w:val="BodyText"/>
        <w:spacing w:before="5"/>
        <w:rPr>
          <w:sz w:val="19"/>
        </w:rPr>
      </w:pPr>
    </w:p>
    <w:p w:rsidR="00200FDA" w:rsidRDefault="00F76C4C">
      <w:pPr>
        <w:pStyle w:val="BodyText"/>
        <w:spacing w:before="1" w:line="276" w:lineRule="auto"/>
        <w:ind w:left="139" w:right="133"/>
        <w:jc w:val="both"/>
      </w:pPr>
      <w:r>
        <w:t>LGBTQ</w:t>
      </w:r>
      <w:r>
        <w:rPr>
          <w:spacing w:val="-9"/>
        </w:rPr>
        <w:t xml:space="preserve"> </w:t>
      </w:r>
      <w:r>
        <w:t>youth</w:t>
      </w:r>
      <w:r>
        <w:rPr>
          <w:spacing w:val="-7"/>
        </w:rPr>
        <w:t xml:space="preserve"> </w:t>
      </w:r>
      <w:r>
        <w:t>were</w:t>
      </w:r>
      <w:r>
        <w:rPr>
          <w:spacing w:val="-6"/>
        </w:rPr>
        <w:t xml:space="preserve"> </w:t>
      </w:r>
      <w:r>
        <w:t>significantly</w:t>
      </w:r>
      <w:r>
        <w:rPr>
          <w:spacing w:val="-6"/>
        </w:rPr>
        <w:t xml:space="preserve"> </w:t>
      </w:r>
      <w:r>
        <w:t>more</w:t>
      </w:r>
      <w:r>
        <w:rPr>
          <w:spacing w:val="-6"/>
        </w:rPr>
        <w:t xml:space="preserve"> </w:t>
      </w:r>
      <w:r>
        <w:t>likely</w:t>
      </w:r>
      <w:r>
        <w:rPr>
          <w:spacing w:val="-6"/>
        </w:rPr>
        <w:t xml:space="preserve"> </w:t>
      </w:r>
      <w:r>
        <w:t>than</w:t>
      </w:r>
      <w:r>
        <w:rPr>
          <w:spacing w:val="-7"/>
        </w:rPr>
        <w:t xml:space="preserve"> </w:t>
      </w:r>
      <w:r>
        <w:t>het-cis</w:t>
      </w:r>
      <w:r>
        <w:rPr>
          <w:spacing w:val="-7"/>
        </w:rPr>
        <w:t xml:space="preserve"> </w:t>
      </w:r>
      <w:r>
        <w:t>youth</w:t>
      </w:r>
      <w:r>
        <w:rPr>
          <w:spacing w:val="-7"/>
        </w:rPr>
        <w:t xml:space="preserve"> </w:t>
      </w:r>
      <w:r>
        <w:t>to</w:t>
      </w:r>
      <w:r>
        <w:rPr>
          <w:spacing w:val="-8"/>
        </w:rPr>
        <w:t xml:space="preserve"> </w:t>
      </w:r>
      <w:r>
        <w:t>have</w:t>
      </w:r>
      <w:r>
        <w:rPr>
          <w:spacing w:val="-8"/>
        </w:rPr>
        <w:t xml:space="preserve"> </w:t>
      </w:r>
      <w:r>
        <w:t>ever</w:t>
      </w:r>
      <w:r>
        <w:rPr>
          <w:spacing w:val="-7"/>
        </w:rPr>
        <w:t xml:space="preserve"> </w:t>
      </w:r>
      <w:r>
        <w:t>been</w:t>
      </w:r>
      <w:r>
        <w:rPr>
          <w:spacing w:val="-10"/>
        </w:rPr>
        <w:t xml:space="preserve"> </w:t>
      </w:r>
      <w:r>
        <w:t>physically</w:t>
      </w:r>
      <w:r>
        <w:rPr>
          <w:spacing w:val="-6"/>
        </w:rPr>
        <w:t xml:space="preserve"> </w:t>
      </w:r>
      <w:r>
        <w:t>forced</w:t>
      </w:r>
      <w:r>
        <w:rPr>
          <w:spacing w:val="-10"/>
        </w:rPr>
        <w:t xml:space="preserve"> </w:t>
      </w:r>
      <w:r>
        <w:t>to</w:t>
      </w:r>
      <w:r>
        <w:rPr>
          <w:spacing w:val="-5"/>
        </w:rPr>
        <w:t xml:space="preserve"> </w:t>
      </w:r>
      <w:r>
        <w:t>have sexual intercourse when they did not want to (see Figure 3). The percentage of LGBTQ youth increased from 12.4% in</w:t>
      </w:r>
      <w:r>
        <w:rPr>
          <w:spacing w:val="-2"/>
        </w:rPr>
        <w:t xml:space="preserve"> </w:t>
      </w:r>
      <w:r>
        <w:t>2015 to 15.4% in</w:t>
      </w:r>
      <w:r>
        <w:rPr>
          <w:spacing w:val="-2"/>
        </w:rPr>
        <w:t xml:space="preserve"> </w:t>
      </w:r>
      <w:r>
        <w:t>2017 to 19.1% in</w:t>
      </w:r>
      <w:r>
        <w:rPr>
          <w:spacing w:val="-2"/>
        </w:rPr>
        <w:t xml:space="preserve"> </w:t>
      </w:r>
      <w:r>
        <w:t>2019, but then</w:t>
      </w:r>
      <w:r>
        <w:rPr>
          <w:spacing w:val="-2"/>
        </w:rPr>
        <w:t xml:space="preserve"> </w:t>
      </w:r>
      <w:r>
        <w:t>decreased</w:t>
      </w:r>
      <w:r>
        <w:rPr>
          <w:spacing w:val="-2"/>
        </w:rPr>
        <w:t xml:space="preserve"> </w:t>
      </w:r>
      <w:r>
        <w:t>to 16.0% in</w:t>
      </w:r>
      <w:r>
        <w:rPr>
          <w:spacing w:val="-2"/>
        </w:rPr>
        <w:t xml:space="preserve"> </w:t>
      </w:r>
      <w:r>
        <w:t>2021, and</w:t>
      </w:r>
      <w:r>
        <w:rPr>
          <w:spacing w:val="-2"/>
        </w:rPr>
        <w:t xml:space="preserve"> </w:t>
      </w:r>
      <w:r>
        <w:t>het-cis youth</w:t>
      </w:r>
      <w:r>
        <w:rPr>
          <w:spacing w:val="-2"/>
        </w:rPr>
        <w:t xml:space="preserve"> </w:t>
      </w:r>
      <w:r>
        <w:t>reported</w:t>
      </w:r>
      <w:r>
        <w:rPr>
          <w:spacing w:val="-2"/>
        </w:rPr>
        <w:t xml:space="preserve"> </w:t>
      </w:r>
      <w:r>
        <w:t>a</w:t>
      </w:r>
      <w:r>
        <w:rPr>
          <w:spacing w:val="-1"/>
        </w:rPr>
        <w:t xml:space="preserve"> </w:t>
      </w:r>
      <w:r>
        <w:t>similar i</w:t>
      </w:r>
      <w:r>
        <w:t>ncrease and</w:t>
      </w:r>
      <w:r>
        <w:rPr>
          <w:spacing w:val="-2"/>
        </w:rPr>
        <w:t xml:space="preserve"> </w:t>
      </w:r>
      <w:r>
        <w:t>then decrease across</w:t>
      </w:r>
      <w:r>
        <w:rPr>
          <w:spacing w:val="-1"/>
        </w:rPr>
        <w:t xml:space="preserve"> </w:t>
      </w:r>
      <w:r>
        <w:t>those years.</w:t>
      </w:r>
      <w:r>
        <w:rPr>
          <w:spacing w:val="-1"/>
        </w:rPr>
        <w:t xml:space="preserve"> </w:t>
      </w:r>
      <w:r>
        <w:t>In 2021,</w:t>
      </w:r>
      <w:r>
        <w:rPr>
          <w:spacing w:val="-3"/>
        </w:rPr>
        <w:t xml:space="preserve"> </w:t>
      </w:r>
      <w:r>
        <w:t>LGBTQ</w:t>
      </w:r>
      <w:r>
        <w:rPr>
          <w:spacing w:val="-3"/>
        </w:rPr>
        <w:t xml:space="preserve"> </w:t>
      </w:r>
      <w:r>
        <w:t>youth</w:t>
      </w:r>
      <w:r>
        <w:rPr>
          <w:spacing w:val="-2"/>
        </w:rPr>
        <w:t xml:space="preserve"> </w:t>
      </w:r>
      <w:r>
        <w:t>were four</w:t>
      </w:r>
    </w:p>
    <w:p w:rsidR="00200FDA" w:rsidRDefault="00200FDA">
      <w:pPr>
        <w:spacing w:line="276" w:lineRule="auto"/>
        <w:jc w:val="both"/>
        <w:sectPr w:rsidR="00200FDA">
          <w:pgSz w:w="12240" w:h="15840"/>
          <w:pgMar w:top="1360" w:right="1300" w:bottom="1260" w:left="1300" w:header="761" w:footer="1062" w:gutter="0"/>
          <w:cols w:space="720"/>
        </w:sectPr>
      </w:pPr>
    </w:p>
    <w:p w:rsidR="00200FDA" w:rsidRDefault="00F76C4C">
      <w:pPr>
        <w:pStyle w:val="BodyText"/>
        <w:spacing w:before="64" w:line="276" w:lineRule="auto"/>
        <w:ind w:left="140" w:right="134"/>
        <w:jc w:val="both"/>
      </w:pPr>
      <w:r>
        <w:lastRenderedPageBreak/>
        <w:t xml:space="preserve">times more likely than het-cis youth to report ever having been forced to have sex (16% compared with </w:t>
      </w:r>
      <w:r>
        <w:rPr>
          <w:spacing w:val="-4"/>
        </w:rPr>
        <w:t>4%).</w:t>
      </w:r>
    </w:p>
    <w:p w:rsidR="00200FDA" w:rsidRDefault="00200FDA">
      <w:pPr>
        <w:pStyle w:val="BodyText"/>
        <w:spacing w:before="7"/>
        <w:rPr>
          <w:sz w:val="19"/>
        </w:rPr>
      </w:pPr>
    </w:p>
    <w:p w:rsidR="00200FDA" w:rsidRDefault="00F76C4C">
      <w:pPr>
        <w:pStyle w:val="BodyText"/>
        <w:spacing w:line="276" w:lineRule="auto"/>
        <w:ind w:left="139" w:right="132"/>
        <w:jc w:val="both"/>
      </w:pPr>
      <w:r>
        <w:t>LGBTQ youth were significantly more likely to experience sexual dating violence and physical dating violence between 2015-2021, compared with het-cis youth (p&lt;.001). LGBTQ were over twice as likely to report that in the past 12 months someone they were dat</w:t>
      </w:r>
      <w:r>
        <w:t>ing or going out with forced them to do sexual things they did not want to do, including kissing, touching, or being physically forced to have sexual intercourse.</w:t>
      </w:r>
      <w:r>
        <w:rPr>
          <w:spacing w:val="-4"/>
        </w:rPr>
        <w:t xml:space="preserve"> </w:t>
      </w:r>
      <w:r>
        <w:t>The</w:t>
      </w:r>
      <w:r>
        <w:rPr>
          <w:spacing w:val="-5"/>
        </w:rPr>
        <w:t xml:space="preserve"> </w:t>
      </w:r>
      <w:r>
        <w:t>percentage</w:t>
      </w:r>
      <w:r>
        <w:rPr>
          <w:spacing w:val="-3"/>
        </w:rPr>
        <w:t xml:space="preserve"> </w:t>
      </w:r>
      <w:r>
        <w:t>of</w:t>
      </w:r>
      <w:r>
        <w:rPr>
          <w:spacing w:val="-6"/>
        </w:rPr>
        <w:t xml:space="preserve"> </w:t>
      </w:r>
      <w:r>
        <w:t>LGBTQ</w:t>
      </w:r>
      <w:r>
        <w:rPr>
          <w:spacing w:val="-5"/>
        </w:rPr>
        <w:t xml:space="preserve"> </w:t>
      </w:r>
      <w:r>
        <w:t>youth</w:t>
      </w:r>
      <w:r>
        <w:rPr>
          <w:spacing w:val="-6"/>
        </w:rPr>
        <w:t xml:space="preserve"> </w:t>
      </w:r>
      <w:r>
        <w:t>who</w:t>
      </w:r>
      <w:r>
        <w:rPr>
          <w:spacing w:val="-5"/>
        </w:rPr>
        <w:t xml:space="preserve"> </w:t>
      </w:r>
      <w:r>
        <w:t>reported</w:t>
      </w:r>
      <w:r>
        <w:rPr>
          <w:spacing w:val="-6"/>
        </w:rPr>
        <w:t xml:space="preserve"> </w:t>
      </w:r>
      <w:r>
        <w:t>this</w:t>
      </w:r>
      <w:r>
        <w:rPr>
          <w:spacing w:val="-3"/>
        </w:rPr>
        <w:t xml:space="preserve"> </w:t>
      </w:r>
      <w:r>
        <w:t>increased</w:t>
      </w:r>
      <w:r>
        <w:rPr>
          <w:spacing w:val="-4"/>
        </w:rPr>
        <w:t xml:space="preserve"> </w:t>
      </w:r>
      <w:r>
        <w:t>from</w:t>
      </w:r>
      <w:r>
        <w:rPr>
          <w:spacing w:val="-4"/>
        </w:rPr>
        <w:t xml:space="preserve"> </w:t>
      </w:r>
      <w:r>
        <w:t>15.8%</w:t>
      </w:r>
      <w:r>
        <w:rPr>
          <w:spacing w:val="-5"/>
        </w:rPr>
        <w:t xml:space="preserve"> </w:t>
      </w:r>
      <w:r>
        <w:t>in</w:t>
      </w:r>
      <w:r>
        <w:rPr>
          <w:spacing w:val="-4"/>
        </w:rPr>
        <w:t xml:space="preserve"> </w:t>
      </w:r>
      <w:r>
        <w:t>2015</w:t>
      </w:r>
      <w:r>
        <w:rPr>
          <w:spacing w:val="-2"/>
        </w:rPr>
        <w:t xml:space="preserve"> </w:t>
      </w:r>
      <w:r>
        <w:t>to</w:t>
      </w:r>
      <w:r>
        <w:rPr>
          <w:spacing w:val="-4"/>
        </w:rPr>
        <w:t xml:space="preserve"> </w:t>
      </w:r>
      <w:r>
        <w:t>20.8%</w:t>
      </w:r>
      <w:r>
        <w:rPr>
          <w:spacing w:val="-3"/>
        </w:rPr>
        <w:t xml:space="preserve"> </w:t>
      </w:r>
      <w:r>
        <w:t>in 2019 and then declined slightly to 17.8% in 2021. LGBTQ youth were also over twice as likely to report that</w:t>
      </w:r>
      <w:r>
        <w:rPr>
          <w:spacing w:val="-3"/>
        </w:rPr>
        <w:t xml:space="preserve"> </w:t>
      </w:r>
      <w:r>
        <w:t>in</w:t>
      </w:r>
      <w:r>
        <w:rPr>
          <w:spacing w:val="-4"/>
        </w:rPr>
        <w:t xml:space="preserve"> </w:t>
      </w:r>
      <w:r>
        <w:t>the</w:t>
      </w:r>
      <w:r>
        <w:rPr>
          <w:spacing w:val="-3"/>
        </w:rPr>
        <w:t xml:space="preserve"> </w:t>
      </w:r>
      <w:r>
        <w:t>past</w:t>
      </w:r>
      <w:r>
        <w:rPr>
          <w:spacing w:val="-3"/>
        </w:rPr>
        <w:t xml:space="preserve"> </w:t>
      </w:r>
      <w:r>
        <w:t>12</w:t>
      </w:r>
      <w:r>
        <w:rPr>
          <w:spacing w:val="-2"/>
        </w:rPr>
        <w:t xml:space="preserve"> </w:t>
      </w:r>
      <w:r>
        <w:t>months</w:t>
      </w:r>
      <w:r>
        <w:rPr>
          <w:spacing w:val="-6"/>
        </w:rPr>
        <w:t xml:space="preserve"> </w:t>
      </w:r>
      <w:r>
        <w:t>someone</w:t>
      </w:r>
      <w:r>
        <w:rPr>
          <w:spacing w:val="-3"/>
        </w:rPr>
        <w:t xml:space="preserve"> </w:t>
      </w:r>
      <w:r>
        <w:t>they</w:t>
      </w:r>
      <w:r>
        <w:rPr>
          <w:spacing w:val="-2"/>
        </w:rPr>
        <w:t xml:space="preserve"> </w:t>
      </w:r>
      <w:r>
        <w:t>were</w:t>
      </w:r>
      <w:r>
        <w:rPr>
          <w:spacing w:val="-3"/>
        </w:rPr>
        <w:t xml:space="preserve"> </w:t>
      </w:r>
      <w:r>
        <w:t>dating</w:t>
      </w:r>
      <w:r>
        <w:rPr>
          <w:spacing w:val="-6"/>
        </w:rPr>
        <w:t xml:space="preserve"> </w:t>
      </w:r>
      <w:r>
        <w:t>or</w:t>
      </w:r>
      <w:r>
        <w:rPr>
          <w:spacing w:val="-3"/>
        </w:rPr>
        <w:t xml:space="preserve"> </w:t>
      </w:r>
      <w:r>
        <w:t>going</w:t>
      </w:r>
      <w:r>
        <w:rPr>
          <w:spacing w:val="-4"/>
        </w:rPr>
        <w:t xml:space="preserve"> </w:t>
      </w:r>
      <w:r>
        <w:t>out</w:t>
      </w:r>
      <w:r>
        <w:rPr>
          <w:spacing w:val="-5"/>
        </w:rPr>
        <w:t xml:space="preserve"> </w:t>
      </w:r>
      <w:r>
        <w:t>with</w:t>
      </w:r>
      <w:r>
        <w:rPr>
          <w:spacing w:val="-4"/>
        </w:rPr>
        <w:t xml:space="preserve"> </w:t>
      </w:r>
      <w:r>
        <w:t>physically</w:t>
      </w:r>
      <w:r>
        <w:rPr>
          <w:spacing w:val="-5"/>
        </w:rPr>
        <w:t xml:space="preserve"> </w:t>
      </w:r>
      <w:r>
        <w:t>hurt</w:t>
      </w:r>
      <w:r>
        <w:rPr>
          <w:spacing w:val="-3"/>
        </w:rPr>
        <w:t xml:space="preserve"> </w:t>
      </w:r>
      <w:r>
        <w:t>them</w:t>
      </w:r>
      <w:r>
        <w:rPr>
          <w:spacing w:val="-4"/>
        </w:rPr>
        <w:t xml:space="preserve"> </w:t>
      </w:r>
      <w:r>
        <w:t>on</w:t>
      </w:r>
      <w:r>
        <w:rPr>
          <w:spacing w:val="-4"/>
        </w:rPr>
        <w:t xml:space="preserve"> </w:t>
      </w:r>
      <w:r>
        <w:t>purpose, including being hit, slammed into something, or</w:t>
      </w:r>
      <w:r>
        <w:t xml:space="preserve"> injured with an object or weapon. The percentage of LGBTQ</w:t>
      </w:r>
      <w:r>
        <w:rPr>
          <w:spacing w:val="-10"/>
        </w:rPr>
        <w:t xml:space="preserve"> </w:t>
      </w:r>
      <w:r>
        <w:t>youth</w:t>
      </w:r>
      <w:r>
        <w:rPr>
          <w:spacing w:val="-9"/>
        </w:rPr>
        <w:t xml:space="preserve"> </w:t>
      </w:r>
      <w:r>
        <w:t>who</w:t>
      </w:r>
      <w:r>
        <w:rPr>
          <w:spacing w:val="-7"/>
        </w:rPr>
        <w:t xml:space="preserve"> </w:t>
      </w:r>
      <w:r>
        <w:t>reported</w:t>
      </w:r>
      <w:r>
        <w:rPr>
          <w:spacing w:val="-11"/>
        </w:rPr>
        <w:t xml:space="preserve"> </w:t>
      </w:r>
      <w:r>
        <w:t>this</w:t>
      </w:r>
      <w:r>
        <w:rPr>
          <w:spacing w:val="-8"/>
        </w:rPr>
        <w:t xml:space="preserve"> </w:t>
      </w:r>
      <w:r>
        <w:t>form</w:t>
      </w:r>
      <w:r>
        <w:rPr>
          <w:spacing w:val="-9"/>
        </w:rPr>
        <w:t xml:space="preserve"> </w:t>
      </w:r>
      <w:r>
        <w:t>of</w:t>
      </w:r>
      <w:r>
        <w:rPr>
          <w:spacing w:val="-11"/>
        </w:rPr>
        <w:t xml:space="preserve"> </w:t>
      </w:r>
      <w:r>
        <w:t>violence</w:t>
      </w:r>
      <w:r>
        <w:rPr>
          <w:spacing w:val="-10"/>
        </w:rPr>
        <w:t xml:space="preserve"> </w:t>
      </w:r>
      <w:r>
        <w:t>was</w:t>
      </w:r>
      <w:r>
        <w:rPr>
          <w:spacing w:val="-10"/>
        </w:rPr>
        <w:t xml:space="preserve"> </w:t>
      </w:r>
      <w:r>
        <w:t>13.2%</w:t>
      </w:r>
      <w:r>
        <w:rPr>
          <w:spacing w:val="-10"/>
        </w:rPr>
        <w:t xml:space="preserve"> </w:t>
      </w:r>
      <w:r>
        <w:t>in</w:t>
      </w:r>
      <w:r>
        <w:rPr>
          <w:spacing w:val="-9"/>
        </w:rPr>
        <w:t xml:space="preserve"> </w:t>
      </w:r>
      <w:r>
        <w:t>2015,</w:t>
      </w:r>
      <w:r>
        <w:rPr>
          <w:spacing w:val="-8"/>
        </w:rPr>
        <w:t xml:space="preserve"> </w:t>
      </w:r>
      <w:r>
        <w:t>decreased</w:t>
      </w:r>
      <w:r>
        <w:rPr>
          <w:spacing w:val="-9"/>
        </w:rPr>
        <w:t xml:space="preserve"> </w:t>
      </w:r>
      <w:r>
        <w:t>to</w:t>
      </w:r>
      <w:r>
        <w:rPr>
          <w:spacing w:val="-9"/>
        </w:rPr>
        <w:t xml:space="preserve"> </w:t>
      </w:r>
      <w:r>
        <w:t>9.6%</w:t>
      </w:r>
      <w:r>
        <w:rPr>
          <w:spacing w:val="-10"/>
        </w:rPr>
        <w:t xml:space="preserve"> </w:t>
      </w:r>
      <w:r>
        <w:t>in</w:t>
      </w:r>
      <w:r>
        <w:rPr>
          <w:spacing w:val="-9"/>
        </w:rPr>
        <w:t xml:space="preserve"> </w:t>
      </w:r>
      <w:r>
        <w:t>2017,</w:t>
      </w:r>
      <w:r>
        <w:rPr>
          <w:spacing w:val="-8"/>
        </w:rPr>
        <w:t xml:space="preserve"> </w:t>
      </w:r>
      <w:r>
        <w:t>increased to 16.3% in 2019, and decreased to 13.9% in 2021.</w:t>
      </w:r>
    </w:p>
    <w:p w:rsidR="00200FDA" w:rsidRDefault="00200FDA">
      <w:pPr>
        <w:pStyle w:val="BodyText"/>
        <w:spacing w:before="8"/>
        <w:rPr>
          <w:sz w:val="19"/>
        </w:rPr>
      </w:pPr>
    </w:p>
    <w:p w:rsidR="00200FDA" w:rsidRDefault="00F76C4C">
      <w:pPr>
        <w:pStyle w:val="BodyText"/>
        <w:spacing w:line="276" w:lineRule="auto"/>
        <w:ind w:left="139" w:right="131"/>
        <w:jc w:val="both"/>
      </w:pPr>
      <w:r>
        <w:t>Figure 3 also provides some mental health experiences from 2015-2021 for LGBTQ and het-cis youth, showing the percentage of youth who hurt themselves, considered suicide, and attempted suicide. Throughout this period, LBGTQ youth were about three times mor</w:t>
      </w:r>
      <w:r>
        <w:t>e likely than het-cis youth to report hurting themselves, with statistically significant differences in all years (p&lt;.001). The biggest difference occurred in 2021, when</w:t>
      </w:r>
      <w:r>
        <w:rPr>
          <w:spacing w:val="-2"/>
        </w:rPr>
        <w:t xml:space="preserve"> </w:t>
      </w:r>
      <w:r>
        <w:t>49.5% of</w:t>
      </w:r>
      <w:r>
        <w:rPr>
          <w:spacing w:val="-1"/>
        </w:rPr>
        <w:t xml:space="preserve"> </w:t>
      </w:r>
      <w:r>
        <w:t>LGBTQ youth and 11.3% of het-cis youth reporting hurting themselves. Likewise</w:t>
      </w:r>
      <w:r>
        <w:t>,</w:t>
      </w:r>
      <w:r>
        <w:rPr>
          <w:spacing w:val="-11"/>
        </w:rPr>
        <w:t xml:space="preserve"> </w:t>
      </w:r>
      <w:r>
        <w:t>LGBTQ</w:t>
      </w:r>
      <w:r>
        <w:rPr>
          <w:spacing w:val="-11"/>
        </w:rPr>
        <w:t xml:space="preserve"> </w:t>
      </w:r>
      <w:r>
        <w:t>youth</w:t>
      </w:r>
      <w:r>
        <w:rPr>
          <w:spacing w:val="-12"/>
        </w:rPr>
        <w:t xml:space="preserve"> </w:t>
      </w:r>
      <w:r>
        <w:t>were</w:t>
      </w:r>
      <w:r>
        <w:rPr>
          <w:spacing w:val="-8"/>
        </w:rPr>
        <w:t xml:space="preserve"> </w:t>
      </w:r>
      <w:r>
        <w:t>about</w:t>
      </w:r>
      <w:r>
        <w:rPr>
          <w:spacing w:val="-9"/>
        </w:rPr>
        <w:t xml:space="preserve"> </w:t>
      </w:r>
      <w:r>
        <w:t>three</w:t>
      </w:r>
      <w:r>
        <w:rPr>
          <w:spacing w:val="-11"/>
        </w:rPr>
        <w:t xml:space="preserve"> </w:t>
      </w:r>
      <w:r>
        <w:t>times</w:t>
      </w:r>
      <w:r>
        <w:rPr>
          <w:spacing w:val="-11"/>
        </w:rPr>
        <w:t xml:space="preserve"> </w:t>
      </w:r>
      <w:r>
        <w:t>more</w:t>
      </w:r>
      <w:r>
        <w:rPr>
          <w:spacing w:val="-11"/>
        </w:rPr>
        <w:t xml:space="preserve"> </w:t>
      </w:r>
      <w:r>
        <w:t>likely</w:t>
      </w:r>
      <w:r>
        <w:rPr>
          <w:spacing w:val="-11"/>
        </w:rPr>
        <w:t xml:space="preserve"> </w:t>
      </w:r>
      <w:r>
        <w:t>to</w:t>
      </w:r>
      <w:r>
        <w:rPr>
          <w:spacing w:val="-8"/>
        </w:rPr>
        <w:t xml:space="preserve"> </w:t>
      </w:r>
      <w:r>
        <w:t>consider</w:t>
      </w:r>
      <w:r>
        <w:rPr>
          <w:spacing w:val="-12"/>
        </w:rPr>
        <w:t xml:space="preserve"> </w:t>
      </w:r>
      <w:r>
        <w:t>suicide,</w:t>
      </w:r>
      <w:r>
        <w:rPr>
          <w:spacing w:val="-11"/>
        </w:rPr>
        <w:t xml:space="preserve"> </w:t>
      </w:r>
      <w:r>
        <w:t>with</w:t>
      </w:r>
      <w:r>
        <w:rPr>
          <w:spacing w:val="-10"/>
        </w:rPr>
        <w:t xml:space="preserve"> </w:t>
      </w:r>
      <w:r>
        <w:t>statistically</w:t>
      </w:r>
      <w:r>
        <w:rPr>
          <w:spacing w:val="-11"/>
        </w:rPr>
        <w:t xml:space="preserve"> </w:t>
      </w:r>
      <w:r>
        <w:t>significant differences</w:t>
      </w:r>
      <w:r>
        <w:rPr>
          <w:spacing w:val="-9"/>
        </w:rPr>
        <w:t xml:space="preserve"> </w:t>
      </w:r>
      <w:r>
        <w:t>in</w:t>
      </w:r>
      <w:r>
        <w:rPr>
          <w:spacing w:val="-7"/>
        </w:rPr>
        <w:t xml:space="preserve"> </w:t>
      </w:r>
      <w:r>
        <w:t>all</w:t>
      </w:r>
      <w:r>
        <w:rPr>
          <w:spacing w:val="-7"/>
        </w:rPr>
        <w:t xml:space="preserve"> </w:t>
      </w:r>
      <w:r>
        <w:t>years</w:t>
      </w:r>
      <w:r>
        <w:rPr>
          <w:spacing w:val="-9"/>
        </w:rPr>
        <w:t xml:space="preserve"> </w:t>
      </w:r>
      <w:r>
        <w:t>(p&lt;.001).</w:t>
      </w:r>
      <w:r>
        <w:rPr>
          <w:spacing w:val="-7"/>
        </w:rPr>
        <w:t xml:space="preserve"> </w:t>
      </w:r>
      <w:r>
        <w:t>In</w:t>
      </w:r>
      <w:r>
        <w:rPr>
          <w:spacing w:val="-10"/>
        </w:rPr>
        <w:t xml:space="preserve"> </w:t>
      </w:r>
      <w:r>
        <w:t>2021,</w:t>
      </w:r>
      <w:r>
        <w:rPr>
          <w:spacing w:val="-9"/>
        </w:rPr>
        <w:t xml:space="preserve"> </w:t>
      </w:r>
      <w:r>
        <w:t>LGBTQ</w:t>
      </w:r>
      <w:r>
        <w:rPr>
          <w:spacing w:val="-9"/>
        </w:rPr>
        <w:t xml:space="preserve"> </w:t>
      </w:r>
      <w:r>
        <w:t>youth</w:t>
      </w:r>
      <w:r>
        <w:rPr>
          <w:spacing w:val="-7"/>
        </w:rPr>
        <w:t xml:space="preserve"> </w:t>
      </w:r>
      <w:r>
        <w:t>were</w:t>
      </w:r>
      <w:r>
        <w:rPr>
          <w:spacing w:val="-6"/>
        </w:rPr>
        <w:t xml:space="preserve"> </w:t>
      </w:r>
      <w:r>
        <w:t>almost</w:t>
      </w:r>
      <w:r>
        <w:rPr>
          <w:spacing w:val="-6"/>
        </w:rPr>
        <w:t xml:space="preserve"> </w:t>
      </w:r>
      <w:r>
        <w:t>four</w:t>
      </w:r>
      <w:r>
        <w:rPr>
          <w:spacing w:val="-7"/>
        </w:rPr>
        <w:t xml:space="preserve"> </w:t>
      </w:r>
      <w:r>
        <w:t>times</w:t>
      </w:r>
      <w:r>
        <w:rPr>
          <w:spacing w:val="-9"/>
        </w:rPr>
        <w:t xml:space="preserve"> </w:t>
      </w:r>
      <w:r>
        <w:t>more</w:t>
      </w:r>
      <w:r>
        <w:rPr>
          <w:spacing w:val="-6"/>
        </w:rPr>
        <w:t xml:space="preserve"> </w:t>
      </w:r>
      <w:r>
        <w:t>likely</w:t>
      </w:r>
      <w:r>
        <w:rPr>
          <w:spacing w:val="-6"/>
        </w:rPr>
        <w:t xml:space="preserve"> </w:t>
      </w:r>
      <w:r>
        <w:t>to</w:t>
      </w:r>
      <w:r>
        <w:rPr>
          <w:spacing w:val="-5"/>
        </w:rPr>
        <w:t xml:space="preserve"> </w:t>
      </w:r>
      <w:r>
        <w:t>do</w:t>
      </w:r>
      <w:r>
        <w:rPr>
          <w:spacing w:val="-5"/>
        </w:rPr>
        <w:t xml:space="preserve"> </w:t>
      </w:r>
      <w:r>
        <w:t>so:</w:t>
      </w:r>
      <w:r>
        <w:rPr>
          <w:spacing w:val="-8"/>
        </w:rPr>
        <w:t xml:space="preserve"> </w:t>
      </w:r>
      <w:r>
        <w:t>43.8% compared with 10.9% among het-cis youth. LGBTQ y</w:t>
      </w:r>
      <w:r>
        <w:t>outh were three to four times more likely than het- cis</w:t>
      </w:r>
      <w:r>
        <w:rPr>
          <w:spacing w:val="-6"/>
        </w:rPr>
        <w:t xml:space="preserve"> </w:t>
      </w:r>
      <w:r>
        <w:t>youth</w:t>
      </w:r>
      <w:r>
        <w:rPr>
          <w:spacing w:val="-6"/>
        </w:rPr>
        <w:t xml:space="preserve"> </w:t>
      </w:r>
      <w:r>
        <w:t>to</w:t>
      </w:r>
      <w:r>
        <w:rPr>
          <w:spacing w:val="-4"/>
        </w:rPr>
        <w:t xml:space="preserve"> </w:t>
      </w:r>
      <w:r>
        <w:t>attempt</w:t>
      </w:r>
      <w:r>
        <w:rPr>
          <w:spacing w:val="-5"/>
        </w:rPr>
        <w:t xml:space="preserve"> </w:t>
      </w:r>
      <w:r>
        <w:t>suicide.</w:t>
      </w:r>
      <w:r>
        <w:rPr>
          <w:spacing w:val="-4"/>
        </w:rPr>
        <w:t xml:space="preserve"> </w:t>
      </w:r>
      <w:r>
        <w:t>In</w:t>
      </w:r>
      <w:r>
        <w:rPr>
          <w:spacing w:val="-6"/>
        </w:rPr>
        <w:t xml:space="preserve"> </w:t>
      </w:r>
      <w:r>
        <w:t>2021,</w:t>
      </w:r>
      <w:r>
        <w:rPr>
          <w:spacing w:val="-6"/>
        </w:rPr>
        <w:t xml:space="preserve"> </w:t>
      </w:r>
      <w:r>
        <w:t>18.0%</w:t>
      </w:r>
      <w:r>
        <w:rPr>
          <w:spacing w:val="-7"/>
        </w:rPr>
        <w:t xml:space="preserve"> </w:t>
      </w:r>
      <w:r>
        <w:t>of</w:t>
      </w:r>
      <w:r>
        <w:rPr>
          <w:spacing w:val="-6"/>
        </w:rPr>
        <w:t xml:space="preserve"> </w:t>
      </w:r>
      <w:r>
        <w:t>LGBTQ</w:t>
      </w:r>
      <w:r>
        <w:rPr>
          <w:spacing w:val="-5"/>
        </w:rPr>
        <w:t xml:space="preserve"> </w:t>
      </w:r>
      <w:r>
        <w:t>youth</w:t>
      </w:r>
      <w:r>
        <w:rPr>
          <w:spacing w:val="-6"/>
        </w:rPr>
        <w:t xml:space="preserve"> </w:t>
      </w:r>
      <w:r>
        <w:t>and</w:t>
      </w:r>
      <w:r>
        <w:rPr>
          <w:spacing w:val="-6"/>
        </w:rPr>
        <w:t xml:space="preserve"> </w:t>
      </w:r>
      <w:r>
        <w:t>4.4%</w:t>
      </w:r>
      <w:r>
        <w:rPr>
          <w:spacing w:val="-5"/>
        </w:rPr>
        <w:t xml:space="preserve"> </w:t>
      </w:r>
      <w:r>
        <w:t>of</w:t>
      </w:r>
      <w:r>
        <w:rPr>
          <w:spacing w:val="-6"/>
        </w:rPr>
        <w:t xml:space="preserve"> </w:t>
      </w:r>
      <w:r>
        <w:t>het-cis</w:t>
      </w:r>
      <w:r>
        <w:rPr>
          <w:spacing w:val="-6"/>
        </w:rPr>
        <w:t xml:space="preserve"> </w:t>
      </w:r>
      <w:r>
        <w:t>youth</w:t>
      </w:r>
      <w:r>
        <w:rPr>
          <w:spacing w:val="-4"/>
        </w:rPr>
        <w:t xml:space="preserve"> </w:t>
      </w:r>
      <w:r>
        <w:t>attempted</w:t>
      </w:r>
      <w:r>
        <w:rPr>
          <w:spacing w:val="-4"/>
        </w:rPr>
        <w:t xml:space="preserve"> </w:t>
      </w:r>
      <w:r>
        <w:t>suicide.</w:t>
      </w:r>
    </w:p>
    <w:p w:rsidR="00200FDA" w:rsidRDefault="00200FDA">
      <w:pPr>
        <w:pStyle w:val="BodyText"/>
      </w:pPr>
    </w:p>
    <w:p w:rsidR="00200FDA" w:rsidRDefault="00200FDA">
      <w:pPr>
        <w:pStyle w:val="BodyText"/>
      </w:pPr>
    </w:p>
    <w:p w:rsidR="00200FDA" w:rsidRDefault="00F76C4C">
      <w:pPr>
        <w:pStyle w:val="Heading8"/>
        <w:spacing w:before="174"/>
      </w:pPr>
      <w:bookmarkStart w:id="58" w:name="Adverse_Household_and_Mental_Health_Expe"/>
      <w:bookmarkEnd w:id="58"/>
      <w:r>
        <w:rPr>
          <w:color w:val="0A5293"/>
        </w:rPr>
        <w:t>Adverse</w:t>
      </w:r>
      <w:r>
        <w:rPr>
          <w:color w:val="0A5293"/>
          <w:spacing w:val="-1"/>
        </w:rPr>
        <w:t xml:space="preserve"> </w:t>
      </w:r>
      <w:r>
        <w:rPr>
          <w:color w:val="0A5293"/>
        </w:rPr>
        <w:t>Household</w:t>
      </w:r>
      <w:r>
        <w:rPr>
          <w:color w:val="0A5293"/>
          <w:spacing w:val="-3"/>
        </w:rPr>
        <w:t xml:space="preserve"> </w:t>
      </w:r>
      <w:r>
        <w:rPr>
          <w:color w:val="0A5293"/>
        </w:rPr>
        <w:t>and</w:t>
      </w:r>
      <w:r>
        <w:rPr>
          <w:color w:val="0A5293"/>
          <w:spacing w:val="-4"/>
        </w:rPr>
        <w:t xml:space="preserve"> </w:t>
      </w:r>
      <w:r>
        <w:rPr>
          <w:color w:val="0A5293"/>
        </w:rPr>
        <w:t>Mental</w:t>
      </w:r>
      <w:r>
        <w:rPr>
          <w:color w:val="0A5293"/>
          <w:spacing w:val="-1"/>
        </w:rPr>
        <w:t xml:space="preserve"> </w:t>
      </w:r>
      <w:r>
        <w:rPr>
          <w:color w:val="0A5293"/>
        </w:rPr>
        <w:t>Health</w:t>
      </w:r>
      <w:r>
        <w:rPr>
          <w:color w:val="0A5293"/>
          <w:spacing w:val="-2"/>
        </w:rPr>
        <w:t xml:space="preserve"> Experiences</w:t>
      </w:r>
    </w:p>
    <w:p w:rsidR="00200FDA" w:rsidRDefault="00200FDA">
      <w:pPr>
        <w:pStyle w:val="BodyText"/>
        <w:spacing w:before="7"/>
        <w:rPr>
          <w:sz w:val="19"/>
        </w:rPr>
      </w:pPr>
    </w:p>
    <w:p w:rsidR="00200FDA" w:rsidRDefault="00F76C4C">
      <w:pPr>
        <w:pStyle w:val="BodyText"/>
        <w:spacing w:line="276" w:lineRule="auto"/>
        <w:ind w:left="139" w:right="133"/>
        <w:jc w:val="both"/>
      </w:pPr>
      <w:r>
        <w:t>In</w:t>
      </w:r>
      <w:r>
        <w:rPr>
          <w:spacing w:val="-3"/>
        </w:rPr>
        <w:t xml:space="preserve"> </w:t>
      </w:r>
      <w:r>
        <w:t>2021,</w:t>
      </w:r>
      <w:r>
        <w:rPr>
          <w:spacing w:val="-2"/>
        </w:rPr>
        <w:t xml:space="preserve"> </w:t>
      </w:r>
      <w:r>
        <w:t>the</w:t>
      </w:r>
      <w:r>
        <w:rPr>
          <w:spacing w:val="-1"/>
        </w:rPr>
        <w:t xml:space="preserve"> </w:t>
      </w:r>
      <w:r>
        <w:t>MYRBS</w:t>
      </w:r>
      <w:r>
        <w:rPr>
          <w:spacing w:val="-2"/>
        </w:rPr>
        <w:t xml:space="preserve"> </w:t>
      </w:r>
      <w:r>
        <w:t>included</w:t>
      </w:r>
      <w:r>
        <w:rPr>
          <w:spacing w:val="-3"/>
        </w:rPr>
        <w:t xml:space="preserve"> </w:t>
      </w:r>
      <w:r>
        <w:t>several</w:t>
      </w:r>
      <w:r>
        <w:rPr>
          <w:spacing w:val="-2"/>
        </w:rPr>
        <w:t xml:space="preserve"> </w:t>
      </w:r>
      <w:r>
        <w:t>new</w:t>
      </w:r>
      <w:r>
        <w:rPr>
          <w:spacing w:val="-1"/>
        </w:rPr>
        <w:t xml:space="preserve"> </w:t>
      </w:r>
      <w:r>
        <w:t>questions</w:t>
      </w:r>
      <w:r>
        <w:rPr>
          <w:spacing w:val="-2"/>
        </w:rPr>
        <w:t xml:space="preserve"> </w:t>
      </w:r>
      <w:r>
        <w:t>about</w:t>
      </w:r>
      <w:r>
        <w:rPr>
          <w:spacing w:val="-1"/>
        </w:rPr>
        <w:t xml:space="preserve"> </w:t>
      </w:r>
      <w:r>
        <w:t>COVID-19</w:t>
      </w:r>
      <w:r>
        <w:rPr>
          <w:spacing w:val="-1"/>
        </w:rPr>
        <w:t xml:space="preserve"> </w:t>
      </w:r>
      <w:r>
        <w:t>and</w:t>
      </w:r>
      <w:r>
        <w:rPr>
          <w:spacing w:val="-3"/>
        </w:rPr>
        <w:t xml:space="preserve"> </w:t>
      </w:r>
      <w:r>
        <w:t>other</w:t>
      </w:r>
      <w:r>
        <w:rPr>
          <w:spacing w:val="-2"/>
        </w:rPr>
        <w:t xml:space="preserve"> </w:t>
      </w:r>
      <w:r>
        <w:t>adverse</w:t>
      </w:r>
      <w:r>
        <w:rPr>
          <w:spacing w:val="-3"/>
        </w:rPr>
        <w:t xml:space="preserve"> </w:t>
      </w:r>
      <w:r>
        <w:t>experiences,</w:t>
      </w:r>
      <w:r>
        <w:rPr>
          <w:spacing w:val="-2"/>
        </w:rPr>
        <w:t xml:space="preserve"> </w:t>
      </w:r>
      <w:r>
        <w:t>and the</w:t>
      </w:r>
      <w:r>
        <w:rPr>
          <w:spacing w:val="-8"/>
        </w:rPr>
        <w:t xml:space="preserve"> </w:t>
      </w:r>
      <w:r>
        <w:t>results</w:t>
      </w:r>
      <w:r>
        <w:rPr>
          <w:spacing w:val="-11"/>
        </w:rPr>
        <w:t xml:space="preserve"> </w:t>
      </w:r>
      <w:r>
        <w:t>of</w:t>
      </w:r>
      <w:r>
        <w:rPr>
          <w:spacing w:val="-9"/>
        </w:rPr>
        <w:t xml:space="preserve"> </w:t>
      </w:r>
      <w:r>
        <w:t>comparative</w:t>
      </w:r>
      <w:r>
        <w:rPr>
          <w:spacing w:val="-11"/>
        </w:rPr>
        <w:t xml:space="preserve"> </w:t>
      </w:r>
      <w:r>
        <w:t>analyses</w:t>
      </w:r>
      <w:r>
        <w:rPr>
          <w:spacing w:val="-9"/>
        </w:rPr>
        <w:t xml:space="preserve"> </w:t>
      </w:r>
      <w:r>
        <w:t>for</w:t>
      </w:r>
      <w:r>
        <w:rPr>
          <w:spacing w:val="-9"/>
        </w:rPr>
        <w:t xml:space="preserve"> </w:t>
      </w:r>
      <w:r>
        <w:t>LGBTQ</w:t>
      </w:r>
      <w:r>
        <w:rPr>
          <w:spacing w:val="-9"/>
        </w:rPr>
        <w:t xml:space="preserve"> </w:t>
      </w:r>
      <w:r>
        <w:t>and</w:t>
      </w:r>
      <w:r>
        <w:rPr>
          <w:spacing w:val="-10"/>
        </w:rPr>
        <w:t xml:space="preserve"> </w:t>
      </w:r>
      <w:r>
        <w:t>het-cis</w:t>
      </w:r>
      <w:r>
        <w:rPr>
          <w:spacing w:val="-9"/>
        </w:rPr>
        <w:t xml:space="preserve"> </w:t>
      </w:r>
      <w:r>
        <w:t>youth</w:t>
      </w:r>
      <w:r>
        <w:rPr>
          <w:spacing w:val="-10"/>
        </w:rPr>
        <w:t xml:space="preserve"> </w:t>
      </w:r>
      <w:r>
        <w:t>are</w:t>
      </w:r>
      <w:r>
        <w:rPr>
          <w:spacing w:val="-9"/>
        </w:rPr>
        <w:t xml:space="preserve"> </w:t>
      </w:r>
      <w:r>
        <w:t>provided</w:t>
      </w:r>
      <w:r>
        <w:rPr>
          <w:spacing w:val="-10"/>
        </w:rPr>
        <w:t xml:space="preserve"> </w:t>
      </w:r>
      <w:r>
        <w:t>in</w:t>
      </w:r>
      <w:r>
        <w:rPr>
          <w:spacing w:val="-10"/>
        </w:rPr>
        <w:t xml:space="preserve"> </w:t>
      </w:r>
      <w:r>
        <w:t>Table</w:t>
      </w:r>
      <w:r>
        <w:rPr>
          <w:spacing w:val="-9"/>
        </w:rPr>
        <w:t xml:space="preserve"> </w:t>
      </w:r>
      <w:r>
        <w:t>1.</w:t>
      </w:r>
      <w:r>
        <w:rPr>
          <w:spacing w:val="-9"/>
        </w:rPr>
        <w:t xml:space="preserve"> </w:t>
      </w:r>
      <w:r>
        <w:t>The</w:t>
      </w:r>
      <w:r>
        <w:rPr>
          <w:spacing w:val="-8"/>
        </w:rPr>
        <w:t xml:space="preserve"> </w:t>
      </w:r>
      <w:r>
        <w:t>survey</w:t>
      </w:r>
      <w:r>
        <w:rPr>
          <w:spacing w:val="-8"/>
        </w:rPr>
        <w:t xml:space="preserve"> </w:t>
      </w:r>
      <w:r>
        <w:t>asked youth,</w:t>
      </w:r>
      <w:r>
        <w:rPr>
          <w:spacing w:val="-13"/>
        </w:rPr>
        <w:t xml:space="preserve"> </w:t>
      </w:r>
      <w:r>
        <w:t>“During</w:t>
      </w:r>
      <w:r>
        <w:rPr>
          <w:spacing w:val="-11"/>
        </w:rPr>
        <w:t xml:space="preserve"> </w:t>
      </w:r>
      <w:r>
        <w:t>the</w:t>
      </w:r>
      <w:r>
        <w:rPr>
          <w:spacing w:val="-10"/>
        </w:rPr>
        <w:t xml:space="preserve"> </w:t>
      </w:r>
      <w:r>
        <w:t>COVID-19</w:t>
      </w:r>
      <w:r>
        <w:rPr>
          <w:spacing w:val="-9"/>
        </w:rPr>
        <w:t xml:space="preserve"> </w:t>
      </w:r>
      <w:r>
        <w:t>pandemic,</w:t>
      </w:r>
      <w:r>
        <w:rPr>
          <w:spacing w:val="-10"/>
        </w:rPr>
        <w:t xml:space="preserve"> </w:t>
      </w:r>
      <w:r>
        <w:t>how</w:t>
      </w:r>
      <w:r>
        <w:rPr>
          <w:spacing w:val="-12"/>
        </w:rPr>
        <w:t xml:space="preserve"> </w:t>
      </w:r>
      <w:r>
        <w:t>often</w:t>
      </w:r>
      <w:r>
        <w:rPr>
          <w:spacing w:val="-11"/>
        </w:rPr>
        <w:t xml:space="preserve"> </w:t>
      </w:r>
      <w:r>
        <w:t>was</w:t>
      </w:r>
      <w:r>
        <w:rPr>
          <w:spacing w:val="-13"/>
        </w:rPr>
        <w:t xml:space="preserve"> </w:t>
      </w:r>
      <w:r>
        <w:t>your</w:t>
      </w:r>
      <w:r>
        <w:rPr>
          <w:spacing w:val="-12"/>
        </w:rPr>
        <w:t xml:space="preserve"> </w:t>
      </w:r>
      <w:r>
        <w:t>mental</w:t>
      </w:r>
      <w:r>
        <w:rPr>
          <w:spacing w:val="-11"/>
        </w:rPr>
        <w:t xml:space="preserve"> </w:t>
      </w:r>
      <w:r>
        <w:t>health</w:t>
      </w:r>
      <w:r>
        <w:rPr>
          <w:spacing w:val="-11"/>
        </w:rPr>
        <w:t xml:space="preserve"> </w:t>
      </w:r>
      <w:r>
        <w:t>not</w:t>
      </w:r>
      <w:r>
        <w:rPr>
          <w:spacing w:val="-10"/>
        </w:rPr>
        <w:t xml:space="preserve"> </w:t>
      </w:r>
      <w:r>
        <w:t>good?</w:t>
      </w:r>
      <w:r>
        <w:rPr>
          <w:spacing w:val="-9"/>
        </w:rPr>
        <w:t xml:space="preserve"> </w:t>
      </w:r>
      <w:r>
        <w:t>(Poor</w:t>
      </w:r>
      <w:r>
        <w:rPr>
          <w:spacing w:val="-13"/>
        </w:rPr>
        <w:t xml:space="preserve"> </w:t>
      </w:r>
      <w:r>
        <w:t>mental</w:t>
      </w:r>
      <w:r>
        <w:rPr>
          <w:spacing w:val="-11"/>
        </w:rPr>
        <w:t xml:space="preserve"> </w:t>
      </w:r>
      <w:r>
        <w:t>health includes stress, anxiety, and depression.)” Poor mental health status is strongly associated with LGBTQ identity</w:t>
      </w:r>
      <w:r>
        <w:rPr>
          <w:spacing w:val="-11"/>
        </w:rPr>
        <w:t xml:space="preserve"> </w:t>
      </w:r>
      <w:r>
        <w:t>(p&lt;.001).</w:t>
      </w:r>
      <w:r>
        <w:rPr>
          <w:spacing w:val="-11"/>
        </w:rPr>
        <w:t xml:space="preserve"> </w:t>
      </w:r>
      <w:r>
        <w:t>As</w:t>
      </w:r>
      <w:r>
        <w:rPr>
          <w:spacing w:val="-10"/>
        </w:rPr>
        <w:t xml:space="preserve"> </w:t>
      </w:r>
      <w:r>
        <w:t>represented</w:t>
      </w:r>
      <w:r>
        <w:rPr>
          <w:spacing w:val="-11"/>
        </w:rPr>
        <w:t xml:space="preserve"> </w:t>
      </w:r>
      <w:r>
        <w:t>in</w:t>
      </w:r>
      <w:r>
        <w:rPr>
          <w:spacing w:val="-11"/>
        </w:rPr>
        <w:t xml:space="preserve"> </w:t>
      </w:r>
      <w:r>
        <w:t>Figure</w:t>
      </w:r>
      <w:r>
        <w:rPr>
          <w:spacing w:val="-10"/>
        </w:rPr>
        <w:t xml:space="preserve"> </w:t>
      </w:r>
      <w:r>
        <w:t>4,</w:t>
      </w:r>
      <w:r>
        <w:rPr>
          <w:spacing w:val="-13"/>
        </w:rPr>
        <w:t xml:space="preserve"> </w:t>
      </w:r>
      <w:r>
        <w:t>only</w:t>
      </w:r>
      <w:r>
        <w:rPr>
          <w:spacing w:val="-10"/>
        </w:rPr>
        <w:t xml:space="preserve"> </w:t>
      </w:r>
      <w:r>
        <w:t>4.5%</w:t>
      </w:r>
      <w:r>
        <w:rPr>
          <w:spacing w:val="-12"/>
        </w:rPr>
        <w:t xml:space="preserve"> </w:t>
      </w:r>
      <w:r>
        <w:t>of</w:t>
      </w:r>
      <w:r>
        <w:rPr>
          <w:spacing w:val="-11"/>
        </w:rPr>
        <w:t xml:space="preserve"> </w:t>
      </w:r>
      <w:r>
        <w:t>LGBTQ</w:t>
      </w:r>
      <w:r>
        <w:rPr>
          <w:spacing w:val="-10"/>
        </w:rPr>
        <w:t xml:space="preserve"> </w:t>
      </w:r>
      <w:r>
        <w:t>youth</w:t>
      </w:r>
      <w:r>
        <w:rPr>
          <w:spacing w:val="-11"/>
        </w:rPr>
        <w:t xml:space="preserve"> </w:t>
      </w:r>
      <w:r>
        <w:t>said</w:t>
      </w:r>
      <w:r>
        <w:rPr>
          <w:spacing w:val="-11"/>
        </w:rPr>
        <w:t xml:space="preserve"> </w:t>
      </w:r>
      <w:r>
        <w:t>their</w:t>
      </w:r>
      <w:r>
        <w:rPr>
          <w:spacing w:val="-13"/>
        </w:rPr>
        <w:t xml:space="preserve"> </w:t>
      </w:r>
      <w:r>
        <w:t>mental</w:t>
      </w:r>
      <w:r>
        <w:rPr>
          <w:spacing w:val="-11"/>
        </w:rPr>
        <w:t xml:space="preserve"> </w:t>
      </w:r>
      <w:r>
        <w:t>health</w:t>
      </w:r>
      <w:r>
        <w:rPr>
          <w:spacing w:val="-11"/>
        </w:rPr>
        <w:t xml:space="preserve"> </w:t>
      </w:r>
      <w:r>
        <w:t>was</w:t>
      </w:r>
      <w:r>
        <w:rPr>
          <w:spacing w:val="-10"/>
        </w:rPr>
        <w:t xml:space="preserve"> </w:t>
      </w:r>
      <w:r>
        <w:t>never not good,</w:t>
      </w:r>
      <w:r>
        <w:rPr>
          <w:spacing w:val="-1"/>
        </w:rPr>
        <w:t xml:space="preserve"> </w:t>
      </w:r>
      <w:r>
        <w:t>8.0% said it</w:t>
      </w:r>
      <w:r>
        <w:rPr>
          <w:spacing w:val="-1"/>
        </w:rPr>
        <w:t xml:space="preserve"> </w:t>
      </w:r>
      <w:r>
        <w:t>was</w:t>
      </w:r>
      <w:r>
        <w:rPr>
          <w:spacing w:val="-3"/>
        </w:rPr>
        <w:t xml:space="preserve"> </w:t>
      </w:r>
      <w:r>
        <w:t>rarely not good,</w:t>
      </w:r>
      <w:r>
        <w:rPr>
          <w:spacing w:val="-1"/>
        </w:rPr>
        <w:t xml:space="preserve"> </w:t>
      </w:r>
      <w:r>
        <w:t>21.0% said</w:t>
      </w:r>
      <w:r>
        <w:rPr>
          <w:spacing w:val="-2"/>
        </w:rPr>
        <w:t xml:space="preserve"> </w:t>
      </w:r>
      <w:r>
        <w:t>it</w:t>
      </w:r>
      <w:r>
        <w:rPr>
          <w:spacing w:val="-1"/>
        </w:rPr>
        <w:t xml:space="preserve"> </w:t>
      </w:r>
      <w:r>
        <w:t>was sometimes not good, 35.5% said</w:t>
      </w:r>
      <w:r>
        <w:rPr>
          <w:spacing w:val="-2"/>
        </w:rPr>
        <w:t xml:space="preserve"> </w:t>
      </w:r>
      <w:r>
        <w:t>that it</w:t>
      </w:r>
      <w:r>
        <w:rPr>
          <w:spacing w:val="-1"/>
        </w:rPr>
        <w:t xml:space="preserve"> </w:t>
      </w:r>
      <w:r>
        <w:t>was not</w:t>
      </w:r>
      <w:r>
        <w:rPr>
          <w:spacing w:val="-5"/>
        </w:rPr>
        <w:t xml:space="preserve"> </w:t>
      </w:r>
      <w:r>
        <w:t>good</w:t>
      </w:r>
      <w:r>
        <w:rPr>
          <w:spacing w:val="-9"/>
        </w:rPr>
        <w:t xml:space="preserve"> </w:t>
      </w:r>
      <w:r>
        <w:t>most</w:t>
      </w:r>
      <w:r>
        <w:rPr>
          <w:spacing w:val="-8"/>
        </w:rPr>
        <w:t xml:space="preserve"> </w:t>
      </w:r>
      <w:r>
        <w:t>of</w:t>
      </w:r>
      <w:r>
        <w:rPr>
          <w:spacing w:val="-6"/>
        </w:rPr>
        <w:t xml:space="preserve"> </w:t>
      </w:r>
      <w:r>
        <w:t>the</w:t>
      </w:r>
      <w:r>
        <w:rPr>
          <w:spacing w:val="-7"/>
        </w:rPr>
        <w:t xml:space="preserve"> </w:t>
      </w:r>
      <w:r>
        <w:t>time,</w:t>
      </w:r>
      <w:r>
        <w:rPr>
          <w:spacing w:val="-8"/>
        </w:rPr>
        <w:t xml:space="preserve"> </w:t>
      </w:r>
      <w:r>
        <w:t>and</w:t>
      </w:r>
      <w:r>
        <w:rPr>
          <w:spacing w:val="-6"/>
        </w:rPr>
        <w:t xml:space="preserve"> </w:t>
      </w:r>
      <w:r>
        <w:t>31.0%</w:t>
      </w:r>
      <w:r>
        <w:rPr>
          <w:spacing w:val="-5"/>
        </w:rPr>
        <w:t xml:space="preserve"> </w:t>
      </w:r>
      <w:r>
        <w:t>said</w:t>
      </w:r>
      <w:r>
        <w:rPr>
          <w:spacing w:val="-6"/>
        </w:rPr>
        <w:t xml:space="preserve"> </w:t>
      </w:r>
      <w:r>
        <w:t>it</w:t>
      </w:r>
      <w:r>
        <w:rPr>
          <w:spacing w:val="-8"/>
        </w:rPr>
        <w:t xml:space="preserve"> </w:t>
      </w:r>
      <w:r>
        <w:t>was</w:t>
      </w:r>
      <w:r>
        <w:rPr>
          <w:spacing w:val="-6"/>
        </w:rPr>
        <w:t xml:space="preserve"> </w:t>
      </w:r>
      <w:r>
        <w:t>always</w:t>
      </w:r>
      <w:r>
        <w:rPr>
          <w:spacing w:val="-6"/>
        </w:rPr>
        <w:t xml:space="preserve"> </w:t>
      </w:r>
      <w:r>
        <w:t>not</w:t>
      </w:r>
      <w:r>
        <w:rPr>
          <w:spacing w:val="-5"/>
        </w:rPr>
        <w:t xml:space="preserve"> </w:t>
      </w:r>
      <w:r>
        <w:t>good.</w:t>
      </w:r>
      <w:r>
        <w:rPr>
          <w:spacing w:val="-6"/>
        </w:rPr>
        <w:t xml:space="preserve"> </w:t>
      </w:r>
      <w:r>
        <w:t>In</w:t>
      </w:r>
      <w:r>
        <w:rPr>
          <w:spacing w:val="-6"/>
        </w:rPr>
        <w:t xml:space="preserve"> </w:t>
      </w:r>
      <w:r>
        <w:t>contrast,</w:t>
      </w:r>
      <w:r>
        <w:rPr>
          <w:spacing w:val="-8"/>
        </w:rPr>
        <w:t xml:space="preserve"> </w:t>
      </w:r>
      <w:r>
        <w:t>21.9%</w:t>
      </w:r>
      <w:r>
        <w:rPr>
          <w:spacing w:val="-7"/>
        </w:rPr>
        <w:t xml:space="preserve"> </w:t>
      </w:r>
      <w:r>
        <w:t>of</w:t>
      </w:r>
      <w:r>
        <w:rPr>
          <w:spacing w:val="-6"/>
        </w:rPr>
        <w:t xml:space="preserve"> </w:t>
      </w:r>
      <w:r>
        <w:t>het-cis</w:t>
      </w:r>
      <w:r>
        <w:rPr>
          <w:spacing w:val="-6"/>
        </w:rPr>
        <w:t xml:space="preserve"> </w:t>
      </w:r>
      <w:r>
        <w:t>youth</w:t>
      </w:r>
      <w:r>
        <w:rPr>
          <w:spacing w:val="-6"/>
        </w:rPr>
        <w:t xml:space="preserve"> </w:t>
      </w:r>
      <w:r>
        <w:t>said that</w:t>
      </w:r>
      <w:r>
        <w:rPr>
          <w:spacing w:val="-4"/>
        </w:rPr>
        <w:t xml:space="preserve"> </w:t>
      </w:r>
      <w:r>
        <w:t>it</w:t>
      </w:r>
      <w:r>
        <w:rPr>
          <w:spacing w:val="-6"/>
        </w:rPr>
        <w:t xml:space="preserve"> </w:t>
      </w:r>
      <w:r>
        <w:t>was</w:t>
      </w:r>
      <w:r>
        <w:rPr>
          <w:spacing w:val="-7"/>
        </w:rPr>
        <w:t xml:space="preserve"> </w:t>
      </w:r>
      <w:r>
        <w:t>never</w:t>
      </w:r>
      <w:r>
        <w:rPr>
          <w:spacing w:val="-4"/>
        </w:rPr>
        <w:t xml:space="preserve"> </w:t>
      </w:r>
      <w:r>
        <w:t>not</w:t>
      </w:r>
      <w:r>
        <w:rPr>
          <w:spacing w:val="-4"/>
        </w:rPr>
        <w:t xml:space="preserve"> </w:t>
      </w:r>
      <w:r>
        <w:t>good,</w:t>
      </w:r>
      <w:r>
        <w:rPr>
          <w:spacing w:val="-7"/>
        </w:rPr>
        <w:t xml:space="preserve"> </w:t>
      </w:r>
      <w:r>
        <w:t>23.5%</w:t>
      </w:r>
      <w:r>
        <w:rPr>
          <w:spacing w:val="-4"/>
        </w:rPr>
        <w:t xml:space="preserve"> </w:t>
      </w:r>
      <w:r>
        <w:t>said</w:t>
      </w:r>
      <w:r>
        <w:rPr>
          <w:spacing w:val="-5"/>
        </w:rPr>
        <w:t xml:space="preserve"> </w:t>
      </w:r>
      <w:r>
        <w:t>it</w:t>
      </w:r>
      <w:r>
        <w:rPr>
          <w:spacing w:val="-6"/>
        </w:rPr>
        <w:t xml:space="preserve"> </w:t>
      </w:r>
      <w:r>
        <w:t>was</w:t>
      </w:r>
      <w:r>
        <w:rPr>
          <w:spacing w:val="-4"/>
        </w:rPr>
        <w:t xml:space="preserve"> </w:t>
      </w:r>
      <w:r>
        <w:t>rarely</w:t>
      </w:r>
      <w:r>
        <w:rPr>
          <w:spacing w:val="-6"/>
        </w:rPr>
        <w:t xml:space="preserve"> </w:t>
      </w:r>
      <w:r>
        <w:t>not</w:t>
      </w:r>
      <w:r>
        <w:rPr>
          <w:spacing w:val="-6"/>
        </w:rPr>
        <w:t xml:space="preserve"> </w:t>
      </w:r>
      <w:r>
        <w:t>good,</w:t>
      </w:r>
      <w:r>
        <w:rPr>
          <w:spacing w:val="-4"/>
        </w:rPr>
        <w:t xml:space="preserve"> </w:t>
      </w:r>
      <w:r>
        <w:t>25.9%</w:t>
      </w:r>
      <w:r>
        <w:rPr>
          <w:spacing w:val="-4"/>
        </w:rPr>
        <w:t xml:space="preserve"> </w:t>
      </w:r>
      <w:r>
        <w:t>sa</w:t>
      </w:r>
      <w:r>
        <w:t>id</w:t>
      </w:r>
      <w:r>
        <w:rPr>
          <w:spacing w:val="-7"/>
        </w:rPr>
        <w:t xml:space="preserve"> </w:t>
      </w:r>
      <w:r>
        <w:t>was</w:t>
      </w:r>
      <w:r>
        <w:rPr>
          <w:spacing w:val="-7"/>
        </w:rPr>
        <w:t xml:space="preserve"> </w:t>
      </w:r>
      <w:r>
        <w:t>sometimes</w:t>
      </w:r>
      <w:r>
        <w:rPr>
          <w:spacing w:val="-4"/>
        </w:rPr>
        <w:t xml:space="preserve"> </w:t>
      </w:r>
      <w:r>
        <w:t>not</w:t>
      </w:r>
      <w:r>
        <w:rPr>
          <w:spacing w:val="-4"/>
        </w:rPr>
        <w:t xml:space="preserve"> </w:t>
      </w:r>
      <w:r>
        <w:t>good,</w:t>
      </w:r>
      <w:r>
        <w:rPr>
          <w:spacing w:val="-7"/>
        </w:rPr>
        <w:t xml:space="preserve"> </w:t>
      </w:r>
      <w:r>
        <w:t>20.5% said that it was not good most of the time, and 8.3% said it was always not good.</w:t>
      </w:r>
    </w:p>
    <w:p w:rsidR="00200FDA" w:rsidRDefault="00200FDA">
      <w:pPr>
        <w:spacing w:line="276" w:lineRule="auto"/>
        <w:jc w:val="both"/>
        <w:sectPr w:rsidR="00200FDA">
          <w:pgSz w:w="12240" w:h="15840"/>
          <w:pgMar w:top="1360" w:right="1300" w:bottom="1260" w:left="1300" w:header="761" w:footer="1062" w:gutter="0"/>
          <w:cols w:space="720"/>
        </w:sectPr>
      </w:pPr>
    </w:p>
    <w:p w:rsidR="00200FDA" w:rsidRDefault="00200FDA">
      <w:pPr>
        <w:pStyle w:val="BodyText"/>
        <w:spacing w:before="7"/>
        <w:rPr>
          <w:sz w:val="4"/>
        </w:rPr>
      </w:pPr>
    </w:p>
    <w:p w:rsidR="00200FDA" w:rsidRDefault="00F76C4C">
      <w:pPr>
        <w:pStyle w:val="BodyText"/>
        <w:ind w:left="492"/>
        <w:rPr>
          <w:sz w:val="20"/>
        </w:rPr>
      </w:pPr>
      <w:r>
        <w:rPr>
          <w:sz w:val="20"/>
        </w:rPr>
      </w:r>
      <w:r>
        <w:rPr>
          <w:sz w:val="20"/>
        </w:rPr>
        <w:pict>
          <v:group id="docshapegroup121" o:spid="_x0000_s1413" style="width:432.75pt;height:252.75pt;mso-position-horizontal-relative:char;mso-position-vertical-relative:line" coordsize="8655,5055">
            <v:shape id="docshape122" o:spid="_x0000_s1433" style="position:absolute;left:486;top:1315;width:7941;height:2074" coordorigin="487,1316" coordsize="7941,2074" o:spt="100" adj="0,,0" path="m487,3389r2064,m3187,3389r953,m4775,3389r953,m6363,3389r953,m4775,2871r953,m6363,2871r953,m4775,2352r953,m6363,2352r953,m4775,1834r953,m6363,1834r2065,m487,1316r5241,m6363,1316r2065,e" filled="f" strokecolor="#d0e1f5">
              <v:stroke joinstyle="round"/>
              <v:formulas/>
              <v:path arrowok="t" o:connecttype="segments"/>
            </v:shape>
            <v:shape id="docshape123" o:spid="_x0000_s1432" type="#_x0000_t75" style="position:absolute;left:5727;top:1005;width:636;height:2902">
              <v:imagedata r:id="rId50" o:title=""/>
            </v:shape>
            <v:shape id="docshape124" o:spid="_x0000_s1431" style="position:absolute;left:486;top:1833;width:3653;height:1037" coordorigin="487,1834" coordsize="3653,1037" o:spt="100" adj="0,,0" path="m3187,2871r953,m3187,2352r953,m487,1834r3653,e" filled="f" strokecolor="#d0e1f5">
              <v:stroke joinstyle="round"/>
              <v:formulas/>
              <v:path arrowok="t" o:connecttype="segments"/>
            </v:shape>
            <v:shape id="docshape125" o:spid="_x0000_s1430" type="#_x0000_t75" style="position:absolute;left:4139;top:1476;width:636;height:2430">
              <v:imagedata r:id="rId51" o:title=""/>
            </v:shape>
            <v:shape id="docshape126" o:spid="_x0000_s1429" style="position:absolute;left:486;top:2352;width:2065;height:519" coordorigin="487,2352" coordsize="2065,519" o:spt="100" adj="0,,0" path="m487,2871r2064,m487,2352r2064,e" filled="f" strokecolor="#d0e1f5">
              <v:stroke joinstyle="round"/>
              <v:formulas/>
              <v:path arrowok="t" o:connecttype="segments"/>
            </v:shape>
            <v:shape id="docshape127" o:spid="_x0000_s1428" type="#_x0000_t75" style="position:absolute;left:2551;top:2274;width:636;height:1632">
              <v:imagedata r:id="rId52" o:title=""/>
            </v:shape>
            <v:shape id="docshape128" o:spid="_x0000_s1427" type="#_x0000_t75" style="position:absolute;left:963;top:2538;width:636;height:1368">
              <v:imagedata r:id="rId53" o:title=""/>
            </v:shape>
            <v:shape id="docshape129" o:spid="_x0000_s1426" style="position:absolute;left:7951;top:2352;width:477;height:1037" coordorigin="7951,2352" coordsize="477,1037" o:spt="100" adj="0,,0" path="m7951,3389r477,m7951,2871r477,m7951,2352r477,e" filled="f" strokecolor="#d0e1f5">
              <v:stroke joinstyle="round"/>
              <v:formulas/>
              <v:path arrowok="t" o:connecttype="segments"/>
            </v:shape>
            <v:shape id="docshape130" o:spid="_x0000_s1425" type="#_x0000_t75" style="position:absolute;left:7315;top:1870;width:636;height:2036">
              <v:imagedata r:id="rId54" o:title=""/>
            </v:shape>
            <v:line id="_x0000_s1424" style="position:absolute" from="487,3906" to="8428,3906" strokecolor="#d0e1f5"/>
            <v:line id="_x0000_s1423" style="position:absolute" from="487,798" to="8428,798" strokecolor="#d0e1f5"/>
            <v:shape id="docshape131" o:spid="_x0000_s1422" type="#_x0000_t75" style="position:absolute;left:3132;top:4709;width:99;height:99">
              <v:imagedata r:id="rId28" o:title=""/>
            </v:shape>
            <v:shape id="docshape132" o:spid="_x0000_s1421" type="#_x0000_t75" style="position:absolute;left:4456;top:4709;width:99;height:99">
              <v:imagedata r:id="rId29" o:title=""/>
            </v:shape>
            <v:rect id="docshape133" o:spid="_x0000_s1420" style="position:absolute;left:7;top:7;width:8640;height:5040" filled="f" strokecolor="#d0e1f5"/>
            <v:shape id="docshape134" o:spid="_x0000_s1419" type="#_x0000_t202" style="position:absolute;left:2316;top:222;width:4041;height:320" filled="f" stroked="f">
              <v:textbox inset="0,0,0,0">
                <w:txbxContent>
                  <w:p w:rsidR="00200FDA" w:rsidRDefault="00F76C4C">
                    <w:pPr>
                      <w:spacing w:line="319" w:lineRule="exact"/>
                      <w:rPr>
                        <w:b/>
                        <w:sz w:val="32"/>
                      </w:rPr>
                    </w:pPr>
                    <w:r>
                      <w:rPr>
                        <w:b/>
                        <w:color w:val="16406C"/>
                        <w:sz w:val="32"/>
                      </w:rPr>
                      <w:t>Figure</w:t>
                    </w:r>
                    <w:r>
                      <w:rPr>
                        <w:b/>
                        <w:color w:val="16406C"/>
                        <w:spacing w:val="-10"/>
                        <w:sz w:val="32"/>
                      </w:rPr>
                      <w:t xml:space="preserve"> </w:t>
                    </w:r>
                    <w:r>
                      <w:rPr>
                        <w:b/>
                        <w:color w:val="16406C"/>
                        <w:sz w:val="32"/>
                      </w:rPr>
                      <w:t>4:</w:t>
                    </w:r>
                    <w:r>
                      <w:rPr>
                        <w:b/>
                        <w:color w:val="16406C"/>
                        <w:spacing w:val="-11"/>
                        <w:sz w:val="32"/>
                      </w:rPr>
                      <w:t xml:space="preserve"> </w:t>
                    </w:r>
                    <w:r>
                      <w:rPr>
                        <w:b/>
                        <w:color w:val="16406C"/>
                        <w:sz w:val="32"/>
                      </w:rPr>
                      <w:t>Mental</w:t>
                    </w:r>
                    <w:r>
                      <w:rPr>
                        <w:b/>
                        <w:color w:val="16406C"/>
                        <w:spacing w:val="-10"/>
                        <w:sz w:val="32"/>
                      </w:rPr>
                      <w:t xml:space="preserve"> </w:t>
                    </w:r>
                    <w:r>
                      <w:rPr>
                        <w:b/>
                        <w:color w:val="16406C"/>
                        <w:sz w:val="32"/>
                      </w:rPr>
                      <w:t>Health</w:t>
                    </w:r>
                    <w:r>
                      <w:rPr>
                        <w:b/>
                        <w:color w:val="16406C"/>
                        <w:spacing w:val="-11"/>
                        <w:sz w:val="32"/>
                      </w:rPr>
                      <w:t xml:space="preserve"> </w:t>
                    </w:r>
                    <w:r>
                      <w:rPr>
                        <w:b/>
                        <w:color w:val="16406C"/>
                        <w:spacing w:val="-2"/>
                        <w:sz w:val="32"/>
                      </w:rPr>
                      <w:t>Status</w:t>
                    </w:r>
                  </w:p>
                </w:txbxContent>
              </v:textbox>
            </v:shape>
            <v:shape id="docshape135" o:spid="_x0000_s1418" type="#_x0000_t202" style="position:absolute;left:137;top:713;width:203;height:3289" filled="f" stroked="f">
              <v:textbox inset="0,0,0,0">
                <w:txbxContent>
                  <w:p w:rsidR="00200FDA" w:rsidRDefault="00F76C4C">
                    <w:pPr>
                      <w:spacing w:line="183" w:lineRule="exact"/>
                      <w:rPr>
                        <w:sz w:val="18"/>
                      </w:rPr>
                    </w:pPr>
                    <w:r>
                      <w:rPr>
                        <w:color w:val="16406C"/>
                        <w:spacing w:val="-5"/>
                        <w:sz w:val="18"/>
                      </w:rPr>
                      <w:t>60</w:t>
                    </w:r>
                  </w:p>
                  <w:p w:rsidR="00200FDA" w:rsidRDefault="00200FDA">
                    <w:pPr>
                      <w:spacing w:before="5"/>
                      <w:rPr>
                        <w:sz w:val="24"/>
                      </w:rPr>
                    </w:pPr>
                  </w:p>
                  <w:p w:rsidR="00200FDA" w:rsidRDefault="00F76C4C">
                    <w:pPr>
                      <w:rPr>
                        <w:sz w:val="18"/>
                      </w:rPr>
                    </w:pPr>
                    <w:r>
                      <w:rPr>
                        <w:color w:val="16406C"/>
                        <w:spacing w:val="-5"/>
                        <w:sz w:val="18"/>
                      </w:rPr>
                      <w:t>50</w:t>
                    </w:r>
                  </w:p>
                  <w:p w:rsidR="00200FDA" w:rsidRDefault="00200FDA">
                    <w:pPr>
                      <w:spacing w:before="5"/>
                      <w:rPr>
                        <w:sz w:val="24"/>
                      </w:rPr>
                    </w:pPr>
                  </w:p>
                  <w:p w:rsidR="00200FDA" w:rsidRDefault="00F76C4C">
                    <w:pPr>
                      <w:rPr>
                        <w:sz w:val="18"/>
                      </w:rPr>
                    </w:pPr>
                    <w:r>
                      <w:rPr>
                        <w:color w:val="16406C"/>
                        <w:spacing w:val="-5"/>
                        <w:sz w:val="18"/>
                      </w:rPr>
                      <w:t>40</w:t>
                    </w:r>
                  </w:p>
                  <w:p w:rsidR="00200FDA" w:rsidRDefault="00200FDA">
                    <w:pPr>
                      <w:spacing w:before="6"/>
                      <w:rPr>
                        <w:sz w:val="24"/>
                      </w:rPr>
                    </w:pPr>
                  </w:p>
                  <w:p w:rsidR="00200FDA" w:rsidRDefault="00F76C4C">
                    <w:pPr>
                      <w:rPr>
                        <w:sz w:val="18"/>
                      </w:rPr>
                    </w:pPr>
                    <w:r>
                      <w:rPr>
                        <w:color w:val="16406C"/>
                        <w:spacing w:val="-5"/>
                        <w:sz w:val="18"/>
                      </w:rPr>
                      <w:t>30</w:t>
                    </w:r>
                  </w:p>
                  <w:p w:rsidR="00200FDA" w:rsidRDefault="00200FDA">
                    <w:pPr>
                      <w:spacing w:before="5"/>
                      <w:rPr>
                        <w:sz w:val="24"/>
                      </w:rPr>
                    </w:pPr>
                  </w:p>
                  <w:p w:rsidR="00200FDA" w:rsidRDefault="00F76C4C">
                    <w:pPr>
                      <w:rPr>
                        <w:sz w:val="18"/>
                      </w:rPr>
                    </w:pPr>
                    <w:r>
                      <w:rPr>
                        <w:color w:val="16406C"/>
                        <w:spacing w:val="-5"/>
                        <w:sz w:val="18"/>
                      </w:rPr>
                      <w:t>20</w:t>
                    </w:r>
                  </w:p>
                  <w:p w:rsidR="00200FDA" w:rsidRDefault="00200FDA">
                    <w:pPr>
                      <w:spacing w:before="5"/>
                      <w:rPr>
                        <w:sz w:val="24"/>
                      </w:rPr>
                    </w:pPr>
                  </w:p>
                  <w:p w:rsidR="00200FDA" w:rsidRDefault="00F76C4C">
                    <w:pPr>
                      <w:rPr>
                        <w:sz w:val="18"/>
                      </w:rPr>
                    </w:pPr>
                    <w:r>
                      <w:rPr>
                        <w:color w:val="16406C"/>
                        <w:spacing w:val="-5"/>
                        <w:sz w:val="18"/>
                      </w:rPr>
                      <w:t>10</w:t>
                    </w:r>
                  </w:p>
                  <w:p w:rsidR="00200FDA" w:rsidRDefault="00200FDA">
                    <w:pPr>
                      <w:spacing w:before="6"/>
                      <w:rPr>
                        <w:sz w:val="24"/>
                      </w:rPr>
                    </w:pPr>
                  </w:p>
                  <w:p w:rsidR="00200FDA" w:rsidRDefault="00F76C4C">
                    <w:pPr>
                      <w:spacing w:line="216" w:lineRule="exact"/>
                      <w:ind w:left="91"/>
                      <w:rPr>
                        <w:sz w:val="18"/>
                      </w:rPr>
                    </w:pPr>
                    <w:r>
                      <w:rPr>
                        <w:color w:val="16406C"/>
                        <w:sz w:val="18"/>
                      </w:rPr>
                      <w:t>0</w:t>
                    </w:r>
                  </w:p>
                </w:txbxContent>
              </v:textbox>
            </v:shape>
            <v:shape id="docshape136" o:spid="_x0000_s1417" type="#_x0000_t202" style="position:absolute;left:685;top:4055;width:1212;height:180" filled="f" stroked="f">
              <v:textbox inset="0,0,0,0">
                <w:txbxContent>
                  <w:p w:rsidR="00200FDA" w:rsidRDefault="00F76C4C">
                    <w:pPr>
                      <w:spacing w:line="180" w:lineRule="exact"/>
                      <w:rPr>
                        <w:sz w:val="18"/>
                      </w:rPr>
                    </w:pPr>
                    <w:r>
                      <w:rPr>
                        <w:color w:val="16406C"/>
                        <w:sz w:val="18"/>
                      </w:rPr>
                      <w:t>Never</w:t>
                    </w:r>
                    <w:r>
                      <w:rPr>
                        <w:color w:val="16406C"/>
                        <w:spacing w:val="-2"/>
                        <w:sz w:val="18"/>
                      </w:rPr>
                      <w:t xml:space="preserve"> </w:t>
                    </w:r>
                    <w:r>
                      <w:rPr>
                        <w:color w:val="16406C"/>
                        <w:sz w:val="18"/>
                      </w:rPr>
                      <w:t>Not</w:t>
                    </w:r>
                    <w:r>
                      <w:rPr>
                        <w:color w:val="16406C"/>
                        <w:spacing w:val="-2"/>
                        <w:sz w:val="18"/>
                      </w:rPr>
                      <w:t xml:space="preserve"> </w:t>
                    </w:r>
                    <w:r>
                      <w:rPr>
                        <w:color w:val="16406C"/>
                        <w:spacing w:val="-4"/>
                        <w:sz w:val="18"/>
                      </w:rPr>
                      <w:t>Good</w:t>
                    </w:r>
                  </w:p>
                </w:txbxContent>
              </v:textbox>
            </v:shape>
            <v:shape id="docshape137" o:spid="_x0000_s1416" type="#_x0000_t202" style="position:absolute;left:2263;top:4055;width:4461;height:400" filled="f" stroked="f">
              <v:textbox inset="0,0,0,0">
                <w:txbxContent>
                  <w:p w:rsidR="00200FDA" w:rsidRDefault="00F76C4C">
                    <w:pPr>
                      <w:spacing w:line="183" w:lineRule="exact"/>
                      <w:rPr>
                        <w:sz w:val="18"/>
                      </w:rPr>
                    </w:pPr>
                    <w:r>
                      <w:rPr>
                        <w:color w:val="16406C"/>
                        <w:sz w:val="18"/>
                      </w:rPr>
                      <w:t>Rarely</w:t>
                    </w:r>
                    <w:r>
                      <w:rPr>
                        <w:color w:val="16406C"/>
                        <w:spacing w:val="-1"/>
                        <w:sz w:val="18"/>
                      </w:rPr>
                      <w:t xml:space="preserve"> </w:t>
                    </w:r>
                    <w:r>
                      <w:rPr>
                        <w:color w:val="16406C"/>
                        <w:sz w:val="18"/>
                      </w:rPr>
                      <w:t>Not</w:t>
                    </w:r>
                    <w:r>
                      <w:rPr>
                        <w:color w:val="16406C"/>
                        <w:spacing w:val="-2"/>
                        <w:sz w:val="18"/>
                      </w:rPr>
                      <w:t xml:space="preserve"> </w:t>
                    </w:r>
                    <w:r>
                      <w:rPr>
                        <w:color w:val="16406C"/>
                        <w:sz w:val="18"/>
                      </w:rPr>
                      <w:t>Good</w:t>
                    </w:r>
                    <w:r>
                      <w:rPr>
                        <w:color w:val="16406C"/>
                        <w:spacing w:val="56"/>
                        <w:sz w:val="18"/>
                      </w:rPr>
                      <w:t xml:space="preserve">  </w:t>
                    </w:r>
                    <w:r>
                      <w:rPr>
                        <w:color w:val="16406C"/>
                        <w:sz w:val="18"/>
                      </w:rPr>
                      <w:t>Sometimes</w:t>
                    </w:r>
                    <w:r>
                      <w:rPr>
                        <w:color w:val="16406C"/>
                        <w:spacing w:val="-1"/>
                        <w:sz w:val="18"/>
                      </w:rPr>
                      <w:t xml:space="preserve"> </w:t>
                    </w:r>
                    <w:r>
                      <w:rPr>
                        <w:color w:val="16406C"/>
                        <w:sz w:val="18"/>
                      </w:rPr>
                      <w:t>Not</w:t>
                    </w:r>
                    <w:r>
                      <w:rPr>
                        <w:color w:val="16406C"/>
                        <w:spacing w:val="-2"/>
                        <w:sz w:val="18"/>
                      </w:rPr>
                      <w:t xml:space="preserve"> </w:t>
                    </w:r>
                    <w:r>
                      <w:rPr>
                        <w:color w:val="16406C"/>
                        <w:sz w:val="18"/>
                      </w:rPr>
                      <w:t>Good</w:t>
                    </w:r>
                    <w:r>
                      <w:rPr>
                        <w:color w:val="16406C"/>
                        <w:spacing w:val="78"/>
                        <w:w w:val="150"/>
                        <w:sz w:val="18"/>
                      </w:rPr>
                      <w:t xml:space="preserve"> </w:t>
                    </w:r>
                    <w:r>
                      <w:rPr>
                        <w:color w:val="16406C"/>
                        <w:sz w:val="18"/>
                      </w:rPr>
                      <w:t>Not Good Most</w:t>
                    </w:r>
                    <w:r>
                      <w:rPr>
                        <w:color w:val="16406C"/>
                        <w:spacing w:val="-2"/>
                        <w:sz w:val="18"/>
                      </w:rPr>
                      <w:t xml:space="preserve"> </w:t>
                    </w:r>
                    <w:r>
                      <w:rPr>
                        <w:color w:val="16406C"/>
                        <w:spacing w:val="-5"/>
                        <w:sz w:val="18"/>
                      </w:rPr>
                      <w:t>of</w:t>
                    </w:r>
                  </w:p>
                  <w:p w:rsidR="00200FDA" w:rsidRDefault="00F76C4C">
                    <w:pPr>
                      <w:spacing w:line="216" w:lineRule="exact"/>
                      <w:ind w:left="3457"/>
                      <w:rPr>
                        <w:sz w:val="18"/>
                      </w:rPr>
                    </w:pPr>
                    <w:r>
                      <w:rPr>
                        <w:color w:val="16406C"/>
                        <w:sz w:val="18"/>
                      </w:rPr>
                      <w:t>the</w:t>
                    </w:r>
                    <w:r>
                      <w:rPr>
                        <w:color w:val="16406C"/>
                        <w:spacing w:val="-1"/>
                        <w:sz w:val="18"/>
                      </w:rPr>
                      <w:t xml:space="preserve"> </w:t>
                    </w:r>
                    <w:r>
                      <w:rPr>
                        <w:color w:val="16406C"/>
                        <w:spacing w:val="-4"/>
                        <w:sz w:val="18"/>
                      </w:rPr>
                      <w:t>Time</w:t>
                    </w:r>
                  </w:p>
                </w:txbxContent>
              </v:textbox>
            </v:shape>
            <v:shape id="docshape138" o:spid="_x0000_s1415" type="#_x0000_t202" style="position:absolute;left:7001;top:4055;width:1284;height:180" filled="f" stroked="f">
              <v:textbox inset="0,0,0,0">
                <w:txbxContent>
                  <w:p w:rsidR="00200FDA" w:rsidRDefault="00F76C4C">
                    <w:pPr>
                      <w:spacing w:line="180" w:lineRule="exact"/>
                      <w:rPr>
                        <w:sz w:val="18"/>
                      </w:rPr>
                    </w:pPr>
                    <w:r>
                      <w:rPr>
                        <w:color w:val="16406C"/>
                        <w:sz w:val="18"/>
                      </w:rPr>
                      <w:t>Always</w:t>
                    </w:r>
                    <w:r>
                      <w:rPr>
                        <w:color w:val="16406C"/>
                        <w:spacing w:val="-5"/>
                        <w:sz w:val="18"/>
                      </w:rPr>
                      <w:t xml:space="preserve"> </w:t>
                    </w:r>
                    <w:r>
                      <w:rPr>
                        <w:color w:val="16406C"/>
                        <w:sz w:val="18"/>
                      </w:rPr>
                      <w:t>Not</w:t>
                    </w:r>
                    <w:r>
                      <w:rPr>
                        <w:color w:val="16406C"/>
                        <w:spacing w:val="-2"/>
                        <w:sz w:val="18"/>
                      </w:rPr>
                      <w:t xml:space="preserve"> </w:t>
                    </w:r>
                    <w:r>
                      <w:rPr>
                        <w:color w:val="16406C"/>
                        <w:spacing w:val="-4"/>
                        <w:sz w:val="18"/>
                      </w:rPr>
                      <w:t>Good</w:t>
                    </w:r>
                  </w:p>
                </w:txbxContent>
              </v:textbox>
            </v:shape>
            <v:shape id="docshape139" o:spid="_x0000_s1414" type="#_x0000_t202" style="position:absolute;left:3273;top:4674;width:2341;height:180" filled="f" stroked="f">
              <v:textbox inset="0,0,0,0">
                <w:txbxContent>
                  <w:p w:rsidR="00200FDA" w:rsidRDefault="00F76C4C">
                    <w:pPr>
                      <w:tabs>
                        <w:tab w:val="left" w:pos="1323"/>
                      </w:tabs>
                      <w:spacing w:line="180" w:lineRule="exact"/>
                      <w:rPr>
                        <w:sz w:val="18"/>
                      </w:rPr>
                    </w:pPr>
                    <w:r>
                      <w:rPr>
                        <w:color w:val="16406C"/>
                        <w:sz w:val="18"/>
                      </w:rPr>
                      <w:t>LGBTQ</w:t>
                    </w:r>
                    <w:r>
                      <w:rPr>
                        <w:color w:val="16406C"/>
                        <w:spacing w:val="-3"/>
                        <w:sz w:val="18"/>
                      </w:rPr>
                      <w:t xml:space="preserve"> </w:t>
                    </w:r>
                    <w:r>
                      <w:rPr>
                        <w:color w:val="16406C"/>
                        <w:spacing w:val="-2"/>
                        <w:sz w:val="18"/>
                      </w:rPr>
                      <w:t>Youth</w:t>
                    </w:r>
                    <w:r>
                      <w:rPr>
                        <w:color w:val="16406C"/>
                        <w:sz w:val="18"/>
                      </w:rPr>
                      <w:tab/>
                      <w:t>Cis-Het</w:t>
                    </w:r>
                    <w:r>
                      <w:rPr>
                        <w:color w:val="16406C"/>
                        <w:spacing w:val="-2"/>
                        <w:sz w:val="18"/>
                      </w:rPr>
                      <w:t xml:space="preserve"> Youth</w:t>
                    </w:r>
                  </w:p>
                </w:txbxContent>
              </v:textbox>
            </v:shape>
            <w10:anchorlock/>
          </v:group>
        </w:pict>
      </w:r>
    </w:p>
    <w:p w:rsidR="00200FDA" w:rsidRDefault="00200FDA">
      <w:pPr>
        <w:pStyle w:val="BodyText"/>
        <w:spacing w:before="11"/>
        <w:rPr>
          <w:sz w:val="14"/>
        </w:rPr>
      </w:pPr>
    </w:p>
    <w:p w:rsidR="00200FDA" w:rsidRDefault="00F76C4C">
      <w:pPr>
        <w:pStyle w:val="BodyText"/>
        <w:spacing w:before="57" w:line="276" w:lineRule="auto"/>
        <w:ind w:left="139" w:right="136"/>
        <w:jc w:val="both"/>
      </w:pPr>
      <w:r>
        <w:t>LGBTQ</w:t>
      </w:r>
      <w:r>
        <w:rPr>
          <w:spacing w:val="-9"/>
        </w:rPr>
        <w:t xml:space="preserve"> </w:t>
      </w:r>
      <w:r>
        <w:t>youth</w:t>
      </w:r>
      <w:r>
        <w:rPr>
          <w:spacing w:val="-10"/>
        </w:rPr>
        <w:t xml:space="preserve"> </w:t>
      </w:r>
      <w:r>
        <w:t>were</w:t>
      </w:r>
      <w:r>
        <w:rPr>
          <w:spacing w:val="-6"/>
        </w:rPr>
        <w:t xml:space="preserve"> </w:t>
      </w:r>
      <w:r>
        <w:t>also</w:t>
      </w:r>
      <w:r>
        <w:rPr>
          <w:spacing w:val="-8"/>
        </w:rPr>
        <w:t xml:space="preserve"> </w:t>
      </w:r>
      <w:r>
        <w:t>significantly</w:t>
      </w:r>
      <w:r>
        <w:rPr>
          <w:spacing w:val="-8"/>
        </w:rPr>
        <w:t xml:space="preserve"> </w:t>
      </w:r>
      <w:r>
        <w:t>more</w:t>
      </w:r>
      <w:r>
        <w:rPr>
          <w:spacing w:val="-9"/>
        </w:rPr>
        <w:t xml:space="preserve"> </w:t>
      </w:r>
      <w:r>
        <w:t>likely</w:t>
      </w:r>
      <w:r>
        <w:rPr>
          <w:spacing w:val="-6"/>
        </w:rPr>
        <w:t xml:space="preserve"> </w:t>
      </w:r>
      <w:r>
        <w:t>to</w:t>
      </w:r>
      <w:r>
        <w:rPr>
          <w:spacing w:val="-8"/>
        </w:rPr>
        <w:t xml:space="preserve"> </w:t>
      </w:r>
      <w:r>
        <w:t>report</w:t>
      </w:r>
      <w:r>
        <w:rPr>
          <w:spacing w:val="-9"/>
        </w:rPr>
        <w:t xml:space="preserve"> </w:t>
      </w:r>
      <w:r>
        <w:t>some</w:t>
      </w:r>
      <w:r>
        <w:rPr>
          <w:spacing w:val="-8"/>
        </w:rPr>
        <w:t xml:space="preserve"> </w:t>
      </w:r>
      <w:r>
        <w:t>level</w:t>
      </w:r>
      <w:r>
        <w:rPr>
          <w:spacing w:val="-9"/>
        </w:rPr>
        <w:t xml:space="preserve"> </w:t>
      </w:r>
      <w:r>
        <w:t>of</w:t>
      </w:r>
      <w:r>
        <w:rPr>
          <w:spacing w:val="-9"/>
        </w:rPr>
        <w:t xml:space="preserve"> </w:t>
      </w:r>
      <w:r>
        <w:t>physical</w:t>
      </w:r>
      <w:r>
        <w:rPr>
          <w:spacing w:val="-7"/>
        </w:rPr>
        <w:t xml:space="preserve"> </w:t>
      </w:r>
      <w:r>
        <w:t>abuse</w:t>
      </w:r>
      <w:r>
        <w:rPr>
          <w:spacing w:val="-6"/>
        </w:rPr>
        <w:t xml:space="preserve"> </w:t>
      </w:r>
      <w:r>
        <w:t>at</w:t>
      </w:r>
      <w:r>
        <w:rPr>
          <w:spacing w:val="-9"/>
        </w:rPr>
        <w:t xml:space="preserve"> </w:t>
      </w:r>
      <w:r>
        <w:t>home</w:t>
      </w:r>
      <w:r>
        <w:rPr>
          <w:spacing w:val="-8"/>
        </w:rPr>
        <w:t xml:space="preserve"> </w:t>
      </w:r>
      <w:r>
        <w:t>during</w:t>
      </w:r>
      <w:r>
        <w:rPr>
          <w:spacing w:val="-7"/>
        </w:rPr>
        <w:t xml:space="preserve"> </w:t>
      </w:r>
      <w:r>
        <w:t>the COVID-19 pandemic (p&lt;.001), according to a survey question that asked, “Did the COVID-19 pandemic, how often did a parent or other adult in your home hit, beat, kick, or physically hurt you in any way?” Among LGBTQ youth, 83.6% said never, 10.3% said r</w:t>
      </w:r>
      <w:r>
        <w:t>arely, 5.4% said sometimes, 0.4% said most of the time, and 0.4% said always, compared</w:t>
      </w:r>
      <w:r>
        <w:rPr>
          <w:spacing w:val="-2"/>
        </w:rPr>
        <w:t xml:space="preserve"> </w:t>
      </w:r>
      <w:r>
        <w:t>with</w:t>
      </w:r>
      <w:r>
        <w:rPr>
          <w:spacing w:val="-2"/>
        </w:rPr>
        <w:t xml:space="preserve"> </w:t>
      </w:r>
      <w:r>
        <w:t>91.2% of</w:t>
      </w:r>
      <w:r>
        <w:rPr>
          <w:spacing w:val="-1"/>
        </w:rPr>
        <w:t xml:space="preserve"> </w:t>
      </w:r>
      <w:r>
        <w:t>het-cis</w:t>
      </w:r>
      <w:r>
        <w:rPr>
          <w:spacing w:val="-1"/>
        </w:rPr>
        <w:t xml:space="preserve"> </w:t>
      </w:r>
      <w:r>
        <w:t>youth</w:t>
      </w:r>
      <w:r>
        <w:rPr>
          <w:spacing w:val="-2"/>
        </w:rPr>
        <w:t xml:space="preserve"> </w:t>
      </w:r>
      <w:r>
        <w:t>who said never, 6.1% who said rarely, 2.0% said sometimes, 0.4% said most of the time, and 0.3% who said always.</w:t>
      </w:r>
    </w:p>
    <w:p w:rsidR="00200FDA" w:rsidRDefault="00200FDA">
      <w:pPr>
        <w:pStyle w:val="BodyText"/>
        <w:spacing w:before="7"/>
        <w:rPr>
          <w:sz w:val="19"/>
        </w:rPr>
      </w:pPr>
    </w:p>
    <w:p w:rsidR="00200FDA" w:rsidRDefault="00F76C4C">
      <w:pPr>
        <w:pStyle w:val="BodyText"/>
        <w:spacing w:line="276" w:lineRule="auto"/>
        <w:ind w:left="139" w:right="132"/>
        <w:jc w:val="both"/>
      </w:pPr>
      <w:r>
        <w:t>Another new question on the</w:t>
      </w:r>
      <w:r>
        <w:t xml:space="preserve"> survey asked about physical abuse in the home more broadly (beyond the COVID-19 pandemic): “During your life, how often has a parent or other adult in your home hit, beat, kicked, or physically hurt you in any way?” Among LGBTQ youth, 61% said that they h</w:t>
      </w:r>
      <w:r>
        <w:t>ad never been abused physically by an adult in their home, 21.9% said rarely, 12.1% said sometimes, 3.8% said most of the time, and 1.1% said always. Among het-cis youth, 77.4% said they had never been abused physically by an adult in their home, 16.3% sai</w:t>
      </w:r>
      <w:r>
        <w:t>d rarely, 5.8% said sometimes, 0.3% said most of the time, and 0.2% said always. (See Table 1.)</w:t>
      </w:r>
    </w:p>
    <w:p w:rsidR="00200FDA" w:rsidRDefault="00200FDA">
      <w:pPr>
        <w:pStyle w:val="BodyText"/>
        <w:spacing w:before="8"/>
        <w:rPr>
          <w:sz w:val="19"/>
        </w:rPr>
      </w:pPr>
    </w:p>
    <w:p w:rsidR="00200FDA" w:rsidRDefault="00F76C4C">
      <w:pPr>
        <w:pStyle w:val="BodyText"/>
        <w:spacing w:before="1" w:line="276" w:lineRule="auto"/>
        <w:ind w:left="138" w:right="135"/>
        <w:jc w:val="both"/>
      </w:pPr>
      <w:r>
        <w:t>Another</w:t>
      </w:r>
      <w:r>
        <w:rPr>
          <w:spacing w:val="-7"/>
        </w:rPr>
        <w:t xml:space="preserve"> </w:t>
      </w:r>
      <w:r>
        <w:t>new</w:t>
      </w:r>
      <w:r>
        <w:rPr>
          <w:spacing w:val="-8"/>
        </w:rPr>
        <w:t xml:space="preserve"> </w:t>
      </w:r>
      <w:r>
        <w:t>MYRBS</w:t>
      </w:r>
      <w:r>
        <w:rPr>
          <w:spacing w:val="-7"/>
        </w:rPr>
        <w:t xml:space="preserve"> </w:t>
      </w:r>
      <w:r>
        <w:t>survey</w:t>
      </w:r>
      <w:r>
        <w:rPr>
          <w:spacing w:val="-6"/>
        </w:rPr>
        <w:t xml:space="preserve"> </w:t>
      </w:r>
      <w:r>
        <w:t>question</w:t>
      </w:r>
      <w:r>
        <w:rPr>
          <w:spacing w:val="-7"/>
        </w:rPr>
        <w:t xml:space="preserve"> </w:t>
      </w:r>
      <w:r>
        <w:t>asked</w:t>
      </w:r>
      <w:r>
        <w:rPr>
          <w:spacing w:val="-7"/>
        </w:rPr>
        <w:t xml:space="preserve"> </w:t>
      </w:r>
      <w:r>
        <w:t>about</w:t>
      </w:r>
      <w:r>
        <w:rPr>
          <w:spacing w:val="-6"/>
        </w:rPr>
        <w:t xml:space="preserve"> </w:t>
      </w:r>
      <w:r>
        <w:t>neglect:</w:t>
      </w:r>
      <w:r>
        <w:rPr>
          <w:spacing w:val="-8"/>
        </w:rPr>
        <w:t xml:space="preserve"> </w:t>
      </w:r>
      <w:r>
        <w:t>“During</w:t>
      </w:r>
      <w:r>
        <w:rPr>
          <w:spacing w:val="-7"/>
        </w:rPr>
        <w:t xml:space="preserve"> </w:t>
      </w:r>
      <w:r>
        <w:t>your</w:t>
      </w:r>
      <w:r>
        <w:rPr>
          <w:spacing w:val="-7"/>
        </w:rPr>
        <w:t xml:space="preserve"> </w:t>
      </w:r>
      <w:r>
        <w:t>life,</w:t>
      </w:r>
      <w:r>
        <w:rPr>
          <w:spacing w:val="-9"/>
        </w:rPr>
        <w:t xml:space="preserve"> </w:t>
      </w:r>
      <w:r>
        <w:t>how</w:t>
      </w:r>
      <w:r>
        <w:rPr>
          <w:spacing w:val="-8"/>
        </w:rPr>
        <w:t xml:space="preserve"> </w:t>
      </w:r>
      <w:r>
        <w:t>often</w:t>
      </w:r>
      <w:r>
        <w:rPr>
          <w:spacing w:val="-7"/>
        </w:rPr>
        <w:t xml:space="preserve"> </w:t>
      </w:r>
      <w:r>
        <w:t>has</w:t>
      </w:r>
      <w:r>
        <w:rPr>
          <w:spacing w:val="-7"/>
        </w:rPr>
        <w:t xml:space="preserve"> </w:t>
      </w:r>
      <w:r>
        <w:t>there</w:t>
      </w:r>
      <w:r>
        <w:rPr>
          <w:spacing w:val="-6"/>
        </w:rPr>
        <w:t xml:space="preserve"> </w:t>
      </w:r>
      <w:r>
        <w:t>been</w:t>
      </w:r>
      <w:r>
        <w:rPr>
          <w:spacing w:val="-7"/>
        </w:rPr>
        <w:t xml:space="preserve"> </w:t>
      </w:r>
      <w:r>
        <w:t xml:space="preserve">an adult in your household who tried hard to make sure your </w:t>
      </w:r>
      <w:r>
        <w:t>basic needs were met, such as looking after your safety and making sure you had clean clothes and enough to eat?” LGBTQ youth were significantly less</w:t>
      </w:r>
      <w:r>
        <w:rPr>
          <w:spacing w:val="-10"/>
        </w:rPr>
        <w:t xml:space="preserve"> </w:t>
      </w:r>
      <w:r>
        <w:t>likely</w:t>
      </w:r>
      <w:r>
        <w:rPr>
          <w:spacing w:val="-11"/>
        </w:rPr>
        <w:t xml:space="preserve"> </w:t>
      </w:r>
      <w:r>
        <w:t>than</w:t>
      </w:r>
      <w:r>
        <w:rPr>
          <w:spacing w:val="-12"/>
        </w:rPr>
        <w:t xml:space="preserve"> </w:t>
      </w:r>
      <w:r>
        <w:t>het-cis</w:t>
      </w:r>
      <w:r>
        <w:rPr>
          <w:spacing w:val="-11"/>
        </w:rPr>
        <w:t xml:space="preserve"> </w:t>
      </w:r>
      <w:r>
        <w:t>youth</w:t>
      </w:r>
      <w:r>
        <w:rPr>
          <w:spacing w:val="-10"/>
        </w:rPr>
        <w:t xml:space="preserve"> </w:t>
      </w:r>
      <w:r>
        <w:t>to</w:t>
      </w:r>
      <w:r>
        <w:rPr>
          <w:spacing w:val="-10"/>
        </w:rPr>
        <w:t xml:space="preserve"> </w:t>
      </w:r>
      <w:r>
        <w:t>have</w:t>
      </w:r>
      <w:r>
        <w:rPr>
          <w:spacing w:val="-11"/>
        </w:rPr>
        <w:t xml:space="preserve"> </w:t>
      </w:r>
      <w:r>
        <w:t>their</w:t>
      </w:r>
      <w:r>
        <w:rPr>
          <w:spacing w:val="-12"/>
        </w:rPr>
        <w:t xml:space="preserve"> </w:t>
      </w:r>
      <w:r>
        <w:t>needs</w:t>
      </w:r>
      <w:r>
        <w:rPr>
          <w:spacing w:val="-13"/>
        </w:rPr>
        <w:t xml:space="preserve"> </w:t>
      </w:r>
      <w:r>
        <w:t>met</w:t>
      </w:r>
      <w:r>
        <w:rPr>
          <w:spacing w:val="-10"/>
        </w:rPr>
        <w:t xml:space="preserve"> </w:t>
      </w:r>
      <w:r>
        <w:t>overall</w:t>
      </w:r>
      <w:r>
        <w:rPr>
          <w:spacing w:val="-12"/>
        </w:rPr>
        <w:t xml:space="preserve"> </w:t>
      </w:r>
      <w:r>
        <w:t>(p&lt;.001).</w:t>
      </w:r>
      <w:r>
        <w:rPr>
          <w:spacing w:val="-9"/>
        </w:rPr>
        <w:t xml:space="preserve"> </w:t>
      </w:r>
      <w:r>
        <w:t>Among</w:t>
      </w:r>
      <w:r>
        <w:rPr>
          <w:spacing w:val="-10"/>
        </w:rPr>
        <w:t xml:space="preserve"> </w:t>
      </w:r>
      <w:r>
        <w:t>LGBTQ</w:t>
      </w:r>
      <w:r>
        <w:rPr>
          <w:spacing w:val="-12"/>
        </w:rPr>
        <w:t xml:space="preserve"> </w:t>
      </w:r>
      <w:r>
        <w:t>youth,</w:t>
      </w:r>
      <w:r>
        <w:rPr>
          <w:spacing w:val="-11"/>
        </w:rPr>
        <w:t xml:space="preserve"> </w:t>
      </w:r>
      <w:r>
        <w:t>2.8%</w:t>
      </w:r>
      <w:r>
        <w:rPr>
          <w:spacing w:val="-8"/>
        </w:rPr>
        <w:t xml:space="preserve"> </w:t>
      </w:r>
      <w:r>
        <w:t>said</w:t>
      </w:r>
      <w:r>
        <w:rPr>
          <w:spacing w:val="-10"/>
        </w:rPr>
        <w:t xml:space="preserve"> </w:t>
      </w:r>
      <w:r>
        <w:t>that they had</w:t>
      </w:r>
      <w:r>
        <w:rPr>
          <w:spacing w:val="-2"/>
        </w:rPr>
        <w:t xml:space="preserve"> </w:t>
      </w:r>
      <w:r>
        <w:t>never</w:t>
      </w:r>
      <w:r>
        <w:rPr>
          <w:spacing w:val="-1"/>
        </w:rPr>
        <w:t xml:space="preserve"> </w:t>
      </w:r>
      <w:r>
        <w:t>had</w:t>
      </w:r>
      <w:r>
        <w:rPr>
          <w:spacing w:val="-4"/>
        </w:rPr>
        <w:t xml:space="preserve"> </w:t>
      </w:r>
      <w:r>
        <w:t>their</w:t>
      </w:r>
      <w:r>
        <w:rPr>
          <w:spacing w:val="-1"/>
        </w:rPr>
        <w:t xml:space="preserve"> </w:t>
      </w:r>
      <w:r>
        <w:t>needs</w:t>
      </w:r>
      <w:r>
        <w:rPr>
          <w:spacing w:val="-3"/>
        </w:rPr>
        <w:t xml:space="preserve"> </w:t>
      </w:r>
      <w:r>
        <w:t>met,</w:t>
      </w:r>
      <w:r>
        <w:rPr>
          <w:spacing w:val="-3"/>
        </w:rPr>
        <w:t xml:space="preserve"> </w:t>
      </w:r>
      <w:r>
        <w:t>4.9% said</w:t>
      </w:r>
      <w:r>
        <w:rPr>
          <w:spacing w:val="-2"/>
        </w:rPr>
        <w:t xml:space="preserve"> </w:t>
      </w:r>
      <w:r>
        <w:t>rarely,</w:t>
      </w:r>
      <w:r>
        <w:rPr>
          <w:spacing w:val="-3"/>
        </w:rPr>
        <w:t xml:space="preserve"> </w:t>
      </w:r>
      <w:r>
        <w:t>9.1%</w:t>
      </w:r>
      <w:r>
        <w:rPr>
          <w:spacing w:val="-3"/>
        </w:rPr>
        <w:t xml:space="preserve"> </w:t>
      </w:r>
      <w:r>
        <w:t>said</w:t>
      </w:r>
      <w:r>
        <w:rPr>
          <w:spacing w:val="-2"/>
        </w:rPr>
        <w:t xml:space="preserve"> </w:t>
      </w:r>
      <w:r>
        <w:t>sometimes,</w:t>
      </w:r>
      <w:r>
        <w:rPr>
          <w:spacing w:val="-3"/>
        </w:rPr>
        <w:t xml:space="preserve"> </w:t>
      </w:r>
      <w:r>
        <w:t>21.6% said</w:t>
      </w:r>
      <w:r>
        <w:rPr>
          <w:spacing w:val="-2"/>
        </w:rPr>
        <w:t xml:space="preserve"> </w:t>
      </w:r>
      <w:r>
        <w:t>most of</w:t>
      </w:r>
      <w:r>
        <w:rPr>
          <w:spacing w:val="-3"/>
        </w:rPr>
        <w:t xml:space="preserve"> </w:t>
      </w:r>
      <w:r>
        <w:t>the time, and</w:t>
      </w:r>
      <w:r>
        <w:rPr>
          <w:spacing w:val="-12"/>
        </w:rPr>
        <w:t xml:space="preserve"> </w:t>
      </w:r>
      <w:r>
        <w:t>61.6%</w:t>
      </w:r>
      <w:r>
        <w:rPr>
          <w:spacing w:val="-10"/>
        </w:rPr>
        <w:t xml:space="preserve"> </w:t>
      </w:r>
      <w:r>
        <w:t>said</w:t>
      </w:r>
      <w:r>
        <w:rPr>
          <w:spacing w:val="-11"/>
        </w:rPr>
        <w:t xml:space="preserve"> </w:t>
      </w:r>
      <w:r>
        <w:t>their</w:t>
      </w:r>
      <w:r>
        <w:rPr>
          <w:spacing w:val="-11"/>
        </w:rPr>
        <w:t xml:space="preserve"> </w:t>
      </w:r>
      <w:r>
        <w:t>needs</w:t>
      </w:r>
      <w:r>
        <w:rPr>
          <w:spacing w:val="-13"/>
        </w:rPr>
        <w:t xml:space="preserve"> </w:t>
      </w:r>
      <w:r>
        <w:t>had</w:t>
      </w:r>
      <w:r>
        <w:rPr>
          <w:spacing w:val="-10"/>
        </w:rPr>
        <w:t xml:space="preserve"> </w:t>
      </w:r>
      <w:r>
        <w:t>always</w:t>
      </w:r>
      <w:r>
        <w:rPr>
          <w:spacing w:val="-10"/>
        </w:rPr>
        <w:t xml:space="preserve"> </w:t>
      </w:r>
      <w:r>
        <w:t>been</w:t>
      </w:r>
      <w:r>
        <w:rPr>
          <w:spacing w:val="-13"/>
        </w:rPr>
        <w:t xml:space="preserve"> </w:t>
      </w:r>
      <w:r>
        <w:t>met.</w:t>
      </w:r>
      <w:r>
        <w:rPr>
          <w:spacing w:val="-10"/>
        </w:rPr>
        <w:t xml:space="preserve"> </w:t>
      </w:r>
      <w:r>
        <w:t>Among</w:t>
      </w:r>
      <w:r>
        <w:rPr>
          <w:spacing w:val="-11"/>
        </w:rPr>
        <w:t xml:space="preserve"> </w:t>
      </w:r>
      <w:r>
        <w:t>het-cis</w:t>
      </w:r>
      <w:r>
        <w:rPr>
          <w:spacing w:val="-10"/>
        </w:rPr>
        <w:t xml:space="preserve"> </w:t>
      </w:r>
      <w:r>
        <w:t>youth,</w:t>
      </w:r>
      <w:r>
        <w:rPr>
          <w:spacing w:val="-13"/>
        </w:rPr>
        <w:t xml:space="preserve"> </w:t>
      </w:r>
      <w:r>
        <w:t>4.7%</w:t>
      </w:r>
      <w:r>
        <w:rPr>
          <w:spacing w:val="-9"/>
        </w:rPr>
        <w:t xml:space="preserve"> </w:t>
      </w:r>
      <w:r>
        <w:t>said</w:t>
      </w:r>
      <w:r>
        <w:rPr>
          <w:spacing w:val="-11"/>
        </w:rPr>
        <w:t xml:space="preserve"> </w:t>
      </w:r>
      <w:r>
        <w:t>they</w:t>
      </w:r>
      <w:r>
        <w:rPr>
          <w:spacing w:val="-10"/>
        </w:rPr>
        <w:t xml:space="preserve"> </w:t>
      </w:r>
      <w:r>
        <w:t>had</w:t>
      </w:r>
      <w:r>
        <w:rPr>
          <w:spacing w:val="-11"/>
        </w:rPr>
        <w:t xml:space="preserve"> </w:t>
      </w:r>
      <w:r>
        <w:t>never</w:t>
      </w:r>
      <w:r>
        <w:rPr>
          <w:spacing w:val="-11"/>
        </w:rPr>
        <w:t xml:space="preserve"> </w:t>
      </w:r>
      <w:r>
        <w:t>had</w:t>
      </w:r>
      <w:r>
        <w:rPr>
          <w:spacing w:val="-11"/>
        </w:rPr>
        <w:t xml:space="preserve"> </w:t>
      </w:r>
      <w:r>
        <w:t>their needs</w:t>
      </w:r>
      <w:r>
        <w:rPr>
          <w:spacing w:val="-13"/>
        </w:rPr>
        <w:t xml:space="preserve"> </w:t>
      </w:r>
      <w:r>
        <w:t>met,</w:t>
      </w:r>
      <w:r>
        <w:rPr>
          <w:spacing w:val="-12"/>
        </w:rPr>
        <w:t xml:space="preserve"> </w:t>
      </w:r>
      <w:r>
        <w:t>2.6%</w:t>
      </w:r>
      <w:r>
        <w:rPr>
          <w:spacing w:val="-13"/>
        </w:rPr>
        <w:t xml:space="preserve"> </w:t>
      </w:r>
      <w:r>
        <w:t>said</w:t>
      </w:r>
      <w:r>
        <w:rPr>
          <w:spacing w:val="-12"/>
        </w:rPr>
        <w:t xml:space="preserve"> </w:t>
      </w:r>
      <w:r>
        <w:t>rarely,</w:t>
      </w:r>
      <w:r>
        <w:rPr>
          <w:spacing w:val="-13"/>
        </w:rPr>
        <w:t xml:space="preserve"> </w:t>
      </w:r>
      <w:r>
        <w:t>4.4%</w:t>
      </w:r>
      <w:r>
        <w:rPr>
          <w:spacing w:val="-12"/>
        </w:rPr>
        <w:t xml:space="preserve"> </w:t>
      </w:r>
      <w:r>
        <w:t>said</w:t>
      </w:r>
      <w:r>
        <w:rPr>
          <w:spacing w:val="-13"/>
        </w:rPr>
        <w:t xml:space="preserve"> </w:t>
      </w:r>
      <w:r>
        <w:t>sometimes,</w:t>
      </w:r>
      <w:r>
        <w:rPr>
          <w:spacing w:val="-12"/>
        </w:rPr>
        <w:t xml:space="preserve"> </w:t>
      </w:r>
      <w:r>
        <w:t>13.5%</w:t>
      </w:r>
      <w:r>
        <w:rPr>
          <w:spacing w:val="-12"/>
        </w:rPr>
        <w:t xml:space="preserve"> </w:t>
      </w:r>
      <w:r>
        <w:t>said</w:t>
      </w:r>
      <w:r>
        <w:rPr>
          <w:spacing w:val="-13"/>
        </w:rPr>
        <w:t xml:space="preserve"> </w:t>
      </w:r>
      <w:r>
        <w:t>most</w:t>
      </w:r>
      <w:r>
        <w:rPr>
          <w:spacing w:val="-12"/>
        </w:rPr>
        <w:t xml:space="preserve"> </w:t>
      </w:r>
      <w:r>
        <w:t>of</w:t>
      </w:r>
      <w:r>
        <w:rPr>
          <w:spacing w:val="-13"/>
        </w:rPr>
        <w:t xml:space="preserve"> </w:t>
      </w:r>
      <w:r>
        <w:t>the</w:t>
      </w:r>
      <w:r>
        <w:rPr>
          <w:spacing w:val="-12"/>
        </w:rPr>
        <w:t xml:space="preserve"> </w:t>
      </w:r>
      <w:r>
        <w:t>time,</w:t>
      </w:r>
      <w:r>
        <w:rPr>
          <w:spacing w:val="-13"/>
        </w:rPr>
        <w:t xml:space="preserve"> </w:t>
      </w:r>
      <w:r>
        <w:t>and</w:t>
      </w:r>
      <w:r>
        <w:rPr>
          <w:spacing w:val="-10"/>
        </w:rPr>
        <w:t xml:space="preserve"> </w:t>
      </w:r>
      <w:r>
        <w:t>74.8%</w:t>
      </w:r>
      <w:r>
        <w:rPr>
          <w:spacing w:val="-12"/>
        </w:rPr>
        <w:t xml:space="preserve"> </w:t>
      </w:r>
      <w:r>
        <w:t>said</w:t>
      </w:r>
      <w:r>
        <w:rPr>
          <w:spacing w:val="-13"/>
        </w:rPr>
        <w:t xml:space="preserve"> </w:t>
      </w:r>
      <w:r>
        <w:t>their</w:t>
      </w:r>
      <w:r>
        <w:rPr>
          <w:spacing w:val="-12"/>
        </w:rPr>
        <w:t xml:space="preserve"> </w:t>
      </w:r>
      <w:r>
        <w:t>needs had always been met.</w:t>
      </w:r>
    </w:p>
    <w:p w:rsidR="00200FDA" w:rsidRDefault="00200FDA">
      <w:pPr>
        <w:spacing w:line="276" w:lineRule="auto"/>
        <w:jc w:val="both"/>
        <w:sectPr w:rsidR="00200FDA">
          <w:pgSz w:w="12240" w:h="15840"/>
          <w:pgMar w:top="1360" w:right="1300" w:bottom="1260" w:left="1300" w:header="761" w:footer="1062" w:gutter="0"/>
          <w:cols w:space="720"/>
        </w:sectPr>
      </w:pPr>
    </w:p>
    <w:p w:rsidR="00200FDA" w:rsidRDefault="00F76C4C">
      <w:pPr>
        <w:pStyle w:val="Heading9"/>
        <w:spacing w:before="64"/>
        <w:ind w:left="593"/>
      </w:pPr>
      <w:r>
        <w:lastRenderedPageBreak/>
        <w:t>Table</w:t>
      </w:r>
      <w:r>
        <w:rPr>
          <w:spacing w:val="-7"/>
        </w:rPr>
        <w:t xml:space="preserve"> </w:t>
      </w:r>
      <w:r>
        <w:t>1.</w:t>
      </w:r>
      <w:r>
        <w:rPr>
          <w:spacing w:val="-3"/>
        </w:rPr>
        <w:t xml:space="preserve"> </w:t>
      </w:r>
      <w:r>
        <w:t>Percentage</w:t>
      </w:r>
      <w:r>
        <w:rPr>
          <w:spacing w:val="-5"/>
        </w:rPr>
        <w:t xml:space="preserve"> </w:t>
      </w:r>
      <w:r>
        <w:t>of</w:t>
      </w:r>
      <w:r>
        <w:rPr>
          <w:spacing w:val="-6"/>
        </w:rPr>
        <w:t xml:space="preserve"> </w:t>
      </w:r>
      <w:r>
        <w:t>Youth</w:t>
      </w:r>
      <w:r>
        <w:rPr>
          <w:spacing w:val="-4"/>
        </w:rPr>
        <w:t xml:space="preserve"> </w:t>
      </w:r>
      <w:r>
        <w:t>with</w:t>
      </w:r>
      <w:r>
        <w:rPr>
          <w:spacing w:val="-5"/>
        </w:rPr>
        <w:t xml:space="preserve"> </w:t>
      </w:r>
      <w:r>
        <w:t>Adverse</w:t>
      </w:r>
      <w:r>
        <w:rPr>
          <w:spacing w:val="-7"/>
        </w:rPr>
        <w:t xml:space="preserve"> </w:t>
      </w:r>
      <w:r>
        <w:t>Household</w:t>
      </w:r>
      <w:r>
        <w:rPr>
          <w:spacing w:val="-4"/>
        </w:rPr>
        <w:t xml:space="preserve"> </w:t>
      </w:r>
      <w:r>
        <w:t>and</w:t>
      </w:r>
      <w:r>
        <w:rPr>
          <w:spacing w:val="-5"/>
        </w:rPr>
        <w:t xml:space="preserve"> </w:t>
      </w:r>
      <w:r>
        <w:t>Mental</w:t>
      </w:r>
      <w:r>
        <w:rPr>
          <w:spacing w:val="-3"/>
        </w:rPr>
        <w:t xml:space="preserve"> </w:t>
      </w:r>
      <w:r>
        <w:t>Health</w:t>
      </w:r>
      <w:r>
        <w:rPr>
          <w:spacing w:val="-5"/>
        </w:rPr>
        <w:t xml:space="preserve"> </w:t>
      </w:r>
      <w:r>
        <w:t>Experiences</w:t>
      </w:r>
      <w:r>
        <w:rPr>
          <w:spacing w:val="-5"/>
        </w:rPr>
        <w:t xml:space="preserve"> </w:t>
      </w:r>
      <w:r>
        <w:rPr>
          <w:spacing w:val="-2"/>
        </w:rPr>
        <w:t>(2021)</w:t>
      </w:r>
    </w:p>
    <w:p w:rsidR="00200FDA" w:rsidRDefault="00200FDA">
      <w:pPr>
        <w:pStyle w:val="BodyText"/>
        <w:spacing w:before="7"/>
        <w:rPr>
          <w:b/>
          <w:sz w:val="28"/>
        </w:rPr>
      </w:pPr>
    </w:p>
    <w:tbl>
      <w:tblPr>
        <w:tblW w:w="0" w:type="auto"/>
        <w:tblInd w:w="1093" w:type="dxa"/>
        <w:tblBorders>
          <w:top w:val="single" w:sz="4" w:space="0" w:color="58A9F1"/>
          <w:left w:val="single" w:sz="4" w:space="0" w:color="58A9F1"/>
          <w:bottom w:val="single" w:sz="4" w:space="0" w:color="58A9F1"/>
          <w:right w:val="single" w:sz="4" w:space="0" w:color="58A9F1"/>
          <w:insideH w:val="single" w:sz="4" w:space="0" w:color="58A9F1"/>
          <w:insideV w:val="single" w:sz="4" w:space="0" w:color="58A9F1"/>
        </w:tblBorders>
        <w:tblLayout w:type="fixed"/>
        <w:tblCellMar>
          <w:left w:w="0" w:type="dxa"/>
          <w:right w:w="0" w:type="dxa"/>
        </w:tblCellMar>
        <w:tblLook w:val="01E0" w:firstRow="1" w:lastRow="1" w:firstColumn="1" w:lastColumn="1" w:noHBand="0" w:noVBand="0"/>
      </w:tblPr>
      <w:tblGrid>
        <w:gridCol w:w="3224"/>
        <w:gridCol w:w="2719"/>
        <w:gridCol w:w="1522"/>
      </w:tblGrid>
      <w:tr w:rsidR="00200FDA">
        <w:trPr>
          <w:trHeight w:val="309"/>
        </w:trPr>
        <w:tc>
          <w:tcPr>
            <w:tcW w:w="3224" w:type="dxa"/>
            <w:tcBorders>
              <w:right w:val="nil"/>
            </w:tcBorders>
            <w:shd w:val="clear" w:color="auto" w:fill="C6E1F9"/>
          </w:tcPr>
          <w:p w:rsidR="00200FDA" w:rsidRDefault="00F76C4C">
            <w:pPr>
              <w:pStyle w:val="TableParagraph"/>
              <w:spacing w:before="1" w:line="240" w:lineRule="auto"/>
              <w:ind w:left="107"/>
              <w:jc w:val="left"/>
              <w:rPr>
                <w:b/>
              </w:rPr>
            </w:pPr>
            <w:r>
              <w:rPr>
                <w:b/>
              </w:rPr>
              <w:t>Adverse</w:t>
            </w:r>
            <w:r>
              <w:rPr>
                <w:b/>
                <w:spacing w:val="-4"/>
              </w:rPr>
              <w:t xml:space="preserve"> </w:t>
            </w:r>
            <w:r>
              <w:rPr>
                <w:b/>
                <w:spacing w:val="-2"/>
              </w:rPr>
              <w:t>Experience</w:t>
            </w:r>
          </w:p>
        </w:tc>
        <w:tc>
          <w:tcPr>
            <w:tcW w:w="2719" w:type="dxa"/>
            <w:tcBorders>
              <w:left w:val="nil"/>
              <w:right w:val="nil"/>
            </w:tcBorders>
            <w:shd w:val="clear" w:color="auto" w:fill="C6E1F9"/>
          </w:tcPr>
          <w:p w:rsidR="00200FDA" w:rsidRDefault="00F76C4C">
            <w:pPr>
              <w:pStyle w:val="TableParagraph"/>
              <w:spacing w:before="1" w:line="240" w:lineRule="auto"/>
              <w:ind w:left="1320" w:right="138"/>
              <w:rPr>
                <w:b/>
              </w:rPr>
            </w:pPr>
            <w:r>
              <w:rPr>
                <w:b/>
              </w:rPr>
              <w:t>Het-Cis</w:t>
            </w:r>
            <w:r>
              <w:rPr>
                <w:b/>
                <w:spacing w:val="-6"/>
              </w:rPr>
              <w:t xml:space="preserve"> </w:t>
            </w:r>
            <w:r>
              <w:rPr>
                <w:b/>
                <w:spacing w:val="-4"/>
              </w:rPr>
              <w:t>Youth</w:t>
            </w:r>
          </w:p>
        </w:tc>
        <w:tc>
          <w:tcPr>
            <w:tcW w:w="1522" w:type="dxa"/>
            <w:tcBorders>
              <w:left w:val="nil"/>
            </w:tcBorders>
            <w:shd w:val="clear" w:color="auto" w:fill="C6E1F9"/>
          </w:tcPr>
          <w:p w:rsidR="00200FDA" w:rsidRDefault="00F76C4C">
            <w:pPr>
              <w:pStyle w:val="TableParagraph"/>
              <w:spacing w:before="1" w:line="240" w:lineRule="auto"/>
              <w:ind w:left="143" w:right="136"/>
              <w:rPr>
                <w:b/>
              </w:rPr>
            </w:pPr>
            <w:r>
              <w:rPr>
                <w:b/>
              </w:rPr>
              <w:t>LGBTQ</w:t>
            </w:r>
            <w:r>
              <w:rPr>
                <w:b/>
                <w:spacing w:val="-4"/>
              </w:rPr>
              <w:t xml:space="preserve"> </w:t>
            </w:r>
            <w:r>
              <w:rPr>
                <w:b/>
                <w:spacing w:val="-2"/>
              </w:rPr>
              <w:t>Youth</w:t>
            </w:r>
          </w:p>
        </w:tc>
      </w:tr>
      <w:tr w:rsidR="00200FDA">
        <w:trPr>
          <w:trHeight w:val="309"/>
        </w:trPr>
        <w:tc>
          <w:tcPr>
            <w:tcW w:w="7465" w:type="dxa"/>
            <w:gridSpan w:val="3"/>
          </w:tcPr>
          <w:p w:rsidR="00200FDA" w:rsidRDefault="00F76C4C">
            <w:pPr>
              <w:pStyle w:val="TableParagraph"/>
              <w:ind w:left="107"/>
              <w:jc w:val="left"/>
            </w:pPr>
            <w:r>
              <w:t>Mental</w:t>
            </w:r>
            <w:r>
              <w:rPr>
                <w:spacing w:val="-8"/>
              </w:rPr>
              <w:t xml:space="preserve"> </w:t>
            </w:r>
            <w:r>
              <w:t>health</w:t>
            </w:r>
            <w:r>
              <w:rPr>
                <w:spacing w:val="-5"/>
              </w:rPr>
              <w:t xml:space="preserve"> </w:t>
            </w:r>
            <w:r>
              <w:t>not</w:t>
            </w:r>
            <w:r>
              <w:rPr>
                <w:spacing w:val="-5"/>
              </w:rPr>
              <w:t xml:space="preserve"> </w:t>
            </w:r>
            <w:r>
              <w:t>good</w:t>
            </w:r>
            <w:r>
              <w:rPr>
                <w:spacing w:val="-6"/>
              </w:rPr>
              <w:t xml:space="preserve"> </w:t>
            </w:r>
            <w:r>
              <w:t>during</w:t>
            </w:r>
            <w:r>
              <w:rPr>
                <w:spacing w:val="-5"/>
              </w:rPr>
              <w:t xml:space="preserve"> </w:t>
            </w:r>
            <w:r>
              <w:t>COVID-</w:t>
            </w:r>
            <w:r>
              <w:rPr>
                <w:spacing w:val="-4"/>
              </w:rPr>
              <w:t>19***</w:t>
            </w:r>
          </w:p>
        </w:tc>
      </w:tr>
      <w:tr w:rsidR="00200FDA">
        <w:trPr>
          <w:trHeight w:val="309"/>
        </w:trPr>
        <w:tc>
          <w:tcPr>
            <w:tcW w:w="3224" w:type="dxa"/>
            <w:tcBorders>
              <w:right w:val="nil"/>
            </w:tcBorders>
            <w:shd w:val="clear" w:color="auto" w:fill="C6E1F9"/>
          </w:tcPr>
          <w:p w:rsidR="00200FDA" w:rsidRDefault="00F76C4C">
            <w:pPr>
              <w:pStyle w:val="TableParagraph"/>
              <w:jc w:val="left"/>
            </w:pPr>
            <w:r>
              <w:rPr>
                <w:spacing w:val="-4"/>
              </w:rPr>
              <w:t>Never</w:t>
            </w:r>
          </w:p>
        </w:tc>
        <w:tc>
          <w:tcPr>
            <w:tcW w:w="2719" w:type="dxa"/>
            <w:tcBorders>
              <w:left w:val="nil"/>
              <w:right w:val="nil"/>
            </w:tcBorders>
            <w:shd w:val="clear" w:color="auto" w:fill="C6E1F9"/>
          </w:tcPr>
          <w:p w:rsidR="00200FDA" w:rsidRDefault="00F76C4C">
            <w:pPr>
              <w:pStyle w:val="TableParagraph"/>
              <w:ind w:left="1317" w:right="138"/>
            </w:pPr>
            <w:r>
              <w:rPr>
                <w:spacing w:val="-2"/>
              </w:rPr>
              <w:t>21.9%</w:t>
            </w:r>
          </w:p>
        </w:tc>
        <w:tc>
          <w:tcPr>
            <w:tcW w:w="1522" w:type="dxa"/>
            <w:tcBorders>
              <w:left w:val="nil"/>
            </w:tcBorders>
            <w:shd w:val="clear" w:color="auto" w:fill="C6E1F9"/>
          </w:tcPr>
          <w:p w:rsidR="00200FDA" w:rsidRDefault="00F76C4C">
            <w:pPr>
              <w:pStyle w:val="TableParagraph"/>
              <w:ind w:left="142" w:right="136"/>
            </w:pPr>
            <w:r>
              <w:rPr>
                <w:spacing w:val="-4"/>
              </w:rPr>
              <w:t>4.5%</w:t>
            </w:r>
          </w:p>
        </w:tc>
      </w:tr>
      <w:tr w:rsidR="00200FDA">
        <w:trPr>
          <w:trHeight w:val="309"/>
        </w:trPr>
        <w:tc>
          <w:tcPr>
            <w:tcW w:w="3224" w:type="dxa"/>
            <w:tcBorders>
              <w:right w:val="nil"/>
            </w:tcBorders>
          </w:tcPr>
          <w:p w:rsidR="00200FDA" w:rsidRDefault="00F76C4C">
            <w:pPr>
              <w:pStyle w:val="TableParagraph"/>
              <w:jc w:val="left"/>
            </w:pPr>
            <w:r>
              <w:rPr>
                <w:spacing w:val="-2"/>
              </w:rPr>
              <w:t>Rarely</w:t>
            </w:r>
          </w:p>
        </w:tc>
        <w:tc>
          <w:tcPr>
            <w:tcW w:w="2719" w:type="dxa"/>
            <w:tcBorders>
              <w:left w:val="nil"/>
              <w:right w:val="nil"/>
            </w:tcBorders>
          </w:tcPr>
          <w:p w:rsidR="00200FDA" w:rsidRDefault="00F76C4C">
            <w:pPr>
              <w:pStyle w:val="TableParagraph"/>
              <w:ind w:left="1317" w:right="138"/>
            </w:pPr>
            <w:r>
              <w:rPr>
                <w:spacing w:val="-2"/>
              </w:rPr>
              <w:t>23.5%</w:t>
            </w:r>
          </w:p>
        </w:tc>
        <w:tc>
          <w:tcPr>
            <w:tcW w:w="1522" w:type="dxa"/>
            <w:tcBorders>
              <w:left w:val="nil"/>
            </w:tcBorders>
          </w:tcPr>
          <w:p w:rsidR="00200FDA" w:rsidRDefault="00F76C4C">
            <w:pPr>
              <w:pStyle w:val="TableParagraph"/>
              <w:ind w:left="142" w:right="136"/>
            </w:pPr>
            <w:r>
              <w:rPr>
                <w:spacing w:val="-4"/>
              </w:rPr>
              <w:t>8.0%</w:t>
            </w:r>
          </w:p>
        </w:tc>
      </w:tr>
      <w:tr w:rsidR="00200FDA">
        <w:trPr>
          <w:trHeight w:val="309"/>
        </w:trPr>
        <w:tc>
          <w:tcPr>
            <w:tcW w:w="3224" w:type="dxa"/>
            <w:tcBorders>
              <w:right w:val="nil"/>
            </w:tcBorders>
            <w:shd w:val="clear" w:color="auto" w:fill="C6E1F9"/>
          </w:tcPr>
          <w:p w:rsidR="00200FDA" w:rsidRDefault="00F76C4C">
            <w:pPr>
              <w:pStyle w:val="TableParagraph"/>
              <w:jc w:val="left"/>
            </w:pPr>
            <w:r>
              <w:rPr>
                <w:spacing w:val="-2"/>
              </w:rPr>
              <w:t>Sometimes</w:t>
            </w:r>
          </w:p>
        </w:tc>
        <w:tc>
          <w:tcPr>
            <w:tcW w:w="2719" w:type="dxa"/>
            <w:tcBorders>
              <w:left w:val="nil"/>
              <w:right w:val="nil"/>
            </w:tcBorders>
            <w:shd w:val="clear" w:color="auto" w:fill="C6E1F9"/>
          </w:tcPr>
          <w:p w:rsidR="00200FDA" w:rsidRDefault="00F76C4C">
            <w:pPr>
              <w:pStyle w:val="TableParagraph"/>
              <w:ind w:left="1317" w:right="138"/>
            </w:pPr>
            <w:r>
              <w:rPr>
                <w:spacing w:val="-2"/>
              </w:rPr>
              <w:t>25.9%</w:t>
            </w:r>
          </w:p>
        </w:tc>
        <w:tc>
          <w:tcPr>
            <w:tcW w:w="1522" w:type="dxa"/>
            <w:tcBorders>
              <w:left w:val="nil"/>
            </w:tcBorders>
            <w:shd w:val="clear" w:color="auto" w:fill="C6E1F9"/>
          </w:tcPr>
          <w:p w:rsidR="00200FDA" w:rsidRDefault="00F76C4C">
            <w:pPr>
              <w:pStyle w:val="TableParagraph"/>
              <w:ind w:left="141" w:right="136"/>
            </w:pPr>
            <w:r>
              <w:rPr>
                <w:spacing w:val="-2"/>
              </w:rPr>
              <w:t>21.0%</w:t>
            </w:r>
          </w:p>
        </w:tc>
      </w:tr>
      <w:tr w:rsidR="00200FDA">
        <w:trPr>
          <w:trHeight w:val="306"/>
        </w:trPr>
        <w:tc>
          <w:tcPr>
            <w:tcW w:w="3224" w:type="dxa"/>
            <w:tcBorders>
              <w:right w:val="nil"/>
            </w:tcBorders>
          </w:tcPr>
          <w:p w:rsidR="00200FDA" w:rsidRDefault="00F76C4C">
            <w:pPr>
              <w:pStyle w:val="TableParagraph"/>
              <w:ind w:left="306"/>
              <w:jc w:val="left"/>
            </w:pPr>
            <w:r>
              <w:t>Most</w:t>
            </w:r>
            <w:r>
              <w:rPr>
                <w:spacing w:val="-6"/>
              </w:rPr>
              <w:t xml:space="preserve"> </w:t>
            </w:r>
            <w:r>
              <w:t>of</w:t>
            </w:r>
            <w:r>
              <w:rPr>
                <w:spacing w:val="-2"/>
              </w:rPr>
              <w:t xml:space="preserve"> </w:t>
            </w:r>
            <w:r>
              <w:t xml:space="preserve">the </w:t>
            </w:r>
            <w:r>
              <w:rPr>
                <w:spacing w:val="-4"/>
              </w:rPr>
              <w:t>time</w:t>
            </w:r>
          </w:p>
        </w:tc>
        <w:tc>
          <w:tcPr>
            <w:tcW w:w="2719" w:type="dxa"/>
            <w:tcBorders>
              <w:left w:val="nil"/>
              <w:right w:val="nil"/>
            </w:tcBorders>
          </w:tcPr>
          <w:p w:rsidR="00200FDA" w:rsidRDefault="00F76C4C">
            <w:pPr>
              <w:pStyle w:val="TableParagraph"/>
              <w:ind w:left="1317" w:right="138"/>
            </w:pPr>
            <w:r>
              <w:rPr>
                <w:spacing w:val="-2"/>
              </w:rPr>
              <w:t>20.5%</w:t>
            </w:r>
          </w:p>
        </w:tc>
        <w:tc>
          <w:tcPr>
            <w:tcW w:w="1522" w:type="dxa"/>
            <w:tcBorders>
              <w:left w:val="nil"/>
            </w:tcBorders>
          </w:tcPr>
          <w:p w:rsidR="00200FDA" w:rsidRDefault="00F76C4C">
            <w:pPr>
              <w:pStyle w:val="TableParagraph"/>
              <w:ind w:left="141" w:right="136"/>
            </w:pPr>
            <w:r>
              <w:rPr>
                <w:spacing w:val="-2"/>
              </w:rPr>
              <w:t>35.5%</w:t>
            </w:r>
          </w:p>
        </w:tc>
      </w:tr>
      <w:tr w:rsidR="00200FDA">
        <w:trPr>
          <w:trHeight w:val="309"/>
        </w:trPr>
        <w:tc>
          <w:tcPr>
            <w:tcW w:w="3224" w:type="dxa"/>
            <w:tcBorders>
              <w:right w:val="nil"/>
            </w:tcBorders>
            <w:shd w:val="clear" w:color="auto" w:fill="C6E1F9"/>
          </w:tcPr>
          <w:p w:rsidR="00200FDA" w:rsidRDefault="00F76C4C">
            <w:pPr>
              <w:pStyle w:val="TableParagraph"/>
              <w:spacing w:before="1" w:line="240" w:lineRule="auto"/>
              <w:jc w:val="left"/>
            </w:pPr>
            <w:r>
              <w:rPr>
                <w:spacing w:val="-2"/>
              </w:rPr>
              <w:t>Always</w:t>
            </w:r>
          </w:p>
        </w:tc>
        <w:tc>
          <w:tcPr>
            <w:tcW w:w="2719" w:type="dxa"/>
            <w:tcBorders>
              <w:left w:val="nil"/>
              <w:right w:val="nil"/>
            </w:tcBorders>
            <w:shd w:val="clear" w:color="auto" w:fill="C6E1F9"/>
          </w:tcPr>
          <w:p w:rsidR="00200FDA" w:rsidRDefault="00F76C4C">
            <w:pPr>
              <w:pStyle w:val="TableParagraph"/>
              <w:spacing w:before="1" w:line="240" w:lineRule="auto"/>
              <w:ind w:left="1317" w:right="138"/>
            </w:pPr>
            <w:r>
              <w:rPr>
                <w:spacing w:val="-4"/>
              </w:rPr>
              <w:t>8.3%</w:t>
            </w:r>
          </w:p>
        </w:tc>
        <w:tc>
          <w:tcPr>
            <w:tcW w:w="1522" w:type="dxa"/>
            <w:tcBorders>
              <w:left w:val="nil"/>
            </w:tcBorders>
            <w:shd w:val="clear" w:color="auto" w:fill="C6E1F9"/>
          </w:tcPr>
          <w:p w:rsidR="00200FDA" w:rsidRDefault="00F76C4C">
            <w:pPr>
              <w:pStyle w:val="TableParagraph"/>
              <w:spacing w:before="1" w:line="240" w:lineRule="auto"/>
              <w:ind w:left="141" w:right="136"/>
            </w:pPr>
            <w:r>
              <w:rPr>
                <w:spacing w:val="-2"/>
              </w:rPr>
              <w:t>31.0%</w:t>
            </w:r>
          </w:p>
        </w:tc>
      </w:tr>
      <w:tr w:rsidR="00200FDA">
        <w:trPr>
          <w:trHeight w:val="309"/>
        </w:trPr>
        <w:tc>
          <w:tcPr>
            <w:tcW w:w="7465" w:type="dxa"/>
            <w:gridSpan w:val="3"/>
          </w:tcPr>
          <w:p w:rsidR="00200FDA" w:rsidRDefault="00F76C4C">
            <w:pPr>
              <w:pStyle w:val="TableParagraph"/>
              <w:ind w:left="107"/>
              <w:jc w:val="left"/>
            </w:pPr>
            <w:r>
              <w:t>Physical</w:t>
            </w:r>
            <w:r>
              <w:rPr>
                <w:spacing w:val="-9"/>
              </w:rPr>
              <w:t xml:space="preserve"> </w:t>
            </w:r>
            <w:r>
              <w:t>abuse</w:t>
            </w:r>
            <w:r>
              <w:rPr>
                <w:spacing w:val="-4"/>
              </w:rPr>
              <w:t xml:space="preserve"> </w:t>
            </w:r>
            <w:r>
              <w:t>during</w:t>
            </w:r>
            <w:r>
              <w:rPr>
                <w:spacing w:val="-5"/>
              </w:rPr>
              <w:t xml:space="preserve"> </w:t>
            </w:r>
            <w:r>
              <w:t>COVID-</w:t>
            </w:r>
            <w:r>
              <w:rPr>
                <w:spacing w:val="-4"/>
              </w:rPr>
              <w:t>19***</w:t>
            </w:r>
          </w:p>
        </w:tc>
      </w:tr>
      <w:tr w:rsidR="00200FDA">
        <w:trPr>
          <w:trHeight w:val="309"/>
        </w:trPr>
        <w:tc>
          <w:tcPr>
            <w:tcW w:w="3224" w:type="dxa"/>
            <w:tcBorders>
              <w:right w:val="nil"/>
            </w:tcBorders>
            <w:shd w:val="clear" w:color="auto" w:fill="C6E1F9"/>
          </w:tcPr>
          <w:p w:rsidR="00200FDA" w:rsidRDefault="00F76C4C">
            <w:pPr>
              <w:pStyle w:val="TableParagraph"/>
              <w:jc w:val="left"/>
            </w:pPr>
            <w:r>
              <w:rPr>
                <w:spacing w:val="-4"/>
              </w:rPr>
              <w:t>Never</w:t>
            </w:r>
          </w:p>
        </w:tc>
        <w:tc>
          <w:tcPr>
            <w:tcW w:w="2719" w:type="dxa"/>
            <w:tcBorders>
              <w:left w:val="nil"/>
              <w:right w:val="nil"/>
            </w:tcBorders>
            <w:shd w:val="clear" w:color="auto" w:fill="C6E1F9"/>
          </w:tcPr>
          <w:p w:rsidR="00200FDA" w:rsidRDefault="00F76C4C">
            <w:pPr>
              <w:pStyle w:val="TableParagraph"/>
              <w:ind w:left="1317" w:right="138"/>
            </w:pPr>
            <w:r>
              <w:rPr>
                <w:spacing w:val="-2"/>
              </w:rPr>
              <w:t>91.2%</w:t>
            </w:r>
          </w:p>
        </w:tc>
        <w:tc>
          <w:tcPr>
            <w:tcW w:w="1522" w:type="dxa"/>
            <w:tcBorders>
              <w:left w:val="nil"/>
            </w:tcBorders>
            <w:shd w:val="clear" w:color="auto" w:fill="C6E1F9"/>
          </w:tcPr>
          <w:p w:rsidR="00200FDA" w:rsidRDefault="00F76C4C">
            <w:pPr>
              <w:pStyle w:val="TableParagraph"/>
              <w:ind w:left="141" w:right="136"/>
            </w:pPr>
            <w:r>
              <w:rPr>
                <w:spacing w:val="-2"/>
              </w:rPr>
              <w:t>83.6%</w:t>
            </w:r>
          </w:p>
        </w:tc>
      </w:tr>
      <w:tr w:rsidR="00200FDA">
        <w:trPr>
          <w:trHeight w:val="309"/>
        </w:trPr>
        <w:tc>
          <w:tcPr>
            <w:tcW w:w="3224" w:type="dxa"/>
            <w:tcBorders>
              <w:right w:val="nil"/>
            </w:tcBorders>
          </w:tcPr>
          <w:p w:rsidR="00200FDA" w:rsidRDefault="00F76C4C">
            <w:pPr>
              <w:pStyle w:val="TableParagraph"/>
              <w:jc w:val="left"/>
            </w:pPr>
            <w:r>
              <w:rPr>
                <w:spacing w:val="-2"/>
              </w:rPr>
              <w:t>Rarely</w:t>
            </w:r>
          </w:p>
        </w:tc>
        <w:tc>
          <w:tcPr>
            <w:tcW w:w="2719" w:type="dxa"/>
            <w:tcBorders>
              <w:left w:val="nil"/>
              <w:right w:val="nil"/>
            </w:tcBorders>
          </w:tcPr>
          <w:p w:rsidR="00200FDA" w:rsidRDefault="00F76C4C">
            <w:pPr>
              <w:pStyle w:val="TableParagraph"/>
              <w:ind w:left="1317" w:right="138"/>
            </w:pPr>
            <w:r>
              <w:rPr>
                <w:spacing w:val="-4"/>
              </w:rPr>
              <w:t>6.1%</w:t>
            </w:r>
          </w:p>
        </w:tc>
        <w:tc>
          <w:tcPr>
            <w:tcW w:w="1522" w:type="dxa"/>
            <w:tcBorders>
              <w:left w:val="nil"/>
            </w:tcBorders>
          </w:tcPr>
          <w:p w:rsidR="00200FDA" w:rsidRDefault="00F76C4C">
            <w:pPr>
              <w:pStyle w:val="TableParagraph"/>
              <w:ind w:left="141" w:right="136"/>
            </w:pPr>
            <w:r>
              <w:rPr>
                <w:spacing w:val="-2"/>
              </w:rPr>
              <w:t>10.3%</w:t>
            </w:r>
          </w:p>
        </w:tc>
      </w:tr>
      <w:tr w:rsidR="00200FDA">
        <w:trPr>
          <w:trHeight w:val="309"/>
        </w:trPr>
        <w:tc>
          <w:tcPr>
            <w:tcW w:w="3224" w:type="dxa"/>
            <w:tcBorders>
              <w:right w:val="nil"/>
            </w:tcBorders>
            <w:shd w:val="clear" w:color="auto" w:fill="C6E1F9"/>
          </w:tcPr>
          <w:p w:rsidR="00200FDA" w:rsidRDefault="00F76C4C">
            <w:pPr>
              <w:pStyle w:val="TableParagraph"/>
              <w:jc w:val="left"/>
            </w:pPr>
            <w:r>
              <w:rPr>
                <w:spacing w:val="-2"/>
              </w:rPr>
              <w:t>Sometimes</w:t>
            </w:r>
          </w:p>
        </w:tc>
        <w:tc>
          <w:tcPr>
            <w:tcW w:w="2719" w:type="dxa"/>
            <w:tcBorders>
              <w:left w:val="nil"/>
              <w:right w:val="nil"/>
            </w:tcBorders>
            <w:shd w:val="clear" w:color="auto" w:fill="C6E1F9"/>
          </w:tcPr>
          <w:p w:rsidR="00200FDA" w:rsidRDefault="00F76C4C">
            <w:pPr>
              <w:pStyle w:val="TableParagraph"/>
              <w:ind w:left="1317" w:right="138"/>
            </w:pPr>
            <w:r>
              <w:rPr>
                <w:spacing w:val="-4"/>
              </w:rPr>
              <w:t>2.0%</w:t>
            </w:r>
          </w:p>
        </w:tc>
        <w:tc>
          <w:tcPr>
            <w:tcW w:w="1522" w:type="dxa"/>
            <w:tcBorders>
              <w:left w:val="nil"/>
            </w:tcBorders>
            <w:shd w:val="clear" w:color="auto" w:fill="C6E1F9"/>
          </w:tcPr>
          <w:p w:rsidR="00200FDA" w:rsidRDefault="00F76C4C">
            <w:pPr>
              <w:pStyle w:val="TableParagraph"/>
              <w:ind w:left="142" w:right="136"/>
            </w:pPr>
            <w:r>
              <w:rPr>
                <w:spacing w:val="-4"/>
              </w:rPr>
              <w:t>5.4%</w:t>
            </w:r>
          </w:p>
        </w:tc>
      </w:tr>
      <w:tr w:rsidR="00200FDA">
        <w:trPr>
          <w:trHeight w:val="309"/>
        </w:trPr>
        <w:tc>
          <w:tcPr>
            <w:tcW w:w="3224" w:type="dxa"/>
            <w:tcBorders>
              <w:right w:val="nil"/>
            </w:tcBorders>
          </w:tcPr>
          <w:p w:rsidR="00200FDA" w:rsidRDefault="00F76C4C">
            <w:pPr>
              <w:pStyle w:val="TableParagraph"/>
              <w:ind w:left="306"/>
              <w:jc w:val="left"/>
            </w:pPr>
            <w:r>
              <w:t>Most</w:t>
            </w:r>
            <w:r>
              <w:rPr>
                <w:spacing w:val="-6"/>
              </w:rPr>
              <w:t xml:space="preserve"> </w:t>
            </w:r>
            <w:r>
              <w:t>of</w:t>
            </w:r>
            <w:r>
              <w:rPr>
                <w:spacing w:val="-2"/>
              </w:rPr>
              <w:t xml:space="preserve"> </w:t>
            </w:r>
            <w:r>
              <w:t xml:space="preserve">the </w:t>
            </w:r>
            <w:r>
              <w:rPr>
                <w:spacing w:val="-4"/>
              </w:rPr>
              <w:t>time</w:t>
            </w:r>
          </w:p>
        </w:tc>
        <w:tc>
          <w:tcPr>
            <w:tcW w:w="2719" w:type="dxa"/>
            <w:tcBorders>
              <w:left w:val="nil"/>
              <w:right w:val="nil"/>
            </w:tcBorders>
          </w:tcPr>
          <w:p w:rsidR="00200FDA" w:rsidRDefault="00F76C4C">
            <w:pPr>
              <w:pStyle w:val="TableParagraph"/>
              <w:ind w:left="1317" w:right="138"/>
            </w:pPr>
            <w:r>
              <w:rPr>
                <w:spacing w:val="-4"/>
              </w:rPr>
              <w:t>0.4%</w:t>
            </w:r>
          </w:p>
        </w:tc>
        <w:tc>
          <w:tcPr>
            <w:tcW w:w="1522" w:type="dxa"/>
            <w:tcBorders>
              <w:left w:val="nil"/>
            </w:tcBorders>
          </w:tcPr>
          <w:p w:rsidR="00200FDA" w:rsidRDefault="00F76C4C">
            <w:pPr>
              <w:pStyle w:val="TableParagraph"/>
              <w:ind w:left="142" w:right="136"/>
            </w:pPr>
            <w:r>
              <w:rPr>
                <w:spacing w:val="-4"/>
              </w:rPr>
              <w:t>0.4%</w:t>
            </w:r>
          </w:p>
        </w:tc>
      </w:tr>
      <w:tr w:rsidR="00200FDA">
        <w:trPr>
          <w:trHeight w:val="306"/>
        </w:trPr>
        <w:tc>
          <w:tcPr>
            <w:tcW w:w="3224" w:type="dxa"/>
            <w:tcBorders>
              <w:right w:val="nil"/>
            </w:tcBorders>
            <w:shd w:val="clear" w:color="auto" w:fill="C6E1F9"/>
          </w:tcPr>
          <w:p w:rsidR="00200FDA" w:rsidRDefault="00F76C4C">
            <w:pPr>
              <w:pStyle w:val="TableParagraph"/>
              <w:jc w:val="left"/>
            </w:pPr>
            <w:r>
              <w:rPr>
                <w:spacing w:val="-2"/>
              </w:rPr>
              <w:t>Always</w:t>
            </w:r>
          </w:p>
        </w:tc>
        <w:tc>
          <w:tcPr>
            <w:tcW w:w="2719" w:type="dxa"/>
            <w:tcBorders>
              <w:left w:val="nil"/>
              <w:right w:val="nil"/>
            </w:tcBorders>
            <w:shd w:val="clear" w:color="auto" w:fill="C6E1F9"/>
          </w:tcPr>
          <w:p w:rsidR="00200FDA" w:rsidRDefault="00F76C4C">
            <w:pPr>
              <w:pStyle w:val="TableParagraph"/>
              <w:ind w:left="1317" w:right="138"/>
            </w:pPr>
            <w:r>
              <w:rPr>
                <w:spacing w:val="-4"/>
              </w:rPr>
              <w:t>0.3%</w:t>
            </w:r>
          </w:p>
        </w:tc>
        <w:tc>
          <w:tcPr>
            <w:tcW w:w="1522" w:type="dxa"/>
            <w:tcBorders>
              <w:left w:val="nil"/>
            </w:tcBorders>
            <w:shd w:val="clear" w:color="auto" w:fill="C6E1F9"/>
          </w:tcPr>
          <w:p w:rsidR="00200FDA" w:rsidRDefault="00F76C4C">
            <w:pPr>
              <w:pStyle w:val="TableParagraph"/>
              <w:ind w:left="142" w:right="136"/>
            </w:pPr>
            <w:r>
              <w:rPr>
                <w:spacing w:val="-4"/>
              </w:rPr>
              <w:t>0.4%</w:t>
            </w:r>
          </w:p>
        </w:tc>
      </w:tr>
      <w:tr w:rsidR="00200FDA">
        <w:trPr>
          <w:trHeight w:val="309"/>
        </w:trPr>
        <w:tc>
          <w:tcPr>
            <w:tcW w:w="7465" w:type="dxa"/>
            <w:gridSpan w:val="3"/>
          </w:tcPr>
          <w:p w:rsidR="00200FDA" w:rsidRDefault="00F76C4C">
            <w:pPr>
              <w:pStyle w:val="TableParagraph"/>
              <w:spacing w:before="1" w:line="240" w:lineRule="auto"/>
              <w:ind w:left="107"/>
              <w:jc w:val="left"/>
            </w:pPr>
            <w:r>
              <w:t>Physical</w:t>
            </w:r>
            <w:r>
              <w:rPr>
                <w:spacing w:val="-8"/>
              </w:rPr>
              <w:t xml:space="preserve"> </w:t>
            </w:r>
            <w:r>
              <w:t>abuse</w:t>
            </w:r>
            <w:r>
              <w:rPr>
                <w:spacing w:val="-1"/>
              </w:rPr>
              <w:t xml:space="preserve"> </w:t>
            </w:r>
            <w:r>
              <w:t>at</w:t>
            </w:r>
            <w:r>
              <w:rPr>
                <w:spacing w:val="-2"/>
              </w:rPr>
              <w:t xml:space="preserve"> </w:t>
            </w:r>
            <w:r>
              <w:t>any</w:t>
            </w:r>
            <w:r>
              <w:rPr>
                <w:spacing w:val="-3"/>
              </w:rPr>
              <w:t xml:space="preserve"> </w:t>
            </w:r>
            <w:r>
              <w:rPr>
                <w:spacing w:val="-2"/>
              </w:rPr>
              <w:t>time***</w:t>
            </w:r>
          </w:p>
        </w:tc>
      </w:tr>
      <w:tr w:rsidR="00200FDA">
        <w:trPr>
          <w:trHeight w:val="309"/>
        </w:trPr>
        <w:tc>
          <w:tcPr>
            <w:tcW w:w="3224" w:type="dxa"/>
            <w:tcBorders>
              <w:right w:val="nil"/>
            </w:tcBorders>
            <w:shd w:val="clear" w:color="auto" w:fill="C6E1F9"/>
          </w:tcPr>
          <w:p w:rsidR="00200FDA" w:rsidRDefault="00F76C4C">
            <w:pPr>
              <w:pStyle w:val="TableParagraph"/>
              <w:jc w:val="left"/>
            </w:pPr>
            <w:r>
              <w:rPr>
                <w:spacing w:val="-4"/>
              </w:rPr>
              <w:t>Never</w:t>
            </w:r>
          </w:p>
        </w:tc>
        <w:tc>
          <w:tcPr>
            <w:tcW w:w="2719" w:type="dxa"/>
            <w:tcBorders>
              <w:left w:val="nil"/>
              <w:right w:val="nil"/>
            </w:tcBorders>
            <w:shd w:val="clear" w:color="auto" w:fill="C6E1F9"/>
          </w:tcPr>
          <w:p w:rsidR="00200FDA" w:rsidRDefault="00F76C4C">
            <w:pPr>
              <w:pStyle w:val="TableParagraph"/>
              <w:ind w:left="1317" w:right="138"/>
            </w:pPr>
            <w:r>
              <w:rPr>
                <w:spacing w:val="-2"/>
              </w:rPr>
              <w:t>77.4%</w:t>
            </w:r>
          </w:p>
        </w:tc>
        <w:tc>
          <w:tcPr>
            <w:tcW w:w="1522" w:type="dxa"/>
            <w:tcBorders>
              <w:left w:val="nil"/>
            </w:tcBorders>
            <w:shd w:val="clear" w:color="auto" w:fill="C6E1F9"/>
          </w:tcPr>
          <w:p w:rsidR="00200FDA" w:rsidRDefault="00F76C4C">
            <w:pPr>
              <w:pStyle w:val="TableParagraph"/>
              <w:ind w:left="141" w:right="136"/>
            </w:pPr>
            <w:r>
              <w:rPr>
                <w:spacing w:val="-2"/>
              </w:rPr>
              <w:t>61.1%</w:t>
            </w:r>
          </w:p>
        </w:tc>
      </w:tr>
      <w:tr w:rsidR="00200FDA">
        <w:trPr>
          <w:trHeight w:val="309"/>
        </w:trPr>
        <w:tc>
          <w:tcPr>
            <w:tcW w:w="3224" w:type="dxa"/>
            <w:tcBorders>
              <w:right w:val="nil"/>
            </w:tcBorders>
          </w:tcPr>
          <w:p w:rsidR="00200FDA" w:rsidRDefault="00F76C4C">
            <w:pPr>
              <w:pStyle w:val="TableParagraph"/>
              <w:jc w:val="left"/>
            </w:pPr>
            <w:r>
              <w:rPr>
                <w:spacing w:val="-2"/>
              </w:rPr>
              <w:t>Rarely</w:t>
            </w:r>
          </w:p>
        </w:tc>
        <w:tc>
          <w:tcPr>
            <w:tcW w:w="2719" w:type="dxa"/>
            <w:tcBorders>
              <w:left w:val="nil"/>
              <w:right w:val="nil"/>
            </w:tcBorders>
          </w:tcPr>
          <w:p w:rsidR="00200FDA" w:rsidRDefault="00F76C4C">
            <w:pPr>
              <w:pStyle w:val="TableParagraph"/>
              <w:ind w:left="1317" w:right="138"/>
            </w:pPr>
            <w:r>
              <w:rPr>
                <w:spacing w:val="-2"/>
              </w:rPr>
              <w:t>16.3%</w:t>
            </w:r>
          </w:p>
        </w:tc>
        <w:tc>
          <w:tcPr>
            <w:tcW w:w="1522" w:type="dxa"/>
            <w:tcBorders>
              <w:left w:val="nil"/>
            </w:tcBorders>
          </w:tcPr>
          <w:p w:rsidR="00200FDA" w:rsidRDefault="00F76C4C">
            <w:pPr>
              <w:pStyle w:val="TableParagraph"/>
              <w:ind w:left="141" w:right="136"/>
            </w:pPr>
            <w:r>
              <w:rPr>
                <w:spacing w:val="-2"/>
              </w:rPr>
              <w:t>21.9%</w:t>
            </w:r>
          </w:p>
        </w:tc>
      </w:tr>
      <w:tr w:rsidR="00200FDA">
        <w:trPr>
          <w:trHeight w:val="309"/>
        </w:trPr>
        <w:tc>
          <w:tcPr>
            <w:tcW w:w="3224" w:type="dxa"/>
            <w:tcBorders>
              <w:right w:val="nil"/>
            </w:tcBorders>
            <w:shd w:val="clear" w:color="auto" w:fill="C6E1F9"/>
          </w:tcPr>
          <w:p w:rsidR="00200FDA" w:rsidRDefault="00F76C4C">
            <w:pPr>
              <w:pStyle w:val="TableParagraph"/>
              <w:jc w:val="left"/>
            </w:pPr>
            <w:r>
              <w:rPr>
                <w:spacing w:val="-2"/>
              </w:rPr>
              <w:t>Sometimes</w:t>
            </w:r>
          </w:p>
        </w:tc>
        <w:tc>
          <w:tcPr>
            <w:tcW w:w="2719" w:type="dxa"/>
            <w:tcBorders>
              <w:left w:val="nil"/>
              <w:right w:val="nil"/>
            </w:tcBorders>
            <w:shd w:val="clear" w:color="auto" w:fill="C6E1F9"/>
          </w:tcPr>
          <w:p w:rsidR="00200FDA" w:rsidRDefault="00F76C4C">
            <w:pPr>
              <w:pStyle w:val="TableParagraph"/>
              <w:ind w:left="1317" w:right="138"/>
            </w:pPr>
            <w:r>
              <w:rPr>
                <w:spacing w:val="-4"/>
              </w:rPr>
              <w:t>5.8%</w:t>
            </w:r>
          </w:p>
        </w:tc>
        <w:tc>
          <w:tcPr>
            <w:tcW w:w="1522" w:type="dxa"/>
            <w:tcBorders>
              <w:left w:val="nil"/>
            </w:tcBorders>
            <w:shd w:val="clear" w:color="auto" w:fill="C6E1F9"/>
          </w:tcPr>
          <w:p w:rsidR="00200FDA" w:rsidRDefault="00F76C4C">
            <w:pPr>
              <w:pStyle w:val="TableParagraph"/>
              <w:ind w:left="141" w:right="136"/>
            </w:pPr>
            <w:r>
              <w:rPr>
                <w:spacing w:val="-2"/>
              </w:rPr>
              <w:t>12.1%</w:t>
            </w:r>
          </w:p>
        </w:tc>
      </w:tr>
      <w:tr w:rsidR="00200FDA">
        <w:trPr>
          <w:trHeight w:val="309"/>
        </w:trPr>
        <w:tc>
          <w:tcPr>
            <w:tcW w:w="3224" w:type="dxa"/>
            <w:tcBorders>
              <w:right w:val="nil"/>
            </w:tcBorders>
          </w:tcPr>
          <w:p w:rsidR="00200FDA" w:rsidRDefault="00F76C4C">
            <w:pPr>
              <w:pStyle w:val="TableParagraph"/>
              <w:ind w:left="306"/>
              <w:jc w:val="left"/>
            </w:pPr>
            <w:r>
              <w:t>Most</w:t>
            </w:r>
            <w:r>
              <w:rPr>
                <w:spacing w:val="-6"/>
              </w:rPr>
              <w:t xml:space="preserve"> </w:t>
            </w:r>
            <w:r>
              <w:t>of</w:t>
            </w:r>
            <w:r>
              <w:rPr>
                <w:spacing w:val="-2"/>
              </w:rPr>
              <w:t xml:space="preserve"> </w:t>
            </w:r>
            <w:r>
              <w:t xml:space="preserve">the </w:t>
            </w:r>
            <w:r>
              <w:rPr>
                <w:spacing w:val="-4"/>
              </w:rPr>
              <w:t>time</w:t>
            </w:r>
          </w:p>
        </w:tc>
        <w:tc>
          <w:tcPr>
            <w:tcW w:w="2719" w:type="dxa"/>
            <w:tcBorders>
              <w:left w:val="nil"/>
              <w:right w:val="nil"/>
            </w:tcBorders>
          </w:tcPr>
          <w:p w:rsidR="00200FDA" w:rsidRDefault="00F76C4C">
            <w:pPr>
              <w:pStyle w:val="TableParagraph"/>
              <w:ind w:left="1317" w:right="138"/>
            </w:pPr>
            <w:r>
              <w:rPr>
                <w:spacing w:val="-4"/>
              </w:rPr>
              <w:t>0.3%</w:t>
            </w:r>
          </w:p>
        </w:tc>
        <w:tc>
          <w:tcPr>
            <w:tcW w:w="1522" w:type="dxa"/>
            <w:tcBorders>
              <w:left w:val="nil"/>
            </w:tcBorders>
          </w:tcPr>
          <w:p w:rsidR="00200FDA" w:rsidRDefault="00F76C4C">
            <w:pPr>
              <w:pStyle w:val="TableParagraph"/>
              <w:ind w:left="142" w:right="136"/>
            </w:pPr>
            <w:r>
              <w:rPr>
                <w:spacing w:val="-4"/>
              </w:rPr>
              <w:t>3.8%</w:t>
            </w:r>
          </w:p>
        </w:tc>
      </w:tr>
      <w:tr w:rsidR="00200FDA">
        <w:trPr>
          <w:trHeight w:val="306"/>
        </w:trPr>
        <w:tc>
          <w:tcPr>
            <w:tcW w:w="3224" w:type="dxa"/>
            <w:tcBorders>
              <w:right w:val="nil"/>
            </w:tcBorders>
            <w:shd w:val="clear" w:color="auto" w:fill="C6E1F9"/>
          </w:tcPr>
          <w:p w:rsidR="00200FDA" w:rsidRDefault="00F76C4C">
            <w:pPr>
              <w:pStyle w:val="TableParagraph"/>
              <w:jc w:val="left"/>
            </w:pPr>
            <w:r>
              <w:rPr>
                <w:spacing w:val="-2"/>
              </w:rPr>
              <w:t>Always</w:t>
            </w:r>
          </w:p>
        </w:tc>
        <w:tc>
          <w:tcPr>
            <w:tcW w:w="2719" w:type="dxa"/>
            <w:tcBorders>
              <w:left w:val="nil"/>
              <w:right w:val="nil"/>
            </w:tcBorders>
            <w:shd w:val="clear" w:color="auto" w:fill="C6E1F9"/>
          </w:tcPr>
          <w:p w:rsidR="00200FDA" w:rsidRDefault="00F76C4C">
            <w:pPr>
              <w:pStyle w:val="TableParagraph"/>
              <w:ind w:left="1317" w:right="138"/>
            </w:pPr>
            <w:r>
              <w:rPr>
                <w:spacing w:val="-4"/>
              </w:rPr>
              <w:t>0.2%</w:t>
            </w:r>
          </w:p>
        </w:tc>
        <w:tc>
          <w:tcPr>
            <w:tcW w:w="1522" w:type="dxa"/>
            <w:tcBorders>
              <w:left w:val="nil"/>
            </w:tcBorders>
            <w:shd w:val="clear" w:color="auto" w:fill="C6E1F9"/>
          </w:tcPr>
          <w:p w:rsidR="00200FDA" w:rsidRDefault="00F76C4C">
            <w:pPr>
              <w:pStyle w:val="TableParagraph"/>
              <w:ind w:left="142" w:right="136"/>
            </w:pPr>
            <w:r>
              <w:rPr>
                <w:spacing w:val="-4"/>
              </w:rPr>
              <w:t>1.1%</w:t>
            </w:r>
          </w:p>
        </w:tc>
      </w:tr>
      <w:tr w:rsidR="00200FDA">
        <w:trPr>
          <w:trHeight w:val="309"/>
        </w:trPr>
        <w:tc>
          <w:tcPr>
            <w:tcW w:w="7465" w:type="dxa"/>
            <w:gridSpan w:val="3"/>
          </w:tcPr>
          <w:p w:rsidR="00200FDA" w:rsidRDefault="00F76C4C">
            <w:pPr>
              <w:pStyle w:val="TableParagraph"/>
              <w:spacing w:before="1" w:line="240" w:lineRule="auto"/>
              <w:ind w:left="107"/>
              <w:jc w:val="left"/>
            </w:pPr>
            <w:r>
              <w:t>Physical</w:t>
            </w:r>
            <w:r>
              <w:rPr>
                <w:spacing w:val="-5"/>
              </w:rPr>
              <w:t xml:space="preserve"> </w:t>
            </w:r>
            <w:r>
              <w:t>needs</w:t>
            </w:r>
            <w:r>
              <w:rPr>
                <w:spacing w:val="-3"/>
              </w:rPr>
              <w:t xml:space="preserve"> </w:t>
            </w:r>
            <w:r>
              <w:t>not</w:t>
            </w:r>
            <w:r>
              <w:rPr>
                <w:spacing w:val="-3"/>
              </w:rPr>
              <w:t xml:space="preserve"> </w:t>
            </w:r>
            <w:r>
              <w:rPr>
                <w:spacing w:val="-2"/>
              </w:rPr>
              <w:t>met***</w:t>
            </w:r>
          </w:p>
        </w:tc>
      </w:tr>
      <w:tr w:rsidR="00200FDA">
        <w:trPr>
          <w:trHeight w:val="309"/>
        </w:trPr>
        <w:tc>
          <w:tcPr>
            <w:tcW w:w="3224" w:type="dxa"/>
            <w:tcBorders>
              <w:right w:val="nil"/>
            </w:tcBorders>
            <w:shd w:val="clear" w:color="auto" w:fill="C6E1F9"/>
          </w:tcPr>
          <w:p w:rsidR="00200FDA" w:rsidRDefault="00F76C4C">
            <w:pPr>
              <w:pStyle w:val="TableParagraph"/>
              <w:spacing w:before="1" w:line="240" w:lineRule="auto"/>
              <w:jc w:val="left"/>
            </w:pPr>
            <w:r>
              <w:rPr>
                <w:spacing w:val="-4"/>
              </w:rPr>
              <w:t>Never</w:t>
            </w:r>
          </w:p>
        </w:tc>
        <w:tc>
          <w:tcPr>
            <w:tcW w:w="2719" w:type="dxa"/>
            <w:tcBorders>
              <w:left w:val="nil"/>
              <w:right w:val="nil"/>
            </w:tcBorders>
            <w:shd w:val="clear" w:color="auto" w:fill="C6E1F9"/>
          </w:tcPr>
          <w:p w:rsidR="00200FDA" w:rsidRDefault="00F76C4C">
            <w:pPr>
              <w:pStyle w:val="TableParagraph"/>
              <w:spacing w:before="1" w:line="240" w:lineRule="auto"/>
              <w:ind w:left="1317" w:right="138"/>
            </w:pPr>
            <w:r>
              <w:rPr>
                <w:spacing w:val="-4"/>
              </w:rPr>
              <w:t>4.7%</w:t>
            </w:r>
          </w:p>
        </w:tc>
        <w:tc>
          <w:tcPr>
            <w:tcW w:w="1522" w:type="dxa"/>
            <w:tcBorders>
              <w:left w:val="nil"/>
            </w:tcBorders>
            <w:shd w:val="clear" w:color="auto" w:fill="C6E1F9"/>
          </w:tcPr>
          <w:p w:rsidR="00200FDA" w:rsidRDefault="00F76C4C">
            <w:pPr>
              <w:pStyle w:val="TableParagraph"/>
              <w:spacing w:before="1" w:line="240" w:lineRule="auto"/>
              <w:ind w:left="142" w:right="136"/>
            </w:pPr>
            <w:r>
              <w:rPr>
                <w:spacing w:val="-4"/>
              </w:rPr>
              <w:t>2.8%</w:t>
            </w:r>
          </w:p>
        </w:tc>
      </w:tr>
      <w:tr w:rsidR="00200FDA">
        <w:trPr>
          <w:trHeight w:val="309"/>
        </w:trPr>
        <w:tc>
          <w:tcPr>
            <w:tcW w:w="3224" w:type="dxa"/>
            <w:tcBorders>
              <w:right w:val="nil"/>
            </w:tcBorders>
          </w:tcPr>
          <w:p w:rsidR="00200FDA" w:rsidRDefault="00F76C4C">
            <w:pPr>
              <w:pStyle w:val="TableParagraph"/>
              <w:jc w:val="left"/>
            </w:pPr>
            <w:r>
              <w:rPr>
                <w:spacing w:val="-2"/>
              </w:rPr>
              <w:t>Rarely</w:t>
            </w:r>
          </w:p>
        </w:tc>
        <w:tc>
          <w:tcPr>
            <w:tcW w:w="2719" w:type="dxa"/>
            <w:tcBorders>
              <w:left w:val="nil"/>
              <w:right w:val="nil"/>
            </w:tcBorders>
          </w:tcPr>
          <w:p w:rsidR="00200FDA" w:rsidRDefault="00F76C4C">
            <w:pPr>
              <w:pStyle w:val="TableParagraph"/>
              <w:ind w:left="1317" w:right="138"/>
            </w:pPr>
            <w:r>
              <w:rPr>
                <w:spacing w:val="-4"/>
              </w:rPr>
              <w:t>2.6%</w:t>
            </w:r>
          </w:p>
        </w:tc>
        <w:tc>
          <w:tcPr>
            <w:tcW w:w="1522" w:type="dxa"/>
            <w:tcBorders>
              <w:left w:val="nil"/>
            </w:tcBorders>
          </w:tcPr>
          <w:p w:rsidR="00200FDA" w:rsidRDefault="00F76C4C">
            <w:pPr>
              <w:pStyle w:val="TableParagraph"/>
              <w:ind w:left="142" w:right="136"/>
            </w:pPr>
            <w:r>
              <w:rPr>
                <w:spacing w:val="-4"/>
              </w:rPr>
              <w:t>4.9%</w:t>
            </w:r>
          </w:p>
        </w:tc>
      </w:tr>
      <w:tr w:rsidR="00200FDA">
        <w:trPr>
          <w:trHeight w:val="309"/>
        </w:trPr>
        <w:tc>
          <w:tcPr>
            <w:tcW w:w="3224" w:type="dxa"/>
            <w:tcBorders>
              <w:right w:val="nil"/>
            </w:tcBorders>
            <w:shd w:val="clear" w:color="auto" w:fill="C6E1F9"/>
          </w:tcPr>
          <w:p w:rsidR="00200FDA" w:rsidRDefault="00F76C4C">
            <w:pPr>
              <w:pStyle w:val="TableParagraph"/>
              <w:jc w:val="left"/>
            </w:pPr>
            <w:r>
              <w:rPr>
                <w:spacing w:val="-2"/>
              </w:rPr>
              <w:t>Sometimes</w:t>
            </w:r>
          </w:p>
        </w:tc>
        <w:tc>
          <w:tcPr>
            <w:tcW w:w="2719" w:type="dxa"/>
            <w:tcBorders>
              <w:left w:val="nil"/>
              <w:right w:val="nil"/>
            </w:tcBorders>
            <w:shd w:val="clear" w:color="auto" w:fill="C6E1F9"/>
          </w:tcPr>
          <w:p w:rsidR="00200FDA" w:rsidRDefault="00F76C4C">
            <w:pPr>
              <w:pStyle w:val="TableParagraph"/>
              <w:ind w:left="1317" w:right="138"/>
            </w:pPr>
            <w:r>
              <w:rPr>
                <w:spacing w:val="-4"/>
              </w:rPr>
              <w:t>4.4%</w:t>
            </w:r>
          </w:p>
        </w:tc>
        <w:tc>
          <w:tcPr>
            <w:tcW w:w="1522" w:type="dxa"/>
            <w:tcBorders>
              <w:left w:val="nil"/>
            </w:tcBorders>
            <w:shd w:val="clear" w:color="auto" w:fill="C6E1F9"/>
          </w:tcPr>
          <w:p w:rsidR="00200FDA" w:rsidRDefault="00F76C4C">
            <w:pPr>
              <w:pStyle w:val="TableParagraph"/>
              <w:ind w:left="142" w:right="136"/>
            </w:pPr>
            <w:r>
              <w:rPr>
                <w:spacing w:val="-4"/>
              </w:rPr>
              <w:t>9.1%</w:t>
            </w:r>
          </w:p>
        </w:tc>
      </w:tr>
      <w:tr w:rsidR="00200FDA">
        <w:trPr>
          <w:trHeight w:val="309"/>
        </w:trPr>
        <w:tc>
          <w:tcPr>
            <w:tcW w:w="3224" w:type="dxa"/>
            <w:tcBorders>
              <w:right w:val="nil"/>
            </w:tcBorders>
          </w:tcPr>
          <w:p w:rsidR="00200FDA" w:rsidRDefault="00F76C4C">
            <w:pPr>
              <w:pStyle w:val="TableParagraph"/>
              <w:ind w:left="306"/>
              <w:jc w:val="left"/>
            </w:pPr>
            <w:r>
              <w:t>Most</w:t>
            </w:r>
            <w:r>
              <w:rPr>
                <w:spacing w:val="-6"/>
              </w:rPr>
              <w:t xml:space="preserve"> </w:t>
            </w:r>
            <w:r>
              <w:t>of</w:t>
            </w:r>
            <w:r>
              <w:rPr>
                <w:spacing w:val="-2"/>
              </w:rPr>
              <w:t xml:space="preserve"> </w:t>
            </w:r>
            <w:r>
              <w:t xml:space="preserve">the </w:t>
            </w:r>
            <w:r>
              <w:rPr>
                <w:spacing w:val="-4"/>
              </w:rPr>
              <w:t>time</w:t>
            </w:r>
          </w:p>
        </w:tc>
        <w:tc>
          <w:tcPr>
            <w:tcW w:w="2719" w:type="dxa"/>
            <w:tcBorders>
              <w:left w:val="nil"/>
              <w:right w:val="nil"/>
            </w:tcBorders>
          </w:tcPr>
          <w:p w:rsidR="00200FDA" w:rsidRDefault="00F76C4C">
            <w:pPr>
              <w:pStyle w:val="TableParagraph"/>
              <w:ind w:left="1317" w:right="138"/>
            </w:pPr>
            <w:r>
              <w:rPr>
                <w:spacing w:val="-2"/>
              </w:rPr>
              <w:t>13.5%</w:t>
            </w:r>
          </w:p>
        </w:tc>
        <w:tc>
          <w:tcPr>
            <w:tcW w:w="1522" w:type="dxa"/>
            <w:tcBorders>
              <w:left w:val="nil"/>
            </w:tcBorders>
          </w:tcPr>
          <w:p w:rsidR="00200FDA" w:rsidRDefault="00F76C4C">
            <w:pPr>
              <w:pStyle w:val="TableParagraph"/>
              <w:ind w:left="141" w:right="136"/>
            </w:pPr>
            <w:r>
              <w:rPr>
                <w:spacing w:val="-2"/>
              </w:rPr>
              <w:t>21.6%</w:t>
            </w:r>
          </w:p>
        </w:tc>
      </w:tr>
      <w:tr w:rsidR="00200FDA">
        <w:trPr>
          <w:trHeight w:val="309"/>
        </w:trPr>
        <w:tc>
          <w:tcPr>
            <w:tcW w:w="3224" w:type="dxa"/>
            <w:tcBorders>
              <w:right w:val="nil"/>
            </w:tcBorders>
            <w:shd w:val="clear" w:color="auto" w:fill="C6E1F9"/>
          </w:tcPr>
          <w:p w:rsidR="00200FDA" w:rsidRDefault="00F76C4C">
            <w:pPr>
              <w:pStyle w:val="TableParagraph"/>
              <w:jc w:val="left"/>
            </w:pPr>
            <w:r>
              <w:rPr>
                <w:spacing w:val="-2"/>
              </w:rPr>
              <w:t>Always</w:t>
            </w:r>
          </w:p>
        </w:tc>
        <w:tc>
          <w:tcPr>
            <w:tcW w:w="2719" w:type="dxa"/>
            <w:tcBorders>
              <w:left w:val="nil"/>
              <w:right w:val="nil"/>
            </w:tcBorders>
            <w:shd w:val="clear" w:color="auto" w:fill="C6E1F9"/>
          </w:tcPr>
          <w:p w:rsidR="00200FDA" w:rsidRDefault="00F76C4C">
            <w:pPr>
              <w:pStyle w:val="TableParagraph"/>
              <w:ind w:left="1317" w:right="138"/>
            </w:pPr>
            <w:r>
              <w:rPr>
                <w:spacing w:val="-2"/>
              </w:rPr>
              <w:t>74.8%</w:t>
            </w:r>
          </w:p>
        </w:tc>
        <w:tc>
          <w:tcPr>
            <w:tcW w:w="1522" w:type="dxa"/>
            <w:tcBorders>
              <w:left w:val="nil"/>
            </w:tcBorders>
            <w:shd w:val="clear" w:color="auto" w:fill="C6E1F9"/>
          </w:tcPr>
          <w:p w:rsidR="00200FDA" w:rsidRDefault="00F76C4C">
            <w:pPr>
              <w:pStyle w:val="TableParagraph"/>
              <w:ind w:left="141" w:right="136"/>
            </w:pPr>
            <w:r>
              <w:rPr>
                <w:spacing w:val="-2"/>
              </w:rPr>
              <w:t>61.6%</w:t>
            </w:r>
          </w:p>
        </w:tc>
      </w:tr>
    </w:tbl>
    <w:p w:rsidR="00200FDA" w:rsidRDefault="00F76C4C">
      <w:pPr>
        <w:spacing w:before="5"/>
        <w:ind w:left="860"/>
        <w:rPr>
          <w:sz w:val="18"/>
        </w:rPr>
      </w:pPr>
      <w:r>
        <w:rPr>
          <w:sz w:val="18"/>
        </w:rPr>
        <w:t>***</w:t>
      </w:r>
      <w:r>
        <w:rPr>
          <w:spacing w:val="-3"/>
          <w:sz w:val="18"/>
        </w:rPr>
        <w:t xml:space="preserve"> </w:t>
      </w:r>
      <w:r>
        <w:rPr>
          <w:spacing w:val="-2"/>
          <w:sz w:val="18"/>
        </w:rPr>
        <w:t>p&lt;.001</w:t>
      </w:r>
    </w:p>
    <w:p w:rsidR="00200FDA" w:rsidRDefault="00200FDA">
      <w:pPr>
        <w:pStyle w:val="BodyText"/>
        <w:spacing w:before="4"/>
      </w:pPr>
    </w:p>
    <w:p w:rsidR="00200FDA" w:rsidRDefault="00F76C4C">
      <w:pPr>
        <w:pStyle w:val="BodyText"/>
        <w:spacing w:line="276" w:lineRule="auto"/>
        <w:ind w:left="139" w:right="135"/>
        <w:jc w:val="both"/>
      </w:pPr>
      <w:r>
        <w:t>Comparative analyses of these questions for transgender and cisgender youth are provided in Table 2. Transgender youth were significantly more likely to report poor mental health status (p&lt;.001), adult physical abuse in the home during COVID-19 (p&lt;.001), a</w:t>
      </w:r>
      <w:r>
        <w:t>dult physical abuse ever in their lives (p&lt;.001), and physical neglect of their needs (p&lt;.001). Only 4.4% of transgender youth reported that their mental health</w:t>
      </w:r>
      <w:r>
        <w:rPr>
          <w:spacing w:val="-5"/>
        </w:rPr>
        <w:t xml:space="preserve"> </w:t>
      </w:r>
      <w:r>
        <w:t>status</w:t>
      </w:r>
      <w:r>
        <w:rPr>
          <w:spacing w:val="-7"/>
        </w:rPr>
        <w:t xml:space="preserve"> </w:t>
      </w:r>
      <w:r>
        <w:t>was</w:t>
      </w:r>
      <w:r>
        <w:rPr>
          <w:spacing w:val="-7"/>
        </w:rPr>
        <w:t xml:space="preserve"> </w:t>
      </w:r>
      <w:r>
        <w:t>never</w:t>
      </w:r>
      <w:r>
        <w:rPr>
          <w:spacing w:val="-4"/>
        </w:rPr>
        <w:t xml:space="preserve"> </w:t>
      </w:r>
      <w:r>
        <w:t>not</w:t>
      </w:r>
      <w:r>
        <w:rPr>
          <w:spacing w:val="-4"/>
        </w:rPr>
        <w:t xml:space="preserve"> </w:t>
      </w:r>
      <w:r>
        <w:t>good,</w:t>
      </w:r>
      <w:r>
        <w:rPr>
          <w:spacing w:val="-7"/>
        </w:rPr>
        <w:t xml:space="preserve"> </w:t>
      </w:r>
      <w:r>
        <w:t>6.6%</w:t>
      </w:r>
      <w:r>
        <w:rPr>
          <w:spacing w:val="-6"/>
        </w:rPr>
        <w:t xml:space="preserve"> </w:t>
      </w:r>
      <w:r>
        <w:t>said</w:t>
      </w:r>
      <w:r>
        <w:rPr>
          <w:spacing w:val="-5"/>
        </w:rPr>
        <w:t xml:space="preserve"> </w:t>
      </w:r>
      <w:r>
        <w:t>that</w:t>
      </w:r>
      <w:r>
        <w:rPr>
          <w:spacing w:val="-4"/>
        </w:rPr>
        <w:t xml:space="preserve"> </w:t>
      </w:r>
      <w:r>
        <w:t>it</w:t>
      </w:r>
      <w:r>
        <w:rPr>
          <w:spacing w:val="-9"/>
        </w:rPr>
        <w:t xml:space="preserve"> </w:t>
      </w:r>
      <w:r>
        <w:t>was</w:t>
      </w:r>
      <w:r>
        <w:rPr>
          <w:spacing w:val="-4"/>
        </w:rPr>
        <w:t xml:space="preserve"> </w:t>
      </w:r>
      <w:r>
        <w:t>rarely</w:t>
      </w:r>
      <w:r>
        <w:rPr>
          <w:spacing w:val="-3"/>
        </w:rPr>
        <w:t xml:space="preserve"> </w:t>
      </w:r>
      <w:r>
        <w:t>not</w:t>
      </w:r>
      <w:r>
        <w:rPr>
          <w:spacing w:val="-6"/>
        </w:rPr>
        <w:t xml:space="preserve"> </w:t>
      </w:r>
      <w:r>
        <w:t>good,</w:t>
      </w:r>
      <w:r>
        <w:rPr>
          <w:spacing w:val="-7"/>
        </w:rPr>
        <w:t xml:space="preserve"> </w:t>
      </w:r>
      <w:r>
        <w:t>19.1%</w:t>
      </w:r>
      <w:r>
        <w:rPr>
          <w:spacing w:val="-6"/>
        </w:rPr>
        <w:t xml:space="preserve"> </w:t>
      </w:r>
      <w:r>
        <w:t>said</w:t>
      </w:r>
      <w:r>
        <w:rPr>
          <w:spacing w:val="-5"/>
        </w:rPr>
        <w:t xml:space="preserve"> </w:t>
      </w:r>
      <w:r>
        <w:t>that</w:t>
      </w:r>
      <w:r>
        <w:rPr>
          <w:spacing w:val="-4"/>
        </w:rPr>
        <w:t xml:space="preserve"> </w:t>
      </w:r>
      <w:r>
        <w:t>it</w:t>
      </w:r>
      <w:r>
        <w:rPr>
          <w:spacing w:val="-6"/>
        </w:rPr>
        <w:t xml:space="preserve"> </w:t>
      </w:r>
      <w:r>
        <w:t>was</w:t>
      </w:r>
      <w:r>
        <w:rPr>
          <w:spacing w:val="-7"/>
        </w:rPr>
        <w:t xml:space="preserve"> </w:t>
      </w:r>
      <w:r>
        <w:t>someti</w:t>
      </w:r>
      <w:r>
        <w:t>mes not good, 31.6% said that it was not good most of the time, and 38.2% said that it was always not good, compared with 18.8% of het-cis youth who said it was never not good, 20.4% who said it was rarely not good,</w:t>
      </w:r>
      <w:r>
        <w:rPr>
          <w:spacing w:val="-1"/>
        </w:rPr>
        <w:t xml:space="preserve"> </w:t>
      </w:r>
      <w:r>
        <w:t>25.1% who said</w:t>
      </w:r>
      <w:r>
        <w:rPr>
          <w:spacing w:val="-2"/>
        </w:rPr>
        <w:t xml:space="preserve"> </w:t>
      </w:r>
      <w:r>
        <w:t>it was sometimes not good</w:t>
      </w:r>
      <w:r>
        <w:t>,</w:t>
      </w:r>
      <w:r>
        <w:rPr>
          <w:spacing w:val="-1"/>
        </w:rPr>
        <w:t xml:space="preserve"> </w:t>
      </w:r>
      <w:r>
        <w:t>23.4% who said it was not good most of</w:t>
      </w:r>
      <w:r>
        <w:rPr>
          <w:spacing w:val="-1"/>
        </w:rPr>
        <w:t xml:space="preserve"> </w:t>
      </w:r>
      <w:r>
        <w:t>the time,</w:t>
      </w:r>
      <w:r>
        <w:rPr>
          <w:spacing w:val="-1"/>
        </w:rPr>
        <w:t xml:space="preserve"> </w:t>
      </w:r>
      <w:r>
        <w:t>and 12.3% who said it was always not good.</w:t>
      </w:r>
    </w:p>
    <w:p w:rsidR="00200FDA" w:rsidRDefault="00200FDA">
      <w:pPr>
        <w:pStyle w:val="BodyText"/>
        <w:spacing w:before="7"/>
        <w:rPr>
          <w:sz w:val="19"/>
        </w:rPr>
      </w:pPr>
    </w:p>
    <w:p w:rsidR="00200FDA" w:rsidRDefault="00F76C4C">
      <w:pPr>
        <w:pStyle w:val="BodyText"/>
        <w:spacing w:line="276" w:lineRule="auto"/>
        <w:ind w:left="139" w:right="134"/>
        <w:jc w:val="both"/>
      </w:pPr>
      <w:r>
        <w:t>Among transgender youth, 77.2% never experienced abuse by an adult in their home during COVID-19, 14.0%</w:t>
      </w:r>
      <w:r>
        <w:rPr>
          <w:spacing w:val="-5"/>
        </w:rPr>
        <w:t xml:space="preserve"> </w:t>
      </w:r>
      <w:r>
        <w:t>said</w:t>
      </w:r>
      <w:r>
        <w:rPr>
          <w:spacing w:val="-6"/>
        </w:rPr>
        <w:t xml:space="preserve"> </w:t>
      </w:r>
      <w:r>
        <w:t>never,</w:t>
      </w:r>
      <w:r>
        <w:rPr>
          <w:spacing w:val="-8"/>
        </w:rPr>
        <w:t xml:space="preserve"> </w:t>
      </w:r>
      <w:r>
        <w:t>6.6%</w:t>
      </w:r>
      <w:r>
        <w:rPr>
          <w:spacing w:val="-5"/>
        </w:rPr>
        <w:t xml:space="preserve"> </w:t>
      </w:r>
      <w:r>
        <w:t>said</w:t>
      </w:r>
      <w:r>
        <w:rPr>
          <w:spacing w:val="-9"/>
        </w:rPr>
        <w:t xml:space="preserve"> </w:t>
      </w:r>
      <w:r>
        <w:t>sometimes,</w:t>
      </w:r>
      <w:r>
        <w:rPr>
          <w:spacing w:val="-5"/>
        </w:rPr>
        <w:t xml:space="preserve"> </w:t>
      </w:r>
      <w:r>
        <w:t>0.7%</w:t>
      </w:r>
      <w:r>
        <w:rPr>
          <w:spacing w:val="-5"/>
        </w:rPr>
        <w:t xml:space="preserve"> </w:t>
      </w:r>
      <w:r>
        <w:t>said</w:t>
      </w:r>
      <w:r>
        <w:rPr>
          <w:spacing w:val="-9"/>
        </w:rPr>
        <w:t xml:space="preserve"> </w:t>
      </w:r>
      <w:r>
        <w:t>most</w:t>
      </w:r>
      <w:r>
        <w:rPr>
          <w:spacing w:val="-5"/>
        </w:rPr>
        <w:t xml:space="preserve"> </w:t>
      </w:r>
      <w:r>
        <w:t>of</w:t>
      </w:r>
      <w:r>
        <w:rPr>
          <w:spacing w:val="-6"/>
        </w:rPr>
        <w:t xml:space="preserve"> </w:t>
      </w:r>
      <w:r>
        <w:t>the</w:t>
      </w:r>
      <w:r>
        <w:rPr>
          <w:spacing w:val="-5"/>
        </w:rPr>
        <w:t xml:space="preserve"> </w:t>
      </w:r>
      <w:r>
        <w:t>time,</w:t>
      </w:r>
      <w:r>
        <w:rPr>
          <w:spacing w:val="-6"/>
        </w:rPr>
        <w:t xml:space="preserve"> </w:t>
      </w:r>
      <w:r>
        <w:t>and</w:t>
      </w:r>
      <w:r>
        <w:rPr>
          <w:spacing w:val="-6"/>
        </w:rPr>
        <w:t xml:space="preserve"> </w:t>
      </w:r>
      <w:r>
        <w:t>1.5%</w:t>
      </w:r>
      <w:r>
        <w:rPr>
          <w:spacing w:val="-5"/>
        </w:rPr>
        <w:t xml:space="preserve"> </w:t>
      </w:r>
      <w:r>
        <w:t>said</w:t>
      </w:r>
      <w:r>
        <w:rPr>
          <w:spacing w:val="-6"/>
        </w:rPr>
        <w:t xml:space="preserve"> </w:t>
      </w:r>
      <w:r>
        <w:t>always,</w:t>
      </w:r>
      <w:r>
        <w:rPr>
          <w:spacing w:val="-8"/>
        </w:rPr>
        <w:t xml:space="preserve"> </w:t>
      </w:r>
      <w:r>
        <w:t>compared</w:t>
      </w:r>
      <w:r>
        <w:rPr>
          <w:spacing w:val="-9"/>
        </w:rPr>
        <w:t xml:space="preserve"> </w:t>
      </w:r>
      <w:r>
        <w:t>with</w:t>
      </w:r>
    </w:p>
    <w:p w:rsidR="00200FDA" w:rsidRDefault="00200FDA">
      <w:pPr>
        <w:spacing w:line="276" w:lineRule="auto"/>
        <w:jc w:val="both"/>
        <w:sectPr w:rsidR="00200FDA">
          <w:pgSz w:w="12240" w:h="15840"/>
          <w:pgMar w:top="1360" w:right="1300" w:bottom="1260" w:left="1300" w:header="761" w:footer="1062" w:gutter="0"/>
          <w:cols w:space="720"/>
        </w:sectPr>
      </w:pPr>
    </w:p>
    <w:p w:rsidR="00200FDA" w:rsidRDefault="00F76C4C">
      <w:pPr>
        <w:pStyle w:val="BodyText"/>
        <w:spacing w:before="64" w:line="276" w:lineRule="auto"/>
        <w:ind w:left="139" w:right="133"/>
        <w:jc w:val="both"/>
      </w:pPr>
      <w:r>
        <w:lastRenderedPageBreak/>
        <w:t>89.7% of cisgender youth who said never, 6.9% who said always, 2.7% who said sometimes, 07.% who said</w:t>
      </w:r>
      <w:r>
        <w:rPr>
          <w:spacing w:val="-6"/>
        </w:rPr>
        <w:t xml:space="preserve"> </w:t>
      </w:r>
      <w:r>
        <w:t>most</w:t>
      </w:r>
      <w:r>
        <w:rPr>
          <w:spacing w:val="-8"/>
        </w:rPr>
        <w:t xml:space="preserve"> </w:t>
      </w:r>
      <w:r>
        <w:t>of</w:t>
      </w:r>
      <w:r>
        <w:rPr>
          <w:spacing w:val="-6"/>
        </w:rPr>
        <w:t xml:space="preserve"> </w:t>
      </w:r>
      <w:r>
        <w:t>the</w:t>
      </w:r>
      <w:r>
        <w:rPr>
          <w:spacing w:val="-5"/>
        </w:rPr>
        <w:t xml:space="preserve"> </w:t>
      </w:r>
      <w:r>
        <w:t>time,</w:t>
      </w:r>
      <w:r>
        <w:rPr>
          <w:spacing w:val="-6"/>
        </w:rPr>
        <w:t xml:space="preserve"> </w:t>
      </w:r>
      <w:r>
        <w:t>and</w:t>
      </w:r>
      <w:r>
        <w:rPr>
          <w:spacing w:val="-6"/>
        </w:rPr>
        <w:t xml:space="preserve"> </w:t>
      </w:r>
      <w:r>
        <w:t>0.3%</w:t>
      </w:r>
      <w:r>
        <w:rPr>
          <w:spacing w:val="-7"/>
        </w:rPr>
        <w:t xml:space="preserve"> </w:t>
      </w:r>
      <w:r>
        <w:t>who</w:t>
      </w:r>
      <w:r>
        <w:rPr>
          <w:spacing w:val="-7"/>
        </w:rPr>
        <w:t xml:space="preserve"> </w:t>
      </w:r>
      <w:r>
        <w:t>said</w:t>
      </w:r>
      <w:r>
        <w:rPr>
          <w:spacing w:val="-6"/>
        </w:rPr>
        <w:t xml:space="preserve"> </w:t>
      </w:r>
      <w:r>
        <w:t>always.</w:t>
      </w:r>
      <w:r>
        <w:rPr>
          <w:spacing w:val="-6"/>
        </w:rPr>
        <w:t xml:space="preserve"> </w:t>
      </w:r>
      <w:r>
        <w:t>In</w:t>
      </w:r>
      <w:r>
        <w:rPr>
          <w:spacing w:val="-6"/>
        </w:rPr>
        <w:t xml:space="preserve"> </w:t>
      </w:r>
      <w:r>
        <w:t>terms</w:t>
      </w:r>
      <w:r>
        <w:rPr>
          <w:spacing w:val="-8"/>
        </w:rPr>
        <w:t xml:space="preserve"> </w:t>
      </w:r>
      <w:r>
        <w:t>of</w:t>
      </w:r>
      <w:r>
        <w:rPr>
          <w:spacing w:val="-6"/>
        </w:rPr>
        <w:t xml:space="preserve"> </w:t>
      </w:r>
      <w:r>
        <w:t>ever</w:t>
      </w:r>
      <w:r>
        <w:rPr>
          <w:spacing w:val="-6"/>
        </w:rPr>
        <w:t xml:space="preserve"> </w:t>
      </w:r>
      <w:r>
        <w:t>experiencing</w:t>
      </w:r>
      <w:r>
        <w:rPr>
          <w:spacing w:val="-6"/>
        </w:rPr>
        <w:t xml:space="preserve"> </w:t>
      </w:r>
      <w:r>
        <w:t>physical</w:t>
      </w:r>
      <w:r>
        <w:rPr>
          <w:spacing w:val="-6"/>
        </w:rPr>
        <w:t xml:space="preserve"> </w:t>
      </w:r>
      <w:r>
        <w:t>abuse</w:t>
      </w:r>
      <w:r>
        <w:rPr>
          <w:spacing w:val="-5"/>
        </w:rPr>
        <w:t xml:space="preserve"> </w:t>
      </w:r>
      <w:r>
        <w:t>by</w:t>
      </w:r>
      <w:r>
        <w:rPr>
          <w:spacing w:val="-5"/>
        </w:rPr>
        <w:t xml:space="preserve"> </w:t>
      </w:r>
      <w:r>
        <w:t>an</w:t>
      </w:r>
      <w:r>
        <w:rPr>
          <w:spacing w:val="-6"/>
        </w:rPr>
        <w:t xml:space="preserve"> </w:t>
      </w:r>
      <w:r>
        <w:t>adult in their household, among LGBTQ youth, 50% said that they had never experienced it, 31.2% said that they had rarely experienced it, 13.0% said sometimes,</w:t>
      </w:r>
      <w:r>
        <w:rPr>
          <w:spacing w:val="-1"/>
        </w:rPr>
        <w:t xml:space="preserve"> </w:t>
      </w:r>
      <w:r>
        <w:t>4.3% said</w:t>
      </w:r>
      <w:r>
        <w:rPr>
          <w:spacing w:val="-2"/>
        </w:rPr>
        <w:t xml:space="preserve"> </w:t>
      </w:r>
      <w:r>
        <w:t>most of the time, and 1.4% said always. In contract, among het-cis youth, 74.6% said t</w:t>
      </w:r>
      <w:r>
        <w:t>hey had never experienced it, 16.7% said rarely, 7.4% said sometimes, 1.0% said most of the time, and 0.2% said always.</w:t>
      </w:r>
    </w:p>
    <w:p w:rsidR="00200FDA" w:rsidRDefault="00200FDA">
      <w:pPr>
        <w:pStyle w:val="BodyText"/>
        <w:spacing w:before="7"/>
        <w:rPr>
          <w:sz w:val="19"/>
        </w:rPr>
      </w:pPr>
    </w:p>
    <w:p w:rsidR="00200FDA" w:rsidRDefault="00F76C4C">
      <w:pPr>
        <w:pStyle w:val="BodyText"/>
        <w:spacing w:line="276" w:lineRule="auto"/>
        <w:ind w:left="140" w:right="133" w:hanging="1"/>
        <w:jc w:val="both"/>
      </w:pPr>
      <w:r>
        <w:t>Among transgender youth, 2.9% said that they had never had their needs met, 6.6% said rarely, 12.5% said</w:t>
      </w:r>
      <w:r>
        <w:rPr>
          <w:spacing w:val="-13"/>
        </w:rPr>
        <w:t xml:space="preserve"> </w:t>
      </w:r>
      <w:r>
        <w:t>sometimes,</w:t>
      </w:r>
      <w:r>
        <w:rPr>
          <w:spacing w:val="-12"/>
        </w:rPr>
        <w:t xml:space="preserve"> </w:t>
      </w:r>
      <w:r>
        <w:t>24.3%</w:t>
      </w:r>
      <w:r>
        <w:rPr>
          <w:spacing w:val="-13"/>
        </w:rPr>
        <w:t xml:space="preserve"> </w:t>
      </w:r>
      <w:r>
        <w:t>said</w:t>
      </w:r>
      <w:r>
        <w:rPr>
          <w:spacing w:val="-12"/>
        </w:rPr>
        <w:t xml:space="preserve"> </w:t>
      </w:r>
      <w:r>
        <w:t>most</w:t>
      </w:r>
      <w:r>
        <w:rPr>
          <w:spacing w:val="-13"/>
        </w:rPr>
        <w:t xml:space="preserve"> </w:t>
      </w:r>
      <w:r>
        <w:t>of</w:t>
      </w:r>
      <w:r>
        <w:rPr>
          <w:spacing w:val="-12"/>
        </w:rPr>
        <w:t xml:space="preserve"> </w:t>
      </w:r>
      <w:r>
        <w:t>the</w:t>
      </w:r>
      <w:r>
        <w:rPr>
          <w:spacing w:val="-13"/>
        </w:rPr>
        <w:t xml:space="preserve"> </w:t>
      </w:r>
      <w:r>
        <w:t>time,</w:t>
      </w:r>
      <w:r>
        <w:rPr>
          <w:spacing w:val="-12"/>
        </w:rPr>
        <w:t xml:space="preserve"> </w:t>
      </w:r>
      <w:r>
        <w:t>and</w:t>
      </w:r>
      <w:r>
        <w:rPr>
          <w:spacing w:val="-12"/>
        </w:rPr>
        <w:t xml:space="preserve"> </w:t>
      </w:r>
      <w:r>
        <w:t>53.7%</w:t>
      </w:r>
      <w:r>
        <w:rPr>
          <w:spacing w:val="-13"/>
        </w:rPr>
        <w:t xml:space="preserve"> </w:t>
      </w:r>
      <w:r>
        <w:t>said</w:t>
      </w:r>
      <w:r>
        <w:rPr>
          <w:spacing w:val="-12"/>
        </w:rPr>
        <w:t xml:space="preserve"> </w:t>
      </w:r>
      <w:r>
        <w:t>that</w:t>
      </w:r>
      <w:r>
        <w:rPr>
          <w:spacing w:val="-13"/>
        </w:rPr>
        <w:t xml:space="preserve"> </w:t>
      </w:r>
      <w:r>
        <w:t>they</w:t>
      </w:r>
      <w:r>
        <w:rPr>
          <w:spacing w:val="-12"/>
        </w:rPr>
        <w:t xml:space="preserve"> </w:t>
      </w:r>
      <w:r>
        <w:t>always</w:t>
      </w:r>
      <w:r>
        <w:rPr>
          <w:spacing w:val="-13"/>
        </w:rPr>
        <w:t xml:space="preserve"> </w:t>
      </w:r>
      <w:r>
        <w:t>had</w:t>
      </w:r>
      <w:r>
        <w:rPr>
          <w:spacing w:val="-12"/>
        </w:rPr>
        <w:t xml:space="preserve"> </w:t>
      </w:r>
      <w:r>
        <w:t>their</w:t>
      </w:r>
      <w:r>
        <w:rPr>
          <w:spacing w:val="-12"/>
        </w:rPr>
        <w:t xml:space="preserve"> </w:t>
      </w:r>
      <w:r>
        <w:t>needs</w:t>
      </w:r>
      <w:r>
        <w:rPr>
          <w:spacing w:val="-13"/>
        </w:rPr>
        <w:t xml:space="preserve"> </w:t>
      </w:r>
      <w:r>
        <w:t>met.</w:t>
      </w:r>
      <w:r>
        <w:rPr>
          <w:spacing w:val="-12"/>
        </w:rPr>
        <w:t xml:space="preserve"> </w:t>
      </w:r>
      <w:r>
        <w:t>Among het-cis</w:t>
      </w:r>
      <w:r>
        <w:rPr>
          <w:spacing w:val="-11"/>
        </w:rPr>
        <w:t xml:space="preserve"> </w:t>
      </w:r>
      <w:r>
        <w:t>youth,</w:t>
      </w:r>
      <w:r>
        <w:rPr>
          <w:spacing w:val="-13"/>
        </w:rPr>
        <w:t xml:space="preserve"> </w:t>
      </w:r>
      <w:r>
        <w:t>4.4%</w:t>
      </w:r>
      <w:r>
        <w:rPr>
          <w:spacing w:val="-12"/>
        </w:rPr>
        <w:t xml:space="preserve"> </w:t>
      </w:r>
      <w:r>
        <w:t>said</w:t>
      </w:r>
      <w:r>
        <w:rPr>
          <w:spacing w:val="-11"/>
        </w:rPr>
        <w:t xml:space="preserve"> </w:t>
      </w:r>
      <w:r>
        <w:t>they</w:t>
      </w:r>
      <w:r>
        <w:rPr>
          <w:spacing w:val="-10"/>
        </w:rPr>
        <w:t xml:space="preserve"> </w:t>
      </w:r>
      <w:r>
        <w:t>had</w:t>
      </w:r>
      <w:r>
        <w:rPr>
          <w:spacing w:val="-11"/>
        </w:rPr>
        <w:t xml:space="preserve"> </w:t>
      </w:r>
      <w:r>
        <w:t>never</w:t>
      </w:r>
      <w:r>
        <w:rPr>
          <w:spacing w:val="-10"/>
        </w:rPr>
        <w:t xml:space="preserve"> </w:t>
      </w:r>
      <w:r>
        <w:t>had</w:t>
      </w:r>
      <w:r>
        <w:rPr>
          <w:spacing w:val="-11"/>
        </w:rPr>
        <w:t xml:space="preserve"> </w:t>
      </w:r>
      <w:r>
        <w:t>their</w:t>
      </w:r>
      <w:r>
        <w:rPr>
          <w:spacing w:val="-11"/>
        </w:rPr>
        <w:t xml:space="preserve"> </w:t>
      </w:r>
      <w:r>
        <w:t>needs</w:t>
      </w:r>
      <w:r>
        <w:rPr>
          <w:spacing w:val="-13"/>
        </w:rPr>
        <w:t xml:space="preserve"> </w:t>
      </w:r>
      <w:r>
        <w:t>met,</w:t>
      </w:r>
      <w:r>
        <w:rPr>
          <w:spacing w:val="-10"/>
        </w:rPr>
        <w:t xml:space="preserve"> </w:t>
      </w:r>
      <w:r>
        <w:t>2.9%</w:t>
      </w:r>
      <w:r>
        <w:rPr>
          <w:spacing w:val="-10"/>
        </w:rPr>
        <w:t xml:space="preserve"> </w:t>
      </w:r>
      <w:r>
        <w:t>said</w:t>
      </w:r>
      <w:r>
        <w:rPr>
          <w:spacing w:val="-11"/>
        </w:rPr>
        <w:t xml:space="preserve"> </w:t>
      </w:r>
      <w:r>
        <w:t>rarely,</w:t>
      </w:r>
      <w:r>
        <w:rPr>
          <w:spacing w:val="-13"/>
        </w:rPr>
        <w:t xml:space="preserve"> </w:t>
      </w:r>
      <w:r>
        <w:t>5.1%</w:t>
      </w:r>
      <w:r>
        <w:rPr>
          <w:spacing w:val="-12"/>
        </w:rPr>
        <w:t xml:space="preserve"> </w:t>
      </w:r>
      <w:r>
        <w:t>said</w:t>
      </w:r>
      <w:r>
        <w:rPr>
          <w:spacing w:val="-11"/>
        </w:rPr>
        <w:t xml:space="preserve"> </w:t>
      </w:r>
      <w:r>
        <w:t>sometimes,</w:t>
      </w:r>
      <w:r>
        <w:rPr>
          <w:spacing w:val="-10"/>
        </w:rPr>
        <w:t xml:space="preserve"> </w:t>
      </w:r>
      <w:r>
        <w:t>15.1% said most of the time, and 72.6% said their needs had always been met.</w:t>
      </w:r>
    </w:p>
    <w:p w:rsidR="00200FDA" w:rsidRDefault="00200FDA">
      <w:pPr>
        <w:pStyle w:val="BodyText"/>
      </w:pPr>
    </w:p>
    <w:p w:rsidR="00200FDA" w:rsidRDefault="00F76C4C">
      <w:pPr>
        <w:spacing w:before="162"/>
        <w:ind w:left="593"/>
        <w:rPr>
          <w:b/>
        </w:rPr>
      </w:pPr>
      <w:r>
        <w:rPr>
          <w:b/>
        </w:rPr>
        <w:t>Table</w:t>
      </w:r>
      <w:r>
        <w:rPr>
          <w:b/>
          <w:spacing w:val="-7"/>
        </w:rPr>
        <w:t xml:space="preserve"> </w:t>
      </w:r>
      <w:r>
        <w:rPr>
          <w:b/>
        </w:rPr>
        <w:t>2.</w:t>
      </w:r>
      <w:r>
        <w:rPr>
          <w:b/>
          <w:spacing w:val="-3"/>
        </w:rPr>
        <w:t xml:space="preserve"> </w:t>
      </w:r>
      <w:r>
        <w:rPr>
          <w:b/>
        </w:rPr>
        <w:t>Percentage</w:t>
      </w:r>
      <w:r>
        <w:rPr>
          <w:b/>
          <w:spacing w:val="-4"/>
        </w:rPr>
        <w:t xml:space="preserve"> </w:t>
      </w:r>
      <w:r>
        <w:rPr>
          <w:b/>
        </w:rPr>
        <w:t>of</w:t>
      </w:r>
      <w:r>
        <w:rPr>
          <w:b/>
          <w:spacing w:val="-6"/>
        </w:rPr>
        <w:t xml:space="preserve"> </w:t>
      </w:r>
      <w:r>
        <w:rPr>
          <w:b/>
        </w:rPr>
        <w:t>Youth</w:t>
      </w:r>
      <w:r>
        <w:rPr>
          <w:b/>
          <w:spacing w:val="-4"/>
        </w:rPr>
        <w:t xml:space="preserve"> </w:t>
      </w:r>
      <w:r>
        <w:rPr>
          <w:b/>
        </w:rPr>
        <w:t>with</w:t>
      </w:r>
      <w:r>
        <w:rPr>
          <w:b/>
          <w:spacing w:val="-5"/>
        </w:rPr>
        <w:t xml:space="preserve"> </w:t>
      </w:r>
      <w:r>
        <w:rPr>
          <w:b/>
        </w:rPr>
        <w:t>Adverse</w:t>
      </w:r>
      <w:r>
        <w:rPr>
          <w:b/>
          <w:spacing w:val="-6"/>
        </w:rPr>
        <w:t xml:space="preserve"> </w:t>
      </w:r>
      <w:r>
        <w:rPr>
          <w:b/>
        </w:rPr>
        <w:t>Household</w:t>
      </w:r>
      <w:r>
        <w:rPr>
          <w:b/>
          <w:spacing w:val="-5"/>
        </w:rPr>
        <w:t xml:space="preserve"> </w:t>
      </w:r>
      <w:r>
        <w:rPr>
          <w:b/>
        </w:rPr>
        <w:t>and</w:t>
      </w:r>
      <w:r>
        <w:rPr>
          <w:b/>
          <w:spacing w:val="-5"/>
        </w:rPr>
        <w:t xml:space="preserve"> </w:t>
      </w:r>
      <w:r>
        <w:rPr>
          <w:b/>
        </w:rPr>
        <w:t>Mental</w:t>
      </w:r>
      <w:r>
        <w:rPr>
          <w:b/>
          <w:spacing w:val="-2"/>
        </w:rPr>
        <w:t xml:space="preserve"> </w:t>
      </w:r>
      <w:r>
        <w:rPr>
          <w:b/>
        </w:rPr>
        <w:t>Health</w:t>
      </w:r>
      <w:r>
        <w:rPr>
          <w:b/>
          <w:spacing w:val="-5"/>
        </w:rPr>
        <w:t xml:space="preserve"> </w:t>
      </w:r>
      <w:r>
        <w:rPr>
          <w:b/>
        </w:rPr>
        <w:t>Experiences</w:t>
      </w:r>
      <w:r>
        <w:rPr>
          <w:b/>
          <w:spacing w:val="-5"/>
        </w:rPr>
        <w:t xml:space="preserve"> </w:t>
      </w:r>
      <w:r>
        <w:rPr>
          <w:b/>
          <w:spacing w:val="-2"/>
        </w:rPr>
        <w:t>(2021)</w:t>
      </w:r>
    </w:p>
    <w:p w:rsidR="00200FDA" w:rsidRDefault="00200FDA">
      <w:pPr>
        <w:pStyle w:val="BodyText"/>
        <w:rPr>
          <w:b/>
          <w:sz w:val="29"/>
        </w:rPr>
      </w:pPr>
    </w:p>
    <w:tbl>
      <w:tblPr>
        <w:tblW w:w="0" w:type="auto"/>
        <w:tblInd w:w="781" w:type="dxa"/>
        <w:tblLayout w:type="fixed"/>
        <w:tblCellMar>
          <w:left w:w="0" w:type="dxa"/>
          <w:right w:w="0" w:type="dxa"/>
        </w:tblCellMar>
        <w:tblLook w:val="01E0" w:firstRow="1" w:lastRow="1" w:firstColumn="1" w:lastColumn="1" w:noHBand="0" w:noVBand="0"/>
      </w:tblPr>
      <w:tblGrid>
        <w:gridCol w:w="4285"/>
        <w:gridCol w:w="1813"/>
        <w:gridCol w:w="1995"/>
      </w:tblGrid>
      <w:tr w:rsidR="00200FDA">
        <w:trPr>
          <w:trHeight w:val="309"/>
        </w:trPr>
        <w:tc>
          <w:tcPr>
            <w:tcW w:w="4285" w:type="dxa"/>
            <w:tcBorders>
              <w:top w:val="single" w:sz="4" w:space="0" w:color="0F6EC5"/>
            </w:tcBorders>
            <w:shd w:val="clear" w:color="auto" w:fill="C6E1F9"/>
          </w:tcPr>
          <w:p w:rsidR="00200FDA" w:rsidRDefault="00F76C4C">
            <w:pPr>
              <w:pStyle w:val="TableParagraph"/>
              <w:ind w:left="107"/>
              <w:jc w:val="left"/>
              <w:rPr>
                <w:b/>
              </w:rPr>
            </w:pPr>
            <w:r>
              <w:rPr>
                <w:b/>
                <w:color w:val="0A5293"/>
              </w:rPr>
              <w:t>Adverse</w:t>
            </w:r>
            <w:r>
              <w:rPr>
                <w:b/>
                <w:color w:val="0A5293"/>
                <w:spacing w:val="-4"/>
              </w:rPr>
              <w:t xml:space="preserve"> </w:t>
            </w:r>
            <w:r>
              <w:rPr>
                <w:b/>
                <w:color w:val="0A5293"/>
                <w:spacing w:val="-2"/>
              </w:rPr>
              <w:t>Experience</w:t>
            </w:r>
          </w:p>
        </w:tc>
        <w:tc>
          <w:tcPr>
            <w:tcW w:w="1813" w:type="dxa"/>
            <w:tcBorders>
              <w:top w:val="single" w:sz="4" w:space="0" w:color="0F6EC5"/>
            </w:tcBorders>
            <w:shd w:val="clear" w:color="auto" w:fill="C6E1F9"/>
          </w:tcPr>
          <w:p w:rsidR="00200FDA" w:rsidRDefault="00F76C4C">
            <w:pPr>
              <w:pStyle w:val="TableParagraph"/>
              <w:ind w:left="170" w:right="124"/>
              <w:rPr>
                <w:b/>
              </w:rPr>
            </w:pPr>
            <w:r>
              <w:rPr>
                <w:b/>
                <w:color w:val="0A5293"/>
              </w:rPr>
              <w:t>Cisgender</w:t>
            </w:r>
            <w:r>
              <w:rPr>
                <w:b/>
                <w:color w:val="0A5293"/>
                <w:spacing w:val="-5"/>
              </w:rPr>
              <w:t xml:space="preserve"> </w:t>
            </w:r>
            <w:r>
              <w:rPr>
                <w:b/>
                <w:color w:val="0A5293"/>
                <w:spacing w:val="-2"/>
              </w:rPr>
              <w:t>Youth</w:t>
            </w:r>
          </w:p>
        </w:tc>
        <w:tc>
          <w:tcPr>
            <w:tcW w:w="1995" w:type="dxa"/>
            <w:tcBorders>
              <w:top w:val="single" w:sz="4" w:space="0" w:color="0F6EC5"/>
            </w:tcBorders>
            <w:shd w:val="clear" w:color="auto" w:fill="C6E1F9"/>
          </w:tcPr>
          <w:p w:rsidR="00200FDA" w:rsidRDefault="00F76C4C">
            <w:pPr>
              <w:pStyle w:val="TableParagraph"/>
              <w:ind w:left="129" w:right="116"/>
              <w:rPr>
                <w:b/>
              </w:rPr>
            </w:pPr>
            <w:r>
              <w:rPr>
                <w:b/>
                <w:color w:val="0A5293"/>
              </w:rPr>
              <w:t>Transgender</w:t>
            </w:r>
            <w:r>
              <w:rPr>
                <w:b/>
                <w:color w:val="0A5293"/>
                <w:spacing w:val="-8"/>
              </w:rPr>
              <w:t xml:space="preserve"> </w:t>
            </w:r>
            <w:r>
              <w:rPr>
                <w:b/>
                <w:color w:val="0A5293"/>
                <w:spacing w:val="-4"/>
              </w:rPr>
              <w:t>Youth</w:t>
            </w:r>
          </w:p>
        </w:tc>
      </w:tr>
      <w:tr w:rsidR="00200FDA">
        <w:trPr>
          <w:trHeight w:val="307"/>
        </w:trPr>
        <w:tc>
          <w:tcPr>
            <w:tcW w:w="4285" w:type="dxa"/>
          </w:tcPr>
          <w:p w:rsidR="00200FDA" w:rsidRDefault="00F76C4C">
            <w:pPr>
              <w:pStyle w:val="TableParagraph"/>
              <w:ind w:left="107"/>
              <w:jc w:val="left"/>
            </w:pPr>
            <w:r>
              <w:rPr>
                <w:color w:val="0A5293"/>
              </w:rPr>
              <w:t>Mental</w:t>
            </w:r>
            <w:r>
              <w:rPr>
                <w:color w:val="0A5293"/>
                <w:spacing w:val="-8"/>
              </w:rPr>
              <w:t xml:space="preserve"> </w:t>
            </w:r>
            <w:r>
              <w:rPr>
                <w:color w:val="0A5293"/>
              </w:rPr>
              <w:t>health</w:t>
            </w:r>
            <w:r>
              <w:rPr>
                <w:color w:val="0A5293"/>
                <w:spacing w:val="-5"/>
              </w:rPr>
              <w:t xml:space="preserve"> </w:t>
            </w:r>
            <w:r>
              <w:rPr>
                <w:color w:val="0A5293"/>
              </w:rPr>
              <w:t>not</w:t>
            </w:r>
            <w:r>
              <w:rPr>
                <w:color w:val="0A5293"/>
                <w:spacing w:val="-5"/>
              </w:rPr>
              <w:t xml:space="preserve"> </w:t>
            </w:r>
            <w:r>
              <w:rPr>
                <w:color w:val="0A5293"/>
              </w:rPr>
              <w:t>good</w:t>
            </w:r>
            <w:r>
              <w:rPr>
                <w:color w:val="0A5293"/>
                <w:spacing w:val="-6"/>
              </w:rPr>
              <w:t xml:space="preserve"> </w:t>
            </w:r>
            <w:r>
              <w:rPr>
                <w:color w:val="0A5293"/>
              </w:rPr>
              <w:t>during</w:t>
            </w:r>
            <w:r>
              <w:rPr>
                <w:color w:val="0A5293"/>
                <w:spacing w:val="-5"/>
              </w:rPr>
              <w:t xml:space="preserve"> </w:t>
            </w:r>
            <w:r>
              <w:rPr>
                <w:color w:val="0A5293"/>
              </w:rPr>
              <w:t>COVID-</w:t>
            </w:r>
            <w:r>
              <w:rPr>
                <w:color w:val="0A5293"/>
                <w:spacing w:val="-4"/>
              </w:rPr>
              <w:t>19***</w:t>
            </w:r>
          </w:p>
        </w:tc>
        <w:tc>
          <w:tcPr>
            <w:tcW w:w="1813" w:type="dxa"/>
          </w:tcPr>
          <w:p w:rsidR="00200FDA" w:rsidRDefault="00200FDA">
            <w:pPr>
              <w:pStyle w:val="TableParagraph"/>
              <w:spacing w:line="240" w:lineRule="auto"/>
              <w:ind w:left="0"/>
              <w:jc w:val="left"/>
              <w:rPr>
                <w:rFonts w:ascii="Times New Roman"/>
              </w:rPr>
            </w:pPr>
          </w:p>
        </w:tc>
        <w:tc>
          <w:tcPr>
            <w:tcW w:w="1995" w:type="dxa"/>
          </w:tcPr>
          <w:p w:rsidR="00200FDA" w:rsidRDefault="00200FDA">
            <w:pPr>
              <w:pStyle w:val="TableParagraph"/>
              <w:spacing w:line="240" w:lineRule="auto"/>
              <w:ind w:left="0"/>
              <w:jc w:val="left"/>
              <w:rPr>
                <w:rFonts w:ascii="Times New Roman"/>
              </w:rPr>
            </w:pPr>
          </w:p>
        </w:tc>
      </w:tr>
      <w:tr w:rsidR="00200FDA">
        <w:trPr>
          <w:trHeight w:val="309"/>
        </w:trPr>
        <w:tc>
          <w:tcPr>
            <w:tcW w:w="4285" w:type="dxa"/>
            <w:shd w:val="clear" w:color="auto" w:fill="C6E1F9"/>
          </w:tcPr>
          <w:p w:rsidR="00200FDA" w:rsidRDefault="00F76C4C">
            <w:pPr>
              <w:pStyle w:val="TableParagraph"/>
              <w:jc w:val="left"/>
            </w:pPr>
            <w:r>
              <w:rPr>
                <w:color w:val="0A5293"/>
                <w:spacing w:val="-4"/>
              </w:rPr>
              <w:t>Never</w:t>
            </w:r>
          </w:p>
        </w:tc>
        <w:tc>
          <w:tcPr>
            <w:tcW w:w="1813" w:type="dxa"/>
            <w:shd w:val="clear" w:color="auto" w:fill="C6E1F9"/>
          </w:tcPr>
          <w:p w:rsidR="00200FDA" w:rsidRDefault="00F76C4C">
            <w:pPr>
              <w:pStyle w:val="TableParagraph"/>
              <w:ind w:left="168" w:right="124"/>
            </w:pPr>
            <w:r>
              <w:rPr>
                <w:color w:val="0A5293"/>
                <w:spacing w:val="-2"/>
              </w:rPr>
              <w:t>18.8%</w:t>
            </w:r>
          </w:p>
        </w:tc>
        <w:tc>
          <w:tcPr>
            <w:tcW w:w="1995" w:type="dxa"/>
            <w:shd w:val="clear" w:color="auto" w:fill="C6E1F9"/>
          </w:tcPr>
          <w:p w:rsidR="00200FDA" w:rsidRDefault="00F76C4C">
            <w:pPr>
              <w:pStyle w:val="TableParagraph"/>
              <w:ind w:left="129" w:right="114"/>
            </w:pPr>
            <w:r>
              <w:rPr>
                <w:color w:val="0A5293"/>
                <w:spacing w:val="-4"/>
              </w:rPr>
              <w:t>4.4%</w:t>
            </w:r>
          </w:p>
        </w:tc>
      </w:tr>
      <w:tr w:rsidR="00200FDA">
        <w:trPr>
          <w:trHeight w:val="309"/>
        </w:trPr>
        <w:tc>
          <w:tcPr>
            <w:tcW w:w="4285" w:type="dxa"/>
          </w:tcPr>
          <w:p w:rsidR="00200FDA" w:rsidRDefault="00F76C4C">
            <w:pPr>
              <w:pStyle w:val="TableParagraph"/>
              <w:jc w:val="left"/>
            </w:pPr>
            <w:r>
              <w:rPr>
                <w:color w:val="0A5293"/>
                <w:spacing w:val="-2"/>
              </w:rPr>
              <w:t>Rarely</w:t>
            </w:r>
          </w:p>
        </w:tc>
        <w:tc>
          <w:tcPr>
            <w:tcW w:w="1813" w:type="dxa"/>
          </w:tcPr>
          <w:p w:rsidR="00200FDA" w:rsidRDefault="00F76C4C">
            <w:pPr>
              <w:pStyle w:val="TableParagraph"/>
              <w:ind w:left="168" w:right="124"/>
            </w:pPr>
            <w:r>
              <w:rPr>
                <w:color w:val="0A5293"/>
                <w:spacing w:val="-2"/>
              </w:rPr>
              <w:t>20.4%</w:t>
            </w:r>
          </w:p>
        </w:tc>
        <w:tc>
          <w:tcPr>
            <w:tcW w:w="1995" w:type="dxa"/>
          </w:tcPr>
          <w:p w:rsidR="00200FDA" w:rsidRDefault="00F76C4C">
            <w:pPr>
              <w:pStyle w:val="TableParagraph"/>
              <w:ind w:left="129" w:right="114"/>
            </w:pPr>
            <w:r>
              <w:rPr>
                <w:color w:val="0A5293"/>
                <w:spacing w:val="-4"/>
              </w:rPr>
              <w:t>6.6%</w:t>
            </w:r>
          </w:p>
        </w:tc>
      </w:tr>
      <w:tr w:rsidR="00200FDA">
        <w:trPr>
          <w:trHeight w:val="307"/>
        </w:trPr>
        <w:tc>
          <w:tcPr>
            <w:tcW w:w="4285" w:type="dxa"/>
            <w:shd w:val="clear" w:color="auto" w:fill="C6E1F9"/>
          </w:tcPr>
          <w:p w:rsidR="00200FDA" w:rsidRDefault="00F76C4C">
            <w:pPr>
              <w:pStyle w:val="TableParagraph"/>
              <w:jc w:val="left"/>
            </w:pPr>
            <w:r>
              <w:rPr>
                <w:color w:val="0A5293"/>
                <w:spacing w:val="-2"/>
              </w:rPr>
              <w:t>Sometimes</w:t>
            </w:r>
          </w:p>
        </w:tc>
        <w:tc>
          <w:tcPr>
            <w:tcW w:w="1813" w:type="dxa"/>
            <w:shd w:val="clear" w:color="auto" w:fill="C6E1F9"/>
          </w:tcPr>
          <w:p w:rsidR="00200FDA" w:rsidRDefault="00F76C4C">
            <w:pPr>
              <w:pStyle w:val="TableParagraph"/>
              <w:ind w:left="168" w:right="124"/>
            </w:pPr>
            <w:r>
              <w:rPr>
                <w:color w:val="0A5293"/>
                <w:spacing w:val="-2"/>
              </w:rPr>
              <w:t>25.1%</w:t>
            </w:r>
          </w:p>
        </w:tc>
        <w:tc>
          <w:tcPr>
            <w:tcW w:w="1995" w:type="dxa"/>
            <w:shd w:val="clear" w:color="auto" w:fill="C6E1F9"/>
          </w:tcPr>
          <w:p w:rsidR="00200FDA" w:rsidRDefault="00F76C4C">
            <w:pPr>
              <w:pStyle w:val="TableParagraph"/>
              <w:ind w:left="129" w:right="115"/>
            </w:pPr>
            <w:r>
              <w:rPr>
                <w:color w:val="0A5293"/>
                <w:spacing w:val="-2"/>
              </w:rPr>
              <w:t>19.1%</w:t>
            </w:r>
          </w:p>
        </w:tc>
      </w:tr>
      <w:tr w:rsidR="00200FDA">
        <w:trPr>
          <w:trHeight w:val="309"/>
        </w:trPr>
        <w:tc>
          <w:tcPr>
            <w:tcW w:w="4285" w:type="dxa"/>
          </w:tcPr>
          <w:p w:rsidR="00200FDA" w:rsidRDefault="00F76C4C">
            <w:pPr>
              <w:pStyle w:val="TableParagraph"/>
              <w:ind w:left="307"/>
              <w:jc w:val="left"/>
            </w:pPr>
            <w:r>
              <w:rPr>
                <w:color w:val="0A5293"/>
              </w:rPr>
              <w:t>Most</w:t>
            </w:r>
            <w:r>
              <w:rPr>
                <w:color w:val="0A5293"/>
                <w:spacing w:val="-6"/>
              </w:rPr>
              <w:t xml:space="preserve"> </w:t>
            </w:r>
            <w:r>
              <w:rPr>
                <w:color w:val="0A5293"/>
              </w:rPr>
              <w:t>of</w:t>
            </w:r>
            <w:r>
              <w:rPr>
                <w:color w:val="0A5293"/>
                <w:spacing w:val="-2"/>
              </w:rPr>
              <w:t xml:space="preserve"> </w:t>
            </w:r>
            <w:r>
              <w:rPr>
                <w:color w:val="0A5293"/>
              </w:rPr>
              <w:t xml:space="preserve">the </w:t>
            </w:r>
            <w:r>
              <w:rPr>
                <w:color w:val="0A5293"/>
                <w:spacing w:val="-4"/>
              </w:rPr>
              <w:t>time</w:t>
            </w:r>
          </w:p>
        </w:tc>
        <w:tc>
          <w:tcPr>
            <w:tcW w:w="1813" w:type="dxa"/>
          </w:tcPr>
          <w:p w:rsidR="00200FDA" w:rsidRDefault="00F76C4C">
            <w:pPr>
              <w:pStyle w:val="TableParagraph"/>
              <w:ind w:left="168" w:right="124"/>
            </w:pPr>
            <w:r>
              <w:rPr>
                <w:color w:val="0A5293"/>
                <w:spacing w:val="-2"/>
              </w:rPr>
              <w:t>23.4%</w:t>
            </w:r>
          </w:p>
        </w:tc>
        <w:tc>
          <w:tcPr>
            <w:tcW w:w="1995" w:type="dxa"/>
          </w:tcPr>
          <w:p w:rsidR="00200FDA" w:rsidRDefault="00F76C4C">
            <w:pPr>
              <w:pStyle w:val="TableParagraph"/>
              <w:ind w:left="129" w:right="115"/>
            </w:pPr>
            <w:r>
              <w:rPr>
                <w:color w:val="0A5293"/>
                <w:spacing w:val="-2"/>
              </w:rPr>
              <w:t>31.6%</w:t>
            </w:r>
          </w:p>
        </w:tc>
      </w:tr>
      <w:tr w:rsidR="00200FDA">
        <w:trPr>
          <w:trHeight w:val="309"/>
        </w:trPr>
        <w:tc>
          <w:tcPr>
            <w:tcW w:w="4285" w:type="dxa"/>
            <w:shd w:val="clear" w:color="auto" w:fill="C6E1F9"/>
          </w:tcPr>
          <w:p w:rsidR="00200FDA" w:rsidRDefault="00F76C4C">
            <w:pPr>
              <w:pStyle w:val="TableParagraph"/>
              <w:jc w:val="left"/>
            </w:pPr>
            <w:r>
              <w:rPr>
                <w:color w:val="0A5293"/>
                <w:spacing w:val="-2"/>
              </w:rPr>
              <w:t>Always</w:t>
            </w:r>
          </w:p>
        </w:tc>
        <w:tc>
          <w:tcPr>
            <w:tcW w:w="1813" w:type="dxa"/>
            <w:shd w:val="clear" w:color="auto" w:fill="C6E1F9"/>
          </w:tcPr>
          <w:p w:rsidR="00200FDA" w:rsidRDefault="00F76C4C">
            <w:pPr>
              <w:pStyle w:val="TableParagraph"/>
              <w:ind w:left="168" w:right="124"/>
            </w:pPr>
            <w:r>
              <w:rPr>
                <w:color w:val="0A5293"/>
                <w:spacing w:val="-2"/>
              </w:rPr>
              <w:t>12.3%</w:t>
            </w:r>
          </w:p>
        </w:tc>
        <w:tc>
          <w:tcPr>
            <w:tcW w:w="1995" w:type="dxa"/>
            <w:shd w:val="clear" w:color="auto" w:fill="C6E1F9"/>
          </w:tcPr>
          <w:p w:rsidR="00200FDA" w:rsidRDefault="00F76C4C">
            <w:pPr>
              <w:pStyle w:val="TableParagraph"/>
              <w:ind w:left="129" w:right="115"/>
            </w:pPr>
            <w:r>
              <w:rPr>
                <w:color w:val="0A5293"/>
                <w:spacing w:val="-2"/>
              </w:rPr>
              <w:t>38.2%</w:t>
            </w:r>
          </w:p>
        </w:tc>
      </w:tr>
      <w:tr w:rsidR="00200FDA">
        <w:trPr>
          <w:trHeight w:val="307"/>
        </w:trPr>
        <w:tc>
          <w:tcPr>
            <w:tcW w:w="4285" w:type="dxa"/>
          </w:tcPr>
          <w:p w:rsidR="00200FDA" w:rsidRDefault="00F76C4C">
            <w:pPr>
              <w:pStyle w:val="TableParagraph"/>
              <w:ind w:left="107"/>
              <w:jc w:val="left"/>
            </w:pPr>
            <w:r>
              <w:rPr>
                <w:color w:val="0A5293"/>
              </w:rPr>
              <w:t>Physical</w:t>
            </w:r>
            <w:r>
              <w:rPr>
                <w:color w:val="0A5293"/>
                <w:spacing w:val="-8"/>
              </w:rPr>
              <w:t xml:space="preserve"> </w:t>
            </w:r>
            <w:r>
              <w:rPr>
                <w:color w:val="0A5293"/>
              </w:rPr>
              <w:t>abuse</w:t>
            </w:r>
            <w:r>
              <w:rPr>
                <w:color w:val="0A5293"/>
                <w:spacing w:val="-4"/>
              </w:rPr>
              <w:t xml:space="preserve"> </w:t>
            </w:r>
            <w:r>
              <w:rPr>
                <w:color w:val="0A5293"/>
              </w:rPr>
              <w:t>during</w:t>
            </w:r>
            <w:r>
              <w:rPr>
                <w:color w:val="0A5293"/>
                <w:spacing w:val="-6"/>
              </w:rPr>
              <w:t xml:space="preserve"> </w:t>
            </w:r>
            <w:r>
              <w:rPr>
                <w:color w:val="0A5293"/>
              </w:rPr>
              <w:t>COVID-</w:t>
            </w:r>
            <w:r>
              <w:rPr>
                <w:color w:val="0A5293"/>
                <w:spacing w:val="-4"/>
              </w:rPr>
              <w:t>19***</w:t>
            </w:r>
          </w:p>
        </w:tc>
        <w:tc>
          <w:tcPr>
            <w:tcW w:w="1813" w:type="dxa"/>
          </w:tcPr>
          <w:p w:rsidR="00200FDA" w:rsidRDefault="00200FDA">
            <w:pPr>
              <w:pStyle w:val="TableParagraph"/>
              <w:spacing w:line="240" w:lineRule="auto"/>
              <w:ind w:left="0"/>
              <w:jc w:val="left"/>
              <w:rPr>
                <w:rFonts w:ascii="Times New Roman"/>
              </w:rPr>
            </w:pPr>
          </w:p>
        </w:tc>
        <w:tc>
          <w:tcPr>
            <w:tcW w:w="1995" w:type="dxa"/>
          </w:tcPr>
          <w:p w:rsidR="00200FDA" w:rsidRDefault="00200FDA">
            <w:pPr>
              <w:pStyle w:val="TableParagraph"/>
              <w:spacing w:line="240" w:lineRule="auto"/>
              <w:ind w:left="0"/>
              <w:jc w:val="left"/>
              <w:rPr>
                <w:rFonts w:ascii="Times New Roman"/>
              </w:rPr>
            </w:pPr>
          </w:p>
        </w:tc>
      </w:tr>
      <w:tr w:rsidR="00200FDA">
        <w:trPr>
          <w:trHeight w:val="309"/>
        </w:trPr>
        <w:tc>
          <w:tcPr>
            <w:tcW w:w="4285" w:type="dxa"/>
            <w:shd w:val="clear" w:color="auto" w:fill="C6E1F9"/>
          </w:tcPr>
          <w:p w:rsidR="00200FDA" w:rsidRDefault="00F76C4C">
            <w:pPr>
              <w:pStyle w:val="TableParagraph"/>
              <w:jc w:val="left"/>
            </w:pPr>
            <w:r>
              <w:rPr>
                <w:color w:val="0A5293"/>
                <w:spacing w:val="-4"/>
              </w:rPr>
              <w:t>Never</w:t>
            </w:r>
          </w:p>
        </w:tc>
        <w:tc>
          <w:tcPr>
            <w:tcW w:w="1813" w:type="dxa"/>
            <w:shd w:val="clear" w:color="auto" w:fill="C6E1F9"/>
          </w:tcPr>
          <w:p w:rsidR="00200FDA" w:rsidRDefault="00F76C4C">
            <w:pPr>
              <w:pStyle w:val="TableParagraph"/>
              <w:ind w:left="168" w:right="124"/>
            </w:pPr>
            <w:r>
              <w:rPr>
                <w:color w:val="0A5293"/>
                <w:spacing w:val="-2"/>
              </w:rPr>
              <w:t>89.7%</w:t>
            </w:r>
          </w:p>
        </w:tc>
        <w:tc>
          <w:tcPr>
            <w:tcW w:w="1995" w:type="dxa"/>
            <w:shd w:val="clear" w:color="auto" w:fill="C6E1F9"/>
          </w:tcPr>
          <w:p w:rsidR="00200FDA" w:rsidRDefault="00F76C4C">
            <w:pPr>
              <w:pStyle w:val="TableParagraph"/>
              <w:ind w:left="129" w:right="115"/>
            </w:pPr>
            <w:r>
              <w:rPr>
                <w:color w:val="0A5293"/>
                <w:spacing w:val="-2"/>
              </w:rPr>
              <w:t>77.2%</w:t>
            </w:r>
          </w:p>
        </w:tc>
      </w:tr>
      <w:tr w:rsidR="00200FDA">
        <w:trPr>
          <w:trHeight w:val="309"/>
        </w:trPr>
        <w:tc>
          <w:tcPr>
            <w:tcW w:w="4285" w:type="dxa"/>
          </w:tcPr>
          <w:p w:rsidR="00200FDA" w:rsidRDefault="00F76C4C">
            <w:pPr>
              <w:pStyle w:val="TableParagraph"/>
              <w:jc w:val="left"/>
            </w:pPr>
            <w:r>
              <w:rPr>
                <w:color w:val="0A5293"/>
                <w:spacing w:val="-2"/>
              </w:rPr>
              <w:t>Rarely</w:t>
            </w:r>
          </w:p>
        </w:tc>
        <w:tc>
          <w:tcPr>
            <w:tcW w:w="1813" w:type="dxa"/>
          </w:tcPr>
          <w:p w:rsidR="00200FDA" w:rsidRDefault="00F76C4C">
            <w:pPr>
              <w:pStyle w:val="TableParagraph"/>
              <w:ind w:left="169" w:right="124"/>
            </w:pPr>
            <w:r>
              <w:rPr>
                <w:color w:val="0A5293"/>
                <w:spacing w:val="-4"/>
              </w:rPr>
              <w:t>6.9%</w:t>
            </w:r>
          </w:p>
        </w:tc>
        <w:tc>
          <w:tcPr>
            <w:tcW w:w="1995" w:type="dxa"/>
          </w:tcPr>
          <w:p w:rsidR="00200FDA" w:rsidRDefault="00F76C4C">
            <w:pPr>
              <w:pStyle w:val="TableParagraph"/>
              <w:ind w:left="129" w:right="115"/>
            </w:pPr>
            <w:r>
              <w:rPr>
                <w:color w:val="0A5293"/>
                <w:spacing w:val="-2"/>
              </w:rPr>
              <w:t>14.0%</w:t>
            </w:r>
          </w:p>
        </w:tc>
      </w:tr>
      <w:tr w:rsidR="00200FDA">
        <w:trPr>
          <w:trHeight w:val="309"/>
        </w:trPr>
        <w:tc>
          <w:tcPr>
            <w:tcW w:w="4285" w:type="dxa"/>
            <w:shd w:val="clear" w:color="auto" w:fill="C6E1F9"/>
          </w:tcPr>
          <w:p w:rsidR="00200FDA" w:rsidRDefault="00F76C4C">
            <w:pPr>
              <w:pStyle w:val="TableParagraph"/>
              <w:jc w:val="left"/>
            </w:pPr>
            <w:r>
              <w:rPr>
                <w:color w:val="0A5293"/>
                <w:spacing w:val="-2"/>
              </w:rPr>
              <w:t>Sometimes</w:t>
            </w:r>
          </w:p>
        </w:tc>
        <w:tc>
          <w:tcPr>
            <w:tcW w:w="1813" w:type="dxa"/>
            <w:shd w:val="clear" w:color="auto" w:fill="C6E1F9"/>
          </w:tcPr>
          <w:p w:rsidR="00200FDA" w:rsidRDefault="00F76C4C">
            <w:pPr>
              <w:pStyle w:val="TableParagraph"/>
              <w:ind w:left="169" w:right="124"/>
            </w:pPr>
            <w:r>
              <w:rPr>
                <w:color w:val="0A5293"/>
                <w:spacing w:val="-4"/>
              </w:rPr>
              <w:t>2.7%</w:t>
            </w:r>
          </w:p>
        </w:tc>
        <w:tc>
          <w:tcPr>
            <w:tcW w:w="1995" w:type="dxa"/>
            <w:shd w:val="clear" w:color="auto" w:fill="C6E1F9"/>
          </w:tcPr>
          <w:p w:rsidR="00200FDA" w:rsidRDefault="00F76C4C">
            <w:pPr>
              <w:pStyle w:val="TableParagraph"/>
              <w:ind w:left="129" w:right="114"/>
            </w:pPr>
            <w:r>
              <w:rPr>
                <w:color w:val="0A5293"/>
                <w:spacing w:val="-4"/>
              </w:rPr>
              <w:t>6.6%</w:t>
            </w:r>
          </w:p>
        </w:tc>
      </w:tr>
      <w:tr w:rsidR="00200FDA">
        <w:trPr>
          <w:trHeight w:val="307"/>
        </w:trPr>
        <w:tc>
          <w:tcPr>
            <w:tcW w:w="4285" w:type="dxa"/>
          </w:tcPr>
          <w:p w:rsidR="00200FDA" w:rsidRDefault="00F76C4C">
            <w:pPr>
              <w:pStyle w:val="TableParagraph"/>
              <w:ind w:left="307"/>
              <w:jc w:val="left"/>
            </w:pPr>
            <w:r>
              <w:rPr>
                <w:color w:val="0A5293"/>
              </w:rPr>
              <w:t>Most</w:t>
            </w:r>
            <w:r>
              <w:rPr>
                <w:color w:val="0A5293"/>
                <w:spacing w:val="-6"/>
              </w:rPr>
              <w:t xml:space="preserve"> </w:t>
            </w:r>
            <w:r>
              <w:rPr>
                <w:color w:val="0A5293"/>
              </w:rPr>
              <w:t>of</w:t>
            </w:r>
            <w:r>
              <w:rPr>
                <w:color w:val="0A5293"/>
                <w:spacing w:val="-2"/>
              </w:rPr>
              <w:t xml:space="preserve"> </w:t>
            </w:r>
            <w:r>
              <w:rPr>
                <w:color w:val="0A5293"/>
              </w:rPr>
              <w:t xml:space="preserve">the </w:t>
            </w:r>
            <w:r>
              <w:rPr>
                <w:color w:val="0A5293"/>
                <w:spacing w:val="-4"/>
              </w:rPr>
              <w:t>time</w:t>
            </w:r>
          </w:p>
        </w:tc>
        <w:tc>
          <w:tcPr>
            <w:tcW w:w="1813" w:type="dxa"/>
          </w:tcPr>
          <w:p w:rsidR="00200FDA" w:rsidRDefault="00F76C4C">
            <w:pPr>
              <w:pStyle w:val="TableParagraph"/>
              <w:ind w:left="169" w:right="124"/>
            </w:pPr>
            <w:r>
              <w:rPr>
                <w:color w:val="0A5293"/>
                <w:spacing w:val="-4"/>
              </w:rPr>
              <w:t>0.4%</w:t>
            </w:r>
          </w:p>
        </w:tc>
        <w:tc>
          <w:tcPr>
            <w:tcW w:w="1995" w:type="dxa"/>
          </w:tcPr>
          <w:p w:rsidR="00200FDA" w:rsidRDefault="00F76C4C">
            <w:pPr>
              <w:pStyle w:val="TableParagraph"/>
              <w:ind w:left="129" w:right="114"/>
            </w:pPr>
            <w:r>
              <w:rPr>
                <w:color w:val="0A5293"/>
                <w:spacing w:val="-4"/>
              </w:rPr>
              <w:t>0.7%</w:t>
            </w:r>
          </w:p>
        </w:tc>
      </w:tr>
      <w:tr w:rsidR="00200FDA">
        <w:trPr>
          <w:trHeight w:val="309"/>
        </w:trPr>
        <w:tc>
          <w:tcPr>
            <w:tcW w:w="4285" w:type="dxa"/>
            <w:shd w:val="clear" w:color="auto" w:fill="C6E1F9"/>
          </w:tcPr>
          <w:p w:rsidR="00200FDA" w:rsidRDefault="00F76C4C">
            <w:pPr>
              <w:pStyle w:val="TableParagraph"/>
              <w:jc w:val="left"/>
            </w:pPr>
            <w:r>
              <w:rPr>
                <w:color w:val="0A5293"/>
                <w:spacing w:val="-2"/>
              </w:rPr>
              <w:t>Always</w:t>
            </w:r>
          </w:p>
        </w:tc>
        <w:tc>
          <w:tcPr>
            <w:tcW w:w="1813" w:type="dxa"/>
            <w:shd w:val="clear" w:color="auto" w:fill="C6E1F9"/>
          </w:tcPr>
          <w:p w:rsidR="00200FDA" w:rsidRDefault="00F76C4C">
            <w:pPr>
              <w:pStyle w:val="TableParagraph"/>
              <w:ind w:left="169" w:right="124"/>
            </w:pPr>
            <w:r>
              <w:rPr>
                <w:color w:val="0A5293"/>
                <w:spacing w:val="-4"/>
              </w:rPr>
              <w:t>0.3%</w:t>
            </w:r>
          </w:p>
        </w:tc>
        <w:tc>
          <w:tcPr>
            <w:tcW w:w="1995" w:type="dxa"/>
            <w:shd w:val="clear" w:color="auto" w:fill="C6E1F9"/>
          </w:tcPr>
          <w:p w:rsidR="00200FDA" w:rsidRDefault="00F76C4C">
            <w:pPr>
              <w:pStyle w:val="TableParagraph"/>
              <w:ind w:left="129" w:right="114"/>
            </w:pPr>
            <w:r>
              <w:rPr>
                <w:color w:val="0A5293"/>
                <w:spacing w:val="-4"/>
              </w:rPr>
              <w:t>1.5%</w:t>
            </w:r>
          </w:p>
        </w:tc>
      </w:tr>
      <w:tr w:rsidR="00200FDA">
        <w:trPr>
          <w:trHeight w:val="309"/>
        </w:trPr>
        <w:tc>
          <w:tcPr>
            <w:tcW w:w="4285" w:type="dxa"/>
          </w:tcPr>
          <w:p w:rsidR="00200FDA" w:rsidRDefault="00F76C4C">
            <w:pPr>
              <w:pStyle w:val="TableParagraph"/>
              <w:ind w:left="107"/>
              <w:jc w:val="left"/>
            </w:pPr>
            <w:r>
              <w:rPr>
                <w:color w:val="0A5293"/>
              </w:rPr>
              <w:t>Physical</w:t>
            </w:r>
            <w:r>
              <w:rPr>
                <w:color w:val="0A5293"/>
                <w:spacing w:val="-8"/>
              </w:rPr>
              <w:t xml:space="preserve"> </w:t>
            </w:r>
            <w:r>
              <w:rPr>
                <w:color w:val="0A5293"/>
              </w:rPr>
              <w:t>abuse</w:t>
            </w:r>
            <w:r>
              <w:rPr>
                <w:color w:val="0A5293"/>
                <w:spacing w:val="-1"/>
              </w:rPr>
              <w:t xml:space="preserve"> </w:t>
            </w:r>
            <w:r>
              <w:rPr>
                <w:color w:val="0A5293"/>
              </w:rPr>
              <w:t>at</w:t>
            </w:r>
            <w:r>
              <w:rPr>
                <w:color w:val="0A5293"/>
                <w:spacing w:val="-2"/>
              </w:rPr>
              <w:t xml:space="preserve"> </w:t>
            </w:r>
            <w:r>
              <w:rPr>
                <w:color w:val="0A5293"/>
              </w:rPr>
              <w:t>any</w:t>
            </w:r>
            <w:r>
              <w:rPr>
                <w:color w:val="0A5293"/>
                <w:spacing w:val="-3"/>
              </w:rPr>
              <w:t xml:space="preserve"> </w:t>
            </w:r>
            <w:r>
              <w:rPr>
                <w:color w:val="0A5293"/>
                <w:spacing w:val="-2"/>
              </w:rPr>
              <w:t>time***</w:t>
            </w:r>
          </w:p>
        </w:tc>
        <w:tc>
          <w:tcPr>
            <w:tcW w:w="1813" w:type="dxa"/>
          </w:tcPr>
          <w:p w:rsidR="00200FDA" w:rsidRDefault="00200FDA">
            <w:pPr>
              <w:pStyle w:val="TableParagraph"/>
              <w:spacing w:line="240" w:lineRule="auto"/>
              <w:ind w:left="0"/>
              <w:jc w:val="left"/>
              <w:rPr>
                <w:rFonts w:ascii="Times New Roman"/>
              </w:rPr>
            </w:pPr>
          </w:p>
        </w:tc>
        <w:tc>
          <w:tcPr>
            <w:tcW w:w="1995" w:type="dxa"/>
          </w:tcPr>
          <w:p w:rsidR="00200FDA" w:rsidRDefault="00200FDA">
            <w:pPr>
              <w:pStyle w:val="TableParagraph"/>
              <w:spacing w:line="240" w:lineRule="auto"/>
              <w:ind w:left="0"/>
              <w:jc w:val="left"/>
              <w:rPr>
                <w:rFonts w:ascii="Times New Roman"/>
              </w:rPr>
            </w:pPr>
          </w:p>
        </w:tc>
      </w:tr>
      <w:tr w:rsidR="00200FDA">
        <w:trPr>
          <w:trHeight w:val="307"/>
        </w:trPr>
        <w:tc>
          <w:tcPr>
            <w:tcW w:w="4285" w:type="dxa"/>
            <w:shd w:val="clear" w:color="auto" w:fill="C6E1F9"/>
          </w:tcPr>
          <w:p w:rsidR="00200FDA" w:rsidRDefault="00F76C4C">
            <w:pPr>
              <w:pStyle w:val="TableParagraph"/>
              <w:jc w:val="left"/>
            </w:pPr>
            <w:r>
              <w:rPr>
                <w:color w:val="0A5293"/>
                <w:spacing w:val="-4"/>
              </w:rPr>
              <w:t>Never</w:t>
            </w:r>
          </w:p>
        </w:tc>
        <w:tc>
          <w:tcPr>
            <w:tcW w:w="1813" w:type="dxa"/>
            <w:shd w:val="clear" w:color="auto" w:fill="C6E1F9"/>
          </w:tcPr>
          <w:p w:rsidR="00200FDA" w:rsidRDefault="00F76C4C">
            <w:pPr>
              <w:pStyle w:val="TableParagraph"/>
              <w:ind w:left="168" w:right="124"/>
            </w:pPr>
            <w:r>
              <w:rPr>
                <w:color w:val="0A5293"/>
                <w:spacing w:val="-2"/>
              </w:rPr>
              <w:t>74.6%</w:t>
            </w:r>
          </w:p>
        </w:tc>
        <w:tc>
          <w:tcPr>
            <w:tcW w:w="1995" w:type="dxa"/>
            <w:shd w:val="clear" w:color="auto" w:fill="C6E1F9"/>
          </w:tcPr>
          <w:p w:rsidR="00200FDA" w:rsidRDefault="00F76C4C">
            <w:pPr>
              <w:pStyle w:val="TableParagraph"/>
              <w:ind w:left="129" w:right="115"/>
            </w:pPr>
            <w:r>
              <w:rPr>
                <w:color w:val="0A5293"/>
                <w:spacing w:val="-2"/>
              </w:rPr>
              <w:t>50.0%</w:t>
            </w:r>
          </w:p>
        </w:tc>
      </w:tr>
      <w:tr w:rsidR="00200FDA">
        <w:trPr>
          <w:trHeight w:val="309"/>
        </w:trPr>
        <w:tc>
          <w:tcPr>
            <w:tcW w:w="4285" w:type="dxa"/>
          </w:tcPr>
          <w:p w:rsidR="00200FDA" w:rsidRDefault="00F76C4C">
            <w:pPr>
              <w:pStyle w:val="TableParagraph"/>
              <w:jc w:val="left"/>
            </w:pPr>
            <w:r>
              <w:rPr>
                <w:color w:val="0A5293"/>
                <w:spacing w:val="-2"/>
              </w:rPr>
              <w:t>Rarely</w:t>
            </w:r>
          </w:p>
        </w:tc>
        <w:tc>
          <w:tcPr>
            <w:tcW w:w="1813" w:type="dxa"/>
          </w:tcPr>
          <w:p w:rsidR="00200FDA" w:rsidRDefault="00F76C4C">
            <w:pPr>
              <w:pStyle w:val="TableParagraph"/>
              <w:ind w:left="168" w:right="124"/>
            </w:pPr>
            <w:r>
              <w:rPr>
                <w:color w:val="0A5293"/>
                <w:spacing w:val="-2"/>
              </w:rPr>
              <w:t>16.7%</w:t>
            </w:r>
          </w:p>
        </w:tc>
        <w:tc>
          <w:tcPr>
            <w:tcW w:w="1995" w:type="dxa"/>
          </w:tcPr>
          <w:p w:rsidR="00200FDA" w:rsidRDefault="00F76C4C">
            <w:pPr>
              <w:pStyle w:val="TableParagraph"/>
              <w:ind w:left="129" w:right="115"/>
            </w:pPr>
            <w:r>
              <w:rPr>
                <w:color w:val="0A5293"/>
                <w:spacing w:val="-2"/>
              </w:rPr>
              <w:t>31.2%</w:t>
            </w:r>
          </w:p>
        </w:tc>
      </w:tr>
      <w:tr w:rsidR="00200FDA">
        <w:trPr>
          <w:trHeight w:val="309"/>
        </w:trPr>
        <w:tc>
          <w:tcPr>
            <w:tcW w:w="4285" w:type="dxa"/>
            <w:shd w:val="clear" w:color="auto" w:fill="C6E1F9"/>
          </w:tcPr>
          <w:p w:rsidR="00200FDA" w:rsidRDefault="00F76C4C">
            <w:pPr>
              <w:pStyle w:val="TableParagraph"/>
              <w:jc w:val="left"/>
            </w:pPr>
            <w:r>
              <w:rPr>
                <w:color w:val="0A5293"/>
                <w:spacing w:val="-2"/>
              </w:rPr>
              <w:t>Sometimes</w:t>
            </w:r>
          </w:p>
        </w:tc>
        <w:tc>
          <w:tcPr>
            <w:tcW w:w="1813" w:type="dxa"/>
            <w:shd w:val="clear" w:color="auto" w:fill="C6E1F9"/>
          </w:tcPr>
          <w:p w:rsidR="00200FDA" w:rsidRDefault="00F76C4C">
            <w:pPr>
              <w:pStyle w:val="TableParagraph"/>
              <w:ind w:left="169" w:right="124"/>
            </w:pPr>
            <w:r>
              <w:rPr>
                <w:color w:val="0A5293"/>
                <w:spacing w:val="-4"/>
              </w:rPr>
              <w:t>7.4%</w:t>
            </w:r>
          </w:p>
        </w:tc>
        <w:tc>
          <w:tcPr>
            <w:tcW w:w="1995" w:type="dxa"/>
            <w:shd w:val="clear" w:color="auto" w:fill="C6E1F9"/>
          </w:tcPr>
          <w:p w:rsidR="00200FDA" w:rsidRDefault="00F76C4C">
            <w:pPr>
              <w:pStyle w:val="TableParagraph"/>
              <w:ind w:left="129" w:right="115"/>
            </w:pPr>
            <w:r>
              <w:rPr>
                <w:color w:val="0A5293"/>
                <w:spacing w:val="-2"/>
              </w:rPr>
              <w:t>13.0%</w:t>
            </w:r>
          </w:p>
        </w:tc>
      </w:tr>
      <w:tr w:rsidR="00200FDA">
        <w:trPr>
          <w:trHeight w:val="307"/>
        </w:trPr>
        <w:tc>
          <w:tcPr>
            <w:tcW w:w="4285" w:type="dxa"/>
          </w:tcPr>
          <w:p w:rsidR="00200FDA" w:rsidRDefault="00F76C4C">
            <w:pPr>
              <w:pStyle w:val="TableParagraph"/>
              <w:ind w:left="307"/>
              <w:jc w:val="left"/>
            </w:pPr>
            <w:r>
              <w:rPr>
                <w:color w:val="0A5293"/>
              </w:rPr>
              <w:t>Most</w:t>
            </w:r>
            <w:r>
              <w:rPr>
                <w:color w:val="0A5293"/>
                <w:spacing w:val="-6"/>
              </w:rPr>
              <w:t xml:space="preserve"> </w:t>
            </w:r>
            <w:r>
              <w:rPr>
                <w:color w:val="0A5293"/>
              </w:rPr>
              <w:t>of</w:t>
            </w:r>
            <w:r>
              <w:rPr>
                <w:color w:val="0A5293"/>
                <w:spacing w:val="-2"/>
              </w:rPr>
              <w:t xml:space="preserve"> </w:t>
            </w:r>
            <w:r>
              <w:rPr>
                <w:color w:val="0A5293"/>
              </w:rPr>
              <w:t xml:space="preserve">the </w:t>
            </w:r>
            <w:r>
              <w:rPr>
                <w:color w:val="0A5293"/>
                <w:spacing w:val="-4"/>
              </w:rPr>
              <w:t>time</w:t>
            </w:r>
          </w:p>
        </w:tc>
        <w:tc>
          <w:tcPr>
            <w:tcW w:w="1813" w:type="dxa"/>
          </w:tcPr>
          <w:p w:rsidR="00200FDA" w:rsidRDefault="00F76C4C">
            <w:pPr>
              <w:pStyle w:val="TableParagraph"/>
              <w:ind w:left="169" w:right="124"/>
            </w:pPr>
            <w:r>
              <w:rPr>
                <w:color w:val="0A5293"/>
                <w:spacing w:val="-4"/>
              </w:rPr>
              <w:t>1.0%</w:t>
            </w:r>
          </w:p>
        </w:tc>
        <w:tc>
          <w:tcPr>
            <w:tcW w:w="1995" w:type="dxa"/>
          </w:tcPr>
          <w:p w:rsidR="00200FDA" w:rsidRDefault="00F76C4C">
            <w:pPr>
              <w:pStyle w:val="TableParagraph"/>
              <w:ind w:left="129" w:right="114"/>
            </w:pPr>
            <w:r>
              <w:rPr>
                <w:color w:val="0A5293"/>
                <w:spacing w:val="-4"/>
              </w:rPr>
              <w:t>4.3%</w:t>
            </w:r>
          </w:p>
        </w:tc>
      </w:tr>
      <w:tr w:rsidR="00200FDA">
        <w:trPr>
          <w:trHeight w:val="309"/>
        </w:trPr>
        <w:tc>
          <w:tcPr>
            <w:tcW w:w="4285" w:type="dxa"/>
            <w:shd w:val="clear" w:color="auto" w:fill="C6E1F9"/>
          </w:tcPr>
          <w:p w:rsidR="00200FDA" w:rsidRDefault="00F76C4C">
            <w:pPr>
              <w:pStyle w:val="TableParagraph"/>
              <w:jc w:val="left"/>
            </w:pPr>
            <w:r>
              <w:rPr>
                <w:color w:val="0A5293"/>
                <w:spacing w:val="-2"/>
              </w:rPr>
              <w:t>Always</w:t>
            </w:r>
          </w:p>
        </w:tc>
        <w:tc>
          <w:tcPr>
            <w:tcW w:w="1813" w:type="dxa"/>
            <w:shd w:val="clear" w:color="auto" w:fill="C6E1F9"/>
          </w:tcPr>
          <w:p w:rsidR="00200FDA" w:rsidRDefault="00F76C4C">
            <w:pPr>
              <w:pStyle w:val="TableParagraph"/>
              <w:ind w:left="169" w:right="124"/>
            </w:pPr>
            <w:r>
              <w:rPr>
                <w:color w:val="0A5293"/>
                <w:spacing w:val="-4"/>
              </w:rPr>
              <w:t>0.2%</w:t>
            </w:r>
          </w:p>
        </w:tc>
        <w:tc>
          <w:tcPr>
            <w:tcW w:w="1995" w:type="dxa"/>
            <w:shd w:val="clear" w:color="auto" w:fill="C6E1F9"/>
          </w:tcPr>
          <w:p w:rsidR="00200FDA" w:rsidRDefault="00F76C4C">
            <w:pPr>
              <w:pStyle w:val="TableParagraph"/>
              <w:ind w:left="129" w:right="114"/>
            </w:pPr>
            <w:r>
              <w:rPr>
                <w:color w:val="0A5293"/>
                <w:spacing w:val="-4"/>
              </w:rPr>
              <w:t>1.4%</w:t>
            </w:r>
          </w:p>
        </w:tc>
      </w:tr>
      <w:tr w:rsidR="00200FDA">
        <w:trPr>
          <w:trHeight w:val="309"/>
        </w:trPr>
        <w:tc>
          <w:tcPr>
            <w:tcW w:w="4285" w:type="dxa"/>
          </w:tcPr>
          <w:p w:rsidR="00200FDA" w:rsidRDefault="00F76C4C">
            <w:pPr>
              <w:pStyle w:val="TableParagraph"/>
              <w:ind w:left="107"/>
              <w:jc w:val="left"/>
            </w:pPr>
            <w:r>
              <w:rPr>
                <w:color w:val="0A5293"/>
              </w:rPr>
              <w:t>Physical</w:t>
            </w:r>
            <w:r>
              <w:rPr>
                <w:color w:val="0A5293"/>
                <w:spacing w:val="-5"/>
              </w:rPr>
              <w:t xml:space="preserve"> </w:t>
            </w:r>
            <w:r>
              <w:rPr>
                <w:color w:val="0A5293"/>
              </w:rPr>
              <w:t>needs</w:t>
            </w:r>
            <w:r>
              <w:rPr>
                <w:color w:val="0A5293"/>
                <w:spacing w:val="-3"/>
              </w:rPr>
              <w:t xml:space="preserve"> </w:t>
            </w:r>
            <w:r>
              <w:rPr>
                <w:color w:val="0A5293"/>
              </w:rPr>
              <w:t>not</w:t>
            </w:r>
            <w:r>
              <w:rPr>
                <w:color w:val="0A5293"/>
                <w:spacing w:val="-3"/>
              </w:rPr>
              <w:t xml:space="preserve"> </w:t>
            </w:r>
            <w:r>
              <w:rPr>
                <w:color w:val="0A5293"/>
                <w:spacing w:val="-2"/>
              </w:rPr>
              <w:t>met***</w:t>
            </w:r>
          </w:p>
        </w:tc>
        <w:tc>
          <w:tcPr>
            <w:tcW w:w="1813" w:type="dxa"/>
          </w:tcPr>
          <w:p w:rsidR="00200FDA" w:rsidRDefault="00200FDA">
            <w:pPr>
              <w:pStyle w:val="TableParagraph"/>
              <w:spacing w:line="240" w:lineRule="auto"/>
              <w:ind w:left="0"/>
              <w:jc w:val="left"/>
              <w:rPr>
                <w:rFonts w:ascii="Times New Roman"/>
              </w:rPr>
            </w:pPr>
          </w:p>
        </w:tc>
        <w:tc>
          <w:tcPr>
            <w:tcW w:w="1995" w:type="dxa"/>
          </w:tcPr>
          <w:p w:rsidR="00200FDA" w:rsidRDefault="00200FDA">
            <w:pPr>
              <w:pStyle w:val="TableParagraph"/>
              <w:spacing w:line="240" w:lineRule="auto"/>
              <w:ind w:left="0"/>
              <w:jc w:val="left"/>
              <w:rPr>
                <w:rFonts w:ascii="Times New Roman"/>
              </w:rPr>
            </w:pPr>
          </w:p>
        </w:tc>
      </w:tr>
      <w:tr w:rsidR="00200FDA">
        <w:trPr>
          <w:trHeight w:val="307"/>
        </w:trPr>
        <w:tc>
          <w:tcPr>
            <w:tcW w:w="4285" w:type="dxa"/>
            <w:shd w:val="clear" w:color="auto" w:fill="C6E1F9"/>
          </w:tcPr>
          <w:p w:rsidR="00200FDA" w:rsidRDefault="00F76C4C">
            <w:pPr>
              <w:pStyle w:val="TableParagraph"/>
              <w:jc w:val="left"/>
            </w:pPr>
            <w:r>
              <w:rPr>
                <w:color w:val="0A5293"/>
                <w:spacing w:val="-4"/>
              </w:rPr>
              <w:t>Never</w:t>
            </w:r>
          </w:p>
        </w:tc>
        <w:tc>
          <w:tcPr>
            <w:tcW w:w="1813" w:type="dxa"/>
            <w:shd w:val="clear" w:color="auto" w:fill="C6E1F9"/>
          </w:tcPr>
          <w:p w:rsidR="00200FDA" w:rsidRDefault="00F76C4C">
            <w:pPr>
              <w:pStyle w:val="TableParagraph"/>
              <w:ind w:left="169" w:right="124"/>
            </w:pPr>
            <w:r>
              <w:rPr>
                <w:color w:val="0A5293"/>
                <w:spacing w:val="-4"/>
              </w:rPr>
              <w:t>4.4%</w:t>
            </w:r>
          </w:p>
        </w:tc>
        <w:tc>
          <w:tcPr>
            <w:tcW w:w="1995" w:type="dxa"/>
            <w:shd w:val="clear" w:color="auto" w:fill="C6E1F9"/>
          </w:tcPr>
          <w:p w:rsidR="00200FDA" w:rsidRDefault="00F76C4C">
            <w:pPr>
              <w:pStyle w:val="TableParagraph"/>
              <w:ind w:left="129" w:right="114"/>
            </w:pPr>
            <w:r>
              <w:rPr>
                <w:color w:val="0A5293"/>
                <w:spacing w:val="-4"/>
              </w:rPr>
              <w:t>2.9%</w:t>
            </w:r>
          </w:p>
        </w:tc>
      </w:tr>
      <w:tr w:rsidR="00200FDA">
        <w:trPr>
          <w:trHeight w:val="309"/>
        </w:trPr>
        <w:tc>
          <w:tcPr>
            <w:tcW w:w="4285" w:type="dxa"/>
          </w:tcPr>
          <w:p w:rsidR="00200FDA" w:rsidRDefault="00F76C4C">
            <w:pPr>
              <w:pStyle w:val="TableParagraph"/>
              <w:jc w:val="left"/>
            </w:pPr>
            <w:r>
              <w:rPr>
                <w:color w:val="0A5293"/>
                <w:spacing w:val="-2"/>
              </w:rPr>
              <w:t>Rarely</w:t>
            </w:r>
          </w:p>
        </w:tc>
        <w:tc>
          <w:tcPr>
            <w:tcW w:w="1813" w:type="dxa"/>
          </w:tcPr>
          <w:p w:rsidR="00200FDA" w:rsidRDefault="00F76C4C">
            <w:pPr>
              <w:pStyle w:val="TableParagraph"/>
              <w:ind w:left="169" w:right="124"/>
            </w:pPr>
            <w:r>
              <w:rPr>
                <w:color w:val="0A5293"/>
                <w:spacing w:val="-4"/>
              </w:rPr>
              <w:t>2.9%</w:t>
            </w:r>
          </w:p>
        </w:tc>
        <w:tc>
          <w:tcPr>
            <w:tcW w:w="1995" w:type="dxa"/>
          </w:tcPr>
          <w:p w:rsidR="00200FDA" w:rsidRDefault="00F76C4C">
            <w:pPr>
              <w:pStyle w:val="TableParagraph"/>
              <w:ind w:left="129" w:right="114"/>
            </w:pPr>
            <w:r>
              <w:rPr>
                <w:color w:val="0A5293"/>
                <w:spacing w:val="-4"/>
              </w:rPr>
              <w:t>6.6%</w:t>
            </w:r>
          </w:p>
        </w:tc>
      </w:tr>
      <w:tr w:rsidR="00200FDA">
        <w:trPr>
          <w:trHeight w:val="309"/>
        </w:trPr>
        <w:tc>
          <w:tcPr>
            <w:tcW w:w="4285" w:type="dxa"/>
            <w:shd w:val="clear" w:color="auto" w:fill="C6E1F9"/>
          </w:tcPr>
          <w:p w:rsidR="00200FDA" w:rsidRDefault="00F76C4C">
            <w:pPr>
              <w:pStyle w:val="TableParagraph"/>
              <w:jc w:val="left"/>
            </w:pPr>
            <w:r>
              <w:rPr>
                <w:color w:val="0A5293"/>
                <w:spacing w:val="-2"/>
              </w:rPr>
              <w:t>Sometimes</w:t>
            </w:r>
          </w:p>
        </w:tc>
        <w:tc>
          <w:tcPr>
            <w:tcW w:w="1813" w:type="dxa"/>
            <w:shd w:val="clear" w:color="auto" w:fill="C6E1F9"/>
          </w:tcPr>
          <w:p w:rsidR="00200FDA" w:rsidRDefault="00F76C4C">
            <w:pPr>
              <w:pStyle w:val="TableParagraph"/>
              <w:ind w:left="169" w:right="124"/>
            </w:pPr>
            <w:r>
              <w:rPr>
                <w:color w:val="0A5293"/>
                <w:spacing w:val="-4"/>
              </w:rPr>
              <w:t>5.1%</w:t>
            </w:r>
          </w:p>
        </w:tc>
        <w:tc>
          <w:tcPr>
            <w:tcW w:w="1995" w:type="dxa"/>
            <w:shd w:val="clear" w:color="auto" w:fill="C6E1F9"/>
          </w:tcPr>
          <w:p w:rsidR="00200FDA" w:rsidRDefault="00F76C4C">
            <w:pPr>
              <w:pStyle w:val="TableParagraph"/>
              <w:ind w:left="129" w:right="115"/>
            </w:pPr>
            <w:r>
              <w:rPr>
                <w:color w:val="0A5293"/>
                <w:spacing w:val="-2"/>
              </w:rPr>
              <w:t>12.5%</w:t>
            </w:r>
          </w:p>
        </w:tc>
      </w:tr>
      <w:tr w:rsidR="00200FDA">
        <w:trPr>
          <w:trHeight w:val="307"/>
        </w:trPr>
        <w:tc>
          <w:tcPr>
            <w:tcW w:w="4285" w:type="dxa"/>
          </w:tcPr>
          <w:p w:rsidR="00200FDA" w:rsidRDefault="00F76C4C">
            <w:pPr>
              <w:pStyle w:val="TableParagraph"/>
              <w:ind w:left="307"/>
              <w:jc w:val="left"/>
            </w:pPr>
            <w:r>
              <w:rPr>
                <w:color w:val="0A5293"/>
              </w:rPr>
              <w:t>Most</w:t>
            </w:r>
            <w:r>
              <w:rPr>
                <w:color w:val="0A5293"/>
                <w:spacing w:val="-6"/>
              </w:rPr>
              <w:t xml:space="preserve"> </w:t>
            </w:r>
            <w:r>
              <w:rPr>
                <w:color w:val="0A5293"/>
              </w:rPr>
              <w:t>of</w:t>
            </w:r>
            <w:r>
              <w:rPr>
                <w:color w:val="0A5293"/>
                <w:spacing w:val="-2"/>
              </w:rPr>
              <w:t xml:space="preserve"> </w:t>
            </w:r>
            <w:r>
              <w:rPr>
                <w:color w:val="0A5293"/>
              </w:rPr>
              <w:t xml:space="preserve">the </w:t>
            </w:r>
            <w:r>
              <w:rPr>
                <w:color w:val="0A5293"/>
                <w:spacing w:val="-4"/>
              </w:rPr>
              <w:t>time</w:t>
            </w:r>
          </w:p>
        </w:tc>
        <w:tc>
          <w:tcPr>
            <w:tcW w:w="1813" w:type="dxa"/>
          </w:tcPr>
          <w:p w:rsidR="00200FDA" w:rsidRDefault="00F76C4C">
            <w:pPr>
              <w:pStyle w:val="TableParagraph"/>
              <w:ind w:left="168" w:right="124"/>
            </w:pPr>
            <w:r>
              <w:rPr>
                <w:color w:val="0A5293"/>
                <w:spacing w:val="-2"/>
              </w:rPr>
              <w:t>15.1%</w:t>
            </w:r>
          </w:p>
        </w:tc>
        <w:tc>
          <w:tcPr>
            <w:tcW w:w="1995" w:type="dxa"/>
          </w:tcPr>
          <w:p w:rsidR="00200FDA" w:rsidRDefault="00F76C4C">
            <w:pPr>
              <w:pStyle w:val="TableParagraph"/>
              <w:ind w:left="129" w:right="115"/>
            </w:pPr>
            <w:r>
              <w:rPr>
                <w:color w:val="0A5293"/>
                <w:spacing w:val="-2"/>
              </w:rPr>
              <w:t>24.3%</w:t>
            </w:r>
          </w:p>
        </w:tc>
      </w:tr>
      <w:tr w:rsidR="00200FDA">
        <w:trPr>
          <w:trHeight w:val="309"/>
        </w:trPr>
        <w:tc>
          <w:tcPr>
            <w:tcW w:w="4285" w:type="dxa"/>
            <w:tcBorders>
              <w:bottom w:val="single" w:sz="4" w:space="0" w:color="0F6EC5"/>
            </w:tcBorders>
            <w:shd w:val="clear" w:color="auto" w:fill="C6E1F9"/>
          </w:tcPr>
          <w:p w:rsidR="00200FDA" w:rsidRDefault="00F76C4C">
            <w:pPr>
              <w:pStyle w:val="TableParagraph"/>
              <w:jc w:val="left"/>
            </w:pPr>
            <w:r>
              <w:rPr>
                <w:color w:val="0A5293"/>
                <w:spacing w:val="-2"/>
              </w:rPr>
              <w:t>Always</w:t>
            </w:r>
          </w:p>
        </w:tc>
        <w:tc>
          <w:tcPr>
            <w:tcW w:w="1813" w:type="dxa"/>
            <w:tcBorders>
              <w:bottom w:val="single" w:sz="4" w:space="0" w:color="0F6EC5"/>
            </w:tcBorders>
            <w:shd w:val="clear" w:color="auto" w:fill="C6E1F9"/>
          </w:tcPr>
          <w:p w:rsidR="00200FDA" w:rsidRDefault="00F76C4C">
            <w:pPr>
              <w:pStyle w:val="TableParagraph"/>
              <w:ind w:left="168" w:right="124"/>
            </w:pPr>
            <w:r>
              <w:rPr>
                <w:color w:val="0A5293"/>
                <w:spacing w:val="-2"/>
              </w:rPr>
              <w:t>72.6%</w:t>
            </w:r>
          </w:p>
        </w:tc>
        <w:tc>
          <w:tcPr>
            <w:tcW w:w="1995" w:type="dxa"/>
            <w:tcBorders>
              <w:bottom w:val="single" w:sz="4" w:space="0" w:color="0F6EC5"/>
            </w:tcBorders>
            <w:shd w:val="clear" w:color="auto" w:fill="C6E1F9"/>
          </w:tcPr>
          <w:p w:rsidR="00200FDA" w:rsidRDefault="00F76C4C">
            <w:pPr>
              <w:pStyle w:val="TableParagraph"/>
              <w:ind w:left="129" w:right="115"/>
            </w:pPr>
            <w:r>
              <w:rPr>
                <w:color w:val="0A5293"/>
                <w:spacing w:val="-2"/>
              </w:rPr>
              <w:t>53.7%</w:t>
            </w:r>
          </w:p>
        </w:tc>
      </w:tr>
      <w:tr w:rsidR="00200FDA">
        <w:trPr>
          <w:trHeight w:val="215"/>
        </w:trPr>
        <w:tc>
          <w:tcPr>
            <w:tcW w:w="4285" w:type="dxa"/>
            <w:tcBorders>
              <w:top w:val="single" w:sz="4" w:space="0" w:color="0F6EC5"/>
            </w:tcBorders>
          </w:tcPr>
          <w:p w:rsidR="00200FDA" w:rsidRDefault="00F76C4C">
            <w:pPr>
              <w:pStyle w:val="TableParagraph"/>
              <w:spacing w:line="195" w:lineRule="exact"/>
              <w:ind w:left="86"/>
              <w:jc w:val="left"/>
              <w:rPr>
                <w:sz w:val="18"/>
              </w:rPr>
            </w:pPr>
            <w:r>
              <w:rPr>
                <w:sz w:val="18"/>
              </w:rPr>
              <w:t>***</w:t>
            </w:r>
            <w:r>
              <w:rPr>
                <w:spacing w:val="-3"/>
                <w:sz w:val="18"/>
              </w:rPr>
              <w:t xml:space="preserve"> </w:t>
            </w:r>
            <w:r>
              <w:rPr>
                <w:spacing w:val="-2"/>
                <w:sz w:val="18"/>
              </w:rPr>
              <w:t>p&lt;.001</w:t>
            </w:r>
          </w:p>
        </w:tc>
        <w:tc>
          <w:tcPr>
            <w:tcW w:w="1813" w:type="dxa"/>
            <w:tcBorders>
              <w:top w:val="single" w:sz="4" w:space="0" w:color="0F6EC5"/>
            </w:tcBorders>
          </w:tcPr>
          <w:p w:rsidR="00200FDA" w:rsidRDefault="00200FDA">
            <w:pPr>
              <w:pStyle w:val="TableParagraph"/>
              <w:spacing w:line="240" w:lineRule="auto"/>
              <w:ind w:left="0"/>
              <w:jc w:val="left"/>
              <w:rPr>
                <w:rFonts w:ascii="Times New Roman"/>
                <w:sz w:val="14"/>
              </w:rPr>
            </w:pPr>
          </w:p>
        </w:tc>
        <w:tc>
          <w:tcPr>
            <w:tcW w:w="1995" w:type="dxa"/>
            <w:tcBorders>
              <w:top w:val="single" w:sz="4" w:space="0" w:color="0F6EC5"/>
            </w:tcBorders>
          </w:tcPr>
          <w:p w:rsidR="00200FDA" w:rsidRDefault="00200FDA">
            <w:pPr>
              <w:pStyle w:val="TableParagraph"/>
              <w:spacing w:line="240" w:lineRule="auto"/>
              <w:ind w:left="0"/>
              <w:jc w:val="left"/>
              <w:rPr>
                <w:rFonts w:ascii="Times New Roman"/>
                <w:sz w:val="14"/>
              </w:rPr>
            </w:pPr>
          </w:p>
        </w:tc>
      </w:tr>
    </w:tbl>
    <w:p w:rsidR="00200FDA" w:rsidRDefault="00200FDA">
      <w:pPr>
        <w:rPr>
          <w:rFonts w:ascii="Times New Roman"/>
          <w:sz w:val="14"/>
        </w:rPr>
        <w:sectPr w:rsidR="00200FDA">
          <w:pgSz w:w="12240" w:h="15840"/>
          <w:pgMar w:top="1360" w:right="1300" w:bottom="1260" w:left="1300" w:header="761" w:footer="1062" w:gutter="0"/>
          <w:cols w:space="720"/>
        </w:sectPr>
      </w:pPr>
    </w:p>
    <w:p w:rsidR="00200FDA" w:rsidRDefault="00F76C4C">
      <w:pPr>
        <w:pStyle w:val="Heading8"/>
        <w:spacing w:before="64"/>
      </w:pPr>
      <w:bookmarkStart w:id="59" w:name="Physical_Health"/>
      <w:bookmarkEnd w:id="59"/>
      <w:r>
        <w:rPr>
          <w:color w:val="0A5293"/>
        </w:rPr>
        <w:lastRenderedPageBreak/>
        <w:t>Physical</w:t>
      </w:r>
      <w:r>
        <w:rPr>
          <w:color w:val="0A5293"/>
          <w:spacing w:val="-1"/>
        </w:rPr>
        <w:t xml:space="preserve"> </w:t>
      </w:r>
      <w:r>
        <w:rPr>
          <w:color w:val="0A5293"/>
          <w:spacing w:val="-2"/>
        </w:rPr>
        <w:t>Health</w:t>
      </w:r>
    </w:p>
    <w:p w:rsidR="00200FDA" w:rsidRDefault="00200FDA">
      <w:pPr>
        <w:pStyle w:val="BodyText"/>
        <w:spacing w:before="8"/>
        <w:rPr>
          <w:sz w:val="19"/>
        </w:rPr>
      </w:pPr>
    </w:p>
    <w:p w:rsidR="00200FDA" w:rsidRDefault="00F76C4C">
      <w:pPr>
        <w:pStyle w:val="BodyText"/>
        <w:spacing w:line="276" w:lineRule="auto"/>
        <w:ind w:left="139" w:right="134"/>
        <w:jc w:val="both"/>
      </w:pPr>
      <w:r>
        <w:t>Table</w:t>
      </w:r>
      <w:r>
        <w:rPr>
          <w:spacing w:val="-8"/>
        </w:rPr>
        <w:t xml:space="preserve"> </w:t>
      </w:r>
      <w:r>
        <w:t>3</w:t>
      </w:r>
      <w:r>
        <w:rPr>
          <w:spacing w:val="-8"/>
        </w:rPr>
        <w:t xml:space="preserve"> </w:t>
      </w:r>
      <w:r>
        <w:t>compares</w:t>
      </w:r>
      <w:r>
        <w:rPr>
          <w:spacing w:val="-11"/>
        </w:rPr>
        <w:t xml:space="preserve"> </w:t>
      </w:r>
      <w:r>
        <w:t>multiple</w:t>
      </w:r>
      <w:r>
        <w:rPr>
          <w:spacing w:val="-11"/>
        </w:rPr>
        <w:t xml:space="preserve"> </w:t>
      </w:r>
      <w:r>
        <w:t>dimensions</w:t>
      </w:r>
      <w:r>
        <w:rPr>
          <w:spacing w:val="-9"/>
        </w:rPr>
        <w:t xml:space="preserve"> </w:t>
      </w:r>
      <w:r>
        <w:t>of</w:t>
      </w:r>
      <w:r>
        <w:rPr>
          <w:spacing w:val="-7"/>
        </w:rPr>
        <w:t xml:space="preserve"> </w:t>
      </w:r>
      <w:r>
        <w:t>physical</w:t>
      </w:r>
      <w:r>
        <w:rPr>
          <w:spacing w:val="-9"/>
        </w:rPr>
        <w:t xml:space="preserve"> </w:t>
      </w:r>
      <w:r>
        <w:t>health</w:t>
      </w:r>
      <w:r>
        <w:rPr>
          <w:spacing w:val="-7"/>
        </w:rPr>
        <w:t xml:space="preserve"> </w:t>
      </w:r>
      <w:r>
        <w:t>between</w:t>
      </w:r>
      <w:r>
        <w:rPr>
          <w:spacing w:val="-10"/>
        </w:rPr>
        <w:t xml:space="preserve"> </w:t>
      </w:r>
      <w:r>
        <w:t>LGBTQ</w:t>
      </w:r>
      <w:r>
        <w:rPr>
          <w:spacing w:val="-9"/>
        </w:rPr>
        <w:t xml:space="preserve"> </w:t>
      </w:r>
      <w:r>
        <w:t>and</w:t>
      </w:r>
      <w:r>
        <w:rPr>
          <w:spacing w:val="-7"/>
        </w:rPr>
        <w:t xml:space="preserve"> </w:t>
      </w:r>
      <w:r>
        <w:t>het-cis</w:t>
      </w:r>
      <w:r>
        <w:rPr>
          <w:spacing w:val="-7"/>
        </w:rPr>
        <w:t xml:space="preserve"> </w:t>
      </w:r>
      <w:r>
        <w:t>youth.</w:t>
      </w:r>
      <w:r>
        <w:rPr>
          <w:spacing w:val="-9"/>
        </w:rPr>
        <w:t xml:space="preserve"> </w:t>
      </w:r>
      <w:r>
        <w:t>LGBTQ</w:t>
      </w:r>
      <w:r>
        <w:rPr>
          <w:spacing w:val="-9"/>
        </w:rPr>
        <w:t xml:space="preserve"> </w:t>
      </w:r>
      <w:r>
        <w:t>youth were significantly more likely than het-cis youth to describe themselves as slightly or very overweight (36.8% versus 26.5%) and were more likely to report trying</w:t>
      </w:r>
      <w:r>
        <w:t xml:space="preserve"> to lose weight (52.8% versus 40.8%). While LGBTQ</w:t>
      </w:r>
      <w:r>
        <w:rPr>
          <w:spacing w:val="-11"/>
        </w:rPr>
        <w:t xml:space="preserve"> </w:t>
      </w:r>
      <w:r>
        <w:t>youth</w:t>
      </w:r>
      <w:r>
        <w:rPr>
          <w:spacing w:val="-12"/>
        </w:rPr>
        <w:t xml:space="preserve"> </w:t>
      </w:r>
      <w:r>
        <w:t>were</w:t>
      </w:r>
      <w:r>
        <w:rPr>
          <w:spacing w:val="-8"/>
        </w:rPr>
        <w:t xml:space="preserve"> </w:t>
      </w:r>
      <w:r>
        <w:t>no</w:t>
      </w:r>
      <w:r>
        <w:rPr>
          <w:spacing w:val="-10"/>
        </w:rPr>
        <w:t xml:space="preserve"> </w:t>
      </w:r>
      <w:r>
        <w:t>more</w:t>
      </w:r>
      <w:r>
        <w:rPr>
          <w:spacing w:val="-8"/>
        </w:rPr>
        <w:t xml:space="preserve"> </w:t>
      </w:r>
      <w:r>
        <w:t>likely</w:t>
      </w:r>
      <w:r>
        <w:rPr>
          <w:spacing w:val="-8"/>
        </w:rPr>
        <w:t xml:space="preserve"> </w:t>
      </w:r>
      <w:r>
        <w:t>to</w:t>
      </w:r>
      <w:r>
        <w:rPr>
          <w:spacing w:val="-8"/>
        </w:rPr>
        <w:t xml:space="preserve"> </w:t>
      </w:r>
      <w:r>
        <w:t>be</w:t>
      </w:r>
      <w:r>
        <w:rPr>
          <w:spacing w:val="-11"/>
        </w:rPr>
        <w:t xml:space="preserve"> </w:t>
      </w:r>
      <w:r>
        <w:t>overweight</w:t>
      </w:r>
      <w:r>
        <w:rPr>
          <w:spacing w:val="-8"/>
        </w:rPr>
        <w:t xml:space="preserve"> </w:t>
      </w:r>
      <w:r>
        <w:t>based</w:t>
      </w:r>
      <w:r>
        <w:rPr>
          <w:spacing w:val="-10"/>
        </w:rPr>
        <w:t xml:space="preserve"> </w:t>
      </w:r>
      <w:r>
        <w:t>on</w:t>
      </w:r>
      <w:r>
        <w:rPr>
          <w:spacing w:val="-12"/>
        </w:rPr>
        <w:t xml:space="preserve"> </w:t>
      </w:r>
      <w:r>
        <w:t>BMI</w:t>
      </w:r>
      <w:r>
        <w:rPr>
          <w:spacing w:val="-12"/>
        </w:rPr>
        <w:t xml:space="preserve"> </w:t>
      </w:r>
      <w:r>
        <w:t>(15.9%</w:t>
      </w:r>
      <w:r>
        <w:rPr>
          <w:spacing w:val="-11"/>
        </w:rPr>
        <w:t xml:space="preserve"> </w:t>
      </w:r>
      <w:r>
        <w:t>versus</w:t>
      </w:r>
      <w:r>
        <w:rPr>
          <w:spacing w:val="-11"/>
        </w:rPr>
        <w:t xml:space="preserve"> </w:t>
      </w:r>
      <w:r>
        <w:t>15.3%),</w:t>
      </w:r>
      <w:r>
        <w:rPr>
          <w:spacing w:val="-9"/>
        </w:rPr>
        <w:t xml:space="preserve"> </w:t>
      </w:r>
      <w:r>
        <w:t>they</w:t>
      </w:r>
      <w:r>
        <w:rPr>
          <w:spacing w:val="-11"/>
        </w:rPr>
        <w:t xml:space="preserve"> </w:t>
      </w:r>
      <w:r>
        <w:t>were</w:t>
      </w:r>
      <w:r>
        <w:rPr>
          <w:spacing w:val="-8"/>
        </w:rPr>
        <w:t xml:space="preserve"> </w:t>
      </w:r>
      <w:r>
        <w:t>slightly more</w:t>
      </w:r>
      <w:r>
        <w:rPr>
          <w:spacing w:val="-7"/>
        </w:rPr>
        <w:t xml:space="preserve"> </w:t>
      </w:r>
      <w:r>
        <w:t>likely</w:t>
      </w:r>
      <w:r>
        <w:rPr>
          <w:spacing w:val="-7"/>
        </w:rPr>
        <w:t xml:space="preserve"> </w:t>
      </w:r>
      <w:r>
        <w:t>to</w:t>
      </w:r>
      <w:r>
        <w:rPr>
          <w:spacing w:val="-7"/>
        </w:rPr>
        <w:t xml:space="preserve"> </w:t>
      </w:r>
      <w:r>
        <w:t>be</w:t>
      </w:r>
      <w:r>
        <w:rPr>
          <w:spacing w:val="-10"/>
        </w:rPr>
        <w:t xml:space="preserve"> </w:t>
      </w:r>
      <w:r>
        <w:t>obese</w:t>
      </w:r>
      <w:r>
        <w:rPr>
          <w:spacing w:val="-7"/>
        </w:rPr>
        <w:t xml:space="preserve"> </w:t>
      </w:r>
      <w:r>
        <w:t>using</w:t>
      </w:r>
      <w:r>
        <w:rPr>
          <w:spacing w:val="-9"/>
        </w:rPr>
        <w:t xml:space="preserve"> </w:t>
      </w:r>
      <w:r>
        <w:t>BMI</w:t>
      </w:r>
      <w:r>
        <w:rPr>
          <w:spacing w:val="-8"/>
        </w:rPr>
        <w:t xml:space="preserve"> </w:t>
      </w:r>
      <w:r>
        <w:t>(18.1%</w:t>
      </w:r>
      <w:r>
        <w:rPr>
          <w:spacing w:val="-7"/>
        </w:rPr>
        <w:t xml:space="preserve"> </w:t>
      </w:r>
      <w:r>
        <w:t>versus</w:t>
      </w:r>
      <w:r>
        <w:rPr>
          <w:spacing w:val="-8"/>
        </w:rPr>
        <w:t xml:space="preserve"> </w:t>
      </w:r>
      <w:r>
        <w:t>13.9%).</w:t>
      </w:r>
      <w:r>
        <w:rPr>
          <w:spacing w:val="-8"/>
        </w:rPr>
        <w:t xml:space="preserve"> </w:t>
      </w:r>
      <w:r>
        <w:t>Compared</w:t>
      </w:r>
      <w:r>
        <w:rPr>
          <w:spacing w:val="-9"/>
        </w:rPr>
        <w:t xml:space="preserve"> </w:t>
      </w:r>
      <w:r>
        <w:t>with</w:t>
      </w:r>
      <w:r>
        <w:rPr>
          <w:spacing w:val="-9"/>
        </w:rPr>
        <w:t xml:space="preserve"> </w:t>
      </w:r>
      <w:r>
        <w:t>het-cis</w:t>
      </w:r>
      <w:r>
        <w:rPr>
          <w:spacing w:val="-10"/>
        </w:rPr>
        <w:t xml:space="preserve"> </w:t>
      </w:r>
      <w:r>
        <w:t>youth,</w:t>
      </w:r>
      <w:r>
        <w:rPr>
          <w:spacing w:val="-8"/>
        </w:rPr>
        <w:t xml:space="preserve"> </w:t>
      </w:r>
      <w:r>
        <w:t>LGBTQ</w:t>
      </w:r>
      <w:r>
        <w:rPr>
          <w:spacing w:val="-10"/>
        </w:rPr>
        <w:t xml:space="preserve"> </w:t>
      </w:r>
      <w:r>
        <w:t>youth</w:t>
      </w:r>
      <w:r>
        <w:rPr>
          <w:spacing w:val="-9"/>
        </w:rPr>
        <w:t xml:space="preserve"> </w:t>
      </w:r>
      <w:r>
        <w:t>were less likely</w:t>
      </w:r>
      <w:r>
        <w:rPr>
          <w:spacing w:val="-1"/>
        </w:rPr>
        <w:t xml:space="preserve"> </w:t>
      </w:r>
      <w:r>
        <w:t>to</w:t>
      </w:r>
      <w:r>
        <w:rPr>
          <w:spacing w:val="-1"/>
        </w:rPr>
        <w:t xml:space="preserve"> </w:t>
      </w:r>
      <w:r>
        <w:t>eat breakfast</w:t>
      </w:r>
      <w:r>
        <w:rPr>
          <w:spacing w:val="-1"/>
        </w:rPr>
        <w:t xml:space="preserve"> </w:t>
      </w:r>
      <w:r>
        <w:t>(16.0%</w:t>
      </w:r>
      <w:r>
        <w:rPr>
          <w:spacing w:val="-1"/>
        </w:rPr>
        <w:t xml:space="preserve"> </w:t>
      </w:r>
      <w:r>
        <w:t>versus</w:t>
      </w:r>
      <w:r>
        <w:rPr>
          <w:spacing w:val="-2"/>
        </w:rPr>
        <w:t xml:space="preserve"> </w:t>
      </w:r>
      <w:r>
        <w:t>22.7%),</w:t>
      </w:r>
      <w:r>
        <w:rPr>
          <w:spacing w:val="-2"/>
        </w:rPr>
        <w:t xml:space="preserve"> </w:t>
      </w:r>
      <w:r>
        <w:t>less</w:t>
      </w:r>
      <w:r>
        <w:rPr>
          <w:spacing w:val="-2"/>
        </w:rPr>
        <w:t xml:space="preserve"> </w:t>
      </w:r>
      <w:r>
        <w:t>likely</w:t>
      </w:r>
      <w:r>
        <w:rPr>
          <w:spacing w:val="-1"/>
        </w:rPr>
        <w:t xml:space="preserve"> </w:t>
      </w:r>
      <w:r>
        <w:t>to be</w:t>
      </w:r>
      <w:r>
        <w:rPr>
          <w:spacing w:val="-1"/>
        </w:rPr>
        <w:t xml:space="preserve"> </w:t>
      </w:r>
      <w:r>
        <w:t>physically active</w:t>
      </w:r>
      <w:r>
        <w:rPr>
          <w:spacing w:val="-1"/>
        </w:rPr>
        <w:t xml:space="preserve"> </w:t>
      </w:r>
      <w:r>
        <w:t>at least</w:t>
      </w:r>
      <w:r>
        <w:rPr>
          <w:spacing w:val="-1"/>
        </w:rPr>
        <w:t xml:space="preserve"> </w:t>
      </w:r>
      <w:r>
        <w:t>60</w:t>
      </w:r>
      <w:r>
        <w:rPr>
          <w:spacing w:val="-1"/>
        </w:rPr>
        <w:t xml:space="preserve"> </w:t>
      </w:r>
      <w:r>
        <w:t>minutes per day</w:t>
      </w:r>
      <w:r>
        <w:rPr>
          <w:spacing w:val="-2"/>
        </w:rPr>
        <w:t xml:space="preserve"> </w:t>
      </w:r>
      <w:r>
        <w:t>on</w:t>
      </w:r>
      <w:r>
        <w:rPr>
          <w:spacing w:val="-4"/>
        </w:rPr>
        <w:t xml:space="preserve"> </w:t>
      </w:r>
      <w:r>
        <w:t>5</w:t>
      </w:r>
      <w:r>
        <w:rPr>
          <w:spacing w:val="-2"/>
        </w:rPr>
        <w:t xml:space="preserve"> </w:t>
      </w:r>
      <w:r>
        <w:t>or</w:t>
      </w:r>
      <w:r>
        <w:rPr>
          <w:spacing w:val="-6"/>
        </w:rPr>
        <w:t xml:space="preserve"> </w:t>
      </w:r>
      <w:r>
        <w:t>more days</w:t>
      </w:r>
      <w:r>
        <w:rPr>
          <w:spacing w:val="-3"/>
        </w:rPr>
        <w:t xml:space="preserve"> </w:t>
      </w:r>
      <w:r>
        <w:t>(28.1%</w:t>
      </w:r>
      <w:r>
        <w:rPr>
          <w:spacing w:val="-3"/>
        </w:rPr>
        <w:t xml:space="preserve"> </w:t>
      </w:r>
      <w:r>
        <w:t>versus</w:t>
      </w:r>
      <w:r>
        <w:rPr>
          <w:spacing w:val="-3"/>
        </w:rPr>
        <w:t xml:space="preserve"> </w:t>
      </w:r>
      <w:r>
        <w:t>47.9%),</w:t>
      </w:r>
      <w:r>
        <w:rPr>
          <w:spacing w:val="-3"/>
        </w:rPr>
        <w:t xml:space="preserve"> </w:t>
      </w:r>
      <w:r>
        <w:t>and</w:t>
      </w:r>
      <w:r>
        <w:rPr>
          <w:spacing w:val="-2"/>
        </w:rPr>
        <w:t xml:space="preserve"> </w:t>
      </w:r>
      <w:r>
        <w:t>less</w:t>
      </w:r>
      <w:r>
        <w:rPr>
          <w:spacing w:val="-3"/>
        </w:rPr>
        <w:t xml:space="preserve"> </w:t>
      </w:r>
      <w:r>
        <w:t>likely</w:t>
      </w:r>
      <w:r>
        <w:rPr>
          <w:spacing w:val="-3"/>
        </w:rPr>
        <w:t xml:space="preserve"> </w:t>
      </w:r>
      <w:r>
        <w:t>to get</w:t>
      </w:r>
      <w:r>
        <w:rPr>
          <w:spacing w:val="-3"/>
        </w:rPr>
        <w:t xml:space="preserve"> </w:t>
      </w:r>
      <w:r>
        <w:t>8</w:t>
      </w:r>
      <w:r>
        <w:rPr>
          <w:spacing w:val="-5"/>
        </w:rPr>
        <w:t xml:space="preserve"> </w:t>
      </w:r>
      <w:r>
        <w:t>or</w:t>
      </w:r>
      <w:r>
        <w:rPr>
          <w:spacing w:val="-3"/>
        </w:rPr>
        <w:t xml:space="preserve"> </w:t>
      </w:r>
      <w:r>
        <w:t>more</w:t>
      </w:r>
      <w:r>
        <w:rPr>
          <w:spacing w:val="-3"/>
        </w:rPr>
        <w:t xml:space="preserve"> </w:t>
      </w:r>
      <w:r>
        <w:t>hours</w:t>
      </w:r>
      <w:r>
        <w:rPr>
          <w:spacing w:val="-1"/>
        </w:rPr>
        <w:t xml:space="preserve"> </w:t>
      </w:r>
      <w:r>
        <w:t>of</w:t>
      </w:r>
      <w:r>
        <w:rPr>
          <w:spacing w:val="-1"/>
        </w:rPr>
        <w:t xml:space="preserve"> </w:t>
      </w:r>
      <w:r>
        <w:t>sleep</w:t>
      </w:r>
      <w:r>
        <w:rPr>
          <w:spacing w:val="-4"/>
        </w:rPr>
        <w:t xml:space="preserve"> </w:t>
      </w:r>
      <w:r>
        <w:t>(15.4%</w:t>
      </w:r>
      <w:r>
        <w:rPr>
          <w:spacing w:val="-3"/>
        </w:rPr>
        <w:t xml:space="preserve"> </w:t>
      </w:r>
      <w:r>
        <w:t xml:space="preserve">versus </w:t>
      </w:r>
      <w:r>
        <w:rPr>
          <w:spacing w:val="-2"/>
        </w:rPr>
        <w:t>21.7%).</w:t>
      </w:r>
    </w:p>
    <w:p w:rsidR="00200FDA" w:rsidRDefault="00200FDA">
      <w:pPr>
        <w:pStyle w:val="BodyText"/>
      </w:pPr>
    </w:p>
    <w:p w:rsidR="00200FDA" w:rsidRDefault="00F76C4C">
      <w:pPr>
        <w:pStyle w:val="Heading9"/>
        <w:spacing w:before="159"/>
        <w:ind w:left="982" w:right="981"/>
        <w:jc w:val="center"/>
      </w:pPr>
      <w:r>
        <w:t>Table</w:t>
      </w:r>
      <w:r>
        <w:rPr>
          <w:spacing w:val="-7"/>
        </w:rPr>
        <w:t xml:space="preserve"> </w:t>
      </w:r>
      <w:r>
        <w:t>3.</w:t>
      </w:r>
      <w:r>
        <w:rPr>
          <w:spacing w:val="-2"/>
        </w:rPr>
        <w:t xml:space="preserve"> </w:t>
      </w:r>
      <w:r>
        <w:t>Physical</w:t>
      </w:r>
      <w:r>
        <w:rPr>
          <w:spacing w:val="-5"/>
        </w:rPr>
        <w:t xml:space="preserve"> </w:t>
      </w:r>
      <w:r>
        <w:t>Health</w:t>
      </w:r>
      <w:r>
        <w:rPr>
          <w:spacing w:val="-4"/>
        </w:rPr>
        <w:t xml:space="preserve"> </w:t>
      </w:r>
      <w:r>
        <w:t>Measures</w:t>
      </w:r>
      <w:r>
        <w:rPr>
          <w:spacing w:val="-3"/>
        </w:rPr>
        <w:t xml:space="preserve"> </w:t>
      </w:r>
      <w:r>
        <w:t>for</w:t>
      </w:r>
      <w:r>
        <w:rPr>
          <w:spacing w:val="-2"/>
        </w:rPr>
        <w:t xml:space="preserve"> </w:t>
      </w:r>
      <w:r>
        <w:t>Het-Cis</w:t>
      </w:r>
      <w:r>
        <w:rPr>
          <w:spacing w:val="-3"/>
        </w:rPr>
        <w:t xml:space="preserve"> </w:t>
      </w:r>
      <w:r>
        <w:t>and</w:t>
      </w:r>
      <w:r>
        <w:rPr>
          <w:spacing w:val="-4"/>
        </w:rPr>
        <w:t xml:space="preserve"> </w:t>
      </w:r>
      <w:r>
        <w:t>LGBTQ</w:t>
      </w:r>
      <w:r>
        <w:rPr>
          <w:spacing w:val="-6"/>
        </w:rPr>
        <w:t xml:space="preserve"> </w:t>
      </w:r>
      <w:r>
        <w:t>Youth</w:t>
      </w:r>
      <w:r>
        <w:rPr>
          <w:spacing w:val="-4"/>
        </w:rPr>
        <w:t xml:space="preserve"> </w:t>
      </w:r>
      <w:r>
        <w:rPr>
          <w:spacing w:val="-2"/>
        </w:rPr>
        <w:t>(2021)</w:t>
      </w:r>
    </w:p>
    <w:p w:rsidR="00200FDA" w:rsidRDefault="00200FDA">
      <w:pPr>
        <w:pStyle w:val="BodyText"/>
        <w:spacing w:before="10"/>
        <w:rPr>
          <w:b/>
          <w:sz w:val="28"/>
        </w:rPr>
      </w:pPr>
    </w:p>
    <w:tbl>
      <w:tblPr>
        <w:tblW w:w="0" w:type="auto"/>
        <w:tblInd w:w="682" w:type="dxa"/>
        <w:tblLayout w:type="fixed"/>
        <w:tblCellMar>
          <w:left w:w="0" w:type="dxa"/>
          <w:right w:w="0" w:type="dxa"/>
        </w:tblCellMar>
        <w:tblLook w:val="01E0" w:firstRow="1" w:lastRow="1" w:firstColumn="1" w:lastColumn="1" w:noHBand="0" w:noVBand="0"/>
      </w:tblPr>
      <w:tblGrid>
        <w:gridCol w:w="5200"/>
        <w:gridCol w:w="1561"/>
        <w:gridCol w:w="1521"/>
      </w:tblGrid>
      <w:tr w:rsidR="00200FDA">
        <w:trPr>
          <w:trHeight w:val="307"/>
        </w:trPr>
        <w:tc>
          <w:tcPr>
            <w:tcW w:w="5200" w:type="dxa"/>
            <w:tcBorders>
              <w:top w:val="single" w:sz="4" w:space="0" w:color="0F6EC5"/>
            </w:tcBorders>
            <w:shd w:val="clear" w:color="auto" w:fill="C6E1F9"/>
          </w:tcPr>
          <w:p w:rsidR="00200FDA" w:rsidRDefault="00F76C4C">
            <w:pPr>
              <w:pStyle w:val="TableParagraph"/>
              <w:ind w:left="115"/>
              <w:jc w:val="left"/>
              <w:rPr>
                <w:b/>
              </w:rPr>
            </w:pPr>
            <w:r>
              <w:rPr>
                <w:b/>
                <w:color w:val="0A5293"/>
              </w:rPr>
              <w:t>Physical</w:t>
            </w:r>
            <w:r>
              <w:rPr>
                <w:b/>
                <w:color w:val="0A5293"/>
                <w:spacing w:val="-4"/>
              </w:rPr>
              <w:t xml:space="preserve"> </w:t>
            </w:r>
            <w:r>
              <w:rPr>
                <w:b/>
                <w:color w:val="0A5293"/>
              </w:rPr>
              <w:t>Health</w:t>
            </w:r>
            <w:r>
              <w:rPr>
                <w:b/>
                <w:color w:val="0A5293"/>
                <w:spacing w:val="-3"/>
              </w:rPr>
              <w:t xml:space="preserve"> </w:t>
            </w:r>
            <w:r>
              <w:rPr>
                <w:b/>
                <w:color w:val="0A5293"/>
                <w:spacing w:val="-2"/>
              </w:rPr>
              <w:t>Measure</w:t>
            </w:r>
          </w:p>
        </w:tc>
        <w:tc>
          <w:tcPr>
            <w:tcW w:w="1561" w:type="dxa"/>
            <w:tcBorders>
              <w:top w:val="single" w:sz="4" w:space="0" w:color="0F6EC5"/>
            </w:tcBorders>
            <w:shd w:val="clear" w:color="auto" w:fill="C6E1F9"/>
          </w:tcPr>
          <w:p w:rsidR="00200FDA" w:rsidRDefault="00F76C4C">
            <w:pPr>
              <w:pStyle w:val="TableParagraph"/>
              <w:ind w:left="157" w:right="142"/>
              <w:rPr>
                <w:b/>
              </w:rPr>
            </w:pPr>
            <w:r>
              <w:rPr>
                <w:b/>
                <w:color w:val="0A5293"/>
              </w:rPr>
              <w:t>Het-Cis</w:t>
            </w:r>
            <w:r>
              <w:rPr>
                <w:b/>
                <w:color w:val="0A5293"/>
                <w:spacing w:val="-6"/>
              </w:rPr>
              <w:t xml:space="preserve"> </w:t>
            </w:r>
            <w:r>
              <w:rPr>
                <w:b/>
                <w:color w:val="0A5293"/>
                <w:spacing w:val="-4"/>
              </w:rPr>
              <w:t>Youth</w:t>
            </w:r>
          </w:p>
        </w:tc>
        <w:tc>
          <w:tcPr>
            <w:tcW w:w="1521" w:type="dxa"/>
            <w:tcBorders>
              <w:top w:val="single" w:sz="4" w:space="0" w:color="0F6EC5"/>
            </w:tcBorders>
            <w:shd w:val="clear" w:color="auto" w:fill="C6E1F9"/>
          </w:tcPr>
          <w:p w:rsidR="00200FDA" w:rsidRDefault="00F76C4C">
            <w:pPr>
              <w:pStyle w:val="TableParagraph"/>
              <w:ind w:left="137" w:right="145"/>
              <w:rPr>
                <w:b/>
              </w:rPr>
            </w:pPr>
            <w:r>
              <w:rPr>
                <w:b/>
                <w:color w:val="0A5293"/>
              </w:rPr>
              <w:t>LBGTQ</w:t>
            </w:r>
            <w:r>
              <w:rPr>
                <w:b/>
                <w:color w:val="0A5293"/>
                <w:spacing w:val="-4"/>
              </w:rPr>
              <w:t xml:space="preserve"> </w:t>
            </w:r>
            <w:r>
              <w:rPr>
                <w:b/>
                <w:color w:val="0A5293"/>
                <w:spacing w:val="-2"/>
              </w:rPr>
              <w:t>Youth</w:t>
            </w:r>
          </w:p>
        </w:tc>
      </w:tr>
      <w:tr w:rsidR="00200FDA">
        <w:trPr>
          <w:trHeight w:val="309"/>
        </w:trPr>
        <w:tc>
          <w:tcPr>
            <w:tcW w:w="5200" w:type="dxa"/>
          </w:tcPr>
          <w:p w:rsidR="00200FDA" w:rsidRDefault="00F76C4C">
            <w:pPr>
              <w:pStyle w:val="TableParagraph"/>
              <w:ind w:left="115"/>
              <w:jc w:val="left"/>
            </w:pPr>
            <w:r>
              <w:rPr>
                <w:color w:val="0A5293"/>
              </w:rPr>
              <w:t>Described</w:t>
            </w:r>
            <w:r>
              <w:rPr>
                <w:color w:val="0A5293"/>
                <w:spacing w:val="-3"/>
              </w:rPr>
              <w:t xml:space="preserve"> </w:t>
            </w:r>
            <w:r>
              <w:rPr>
                <w:color w:val="0A5293"/>
              </w:rPr>
              <w:t>self</w:t>
            </w:r>
            <w:r>
              <w:rPr>
                <w:color w:val="0A5293"/>
                <w:spacing w:val="-5"/>
              </w:rPr>
              <w:t xml:space="preserve"> </w:t>
            </w:r>
            <w:r>
              <w:rPr>
                <w:color w:val="0A5293"/>
              </w:rPr>
              <w:t>as</w:t>
            </w:r>
            <w:r>
              <w:rPr>
                <w:color w:val="0A5293"/>
                <w:spacing w:val="-4"/>
              </w:rPr>
              <w:t xml:space="preserve"> </w:t>
            </w:r>
            <w:r>
              <w:rPr>
                <w:color w:val="0A5293"/>
                <w:spacing w:val="-2"/>
              </w:rPr>
              <w:t>overweight***</w:t>
            </w:r>
          </w:p>
        </w:tc>
        <w:tc>
          <w:tcPr>
            <w:tcW w:w="1561" w:type="dxa"/>
          </w:tcPr>
          <w:p w:rsidR="00200FDA" w:rsidRDefault="00F76C4C">
            <w:pPr>
              <w:pStyle w:val="TableParagraph"/>
              <w:ind w:left="154" w:right="142"/>
            </w:pPr>
            <w:r>
              <w:rPr>
                <w:color w:val="0A5293"/>
                <w:spacing w:val="-2"/>
              </w:rPr>
              <w:t>26.5%</w:t>
            </w:r>
          </w:p>
        </w:tc>
        <w:tc>
          <w:tcPr>
            <w:tcW w:w="1521" w:type="dxa"/>
          </w:tcPr>
          <w:p w:rsidR="00200FDA" w:rsidRDefault="00F76C4C">
            <w:pPr>
              <w:pStyle w:val="TableParagraph"/>
              <w:ind w:left="135" w:right="145"/>
            </w:pPr>
            <w:r>
              <w:rPr>
                <w:color w:val="0A5293"/>
                <w:spacing w:val="-2"/>
              </w:rPr>
              <w:t>36.8%</w:t>
            </w:r>
          </w:p>
        </w:tc>
      </w:tr>
      <w:tr w:rsidR="00200FDA">
        <w:trPr>
          <w:trHeight w:val="309"/>
        </w:trPr>
        <w:tc>
          <w:tcPr>
            <w:tcW w:w="5200" w:type="dxa"/>
            <w:shd w:val="clear" w:color="auto" w:fill="C6E1F9"/>
          </w:tcPr>
          <w:p w:rsidR="00200FDA" w:rsidRDefault="00F76C4C">
            <w:pPr>
              <w:pStyle w:val="TableParagraph"/>
              <w:ind w:left="115"/>
              <w:jc w:val="left"/>
            </w:pPr>
            <w:r>
              <w:rPr>
                <w:color w:val="0A5293"/>
              </w:rPr>
              <w:t>Trying</w:t>
            </w:r>
            <w:r>
              <w:rPr>
                <w:color w:val="0A5293"/>
                <w:spacing w:val="-4"/>
              </w:rPr>
              <w:t xml:space="preserve"> </w:t>
            </w:r>
            <w:r>
              <w:rPr>
                <w:color w:val="0A5293"/>
              </w:rPr>
              <w:t>to</w:t>
            </w:r>
            <w:r>
              <w:rPr>
                <w:color w:val="0A5293"/>
                <w:spacing w:val="-1"/>
              </w:rPr>
              <w:t xml:space="preserve"> </w:t>
            </w:r>
            <w:r>
              <w:rPr>
                <w:color w:val="0A5293"/>
              </w:rPr>
              <w:t>lose</w:t>
            </w:r>
            <w:r>
              <w:rPr>
                <w:color w:val="0A5293"/>
                <w:spacing w:val="-4"/>
              </w:rPr>
              <w:t xml:space="preserve"> </w:t>
            </w:r>
            <w:r>
              <w:rPr>
                <w:color w:val="0A5293"/>
                <w:spacing w:val="-2"/>
              </w:rPr>
              <w:t>weight***</w:t>
            </w:r>
          </w:p>
        </w:tc>
        <w:tc>
          <w:tcPr>
            <w:tcW w:w="1561" w:type="dxa"/>
            <w:shd w:val="clear" w:color="auto" w:fill="C6E1F9"/>
          </w:tcPr>
          <w:p w:rsidR="00200FDA" w:rsidRDefault="00F76C4C">
            <w:pPr>
              <w:pStyle w:val="TableParagraph"/>
              <w:ind w:left="154" w:right="142"/>
            </w:pPr>
            <w:r>
              <w:rPr>
                <w:color w:val="0A5293"/>
                <w:spacing w:val="-2"/>
              </w:rPr>
              <w:t>40.8%</w:t>
            </w:r>
          </w:p>
        </w:tc>
        <w:tc>
          <w:tcPr>
            <w:tcW w:w="1521" w:type="dxa"/>
            <w:shd w:val="clear" w:color="auto" w:fill="C6E1F9"/>
          </w:tcPr>
          <w:p w:rsidR="00200FDA" w:rsidRDefault="00F76C4C">
            <w:pPr>
              <w:pStyle w:val="TableParagraph"/>
              <w:ind w:left="135" w:right="145"/>
            </w:pPr>
            <w:r>
              <w:rPr>
                <w:color w:val="0A5293"/>
                <w:spacing w:val="-2"/>
              </w:rPr>
              <w:t>52.8%</w:t>
            </w:r>
          </w:p>
        </w:tc>
      </w:tr>
      <w:tr w:rsidR="00200FDA">
        <w:trPr>
          <w:trHeight w:val="307"/>
        </w:trPr>
        <w:tc>
          <w:tcPr>
            <w:tcW w:w="5200" w:type="dxa"/>
          </w:tcPr>
          <w:p w:rsidR="00200FDA" w:rsidRDefault="00F76C4C">
            <w:pPr>
              <w:pStyle w:val="TableParagraph"/>
              <w:ind w:left="115"/>
              <w:jc w:val="left"/>
            </w:pPr>
            <w:r>
              <w:rPr>
                <w:color w:val="0A5293"/>
              </w:rPr>
              <w:t>Overweight</w:t>
            </w:r>
            <w:r>
              <w:rPr>
                <w:color w:val="0A5293"/>
                <w:spacing w:val="-3"/>
              </w:rPr>
              <w:t xml:space="preserve"> </w:t>
            </w:r>
            <w:r>
              <w:rPr>
                <w:color w:val="0A5293"/>
              </w:rPr>
              <w:t>based</w:t>
            </w:r>
            <w:r>
              <w:rPr>
                <w:color w:val="0A5293"/>
                <w:spacing w:val="-5"/>
              </w:rPr>
              <w:t xml:space="preserve"> </w:t>
            </w:r>
            <w:r>
              <w:rPr>
                <w:color w:val="0A5293"/>
              </w:rPr>
              <w:t>on</w:t>
            </w:r>
            <w:r>
              <w:rPr>
                <w:color w:val="0A5293"/>
                <w:spacing w:val="-4"/>
              </w:rPr>
              <w:t xml:space="preserve"> </w:t>
            </w:r>
            <w:r>
              <w:rPr>
                <w:color w:val="0A5293"/>
                <w:spacing w:val="-5"/>
              </w:rPr>
              <w:t>BMI</w:t>
            </w:r>
          </w:p>
        </w:tc>
        <w:tc>
          <w:tcPr>
            <w:tcW w:w="1561" w:type="dxa"/>
          </w:tcPr>
          <w:p w:rsidR="00200FDA" w:rsidRDefault="00F76C4C">
            <w:pPr>
              <w:pStyle w:val="TableParagraph"/>
              <w:ind w:left="154" w:right="142"/>
            </w:pPr>
            <w:r>
              <w:rPr>
                <w:color w:val="0A5293"/>
                <w:spacing w:val="-2"/>
              </w:rPr>
              <w:t>15.3%</w:t>
            </w:r>
          </w:p>
        </w:tc>
        <w:tc>
          <w:tcPr>
            <w:tcW w:w="1521" w:type="dxa"/>
          </w:tcPr>
          <w:p w:rsidR="00200FDA" w:rsidRDefault="00F76C4C">
            <w:pPr>
              <w:pStyle w:val="TableParagraph"/>
              <w:ind w:left="135" w:right="145"/>
            </w:pPr>
            <w:r>
              <w:rPr>
                <w:color w:val="0A5293"/>
                <w:spacing w:val="-2"/>
              </w:rPr>
              <w:t>15.9%</w:t>
            </w:r>
          </w:p>
        </w:tc>
      </w:tr>
      <w:tr w:rsidR="00200FDA">
        <w:trPr>
          <w:trHeight w:val="309"/>
        </w:trPr>
        <w:tc>
          <w:tcPr>
            <w:tcW w:w="5200" w:type="dxa"/>
            <w:shd w:val="clear" w:color="auto" w:fill="C6E1F9"/>
          </w:tcPr>
          <w:p w:rsidR="00200FDA" w:rsidRDefault="00F76C4C">
            <w:pPr>
              <w:pStyle w:val="TableParagraph"/>
              <w:ind w:left="115"/>
              <w:jc w:val="left"/>
            </w:pPr>
            <w:r>
              <w:rPr>
                <w:color w:val="0A5293"/>
              </w:rPr>
              <w:t>Obese</w:t>
            </w:r>
            <w:r>
              <w:rPr>
                <w:color w:val="0A5293"/>
                <w:spacing w:val="-3"/>
              </w:rPr>
              <w:t xml:space="preserve"> </w:t>
            </w:r>
            <w:r>
              <w:rPr>
                <w:color w:val="0A5293"/>
              </w:rPr>
              <w:t>based</w:t>
            </w:r>
            <w:r>
              <w:rPr>
                <w:color w:val="0A5293"/>
                <w:spacing w:val="-5"/>
              </w:rPr>
              <w:t xml:space="preserve"> </w:t>
            </w:r>
            <w:r>
              <w:rPr>
                <w:color w:val="0A5293"/>
              </w:rPr>
              <w:t>on</w:t>
            </w:r>
            <w:r>
              <w:rPr>
                <w:color w:val="0A5293"/>
                <w:spacing w:val="-2"/>
              </w:rPr>
              <w:t xml:space="preserve"> </w:t>
            </w:r>
            <w:r>
              <w:rPr>
                <w:color w:val="0A5293"/>
                <w:spacing w:val="-4"/>
              </w:rPr>
              <w:t>BMI*</w:t>
            </w:r>
          </w:p>
        </w:tc>
        <w:tc>
          <w:tcPr>
            <w:tcW w:w="1561" w:type="dxa"/>
            <w:shd w:val="clear" w:color="auto" w:fill="C6E1F9"/>
          </w:tcPr>
          <w:p w:rsidR="00200FDA" w:rsidRDefault="00F76C4C">
            <w:pPr>
              <w:pStyle w:val="TableParagraph"/>
              <w:ind w:left="154" w:right="142"/>
            </w:pPr>
            <w:r>
              <w:rPr>
                <w:color w:val="0A5293"/>
                <w:spacing w:val="-2"/>
              </w:rPr>
              <w:t>13.9%</w:t>
            </w:r>
          </w:p>
        </w:tc>
        <w:tc>
          <w:tcPr>
            <w:tcW w:w="1521" w:type="dxa"/>
            <w:shd w:val="clear" w:color="auto" w:fill="C6E1F9"/>
          </w:tcPr>
          <w:p w:rsidR="00200FDA" w:rsidRDefault="00F76C4C">
            <w:pPr>
              <w:pStyle w:val="TableParagraph"/>
              <w:ind w:left="135" w:right="145"/>
            </w:pPr>
            <w:r>
              <w:rPr>
                <w:color w:val="0A5293"/>
                <w:spacing w:val="-2"/>
              </w:rPr>
              <w:t>18.1%</w:t>
            </w:r>
          </w:p>
        </w:tc>
      </w:tr>
      <w:tr w:rsidR="00200FDA">
        <w:trPr>
          <w:trHeight w:val="309"/>
        </w:trPr>
        <w:tc>
          <w:tcPr>
            <w:tcW w:w="5200" w:type="dxa"/>
          </w:tcPr>
          <w:p w:rsidR="00200FDA" w:rsidRDefault="00F76C4C">
            <w:pPr>
              <w:pStyle w:val="TableParagraph"/>
              <w:ind w:left="115"/>
              <w:jc w:val="left"/>
            </w:pPr>
            <w:r>
              <w:rPr>
                <w:color w:val="0A5293"/>
              </w:rPr>
              <w:t>Did</w:t>
            </w:r>
            <w:r>
              <w:rPr>
                <w:color w:val="0A5293"/>
                <w:spacing w:val="-2"/>
              </w:rPr>
              <w:t xml:space="preserve"> </w:t>
            </w:r>
            <w:r>
              <w:rPr>
                <w:color w:val="0A5293"/>
              </w:rPr>
              <w:t>not</w:t>
            </w:r>
            <w:r>
              <w:rPr>
                <w:color w:val="0A5293"/>
                <w:spacing w:val="-3"/>
              </w:rPr>
              <w:t xml:space="preserve"> </w:t>
            </w:r>
            <w:r>
              <w:rPr>
                <w:color w:val="0A5293"/>
              </w:rPr>
              <w:t>eat</w:t>
            </w:r>
            <w:r>
              <w:rPr>
                <w:color w:val="0A5293"/>
                <w:spacing w:val="-2"/>
              </w:rPr>
              <w:t xml:space="preserve"> breakfast***</w:t>
            </w:r>
          </w:p>
        </w:tc>
        <w:tc>
          <w:tcPr>
            <w:tcW w:w="1561" w:type="dxa"/>
          </w:tcPr>
          <w:p w:rsidR="00200FDA" w:rsidRDefault="00F76C4C">
            <w:pPr>
              <w:pStyle w:val="TableParagraph"/>
              <w:ind w:left="154" w:right="142"/>
            </w:pPr>
            <w:r>
              <w:rPr>
                <w:color w:val="0A5293"/>
                <w:spacing w:val="-2"/>
              </w:rPr>
              <w:t>16.0%</w:t>
            </w:r>
          </w:p>
        </w:tc>
        <w:tc>
          <w:tcPr>
            <w:tcW w:w="1521" w:type="dxa"/>
          </w:tcPr>
          <w:p w:rsidR="00200FDA" w:rsidRDefault="00F76C4C">
            <w:pPr>
              <w:pStyle w:val="TableParagraph"/>
              <w:ind w:left="135" w:right="145"/>
            </w:pPr>
            <w:r>
              <w:rPr>
                <w:color w:val="0A5293"/>
                <w:spacing w:val="-2"/>
              </w:rPr>
              <w:t>22.7%</w:t>
            </w:r>
          </w:p>
        </w:tc>
      </w:tr>
      <w:tr w:rsidR="00200FDA">
        <w:trPr>
          <w:trHeight w:val="309"/>
        </w:trPr>
        <w:tc>
          <w:tcPr>
            <w:tcW w:w="5200" w:type="dxa"/>
            <w:shd w:val="clear" w:color="auto" w:fill="C6E1F9"/>
          </w:tcPr>
          <w:p w:rsidR="00200FDA" w:rsidRDefault="00F76C4C">
            <w:pPr>
              <w:pStyle w:val="TableParagraph"/>
              <w:ind w:left="115"/>
              <w:jc w:val="left"/>
            </w:pPr>
            <w:r>
              <w:rPr>
                <w:color w:val="0A5293"/>
              </w:rPr>
              <w:t>Got</w:t>
            </w:r>
            <w:r>
              <w:rPr>
                <w:color w:val="0A5293"/>
                <w:spacing w:val="-3"/>
              </w:rPr>
              <w:t xml:space="preserve"> </w:t>
            </w:r>
            <w:r>
              <w:rPr>
                <w:color w:val="0A5293"/>
              </w:rPr>
              <w:t>8</w:t>
            </w:r>
            <w:r>
              <w:rPr>
                <w:color w:val="0A5293"/>
                <w:spacing w:val="-2"/>
              </w:rPr>
              <w:t xml:space="preserve"> </w:t>
            </w:r>
            <w:r>
              <w:rPr>
                <w:color w:val="0A5293"/>
              </w:rPr>
              <w:t>or</w:t>
            </w:r>
            <w:r>
              <w:rPr>
                <w:color w:val="0A5293"/>
                <w:spacing w:val="-3"/>
              </w:rPr>
              <w:t xml:space="preserve"> </w:t>
            </w:r>
            <w:r>
              <w:rPr>
                <w:color w:val="0A5293"/>
              </w:rPr>
              <w:t>more hours</w:t>
            </w:r>
            <w:r>
              <w:rPr>
                <w:color w:val="0A5293"/>
                <w:spacing w:val="-3"/>
              </w:rPr>
              <w:t xml:space="preserve"> </w:t>
            </w:r>
            <w:r>
              <w:rPr>
                <w:color w:val="0A5293"/>
              </w:rPr>
              <w:t xml:space="preserve">of </w:t>
            </w:r>
            <w:r>
              <w:rPr>
                <w:color w:val="0A5293"/>
                <w:spacing w:val="-2"/>
              </w:rPr>
              <w:t>sleep**</w:t>
            </w:r>
          </w:p>
        </w:tc>
        <w:tc>
          <w:tcPr>
            <w:tcW w:w="1561" w:type="dxa"/>
            <w:shd w:val="clear" w:color="auto" w:fill="C6E1F9"/>
          </w:tcPr>
          <w:p w:rsidR="00200FDA" w:rsidRDefault="00F76C4C">
            <w:pPr>
              <w:pStyle w:val="TableParagraph"/>
              <w:ind w:left="154" w:right="142"/>
            </w:pPr>
            <w:r>
              <w:rPr>
                <w:color w:val="0A5293"/>
                <w:spacing w:val="-2"/>
              </w:rPr>
              <w:t>21.7%</w:t>
            </w:r>
          </w:p>
        </w:tc>
        <w:tc>
          <w:tcPr>
            <w:tcW w:w="1521" w:type="dxa"/>
            <w:shd w:val="clear" w:color="auto" w:fill="C6E1F9"/>
          </w:tcPr>
          <w:p w:rsidR="00200FDA" w:rsidRDefault="00F76C4C">
            <w:pPr>
              <w:pStyle w:val="TableParagraph"/>
              <w:ind w:left="135" w:right="145"/>
            </w:pPr>
            <w:r>
              <w:rPr>
                <w:color w:val="0A5293"/>
                <w:spacing w:val="-2"/>
              </w:rPr>
              <w:t>15.4%</w:t>
            </w:r>
          </w:p>
        </w:tc>
      </w:tr>
      <w:tr w:rsidR="00200FDA">
        <w:trPr>
          <w:trHeight w:val="306"/>
        </w:trPr>
        <w:tc>
          <w:tcPr>
            <w:tcW w:w="5200" w:type="dxa"/>
            <w:tcBorders>
              <w:bottom w:val="single" w:sz="4" w:space="0" w:color="0F6EC5"/>
            </w:tcBorders>
          </w:tcPr>
          <w:p w:rsidR="00200FDA" w:rsidRDefault="00F76C4C">
            <w:pPr>
              <w:pStyle w:val="TableParagraph"/>
              <w:ind w:left="115"/>
              <w:jc w:val="left"/>
            </w:pPr>
            <w:r>
              <w:rPr>
                <w:color w:val="0A5293"/>
              </w:rPr>
              <w:t>Physically</w:t>
            </w:r>
            <w:r>
              <w:rPr>
                <w:color w:val="0A5293"/>
                <w:spacing w:val="-3"/>
              </w:rPr>
              <w:t xml:space="preserve"> </w:t>
            </w:r>
            <w:r>
              <w:rPr>
                <w:color w:val="0A5293"/>
              </w:rPr>
              <w:t>active</w:t>
            </w:r>
            <w:r>
              <w:rPr>
                <w:color w:val="0A5293"/>
                <w:spacing w:val="-2"/>
              </w:rPr>
              <w:t xml:space="preserve"> </w:t>
            </w:r>
            <w:r>
              <w:rPr>
                <w:color w:val="0A5293"/>
              </w:rPr>
              <w:t>at</w:t>
            </w:r>
            <w:r>
              <w:rPr>
                <w:color w:val="0A5293"/>
                <w:spacing w:val="-5"/>
              </w:rPr>
              <w:t xml:space="preserve"> </w:t>
            </w:r>
            <w:r>
              <w:rPr>
                <w:color w:val="0A5293"/>
              </w:rPr>
              <w:t>least</w:t>
            </w:r>
            <w:r>
              <w:rPr>
                <w:color w:val="0A5293"/>
                <w:spacing w:val="-6"/>
              </w:rPr>
              <w:t xml:space="preserve"> </w:t>
            </w:r>
            <w:r>
              <w:rPr>
                <w:color w:val="0A5293"/>
              </w:rPr>
              <w:t>60</w:t>
            </w:r>
            <w:r>
              <w:rPr>
                <w:color w:val="0A5293"/>
                <w:spacing w:val="-4"/>
              </w:rPr>
              <w:t xml:space="preserve"> </w:t>
            </w:r>
            <w:r>
              <w:rPr>
                <w:color w:val="0A5293"/>
              </w:rPr>
              <w:t>mins/day</w:t>
            </w:r>
            <w:r>
              <w:rPr>
                <w:color w:val="0A5293"/>
                <w:spacing w:val="-4"/>
              </w:rPr>
              <w:t xml:space="preserve"> </w:t>
            </w:r>
            <w:r>
              <w:rPr>
                <w:color w:val="0A5293"/>
              </w:rPr>
              <w:t>5+</w:t>
            </w:r>
            <w:r>
              <w:rPr>
                <w:color w:val="0A5293"/>
                <w:spacing w:val="-2"/>
              </w:rPr>
              <w:t xml:space="preserve"> days/week***</w:t>
            </w:r>
          </w:p>
        </w:tc>
        <w:tc>
          <w:tcPr>
            <w:tcW w:w="1561" w:type="dxa"/>
            <w:tcBorders>
              <w:bottom w:val="single" w:sz="4" w:space="0" w:color="0F6EC5"/>
            </w:tcBorders>
          </w:tcPr>
          <w:p w:rsidR="00200FDA" w:rsidRDefault="00F76C4C">
            <w:pPr>
              <w:pStyle w:val="TableParagraph"/>
              <w:ind w:left="154" w:right="142"/>
            </w:pPr>
            <w:r>
              <w:rPr>
                <w:color w:val="0A5293"/>
                <w:spacing w:val="-2"/>
              </w:rPr>
              <w:t>47.9%</w:t>
            </w:r>
          </w:p>
        </w:tc>
        <w:tc>
          <w:tcPr>
            <w:tcW w:w="1521" w:type="dxa"/>
            <w:tcBorders>
              <w:bottom w:val="single" w:sz="4" w:space="0" w:color="0F6EC5"/>
            </w:tcBorders>
          </w:tcPr>
          <w:p w:rsidR="00200FDA" w:rsidRDefault="00F76C4C">
            <w:pPr>
              <w:pStyle w:val="TableParagraph"/>
              <w:ind w:left="135" w:right="145"/>
            </w:pPr>
            <w:r>
              <w:rPr>
                <w:color w:val="0A5293"/>
                <w:spacing w:val="-2"/>
              </w:rPr>
              <w:t>28.1%</w:t>
            </w:r>
          </w:p>
        </w:tc>
      </w:tr>
    </w:tbl>
    <w:p w:rsidR="00200FDA" w:rsidRDefault="00F76C4C">
      <w:pPr>
        <w:spacing w:before="3"/>
        <w:ind w:left="860"/>
        <w:rPr>
          <w:sz w:val="18"/>
        </w:rPr>
      </w:pPr>
      <w:r>
        <w:rPr>
          <w:sz w:val="18"/>
        </w:rPr>
        <w:t>***</w:t>
      </w:r>
      <w:r>
        <w:rPr>
          <w:spacing w:val="-5"/>
          <w:sz w:val="18"/>
        </w:rPr>
        <w:t xml:space="preserve"> </w:t>
      </w:r>
      <w:r>
        <w:rPr>
          <w:sz w:val="18"/>
        </w:rPr>
        <w:t>p&lt;.001;</w:t>
      </w:r>
      <w:r>
        <w:rPr>
          <w:spacing w:val="-2"/>
          <w:sz w:val="18"/>
        </w:rPr>
        <w:t xml:space="preserve"> </w:t>
      </w:r>
      <w:r>
        <w:rPr>
          <w:sz w:val="18"/>
        </w:rPr>
        <w:t>**</w:t>
      </w:r>
      <w:r>
        <w:rPr>
          <w:spacing w:val="-2"/>
          <w:sz w:val="18"/>
        </w:rPr>
        <w:t xml:space="preserve"> </w:t>
      </w:r>
      <w:r>
        <w:rPr>
          <w:sz w:val="18"/>
        </w:rPr>
        <w:t>p&lt;.01; *</w:t>
      </w:r>
      <w:r>
        <w:rPr>
          <w:spacing w:val="-2"/>
          <w:sz w:val="18"/>
        </w:rPr>
        <w:t xml:space="preserve"> </w:t>
      </w:r>
      <w:r>
        <w:rPr>
          <w:spacing w:val="-4"/>
          <w:sz w:val="18"/>
        </w:rPr>
        <w:t>p&lt;.05</w:t>
      </w:r>
    </w:p>
    <w:p w:rsidR="00200FDA" w:rsidRDefault="00200FDA">
      <w:pPr>
        <w:pStyle w:val="BodyText"/>
        <w:spacing w:before="6"/>
      </w:pPr>
    </w:p>
    <w:p w:rsidR="00200FDA" w:rsidRDefault="00F76C4C">
      <w:pPr>
        <w:pStyle w:val="BodyText"/>
        <w:spacing w:line="276" w:lineRule="auto"/>
        <w:ind w:left="139" w:right="133"/>
        <w:jc w:val="both"/>
      </w:pPr>
      <w:r>
        <w:t>Table</w:t>
      </w:r>
      <w:r>
        <w:rPr>
          <w:spacing w:val="-13"/>
        </w:rPr>
        <w:t xml:space="preserve"> </w:t>
      </w:r>
      <w:r>
        <w:t>4</w:t>
      </w:r>
      <w:r>
        <w:rPr>
          <w:spacing w:val="-12"/>
        </w:rPr>
        <w:t xml:space="preserve"> </w:t>
      </w:r>
      <w:r>
        <w:t>compares</w:t>
      </w:r>
      <w:r>
        <w:rPr>
          <w:spacing w:val="-13"/>
        </w:rPr>
        <w:t xml:space="preserve"> </w:t>
      </w:r>
      <w:r>
        <w:t>these</w:t>
      </w:r>
      <w:r>
        <w:rPr>
          <w:spacing w:val="-12"/>
        </w:rPr>
        <w:t xml:space="preserve"> </w:t>
      </w:r>
      <w:r>
        <w:t>multiple</w:t>
      </w:r>
      <w:r>
        <w:rPr>
          <w:spacing w:val="-13"/>
        </w:rPr>
        <w:t xml:space="preserve"> </w:t>
      </w:r>
      <w:r>
        <w:t>dimensions</w:t>
      </w:r>
      <w:r>
        <w:rPr>
          <w:spacing w:val="-12"/>
        </w:rPr>
        <w:t xml:space="preserve"> </w:t>
      </w:r>
      <w:r>
        <w:t>of</w:t>
      </w:r>
      <w:r>
        <w:rPr>
          <w:spacing w:val="-13"/>
        </w:rPr>
        <w:t xml:space="preserve"> </w:t>
      </w:r>
      <w:r>
        <w:t>physical</w:t>
      </w:r>
      <w:r>
        <w:rPr>
          <w:spacing w:val="-12"/>
        </w:rPr>
        <w:t xml:space="preserve"> </w:t>
      </w:r>
      <w:r>
        <w:t>health</w:t>
      </w:r>
      <w:r>
        <w:rPr>
          <w:spacing w:val="-12"/>
        </w:rPr>
        <w:t xml:space="preserve"> </w:t>
      </w:r>
      <w:r>
        <w:t>between</w:t>
      </w:r>
      <w:r>
        <w:rPr>
          <w:spacing w:val="-13"/>
        </w:rPr>
        <w:t xml:space="preserve"> </w:t>
      </w:r>
      <w:r>
        <w:t>transgender</w:t>
      </w:r>
      <w:r>
        <w:rPr>
          <w:spacing w:val="-12"/>
        </w:rPr>
        <w:t xml:space="preserve"> </w:t>
      </w:r>
      <w:r>
        <w:t>and</w:t>
      </w:r>
      <w:r>
        <w:rPr>
          <w:spacing w:val="-13"/>
        </w:rPr>
        <w:t xml:space="preserve"> </w:t>
      </w:r>
      <w:r>
        <w:t>cisgender</w:t>
      </w:r>
      <w:r>
        <w:rPr>
          <w:spacing w:val="-12"/>
        </w:rPr>
        <w:t xml:space="preserve"> </w:t>
      </w:r>
      <w:r>
        <w:t>youth. Transgender youth were significantly more likely than</w:t>
      </w:r>
      <w:r>
        <w:rPr>
          <w:spacing w:val="-3"/>
        </w:rPr>
        <w:t xml:space="preserve"> </w:t>
      </w:r>
      <w:r>
        <w:t>cisgender youth to describe themselves as slightly or very overweight (44.1% versus 28.3%) and were more likely to report trying to lose weight (55.7% versus</w:t>
      </w:r>
      <w:r>
        <w:rPr>
          <w:spacing w:val="-13"/>
        </w:rPr>
        <w:t xml:space="preserve"> </w:t>
      </w:r>
      <w:r>
        <w:t>42.7%).</w:t>
      </w:r>
      <w:r>
        <w:rPr>
          <w:spacing w:val="-12"/>
        </w:rPr>
        <w:t xml:space="preserve"> </w:t>
      </w:r>
      <w:r>
        <w:t>While</w:t>
      </w:r>
      <w:r>
        <w:rPr>
          <w:spacing w:val="-13"/>
        </w:rPr>
        <w:t xml:space="preserve"> </w:t>
      </w:r>
      <w:r>
        <w:t>transgend</w:t>
      </w:r>
      <w:r>
        <w:t>er</w:t>
      </w:r>
      <w:r>
        <w:rPr>
          <w:spacing w:val="-12"/>
        </w:rPr>
        <w:t xml:space="preserve"> </w:t>
      </w:r>
      <w:r>
        <w:t>youth</w:t>
      </w:r>
      <w:r>
        <w:rPr>
          <w:spacing w:val="-13"/>
        </w:rPr>
        <w:t xml:space="preserve"> </w:t>
      </w:r>
      <w:r>
        <w:t>were</w:t>
      </w:r>
      <w:r>
        <w:rPr>
          <w:spacing w:val="-12"/>
        </w:rPr>
        <w:t xml:space="preserve"> </w:t>
      </w:r>
      <w:r>
        <w:t>no</w:t>
      </w:r>
      <w:r>
        <w:rPr>
          <w:spacing w:val="-13"/>
        </w:rPr>
        <w:t xml:space="preserve"> </w:t>
      </w:r>
      <w:r>
        <w:t>more</w:t>
      </w:r>
      <w:r>
        <w:rPr>
          <w:spacing w:val="-12"/>
        </w:rPr>
        <w:t xml:space="preserve"> </w:t>
      </w:r>
      <w:r>
        <w:t>likely</w:t>
      </w:r>
      <w:r>
        <w:rPr>
          <w:spacing w:val="-12"/>
        </w:rPr>
        <w:t xml:space="preserve"> </w:t>
      </w:r>
      <w:r>
        <w:t>to</w:t>
      </w:r>
      <w:r>
        <w:rPr>
          <w:spacing w:val="-13"/>
        </w:rPr>
        <w:t xml:space="preserve"> </w:t>
      </w:r>
      <w:r>
        <w:t>be</w:t>
      </w:r>
      <w:r>
        <w:rPr>
          <w:spacing w:val="-12"/>
        </w:rPr>
        <w:t xml:space="preserve"> </w:t>
      </w:r>
      <w:r>
        <w:t>overweight</w:t>
      </w:r>
      <w:r>
        <w:rPr>
          <w:spacing w:val="-13"/>
        </w:rPr>
        <w:t xml:space="preserve"> </w:t>
      </w:r>
      <w:r>
        <w:t>based</w:t>
      </w:r>
      <w:r>
        <w:rPr>
          <w:spacing w:val="-12"/>
        </w:rPr>
        <w:t xml:space="preserve"> </w:t>
      </w:r>
      <w:r>
        <w:t>on</w:t>
      </w:r>
      <w:r>
        <w:rPr>
          <w:spacing w:val="-13"/>
        </w:rPr>
        <w:t xml:space="preserve"> </w:t>
      </w:r>
      <w:r>
        <w:t>BMI</w:t>
      </w:r>
      <w:r>
        <w:rPr>
          <w:spacing w:val="-12"/>
        </w:rPr>
        <w:t xml:space="preserve"> </w:t>
      </w:r>
      <w:r>
        <w:t>(13.4%</w:t>
      </w:r>
      <w:r>
        <w:rPr>
          <w:spacing w:val="-12"/>
        </w:rPr>
        <w:t xml:space="preserve"> </w:t>
      </w:r>
      <w:r>
        <w:t>versus 15.5%), they were significantly more likely to be obese using BMI (27.7% versus 14.2%). Compared with cisgender</w:t>
      </w:r>
      <w:r>
        <w:rPr>
          <w:spacing w:val="-12"/>
        </w:rPr>
        <w:t xml:space="preserve"> </w:t>
      </w:r>
      <w:r>
        <w:t>youth,</w:t>
      </w:r>
      <w:r>
        <w:rPr>
          <w:spacing w:val="-9"/>
        </w:rPr>
        <w:t xml:space="preserve"> </w:t>
      </w:r>
      <w:r>
        <w:t>transgender</w:t>
      </w:r>
      <w:r>
        <w:rPr>
          <w:spacing w:val="-12"/>
        </w:rPr>
        <w:t xml:space="preserve"> </w:t>
      </w:r>
      <w:r>
        <w:t>youth</w:t>
      </w:r>
      <w:r>
        <w:rPr>
          <w:spacing w:val="-12"/>
        </w:rPr>
        <w:t xml:space="preserve"> </w:t>
      </w:r>
      <w:r>
        <w:t>were</w:t>
      </w:r>
      <w:r>
        <w:rPr>
          <w:spacing w:val="-11"/>
        </w:rPr>
        <w:t xml:space="preserve"> </w:t>
      </w:r>
      <w:r>
        <w:t>not</w:t>
      </w:r>
      <w:r>
        <w:rPr>
          <w:spacing w:val="-11"/>
        </w:rPr>
        <w:t xml:space="preserve"> </w:t>
      </w:r>
      <w:r>
        <w:t>significantly</w:t>
      </w:r>
      <w:r>
        <w:rPr>
          <w:spacing w:val="-8"/>
        </w:rPr>
        <w:t xml:space="preserve"> </w:t>
      </w:r>
      <w:r>
        <w:t>less</w:t>
      </w:r>
      <w:r>
        <w:rPr>
          <w:spacing w:val="-9"/>
        </w:rPr>
        <w:t xml:space="preserve"> </w:t>
      </w:r>
      <w:r>
        <w:t>likely</w:t>
      </w:r>
      <w:r>
        <w:rPr>
          <w:spacing w:val="-10"/>
        </w:rPr>
        <w:t xml:space="preserve"> </w:t>
      </w:r>
      <w:r>
        <w:t>to</w:t>
      </w:r>
      <w:r>
        <w:rPr>
          <w:spacing w:val="-10"/>
        </w:rPr>
        <w:t xml:space="preserve"> </w:t>
      </w:r>
      <w:r>
        <w:t>eat</w:t>
      </w:r>
      <w:r>
        <w:rPr>
          <w:spacing w:val="-11"/>
        </w:rPr>
        <w:t xml:space="preserve"> </w:t>
      </w:r>
      <w:r>
        <w:t>breakfast</w:t>
      </w:r>
      <w:r>
        <w:rPr>
          <w:spacing w:val="-8"/>
        </w:rPr>
        <w:t xml:space="preserve"> </w:t>
      </w:r>
      <w:r>
        <w:t>(22.8%</w:t>
      </w:r>
      <w:r>
        <w:rPr>
          <w:spacing w:val="-11"/>
        </w:rPr>
        <w:t xml:space="preserve"> </w:t>
      </w:r>
      <w:r>
        <w:t>versus</w:t>
      </w:r>
      <w:r>
        <w:rPr>
          <w:spacing w:val="-11"/>
        </w:rPr>
        <w:t xml:space="preserve"> </w:t>
      </w:r>
      <w:r>
        <w:t>17.1%) or to get 8 or more hours of sleep (14.7% versus 20.5%) but were significantly less likely to be physically active at least 60 minutes per day on 5 or more days (25.6% versus 43.5%).</w:t>
      </w:r>
    </w:p>
    <w:p w:rsidR="00200FDA" w:rsidRDefault="00200FDA">
      <w:pPr>
        <w:pStyle w:val="BodyText"/>
      </w:pPr>
    </w:p>
    <w:p w:rsidR="00200FDA" w:rsidRDefault="00F76C4C">
      <w:pPr>
        <w:pStyle w:val="Heading9"/>
        <w:spacing w:before="160" w:after="39"/>
        <w:ind w:left="982" w:right="982"/>
        <w:jc w:val="center"/>
      </w:pPr>
      <w:r>
        <w:t>Table</w:t>
      </w:r>
      <w:r>
        <w:rPr>
          <w:spacing w:val="-7"/>
        </w:rPr>
        <w:t xml:space="preserve"> </w:t>
      </w:r>
      <w:r>
        <w:t>4.</w:t>
      </w:r>
      <w:r>
        <w:rPr>
          <w:spacing w:val="-4"/>
        </w:rPr>
        <w:t xml:space="preserve"> </w:t>
      </w:r>
      <w:r>
        <w:t>Physical</w:t>
      </w:r>
      <w:r>
        <w:rPr>
          <w:spacing w:val="-5"/>
        </w:rPr>
        <w:t xml:space="preserve"> </w:t>
      </w:r>
      <w:r>
        <w:t>Health</w:t>
      </w:r>
      <w:r>
        <w:rPr>
          <w:spacing w:val="-4"/>
        </w:rPr>
        <w:t xml:space="preserve"> </w:t>
      </w:r>
      <w:r>
        <w:t>Measures</w:t>
      </w:r>
      <w:r>
        <w:rPr>
          <w:spacing w:val="-4"/>
        </w:rPr>
        <w:t xml:space="preserve"> </w:t>
      </w:r>
      <w:r>
        <w:t>for</w:t>
      </w:r>
      <w:r>
        <w:rPr>
          <w:spacing w:val="-5"/>
        </w:rPr>
        <w:t xml:space="preserve"> </w:t>
      </w:r>
      <w:r>
        <w:t>Cis</w:t>
      </w:r>
      <w:r>
        <w:t>gender</w:t>
      </w:r>
      <w:r>
        <w:rPr>
          <w:spacing w:val="-4"/>
        </w:rPr>
        <w:t xml:space="preserve"> </w:t>
      </w:r>
      <w:r>
        <w:t>and</w:t>
      </w:r>
      <w:r>
        <w:rPr>
          <w:spacing w:val="-6"/>
        </w:rPr>
        <w:t xml:space="preserve"> </w:t>
      </w:r>
      <w:r>
        <w:t>Transgender</w:t>
      </w:r>
      <w:r>
        <w:rPr>
          <w:spacing w:val="-4"/>
        </w:rPr>
        <w:t xml:space="preserve"> </w:t>
      </w:r>
      <w:r>
        <w:t>Youth</w:t>
      </w:r>
      <w:r>
        <w:rPr>
          <w:spacing w:val="-4"/>
        </w:rPr>
        <w:t xml:space="preserve"> </w:t>
      </w:r>
      <w:r>
        <w:rPr>
          <w:spacing w:val="-2"/>
        </w:rPr>
        <w:t>(2021)</w:t>
      </w:r>
    </w:p>
    <w:tbl>
      <w:tblPr>
        <w:tblW w:w="0" w:type="auto"/>
        <w:tblInd w:w="728" w:type="dxa"/>
        <w:tblLayout w:type="fixed"/>
        <w:tblCellMar>
          <w:left w:w="0" w:type="dxa"/>
          <w:right w:w="0" w:type="dxa"/>
        </w:tblCellMar>
        <w:tblLook w:val="01E0" w:firstRow="1" w:lastRow="1" w:firstColumn="1" w:lastColumn="1" w:noHBand="0" w:noVBand="0"/>
      </w:tblPr>
      <w:tblGrid>
        <w:gridCol w:w="5200"/>
        <w:gridCol w:w="1539"/>
        <w:gridCol w:w="1453"/>
      </w:tblGrid>
      <w:tr w:rsidR="00200FDA">
        <w:trPr>
          <w:trHeight w:val="309"/>
        </w:trPr>
        <w:tc>
          <w:tcPr>
            <w:tcW w:w="5200" w:type="dxa"/>
            <w:tcBorders>
              <w:top w:val="single" w:sz="4" w:space="0" w:color="0F6EC5"/>
            </w:tcBorders>
            <w:shd w:val="clear" w:color="auto" w:fill="C6E1F9"/>
          </w:tcPr>
          <w:p w:rsidR="00200FDA" w:rsidRDefault="00F76C4C">
            <w:pPr>
              <w:pStyle w:val="TableParagraph"/>
              <w:spacing w:before="1" w:line="240" w:lineRule="auto"/>
              <w:ind w:left="115"/>
              <w:jc w:val="left"/>
              <w:rPr>
                <w:b/>
              </w:rPr>
            </w:pPr>
            <w:r>
              <w:rPr>
                <w:b/>
                <w:color w:val="0A5293"/>
              </w:rPr>
              <w:t>Physical</w:t>
            </w:r>
            <w:r>
              <w:rPr>
                <w:b/>
                <w:color w:val="0A5293"/>
                <w:spacing w:val="-4"/>
              </w:rPr>
              <w:t xml:space="preserve"> </w:t>
            </w:r>
            <w:r>
              <w:rPr>
                <w:b/>
                <w:color w:val="0A5293"/>
              </w:rPr>
              <w:t>Health</w:t>
            </w:r>
            <w:r>
              <w:rPr>
                <w:b/>
                <w:color w:val="0A5293"/>
                <w:spacing w:val="-3"/>
              </w:rPr>
              <w:t xml:space="preserve"> </w:t>
            </w:r>
            <w:r>
              <w:rPr>
                <w:b/>
                <w:color w:val="0A5293"/>
                <w:spacing w:val="-2"/>
              </w:rPr>
              <w:t>Measure</w:t>
            </w:r>
          </w:p>
        </w:tc>
        <w:tc>
          <w:tcPr>
            <w:tcW w:w="1539" w:type="dxa"/>
            <w:tcBorders>
              <w:top w:val="single" w:sz="4" w:space="0" w:color="0F6EC5"/>
            </w:tcBorders>
            <w:shd w:val="clear" w:color="auto" w:fill="C6E1F9"/>
          </w:tcPr>
          <w:p w:rsidR="00200FDA" w:rsidRDefault="00F76C4C">
            <w:pPr>
              <w:pStyle w:val="TableParagraph"/>
              <w:spacing w:before="1" w:line="240" w:lineRule="auto"/>
              <w:ind w:left="157" w:right="120"/>
              <w:rPr>
                <w:b/>
              </w:rPr>
            </w:pPr>
            <w:r>
              <w:rPr>
                <w:b/>
                <w:color w:val="0A5293"/>
              </w:rPr>
              <w:t>Het-Cis</w:t>
            </w:r>
            <w:r>
              <w:rPr>
                <w:b/>
                <w:color w:val="0A5293"/>
                <w:spacing w:val="-6"/>
              </w:rPr>
              <w:t xml:space="preserve"> </w:t>
            </w:r>
            <w:r>
              <w:rPr>
                <w:b/>
                <w:color w:val="0A5293"/>
                <w:spacing w:val="-4"/>
              </w:rPr>
              <w:t>Youth</w:t>
            </w:r>
          </w:p>
        </w:tc>
        <w:tc>
          <w:tcPr>
            <w:tcW w:w="1453" w:type="dxa"/>
            <w:tcBorders>
              <w:top w:val="single" w:sz="4" w:space="0" w:color="0F6EC5"/>
            </w:tcBorders>
            <w:shd w:val="clear" w:color="auto" w:fill="C6E1F9"/>
          </w:tcPr>
          <w:p w:rsidR="00200FDA" w:rsidRDefault="00F76C4C">
            <w:pPr>
              <w:pStyle w:val="TableParagraph"/>
              <w:spacing w:before="1" w:line="240" w:lineRule="auto"/>
              <w:ind w:left="112" w:right="102"/>
              <w:rPr>
                <w:b/>
              </w:rPr>
            </w:pPr>
            <w:r>
              <w:rPr>
                <w:b/>
                <w:color w:val="0A5293"/>
              </w:rPr>
              <w:t>LBGTQ</w:t>
            </w:r>
            <w:r>
              <w:rPr>
                <w:b/>
                <w:color w:val="0A5293"/>
                <w:spacing w:val="-4"/>
              </w:rPr>
              <w:t xml:space="preserve"> </w:t>
            </w:r>
            <w:r>
              <w:rPr>
                <w:b/>
                <w:color w:val="0A5293"/>
                <w:spacing w:val="-2"/>
              </w:rPr>
              <w:t>Youth</w:t>
            </w:r>
          </w:p>
        </w:tc>
      </w:tr>
      <w:tr w:rsidR="00200FDA">
        <w:trPr>
          <w:trHeight w:val="309"/>
        </w:trPr>
        <w:tc>
          <w:tcPr>
            <w:tcW w:w="5200" w:type="dxa"/>
          </w:tcPr>
          <w:p w:rsidR="00200FDA" w:rsidRDefault="00F76C4C">
            <w:pPr>
              <w:pStyle w:val="TableParagraph"/>
              <w:ind w:left="115"/>
              <w:jc w:val="left"/>
            </w:pPr>
            <w:r>
              <w:rPr>
                <w:color w:val="0A5293"/>
              </w:rPr>
              <w:t>Described</w:t>
            </w:r>
            <w:r>
              <w:rPr>
                <w:color w:val="0A5293"/>
                <w:spacing w:val="-3"/>
              </w:rPr>
              <w:t xml:space="preserve"> </w:t>
            </w:r>
            <w:r>
              <w:rPr>
                <w:color w:val="0A5293"/>
              </w:rPr>
              <w:t>self</w:t>
            </w:r>
            <w:r>
              <w:rPr>
                <w:color w:val="0A5293"/>
                <w:spacing w:val="-5"/>
              </w:rPr>
              <w:t xml:space="preserve"> </w:t>
            </w:r>
            <w:r>
              <w:rPr>
                <w:color w:val="0A5293"/>
              </w:rPr>
              <w:t>as</w:t>
            </w:r>
            <w:r>
              <w:rPr>
                <w:color w:val="0A5293"/>
                <w:spacing w:val="-4"/>
              </w:rPr>
              <w:t xml:space="preserve"> </w:t>
            </w:r>
            <w:r>
              <w:rPr>
                <w:color w:val="0A5293"/>
                <w:spacing w:val="-2"/>
              </w:rPr>
              <w:t>overweight***</w:t>
            </w:r>
          </w:p>
        </w:tc>
        <w:tc>
          <w:tcPr>
            <w:tcW w:w="1539" w:type="dxa"/>
          </w:tcPr>
          <w:p w:rsidR="00200FDA" w:rsidRDefault="00F76C4C">
            <w:pPr>
              <w:pStyle w:val="TableParagraph"/>
              <w:ind w:left="154" w:right="120"/>
            </w:pPr>
            <w:r>
              <w:rPr>
                <w:color w:val="0A5293"/>
                <w:spacing w:val="-2"/>
              </w:rPr>
              <w:t>28.3%</w:t>
            </w:r>
          </w:p>
        </w:tc>
        <w:tc>
          <w:tcPr>
            <w:tcW w:w="1453" w:type="dxa"/>
          </w:tcPr>
          <w:p w:rsidR="00200FDA" w:rsidRDefault="00F76C4C">
            <w:pPr>
              <w:pStyle w:val="TableParagraph"/>
              <w:ind w:left="112" w:right="99"/>
            </w:pPr>
            <w:r>
              <w:rPr>
                <w:color w:val="0A5293"/>
                <w:spacing w:val="-2"/>
              </w:rPr>
              <w:t>44.1%</w:t>
            </w:r>
          </w:p>
        </w:tc>
      </w:tr>
      <w:tr w:rsidR="00200FDA">
        <w:trPr>
          <w:trHeight w:val="309"/>
        </w:trPr>
        <w:tc>
          <w:tcPr>
            <w:tcW w:w="5200" w:type="dxa"/>
            <w:shd w:val="clear" w:color="auto" w:fill="C6E1F9"/>
          </w:tcPr>
          <w:p w:rsidR="00200FDA" w:rsidRDefault="00F76C4C">
            <w:pPr>
              <w:pStyle w:val="TableParagraph"/>
              <w:ind w:left="115"/>
              <w:jc w:val="left"/>
            </w:pPr>
            <w:r>
              <w:rPr>
                <w:color w:val="0A5293"/>
              </w:rPr>
              <w:t>Trying</w:t>
            </w:r>
            <w:r>
              <w:rPr>
                <w:color w:val="0A5293"/>
                <w:spacing w:val="-4"/>
              </w:rPr>
              <w:t xml:space="preserve"> </w:t>
            </w:r>
            <w:r>
              <w:rPr>
                <w:color w:val="0A5293"/>
              </w:rPr>
              <w:t>to</w:t>
            </w:r>
            <w:r>
              <w:rPr>
                <w:color w:val="0A5293"/>
                <w:spacing w:val="-1"/>
              </w:rPr>
              <w:t xml:space="preserve"> </w:t>
            </w:r>
            <w:r>
              <w:rPr>
                <w:color w:val="0A5293"/>
              </w:rPr>
              <w:t>lose</w:t>
            </w:r>
            <w:r>
              <w:rPr>
                <w:color w:val="0A5293"/>
                <w:spacing w:val="-4"/>
              </w:rPr>
              <w:t xml:space="preserve"> </w:t>
            </w:r>
            <w:r>
              <w:rPr>
                <w:color w:val="0A5293"/>
                <w:spacing w:val="-2"/>
              </w:rPr>
              <w:t>weight**</w:t>
            </w:r>
          </w:p>
        </w:tc>
        <w:tc>
          <w:tcPr>
            <w:tcW w:w="1539" w:type="dxa"/>
            <w:shd w:val="clear" w:color="auto" w:fill="C6E1F9"/>
          </w:tcPr>
          <w:p w:rsidR="00200FDA" w:rsidRDefault="00F76C4C">
            <w:pPr>
              <w:pStyle w:val="TableParagraph"/>
              <w:ind w:left="154" w:right="120"/>
            </w:pPr>
            <w:r>
              <w:rPr>
                <w:color w:val="0A5293"/>
                <w:spacing w:val="-2"/>
              </w:rPr>
              <w:t>42.7%</w:t>
            </w:r>
          </w:p>
        </w:tc>
        <w:tc>
          <w:tcPr>
            <w:tcW w:w="1453" w:type="dxa"/>
            <w:shd w:val="clear" w:color="auto" w:fill="C6E1F9"/>
          </w:tcPr>
          <w:p w:rsidR="00200FDA" w:rsidRDefault="00F76C4C">
            <w:pPr>
              <w:pStyle w:val="TableParagraph"/>
              <w:ind w:left="112" w:right="99"/>
            </w:pPr>
            <w:r>
              <w:rPr>
                <w:color w:val="0A5293"/>
                <w:spacing w:val="-2"/>
              </w:rPr>
              <w:t>55.7%</w:t>
            </w:r>
          </w:p>
        </w:tc>
      </w:tr>
      <w:tr w:rsidR="00200FDA">
        <w:trPr>
          <w:trHeight w:val="307"/>
        </w:trPr>
        <w:tc>
          <w:tcPr>
            <w:tcW w:w="5200" w:type="dxa"/>
          </w:tcPr>
          <w:p w:rsidR="00200FDA" w:rsidRDefault="00F76C4C">
            <w:pPr>
              <w:pStyle w:val="TableParagraph"/>
              <w:ind w:left="115"/>
              <w:jc w:val="left"/>
            </w:pPr>
            <w:r>
              <w:rPr>
                <w:color w:val="0A5293"/>
              </w:rPr>
              <w:t>Overweight</w:t>
            </w:r>
            <w:r>
              <w:rPr>
                <w:color w:val="0A5293"/>
                <w:spacing w:val="-3"/>
              </w:rPr>
              <w:t xml:space="preserve"> </w:t>
            </w:r>
            <w:r>
              <w:rPr>
                <w:color w:val="0A5293"/>
              </w:rPr>
              <w:t>based</w:t>
            </w:r>
            <w:r>
              <w:rPr>
                <w:color w:val="0A5293"/>
                <w:spacing w:val="-5"/>
              </w:rPr>
              <w:t xml:space="preserve"> </w:t>
            </w:r>
            <w:r>
              <w:rPr>
                <w:color w:val="0A5293"/>
              </w:rPr>
              <w:t>on</w:t>
            </w:r>
            <w:r>
              <w:rPr>
                <w:color w:val="0A5293"/>
                <w:spacing w:val="-4"/>
              </w:rPr>
              <w:t xml:space="preserve"> </w:t>
            </w:r>
            <w:r>
              <w:rPr>
                <w:color w:val="0A5293"/>
                <w:spacing w:val="-5"/>
              </w:rPr>
              <w:t>BMI</w:t>
            </w:r>
          </w:p>
        </w:tc>
        <w:tc>
          <w:tcPr>
            <w:tcW w:w="1539" w:type="dxa"/>
          </w:tcPr>
          <w:p w:rsidR="00200FDA" w:rsidRDefault="00F76C4C">
            <w:pPr>
              <w:pStyle w:val="TableParagraph"/>
              <w:ind w:left="154" w:right="120"/>
            </w:pPr>
            <w:r>
              <w:rPr>
                <w:color w:val="0A5293"/>
                <w:spacing w:val="-2"/>
              </w:rPr>
              <w:t>15.5%</w:t>
            </w:r>
          </w:p>
        </w:tc>
        <w:tc>
          <w:tcPr>
            <w:tcW w:w="1453" w:type="dxa"/>
          </w:tcPr>
          <w:p w:rsidR="00200FDA" w:rsidRDefault="00F76C4C">
            <w:pPr>
              <w:pStyle w:val="TableParagraph"/>
              <w:ind w:left="112" w:right="99"/>
            </w:pPr>
            <w:r>
              <w:rPr>
                <w:color w:val="0A5293"/>
                <w:spacing w:val="-2"/>
              </w:rPr>
              <w:t>13.4%</w:t>
            </w:r>
          </w:p>
        </w:tc>
      </w:tr>
      <w:tr w:rsidR="00200FDA">
        <w:trPr>
          <w:trHeight w:val="309"/>
        </w:trPr>
        <w:tc>
          <w:tcPr>
            <w:tcW w:w="5200" w:type="dxa"/>
            <w:shd w:val="clear" w:color="auto" w:fill="C6E1F9"/>
          </w:tcPr>
          <w:p w:rsidR="00200FDA" w:rsidRDefault="00F76C4C">
            <w:pPr>
              <w:pStyle w:val="TableParagraph"/>
              <w:ind w:left="115"/>
              <w:jc w:val="left"/>
            </w:pPr>
            <w:r>
              <w:rPr>
                <w:color w:val="0A5293"/>
              </w:rPr>
              <w:t>Obese</w:t>
            </w:r>
            <w:r>
              <w:rPr>
                <w:color w:val="0A5293"/>
                <w:spacing w:val="-1"/>
              </w:rPr>
              <w:t xml:space="preserve"> </w:t>
            </w:r>
            <w:r>
              <w:rPr>
                <w:color w:val="0A5293"/>
              </w:rPr>
              <w:t>based</w:t>
            </w:r>
            <w:r>
              <w:rPr>
                <w:color w:val="0A5293"/>
                <w:spacing w:val="-5"/>
              </w:rPr>
              <w:t xml:space="preserve"> </w:t>
            </w:r>
            <w:r>
              <w:rPr>
                <w:color w:val="0A5293"/>
              </w:rPr>
              <w:t>on</w:t>
            </w:r>
            <w:r>
              <w:rPr>
                <w:color w:val="0A5293"/>
                <w:spacing w:val="-2"/>
              </w:rPr>
              <w:t xml:space="preserve"> BMI***</w:t>
            </w:r>
          </w:p>
        </w:tc>
        <w:tc>
          <w:tcPr>
            <w:tcW w:w="1539" w:type="dxa"/>
            <w:shd w:val="clear" w:color="auto" w:fill="C6E1F9"/>
          </w:tcPr>
          <w:p w:rsidR="00200FDA" w:rsidRDefault="00F76C4C">
            <w:pPr>
              <w:pStyle w:val="TableParagraph"/>
              <w:ind w:left="154" w:right="120"/>
            </w:pPr>
            <w:r>
              <w:rPr>
                <w:color w:val="0A5293"/>
                <w:spacing w:val="-2"/>
              </w:rPr>
              <w:t>14.2%</w:t>
            </w:r>
          </w:p>
        </w:tc>
        <w:tc>
          <w:tcPr>
            <w:tcW w:w="1453" w:type="dxa"/>
            <w:shd w:val="clear" w:color="auto" w:fill="C6E1F9"/>
          </w:tcPr>
          <w:p w:rsidR="00200FDA" w:rsidRDefault="00F76C4C">
            <w:pPr>
              <w:pStyle w:val="TableParagraph"/>
              <w:ind w:left="112" w:right="99"/>
            </w:pPr>
            <w:r>
              <w:rPr>
                <w:color w:val="0A5293"/>
                <w:spacing w:val="-2"/>
              </w:rPr>
              <w:t>27.7%</w:t>
            </w:r>
          </w:p>
        </w:tc>
      </w:tr>
      <w:tr w:rsidR="00200FDA">
        <w:trPr>
          <w:trHeight w:val="309"/>
        </w:trPr>
        <w:tc>
          <w:tcPr>
            <w:tcW w:w="5200" w:type="dxa"/>
          </w:tcPr>
          <w:p w:rsidR="00200FDA" w:rsidRDefault="00F76C4C">
            <w:pPr>
              <w:pStyle w:val="TableParagraph"/>
              <w:ind w:left="115"/>
              <w:jc w:val="left"/>
            </w:pPr>
            <w:r>
              <w:rPr>
                <w:color w:val="0A5293"/>
              </w:rPr>
              <w:t>Did</w:t>
            </w:r>
            <w:r>
              <w:rPr>
                <w:color w:val="0A5293"/>
                <w:spacing w:val="-2"/>
              </w:rPr>
              <w:t xml:space="preserve"> </w:t>
            </w:r>
            <w:r>
              <w:rPr>
                <w:color w:val="0A5293"/>
              </w:rPr>
              <w:t>not</w:t>
            </w:r>
            <w:r>
              <w:rPr>
                <w:color w:val="0A5293"/>
                <w:spacing w:val="-3"/>
              </w:rPr>
              <w:t xml:space="preserve"> </w:t>
            </w:r>
            <w:r>
              <w:rPr>
                <w:color w:val="0A5293"/>
              </w:rPr>
              <w:t>eat</w:t>
            </w:r>
            <w:r>
              <w:rPr>
                <w:color w:val="0A5293"/>
                <w:spacing w:val="-2"/>
              </w:rPr>
              <w:t xml:space="preserve"> breakfast</w:t>
            </w:r>
          </w:p>
        </w:tc>
        <w:tc>
          <w:tcPr>
            <w:tcW w:w="1539" w:type="dxa"/>
          </w:tcPr>
          <w:p w:rsidR="00200FDA" w:rsidRDefault="00F76C4C">
            <w:pPr>
              <w:pStyle w:val="TableParagraph"/>
              <w:ind w:left="154" w:right="120"/>
            </w:pPr>
            <w:r>
              <w:rPr>
                <w:color w:val="0A5293"/>
                <w:spacing w:val="-2"/>
              </w:rPr>
              <w:t>17.1%</w:t>
            </w:r>
          </w:p>
        </w:tc>
        <w:tc>
          <w:tcPr>
            <w:tcW w:w="1453" w:type="dxa"/>
          </w:tcPr>
          <w:p w:rsidR="00200FDA" w:rsidRDefault="00F76C4C">
            <w:pPr>
              <w:pStyle w:val="TableParagraph"/>
              <w:ind w:left="112" w:right="99"/>
            </w:pPr>
            <w:r>
              <w:rPr>
                <w:color w:val="0A5293"/>
                <w:spacing w:val="-2"/>
              </w:rPr>
              <w:t>22.8%</w:t>
            </w:r>
          </w:p>
        </w:tc>
      </w:tr>
      <w:tr w:rsidR="00200FDA">
        <w:trPr>
          <w:trHeight w:val="307"/>
        </w:trPr>
        <w:tc>
          <w:tcPr>
            <w:tcW w:w="5200" w:type="dxa"/>
            <w:shd w:val="clear" w:color="auto" w:fill="C6E1F9"/>
          </w:tcPr>
          <w:p w:rsidR="00200FDA" w:rsidRDefault="00F76C4C">
            <w:pPr>
              <w:pStyle w:val="TableParagraph"/>
              <w:ind w:left="115"/>
              <w:jc w:val="left"/>
            </w:pPr>
            <w:r>
              <w:rPr>
                <w:color w:val="0A5293"/>
              </w:rPr>
              <w:t>Get</w:t>
            </w:r>
            <w:r>
              <w:rPr>
                <w:color w:val="0A5293"/>
                <w:spacing w:val="-5"/>
              </w:rPr>
              <w:t xml:space="preserve"> </w:t>
            </w:r>
            <w:r>
              <w:rPr>
                <w:color w:val="0A5293"/>
              </w:rPr>
              <w:t>8</w:t>
            </w:r>
            <w:r>
              <w:rPr>
                <w:color w:val="0A5293"/>
                <w:spacing w:val="-2"/>
              </w:rPr>
              <w:t xml:space="preserve"> </w:t>
            </w:r>
            <w:r>
              <w:rPr>
                <w:color w:val="0A5293"/>
              </w:rPr>
              <w:t>or</w:t>
            </w:r>
            <w:r>
              <w:rPr>
                <w:color w:val="0A5293"/>
                <w:spacing w:val="-3"/>
              </w:rPr>
              <w:t xml:space="preserve"> </w:t>
            </w:r>
            <w:r>
              <w:rPr>
                <w:color w:val="0A5293"/>
              </w:rPr>
              <w:t>more hours</w:t>
            </w:r>
            <w:r>
              <w:rPr>
                <w:color w:val="0A5293"/>
                <w:spacing w:val="-1"/>
              </w:rPr>
              <w:t xml:space="preserve"> </w:t>
            </w:r>
            <w:r>
              <w:rPr>
                <w:color w:val="0A5293"/>
              </w:rPr>
              <w:t>of</w:t>
            </w:r>
            <w:r>
              <w:rPr>
                <w:color w:val="0A5293"/>
                <w:spacing w:val="-2"/>
              </w:rPr>
              <w:t xml:space="preserve"> </w:t>
            </w:r>
            <w:r>
              <w:rPr>
                <w:color w:val="0A5293"/>
                <w:spacing w:val="-4"/>
              </w:rPr>
              <w:t>sleep</w:t>
            </w:r>
          </w:p>
        </w:tc>
        <w:tc>
          <w:tcPr>
            <w:tcW w:w="1539" w:type="dxa"/>
            <w:shd w:val="clear" w:color="auto" w:fill="C6E1F9"/>
          </w:tcPr>
          <w:p w:rsidR="00200FDA" w:rsidRDefault="00F76C4C">
            <w:pPr>
              <w:pStyle w:val="TableParagraph"/>
              <w:ind w:left="154" w:right="120"/>
            </w:pPr>
            <w:r>
              <w:rPr>
                <w:color w:val="0A5293"/>
                <w:spacing w:val="-2"/>
              </w:rPr>
              <w:t>20.5%</w:t>
            </w:r>
          </w:p>
        </w:tc>
        <w:tc>
          <w:tcPr>
            <w:tcW w:w="1453" w:type="dxa"/>
            <w:shd w:val="clear" w:color="auto" w:fill="C6E1F9"/>
          </w:tcPr>
          <w:p w:rsidR="00200FDA" w:rsidRDefault="00F76C4C">
            <w:pPr>
              <w:pStyle w:val="TableParagraph"/>
              <w:ind w:left="112" w:right="99"/>
            </w:pPr>
            <w:r>
              <w:rPr>
                <w:color w:val="0A5293"/>
                <w:spacing w:val="-2"/>
              </w:rPr>
              <w:t>14.7%</w:t>
            </w:r>
          </w:p>
        </w:tc>
      </w:tr>
      <w:tr w:rsidR="00200FDA">
        <w:trPr>
          <w:trHeight w:val="309"/>
        </w:trPr>
        <w:tc>
          <w:tcPr>
            <w:tcW w:w="5200" w:type="dxa"/>
            <w:tcBorders>
              <w:bottom w:val="single" w:sz="4" w:space="0" w:color="0F6EC5"/>
            </w:tcBorders>
          </w:tcPr>
          <w:p w:rsidR="00200FDA" w:rsidRDefault="00F76C4C">
            <w:pPr>
              <w:pStyle w:val="TableParagraph"/>
              <w:ind w:left="115"/>
              <w:jc w:val="left"/>
            </w:pPr>
            <w:r>
              <w:rPr>
                <w:color w:val="0A5293"/>
              </w:rPr>
              <w:t>Physically</w:t>
            </w:r>
            <w:r>
              <w:rPr>
                <w:color w:val="0A5293"/>
                <w:spacing w:val="-3"/>
              </w:rPr>
              <w:t xml:space="preserve"> </w:t>
            </w:r>
            <w:r>
              <w:rPr>
                <w:color w:val="0A5293"/>
              </w:rPr>
              <w:t>active</w:t>
            </w:r>
            <w:r>
              <w:rPr>
                <w:color w:val="0A5293"/>
                <w:spacing w:val="-2"/>
              </w:rPr>
              <w:t xml:space="preserve"> </w:t>
            </w:r>
            <w:r>
              <w:rPr>
                <w:color w:val="0A5293"/>
              </w:rPr>
              <w:t>at</w:t>
            </w:r>
            <w:r>
              <w:rPr>
                <w:color w:val="0A5293"/>
                <w:spacing w:val="-5"/>
              </w:rPr>
              <w:t xml:space="preserve"> </w:t>
            </w:r>
            <w:r>
              <w:rPr>
                <w:color w:val="0A5293"/>
              </w:rPr>
              <w:t>least</w:t>
            </w:r>
            <w:r>
              <w:rPr>
                <w:color w:val="0A5293"/>
                <w:spacing w:val="-6"/>
              </w:rPr>
              <w:t xml:space="preserve"> </w:t>
            </w:r>
            <w:r>
              <w:rPr>
                <w:color w:val="0A5293"/>
              </w:rPr>
              <w:t>60</w:t>
            </w:r>
            <w:r>
              <w:rPr>
                <w:color w:val="0A5293"/>
                <w:spacing w:val="-4"/>
              </w:rPr>
              <w:t xml:space="preserve"> </w:t>
            </w:r>
            <w:r>
              <w:rPr>
                <w:color w:val="0A5293"/>
              </w:rPr>
              <w:t>mins/day</w:t>
            </w:r>
            <w:r>
              <w:rPr>
                <w:color w:val="0A5293"/>
                <w:spacing w:val="-4"/>
              </w:rPr>
              <w:t xml:space="preserve"> </w:t>
            </w:r>
            <w:r>
              <w:rPr>
                <w:color w:val="0A5293"/>
              </w:rPr>
              <w:t>5+</w:t>
            </w:r>
            <w:r>
              <w:rPr>
                <w:color w:val="0A5293"/>
                <w:spacing w:val="-2"/>
              </w:rPr>
              <w:t xml:space="preserve"> days/week***</w:t>
            </w:r>
          </w:p>
        </w:tc>
        <w:tc>
          <w:tcPr>
            <w:tcW w:w="1539" w:type="dxa"/>
            <w:tcBorders>
              <w:bottom w:val="single" w:sz="4" w:space="0" w:color="0F6EC5"/>
            </w:tcBorders>
          </w:tcPr>
          <w:p w:rsidR="00200FDA" w:rsidRDefault="00F76C4C">
            <w:pPr>
              <w:pStyle w:val="TableParagraph"/>
              <w:ind w:left="154" w:right="120"/>
            </w:pPr>
            <w:r>
              <w:rPr>
                <w:color w:val="0A5293"/>
                <w:spacing w:val="-2"/>
              </w:rPr>
              <w:t>43.5%</w:t>
            </w:r>
          </w:p>
        </w:tc>
        <w:tc>
          <w:tcPr>
            <w:tcW w:w="1453" w:type="dxa"/>
            <w:tcBorders>
              <w:bottom w:val="single" w:sz="4" w:space="0" w:color="0F6EC5"/>
            </w:tcBorders>
          </w:tcPr>
          <w:p w:rsidR="00200FDA" w:rsidRDefault="00F76C4C">
            <w:pPr>
              <w:pStyle w:val="TableParagraph"/>
              <w:ind w:left="112" w:right="99"/>
            </w:pPr>
            <w:r>
              <w:rPr>
                <w:color w:val="0A5293"/>
                <w:spacing w:val="-2"/>
              </w:rPr>
              <w:t>25.6%</w:t>
            </w:r>
          </w:p>
        </w:tc>
      </w:tr>
    </w:tbl>
    <w:p w:rsidR="00200FDA" w:rsidRDefault="00F76C4C">
      <w:pPr>
        <w:spacing w:before="2"/>
        <w:ind w:left="860"/>
        <w:rPr>
          <w:sz w:val="18"/>
        </w:rPr>
      </w:pPr>
      <w:r>
        <w:rPr>
          <w:sz w:val="18"/>
        </w:rPr>
        <w:t>***</w:t>
      </w:r>
      <w:r>
        <w:rPr>
          <w:spacing w:val="-3"/>
          <w:sz w:val="18"/>
        </w:rPr>
        <w:t xml:space="preserve"> </w:t>
      </w:r>
      <w:r>
        <w:rPr>
          <w:sz w:val="18"/>
        </w:rPr>
        <w:t>p&lt;.001;</w:t>
      </w:r>
      <w:r>
        <w:rPr>
          <w:spacing w:val="-1"/>
          <w:sz w:val="18"/>
        </w:rPr>
        <w:t xml:space="preserve"> </w:t>
      </w:r>
      <w:r>
        <w:rPr>
          <w:sz w:val="18"/>
        </w:rPr>
        <w:t>**</w:t>
      </w:r>
      <w:r>
        <w:rPr>
          <w:spacing w:val="-2"/>
          <w:sz w:val="18"/>
        </w:rPr>
        <w:t xml:space="preserve"> </w:t>
      </w:r>
      <w:r>
        <w:rPr>
          <w:spacing w:val="-4"/>
          <w:sz w:val="18"/>
        </w:rPr>
        <w:t>p&lt;.01</w:t>
      </w:r>
    </w:p>
    <w:p w:rsidR="00200FDA" w:rsidRDefault="00200FDA">
      <w:pPr>
        <w:rPr>
          <w:sz w:val="18"/>
        </w:rPr>
        <w:sectPr w:rsidR="00200FDA">
          <w:pgSz w:w="12240" w:h="15840"/>
          <w:pgMar w:top="1360" w:right="1300" w:bottom="1260" w:left="1300" w:header="761" w:footer="1062" w:gutter="0"/>
          <w:cols w:space="720"/>
        </w:sectPr>
      </w:pPr>
    </w:p>
    <w:p w:rsidR="00200FDA" w:rsidRDefault="00F76C4C">
      <w:pPr>
        <w:spacing w:before="20"/>
        <w:ind w:left="140"/>
        <w:rPr>
          <w:sz w:val="32"/>
        </w:rPr>
      </w:pPr>
      <w:r>
        <w:lastRenderedPageBreak/>
        <w:pict>
          <v:rect id="docshape142" o:spid="_x0000_s1412" style="position:absolute;left:0;text-align:left;margin-left:70.55pt;margin-top:21.5pt;width:470.9pt;height:.5pt;z-index:-15721984;mso-wrap-distance-left:0;mso-wrap-distance-right:0;mso-position-horizontal-relative:page" fillcolor="#4f81bc" stroked="f">
            <w10:wrap type="topAndBottom" anchorx="page"/>
          </v:rect>
        </w:pict>
      </w:r>
      <w:bookmarkStart w:id="60" w:name="FY24_Rhetoric_Report.pdf"/>
      <w:bookmarkStart w:id="61" w:name="Anti-LGBTQ_Attacks_in_Massachusetts"/>
      <w:bookmarkStart w:id="62" w:name="_bookmark4"/>
      <w:bookmarkEnd w:id="60"/>
      <w:bookmarkEnd w:id="61"/>
      <w:bookmarkEnd w:id="62"/>
      <w:r>
        <w:fldChar w:fldCharType="begin"/>
      </w:r>
      <w:r>
        <w:instrText xml:space="preserve"> HYPERLINK \l "_bookmark1" </w:instrText>
      </w:r>
      <w:r>
        <w:fldChar w:fldCharType="separate"/>
      </w:r>
      <w:r>
        <w:rPr>
          <w:color w:val="365F91"/>
          <w:sz w:val="32"/>
        </w:rPr>
        <w:t>Anti-LGBTQ</w:t>
      </w:r>
      <w:r>
        <w:rPr>
          <w:color w:val="365F91"/>
          <w:spacing w:val="-10"/>
          <w:sz w:val="32"/>
        </w:rPr>
        <w:t xml:space="preserve"> </w:t>
      </w:r>
      <w:r>
        <w:rPr>
          <w:color w:val="365F91"/>
          <w:sz w:val="32"/>
        </w:rPr>
        <w:t>Attacks</w:t>
      </w:r>
      <w:r>
        <w:rPr>
          <w:color w:val="365F91"/>
          <w:spacing w:val="-9"/>
          <w:sz w:val="32"/>
        </w:rPr>
        <w:t xml:space="preserve"> </w:t>
      </w:r>
      <w:r>
        <w:rPr>
          <w:color w:val="365F91"/>
          <w:sz w:val="32"/>
        </w:rPr>
        <w:t>in</w:t>
      </w:r>
      <w:r>
        <w:rPr>
          <w:color w:val="365F91"/>
          <w:spacing w:val="-9"/>
          <w:sz w:val="32"/>
        </w:rPr>
        <w:t xml:space="preserve"> </w:t>
      </w:r>
      <w:r>
        <w:rPr>
          <w:color w:val="365F91"/>
          <w:spacing w:val="-2"/>
          <w:sz w:val="32"/>
        </w:rPr>
        <w:t>Massachusetts</w:t>
      </w:r>
      <w:r>
        <w:rPr>
          <w:color w:val="365F91"/>
          <w:spacing w:val="-2"/>
          <w:sz w:val="32"/>
        </w:rPr>
        <w:fldChar w:fldCharType="end"/>
      </w:r>
    </w:p>
    <w:p w:rsidR="00200FDA" w:rsidRDefault="00200FDA">
      <w:pPr>
        <w:pStyle w:val="BodyText"/>
        <w:rPr>
          <w:sz w:val="20"/>
        </w:rPr>
      </w:pPr>
    </w:p>
    <w:p w:rsidR="00200FDA" w:rsidRDefault="00200FDA">
      <w:pPr>
        <w:pStyle w:val="BodyText"/>
        <w:spacing w:before="2"/>
        <w:rPr>
          <w:sz w:val="19"/>
        </w:rPr>
      </w:pPr>
    </w:p>
    <w:p w:rsidR="00200FDA" w:rsidRDefault="00F76C4C">
      <w:pPr>
        <w:pStyle w:val="BodyText"/>
        <w:spacing w:before="56" w:line="264" w:lineRule="auto"/>
        <w:ind w:left="140" w:right="132"/>
        <w:jc w:val="both"/>
      </w:pPr>
      <w:r>
        <w:t>As discussed throughout this annual report, the nation is seeing an unprecedented political barrage of attacks</w:t>
      </w:r>
      <w:r>
        <w:rPr>
          <w:spacing w:val="-11"/>
        </w:rPr>
        <w:t xml:space="preserve"> </w:t>
      </w:r>
      <w:r>
        <w:t>against</w:t>
      </w:r>
      <w:r>
        <w:rPr>
          <w:spacing w:val="-9"/>
        </w:rPr>
        <w:t xml:space="preserve"> </w:t>
      </w:r>
      <w:r>
        <w:t>LGBTQ</w:t>
      </w:r>
      <w:r>
        <w:rPr>
          <w:spacing w:val="-11"/>
        </w:rPr>
        <w:t xml:space="preserve"> </w:t>
      </w:r>
      <w:r>
        <w:t>youth,</w:t>
      </w:r>
      <w:r>
        <w:rPr>
          <w:spacing w:val="-9"/>
        </w:rPr>
        <w:t xml:space="preserve"> </w:t>
      </w:r>
      <w:r>
        <w:t>families,</w:t>
      </w:r>
      <w:r>
        <w:rPr>
          <w:spacing w:val="-9"/>
        </w:rPr>
        <w:t xml:space="preserve"> </w:t>
      </w:r>
      <w:r>
        <w:t>and</w:t>
      </w:r>
      <w:r>
        <w:rPr>
          <w:spacing w:val="-10"/>
        </w:rPr>
        <w:t xml:space="preserve"> </w:t>
      </w:r>
      <w:r>
        <w:t>educators.</w:t>
      </w:r>
      <w:r>
        <w:rPr>
          <w:spacing w:val="-12"/>
        </w:rPr>
        <w:t xml:space="preserve"> </w:t>
      </w:r>
      <w:r>
        <w:t>As</w:t>
      </w:r>
      <w:r>
        <w:rPr>
          <w:spacing w:val="-9"/>
        </w:rPr>
        <w:t xml:space="preserve"> </w:t>
      </w:r>
      <w:r>
        <w:t>of</w:t>
      </w:r>
      <w:r>
        <w:rPr>
          <w:spacing w:val="-9"/>
        </w:rPr>
        <w:t xml:space="preserve"> </w:t>
      </w:r>
      <w:r>
        <w:t>April</w:t>
      </w:r>
      <w:r>
        <w:rPr>
          <w:spacing w:val="-11"/>
        </w:rPr>
        <w:t xml:space="preserve"> </w:t>
      </w:r>
      <w:r>
        <w:t>23,</w:t>
      </w:r>
      <w:r>
        <w:rPr>
          <w:spacing w:val="-11"/>
        </w:rPr>
        <w:t xml:space="preserve"> </w:t>
      </w:r>
      <w:r>
        <w:t>2023,</w:t>
      </w:r>
      <w:r>
        <w:rPr>
          <w:spacing w:val="-9"/>
        </w:rPr>
        <w:t xml:space="preserve"> </w:t>
      </w:r>
      <w:r>
        <w:t>469</w:t>
      </w:r>
      <w:r>
        <w:rPr>
          <w:spacing w:val="-10"/>
        </w:rPr>
        <w:t xml:space="preserve"> </w:t>
      </w:r>
      <w:r>
        <w:t>anti-LGBTQ</w:t>
      </w:r>
      <w:r>
        <w:rPr>
          <w:spacing w:val="-9"/>
        </w:rPr>
        <w:t xml:space="preserve"> </w:t>
      </w:r>
      <w:r>
        <w:t>bills</w:t>
      </w:r>
      <w:r>
        <w:rPr>
          <w:spacing w:val="-9"/>
        </w:rPr>
        <w:t xml:space="preserve"> </w:t>
      </w:r>
      <w:r>
        <w:t>have</w:t>
      </w:r>
      <w:r>
        <w:rPr>
          <w:spacing w:val="-8"/>
        </w:rPr>
        <w:t xml:space="preserve"> </w:t>
      </w:r>
      <w:r>
        <w:t>been filed</w:t>
      </w:r>
      <w:r>
        <w:rPr>
          <w:spacing w:val="-12"/>
        </w:rPr>
        <w:t xml:space="preserve"> </w:t>
      </w:r>
      <w:r>
        <w:t>across</w:t>
      </w:r>
      <w:r>
        <w:rPr>
          <w:spacing w:val="-11"/>
        </w:rPr>
        <w:t xml:space="preserve"> </w:t>
      </w:r>
      <w:r>
        <w:t>the</w:t>
      </w:r>
      <w:r>
        <w:rPr>
          <w:spacing w:val="-11"/>
        </w:rPr>
        <w:t xml:space="preserve"> </w:t>
      </w:r>
      <w:r>
        <w:t>country</w:t>
      </w:r>
      <w:r>
        <w:rPr>
          <w:spacing w:val="-11"/>
        </w:rPr>
        <w:t xml:space="preserve"> </w:t>
      </w:r>
      <w:r>
        <w:t>with</w:t>
      </w:r>
      <w:r>
        <w:rPr>
          <w:spacing w:val="-12"/>
        </w:rPr>
        <w:t xml:space="preserve"> </w:t>
      </w:r>
      <w:r>
        <w:t>bans</w:t>
      </w:r>
      <w:r>
        <w:rPr>
          <w:spacing w:val="-11"/>
        </w:rPr>
        <w:t xml:space="preserve"> </w:t>
      </w:r>
      <w:r>
        <w:t>against</w:t>
      </w:r>
      <w:r>
        <w:rPr>
          <w:spacing w:val="-11"/>
        </w:rPr>
        <w:t xml:space="preserve"> </w:t>
      </w:r>
      <w:r>
        <w:t>edu</w:t>
      </w:r>
      <w:r>
        <w:t>cation</w:t>
      </w:r>
      <w:r>
        <w:rPr>
          <w:spacing w:val="-12"/>
        </w:rPr>
        <w:t xml:space="preserve"> </w:t>
      </w:r>
      <w:r>
        <w:t>materials,</w:t>
      </w:r>
      <w:r>
        <w:rPr>
          <w:spacing w:val="-11"/>
        </w:rPr>
        <w:t xml:space="preserve"> </w:t>
      </w:r>
      <w:r>
        <w:t>gender-affirming</w:t>
      </w:r>
      <w:r>
        <w:rPr>
          <w:spacing w:val="-12"/>
        </w:rPr>
        <w:t xml:space="preserve"> </w:t>
      </w:r>
      <w:r>
        <w:t>care,</w:t>
      </w:r>
      <w:r>
        <w:rPr>
          <w:spacing w:val="-11"/>
        </w:rPr>
        <w:t xml:space="preserve"> </w:t>
      </w:r>
      <w:r>
        <w:t>and</w:t>
      </w:r>
      <w:r>
        <w:rPr>
          <w:spacing w:val="-12"/>
        </w:rPr>
        <w:t xml:space="preserve"> </w:t>
      </w:r>
      <w:r>
        <w:t>books</w:t>
      </w:r>
      <w:r>
        <w:rPr>
          <w:spacing w:val="-11"/>
        </w:rPr>
        <w:t xml:space="preserve"> </w:t>
      </w:r>
      <w:r>
        <w:t>featuring LGBTQ characters or talking about race. It is a critical and alarming time for our LGBTQ youth in Massachusetts</w:t>
      </w:r>
      <w:r>
        <w:rPr>
          <w:spacing w:val="-8"/>
        </w:rPr>
        <w:t xml:space="preserve"> </w:t>
      </w:r>
      <w:r>
        <w:t>with</w:t>
      </w:r>
      <w:r>
        <w:rPr>
          <w:spacing w:val="-6"/>
        </w:rPr>
        <w:t xml:space="preserve"> </w:t>
      </w:r>
      <w:r>
        <w:t>90%</w:t>
      </w:r>
      <w:r>
        <w:rPr>
          <w:spacing w:val="-5"/>
        </w:rPr>
        <w:t xml:space="preserve"> </w:t>
      </w:r>
      <w:r>
        <w:t>of</w:t>
      </w:r>
      <w:r>
        <w:rPr>
          <w:spacing w:val="-8"/>
        </w:rPr>
        <w:t xml:space="preserve"> </w:t>
      </w:r>
      <w:r>
        <w:t>youth</w:t>
      </w:r>
      <w:r>
        <w:rPr>
          <w:spacing w:val="-6"/>
        </w:rPr>
        <w:t xml:space="preserve"> </w:t>
      </w:r>
      <w:r>
        <w:t>experiencing</w:t>
      </w:r>
      <w:r>
        <w:rPr>
          <w:spacing w:val="-6"/>
        </w:rPr>
        <w:t xml:space="preserve"> </w:t>
      </w:r>
      <w:r>
        <w:t>mental</w:t>
      </w:r>
      <w:r>
        <w:rPr>
          <w:spacing w:val="-8"/>
        </w:rPr>
        <w:t xml:space="preserve"> </w:t>
      </w:r>
      <w:r>
        <w:t>distress</w:t>
      </w:r>
      <w:r>
        <w:rPr>
          <w:spacing w:val="-6"/>
        </w:rPr>
        <w:t xml:space="preserve"> </w:t>
      </w:r>
      <w:r>
        <w:t>because</w:t>
      </w:r>
      <w:r>
        <w:rPr>
          <w:spacing w:val="-7"/>
        </w:rPr>
        <w:t xml:space="preserve"> </w:t>
      </w:r>
      <w:r>
        <w:t>of</w:t>
      </w:r>
      <w:r>
        <w:rPr>
          <w:spacing w:val="-6"/>
        </w:rPr>
        <w:t xml:space="preserve"> </w:t>
      </w:r>
      <w:r>
        <w:t>the</w:t>
      </w:r>
      <w:r>
        <w:rPr>
          <w:spacing w:val="-5"/>
        </w:rPr>
        <w:t xml:space="preserve"> </w:t>
      </w:r>
      <w:r>
        <w:t>degrading</w:t>
      </w:r>
      <w:r>
        <w:rPr>
          <w:spacing w:val="-6"/>
        </w:rPr>
        <w:t xml:space="preserve"> </w:t>
      </w:r>
      <w:r>
        <w:t>rhetoric</w:t>
      </w:r>
      <w:r>
        <w:rPr>
          <w:spacing w:val="-5"/>
        </w:rPr>
        <w:t xml:space="preserve"> </w:t>
      </w:r>
      <w:r>
        <w:t>lobbied on social media, through news outlets, and in dozens of state assemblies.</w:t>
      </w:r>
    </w:p>
    <w:p w:rsidR="00200FDA" w:rsidRDefault="00200FDA">
      <w:pPr>
        <w:pStyle w:val="BodyText"/>
        <w:spacing w:before="9"/>
        <w:rPr>
          <w:sz w:val="19"/>
        </w:rPr>
      </w:pPr>
    </w:p>
    <w:p w:rsidR="00200FDA" w:rsidRDefault="00F76C4C">
      <w:pPr>
        <w:pStyle w:val="BodyText"/>
        <w:spacing w:line="264" w:lineRule="auto"/>
        <w:ind w:left="140" w:right="133"/>
        <w:jc w:val="both"/>
      </w:pPr>
      <w:r>
        <w:t>Now more than ever, LGBTQ youth need Massachusetts communities, educators, agencies, and policymakers to stand up and enshrine safety and freedom of the right to autonomy an</w:t>
      </w:r>
      <w:r>
        <w:t>d queer joy. Already Massachusetts LGBTQ youth enjoy many protections that are not experienced by youth in surrounding states, but there is room for ongoing action.</w:t>
      </w:r>
    </w:p>
    <w:p w:rsidR="00200FDA" w:rsidRDefault="00200FDA">
      <w:pPr>
        <w:pStyle w:val="BodyText"/>
        <w:spacing w:before="8"/>
        <w:rPr>
          <w:sz w:val="19"/>
        </w:rPr>
      </w:pPr>
    </w:p>
    <w:p w:rsidR="00200FDA" w:rsidRDefault="00F76C4C">
      <w:pPr>
        <w:pStyle w:val="BodyText"/>
        <w:spacing w:line="264" w:lineRule="auto"/>
        <w:ind w:left="139" w:right="135"/>
        <w:jc w:val="both"/>
      </w:pPr>
      <w:r>
        <w:t>Time</w:t>
      </w:r>
      <w:r>
        <w:rPr>
          <w:spacing w:val="-11"/>
        </w:rPr>
        <w:t xml:space="preserve"> </w:t>
      </w:r>
      <w:r>
        <w:t>and</w:t>
      </w:r>
      <w:r>
        <w:rPr>
          <w:spacing w:val="-10"/>
        </w:rPr>
        <w:t xml:space="preserve"> </w:t>
      </w:r>
      <w:r>
        <w:t>time</w:t>
      </w:r>
      <w:r>
        <w:rPr>
          <w:spacing w:val="-8"/>
        </w:rPr>
        <w:t xml:space="preserve"> </w:t>
      </w:r>
      <w:r>
        <w:t>again,</w:t>
      </w:r>
      <w:r>
        <w:rPr>
          <w:spacing w:val="-9"/>
        </w:rPr>
        <w:t xml:space="preserve"> </w:t>
      </w:r>
      <w:r>
        <w:t>the</w:t>
      </w:r>
      <w:r>
        <w:rPr>
          <w:spacing w:val="-8"/>
        </w:rPr>
        <w:t xml:space="preserve"> </w:t>
      </w:r>
      <w:r>
        <w:t>Commission</w:t>
      </w:r>
      <w:r>
        <w:rPr>
          <w:spacing w:val="-10"/>
        </w:rPr>
        <w:t xml:space="preserve"> </w:t>
      </w:r>
      <w:r>
        <w:t>hears</w:t>
      </w:r>
      <w:r>
        <w:rPr>
          <w:spacing w:val="-9"/>
        </w:rPr>
        <w:t xml:space="preserve"> </w:t>
      </w:r>
      <w:r>
        <w:t>from</w:t>
      </w:r>
      <w:r>
        <w:rPr>
          <w:spacing w:val="-10"/>
        </w:rPr>
        <w:t xml:space="preserve"> </w:t>
      </w:r>
      <w:r>
        <w:t>community</w:t>
      </w:r>
      <w:r>
        <w:rPr>
          <w:spacing w:val="-11"/>
        </w:rPr>
        <w:t xml:space="preserve"> </w:t>
      </w:r>
      <w:r>
        <w:t>members,</w:t>
      </w:r>
      <w:r>
        <w:rPr>
          <w:spacing w:val="-9"/>
        </w:rPr>
        <w:t xml:space="preserve"> </w:t>
      </w:r>
      <w:r>
        <w:t>advocates,</w:t>
      </w:r>
      <w:r>
        <w:rPr>
          <w:spacing w:val="-9"/>
        </w:rPr>
        <w:t xml:space="preserve"> </w:t>
      </w:r>
      <w:r>
        <w:t>and</w:t>
      </w:r>
      <w:r>
        <w:rPr>
          <w:spacing w:val="-10"/>
        </w:rPr>
        <w:t xml:space="preserve"> </w:t>
      </w:r>
      <w:r>
        <w:t>policymakers</w:t>
      </w:r>
      <w:r>
        <w:rPr>
          <w:spacing w:val="-11"/>
        </w:rPr>
        <w:t xml:space="preserve"> </w:t>
      </w:r>
      <w:r>
        <w:t>that there is little need to address anti-LGBTQ activity across the state, because it does not appear to be happening</w:t>
      </w:r>
      <w:r>
        <w:rPr>
          <w:spacing w:val="-3"/>
        </w:rPr>
        <w:t xml:space="preserve"> </w:t>
      </w:r>
      <w:r>
        <w:t>and</w:t>
      </w:r>
      <w:r>
        <w:rPr>
          <w:spacing w:val="-3"/>
        </w:rPr>
        <w:t xml:space="preserve"> </w:t>
      </w:r>
      <w:r>
        <w:t>the</w:t>
      </w:r>
      <w:r>
        <w:rPr>
          <w:spacing w:val="-1"/>
        </w:rPr>
        <w:t xml:space="preserve"> </w:t>
      </w:r>
      <w:r>
        <w:t>state’s</w:t>
      </w:r>
      <w:r>
        <w:rPr>
          <w:spacing w:val="-4"/>
        </w:rPr>
        <w:t xml:space="preserve"> </w:t>
      </w:r>
      <w:r>
        <w:t>protections</w:t>
      </w:r>
      <w:r>
        <w:rPr>
          <w:spacing w:val="-4"/>
        </w:rPr>
        <w:t xml:space="preserve"> </w:t>
      </w:r>
      <w:r>
        <w:t>are</w:t>
      </w:r>
      <w:r>
        <w:rPr>
          <w:spacing w:val="-4"/>
        </w:rPr>
        <w:t xml:space="preserve"> </w:t>
      </w:r>
      <w:r>
        <w:t>strong.</w:t>
      </w:r>
      <w:r>
        <w:rPr>
          <w:spacing w:val="-2"/>
        </w:rPr>
        <w:t xml:space="preserve"> </w:t>
      </w:r>
      <w:r>
        <w:t>However,</w:t>
      </w:r>
      <w:r>
        <w:rPr>
          <w:spacing w:val="-4"/>
        </w:rPr>
        <w:t xml:space="preserve"> </w:t>
      </w:r>
      <w:r>
        <w:t>this</w:t>
      </w:r>
      <w:r>
        <w:rPr>
          <w:spacing w:val="-2"/>
        </w:rPr>
        <w:t xml:space="preserve"> </w:t>
      </w:r>
      <w:r>
        <w:t>is</w:t>
      </w:r>
      <w:r>
        <w:rPr>
          <w:spacing w:val="-2"/>
        </w:rPr>
        <w:t xml:space="preserve"> </w:t>
      </w:r>
      <w:r>
        <w:t>not</w:t>
      </w:r>
      <w:r>
        <w:rPr>
          <w:spacing w:val="-4"/>
        </w:rPr>
        <w:t xml:space="preserve"> </w:t>
      </w:r>
      <w:r>
        <w:t>entirely</w:t>
      </w:r>
      <w:r>
        <w:rPr>
          <w:spacing w:val="-1"/>
        </w:rPr>
        <w:t xml:space="preserve"> </w:t>
      </w:r>
      <w:r>
        <w:t>the</w:t>
      </w:r>
      <w:r>
        <w:rPr>
          <w:spacing w:val="-1"/>
        </w:rPr>
        <w:t xml:space="preserve"> </w:t>
      </w:r>
      <w:r>
        <w:t>case.</w:t>
      </w:r>
      <w:r>
        <w:rPr>
          <w:spacing w:val="-5"/>
        </w:rPr>
        <w:t xml:space="preserve"> </w:t>
      </w:r>
      <w:r>
        <w:t>Across</w:t>
      </w:r>
      <w:r>
        <w:rPr>
          <w:spacing w:val="-2"/>
        </w:rPr>
        <w:t xml:space="preserve"> </w:t>
      </w:r>
      <w:r>
        <w:t>the</w:t>
      </w:r>
      <w:r>
        <w:rPr>
          <w:spacing w:val="-1"/>
        </w:rPr>
        <w:t xml:space="preserve"> </w:t>
      </w:r>
      <w:r>
        <w:t>state, numerous</w:t>
      </w:r>
      <w:r>
        <w:rPr>
          <w:spacing w:val="-9"/>
        </w:rPr>
        <w:t xml:space="preserve"> </w:t>
      </w:r>
      <w:r>
        <w:t>challenges</w:t>
      </w:r>
      <w:r>
        <w:rPr>
          <w:spacing w:val="-9"/>
        </w:rPr>
        <w:t xml:space="preserve"> </w:t>
      </w:r>
      <w:r>
        <w:t>to</w:t>
      </w:r>
      <w:r>
        <w:rPr>
          <w:spacing w:val="-8"/>
        </w:rPr>
        <w:t xml:space="preserve"> </w:t>
      </w:r>
      <w:r>
        <w:t>LGBTQ</w:t>
      </w:r>
      <w:r>
        <w:rPr>
          <w:spacing w:val="-9"/>
        </w:rPr>
        <w:t xml:space="preserve"> </w:t>
      </w:r>
      <w:r>
        <w:t>freedoms</w:t>
      </w:r>
      <w:r>
        <w:rPr>
          <w:spacing w:val="-9"/>
        </w:rPr>
        <w:t xml:space="preserve"> </w:t>
      </w:r>
      <w:r>
        <w:t>are</w:t>
      </w:r>
      <w:r>
        <w:rPr>
          <w:spacing w:val="-8"/>
        </w:rPr>
        <w:t xml:space="preserve"> </w:t>
      </w:r>
      <w:r>
        <w:t>occurring</w:t>
      </w:r>
      <w:r>
        <w:rPr>
          <w:spacing w:val="-7"/>
        </w:rPr>
        <w:t xml:space="preserve"> </w:t>
      </w:r>
      <w:r>
        <w:t>with</w:t>
      </w:r>
      <w:r>
        <w:rPr>
          <w:spacing w:val="-10"/>
        </w:rPr>
        <w:t xml:space="preserve"> </w:t>
      </w:r>
      <w:r>
        <w:t>little</w:t>
      </w:r>
      <w:r>
        <w:rPr>
          <w:spacing w:val="-8"/>
        </w:rPr>
        <w:t xml:space="preserve"> </w:t>
      </w:r>
      <w:r>
        <w:t>explicit</w:t>
      </w:r>
      <w:r>
        <w:rPr>
          <w:spacing w:val="-9"/>
        </w:rPr>
        <w:t xml:space="preserve"> </w:t>
      </w:r>
      <w:r>
        <w:t>action</w:t>
      </w:r>
      <w:r>
        <w:rPr>
          <w:spacing w:val="-10"/>
        </w:rPr>
        <w:t xml:space="preserve"> </w:t>
      </w:r>
      <w:r>
        <w:t>from</w:t>
      </w:r>
      <w:r>
        <w:rPr>
          <w:spacing w:val="-10"/>
        </w:rPr>
        <w:t xml:space="preserve"> </w:t>
      </w:r>
      <w:r>
        <w:t>the</w:t>
      </w:r>
      <w:r>
        <w:rPr>
          <w:spacing w:val="-8"/>
        </w:rPr>
        <w:t xml:space="preserve"> </w:t>
      </w:r>
      <w:r>
        <w:t>state</w:t>
      </w:r>
      <w:r>
        <w:rPr>
          <w:spacing w:val="-8"/>
        </w:rPr>
        <w:t xml:space="preserve"> </w:t>
      </w:r>
      <w:r>
        <w:t>to</w:t>
      </w:r>
      <w:r>
        <w:rPr>
          <w:spacing w:val="-8"/>
        </w:rPr>
        <w:t xml:space="preserve"> </w:t>
      </w:r>
      <w:r>
        <w:t>support local</w:t>
      </w:r>
      <w:r>
        <w:rPr>
          <w:spacing w:val="-2"/>
        </w:rPr>
        <w:t xml:space="preserve"> </w:t>
      </w:r>
      <w:r>
        <w:t>schools,</w:t>
      </w:r>
      <w:r>
        <w:rPr>
          <w:spacing w:val="-2"/>
        </w:rPr>
        <w:t xml:space="preserve"> </w:t>
      </w:r>
      <w:r>
        <w:t>communities,</w:t>
      </w:r>
      <w:r>
        <w:rPr>
          <w:spacing w:val="-2"/>
        </w:rPr>
        <w:t xml:space="preserve"> </w:t>
      </w:r>
      <w:r>
        <w:t>families, and</w:t>
      </w:r>
      <w:r>
        <w:rPr>
          <w:spacing w:val="-3"/>
        </w:rPr>
        <w:t xml:space="preserve"> </w:t>
      </w:r>
      <w:r>
        <w:t>youth.</w:t>
      </w:r>
      <w:r>
        <w:rPr>
          <w:spacing w:val="-2"/>
        </w:rPr>
        <w:t xml:space="preserve"> </w:t>
      </w:r>
      <w:r>
        <w:t>Per</w:t>
      </w:r>
      <w:r>
        <w:rPr>
          <w:spacing w:val="-2"/>
        </w:rPr>
        <w:t xml:space="preserve"> </w:t>
      </w:r>
      <w:r>
        <w:t>information</w:t>
      </w:r>
      <w:r>
        <w:rPr>
          <w:spacing w:val="-3"/>
        </w:rPr>
        <w:t xml:space="preserve"> </w:t>
      </w:r>
      <w:r>
        <w:t>obtained from</w:t>
      </w:r>
      <w:r>
        <w:rPr>
          <w:spacing w:val="-1"/>
        </w:rPr>
        <w:t xml:space="preserve"> </w:t>
      </w:r>
      <w:r>
        <w:t>MassEquality,</w:t>
      </w:r>
      <w:r>
        <w:rPr>
          <w:spacing w:val="-2"/>
        </w:rPr>
        <w:t xml:space="preserve"> </w:t>
      </w:r>
      <w:r>
        <w:t>more than 43 Massachusetts school districts have seen anti-LGBTQ organizing in s</w:t>
      </w:r>
      <w:r>
        <w:t>chools and communities for the past several years, with the rate of attacks increasing since 2022.</w:t>
      </w:r>
    </w:p>
    <w:p w:rsidR="00200FDA" w:rsidRDefault="00200FDA">
      <w:pPr>
        <w:pStyle w:val="BodyText"/>
        <w:spacing w:before="9"/>
        <w:rPr>
          <w:sz w:val="19"/>
        </w:rPr>
      </w:pPr>
    </w:p>
    <w:p w:rsidR="00200FDA" w:rsidRDefault="00F76C4C">
      <w:pPr>
        <w:pStyle w:val="BodyText"/>
        <w:ind w:left="139"/>
        <w:jc w:val="both"/>
      </w:pPr>
      <w:r>
        <w:t>These</w:t>
      </w:r>
      <w:r>
        <w:rPr>
          <w:spacing w:val="-3"/>
        </w:rPr>
        <w:t xml:space="preserve"> </w:t>
      </w:r>
      <w:r>
        <w:t>areas</w:t>
      </w:r>
      <w:r>
        <w:rPr>
          <w:spacing w:val="-3"/>
        </w:rPr>
        <w:t xml:space="preserve"> </w:t>
      </w:r>
      <w:r>
        <w:t>include,</w:t>
      </w:r>
      <w:r>
        <w:rPr>
          <w:spacing w:val="-3"/>
        </w:rPr>
        <w:t xml:space="preserve"> </w:t>
      </w:r>
      <w:r>
        <w:t>but</w:t>
      </w:r>
      <w:r>
        <w:rPr>
          <w:spacing w:val="-3"/>
        </w:rPr>
        <w:t xml:space="preserve"> </w:t>
      </w:r>
      <w:r>
        <w:t>are</w:t>
      </w:r>
      <w:r>
        <w:rPr>
          <w:spacing w:val="-2"/>
        </w:rPr>
        <w:t xml:space="preserve"> </w:t>
      </w:r>
      <w:r>
        <w:t>not</w:t>
      </w:r>
      <w:r>
        <w:rPr>
          <w:spacing w:val="-5"/>
        </w:rPr>
        <w:t xml:space="preserve"> </w:t>
      </w:r>
      <w:r>
        <w:t>limited</w:t>
      </w:r>
      <w:r>
        <w:rPr>
          <w:spacing w:val="-4"/>
        </w:rPr>
        <w:t xml:space="preserve"> </w:t>
      </w:r>
      <w:r>
        <w:rPr>
          <w:spacing w:val="-5"/>
        </w:rPr>
        <w:t>to:</w:t>
      </w:r>
    </w:p>
    <w:p w:rsidR="00200FDA" w:rsidRDefault="00200FDA">
      <w:pPr>
        <w:pStyle w:val="BodyText"/>
        <w:spacing w:before="10"/>
        <w:rPr>
          <w:sz w:val="21"/>
        </w:rPr>
      </w:pPr>
    </w:p>
    <w:p w:rsidR="00200FDA" w:rsidRDefault="00F76C4C">
      <w:pPr>
        <w:pStyle w:val="BodyText"/>
        <w:spacing w:line="264" w:lineRule="auto"/>
        <w:ind w:left="139" w:right="133"/>
        <w:jc w:val="both"/>
      </w:pPr>
      <w:r>
        <w:t>Abington, Arlington, Andover, Barnstable, Bedford, Beverly, Boston, Brewster, Brookline, Bridgewater- Raynham,</w:t>
      </w:r>
      <w:r>
        <w:t xml:space="preserve"> Bristol County, Clarksburg, Concord-Carlisle, Danvers, Dudley, Edgartown, Fitchburg, Florida, Foxborough, Greater Fall River, Hamilton-Wenham, Hanover, Ludlow, Mansfield, Medway, Mendon- Upton, Middleborough, Millbury, Milton, Nauset, Needham, Newton, Nor</w:t>
      </w:r>
      <w:r>
        <w:t>folk County, North Brookfield, Old Rochester, Pepperell, Plymouth, Revere, Rockland, Scituate, Somerville, and South Hadley.</w:t>
      </w:r>
    </w:p>
    <w:p w:rsidR="00200FDA" w:rsidRDefault="00200FDA">
      <w:pPr>
        <w:pStyle w:val="BodyText"/>
        <w:spacing w:before="7"/>
        <w:rPr>
          <w:sz w:val="19"/>
        </w:rPr>
      </w:pPr>
    </w:p>
    <w:p w:rsidR="00200FDA" w:rsidRDefault="00F76C4C">
      <w:pPr>
        <w:pStyle w:val="BodyText"/>
        <w:spacing w:line="264" w:lineRule="auto"/>
        <w:ind w:left="139" w:right="132"/>
        <w:jc w:val="both"/>
      </w:pPr>
      <w:r>
        <w:t>The</w:t>
      </w:r>
      <w:r>
        <w:rPr>
          <w:spacing w:val="-1"/>
        </w:rPr>
        <w:t xml:space="preserve"> </w:t>
      </w:r>
      <w:r>
        <w:t>attacks</w:t>
      </w:r>
      <w:r>
        <w:rPr>
          <w:spacing w:val="-2"/>
        </w:rPr>
        <w:t xml:space="preserve"> </w:t>
      </w:r>
      <w:r>
        <w:t>being</w:t>
      </w:r>
      <w:r>
        <w:rPr>
          <w:spacing w:val="-5"/>
        </w:rPr>
        <w:t xml:space="preserve"> </w:t>
      </w:r>
      <w:r>
        <w:t>seen</w:t>
      </w:r>
      <w:r>
        <w:rPr>
          <w:spacing w:val="-5"/>
        </w:rPr>
        <w:t xml:space="preserve"> </w:t>
      </w:r>
      <w:r>
        <w:t>on</w:t>
      </w:r>
      <w:r>
        <w:rPr>
          <w:spacing w:val="-3"/>
        </w:rPr>
        <w:t xml:space="preserve"> </w:t>
      </w:r>
      <w:r>
        <w:t>the</w:t>
      </w:r>
      <w:r>
        <w:rPr>
          <w:spacing w:val="-1"/>
        </w:rPr>
        <w:t xml:space="preserve"> </w:t>
      </w:r>
      <w:r>
        <w:t>ground</w:t>
      </w:r>
      <w:r>
        <w:rPr>
          <w:spacing w:val="-3"/>
        </w:rPr>
        <w:t xml:space="preserve"> </w:t>
      </w:r>
      <w:r>
        <w:t>by</w:t>
      </w:r>
      <w:r>
        <w:rPr>
          <w:spacing w:val="-1"/>
        </w:rPr>
        <w:t xml:space="preserve"> </w:t>
      </w:r>
      <w:r>
        <w:t>advocates</w:t>
      </w:r>
      <w:r>
        <w:rPr>
          <w:spacing w:val="-2"/>
        </w:rPr>
        <w:t xml:space="preserve"> </w:t>
      </w:r>
      <w:r>
        <w:t>and</w:t>
      </w:r>
      <w:r>
        <w:rPr>
          <w:spacing w:val="-3"/>
        </w:rPr>
        <w:t xml:space="preserve"> </w:t>
      </w:r>
      <w:r>
        <w:t>youth</w:t>
      </w:r>
      <w:r>
        <w:rPr>
          <w:spacing w:val="-3"/>
        </w:rPr>
        <w:t xml:space="preserve"> </w:t>
      </w:r>
      <w:r>
        <w:t>include</w:t>
      </w:r>
      <w:r>
        <w:rPr>
          <w:spacing w:val="-4"/>
        </w:rPr>
        <w:t xml:space="preserve"> </w:t>
      </w:r>
      <w:r>
        <w:t>book</w:t>
      </w:r>
      <w:r>
        <w:rPr>
          <w:spacing w:val="-4"/>
        </w:rPr>
        <w:t xml:space="preserve"> </w:t>
      </w:r>
      <w:r>
        <w:t>bans,</w:t>
      </w:r>
      <w:r>
        <w:rPr>
          <w:spacing w:val="-4"/>
        </w:rPr>
        <w:t xml:space="preserve"> </w:t>
      </w:r>
      <w:r>
        <w:t>LGBTQ</w:t>
      </w:r>
      <w:r>
        <w:rPr>
          <w:spacing w:val="-4"/>
        </w:rPr>
        <w:t xml:space="preserve"> </w:t>
      </w:r>
      <w:r>
        <w:t>flag</w:t>
      </w:r>
      <w:r>
        <w:rPr>
          <w:spacing w:val="-3"/>
        </w:rPr>
        <w:t xml:space="preserve"> </w:t>
      </w:r>
      <w:r>
        <w:t>removals</w:t>
      </w:r>
      <w:r>
        <w:rPr>
          <w:spacing w:val="-2"/>
        </w:rPr>
        <w:t xml:space="preserve"> </w:t>
      </w:r>
      <w:r>
        <w:t>in schools, graffiti, drag story hour protests, drag show bans, curriculum disputes, harassment at school committee meetings, doxxing against LGBTQ librarians and teachers, and much more. Furthermore, for months, healthcare providers at facilities, includi</w:t>
      </w:r>
      <w:r>
        <w:t>ng Boston Children’s Hospital, have been receiving constant</w:t>
      </w:r>
      <w:r>
        <w:rPr>
          <w:spacing w:val="-9"/>
        </w:rPr>
        <w:t xml:space="preserve"> </w:t>
      </w:r>
      <w:r>
        <w:t>security,</w:t>
      </w:r>
      <w:r>
        <w:rPr>
          <w:spacing w:val="-7"/>
        </w:rPr>
        <w:t xml:space="preserve"> </w:t>
      </w:r>
      <w:r>
        <w:t>bombing,</w:t>
      </w:r>
      <w:r>
        <w:rPr>
          <w:spacing w:val="-7"/>
        </w:rPr>
        <w:t xml:space="preserve"> </w:t>
      </w:r>
      <w:r>
        <w:t>and</w:t>
      </w:r>
      <w:r>
        <w:rPr>
          <w:spacing w:val="-10"/>
        </w:rPr>
        <w:t xml:space="preserve"> </w:t>
      </w:r>
      <w:r>
        <w:t>violent</w:t>
      </w:r>
      <w:r>
        <w:rPr>
          <w:spacing w:val="-9"/>
        </w:rPr>
        <w:t xml:space="preserve"> </w:t>
      </w:r>
      <w:r>
        <w:t>threats</w:t>
      </w:r>
      <w:r>
        <w:rPr>
          <w:spacing w:val="-9"/>
        </w:rPr>
        <w:t xml:space="preserve"> </w:t>
      </w:r>
      <w:r>
        <w:t>for</w:t>
      </w:r>
      <w:r>
        <w:rPr>
          <w:spacing w:val="-9"/>
        </w:rPr>
        <w:t xml:space="preserve"> </w:t>
      </w:r>
      <w:r>
        <w:t>the</w:t>
      </w:r>
      <w:r>
        <w:rPr>
          <w:spacing w:val="-8"/>
        </w:rPr>
        <w:t xml:space="preserve"> </w:t>
      </w:r>
      <w:r>
        <w:t>provision</w:t>
      </w:r>
      <w:r>
        <w:rPr>
          <w:spacing w:val="-10"/>
        </w:rPr>
        <w:t xml:space="preserve"> </w:t>
      </w:r>
      <w:r>
        <w:t>of</w:t>
      </w:r>
      <w:r>
        <w:rPr>
          <w:spacing w:val="-9"/>
        </w:rPr>
        <w:t xml:space="preserve"> </w:t>
      </w:r>
      <w:r>
        <w:t>gender-affirming</w:t>
      </w:r>
      <w:r>
        <w:rPr>
          <w:spacing w:val="-7"/>
        </w:rPr>
        <w:t xml:space="preserve"> </w:t>
      </w:r>
      <w:r>
        <w:t>care.</w:t>
      </w:r>
      <w:r>
        <w:rPr>
          <w:spacing w:val="-10"/>
        </w:rPr>
        <w:t xml:space="preserve"> </w:t>
      </w:r>
      <w:r>
        <w:t>Combine</w:t>
      </w:r>
      <w:r>
        <w:rPr>
          <w:spacing w:val="-8"/>
        </w:rPr>
        <w:t xml:space="preserve"> </w:t>
      </w:r>
      <w:r>
        <w:t>these with</w:t>
      </w:r>
      <w:r>
        <w:rPr>
          <w:spacing w:val="-4"/>
        </w:rPr>
        <w:t xml:space="preserve"> </w:t>
      </w:r>
      <w:r>
        <w:t>the</w:t>
      </w:r>
      <w:r>
        <w:rPr>
          <w:spacing w:val="-3"/>
        </w:rPr>
        <w:t xml:space="preserve"> </w:t>
      </w:r>
      <w:r>
        <w:t>alarming</w:t>
      </w:r>
      <w:r>
        <w:rPr>
          <w:spacing w:val="-4"/>
        </w:rPr>
        <w:t xml:space="preserve"> </w:t>
      </w:r>
      <w:r>
        <w:t>rise</w:t>
      </w:r>
      <w:r>
        <w:rPr>
          <w:spacing w:val="-5"/>
        </w:rPr>
        <w:t xml:space="preserve"> </w:t>
      </w:r>
      <w:r>
        <w:t>in</w:t>
      </w:r>
      <w:r>
        <w:rPr>
          <w:spacing w:val="-4"/>
        </w:rPr>
        <w:t xml:space="preserve"> </w:t>
      </w:r>
      <w:r>
        <w:t>racist</w:t>
      </w:r>
      <w:r>
        <w:rPr>
          <w:spacing w:val="-3"/>
        </w:rPr>
        <w:t xml:space="preserve"> </w:t>
      </w:r>
      <w:r>
        <w:t>hate</w:t>
      </w:r>
      <w:r>
        <w:rPr>
          <w:spacing w:val="-5"/>
        </w:rPr>
        <w:t xml:space="preserve"> </w:t>
      </w:r>
      <w:r>
        <w:t>crimes</w:t>
      </w:r>
      <w:r>
        <w:rPr>
          <w:spacing w:val="-3"/>
        </w:rPr>
        <w:t xml:space="preserve"> </w:t>
      </w:r>
      <w:r>
        <w:t>being</w:t>
      </w:r>
      <w:r>
        <w:rPr>
          <w:spacing w:val="-4"/>
        </w:rPr>
        <w:t xml:space="preserve"> </w:t>
      </w:r>
      <w:r>
        <w:t>seen</w:t>
      </w:r>
      <w:r>
        <w:rPr>
          <w:spacing w:val="-6"/>
        </w:rPr>
        <w:t xml:space="preserve"> </w:t>
      </w:r>
      <w:r>
        <w:t>across</w:t>
      </w:r>
      <w:r>
        <w:rPr>
          <w:spacing w:val="-6"/>
        </w:rPr>
        <w:t xml:space="preserve"> </w:t>
      </w:r>
      <w:r>
        <w:t>the</w:t>
      </w:r>
      <w:r>
        <w:rPr>
          <w:spacing w:val="-3"/>
        </w:rPr>
        <w:t xml:space="preserve"> </w:t>
      </w:r>
      <w:r>
        <w:t>state,</w:t>
      </w:r>
      <w:r>
        <w:rPr>
          <w:spacing w:val="-6"/>
        </w:rPr>
        <w:t xml:space="preserve"> </w:t>
      </w:r>
      <w:r>
        <w:t>and</w:t>
      </w:r>
      <w:r>
        <w:rPr>
          <w:spacing w:val="-4"/>
        </w:rPr>
        <w:t xml:space="preserve"> </w:t>
      </w:r>
      <w:r>
        <w:t>youth</w:t>
      </w:r>
      <w:r>
        <w:rPr>
          <w:spacing w:val="-4"/>
        </w:rPr>
        <w:t xml:space="preserve"> </w:t>
      </w:r>
      <w:r>
        <w:t>are</w:t>
      </w:r>
      <w:r>
        <w:rPr>
          <w:spacing w:val="-3"/>
        </w:rPr>
        <w:t xml:space="preserve"> </w:t>
      </w:r>
      <w:r>
        <w:t>terrified</w:t>
      </w:r>
      <w:r>
        <w:rPr>
          <w:spacing w:val="-4"/>
        </w:rPr>
        <w:t xml:space="preserve"> </w:t>
      </w:r>
      <w:r>
        <w:t>a</w:t>
      </w:r>
      <w:r>
        <w:t>nd</w:t>
      </w:r>
      <w:r>
        <w:rPr>
          <w:spacing w:val="-4"/>
        </w:rPr>
        <w:t xml:space="preserve"> </w:t>
      </w:r>
      <w:r>
        <w:t>angry.</w:t>
      </w:r>
    </w:p>
    <w:p w:rsidR="00200FDA" w:rsidRDefault="00200FDA">
      <w:pPr>
        <w:pStyle w:val="BodyText"/>
        <w:spacing w:before="9"/>
        <w:rPr>
          <w:sz w:val="19"/>
        </w:rPr>
      </w:pPr>
    </w:p>
    <w:p w:rsidR="00200FDA" w:rsidRDefault="00F76C4C">
      <w:pPr>
        <w:pStyle w:val="BodyText"/>
        <w:spacing w:before="1" w:line="264" w:lineRule="auto"/>
        <w:ind w:left="139" w:right="134"/>
        <w:jc w:val="both"/>
      </w:pPr>
      <w:r>
        <w:t>The Commission has serious concerns for the safety of LGBTQ youth, families, providers, librarians, and educators</w:t>
      </w:r>
      <w:r>
        <w:rPr>
          <w:spacing w:val="-4"/>
        </w:rPr>
        <w:t xml:space="preserve"> </w:t>
      </w:r>
      <w:r>
        <w:t>in</w:t>
      </w:r>
      <w:r>
        <w:rPr>
          <w:spacing w:val="-5"/>
        </w:rPr>
        <w:t xml:space="preserve"> </w:t>
      </w:r>
      <w:r>
        <w:t>Massachusetts</w:t>
      </w:r>
      <w:r>
        <w:rPr>
          <w:spacing w:val="-4"/>
        </w:rPr>
        <w:t xml:space="preserve"> </w:t>
      </w:r>
      <w:r>
        <w:t>with</w:t>
      </w:r>
      <w:r>
        <w:rPr>
          <w:spacing w:val="-5"/>
        </w:rPr>
        <w:t xml:space="preserve"> </w:t>
      </w:r>
      <w:r>
        <w:t>little</w:t>
      </w:r>
      <w:r>
        <w:rPr>
          <w:spacing w:val="-4"/>
        </w:rPr>
        <w:t xml:space="preserve"> </w:t>
      </w:r>
      <w:r>
        <w:t>activity</w:t>
      </w:r>
      <w:r>
        <w:rPr>
          <w:spacing w:val="-3"/>
        </w:rPr>
        <w:t xml:space="preserve"> </w:t>
      </w:r>
      <w:r>
        <w:t>occurring</w:t>
      </w:r>
      <w:r>
        <w:rPr>
          <w:spacing w:val="-5"/>
        </w:rPr>
        <w:t xml:space="preserve"> </w:t>
      </w:r>
      <w:r>
        <w:t>at</w:t>
      </w:r>
      <w:r>
        <w:rPr>
          <w:spacing w:val="-4"/>
        </w:rPr>
        <w:t xml:space="preserve"> </w:t>
      </w:r>
      <w:r>
        <w:t>the</w:t>
      </w:r>
      <w:r>
        <w:rPr>
          <w:spacing w:val="-4"/>
        </w:rPr>
        <w:t xml:space="preserve"> </w:t>
      </w:r>
      <w:r>
        <w:t>state</w:t>
      </w:r>
      <w:r>
        <w:rPr>
          <w:spacing w:val="-4"/>
        </w:rPr>
        <w:t xml:space="preserve"> </w:t>
      </w:r>
      <w:r>
        <w:t>government</w:t>
      </w:r>
      <w:r>
        <w:rPr>
          <w:spacing w:val="-6"/>
        </w:rPr>
        <w:t xml:space="preserve"> </w:t>
      </w:r>
      <w:r>
        <w:t>level</w:t>
      </w:r>
      <w:r>
        <w:rPr>
          <w:spacing w:val="-7"/>
        </w:rPr>
        <w:t xml:space="preserve"> </w:t>
      </w:r>
      <w:r>
        <w:t>to</w:t>
      </w:r>
      <w:r>
        <w:rPr>
          <w:spacing w:val="-3"/>
        </w:rPr>
        <w:t xml:space="preserve"> </w:t>
      </w:r>
      <w:r>
        <w:t>publicly</w:t>
      </w:r>
      <w:r>
        <w:rPr>
          <w:spacing w:val="-6"/>
        </w:rPr>
        <w:t xml:space="preserve"> </w:t>
      </w:r>
      <w:r>
        <w:t>address these incidents. The Commission urges the Commonwealth to take direct and explicit action to protect LGBTQ youth, educators, librarians, and caregivers.</w:t>
      </w:r>
    </w:p>
    <w:p w:rsidR="00200FDA" w:rsidRDefault="00200FDA">
      <w:pPr>
        <w:spacing w:line="264" w:lineRule="auto"/>
        <w:jc w:val="both"/>
        <w:sectPr w:rsidR="00200FDA">
          <w:headerReference w:type="default" r:id="rId55"/>
          <w:footerReference w:type="default" r:id="rId56"/>
          <w:pgSz w:w="12240" w:h="15840"/>
          <w:pgMar w:top="1420" w:right="1300" w:bottom="1240" w:left="1300" w:header="0" w:footer="1043" w:gutter="0"/>
          <w:pgNumType w:start="10"/>
          <w:cols w:space="720"/>
        </w:sectPr>
      </w:pPr>
    </w:p>
    <w:p w:rsidR="00200FDA" w:rsidRDefault="00200FDA">
      <w:pPr>
        <w:pStyle w:val="BodyText"/>
        <w:rPr>
          <w:sz w:val="20"/>
        </w:rPr>
      </w:pPr>
    </w:p>
    <w:p w:rsidR="00200FDA" w:rsidRDefault="00200FDA">
      <w:pPr>
        <w:pStyle w:val="BodyText"/>
        <w:spacing w:before="3"/>
        <w:rPr>
          <w:sz w:val="15"/>
        </w:rPr>
      </w:pPr>
    </w:p>
    <w:p w:rsidR="00200FDA" w:rsidRDefault="00F76C4C">
      <w:pPr>
        <w:spacing w:before="35"/>
        <w:ind w:left="140"/>
        <w:rPr>
          <w:sz w:val="32"/>
        </w:rPr>
      </w:pPr>
      <w:r>
        <w:pict>
          <v:rect id="docshape146" o:spid="_x0000_s1411" style="position:absolute;left:0;text-align:left;margin-left:70.55pt;margin-top:22.25pt;width:470.9pt;height:.5pt;z-index:-15721472;mso-wrap-distance-left:0;mso-wrap-distance-right:0;mso-position-horizontal-relative:page" fillcolor="#4f81bc" stroked="f">
            <w10:wrap type="topAndBottom" anchorx="page"/>
          </v:rect>
        </w:pict>
      </w:r>
      <w:bookmarkStart w:id="63" w:name="PCW_Final_Draft_-_Edited.pdf"/>
      <w:bookmarkStart w:id="64" w:name="Protecting_LGBTQ_Child_Welfare_&amp;_Well-Be"/>
      <w:bookmarkStart w:id="65" w:name="_bookmark5"/>
      <w:bookmarkEnd w:id="63"/>
      <w:bookmarkEnd w:id="64"/>
      <w:bookmarkEnd w:id="65"/>
      <w:r>
        <w:fldChar w:fldCharType="begin"/>
      </w:r>
      <w:r>
        <w:instrText xml:space="preserve"> HYPERLINK \l "_bookmark1" </w:instrText>
      </w:r>
      <w:r>
        <w:fldChar w:fldCharType="separate"/>
      </w:r>
      <w:r>
        <w:rPr>
          <w:color w:val="365F91"/>
          <w:sz w:val="32"/>
        </w:rPr>
        <w:t>Protecting</w:t>
      </w:r>
      <w:r>
        <w:rPr>
          <w:color w:val="365F91"/>
          <w:spacing w:val="-10"/>
          <w:sz w:val="32"/>
        </w:rPr>
        <w:t xml:space="preserve"> </w:t>
      </w:r>
      <w:r>
        <w:rPr>
          <w:color w:val="365F91"/>
          <w:sz w:val="32"/>
        </w:rPr>
        <w:t>LGBTQ</w:t>
      </w:r>
      <w:r>
        <w:rPr>
          <w:color w:val="365F91"/>
          <w:spacing w:val="-8"/>
          <w:sz w:val="32"/>
        </w:rPr>
        <w:t xml:space="preserve"> </w:t>
      </w:r>
      <w:r>
        <w:rPr>
          <w:color w:val="365F91"/>
          <w:sz w:val="32"/>
        </w:rPr>
        <w:t>Child</w:t>
      </w:r>
      <w:r>
        <w:rPr>
          <w:color w:val="365F91"/>
          <w:spacing w:val="-9"/>
          <w:sz w:val="32"/>
        </w:rPr>
        <w:t xml:space="preserve"> </w:t>
      </w:r>
      <w:r>
        <w:rPr>
          <w:color w:val="365F91"/>
          <w:sz w:val="32"/>
        </w:rPr>
        <w:t>Welfare</w:t>
      </w:r>
      <w:r>
        <w:rPr>
          <w:color w:val="365F91"/>
          <w:spacing w:val="-11"/>
          <w:sz w:val="32"/>
        </w:rPr>
        <w:t xml:space="preserve"> </w:t>
      </w:r>
      <w:r>
        <w:rPr>
          <w:color w:val="365F91"/>
          <w:sz w:val="32"/>
        </w:rPr>
        <w:t>&amp;</w:t>
      </w:r>
      <w:r>
        <w:rPr>
          <w:color w:val="365F91"/>
          <w:spacing w:val="-9"/>
          <w:sz w:val="32"/>
        </w:rPr>
        <w:t xml:space="preserve"> </w:t>
      </w:r>
      <w:r>
        <w:rPr>
          <w:color w:val="365F91"/>
          <w:sz w:val="32"/>
        </w:rPr>
        <w:t>Well-</w:t>
      </w:r>
      <w:r>
        <w:rPr>
          <w:color w:val="365F91"/>
          <w:spacing w:val="-2"/>
          <w:sz w:val="32"/>
        </w:rPr>
        <w:t>Being</w:t>
      </w:r>
      <w:r>
        <w:rPr>
          <w:color w:val="365F91"/>
          <w:spacing w:val="-2"/>
          <w:sz w:val="32"/>
        </w:rPr>
        <w:fldChar w:fldCharType="end"/>
      </w:r>
    </w:p>
    <w:p w:rsidR="00200FDA" w:rsidRDefault="00200FDA">
      <w:pPr>
        <w:pStyle w:val="BodyText"/>
        <w:rPr>
          <w:sz w:val="20"/>
        </w:rPr>
      </w:pPr>
    </w:p>
    <w:p w:rsidR="00200FDA" w:rsidRDefault="00200FDA">
      <w:pPr>
        <w:pStyle w:val="BodyText"/>
        <w:rPr>
          <w:sz w:val="20"/>
        </w:rPr>
      </w:pPr>
    </w:p>
    <w:p w:rsidR="00200FDA" w:rsidRDefault="00200FDA">
      <w:pPr>
        <w:pStyle w:val="BodyText"/>
        <w:spacing w:before="9"/>
        <w:rPr>
          <w:sz w:val="16"/>
        </w:rPr>
      </w:pPr>
    </w:p>
    <w:p w:rsidR="00200FDA" w:rsidRDefault="00F76C4C">
      <w:pPr>
        <w:spacing w:before="44"/>
        <w:ind w:left="140"/>
        <w:rPr>
          <w:i/>
          <w:sz w:val="28"/>
        </w:rPr>
      </w:pPr>
      <w:r>
        <w:pict>
          <v:rect id="docshape147" o:spid="_x0000_s1410" style="position:absolute;left:0;text-align:left;margin-left:70.55pt;margin-top:20.2pt;width:470.9pt;height:.5pt;z-index:-15720960;mso-wrap-distance-left:0;mso-wrap-distance-right:0;mso-position-horizontal-relative:page" fillcolor="#4f81bc" stroked="f">
            <w10:wrap type="topAndBottom" anchorx="page"/>
          </v:rect>
        </w:pict>
      </w:r>
      <w:bookmarkStart w:id="66" w:name="Introduction:_Toward_a_Commonwealth_in_W"/>
      <w:bookmarkEnd w:id="66"/>
      <w:r>
        <w:rPr>
          <w:color w:val="365F91"/>
          <w:sz w:val="28"/>
        </w:rPr>
        <w:t>Introduction:</w:t>
      </w:r>
      <w:r>
        <w:rPr>
          <w:color w:val="365F91"/>
          <w:spacing w:val="-9"/>
          <w:sz w:val="28"/>
        </w:rPr>
        <w:t xml:space="preserve"> </w:t>
      </w:r>
      <w:r>
        <w:rPr>
          <w:color w:val="365F91"/>
          <w:sz w:val="28"/>
        </w:rPr>
        <w:t>Toward</w:t>
      </w:r>
      <w:r>
        <w:rPr>
          <w:color w:val="365F91"/>
          <w:spacing w:val="-7"/>
          <w:sz w:val="28"/>
        </w:rPr>
        <w:t xml:space="preserve"> </w:t>
      </w:r>
      <w:r>
        <w:rPr>
          <w:color w:val="365F91"/>
          <w:sz w:val="28"/>
        </w:rPr>
        <w:t>a</w:t>
      </w:r>
      <w:r>
        <w:rPr>
          <w:color w:val="365F91"/>
          <w:spacing w:val="-6"/>
          <w:sz w:val="28"/>
        </w:rPr>
        <w:t xml:space="preserve"> </w:t>
      </w:r>
      <w:r>
        <w:rPr>
          <w:color w:val="365F91"/>
          <w:sz w:val="28"/>
        </w:rPr>
        <w:t>Commonwealth</w:t>
      </w:r>
      <w:r>
        <w:rPr>
          <w:color w:val="365F91"/>
          <w:spacing w:val="-7"/>
          <w:sz w:val="28"/>
        </w:rPr>
        <w:t xml:space="preserve"> </w:t>
      </w:r>
      <w:r>
        <w:rPr>
          <w:color w:val="365F91"/>
          <w:sz w:val="28"/>
        </w:rPr>
        <w:t>in</w:t>
      </w:r>
      <w:r>
        <w:rPr>
          <w:color w:val="365F91"/>
          <w:spacing w:val="-4"/>
          <w:sz w:val="28"/>
        </w:rPr>
        <w:t xml:space="preserve"> </w:t>
      </w:r>
      <w:r>
        <w:rPr>
          <w:color w:val="365F91"/>
          <w:sz w:val="28"/>
        </w:rPr>
        <w:t>Which</w:t>
      </w:r>
      <w:r>
        <w:rPr>
          <w:color w:val="365F91"/>
          <w:spacing w:val="-7"/>
          <w:sz w:val="28"/>
        </w:rPr>
        <w:t xml:space="preserve"> </w:t>
      </w:r>
      <w:r>
        <w:rPr>
          <w:i/>
          <w:color w:val="365F91"/>
          <w:sz w:val="28"/>
        </w:rPr>
        <w:t>All</w:t>
      </w:r>
      <w:r>
        <w:rPr>
          <w:i/>
          <w:color w:val="365F91"/>
          <w:spacing w:val="-5"/>
          <w:sz w:val="28"/>
        </w:rPr>
        <w:t xml:space="preserve"> </w:t>
      </w:r>
      <w:r>
        <w:rPr>
          <w:i/>
          <w:color w:val="365F91"/>
          <w:sz w:val="28"/>
        </w:rPr>
        <w:t>Youth</w:t>
      </w:r>
      <w:r>
        <w:rPr>
          <w:i/>
          <w:color w:val="365F91"/>
          <w:spacing w:val="-6"/>
          <w:sz w:val="28"/>
        </w:rPr>
        <w:t xml:space="preserve"> </w:t>
      </w:r>
      <w:r>
        <w:rPr>
          <w:i/>
          <w:color w:val="365F91"/>
          <w:spacing w:val="-2"/>
          <w:sz w:val="28"/>
        </w:rPr>
        <w:t>Thrive</w:t>
      </w:r>
    </w:p>
    <w:p w:rsidR="00200FDA" w:rsidRDefault="00200FDA">
      <w:pPr>
        <w:pStyle w:val="BodyText"/>
        <w:spacing w:before="6"/>
        <w:rPr>
          <w:i/>
          <w:sz w:val="13"/>
        </w:rPr>
      </w:pPr>
    </w:p>
    <w:p w:rsidR="00200FDA" w:rsidRDefault="00F76C4C">
      <w:pPr>
        <w:pStyle w:val="BodyText"/>
        <w:spacing w:before="74" w:line="264" w:lineRule="auto"/>
        <w:ind w:left="139" w:right="133"/>
        <w:jc w:val="both"/>
      </w:pPr>
      <w:r>
        <w:t>Now</w:t>
      </w:r>
      <w:r>
        <w:rPr>
          <w:spacing w:val="-12"/>
        </w:rPr>
        <w:t xml:space="preserve"> </w:t>
      </w:r>
      <w:r>
        <w:t>in</w:t>
      </w:r>
      <w:r>
        <w:rPr>
          <w:spacing w:val="-11"/>
        </w:rPr>
        <w:t xml:space="preserve"> </w:t>
      </w:r>
      <w:r>
        <w:t>its</w:t>
      </w:r>
      <w:r>
        <w:rPr>
          <w:spacing w:val="-13"/>
        </w:rPr>
        <w:t xml:space="preserve"> </w:t>
      </w:r>
      <w:r>
        <w:t>31</w:t>
      </w:r>
      <w:r>
        <w:rPr>
          <w:vertAlign w:val="superscript"/>
        </w:rPr>
        <w:t>st</w:t>
      </w:r>
      <w:r>
        <w:rPr>
          <w:spacing w:val="-11"/>
        </w:rPr>
        <w:t xml:space="preserve"> </w:t>
      </w:r>
      <w:r>
        <w:t>year,</w:t>
      </w:r>
      <w:r>
        <w:rPr>
          <w:spacing w:val="-13"/>
        </w:rPr>
        <w:t xml:space="preserve"> </w:t>
      </w:r>
      <w:r>
        <w:t>the</w:t>
      </w:r>
      <w:r>
        <w:rPr>
          <w:spacing w:val="-12"/>
        </w:rPr>
        <w:t xml:space="preserve"> </w:t>
      </w:r>
      <w:r>
        <w:t>Massachusetts</w:t>
      </w:r>
      <w:r>
        <w:rPr>
          <w:spacing w:val="-10"/>
        </w:rPr>
        <w:t xml:space="preserve"> </w:t>
      </w:r>
      <w:r>
        <w:t>Commission</w:t>
      </w:r>
      <w:r>
        <w:rPr>
          <w:spacing w:val="-11"/>
        </w:rPr>
        <w:t xml:space="preserve"> </w:t>
      </w:r>
      <w:r>
        <w:t>on</w:t>
      </w:r>
      <w:r>
        <w:rPr>
          <w:spacing w:val="-13"/>
        </w:rPr>
        <w:t xml:space="preserve"> </w:t>
      </w:r>
      <w:r>
        <w:t>LGBTQ</w:t>
      </w:r>
      <w:r>
        <w:rPr>
          <w:spacing w:val="-10"/>
        </w:rPr>
        <w:t xml:space="preserve"> </w:t>
      </w:r>
      <w:r>
        <w:t>Youth</w:t>
      </w:r>
      <w:r>
        <w:rPr>
          <w:spacing w:val="-11"/>
        </w:rPr>
        <w:t xml:space="preserve"> </w:t>
      </w:r>
      <w:r>
        <w:t>voices</w:t>
      </w:r>
      <w:r>
        <w:rPr>
          <w:spacing w:val="-10"/>
        </w:rPr>
        <w:t xml:space="preserve"> </w:t>
      </w:r>
      <w:r>
        <w:t>its</w:t>
      </w:r>
      <w:r>
        <w:rPr>
          <w:spacing w:val="-13"/>
        </w:rPr>
        <w:t xml:space="preserve"> </w:t>
      </w:r>
      <w:r>
        <w:t>mission</w:t>
      </w:r>
      <w:r>
        <w:rPr>
          <w:spacing w:val="-11"/>
        </w:rPr>
        <w:t xml:space="preserve"> </w:t>
      </w:r>
      <w:r>
        <w:t>through</w:t>
      </w:r>
      <w:r>
        <w:rPr>
          <w:spacing w:val="-11"/>
        </w:rPr>
        <w:t xml:space="preserve"> </w:t>
      </w:r>
      <w:r>
        <w:t>the</w:t>
      </w:r>
      <w:r>
        <w:rPr>
          <w:spacing w:val="-12"/>
        </w:rPr>
        <w:t xml:space="preserve"> </w:t>
      </w:r>
      <w:r>
        <w:t>motto, “</w:t>
      </w:r>
      <w:r>
        <w:rPr>
          <w:b/>
        </w:rPr>
        <w:t>Helping</w:t>
      </w:r>
      <w:r>
        <w:rPr>
          <w:b/>
          <w:spacing w:val="-8"/>
        </w:rPr>
        <w:t xml:space="preserve"> </w:t>
      </w:r>
      <w:r>
        <w:rPr>
          <w:b/>
        </w:rPr>
        <w:t>All</w:t>
      </w:r>
      <w:r>
        <w:rPr>
          <w:b/>
          <w:spacing w:val="-8"/>
        </w:rPr>
        <w:t xml:space="preserve"> </w:t>
      </w:r>
      <w:r>
        <w:rPr>
          <w:b/>
        </w:rPr>
        <w:t>Youth</w:t>
      </w:r>
      <w:r>
        <w:rPr>
          <w:b/>
          <w:spacing w:val="-10"/>
        </w:rPr>
        <w:t xml:space="preserve"> </w:t>
      </w:r>
      <w:r>
        <w:rPr>
          <w:b/>
        </w:rPr>
        <w:t>Thrive</w:t>
      </w:r>
      <w:r>
        <w:t>.”</w:t>
      </w:r>
      <w:r>
        <w:rPr>
          <w:spacing w:val="-8"/>
        </w:rPr>
        <w:t xml:space="preserve"> </w:t>
      </w:r>
      <w:r>
        <w:t>The</w:t>
      </w:r>
      <w:r>
        <w:rPr>
          <w:spacing w:val="-8"/>
        </w:rPr>
        <w:t xml:space="preserve"> </w:t>
      </w:r>
      <w:r>
        <w:t>realization</w:t>
      </w:r>
      <w:r>
        <w:rPr>
          <w:spacing w:val="-10"/>
        </w:rPr>
        <w:t xml:space="preserve"> </w:t>
      </w:r>
      <w:r>
        <w:t>of</w:t>
      </w:r>
      <w:r>
        <w:rPr>
          <w:spacing w:val="-9"/>
        </w:rPr>
        <w:t xml:space="preserve"> </w:t>
      </w:r>
      <w:r>
        <w:t>this</w:t>
      </w:r>
      <w:r>
        <w:rPr>
          <w:spacing w:val="-9"/>
        </w:rPr>
        <w:t xml:space="preserve"> </w:t>
      </w:r>
      <w:r>
        <w:t>seemingly</w:t>
      </w:r>
      <w:r>
        <w:rPr>
          <w:spacing w:val="-8"/>
        </w:rPr>
        <w:t xml:space="preserve"> </w:t>
      </w:r>
      <w:r>
        <w:t>simple</w:t>
      </w:r>
      <w:r>
        <w:rPr>
          <w:spacing w:val="-8"/>
        </w:rPr>
        <w:t xml:space="preserve"> </w:t>
      </w:r>
      <w:r>
        <w:t>saying</w:t>
      </w:r>
      <w:r>
        <w:rPr>
          <w:spacing w:val="-10"/>
        </w:rPr>
        <w:t xml:space="preserve"> </w:t>
      </w:r>
      <w:r>
        <w:t>requires</w:t>
      </w:r>
      <w:r>
        <w:rPr>
          <w:spacing w:val="-6"/>
        </w:rPr>
        <w:t xml:space="preserve"> </w:t>
      </w:r>
      <w:r>
        <w:t>leaders</w:t>
      </w:r>
      <w:r>
        <w:rPr>
          <w:spacing w:val="-9"/>
        </w:rPr>
        <w:t xml:space="preserve"> </w:t>
      </w:r>
      <w:r>
        <w:t>to</w:t>
      </w:r>
      <w:r>
        <w:rPr>
          <w:spacing w:val="-8"/>
        </w:rPr>
        <w:t xml:space="preserve"> </w:t>
      </w:r>
      <w:r>
        <w:t>take</w:t>
      </w:r>
      <w:r>
        <w:rPr>
          <w:spacing w:val="-6"/>
        </w:rPr>
        <w:t xml:space="preserve"> </w:t>
      </w:r>
      <w:r>
        <w:t>a</w:t>
      </w:r>
      <w:r>
        <w:rPr>
          <w:spacing w:val="-9"/>
        </w:rPr>
        <w:t xml:space="preserve"> </w:t>
      </w:r>
      <w:r>
        <w:t>high- level</w:t>
      </w:r>
      <w:r>
        <w:rPr>
          <w:spacing w:val="-7"/>
        </w:rPr>
        <w:t xml:space="preserve"> </w:t>
      </w:r>
      <w:r>
        <w:t>view</w:t>
      </w:r>
      <w:r>
        <w:rPr>
          <w:spacing w:val="-6"/>
        </w:rPr>
        <w:t xml:space="preserve"> </w:t>
      </w:r>
      <w:r>
        <w:t>of</w:t>
      </w:r>
      <w:r>
        <w:rPr>
          <w:spacing w:val="-7"/>
        </w:rPr>
        <w:t xml:space="preserve"> </w:t>
      </w:r>
      <w:r>
        <w:t>the</w:t>
      </w:r>
      <w:r>
        <w:rPr>
          <w:spacing w:val="-6"/>
        </w:rPr>
        <w:t xml:space="preserve"> </w:t>
      </w:r>
      <w:r>
        <w:t>stunningly</w:t>
      </w:r>
      <w:r>
        <w:rPr>
          <w:spacing w:val="-6"/>
        </w:rPr>
        <w:t xml:space="preserve"> </w:t>
      </w:r>
      <w:r>
        <w:t>complicated</w:t>
      </w:r>
      <w:r>
        <w:rPr>
          <w:spacing w:val="-5"/>
        </w:rPr>
        <w:t xml:space="preserve"> </w:t>
      </w:r>
      <w:r>
        <w:t>issues</w:t>
      </w:r>
      <w:r>
        <w:rPr>
          <w:spacing w:val="-6"/>
        </w:rPr>
        <w:t xml:space="preserve"> </w:t>
      </w:r>
      <w:r>
        <w:t>affecting</w:t>
      </w:r>
      <w:r>
        <w:rPr>
          <w:spacing w:val="-5"/>
        </w:rPr>
        <w:t xml:space="preserve"> </w:t>
      </w:r>
      <w:r>
        <w:t>the</w:t>
      </w:r>
      <w:r>
        <w:rPr>
          <w:spacing w:val="-6"/>
        </w:rPr>
        <w:t xml:space="preserve"> </w:t>
      </w:r>
      <w:r>
        <w:t>well-being</w:t>
      </w:r>
      <w:r>
        <w:rPr>
          <w:spacing w:val="-7"/>
        </w:rPr>
        <w:t xml:space="preserve"> </w:t>
      </w:r>
      <w:r>
        <w:t>of</w:t>
      </w:r>
      <w:r>
        <w:rPr>
          <w:spacing w:val="-7"/>
        </w:rPr>
        <w:t xml:space="preserve"> </w:t>
      </w:r>
      <w:r>
        <w:t>today’s</w:t>
      </w:r>
      <w:r>
        <w:rPr>
          <w:spacing w:val="-9"/>
        </w:rPr>
        <w:t xml:space="preserve"> </w:t>
      </w:r>
      <w:r>
        <w:t>LGBTQ</w:t>
      </w:r>
      <w:r>
        <w:rPr>
          <w:spacing w:val="-6"/>
        </w:rPr>
        <w:t xml:space="preserve"> </w:t>
      </w:r>
      <w:r>
        <w:t>youth—without losing sight of the importance of their individual realities.</w:t>
      </w:r>
    </w:p>
    <w:p w:rsidR="00200FDA" w:rsidRDefault="00200FDA">
      <w:pPr>
        <w:pStyle w:val="BodyText"/>
        <w:rPr>
          <w:sz w:val="20"/>
        </w:rPr>
      </w:pPr>
    </w:p>
    <w:p w:rsidR="00200FDA" w:rsidRDefault="00F76C4C">
      <w:pPr>
        <w:ind w:left="982" w:right="983"/>
        <w:jc w:val="center"/>
        <w:rPr>
          <w:sz w:val="20"/>
        </w:rPr>
      </w:pPr>
      <w:r>
        <w:rPr>
          <w:color w:val="4F81BC"/>
          <w:sz w:val="20"/>
        </w:rPr>
        <w:t>What</w:t>
      </w:r>
      <w:r>
        <w:rPr>
          <w:color w:val="4F81BC"/>
          <w:spacing w:val="-5"/>
          <w:sz w:val="20"/>
        </w:rPr>
        <w:t xml:space="preserve"> </w:t>
      </w:r>
      <w:r>
        <w:rPr>
          <w:color w:val="4F81BC"/>
          <w:sz w:val="20"/>
        </w:rPr>
        <w:t>does</w:t>
      </w:r>
      <w:r>
        <w:rPr>
          <w:color w:val="4F81BC"/>
          <w:spacing w:val="-4"/>
          <w:sz w:val="20"/>
        </w:rPr>
        <w:t xml:space="preserve"> </w:t>
      </w:r>
      <w:r>
        <w:rPr>
          <w:color w:val="4F81BC"/>
          <w:sz w:val="20"/>
        </w:rPr>
        <w:t>it</w:t>
      </w:r>
      <w:r>
        <w:rPr>
          <w:color w:val="4F81BC"/>
          <w:spacing w:val="-4"/>
          <w:sz w:val="20"/>
        </w:rPr>
        <w:t xml:space="preserve"> </w:t>
      </w:r>
      <w:r>
        <w:rPr>
          <w:color w:val="4F81BC"/>
          <w:sz w:val="20"/>
        </w:rPr>
        <w:t>mean</w:t>
      </w:r>
      <w:r>
        <w:rPr>
          <w:color w:val="4F81BC"/>
          <w:spacing w:val="-4"/>
          <w:sz w:val="20"/>
        </w:rPr>
        <w:t xml:space="preserve"> </w:t>
      </w:r>
      <w:r>
        <w:rPr>
          <w:color w:val="4F81BC"/>
          <w:sz w:val="20"/>
        </w:rPr>
        <w:t>to</w:t>
      </w:r>
      <w:r>
        <w:rPr>
          <w:color w:val="4F81BC"/>
          <w:spacing w:val="-4"/>
          <w:sz w:val="20"/>
        </w:rPr>
        <w:t xml:space="preserve"> </w:t>
      </w:r>
      <w:r>
        <w:rPr>
          <w:color w:val="4F81BC"/>
          <w:sz w:val="20"/>
        </w:rPr>
        <w:t>serve</w:t>
      </w:r>
      <w:r>
        <w:rPr>
          <w:color w:val="4F81BC"/>
          <w:spacing w:val="-5"/>
          <w:sz w:val="20"/>
        </w:rPr>
        <w:t xml:space="preserve"> </w:t>
      </w:r>
      <w:r>
        <w:rPr>
          <w:b/>
          <w:i/>
          <w:color w:val="4F81BC"/>
          <w:sz w:val="20"/>
        </w:rPr>
        <w:t>all</w:t>
      </w:r>
      <w:r>
        <w:rPr>
          <w:b/>
          <w:i/>
          <w:color w:val="4F81BC"/>
          <w:spacing w:val="-4"/>
          <w:sz w:val="20"/>
        </w:rPr>
        <w:t xml:space="preserve"> </w:t>
      </w:r>
      <w:r>
        <w:rPr>
          <w:b/>
          <w:i/>
          <w:color w:val="4F81BC"/>
          <w:sz w:val="20"/>
        </w:rPr>
        <w:t>youth</w:t>
      </w:r>
      <w:r>
        <w:rPr>
          <w:color w:val="4F81BC"/>
          <w:sz w:val="20"/>
        </w:rPr>
        <w:t>?</w:t>
      </w:r>
      <w:r>
        <w:rPr>
          <w:color w:val="4F81BC"/>
          <w:spacing w:val="-5"/>
          <w:sz w:val="20"/>
        </w:rPr>
        <w:t xml:space="preserve"> </w:t>
      </w:r>
      <w:r>
        <w:rPr>
          <w:color w:val="4F81BC"/>
          <w:sz w:val="20"/>
        </w:rPr>
        <w:t>And</w:t>
      </w:r>
      <w:r>
        <w:rPr>
          <w:color w:val="4F81BC"/>
          <w:spacing w:val="-3"/>
          <w:sz w:val="20"/>
        </w:rPr>
        <w:t xml:space="preserve"> </w:t>
      </w:r>
      <w:r>
        <w:rPr>
          <w:color w:val="4F81BC"/>
          <w:sz w:val="20"/>
        </w:rPr>
        <w:t>what</w:t>
      </w:r>
      <w:r>
        <w:rPr>
          <w:color w:val="4F81BC"/>
          <w:spacing w:val="-5"/>
          <w:sz w:val="20"/>
        </w:rPr>
        <w:t xml:space="preserve"> </w:t>
      </w:r>
      <w:r>
        <w:rPr>
          <w:color w:val="4F81BC"/>
          <w:sz w:val="20"/>
        </w:rPr>
        <w:t>does</w:t>
      </w:r>
      <w:r>
        <w:rPr>
          <w:color w:val="4F81BC"/>
          <w:spacing w:val="-4"/>
          <w:sz w:val="20"/>
        </w:rPr>
        <w:t xml:space="preserve"> </w:t>
      </w:r>
      <w:r>
        <w:rPr>
          <w:color w:val="4F81BC"/>
          <w:sz w:val="20"/>
        </w:rPr>
        <w:t>it</w:t>
      </w:r>
      <w:r>
        <w:rPr>
          <w:color w:val="4F81BC"/>
          <w:spacing w:val="-4"/>
          <w:sz w:val="20"/>
        </w:rPr>
        <w:t xml:space="preserve"> </w:t>
      </w:r>
      <w:r>
        <w:rPr>
          <w:color w:val="4F81BC"/>
          <w:sz w:val="20"/>
        </w:rPr>
        <w:t>mean</w:t>
      </w:r>
      <w:r>
        <w:rPr>
          <w:color w:val="4F81BC"/>
          <w:spacing w:val="-4"/>
          <w:sz w:val="20"/>
        </w:rPr>
        <w:t xml:space="preserve"> </w:t>
      </w:r>
      <w:r>
        <w:rPr>
          <w:color w:val="4F81BC"/>
          <w:sz w:val="20"/>
        </w:rPr>
        <w:t>for</w:t>
      </w:r>
      <w:r>
        <w:rPr>
          <w:color w:val="4F81BC"/>
          <w:spacing w:val="-4"/>
          <w:sz w:val="20"/>
        </w:rPr>
        <w:t xml:space="preserve"> </w:t>
      </w:r>
      <w:r>
        <w:rPr>
          <w:color w:val="4F81BC"/>
          <w:sz w:val="20"/>
        </w:rPr>
        <w:t>LGBTQ</w:t>
      </w:r>
      <w:r>
        <w:rPr>
          <w:color w:val="4F81BC"/>
          <w:spacing w:val="-4"/>
          <w:sz w:val="20"/>
        </w:rPr>
        <w:t xml:space="preserve"> </w:t>
      </w:r>
      <w:r>
        <w:rPr>
          <w:color w:val="4F81BC"/>
          <w:sz w:val="20"/>
        </w:rPr>
        <w:t>youth</w:t>
      </w:r>
      <w:r>
        <w:rPr>
          <w:color w:val="4F81BC"/>
          <w:spacing w:val="-3"/>
          <w:sz w:val="20"/>
        </w:rPr>
        <w:t xml:space="preserve"> </w:t>
      </w:r>
      <w:r>
        <w:rPr>
          <w:color w:val="4F81BC"/>
          <w:sz w:val="20"/>
        </w:rPr>
        <w:t>to</w:t>
      </w:r>
      <w:r>
        <w:rPr>
          <w:color w:val="4F81BC"/>
          <w:spacing w:val="-4"/>
          <w:sz w:val="20"/>
        </w:rPr>
        <w:t xml:space="preserve"> </w:t>
      </w:r>
      <w:r>
        <w:rPr>
          <w:b/>
          <w:i/>
          <w:color w:val="4F81BC"/>
          <w:spacing w:val="-2"/>
          <w:sz w:val="20"/>
        </w:rPr>
        <w:t>thrive</w:t>
      </w:r>
      <w:r>
        <w:rPr>
          <w:color w:val="4F81BC"/>
          <w:spacing w:val="-2"/>
          <w:sz w:val="20"/>
        </w:rPr>
        <w:t>?</w:t>
      </w:r>
    </w:p>
    <w:p w:rsidR="00200FDA" w:rsidRDefault="00200FDA">
      <w:pPr>
        <w:pStyle w:val="BodyText"/>
        <w:spacing w:before="6"/>
        <w:rPr>
          <w:sz w:val="21"/>
        </w:rPr>
      </w:pPr>
    </w:p>
    <w:p w:rsidR="00200FDA" w:rsidRDefault="00F76C4C">
      <w:pPr>
        <w:pStyle w:val="BodyText"/>
        <w:spacing w:line="264" w:lineRule="auto"/>
        <w:ind w:left="139" w:right="135"/>
        <w:jc w:val="both"/>
      </w:pPr>
      <w:r>
        <w:t>From</w:t>
      </w:r>
      <w:r>
        <w:rPr>
          <w:spacing w:val="-3"/>
        </w:rPr>
        <w:t xml:space="preserve"> </w:t>
      </w:r>
      <w:r>
        <w:t>the</w:t>
      </w:r>
      <w:r>
        <w:rPr>
          <w:spacing w:val="-1"/>
        </w:rPr>
        <w:t xml:space="preserve"> </w:t>
      </w:r>
      <w:r>
        <w:t>wide-angle</w:t>
      </w:r>
      <w:r>
        <w:rPr>
          <w:spacing w:val="-2"/>
        </w:rPr>
        <w:t xml:space="preserve"> </w:t>
      </w:r>
      <w:r>
        <w:t>lens</w:t>
      </w:r>
      <w:r>
        <w:rPr>
          <w:spacing w:val="-4"/>
        </w:rPr>
        <w:t xml:space="preserve"> </w:t>
      </w:r>
      <w:r>
        <w:t>of</w:t>
      </w:r>
      <w:r>
        <w:rPr>
          <w:spacing w:val="-2"/>
        </w:rPr>
        <w:t xml:space="preserve"> </w:t>
      </w:r>
      <w:r>
        <w:t>international</w:t>
      </w:r>
      <w:r>
        <w:rPr>
          <w:spacing w:val="-4"/>
        </w:rPr>
        <w:t xml:space="preserve"> </w:t>
      </w:r>
      <w:r>
        <w:t>comparison,</w:t>
      </w:r>
      <w:r>
        <w:rPr>
          <w:spacing w:val="-4"/>
        </w:rPr>
        <w:t xml:space="preserve"> </w:t>
      </w:r>
      <w:r>
        <w:t>to</w:t>
      </w:r>
      <w:r>
        <w:rPr>
          <w:spacing w:val="-1"/>
        </w:rPr>
        <w:t xml:space="preserve"> </w:t>
      </w:r>
      <w:r>
        <w:t>a</w:t>
      </w:r>
      <w:r>
        <w:rPr>
          <w:spacing w:val="-2"/>
        </w:rPr>
        <w:t xml:space="preserve"> </w:t>
      </w:r>
      <w:r>
        <w:t>snapshot</w:t>
      </w:r>
      <w:r>
        <w:rPr>
          <w:spacing w:val="-4"/>
        </w:rPr>
        <w:t xml:space="preserve"> </w:t>
      </w:r>
      <w:r>
        <w:t>of</w:t>
      </w:r>
      <w:r>
        <w:rPr>
          <w:spacing w:val="-2"/>
        </w:rPr>
        <w:t xml:space="preserve"> </w:t>
      </w:r>
      <w:r>
        <w:t>the</w:t>
      </w:r>
      <w:r>
        <w:rPr>
          <w:spacing w:val="-1"/>
        </w:rPr>
        <w:t xml:space="preserve"> </w:t>
      </w:r>
      <w:r>
        <w:t>current</w:t>
      </w:r>
      <w:r>
        <w:rPr>
          <w:spacing w:val="-1"/>
        </w:rPr>
        <w:t xml:space="preserve"> </w:t>
      </w:r>
      <w:r>
        <w:t>national</w:t>
      </w:r>
      <w:r>
        <w:rPr>
          <w:spacing w:val="-2"/>
        </w:rPr>
        <w:t xml:space="preserve"> </w:t>
      </w:r>
      <w:r>
        <w:t>climate,</w:t>
      </w:r>
      <w:r>
        <w:rPr>
          <w:spacing w:val="-2"/>
        </w:rPr>
        <w:t xml:space="preserve"> </w:t>
      </w:r>
      <w:r>
        <w:t>to</w:t>
      </w:r>
      <w:r>
        <w:rPr>
          <w:spacing w:val="-1"/>
        </w:rPr>
        <w:t xml:space="preserve"> </w:t>
      </w:r>
      <w:r>
        <w:t>a nuanced view of the complexities of youth-serving systems in our state, particularly the child-welfare system, many layers of consideration inform the most promising legislation to support the well-being of LGBTQ young people today.</w:t>
      </w:r>
    </w:p>
    <w:p w:rsidR="00200FDA" w:rsidRDefault="00200FDA">
      <w:pPr>
        <w:pStyle w:val="BodyText"/>
        <w:spacing w:before="7"/>
        <w:rPr>
          <w:sz w:val="19"/>
        </w:rPr>
      </w:pPr>
    </w:p>
    <w:p w:rsidR="00200FDA" w:rsidRDefault="00F76C4C">
      <w:pPr>
        <w:pStyle w:val="BodyText"/>
        <w:spacing w:line="264" w:lineRule="auto"/>
        <w:ind w:left="139" w:right="135"/>
        <w:jc w:val="both"/>
      </w:pPr>
      <w:r>
        <w:t>Although the Commonw</w:t>
      </w:r>
      <w:r>
        <w:t>ealth has made significant strides for LGBTQ youth, we continue to fall short, sometimes with tragic results, in many arenas that affect our</w:t>
      </w:r>
      <w:r>
        <w:rPr>
          <w:spacing w:val="-2"/>
        </w:rPr>
        <w:t xml:space="preserve"> </w:t>
      </w:r>
      <w:r>
        <w:t>young people. Equipped with a clear</w:t>
      </w:r>
      <w:r>
        <w:rPr>
          <w:spacing w:val="-2"/>
        </w:rPr>
        <w:t xml:space="preserve"> </w:t>
      </w:r>
      <w:r>
        <w:t>vision of goals for the well-being of LGBTQ youth, decision-makers can effect m</w:t>
      </w:r>
      <w:r>
        <w:t>eaningful change. Legislative actions that support the well-being of LGBTQ youth in turn support the strength and vitality of our Commonwealth. When all youth thrive, Massachusetts thrives.</w:t>
      </w:r>
    </w:p>
    <w:p w:rsidR="00200FDA" w:rsidRDefault="00200FDA">
      <w:pPr>
        <w:pStyle w:val="BodyText"/>
        <w:spacing w:before="10"/>
        <w:rPr>
          <w:sz w:val="32"/>
        </w:rPr>
      </w:pPr>
    </w:p>
    <w:p w:rsidR="00200FDA" w:rsidRDefault="00F76C4C">
      <w:pPr>
        <w:pStyle w:val="Heading7"/>
        <w:ind w:left="140"/>
        <w:jc w:val="both"/>
      </w:pPr>
      <w:r>
        <w:pict>
          <v:rect id="docshape148" o:spid="_x0000_s1409" style="position:absolute;left:0;text-align:left;margin-left:70.55pt;margin-top:18.15pt;width:470.9pt;height:.5pt;z-index:-15720448;mso-wrap-distance-left:0;mso-wrap-distance-right:0;mso-position-horizontal-relative:page" fillcolor="#4f81bc" stroked="f">
            <w10:wrap type="topAndBottom" anchorx="page"/>
          </v:rect>
        </w:pict>
      </w:r>
      <w:r>
        <w:rPr>
          <w:color w:val="365F91"/>
        </w:rPr>
        <w:t>FY</w:t>
      </w:r>
      <w:r>
        <w:rPr>
          <w:color w:val="365F91"/>
          <w:spacing w:val="-5"/>
        </w:rPr>
        <w:t xml:space="preserve"> </w:t>
      </w:r>
      <w:r>
        <w:rPr>
          <w:color w:val="365F91"/>
        </w:rPr>
        <w:t>2024</w:t>
      </w:r>
      <w:r>
        <w:rPr>
          <w:color w:val="365F91"/>
          <w:spacing w:val="-6"/>
        </w:rPr>
        <w:t xml:space="preserve"> </w:t>
      </w:r>
      <w:r>
        <w:rPr>
          <w:color w:val="365F91"/>
        </w:rPr>
        <w:t>Recommendations</w:t>
      </w:r>
      <w:r>
        <w:rPr>
          <w:color w:val="365F91"/>
          <w:spacing w:val="-4"/>
        </w:rPr>
        <w:t xml:space="preserve"> </w:t>
      </w:r>
      <w:r>
        <w:rPr>
          <w:color w:val="365F91"/>
        </w:rPr>
        <w:t>to</w:t>
      </w:r>
      <w:r>
        <w:rPr>
          <w:color w:val="365F91"/>
          <w:spacing w:val="-5"/>
        </w:rPr>
        <w:t xml:space="preserve"> </w:t>
      </w:r>
      <w:r>
        <w:rPr>
          <w:color w:val="365F91"/>
        </w:rPr>
        <w:t>the</w:t>
      </w:r>
      <w:r>
        <w:rPr>
          <w:color w:val="365F91"/>
          <w:spacing w:val="-5"/>
        </w:rPr>
        <w:t xml:space="preserve"> </w:t>
      </w:r>
      <w:r>
        <w:rPr>
          <w:color w:val="365F91"/>
        </w:rPr>
        <w:t>Governor</w:t>
      </w:r>
      <w:r>
        <w:rPr>
          <w:color w:val="365F91"/>
          <w:spacing w:val="-5"/>
        </w:rPr>
        <w:t xml:space="preserve"> </w:t>
      </w:r>
      <w:r>
        <w:rPr>
          <w:color w:val="365F91"/>
        </w:rPr>
        <w:t>and</w:t>
      </w:r>
      <w:r>
        <w:rPr>
          <w:color w:val="365F91"/>
          <w:spacing w:val="-6"/>
        </w:rPr>
        <w:t xml:space="preserve"> </w:t>
      </w:r>
      <w:r>
        <w:rPr>
          <w:color w:val="365F91"/>
        </w:rPr>
        <w:t>Legislature</w:t>
      </w:r>
      <w:r>
        <w:rPr>
          <w:color w:val="365F91"/>
          <w:spacing w:val="-5"/>
        </w:rPr>
        <w:t xml:space="preserve"> </w:t>
      </w:r>
      <w:r>
        <w:rPr>
          <w:color w:val="365F91"/>
        </w:rPr>
        <w:t>on</w:t>
      </w:r>
      <w:r>
        <w:rPr>
          <w:color w:val="365F91"/>
          <w:spacing w:val="-6"/>
        </w:rPr>
        <w:t xml:space="preserve"> </w:t>
      </w:r>
      <w:r>
        <w:rPr>
          <w:color w:val="365F91"/>
        </w:rPr>
        <w:t>Child</w:t>
      </w:r>
      <w:r>
        <w:rPr>
          <w:color w:val="365F91"/>
          <w:spacing w:val="-6"/>
        </w:rPr>
        <w:t xml:space="preserve"> </w:t>
      </w:r>
      <w:r>
        <w:rPr>
          <w:color w:val="365F91"/>
          <w:spacing w:val="-2"/>
        </w:rPr>
        <w:t>Welfare</w:t>
      </w:r>
    </w:p>
    <w:p w:rsidR="00200FDA" w:rsidRDefault="00200FDA">
      <w:pPr>
        <w:pStyle w:val="BodyText"/>
        <w:rPr>
          <w:sz w:val="20"/>
        </w:rPr>
      </w:pPr>
    </w:p>
    <w:p w:rsidR="00200FDA" w:rsidRDefault="00200FDA">
      <w:pPr>
        <w:pStyle w:val="BodyText"/>
        <w:spacing w:before="2"/>
        <w:rPr>
          <w:sz w:val="19"/>
        </w:rPr>
      </w:pPr>
    </w:p>
    <w:p w:rsidR="00200FDA" w:rsidRDefault="00F76C4C">
      <w:pPr>
        <w:pStyle w:val="Heading9"/>
        <w:numPr>
          <w:ilvl w:val="0"/>
          <w:numId w:val="36"/>
        </w:numPr>
        <w:tabs>
          <w:tab w:val="left" w:pos="385"/>
        </w:tabs>
        <w:spacing w:before="56" w:line="264" w:lineRule="auto"/>
        <w:ind w:right="133" w:firstLine="0"/>
      </w:pPr>
      <w:r>
        <w:t>Introduce the legislation needed to bring Massachusetts up to minimum standards of the United</w:t>
      </w:r>
      <w:r>
        <w:rPr>
          <w:spacing w:val="80"/>
        </w:rPr>
        <w:t xml:space="preserve"> </w:t>
      </w:r>
      <w:r>
        <w:t>Nations Convention on the Rights of the Child.</w:t>
      </w:r>
    </w:p>
    <w:p w:rsidR="00200FDA" w:rsidRDefault="00200FDA">
      <w:pPr>
        <w:pStyle w:val="BodyText"/>
        <w:spacing w:before="8"/>
        <w:rPr>
          <w:b/>
          <w:sz w:val="19"/>
        </w:rPr>
      </w:pPr>
    </w:p>
    <w:p w:rsidR="00200FDA" w:rsidRDefault="00F76C4C">
      <w:pPr>
        <w:pStyle w:val="BodyText"/>
        <w:spacing w:line="264" w:lineRule="auto"/>
        <w:ind w:left="139" w:right="133"/>
        <w:jc w:val="both"/>
      </w:pPr>
      <w:r>
        <w:t>As discussed further below, the United States remains the only United Nations member state that has failed to ratify the most-ratified human rights treaty in world history: The United Nations Convention on the Rights of the Child (CRC).</w:t>
      </w:r>
      <w:r>
        <w:rPr>
          <w:spacing w:val="-3"/>
        </w:rPr>
        <w:t xml:space="preserve"> </w:t>
      </w:r>
      <w:hyperlink w:anchor="_bookmark6" w:history="1">
        <w:r>
          <w:rPr>
            <w:vertAlign w:val="superscript"/>
          </w:rPr>
          <w:t>1</w:t>
        </w:r>
      </w:hyperlink>
      <w:r>
        <w:t xml:space="preserve"> In a 2022 Human Rights Watch evaluation of all 50 U.S. states, Massachusetts</w:t>
      </w:r>
      <w:r>
        <w:rPr>
          <w:spacing w:val="-6"/>
        </w:rPr>
        <w:t xml:space="preserve"> </w:t>
      </w:r>
      <w:r>
        <w:t>-</w:t>
      </w:r>
      <w:r>
        <w:rPr>
          <w:spacing w:val="-6"/>
        </w:rPr>
        <w:t xml:space="preserve"> </w:t>
      </w:r>
      <w:r>
        <w:t>like</w:t>
      </w:r>
      <w:r>
        <w:rPr>
          <w:spacing w:val="-7"/>
        </w:rPr>
        <w:t xml:space="preserve"> </w:t>
      </w:r>
      <w:r>
        <w:t>most</w:t>
      </w:r>
      <w:r>
        <w:rPr>
          <w:spacing w:val="-7"/>
        </w:rPr>
        <w:t xml:space="preserve"> </w:t>
      </w:r>
      <w:r>
        <w:t>other</w:t>
      </w:r>
      <w:r>
        <w:rPr>
          <w:spacing w:val="-6"/>
        </w:rPr>
        <w:t xml:space="preserve"> </w:t>
      </w:r>
      <w:r>
        <w:t>states</w:t>
      </w:r>
      <w:r>
        <w:rPr>
          <w:spacing w:val="-6"/>
        </w:rPr>
        <w:t xml:space="preserve"> </w:t>
      </w:r>
      <w:r>
        <w:t>-</w:t>
      </w:r>
      <w:r>
        <w:rPr>
          <w:spacing w:val="-6"/>
        </w:rPr>
        <w:t xml:space="preserve"> </w:t>
      </w:r>
      <w:r>
        <w:t>earned</w:t>
      </w:r>
      <w:r>
        <w:rPr>
          <w:spacing w:val="-6"/>
        </w:rPr>
        <w:t xml:space="preserve"> </w:t>
      </w:r>
      <w:r>
        <w:t>a</w:t>
      </w:r>
      <w:r>
        <w:rPr>
          <w:spacing w:val="-6"/>
        </w:rPr>
        <w:t xml:space="preserve"> </w:t>
      </w:r>
      <w:r>
        <w:t>‘D’</w:t>
      </w:r>
      <w:r>
        <w:rPr>
          <w:spacing w:val="-5"/>
        </w:rPr>
        <w:t xml:space="preserve"> </w:t>
      </w:r>
      <w:r>
        <w:t>in</w:t>
      </w:r>
      <w:r>
        <w:rPr>
          <w:spacing w:val="-9"/>
        </w:rPr>
        <w:t xml:space="preserve"> </w:t>
      </w:r>
      <w:r>
        <w:t>its</w:t>
      </w:r>
      <w:r>
        <w:rPr>
          <w:spacing w:val="-6"/>
        </w:rPr>
        <w:t xml:space="preserve"> </w:t>
      </w:r>
      <w:r>
        <w:t>protections</w:t>
      </w:r>
      <w:r>
        <w:rPr>
          <w:spacing w:val="-6"/>
        </w:rPr>
        <w:t xml:space="preserve"> </w:t>
      </w:r>
      <w:r>
        <w:t>for</w:t>
      </w:r>
      <w:r>
        <w:rPr>
          <w:spacing w:val="-6"/>
        </w:rPr>
        <w:t xml:space="preserve"> </w:t>
      </w:r>
      <w:r>
        <w:t>youth</w:t>
      </w:r>
      <w:r>
        <w:rPr>
          <w:spacing w:val="-6"/>
        </w:rPr>
        <w:t xml:space="preserve"> </w:t>
      </w:r>
      <w:r>
        <w:t>in</w:t>
      </w:r>
      <w:r>
        <w:rPr>
          <w:spacing w:val="-9"/>
        </w:rPr>
        <w:t xml:space="preserve"> </w:t>
      </w:r>
      <w:r>
        <w:t>the</w:t>
      </w:r>
      <w:r>
        <w:rPr>
          <w:spacing w:val="-5"/>
        </w:rPr>
        <w:t xml:space="preserve"> </w:t>
      </w:r>
      <w:r>
        <w:t>Commonwealth.</w:t>
      </w:r>
      <w:r>
        <w:rPr>
          <w:spacing w:val="-6"/>
        </w:rPr>
        <w:t xml:space="preserve"> </w:t>
      </w:r>
      <w:r>
        <w:t>In order to bring Massachusetts up to the minimum standards of the conventio</w:t>
      </w:r>
      <w:r>
        <w:t>n, the Commission recommends that the state abolish corporal punishment in all settings, including private schools, alternative care settings, and penal settings; and increase the minimum age of juvenile jurisdiction from 12 to 14.</w:t>
      </w:r>
    </w:p>
    <w:p w:rsidR="00200FDA" w:rsidRDefault="00200FDA">
      <w:pPr>
        <w:pStyle w:val="BodyText"/>
        <w:spacing w:before="8"/>
        <w:rPr>
          <w:sz w:val="19"/>
        </w:rPr>
      </w:pPr>
    </w:p>
    <w:p w:rsidR="00200FDA" w:rsidRDefault="00F76C4C">
      <w:pPr>
        <w:pStyle w:val="Heading9"/>
        <w:numPr>
          <w:ilvl w:val="0"/>
          <w:numId w:val="36"/>
        </w:numPr>
        <w:tabs>
          <w:tab w:val="left" w:pos="361"/>
        </w:tabs>
        <w:spacing w:before="1"/>
        <w:ind w:left="360" w:hanging="221"/>
      </w:pPr>
      <w:r>
        <w:t>Create</w:t>
      </w:r>
      <w:r>
        <w:rPr>
          <w:spacing w:val="-5"/>
        </w:rPr>
        <w:t xml:space="preserve"> </w:t>
      </w:r>
      <w:r>
        <w:t>a</w:t>
      </w:r>
      <w:r>
        <w:rPr>
          <w:spacing w:val="-5"/>
        </w:rPr>
        <w:t xml:space="preserve"> </w:t>
      </w:r>
      <w:r>
        <w:t>program</w:t>
      </w:r>
      <w:r>
        <w:rPr>
          <w:spacing w:val="-5"/>
        </w:rPr>
        <w:t xml:space="preserve"> </w:t>
      </w:r>
      <w:r>
        <w:t>for</w:t>
      </w:r>
      <w:r>
        <w:rPr>
          <w:spacing w:val="-3"/>
        </w:rPr>
        <w:t xml:space="preserve"> </w:t>
      </w:r>
      <w:r>
        <w:t>un</w:t>
      </w:r>
      <w:r>
        <w:t>iversal</w:t>
      </w:r>
      <w:r>
        <w:rPr>
          <w:spacing w:val="-3"/>
        </w:rPr>
        <w:t xml:space="preserve"> </w:t>
      </w:r>
      <w:r>
        <w:t>basic</w:t>
      </w:r>
      <w:r>
        <w:rPr>
          <w:spacing w:val="-5"/>
        </w:rPr>
        <w:t xml:space="preserve"> </w:t>
      </w:r>
      <w:r>
        <w:t>income</w:t>
      </w:r>
      <w:r>
        <w:rPr>
          <w:spacing w:val="-5"/>
        </w:rPr>
        <w:t xml:space="preserve"> </w:t>
      </w:r>
      <w:r>
        <w:t>for</w:t>
      </w:r>
      <w:r>
        <w:rPr>
          <w:spacing w:val="-2"/>
        </w:rPr>
        <w:t xml:space="preserve"> </w:t>
      </w:r>
      <w:r>
        <w:t>foster</w:t>
      </w:r>
      <w:r>
        <w:rPr>
          <w:spacing w:val="-6"/>
        </w:rPr>
        <w:t xml:space="preserve"> </w:t>
      </w:r>
      <w:r>
        <w:t>care</w:t>
      </w:r>
      <w:r>
        <w:rPr>
          <w:spacing w:val="-6"/>
        </w:rPr>
        <w:t xml:space="preserve"> </w:t>
      </w:r>
      <w:r>
        <w:rPr>
          <w:spacing w:val="-2"/>
        </w:rPr>
        <w:t>youth.</w:t>
      </w:r>
    </w:p>
    <w:p w:rsidR="00200FDA" w:rsidRDefault="00200FDA">
      <w:pPr>
        <w:pStyle w:val="BodyText"/>
        <w:spacing w:before="8"/>
        <w:rPr>
          <w:b/>
          <w:sz w:val="19"/>
        </w:rPr>
      </w:pPr>
    </w:p>
    <w:p w:rsidR="00200FDA" w:rsidRDefault="00F76C4C">
      <w:pPr>
        <w:ind w:left="140" w:right="134"/>
        <w:jc w:val="both"/>
      </w:pPr>
      <w:r>
        <w:t xml:space="preserve">The Commission recommends that the legislature pass </w:t>
      </w:r>
      <w:r>
        <w:rPr>
          <w:i/>
        </w:rPr>
        <w:t xml:space="preserve">An Act providing for a universal basic income for youth aging out of foster care </w:t>
      </w:r>
      <w:r>
        <w:t>(</w:t>
      </w:r>
      <w:hyperlink r:id="rId57">
        <w:r>
          <w:rPr>
            <w:b/>
            <w:color w:val="0000FF"/>
            <w:u w:val="single" w:color="0000FF"/>
          </w:rPr>
          <w:t>S.114</w:t>
        </w:r>
      </w:hyperlink>
      <w:r>
        <w:t>), which would provide youth transitioning out of foster care with a</w:t>
      </w:r>
    </w:p>
    <w:p w:rsidR="00200FDA" w:rsidRDefault="00200FDA">
      <w:pPr>
        <w:jc w:val="both"/>
        <w:sectPr w:rsidR="00200FDA">
          <w:headerReference w:type="default" r:id="rId58"/>
          <w:footerReference w:type="default" r:id="rId59"/>
          <w:pgSz w:w="12240" w:h="15840"/>
          <w:pgMar w:top="1360" w:right="1300" w:bottom="1240" w:left="1300" w:header="761" w:footer="1043" w:gutter="0"/>
          <w:cols w:space="720"/>
        </w:sectPr>
      </w:pPr>
    </w:p>
    <w:p w:rsidR="00200FDA" w:rsidRDefault="00F76C4C">
      <w:pPr>
        <w:pStyle w:val="BodyText"/>
        <w:spacing w:before="64"/>
        <w:ind w:left="140" w:right="135"/>
        <w:jc w:val="both"/>
      </w:pPr>
      <w:r>
        <w:lastRenderedPageBreak/>
        <w:t>$1,000 per month cash stipend for 5 years. Youth transitioning out of the foster care system face significant</w:t>
      </w:r>
      <w:r>
        <w:rPr>
          <w:spacing w:val="-2"/>
        </w:rPr>
        <w:t xml:space="preserve"> </w:t>
      </w:r>
      <w:r>
        <w:t>challenges</w:t>
      </w:r>
      <w:r>
        <w:rPr>
          <w:spacing w:val="-3"/>
        </w:rPr>
        <w:t xml:space="preserve"> </w:t>
      </w:r>
      <w:r>
        <w:t>in</w:t>
      </w:r>
      <w:r>
        <w:rPr>
          <w:spacing w:val="-3"/>
        </w:rPr>
        <w:t xml:space="preserve"> </w:t>
      </w:r>
      <w:r>
        <w:t>finding</w:t>
      </w:r>
      <w:r>
        <w:rPr>
          <w:spacing w:val="-3"/>
        </w:rPr>
        <w:t xml:space="preserve"> </w:t>
      </w:r>
      <w:r>
        <w:t>stability,</w:t>
      </w:r>
      <w:r>
        <w:rPr>
          <w:spacing w:val="-3"/>
        </w:rPr>
        <w:t xml:space="preserve"> </w:t>
      </w:r>
      <w:r>
        <w:t>as</w:t>
      </w:r>
      <w:r>
        <w:rPr>
          <w:spacing w:val="-4"/>
        </w:rPr>
        <w:t xml:space="preserve"> </w:t>
      </w:r>
      <w:r>
        <w:t>discussed</w:t>
      </w:r>
      <w:r>
        <w:rPr>
          <w:spacing w:val="-3"/>
        </w:rPr>
        <w:t xml:space="preserve"> </w:t>
      </w:r>
      <w:r>
        <w:t>in</w:t>
      </w:r>
      <w:r>
        <w:rPr>
          <w:spacing w:val="-3"/>
        </w:rPr>
        <w:t xml:space="preserve"> </w:t>
      </w:r>
      <w:r>
        <w:t>this</w:t>
      </w:r>
      <w:r>
        <w:rPr>
          <w:spacing w:val="-3"/>
        </w:rPr>
        <w:t xml:space="preserve"> </w:t>
      </w:r>
      <w:r>
        <w:t>section</w:t>
      </w:r>
      <w:r>
        <w:rPr>
          <w:spacing w:val="-3"/>
        </w:rPr>
        <w:t xml:space="preserve"> </w:t>
      </w:r>
      <w:r>
        <w:t>and</w:t>
      </w:r>
      <w:r>
        <w:rPr>
          <w:spacing w:val="-3"/>
        </w:rPr>
        <w:t xml:space="preserve"> </w:t>
      </w:r>
      <w:r>
        <w:t>subsequent</w:t>
      </w:r>
      <w:r>
        <w:rPr>
          <w:spacing w:val="-2"/>
        </w:rPr>
        <w:t xml:space="preserve"> </w:t>
      </w:r>
      <w:r>
        <w:t>sections</w:t>
      </w:r>
      <w:r>
        <w:rPr>
          <w:spacing w:val="-4"/>
        </w:rPr>
        <w:t xml:space="preserve"> </w:t>
      </w:r>
      <w:r>
        <w:t>throughout this</w:t>
      </w:r>
      <w:r>
        <w:rPr>
          <w:spacing w:val="-9"/>
        </w:rPr>
        <w:t xml:space="preserve"> </w:t>
      </w:r>
      <w:r>
        <w:t>annual</w:t>
      </w:r>
      <w:r>
        <w:rPr>
          <w:spacing w:val="-9"/>
        </w:rPr>
        <w:t xml:space="preserve"> </w:t>
      </w:r>
      <w:r>
        <w:t>report.</w:t>
      </w:r>
      <w:r>
        <w:rPr>
          <w:spacing w:val="-9"/>
        </w:rPr>
        <w:t xml:space="preserve"> </w:t>
      </w:r>
      <w:r>
        <w:t>By</w:t>
      </w:r>
      <w:r>
        <w:rPr>
          <w:spacing w:val="-11"/>
        </w:rPr>
        <w:t xml:space="preserve"> </w:t>
      </w:r>
      <w:r>
        <w:t>establishing</w:t>
      </w:r>
      <w:r>
        <w:rPr>
          <w:spacing w:val="-10"/>
        </w:rPr>
        <w:t xml:space="preserve"> </w:t>
      </w:r>
      <w:r>
        <w:t>a</w:t>
      </w:r>
      <w:r>
        <w:rPr>
          <w:spacing w:val="-9"/>
        </w:rPr>
        <w:t xml:space="preserve"> </w:t>
      </w:r>
      <w:r>
        <w:t>universal</w:t>
      </w:r>
      <w:r>
        <w:rPr>
          <w:spacing w:val="-12"/>
        </w:rPr>
        <w:t xml:space="preserve"> </w:t>
      </w:r>
      <w:r>
        <w:t>basic</w:t>
      </w:r>
      <w:r>
        <w:rPr>
          <w:spacing w:val="-9"/>
        </w:rPr>
        <w:t xml:space="preserve"> </w:t>
      </w:r>
      <w:r>
        <w:t>income</w:t>
      </w:r>
      <w:r>
        <w:rPr>
          <w:spacing w:val="-8"/>
        </w:rPr>
        <w:t xml:space="preserve"> </w:t>
      </w:r>
      <w:r>
        <w:t>(UBI)</w:t>
      </w:r>
      <w:r>
        <w:rPr>
          <w:spacing w:val="-9"/>
        </w:rPr>
        <w:t xml:space="preserve"> </w:t>
      </w:r>
      <w:r>
        <w:t>for</w:t>
      </w:r>
      <w:r>
        <w:rPr>
          <w:spacing w:val="-11"/>
        </w:rPr>
        <w:t xml:space="preserve"> </w:t>
      </w:r>
      <w:r>
        <w:t>youth</w:t>
      </w:r>
      <w:r>
        <w:rPr>
          <w:spacing w:val="-10"/>
        </w:rPr>
        <w:t xml:space="preserve"> </w:t>
      </w:r>
      <w:r>
        <w:t>transitioning</w:t>
      </w:r>
      <w:r>
        <w:rPr>
          <w:spacing w:val="-10"/>
        </w:rPr>
        <w:t xml:space="preserve"> </w:t>
      </w:r>
      <w:r>
        <w:t>out</w:t>
      </w:r>
      <w:r>
        <w:rPr>
          <w:spacing w:val="-11"/>
        </w:rPr>
        <w:t xml:space="preserve"> </w:t>
      </w:r>
      <w:r>
        <w:t>of</w:t>
      </w:r>
      <w:r>
        <w:rPr>
          <w:spacing w:val="-12"/>
        </w:rPr>
        <w:t xml:space="preserve"> </w:t>
      </w:r>
      <w:r>
        <w:t>foster</w:t>
      </w:r>
      <w:r>
        <w:rPr>
          <w:spacing w:val="-12"/>
        </w:rPr>
        <w:t xml:space="preserve"> </w:t>
      </w:r>
      <w:r>
        <w:t>care, as being piloted in California,</w:t>
      </w:r>
      <w:r>
        <w:rPr>
          <w:spacing w:val="-13"/>
        </w:rPr>
        <w:t xml:space="preserve"> </w:t>
      </w:r>
      <w:hyperlink w:anchor="_bookmark7" w:history="1">
        <w:r>
          <w:rPr>
            <w:vertAlign w:val="superscript"/>
          </w:rPr>
          <w:t>2</w:t>
        </w:r>
      </w:hyperlink>
      <w:r>
        <w:t xml:space="preserve"> the state can help mitigate risk factors such as housing instability or involvement in the criminal legal system. The Commission advises policymakers and administrators to ensure that - should this program become a reality - there is a clear plan on how </w:t>
      </w:r>
      <w:r>
        <w:t>to directly transfer the cash assistance and make youth aware of the existence of the program.</w:t>
      </w:r>
      <w:hyperlink w:anchor="_bookmark8" w:history="1">
        <w:r>
          <w:rPr>
            <w:vertAlign w:val="superscript"/>
          </w:rPr>
          <w:t>3</w:t>
        </w:r>
      </w:hyperlink>
    </w:p>
    <w:p w:rsidR="00200FDA" w:rsidRDefault="00200FDA">
      <w:pPr>
        <w:pStyle w:val="BodyText"/>
        <w:spacing w:before="7"/>
        <w:rPr>
          <w:sz w:val="19"/>
        </w:rPr>
      </w:pPr>
    </w:p>
    <w:p w:rsidR="00200FDA" w:rsidRDefault="00F76C4C">
      <w:pPr>
        <w:pStyle w:val="Heading9"/>
        <w:numPr>
          <w:ilvl w:val="0"/>
          <w:numId w:val="36"/>
        </w:numPr>
        <w:tabs>
          <w:tab w:val="left" w:pos="361"/>
        </w:tabs>
        <w:ind w:left="360" w:hanging="221"/>
      </w:pPr>
      <w:r>
        <w:t>Establish</w:t>
      </w:r>
      <w:r>
        <w:rPr>
          <w:spacing w:val="-5"/>
        </w:rPr>
        <w:t xml:space="preserve"> </w:t>
      </w:r>
      <w:r>
        <w:t>an</w:t>
      </w:r>
      <w:r>
        <w:rPr>
          <w:spacing w:val="-6"/>
        </w:rPr>
        <w:t xml:space="preserve"> </w:t>
      </w:r>
      <w:r>
        <w:t>independent</w:t>
      </w:r>
      <w:r>
        <w:rPr>
          <w:spacing w:val="-3"/>
        </w:rPr>
        <w:t xml:space="preserve"> </w:t>
      </w:r>
      <w:r>
        <w:t>foster</w:t>
      </w:r>
      <w:r>
        <w:rPr>
          <w:spacing w:val="-6"/>
        </w:rPr>
        <w:t xml:space="preserve"> </w:t>
      </w:r>
      <w:r>
        <w:t>care</w:t>
      </w:r>
      <w:r>
        <w:rPr>
          <w:spacing w:val="-6"/>
        </w:rPr>
        <w:t xml:space="preserve"> </w:t>
      </w:r>
      <w:r>
        <w:t>review</w:t>
      </w:r>
      <w:r>
        <w:rPr>
          <w:spacing w:val="-2"/>
        </w:rPr>
        <w:t xml:space="preserve"> office.</w:t>
      </w:r>
    </w:p>
    <w:p w:rsidR="00200FDA" w:rsidRDefault="00200FDA">
      <w:pPr>
        <w:pStyle w:val="BodyText"/>
        <w:spacing w:before="8"/>
        <w:rPr>
          <w:b/>
          <w:sz w:val="19"/>
        </w:rPr>
      </w:pPr>
    </w:p>
    <w:p w:rsidR="00200FDA" w:rsidRDefault="00F76C4C">
      <w:pPr>
        <w:pStyle w:val="BodyText"/>
        <w:spacing w:before="1"/>
        <w:ind w:left="140" w:right="136"/>
        <w:jc w:val="both"/>
      </w:pPr>
      <w:r>
        <w:t>The Commission</w:t>
      </w:r>
      <w:r>
        <w:rPr>
          <w:spacing w:val="-3"/>
        </w:rPr>
        <w:t xml:space="preserve"> </w:t>
      </w:r>
      <w:r>
        <w:t>supports</w:t>
      </w:r>
      <w:r>
        <w:rPr>
          <w:spacing w:val="-4"/>
        </w:rPr>
        <w:t xml:space="preserve"> </w:t>
      </w:r>
      <w:r>
        <w:t>and prioritizes</w:t>
      </w:r>
      <w:r>
        <w:rPr>
          <w:spacing w:val="-2"/>
        </w:rPr>
        <w:t xml:space="preserve"> </w:t>
      </w:r>
      <w:r>
        <w:t>the</w:t>
      </w:r>
      <w:r>
        <w:rPr>
          <w:spacing w:val="-1"/>
        </w:rPr>
        <w:t xml:space="preserve"> </w:t>
      </w:r>
      <w:r>
        <w:t>creation</w:t>
      </w:r>
      <w:r>
        <w:rPr>
          <w:spacing w:val="-3"/>
        </w:rPr>
        <w:t xml:space="preserve"> </w:t>
      </w:r>
      <w:r>
        <w:t>of</w:t>
      </w:r>
      <w:r>
        <w:rPr>
          <w:spacing w:val="-2"/>
        </w:rPr>
        <w:t xml:space="preserve"> </w:t>
      </w:r>
      <w:r>
        <w:t>an</w:t>
      </w:r>
      <w:r>
        <w:rPr>
          <w:spacing w:val="-3"/>
        </w:rPr>
        <w:t xml:space="preserve"> </w:t>
      </w:r>
      <w:r>
        <w:t>independent</w:t>
      </w:r>
      <w:r>
        <w:rPr>
          <w:spacing w:val="-1"/>
        </w:rPr>
        <w:t xml:space="preserve"> </w:t>
      </w:r>
      <w:r>
        <w:t>foster</w:t>
      </w:r>
      <w:r>
        <w:rPr>
          <w:spacing w:val="-2"/>
        </w:rPr>
        <w:t xml:space="preserve"> </w:t>
      </w:r>
      <w:r>
        <w:t>care review</w:t>
      </w:r>
      <w:r>
        <w:rPr>
          <w:spacing w:val="-1"/>
        </w:rPr>
        <w:t xml:space="preserve"> </w:t>
      </w:r>
      <w:r>
        <w:t>office</w:t>
      </w:r>
      <w:r>
        <w:rPr>
          <w:spacing w:val="-1"/>
        </w:rPr>
        <w:t xml:space="preserve"> </w:t>
      </w:r>
      <w:r>
        <w:rPr>
          <w:b/>
        </w:rPr>
        <w:t>(</w:t>
      </w:r>
      <w:hyperlink r:id="rId60">
        <w:r>
          <w:rPr>
            <w:b/>
            <w:color w:val="1154CC"/>
            <w:u w:val="single" w:color="1154CC"/>
          </w:rPr>
          <w:t>S.66</w:t>
        </w:r>
      </w:hyperlink>
      <w:r>
        <w:rPr>
          <w:b/>
          <w:color w:val="1154CC"/>
          <w:spacing w:val="-3"/>
        </w:rPr>
        <w:t xml:space="preserve"> </w:t>
      </w:r>
      <w:r>
        <w:rPr>
          <w:b/>
        </w:rPr>
        <w:t xml:space="preserve">/ </w:t>
      </w:r>
      <w:hyperlink r:id="rId61">
        <w:r>
          <w:rPr>
            <w:b/>
            <w:color w:val="1154CC"/>
            <w:u w:val="single" w:color="1154CC"/>
          </w:rPr>
          <w:t>H.158</w:t>
        </w:r>
      </w:hyperlink>
      <w:r>
        <w:rPr>
          <w:b/>
        </w:rPr>
        <w:t xml:space="preserve">) </w:t>
      </w:r>
      <w:r>
        <w:t>outside of the Department of Children &amp; Families to ensure that all cases are appropriately re</w:t>
      </w:r>
      <w:r>
        <w:t>ceiving impartial reviews. Currently, state law requires that a review of all DCF cases takes place every six months to ensure that every child is receiving appropriate care and services.</w:t>
      </w:r>
      <w:r>
        <w:rPr>
          <w:spacing w:val="-2"/>
        </w:rPr>
        <w:t xml:space="preserve"> </w:t>
      </w:r>
      <w:r>
        <w:t>However, these reviews take</w:t>
      </w:r>
      <w:r>
        <w:rPr>
          <w:spacing w:val="-5"/>
        </w:rPr>
        <w:t xml:space="preserve"> </w:t>
      </w:r>
      <w:r>
        <w:t>place</w:t>
      </w:r>
      <w:r>
        <w:rPr>
          <w:spacing w:val="-5"/>
        </w:rPr>
        <w:t xml:space="preserve"> </w:t>
      </w:r>
      <w:r>
        <w:t>within</w:t>
      </w:r>
      <w:r>
        <w:rPr>
          <w:spacing w:val="-6"/>
        </w:rPr>
        <w:t xml:space="preserve"> </w:t>
      </w:r>
      <w:r>
        <w:t>DCF,</w:t>
      </w:r>
      <w:r>
        <w:rPr>
          <w:spacing w:val="-5"/>
        </w:rPr>
        <w:t xml:space="preserve"> </w:t>
      </w:r>
      <w:r>
        <w:t>leaving</w:t>
      </w:r>
      <w:r>
        <w:rPr>
          <w:spacing w:val="-6"/>
        </w:rPr>
        <w:t xml:space="preserve"> </w:t>
      </w:r>
      <w:r>
        <w:t>advocates</w:t>
      </w:r>
      <w:r>
        <w:rPr>
          <w:spacing w:val="-5"/>
        </w:rPr>
        <w:t xml:space="preserve"> </w:t>
      </w:r>
      <w:r>
        <w:t>to</w:t>
      </w:r>
      <w:r>
        <w:rPr>
          <w:spacing w:val="-4"/>
        </w:rPr>
        <w:t xml:space="preserve"> </w:t>
      </w:r>
      <w:r>
        <w:t>c</w:t>
      </w:r>
      <w:r>
        <w:t>ontinuously</w:t>
      </w:r>
      <w:r>
        <w:rPr>
          <w:spacing w:val="-5"/>
        </w:rPr>
        <w:t xml:space="preserve"> </w:t>
      </w:r>
      <w:r>
        <w:t>raise</w:t>
      </w:r>
      <w:r>
        <w:rPr>
          <w:spacing w:val="-5"/>
        </w:rPr>
        <w:t xml:space="preserve"> </w:t>
      </w:r>
      <w:r>
        <w:t>tremendous</w:t>
      </w:r>
      <w:r>
        <w:rPr>
          <w:spacing w:val="-5"/>
        </w:rPr>
        <w:t xml:space="preserve"> </w:t>
      </w:r>
      <w:r>
        <w:t>concerns</w:t>
      </w:r>
      <w:r>
        <w:rPr>
          <w:spacing w:val="-5"/>
        </w:rPr>
        <w:t xml:space="preserve"> </w:t>
      </w:r>
      <w:r>
        <w:t>over</w:t>
      </w:r>
      <w:r>
        <w:rPr>
          <w:spacing w:val="-5"/>
        </w:rPr>
        <w:t xml:space="preserve"> </w:t>
      </w:r>
      <w:r>
        <w:t>the</w:t>
      </w:r>
      <w:r>
        <w:rPr>
          <w:spacing w:val="-5"/>
        </w:rPr>
        <w:t xml:space="preserve"> </w:t>
      </w:r>
      <w:r>
        <w:t>quality</w:t>
      </w:r>
      <w:r>
        <w:rPr>
          <w:spacing w:val="-4"/>
        </w:rPr>
        <w:t xml:space="preserve"> </w:t>
      </w:r>
      <w:r>
        <w:t>and consistency of the review process.</w:t>
      </w:r>
    </w:p>
    <w:p w:rsidR="00200FDA" w:rsidRDefault="00200FDA">
      <w:pPr>
        <w:pStyle w:val="BodyText"/>
        <w:spacing w:before="6"/>
        <w:rPr>
          <w:sz w:val="19"/>
        </w:rPr>
      </w:pPr>
    </w:p>
    <w:p w:rsidR="00200FDA" w:rsidRDefault="00F76C4C">
      <w:pPr>
        <w:pStyle w:val="Heading9"/>
        <w:numPr>
          <w:ilvl w:val="0"/>
          <w:numId w:val="36"/>
        </w:numPr>
        <w:tabs>
          <w:tab w:val="left" w:pos="361"/>
        </w:tabs>
        <w:spacing w:before="1"/>
        <w:ind w:left="360" w:hanging="221"/>
      </w:pPr>
      <w:r>
        <w:t>Codify</w:t>
      </w:r>
      <w:r>
        <w:rPr>
          <w:spacing w:val="-4"/>
        </w:rPr>
        <w:t xml:space="preserve"> </w:t>
      </w:r>
      <w:r>
        <w:t>the</w:t>
      </w:r>
      <w:r>
        <w:rPr>
          <w:spacing w:val="-3"/>
        </w:rPr>
        <w:t xml:space="preserve"> </w:t>
      </w:r>
      <w:r>
        <w:t>foster</w:t>
      </w:r>
      <w:r>
        <w:rPr>
          <w:spacing w:val="-5"/>
        </w:rPr>
        <w:t xml:space="preserve"> </w:t>
      </w:r>
      <w:r>
        <w:t>child</w:t>
      </w:r>
      <w:r>
        <w:rPr>
          <w:spacing w:val="-3"/>
        </w:rPr>
        <w:t xml:space="preserve"> </w:t>
      </w:r>
      <w:r>
        <w:t>bill</w:t>
      </w:r>
      <w:r>
        <w:rPr>
          <w:spacing w:val="-2"/>
        </w:rPr>
        <w:t xml:space="preserve"> </w:t>
      </w:r>
      <w:r>
        <w:t>of</w:t>
      </w:r>
      <w:r>
        <w:rPr>
          <w:spacing w:val="-4"/>
        </w:rPr>
        <w:t xml:space="preserve"> </w:t>
      </w:r>
      <w:r>
        <w:t>rights</w:t>
      </w:r>
      <w:r>
        <w:rPr>
          <w:spacing w:val="-5"/>
        </w:rPr>
        <w:t xml:space="preserve"> </w:t>
      </w:r>
      <w:r>
        <w:t>in</w:t>
      </w:r>
      <w:r>
        <w:rPr>
          <w:spacing w:val="-3"/>
        </w:rPr>
        <w:t xml:space="preserve"> </w:t>
      </w:r>
      <w:r>
        <w:t>state</w:t>
      </w:r>
      <w:r>
        <w:rPr>
          <w:spacing w:val="-3"/>
        </w:rPr>
        <w:t xml:space="preserve"> </w:t>
      </w:r>
      <w:r>
        <w:rPr>
          <w:spacing w:val="-4"/>
        </w:rPr>
        <w:t>law.</w:t>
      </w:r>
    </w:p>
    <w:p w:rsidR="00200FDA" w:rsidRDefault="00200FDA">
      <w:pPr>
        <w:pStyle w:val="BodyText"/>
        <w:spacing w:before="8"/>
        <w:rPr>
          <w:b/>
          <w:sz w:val="19"/>
        </w:rPr>
      </w:pPr>
    </w:p>
    <w:p w:rsidR="00200FDA" w:rsidRDefault="00F76C4C">
      <w:pPr>
        <w:pStyle w:val="BodyText"/>
        <w:ind w:left="140" w:right="133"/>
        <w:jc w:val="both"/>
      </w:pPr>
      <w:r>
        <w:t>The</w:t>
      </w:r>
      <w:r>
        <w:rPr>
          <w:spacing w:val="-6"/>
        </w:rPr>
        <w:t xml:space="preserve"> </w:t>
      </w:r>
      <w:r>
        <w:t>Commission</w:t>
      </w:r>
      <w:r>
        <w:rPr>
          <w:spacing w:val="-9"/>
        </w:rPr>
        <w:t xml:space="preserve"> </w:t>
      </w:r>
      <w:r>
        <w:t>was</w:t>
      </w:r>
      <w:r>
        <w:rPr>
          <w:spacing w:val="-7"/>
        </w:rPr>
        <w:t xml:space="preserve"> </w:t>
      </w:r>
      <w:r>
        <w:t>pleased</w:t>
      </w:r>
      <w:r>
        <w:rPr>
          <w:spacing w:val="-7"/>
        </w:rPr>
        <w:t xml:space="preserve"> </w:t>
      </w:r>
      <w:r>
        <w:t>to</w:t>
      </w:r>
      <w:r>
        <w:rPr>
          <w:spacing w:val="-8"/>
        </w:rPr>
        <w:t xml:space="preserve"> </w:t>
      </w:r>
      <w:r>
        <w:t>see</w:t>
      </w:r>
      <w:r>
        <w:rPr>
          <w:spacing w:val="-6"/>
        </w:rPr>
        <w:t xml:space="preserve"> </w:t>
      </w:r>
      <w:r>
        <w:t>the</w:t>
      </w:r>
      <w:r>
        <w:rPr>
          <w:spacing w:val="-8"/>
        </w:rPr>
        <w:t xml:space="preserve"> </w:t>
      </w:r>
      <w:r>
        <w:t>development</w:t>
      </w:r>
      <w:r>
        <w:rPr>
          <w:spacing w:val="-8"/>
        </w:rPr>
        <w:t xml:space="preserve"> </w:t>
      </w:r>
      <w:r>
        <w:t>of</w:t>
      </w:r>
      <w:r>
        <w:rPr>
          <w:spacing w:val="-7"/>
        </w:rPr>
        <w:t xml:space="preserve"> </w:t>
      </w:r>
      <w:r>
        <w:t>the</w:t>
      </w:r>
      <w:r>
        <w:rPr>
          <w:spacing w:val="-8"/>
        </w:rPr>
        <w:t xml:space="preserve"> </w:t>
      </w:r>
      <w:r>
        <w:t>Foster</w:t>
      </w:r>
      <w:r>
        <w:rPr>
          <w:spacing w:val="-7"/>
        </w:rPr>
        <w:t xml:space="preserve"> </w:t>
      </w:r>
      <w:r>
        <w:t>Child</w:t>
      </w:r>
      <w:r>
        <w:rPr>
          <w:spacing w:val="-7"/>
        </w:rPr>
        <w:t xml:space="preserve"> </w:t>
      </w:r>
      <w:r>
        <w:t>Bill</w:t>
      </w:r>
      <w:r>
        <w:rPr>
          <w:spacing w:val="-8"/>
        </w:rPr>
        <w:t xml:space="preserve"> </w:t>
      </w:r>
      <w:r>
        <w:t>of</w:t>
      </w:r>
      <w:r>
        <w:rPr>
          <w:spacing w:val="-8"/>
        </w:rPr>
        <w:t xml:space="preserve"> </w:t>
      </w:r>
      <w:r>
        <w:t>Rights</w:t>
      </w:r>
      <w:r>
        <w:rPr>
          <w:spacing w:val="-7"/>
        </w:rPr>
        <w:t xml:space="preserve"> </w:t>
      </w:r>
      <w:r>
        <w:t>developed</w:t>
      </w:r>
      <w:r>
        <w:rPr>
          <w:spacing w:val="-7"/>
        </w:rPr>
        <w:t xml:space="preserve"> </w:t>
      </w:r>
      <w:r>
        <w:t>by</w:t>
      </w:r>
      <w:r>
        <w:rPr>
          <w:spacing w:val="-8"/>
        </w:rPr>
        <w:t xml:space="preserve"> </w:t>
      </w:r>
      <w:r>
        <w:t xml:space="preserve">DCF’s Youth Advisory Board which includes guidance that every child should be treated with respect without regard to gender identity and sexual orientation. The Commission supports </w:t>
      </w:r>
      <w:r>
        <w:rPr>
          <w:i/>
        </w:rPr>
        <w:t>An Act Establishing a Bill of Rights</w:t>
      </w:r>
      <w:r>
        <w:rPr>
          <w:i/>
          <w:spacing w:val="-8"/>
        </w:rPr>
        <w:t xml:space="preserve"> </w:t>
      </w:r>
      <w:r>
        <w:rPr>
          <w:i/>
        </w:rPr>
        <w:t>for</w:t>
      </w:r>
      <w:r>
        <w:rPr>
          <w:i/>
          <w:spacing w:val="-8"/>
        </w:rPr>
        <w:t xml:space="preserve"> </w:t>
      </w:r>
      <w:r>
        <w:rPr>
          <w:i/>
        </w:rPr>
        <w:t>Children</w:t>
      </w:r>
      <w:r>
        <w:rPr>
          <w:i/>
          <w:spacing w:val="-10"/>
        </w:rPr>
        <w:t xml:space="preserve"> </w:t>
      </w:r>
      <w:r>
        <w:rPr>
          <w:i/>
        </w:rPr>
        <w:t>in</w:t>
      </w:r>
      <w:r>
        <w:rPr>
          <w:i/>
          <w:spacing w:val="-10"/>
        </w:rPr>
        <w:t xml:space="preserve"> </w:t>
      </w:r>
      <w:r>
        <w:rPr>
          <w:i/>
        </w:rPr>
        <w:t>Foster</w:t>
      </w:r>
      <w:r>
        <w:rPr>
          <w:i/>
          <w:spacing w:val="-10"/>
        </w:rPr>
        <w:t xml:space="preserve"> </w:t>
      </w:r>
      <w:r>
        <w:rPr>
          <w:i/>
        </w:rPr>
        <w:t>Care</w:t>
      </w:r>
      <w:r>
        <w:rPr>
          <w:i/>
          <w:spacing w:val="-9"/>
        </w:rPr>
        <w:t xml:space="preserve"> </w:t>
      </w:r>
      <w:r>
        <w:t>(</w:t>
      </w:r>
      <w:hyperlink r:id="rId62">
        <w:r>
          <w:rPr>
            <w:b/>
            <w:color w:val="1154CC"/>
            <w:u w:val="single" w:color="1154CC"/>
          </w:rPr>
          <w:t>S.</w:t>
        </w:r>
        <w:r>
          <w:rPr>
            <w:b/>
            <w:color w:val="1154CC"/>
            <w:spacing w:val="-10"/>
            <w:u w:val="single" w:color="1154CC"/>
          </w:rPr>
          <w:t xml:space="preserve"> </w:t>
        </w:r>
        <w:r>
          <w:rPr>
            <w:b/>
            <w:color w:val="1154CC"/>
            <w:u w:val="single" w:color="1154CC"/>
          </w:rPr>
          <w:t>68</w:t>
        </w:r>
      </w:hyperlink>
      <w:r>
        <w:rPr>
          <w:b/>
          <w:color w:val="1154CC"/>
          <w:spacing w:val="-7"/>
        </w:rPr>
        <w:t xml:space="preserve"> </w:t>
      </w:r>
      <w:r>
        <w:rPr>
          <w:b/>
        </w:rPr>
        <w:t>/</w:t>
      </w:r>
      <w:r>
        <w:rPr>
          <w:b/>
          <w:spacing w:val="-10"/>
        </w:rPr>
        <w:t xml:space="preserve"> </w:t>
      </w:r>
      <w:hyperlink r:id="rId63">
        <w:r>
          <w:rPr>
            <w:b/>
            <w:color w:val="1154CC"/>
            <w:u w:val="single" w:color="1154CC"/>
          </w:rPr>
          <w:t>H.164</w:t>
        </w:r>
      </w:hyperlink>
      <w:r>
        <w:t>)</w:t>
      </w:r>
      <w:r>
        <w:rPr>
          <w:spacing w:val="-11"/>
        </w:rPr>
        <w:t xml:space="preserve"> </w:t>
      </w:r>
      <w:r>
        <w:t>which</w:t>
      </w:r>
      <w:r>
        <w:rPr>
          <w:spacing w:val="-12"/>
        </w:rPr>
        <w:t xml:space="preserve"> </w:t>
      </w:r>
      <w:r>
        <w:t>would</w:t>
      </w:r>
      <w:r>
        <w:rPr>
          <w:spacing w:val="-10"/>
        </w:rPr>
        <w:t xml:space="preserve"> </w:t>
      </w:r>
      <w:r>
        <w:t>require</w:t>
      </w:r>
      <w:r>
        <w:rPr>
          <w:spacing w:val="-11"/>
        </w:rPr>
        <w:t xml:space="preserve"> </w:t>
      </w:r>
      <w:r>
        <w:t>DCF</w:t>
      </w:r>
      <w:r>
        <w:rPr>
          <w:spacing w:val="-12"/>
        </w:rPr>
        <w:t xml:space="preserve"> </w:t>
      </w:r>
      <w:r>
        <w:t>to</w:t>
      </w:r>
      <w:r>
        <w:rPr>
          <w:spacing w:val="-8"/>
        </w:rPr>
        <w:t xml:space="preserve"> </w:t>
      </w:r>
      <w:r>
        <w:t>present</w:t>
      </w:r>
      <w:r>
        <w:rPr>
          <w:spacing w:val="-8"/>
        </w:rPr>
        <w:t xml:space="preserve"> </w:t>
      </w:r>
      <w:r>
        <w:t>a</w:t>
      </w:r>
      <w:r>
        <w:rPr>
          <w:spacing w:val="-9"/>
        </w:rPr>
        <w:t xml:space="preserve"> </w:t>
      </w:r>
      <w:r>
        <w:t>copy</w:t>
      </w:r>
      <w:r>
        <w:rPr>
          <w:spacing w:val="-8"/>
        </w:rPr>
        <w:t xml:space="preserve"> </w:t>
      </w:r>
      <w:r>
        <w:t>of</w:t>
      </w:r>
      <w:r>
        <w:rPr>
          <w:spacing w:val="-9"/>
        </w:rPr>
        <w:t xml:space="preserve"> </w:t>
      </w:r>
      <w:r>
        <w:t>these</w:t>
      </w:r>
      <w:r>
        <w:rPr>
          <w:spacing w:val="-8"/>
        </w:rPr>
        <w:t xml:space="preserve"> </w:t>
      </w:r>
      <w:r>
        <w:t>rights to youth, and their attorneys.</w:t>
      </w:r>
    </w:p>
    <w:p w:rsidR="00200FDA" w:rsidRDefault="00200FDA">
      <w:pPr>
        <w:pStyle w:val="BodyText"/>
        <w:spacing w:before="9"/>
        <w:rPr>
          <w:sz w:val="19"/>
        </w:rPr>
      </w:pPr>
    </w:p>
    <w:p w:rsidR="00200FDA" w:rsidRDefault="00F76C4C">
      <w:pPr>
        <w:pStyle w:val="Heading9"/>
        <w:numPr>
          <w:ilvl w:val="0"/>
          <w:numId w:val="36"/>
        </w:numPr>
        <w:tabs>
          <w:tab w:val="left" w:pos="361"/>
        </w:tabs>
        <w:ind w:left="360" w:hanging="221"/>
      </w:pPr>
      <w:r>
        <w:t>Protect</w:t>
      </w:r>
      <w:r>
        <w:rPr>
          <w:spacing w:val="-7"/>
        </w:rPr>
        <w:t xml:space="preserve"> </w:t>
      </w:r>
      <w:r>
        <w:t>youth</w:t>
      </w:r>
      <w:r>
        <w:rPr>
          <w:spacing w:val="-7"/>
        </w:rPr>
        <w:t xml:space="preserve"> </w:t>
      </w:r>
      <w:r>
        <w:t>in</w:t>
      </w:r>
      <w:r>
        <w:rPr>
          <w:spacing w:val="-5"/>
        </w:rPr>
        <w:t xml:space="preserve"> </w:t>
      </w:r>
      <w:r>
        <w:t>the</w:t>
      </w:r>
      <w:r>
        <w:rPr>
          <w:spacing w:val="-4"/>
        </w:rPr>
        <w:t xml:space="preserve"> </w:t>
      </w:r>
      <w:r>
        <w:t>foster</w:t>
      </w:r>
      <w:r>
        <w:rPr>
          <w:spacing w:val="-4"/>
        </w:rPr>
        <w:t xml:space="preserve"> </w:t>
      </w:r>
      <w:r>
        <w:t>care</w:t>
      </w:r>
      <w:r>
        <w:rPr>
          <w:spacing w:val="-7"/>
        </w:rPr>
        <w:t xml:space="preserve"> </w:t>
      </w:r>
      <w:r>
        <w:t>system</w:t>
      </w:r>
      <w:r>
        <w:rPr>
          <w:spacing w:val="-6"/>
        </w:rPr>
        <w:t xml:space="preserve"> </w:t>
      </w:r>
      <w:r>
        <w:t>from</w:t>
      </w:r>
      <w:r>
        <w:rPr>
          <w:spacing w:val="-4"/>
        </w:rPr>
        <w:t xml:space="preserve"> </w:t>
      </w:r>
      <w:r>
        <w:t>having</w:t>
      </w:r>
      <w:r>
        <w:rPr>
          <w:spacing w:val="-3"/>
        </w:rPr>
        <w:t xml:space="preserve"> </w:t>
      </w:r>
      <w:r>
        <w:t>their</w:t>
      </w:r>
      <w:r>
        <w:rPr>
          <w:spacing w:val="-4"/>
        </w:rPr>
        <w:t xml:space="preserve"> </w:t>
      </w:r>
      <w:r>
        <w:t>federal</w:t>
      </w:r>
      <w:r>
        <w:rPr>
          <w:spacing w:val="-3"/>
        </w:rPr>
        <w:t xml:space="preserve"> </w:t>
      </w:r>
      <w:r>
        <w:t>benefits</w:t>
      </w:r>
      <w:r>
        <w:rPr>
          <w:spacing w:val="-3"/>
        </w:rPr>
        <w:t xml:space="preserve"> </w:t>
      </w:r>
      <w:r>
        <w:t>stripped</w:t>
      </w:r>
      <w:r>
        <w:rPr>
          <w:spacing w:val="-5"/>
        </w:rPr>
        <w:t xml:space="preserve"> </w:t>
      </w:r>
      <w:r>
        <w:rPr>
          <w:spacing w:val="-2"/>
        </w:rPr>
        <w:t>away.</w:t>
      </w:r>
    </w:p>
    <w:p w:rsidR="00200FDA" w:rsidRDefault="00200FDA">
      <w:pPr>
        <w:pStyle w:val="BodyText"/>
        <w:spacing w:before="8"/>
        <w:rPr>
          <w:b/>
          <w:sz w:val="19"/>
        </w:rPr>
      </w:pPr>
    </w:p>
    <w:p w:rsidR="00200FDA" w:rsidRDefault="00F76C4C">
      <w:pPr>
        <w:pStyle w:val="BodyText"/>
        <w:spacing w:before="1"/>
        <w:ind w:left="140" w:right="130"/>
        <w:jc w:val="both"/>
      </w:pPr>
      <w:r>
        <w:t>The</w:t>
      </w:r>
      <w:r>
        <w:rPr>
          <w:spacing w:val="-4"/>
        </w:rPr>
        <w:t xml:space="preserve"> </w:t>
      </w:r>
      <w:r>
        <w:t>Commission</w:t>
      </w:r>
      <w:r>
        <w:rPr>
          <w:spacing w:val="-5"/>
        </w:rPr>
        <w:t xml:space="preserve"> </w:t>
      </w:r>
      <w:r>
        <w:t>recommends</w:t>
      </w:r>
      <w:r>
        <w:rPr>
          <w:spacing w:val="-4"/>
        </w:rPr>
        <w:t xml:space="preserve"> </w:t>
      </w:r>
      <w:r>
        <w:t>that</w:t>
      </w:r>
      <w:r>
        <w:rPr>
          <w:spacing w:val="-4"/>
        </w:rPr>
        <w:t xml:space="preserve"> </w:t>
      </w:r>
      <w:r>
        <w:t>Massachusetts</w:t>
      </w:r>
      <w:r>
        <w:rPr>
          <w:spacing w:val="-4"/>
        </w:rPr>
        <w:t xml:space="preserve"> </w:t>
      </w:r>
      <w:r>
        <w:t>enact</w:t>
      </w:r>
      <w:r>
        <w:rPr>
          <w:spacing w:val="-4"/>
        </w:rPr>
        <w:t xml:space="preserve"> </w:t>
      </w:r>
      <w:r>
        <w:t>legislation</w:t>
      </w:r>
      <w:r>
        <w:rPr>
          <w:spacing w:val="-5"/>
        </w:rPr>
        <w:t xml:space="preserve"> </w:t>
      </w:r>
      <w:r>
        <w:t>to</w:t>
      </w:r>
      <w:r>
        <w:rPr>
          <w:spacing w:val="-3"/>
        </w:rPr>
        <w:t xml:space="preserve"> </w:t>
      </w:r>
      <w:r>
        <w:t>address</w:t>
      </w:r>
      <w:r>
        <w:rPr>
          <w:spacing w:val="-4"/>
        </w:rPr>
        <w:t xml:space="preserve"> </w:t>
      </w:r>
      <w:r>
        <w:t>the</w:t>
      </w:r>
      <w:r>
        <w:rPr>
          <w:spacing w:val="-4"/>
        </w:rPr>
        <w:t xml:space="preserve"> </w:t>
      </w:r>
      <w:r>
        <w:t>confiscation</w:t>
      </w:r>
      <w:r>
        <w:rPr>
          <w:spacing w:val="-7"/>
        </w:rPr>
        <w:t xml:space="preserve"> </w:t>
      </w:r>
      <w:r>
        <w:t>of</w:t>
      </w:r>
      <w:r>
        <w:rPr>
          <w:spacing w:val="-5"/>
        </w:rPr>
        <w:t xml:space="preserve"> </w:t>
      </w:r>
      <w:r>
        <w:t>federal benefits</w:t>
      </w:r>
      <w:r>
        <w:rPr>
          <w:spacing w:val="-9"/>
        </w:rPr>
        <w:t xml:space="preserve"> </w:t>
      </w:r>
      <w:r>
        <w:t>from</w:t>
      </w:r>
      <w:r>
        <w:rPr>
          <w:spacing w:val="-10"/>
        </w:rPr>
        <w:t xml:space="preserve"> </w:t>
      </w:r>
      <w:r>
        <w:t>children</w:t>
      </w:r>
      <w:r>
        <w:rPr>
          <w:spacing w:val="-10"/>
        </w:rPr>
        <w:t xml:space="preserve"> </w:t>
      </w:r>
      <w:r>
        <w:t>in</w:t>
      </w:r>
      <w:r>
        <w:rPr>
          <w:spacing w:val="-12"/>
        </w:rPr>
        <w:t xml:space="preserve"> </w:t>
      </w:r>
      <w:r>
        <w:t>the</w:t>
      </w:r>
      <w:r>
        <w:rPr>
          <w:spacing w:val="-8"/>
        </w:rPr>
        <w:t xml:space="preserve"> </w:t>
      </w:r>
      <w:r>
        <w:t>foster</w:t>
      </w:r>
      <w:r>
        <w:rPr>
          <w:spacing w:val="-9"/>
        </w:rPr>
        <w:t xml:space="preserve"> </w:t>
      </w:r>
      <w:r>
        <w:t>care</w:t>
      </w:r>
      <w:r>
        <w:rPr>
          <w:spacing w:val="-11"/>
        </w:rPr>
        <w:t xml:space="preserve"> </w:t>
      </w:r>
      <w:r>
        <w:t>system,</w:t>
      </w:r>
      <w:r>
        <w:rPr>
          <w:spacing w:val="-9"/>
        </w:rPr>
        <w:t xml:space="preserve"> </w:t>
      </w:r>
      <w:r>
        <w:t>as</w:t>
      </w:r>
      <w:r>
        <w:rPr>
          <w:spacing w:val="-9"/>
        </w:rPr>
        <w:t xml:space="preserve"> </w:t>
      </w:r>
      <w:r>
        <w:t>suggested</w:t>
      </w:r>
      <w:r>
        <w:rPr>
          <w:spacing w:val="-10"/>
        </w:rPr>
        <w:t xml:space="preserve"> </w:t>
      </w:r>
      <w:r>
        <w:t>in</w:t>
      </w:r>
      <w:r>
        <w:rPr>
          <w:spacing w:val="-12"/>
        </w:rPr>
        <w:t xml:space="preserve"> </w:t>
      </w:r>
      <w:r>
        <w:rPr>
          <w:i/>
        </w:rPr>
        <w:t>An</w:t>
      </w:r>
      <w:r>
        <w:rPr>
          <w:i/>
          <w:spacing w:val="-9"/>
        </w:rPr>
        <w:t xml:space="preserve"> </w:t>
      </w:r>
      <w:r>
        <w:rPr>
          <w:i/>
        </w:rPr>
        <w:t>Act</w:t>
      </w:r>
      <w:r>
        <w:rPr>
          <w:i/>
          <w:spacing w:val="-13"/>
        </w:rPr>
        <w:t xml:space="preserve"> </w:t>
      </w:r>
      <w:r>
        <w:rPr>
          <w:i/>
        </w:rPr>
        <w:t>Protecting</w:t>
      </w:r>
      <w:r>
        <w:rPr>
          <w:i/>
          <w:spacing w:val="-11"/>
        </w:rPr>
        <w:t xml:space="preserve"> </w:t>
      </w:r>
      <w:r>
        <w:rPr>
          <w:i/>
        </w:rPr>
        <w:t>Benefits</w:t>
      </w:r>
      <w:r>
        <w:rPr>
          <w:i/>
          <w:spacing w:val="-11"/>
        </w:rPr>
        <w:t xml:space="preserve"> </w:t>
      </w:r>
      <w:r>
        <w:rPr>
          <w:i/>
        </w:rPr>
        <w:t>Owed</w:t>
      </w:r>
      <w:r>
        <w:rPr>
          <w:i/>
          <w:spacing w:val="-12"/>
        </w:rPr>
        <w:t xml:space="preserve"> </w:t>
      </w:r>
      <w:r>
        <w:rPr>
          <w:i/>
        </w:rPr>
        <w:t>to</w:t>
      </w:r>
      <w:r>
        <w:rPr>
          <w:i/>
          <w:spacing w:val="-12"/>
        </w:rPr>
        <w:t xml:space="preserve"> </w:t>
      </w:r>
      <w:r>
        <w:rPr>
          <w:i/>
        </w:rPr>
        <w:t xml:space="preserve">Foster Children </w:t>
      </w:r>
      <w:r>
        <w:t>(</w:t>
      </w:r>
      <w:hyperlink r:id="rId64">
        <w:r>
          <w:rPr>
            <w:b/>
            <w:color w:val="1154CC"/>
            <w:u w:val="single" w:color="1154CC"/>
          </w:rPr>
          <w:t>S. 65</w:t>
        </w:r>
      </w:hyperlink>
      <w:r>
        <w:rPr>
          <w:b/>
          <w:color w:val="1154CC"/>
        </w:rPr>
        <w:t xml:space="preserve"> </w:t>
      </w:r>
      <w:r>
        <w:rPr>
          <w:b/>
        </w:rPr>
        <w:t xml:space="preserve">/ </w:t>
      </w:r>
      <w:hyperlink r:id="rId65">
        <w:r>
          <w:rPr>
            <w:b/>
            <w:color w:val="1154CC"/>
            <w:u w:val="single" w:color="1154CC"/>
          </w:rPr>
          <w:t>H.157</w:t>
        </w:r>
      </w:hyperlink>
      <w:r>
        <w:t>). In</w:t>
      </w:r>
      <w:r>
        <w:rPr>
          <w:spacing w:val="-2"/>
        </w:rPr>
        <w:t xml:space="preserve"> </w:t>
      </w:r>
      <w:r>
        <w:t>a</w:t>
      </w:r>
      <w:r>
        <w:rPr>
          <w:spacing w:val="-1"/>
        </w:rPr>
        <w:t xml:space="preserve"> </w:t>
      </w:r>
      <w:r>
        <w:t>2021 study from The Marshall Project and NPR,</w:t>
      </w:r>
      <w:hyperlink w:anchor="_bookmark9" w:history="1">
        <w:r>
          <w:rPr>
            <w:vertAlign w:val="superscript"/>
          </w:rPr>
          <w:t>4</w:t>
        </w:r>
      </w:hyperlink>
      <w:r>
        <w:rPr>
          <w:spacing w:val="-2"/>
        </w:rPr>
        <w:t xml:space="preserve"> </w:t>
      </w:r>
      <w:r>
        <w:t>it was detailed that 1</w:t>
      </w:r>
      <w:r>
        <w:t>0% of foster youth across the country are entitled to Social Security benefits, with 36 states - including Massachusetts</w:t>
      </w:r>
      <w:r>
        <w:rPr>
          <w:spacing w:val="-11"/>
        </w:rPr>
        <w:t xml:space="preserve"> </w:t>
      </w:r>
      <w:r>
        <w:t>-</w:t>
      </w:r>
      <w:r>
        <w:rPr>
          <w:spacing w:val="-8"/>
        </w:rPr>
        <w:t xml:space="preserve"> </w:t>
      </w:r>
      <w:r>
        <w:t>then</w:t>
      </w:r>
      <w:r>
        <w:rPr>
          <w:spacing w:val="-11"/>
        </w:rPr>
        <w:t xml:space="preserve"> </w:t>
      </w:r>
      <w:r>
        <w:t>accessing</w:t>
      </w:r>
      <w:r>
        <w:rPr>
          <w:spacing w:val="-9"/>
        </w:rPr>
        <w:t xml:space="preserve"> </w:t>
      </w:r>
      <w:r>
        <w:t>these</w:t>
      </w:r>
      <w:r>
        <w:rPr>
          <w:spacing w:val="-10"/>
        </w:rPr>
        <w:t xml:space="preserve"> </w:t>
      </w:r>
      <w:r>
        <w:t>benefits,</w:t>
      </w:r>
      <w:r>
        <w:rPr>
          <w:spacing w:val="-8"/>
        </w:rPr>
        <w:t xml:space="preserve"> </w:t>
      </w:r>
      <w:r>
        <w:t>often</w:t>
      </w:r>
      <w:r>
        <w:rPr>
          <w:spacing w:val="-11"/>
        </w:rPr>
        <w:t xml:space="preserve"> </w:t>
      </w:r>
      <w:r>
        <w:t>without</w:t>
      </w:r>
      <w:r>
        <w:rPr>
          <w:spacing w:val="-10"/>
        </w:rPr>
        <w:t xml:space="preserve"> </w:t>
      </w:r>
      <w:r>
        <w:t>ever</w:t>
      </w:r>
      <w:r>
        <w:rPr>
          <w:spacing w:val="-8"/>
        </w:rPr>
        <w:t xml:space="preserve"> </w:t>
      </w:r>
      <w:r>
        <w:t>notifying</w:t>
      </w:r>
      <w:r>
        <w:rPr>
          <w:spacing w:val="-11"/>
        </w:rPr>
        <w:t xml:space="preserve"> </w:t>
      </w:r>
      <w:r>
        <w:t>the</w:t>
      </w:r>
      <w:r>
        <w:rPr>
          <w:spacing w:val="-7"/>
        </w:rPr>
        <w:t xml:space="preserve"> </w:t>
      </w:r>
      <w:r>
        <w:t>child</w:t>
      </w:r>
      <w:r>
        <w:rPr>
          <w:spacing w:val="-9"/>
        </w:rPr>
        <w:t xml:space="preserve"> </w:t>
      </w:r>
      <w:r>
        <w:t>or</w:t>
      </w:r>
      <w:r>
        <w:rPr>
          <w:spacing w:val="-8"/>
        </w:rPr>
        <w:t xml:space="preserve"> </w:t>
      </w:r>
      <w:r>
        <w:t>families.</w:t>
      </w:r>
      <w:hyperlink w:anchor="_bookmark10" w:history="1">
        <w:r>
          <w:rPr>
            <w:vertAlign w:val="superscript"/>
          </w:rPr>
          <w:t>5</w:t>
        </w:r>
      </w:hyperlink>
      <w:r>
        <w:rPr>
          <w:spacing w:val="-2"/>
        </w:rPr>
        <w:t xml:space="preserve"> </w:t>
      </w:r>
      <w:r>
        <w:t>In</w:t>
      </w:r>
      <w:r>
        <w:rPr>
          <w:spacing w:val="-9"/>
        </w:rPr>
        <w:t xml:space="preserve"> </w:t>
      </w:r>
      <w:r>
        <w:t>2018, Massachusetts</w:t>
      </w:r>
      <w:r>
        <w:rPr>
          <w:spacing w:val="-2"/>
        </w:rPr>
        <w:t xml:space="preserve"> </w:t>
      </w:r>
      <w:r>
        <w:t>took a</w:t>
      </w:r>
      <w:r>
        <w:rPr>
          <w:spacing w:val="-2"/>
        </w:rPr>
        <w:t xml:space="preserve"> </w:t>
      </w:r>
      <w:r>
        <w:t>reported</w:t>
      </w:r>
      <w:r>
        <w:rPr>
          <w:spacing w:val="-3"/>
        </w:rPr>
        <w:t xml:space="preserve"> </w:t>
      </w:r>
      <w:r>
        <w:t>$6.31</w:t>
      </w:r>
      <w:r>
        <w:rPr>
          <w:spacing w:val="-1"/>
        </w:rPr>
        <w:t xml:space="preserve"> </w:t>
      </w:r>
      <w:r>
        <w:t>million from</w:t>
      </w:r>
      <w:r>
        <w:rPr>
          <w:spacing w:val="-1"/>
        </w:rPr>
        <w:t xml:space="preserve"> </w:t>
      </w:r>
      <w:r>
        <w:t>youth in the</w:t>
      </w:r>
      <w:r>
        <w:rPr>
          <w:spacing w:val="-1"/>
        </w:rPr>
        <w:t xml:space="preserve"> </w:t>
      </w:r>
      <w:r>
        <w:t>foster care</w:t>
      </w:r>
      <w:r>
        <w:rPr>
          <w:spacing w:val="-1"/>
        </w:rPr>
        <w:t xml:space="preserve"> </w:t>
      </w:r>
      <w:r>
        <w:t>system. (Citation) Historically, child welfare agencies - including DCF - accessed Supplemental Support Income (SSI) and Social Security Disability Insurance (SSDI)</w:t>
      </w:r>
      <w:r>
        <w:rPr>
          <w:spacing w:val="-1"/>
        </w:rPr>
        <w:t xml:space="preserve"> </w:t>
      </w:r>
      <w:r>
        <w:t>to cover</w:t>
      </w:r>
      <w:r>
        <w:rPr>
          <w:spacing w:val="-3"/>
        </w:rPr>
        <w:t xml:space="preserve"> </w:t>
      </w:r>
      <w:r>
        <w:t>th</w:t>
      </w:r>
      <w:r>
        <w:t>e cost</w:t>
      </w:r>
      <w:r>
        <w:rPr>
          <w:spacing w:val="-3"/>
        </w:rPr>
        <w:t xml:space="preserve"> </w:t>
      </w:r>
      <w:r>
        <w:t>of</w:t>
      </w:r>
      <w:r>
        <w:rPr>
          <w:spacing w:val="-1"/>
        </w:rPr>
        <w:t xml:space="preserve"> </w:t>
      </w:r>
      <w:r>
        <w:t>placements,</w:t>
      </w:r>
      <w:r>
        <w:rPr>
          <w:spacing w:val="-1"/>
        </w:rPr>
        <w:t xml:space="preserve"> </w:t>
      </w:r>
      <w:r>
        <w:t>particularly given</w:t>
      </w:r>
      <w:r>
        <w:rPr>
          <w:spacing w:val="-2"/>
        </w:rPr>
        <w:t xml:space="preserve"> </w:t>
      </w:r>
      <w:r>
        <w:t>that</w:t>
      </w:r>
      <w:r>
        <w:rPr>
          <w:spacing w:val="-3"/>
        </w:rPr>
        <w:t xml:space="preserve"> </w:t>
      </w:r>
      <w:r>
        <w:t>youth</w:t>
      </w:r>
      <w:r>
        <w:rPr>
          <w:spacing w:val="-2"/>
        </w:rPr>
        <w:t xml:space="preserve"> </w:t>
      </w:r>
      <w:r>
        <w:t>were not able</w:t>
      </w:r>
      <w:r>
        <w:rPr>
          <w:spacing w:val="-1"/>
        </w:rPr>
        <w:t xml:space="preserve"> </w:t>
      </w:r>
      <w:r>
        <w:t xml:space="preserve">to build up assets over $2,000 to maintain eligibility for these benefits. DCF advises the Commission that it is currently working with the Disability Law Center and Fidelity Investments to </w:t>
      </w:r>
      <w:r>
        <w:t>set up ABLE accounts for youth eligible for SSI and SSDI.</w:t>
      </w:r>
    </w:p>
    <w:p w:rsidR="00200FDA" w:rsidRDefault="00200FDA">
      <w:pPr>
        <w:pStyle w:val="BodyText"/>
        <w:spacing w:before="8"/>
        <w:rPr>
          <w:sz w:val="19"/>
        </w:rPr>
      </w:pPr>
    </w:p>
    <w:p w:rsidR="00200FDA" w:rsidRDefault="00F76C4C">
      <w:pPr>
        <w:pStyle w:val="Heading9"/>
        <w:numPr>
          <w:ilvl w:val="0"/>
          <w:numId w:val="36"/>
        </w:numPr>
        <w:tabs>
          <w:tab w:val="left" w:pos="364"/>
        </w:tabs>
        <w:ind w:left="363" w:hanging="224"/>
      </w:pPr>
      <w:r>
        <w:t>Solidify</w:t>
      </w:r>
      <w:r>
        <w:rPr>
          <w:spacing w:val="-5"/>
        </w:rPr>
        <w:t xml:space="preserve"> </w:t>
      </w:r>
      <w:r>
        <w:t>parental</w:t>
      </w:r>
      <w:r>
        <w:rPr>
          <w:spacing w:val="-6"/>
        </w:rPr>
        <w:t xml:space="preserve"> </w:t>
      </w:r>
      <w:r>
        <w:t>rights</w:t>
      </w:r>
      <w:r>
        <w:rPr>
          <w:spacing w:val="-4"/>
        </w:rPr>
        <w:t xml:space="preserve"> </w:t>
      </w:r>
      <w:r>
        <w:t>for</w:t>
      </w:r>
      <w:r>
        <w:rPr>
          <w:spacing w:val="-4"/>
        </w:rPr>
        <w:t xml:space="preserve"> </w:t>
      </w:r>
      <w:r>
        <w:t>LGBTQ</w:t>
      </w:r>
      <w:r>
        <w:rPr>
          <w:spacing w:val="-5"/>
        </w:rPr>
        <w:t xml:space="preserve"> </w:t>
      </w:r>
      <w:r>
        <w:rPr>
          <w:spacing w:val="-2"/>
        </w:rPr>
        <w:t>families.</w:t>
      </w:r>
    </w:p>
    <w:p w:rsidR="00200FDA" w:rsidRDefault="00200FDA">
      <w:pPr>
        <w:pStyle w:val="BodyText"/>
        <w:spacing w:before="8"/>
        <w:rPr>
          <w:b/>
          <w:sz w:val="19"/>
        </w:rPr>
      </w:pPr>
    </w:p>
    <w:p w:rsidR="00200FDA" w:rsidRDefault="00F76C4C">
      <w:pPr>
        <w:pStyle w:val="BodyText"/>
        <w:ind w:left="140" w:right="133"/>
        <w:jc w:val="both"/>
      </w:pPr>
      <w:r>
        <w:t xml:space="preserve">Despite the significant strides that Massachusetts has made over the last couple of decades to support LGBTQ families, there still remain gaps in state law to ensure that all families have the same legal protections. The Commission strongly recommends and </w:t>
      </w:r>
      <w:r>
        <w:t>prioritizes the passage</w:t>
      </w:r>
      <w:r>
        <w:rPr>
          <w:spacing w:val="-1"/>
        </w:rPr>
        <w:t xml:space="preserve"> </w:t>
      </w:r>
      <w:r>
        <w:t xml:space="preserve">of </w:t>
      </w:r>
      <w:r>
        <w:rPr>
          <w:i/>
        </w:rPr>
        <w:t>An Act to Ensure Legal Parentage</w:t>
      </w:r>
      <w:r>
        <w:rPr>
          <w:i/>
          <w:spacing w:val="-13"/>
        </w:rPr>
        <w:t xml:space="preserve"> </w:t>
      </w:r>
      <w:r>
        <w:rPr>
          <w:i/>
        </w:rPr>
        <w:t>Equality</w:t>
      </w:r>
      <w:r>
        <w:rPr>
          <w:i/>
          <w:spacing w:val="-12"/>
        </w:rPr>
        <w:t xml:space="preserve"> </w:t>
      </w:r>
      <w:r>
        <w:t>(</w:t>
      </w:r>
      <w:hyperlink r:id="rId66">
        <w:r>
          <w:rPr>
            <w:b/>
            <w:color w:val="1154CC"/>
            <w:u w:val="single" w:color="1154CC"/>
          </w:rPr>
          <w:t>S.</w:t>
        </w:r>
        <w:r>
          <w:rPr>
            <w:b/>
            <w:color w:val="1154CC"/>
            <w:spacing w:val="-13"/>
            <w:u w:val="single" w:color="1154CC"/>
          </w:rPr>
          <w:t xml:space="preserve"> </w:t>
        </w:r>
        <w:r>
          <w:rPr>
            <w:b/>
            <w:color w:val="1154CC"/>
            <w:u w:val="single" w:color="1154CC"/>
          </w:rPr>
          <w:t>947</w:t>
        </w:r>
      </w:hyperlink>
      <w:r>
        <w:rPr>
          <w:b/>
          <w:color w:val="1154CC"/>
          <w:spacing w:val="-12"/>
        </w:rPr>
        <w:t xml:space="preserve"> </w:t>
      </w:r>
      <w:r>
        <w:rPr>
          <w:b/>
        </w:rPr>
        <w:t>/</w:t>
      </w:r>
      <w:r>
        <w:rPr>
          <w:b/>
          <w:spacing w:val="-12"/>
        </w:rPr>
        <w:t xml:space="preserve"> </w:t>
      </w:r>
      <w:hyperlink r:id="rId67">
        <w:r>
          <w:rPr>
            <w:b/>
            <w:color w:val="1154CC"/>
            <w:u w:val="single" w:color="1154CC"/>
          </w:rPr>
          <w:t>H.1713</w:t>
        </w:r>
      </w:hyperlink>
      <w:r>
        <w:t>),</w:t>
      </w:r>
      <w:r>
        <w:rPr>
          <w:spacing w:val="-11"/>
        </w:rPr>
        <w:t xml:space="preserve"> </w:t>
      </w:r>
      <w:r>
        <w:t>also</w:t>
      </w:r>
      <w:r>
        <w:rPr>
          <w:spacing w:val="-13"/>
        </w:rPr>
        <w:t xml:space="preserve"> </w:t>
      </w:r>
      <w:r>
        <w:t>known</w:t>
      </w:r>
      <w:r>
        <w:rPr>
          <w:spacing w:val="-11"/>
        </w:rPr>
        <w:t xml:space="preserve"> </w:t>
      </w:r>
      <w:r>
        <w:t>as</w:t>
      </w:r>
      <w:r>
        <w:rPr>
          <w:spacing w:val="-11"/>
        </w:rPr>
        <w:t xml:space="preserve"> </w:t>
      </w:r>
      <w:r>
        <w:t>the</w:t>
      </w:r>
      <w:r>
        <w:rPr>
          <w:spacing w:val="-11"/>
        </w:rPr>
        <w:t xml:space="preserve"> </w:t>
      </w:r>
      <w:r>
        <w:t>Massachusetts</w:t>
      </w:r>
      <w:r>
        <w:rPr>
          <w:spacing w:val="-13"/>
        </w:rPr>
        <w:t xml:space="preserve"> </w:t>
      </w:r>
      <w:r>
        <w:t>Parentage</w:t>
      </w:r>
      <w:r>
        <w:rPr>
          <w:spacing w:val="-12"/>
        </w:rPr>
        <w:t xml:space="preserve"> </w:t>
      </w:r>
      <w:r>
        <w:t>Act</w:t>
      </w:r>
      <w:r>
        <w:rPr>
          <w:spacing w:val="-11"/>
        </w:rPr>
        <w:t xml:space="preserve"> </w:t>
      </w:r>
      <w:r>
        <w:t>(MPA),</w:t>
      </w:r>
      <w:r>
        <w:rPr>
          <w:spacing w:val="-11"/>
        </w:rPr>
        <w:t xml:space="preserve"> </w:t>
      </w:r>
      <w:r>
        <w:t>which</w:t>
      </w:r>
      <w:r>
        <w:rPr>
          <w:spacing w:val="-13"/>
        </w:rPr>
        <w:t xml:space="preserve"> </w:t>
      </w:r>
      <w:r>
        <w:t>would update and strengthen legal parentage laws in the Commonwealth. The MPA clarifies how the state establishes parentage for children in families who are born through assisted reproduction or surrogacy, or to same-sex parents who are not m</w:t>
      </w:r>
      <w:r>
        <w:t>arried, as well as would recognize de facto parentage.</w:t>
      </w:r>
      <w:hyperlink w:anchor="_bookmark11" w:history="1">
        <w:r>
          <w:rPr>
            <w:vertAlign w:val="superscript"/>
          </w:rPr>
          <w:t>6</w:t>
        </w:r>
      </w:hyperlink>
    </w:p>
    <w:p w:rsidR="00200FDA" w:rsidRDefault="00200FDA">
      <w:pPr>
        <w:jc w:val="both"/>
        <w:sectPr w:rsidR="00200FDA">
          <w:pgSz w:w="12240" w:h="15840"/>
          <w:pgMar w:top="1360" w:right="1300" w:bottom="1240" w:left="1300" w:header="761" w:footer="1043" w:gutter="0"/>
          <w:cols w:space="720"/>
        </w:sectPr>
      </w:pPr>
    </w:p>
    <w:p w:rsidR="00200FDA" w:rsidRDefault="00F76C4C">
      <w:pPr>
        <w:pStyle w:val="Heading9"/>
        <w:numPr>
          <w:ilvl w:val="0"/>
          <w:numId w:val="36"/>
        </w:numPr>
        <w:tabs>
          <w:tab w:val="left" w:pos="383"/>
        </w:tabs>
        <w:spacing w:before="64"/>
        <w:ind w:right="136" w:firstLine="0"/>
      </w:pPr>
      <w:r>
        <w:lastRenderedPageBreak/>
        <w:t>Improve Massachusetts child abuse laws to explicitly include the withholding of gender-affirming care for LGBTQ youth.</w:t>
      </w:r>
    </w:p>
    <w:p w:rsidR="00200FDA" w:rsidRDefault="00200FDA">
      <w:pPr>
        <w:pStyle w:val="BodyText"/>
        <w:spacing w:before="8"/>
        <w:rPr>
          <w:b/>
          <w:sz w:val="19"/>
        </w:rPr>
      </w:pPr>
    </w:p>
    <w:p w:rsidR="00200FDA" w:rsidRDefault="00F76C4C">
      <w:pPr>
        <w:pStyle w:val="BodyText"/>
        <w:ind w:left="140" w:right="133"/>
        <w:jc w:val="both"/>
      </w:pPr>
      <w:r>
        <w:t>With</w:t>
      </w:r>
      <w:r>
        <w:rPr>
          <w:spacing w:val="-13"/>
        </w:rPr>
        <w:t xml:space="preserve"> </w:t>
      </w:r>
      <w:r>
        <w:t>the</w:t>
      </w:r>
      <w:r>
        <w:rPr>
          <w:spacing w:val="-12"/>
        </w:rPr>
        <w:t xml:space="preserve"> </w:t>
      </w:r>
      <w:r>
        <w:t>significant</w:t>
      </w:r>
      <w:r>
        <w:rPr>
          <w:spacing w:val="-13"/>
        </w:rPr>
        <w:t xml:space="preserve"> </w:t>
      </w:r>
      <w:r>
        <w:t>rise</w:t>
      </w:r>
      <w:r>
        <w:rPr>
          <w:spacing w:val="-12"/>
        </w:rPr>
        <w:t xml:space="preserve"> </w:t>
      </w:r>
      <w:r>
        <w:t>in</w:t>
      </w:r>
      <w:r>
        <w:rPr>
          <w:spacing w:val="-13"/>
        </w:rPr>
        <w:t xml:space="preserve"> </w:t>
      </w:r>
      <w:r>
        <w:t>public</w:t>
      </w:r>
      <w:r>
        <w:rPr>
          <w:spacing w:val="-12"/>
        </w:rPr>
        <w:t xml:space="preserve"> </w:t>
      </w:r>
      <w:r>
        <w:t>transphobia</w:t>
      </w:r>
      <w:r>
        <w:rPr>
          <w:spacing w:val="-13"/>
        </w:rPr>
        <w:t xml:space="preserve"> </w:t>
      </w:r>
      <w:r>
        <w:t>across</w:t>
      </w:r>
      <w:r>
        <w:rPr>
          <w:spacing w:val="-12"/>
        </w:rPr>
        <w:t xml:space="preserve"> </w:t>
      </w:r>
      <w:r>
        <w:t>the</w:t>
      </w:r>
      <w:r>
        <w:rPr>
          <w:spacing w:val="-12"/>
        </w:rPr>
        <w:t xml:space="preserve"> </w:t>
      </w:r>
      <w:r>
        <w:t>state,</w:t>
      </w:r>
      <w:r>
        <w:rPr>
          <w:spacing w:val="-13"/>
        </w:rPr>
        <w:t xml:space="preserve"> </w:t>
      </w:r>
      <w:r>
        <w:t>the</w:t>
      </w:r>
      <w:r>
        <w:rPr>
          <w:spacing w:val="-12"/>
        </w:rPr>
        <w:t xml:space="preserve"> </w:t>
      </w:r>
      <w:r>
        <w:t>Commission</w:t>
      </w:r>
      <w:r>
        <w:rPr>
          <w:spacing w:val="-13"/>
        </w:rPr>
        <w:t xml:space="preserve"> </w:t>
      </w:r>
      <w:r>
        <w:t>has</w:t>
      </w:r>
      <w:r>
        <w:rPr>
          <w:spacing w:val="-12"/>
        </w:rPr>
        <w:t xml:space="preserve"> </w:t>
      </w:r>
      <w:r>
        <w:t>serious</w:t>
      </w:r>
      <w:r>
        <w:rPr>
          <w:spacing w:val="-13"/>
        </w:rPr>
        <w:t xml:space="preserve"> </w:t>
      </w:r>
      <w:r>
        <w:t>concerns</w:t>
      </w:r>
      <w:r>
        <w:rPr>
          <w:spacing w:val="-12"/>
        </w:rPr>
        <w:t xml:space="preserve"> </w:t>
      </w:r>
      <w:r>
        <w:t>about the wellbeing of trans and gender expansive youth in the home, and advises that the state examine current laws around child abuse and welfare to ensure that the unique situations faced by LGBTQ youth are</w:t>
      </w:r>
      <w:r>
        <w:rPr>
          <w:spacing w:val="-1"/>
        </w:rPr>
        <w:t xml:space="preserve"> </w:t>
      </w:r>
      <w:r>
        <w:t>being</w:t>
      </w:r>
      <w:r>
        <w:rPr>
          <w:spacing w:val="-3"/>
        </w:rPr>
        <w:t xml:space="preserve"> </w:t>
      </w:r>
      <w:r>
        <w:t>addressed.</w:t>
      </w:r>
      <w:r>
        <w:rPr>
          <w:spacing w:val="-2"/>
        </w:rPr>
        <w:t xml:space="preserve"> </w:t>
      </w:r>
      <w:r>
        <w:t>In</w:t>
      </w:r>
      <w:r>
        <w:rPr>
          <w:spacing w:val="-3"/>
        </w:rPr>
        <w:t xml:space="preserve"> </w:t>
      </w:r>
      <w:r>
        <w:t>particular,</w:t>
      </w:r>
      <w:r>
        <w:rPr>
          <w:spacing w:val="-2"/>
        </w:rPr>
        <w:t xml:space="preserve"> </w:t>
      </w:r>
      <w:r>
        <w:t>the</w:t>
      </w:r>
      <w:r>
        <w:rPr>
          <w:spacing w:val="-4"/>
        </w:rPr>
        <w:t xml:space="preserve"> </w:t>
      </w:r>
      <w:r>
        <w:t>Commission</w:t>
      </w:r>
      <w:r>
        <w:rPr>
          <w:spacing w:val="-3"/>
        </w:rPr>
        <w:t xml:space="preserve"> </w:t>
      </w:r>
      <w:r>
        <w:t>recommends</w:t>
      </w:r>
      <w:r>
        <w:rPr>
          <w:spacing w:val="-2"/>
        </w:rPr>
        <w:t xml:space="preserve"> </w:t>
      </w:r>
      <w:r>
        <w:t>that</w:t>
      </w:r>
      <w:r>
        <w:rPr>
          <w:spacing w:val="-4"/>
        </w:rPr>
        <w:t xml:space="preserve"> </w:t>
      </w:r>
      <w:r>
        <w:t>the</w:t>
      </w:r>
      <w:r>
        <w:rPr>
          <w:spacing w:val="-4"/>
        </w:rPr>
        <w:t xml:space="preserve"> </w:t>
      </w:r>
      <w:r>
        <w:t>state</w:t>
      </w:r>
      <w:r>
        <w:rPr>
          <w:spacing w:val="-1"/>
        </w:rPr>
        <w:t xml:space="preserve"> </w:t>
      </w:r>
      <w:r>
        <w:t>examine</w:t>
      </w:r>
      <w:r>
        <w:rPr>
          <w:spacing w:val="-4"/>
        </w:rPr>
        <w:t xml:space="preserve"> </w:t>
      </w:r>
      <w:r>
        <w:t>the</w:t>
      </w:r>
      <w:r>
        <w:rPr>
          <w:spacing w:val="-1"/>
        </w:rPr>
        <w:t xml:space="preserve"> </w:t>
      </w:r>
      <w:r>
        <w:t>possibility</w:t>
      </w:r>
      <w:r>
        <w:rPr>
          <w:spacing w:val="-3"/>
        </w:rPr>
        <w:t xml:space="preserve"> </w:t>
      </w:r>
      <w:r>
        <w:t>of codifying gender-affirming child welfare protections in state law to better support youth and families.</w:t>
      </w:r>
    </w:p>
    <w:p w:rsidR="00200FDA" w:rsidRDefault="00200FDA">
      <w:pPr>
        <w:pStyle w:val="BodyText"/>
        <w:spacing w:before="7"/>
        <w:rPr>
          <w:sz w:val="19"/>
        </w:rPr>
      </w:pPr>
    </w:p>
    <w:p w:rsidR="00200FDA" w:rsidRDefault="00F76C4C">
      <w:pPr>
        <w:pStyle w:val="Heading9"/>
        <w:numPr>
          <w:ilvl w:val="0"/>
          <w:numId w:val="36"/>
        </w:numPr>
        <w:tabs>
          <w:tab w:val="left" w:pos="407"/>
        </w:tabs>
        <w:ind w:right="135" w:firstLine="0"/>
        <w:rPr>
          <w:b w:val="0"/>
        </w:rPr>
      </w:pPr>
      <w:r>
        <w:t>Explore</w:t>
      </w:r>
      <w:r>
        <w:rPr>
          <w:spacing w:val="40"/>
        </w:rPr>
        <w:t xml:space="preserve"> </w:t>
      </w:r>
      <w:r>
        <w:t>the</w:t>
      </w:r>
      <w:r>
        <w:rPr>
          <w:spacing w:val="40"/>
        </w:rPr>
        <w:t xml:space="preserve"> </w:t>
      </w:r>
      <w:r>
        <w:t>creation</w:t>
      </w:r>
      <w:r>
        <w:rPr>
          <w:spacing w:val="40"/>
        </w:rPr>
        <w:t xml:space="preserve"> </w:t>
      </w:r>
      <w:r>
        <w:t>of</w:t>
      </w:r>
      <w:r>
        <w:rPr>
          <w:spacing w:val="40"/>
        </w:rPr>
        <w:t xml:space="preserve"> </w:t>
      </w:r>
      <w:r>
        <w:t>an</w:t>
      </w:r>
      <w:r>
        <w:rPr>
          <w:spacing w:val="40"/>
        </w:rPr>
        <w:t xml:space="preserve"> </w:t>
      </w:r>
      <w:r>
        <w:t>LGBTQ</w:t>
      </w:r>
      <w:r>
        <w:rPr>
          <w:spacing w:val="40"/>
        </w:rPr>
        <w:t xml:space="preserve"> </w:t>
      </w:r>
      <w:r>
        <w:t>youth</w:t>
      </w:r>
      <w:r>
        <w:rPr>
          <w:spacing w:val="40"/>
        </w:rPr>
        <w:t xml:space="preserve"> </w:t>
      </w:r>
      <w:r>
        <w:t>maltreatment</w:t>
      </w:r>
      <w:r>
        <w:rPr>
          <w:spacing w:val="40"/>
        </w:rPr>
        <w:t xml:space="preserve"> </w:t>
      </w:r>
      <w:r>
        <w:t>code</w:t>
      </w:r>
      <w:r>
        <w:rPr>
          <w:spacing w:val="40"/>
        </w:rPr>
        <w:t xml:space="preserve"> </w:t>
      </w:r>
      <w:r>
        <w:t>system</w:t>
      </w:r>
      <w:r>
        <w:rPr>
          <w:spacing w:val="39"/>
        </w:rPr>
        <w:t xml:space="preserve"> </w:t>
      </w:r>
      <w:r>
        <w:t>within</w:t>
      </w:r>
      <w:r>
        <w:rPr>
          <w:spacing w:val="40"/>
        </w:rPr>
        <w:t xml:space="preserve"> </w:t>
      </w:r>
      <w:r>
        <w:t>the</w:t>
      </w:r>
      <w:r>
        <w:rPr>
          <w:spacing w:val="40"/>
        </w:rPr>
        <w:t xml:space="preserve"> </w:t>
      </w:r>
      <w:r>
        <w:t>Department</w:t>
      </w:r>
      <w:r>
        <w:rPr>
          <w:spacing w:val="40"/>
        </w:rPr>
        <w:t xml:space="preserve"> </w:t>
      </w:r>
      <w:r>
        <w:t>of Children</w:t>
      </w:r>
      <w:r>
        <w:t xml:space="preserve"> and Families</w:t>
      </w:r>
      <w:r>
        <w:rPr>
          <w:b w:val="0"/>
        </w:rPr>
        <w:t>.</w:t>
      </w:r>
    </w:p>
    <w:p w:rsidR="00200FDA" w:rsidRDefault="00200FDA">
      <w:pPr>
        <w:pStyle w:val="BodyText"/>
        <w:spacing w:before="9"/>
        <w:rPr>
          <w:sz w:val="19"/>
        </w:rPr>
      </w:pPr>
    </w:p>
    <w:p w:rsidR="00200FDA" w:rsidRDefault="00F76C4C">
      <w:pPr>
        <w:pStyle w:val="BodyText"/>
        <w:ind w:left="140" w:right="134"/>
        <w:jc w:val="both"/>
      </w:pPr>
      <w:r>
        <w:t>The Commission</w:t>
      </w:r>
      <w:r>
        <w:rPr>
          <w:spacing w:val="-3"/>
        </w:rPr>
        <w:t xml:space="preserve"> </w:t>
      </w:r>
      <w:r>
        <w:t>recommends that</w:t>
      </w:r>
      <w:r>
        <w:rPr>
          <w:spacing w:val="-1"/>
        </w:rPr>
        <w:t xml:space="preserve"> </w:t>
      </w:r>
      <w:r>
        <w:t>the</w:t>
      </w:r>
      <w:r>
        <w:rPr>
          <w:spacing w:val="-1"/>
        </w:rPr>
        <w:t xml:space="preserve"> </w:t>
      </w:r>
      <w:r>
        <w:t>state</w:t>
      </w:r>
      <w:r>
        <w:rPr>
          <w:spacing w:val="-1"/>
        </w:rPr>
        <w:t xml:space="preserve"> </w:t>
      </w:r>
      <w:r>
        <w:t>explore</w:t>
      </w:r>
      <w:r>
        <w:rPr>
          <w:spacing w:val="-1"/>
        </w:rPr>
        <w:t xml:space="preserve"> </w:t>
      </w:r>
      <w:r>
        <w:t>the creation</w:t>
      </w:r>
      <w:r>
        <w:rPr>
          <w:spacing w:val="-3"/>
        </w:rPr>
        <w:t xml:space="preserve"> </w:t>
      </w:r>
      <w:r>
        <w:t>of</w:t>
      </w:r>
      <w:r>
        <w:rPr>
          <w:spacing w:val="-1"/>
        </w:rPr>
        <w:t xml:space="preserve"> </w:t>
      </w:r>
      <w:r>
        <w:t>a</w:t>
      </w:r>
      <w:r>
        <w:rPr>
          <w:spacing w:val="-4"/>
        </w:rPr>
        <w:t xml:space="preserve"> </w:t>
      </w:r>
      <w:r>
        <w:t>maltreatment code</w:t>
      </w:r>
      <w:r>
        <w:rPr>
          <w:spacing w:val="-1"/>
        </w:rPr>
        <w:t xml:space="preserve"> </w:t>
      </w:r>
      <w:r>
        <w:t>system</w:t>
      </w:r>
      <w:r>
        <w:rPr>
          <w:spacing w:val="-1"/>
        </w:rPr>
        <w:t xml:space="preserve"> </w:t>
      </w:r>
      <w:r>
        <w:t>for</w:t>
      </w:r>
      <w:r>
        <w:rPr>
          <w:spacing w:val="-1"/>
        </w:rPr>
        <w:t xml:space="preserve"> </w:t>
      </w:r>
      <w:r>
        <w:t>use in the child welfare system to better support social workers in tracking and addressing critical cases and incidents, with a specific maltreatment code being assigned to LGBTQ youth. The Commission understands that there are other states, such as Georg</w:t>
      </w:r>
      <w:r>
        <w:t>ia,</w:t>
      </w:r>
      <w:hyperlink w:anchor="_bookmark12" w:history="1">
        <w:r>
          <w:rPr>
            <w:vertAlign w:val="superscript"/>
          </w:rPr>
          <w:t>7</w:t>
        </w:r>
      </w:hyperlink>
      <w:r>
        <w:rPr>
          <w:spacing w:val="-2"/>
        </w:rPr>
        <w:t xml:space="preserve"> </w:t>
      </w:r>
      <w:r>
        <w:t>that have implemented a maltreatment code system</w:t>
      </w:r>
      <w:r>
        <w:rPr>
          <w:spacing w:val="-13"/>
        </w:rPr>
        <w:t xml:space="preserve"> </w:t>
      </w:r>
      <w:r>
        <w:t>that</w:t>
      </w:r>
      <w:r>
        <w:rPr>
          <w:spacing w:val="-12"/>
        </w:rPr>
        <w:t xml:space="preserve"> </w:t>
      </w:r>
      <w:r>
        <w:t>provides</w:t>
      </w:r>
      <w:r>
        <w:rPr>
          <w:spacing w:val="-13"/>
        </w:rPr>
        <w:t xml:space="preserve"> </w:t>
      </w:r>
      <w:r>
        <w:t>multiple</w:t>
      </w:r>
      <w:r>
        <w:rPr>
          <w:spacing w:val="-12"/>
        </w:rPr>
        <w:t xml:space="preserve"> </w:t>
      </w:r>
      <w:r>
        <w:t>benefits,</w:t>
      </w:r>
      <w:r>
        <w:rPr>
          <w:spacing w:val="-13"/>
        </w:rPr>
        <w:t xml:space="preserve"> </w:t>
      </w:r>
      <w:r>
        <w:t>including</w:t>
      </w:r>
      <w:r>
        <w:rPr>
          <w:spacing w:val="-12"/>
        </w:rPr>
        <w:t xml:space="preserve"> </w:t>
      </w:r>
      <w:r>
        <w:t>indicating</w:t>
      </w:r>
      <w:r>
        <w:rPr>
          <w:spacing w:val="-13"/>
        </w:rPr>
        <w:t xml:space="preserve"> </w:t>
      </w:r>
      <w:r>
        <w:t>and</w:t>
      </w:r>
      <w:r>
        <w:rPr>
          <w:spacing w:val="-12"/>
        </w:rPr>
        <w:t xml:space="preserve"> </w:t>
      </w:r>
      <w:r>
        <w:t>categorizing</w:t>
      </w:r>
      <w:r>
        <w:rPr>
          <w:spacing w:val="-12"/>
        </w:rPr>
        <w:t xml:space="preserve"> </w:t>
      </w:r>
      <w:r>
        <w:t>levels</w:t>
      </w:r>
      <w:r>
        <w:rPr>
          <w:spacing w:val="-13"/>
        </w:rPr>
        <w:t xml:space="preserve"> </w:t>
      </w:r>
      <w:r>
        <w:t>of</w:t>
      </w:r>
      <w:r>
        <w:rPr>
          <w:spacing w:val="-12"/>
        </w:rPr>
        <w:t xml:space="preserve"> </w:t>
      </w:r>
      <w:r>
        <w:t>imminent</w:t>
      </w:r>
      <w:r>
        <w:rPr>
          <w:spacing w:val="-13"/>
        </w:rPr>
        <w:t xml:space="preserve"> </w:t>
      </w:r>
      <w:r>
        <w:t>risk</w:t>
      </w:r>
      <w:r>
        <w:rPr>
          <w:spacing w:val="-12"/>
        </w:rPr>
        <w:t xml:space="preserve"> </w:t>
      </w:r>
      <w:r>
        <w:t>–</w:t>
      </w:r>
      <w:r>
        <w:rPr>
          <w:spacing w:val="-11"/>
        </w:rPr>
        <w:t xml:space="preserve"> </w:t>
      </w:r>
      <w:r>
        <w:t>used by social</w:t>
      </w:r>
      <w:r>
        <w:rPr>
          <w:spacing w:val="-2"/>
        </w:rPr>
        <w:t xml:space="preserve"> </w:t>
      </w:r>
      <w:r>
        <w:t>workers to</w:t>
      </w:r>
      <w:r>
        <w:rPr>
          <w:spacing w:val="-1"/>
        </w:rPr>
        <w:t xml:space="preserve"> </w:t>
      </w:r>
      <w:r>
        <w:t>better</w:t>
      </w:r>
      <w:r>
        <w:rPr>
          <w:spacing w:val="-4"/>
        </w:rPr>
        <w:t xml:space="preserve"> </w:t>
      </w:r>
      <w:r>
        <w:t>prepare and</w:t>
      </w:r>
      <w:r>
        <w:rPr>
          <w:spacing w:val="-3"/>
        </w:rPr>
        <w:t xml:space="preserve"> </w:t>
      </w:r>
      <w:r>
        <w:t>support</w:t>
      </w:r>
      <w:r>
        <w:rPr>
          <w:spacing w:val="-1"/>
        </w:rPr>
        <w:t xml:space="preserve"> </w:t>
      </w:r>
      <w:r>
        <w:t>youth</w:t>
      </w:r>
      <w:r>
        <w:rPr>
          <w:spacing w:val="-3"/>
        </w:rPr>
        <w:t xml:space="preserve"> </w:t>
      </w:r>
      <w:r>
        <w:t>in their</w:t>
      </w:r>
      <w:r>
        <w:rPr>
          <w:spacing w:val="-2"/>
        </w:rPr>
        <w:t xml:space="preserve"> </w:t>
      </w:r>
      <w:r>
        <w:t>caselo</w:t>
      </w:r>
      <w:r>
        <w:t>ad –</w:t>
      </w:r>
      <w:r>
        <w:rPr>
          <w:spacing w:val="-1"/>
        </w:rPr>
        <w:t xml:space="preserve"> </w:t>
      </w:r>
      <w:r>
        <w:t>as</w:t>
      </w:r>
      <w:r>
        <w:rPr>
          <w:spacing w:val="-2"/>
        </w:rPr>
        <w:t xml:space="preserve"> </w:t>
      </w:r>
      <w:r>
        <w:t>well</w:t>
      </w:r>
      <w:r>
        <w:rPr>
          <w:spacing w:val="-2"/>
        </w:rPr>
        <w:t xml:space="preserve"> </w:t>
      </w:r>
      <w:r>
        <w:t>as better</w:t>
      </w:r>
      <w:r>
        <w:rPr>
          <w:spacing w:val="-2"/>
        </w:rPr>
        <w:t xml:space="preserve"> </w:t>
      </w:r>
      <w:r>
        <w:t>categorizing a case’s</w:t>
      </w:r>
      <w:r>
        <w:rPr>
          <w:spacing w:val="-11"/>
        </w:rPr>
        <w:t xml:space="preserve"> </w:t>
      </w:r>
      <w:r>
        <w:t>eligibility</w:t>
      </w:r>
      <w:r>
        <w:rPr>
          <w:spacing w:val="-11"/>
        </w:rPr>
        <w:t xml:space="preserve"> </w:t>
      </w:r>
      <w:r>
        <w:t>for</w:t>
      </w:r>
      <w:r>
        <w:rPr>
          <w:spacing w:val="-11"/>
        </w:rPr>
        <w:t xml:space="preserve"> </w:t>
      </w:r>
      <w:r>
        <w:t>family</w:t>
      </w:r>
      <w:r>
        <w:rPr>
          <w:spacing w:val="-11"/>
        </w:rPr>
        <w:t xml:space="preserve"> </w:t>
      </w:r>
      <w:r>
        <w:t>preservation</w:t>
      </w:r>
      <w:r>
        <w:rPr>
          <w:spacing w:val="-12"/>
        </w:rPr>
        <w:t xml:space="preserve"> </w:t>
      </w:r>
      <w:r>
        <w:t>services;</w:t>
      </w:r>
      <w:r>
        <w:rPr>
          <w:spacing w:val="-10"/>
        </w:rPr>
        <w:t xml:space="preserve"> </w:t>
      </w:r>
      <w:r>
        <w:t>and</w:t>
      </w:r>
      <w:r>
        <w:rPr>
          <w:spacing w:val="-12"/>
        </w:rPr>
        <w:t xml:space="preserve"> </w:t>
      </w:r>
      <w:r>
        <w:t>providing</w:t>
      </w:r>
      <w:r>
        <w:rPr>
          <w:spacing w:val="-12"/>
        </w:rPr>
        <w:t xml:space="preserve"> </w:t>
      </w:r>
      <w:r>
        <w:t>the</w:t>
      </w:r>
      <w:r>
        <w:rPr>
          <w:spacing w:val="-11"/>
        </w:rPr>
        <w:t xml:space="preserve"> </w:t>
      </w:r>
      <w:r>
        <w:t>state</w:t>
      </w:r>
      <w:r>
        <w:rPr>
          <w:spacing w:val="-11"/>
        </w:rPr>
        <w:t xml:space="preserve"> </w:t>
      </w:r>
      <w:r>
        <w:t>and</w:t>
      </w:r>
      <w:r>
        <w:rPr>
          <w:spacing w:val="-12"/>
        </w:rPr>
        <w:t xml:space="preserve"> </w:t>
      </w:r>
      <w:r>
        <w:t>researchers</w:t>
      </w:r>
      <w:r>
        <w:rPr>
          <w:spacing w:val="-11"/>
        </w:rPr>
        <w:t xml:space="preserve"> </w:t>
      </w:r>
      <w:r>
        <w:t>with</w:t>
      </w:r>
      <w:r>
        <w:rPr>
          <w:spacing w:val="-12"/>
        </w:rPr>
        <w:t xml:space="preserve"> </w:t>
      </w:r>
      <w:r>
        <w:t>helpful</w:t>
      </w:r>
      <w:r>
        <w:rPr>
          <w:spacing w:val="-12"/>
        </w:rPr>
        <w:t xml:space="preserve"> </w:t>
      </w:r>
      <w:r>
        <w:t>data to</w:t>
      </w:r>
      <w:r>
        <w:rPr>
          <w:spacing w:val="-8"/>
        </w:rPr>
        <w:t xml:space="preserve"> </w:t>
      </w:r>
      <w:r>
        <w:t>better</w:t>
      </w:r>
      <w:r>
        <w:rPr>
          <w:spacing w:val="-9"/>
        </w:rPr>
        <w:t xml:space="preserve"> </w:t>
      </w:r>
      <w:r>
        <w:t>understand</w:t>
      </w:r>
      <w:r>
        <w:rPr>
          <w:spacing w:val="-10"/>
        </w:rPr>
        <w:t xml:space="preserve"> </w:t>
      </w:r>
      <w:r>
        <w:t>critical</w:t>
      </w:r>
      <w:r>
        <w:rPr>
          <w:spacing w:val="-9"/>
        </w:rPr>
        <w:t xml:space="preserve"> </w:t>
      </w:r>
      <w:r>
        <w:t>trends</w:t>
      </w:r>
      <w:r>
        <w:rPr>
          <w:spacing w:val="-9"/>
        </w:rPr>
        <w:t xml:space="preserve"> </w:t>
      </w:r>
      <w:r>
        <w:t>and</w:t>
      </w:r>
      <w:r>
        <w:rPr>
          <w:spacing w:val="-10"/>
        </w:rPr>
        <w:t xml:space="preserve"> </w:t>
      </w:r>
      <w:r>
        <w:t>gaps</w:t>
      </w:r>
      <w:r>
        <w:rPr>
          <w:spacing w:val="-9"/>
        </w:rPr>
        <w:t xml:space="preserve"> </w:t>
      </w:r>
      <w:r>
        <w:t>in</w:t>
      </w:r>
      <w:r>
        <w:rPr>
          <w:spacing w:val="-10"/>
        </w:rPr>
        <w:t xml:space="preserve"> </w:t>
      </w:r>
      <w:r>
        <w:t>case.</w:t>
      </w:r>
      <w:r>
        <w:rPr>
          <w:spacing w:val="-9"/>
        </w:rPr>
        <w:t xml:space="preserve"> </w:t>
      </w:r>
      <w:r>
        <w:t>Furthermore,</w:t>
      </w:r>
      <w:r>
        <w:rPr>
          <w:spacing w:val="-9"/>
        </w:rPr>
        <w:t xml:space="preserve"> </w:t>
      </w:r>
      <w:r>
        <w:t>proper</w:t>
      </w:r>
      <w:r>
        <w:rPr>
          <w:spacing w:val="-9"/>
        </w:rPr>
        <w:t xml:space="preserve"> </w:t>
      </w:r>
      <w:r>
        <w:t>coding</w:t>
      </w:r>
      <w:r>
        <w:rPr>
          <w:spacing w:val="-10"/>
        </w:rPr>
        <w:t xml:space="preserve"> </w:t>
      </w:r>
      <w:r>
        <w:t>of</w:t>
      </w:r>
      <w:r>
        <w:rPr>
          <w:spacing w:val="-9"/>
        </w:rPr>
        <w:t xml:space="preserve"> </w:t>
      </w:r>
      <w:r>
        <w:t>cases</w:t>
      </w:r>
      <w:r>
        <w:rPr>
          <w:spacing w:val="-9"/>
        </w:rPr>
        <w:t xml:space="preserve"> </w:t>
      </w:r>
      <w:r>
        <w:t>minimizes</w:t>
      </w:r>
      <w:r>
        <w:rPr>
          <w:spacing w:val="-9"/>
        </w:rPr>
        <w:t xml:space="preserve"> </w:t>
      </w:r>
      <w:r>
        <w:t>child abuse</w:t>
      </w:r>
      <w:r>
        <w:rPr>
          <w:spacing w:val="-6"/>
        </w:rPr>
        <w:t xml:space="preserve"> </w:t>
      </w:r>
      <w:r>
        <w:t>and</w:t>
      </w:r>
      <w:r>
        <w:rPr>
          <w:spacing w:val="-7"/>
        </w:rPr>
        <w:t xml:space="preserve"> </w:t>
      </w:r>
      <w:r>
        <w:t>neglect</w:t>
      </w:r>
      <w:r>
        <w:rPr>
          <w:spacing w:val="-6"/>
        </w:rPr>
        <w:t xml:space="preserve"> </w:t>
      </w:r>
      <w:r>
        <w:t>(CAN)</w:t>
      </w:r>
      <w:r>
        <w:rPr>
          <w:spacing w:val="-9"/>
        </w:rPr>
        <w:t xml:space="preserve"> </w:t>
      </w:r>
      <w:r>
        <w:t>registries</w:t>
      </w:r>
      <w:r>
        <w:rPr>
          <w:spacing w:val="-7"/>
        </w:rPr>
        <w:t xml:space="preserve"> </w:t>
      </w:r>
      <w:r>
        <w:t>for</w:t>
      </w:r>
      <w:r>
        <w:rPr>
          <w:spacing w:val="-7"/>
        </w:rPr>
        <w:t xml:space="preserve"> </w:t>
      </w:r>
      <w:r>
        <w:t>parents</w:t>
      </w:r>
      <w:r>
        <w:rPr>
          <w:spacing w:val="-7"/>
        </w:rPr>
        <w:t xml:space="preserve"> </w:t>
      </w:r>
      <w:r>
        <w:t>and</w:t>
      </w:r>
      <w:r>
        <w:rPr>
          <w:spacing w:val="-7"/>
        </w:rPr>
        <w:t xml:space="preserve"> </w:t>
      </w:r>
      <w:r>
        <w:t>families</w:t>
      </w:r>
      <w:r>
        <w:rPr>
          <w:spacing w:val="-7"/>
        </w:rPr>
        <w:t xml:space="preserve"> </w:t>
      </w:r>
      <w:r>
        <w:t>by</w:t>
      </w:r>
      <w:r>
        <w:rPr>
          <w:spacing w:val="-6"/>
        </w:rPr>
        <w:t xml:space="preserve"> </w:t>
      </w:r>
      <w:r>
        <w:t>supporting</w:t>
      </w:r>
      <w:r>
        <w:rPr>
          <w:spacing w:val="-7"/>
        </w:rPr>
        <w:t xml:space="preserve"> </w:t>
      </w:r>
      <w:r>
        <w:t>service</w:t>
      </w:r>
      <w:r>
        <w:rPr>
          <w:spacing w:val="-6"/>
        </w:rPr>
        <w:t xml:space="preserve"> </w:t>
      </w:r>
      <w:r>
        <w:t>intervention</w:t>
      </w:r>
      <w:r>
        <w:rPr>
          <w:spacing w:val="-7"/>
        </w:rPr>
        <w:t xml:space="preserve"> </w:t>
      </w:r>
      <w:r>
        <w:t>rather</w:t>
      </w:r>
      <w:r>
        <w:rPr>
          <w:spacing w:val="-7"/>
        </w:rPr>
        <w:t xml:space="preserve"> </w:t>
      </w:r>
      <w:r>
        <w:t xml:space="preserve">than a removal, as CAN registry can negatively impact caregivers’ economic status and ability to retain </w:t>
      </w:r>
      <w:r>
        <w:rPr>
          <w:spacing w:val="-2"/>
        </w:rPr>
        <w:t>employment.</w:t>
      </w:r>
    </w:p>
    <w:p w:rsidR="00200FDA" w:rsidRDefault="00200FDA">
      <w:pPr>
        <w:pStyle w:val="BodyText"/>
        <w:spacing w:before="8"/>
        <w:rPr>
          <w:sz w:val="19"/>
        </w:rPr>
      </w:pPr>
    </w:p>
    <w:p w:rsidR="00200FDA" w:rsidRDefault="00F76C4C">
      <w:pPr>
        <w:pStyle w:val="BodyText"/>
        <w:ind w:left="140" w:right="133"/>
        <w:jc w:val="both"/>
      </w:pPr>
      <w:r>
        <w:t>However,</w:t>
      </w:r>
      <w:r>
        <w:rPr>
          <w:spacing w:val="-4"/>
        </w:rPr>
        <w:t xml:space="preserve"> </w:t>
      </w:r>
      <w:r>
        <w:t>despite</w:t>
      </w:r>
      <w:r>
        <w:rPr>
          <w:spacing w:val="-6"/>
        </w:rPr>
        <w:t xml:space="preserve"> </w:t>
      </w:r>
      <w:r>
        <w:t>the</w:t>
      </w:r>
      <w:r>
        <w:rPr>
          <w:spacing w:val="-4"/>
        </w:rPr>
        <w:t xml:space="preserve"> </w:t>
      </w:r>
      <w:r>
        <w:t>unique</w:t>
      </w:r>
      <w:r>
        <w:rPr>
          <w:spacing w:val="-4"/>
        </w:rPr>
        <w:t xml:space="preserve"> </w:t>
      </w:r>
      <w:r>
        <w:t>exp</w:t>
      </w:r>
      <w:r>
        <w:t>eriences</w:t>
      </w:r>
      <w:r>
        <w:rPr>
          <w:spacing w:val="-4"/>
        </w:rPr>
        <w:t xml:space="preserve"> </w:t>
      </w:r>
      <w:r>
        <w:t>faced</w:t>
      </w:r>
      <w:r>
        <w:rPr>
          <w:spacing w:val="-5"/>
        </w:rPr>
        <w:t xml:space="preserve"> </w:t>
      </w:r>
      <w:r>
        <w:t>by</w:t>
      </w:r>
      <w:r>
        <w:rPr>
          <w:spacing w:val="-3"/>
        </w:rPr>
        <w:t xml:space="preserve"> </w:t>
      </w:r>
      <w:r>
        <w:t>LGBTQ</w:t>
      </w:r>
      <w:r>
        <w:rPr>
          <w:spacing w:val="-4"/>
        </w:rPr>
        <w:t xml:space="preserve"> </w:t>
      </w:r>
      <w:r>
        <w:t>youth</w:t>
      </w:r>
      <w:r>
        <w:rPr>
          <w:spacing w:val="-5"/>
        </w:rPr>
        <w:t xml:space="preserve"> </w:t>
      </w:r>
      <w:r>
        <w:t>who</w:t>
      </w:r>
      <w:r>
        <w:rPr>
          <w:spacing w:val="-5"/>
        </w:rPr>
        <w:t xml:space="preserve"> </w:t>
      </w:r>
      <w:r>
        <w:t>may</w:t>
      </w:r>
      <w:r>
        <w:rPr>
          <w:spacing w:val="-3"/>
        </w:rPr>
        <w:t xml:space="preserve"> </w:t>
      </w:r>
      <w:r>
        <w:t>be</w:t>
      </w:r>
      <w:r>
        <w:rPr>
          <w:spacing w:val="-4"/>
        </w:rPr>
        <w:t xml:space="preserve"> </w:t>
      </w:r>
      <w:r>
        <w:t>in</w:t>
      </w:r>
      <w:r>
        <w:rPr>
          <w:spacing w:val="-5"/>
        </w:rPr>
        <w:t xml:space="preserve"> </w:t>
      </w:r>
      <w:r>
        <w:t>the</w:t>
      </w:r>
      <w:r>
        <w:rPr>
          <w:spacing w:val="-4"/>
        </w:rPr>
        <w:t xml:space="preserve"> </w:t>
      </w:r>
      <w:r>
        <w:t>child</w:t>
      </w:r>
      <w:r>
        <w:rPr>
          <w:spacing w:val="-5"/>
        </w:rPr>
        <w:t xml:space="preserve"> </w:t>
      </w:r>
      <w:r>
        <w:t>welfare</w:t>
      </w:r>
      <w:r>
        <w:rPr>
          <w:spacing w:val="-4"/>
        </w:rPr>
        <w:t xml:space="preserve"> </w:t>
      </w:r>
      <w:r>
        <w:t>system, or may potentially become involved in the system, no state has any LGBTQ-specific codes to support youth, providers, and families. Without these codes, collecting more comprehensive qualitative and quantitative data on LGBTQ youth maltreatment expe</w:t>
      </w:r>
      <w:r>
        <w:t>riences is incredibly difficult.</w:t>
      </w:r>
      <w:hyperlink w:anchor="_bookmark13" w:history="1">
        <w:r>
          <w:rPr>
            <w:vertAlign w:val="superscript"/>
          </w:rPr>
          <w:t>8</w:t>
        </w:r>
      </w:hyperlink>
    </w:p>
    <w:p w:rsidR="00200FDA" w:rsidRDefault="00200FDA">
      <w:pPr>
        <w:pStyle w:val="BodyText"/>
        <w:spacing w:before="7"/>
        <w:rPr>
          <w:sz w:val="19"/>
        </w:rPr>
      </w:pPr>
    </w:p>
    <w:p w:rsidR="00200FDA" w:rsidRDefault="00F76C4C">
      <w:pPr>
        <w:pStyle w:val="Heading9"/>
        <w:numPr>
          <w:ilvl w:val="0"/>
          <w:numId w:val="36"/>
        </w:numPr>
        <w:tabs>
          <w:tab w:val="left" w:pos="378"/>
        </w:tabs>
        <w:ind w:left="139" w:right="136" w:firstLine="0"/>
      </w:pPr>
      <w:r>
        <w:t>Update Chapter 119, Section 89 of the Massachusetts General Laws to include the Commission on the Juvenile Justice Policy and Data Board as a voting member.</w:t>
      </w:r>
    </w:p>
    <w:p w:rsidR="00200FDA" w:rsidRDefault="00200FDA">
      <w:pPr>
        <w:pStyle w:val="BodyText"/>
        <w:spacing w:before="8"/>
        <w:rPr>
          <w:b/>
          <w:sz w:val="19"/>
        </w:rPr>
      </w:pPr>
    </w:p>
    <w:p w:rsidR="00200FDA" w:rsidRDefault="00F76C4C">
      <w:pPr>
        <w:pStyle w:val="BodyText"/>
        <w:ind w:left="140" w:right="134"/>
        <w:jc w:val="both"/>
      </w:pPr>
      <w:r>
        <w:t>As discussed further in this annual report, the Juvenile Justice Policy and Data Board (JJPAD) evaluates juvenile justice system policies and outcomes to make recommendations on areas of improvement. Risk factors</w:t>
      </w:r>
      <w:r>
        <w:rPr>
          <w:spacing w:val="-2"/>
        </w:rPr>
        <w:t xml:space="preserve"> </w:t>
      </w:r>
      <w:r>
        <w:t>for</w:t>
      </w:r>
      <w:r>
        <w:rPr>
          <w:spacing w:val="-2"/>
        </w:rPr>
        <w:t xml:space="preserve"> </w:t>
      </w:r>
      <w:r>
        <w:t>juvenile justice</w:t>
      </w:r>
      <w:r>
        <w:rPr>
          <w:spacing w:val="-1"/>
        </w:rPr>
        <w:t xml:space="preserve"> </w:t>
      </w:r>
      <w:r>
        <w:t>system</w:t>
      </w:r>
      <w:r>
        <w:rPr>
          <w:spacing w:val="-1"/>
        </w:rPr>
        <w:t xml:space="preserve"> </w:t>
      </w:r>
      <w:r>
        <w:t>involvement</w:t>
      </w:r>
      <w:r>
        <w:rPr>
          <w:spacing w:val="-1"/>
        </w:rPr>
        <w:t xml:space="preserve"> </w:t>
      </w:r>
      <w:r>
        <w:t>is</w:t>
      </w:r>
      <w:r>
        <w:rPr>
          <w:spacing w:val="-2"/>
        </w:rPr>
        <w:t xml:space="preserve"> </w:t>
      </w:r>
      <w:r>
        <w:t>involvement</w:t>
      </w:r>
      <w:r>
        <w:rPr>
          <w:spacing w:val="-1"/>
        </w:rPr>
        <w:t xml:space="preserve"> </w:t>
      </w:r>
      <w:r>
        <w:t>in</w:t>
      </w:r>
      <w:r>
        <w:rPr>
          <w:spacing w:val="-3"/>
        </w:rPr>
        <w:t xml:space="preserve"> </w:t>
      </w:r>
      <w:r>
        <w:t>the</w:t>
      </w:r>
      <w:r>
        <w:rPr>
          <w:spacing w:val="-1"/>
        </w:rPr>
        <w:t xml:space="preserve"> </w:t>
      </w:r>
      <w:r>
        <w:t>child</w:t>
      </w:r>
      <w:r>
        <w:rPr>
          <w:spacing w:val="-3"/>
        </w:rPr>
        <w:t xml:space="preserve"> </w:t>
      </w:r>
      <w:r>
        <w:t>welfare</w:t>
      </w:r>
      <w:r>
        <w:rPr>
          <w:spacing w:val="-1"/>
        </w:rPr>
        <w:t xml:space="preserve"> </w:t>
      </w:r>
      <w:r>
        <w:t>system,</w:t>
      </w:r>
      <w:r>
        <w:rPr>
          <w:spacing w:val="-2"/>
        </w:rPr>
        <w:t xml:space="preserve"> </w:t>
      </w:r>
      <w:r>
        <w:t>which</w:t>
      </w:r>
      <w:r>
        <w:rPr>
          <w:spacing w:val="-3"/>
        </w:rPr>
        <w:t xml:space="preserve"> </w:t>
      </w:r>
      <w:r>
        <w:t>also is a factor</w:t>
      </w:r>
      <w:r>
        <w:rPr>
          <w:spacing w:val="-9"/>
        </w:rPr>
        <w:t xml:space="preserve"> </w:t>
      </w:r>
      <w:r>
        <w:t>for</w:t>
      </w:r>
      <w:r>
        <w:rPr>
          <w:spacing w:val="-9"/>
        </w:rPr>
        <w:t xml:space="preserve"> </w:t>
      </w:r>
      <w:r>
        <w:t>childhood</w:t>
      </w:r>
      <w:r>
        <w:rPr>
          <w:spacing w:val="-10"/>
        </w:rPr>
        <w:t xml:space="preserve"> </w:t>
      </w:r>
      <w:r>
        <w:t>trauma.</w:t>
      </w:r>
      <w:r>
        <w:rPr>
          <w:spacing w:val="-7"/>
        </w:rPr>
        <w:t xml:space="preserve"> </w:t>
      </w:r>
      <w:r>
        <w:t>However,</w:t>
      </w:r>
      <w:r>
        <w:rPr>
          <w:spacing w:val="-7"/>
        </w:rPr>
        <w:t xml:space="preserve"> </w:t>
      </w:r>
      <w:r>
        <w:t>despite</w:t>
      </w:r>
      <w:r>
        <w:rPr>
          <w:spacing w:val="-6"/>
        </w:rPr>
        <w:t xml:space="preserve"> </w:t>
      </w:r>
      <w:r>
        <w:t>the</w:t>
      </w:r>
      <w:r>
        <w:rPr>
          <w:spacing w:val="-6"/>
        </w:rPr>
        <w:t xml:space="preserve"> </w:t>
      </w:r>
      <w:r>
        <w:t>fact</w:t>
      </w:r>
      <w:r>
        <w:rPr>
          <w:spacing w:val="-6"/>
        </w:rPr>
        <w:t xml:space="preserve"> </w:t>
      </w:r>
      <w:r>
        <w:t>that</w:t>
      </w:r>
      <w:r>
        <w:rPr>
          <w:spacing w:val="-9"/>
        </w:rPr>
        <w:t xml:space="preserve"> </w:t>
      </w:r>
      <w:r>
        <w:t>LGBTQ</w:t>
      </w:r>
      <w:r>
        <w:rPr>
          <w:spacing w:val="-6"/>
        </w:rPr>
        <w:t xml:space="preserve"> </w:t>
      </w:r>
      <w:r>
        <w:t>youth</w:t>
      </w:r>
      <w:r>
        <w:rPr>
          <w:spacing w:val="-10"/>
        </w:rPr>
        <w:t xml:space="preserve"> </w:t>
      </w:r>
      <w:r>
        <w:t>often</w:t>
      </w:r>
      <w:r>
        <w:rPr>
          <w:spacing w:val="-7"/>
        </w:rPr>
        <w:t xml:space="preserve"> </w:t>
      </w:r>
      <w:r>
        <w:t>face</w:t>
      </w:r>
      <w:r>
        <w:rPr>
          <w:spacing w:val="-6"/>
        </w:rPr>
        <w:t xml:space="preserve"> </w:t>
      </w:r>
      <w:r>
        <w:t>numerous</w:t>
      </w:r>
      <w:r>
        <w:rPr>
          <w:spacing w:val="-9"/>
        </w:rPr>
        <w:t xml:space="preserve"> </w:t>
      </w:r>
      <w:r>
        <w:t>disparities in both the child welfare and juvenile justice systems, there remains no formal and dedicated v</w:t>
      </w:r>
      <w:r>
        <w:t xml:space="preserve">oice for LGBTQ youth on JJPAD or its Childhood Trauma Task Force (CTTF). The Commission urges the legislature to address this concerning gap in representation by passing </w:t>
      </w:r>
      <w:r>
        <w:rPr>
          <w:i/>
        </w:rPr>
        <w:t xml:space="preserve">An Act Updating the Juvenile Justice Policy and Data Board </w:t>
      </w:r>
      <w:r>
        <w:rPr>
          <w:b/>
        </w:rPr>
        <w:t>(</w:t>
      </w:r>
      <w:hyperlink r:id="rId68">
        <w:r>
          <w:rPr>
            <w:b/>
            <w:color w:val="1154CC"/>
            <w:u w:val="single" w:color="1154CC"/>
          </w:rPr>
          <w:t>S. 78</w:t>
        </w:r>
      </w:hyperlink>
      <w:r>
        <w:rPr>
          <w:b/>
        </w:rPr>
        <w:t>)</w:t>
      </w:r>
      <w:r>
        <w:t>.</w:t>
      </w:r>
    </w:p>
    <w:p w:rsidR="00200FDA" w:rsidRDefault="00200FDA">
      <w:pPr>
        <w:pStyle w:val="BodyText"/>
        <w:spacing w:before="5"/>
        <w:rPr>
          <w:sz w:val="29"/>
        </w:rPr>
      </w:pPr>
    </w:p>
    <w:p w:rsidR="00200FDA" w:rsidRDefault="00F76C4C">
      <w:pPr>
        <w:pStyle w:val="Heading7"/>
        <w:spacing w:before="45"/>
        <w:ind w:left="140"/>
        <w:rPr>
          <w:i/>
        </w:rPr>
      </w:pPr>
      <w:r>
        <w:pict>
          <v:rect id="docshape149" o:spid="_x0000_s1408" style="position:absolute;left:0;text-align:left;margin-left:70.55pt;margin-top:20.25pt;width:470.9pt;height:.5pt;z-index:-15719936;mso-wrap-distance-left:0;mso-wrap-distance-right:0;mso-position-horizontal-relative:page" fillcolor="#4f81bc" stroked="f">
            <w10:wrap type="topAndBottom" anchorx="page"/>
          </v:rect>
        </w:pict>
      </w:r>
      <w:bookmarkStart w:id="67" w:name="Research:_Defining_what_it_means_for_You"/>
      <w:bookmarkEnd w:id="67"/>
      <w:r>
        <w:rPr>
          <w:color w:val="365F91"/>
        </w:rPr>
        <w:t>Research:</w:t>
      </w:r>
      <w:r>
        <w:rPr>
          <w:color w:val="365F91"/>
          <w:spacing w:val="-8"/>
        </w:rPr>
        <w:t xml:space="preserve"> </w:t>
      </w:r>
      <w:r>
        <w:rPr>
          <w:color w:val="365F91"/>
        </w:rPr>
        <w:t>Defining</w:t>
      </w:r>
      <w:r>
        <w:rPr>
          <w:color w:val="365F91"/>
          <w:spacing w:val="-5"/>
        </w:rPr>
        <w:t xml:space="preserve"> </w:t>
      </w:r>
      <w:r>
        <w:rPr>
          <w:color w:val="365F91"/>
        </w:rPr>
        <w:t>what</w:t>
      </w:r>
      <w:r>
        <w:rPr>
          <w:color w:val="365F91"/>
          <w:spacing w:val="-6"/>
        </w:rPr>
        <w:t xml:space="preserve"> </w:t>
      </w:r>
      <w:r>
        <w:rPr>
          <w:color w:val="365F91"/>
        </w:rPr>
        <w:t>it</w:t>
      </w:r>
      <w:r>
        <w:rPr>
          <w:color w:val="365F91"/>
          <w:spacing w:val="-5"/>
        </w:rPr>
        <w:t xml:space="preserve"> </w:t>
      </w:r>
      <w:r>
        <w:rPr>
          <w:color w:val="365F91"/>
        </w:rPr>
        <w:t>means</w:t>
      </w:r>
      <w:r>
        <w:rPr>
          <w:color w:val="365F91"/>
          <w:spacing w:val="-4"/>
        </w:rPr>
        <w:t xml:space="preserve"> </w:t>
      </w:r>
      <w:r>
        <w:rPr>
          <w:color w:val="365F91"/>
        </w:rPr>
        <w:t>for</w:t>
      </w:r>
      <w:r>
        <w:rPr>
          <w:color w:val="365F91"/>
          <w:spacing w:val="-5"/>
        </w:rPr>
        <w:t xml:space="preserve"> </w:t>
      </w:r>
      <w:r>
        <w:rPr>
          <w:color w:val="365F91"/>
        </w:rPr>
        <w:t>Youth</w:t>
      </w:r>
      <w:r>
        <w:rPr>
          <w:color w:val="365F91"/>
          <w:spacing w:val="-6"/>
        </w:rPr>
        <w:t xml:space="preserve"> </w:t>
      </w:r>
      <w:r>
        <w:rPr>
          <w:color w:val="365F91"/>
        </w:rPr>
        <w:t>to</w:t>
      </w:r>
      <w:r>
        <w:rPr>
          <w:color w:val="365F91"/>
          <w:spacing w:val="-4"/>
        </w:rPr>
        <w:t xml:space="preserve"> </w:t>
      </w:r>
      <w:r>
        <w:rPr>
          <w:i/>
          <w:color w:val="365F91"/>
          <w:spacing w:val="-2"/>
        </w:rPr>
        <w:t>Thrive</w:t>
      </w:r>
    </w:p>
    <w:p w:rsidR="00200FDA" w:rsidRDefault="00200FDA">
      <w:pPr>
        <w:pStyle w:val="BodyText"/>
        <w:rPr>
          <w:i/>
          <w:sz w:val="15"/>
        </w:rPr>
      </w:pPr>
    </w:p>
    <w:p w:rsidR="00200FDA" w:rsidRDefault="00F76C4C">
      <w:pPr>
        <w:pStyle w:val="BodyText"/>
        <w:spacing w:before="56" w:line="264" w:lineRule="auto"/>
        <w:ind w:left="140" w:right="134"/>
        <w:jc w:val="both"/>
      </w:pPr>
      <w:r>
        <w:t>The development of effective policies to support LGBTQ young people begins with an understanding of the</w:t>
      </w:r>
      <w:r>
        <w:rPr>
          <w:spacing w:val="-6"/>
        </w:rPr>
        <w:t xml:space="preserve"> </w:t>
      </w:r>
      <w:r>
        <w:t>youth</w:t>
      </w:r>
      <w:r>
        <w:rPr>
          <w:spacing w:val="-5"/>
        </w:rPr>
        <w:t xml:space="preserve"> </w:t>
      </w:r>
      <w:r>
        <w:t>themselves.</w:t>
      </w:r>
      <w:r>
        <w:rPr>
          <w:spacing w:val="-7"/>
        </w:rPr>
        <w:t xml:space="preserve"> </w:t>
      </w:r>
      <w:r>
        <w:t>F</w:t>
      </w:r>
      <w:r>
        <w:t>or</w:t>
      </w:r>
      <w:r>
        <w:rPr>
          <w:spacing w:val="-9"/>
        </w:rPr>
        <w:t xml:space="preserve"> </w:t>
      </w:r>
      <w:r>
        <w:t>many,</w:t>
      </w:r>
      <w:r>
        <w:rPr>
          <w:spacing w:val="-7"/>
        </w:rPr>
        <w:t xml:space="preserve"> </w:t>
      </w:r>
      <w:r>
        <w:t>their</w:t>
      </w:r>
      <w:r>
        <w:rPr>
          <w:spacing w:val="-4"/>
        </w:rPr>
        <w:t xml:space="preserve"> </w:t>
      </w:r>
      <w:r>
        <w:t>lived</w:t>
      </w:r>
      <w:r>
        <w:rPr>
          <w:spacing w:val="-7"/>
        </w:rPr>
        <w:t xml:space="preserve"> </w:t>
      </w:r>
      <w:r>
        <w:t>reality</w:t>
      </w:r>
      <w:r>
        <w:rPr>
          <w:spacing w:val="-6"/>
        </w:rPr>
        <w:t xml:space="preserve"> </w:t>
      </w:r>
      <w:r>
        <w:t>involves</w:t>
      </w:r>
      <w:r>
        <w:rPr>
          <w:spacing w:val="-4"/>
        </w:rPr>
        <w:t xml:space="preserve"> </w:t>
      </w:r>
      <w:r>
        <w:t>intersectionality—multiple</w:t>
      </w:r>
      <w:r>
        <w:rPr>
          <w:spacing w:val="-4"/>
        </w:rPr>
        <w:t xml:space="preserve"> </w:t>
      </w:r>
      <w:r>
        <w:t>layers</w:t>
      </w:r>
      <w:r>
        <w:rPr>
          <w:spacing w:val="-9"/>
        </w:rPr>
        <w:t xml:space="preserve"> </w:t>
      </w:r>
      <w:r>
        <w:t>of</w:t>
      </w:r>
      <w:r>
        <w:rPr>
          <w:spacing w:val="-5"/>
        </w:rPr>
        <w:t xml:space="preserve"> </w:t>
      </w:r>
      <w:r>
        <w:t>identity.</w:t>
      </w:r>
      <w:hyperlink w:anchor="_bookmark14" w:history="1">
        <w:r>
          <w:rPr>
            <w:vertAlign w:val="superscript"/>
          </w:rPr>
          <w:t>9</w:t>
        </w:r>
      </w:hyperlink>
      <w:r>
        <w:t xml:space="preserve"> An LGBTQ young person, already a member of a vulnerable group, may belong to multiple groups, including racial, ethnic, linguistic, religious, cognitive, and ability-related minorities. Many of the Commonwealth’s</w:t>
      </w:r>
      <w:r>
        <w:rPr>
          <w:spacing w:val="31"/>
        </w:rPr>
        <w:t xml:space="preserve"> </w:t>
      </w:r>
      <w:r>
        <w:t>LGBTQ</w:t>
      </w:r>
      <w:r>
        <w:rPr>
          <w:spacing w:val="31"/>
        </w:rPr>
        <w:t xml:space="preserve"> </w:t>
      </w:r>
      <w:r>
        <w:t>young</w:t>
      </w:r>
      <w:r>
        <w:rPr>
          <w:spacing w:val="33"/>
        </w:rPr>
        <w:t xml:space="preserve"> </w:t>
      </w:r>
      <w:r>
        <w:t>people</w:t>
      </w:r>
      <w:r>
        <w:rPr>
          <w:spacing w:val="32"/>
        </w:rPr>
        <w:t xml:space="preserve"> </w:t>
      </w:r>
      <w:r>
        <w:t>identify</w:t>
      </w:r>
      <w:r>
        <w:rPr>
          <w:spacing w:val="29"/>
        </w:rPr>
        <w:t xml:space="preserve"> </w:t>
      </w:r>
      <w:r>
        <w:t>with</w:t>
      </w:r>
      <w:r>
        <w:rPr>
          <w:spacing w:val="30"/>
        </w:rPr>
        <w:t xml:space="preserve"> </w:t>
      </w:r>
      <w:r>
        <w:t>multiple</w:t>
      </w:r>
      <w:r>
        <w:rPr>
          <w:spacing w:val="34"/>
        </w:rPr>
        <w:t xml:space="preserve"> </w:t>
      </w:r>
      <w:r>
        <w:t>groups,</w:t>
      </w:r>
      <w:r>
        <w:rPr>
          <w:spacing w:val="31"/>
        </w:rPr>
        <w:t xml:space="preserve"> </w:t>
      </w:r>
      <w:r>
        <w:t>and</w:t>
      </w:r>
      <w:r>
        <w:rPr>
          <w:spacing w:val="33"/>
        </w:rPr>
        <w:t xml:space="preserve"> </w:t>
      </w:r>
      <w:r>
        <w:t>this</w:t>
      </w:r>
      <w:r>
        <w:rPr>
          <w:spacing w:val="31"/>
        </w:rPr>
        <w:t xml:space="preserve"> </w:t>
      </w:r>
      <w:r>
        <w:t>intersectionality</w:t>
      </w:r>
      <w:r>
        <w:rPr>
          <w:spacing w:val="34"/>
        </w:rPr>
        <w:t xml:space="preserve"> </w:t>
      </w:r>
      <w:r>
        <w:t>holds</w:t>
      </w:r>
    </w:p>
    <w:p w:rsidR="00200FDA" w:rsidRDefault="00200FDA">
      <w:pPr>
        <w:spacing w:line="264" w:lineRule="auto"/>
        <w:jc w:val="both"/>
        <w:sectPr w:rsidR="00200FDA">
          <w:pgSz w:w="12240" w:h="15840"/>
          <w:pgMar w:top="1360" w:right="1300" w:bottom="1240" w:left="1300" w:header="761" w:footer="1043" w:gutter="0"/>
          <w:cols w:space="720"/>
        </w:sectPr>
      </w:pPr>
    </w:p>
    <w:p w:rsidR="00200FDA" w:rsidRDefault="00F76C4C">
      <w:pPr>
        <w:pStyle w:val="BodyText"/>
        <w:spacing w:before="64" w:line="264" w:lineRule="auto"/>
        <w:ind w:left="139" w:right="134"/>
        <w:jc w:val="both"/>
      </w:pPr>
      <w:r>
        <w:lastRenderedPageBreak/>
        <w:t>significant implications, both for opportunity and for oppression. Diversity merits positive recognition as a</w:t>
      </w:r>
      <w:r>
        <w:rPr>
          <w:spacing w:val="-3"/>
        </w:rPr>
        <w:t xml:space="preserve"> </w:t>
      </w:r>
      <w:r>
        <w:t>source</w:t>
      </w:r>
      <w:r>
        <w:rPr>
          <w:spacing w:val="-3"/>
        </w:rPr>
        <w:t xml:space="preserve"> </w:t>
      </w:r>
      <w:r>
        <w:t>of</w:t>
      </w:r>
      <w:r>
        <w:rPr>
          <w:spacing w:val="-6"/>
        </w:rPr>
        <w:t xml:space="preserve"> </w:t>
      </w:r>
      <w:r>
        <w:t>strength</w:t>
      </w:r>
      <w:r>
        <w:rPr>
          <w:spacing w:val="-4"/>
        </w:rPr>
        <w:t xml:space="preserve"> </w:t>
      </w:r>
      <w:r>
        <w:t>for</w:t>
      </w:r>
      <w:r>
        <w:rPr>
          <w:spacing w:val="-6"/>
        </w:rPr>
        <w:t xml:space="preserve"> </w:t>
      </w:r>
      <w:r>
        <w:t>our</w:t>
      </w:r>
      <w:r>
        <w:rPr>
          <w:spacing w:val="-6"/>
        </w:rPr>
        <w:t xml:space="preserve"> </w:t>
      </w:r>
      <w:r>
        <w:t>society.</w:t>
      </w:r>
      <w:r>
        <w:rPr>
          <w:spacing w:val="-4"/>
        </w:rPr>
        <w:t xml:space="preserve"> </w:t>
      </w:r>
      <w:r>
        <w:t>However,</w:t>
      </w:r>
      <w:r>
        <w:rPr>
          <w:spacing w:val="-3"/>
        </w:rPr>
        <w:t xml:space="preserve"> </w:t>
      </w:r>
      <w:r>
        <w:t>as</w:t>
      </w:r>
      <w:r>
        <w:rPr>
          <w:spacing w:val="-3"/>
        </w:rPr>
        <w:t xml:space="preserve"> </w:t>
      </w:r>
      <w:r>
        <w:t>detailed</w:t>
      </w:r>
      <w:r>
        <w:rPr>
          <w:spacing w:val="-4"/>
        </w:rPr>
        <w:t xml:space="preserve"> </w:t>
      </w:r>
      <w:r>
        <w:t>further</w:t>
      </w:r>
      <w:r>
        <w:rPr>
          <w:spacing w:val="-3"/>
        </w:rPr>
        <w:t xml:space="preserve"> </w:t>
      </w:r>
      <w:r>
        <w:t>in</w:t>
      </w:r>
      <w:r>
        <w:rPr>
          <w:spacing w:val="-4"/>
        </w:rPr>
        <w:t xml:space="preserve"> </w:t>
      </w:r>
      <w:r>
        <w:t>several</w:t>
      </w:r>
      <w:r>
        <w:rPr>
          <w:spacing w:val="-4"/>
        </w:rPr>
        <w:t xml:space="preserve"> </w:t>
      </w:r>
      <w:r>
        <w:t>of</w:t>
      </w:r>
      <w:r>
        <w:rPr>
          <w:spacing w:val="-6"/>
        </w:rPr>
        <w:t xml:space="preserve"> </w:t>
      </w:r>
      <w:r>
        <w:t>the</w:t>
      </w:r>
      <w:r>
        <w:rPr>
          <w:spacing w:val="-5"/>
        </w:rPr>
        <w:t xml:space="preserve"> </w:t>
      </w:r>
      <w:r>
        <w:t>subseque</w:t>
      </w:r>
      <w:r>
        <w:t>nt</w:t>
      </w:r>
      <w:r>
        <w:rPr>
          <w:spacing w:val="-3"/>
        </w:rPr>
        <w:t xml:space="preserve"> </w:t>
      </w:r>
      <w:r>
        <w:t>sections</w:t>
      </w:r>
      <w:r>
        <w:rPr>
          <w:spacing w:val="-6"/>
        </w:rPr>
        <w:t xml:space="preserve"> </w:t>
      </w:r>
      <w:r>
        <w:t>of the Commission’s report, the harsh realities of minority stress experienced by LGBTQ youth</w:t>
      </w:r>
      <w:hyperlink w:anchor="_bookmark15" w:history="1">
        <w:r>
          <w:rPr>
            <w:vertAlign w:val="superscript"/>
          </w:rPr>
          <w:t>10</w:t>
        </w:r>
      </w:hyperlink>
      <w:r>
        <w:t xml:space="preserve"> can be compounded when youth identify with additional minority groups. A recent report from The Trevor Project illust</w:t>
      </w:r>
      <w:r>
        <w:t>rates this challenge,</w:t>
      </w:r>
    </w:p>
    <w:p w:rsidR="00200FDA" w:rsidRDefault="00200FDA">
      <w:pPr>
        <w:pStyle w:val="BodyText"/>
        <w:spacing w:before="7"/>
        <w:rPr>
          <w:sz w:val="19"/>
        </w:rPr>
      </w:pPr>
    </w:p>
    <w:p w:rsidR="00200FDA" w:rsidRDefault="00F76C4C">
      <w:pPr>
        <w:pStyle w:val="BodyText"/>
        <w:spacing w:line="264" w:lineRule="auto"/>
        <w:ind w:left="1023" w:right="1026" w:firstLine="3"/>
        <w:jc w:val="center"/>
      </w:pPr>
      <w:r>
        <w:rPr>
          <w:color w:val="4F81BC"/>
        </w:rPr>
        <w:t>“LGBTQ youth of color may have parents or caregivers who have concerns about their</w:t>
      </w:r>
      <w:r>
        <w:rPr>
          <w:color w:val="4F81BC"/>
          <w:spacing w:val="-3"/>
        </w:rPr>
        <w:t xml:space="preserve"> </w:t>
      </w:r>
      <w:r>
        <w:rPr>
          <w:color w:val="4F81BC"/>
        </w:rPr>
        <w:t>child</w:t>
      </w:r>
      <w:r>
        <w:rPr>
          <w:color w:val="4F81BC"/>
          <w:spacing w:val="-4"/>
        </w:rPr>
        <w:t xml:space="preserve"> </w:t>
      </w:r>
      <w:r>
        <w:rPr>
          <w:color w:val="4F81BC"/>
        </w:rPr>
        <w:t>facing</w:t>
      </w:r>
      <w:r>
        <w:rPr>
          <w:color w:val="4F81BC"/>
          <w:spacing w:val="-4"/>
        </w:rPr>
        <w:t xml:space="preserve"> </w:t>
      </w:r>
      <w:r>
        <w:rPr>
          <w:color w:val="4F81BC"/>
        </w:rPr>
        <w:t>further</w:t>
      </w:r>
      <w:r>
        <w:rPr>
          <w:color w:val="4F81BC"/>
          <w:spacing w:val="-3"/>
        </w:rPr>
        <w:t xml:space="preserve"> </w:t>
      </w:r>
      <w:r>
        <w:rPr>
          <w:color w:val="4F81BC"/>
        </w:rPr>
        <w:t>discrimination</w:t>
      </w:r>
      <w:r>
        <w:rPr>
          <w:color w:val="4F81BC"/>
          <w:spacing w:val="-4"/>
        </w:rPr>
        <w:t xml:space="preserve"> </w:t>
      </w:r>
      <w:r>
        <w:rPr>
          <w:color w:val="4F81BC"/>
        </w:rPr>
        <w:t>and</w:t>
      </w:r>
      <w:r>
        <w:rPr>
          <w:color w:val="4F81BC"/>
          <w:spacing w:val="-6"/>
        </w:rPr>
        <w:t xml:space="preserve"> </w:t>
      </w:r>
      <w:r>
        <w:rPr>
          <w:color w:val="4F81BC"/>
        </w:rPr>
        <w:t>victimization</w:t>
      </w:r>
      <w:r>
        <w:rPr>
          <w:color w:val="4F81BC"/>
          <w:spacing w:val="-4"/>
        </w:rPr>
        <w:t xml:space="preserve"> </w:t>
      </w:r>
      <w:r>
        <w:rPr>
          <w:color w:val="4F81BC"/>
        </w:rPr>
        <w:t>on</w:t>
      </w:r>
      <w:r>
        <w:rPr>
          <w:color w:val="4F81BC"/>
          <w:spacing w:val="-6"/>
        </w:rPr>
        <w:t xml:space="preserve"> </w:t>
      </w:r>
      <w:r>
        <w:rPr>
          <w:color w:val="4F81BC"/>
        </w:rPr>
        <w:t>top</w:t>
      </w:r>
      <w:r>
        <w:rPr>
          <w:color w:val="4F81BC"/>
          <w:spacing w:val="-6"/>
        </w:rPr>
        <w:t xml:space="preserve"> </w:t>
      </w:r>
      <w:r>
        <w:rPr>
          <w:color w:val="4F81BC"/>
        </w:rPr>
        <w:t>of</w:t>
      </w:r>
      <w:r>
        <w:rPr>
          <w:color w:val="4F81BC"/>
          <w:spacing w:val="-5"/>
        </w:rPr>
        <w:t xml:space="preserve"> </w:t>
      </w:r>
      <w:r>
        <w:rPr>
          <w:color w:val="4F81BC"/>
        </w:rPr>
        <w:t>their</w:t>
      </w:r>
      <w:r>
        <w:rPr>
          <w:color w:val="4F81BC"/>
          <w:spacing w:val="-3"/>
        </w:rPr>
        <w:t xml:space="preserve"> </w:t>
      </w:r>
      <w:r>
        <w:rPr>
          <w:color w:val="4F81BC"/>
        </w:rPr>
        <w:t>racial/ethnic identity and may feel that withholding support for their sexual orientation is in the best interest of their safety.”</w:t>
      </w:r>
      <w:hyperlink w:anchor="_bookmark16" w:history="1">
        <w:r>
          <w:rPr>
            <w:color w:val="4F81BC"/>
            <w:vertAlign w:val="superscript"/>
          </w:rPr>
          <w:t>11</w:t>
        </w:r>
      </w:hyperlink>
    </w:p>
    <w:p w:rsidR="00200FDA" w:rsidRDefault="00200FDA">
      <w:pPr>
        <w:pStyle w:val="BodyText"/>
        <w:spacing w:before="9"/>
        <w:rPr>
          <w:sz w:val="19"/>
        </w:rPr>
      </w:pPr>
    </w:p>
    <w:p w:rsidR="00200FDA" w:rsidRDefault="00F76C4C">
      <w:pPr>
        <w:pStyle w:val="BodyText"/>
        <w:spacing w:line="264" w:lineRule="auto"/>
        <w:ind w:left="139" w:right="135"/>
        <w:jc w:val="both"/>
      </w:pPr>
      <w:r>
        <w:t>Leaders are called to recognize the complexities</w:t>
      </w:r>
      <w:r>
        <w:rPr>
          <w:spacing w:val="-2"/>
        </w:rPr>
        <w:t xml:space="preserve"> </w:t>
      </w:r>
      <w:r>
        <w:t>of identity as</w:t>
      </w:r>
      <w:r>
        <w:rPr>
          <w:spacing w:val="-2"/>
        </w:rPr>
        <w:t xml:space="preserve"> </w:t>
      </w:r>
      <w:r>
        <w:t>they consider effective, c</w:t>
      </w:r>
      <w:r>
        <w:t>ulturally relevant policies. Specifically, throughout this report, we seek to illuminate the underserved needs of QTBIPOC (Queer, Trans, Black, Indigenous People of Color</w:t>
      </w:r>
      <w:r>
        <w:rPr>
          <w:color w:val="6F2F9F"/>
        </w:rPr>
        <w:t xml:space="preserve">) </w:t>
      </w:r>
      <w:r>
        <w:t>youth in the Commonwealth. Further, we believe that to truly serve all youth implies</w:t>
      </w:r>
      <w:r>
        <w:t xml:space="preserve"> that the voices and realities of young people themselves</w:t>
      </w:r>
      <w:r>
        <w:rPr>
          <w:spacing w:val="-2"/>
        </w:rPr>
        <w:t xml:space="preserve"> </w:t>
      </w:r>
      <w:r>
        <w:t>must inform the decisions made in their names.</w:t>
      </w:r>
    </w:p>
    <w:p w:rsidR="00200FDA" w:rsidRDefault="00200FDA">
      <w:pPr>
        <w:pStyle w:val="BodyText"/>
        <w:spacing w:before="7"/>
        <w:rPr>
          <w:sz w:val="19"/>
        </w:rPr>
      </w:pPr>
    </w:p>
    <w:p w:rsidR="00200FDA" w:rsidRDefault="00F76C4C">
      <w:pPr>
        <w:pStyle w:val="BodyText"/>
        <w:spacing w:before="1" w:line="264" w:lineRule="auto"/>
        <w:ind w:left="139" w:right="134"/>
        <w:jc w:val="both"/>
      </w:pPr>
      <w:r>
        <w:t>Though</w:t>
      </w:r>
      <w:r>
        <w:rPr>
          <w:spacing w:val="-3"/>
        </w:rPr>
        <w:t xml:space="preserve"> </w:t>
      </w:r>
      <w:r>
        <w:t>at</w:t>
      </w:r>
      <w:r>
        <w:rPr>
          <w:spacing w:val="-1"/>
        </w:rPr>
        <w:t xml:space="preserve"> </w:t>
      </w:r>
      <w:r>
        <w:t>first</w:t>
      </w:r>
      <w:r>
        <w:rPr>
          <w:spacing w:val="-1"/>
        </w:rPr>
        <w:t xml:space="preserve"> </w:t>
      </w:r>
      <w:r>
        <w:t>glance,</w:t>
      </w:r>
      <w:r>
        <w:rPr>
          <w:spacing w:val="-2"/>
        </w:rPr>
        <w:t xml:space="preserve"> </w:t>
      </w:r>
      <w:r>
        <w:t>an</w:t>
      </w:r>
      <w:r>
        <w:rPr>
          <w:spacing w:val="-3"/>
        </w:rPr>
        <w:t xml:space="preserve"> </w:t>
      </w:r>
      <w:r>
        <w:t>understanding</w:t>
      </w:r>
      <w:r>
        <w:rPr>
          <w:spacing w:val="-3"/>
        </w:rPr>
        <w:t xml:space="preserve"> </w:t>
      </w:r>
      <w:r>
        <w:t>of</w:t>
      </w:r>
      <w:r>
        <w:rPr>
          <w:spacing w:val="-5"/>
        </w:rPr>
        <w:t xml:space="preserve"> </w:t>
      </w:r>
      <w:r>
        <w:t>well-being</w:t>
      </w:r>
      <w:r>
        <w:rPr>
          <w:spacing w:val="-5"/>
        </w:rPr>
        <w:t xml:space="preserve"> </w:t>
      </w:r>
      <w:r>
        <w:t>may</w:t>
      </w:r>
      <w:r>
        <w:rPr>
          <w:spacing w:val="-4"/>
        </w:rPr>
        <w:t xml:space="preserve"> </w:t>
      </w:r>
      <w:r>
        <w:t>seem</w:t>
      </w:r>
      <w:r>
        <w:rPr>
          <w:spacing w:val="-3"/>
        </w:rPr>
        <w:t xml:space="preserve"> </w:t>
      </w:r>
      <w:r>
        <w:t>self-evident,</w:t>
      </w:r>
      <w:r>
        <w:rPr>
          <w:spacing w:val="-2"/>
        </w:rPr>
        <w:t xml:space="preserve"> </w:t>
      </w:r>
      <w:r>
        <w:t>some</w:t>
      </w:r>
      <w:r>
        <w:rPr>
          <w:spacing w:val="-4"/>
        </w:rPr>
        <w:t xml:space="preserve"> </w:t>
      </w:r>
      <w:r>
        <w:t>analysts</w:t>
      </w:r>
      <w:r>
        <w:rPr>
          <w:spacing w:val="-2"/>
        </w:rPr>
        <w:t xml:space="preserve"> </w:t>
      </w:r>
      <w:r>
        <w:t>believe</w:t>
      </w:r>
      <w:r>
        <w:rPr>
          <w:spacing w:val="-4"/>
        </w:rPr>
        <w:t xml:space="preserve"> </w:t>
      </w:r>
      <w:r>
        <w:t>that a lack of</w:t>
      </w:r>
      <w:r>
        <w:rPr>
          <w:spacing w:val="-2"/>
        </w:rPr>
        <w:t xml:space="preserve"> </w:t>
      </w:r>
      <w:r>
        <w:t>consensus on</w:t>
      </w:r>
      <w:r>
        <w:rPr>
          <w:spacing w:val="-3"/>
        </w:rPr>
        <w:t xml:space="preserve"> </w:t>
      </w:r>
      <w:r>
        <w:t>what children and yout</w:t>
      </w:r>
      <w:r>
        <w:t>h actually need to thrive is hampering the United States in the</w:t>
      </w:r>
      <w:r>
        <w:rPr>
          <w:spacing w:val="-13"/>
        </w:rPr>
        <w:t xml:space="preserve"> </w:t>
      </w:r>
      <w:r>
        <w:t>development</w:t>
      </w:r>
      <w:r>
        <w:rPr>
          <w:spacing w:val="-12"/>
        </w:rPr>
        <w:t xml:space="preserve"> </w:t>
      </w:r>
      <w:r>
        <w:t>of</w:t>
      </w:r>
      <w:r>
        <w:rPr>
          <w:spacing w:val="-13"/>
        </w:rPr>
        <w:t xml:space="preserve"> </w:t>
      </w:r>
      <w:r>
        <w:t>children’s</w:t>
      </w:r>
      <w:r>
        <w:rPr>
          <w:spacing w:val="-12"/>
        </w:rPr>
        <w:t xml:space="preserve"> </w:t>
      </w:r>
      <w:r>
        <w:t>rights</w:t>
      </w:r>
      <w:r>
        <w:rPr>
          <w:spacing w:val="-13"/>
        </w:rPr>
        <w:t xml:space="preserve"> </w:t>
      </w:r>
      <w:r>
        <w:t>policies</w:t>
      </w:r>
      <w:hyperlink r:id="rId69" w:anchor="heading%3Dh.3whwml4">
        <w:r>
          <w:t>.</w:t>
        </w:r>
        <w:r>
          <w:rPr>
            <w:vertAlign w:val="superscript"/>
          </w:rPr>
          <w:t>10</w:t>
        </w:r>
      </w:hyperlink>
      <w:r>
        <w:rPr>
          <w:spacing w:val="-12"/>
        </w:rPr>
        <w:t xml:space="preserve"> </w:t>
      </w:r>
      <w:r>
        <w:t>Child</w:t>
      </w:r>
      <w:r>
        <w:rPr>
          <w:spacing w:val="-13"/>
        </w:rPr>
        <w:t xml:space="preserve"> </w:t>
      </w:r>
      <w:r>
        <w:t>development</w:t>
      </w:r>
      <w:r>
        <w:rPr>
          <w:spacing w:val="-12"/>
        </w:rPr>
        <w:t xml:space="preserve"> </w:t>
      </w:r>
      <w:r>
        <w:t>experts</w:t>
      </w:r>
      <w:r>
        <w:rPr>
          <w:spacing w:val="-12"/>
        </w:rPr>
        <w:t xml:space="preserve"> </w:t>
      </w:r>
      <w:r>
        <w:t>worldwide,</w:t>
      </w:r>
      <w:r>
        <w:rPr>
          <w:spacing w:val="-13"/>
        </w:rPr>
        <w:t xml:space="preserve"> </w:t>
      </w:r>
      <w:r>
        <w:t>however,</w:t>
      </w:r>
      <w:r>
        <w:rPr>
          <w:spacing w:val="-12"/>
        </w:rPr>
        <w:t xml:space="preserve"> </w:t>
      </w:r>
      <w:r>
        <w:t>do</w:t>
      </w:r>
      <w:r>
        <w:rPr>
          <w:spacing w:val="-13"/>
        </w:rPr>
        <w:t xml:space="preserve"> </w:t>
      </w:r>
      <w:r>
        <w:t>concur that a holistic view of well-being for children and youth involves physical, medical, social, emotional, psychological,</w:t>
      </w:r>
      <w:r>
        <w:rPr>
          <w:spacing w:val="-8"/>
        </w:rPr>
        <w:t xml:space="preserve"> </w:t>
      </w:r>
      <w:r>
        <w:t>moral,</w:t>
      </w:r>
      <w:r>
        <w:rPr>
          <w:spacing w:val="-5"/>
        </w:rPr>
        <w:t xml:space="preserve"> </w:t>
      </w:r>
      <w:r>
        <w:t>and</w:t>
      </w:r>
      <w:r>
        <w:rPr>
          <w:spacing w:val="-8"/>
        </w:rPr>
        <w:t xml:space="preserve"> </w:t>
      </w:r>
      <w:r>
        <w:t>educational</w:t>
      </w:r>
      <w:r>
        <w:rPr>
          <w:spacing w:val="-6"/>
        </w:rPr>
        <w:t xml:space="preserve"> </w:t>
      </w:r>
      <w:r>
        <w:t>dimensions,</w:t>
      </w:r>
      <w:r>
        <w:rPr>
          <w:spacing w:val="-8"/>
        </w:rPr>
        <w:t xml:space="preserve"> </w:t>
      </w:r>
      <w:r>
        <w:t>which</w:t>
      </w:r>
      <w:r>
        <w:rPr>
          <w:spacing w:val="-6"/>
        </w:rPr>
        <w:t xml:space="preserve"> </w:t>
      </w:r>
      <w:r>
        <w:t>necessarily</w:t>
      </w:r>
      <w:r>
        <w:rPr>
          <w:spacing w:val="-5"/>
        </w:rPr>
        <w:t xml:space="preserve"> </w:t>
      </w:r>
      <w:r>
        <w:t>involve</w:t>
      </w:r>
      <w:r>
        <w:rPr>
          <w:spacing w:val="-7"/>
        </w:rPr>
        <w:t xml:space="preserve"> </w:t>
      </w:r>
      <w:r>
        <w:t>environmental,</w:t>
      </w:r>
      <w:r>
        <w:rPr>
          <w:spacing w:val="-8"/>
        </w:rPr>
        <w:t xml:space="preserve"> </w:t>
      </w:r>
      <w:r>
        <w:t>cultural,</w:t>
      </w:r>
      <w:r>
        <w:rPr>
          <w:spacing w:val="-5"/>
        </w:rPr>
        <w:t xml:space="preserve"> </w:t>
      </w:r>
      <w:r>
        <w:t>and artistic compone</w:t>
      </w:r>
      <w:r>
        <w:t>nts</w:t>
      </w:r>
      <w:hyperlink r:id="rId70" w:anchor="heading%3Dh.2bn6wsx">
        <w:r>
          <w:t>.</w:t>
        </w:r>
        <w:r>
          <w:rPr>
            <w:vertAlign w:val="superscript"/>
          </w:rPr>
          <w:t>11</w:t>
        </w:r>
      </w:hyperlink>
      <w:r>
        <w:t xml:space="preserve"> Dimensions of well-being promote thriving youth and thriving youth see hopeful futures for themselves as adults. Later sections of </w:t>
      </w:r>
      <w:r>
        <w:t>this report address each of these domains in detail.</w:t>
      </w:r>
    </w:p>
    <w:p w:rsidR="00200FDA" w:rsidRDefault="00200FDA">
      <w:pPr>
        <w:pStyle w:val="BodyText"/>
        <w:spacing w:before="8"/>
        <w:rPr>
          <w:sz w:val="19"/>
        </w:rPr>
      </w:pPr>
    </w:p>
    <w:p w:rsidR="00200FDA" w:rsidRDefault="00F76C4C">
      <w:pPr>
        <w:pStyle w:val="BodyText"/>
        <w:spacing w:before="1" w:line="264" w:lineRule="auto"/>
        <w:ind w:left="139" w:right="133"/>
        <w:jc w:val="both"/>
      </w:pPr>
      <w:r>
        <w:t>Of</w:t>
      </w:r>
      <w:r>
        <w:rPr>
          <w:spacing w:val="-2"/>
        </w:rPr>
        <w:t xml:space="preserve"> </w:t>
      </w:r>
      <w:r>
        <w:t>all</w:t>
      </w:r>
      <w:r>
        <w:rPr>
          <w:spacing w:val="-4"/>
        </w:rPr>
        <w:t xml:space="preserve"> </w:t>
      </w:r>
      <w:r>
        <w:t>the</w:t>
      </w:r>
      <w:r>
        <w:rPr>
          <w:spacing w:val="-4"/>
        </w:rPr>
        <w:t xml:space="preserve"> </w:t>
      </w:r>
      <w:r>
        <w:t>dimensions</w:t>
      </w:r>
      <w:r>
        <w:rPr>
          <w:spacing w:val="-4"/>
        </w:rPr>
        <w:t xml:space="preserve"> </w:t>
      </w:r>
      <w:r>
        <w:t>of</w:t>
      </w:r>
      <w:r>
        <w:rPr>
          <w:spacing w:val="-4"/>
        </w:rPr>
        <w:t xml:space="preserve"> </w:t>
      </w:r>
      <w:r>
        <w:t>wellbeing,</w:t>
      </w:r>
      <w:r>
        <w:rPr>
          <w:spacing w:val="-2"/>
        </w:rPr>
        <w:t xml:space="preserve"> </w:t>
      </w:r>
      <w:r>
        <w:t>emotional</w:t>
      </w:r>
      <w:r>
        <w:rPr>
          <w:spacing w:val="-4"/>
        </w:rPr>
        <w:t xml:space="preserve"> </w:t>
      </w:r>
      <w:r>
        <w:t>health</w:t>
      </w:r>
      <w:r>
        <w:rPr>
          <w:spacing w:val="-3"/>
        </w:rPr>
        <w:t xml:space="preserve"> </w:t>
      </w:r>
      <w:r>
        <w:t>continues</w:t>
      </w:r>
      <w:r>
        <w:rPr>
          <w:spacing w:val="-4"/>
        </w:rPr>
        <w:t xml:space="preserve"> </w:t>
      </w:r>
      <w:r>
        <w:t>to</w:t>
      </w:r>
      <w:r>
        <w:rPr>
          <w:spacing w:val="-1"/>
        </w:rPr>
        <w:t xml:space="preserve"> </w:t>
      </w:r>
      <w:r>
        <w:t>demand</w:t>
      </w:r>
      <w:r>
        <w:rPr>
          <w:spacing w:val="-5"/>
        </w:rPr>
        <w:t xml:space="preserve"> </w:t>
      </w:r>
      <w:r>
        <w:t>special</w:t>
      </w:r>
      <w:r>
        <w:rPr>
          <w:spacing w:val="-2"/>
        </w:rPr>
        <w:t xml:space="preserve"> </w:t>
      </w:r>
      <w:r>
        <w:t>attention</w:t>
      </w:r>
      <w:r>
        <w:rPr>
          <w:spacing w:val="-5"/>
        </w:rPr>
        <w:t xml:space="preserve"> </w:t>
      </w:r>
      <w:r>
        <w:t>as</w:t>
      </w:r>
      <w:r>
        <w:rPr>
          <w:spacing w:val="-4"/>
        </w:rPr>
        <w:t xml:space="preserve"> </w:t>
      </w:r>
      <w:r>
        <w:t>a</w:t>
      </w:r>
      <w:r>
        <w:rPr>
          <w:spacing w:val="-4"/>
        </w:rPr>
        <w:t xml:space="preserve"> </w:t>
      </w:r>
      <w:r>
        <w:t>leverage point for policymakers. Longstanding research underscores the specific importance of emotional health for LGBTQ youth, particularly in our politically polarized and often hostile climate. The research on emotional support for LGBTQ youth has evolv</w:t>
      </w:r>
      <w:r>
        <w:t>ed significantly in recent decades. Social scientists have developed models to foster family acceptance, even among unsupportive and reticent adults.</w:t>
      </w:r>
      <w:hyperlink r:id="rId71" w:anchor="heading%3Dh.qsh70q">
        <w:r>
          <w:rPr>
            <w:vertAlign w:val="superscript"/>
          </w:rPr>
          <w:t>12</w:t>
        </w:r>
      </w:hyperlink>
      <w:r>
        <w:t xml:space="preserve"> Specific supportive</w:t>
      </w:r>
      <w:r>
        <w:rPr>
          <w:spacing w:val="-4"/>
        </w:rPr>
        <w:t xml:space="preserve"> </w:t>
      </w:r>
      <w:r>
        <w:t>behaviors</w:t>
      </w:r>
      <w:r>
        <w:rPr>
          <w:spacing w:val="-4"/>
        </w:rPr>
        <w:t xml:space="preserve"> </w:t>
      </w:r>
      <w:r>
        <w:t>have</w:t>
      </w:r>
      <w:r>
        <w:rPr>
          <w:spacing w:val="-6"/>
        </w:rPr>
        <w:t xml:space="preserve"> </w:t>
      </w:r>
      <w:r>
        <w:t>been</w:t>
      </w:r>
      <w:r>
        <w:rPr>
          <w:spacing w:val="-5"/>
        </w:rPr>
        <w:t xml:space="preserve"> </w:t>
      </w:r>
      <w:r>
        <w:t>correlated</w:t>
      </w:r>
      <w:r>
        <w:rPr>
          <w:spacing w:val="-7"/>
        </w:rPr>
        <w:t xml:space="preserve"> </w:t>
      </w:r>
      <w:r>
        <w:t>with</w:t>
      </w:r>
      <w:r>
        <w:rPr>
          <w:spacing w:val="-5"/>
        </w:rPr>
        <w:t xml:space="preserve"> </w:t>
      </w:r>
      <w:r>
        <w:t>positive</w:t>
      </w:r>
      <w:r>
        <w:rPr>
          <w:spacing w:val="-6"/>
        </w:rPr>
        <w:t xml:space="preserve"> </w:t>
      </w:r>
      <w:r>
        <w:t>emotional</w:t>
      </w:r>
      <w:r>
        <w:rPr>
          <w:spacing w:val="-7"/>
        </w:rPr>
        <w:t xml:space="preserve"> </w:t>
      </w:r>
      <w:r>
        <w:t>outcomes</w:t>
      </w:r>
      <w:r>
        <w:rPr>
          <w:spacing w:val="-7"/>
        </w:rPr>
        <w:t xml:space="preserve"> </w:t>
      </w:r>
      <w:r>
        <w:t>for</w:t>
      </w:r>
      <w:r>
        <w:rPr>
          <w:spacing w:val="-7"/>
        </w:rPr>
        <w:t xml:space="preserve"> </w:t>
      </w:r>
      <w:r>
        <w:t>LGBTQ</w:t>
      </w:r>
      <w:r>
        <w:rPr>
          <w:spacing w:val="-7"/>
        </w:rPr>
        <w:t xml:space="preserve"> </w:t>
      </w:r>
      <w:r>
        <w:t>youth</w:t>
      </w:r>
      <w:hyperlink r:id="rId72" w:anchor="heading%3Dh.3as4poj">
        <w:r>
          <w:t>.</w:t>
        </w:r>
        <w:r>
          <w:rPr>
            <w:vertAlign w:val="superscript"/>
          </w:rPr>
          <w:t>13</w:t>
        </w:r>
      </w:hyperlink>
      <w:r>
        <w:rPr>
          <w:spacing w:val="-5"/>
        </w:rPr>
        <w:t xml:space="preserve"> </w:t>
      </w:r>
      <w:r>
        <w:t>Indeed, the</w:t>
      </w:r>
      <w:r>
        <w:rPr>
          <w:spacing w:val="-11"/>
        </w:rPr>
        <w:t xml:space="preserve"> </w:t>
      </w:r>
      <w:r>
        <w:t>ongoing</w:t>
      </w:r>
      <w:r>
        <w:rPr>
          <w:spacing w:val="-12"/>
        </w:rPr>
        <w:t xml:space="preserve"> </w:t>
      </w:r>
      <w:r>
        <w:t>pr</w:t>
      </w:r>
      <w:r>
        <w:t>esence</w:t>
      </w:r>
      <w:r>
        <w:rPr>
          <w:spacing w:val="-13"/>
        </w:rPr>
        <w:t xml:space="preserve"> </w:t>
      </w:r>
      <w:r>
        <w:t>of</w:t>
      </w:r>
      <w:r>
        <w:rPr>
          <w:spacing w:val="-11"/>
        </w:rPr>
        <w:t xml:space="preserve"> </w:t>
      </w:r>
      <w:r>
        <w:t>a</w:t>
      </w:r>
      <w:r>
        <w:rPr>
          <w:spacing w:val="-12"/>
        </w:rPr>
        <w:t xml:space="preserve"> </w:t>
      </w:r>
      <w:r>
        <w:t>single</w:t>
      </w:r>
      <w:r>
        <w:rPr>
          <w:spacing w:val="-11"/>
        </w:rPr>
        <w:t xml:space="preserve"> </w:t>
      </w:r>
      <w:r>
        <w:t>supportive</w:t>
      </w:r>
      <w:r>
        <w:rPr>
          <w:spacing w:val="-11"/>
        </w:rPr>
        <w:t xml:space="preserve"> </w:t>
      </w:r>
      <w:r>
        <w:t>adult</w:t>
      </w:r>
      <w:r>
        <w:rPr>
          <w:spacing w:val="-11"/>
        </w:rPr>
        <w:t xml:space="preserve"> </w:t>
      </w:r>
      <w:r>
        <w:t>can</w:t>
      </w:r>
      <w:r>
        <w:rPr>
          <w:spacing w:val="-12"/>
        </w:rPr>
        <w:t xml:space="preserve"> </w:t>
      </w:r>
      <w:r>
        <w:t>make</w:t>
      </w:r>
      <w:r>
        <w:rPr>
          <w:spacing w:val="-11"/>
        </w:rPr>
        <w:t xml:space="preserve"> </w:t>
      </w:r>
      <w:r>
        <w:t>an</w:t>
      </w:r>
      <w:r>
        <w:rPr>
          <w:spacing w:val="-12"/>
        </w:rPr>
        <w:t xml:space="preserve"> </w:t>
      </w:r>
      <w:r>
        <w:t>enormous</w:t>
      </w:r>
      <w:r>
        <w:rPr>
          <w:spacing w:val="-11"/>
        </w:rPr>
        <w:t xml:space="preserve"> </w:t>
      </w:r>
      <w:r>
        <w:t>difference</w:t>
      </w:r>
      <w:r>
        <w:rPr>
          <w:spacing w:val="-11"/>
        </w:rPr>
        <w:t xml:space="preserve"> </w:t>
      </w:r>
      <w:r>
        <w:t>to</w:t>
      </w:r>
      <w:r>
        <w:rPr>
          <w:spacing w:val="-10"/>
        </w:rPr>
        <w:t xml:space="preserve"> </w:t>
      </w:r>
      <w:r>
        <w:t>a</w:t>
      </w:r>
      <w:r>
        <w:rPr>
          <w:spacing w:val="-13"/>
        </w:rPr>
        <w:t xml:space="preserve"> </w:t>
      </w:r>
      <w:r>
        <w:t>vulnerable</w:t>
      </w:r>
      <w:r>
        <w:rPr>
          <w:spacing w:val="-10"/>
        </w:rPr>
        <w:t xml:space="preserve"> </w:t>
      </w:r>
      <w:r>
        <w:t xml:space="preserve">young </w:t>
      </w:r>
      <w:r>
        <w:rPr>
          <w:spacing w:val="-2"/>
        </w:rPr>
        <w:t>person.</w:t>
      </w:r>
    </w:p>
    <w:p w:rsidR="00200FDA" w:rsidRDefault="00200FDA">
      <w:pPr>
        <w:pStyle w:val="BodyText"/>
        <w:spacing w:before="8"/>
        <w:rPr>
          <w:sz w:val="19"/>
        </w:rPr>
      </w:pPr>
    </w:p>
    <w:p w:rsidR="00200FDA" w:rsidRDefault="00F76C4C">
      <w:pPr>
        <w:pStyle w:val="BodyText"/>
        <w:spacing w:line="264" w:lineRule="auto"/>
        <w:ind w:left="139" w:right="134"/>
        <w:jc w:val="both"/>
      </w:pPr>
      <w:r>
        <w:t>When</w:t>
      </w:r>
      <w:r>
        <w:rPr>
          <w:spacing w:val="-13"/>
        </w:rPr>
        <w:t xml:space="preserve"> </w:t>
      </w:r>
      <w:r>
        <w:t>the</w:t>
      </w:r>
      <w:r>
        <w:rPr>
          <w:spacing w:val="-12"/>
        </w:rPr>
        <w:t xml:space="preserve"> </w:t>
      </w:r>
      <w:r>
        <w:t>Commission</w:t>
      </w:r>
      <w:r>
        <w:rPr>
          <w:spacing w:val="-13"/>
        </w:rPr>
        <w:t xml:space="preserve"> </w:t>
      </w:r>
      <w:r>
        <w:t>on</w:t>
      </w:r>
      <w:r>
        <w:rPr>
          <w:spacing w:val="-12"/>
        </w:rPr>
        <w:t xml:space="preserve"> </w:t>
      </w:r>
      <w:r>
        <w:t>LGBTQ</w:t>
      </w:r>
      <w:r>
        <w:rPr>
          <w:spacing w:val="-13"/>
        </w:rPr>
        <w:t xml:space="preserve"> </w:t>
      </w:r>
      <w:r>
        <w:t>Youth</w:t>
      </w:r>
      <w:r>
        <w:rPr>
          <w:spacing w:val="-12"/>
        </w:rPr>
        <w:t xml:space="preserve"> </w:t>
      </w:r>
      <w:r>
        <w:t>was</w:t>
      </w:r>
      <w:r>
        <w:rPr>
          <w:spacing w:val="-13"/>
        </w:rPr>
        <w:t xml:space="preserve"> </w:t>
      </w:r>
      <w:r>
        <w:t>formed</w:t>
      </w:r>
      <w:r>
        <w:rPr>
          <w:spacing w:val="-12"/>
        </w:rPr>
        <w:t xml:space="preserve"> </w:t>
      </w:r>
      <w:r>
        <w:t>in</w:t>
      </w:r>
      <w:r>
        <w:rPr>
          <w:spacing w:val="-12"/>
        </w:rPr>
        <w:t xml:space="preserve"> </w:t>
      </w:r>
      <w:r>
        <w:t>1992,</w:t>
      </w:r>
      <w:r>
        <w:rPr>
          <w:spacing w:val="-13"/>
        </w:rPr>
        <w:t xml:space="preserve"> </w:t>
      </w:r>
      <w:r>
        <w:t>in</w:t>
      </w:r>
      <w:r>
        <w:rPr>
          <w:spacing w:val="-12"/>
        </w:rPr>
        <w:t xml:space="preserve"> </w:t>
      </w:r>
      <w:r>
        <w:t>the</w:t>
      </w:r>
      <w:r>
        <w:rPr>
          <w:spacing w:val="-12"/>
        </w:rPr>
        <w:t xml:space="preserve"> </w:t>
      </w:r>
      <w:r>
        <w:t>wake</w:t>
      </w:r>
      <w:r>
        <w:rPr>
          <w:spacing w:val="-12"/>
        </w:rPr>
        <w:t xml:space="preserve"> </w:t>
      </w:r>
      <w:r>
        <w:t>of</w:t>
      </w:r>
      <w:r>
        <w:rPr>
          <w:spacing w:val="-13"/>
        </w:rPr>
        <w:t xml:space="preserve"> </w:t>
      </w:r>
      <w:r>
        <w:t>alarming</w:t>
      </w:r>
      <w:r>
        <w:rPr>
          <w:spacing w:val="-11"/>
        </w:rPr>
        <w:t xml:space="preserve"> </w:t>
      </w:r>
      <w:r>
        <w:t>suicide</w:t>
      </w:r>
      <w:r>
        <w:rPr>
          <w:spacing w:val="-10"/>
        </w:rPr>
        <w:t xml:space="preserve"> </w:t>
      </w:r>
      <w:r>
        <w:t>trends</w:t>
      </w:r>
      <w:r>
        <w:rPr>
          <w:spacing w:val="-10"/>
        </w:rPr>
        <w:t xml:space="preserve"> </w:t>
      </w:r>
      <w:r>
        <w:t>among gay and lesbian youth, policy discussion focused primarily on reducing harm. Today, although harm reduction</w:t>
      </w:r>
      <w:r>
        <w:rPr>
          <w:spacing w:val="-12"/>
        </w:rPr>
        <w:t xml:space="preserve"> </w:t>
      </w:r>
      <w:r>
        <w:t>remains</w:t>
      </w:r>
      <w:r>
        <w:rPr>
          <w:spacing w:val="-10"/>
        </w:rPr>
        <w:t xml:space="preserve"> </w:t>
      </w:r>
      <w:r>
        <w:t>a</w:t>
      </w:r>
      <w:r>
        <w:rPr>
          <w:spacing w:val="-11"/>
        </w:rPr>
        <w:t xml:space="preserve"> </w:t>
      </w:r>
      <w:r>
        <w:t>priority,</w:t>
      </w:r>
      <w:r>
        <w:rPr>
          <w:spacing w:val="-10"/>
        </w:rPr>
        <w:t xml:space="preserve"> </w:t>
      </w:r>
      <w:r>
        <w:t>leaders</w:t>
      </w:r>
      <w:r>
        <w:rPr>
          <w:spacing w:val="-10"/>
        </w:rPr>
        <w:t xml:space="preserve"> </w:t>
      </w:r>
      <w:r>
        <w:t>have</w:t>
      </w:r>
      <w:r>
        <w:rPr>
          <w:spacing w:val="-10"/>
        </w:rPr>
        <w:t xml:space="preserve"> </w:t>
      </w:r>
      <w:r>
        <w:t>broadened</w:t>
      </w:r>
      <w:r>
        <w:rPr>
          <w:spacing w:val="-11"/>
        </w:rPr>
        <w:t xml:space="preserve"> </w:t>
      </w:r>
      <w:r>
        <w:t>the</w:t>
      </w:r>
      <w:r>
        <w:rPr>
          <w:spacing w:val="-10"/>
        </w:rPr>
        <w:t xml:space="preserve"> </w:t>
      </w:r>
      <w:r>
        <w:t>scope</w:t>
      </w:r>
      <w:r>
        <w:rPr>
          <w:spacing w:val="-12"/>
        </w:rPr>
        <w:t xml:space="preserve"> </w:t>
      </w:r>
      <w:r>
        <w:t>of</w:t>
      </w:r>
      <w:r>
        <w:rPr>
          <w:spacing w:val="-11"/>
        </w:rPr>
        <w:t xml:space="preserve"> </w:t>
      </w:r>
      <w:r>
        <w:t>their</w:t>
      </w:r>
      <w:r>
        <w:rPr>
          <w:spacing w:val="-11"/>
        </w:rPr>
        <w:t xml:space="preserve"> </w:t>
      </w:r>
      <w:r>
        <w:t>work</w:t>
      </w:r>
      <w:r>
        <w:rPr>
          <w:spacing w:val="-10"/>
        </w:rPr>
        <w:t xml:space="preserve"> </w:t>
      </w:r>
      <w:r>
        <w:t>to</w:t>
      </w:r>
      <w:r>
        <w:rPr>
          <w:spacing w:val="-9"/>
        </w:rPr>
        <w:t xml:space="preserve"> </w:t>
      </w:r>
      <w:r>
        <w:t>help</w:t>
      </w:r>
      <w:r>
        <w:rPr>
          <w:spacing w:val="-11"/>
        </w:rPr>
        <w:t xml:space="preserve"> </w:t>
      </w:r>
      <w:r>
        <w:t>LGBTQ</w:t>
      </w:r>
      <w:r>
        <w:rPr>
          <w:spacing w:val="-13"/>
        </w:rPr>
        <w:t xml:space="preserve"> </w:t>
      </w:r>
      <w:r>
        <w:t>young</w:t>
      </w:r>
      <w:r>
        <w:rPr>
          <w:spacing w:val="-11"/>
        </w:rPr>
        <w:t xml:space="preserve"> </w:t>
      </w:r>
      <w:r>
        <w:t>people realize the totality of their potential, both as</w:t>
      </w:r>
      <w:r>
        <w:t xml:space="preserve"> individuals and as important contributing members of society. </w:t>
      </w:r>
      <w:hyperlink r:id="rId73" w:anchor="heading%3Dh.1pxezwc">
        <w:r>
          <w:rPr>
            <w:vertAlign w:val="superscript"/>
          </w:rPr>
          <w:t>14</w:t>
        </w:r>
      </w:hyperlink>
      <w:r>
        <w:t xml:space="preserve"> The focus has expanded from surviving to thriving.</w:t>
      </w:r>
    </w:p>
    <w:p w:rsidR="00200FDA" w:rsidRDefault="00200FDA">
      <w:pPr>
        <w:pStyle w:val="BodyText"/>
        <w:rPr>
          <w:sz w:val="24"/>
        </w:rPr>
      </w:pPr>
    </w:p>
    <w:p w:rsidR="00200FDA" w:rsidRDefault="00F76C4C">
      <w:pPr>
        <w:pStyle w:val="Heading8"/>
        <w:spacing w:before="162"/>
      </w:pPr>
      <w:bookmarkStart w:id="68" w:name="The_International_Context:_Massachusetts"/>
      <w:bookmarkEnd w:id="68"/>
      <w:r>
        <w:rPr>
          <w:color w:val="365F91"/>
        </w:rPr>
        <w:t>The</w:t>
      </w:r>
      <w:r>
        <w:rPr>
          <w:color w:val="365F91"/>
          <w:spacing w:val="-4"/>
        </w:rPr>
        <w:t xml:space="preserve"> </w:t>
      </w:r>
      <w:r>
        <w:rPr>
          <w:color w:val="365F91"/>
        </w:rPr>
        <w:t>International</w:t>
      </w:r>
      <w:r>
        <w:rPr>
          <w:color w:val="365F91"/>
          <w:spacing w:val="-4"/>
        </w:rPr>
        <w:t xml:space="preserve"> </w:t>
      </w:r>
      <w:r>
        <w:rPr>
          <w:color w:val="365F91"/>
        </w:rPr>
        <w:t>Co</w:t>
      </w:r>
      <w:r>
        <w:rPr>
          <w:color w:val="365F91"/>
        </w:rPr>
        <w:t>ntext:</w:t>
      </w:r>
      <w:r>
        <w:rPr>
          <w:color w:val="365F91"/>
          <w:spacing w:val="-3"/>
        </w:rPr>
        <w:t xml:space="preserve"> </w:t>
      </w:r>
      <w:r>
        <w:rPr>
          <w:color w:val="365F91"/>
        </w:rPr>
        <w:t>Massachusetts</w:t>
      </w:r>
      <w:r>
        <w:rPr>
          <w:color w:val="365F91"/>
          <w:spacing w:val="-3"/>
        </w:rPr>
        <w:t xml:space="preserve"> </w:t>
      </w:r>
      <w:r>
        <w:rPr>
          <w:color w:val="365F91"/>
        </w:rPr>
        <w:t>As</w:t>
      </w:r>
      <w:r>
        <w:rPr>
          <w:color w:val="365F91"/>
          <w:spacing w:val="-2"/>
        </w:rPr>
        <w:t xml:space="preserve"> </w:t>
      </w:r>
      <w:r>
        <w:rPr>
          <w:color w:val="365F91"/>
        </w:rPr>
        <w:t>Compared</w:t>
      </w:r>
      <w:r>
        <w:rPr>
          <w:color w:val="365F91"/>
          <w:spacing w:val="-3"/>
        </w:rPr>
        <w:t xml:space="preserve"> </w:t>
      </w:r>
      <w:r>
        <w:rPr>
          <w:color w:val="365F91"/>
          <w:spacing w:val="-2"/>
        </w:rPr>
        <w:t>Internationally</w:t>
      </w:r>
    </w:p>
    <w:p w:rsidR="00200FDA" w:rsidRDefault="00200FDA">
      <w:pPr>
        <w:pStyle w:val="BodyText"/>
        <w:spacing w:before="8"/>
        <w:rPr>
          <w:sz w:val="19"/>
        </w:rPr>
      </w:pPr>
    </w:p>
    <w:p w:rsidR="00200FDA" w:rsidRDefault="00F76C4C">
      <w:pPr>
        <w:pStyle w:val="BodyText"/>
        <w:spacing w:line="264" w:lineRule="auto"/>
        <w:ind w:left="140" w:right="133" w:hanging="2"/>
        <w:jc w:val="center"/>
      </w:pPr>
      <w:r>
        <w:t>LGBTQ youth are first and foremost young people. Contrary to popular opinion, the sobering reality for children</w:t>
      </w:r>
      <w:r>
        <w:rPr>
          <w:spacing w:val="-3"/>
        </w:rPr>
        <w:t xml:space="preserve"> </w:t>
      </w:r>
      <w:r>
        <w:t>in</w:t>
      </w:r>
      <w:r>
        <w:rPr>
          <w:spacing w:val="-1"/>
        </w:rPr>
        <w:t xml:space="preserve"> </w:t>
      </w:r>
      <w:r>
        <w:t>the United States is that</w:t>
      </w:r>
      <w:r>
        <w:rPr>
          <w:spacing w:val="-1"/>
        </w:rPr>
        <w:t xml:space="preserve"> </w:t>
      </w:r>
      <w:r>
        <w:t>they lack</w:t>
      </w:r>
      <w:r>
        <w:rPr>
          <w:spacing w:val="-2"/>
        </w:rPr>
        <w:t xml:space="preserve"> </w:t>
      </w:r>
      <w:r>
        <w:t>most</w:t>
      </w:r>
      <w:r>
        <w:rPr>
          <w:spacing w:val="-1"/>
        </w:rPr>
        <w:t xml:space="preserve"> </w:t>
      </w:r>
      <w:r>
        <w:t>of</w:t>
      </w:r>
      <w:r>
        <w:rPr>
          <w:spacing w:val="-3"/>
        </w:rPr>
        <w:t xml:space="preserve"> </w:t>
      </w:r>
      <w:r>
        <w:t>the basic</w:t>
      </w:r>
      <w:r>
        <w:rPr>
          <w:spacing w:val="1"/>
        </w:rPr>
        <w:t xml:space="preserve"> </w:t>
      </w:r>
      <w:r>
        <w:t>human</w:t>
      </w:r>
      <w:r>
        <w:rPr>
          <w:spacing w:val="-1"/>
        </w:rPr>
        <w:t xml:space="preserve"> </w:t>
      </w:r>
      <w:r>
        <w:t>rights that children enjoy in</w:t>
      </w:r>
      <w:r>
        <w:rPr>
          <w:spacing w:val="-3"/>
        </w:rPr>
        <w:t xml:space="preserve"> </w:t>
      </w:r>
      <w:r>
        <w:rPr>
          <w:spacing w:val="-2"/>
        </w:rPr>
        <w:t>other</w:t>
      </w:r>
    </w:p>
    <w:p w:rsidR="00200FDA" w:rsidRDefault="00200FDA">
      <w:pPr>
        <w:spacing w:line="264" w:lineRule="auto"/>
        <w:jc w:val="center"/>
        <w:sectPr w:rsidR="00200FDA">
          <w:pgSz w:w="12240" w:h="15840"/>
          <w:pgMar w:top="1360" w:right="1300" w:bottom="1240" w:left="1300" w:header="761" w:footer="1043" w:gutter="0"/>
          <w:cols w:space="720"/>
        </w:sectPr>
      </w:pPr>
    </w:p>
    <w:p w:rsidR="00200FDA" w:rsidRDefault="00F76C4C">
      <w:pPr>
        <w:pStyle w:val="BodyText"/>
        <w:spacing w:before="64" w:line="264" w:lineRule="auto"/>
        <w:ind w:left="139" w:right="135"/>
        <w:jc w:val="both"/>
      </w:pPr>
      <w:r>
        <w:lastRenderedPageBreak/>
        <w:t>nations. The United States remains the only United Nations member state that has failed to ratify the most-ratified human rights treaty in world history: The United Nations Convention on the Rights of the Child</w:t>
      </w:r>
      <w:r>
        <w:rPr>
          <w:spacing w:val="-13"/>
        </w:rPr>
        <w:t xml:space="preserve"> </w:t>
      </w:r>
      <w:r>
        <w:t>(CRC).</w:t>
      </w:r>
      <w:hyperlink w:anchor="_bookmark17" w:history="1">
        <w:r>
          <w:rPr>
            <w:vertAlign w:val="superscript"/>
          </w:rPr>
          <w:t>12</w:t>
        </w:r>
      </w:hyperlink>
      <w:r>
        <w:rPr>
          <w:spacing w:val="-7"/>
        </w:rPr>
        <w:t xml:space="preserve"> </w:t>
      </w:r>
      <w:r>
        <w:t>Adopted</w:t>
      </w:r>
      <w:r>
        <w:rPr>
          <w:spacing w:val="-13"/>
        </w:rPr>
        <w:t xml:space="preserve"> </w:t>
      </w:r>
      <w:r>
        <w:t>in</w:t>
      </w:r>
      <w:r>
        <w:rPr>
          <w:spacing w:val="-12"/>
        </w:rPr>
        <w:t xml:space="preserve"> </w:t>
      </w:r>
      <w:r>
        <w:t>1989,</w:t>
      </w:r>
      <w:r>
        <w:rPr>
          <w:spacing w:val="-13"/>
        </w:rPr>
        <w:t xml:space="preserve"> </w:t>
      </w:r>
      <w:r>
        <w:t>the</w:t>
      </w:r>
      <w:r>
        <w:rPr>
          <w:spacing w:val="-11"/>
        </w:rPr>
        <w:t xml:space="preserve"> </w:t>
      </w:r>
      <w:r>
        <w:t>United</w:t>
      </w:r>
      <w:r>
        <w:rPr>
          <w:spacing w:val="-13"/>
        </w:rPr>
        <w:t xml:space="preserve"> </w:t>
      </w:r>
      <w:r>
        <w:t>Nations</w:t>
      </w:r>
      <w:r>
        <w:rPr>
          <w:spacing w:val="-12"/>
        </w:rPr>
        <w:t xml:space="preserve"> </w:t>
      </w:r>
      <w:r>
        <w:t>CRC</w:t>
      </w:r>
      <w:r>
        <w:rPr>
          <w:spacing w:val="-13"/>
        </w:rPr>
        <w:t xml:space="preserve"> </w:t>
      </w:r>
      <w:r>
        <w:t>offers</w:t>
      </w:r>
      <w:r>
        <w:rPr>
          <w:spacing w:val="-12"/>
        </w:rPr>
        <w:t xml:space="preserve"> </w:t>
      </w:r>
      <w:r>
        <w:t>a</w:t>
      </w:r>
      <w:r>
        <w:rPr>
          <w:spacing w:val="-13"/>
        </w:rPr>
        <w:t xml:space="preserve"> </w:t>
      </w:r>
      <w:r>
        <w:t>minimum</w:t>
      </w:r>
      <w:r>
        <w:rPr>
          <w:spacing w:val="-12"/>
        </w:rPr>
        <w:t xml:space="preserve"> </w:t>
      </w:r>
      <w:r>
        <w:t>standard</w:t>
      </w:r>
      <w:r>
        <w:rPr>
          <w:spacing w:val="-13"/>
        </w:rPr>
        <w:t xml:space="preserve"> </w:t>
      </w:r>
      <w:r>
        <w:t>for</w:t>
      </w:r>
      <w:r>
        <w:rPr>
          <w:spacing w:val="-12"/>
        </w:rPr>
        <w:t xml:space="preserve"> </w:t>
      </w:r>
      <w:r>
        <w:t>the</w:t>
      </w:r>
      <w:r>
        <w:rPr>
          <w:spacing w:val="-11"/>
        </w:rPr>
        <w:t xml:space="preserve"> </w:t>
      </w:r>
      <w:r>
        <w:t>legal</w:t>
      </w:r>
      <w:r>
        <w:rPr>
          <w:spacing w:val="-13"/>
        </w:rPr>
        <w:t xml:space="preserve"> </w:t>
      </w:r>
      <w:r>
        <w:t>protection of children and youth in domains that affect their well-being including child marriage, juvenile justice, child labor, corporal punishment, and educat</w:t>
      </w:r>
      <w:r>
        <w:t>ion, among other critical arenas.</w:t>
      </w:r>
    </w:p>
    <w:p w:rsidR="00200FDA" w:rsidRDefault="00200FDA">
      <w:pPr>
        <w:pStyle w:val="BodyText"/>
        <w:spacing w:before="7"/>
        <w:rPr>
          <w:sz w:val="19"/>
        </w:rPr>
      </w:pPr>
    </w:p>
    <w:p w:rsidR="00200FDA" w:rsidRDefault="00F76C4C">
      <w:pPr>
        <w:pStyle w:val="BodyText"/>
        <w:spacing w:line="264" w:lineRule="auto"/>
        <w:ind w:left="139" w:right="133"/>
        <w:jc w:val="both"/>
      </w:pPr>
      <w:r>
        <w:t>Given</w:t>
      </w:r>
      <w:r>
        <w:rPr>
          <w:spacing w:val="-4"/>
        </w:rPr>
        <w:t xml:space="preserve"> </w:t>
      </w:r>
      <w:r>
        <w:t>the</w:t>
      </w:r>
      <w:r>
        <w:rPr>
          <w:spacing w:val="-3"/>
        </w:rPr>
        <w:t xml:space="preserve"> </w:t>
      </w:r>
      <w:r>
        <w:t>impact</w:t>
      </w:r>
      <w:r>
        <w:rPr>
          <w:spacing w:val="-3"/>
        </w:rPr>
        <w:t xml:space="preserve"> </w:t>
      </w:r>
      <w:r>
        <w:t>of</w:t>
      </w:r>
      <w:r>
        <w:rPr>
          <w:spacing w:val="-3"/>
        </w:rPr>
        <w:t xml:space="preserve"> </w:t>
      </w:r>
      <w:r>
        <w:t>state-level</w:t>
      </w:r>
      <w:r>
        <w:rPr>
          <w:spacing w:val="-3"/>
        </w:rPr>
        <w:t xml:space="preserve"> </w:t>
      </w:r>
      <w:r>
        <w:t>laws</w:t>
      </w:r>
      <w:r>
        <w:rPr>
          <w:spacing w:val="-3"/>
        </w:rPr>
        <w:t xml:space="preserve"> </w:t>
      </w:r>
      <w:r>
        <w:t>on</w:t>
      </w:r>
      <w:r>
        <w:rPr>
          <w:spacing w:val="-4"/>
        </w:rPr>
        <w:t xml:space="preserve"> </w:t>
      </w:r>
      <w:r>
        <w:t>children’s</w:t>
      </w:r>
      <w:r>
        <w:rPr>
          <w:spacing w:val="-1"/>
        </w:rPr>
        <w:t xml:space="preserve"> </w:t>
      </w:r>
      <w:r>
        <w:t>rights</w:t>
      </w:r>
      <w:r>
        <w:rPr>
          <w:spacing w:val="-1"/>
        </w:rPr>
        <w:t xml:space="preserve"> </w:t>
      </w:r>
      <w:r>
        <w:t>in</w:t>
      </w:r>
      <w:r>
        <w:rPr>
          <w:spacing w:val="-4"/>
        </w:rPr>
        <w:t xml:space="preserve"> </w:t>
      </w:r>
      <w:r>
        <w:t>our</w:t>
      </w:r>
      <w:r>
        <w:rPr>
          <w:spacing w:val="-3"/>
        </w:rPr>
        <w:t xml:space="preserve"> </w:t>
      </w:r>
      <w:r>
        <w:t>country,</w:t>
      </w:r>
      <w:r>
        <w:rPr>
          <w:spacing w:val="-3"/>
        </w:rPr>
        <w:t xml:space="preserve"> </w:t>
      </w:r>
      <w:r>
        <w:t>the</w:t>
      </w:r>
      <w:r>
        <w:rPr>
          <w:spacing w:val="-3"/>
        </w:rPr>
        <w:t xml:space="preserve"> </w:t>
      </w:r>
      <w:r>
        <w:t>Human</w:t>
      </w:r>
      <w:r>
        <w:rPr>
          <w:spacing w:val="-2"/>
        </w:rPr>
        <w:t xml:space="preserve"> </w:t>
      </w:r>
      <w:r>
        <w:t>Rights</w:t>
      </w:r>
      <w:r>
        <w:rPr>
          <w:spacing w:val="-3"/>
        </w:rPr>
        <w:t xml:space="preserve"> </w:t>
      </w:r>
      <w:r>
        <w:t>Watch</w:t>
      </w:r>
      <w:r>
        <w:rPr>
          <w:spacing w:val="-4"/>
        </w:rPr>
        <w:t xml:space="preserve"> </w:t>
      </w:r>
      <w:r>
        <w:t>recently evaluated the laws of the individual 50 United States against four of the key protections of the United Nations Convention on the Rights of the Child: child marriage, corporal punishment, child labor, and juvenile justice.</w:t>
      </w:r>
      <w:hyperlink w:anchor="_bookmark18" w:history="1">
        <w:r>
          <w:rPr>
            <w:vertAlign w:val="superscript"/>
          </w:rPr>
          <w:t>13</w:t>
        </w:r>
      </w:hyperlink>
      <w:r>
        <w:rPr>
          <w:spacing w:val="-3"/>
        </w:rPr>
        <w:t xml:space="preserve"> </w:t>
      </w:r>
      <w:r>
        <w:t>Most states demonstrate overwhelming noncompliance with internationally accepted children’s rights standards. Only four states earned a C in the evaluation, and Massachusetts, which ranked fifth, earned a D. This evaluation merits significant atte</w:t>
      </w:r>
      <w:r>
        <w:t>ntion because it underscores key areas in which our state can make legal changes to bring the rights of all our children, including LGBTQ youth, up to the baseline level of other countries.</w:t>
      </w:r>
    </w:p>
    <w:p w:rsidR="00200FDA" w:rsidRDefault="00200FDA">
      <w:pPr>
        <w:pStyle w:val="BodyText"/>
        <w:spacing w:before="8"/>
        <w:rPr>
          <w:sz w:val="19"/>
        </w:rPr>
      </w:pPr>
    </w:p>
    <w:p w:rsidR="00200FDA" w:rsidRDefault="00F76C4C">
      <w:pPr>
        <w:pStyle w:val="BodyText"/>
        <w:spacing w:before="1" w:line="264" w:lineRule="auto"/>
        <w:ind w:left="4870" w:right="132"/>
        <w:jc w:val="both"/>
      </w:pPr>
      <w:r>
        <w:rPr>
          <w:noProof/>
        </w:rPr>
        <w:drawing>
          <wp:anchor distT="0" distB="0" distL="0" distR="0" simplePos="0" relativeHeight="15737856" behindDoc="0" locked="0" layoutInCell="1" allowOverlap="1">
            <wp:simplePos x="0" y="0"/>
            <wp:positionH relativeFrom="page">
              <wp:posOffset>960753</wp:posOffset>
            </wp:positionH>
            <wp:positionV relativeFrom="paragraph">
              <wp:posOffset>13936</wp:posOffset>
            </wp:positionV>
            <wp:extent cx="2842894" cy="2842894"/>
            <wp:effectExtent l="0" t="0" r="0" b="0"/>
            <wp:wrapNone/>
            <wp:docPr id="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9.jpeg"/>
                    <pic:cNvPicPr/>
                  </pic:nvPicPr>
                  <pic:blipFill>
                    <a:blip r:embed="rId74" cstate="print"/>
                    <a:stretch>
                      <a:fillRect/>
                    </a:stretch>
                  </pic:blipFill>
                  <pic:spPr>
                    <a:xfrm>
                      <a:off x="0" y="0"/>
                      <a:ext cx="2842894" cy="2842894"/>
                    </a:xfrm>
                    <a:prstGeom prst="rect">
                      <a:avLst/>
                    </a:prstGeom>
                  </pic:spPr>
                </pic:pic>
              </a:graphicData>
            </a:graphic>
          </wp:anchor>
        </w:drawing>
      </w:r>
      <w:r>
        <w:t>Although our nation has not ratified the United Nations Conventi</w:t>
      </w:r>
      <w:r>
        <w:t>on on the Rights of the Child, our Commonwealth can and should consider the specifics of the CRC as part of its legislative roadmap. To align with the rights in the United Nations CRC, Massachusetts would need to abolish corporal punishment in all settings</w:t>
      </w:r>
      <w:r>
        <w:t xml:space="preserve"> raise the minimum age for agricultural work from zero</w:t>
      </w:r>
      <w:r>
        <w:rPr>
          <w:spacing w:val="-1"/>
        </w:rPr>
        <w:t xml:space="preserve"> </w:t>
      </w:r>
      <w:r>
        <w:t>to</w:t>
      </w:r>
      <w:r>
        <w:rPr>
          <w:spacing w:val="-1"/>
        </w:rPr>
        <w:t xml:space="preserve"> </w:t>
      </w:r>
      <w:r>
        <w:t>15, raise the minimum age for hazardous agricultural work from 16 to 18, increase the minimum age of juvenile jurisdiction from 12 to 14, and explicitly prohibit the transfer of any child under 18 t</w:t>
      </w:r>
      <w:r>
        <w:t>o adult courts for any reason. Corporal punishment, which disproportionately harms LGBTQ youth, remains legal</w:t>
      </w:r>
      <w:r>
        <w:rPr>
          <w:spacing w:val="-13"/>
        </w:rPr>
        <w:t xml:space="preserve"> </w:t>
      </w:r>
      <w:r>
        <w:t>in</w:t>
      </w:r>
      <w:r>
        <w:rPr>
          <w:spacing w:val="-12"/>
        </w:rPr>
        <w:t xml:space="preserve"> </w:t>
      </w:r>
      <w:r>
        <w:t>Massachusetts</w:t>
      </w:r>
      <w:r>
        <w:rPr>
          <w:spacing w:val="-13"/>
        </w:rPr>
        <w:t xml:space="preserve"> </w:t>
      </w:r>
      <w:r>
        <w:t>in</w:t>
      </w:r>
      <w:r>
        <w:rPr>
          <w:spacing w:val="-12"/>
        </w:rPr>
        <w:t xml:space="preserve"> </w:t>
      </w:r>
      <w:r>
        <w:t>private</w:t>
      </w:r>
      <w:r>
        <w:rPr>
          <w:spacing w:val="-13"/>
        </w:rPr>
        <w:t xml:space="preserve"> </w:t>
      </w:r>
      <w:r>
        <w:t>schools,</w:t>
      </w:r>
      <w:r>
        <w:rPr>
          <w:spacing w:val="-12"/>
        </w:rPr>
        <w:t xml:space="preserve"> </w:t>
      </w:r>
      <w:r>
        <w:t>alternative care</w:t>
      </w:r>
      <w:r>
        <w:rPr>
          <w:spacing w:val="9"/>
        </w:rPr>
        <w:t xml:space="preserve"> </w:t>
      </w:r>
      <w:r>
        <w:t>settings,</w:t>
      </w:r>
      <w:r>
        <w:rPr>
          <w:spacing w:val="8"/>
        </w:rPr>
        <w:t xml:space="preserve"> </w:t>
      </w:r>
      <w:r>
        <w:t>and</w:t>
      </w:r>
      <w:r>
        <w:rPr>
          <w:spacing w:val="7"/>
        </w:rPr>
        <w:t xml:space="preserve"> </w:t>
      </w:r>
      <w:r>
        <w:t>penal</w:t>
      </w:r>
      <w:r>
        <w:rPr>
          <w:spacing w:val="8"/>
        </w:rPr>
        <w:t xml:space="preserve"> </w:t>
      </w:r>
      <w:r>
        <w:t>settings.</w:t>
      </w:r>
      <w:r>
        <w:rPr>
          <w:spacing w:val="8"/>
        </w:rPr>
        <w:t xml:space="preserve"> </w:t>
      </w:r>
      <w:r>
        <w:t>Further,</w:t>
      </w:r>
      <w:r>
        <w:rPr>
          <w:spacing w:val="9"/>
        </w:rPr>
        <w:t xml:space="preserve"> </w:t>
      </w:r>
      <w:r>
        <w:rPr>
          <w:spacing w:val="-2"/>
        </w:rPr>
        <w:t>QTBIPOC</w:t>
      </w:r>
    </w:p>
    <w:p w:rsidR="00200FDA" w:rsidRDefault="00F76C4C">
      <w:pPr>
        <w:pStyle w:val="BodyText"/>
        <w:spacing w:before="1" w:line="264" w:lineRule="auto"/>
        <w:ind w:left="139" w:right="135"/>
        <w:jc w:val="both"/>
      </w:pPr>
      <w:r>
        <w:t>youth</w:t>
      </w:r>
      <w:r>
        <w:rPr>
          <w:spacing w:val="-6"/>
        </w:rPr>
        <w:t xml:space="preserve"> </w:t>
      </w:r>
      <w:r>
        <w:t>are</w:t>
      </w:r>
      <w:r>
        <w:rPr>
          <w:spacing w:val="-7"/>
        </w:rPr>
        <w:t xml:space="preserve"> </w:t>
      </w:r>
      <w:r>
        <w:t>overrepresented</w:t>
      </w:r>
      <w:r>
        <w:rPr>
          <w:spacing w:val="-9"/>
        </w:rPr>
        <w:t xml:space="preserve"> </w:t>
      </w:r>
      <w:r>
        <w:t>and</w:t>
      </w:r>
      <w:r>
        <w:rPr>
          <w:spacing w:val="-4"/>
        </w:rPr>
        <w:t xml:space="preserve"> </w:t>
      </w:r>
      <w:r>
        <w:t>mistreated</w:t>
      </w:r>
      <w:r>
        <w:rPr>
          <w:spacing w:val="-4"/>
        </w:rPr>
        <w:t xml:space="preserve"> </w:t>
      </w:r>
      <w:r>
        <w:t>in</w:t>
      </w:r>
      <w:r>
        <w:rPr>
          <w:spacing w:val="-7"/>
        </w:rPr>
        <w:t xml:space="preserve"> </w:t>
      </w:r>
      <w:r>
        <w:t>our</w:t>
      </w:r>
      <w:r>
        <w:rPr>
          <w:spacing w:val="-6"/>
        </w:rPr>
        <w:t xml:space="preserve"> </w:t>
      </w:r>
      <w:r>
        <w:t>juvenile</w:t>
      </w:r>
      <w:r>
        <w:rPr>
          <w:spacing w:val="-3"/>
        </w:rPr>
        <w:t xml:space="preserve"> </w:t>
      </w:r>
      <w:r>
        <w:t>justice</w:t>
      </w:r>
      <w:r>
        <w:rPr>
          <w:spacing w:val="-5"/>
        </w:rPr>
        <w:t xml:space="preserve"> </w:t>
      </w:r>
      <w:r>
        <w:t>system,</w:t>
      </w:r>
      <w:hyperlink w:anchor="_bookmark19" w:history="1">
        <w:r>
          <w:rPr>
            <w:vertAlign w:val="superscript"/>
          </w:rPr>
          <w:t>14</w:t>
        </w:r>
      </w:hyperlink>
      <w:r>
        <w:rPr>
          <w:spacing w:val="-2"/>
        </w:rPr>
        <w:t xml:space="preserve"> </w:t>
      </w:r>
      <w:r>
        <w:t>a</w:t>
      </w:r>
      <w:r>
        <w:rPr>
          <w:spacing w:val="-4"/>
        </w:rPr>
        <w:t xml:space="preserve"> </w:t>
      </w:r>
      <w:r>
        <w:t>system</w:t>
      </w:r>
      <w:r>
        <w:rPr>
          <w:spacing w:val="-4"/>
        </w:rPr>
        <w:t xml:space="preserve"> </w:t>
      </w:r>
      <w:r>
        <w:t>that</w:t>
      </w:r>
      <w:r>
        <w:rPr>
          <w:spacing w:val="-5"/>
        </w:rPr>
        <w:t xml:space="preserve"> </w:t>
      </w:r>
      <w:r>
        <w:t>requires</w:t>
      </w:r>
      <w:r>
        <w:rPr>
          <w:spacing w:val="-6"/>
        </w:rPr>
        <w:t xml:space="preserve"> </w:t>
      </w:r>
      <w:r>
        <w:t>change in all 50 states to be brought to the minimum international standard articulated in the United Nations CRC.</w:t>
      </w:r>
      <w:r>
        <w:rPr>
          <w:spacing w:val="-13"/>
        </w:rPr>
        <w:t xml:space="preserve"> </w:t>
      </w:r>
      <w:r>
        <w:t>Juvenile</w:t>
      </w:r>
      <w:r>
        <w:rPr>
          <w:spacing w:val="-12"/>
        </w:rPr>
        <w:t xml:space="preserve"> </w:t>
      </w:r>
      <w:r>
        <w:t>justice,</w:t>
      </w:r>
      <w:r>
        <w:rPr>
          <w:spacing w:val="-13"/>
        </w:rPr>
        <w:t xml:space="preserve"> </w:t>
      </w:r>
      <w:r>
        <w:t>education,</w:t>
      </w:r>
      <w:r>
        <w:rPr>
          <w:spacing w:val="-12"/>
        </w:rPr>
        <w:t xml:space="preserve"> </w:t>
      </w:r>
      <w:r>
        <w:t>and</w:t>
      </w:r>
      <w:r>
        <w:rPr>
          <w:spacing w:val="-13"/>
        </w:rPr>
        <w:t xml:space="preserve"> </w:t>
      </w:r>
      <w:r>
        <w:t>labor</w:t>
      </w:r>
      <w:r>
        <w:rPr>
          <w:spacing w:val="-12"/>
        </w:rPr>
        <w:t xml:space="preserve"> </w:t>
      </w:r>
      <w:r>
        <w:t>rights</w:t>
      </w:r>
      <w:r>
        <w:rPr>
          <w:spacing w:val="-13"/>
        </w:rPr>
        <w:t xml:space="preserve"> </w:t>
      </w:r>
      <w:r>
        <w:t>are</w:t>
      </w:r>
      <w:r>
        <w:rPr>
          <w:spacing w:val="-12"/>
        </w:rPr>
        <w:t xml:space="preserve"> </w:t>
      </w:r>
      <w:r>
        <w:t>all</w:t>
      </w:r>
      <w:r>
        <w:rPr>
          <w:spacing w:val="-12"/>
        </w:rPr>
        <w:t xml:space="preserve"> </w:t>
      </w:r>
      <w:r>
        <w:t>ad</w:t>
      </w:r>
      <w:r>
        <w:t>dressed</w:t>
      </w:r>
      <w:r>
        <w:rPr>
          <w:spacing w:val="-13"/>
        </w:rPr>
        <w:t xml:space="preserve"> </w:t>
      </w:r>
      <w:r>
        <w:t>more</w:t>
      </w:r>
      <w:r>
        <w:rPr>
          <w:spacing w:val="-12"/>
        </w:rPr>
        <w:t xml:space="preserve"> </w:t>
      </w:r>
      <w:r>
        <w:t>specifically</w:t>
      </w:r>
      <w:r>
        <w:rPr>
          <w:spacing w:val="-13"/>
        </w:rPr>
        <w:t xml:space="preserve"> </w:t>
      </w:r>
      <w:r>
        <w:t>in</w:t>
      </w:r>
      <w:r>
        <w:rPr>
          <w:spacing w:val="-12"/>
        </w:rPr>
        <w:t xml:space="preserve"> </w:t>
      </w:r>
      <w:r>
        <w:t>subsequent</w:t>
      </w:r>
      <w:r>
        <w:rPr>
          <w:spacing w:val="-13"/>
        </w:rPr>
        <w:t xml:space="preserve"> </w:t>
      </w:r>
      <w:r>
        <w:t>sections of this report.</w:t>
      </w:r>
    </w:p>
    <w:p w:rsidR="00200FDA" w:rsidRDefault="00200FDA">
      <w:pPr>
        <w:pStyle w:val="BodyText"/>
        <w:spacing w:before="7"/>
        <w:rPr>
          <w:sz w:val="19"/>
        </w:rPr>
      </w:pPr>
    </w:p>
    <w:p w:rsidR="00200FDA" w:rsidRDefault="00F76C4C">
      <w:pPr>
        <w:pStyle w:val="BodyText"/>
        <w:spacing w:line="264" w:lineRule="auto"/>
        <w:ind w:left="139" w:right="133"/>
        <w:jc w:val="both"/>
      </w:pPr>
      <w:r>
        <w:t>One</w:t>
      </w:r>
      <w:r>
        <w:rPr>
          <w:spacing w:val="-13"/>
        </w:rPr>
        <w:t xml:space="preserve"> </w:t>
      </w:r>
      <w:r>
        <w:t>important</w:t>
      </w:r>
      <w:r>
        <w:rPr>
          <w:spacing w:val="-12"/>
        </w:rPr>
        <w:t xml:space="preserve"> </w:t>
      </w:r>
      <w:r>
        <w:t>measure</w:t>
      </w:r>
      <w:r>
        <w:rPr>
          <w:spacing w:val="-13"/>
        </w:rPr>
        <w:t xml:space="preserve"> </w:t>
      </w:r>
      <w:r>
        <w:t>on</w:t>
      </w:r>
      <w:r>
        <w:rPr>
          <w:spacing w:val="-12"/>
        </w:rPr>
        <w:t xml:space="preserve"> </w:t>
      </w:r>
      <w:r>
        <w:t>which</w:t>
      </w:r>
      <w:r>
        <w:rPr>
          <w:spacing w:val="-13"/>
        </w:rPr>
        <w:t xml:space="preserve"> </w:t>
      </w:r>
      <w:r>
        <w:t>Massachusetts</w:t>
      </w:r>
      <w:r>
        <w:rPr>
          <w:spacing w:val="-12"/>
        </w:rPr>
        <w:t xml:space="preserve"> </w:t>
      </w:r>
      <w:r>
        <w:t>only</w:t>
      </w:r>
      <w:r>
        <w:rPr>
          <w:spacing w:val="-13"/>
        </w:rPr>
        <w:t xml:space="preserve"> </w:t>
      </w:r>
      <w:r>
        <w:t>recently</w:t>
      </w:r>
      <w:r>
        <w:rPr>
          <w:spacing w:val="-12"/>
        </w:rPr>
        <w:t xml:space="preserve"> </w:t>
      </w:r>
      <w:r>
        <w:t>became</w:t>
      </w:r>
      <w:r>
        <w:rPr>
          <w:spacing w:val="-12"/>
        </w:rPr>
        <w:t xml:space="preserve"> </w:t>
      </w:r>
      <w:r>
        <w:t>compliant</w:t>
      </w:r>
      <w:r>
        <w:rPr>
          <w:spacing w:val="-13"/>
        </w:rPr>
        <w:t xml:space="preserve"> </w:t>
      </w:r>
      <w:r>
        <w:t>with</w:t>
      </w:r>
      <w:r>
        <w:rPr>
          <w:spacing w:val="-12"/>
        </w:rPr>
        <w:t xml:space="preserve"> </w:t>
      </w:r>
      <w:r>
        <w:t>the</w:t>
      </w:r>
      <w:r>
        <w:rPr>
          <w:spacing w:val="-13"/>
        </w:rPr>
        <w:t xml:space="preserve"> </w:t>
      </w:r>
      <w:r>
        <w:t>United</w:t>
      </w:r>
      <w:r>
        <w:rPr>
          <w:spacing w:val="-12"/>
        </w:rPr>
        <w:t xml:space="preserve"> </w:t>
      </w:r>
      <w:r>
        <w:t xml:space="preserve">Nations CRC is child marriage. In July 2022, Massachusetts passed </w:t>
      </w:r>
      <w:hyperlink r:id="rId75">
        <w:r>
          <w:rPr>
            <w:color w:val="3366CC"/>
            <w:u w:val="single" w:color="3366CC"/>
            <w:shd w:val="clear" w:color="auto" w:fill="F8F8F1"/>
          </w:rPr>
          <w:t>MA Gen L Ch. 207 § 7 (2021)</w:t>
        </w:r>
      </w:hyperlink>
      <w:r>
        <w:rPr>
          <w:color w:val="3366CC"/>
        </w:rPr>
        <w:t xml:space="preserve"> </w:t>
      </w:r>
      <w:r>
        <w:rPr>
          <w:color w:val="000000"/>
        </w:rPr>
        <w:t>to raise the minimum age for marriage to 18 without exception, effectively ending child marriage—a protection and victory for all ch</w:t>
      </w:r>
      <w:r>
        <w:rPr>
          <w:color w:val="000000"/>
        </w:rPr>
        <w:t>ildren.</w:t>
      </w:r>
    </w:p>
    <w:p w:rsidR="00200FDA" w:rsidRDefault="00200FDA">
      <w:pPr>
        <w:pStyle w:val="BodyText"/>
        <w:spacing w:before="7"/>
        <w:rPr>
          <w:sz w:val="19"/>
        </w:rPr>
      </w:pPr>
    </w:p>
    <w:p w:rsidR="00200FDA" w:rsidRDefault="00F76C4C">
      <w:pPr>
        <w:pStyle w:val="BodyText"/>
        <w:spacing w:before="1" w:line="264" w:lineRule="auto"/>
        <w:ind w:left="139" w:right="133"/>
        <w:jc w:val="both"/>
      </w:pPr>
      <w:r>
        <w:t>Beyond a consideration of the standards set by the United Nations Convention, other global indicators put the realities</w:t>
      </w:r>
      <w:r>
        <w:rPr>
          <w:spacing w:val="-2"/>
        </w:rPr>
        <w:t xml:space="preserve"> </w:t>
      </w:r>
      <w:r>
        <w:t>of LGBTQ</w:t>
      </w:r>
      <w:r>
        <w:rPr>
          <w:spacing w:val="-2"/>
        </w:rPr>
        <w:t xml:space="preserve"> </w:t>
      </w:r>
      <w:r>
        <w:t>youth in Massachusetts in</w:t>
      </w:r>
      <w:r>
        <w:rPr>
          <w:spacing w:val="-3"/>
        </w:rPr>
        <w:t xml:space="preserve"> </w:t>
      </w:r>
      <w:r>
        <w:t>perspective. The United States continues to rank at the bottom of developed countries for ch</w:t>
      </w:r>
      <w:r>
        <w:t>ild poverty. In a comparison of 26 OECD (Organization for Economic</w:t>
      </w:r>
      <w:r>
        <w:rPr>
          <w:spacing w:val="18"/>
        </w:rPr>
        <w:t xml:space="preserve"> </w:t>
      </w:r>
      <w:r>
        <w:t>Co-operation</w:t>
      </w:r>
      <w:r>
        <w:rPr>
          <w:spacing w:val="17"/>
        </w:rPr>
        <w:t xml:space="preserve"> </w:t>
      </w:r>
      <w:r>
        <w:t>and</w:t>
      </w:r>
      <w:r>
        <w:rPr>
          <w:spacing w:val="17"/>
        </w:rPr>
        <w:t xml:space="preserve"> </w:t>
      </w:r>
      <w:r>
        <w:t>Development)</w:t>
      </w:r>
      <w:r>
        <w:rPr>
          <w:spacing w:val="18"/>
        </w:rPr>
        <w:t xml:space="preserve"> </w:t>
      </w:r>
      <w:r>
        <w:t>countries, the</w:t>
      </w:r>
      <w:r>
        <w:rPr>
          <w:spacing w:val="18"/>
        </w:rPr>
        <w:t xml:space="preserve"> </w:t>
      </w:r>
      <w:r>
        <w:t>U.S.</w:t>
      </w:r>
      <w:r>
        <w:rPr>
          <w:spacing w:val="17"/>
        </w:rPr>
        <w:t xml:space="preserve"> </w:t>
      </w:r>
      <w:r>
        <w:t>rates</w:t>
      </w:r>
      <w:r>
        <w:rPr>
          <w:spacing w:val="17"/>
        </w:rPr>
        <w:t xml:space="preserve"> </w:t>
      </w:r>
      <w:r>
        <w:t>of</w:t>
      </w:r>
      <w:r>
        <w:rPr>
          <w:spacing w:val="17"/>
        </w:rPr>
        <w:t xml:space="preserve"> </w:t>
      </w:r>
      <w:r>
        <w:t>poverty are</w:t>
      </w:r>
      <w:r>
        <w:rPr>
          <w:spacing w:val="18"/>
        </w:rPr>
        <w:t xml:space="preserve"> </w:t>
      </w:r>
      <w:r>
        <w:t>substantially</w:t>
      </w:r>
      <w:r>
        <w:rPr>
          <w:spacing w:val="18"/>
        </w:rPr>
        <w:t xml:space="preserve"> </w:t>
      </w:r>
      <w:r>
        <w:t>higher</w:t>
      </w:r>
    </w:p>
    <w:p w:rsidR="00200FDA" w:rsidRDefault="00200FDA">
      <w:pPr>
        <w:spacing w:line="264" w:lineRule="auto"/>
        <w:jc w:val="both"/>
        <w:sectPr w:rsidR="00200FDA">
          <w:pgSz w:w="12240" w:h="15840"/>
          <w:pgMar w:top="1360" w:right="1300" w:bottom="1240" w:left="1300" w:header="761" w:footer="1043" w:gutter="0"/>
          <w:cols w:space="720"/>
        </w:sectPr>
      </w:pPr>
    </w:p>
    <w:p w:rsidR="00200FDA" w:rsidRDefault="00F76C4C">
      <w:pPr>
        <w:pStyle w:val="BodyText"/>
        <w:spacing w:before="64" w:line="264" w:lineRule="auto"/>
        <w:ind w:left="139" w:right="134"/>
        <w:jc w:val="both"/>
      </w:pPr>
      <w:r>
        <w:lastRenderedPageBreak/>
        <w:t>and more extreme than those found in</w:t>
      </w:r>
      <w:r>
        <w:rPr>
          <w:spacing w:val="-2"/>
        </w:rPr>
        <w:t xml:space="preserve"> </w:t>
      </w:r>
      <w:r>
        <w:t>the other</w:t>
      </w:r>
      <w:r>
        <w:rPr>
          <w:spacing w:val="-1"/>
        </w:rPr>
        <w:t xml:space="preserve"> </w:t>
      </w:r>
      <w:r>
        <w:t>25 nations</w:t>
      </w:r>
      <w:r>
        <w:rPr>
          <w:color w:val="404040"/>
        </w:rPr>
        <w:t>.</w:t>
      </w:r>
      <w:hyperlink w:anchor="_bookmark20" w:history="1">
        <w:r>
          <w:rPr>
            <w:color w:val="404040"/>
            <w:vertAlign w:val="superscript"/>
          </w:rPr>
          <w:t>15</w:t>
        </w:r>
      </w:hyperlink>
      <w:r>
        <w:rPr>
          <w:color w:val="404040"/>
          <w:spacing w:val="40"/>
        </w:rPr>
        <w:t xml:space="preserve"> </w:t>
      </w:r>
      <w:r>
        <w:t>Among developed</w:t>
      </w:r>
      <w:r>
        <w:rPr>
          <w:spacing w:val="-2"/>
        </w:rPr>
        <w:t xml:space="preserve"> </w:t>
      </w:r>
      <w:r>
        <w:t>countries, the average poverty</w:t>
      </w:r>
      <w:r>
        <w:rPr>
          <w:spacing w:val="-6"/>
        </w:rPr>
        <w:t xml:space="preserve"> </w:t>
      </w:r>
      <w:r>
        <w:t>rate</w:t>
      </w:r>
      <w:r>
        <w:rPr>
          <w:spacing w:val="-6"/>
        </w:rPr>
        <w:t xml:space="preserve"> </w:t>
      </w:r>
      <w:r>
        <w:t>stands</w:t>
      </w:r>
      <w:r>
        <w:rPr>
          <w:spacing w:val="-4"/>
        </w:rPr>
        <w:t xml:space="preserve"> </w:t>
      </w:r>
      <w:r>
        <w:t>at</w:t>
      </w:r>
      <w:r>
        <w:rPr>
          <w:spacing w:val="-4"/>
        </w:rPr>
        <w:t xml:space="preserve"> </w:t>
      </w:r>
      <w:r>
        <w:t>10%;</w:t>
      </w:r>
      <w:r>
        <w:rPr>
          <w:spacing w:val="-6"/>
        </w:rPr>
        <w:t xml:space="preserve"> </w:t>
      </w:r>
      <w:r>
        <w:t>in</w:t>
      </w:r>
      <w:r>
        <w:rPr>
          <w:spacing w:val="-5"/>
        </w:rPr>
        <w:t xml:space="preserve"> </w:t>
      </w:r>
      <w:r>
        <w:t>the</w:t>
      </w:r>
      <w:r>
        <w:rPr>
          <w:spacing w:val="-4"/>
        </w:rPr>
        <w:t xml:space="preserve"> </w:t>
      </w:r>
      <w:r>
        <w:t>United</w:t>
      </w:r>
      <w:r>
        <w:rPr>
          <w:spacing w:val="-5"/>
        </w:rPr>
        <w:t xml:space="preserve"> </w:t>
      </w:r>
      <w:r>
        <w:t>States</w:t>
      </w:r>
      <w:r>
        <w:rPr>
          <w:spacing w:val="-6"/>
        </w:rPr>
        <w:t xml:space="preserve"> </w:t>
      </w:r>
      <w:r>
        <w:t>17%</w:t>
      </w:r>
      <w:r>
        <w:rPr>
          <w:spacing w:val="-4"/>
        </w:rPr>
        <w:t xml:space="preserve"> </w:t>
      </w:r>
      <w:r>
        <w:t>of</w:t>
      </w:r>
      <w:r>
        <w:rPr>
          <w:spacing w:val="-5"/>
        </w:rPr>
        <w:t xml:space="preserve"> </w:t>
      </w:r>
      <w:r>
        <w:t>children</w:t>
      </w:r>
      <w:r>
        <w:rPr>
          <w:spacing w:val="-5"/>
        </w:rPr>
        <w:t xml:space="preserve"> </w:t>
      </w:r>
      <w:r>
        <w:t>live</w:t>
      </w:r>
      <w:r>
        <w:rPr>
          <w:spacing w:val="-6"/>
        </w:rPr>
        <w:t xml:space="preserve"> </w:t>
      </w:r>
      <w:r>
        <w:t>at</w:t>
      </w:r>
      <w:r>
        <w:rPr>
          <w:spacing w:val="-6"/>
        </w:rPr>
        <w:t xml:space="preserve"> </w:t>
      </w:r>
      <w:r>
        <w:t>or</w:t>
      </w:r>
      <w:r>
        <w:rPr>
          <w:spacing w:val="-4"/>
        </w:rPr>
        <w:t xml:space="preserve"> </w:t>
      </w:r>
      <w:r>
        <w:t>below</w:t>
      </w:r>
      <w:r>
        <w:rPr>
          <w:spacing w:val="-4"/>
        </w:rPr>
        <w:t xml:space="preserve"> </w:t>
      </w:r>
      <w:r>
        <w:t>the</w:t>
      </w:r>
      <w:r>
        <w:rPr>
          <w:spacing w:val="-4"/>
        </w:rPr>
        <w:t xml:space="preserve"> </w:t>
      </w:r>
      <w:r>
        <w:t>poverty</w:t>
      </w:r>
      <w:r>
        <w:rPr>
          <w:spacing w:val="-3"/>
        </w:rPr>
        <w:t xml:space="preserve"> </w:t>
      </w:r>
      <w:r>
        <w:t>line—a</w:t>
      </w:r>
      <w:r>
        <w:rPr>
          <w:spacing w:val="-6"/>
        </w:rPr>
        <w:t xml:space="preserve"> </w:t>
      </w:r>
      <w:r>
        <w:t>stark contrast.</w:t>
      </w:r>
      <w:hyperlink w:anchor="_bookmark21" w:history="1">
        <w:r>
          <w:rPr>
            <w:vertAlign w:val="superscript"/>
          </w:rPr>
          <w:t>16</w:t>
        </w:r>
      </w:hyperlink>
      <w:r>
        <w:rPr>
          <w:spacing w:val="-2"/>
        </w:rPr>
        <w:t xml:space="preserve"> </w:t>
      </w:r>
      <w:r>
        <w:t>At 12%, the child poverty rate in Massachusetts is lower than the national average, however Massachusetts fares worse than 21 other states because of the Commonwealth’s high cost of living.</w:t>
      </w:r>
      <w:hyperlink w:anchor="_bookmark22" w:history="1">
        <w:r>
          <w:rPr>
            <w:vertAlign w:val="superscript"/>
          </w:rPr>
          <w:t>17</w:t>
        </w:r>
      </w:hyperlink>
      <w:r>
        <w:t xml:space="preserve"> Though</w:t>
      </w:r>
      <w:r>
        <w:rPr>
          <w:spacing w:val="-2"/>
        </w:rPr>
        <w:t xml:space="preserve"> </w:t>
      </w:r>
      <w:r>
        <w:t>in</w:t>
      </w:r>
      <w:r>
        <w:rPr>
          <w:spacing w:val="-2"/>
        </w:rPr>
        <w:t xml:space="preserve"> </w:t>
      </w:r>
      <w:r>
        <w:t>Massachusetts</w:t>
      </w:r>
      <w:r>
        <w:rPr>
          <w:spacing w:val="-1"/>
        </w:rPr>
        <w:t xml:space="preserve"> </w:t>
      </w:r>
      <w:r>
        <w:t>poverty</w:t>
      </w:r>
      <w:r>
        <w:rPr>
          <w:spacing w:val="-2"/>
        </w:rPr>
        <w:t xml:space="preserve"> </w:t>
      </w:r>
      <w:r>
        <w:t>d</w:t>
      </w:r>
      <w:r>
        <w:t>oes</w:t>
      </w:r>
      <w:r>
        <w:rPr>
          <w:spacing w:val="-1"/>
        </w:rPr>
        <w:t xml:space="preserve"> </w:t>
      </w:r>
      <w:r>
        <w:t>not affect</w:t>
      </w:r>
      <w:r>
        <w:rPr>
          <w:spacing w:val="-3"/>
        </w:rPr>
        <w:t xml:space="preserve"> </w:t>
      </w:r>
      <w:r>
        <w:t>LGBTQ</w:t>
      </w:r>
      <w:r>
        <w:rPr>
          <w:spacing w:val="-1"/>
        </w:rPr>
        <w:t xml:space="preserve"> </w:t>
      </w:r>
      <w:r>
        <w:t>youth</w:t>
      </w:r>
      <w:r>
        <w:rPr>
          <w:spacing w:val="-2"/>
        </w:rPr>
        <w:t xml:space="preserve"> </w:t>
      </w:r>
      <w:r>
        <w:t>uniquely,</w:t>
      </w:r>
      <w:r>
        <w:rPr>
          <w:spacing w:val="-1"/>
        </w:rPr>
        <w:t xml:space="preserve"> </w:t>
      </w:r>
      <w:r>
        <w:t>it does</w:t>
      </w:r>
      <w:r>
        <w:rPr>
          <w:spacing w:val="-6"/>
        </w:rPr>
        <w:t xml:space="preserve"> </w:t>
      </w:r>
      <w:r>
        <w:t>affect</w:t>
      </w:r>
      <w:r>
        <w:rPr>
          <w:spacing w:val="-3"/>
        </w:rPr>
        <w:t xml:space="preserve"> </w:t>
      </w:r>
      <w:r>
        <w:t>them profoundly.</w:t>
      </w:r>
    </w:p>
    <w:p w:rsidR="00200FDA" w:rsidRDefault="00200FDA">
      <w:pPr>
        <w:pStyle w:val="BodyText"/>
        <w:spacing w:before="7"/>
        <w:rPr>
          <w:sz w:val="19"/>
        </w:rPr>
      </w:pPr>
    </w:p>
    <w:p w:rsidR="00200FDA" w:rsidRDefault="00F76C4C">
      <w:pPr>
        <w:pStyle w:val="BodyText"/>
        <w:spacing w:line="264" w:lineRule="auto"/>
        <w:ind w:left="139" w:right="135"/>
        <w:jc w:val="both"/>
      </w:pPr>
      <w:r>
        <w:t>Recent</w:t>
      </w:r>
      <w:r>
        <w:rPr>
          <w:spacing w:val="-13"/>
        </w:rPr>
        <w:t xml:space="preserve"> </w:t>
      </w:r>
      <w:r>
        <w:t>international</w:t>
      </w:r>
      <w:r>
        <w:rPr>
          <w:spacing w:val="-12"/>
        </w:rPr>
        <w:t xml:space="preserve"> </w:t>
      </w:r>
      <w:r>
        <w:t>research</w:t>
      </w:r>
      <w:r>
        <w:rPr>
          <w:spacing w:val="-13"/>
        </w:rPr>
        <w:t xml:space="preserve"> </w:t>
      </w:r>
      <w:r>
        <w:t>that</w:t>
      </w:r>
      <w:r>
        <w:rPr>
          <w:spacing w:val="-12"/>
        </w:rPr>
        <w:t xml:space="preserve"> </w:t>
      </w:r>
      <w:r>
        <w:t>evaluates</w:t>
      </w:r>
      <w:r>
        <w:rPr>
          <w:spacing w:val="-13"/>
        </w:rPr>
        <w:t xml:space="preserve"> </w:t>
      </w:r>
      <w:r>
        <w:t>the</w:t>
      </w:r>
      <w:r>
        <w:rPr>
          <w:spacing w:val="-12"/>
        </w:rPr>
        <w:t xml:space="preserve"> </w:t>
      </w:r>
      <w:r>
        <w:t>social</w:t>
      </w:r>
      <w:r>
        <w:rPr>
          <w:spacing w:val="-13"/>
        </w:rPr>
        <w:t xml:space="preserve"> </w:t>
      </w:r>
      <w:r>
        <w:t>acceptance</w:t>
      </w:r>
      <w:r>
        <w:rPr>
          <w:spacing w:val="-12"/>
        </w:rPr>
        <w:t xml:space="preserve"> </w:t>
      </w:r>
      <w:r>
        <w:t>of</w:t>
      </w:r>
      <w:r>
        <w:rPr>
          <w:spacing w:val="-12"/>
        </w:rPr>
        <w:t xml:space="preserve"> </w:t>
      </w:r>
      <w:r>
        <w:t>LGBTQ</w:t>
      </w:r>
      <w:r>
        <w:rPr>
          <w:spacing w:val="-13"/>
        </w:rPr>
        <w:t xml:space="preserve"> </w:t>
      </w:r>
      <w:r>
        <w:t>people</w:t>
      </w:r>
      <w:r>
        <w:rPr>
          <w:spacing w:val="-12"/>
        </w:rPr>
        <w:t xml:space="preserve"> </w:t>
      </w:r>
      <w:r>
        <w:t>offers</w:t>
      </w:r>
      <w:r>
        <w:rPr>
          <w:spacing w:val="-13"/>
        </w:rPr>
        <w:t xml:space="preserve"> </w:t>
      </w:r>
      <w:r>
        <w:t>another</w:t>
      </w:r>
      <w:r>
        <w:rPr>
          <w:spacing w:val="-12"/>
        </w:rPr>
        <w:t xml:space="preserve"> </w:t>
      </w:r>
      <w:r>
        <w:t xml:space="preserve">helpful lens for contextualizing the situation of youth in Massachusetts. Social acceptance of LGBTQ people is correlated with their well-being and economic vitality. Using a sophisticated Global Acceptance Model, research at UCLA ranked social acceptance </w:t>
      </w:r>
      <w:r>
        <w:t>of LGBTI people in 175 countries and locations.</w:t>
      </w:r>
      <w:hyperlink w:anchor="_bookmark23" w:history="1">
        <w:r>
          <w:rPr>
            <w:vertAlign w:val="superscript"/>
          </w:rPr>
          <w:t>18</w:t>
        </w:r>
      </w:hyperlink>
      <w:r>
        <w:rPr>
          <w:spacing w:val="-2"/>
        </w:rPr>
        <w:t xml:space="preserve"> </w:t>
      </w:r>
      <w:r>
        <w:t>This study found</w:t>
      </w:r>
      <w:r>
        <w:rPr>
          <w:spacing w:val="-13"/>
        </w:rPr>
        <w:t xml:space="preserve"> </w:t>
      </w:r>
      <w:r>
        <w:t>that</w:t>
      </w:r>
      <w:r>
        <w:rPr>
          <w:spacing w:val="-12"/>
        </w:rPr>
        <w:t xml:space="preserve"> </w:t>
      </w:r>
      <w:r>
        <w:t>although</w:t>
      </w:r>
      <w:r>
        <w:rPr>
          <w:spacing w:val="-13"/>
        </w:rPr>
        <w:t xml:space="preserve"> </w:t>
      </w:r>
      <w:r>
        <w:t>support</w:t>
      </w:r>
      <w:r>
        <w:rPr>
          <w:spacing w:val="-11"/>
        </w:rPr>
        <w:t xml:space="preserve"> </w:t>
      </w:r>
      <w:r>
        <w:t>of</w:t>
      </w:r>
      <w:r>
        <w:rPr>
          <w:spacing w:val="-13"/>
        </w:rPr>
        <w:t xml:space="preserve"> </w:t>
      </w:r>
      <w:r>
        <w:t>LGBT</w:t>
      </w:r>
      <w:r>
        <w:rPr>
          <w:spacing w:val="-12"/>
        </w:rPr>
        <w:t xml:space="preserve"> </w:t>
      </w:r>
      <w:r>
        <w:t>and</w:t>
      </w:r>
      <w:r>
        <w:rPr>
          <w:spacing w:val="-12"/>
        </w:rPr>
        <w:t xml:space="preserve"> </w:t>
      </w:r>
      <w:r>
        <w:t>intersex</w:t>
      </w:r>
      <w:r>
        <w:rPr>
          <w:spacing w:val="-11"/>
        </w:rPr>
        <w:t xml:space="preserve"> </w:t>
      </w:r>
      <w:r>
        <w:t>people</w:t>
      </w:r>
      <w:r>
        <w:rPr>
          <w:spacing w:val="-11"/>
        </w:rPr>
        <w:t xml:space="preserve"> </w:t>
      </w:r>
      <w:r>
        <w:t>is</w:t>
      </w:r>
      <w:r>
        <w:rPr>
          <w:spacing w:val="-11"/>
        </w:rPr>
        <w:t xml:space="preserve"> </w:t>
      </w:r>
      <w:r>
        <w:t>on</w:t>
      </w:r>
      <w:r>
        <w:rPr>
          <w:spacing w:val="-13"/>
        </w:rPr>
        <w:t xml:space="preserve"> </w:t>
      </w:r>
      <w:r>
        <w:t>the</w:t>
      </w:r>
      <w:r>
        <w:rPr>
          <w:spacing w:val="-10"/>
        </w:rPr>
        <w:t xml:space="preserve"> </w:t>
      </w:r>
      <w:r>
        <w:t>rise</w:t>
      </w:r>
      <w:r>
        <w:rPr>
          <w:spacing w:val="-11"/>
        </w:rPr>
        <w:t xml:space="preserve"> </w:t>
      </w:r>
      <w:r>
        <w:t>worldwide,</w:t>
      </w:r>
      <w:r>
        <w:rPr>
          <w:spacing w:val="-13"/>
        </w:rPr>
        <w:t xml:space="preserve"> </w:t>
      </w:r>
      <w:r>
        <w:t>some</w:t>
      </w:r>
      <w:r>
        <w:rPr>
          <w:spacing w:val="-10"/>
        </w:rPr>
        <w:t xml:space="preserve"> </w:t>
      </w:r>
      <w:r>
        <w:t>nations,</w:t>
      </w:r>
      <w:r>
        <w:rPr>
          <w:spacing w:val="-11"/>
        </w:rPr>
        <w:t xml:space="preserve"> </w:t>
      </w:r>
      <w:r>
        <w:t>including the United States, have become more polarized. In this eva</w:t>
      </w:r>
      <w:r>
        <w:t>luation, the United States ranked 23</w:t>
      </w:r>
      <w:r>
        <w:rPr>
          <w:vertAlign w:val="superscript"/>
        </w:rPr>
        <w:t>rd</w:t>
      </w:r>
      <w:r>
        <w:t xml:space="preserve"> overall for</w:t>
      </w:r>
      <w:r>
        <w:rPr>
          <w:spacing w:val="-13"/>
        </w:rPr>
        <w:t xml:space="preserve"> </w:t>
      </w:r>
      <w:r>
        <w:t>social</w:t>
      </w:r>
      <w:r>
        <w:rPr>
          <w:spacing w:val="-12"/>
        </w:rPr>
        <w:t xml:space="preserve"> </w:t>
      </w:r>
      <w:r>
        <w:t>acceptance</w:t>
      </w:r>
      <w:r>
        <w:rPr>
          <w:spacing w:val="-12"/>
        </w:rPr>
        <w:t xml:space="preserve"> </w:t>
      </w:r>
      <w:r>
        <w:t>among</w:t>
      </w:r>
      <w:r>
        <w:rPr>
          <w:spacing w:val="-12"/>
        </w:rPr>
        <w:t xml:space="preserve"> </w:t>
      </w:r>
      <w:r>
        <w:t>world</w:t>
      </w:r>
      <w:r>
        <w:rPr>
          <w:spacing w:val="-13"/>
        </w:rPr>
        <w:t xml:space="preserve"> </w:t>
      </w:r>
      <w:r>
        <w:t>nations.</w:t>
      </w:r>
      <w:r>
        <w:rPr>
          <w:spacing w:val="-12"/>
        </w:rPr>
        <w:t xml:space="preserve"> </w:t>
      </w:r>
      <w:r>
        <w:t>Canada,</w:t>
      </w:r>
      <w:r>
        <w:rPr>
          <w:spacing w:val="-13"/>
        </w:rPr>
        <w:t xml:space="preserve"> </w:t>
      </w:r>
      <w:r>
        <w:t>just</w:t>
      </w:r>
      <w:r>
        <w:rPr>
          <w:spacing w:val="-11"/>
        </w:rPr>
        <w:t xml:space="preserve"> </w:t>
      </w:r>
      <w:r>
        <w:t>a</w:t>
      </w:r>
      <w:r>
        <w:rPr>
          <w:spacing w:val="-13"/>
        </w:rPr>
        <w:t xml:space="preserve"> </w:t>
      </w:r>
      <w:r>
        <w:t>few</w:t>
      </w:r>
      <w:r>
        <w:rPr>
          <w:spacing w:val="-11"/>
        </w:rPr>
        <w:t xml:space="preserve"> </w:t>
      </w:r>
      <w:r>
        <w:t>hours’</w:t>
      </w:r>
      <w:r>
        <w:rPr>
          <w:spacing w:val="-12"/>
        </w:rPr>
        <w:t xml:space="preserve"> </w:t>
      </w:r>
      <w:r>
        <w:t>drive</w:t>
      </w:r>
      <w:r>
        <w:rPr>
          <w:spacing w:val="-11"/>
        </w:rPr>
        <w:t xml:space="preserve"> </w:t>
      </w:r>
      <w:r>
        <w:t>from</w:t>
      </w:r>
      <w:r>
        <w:rPr>
          <w:spacing w:val="-11"/>
        </w:rPr>
        <w:t xml:space="preserve"> </w:t>
      </w:r>
      <w:r>
        <w:t>the</w:t>
      </w:r>
      <w:r>
        <w:rPr>
          <w:spacing w:val="-12"/>
        </w:rPr>
        <w:t xml:space="preserve"> </w:t>
      </w:r>
      <w:r>
        <w:t>Statehouse</w:t>
      </w:r>
      <w:r>
        <w:rPr>
          <w:spacing w:val="-13"/>
        </w:rPr>
        <w:t xml:space="preserve"> </w:t>
      </w:r>
      <w:r>
        <w:t>in</w:t>
      </w:r>
      <w:r>
        <w:rPr>
          <w:spacing w:val="-12"/>
        </w:rPr>
        <w:t xml:space="preserve"> </w:t>
      </w:r>
      <w:r>
        <w:t>Boston, ranked 5</w:t>
      </w:r>
      <w:r>
        <w:rPr>
          <w:vertAlign w:val="superscript"/>
        </w:rPr>
        <w:t>th</w:t>
      </w:r>
      <w:r>
        <w:t>.</w:t>
      </w:r>
    </w:p>
    <w:p w:rsidR="00200FDA" w:rsidRDefault="00200FDA">
      <w:pPr>
        <w:pStyle w:val="BodyText"/>
        <w:spacing w:before="8"/>
        <w:rPr>
          <w:sz w:val="19"/>
        </w:rPr>
      </w:pPr>
    </w:p>
    <w:p w:rsidR="00200FDA" w:rsidRDefault="00F76C4C">
      <w:pPr>
        <w:pStyle w:val="BodyText"/>
        <w:spacing w:before="1" w:line="264" w:lineRule="auto"/>
        <w:ind w:left="139" w:right="133"/>
        <w:jc w:val="both"/>
      </w:pPr>
      <w:r>
        <w:t>Beyond</w:t>
      </w:r>
      <w:r>
        <w:rPr>
          <w:spacing w:val="-13"/>
        </w:rPr>
        <w:t xml:space="preserve"> </w:t>
      </w:r>
      <w:r>
        <w:t>human</w:t>
      </w:r>
      <w:r>
        <w:rPr>
          <w:spacing w:val="-12"/>
        </w:rPr>
        <w:t xml:space="preserve"> </w:t>
      </w:r>
      <w:r>
        <w:t>rights</w:t>
      </w:r>
      <w:r>
        <w:rPr>
          <w:spacing w:val="-11"/>
        </w:rPr>
        <w:t xml:space="preserve"> </w:t>
      </w:r>
      <w:r>
        <w:t>and</w:t>
      </w:r>
      <w:r>
        <w:rPr>
          <w:spacing w:val="-13"/>
        </w:rPr>
        <w:t xml:space="preserve"> </w:t>
      </w:r>
      <w:r>
        <w:t>social</w:t>
      </w:r>
      <w:r>
        <w:rPr>
          <w:spacing w:val="-12"/>
        </w:rPr>
        <w:t xml:space="preserve"> </w:t>
      </w:r>
      <w:r>
        <w:t>acceptance,</w:t>
      </w:r>
      <w:r>
        <w:rPr>
          <w:spacing w:val="-11"/>
        </w:rPr>
        <w:t xml:space="preserve"> </w:t>
      </w:r>
      <w:r>
        <w:t>recent</w:t>
      </w:r>
      <w:r>
        <w:rPr>
          <w:spacing w:val="-12"/>
        </w:rPr>
        <w:t xml:space="preserve"> </w:t>
      </w:r>
      <w:r>
        <w:t>international</w:t>
      </w:r>
      <w:r>
        <w:rPr>
          <w:spacing w:val="-13"/>
        </w:rPr>
        <w:t xml:space="preserve"> </w:t>
      </w:r>
      <w:r>
        <w:t>comparative</w:t>
      </w:r>
      <w:r>
        <w:rPr>
          <w:spacing w:val="-11"/>
        </w:rPr>
        <w:t xml:space="preserve"> </w:t>
      </w:r>
      <w:r>
        <w:t>research</w:t>
      </w:r>
      <w:r>
        <w:rPr>
          <w:spacing w:val="-13"/>
        </w:rPr>
        <w:t xml:space="preserve"> </w:t>
      </w:r>
      <w:r>
        <w:t>has</w:t>
      </w:r>
      <w:r>
        <w:rPr>
          <w:spacing w:val="-11"/>
        </w:rPr>
        <w:t xml:space="preserve"> </w:t>
      </w:r>
      <w:r>
        <w:t>also</w:t>
      </w:r>
      <w:r>
        <w:rPr>
          <w:spacing w:val="-11"/>
        </w:rPr>
        <w:t xml:space="preserve"> </w:t>
      </w:r>
      <w:r>
        <w:t>identified the economic power</w:t>
      </w:r>
      <w:r>
        <w:rPr>
          <w:spacing w:val="-2"/>
        </w:rPr>
        <w:t xml:space="preserve"> </w:t>
      </w:r>
      <w:r>
        <w:t>of</w:t>
      </w:r>
      <w:r>
        <w:rPr>
          <w:spacing w:val="-2"/>
        </w:rPr>
        <w:t xml:space="preserve"> </w:t>
      </w:r>
      <w:r>
        <w:t>LGBTQ rights.</w:t>
      </w:r>
      <w:r>
        <w:rPr>
          <w:spacing w:val="-2"/>
        </w:rPr>
        <w:t xml:space="preserve"> </w:t>
      </w:r>
      <w:r>
        <w:t>Drawing from</w:t>
      </w:r>
      <w:r>
        <w:rPr>
          <w:spacing w:val="-1"/>
        </w:rPr>
        <w:t xml:space="preserve"> </w:t>
      </w:r>
      <w:r>
        <w:t>data sets</w:t>
      </w:r>
      <w:r>
        <w:rPr>
          <w:spacing w:val="-2"/>
        </w:rPr>
        <w:t xml:space="preserve"> </w:t>
      </w:r>
      <w:r>
        <w:t>worldwide, including data from</w:t>
      </w:r>
      <w:r>
        <w:rPr>
          <w:spacing w:val="-1"/>
        </w:rPr>
        <w:t xml:space="preserve"> </w:t>
      </w:r>
      <w:r>
        <w:t>the</w:t>
      </w:r>
      <w:r>
        <w:rPr>
          <w:spacing w:val="-1"/>
        </w:rPr>
        <w:t xml:space="preserve"> </w:t>
      </w:r>
      <w:r>
        <w:t>United States, research demonstrates a positive effect between LGBT inclusion and economic development.</w:t>
      </w:r>
      <w:hyperlink w:anchor="_bookmark24" w:history="1">
        <w:r>
          <w:rPr>
            <w:vertAlign w:val="superscript"/>
          </w:rPr>
          <w:t>19</w:t>
        </w:r>
      </w:hyperlink>
      <w:r>
        <w:t xml:space="preserve"> When deci</w:t>
      </w:r>
      <w:r>
        <w:t>sion-makers work to improve the lives of LGBTQ people, including youth, their jurisdictions benefit economically.</w:t>
      </w:r>
    </w:p>
    <w:p w:rsidR="00200FDA" w:rsidRDefault="00200FDA">
      <w:pPr>
        <w:pStyle w:val="BodyText"/>
      </w:pPr>
    </w:p>
    <w:p w:rsidR="00200FDA" w:rsidRDefault="00F76C4C">
      <w:pPr>
        <w:pStyle w:val="Heading8"/>
        <w:spacing w:before="184"/>
      </w:pPr>
      <w:bookmarkStart w:id="69" w:name="The_National_Context:_Massachusetts_as_a"/>
      <w:bookmarkEnd w:id="69"/>
      <w:r>
        <w:rPr>
          <w:color w:val="365F91"/>
        </w:rPr>
        <w:t>The</w:t>
      </w:r>
      <w:r>
        <w:rPr>
          <w:color w:val="365F91"/>
          <w:spacing w:val="-6"/>
        </w:rPr>
        <w:t xml:space="preserve"> </w:t>
      </w:r>
      <w:r>
        <w:rPr>
          <w:color w:val="365F91"/>
        </w:rPr>
        <w:t>National</w:t>
      </w:r>
      <w:r>
        <w:rPr>
          <w:color w:val="365F91"/>
          <w:spacing w:val="-3"/>
        </w:rPr>
        <w:t xml:space="preserve"> </w:t>
      </w:r>
      <w:r>
        <w:rPr>
          <w:color w:val="365F91"/>
        </w:rPr>
        <w:t>Context:</w:t>
      </w:r>
      <w:r>
        <w:rPr>
          <w:color w:val="365F91"/>
          <w:spacing w:val="-3"/>
        </w:rPr>
        <w:t xml:space="preserve"> </w:t>
      </w:r>
      <w:r>
        <w:rPr>
          <w:color w:val="365F91"/>
        </w:rPr>
        <w:t>Massachusetts</w:t>
      </w:r>
      <w:r>
        <w:rPr>
          <w:color w:val="365F91"/>
          <w:spacing w:val="-1"/>
        </w:rPr>
        <w:t xml:space="preserve"> </w:t>
      </w:r>
      <w:r>
        <w:rPr>
          <w:color w:val="365F91"/>
        </w:rPr>
        <w:t>as a</w:t>
      </w:r>
      <w:r>
        <w:rPr>
          <w:color w:val="365F91"/>
          <w:spacing w:val="-4"/>
        </w:rPr>
        <w:t xml:space="preserve"> </w:t>
      </w:r>
      <w:r>
        <w:rPr>
          <w:color w:val="365F91"/>
        </w:rPr>
        <w:t>Potential Beacon</w:t>
      </w:r>
      <w:r>
        <w:rPr>
          <w:color w:val="365F91"/>
          <w:spacing w:val="-2"/>
        </w:rPr>
        <w:t xml:space="preserve"> </w:t>
      </w:r>
      <w:r>
        <w:rPr>
          <w:color w:val="365F91"/>
        </w:rPr>
        <w:t>for</w:t>
      </w:r>
      <w:r>
        <w:rPr>
          <w:color w:val="365F91"/>
          <w:spacing w:val="-4"/>
        </w:rPr>
        <w:t xml:space="preserve"> </w:t>
      </w:r>
      <w:r>
        <w:rPr>
          <w:color w:val="365F91"/>
        </w:rPr>
        <w:t>a Troubled</w:t>
      </w:r>
      <w:r>
        <w:rPr>
          <w:color w:val="365F91"/>
          <w:spacing w:val="-4"/>
        </w:rPr>
        <w:t xml:space="preserve"> </w:t>
      </w:r>
      <w:r>
        <w:rPr>
          <w:color w:val="365F91"/>
          <w:spacing w:val="-2"/>
        </w:rPr>
        <w:t>Nation</w:t>
      </w:r>
    </w:p>
    <w:p w:rsidR="00200FDA" w:rsidRDefault="00200FDA">
      <w:pPr>
        <w:pStyle w:val="BodyText"/>
        <w:spacing w:before="7"/>
        <w:rPr>
          <w:sz w:val="19"/>
        </w:rPr>
      </w:pPr>
    </w:p>
    <w:p w:rsidR="00200FDA" w:rsidRDefault="00F76C4C">
      <w:pPr>
        <w:pStyle w:val="BodyText"/>
        <w:spacing w:before="1" w:line="264" w:lineRule="auto"/>
        <w:ind w:left="140" w:right="134"/>
        <w:jc w:val="both"/>
      </w:pPr>
      <w:r>
        <w:t>The Commission on LGBTQ Youth, the only commission of its type among all 50 states for more than 30 years,</w:t>
      </w:r>
      <w:r>
        <w:rPr>
          <w:spacing w:val="-13"/>
        </w:rPr>
        <w:t xml:space="preserve"> </w:t>
      </w:r>
      <w:r>
        <w:t>offers</w:t>
      </w:r>
      <w:r>
        <w:rPr>
          <w:spacing w:val="-12"/>
        </w:rPr>
        <w:t xml:space="preserve"> </w:t>
      </w:r>
      <w:r>
        <w:t>Massachusetts</w:t>
      </w:r>
      <w:r>
        <w:rPr>
          <w:spacing w:val="-13"/>
        </w:rPr>
        <w:t xml:space="preserve"> </w:t>
      </w:r>
      <w:r>
        <w:t>decision-makers</w:t>
      </w:r>
      <w:r>
        <w:rPr>
          <w:spacing w:val="-12"/>
        </w:rPr>
        <w:t xml:space="preserve"> </w:t>
      </w:r>
      <w:r>
        <w:t>expertise</w:t>
      </w:r>
      <w:r>
        <w:rPr>
          <w:spacing w:val="-13"/>
        </w:rPr>
        <w:t xml:space="preserve"> </w:t>
      </w:r>
      <w:r>
        <w:t>that</w:t>
      </w:r>
      <w:r>
        <w:rPr>
          <w:spacing w:val="-11"/>
        </w:rPr>
        <w:t xml:space="preserve"> </w:t>
      </w:r>
      <w:r>
        <w:t>uniquely</w:t>
      </w:r>
      <w:r>
        <w:rPr>
          <w:spacing w:val="-12"/>
        </w:rPr>
        <w:t xml:space="preserve"> </w:t>
      </w:r>
      <w:r>
        <w:t>positions</w:t>
      </w:r>
      <w:r>
        <w:rPr>
          <w:spacing w:val="-12"/>
        </w:rPr>
        <w:t xml:space="preserve"> </w:t>
      </w:r>
      <w:r>
        <w:t>the</w:t>
      </w:r>
      <w:r>
        <w:rPr>
          <w:spacing w:val="-13"/>
        </w:rPr>
        <w:t xml:space="preserve"> </w:t>
      </w:r>
      <w:r>
        <w:t>Commonwealth</w:t>
      </w:r>
      <w:r>
        <w:rPr>
          <w:spacing w:val="-12"/>
        </w:rPr>
        <w:t xml:space="preserve"> </w:t>
      </w:r>
      <w:r>
        <w:t>to</w:t>
      </w:r>
      <w:r>
        <w:rPr>
          <w:spacing w:val="-10"/>
        </w:rPr>
        <w:t xml:space="preserve"> </w:t>
      </w:r>
      <w:r>
        <w:t>lead the way in the nation and beyond with effective policies to better serve LGBTQ youth. Sadly, that leadership is needed more than ever. In the United States, from Supreme Court threats to LGBTQ rights on Capitol Hill to the daily microaggressions LGBTQ</w:t>
      </w:r>
      <w:r>
        <w:t xml:space="preserve"> youth endure at school and at home, the challenge has grown more crucial while the nation has grown more volatile.</w:t>
      </w:r>
    </w:p>
    <w:p w:rsidR="00200FDA" w:rsidRDefault="00200FDA">
      <w:pPr>
        <w:pStyle w:val="BodyText"/>
        <w:spacing w:before="9"/>
        <w:rPr>
          <w:sz w:val="19"/>
        </w:rPr>
      </w:pPr>
    </w:p>
    <w:p w:rsidR="00200FDA" w:rsidRDefault="00F76C4C">
      <w:pPr>
        <w:pStyle w:val="BodyText"/>
        <w:spacing w:line="264" w:lineRule="auto"/>
        <w:ind w:left="139" w:right="4124"/>
        <w:jc w:val="both"/>
      </w:pPr>
      <w:r>
        <w:rPr>
          <w:noProof/>
        </w:rPr>
        <w:drawing>
          <wp:anchor distT="0" distB="0" distL="0" distR="0" simplePos="0" relativeHeight="15738368" behindDoc="0" locked="0" layoutInCell="1" allowOverlap="1">
            <wp:simplePos x="0" y="0"/>
            <wp:positionH relativeFrom="page">
              <wp:posOffset>4438650</wp:posOffset>
            </wp:positionH>
            <wp:positionV relativeFrom="paragraph">
              <wp:posOffset>19973</wp:posOffset>
            </wp:positionV>
            <wp:extent cx="2442344" cy="2543795"/>
            <wp:effectExtent l="0" t="0" r="0" b="0"/>
            <wp:wrapNone/>
            <wp:docPr id="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0.png"/>
                    <pic:cNvPicPr/>
                  </pic:nvPicPr>
                  <pic:blipFill>
                    <a:blip r:embed="rId76" cstate="print"/>
                    <a:stretch>
                      <a:fillRect/>
                    </a:stretch>
                  </pic:blipFill>
                  <pic:spPr>
                    <a:xfrm>
                      <a:off x="0" y="0"/>
                      <a:ext cx="2442344" cy="2543795"/>
                    </a:xfrm>
                    <a:prstGeom prst="rect">
                      <a:avLst/>
                    </a:prstGeom>
                  </pic:spPr>
                </pic:pic>
              </a:graphicData>
            </a:graphic>
          </wp:anchor>
        </w:drawing>
      </w:r>
      <w:r>
        <w:t>An explosion of proposed anti-LGBTQ rights laws in the United States in recent months reflects and amplifies hostility toward LGBTQ youth.</w:t>
      </w:r>
      <w:r>
        <w:t xml:space="preserve"> As of the week of April 24, 2023,</w:t>
      </w:r>
      <w:r>
        <w:rPr>
          <w:spacing w:val="-1"/>
        </w:rPr>
        <w:t xml:space="preserve"> </w:t>
      </w:r>
      <w:r>
        <w:t>469 anti-LGBTQ bills</w:t>
      </w:r>
      <w:r>
        <w:rPr>
          <w:spacing w:val="-1"/>
        </w:rPr>
        <w:t xml:space="preserve"> </w:t>
      </w:r>
      <w:r>
        <w:t>have been introduced across the United States – the highest number of anti-LGBTQ ever on record. Many of these pieces of proposed legislation specifically target transgender youth.</w:t>
      </w:r>
      <w:hyperlink w:anchor="_bookmark25" w:history="1">
        <w:r>
          <w:rPr>
            <w:vertAlign w:val="superscript"/>
          </w:rPr>
          <w:t>20</w:t>
        </w:r>
      </w:hyperlink>
    </w:p>
    <w:p w:rsidR="00200FDA" w:rsidRDefault="00200FDA">
      <w:pPr>
        <w:pStyle w:val="BodyText"/>
        <w:spacing w:before="9"/>
        <w:rPr>
          <w:sz w:val="19"/>
        </w:rPr>
      </w:pPr>
    </w:p>
    <w:p w:rsidR="00200FDA" w:rsidRDefault="00F76C4C">
      <w:pPr>
        <w:pStyle w:val="BodyText"/>
        <w:spacing w:line="264" w:lineRule="auto"/>
        <w:ind w:left="140" w:right="4123"/>
        <w:jc w:val="both"/>
      </w:pPr>
      <w:r>
        <w:t>The current political</w:t>
      </w:r>
      <w:r>
        <w:rPr>
          <w:spacing w:val="-3"/>
        </w:rPr>
        <w:t xml:space="preserve"> </w:t>
      </w:r>
      <w:r>
        <w:t>climate and</w:t>
      </w:r>
      <w:r>
        <w:rPr>
          <w:spacing w:val="-1"/>
        </w:rPr>
        <w:t xml:space="preserve"> </w:t>
      </w:r>
      <w:r>
        <w:t>the</w:t>
      </w:r>
      <w:r>
        <w:rPr>
          <w:spacing w:val="-2"/>
        </w:rPr>
        <w:t xml:space="preserve"> </w:t>
      </w:r>
      <w:r>
        <w:t>very existence of</w:t>
      </w:r>
      <w:r>
        <w:rPr>
          <w:spacing w:val="-3"/>
        </w:rPr>
        <w:t xml:space="preserve"> </w:t>
      </w:r>
      <w:r>
        <w:t>these proposals stigmatize and harm the well-being of young people. Even in states where anti-LGBTQ legislation has not been proposed, youth are experiencing collective trauma.</w:t>
      </w:r>
      <w:hyperlink w:anchor="_bookmark26" w:history="1">
        <w:r>
          <w:rPr>
            <w:vertAlign w:val="superscript"/>
          </w:rPr>
          <w:t>21</w:t>
        </w:r>
      </w:hyperlink>
      <w:r>
        <w:t xml:space="preserve"> Indeed,</w:t>
      </w:r>
      <w:r>
        <w:rPr>
          <w:spacing w:val="-13"/>
        </w:rPr>
        <w:t xml:space="preserve"> </w:t>
      </w:r>
      <w:r>
        <w:t>throughout</w:t>
      </w:r>
      <w:r>
        <w:rPr>
          <w:spacing w:val="-12"/>
        </w:rPr>
        <w:t xml:space="preserve"> </w:t>
      </w:r>
      <w:r>
        <w:t>the</w:t>
      </w:r>
      <w:r>
        <w:rPr>
          <w:spacing w:val="-13"/>
        </w:rPr>
        <w:t xml:space="preserve"> </w:t>
      </w:r>
      <w:r>
        <w:t>nation,</w:t>
      </w:r>
      <w:r>
        <w:rPr>
          <w:spacing w:val="-11"/>
        </w:rPr>
        <w:t xml:space="preserve"> </w:t>
      </w:r>
      <w:r>
        <w:t>the</w:t>
      </w:r>
      <w:r>
        <w:rPr>
          <w:spacing w:val="-10"/>
        </w:rPr>
        <w:t xml:space="preserve"> </w:t>
      </w:r>
      <w:r>
        <w:t>pervasive</w:t>
      </w:r>
      <w:r>
        <w:rPr>
          <w:spacing w:val="-13"/>
        </w:rPr>
        <w:t xml:space="preserve"> </w:t>
      </w:r>
      <w:r>
        <w:t>sense</w:t>
      </w:r>
      <w:r>
        <w:rPr>
          <w:spacing w:val="-12"/>
        </w:rPr>
        <w:t xml:space="preserve"> </w:t>
      </w:r>
      <w:r>
        <w:t>of</w:t>
      </w:r>
      <w:r>
        <w:rPr>
          <w:spacing w:val="-13"/>
        </w:rPr>
        <w:t xml:space="preserve"> </w:t>
      </w:r>
      <w:r>
        <w:t>reality is</w:t>
      </w:r>
      <w:r>
        <w:rPr>
          <w:spacing w:val="-6"/>
        </w:rPr>
        <w:t xml:space="preserve"> </w:t>
      </w:r>
      <w:r>
        <w:t>that</w:t>
      </w:r>
      <w:r>
        <w:rPr>
          <w:spacing w:val="-5"/>
        </w:rPr>
        <w:t xml:space="preserve"> </w:t>
      </w:r>
      <w:r>
        <w:t>LGBTQ</w:t>
      </w:r>
      <w:r>
        <w:rPr>
          <w:spacing w:val="-5"/>
        </w:rPr>
        <w:t xml:space="preserve"> </w:t>
      </w:r>
      <w:r>
        <w:t>rights</w:t>
      </w:r>
      <w:r>
        <w:rPr>
          <w:spacing w:val="-5"/>
        </w:rPr>
        <w:t xml:space="preserve"> </w:t>
      </w:r>
      <w:r>
        <w:t>are</w:t>
      </w:r>
      <w:r>
        <w:rPr>
          <w:spacing w:val="-6"/>
        </w:rPr>
        <w:t xml:space="preserve"> </w:t>
      </w:r>
      <w:r>
        <w:t>conditional</w:t>
      </w:r>
      <w:r>
        <w:rPr>
          <w:spacing w:val="-6"/>
        </w:rPr>
        <w:t xml:space="preserve"> </w:t>
      </w:r>
      <w:r>
        <w:t>and</w:t>
      </w:r>
      <w:r>
        <w:rPr>
          <w:spacing w:val="-6"/>
        </w:rPr>
        <w:t xml:space="preserve"> </w:t>
      </w:r>
      <w:r>
        <w:t>can</w:t>
      </w:r>
      <w:r>
        <w:rPr>
          <w:spacing w:val="-6"/>
        </w:rPr>
        <w:t xml:space="preserve"> </w:t>
      </w:r>
      <w:r>
        <w:t>be</w:t>
      </w:r>
      <w:r>
        <w:rPr>
          <w:spacing w:val="-5"/>
        </w:rPr>
        <w:t xml:space="preserve"> </w:t>
      </w:r>
      <w:r>
        <w:t>rescinded.</w:t>
      </w:r>
      <w:r>
        <w:rPr>
          <w:spacing w:val="-6"/>
        </w:rPr>
        <w:t xml:space="preserve"> </w:t>
      </w:r>
      <w:r>
        <w:rPr>
          <w:spacing w:val="-5"/>
        </w:rPr>
        <w:t>In</w:t>
      </w:r>
    </w:p>
    <w:p w:rsidR="00200FDA" w:rsidRDefault="00200FDA">
      <w:pPr>
        <w:spacing w:line="264" w:lineRule="auto"/>
        <w:jc w:val="both"/>
        <w:sectPr w:rsidR="00200FDA">
          <w:pgSz w:w="12240" w:h="15840"/>
          <w:pgMar w:top="1360" w:right="1300" w:bottom="1240" w:left="1300" w:header="761" w:footer="1043" w:gutter="0"/>
          <w:cols w:space="720"/>
        </w:sectPr>
      </w:pPr>
    </w:p>
    <w:p w:rsidR="00200FDA" w:rsidRDefault="00F76C4C">
      <w:pPr>
        <w:pStyle w:val="BodyText"/>
        <w:spacing w:before="64" w:line="264" w:lineRule="auto"/>
        <w:ind w:left="139" w:right="134"/>
        <w:jc w:val="both"/>
      </w:pPr>
      <w:r>
        <w:lastRenderedPageBreak/>
        <w:t>a December 2022 survey from</w:t>
      </w:r>
      <w:r>
        <w:rPr>
          <w:spacing w:val="-1"/>
        </w:rPr>
        <w:t xml:space="preserve"> </w:t>
      </w:r>
      <w:r>
        <w:t>The Trevor</w:t>
      </w:r>
      <w:r>
        <w:rPr>
          <w:spacing w:val="-2"/>
        </w:rPr>
        <w:t xml:space="preserve"> </w:t>
      </w:r>
      <w:r>
        <w:t>Project, 90% of</w:t>
      </w:r>
      <w:r>
        <w:rPr>
          <w:spacing w:val="-2"/>
        </w:rPr>
        <w:t xml:space="preserve"> </w:t>
      </w:r>
      <w:r>
        <w:t>LGBTQ youth in Massachusetts stated that the recent national and community rhetoric attacking LGBTQ youth had negatively</w:t>
      </w:r>
      <w:r>
        <w:rPr>
          <w:spacing w:val="-1"/>
        </w:rPr>
        <w:t xml:space="preserve"> </w:t>
      </w:r>
      <w:r>
        <w:t>affected</w:t>
      </w:r>
      <w:r>
        <w:rPr>
          <w:spacing w:val="-3"/>
        </w:rPr>
        <w:t xml:space="preserve"> </w:t>
      </w:r>
      <w:r>
        <w:t>their well-being. In its analysis</w:t>
      </w:r>
      <w:r>
        <w:rPr>
          <w:spacing w:val="-1"/>
        </w:rPr>
        <w:t xml:space="preserve"> </w:t>
      </w:r>
      <w:r>
        <w:t>of the poll</w:t>
      </w:r>
      <w:r>
        <w:rPr>
          <w:spacing w:val="-1"/>
        </w:rPr>
        <w:t xml:space="preserve"> </w:t>
      </w:r>
      <w:r>
        <w:t>results, The Trevor</w:t>
      </w:r>
      <w:r>
        <w:rPr>
          <w:spacing w:val="-1"/>
        </w:rPr>
        <w:t xml:space="preserve"> </w:t>
      </w:r>
      <w:r>
        <w:t>Project notes that “LGBTQ</w:t>
      </w:r>
      <w:r>
        <w:rPr>
          <w:spacing w:val="-1"/>
        </w:rPr>
        <w:t xml:space="preserve"> </w:t>
      </w:r>
      <w:r>
        <w:t>youth</w:t>
      </w:r>
      <w:r>
        <w:rPr>
          <w:spacing w:val="-2"/>
        </w:rPr>
        <w:t xml:space="preserve"> </w:t>
      </w:r>
      <w:r>
        <w:t xml:space="preserve">are not inherently prone to </w:t>
      </w:r>
      <w:r>
        <w:t>suicide</w:t>
      </w:r>
      <w:r>
        <w:rPr>
          <w:spacing w:val="-6"/>
        </w:rPr>
        <w:t xml:space="preserve"> </w:t>
      </w:r>
      <w:r>
        <w:t>risk</w:t>
      </w:r>
      <w:r>
        <w:rPr>
          <w:spacing w:val="-6"/>
        </w:rPr>
        <w:t xml:space="preserve"> </w:t>
      </w:r>
      <w:r>
        <w:t>because</w:t>
      </w:r>
      <w:r>
        <w:rPr>
          <w:spacing w:val="-11"/>
        </w:rPr>
        <w:t xml:space="preserve"> </w:t>
      </w:r>
      <w:r>
        <w:t>of</w:t>
      </w:r>
      <w:r>
        <w:rPr>
          <w:spacing w:val="-9"/>
        </w:rPr>
        <w:t xml:space="preserve"> </w:t>
      </w:r>
      <w:r>
        <w:t>their</w:t>
      </w:r>
      <w:r>
        <w:rPr>
          <w:spacing w:val="-9"/>
        </w:rPr>
        <w:t xml:space="preserve"> </w:t>
      </w:r>
      <w:r>
        <w:t>sexual</w:t>
      </w:r>
      <w:r>
        <w:rPr>
          <w:spacing w:val="-9"/>
        </w:rPr>
        <w:t xml:space="preserve"> </w:t>
      </w:r>
      <w:r>
        <w:t>orientation</w:t>
      </w:r>
      <w:r>
        <w:rPr>
          <w:spacing w:val="-12"/>
        </w:rPr>
        <w:t xml:space="preserve"> </w:t>
      </w:r>
      <w:r>
        <w:t>or</w:t>
      </w:r>
      <w:r>
        <w:rPr>
          <w:spacing w:val="-7"/>
        </w:rPr>
        <w:t xml:space="preserve"> </w:t>
      </w:r>
      <w:r>
        <w:t>gender</w:t>
      </w:r>
      <w:r>
        <w:rPr>
          <w:spacing w:val="-7"/>
        </w:rPr>
        <w:t xml:space="preserve"> </w:t>
      </w:r>
      <w:r>
        <w:t>identity,</w:t>
      </w:r>
      <w:r>
        <w:rPr>
          <w:spacing w:val="-9"/>
        </w:rPr>
        <w:t xml:space="preserve"> </w:t>
      </w:r>
      <w:r>
        <w:t>but</w:t>
      </w:r>
      <w:r>
        <w:rPr>
          <w:spacing w:val="-8"/>
        </w:rPr>
        <w:t xml:space="preserve"> </w:t>
      </w:r>
      <w:r>
        <w:t>rather</w:t>
      </w:r>
      <w:r>
        <w:rPr>
          <w:spacing w:val="-7"/>
        </w:rPr>
        <w:t xml:space="preserve"> </w:t>
      </w:r>
      <w:r>
        <w:t>placed</w:t>
      </w:r>
      <w:r>
        <w:rPr>
          <w:spacing w:val="-7"/>
        </w:rPr>
        <w:t xml:space="preserve"> </w:t>
      </w:r>
      <w:r>
        <w:t>at</w:t>
      </w:r>
      <w:r>
        <w:rPr>
          <w:spacing w:val="-9"/>
        </w:rPr>
        <w:t xml:space="preserve"> </w:t>
      </w:r>
      <w:r>
        <w:t>higher</w:t>
      </w:r>
      <w:r>
        <w:rPr>
          <w:spacing w:val="-7"/>
        </w:rPr>
        <w:t xml:space="preserve"> </w:t>
      </w:r>
      <w:r>
        <w:t>risk</w:t>
      </w:r>
      <w:r>
        <w:rPr>
          <w:spacing w:val="-9"/>
        </w:rPr>
        <w:t xml:space="preserve"> </w:t>
      </w:r>
      <w:r>
        <w:t>because of how they are mistreated and stigmatized in society.”</w:t>
      </w:r>
      <w:hyperlink w:anchor="_bookmark27" w:history="1">
        <w:r>
          <w:rPr>
            <w:vertAlign w:val="superscript"/>
          </w:rPr>
          <w:t>22</w:t>
        </w:r>
      </w:hyperlink>
      <w:r>
        <w:rPr>
          <w:spacing w:val="-2"/>
        </w:rPr>
        <w:t xml:space="preserve"> </w:t>
      </w:r>
      <w:r>
        <w:t>The mental health toll on youth of the current national</w:t>
      </w:r>
      <w:r>
        <w:rPr>
          <w:spacing w:val="-2"/>
        </w:rPr>
        <w:t xml:space="preserve"> </w:t>
      </w:r>
      <w:r>
        <w:t>e</w:t>
      </w:r>
      <w:r>
        <w:t>nvironment</w:t>
      </w:r>
      <w:r>
        <w:rPr>
          <w:spacing w:val="-1"/>
        </w:rPr>
        <w:t xml:space="preserve"> </w:t>
      </w:r>
      <w:r>
        <w:t>underscores</w:t>
      </w:r>
      <w:r>
        <w:rPr>
          <w:spacing w:val="-2"/>
        </w:rPr>
        <w:t xml:space="preserve"> </w:t>
      </w:r>
      <w:r>
        <w:t>the need</w:t>
      </w:r>
      <w:r>
        <w:rPr>
          <w:spacing w:val="-2"/>
        </w:rPr>
        <w:t xml:space="preserve"> </w:t>
      </w:r>
      <w:r>
        <w:t>for</w:t>
      </w:r>
      <w:r>
        <w:rPr>
          <w:spacing w:val="-4"/>
        </w:rPr>
        <w:t xml:space="preserve"> </w:t>
      </w:r>
      <w:r>
        <w:t>Massachusetts</w:t>
      </w:r>
      <w:r>
        <w:rPr>
          <w:spacing w:val="-2"/>
        </w:rPr>
        <w:t xml:space="preserve"> </w:t>
      </w:r>
      <w:r>
        <w:t>policymakers</w:t>
      </w:r>
      <w:r>
        <w:rPr>
          <w:spacing w:val="-2"/>
        </w:rPr>
        <w:t xml:space="preserve"> </w:t>
      </w:r>
      <w:r>
        <w:t>to</w:t>
      </w:r>
      <w:r>
        <w:rPr>
          <w:spacing w:val="-1"/>
        </w:rPr>
        <w:t xml:space="preserve"> </w:t>
      </w:r>
      <w:r>
        <w:t>bolster</w:t>
      </w:r>
      <w:r>
        <w:rPr>
          <w:spacing w:val="-2"/>
        </w:rPr>
        <w:t xml:space="preserve"> </w:t>
      </w:r>
      <w:r>
        <w:t>laws</w:t>
      </w:r>
      <w:r>
        <w:rPr>
          <w:spacing w:val="-2"/>
        </w:rPr>
        <w:t xml:space="preserve"> </w:t>
      </w:r>
      <w:r>
        <w:t>that</w:t>
      </w:r>
      <w:r>
        <w:rPr>
          <w:spacing w:val="-1"/>
        </w:rPr>
        <w:t xml:space="preserve"> </w:t>
      </w:r>
      <w:r>
        <w:t>protect our</w:t>
      </w:r>
      <w:r>
        <w:rPr>
          <w:spacing w:val="-9"/>
        </w:rPr>
        <w:t xml:space="preserve"> </w:t>
      </w:r>
      <w:r>
        <w:t>LGBTQ</w:t>
      </w:r>
      <w:r>
        <w:rPr>
          <w:spacing w:val="-9"/>
        </w:rPr>
        <w:t xml:space="preserve"> </w:t>
      </w:r>
      <w:r>
        <w:t>young</w:t>
      </w:r>
      <w:r>
        <w:rPr>
          <w:spacing w:val="-10"/>
        </w:rPr>
        <w:t xml:space="preserve"> </w:t>
      </w:r>
      <w:r>
        <w:t>people</w:t>
      </w:r>
      <w:r>
        <w:rPr>
          <w:spacing w:val="-6"/>
        </w:rPr>
        <w:t xml:space="preserve"> </w:t>
      </w:r>
      <w:r>
        <w:t>and</w:t>
      </w:r>
      <w:r>
        <w:rPr>
          <w:spacing w:val="-7"/>
        </w:rPr>
        <w:t xml:space="preserve"> </w:t>
      </w:r>
      <w:r>
        <w:t>for</w:t>
      </w:r>
      <w:r>
        <w:rPr>
          <w:spacing w:val="-9"/>
        </w:rPr>
        <w:t xml:space="preserve"> </w:t>
      </w:r>
      <w:r>
        <w:t>educators,</w:t>
      </w:r>
      <w:r>
        <w:rPr>
          <w:spacing w:val="-9"/>
        </w:rPr>
        <w:t xml:space="preserve"> </w:t>
      </w:r>
      <w:r>
        <w:t>providers,</w:t>
      </w:r>
      <w:r>
        <w:rPr>
          <w:spacing w:val="-7"/>
        </w:rPr>
        <w:t xml:space="preserve"> </w:t>
      </w:r>
      <w:r>
        <w:t>and</w:t>
      </w:r>
      <w:r>
        <w:rPr>
          <w:spacing w:val="-7"/>
        </w:rPr>
        <w:t xml:space="preserve"> </w:t>
      </w:r>
      <w:r>
        <w:t>agencies</w:t>
      </w:r>
      <w:r>
        <w:rPr>
          <w:spacing w:val="-9"/>
        </w:rPr>
        <w:t xml:space="preserve"> </w:t>
      </w:r>
      <w:r>
        <w:t>to</w:t>
      </w:r>
      <w:r>
        <w:rPr>
          <w:spacing w:val="-8"/>
        </w:rPr>
        <w:t xml:space="preserve"> </w:t>
      </w:r>
      <w:r>
        <w:t>examine</w:t>
      </w:r>
      <w:r>
        <w:rPr>
          <w:spacing w:val="-8"/>
        </w:rPr>
        <w:t xml:space="preserve"> </w:t>
      </w:r>
      <w:r>
        <w:t>their</w:t>
      </w:r>
      <w:r>
        <w:rPr>
          <w:spacing w:val="-9"/>
        </w:rPr>
        <w:t xml:space="preserve"> </w:t>
      </w:r>
      <w:r>
        <w:t>own</w:t>
      </w:r>
      <w:r>
        <w:rPr>
          <w:spacing w:val="-10"/>
        </w:rPr>
        <w:t xml:space="preserve"> </w:t>
      </w:r>
      <w:r>
        <w:t>responsibilities in serving LGBTQ youth.</w:t>
      </w:r>
    </w:p>
    <w:p w:rsidR="00200FDA" w:rsidRDefault="00200FDA">
      <w:pPr>
        <w:pStyle w:val="BodyText"/>
      </w:pPr>
    </w:p>
    <w:p w:rsidR="00200FDA" w:rsidRDefault="00F76C4C">
      <w:pPr>
        <w:pStyle w:val="Heading8"/>
        <w:spacing w:before="183"/>
      </w:pPr>
      <w:bookmarkStart w:id="70" w:name="The_State_Context:_Anxiety,_Vulnerable_Y"/>
      <w:bookmarkEnd w:id="70"/>
      <w:r>
        <w:rPr>
          <w:color w:val="365F91"/>
        </w:rPr>
        <w:t>The</w:t>
      </w:r>
      <w:r>
        <w:rPr>
          <w:color w:val="365F91"/>
          <w:spacing w:val="-2"/>
        </w:rPr>
        <w:t xml:space="preserve"> </w:t>
      </w:r>
      <w:r>
        <w:rPr>
          <w:color w:val="365F91"/>
        </w:rPr>
        <w:t>State</w:t>
      </w:r>
      <w:r>
        <w:rPr>
          <w:color w:val="365F91"/>
          <w:spacing w:val="-1"/>
        </w:rPr>
        <w:t xml:space="preserve"> </w:t>
      </w:r>
      <w:r>
        <w:rPr>
          <w:color w:val="365F91"/>
        </w:rPr>
        <w:t>Context:</w:t>
      </w:r>
      <w:r>
        <w:rPr>
          <w:color w:val="365F91"/>
          <w:spacing w:val="-2"/>
        </w:rPr>
        <w:t xml:space="preserve"> </w:t>
      </w:r>
      <w:r>
        <w:rPr>
          <w:color w:val="365F91"/>
        </w:rPr>
        <w:t>Anxiety,</w:t>
      </w:r>
      <w:r>
        <w:rPr>
          <w:color w:val="365F91"/>
          <w:spacing w:val="-1"/>
        </w:rPr>
        <w:t xml:space="preserve"> </w:t>
      </w:r>
      <w:r>
        <w:rPr>
          <w:color w:val="365F91"/>
        </w:rPr>
        <w:t>Vulnerable</w:t>
      </w:r>
      <w:r>
        <w:rPr>
          <w:color w:val="365F91"/>
          <w:spacing w:val="-3"/>
        </w:rPr>
        <w:t xml:space="preserve"> </w:t>
      </w:r>
      <w:r>
        <w:rPr>
          <w:color w:val="365F91"/>
        </w:rPr>
        <w:t>Youth,</w:t>
      </w:r>
      <w:r>
        <w:rPr>
          <w:color w:val="365F91"/>
          <w:spacing w:val="-5"/>
        </w:rPr>
        <w:t xml:space="preserve"> </w:t>
      </w:r>
      <w:r>
        <w:rPr>
          <w:color w:val="365F91"/>
        </w:rPr>
        <w:t>and</w:t>
      </w:r>
      <w:r>
        <w:rPr>
          <w:color w:val="365F91"/>
          <w:spacing w:val="-1"/>
        </w:rPr>
        <w:t xml:space="preserve"> </w:t>
      </w:r>
      <w:r>
        <w:rPr>
          <w:color w:val="365F91"/>
        </w:rPr>
        <w:t>Failing</w:t>
      </w:r>
      <w:r>
        <w:rPr>
          <w:color w:val="365F91"/>
          <w:spacing w:val="-2"/>
        </w:rPr>
        <w:t xml:space="preserve"> Systems</w:t>
      </w:r>
    </w:p>
    <w:p w:rsidR="00200FDA" w:rsidRDefault="00200FDA">
      <w:pPr>
        <w:pStyle w:val="BodyText"/>
        <w:spacing w:before="10"/>
        <w:rPr>
          <w:sz w:val="19"/>
        </w:rPr>
      </w:pPr>
    </w:p>
    <w:p w:rsidR="00200FDA" w:rsidRDefault="00F76C4C">
      <w:pPr>
        <w:pStyle w:val="BodyText"/>
        <w:spacing w:line="264" w:lineRule="auto"/>
        <w:ind w:left="139" w:right="133"/>
        <w:jc w:val="both"/>
      </w:pPr>
      <w:r>
        <w:t>Narrowing the focus from international and national perspectives to a state-level view, recent data specific to Massachusetts reveal unsettling levels of anxiety and distress--despite the state’s history of efforts to</w:t>
      </w:r>
      <w:r>
        <w:t xml:space="preserve"> support LGBTQ youth.</w:t>
      </w:r>
      <w:r>
        <w:rPr>
          <w:spacing w:val="-4"/>
        </w:rPr>
        <w:t xml:space="preserve"> </w:t>
      </w:r>
      <w:r>
        <w:t>As highlighted in the MYRBS analysis section, new data from the 2021 Massachusetts Youth Risk Behavior Survey indicates that at least 1 in 5 (21.9%) Massachusetts youth identify as LGB, with 5.3% identifying as transgender or question</w:t>
      </w:r>
      <w:r>
        <w:t>ing. The 2022 U.S. National Survey on LGBTQ Youth Mental Health by State reveals that in Massachusetts last year, 41% of LGBTQ youth, including</w:t>
      </w:r>
      <w:r>
        <w:rPr>
          <w:spacing w:val="-5"/>
        </w:rPr>
        <w:t xml:space="preserve"> </w:t>
      </w:r>
      <w:r>
        <w:t>51%</w:t>
      </w:r>
      <w:r>
        <w:rPr>
          <w:spacing w:val="-6"/>
        </w:rPr>
        <w:t xml:space="preserve"> </w:t>
      </w:r>
      <w:r>
        <w:t>of</w:t>
      </w:r>
      <w:r>
        <w:rPr>
          <w:spacing w:val="-7"/>
        </w:rPr>
        <w:t xml:space="preserve"> </w:t>
      </w:r>
      <w:r>
        <w:t>transgender</w:t>
      </w:r>
      <w:r>
        <w:rPr>
          <w:spacing w:val="-4"/>
        </w:rPr>
        <w:t xml:space="preserve"> </w:t>
      </w:r>
      <w:r>
        <w:t>and</w:t>
      </w:r>
      <w:r>
        <w:rPr>
          <w:spacing w:val="-5"/>
        </w:rPr>
        <w:t xml:space="preserve"> </w:t>
      </w:r>
      <w:r>
        <w:t>nonbinary</w:t>
      </w:r>
      <w:r>
        <w:rPr>
          <w:spacing w:val="-6"/>
        </w:rPr>
        <w:t xml:space="preserve"> </w:t>
      </w:r>
      <w:r>
        <w:t>youth,</w:t>
      </w:r>
      <w:r>
        <w:rPr>
          <w:spacing w:val="-4"/>
        </w:rPr>
        <w:t xml:space="preserve"> </w:t>
      </w:r>
      <w:r>
        <w:t>seriously</w:t>
      </w:r>
      <w:r>
        <w:rPr>
          <w:spacing w:val="-6"/>
        </w:rPr>
        <w:t xml:space="preserve"> </w:t>
      </w:r>
      <w:r>
        <w:t>considered</w:t>
      </w:r>
      <w:r>
        <w:rPr>
          <w:spacing w:val="-5"/>
        </w:rPr>
        <w:t xml:space="preserve"> </w:t>
      </w:r>
      <w:r>
        <w:t>suicide</w:t>
      </w:r>
      <w:r>
        <w:rPr>
          <w:spacing w:val="-5"/>
        </w:rPr>
        <w:t xml:space="preserve"> </w:t>
      </w:r>
      <w:r>
        <w:t>in</w:t>
      </w:r>
      <w:r>
        <w:rPr>
          <w:spacing w:val="-5"/>
        </w:rPr>
        <w:t xml:space="preserve"> </w:t>
      </w:r>
      <w:r>
        <w:t>the</w:t>
      </w:r>
      <w:r>
        <w:rPr>
          <w:spacing w:val="-4"/>
        </w:rPr>
        <w:t xml:space="preserve"> </w:t>
      </w:r>
      <w:r>
        <w:t>past</w:t>
      </w:r>
      <w:r>
        <w:rPr>
          <w:spacing w:val="-6"/>
        </w:rPr>
        <w:t xml:space="preserve"> </w:t>
      </w:r>
      <w:r>
        <w:t>year.</w:t>
      </w:r>
      <w:r>
        <w:rPr>
          <w:spacing w:val="-5"/>
        </w:rPr>
        <w:t xml:space="preserve"> </w:t>
      </w:r>
      <w:r>
        <w:t>Further, 11% of LGBTQ youth, including 15% of transgender and nonbinary youth, attempted suicide in the past year.</w:t>
      </w:r>
      <w:r>
        <w:rPr>
          <w:spacing w:val="-9"/>
        </w:rPr>
        <w:t xml:space="preserve"> </w:t>
      </w:r>
      <w:r>
        <w:t>These</w:t>
      </w:r>
      <w:r>
        <w:rPr>
          <w:spacing w:val="-11"/>
        </w:rPr>
        <w:t xml:space="preserve"> </w:t>
      </w:r>
      <w:r>
        <w:t>feelings</w:t>
      </w:r>
      <w:r>
        <w:rPr>
          <w:spacing w:val="-9"/>
        </w:rPr>
        <w:t xml:space="preserve"> </w:t>
      </w:r>
      <w:r>
        <w:t>do</w:t>
      </w:r>
      <w:r>
        <w:rPr>
          <w:spacing w:val="-8"/>
        </w:rPr>
        <w:t xml:space="preserve"> </w:t>
      </w:r>
      <w:r>
        <w:t>not</w:t>
      </w:r>
      <w:r>
        <w:rPr>
          <w:spacing w:val="-11"/>
        </w:rPr>
        <w:t xml:space="preserve"> </w:t>
      </w:r>
      <w:r>
        <w:t>come</w:t>
      </w:r>
      <w:r>
        <w:rPr>
          <w:spacing w:val="-8"/>
        </w:rPr>
        <w:t xml:space="preserve"> </w:t>
      </w:r>
      <w:r>
        <w:t>unaccompanied,</w:t>
      </w:r>
      <w:r>
        <w:rPr>
          <w:spacing w:val="-11"/>
        </w:rPr>
        <w:t xml:space="preserve"> </w:t>
      </w:r>
      <w:r>
        <w:t>71%</w:t>
      </w:r>
      <w:r>
        <w:rPr>
          <w:spacing w:val="-11"/>
        </w:rPr>
        <w:t xml:space="preserve"> </w:t>
      </w:r>
      <w:r>
        <w:t>of</w:t>
      </w:r>
      <w:r>
        <w:rPr>
          <w:spacing w:val="-12"/>
        </w:rPr>
        <w:t xml:space="preserve"> </w:t>
      </w:r>
      <w:r>
        <w:t>LGBTQ</w:t>
      </w:r>
      <w:r>
        <w:rPr>
          <w:spacing w:val="-9"/>
        </w:rPr>
        <w:t xml:space="preserve"> </w:t>
      </w:r>
      <w:r>
        <w:t>youth,</w:t>
      </w:r>
      <w:r>
        <w:rPr>
          <w:spacing w:val="-9"/>
        </w:rPr>
        <w:t xml:space="preserve"> </w:t>
      </w:r>
      <w:r>
        <w:t>including</w:t>
      </w:r>
      <w:r>
        <w:rPr>
          <w:spacing w:val="-12"/>
        </w:rPr>
        <w:t xml:space="preserve"> </w:t>
      </w:r>
      <w:r>
        <w:t>78%</w:t>
      </w:r>
      <w:r>
        <w:rPr>
          <w:spacing w:val="-8"/>
        </w:rPr>
        <w:t xml:space="preserve"> </w:t>
      </w:r>
      <w:r>
        <w:t>of</w:t>
      </w:r>
      <w:r>
        <w:rPr>
          <w:spacing w:val="-9"/>
        </w:rPr>
        <w:t xml:space="preserve"> </w:t>
      </w:r>
      <w:r>
        <w:t>transgender</w:t>
      </w:r>
      <w:r>
        <w:rPr>
          <w:spacing w:val="-9"/>
        </w:rPr>
        <w:t xml:space="preserve"> </w:t>
      </w:r>
      <w:r>
        <w:t>and nonbinary youth, reported experiencing symptom</w:t>
      </w:r>
      <w:r>
        <w:t>s of anxiety symptoms, and 51% of LGBTQ youth, including 64% of transgender youth, reported experiencing symptoms of depression.</w:t>
      </w:r>
    </w:p>
    <w:p w:rsidR="00200FDA" w:rsidRDefault="00200FDA">
      <w:pPr>
        <w:pStyle w:val="BodyText"/>
        <w:spacing w:before="6"/>
        <w:rPr>
          <w:sz w:val="19"/>
        </w:rPr>
      </w:pPr>
    </w:p>
    <w:p w:rsidR="00200FDA" w:rsidRDefault="00F76C4C">
      <w:pPr>
        <w:pStyle w:val="BodyText"/>
        <w:spacing w:line="264" w:lineRule="auto"/>
        <w:ind w:left="139" w:right="135"/>
        <w:jc w:val="both"/>
      </w:pPr>
      <w:r>
        <w:t xml:space="preserve">As noted above, the Commission recommends that the legislature codify the Massachusetts Parentage Act, which would update the </w:t>
      </w:r>
      <w:r>
        <w:t>Commonwealth’s outdated parentage laws by allowing same-gender non- biological</w:t>
      </w:r>
      <w:r>
        <w:rPr>
          <w:spacing w:val="-13"/>
        </w:rPr>
        <w:t xml:space="preserve"> </w:t>
      </w:r>
      <w:r>
        <w:t>parents</w:t>
      </w:r>
      <w:r>
        <w:rPr>
          <w:spacing w:val="-12"/>
        </w:rPr>
        <w:t xml:space="preserve"> </w:t>
      </w:r>
      <w:r>
        <w:t>to</w:t>
      </w:r>
      <w:r>
        <w:rPr>
          <w:spacing w:val="-13"/>
        </w:rPr>
        <w:t xml:space="preserve"> </w:t>
      </w:r>
      <w:r>
        <w:t>be</w:t>
      </w:r>
      <w:r>
        <w:rPr>
          <w:spacing w:val="-12"/>
        </w:rPr>
        <w:t xml:space="preserve"> </w:t>
      </w:r>
      <w:r>
        <w:t>legally</w:t>
      </w:r>
      <w:r>
        <w:rPr>
          <w:spacing w:val="-13"/>
        </w:rPr>
        <w:t xml:space="preserve"> </w:t>
      </w:r>
      <w:r>
        <w:t>recognized</w:t>
      </w:r>
      <w:r>
        <w:rPr>
          <w:spacing w:val="-12"/>
        </w:rPr>
        <w:t xml:space="preserve"> </w:t>
      </w:r>
      <w:r>
        <w:t>as</w:t>
      </w:r>
      <w:r>
        <w:rPr>
          <w:spacing w:val="-13"/>
        </w:rPr>
        <w:t xml:space="preserve"> </w:t>
      </w:r>
      <w:r>
        <w:t>parents,</w:t>
      </w:r>
      <w:r>
        <w:rPr>
          <w:spacing w:val="-12"/>
        </w:rPr>
        <w:t xml:space="preserve"> </w:t>
      </w:r>
      <w:r>
        <w:t>as</w:t>
      </w:r>
      <w:r>
        <w:rPr>
          <w:spacing w:val="-12"/>
        </w:rPr>
        <w:t xml:space="preserve"> </w:t>
      </w:r>
      <w:r>
        <w:t>well</w:t>
      </w:r>
      <w:r>
        <w:rPr>
          <w:spacing w:val="-13"/>
        </w:rPr>
        <w:t xml:space="preserve"> </w:t>
      </w:r>
      <w:r>
        <w:t>as</w:t>
      </w:r>
      <w:r>
        <w:rPr>
          <w:spacing w:val="-12"/>
        </w:rPr>
        <w:t xml:space="preserve"> </w:t>
      </w:r>
      <w:r>
        <w:t>would</w:t>
      </w:r>
      <w:r>
        <w:rPr>
          <w:spacing w:val="-13"/>
        </w:rPr>
        <w:t xml:space="preserve"> </w:t>
      </w:r>
      <w:r>
        <w:t>recognize</w:t>
      </w:r>
      <w:r>
        <w:rPr>
          <w:spacing w:val="-12"/>
        </w:rPr>
        <w:t xml:space="preserve"> </w:t>
      </w:r>
      <w:r>
        <w:t>de-facto</w:t>
      </w:r>
      <w:r>
        <w:rPr>
          <w:spacing w:val="-13"/>
        </w:rPr>
        <w:t xml:space="preserve"> </w:t>
      </w:r>
      <w:r>
        <w:t>parentage</w:t>
      </w:r>
      <w:r>
        <w:rPr>
          <w:spacing w:val="-12"/>
        </w:rPr>
        <w:t xml:space="preserve"> </w:t>
      </w:r>
      <w:r>
        <w:t>which would reduce instances of youth being placed in the child welfare system.</w:t>
      </w:r>
      <w:hyperlink w:anchor="_bookmark28" w:history="1">
        <w:r>
          <w:rPr>
            <w:vertAlign w:val="superscript"/>
          </w:rPr>
          <w:t>23</w:t>
        </w:r>
      </w:hyperlink>
    </w:p>
    <w:p w:rsidR="00200FDA" w:rsidRDefault="00200FDA">
      <w:pPr>
        <w:pStyle w:val="BodyText"/>
        <w:rPr>
          <w:sz w:val="24"/>
        </w:rPr>
      </w:pPr>
    </w:p>
    <w:p w:rsidR="00200FDA" w:rsidRDefault="00200FDA">
      <w:pPr>
        <w:pStyle w:val="BodyText"/>
        <w:spacing w:before="10"/>
        <w:rPr>
          <w:sz w:val="19"/>
        </w:rPr>
      </w:pPr>
    </w:p>
    <w:p w:rsidR="00200FDA" w:rsidRDefault="00F76C4C">
      <w:pPr>
        <w:pStyle w:val="Heading8"/>
        <w:jc w:val="left"/>
      </w:pPr>
      <w:bookmarkStart w:id="71" w:name="Among_the_Most_Marginalized:_LGBTQ_Youth"/>
      <w:bookmarkEnd w:id="71"/>
      <w:r>
        <w:rPr>
          <w:color w:val="365F91"/>
        </w:rPr>
        <w:t>Among</w:t>
      </w:r>
      <w:r>
        <w:rPr>
          <w:color w:val="365F91"/>
          <w:spacing w:val="-5"/>
        </w:rPr>
        <w:t xml:space="preserve"> </w:t>
      </w:r>
      <w:r>
        <w:rPr>
          <w:color w:val="365F91"/>
        </w:rPr>
        <w:t>the</w:t>
      </w:r>
      <w:r>
        <w:rPr>
          <w:color w:val="365F91"/>
          <w:spacing w:val="-4"/>
        </w:rPr>
        <w:t xml:space="preserve"> </w:t>
      </w:r>
      <w:r>
        <w:rPr>
          <w:color w:val="365F91"/>
        </w:rPr>
        <w:t>Most</w:t>
      </w:r>
      <w:r>
        <w:rPr>
          <w:color w:val="365F91"/>
          <w:spacing w:val="-4"/>
        </w:rPr>
        <w:t xml:space="preserve"> </w:t>
      </w:r>
      <w:r>
        <w:rPr>
          <w:color w:val="365F91"/>
        </w:rPr>
        <w:t>Marginalized:</w:t>
      </w:r>
      <w:r>
        <w:rPr>
          <w:color w:val="365F91"/>
          <w:spacing w:val="-2"/>
        </w:rPr>
        <w:t xml:space="preserve"> </w:t>
      </w:r>
      <w:r>
        <w:rPr>
          <w:color w:val="365F91"/>
        </w:rPr>
        <w:t>LGBTQ</w:t>
      </w:r>
      <w:r>
        <w:rPr>
          <w:color w:val="365F91"/>
          <w:spacing w:val="-3"/>
        </w:rPr>
        <w:t xml:space="preserve"> </w:t>
      </w:r>
      <w:r>
        <w:rPr>
          <w:color w:val="365F91"/>
        </w:rPr>
        <w:t>Youth</w:t>
      </w:r>
      <w:r>
        <w:rPr>
          <w:color w:val="365F91"/>
          <w:spacing w:val="-2"/>
        </w:rPr>
        <w:t xml:space="preserve"> </w:t>
      </w:r>
      <w:r>
        <w:rPr>
          <w:color w:val="365F91"/>
        </w:rPr>
        <w:t>in</w:t>
      </w:r>
      <w:r>
        <w:rPr>
          <w:color w:val="365F91"/>
          <w:spacing w:val="-4"/>
        </w:rPr>
        <w:t xml:space="preserve"> </w:t>
      </w:r>
      <w:r>
        <w:rPr>
          <w:color w:val="365F91"/>
        </w:rPr>
        <w:t>the</w:t>
      </w:r>
      <w:r>
        <w:rPr>
          <w:color w:val="365F91"/>
          <w:spacing w:val="-2"/>
        </w:rPr>
        <w:t xml:space="preserve"> </w:t>
      </w:r>
      <w:r>
        <w:rPr>
          <w:color w:val="365F91"/>
        </w:rPr>
        <w:t>Child</w:t>
      </w:r>
      <w:r>
        <w:rPr>
          <w:color w:val="365F91"/>
          <w:spacing w:val="-2"/>
        </w:rPr>
        <w:t xml:space="preserve"> </w:t>
      </w:r>
      <w:r>
        <w:rPr>
          <w:color w:val="365F91"/>
        </w:rPr>
        <w:t>Welfare,</w:t>
      </w:r>
      <w:r>
        <w:rPr>
          <w:color w:val="365F91"/>
          <w:spacing w:val="-5"/>
        </w:rPr>
        <w:t xml:space="preserve"> </w:t>
      </w:r>
      <w:r>
        <w:rPr>
          <w:color w:val="365F91"/>
        </w:rPr>
        <w:t>Juvenile</w:t>
      </w:r>
      <w:r>
        <w:rPr>
          <w:color w:val="365F91"/>
          <w:spacing w:val="-2"/>
        </w:rPr>
        <w:t xml:space="preserve"> </w:t>
      </w:r>
      <w:r>
        <w:rPr>
          <w:color w:val="365F91"/>
        </w:rPr>
        <w:t>Justice,</w:t>
      </w:r>
      <w:r>
        <w:rPr>
          <w:color w:val="365F91"/>
          <w:spacing w:val="-2"/>
        </w:rPr>
        <w:t xml:space="preserve"> </w:t>
      </w:r>
      <w:r>
        <w:rPr>
          <w:color w:val="365F91"/>
        </w:rPr>
        <w:t>and</w:t>
      </w:r>
      <w:r>
        <w:rPr>
          <w:color w:val="365F91"/>
          <w:spacing w:val="-4"/>
        </w:rPr>
        <w:t xml:space="preserve"> </w:t>
      </w:r>
      <w:r>
        <w:rPr>
          <w:color w:val="365F91"/>
        </w:rPr>
        <w:t>Mental Health Systems</w:t>
      </w:r>
    </w:p>
    <w:p w:rsidR="00200FDA" w:rsidRDefault="00200FDA">
      <w:pPr>
        <w:pStyle w:val="BodyText"/>
        <w:spacing w:before="7"/>
        <w:rPr>
          <w:sz w:val="19"/>
        </w:rPr>
      </w:pPr>
    </w:p>
    <w:p w:rsidR="00200FDA" w:rsidRDefault="00F76C4C">
      <w:pPr>
        <w:pStyle w:val="BodyText"/>
        <w:spacing w:line="264" w:lineRule="auto"/>
        <w:ind w:left="139" w:right="135"/>
        <w:jc w:val="both"/>
      </w:pPr>
      <w:r>
        <w:t>Though</w:t>
      </w:r>
      <w:r>
        <w:rPr>
          <w:spacing w:val="-5"/>
        </w:rPr>
        <w:t xml:space="preserve"> </w:t>
      </w:r>
      <w:r>
        <w:t>the</w:t>
      </w:r>
      <w:r>
        <w:rPr>
          <w:spacing w:val="-6"/>
        </w:rPr>
        <w:t xml:space="preserve"> </w:t>
      </w:r>
      <w:r>
        <w:t>well-being</w:t>
      </w:r>
      <w:r>
        <w:rPr>
          <w:spacing w:val="-7"/>
        </w:rPr>
        <w:t xml:space="preserve"> </w:t>
      </w:r>
      <w:r>
        <w:t>of</w:t>
      </w:r>
      <w:r>
        <w:rPr>
          <w:spacing w:val="-7"/>
        </w:rPr>
        <w:t xml:space="preserve"> </w:t>
      </w:r>
      <w:r>
        <w:t>all</w:t>
      </w:r>
      <w:r>
        <w:rPr>
          <w:spacing w:val="-5"/>
        </w:rPr>
        <w:t xml:space="preserve"> </w:t>
      </w:r>
      <w:r>
        <w:t>LGBTQ</w:t>
      </w:r>
      <w:r>
        <w:rPr>
          <w:spacing w:val="-7"/>
        </w:rPr>
        <w:t xml:space="preserve"> </w:t>
      </w:r>
      <w:r>
        <w:t>young</w:t>
      </w:r>
      <w:r>
        <w:rPr>
          <w:spacing w:val="-5"/>
        </w:rPr>
        <w:t xml:space="preserve"> </w:t>
      </w:r>
      <w:r>
        <w:t>people</w:t>
      </w:r>
      <w:r>
        <w:rPr>
          <w:spacing w:val="-6"/>
        </w:rPr>
        <w:t xml:space="preserve"> </w:t>
      </w:r>
      <w:r>
        <w:t>in</w:t>
      </w:r>
      <w:r>
        <w:rPr>
          <w:spacing w:val="-8"/>
        </w:rPr>
        <w:t xml:space="preserve"> </w:t>
      </w:r>
      <w:r>
        <w:t>the</w:t>
      </w:r>
      <w:r>
        <w:rPr>
          <w:spacing w:val="-4"/>
        </w:rPr>
        <w:t xml:space="preserve"> </w:t>
      </w:r>
      <w:r>
        <w:t>state</w:t>
      </w:r>
      <w:r>
        <w:rPr>
          <w:spacing w:val="-9"/>
        </w:rPr>
        <w:t xml:space="preserve"> </w:t>
      </w:r>
      <w:r>
        <w:t>merits</w:t>
      </w:r>
      <w:r>
        <w:rPr>
          <w:spacing w:val="-7"/>
        </w:rPr>
        <w:t xml:space="preserve"> </w:t>
      </w:r>
      <w:r>
        <w:t>concerted</w:t>
      </w:r>
      <w:r>
        <w:rPr>
          <w:spacing w:val="-7"/>
        </w:rPr>
        <w:t xml:space="preserve"> </w:t>
      </w:r>
      <w:r>
        <w:t>ongoing</w:t>
      </w:r>
      <w:r>
        <w:rPr>
          <w:spacing w:val="-5"/>
        </w:rPr>
        <w:t xml:space="preserve"> </w:t>
      </w:r>
      <w:r>
        <w:t>attention,</w:t>
      </w:r>
      <w:r>
        <w:rPr>
          <w:spacing w:val="-7"/>
        </w:rPr>
        <w:t xml:space="preserve"> </w:t>
      </w:r>
      <w:r>
        <w:t>LGBTQ young people involved</w:t>
      </w:r>
      <w:r>
        <w:rPr>
          <w:spacing w:val="-3"/>
        </w:rPr>
        <w:t xml:space="preserve"> </w:t>
      </w:r>
      <w:r>
        <w:t>with the child welfare, juvenile justice, and mental health systems</w:t>
      </w:r>
      <w:r>
        <w:rPr>
          <w:spacing w:val="-2"/>
        </w:rPr>
        <w:t xml:space="preserve"> </w:t>
      </w:r>
      <w:r>
        <w:t>are among the most vulnerable youth in our state. The state agencies that serve youth in crisis demand particular attention,</w:t>
      </w:r>
      <w:r>
        <w:rPr>
          <w:spacing w:val="-6"/>
        </w:rPr>
        <w:t xml:space="preserve"> </w:t>
      </w:r>
      <w:r>
        <w:t>as</w:t>
      </w:r>
      <w:r>
        <w:rPr>
          <w:spacing w:val="-3"/>
        </w:rPr>
        <w:t xml:space="preserve"> </w:t>
      </w:r>
      <w:r>
        <w:t>national</w:t>
      </w:r>
      <w:r>
        <w:rPr>
          <w:spacing w:val="-6"/>
        </w:rPr>
        <w:t xml:space="preserve"> </w:t>
      </w:r>
      <w:r>
        <w:t>data</w:t>
      </w:r>
      <w:r>
        <w:rPr>
          <w:spacing w:val="-6"/>
        </w:rPr>
        <w:t xml:space="preserve"> </w:t>
      </w:r>
      <w:r>
        <w:t>indicates</w:t>
      </w:r>
      <w:r>
        <w:rPr>
          <w:spacing w:val="-6"/>
        </w:rPr>
        <w:t xml:space="preserve"> </w:t>
      </w:r>
      <w:r>
        <w:t>that</w:t>
      </w:r>
      <w:r>
        <w:rPr>
          <w:spacing w:val="-5"/>
        </w:rPr>
        <w:t xml:space="preserve"> </w:t>
      </w:r>
      <w:r>
        <w:t>QTB</w:t>
      </w:r>
      <w:r>
        <w:t>IPOC</w:t>
      </w:r>
      <w:r>
        <w:rPr>
          <w:spacing w:val="-8"/>
        </w:rPr>
        <w:t xml:space="preserve"> </w:t>
      </w:r>
      <w:r>
        <w:t>youth</w:t>
      </w:r>
      <w:r>
        <w:rPr>
          <w:spacing w:val="-4"/>
        </w:rPr>
        <w:t xml:space="preserve"> </w:t>
      </w:r>
      <w:r>
        <w:t>are</w:t>
      </w:r>
      <w:r>
        <w:rPr>
          <w:spacing w:val="-8"/>
        </w:rPr>
        <w:t xml:space="preserve"> </w:t>
      </w:r>
      <w:r>
        <w:t>often</w:t>
      </w:r>
      <w:r>
        <w:rPr>
          <w:spacing w:val="-7"/>
        </w:rPr>
        <w:t xml:space="preserve"> </w:t>
      </w:r>
      <w:r>
        <w:t>the</w:t>
      </w:r>
      <w:r>
        <w:rPr>
          <w:spacing w:val="-7"/>
        </w:rPr>
        <w:t xml:space="preserve"> </w:t>
      </w:r>
      <w:r>
        <w:t>most</w:t>
      </w:r>
      <w:r>
        <w:rPr>
          <w:spacing w:val="-5"/>
        </w:rPr>
        <w:t xml:space="preserve"> </w:t>
      </w:r>
      <w:r>
        <w:t>underserved</w:t>
      </w:r>
      <w:r>
        <w:rPr>
          <w:spacing w:val="-4"/>
        </w:rPr>
        <w:t xml:space="preserve"> </w:t>
      </w:r>
      <w:r>
        <w:t>among</w:t>
      </w:r>
      <w:r>
        <w:rPr>
          <w:spacing w:val="-4"/>
        </w:rPr>
        <w:t xml:space="preserve"> </w:t>
      </w:r>
      <w:r>
        <w:t>youth</w:t>
      </w:r>
      <w:r>
        <w:rPr>
          <w:spacing w:val="-7"/>
        </w:rPr>
        <w:t xml:space="preserve"> </w:t>
      </w:r>
      <w:r>
        <w:t>in the child welfare and juvenile justice systems.</w:t>
      </w:r>
      <w:hyperlink w:anchor="_bookmark29" w:history="1">
        <w:r>
          <w:rPr>
            <w:vertAlign w:val="superscript"/>
          </w:rPr>
          <w:t>24</w:t>
        </w:r>
      </w:hyperlink>
    </w:p>
    <w:p w:rsidR="00200FDA" w:rsidRDefault="00200FDA">
      <w:pPr>
        <w:pStyle w:val="BodyText"/>
        <w:spacing w:before="7"/>
        <w:rPr>
          <w:sz w:val="19"/>
        </w:rPr>
      </w:pPr>
    </w:p>
    <w:p w:rsidR="00200FDA" w:rsidRDefault="00F76C4C">
      <w:pPr>
        <w:pStyle w:val="BodyText"/>
        <w:spacing w:line="264" w:lineRule="auto"/>
        <w:ind w:left="139" w:right="134"/>
        <w:jc w:val="both"/>
      </w:pPr>
      <w:r>
        <w:t>Often,</w:t>
      </w:r>
      <w:r>
        <w:rPr>
          <w:spacing w:val="-1"/>
        </w:rPr>
        <w:t xml:space="preserve"> </w:t>
      </w:r>
      <w:r>
        <w:t>youth</w:t>
      </w:r>
      <w:r>
        <w:rPr>
          <w:spacing w:val="-2"/>
        </w:rPr>
        <w:t xml:space="preserve"> </w:t>
      </w:r>
      <w:r>
        <w:t>involved</w:t>
      </w:r>
      <w:r>
        <w:rPr>
          <w:spacing w:val="-2"/>
        </w:rPr>
        <w:t xml:space="preserve"> </w:t>
      </w:r>
      <w:r>
        <w:t>in</w:t>
      </w:r>
      <w:r>
        <w:rPr>
          <w:spacing w:val="-2"/>
        </w:rPr>
        <w:t xml:space="preserve"> </w:t>
      </w:r>
      <w:r>
        <w:t>one system are actually involved</w:t>
      </w:r>
      <w:r>
        <w:rPr>
          <w:spacing w:val="-2"/>
        </w:rPr>
        <w:t xml:space="preserve"> </w:t>
      </w:r>
      <w:r>
        <w:t>in</w:t>
      </w:r>
      <w:r>
        <w:rPr>
          <w:spacing w:val="-2"/>
        </w:rPr>
        <w:t xml:space="preserve"> </w:t>
      </w:r>
      <w:r>
        <w:t>multiple</w:t>
      </w:r>
      <w:r>
        <w:rPr>
          <w:spacing w:val="-1"/>
        </w:rPr>
        <w:t xml:space="preserve"> </w:t>
      </w:r>
      <w:r>
        <w:t>systems;</w:t>
      </w:r>
      <w:hyperlink w:anchor="_bookmark30" w:history="1">
        <w:r>
          <w:rPr>
            <w:vertAlign w:val="superscript"/>
          </w:rPr>
          <w:t>25</w:t>
        </w:r>
      </w:hyperlink>
      <w:r>
        <w:rPr>
          <w:spacing w:val="-2"/>
        </w:rPr>
        <w:t xml:space="preserve"> </w:t>
      </w:r>
      <w:r>
        <w:t>these</w:t>
      </w:r>
      <w:r>
        <w:t xml:space="preserve"> young</w:t>
      </w:r>
      <w:r>
        <w:rPr>
          <w:spacing w:val="-2"/>
        </w:rPr>
        <w:t xml:space="preserve"> </w:t>
      </w:r>
      <w:r>
        <w:t>people</w:t>
      </w:r>
      <w:r>
        <w:rPr>
          <w:spacing w:val="-3"/>
        </w:rPr>
        <w:t xml:space="preserve"> </w:t>
      </w:r>
      <w:r>
        <w:t>may be</w:t>
      </w:r>
      <w:r>
        <w:rPr>
          <w:spacing w:val="-4"/>
        </w:rPr>
        <w:t xml:space="preserve"> </w:t>
      </w:r>
      <w:r>
        <w:t>labeled</w:t>
      </w:r>
      <w:r>
        <w:rPr>
          <w:spacing w:val="-8"/>
        </w:rPr>
        <w:t xml:space="preserve"> </w:t>
      </w:r>
      <w:r>
        <w:t>as</w:t>
      </w:r>
      <w:r>
        <w:rPr>
          <w:spacing w:val="-9"/>
        </w:rPr>
        <w:t xml:space="preserve"> </w:t>
      </w:r>
      <w:r>
        <w:t>multisystem-involved</w:t>
      </w:r>
      <w:r>
        <w:rPr>
          <w:spacing w:val="-7"/>
        </w:rPr>
        <w:t xml:space="preserve"> </w:t>
      </w:r>
      <w:r>
        <w:t>youth,</w:t>
      </w:r>
      <w:r>
        <w:rPr>
          <w:spacing w:val="-4"/>
        </w:rPr>
        <w:t xml:space="preserve"> </w:t>
      </w:r>
      <w:r>
        <w:t>dual-system-involved</w:t>
      </w:r>
      <w:r>
        <w:rPr>
          <w:spacing w:val="-7"/>
        </w:rPr>
        <w:t xml:space="preserve"> </w:t>
      </w:r>
      <w:r>
        <w:t>youth,</w:t>
      </w:r>
      <w:r>
        <w:rPr>
          <w:spacing w:val="-9"/>
        </w:rPr>
        <w:t xml:space="preserve"> </w:t>
      </w:r>
      <w:r>
        <w:t>or</w:t>
      </w:r>
      <w:r>
        <w:rPr>
          <w:spacing w:val="-7"/>
        </w:rPr>
        <w:t xml:space="preserve"> </w:t>
      </w:r>
      <w:r>
        <w:t>crossover</w:t>
      </w:r>
      <w:r>
        <w:rPr>
          <w:spacing w:val="-7"/>
        </w:rPr>
        <w:t xml:space="preserve"> </w:t>
      </w:r>
      <w:r>
        <w:t>youth.</w:t>
      </w:r>
      <w:r>
        <w:rPr>
          <w:spacing w:val="-5"/>
        </w:rPr>
        <w:t xml:space="preserve"> </w:t>
      </w:r>
      <w:r>
        <w:t>The</w:t>
      </w:r>
      <w:r>
        <w:rPr>
          <w:spacing w:val="-6"/>
        </w:rPr>
        <w:t xml:space="preserve"> </w:t>
      </w:r>
      <w:r>
        <w:t>effects</w:t>
      </w:r>
      <w:r>
        <w:rPr>
          <w:spacing w:val="-7"/>
        </w:rPr>
        <w:t xml:space="preserve"> </w:t>
      </w:r>
      <w:r>
        <w:t>of entering</w:t>
      </w:r>
      <w:r>
        <w:rPr>
          <w:spacing w:val="-3"/>
        </w:rPr>
        <w:t xml:space="preserve"> </w:t>
      </w:r>
      <w:r>
        <w:t>these</w:t>
      </w:r>
      <w:r>
        <w:rPr>
          <w:spacing w:val="-1"/>
        </w:rPr>
        <w:t xml:space="preserve"> </w:t>
      </w:r>
      <w:r>
        <w:t>systems</w:t>
      </w:r>
      <w:r>
        <w:rPr>
          <w:spacing w:val="-2"/>
        </w:rPr>
        <w:t xml:space="preserve"> </w:t>
      </w:r>
      <w:r>
        <w:t>cascade</w:t>
      </w:r>
      <w:r>
        <w:rPr>
          <w:spacing w:val="-1"/>
        </w:rPr>
        <w:t xml:space="preserve"> </w:t>
      </w:r>
      <w:r>
        <w:t>as</w:t>
      </w:r>
      <w:r>
        <w:rPr>
          <w:spacing w:val="-2"/>
        </w:rPr>
        <w:t xml:space="preserve"> </w:t>
      </w:r>
      <w:r>
        <w:t>children</w:t>
      </w:r>
      <w:r>
        <w:rPr>
          <w:spacing w:val="-3"/>
        </w:rPr>
        <w:t xml:space="preserve"> </w:t>
      </w:r>
      <w:r>
        <w:t>develop.</w:t>
      </w:r>
      <w:r>
        <w:rPr>
          <w:spacing w:val="-2"/>
        </w:rPr>
        <w:t xml:space="preserve"> </w:t>
      </w:r>
      <w:r>
        <w:t>Pre-adolescent</w:t>
      </w:r>
      <w:r>
        <w:rPr>
          <w:spacing w:val="-1"/>
        </w:rPr>
        <w:t xml:space="preserve"> </w:t>
      </w:r>
      <w:r>
        <w:t>children</w:t>
      </w:r>
      <w:r>
        <w:rPr>
          <w:spacing w:val="-5"/>
        </w:rPr>
        <w:t xml:space="preserve"> </w:t>
      </w:r>
      <w:r>
        <w:t>who</w:t>
      </w:r>
      <w:r>
        <w:rPr>
          <w:spacing w:val="-3"/>
        </w:rPr>
        <w:t xml:space="preserve"> </w:t>
      </w:r>
      <w:r>
        <w:t>enter</w:t>
      </w:r>
      <w:r>
        <w:rPr>
          <w:spacing w:val="-2"/>
        </w:rPr>
        <w:t xml:space="preserve"> </w:t>
      </w:r>
      <w:r>
        <w:t>the</w:t>
      </w:r>
      <w:r>
        <w:rPr>
          <w:spacing w:val="-1"/>
        </w:rPr>
        <w:t xml:space="preserve"> </w:t>
      </w:r>
      <w:r>
        <w:t>child</w:t>
      </w:r>
      <w:r>
        <w:rPr>
          <w:spacing w:val="-3"/>
        </w:rPr>
        <w:t xml:space="preserve"> </w:t>
      </w:r>
      <w:r>
        <w:t xml:space="preserve">welfare system disproportionately enter the mental health system; and adolescents who enter the child welfare system often become enmeshed in the juvenile justice system as well as the mental health system. </w:t>
      </w:r>
      <w:r>
        <w:rPr>
          <w:spacing w:val="-2"/>
        </w:rPr>
        <w:t>Research</w:t>
      </w:r>
      <w:r>
        <w:rPr>
          <w:spacing w:val="1"/>
        </w:rPr>
        <w:t xml:space="preserve"> </w:t>
      </w:r>
      <w:r>
        <w:rPr>
          <w:spacing w:val="-2"/>
        </w:rPr>
        <w:t>underscores</w:t>
      </w:r>
      <w:r>
        <w:rPr>
          <w:spacing w:val="3"/>
        </w:rPr>
        <w:t xml:space="preserve"> </w:t>
      </w:r>
      <w:r>
        <w:rPr>
          <w:spacing w:val="-2"/>
        </w:rPr>
        <w:t>that</w:t>
      </w:r>
      <w:r>
        <w:rPr>
          <w:spacing w:val="1"/>
        </w:rPr>
        <w:t xml:space="preserve"> </w:t>
      </w:r>
      <w:r>
        <w:rPr>
          <w:spacing w:val="-2"/>
        </w:rPr>
        <w:t>multisystem-involvement</w:t>
      </w:r>
      <w:r>
        <w:t xml:space="preserve"> </w:t>
      </w:r>
      <w:r>
        <w:rPr>
          <w:spacing w:val="-2"/>
        </w:rPr>
        <w:t>compounds</w:t>
      </w:r>
      <w:r>
        <w:rPr>
          <w:spacing w:val="3"/>
        </w:rPr>
        <w:t xml:space="preserve"> </w:t>
      </w:r>
      <w:r>
        <w:rPr>
          <w:spacing w:val="-2"/>
        </w:rPr>
        <w:t>negative</w:t>
      </w:r>
      <w:r>
        <w:rPr>
          <w:spacing w:val="1"/>
        </w:rPr>
        <w:t xml:space="preserve"> </w:t>
      </w:r>
      <w:r>
        <w:rPr>
          <w:spacing w:val="-2"/>
        </w:rPr>
        <w:t>outcomes</w:t>
      </w:r>
      <w:r>
        <w:rPr>
          <w:spacing w:val="3"/>
        </w:rPr>
        <w:t xml:space="preserve"> </w:t>
      </w:r>
      <w:r>
        <w:rPr>
          <w:spacing w:val="-2"/>
        </w:rPr>
        <w:t>for</w:t>
      </w:r>
      <w:r>
        <w:rPr>
          <w:spacing w:val="2"/>
        </w:rPr>
        <w:t xml:space="preserve"> </w:t>
      </w:r>
      <w:r>
        <w:rPr>
          <w:spacing w:val="-2"/>
        </w:rPr>
        <w:t>all</w:t>
      </w:r>
      <w:r>
        <w:rPr>
          <w:spacing w:val="-1"/>
        </w:rPr>
        <w:t xml:space="preserve"> </w:t>
      </w:r>
      <w:r>
        <w:rPr>
          <w:spacing w:val="-2"/>
        </w:rPr>
        <w:t>young</w:t>
      </w:r>
      <w:r>
        <w:rPr>
          <w:spacing w:val="2"/>
        </w:rPr>
        <w:t xml:space="preserve"> </w:t>
      </w:r>
      <w:r>
        <w:rPr>
          <w:spacing w:val="-2"/>
        </w:rPr>
        <w:t>people,</w:t>
      </w:r>
    </w:p>
    <w:p w:rsidR="00200FDA" w:rsidRDefault="00200FDA">
      <w:pPr>
        <w:spacing w:line="264" w:lineRule="auto"/>
        <w:jc w:val="both"/>
        <w:sectPr w:rsidR="00200FDA">
          <w:pgSz w:w="12240" w:h="15840"/>
          <w:pgMar w:top="1360" w:right="1300" w:bottom="1240" w:left="1300" w:header="761" w:footer="1043" w:gutter="0"/>
          <w:cols w:space="720"/>
        </w:sectPr>
      </w:pPr>
    </w:p>
    <w:p w:rsidR="00200FDA" w:rsidRDefault="00F76C4C">
      <w:pPr>
        <w:pStyle w:val="BodyText"/>
        <w:spacing w:before="64" w:line="264" w:lineRule="auto"/>
        <w:ind w:left="139" w:right="130"/>
        <w:jc w:val="both"/>
      </w:pPr>
      <w:r>
        <w:lastRenderedPageBreak/>
        <w:t>perhaps in part because the goals of each of these systems can be at odds and because inadequate tracking and communication exists among the systems. The situations of multisystem-involved yo</w:t>
      </w:r>
      <w:r>
        <w:t>uth, especially and including LGBTQ youth, remain largely understudied. What is known is that the systems meant to help youth often harm already vulnerable LGBTQ youth, too often with negative and tragic outcomes. The subsequent sections of this report ded</w:t>
      </w:r>
      <w:r>
        <w:t>icated to juvenile justice and mental health delve further into approaches to support LGBTQ multisystem-involved youth.</w:t>
      </w:r>
    </w:p>
    <w:p w:rsidR="00200FDA" w:rsidRDefault="00200FDA">
      <w:pPr>
        <w:pStyle w:val="BodyText"/>
        <w:spacing w:before="9"/>
        <w:rPr>
          <w:sz w:val="19"/>
        </w:rPr>
      </w:pPr>
    </w:p>
    <w:p w:rsidR="00200FDA" w:rsidRDefault="00F76C4C">
      <w:pPr>
        <w:pStyle w:val="Heading8"/>
      </w:pPr>
      <w:bookmarkStart w:id="72" w:name="LGBTQ_Youth_Aging_Out_of_Foster_Care:_An"/>
      <w:bookmarkEnd w:id="72"/>
      <w:r>
        <w:rPr>
          <w:color w:val="365F91"/>
        </w:rPr>
        <w:t>LGBTQ</w:t>
      </w:r>
      <w:r>
        <w:rPr>
          <w:color w:val="365F91"/>
          <w:spacing w:val="-5"/>
        </w:rPr>
        <w:t xml:space="preserve"> </w:t>
      </w:r>
      <w:r>
        <w:rPr>
          <w:color w:val="365F91"/>
        </w:rPr>
        <w:t>Youth</w:t>
      </w:r>
      <w:r>
        <w:rPr>
          <w:color w:val="365F91"/>
          <w:spacing w:val="-1"/>
        </w:rPr>
        <w:t xml:space="preserve"> </w:t>
      </w:r>
      <w:r>
        <w:rPr>
          <w:color w:val="365F91"/>
        </w:rPr>
        <w:t>Aging</w:t>
      </w:r>
      <w:r>
        <w:rPr>
          <w:color w:val="365F91"/>
          <w:spacing w:val="-2"/>
        </w:rPr>
        <w:t xml:space="preserve"> </w:t>
      </w:r>
      <w:r>
        <w:rPr>
          <w:color w:val="365F91"/>
        </w:rPr>
        <w:t>Out</w:t>
      </w:r>
      <w:r>
        <w:rPr>
          <w:color w:val="365F91"/>
          <w:spacing w:val="-3"/>
        </w:rPr>
        <w:t xml:space="preserve"> </w:t>
      </w:r>
      <w:r>
        <w:rPr>
          <w:color w:val="365F91"/>
        </w:rPr>
        <w:t>of Foster</w:t>
      </w:r>
      <w:r>
        <w:rPr>
          <w:color w:val="365F91"/>
          <w:spacing w:val="-4"/>
        </w:rPr>
        <w:t xml:space="preserve"> </w:t>
      </w:r>
      <w:r>
        <w:rPr>
          <w:color w:val="365F91"/>
        </w:rPr>
        <w:t>Care:</w:t>
      </w:r>
      <w:r>
        <w:rPr>
          <w:color w:val="365F91"/>
          <w:spacing w:val="-3"/>
        </w:rPr>
        <w:t xml:space="preserve"> </w:t>
      </w:r>
      <w:r>
        <w:rPr>
          <w:color w:val="365F91"/>
        </w:rPr>
        <w:t>An Acutely</w:t>
      </w:r>
      <w:r>
        <w:rPr>
          <w:color w:val="365F91"/>
          <w:spacing w:val="-2"/>
        </w:rPr>
        <w:t xml:space="preserve"> </w:t>
      </w:r>
      <w:r>
        <w:rPr>
          <w:color w:val="365F91"/>
        </w:rPr>
        <w:t>Vulnerable</w:t>
      </w:r>
      <w:r>
        <w:rPr>
          <w:color w:val="365F91"/>
          <w:spacing w:val="-1"/>
        </w:rPr>
        <w:t xml:space="preserve"> </w:t>
      </w:r>
      <w:r>
        <w:rPr>
          <w:color w:val="365F91"/>
          <w:spacing w:val="-2"/>
        </w:rPr>
        <w:t>Population</w:t>
      </w:r>
    </w:p>
    <w:p w:rsidR="00200FDA" w:rsidRDefault="00200FDA">
      <w:pPr>
        <w:pStyle w:val="BodyText"/>
        <w:spacing w:before="8"/>
        <w:rPr>
          <w:sz w:val="19"/>
        </w:rPr>
      </w:pPr>
    </w:p>
    <w:p w:rsidR="00200FDA" w:rsidRDefault="00F76C4C">
      <w:pPr>
        <w:pStyle w:val="BodyText"/>
        <w:spacing w:line="264" w:lineRule="auto"/>
        <w:ind w:left="139" w:right="132"/>
        <w:jc w:val="both"/>
      </w:pPr>
      <w:r>
        <w:t>Of the many underserved LGBTQ youth in Massachusetts, LGBTQ youth aging out of foster care, known as transition-aged youth, merit special focus. On their 18</w:t>
      </w:r>
      <w:r>
        <w:rPr>
          <w:vertAlign w:val="superscript"/>
        </w:rPr>
        <w:t>th</w:t>
      </w:r>
      <w:r>
        <w:t xml:space="preserve"> birthdays, youth in foster care exit the child- welfare system unless they sign a voluntary place</w:t>
      </w:r>
      <w:r>
        <w:t>ment agreement to remain until they are 23. In 2022, 2,761 of the young people aging out of foster care, or 73%, chose to remain in care. Many of these transition-aged young people have lingered in care for years without finding permanent homes, and as suc</w:t>
      </w:r>
      <w:r>
        <w:t>h, they are uniquely</w:t>
      </w:r>
      <w:r>
        <w:rPr>
          <w:spacing w:val="-2"/>
        </w:rPr>
        <w:t xml:space="preserve"> </w:t>
      </w:r>
      <w:r>
        <w:t>vulnerable;</w:t>
      </w:r>
      <w:r>
        <w:rPr>
          <w:spacing w:val="-2"/>
        </w:rPr>
        <w:t xml:space="preserve"> </w:t>
      </w:r>
      <w:r>
        <w:t>transition-aged</w:t>
      </w:r>
      <w:r>
        <w:rPr>
          <w:spacing w:val="-4"/>
        </w:rPr>
        <w:t xml:space="preserve"> </w:t>
      </w:r>
      <w:r>
        <w:t>youth</w:t>
      </w:r>
      <w:r>
        <w:rPr>
          <w:spacing w:val="-1"/>
        </w:rPr>
        <w:t xml:space="preserve"> </w:t>
      </w:r>
      <w:r>
        <w:t>can</w:t>
      </w:r>
      <w:r>
        <w:rPr>
          <w:spacing w:val="-1"/>
        </w:rPr>
        <w:t xml:space="preserve"> </w:t>
      </w:r>
      <w:r>
        <w:t>easily fall</w:t>
      </w:r>
      <w:r>
        <w:rPr>
          <w:spacing w:val="-1"/>
        </w:rPr>
        <w:t xml:space="preserve"> </w:t>
      </w:r>
      <w:r>
        <w:t>into homelessness and</w:t>
      </w:r>
      <w:r>
        <w:rPr>
          <w:spacing w:val="-1"/>
        </w:rPr>
        <w:t xml:space="preserve"> </w:t>
      </w:r>
      <w:r>
        <w:t>too</w:t>
      </w:r>
      <w:r>
        <w:rPr>
          <w:spacing w:val="-2"/>
        </w:rPr>
        <w:t xml:space="preserve"> </w:t>
      </w:r>
      <w:r>
        <w:t>often become</w:t>
      </w:r>
      <w:r>
        <w:rPr>
          <w:spacing w:val="-13"/>
        </w:rPr>
        <w:t xml:space="preserve"> </w:t>
      </w:r>
      <w:r>
        <w:t>victims</w:t>
      </w:r>
      <w:r>
        <w:rPr>
          <w:spacing w:val="-12"/>
        </w:rPr>
        <w:t xml:space="preserve"> </w:t>
      </w:r>
      <w:r>
        <w:t>of</w:t>
      </w:r>
      <w:r>
        <w:rPr>
          <w:spacing w:val="-13"/>
        </w:rPr>
        <w:t xml:space="preserve"> </w:t>
      </w:r>
      <w:r>
        <w:t>trafficking</w:t>
      </w:r>
      <w:r>
        <w:rPr>
          <w:spacing w:val="-12"/>
        </w:rPr>
        <w:t xml:space="preserve"> </w:t>
      </w:r>
      <w:r>
        <w:t>and</w:t>
      </w:r>
      <w:r>
        <w:rPr>
          <w:spacing w:val="-13"/>
        </w:rPr>
        <w:t xml:space="preserve"> </w:t>
      </w:r>
      <w:r>
        <w:t>predation.</w:t>
      </w:r>
      <w:r>
        <w:rPr>
          <w:spacing w:val="-12"/>
        </w:rPr>
        <w:t xml:space="preserve"> </w:t>
      </w:r>
      <w:r>
        <w:t>A</w:t>
      </w:r>
      <w:r>
        <w:rPr>
          <w:spacing w:val="-13"/>
        </w:rPr>
        <w:t xml:space="preserve"> </w:t>
      </w:r>
      <w:r>
        <w:t>subsequent</w:t>
      </w:r>
      <w:r>
        <w:rPr>
          <w:spacing w:val="-12"/>
        </w:rPr>
        <w:t xml:space="preserve"> </w:t>
      </w:r>
      <w:r>
        <w:t>section</w:t>
      </w:r>
      <w:r>
        <w:rPr>
          <w:spacing w:val="-12"/>
        </w:rPr>
        <w:t xml:space="preserve"> </w:t>
      </w:r>
      <w:r>
        <w:t>of</w:t>
      </w:r>
      <w:r>
        <w:rPr>
          <w:spacing w:val="-13"/>
        </w:rPr>
        <w:t xml:space="preserve"> </w:t>
      </w:r>
      <w:r>
        <w:t>this</w:t>
      </w:r>
      <w:r>
        <w:rPr>
          <w:spacing w:val="-12"/>
        </w:rPr>
        <w:t xml:space="preserve"> </w:t>
      </w:r>
      <w:r>
        <w:t>report</w:t>
      </w:r>
      <w:r>
        <w:rPr>
          <w:spacing w:val="-13"/>
        </w:rPr>
        <w:t xml:space="preserve"> </w:t>
      </w:r>
      <w:r>
        <w:t>addresses</w:t>
      </w:r>
      <w:r>
        <w:rPr>
          <w:spacing w:val="-12"/>
        </w:rPr>
        <w:t xml:space="preserve"> </w:t>
      </w:r>
      <w:r>
        <w:t>agency-specific internal policy recommendations for the Depart</w:t>
      </w:r>
      <w:r>
        <w:t>ment of Children and Families.</w:t>
      </w:r>
    </w:p>
    <w:p w:rsidR="00200FDA" w:rsidRDefault="00200FDA">
      <w:pPr>
        <w:pStyle w:val="BodyText"/>
        <w:spacing w:before="10"/>
        <w:rPr>
          <w:sz w:val="23"/>
        </w:rPr>
      </w:pPr>
    </w:p>
    <w:p w:rsidR="00200FDA" w:rsidRDefault="00F76C4C">
      <w:pPr>
        <w:pStyle w:val="Heading8"/>
      </w:pPr>
      <w:bookmarkStart w:id="73" w:name="The_Massachusetts_Child_Welfare_System:_"/>
      <w:bookmarkEnd w:id="73"/>
      <w:r>
        <w:rPr>
          <w:color w:val="365F91"/>
        </w:rPr>
        <w:t>The</w:t>
      </w:r>
      <w:r>
        <w:rPr>
          <w:color w:val="365F91"/>
          <w:spacing w:val="-5"/>
        </w:rPr>
        <w:t xml:space="preserve"> </w:t>
      </w:r>
      <w:r>
        <w:rPr>
          <w:color w:val="365F91"/>
        </w:rPr>
        <w:t>Massachusetts</w:t>
      </w:r>
      <w:r>
        <w:rPr>
          <w:color w:val="365F91"/>
          <w:spacing w:val="-2"/>
        </w:rPr>
        <w:t xml:space="preserve"> </w:t>
      </w:r>
      <w:r>
        <w:rPr>
          <w:color w:val="365F91"/>
        </w:rPr>
        <w:t>Child</w:t>
      </w:r>
      <w:r>
        <w:rPr>
          <w:color w:val="365F91"/>
          <w:spacing w:val="-3"/>
        </w:rPr>
        <w:t xml:space="preserve"> </w:t>
      </w:r>
      <w:r>
        <w:rPr>
          <w:color w:val="365F91"/>
        </w:rPr>
        <w:t>Welfare</w:t>
      </w:r>
      <w:r>
        <w:rPr>
          <w:color w:val="365F91"/>
          <w:spacing w:val="-1"/>
        </w:rPr>
        <w:t xml:space="preserve"> </w:t>
      </w:r>
      <w:r>
        <w:rPr>
          <w:color w:val="365F91"/>
        </w:rPr>
        <w:t>System:</w:t>
      </w:r>
      <w:r>
        <w:rPr>
          <w:color w:val="365F91"/>
          <w:spacing w:val="-1"/>
        </w:rPr>
        <w:t xml:space="preserve"> </w:t>
      </w:r>
      <w:r>
        <w:rPr>
          <w:color w:val="365F91"/>
        </w:rPr>
        <w:t>Among</w:t>
      </w:r>
      <w:r>
        <w:rPr>
          <w:color w:val="365F91"/>
          <w:spacing w:val="-3"/>
        </w:rPr>
        <w:t xml:space="preserve"> </w:t>
      </w:r>
      <w:r>
        <w:rPr>
          <w:color w:val="365F91"/>
        </w:rPr>
        <w:t>the</w:t>
      </w:r>
      <w:r>
        <w:rPr>
          <w:color w:val="365F91"/>
          <w:spacing w:val="-1"/>
        </w:rPr>
        <w:t xml:space="preserve"> </w:t>
      </w:r>
      <w:r>
        <w:rPr>
          <w:color w:val="365F91"/>
        </w:rPr>
        <w:t>Worst</w:t>
      </w:r>
      <w:r>
        <w:rPr>
          <w:color w:val="365F91"/>
          <w:spacing w:val="-3"/>
        </w:rPr>
        <w:t xml:space="preserve"> </w:t>
      </w:r>
      <w:r>
        <w:rPr>
          <w:color w:val="365F91"/>
        </w:rPr>
        <w:t>Performing</w:t>
      </w:r>
      <w:r>
        <w:rPr>
          <w:color w:val="365F91"/>
          <w:spacing w:val="-4"/>
        </w:rPr>
        <w:t xml:space="preserve"> </w:t>
      </w:r>
      <w:r>
        <w:rPr>
          <w:color w:val="365F91"/>
        </w:rPr>
        <w:t>In</w:t>
      </w:r>
      <w:r>
        <w:rPr>
          <w:color w:val="365F91"/>
          <w:spacing w:val="-3"/>
        </w:rPr>
        <w:t xml:space="preserve"> </w:t>
      </w:r>
      <w:r>
        <w:rPr>
          <w:color w:val="365F91"/>
        </w:rPr>
        <w:t xml:space="preserve">the </w:t>
      </w:r>
      <w:r>
        <w:rPr>
          <w:color w:val="365F91"/>
          <w:spacing w:val="-2"/>
        </w:rPr>
        <w:t>Nation</w:t>
      </w:r>
    </w:p>
    <w:p w:rsidR="00200FDA" w:rsidRDefault="00200FDA">
      <w:pPr>
        <w:pStyle w:val="BodyText"/>
        <w:spacing w:before="8"/>
        <w:rPr>
          <w:sz w:val="19"/>
        </w:rPr>
      </w:pPr>
    </w:p>
    <w:p w:rsidR="00200FDA" w:rsidRDefault="00F76C4C">
      <w:pPr>
        <w:pStyle w:val="BodyText"/>
        <w:spacing w:line="264" w:lineRule="auto"/>
        <w:ind w:left="139" w:right="136"/>
        <w:jc w:val="both"/>
      </w:pPr>
      <w:r>
        <w:t>Recent</w:t>
      </w:r>
      <w:r>
        <w:rPr>
          <w:spacing w:val="-1"/>
        </w:rPr>
        <w:t xml:space="preserve"> </w:t>
      </w:r>
      <w:r>
        <w:t>years have</w:t>
      </w:r>
      <w:r>
        <w:rPr>
          <w:spacing w:val="-1"/>
        </w:rPr>
        <w:t xml:space="preserve"> </w:t>
      </w:r>
      <w:r>
        <w:t>seen several</w:t>
      </w:r>
      <w:r>
        <w:rPr>
          <w:spacing w:val="-2"/>
        </w:rPr>
        <w:t xml:space="preserve"> </w:t>
      </w:r>
      <w:r>
        <w:t>major reports</w:t>
      </w:r>
      <w:r>
        <w:rPr>
          <w:spacing w:val="-2"/>
        </w:rPr>
        <w:t xml:space="preserve"> </w:t>
      </w:r>
      <w:r>
        <w:t>declare</w:t>
      </w:r>
      <w:r>
        <w:rPr>
          <w:spacing w:val="-1"/>
        </w:rPr>
        <w:t xml:space="preserve"> </w:t>
      </w:r>
      <w:r>
        <w:t>a state</w:t>
      </w:r>
      <w:r>
        <w:rPr>
          <w:spacing w:val="-1"/>
        </w:rPr>
        <w:t xml:space="preserve"> </w:t>
      </w:r>
      <w:r>
        <w:t>of</w:t>
      </w:r>
      <w:r>
        <w:rPr>
          <w:spacing w:val="-2"/>
        </w:rPr>
        <w:t xml:space="preserve"> </w:t>
      </w:r>
      <w:r>
        <w:t xml:space="preserve">emergency regarding the Massachusetts child welfare system, including this Commission’s own report, “LGBTQ Youth in the Massachusetts Child Welfare System: A Report on Pervasive Threats to Safety, Wellbeing, and Permanency,” released in July 2021. </w:t>
      </w:r>
      <w:hyperlink w:anchor="_bookmark31" w:history="1">
        <w:r>
          <w:rPr>
            <w:vertAlign w:val="superscript"/>
          </w:rPr>
          <w:t>26</w:t>
        </w:r>
      </w:hyperlink>
      <w:r>
        <w:t xml:space="preserve"> Another report, “Failing Our Kids: Measures of the Broken Child Welfare System in Massachusetts,”</w:t>
      </w:r>
      <w:hyperlink w:anchor="_bookmark32" w:history="1">
        <w:r>
          <w:rPr>
            <w:vertAlign w:val="superscript"/>
          </w:rPr>
          <w:t>27</w:t>
        </w:r>
      </w:hyperlink>
      <w:r>
        <w:t xml:space="preserve"> released by the advocacy group Friends of Children, asserts:</w:t>
      </w:r>
    </w:p>
    <w:p w:rsidR="00200FDA" w:rsidRDefault="00200FDA">
      <w:pPr>
        <w:pStyle w:val="BodyText"/>
        <w:spacing w:before="10"/>
        <w:rPr>
          <w:sz w:val="19"/>
        </w:rPr>
      </w:pPr>
    </w:p>
    <w:p w:rsidR="00200FDA" w:rsidRDefault="00F76C4C">
      <w:pPr>
        <w:spacing w:line="264" w:lineRule="auto"/>
        <w:ind w:left="428" w:right="422" w:firstLine="45"/>
        <w:jc w:val="both"/>
        <w:rPr>
          <w:rFonts w:ascii="Cambria" w:hAnsi="Cambria"/>
          <w:i/>
          <w:sz w:val="21"/>
        </w:rPr>
      </w:pPr>
      <w:r>
        <w:rPr>
          <w:rFonts w:ascii="Cambria" w:hAnsi="Cambria"/>
          <w:i/>
          <w:sz w:val="21"/>
        </w:rPr>
        <w:t>“Children and youth involved with DCF, among the most vulnerable in our society, have very little presence in our legislative chambers, our newsrooms, and our boardrooms. And they have no direct say whatsoever in our voting booths. A total of 13,045 unique</w:t>
      </w:r>
      <w:r>
        <w:rPr>
          <w:rFonts w:ascii="Cambria" w:hAnsi="Cambria"/>
          <w:i/>
          <w:sz w:val="21"/>
        </w:rPr>
        <w:t xml:space="preserve"> children were in foster care during FY2022, a staggering number of young lives … Children have no money and no power. They are functionally voiceless in the policy decisions that most affect their lives … children in DCF custody in Massachusetts would do </w:t>
      </w:r>
      <w:r>
        <w:rPr>
          <w:rFonts w:ascii="Cambria" w:hAnsi="Cambria"/>
          <w:i/>
          <w:sz w:val="21"/>
        </w:rPr>
        <w:t>better to live in almost any other state.”</w:t>
      </w:r>
    </w:p>
    <w:p w:rsidR="00200FDA" w:rsidRDefault="00200FDA">
      <w:pPr>
        <w:pStyle w:val="BodyText"/>
        <w:spacing w:before="5"/>
        <w:rPr>
          <w:rFonts w:ascii="Cambria"/>
          <w:i/>
          <w:sz w:val="20"/>
        </w:rPr>
      </w:pPr>
    </w:p>
    <w:p w:rsidR="00200FDA" w:rsidRDefault="00F76C4C">
      <w:pPr>
        <w:pStyle w:val="BodyText"/>
        <w:spacing w:line="264" w:lineRule="auto"/>
        <w:ind w:left="140" w:right="133"/>
        <w:jc w:val="both"/>
      </w:pPr>
      <w:r>
        <w:t>With</w:t>
      </w:r>
      <w:r>
        <w:rPr>
          <w:spacing w:val="-5"/>
        </w:rPr>
        <w:t xml:space="preserve"> </w:t>
      </w:r>
      <w:r>
        <w:t>a</w:t>
      </w:r>
      <w:r>
        <w:rPr>
          <w:spacing w:val="-7"/>
        </w:rPr>
        <w:t xml:space="preserve"> </w:t>
      </w:r>
      <w:r>
        <w:t>$1.2</w:t>
      </w:r>
      <w:r>
        <w:rPr>
          <w:spacing w:val="-3"/>
        </w:rPr>
        <w:t xml:space="preserve"> </w:t>
      </w:r>
      <w:r>
        <w:t>billion</w:t>
      </w:r>
      <w:r>
        <w:rPr>
          <w:spacing w:val="-5"/>
        </w:rPr>
        <w:t xml:space="preserve"> </w:t>
      </w:r>
      <w:r>
        <w:t>annual</w:t>
      </w:r>
      <w:r>
        <w:rPr>
          <w:spacing w:val="-5"/>
        </w:rPr>
        <w:t xml:space="preserve"> </w:t>
      </w:r>
      <w:r>
        <w:t>budget,</w:t>
      </w:r>
      <w:r>
        <w:rPr>
          <w:spacing w:val="-4"/>
        </w:rPr>
        <w:t xml:space="preserve"> </w:t>
      </w:r>
      <w:r>
        <w:t>the</w:t>
      </w:r>
      <w:r>
        <w:rPr>
          <w:spacing w:val="-6"/>
        </w:rPr>
        <w:t xml:space="preserve"> </w:t>
      </w:r>
      <w:r>
        <w:t>Massachusetts</w:t>
      </w:r>
      <w:r>
        <w:rPr>
          <w:spacing w:val="-7"/>
        </w:rPr>
        <w:t xml:space="preserve"> </w:t>
      </w:r>
      <w:r>
        <w:t>Department</w:t>
      </w:r>
      <w:r>
        <w:rPr>
          <w:spacing w:val="-4"/>
        </w:rPr>
        <w:t xml:space="preserve"> </w:t>
      </w:r>
      <w:r>
        <w:t>of</w:t>
      </w:r>
      <w:r>
        <w:rPr>
          <w:spacing w:val="-7"/>
        </w:rPr>
        <w:t xml:space="preserve"> </w:t>
      </w:r>
      <w:r>
        <w:t>Children</w:t>
      </w:r>
      <w:r>
        <w:rPr>
          <w:spacing w:val="-5"/>
        </w:rPr>
        <w:t xml:space="preserve"> </w:t>
      </w:r>
      <w:r>
        <w:t>and</w:t>
      </w:r>
      <w:r>
        <w:rPr>
          <w:spacing w:val="-5"/>
        </w:rPr>
        <w:t xml:space="preserve"> </w:t>
      </w:r>
      <w:r>
        <w:t>Families</w:t>
      </w:r>
      <w:r>
        <w:rPr>
          <w:spacing w:val="-7"/>
        </w:rPr>
        <w:t xml:space="preserve"> </w:t>
      </w:r>
      <w:r>
        <w:t>(DCF)</w:t>
      </w:r>
      <w:r>
        <w:rPr>
          <w:spacing w:val="-6"/>
        </w:rPr>
        <w:t xml:space="preserve"> </w:t>
      </w:r>
      <w:r>
        <w:t>remains one</w:t>
      </w:r>
      <w:r>
        <w:rPr>
          <w:spacing w:val="-4"/>
        </w:rPr>
        <w:t xml:space="preserve"> </w:t>
      </w:r>
      <w:r>
        <w:t>of</w:t>
      </w:r>
      <w:r>
        <w:rPr>
          <w:spacing w:val="-5"/>
        </w:rPr>
        <w:t xml:space="preserve"> </w:t>
      </w:r>
      <w:r>
        <w:t>the</w:t>
      </w:r>
      <w:r>
        <w:rPr>
          <w:spacing w:val="-4"/>
        </w:rPr>
        <w:t xml:space="preserve"> </w:t>
      </w:r>
      <w:r>
        <w:t>worst-performing</w:t>
      </w:r>
      <w:r>
        <w:rPr>
          <w:spacing w:val="-5"/>
        </w:rPr>
        <w:t xml:space="preserve"> </w:t>
      </w:r>
      <w:r>
        <w:t>state</w:t>
      </w:r>
      <w:r>
        <w:rPr>
          <w:spacing w:val="-4"/>
        </w:rPr>
        <w:t xml:space="preserve"> </w:t>
      </w:r>
      <w:r>
        <w:t>child</w:t>
      </w:r>
      <w:r>
        <w:rPr>
          <w:spacing w:val="-5"/>
        </w:rPr>
        <w:t xml:space="preserve"> </w:t>
      </w:r>
      <w:r>
        <w:t>welfare</w:t>
      </w:r>
      <w:r>
        <w:rPr>
          <w:spacing w:val="-4"/>
        </w:rPr>
        <w:t xml:space="preserve"> </w:t>
      </w:r>
      <w:r>
        <w:t>agencies</w:t>
      </w:r>
      <w:r>
        <w:rPr>
          <w:spacing w:val="-4"/>
        </w:rPr>
        <w:t xml:space="preserve"> </w:t>
      </w:r>
      <w:r>
        <w:t>in</w:t>
      </w:r>
      <w:r>
        <w:rPr>
          <w:spacing w:val="-5"/>
        </w:rPr>
        <w:t xml:space="preserve"> </w:t>
      </w:r>
      <w:r>
        <w:t>the</w:t>
      </w:r>
      <w:r>
        <w:rPr>
          <w:spacing w:val="-4"/>
        </w:rPr>
        <w:t xml:space="preserve"> </w:t>
      </w:r>
      <w:r>
        <w:t>nation</w:t>
      </w:r>
      <w:r>
        <w:rPr>
          <w:spacing w:val="-5"/>
        </w:rPr>
        <w:t xml:space="preserve"> </w:t>
      </w:r>
      <w:r>
        <w:t>based</w:t>
      </w:r>
      <w:r>
        <w:rPr>
          <w:spacing w:val="-5"/>
        </w:rPr>
        <w:t xml:space="preserve"> </w:t>
      </w:r>
      <w:r>
        <w:t>on</w:t>
      </w:r>
      <w:r>
        <w:rPr>
          <w:spacing w:val="-5"/>
        </w:rPr>
        <w:t xml:space="preserve"> </w:t>
      </w:r>
      <w:r>
        <w:t>comparisons</w:t>
      </w:r>
      <w:r>
        <w:rPr>
          <w:spacing w:val="-7"/>
        </w:rPr>
        <w:t xml:space="preserve"> </w:t>
      </w:r>
      <w:r>
        <w:t>of</w:t>
      </w:r>
      <w:r>
        <w:rPr>
          <w:spacing w:val="-5"/>
        </w:rPr>
        <w:t xml:space="preserve"> </w:t>
      </w:r>
      <w:r>
        <w:t>federally mandated data on several critical measures: the average length of time in foster care; the percentage of children</w:t>
      </w:r>
      <w:r>
        <w:rPr>
          <w:spacing w:val="-9"/>
        </w:rPr>
        <w:t xml:space="preserve"> </w:t>
      </w:r>
      <w:r>
        <w:t>in</w:t>
      </w:r>
      <w:r>
        <w:rPr>
          <w:spacing w:val="-9"/>
        </w:rPr>
        <w:t xml:space="preserve"> </w:t>
      </w:r>
      <w:r>
        <w:t>foster</w:t>
      </w:r>
      <w:r>
        <w:rPr>
          <w:spacing w:val="-11"/>
        </w:rPr>
        <w:t xml:space="preserve"> </w:t>
      </w:r>
      <w:r>
        <w:t>care</w:t>
      </w:r>
      <w:r>
        <w:rPr>
          <w:spacing w:val="-10"/>
        </w:rPr>
        <w:t xml:space="preserve"> </w:t>
      </w:r>
      <w:r>
        <w:t>for</w:t>
      </w:r>
      <w:r>
        <w:rPr>
          <w:spacing w:val="-11"/>
        </w:rPr>
        <w:t xml:space="preserve"> </w:t>
      </w:r>
      <w:r>
        <w:t>more</w:t>
      </w:r>
      <w:r>
        <w:rPr>
          <w:spacing w:val="-10"/>
        </w:rPr>
        <w:t xml:space="preserve"> </w:t>
      </w:r>
      <w:r>
        <w:t>than</w:t>
      </w:r>
      <w:r>
        <w:rPr>
          <w:spacing w:val="-9"/>
        </w:rPr>
        <w:t xml:space="preserve"> </w:t>
      </w:r>
      <w:r>
        <w:t>five</w:t>
      </w:r>
      <w:r>
        <w:rPr>
          <w:spacing w:val="-10"/>
        </w:rPr>
        <w:t xml:space="preserve"> </w:t>
      </w:r>
      <w:r>
        <w:t>years;</w:t>
      </w:r>
      <w:r>
        <w:rPr>
          <w:spacing w:val="-7"/>
        </w:rPr>
        <w:t xml:space="preserve"> </w:t>
      </w:r>
      <w:r>
        <w:t>children</w:t>
      </w:r>
      <w:r>
        <w:rPr>
          <w:spacing w:val="-9"/>
        </w:rPr>
        <w:t xml:space="preserve"> </w:t>
      </w:r>
      <w:r>
        <w:t>experiencing</w:t>
      </w:r>
      <w:r>
        <w:rPr>
          <w:spacing w:val="-9"/>
        </w:rPr>
        <w:t xml:space="preserve"> </w:t>
      </w:r>
      <w:r>
        <w:t>four</w:t>
      </w:r>
      <w:r>
        <w:rPr>
          <w:spacing w:val="-10"/>
        </w:rPr>
        <w:t xml:space="preserve"> </w:t>
      </w:r>
      <w:r>
        <w:t>or</w:t>
      </w:r>
      <w:r>
        <w:rPr>
          <w:spacing w:val="-11"/>
        </w:rPr>
        <w:t xml:space="preserve"> </w:t>
      </w:r>
      <w:r>
        <w:t>more</w:t>
      </w:r>
      <w:r>
        <w:rPr>
          <w:spacing w:val="-7"/>
        </w:rPr>
        <w:t xml:space="preserve"> </w:t>
      </w:r>
      <w:r>
        <w:t>foster</w:t>
      </w:r>
      <w:r>
        <w:rPr>
          <w:spacing w:val="-11"/>
        </w:rPr>
        <w:t xml:space="preserve"> </w:t>
      </w:r>
      <w:r>
        <w:t>care</w:t>
      </w:r>
      <w:r>
        <w:rPr>
          <w:spacing w:val="-10"/>
        </w:rPr>
        <w:t xml:space="preserve"> </w:t>
      </w:r>
      <w:r>
        <w:t>placements while in DCF custody; and the per</w:t>
      </w:r>
      <w:r>
        <w:t>centage of children adopted by relatives.</w:t>
      </w:r>
      <w:hyperlink w:anchor="_bookmark33" w:history="1">
        <w:r>
          <w:rPr>
            <w:vertAlign w:val="superscript"/>
          </w:rPr>
          <w:t>28</w:t>
        </w:r>
      </w:hyperlink>
    </w:p>
    <w:p w:rsidR="00200FDA" w:rsidRDefault="00200FDA">
      <w:pPr>
        <w:pStyle w:val="BodyText"/>
        <w:spacing w:before="7"/>
        <w:rPr>
          <w:sz w:val="19"/>
        </w:rPr>
      </w:pPr>
    </w:p>
    <w:p w:rsidR="00200FDA" w:rsidRDefault="00F76C4C">
      <w:pPr>
        <w:pStyle w:val="BodyText"/>
        <w:spacing w:line="264" w:lineRule="auto"/>
        <w:ind w:left="139" w:right="135"/>
        <w:jc w:val="both"/>
      </w:pPr>
      <w:r>
        <w:t>Across the nation, LGBTQ youth, and QTBIPOC youth in particular, are disproportionately represented in the</w:t>
      </w:r>
      <w:r>
        <w:rPr>
          <w:spacing w:val="-2"/>
        </w:rPr>
        <w:t xml:space="preserve"> </w:t>
      </w:r>
      <w:r>
        <w:t>child</w:t>
      </w:r>
      <w:r>
        <w:rPr>
          <w:spacing w:val="-4"/>
        </w:rPr>
        <w:t xml:space="preserve"> </w:t>
      </w:r>
      <w:r>
        <w:t>welfare</w:t>
      </w:r>
      <w:r>
        <w:rPr>
          <w:spacing w:val="-2"/>
        </w:rPr>
        <w:t xml:space="preserve"> </w:t>
      </w:r>
      <w:r>
        <w:t>system</w:t>
      </w:r>
      <w:r>
        <w:rPr>
          <w:spacing w:val="-2"/>
        </w:rPr>
        <w:t xml:space="preserve"> </w:t>
      </w:r>
      <w:r>
        <w:t>and</w:t>
      </w:r>
      <w:r>
        <w:rPr>
          <w:spacing w:val="-4"/>
        </w:rPr>
        <w:t xml:space="preserve"> </w:t>
      </w:r>
      <w:r>
        <w:t>experience</w:t>
      </w:r>
      <w:r>
        <w:rPr>
          <w:spacing w:val="-2"/>
        </w:rPr>
        <w:t xml:space="preserve"> </w:t>
      </w:r>
      <w:r>
        <w:t>disproportionate</w:t>
      </w:r>
      <w:r>
        <w:rPr>
          <w:spacing w:val="-2"/>
        </w:rPr>
        <w:t xml:space="preserve"> </w:t>
      </w:r>
      <w:r>
        <w:t>negative</w:t>
      </w:r>
      <w:r>
        <w:rPr>
          <w:spacing w:val="-5"/>
        </w:rPr>
        <w:t xml:space="preserve"> </w:t>
      </w:r>
      <w:r>
        <w:t>outcomes,</w:t>
      </w:r>
      <w:r>
        <w:rPr>
          <w:spacing w:val="-5"/>
        </w:rPr>
        <w:t xml:space="preserve"> </w:t>
      </w:r>
      <w:r>
        <w:t>including</w:t>
      </w:r>
      <w:r>
        <w:rPr>
          <w:spacing w:val="-4"/>
        </w:rPr>
        <w:t xml:space="preserve"> </w:t>
      </w:r>
      <w:r>
        <w:t>more</w:t>
      </w:r>
      <w:r>
        <w:rPr>
          <w:spacing w:val="-2"/>
        </w:rPr>
        <w:t xml:space="preserve"> </w:t>
      </w:r>
      <w:r>
        <w:t>placement changes,</w:t>
      </w:r>
      <w:r>
        <w:rPr>
          <w:spacing w:val="-12"/>
        </w:rPr>
        <w:t xml:space="preserve"> </w:t>
      </w:r>
      <w:r>
        <w:t>a</w:t>
      </w:r>
      <w:r>
        <w:rPr>
          <w:spacing w:val="-12"/>
        </w:rPr>
        <w:t xml:space="preserve"> </w:t>
      </w:r>
      <w:r>
        <w:t>longer</w:t>
      </w:r>
      <w:r>
        <w:rPr>
          <w:spacing w:val="-12"/>
        </w:rPr>
        <w:t xml:space="preserve"> </w:t>
      </w:r>
      <w:r>
        <w:t>duration</w:t>
      </w:r>
      <w:r>
        <w:rPr>
          <w:spacing w:val="-12"/>
        </w:rPr>
        <w:t xml:space="preserve"> </w:t>
      </w:r>
      <w:r>
        <w:t>in</w:t>
      </w:r>
      <w:r>
        <w:rPr>
          <w:spacing w:val="-12"/>
        </w:rPr>
        <w:t xml:space="preserve"> </w:t>
      </w:r>
      <w:r>
        <w:t>the</w:t>
      </w:r>
      <w:r>
        <w:rPr>
          <w:spacing w:val="-11"/>
        </w:rPr>
        <w:t xml:space="preserve"> </w:t>
      </w:r>
      <w:r>
        <w:t>system,</w:t>
      </w:r>
      <w:r>
        <w:rPr>
          <w:spacing w:val="-11"/>
        </w:rPr>
        <w:t xml:space="preserve"> </w:t>
      </w:r>
      <w:r>
        <w:t>a</w:t>
      </w:r>
      <w:r>
        <w:rPr>
          <w:spacing w:val="-13"/>
        </w:rPr>
        <w:t xml:space="preserve"> </w:t>
      </w:r>
      <w:r>
        <w:t>lower</w:t>
      </w:r>
      <w:r>
        <w:rPr>
          <w:spacing w:val="-12"/>
        </w:rPr>
        <w:t xml:space="preserve"> </w:t>
      </w:r>
      <w:r>
        <w:t>rate</w:t>
      </w:r>
      <w:r>
        <w:rPr>
          <w:spacing w:val="-13"/>
        </w:rPr>
        <w:t xml:space="preserve"> </w:t>
      </w:r>
      <w:r>
        <w:t>of</w:t>
      </w:r>
      <w:r>
        <w:rPr>
          <w:spacing w:val="-11"/>
        </w:rPr>
        <w:t xml:space="preserve"> </w:t>
      </w:r>
      <w:r>
        <w:t>adoption,</w:t>
      </w:r>
      <w:r>
        <w:rPr>
          <w:spacing w:val="-11"/>
        </w:rPr>
        <w:t xml:space="preserve"> </w:t>
      </w:r>
      <w:r>
        <w:t>and</w:t>
      </w:r>
      <w:r>
        <w:rPr>
          <w:spacing w:val="-12"/>
        </w:rPr>
        <w:t xml:space="preserve"> </w:t>
      </w:r>
      <w:r>
        <w:t>negative</w:t>
      </w:r>
      <w:r>
        <w:rPr>
          <w:spacing w:val="-11"/>
        </w:rPr>
        <w:t xml:space="preserve"> </w:t>
      </w:r>
      <w:r>
        <w:t>and</w:t>
      </w:r>
      <w:r>
        <w:rPr>
          <w:spacing w:val="-12"/>
        </w:rPr>
        <w:t xml:space="preserve"> </w:t>
      </w:r>
      <w:r>
        <w:t>frightening</w:t>
      </w:r>
      <w:r>
        <w:rPr>
          <w:spacing w:val="-12"/>
        </w:rPr>
        <w:t xml:space="preserve"> </w:t>
      </w:r>
      <w:r>
        <w:t>outcomes when aging out of the child welfare system.</w:t>
      </w:r>
      <w:hyperlink w:anchor="_bookmark34" w:history="1">
        <w:r>
          <w:rPr>
            <w:vertAlign w:val="superscript"/>
          </w:rPr>
          <w:t>29</w:t>
        </w:r>
      </w:hyperlink>
      <w:r>
        <w:rPr>
          <w:spacing w:val="-2"/>
        </w:rPr>
        <w:t xml:space="preserve"> </w:t>
      </w:r>
      <w:r>
        <w:t xml:space="preserve">As of DCF’s initial SOGIE data reporting in its </w:t>
      </w:r>
      <w:r>
        <w:t>most recent quarterly</w:t>
      </w:r>
      <w:r>
        <w:rPr>
          <w:spacing w:val="-3"/>
        </w:rPr>
        <w:t xml:space="preserve"> </w:t>
      </w:r>
      <w:r>
        <w:t>report</w:t>
      </w:r>
      <w:r>
        <w:rPr>
          <w:spacing w:val="-6"/>
        </w:rPr>
        <w:t xml:space="preserve"> </w:t>
      </w:r>
      <w:r>
        <w:t>for</w:t>
      </w:r>
      <w:r>
        <w:rPr>
          <w:spacing w:val="-7"/>
        </w:rPr>
        <w:t xml:space="preserve"> </w:t>
      </w:r>
      <w:r>
        <w:t>the</w:t>
      </w:r>
      <w:r>
        <w:rPr>
          <w:spacing w:val="-6"/>
        </w:rPr>
        <w:t xml:space="preserve"> </w:t>
      </w:r>
      <w:r>
        <w:t>end</w:t>
      </w:r>
      <w:r>
        <w:rPr>
          <w:spacing w:val="-5"/>
        </w:rPr>
        <w:t xml:space="preserve"> </w:t>
      </w:r>
      <w:r>
        <w:t>of</w:t>
      </w:r>
      <w:r>
        <w:rPr>
          <w:spacing w:val="-5"/>
        </w:rPr>
        <w:t xml:space="preserve"> </w:t>
      </w:r>
      <w:r>
        <w:t>2022,</w:t>
      </w:r>
      <w:r>
        <w:rPr>
          <w:spacing w:val="-7"/>
        </w:rPr>
        <w:t xml:space="preserve"> </w:t>
      </w:r>
      <w:r>
        <w:t>approximately</w:t>
      </w:r>
      <w:r>
        <w:rPr>
          <w:spacing w:val="-6"/>
        </w:rPr>
        <w:t xml:space="preserve"> </w:t>
      </w:r>
      <w:r>
        <w:t>400</w:t>
      </w:r>
      <w:r>
        <w:rPr>
          <w:spacing w:val="-6"/>
        </w:rPr>
        <w:t xml:space="preserve"> </w:t>
      </w:r>
      <w:r>
        <w:t>youth</w:t>
      </w:r>
      <w:r>
        <w:rPr>
          <w:spacing w:val="-5"/>
        </w:rPr>
        <w:t xml:space="preserve"> </w:t>
      </w:r>
      <w:r>
        <w:t>(5%)</w:t>
      </w:r>
      <w:r>
        <w:rPr>
          <w:spacing w:val="-4"/>
        </w:rPr>
        <w:t xml:space="preserve"> </w:t>
      </w:r>
      <w:r>
        <w:t>aged</w:t>
      </w:r>
      <w:r>
        <w:rPr>
          <w:spacing w:val="-5"/>
        </w:rPr>
        <w:t xml:space="preserve"> </w:t>
      </w:r>
      <w:r>
        <w:t>3-17</w:t>
      </w:r>
      <w:r>
        <w:rPr>
          <w:spacing w:val="-3"/>
        </w:rPr>
        <w:t xml:space="preserve"> </w:t>
      </w:r>
      <w:r>
        <w:t>identified</w:t>
      </w:r>
      <w:r>
        <w:rPr>
          <w:spacing w:val="-5"/>
        </w:rPr>
        <w:t xml:space="preserve"> </w:t>
      </w:r>
      <w:r>
        <w:t>as</w:t>
      </w:r>
      <w:r>
        <w:rPr>
          <w:spacing w:val="-7"/>
        </w:rPr>
        <w:t xml:space="preserve"> </w:t>
      </w:r>
      <w:r>
        <w:t>LGBQ,</w:t>
      </w:r>
      <w:r>
        <w:rPr>
          <w:spacing w:val="-4"/>
        </w:rPr>
        <w:t xml:space="preserve"> </w:t>
      </w:r>
      <w:r>
        <w:t>though a</w:t>
      </w:r>
      <w:r>
        <w:rPr>
          <w:spacing w:val="9"/>
        </w:rPr>
        <w:t xml:space="preserve"> </w:t>
      </w:r>
      <w:r>
        <w:t>further</w:t>
      </w:r>
      <w:r>
        <w:rPr>
          <w:spacing w:val="11"/>
        </w:rPr>
        <w:t xml:space="preserve"> </w:t>
      </w:r>
      <w:r>
        <w:t>1,059</w:t>
      </w:r>
      <w:r>
        <w:rPr>
          <w:spacing w:val="10"/>
        </w:rPr>
        <w:t xml:space="preserve"> </w:t>
      </w:r>
      <w:r>
        <w:t>were</w:t>
      </w:r>
      <w:r>
        <w:rPr>
          <w:spacing w:val="11"/>
        </w:rPr>
        <w:t xml:space="preserve"> </w:t>
      </w:r>
      <w:r>
        <w:t>marked</w:t>
      </w:r>
      <w:r>
        <w:rPr>
          <w:spacing w:val="11"/>
        </w:rPr>
        <w:t xml:space="preserve"> </w:t>
      </w:r>
      <w:r>
        <w:t>as</w:t>
      </w:r>
      <w:r>
        <w:rPr>
          <w:spacing w:val="12"/>
        </w:rPr>
        <w:t xml:space="preserve"> </w:t>
      </w:r>
      <w:r>
        <w:t>‘not</w:t>
      </w:r>
      <w:r>
        <w:rPr>
          <w:spacing w:val="12"/>
        </w:rPr>
        <w:t xml:space="preserve"> </w:t>
      </w:r>
      <w:r>
        <w:t>listed’</w:t>
      </w:r>
      <w:r>
        <w:rPr>
          <w:spacing w:val="10"/>
        </w:rPr>
        <w:t xml:space="preserve"> </w:t>
      </w:r>
      <w:r>
        <w:t>or</w:t>
      </w:r>
      <w:r>
        <w:rPr>
          <w:spacing w:val="11"/>
        </w:rPr>
        <w:t xml:space="preserve"> </w:t>
      </w:r>
      <w:r>
        <w:t>‘other’</w:t>
      </w:r>
      <w:r>
        <w:rPr>
          <w:spacing w:val="9"/>
        </w:rPr>
        <w:t xml:space="preserve"> </w:t>
      </w:r>
      <w:r>
        <w:t>which</w:t>
      </w:r>
      <w:r>
        <w:rPr>
          <w:spacing w:val="12"/>
        </w:rPr>
        <w:t xml:space="preserve"> </w:t>
      </w:r>
      <w:r>
        <w:t>could</w:t>
      </w:r>
      <w:r>
        <w:rPr>
          <w:spacing w:val="11"/>
        </w:rPr>
        <w:t xml:space="preserve"> </w:t>
      </w:r>
      <w:r>
        <w:t>suggest</w:t>
      </w:r>
      <w:r>
        <w:rPr>
          <w:spacing w:val="12"/>
        </w:rPr>
        <w:t xml:space="preserve"> </w:t>
      </w:r>
      <w:r>
        <w:t>higher</w:t>
      </w:r>
      <w:r>
        <w:rPr>
          <w:spacing w:val="12"/>
        </w:rPr>
        <w:t xml:space="preserve"> </w:t>
      </w:r>
      <w:r>
        <w:t>numbers</w:t>
      </w:r>
      <w:r>
        <w:rPr>
          <w:spacing w:val="12"/>
        </w:rPr>
        <w:t xml:space="preserve"> </w:t>
      </w:r>
      <w:r>
        <w:t>if</w:t>
      </w:r>
      <w:r>
        <w:rPr>
          <w:spacing w:val="9"/>
        </w:rPr>
        <w:t xml:space="preserve"> </w:t>
      </w:r>
      <w:r>
        <w:t>the</w:t>
      </w:r>
      <w:r>
        <w:rPr>
          <w:spacing w:val="11"/>
        </w:rPr>
        <w:t xml:space="preserve"> </w:t>
      </w:r>
      <w:r>
        <w:rPr>
          <w:spacing w:val="-2"/>
        </w:rPr>
        <w:t>youth</w:t>
      </w:r>
    </w:p>
    <w:p w:rsidR="00200FDA" w:rsidRDefault="00200FDA">
      <w:pPr>
        <w:spacing w:line="264" w:lineRule="auto"/>
        <w:jc w:val="both"/>
        <w:sectPr w:rsidR="00200FDA">
          <w:pgSz w:w="12240" w:h="15840"/>
          <w:pgMar w:top="1360" w:right="1300" w:bottom="1240" w:left="1300" w:header="761" w:footer="1043" w:gutter="0"/>
          <w:cols w:space="720"/>
        </w:sectPr>
      </w:pPr>
    </w:p>
    <w:p w:rsidR="00200FDA" w:rsidRDefault="00F76C4C">
      <w:pPr>
        <w:pStyle w:val="BodyText"/>
        <w:spacing w:before="64" w:line="264" w:lineRule="auto"/>
        <w:ind w:left="140" w:right="133"/>
        <w:jc w:val="both"/>
      </w:pPr>
      <w:r>
        <w:lastRenderedPageBreak/>
        <w:t>identify with a sexual orientation not listed; 132 youth aged 3-17 identified as transgender or otherwise under the gender expansive umbrella. For youth in DCF care over the age of 18, 10% identify as LGB.</w:t>
      </w:r>
      <w:hyperlink w:anchor="_bookmark35" w:history="1">
        <w:r>
          <w:rPr>
            <w:vertAlign w:val="superscript"/>
          </w:rPr>
          <w:t>30</w:t>
        </w:r>
      </w:hyperlink>
      <w:r>
        <w:t xml:space="preserve"> Further</w:t>
      </w:r>
      <w:r>
        <w:rPr>
          <w:spacing w:val="-2"/>
        </w:rPr>
        <w:t xml:space="preserve"> </w:t>
      </w:r>
      <w:r>
        <w:t>data</w:t>
      </w:r>
      <w:r>
        <w:rPr>
          <w:spacing w:val="-2"/>
        </w:rPr>
        <w:t xml:space="preserve"> </w:t>
      </w:r>
      <w:r>
        <w:t>is</w:t>
      </w:r>
      <w:r>
        <w:rPr>
          <w:spacing w:val="-4"/>
        </w:rPr>
        <w:t xml:space="preserve"> </w:t>
      </w:r>
      <w:r>
        <w:t>e</w:t>
      </w:r>
      <w:r>
        <w:t>xpected</w:t>
      </w:r>
      <w:r>
        <w:rPr>
          <w:spacing w:val="-5"/>
        </w:rPr>
        <w:t xml:space="preserve"> </w:t>
      </w:r>
      <w:r>
        <w:t>to</w:t>
      </w:r>
      <w:r>
        <w:rPr>
          <w:spacing w:val="-3"/>
        </w:rPr>
        <w:t xml:space="preserve"> </w:t>
      </w:r>
      <w:r>
        <w:t>be</w:t>
      </w:r>
      <w:r>
        <w:rPr>
          <w:spacing w:val="-1"/>
        </w:rPr>
        <w:t xml:space="preserve"> </w:t>
      </w:r>
      <w:r>
        <w:t>collected</w:t>
      </w:r>
      <w:r>
        <w:rPr>
          <w:spacing w:val="-2"/>
        </w:rPr>
        <w:t xml:space="preserve"> </w:t>
      </w:r>
      <w:r>
        <w:t>for</w:t>
      </w:r>
      <w:r>
        <w:rPr>
          <w:spacing w:val="-2"/>
        </w:rPr>
        <w:t xml:space="preserve"> </w:t>
      </w:r>
      <w:r>
        <w:t>remaining</w:t>
      </w:r>
      <w:r>
        <w:rPr>
          <w:spacing w:val="-5"/>
        </w:rPr>
        <w:t xml:space="preserve"> </w:t>
      </w:r>
      <w:r>
        <w:t>cases,</w:t>
      </w:r>
      <w:r>
        <w:rPr>
          <w:spacing w:val="-2"/>
        </w:rPr>
        <w:t xml:space="preserve"> </w:t>
      </w:r>
      <w:r>
        <w:t>and</w:t>
      </w:r>
      <w:r>
        <w:rPr>
          <w:spacing w:val="-5"/>
        </w:rPr>
        <w:t xml:space="preserve"> </w:t>
      </w:r>
      <w:r>
        <w:t>the</w:t>
      </w:r>
      <w:r>
        <w:rPr>
          <w:spacing w:val="-1"/>
        </w:rPr>
        <w:t xml:space="preserve"> </w:t>
      </w:r>
      <w:r>
        <w:t>Commission</w:t>
      </w:r>
      <w:r>
        <w:rPr>
          <w:spacing w:val="-5"/>
        </w:rPr>
        <w:t xml:space="preserve"> </w:t>
      </w:r>
      <w:r>
        <w:t>cautions</w:t>
      </w:r>
      <w:r>
        <w:rPr>
          <w:spacing w:val="-4"/>
        </w:rPr>
        <w:t xml:space="preserve"> </w:t>
      </w:r>
      <w:r>
        <w:t>providers</w:t>
      </w:r>
      <w:r>
        <w:rPr>
          <w:spacing w:val="-2"/>
        </w:rPr>
        <w:t xml:space="preserve"> </w:t>
      </w:r>
      <w:r>
        <w:t>and policymakers</w:t>
      </w:r>
      <w:r>
        <w:rPr>
          <w:spacing w:val="-13"/>
        </w:rPr>
        <w:t xml:space="preserve"> </w:t>
      </w:r>
      <w:r>
        <w:t>from</w:t>
      </w:r>
      <w:r>
        <w:rPr>
          <w:spacing w:val="-12"/>
        </w:rPr>
        <w:t xml:space="preserve"> </w:t>
      </w:r>
      <w:r>
        <w:t>relying</w:t>
      </w:r>
      <w:r>
        <w:rPr>
          <w:spacing w:val="-13"/>
        </w:rPr>
        <w:t xml:space="preserve"> </w:t>
      </w:r>
      <w:r>
        <w:t>heavily</w:t>
      </w:r>
      <w:r>
        <w:rPr>
          <w:spacing w:val="-12"/>
        </w:rPr>
        <w:t xml:space="preserve"> </w:t>
      </w:r>
      <w:r>
        <w:t>on</w:t>
      </w:r>
      <w:r>
        <w:rPr>
          <w:spacing w:val="-13"/>
        </w:rPr>
        <w:t xml:space="preserve"> </w:t>
      </w:r>
      <w:r>
        <w:t>reported</w:t>
      </w:r>
      <w:r>
        <w:rPr>
          <w:spacing w:val="-12"/>
        </w:rPr>
        <w:t xml:space="preserve"> </w:t>
      </w:r>
      <w:r>
        <w:t>initial</w:t>
      </w:r>
      <w:r>
        <w:rPr>
          <w:spacing w:val="-13"/>
        </w:rPr>
        <w:t xml:space="preserve"> </w:t>
      </w:r>
      <w:r>
        <w:t>data,</w:t>
      </w:r>
      <w:r>
        <w:rPr>
          <w:spacing w:val="-12"/>
        </w:rPr>
        <w:t xml:space="preserve"> </w:t>
      </w:r>
      <w:r>
        <w:t>as</w:t>
      </w:r>
      <w:r>
        <w:rPr>
          <w:spacing w:val="-12"/>
        </w:rPr>
        <w:t xml:space="preserve"> </w:t>
      </w:r>
      <w:r>
        <w:t>many</w:t>
      </w:r>
      <w:r>
        <w:rPr>
          <w:spacing w:val="-13"/>
        </w:rPr>
        <w:t xml:space="preserve"> </w:t>
      </w:r>
      <w:r>
        <w:t>LGBTQ</w:t>
      </w:r>
      <w:r>
        <w:rPr>
          <w:spacing w:val="-12"/>
        </w:rPr>
        <w:t xml:space="preserve"> </w:t>
      </w:r>
      <w:r>
        <w:t>youth</w:t>
      </w:r>
      <w:r>
        <w:rPr>
          <w:spacing w:val="-13"/>
        </w:rPr>
        <w:t xml:space="preserve"> </w:t>
      </w:r>
      <w:r>
        <w:t>often</w:t>
      </w:r>
      <w:r>
        <w:rPr>
          <w:spacing w:val="-12"/>
        </w:rPr>
        <w:t xml:space="preserve"> </w:t>
      </w:r>
      <w:r>
        <w:t>conceal</w:t>
      </w:r>
      <w:r>
        <w:rPr>
          <w:spacing w:val="-13"/>
        </w:rPr>
        <w:t xml:space="preserve"> </w:t>
      </w:r>
      <w:r>
        <w:t>their</w:t>
      </w:r>
      <w:r>
        <w:rPr>
          <w:spacing w:val="-12"/>
        </w:rPr>
        <w:t xml:space="preserve"> </w:t>
      </w:r>
      <w:r>
        <w:t>sexual orientation and/or gender identity when asked.</w:t>
      </w:r>
    </w:p>
    <w:p w:rsidR="00200FDA" w:rsidRDefault="00200FDA">
      <w:pPr>
        <w:pStyle w:val="BodyText"/>
        <w:spacing w:before="7"/>
        <w:rPr>
          <w:sz w:val="19"/>
        </w:rPr>
      </w:pPr>
    </w:p>
    <w:p w:rsidR="00200FDA" w:rsidRDefault="00F76C4C">
      <w:pPr>
        <w:pStyle w:val="BodyText"/>
        <w:spacing w:line="264" w:lineRule="auto"/>
        <w:ind w:left="139" w:right="133"/>
        <w:jc w:val="both"/>
      </w:pPr>
      <w:r>
        <w:t>For</w:t>
      </w:r>
      <w:r>
        <w:rPr>
          <w:spacing w:val="-3"/>
        </w:rPr>
        <w:t xml:space="preserve"> </w:t>
      </w:r>
      <w:r>
        <w:t>child</w:t>
      </w:r>
      <w:r>
        <w:rPr>
          <w:spacing w:val="-4"/>
        </w:rPr>
        <w:t xml:space="preserve"> </w:t>
      </w:r>
      <w:r>
        <w:t>advocates,</w:t>
      </w:r>
      <w:r>
        <w:rPr>
          <w:spacing w:val="-3"/>
        </w:rPr>
        <w:t xml:space="preserve"> </w:t>
      </w:r>
      <w:r>
        <w:t>particularly</w:t>
      </w:r>
      <w:r>
        <w:rPr>
          <w:spacing w:val="-3"/>
        </w:rPr>
        <w:t xml:space="preserve"> </w:t>
      </w:r>
      <w:r>
        <w:t>those</w:t>
      </w:r>
      <w:r>
        <w:rPr>
          <w:spacing w:val="-3"/>
        </w:rPr>
        <w:t xml:space="preserve"> </w:t>
      </w:r>
      <w:r>
        <w:t>working</w:t>
      </w:r>
      <w:r>
        <w:rPr>
          <w:spacing w:val="-4"/>
        </w:rPr>
        <w:t xml:space="preserve"> </w:t>
      </w:r>
      <w:r>
        <w:t>with</w:t>
      </w:r>
      <w:r>
        <w:rPr>
          <w:spacing w:val="-4"/>
        </w:rPr>
        <w:t xml:space="preserve"> </w:t>
      </w:r>
      <w:r>
        <w:t>LGBTQ</w:t>
      </w:r>
      <w:r>
        <w:rPr>
          <w:spacing w:val="-3"/>
        </w:rPr>
        <w:t xml:space="preserve"> </w:t>
      </w:r>
      <w:r>
        <w:t>youth,</w:t>
      </w:r>
      <w:r>
        <w:rPr>
          <w:spacing w:val="-3"/>
        </w:rPr>
        <w:t xml:space="preserve"> </w:t>
      </w:r>
      <w:r>
        <w:t>the</w:t>
      </w:r>
      <w:r>
        <w:rPr>
          <w:spacing w:val="-3"/>
        </w:rPr>
        <w:t xml:space="preserve"> </w:t>
      </w:r>
      <w:r>
        <w:t>state</w:t>
      </w:r>
      <w:r>
        <w:rPr>
          <w:spacing w:val="-3"/>
        </w:rPr>
        <w:t xml:space="preserve"> </w:t>
      </w:r>
      <w:r>
        <w:t>child</w:t>
      </w:r>
      <w:r>
        <w:rPr>
          <w:spacing w:val="-6"/>
        </w:rPr>
        <w:t xml:space="preserve"> </w:t>
      </w:r>
      <w:r>
        <w:t>welfare</w:t>
      </w:r>
      <w:r>
        <w:rPr>
          <w:spacing w:val="-3"/>
        </w:rPr>
        <w:t xml:space="preserve"> </w:t>
      </w:r>
      <w:r>
        <w:t>system</w:t>
      </w:r>
      <w:r>
        <w:rPr>
          <w:spacing w:val="-2"/>
        </w:rPr>
        <w:t xml:space="preserve"> </w:t>
      </w:r>
      <w:r>
        <w:t>is</w:t>
      </w:r>
      <w:r>
        <w:rPr>
          <w:spacing w:val="-6"/>
        </w:rPr>
        <w:t xml:space="preserve"> </w:t>
      </w:r>
      <w:r>
        <w:t>mired in</w:t>
      </w:r>
      <w:r>
        <w:rPr>
          <w:spacing w:val="-13"/>
        </w:rPr>
        <w:t xml:space="preserve"> </w:t>
      </w:r>
      <w:r>
        <w:t>complexity.</w:t>
      </w:r>
      <w:r>
        <w:rPr>
          <w:spacing w:val="-12"/>
        </w:rPr>
        <w:t xml:space="preserve"> </w:t>
      </w:r>
      <w:r>
        <w:t>From</w:t>
      </w:r>
      <w:r>
        <w:rPr>
          <w:spacing w:val="-13"/>
        </w:rPr>
        <w:t xml:space="preserve"> </w:t>
      </w:r>
      <w:r>
        <w:t>the</w:t>
      </w:r>
      <w:r>
        <w:rPr>
          <w:spacing w:val="-12"/>
        </w:rPr>
        <w:t xml:space="preserve"> </w:t>
      </w:r>
      <w:r>
        <w:t>moment</w:t>
      </w:r>
      <w:r>
        <w:rPr>
          <w:spacing w:val="-13"/>
        </w:rPr>
        <w:t xml:space="preserve"> </w:t>
      </w:r>
      <w:r>
        <w:t>LGBTQ</w:t>
      </w:r>
      <w:r>
        <w:rPr>
          <w:spacing w:val="-12"/>
        </w:rPr>
        <w:t xml:space="preserve"> </w:t>
      </w:r>
      <w:r>
        <w:t>children</w:t>
      </w:r>
      <w:r>
        <w:rPr>
          <w:spacing w:val="-13"/>
        </w:rPr>
        <w:t xml:space="preserve"> </w:t>
      </w:r>
      <w:r>
        <w:t>and</w:t>
      </w:r>
      <w:r>
        <w:rPr>
          <w:spacing w:val="-12"/>
        </w:rPr>
        <w:t xml:space="preserve"> </w:t>
      </w:r>
      <w:r>
        <w:t>youth</w:t>
      </w:r>
      <w:r>
        <w:rPr>
          <w:spacing w:val="-12"/>
        </w:rPr>
        <w:t xml:space="preserve"> </w:t>
      </w:r>
      <w:r>
        <w:t>enter</w:t>
      </w:r>
      <w:r>
        <w:rPr>
          <w:spacing w:val="-13"/>
        </w:rPr>
        <w:t xml:space="preserve"> </w:t>
      </w:r>
      <w:r>
        <w:t>the</w:t>
      </w:r>
      <w:r>
        <w:rPr>
          <w:spacing w:val="-12"/>
        </w:rPr>
        <w:t xml:space="preserve"> </w:t>
      </w:r>
      <w:r>
        <w:t>Massachusetts</w:t>
      </w:r>
      <w:r>
        <w:rPr>
          <w:spacing w:val="-13"/>
        </w:rPr>
        <w:t xml:space="preserve"> </w:t>
      </w:r>
      <w:r>
        <w:t>child</w:t>
      </w:r>
      <w:r>
        <w:rPr>
          <w:spacing w:val="-12"/>
        </w:rPr>
        <w:t xml:space="preserve"> </w:t>
      </w:r>
      <w:r>
        <w:t>welfare</w:t>
      </w:r>
      <w:r>
        <w:rPr>
          <w:spacing w:val="-13"/>
        </w:rPr>
        <w:t xml:space="preserve"> </w:t>
      </w:r>
      <w:r>
        <w:t>system, the</w:t>
      </w:r>
      <w:r>
        <w:rPr>
          <w:spacing w:val="-4"/>
        </w:rPr>
        <w:t xml:space="preserve"> </w:t>
      </w:r>
      <w:r>
        <w:t>system</w:t>
      </w:r>
      <w:r>
        <w:rPr>
          <w:spacing w:val="-5"/>
        </w:rPr>
        <w:t xml:space="preserve"> </w:t>
      </w:r>
      <w:r>
        <w:t>fails</w:t>
      </w:r>
      <w:r>
        <w:rPr>
          <w:spacing w:val="-7"/>
        </w:rPr>
        <w:t xml:space="preserve"> </w:t>
      </w:r>
      <w:r>
        <w:t>to</w:t>
      </w:r>
      <w:r>
        <w:rPr>
          <w:spacing w:val="-5"/>
        </w:rPr>
        <w:t xml:space="preserve"> </w:t>
      </w:r>
      <w:r>
        <w:t>fully</w:t>
      </w:r>
      <w:r>
        <w:rPr>
          <w:spacing w:val="-6"/>
        </w:rPr>
        <w:t xml:space="preserve"> </w:t>
      </w:r>
      <w:r>
        <w:t>serve</w:t>
      </w:r>
      <w:r>
        <w:rPr>
          <w:spacing w:val="-6"/>
        </w:rPr>
        <w:t xml:space="preserve"> </w:t>
      </w:r>
      <w:r>
        <w:t>them—by</w:t>
      </w:r>
      <w:r>
        <w:rPr>
          <w:spacing w:val="-6"/>
        </w:rPr>
        <w:t xml:space="preserve"> </w:t>
      </w:r>
      <w:r>
        <w:t>failing</w:t>
      </w:r>
      <w:r>
        <w:rPr>
          <w:spacing w:val="-5"/>
        </w:rPr>
        <w:t xml:space="preserve"> </w:t>
      </w:r>
      <w:r>
        <w:t>to</w:t>
      </w:r>
      <w:r>
        <w:rPr>
          <w:spacing w:val="-3"/>
        </w:rPr>
        <w:t xml:space="preserve"> </w:t>
      </w:r>
      <w:r>
        <w:t>even</w:t>
      </w:r>
      <w:r>
        <w:rPr>
          <w:spacing w:val="-8"/>
        </w:rPr>
        <w:t xml:space="preserve"> </w:t>
      </w:r>
      <w:r>
        <w:t>collect</w:t>
      </w:r>
      <w:r>
        <w:rPr>
          <w:spacing w:val="-6"/>
        </w:rPr>
        <w:t xml:space="preserve"> </w:t>
      </w:r>
      <w:r>
        <w:t>complete</w:t>
      </w:r>
      <w:r>
        <w:rPr>
          <w:spacing w:val="-6"/>
        </w:rPr>
        <w:t xml:space="preserve"> </w:t>
      </w:r>
      <w:r>
        <w:t>and</w:t>
      </w:r>
      <w:r>
        <w:rPr>
          <w:spacing w:val="-5"/>
        </w:rPr>
        <w:t xml:space="preserve"> </w:t>
      </w:r>
      <w:r>
        <w:t>accurate</w:t>
      </w:r>
      <w:r>
        <w:rPr>
          <w:spacing w:val="-4"/>
        </w:rPr>
        <w:t xml:space="preserve"> </w:t>
      </w:r>
      <w:r>
        <w:t>data</w:t>
      </w:r>
      <w:r>
        <w:rPr>
          <w:spacing w:val="-7"/>
        </w:rPr>
        <w:t xml:space="preserve"> </w:t>
      </w:r>
      <w:r>
        <w:t>on</w:t>
      </w:r>
      <w:r>
        <w:rPr>
          <w:spacing w:val="-4"/>
        </w:rPr>
        <w:t xml:space="preserve"> </w:t>
      </w:r>
      <w:r>
        <w:t>the</w:t>
      </w:r>
      <w:r>
        <w:rPr>
          <w:spacing w:val="-6"/>
        </w:rPr>
        <w:t xml:space="preserve"> </w:t>
      </w:r>
      <w:r>
        <w:t>reasons they are entering the system. Although DCF should be credited for positively improving its collection of SOGIE data, the agency must also mandate the collection of more complete information on why LGBTQ you</w:t>
      </w:r>
      <w:r>
        <w:t>th</w:t>
      </w:r>
      <w:r>
        <w:rPr>
          <w:spacing w:val="-10"/>
        </w:rPr>
        <w:t xml:space="preserve"> </w:t>
      </w:r>
      <w:r>
        <w:t>are</w:t>
      </w:r>
      <w:r>
        <w:rPr>
          <w:spacing w:val="-11"/>
        </w:rPr>
        <w:t xml:space="preserve"> </w:t>
      </w:r>
      <w:r>
        <w:t>entering</w:t>
      </w:r>
      <w:r>
        <w:rPr>
          <w:spacing w:val="-10"/>
        </w:rPr>
        <w:t xml:space="preserve"> </w:t>
      </w:r>
      <w:r>
        <w:t>the</w:t>
      </w:r>
      <w:r>
        <w:rPr>
          <w:spacing w:val="-8"/>
        </w:rPr>
        <w:t xml:space="preserve"> </w:t>
      </w:r>
      <w:r>
        <w:t>system</w:t>
      </w:r>
      <w:r>
        <w:rPr>
          <w:spacing w:val="-8"/>
        </w:rPr>
        <w:t xml:space="preserve"> </w:t>
      </w:r>
      <w:r>
        <w:t>in</w:t>
      </w:r>
      <w:r>
        <w:rPr>
          <w:spacing w:val="-12"/>
        </w:rPr>
        <w:t xml:space="preserve"> </w:t>
      </w:r>
      <w:r>
        <w:t>the</w:t>
      </w:r>
      <w:r>
        <w:rPr>
          <w:spacing w:val="-8"/>
        </w:rPr>
        <w:t xml:space="preserve"> </w:t>
      </w:r>
      <w:r>
        <w:t>first</w:t>
      </w:r>
      <w:r>
        <w:rPr>
          <w:spacing w:val="-8"/>
        </w:rPr>
        <w:t xml:space="preserve"> </w:t>
      </w:r>
      <w:r>
        <w:t>place.</w:t>
      </w:r>
      <w:r>
        <w:rPr>
          <w:spacing w:val="-12"/>
        </w:rPr>
        <w:t xml:space="preserve"> </w:t>
      </w:r>
      <w:r>
        <w:t>National</w:t>
      </w:r>
      <w:r>
        <w:rPr>
          <w:spacing w:val="-9"/>
        </w:rPr>
        <w:t xml:space="preserve"> </w:t>
      </w:r>
      <w:r>
        <w:t>research</w:t>
      </w:r>
      <w:r>
        <w:rPr>
          <w:spacing w:val="-10"/>
        </w:rPr>
        <w:t xml:space="preserve"> </w:t>
      </w:r>
      <w:r>
        <w:t>indicates</w:t>
      </w:r>
      <w:r>
        <w:rPr>
          <w:spacing w:val="-11"/>
        </w:rPr>
        <w:t xml:space="preserve"> </w:t>
      </w:r>
      <w:r>
        <w:t>that</w:t>
      </w:r>
      <w:r>
        <w:rPr>
          <w:spacing w:val="-11"/>
        </w:rPr>
        <w:t xml:space="preserve"> </w:t>
      </w:r>
      <w:r>
        <w:t>family</w:t>
      </w:r>
      <w:r>
        <w:rPr>
          <w:spacing w:val="-8"/>
        </w:rPr>
        <w:t xml:space="preserve"> </w:t>
      </w:r>
      <w:r>
        <w:t>rejection</w:t>
      </w:r>
      <w:r>
        <w:rPr>
          <w:spacing w:val="-12"/>
        </w:rPr>
        <w:t xml:space="preserve"> </w:t>
      </w:r>
      <w:r>
        <w:t>of</w:t>
      </w:r>
      <w:r>
        <w:rPr>
          <w:spacing w:val="-12"/>
        </w:rPr>
        <w:t xml:space="preserve"> </w:t>
      </w:r>
      <w:r>
        <w:t>LGBTQ youth for their sexual orientation and/or gender identity may in fact lead to their overrepresentation in child</w:t>
      </w:r>
      <w:r>
        <w:rPr>
          <w:spacing w:val="-3"/>
        </w:rPr>
        <w:t xml:space="preserve"> </w:t>
      </w:r>
      <w:r>
        <w:t>welfare</w:t>
      </w:r>
      <w:r>
        <w:rPr>
          <w:spacing w:val="-4"/>
        </w:rPr>
        <w:t xml:space="preserve"> </w:t>
      </w:r>
      <w:r>
        <w:t>systems.</w:t>
      </w:r>
      <w:r>
        <w:rPr>
          <w:spacing w:val="-5"/>
        </w:rPr>
        <w:t xml:space="preserve"> </w:t>
      </w:r>
      <w:r>
        <w:t>Massachusetts</w:t>
      </w:r>
      <w:r>
        <w:rPr>
          <w:spacing w:val="-4"/>
        </w:rPr>
        <w:t xml:space="preserve"> </w:t>
      </w:r>
      <w:r>
        <w:t>policym</w:t>
      </w:r>
      <w:r>
        <w:t>akers</w:t>
      </w:r>
      <w:r>
        <w:rPr>
          <w:spacing w:val="-2"/>
        </w:rPr>
        <w:t xml:space="preserve"> </w:t>
      </w:r>
      <w:r>
        <w:t>need</w:t>
      </w:r>
      <w:r>
        <w:rPr>
          <w:spacing w:val="-3"/>
        </w:rPr>
        <w:t xml:space="preserve"> </w:t>
      </w:r>
      <w:r>
        <w:t>more</w:t>
      </w:r>
      <w:r>
        <w:rPr>
          <w:spacing w:val="-4"/>
        </w:rPr>
        <w:t xml:space="preserve"> </w:t>
      </w:r>
      <w:r>
        <w:t>data</w:t>
      </w:r>
      <w:r>
        <w:rPr>
          <w:spacing w:val="-2"/>
        </w:rPr>
        <w:t xml:space="preserve"> </w:t>
      </w:r>
      <w:r>
        <w:t>to</w:t>
      </w:r>
      <w:r>
        <w:rPr>
          <w:spacing w:val="-1"/>
        </w:rPr>
        <w:t xml:space="preserve"> </w:t>
      </w:r>
      <w:r>
        <w:t>better</w:t>
      </w:r>
      <w:r>
        <w:rPr>
          <w:spacing w:val="-2"/>
        </w:rPr>
        <w:t xml:space="preserve"> </w:t>
      </w:r>
      <w:r>
        <w:t>serve</w:t>
      </w:r>
      <w:r>
        <w:rPr>
          <w:spacing w:val="-3"/>
        </w:rPr>
        <w:t xml:space="preserve"> </w:t>
      </w:r>
      <w:r>
        <w:t>youth</w:t>
      </w:r>
      <w:r>
        <w:rPr>
          <w:spacing w:val="-3"/>
        </w:rPr>
        <w:t xml:space="preserve"> </w:t>
      </w:r>
      <w:r>
        <w:t>and</w:t>
      </w:r>
      <w:r>
        <w:rPr>
          <w:spacing w:val="-3"/>
        </w:rPr>
        <w:t xml:space="preserve"> </w:t>
      </w:r>
      <w:r>
        <w:t>accurately report on the misfortunes they face. A subsequent section of this report on inclusion further addresses significant data gaps.</w:t>
      </w:r>
    </w:p>
    <w:p w:rsidR="00200FDA" w:rsidRDefault="00200FDA">
      <w:pPr>
        <w:pStyle w:val="BodyText"/>
        <w:spacing w:before="8"/>
        <w:rPr>
          <w:sz w:val="19"/>
        </w:rPr>
      </w:pPr>
    </w:p>
    <w:p w:rsidR="00200FDA" w:rsidRDefault="00F76C4C">
      <w:pPr>
        <w:pStyle w:val="BodyText"/>
        <w:spacing w:line="264" w:lineRule="auto"/>
        <w:ind w:left="139" w:right="135"/>
        <w:jc w:val="both"/>
      </w:pPr>
      <w:r>
        <w:t>Once in the child welfare system, LGBTQ youth typically experience higher risks of bullying and physical violence</w:t>
      </w:r>
      <w:r>
        <w:rPr>
          <w:spacing w:val="-2"/>
        </w:rPr>
        <w:t xml:space="preserve"> </w:t>
      </w:r>
      <w:r>
        <w:t>due</w:t>
      </w:r>
      <w:r>
        <w:rPr>
          <w:spacing w:val="-4"/>
        </w:rPr>
        <w:t xml:space="preserve"> </w:t>
      </w:r>
      <w:r>
        <w:t>to</w:t>
      </w:r>
      <w:r>
        <w:rPr>
          <w:spacing w:val="-3"/>
        </w:rPr>
        <w:t xml:space="preserve"> </w:t>
      </w:r>
      <w:r>
        <w:t>serious</w:t>
      </w:r>
      <w:r>
        <w:rPr>
          <w:spacing w:val="-2"/>
        </w:rPr>
        <w:t xml:space="preserve"> </w:t>
      </w:r>
      <w:r>
        <w:t>difficulty</w:t>
      </w:r>
      <w:r>
        <w:rPr>
          <w:spacing w:val="-1"/>
        </w:rPr>
        <w:t xml:space="preserve"> </w:t>
      </w:r>
      <w:r>
        <w:t>finding</w:t>
      </w:r>
      <w:r>
        <w:rPr>
          <w:spacing w:val="-3"/>
        </w:rPr>
        <w:t xml:space="preserve"> </w:t>
      </w:r>
      <w:r>
        <w:t>foster</w:t>
      </w:r>
      <w:r>
        <w:rPr>
          <w:spacing w:val="-2"/>
        </w:rPr>
        <w:t xml:space="preserve"> </w:t>
      </w:r>
      <w:r>
        <w:t>placements</w:t>
      </w:r>
      <w:r>
        <w:rPr>
          <w:spacing w:val="-2"/>
        </w:rPr>
        <w:t xml:space="preserve"> </w:t>
      </w:r>
      <w:r>
        <w:t>that</w:t>
      </w:r>
      <w:r>
        <w:rPr>
          <w:spacing w:val="-4"/>
        </w:rPr>
        <w:t xml:space="preserve"> </w:t>
      </w:r>
      <w:r>
        <w:t>are</w:t>
      </w:r>
      <w:r>
        <w:rPr>
          <w:spacing w:val="-1"/>
        </w:rPr>
        <w:t xml:space="preserve"> </w:t>
      </w:r>
      <w:r>
        <w:t>affirming.</w:t>
      </w:r>
      <w:r>
        <w:rPr>
          <w:spacing w:val="-2"/>
        </w:rPr>
        <w:t xml:space="preserve"> </w:t>
      </w:r>
      <w:r>
        <w:t>Involvement</w:t>
      </w:r>
      <w:r>
        <w:rPr>
          <w:spacing w:val="-4"/>
        </w:rPr>
        <w:t xml:space="preserve"> </w:t>
      </w:r>
      <w:r>
        <w:t>with</w:t>
      </w:r>
      <w:r>
        <w:rPr>
          <w:spacing w:val="-3"/>
        </w:rPr>
        <w:t xml:space="preserve"> </w:t>
      </w:r>
      <w:r>
        <w:t>a</w:t>
      </w:r>
      <w:r>
        <w:rPr>
          <w:spacing w:val="-2"/>
        </w:rPr>
        <w:t xml:space="preserve"> </w:t>
      </w:r>
      <w:r>
        <w:t>system that is meant to help them only worsens thei</w:t>
      </w:r>
      <w:r>
        <w:t>r well-being. The Commission’s 2021 report,</w:t>
      </w:r>
      <w:r>
        <w:rPr>
          <w:spacing w:val="-4"/>
        </w:rPr>
        <w:t xml:space="preserve"> </w:t>
      </w:r>
      <w:r>
        <w:t>“LGBTQ Youth in the Massachusetts Child Welfare System: A Report on Pervasive Threats to Safety, Wellbeing, and Permanency,” further examines the harms to the well-being of LGBTQ youth caught in this system.</w:t>
      </w:r>
    </w:p>
    <w:p w:rsidR="00200FDA" w:rsidRDefault="00200FDA">
      <w:pPr>
        <w:pStyle w:val="BodyText"/>
        <w:spacing w:before="10"/>
        <w:rPr>
          <w:sz w:val="19"/>
        </w:rPr>
      </w:pPr>
    </w:p>
    <w:p w:rsidR="00200FDA" w:rsidRDefault="00F76C4C">
      <w:pPr>
        <w:pStyle w:val="Heading8"/>
      </w:pPr>
      <w:bookmarkStart w:id="74" w:name="The_Need_for_True_Oversight,_Accountabil"/>
      <w:bookmarkEnd w:id="74"/>
      <w:r>
        <w:rPr>
          <w:color w:val="365F91"/>
        </w:rPr>
        <w:t>The</w:t>
      </w:r>
      <w:r>
        <w:rPr>
          <w:color w:val="365F91"/>
          <w:spacing w:val="-4"/>
        </w:rPr>
        <w:t xml:space="preserve"> </w:t>
      </w:r>
      <w:r>
        <w:rPr>
          <w:color w:val="365F91"/>
        </w:rPr>
        <w:t>Need</w:t>
      </w:r>
      <w:r>
        <w:rPr>
          <w:color w:val="365F91"/>
          <w:spacing w:val="-2"/>
        </w:rPr>
        <w:t xml:space="preserve"> </w:t>
      </w:r>
      <w:r>
        <w:rPr>
          <w:color w:val="365F91"/>
        </w:rPr>
        <w:t>for</w:t>
      </w:r>
      <w:r>
        <w:rPr>
          <w:color w:val="365F91"/>
          <w:spacing w:val="-4"/>
        </w:rPr>
        <w:t xml:space="preserve"> </w:t>
      </w:r>
      <w:r>
        <w:rPr>
          <w:color w:val="365F91"/>
        </w:rPr>
        <w:t>True</w:t>
      </w:r>
      <w:r>
        <w:rPr>
          <w:color w:val="365F91"/>
          <w:spacing w:val="-3"/>
        </w:rPr>
        <w:t xml:space="preserve"> </w:t>
      </w:r>
      <w:r>
        <w:rPr>
          <w:color w:val="365F91"/>
        </w:rPr>
        <w:t>Oversight,</w:t>
      </w:r>
      <w:r>
        <w:rPr>
          <w:color w:val="365F91"/>
          <w:spacing w:val="-2"/>
        </w:rPr>
        <w:t xml:space="preserve"> </w:t>
      </w:r>
      <w:r>
        <w:rPr>
          <w:color w:val="365F91"/>
        </w:rPr>
        <w:t>Accountability, and</w:t>
      </w:r>
      <w:r>
        <w:rPr>
          <w:color w:val="365F91"/>
          <w:spacing w:val="-3"/>
        </w:rPr>
        <w:t xml:space="preserve"> </w:t>
      </w:r>
      <w:r>
        <w:rPr>
          <w:color w:val="365F91"/>
        </w:rPr>
        <w:t>Transparency</w:t>
      </w:r>
      <w:r>
        <w:rPr>
          <w:color w:val="365F91"/>
          <w:spacing w:val="-4"/>
        </w:rPr>
        <w:t xml:space="preserve"> </w:t>
      </w:r>
      <w:r>
        <w:rPr>
          <w:color w:val="365F91"/>
        </w:rPr>
        <w:t>for</w:t>
      </w:r>
      <w:r>
        <w:rPr>
          <w:color w:val="365F91"/>
          <w:spacing w:val="-4"/>
        </w:rPr>
        <w:t xml:space="preserve"> </w:t>
      </w:r>
      <w:r>
        <w:rPr>
          <w:color w:val="365F91"/>
        </w:rPr>
        <w:t>the Child</w:t>
      </w:r>
      <w:r>
        <w:rPr>
          <w:color w:val="365F91"/>
          <w:spacing w:val="-1"/>
        </w:rPr>
        <w:t xml:space="preserve"> </w:t>
      </w:r>
      <w:r>
        <w:rPr>
          <w:color w:val="365F91"/>
        </w:rPr>
        <w:t>Welfare</w:t>
      </w:r>
      <w:r>
        <w:rPr>
          <w:color w:val="365F91"/>
          <w:spacing w:val="-2"/>
        </w:rPr>
        <w:t xml:space="preserve"> System</w:t>
      </w:r>
    </w:p>
    <w:p w:rsidR="00200FDA" w:rsidRDefault="00200FDA">
      <w:pPr>
        <w:pStyle w:val="BodyText"/>
        <w:spacing w:before="7"/>
        <w:rPr>
          <w:sz w:val="19"/>
        </w:rPr>
      </w:pPr>
    </w:p>
    <w:p w:rsidR="00200FDA" w:rsidRDefault="00F76C4C">
      <w:pPr>
        <w:pStyle w:val="BodyText"/>
        <w:spacing w:before="1" w:line="259" w:lineRule="auto"/>
        <w:ind w:left="139" w:right="134"/>
        <w:jc w:val="both"/>
      </w:pPr>
      <w:r>
        <w:t>Perpetuating alarming failures are a lack of adequate oversight, accountability, and transparency among the systems</w:t>
      </w:r>
      <w:r>
        <w:rPr>
          <w:spacing w:val="-1"/>
        </w:rPr>
        <w:t xml:space="preserve"> </w:t>
      </w:r>
      <w:r>
        <w:t>serving our</w:t>
      </w:r>
      <w:r>
        <w:rPr>
          <w:spacing w:val="-1"/>
        </w:rPr>
        <w:t xml:space="preserve"> </w:t>
      </w:r>
      <w:r>
        <w:t>most vulnerable youth. The recent Friends of</w:t>
      </w:r>
      <w:r>
        <w:rPr>
          <w:spacing w:val="-1"/>
        </w:rPr>
        <w:t xml:space="preserve"> </w:t>
      </w:r>
      <w:r>
        <w:t>Children report,</w:t>
      </w:r>
      <w:r>
        <w:rPr>
          <w:spacing w:val="-1"/>
        </w:rPr>
        <w:t xml:space="preserve"> </w:t>
      </w:r>
      <w:r>
        <w:t>“</w:t>
      </w:r>
      <w:hyperlink r:id="rId77">
        <w:r>
          <w:rPr>
            <w:color w:val="112E51"/>
            <w:u w:val="single" w:color="112E51"/>
          </w:rPr>
          <w:t>Ten</w:t>
        </w:r>
        <w:r>
          <w:rPr>
            <w:color w:val="112E51"/>
            <w:spacing w:val="-2"/>
            <w:u w:val="single" w:color="112E51"/>
          </w:rPr>
          <w:t xml:space="preserve"> </w:t>
        </w:r>
        <w:r>
          <w:rPr>
            <w:color w:val="112E51"/>
            <w:u w:val="single" w:color="112E51"/>
          </w:rPr>
          <w:t>Myths</w:t>
        </w:r>
        <w:r>
          <w:rPr>
            <w:color w:val="112E51"/>
            <w:spacing w:val="-1"/>
            <w:u w:val="single" w:color="112E51"/>
          </w:rPr>
          <w:t xml:space="preserve"> </w:t>
        </w:r>
        <w:r>
          <w:rPr>
            <w:color w:val="112E51"/>
            <w:u w:val="single" w:color="112E51"/>
          </w:rPr>
          <w:t>about</w:t>
        </w:r>
      </w:hyperlink>
      <w:r>
        <w:rPr>
          <w:color w:val="112E51"/>
        </w:rPr>
        <w:t xml:space="preserve"> </w:t>
      </w:r>
      <w:hyperlink r:id="rId78">
        <w:r>
          <w:rPr>
            <w:color w:val="112E51"/>
            <w:u w:val="single" w:color="112E51"/>
          </w:rPr>
          <w:t>Child Welfare Oversight in Massachusetts</w:t>
        </w:r>
      </w:hyperlink>
      <w:r>
        <w:t>”</w:t>
      </w:r>
      <w:hyperlink r:id="rId79" w:anchor="heading%3Dh.28h4qwu">
        <w:r>
          <w:rPr>
            <w:vertAlign w:val="superscript"/>
          </w:rPr>
          <w:t>33</w:t>
        </w:r>
      </w:hyperlink>
      <w:r>
        <w:t xml:space="preserve"> details the misconceptions about the current child welfare system that enable the system to ev</w:t>
      </w:r>
      <w:r>
        <w:t>ade change. Many of the key roles leading the child welfare system, including the Secretary of the Office of Health and Human Services, the DCF Commissioner, and juvenile court judgeships are gubernatorial appointments, and as such the Governor has outsize</w:t>
      </w:r>
      <w:r>
        <w:t xml:space="preserve"> influence over the Massachusetts child welfare system as compared to other states. Apart from the Governor and the Executive</w:t>
      </w:r>
      <w:r>
        <w:rPr>
          <w:spacing w:val="-6"/>
        </w:rPr>
        <w:t xml:space="preserve"> </w:t>
      </w:r>
      <w:r>
        <w:t>Office</w:t>
      </w:r>
      <w:r>
        <w:rPr>
          <w:spacing w:val="-6"/>
        </w:rPr>
        <w:t xml:space="preserve"> </w:t>
      </w:r>
      <w:r>
        <w:t>of</w:t>
      </w:r>
      <w:r>
        <w:rPr>
          <w:spacing w:val="-7"/>
        </w:rPr>
        <w:t xml:space="preserve"> </w:t>
      </w:r>
      <w:r>
        <w:t>Health</w:t>
      </w:r>
      <w:r>
        <w:rPr>
          <w:spacing w:val="-8"/>
        </w:rPr>
        <w:t xml:space="preserve"> </w:t>
      </w:r>
      <w:r>
        <w:t>and</w:t>
      </w:r>
      <w:r>
        <w:rPr>
          <w:spacing w:val="-5"/>
        </w:rPr>
        <w:t xml:space="preserve"> </w:t>
      </w:r>
      <w:r>
        <w:t>Human</w:t>
      </w:r>
      <w:r>
        <w:rPr>
          <w:spacing w:val="-5"/>
        </w:rPr>
        <w:t xml:space="preserve"> </w:t>
      </w:r>
      <w:r>
        <w:t>Services,</w:t>
      </w:r>
      <w:r>
        <w:rPr>
          <w:spacing w:val="-7"/>
        </w:rPr>
        <w:t xml:space="preserve"> </w:t>
      </w:r>
      <w:r>
        <w:t>other</w:t>
      </w:r>
      <w:r>
        <w:rPr>
          <w:spacing w:val="-7"/>
        </w:rPr>
        <w:t xml:space="preserve"> </w:t>
      </w:r>
      <w:r>
        <w:t>accountability</w:t>
      </w:r>
      <w:r>
        <w:rPr>
          <w:spacing w:val="-6"/>
        </w:rPr>
        <w:t xml:space="preserve"> </w:t>
      </w:r>
      <w:r>
        <w:t>mechanisms</w:t>
      </w:r>
      <w:r>
        <w:rPr>
          <w:spacing w:val="-4"/>
        </w:rPr>
        <w:t xml:space="preserve"> </w:t>
      </w:r>
      <w:r>
        <w:t>for</w:t>
      </w:r>
      <w:r>
        <w:rPr>
          <w:spacing w:val="-7"/>
        </w:rPr>
        <w:t xml:space="preserve"> </w:t>
      </w:r>
      <w:r>
        <w:t>DCF</w:t>
      </w:r>
      <w:r>
        <w:rPr>
          <w:spacing w:val="-7"/>
        </w:rPr>
        <w:t xml:space="preserve"> </w:t>
      </w:r>
      <w:r>
        <w:t>have</w:t>
      </w:r>
      <w:r>
        <w:rPr>
          <w:spacing w:val="-4"/>
        </w:rPr>
        <w:t xml:space="preserve"> </w:t>
      </w:r>
      <w:r>
        <w:t>little</w:t>
      </w:r>
      <w:r>
        <w:rPr>
          <w:spacing w:val="-6"/>
        </w:rPr>
        <w:t xml:space="preserve"> </w:t>
      </w:r>
      <w:r>
        <w:t>to</w:t>
      </w:r>
      <w:r>
        <w:rPr>
          <w:spacing w:val="-3"/>
        </w:rPr>
        <w:t xml:space="preserve"> </w:t>
      </w:r>
      <w:r>
        <w:t>no authority over DCF. In Massachusett</w:t>
      </w:r>
      <w:r>
        <w:t>s, the Office of the Child Advocate (OCA) is directed to provide oversight and accountability for state agencies serving the Commonwealth’s most vulnerable youth. However, as discussed in the OCA recommendations</w:t>
      </w:r>
      <w:r>
        <w:rPr>
          <w:spacing w:val="-2"/>
        </w:rPr>
        <w:t xml:space="preserve"> </w:t>
      </w:r>
      <w:r>
        <w:t>below,</w:t>
      </w:r>
      <w:r>
        <w:rPr>
          <w:spacing w:val="-2"/>
        </w:rPr>
        <w:t xml:space="preserve"> </w:t>
      </w:r>
      <w:r>
        <w:t>the Commission has serious concerns a</w:t>
      </w:r>
      <w:r>
        <w:t>bout the OCA’s commitment to impartial and transparent accountability for the child welfare system.</w:t>
      </w:r>
    </w:p>
    <w:p w:rsidR="00200FDA" w:rsidRDefault="00200FDA">
      <w:pPr>
        <w:pStyle w:val="BodyText"/>
        <w:spacing w:before="5"/>
        <w:rPr>
          <w:sz w:val="19"/>
        </w:rPr>
      </w:pPr>
    </w:p>
    <w:p w:rsidR="00200FDA" w:rsidRDefault="00F76C4C">
      <w:pPr>
        <w:pStyle w:val="BodyText"/>
        <w:spacing w:line="264" w:lineRule="auto"/>
        <w:ind w:left="140" w:right="134"/>
        <w:jc w:val="both"/>
      </w:pPr>
      <w:r>
        <w:t xml:space="preserve">In Massachusetts, the child welfare Ombudsman is an employee of DCF charged with investigating complaint reports against DCF, leading to concerns from the </w:t>
      </w:r>
      <w:r>
        <w:t>Commission about the appropriate impartiality of the role. Additionally, foster case review occurs internally through DCF, leading to little external</w:t>
      </w:r>
      <w:r>
        <w:rPr>
          <w:spacing w:val="-5"/>
        </w:rPr>
        <w:t xml:space="preserve"> </w:t>
      </w:r>
      <w:r>
        <w:t>accountability</w:t>
      </w:r>
      <w:r>
        <w:rPr>
          <w:spacing w:val="-3"/>
        </w:rPr>
        <w:t xml:space="preserve"> </w:t>
      </w:r>
      <w:r>
        <w:t>to</w:t>
      </w:r>
      <w:r>
        <w:rPr>
          <w:spacing w:val="-3"/>
        </w:rPr>
        <w:t xml:space="preserve"> </w:t>
      </w:r>
      <w:r>
        <w:t>ensure</w:t>
      </w:r>
      <w:r>
        <w:rPr>
          <w:spacing w:val="-1"/>
        </w:rPr>
        <w:t xml:space="preserve"> </w:t>
      </w:r>
      <w:r>
        <w:t>that</w:t>
      </w:r>
      <w:r>
        <w:rPr>
          <w:spacing w:val="-4"/>
        </w:rPr>
        <w:t xml:space="preserve"> </w:t>
      </w:r>
      <w:r>
        <w:t>the</w:t>
      </w:r>
      <w:r>
        <w:rPr>
          <w:spacing w:val="-4"/>
        </w:rPr>
        <w:t xml:space="preserve"> </w:t>
      </w:r>
      <w:r>
        <w:t>well-being</w:t>
      </w:r>
      <w:r>
        <w:rPr>
          <w:spacing w:val="-5"/>
        </w:rPr>
        <w:t xml:space="preserve"> </w:t>
      </w:r>
      <w:r>
        <w:t>of</w:t>
      </w:r>
      <w:r>
        <w:rPr>
          <w:spacing w:val="-2"/>
        </w:rPr>
        <w:t xml:space="preserve"> </w:t>
      </w:r>
      <w:r>
        <w:t>youth</w:t>
      </w:r>
      <w:r>
        <w:rPr>
          <w:spacing w:val="-3"/>
        </w:rPr>
        <w:t xml:space="preserve"> </w:t>
      </w:r>
      <w:r>
        <w:t>in</w:t>
      </w:r>
      <w:r>
        <w:rPr>
          <w:spacing w:val="-5"/>
        </w:rPr>
        <w:t xml:space="preserve"> </w:t>
      </w:r>
      <w:r>
        <w:t>foster</w:t>
      </w:r>
      <w:r>
        <w:rPr>
          <w:spacing w:val="-5"/>
        </w:rPr>
        <w:t xml:space="preserve"> </w:t>
      </w:r>
      <w:r>
        <w:t>care</w:t>
      </w:r>
      <w:r>
        <w:rPr>
          <w:spacing w:val="-1"/>
        </w:rPr>
        <w:t xml:space="preserve"> </w:t>
      </w:r>
      <w:r>
        <w:t>is</w:t>
      </w:r>
      <w:r>
        <w:rPr>
          <w:spacing w:val="-4"/>
        </w:rPr>
        <w:t xml:space="preserve"> </w:t>
      </w:r>
      <w:r>
        <w:t>being</w:t>
      </w:r>
      <w:r>
        <w:rPr>
          <w:spacing w:val="-3"/>
        </w:rPr>
        <w:t xml:space="preserve"> </w:t>
      </w:r>
      <w:r>
        <w:t>protected.</w:t>
      </w:r>
      <w:r>
        <w:rPr>
          <w:spacing w:val="40"/>
        </w:rPr>
        <w:t xml:space="preserve"> </w:t>
      </w:r>
      <w:r>
        <w:t>To</w:t>
      </w:r>
      <w:r>
        <w:rPr>
          <w:spacing w:val="-3"/>
        </w:rPr>
        <w:t xml:space="preserve"> </w:t>
      </w:r>
      <w:r>
        <w:t>better address these concerns, the Commission recommends that the state implement an independent foster care review office - used by many other states across the U.S. - which would provide an opportunity to objectively</w:t>
      </w:r>
      <w:r>
        <w:rPr>
          <w:spacing w:val="73"/>
        </w:rPr>
        <w:t xml:space="preserve"> </w:t>
      </w:r>
      <w:r>
        <w:t>assess</w:t>
      </w:r>
      <w:r>
        <w:rPr>
          <w:spacing w:val="72"/>
        </w:rPr>
        <w:t xml:space="preserve"> </w:t>
      </w:r>
      <w:r>
        <w:t>each</w:t>
      </w:r>
      <w:r>
        <w:rPr>
          <w:spacing w:val="74"/>
        </w:rPr>
        <w:t xml:space="preserve"> </w:t>
      </w:r>
      <w:r>
        <w:t>child</w:t>
      </w:r>
      <w:r>
        <w:rPr>
          <w:spacing w:val="74"/>
        </w:rPr>
        <w:t xml:space="preserve"> </w:t>
      </w:r>
      <w:r>
        <w:t>welfare</w:t>
      </w:r>
      <w:r>
        <w:rPr>
          <w:spacing w:val="72"/>
        </w:rPr>
        <w:t xml:space="preserve"> </w:t>
      </w:r>
      <w:r>
        <w:t>case</w:t>
      </w:r>
      <w:r>
        <w:rPr>
          <w:spacing w:val="75"/>
        </w:rPr>
        <w:t xml:space="preserve"> </w:t>
      </w:r>
      <w:r>
        <w:t>and</w:t>
      </w:r>
      <w:r>
        <w:rPr>
          <w:spacing w:val="71"/>
        </w:rPr>
        <w:t xml:space="preserve"> </w:t>
      </w:r>
      <w:r>
        <w:t>ma</w:t>
      </w:r>
      <w:r>
        <w:t>ke</w:t>
      </w:r>
      <w:r>
        <w:rPr>
          <w:spacing w:val="75"/>
        </w:rPr>
        <w:t xml:space="preserve"> </w:t>
      </w:r>
      <w:r>
        <w:t>impartial</w:t>
      </w:r>
      <w:r>
        <w:rPr>
          <w:spacing w:val="72"/>
        </w:rPr>
        <w:t xml:space="preserve"> </w:t>
      </w:r>
      <w:r>
        <w:t>recommendations</w:t>
      </w:r>
      <w:r>
        <w:rPr>
          <w:spacing w:val="72"/>
        </w:rPr>
        <w:t xml:space="preserve"> </w:t>
      </w:r>
      <w:r>
        <w:t>to</w:t>
      </w:r>
      <w:r>
        <w:rPr>
          <w:spacing w:val="73"/>
        </w:rPr>
        <w:t xml:space="preserve"> </w:t>
      </w:r>
      <w:r>
        <w:t>all</w:t>
      </w:r>
      <w:r>
        <w:rPr>
          <w:spacing w:val="74"/>
        </w:rPr>
        <w:t xml:space="preserve"> </w:t>
      </w:r>
      <w:r>
        <w:t>relevant</w:t>
      </w:r>
    </w:p>
    <w:p w:rsidR="00200FDA" w:rsidRDefault="00200FDA">
      <w:pPr>
        <w:spacing w:line="264" w:lineRule="auto"/>
        <w:jc w:val="both"/>
        <w:sectPr w:rsidR="00200FDA">
          <w:pgSz w:w="12240" w:h="15840"/>
          <w:pgMar w:top="1360" w:right="1300" w:bottom="1240" w:left="1300" w:header="761" w:footer="1043" w:gutter="0"/>
          <w:cols w:space="720"/>
        </w:sectPr>
      </w:pPr>
    </w:p>
    <w:p w:rsidR="00200FDA" w:rsidRDefault="00F76C4C">
      <w:pPr>
        <w:pStyle w:val="BodyText"/>
        <w:spacing w:before="64" w:line="264" w:lineRule="auto"/>
        <w:ind w:left="139" w:right="133"/>
        <w:jc w:val="both"/>
      </w:pPr>
      <w:r>
        <w:lastRenderedPageBreak/>
        <w:t>stakeholders regarding the safety and well-being of youth in DCF. For LGBTQ youth, who are among the most vulnerable youth in foster care, the establishment of independent foster care review is par</w:t>
      </w:r>
      <w:r>
        <w:t>amount to protecting their well-being.</w:t>
      </w:r>
    </w:p>
    <w:p w:rsidR="00200FDA" w:rsidRDefault="00200FDA">
      <w:pPr>
        <w:pStyle w:val="BodyText"/>
        <w:spacing w:before="7"/>
        <w:rPr>
          <w:sz w:val="19"/>
        </w:rPr>
      </w:pPr>
    </w:p>
    <w:p w:rsidR="00200FDA" w:rsidRDefault="00F76C4C">
      <w:pPr>
        <w:pStyle w:val="BodyText"/>
        <w:spacing w:line="264" w:lineRule="auto"/>
        <w:ind w:left="139" w:right="134"/>
        <w:jc w:val="both"/>
      </w:pPr>
      <w:r>
        <w:t>In Massachusetts, Juvenile</w:t>
      </w:r>
      <w:r>
        <w:rPr>
          <w:spacing w:val="-4"/>
        </w:rPr>
        <w:t xml:space="preserve"> </w:t>
      </w:r>
      <w:r>
        <w:t>Court</w:t>
      </w:r>
      <w:r>
        <w:rPr>
          <w:spacing w:val="-1"/>
        </w:rPr>
        <w:t xml:space="preserve"> </w:t>
      </w:r>
      <w:r>
        <w:t>judges</w:t>
      </w:r>
      <w:r>
        <w:rPr>
          <w:spacing w:val="-2"/>
        </w:rPr>
        <w:t xml:space="preserve"> </w:t>
      </w:r>
      <w:r>
        <w:t>make</w:t>
      </w:r>
      <w:r>
        <w:rPr>
          <w:spacing w:val="-1"/>
        </w:rPr>
        <w:t xml:space="preserve"> </w:t>
      </w:r>
      <w:r>
        <w:t>decisions regarding the</w:t>
      </w:r>
      <w:r>
        <w:rPr>
          <w:spacing w:val="-1"/>
        </w:rPr>
        <w:t xml:space="preserve"> </w:t>
      </w:r>
      <w:r>
        <w:t>custody</w:t>
      </w:r>
      <w:r>
        <w:rPr>
          <w:spacing w:val="-1"/>
        </w:rPr>
        <w:t xml:space="preserve"> </w:t>
      </w:r>
      <w:r>
        <w:t>of</w:t>
      </w:r>
      <w:r>
        <w:rPr>
          <w:spacing w:val="-2"/>
        </w:rPr>
        <w:t xml:space="preserve"> </w:t>
      </w:r>
      <w:r>
        <w:t>children and</w:t>
      </w:r>
      <w:r>
        <w:rPr>
          <w:spacing w:val="-3"/>
        </w:rPr>
        <w:t xml:space="preserve"> </w:t>
      </w:r>
      <w:r>
        <w:t>youth,</w:t>
      </w:r>
      <w:r>
        <w:rPr>
          <w:spacing w:val="-2"/>
        </w:rPr>
        <w:t xml:space="preserve"> </w:t>
      </w:r>
      <w:r>
        <w:t>the termination</w:t>
      </w:r>
      <w:r>
        <w:rPr>
          <w:spacing w:val="-10"/>
        </w:rPr>
        <w:t xml:space="preserve"> </w:t>
      </w:r>
      <w:r>
        <w:t>of</w:t>
      </w:r>
      <w:r>
        <w:rPr>
          <w:spacing w:val="-7"/>
        </w:rPr>
        <w:t xml:space="preserve"> </w:t>
      </w:r>
      <w:r>
        <w:t>parental</w:t>
      </w:r>
      <w:r>
        <w:rPr>
          <w:spacing w:val="-7"/>
        </w:rPr>
        <w:t xml:space="preserve"> </w:t>
      </w:r>
      <w:r>
        <w:t>rights,</w:t>
      </w:r>
      <w:r>
        <w:rPr>
          <w:spacing w:val="-6"/>
        </w:rPr>
        <w:t xml:space="preserve"> </w:t>
      </w:r>
      <w:r>
        <w:t>guardianship,</w:t>
      </w:r>
      <w:r>
        <w:rPr>
          <w:spacing w:val="-7"/>
        </w:rPr>
        <w:t xml:space="preserve"> </w:t>
      </w:r>
      <w:r>
        <w:t>and</w:t>
      </w:r>
      <w:r>
        <w:rPr>
          <w:spacing w:val="-7"/>
        </w:rPr>
        <w:t xml:space="preserve"> </w:t>
      </w:r>
      <w:r>
        <w:t>adoption.</w:t>
      </w:r>
      <w:r>
        <w:rPr>
          <w:spacing w:val="-7"/>
        </w:rPr>
        <w:t xml:space="preserve"> </w:t>
      </w:r>
      <w:r>
        <w:t>However,</w:t>
      </w:r>
      <w:r>
        <w:rPr>
          <w:spacing w:val="-7"/>
        </w:rPr>
        <w:t xml:space="preserve"> </w:t>
      </w:r>
      <w:r>
        <w:t>due</w:t>
      </w:r>
      <w:r>
        <w:rPr>
          <w:spacing w:val="-6"/>
        </w:rPr>
        <w:t xml:space="preserve"> </w:t>
      </w:r>
      <w:r>
        <w:t>to</w:t>
      </w:r>
      <w:r>
        <w:rPr>
          <w:spacing w:val="-5"/>
        </w:rPr>
        <w:t xml:space="preserve"> </w:t>
      </w:r>
      <w:r>
        <w:t>several</w:t>
      </w:r>
      <w:r>
        <w:rPr>
          <w:spacing w:val="-7"/>
        </w:rPr>
        <w:t xml:space="preserve"> </w:t>
      </w:r>
      <w:r>
        <w:t>MA</w:t>
      </w:r>
      <w:r>
        <w:rPr>
          <w:spacing w:val="-7"/>
        </w:rPr>
        <w:t xml:space="preserve"> </w:t>
      </w:r>
      <w:r>
        <w:t>Supreme</w:t>
      </w:r>
      <w:r>
        <w:rPr>
          <w:spacing w:val="-6"/>
        </w:rPr>
        <w:t xml:space="preserve"> </w:t>
      </w:r>
      <w:r>
        <w:t>Judicial Court rulings, the legal standard to overcome DCF decisions is high, and Juvenile Court judges in Massachusetts</w:t>
      </w:r>
      <w:r>
        <w:rPr>
          <w:spacing w:val="-7"/>
        </w:rPr>
        <w:t xml:space="preserve"> </w:t>
      </w:r>
      <w:r>
        <w:t>have</w:t>
      </w:r>
      <w:r>
        <w:rPr>
          <w:spacing w:val="-4"/>
        </w:rPr>
        <w:t xml:space="preserve"> </w:t>
      </w:r>
      <w:r>
        <w:t>limited</w:t>
      </w:r>
      <w:r>
        <w:rPr>
          <w:spacing w:val="-5"/>
        </w:rPr>
        <w:t xml:space="preserve"> </w:t>
      </w:r>
      <w:r>
        <w:t>recourse</w:t>
      </w:r>
      <w:r>
        <w:rPr>
          <w:spacing w:val="-6"/>
        </w:rPr>
        <w:t xml:space="preserve"> </w:t>
      </w:r>
      <w:r>
        <w:t>on</w:t>
      </w:r>
      <w:r>
        <w:rPr>
          <w:spacing w:val="-8"/>
        </w:rPr>
        <w:t xml:space="preserve"> </w:t>
      </w:r>
      <w:r>
        <w:t>DCF’s</w:t>
      </w:r>
      <w:r>
        <w:rPr>
          <w:spacing w:val="-7"/>
        </w:rPr>
        <w:t xml:space="preserve"> </w:t>
      </w:r>
      <w:r>
        <w:t>actions.</w:t>
      </w:r>
      <w:r>
        <w:rPr>
          <w:spacing w:val="-5"/>
        </w:rPr>
        <w:t xml:space="preserve"> </w:t>
      </w:r>
      <w:r>
        <w:t>Additionally,</w:t>
      </w:r>
      <w:r>
        <w:rPr>
          <w:spacing w:val="-7"/>
        </w:rPr>
        <w:t xml:space="preserve"> </w:t>
      </w:r>
      <w:r>
        <w:t>it</w:t>
      </w:r>
      <w:r>
        <w:rPr>
          <w:spacing w:val="-6"/>
        </w:rPr>
        <w:t xml:space="preserve"> </w:t>
      </w:r>
      <w:r>
        <w:t>is</w:t>
      </w:r>
      <w:r>
        <w:rPr>
          <w:spacing w:val="-7"/>
        </w:rPr>
        <w:t xml:space="preserve"> </w:t>
      </w:r>
      <w:r>
        <w:t>the</w:t>
      </w:r>
      <w:r>
        <w:rPr>
          <w:spacing w:val="-4"/>
        </w:rPr>
        <w:t xml:space="preserve"> </w:t>
      </w:r>
      <w:r>
        <w:t>Commission’s</w:t>
      </w:r>
      <w:r>
        <w:rPr>
          <w:spacing w:val="-5"/>
        </w:rPr>
        <w:t xml:space="preserve"> </w:t>
      </w:r>
      <w:r>
        <w:t xml:space="preserve">understanding that the juvenile courts are suffering from </w:t>
      </w:r>
      <w:r>
        <w:t>a shortage of public defenders to represent children, youth, and parents when the court has granted custody to DCF</w:t>
      </w:r>
      <w:hyperlink r:id="rId80" w:anchor="heading%3Dh.nmf14n">
        <w:r>
          <w:t>;</w:t>
        </w:r>
        <w:r>
          <w:rPr>
            <w:vertAlign w:val="superscript"/>
          </w:rPr>
          <w:t>34</w:t>
        </w:r>
      </w:hyperlink>
      <w:r>
        <w:t xml:space="preserve"> these attorneys are h</w:t>
      </w:r>
      <w:r>
        <w:t>ired by the Committee for Public Counsel Services which the Commission has newly issued recommendations to for FY 2024. Further,</w:t>
      </w:r>
      <w:r>
        <w:rPr>
          <w:spacing w:val="-9"/>
        </w:rPr>
        <w:t xml:space="preserve"> </w:t>
      </w:r>
      <w:r>
        <w:t>many</w:t>
      </w:r>
      <w:r>
        <w:rPr>
          <w:spacing w:val="-8"/>
        </w:rPr>
        <w:t xml:space="preserve"> </w:t>
      </w:r>
      <w:r>
        <w:t>issues</w:t>
      </w:r>
      <w:r>
        <w:rPr>
          <w:spacing w:val="-9"/>
        </w:rPr>
        <w:t xml:space="preserve"> </w:t>
      </w:r>
      <w:r>
        <w:t>exist</w:t>
      </w:r>
      <w:r>
        <w:rPr>
          <w:spacing w:val="-8"/>
        </w:rPr>
        <w:t xml:space="preserve"> </w:t>
      </w:r>
      <w:r>
        <w:t>regarding</w:t>
      </w:r>
      <w:r>
        <w:rPr>
          <w:spacing w:val="-10"/>
        </w:rPr>
        <w:t xml:space="preserve"> </w:t>
      </w:r>
      <w:r>
        <w:t>the</w:t>
      </w:r>
      <w:r>
        <w:rPr>
          <w:spacing w:val="-8"/>
        </w:rPr>
        <w:t xml:space="preserve"> </w:t>
      </w:r>
      <w:r>
        <w:t>quality</w:t>
      </w:r>
      <w:r>
        <w:rPr>
          <w:spacing w:val="-8"/>
        </w:rPr>
        <w:t xml:space="preserve"> </w:t>
      </w:r>
      <w:r>
        <w:t>of</w:t>
      </w:r>
      <w:r>
        <w:rPr>
          <w:spacing w:val="-9"/>
        </w:rPr>
        <w:t xml:space="preserve"> </w:t>
      </w:r>
      <w:r>
        <w:t>the</w:t>
      </w:r>
      <w:r>
        <w:rPr>
          <w:spacing w:val="-8"/>
        </w:rPr>
        <w:t xml:space="preserve"> </w:t>
      </w:r>
      <w:r>
        <w:t>defense</w:t>
      </w:r>
      <w:r>
        <w:rPr>
          <w:spacing w:val="-8"/>
        </w:rPr>
        <w:t xml:space="preserve"> </w:t>
      </w:r>
      <w:r>
        <w:t>and</w:t>
      </w:r>
      <w:r>
        <w:rPr>
          <w:spacing w:val="-10"/>
        </w:rPr>
        <w:t xml:space="preserve"> </w:t>
      </w:r>
      <w:r>
        <w:t>the</w:t>
      </w:r>
      <w:r>
        <w:rPr>
          <w:spacing w:val="-8"/>
        </w:rPr>
        <w:t xml:space="preserve"> </w:t>
      </w:r>
      <w:r>
        <w:t>support</w:t>
      </w:r>
      <w:r>
        <w:rPr>
          <w:spacing w:val="-9"/>
        </w:rPr>
        <w:t xml:space="preserve"> </w:t>
      </w:r>
      <w:r>
        <w:t>youth</w:t>
      </w:r>
      <w:r>
        <w:rPr>
          <w:spacing w:val="-10"/>
        </w:rPr>
        <w:t xml:space="preserve"> </w:t>
      </w:r>
      <w:r>
        <w:t>and</w:t>
      </w:r>
      <w:r>
        <w:rPr>
          <w:spacing w:val="-10"/>
        </w:rPr>
        <w:t xml:space="preserve"> </w:t>
      </w:r>
      <w:r>
        <w:t>families</w:t>
      </w:r>
      <w:r>
        <w:rPr>
          <w:spacing w:val="-9"/>
        </w:rPr>
        <w:t xml:space="preserve"> </w:t>
      </w:r>
      <w:r>
        <w:t>receive from their assigned attorneys</w:t>
      </w:r>
      <w:r>
        <w:t>. Worse still, required hearings are not always held in a timely fashion, further distressing youth in custody.</w:t>
      </w:r>
    </w:p>
    <w:p w:rsidR="00200FDA" w:rsidRDefault="00200FDA">
      <w:pPr>
        <w:pStyle w:val="BodyText"/>
        <w:spacing w:before="8"/>
        <w:rPr>
          <w:sz w:val="19"/>
        </w:rPr>
      </w:pPr>
    </w:p>
    <w:p w:rsidR="00200FDA" w:rsidRDefault="00F76C4C">
      <w:pPr>
        <w:pStyle w:val="BodyText"/>
        <w:spacing w:before="1" w:line="264" w:lineRule="auto"/>
        <w:ind w:left="139" w:right="135"/>
        <w:jc w:val="both"/>
      </w:pPr>
      <w:r>
        <w:t>Additionally,</w:t>
      </w:r>
      <w:r>
        <w:rPr>
          <w:spacing w:val="-13"/>
        </w:rPr>
        <w:t xml:space="preserve"> </w:t>
      </w:r>
      <w:r>
        <w:t>the</w:t>
      </w:r>
      <w:r>
        <w:rPr>
          <w:spacing w:val="-12"/>
        </w:rPr>
        <w:t xml:space="preserve"> </w:t>
      </w:r>
      <w:r>
        <w:t>lack</w:t>
      </w:r>
      <w:r>
        <w:rPr>
          <w:spacing w:val="-13"/>
        </w:rPr>
        <w:t xml:space="preserve"> </w:t>
      </w:r>
      <w:r>
        <w:t>of</w:t>
      </w:r>
      <w:r>
        <w:rPr>
          <w:spacing w:val="-12"/>
        </w:rPr>
        <w:t xml:space="preserve"> </w:t>
      </w:r>
      <w:r>
        <w:t>transparency</w:t>
      </w:r>
      <w:r>
        <w:rPr>
          <w:spacing w:val="-13"/>
        </w:rPr>
        <w:t xml:space="preserve"> </w:t>
      </w:r>
      <w:r>
        <w:t>in</w:t>
      </w:r>
      <w:r>
        <w:rPr>
          <w:spacing w:val="-12"/>
        </w:rPr>
        <w:t xml:space="preserve"> </w:t>
      </w:r>
      <w:r>
        <w:t>Massachusetts</w:t>
      </w:r>
      <w:r>
        <w:rPr>
          <w:spacing w:val="-13"/>
        </w:rPr>
        <w:t xml:space="preserve"> </w:t>
      </w:r>
      <w:r>
        <w:t>resulting</w:t>
      </w:r>
      <w:r>
        <w:rPr>
          <w:spacing w:val="-12"/>
        </w:rPr>
        <w:t xml:space="preserve"> </w:t>
      </w:r>
      <w:r>
        <w:t>from</w:t>
      </w:r>
      <w:r>
        <w:rPr>
          <w:spacing w:val="-12"/>
        </w:rPr>
        <w:t xml:space="preserve"> </w:t>
      </w:r>
      <w:r>
        <w:t>weak</w:t>
      </w:r>
      <w:r>
        <w:rPr>
          <w:spacing w:val="-13"/>
        </w:rPr>
        <w:t xml:space="preserve"> </w:t>
      </w:r>
      <w:r>
        <w:t>or</w:t>
      </w:r>
      <w:r>
        <w:rPr>
          <w:spacing w:val="-12"/>
        </w:rPr>
        <w:t xml:space="preserve"> </w:t>
      </w:r>
      <w:r>
        <w:t>nonexistent</w:t>
      </w:r>
      <w:r>
        <w:rPr>
          <w:spacing w:val="-13"/>
        </w:rPr>
        <w:t xml:space="preserve"> </w:t>
      </w:r>
      <w:r>
        <w:t>public</w:t>
      </w:r>
      <w:r>
        <w:rPr>
          <w:spacing w:val="-12"/>
        </w:rPr>
        <w:t xml:space="preserve"> </w:t>
      </w:r>
      <w:r>
        <w:t>meeting and public records laws further perpetuates the dysfunction of systems serving vulnerable children. Citizens, advocates, and the media often cannot access records related to the content of important meetings, nor can the public access voting record</w:t>
      </w:r>
      <w:r>
        <w:t>s in many state-agency hearings. The COVID pandemic has</w:t>
      </w:r>
      <w:r>
        <w:rPr>
          <w:spacing w:val="-3"/>
        </w:rPr>
        <w:t xml:space="preserve"> </w:t>
      </w:r>
      <w:r>
        <w:t>also</w:t>
      </w:r>
      <w:r>
        <w:rPr>
          <w:spacing w:val="-2"/>
        </w:rPr>
        <w:t xml:space="preserve"> </w:t>
      </w:r>
      <w:r>
        <w:t>compromised</w:t>
      </w:r>
      <w:r>
        <w:rPr>
          <w:spacing w:val="-4"/>
        </w:rPr>
        <w:t xml:space="preserve"> </w:t>
      </w:r>
      <w:r>
        <w:t>transparency.</w:t>
      </w:r>
      <w:r>
        <w:rPr>
          <w:spacing w:val="-4"/>
        </w:rPr>
        <w:t xml:space="preserve"> </w:t>
      </w:r>
      <w:r>
        <w:t>The</w:t>
      </w:r>
      <w:r>
        <w:rPr>
          <w:spacing w:val="-3"/>
        </w:rPr>
        <w:t xml:space="preserve"> </w:t>
      </w:r>
      <w:r>
        <w:t>deleterious</w:t>
      </w:r>
      <w:r>
        <w:rPr>
          <w:spacing w:val="-6"/>
        </w:rPr>
        <w:t xml:space="preserve"> </w:t>
      </w:r>
      <w:r>
        <w:t>effects</w:t>
      </w:r>
      <w:r>
        <w:rPr>
          <w:spacing w:val="-6"/>
        </w:rPr>
        <w:t xml:space="preserve"> </w:t>
      </w:r>
      <w:r>
        <w:t>of</w:t>
      </w:r>
      <w:r>
        <w:rPr>
          <w:spacing w:val="-4"/>
        </w:rPr>
        <w:t xml:space="preserve"> </w:t>
      </w:r>
      <w:r>
        <w:t>the</w:t>
      </w:r>
      <w:r>
        <w:rPr>
          <w:spacing w:val="-3"/>
        </w:rPr>
        <w:t xml:space="preserve"> </w:t>
      </w:r>
      <w:r>
        <w:t>pandemic</w:t>
      </w:r>
      <w:r>
        <w:rPr>
          <w:spacing w:val="-6"/>
        </w:rPr>
        <w:t xml:space="preserve"> </w:t>
      </w:r>
      <w:r>
        <w:t>on</w:t>
      </w:r>
      <w:r>
        <w:rPr>
          <w:spacing w:val="-4"/>
        </w:rPr>
        <w:t xml:space="preserve"> </w:t>
      </w:r>
      <w:r>
        <w:t>the</w:t>
      </w:r>
      <w:r>
        <w:rPr>
          <w:spacing w:val="-3"/>
        </w:rPr>
        <w:t xml:space="preserve"> </w:t>
      </w:r>
      <w:r>
        <w:t>well-being</w:t>
      </w:r>
      <w:r>
        <w:rPr>
          <w:spacing w:val="-4"/>
        </w:rPr>
        <w:t xml:space="preserve"> </w:t>
      </w:r>
      <w:r>
        <w:t>of</w:t>
      </w:r>
      <w:r>
        <w:rPr>
          <w:spacing w:val="-6"/>
        </w:rPr>
        <w:t xml:space="preserve"> </w:t>
      </w:r>
      <w:r>
        <w:t>LGBTQ youth, particularly system-involved youth, continue to alarm those who serve them. However, all too of</w:t>
      </w:r>
      <w:r>
        <w:t>ten</w:t>
      </w:r>
      <w:r>
        <w:rPr>
          <w:spacing w:val="-12"/>
        </w:rPr>
        <w:t xml:space="preserve"> </w:t>
      </w:r>
      <w:r>
        <w:t>in</w:t>
      </w:r>
      <w:r>
        <w:rPr>
          <w:spacing w:val="-12"/>
        </w:rPr>
        <w:t xml:space="preserve"> </w:t>
      </w:r>
      <w:r>
        <w:t>recent</w:t>
      </w:r>
      <w:r>
        <w:rPr>
          <w:spacing w:val="-11"/>
        </w:rPr>
        <w:t xml:space="preserve"> </w:t>
      </w:r>
      <w:r>
        <w:t>months,</w:t>
      </w:r>
      <w:r>
        <w:rPr>
          <w:spacing w:val="-13"/>
        </w:rPr>
        <w:t xml:space="preserve"> </w:t>
      </w:r>
      <w:r>
        <w:t>officials</w:t>
      </w:r>
      <w:r>
        <w:rPr>
          <w:spacing w:val="-10"/>
        </w:rPr>
        <w:t xml:space="preserve"> </w:t>
      </w:r>
      <w:r>
        <w:t>have</w:t>
      </w:r>
      <w:r>
        <w:rPr>
          <w:spacing w:val="-11"/>
        </w:rPr>
        <w:t xml:space="preserve"> </w:t>
      </w:r>
      <w:r>
        <w:t>claimed</w:t>
      </w:r>
      <w:r>
        <w:rPr>
          <w:spacing w:val="-12"/>
        </w:rPr>
        <w:t xml:space="preserve"> </w:t>
      </w:r>
      <w:r>
        <w:t>the</w:t>
      </w:r>
      <w:r>
        <w:rPr>
          <w:spacing w:val="-11"/>
        </w:rPr>
        <w:t xml:space="preserve"> </w:t>
      </w:r>
      <w:r>
        <w:t>COVID</w:t>
      </w:r>
      <w:r>
        <w:rPr>
          <w:spacing w:val="-10"/>
        </w:rPr>
        <w:t xml:space="preserve"> </w:t>
      </w:r>
      <w:r>
        <w:t>pandemic</w:t>
      </w:r>
      <w:r>
        <w:rPr>
          <w:spacing w:val="-11"/>
        </w:rPr>
        <w:t xml:space="preserve"> </w:t>
      </w:r>
      <w:r>
        <w:t>as</w:t>
      </w:r>
      <w:r>
        <w:rPr>
          <w:spacing w:val="-11"/>
        </w:rPr>
        <w:t xml:space="preserve"> </w:t>
      </w:r>
      <w:r>
        <w:t>a</w:t>
      </w:r>
      <w:r>
        <w:rPr>
          <w:spacing w:val="-12"/>
        </w:rPr>
        <w:t xml:space="preserve"> </w:t>
      </w:r>
      <w:r>
        <w:t>smokescreen</w:t>
      </w:r>
      <w:r>
        <w:rPr>
          <w:spacing w:val="-12"/>
        </w:rPr>
        <w:t xml:space="preserve"> </w:t>
      </w:r>
      <w:r>
        <w:t>for</w:t>
      </w:r>
      <w:r>
        <w:rPr>
          <w:spacing w:val="-11"/>
        </w:rPr>
        <w:t xml:space="preserve"> </w:t>
      </w:r>
      <w:r>
        <w:t>failing</w:t>
      </w:r>
      <w:r>
        <w:rPr>
          <w:spacing w:val="-12"/>
        </w:rPr>
        <w:t xml:space="preserve"> </w:t>
      </w:r>
      <w:r>
        <w:t>to</w:t>
      </w:r>
      <w:r>
        <w:rPr>
          <w:spacing w:val="-10"/>
        </w:rPr>
        <w:t xml:space="preserve"> </w:t>
      </w:r>
      <w:r>
        <w:t>address issues</w:t>
      </w:r>
      <w:r>
        <w:rPr>
          <w:spacing w:val="-13"/>
        </w:rPr>
        <w:t xml:space="preserve"> </w:t>
      </w:r>
      <w:r>
        <w:t>in</w:t>
      </w:r>
      <w:r>
        <w:rPr>
          <w:spacing w:val="-12"/>
        </w:rPr>
        <w:t xml:space="preserve"> </w:t>
      </w:r>
      <w:r>
        <w:t>state</w:t>
      </w:r>
      <w:r>
        <w:rPr>
          <w:spacing w:val="-13"/>
        </w:rPr>
        <w:t xml:space="preserve"> </w:t>
      </w:r>
      <w:r>
        <w:t>government</w:t>
      </w:r>
      <w:r>
        <w:rPr>
          <w:spacing w:val="-12"/>
        </w:rPr>
        <w:t xml:space="preserve"> </w:t>
      </w:r>
      <w:r>
        <w:t>agencies</w:t>
      </w:r>
      <w:r>
        <w:rPr>
          <w:spacing w:val="-12"/>
        </w:rPr>
        <w:t xml:space="preserve"> </w:t>
      </w:r>
      <w:r>
        <w:t>that</w:t>
      </w:r>
      <w:r>
        <w:rPr>
          <w:spacing w:val="-11"/>
        </w:rPr>
        <w:t xml:space="preserve"> </w:t>
      </w:r>
      <w:r>
        <w:t>existed</w:t>
      </w:r>
      <w:r>
        <w:rPr>
          <w:spacing w:val="-12"/>
        </w:rPr>
        <w:t xml:space="preserve"> </w:t>
      </w:r>
      <w:r>
        <w:t>long</w:t>
      </w:r>
      <w:r>
        <w:rPr>
          <w:spacing w:val="-12"/>
        </w:rPr>
        <w:t xml:space="preserve"> </w:t>
      </w:r>
      <w:r>
        <w:t>before</w:t>
      </w:r>
      <w:r>
        <w:rPr>
          <w:spacing w:val="-13"/>
        </w:rPr>
        <w:t xml:space="preserve"> </w:t>
      </w:r>
      <w:r>
        <w:t>the</w:t>
      </w:r>
      <w:r>
        <w:rPr>
          <w:spacing w:val="-11"/>
        </w:rPr>
        <w:t xml:space="preserve"> </w:t>
      </w:r>
      <w:r>
        <w:t>pandemic.</w:t>
      </w:r>
      <w:r>
        <w:rPr>
          <w:spacing w:val="-13"/>
        </w:rPr>
        <w:t xml:space="preserve"> </w:t>
      </w:r>
      <w:r>
        <w:t>The</w:t>
      </w:r>
      <w:r>
        <w:rPr>
          <w:spacing w:val="-11"/>
        </w:rPr>
        <w:t xml:space="preserve"> </w:t>
      </w:r>
      <w:r>
        <w:t>Commission</w:t>
      </w:r>
      <w:r>
        <w:rPr>
          <w:spacing w:val="-12"/>
        </w:rPr>
        <w:t xml:space="preserve"> </w:t>
      </w:r>
      <w:r>
        <w:t>recommends that</w:t>
      </w:r>
      <w:r>
        <w:rPr>
          <w:spacing w:val="-4"/>
        </w:rPr>
        <w:t xml:space="preserve"> </w:t>
      </w:r>
      <w:r>
        <w:t>Massachusetts</w:t>
      </w:r>
      <w:r>
        <w:rPr>
          <w:spacing w:val="-4"/>
        </w:rPr>
        <w:t xml:space="preserve"> </w:t>
      </w:r>
      <w:r>
        <w:t>examine</w:t>
      </w:r>
      <w:r>
        <w:rPr>
          <w:spacing w:val="-2"/>
        </w:rPr>
        <w:t xml:space="preserve"> </w:t>
      </w:r>
      <w:r>
        <w:t>how</w:t>
      </w:r>
      <w:r>
        <w:rPr>
          <w:spacing w:val="-4"/>
        </w:rPr>
        <w:t xml:space="preserve"> </w:t>
      </w:r>
      <w:r>
        <w:t>it</w:t>
      </w:r>
      <w:r>
        <w:rPr>
          <w:spacing w:val="-4"/>
        </w:rPr>
        <w:t xml:space="preserve"> </w:t>
      </w:r>
      <w:r>
        <w:t>can</w:t>
      </w:r>
      <w:r>
        <w:rPr>
          <w:spacing w:val="-5"/>
        </w:rPr>
        <w:t xml:space="preserve"> </w:t>
      </w:r>
      <w:r>
        <w:t>increase</w:t>
      </w:r>
      <w:r>
        <w:rPr>
          <w:spacing w:val="-4"/>
        </w:rPr>
        <w:t xml:space="preserve"> </w:t>
      </w:r>
      <w:r>
        <w:t>state</w:t>
      </w:r>
      <w:r>
        <w:rPr>
          <w:spacing w:val="-6"/>
        </w:rPr>
        <w:t xml:space="preserve"> </w:t>
      </w:r>
      <w:r>
        <w:t>and</w:t>
      </w:r>
      <w:r>
        <w:rPr>
          <w:spacing w:val="-3"/>
        </w:rPr>
        <w:t xml:space="preserve"> </w:t>
      </w:r>
      <w:r>
        <w:t>local</w:t>
      </w:r>
      <w:r>
        <w:rPr>
          <w:spacing w:val="-4"/>
        </w:rPr>
        <w:t xml:space="preserve"> </w:t>
      </w:r>
      <w:r>
        <w:t>government</w:t>
      </w:r>
      <w:r>
        <w:rPr>
          <w:spacing w:val="-4"/>
        </w:rPr>
        <w:t xml:space="preserve"> </w:t>
      </w:r>
      <w:r>
        <w:t>transparency</w:t>
      </w:r>
      <w:r>
        <w:rPr>
          <w:spacing w:val="-3"/>
        </w:rPr>
        <w:t xml:space="preserve"> </w:t>
      </w:r>
      <w:r>
        <w:t>to</w:t>
      </w:r>
      <w:r>
        <w:rPr>
          <w:spacing w:val="-2"/>
        </w:rPr>
        <w:t xml:space="preserve"> </w:t>
      </w:r>
      <w:r>
        <w:t>better</w:t>
      </w:r>
      <w:r>
        <w:rPr>
          <w:spacing w:val="-4"/>
        </w:rPr>
        <w:t xml:space="preserve"> </w:t>
      </w:r>
      <w:r>
        <w:t>offer avenues of accountability on behalf of youth.</w:t>
      </w:r>
    </w:p>
    <w:p w:rsidR="00200FDA" w:rsidRDefault="00200FDA">
      <w:pPr>
        <w:pStyle w:val="BodyText"/>
        <w:spacing w:before="10"/>
        <w:rPr>
          <w:sz w:val="32"/>
        </w:rPr>
      </w:pPr>
    </w:p>
    <w:p w:rsidR="00200FDA" w:rsidRDefault="00F76C4C">
      <w:pPr>
        <w:pStyle w:val="Heading7"/>
        <w:spacing w:before="1"/>
        <w:ind w:left="140"/>
        <w:jc w:val="both"/>
      </w:pPr>
      <w:r>
        <w:pict>
          <v:rect id="docshape150" o:spid="_x0000_s1407" style="position:absolute;left:0;text-align:left;margin-left:70.55pt;margin-top:18.05pt;width:470.9pt;height:.5pt;z-index:-15718400;mso-wrap-distance-left:0;mso-wrap-distance-right:0;mso-position-horizontal-relative:page" fillcolor="#4f81bc" stroked="f">
            <w10:wrap type="topAndBottom" anchorx="page"/>
          </v:rect>
        </w:pict>
      </w:r>
      <w:bookmarkStart w:id="75" w:name="In_Conclusion:_Helping_All_Youth_Thrive,"/>
      <w:bookmarkEnd w:id="75"/>
      <w:r>
        <w:rPr>
          <w:color w:val="365F91"/>
        </w:rPr>
        <w:t>In</w:t>
      </w:r>
      <w:r>
        <w:rPr>
          <w:color w:val="365F91"/>
          <w:spacing w:val="-10"/>
        </w:rPr>
        <w:t xml:space="preserve"> </w:t>
      </w:r>
      <w:r>
        <w:rPr>
          <w:color w:val="365F91"/>
        </w:rPr>
        <w:t>Conclusion:</w:t>
      </w:r>
      <w:r>
        <w:rPr>
          <w:color w:val="365F91"/>
          <w:spacing w:val="-6"/>
        </w:rPr>
        <w:t xml:space="preserve"> </w:t>
      </w:r>
      <w:r>
        <w:rPr>
          <w:color w:val="365F91"/>
        </w:rPr>
        <w:t>Helping</w:t>
      </w:r>
      <w:r>
        <w:rPr>
          <w:color w:val="365F91"/>
          <w:spacing w:val="-6"/>
        </w:rPr>
        <w:t xml:space="preserve"> </w:t>
      </w:r>
      <w:r>
        <w:rPr>
          <w:color w:val="365F91"/>
        </w:rPr>
        <w:t>All</w:t>
      </w:r>
      <w:r>
        <w:rPr>
          <w:color w:val="365F91"/>
          <w:spacing w:val="-6"/>
        </w:rPr>
        <w:t xml:space="preserve"> </w:t>
      </w:r>
      <w:r>
        <w:rPr>
          <w:color w:val="365F91"/>
        </w:rPr>
        <w:t>Youth</w:t>
      </w:r>
      <w:r>
        <w:rPr>
          <w:color w:val="365F91"/>
          <w:spacing w:val="-7"/>
        </w:rPr>
        <w:t xml:space="preserve"> </w:t>
      </w:r>
      <w:r>
        <w:rPr>
          <w:color w:val="365F91"/>
        </w:rPr>
        <w:t>Thrive,</w:t>
      </w:r>
      <w:r>
        <w:rPr>
          <w:color w:val="365F91"/>
          <w:spacing w:val="-6"/>
        </w:rPr>
        <w:t xml:space="preserve"> </w:t>
      </w:r>
      <w:r>
        <w:rPr>
          <w:color w:val="365F91"/>
        </w:rPr>
        <w:t>From</w:t>
      </w:r>
      <w:r>
        <w:rPr>
          <w:color w:val="365F91"/>
          <w:spacing w:val="-7"/>
        </w:rPr>
        <w:t xml:space="preserve"> </w:t>
      </w:r>
      <w:r>
        <w:rPr>
          <w:color w:val="365F91"/>
        </w:rPr>
        <w:t>Understanding</w:t>
      </w:r>
      <w:r>
        <w:rPr>
          <w:color w:val="365F91"/>
          <w:spacing w:val="-6"/>
        </w:rPr>
        <w:t xml:space="preserve"> </w:t>
      </w:r>
      <w:r>
        <w:rPr>
          <w:color w:val="365F91"/>
        </w:rPr>
        <w:t>to</w:t>
      </w:r>
      <w:r>
        <w:rPr>
          <w:color w:val="365F91"/>
          <w:spacing w:val="-5"/>
        </w:rPr>
        <w:t xml:space="preserve"> </w:t>
      </w:r>
      <w:r>
        <w:rPr>
          <w:color w:val="365F91"/>
          <w:spacing w:val="-2"/>
        </w:rPr>
        <w:t>Legislation</w:t>
      </w:r>
    </w:p>
    <w:p w:rsidR="00200FDA" w:rsidRDefault="00200FDA">
      <w:pPr>
        <w:pStyle w:val="BodyText"/>
        <w:rPr>
          <w:sz w:val="20"/>
        </w:rPr>
      </w:pPr>
    </w:p>
    <w:p w:rsidR="00200FDA" w:rsidRDefault="00200FDA">
      <w:pPr>
        <w:pStyle w:val="BodyText"/>
        <w:spacing w:before="3"/>
        <w:rPr>
          <w:sz w:val="17"/>
        </w:rPr>
      </w:pPr>
    </w:p>
    <w:p w:rsidR="00200FDA" w:rsidRDefault="00F76C4C">
      <w:pPr>
        <w:pStyle w:val="BodyText"/>
        <w:spacing w:line="264" w:lineRule="auto"/>
        <w:ind w:left="140" w:right="134"/>
        <w:jc w:val="both"/>
      </w:pPr>
      <w:r>
        <w:t>The Commission appreciates the ongoing work of</w:t>
      </w:r>
      <w:r>
        <w:rPr>
          <w:spacing w:val="-2"/>
        </w:rPr>
        <w:t xml:space="preserve"> </w:t>
      </w:r>
      <w:r>
        <w:t>youth, families, advocates, agencies, and legislators to comprehensively address systemic barriers that prevent all youth from thriving in the Commonwealth. However, as discussed in this section, and throughout this annual report, the state must broaden it</w:t>
      </w:r>
      <w:r>
        <w:t xml:space="preserve">s understanding of what it means to </w:t>
      </w:r>
      <w:r>
        <w:rPr>
          <w:i/>
        </w:rPr>
        <w:t>thrive</w:t>
      </w:r>
      <w:r>
        <w:t xml:space="preserve">, and the role of state government and agencies within this </w:t>
      </w:r>
      <w:r>
        <w:rPr>
          <w:spacing w:val="-2"/>
        </w:rPr>
        <w:t>framework.</w:t>
      </w:r>
    </w:p>
    <w:p w:rsidR="00200FDA" w:rsidRDefault="00200FDA">
      <w:pPr>
        <w:pStyle w:val="BodyText"/>
      </w:pPr>
    </w:p>
    <w:p w:rsidR="00200FDA" w:rsidRDefault="00F76C4C">
      <w:pPr>
        <w:pStyle w:val="Heading7"/>
        <w:spacing w:before="134"/>
        <w:ind w:left="140"/>
        <w:jc w:val="both"/>
      </w:pPr>
      <w:r>
        <w:pict>
          <v:rect id="docshape151" o:spid="_x0000_s1406" style="position:absolute;left:0;text-align:left;margin-left:70.55pt;margin-top:24.7pt;width:470.9pt;height:.5pt;z-index:-15717888;mso-wrap-distance-left:0;mso-wrap-distance-right:0;mso-position-horizontal-relative:page" fillcolor="#4f81bc" stroked="f">
            <w10:wrap type="topAndBottom" anchorx="page"/>
          </v:rect>
        </w:pict>
      </w:r>
      <w:bookmarkStart w:id="76" w:name="Acknowledgments_&amp;_Endnotes"/>
      <w:bookmarkEnd w:id="76"/>
      <w:r>
        <w:rPr>
          <w:color w:val="365F91"/>
        </w:rPr>
        <w:t>Acknowledgments</w:t>
      </w:r>
      <w:r>
        <w:rPr>
          <w:color w:val="365F91"/>
          <w:spacing w:val="-9"/>
        </w:rPr>
        <w:t xml:space="preserve"> </w:t>
      </w:r>
      <w:r>
        <w:rPr>
          <w:color w:val="365F91"/>
        </w:rPr>
        <w:t>&amp;</w:t>
      </w:r>
      <w:r>
        <w:rPr>
          <w:color w:val="365F91"/>
          <w:spacing w:val="-8"/>
        </w:rPr>
        <w:t xml:space="preserve"> </w:t>
      </w:r>
      <w:r>
        <w:rPr>
          <w:color w:val="365F91"/>
          <w:spacing w:val="-2"/>
        </w:rPr>
        <w:t>Endnotes</w:t>
      </w:r>
    </w:p>
    <w:p w:rsidR="00200FDA" w:rsidRDefault="00200FDA">
      <w:pPr>
        <w:pStyle w:val="BodyText"/>
        <w:rPr>
          <w:sz w:val="20"/>
        </w:rPr>
      </w:pPr>
    </w:p>
    <w:p w:rsidR="00200FDA" w:rsidRDefault="00200FDA">
      <w:pPr>
        <w:pStyle w:val="BodyText"/>
        <w:spacing w:before="3"/>
        <w:rPr>
          <w:sz w:val="17"/>
        </w:rPr>
      </w:pPr>
    </w:p>
    <w:p w:rsidR="00200FDA" w:rsidRDefault="00F76C4C">
      <w:pPr>
        <w:ind w:left="140"/>
        <w:rPr>
          <w:i/>
        </w:rPr>
      </w:pPr>
      <w:r>
        <w:rPr>
          <w:i/>
        </w:rPr>
        <w:t>Acknowledgements:</w:t>
      </w:r>
      <w:r>
        <w:rPr>
          <w:i/>
          <w:spacing w:val="-8"/>
        </w:rPr>
        <w:t xml:space="preserve"> </w:t>
      </w:r>
      <w:r>
        <w:rPr>
          <w:i/>
        </w:rPr>
        <w:t>Joan</w:t>
      </w:r>
      <w:r>
        <w:rPr>
          <w:i/>
          <w:spacing w:val="-6"/>
        </w:rPr>
        <w:t xml:space="preserve"> </w:t>
      </w:r>
      <w:r>
        <w:rPr>
          <w:i/>
        </w:rPr>
        <w:t>Montgomery</w:t>
      </w:r>
      <w:r>
        <w:rPr>
          <w:i/>
          <w:spacing w:val="-4"/>
        </w:rPr>
        <w:t xml:space="preserve"> </w:t>
      </w:r>
      <w:r>
        <w:rPr>
          <w:i/>
        </w:rPr>
        <w:t>Halford,</w:t>
      </w:r>
      <w:r>
        <w:rPr>
          <w:i/>
          <w:spacing w:val="-7"/>
        </w:rPr>
        <w:t xml:space="preserve"> </w:t>
      </w:r>
      <w:r>
        <w:rPr>
          <w:i/>
        </w:rPr>
        <w:t>lead</w:t>
      </w:r>
      <w:r>
        <w:rPr>
          <w:i/>
          <w:spacing w:val="-7"/>
        </w:rPr>
        <w:t xml:space="preserve"> </w:t>
      </w:r>
      <w:r>
        <w:rPr>
          <w:i/>
        </w:rPr>
        <w:t>researcher</w:t>
      </w:r>
      <w:r>
        <w:rPr>
          <w:i/>
          <w:spacing w:val="-6"/>
        </w:rPr>
        <w:t xml:space="preserve"> </w:t>
      </w:r>
      <w:r>
        <w:rPr>
          <w:i/>
        </w:rPr>
        <w:t>and</w:t>
      </w:r>
      <w:r>
        <w:rPr>
          <w:i/>
          <w:spacing w:val="-5"/>
        </w:rPr>
        <w:t xml:space="preserve"> </w:t>
      </w:r>
      <w:r>
        <w:rPr>
          <w:i/>
          <w:spacing w:val="-2"/>
        </w:rPr>
        <w:t>author</w:t>
      </w:r>
    </w:p>
    <w:p w:rsidR="00200FDA" w:rsidRDefault="00200FDA">
      <w:pPr>
        <w:pStyle w:val="BodyText"/>
        <w:spacing w:before="3"/>
        <w:rPr>
          <w:i/>
          <w:sz w:val="32"/>
        </w:rPr>
      </w:pPr>
    </w:p>
    <w:p w:rsidR="00200FDA" w:rsidRDefault="00F76C4C">
      <w:pPr>
        <w:ind w:left="139" w:right="607"/>
        <w:rPr>
          <w:sz w:val="18"/>
        </w:rPr>
      </w:pPr>
      <w:bookmarkStart w:id="77" w:name="_bookmark6"/>
      <w:bookmarkEnd w:id="77"/>
      <w:r>
        <w:rPr>
          <w:position w:val="5"/>
          <w:sz w:val="12"/>
        </w:rPr>
        <w:t>1</w:t>
      </w:r>
      <w:r>
        <w:rPr>
          <w:spacing w:val="10"/>
          <w:position w:val="5"/>
          <w:sz w:val="12"/>
        </w:rPr>
        <w:t xml:space="preserve"> </w:t>
      </w:r>
      <w:hyperlink r:id="rId81">
        <w:r>
          <w:rPr>
            <w:sz w:val="18"/>
          </w:rPr>
          <w:t>Office</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United</w:t>
        </w:r>
        <w:r>
          <w:rPr>
            <w:spacing w:val="-1"/>
            <w:sz w:val="18"/>
          </w:rPr>
          <w:t xml:space="preserve"> </w:t>
        </w:r>
        <w:r>
          <w:rPr>
            <w:sz w:val="18"/>
          </w:rPr>
          <w:t>Nations</w:t>
        </w:r>
        <w:r>
          <w:rPr>
            <w:spacing w:val="-3"/>
            <w:sz w:val="18"/>
          </w:rPr>
          <w:t xml:space="preserve"> </w:t>
        </w:r>
        <w:r>
          <w:rPr>
            <w:sz w:val="18"/>
          </w:rPr>
          <w:t>High</w:t>
        </w:r>
        <w:r>
          <w:rPr>
            <w:spacing w:val="-3"/>
            <w:sz w:val="18"/>
          </w:rPr>
          <w:t xml:space="preserve"> </w:t>
        </w:r>
        <w:r>
          <w:rPr>
            <w:sz w:val="18"/>
          </w:rPr>
          <w:t>Commissioner</w:t>
        </w:r>
        <w:r>
          <w:rPr>
            <w:spacing w:val="-3"/>
            <w:sz w:val="18"/>
          </w:rPr>
          <w:t xml:space="preserve"> </w:t>
        </w:r>
        <w:r>
          <w:rPr>
            <w:sz w:val="18"/>
          </w:rPr>
          <w:t>for</w:t>
        </w:r>
        <w:r>
          <w:rPr>
            <w:spacing w:val="-3"/>
            <w:sz w:val="18"/>
          </w:rPr>
          <w:t xml:space="preserve"> </w:t>
        </w:r>
        <w:r>
          <w:rPr>
            <w:sz w:val="18"/>
          </w:rPr>
          <w:t>Human</w:t>
        </w:r>
        <w:r>
          <w:rPr>
            <w:spacing w:val="-3"/>
            <w:sz w:val="18"/>
          </w:rPr>
          <w:t xml:space="preserve"> </w:t>
        </w:r>
        <w:r>
          <w:rPr>
            <w:sz w:val="18"/>
          </w:rPr>
          <w:t>Rights,</w:t>
        </w:r>
        <w:r>
          <w:rPr>
            <w:spacing w:val="-2"/>
            <w:sz w:val="18"/>
          </w:rPr>
          <w:t xml:space="preserve"> </w:t>
        </w:r>
        <w:r>
          <w:rPr>
            <w:sz w:val="18"/>
          </w:rPr>
          <w:t>“Convention</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Rights</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Child,”</w:t>
        </w:r>
        <w:r>
          <w:rPr>
            <w:spacing w:val="-3"/>
            <w:sz w:val="18"/>
          </w:rPr>
          <w:t xml:space="preserve"> </w:t>
        </w:r>
        <w:r>
          <w:rPr>
            <w:sz w:val="18"/>
          </w:rPr>
          <w:t>Office</w:t>
        </w:r>
        <w:r>
          <w:rPr>
            <w:spacing w:val="-3"/>
            <w:sz w:val="18"/>
          </w:rPr>
          <w:t xml:space="preserve"> </w:t>
        </w:r>
        <w:r>
          <w:rPr>
            <w:sz w:val="18"/>
          </w:rPr>
          <w:t>of</w:t>
        </w:r>
        <w:r>
          <w:rPr>
            <w:spacing w:val="-2"/>
            <w:sz w:val="18"/>
          </w:rPr>
          <w:t xml:space="preserve"> </w:t>
        </w:r>
        <w:r>
          <w:rPr>
            <w:sz w:val="18"/>
          </w:rPr>
          <w:t>the</w:t>
        </w:r>
      </w:hyperlink>
      <w:r>
        <w:rPr>
          <w:sz w:val="18"/>
        </w:rPr>
        <w:t xml:space="preserve"> </w:t>
      </w:r>
      <w:hyperlink r:id="rId82">
        <w:r>
          <w:rPr>
            <w:sz w:val="18"/>
          </w:rPr>
          <w:t>United Nations High Commissioner for Human Rights, March 2023, https://www.ohchr.org/en/instruments-</w:t>
        </w:r>
      </w:hyperlink>
      <w:r>
        <w:rPr>
          <w:sz w:val="18"/>
        </w:rPr>
        <w:t xml:space="preserve"> </w:t>
      </w:r>
      <w:hyperlink r:id="rId83">
        <w:r>
          <w:rPr>
            <w:spacing w:val="-2"/>
            <w:sz w:val="18"/>
          </w:rPr>
          <w:t>mechanisms/instruments/convention-rights-child.</w:t>
        </w:r>
      </w:hyperlink>
    </w:p>
    <w:p w:rsidR="00200FDA" w:rsidRDefault="00F76C4C">
      <w:pPr>
        <w:spacing w:before="1"/>
        <w:ind w:left="140" w:right="218" w:hanging="1"/>
        <w:rPr>
          <w:sz w:val="18"/>
        </w:rPr>
      </w:pPr>
      <w:bookmarkStart w:id="78" w:name="_bookmark7"/>
      <w:bookmarkEnd w:id="78"/>
      <w:r>
        <w:rPr>
          <w:position w:val="5"/>
          <w:sz w:val="12"/>
        </w:rPr>
        <w:t>2</w:t>
      </w:r>
      <w:r>
        <w:rPr>
          <w:spacing w:val="12"/>
          <w:position w:val="5"/>
          <w:sz w:val="12"/>
        </w:rPr>
        <w:t xml:space="preserve"> </w:t>
      </w:r>
      <w:r>
        <w:rPr>
          <w:sz w:val="18"/>
        </w:rPr>
        <w:t>Eli</w:t>
      </w:r>
      <w:r>
        <w:rPr>
          <w:spacing w:val="-1"/>
          <w:sz w:val="18"/>
        </w:rPr>
        <w:t xml:space="preserve"> </w:t>
      </w:r>
      <w:r>
        <w:rPr>
          <w:sz w:val="18"/>
        </w:rPr>
        <w:t>Dvorkin</w:t>
      </w:r>
      <w:r>
        <w:rPr>
          <w:spacing w:val="-1"/>
          <w:sz w:val="18"/>
        </w:rPr>
        <w:t xml:space="preserve"> </w:t>
      </w:r>
      <w:r>
        <w:rPr>
          <w:sz w:val="18"/>
        </w:rPr>
        <w:t>and</w:t>
      </w:r>
      <w:r>
        <w:rPr>
          <w:spacing w:val="-1"/>
          <w:sz w:val="18"/>
        </w:rPr>
        <w:t xml:space="preserve"> </w:t>
      </w:r>
      <w:r>
        <w:rPr>
          <w:sz w:val="18"/>
        </w:rPr>
        <w:t>Mo Russell</w:t>
      </w:r>
      <w:r>
        <w:rPr>
          <w:spacing w:val="-1"/>
          <w:sz w:val="18"/>
        </w:rPr>
        <w:t xml:space="preserve"> </w:t>
      </w:r>
      <w:r>
        <w:rPr>
          <w:sz w:val="18"/>
        </w:rPr>
        <w:t>Leed, “Basic Inc</w:t>
      </w:r>
      <w:r>
        <w:rPr>
          <w:sz w:val="18"/>
        </w:rPr>
        <w:t>ome</w:t>
      </w:r>
      <w:r>
        <w:rPr>
          <w:spacing w:val="-1"/>
          <w:sz w:val="18"/>
        </w:rPr>
        <w:t xml:space="preserve"> </w:t>
      </w:r>
      <w:r>
        <w:rPr>
          <w:sz w:val="18"/>
        </w:rPr>
        <w:t>for</w:t>
      </w:r>
      <w:r>
        <w:rPr>
          <w:spacing w:val="-1"/>
          <w:sz w:val="18"/>
        </w:rPr>
        <w:t xml:space="preserve"> </w:t>
      </w:r>
      <w:r>
        <w:rPr>
          <w:sz w:val="18"/>
        </w:rPr>
        <w:t>Transition-Age</w:t>
      </w:r>
      <w:r>
        <w:rPr>
          <w:spacing w:val="-1"/>
          <w:sz w:val="18"/>
        </w:rPr>
        <w:t xml:space="preserve"> </w:t>
      </w:r>
      <w:r>
        <w:rPr>
          <w:sz w:val="18"/>
        </w:rPr>
        <w:t>Foster</w:t>
      </w:r>
      <w:r>
        <w:rPr>
          <w:spacing w:val="-1"/>
          <w:sz w:val="18"/>
        </w:rPr>
        <w:t xml:space="preserve"> </w:t>
      </w:r>
      <w:r>
        <w:rPr>
          <w:sz w:val="18"/>
        </w:rPr>
        <w:t>Youth:</w:t>
      </w:r>
      <w:r>
        <w:rPr>
          <w:spacing w:val="-1"/>
          <w:sz w:val="18"/>
        </w:rPr>
        <w:t xml:space="preserve"> </w:t>
      </w:r>
      <w:r>
        <w:rPr>
          <w:sz w:val="18"/>
        </w:rPr>
        <w:t>Adopting</w:t>
      </w:r>
      <w:r>
        <w:rPr>
          <w:spacing w:val="-1"/>
          <w:sz w:val="18"/>
        </w:rPr>
        <w:t xml:space="preserve"> </w:t>
      </w:r>
      <w:r>
        <w:rPr>
          <w:sz w:val="18"/>
        </w:rPr>
        <w:t>California’s</w:t>
      </w:r>
      <w:r>
        <w:rPr>
          <w:spacing w:val="-1"/>
          <w:sz w:val="18"/>
        </w:rPr>
        <w:t xml:space="preserve"> </w:t>
      </w:r>
      <w:r>
        <w:rPr>
          <w:sz w:val="18"/>
        </w:rPr>
        <w:t>Approach,”</w:t>
      </w:r>
      <w:r>
        <w:rPr>
          <w:spacing w:val="-1"/>
          <w:sz w:val="18"/>
        </w:rPr>
        <w:t xml:space="preserve"> </w:t>
      </w:r>
      <w:r>
        <w:rPr>
          <w:sz w:val="18"/>
        </w:rPr>
        <w:t>Center</w:t>
      </w:r>
      <w:r>
        <w:rPr>
          <w:spacing w:val="-1"/>
          <w:sz w:val="18"/>
        </w:rPr>
        <w:t xml:space="preserve"> </w:t>
      </w:r>
      <w:r>
        <w:rPr>
          <w:sz w:val="18"/>
        </w:rPr>
        <w:t>for an</w:t>
      </w:r>
      <w:r>
        <w:rPr>
          <w:spacing w:val="-7"/>
          <w:sz w:val="18"/>
        </w:rPr>
        <w:t xml:space="preserve"> </w:t>
      </w:r>
      <w:r>
        <w:rPr>
          <w:sz w:val="18"/>
        </w:rPr>
        <w:t>Urban</w:t>
      </w:r>
      <w:r>
        <w:rPr>
          <w:spacing w:val="-5"/>
          <w:sz w:val="18"/>
        </w:rPr>
        <w:t xml:space="preserve"> </w:t>
      </w:r>
      <w:r>
        <w:rPr>
          <w:sz w:val="18"/>
        </w:rPr>
        <w:t>Future</w:t>
      </w:r>
      <w:r>
        <w:rPr>
          <w:spacing w:val="-6"/>
          <w:sz w:val="18"/>
        </w:rPr>
        <w:t xml:space="preserve"> </w:t>
      </w:r>
      <w:r>
        <w:rPr>
          <w:sz w:val="18"/>
        </w:rPr>
        <w:t>(CUF),</w:t>
      </w:r>
      <w:r>
        <w:rPr>
          <w:spacing w:val="-5"/>
          <w:sz w:val="18"/>
        </w:rPr>
        <w:t xml:space="preserve"> </w:t>
      </w:r>
      <w:r>
        <w:rPr>
          <w:sz w:val="18"/>
        </w:rPr>
        <w:t>accessed</w:t>
      </w:r>
      <w:r>
        <w:rPr>
          <w:spacing w:val="-5"/>
          <w:sz w:val="18"/>
        </w:rPr>
        <w:t xml:space="preserve"> </w:t>
      </w:r>
      <w:r>
        <w:rPr>
          <w:sz w:val="18"/>
        </w:rPr>
        <w:t>April</w:t>
      </w:r>
      <w:r>
        <w:rPr>
          <w:spacing w:val="-6"/>
          <w:sz w:val="18"/>
        </w:rPr>
        <w:t xml:space="preserve"> </w:t>
      </w:r>
      <w:r>
        <w:rPr>
          <w:sz w:val="18"/>
        </w:rPr>
        <w:t>24,</w:t>
      </w:r>
      <w:r>
        <w:rPr>
          <w:spacing w:val="-6"/>
          <w:sz w:val="18"/>
        </w:rPr>
        <w:t xml:space="preserve"> </w:t>
      </w:r>
      <w:r>
        <w:rPr>
          <w:sz w:val="18"/>
        </w:rPr>
        <w:t>2023,</w:t>
      </w:r>
      <w:r>
        <w:rPr>
          <w:spacing w:val="-5"/>
          <w:sz w:val="18"/>
        </w:rPr>
        <w:t xml:space="preserve"> </w:t>
      </w:r>
      <w:r>
        <w:rPr>
          <w:sz w:val="18"/>
        </w:rPr>
        <w:t>https://nycfuture.org/research/basic-income-for-transition-age-foster-</w:t>
      </w:r>
      <w:r>
        <w:rPr>
          <w:spacing w:val="-2"/>
          <w:sz w:val="18"/>
        </w:rPr>
        <w:t>youth.</w:t>
      </w:r>
    </w:p>
    <w:p w:rsidR="00200FDA" w:rsidRDefault="00200FDA">
      <w:pPr>
        <w:rPr>
          <w:sz w:val="18"/>
        </w:rPr>
        <w:sectPr w:rsidR="00200FDA">
          <w:pgSz w:w="12240" w:h="15840"/>
          <w:pgMar w:top="1360" w:right="1300" w:bottom="1240" w:left="1300" w:header="761" w:footer="1043" w:gutter="0"/>
          <w:cols w:space="720"/>
        </w:sectPr>
      </w:pPr>
    </w:p>
    <w:p w:rsidR="00200FDA" w:rsidRDefault="00200FDA">
      <w:pPr>
        <w:pStyle w:val="BodyText"/>
        <w:spacing w:before="10"/>
        <w:rPr>
          <w:sz w:val="19"/>
        </w:rPr>
      </w:pPr>
    </w:p>
    <w:p w:rsidR="00200FDA" w:rsidRDefault="00F76C4C">
      <w:pPr>
        <w:spacing w:before="69"/>
        <w:ind w:left="140" w:right="2200" w:hanging="1"/>
        <w:rPr>
          <w:sz w:val="18"/>
        </w:rPr>
      </w:pPr>
      <w:bookmarkStart w:id="79" w:name="_bookmark8"/>
      <w:bookmarkEnd w:id="79"/>
      <w:r>
        <w:rPr>
          <w:position w:val="5"/>
          <w:sz w:val="12"/>
        </w:rPr>
        <w:t>3</w:t>
      </w:r>
      <w:r>
        <w:rPr>
          <w:spacing w:val="9"/>
          <w:position w:val="5"/>
          <w:sz w:val="12"/>
        </w:rPr>
        <w:t xml:space="preserve"> </w:t>
      </w:r>
      <w:r>
        <w:rPr>
          <w:sz w:val="18"/>
        </w:rPr>
        <w:t>ChildWelfare.gov,</w:t>
      </w:r>
      <w:r>
        <w:rPr>
          <w:spacing w:val="-3"/>
          <w:sz w:val="18"/>
        </w:rPr>
        <w:t xml:space="preserve"> </w:t>
      </w:r>
      <w:r>
        <w:rPr>
          <w:sz w:val="18"/>
        </w:rPr>
        <w:t>“Providing</w:t>
      </w:r>
      <w:r>
        <w:rPr>
          <w:spacing w:val="-4"/>
          <w:sz w:val="18"/>
        </w:rPr>
        <w:t xml:space="preserve"> </w:t>
      </w:r>
      <w:r>
        <w:rPr>
          <w:sz w:val="18"/>
        </w:rPr>
        <w:t>Direct</w:t>
      </w:r>
      <w:r>
        <w:rPr>
          <w:spacing w:val="-4"/>
          <w:sz w:val="18"/>
        </w:rPr>
        <w:t xml:space="preserve"> </w:t>
      </w:r>
      <w:r>
        <w:rPr>
          <w:sz w:val="18"/>
        </w:rPr>
        <w:t>Financial</w:t>
      </w:r>
      <w:r>
        <w:rPr>
          <w:spacing w:val="-4"/>
          <w:sz w:val="18"/>
        </w:rPr>
        <w:t xml:space="preserve"> </w:t>
      </w:r>
      <w:r>
        <w:rPr>
          <w:sz w:val="18"/>
        </w:rPr>
        <w:t>Assistance</w:t>
      </w:r>
      <w:r>
        <w:rPr>
          <w:spacing w:val="-4"/>
          <w:sz w:val="18"/>
        </w:rPr>
        <w:t xml:space="preserve"> </w:t>
      </w:r>
      <w:r>
        <w:rPr>
          <w:sz w:val="18"/>
        </w:rPr>
        <w:t>to</w:t>
      </w:r>
      <w:r>
        <w:rPr>
          <w:spacing w:val="-2"/>
          <w:sz w:val="18"/>
        </w:rPr>
        <w:t xml:space="preserve"> </w:t>
      </w:r>
      <w:r>
        <w:rPr>
          <w:sz w:val="18"/>
        </w:rPr>
        <w:t>Youth</w:t>
      </w:r>
      <w:r>
        <w:rPr>
          <w:spacing w:val="-4"/>
          <w:sz w:val="18"/>
        </w:rPr>
        <w:t xml:space="preserve"> </w:t>
      </w:r>
      <w:r>
        <w:rPr>
          <w:sz w:val="18"/>
        </w:rPr>
        <w:t>and</w:t>
      </w:r>
      <w:r>
        <w:rPr>
          <w:spacing w:val="-4"/>
          <w:sz w:val="18"/>
        </w:rPr>
        <w:t xml:space="preserve"> </w:t>
      </w:r>
      <w:r>
        <w:rPr>
          <w:sz w:val="18"/>
        </w:rPr>
        <w:t>Young</w:t>
      </w:r>
      <w:r>
        <w:rPr>
          <w:spacing w:val="-4"/>
          <w:sz w:val="18"/>
        </w:rPr>
        <w:t xml:space="preserve"> </w:t>
      </w:r>
      <w:r>
        <w:rPr>
          <w:sz w:val="18"/>
        </w:rPr>
        <w:t>Adults,”</w:t>
      </w:r>
      <w:r>
        <w:rPr>
          <w:spacing w:val="-4"/>
          <w:sz w:val="18"/>
        </w:rPr>
        <w:t xml:space="preserve"> </w:t>
      </w:r>
      <w:r>
        <w:rPr>
          <w:sz w:val="18"/>
        </w:rPr>
        <w:t>April</w:t>
      </w:r>
      <w:r>
        <w:rPr>
          <w:spacing w:val="-4"/>
          <w:sz w:val="18"/>
        </w:rPr>
        <w:t xml:space="preserve"> </w:t>
      </w:r>
      <w:r>
        <w:rPr>
          <w:sz w:val="18"/>
        </w:rPr>
        <w:t>7,</w:t>
      </w:r>
      <w:r>
        <w:rPr>
          <w:spacing w:val="-3"/>
          <w:sz w:val="18"/>
        </w:rPr>
        <w:t xml:space="preserve"> </w:t>
      </w:r>
      <w:r>
        <w:rPr>
          <w:sz w:val="18"/>
        </w:rPr>
        <w:t xml:space="preserve">2023, </w:t>
      </w:r>
      <w:r>
        <w:rPr>
          <w:spacing w:val="-2"/>
          <w:sz w:val="18"/>
        </w:rPr>
        <w:t>https://</w:t>
      </w:r>
      <w:hyperlink r:id="rId84">
        <w:r>
          <w:rPr>
            <w:spacing w:val="-2"/>
            <w:sz w:val="18"/>
          </w:rPr>
          <w:t>www.childwelfare.gov/pubPDFs/div-x/product7-direct-financial-assistance.pdf</w:t>
        </w:r>
        <w:r>
          <w:rPr>
            <w:spacing w:val="-2"/>
            <w:sz w:val="18"/>
          </w:rPr>
          <w:t>.</w:t>
        </w:r>
      </w:hyperlink>
    </w:p>
    <w:p w:rsidR="00200FDA" w:rsidRDefault="00F76C4C">
      <w:pPr>
        <w:ind w:left="140" w:right="161" w:hanging="1"/>
        <w:rPr>
          <w:sz w:val="18"/>
        </w:rPr>
      </w:pPr>
      <w:bookmarkStart w:id="80" w:name="_bookmark9"/>
      <w:bookmarkEnd w:id="80"/>
      <w:r>
        <w:rPr>
          <w:position w:val="5"/>
          <w:sz w:val="12"/>
        </w:rPr>
        <w:t>4</w:t>
      </w:r>
      <w:r>
        <w:rPr>
          <w:spacing w:val="10"/>
          <w:position w:val="5"/>
          <w:sz w:val="12"/>
        </w:rPr>
        <w:t xml:space="preserve"> </w:t>
      </w:r>
      <w:r>
        <w:rPr>
          <w:sz w:val="18"/>
        </w:rPr>
        <w:t>Michelle</w:t>
      </w:r>
      <w:r>
        <w:rPr>
          <w:spacing w:val="-3"/>
          <w:sz w:val="18"/>
        </w:rPr>
        <w:t xml:space="preserve"> </w:t>
      </w:r>
      <w:r>
        <w:rPr>
          <w:sz w:val="18"/>
        </w:rPr>
        <w:t>Pitcher,</w:t>
      </w:r>
      <w:r>
        <w:rPr>
          <w:spacing w:val="-2"/>
          <w:sz w:val="18"/>
        </w:rPr>
        <w:t xml:space="preserve"> </w:t>
      </w:r>
      <w:r>
        <w:rPr>
          <w:sz w:val="18"/>
        </w:rPr>
        <w:t>Weihua</w:t>
      </w:r>
      <w:r>
        <w:rPr>
          <w:spacing w:val="-2"/>
          <w:sz w:val="18"/>
        </w:rPr>
        <w:t xml:space="preserve"> </w:t>
      </w:r>
      <w:r>
        <w:rPr>
          <w:sz w:val="18"/>
        </w:rPr>
        <w:t>Li,</w:t>
      </w:r>
      <w:r>
        <w:rPr>
          <w:spacing w:val="-2"/>
          <w:sz w:val="18"/>
        </w:rPr>
        <w:t xml:space="preserve"> </w:t>
      </w:r>
      <w:r>
        <w:rPr>
          <w:sz w:val="18"/>
        </w:rPr>
        <w:t>and</w:t>
      </w:r>
      <w:r>
        <w:rPr>
          <w:spacing w:val="-1"/>
          <w:sz w:val="18"/>
        </w:rPr>
        <w:t xml:space="preserve"> </w:t>
      </w:r>
      <w:r>
        <w:rPr>
          <w:sz w:val="18"/>
        </w:rPr>
        <w:t>David</w:t>
      </w:r>
      <w:r>
        <w:rPr>
          <w:spacing w:val="-3"/>
          <w:sz w:val="18"/>
        </w:rPr>
        <w:t xml:space="preserve"> </w:t>
      </w:r>
      <w:r>
        <w:rPr>
          <w:sz w:val="18"/>
        </w:rPr>
        <w:t>Eads,</w:t>
      </w:r>
      <w:r>
        <w:rPr>
          <w:spacing w:val="-2"/>
          <w:sz w:val="18"/>
        </w:rPr>
        <w:t xml:space="preserve"> </w:t>
      </w:r>
      <w:r>
        <w:rPr>
          <w:sz w:val="18"/>
        </w:rPr>
        <w:t>“These</w:t>
      </w:r>
      <w:r>
        <w:rPr>
          <w:spacing w:val="-3"/>
          <w:sz w:val="18"/>
        </w:rPr>
        <w:t xml:space="preserve"> </w:t>
      </w:r>
      <w:r>
        <w:rPr>
          <w:sz w:val="18"/>
        </w:rPr>
        <w:t>States</w:t>
      </w:r>
      <w:r>
        <w:rPr>
          <w:spacing w:val="-3"/>
          <w:sz w:val="18"/>
        </w:rPr>
        <w:t xml:space="preserve"> </w:t>
      </w:r>
      <w:r>
        <w:rPr>
          <w:sz w:val="18"/>
        </w:rPr>
        <w:t>Take</w:t>
      </w:r>
      <w:r>
        <w:rPr>
          <w:spacing w:val="-1"/>
          <w:sz w:val="18"/>
        </w:rPr>
        <w:t xml:space="preserve"> </w:t>
      </w:r>
      <w:r>
        <w:rPr>
          <w:sz w:val="18"/>
        </w:rPr>
        <w:t>Money</w:t>
      </w:r>
      <w:r>
        <w:rPr>
          <w:spacing w:val="-2"/>
          <w:sz w:val="18"/>
        </w:rPr>
        <w:t xml:space="preserve"> </w:t>
      </w:r>
      <w:r>
        <w:rPr>
          <w:sz w:val="18"/>
        </w:rPr>
        <w:t>Meant</w:t>
      </w:r>
      <w:r>
        <w:rPr>
          <w:spacing w:val="-3"/>
          <w:sz w:val="18"/>
        </w:rPr>
        <w:t xml:space="preserve"> </w:t>
      </w:r>
      <w:r>
        <w:rPr>
          <w:sz w:val="18"/>
        </w:rPr>
        <w:t>for</w:t>
      </w:r>
      <w:r>
        <w:rPr>
          <w:spacing w:val="-3"/>
          <w:sz w:val="18"/>
        </w:rPr>
        <w:t xml:space="preserve"> </w:t>
      </w:r>
      <w:r>
        <w:rPr>
          <w:sz w:val="18"/>
        </w:rPr>
        <w:t>Foster</w:t>
      </w:r>
      <w:r>
        <w:rPr>
          <w:spacing w:val="-3"/>
          <w:sz w:val="18"/>
        </w:rPr>
        <w:t xml:space="preserve"> </w:t>
      </w:r>
      <w:r>
        <w:rPr>
          <w:sz w:val="18"/>
        </w:rPr>
        <w:t>Children,”</w:t>
      </w:r>
      <w:r>
        <w:rPr>
          <w:spacing w:val="-3"/>
          <w:sz w:val="18"/>
        </w:rPr>
        <w:t xml:space="preserve"> </w:t>
      </w:r>
      <w:r>
        <w:rPr>
          <w:sz w:val="18"/>
        </w:rPr>
        <w:t>The</w:t>
      </w:r>
      <w:r>
        <w:rPr>
          <w:spacing w:val="-3"/>
          <w:sz w:val="18"/>
        </w:rPr>
        <w:t xml:space="preserve"> </w:t>
      </w:r>
      <w:r>
        <w:rPr>
          <w:sz w:val="18"/>
        </w:rPr>
        <w:t>Marshall</w:t>
      </w:r>
      <w:r>
        <w:rPr>
          <w:spacing w:val="-3"/>
          <w:sz w:val="18"/>
        </w:rPr>
        <w:t xml:space="preserve"> </w:t>
      </w:r>
      <w:r>
        <w:rPr>
          <w:sz w:val="18"/>
        </w:rPr>
        <w:t>Project,</w:t>
      </w:r>
      <w:r>
        <w:rPr>
          <w:spacing w:val="-2"/>
          <w:sz w:val="18"/>
        </w:rPr>
        <w:t xml:space="preserve"> </w:t>
      </w:r>
      <w:r>
        <w:rPr>
          <w:sz w:val="18"/>
        </w:rPr>
        <w:t>May 17, 2021, https://</w:t>
      </w:r>
      <w:hyperlink r:id="rId85">
        <w:r>
          <w:rPr>
            <w:sz w:val="18"/>
          </w:rPr>
          <w:t>www.themarshallproject.org/2021/05/17/these-states-take-money-meant-for-foster-children.</w:t>
        </w:r>
      </w:hyperlink>
    </w:p>
    <w:p w:rsidR="00200FDA" w:rsidRDefault="00F76C4C">
      <w:pPr>
        <w:ind w:left="140" w:right="218"/>
        <w:rPr>
          <w:sz w:val="18"/>
        </w:rPr>
      </w:pPr>
      <w:bookmarkStart w:id="81" w:name="_bookmark10"/>
      <w:bookmarkEnd w:id="81"/>
      <w:r>
        <w:rPr>
          <w:position w:val="5"/>
          <w:sz w:val="12"/>
        </w:rPr>
        <w:t>5</w:t>
      </w:r>
      <w:r>
        <w:rPr>
          <w:spacing w:val="18"/>
          <w:position w:val="5"/>
          <w:sz w:val="12"/>
        </w:rPr>
        <w:t xml:space="preserve"> </w:t>
      </w:r>
      <w:r>
        <w:rPr>
          <w:sz w:val="18"/>
        </w:rPr>
        <w:t xml:space="preserve">“States Take Social Security Benefits Of Foster Care </w:t>
      </w:r>
      <w:r>
        <w:rPr>
          <w:sz w:val="18"/>
        </w:rPr>
        <w:t xml:space="preserve">Children To Pay For Services : NPR,” accessed April 1, 2023, </w:t>
      </w:r>
      <w:bookmarkStart w:id="82" w:name="_bookmark11"/>
      <w:bookmarkEnd w:id="82"/>
      <w:r>
        <w:rPr>
          <w:spacing w:val="-2"/>
          <w:sz w:val="18"/>
        </w:rPr>
        <w:t>https://</w:t>
      </w:r>
      <w:hyperlink r:id="rId86">
        <w:r>
          <w:rPr>
            <w:spacing w:val="-2"/>
            <w:sz w:val="18"/>
          </w:rPr>
          <w:t>www.npr.org/2021/04/22/988806806/state-foster-c</w:t>
        </w:r>
        <w:r>
          <w:rPr>
            <w:spacing w:val="-2"/>
            <w:sz w:val="18"/>
          </w:rPr>
          <w:t>are-agencies-take-millions-of-dollars-owed-to-children-in-their-ca.</w:t>
        </w:r>
      </w:hyperlink>
    </w:p>
    <w:p w:rsidR="00200FDA" w:rsidRDefault="00F76C4C">
      <w:pPr>
        <w:spacing w:line="219" w:lineRule="exact"/>
        <w:ind w:left="140"/>
        <w:rPr>
          <w:sz w:val="18"/>
        </w:rPr>
      </w:pPr>
      <w:r>
        <w:rPr>
          <w:position w:val="5"/>
          <w:sz w:val="12"/>
        </w:rPr>
        <w:t>6</w:t>
      </w:r>
      <w:r>
        <w:rPr>
          <w:spacing w:val="7"/>
          <w:position w:val="5"/>
          <w:sz w:val="12"/>
        </w:rPr>
        <w:t xml:space="preserve"> </w:t>
      </w:r>
      <w:bookmarkStart w:id="83" w:name="_bookmark12"/>
      <w:bookmarkEnd w:id="83"/>
      <w:r>
        <w:rPr>
          <w:sz w:val="18"/>
        </w:rPr>
        <w:t>“MPA</w:t>
      </w:r>
      <w:r>
        <w:rPr>
          <w:spacing w:val="-4"/>
          <w:sz w:val="18"/>
        </w:rPr>
        <w:t xml:space="preserve"> </w:t>
      </w:r>
      <w:r>
        <w:rPr>
          <w:sz w:val="18"/>
        </w:rPr>
        <w:t>Overview,”</w:t>
      </w:r>
      <w:r>
        <w:rPr>
          <w:spacing w:val="-4"/>
          <w:sz w:val="18"/>
        </w:rPr>
        <w:t xml:space="preserve"> </w:t>
      </w:r>
      <w:r>
        <w:rPr>
          <w:sz w:val="18"/>
        </w:rPr>
        <w:t>GLAD,</w:t>
      </w:r>
      <w:r>
        <w:rPr>
          <w:spacing w:val="-3"/>
          <w:sz w:val="18"/>
        </w:rPr>
        <w:t xml:space="preserve"> </w:t>
      </w:r>
      <w:r>
        <w:rPr>
          <w:sz w:val="18"/>
        </w:rPr>
        <w:t>accessed</w:t>
      </w:r>
      <w:r>
        <w:rPr>
          <w:spacing w:val="-4"/>
          <w:sz w:val="18"/>
        </w:rPr>
        <w:t xml:space="preserve"> </w:t>
      </w:r>
      <w:r>
        <w:rPr>
          <w:sz w:val="18"/>
        </w:rPr>
        <w:t>March</w:t>
      </w:r>
      <w:r>
        <w:rPr>
          <w:spacing w:val="-4"/>
          <w:sz w:val="18"/>
        </w:rPr>
        <w:t xml:space="preserve"> </w:t>
      </w:r>
      <w:r>
        <w:rPr>
          <w:sz w:val="18"/>
        </w:rPr>
        <w:t>14,</w:t>
      </w:r>
      <w:r>
        <w:rPr>
          <w:spacing w:val="-3"/>
          <w:sz w:val="18"/>
        </w:rPr>
        <w:t xml:space="preserve"> </w:t>
      </w:r>
      <w:r>
        <w:rPr>
          <w:sz w:val="18"/>
        </w:rPr>
        <w:t>2023,</w:t>
      </w:r>
      <w:r>
        <w:rPr>
          <w:spacing w:val="-3"/>
          <w:sz w:val="18"/>
        </w:rPr>
        <w:t xml:space="preserve"> </w:t>
      </w:r>
      <w:r>
        <w:rPr>
          <w:sz w:val="18"/>
        </w:rPr>
        <w:t>https://</w:t>
      </w:r>
      <w:hyperlink r:id="rId87">
        <w:r>
          <w:rPr>
            <w:sz w:val="18"/>
          </w:rPr>
          <w:t>www.glad.org/mpa-</w:t>
        </w:r>
        <w:r>
          <w:rPr>
            <w:spacing w:val="-2"/>
            <w:sz w:val="18"/>
          </w:rPr>
          <w:t>overview/.</w:t>
        </w:r>
      </w:hyperlink>
    </w:p>
    <w:p w:rsidR="00200FDA" w:rsidRDefault="00F76C4C">
      <w:pPr>
        <w:ind w:left="140" w:hanging="1"/>
        <w:rPr>
          <w:sz w:val="18"/>
        </w:rPr>
      </w:pPr>
      <w:r>
        <w:rPr>
          <w:position w:val="5"/>
          <w:sz w:val="12"/>
        </w:rPr>
        <w:t>7</w:t>
      </w:r>
      <w:r>
        <w:rPr>
          <w:spacing w:val="25"/>
          <w:position w:val="5"/>
          <w:sz w:val="12"/>
        </w:rPr>
        <w:t xml:space="preserve"> </w:t>
      </w:r>
      <w:r>
        <w:rPr>
          <w:sz w:val="18"/>
        </w:rPr>
        <w:t>“Online Directives Information System - ODIS,” a</w:t>
      </w:r>
      <w:r>
        <w:rPr>
          <w:sz w:val="18"/>
        </w:rPr>
        <w:t xml:space="preserve">ccessed March 27, 2023, </w:t>
      </w:r>
      <w:bookmarkStart w:id="84" w:name="_bookmark13"/>
      <w:bookmarkEnd w:id="84"/>
      <w:r>
        <w:rPr>
          <w:spacing w:val="-2"/>
          <w:sz w:val="18"/>
        </w:rPr>
        <w:t>https://odis.dhs.ga.gov/General/Home/Search?searchtext=Maltreatment%20Codes.</w:t>
      </w:r>
    </w:p>
    <w:p w:rsidR="00200FDA" w:rsidRDefault="00F76C4C">
      <w:pPr>
        <w:ind w:left="140" w:right="139" w:hanging="1"/>
        <w:rPr>
          <w:sz w:val="18"/>
        </w:rPr>
      </w:pPr>
      <w:r>
        <w:rPr>
          <w:position w:val="5"/>
          <w:sz w:val="12"/>
        </w:rPr>
        <w:t>8</w:t>
      </w:r>
      <w:r>
        <w:rPr>
          <w:spacing w:val="10"/>
          <w:position w:val="5"/>
          <w:sz w:val="12"/>
        </w:rPr>
        <w:t xml:space="preserve"> </w:t>
      </w:r>
      <w:r>
        <w:rPr>
          <w:sz w:val="18"/>
        </w:rPr>
        <w:t>Lindsay</w:t>
      </w:r>
      <w:r>
        <w:rPr>
          <w:spacing w:val="-3"/>
          <w:sz w:val="18"/>
        </w:rPr>
        <w:t xml:space="preserve"> </w:t>
      </w:r>
      <w:r>
        <w:rPr>
          <w:sz w:val="18"/>
        </w:rPr>
        <w:t>Huffhines</w:t>
      </w:r>
      <w:r>
        <w:rPr>
          <w:spacing w:val="-2"/>
          <w:sz w:val="18"/>
        </w:rPr>
        <w:t xml:space="preserve"> </w:t>
      </w:r>
      <w:r>
        <w:rPr>
          <w:sz w:val="18"/>
        </w:rPr>
        <w:t>et</w:t>
      </w:r>
      <w:r>
        <w:rPr>
          <w:spacing w:val="-3"/>
          <w:sz w:val="18"/>
        </w:rPr>
        <w:t xml:space="preserve"> </w:t>
      </w:r>
      <w:r>
        <w:rPr>
          <w:sz w:val="18"/>
        </w:rPr>
        <w:t>al.,</w:t>
      </w:r>
      <w:r>
        <w:rPr>
          <w:spacing w:val="-3"/>
          <w:sz w:val="18"/>
        </w:rPr>
        <w:t xml:space="preserve"> </w:t>
      </w:r>
      <w:r>
        <w:rPr>
          <w:sz w:val="18"/>
        </w:rPr>
        <w:t>“Case</w:t>
      </w:r>
      <w:r>
        <w:rPr>
          <w:spacing w:val="-2"/>
          <w:sz w:val="18"/>
        </w:rPr>
        <w:t xml:space="preserve"> </w:t>
      </w:r>
      <w:r>
        <w:rPr>
          <w:sz w:val="18"/>
        </w:rPr>
        <w:t>File</w:t>
      </w:r>
      <w:r>
        <w:rPr>
          <w:spacing w:val="-3"/>
          <w:sz w:val="18"/>
        </w:rPr>
        <w:t xml:space="preserve"> </w:t>
      </w:r>
      <w:r>
        <w:rPr>
          <w:sz w:val="18"/>
        </w:rPr>
        <w:t>Coding</w:t>
      </w:r>
      <w:r>
        <w:rPr>
          <w:spacing w:val="-3"/>
          <w:sz w:val="18"/>
        </w:rPr>
        <w:t xml:space="preserve"> </w:t>
      </w:r>
      <w:r>
        <w:rPr>
          <w:sz w:val="18"/>
        </w:rPr>
        <w:t>of</w:t>
      </w:r>
      <w:r>
        <w:rPr>
          <w:spacing w:val="-3"/>
          <w:sz w:val="18"/>
        </w:rPr>
        <w:t xml:space="preserve"> </w:t>
      </w:r>
      <w:r>
        <w:rPr>
          <w:sz w:val="18"/>
        </w:rPr>
        <w:t>Child</w:t>
      </w:r>
      <w:r>
        <w:rPr>
          <w:spacing w:val="-3"/>
          <w:sz w:val="18"/>
        </w:rPr>
        <w:t xml:space="preserve"> </w:t>
      </w:r>
      <w:r>
        <w:rPr>
          <w:sz w:val="18"/>
        </w:rPr>
        <w:t>Maltreatment:</w:t>
      </w:r>
      <w:r>
        <w:rPr>
          <w:spacing w:val="-1"/>
          <w:sz w:val="18"/>
        </w:rPr>
        <w:t xml:space="preserve"> </w:t>
      </w:r>
      <w:r>
        <w:rPr>
          <w:sz w:val="18"/>
        </w:rPr>
        <w:t>Methods,</w:t>
      </w:r>
      <w:r>
        <w:rPr>
          <w:spacing w:val="-3"/>
          <w:sz w:val="18"/>
        </w:rPr>
        <w:t xml:space="preserve"> </w:t>
      </w:r>
      <w:r>
        <w:rPr>
          <w:sz w:val="18"/>
        </w:rPr>
        <w:t>Challenges,</w:t>
      </w:r>
      <w:r>
        <w:rPr>
          <w:spacing w:val="-3"/>
          <w:sz w:val="18"/>
        </w:rPr>
        <w:t xml:space="preserve"> </w:t>
      </w:r>
      <w:r>
        <w:rPr>
          <w:sz w:val="18"/>
        </w:rPr>
        <w:t>and</w:t>
      </w:r>
      <w:r>
        <w:rPr>
          <w:spacing w:val="-3"/>
          <w:sz w:val="18"/>
        </w:rPr>
        <w:t xml:space="preserve"> </w:t>
      </w:r>
      <w:r>
        <w:rPr>
          <w:sz w:val="18"/>
        </w:rPr>
        <w:t>Innovations</w:t>
      </w:r>
      <w:r>
        <w:rPr>
          <w:spacing w:val="-3"/>
          <w:sz w:val="18"/>
        </w:rPr>
        <w:t xml:space="preserve"> </w:t>
      </w:r>
      <w:r>
        <w:rPr>
          <w:sz w:val="18"/>
        </w:rPr>
        <w:t>in</w:t>
      </w:r>
      <w:r>
        <w:rPr>
          <w:spacing w:val="-3"/>
          <w:sz w:val="18"/>
        </w:rPr>
        <w:t xml:space="preserve"> </w:t>
      </w:r>
      <w:r>
        <w:rPr>
          <w:sz w:val="18"/>
        </w:rPr>
        <w:t>a</w:t>
      </w:r>
      <w:r>
        <w:rPr>
          <w:spacing w:val="-3"/>
          <w:sz w:val="18"/>
        </w:rPr>
        <w:t xml:space="preserve"> </w:t>
      </w:r>
      <w:r>
        <w:rPr>
          <w:sz w:val="18"/>
        </w:rPr>
        <w:t xml:space="preserve">Longitudinal Project of Youth in Foster Care,” </w:t>
      </w:r>
      <w:r>
        <w:rPr>
          <w:i/>
          <w:sz w:val="18"/>
        </w:rPr>
        <w:t xml:space="preserve">Children and Youth Services Review </w:t>
      </w:r>
      <w:r>
        <w:rPr>
          <w:sz w:val="18"/>
        </w:rPr>
        <w:t xml:space="preserve">67 (August 2016): 254–62, </w:t>
      </w:r>
      <w:r>
        <w:rPr>
          <w:spacing w:val="-2"/>
          <w:sz w:val="18"/>
        </w:rPr>
        <w:t>https://doi.org/10.1016/j.childyouth.2016.06.019.</w:t>
      </w:r>
    </w:p>
    <w:p w:rsidR="00200FDA" w:rsidRDefault="00F76C4C">
      <w:pPr>
        <w:spacing w:before="1"/>
        <w:ind w:left="140" w:right="1087" w:hanging="1"/>
        <w:rPr>
          <w:sz w:val="18"/>
        </w:rPr>
      </w:pPr>
      <w:bookmarkStart w:id="85" w:name="_bookmark14"/>
      <w:bookmarkEnd w:id="85"/>
      <w:r>
        <w:rPr>
          <w:position w:val="5"/>
          <w:sz w:val="12"/>
        </w:rPr>
        <w:t>9</w:t>
      </w:r>
      <w:r>
        <w:rPr>
          <w:spacing w:val="23"/>
          <w:position w:val="5"/>
          <w:sz w:val="12"/>
        </w:rPr>
        <w:t xml:space="preserve"> </w:t>
      </w:r>
      <w:hyperlink r:id="rId88">
        <w:r>
          <w:rPr>
            <w:sz w:val="18"/>
          </w:rPr>
          <w:t>The Trevor Project, “Protectivenes</w:t>
        </w:r>
        <w:r>
          <w:rPr>
            <w:sz w:val="18"/>
          </w:rPr>
          <w:t>s of Family Sexual Orientation Support,” November 2022,</w:t>
        </w:r>
      </w:hyperlink>
      <w:r>
        <w:rPr>
          <w:sz w:val="18"/>
        </w:rPr>
        <w:t xml:space="preserve"> </w:t>
      </w:r>
      <w:hyperlink r:id="rId89">
        <w:r>
          <w:rPr>
            <w:spacing w:val="-2"/>
            <w:sz w:val="18"/>
          </w:rPr>
          <w:t>https://www.thetrevorproject.org/research-briefs/protectiveness-of-family-sexual-orientation-support-nov-2022/.</w:t>
        </w:r>
      </w:hyperlink>
    </w:p>
    <w:p w:rsidR="00200FDA" w:rsidRDefault="00F76C4C">
      <w:pPr>
        <w:ind w:left="140" w:right="139" w:hanging="1"/>
        <w:rPr>
          <w:sz w:val="18"/>
        </w:rPr>
      </w:pPr>
      <w:bookmarkStart w:id="86" w:name="_bookmark15"/>
      <w:bookmarkEnd w:id="86"/>
      <w:r>
        <w:rPr>
          <w:position w:val="5"/>
          <w:sz w:val="12"/>
        </w:rPr>
        <w:t>10</w:t>
      </w:r>
      <w:r>
        <w:rPr>
          <w:spacing w:val="14"/>
          <w:position w:val="5"/>
          <w:sz w:val="12"/>
        </w:rPr>
        <w:t xml:space="preserve"> </w:t>
      </w:r>
      <w:hyperlink r:id="rId90">
        <w:r>
          <w:rPr>
            <w:sz w:val="18"/>
          </w:rPr>
          <w:t>Mark L. Hatzenbuehler and John E. Pachankis, “Stigma and Minority Stress as Social Determinants of Health Among Lesbian,</w:t>
        </w:r>
      </w:hyperlink>
      <w:r>
        <w:rPr>
          <w:sz w:val="18"/>
        </w:rPr>
        <w:t xml:space="preserve"> </w:t>
      </w:r>
      <w:hyperlink r:id="rId91">
        <w:r>
          <w:rPr>
            <w:sz w:val="18"/>
          </w:rPr>
          <w:t>Gay,</w:t>
        </w:r>
        <w:r>
          <w:rPr>
            <w:spacing w:val="-2"/>
            <w:sz w:val="18"/>
          </w:rPr>
          <w:t xml:space="preserve"> </w:t>
        </w:r>
        <w:r>
          <w:rPr>
            <w:sz w:val="18"/>
          </w:rPr>
          <w:t>Bisexual,</w:t>
        </w:r>
        <w:r>
          <w:rPr>
            <w:spacing w:val="-2"/>
            <w:sz w:val="18"/>
          </w:rPr>
          <w:t xml:space="preserve"> </w:t>
        </w:r>
        <w:r>
          <w:rPr>
            <w:sz w:val="18"/>
          </w:rPr>
          <w:t>and</w:t>
        </w:r>
        <w:r>
          <w:rPr>
            <w:spacing w:val="-3"/>
            <w:sz w:val="18"/>
          </w:rPr>
          <w:t xml:space="preserve"> </w:t>
        </w:r>
        <w:r>
          <w:rPr>
            <w:sz w:val="18"/>
          </w:rPr>
          <w:t>Transgender</w:t>
        </w:r>
        <w:r>
          <w:rPr>
            <w:spacing w:val="-3"/>
            <w:sz w:val="18"/>
          </w:rPr>
          <w:t xml:space="preserve"> </w:t>
        </w:r>
        <w:r>
          <w:rPr>
            <w:sz w:val="18"/>
          </w:rPr>
          <w:t>You</w:t>
        </w:r>
        <w:r>
          <w:rPr>
            <w:sz w:val="18"/>
          </w:rPr>
          <w:t>th:</w:t>
        </w:r>
        <w:r>
          <w:rPr>
            <w:spacing w:val="-3"/>
            <w:sz w:val="18"/>
          </w:rPr>
          <w:t xml:space="preserve"> </w:t>
        </w:r>
        <w:r>
          <w:rPr>
            <w:sz w:val="18"/>
          </w:rPr>
          <w:t>Research</w:t>
        </w:r>
        <w:r>
          <w:rPr>
            <w:spacing w:val="-3"/>
            <w:sz w:val="18"/>
          </w:rPr>
          <w:t xml:space="preserve"> </w:t>
        </w:r>
        <w:r>
          <w:rPr>
            <w:sz w:val="18"/>
          </w:rPr>
          <w:t>Evidence</w:t>
        </w:r>
        <w:r>
          <w:rPr>
            <w:spacing w:val="-3"/>
            <w:sz w:val="18"/>
          </w:rPr>
          <w:t xml:space="preserve"> </w:t>
        </w:r>
        <w:r>
          <w:rPr>
            <w:sz w:val="18"/>
          </w:rPr>
          <w:t>and</w:t>
        </w:r>
        <w:r>
          <w:rPr>
            <w:spacing w:val="-3"/>
            <w:sz w:val="18"/>
          </w:rPr>
          <w:t xml:space="preserve"> </w:t>
        </w:r>
        <w:r>
          <w:rPr>
            <w:sz w:val="18"/>
          </w:rPr>
          <w:t>Clinical</w:t>
        </w:r>
        <w:r>
          <w:rPr>
            <w:spacing w:val="-3"/>
            <w:sz w:val="18"/>
          </w:rPr>
          <w:t xml:space="preserve"> </w:t>
        </w:r>
        <w:r>
          <w:rPr>
            <w:sz w:val="18"/>
          </w:rPr>
          <w:t>Implications,”</w:t>
        </w:r>
      </w:hyperlink>
      <w:r>
        <w:rPr>
          <w:spacing w:val="-3"/>
          <w:sz w:val="18"/>
        </w:rPr>
        <w:t xml:space="preserve"> </w:t>
      </w:r>
      <w:hyperlink r:id="rId92">
        <w:r>
          <w:rPr>
            <w:i/>
            <w:sz w:val="18"/>
          </w:rPr>
          <w:t>Pediatric</w:t>
        </w:r>
        <w:r>
          <w:rPr>
            <w:i/>
            <w:spacing w:val="-3"/>
            <w:sz w:val="18"/>
          </w:rPr>
          <w:t xml:space="preserve"> </w:t>
        </w:r>
        <w:r>
          <w:rPr>
            <w:i/>
            <w:sz w:val="18"/>
          </w:rPr>
          <w:t>Clinics</w:t>
        </w:r>
        <w:r>
          <w:rPr>
            <w:i/>
            <w:spacing w:val="-3"/>
            <w:sz w:val="18"/>
          </w:rPr>
          <w:t xml:space="preserve"> </w:t>
        </w:r>
        <w:r>
          <w:rPr>
            <w:i/>
            <w:sz w:val="18"/>
          </w:rPr>
          <w:t>of</w:t>
        </w:r>
        <w:r>
          <w:rPr>
            <w:i/>
            <w:spacing w:val="-2"/>
            <w:sz w:val="18"/>
          </w:rPr>
          <w:t xml:space="preserve"> </w:t>
        </w:r>
        <w:r>
          <w:rPr>
            <w:i/>
            <w:sz w:val="18"/>
          </w:rPr>
          <w:t>North</w:t>
        </w:r>
        <w:r>
          <w:rPr>
            <w:i/>
            <w:spacing w:val="-1"/>
            <w:sz w:val="18"/>
          </w:rPr>
          <w:t xml:space="preserve"> </w:t>
        </w:r>
        <w:r>
          <w:rPr>
            <w:i/>
            <w:sz w:val="18"/>
          </w:rPr>
          <w:t>America</w:t>
        </w:r>
      </w:hyperlink>
      <w:r>
        <w:rPr>
          <w:i/>
          <w:spacing w:val="-1"/>
          <w:sz w:val="18"/>
        </w:rPr>
        <w:t xml:space="preserve"> </w:t>
      </w:r>
      <w:hyperlink r:id="rId93">
        <w:r>
          <w:rPr>
            <w:sz w:val="18"/>
          </w:rPr>
          <w:t>63,</w:t>
        </w:r>
        <w:r>
          <w:rPr>
            <w:spacing w:val="-2"/>
            <w:sz w:val="18"/>
          </w:rPr>
          <w:t xml:space="preserve"> </w:t>
        </w:r>
        <w:r>
          <w:rPr>
            <w:sz w:val="18"/>
          </w:rPr>
          <w:t>no.</w:t>
        </w:r>
        <w:r>
          <w:rPr>
            <w:spacing w:val="-2"/>
            <w:sz w:val="18"/>
          </w:rPr>
          <w:t xml:space="preserve"> </w:t>
        </w:r>
        <w:r>
          <w:rPr>
            <w:sz w:val="18"/>
          </w:rPr>
          <w:t>6</w:t>
        </w:r>
      </w:hyperlink>
      <w:r>
        <w:rPr>
          <w:sz w:val="18"/>
        </w:rPr>
        <w:t xml:space="preserve"> </w:t>
      </w:r>
      <w:hyperlink r:id="rId94">
        <w:r>
          <w:rPr>
            <w:sz w:val="18"/>
          </w:rPr>
          <w:t>(December 2016): 985–97, https://doi.org/10.1016/j.pcl.2016.07.003.</w:t>
        </w:r>
      </w:hyperlink>
    </w:p>
    <w:p w:rsidR="00200FDA" w:rsidRDefault="00F76C4C">
      <w:pPr>
        <w:spacing w:line="219" w:lineRule="exact"/>
        <w:ind w:left="140"/>
        <w:rPr>
          <w:sz w:val="18"/>
        </w:rPr>
      </w:pPr>
      <w:bookmarkStart w:id="87" w:name="_bookmark16"/>
      <w:bookmarkEnd w:id="87"/>
      <w:r>
        <w:rPr>
          <w:position w:val="5"/>
          <w:sz w:val="12"/>
        </w:rPr>
        <w:t>11</w:t>
      </w:r>
      <w:r>
        <w:rPr>
          <w:spacing w:val="9"/>
          <w:position w:val="5"/>
          <w:sz w:val="12"/>
        </w:rPr>
        <w:t xml:space="preserve"> </w:t>
      </w:r>
      <w:hyperlink r:id="rId95">
        <w:r>
          <w:rPr>
            <w:sz w:val="18"/>
          </w:rPr>
          <w:t>The</w:t>
        </w:r>
        <w:r>
          <w:rPr>
            <w:spacing w:val="-3"/>
            <w:sz w:val="18"/>
          </w:rPr>
          <w:t xml:space="preserve"> </w:t>
        </w:r>
        <w:r>
          <w:rPr>
            <w:sz w:val="18"/>
          </w:rPr>
          <w:t>Trevor</w:t>
        </w:r>
        <w:r>
          <w:rPr>
            <w:spacing w:val="-3"/>
            <w:sz w:val="18"/>
          </w:rPr>
          <w:t xml:space="preserve"> </w:t>
        </w:r>
        <w:r>
          <w:rPr>
            <w:sz w:val="18"/>
          </w:rPr>
          <w:t>Project,</w:t>
        </w:r>
        <w:r>
          <w:rPr>
            <w:spacing w:val="-2"/>
            <w:sz w:val="18"/>
          </w:rPr>
          <w:t xml:space="preserve"> </w:t>
        </w:r>
        <w:r>
          <w:rPr>
            <w:sz w:val="18"/>
          </w:rPr>
          <w:t>“Protectiveness</w:t>
        </w:r>
        <w:r>
          <w:rPr>
            <w:spacing w:val="-3"/>
            <w:sz w:val="18"/>
          </w:rPr>
          <w:t xml:space="preserve"> </w:t>
        </w:r>
        <w:r>
          <w:rPr>
            <w:sz w:val="18"/>
          </w:rPr>
          <w:t>of</w:t>
        </w:r>
        <w:r>
          <w:rPr>
            <w:spacing w:val="-2"/>
            <w:sz w:val="18"/>
          </w:rPr>
          <w:t xml:space="preserve"> </w:t>
        </w:r>
        <w:r>
          <w:rPr>
            <w:sz w:val="18"/>
          </w:rPr>
          <w:t>Family</w:t>
        </w:r>
        <w:r>
          <w:rPr>
            <w:spacing w:val="-2"/>
            <w:sz w:val="18"/>
          </w:rPr>
          <w:t xml:space="preserve"> </w:t>
        </w:r>
        <w:r>
          <w:rPr>
            <w:sz w:val="18"/>
          </w:rPr>
          <w:t>Sexual</w:t>
        </w:r>
        <w:r>
          <w:rPr>
            <w:spacing w:val="-3"/>
            <w:sz w:val="18"/>
          </w:rPr>
          <w:t xml:space="preserve"> </w:t>
        </w:r>
        <w:r>
          <w:rPr>
            <w:sz w:val="18"/>
          </w:rPr>
          <w:t>Orientatio</w:t>
        </w:r>
        <w:r>
          <w:rPr>
            <w:sz w:val="18"/>
          </w:rPr>
          <w:t>n</w:t>
        </w:r>
        <w:r>
          <w:rPr>
            <w:spacing w:val="-1"/>
            <w:sz w:val="18"/>
          </w:rPr>
          <w:t xml:space="preserve"> </w:t>
        </w:r>
        <w:r>
          <w:rPr>
            <w:spacing w:val="-2"/>
            <w:sz w:val="18"/>
          </w:rPr>
          <w:t>Support.”</w:t>
        </w:r>
      </w:hyperlink>
    </w:p>
    <w:p w:rsidR="00200FDA" w:rsidRDefault="00F76C4C">
      <w:pPr>
        <w:ind w:left="140" w:right="547" w:hanging="1"/>
        <w:rPr>
          <w:sz w:val="18"/>
        </w:rPr>
      </w:pPr>
      <w:bookmarkStart w:id="88" w:name="_bookmark17"/>
      <w:bookmarkEnd w:id="88"/>
      <w:r>
        <w:rPr>
          <w:position w:val="5"/>
          <w:sz w:val="12"/>
        </w:rPr>
        <w:t>12</w:t>
      </w:r>
      <w:r>
        <w:rPr>
          <w:spacing w:val="10"/>
          <w:position w:val="5"/>
          <w:sz w:val="12"/>
        </w:rPr>
        <w:t xml:space="preserve"> </w:t>
      </w:r>
      <w:r>
        <w:rPr>
          <w:sz w:val="18"/>
        </w:rPr>
        <w:t>Office</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United</w:t>
      </w:r>
      <w:r>
        <w:rPr>
          <w:spacing w:val="-1"/>
          <w:sz w:val="18"/>
        </w:rPr>
        <w:t xml:space="preserve"> </w:t>
      </w:r>
      <w:r>
        <w:rPr>
          <w:sz w:val="18"/>
        </w:rPr>
        <w:t>Nations</w:t>
      </w:r>
      <w:r>
        <w:rPr>
          <w:spacing w:val="-3"/>
          <w:sz w:val="18"/>
        </w:rPr>
        <w:t xml:space="preserve"> </w:t>
      </w:r>
      <w:r>
        <w:rPr>
          <w:sz w:val="18"/>
        </w:rPr>
        <w:t>High</w:t>
      </w:r>
      <w:r>
        <w:rPr>
          <w:spacing w:val="-3"/>
          <w:sz w:val="18"/>
        </w:rPr>
        <w:t xml:space="preserve"> </w:t>
      </w:r>
      <w:r>
        <w:rPr>
          <w:sz w:val="18"/>
        </w:rPr>
        <w:t>Commissioner</w:t>
      </w:r>
      <w:r>
        <w:rPr>
          <w:spacing w:val="-3"/>
          <w:sz w:val="18"/>
        </w:rPr>
        <w:t xml:space="preserve"> </w:t>
      </w:r>
      <w:r>
        <w:rPr>
          <w:sz w:val="18"/>
        </w:rPr>
        <w:t>for</w:t>
      </w:r>
      <w:r>
        <w:rPr>
          <w:spacing w:val="-3"/>
          <w:sz w:val="18"/>
        </w:rPr>
        <w:t xml:space="preserve"> </w:t>
      </w:r>
      <w:r>
        <w:rPr>
          <w:sz w:val="18"/>
        </w:rPr>
        <w:t>Human</w:t>
      </w:r>
      <w:r>
        <w:rPr>
          <w:spacing w:val="-3"/>
          <w:sz w:val="18"/>
        </w:rPr>
        <w:t xml:space="preserve"> </w:t>
      </w:r>
      <w:r>
        <w:rPr>
          <w:sz w:val="18"/>
        </w:rPr>
        <w:t>Rights,</w:t>
      </w:r>
      <w:r>
        <w:rPr>
          <w:spacing w:val="-2"/>
          <w:sz w:val="18"/>
        </w:rPr>
        <w:t xml:space="preserve"> </w:t>
      </w:r>
      <w:r>
        <w:rPr>
          <w:sz w:val="18"/>
        </w:rPr>
        <w:t>“Convention</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Rights</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Child,”</w:t>
      </w:r>
      <w:r>
        <w:rPr>
          <w:spacing w:val="-3"/>
          <w:sz w:val="18"/>
        </w:rPr>
        <w:t xml:space="preserve"> </w:t>
      </w:r>
      <w:r>
        <w:rPr>
          <w:sz w:val="18"/>
        </w:rPr>
        <w:t>Office</w:t>
      </w:r>
      <w:r>
        <w:rPr>
          <w:spacing w:val="-3"/>
          <w:sz w:val="18"/>
        </w:rPr>
        <w:t xml:space="preserve"> </w:t>
      </w:r>
      <w:r>
        <w:rPr>
          <w:sz w:val="18"/>
        </w:rPr>
        <w:t>of</w:t>
      </w:r>
      <w:r>
        <w:rPr>
          <w:spacing w:val="-2"/>
          <w:sz w:val="18"/>
        </w:rPr>
        <w:t xml:space="preserve"> </w:t>
      </w:r>
      <w:r>
        <w:rPr>
          <w:sz w:val="18"/>
        </w:rPr>
        <w:t>the United Nations High Commissioner for Human Rights, March 2023, https://</w:t>
      </w:r>
      <w:hyperlink r:id="rId96">
        <w:r>
          <w:rPr>
            <w:sz w:val="18"/>
          </w:rPr>
          <w:t>www.ohchr.org/en/instruments-</w:t>
        </w:r>
      </w:hyperlink>
      <w:r>
        <w:rPr>
          <w:sz w:val="18"/>
        </w:rPr>
        <w:t xml:space="preserve"> </w:t>
      </w:r>
      <w:r>
        <w:rPr>
          <w:spacing w:val="-2"/>
          <w:sz w:val="18"/>
        </w:rPr>
        <w:t>mechanisms/instruments/convention-rights-child.</w:t>
      </w:r>
    </w:p>
    <w:p w:rsidR="00200FDA" w:rsidRDefault="00F76C4C">
      <w:pPr>
        <w:spacing w:before="1"/>
        <w:ind w:left="140" w:right="2490" w:hanging="1"/>
        <w:rPr>
          <w:sz w:val="18"/>
        </w:rPr>
      </w:pPr>
      <w:bookmarkStart w:id="89" w:name="_bookmark18"/>
      <w:bookmarkEnd w:id="89"/>
      <w:r>
        <w:rPr>
          <w:position w:val="5"/>
          <w:sz w:val="12"/>
        </w:rPr>
        <w:t>13</w:t>
      </w:r>
      <w:r>
        <w:rPr>
          <w:spacing w:val="10"/>
          <w:position w:val="5"/>
          <w:sz w:val="12"/>
        </w:rPr>
        <w:t xml:space="preserve"> </w:t>
      </w:r>
      <w:hyperlink r:id="rId97">
        <w:r>
          <w:rPr>
            <w:sz w:val="18"/>
          </w:rPr>
          <w:t>Human</w:t>
        </w:r>
        <w:r>
          <w:rPr>
            <w:spacing w:val="-3"/>
            <w:sz w:val="18"/>
          </w:rPr>
          <w:t xml:space="preserve"> </w:t>
        </w:r>
        <w:r>
          <w:rPr>
            <w:sz w:val="18"/>
          </w:rPr>
          <w:t>Rights</w:t>
        </w:r>
        <w:r>
          <w:rPr>
            <w:spacing w:val="-3"/>
            <w:sz w:val="18"/>
          </w:rPr>
          <w:t xml:space="preserve"> </w:t>
        </w:r>
        <w:r>
          <w:rPr>
            <w:sz w:val="18"/>
          </w:rPr>
          <w:t>Watch,</w:t>
        </w:r>
        <w:r>
          <w:rPr>
            <w:spacing w:val="-3"/>
            <w:sz w:val="18"/>
          </w:rPr>
          <w:t xml:space="preserve"> </w:t>
        </w:r>
        <w:r>
          <w:rPr>
            <w:sz w:val="18"/>
          </w:rPr>
          <w:t>“How</w:t>
        </w:r>
        <w:r>
          <w:rPr>
            <w:spacing w:val="-2"/>
            <w:sz w:val="18"/>
          </w:rPr>
          <w:t xml:space="preserve"> </w:t>
        </w:r>
        <w:r>
          <w:rPr>
            <w:sz w:val="18"/>
          </w:rPr>
          <w:t>Do</w:t>
        </w:r>
        <w:r>
          <w:rPr>
            <w:spacing w:val="-2"/>
            <w:sz w:val="18"/>
          </w:rPr>
          <w:t xml:space="preserve"> </w:t>
        </w:r>
        <w:r>
          <w:rPr>
            <w:sz w:val="18"/>
          </w:rPr>
          <w:t>US</w:t>
        </w:r>
        <w:r>
          <w:rPr>
            <w:spacing w:val="-3"/>
            <w:sz w:val="18"/>
          </w:rPr>
          <w:t xml:space="preserve"> </w:t>
        </w:r>
        <w:r>
          <w:rPr>
            <w:sz w:val="18"/>
          </w:rPr>
          <w:t>States</w:t>
        </w:r>
        <w:r>
          <w:rPr>
            <w:spacing w:val="-3"/>
            <w:sz w:val="18"/>
          </w:rPr>
          <w:t xml:space="preserve"> </w:t>
        </w:r>
        <w:r>
          <w:rPr>
            <w:sz w:val="18"/>
          </w:rPr>
          <w:t>Measure</w:t>
        </w:r>
        <w:r>
          <w:rPr>
            <w:spacing w:val="-3"/>
            <w:sz w:val="18"/>
          </w:rPr>
          <w:t xml:space="preserve"> </w:t>
        </w:r>
        <w:r>
          <w:rPr>
            <w:sz w:val="18"/>
          </w:rPr>
          <w:t>Up</w:t>
        </w:r>
        <w:r>
          <w:rPr>
            <w:spacing w:val="-3"/>
            <w:sz w:val="18"/>
          </w:rPr>
          <w:t xml:space="preserve"> </w:t>
        </w:r>
        <w:r>
          <w:rPr>
            <w:sz w:val="18"/>
          </w:rPr>
          <w:t>on</w:t>
        </w:r>
        <w:r>
          <w:rPr>
            <w:spacing w:val="-3"/>
            <w:sz w:val="18"/>
          </w:rPr>
          <w:t xml:space="preserve"> </w:t>
        </w:r>
        <w:r>
          <w:rPr>
            <w:sz w:val="18"/>
          </w:rPr>
          <w:t>Child</w:t>
        </w:r>
        <w:r>
          <w:rPr>
            <w:spacing w:val="-3"/>
            <w:sz w:val="18"/>
          </w:rPr>
          <w:t xml:space="preserve"> </w:t>
        </w:r>
        <w:r>
          <w:rPr>
            <w:sz w:val="18"/>
          </w:rPr>
          <w:t>Rights?,”</w:t>
        </w:r>
        <w:r>
          <w:rPr>
            <w:spacing w:val="-3"/>
            <w:sz w:val="18"/>
          </w:rPr>
          <w:t xml:space="preserve"> </w:t>
        </w:r>
        <w:r>
          <w:rPr>
            <w:sz w:val="18"/>
          </w:rPr>
          <w:t>September</w:t>
        </w:r>
        <w:r>
          <w:rPr>
            <w:spacing w:val="-3"/>
            <w:sz w:val="18"/>
          </w:rPr>
          <w:t xml:space="preserve"> </w:t>
        </w:r>
        <w:r>
          <w:rPr>
            <w:sz w:val="18"/>
          </w:rPr>
          <w:t>29,</w:t>
        </w:r>
        <w:r>
          <w:rPr>
            <w:spacing w:val="-3"/>
            <w:sz w:val="18"/>
          </w:rPr>
          <w:t xml:space="preserve"> </w:t>
        </w:r>
        <w:r>
          <w:rPr>
            <w:sz w:val="18"/>
          </w:rPr>
          <w:t>2022,</w:t>
        </w:r>
      </w:hyperlink>
      <w:r>
        <w:rPr>
          <w:sz w:val="18"/>
        </w:rPr>
        <w:t xml:space="preserve"> </w:t>
      </w:r>
      <w:hyperlink r:id="rId98">
        <w:r>
          <w:rPr>
            <w:spacing w:val="-2"/>
            <w:sz w:val="18"/>
          </w:rPr>
          <w:t>https://www.hrw.org/feature/2022/09/13/how-do-states-measure-up-child-rights.</w:t>
        </w:r>
      </w:hyperlink>
    </w:p>
    <w:p w:rsidR="00200FDA" w:rsidRDefault="00F76C4C">
      <w:pPr>
        <w:ind w:left="140" w:right="139" w:hanging="1"/>
        <w:rPr>
          <w:sz w:val="18"/>
        </w:rPr>
      </w:pPr>
      <w:bookmarkStart w:id="90" w:name="_bookmark19"/>
      <w:bookmarkEnd w:id="90"/>
      <w:r>
        <w:rPr>
          <w:position w:val="5"/>
          <w:sz w:val="12"/>
        </w:rPr>
        <w:t>14</w:t>
      </w:r>
      <w:r>
        <w:rPr>
          <w:spacing w:val="10"/>
          <w:position w:val="5"/>
          <w:sz w:val="12"/>
        </w:rPr>
        <w:t xml:space="preserve"> </w:t>
      </w:r>
      <w:hyperlink r:id="rId99">
        <w:r>
          <w:rPr>
            <w:sz w:val="18"/>
          </w:rPr>
          <w:t>Kerith</w:t>
        </w:r>
        <w:r>
          <w:rPr>
            <w:spacing w:val="-3"/>
            <w:sz w:val="18"/>
          </w:rPr>
          <w:t xml:space="preserve"> </w:t>
        </w:r>
        <w:r>
          <w:rPr>
            <w:sz w:val="18"/>
          </w:rPr>
          <w:t>J.</w:t>
        </w:r>
        <w:r>
          <w:rPr>
            <w:spacing w:val="-2"/>
            <w:sz w:val="18"/>
          </w:rPr>
          <w:t xml:space="preserve"> </w:t>
        </w:r>
        <w:r>
          <w:rPr>
            <w:sz w:val="18"/>
          </w:rPr>
          <w:t>Conron</w:t>
        </w:r>
        <w:r>
          <w:rPr>
            <w:spacing w:val="-3"/>
            <w:sz w:val="18"/>
          </w:rPr>
          <w:t xml:space="preserve"> </w:t>
        </w:r>
        <w:r>
          <w:rPr>
            <w:sz w:val="18"/>
          </w:rPr>
          <w:t>and</w:t>
        </w:r>
        <w:r>
          <w:rPr>
            <w:spacing w:val="-3"/>
            <w:sz w:val="18"/>
          </w:rPr>
          <w:t xml:space="preserve"> </w:t>
        </w:r>
        <w:r>
          <w:rPr>
            <w:sz w:val="18"/>
          </w:rPr>
          <w:t>Bianca</w:t>
        </w:r>
        <w:r>
          <w:rPr>
            <w:spacing w:val="-2"/>
            <w:sz w:val="18"/>
          </w:rPr>
          <w:t xml:space="preserve"> </w:t>
        </w:r>
        <w:r>
          <w:rPr>
            <w:sz w:val="18"/>
          </w:rPr>
          <w:t>D.M. Wilson,</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sz w:val="18"/>
          </w:rPr>
          <w:t>of</w:t>
        </w:r>
        <w:r>
          <w:rPr>
            <w:spacing w:val="-2"/>
            <w:sz w:val="18"/>
          </w:rPr>
          <w:t xml:space="preserve"> </w:t>
        </w:r>
        <w:r>
          <w:rPr>
            <w:sz w:val="18"/>
          </w:rPr>
          <w:t>Color</w:t>
        </w:r>
        <w:r>
          <w:rPr>
            <w:spacing w:val="-3"/>
            <w:sz w:val="18"/>
          </w:rPr>
          <w:t xml:space="preserve"> </w:t>
        </w:r>
        <w:r>
          <w:rPr>
            <w:sz w:val="18"/>
          </w:rPr>
          <w:t>Impacted</w:t>
        </w:r>
        <w:r>
          <w:rPr>
            <w:spacing w:val="-3"/>
            <w:sz w:val="18"/>
          </w:rPr>
          <w:t xml:space="preserve"> </w:t>
        </w:r>
        <w:r>
          <w:rPr>
            <w:sz w:val="18"/>
          </w:rPr>
          <w:t>by</w:t>
        </w:r>
        <w:r>
          <w:rPr>
            <w:spacing w:val="-2"/>
            <w:sz w:val="18"/>
          </w:rPr>
          <w:t xml:space="preserve"> </w:t>
        </w:r>
        <w:r>
          <w:rPr>
            <w:sz w:val="18"/>
          </w:rPr>
          <w:t>the</w:t>
        </w:r>
        <w:r>
          <w:rPr>
            <w:spacing w:val="-3"/>
            <w:sz w:val="18"/>
          </w:rPr>
          <w:t xml:space="preserve"> </w:t>
        </w:r>
        <w:r>
          <w:rPr>
            <w:sz w:val="18"/>
          </w:rPr>
          <w:t>Child</w:t>
        </w:r>
        <w:r>
          <w:rPr>
            <w:spacing w:val="-3"/>
            <w:sz w:val="18"/>
          </w:rPr>
          <w:t xml:space="preserve"> </w:t>
        </w:r>
        <w:r>
          <w:rPr>
            <w:sz w:val="18"/>
          </w:rPr>
          <w:t>Welfare</w:t>
        </w:r>
        <w:r>
          <w:rPr>
            <w:spacing w:val="-3"/>
            <w:sz w:val="18"/>
          </w:rPr>
          <w:t xml:space="preserve"> </w:t>
        </w:r>
        <w:r>
          <w:rPr>
            <w:sz w:val="18"/>
          </w:rPr>
          <w:t>and</w:t>
        </w:r>
        <w:r>
          <w:rPr>
            <w:spacing w:val="-3"/>
            <w:sz w:val="18"/>
          </w:rPr>
          <w:t xml:space="preserve"> </w:t>
        </w:r>
        <w:r>
          <w:rPr>
            <w:sz w:val="18"/>
          </w:rPr>
          <w:t>Juvenile</w:t>
        </w:r>
        <w:r>
          <w:rPr>
            <w:spacing w:val="-3"/>
            <w:sz w:val="18"/>
          </w:rPr>
          <w:t xml:space="preserve"> </w:t>
        </w:r>
        <w:r>
          <w:rPr>
            <w:sz w:val="18"/>
          </w:rPr>
          <w:t>Justice</w:t>
        </w:r>
        <w:r>
          <w:rPr>
            <w:spacing w:val="-3"/>
            <w:sz w:val="18"/>
          </w:rPr>
          <w:t xml:space="preserve"> </w:t>
        </w:r>
        <w:r>
          <w:rPr>
            <w:sz w:val="18"/>
          </w:rPr>
          <w:t>Systems,”</w:t>
        </w:r>
      </w:hyperlink>
      <w:r>
        <w:rPr>
          <w:sz w:val="18"/>
        </w:rPr>
        <w:t xml:space="preserve"> </w:t>
      </w:r>
      <w:hyperlink r:id="rId100">
        <w:r>
          <w:rPr>
            <w:sz w:val="18"/>
          </w:rPr>
          <w:t>A Research</w:t>
        </w:r>
        <w:r>
          <w:rPr>
            <w:spacing w:val="15"/>
            <w:sz w:val="18"/>
          </w:rPr>
          <w:t xml:space="preserve"> </w:t>
        </w:r>
        <w:r>
          <w:rPr>
            <w:sz w:val="18"/>
          </w:rPr>
          <w:t>Agenda</w:t>
        </w:r>
        <w:r>
          <w:rPr>
            <w:spacing w:val="13"/>
            <w:sz w:val="18"/>
          </w:rPr>
          <w:t xml:space="preserve"> </w:t>
        </w:r>
        <w:r>
          <w:rPr>
            <w:sz w:val="18"/>
          </w:rPr>
          <w:t>(Williams Institute:</w:t>
        </w:r>
        <w:r>
          <w:rPr>
            <w:spacing w:val="13"/>
            <w:sz w:val="18"/>
          </w:rPr>
          <w:t xml:space="preserve"> </w:t>
        </w:r>
        <w:r>
          <w:rPr>
            <w:sz w:val="18"/>
          </w:rPr>
          <w:t>UCLA</w:t>
        </w:r>
        <w:r>
          <w:rPr>
            <w:spacing w:val="15"/>
            <w:sz w:val="18"/>
          </w:rPr>
          <w:t xml:space="preserve"> </w:t>
        </w:r>
        <w:r>
          <w:rPr>
            <w:sz w:val="18"/>
          </w:rPr>
          <w:t>School of</w:t>
        </w:r>
        <w:r>
          <w:rPr>
            <w:spacing w:val="13"/>
            <w:sz w:val="18"/>
          </w:rPr>
          <w:t xml:space="preserve"> </w:t>
        </w:r>
        <w:r>
          <w:rPr>
            <w:sz w:val="18"/>
          </w:rPr>
          <w:t>Law,</w:t>
        </w:r>
        <w:r>
          <w:rPr>
            <w:spacing w:val="13"/>
            <w:sz w:val="18"/>
          </w:rPr>
          <w:t xml:space="preserve"> </w:t>
        </w:r>
        <w:r>
          <w:rPr>
            <w:sz w:val="18"/>
          </w:rPr>
          <w:t>July</w:t>
        </w:r>
        <w:r>
          <w:rPr>
            <w:spacing w:val="13"/>
            <w:sz w:val="18"/>
          </w:rPr>
          <w:t xml:space="preserve"> </w:t>
        </w:r>
        <w:r>
          <w:rPr>
            <w:sz w:val="18"/>
          </w:rPr>
          <w:t>2019),</w:t>
        </w:r>
      </w:hyperlink>
      <w:r>
        <w:rPr>
          <w:spacing w:val="40"/>
          <w:sz w:val="18"/>
        </w:rPr>
        <w:t xml:space="preserve"> </w:t>
      </w:r>
      <w:hyperlink r:id="rId101">
        <w:r>
          <w:rPr>
            <w:spacing w:val="-2"/>
            <w:sz w:val="18"/>
          </w:rPr>
          <w:t>https://williamsinstitute.law.ucla.edu/publications/lgbtq-yoc-social-services/.</w:t>
        </w:r>
      </w:hyperlink>
    </w:p>
    <w:p w:rsidR="00200FDA" w:rsidRDefault="00F76C4C">
      <w:pPr>
        <w:ind w:left="140" w:right="161" w:hanging="1"/>
        <w:rPr>
          <w:sz w:val="18"/>
        </w:rPr>
      </w:pPr>
      <w:bookmarkStart w:id="91" w:name="_bookmark20"/>
      <w:bookmarkEnd w:id="91"/>
      <w:r>
        <w:rPr>
          <w:position w:val="5"/>
          <w:sz w:val="12"/>
        </w:rPr>
        <w:t>15</w:t>
      </w:r>
      <w:r>
        <w:rPr>
          <w:spacing w:val="18"/>
          <w:position w:val="5"/>
          <w:sz w:val="12"/>
        </w:rPr>
        <w:t xml:space="preserve"> </w:t>
      </w:r>
      <w:hyperlink r:id="rId102">
        <w:r>
          <w:rPr>
            <w:sz w:val="18"/>
          </w:rPr>
          <w:t>Rank, Mark and Hirschl, Tom, “America’s Poor Are Wo</w:t>
        </w:r>
        <w:r>
          <w:rPr>
            <w:sz w:val="18"/>
          </w:rPr>
          <w:t>rse Off Than Elsewhere,” Confronting Poverty, School of Social Work,</w:t>
        </w:r>
      </w:hyperlink>
      <w:r>
        <w:rPr>
          <w:sz w:val="18"/>
        </w:rPr>
        <w:t xml:space="preserve"> </w:t>
      </w:r>
      <w:hyperlink r:id="rId103">
        <w:r>
          <w:rPr>
            <w:sz w:val="18"/>
          </w:rPr>
          <w:t>Washington</w:t>
        </w:r>
        <w:r>
          <w:rPr>
            <w:spacing w:val="-7"/>
            <w:sz w:val="18"/>
          </w:rPr>
          <w:t xml:space="preserve"> </w:t>
        </w:r>
        <w:r>
          <w:rPr>
            <w:sz w:val="18"/>
          </w:rPr>
          <w:t>University</w:t>
        </w:r>
        <w:r>
          <w:rPr>
            <w:spacing w:val="-6"/>
            <w:sz w:val="18"/>
          </w:rPr>
          <w:t xml:space="preserve"> </w:t>
        </w:r>
        <w:r>
          <w:rPr>
            <w:sz w:val="18"/>
          </w:rPr>
          <w:t>of</w:t>
        </w:r>
        <w:r>
          <w:rPr>
            <w:spacing w:val="-6"/>
            <w:sz w:val="18"/>
          </w:rPr>
          <w:t xml:space="preserve"> </w:t>
        </w:r>
        <w:r>
          <w:rPr>
            <w:sz w:val="18"/>
          </w:rPr>
          <w:t>Saint</w:t>
        </w:r>
        <w:r>
          <w:rPr>
            <w:spacing w:val="-7"/>
            <w:sz w:val="18"/>
          </w:rPr>
          <w:t xml:space="preserve"> </w:t>
        </w:r>
        <w:r>
          <w:rPr>
            <w:sz w:val="18"/>
          </w:rPr>
          <w:t>Louis,</w:t>
        </w:r>
        <w:r>
          <w:rPr>
            <w:spacing w:val="-6"/>
            <w:sz w:val="18"/>
          </w:rPr>
          <w:t xml:space="preserve"> </w:t>
        </w:r>
        <w:r>
          <w:rPr>
            <w:sz w:val="18"/>
          </w:rPr>
          <w:t>2023,</w:t>
        </w:r>
        <w:r>
          <w:rPr>
            <w:spacing w:val="-6"/>
            <w:sz w:val="18"/>
          </w:rPr>
          <w:t xml:space="preserve"> </w:t>
        </w:r>
        <w:r>
          <w:rPr>
            <w:sz w:val="18"/>
          </w:rPr>
          <w:t>https://confrontingpoverty.org/poverty-facts-and-myths/americas-poor-are-worse-</w:t>
        </w:r>
      </w:hyperlink>
      <w:r>
        <w:rPr>
          <w:sz w:val="18"/>
        </w:rPr>
        <w:t xml:space="preserve"> </w:t>
      </w:r>
      <w:hyperlink r:id="rId104">
        <w:r>
          <w:rPr>
            <w:spacing w:val="-2"/>
            <w:sz w:val="18"/>
          </w:rPr>
          <w:t>off-than-elsewhere/.</w:t>
        </w:r>
      </w:hyperlink>
    </w:p>
    <w:p w:rsidR="00200FDA" w:rsidRDefault="00F76C4C">
      <w:pPr>
        <w:ind w:left="140" w:right="139" w:hanging="1"/>
        <w:rPr>
          <w:sz w:val="18"/>
        </w:rPr>
      </w:pPr>
      <w:bookmarkStart w:id="92" w:name="_bookmark21"/>
      <w:bookmarkEnd w:id="92"/>
      <w:r>
        <w:rPr>
          <w:position w:val="5"/>
          <w:sz w:val="12"/>
        </w:rPr>
        <w:t>16</w:t>
      </w:r>
      <w:r>
        <w:rPr>
          <w:spacing w:val="10"/>
          <w:position w:val="5"/>
          <w:sz w:val="12"/>
        </w:rPr>
        <w:t xml:space="preserve"> </w:t>
      </w:r>
      <w:hyperlink r:id="rId105">
        <w:r>
          <w:rPr>
            <w:sz w:val="18"/>
          </w:rPr>
          <w:t>US</w:t>
        </w:r>
        <w:r>
          <w:rPr>
            <w:spacing w:val="-3"/>
            <w:sz w:val="18"/>
          </w:rPr>
          <w:t xml:space="preserve"> </w:t>
        </w:r>
        <w:r>
          <w:rPr>
            <w:sz w:val="18"/>
          </w:rPr>
          <w:t>Census</w:t>
        </w:r>
        <w:r>
          <w:rPr>
            <w:spacing w:val="-3"/>
            <w:sz w:val="18"/>
          </w:rPr>
          <w:t xml:space="preserve"> </w:t>
        </w:r>
        <w:r>
          <w:rPr>
            <w:sz w:val="18"/>
          </w:rPr>
          <w:t>Bureau,</w:t>
        </w:r>
        <w:r>
          <w:rPr>
            <w:spacing w:val="-2"/>
            <w:sz w:val="18"/>
          </w:rPr>
          <w:t xml:space="preserve"> </w:t>
        </w:r>
        <w:r>
          <w:rPr>
            <w:sz w:val="18"/>
          </w:rPr>
          <w:t>“Poverty</w:t>
        </w:r>
        <w:r>
          <w:rPr>
            <w:spacing w:val="-2"/>
            <w:sz w:val="18"/>
          </w:rPr>
          <w:t xml:space="preserve"> </w:t>
        </w:r>
        <w:r>
          <w:rPr>
            <w:sz w:val="18"/>
          </w:rPr>
          <w:t>Rate</w:t>
        </w:r>
        <w:r>
          <w:rPr>
            <w:spacing w:val="-3"/>
            <w:sz w:val="18"/>
          </w:rPr>
          <w:t xml:space="preserve"> </w:t>
        </w:r>
        <w:r>
          <w:rPr>
            <w:sz w:val="18"/>
          </w:rPr>
          <w:t>of</w:t>
        </w:r>
        <w:r>
          <w:rPr>
            <w:spacing w:val="-2"/>
            <w:sz w:val="18"/>
          </w:rPr>
          <w:t xml:space="preserve"> </w:t>
        </w:r>
        <w:r>
          <w:rPr>
            <w:sz w:val="18"/>
          </w:rPr>
          <w:t>Children</w:t>
        </w:r>
        <w:r>
          <w:rPr>
            <w:spacing w:val="-3"/>
            <w:sz w:val="18"/>
          </w:rPr>
          <w:t xml:space="preserve"> </w:t>
        </w:r>
        <w:r>
          <w:rPr>
            <w:sz w:val="18"/>
          </w:rPr>
          <w:t>Higher</w:t>
        </w:r>
        <w:r>
          <w:rPr>
            <w:spacing w:val="-3"/>
            <w:sz w:val="18"/>
          </w:rPr>
          <w:t xml:space="preserve"> </w:t>
        </w:r>
        <w:r>
          <w:rPr>
            <w:sz w:val="18"/>
          </w:rPr>
          <w:t>Than</w:t>
        </w:r>
        <w:r>
          <w:rPr>
            <w:spacing w:val="-3"/>
            <w:sz w:val="18"/>
          </w:rPr>
          <w:t xml:space="preserve"> </w:t>
        </w:r>
        <w:r>
          <w:rPr>
            <w:sz w:val="18"/>
          </w:rPr>
          <w:t>National</w:t>
        </w:r>
        <w:r>
          <w:rPr>
            <w:spacing w:val="-3"/>
            <w:sz w:val="18"/>
          </w:rPr>
          <w:t xml:space="preserve"> </w:t>
        </w:r>
        <w:r>
          <w:rPr>
            <w:sz w:val="18"/>
          </w:rPr>
          <w:t>Rate,</w:t>
        </w:r>
        <w:r>
          <w:rPr>
            <w:spacing w:val="-2"/>
            <w:sz w:val="18"/>
          </w:rPr>
          <w:t xml:space="preserve"> </w:t>
        </w:r>
        <w:r>
          <w:rPr>
            <w:sz w:val="18"/>
          </w:rPr>
          <w:t>Lower</w:t>
        </w:r>
        <w:r>
          <w:rPr>
            <w:spacing w:val="-3"/>
            <w:sz w:val="18"/>
          </w:rPr>
          <w:t xml:space="preserve"> </w:t>
        </w:r>
        <w:r>
          <w:rPr>
            <w:sz w:val="18"/>
          </w:rPr>
          <w:t>for</w:t>
        </w:r>
        <w:r>
          <w:rPr>
            <w:spacing w:val="-3"/>
            <w:sz w:val="18"/>
          </w:rPr>
          <w:t xml:space="preserve"> </w:t>
        </w:r>
        <w:r>
          <w:rPr>
            <w:sz w:val="18"/>
          </w:rPr>
          <w:t>Older</w:t>
        </w:r>
        <w:r>
          <w:rPr>
            <w:spacing w:val="-3"/>
            <w:sz w:val="18"/>
          </w:rPr>
          <w:t xml:space="preserve"> </w:t>
        </w:r>
        <w:r>
          <w:rPr>
            <w:sz w:val="18"/>
          </w:rPr>
          <w:t>Populations,”</w:t>
        </w:r>
      </w:hyperlink>
      <w:r>
        <w:rPr>
          <w:spacing w:val="-3"/>
          <w:sz w:val="18"/>
        </w:rPr>
        <w:t xml:space="preserve"> </w:t>
      </w:r>
      <w:hyperlink r:id="rId106">
        <w:r>
          <w:rPr>
            <w:i/>
            <w:sz w:val="18"/>
          </w:rPr>
          <w:t>Census.Gov</w:t>
        </w:r>
      </w:hyperlink>
      <w:hyperlink r:id="rId107">
        <w:r>
          <w:rPr>
            <w:sz w:val="18"/>
          </w:rPr>
          <w:t>,</w:t>
        </w:r>
        <w:r>
          <w:rPr>
            <w:spacing w:val="-2"/>
            <w:sz w:val="18"/>
          </w:rPr>
          <w:t xml:space="preserve"> </w:t>
        </w:r>
        <w:r>
          <w:rPr>
            <w:sz w:val="18"/>
          </w:rPr>
          <w:t>October</w:t>
        </w:r>
      </w:hyperlink>
      <w:r>
        <w:rPr>
          <w:sz w:val="18"/>
        </w:rPr>
        <w:t xml:space="preserve"> </w:t>
      </w:r>
      <w:hyperlink r:id="rId108">
        <w:r>
          <w:rPr>
            <w:sz w:val="18"/>
          </w:rPr>
          <w:t>2022, https://www.census.gov/library/stories/2022/10</w:t>
        </w:r>
        <w:r>
          <w:rPr>
            <w:sz w:val="18"/>
          </w:rPr>
          <w:t>/poverty-rate-varies-by-age-groups.html.</w:t>
        </w:r>
      </w:hyperlink>
    </w:p>
    <w:p w:rsidR="00200FDA" w:rsidRDefault="00F76C4C">
      <w:pPr>
        <w:ind w:left="140" w:right="171" w:hanging="1"/>
        <w:rPr>
          <w:sz w:val="18"/>
        </w:rPr>
      </w:pPr>
      <w:bookmarkStart w:id="93" w:name="_bookmark22"/>
      <w:bookmarkEnd w:id="93"/>
      <w:r>
        <w:rPr>
          <w:position w:val="5"/>
          <w:sz w:val="12"/>
        </w:rPr>
        <w:t>17</w:t>
      </w:r>
      <w:r>
        <w:rPr>
          <w:spacing w:val="10"/>
          <w:position w:val="5"/>
          <w:sz w:val="12"/>
        </w:rPr>
        <w:t xml:space="preserve"> </w:t>
      </w:r>
      <w:hyperlink r:id="rId109">
        <w:r>
          <w:rPr>
            <w:sz w:val="18"/>
          </w:rPr>
          <w:t>Anne</w:t>
        </w:r>
        <w:r>
          <w:rPr>
            <w:spacing w:val="-3"/>
            <w:sz w:val="18"/>
          </w:rPr>
          <w:t xml:space="preserve"> </w:t>
        </w:r>
        <w:r>
          <w:rPr>
            <w:sz w:val="18"/>
          </w:rPr>
          <w:t>Calef,</w:t>
        </w:r>
        <w:r>
          <w:rPr>
            <w:spacing w:val="-2"/>
            <w:sz w:val="18"/>
          </w:rPr>
          <w:t xml:space="preserve"> </w:t>
        </w:r>
        <w:r>
          <w:rPr>
            <w:sz w:val="18"/>
          </w:rPr>
          <w:t>“Massachusetts</w:t>
        </w:r>
        <w:r>
          <w:rPr>
            <w:spacing w:val="-1"/>
            <w:sz w:val="18"/>
          </w:rPr>
          <w:t xml:space="preserve"> </w:t>
        </w:r>
        <w:r>
          <w:rPr>
            <w:sz w:val="18"/>
          </w:rPr>
          <w:t>Shows</w:t>
        </w:r>
        <w:r>
          <w:rPr>
            <w:spacing w:val="-3"/>
            <w:sz w:val="18"/>
          </w:rPr>
          <w:t xml:space="preserve"> </w:t>
        </w:r>
        <w:r>
          <w:rPr>
            <w:sz w:val="18"/>
          </w:rPr>
          <w:t>Progress</w:t>
        </w:r>
        <w:r>
          <w:rPr>
            <w:spacing w:val="-3"/>
            <w:sz w:val="18"/>
          </w:rPr>
          <w:t xml:space="preserve"> </w:t>
        </w:r>
        <w:r>
          <w:rPr>
            <w:sz w:val="18"/>
          </w:rPr>
          <w:t>on</w:t>
        </w:r>
        <w:r>
          <w:rPr>
            <w:spacing w:val="-3"/>
            <w:sz w:val="18"/>
          </w:rPr>
          <w:t xml:space="preserve"> </w:t>
        </w:r>
        <w:r>
          <w:rPr>
            <w:sz w:val="18"/>
          </w:rPr>
          <w:t>Poverty,</w:t>
        </w:r>
        <w:r>
          <w:rPr>
            <w:spacing w:val="-2"/>
            <w:sz w:val="18"/>
          </w:rPr>
          <w:t xml:space="preserve"> </w:t>
        </w:r>
        <w:r>
          <w:rPr>
            <w:sz w:val="18"/>
          </w:rPr>
          <w:t>but</w:t>
        </w:r>
        <w:r>
          <w:rPr>
            <w:spacing w:val="-3"/>
            <w:sz w:val="18"/>
          </w:rPr>
          <w:t xml:space="preserve"> </w:t>
        </w:r>
        <w:r>
          <w:rPr>
            <w:sz w:val="18"/>
          </w:rPr>
          <w:t>Remains</w:t>
        </w:r>
        <w:r>
          <w:rPr>
            <w:spacing w:val="-3"/>
            <w:sz w:val="18"/>
          </w:rPr>
          <w:t xml:space="preserve"> </w:t>
        </w:r>
        <w:r>
          <w:rPr>
            <w:sz w:val="18"/>
          </w:rPr>
          <w:t>Worse</w:t>
        </w:r>
        <w:r>
          <w:rPr>
            <w:spacing w:val="-3"/>
            <w:sz w:val="18"/>
          </w:rPr>
          <w:t xml:space="preserve"> </w:t>
        </w:r>
        <w:r>
          <w:rPr>
            <w:sz w:val="18"/>
          </w:rPr>
          <w:t>than</w:t>
        </w:r>
        <w:r>
          <w:rPr>
            <w:spacing w:val="-3"/>
            <w:sz w:val="18"/>
          </w:rPr>
          <w:t xml:space="preserve"> </w:t>
        </w:r>
        <w:r>
          <w:rPr>
            <w:sz w:val="18"/>
          </w:rPr>
          <w:t>21</w:t>
        </w:r>
        <w:r>
          <w:rPr>
            <w:spacing w:val="-2"/>
            <w:sz w:val="18"/>
          </w:rPr>
          <w:t xml:space="preserve"> </w:t>
        </w:r>
        <w:r>
          <w:rPr>
            <w:sz w:val="18"/>
          </w:rPr>
          <w:t>Other States</w:t>
        </w:r>
        <w:r>
          <w:rPr>
            <w:spacing w:val="-1"/>
            <w:sz w:val="18"/>
          </w:rPr>
          <w:t xml:space="preserve"> </w:t>
        </w:r>
        <w:r>
          <w:rPr>
            <w:sz w:val="18"/>
          </w:rPr>
          <w:t>Due</w:t>
        </w:r>
        <w:r>
          <w:rPr>
            <w:spacing w:val="-3"/>
            <w:sz w:val="18"/>
          </w:rPr>
          <w:t xml:space="preserve"> </w:t>
        </w:r>
        <w:r>
          <w:rPr>
            <w:sz w:val="18"/>
          </w:rPr>
          <w:t>to</w:t>
        </w:r>
        <w:r>
          <w:rPr>
            <w:spacing w:val="-1"/>
            <w:sz w:val="18"/>
          </w:rPr>
          <w:t xml:space="preserve"> </w:t>
        </w:r>
        <w:r>
          <w:rPr>
            <w:sz w:val="18"/>
          </w:rPr>
          <w:t>High</w:t>
        </w:r>
        <w:r>
          <w:rPr>
            <w:spacing w:val="-3"/>
            <w:sz w:val="18"/>
          </w:rPr>
          <w:t xml:space="preserve"> </w:t>
        </w:r>
        <w:r>
          <w:rPr>
            <w:sz w:val="18"/>
          </w:rPr>
          <w:t>Cost</w:t>
        </w:r>
        <w:r>
          <w:rPr>
            <w:spacing w:val="-3"/>
            <w:sz w:val="18"/>
          </w:rPr>
          <w:t xml:space="preserve"> </w:t>
        </w:r>
        <w:r>
          <w:rPr>
            <w:sz w:val="18"/>
          </w:rPr>
          <w:t>of</w:t>
        </w:r>
        <w:r>
          <w:rPr>
            <w:spacing w:val="-2"/>
            <w:sz w:val="18"/>
          </w:rPr>
          <w:t xml:space="preserve"> </w:t>
        </w:r>
        <w:r>
          <w:rPr>
            <w:sz w:val="18"/>
          </w:rPr>
          <w:t>Living,”</w:t>
        </w:r>
      </w:hyperlink>
      <w:r>
        <w:rPr>
          <w:sz w:val="18"/>
        </w:rPr>
        <w:t xml:space="preserve"> </w:t>
      </w:r>
      <w:hyperlink r:id="rId110">
        <w:r>
          <w:rPr>
            <w:i/>
            <w:sz w:val="18"/>
          </w:rPr>
          <w:t>Boston Indicators</w:t>
        </w:r>
      </w:hyperlink>
      <w:hyperlink r:id="rId111">
        <w:r>
          <w:rPr>
            <w:sz w:val="18"/>
          </w:rPr>
          <w:t>, September 21, 2022, https://www.bostonindicators.org/article-pages/2022/september/supplemental-</w:t>
        </w:r>
      </w:hyperlink>
      <w:r>
        <w:rPr>
          <w:sz w:val="18"/>
        </w:rPr>
        <w:t xml:space="preserve"> </w:t>
      </w:r>
      <w:hyperlink r:id="rId112">
        <w:r>
          <w:rPr>
            <w:spacing w:val="-2"/>
            <w:sz w:val="18"/>
          </w:rPr>
          <w:t>poverty-measure-2022.</w:t>
        </w:r>
      </w:hyperlink>
    </w:p>
    <w:p w:rsidR="00200FDA" w:rsidRDefault="00F76C4C">
      <w:pPr>
        <w:ind w:left="140" w:right="368" w:hanging="1"/>
        <w:rPr>
          <w:sz w:val="18"/>
        </w:rPr>
      </w:pPr>
      <w:bookmarkStart w:id="94" w:name="_bookmark23"/>
      <w:bookmarkEnd w:id="94"/>
      <w:r>
        <w:rPr>
          <w:position w:val="5"/>
          <w:sz w:val="12"/>
        </w:rPr>
        <w:t>18</w:t>
      </w:r>
      <w:r>
        <w:rPr>
          <w:spacing w:val="10"/>
          <w:position w:val="5"/>
          <w:sz w:val="12"/>
        </w:rPr>
        <w:t xml:space="preserve"> </w:t>
      </w:r>
      <w:hyperlink r:id="rId113">
        <w:r>
          <w:rPr>
            <w:sz w:val="18"/>
          </w:rPr>
          <w:t>Andrew</w:t>
        </w:r>
        <w:r>
          <w:rPr>
            <w:spacing w:val="-1"/>
            <w:sz w:val="18"/>
          </w:rPr>
          <w:t xml:space="preserve"> </w:t>
        </w:r>
        <w:r>
          <w:rPr>
            <w:sz w:val="18"/>
          </w:rPr>
          <w:t>R.</w:t>
        </w:r>
        <w:r>
          <w:rPr>
            <w:spacing w:val="-2"/>
            <w:sz w:val="18"/>
          </w:rPr>
          <w:t xml:space="preserve"> </w:t>
        </w:r>
        <w:r>
          <w:rPr>
            <w:sz w:val="18"/>
          </w:rPr>
          <w:t>Flores,</w:t>
        </w:r>
        <w:r>
          <w:rPr>
            <w:spacing w:val="-2"/>
            <w:sz w:val="18"/>
          </w:rPr>
          <w:t xml:space="preserve"> </w:t>
        </w:r>
        <w:r>
          <w:rPr>
            <w:sz w:val="18"/>
          </w:rPr>
          <w:t>“Social</w:t>
        </w:r>
        <w:r>
          <w:rPr>
            <w:spacing w:val="-3"/>
            <w:sz w:val="18"/>
          </w:rPr>
          <w:t xml:space="preserve"> </w:t>
        </w:r>
        <w:r>
          <w:rPr>
            <w:sz w:val="18"/>
          </w:rPr>
          <w:t>Acceptance</w:t>
        </w:r>
        <w:r>
          <w:rPr>
            <w:spacing w:val="-3"/>
            <w:sz w:val="18"/>
          </w:rPr>
          <w:t xml:space="preserve"> </w:t>
        </w:r>
        <w:r>
          <w:rPr>
            <w:sz w:val="18"/>
          </w:rPr>
          <w:t>of</w:t>
        </w:r>
        <w:r>
          <w:rPr>
            <w:spacing w:val="-2"/>
            <w:sz w:val="18"/>
          </w:rPr>
          <w:t xml:space="preserve"> </w:t>
        </w:r>
        <w:r>
          <w:rPr>
            <w:sz w:val="18"/>
          </w:rPr>
          <w:t>LGBTI</w:t>
        </w:r>
        <w:r>
          <w:rPr>
            <w:spacing w:val="-2"/>
            <w:sz w:val="18"/>
          </w:rPr>
          <w:t xml:space="preserve"> </w:t>
        </w:r>
        <w:r>
          <w:rPr>
            <w:sz w:val="18"/>
          </w:rPr>
          <w:t>People</w:t>
        </w:r>
        <w:r>
          <w:rPr>
            <w:spacing w:val="-3"/>
            <w:sz w:val="18"/>
          </w:rPr>
          <w:t xml:space="preserve"> </w:t>
        </w:r>
        <w:r>
          <w:rPr>
            <w:sz w:val="18"/>
          </w:rPr>
          <w:t>in</w:t>
        </w:r>
        <w:r>
          <w:rPr>
            <w:spacing w:val="-3"/>
            <w:sz w:val="18"/>
          </w:rPr>
          <w:t xml:space="preserve"> </w:t>
        </w:r>
        <w:r>
          <w:rPr>
            <w:sz w:val="18"/>
          </w:rPr>
          <w:t>175</w:t>
        </w:r>
        <w:r>
          <w:rPr>
            <w:spacing w:val="-2"/>
            <w:sz w:val="18"/>
          </w:rPr>
          <w:t xml:space="preserve"> </w:t>
        </w:r>
        <w:r>
          <w:rPr>
            <w:sz w:val="18"/>
          </w:rPr>
          <w:t>Countries</w:t>
        </w:r>
        <w:r>
          <w:rPr>
            <w:spacing w:val="-3"/>
            <w:sz w:val="18"/>
          </w:rPr>
          <w:t xml:space="preserve"> </w:t>
        </w:r>
        <w:r>
          <w:rPr>
            <w:sz w:val="18"/>
          </w:rPr>
          <w:t>and</w:t>
        </w:r>
        <w:r>
          <w:rPr>
            <w:spacing w:val="-3"/>
            <w:sz w:val="18"/>
          </w:rPr>
          <w:t xml:space="preserve"> </w:t>
        </w:r>
        <w:r>
          <w:rPr>
            <w:sz w:val="18"/>
          </w:rPr>
          <w:t>Locations”</w:t>
        </w:r>
        <w:r>
          <w:rPr>
            <w:spacing w:val="-3"/>
            <w:sz w:val="18"/>
          </w:rPr>
          <w:t xml:space="preserve"> </w:t>
        </w:r>
        <w:r>
          <w:rPr>
            <w:sz w:val="18"/>
          </w:rPr>
          <w:t>(Williams</w:t>
        </w:r>
        <w:r>
          <w:rPr>
            <w:spacing w:val="-3"/>
            <w:sz w:val="18"/>
          </w:rPr>
          <w:t xml:space="preserve"> </w:t>
        </w:r>
        <w:r>
          <w:rPr>
            <w:sz w:val="18"/>
          </w:rPr>
          <w:t>Institute:</w:t>
        </w:r>
        <w:r>
          <w:rPr>
            <w:spacing w:val="-2"/>
            <w:sz w:val="18"/>
          </w:rPr>
          <w:t xml:space="preserve"> </w:t>
        </w:r>
        <w:r>
          <w:rPr>
            <w:sz w:val="18"/>
          </w:rPr>
          <w:t>UCLA</w:t>
        </w:r>
        <w:r>
          <w:rPr>
            <w:spacing w:val="-1"/>
            <w:sz w:val="18"/>
          </w:rPr>
          <w:t xml:space="preserve"> </w:t>
        </w:r>
        <w:r>
          <w:rPr>
            <w:sz w:val="18"/>
          </w:rPr>
          <w:t>School</w:t>
        </w:r>
        <w:r>
          <w:rPr>
            <w:spacing w:val="-3"/>
            <w:sz w:val="18"/>
          </w:rPr>
          <w:t xml:space="preserve"> </w:t>
        </w:r>
        <w:r>
          <w:rPr>
            <w:sz w:val="18"/>
          </w:rPr>
          <w:t>of</w:t>
        </w:r>
      </w:hyperlink>
      <w:r>
        <w:rPr>
          <w:sz w:val="18"/>
        </w:rPr>
        <w:t xml:space="preserve"> </w:t>
      </w:r>
      <w:hyperlink r:id="rId114">
        <w:r>
          <w:rPr>
            <w:sz w:val="18"/>
          </w:rPr>
          <w:t>Law, November 2021), https://williamsinstitute.law.ucla.edu/publications/global-acceptance-index-lgbt/.</w:t>
        </w:r>
      </w:hyperlink>
    </w:p>
    <w:p w:rsidR="00200FDA" w:rsidRDefault="00F76C4C">
      <w:pPr>
        <w:ind w:left="140" w:right="148" w:hanging="1"/>
        <w:rPr>
          <w:sz w:val="18"/>
        </w:rPr>
      </w:pPr>
      <w:bookmarkStart w:id="95" w:name="_bookmark24"/>
      <w:bookmarkEnd w:id="95"/>
      <w:r>
        <w:rPr>
          <w:position w:val="5"/>
          <w:sz w:val="12"/>
        </w:rPr>
        <w:t>19</w:t>
      </w:r>
      <w:r>
        <w:rPr>
          <w:spacing w:val="10"/>
          <w:position w:val="5"/>
          <w:sz w:val="12"/>
        </w:rPr>
        <w:t xml:space="preserve"> </w:t>
      </w:r>
      <w:hyperlink r:id="rId115">
        <w:r>
          <w:rPr>
            <w:sz w:val="18"/>
          </w:rPr>
          <w:t>M.V.</w:t>
        </w:r>
        <w:r>
          <w:rPr>
            <w:spacing w:val="-2"/>
            <w:sz w:val="18"/>
          </w:rPr>
          <w:t xml:space="preserve"> </w:t>
        </w:r>
        <w:r>
          <w:rPr>
            <w:sz w:val="18"/>
          </w:rPr>
          <w:t>Lee</w:t>
        </w:r>
        <w:r>
          <w:rPr>
            <w:spacing w:val="-3"/>
            <w:sz w:val="18"/>
          </w:rPr>
          <w:t xml:space="preserve"> </w:t>
        </w:r>
        <w:r>
          <w:rPr>
            <w:sz w:val="18"/>
          </w:rPr>
          <w:t>Badgett,</w:t>
        </w:r>
        <w:r>
          <w:rPr>
            <w:spacing w:val="-2"/>
            <w:sz w:val="18"/>
          </w:rPr>
          <w:t xml:space="preserve"> </w:t>
        </w:r>
        <w:r>
          <w:rPr>
            <w:sz w:val="18"/>
          </w:rPr>
          <w:t>Kees</w:t>
        </w:r>
        <w:r>
          <w:rPr>
            <w:spacing w:val="-3"/>
            <w:sz w:val="18"/>
          </w:rPr>
          <w:t xml:space="preserve"> </w:t>
        </w:r>
        <w:r>
          <w:rPr>
            <w:sz w:val="18"/>
          </w:rPr>
          <w:t>Waal</w:t>
        </w:r>
        <w:r>
          <w:rPr>
            <w:sz w:val="18"/>
          </w:rPr>
          <w:t>dijk,</w:t>
        </w:r>
        <w:r>
          <w:rPr>
            <w:spacing w:val="-2"/>
            <w:sz w:val="18"/>
          </w:rPr>
          <w:t xml:space="preserve"> </w:t>
        </w:r>
        <w:r>
          <w:rPr>
            <w:sz w:val="18"/>
          </w:rPr>
          <w:t>and</w:t>
        </w:r>
        <w:r>
          <w:rPr>
            <w:spacing w:val="-3"/>
            <w:sz w:val="18"/>
          </w:rPr>
          <w:t xml:space="preserve"> </w:t>
        </w:r>
        <w:r>
          <w:rPr>
            <w:sz w:val="18"/>
          </w:rPr>
          <w:t>Yana</w:t>
        </w:r>
        <w:r>
          <w:rPr>
            <w:spacing w:val="-2"/>
            <w:sz w:val="18"/>
          </w:rPr>
          <w:t xml:space="preserve"> </w:t>
        </w:r>
        <w:r>
          <w:rPr>
            <w:sz w:val="18"/>
          </w:rPr>
          <w:t>van</w:t>
        </w:r>
        <w:r>
          <w:rPr>
            <w:spacing w:val="-3"/>
            <w:sz w:val="18"/>
          </w:rPr>
          <w:t xml:space="preserve"> </w:t>
        </w:r>
        <w:r>
          <w:rPr>
            <w:sz w:val="18"/>
          </w:rPr>
          <w:t>der Meulen</w:t>
        </w:r>
        <w:r>
          <w:rPr>
            <w:spacing w:val="-3"/>
            <w:sz w:val="18"/>
          </w:rPr>
          <w:t xml:space="preserve"> </w:t>
        </w:r>
        <w:r>
          <w:rPr>
            <w:sz w:val="18"/>
          </w:rPr>
          <w:t>Rodgers,</w:t>
        </w:r>
        <w:r>
          <w:rPr>
            <w:spacing w:val="-2"/>
            <w:sz w:val="18"/>
          </w:rPr>
          <w:t xml:space="preserve"> </w:t>
        </w:r>
        <w:r>
          <w:rPr>
            <w:sz w:val="18"/>
          </w:rPr>
          <w:t>“The</w:t>
        </w:r>
        <w:r>
          <w:rPr>
            <w:spacing w:val="-3"/>
            <w:sz w:val="18"/>
          </w:rPr>
          <w:t xml:space="preserve"> </w:t>
        </w:r>
        <w:r>
          <w:rPr>
            <w:sz w:val="18"/>
          </w:rPr>
          <w:t>Relationship</w:t>
        </w:r>
        <w:r>
          <w:rPr>
            <w:spacing w:val="-3"/>
            <w:sz w:val="18"/>
          </w:rPr>
          <w:t xml:space="preserve"> </w:t>
        </w:r>
        <w:r>
          <w:rPr>
            <w:sz w:val="18"/>
          </w:rPr>
          <w:t>between</w:t>
        </w:r>
        <w:r>
          <w:rPr>
            <w:spacing w:val="-3"/>
            <w:sz w:val="18"/>
          </w:rPr>
          <w:t xml:space="preserve"> </w:t>
        </w:r>
        <w:r>
          <w:rPr>
            <w:sz w:val="18"/>
          </w:rPr>
          <w:t>LGBT</w:t>
        </w:r>
        <w:r>
          <w:rPr>
            <w:spacing w:val="-1"/>
            <w:sz w:val="18"/>
          </w:rPr>
          <w:t xml:space="preserve"> </w:t>
        </w:r>
        <w:r>
          <w:rPr>
            <w:sz w:val="18"/>
          </w:rPr>
          <w:t>Inclusion</w:t>
        </w:r>
        <w:r>
          <w:rPr>
            <w:spacing w:val="-3"/>
            <w:sz w:val="18"/>
          </w:rPr>
          <w:t xml:space="preserve"> </w:t>
        </w:r>
        <w:r>
          <w:rPr>
            <w:sz w:val="18"/>
          </w:rPr>
          <w:t>and</w:t>
        </w:r>
        <w:r>
          <w:rPr>
            <w:spacing w:val="-3"/>
            <w:sz w:val="18"/>
          </w:rPr>
          <w:t xml:space="preserve"> </w:t>
        </w:r>
        <w:r>
          <w:rPr>
            <w:sz w:val="18"/>
          </w:rPr>
          <w:t>Economic</w:t>
        </w:r>
      </w:hyperlink>
      <w:r>
        <w:rPr>
          <w:sz w:val="18"/>
        </w:rPr>
        <w:t xml:space="preserve"> </w:t>
      </w:r>
      <w:hyperlink r:id="rId116">
        <w:r>
          <w:rPr>
            <w:sz w:val="18"/>
          </w:rPr>
          <w:t>Development” (Williams Institute: UCLA School of Law, August 2019), https://williamsinstitute.law.ucl</w:t>
        </w:r>
        <w:r>
          <w:rPr>
            <w:sz w:val="18"/>
          </w:rPr>
          <w:t>a.edu/publications/lgbt-</w:t>
        </w:r>
      </w:hyperlink>
      <w:r>
        <w:rPr>
          <w:sz w:val="18"/>
        </w:rPr>
        <w:t xml:space="preserve"> </w:t>
      </w:r>
      <w:hyperlink r:id="rId117">
        <w:r>
          <w:rPr>
            <w:spacing w:val="-2"/>
            <w:sz w:val="18"/>
          </w:rPr>
          <w:t>inclusion-development/.</w:t>
        </w:r>
      </w:hyperlink>
    </w:p>
    <w:p w:rsidR="00200FDA" w:rsidRDefault="00F76C4C">
      <w:pPr>
        <w:ind w:left="139"/>
        <w:rPr>
          <w:sz w:val="18"/>
        </w:rPr>
      </w:pPr>
      <w:bookmarkStart w:id="96" w:name="_bookmark25"/>
      <w:bookmarkEnd w:id="96"/>
      <w:r>
        <w:rPr>
          <w:position w:val="5"/>
          <w:sz w:val="12"/>
        </w:rPr>
        <w:t>20</w:t>
      </w:r>
      <w:r>
        <w:rPr>
          <w:spacing w:val="10"/>
          <w:position w:val="5"/>
          <w:sz w:val="12"/>
        </w:rPr>
        <w:t xml:space="preserve"> </w:t>
      </w:r>
      <w:hyperlink r:id="rId118">
        <w:r>
          <w:rPr>
            <w:sz w:val="18"/>
          </w:rPr>
          <w:t>American</w:t>
        </w:r>
        <w:r>
          <w:rPr>
            <w:spacing w:val="-3"/>
            <w:sz w:val="18"/>
          </w:rPr>
          <w:t xml:space="preserve"> </w:t>
        </w:r>
        <w:r>
          <w:rPr>
            <w:sz w:val="18"/>
          </w:rPr>
          <w:t>Civil</w:t>
        </w:r>
        <w:r>
          <w:rPr>
            <w:spacing w:val="-3"/>
            <w:sz w:val="18"/>
          </w:rPr>
          <w:t xml:space="preserve"> </w:t>
        </w:r>
        <w:r>
          <w:rPr>
            <w:sz w:val="18"/>
          </w:rPr>
          <w:t>Liberties</w:t>
        </w:r>
        <w:r>
          <w:rPr>
            <w:spacing w:val="-3"/>
            <w:sz w:val="18"/>
          </w:rPr>
          <w:t xml:space="preserve"> </w:t>
        </w:r>
        <w:r>
          <w:rPr>
            <w:sz w:val="18"/>
          </w:rPr>
          <w:t>Union,</w:t>
        </w:r>
        <w:r>
          <w:rPr>
            <w:spacing w:val="-2"/>
            <w:sz w:val="18"/>
          </w:rPr>
          <w:t xml:space="preserve"> </w:t>
        </w:r>
        <w:r>
          <w:rPr>
            <w:sz w:val="18"/>
          </w:rPr>
          <w:t>“Mapping</w:t>
        </w:r>
        <w:r>
          <w:rPr>
            <w:spacing w:val="-3"/>
            <w:sz w:val="18"/>
          </w:rPr>
          <w:t xml:space="preserve"> </w:t>
        </w:r>
        <w:r>
          <w:rPr>
            <w:sz w:val="18"/>
          </w:rPr>
          <w:t>Attacks</w:t>
        </w:r>
        <w:r>
          <w:rPr>
            <w:spacing w:val="-3"/>
            <w:sz w:val="18"/>
          </w:rPr>
          <w:t xml:space="preserve"> </w:t>
        </w:r>
        <w:r>
          <w:rPr>
            <w:sz w:val="18"/>
          </w:rPr>
          <w:t>on</w:t>
        </w:r>
        <w:r>
          <w:rPr>
            <w:spacing w:val="-3"/>
            <w:sz w:val="18"/>
          </w:rPr>
          <w:t xml:space="preserve"> </w:t>
        </w:r>
        <w:r>
          <w:rPr>
            <w:sz w:val="18"/>
          </w:rPr>
          <w:t>LGBTQ</w:t>
        </w:r>
        <w:r>
          <w:rPr>
            <w:spacing w:val="-3"/>
            <w:sz w:val="18"/>
          </w:rPr>
          <w:t xml:space="preserve"> </w:t>
        </w:r>
        <w:r>
          <w:rPr>
            <w:sz w:val="18"/>
          </w:rPr>
          <w:t>Rights</w:t>
        </w:r>
        <w:r>
          <w:rPr>
            <w:spacing w:val="-3"/>
            <w:sz w:val="18"/>
          </w:rPr>
          <w:t xml:space="preserve"> </w:t>
        </w:r>
        <w:r>
          <w:rPr>
            <w:sz w:val="18"/>
          </w:rPr>
          <w:t>in</w:t>
        </w:r>
        <w:r>
          <w:rPr>
            <w:spacing w:val="-3"/>
            <w:sz w:val="18"/>
          </w:rPr>
          <w:t xml:space="preserve"> </w:t>
        </w:r>
        <w:r>
          <w:rPr>
            <w:sz w:val="18"/>
          </w:rPr>
          <w:t>U.S. State</w:t>
        </w:r>
        <w:r>
          <w:rPr>
            <w:spacing w:val="-3"/>
            <w:sz w:val="18"/>
          </w:rPr>
          <w:t xml:space="preserve"> </w:t>
        </w:r>
        <w:r>
          <w:rPr>
            <w:sz w:val="18"/>
          </w:rPr>
          <w:t>Legislatures,”</w:t>
        </w:r>
        <w:r>
          <w:rPr>
            <w:spacing w:val="-1"/>
            <w:sz w:val="18"/>
          </w:rPr>
          <w:t xml:space="preserve"> </w:t>
        </w:r>
        <w:r>
          <w:rPr>
            <w:sz w:val="18"/>
          </w:rPr>
          <w:t>American</w:t>
        </w:r>
        <w:r>
          <w:rPr>
            <w:spacing w:val="-3"/>
            <w:sz w:val="18"/>
          </w:rPr>
          <w:t xml:space="preserve"> </w:t>
        </w:r>
        <w:r>
          <w:rPr>
            <w:sz w:val="18"/>
          </w:rPr>
          <w:t>Civil</w:t>
        </w:r>
        <w:r>
          <w:rPr>
            <w:spacing w:val="-3"/>
            <w:sz w:val="18"/>
          </w:rPr>
          <w:t xml:space="preserve"> </w:t>
        </w:r>
        <w:r>
          <w:rPr>
            <w:sz w:val="18"/>
          </w:rPr>
          <w:t>Liberties</w:t>
        </w:r>
        <w:r>
          <w:rPr>
            <w:spacing w:val="-1"/>
            <w:sz w:val="18"/>
          </w:rPr>
          <w:t xml:space="preserve"> </w:t>
        </w:r>
        <w:r>
          <w:rPr>
            <w:sz w:val="18"/>
          </w:rPr>
          <w:t>Union,</w:t>
        </w:r>
      </w:hyperlink>
      <w:r>
        <w:rPr>
          <w:sz w:val="18"/>
        </w:rPr>
        <w:t xml:space="preserve"> </w:t>
      </w:r>
      <w:hyperlink r:id="rId119">
        <w:r>
          <w:rPr>
            <w:sz w:val="18"/>
          </w:rPr>
          <w:t>2023, https://www.aclu.org/legislative-attacks-on-lgbtq-rights.</w:t>
        </w:r>
      </w:hyperlink>
    </w:p>
    <w:p w:rsidR="00200FDA" w:rsidRDefault="00F76C4C">
      <w:pPr>
        <w:ind w:left="140" w:right="625" w:hanging="1"/>
        <w:rPr>
          <w:sz w:val="18"/>
        </w:rPr>
      </w:pPr>
      <w:bookmarkStart w:id="97" w:name="_bookmark26"/>
      <w:bookmarkEnd w:id="97"/>
      <w:r>
        <w:rPr>
          <w:position w:val="5"/>
          <w:sz w:val="12"/>
        </w:rPr>
        <w:t>21</w:t>
      </w:r>
      <w:r>
        <w:rPr>
          <w:spacing w:val="10"/>
          <w:position w:val="5"/>
          <w:sz w:val="12"/>
        </w:rPr>
        <w:t xml:space="preserve"> </w:t>
      </w:r>
      <w:hyperlink r:id="rId120">
        <w:r>
          <w:rPr>
            <w:sz w:val="18"/>
          </w:rPr>
          <w:t>“New</w:t>
        </w:r>
        <w:r>
          <w:rPr>
            <w:spacing w:val="-1"/>
            <w:sz w:val="18"/>
          </w:rPr>
          <w:t xml:space="preserve"> </w:t>
        </w:r>
        <w:r>
          <w:rPr>
            <w:sz w:val="18"/>
          </w:rPr>
          <w:t>Poll</w:t>
        </w:r>
        <w:r>
          <w:rPr>
            <w:spacing w:val="-3"/>
            <w:sz w:val="18"/>
          </w:rPr>
          <w:t xml:space="preserve"> </w:t>
        </w:r>
        <w:r>
          <w:rPr>
            <w:sz w:val="18"/>
          </w:rPr>
          <w:t>Emphasizes</w:t>
        </w:r>
        <w:r>
          <w:rPr>
            <w:spacing w:val="-1"/>
            <w:sz w:val="18"/>
          </w:rPr>
          <w:t xml:space="preserve"> </w:t>
        </w:r>
        <w:r>
          <w:rPr>
            <w:sz w:val="18"/>
          </w:rPr>
          <w:t>Negative</w:t>
        </w:r>
        <w:r>
          <w:rPr>
            <w:spacing w:val="-3"/>
            <w:sz w:val="18"/>
          </w:rPr>
          <w:t xml:space="preserve"> </w:t>
        </w:r>
        <w:r>
          <w:rPr>
            <w:sz w:val="18"/>
          </w:rPr>
          <w:t>Impacts</w:t>
        </w:r>
        <w:r>
          <w:rPr>
            <w:spacing w:val="-3"/>
            <w:sz w:val="18"/>
          </w:rPr>
          <w:t xml:space="preserve"> </w:t>
        </w:r>
        <w:r>
          <w:rPr>
            <w:sz w:val="18"/>
          </w:rPr>
          <w:t>of</w:t>
        </w:r>
        <w:r>
          <w:rPr>
            <w:spacing w:val="-2"/>
            <w:sz w:val="18"/>
          </w:rPr>
          <w:t xml:space="preserve"> </w:t>
        </w:r>
        <w:r>
          <w:rPr>
            <w:sz w:val="18"/>
          </w:rPr>
          <w:t>Anti-LGBTQ</w:t>
        </w:r>
        <w:r>
          <w:rPr>
            <w:spacing w:val="-4"/>
            <w:sz w:val="18"/>
          </w:rPr>
          <w:t xml:space="preserve"> </w:t>
        </w:r>
        <w:r>
          <w:rPr>
            <w:sz w:val="18"/>
          </w:rPr>
          <w:t>Policies</w:t>
        </w:r>
        <w:r>
          <w:rPr>
            <w:spacing w:val="-3"/>
            <w:sz w:val="18"/>
          </w:rPr>
          <w:t xml:space="preserve"> </w:t>
        </w:r>
        <w:r>
          <w:rPr>
            <w:sz w:val="18"/>
          </w:rPr>
          <w:t>on</w:t>
        </w:r>
        <w:r>
          <w:rPr>
            <w:spacing w:val="-1"/>
            <w:sz w:val="18"/>
          </w:rPr>
          <w:t xml:space="preserve"> </w:t>
        </w:r>
        <w:r>
          <w:rPr>
            <w:sz w:val="18"/>
          </w:rPr>
          <w:t>LGBTQ</w:t>
        </w:r>
        <w:r>
          <w:rPr>
            <w:spacing w:val="-4"/>
            <w:sz w:val="18"/>
          </w:rPr>
          <w:t xml:space="preserve"> </w:t>
        </w:r>
        <w:r>
          <w:rPr>
            <w:sz w:val="18"/>
          </w:rPr>
          <w:t>Youth,”</w:t>
        </w:r>
        <w:r>
          <w:rPr>
            <w:spacing w:val="-3"/>
            <w:sz w:val="18"/>
          </w:rPr>
          <w:t xml:space="preserve"> </w:t>
        </w:r>
        <w:r>
          <w:rPr>
            <w:sz w:val="18"/>
          </w:rPr>
          <w:t>The</w:t>
        </w:r>
        <w:r>
          <w:rPr>
            <w:spacing w:val="-3"/>
            <w:sz w:val="18"/>
          </w:rPr>
          <w:t xml:space="preserve"> </w:t>
        </w:r>
        <w:r>
          <w:rPr>
            <w:sz w:val="18"/>
          </w:rPr>
          <w:t>Trevor</w:t>
        </w:r>
        <w:r>
          <w:rPr>
            <w:spacing w:val="-3"/>
            <w:sz w:val="18"/>
          </w:rPr>
          <w:t xml:space="preserve"> </w:t>
        </w:r>
        <w:r>
          <w:rPr>
            <w:sz w:val="18"/>
          </w:rPr>
          <w:t>Project,</w:t>
        </w:r>
        <w:r>
          <w:rPr>
            <w:spacing w:val="-2"/>
            <w:sz w:val="18"/>
          </w:rPr>
          <w:t xml:space="preserve"> </w:t>
        </w:r>
        <w:r>
          <w:rPr>
            <w:sz w:val="18"/>
          </w:rPr>
          <w:t>January</w:t>
        </w:r>
        <w:r>
          <w:rPr>
            <w:spacing w:val="-2"/>
            <w:sz w:val="18"/>
          </w:rPr>
          <w:t xml:space="preserve"> </w:t>
        </w:r>
        <w:r>
          <w:rPr>
            <w:sz w:val="18"/>
          </w:rPr>
          <w:t>19,</w:t>
        </w:r>
        <w:r>
          <w:rPr>
            <w:spacing w:val="-1"/>
            <w:sz w:val="18"/>
          </w:rPr>
          <w:t xml:space="preserve"> </w:t>
        </w:r>
        <w:r>
          <w:rPr>
            <w:sz w:val="18"/>
          </w:rPr>
          <w:t>2023,</w:t>
        </w:r>
      </w:hyperlink>
      <w:r>
        <w:rPr>
          <w:sz w:val="18"/>
        </w:rPr>
        <w:t xml:space="preserve"> </w:t>
      </w:r>
      <w:hyperlink r:id="rId121">
        <w:r>
          <w:rPr>
            <w:spacing w:val="-2"/>
            <w:sz w:val="18"/>
          </w:rPr>
          <w:t>https://www.thetrevorproject.org/blog/new-poll-emphasizes-negative-impacts-of-anti-lgbtq-policies-on-lgbtq-youth/.</w:t>
        </w:r>
      </w:hyperlink>
    </w:p>
    <w:p w:rsidR="00200FDA" w:rsidRDefault="00F76C4C">
      <w:pPr>
        <w:ind w:left="139" w:right="139"/>
        <w:rPr>
          <w:sz w:val="18"/>
        </w:rPr>
      </w:pPr>
      <w:bookmarkStart w:id="98" w:name="_bookmark27"/>
      <w:bookmarkEnd w:id="98"/>
      <w:r>
        <w:rPr>
          <w:position w:val="5"/>
          <w:sz w:val="12"/>
        </w:rPr>
        <w:t>22</w:t>
      </w:r>
      <w:r>
        <w:rPr>
          <w:spacing w:val="9"/>
          <w:position w:val="5"/>
          <w:sz w:val="12"/>
        </w:rPr>
        <w:t xml:space="preserve"> </w:t>
      </w:r>
      <w:hyperlink r:id="rId122">
        <w:r>
          <w:rPr>
            <w:sz w:val="18"/>
          </w:rPr>
          <w:t>The</w:t>
        </w:r>
        <w:r>
          <w:rPr>
            <w:spacing w:val="-4"/>
            <w:sz w:val="18"/>
          </w:rPr>
          <w:t xml:space="preserve"> </w:t>
        </w:r>
        <w:r>
          <w:rPr>
            <w:sz w:val="18"/>
          </w:rPr>
          <w:t>Trevor</w:t>
        </w:r>
        <w:r>
          <w:rPr>
            <w:spacing w:val="-4"/>
            <w:sz w:val="18"/>
          </w:rPr>
          <w:t xml:space="preserve"> </w:t>
        </w:r>
        <w:r>
          <w:rPr>
            <w:sz w:val="18"/>
          </w:rPr>
          <w:t>Project,</w:t>
        </w:r>
        <w:r>
          <w:rPr>
            <w:spacing w:val="-3"/>
            <w:sz w:val="18"/>
          </w:rPr>
          <w:t xml:space="preserve"> </w:t>
        </w:r>
        <w:r>
          <w:rPr>
            <w:sz w:val="18"/>
          </w:rPr>
          <w:t>“2022</w:t>
        </w:r>
        <w:r>
          <w:rPr>
            <w:spacing w:val="-3"/>
            <w:sz w:val="18"/>
          </w:rPr>
          <w:t xml:space="preserve"> </w:t>
        </w:r>
        <w:r>
          <w:rPr>
            <w:sz w:val="18"/>
          </w:rPr>
          <w:t>National</w:t>
        </w:r>
        <w:r>
          <w:rPr>
            <w:spacing w:val="-4"/>
            <w:sz w:val="18"/>
          </w:rPr>
          <w:t xml:space="preserve"> </w:t>
        </w:r>
        <w:r>
          <w:rPr>
            <w:sz w:val="18"/>
          </w:rPr>
          <w:t>Survey</w:t>
        </w:r>
        <w:r>
          <w:rPr>
            <w:spacing w:val="-3"/>
            <w:sz w:val="18"/>
          </w:rPr>
          <w:t xml:space="preserve"> </w:t>
        </w:r>
        <w:r>
          <w:rPr>
            <w:sz w:val="18"/>
          </w:rPr>
          <w:t>on</w:t>
        </w:r>
        <w:r>
          <w:rPr>
            <w:spacing w:val="-4"/>
            <w:sz w:val="18"/>
          </w:rPr>
          <w:t xml:space="preserve"> </w:t>
        </w:r>
        <w:r>
          <w:rPr>
            <w:sz w:val="18"/>
          </w:rPr>
          <w:t>LGBTQ</w:t>
        </w:r>
        <w:r>
          <w:rPr>
            <w:spacing w:val="-5"/>
            <w:sz w:val="18"/>
          </w:rPr>
          <w:t xml:space="preserve"> </w:t>
        </w:r>
        <w:r>
          <w:rPr>
            <w:sz w:val="18"/>
          </w:rPr>
          <w:t>Youth</w:t>
        </w:r>
        <w:r>
          <w:rPr>
            <w:spacing w:val="-4"/>
            <w:sz w:val="18"/>
          </w:rPr>
          <w:t xml:space="preserve"> </w:t>
        </w:r>
        <w:r>
          <w:rPr>
            <w:sz w:val="18"/>
          </w:rPr>
          <w:t>Mental</w:t>
        </w:r>
        <w:r>
          <w:rPr>
            <w:spacing w:val="-4"/>
            <w:sz w:val="18"/>
          </w:rPr>
          <w:t xml:space="preserve"> </w:t>
        </w:r>
        <w:r>
          <w:rPr>
            <w:sz w:val="18"/>
          </w:rPr>
          <w:t>Health,”</w:t>
        </w:r>
        <w:r>
          <w:rPr>
            <w:spacing w:val="-4"/>
            <w:sz w:val="18"/>
          </w:rPr>
          <w:t xml:space="preserve"> </w:t>
        </w:r>
        <w:r>
          <w:rPr>
            <w:sz w:val="18"/>
          </w:rPr>
          <w:t>202</w:t>
        </w:r>
        <w:r>
          <w:rPr>
            <w:sz w:val="18"/>
          </w:rPr>
          <w:t>3,</w:t>
        </w:r>
        <w:r>
          <w:rPr>
            <w:spacing w:val="-3"/>
            <w:sz w:val="18"/>
          </w:rPr>
          <w:t xml:space="preserve"> </w:t>
        </w:r>
        <w:r>
          <w:rPr>
            <w:sz w:val="18"/>
          </w:rPr>
          <w:t>https://www.thetrevorproject.org/survey-</w:t>
        </w:r>
      </w:hyperlink>
      <w:r>
        <w:rPr>
          <w:sz w:val="18"/>
        </w:rPr>
        <w:t xml:space="preserve"> </w:t>
      </w:r>
      <w:hyperlink r:id="rId123">
        <w:r>
          <w:rPr>
            <w:spacing w:val="-2"/>
            <w:sz w:val="18"/>
          </w:rPr>
          <w:t>2022/.</w:t>
        </w:r>
      </w:hyperlink>
    </w:p>
    <w:p w:rsidR="00200FDA" w:rsidRDefault="00F76C4C">
      <w:pPr>
        <w:spacing w:line="219" w:lineRule="exact"/>
        <w:ind w:left="140"/>
        <w:rPr>
          <w:sz w:val="18"/>
        </w:rPr>
      </w:pPr>
      <w:bookmarkStart w:id="99" w:name="_bookmark28"/>
      <w:bookmarkEnd w:id="99"/>
      <w:r>
        <w:rPr>
          <w:position w:val="5"/>
          <w:sz w:val="12"/>
        </w:rPr>
        <w:t>23</w:t>
      </w:r>
      <w:r>
        <w:rPr>
          <w:spacing w:val="10"/>
          <w:position w:val="5"/>
          <w:sz w:val="12"/>
        </w:rPr>
        <w:t xml:space="preserve"> </w:t>
      </w:r>
      <w:r>
        <w:rPr>
          <w:sz w:val="18"/>
        </w:rPr>
        <w:t>“MPA</w:t>
      </w:r>
      <w:r>
        <w:rPr>
          <w:spacing w:val="-2"/>
          <w:sz w:val="18"/>
        </w:rPr>
        <w:t xml:space="preserve"> Overview.”</w:t>
      </w:r>
    </w:p>
    <w:p w:rsidR="00200FDA" w:rsidRDefault="00F76C4C">
      <w:pPr>
        <w:spacing w:line="219" w:lineRule="exact"/>
        <w:ind w:left="140"/>
        <w:rPr>
          <w:sz w:val="18"/>
        </w:rPr>
      </w:pPr>
      <w:bookmarkStart w:id="100" w:name="_bookmark29"/>
      <w:bookmarkEnd w:id="100"/>
      <w:r>
        <w:rPr>
          <w:position w:val="5"/>
          <w:sz w:val="12"/>
        </w:rPr>
        <w:t>24</w:t>
      </w:r>
      <w:r>
        <w:rPr>
          <w:spacing w:val="8"/>
          <w:position w:val="5"/>
          <w:sz w:val="12"/>
        </w:rPr>
        <w:t xml:space="preserve"> </w:t>
      </w:r>
      <w:hyperlink r:id="rId124">
        <w:r>
          <w:rPr>
            <w:sz w:val="18"/>
          </w:rPr>
          <w:t>Conron</w:t>
        </w:r>
        <w:r>
          <w:rPr>
            <w:spacing w:val="-2"/>
            <w:sz w:val="18"/>
          </w:rPr>
          <w:t xml:space="preserve"> </w:t>
        </w:r>
        <w:r>
          <w:rPr>
            <w:sz w:val="18"/>
          </w:rPr>
          <w:t>and</w:t>
        </w:r>
        <w:r>
          <w:rPr>
            <w:spacing w:val="-2"/>
            <w:sz w:val="18"/>
          </w:rPr>
          <w:t xml:space="preserve"> </w:t>
        </w:r>
        <w:r>
          <w:rPr>
            <w:sz w:val="18"/>
          </w:rPr>
          <w:t>Wilson,</w:t>
        </w:r>
        <w:r>
          <w:rPr>
            <w:spacing w:val="-1"/>
            <w:sz w:val="18"/>
          </w:rPr>
          <w:t xml:space="preserve"> </w:t>
        </w:r>
        <w:r>
          <w:rPr>
            <w:sz w:val="18"/>
          </w:rPr>
          <w:t>“LGBTQ</w:t>
        </w:r>
        <w:r>
          <w:rPr>
            <w:spacing w:val="-2"/>
            <w:sz w:val="18"/>
          </w:rPr>
          <w:t xml:space="preserve"> </w:t>
        </w:r>
        <w:r>
          <w:rPr>
            <w:sz w:val="18"/>
          </w:rPr>
          <w:t>Youth</w:t>
        </w:r>
        <w:r>
          <w:rPr>
            <w:spacing w:val="-3"/>
            <w:sz w:val="18"/>
          </w:rPr>
          <w:t xml:space="preserve"> </w:t>
        </w:r>
        <w:r>
          <w:rPr>
            <w:sz w:val="18"/>
          </w:rPr>
          <w:t>of</w:t>
        </w:r>
        <w:r>
          <w:rPr>
            <w:spacing w:val="-1"/>
            <w:sz w:val="18"/>
          </w:rPr>
          <w:t xml:space="preserve"> </w:t>
        </w:r>
        <w:r>
          <w:rPr>
            <w:sz w:val="18"/>
          </w:rPr>
          <w:t>Color</w:t>
        </w:r>
        <w:r>
          <w:rPr>
            <w:spacing w:val="-2"/>
            <w:sz w:val="18"/>
          </w:rPr>
          <w:t xml:space="preserve"> </w:t>
        </w:r>
        <w:r>
          <w:rPr>
            <w:sz w:val="18"/>
          </w:rPr>
          <w:t>Impacted</w:t>
        </w:r>
        <w:r>
          <w:rPr>
            <w:spacing w:val="-2"/>
            <w:sz w:val="18"/>
          </w:rPr>
          <w:t xml:space="preserve"> </w:t>
        </w:r>
        <w:r>
          <w:rPr>
            <w:sz w:val="18"/>
          </w:rPr>
          <w:t>by</w:t>
        </w:r>
        <w:r>
          <w:rPr>
            <w:spacing w:val="-1"/>
            <w:sz w:val="18"/>
          </w:rPr>
          <w:t xml:space="preserve"> </w:t>
        </w:r>
        <w:r>
          <w:rPr>
            <w:sz w:val="18"/>
          </w:rPr>
          <w:t>the</w:t>
        </w:r>
        <w:r>
          <w:rPr>
            <w:spacing w:val="-3"/>
            <w:sz w:val="18"/>
          </w:rPr>
          <w:t xml:space="preserve"> </w:t>
        </w:r>
        <w:r>
          <w:rPr>
            <w:sz w:val="18"/>
          </w:rPr>
          <w:t>Ch</w:t>
        </w:r>
        <w:r>
          <w:rPr>
            <w:sz w:val="18"/>
          </w:rPr>
          <w:t>ild Welfare</w:t>
        </w:r>
        <w:r>
          <w:rPr>
            <w:spacing w:val="-2"/>
            <w:sz w:val="18"/>
          </w:rPr>
          <w:t xml:space="preserve"> </w:t>
        </w:r>
        <w:r>
          <w:rPr>
            <w:sz w:val="18"/>
          </w:rPr>
          <w:t>and</w:t>
        </w:r>
        <w:r>
          <w:rPr>
            <w:spacing w:val="-2"/>
            <w:sz w:val="18"/>
          </w:rPr>
          <w:t xml:space="preserve"> </w:t>
        </w:r>
        <w:r>
          <w:rPr>
            <w:sz w:val="18"/>
          </w:rPr>
          <w:t>Juvenile</w:t>
        </w:r>
        <w:r>
          <w:rPr>
            <w:spacing w:val="-2"/>
            <w:sz w:val="18"/>
          </w:rPr>
          <w:t xml:space="preserve"> </w:t>
        </w:r>
        <w:r>
          <w:rPr>
            <w:sz w:val="18"/>
          </w:rPr>
          <w:t>Justice</w:t>
        </w:r>
        <w:r>
          <w:rPr>
            <w:spacing w:val="-2"/>
            <w:sz w:val="18"/>
          </w:rPr>
          <w:t xml:space="preserve"> Systems.”</w:t>
        </w:r>
      </w:hyperlink>
    </w:p>
    <w:p w:rsidR="00200FDA" w:rsidRDefault="00F76C4C">
      <w:pPr>
        <w:ind w:left="140" w:hanging="1"/>
        <w:rPr>
          <w:sz w:val="18"/>
        </w:rPr>
      </w:pPr>
      <w:bookmarkStart w:id="101" w:name="_bookmark30"/>
      <w:bookmarkEnd w:id="101"/>
      <w:r>
        <w:rPr>
          <w:position w:val="5"/>
          <w:sz w:val="12"/>
        </w:rPr>
        <w:t>25</w:t>
      </w:r>
      <w:r>
        <w:rPr>
          <w:spacing w:val="10"/>
          <w:position w:val="5"/>
          <w:sz w:val="12"/>
        </w:rPr>
        <w:t xml:space="preserve"> </w:t>
      </w:r>
      <w:hyperlink r:id="rId125">
        <w:r>
          <w:rPr>
            <w:sz w:val="18"/>
          </w:rPr>
          <w:t>Sarah</w:t>
        </w:r>
        <w:r>
          <w:rPr>
            <w:spacing w:val="-3"/>
            <w:sz w:val="18"/>
          </w:rPr>
          <w:t xml:space="preserve"> </w:t>
        </w:r>
        <w:r>
          <w:rPr>
            <w:sz w:val="18"/>
          </w:rPr>
          <w:t>Vidal</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“Multisystem-Involved</w:t>
        </w:r>
        <w:r>
          <w:rPr>
            <w:spacing w:val="-3"/>
            <w:sz w:val="18"/>
          </w:rPr>
          <w:t xml:space="preserve"> </w:t>
        </w:r>
        <w:r>
          <w:rPr>
            <w:sz w:val="18"/>
          </w:rPr>
          <w:t>Youth:</w:t>
        </w:r>
        <w:r>
          <w:rPr>
            <w:spacing w:val="-3"/>
            <w:sz w:val="18"/>
          </w:rPr>
          <w:t xml:space="preserve"> </w:t>
        </w:r>
        <w:r>
          <w:rPr>
            <w:sz w:val="18"/>
          </w:rPr>
          <w:t>A</w:t>
        </w:r>
        <w:r>
          <w:rPr>
            <w:spacing w:val="-3"/>
            <w:sz w:val="18"/>
          </w:rPr>
          <w:t xml:space="preserve"> </w:t>
        </w:r>
        <w:r>
          <w:rPr>
            <w:sz w:val="18"/>
          </w:rPr>
          <w:t>Developmental Framework</w:t>
        </w:r>
        <w:r>
          <w:rPr>
            <w:spacing w:val="-3"/>
            <w:sz w:val="18"/>
          </w:rPr>
          <w:t xml:space="preserve"> </w:t>
        </w:r>
        <w:r>
          <w:rPr>
            <w:sz w:val="18"/>
          </w:rPr>
          <w:t>and</w:t>
        </w:r>
        <w:r>
          <w:rPr>
            <w:spacing w:val="-3"/>
            <w:sz w:val="18"/>
          </w:rPr>
          <w:t xml:space="preserve"> </w:t>
        </w:r>
        <w:r>
          <w:rPr>
            <w:sz w:val="18"/>
          </w:rPr>
          <w:t>Implications</w:t>
        </w:r>
        <w:r>
          <w:rPr>
            <w:spacing w:val="-3"/>
            <w:sz w:val="18"/>
          </w:rPr>
          <w:t xml:space="preserve"> </w:t>
        </w:r>
        <w:r>
          <w:rPr>
            <w:sz w:val="18"/>
          </w:rPr>
          <w:t>for</w:t>
        </w:r>
        <w:r>
          <w:rPr>
            <w:spacing w:val="-3"/>
            <w:sz w:val="18"/>
          </w:rPr>
          <w:t xml:space="preserve"> </w:t>
        </w:r>
        <w:r>
          <w:rPr>
            <w:sz w:val="18"/>
          </w:rPr>
          <w:t>Research,</w:t>
        </w:r>
        <w:r>
          <w:rPr>
            <w:spacing w:val="-2"/>
            <w:sz w:val="18"/>
          </w:rPr>
          <w:t xml:space="preserve"> </w:t>
        </w:r>
        <w:r>
          <w:rPr>
            <w:sz w:val="18"/>
          </w:rPr>
          <w:t>Policy,</w:t>
        </w:r>
        <w:r>
          <w:rPr>
            <w:spacing w:val="-2"/>
            <w:sz w:val="18"/>
          </w:rPr>
          <w:t xml:space="preserve"> </w:t>
        </w:r>
        <w:r>
          <w:rPr>
            <w:sz w:val="18"/>
          </w:rPr>
          <w:t>and</w:t>
        </w:r>
      </w:hyperlink>
      <w:r>
        <w:rPr>
          <w:sz w:val="18"/>
        </w:rPr>
        <w:t xml:space="preserve"> </w:t>
      </w:r>
      <w:hyperlink r:id="rId126">
        <w:r>
          <w:rPr>
            <w:sz w:val="18"/>
          </w:rPr>
          <w:t>Practice,”</w:t>
        </w:r>
      </w:hyperlink>
      <w:r>
        <w:rPr>
          <w:sz w:val="18"/>
        </w:rPr>
        <w:t xml:space="preserve"> </w:t>
      </w:r>
      <w:hyperlink r:id="rId127">
        <w:r>
          <w:rPr>
            <w:i/>
            <w:sz w:val="18"/>
          </w:rPr>
          <w:t>Adolescent Research Review</w:t>
        </w:r>
      </w:hyperlink>
      <w:r>
        <w:rPr>
          <w:i/>
          <w:sz w:val="18"/>
        </w:rPr>
        <w:t xml:space="preserve"> </w:t>
      </w:r>
      <w:hyperlink r:id="rId128">
        <w:r>
          <w:rPr>
            <w:sz w:val="18"/>
          </w:rPr>
          <w:t>4, no. 1 (March 2019): 15–29, http</w:t>
        </w:r>
        <w:r>
          <w:rPr>
            <w:sz w:val="18"/>
          </w:rPr>
          <w:t>s://doi.org/10.1007/s40894-018-0088-1.</w:t>
        </w:r>
      </w:hyperlink>
    </w:p>
    <w:p w:rsidR="00200FDA" w:rsidRDefault="00F76C4C">
      <w:pPr>
        <w:ind w:left="140" w:right="818" w:hanging="1"/>
        <w:rPr>
          <w:sz w:val="18"/>
        </w:rPr>
      </w:pPr>
      <w:bookmarkStart w:id="102" w:name="_bookmark31"/>
      <w:bookmarkEnd w:id="102"/>
      <w:r>
        <w:rPr>
          <w:position w:val="5"/>
          <w:sz w:val="12"/>
        </w:rPr>
        <w:t>26</w:t>
      </w:r>
      <w:r>
        <w:rPr>
          <w:spacing w:val="10"/>
          <w:position w:val="5"/>
          <w:sz w:val="12"/>
        </w:rPr>
        <w:t xml:space="preserve"> </w:t>
      </w:r>
      <w:hyperlink r:id="rId129">
        <w:r>
          <w:rPr>
            <w:sz w:val="18"/>
          </w:rPr>
          <w:t>Hussey,</w:t>
        </w:r>
        <w:r>
          <w:rPr>
            <w:spacing w:val="-2"/>
            <w:sz w:val="18"/>
          </w:rPr>
          <w:t xml:space="preserve"> </w:t>
        </w:r>
        <w:r>
          <w:rPr>
            <w:sz w:val="18"/>
          </w:rPr>
          <w:t>Hannah,</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Massachusetts</w:t>
        </w:r>
        <w:r>
          <w:rPr>
            <w:spacing w:val="-3"/>
            <w:sz w:val="18"/>
          </w:rPr>
          <w:t xml:space="preserve"> </w:t>
        </w:r>
        <w:r>
          <w:rPr>
            <w:sz w:val="18"/>
          </w:rPr>
          <w:t>Child</w:t>
        </w:r>
        <w:r>
          <w:rPr>
            <w:spacing w:val="-3"/>
            <w:sz w:val="18"/>
          </w:rPr>
          <w:t xml:space="preserve"> </w:t>
        </w:r>
        <w:r>
          <w:rPr>
            <w:sz w:val="18"/>
          </w:rPr>
          <w:t>Welfare</w:t>
        </w:r>
        <w:r>
          <w:rPr>
            <w:spacing w:val="-3"/>
            <w:sz w:val="18"/>
          </w:rPr>
          <w:t xml:space="preserve"> </w:t>
        </w:r>
        <w:r>
          <w:rPr>
            <w:sz w:val="18"/>
          </w:rPr>
          <w:t>System: A</w:t>
        </w:r>
        <w:r>
          <w:rPr>
            <w:spacing w:val="-3"/>
            <w:sz w:val="18"/>
          </w:rPr>
          <w:t xml:space="preserve"> </w:t>
        </w:r>
        <w:r>
          <w:rPr>
            <w:sz w:val="18"/>
          </w:rPr>
          <w:t>Report</w:t>
        </w:r>
        <w:r>
          <w:rPr>
            <w:spacing w:val="-3"/>
            <w:sz w:val="18"/>
          </w:rPr>
          <w:t xml:space="preserve"> </w:t>
        </w:r>
        <w:r>
          <w:rPr>
            <w:sz w:val="18"/>
          </w:rPr>
          <w:t>on</w:t>
        </w:r>
        <w:r>
          <w:rPr>
            <w:spacing w:val="-3"/>
            <w:sz w:val="18"/>
          </w:rPr>
          <w:t xml:space="preserve"> </w:t>
        </w:r>
        <w:r>
          <w:rPr>
            <w:sz w:val="18"/>
          </w:rPr>
          <w:t>Pervasive</w:t>
        </w:r>
        <w:r>
          <w:rPr>
            <w:spacing w:val="-1"/>
            <w:sz w:val="18"/>
          </w:rPr>
          <w:t xml:space="preserve"> </w:t>
        </w:r>
        <w:r>
          <w:rPr>
            <w:sz w:val="18"/>
          </w:rPr>
          <w:t>Threats</w:t>
        </w:r>
        <w:r>
          <w:rPr>
            <w:spacing w:val="-3"/>
            <w:sz w:val="18"/>
          </w:rPr>
          <w:t xml:space="preserve"> </w:t>
        </w:r>
        <w:r>
          <w:rPr>
            <w:sz w:val="18"/>
          </w:rPr>
          <w:t>to</w:t>
        </w:r>
        <w:r>
          <w:rPr>
            <w:spacing w:val="-1"/>
            <w:sz w:val="18"/>
          </w:rPr>
          <w:t xml:space="preserve"> </w:t>
        </w:r>
        <w:r>
          <w:rPr>
            <w:sz w:val="18"/>
          </w:rPr>
          <w:t>Safety,</w:t>
        </w:r>
      </w:hyperlink>
      <w:r>
        <w:rPr>
          <w:sz w:val="18"/>
        </w:rPr>
        <w:t xml:space="preserve"> </w:t>
      </w:r>
      <w:hyperlink r:id="rId130">
        <w:r>
          <w:rPr>
            <w:sz w:val="18"/>
          </w:rPr>
          <w:t>Wellbeing, and Permanency” (Massachusetts Commission on LGBTQ Youth, July 2021),</w:t>
        </w:r>
      </w:hyperlink>
      <w:r>
        <w:rPr>
          <w:sz w:val="18"/>
        </w:rPr>
        <w:t xml:space="preserve"> </w:t>
      </w:r>
      <w:hyperlink r:id="rId131">
        <w:r>
          <w:rPr>
            <w:spacing w:val="-2"/>
            <w:sz w:val="18"/>
          </w:rPr>
          <w:t>https://www.mass.gov/doc/commission-report-on-dcf.</w:t>
        </w:r>
      </w:hyperlink>
    </w:p>
    <w:p w:rsidR="00200FDA" w:rsidRDefault="00F76C4C">
      <w:pPr>
        <w:ind w:left="139" w:right="1427"/>
        <w:rPr>
          <w:sz w:val="18"/>
        </w:rPr>
      </w:pPr>
      <w:bookmarkStart w:id="103" w:name="_bookmark32"/>
      <w:bookmarkEnd w:id="103"/>
      <w:r>
        <w:rPr>
          <w:position w:val="5"/>
          <w:sz w:val="12"/>
        </w:rPr>
        <w:t>27</w:t>
      </w:r>
      <w:r>
        <w:rPr>
          <w:spacing w:val="10"/>
          <w:position w:val="5"/>
          <w:sz w:val="12"/>
        </w:rPr>
        <w:t xml:space="preserve"> </w:t>
      </w:r>
      <w:hyperlink r:id="rId132">
        <w:r>
          <w:rPr>
            <w:sz w:val="18"/>
          </w:rPr>
          <w:t>June</w:t>
        </w:r>
        <w:r>
          <w:rPr>
            <w:spacing w:val="-3"/>
            <w:sz w:val="18"/>
          </w:rPr>
          <w:t xml:space="preserve"> </w:t>
        </w:r>
        <w:r>
          <w:rPr>
            <w:sz w:val="18"/>
          </w:rPr>
          <w:t>Ameen,</w:t>
        </w:r>
        <w:r>
          <w:rPr>
            <w:spacing w:val="-3"/>
            <w:sz w:val="18"/>
          </w:rPr>
          <w:t xml:space="preserve"> </w:t>
        </w:r>
        <w:r>
          <w:rPr>
            <w:sz w:val="18"/>
          </w:rPr>
          <w:t>Kate</w:t>
        </w:r>
        <w:r>
          <w:rPr>
            <w:spacing w:val="-3"/>
            <w:sz w:val="18"/>
          </w:rPr>
          <w:t xml:space="preserve"> </w:t>
        </w:r>
        <w:r>
          <w:rPr>
            <w:sz w:val="18"/>
          </w:rPr>
          <w:t>Lowenstein,</w:t>
        </w:r>
        <w:r>
          <w:rPr>
            <w:spacing w:val="-3"/>
            <w:sz w:val="18"/>
          </w:rPr>
          <w:t xml:space="preserve"> </w:t>
        </w:r>
        <w:r>
          <w:rPr>
            <w:sz w:val="18"/>
          </w:rPr>
          <w:t>and</w:t>
        </w:r>
        <w:r>
          <w:rPr>
            <w:spacing w:val="-3"/>
            <w:sz w:val="18"/>
          </w:rPr>
          <w:t xml:space="preserve"> </w:t>
        </w:r>
        <w:r>
          <w:rPr>
            <w:sz w:val="18"/>
          </w:rPr>
          <w:t>Joan</w:t>
        </w:r>
        <w:r>
          <w:rPr>
            <w:spacing w:val="-3"/>
            <w:sz w:val="18"/>
          </w:rPr>
          <w:t xml:space="preserve"> </w:t>
        </w:r>
        <w:r>
          <w:rPr>
            <w:sz w:val="18"/>
          </w:rPr>
          <w:t>Montgomery</w:t>
        </w:r>
        <w:r>
          <w:rPr>
            <w:spacing w:val="-3"/>
            <w:sz w:val="18"/>
          </w:rPr>
          <w:t xml:space="preserve"> </w:t>
        </w:r>
        <w:r>
          <w:rPr>
            <w:sz w:val="18"/>
          </w:rPr>
          <w:t>Halford,</w:t>
        </w:r>
        <w:r>
          <w:rPr>
            <w:spacing w:val="-3"/>
            <w:sz w:val="18"/>
          </w:rPr>
          <w:t xml:space="preserve"> </w:t>
        </w:r>
        <w:r>
          <w:rPr>
            <w:sz w:val="18"/>
          </w:rPr>
          <w:t>“Failing</w:t>
        </w:r>
        <w:r>
          <w:rPr>
            <w:spacing w:val="-3"/>
            <w:sz w:val="18"/>
          </w:rPr>
          <w:t xml:space="preserve"> </w:t>
        </w:r>
        <w:r>
          <w:rPr>
            <w:sz w:val="18"/>
          </w:rPr>
          <w:t>Our</w:t>
        </w:r>
        <w:r>
          <w:rPr>
            <w:spacing w:val="-3"/>
            <w:sz w:val="18"/>
          </w:rPr>
          <w:t xml:space="preserve"> </w:t>
        </w:r>
        <w:r>
          <w:rPr>
            <w:sz w:val="18"/>
          </w:rPr>
          <w:t>Kids”</w:t>
        </w:r>
        <w:r>
          <w:rPr>
            <w:spacing w:val="-3"/>
            <w:sz w:val="18"/>
          </w:rPr>
          <w:t xml:space="preserve"> </w:t>
        </w:r>
        <w:r>
          <w:rPr>
            <w:sz w:val="18"/>
          </w:rPr>
          <w:t>(Friends</w:t>
        </w:r>
        <w:r>
          <w:rPr>
            <w:spacing w:val="-3"/>
            <w:sz w:val="18"/>
          </w:rPr>
          <w:t xml:space="preserve"> </w:t>
        </w:r>
        <w:r>
          <w:rPr>
            <w:sz w:val="18"/>
          </w:rPr>
          <w:t>of</w:t>
        </w:r>
        <w:r>
          <w:rPr>
            <w:spacing w:val="-3"/>
            <w:sz w:val="18"/>
          </w:rPr>
          <w:t xml:space="preserve"> </w:t>
        </w:r>
        <w:r>
          <w:rPr>
            <w:sz w:val="18"/>
          </w:rPr>
          <w:t>Children,</w:t>
        </w:r>
        <w:r>
          <w:rPr>
            <w:spacing w:val="-3"/>
            <w:sz w:val="18"/>
          </w:rPr>
          <w:t xml:space="preserve"> </w:t>
        </w:r>
        <w:r>
          <w:rPr>
            <w:sz w:val="18"/>
          </w:rPr>
          <w:t>2021),</w:t>
        </w:r>
      </w:hyperlink>
      <w:r>
        <w:rPr>
          <w:sz w:val="18"/>
        </w:rPr>
        <w:t xml:space="preserve"> </w:t>
      </w:r>
      <w:hyperlink r:id="rId133">
        <w:r>
          <w:rPr>
            <w:spacing w:val="-2"/>
            <w:sz w:val="18"/>
          </w:rPr>
          <w:t>https://friendsofchildren</w:t>
        </w:r>
        <w:r>
          <w:rPr>
            <w:spacing w:val="-2"/>
            <w:sz w:val="18"/>
          </w:rPr>
          <w:t>inc.org/failing-our-kids/.</w:t>
        </w:r>
      </w:hyperlink>
    </w:p>
    <w:p w:rsidR="00200FDA" w:rsidRDefault="00F76C4C">
      <w:pPr>
        <w:spacing w:line="219" w:lineRule="exact"/>
        <w:ind w:left="140"/>
        <w:rPr>
          <w:sz w:val="18"/>
        </w:rPr>
      </w:pPr>
      <w:bookmarkStart w:id="104" w:name="_bookmark33"/>
      <w:bookmarkEnd w:id="104"/>
      <w:r>
        <w:rPr>
          <w:position w:val="5"/>
          <w:sz w:val="12"/>
        </w:rPr>
        <w:t>28</w:t>
      </w:r>
      <w:r>
        <w:rPr>
          <w:spacing w:val="9"/>
          <w:position w:val="5"/>
          <w:sz w:val="12"/>
        </w:rPr>
        <w:t xml:space="preserve"> </w:t>
      </w:r>
      <w:hyperlink r:id="rId134">
        <w:r>
          <w:rPr>
            <w:sz w:val="18"/>
          </w:rPr>
          <w:t>Ameen,</w:t>
        </w:r>
        <w:r>
          <w:rPr>
            <w:spacing w:val="-2"/>
            <w:sz w:val="18"/>
          </w:rPr>
          <w:t xml:space="preserve"> </w:t>
        </w:r>
        <w:r>
          <w:rPr>
            <w:sz w:val="18"/>
          </w:rPr>
          <w:t>Lowenstein,</w:t>
        </w:r>
        <w:r>
          <w:rPr>
            <w:spacing w:val="-2"/>
            <w:sz w:val="18"/>
          </w:rPr>
          <w:t xml:space="preserve"> </w:t>
        </w:r>
        <w:r>
          <w:rPr>
            <w:sz w:val="18"/>
          </w:rPr>
          <w:t>and</w:t>
        </w:r>
        <w:r>
          <w:rPr>
            <w:spacing w:val="-3"/>
            <w:sz w:val="18"/>
          </w:rPr>
          <w:t xml:space="preserve"> </w:t>
        </w:r>
        <w:r>
          <w:rPr>
            <w:spacing w:val="-2"/>
            <w:sz w:val="18"/>
          </w:rPr>
          <w:t>Halford.</w:t>
        </w:r>
      </w:hyperlink>
    </w:p>
    <w:p w:rsidR="00200FDA" w:rsidRDefault="00F76C4C">
      <w:pPr>
        <w:spacing w:before="1"/>
        <w:ind w:left="140" w:right="818" w:hanging="1"/>
        <w:rPr>
          <w:sz w:val="18"/>
        </w:rPr>
      </w:pPr>
      <w:bookmarkStart w:id="105" w:name="_bookmark34"/>
      <w:bookmarkEnd w:id="105"/>
      <w:r>
        <w:rPr>
          <w:position w:val="5"/>
          <w:sz w:val="12"/>
        </w:rPr>
        <w:t>29</w:t>
      </w:r>
      <w:r>
        <w:rPr>
          <w:spacing w:val="10"/>
          <w:position w:val="5"/>
          <w:sz w:val="12"/>
        </w:rPr>
        <w:t xml:space="preserve"> </w:t>
      </w:r>
      <w:hyperlink r:id="rId135">
        <w:r>
          <w:rPr>
            <w:sz w:val="18"/>
          </w:rPr>
          <w:t>Hussey,</w:t>
        </w:r>
        <w:r>
          <w:rPr>
            <w:spacing w:val="-2"/>
            <w:sz w:val="18"/>
          </w:rPr>
          <w:t xml:space="preserve"> </w:t>
        </w:r>
        <w:r>
          <w:rPr>
            <w:sz w:val="18"/>
          </w:rPr>
          <w:t>Hannah,</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Massachusetts</w:t>
        </w:r>
        <w:r>
          <w:rPr>
            <w:spacing w:val="-3"/>
            <w:sz w:val="18"/>
          </w:rPr>
          <w:t xml:space="preserve"> </w:t>
        </w:r>
        <w:r>
          <w:rPr>
            <w:sz w:val="18"/>
          </w:rPr>
          <w:t>Child</w:t>
        </w:r>
        <w:r>
          <w:rPr>
            <w:spacing w:val="-3"/>
            <w:sz w:val="18"/>
          </w:rPr>
          <w:t xml:space="preserve"> </w:t>
        </w:r>
        <w:r>
          <w:rPr>
            <w:sz w:val="18"/>
          </w:rPr>
          <w:t>Welfare</w:t>
        </w:r>
        <w:r>
          <w:rPr>
            <w:spacing w:val="-3"/>
            <w:sz w:val="18"/>
          </w:rPr>
          <w:t xml:space="preserve"> </w:t>
        </w:r>
        <w:r>
          <w:rPr>
            <w:sz w:val="18"/>
          </w:rPr>
          <w:t>Sys</w:t>
        </w:r>
        <w:r>
          <w:rPr>
            <w:sz w:val="18"/>
          </w:rPr>
          <w:t>tem: A</w:t>
        </w:r>
        <w:r>
          <w:rPr>
            <w:spacing w:val="-3"/>
            <w:sz w:val="18"/>
          </w:rPr>
          <w:t xml:space="preserve"> </w:t>
        </w:r>
        <w:r>
          <w:rPr>
            <w:sz w:val="18"/>
          </w:rPr>
          <w:t>Report</w:t>
        </w:r>
        <w:r>
          <w:rPr>
            <w:spacing w:val="-3"/>
            <w:sz w:val="18"/>
          </w:rPr>
          <w:t xml:space="preserve"> </w:t>
        </w:r>
        <w:r>
          <w:rPr>
            <w:sz w:val="18"/>
          </w:rPr>
          <w:t>on</w:t>
        </w:r>
        <w:r>
          <w:rPr>
            <w:spacing w:val="-3"/>
            <w:sz w:val="18"/>
          </w:rPr>
          <w:t xml:space="preserve"> </w:t>
        </w:r>
        <w:r>
          <w:rPr>
            <w:sz w:val="18"/>
          </w:rPr>
          <w:t>Pervasive</w:t>
        </w:r>
        <w:r>
          <w:rPr>
            <w:spacing w:val="-1"/>
            <w:sz w:val="18"/>
          </w:rPr>
          <w:t xml:space="preserve"> </w:t>
        </w:r>
        <w:r>
          <w:rPr>
            <w:sz w:val="18"/>
          </w:rPr>
          <w:t>Threats</w:t>
        </w:r>
        <w:r>
          <w:rPr>
            <w:spacing w:val="-3"/>
            <w:sz w:val="18"/>
          </w:rPr>
          <w:t xml:space="preserve"> </w:t>
        </w:r>
        <w:r>
          <w:rPr>
            <w:sz w:val="18"/>
          </w:rPr>
          <w:t>to</w:t>
        </w:r>
        <w:r>
          <w:rPr>
            <w:spacing w:val="-1"/>
            <w:sz w:val="18"/>
          </w:rPr>
          <w:t xml:space="preserve"> </w:t>
        </w:r>
        <w:r>
          <w:rPr>
            <w:sz w:val="18"/>
          </w:rPr>
          <w:t>Safety,</w:t>
        </w:r>
      </w:hyperlink>
      <w:r>
        <w:rPr>
          <w:sz w:val="18"/>
        </w:rPr>
        <w:t xml:space="preserve"> </w:t>
      </w:r>
      <w:hyperlink r:id="rId136">
        <w:r>
          <w:rPr>
            <w:sz w:val="18"/>
          </w:rPr>
          <w:t>Wellbeing, and Permanency.”</w:t>
        </w:r>
      </w:hyperlink>
    </w:p>
    <w:p w:rsidR="00200FDA" w:rsidRDefault="00F76C4C">
      <w:pPr>
        <w:spacing w:line="219" w:lineRule="exact"/>
        <w:ind w:left="140"/>
        <w:rPr>
          <w:sz w:val="18"/>
        </w:rPr>
      </w:pPr>
      <w:bookmarkStart w:id="106" w:name="_bookmark35"/>
      <w:bookmarkEnd w:id="106"/>
      <w:r>
        <w:rPr>
          <w:position w:val="5"/>
          <w:sz w:val="12"/>
        </w:rPr>
        <w:t>30</w:t>
      </w:r>
      <w:r>
        <w:rPr>
          <w:spacing w:val="7"/>
          <w:position w:val="5"/>
          <w:sz w:val="12"/>
        </w:rPr>
        <w:t xml:space="preserve"> </w:t>
      </w:r>
      <w:r>
        <w:rPr>
          <w:sz w:val="18"/>
        </w:rPr>
        <w:t>Department</w:t>
      </w:r>
      <w:r>
        <w:rPr>
          <w:spacing w:val="-3"/>
          <w:sz w:val="18"/>
        </w:rPr>
        <w:t xml:space="preserve"> </w:t>
      </w:r>
      <w:r>
        <w:rPr>
          <w:sz w:val="18"/>
        </w:rPr>
        <w:t>of</w:t>
      </w:r>
      <w:r>
        <w:rPr>
          <w:spacing w:val="-2"/>
          <w:sz w:val="18"/>
        </w:rPr>
        <w:t xml:space="preserve"> </w:t>
      </w:r>
      <w:r>
        <w:rPr>
          <w:sz w:val="18"/>
        </w:rPr>
        <w:t>Children</w:t>
      </w:r>
      <w:r>
        <w:rPr>
          <w:spacing w:val="-3"/>
          <w:sz w:val="18"/>
        </w:rPr>
        <w:t xml:space="preserve"> </w:t>
      </w:r>
      <w:r>
        <w:rPr>
          <w:sz w:val="18"/>
        </w:rPr>
        <w:t>&amp;</w:t>
      </w:r>
      <w:r>
        <w:rPr>
          <w:spacing w:val="-1"/>
          <w:sz w:val="18"/>
        </w:rPr>
        <w:t xml:space="preserve"> </w:t>
      </w:r>
      <w:r>
        <w:rPr>
          <w:sz w:val="18"/>
        </w:rPr>
        <w:t>Families,</w:t>
      </w:r>
      <w:r>
        <w:rPr>
          <w:spacing w:val="-2"/>
          <w:sz w:val="18"/>
        </w:rPr>
        <w:t xml:space="preserve"> </w:t>
      </w:r>
      <w:r>
        <w:rPr>
          <w:sz w:val="18"/>
        </w:rPr>
        <w:t>“MASSACHUSETTS</w:t>
      </w:r>
      <w:r>
        <w:rPr>
          <w:spacing w:val="-3"/>
          <w:sz w:val="18"/>
        </w:rPr>
        <w:t xml:space="preserve"> </w:t>
      </w:r>
      <w:r>
        <w:rPr>
          <w:sz w:val="18"/>
        </w:rPr>
        <w:t>DEPARTMENT</w:t>
      </w:r>
      <w:r>
        <w:rPr>
          <w:spacing w:val="-2"/>
          <w:sz w:val="18"/>
        </w:rPr>
        <w:t xml:space="preserve"> </w:t>
      </w:r>
      <w:r>
        <w:rPr>
          <w:sz w:val="18"/>
        </w:rPr>
        <w:t>OF</w:t>
      </w:r>
      <w:r>
        <w:rPr>
          <w:spacing w:val="-3"/>
          <w:sz w:val="18"/>
        </w:rPr>
        <w:t xml:space="preserve"> </w:t>
      </w:r>
      <w:r>
        <w:rPr>
          <w:sz w:val="18"/>
        </w:rPr>
        <w:t>CHILDREN</w:t>
      </w:r>
      <w:r>
        <w:rPr>
          <w:spacing w:val="-3"/>
          <w:sz w:val="18"/>
        </w:rPr>
        <w:t xml:space="preserve"> </w:t>
      </w:r>
      <w:r>
        <w:rPr>
          <w:sz w:val="18"/>
        </w:rPr>
        <w:t>&amp;</w:t>
      </w:r>
      <w:r>
        <w:rPr>
          <w:spacing w:val="-4"/>
          <w:sz w:val="18"/>
        </w:rPr>
        <w:t xml:space="preserve"> </w:t>
      </w:r>
      <w:r>
        <w:rPr>
          <w:sz w:val="18"/>
        </w:rPr>
        <w:t>FAMILIES</w:t>
      </w:r>
      <w:r>
        <w:rPr>
          <w:spacing w:val="-3"/>
          <w:sz w:val="18"/>
        </w:rPr>
        <w:t xml:space="preserve"> </w:t>
      </w:r>
      <w:r>
        <w:rPr>
          <w:sz w:val="18"/>
        </w:rPr>
        <w:t>QUARTERLY</w:t>
      </w:r>
      <w:r>
        <w:rPr>
          <w:spacing w:val="-1"/>
          <w:sz w:val="18"/>
        </w:rPr>
        <w:t xml:space="preserve"> </w:t>
      </w:r>
      <w:r>
        <w:rPr>
          <w:sz w:val="18"/>
        </w:rPr>
        <w:t>PROFILE</w:t>
      </w:r>
      <w:r>
        <w:rPr>
          <w:spacing w:val="-1"/>
          <w:sz w:val="18"/>
        </w:rPr>
        <w:t xml:space="preserve"> </w:t>
      </w:r>
      <w:r>
        <w:rPr>
          <w:sz w:val="18"/>
        </w:rPr>
        <w:t>-</w:t>
      </w:r>
      <w:r>
        <w:rPr>
          <w:spacing w:val="-10"/>
          <w:sz w:val="18"/>
        </w:rPr>
        <w:t>-</w:t>
      </w:r>
    </w:p>
    <w:p w:rsidR="00200FDA" w:rsidRDefault="00F76C4C">
      <w:pPr>
        <w:tabs>
          <w:tab w:val="left" w:pos="9528"/>
        </w:tabs>
        <w:spacing w:line="219" w:lineRule="exact"/>
        <w:ind w:left="111"/>
        <w:rPr>
          <w:sz w:val="18"/>
        </w:rPr>
      </w:pPr>
      <w:r>
        <w:rPr>
          <w:spacing w:val="-14"/>
          <w:sz w:val="18"/>
          <w:u w:val="single" w:color="D9D9D9"/>
        </w:rPr>
        <w:t xml:space="preserve"> </w:t>
      </w:r>
      <w:r>
        <w:rPr>
          <w:sz w:val="18"/>
          <w:u w:val="single" w:color="D9D9D9"/>
        </w:rPr>
        <w:t>FY’2023,</w:t>
      </w:r>
      <w:r>
        <w:rPr>
          <w:spacing w:val="-5"/>
          <w:sz w:val="18"/>
          <w:u w:val="single" w:color="D9D9D9"/>
        </w:rPr>
        <w:t xml:space="preserve"> </w:t>
      </w:r>
      <w:r>
        <w:rPr>
          <w:sz w:val="18"/>
          <w:u w:val="single" w:color="D9D9D9"/>
        </w:rPr>
        <w:t>Q2</w:t>
      </w:r>
      <w:r>
        <w:rPr>
          <w:spacing w:val="-3"/>
          <w:sz w:val="18"/>
          <w:u w:val="single" w:color="D9D9D9"/>
        </w:rPr>
        <w:t xml:space="preserve"> </w:t>
      </w:r>
      <w:r>
        <w:rPr>
          <w:sz w:val="18"/>
          <w:u w:val="single" w:color="D9D9D9"/>
        </w:rPr>
        <w:t>(10/01/22</w:t>
      </w:r>
      <w:r>
        <w:rPr>
          <w:spacing w:val="-3"/>
          <w:sz w:val="18"/>
          <w:u w:val="single" w:color="D9D9D9"/>
        </w:rPr>
        <w:t xml:space="preserve"> </w:t>
      </w:r>
      <w:r>
        <w:rPr>
          <w:sz w:val="18"/>
          <w:u w:val="single" w:color="D9D9D9"/>
        </w:rPr>
        <w:t>-</w:t>
      </w:r>
      <w:r>
        <w:rPr>
          <w:spacing w:val="-3"/>
          <w:sz w:val="18"/>
          <w:u w:val="single" w:color="D9D9D9"/>
        </w:rPr>
        <w:t xml:space="preserve"> </w:t>
      </w:r>
      <w:r>
        <w:rPr>
          <w:sz w:val="18"/>
          <w:u w:val="single" w:color="D9D9D9"/>
        </w:rPr>
        <w:t>12/31/22),”</w:t>
      </w:r>
      <w:r>
        <w:rPr>
          <w:spacing w:val="-4"/>
          <w:sz w:val="18"/>
          <w:u w:val="single" w:color="D9D9D9"/>
        </w:rPr>
        <w:t xml:space="preserve"> </w:t>
      </w:r>
      <w:r>
        <w:rPr>
          <w:sz w:val="18"/>
          <w:u w:val="single" w:color="D9D9D9"/>
        </w:rPr>
        <w:t>n.d.,</w:t>
      </w:r>
      <w:r>
        <w:rPr>
          <w:spacing w:val="-2"/>
          <w:sz w:val="18"/>
          <w:u w:val="single" w:color="D9D9D9"/>
        </w:rPr>
        <w:t xml:space="preserve"> </w:t>
      </w:r>
      <w:r>
        <w:rPr>
          <w:sz w:val="18"/>
          <w:u w:val="single" w:color="D9D9D9"/>
        </w:rPr>
        <w:t>https://</w:t>
      </w:r>
      <w:hyperlink r:id="rId137">
        <w:r>
          <w:rPr>
            <w:sz w:val="18"/>
            <w:u w:val="single" w:color="D9D9D9"/>
          </w:rPr>
          <w:t>www.mass.gov/doc/quarter-</w:t>
        </w:r>
        <w:r>
          <w:rPr>
            <w:spacing w:val="-2"/>
            <w:sz w:val="18"/>
            <w:u w:val="single" w:color="D9D9D9"/>
          </w:rPr>
          <w:t>2/download.</w:t>
        </w:r>
        <w:r>
          <w:rPr>
            <w:sz w:val="18"/>
            <w:u w:val="single" w:color="D9D9D9"/>
          </w:rPr>
          <w:tab/>
        </w:r>
      </w:hyperlink>
    </w:p>
    <w:p w:rsidR="00200FDA" w:rsidRDefault="00200FDA">
      <w:pPr>
        <w:spacing w:line="219" w:lineRule="exact"/>
        <w:rPr>
          <w:sz w:val="18"/>
        </w:rPr>
        <w:sectPr w:rsidR="00200FDA">
          <w:headerReference w:type="default" r:id="rId138"/>
          <w:footerReference w:type="default" r:id="rId139"/>
          <w:pgSz w:w="12240" w:h="15840"/>
          <w:pgMar w:top="1360" w:right="1300" w:bottom="1100" w:left="1300" w:header="761" w:footer="913" w:gutter="0"/>
          <w:cols w:space="720"/>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spacing w:before="2"/>
        <w:rPr>
          <w:sz w:val="19"/>
        </w:rPr>
      </w:pPr>
    </w:p>
    <w:p w:rsidR="00200FDA" w:rsidRDefault="00F76C4C">
      <w:pPr>
        <w:spacing w:before="107"/>
        <w:ind w:left="654"/>
        <w:rPr>
          <w:sz w:val="34"/>
        </w:rPr>
      </w:pPr>
      <w:bookmarkStart w:id="107" w:name="Child_Welfare.pdf"/>
      <w:bookmarkEnd w:id="107"/>
      <w:r>
        <w:rPr>
          <w:color w:val="FFFFFF"/>
          <w:w w:val="120"/>
          <w:sz w:val="34"/>
        </w:rPr>
        <w:t>COMMISSION</w:t>
      </w:r>
      <w:r>
        <w:rPr>
          <w:color w:val="FFFFFF"/>
          <w:spacing w:val="17"/>
          <w:w w:val="120"/>
          <w:sz w:val="34"/>
        </w:rPr>
        <w:t xml:space="preserve"> </w:t>
      </w:r>
      <w:r>
        <w:rPr>
          <w:color w:val="FFFFFF"/>
          <w:w w:val="120"/>
          <w:sz w:val="34"/>
        </w:rPr>
        <w:t>ON</w:t>
      </w:r>
      <w:r>
        <w:rPr>
          <w:color w:val="FFFFFF"/>
          <w:spacing w:val="17"/>
          <w:w w:val="120"/>
          <w:sz w:val="34"/>
        </w:rPr>
        <w:t xml:space="preserve"> </w:t>
      </w:r>
      <w:r>
        <w:rPr>
          <w:color w:val="FFFFFF"/>
          <w:w w:val="120"/>
          <w:sz w:val="34"/>
        </w:rPr>
        <w:t>LGBTQ</w:t>
      </w:r>
      <w:r>
        <w:rPr>
          <w:color w:val="FFFFFF"/>
          <w:spacing w:val="17"/>
          <w:w w:val="120"/>
          <w:sz w:val="34"/>
        </w:rPr>
        <w:t xml:space="preserve"> </w:t>
      </w:r>
      <w:r>
        <w:rPr>
          <w:color w:val="FFFFFF"/>
          <w:spacing w:val="-2"/>
          <w:w w:val="120"/>
          <w:sz w:val="34"/>
        </w:rPr>
        <w:t>YOUTH</w:t>
      </w:r>
    </w:p>
    <w:p w:rsidR="00200FDA" w:rsidRDefault="00F76C4C">
      <w:pPr>
        <w:spacing w:before="61" w:line="218" w:lineRule="auto"/>
        <w:ind w:left="654" w:right="2793"/>
        <w:rPr>
          <w:b/>
          <w:sz w:val="55"/>
        </w:rPr>
      </w:pPr>
      <w:r>
        <w:rPr>
          <w:b/>
          <w:color w:val="FFFFFF"/>
          <w:spacing w:val="-2"/>
          <w:w w:val="130"/>
          <w:sz w:val="55"/>
        </w:rPr>
        <w:t xml:space="preserve">EMOTIONAL </w:t>
      </w:r>
      <w:r>
        <w:rPr>
          <w:b/>
          <w:color w:val="FFFFFF"/>
          <w:w w:val="125"/>
          <w:sz w:val="55"/>
        </w:rPr>
        <w:t>WELLBEING</w:t>
      </w:r>
      <w:r>
        <w:rPr>
          <w:b/>
          <w:color w:val="FFFFFF"/>
          <w:spacing w:val="-14"/>
          <w:w w:val="125"/>
          <w:sz w:val="55"/>
        </w:rPr>
        <w:t xml:space="preserve"> </w:t>
      </w:r>
      <w:r>
        <w:rPr>
          <w:b/>
          <w:color w:val="FFFFFF"/>
          <w:w w:val="125"/>
          <w:sz w:val="55"/>
        </w:rPr>
        <w:t xml:space="preserve">AND </w:t>
      </w:r>
      <w:r>
        <w:rPr>
          <w:b/>
          <w:color w:val="FFFFFF"/>
          <w:w w:val="130"/>
          <w:sz w:val="55"/>
        </w:rPr>
        <w:t>CHILD WELFARE</w:t>
      </w: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spacing w:before="8"/>
        <w:rPr>
          <w:b/>
          <w:sz w:val="25"/>
        </w:rPr>
      </w:pPr>
    </w:p>
    <w:p w:rsidR="00200FDA" w:rsidRDefault="00200FDA">
      <w:pPr>
        <w:rPr>
          <w:sz w:val="25"/>
        </w:rPr>
        <w:sectPr w:rsidR="00200FDA">
          <w:headerReference w:type="default" r:id="rId140"/>
          <w:footerReference w:type="default" r:id="rId141"/>
          <w:pgSz w:w="12240" w:h="15840"/>
          <w:pgMar w:top="0" w:right="1320" w:bottom="280" w:left="940" w:header="0" w:footer="0" w:gutter="0"/>
          <w:cols w:space="720"/>
        </w:sectPr>
      </w:pPr>
    </w:p>
    <w:p w:rsidR="00200FDA" w:rsidRDefault="00F76C4C">
      <w:pPr>
        <w:pStyle w:val="Heading6"/>
        <w:ind w:left="391"/>
      </w:pPr>
      <w:r>
        <w:rPr>
          <w:spacing w:val="11"/>
          <w:w w:val="125"/>
        </w:rPr>
        <w:t>ABOUT</w:t>
      </w:r>
    </w:p>
    <w:p w:rsidR="00200FDA" w:rsidRDefault="00F76C4C">
      <w:pPr>
        <w:spacing w:before="126" w:line="232" w:lineRule="auto"/>
        <w:ind w:left="2018" w:right="511" w:hanging="1236"/>
        <w:rPr>
          <w:rFonts w:ascii="Book Antiqua"/>
          <w:i/>
          <w:sz w:val="25"/>
        </w:rPr>
      </w:pPr>
      <w:r>
        <w:rPr>
          <w:rFonts w:ascii="Book Antiqua"/>
          <w:i/>
          <w:sz w:val="25"/>
        </w:rPr>
        <w:t>"</w:t>
      </w:r>
      <w:r>
        <w:rPr>
          <w:rFonts w:ascii="Book Antiqua"/>
          <w:i/>
          <w:spacing w:val="-16"/>
          <w:sz w:val="25"/>
        </w:rPr>
        <w:t xml:space="preserve"> </w:t>
      </w:r>
      <w:r>
        <w:rPr>
          <w:rFonts w:ascii="Book Antiqua"/>
          <w:i/>
          <w:w w:val="120"/>
          <w:sz w:val="25"/>
        </w:rPr>
        <w:t>H</w:t>
      </w:r>
      <w:r>
        <w:rPr>
          <w:rFonts w:ascii="Book Antiqua"/>
          <w:i/>
          <w:spacing w:val="-26"/>
          <w:w w:val="120"/>
          <w:sz w:val="25"/>
        </w:rPr>
        <w:t xml:space="preserve"> </w:t>
      </w:r>
      <w:r>
        <w:rPr>
          <w:rFonts w:ascii="Book Antiqua"/>
          <w:i/>
          <w:w w:val="120"/>
          <w:sz w:val="25"/>
        </w:rPr>
        <w:t>E</w:t>
      </w:r>
      <w:r>
        <w:rPr>
          <w:rFonts w:ascii="Book Antiqua"/>
          <w:i/>
          <w:spacing w:val="-25"/>
          <w:w w:val="120"/>
          <w:sz w:val="25"/>
        </w:rPr>
        <w:t xml:space="preserve"> </w:t>
      </w:r>
      <w:r>
        <w:rPr>
          <w:rFonts w:ascii="Book Antiqua"/>
          <w:i/>
          <w:w w:val="120"/>
          <w:sz w:val="25"/>
        </w:rPr>
        <w:t>L</w:t>
      </w:r>
      <w:r>
        <w:rPr>
          <w:rFonts w:ascii="Book Antiqua"/>
          <w:i/>
          <w:spacing w:val="-26"/>
          <w:w w:val="120"/>
          <w:sz w:val="25"/>
        </w:rPr>
        <w:t xml:space="preserve"> </w:t>
      </w:r>
      <w:r>
        <w:rPr>
          <w:rFonts w:ascii="Book Antiqua"/>
          <w:i/>
          <w:w w:val="120"/>
          <w:sz w:val="25"/>
        </w:rPr>
        <w:t>P</w:t>
      </w:r>
      <w:r>
        <w:rPr>
          <w:rFonts w:ascii="Book Antiqua"/>
          <w:i/>
          <w:spacing w:val="-25"/>
          <w:w w:val="120"/>
          <w:sz w:val="25"/>
        </w:rPr>
        <w:t xml:space="preserve"> </w:t>
      </w:r>
      <w:r>
        <w:rPr>
          <w:rFonts w:ascii="Book Antiqua"/>
          <w:i/>
          <w:w w:val="120"/>
          <w:sz w:val="25"/>
        </w:rPr>
        <w:t>I</w:t>
      </w:r>
      <w:r>
        <w:rPr>
          <w:rFonts w:ascii="Book Antiqua"/>
          <w:i/>
          <w:spacing w:val="-26"/>
          <w:w w:val="120"/>
          <w:sz w:val="25"/>
        </w:rPr>
        <w:t xml:space="preserve"> </w:t>
      </w:r>
      <w:r>
        <w:rPr>
          <w:rFonts w:ascii="Book Antiqua"/>
          <w:i/>
          <w:w w:val="120"/>
          <w:sz w:val="25"/>
        </w:rPr>
        <w:t>N</w:t>
      </w:r>
      <w:r>
        <w:rPr>
          <w:rFonts w:ascii="Book Antiqua"/>
          <w:i/>
          <w:spacing w:val="-25"/>
          <w:w w:val="120"/>
          <w:sz w:val="25"/>
        </w:rPr>
        <w:t xml:space="preserve"> </w:t>
      </w:r>
      <w:r>
        <w:rPr>
          <w:rFonts w:ascii="Book Antiqua"/>
          <w:i/>
          <w:w w:val="120"/>
          <w:sz w:val="25"/>
        </w:rPr>
        <w:t>G</w:t>
      </w:r>
      <w:r>
        <w:rPr>
          <w:rFonts w:ascii="Book Antiqua"/>
          <w:i/>
          <w:spacing w:val="36"/>
          <w:w w:val="120"/>
          <w:sz w:val="25"/>
        </w:rPr>
        <w:t xml:space="preserve"> </w:t>
      </w:r>
      <w:r>
        <w:rPr>
          <w:rFonts w:ascii="Book Antiqua"/>
          <w:i/>
          <w:w w:val="120"/>
          <w:sz w:val="25"/>
        </w:rPr>
        <w:t>A</w:t>
      </w:r>
      <w:r>
        <w:rPr>
          <w:rFonts w:ascii="Book Antiqua"/>
          <w:i/>
          <w:spacing w:val="-26"/>
          <w:w w:val="120"/>
          <w:sz w:val="25"/>
        </w:rPr>
        <w:t xml:space="preserve"> </w:t>
      </w:r>
      <w:r>
        <w:rPr>
          <w:rFonts w:ascii="Book Antiqua"/>
          <w:i/>
          <w:w w:val="120"/>
          <w:sz w:val="25"/>
        </w:rPr>
        <w:t>L</w:t>
      </w:r>
      <w:r>
        <w:rPr>
          <w:rFonts w:ascii="Book Antiqua"/>
          <w:i/>
          <w:spacing w:val="-25"/>
          <w:w w:val="120"/>
          <w:sz w:val="25"/>
        </w:rPr>
        <w:t xml:space="preserve"> </w:t>
      </w:r>
      <w:r>
        <w:rPr>
          <w:rFonts w:ascii="Book Antiqua"/>
          <w:i/>
          <w:w w:val="120"/>
          <w:sz w:val="25"/>
        </w:rPr>
        <w:t>L</w:t>
      </w:r>
      <w:r>
        <w:rPr>
          <w:rFonts w:ascii="Book Antiqua"/>
          <w:i/>
          <w:spacing w:val="52"/>
          <w:w w:val="120"/>
          <w:sz w:val="25"/>
        </w:rPr>
        <w:t xml:space="preserve"> </w:t>
      </w:r>
      <w:r>
        <w:rPr>
          <w:rFonts w:ascii="Book Antiqua"/>
          <w:i/>
          <w:w w:val="120"/>
          <w:sz w:val="25"/>
        </w:rPr>
        <w:t>Y</w:t>
      </w:r>
      <w:r>
        <w:rPr>
          <w:rFonts w:ascii="Book Antiqua"/>
          <w:i/>
          <w:spacing w:val="-25"/>
          <w:w w:val="120"/>
          <w:sz w:val="25"/>
        </w:rPr>
        <w:t xml:space="preserve"> </w:t>
      </w:r>
      <w:r>
        <w:rPr>
          <w:rFonts w:ascii="Book Antiqua"/>
          <w:i/>
          <w:w w:val="120"/>
          <w:sz w:val="25"/>
        </w:rPr>
        <w:t>O</w:t>
      </w:r>
      <w:r>
        <w:rPr>
          <w:rFonts w:ascii="Book Antiqua"/>
          <w:i/>
          <w:spacing w:val="-26"/>
          <w:w w:val="120"/>
          <w:sz w:val="25"/>
        </w:rPr>
        <w:t xml:space="preserve"> </w:t>
      </w:r>
      <w:r>
        <w:rPr>
          <w:rFonts w:ascii="Book Antiqua"/>
          <w:i/>
          <w:w w:val="120"/>
          <w:sz w:val="25"/>
        </w:rPr>
        <w:t>U</w:t>
      </w:r>
      <w:r>
        <w:rPr>
          <w:rFonts w:ascii="Book Antiqua"/>
          <w:i/>
          <w:spacing w:val="-25"/>
          <w:w w:val="120"/>
          <w:sz w:val="25"/>
        </w:rPr>
        <w:t xml:space="preserve"> </w:t>
      </w:r>
      <w:r>
        <w:rPr>
          <w:rFonts w:ascii="Book Antiqua"/>
          <w:i/>
          <w:w w:val="120"/>
          <w:sz w:val="25"/>
        </w:rPr>
        <w:t>T</w:t>
      </w:r>
      <w:r>
        <w:rPr>
          <w:rFonts w:ascii="Book Antiqua"/>
          <w:i/>
          <w:spacing w:val="-26"/>
          <w:w w:val="120"/>
          <w:sz w:val="25"/>
        </w:rPr>
        <w:t xml:space="preserve"> </w:t>
      </w:r>
      <w:r>
        <w:rPr>
          <w:rFonts w:ascii="Book Antiqua"/>
          <w:i/>
          <w:w w:val="120"/>
          <w:sz w:val="25"/>
        </w:rPr>
        <w:t>H T</w:t>
      </w:r>
      <w:r>
        <w:rPr>
          <w:rFonts w:ascii="Book Antiqua"/>
          <w:i/>
          <w:spacing w:val="-3"/>
          <w:w w:val="120"/>
          <w:sz w:val="25"/>
        </w:rPr>
        <w:t xml:space="preserve"> </w:t>
      </w:r>
      <w:r>
        <w:rPr>
          <w:rFonts w:ascii="Book Antiqua"/>
          <w:i/>
          <w:w w:val="120"/>
          <w:sz w:val="25"/>
        </w:rPr>
        <w:t>H</w:t>
      </w:r>
      <w:r>
        <w:rPr>
          <w:rFonts w:ascii="Book Antiqua"/>
          <w:i/>
          <w:spacing w:val="-3"/>
          <w:w w:val="120"/>
          <w:sz w:val="25"/>
        </w:rPr>
        <w:t xml:space="preserve"> </w:t>
      </w:r>
      <w:r>
        <w:rPr>
          <w:rFonts w:ascii="Book Antiqua"/>
          <w:i/>
          <w:w w:val="120"/>
          <w:sz w:val="25"/>
        </w:rPr>
        <w:t>R</w:t>
      </w:r>
      <w:r>
        <w:rPr>
          <w:rFonts w:ascii="Book Antiqua"/>
          <w:i/>
          <w:spacing w:val="-3"/>
          <w:w w:val="120"/>
          <w:sz w:val="25"/>
        </w:rPr>
        <w:t xml:space="preserve"> </w:t>
      </w:r>
      <w:r>
        <w:rPr>
          <w:rFonts w:ascii="Book Antiqua"/>
          <w:i/>
          <w:w w:val="120"/>
          <w:sz w:val="25"/>
        </w:rPr>
        <w:t>I</w:t>
      </w:r>
      <w:r>
        <w:rPr>
          <w:rFonts w:ascii="Book Antiqua"/>
          <w:i/>
          <w:spacing w:val="-3"/>
          <w:w w:val="120"/>
          <w:sz w:val="25"/>
        </w:rPr>
        <w:t xml:space="preserve"> </w:t>
      </w:r>
      <w:r>
        <w:rPr>
          <w:rFonts w:ascii="Book Antiqua"/>
          <w:i/>
          <w:w w:val="120"/>
          <w:sz w:val="25"/>
        </w:rPr>
        <w:t>V</w:t>
      </w:r>
      <w:r>
        <w:rPr>
          <w:rFonts w:ascii="Book Antiqua"/>
          <w:i/>
          <w:spacing w:val="-3"/>
          <w:w w:val="120"/>
          <w:sz w:val="25"/>
        </w:rPr>
        <w:t xml:space="preserve"> </w:t>
      </w:r>
      <w:r>
        <w:rPr>
          <w:rFonts w:ascii="Book Antiqua"/>
          <w:i/>
          <w:w w:val="120"/>
          <w:sz w:val="25"/>
        </w:rPr>
        <w:t>E</w:t>
      </w:r>
      <w:r>
        <w:rPr>
          <w:rFonts w:ascii="Book Antiqua"/>
          <w:i/>
          <w:spacing w:val="-3"/>
          <w:w w:val="120"/>
          <w:sz w:val="25"/>
        </w:rPr>
        <w:t xml:space="preserve"> </w:t>
      </w:r>
      <w:r>
        <w:rPr>
          <w:rFonts w:ascii="Book Antiqua"/>
          <w:i/>
          <w:sz w:val="25"/>
        </w:rPr>
        <w:t>"</w:t>
      </w:r>
    </w:p>
    <w:p w:rsidR="00200FDA" w:rsidRDefault="00F76C4C">
      <w:pPr>
        <w:pStyle w:val="Heading8"/>
        <w:spacing w:before="110" w:line="266" w:lineRule="auto"/>
        <w:ind w:left="303" w:right="38"/>
        <w:rPr>
          <w:rFonts w:ascii="Georgia"/>
        </w:rPr>
      </w:pPr>
      <w:r>
        <w:rPr>
          <w:rFonts w:ascii="Garamond"/>
          <w:w w:val="105"/>
        </w:rPr>
        <w:t>I</w:t>
      </w:r>
      <w:r>
        <w:rPr>
          <w:rFonts w:ascii="Georgia"/>
          <w:w w:val="105"/>
        </w:rPr>
        <w:t>n order to best serve our youth in complicated times, leaders must understand all</w:t>
      </w:r>
      <w:r>
        <w:rPr>
          <w:rFonts w:ascii="Georgia"/>
          <w:spacing w:val="-9"/>
          <w:w w:val="105"/>
        </w:rPr>
        <w:t xml:space="preserve"> </w:t>
      </w:r>
      <w:r>
        <w:rPr>
          <w:rFonts w:ascii="Georgia"/>
          <w:w w:val="105"/>
        </w:rPr>
        <w:t>youth.</w:t>
      </w:r>
      <w:r>
        <w:rPr>
          <w:rFonts w:ascii="Georgia"/>
          <w:spacing w:val="-9"/>
          <w:w w:val="105"/>
        </w:rPr>
        <w:t xml:space="preserve"> </w:t>
      </w:r>
      <w:r>
        <w:rPr>
          <w:rFonts w:ascii="Georgia"/>
          <w:w w:val="105"/>
        </w:rPr>
        <w:t>Understanding</w:t>
      </w:r>
      <w:r>
        <w:rPr>
          <w:rFonts w:ascii="Georgia"/>
          <w:spacing w:val="-9"/>
          <w:w w:val="105"/>
        </w:rPr>
        <w:t xml:space="preserve"> </w:t>
      </w:r>
      <w:r>
        <w:rPr>
          <w:rFonts w:ascii="Georgia"/>
          <w:w w:val="105"/>
        </w:rPr>
        <w:t>the</w:t>
      </w:r>
      <w:r>
        <w:rPr>
          <w:rFonts w:ascii="Georgia"/>
          <w:spacing w:val="-9"/>
          <w:w w:val="105"/>
        </w:rPr>
        <w:t xml:space="preserve"> </w:t>
      </w:r>
      <w:r>
        <w:rPr>
          <w:rFonts w:ascii="Georgia"/>
          <w:w w:val="105"/>
        </w:rPr>
        <w:t>intersectionality of identity of our LGBTQ youth gives</w:t>
      </w:r>
      <w:r>
        <w:rPr>
          <w:rFonts w:ascii="Georgia"/>
          <w:w w:val="105"/>
        </w:rPr>
        <w:t xml:space="preserve"> insight into their mental stressors.</w:t>
      </w:r>
    </w:p>
    <w:p w:rsidR="00200FDA" w:rsidRDefault="00F76C4C">
      <w:pPr>
        <w:spacing w:before="138"/>
        <w:ind w:left="1220"/>
        <w:rPr>
          <w:b/>
          <w:sz w:val="77"/>
        </w:rPr>
      </w:pPr>
      <w:r>
        <w:br w:type="column"/>
      </w:r>
      <w:r>
        <w:rPr>
          <w:b/>
          <w:emboss/>
          <w:color w:val="FF66C3"/>
          <w:spacing w:val="20"/>
          <w:w w:val="125"/>
          <w:sz w:val="77"/>
        </w:rPr>
        <w:t>90%</w:t>
      </w:r>
    </w:p>
    <w:p w:rsidR="00200FDA" w:rsidRDefault="00F76C4C">
      <w:pPr>
        <w:pStyle w:val="BodyText"/>
        <w:spacing w:before="51" w:line="266" w:lineRule="auto"/>
        <w:ind w:left="336" w:right="163" w:hanging="1"/>
        <w:jc w:val="center"/>
        <w:rPr>
          <w:rFonts w:ascii="Georgia"/>
        </w:rPr>
      </w:pPr>
      <w:r>
        <w:rPr>
          <w:rFonts w:ascii="Georgia"/>
        </w:rPr>
        <w:t xml:space="preserve">Of LGBTQ youth in Massachusetts </w:t>
      </w:r>
      <w:r>
        <w:rPr>
          <w:rFonts w:ascii="Georgia"/>
          <w:spacing w:val="-2"/>
          <w:w w:val="105"/>
        </w:rPr>
        <w:t>claim</w:t>
      </w:r>
      <w:r>
        <w:rPr>
          <w:rFonts w:ascii="Georgia"/>
          <w:spacing w:val="-11"/>
          <w:w w:val="105"/>
        </w:rPr>
        <w:t xml:space="preserve"> </w:t>
      </w:r>
      <w:r>
        <w:rPr>
          <w:rFonts w:ascii="Georgia"/>
          <w:spacing w:val="-2"/>
          <w:w w:val="105"/>
        </w:rPr>
        <w:t>that</w:t>
      </w:r>
      <w:r>
        <w:rPr>
          <w:rFonts w:ascii="Georgia"/>
          <w:spacing w:val="-11"/>
          <w:w w:val="105"/>
        </w:rPr>
        <w:t xml:space="preserve"> </w:t>
      </w:r>
      <w:r>
        <w:rPr>
          <w:rFonts w:ascii="Georgia"/>
          <w:spacing w:val="-2"/>
          <w:w w:val="105"/>
        </w:rPr>
        <w:t>recent</w:t>
      </w:r>
      <w:r>
        <w:rPr>
          <w:rFonts w:ascii="Georgia"/>
          <w:spacing w:val="-11"/>
          <w:w w:val="105"/>
        </w:rPr>
        <w:t xml:space="preserve"> </w:t>
      </w:r>
      <w:r>
        <w:rPr>
          <w:rFonts w:ascii="Georgia"/>
          <w:spacing w:val="-2"/>
          <w:w w:val="105"/>
        </w:rPr>
        <w:t>national</w:t>
      </w:r>
      <w:r>
        <w:rPr>
          <w:rFonts w:ascii="Georgia"/>
          <w:spacing w:val="-11"/>
          <w:w w:val="105"/>
        </w:rPr>
        <w:t xml:space="preserve"> </w:t>
      </w:r>
      <w:r>
        <w:rPr>
          <w:rFonts w:ascii="Georgia"/>
          <w:spacing w:val="-2"/>
          <w:w w:val="105"/>
        </w:rPr>
        <w:t xml:space="preserve">rhetoric </w:t>
      </w:r>
      <w:r>
        <w:rPr>
          <w:rFonts w:ascii="Georgia"/>
          <w:w w:val="105"/>
        </w:rPr>
        <w:t>has</w:t>
      </w:r>
      <w:r>
        <w:rPr>
          <w:rFonts w:ascii="Georgia"/>
          <w:spacing w:val="-6"/>
          <w:w w:val="105"/>
        </w:rPr>
        <w:t xml:space="preserve"> </w:t>
      </w:r>
      <w:r>
        <w:rPr>
          <w:rFonts w:ascii="Georgia"/>
          <w:w w:val="105"/>
        </w:rPr>
        <w:t>negatively</w:t>
      </w:r>
      <w:r>
        <w:rPr>
          <w:rFonts w:ascii="Georgia"/>
          <w:spacing w:val="-6"/>
          <w:w w:val="105"/>
        </w:rPr>
        <w:t xml:space="preserve"> </w:t>
      </w:r>
      <w:r>
        <w:rPr>
          <w:rFonts w:ascii="Georgia"/>
          <w:w w:val="105"/>
        </w:rPr>
        <w:t>affected</w:t>
      </w:r>
      <w:r>
        <w:rPr>
          <w:rFonts w:ascii="Georgia"/>
          <w:spacing w:val="-6"/>
          <w:w w:val="105"/>
        </w:rPr>
        <w:t xml:space="preserve"> </w:t>
      </w:r>
      <w:r>
        <w:rPr>
          <w:rFonts w:ascii="Georgia"/>
          <w:w w:val="105"/>
        </w:rPr>
        <w:t>their</w:t>
      </w:r>
      <w:r>
        <w:rPr>
          <w:rFonts w:ascii="Georgia"/>
          <w:spacing w:val="-6"/>
          <w:w w:val="105"/>
        </w:rPr>
        <w:t xml:space="preserve"> </w:t>
      </w:r>
      <w:r>
        <w:rPr>
          <w:rFonts w:ascii="Georgia"/>
          <w:w w:val="105"/>
        </w:rPr>
        <w:t xml:space="preserve">well- </w:t>
      </w:r>
      <w:r>
        <w:rPr>
          <w:rFonts w:ascii="Georgia"/>
          <w:spacing w:val="-2"/>
          <w:w w:val="105"/>
        </w:rPr>
        <w:t>being</w:t>
      </w:r>
    </w:p>
    <w:p w:rsidR="00200FDA" w:rsidRDefault="00200FDA">
      <w:pPr>
        <w:pStyle w:val="BodyText"/>
        <w:spacing w:before="4"/>
        <w:rPr>
          <w:rFonts w:ascii="Georgia"/>
          <w:sz w:val="31"/>
        </w:rPr>
      </w:pPr>
    </w:p>
    <w:p w:rsidR="00200FDA" w:rsidRDefault="00F76C4C">
      <w:pPr>
        <w:pStyle w:val="Heading3"/>
        <w:spacing w:line="900" w:lineRule="exact"/>
        <w:ind w:left="1360"/>
      </w:pPr>
      <w:r>
        <w:rPr>
          <w:emboss/>
          <w:color w:val="FF66C3"/>
          <w:spacing w:val="19"/>
          <w:w w:val="105"/>
        </w:rPr>
        <w:t>51%</w:t>
      </w:r>
    </w:p>
    <w:p w:rsidR="00200FDA" w:rsidRDefault="00F76C4C">
      <w:pPr>
        <w:pStyle w:val="BodyText"/>
        <w:spacing w:line="235" w:lineRule="exact"/>
        <w:ind w:left="424" w:right="121"/>
        <w:jc w:val="center"/>
        <w:rPr>
          <w:rFonts w:ascii="Georgia"/>
        </w:rPr>
      </w:pPr>
      <w:r>
        <w:rPr>
          <w:rFonts w:ascii="Georgia"/>
        </w:rPr>
        <w:t>of</w:t>
      </w:r>
      <w:r>
        <w:rPr>
          <w:rFonts w:ascii="Georgia"/>
          <w:spacing w:val="13"/>
        </w:rPr>
        <w:t xml:space="preserve"> </w:t>
      </w:r>
      <w:r>
        <w:rPr>
          <w:rFonts w:ascii="Georgia"/>
        </w:rPr>
        <w:t>Massachusetts</w:t>
      </w:r>
      <w:r>
        <w:rPr>
          <w:rFonts w:ascii="Georgia"/>
          <w:spacing w:val="14"/>
        </w:rPr>
        <w:t xml:space="preserve"> </w:t>
      </w:r>
      <w:r>
        <w:rPr>
          <w:rFonts w:ascii="Georgia"/>
        </w:rPr>
        <w:t>transgender</w:t>
      </w:r>
      <w:r>
        <w:rPr>
          <w:rFonts w:ascii="Georgia"/>
          <w:spacing w:val="14"/>
        </w:rPr>
        <w:t xml:space="preserve"> </w:t>
      </w:r>
      <w:r>
        <w:rPr>
          <w:rFonts w:ascii="Georgia"/>
          <w:spacing w:val="-5"/>
        </w:rPr>
        <w:t>and</w:t>
      </w:r>
    </w:p>
    <w:p w:rsidR="00200FDA" w:rsidRDefault="00F76C4C">
      <w:pPr>
        <w:pStyle w:val="BodyText"/>
        <w:spacing w:before="28" w:line="266" w:lineRule="auto"/>
        <w:ind w:left="795" w:right="489"/>
        <w:jc w:val="center"/>
        <w:rPr>
          <w:rFonts w:ascii="Georgia"/>
        </w:rPr>
      </w:pPr>
      <w:r>
        <w:pict>
          <v:group id="docshapegroup154" o:spid="_x0000_s1395" style="position:absolute;left:0;text-align:left;margin-left:52.1pt;margin-top:31.1pt;width:273.15pt;height:177.3pt;z-index:15740928;mso-position-horizontal-relative:page" coordorigin="1042,622" coordsize="5463,3546">
            <v:shape id="docshape155" o:spid="_x0000_s1405" style="position:absolute;left:1041;top:622;width:5463;height:3546" coordorigin="1042,622" coordsize="5463,3546" path="m5945,4167r-4333,l1534,4162r-74,-15l1390,4122r-66,-33l1263,4048r-54,-48l1160,3946r-41,-61l1086,3819r-24,-70l1047,3675r-5,-78l1042,1192r5,-77l1062,1041r24,-71l1119,905r41,-61l1209,789r54,-48l1324,700r66,-33l1460,643r74,-16l1612,622r4333,l6023,627r74,16l6167,667r66,33l6293,741r55,48l6396,844r41,61l6470,970r25,71l6504,1087r,2616l6470,3819r-33,66l6396,3946r-48,54l6293,4048r-60,41l6167,4122r-70,25l6023,4162r-78,5xe" fillcolor="#ffafc7" stroked="f">
              <v:fill opacity="36497f"/>
              <v:path arrowok="t"/>
            </v:shape>
            <v:shape id="docshape156" o:spid="_x0000_s1404" style="position:absolute;left:1331;top:1226;width:765;height:765" coordorigin="1331,1227" coordsize="765,765" o:spt="100" adj="0,,0" path="m2055,1598r,-11l2052,1565r-1,-11l2046,1532r-2,-11l2037,1500r-4,-11l2025,1468r-5,-10l2009,1439r-5,-10l1991,1410r-6,-9l1970,1384r-7,-8l1947,1360r-8,-7l1922,1338r-9,-6l1894,1319r-10,-5l1865,1303r-10,-5l1834,1290r-10,-4l1802,1279r-11,-2l1769,1272r-11,-1l1736,1269r-11,-1l1703,1268r-12,1l1669,1271r-11,1l1636,1277r-11,2l1604,1286r-11,4l1573,1298r-10,5l1543,1314r-10,5l1515,1332r-9,6l1489,1353r-9,7l1464,1376r-7,8l1443,1401r-7,9l1424,1429r-6,10l1407,1458r-4,10l1394,1489r-4,11l1384,1521r-3,11l1377,1554r-2,11l1373,1587r-1,11l1372,1620r1,12l1375,1654r2,11l1381,1687r3,11l1390,1719r4,11l1403,1750r4,10l1418,1780r6,10l1436,1808r7,9l1457,1835r7,8l1480,1859r9,7l1506,1880r9,7l1533,1899r10,6l1563,1916r10,4l1593,1929r11,4l1625,1939r11,3l1658,1946r11,2l1691,1950r12,1l1725,1951r11,-1l1758,1948r11,-2l1791,1942r11,-3l1824,1933r10,-4l1855,1920r10,-4l1884,1905r10,-6l1913,1887r9,-7l1939,1866r8,-7l1963,1843r7,-8l1985,1817r6,-9l2004,1790r5,-10l2020,1760r5,-10l2033,1730r4,-11l2044,1698r2,-11l2051,1665r1,-11l2055,1632r,-12l2055,1609r,-11xm2096,1609r-8,-77l2070,1473r,136l2063,1681r-21,67l2009,1808r-43,53l1913,1905r-61,33l1785,1958r-71,8l1642,1958r-67,-20l1515,1905r-53,-44l1418,1808r-33,-60l1365,1681r-8,-72l1365,1538r20,-67l1418,1410r44,-52l1515,1314r60,-33l1642,1260r72,-7l1785,1260r67,21l1913,1314r53,44l2009,1410r33,61l2063,1538r7,71l2070,1473r-4,-12l2031,1396r-47,-57l1927,1292r-65,-35l1850,1253r-59,-18l1714,1227r-77,8l1565,1257r-65,35l1443,1339r-46,57l1361,1461r-22,71l1331,1609r8,77l1361,1758r36,65l1443,1880r57,46l1565,1962r72,22l1714,1992r77,-8l1850,1966r12,-4l1927,1926r57,-46l2031,1823r35,-65l2088,1686r8,-77xe" fillcolor="#f4b648" stroked="f">
              <v:stroke joinstyle="round"/>
              <v:formulas/>
              <v:path arrowok="t" o:connecttype="segments"/>
            </v:shape>
            <v:shape id="docshape157" o:spid="_x0000_s1403" style="position:absolute;left:1580;top:1380;width:284;height:454" coordorigin="1580,1380" coordsize="284,454" path="m1863,1833r-277,l1586,1719r35,l1629,1715r11,-13l1643,1694r,-156l1580,1538r,-101l1645,1421r21,-41l1808,1381r-1,319l1863,1719r,114xe" stroked="f">
              <v:path arrowok="t"/>
            </v:shape>
            <v:shape id="docshape158" o:spid="_x0000_s1402" style="position:absolute;left:1331;top:2267;width:765;height:765" coordorigin="1331,2267" coordsize="765,765" o:spt="100" adj="0,,0" path="m2055,2639r,-11l2052,2605r-1,-11l2046,2572r-2,-10l2037,2540r-4,-10l2025,2509r-5,-10l2009,2479r-5,-9l1991,2451r-6,-9l1970,2425r-7,-9l1947,2401r-8,-8l1922,2379r-9,-7l1894,2360r-10,-6l1865,2344r-10,-5l1834,2330r-10,-3l1802,2320r-11,-3l1769,2313r-11,-2l1736,2309r-11,l1703,2309r-12,l1669,2311r-11,2l1636,2317r-11,3l1604,2327r-11,3l1573,2339r-10,5l1543,2354r-10,6l1515,2372r-9,7l1489,2393r-9,8l1464,2416r-7,9l1443,2442r-7,9l1424,2470r-6,9l1407,2499r-4,10l1394,2530r-4,10l1384,2562r-3,10l1377,2594r-2,11l1373,2628r-1,11l1372,2661r1,11l1375,2695r2,11l1381,2727r3,11l1390,2760r4,10l1403,2791r4,10l1418,2821r6,9l1436,2849r7,9l1457,2875r7,8l1480,2899r9,8l1506,2921r9,7l1533,2940r10,6l1563,2956r10,5l1593,2970r11,3l1625,2980r11,3l1658,2987r11,2l1691,2991r12,l1725,2991r11,l1758,2989r11,-2l1791,2983r11,-3l1824,2973r10,-3l1855,2961r10,-5l1884,2946r10,-6l1913,2928r9,-7l1939,2907r8,-8l1963,2883r7,-8l1985,2858r6,-9l2004,2830r5,-9l2020,2801r5,-10l2033,2770r4,-10l2044,2738r2,-11l2051,2706r1,-11l2055,2672r,-11l2055,2650r,-11xm2096,2650r-8,-77l2070,2514r,136l2063,2722r-21,66l2009,2849r-43,53l1913,2945r-61,33l1785,2999r-71,7l1642,2999r-67,-21l1515,2945r-53,-43l1418,2849r-33,-61l1365,2722r-8,-72l1365,2578r20,-67l1418,2451r44,-53l1515,2355r60,-33l1642,2301r72,-7l1785,2301r67,21l1913,2355r53,43l2009,2451r33,60l2063,2578r7,72l2070,2514r-4,-13l2031,2436r-47,-56l1927,2333r-65,-35l1850,2294r-59,-19l1714,2267r-77,8l1565,2298r-65,35l1443,2380r-46,56l1361,2501r-22,72l1331,2650r8,77l1361,2799r36,65l1443,2920r57,47l1565,3002r72,23l1714,3032r77,-7l1850,3006r12,-4l1927,2967r57,-47l2031,2864r35,-65l2088,2727r8,-77xe" fillcolor="#ff66c3" stroked="f">
              <v:stroke joinstyle="round"/>
              <v:formulas/>
              <v:path arrowok="t" o:connecttype="segments"/>
            </v:shape>
            <v:shape id="docshape159" o:spid="_x0000_s1401" style="position:absolute;left:1509;top:2402;width:423;height:466" coordorigin="1510,2402" coordsize="423,466" path="m1789,2867r-68,-9l1649,2839r-12,-2l1582,2861r-71,-1l1517,2798r24,-63l1589,2679r56,-38l1689,2618r10,-5l1752,2568r3,-22l1754,2533r-56,-40l1670,2492r-13,1l1635,2497r-10,4l1615,2506r12,3l1638,2515r21,59l1610,2615r-67,-11l1510,2550r,-14l1534,2470r51,-39l1658,2408r67,-6l1749,2403r65,10l1878,2443r45,57l1930,2541r-1,16l1906,2619r-49,37l1794,2678r-55,14l1725,2696r-62,26l1615,2766r-7,12l1614,2780r4,-5l1623,2769r71,-39l1706,2728r27,l1744,2729r19,3l1771,2733r36,8l1814,2742r57,-35l1872,2694r61,l1926,2769r-26,61l1845,2863r-41,4l1789,2867xe" stroked="f">
              <v:path arrowok="t"/>
            </v:shape>
            <v:shape id="docshape160" o:spid="_x0000_s1400" style="position:absolute;left:1331;top:3265;width:780;height:780" coordorigin="1331,3266" coordsize="780,780" o:spt="100" adj="0,,0" path="m2069,3644r,-11l2066,3610r-1,-11l2060,3577r-2,-11l2051,3544r-4,-11l2038,3512r-4,-10l2023,3482r-6,-10l2004,3453r-7,-9l1983,3426r-8,-8l1959,3402r-8,-8l1933,3379r-9,-6l1905,3360r-10,-6l1875,3343r-10,-5l1844,3330r-11,-4l1811,3319r-11,-2l1778,3312r-11,-2l1744,3308r-11,l1710,3308r-12,l1676,3310r-12,2l1642,3317r-11,2l1609,3326r-10,4l1577,3338r-10,5l1547,3354r-10,6l1518,3373r-9,6l1492,3394r-9,8l1467,3418r-8,8l1445,3444r-7,9l1425,3472r-5,10l1409,3502r-5,10l1395,3533r-4,11l1385,3566r-3,11l1378,3599r-2,11l1374,3633r-1,11l1373,3667r1,11l1376,3701r2,11l1382,3735r3,11l1391,3768r4,10l1404,3799r5,11l1420,3830r5,10l1438,3859r7,9l1459,3885r8,9l1483,3910r9,8l1509,3932r9,7l1537,3951r10,6l1567,3968r10,5l1599,3982r10,3l1631,3992r11,3l1664,3999r12,2l1698,4003r12,1l1733,4004r11,-1l1767,4001r11,-2l1800,3995r11,-3l1833,3985r11,-3l1865,3973r10,-5l1895,3957r10,-6l1924,3939r9,-7l1951,3918r8,-8l1975,3894r8,-9l1997,3868r7,-9l2017,3840r6,-10l2034,3810r4,-11l2047,3778r4,-10l2058,3746r2,-11l2065,3712r1,-11l2069,3678r,-11l2069,3656r,-12xm2111,3656r-8,-79l2084,3517r,139l2077,3729r-21,68l2022,3859r-44,53l1924,3957r-62,33l1794,4012r-73,7l1648,4012r-68,-22l1518,3957r-54,-45l1420,3859r-33,-62l1365,3729r-7,-73l1365,3583r22,-69l1420,3453r44,-54l1518,3355r62,-34l1648,3300r73,-8l1794,3300r68,21l1924,3355r54,44l2022,3453r34,61l2077,3583r7,73l2084,3517r-4,-13l2044,3438r-47,-58l1939,3332r-66,-36l1860,3292r-60,-18l1721,3266r-78,8l1570,3296r-67,36l1446,3380r-48,58l1362,3504r-23,73l1331,3656r8,78l1362,3807r36,67l1446,3931r57,48l1570,4015r73,23l1721,4046r79,-8l1860,4019r13,-4l1939,3979r58,-48l2045,3874r36,-67l2103,3734r8,-78xe" fillcolor="#9a2f59" stroked="f">
              <v:stroke joinstyle="round"/>
              <v:formulas/>
              <v:path arrowok="t" o:connecttype="segments"/>
            </v:shape>
            <v:shape id="docshape161" o:spid="_x0000_s1399" style="position:absolute;left:1498;top:3403;width:455;height:481" coordorigin="1499,3403" coordsize="455,481" path="m1721,3884r-81,-8l1579,3856r-53,-40l1499,3752r,-13l1499,3725r31,-59l1570,3651r25,l1649,3684r-9,67l1605,3771r17,9l1642,3786r22,3l1689,3791r21,-1l1769,3754r6,-38l1773,3708r-52,-37l1682,3669r,-68l1742,3593r24,-53l1764,3531r-52,-36l1693,3494r-15,1l1621,3514r5,1l1630,3516r35,58l1612,3616r-67,-13l1512,3547r,-14l1535,3468r49,-38l1656,3408r68,-5l1744,3404r79,9l1888,3439r42,43l1941,3529r-2,21l1900,3611r-64,23l1836,3638r67,22l1945,3706r8,47l1952,3764r-27,57l1870,3858r-63,19l1752,3883r-31,1xe" stroked="f">
              <v:path arrowok="t"/>
            </v:shape>
            <v:shape id="docshape162" o:spid="_x0000_s1398" type="#_x0000_t202" style="position:absolute;left:1243;top:789;width:4858;height:1024" filled="f" stroked="f">
              <v:textbox inset="0,0,0,0">
                <w:txbxContent>
                  <w:p w:rsidR="00200FDA" w:rsidRDefault="00F76C4C">
                    <w:pPr>
                      <w:spacing w:before="6"/>
                      <w:rPr>
                        <w:b/>
                        <w:i/>
                        <w:sz w:val="34"/>
                      </w:rPr>
                    </w:pPr>
                    <w:r>
                      <w:rPr>
                        <w:b/>
                        <w:i/>
                        <w:spacing w:val="13"/>
                        <w:w w:val="125"/>
                        <w:sz w:val="34"/>
                      </w:rPr>
                      <w:t>RECOMMENDATIONS</w:t>
                    </w:r>
                  </w:p>
                  <w:p w:rsidR="00200FDA" w:rsidRDefault="00F76C4C">
                    <w:pPr>
                      <w:spacing w:before="75" w:line="260" w:lineRule="atLeast"/>
                      <w:ind w:left="945"/>
                      <w:rPr>
                        <w:rFonts w:ascii="Georgia"/>
                        <w:sz w:val="20"/>
                      </w:rPr>
                    </w:pPr>
                    <w:r>
                      <w:rPr>
                        <w:rFonts w:ascii="Georgia"/>
                        <w:w w:val="105"/>
                        <w:sz w:val="20"/>
                      </w:rPr>
                      <w:t>Codify</w:t>
                    </w:r>
                    <w:r>
                      <w:rPr>
                        <w:rFonts w:ascii="Georgia"/>
                        <w:spacing w:val="-12"/>
                        <w:w w:val="105"/>
                        <w:sz w:val="20"/>
                      </w:rPr>
                      <w:t xml:space="preserve"> </w:t>
                    </w:r>
                    <w:r>
                      <w:rPr>
                        <w:rFonts w:ascii="Georgia"/>
                        <w:w w:val="105"/>
                        <w:sz w:val="20"/>
                      </w:rPr>
                      <w:t>the</w:t>
                    </w:r>
                    <w:r>
                      <w:rPr>
                        <w:rFonts w:ascii="Georgia"/>
                        <w:spacing w:val="-12"/>
                        <w:w w:val="105"/>
                        <w:sz w:val="20"/>
                      </w:rPr>
                      <w:t xml:space="preserve"> </w:t>
                    </w:r>
                    <w:r>
                      <w:rPr>
                        <w:rFonts w:ascii="Georgia"/>
                        <w:w w:val="105"/>
                        <w:sz w:val="20"/>
                      </w:rPr>
                      <w:t>foster</w:t>
                    </w:r>
                    <w:r>
                      <w:rPr>
                        <w:rFonts w:ascii="Georgia"/>
                        <w:spacing w:val="-12"/>
                        <w:w w:val="105"/>
                        <w:sz w:val="20"/>
                      </w:rPr>
                      <w:t xml:space="preserve"> </w:t>
                    </w:r>
                    <w:r>
                      <w:rPr>
                        <w:rFonts w:ascii="Georgia"/>
                        <w:w w:val="105"/>
                        <w:sz w:val="20"/>
                      </w:rPr>
                      <w:t>child</w:t>
                    </w:r>
                    <w:r>
                      <w:rPr>
                        <w:rFonts w:ascii="Georgia"/>
                        <w:spacing w:val="-12"/>
                        <w:w w:val="105"/>
                        <w:sz w:val="20"/>
                      </w:rPr>
                      <w:t xml:space="preserve"> </w:t>
                    </w:r>
                    <w:r>
                      <w:rPr>
                        <w:rFonts w:ascii="Georgia"/>
                        <w:w w:val="105"/>
                        <w:sz w:val="20"/>
                      </w:rPr>
                      <w:t>bill</w:t>
                    </w:r>
                    <w:r>
                      <w:rPr>
                        <w:rFonts w:ascii="Georgia"/>
                        <w:spacing w:val="-12"/>
                        <w:w w:val="105"/>
                        <w:sz w:val="20"/>
                      </w:rPr>
                      <w:t xml:space="preserve"> </w:t>
                    </w:r>
                    <w:r>
                      <w:rPr>
                        <w:rFonts w:ascii="Georgia"/>
                        <w:w w:val="105"/>
                        <w:sz w:val="20"/>
                      </w:rPr>
                      <w:t>of</w:t>
                    </w:r>
                    <w:r>
                      <w:rPr>
                        <w:rFonts w:ascii="Georgia"/>
                        <w:spacing w:val="-12"/>
                        <w:w w:val="105"/>
                        <w:sz w:val="20"/>
                      </w:rPr>
                      <w:t xml:space="preserve"> </w:t>
                    </w:r>
                    <w:r>
                      <w:rPr>
                        <w:rFonts w:ascii="Georgia"/>
                        <w:w w:val="105"/>
                        <w:sz w:val="20"/>
                      </w:rPr>
                      <w:t>rights</w:t>
                    </w:r>
                    <w:r>
                      <w:rPr>
                        <w:rFonts w:ascii="Georgia"/>
                        <w:spacing w:val="-12"/>
                        <w:w w:val="105"/>
                        <w:sz w:val="20"/>
                      </w:rPr>
                      <w:t xml:space="preserve"> </w:t>
                    </w:r>
                    <w:r>
                      <w:rPr>
                        <w:rFonts w:ascii="Georgia"/>
                        <w:w w:val="105"/>
                        <w:sz w:val="20"/>
                      </w:rPr>
                      <w:t>in</w:t>
                    </w:r>
                    <w:r>
                      <w:rPr>
                        <w:rFonts w:ascii="Georgia"/>
                        <w:spacing w:val="-12"/>
                        <w:w w:val="105"/>
                        <w:sz w:val="20"/>
                      </w:rPr>
                      <w:t xml:space="preserve"> </w:t>
                    </w:r>
                    <w:r>
                      <w:rPr>
                        <w:rFonts w:ascii="Georgia"/>
                        <w:w w:val="105"/>
                        <w:sz w:val="20"/>
                      </w:rPr>
                      <w:t xml:space="preserve">state </w:t>
                    </w:r>
                    <w:r>
                      <w:rPr>
                        <w:rFonts w:ascii="Georgia"/>
                        <w:spacing w:val="-4"/>
                        <w:w w:val="105"/>
                        <w:sz w:val="20"/>
                      </w:rPr>
                      <w:t>law.</w:t>
                    </w:r>
                  </w:p>
                </w:txbxContent>
              </v:textbox>
            </v:shape>
            <v:shape id="docshape163" o:spid="_x0000_s1397" type="#_x0000_t202" style="position:absolute;left:2188;top:2248;width:4086;height:760" filled="f" stroked="f">
              <v:textbox inset="0,0,0,0">
                <w:txbxContent>
                  <w:p w:rsidR="00200FDA" w:rsidRDefault="00F76C4C">
                    <w:pPr>
                      <w:spacing w:before="1" w:line="278" w:lineRule="auto"/>
                      <w:rPr>
                        <w:rFonts w:ascii="Georgia"/>
                        <w:sz w:val="20"/>
                      </w:rPr>
                    </w:pPr>
                    <w:r>
                      <w:rPr>
                        <w:rFonts w:ascii="Georgia"/>
                        <w:w w:val="105"/>
                        <w:sz w:val="20"/>
                      </w:rPr>
                      <w:t>Improve Massachusetts child abuse laws to explicitly</w:t>
                    </w:r>
                    <w:r>
                      <w:rPr>
                        <w:rFonts w:ascii="Georgia"/>
                        <w:spacing w:val="-13"/>
                        <w:w w:val="105"/>
                        <w:sz w:val="20"/>
                      </w:rPr>
                      <w:t xml:space="preserve"> </w:t>
                    </w:r>
                    <w:r>
                      <w:rPr>
                        <w:rFonts w:ascii="Georgia"/>
                        <w:w w:val="105"/>
                        <w:sz w:val="20"/>
                      </w:rPr>
                      <w:t>include</w:t>
                    </w:r>
                    <w:r>
                      <w:rPr>
                        <w:rFonts w:ascii="Georgia"/>
                        <w:spacing w:val="-13"/>
                        <w:w w:val="105"/>
                        <w:sz w:val="20"/>
                      </w:rPr>
                      <w:t xml:space="preserve"> </w:t>
                    </w:r>
                    <w:r>
                      <w:rPr>
                        <w:rFonts w:ascii="Georgia"/>
                        <w:w w:val="105"/>
                        <w:sz w:val="20"/>
                      </w:rPr>
                      <w:t>the</w:t>
                    </w:r>
                    <w:r>
                      <w:rPr>
                        <w:rFonts w:ascii="Georgia"/>
                        <w:spacing w:val="-12"/>
                        <w:w w:val="105"/>
                        <w:sz w:val="20"/>
                      </w:rPr>
                      <w:t xml:space="preserve"> </w:t>
                    </w:r>
                    <w:r>
                      <w:rPr>
                        <w:rFonts w:ascii="Georgia"/>
                        <w:w w:val="105"/>
                        <w:sz w:val="20"/>
                      </w:rPr>
                      <w:t>withholding</w:t>
                    </w:r>
                    <w:r>
                      <w:rPr>
                        <w:rFonts w:ascii="Georgia"/>
                        <w:spacing w:val="-13"/>
                        <w:w w:val="105"/>
                        <w:sz w:val="20"/>
                      </w:rPr>
                      <w:t xml:space="preserve"> </w:t>
                    </w:r>
                    <w:r>
                      <w:rPr>
                        <w:rFonts w:ascii="Georgia"/>
                        <w:w w:val="105"/>
                        <w:sz w:val="20"/>
                      </w:rPr>
                      <w:t>of</w:t>
                    </w:r>
                    <w:r>
                      <w:rPr>
                        <w:rFonts w:ascii="Georgia"/>
                        <w:spacing w:val="-13"/>
                        <w:w w:val="105"/>
                        <w:sz w:val="20"/>
                      </w:rPr>
                      <w:t xml:space="preserve"> </w:t>
                    </w:r>
                    <w:r>
                      <w:rPr>
                        <w:rFonts w:ascii="Georgia"/>
                        <w:w w:val="105"/>
                        <w:sz w:val="20"/>
                      </w:rPr>
                      <w:t>gender-</w:t>
                    </w:r>
                  </w:p>
                  <w:p w:rsidR="00200FDA" w:rsidRDefault="00F76C4C">
                    <w:pPr>
                      <w:spacing w:line="227" w:lineRule="exact"/>
                      <w:rPr>
                        <w:rFonts w:ascii="Georgia"/>
                        <w:sz w:val="20"/>
                      </w:rPr>
                    </w:pPr>
                    <w:r>
                      <w:rPr>
                        <w:rFonts w:ascii="Georgia"/>
                        <w:sz w:val="20"/>
                      </w:rPr>
                      <w:t>affirming</w:t>
                    </w:r>
                    <w:r>
                      <w:rPr>
                        <w:rFonts w:ascii="Georgia"/>
                        <w:spacing w:val="2"/>
                        <w:sz w:val="20"/>
                      </w:rPr>
                      <w:t xml:space="preserve"> </w:t>
                    </w:r>
                    <w:r>
                      <w:rPr>
                        <w:rFonts w:ascii="Georgia"/>
                        <w:sz w:val="20"/>
                      </w:rPr>
                      <w:t>care</w:t>
                    </w:r>
                    <w:r>
                      <w:rPr>
                        <w:rFonts w:ascii="Georgia"/>
                        <w:spacing w:val="2"/>
                        <w:sz w:val="20"/>
                      </w:rPr>
                      <w:t xml:space="preserve"> </w:t>
                    </w:r>
                    <w:r>
                      <w:rPr>
                        <w:rFonts w:ascii="Georgia"/>
                        <w:sz w:val="20"/>
                      </w:rPr>
                      <w:t>for</w:t>
                    </w:r>
                    <w:r>
                      <w:rPr>
                        <w:rFonts w:ascii="Georgia"/>
                        <w:spacing w:val="3"/>
                        <w:sz w:val="20"/>
                      </w:rPr>
                      <w:t xml:space="preserve"> </w:t>
                    </w:r>
                    <w:r>
                      <w:rPr>
                        <w:rFonts w:ascii="Georgia"/>
                        <w:sz w:val="20"/>
                      </w:rPr>
                      <w:t>LGBTQ</w:t>
                    </w:r>
                    <w:r>
                      <w:rPr>
                        <w:rFonts w:ascii="Georgia"/>
                        <w:spacing w:val="2"/>
                        <w:sz w:val="20"/>
                      </w:rPr>
                      <w:t xml:space="preserve"> </w:t>
                    </w:r>
                    <w:r>
                      <w:rPr>
                        <w:rFonts w:ascii="Georgia"/>
                        <w:spacing w:val="-2"/>
                        <w:sz w:val="20"/>
                      </w:rPr>
                      <w:t>youth.</w:t>
                    </w:r>
                  </w:p>
                </w:txbxContent>
              </v:textbox>
            </v:shape>
            <v:shape id="docshape164" o:spid="_x0000_s1396" type="#_x0000_t202" style="position:absolute;left:2188;top:3415;width:4043;height:496" filled="f" stroked="f">
              <v:textbox inset="0,0,0,0">
                <w:txbxContent>
                  <w:p w:rsidR="00200FDA" w:rsidRDefault="00F76C4C">
                    <w:pPr>
                      <w:spacing w:before="1"/>
                      <w:rPr>
                        <w:rFonts w:ascii="Georgia"/>
                        <w:sz w:val="20"/>
                      </w:rPr>
                    </w:pPr>
                    <w:r>
                      <w:rPr>
                        <w:rFonts w:ascii="Georgia"/>
                        <w:spacing w:val="-2"/>
                        <w:w w:val="105"/>
                        <w:sz w:val="20"/>
                      </w:rPr>
                      <w:t>Create</w:t>
                    </w:r>
                    <w:r>
                      <w:rPr>
                        <w:rFonts w:ascii="Georgia"/>
                        <w:spacing w:val="-6"/>
                        <w:w w:val="105"/>
                        <w:sz w:val="20"/>
                      </w:rPr>
                      <w:t xml:space="preserve"> </w:t>
                    </w:r>
                    <w:r>
                      <w:rPr>
                        <w:rFonts w:ascii="Georgia"/>
                        <w:spacing w:val="-2"/>
                        <w:w w:val="105"/>
                        <w:sz w:val="20"/>
                      </w:rPr>
                      <w:t>a</w:t>
                    </w:r>
                    <w:r>
                      <w:rPr>
                        <w:rFonts w:ascii="Georgia"/>
                        <w:spacing w:val="-5"/>
                        <w:w w:val="105"/>
                        <w:sz w:val="20"/>
                      </w:rPr>
                      <w:t xml:space="preserve"> </w:t>
                    </w:r>
                    <w:r>
                      <w:rPr>
                        <w:rFonts w:ascii="Georgia"/>
                        <w:spacing w:val="-2"/>
                        <w:w w:val="105"/>
                        <w:sz w:val="20"/>
                      </w:rPr>
                      <w:t>program</w:t>
                    </w:r>
                    <w:r>
                      <w:rPr>
                        <w:rFonts w:ascii="Georgia"/>
                        <w:spacing w:val="-6"/>
                        <w:w w:val="105"/>
                        <w:sz w:val="20"/>
                      </w:rPr>
                      <w:t xml:space="preserve"> </w:t>
                    </w:r>
                    <w:r>
                      <w:rPr>
                        <w:rFonts w:ascii="Georgia"/>
                        <w:spacing w:val="-2"/>
                        <w:w w:val="105"/>
                        <w:sz w:val="20"/>
                      </w:rPr>
                      <w:t>for</w:t>
                    </w:r>
                    <w:r>
                      <w:rPr>
                        <w:rFonts w:ascii="Georgia"/>
                        <w:spacing w:val="-5"/>
                        <w:w w:val="105"/>
                        <w:sz w:val="20"/>
                      </w:rPr>
                      <w:t xml:space="preserve"> </w:t>
                    </w:r>
                    <w:r>
                      <w:rPr>
                        <w:rFonts w:ascii="Georgia"/>
                        <w:spacing w:val="-2"/>
                        <w:w w:val="105"/>
                        <w:sz w:val="20"/>
                      </w:rPr>
                      <w:t>universal</w:t>
                    </w:r>
                    <w:r>
                      <w:rPr>
                        <w:rFonts w:ascii="Georgia"/>
                        <w:spacing w:val="-6"/>
                        <w:w w:val="105"/>
                        <w:sz w:val="20"/>
                      </w:rPr>
                      <w:t xml:space="preserve"> </w:t>
                    </w:r>
                    <w:r>
                      <w:rPr>
                        <w:rFonts w:ascii="Georgia"/>
                        <w:spacing w:val="-2"/>
                        <w:w w:val="105"/>
                        <w:sz w:val="20"/>
                      </w:rPr>
                      <w:t>basic</w:t>
                    </w:r>
                    <w:r>
                      <w:rPr>
                        <w:rFonts w:ascii="Georgia"/>
                        <w:spacing w:val="-5"/>
                        <w:w w:val="105"/>
                        <w:sz w:val="20"/>
                      </w:rPr>
                      <w:t xml:space="preserve"> </w:t>
                    </w:r>
                    <w:r>
                      <w:rPr>
                        <w:rFonts w:ascii="Georgia"/>
                        <w:spacing w:val="-2"/>
                        <w:w w:val="105"/>
                        <w:sz w:val="20"/>
                      </w:rPr>
                      <w:t>income</w:t>
                    </w:r>
                  </w:p>
                  <w:p w:rsidR="00200FDA" w:rsidRDefault="00F76C4C">
                    <w:pPr>
                      <w:spacing w:before="36"/>
                      <w:rPr>
                        <w:rFonts w:ascii="Georgia"/>
                        <w:sz w:val="20"/>
                      </w:rPr>
                    </w:pPr>
                    <w:r>
                      <w:rPr>
                        <w:rFonts w:ascii="Georgia"/>
                        <w:w w:val="105"/>
                        <w:sz w:val="20"/>
                      </w:rPr>
                      <w:t>for</w:t>
                    </w:r>
                    <w:r>
                      <w:rPr>
                        <w:rFonts w:ascii="Georgia"/>
                        <w:spacing w:val="-10"/>
                        <w:w w:val="105"/>
                        <w:sz w:val="20"/>
                      </w:rPr>
                      <w:t xml:space="preserve"> </w:t>
                    </w:r>
                    <w:r>
                      <w:rPr>
                        <w:rFonts w:ascii="Georgia"/>
                        <w:w w:val="105"/>
                        <w:sz w:val="20"/>
                      </w:rPr>
                      <w:t>foster</w:t>
                    </w:r>
                    <w:r>
                      <w:rPr>
                        <w:rFonts w:ascii="Georgia"/>
                        <w:spacing w:val="-9"/>
                        <w:w w:val="105"/>
                        <w:sz w:val="20"/>
                      </w:rPr>
                      <w:t xml:space="preserve"> </w:t>
                    </w:r>
                    <w:r>
                      <w:rPr>
                        <w:rFonts w:ascii="Georgia"/>
                        <w:w w:val="105"/>
                        <w:sz w:val="20"/>
                      </w:rPr>
                      <w:t>care</w:t>
                    </w:r>
                    <w:r>
                      <w:rPr>
                        <w:rFonts w:ascii="Georgia"/>
                        <w:spacing w:val="-9"/>
                        <w:w w:val="105"/>
                        <w:sz w:val="20"/>
                      </w:rPr>
                      <w:t xml:space="preserve"> </w:t>
                    </w:r>
                    <w:r>
                      <w:rPr>
                        <w:rFonts w:ascii="Georgia"/>
                        <w:spacing w:val="-2"/>
                        <w:w w:val="105"/>
                        <w:sz w:val="20"/>
                      </w:rPr>
                      <w:t>youth.</w:t>
                    </w:r>
                  </w:p>
                </w:txbxContent>
              </v:textbox>
            </v:shape>
            <w10:wrap anchorx="page"/>
          </v:group>
        </w:pict>
      </w:r>
      <w:r>
        <w:rPr>
          <w:rFonts w:ascii="Georgia"/>
          <w:spacing w:val="-2"/>
          <w:w w:val="105"/>
        </w:rPr>
        <w:t>nonbinary</w:t>
      </w:r>
      <w:r>
        <w:rPr>
          <w:rFonts w:ascii="Georgia"/>
          <w:spacing w:val="-11"/>
          <w:w w:val="105"/>
        </w:rPr>
        <w:t xml:space="preserve"> </w:t>
      </w:r>
      <w:r>
        <w:rPr>
          <w:rFonts w:ascii="Georgia"/>
          <w:spacing w:val="-2"/>
          <w:w w:val="105"/>
        </w:rPr>
        <w:t>youth</w:t>
      </w:r>
      <w:r>
        <w:rPr>
          <w:rFonts w:ascii="Georgia"/>
          <w:spacing w:val="-11"/>
          <w:w w:val="105"/>
        </w:rPr>
        <w:t xml:space="preserve"> </w:t>
      </w:r>
      <w:r>
        <w:rPr>
          <w:rFonts w:ascii="Georgia"/>
          <w:spacing w:val="-2"/>
          <w:w w:val="105"/>
        </w:rPr>
        <w:t xml:space="preserve">seriously </w:t>
      </w:r>
      <w:r>
        <w:rPr>
          <w:rFonts w:ascii="Georgia"/>
          <w:w w:val="105"/>
        </w:rPr>
        <w:t>contemplated suicide</w:t>
      </w:r>
    </w:p>
    <w:p w:rsidR="00200FDA" w:rsidRDefault="00F76C4C">
      <w:pPr>
        <w:pStyle w:val="Heading3"/>
        <w:spacing w:before="195" w:line="905" w:lineRule="exact"/>
        <w:ind w:left="1321"/>
      </w:pPr>
      <w:r>
        <w:rPr>
          <w:emboss/>
          <w:color w:val="FF66C3"/>
          <w:spacing w:val="19"/>
          <w:w w:val="120"/>
        </w:rPr>
        <w:t>469</w:t>
      </w:r>
    </w:p>
    <w:p w:rsidR="00200FDA" w:rsidRDefault="00F76C4C">
      <w:pPr>
        <w:pStyle w:val="BodyText"/>
        <w:spacing w:line="266" w:lineRule="auto"/>
        <w:ind w:left="303" w:right="130" w:hanging="1"/>
        <w:jc w:val="center"/>
        <w:rPr>
          <w:rFonts w:ascii="Georgia"/>
        </w:rPr>
      </w:pPr>
      <w:r>
        <w:rPr>
          <w:rFonts w:ascii="Georgia"/>
          <w:w w:val="105"/>
        </w:rPr>
        <w:t>Anti-LGBTQ laws have been introduced</w:t>
      </w:r>
      <w:r>
        <w:rPr>
          <w:rFonts w:ascii="Georgia"/>
          <w:spacing w:val="-2"/>
          <w:w w:val="105"/>
        </w:rPr>
        <w:t xml:space="preserve"> </w:t>
      </w:r>
      <w:r>
        <w:rPr>
          <w:rFonts w:ascii="Georgia"/>
          <w:w w:val="105"/>
        </w:rPr>
        <w:t>as</w:t>
      </w:r>
      <w:r>
        <w:rPr>
          <w:rFonts w:ascii="Georgia"/>
          <w:spacing w:val="-2"/>
          <w:w w:val="105"/>
        </w:rPr>
        <w:t xml:space="preserve"> </w:t>
      </w:r>
      <w:r>
        <w:rPr>
          <w:rFonts w:ascii="Georgia"/>
          <w:w w:val="105"/>
        </w:rPr>
        <w:t>of</w:t>
      </w:r>
      <w:r>
        <w:rPr>
          <w:rFonts w:ascii="Georgia"/>
          <w:spacing w:val="-2"/>
          <w:w w:val="105"/>
        </w:rPr>
        <w:t xml:space="preserve"> </w:t>
      </w:r>
      <w:r>
        <w:rPr>
          <w:rFonts w:ascii="Georgia"/>
          <w:w w:val="105"/>
        </w:rPr>
        <w:t>April</w:t>
      </w:r>
      <w:r>
        <w:rPr>
          <w:rFonts w:ascii="Georgia"/>
          <w:spacing w:val="-2"/>
          <w:w w:val="105"/>
        </w:rPr>
        <w:t xml:space="preserve"> </w:t>
      </w:r>
      <w:r>
        <w:rPr>
          <w:rFonts w:ascii="Georgia"/>
          <w:w w:val="105"/>
        </w:rPr>
        <w:t xml:space="preserve">2023, </w:t>
      </w:r>
      <w:r>
        <w:rPr>
          <w:rFonts w:ascii="Georgia"/>
        </w:rPr>
        <w:t>specifically targeting LGBTQ youth</w:t>
      </w:r>
    </w:p>
    <w:p w:rsidR="00200FDA" w:rsidRDefault="00200FDA">
      <w:pPr>
        <w:spacing w:line="266" w:lineRule="auto"/>
        <w:jc w:val="center"/>
        <w:rPr>
          <w:rFonts w:ascii="Georgia"/>
        </w:rPr>
        <w:sectPr w:rsidR="00200FDA">
          <w:type w:val="continuous"/>
          <w:pgSz w:w="12240" w:h="15840"/>
          <w:pgMar w:top="720" w:right="1320" w:bottom="280" w:left="940" w:header="0" w:footer="0" w:gutter="0"/>
          <w:cols w:num="2" w:space="720" w:equalWidth="0">
            <w:col w:w="5411" w:space="648"/>
            <w:col w:w="3921"/>
          </w:cols>
        </w:sectPr>
      </w:pPr>
    </w:p>
    <w:p w:rsidR="00200FDA" w:rsidRDefault="00F76C4C">
      <w:pPr>
        <w:pStyle w:val="BodyText"/>
        <w:rPr>
          <w:rFonts w:ascii="Georgia"/>
          <w:sz w:val="20"/>
        </w:rPr>
      </w:pPr>
      <w:r>
        <w:pict>
          <v:group id="docshapegroup165" o:spid="_x0000_s1388" style="position:absolute;margin-left:0;margin-top:0;width:609.9pt;height:443.45pt;z-index:-21326848;mso-position-horizontal-relative:page;mso-position-vertical-relative:page" coordsize="12198,8869">
            <v:shape id="docshape166" o:spid="_x0000_s1394" type="#_x0000_t75" style="position:absolute;width:12198;height:4912">
              <v:imagedata r:id="rId142" o:title=""/>
            </v:shape>
            <v:shape id="docshape167" o:spid="_x0000_s1393" type="#_x0000_t75" style="position:absolute;left:7839;top:1158;width:2333;height:2332">
              <v:imagedata r:id="rId143" o:title=""/>
            </v:shape>
            <v:shape id="docshape168" o:spid="_x0000_s1392" style="position:absolute;left:7818;top:1136;width:2375;height:2375" coordorigin="7818,1136" coordsize="2375,2375" o:spt="100" adj="0,,0" path="m9006,3511r-75,-2l8857,3502r-72,-11l8714,3475r-69,-20l8577,3431r-66,-27l8448,3372r-61,-35l8328,3298r-57,-41l8218,3211r-51,-48l8118,3112r-45,-54l8031,3002r-38,-59l7958,2882r-32,-64l7898,2752r-24,-67l7855,2616r-16,-71l7828,2473r-7,-74l7818,2324r3,-75l7828,2175r11,-72l7855,2032r19,-69l7898,1895r28,-65l7958,1766r35,-61l8031,1646r42,-56l8118,1536r49,-51l8218,1437r53,-46l8328,1350r59,-39l8448,1276r64,-32l8577,1217r68,-24l8714,1173r71,-16l8857,1146r74,-7l9006,1136r75,3l9155,1146r72,11l9298,1173r24,7l9006,1180r-75,2l8857,1189r-73,12l8714,1218r-69,20l8577,1263r-65,29l8449,1324r-60,37l8330,1401r-55,43l8222,1491r-49,50l8126,1593r-43,56l8043,1707r-37,60l7974,1830r-29,66l7920,1963r-21,69l7883,2103r-12,72l7864,2249r-2,75l7864,2399r7,74l7883,2545r16,71l7920,2685r25,67l7974,2818r32,63l8043,2941r40,58l8126,3055r47,52l8222,3157r53,47l8330,3247r59,40l8449,3323r63,33l8577,3385r68,25l8714,3430r70,17l8857,3459r74,7l9006,3468r316,l9298,3475r-71,16l9155,3502r-74,7l9006,3511xm9322,3468r-316,l9081,3466r74,-7l9227,3447r71,-17l9367,3410r67,-25l9499,3356r63,-33l9623,3287r58,-40l9737,3204r52,-47l9839,3107r47,-52l9929,2999r40,-58l10005,2881r33,-63l10067,2752r25,-67l10112,2616r17,-71l10140,2473r8,-74l10150,2324r-2,-75l10140,2175r-11,-72l10112,2032r-20,-69l10067,1896r-29,-66l10005,1767r-36,-60l9929,1649r-43,-56l9839,1541r-50,-50l9737,1444r-56,-43l9623,1361r-61,-37l9499,1292r-65,-29l9367,1238r-69,-20l9227,1201r-72,-12l9081,1182r-75,-2l9322,1180r45,13l9435,1217r65,27l9564,1276r61,35l9684,1350r56,41l9794,1437r51,48l9893,1536r45,54l9980,1646r39,59l10054,1766r31,64l10113,1896r24,67l10157,2032r16,71l10184,2175r7,74l10193,2324r-2,75l10184,2473r-11,72l10157,2616r-20,69l10113,2753r-28,65l10054,2882r-35,61l9980,3002r-42,56l9893,3112r-48,51l9794,3211r-54,46l9684,3298r-59,39l9564,3372r-64,32l9435,3431r-68,24l9322,3468xe" stroked="f">
              <v:stroke joinstyle="round"/>
              <v:formulas/>
              <v:path arrowok="t" o:connecttype="segments"/>
            </v:shape>
            <v:shape id="docshape169" o:spid="_x0000_s1391" style="position:absolute;left:1031;top:4619;width:5463;height:4243" coordorigin="1032,4620" coordsize="5463,4243" path="m5997,8863r-4457,l1524,8862r-74,-16l1380,8822r-66,-33l1254,8748r-55,-48l1151,8645r-41,-60l1077,8519r-25,-71l1037,8374r-5,-77l1032,5190r5,-78l1052,5038r25,-70l1110,4902r41,-61l1199,4787r55,-48l1314,4698r66,-33l1450,4640r74,-15l1602,4620r4333,l6013,4625r74,15l6157,4665r66,33l6284,4739r54,48l6387,4841r41,61l6461,4968r24,70l6495,5085r,3317l6461,8519r-33,66l6387,8645r-49,55l6284,8748r-61,41l6157,8822r-70,24l6013,8862r-16,1xe" fillcolor="#ffafc7" stroked="f">
              <v:fill opacity="36497f"/>
              <v:path arrowok="t"/>
            </v:shape>
            <v:line id="_x0000_s1390" style="position:absolute" from="6873,7041" to="11238,7041" strokecolor="#ff66c3" strokeweight="2.25pt">
              <v:stroke dashstyle="3 1"/>
            </v:line>
            <v:shape id="docshape170" o:spid="_x0000_s1389" type="#_x0000_t75" style="position:absolute;left:2259;top:7788;width:3045;height:1080">
              <v:imagedata r:id="rId144" o:title=""/>
            </v:shape>
            <w10:wrap anchorx="page" anchory="page"/>
          </v:group>
        </w:pict>
      </w:r>
      <w:r>
        <w:pict>
          <v:line id="_x0000_s1387" style="position:absolute;z-index:15741440;mso-position-horizontal-relative:page;mso-position-vertical-relative:page" from="343.05pt,450.75pt" to="561.3pt,450.75pt" strokecolor="#ff66c3" strokeweight="2.25pt">
            <v:stroke dashstyle="3 1"/>
            <w10:wrap anchorx="page" anchory="page"/>
          </v:line>
        </w:pict>
      </w:r>
      <w:r>
        <w:pict>
          <v:group id="docshapegroup171" o:spid="_x0000_s1376" style="position:absolute;margin-left:362.75pt;margin-top:582.6pt;width:226.2pt;height:183.3pt;z-index:15741952;mso-position-horizontal-relative:page;mso-position-vertical-relative:page" coordorigin="7255,11652" coordsize="4524,3666">
            <v:shape id="docshape172" o:spid="_x0000_s1386" style="position:absolute;left:7255;top:13914;width:3654;height:526" coordorigin="7255,13915" coordsize="3654,526" path="m10909,13989r-22,-32l10847,13935r-52,-9l10457,13926r,-11l10339,13915r,11l7806,13926r,-11l7689,13915r,11l7369,13926r-52,9l7277,13957r-22,32l7256,14026r16,25l7297,14070r34,12l7369,14087r320,l7689,14295r117,l7806,14087r657,l8463,14441r117,l8580,14087r1000,l9580,14441r118,l9698,14087r641,l10339,14295r118,l10457,14087r338,l10833,14082r34,-12l10893,14051r15,-25l10909,13989xe" fillcolor="#3c1d21" stroked="f">
              <v:path arrowok="t"/>
            </v:shape>
            <v:shape id="docshape173" o:spid="_x0000_s1385" type="#_x0000_t75" style="position:absolute;left:7319;top:11651;width:3526;height:2286">
              <v:imagedata r:id="rId145" o:title=""/>
            </v:shape>
            <v:shape id="docshape174" o:spid="_x0000_s1384" style="position:absolute;left:7659;top:14294;width:2827;height:268" coordorigin="7660,14295" coordsize="2827,268" o:spt="100" adj="0,,0" path="m7836,14295r-176,l7660,14416r176,l7836,14295xm8610,14441r-176,l8434,14562r176,l8610,14441xm9727,14441r-176,l9551,14562r176,l9727,14441xm10486,14295r-176,l10310,14416r176,l10486,14295xe" fillcolor="#f4b648" stroked="f">
              <v:stroke joinstyle="round"/>
              <v:formulas/>
              <v:path arrowok="t" o:connecttype="segments"/>
            </v:shape>
            <v:shape id="docshape175" o:spid="_x0000_s1383" style="position:absolute;left:9665;top:13352;width:2114;height:1966" coordorigin="9666,13352" coordsize="2114,1966" path="m11779,13352l9666,15317r2113,l11779,14662r,-1310xe" fillcolor="#f7cd4d" stroked="f">
              <v:path arrowok="t"/>
            </v:shape>
            <v:shape id="docshape176" o:spid="_x0000_s1382" style="position:absolute;left:9665;top:13352;width:2114;height:1966" coordorigin="9666,13352" coordsize="2114,1966" path="m9666,15317r2113,-1965l11779,13667,9666,15317xe" fillcolor="#b079cc" stroked="f">
              <v:path arrowok="t"/>
            </v:shape>
            <v:shape id="docshape177" o:spid="_x0000_s1381" style="position:absolute;left:9665;top:13667;width:2114;height:1650" coordorigin="9666,13667" coordsize="2114,1650" path="m9666,15317r2113,-1650l11779,13999,9666,15317xe" fillcolor="#3c81da" stroked="f">
              <v:path arrowok="t"/>
            </v:shape>
            <v:shape id="docshape178" o:spid="_x0000_s1380" style="position:absolute;left:9665;top:13998;width:2114;height:1319" coordorigin="9666,13999" coordsize="2114,1319" o:spt="100" adj="0,,0" path="m9666,15317r2113,-1318l11779,14331r-2113,986xm9666,15317r,l9666,15317r,xm9666,15317r,l9666,15317r,xe" fillcolor="#4d9e53" stroked="f">
              <v:stroke joinstyle="round"/>
              <v:formulas/>
              <v:path arrowok="t" o:connecttype="segments"/>
            </v:shape>
            <v:shape id="docshape179" o:spid="_x0000_s1379" style="position:absolute;left:9665;top:14330;width:2114;height:987" coordorigin="9666,14331" coordsize="2114,987" o:spt="100" adj="0,,0" path="m9666,15317r2113,-986l11779,14662r-2113,655xm9666,15317r,l9666,15317r,xm9666,15317r,l9666,15317r,xe" fillcolor="#f7cd4d" stroked="f">
              <v:stroke joinstyle="round"/>
              <v:formulas/>
              <v:path arrowok="t" o:connecttype="segments"/>
            </v:shape>
            <v:shape id="docshape180" o:spid="_x0000_s1378" style="position:absolute;left:9665;top:14662;width:2114;height:655" coordorigin="9666,14662" coordsize="2114,655" path="m9666,15317r2113,-655l11779,14986r-2113,331xe" fillcolor="#f67b28" stroked="f">
              <v:path arrowok="t"/>
            </v:shape>
            <v:shape id="docshape181" o:spid="_x0000_s1377" style="position:absolute;left:9665;top:15317;width:1973;height:2" coordorigin="9665,15317" coordsize="1973,0" path="m9665,15317r1973,l9665,15317xe" fillcolor="#dd2954" stroked="f">
              <v:path arrowok="t"/>
            </v:shape>
            <w10:wrap anchorx="page" anchory="page"/>
          </v:group>
        </w:pict>
      </w: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20"/>
        </w:rPr>
      </w:pPr>
    </w:p>
    <w:p w:rsidR="00200FDA" w:rsidRDefault="00F76C4C">
      <w:pPr>
        <w:pStyle w:val="BodyText"/>
        <w:ind w:left="101"/>
        <w:rPr>
          <w:rFonts w:ascii="Georgia"/>
          <w:sz w:val="20"/>
        </w:rPr>
      </w:pPr>
      <w:r>
        <w:rPr>
          <w:rFonts w:ascii="Georgia"/>
          <w:sz w:val="20"/>
        </w:rPr>
      </w:r>
      <w:r>
        <w:rPr>
          <w:rFonts w:ascii="Georgia"/>
          <w:sz w:val="20"/>
        </w:rPr>
        <w:pict>
          <v:group id="docshapegroup182" o:spid="_x0000_s1373" style="width:273.15pt;height:91.9pt;mso-position-horizontal-relative:char;mso-position-vertical-relative:line" coordsize="5463,1838">
            <v:shape id="docshape183" o:spid="_x0000_s1375" style="position:absolute;width:5463;height:1838" coordsize="5463,1838" path="m4904,1837r-4334,l493,1832r-75,-15l348,1793r-66,-33l222,1719r-55,-48l119,1616,78,1555,45,1489,20,1419,5,1345,,1267,,570,5,493,20,418,45,348,78,282r41,-60l167,167r55,-48l282,78,348,45,418,20,493,5,570,,4904,r77,5l5055,20r70,25l5191,78r61,41l5307,167r48,55l5396,282r33,66l5453,418r10,47l5463,1373r-34,116l5396,1555r-41,61l5307,1671r-55,48l5191,1760r-66,33l5055,1817r-74,15l4904,1837xe" fillcolor="#ffafc7" stroked="f">
              <v:fill opacity="36497f"/>
              <v:path arrowok="t"/>
            </v:shape>
            <v:shape id="docshape184" o:spid="_x0000_s1374" type="#_x0000_t202" style="position:absolute;width:5463;height:1838" filled="f" stroked="f">
              <v:textbox inset="0,0,0,0">
                <w:txbxContent>
                  <w:p w:rsidR="00200FDA" w:rsidRDefault="00F76C4C">
                    <w:pPr>
                      <w:spacing w:before="108"/>
                      <w:ind w:left="202"/>
                      <w:rPr>
                        <w:b/>
                        <w:i/>
                        <w:sz w:val="34"/>
                      </w:rPr>
                    </w:pPr>
                    <w:r>
                      <w:rPr>
                        <w:b/>
                        <w:i/>
                        <w:spacing w:val="11"/>
                        <w:w w:val="130"/>
                        <w:sz w:val="34"/>
                      </w:rPr>
                      <w:t>LEGISLATION</w:t>
                    </w:r>
                  </w:p>
                  <w:p w:rsidR="00200FDA" w:rsidRDefault="00F76C4C">
                    <w:pPr>
                      <w:spacing w:before="52" w:line="564" w:lineRule="auto"/>
                      <w:ind w:left="289"/>
                      <w:rPr>
                        <w:rFonts w:ascii="Georgia"/>
                        <w:sz w:val="18"/>
                      </w:rPr>
                    </w:pPr>
                    <w:r>
                      <w:rPr>
                        <w:rFonts w:ascii="Georgia"/>
                        <w:spacing w:val="-2"/>
                        <w:w w:val="105"/>
                        <w:sz w:val="18"/>
                      </w:rPr>
                      <w:t>S.114:</w:t>
                    </w:r>
                    <w:r>
                      <w:rPr>
                        <w:rFonts w:ascii="Georgia"/>
                        <w:spacing w:val="-8"/>
                        <w:w w:val="105"/>
                        <w:sz w:val="18"/>
                      </w:rPr>
                      <w:t xml:space="preserve"> </w:t>
                    </w:r>
                    <w:r>
                      <w:rPr>
                        <w:rFonts w:ascii="Georgia"/>
                        <w:spacing w:val="-2"/>
                        <w:w w:val="105"/>
                        <w:sz w:val="18"/>
                      </w:rPr>
                      <w:t>Universal</w:t>
                    </w:r>
                    <w:r>
                      <w:rPr>
                        <w:rFonts w:ascii="Georgia"/>
                        <w:spacing w:val="-8"/>
                        <w:w w:val="105"/>
                        <w:sz w:val="18"/>
                      </w:rPr>
                      <w:t xml:space="preserve"> </w:t>
                    </w:r>
                    <w:r>
                      <w:rPr>
                        <w:rFonts w:ascii="Georgia"/>
                        <w:spacing w:val="-2"/>
                        <w:w w:val="105"/>
                        <w:sz w:val="18"/>
                      </w:rPr>
                      <w:t>Basic</w:t>
                    </w:r>
                    <w:r>
                      <w:rPr>
                        <w:rFonts w:ascii="Georgia"/>
                        <w:spacing w:val="-8"/>
                        <w:w w:val="105"/>
                        <w:sz w:val="18"/>
                      </w:rPr>
                      <w:t xml:space="preserve"> </w:t>
                    </w:r>
                    <w:r>
                      <w:rPr>
                        <w:rFonts w:ascii="Georgia"/>
                        <w:spacing w:val="-2"/>
                        <w:w w:val="105"/>
                        <w:sz w:val="18"/>
                      </w:rPr>
                      <w:t>Income</w:t>
                    </w:r>
                    <w:r>
                      <w:rPr>
                        <w:rFonts w:ascii="Georgia"/>
                        <w:spacing w:val="-8"/>
                        <w:w w:val="105"/>
                        <w:sz w:val="18"/>
                      </w:rPr>
                      <w:t xml:space="preserve"> </w:t>
                    </w:r>
                    <w:r>
                      <w:rPr>
                        <w:rFonts w:ascii="Georgia"/>
                        <w:spacing w:val="-2"/>
                        <w:w w:val="105"/>
                        <w:sz w:val="18"/>
                      </w:rPr>
                      <w:t>for</w:t>
                    </w:r>
                    <w:r>
                      <w:rPr>
                        <w:rFonts w:ascii="Georgia"/>
                        <w:spacing w:val="-8"/>
                        <w:w w:val="105"/>
                        <w:sz w:val="18"/>
                      </w:rPr>
                      <w:t xml:space="preserve"> </w:t>
                    </w:r>
                    <w:r>
                      <w:rPr>
                        <w:rFonts w:ascii="Georgia"/>
                        <w:spacing w:val="-2"/>
                        <w:w w:val="105"/>
                        <w:sz w:val="18"/>
                      </w:rPr>
                      <w:t>Transition-Aged</w:t>
                    </w:r>
                    <w:r>
                      <w:rPr>
                        <w:rFonts w:ascii="Georgia"/>
                        <w:spacing w:val="-8"/>
                        <w:w w:val="105"/>
                        <w:sz w:val="18"/>
                      </w:rPr>
                      <w:t xml:space="preserve"> </w:t>
                    </w:r>
                    <w:r>
                      <w:rPr>
                        <w:rFonts w:ascii="Georgia"/>
                        <w:spacing w:val="-2"/>
                        <w:w w:val="105"/>
                        <w:sz w:val="18"/>
                      </w:rPr>
                      <w:t xml:space="preserve">Youth </w:t>
                    </w:r>
                    <w:r>
                      <w:rPr>
                        <w:rFonts w:ascii="Georgia"/>
                        <w:w w:val="105"/>
                        <w:sz w:val="18"/>
                      </w:rPr>
                      <w:t>S.68/H.164: Bill of Rights for Children in Foster Care</w:t>
                    </w:r>
                  </w:p>
                  <w:p w:rsidR="00200FDA" w:rsidRDefault="00F76C4C">
                    <w:pPr>
                      <w:spacing w:line="203" w:lineRule="exact"/>
                      <w:ind w:left="289"/>
                      <w:rPr>
                        <w:rFonts w:ascii="Georgia"/>
                        <w:sz w:val="18"/>
                      </w:rPr>
                    </w:pPr>
                    <w:r>
                      <w:rPr>
                        <w:rFonts w:ascii="Georgia"/>
                        <w:spacing w:val="-2"/>
                        <w:sz w:val="18"/>
                      </w:rPr>
                      <w:t>S.947/H.1713:</w:t>
                    </w:r>
                    <w:r>
                      <w:rPr>
                        <w:rFonts w:ascii="Georgia"/>
                        <w:spacing w:val="7"/>
                        <w:sz w:val="18"/>
                      </w:rPr>
                      <w:t xml:space="preserve"> </w:t>
                    </w:r>
                    <w:r>
                      <w:rPr>
                        <w:rFonts w:ascii="Georgia"/>
                        <w:spacing w:val="-2"/>
                        <w:sz w:val="18"/>
                      </w:rPr>
                      <w:t>Massachusetts</w:t>
                    </w:r>
                    <w:r>
                      <w:rPr>
                        <w:rFonts w:ascii="Georgia"/>
                        <w:spacing w:val="8"/>
                        <w:sz w:val="18"/>
                      </w:rPr>
                      <w:t xml:space="preserve"> </w:t>
                    </w:r>
                    <w:r>
                      <w:rPr>
                        <w:rFonts w:ascii="Georgia"/>
                        <w:spacing w:val="-2"/>
                        <w:sz w:val="18"/>
                      </w:rPr>
                      <w:t>Parentage</w:t>
                    </w:r>
                    <w:r>
                      <w:rPr>
                        <w:rFonts w:ascii="Georgia"/>
                        <w:spacing w:val="8"/>
                        <w:sz w:val="18"/>
                      </w:rPr>
                      <w:t xml:space="preserve"> </w:t>
                    </w:r>
                    <w:r>
                      <w:rPr>
                        <w:rFonts w:ascii="Georgia"/>
                        <w:spacing w:val="-5"/>
                        <w:sz w:val="18"/>
                      </w:rPr>
                      <w:t>Act</w:t>
                    </w:r>
                  </w:p>
                </w:txbxContent>
              </v:textbox>
            </v:shape>
            <w10:anchorlock/>
          </v:group>
        </w:pict>
      </w:r>
    </w:p>
    <w:p w:rsidR="00200FDA" w:rsidRDefault="00200FDA">
      <w:pPr>
        <w:rPr>
          <w:rFonts w:ascii="Georgia"/>
          <w:sz w:val="20"/>
        </w:rPr>
        <w:sectPr w:rsidR="00200FDA">
          <w:type w:val="continuous"/>
          <w:pgSz w:w="12240" w:h="15840"/>
          <w:pgMar w:top="720" w:right="1320" w:bottom="280" w:left="940" w:header="0" w:footer="0" w:gutter="0"/>
          <w:cols w:space="720"/>
        </w:sectPr>
      </w:pPr>
    </w:p>
    <w:p w:rsidR="00200FDA" w:rsidRDefault="00F76C4C">
      <w:pPr>
        <w:spacing w:before="65"/>
        <w:ind w:left="140"/>
        <w:rPr>
          <w:sz w:val="32"/>
        </w:rPr>
      </w:pPr>
      <w:r>
        <w:lastRenderedPageBreak/>
        <w:pict>
          <v:rect id="docshape188" o:spid="_x0000_s1372" style="position:absolute;left:0;text-align:left;margin-left:70.55pt;margin-top:23.75pt;width:470.9pt;height:.5pt;z-index:-15714816;mso-wrap-distance-left:0;mso-wrap-distance-right:0;mso-position-horizontal-relative:page" fillcolor="#4f81bc" stroked="f">
            <w10:wrap type="topAndBottom" anchorx="page"/>
          </v:rect>
        </w:pict>
      </w:r>
      <w:bookmarkStart w:id="108" w:name="Education_Report.pdf"/>
      <w:bookmarkStart w:id="109" w:name="Uplifting_Education_in_Schools"/>
      <w:bookmarkStart w:id="110" w:name="_bookmark36"/>
      <w:bookmarkEnd w:id="108"/>
      <w:bookmarkEnd w:id="109"/>
      <w:bookmarkEnd w:id="110"/>
      <w:r>
        <w:fldChar w:fldCharType="begin"/>
      </w:r>
      <w:r>
        <w:instrText xml:space="preserve"> HYPERLINK \l "_bookmark2" </w:instrText>
      </w:r>
      <w:r>
        <w:fldChar w:fldCharType="separate"/>
      </w:r>
      <w:r>
        <w:rPr>
          <w:color w:val="365F91"/>
          <w:sz w:val="32"/>
        </w:rPr>
        <w:t>Uplifting</w:t>
      </w:r>
      <w:r>
        <w:rPr>
          <w:color w:val="365F91"/>
          <w:spacing w:val="-9"/>
          <w:sz w:val="32"/>
        </w:rPr>
        <w:t xml:space="preserve"> </w:t>
      </w:r>
      <w:r>
        <w:rPr>
          <w:color w:val="365F91"/>
          <w:sz w:val="32"/>
        </w:rPr>
        <w:t>Education</w:t>
      </w:r>
      <w:r>
        <w:rPr>
          <w:color w:val="365F91"/>
          <w:spacing w:val="-8"/>
          <w:sz w:val="32"/>
        </w:rPr>
        <w:t xml:space="preserve"> </w:t>
      </w:r>
      <w:r>
        <w:rPr>
          <w:color w:val="365F91"/>
          <w:sz w:val="32"/>
        </w:rPr>
        <w:t>in</w:t>
      </w:r>
      <w:r>
        <w:rPr>
          <w:color w:val="365F91"/>
          <w:spacing w:val="-8"/>
          <w:sz w:val="32"/>
        </w:rPr>
        <w:t xml:space="preserve"> </w:t>
      </w:r>
      <w:r>
        <w:rPr>
          <w:color w:val="365F91"/>
          <w:spacing w:val="-2"/>
          <w:sz w:val="32"/>
        </w:rPr>
        <w:t>Schools</w:t>
      </w:r>
      <w:r>
        <w:rPr>
          <w:color w:val="365F91"/>
          <w:spacing w:val="-2"/>
          <w:sz w:val="32"/>
        </w:rPr>
        <w:fldChar w:fldCharType="end"/>
      </w:r>
    </w:p>
    <w:p w:rsidR="00200FDA" w:rsidRDefault="00200FDA">
      <w:pPr>
        <w:pStyle w:val="BodyText"/>
        <w:rPr>
          <w:sz w:val="20"/>
        </w:rPr>
      </w:pPr>
    </w:p>
    <w:p w:rsidR="00200FDA" w:rsidRDefault="00200FDA">
      <w:pPr>
        <w:pStyle w:val="BodyText"/>
        <w:rPr>
          <w:sz w:val="20"/>
        </w:rPr>
      </w:pPr>
    </w:p>
    <w:p w:rsidR="00200FDA" w:rsidRDefault="00F76C4C">
      <w:pPr>
        <w:pStyle w:val="Heading7"/>
        <w:spacing w:before="183"/>
        <w:ind w:left="140"/>
      </w:pPr>
      <w:r>
        <w:pict>
          <v:rect id="docshape189" o:spid="_x0000_s1371" style="position:absolute;left:0;text-align:left;margin-left:70.55pt;margin-top:27.15pt;width:470.9pt;height:.5pt;z-index:-15714304;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spacing w:before="12"/>
        <w:rPr>
          <w:sz w:val="27"/>
        </w:rPr>
      </w:pPr>
    </w:p>
    <w:p w:rsidR="00200FDA" w:rsidRDefault="00F76C4C">
      <w:pPr>
        <w:pStyle w:val="BodyText"/>
        <w:spacing w:before="56"/>
        <w:ind w:left="140" w:right="132"/>
        <w:jc w:val="both"/>
      </w:pPr>
      <w:r>
        <w:t>Following the Commission’s report on child welfare and well-being, this report on education highlights key local and national findings that illustrate proven methods to create safer and supportive schools for LGBTQ youth, families, and educators.</w:t>
      </w:r>
    </w:p>
    <w:p w:rsidR="00200FDA" w:rsidRDefault="00200FDA">
      <w:pPr>
        <w:pStyle w:val="BodyText"/>
        <w:rPr>
          <w:sz w:val="23"/>
        </w:rPr>
      </w:pPr>
    </w:p>
    <w:p w:rsidR="00200FDA" w:rsidRDefault="00F76C4C">
      <w:pPr>
        <w:pStyle w:val="BodyText"/>
        <w:spacing w:before="1" w:line="264" w:lineRule="auto"/>
        <w:ind w:left="1092" w:right="1092" w:hanging="1"/>
        <w:jc w:val="center"/>
      </w:pPr>
      <w:r>
        <w:rPr>
          <w:color w:val="4F81BC"/>
        </w:rPr>
        <w:t>“The fac</w:t>
      </w:r>
      <w:r>
        <w:rPr>
          <w:color w:val="4F81BC"/>
        </w:rPr>
        <w:t>t that there are organizations like this [Safe Schools Program for LGBTQ Students]</w:t>
      </w:r>
      <w:r>
        <w:rPr>
          <w:color w:val="4F81BC"/>
          <w:spacing w:val="-2"/>
        </w:rPr>
        <w:t xml:space="preserve"> </w:t>
      </w:r>
      <w:r>
        <w:rPr>
          <w:color w:val="4F81BC"/>
        </w:rPr>
        <w:t>that</w:t>
      </w:r>
      <w:r>
        <w:rPr>
          <w:color w:val="4F81BC"/>
          <w:spacing w:val="-4"/>
        </w:rPr>
        <w:t xml:space="preserve"> </w:t>
      </w:r>
      <w:r>
        <w:rPr>
          <w:color w:val="4F81BC"/>
        </w:rPr>
        <w:t>want</w:t>
      </w:r>
      <w:r>
        <w:rPr>
          <w:color w:val="4F81BC"/>
          <w:spacing w:val="-4"/>
        </w:rPr>
        <w:t xml:space="preserve"> </w:t>
      </w:r>
      <w:r>
        <w:rPr>
          <w:color w:val="4F81BC"/>
        </w:rPr>
        <w:t>to</w:t>
      </w:r>
      <w:r>
        <w:rPr>
          <w:color w:val="4F81BC"/>
          <w:spacing w:val="-3"/>
        </w:rPr>
        <w:t xml:space="preserve"> </w:t>
      </w:r>
      <w:r>
        <w:rPr>
          <w:color w:val="4F81BC"/>
        </w:rPr>
        <w:t>help</w:t>
      </w:r>
      <w:r>
        <w:rPr>
          <w:color w:val="4F81BC"/>
          <w:spacing w:val="-3"/>
        </w:rPr>
        <w:t xml:space="preserve"> </w:t>
      </w:r>
      <w:r>
        <w:rPr>
          <w:color w:val="4F81BC"/>
        </w:rPr>
        <w:t>the</w:t>
      </w:r>
      <w:r>
        <w:rPr>
          <w:color w:val="4F81BC"/>
          <w:spacing w:val="-1"/>
        </w:rPr>
        <w:t xml:space="preserve"> </w:t>
      </w:r>
      <w:r>
        <w:rPr>
          <w:color w:val="4F81BC"/>
        </w:rPr>
        <w:t>world</w:t>
      </w:r>
      <w:r>
        <w:rPr>
          <w:color w:val="4F81BC"/>
          <w:spacing w:val="-3"/>
        </w:rPr>
        <w:t xml:space="preserve"> </w:t>
      </w:r>
      <w:r>
        <w:rPr>
          <w:color w:val="4F81BC"/>
        </w:rPr>
        <w:t>and</w:t>
      </w:r>
      <w:r>
        <w:rPr>
          <w:color w:val="4F81BC"/>
          <w:spacing w:val="-3"/>
        </w:rPr>
        <w:t xml:space="preserve"> </w:t>
      </w:r>
      <w:r>
        <w:rPr>
          <w:color w:val="4F81BC"/>
        </w:rPr>
        <w:t>fight</w:t>
      </w:r>
      <w:r>
        <w:rPr>
          <w:color w:val="4F81BC"/>
          <w:spacing w:val="-1"/>
        </w:rPr>
        <w:t xml:space="preserve"> </w:t>
      </w:r>
      <w:r>
        <w:rPr>
          <w:color w:val="4F81BC"/>
        </w:rPr>
        <w:t>for</w:t>
      </w:r>
      <w:r>
        <w:rPr>
          <w:color w:val="4F81BC"/>
          <w:spacing w:val="-2"/>
        </w:rPr>
        <w:t xml:space="preserve"> </w:t>
      </w:r>
      <w:r>
        <w:rPr>
          <w:color w:val="4F81BC"/>
        </w:rPr>
        <w:t>people’s</w:t>
      </w:r>
      <w:r>
        <w:rPr>
          <w:color w:val="4F81BC"/>
          <w:spacing w:val="-4"/>
        </w:rPr>
        <w:t xml:space="preserve"> </w:t>
      </w:r>
      <w:r>
        <w:rPr>
          <w:color w:val="4F81BC"/>
        </w:rPr>
        <w:t>rights</w:t>
      </w:r>
      <w:r>
        <w:rPr>
          <w:color w:val="4F81BC"/>
          <w:spacing w:val="-4"/>
        </w:rPr>
        <w:t xml:space="preserve"> </w:t>
      </w:r>
      <w:r>
        <w:rPr>
          <w:color w:val="4F81BC"/>
        </w:rPr>
        <w:t>makes</w:t>
      </w:r>
      <w:r>
        <w:rPr>
          <w:color w:val="4F81BC"/>
          <w:spacing w:val="-4"/>
        </w:rPr>
        <w:t xml:space="preserve"> </w:t>
      </w:r>
      <w:r>
        <w:rPr>
          <w:color w:val="4F81BC"/>
        </w:rPr>
        <w:t>me</w:t>
      </w:r>
      <w:r>
        <w:rPr>
          <w:color w:val="4F81BC"/>
          <w:spacing w:val="-4"/>
        </w:rPr>
        <w:t xml:space="preserve"> </w:t>
      </w:r>
      <w:r>
        <w:rPr>
          <w:color w:val="4F81BC"/>
        </w:rPr>
        <w:t>happy for my future. Becoming more involved with the queer community also makes me feel hopeful about my future.” -Rosie, 16</w:t>
      </w:r>
    </w:p>
    <w:p w:rsidR="00200FDA" w:rsidRDefault="00200FDA">
      <w:pPr>
        <w:pStyle w:val="BodyText"/>
        <w:spacing w:before="9"/>
        <w:rPr>
          <w:sz w:val="32"/>
        </w:rPr>
      </w:pPr>
    </w:p>
    <w:p w:rsidR="00200FDA" w:rsidRDefault="00F76C4C">
      <w:pPr>
        <w:pStyle w:val="BodyText"/>
        <w:ind w:left="140" w:right="136"/>
        <w:jc w:val="both"/>
      </w:pPr>
      <w:r>
        <w:t>The Commission and the Department of</w:t>
      </w:r>
      <w:r>
        <w:rPr>
          <w:spacing w:val="-2"/>
        </w:rPr>
        <w:t xml:space="preserve"> </w:t>
      </w:r>
      <w:r>
        <w:t xml:space="preserve">Elementary and Secondary Education (DESE) jointly sponsor the Safe Schools Program for LGBTQ </w:t>
      </w:r>
      <w:r>
        <w:t>Students, a program which offers direct support to districts across Massachusetts</w:t>
      </w:r>
      <w:r>
        <w:rPr>
          <w:spacing w:val="-3"/>
        </w:rPr>
        <w:t xml:space="preserve"> </w:t>
      </w:r>
      <w:r>
        <w:t>on policy, training, technical</w:t>
      </w:r>
      <w:r>
        <w:rPr>
          <w:spacing w:val="-1"/>
        </w:rPr>
        <w:t xml:space="preserve"> </w:t>
      </w:r>
      <w:r>
        <w:t>assistance, and student leadership.</w:t>
      </w:r>
      <w:r>
        <w:rPr>
          <w:spacing w:val="-1"/>
        </w:rPr>
        <w:t xml:space="preserve"> </w:t>
      </w:r>
      <w:r>
        <w:t>The annual report</w:t>
      </w:r>
      <w:r>
        <w:rPr>
          <w:spacing w:val="-2"/>
        </w:rPr>
        <w:t xml:space="preserve"> </w:t>
      </w:r>
      <w:r>
        <w:t>of</w:t>
      </w:r>
      <w:r>
        <w:rPr>
          <w:spacing w:val="-1"/>
        </w:rPr>
        <w:t xml:space="preserve"> </w:t>
      </w:r>
      <w:r>
        <w:t>the Safe</w:t>
      </w:r>
      <w:r>
        <w:rPr>
          <w:spacing w:val="-1"/>
        </w:rPr>
        <w:t xml:space="preserve"> </w:t>
      </w:r>
      <w:r>
        <w:t>Schools</w:t>
      </w:r>
      <w:r>
        <w:rPr>
          <w:spacing w:val="-7"/>
        </w:rPr>
        <w:t xml:space="preserve"> </w:t>
      </w:r>
      <w:r>
        <w:t>Program</w:t>
      </w:r>
      <w:r>
        <w:rPr>
          <w:spacing w:val="-3"/>
        </w:rPr>
        <w:t xml:space="preserve"> </w:t>
      </w:r>
      <w:r>
        <w:t>for</w:t>
      </w:r>
      <w:r>
        <w:rPr>
          <w:spacing w:val="-4"/>
        </w:rPr>
        <w:t xml:space="preserve"> </w:t>
      </w:r>
      <w:r>
        <w:t>LGBTQ</w:t>
      </w:r>
      <w:r>
        <w:rPr>
          <w:spacing w:val="-4"/>
        </w:rPr>
        <w:t xml:space="preserve"> </w:t>
      </w:r>
      <w:r>
        <w:t>Students</w:t>
      </w:r>
      <w:r>
        <w:rPr>
          <w:spacing w:val="-4"/>
        </w:rPr>
        <w:t xml:space="preserve"> </w:t>
      </w:r>
      <w:r>
        <w:t>(to</w:t>
      </w:r>
      <w:r>
        <w:rPr>
          <w:spacing w:val="-3"/>
        </w:rPr>
        <w:t xml:space="preserve"> </w:t>
      </w:r>
      <w:r>
        <w:t>be</w:t>
      </w:r>
      <w:r>
        <w:rPr>
          <w:spacing w:val="-4"/>
        </w:rPr>
        <w:t xml:space="preserve"> </w:t>
      </w:r>
      <w:r>
        <w:t>released</w:t>
      </w:r>
      <w:r>
        <w:rPr>
          <w:spacing w:val="-3"/>
        </w:rPr>
        <w:t xml:space="preserve"> </w:t>
      </w:r>
      <w:r>
        <w:t>in</w:t>
      </w:r>
      <w:r>
        <w:rPr>
          <w:spacing w:val="-5"/>
        </w:rPr>
        <w:t xml:space="preserve"> </w:t>
      </w:r>
      <w:r>
        <w:t>July</w:t>
      </w:r>
      <w:r>
        <w:rPr>
          <w:spacing w:val="-4"/>
        </w:rPr>
        <w:t xml:space="preserve"> </w:t>
      </w:r>
      <w:r>
        <w:t>of</w:t>
      </w:r>
      <w:r>
        <w:rPr>
          <w:spacing w:val="-4"/>
        </w:rPr>
        <w:t xml:space="preserve"> </w:t>
      </w:r>
      <w:r>
        <w:t>2023)</w:t>
      </w:r>
      <w:r>
        <w:rPr>
          <w:spacing w:val="-6"/>
        </w:rPr>
        <w:t xml:space="preserve"> </w:t>
      </w:r>
      <w:r>
        <w:t>offers</w:t>
      </w:r>
      <w:r>
        <w:rPr>
          <w:spacing w:val="-6"/>
        </w:rPr>
        <w:t xml:space="preserve"> </w:t>
      </w:r>
      <w:r>
        <w:t>mo</w:t>
      </w:r>
      <w:r>
        <w:t>re</w:t>
      </w:r>
      <w:r>
        <w:rPr>
          <w:spacing w:val="-4"/>
        </w:rPr>
        <w:t xml:space="preserve"> </w:t>
      </w:r>
      <w:r>
        <w:t>context</w:t>
      </w:r>
      <w:r>
        <w:rPr>
          <w:spacing w:val="-1"/>
        </w:rPr>
        <w:t xml:space="preserve"> </w:t>
      </w:r>
      <w:r>
        <w:t>and</w:t>
      </w:r>
      <w:r>
        <w:rPr>
          <w:spacing w:val="-5"/>
        </w:rPr>
        <w:t xml:space="preserve"> </w:t>
      </w:r>
      <w:r>
        <w:t>details of the program’s</w:t>
      </w:r>
      <w:r>
        <w:rPr>
          <w:spacing w:val="-2"/>
        </w:rPr>
        <w:t xml:space="preserve"> </w:t>
      </w:r>
      <w:r>
        <w:t>direct work in FY</w:t>
      </w:r>
      <w:r>
        <w:rPr>
          <w:spacing w:val="-2"/>
        </w:rPr>
        <w:t xml:space="preserve"> </w:t>
      </w:r>
      <w:r>
        <w:t>2023 related</w:t>
      </w:r>
      <w:r>
        <w:rPr>
          <w:spacing w:val="-3"/>
        </w:rPr>
        <w:t xml:space="preserve"> </w:t>
      </w:r>
      <w:r>
        <w:t>to</w:t>
      </w:r>
      <w:r>
        <w:rPr>
          <w:spacing w:val="-1"/>
        </w:rPr>
        <w:t xml:space="preserve"> </w:t>
      </w:r>
      <w:r>
        <w:t>the</w:t>
      </w:r>
      <w:r>
        <w:rPr>
          <w:spacing w:val="-1"/>
        </w:rPr>
        <w:t xml:space="preserve"> </w:t>
      </w:r>
      <w:r>
        <w:t>issues</w:t>
      </w:r>
      <w:r>
        <w:rPr>
          <w:spacing w:val="-2"/>
        </w:rPr>
        <w:t xml:space="preserve"> </w:t>
      </w:r>
      <w:r>
        <w:t>outlined</w:t>
      </w:r>
      <w:r>
        <w:rPr>
          <w:spacing w:val="-2"/>
        </w:rPr>
        <w:t xml:space="preserve"> </w:t>
      </w:r>
      <w:r>
        <w:t>in this report, and a later</w:t>
      </w:r>
      <w:r>
        <w:rPr>
          <w:spacing w:val="-2"/>
        </w:rPr>
        <w:t xml:space="preserve"> </w:t>
      </w:r>
      <w:r>
        <w:t>report to be</w:t>
      </w:r>
      <w:r>
        <w:rPr>
          <w:spacing w:val="-1"/>
        </w:rPr>
        <w:t xml:space="preserve"> </w:t>
      </w:r>
      <w:r>
        <w:t>released</w:t>
      </w:r>
      <w:r>
        <w:rPr>
          <w:spacing w:val="-3"/>
        </w:rPr>
        <w:t xml:space="preserve"> </w:t>
      </w:r>
      <w:r>
        <w:t>in</w:t>
      </w:r>
      <w:r>
        <w:rPr>
          <w:spacing w:val="-5"/>
        </w:rPr>
        <w:t xml:space="preserve"> </w:t>
      </w:r>
      <w:r>
        <w:t>the</w:t>
      </w:r>
      <w:r>
        <w:rPr>
          <w:spacing w:val="-1"/>
        </w:rPr>
        <w:t xml:space="preserve"> </w:t>
      </w:r>
      <w:r>
        <w:t>fall</w:t>
      </w:r>
      <w:r>
        <w:rPr>
          <w:spacing w:val="-4"/>
        </w:rPr>
        <w:t xml:space="preserve"> </w:t>
      </w:r>
      <w:r>
        <w:t>of</w:t>
      </w:r>
      <w:r>
        <w:rPr>
          <w:spacing w:val="-4"/>
        </w:rPr>
        <w:t xml:space="preserve"> </w:t>
      </w:r>
      <w:r>
        <w:t>2023</w:t>
      </w:r>
      <w:r>
        <w:rPr>
          <w:spacing w:val="-3"/>
        </w:rPr>
        <w:t xml:space="preserve"> </w:t>
      </w:r>
      <w:r>
        <w:t>will</w:t>
      </w:r>
      <w:r>
        <w:rPr>
          <w:spacing w:val="-2"/>
        </w:rPr>
        <w:t xml:space="preserve"> </w:t>
      </w:r>
      <w:r>
        <w:t>highlight</w:t>
      </w:r>
      <w:r>
        <w:rPr>
          <w:spacing w:val="-1"/>
        </w:rPr>
        <w:t xml:space="preserve"> </w:t>
      </w:r>
      <w:r>
        <w:t>further</w:t>
      </w:r>
      <w:r>
        <w:rPr>
          <w:spacing w:val="-4"/>
        </w:rPr>
        <w:t xml:space="preserve"> </w:t>
      </w:r>
      <w:r>
        <w:t>research</w:t>
      </w:r>
      <w:r>
        <w:rPr>
          <w:spacing w:val="-3"/>
        </w:rPr>
        <w:t xml:space="preserve"> </w:t>
      </w:r>
      <w:r>
        <w:t>topics</w:t>
      </w:r>
      <w:r>
        <w:rPr>
          <w:spacing w:val="-4"/>
        </w:rPr>
        <w:t xml:space="preserve"> </w:t>
      </w:r>
      <w:r>
        <w:t>to</w:t>
      </w:r>
      <w:r>
        <w:rPr>
          <w:spacing w:val="-3"/>
        </w:rPr>
        <w:t xml:space="preserve"> </w:t>
      </w:r>
      <w:r>
        <w:t>be</w:t>
      </w:r>
      <w:r>
        <w:rPr>
          <w:spacing w:val="-4"/>
        </w:rPr>
        <w:t xml:space="preserve"> </w:t>
      </w:r>
      <w:r>
        <w:t>considered</w:t>
      </w:r>
      <w:r>
        <w:rPr>
          <w:spacing w:val="-3"/>
        </w:rPr>
        <w:t xml:space="preserve"> </w:t>
      </w:r>
      <w:r>
        <w:t>by</w:t>
      </w:r>
      <w:r>
        <w:rPr>
          <w:spacing w:val="-1"/>
        </w:rPr>
        <w:t xml:space="preserve"> </w:t>
      </w:r>
      <w:r>
        <w:t>policymakers</w:t>
      </w:r>
      <w:r>
        <w:rPr>
          <w:spacing w:val="-4"/>
        </w:rPr>
        <w:t xml:space="preserve"> </w:t>
      </w:r>
      <w:r>
        <w:t xml:space="preserve">and </w:t>
      </w:r>
      <w:r>
        <w:rPr>
          <w:spacing w:val="-2"/>
        </w:rPr>
        <w:t>schools.</w:t>
      </w:r>
    </w:p>
    <w:p w:rsidR="00200FDA" w:rsidRDefault="00200FDA">
      <w:pPr>
        <w:pStyle w:val="BodyText"/>
        <w:spacing w:before="10"/>
        <w:rPr>
          <w:sz w:val="32"/>
        </w:rPr>
      </w:pPr>
    </w:p>
    <w:p w:rsidR="00200FDA" w:rsidRDefault="00F76C4C">
      <w:pPr>
        <w:pStyle w:val="Heading7"/>
        <w:ind w:left="140"/>
        <w:jc w:val="both"/>
      </w:pPr>
      <w:r>
        <w:pict>
          <v:rect id="docshape190" o:spid="_x0000_s1370" style="position:absolute;left:0;text-align:left;margin-left:70.55pt;margin-top:18pt;width:470.9pt;height:.5pt;z-index:-15713792;mso-wrap-distance-left:0;mso-wrap-distance-right:0;mso-position-horizontal-relative:page" fillcolor="#4f81bc" stroked="f">
            <w10:wrap type="topAndBottom" anchorx="page"/>
          </v:rect>
        </w:pict>
      </w:r>
      <w:r>
        <w:rPr>
          <w:color w:val="365F91"/>
        </w:rPr>
        <w:t>FY</w:t>
      </w:r>
      <w:r>
        <w:rPr>
          <w:color w:val="365F91"/>
          <w:spacing w:val="-7"/>
        </w:rPr>
        <w:t xml:space="preserve"> </w:t>
      </w:r>
      <w:r>
        <w:rPr>
          <w:color w:val="365F91"/>
        </w:rPr>
        <w:t>2024</w:t>
      </w:r>
      <w:r>
        <w:rPr>
          <w:color w:val="365F91"/>
          <w:spacing w:val="-6"/>
        </w:rPr>
        <w:t xml:space="preserve"> </w:t>
      </w:r>
      <w:r>
        <w:rPr>
          <w:color w:val="365F91"/>
        </w:rPr>
        <w:t>Recommendations</w:t>
      </w:r>
      <w:r>
        <w:rPr>
          <w:color w:val="365F91"/>
          <w:spacing w:val="-4"/>
        </w:rPr>
        <w:t xml:space="preserve"> </w:t>
      </w:r>
      <w:r>
        <w:rPr>
          <w:color w:val="365F91"/>
        </w:rPr>
        <w:t>to</w:t>
      </w:r>
      <w:r>
        <w:rPr>
          <w:color w:val="365F91"/>
          <w:spacing w:val="-5"/>
        </w:rPr>
        <w:t xml:space="preserve"> </w:t>
      </w:r>
      <w:r>
        <w:rPr>
          <w:color w:val="365F91"/>
        </w:rPr>
        <w:t>the</w:t>
      </w:r>
      <w:r>
        <w:rPr>
          <w:color w:val="365F91"/>
          <w:spacing w:val="-5"/>
        </w:rPr>
        <w:t xml:space="preserve"> </w:t>
      </w:r>
      <w:r>
        <w:rPr>
          <w:color w:val="365F91"/>
        </w:rPr>
        <w:t>Governor</w:t>
      </w:r>
      <w:r>
        <w:rPr>
          <w:color w:val="365F91"/>
          <w:spacing w:val="-5"/>
        </w:rPr>
        <w:t xml:space="preserve"> </w:t>
      </w:r>
      <w:r>
        <w:rPr>
          <w:color w:val="365F91"/>
        </w:rPr>
        <w:t>and</w:t>
      </w:r>
      <w:r>
        <w:rPr>
          <w:color w:val="365F91"/>
          <w:spacing w:val="-6"/>
        </w:rPr>
        <w:t xml:space="preserve"> </w:t>
      </w:r>
      <w:r>
        <w:rPr>
          <w:color w:val="365F91"/>
        </w:rPr>
        <w:t>Legislature</w:t>
      </w:r>
      <w:r>
        <w:rPr>
          <w:color w:val="365F91"/>
          <w:spacing w:val="-5"/>
        </w:rPr>
        <w:t xml:space="preserve"> </w:t>
      </w:r>
      <w:r>
        <w:rPr>
          <w:color w:val="365F91"/>
        </w:rPr>
        <w:t>on</w:t>
      </w:r>
      <w:r>
        <w:rPr>
          <w:color w:val="365F91"/>
          <w:spacing w:val="-6"/>
        </w:rPr>
        <w:t xml:space="preserve"> </w:t>
      </w:r>
      <w:r>
        <w:rPr>
          <w:color w:val="365F91"/>
          <w:spacing w:val="-2"/>
        </w:rPr>
        <w:t>Education</w:t>
      </w:r>
    </w:p>
    <w:p w:rsidR="00200FDA" w:rsidRDefault="00200FDA">
      <w:pPr>
        <w:pStyle w:val="BodyText"/>
        <w:spacing w:before="2"/>
        <w:rPr>
          <w:sz w:val="28"/>
        </w:rPr>
      </w:pPr>
    </w:p>
    <w:p w:rsidR="00200FDA" w:rsidRDefault="00F76C4C">
      <w:pPr>
        <w:pStyle w:val="Heading9"/>
        <w:numPr>
          <w:ilvl w:val="0"/>
          <w:numId w:val="35"/>
        </w:numPr>
        <w:tabs>
          <w:tab w:val="left" w:pos="366"/>
        </w:tabs>
        <w:spacing w:before="56"/>
        <w:ind w:right="132" w:firstLine="0"/>
      </w:pPr>
      <w:r>
        <w:t>Advise administrators and educators to proactively voice support of LGBTQ</w:t>
      </w:r>
      <w:r>
        <w:rPr>
          <w:spacing w:val="-2"/>
        </w:rPr>
        <w:t xml:space="preserve"> </w:t>
      </w:r>
      <w:r>
        <w:t>materials, and establish statewide process guidelines for challenged book reviews.</w:t>
      </w:r>
    </w:p>
    <w:p w:rsidR="00200FDA" w:rsidRDefault="00200FDA">
      <w:pPr>
        <w:pStyle w:val="BodyText"/>
        <w:spacing w:before="11"/>
        <w:rPr>
          <w:b/>
          <w:sz w:val="32"/>
        </w:rPr>
      </w:pPr>
    </w:p>
    <w:p w:rsidR="00200FDA" w:rsidRDefault="00F76C4C">
      <w:pPr>
        <w:pStyle w:val="BodyText"/>
        <w:ind w:left="140" w:right="134"/>
        <w:jc w:val="both"/>
      </w:pPr>
      <w:r>
        <w:t>The Commission recommends that administrators proactively voice their support of LGBTQ materials, in line with the Principles for Ensuring Safe and Supportive Learning Environments for LGBTQ Students.</w:t>
      </w:r>
      <w:hyperlink w:anchor="_bookmark37" w:history="1">
        <w:r>
          <w:rPr>
            <w:vertAlign w:val="superscript"/>
          </w:rPr>
          <w:t>1</w:t>
        </w:r>
      </w:hyperlink>
      <w:r>
        <w:t xml:space="preserve"> Furthermore, as discuss</w:t>
      </w:r>
      <w:r>
        <w:t>ed throughout this annual report, schools and libraries are seeing an unprecedented increase in book challenges, particularly against LGBTQ and BIPOC affirming books and materials. The Commission recommends that superintendents and school committees determ</w:t>
      </w:r>
      <w:r>
        <w:t>ine thoughtful processes for reviewing any books that are challenged.</w:t>
      </w:r>
    </w:p>
    <w:p w:rsidR="00200FDA" w:rsidRDefault="00200FDA">
      <w:pPr>
        <w:pStyle w:val="BodyText"/>
        <w:spacing w:before="9"/>
        <w:rPr>
          <w:sz w:val="32"/>
        </w:rPr>
      </w:pPr>
    </w:p>
    <w:p w:rsidR="00200FDA" w:rsidRDefault="00F76C4C">
      <w:pPr>
        <w:pStyle w:val="BodyText"/>
        <w:ind w:left="139" w:right="132"/>
        <w:jc w:val="both"/>
      </w:pPr>
      <w:r>
        <w:t>Furthermore,</w:t>
      </w:r>
      <w:r>
        <w:rPr>
          <w:spacing w:val="-7"/>
        </w:rPr>
        <w:t xml:space="preserve"> </w:t>
      </w:r>
      <w:r>
        <w:t>the</w:t>
      </w:r>
      <w:r>
        <w:rPr>
          <w:spacing w:val="-4"/>
        </w:rPr>
        <w:t xml:space="preserve"> </w:t>
      </w:r>
      <w:r>
        <w:t>Commission</w:t>
      </w:r>
      <w:r>
        <w:rPr>
          <w:spacing w:val="-5"/>
        </w:rPr>
        <w:t xml:space="preserve"> </w:t>
      </w:r>
      <w:r>
        <w:t>advises</w:t>
      </w:r>
      <w:r>
        <w:rPr>
          <w:spacing w:val="-4"/>
        </w:rPr>
        <w:t xml:space="preserve"> </w:t>
      </w:r>
      <w:r>
        <w:t>that</w:t>
      </w:r>
      <w:r>
        <w:rPr>
          <w:spacing w:val="-4"/>
        </w:rPr>
        <w:t xml:space="preserve"> </w:t>
      </w:r>
      <w:r>
        <w:t>schools</w:t>
      </w:r>
      <w:r>
        <w:rPr>
          <w:spacing w:val="-7"/>
        </w:rPr>
        <w:t xml:space="preserve"> </w:t>
      </w:r>
      <w:r>
        <w:t>prioritize</w:t>
      </w:r>
      <w:r>
        <w:rPr>
          <w:spacing w:val="-4"/>
        </w:rPr>
        <w:t xml:space="preserve"> </w:t>
      </w:r>
      <w:r>
        <w:t>and</w:t>
      </w:r>
      <w:r>
        <w:rPr>
          <w:spacing w:val="-7"/>
        </w:rPr>
        <w:t xml:space="preserve"> </w:t>
      </w:r>
      <w:r>
        <w:t>encourage</w:t>
      </w:r>
      <w:r>
        <w:rPr>
          <w:spacing w:val="-4"/>
        </w:rPr>
        <w:t xml:space="preserve"> </w:t>
      </w:r>
      <w:r>
        <w:t>the</w:t>
      </w:r>
      <w:r>
        <w:rPr>
          <w:spacing w:val="-4"/>
        </w:rPr>
        <w:t xml:space="preserve"> </w:t>
      </w:r>
      <w:r>
        <w:t>development</w:t>
      </w:r>
      <w:r>
        <w:rPr>
          <w:spacing w:val="-6"/>
        </w:rPr>
        <w:t xml:space="preserve"> </w:t>
      </w:r>
      <w:r>
        <w:t>of</w:t>
      </w:r>
      <w:r>
        <w:rPr>
          <w:spacing w:val="-5"/>
        </w:rPr>
        <w:t xml:space="preserve"> </w:t>
      </w:r>
      <w:r>
        <w:t>identity- based</w:t>
      </w:r>
      <w:r>
        <w:rPr>
          <w:spacing w:val="-8"/>
        </w:rPr>
        <w:t xml:space="preserve"> </w:t>
      </w:r>
      <w:r>
        <w:t>affinity</w:t>
      </w:r>
      <w:r>
        <w:rPr>
          <w:spacing w:val="-7"/>
        </w:rPr>
        <w:t xml:space="preserve"> </w:t>
      </w:r>
      <w:r>
        <w:t>programs,</w:t>
      </w:r>
      <w:r>
        <w:rPr>
          <w:spacing w:val="-7"/>
        </w:rPr>
        <w:t xml:space="preserve"> </w:t>
      </w:r>
      <w:r>
        <w:t>such</w:t>
      </w:r>
      <w:r>
        <w:rPr>
          <w:spacing w:val="-8"/>
        </w:rPr>
        <w:t xml:space="preserve"> </w:t>
      </w:r>
      <w:r>
        <w:t>as</w:t>
      </w:r>
      <w:r>
        <w:rPr>
          <w:spacing w:val="-7"/>
        </w:rPr>
        <w:t xml:space="preserve"> </w:t>
      </w:r>
      <w:r>
        <w:t>Gender-Sexuality</w:t>
      </w:r>
      <w:r>
        <w:rPr>
          <w:spacing w:val="-7"/>
        </w:rPr>
        <w:t xml:space="preserve"> </w:t>
      </w:r>
      <w:r>
        <w:t>Alliances</w:t>
      </w:r>
      <w:r>
        <w:rPr>
          <w:spacing w:val="-8"/>
        </w:rPr>
        <w:t xml:space="preserve"> </w:t>
      </w:r>
      <w:r>
        <w:t>(GSAs),</w:t>
      </w:r>
      <w:r>
        <w:rPr>
          <w:spacing w:val="-10"/>
        </w:rPr>
        <w:t xml:space="preserve"> </w:t>
      </w:r>
      <w:r>
        <w:t>and</w:t>
      </w:r>
      <w:r>
        <w:rPr>
          <w:spacing w:val="-8"/>
        </w:rPr>
        <w:t xml:space="preserve"> </w:t>
      </w:r>
      <w:r>
        <w:t>provide</w:t>
      </w:r>
      <w:r>
        <w:rPr>
          <w:spacing w:val="-7"/>
        </w:rPr>
        <w:t xml:space="preserve"> </w:t>
      </w:r>
      <w:r>
        <w:t>funding</w:t>
      </w:r>
      <w:r>
        <w:rPr>
          <w:spacing w:val="-8"/>
        </w:rPr>
        <w:t xml:space="preserve"> </w:t>
      </w:r>
      <w:r>
        <w:t>opportunities</w:t>
      </w:r>
      <w:r>
        <w:rPr>
          <w:spacing w:val="-8"/>
        </w:rPr>
        <w:t xml:space="preserve"> </w:t>
      </w:r>
      <w:r>
        <w:t>for students to improve recruitment and retention of engaged youth.</w:t>
      </w:r>
    </w:p>
    <w:p w:rsidR="00200FDA" w:rsidRDefault="00200FDA">
      <w:pPr>
        <w:pStyle w:val="BodyText"/>
        <w:spacing w:before="8"/>
        <w:rPr>
          <w:sz w:val="32"/>
        </w:rPr>
      </w:pPr>
    </w:p>
    <w:p w:rsidR="00200FDA" w:rsidRDefault="00F76C4C">
      <w:pPr>
        <w:pStyle w:val="Heading9"/>
        <w:numPr>
          <w:ilvl w:val="0"/>
          <w:numId w:val="35"/>
        </w:numPr>
        <w:tabs>
          <w:tab w:val="left" w:pos="395"/>
        </w:tabs>
        <w:ind w:left="139" w:right="137" w:firstLine="0"/>
      </w:pPr>
      <w:r>
        <w:t>Ensure</w:t>
      </w:r>
      <w:r>
        <w:rPr>
          <w:spacing w:val="28"/>
        </w:rPr>
        <w:t xml:space="preserve"> </w:t>
      </w:r>
      <w:r>
        <w:t>that</w:t>
      </w:r>
      <w:r>
        <w:rPr>
          <w:spacing w:val="31"/>
        </w:rPr>
        <w:t xml:space="preserve"> </w:t>
      </w:r>
      <w:r>
        <w:t>all</w:t>
      </w:r>
      <w:r>
        <w:rPr>
          <w:spacing w:val="30"/>
        </w:rPr>
        <w:t xml:space="preserve"> </w:t>
      </w:r>
      <w:r>
        <w:t>subject</w:t>
      </w:r>
      <w:r>
        <w:rPr>
          <w:spacing w:val="29"/>
        </w:rPr>
        <w:t xml:space="preserve"> </w:t>
      </w:r>
      <w:r>
        <w:t>areas</w:t>
      </w:r>
      <w:r>
        <w:rPr>
          <w:spacing w:val="32"/>
        </w:rPr>
        <w:t xml:space="preserve"> </w:t>
      </w:r>
      <w:r>
        <w:t>are</w:t>
      </w:r>
      <w:r>
        <w:rPr>
          <w:spacing w:val="28"/>
        </w:rPr>
        <w:t xml:space="preserve"> </w:t>
      </w:r>
      <w:r>
        <w:t>reflective</w:t>
      </w:r>
      <w:r>
        <w:rPr>
          <w:spacing w:val="30"/>
        </w:rPr>
        <w:t xml:space="preserve"> </w:t>
      </w:r>
      <w:r>
        <w:t>of</w:t>
      </w:r>
      <w:r>
        <w:rPr>
          <w:spacing w:val="28"/>
        </w:rPr>
        <w:t xml:space="preserve"> </w:t>
      </w:r>
      <w:r>
        <w:t>LGBTQ</w:t>
      </w:r>
      <w:r>
        <w:rPr>
          <w:spacing w:val="28"/>
        </w:rPr>
        <w:t xml:space="preserve"> </w:t>
      </w:r>
      <w:r>
        <w:t>&amp;</w:t>
      </w:r>
      <w:r>
        <w:rPr>
          <w:spacing w:val="29"/>
        </w:rPr>
        <w:t xml:space="preserve"> </w:t>
      </w:r>
      <w:r>
        <w:t>BIPOC</w:t>
      </w:r>
      <w:r>
        <w:rPr>
          <w:spacing w:val="29"/>
        </w:rPr>
        <w:t xml:space="preserve"> </w:t>
      </w:r>
      <w:r>
        <w:t>individuals,</w:t>
      </w:r>
      <w:r>
        <w:rPr>
          <w:spacing w:val="32"/>
        </w:rPr>
        <w:t xml:space="preserve"> </w:t>
      </w:r>
      <w:r>
        <w:t>historical</w:t>
      </w:r>
      <w:r>
        <w:rPr>
          <w:spacing w:val="32"/>
        </w:rPr>
        <w:t xml:space="preserve"> </w:t>
      </w:r>
      <w:r>
        <w:t>events,</w:t>
      </w:r>
      <w:r>
        <w:rPr>
          <w:spacing w:val="29"/>
        </w:rPr>
        <w:t xml:space="preserve"> </w:t>
      </w:r>
      <w:r>
        <w:t xml:space="preserve">and </w:t>
      </w:r>
      <w:r>
        <w:rPr>
          <w:spacing w:val="-2"/>
        </w:rPr>
        <w:t>concepts.</w:t>
      </w:r>
    </w:p>
    <w:p w:rsidR="00200FDA" w:rsidRDefault="00200FDA">
      <w:pPr>
        <w:pStyle w:val="BodyText"/>
        <w:spacing w:before="11"/>
        <w:rPr>
          <w:b/>
          <w:sz w:val="32"/>
        </w:rPr>
      </w:pPr>
    </w:p>
    <w:p w:rsidR="00200FDA" w:rsidRDefault="00F76C4C">
      <w:pPr>
        <w:pStyle w:val="BodyText"/>
        <w:ind w:left="139"/>
        <w:jc w:val="both"/>
      </w:pPr>
      <w:r>
        <w:t>While</w:t>
      </w:r>
      <w:r>
        <w:rPr>
          <w:spacing w:val="61"/>
        </w:rPr>
        <w:t xml:space="preserve"> </w:t>
      </w:r>
      <w:r>
        <w:t>largely</w:t>
      </w:r>
      <w:r>
        <w:rPr>
          <w:spacing w:val="62"/>
        </w:rPr>
        <w:t xml:space="preserve"> </w:t>
      </w:r>
      <w:r>
        <w:t>conversations</w:t>
      </w:r>
      <w:r>
        <w:rPr>
          <w:spacing w:val="61"/>
        </w:rPr>
        <w:t xml:space="preserve"> </w:t>
      </w:r>
      <w:r>
        <w:t>around</w:t>
      </w:r>
      <w:r>
        <w:rPr>
          <w:spacing w:val="60"/>
        </w:rPr>
        <w:t xml:space="preserve"> </w:t>
      </w:r>
      <w:r>
        <w:t>LGBTQ-inclusive</w:t>
      </w:r>
      <w:r>
        <w:rPr>
          <w:spacing w:val="62"/>
        </w:rPr>
        <w:t xml:space="preserve"> </w:t>
      </w:r>
      <w:r>
        <w:t>education</w:t>
      </w:r>
      <w:r>
        <w:rPr>
          <w:spacing w:val="60"/>
        </w:rPr>
        <w:t xml:space="preserve"> </w:t>
      </w:r>
      <w:r>
        <w:t>are</w:t>
      </w:r>
      <w:r>
        <w:rPr>
          <w:spacing w:val="61"/>
        </w:rPr>
        <w:t xml:space="preserve"> </w:t>
      </w:r>
      <w:r>
        <w:t>limited</w:t>
      </w:r>
      <w:r>
        <w:rPr>
          <w:spacing w:val="58"/>
        </w:rPr>
        <w:t xml:space="preserve"> </w:t>
      </w:r>
      <w:r>
        <w:t>to</w:t>
      </w:r>
      <w:r>
        <w:rPr>
          <w:spacing w:val="62"/>
        </w:rPr>
        <w:t xml:space="preserve"> </w:t>
      </w:r>
      <w:r>
        <w:t>history</w:t>
      </w:r>
      <w:r>
        <w:rPr>
          <w:spacing w:val="62"/>
        </w:rPr>
        <w:t xml:space="preserve"> </w:t>
      </w:r>
      <w:r>
        <w:t>lessons,</w:t>
      </w:r>
      <w:r>
        <w:rPr>
          <w:spacing w:val="59"/>
        </w:rPr>
        <w:t xml:space="preserve"> </w:t>
      </w:r>
      <w:r>
        <w:rPr>
          <w:spacing w:val="-5"/>
        </w:rPr>
        <w:t>the</w:t>
      </w:r>
    </w:p>
    <w:p w:rsidR="00200FDA" w:rsidRDefault="00200FDA">
      <w:pPr>
        <w:jc w:val="both"/>
        <w:sectPr w:rsidR="00200FDA">
          <w:headerReference w:type="default" r:id="rId146"/>
          <w:footerReference w:type="default" r:id="rId147"/>
          <w:pgSz w:w="12240" w:h="15840"/>
          <w:pgMar w:top="1360" w:right="1300" w:bottom="1320" w:left="1300" w:header="761" w:footer="1132" w:gutter="0"/>
          <w:pgNumType w:start="22"/>
          <w:cols w:space="720"/>
        </w:sectPr>
      </w:pPr>
    </w:p>
    <w:p w:rsidR="00200FDA" w:rsidRDefault="00F76C4C">
      <w:pPr>
        <w:pStyle w:val="BodyText"/>
        <w:spacing w:before="64"/>
        <w:ind w:left="139" w:right="133"/>
        <w:jc w:val="both"/>
      </w:pPr>
      <w:r>
        <w:lastRenderedPageBreak/>
        <w:t>Commission</w:t>
      </w:r>
      <w:r>
        <w:rPr>
          <w:spacing w:val="-13"/>
        </w:rPr>
        <w:t xml:space="preserve"> </w:t>
      </w:r>
      <w:r>
        <w:t>recommends</w:t>
      </w:r>
      <w:r>
        <w:rPr>
          <w:spacing w:val="-12"/>
        </w:rPr>
        <w:t xml:space="preserve"> </w:t>
      </w:r>
      <w:r>
        <w:t>that</w:t>
      </w:r>
      <w:r>
        <w:rPr>
          <w:spacing w:val="-13"/>
        </w:rPr>
        <w:t xml:space="preserve"> </w:t>
      </w:r>
      <w:r>
        <w:t>policymakers</w:t>
      </w:r>
      <w:r>
        <w:rPr>
          <w:spacing w:val="-12"/>
        </w:rPr>
        <w:t xml:space="preserve"> </w:t>
      </w:r>
      <w:r>
        <w:t>and</w:t>
      </w:r>
      <w:r>
        <w:rPr>
          <w:spacing w:val="-13"/>
        </w:rPr>
        <w:t xml:space="preserve"> </w:t>
      </w:r>
      <w:r>
        <w:t>educators</w:t>
      </w:r>
      <w:r>
        <w:rPr>
          <w:spacing w:val="-12"/>
        </w:rPr>
        <w:t xml:space="preserve"> </w:t>
      </w:r>
      <w:r>
        <w:t>broaden</w:t>
      </w:r>
      <w:r>
        <w:rPr>
          <w:spacing w:val="-13"/>
        </w:rPr>
        <w:t xml:space="preserve"> </w:t>
      </w:r>
      <w:r>
        <w:t>its</w:t>
      </w:r>
      <w:r>
        <w:rPr>
          <w:spacing w:val="-12"/>
        </w:rPr>
        <w:t xml:space="preserve"> </w:t>
      </w:r>
      <w:r>
        <w:t>focus</w:t>
      </w:r>
      <w:r>
        <w:rPr>
          <w:spacing w:val="-12"/>
        </w:rPr>
        <w:t xml:space="preserve"> </w:t>
      </w:r>
      <w:r>
        <w:t>on</w:t>
      </w:r>
      <w:r>
        <w:rPr>
          <w:spacing w:val="-13"/>
        </w:rPr>
        <w:t xml:space="preserve"> </w:t>
      </w:r>
      <w:r>
        <w:t>LGBTQ-inclusive</w:t>
      </w:r>
      <w:r>
        <w:rPr>
          <w:spacing w:val="-12"/>
        </w:rPr>
        <w:t xml:space="preserve"> </w:t>
      </w:r>
      <w:r>
        <w:t>curricula and materials by ensuring that all state subject frameworks include LGBTQ and BIPOC individuals, historical events, and social concepts. In particular, the Commission highlights the necessity of updating health,</w:t>
      </w:r>
      <w:r>
        <w:rPr>
          <w:spacing w:val="-4"/>
        </w:rPr>
        <w:t xml:space="preserve"> </w:t>
      </w:r>
      <w:r>
        <w:t>arts,</w:t>
      </w:r>
      <w:r>
        <w:rPr>
          <w:spacing w:val="-4"/>
        </w:rPr>
        <w:t xml:space="preserve"> </w:t>
      </w:r>
      <w:r>
        <w:t>and</w:t>
      </w:r>
      <w:r>
        <w:rPr>
          <w:spacing w:val="-7"/>
        </w:rPr>
        <w:t xml:space="preserve"> </w:t>
      </w:r>
      <w:r>
        <w:t>music</w:t>
      </w:r>
      <w:r>
        <w:rPr>
          <w:spacing w:val="-4"/>
        </w:rPr>
        <w:t xml:space="preserve"> </w:t>
      </w:r>
      <w:r>
        <w:t>curricula</w:t>
      </w:r>
      <w:r>
        <w:rPr>
          <w:spacing w:val="-5"/>
        </w:rPr>
        <w:t xml:space="preserve"> </w:t>
      </w:r>
      <w:r>
        <w:t>framewor</w:t>
      </w:r>
      <w:r>
        <w:t>ks</w:t>
      </w:r>
      <w:r>
        <w:rPr>
          <w:spacing w:val="-4"/>
        </w:rPr>
        <w:t xml:space="preserve"> </w:t>
      </w:r>
      <w:r>
        <w:t>to</w:t>
      </w:r>
      <w:r>
        <w:rPr>
          <w:spacing w:val="-3"/>
        </w:rPr>
        <w:t xml:space="preserve"> </w:t>
      </w:r>
      <w:r>
        <w:t>include</w:t>
      </w:r>
      <w:r>
        <w:rPr>
          <w:spacing w:val="-4"/>
        </w:rPr>
        <w:t xml:space="preserve"> </w:t>
      </w:r>
      <w:r>
        <w:t>LGBTQ</w:t>
      </w:r>
      <w:r>
        <w:rPr>
          <w:spacing w:val="-4"/>
        </w:rPr>
        <w:t xml:space="preserve"> </w:t>
      </w:r>
      <w:r>
        <w:t>and</w:t>
      </w:r>
      <w:r>
        <w:rPr>
          <w:spacing w:val="-5"/>
        </w:rPr>
        <w:t xml:space="preserve"> </w:t>
      </w:r>
      <w:r>
        <w:t>BIPOC</w:t>
      </w:r>
      <w:r>
        <w:rPr>
          <w:spacing w:val="-4"/>
        </w:rPr>
        <w:t xml:space="preserve"> </w:t>
      </w:r>
      <w:r>
        <w:t>contributions.</w:t>
      </w:r>
      <w:r>
        <w:rPr>
          <w:spacing w:val="-5"/>
        </w:rPr>
        <w:t xml:space="preserve"> </w:t>
      </w:r>
      <w:r>
        <w:t>The</w:t>
      </w:r>
      <w:r>
        <w:rPr>
          <w:spacing w:val="-4"/>
        </w:rPr>
        <w:t xml:space="preserve"> </w:t>
      </w:r>
      <w:r>
        <w:t xml:space="preserve">Commission supports </w:t>
      </w:r>
      <w:r>
        <w:rPr>
          <w:i/>
        </w:rPr>
        <w:t>An</w:t>
      </w:r>
      <w:r>
        <w:rPr>
          <w:i/>
          <w:spacing w:val="-1"/>
        </w:rPr>
        <w:t xml:space="preserve"> </w:t>
      </w:r>
      <w:r>
        <w:rPr>
          <w:i/>
        </w:rPr>
        <w:t>Act</w:t>
      </w:r>
      <w:r>
        <w:rPr>
          <w:i/>
          <w:spacing w:val="-2"/>
        </w:rPr>
        <w:t xml:space="preserve"> </w:t>
      </w:r>
      <w:r>
        <w:rPr>
          <w:i/>
        </w:rPr>
        <w:t>Relative</w:t>
      </w:r>
      <w:r>
        <w:rPr>
          <w:i/>
          <w:spacing w:val="-3"/>
        </w:rPr>
        <w:t xml:space="preserve"> </w:t>
      </w:r>
      <w:r>
        <w:rPr>
          <w:i/>
        </w:rPr>
        <w:t>to</w:t>
      </w:r>
      <w:r>
        <w:rPr>
          <w:i/>
          <w:spacing w:val="-3"/>
        </w:rPr>
        <w:t xml:space="preserve"> </w:t>
      </w:r>
      <w:r>
        <w:rPr>
          <w:i/>
        </w:rPr>
        <w:t xml:space="preserve">LGBTQ+ Inclusive Curriculum </w:t>
      </w:r>
      <w:r>
        <w:t>(</w:t>
      </w:r>
      <w:hyperlink r:id="rId148">
        <w:r>
          <w:rPr>
            <w:b/>
            <w:color w:val="1154CC"/>
            <w:u w:val="single" w:color="1154CC"/>
          </w:rPr>
          <w:t>S.259</w:t>
        </w:r>
      </w:hyperlink>
      <w:r>
        <w:rPr>
          <w:b/>
        </w:rPr>
        <w:t>/</w:t>
      </w:r>
      <w:hyperlink r:id="rId149">
        <w:r>
          <w:rPr>
            <w:b/>
            <w:color w:val="1154CC"/>
            <w:u w:val="single" w:color="1154CC"/>
          </w:rPr>
          <w:t>H.498</w:t>
        </w:r>
      </w:hyperlink>
      <w:r>
        <w:t>), tho</w:t>
      </w:r>
      <w:r>
        <w:t>ugh</w:t>
      </w:r>
      <w:r>
        <w:rPr>
          <w:spacing w:val="-1"/>
        </w:rPr>
        <w:t xml:space="preserve"> </w:t>
      </w:r>
      <w:r>
        <w:t>highlights the limitations of the bill as its current filed draft only targets inclusivity in history curriculum. Additionally, the Commission advises that schools - preK-12 and colleges - should provide resources and professional development opportuni</w:t>
      </w:r>
      <w:r>
        <w:t>ties for educators to support instruction in these areas.</w:t>
      </w:r>
    </w:p>
    <w:p w:rsidR="00200FDA" w:rsidRDefault="00200FDA">
      <w:pPr>
        <w:pStyle w:val="BodyText"/>
        <w:spacing w:before="9"/>
        <w:rPr>
          <w:sz w:val="32"/>
        </w:rPr>
      </w:pPr>
    </w:p>
    <w:p w:rsidR="00200FDA" w:rsidRDefault="00F76C4C">
      <w:pPr>
        <w:pStyle w:val="Heading9"/>
        <w:numPr>
          <w:ilvl w:val="0"/>
          <w:numId w:val="35"/>
        </w:numPr>
        <w:tabs>
          <w:tab w:val="left" w:pos="400"/>
        </w:tabs>
        <w:spacing w:before="1"/>
        <w:ind w:right="132" w:firstLine="0"/>
      </w:pPr>
      <w:r>
        <w:t>Provide</w:t>
      </w:r>
      <w:r>
        <w:rPr>
          <w:spacing w:val="32"/>
        </w:rPr>
        <w:t xml:space="preserve"> </w:t>
      </w:r>
      <w:r>
        <w:t>ongoing</w:t>
      </w:r>
      <w:r>
        <w:rPr>
          <w:spacing w:val="33"/>
        </w:rPr>
        <w:t xml:space="preserve"> </w:t>
      </w:r>
      <w:r>
        <w:t>training</w:t>
      </w:r>
      <w:r>
        <w:rPr>
          <w:spacing w:val="33"/>
        </w:rPr>
        <w:t xml:space="preserve"> </w:t>
      </w:r>
      <w:r>
        <w:t>and</w:t>
      </w:r>
      <w:r>
        <w:rPr>
          <w:spacing w:val="32"/>
        </w:rPr>
        <w:t xml:space="preserve"> </w:t>
      </w:r>
      <w:r>
        <w:t>support</w:t>
      </w:r>
      <w:r>
        <w:rPr>
          <w:spacing w:val="33"/>
        </w:rPr>
        <w:t xml:space="preserve"> </w:t>
      </w:r>
      <w:r>
        <w:t>for</w:t>
      </w:r>
      <w:r>
        <w:rPr>
          <w:spacing w:val="33"/>
        </w:rPr>
        <w:t xml:space="preserve"> </w:t>
      </w:r>
      <w:r>
        <w:t>athletic</w:t>
      </w:r>
      <w:r>
        <w:rPr>
          <w:spacing w:val="34"/>
        </w:rPr>
        <w:t xml:space="preserve"> </w:t>
      </w:r>
      <w:r>
        <w:t>directors,</w:t>
      </w:r>
      <w:r>
        <w:rPr>
          <w:spacing w:val="33"/>
        </w:rPr>
        <w:t xml:space="preserve"> </w:t>
      </w:r>
      <w:r>
        <w:t>coaches,</w:t>
      </w:r>
      <w:r>
        <w:rPr>
          <w:spacing w:val="33"/>
        </w:rPr>
        <w:t xml:space="preserve"> </w:t>
      </w:r>
      <w:r>
        <w:t>and</w:t>
      </w:r>
      <w:r>
        <w:rPr>
          <w:spacing w:val="32"/>
        </w:rPr>
        <w:t xml:space="preserve"> </w:t>
      </w:r>
      <w:r>
        <w:t>captions,</w:t>
      </w:r>
      <w:r>
        <w:rPr>
          <w:spacing w:val="33"/>
        </w:rPr>
        <w:t xml:space="preserve"> </w:t>
      </w:r>
      <w:r>
        <w:t>and</w:t>
      </w:r>
      <w:r>
        <w:rPr>
          <w:spacing w:val="32"/>
        </w:rPr>
        <w:t xml:space="preserve"> </w:t>
      </w:r>
      <w:r>
        <w:t>develop guidance for schools on supporting gender expansive youth in athletics.</w:t>
      </w:r>
    </w:p>
    <w:p w:rsidR="00200FDA" w:rsidRDefault="00200FDA">
      <w:pPr>
        <w:pStyle w:val="BodyText"/>
        <w:spacing w:before="8"/>
        <w:rPr>
          <w:b/>
          <w:sz w:val="32"/>
        </w:rPr>
      </w:pPr>
    </w:p>
    <w:p w:rsidR="00200FDA" w:rsidRDefault="00F76C4C">
      <w:pPr>
        <w:pStyle w:val="BodyText"/>
        <w:ind w:left="140" w:right="134"/>
        <w:jc w:val="both"/>
      </w:pPr>
      <w:r>
        <w:t>Across the nation, LGBTQ rights in sports are under attack, as gender expansive youth rights are ignored in favor of misinformation, stigmatization, and discrimination. The Commission recommends that Massachusetts education agencies, schools, and policymak</w:t>
      </w:r>
      <w:r>
        <w:t>ers affirm the rights of LGBTQ youth to play sports, and develop guidance for schools on how best to support gender expansive youth. Furthermore, schools and programs should provide ongoing training and support for staff and volunteers overseeing and parti</w:t>
      </w:r>
      <w:r>
        <w:t>cipating in youth sports.</w:t>
      </w:r>
    </w:p>
    <w:p w:rsidR="00200FDA" w:rsidRDefault="00200FDA">
      <w:pPr>
        <w:pStyle w:val="BodyText"/>
        <w:spacing w:before="8"/>
        <w:rPr>
          <w:sz w:val="32"/>
        </w:rPr>
      </w:pPr>
    </w:p>
    <w:p w:rsidR="00200FDA" w:rsidRDefault="00F76C4C">
      <w:pPr>
        <w:pStyle w:val="Heading9"/>
        <w:numPr>
          <w:ilvl w:val="0"/>
          <w:numId w:val="35"/>
        </w:numPr>
        <w:tabs>
          <w:tab w:val="left" w:pos="400"/>
        </w:tabs>
        <w:spacing w:before="1"/>
        <w:ind w:right="131" w:firstLine="0"/>
      </w:pPr>
      <w:r>
        <w:t>Review</w:t>
      </w:r>
      <w:r>
        <w:rPr>
          <w:spacing w:val="34"/>
        </w:rPr>
        <w:t xml:space="preserve"> </w:t>
      </w:r>
      <w:r>
        <w:t>and</w:t>
      </w:r>
      <w:r>
        <w:rPr>
          <w:spacing w:val="33"/>
        </w:rPr>
        <w:t xml:space="preserve"> </w:t>
      </w:r>
      <w:r>
        <w:t>update</w:t>
      </w:r>
      <w:r>
        <w:rPr>
          <w:spacing w:val="33"/>
        </w:rPr>
        <w:t xml:space="preserve"> </w:t>
      </w:r>
      <w:r>
        <w:t>school</w:t>
      </w:r>
      <w:r>
        <w:rPr>
          <w:spacing w:val="34"/>
        </w:rPr>
        <w:t xml:space="preserve"> </w:t>
      </w:r>
      <w:r>
        <w:t>handbooks</w:t>
      </w:r>
      <w:r>
        <w:rPr>
          <w:spacing w:val="34"/>
        </w:rPr>
        <w:t xml:space="preserve"> </w:t>
      </w:r>
      <w:r>
        <w:t>to</w:t>
      </w:r>
      <w:r>
        <w:rPr>
          <w:spacing w:val="32"/>
        </w:rPr>
        <w:t xml:space="preserve"> </w:t>
      </w:r>
      <w:r>
        <w:t>include</w:t>
      </w:r>
      <w:r>
        <w:rPr>
          <w:spacing w:val="33"/>
        </w:rPr>
        <w:t xml:space="preserve"> </w:t>
      </w:r>
      <w:r>
        <w:t>clear</w:t>
      </w:r>
      <w:r>
        <w:rPr>
          <w:spacing w:val="34"/>
        </w:rPr>
        <w:t xml:space="preserve"> </w:t>
      </w:r>
      <w:r>
        <w:t>statements</w:t>
      </w:r>
      <w:r>
        <w:rPr>
          <w:spacing w:val="34"/>
        </w:rPr>
        <w:t xml:space="preserve"> </w:t>
      </w:r>
      <w:r>
        <w:t>about</w:t>
      </w:r>
      <w:r>
        <w:rPr>
          <w:spacing w:val="34"/>
        </w:rPr>
        <w:t xml:space="preserve"> </w:t>
      </w:r>
      <w:r>
        <w:t>protections</w:t>
      </w:r>
      <w:r>
        <w:rPr>
          <w:spacing w:val="34"/>
        </w:rPr>
        <w:t xml:space="preserve"> </w:t>
      </w:r>
      <w:r>
        <w:t>for</w:t>
      </w:r>
      <w:r>
        <w:rPr>
          <w:spacing w:val="32"/>
        </w:rPr>
        <w:t xml:space="preserve"> </w:t>
      </w:r>
      <w:r>
        <w:t>LGBTQ students, particularly transgender students.</w:t>
      </w:r>
    </w:p>
    <w:p w:rsidR="00200FDA" w:rsidRDefault="00200FDA">
      <w:pPr>
        <w:pStyle w:val="BodyText"/>
        <w:spacing w:before="10"/>
        <w:rPr>
          <w:b/>
          <w:sz w:val="32"/>
        </w:rPr>
      </w:pPr>
    </w:p>
    <w:p w:rsidR="00200FDA" w:rsidRDefault="00F76C4C">
      <w:pPr>
        <w:pStyle w:val="BodyText"/>
        <w:ind w:left="139" w:right="134"/>
        <w:jc w:val="both"/>
      </w:pPr>
      <w:r>
        <w:t>In a review of public school student/caregiver handbooks last year, the Commission found tha</w:t>
      </w:r>
      <w:r>
        <w:t>t approximately one-fifth of Massachusetts public schools did not include gender identity as a protected class in their handbooks. Furthermore, as discussed below, only 19.4% of Massachusetts schools include gender identity in</w:t>
      </w:r>
      <w:r>
        <w:rPr>
          <w:spacing w:val="-3"/>
        </w:rPr>
        <w:t xml:space="preserve"> </w:t>
      </w:r>
      <w:r>
        <w:t>their</w:t>
      </w:r>
      <w:r>
        <w:rPr>
          <w:spacing w:val="-2"/>
        </w:rPr>
        <w:t xml:space="preserve"> </w:t>
      </w:r>
      <w:r>
        <w:t>district-level policies</w:t>
      </w:r>
      <w:r>
        <w:t>.</w:t>
      </w:r>
      <w:r>
        <w:rPr>
          <w:spacing w:val="-2"/>
        </w:rPr>
        <w:t xml:space="preserve"> </w:t>
      </w:r>
      <w:r>
        <w:t>The</w:t>
      </w:r>
      <w:r>
        <w:rPr>
          <w:spacing w:val="-1"/>
        </w:rPr>
        <w:t xml:space="preserve"> </w:t>
      </w:r>
      <w:r>
        <w:t>Commission advises</w:t>
      </w:r>
      <w:r>
        <w:rPr>
          <w:spacing w:val="-2"/>
        </w:rPr>
        <w:t xml:space="preserve"> </w:t>
      </w:r>
      <w:r>
        <w:t>that</w:t>
      </w:r>
      <w:r>
        <w:rPr>
          <w:spacing w:val="-1"/>
        </w:rPr>
        <w:t xml:space="preserve"> </w:t>
      </w:r>
      <w:r>
        <w:t>schools be required to</w:t>
      </w:r>
      <w:r>
        <w:rPr>
          <w:spacing w:val="-1"/>
        </w:rPr>
        <w:t xml:space="preserve"> </w:t>
      </w:r>
      <w:r>
        <w:t>review all handbooks and policies discussing support for youth in schools to ensure that LGBTQ youth are appropriately reflected.</w:t>
      </w:r>
    </w:p>
    <w:p w:rsidR="00200FDA" w:rsidRDefault="00200FDA">
      <w:pPr>
        <w:pStyle w:val="BodyText"/>
        <w:spacing w:before="9"/>
        <w:rPr>
          <w:sz w:val="32"/>
        </w:rPr>
      </w:pPr>
    </w:p>
    <w:p w:rsidR="00200FDA" w:rsidRDefault="00F76C4C">
      <w:pPr>
        <w:pStyle w:val="Heading9"/>
        <w:numPr>
          <w:ilvl w:val="0"/>
          <w:numId w:val="35"/>
        </w:numPr>
        <w:tabs>
          <w:tab w:val="left" w:pos="380"/>
        </w:tabs>
        <w:ind w:left="139" w:right="134" w:firstLine="0"/>
      </w:pPr>
      <w:r>
        <w:t>Invest in resources for family liaisons, and provide professional develo</w:t>
      </w:r>
      <w:r>
        <w:t>pment opportunities for all school staff related to family engagement and acceptance.</w:t>
      </w:r>
    </w:p>
    <w:p w:rsidR="00200FDA" w:rsidRDefault="00200FDA">
      <w:pPr>
        <w:pStyle w:val="BodyText"/>
        <w:spacing w:before="8"/>
        <w:rPr>
          <w:b/>
          <w:sz w:val="32"/>
        </w:rPr>
      </w:pPr>
    </w:p>
    <w:p w:rsidR="00200FDA" w:rsidRDefault="00F76C4C">
      <w:pPr>
        <w:pStyle w:val="BodyText"/>
        <w:spacing w:before="1"/>
        <w:ind w:left="139" w:right="134"/>
        <w:jc w:val="both"/>
      </w:pPr>
      <w:r>
        <w:t>As discussed further below, LGBTQ youth are</w:t>
      </w:r>
      <w:r>
        <w:rPr>
          <w:spacing w:val="-1"/>
        </w:rPr>
        <w:t xml:space="preserve"> </w:t>
      </w:r>
      <w:r>
        <w:t>significantly less likely</w:t>
      </w:r>
      <w:r>
        <w:rPr>
          <w:spacing w:val="-1"/>
        </w:rPr>
        <w:t xml:space="preserve"> </w:t>
      </w:r>
      <w:r>
        <w:t>to have a caregiver</w:t>
      </w:r>
      <w:r>
        <w:rPr>
          <w:spacing w:val="-2"/>
        </w:rPr>
        <w:t xml:space="preserve"> </w:t>
      </w:r>
      <w:r>
        <w:t>or</w:t>
      </w:r>
      <w:r>
        <w:rPr>
          <w:spacing w:val="-2"/>
        </w:rPr>
        <w:t xml:space="preserve"> </w:t>
      </w:r>
      <w:r>
        <w:t>other adult</w:t>
      </w:r>
      <w:r>
        <w:rPr>
          <w:spacing w:val="-2"/>
        </w:rPr>
        <w:t xml:space="preserve"> </w:t>
      </w:r>
      <w:r>
        <w:t>to talk about things that are important to them compared to heterosexual, cisgender youth. A large role of schools is to partner with families to support youth; some schools have added family liaison roles to partner</w:t>
      </w:r>
      <w:r>
        <w:rPr>
          <w:spacing w:val="-10"/>
        </w:rPr>
        <w:t xml:space="preserve"> </w:t>
      </w:r>
      <w:r>
        <w:t>with</w:t>
      </w:r>
      <w:r>
        <w:rPr>
          <w:spacing w:val="-10"/>
        </w:rPr>
        <w:t xml:space="preserve"> </w:t>
      </w:r>
      <w:r>
        <w:t>families</w:t>
      </w:r>
      <w:r>
        <w:rPr>
          <w:spacing w:val="-11"/>
        </w:rPr>
        <w:t xml:space="preserve"> </w:t>
      </w:r>
      <w:r>
        <w:t>and</w:t>
      </w:r>
      <w:r>
        <w:rPr>
          <w:spacing w:val="-10"/>
        </w:rPr>
        <w:t xml:space="preserve"> </w:t>
      </w:r>
      <w:r>
        <w:t>advise</w:t>
      </w:r>
      <w:r>
        <w:rPr>
          <w:spacing w:val="-11"/>
        </w:rPr>
        <w:t xml:space="preserve"> </w:t>
      </w:r>
      <w:r>
        <w:t>on</w:t>
      </w:r>
      <w:r>
        <w:rPr>
          <w:spacing w:val="-10"/>
        </w:rPr>
        <w:t xml:space="preserve"> </w:t>
      </w:r>
      <w:r>
        <w:t>resources</w:t>
      </w:r>
      <w:r>
        <w:rPr>
          <w:spacing w:val="-11"/>
        </w:rPr>
        <w:t xml:space="preserve"> </w:t>
      </w:r>
      <w:r>
        <w:t>o</w:t>
      </w:r>
      <w:r>
        <w:t>r</w:t>
      </w:r>
      <w:r>
        <w:rPr>
          <w:spacing w:val="-12"/>
        </w:rPr>
        <w:t xml:space="preserve"> </w:t>
      </w:r>
      <w:r>
        <w:t>programs</w:t>
      </w:r>
      <w:r>
        <w:rPr>
          <w:spacing w:val="-11"/>
        </w:rPr>
        <w:t xml:space="preserve"> </w:t>
      </w:r>
      <w:r>
        <w:t>to</w:t>
      </w:r>
      <w:r>
        <w:rPr>
          <w:spacing w:val="-10"/>
        </w:rPr>
        <w:t xml:space="preserve"> </w:t>
      </w:r>
      <w:r>
        <w:t>support</w:t>
      </w:r>
      <w:r>
        <w:rPr>
          <w:spacing w:val="-9"/>
        </w:rPr>
        <w:t xml:space="preserve"> </w:t>
      </w:r>
      <w:r>
        <w:t>students.</w:t>
      </w:r>
      <w:r>
        <w:rPr>
          <w:spacing w:val="-9"/>
        </w:rPr>
        <w:t xml:space="preserve"> </w:t>
      </w:r>
      <w:r>
        <w:t>However,</w:t>
      </w:r>
      <w:r>
        <w:rPr>
          <w:spacing w:val="-9"/>
        </w:rPr>
        <w:t xml:space="preserve"> </w:t>
      </w:r>
      <w:r>
        <w:t>as</w:t>
      </w:r>
      <w:r>
        <w:rPr>
          <w:spacing w:val="-13"/>
        </w:rPr>
        <w:t xml:space="preserve"> </w:t>
      </w:r>
      <w:r>
        <w:t>more</w:t>
      </w:r>
      <w:r>
        <w:rPr>
          <w:spacing w:val="-8"/>
        </w:rPr>
        <w:t xml:space="preserve"> </w:t>
      </w:r>
      <w:r>
        <w:t>schools begin</w:t>
      </w:r>
      <w:r>
        <w:rPr>
          <w:spacing w:val="-5"/>
        </w:rPr>
        <w:t xml:space="preserve"> </w:t>
      </w:r>
      <w:r>
        <w:t>to</w:t>
      </w:r>
      <w:r>
        <w:rPr>
          <w:spacing w:val="-6"/>
        </w:rPr>
        <w:t xml:space="preserve"> </w:t>
      </w:r>
      <w:r>
        <w:t>follow</w:t>
      </w:r>
      <w:r>
        <w:rPr>
          <w:spacing w:val="-6"/>
        </w:rPr>
        <w:t xml:space="preserve"> </w:t>
      </w:r>
      <w:r>
        <w:t>this</w:t>
      </w:r>
      <w:r>
        <w:rPr>
          <w:spacing w:val="-7"/>
        </w:rPr>
        <w:t xml:space="preserve"> </w:t>
      </w:r>
      <w:r>
        <w:t>model</w:t>
      </w:r>
      <w:r>
        <w:rPr>
          <w:spacing w:val="-7"/>
        </w:rPr>
        <w:t xml:space="preserve"> </w:t>
      </w:r>
      <w:r>
        <w:t>and</w:t>
      </w:r>
      <w:r>
        <w:rPr>
          <w:spacing w:val="-5"/>
        </w:rPr>
        <w:t xml:space="preserve"> </w:t>
      </w:r>
      <w:r>
        <w:t>hire</w:t>
      </w:r>
      <w:r>
        <w:rPr>
          <w:spacing w:val="-4"/>
        </w:rPr>
        <w:t xml:space="preserve"> </w:t>
      </w:r>
      <w:r>
        <w:t>family</w:t>
      </w:r>
      <w:r>
        <w:rPr>
          <w:spacing w:val="-4"/>
        </w:rPr>
        <w:t xml:space="preserve"> </w:t>
      </w:r>
      <w:r>
        <w:t>liaisons,</w:t>
      </w:r>
      <w:r>
        <w:rPr>
          <w:spacing w:val="-7"/>
        </w:rPr>
        <w:t xml:space="preserve"> </w:t>
      </w:r>
      <w:r>
        <w:t>the</w:t>
      </w:r>
      <w:r>
        <w:rPr>
          <w:spacing w:val="-6"/>
        </w:rPr>
        <w:t xml:space="preserve"> </w:t>
      </w:r>
      <w:r>
        <w:t>Commission</w:t>
      </w:r>
      <w:r>
        <w:rPr>
          <w:spacing w:val="-5"/>
        </w:rPr>
        <w:t xml:space="preserve"> </w:t>
      </w:r>
      <w:r>
        <w:t>advises</w:t>
      </w:r>
      <w:r>
        <w:rPr>
          <w:spacing w:val="-6"/>
        </w:rPr>
        <w:t xml:space="preserve"> </w:t>
      </w:r>
      <w:r>
        <w:t>that</w:t>
      </w:r>
      <w:r>
        <w:rPr>
          <w:spacing w:val="-4"/>
        </w:rPr>
        <w:t xml:space="preserve"> </w:t>
      </w:r>
      <w:r>
        <w:t>these</w:t>
      </w:r>
      <w:r>
        <w:rPr>
          <w:spacing w:val="-4"/>
        </w:rPr>
        <w:t xml:space="preserve"> </w:t>
      </w:r>
      <w:r>
        <w:t>staff</w:t>
      </w:r>
      <w:r>
        <w:rPr>
          <w:spacing w:val="-4"/>
        </w:rPr>
        <w:t xml:space="preserve"> </w:t>
      </w:r>
      <w:r>
        <w:t>are</w:t>
      </w:r>
      <w:r>
        <w:rPr>
          <w:spacing w:val="-4"/>
        </w:rPr>
        <w:t xml:space="preserve"> </w:t>
      </w:r>
      <w:r>
        <w:t xml:space="preserve">supported with professional development opportunities on how best to support and affirm LGBTQ youth and their </w:t>
      </w:r>
      <w:r>
        <w:rPr>
          <w:spacing w:val="-2"/>
        </w:rPr>
        <w:t>families.</w:t>
      </w:r>
    </w:p>
    <w:p w:rsidR="00200FDA" w:rsidRDefault="00200FDA">
      <w:pPr>
        <w:pStyle w:val="BodyText"/>
        <w:spacing w:before="9"/>
        <w:rPr>
          <w:sz w:val="32"/>
        </w:rPr>
      </w:pPr>
    </w:p>
    <w:p w:rsidR="00200FDA" w:rsidRDefault="00F76C4C">
      <w:pPr>
        <w:pStyle w:val="Heading9"/>
        <w:numPr>
          <w:ilvl w:val="0"/>
          <w:numId w:val="35"/>
        </w:numPr>
        <w:tabs>
          <w:tab w:val="left" w:pos="392"/>
        </w:tabs>
        <w:ind w:left="139" w:right="134" w:firstLine="0"/>
      </w:pPr>
      <w:r>
        <w:t>Provide</w:t>
      </w:r>
      <w:r>
        <w:rPr>
          <w:spacing w:val="25"/>
        </w:rPr>
        <w:t xml:space="preserve"> </w:t>
      </w:r>
      <w:r>
        <w:t>scenario-based,</w:t>
      </w:r>
      <w:r>
        <w:rPr>
          <w:spacing w:val="26"/>
        </w:rPr>
        <w:t xml:space="preserve"> </w:t>
      </w:r>
      <w:r>
        <w:t>interactive</w:t>
      </w:r>
      <w:r>
        <w:rPr>
          <w:spacing w:val="25"/>
        </w:rPr>
        <w:t xml:space="preserve"> </w:t>
      </w:r>
      <w:r>
        <w:t>trainings</w:t>
      </w:r>
      <w:r>
        <w:rPr>
          <w:spacing w:val="26"/>
        </w:rPr>
        <w:t xml:space="preserve"> </w:t>
      </w:r>
      <w:r>
        <w:t>on</w:t>
      </w:r>
      <w:r>
        <w:rPr>
          <w:spacing w:val="25"/>
        </w:rPr>
        <w:t xml:space="preserve"> </w:t>
      </w:r>
      <w:r>
        <w:t>intervention</w:t>
      </w:r>
      <w:r>
        <w:rPr>
          <w:spacing w:val="25"/>
        </w:rPr>
        <w:t xml:space="preserve"> </w:t>
      </w:r>
      <w:r>
        <w:t>into</w:t>
      </w:r>
      <w:r>
        <w:rPr>
          <w:spacing w:val="24"/>
        </w:rPr>
        <w:t xml:space="preserve"> </w:t>
      </w:r>
      <w:r>
        <w:t>bullying,</w:t>
      </w:r>
      <w:r>
        <w:rPr>
          <w:spacing w:val="24"/>
        </w:rPr>
        <w:t xml:space="preserve"> </w:t>
      </w:r>
      <w:r>
        <w:t>and</w:t>
      </w:r>
      <w:r>
        <w:rPr>
          <w:spacing w:val="25"/>
        </w:rPr>
        <w:t xml:space="preserve"> </w:t>
      </w:r>
      <w:r>
        <w:t>guidance</w:t>
      </w:r>
      <w:r>
        <w:rPr>
          <w:spacing w:val="25"/>
        </w:rPr>
        <w:t xml:space="preserve"> </w:t>
      </w:r>
      <w:r>
        <w:t>on</w:t>
      </w:r>
      <w:r>
        <w:rPr>
          <w:spacing w:val="25"/>
        </w:rPr>
        <w:t xml:space="preserve"> </w:t>
      </w:r>
      <w:r>
        <w:t>how school staff can support victims of bu</w:t>
      </w:r>
      <w:r>
        <w:t>llying in schools.</w:t>
      </w:r>
    </w:p>
    <w:p w:rsidR="00200FDA" w:rsidRDefault="00200FDA">
      <w:pPr>
        <w:sectPr w:rsidR="00200FDA">
          <w:pgSz w:w="12240" w:h="15840"/>
          <w:pgMar w:top="1360" w:right="1300" w:bottom="1380" w:left="1300" w:header="761" w:footer="1132" w:gutter="0"/>
          <w:cols w:space="720"/>
        </w:sectPr>
      </w:pPr>
    </w:p>
    <w:p w:rsidR="00200FDA" w:rsidRDefault="00F76C4C">
      <w:pPr>
        <w:pStyle w:val="BodyText"/>
        <w:spacing w:before="64"/>
        <w:ind w:left="140" w:right="136"/>
        <w:jc w:val="both"/>
      </w:pPr>
      <w:r>
        <w:lastRenderedPageBreak/>
        <w:t>For many</w:t>
      </w:r>
      <w:r>
        <w:rPr>
          <w:spacing w:val="-1"/>
        </w:rPr>
        <w:t xml:space="preserve"> </w:t>
      </w:r>
      <w:r>
        <w:t>years, the Commission has</w:t>
      </w:r>
      <w:r>
        <w:rPr>
          <w:spacing w:val="-2"/>
        </w:rPr>
        <w:t xml:space="preserve"> </w:t>
      </w:r>
      <w:r>
        <w:t>worked with schools, educators, and youth</w:t>
      </w:r>
      <w:r>
        <w:rPr>
          <w:spacing w:val="-3"/>
        </w:rPr>
        <w:t xml:space="preserve"> </w:t>
      </w:r>
      <w:r>
        <w:t>to address anti-bullying against LGBTQ youth in schools. However, as highlighted in the MYRBS 2021 Analysis, bullying remains</w:t>
      </w:r>
      <w:r>
        <w:rPr>
          <w:spacing w:val="-2"/>
        </w:rPr>
        <w:t xml:space="preserve"> </w:t>
      </w:r>
      <w:r>
        <w:t xml:space="preserve">a core issue for LGBTQ youth in public schools across Massachusetts. The Commission recommends that schools continue to provide interactive trainings on how to intervene in bullying incidents, as well as provide education on how youth can prevent bullying </w:t>
      </w:r>
      <w:r>
        <w:t>and discrimination in schools with particular attention to supporting neurodivergent and disabled youth. Further recommendations around bullying are provided in the public health section of this annual report.</w:t>
      </w:r>
    </w:p>
    <w:p w:rsidR="00200FDA" w:rsidRDefault="00200FDA">
      <w:pPr>
        <w:pStyle w:val="BodyText"/>
        <w:spacing w:before="9"/>
        <w:rPr>
          <w:sz w:val="32"/>
        </w:rPr>
      </w:pPr>
    </w:p>
    <w:p w:rsidR="00200FDA" w:rsidRDefault="00F76C4C">
      <w:pPr>
        <w:pStyle w:val="BodyText"/>
        <w:ind w:left="139" w:right="134"/>
        <w:jc w:val="both"/>
      </w:pPr>
      <w:r>
        <w:t>Additionally,</w:t>
      </w:r>
      <w:r>
        <w:rPr>
          <w:spacing w:val="-7"/>
        </w:rPr>
        <w:t xml:space="preserve"> </w:t>
      </w:r>
      <w:r>
        <w:t>the</w:t>
      </w:r>
      <w:r>
        <w:rPr>
          <w:spacing w:val="-8"/>
        </w:rPr>
        <w:t xml:space="preserve"> </w:t>
      </w:r>
      <w:r>
        <w:t>Commission</w:t>
      </w:r>
      <w:r>
        <w:rPr>
          <w:spacing w:val="-7"/>
        </w:rPr>
        <w:t xml:space="preserve"> </w:t>
      </w:r>
      <w:r>
        <w:t>advises</w:t>
      </w:r>
      <w:r>
        <w:rPr>
          <w:spacing w:val="-7"/>
        </w:rPr>
        <w:t xml:space="preserve"> </w:t>
      </w:r>
      <w:r>
        <w:t>that</w:t>
      </w:r>
      <w:r>
        <w:rPr>
          <w:spacing w:val="-6"/>
        </w:rPr>
        <w:t xml:space="preserve"> </w:t>
      </w:r>
      <w:r>
        <w:t>sch</w:t>
      </w:r>
      <w:r>
        <w:t>ools</w:t>
      </w:r>
      <w:r>
        <w:rPr>
          <w:spacing w:val="-7"/>
        </w:rPr>
        <w:t xml:space="preserve"> </w:t>
      </w:r>
      <w:r>
        <w:t>should</w:t>
      </w:r>
      <w:r>
        <w:rPr>
          <w:spacing w:val="-7"/>
        </w:rPr>
        <w:t xml:space="preserve"> </w:t>
      </w:r>
      <w:r>
        <w:t>be</w:t>
      </w:r>
      <w:r>
        <w:rPr>
          <w:spacing w:val="-6"/>
        </w:rPr>
        <w:t xml:space="preserve"> </w:t>
      </w:r>
      <w:r>
        <w:t>required</w:t>
      </w:r>
      <w:r>
        <w:rPr>
          <w:spacing w:val="-7"/>
        </w:rPr>
        <w:t xml:space="preserve"> </w:t>
      </w:r>
      <w:r>
        <w:t>to</w:t>
      </w:r>
      <w:r>
        <w:rPr>
          <w:spacing w:val="-5"/>
        </w:rPr>
        <w:t xml:space="preserve"> </w:t>
      </w:r>
      <w:r>
        <w:t>adopt</w:t>
      </w:r>
      <w:r>
        <w:rPr>
          <w:spacing w:val="-6"/>
        </w:rPr>
        <w:t xml:space="preserve"> </w:t>
      </w:r>
      <w:r>
        <w:t>policies</w:t>
      </w:r>
      <w:r>
        <w:rPr>
          <w:spacing w:val="-7"/>
        </w:rPr>
        <w:t xml:space="preserve"> </w:t>
      </w:r>
      <w:r>
        <w:t>on</w:t>
      </w:r>
      <w:r>
        <w:rPr>
          <w:spacing w:val="-7"/>
        </w:rPr>
        <w:t xml:space="preserve"> </w:t>
      </w:r>
      <w:r>
        <w:t>student</w:t>
      </w:r>
      <w:r>
        <w:rPr>
          <w:spacing w:val="-6"/>
        </w:rPr>
        <w:t xml:space="preserve"> </w:t>
      </w:r>
      <w:r>
        <w:t>suicide prevention, intervention, and postvention support. Such policies should specifically address groups at a higher risk of bullying, discrimination, and violence, including LGBTQ youth.</w:t>
      </w:r>
    </w:p>
    <w:p w:rsidR="00200FDA" w:rsidRDefault="00200FDA">
      <w:pPr>
        <w:pStyle w:val="BodyText"/>
        <w:spacing w:before="8"/>
        <w:rPr>
          <w:sz w:val="32"/>
        </w:rPr>
      </w:pPr>
    </w:p>
    <w:p w:rsidR="00200FDA" w:rsidRDefault="00F76C4C">
      <w:pPr>
        <w:pStyle w:val="Heading9"/>
        <w:numPr>
          <w:ilvl w:val="0"/>
          <w:numId w:val="35"/>
        </w:numPr>
        <w:tabs>
          <w:tab w:val="left" w:pos="364"/>
        </w:tabs>
        <w:ind w:left="363" w:hanging="225"/>
      </w:pPr>
      <w:r>
        <w:t>Mandate</w:t>
      </w:r>
      <w:r>
        <w:rPr>
          <w:spacing w:val="-7"/>
        </w:rPr>
        <w:t xml:space="preserve"> </w:t>
      </w:r>
      <w:r>
        <w:t>ann</w:t>
      </w:r>
      <w:r>
        <w:t>ual</w:t>
      </w:r>
      <w:r>
        <w:rPr>
          <w:spacing w:val="-5"/>
        </w:rPr>
        <w:t xml:space="preserve"> </w:t>
      </w:r>
      <w:r>
        <w:t>professional</w:t>
      </w:r>
      <w:r>
        <w:rPr>
          <w:spacing w:val="-4"/>
        </w:rPr>
        <w:t xml:space="preserve"> </w:t>
      </w:r>
      <w:r>
        <w:t>development</w:t>
      </w:r>
      <w:r>
        <w:rPr>
          <w:spacing w:val="-6"/>
        </w:rPr>
        <w:t xml:space="preserve"> </w:t>
      </w:r>
      <w:r>
        <w:t>for</w:t>
      </w:r>
      <w:r>
        <w:rPr>
          <w:spacing w:val="-7"/>
        </w:rPr>
        <w:t xml:space="preserve"> </w:t>
      </w:r>
      <w:r>
        <w:t>all</w:t>
      </w:r>
      <w:r>
        <w:rPr>
          <w:spacing w:val="-9"/>
        </w:rPr>
        <w:t xml:space="preserve"> </w:t>
      </w:r>
      <w:r>
        <w:rPr>
          <w:spacing w:val="-2"/>
        </w:rPr>
        <w:t>educators.</w:t>
      </w:r>
    </w:p>
    <w:p w:rsidR="00200FDA" w:rsidRDefault="00200FDA">
      <w:pPr>
        <w:pStyle w:val="BodyText"/>
        <w:spacing w:before="11"/>
        <w:rPr>
          <w:b/>
          <w:sz w:val="32"/>
        </w:rPr>
      </w:pPr>
    </w:p>
    <w:p w:rsidR="00200FDA" w:rsidRDefault="00F76C4C">
      <w:pPr>
        <w:pStyle w:val="BodyText"/>
        <w:ind w:left="139" w:right="132"/>
        <w:jc w:val="both"/>
      </w:pPr>
      <w:r>
        <w:t>The</w:t>
      </w:r>
      <w:r>
        <w:rPr>
          <w:spacing w:val="-13"/>
        </w:rPr>
        <w:t xml:space="preserve"> </w:t>
      </w:r>
      <w:r>
        <w:t>Commission</w:t>
      </w:r>
      <w:r>
        <w:rPr>
          <w:spacing w:val="-12"/>
        </w:rPr>
        <w:t xml:space="preserve"> </w:t>
      </w:r>
      <w:r>
        <w:t>recommends</w:t>
      </w:r>
      <w:r>
        <w:rPr>
          <w:spacing w:val="-11"/>
        </w:rPr>
        <w:t xml:space="preserve"> </w:t>
      </w:r>
      <w:r>
        <w:t>that</w:t>
      </w:r>
      <w:r>
        <w:rPr>
          <w:spacing w:val="-11"/>
        </w:rPr>
        <w:t xml:space="preserve"> </w:t>
      </w:r>
      <w:r>
        <w:t>schools</w:t>
      </w:r>
      <w:r>
        <w:rPr>
          <w:spacing w:val="-11"/>
        </w:rPr>
        <w:t xml:space="preserve"> </w:t>
      </w:r>
      <w:r>
        <w:t>at</w:t>
      </w:r>
      <w:r>
        <w:rPr>
          <w:spacing w:val="-13"/>
        </w:rPr>
        <w:t xml:space="preserve"> </w:t>
      </w:r>
      <w:r>
        <w:t>all</w:t>
      </w:r>
      <w:r>
        <w:rPr>
          <w:spacing w:val="-11"/>
        </w:rPr>
        <w:t xml:space="preserve"> </w:t>
      </w:r>
      <w:r>
        <w:t>levels</w:t>
      </w:r>
      <w:r>
        <w:rPr>
          <w:spacing w:val="-13"/>
        </w:rPr>
        <w:t xml:space="preserve"> </w:t>
      </w:r>
      <w:r>
        <w:t>develop</w:t>
      </w:r>
      <w:r>
        <w:rPr>
          <w:spacing w:val="-11"/>
        </w:rPr>
        <w:t xml:space="preserve"> </w:t>
      </w:r>
      <w:r>
        <w:t>strategic</w:t>
      </w:r>
      <w:r>
        <w:rPr>
          <w:spacing w:val="-13"/>
        </w:rPr>
        <w:t xml:space="preserve"> </w:t>
      </w:r>
      <w:r>
        <w:t>plans</w:t>
      </w:r>
      <w:r>
        <w:rPr>
          <w:spacing w:val="-10"/>
        </w:rPr>
        <w:t xml:space="preserve"> </w:t>
      </w:r>
      <w:r>
        <w:t>to</w:t>
      </w:r>
      <w:r>
        <w:rPr>
          <w:spacing w:val="-13"/>
        </w:rPr>
        <w:t xml:space="preserve"> </w:t>
      </w:r>
      <w:r>
        <w:t>address</w:t>
      </w:r>
      <w:r>
        <w:rPr>
          <w:spacing w:val="-10"/>
        </w:rPr>
        <w:t xml:space="preserve"> </w:t>
      </w:r>
      <w:r>
        <w:t>goals</w:t>
      </w:r>
      <w:r>
        <w:rPr>
          <w:spacing w:val="-13"/>
        </w:rPr>
        <w:t xml:space="preserve"> </w:t>
      </w:r>
      <w:r>
        <w:t>for</w:t>
      </w:r>
      <w:r>
        <w:rPr>
          <w:spacing w:val="-12"/>
        </w:rPr>
        <w:t xml:space="preserve"> </w:t>
      </w:r>
      <w:r>
        <w:t xml:space="preserve">LGBTQ- inclusivity in all areas, as well as training plans for all staff and educators on empathy building, inclusive </w:t>
      </w:r>
      <w:r>
        <w:rPr>
          <w:spacing w:val="-2"/>
        </w:rPr>
        <w:t xml:space="preserve">curriculum, skills building for support, student leadership and development, and policy development. Such </w:t>
      </w:r>
      <w:r>
        <w:t>plans should be attentive to the</w:t>
      </w:r>
      <w:r>
        <w:t xml:space="preserve"> unique needs often faced by QTBIPOC students, and should solicit feedback from students and families.</w:t>
      </w:r>
    </w:p>
    <w:p w:rsidR="00200FDA" w:rsidRDefault="00200FDA">
      <w:pPr>
        <w:pStyle w:val="BodyText"/>
      </w:pPr>
    </w:p>
    <w:p w:rsidR="00200FDA" w:rsidRDefault="00200FDA">
      <w:pPr>
        <w:pStyle w:val="BodyText"/>
      </w:pPr>
    </w:p>
    <w:p w:rsidR="00200FDA" w:rsidRDefault="00200FDA">
      <w:pPr>
        <w:pStyle w:val="BodyText"/>
        <w:spacing w:before="11"/>
        <w:rPr>
          <w:sz w:val="16"/>
        </w:rPr>
      </w:pPr>
    </w:p>
    <w:p w:rsidR="00200FDA" w:rsidRDefault="00F76C4C">
      <w:pPr>
        <w:pStyle w:val="Heading7"/>
        <w:ind w:left="140"/>
        <w:jc w:val="both"/>
      </w:pPr>
      <w:r>
        <w:pict>
          <v:rect id="docshape191" o:spid="_x0000_s1369" style="position:absolute;left:0;text-align:left;margin-left:70.55pt;margin-top:18pt;width:470.9pt;height:.5pt;z-index:-15713280;mso-wrap-distance-left:0;mso-wrap-distance-right:0;mso-position-horizontal-relative:page" fillcolor="#4f81bc" stroked="f">
            <w10:wrap type="topAndBottom" anchorx="page"/>
          </v:rect>
        </w:pict>
      </w:r>
      <w:bookmarkStart w:id="111" w:name="Research:_Uplifting_LGBTQ_Youth_in_Schoo"/>
      <w:bookmarkEnd w:id="111"/>
      <w:r>
        <w:rPr>
          <w:color w:val="365F91"/>
        </w:rPr>
        <w:t>Research:</w:t>
      </w:r>
      <w:r>
        <w:rPr>
          <w:color w:val="365F91"/>
          <w:spacing w:val="-9"/>
        </w:rPr>
        <w:t xml:space="preserve"> </w:t>
      </w:r>
      <w:r>
        <w:rPr>
          <w:color w:val="365F91"/>
        </w:rPr>
        <w:t>Uplifting</w:t>
      </w:r>
      <w:r>
        <w:rPr>
          <w:color w:val="365F91"/>
          <w:spacing w:val="-6"/>
        </w:rPr>
        <w:t xml:space="preserve"> </w:t>
      </w:r>
      <w:r>
        <w:rPr>
          <w:color w:val="365F91"/>
        </w:rPr>
        <w:t>LGBTQ</w:t>
      </w:r>
      <w:r>
        <w:rPr>
          <w:color w:val="365F91"/>
          <w:spacing w:val="-5"/>
        </w:rPr>
        <w:t xml:space="preserve"> </w:t>
      </w:r>
      <w:r>
        <w:rPr>
          <w:color w:val="365F91"/>
        </w:rPr>
        <w:t>Youth</w:t>
      </w:r>
      <w:r>
        <w:rPr>
          <w:color w:val="365F91"/>
          <w:spacing w:val="-7"/>
        </w:rPr>
        <w:t xml:space="preserve"> </w:t>
      </w:r>
      <w:r>
        <w:rPr>
          <w:color w:val="365F91"/>
        </w:rPr>
        <w:t>in</w:t>
      </w:r>
      <w:r>
        <w:rPr>
          <w:color w:val="365F91"/>
          <w:spacing w:val="-6"/>
        </w:rPr>
        <w:t xml:space="preserve"> </w:t>
      </w:r>
      <w:r>
        <w:rPr>
          <w:color w:val="365F91"/>
          <w:spacing w:val="-2"/>
        </w:rPr>
        <w:t>Schools</w:t>
      </w:r>
    </w:p>
    <w:p w:rsidR="00200FDA" w:rsidRDefault="00200FDA">
      <w:pPr>
        <w:pStyle w:val="BodyText"/>
        <w:spacing w:before="4"/>
        <w:rPr>
          <w:sz w:val="18"/>
        </w:rPr>
      </w:pPr>
    </w:p>
    <w:p w:rsidR="00200FDA" w:rsidRDefault="00F76C4C">
      <w:pPr>
        <w:pStyle w:val="BodyText"/>
        <w:spacing w:before="56" w:line="264" w:lineRule="auto"/>
        <w:ind w:left="720" w:right="720" w:hanging="2"/>
        <w:jc w:val="center"/>
      </w:pPr>
      <w:r>
        <w:rPr>
          <w:color w:val="4F81BC"/>
        </w:rPr>
        <w:t>“I have been very impacted by the anti-trans and anti-LGBTQ legislation around the</w:t>
      </w:r>
      <w:r>
        <w:rPr>
          <w:color w:val="4F81BC"/>
          <w:spacing w:val="40"/>
        </w:rPr>
        <w:t xml:space="preserve"> </w:t>
      </w:r>
      <w:r>
        <w:rPr>
          <w:color w:val="4F81BC"/>
        </w:rPr>
        <w:t>country,</w:t>
      </w:r>
      <w:r>
        <w:rPr>
          <w:color w:val="4F81BC"/>
          <w:spacing w:val="-2"/>
        </w:rPr>
        <w:t xml:space="preserve"> </w:t>
      </w:r>
      <w:r>
        <w:rPr>
          <w:color w:val="4F81BC"/>
        </w:rPr>
        <w:t>even</w:t>
      </w:r>
      <w:r>
        <w:rPr>
          <w:color w:val="4F81BC"/>
          <w:spacing w:val="-5"/>
        </w:rPr>
        <w:t xml:space="preserve"> </w:t>
      </w:r>
      <w:r>
        <w:rPr>
          <w:color w:val="4F81BC"/>
        </w:rPr>
        <w:t>though</w:t>
      </w:r>
      <w:r>
        <w:rPr>
          <w:color w:val="4F81BC"/>
          <w:spacing w:val="-3"/>
        </w:rPr>
        <w:t xml:space="preserve"> </w:t>
      </w:r>
      <w:r>
        <w:rPr>
          <w:color w:val="4F81BC"/>
        </w:rPr>
        <w:t>I</w:t>
      </w:r>
      <w:r>
        <w:rPr>
          <w:color w:val="4F81BC"/>
          <w:spacing w:val="-2"/>
        </w:rPr>
        <w:t xml:space="preserve"> </w:t>
      </w:r>
      <w:r>
        <w:rPr>
          <w:color w:val="4F81BC"/>
        </w:rPr>
        <w:t>live</w:t>
      </w:r>
      <w:r>
        <w:rPr>
          <w:color w:val="4F81BC"/>
          <w:spacing w:val="-4"/>
        </w:rPr>
        <w:t xml:space="preserve"> </w:t>
      </w:r>
      <w:r>
        <w:rPr>
          <w:color w:val="4F81BC"/>
        </w:rPr>
        <w:t>in</w:t>
      </w:r>
      <w:r>
        <w:rPr>
          <w:color w:val="4F81BC"/>
          <w:spacing w:val="-3"/>
        </w:rPr>
        <w:t xml:space="preserve"> </w:t>
      </w:r>
      <w:r>
        <w:rPr>
          <w:color w:val="4F81BC"/>
        </w:rPr>
        <w:t>MA.</w:t>
      </w:r>
      <w:r>
        <w:rPr>
          <w:color w:val="4F81BC"/>
          <w:spacing w:val="-2"/>
        </w:rPr>
        <w:t xml:space="preserve"> </w:t>
      </w:r>
      <w:r>
        <w:rPr>
          <w:color w:val="4F81BC"/>
        </w:rPr>
        <w:t>I</w:t>
      </w:r>
      <w:r>
        <w:rPr>
          <w:color w:val="4F81BC"/>
          <w:spacing w:val="-2"/>
        </w:rPr>
        <w:t xml:space="preserve"> </w:t>
      </w:r>
      <w:r>
        <w:rPr>
          <w:color w:val="4F81BC"/>
        </w:rPr>
        <w:t>have</w:t>
      </w:r>
      <w:r>
        <w:rPr>
          <w:color w:val="4F81BC"/>
          <w:spacing w:val="-1"/>
        </w:rPr>
        <w:t xml:space="preserve"> </w:t>
      </w:r>
      <w:r>
        <w:rPr>
          <w:color w:val="4F81BC"/>
        </w:rPr>
        <w:t>friends</w:t>
      </w:r>
      <w:r>
        <w:rPr>
          <w:color w:val="4F81BC"/>
          <w:spacing w:val="-2"/>
        </w:rPr>
        <w:t xml:space="preserve"> </w:t>
      </w:r>
      <w:r>
        <w:rPr>
          <w:color w:val="4F81BC"/>
        </w:rPr>
        <w:t>in</w:t>
      </w:r>
      <w:r>
        <w:rPr>
          <w:color w:val="4F81BC"/>
          <w:spacing w:val="-3"/>
        </w:rPr>
        <w:t xml:space="preserve"> </w:t>
      </w:r>
      <w:r>
        <w:rPr>
          <w:color w:val="4F81BC"/>
        </w:rPr>
        <w:t>dozens</w:t>
      </w:r>
      <w:r>
        <w:rPr>
          <w:color w:val="4F81BC"/>
          <w:spacing w:val="-2"/>
        </w:rPr>
        <w:t xml:space="preserve"> </w:t>
      </w:r>
      <w:r>
        <w:rPr>
          <w:color w:val="4F81BC"/>
        </w:rPr>
        <w:t>of</w:t>
      </w:r>
      <w:r>
        <w:rPr>
          <w:color w:val="4F81BC"/>
          <w:spacing w:val="-4"/>
        </w:rPr>
        <w:t xml:space="preserve"> </w:t>
      </w:r>
      <w:r>
        <w:rPr>
          <w:color w:val="4F81BC"/>
        </w:rPr>
        <w:t>states</w:t>
      </w:r>
      <w:r>
        <w:rPr>
          <w:color w:val="4F81BC"/>
          <w:spacing w:val="-2"/>
        </w:rPr>
        <w:t xml:space="preserve"> </w:t>
      </w:r>
      <w:r>
        <w:rPr>
          <w:color w:val="4F81BC"/>
        </w:rPr>
        <w:t>around</w:t>
      </w:r>
      <w:r>
        <w:rPr>
          <w:color w:val="4F81BC"/>
          <w:spacing w:val="-3"/>
        </w:rPr>
        <w:t xml:space="preserve"> </w:t>
      </w:r>
      <w:r>
        <w:rPr>
          <w:color w:val="4F81BC"/>
        </w:rPr>
        <w:t>the</w:t>
      </w:r>
      <w:r>
        <w:rPr>
          <w:color w:val="4F81BC"/>
          <w:spacing w:val="-4"/>
        </w:rPr>
        <w:t xml:space="preserve"> </w:t>
      </w:r>
      <w:r>
        <w:rPr>
          <w:color w:val="4F81BC"/>
        </w:rPr>
        <w:t>country.</w:t>
      </w:r>
      <w:r>
        <w:rPr>
          <w:color w:val="4F81BC"/>
          <w:spacing w:val="-2"/>
        </w:rPr>
        <w:t xml:space="preserve"> </w:t>
      </w:r>
      <w:r>
        <w:rPr>
          <w:color w:val="4F81BC"/>
        </w:rPr>
        <w:t>I’ve connected with a mother who lost her son to suicide in the past year due to fear of anti- trans legislation. This is a horrific reality to be living in,</w:t>
      </w:r>
      <w:r>
        <w:rPr>
          <w:color w:val="4F81BC"/>
          <w:spacing w:val="-1"/>
        </w:rPr>
        <w:t xml:space="preserve"> </w:t>
      </w:r>
      <w:r>
        <w:rPr>
          <w:color w:val="4F81BC"/>
        </w:rPr>
        <w:t>and many students’</w:t>
      </w:r>
      <w:r>
        <w:rPr>
          <w:color w:val="4F81BC"/>
          <w:spacing w:val="-1"/>
        </w:rPr>
        <w:t xml:space="preserve"> </w:t>
      </w:r>
      <w:r>
        <w:rPr>
          <w:color w:val="4F81BC"/>
        </w:rPr>
        <w:t>mental health is affected by current events and politics.” - Alia, 17</w:t>
      </w:r>
    </w:p>
    <w:p w:rsidR="00200FDA" w:rsidRDefault="00200FDA">
      <w:pPr>
        <w:pStyle w:val="BodyText"/>
      </w:pPr>
    </w:p>
    <w:p w:rsidR="00200FDA" w:rsidRDefault="00200FDA">
      <w:pPr>
        <w:pStyle w:val="BodyText"/>
        <w:spacing w:before="9"/>
        <w:rPr>
          <w:sz w:val="21"/>
        </w:rPr>
      </w:pPr>
    </w:p>
    <w:p w:rsidR="00200FDA" w:rsidRDefault="00F76C4C">
      <w:pPr>
        <w:pStyle w:val="Heading8"/>
        <w:spacing w:before="1"/>
      </w:pPr>
      <w:bookmarkStart w:id="112" w:name="National_Data"/>
      <w:bookmarkEnd w:id="112"/>
      <w:r>
        <w:rPr>
          <w:color w:val="365F91"/>
        </w:rPr>
        <w:t>National</w:t>
      </w:r>
      <w:r>
        <w:rPr>
          <w:color w:val="365F91"/>
          <w:spacing w:val="-3"/>
        </w:rPr>
        <w:t xml:space="preserve"> </w:t>
      </w:r>
      <w:r>
        <w:rPr>
          <w:color w:val="365F91"/>
          <w:spacing w:val="-4"/>
        </w:rPr>
        <w:t>Data</w:t>
      </w:r>
    </w:p>
    <w:p w:rsidR="00200FDA" w:rsidRDefault="00200FDA">
      <w:pPr>
        <w:pStyle w:val="BodyText"/>
        <w:spacing w:before="7"/>
        <w:rPr>
          <w:sz w:val="32"/>
        </w:rPr>
      </w:pPr>
    </w:p>
    <w:p w:rsidR="00200FDA" w:rsidRDefault="00F76C4C">
      <w:pPr>
        <w:pStyle w:val="BodyText"/>
        <w:ind w:left="139" w:right="134"/>
        <w:jc w:val="both"/>
      </w:pPr>
      <w:r>
        <w:t>GLSEN’s National School Climate Survey provides data every two years about issues impacting LGBTQ youth in schools. The 2021 report highlights what policies and practice</w:t>
      </w:r>
      <w:r>
        <w:t>s work well to create a more positive school climate and better outcomes for LGBTQ students, ranging from school attendance and academic achievement to mental health and more. A specific snapshot of Massachusetts students highlights</w:t>
      </w:r>
      <w:r>
        <w:rPr>
          <w:spacing w:val="-11"/>
        </w:rPr>
        <w:t xml:space="preserve"> </w:t>
      </w:r>
      <w:r>
        <w:t>the</w:t>
      </w:r>
      <w:r>
        <w:rPr>
          <w:spacing w:val="-10"/>
        </w:rPr>
        <w:t xml:space="preserve"> </w:t>
      </w:r>
      <w:r>
        <w:t>challenges</w:t>
      </w:r>
      <w:r>
        <w:rPr>
          <w:spacing w:val="-10"/>
        </w:rPr>
        <w:t xml:space="preserve"> </w:t>
      </w:r>
      <w:r>
        <w:t>faced</w:t>
      </w:r>
      <w:r>
        <w:rPr>
          <w:spacing w:val="-11"/>
        </w:rPr>
        <w:t xml:space="preserve"> </w:t>
      </w:r>
      <w:r>
        <w:t>by</w:t>
      </w:r>
      <w:r>
        <w:rPr>
          <w:spacing w:val="-10"/>
        </w:rPr>
        <w:t xml:space="preserve"> </w:t>
      </w:r>
      <w:r>
        <w:t>LGBTQ</w:t>
      </w:r>
      <w:r>
        <w:rPr>
          <w:spacing w:val="-10"/>
        </w:rPr>
        <w:t xml:space="preserve"> </w:t>
      </w:r>
      <w:r>
        <w:t>students</w:t>
      </w:r>
      <w:r>
        <w:rPr>
          <w:spacing w:val="-10"/>
        </w:rPr>
        <w:t xml:space="preserve"> </w:t>
      </w:r>
      <w:r>
        <w:t>in</w:t>
      </w:r>
      <w:r>
        <w:rPr>
          <w:spacing w:val="-13"/>
        </w:rPr>
        <w:t xml:space="preserve"> </w:t>
      </w:r>
      <w:r>
        <w:t>MA</w:t>
      </w:r>
      <w:r>
        <w:rPr>
          <w:spacing w:val="-10"/>
        </w:rPr>
        <w:t xml:space="preserve"> </w:t>
      </w:r>
      <w:r>
        <w:t>during</w:t>
      </w:r>
      <w:r>
        <w:rPr>
          <w:spacing w:val="-11"/>
        </w:rPr>
        <w:t xml:space="preserve"> </w:t>
      </w:r>
      <w:r>
        <w:t>the</w:t>
      </w:r>
      <w:r>
        <w:rPr>
          <w:spacing w:val="-10"/>
        </w:rPr>
        <w:t xml:space="preserve"> </w:t>
      </w:r>
      <w:r>
        <w:t>start</w:t>
      </w:r>
      <w:r>
        <w:rPr>
          <w:spacing w:val="-10"/>
        </w:rPr>
        <w:t xml:space="preserve"> </w:t>
      </w:r>
      <w:r>
        <w:t>of</w:t>
      </w:r>
      <w:r>
        <w:rPr>
          <w:spacing w:val="-11"/>
        </w:rPr>
        <w:t xml:space="preserve"> </w:t>
      </w:r>
      <w:r>
        <w:t>the</w:t>
      </w:r>
      <w:r>
        <w:rPr>
          <w:spacing w:val="-10"/>
        </w:rPr>
        <w:t xml:space="preserve"> </w:t>
      </w:r>
      <w:r>
        <w:t>COVID-19</w:t>
      </w:r>
      <w:r>
        <w:rPr>
          <w:spacing w:val="-9"/>
        </w:rPr>
        <w:t xml:space="preserve"> </w:t>
      </w:r>
      <w:r>
        <w:t>pandemic.</w:t>
      </w:r>
      <w:hyperlink w:anchor="_bookmark38" w:history="1">
        <w:r>
          <w:rPr>
            <w:vertAlign w:val="superscript"/>
          </w:rPr>
          <w:t>2</w:t>
        </w:r>
      </w:hyperlink>
      <w:r>
        <w:rPr>
          <w:spacing w:val="-2"/>
        </w:rPr>
        <w:t xml:space="preserve"> </w:t>
      </w:r>
      <w:r>
        <w:t>This serves</w:t>
      </w:r>
      <w:r>
        <w:rPr>
          <w:spacing w:val="-12"/>
        </w:rPr>
        <w:t xml:space="preserve"> </w:t>
      </w:r>
      <w:r>
        <w:t>as</w:t>
      </w:r>
      <w:r>
        <w:rPr>
          <w:spacing w:val="-10"/>
        </w:rPr>
        <w:t xml:space="preserve"> </w:t>
      </w:r>
      <w:r>
        <w:t>a</w:t>
      </w:r>
      <w:r>
        <w:rPr>
          <w:spacing w:val="-13"/>
        </w:rPr>
        <w:t xml:space="preserve"> </w:t>
      </w:r>
      <w:r>
        <w:t>model</w:t>
      </w:r>
      <w:r>
        <w:rPr>
          <w:spacing w:val="-11"/>
        </w:rPr>
        <w:t xml:space="preserve"> </w:t>
      </w:r>
      <w:r>
        <w:t>for</w:t>
      </w:r>
      <w:r>
        <w:rPr>
          <w:spacing w:val="-10"/>
        </w:rPr>
        <w:t xml:space="preserve"> </w:t>
      </w:r>
      <w:r>
        <w:t>the</w:t>
      </w:r>
      <w:r>
        <w:rPr>
          <w:spacing w:val="-10"/>
        </w:rPr>
        <w:t xml:space="preserve"> </w:t>
      </w:r>
      <w:r>
        <w:t>depth</w:t>
      </w:r>
      <w:r>
        <w:rPr>
          <w:spacing w:val="-11"/>
        </w:rPr>
        <w:t xml:space="preserve"> </w:t>
      </w:r>
      <w:r>
        <w:t>of</w:t>
      </w:r>
      <w:r>
        <w:rPr>
          <w:spacing w:val="-11"/>
        </w:rPr>
        <w:t xml:space="preserve"> </w:t>
      </w:r>
      <w:r>
        <w:t>data</w:t>
      </w:r>
      <w:r>
        <w:rPr>
          <w:spacing w:val="-11"/>
        </w:rPr>
        <w:t xml:space="preserve"> </w:t>
      </w:r>
      <w:r>
        <w:t>and</w:t>
      </w:r>
      <w:r>
        <w:rPr>
          <w:spacing w:val="-11"/>
        </w:rPr>
        <w:t xml:space="preserve"> </w:t>
      </w:r>
      <w:r>
        <w:t>evaluation</w:t>
      </w:r>
      <w:r>
        <w:rPr>
          <w:spacing w:val="-13"/>
        </w:rPr>
        <w:t xml:space="preserve"> </w:t>
      </w:r>
      <w:r>
        <w:t>that</w:t>
      </w:r>
      <w:r>
        <w:rPr>
          <w:spacing w:val="-10"/>
        </w:rPr>
        <w:t xml:space="preserve"> </w:t>
      </w:r>
      <w:r>
        <w:t>Massachusetts</w:t>
      </w:r>
      <w:r>
        <w:rPr>
          <w:spacing w:val="-10"/>
        </w:rPr>
        <w:t xml:space="preserve"> </w:t>
      </w:r>
      <w:r>
        <w:t>needs</w:t>
      </w:r>
      <w:r>
        <w:rPr>
          <w:spacing w:val="-13"/>
        </w:rPr>
        <w:t xml:space="preserve"> </w:t>
      </w:r>
      <w:r>
        <w:t>to</w:t>
      </w:r>
      <w:r>
        <w:rPr>
          <w:spacing w:val="-9"/>
        </w:rPr>
        <w:t xml:space="preserve"> </w:t>
      </w:r>
      <w:r>
        <w:t>fully</w:t>
      </w:r>
      <w:r>
        <w:rPr>
          <w:spacing w:val="-10"/>
        </w:rPr>
        <w:t xml:space="preserve"> </w:t>
      </w:r>
      <w:r>
        <w:t>understand</w:t>
      </w:r>
      <w:r>
        <w:rPr>
          <w:spacing w:val="-11"/>
        </w:rPr>
        <w:t xml:space="preserve"> </w:t>
      </w:r>
      <w:r>
        <w:t>what is working well and where the gaps are for LGBTQ students, educators, and families.</w:t>
      </w:r>
    </w:p>
    <w:p w:rsidR="00200FDA" w:rsidRDefault="00200FDA">
      <w:pPr>
        <w:pStyle w:val="BodyText"/>
        <w:spacing w:before="9"/>
        <w:rPr>
          <w:sz w:val="32"/>
        </w:rPr>
      </w:pPr>
    </w:p>
    <w:p w:rsidR="00200FDA" w:rsidRDefault="00F76C4C">
      <w:pPr>
        <w:pStyle w:val="BodyText"/>
        <w:ind w:left="139" w:right="135"/>
        <w:jc w:val="both"/>
      </w:pPr>
      <w:r>
        <w:t xml:space="preserve">As noted throughout this annual report, as of April 24, 2023, 469 anti-LGBTQ bills have been filed so far in areas including public accommodations, school rights and </w:t>
      </w:r>
      <w:r>
        <w:t>education, free speech and expression, gender-affirming IDs, civil rights, and more.</w:t>
      </w:r>
      <w:hyperlink w:anchor="_bookmark39" w:history="1">
        <w:r>
          <w:rPr>
            <w:vertAlign w:val="superscript"/>
          </w:rPr>
          <w:t>3</w:t>
        </w:r>
      </w:hyperlink>
      <w:r>
        <w:rPr>
          <w:spacing w:val="-2"/>
        </w:rPr>
        <w:t xml:space="preserve"> </w:t>
      </w:r>
      <w:r>
        <w:t xml:space="preserve">Of these bills, at least 210 negatively impact schools and </w:t>
      </w:r>
      <w:r>
        <w:rPr>
          <w:spacing w:val="-2"/>
        </w:rPr>
        <w:t>education.</w:t>
      </w:r>
    </w:p>
    <w:p w:rsidR="00200FDA" w:rsidRDefault="00200FDA">
      <w:pPr>
        <w:jc w:val="both"/>
        <w:sectPr w:rsidR="00200FDA">
          <w:pgSz w:w="12240" w:h="15840"/>
          <w:pgMar w:top="1360" w:right="1300" w:bottom="1360" w:left="1300" w:header="761" w:footer="1132" w:gutter="0"/>
          <w:cols w:space="720"/>
        </w:sectPr>
      </w:pPr>
    </w:p>
    <w:p w:rsidR="00200FDA" w:rsidRDefault="00F76C4C">
      <w:pPr>
        <w:pStyle w:val="BodyText"/>
        <w:spacing w:before="64" w:line="264" w:lineRule="auto"/>
        <w:ind w:left="759" w:right="759" w:firstLine="1"/>
        <w:jc w:val="center"/>
      </w:pPr>
      <w:r>
        <w:rPr>
          <w:color w:val="4F81BC"/>
        </w:rPr>
        <w:lastRenderedPageBreak/>
        <w:t>“Politics impacts my mental health because it’s usually</w:t>
      </w:r>
      <w:r>
        <w:rPr>
          <w:color w:val="4F81BC"/>
        </w:rPr>
        <w:t xml:space="preserve"> mostly negative. Seeing the people in power working to hurt queer youth all of the time takes a huge toll. We need more legislation</w:t>
      </w:r>
      <w:r>
        <w:rPr>
          <w:color w:val="4F81BC"/>
          <w:spacing w:val="-4"/>
        </w:rPr>
        <w:t xml:space="preserve"> </w:t>
      </w:r>
      <w:r>
        <w:rPr>
          <w:color w:val="4F81BC"/>
        </w:rPr>
        <w:t>designed</w:t>
      </w:r>
      <w:r>
        <w:rPr>
          <w:color w:val="4F81BC"/>
          <w:spacing w:val="-4"/>
        </w:rPr>
        <w:t xml:space="preserve"> </w:t>
      </w:r>
      <w:r>
        <w:rPr>
          <w:color w:val="4F81BC"/>
        </w:rPr>
        <w:t>to</w:t>
      </w:r>
      <w:r>
        <w:rPr>
          <w:color w:val="4F81BC"/>
          <w:spacing w:val="-2"/>
        </w:rPr>
        <w:t xml:space="preserve"> </w:t>
      </w:r>
      <w:r>
        <w:rPr>
          <w:color w:val="4F81BC"/>
        </w:rPr>
        <w:t>help</w:t>
      </w:r>
      <w:r>
        <w:rPr>
          <w:color w:val="4F81BC"/>
          <w:spacing w:val="-6"/>
        </w:rPr>
        <w:t xml:space="preserve"> </w:t>
      </w:r>
      <w:r>
        <w:rPr>
          <w:color w:val="4F81BC"/>
        </w:rPr>
        <w:t>queer</w:t>
      </w:r>
      <w:r>
        <w:rPr>
          <w:color w:val="4F81BC"/>
          <w:spacing w:val="-5"/>
        </w:rPr>
        <w:t xml:space="preserve"> </w:t>
      </w:r>
      <w:r>
        <w:rPr>
          <w:color w:val="4F81BC"/>
        </w:rPr>
        <w:t>youth,</w:t>
      </w:r>
      <w:r>
        <w:rPr>
          <w:color w:val="4F81BC"/>
          <w:spacing w:val="-5"/>
        </w:rPr>
        <w:t xml:space="preserve"> </w:t>
      </w:r>
      <w:r>
        <w:rPr>
          <w:color w:val="4F81BC"/>
        </w:rPr>
        <w:t>whether</w:t>
      </w:r>
      <w:r>
        <w:rPr>
          <w:color w:val="4F81BC"/>
          <w:spacing w:val="-3"/>
        </w:rPr>
        <w:t xml:space="preserve"> </w:t>
      </w:r>
      <w:r>
        <w:rPr>
          <w:color w:val="4F81BC"/>
        </w:rPr>
        <w:t>that</w:t>
      </w:r>
      <w:r>
        <w:rPr>
          <w:color w:val="4F81BC"/>
          <w:spacing w:val="-5"/>
        </w:rPr>
        <w:t xml:space="preserve"> </w:t>
      </w:r>
      <w:r>
        <w:rPr>
          <w:color w:val="4F81BC"/>
        </w:rPr>
        <w:t>be</w:t>
      </w:r>
      <w:r>
        <w:rPr>
          <w:color w:val="4F81BC"/>
          <w:spacing w:val="-5"/>
        </w:rPr>
        <w:t xml:space="preserve"> </w:t>
      </w:r>
      <w:r>
        <w:rPr>
          <w:color w:val="4F81BC"/>
        </w:rPr>
        <w:t>medically,</w:t>
      </w:r>
      <w:r>
        <w:rPr>
          <w:color w:val="4F81BC"/>
          <w:spacing w:val="-3"/>
        </w:rPr>
        <w:t xml:space="preserve"> </w:t>
      </w:r>
      <w:r>
        <w:rPr>
          <w:color w:val="4F81BC"/>
        </w:rPr>
        <w:t>socially,</w:t>
      </w:r>
      <w:r>
        <w:rPr>
          <w:color w:val="4F81BC"/>
          <w:spacing w:val="-3"/>
        </w:rPr>
        <w:t xml:space="preserve"> </w:t>
      </w:r>
      <w:r>
        <w:rPr>
          <w:color w:val="4F81BC"/>
        </w:rPr>
        <w:t>academically, etc.” - Ronan, 18</w:t>
      </w:r>
    </w:p>
    <w:p w:rsidR="00200FDA" w:rsidRDefault="00200FDA">
      <w:pPr>
        <w:pStyle w:val="BodyText"/>
        <w:spacing w:before="9"/>
        <w:rPr>
          <w:sz w:val="32"/>
        </w:rPr>
      </w:pPr>
    </w:p>
    <w:p w:rsidR="00200FDA" w:rsidRDefault="00F76C4C">
      <w:pPr>
        <w:pStyle w:val="BodyText"/>
        <w:ind w:left="139" w:right="134"/>
        <w:jc w:val="both"/>
      </w:pPr>
      <w:r>
        <w:t>Given the influx of har</w:t>
      </w:r>
      <w:r>
        <w:t>mful anti-LGBTQ and racist legislation across the country, this is a critical time to promote joy and well-being for LGBTQ youth, especially QTBIPOC youth. The Trevor Project’s 2022 poll on</w:t>
      </w:r>
      <w:r>
        <w:rPr>
          <w:spacing w:val="-4"/>
        </w:rPr>
        <w:t xml:space="preserve"> </w:t>
      </w:r>
      <w:r>
        <w:t>social</w:t>
      </w:r>
      <w:r>
        <w:rPr>
          <w:spacing w:val="-4"/>
        </w:rPr>
        <w:t xml:space="preserve"> </w:t>
      </w:r>
      <w:r>
        <w:t>and</w:t>
      </w:r>
      <w:r>
        <w:rPr>
          <w:spacing w:val="-4"/>
        </w:rPr>
        <w:t xml:space="preserve"> </w:t>
      </w:r>
      <w:r>
        <w:t>political</w:t>
      </w:r>
      <w:r>
        <w:rPr>
          <w:spacing w:val="-4"/>
        </w:rPr>
        <w:t xml:space="preserve"> </w:t>
      </w:r>
      <w:r>
        <w:t>issues</w:t>
      </w:r>
      <w:r>
        <w:rPr>
          <w:spacing w:val="-3"/>
        </w:rPr>
        <w:t xml:space="preserve"> </w:t>
      </w:r>
      <w:r>
        <w:t>impacting</w:t>
      </w:r>
      <w:r>
        <w:rPr>
          <w:spacing w:val="-4"/>
        </w:rPr>
        <w:t xml:space="preserve"> </w:t>
      </w:r>
      <w:r>
        <w:t>LGBTQ</w:t>
      </w:r>
      <w:r>
        <w:rPr>
          <w:spacing w:val="-5"/>
        </w:rPr>
        <w:t xml:space="preserve"> </w:t>
      </w:r>
      <w:r>
        <w:t>youth</w:t>
      </w:r>
      <w:r>
        <w:rPr>
          <w:spacing w:val="-4"/>
        </w:rPr>
        <w:t xml:space="preserve"> </w:t>
      </w:r>
      <w:r>
        <w:t>found</w:t>
      </w:r>
      <w:r>
        <w:rPr>
          <w:spacing w:val="-4"/>
        </w:rPr>
        <w:t xml:space="preserve"> </w:t>
      </w:r>
      <w:r>
        <w:t>that</w:t>
      </w:r>
      <w:r>
        <w:rPr>
          <w:spacing w:val="-3"/>
        </w:rPr>
        <w:t xml:space="preserve"> </w:t>
      </w:r>
      <w:r>
        <w:t>85%</w:t>
      </w:r>
      <w:r>
        <w:rPr>
          <w:spacing w:val="-5"/>
        </w:rPr>
        <w:t xml:space="preserve"> </w:t>
      </w:r>
      <w:r>
        <w:t>of</w:t>
      </w:r>
      <w:r>
        <w:rPr>
          <w:spacing w:val="-4"/>
        </w:rPr>
        <w:t xml:space="preserve"> </w:t>
      </w:r>
      <w:r>
        <w:t>transgender</w:t>
      </w:r>
      <w:r>
        <w:rPr>
          <w:spacing w:val="-3"/>
        </w:rPr>
        <w:t xml:space="preserve"> </w:t>
      </w:r>
      <w:r>
        <w:t>and</w:t>
      </w:r>
      <w:r>
        <w:rPr>
          <w:spacing w:val="-4"/>
        </w:rPr>
        <w:t xml:space="preserve"> </w:t>
      </w:r>
      <w:r>
        <w:t>nonbinary</w:t>
      </w:r>
      <w:r>
        <w:rPr>
          <w:spacing w:val="-2"/>
        </w:rPr>
        <w:t xml:space="preserve"> </w:t>
      </w:r>
      <w:r>
        <w:t>youth feel that recent debates around anti-trans bills have negatively impacted their mental health. LGBTQ youth</w:t>
      </w:r>
      <w:r>
        <w:rPr>
          <w:spacing w:val="-13"/>
        </w:rPr>
        <w:t xml:space="preserve"> </w:t>
      </w:r>
      <w:r>
        <w:t>identified</w:t>
      </w:r>
      <w:r>
        <w:rPr>
          <w:spacing w:val="-12"/>
        </w:rPr>
        <w:t xml:space="preserve"> </w:t>
      </w:r>
      <w:r>
        <w:t>racism</w:t>
      </w:r>
      <w:r>
        <w:rPr>
          <w:spacing w:val="-13"/>
        </w:rPr>
        <w:t xml:space="preserve"> </w:t>
      </w:r>
      <w:r>
        <w:t>as</w:t>
      </w:r>
      <w:r>
        <w:rPr>
          <w:spacing w:val="-11"/>
        </w:rPr>
        <w:t xml:space="preserve"> </w:t>
      </w:r>
      <w:r>
        <w:t>the</w:t>
      </w:r>
      <w:r>
        <w:rPr>
          <w:spacing w:val="-11"/>
        </w:rPr>
        <w:t xml:space="preserve"> </w:t>
      </w:r>
      <w:r>
        <w:t>“most</w:t>
      </w:r>
      <w:r>
        <w:rPr>
          <w:spacing w:val="-11"/>
        </w:rPr>
        <w:t xml:space="preserve"> </w:t>
      </w:r>
      <w:r>
        <w:t>important”</w:t>
      </w:r>
      <w:r>
        <w:rPr>
          <w:spacing w:val="-10"/>
        </w:rPr>
        <w:t xml:space="preserve"> </w:t>
      </w:r>
      <w:r>
        <w:t>issue</w:t>
      </w:r>
      <w:r>
        <w:rPr>
          <w:spacing w:val="-13"/>
        </w:rPr>
        <w:t xml:space="preserve"> </w:t>
      </w:r>
      <w:r>
        <w:t>impacting</w:t>
      </w:r>
      <w:r>
        <w:rPr>
          <w:spacing w:val="-12"/>
        </w:rPr>
        <w:t xml:space="preserve"> </w:t>
      </w:r>
      <w:r>
        <w:t>the</w:t>
      </w:r>
      <w:r>
        <w:rPr>
          <w:spacing w:val="-11"/>
        </w:rPr>
        <w:t xml:space="preserve"> </w:t>
      </w:r>
      <w:r>
        <w:t>world;</w:t>
      </w:r>
      <w:r>
        <w:rPr>
          <w:spacing w:val="-13"/>
        </w:rPr>
        <w:t xml:space="preserve"> </w:t>
      </w:r>
      <w:r>
        <w:t>more</w:t>
      </w:r>
      <w:r>
        <w:rPr>
          <w:spacing w:val="-12"/>
        </w:rPr>
        <w:t xml:space="preserve"> </w:t>
      </w:r>
      <w:r>
        <w:t>than</w:t>
      </w:r>
      <w:r>
        <w:rPr>
          <w:spacing w:val="-12"/>
        </w:rPr>
        <w:t xml:space="preserve"> </w:t>
      </w:r>
      <w:r>
        <w:t>65%</w:t>
      </w:r>
      <w:r>
        <w:rPr>
          <w:spacing w:val="-11"/>
        </w:rPr>
        <w:t xml:space="preserve"> </w:t>
      </w:r>
      <w:r>
        <w:t>also</w:t>
      </w:r>
      <w:r>
        <w:rPr>
          <w:spacing w:val="-10"/>
        </w:rPr>
        <w:t xml:space="preserve"> </w:t>
      </w:r>
      <w:r>
        <w:t>said</w:t>
      </w:r>
      <w:r>
        <w:rPr>
          <w:spacing w:val="-12"/>
        </w:rPr>
        <w:t xml:space="preserve"> </w:t>
      </w:r>
      <w:r>
        <w:t>issues like</w:t>
      </w:r>
      <w:r>
        <w:rPr>
          <w:spacing w:val="-8"/>
        </w:rPr>
        <w:t xml:space="preserve"> </w:t>
      </w:r>
      <w:r>
        <w:t>anti-LGBT</w:t>
      </w:r>
      <w:r>
        <w:t>Q</w:t>
      </w:r>
      <w:r>
        <w:rPr>
          <w:spacing w:val="-9"/>
        </w:rPr>
        <w:t xml:space="preserve"> </w:t>
      </w:r>
      <w:r>
        <w:t>hate</w:t>
      </w:r>
      <w:r>
        <w:rPr>
          <w:spacing w:val="-8"/>
        </w:rPr>
        <w:t xml:space="preserve"> </w:t>
      </w:r>
      <w:r>
        <w:t>crimes,</w:t>
      </w:r>
      <w:r>
        <w:rPr>
          <w:spacing w:val="-9"/>
        </w:rPr>
        <w:t xml:space="preserve"> </w:t>
      </w:r>
      <w:r>
        <w:t>police</w:t>
      </w:r>
      <w:r>
        <w:rPr>
          <w:spacing w:val="-8"/>
        </w:rPr>
        <w:t xml:space="preserve"> </w:t>
      </w:r>
      <w:r>
        <w:t>brutality,</w:t>
      </w:r>
      <w:r>
        <w:rPr>
          <w:spacing w:val="-9"/>
        </w:rPr>
        <w:t xml:space="preserve"> </w:t>
      </w:r>
      <w:r>
        <w:t>gun</w:t>
      </w:r>
      <w:r>
        <w:rPr>
          <w:spacing w:val="-10"/>
        </w:rPr>
        <w:t xml:space="preserve"> </w:t>
      </w:r>
      <w:r>
        <w:t>violence,</w:t>
      </w:r>
      <w:r>
        <w:rPr>
          <w:spacing w:val="-9"/>
        </w:rPr>
        <w:t xml:space="preserve"> </w:t>
      </w:r>
      <w:r>
        <w:t>climate</w:t>
      </w:r>
      <w:r>
        <w:rPr>
          <w:spacing w:val="-8"/>
        </w:rPr>
        <w:t xml:space="preserve"> </w:t>
      </w:r>
      <w:r>
        <w:t>change,</w:t>
      </w:r>
      <w:r>
        <w:rPr>
          <w:spacing w:val="-9"/>
        </w:rPr>
        <w:t xml:space="preserve"> </w:t>
      </w:r>
      <w:r>
        <w:t>and</w:t>
      </w:r>
      <w:r>
        <w:rPr>
          <w:spacing w:val="-10"/>
        </w:rPr>
        <w:t xml:space="preserve"> </w:t>
      </w:r>
      <w:r>
        <w:t>efforts</w:t>
      </w:r>
      <w:r>
        <w:rPr>
          <w:spacing w:val="-9"/>
        </w:rPr>
        <w:t xml:space="preserve"> </w:t>
      </w:r>
      <w:r>
        <w:t>to</w:t>
      </w:r>
      <w:r>
        <w:rPr>
          <w:spacing w:val="-8"/>
        </w:rPr>
        <w:t xml:space="preserve"> </w:t>
      </w:r>
      <w:r>
        <w:t>restrict</w:t>
      </w:r>
      <w:r>
        <w:rPr>
          <w:spacing w:val="-8"/>
        </w:rPr>
        <w:t xml:space="preserve"> </w:t>
      </w:r>
      <w:r>
        <w:t>abortion access often give them stress and anxiety.</w:t>
      </w:r>
      <w:r>
        <w:rPr>
          <w:spacing w:val="-13"/>
        </w:rPr>
        <w:t xml:space="preserve"> </w:t>
      </w:r>
      <w:hyperlink w:anchor="_bookmark40" w:history="1">
        <w:r>
          <w:rPr>
            <w:vertAlign w:val="superscript"/>
          </w:rPr>
          <w:t>4</w:t>
        </w:r>
      </w:hyperlink>
      <w:r>
        <w:t xml:space="preserve"> Even though Massachusetts has widespread legislative protections for LGBTQ individuals, the impact of the national anti-LGBTQ rhetoric is significant. Additionally,</w:t>
      </w:r>
      <w:r>
        <w:rPr>
          <w:spacing w:val="-5"/>
        </w:rPr>
        <w:t xml:space="preserve"> </w:t>
      </w:r>
      <w:r>
        <w:t>as</w:t>
      </w:r>
      <w:r>
        <w:rPr>
          <w:spacing w:val="-5"/>
        </w:rPr>
        <w:t xml:space="preserve"> </w:t>
      </w:r>
      <w:r>
        <w:t>highlighted</w:t>
      </w:r>
      <w:r>
        <w:rPr>
          <w:spacing w:val="-9"/>
        </w:rPr>
        <w:t xml:space="preserve"> </w:t>
      </w:r>
      <w:r>
        <w:t>in</w:t>
      </w:r>
      <w:r>
        <w:rPr>
          <w:spacing w:val="-6"/>
        </w:rPr>
        <w:t xml:space="preserve"> </w:t>
      </w:r>
      <w:r>
        <w:t>this</w:t>
      </w:r>
      <w:r>
        <w:rPr>
          <w:spacing w:val="-5"/>
        </w:rPr>
        <w:t xml:space="preserve"> </w:t>
      </w:r>
      <w:r>
        <w:t>annual</w:t>
      </w:r>
      <w:r>
        <w:rPr>
          <w:spacing w:val="-6"/>
        </w:rPr>
        <w:t xml:space="preserve"> </w:t>
      </w:r>
      <w:r>
        <w:t>report,</w:t>
      </w:r>
      <w:r>
        <w:rPr>
          <w:spacing w:val="-8"/>
        </w:rPr>
        <w:t xml:space="preserve"> </w:t>
      </w:r>
      <w:r>
        <w:t>Massachusetts</w:t>
      </w:r>
      <w:r>
        <w:rPr>
          <w:spacing w:val="-8"/>
        </w:rPr>
        <w:t xml:space="preserve"> </w:t>
      </w:r>
      <w:r>
        <w:t>is</w:t>
      </w:r>
      <w:r>
        <w:rPr>
          <w:spacing w:val="-5"/>
        </w:rPr>
        <w:t xml:space="preserve"> </w:t>
      </w:r>
      <w:r>
        <w:t>no</w:t>
      </w:r>
      <w:r>
        <w:rPr>
          <w:spacing w:val="-4"/>
        </w:rPr>
        <w:t xml:space="preserve"> </w:t>
      </w:r>
      <w:r>
        <w:t>exception</w:t>
      </w:r>
      <w:r>
        <w:rPr>
          <w:spacing w:val="-6"/>
        </w:rPr>
        <w:t xml:space="preserve"> </w:t>
      </w:r>
      <w:r>
        <w:t>to</w:t>
      </w:r>
      <w:r>
        <w:rPr>
          <w:spacing w:val="-4"/>
        </w:rPr>
        <w:t xml:space="preserve"> </w:t>
      </w:r>
      <w:r>
        <w:t>anti-LGBTQ</w:t>
      </w:r>
      <w:r>
        <w:rPr>
          <w:spacing w:val="-7"/>
        </w:rPr>
        <w:t xml:space="preserve"> </w:t>
      </w:r>
      <w:r>
        <w:t>organizi</w:t>
      </w:r>
      <w:r>
        <w:t>ng and rhetoric, particularly at the local level, which is having significant impacts against curriculum and educational access for youth.</w:t>
      </w:r>
    </w:p>
    <w:p w:rsidR="00200FDA" w:rsidRDefault="00200FDA">
      <w:pPr>
        <w:pStyle w:val="BodyText"/>
      </w:pPr>
    </w:p>
    <w:p w:rsidR="00200FDA" w:rsidRDefault="00F76C4C">
      <w:pPr>
        <w:pStyle w:val="Heading8"/>
        <w:spacing w:before="186"/>
      </w:pPr>
      <w:bookmarkStart w:id="113" w:name="Massachusetts_Data"/>
      <w:bookmarkEnd w:id="113"/>
      <w:r>
        <w:rPr>
          <w:color w:val="365F91"/>
        </w:rPr>
        <w:t>Massachusetts</w:t>
      </w:r>
      <w:r>
        <w:rPr>
          <w:color w:val="365F91"/>
          <w:spacing w:val="-3"/>
        </w:rPr>
        <w:t xml:space="preserve"> </w:t>
      </w:r>
      <w:r>
        <w:rPr>
          <w:color w:val="365F91"/>
          <w:spacing w:val="-4"/>
        </w:rPr>
        <w:t>Data</w:t>
      </w:r>
    </w:p>
    <w:p w:rsidR="00200FDA" w:rsidRDefault="00200FDA">
      <w:pPr>
        <w:pStyle w:val="BodyText"/>
        <w:spacing w:before="7"/>
        <w:rPr>
          <w:sz w:val="32"/>
        </w:rPr>
      </w:pPr>
    </w:p>
    <w:p w:rsidR="00200FDA" w:rsidRDefault="00F76C4C">
      <w:pPr>
        <w:pStyle w:val="BodyText"/>
        <w:ind w:left="139" w:right="132"/>
        <w:jc w:val="both"/>
      </w:pPr>
      <w:r>
        <w:t>The Massachusetts Youth Risk Behavior Survey - discussed in the 2021 MYRBS Analysis section - is administered every two years to a sample of high school districts and asks students about risk behaviors and experiences. Within this report, data on sexual or</w:t>
      </w:r>
      <w:r>
        <w:t>ientation and gender identity is collected from survey respondents which allows researchers to disaggregate the data to better understand health and behaviors of youth across the state. Year after year, these results show higher risk for LGBTQ youth in eve</w:t>
      </w:r>
      <w:r>
        <w:t>ry category of risk behavior and experience.</w:t>
      </w:r>
    </w:p>
    <w:p w:rsidR="00200FDA" w:rsidRDefault="00200FDA">
      <w:pPr>
        <w:pStyle w:val="BodyText"/>
        <w:spacing w:before="9"/>
        <w:rPr>
          <w:sz w:val="32"/>
        </w:rPr>
      </w:pPr>
    </w:p>
    <w:p w:rsidR="00200FDA" w:rsidRDefault="00F76C4C">
      <w:pPr>
        <w:pStyle w:val="BodyText"/>
        <w:ind w:left="139" w:right="133"/>
        <w:jc w:val="both"/>
      </w:pPr>
      <w:r>
        <w:t>Additionally, the VOCAL survey, which is administered through the Massachusetts Comprehensive Assessment</w:t>
      </w:r>
      <w:r>
        <w:rPr>
          <w:spacing w:val="-9"/>
        </w:rPr>
        <w:t xml:space="preserve"> </w:t>
      </w:r>
      <w:r>
        <w:t>System</w:t>
      </w:r>
      <w:r>
        <w:rPr>
          <w:spacing w:val="-10"/>
        </w:rPr>
        <w:t xml:space="preserve"> </w:t>
      </w:r>
      <w:r>
        <w:t>(MCAS),</w:t>
      </w:r>
      <w:r>
        <w:rPr>
          <w:spacing w:val="-9"/>
        </w:rPr>
        <w:t xml:space="preserve"> </w:t>
      </w:r>
      <w:r>
        <w:t>is</w:t>
      </w:r>
      <w:r>
        <w:rPr>
          <w:spacing w:val="-9"/>
        </w:rPr>
        <w:t xml:space="preserve"> </w:t>
      </w:r>
      <w:r>
        <w:t>also</w:t>
      </w:r>
      <w:r>
        <w:rPr>
          <w:spacing w:val="-8"/>
        </w:rPr>
        <w:t xml:space="preserve"> </w:t>
      </w:r>
      <w:r>
        <w:t>able</w:t>
      </w:r>
      <w:r>
        <w:rPr>
          <w:spacing w:val="-11"/>
        </w:rPr>
        <w:t xml:space="preserve"> </w:t>
      </w:r>
      <w:r>
        <w:t>to</w:t>
      </w:r>
      <w:r>
        <w:rPr>
          <w:spacing w:val="-10"/>
        </w:rPr>
        <w:t xml:space="preserve"> </w:t>
      </w:r>
      <w:r>
        <w:t>analyze</w:t>
      </w:r>
      <w:r>
        <w:rPr>
          <w:spacing w:val="-11"/>
        </w:rPr>
        <w:t xml:space="preserve"> </w:t>
      </w:r>
      <w:r>
        <w:t>data</w:t>
      </w:r>
      <w:r>
        <w:rPr>
          <w:spacing w:val="-12"/>
        </w:rPr>
        <w:t xml:space="preserve"> </w:t>
      </w:r>
      <w:r>
        <w:t>for</w:t>
      </w:r>
      <w:r>
        <w:rPr>
          <w:spacing w:val="-9"/>
        </w:rPr>
        <w:t xml:space="preserve"> </w:t>
      </w:r>
      <w:r>
        <w:t>nonbinary</w:t>
      </w:r>
      <w:r>
        <w:rPr>
          <w:spacing w:val="-8"/>
        </w:rPr>
        <w:t xml:space="preserve"> </w:t>
      </w:r>
      <w:r>
        <w:t>students</w:t>
      </w:r>
      <w:r>
        <w:rPr>
          <w:spacing w:val="-9"/>
        </w:rPr>
        <w:t xml:space="preserve"> </w:t>
      </w:r>
      <w:r>
        <w:t>as</w:t>
      </w:r>
      <w:r>
        <w:rPr>
          <w:spacing w:val="-11"/>
        </w:rPr>
        <w:t xml:space="preserve"> </w:t>
      </w:r>
      <w:r>
        <w:t>students’</w:t>
      </w:r>
      <w:r>
        <w:rPr>
          <w:spacing w:val="-9"/>
        </w:rPr>
        <w:t xml:space="preserve"> </w:t>
      </w:r>
      <w:r>
        <w:t>responses</w:t>
      </w:r>
      <w:r>
        <w:rPr>
          <w:spacing w:val="-9"/>
        </w:rPr>
        <w:t xml:space="preserve"> </w:t>
      </w:r>
      <w:r>
        <w:t>are connected to their State Assigned Student Identifiers (SASID). In 2022, 238 students identified as nonbinary based on their State Assigned Student Identifiers (SASID) gender marker, and in 2023, this increased to 1845 identifying as nonbinary, a 675% i</w:t>
      </w:r>
      <w:r>
        <w:t>ncrease.</w:t>
      </w:r>
      <w:hyperlink w:anchor="_bookmark41" w:history="1">
        <w:r>
          <w:rPr>
            <w:vertAlign w:val="superscript"/>
          </w:rPr>
          <w:t>5</w:t>
        </w:r>
      </w:hyperlink>
    </w:p>
    <w:p w:rsidR="00200FDA" w:rsidRDefault="00F76C4C">
      <w:pPr>
        <w:pStyle w:val="Heading8"/>
        <w:spacing w:before="163"/>
      </w:pPr>
      <w:bookmarkStart w:id="114" w:name="Statewide_and_School-Based_Policy"/>
      <w:bookmarkEnd w:id="114"/>
      <w:r>
        <w:rPr>
          <w:color w:val="365F91"/>
        </w:rPr>
        <w:t>Statewide</w:t>
      </w:r>
      <w:r>
        <w:rPr>
          <w:color w:val="365F91"/>
          <w:spacing w:val="-3"/>
        </w:rPr>
        <w:t xml:space="preserve"> </w:t>
      </w:r>
      <w:r>
        <w:rPr>
          <w:color w:val="365F91"/>
        </w:rPr>
        <w:t>and</w:t>
      </w:r>
      <w:r>
        <w:rPr>
          <w:color w:val="365F91"/>
          <w:spacing w:val="-3"/>
        </w:rPr>
        <w:t xml:space="preserve"> </w:t>
      </w:r>
      <w:r>
        <w:rPr>
          <w:color w:val="365F91"/>
        </w:rPr>
        <w:t>School-Based</w:t>
      </w:r>
      <w:r>
        <w:rPr>
          <w:color w:val="365F91"/>
          <w:spacing w:val="-1"/>
        </w:rPr>
        <w:t xml:space="preserve"> </w:t>
      </w:r>
      <w:r>
        <w:rPr>
          <w:color w:val="365F91"/>
          <w:spacing w:val="-2"/>
        </w:rPr>
        <w:t>Policy</w:t>
      </w:r>
    </w:p>
    <w:p w:rsidR="00200FDA" w:rsidRDefault="00200FDA">
      <w:pPr>
        <w:pStyle w:val="BodyText"/>
        <w:spacing w:before="7"/>
        <w:rPr>
          <w:sz w:val="32"/>
        </w:rPr>
      </w:pPr>
    </w:p>
    <w:p w:rsidR="00200FDA" w:rsidRDefault="00F76C4C">
      <w:pPr>
        <w:pStyle w:val="BodyText"/>
        <w:ind w:left="139" w:right="135"/>
        <w:jc w:val="both"/>
      </w:pPr>
      <w:r>
        <w:t>A</w:t>
      </w:r>
      <w:r>
        <w:rPr>
          <w:spacing w:val="-6"/>
        </w:rPr>
        <w:t xml:space="preserve"> </w:t>
      </w:r>
      <w:r>
        <w:t>2020</w:t>
      </w:r>
      <w:r>
        <w:rPr>
          <w:spacing w:val="-4"/>
        </w:rPr>
        <w:t xml:space="preserve"> </w:t>
      </w:r>
      <w:r>
        <w:t>study</w:t>
      </w:r>
      <w:r>
        <w:rPr>
          <w:spacing w:val="-4"/>
        </w:rPr>
        <w:t xml:space="preserve"> </w:t>
      </w:r>
      <w:r>
        <w:t>found</w:t>
      </w:r>
      <w:r>
        <w:rPr>
          <w:spacing w:val="-6"/>
        </w:rPr>
        <w:t xml:space="preserve"> </w:t>
      </w:r>
      <w:r>
        <w:t>that</w:t>
      </w:r>
      <w:r>
        <w:rPr>
          <w:spacing w:val="-7"/>
        </w:rPr>
        <w:t xml:space="preserve"> </w:t>
      </w:r>
      <w:r>
        <w:t>LGBTQ-focused</w:t>
      </w:r>
      <w:r>
        <w:rPr>
          <w:spacing w:val="-6"/>
        </w:rPr>
        <w:t xml:space="preserve"> </w:t>
      </w:r>
      <w:r>
        <w:t>policies</w:t>
      </w:r>
      <w:r>
        <w:rPr>
          <w:spacing w:val="-8"/>
        </w:rPr>
        <w:t xml:space="preserve"> </w:t>
      </w:r>
      <w:r>
        <w:t>were</w:t>
      </w:r>
      <w:r>
        <w:rPr>
          <w:spacing w:val="-9"/>
        </w:rPr>
        <w:t xml:space="preserve"> </w:t>
      </w:r>
      <w:r>
        <w:t>more</w:t>
      </w:r>
      <w:r>
        <w:rPr>
          <w:spacing w:val="-7"/>
        </w:rPr>
        <w:t xml:space="preserve"> </w:t>
      </w:r>
      <w:r>
        <w:t>strongly</w:t>
      </w:r>
      <w:r>
        <w:rPr>
          <w:spacing w:val="-4"/>
        </w:rPr>
        <w:t xml:space="preserve"> </w:t>
      </w:r>
      <w:r>
        <w:t>associated</w:t>
      </w:r>
      <w:r>
        <w:rPr>
          <w:spacing w:val="-8"/>
        </w:rPr>
        <w:t xml:space="preserve"> </w:t>
      </w:r>
      <w:r>
        <w:t>with</w:t>
      </w:r>
      <w:r>
        <w:rPr>
          <w:spacing w:val="-6"/>
        </w:rPr>
        <w:t xml:space="preserve"> </w:t>
      </w:r>
      <w:r>
        <w:t>student</w:t>
      </w:r>
      <w:r>
        <w:rPr>
          <w:spacing w:val="-7"/>
        </w:rPr>
        <w:t xml:space="preserve"> </w:t>
      </w:r>
      <w:r>
        <w:t>perceptions of teacher</w:t>
      </w:r>
      <w:r>
        <w:rPr>
          <w:spacing w:val="-2"/>
        </w:rPr>
        <w:t xml:space="preserve"> </w:t>
      </w:r>
      <w:r>
        <w:t>support.</w:t>
      </w:r>
      <w:hyperlink w:anchor="_bookmark42" w:history="1">
        <w:r>
          <w:rPr>
            <w:vertAlign w:val="superscript"/>
          </w:rPr>
          <w:t>6</w:t>
        </w:r>
      </w:hyperlink>
      <w:r>
        <w:rPr>
          <w:spacing w:val="-3"/>
        </w:rPr>
        <w:t xml:space="preserve"> </w:t>
      </w:r>
      <w:r>
        <w:t>Additionally, GLSEN’s Nati</w:t>
      </w:r>
      <w:r>
        <w:t>onal School</w:t>
      </w:r>
      <w:r>
        <w:rPr>
          <w:spacing w:val="-2"/>
        </w:rPr>
        <w:t xml:space="preserve"> </w:t>
      </w:r>
      <w:r>
        <w:t>Climate</w:t>
      </w:r>
      <w:r>
        <w:rPr>
          <w:spacing w:val="-1"/>
        </w:rPr>
        <w:t xml:space="preserve"> </w:t>
      </w:r>
      <w:r>
        <w:t>Survey found that students</w:t>
      </w:r>
      <w:r>
        <w:rPr>
          <w:spacing w:val="-2"/>
        </w:rPr>
        <w:t xml:space="preserve"> </w:t>
      </w:r>
      <w:r>
        <w:t>in schools with anti-bullying policies that protect sexual orientation and gender expression experienced less anti- LGBTQ</w:t>
      </w:r>
      <w:r>
        <w:rPr>
          <w:spacing w:val="-3"/>
        </w:rPr>
        <w:t xml:space="preserve"> </w:t>
      </w:r>
      <w:r>
        <w:t>remarks</w:t>
      </w:r>
      <w:r>
        <w:rPr>
          <w:spacing w:val="-3"/>
        </w:rPr>
        <w:t xml:space="preserve"> </w:t>
      </w:r>
      <w:r>
        <w:t>and</w:t>
      </w:r>
      <w:r>
        <w:rPr>
          <w:spacing w:val="-6"/>
        </w:rPr>
        <w:t xml:space="preserve"> </w:t>
      </w:r>
      <w:r>
        <w:t>victimization,</w:t>
      </w:r>
      <w:r>
        <w:rPr>
          <w:spacing w:val="-6"/>
        </w:rPr>
        <w:t xml:space="preserve"> </w:t>
      </w:r>
      <w:r>
        <w:t>missed</w:t>
      </w:r>
      <w:r>
        <w:rPr>
          <w:spacing w:val="-4"/>
        </w:rPr>
        <w:t xml:space="preserve"> </w:t>
      </w:r>
      <w:r>
        <w:t>school</w:t>
      </w:r>
      <w:r>
        <w:rPr>
          <w:spacing w:val="-4"/>
        </w:rPr>
        <w:t xml:space="preserve"> </w:t>
      </w:r>
      <w:r>
        <w:t>less</w:t>
      </w:r>
      <w:r>
        <w:rPr>
          <w:spacing w:val="-6"/>
        </w:rPr>
        <w:t xml:space="preserve"> </w:t>
      </w:r>
      <w:r>
        <w:t>often</w:t>
      </w:r>
      <w:r>
        <w:rPr>
          <w:spacing w:val="-4"/>
        </w:rPr>
        <w:t xml:space="preserve"> </w:t>
      </w:r>
      <w:r>
        <w:t>due</w:t>
      </w:r>
      <w:r>
        <w:rPr>
          <w:spacing w:val="-3"/>
        </w:rPr>
        <w:t xml:space="preserve"> </w:t>
      </w:r>
      <w:r>
        <w:t>to</w:t>
      </w:r>
      <w:r>
        <w:rPr>
          <w:spacing w:val="-2"/>
        </w:rPr>
        <w:t xml:space="preserve"> </w:t>
      </w:r>
      <w:r>
        <w:t>feeling</w:t>
      </w:r>
      <w:r>
        <w:rPr>
          <w:spacing w:val="-4"/>
        </w:rPr>
        <w:t xml:space="preserve"> </w:t>
      </w:r>
      <w:r>
        <w:t>unsafe,</w:t>
      </w:r>
      <w:r>
        <w:rPr>
          <w:spacing w:val="-6"/>
        </w:rPr>
        <w:t xml:space="preserve"> </w:t>
      </w:r>
      <w:r>
        <w:t>and</w:t>
      </w:r>
      <w:r>
        <w:rPr>
          <w:spacing w:val="-4"/>
        </w:rPr>
        <w:t xml:space="preserve"> </w:t>
      </w:r>
      <w:r>
        <w:t>were</w:t>
      </w:r>
      <w:r>
        <w:rPr>
          <w:spacing w:val="-5"/>
        </w:rPr>
        <w:t xml:space="preserve"> </w:t>
      </w:r>
      <w:r>
        <w:t>more</w:t>
      </w:r>
      <w:r>
        <w:rPr>
          <w:spacing w:val="-3"/>
        </w:rPr>
        <w:t xml:space="preserve"> </w:t>
      </w:r>
      <w:r>
        <w:t>likely</w:t>
      </w:r>
      <w:r>
        <w:rPr>
          <w:spacing w:val="-3"/>
        </w:rPr>
        <w:t xml:space="preserve"> </w:t>
      </w:r>
      <w:r>
        <w:t>to feel they belonged at school.</w:t>
      </w:r>
      <w:hyperlink w:anchor="_bookmark43" w:history="1">
        <w:r>
          <w:rPr>
            <w:vertAlign w:val="superscript"/>
          </w:rPr>
          <w:t>7</w:t>
        </w:r>
      </w:hyperlink>
    </w:p>
    <w:p w:rsidR="00200FDA" w:rsidRDefault="00200FDA">
      <w:pPr>
        <w:pStyle w:val="BodyText"/>
        <w:spacing w:before="9"/>
        <w:rPr>
          <w:sz w:val="32"/>
        </w:rPr>
      </w:pPr>
    </w:p>
    <w:p w:rsidR="00200FDA" w:rsidRDefault="00F76C4C">
      <w:pPr>
        <w:pStyle w:val="BodyText"/>
        <w:ind w:left="140" w:right="132"/>
        <w:jc w:val="both"/>
      </w:pPr>
      <w:r>
        <w:t>When students of any marginalized identity enter a school building or classroom, they are often looking for signs or signals of safety; anything in a school building could be con</w:t>
      </w:r>
      <w:r>
        <w:t>sidered part of the curriculum because it signals the schools’ values and policies. GLSEN found that students in schools with an LGBTQ- inclusive curriculum were</w:t>
      </w:r>
      <w:r>
        <w:rPr>
          <w:spacing w:val="-2"/>
        </w:rPr>
        <w:t xml:space="preserve"> </w:t>
      </w:r>
      <w:r>
        <w:t>more likely to report higher</w:t>
      </w:r>
      <w:r>
        <w:rPr>
          <w:spacing w:val="-1"/>
        </w:rPr>
        <w:t xml:space="preserve"> </w:t>
      </w:r>
      <w:r>
        <w:t>self-esteem, less depressive symptoms, and</w:t>
      </w:r>
      <w:r>
        <w:rPr>
          <w:spacing w:val="-1"/>
        </w:rPr>
        <w:t xml:space="preserve"> </w:t>
      </w:r>
      <w:r>
        <w:t>lower</w:t>
      </w:r>
    </w:p>
    <w:p w:rsidR="00200FDA" w:rsidRDefault="00200FDA">
      <w:pPr>
        <w:jc w:val="both"/>
        <w:sectPr w:rsidR="00200FDA">
          <w:pgSz w:w="12240" w:h="15840"/>
          <w:pgMar w:top="1360" w:right="1300" w:bottom="1380" w:left="1300" w:header="761" w:footer="1132" w:gutter="0"/>
          <w:cols w:space="720"/>
        </w:sectPr>
      </w:pPr>
    </w:p>
    <w:p w:rsidR="00200FDA" w:rsidRDefault="00F76C4C">
      <w:pPr>
        <w:pStyle w:val="BodyText"/>
        <w:spacing w:before="64"/>
        <w:ind w:left="139" w:right="134"/>
        <w:jc w:val="both"/>
      </w:pPr>
      <w:r>
        <w:lastRenderedPageBreak/>
        <w:t>li</w:t>
      </w:r>
      <w:r>
        <w:t>kelihood</w:t>
      </w:r>
      <w:r>
        <w:rPr>
          <w:spacing w:val="-13"/>
        </w:rPr>
        <w:t xml:space="preserve"> </w:t>
      </w:r>
      <w:r>
        <w:t>to</w:t>
      </w:r>
      <w:r>
        <w:rPr>
          <w:spacing w:val="-12"/>
        </w:rPr>
        <w:t xml:space="preserve"> </w:t>
      </w:r>
      <w:r>
        <w:t>have</w:t>
      </w:r>
      <w:r>
        <w:rPr>
          <w:spacing w:val="-12"/>
        </w:rPr>
        <w:t xml:space="preserve"> </w:t>
      </w:r>
      <w:r>
        <w:t>seriously</w:t>
      </w:r>
      <w:r>
        <w:rPr>
          <w:spacing w:val="-12"/>
        </w:rPr>
        <w:t xml:space="preserve"> </w:t>
      </w:r>
      <w:r>
        <w:t>considered</w:t>
      </w:r>
      <w:r>
        <w:rPr>
          <w:spacing w:val="-13"/>
        </w:rPr>
        <w:t xml:space="preserve"> </w:t>
      </w:r>
      <w:r>
        <w:t>suicide</w:t>
      </w:r>
      <w:r>
        <w:rPr>
          <w:spacing w:val="-11"/>
        </w:rPr>
        <w:t xml:space="preserve"> </w:t>
      </w:r>
      <w:r>
        <w:t>in</w:t>
      </w:r>
      <w:r>
        <w:rPr>
          <w:spacing w:val="-11"/>
        </w:rPr>
        <w:t xml:space="preserve"> </w:t>
      </w:r>
      <w:r>
        <w:t>the</w:t>
      </w:r>
      <w:r>
        <w:rPr>
          <w:spacing w:val="-10"/>
        </w:rPr>
        <w:t xml:space="preserve"> </w:t>
      </w:r>
      <w:r>
        <w:t>previous</w:t>
      </w:r>
      <w:r>
        <w:rPr>
          <w:spacing w:val="-13"/>
        </w:rPr>
        <w:t xml:space="preserve"> </w:t>
      </w:r>
      <w:r>
        <w:t>year.</w:t>
      </w:r>
      <w:hyperlink w:anchor="_bookmark44" w:history="1">
        <w:r>
          <w:rPr>
            <w:vertAlign w:val="superscript"/>
          </w:rPr>
          <w:t>8</w:t>
        </w:r>
      </w:hyperlink>
      <w:r>
        <w:rPr>
          <w:spacing w:val="-2"/>
        </w:rPr>
        <w:t xml:space="preserve"> </w:t>
      </w:r>
      <w:r>
        <w:t>In</w:t>
      </w:r>
      <w:r>
        <w:rPr>
          <w:spacing w:val="-11"/>
        </w:rPr>
        <w:t xml:space="preserve"> </w:t>
      </w:r>
      <w:r>
        <w:t>Massachusetts,</w:t>
      </w:r>
      <w:r>
        <w:rPr>
          <w:spacing w:val="-13"/>
        </w:rPr>
        <w:t xml:space="preserve"> </w:t>
      </w:r>
      <w:r>
        <w:t>only</w:t>
      </w:r>
      <w:r>
        <w:rPr>
          <w:spacing w:val="-11"/>
        </w:rPr>
        <w:t xml:space="preserve"> </w:t>
      </w:r>
      <w:r>
        <w:t>31%</w:t>
      </w:r>
      <w:r>
        <w:rPr>
          <w:spacing w:val="-13"/>
        </w:rPr>
        <w:t xml:space="preserve"> </w:t>
      </w:r>
      <w:r>
        <w:t>of</w:t>
      </w:r>
      <w:r>
        <w:rPr>
          <w:spacing w:val="-12"/>
        </w:rPr>
        <w:t xml:space="preserve"> </w:t>
      </w:r>
      <w:r>
        <w:t>LGBTQ students surveyed</w:t>
      </w:r>
      <w:r>
        <w:rPr>
          <w:spacing w:val="-1"/>
        </w:rPr>
        <w:t xml:space="preserve"> </w:t>
      </w:r>
      <w:r>
        <w:t>were taught positive representations of</w:t>
      </w:r>
      <w:r>
        <w:rPr>
          <w:spacing w:val="-1"/>
        </w:rPr>
        <w:t xml:space="preserve"> </w:t>
      </w:r>
      <w:r>
        <w:t>LGBTQ+ people, history, or events (“inclusive curriculum”), 54% said they had access to inclusive library resources, and 15% of LGBTQ+ students in Massachusetts reported receiving LGBTQ+-inclusive sex education at school.</w:t>
      </w:r>
      <w:hyperlink w:anchor="_bookmark45" w:history="1">
        <w:r>
          <w:rPr>
            <w:vertAlign w:val="superscript"/>
          </w:rPr>
          <w:t>9</w:t>
        </w:r>
      </w:hyperlink>
    </w:p>
    <w:p w:rsidR="00200FDA" w:rsidRDefault="00200FDA">
      <w:pPr>
        <w:pStyle w:val="BodyText"/>
        <w:spacing w:before="8"/>
        <w:rPr>
          <w:sz w:val="32"/>
        </w:rPr>
      </w:pPr>
    </w:p>
    <w:p w:rsidR="00200FDA" w:rsidRDefault="00F76C4C">
      <w:pPr>
        <w:pStyle w:val="BodyText"/>
        <w:spacing w:before="1"/>
        <w:ind w:left="139" w:right="134"/>
        <w:jc w:val="both"/>
      </w:pPr>
      <w:r>
        <w:t>H</w:t>
      </w:r>
      <w:r>
        <w:t>owever, visibility is only the first marker of inclusion, and needs to be paired with actions such as interrupting microaggressions and bullying, including LGBTQ people’s contributions in all subject areas, and supporting transgender students through schoo</w:t>
      </w:r>
      <w:r>
        <w:t>l policy.</w:t>
      </w:r>
    </w:p>
    <w:p w:rsidR="00200FDA" w:rsidRDefault="00200FDA">
      <w:pPr>
        <w:pStyle w:val="BodyText"/>
        <w:spacing w:before="10"/>
        <w:rPr>
          <w:sz w:val="32"/>
        </w:rPr>
      </w:pPr>
    </w:p>
    <w:p w:rsidR="00200FDA" w:rsidRDefault="00F76C4C">
      <w:pPr>
        <w:pStyle w:val="BodyText"/>
        <w:ind w:left="139" w:right="134"/>
        <w:jc w:val="both"/>
      </w:pPr>
      <w:r>
        <w:t>As such, as noted above, administrators should proactively voice their support of LGBTQ-affirming curriculum and education</w:t>
      </w:r>
      <w:r>
        <w:rPr>
          <w:spacing w:val="-3"/>
        </w:rPr>
        <w:t xml:space="preserve"> </w:t>
      </w:r>
      <w:r>
        <w:t>materials, in line</w:t>
      </w:r>
      <w:r>
        <w:rPr>
          <w:spacing w:val="-1"/>
        </w:rPr>
        <w:t xml:space="preserve"> </w:t>
      </w:r>
      <w:r>
        <w:t>with the</w:t>
      </w:r>
      <w:r>
        <w:rPr>
          <w:spacing w:val="-1"/>
        </w:rPr>
        <w:t xml:space="preserve"> </w:t>
      </w:r>
      <w:r>
        <w:t>Principles for</w:t>
      </w:r>
      <w:r>
        <w:rPr>
          <w:spacing w:val="-2"/>
        </w:rPr>
        <w:t xml:space="preserve"> </w:t>
      </w:r>
      <w:r>
        <w:t>Ensuring Safe</w:t>
      </w:r>
      <w:r>
        <w:rPr>
          <w:spacing w:val="-1"/>
        </w:rPr>
        <w:t xml:space="preserve"> </w:t>
      </w:r>
      <w:r>
        <w:t>and Supportive</w:t>
      </w:r>
      <w:r>
        <w:rPr>
          <w:spacing w:val="-1"/>
        </w:rPr>
        <w:t xml:space="preserve"> </w:t>
      </w:r>
      <w:r>
        <w:t>Learning Environments for LGBTQ Students.</w:t>
      </w:r>
      <w:r>
        <w:rPr>
          <w:spacing w:val="-13"/>
        </w:rPr>
        <w:t xml:space="preserve"> </w:t>
      </w:r>
      <w:hyperlink w:anchor="_bookmark46" w:history="1">
        <w:r>
          <w:rPr>
            <w:vertAlign w:val="superscript"/>
          </w:rPr>
          <w:t>10</w:t>
        </w:r>
      </w:hyperlink>
      <w:r>
        <w:t xml:space="preserve"> According to GLSEN, LGBTQ students who reported seeing Safe Space stickers and posters were more likely to report having one or more supportive staff at school.</w:t>
      </w:r>
      <w:hyperlink w:anchor="_bookmark47" w:history="1">
        <w:r>
          <w:rPr>
            <w:vertAlign w:val="superscript"/>
          </w:rPr>
          <w:t>11</w:t>
        </w:r>
      </w:hyperlink>
      <w:r>
        <w:t xml:space="preserve"> They</w:t>
      </w:r>
      <w:r>
        <w:rPr>
          <w:spacing w:val="-11"/>
        </w:rPr>
        <w:t xml:space="preserve"> </w:t>
      </w:r>
      <w:r>
        <w:t>also</w:t>
      </w:r>
      <w:r>
        <w:rPr>
          <w:spacing w:val="-10"/>
        </w:rPr>
        <w:t xml:space="preserve"> </w:t>
      </w:r>
      <w:r>
        <w:t>reported</w:t>
      </w:r>
      <w:r>
        <w:rPr>
          <w:spacing w:val="-12"/>
        </w:rPr>
        <w:t xml:space="preserve"> </w:t>
      </w:r>
      <w:r>
        <w:t>higher</w:t>
      </w:r>
      <w:r>
        <w:rPr>
          <w:spacing w:val="-12"/>
        </w:rPr>
        <w:t xml:space="preserve"> </w:t>
      </w:r>
      <w:r>
        <w:t>self-estee</w:t>
      </w:r>
      <w:r>
        <w:t>m,</w:t>
      </w:r>
      <w:r>
        <w:rPr>
          <w:spacing w:val="-11"/>
        </w:rPr>
        <w:t xml:space="preserve"> </w:t>
      </w:r>
      <w:r>
        <w:t>fewer</w:t>
      </w:r>
      <w:r>
        <w:rPr>
          <w:spacing w:val="-11"/>
        </w:rPr>
        <w:t xml:space="preserve"> </w:t>
      </w:r>
      <w:r>
        <w:t>symptoms</w:t>
      </w:r>
      <w:r>
        <w:rPr>
          <w:spacing w:val="-11"/>
        </w:rPr>
        <w:t xml:space="preserve"> </w:t>
      </w:r>
      <w:r>
        <w:t>of</w:t>
      </w:r>
      <w:r>
        <w:rPr>
          <w:spacing w:val="-12"/>
        </w:rPr>
        <w:t xml:space="preserve"> </w:t>
      </w:r>
      <w:r>
        <w:t>depression,</w:t>
      </w:r>
      <w:r>
        <w:rPr>
          <w:spacing w:val="-11"/>
        </w:rPr>
        <w:t xml:space="preserve"> </w:t>
      </w:r>
      <w:r>
        <w:t>and</w:t>
      </w:r>
      <w:r>
        <w:rPr>
          <w:spacing w:val="-12"/>
        </w:rPr>
        <w:t xml:space="preserve"> </w:t>
      </w:r>
      <w:r>
        <w:t>lower</w:t>
      </w:r>
      <w:r>
        <w:rPr>
          <w:spacing w:val="-11"/>
        </w:rPr>
        <w:t xml:space="preserve"> </w:t>
      </w:r>
      <w:r>
        <w:t>rates</w:t>
      </w:r>
      <w:r>
        <w:rPr>
          <w:spacing w:val="-11"/>
        </w:rPr>
        <w:t xml:space="preserve"> </w:t>
      </w:r>
      <w:r>
        <w:t>of</w:t>
      </w:r>
      <w:r>
        <w:rPr>
          <w:spacing w:val="-12"/>
        </w:rPr>
        <w:t xml:space="preserve"> </w:t>
      </w:r>
      <w:r>
        <w:t>having</w:t>
      </w:r>
      <w:r>
        <w:rPr>
          <w:spacing w:val="-12"/>
        </w:rPr>
        <w:t xml:space="preserve"> </w:t>
      </w:r>
      <w:r>
        <w:t>seriously considered suicide in the previous year. Given the potential of this strategy, it is concerning that some schools have provided unclear or oppositional guidance to staff about affirming d</w:t>
      </w:r>
      <w:r>
        <w:t>isplays, such as Stoughton High School faculty recently not being allowed to display pride flags or visuals.</w:t>
      </w:r>
      <w:hyperlink w:anchor="_bookmark48" w:history="1">
        <w:r>
          <w:rPr>
            <w:vertAlign w:val="superscript"/>
          </w:rPr>
          <w:t>12</w:t>
        </w:r>
      </w:hyperlink>
    </w:p>
    <w:p w:rsidR="00200FDA" w:rsidRDefault="00200FDA">
      <w:pPr>
        <w:pStyle w:val="BodyText"/>
        <w:spacing w:before="8"/>
        <w:rPr>
          <w:sz w:val="32"/>
        </w:rPr>
      </w:pPr>
    </w:p>
    <w:p w:rsidR="00200FDA" w:rsidRDefault="00F76C4C">
      <w:pPr>
        <w:pStyle w:val="BodyText"/>
        <w:ind w:left="139" w:right="135"/>
        <w:jc w:val="both"/>
      </w:pPr>
      <w:r>
        <w:t>Given the national context of anti-LGBTQ sentiment and policy, it is critical that the state respond to the rise of anti-LGBTQ efforts in Massachusetts. The Massachusetts Board of Library Commissioners found that</w:t>
      </w:r>
      <w:r>
        <w:rPr>
          <w:spacing w:val="-6"/>
        </w:rPr>
        <w:t xml:space="preserve"> </w:t>
      </w:r>
      <w:r>
        <w:t>formal</w:t>
      </w:r>
      <w:r>
        <w:rPr>
          <w:spacing w:val="-7"/>
        </w:rPr>
        <w:t xml:space="preserve"> </w:t>
      </w:r>
      <w:r>
        <w:t>and</w:t>
      </w:r>
      <w:r>
        <w:rPr>
          <w:spacing w:val="-7"/>
        </w:rPr>
        <w:t xml:space="preserve"> </w:t>
      </w:r>
      <w:r>
        <w:t>informal</w:t>
      </w:r>
      <w:r>
        <w:rPr>
          <w:spacing w:val="-7"/>
        </w:rPr>
        <w:t xml:space="preserve"> </w:t>
      </w:r>
      <w:r>
        <w:t>challenges</w:t>
      </w:r>
      <w:r>
        <w:rPr>
          <w:spacing w:val="-7"/>
        </w:rPr>
        <w:t xml:space="preserve"> </w:t>
      </w:r>
      <w:r>
        <w:t>against</w:t>
      </w:r>
      <w:r>
        <w:rPr>
          <w:spacing w:val="-6"/>
        </w:rPr>
        <w:t xml:space="preserve"> </w:t>
      </w:r>
      <w:r>
        <w:t>library</w:t>
      </w:r>
      <w:r>
        <w:rPr>
          <w:spacing w:val="-6"/>
        </w:rPr>
        <w:t xml:space="preserve"> </w:t>
      </w:r>
      <w:r>
        <w:t>books</w:t>
      </w:r>
      <w:r>
        <w:rPr>
          <w:spacing w:val="-6"/>
        </w:rPr>
        <w:t xml:space="preserve"> </w:t>
      </w:r>
      <w:r>
        <w:t>nearly</w:t>
      </w:r>
      <w:r>
        <w:rPr>
          <w:spacing w:val="-6"/>
        </w:rPr>
        <w:t xml:space="preserve"> </w:t>
      </w:r>
      <w:r>
        <w:t>quadrupled</w:t>
      </w:r>
      <w:r>
        <w:rPr>
          <w:spacing w:val="-7"/>
        </w:rPr>
        <w:t xml:space="preserve"> </w:t>
      </w:r>
      <w:r>
        <w:t>from</w:t>
      </w:r>
      <w:r>
        <w:rPr>
          <w:spacing w:val="-8"/>
        </w:rPr>
        <w:t xml:space="preserve"> </w:t>
      </w:r>
      <w:r>
        <w:t>2021</w:t>
      </w:r>
      <w:r>
        <w:rPr>
          <w:spacing w:val="-6"/>
        </w:rPr>
        <w:t xml:space="preserve"> </w:t>
      </w:r>
      <w:r>
        <w:t>to</w:t>
      </w:r>
      <w:r>
        <w:rPr>
          <w:spacing w:val="-5"/>
        </w:rPr>
        <w:t xml:space="preserve"> </w:t>
      </w:r>
      <w:r>
        <w:t>2022,</w:t>
      </w:r>
      <w:r>
        <w:rPr>
          <w:spacing w:val="-7"/>
        </w:rPr>
        <w:t xml:space="preserve"> </w:t>
      </w:r>
      <w:r>
        <w:t>including in school libraries.</w:t>
      </w:r>
      <w:hyperlink w:anchor="_bookmark49" w:history="1">
        <w:r>
          <w:rPr>
            <w:vertAlign w:val="superscript"/>
          </w:rPr>
          <w:t>13</w:t>
        </w:r>
      </w:hyperlink>
      <w:r>
        <w:t xml:space="preserve"> Additionally, the Safe Schools Program for LGBTQ Students provided support to several districts in the 2022-2023 school year around this issu</w:t>
      </w:r>
      <w:r>
        <w:t>e. However, some school districts do not have a clear review policy; school committees and superintendents should assist school districts and determine thoughtful processes for reviewing any books that are challenged.</w:t>
      </w:r>
    </w:p>
    <w:p w:rsidR="00200FDA" w:rsidRDefault="00200FDA">
      <w:pPr>
        <w:pStyle w:val="BodyText"/>
        <w:spacing w:before="9"/>
        <w:rPr>
          <w:sz w:val="32"/>
        </w:rPr>
      </w:pPr>
    </w:p>
    <w:p w:rsidR="00200FDA" w:rsidRDefault="00F76C4C">
      <w:pPr>
        <w:pStyle w:val="BodyText"/>
        <w:ind w:left="139" w:right="134"/>
        <w:jc w:val="both"/>
      </w:pPr>
      <w:r>
        <w:t>Furthermore, policymakers and educato</w:t>
      </w:r>
      <w:r>
        <w:t>rs should ensure that the contributions of LGBTQ people be included</w:t>
      </w:r>
      <w:r>
        <w:rPr>
          <w:spacing w:val="-5"/>
        </w:rPr>
        <w:t xml:space="preserve"> </w:t>
      </w:r>
      <w:r>
        <w:t>in</w:t>
      </w:r>
      <w:r>
        <w:rPr>
          <w:spacing w:val="-5"/>
        </w:rPr>
        <w:t xml:space="preserve"> </w:t>
      </w:r>
      <w:r>
        <w:t>all</w:t>
      </w:r>
      <w:r>
        <w:rPr>
          <w:spacing w:val="-5"/>
        </w:rPr>
        <w:t xml:space="preserve"> </w:t>
      </w:r>
      <w:r>
        <w:t>subject</w:t>
      </w:r>
      <w:r>
        <w:rPr>
          <w:spacing w:val="-4"/>
        </w:rPr>
        <w:t xml:space="preserve"> </w:t>
      </w:r>
      <w:r>
        <w:t>areas</w:t>
      </w:r>
      <w:r>
        <w:rPr>
          <w:spacing w:val="-7"/>
        </w:rPr>
        <w:t xml:space="preserve"> </w:t>
      </w:r>
      <w:r>
        <w:t>through</w:t>
      </w:r>
      <w:r>
        <w:rPr>
          <w:spacing w:val="-5"/>
        </w:rPr>
        <w:t xml:space="preserve"> </w:t>
      </w:r>
      <w:r>
        <w:t>the</w:t>
      </w:r>
      <w:r>
        <w:rPr>
          <w:spacing w:val="-4"/>
        </w:rPr>
        <w:t xml:space="preserve"> </w:t>
      </w:r>
      <w:r>
        <w:t>statewide</w:t>
      </w:r>
      <w:r>
        <w:rPr>
          <w:spacing w:val="-4"/>
        </w:rPr>
        <w:t xml:space="preserve"> </w:t>
      </w:r>
      <w:r>
        <w:t>frameworks,</w:t>
      </w:r>
      <w:r>
        <w:rPr>
          <w:spacing w:val="-4"/>
        </w:rPr>
        <w:t xml:space="preserve"> </w:t>
      </w:r>
      <w:r>
        <w:t>and</w:t>
      </w:r>
      <w:r>
        <w:rPr>
          <w:spacing w:val="-7"/>
        </w:rPr>
        <w:t xml:space="preserve"> </w:t>
      </w:r>
      <w:r>
        <w:t>that</w:t>
      </w:r>
      <w:r>
        <w:rPr>
          <w:spacing w:val="-4"/>
        </w:rPr>
        <w:t xml:space="preserve"> </w:t>
      </w:r>
      <w:r>
        <w:t>BIPOC</w:t>
      </w:r>
      <w:r>
        <w:rPr>
          <w:spacing w:val="-7"/>
        </w:rPr>
        <w:t xml:space="preserve"> </w:t>
      </w:r>
      <w:r>
        <w:t>histories</w:t>
      </w:r>
      <w:r>
        <w:rPr>
          <w:spacing w:val="-4"/>
        </w:rPr>
        <w:t xml:space="preserve"> </w:t>
      </w:r>
      <w:r>
        <w:t>are</w:t>
      </w:r>
      <w:r>
        <w:rPr>
          <w:spacing w:val="-6"/>
        </w:rPr>
        <w:t xml:space="preserve"> </w:t>
      </w:r>
      <w:r>
        <w:t>represented accurately</w:t>
      </w:r>
      <w:r>
        <w:rPr>
          <w:spacing w:val="-12"/>
        </w:rPr>
        <w:t xml:space="preserve"> </w:t>
      </w:r>
      <w:r>
        <w:t>in</w:t>
      </w:r>
      <w:r>
        <w:rPr>
          <w:spacing w:val="-11"/>
        </w:rPr>
        <w:t xml:space="preserve"> </w:t>
      </w:r>
      <w:r>
        <w:t>all</w:t>
      </w:r>
      <w:r>
        <w:rPr>
          <w:spacing w:val="-11"/>
        </w:rPr>
        <w:t xml:space="preserve"> </w:t>
      </w:r>
      <w:r>
        <w:t>subject</w:t>
      </w:r>
      <w:r>
        <w:rPr>
          <w:spacing w:val="-10"/>
        </w:rPr>
        <w:t xml:space="preserve"> </w:t>
      </w:r>
      <w:r>
        <w:t>areas.</w:t>
      </w:r>
      <w:r>
        <w:rPr>
          <w:spacing w:val="-11"/>
        </w:rPr>
        <w:t xml:space="preserve"> </w:t>
      </w:r>
      <w:r>
        <w:t>The</w:t>
      </w:r>
      <w:r>
        <w:rPr>
          <w:spacing w:val="-10"/>
        </w:rPr>
        <w:t xml:space="preserve"> </w:t>
      </w:r>
      <w:r>
        <w:t>MA</w:t>
      </w:r>
      <w:r>
        <w:rPr>
          <w:spacing w:val="-11"/>
        </w:rPr>
        <w:t xml:space="preserve"> </w:t>
      </w:r>
      <w:r>
        <w:t>All-Inclusive</w:t>
      </w:r>
      <w:r>
        <w:rPr>
          <w:spacing w:val="-10"/>
        </w:rPr>
        <w:t xml:space="preserve"> </w:t>
      </w:r>
      <w:r>
        <w:t>Curriculum</w:t>
      </w:r>
      <w:r>
        <w:rPr>
          <w:spacing w:val="-9"/>
        </w:rPr>
        <w:t xml:space="preserve"> </w:t>
      </w:r>
      <w:r>
        <w:t>Task</w:t>
      </w:r>
      <w:r>
        <w:rPr>
          <w:spacing w:val="-10"/>
        </w:rPr>
        <w:t xml:space="preserve"> </w:t>
      </w:r>
      <w:r>
        <w:t>Force,</w:t>
      </w:r>
      <w:r>
        <w:rPr>
          <w:spacing w:val="-13"/>
        </w:rPr>
        <w:t xml:space="preserve"> </w:t>
      </w:r>
      <w:r>
        <w:t>chaired</w:t>
      </w:r>
      <w:r>
        <w:rPr>
          <w:spacing w:val="-12"/>
        </w:rPr>
        <w:t xml:space="preserve"> </w:t>
      </w:r>
      <w:r>
        <w:t>by</w:t>
      </w:r>
      <w:r>
        <w:rPr>
          <w:spacing w:val="-10"/>
        </w:rPr>
        <w:t xml:space="preserve"> </w:t>
      </w:r>
      <w:r>
        <w:t>the</w:t>
      </w:r>
      <w:r>
        <w:rPr>
          <w:spacing w:val="-10"/>
        </w:rPr>
        <w:t xml:space="preserve"> </w:t>
      </w:r>
      <w:r>
        <w:t>Commission</w:t>
      </w:r>
      <w:r>
        <w:rPr>
          <w:spacing w:val="-11"/>
        </w:rPr>
        <w:t xml:space="preserve"> </w:t>
      </w:r>
      <w:r>
        <w:t>and its Safe Schools Program for LGBTQ Students, began in the summer of 2020 to advocate for LGBTQ inclusive</w:t>
      </w:r>
      <w:r>
        <w:rPr>
          <w:spacing w:val="-1"/>
        </w:rPr>
        <w:t xml:space="preserve"> </w:t>
      </w:r>
      <w:r>
        <w:t>curriculum</w:t>
      </w:r>
      <w:r>
        <w:rPr>
          <w:spacing w:val="-1"/>
        </w:rPr>
        <w:t xml:space="preserve"> </w:t>
      </w:r>
      <w:r>
        <w:t>across</w:t>
      </w:r>
      <w:r>
        <w:rPr>
          <w:spacing w:val="-4"/>
        </w:rPr>
        <w:t xml:space="preserve"> </w:t>
      </w:r>
      <w:r>
        <w:t>grade levels</w:t>
      </w:r>
      <w:r>
        <w:rPr>
          <w:spacing w:val="-2"/>
        </w:rPr>
        <w:t xml:space="preserve"> </w:t>
      </w:r>
      <w:r>
        <w:t>and school subject</w:t>
      </w:r>
      <w:r>
        <w:rPr>
          <w:spacing w:val="-1"/>
        </w:rPr>
        <w:t xml:space="preserve"> </w:t>
      </w:r>
      <w:r>
        <w:t>areas</w:t>
      </w:r>
      <w:r>
        <w:rPr>
          <w:spacing w:val="-2"/>
        </w:rPr>
        <w:t xml:space="preserve"> </w:t>
      </w:r>
      <w:r>
        <w:t>throughout</w:t>
      </w:r>
      <w:r>
        <w:rPr>
          <w:spacing w:val="-1"/>
        </w:rPr>
        <w:t xml:space="preserve"> </w:t>
      </w:r>
      <w:r>
        <w:t>the</w:t>
      </w:r>
      <w:r>
        <w:rPr>
          <w:spacing w:val="-1"/>
        </w:rPr>
        <w:t xml:space="preserve"> </w:t>
      </w:r>
      <w:r>
        <w:t xml:space="preserve">Commonwealth. </w:t>
      </w:r>
      <w:r>
        <w:rPr>
          <w:i/>
        </w:rPr>
        <w:t>An</w:t>
      </w:r>
      <w:r>
        <w:rPr>
          <w:i/>
          <w:spacing w:val="-3"/>
        </w:rPr>
        <w:t xml:space="preserve"> </w:t>
      </w:r>
      <w:r>
        <w:rPr>
          <w:i/>
        </w:rPr>
        <w:t>Act relative</w:t>
      </w:r>
      <w:r>
        <w:rPr>
          <w:i/>
          <w:spacing w:val="-9"/>
        </w:rPr>
        <w:t xml:space="preserve"> </w:t>
      </w:r>
      <w:r>
        <w:rPr>
          <w:i/>
        </w:rPr>
        <w:t>to</w:t>
      </w:r>
      <w:r>
        <w:rPr>
          <w:i/>
          <w:spacing w:val="-12"/>
        </w:rPr>
        <w:t xml:space="preserve"> </w:t>
      </w:r>
      <w:r>
        <w:rPr>
          <w:i/>
        </w:rPr>
        <w:t>LGBTQ</w:t>
      </w:r>
      <w:r>
        <w:rPr>
          <w:i/>
          <w:spacing w:val="-9"/>
        </w:rPr>
        <w:t xml:space="preserve"> </w:t>
      </w:r>
      <w:r>
        <w:rPr>
          <w:i/>
        </w:rPr>
        <w:t>inclusive</w:t>
      </w:r>
      <w:r>
        <w:rPr>
          <w:i/>
          <w:spacing w:val="-11"/>
        </w:rPr>
        <w:t xml:space="preserve"> </w:t>
      </w:r>
      <w:r>
        <w:rPr>
          <w:i/>
        </w:rPr>
        <w:t>curriculum</w:t>
      </w:r>
      <w:r>
        <w:rPr>
          <w:i/>
          <w:spacing w:val="-9"/>
        </w:rPr>
        <w:t xml:space="preserve"> </w:t>
      </w:r>
      <w:r>
        <w:t>would</w:t>
      </w:r>
      <w:r>
        <w:rPr>
          <w:spacing w:val="-10"/>
        </w:rPr>
        <w:t xml:space="preserve"> </w:t>
      </w:r>
      <w:r>
        <w:t>ensure</w:t>
      </w:r>
      <w:r>
        <w:rPr>
          <w:spacing w:val="-8"/>
        </w:rPr>
        <w:t xml:space="preserve"> </w:t>
      </w:r>
      <w:r>
        <w:t>that</w:t>
      </w:r>
      <w:r>
        <w:rPr>
          <w:spacing w:val="-8"/>
        </w:rPr>
        <w:t xml:space="preserve"> </w:t>
      </w:r>
      <w:r>
        <w:t>all</w:t>
      </w:r>
      <w:r>
        <w:rPr>
          <w:spacing w:val="-9"/>
        </w:rPr>
        <w:t xml:space="preserve"> </w:t>
      </w:r>
      <w:r>
        <w:t>students</w:t>
      </w:r>
      <w:r>
        <w:rPr>
          <w:spacing w:val="-9"/>
        </w:rPr>
        <w:t xml:space="preserve"> </w:t>
      </w:r>
      <w:r>
        <w:t>receive</w:t>
      </w:r>
      <w:r>
        <w:rPr>
          <w:spacing w:val="-8"/>
        </w:rPr>
        <w:t xml:space="preserve"> </w:t>
      </w:r>
      <w:r>
        <w:t>"sufficient</w:t>
      </w:r>
      <w:r>
        <w:rPr>
          <w:spacing w:val="-8"/>
        </w:rPr>
        <w:t xml:space="preserve"> </w:t>
      </w:r>
      <w:r>
        <w:t>instruction</w:t>
      </w:r>
      <w:r>
        <w:rPr>
          <w:spacing w:val="-10"/>
        </w:rPr>
        <w:t xml:space="preserve"> </w:t>
      </w:r>
      <w:r>
        <w:t>on</w:t>
      </w:r>
      <w:r>
        <w:rPr>
          <w:spacing w:val="-10"/>
        </w:rPr>
        <w:t xml:space="preserve"> </w:t>
      </w:r>
      <w:r>
        <w:t>the histories, roles, and contributions of lesbian, gay, bisexual, transgender, and queer people in the history of this country and this Commonwealth."</w:t>
      </w:r>
    </w:p>
    <w:p w:rsidR="00200FDA" w:rsidRDefault="00200FDA">
      <w:pPr>
        <w:pStyle w:val="BodyText"/>
        <w:spacing w:before="10"/>
        <w:rPr>
          <w:sz w:val="32"/>
        </w:rPr>
      </w:pPr>
    </w:p>
    <w:p w:rsidR="00200FDA" w:rsidRDefault="00F76C4C">
      <w:pPr>
        <w:pStyle w:val="BodyText"/>
        <w:ind w:left="140" w:right="130"/>
        <w:jc w:val="both"/>
      </w:pPr>
      <w:r>
        <w:t>In</w:t>
      </w:r>
      <w:r>
        <w:rPr>
          <w:spacing w:val="-13"/>
        </w:rPr>
        <w:t xml:space="preserve"> </w:t>
      </w:r>
      <w:r>
        <w:t>addition</w:t>
      </w:r>
      <w:r>
        <w:rPr>
          <w:spacing w:val="-12"/>
        </w:rPr>
        <w:t xml:space="preserve"> </w:t>
      </w:r>
      <w:r>
        <w:t>to</w:t>
      </w:r>
      <w:r>
        <w:rPr>
          <w:spacing w:val="-9"/>
        </w:rPr>
        <w:t xml:space="preserve"> </w:t>
      </w:r>
      <w:r>
        <w:t>history</w:t>
      </w:r>
      <w:r>
        <w:rPr>
          <w:spacing w:val="-10"/>
        </w:rPr>
        <w:t xml:space="preserve"> </w:t>
      </w:r>
      <w:r>
        <w:t>curriculum</w:t>
      </w:r>
      <w:r>
        <w:rPr>
          <w:spacing w:val="-9"/>
        </w:rPr>
        <w:t xml:space="preserve"> </w:t>
      </w:r>
      <w:r>
        <w:t>framewor</w:t>
      </w:r>
      <w:r>
        <w:t>ks,</w:t>
      </w:r>
      <w:r>
        <w:rPr>
          <w:spacing w:val="-13"/>
        </w:rPr>
        <w:t xml:space="preserve"> </w:t>
      </w:r>
      <w:r>
        <w:t>one</w:t>
      </w:r>
      <w:r>
        <w:rPr>
          <w:spacing w:val="-12"/>
        </w:rPr>
        <w:t xml:space="preserve"> </w:t>
      </w:r>
      <w:r>
        <w:t>area</w:t>
      </w:r>
      <w:r>
        <w:rPr>
          <w:spacing w:val="-13"/>
        </w:rPr>
        <w:t xml:space="preserve"> </w:t>
      </w:r>
      <w:r>
        <w:t>of</w:t>
      </w:r>
      <w:r>
        <w:rPr>
          <w:spacing w:val="-11"/>
        </w:rPr>
        <w:t xml:space="preserve"> </w:t>
      </w:r>
      <w:r>
        <w:t>particular</w:t>
      </w:r>
      <w:r>
        <w:rPr>
          <w:spacing w:val="-11"/>
        </w:rPr>
        <w:t xml:space="preserve"> </w:t>
      </w:r>
      <w:r>
        <w:t>importance</w:t>
      </w:r>
      <w:r>
        <w:rPr>
          <w:spacing w:val="-10"/>
        </w:rPr>
        <w:t xml:space="preserve"> </w:t>
      </w:r>
      <w:r>
        <w:t>is</w:t>
      </w:r>
      <w:r>
        <w:rPr>
          <w:spacing w:val="-13"/>
        </w:rPr>
        <w:t xml:space="preserve"> </w:t>
      </w:r>
      <w:r>
        <w:t>sexual</w:t>
      </w:r>
      <w:r>
        <w:rPr>
          <w:spacing w:val="-11"/>
        </w:rPr>
        <w:t xml:space="preserve"> </w:t>
      </w:r>
      <w:r>
        <w:t>health</w:t>
      </w:r>
      <w:r>
        <w:rPr>
          <w:spacing w:val="-13"/>
        </w:rPr>
        <w:t xml:space="preserve"> </w:t>
      </w:r>
      <w:r>
        <w:t>education and health education more broadly. The Safe Schools Program for LGBTQ Students has received an increase in requests to review human growth and development lessons to ensure that they are LGBTQ inclusive, as the frameworks for health education hav</w:t>
      </w:r>
      <w:r>
        <w:t>e not been updated since 1999. As noted in the sexual health section of this annual report, the Commission supports the passage of the Healthy Youth Act to require medically-accurate, consent-based, LGBTQ-inclusive sexual health education.</w:t>
      </w:r>
    </w:p>
    <w:p w:rsidR="00200FDA" w:rsidRDefault="00200FDA">
      <w:pPr>
        <w:jc w:val="both"/>
        <w:sectPr w:rsidR="00200FDA">
          <w:pgSz w:w="12240" w:h="15840"/>
          <w:pgMar w:top="1360" w:right="1300" w:bottom="1380" w:left="1300" w:header="761" w:footer="1132" w:gutter="0"/>
          <w:cols w:space="720"/>
        </w:sectPr>
      </w:pPr>
    </w:p>
    <w:p w:rsidR="00200FDA" w:rsidRDefault="00F76C4C">
      <w:pPr>
        <w:pStyle w:val="BodyText"/>
        <w:spacing w:before="64"/>
        <w:ind w:left="3475" w:right="135"/>
        <w:jc w:val="both"/>
      </w:pPr>
      <w:r>
        <w:rPr>
          <w:noProof/>
        </w:rPr>
        <w:lastRenderedPageBreak/>
        <w:drawing>
          <wp:anchor distT="0" distB="0" distL="0" distR="0" simplePos="0" relativeHeight="15744512" behindDoc="0" locked="0" layoutInCell="1" allowOverlap="1">
            <wp:simplePos x="0" y="0"/>
            <wp:positionH relativeFrom="page">
              <wp:posOffset>914400</wp:posOffset>
            </wp:positionH>
            <wp:positionV relativeFrom="paragraph">
              <wp:posOffset>41067</wp:posOffset>
            </wp:positionV>
            <wp:extent cx="2004059" cy="1758314"/>
            <wp:effectExtent l="0" t="0" r="0" b="0"/>
            <wp:wrapNone/>
            <wp:docPr id="11"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5.jpeg"/>
                    <pic:cNvPicPr/>
                  </pic:nvPicPr>
                  <pic:blipFill>
                    <a:blip r:embed="rId150" cstate="print"/>
                    <a:stretch>
                      <a:fillRect/>
                    </a:stretch>
                  </pic:blipFill>
                  <pic:spPr>
                    <a:xfrm>
                      <a:off x="0" y="0"/>
                      <a:ext cx="2004059" cy="1758314"/>
                    </a:xfrm>
                    <a:prstGeom prst="rect">
                      <a:avLst/>
                    </a:prstGeom>
                  </pic:spPr>
                </pic:pic>
              </a:graphicData>
            </a:graphic>
          </wp:anchor>
        </w:drawing>
      </w:r>
      <w:r>
        <w:t>A</w:t>
      </w:r>
      <w:r>
        <w:t>nother area of curricular importance is music and art education. Music</w:t>
      </w:r>
      <w:r>
        <w:rPr>
          <w:spacing w:val="-13"/>
        </w:rPr>
        <w:t xml:space="preserve"> </w:t>
      </w:r>
      <w:r>
        <w:t>and</w:t>
      </w:r>
      <w:r>
        <w:rPr>
          <w:spacing w:val="-12"/>
        </w:rPr>
        <w:t xml:space="preserve"> </w:t>
      </w:r>
      <w:r>
        <w:t>arts</w:t>
      </w:r>
      <w:r>
        <w:rPr>
          <w:spacing w:val="-13"/>
        </w:rPr>
        <w:t xml:space="preserve"> </w:t>
      </w:r>
      <w:r>
        <w:t>are</w:t>
      </w:r>
      <w:r>
        <w:rPr>
          <w:spacing w:val="-12"/>
        </w:rPr>
        <w:t xml:space="preserve"> </w:t>
      </w:r>
      <w:r>
        <w:t>the</w:t>
      </w:r>
      <w:r>
        <w:rPr>
          <w:spacing w:val="-13"/>
        </w:rPr>
        <w:t xml:space="preserve"> </w:t>
      </w:r>
      <w:r>
        <w:t>most</w:t>
      </w:r>
      <w:r>
        <w:rPr>
          <w:spacing w:val="-12"/>
        </w:rPr>
        <w:t xml:space="preserve"> </w:t>
      </w:r>
      <w:r>
        <w:t>popular</w:t>
      </w:r>
      <w:r>
        <w:rPr>
          <w:spacing w:val="-13"/>
        </w:rPr>
        <w:t xml:space="preserve"> </w:t>
      </w:r>
      <w:r>
        <w:t>extracurricular</w:t>
      </w:r>
      <w:r>
        <w:rPr>
          <w:spacing w:val="-12"/>
        </w:rPr>
        <w:t xml:space="preserve"> </w:t>
      </w:r>
      <w:r>
        <w:t>activities</w:t>
      </w:r>
      <w:r>
        <w:rPr>
          <w:spacing w:val="-12"/>
        </w:rPr>
        <w:t xml:space="preserve"> </w:t>
      </w:r>
      <w:r>
        <w:t>among LGBTQ high school students: a GLSEN survey found that 45.6% of LGBTQ secondary students</w:t>
      </w:r>
      <w:r>
        <w:rPr>
          <w:spacing w:val="-1"/>
        </w:rPr>
        <w:t xml:space="preserve"> </w:t>
      </w:r>
      <w:r>
        <w:t>reported being members of high sch</w:t>
      </w:r>
      <w:r>
        <w:t>ool music ensembles.</w:t>
      </w:r>
      <w:hyperlink w:anchor="_bookmark50" w:history="1">
        <w:r>
          <w:rPr>
            <w:vertAlign w:val="superscript"/>
          </w:rPr>
          <w:t>14</w:t>
        </w:r>
      </w:hyperlink>
      <w:r>
        <w:rPr>
          <w:spacing w:val="-3"/>
        </w:rPr>
        <w:t xml:space="preserve"> </w:t>
      </w:r>
      <w:r>
        <w:t>Further music education research published in 2018</w:t>
      </w:r>
      <w:r>
        <w:rPr>
          <w:spacing w:val="-12"/>
        </w:rPr>
        <w:t xml:space="preserve"> </w:t>
      </w:r>
      <w:r>
        <w:t>found</w:t>
      </w:r>
      <w:r>
        <w:rPr>
          <w:spacing w:val="-12"/>
        </w:rPr>
        <w:t xml:space="preserve"> </w:t>
      </w:r>
      <w:r>
        <w:t>that</w:t>
      </w:r>
      <w:r>
        <w:rPr>
          <w:spacing w:val="-13"/>
        </w:rPr>
        <w:t xml:space="preserve"> </w:t>
      </w:r>
      <w:r>
        <w:t>high</w:t>
      </w:r>
      <w:r>
        <w:rPr>
          <w:spacing w:val="-11"/>
        </w:rPr>
        <w:t xml:space="preserve"> </w:t>
      </w:r>
      <w:r>
        <w:t>school</w:t>
      </w:r>
      <w:r>
        <w:rPr>
          <w:spacing w:val="-11"/>
        </w:rPr>
        <w:t xml:space="preserve"> </w:t>
      </w:r>
      <w:r>
        <w:t>choral</w:t>
      </w:r>
      <w:r>
        <w:rPr>
          <w:spacing w:val="-11"/>
        </w:rPr>
        <w:t xml:space="preserve"> </w:t>
      </w:r>
      <w:r>
        <w:t>classrooms</w:t>
      </w:r>
      <w:r>
        <w:rPr>
          <w:spacing w:val="-13"/>
        </w:rPr>
        <w:t xml:space="preserve"> </w:t>
      </w:r>
      <w:r>
        <w:t>were</w:t>
      </w:r>
      <w:r>
        <w:rPr>
          <w:spacing w:val="-12"/>
        </w:rPr>
        <w:t xml:space="preserve"> </w:t>
      </w:r>
      <w:r>
        <w:t>largely</w:t>
      </w:r>
      <w:r>
        <w:rPr>
          <w:spacing w:val="-13"/>
        </w:rPr>
        <w:t xml:space="preserve"> </w:t>
      </w:r>
      <w:r>
        <w:t>safe</w:t>
      </w:r>
      <w:r>
        <w:rPr>
          <w:spacing w:val="-12"/>
        </w:rPr>
        <w:t xml:space="preserve"> </w:t>
      </w:r>
      <w:r>
        <w:t>and supportive</w:t>
      </w:r>
      <w:r>
        <w:rPr>
          <w:spacing w:val="-13"/>
        </w:rPr>
        <w:t xml:space="preserve"> </w:t>
      </w:r>
      <w:r>
        <w:t>spaces</w:t>
      </w:r>
      <w:r>
        <w:rPr>
          <w:spacing w:val="-12"/>
        </w:rPr>
        <w:t xml:space="preserve"> </w:t>
      </w:r>
      <w:r>
        <w:t>for</w:t>
      </w:r>
      <w:r>
        <w:rPr>
          <w:spacing w:val="-13"/>
        </w:rPr>
        <w:t xml:space="preserve"> </w:t>
      </w:r>
      <w:r>
        <w:t>LGBTQ</w:t>
      </w:r>
      <w:r>
        <w:rPr>
          <w:spacing w:val="-12"/>
        </w:rPr>
        <w:t xml:space="preserve"> </w:t>
      </w:r>
      <w:r>
        <w:t>students,</w:t>
      </w:r>
      <w:r>
        <w:rPr>
          <w:spacing w:val="-13"/>
        </w:rPr>
        <w:t xml:space="preserve"> </w:t>
      </w:r>
      <w:r>
        <w:t>many</w:t>
      </w:r>
      <w:r>
        <w:rPr>
          <w:spacing w:val="-12"/>
        </w:rPr>
        <w:t xml:space="preserve"> </w:t>
      </w:r>
      <w:r>
        <w:t>of</w:t>
      </w:r>
      <w:r>
        <w:rPr>
          <w:spacing w:val="-13"/>
        </w:rPr>
        <w:t xml:space="preserve"> </w:t>
      </w:r>
      <w:r>
        <w:t>whom</w:t>
      </w:r>
      <w:r>
        <w:rPr>
          <w:spacing w:val="-12"/>
        </w:rPr>
        <w:t xml:space="preserve"> </w:t>
      </w:r>
      <w:r>
        <w:t>became</w:t>
      </w:r>
      <w:r>
        <w:rPr>
          <w:spacing w:val="-12"/>
        </w:rPr>
        <w:t xml:space="preserve"> </w:t>
      </w:r>
      <w:r>
        <w:t>more open about their sexualit</w:t>
      </w:r>
      <w:r>
        <w:t xml:space="preserve">y through their experience singing in an ensemble. </w:t>
      </w:r>
      <w:hyperlink w:anchor="_bookmark51" w:history="1">
        <w:r>
          <w:rPr>
            <w:vertAlign w:val="superscript"/>
          </w:rPr>
          <w:t>15</w:t>
        </w:r>
      </w:hyperlink>
      <w:r>
        <w:t xml:space="preserve"> Choral classes are particularly meaningful for transgender students, as singing can help one navigate the relationship</w:t>
      </w:r>
      <w:r>
        <w:rPr>
          <w:spacing w:val="34"/>
        </w:rPr>
        <w:t xml:space="preserve">  </w:t>
      </w:r>
      <w:r>
        <w:t>between</w:t>
      </w:r>
      <w:r>
        <w:rPr>
          <w:spacing w:val="35"/>
        </w:rPr>
        <w:t xml:space="preserve">  </w:t>
      </w:r>
      <w:r>
        <w:t>one’s</w:t>
      </w:r>
      <w:r>
        <w:rPr>
          <w:spacing w:val="36"/>
        </w:rPr>
        <w:t xml:space="preserve">  </w:t>
      </w:r>
      <w:r>
        <w:t>identity</w:t>
      </w:r>
      <w:r>
        <w:rPr>
          <w:spacing w:val="35"/>
        </w:rPr>
        <w:t xml:space="preserve">  </w:t>
      </w:r>
      <w:r>
        <w:t>and</w:t>
      </w:r>
      <w:r>
        <w:rPr>
          <w:spacing w:val="35"/>
        </w:rPr>
        <w:t xml:space="preserve">  </w:t>
      </w:r>
      <w:r>
        <w:t>voice.</w:t>
      </w:r>
      <w:r>
        <w:rPr>
          <w:spacing w:val="57"/>
        </w:rPr>
        <w:t xml:space="preserve"> </w:t>
      </w:r>
      <w:hyperlink w:anchor="_bookmark52" w:history="1">
        <w:r>
          <w:rPr>
            <w:vertAlign w:val="superscript"/>
          </w:rPr>
          <w:t>16</w:t>
        </w:r>
      </w:hyperlink>
      <w:r>
        <w:rPr>
          <w:spacing w:val="73"/>
          <w:w w:val="150"/>
        </w:rPr>
        <w:t xml:space="preserve"> </w:t>
      </w:r>
      <w:r>
        <w:rPr>
          <w:spacing w:val="-2"/>
        </w:rPr>
        <w:t>Culturally</w:t>
      </w:r>
    </w:p>
    <w:p w:rsidR="00200FDA" w:rsidRDefault="00F76C4C">
      <w:pPr>
        <w:pStyle w:val="BodyText"/>
        <w:ind w:left="139" w:right="135"/>
        <w:jc w:val="both"/>
      </w:pPr>
      <w:r>
        <w:t>responsive music education that includes popular and contemporary music is also found to promote resilience and open therapeutic space for QTBIPOC students.</w:t>
      </w:r>
      <w:hyperlink w:anchor="_bookmark53" w:history="1">
        <w:r>
          <w:rPr>
            <w:vertAlign w:val="superscript"/>
          </w:rPr>
          <w:t>17</w:t>
        </w:r>
      </w:hyperlink>
    </w:p>
    <w:p w:rsidR="00200FDA" w:rsidRDefault="00200FDA">
      <w:pPr>
        <w:pStyle w:val="BodyText"/>
        <w:spacing w:before="8"/>
        <w:rPr>
          <w:sz w:val="32"/>
        </w:rPr>
      </w:pPr>
    </w:p>
    <w:p w:rsidR="00200FDA" w:rsidRDefault="00F76C4C">
      <w:pPr>
        <w:pStyle w:val="BodyText"/>
        <w:ind w:left="139" w:right="132"/>
        <w:jc w:val="both"/>
      </w:pPr>
      <w:r>
        <w:t xml:space="preserve">According to the Arts </w:t>
      </w:r>
      <w:r>
        <w:t>Education Data Project, 98% of Massachusetts schools provided access to arts instruction in the 2021-2022 school year.</w:t>
      </w:r>
      <w:hyperlink w:anchor="_bookmark54" w:history="1">
        <w:r>
          <w:rPr>
            <w:vertAlign w:val="superscript"/>
          </w:rPr>
          <w:t>18</w:t>
        </w:r>
      </w:hyperlink>
      <w:r>
        <w:t xml:space="preserve"> While most elementary school students (94%) and middle school students (93%) participate in required gen</w:t>
      </w:r>
      <w:r>
        <w:t>eral music or visual arts courses, only 50% of Massachusetts high school students were enrolled in an arts course.</w:t>
      </w:r>
      <w:hyperlink w:anchor="_bookmark55" w:history="1">
        <w:r>
          <w:rPr>
            <w:vertAlign w:val="superscript"/>
          </w:rPr>
          <w:t>19</w:t>
        </w:r>
      </w:hyperlink>
      <w:r>
        <w:t xml:space="preserve"> Although Massachusetts has a higher rate of arts education enrollment than</w:t>
      </w:r>
      <w:r>
        <w:rPr>
          <w:spacing w:val="-2"/>
        </w:rPr>
        <w:t xml:space="preserve"> </w:t>
      </w:r>
      <w:r>
        <w:t>many other states, there were sti</w:t>
      </w:r>
      <w:r>
        <w:t>ll</w:t>
      </w:r>
      <w:r>
        <w:rPr>
          <w:spacing w:val="-1"/>
        </w:rPr>
        <w:t xml:space="preserve"> </w:t>
      </w:r>
      <w:r>
        <w:t>8,206 students without access to any arts courses at their school in the 2021-2022 school year.</w:t>
      </w:r>
      <w:hyperlink w:anchor="_bookmark56" w:history="1">
        <w:r>
          <w:rPr>
            <w:vertAlign w:val="superscript"/>
          </w:rPr>
          <w:t>20</w:t>
        </w:r>
      </w:hyperlink>
      <w:r>
        <w:t xml:space="preserve"> Massachusetts’ continued investment in expanding equitable access to a quality arts education for all students would ultimat</w:t>
      </w:r>
      <w:r>
        <w:t>ely support the creation and growth of safe, supportive school environments for our LGBTQ youth.</w:t>
      </w:r>
    </w:p>
    <w:p w:rsidR="00200FDA" w:rsidRDefault="00200FDA">
      <w:pPr>
        <w:pStyle w:val="BodyText"/>
        <w:spacing w:before="10"/>
        <w:rPr>
          <w:sz w:val="32"/>
        </w:rPr>
      </w:pPr>
    </w:p>
    <w:p w:rsidR="00200FDA" w:rsidRDefault="00F76C4C">
      <w:pPr>
        <w:pStyle w:val="BodyText"/>
        <w:ind w:left="139" w:right="133"/>
        <w:jc w:val="both"/>
      </w:pPr>
      <w:r>
        <w:t xml:space="preserve">Finally, though sparse, current research about LGBTQ participation in school sports specifically recommends that administrators develop policies that protect </w:t>
      </w:r>
      <w:r>
        <w:t>gender-expansive youths’ access to athletics. Participation in sports has been linked to higher self-esteem and school belonging and less depressive symptoms. Notably, the same research suggests that gender expansive youth do not always know that local and</w:t>
      </w:r>
      <w:r>
        <w:t xml:space="preserve"> state policies already protect them.</w:t>
      </w:r>
      <w:r>
        <w:rPr>
          <w:spacing w:val="-13"/>
        </w:rPr>
        <w:t xml:space="preserve"> </w:t>
      </w:r>
      <w:hyperlink w:anchor="_bookmark57" w:history="1">
        <w:r>
          <w:rPr>
            <w:vertAlign w:val="superscript"/>
          </w:rPr>
          <w:t>21</w:t>
        </w:r>
      </w:hyperlink>
      <w:r>
        <w:t xml:space="preserve"> Coaches and administrators can play a supportive role by ensuring</w:t>
      </w:r>
      <w:r>
        <w:rPr>
          <w:spacing w:val="-3"/>
        </w:rPr>
        <w:t xml:space="preserve"> </w:t>
      </w:r>
      <w:r>
        <w:t>that policies</w:t>
      </w:r>
      <w:r>
        <w:rPr>
          <w:spacing w:val="-2"/>
        </w:rPr>
        <w:t xml:space="preserve"> </w:t>
      </w:r>
      <w:r>
        <w:t>are clear, publicly known, and</w:t>
      </w:r>
      <w:r>
        <w:rPr>
          <w:spacing w:val="-3"/>
        </w:rPr>
        <w:t xml:space="preserve"> </w:t>
      </w:r>
      <w:r>
        <w:t>enforced.</w:t>
      </w:r>
      <w:r>
        <w:rPr>
          <w:spacing w:val="-2"/>
        </w:rPr>
        <w:t xml:space="preserve"> </w:t>
      </w:r>
      <w:r>
        <w:t>For athletics,</w:t>
      </w:r>
      <w:r>
        <w:rPr>
          <w:spacing w:val="-2"/>
        </w:rPr>
        <w:t xml:space="preserve"> </w:t>
      </w:r>
      <w:r>
        <w:t>MIAA has developed</w:t>
      </w:r>
      <w:r>
        <w:rPr>
          <w:spacing w:val="-7"/>
        </w:rPr>
        <w:t xml:space="preserve"> </w:t>
      </w:r>
      <w:r>
        <w:t>a</w:t>
      </w:r>
      <w:r>
        <w:rPr>
          <w:spacing w:val="-9"/>
        </w:rPr>
        <w:t xml:space="preserve"> </w:t>
      </w:r>
      <w:r>
        <w:t>supportive</w:t>
      </w:r>
      <w:r>
        <w:rPr>
          <w:spacing w:val="-6"/>
        </w:rPr>
        <w:t xml:space="preserve"> </w:t>
      </w:r>
      <w:r>
        <w:t>policy</w:t>
      </w:r>
      <w:r>
        <w:rPr>
          <w:spacing w:val="-6"/>
        </w:rPr>
        <w:t xml:space="preserve"> </w:t>
      </w:r>
      <w:r>
        <w:t>developed</w:t>
      </w:r>
      <w:r>
        <w:rPr>
          <w:spacing w:val="-7"/>
        </w:rPr>
        <w:t xml:space="preserve"> </w:t>
      </w:r>
      <w:r>
        <w:t>by</w:t>
      </w:r>
      <w:r>
        <w:rPr>
          <w:spacing w:val="-8"/>
        </w:rPr>
        <w:t xml:space="preserve"> </w:t>
      </w:r>
      <w:r>
        <w:t>MIAA</w:t>
      </w:r>
      <w:r>
        <w:rPr>
          <w:spacing w:val="-10"/>
        </w:rPr>
        <w:t xml:space="preserve"> </w:t>
      </w:r>
      <w:r>
        <w:t>that</w:t>
      </w:r>
      <w:r>
        <w:rPr>
          <w:spacing w:val="-9"/>
        </w:rPr>
        <w:t xml:space="preserve"> </w:t>
      </w:r>
      <w:r>
        <w:t>asserts</w:t>
      </w:r>
      <w:r>
        <w:rPr>
          <w:spacing w:val="-9"/>
        </w:rPr>
        <w:t xml:space="preserve"> </w:t>
      </w:r>
      <w:r>
        <w:t>that</w:t>
      </w:r>
      <w:r>
        <w:rPr>
          <w:spacing w:val="-9"/>
        </w:rPr>
        <w:t xml:space="preserve"> </w:t>
      </w:r>
      <w:r>
        <w:t>students</w:t>
      </w:r>
      <w:r>
        <w:rPr>
          <w:spacing w:val="-9"/>
        </w:rPr>
        <w:t xml:space="preserve"> </w:t>
      </w:r>
      <w:r>
        <w:t>should</w:t>
      </w:r>
      <w:r>
        <w:rPr>
          <w:spacing w:val="-7"/>
        </w:rPr>
        <w:t xml:space="preserve"> </w:t>
      </w:r>
      <w:r>
        <w:t>be</w:t>
      </w:r>
      <w:r>
        <w:rPr>
          <w:spacing w:val="-6"/>
        </w:rPr>
        <w:t xml:space="preserve"> </w:t>
      </w:r>
      <w:r>
        <w:t>able</w:t>
      </w:r>
      <w:r>
        <w:rPr>
          <w:spacing w:val="-6"/>
        </w:rPr>
        <w:t xml:space="preserve"> </w:t>
      </w:r>
      <w:r>
        <w:t>to</w:t>
      </w:r>
      <w:r>
        <w:rPr>
          <w:spacing w:val="-5"/>
        </w:rPr>
        <w:t xml:space="preserve"> </w:t>
      </w:r>
      <w:r>
        <w:t xml:space="preserve">participate </w:t>
      </w:r>
      <w:bookmarkStart w:id="115" w:name="District_Policies"/>
      <w:bookmarkEnd w:id="115"/>
      <w:r>
        <w:t>in the sports team that aligns with their gender identity.</w:t>
      </w:r>
      <w:hyperlink w:anchor="_bookmark58" w:history="1">
        <w:r>
          <w:rPr>
            <w:vertAlign w:val="superscript"/>
          </w:rPr>
          <w:t>22</w:t>
        </w:r>
      </w:hyperlink>
    </w:p>
    <w:p w:rsidR="00200FDA" w:rsidRDefault="00200FDA">
      <w:pPr>
        <w:pStyle w:val="BodyText"/>
        <w:rPr>
          <w:sz w:val="24"/>
        </w:rPr>
      </w:pPr>
    </w:p>
    <w:p w:rsidR="00200FDA" w:rsidRDefault="00F76C4C">
      <w:pPr>
        <w:pStyle w:val="Heading8"/>
        <w:spacing w:before="160"/>
      </w:pPr>
      <w:r>
        <w:rPr>
          <w:color w:val="365F91"/>
        </w:rPr>
        <w:t>District</w:t>
      </w:r>
      <w:r>
        <w:rPr>
          <w:color w:val="365F91"/>
          <w:spacing w:val="-1"/>
        </w:rPr>
        <w:t xml:space="preserve"> </w:t>
      </w:r>
      <w:r>
        <w:rPr>
          <w:color w:val="365F91"/>
          <w:spacing w:val="-2"/>
        </w:rPr>
        <w:t>Policies</w:t>
      </w:r>
    </w:p>
    <w:p w:rsidR="00200FDA" w:rsidRDefault="00200FDA">
      <w:pPr>
        <w:pStyle w:val="BodyText"/>
        <w:spacing w:before="10"/>
        <w:rPr>
          <w:sz w:val="32"/>
        </w:rPr>
      </w:pPr>
    </w:p>
    <w:p w:rsidR="00200FDA" w:rsidRDefault="00F76C4C">
      <w:pPr>
        <w:pStyle w:val="BodyText"/>
        <w:ind w:left="139" w:right="135"/>
        <w:jc w:val="both"/>
      </w:pPr>
      <w:r>
        <w:t>Last year, the Commission published a special report on LGBTQ inclusive education policy, which examined whether more than 1,700 Massachusetts public schools include LGBTQ-specific language in their 2021-2022 student/caregiver handbooks. The review found t</w:t>
      </w:r>
      <w:r>
        <w:t>hat about one-fifth of public schools did not include “gender identity” as a protected class in their handbooks.</w:t>
      </w:r>
    </w:p>
    <w:p w:rsidR="00200FDA" w:rsidRDefault="00200FDA">
      <w:pPr>
        <w:pStyle w:val="BodyText"/>
        <w:spacing w:before="9"/>
        <w:rPr>
          <w:sz w:val="32"/>
        </w:rPr>
      </w:pPr>
    </w:p>
    <w:p w:rsidR="00200FDA" w:rsidRDefault="00F76C4C">
      <w:pPr>
        <w:pStyle w:val="BodyText"/>
        <w:ind w:left="138" w:right="136"/>
        <w:jc w:val="both"/>
      </w:pPr>
      <w:r>
        <w:t>This year’s follow-up review examines whether district-level policies of Massachusetts public schools include guidance around supporting transgender/nonbinary students. These policies provide language beyond the required inclusion of “gender identity” in t</w:t>
      </w:r>
      <w:r>
        <w:t>he district’s anti-discrimination statutes, or the commonplace anti-bullying provision that acknowledges the disproportionate rates of bullying among LGBTQ</w:t>
      </w:r>
      <w:r>
        <w:rPr>
          <w:spacing w:val="-13"/>
        </w:rPr>
        <w:t xml:space="preserve"> </w:t>
      </w:r>
      <w:r>
        <w:t>students.</w:t>
      </w:r>
      <w:r>
        <w:rPr>
          <w:spacing w:val="-12"/>
        </w:rPr>
        <w:t xml:space="preserve"> </w:t>
      </w:r>
      <w:r>
        <w:t>This</w:t>
      </w:r>
      <w:r>
        <w:rPr>
          <w:spacing w:val="-13"/>
        </w:rPr>
        <w:t xml:space="preserve"> </w:t>
      </w:r>
      <w:r>
        <w:t>review</w:t>
      </w:r>
      <w:r>
        <w:rPr>
          <w:spacing w:val="-12"/>
        </w:rPr>
        <w:t xml:space="preserve"> </w:t>
      </w:r>
      <w:r>
        <w:t>was</w:t>
      </w:r>
      <w:r>
        <w:rPr>
          <w:spacing w:val="-13"/>
        </w:rPr>
        <w:t xml:space="preserve"> </w:t>
      </w:r>
      <w:r>
        <w:t>able</w:t>
      </w:r>
      <w:r>
        <w:rPr>
          <w:spacing w:val="-12"/>
        </w:rPr>
        <w:t xml:space="preserve"> </w:t>
      </w:r>
      <w:r>
        <w:t>to</w:t>
      </w:r>
      <w:r>
        <w:rPr>
          <w:spacing w:val="-13"/>
        </w:rPr>
        <w:t xml:space="preserve"> </w:t>
      </w:r>
      <w:r>
        <w:t>locate</w:t>
      </w:r>
      <w:r>
        <w:rPr>
          <w:spacing w:val="-12"/>
        </w:rPr>
        <w:t xml:space="preserve"> </w:t>
      </w:r>
      <w:r>
        <w:t>1,842</w:t>
      </w:r>
      <w:r>
        <w:rPr>
          <w:spacing w:val="-12"/>
        </w:rPr>
        <w:t xml:space="preserve"> </w:t>
      </w:r>
      <w:r>
        <w:t>of</w:t>
      </w:r>
      <w:r>
        <w:rPr>
          <w:spacing w:val="-13"/>
        </w:rPr>
        <w:t xml:space="preserve"> </w:t>
      </w:r>
      <w:r>
        <w:t>1,851</w:t>
      </w:r>
      <w:r>
        <w:rPr>
          <w:spacing w:val="-12"/>
        </w:rPr>
        <w:t xml:space="preserve"> </w:t>
      </w:r>
      <w:r>
        <w:t>(99%)</w:t>
      </w:r>
      <w:r>
        <w:rPr>
          <w:spacing w:val="-13"/>
        </w:rPr>
        <w:t xml:space="preserve"> </w:t>
      </w:r>
      <w:r>
        <w:t>Massachusetts</w:t>
      </w:r>
      <w:r>
        <w:rPr>
          <w:spacing w:val="-12"/>
        </w:rPr>
        <w:t xml:space="preserve"> </w:t>
      </w:r>
      <w:r>
        <w:t>public</w:t>
      </w:r>
      <w:r>
        <w:rPr>
          <w:spacing w:val="-13"/>
        </w:rPr>
        <w:t xml:space="preserve"> </w:t>
      </w:r>
      <w:r>
        <w:t>schools’</w:t>
      </w:r>
      <w:r>
        <w:rPr>
          <w:spacing w:val="-12"/>
        </w:rPr>
        <w:t xml:space="preserve"> </w:t>
      </w:r>
      <w:r>
        <w:t>district</w:t>
      </w:r>
      <w:r>
        <w:t xml:space="preserve"> policies for the 2022-2023 school year. 358 of 1,842 schools (19.4%) are subject to specific district-level</w:t>
      </w:r>
    </w:p>
    <w:p w:rsidR="00200FDA" w:rsidRDefault="00200FDA">
      <w:pPr>
        <w:jc w:val="both"/>
        <w:sectPr w:rsidR="00200FDA">
          <w:pgSz w:w="12240" w:h="15840"/>
          <w:pgMar w:top="1360" w:right="1300" w:bottom="1380" w:left="1300" w:header="761" w:footer="1132" w:gutter="0"/>
          <w:cols w:space="720"/>
        </w:sectPr>
      </w:pPr>
    </w:p>
    <w:p w:rsidR="00200FDA" w:rsidRDefault="00F76C4C">
      <w:pPr>
        <w:pStyle w:val="BodyText"/>
        <w:spacing w:before="64"/>
        <w:ind w:left="140" w:right="135" w:hanging="1"/>
        <w:jc w:val="both"/>
      </w:pPr>
      <w:bookmarkStart w:id="116" w:name="_bookmark51"/>
      <w:bookmarkEnd w:id="116"/>
      <w:r>
        <w:lastRenderedPageBreak/>
        <w:t>policies</w:t>
      </w:r>
      <w:r>
        <w:rPr>
          <w:spacing w:val="-13"/>
        </w:rPr>
        <w:t xml:space="preserve"> </w:t>
      </w:r>
      <w:r>
        <w:t>related</w:t>
      </w:r>
      <w:r>
        <w:rPr>
          <w:spacing w:val="-12"/>
        </w:rPr>
        <w:t xml:space="preserve"> </w:t>
      </w:r>
      <w:r>
        <w:t>to</w:t>
      </w:r>
      <w:r>
        <w:rPr>
          <w:spacing w:val="-13"/>
        </w:rPr>
        <w:t xml:space="preserve"> </w:t>
      </w:r>
      <w:r>
        <w:t>gender</w:t>
      </w:r>
      <w:r>
        <w:rPr>
          <w:spacing w:val="-12"/>
        </w:rPr>
        <w:t xml:space="preserve"> </w:t>
      </w:r>
      <w:r>
        <w:t>identity</w:t>
      </w:r>
      <w:r>
        <w:rPr>
          <w:spacing w:val="-13"/>
        </w:rPr>
        <w:t xml:space="preserve"> </w:t>
      </w:r>
      <w:r>
        <w:t>and</w:t>
      </w:r>
      <w:r>
        <w:rPr>
          <w:spacing w:val="-12"/>
        </w:rPr>
        <w:t xml:space="preserve"> </w:t>
      </w:r>
      <w:r>
        <w:t>supporting</w:t>
      </w:r>
      <w:r>
        <w:rPr>
          <w:spacing w:val="-13"/>
        </w:rPr>
        <w:t xml:space="preserve"> </w:t>
      </w:r>
      <w:r>
        <w:t>trans/nonbinary</w:t>
      </w:r>
      <w:r>
        <w:rPr>
          <w:spacing w:val="-12"/>
        </w:rPr>
        <w:t xml:space="preserve"> </w:t>
      </w:r>
      <w:r>
        <w:t>students;</w:t>
      </w:r>
      <w:r>
        <w:rPr>
          <w:spacing w:val="-12"/>
        </w:rPr>
        <w:t xml:space="preserve"> </w:t>
      </w:r>
      <w:r>
        <w:t>these</w:t>
      </w:r>
      <w:r>
        <w:rPr>
          <w:spacing w:val="-13"/>
        </w:rPr>
        <w:t xml:space="preserve"> </w:t>
      </w:r>
      <w:r>
        <w:t>policies</w:t>
      </w:r>
      <w:r>
        <w:rPr>
          <w:spacing w:val="-12"/>
        </w:rPr>
        <w:t xml:space="preserve"> </w:t>
      </w:r>
      <w:r>
        <w:t>are</w:t>
      </w:r>
      <w:r>
        <w:rPr>
          <w:spacing w:val="-13"/>
        </w:rPr>
        <w:t xml:space="preserve"> </w:t>
      </w:r>
      <w:r>
        <w:t>maintained by 25 public school districts and 8 public charter schools/districts across the Commonwealth.</w:t>
      </w:r>
    </w:p>
    <w:p w:rsidR="00200FDA" w:rsidRDefault="00200FDA">
      <w:pPr>
        <w:pStyle w:val="BodyText"/>
        <w:spacing w:before="8"/>
        <w:rPr>
          <w:sz w:val="32"/>
        </w:rPr>
      </w:pPr>
    </w:p>
    <w:p w:rsidR="00200FDA" w:rsidRDefault="00F76C4C">
      <w:pPr>
        <w:pStyle w:val="BodyText"/>
        <w:ind w:left="140" w:right="133"/>
        <w:jc w:val="both"/>
      </w:pPr>
      <w:r>
        <w:t>These policies are most often located in Section A (Foundations and Basic Commitments) or Section J (Students) of Massachusetts school committee polic</w:t>
      </w:r>
      <w:r>
        <w:t>y manuals. Some districts also include specific guidance around</w:t>
      </w:r>
      <w:r>
        <w:rPr>
          <w:spacing w:val="-4"/>
        </w:rPr>
        <w:t xml:space="preserve"> </w:t>
      </w:r>
      <w:r>
        <w:t>trans inclusion</w:t>
      </w:r>
      <w:r>
        <w:rPr>
          <w:spacing w:val="-1"/>
        </w:rPr>
        <w:t xml:space="preserve"> </w:t>
      </w:r>
      <w:r>
        <w:t>in</w:t>
      </w:r>
      <w:r>
        <w:rPr>
          <w:spacing w:val="-4"/>
        </w:rPr>
        <w:t xml:space="preserve"> </w:t>
      </w:r>
      <w:r>
        <w:t>their</w:t>
      </w:r>
      <w:r>
        <w:rPr>
          <w:spacing w:val="-1"/>
        </w:rPr>
        <w:t xml:space="preserve"> </w:t>
      </w:r>
      <w:r>
        <w:t>athletics</w:t>
      </w:r>
      <w:r>
        <w:rPr>
          <w:spacing w:val="-3"/>
        </w:rPr>
        <w:t xml:space="preserve"> </w:t>
      </w:r>
      <w:r>
        <w:t>policies, administrative procedural</w:t>
      </w:r>
      <w:r>
        <w:rPr>
          <w:spacing w:val="-1"/>
        </w:rPr>
        <w:t xml:space="preserve"> </w:t>
      </w:r>
      <w:r>
        <w:t>guidelines, and</w:t>
      </w:r>
      <w:r>
        <w:rPr>
          <w:spacing w:val="-4"/>
        </w:rPr>
        <w:t xml:space="preserve"> </w:t>
      </w:r>
      <w:r>
        <w:t xml:space="preserve">staff </w:t>
      </w:r>
      <w:r>
        <w:rPr>
          <w:spacing w:val="-2"/>
        </w:rPr>
        <w:t>policies.</w:t>
      </w:r>
    </w:p>
    <w:p w:rsidR="00200FDA" w:rsidRDefault="00200FDA">
      <w:pPr>
        <w:pStyle w:val="BodyText"/>
        <w:rPr>
          <w:sz w:val="20"/>
        </w:rPr>
      </w:pPr>
    </w:p>
    <w:p w:rsidR="00200FDA" w:rsidRDefault="00F76C4C">
      <w:pPr>
        <w:pStyle w:val="BodyText"/>
        <w:spacing w:before="11"/>
        <w:rPr>
          <w:sz w:val="25"/>
        </w:rPr>
      </w:pPr>
      <w:r>
        <w:rPr>
          <w:noProof/>
        </w:rPr>
        <w:drawing>
          <wp:anchor distT="0" distB="0" distL="0" distR="0" simplePos="0" relativeHeight="32" behindDoc="0" locked="0" layoutInCell="1" allowOverlap="1">
            <wp:simplePos x="0" y="0"/>
            <wp:positionH relativeFrom="page">
              <wp:posOffset>937617</wp:posOffset>
            </wp:positionH>
            <wp:positionV relativeFrom="paragraph">
              <wp:posOffset>216432</wp:posOffset>
            </wp:positionV>
            <wp:extent cx="5807087" cy="3863340"/>
            <wp:effectExtent l="0" t="0" r="0" b="0"/>
            <wp:wrapTopAndBottom/>
            <wp:docPr id="13"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6.jpeg"/>
                    <pic:cNvPicPr/>
                  </pic:nvPicPr>
                  <pic:blipFill>
                    <a:blip r:embed="rId151" cstate="print"/>
                    <a:stretch>
                      <a:fillRect/>
                    </a:stretch>
                  </pic:blipFill>
                  <pic:spPr>
                    <a:xfrm>
                      <a:off x="0" y="0"/>
                      <a:ext cx="5807087" cy="3863340"/>
                    </a:xfrm>
                    <a:prstGeom prst="rect">
                      <a:avLst/>
                    </a:prstGeom>
                  </pic:spPr>
                </pic:pic>
              </a:graphicData>
            </a:graphic>
          </wp:anchor>
        </w:drawing>
      </w:r>
    </w:p>
    <w:p w:rsidR="00200FDA" w:rsidRDefault="00200FDA">
      <w:pPr>
        <w:pStyle w:val="BodyText"/>
        <w:spacing w:before="8"/>
        <w:rPr>
          <w:sz w:val="17"/>
        </w:rPr>
      </w:pPr>
    </w:p>
    <w:p w:rsidR="00200FDA" w:rsidRDefault="00F76C4C">
      <w:pPr>
        <w:ind w:left="140"/>
        <w:jc w:val="both"/>
        <w:rPr>
          <w:rFonts w:ascii="Cambria" w:hAnsi="Cambria"/>
          <w:b/>
          <w:sz w:val="20"/>
        </w:rPr>
      </w:pPr>
      <w:bookmarkStart w:id="117" w:name="_bookmark37"/>
      <w:bookmarkStart w:id="118" w:name="_bookmark38"/>
      <w:bookmarkStart w:id="119" w:name="_bookmark39"/>
      <w:bookmarkStart w:id="120" w:name="_bookmark40"/>
      <w:bookmarkStart w:id="121" w:name="_bookmark41"/>
      <w:bookmarkStart w:id="122" w:name="_bookmark42"/>
      <w:bookmarkStart w:id="123" w:name="_bookmark43"/>
      <w:bookmarkEnd w:id="117"/>
      <w:bookmarkEnd w:id="118"/>
      <w:bookmarkEnd w:id="119"/>
      <w:bookmarkEnd w:id="120"/>
      <w:bookmarkEnd w:id="121"/>
      <w:bookmarkEnd w:id="122"/>
      <w:bookmarkEnd w:id="123"/>
      <w:r>
        <w:rPr>
          <w:rFonts w:ascii="Cambria" w:hAnsi="Cambria"/>
          <w:b/>
          <w:color w:val="404040"/>
          <w:sz w:val="20"/>
        </w:rPr>
        <w:t>Figure</w:t>
      </w:r>
      <w:r>
        <w:rPr>
          <w:rFonts w:ascii="Cambria" w:hAnsi="Cambria"/>
          <w:b/>
          <w:color w:val="404040"/>
          <w:spacing w:val="-6"/>
          <w:sz w:val="20"/>
        </w:rPr>
        <w:t xml:space="preserve"> </w:t>
      </w:r>
      <w:r>
        <w:rPr>
          <w:rFonts w:ascii="Cambria" w:hAnsi="Cambria"/>
          <w:b/>
          <w:color w:val="404040"/>
          <w:sz w:val="20"/>
        </w:rPr>
        <w:t>1:</w:t>
      </w:r>
      <w:r>
        <w:rPr>
          <w:rFonts w:ascii="Cambria" w:hAnsi="Cambria"/>
          <w:b/>
          <w:color w:val="404040"/>
          <w:spacing w:val="30"/>
          <w:sz w:val="20"/>
        </w:rPr>
        <w:t xml:space="preserve"> </w:t>
      </w:r>
      <w:r>
        <w:rPr>
          <w:rFonts w:ascii="Cambria" w:hAnsi="Cambria"/>
          <w:b/>
          <w:color w:val="404040"/>
          <w:sz w:val="20"/>
        </w:rPr>
        <w:t>“Massachusetts</w:t>
      </w:r>
      <w:r>
        <w:rPr>
          <w:rFonts w:ascii="Cambria" w:hAnsi="Cambria"/>
          <w:b/>
          <w:color w:val="404040"/>
          <w:spacing w:val="-4"/>
          <w:sz w:val="20"/>
        </w:rPr>
        <w:t xml:space="preserve"> </w:t>
      </w:r>
      <w:r>
        <w:rPr>
          <w:rFonts w:ascii="Cambria" w:hAnsi="Cambria"/>
          <w:b/>
          <w:color w:val="404040"/>
          <w:sz w:val="20"/>
        </w:rPr>
        <w:t>Public</w:t>
      </w:r>
      <w:r>
        <w:rPr>
          <w:rFonts w:ascii="Cambria" w:hAnsi="Cambria"/>
          <w:b/>
          <w:color w:val="404040"/>
          <w:spacing w:val="-8"/>
          <w:sz w:val="20"/>
        </w:rPr>
        <w:t xml:space="preserve"> </w:t>
      </w:r>
      <w:r>
        <w:rPr>
          <w:rFonts w:ascii="Cambria" w:hAnsi="Cambria"/>
          <w:b/>
          <w:color w:val="404040"/>
          <w:sz w:val="20"/>
        </w:rPr>
        <w:t>School</w:t>
      </w:r>
      <w:r>
        <w:rPr>
          <w:rFonts w:ascii="Cambria" w:hAnsi="Cambria"/>
          <w:b/>
          <w:color w:val="404040"/>
          <w:spacing w:val="-5"/>
          <w:sz w:val="20"/>
        </w:rPr>
        <w:t xml:space="preserve"> </w:t>
      </w:r>
      <w:r>
        <w:rPr>
          <w:rFonts w:ascii="Cambria" w:hAnsi="Cambria"/>
          <w:b/>
          <w:color w:val="404040"/>
          <w:sz w:val="20"/>
        </w:rPr>
        <w:t>Districts</w:t>
      </w:r>
      <w:r>
        <w:rPr>
          <w:rFonts w:ascii="Cambria" w:hAnsi="Cambria"/>
          <w:b/>
          <w:color w:val="404040"/>
          <w:spacing w:val="-5"/>
          <w:sz w:val="20"/>
        </w:rPr>
        <w:t xml:space="preserve"> </w:t>
      </w:r>
      <w:r>
        <w:rPr>
          <w:rFonts w:ascii="Cambria" w:hAnsi="Cambria"/>
          <w:b/>
          <w:color w:val="404040"/>
          <w:sz w:val="20"/>
        </w:rPr>
        <w:t>With</w:t>
      </w:r>
      <w:r>
        <w:rPr>
          <w:rFonts w:ascii="Cambria" w:hAnsi="Cambria"/>
          <w:b/>
          <w:color w:val="404040"/>
          <w:spacing w:val="-7"/>
          <w:sz w:val="20"/>
        </w:rPr>
        <w:t xml:space="preserve"> </w:t>
      </w:r>
      <w:r>
        <w:rPr>
          <w:rFonts w:ascii="Cambria" w:hAnsi="Cambria"/>
          <w:b/>
          <w:color w:val="404040"/>
          <w:sz w:val="20"/>
        </w:rPr>
        <w:t>Gender</w:t>
      </w:r>
      <w:r>
        <w:rPr>
          <w:rFonts w:ascii="Cambria" w:hAnsi="Cambria"/>
          <w:b/>
          <w:color w:val="404040"/>
          <w:spacing w:val="-9"/>
          <w:sz w:val="20"/>
        </w:rPr>
        <w:t xml:space="preserve"> </w:t>
      </w:r>
      <w:r>
        <w:rPr>
          <w:rFonts w:ascii="Cambria" w:hAnsi="Cambria"/>
          <w:b/>
          <w:color w:val="404040"/>
          <w:sz w:val="20"/>
        </w:rPr>
        <w:t>Identity</w:t>
      </w:r>
      <w:r>
        <w:rPr>
          <w:rFonts w:ascii="Cambria" w:hAnsi="Cambria"/>
          <w:b/>
          <w:color w:val="404040"/>
          <w:spacing w:val="-5"/>
          <w:sz w:val="20"/>
        </w:rPr>
        <w:t xml:space="preserve"> </w:t>
      </w:r>
      <w:r>
        <w:rPr>
          <w:rFonts w:ascii="Cambria" w:hAnsi="Cambria"/>
          <w:b/>
          <w:color w:val="404040"/>
          <w:spacing w:val="-2"/>
          <w:sz w:val="20"/>
        </w:rPr>
        <w:t>Policies.”</w:t>
      </w:r>
    </w:p>
    <w:p w:rsidR="00200FDA" w:rsidRDefault="00200FDA">
      <w:pPr>
        <w:pStyle w:val="BodyText"/>
        <w:rPr>
          <w:rFonts w:ascii="Cambria"/>
          <w:b/>
        </w:rPr>
      </w:pPr>
    </w:p>
    <w:p w:rsidR="00200FDA" w:rsidRDefault="00200FDA">
      <w:pPr>
        <w:pStyle w:val="BodyText"/>
        <w:spacing w:before="5"/>
        <w:rPr>
          <w:rFonts w:ascii="Cambria"/>
          <w:b/>
          <w:sz w:val="20"/>
        </w:rPr>
      </w:pPr>
    </w:p>
    <w:p w:rsidR="00200FDA" w:rsidRDefault="00F76C4C">
      <w:pPr>
        <w:pStyle w:val="Heading8"/>
      </w:pPr>
      <w:bookmarkStart w:id="124" w:name="Family_Supports"/>
      <w:bookmarkStart w:id="125" w:name="_bookmark44"/>
      <w:bookmarkStart w:id="126" w:name="_bookmark45"/>
      <w:bookmarkEnd w:id="124"/>
      <w:bookmarkEnd w:id="125"/>
      <w:bookmarkEnd w:id="126"/>
      <w:r>
        <w:rPr>
          <w:color w:val="365F91"/>
        </w:rPr>
        <w:t xml:space="preserve">Family </w:t>
      </w:r>
      <w:r>
        <w:rPr>
          <w:color w:val="365F91"/>
          <w:spacing w:val="-2"/>
        </w:rPr>
        <w:t>Supports</w:t>
      </w:r>
    </w:p>
    <w:p w:rsidR="00200FDA" w:rsidRDefault="00200FDA">
      <w:pPr>
        <w:pStyle w:val="BodyText"/>
        <w:spacing w:before="10"/>
        <w:rPr>
          <w:sz w:val="32"/>
        </w:rPr>
      </w:pPr>
    </w:p>
    <w:p w:rsidR="00200FDA" w:rsidRDefault="00F76C4C">
      <w:pPr>
        <w:pStyle w:val="BodyText"/>
        <w:ind w:left="140" w:right="134"/>
        <w:jc w:val="both"/>
      </w:pPr>
      <w:bookmarkStart w:id="127" w:name="_bookmark46"/>
      <w:bookmarkStart w:id="128" w:name="_bookmark47"/>
      <w:bookmarkEnd w:id="127"/>
      <w:bookmarkEnd w:id="128"/>
      <w:r>
        <w:t>According to the MYRBS, LGBTQ youth were significantly less likely to be able to talk</w:t>
      </w:r>
      <w:r>
        <w:rPr>
          <w:spacing w:val="-1"/>
        </w:rPr>
        <w:t xml:space="preserve"> </w:t>
      </w:r>
      <w:r>
        <w:t>with at least</w:t>
      </w:r>
      <w:r>
        <w:rPr>
          <w:spacing w:val="-1"/>
        </w:rPr>
        <w:t xml:space="preserve"> </w:t>
      </w:r>
      <w:r>
        <w:t xml:space="preserve">one of </w:t>
      </w:r>
      <w:bookmarkStart w:id="129" w:name="_bookmark48"/>
      <w:bookmarkEnd w:id="129"/>
      <w:r>
        <w:t xml:space="preserve">their parents or another adult member about things that are important to them compared with heterosexual, cisgender (het-cis) youth </w:t>
      </w:r>
      <w:r>
        <w:t>across all years. While</w:t>
      </w:r>
      <w:r>
        <w:rPr>
          <w:spacing w:val="-1"/>
        </w:rPr>
        <w:t xml:space="preserve"> </w:t>
      </w:r>
      <w:r>
        <w:t>LBGTQ</w:t>
      </w:r>
      <w:r>
        <w:rPr>
          <w:spacing w:val="-2"/>
        </w:rPr>
        <w:t xml:space="preserve"> </w:t>
      </w:r>
      <w:r>
        <w:t xml:space="preserve">youth seemed to make some gains </w:t>
      </w:r>
      <w:bookmarkStart w:id="130" w:name="_bookmark49"/>
      <w:bookmarkEnd w:id="130"/>
      <w:r>
        <w:t>in</w:t>
      </w:r>
      <w:r>
        <w:rPr>
          <w:spacing w:val="-6"/>
        </w:rPr>
        <w:t xml:space="preserve"> </w:t>
      </w:r>
      <w:r>
        <w:t>this</w:t>
      </w:r>
      <w:r>
        <w:rPr>
          <w:spacing w:val="-6"/>
        </w:rPr>
        <w:t xml:space="preserve"> </w:t>
      </w:r>
      <w:r>
        <w:t>area</w:t>
      </w:r>
      <w:r>
        <w:rPr>
          <w:spacing w:val="-6"/>
        </w:rPr>
        <w:t xml:space="preserve"> </w:t>
      </w:r>
      <w:r>
        <w:t>in</w:t>
      </w:r>
      <w:r>
        <w:rPr>
          <w:spacing w:val="-6"/>
        </w:rPr>
        <w:t xml:space="preserve"> </w:t>
      </w:r>
      <w:r>
        <w:t>2017</w:t>
      </w:r>
      <w:r>
        <w:rPr>
          <w:spacing w:val="-5"/>
        </w:rPr>
        <w:t xml:space="preserve"> </w:t>
      </w:r>
      <w:r>
        <w:t>and</w:t>
      </w:r>
      <w:r>
        <w:rPr>
          <w:spacing w:val="-9"/>
        </w:rPr>
        <w:t xml:space="preserve"> </w:t>
      </w:r>
      <w:r>
        <w:t>2019,</w:t>
      </w:r>
      <w:r>
        <w:rPr>
          <w:spacing w:val="-5"/>
        </w:rPr>
        <w:t xml:space="preserve"> </w:t>
      </w:r>
      <w:r>
        <w:t>in</w:t>
      </w:r>
      <w:r>
        <w:rPr>
          <w:spacing w:val="-6"/>
        </w:rPr>
        <w:t xml:space="preserve"> </w:t>
      </w:r>
      <w:r>
        <w:t>2021,</w:t>
      </w:r>
      <w:r>
        <w:rPr>
          <w:spacing w:val="-8"/>
        </w:rPr>
        <w:t xml:space="preserve"> </w:t>
      </w:r>
      <w:r>
        <w:t>only</w:t>
      </w:r>
      <w:r>
        <w:rPr>
          <w:spacing w:val="-7"/>
        </w:rPr>
        <w:t xml:space="preserve"> </w:t>
      </w:r>
      <w:r>
        <w:t>60.6%</w:t>
      </w:r>
      <w:r>
        <w:rPr>
          <w:spacing w:val="-5"/>
        </w:rPr>
        <w:t xml:space="preserve"> </w:t>
      </w:r>
      <w:r>
        <w:t>said</w:t>
      </w:r>
      <w:r>
        <w:rPr>
          <w:spacing w:val="-9"/>
        </w:rPr>
        <w:t xml:space="preserve"> </w:t>
      </w:r>
      <w:r>
        <w:t>that</w:t>
      </w:r>
      <w:r>
        <w:rPr>
          <w:spacing w:val="-5"/>
        </w:rPr>
        <w:t xml:space="preserve"> </w:t>
      </w:r>
      <w:r>
        <w:t>they</w:t>
      </w:r>
      <w:r>
        <w:rPr>
          <w:spacing w:val="-5"/>
        </w:rPr>
        <w:t xml:space="preserve"> </w:t>
      </w:r>
      <w:r>
        <w:t>could</w:t>
      </w:r>
      <w:r>
        <w:rPr>
          <w:spacing w:val="-6"/>
        </w:rPr>
        <w:t xml:space="preserve"> </w:t>
      </w:r>
      <w:r>
        <w:t>talk</w:t>
      </w:r>
      <w:r>
        <w:rPr>
          <w:spacing w:val="-8"/>
        </w:rPr>
        <w:t xml:space="preserve"> </w:t>
      </w:r>
      <w:r>
        <w:t>with</w:t>
      </w:r>
      <w:r>
        <w:rPr>
          <w:spacing w:val="-6"/>
        </w:rPr>
        <w:t xml:space="preserve"> </w:t>
      </w:r>
      <w:r>
        <w:t>an</w:t>
      </w:r>
      <w:r>
        <w:rPr>
          <w:spacing w:val="-9"/>
        </w:rPr>
        <w:t xml:space="preserve"> </w:t>
      </w:r>
      <w:r>
        <w:t>adult</w:t>
      </w:r>
      <w:r>
        <w:rPr>
          <w:spacing w:val="-5"/>
        </w:rPr>
        <w:t xml:space="preserve"> </w:t>
      </w:r>
      <w:r>
        <w:t>at</w:t>
      </w:r>
      <w:r>
        <w:rPr>
          <w:spacing w:val="-5"/>
        </w:rPr>
        <w:t xml:space="preserve"> </w:t>
      </w:r>
      <w:r>
        <w:t>home,</w:t>
      </w:r>
      <w:r>
        <w:rPr>
          <w:spacing w:val="-5"/>
        </w:rPr>
        <w:t xml:space="preserve"> </w:t>
      </w:r>
      <w:r>
        <w:t>an</w:t>
      </w:r>
      <w:r>
        <w:rPr>
          <w:spacing w:val="-6"/>
        </w:rPr>
        <w:t xml:space="preserve"> </w:t>
      </w:r>
      <w:r>
        <w:t xml:space="preserve">even lower percentage than in 2015 (65.2%). In contrast, the percentage of heterosexual and cisgender youth </w:t>
      </w:r>
      <w:bookmarkStart w:id="131" w:name="_bookmark50"/>
      <w:bookmarkEnd w:id="131"/>
      <w:r>
        <w:t>who could talk with an adult at home has held fairly steady across this period, between 81-85%.</w:t>
      </w:r>
      <w:hyperlink w:anchor="_bookmark59" w:history="1">
        <w:r>
          <w:rPr>
            <w:vertAlign w:val="superscript"/>
          </w:rPr>
          <w:t>23</w:t>
        </w:r>
      </w:hyperlink>
    </w:p>
    <w:p w:rsidR="00200FDA" w:rsidRDefault="00200FDA">
      <w:pPr>
        <w:jc w:val="both"/>
        <w:sectPr w:rsidR="00200FDA">
          <w:pgSz w:w="12240" w:h="15840"/>
          <w:pgMar w:top="1360" w:right="1300" w:bottom="1380" w:left="1300" w:header="761" w:footer="1132" w:gutter="0"/>
          <w:cols w:space="720"/>
        </w:sectPr>
      </w:pPr>
    </w:p>
    <w:p w:rsidR="00200FDA" w:rsidRDefault="00F76C4C">
      <w:pPr>
        <w:pStyle w:val="BodyText"/>
        <w:spacing w:before="64"/>
        <w:ind w:left="140" w:right="132"/>
        <w:jc w:val="both"/>
      </w:pPr>
      <w:bookmarkStart w:id="132" w:name="_bookmark52"/>
      <w:bookmarkEnd w:id="132"/>
      <w:r>
        <w:lastRenderedPageBreak/>
        <w:t>Famil</w:t>
      </w:r>
      <w:r>
        <w:t>ies</w:t>
      </w:r>
      <w:r>
        <w:rPr>
          <w:spacing w:val="-11"/>
        </w:rPr>
        <w:t xml:space="preserve"> </w:t>
      </w:r>
      <w:r>
        <w:t>and</w:t>
      </w:r>
      <w:r>
        <w:rPr>
          <w:spacing w:val="-10"/>
        </w:rPr>
        <w:t xml:space="preserve"> </w:t>
      </w:r>
      <w:r>
        <w:t>schools</w:t>
      </w:r>
      <w:r>
        <w:rPr>
          <w:spacing w:val="-11"/>
        </w:rPr>
        <w:t xml:space="preserve"> </w:t>
      </w:r>
      <w:r>
        <w:t>can</w:t>
      </w:r>
      <w:r>
        <w:rPr>
          <w:spacing w:val="-10"/>
        </w:rPr>
        <w:t xml:space="preserve"> </w:t>
      </w:r>
      <w:r>
        <w:t>partner</w:t>
      </w:r>
      <w:r>
        <w:rPr>
          <w:spacing w:val="-9"/>
        </w:rPr>
        <w:t xml:space="preserve"> </w:t>
      </w:r>
      <w:r>
        <w:t>with</w:t>
      </w:r>
      <w:r>
        <w:rPr>
          <w:spacing w:val="-10"/>
        </w:rPr>
        <w:t xml:space="preserve"> </w:t>
      </w:r>
      <w:r>
        <w:t>each</w:t>
      </w:r>
      <w:r>
        <w:rPr>
          <w:spacing w:val="-12"/>
        </w:rPr>
        <w:t xml:space="preserve"> </w:t>
      </w:r>
      <w:r>
        <w:t>other</w:t>
      </w:r>
      <w:r>
        <w:rPr>
          <w:spacing w:val="-12"/>
        </w:rPr>
        <w:t xml:space="preserve"> </w:t>
      </w:r>
      <w:r>
        <w:t>to</w:t>
      </w:r>
      <w:r>
        <w:rPr>
          <w:spacing w:val="-8"/>
        </w:rPr>
        <w:t xml:space="preserve"> </w:t>
      </w:r>
      <w:r>
        <w:t>acknowledge,</w:t>
      </w:r>
      <w:r>
        <w:rPr>
          <w:spacing w:val="-9"/>
        </w:rPr>
        <w:t xml:space="preserve"> </w:t>
      </w:r>
      <w:r>
        <w:t>love,</w:t>
      </w:r>
      <w:r>
        <w:rPr>
          <w:spacing w:val="-9"/>
        </w:rPr>
        <w:t xml:space="preserve"> </w:t>
      </w:r>
      <w:r>
        <w:t>and</w:t>
      </w:r>
      <w:r>
        <w:rPr>
          <w:spacing w:val="-12"/>
        </w:rPr>
        <w:t xml:space="preserve"> </w:t>
      </w:r>
      <w:r>
        <w:t>celebrate</w:t>
      </w:r>
      <w:r>
        <w:rPr>
          <w:spacing w:val="-8"/>
        </w:rPr>
        <w:t xml:space="preserve"> </w:t>
      </w:r>
      <w:r>
        <w:t>students.</w:t>
      </w:r>
      <w:r>
        <w:rPr>
          <w:spacing w:val="-12"/>
        </w:rPr>
        <w:t xml:space="preserve"> </w:t>
      </w:r>
      <w:r>
        <w:t>Often</w:t>
      </w:r>
      <w:r>
        <w:rPr>
          <w:spacing w:val="-12"/>
        </w:rPr>
        <w:t xml:space="preserve"> </w:t>
      </w:r>
      <w:r>
        <w:t>this requires</w:t>
      </w:r>
      <w:r>
        <w:rPr>
          <w:spacing w:val="-13"/>
        </w:rPr>
        <w:t xml:space="preserve"> </w:t>
      </w:r>
      <w:r>
        <w:t>culturally</w:t>
      </w:r>
      <w:r>
        <w:rPr>
          <w:spacing w:val="-12"/>
        </w:rPr>
        <w:t xml:space="preserve"> </w:t>
      </w:r>
      <w:r>
        <w:t>responsive</w:t>
      </w:r>
      <w:r>
        <w:rPr>
          <w:spacing w:val="-13"/>
        </w:rPr>
        <w:t xml:space="preserve"> </w:t>
      </w:r>
      <w:r>
        <w:t>work</w:t>
      </w:r>
      <w:r>
        <w:rPr>
          <w:spacing w:val="-12"/>
        </w:rPr>
        <w:t xml:space="preserve"> </w:t>
      </w:r>
      <w:r>
        <w:t>with</w:t>
      </w:r>
      <w:r>
        <w:rPr>
          <w:spacing w:val="-13"/>
        </w:rPr>
        <w:t xml:space="preserve"> </w:t>
      </w:r>
      <w:r>
        <w:t>families</w:t>
      </w:r>
      <w:r>
        <w:rPr>
          <w:spacing w:val="-12"/>
        </w:rPr>
        <w:t xml:space="preserve"> </w:t>
      </w:r>
      <w:r>
        <w:t>and</w:t>
      </w:r>
      <w:r>
        <w:rPr>
          <w:spacing w:val="-13"/>
        </w:rPr>
        <w:t xml:space="preserve"> </w:t>
      </w:r>
      <w:r>
        <w:t>referral</w:t>
      </w:r>
      <w:r>
        <w:rPr>
          <w:spacing w:val="-12"/>
        </w:rPr>
        <w:t xml:space="preserve"> </w:t>
      </w:r>
      <w:r>
        <w:t>to</w:t>
      </w:r>
      <w:r>
        <w:rPr>
          <w:spacing w:val="-12"/>
        </w:rPr>
        <w:t xml:space="preserve"> </w:t>
      </w:r>
      <w:r>
        <w:t>outside</w:t>
      </w:r>
      <w:r>
        <w:rPr>
          <w:spacing w:val="-13"/>
        </w:rPr>
        <w:t xml:space="preserve"> </w:t>
      </w:r>
      <w:r>
        <w:t>support</w:t>
      </w:r>
      <w:r>
        <w:rPr>
          <w:spacing w:val="-12"/>
        </w:rPr>
        <w:t xml:space="preserve"> </w:t>
      </w:r>
      <w:r>
        <w:t>groups,</w:t>
      </w:r>
      <w:r>
        <w:rPr>
          <w:spacing w:val="-13"/>
        </w:rPr>
        <w:t xml:space="preserve"> </w:t>
      </w:r>
      <w:r>
        <w:t>like</w:t>
      </w:r>
      <w:r>
        <w:rPr>
          <w:spacing w:val="-12"/>
        </w:rPr>
        <w:t xml:space="preserve"> </w:t>
      </w:r>
      <w:r>
        <w:t>PFLAG.</w:t>
      </w:r>
      <w:r>
        <w:rPr>
          <w:spacing w:val="-13"/>
        </w:rPr>
        <w:t xml:space="preserve"> </w:t>
      </w:r>
      <w:r>
        <w:t xml:space="preserve">Mores </w:t>
      </w:r>
      <w:bookmarkStart w:id="133" w:name="_bookmark53"/>
      <w:bookmarkEnd w:id="133"/>
      <w:r>
        <w:t>sc</w:t>
      </w:r>
      <w:r>
        <w:t xml:space="preserve">hools have added family liaison roles, and we recommend that staff in those roles be competent in LGBTQ+ inclusion. Family liaisons can also partner with district or citywide DEI directors, school mental </w:t>
      </w:r>
      <w:bookmarkStart w:id="134" w:name="_bookmark54"/>
      <w:bookmarkEnd w:id="134"/>
      <w:r>
        <w:t xml:space="preserve">health professionals, administrators, and educators </w:t>
      </w:r>
      <w:r>
        <w:t>to create sustainable plans for supporting families.</w:t>
      </w:r>
    </w:p>
    <w:p w:rsidR="00200FDA" w:rsidRDefault="00200FDA">
      <w:pPr>
        <w:pStyle w:val="BodyText"/>
      </w:pPr>
    </w:p>
    <w:p w:rsidR="00200FDA" w:rsidRDefault="00F76C4C">
      <w:pPr>
        <w:pStyle w:val="Heading8"/>
        <w:spacing w:before="184"/>
      </w:pPr>
      <w:bookmarkStart w:id="135" w:name="Safe_Spaces_in_Schools"/>
      <w:bookmarkStart w:id="136" w:name="_bookmark55"/>
      <w:bookmarkStart w:id="137" w:name="_bookmark56"/>
      <w:bookmarkStart w:id="138" w:name="_bookmark57"/>
      <w:bookmarkEnd w:id="135"/>
      <w:bookmarkEnd w:id="136"/>
      <w:bookmarkEnd w:id="137"/>
      <w:bookmarkEnd w:id="138"/>
      <w:r>
        <w:rPr>
          <w:color w:val="365F91"/>
        </w:rPr>
        <w:t>Safe</w:t>
      </w:r>
      <w:r>
        <w:rPr>
          <w:color w:val="365F91"/>
          <w:spacing w:val="-1"/>
        </w:rPr>
        <w:t xml:space="preserve"> </w:t>
      </w:r>
      <w:r>
        <w:rPr>
          <w:color w:val="365F91"/>
        </w:rPr>
        <w:t>Spaces</w:t>
      </w:r>
      <w:r>
        <w:rPr>
          <w:color w:val="365F91"/>
          <w:spacing w:val="-2"/>
        </w:rPr>
        <w:t xml:space="preserve"> </w:t>
      </w:r>
      <w:r>
        <w:rPr>
          <w:color w:val="365F91"/>
        </w:rPr>
        <w:t>in</w:t>
      </w:r>
      <w:r>
        <w:rPr>
          <w:color w:val="365F91"/>
          <w:spacing w:val="1"/>
        </w:rPr>
        <w:t xml:space="preserve"> </w:t>
      </w:r>
      <w:r>
        <w:rPr>
          <w:color w:val="365F91"/>
          <w:spacing w:val="-2"/>
        </w:rPr>
        <w:t>Schools</w:t>
      </w:r>
    </w:p>
    <w:p w:rsidR="00200FDA" w:rsidRDefault="00200FDA">
      <w:pPr>
        <w:pStyle w:val="BodyText"/>
        <w:spacing w:before="10"/>
        <w:rPr>
          <w:sz w:val="32"/>
        </w:rPr>
      </w:pPr>
    </w:p>
    <w:p w:rsidR="00200FDA" w:rsidRDefault="00F76C4C">
      <w:pPr>
        <w:pStyle w:val="BodyText"/>
        <w:ind w:left="139" w:right="132"/>
        <w:jc w:val="both"/>
      </w:pPr>
      <w:bookmarkStart w:id="139" w:name="_bookmark58"/>
      <w:bookmarkStart w:id="140" w:name="_bookmark59"/>
      <w:bookmarkStart w:id="141" w:name="_bookmark60"/>
      <w:bookmarkEnd w:id="139"/>
      <w:bookmarkEnd w:id="140"/>
      <w:bookmarkEnd w:id="141"/>
      <w:r>
        <w:t>It</w:t>
      </w:r>
      <w:r>
        <w:rPr>
          <w:spacing w:val="-3"/>
        </w:rPr>
        <w:t xml:space="preserve"> </w:t>
      </w:r>
      <w:r>
        <w:t>is</w:t>
      </w:r>
      <w:r>
        <w:rPr>
          <w:spacing w:val="-3"/>
        </w:rPr>
        <w:t xml:space="preserve"> </w:t>
      </w:r>
      <w:r>
        <w:t>prevalent</w:t>
      </w:r>
      <w:r>
        <w:rPr>
          <w:spacing w:val="-3"/>
        </w:rPr>
        <w:t xml:space="preserve"> </w:t>
      </w:r>
      <w:r>
        <w:t>that</w:t>
      </w:r>
      <w:r>
        <w:rPr>
          <w:spacing w:val="-3"/>
        </w:rPr>
        <w:t xml:space="preserve"> </w:t>
      </w:r>
      <w:r>
        <w:t>trans</w:t>
      </w:r>
      <w:r>
        <w:rPr>
          <w:spacing w:val="-3"/>
        </w:rPr>
        <w:t xml:space="preserve"> </w:t>
      </w:r>
      <w:r>
        <w:t>students</w:t>
      </w:r>
      <w:r>
        <w:rPr>
          <w:spacing w:val="-3"/>
        </w:rPr>
        <w:t xml:space="preserve"> </w:t>
      </w:r>
      <w:r>
        <w:t>will</w:t>
      </w:r>
      <w:r>
        <w:rPr>
          <w:spacing w:val="-4"/>
        </w:rPr>
        <w:t xml:space="preserve"> </w:t>
      </w:r>
      <w:r>
        <w:t>restrict</w:t>
      </w:r>
      <w:r>
        <w:rPr>
          <w:spacing w:val="-3"/>
        </w:rPr>
        <w:t xml:space="preserve"> </w:t>
      </w:r>
      <w:r>
        <w:t>food</w:t>
      </w:r>
      <w:r>
        <w:rPr>
          <w:spacing w:val="-4"/>
        </w:rPr>
        <w:t xml:space="preserve"> </w:t>
      </w:r>
      <w:r>
        <w:t>and</w:t>
      </w:r>
      <w:r>
        <w:rPr>
          <w:spacing w:val="-4"/>
        </w:rPr>
        <w:t xml:space="preserve"> </w:t>
      </w:r>
      <w:r>
        <w:t>water</w:t>
      </w:r>
      <w:r>
        <w:rPr>
          <w:spacing w:val="-3"/>
        </w:rPr>
        <w:t xml:space="preserve"> </w:t>
      </w:r>
      <w:r>
        <w:t>intake</w:t>
      </w:r>
      <w:r>
        <w:rPr>
          <w:spacing w:val="-3"/>
        </w:rPr>
        <w:t xml:space="preserve"> </w:t>
      </w:r>
      <w:r>
        <w:t>in</w:t>
      </w:r>
      <w:r>
        <w:rPr>
          <w:spacing w:val="-4"/>
        </w:rPr>
        <w:t xml:space="preserve"> </w:t>
      </w:r>
      <w:r>
        <w:t>order</w:t>
      </w:r>
      <w:r>
        <w:rPr>
          <w:spacing w:val="-6"/>
        </w:rPr>
        <w:t xml:space="preserve"> </w:t>
      </w:r>
      <w:r>
        <w:t>to</w:t>
      </w:r>
      <w:r>
        <w:rPr>
          <w:spacing w:val="-2"/>
        </w:rPr>
        <w:t xml:space="preserve"> </w:t>
      </w:r>
      <w:r>
        <w:t>avoid</w:t>
      </w:r>
      <w:r>
        <w:rPr>
          <w:spacing w:val="-4"/>
        </w:rPr>
        <w:t xml:space="preserve"> </w:t>
      </w:r>
      <w:r>
        <w:t>using</w:t>
      </w:r>
      <w:r>
        <w:rPr>
          <w:spacing w:val="-4"/>
        </w:rPr>
        <w:t xml:space="preserve"> </w:t>
      </w:r>
      <w:r>
        <w:t>the</w:t>
      </w:r>
      <w:r>
        <w:rPr>
          <w:spacing w:val="-3"/>
        </w:rPr>
        <w:t xml:space="preserve"> </w:t>
      </w:r>
      <w:r>
        <w:t>restroom, either</w:t>
      </w:r>
      <w:r>
        <w:rPr>
          <w:spacing w:val="-7"/>
        </w:rPr>
        <w:t xml:space="preserve"> </w:t>
      </w:r>
      <w:r>
        <w:t>from</w:t>
      </w:r>
      <w:r>
        <w:rPr>
          <w:spacing w:val="-5"/>
        </w:rPr>
        <w:t xml:space="preserve"> </w:t>
      </w:r>
      <w:r>
        <w:t>fear</w:t>
      </w:r>
      <w:r>
        <w:rPr>
          <w:spacing w:val="-9"/>
        </w:rPr>
        <w:t xml:space="preserve"> </w:t>
      </w:r>
      <w:r>
        <w:t>of</w:t>
      </w:r>
      <w:r>
        <w:rPr>
          <w:spacing w:val="-9"/>
        </w:rPr>
        <w:t xml:space="preserve"> </w:t>
      </w:r>
      <w:r>
        <w:t>bullying</w:t>
      </w:r>
      <w:r>
        <w:rPr>
          <w:spacing w:val="-10"/>
        </w:rPr>
        <w:t xml:space="preserve"> </w:t>
      </w:r>
      <w:r>
        <w:t>in</w:t>
      </w:r>
      <w:r>
        <w:rPr>
          <w:spacing w:val="-7"/>
        </w:rPr>
        <w:t xml:space="preserve"> </w:t>
      </w:r>
      <w:r>
        <w:t>the</w:t>
      </w:r>
      <w:r>
        <w:rPr>
          <w:spacing w:val="-6"/>
        </w:rPr>
        <w:t xml:space="preserve"> </w:t>
      </w:r>
      <w:r>
        <w:t>restroom</w:t>
      </w:r>
      <w:r>
        <w:rPr>
          <w:spacing w:val="-8"/>
        </w:rPr>
        <w:t xml:space="preserve"> </w:t>
      </w:r>
      <w:r>
        <w:t>or</w:t>
      </w:r>
      <w:r>
        <w:rPr>
          <w:spacing w:val="-7"/>
        </w:rPr>
        <w:t xml:space="preserve"> </w:t>
      </w:r>
      <w:r>
        <w:t>not</w:t>
      </w:r>
      <w:r>
        <w:rPr>
          <w:spacing w:val="-6"/>
        </w:rPr>
        <w:t xml:space="preserve"> </w:t>
      </w:r>
      <w:r>
        <w:t>having</w:t>
      </w:r>
      <w:r>
        <w:rPr>
          <w:spacing w:val="-7"/>
        </w:rPr>
        <w:t xml:space="preserve"> </w:t>
      </w:r>
      <w:r>
        <w:t>an</w:t>
      </w:r>
      <w:r>
        <w:rPr>
          <w:spacing w:val="-7"/>
        </w:rPr>
        <w:t xml:space="preserve"> </w:t>
      </w:r>
      <w:r>
        <w:t>adequate</w:t>
      </w:r>
      <w:r>
        <w:rPr>
          <w:spacing w:val="-6"/>
        </w:rPr>
        <w:t xml:space="preserve"> </w:t>
      </w:r>
      <w:r>
        <w:t>all-gender</w:t>
      </w:r>
      <w:r>
        <w:rPr>
          <w:spacing w:val="-9"/>
        </w:rPr>
        <w:t xml:space="preserve"> </w:t>
      </w:r>
      <w:r>
        <w:t>restroom</w:t>
      </w:r>
      <w:r>
        <w:rPr>
          <w:spacing w:val="-8"/>
        </w:rPr>
        <w:t xml:space="preserve"> </w:t>
      </w:r>
      <w:r>
        <w:t>option.</w:t>
      </w:r>
      <w:r>
        <w:rPr>
          <w:spacing w:val="-7"/>
        </w:rPr>
        <w:t xml:space="preserve"> </w:t>
      </w:r>
      <w:r>
        <w:t xml:space="preserve">Access </w:t>
      </w:r>
      <w:bookmarkStart w:id="142" w:name="_bookmark61"/>
      <w:bookmarkEnd w:id="142"/>
      <w:r>
        <w:t xml:space="preserve">to safe restrooms, including all-gender restrooms, is a health concern for transgender and non-binary </w:t>
      </w:r>
      <w:bookmarkStart w:id="143" w:name="_bookmark62"/>
      <w:bookmarkEnd w:id="143"/>
      <w:r>
        <w:t>students in particular. While advocacy at the statewide level is happening related to the plumbing code, stude</w:t>
      </w:r>
      <w:r>
        <w:t xml:space="preserve">nts can ensure that all students have access to a safe bathroom, and that any spaces that can be </w:t>
      </w:r>
      <w:bookmarkStart w:id="144" w:name="_bookmark63"/>
      <w:bookmarkEnd w:id="144"/>
      <w:r>
        <w:t>easily converted (like single-stall restrooms) are considered as alternatives in the meantime.</w:t>
      </w:r>
    </w:p>
    <w:p w:rsidR="00200FDA" w:rsidRDefault="00200FDA">
      <w:pPr>
        <w:pStyle w:val="BodyText"/>
        <w:spacing w:before="9"/>
        <w:rPr>
          <w:sz w:val="32"/>
        </w:rPr>
      </w:pPr>
    </w:p>
    <w:p w:rsidR="00200FDA" w:rsidRDefault="00F76C4C">
      <w:pPr>
        <w:pStyle w:val="BodyText"/>
        <w:ind w:left="139" w:right="135"/>
        <w:jc w:val="both"/>
      </w:pPr>
      <w:bookmarkStart w:id="145" w:name="_bookmark64"/>
      <w:bookmarkEnd w:id="145"/>
      <w:r>
        <w:t>Furthermore, all schools should provide additional professional</w:t>
      </w:r>
      <w:r>
        <w:t xml:space="preserve"> development and support for school nurses</w:t>
      </w:r>
      <w:r>
        <w:rPr>
          <w:spacing w:val="-8"/>
        </w:rPr>
        <w:t xml:space="preserve"> </w:t>
      </w:r>
      <w:r>
        <w:t>and</w:t>
      </w:r>
      <w:r>
        <w:rPr>
          <w:spacing w:val="-10"/>
        </w:rPr>
        <w:t xml:space="preserve"> </w:t>
      </w:r>
      <w:r>
        <w:t>other</w:t>
      </w:r>
      <w:r>
        <w:rPr>
          <w:spacing w:val="-9"/>
        </w:rPr>
        <w:t xml:space="preserve"> </w:t>
      </w:r>
      <w:r>
        <w:t>health-based</w:t>
      </w:r>
      <w:r>
        <w:rPr>
          <w:spacing w:val="-8"/>
        </w:rPr>
        <w:t xml:space="preserve"> </w:t>
      </w:r>
      <w:r>
        <w:t>educators.</w:t>
      </w:r>
      <w:r>
        <w:rPr>
          <w:spacing w:val="-10"/>
        </w:rPr>
        <w:t xml:space="preserve"> </w:t>
      </w:r>
      <w:r>
        <w:t>Education</w:t>
      </w:r>
      <w:r>
        <w:rPr>
          <w:spacing w:val="-10"/>
        </w:rPr>
        <w:t xml:space="preserve"> </w:t>
      </w:r>
      <w:r>
        <w:t>on</w:t>
      </w:r>
      <w:r>
        <w:rPr>
          <w:spacing w:val="-8"/>
        </w:rPr>
        <w:t xml:space="preserve"> </w:t>
      </w:r>
      <w:r>
        <w:t>trans-specific</w:t>
      </w:r>
      <w:r>
        <w:rPr>
          <w:spacing w:val="-9"/>
        </w:rPr>
        <w:t xml:space="preserve"> </w:t>
      </w:r>
      <w:r>
        <w:t>health</w:t>
      </w:r>
      <w:r>
        <w:rPr>
          <w:spacing w:val="-10"/>
        </w:rPr>
        <w:t xml:space="preserve"> </w:t>
      </w:r>
      <w:r>
        <w:t>information</w:t>
      </w:r>
      <w:r>
        <w:rPr>
          <w:spacing w:val="-8"/>
        </w:rPr>
        <w:t xml:space="preserve"> </w:t>
      </w:r>
      <w:r>
        <w:t>like</w:t>
      </w:r>
      <w:r>
        <w:rPr>
          <w:spacing w:val="-7"/>
        </w:rPr>
        <w:t xml:space="preserve"> </w:t>
      </w:r>
      <w:r>
        <w:t>safe</w:t>
      </w:r>
      <w:r>
        <w:rPr>
          <w:spacing w:val="-7"/>
        </w:rPr>
        <w:t xml:space="preserve"> </w:t>
      </w:r>
      <w:r>
        <w:t xml:space="preserve">binding </w:t>
      </w:r>
      <w:bookmarkStart w:id="146" w:name="_bookmark65"/>
      <w:bookmarkEnd w:id="146"/>
      <w:r>
        <w:t>practices</w:t>
      </w:r>
      <w:r>
        <w:rPr>
          <w:spacing w:val="-5"/>
        </w:rPr>
        <w:t xml:space="preserve"> </w:t>
      </w:r>
      <w:r>
        <w:t>would</w:t>
      </w:r>
      <w:r>
        <w:rPr>
          <w:spacing w:val="-4"/>
        </w:rPr>
        <w:t xml:space="preserve"> </w:t>
      </w:r>
      <w:r>
        <w:t>allow</w:t>
      </w:r>
      <w:r>
        <w:rPr>
          <w:spacing w:val="-5"/>
        </w:rPr>
        <w:t xml:space="preserve"> </w:t>
      </w:r>
      <w:r>
        <w:t>school</w:t>
      </w:r>
      <w:r>
        <w:rPr>
          <w:spacing w:val="-3"/>
        </w:rPr>
        <w:t xml:space="preserve"> </w:t>
      </w:r>
      <w:r>
        <w:t>staff</w:t>
      </w:r>
      <w:r>
        <w:rPr>
          <w:spacing w:val="-5"/>
        </w:rPr>
        <w:t xml:space="preserve"> </w:t>
      </w:r>
      <w:r>
        <w:t>to</w:t>
      </w:r>
      <w:r>
        <w:rPr>
          <w:spacing w:val="-4"/>
        </w:rPr>
        <w:t xml:space="preserve"> </w:t>
      </w:r>
      <w:r>
        <w:t>provide</w:t>
      </w:r>
      <w:r>
        <w:rPr>
          <w:spacing w:val="-4"/>
        </w:rPr>
        <w:t xml:space="preserve"> </w:t>
      </w:r>
      <w:r>
        <w:t>better</w:t>
      </w:r>
      <w:r>
        <w:rPr>
          <w:spacing w:val="-5"/>
        </w:rPr>
        <w:t xml:space="preserve"> </w:t>
      </w:r>
      <w:r>
        <w:t>information</w:t>
      </w:r>
      <w:r>
        <w:rPr>
          <w:spacing w:val="-6"/>
        </w:rPr>
        <w:t xml:space="preserve"> </w:t>
      </w:r>
      <w:r>
        <w:t>and</w:t>
      </w:r>
      <w:r>
        <w:rPr>
          <w:spacing w:val="-4"/>
        </w:rPr>
        <w:t xml:space="preserve"> </w:t>
      </w:r>
      <w:r>
        <w:t>notice</w:t>
      </w:r>
      <w:r>
        <w:rPr>
          <w:spacing w:val="-2"/>
        </w:rPr>
        <w:t xml:space="preserve"> </w:t>
      </w:r>
      <w:r>
        <w:t>any</w:t>
      </w:r>
      <w:r>
        <w:rPr>
          <w:spacing w:val="-2"/>
        </w:rPr>
        <w:t xml:space="preserve"> </w:t>
      </w:r>
      <w:r>
        <w:t>health</w:t>
      </w:r>
      <w:r>
        <w:rPr>
          <w:spacing w:val="-4"/>
        </w:rPr>
        <w:t xml:space="preserve"> </w:t>
      </w:r>
      <w:r>
        <w:t>challenges</w:t>
      </w:r>
      <w:r>
        <w:rPr>
          <w:spacing w:val="-3"/>
        </w:rPr>
        <w:t xml:space="preserve"> </w:t>
      </w:r>
      <w:r>
        <w:t>related to gende</w:t>
      </w:r>
      <w:r>
        <w:t>r affirming care that transgender students might be facing.</w:t>
      </w:r>
    </w:p>
    <w:p w:rsidR="00200FDA" w:rsidRDefault="00200FDA">
      <w:pPr>
        <w:pStyle w:val="BodyText"/>
      </w:pPr>
    </w:p>
    <w:p w:rsidR="00200FDA" w:rsidRDefault="00F76C4C">
      <w:pPr>
        <w:pStyle w:val="Heading8"/>
        <w:spacing w:before="184"/>
        <w:jc w:val="left"/>
      </w:pPr>
      <w:bookmarkStart w:id="147" w:name="Anti-Bullying"/>
      <w:bookmarkStart w:id="148" w:name="_bookmark66"/>
      <w:bookmarkEnd w:id="147"/>
      <w:bookmarkEnd w:id="148"/>
      <w:r>
        <w:rPr>
          <w:color w:val="365F91"/>
          <w:spacing w:val="-2"/>
        </w:rPr>
        <w:t>Anti-Bullying</w:t>
      </w:r>
    </w:p>
    <w:p w:rsidR="00200FDA" w:rsidRDefault="00200FDA">
      <w:pPr>
        <w:pStyle w:val="BodyText"/>
        <w:spacing w:before="9"/>
        <w:rPr>
          <w:sz w:val="32"/>
        </w:rPr>
      </w:pPr>
    </w:p>
    <w:p w:rsidR="00200FDA" w:rsidRDefault="00F76C4C">
      <w:pPr>
        <w:pStyle w:val="BodyText"/>
        <w:spacing w:before="1"/>
        <w:ind w:left="140" w:right="134"/>
        <w:jc w:val="both"/>
      </w:pPr>
      <w:bookmarkStart w:id="149" w:name="_bookmark67"/>
      <w:bookmarkEnd w:id="149"/>
      <w:r>
        <w:t xml:space="preserve">Implementation of the state’s anti-bullying plan has been a key part of the Commission’s work and the </w:t>
      </w:r>
      <w:bookmarkStart w:id="150" w:name="_bookmark68"/>
      <w:bookmarkEnd w:id="150"/>
      <w:r>
        <w:t>cornerstone</w:t>
      </w:r>
      <w:r>
        <w:rPr>
          <w:spacing w:val="-5"/>
        </w:rPr>
        <w:t xml:space="preserve"> </w:t>
      </w:r>
      <w:r>
        <w:t>of</w:t>
      </w:r>
      <w:r>
        <w:rPr>
          <w:spacing w:val="-5"/>
        </w:rPr>
        <w:t xml:space="preserve"> </w:t>
      </w:r>
      <w:r>
        <w:t>its</w:t>
      </w:r>
      <w:r>
        <w:rPr>
          <w:spacing w:val="-5"/>
        </w:rPr>
        <w:t xml:space="preserve"> </w:t>
      </w:r>
      <w:r>
        <w:t>programming</w:t>
      </w:r>
      <w:r>
        <w:rPr>
          <w:spacing w:val="-4"/>
        </w:rPr>
        <w:t xml:space="preserve"> </w:t>
      </w:r>
      <w:r>
        <w:t>for</w:t>
      </w:r>
      <w:r>
        <w:rPr>
          <w:spacing w:val="-5"/>
        </w:rPr>
        <w:t xml:space="preserve"> </w:t>
      </w:r>
      <w:r>
        <w:t>many</w:t>
      </w:r>
      <w:r>
        <w:rPr>
          <w:spacing w:val="-4"/>
        </w:rPr>
        <w:t xml:space="preserve"> </w:t>
      </w:r>
      <w:r>
        <w:t>years.</w:t>
      </w:r>
      <w:r>
        <w:rPr>
          <w:spacing w:val="-3"/>
        </w:rPr>
        <w:t xml:space="preserve"> </w:t>
      </w:r>
      <w:r>
        <w:t>As</w:t>
      </w:r>
      <w:r>
        <w:rPr>
          <w:spacing w:val="-5"/>
        </w:rPr>
        <w:t xml:space="preserve"> </w:t>
      </w:r>
      <w:r>
        <w:t>highlighted</w:t>
      </w:r>
      <w:r>
        <w:rPr>
          <w:spacing w:val="-4"/>
        </w:rPr>
        <w:t xml:space="preserve"> </w:t>
      </w:r>
      <w:r>
        <w:t>in</w:t>
      </w:r>
      <w:r>
        <w:rPr>
          <w:spacing w:val="-4"/>
        </w:rPr>
        <w:t xml:space="preserve"> </w:t>
      </w:r>
      <w:r>
        <w:t>the</w:t>
      </w:r>
      <w:r>
        <w:rPr>
          <w:spacing w:val="-2"/>
        </w:rPr>
        <w:t xml:space="preserve"> </w:t>
      </w:r>
      <w:r>
        <w:t>Commission’s</w:t>
      </w:r>
      <w:r>
        <w:rPr>
          <w:spacing w:val="-3"/>
        </w:rPr>
        <w:t xml:space="preserve"> </w:t>
      </w:r>
      <w:r>
        <w:t>2021</w:t>
      </w:r>
      <w:r>
        <w:rPr>
          <w:spacing w:val="-4"/>
        </w:rPr>
        <w:t xml:space="preserve"> </w:t>
      </w:r>
      <w:r>
        <w:t>MYRBS</w:t>
      </w:r>
      <w:r>
        <w:rPr>
          <w:spacing w:val="-6"/>
        </w:rPr>
        <w:t xml:space="preserve"> </w:t>
      </w:r>
      <w:r>
        <w:t xml:space="preserve">analysis </w:t>
      </w:r>
      <w:bookmarkStart w:id="151" w:name="_bookmark69"/>
      <w:bookmarkEnd w:id="151"/>
      <w:r>
        <w:t>section,</w:t>
      </w:r>
      <w:r>
        <w:rPr>
          <w:spacing w:val="-11"/>
        </w:rPr>
        <w:t xml:space="preserve"> </w:t>
      </w:r>
      <w:r>
        <w:t>new</w:t>
      </w:r>
      <w:r>
        <w:rPr>
          <w:spacing w:val="-9"/>
        </w:rPr>
        <w:t xml:space="preserve"> </w:t>
      </w:r>
      <w:r>
        <w:t>data</w:t>
      </w:r>
      <w:r>
        <w:rPr>
          <w:spacing w:val="-13"/>
        </w:rPr>
        <w:t xml:space="preserve"> </w:t>
      </w:r>
      <w:r>
        <w:t>on</w:t>
      </w:r>
      <w:r>
        <w:rPr>
          <w:spacing w:val="-10"/>
        </w:rPr>
        <w:t xml:space="preserve"> </w:t>
      </w:r>
      <w:r>
        <w:t>anti-LGBTQ</w:t>
      </w:r>
      <w:r>
        <w:rPr>
          <w:spacing w:val="-9"/>
        </w:rPr>
        <w:t xml:space="preserve"> </w:t>
      </w:r>
      <w:r>
        <w:t>bullying</w:t>
      </w:r>
      <w:r>
        <w:rPr>
          <w:spacing w:val="-12"/>
        </w:rPr>
        <w:t xml:space="preserve"> </w:t>
      </w:r>
      <w:r>
        <w:t>demonstrates</w:t>
      </w:r>
      <w:r>
        <w:rPr>
          <w:spacing w:val="-9"/>
        </w:rPr>
        <w:t xml:space="preserve"> </w:t>
      </w:r>
      <w:r>
        <w:t>the</w:t>
      </w:r>
      <w:r>
        <w:rPr>
          <w:spacing w:val="-11"/>
        </w:rPr>
        <w:t xml:space="preserve"> </w:t>
      </w:r>
      <w:r>
        <w:t>continued</w:t>
      </w:r>
      <w:r>
        <w:rPr>
          <w:spacing w:val="-10"/>
        </w:rPr>
        <w:t xml:space="preserve"> </w:t>
      </w:r>
      <w:r>
        <w:t>need</w:t>
      </w:r>
      <w:r>
        <w:rPr>
          <w:spacing w:val="-10"/>
        </w:rPr>
        <w:t xml:space="preserve"> </w:t>
      </w:r>
      <w:r>
        <w:t>to</w:t>
      </w:r>
      <w:r>
        <w:rPr>
          <w:spacing w:val="-10"/>
        </w:rPr>
        <w:t xml:space="preserve"> </w:t>
      </w:r>
      <w:r>
        <w:t>address</w:t>
      </w:r>
      <w:r>
        <w:rPr>
          <w:spacing w:val="-9"/>
        </w:rPr>
        <w:t xml:space="preserve"> </w:t>
      </w:r>
      <w:r>
        <w:t>this</w:t>
      </w:r>
      <w:r>
        <w:rPr>
          <w:spacing w:val="-9"/>
        </w:rPr>
        <w:t xml:space="preserve"> </w:t>
      </w:r>
      <w:r>
        <w:t>bias</w:t>
      </w:r>
      <w:r>
        <w:rPr>
          <w:spacing w:val="-9"/>
        </w:rPr>
        <w:t xml:space="preserve"> </w:t>
      </w:r>
      <w:r>
        <w:t>in</w:t>
      </w:r>
      <w:r>
        <w:rPr>
          <w:spacing w:val="-10"/>
        </w:rPr>
        <w:t xml:space="preserve"> </w:t>
      </w:r>
      <w:r>
        <w:t xml:space="preserve">schools </w:t>
      </w:r>
      <w:bookmarkStart w:id="152" w:name="_bookmark70"/>
      <w:bookmarkEnd w:id="152"/>
      <w:r>
        <w:t>to protect vulnerable students, prevent the negative health consequences of bullying, and improve educational outcomes</w:t>
      </w:r>
      <w:r>
        <w:t>. However, as discussed more in-depth in the public health section of this report, the Commission believes that the Commonwealth’s anti-bullying laws need to be strengthened.</w:t>
      </w:r>
    </w:p>
    <w:p w:rsidR="00200FDA" w:rsidRDefault="00200FDA">
      <w:pPr>
        <w:pStyle w:val="BodyText"/>
        <w:spacing w:before="8"/>
        <w:rPr>
          <w:sz w:val="32"/>
        </w:rPr>
      </w:pPr>
    </w:p>
    <w:p w:rsidR="00200FDA" w:rsidRDefault="00F76C4C">
      <w:pPr>
        <w:pStyle w:val="BodyText"/>
        <w:spacing w:before="1"/>
        <w:ind w:left="139" w:right="134"/>
        <w:jc w:val="both"/>
      </w:pPr>
      <w:bookmarkStart w:id="153" w:name="_bookmark71"/>
      <w:bookmarkEnd w:id="153"/>
      <w:r>
        <w:t>School districts need more funding and clearly defined mandatory requirements fo</w:t>
      </w:r>
      <w:r>
        <w:t xml:space="preserve">r how to counter </w:t>
      </w:r>
      <w:bookmarkStart w:id="154" w:name="_bookmark72"/>
      <w:bookmarkEnd w:id="154"/>
      <w:r>
        <w:t>bullying and proactively build more inclusive communities; these requirements should explicitly address LGBTQ</w:t>
      </w:r>
      <w:r>
        <w:rPr>
          <w:spacing w:val="-2"/>
        </w:rPr>
        <w:t xml:space="preserve"> </w:t>
      </w:r>
      <w:r>
        <w:t>students and</w:t>
      </w:r>
      <w:r>
        <w:rPr>
          <w:spacing w:val="-3"/>
        </w:rPr>
        <w:t xml:space="preserve"> </w:t>
      </w:r>
      <w:r>
        <w:t>mandate that districts</w:t>
      </w:r>
      <w:r>
        <w:rPr>
          <w:spacing w:val="-2"/>
        </w:rPr>
        <w:t xml:space="preserve"> </w:t>
      </w:r>
      <w:r>
        <w:t>make</w:t>
      </w:r>
      <w:r>
        <w:rPr>
          <w:spacing w:val="-1"/>
        </w:rPr>
        <w:t xml:space="preserve"> </w:t>
      </w:r>
      <w:r>
        <w:t>LGBTQ trainings available</w:t>
      </w:r>
      <w:r>
        <w:rPr>
          <w:spacing w:val="-2"/>
        </w:rPr>
        <w:t xml:space="preserve"> </w:t>
      </w:r>
      <w:r>
        <w:t>to all</w:t>
      </w:r>
      <w:r>
        <w:rPr>
          <w:spacing w:val="-2"/>
        </w:rPr>
        <w:t xml:space="preserve"> </w:t>
      </w:r>
      <w:r>
        <w:t>staff</w:t>
      </w:r>
      <w:r>
        <w:rPr>
          <w:spacing w:val="-2"/>
        </w:rPr>
        <w:t xml:space="preserve"> </w:t>
      </w:r>
      <w:r>
        <w:t>on a</w:t>
      </w:r>
      <w:r>
        <w:rPr>
          <w:spacing w:val="-2"/>
        </w:rPr>
        <w:t xml:space="preserve"> </w:t>
      </w:r>
      <w:r>
        <w:t>regular basis. Given the intersection betwee</w:t>
      </w:r>
      <w:r>
        <w:t>n anti-LGBTQ bias and racial and ethnic biases, and the disproportionate needs</w:t>
      </w:r>
      <w:r>
        <w:rPr>
          <w:spacing w:val="-9"/>
        </w:rPr>
        <w:t xml:space="preserve"> </w:t>
      </w:r>
      <w:r>
        <w:t>facing</w:t>
      </w:r>
      <w:r>
        <w:rPr>
          <w:spacing w:val="-10"/>
        </w:rPr>
        <w:t xml:space="preserve"> </w:t>
      </w:r>
      <w:r>
        <w:t>BIPOC</w:t>
      </w:r>
      <w:r>
        <w:rPr>
          <w:spacing w:val="-9"/>
        </w:rPr>
        <w:t xml:space="preserve"> </w:t>
      </w:r>
      <w:r>
        <w:t>LGBTQ</w:t>
      </w:r>
      <w:r>
        <w:rPr>
          <w:spacing w:val="-11"/>
        </w:rPr>
        <w:t xml:space="preserve"> </w:t>
      </w:r>
      <w:r>
        <w:t>youth,</w:t>
      </w:r>
      <w:r>
        <w:rPr>
          <w:spacing w:val="-11"/>
        </w:rPr>
        <w:t xml:space="preserve"> </w:t>
      </w:r>
      <w:r>
        <w:t>the</w:t>
      </w:r>
      <w:r>
        <w:rPr>
          <w:spacing w:val="-8"/>
        </w:rPr>
        <w:t xml:space="preserve"> </w:t>
      </w:r>
      <w:r>
        <w:t>Commission</w:t>
      </w:r>
      <w:r>
        <w:rPr>
          <w:spacing w:val="-10"/>
        </w:rPr>
        <w:t xml:space="preserve"> </w:t>
      </w:r>
      <w:r>
        <w:t>recommends</w:t>
      </w:r>
      <w:r>
        <w:rPr>
          <w:spacing w:val="-9"/>
        </w:rPr>
        <w:t xml:space="preserve"> </w:t>
      </w:r>
      <w:r>
        <w:t>that</w:t>
      </w:r>
      <w:r>
        <w:rPr>
          <w:spacing w:val="-9"/>
        </w:rPr>
        <w:t xml:space="preserve"> </w:t>
      </w:r>
      <w:r>
        <w:t>anti-racism</w:t>
      </w:r>
      <w:r>
        <w:rPr>
          <w:spacing w:val="-10"/>
        </w:rPr>
        <w:t xml:space="preserve"> </w:t>
      </w:r>
      <w:r>
        <w:t>components</w:t>
      </w:r>
      <w:r>
        <w:rPr>
          <w:spacing w:val="-9"/>
        </w:rPr>
        <w:t xml:space="preserve"> </w:t>
      </w:r>
      <w:r>
        <w:t>be</w:t>
      </w:r>
      <w:r>
        <w:rPr>
          <w:spacing w:val="-8"/>
        </w:rPr>
        <w:t xml:space="preserve"> </w:t>
      </w:r>
      <w:r>
        <w:t xml:space="preserve">included in this training. Schools can also invest in professional development focused on the positive impacts of </w:t>
      </w:r>
      <w:bookmarkStart w:id="155" w:name="_bookmark73"/>
      <w:bookmarkEnd w:id="155"/>
      <w:r>
        <w:t>social-emotional</w:t>
      </w:r>
      <w:r>
        <w:rPr>
          <w:spacing w:val="-10"/>
        </w:rPr>
        <w:t xml:space="preserve"> </w:t>
      </w:r>
      <w:r>
        <w:t>learning</w:t>
      </w:r>
      <w:r>
        <w:rPr>
          <w:spacing w:val="-11"/>
        </w:rPr>
        <w:t xml:space="preserve"> </w:t>
      </w:r>
      <w:r>
        <w:t>and</w:t>
      </w:r>
      <w:r>
        <w:rPr>
          <w:spacing w:val="-11"/>
        </w:rPr>
        <w:t xml:space="preserve"> </w:t>
      </w:r>
      <w:r>
        <w:t>restorative</w:t>
      </w:r>
      <w:r>
        <w:rPr>
          <w:spacing w:val="-9"/>
        </w:rPr>
        <w:t xml:space="preserve"> </w:t>
      </w:r>
      <w:r>
        <w:t>justice</w:t>
      </w:r>
      <w:r>
        <w:rPr>
          <w:spacing w:val="-12"/>
        </w:rPr>
        <w:t xml:space="preserve"> </w:t>
      </w:r>
      <w:r>
        <w:t>or</w:t>
      </w:r>
      <w:r>
        <w:rPr>
          <w:spacing w:val="-12"/>
        </w:rPr>
        <w:t xml:space="preserve"> </w:t>
      </w:r>
      <w:r>
        <w:t>transformative</w:t>
      </w:r>
      <w:r>
        <w:rPr>
          <w:spacing w:val="-9"/>
        </w:rPr>
        <w:t xml:space="preserve"> </w:t>
      </w:r>
      <w:r>
        <w:t>justice.</w:t>
      </w:r>
      <w:r>
        <w:rPr>
          <w:spacing w:val="-13"/>
        </w:rPr>
        <w:t xml:space="preserve"> </w:t>
      </w:r>
      <w:r>
        <w:t>The</w:t>
      </w:r>
      <w:r>
        <w:rPr>
          <w:spacing w:val="-11"/>
        </w:rPr>
        <w:t xml:space="preserve"> </w:t>
      </w:r>
      <w:r>
        <w:t>Department</w:t>
      </w:r>
      <w:r>
        <w:rPr>
          <w:spacing w:val="-12"/>
        </w:rPr>
        <w:t xml:space="preserve"> </w:t>
      </w:r>
      <w:r>
        <w:t>of</w:t>
      </w:r>
      <w:r>
        <w:rPr>
          <w:spacing w:val="-10"/>
        </w:rPr>
        <w:t xml:space="preserve"> </w:t>
      </w:r>
      <w:r>
        <w:t xml:space="preserve">Elementary </w:t>
      </w:r>
      <w:bookmarkStart w:id="156" w:name="_bookmark74"/>
      <w:bookmarkEnd w:id="156"/>
      <w:r>
        <w:t>and</w:t>
      </w:r>
      <w:r>
        <w:rPr>
          <w:spacing w:val="9"/>
        </w:rPr>
        <w:t xml:space="preserve"> </w:t>
      </w:r>
      <w:r>
        <w:t>Secondary</w:t>
      </w:r>
      <w:r>
        <w:rPr>
          <w:spacing w:val="12"/>
        </w:rPr>
        <w:t xml:space="preserve"> </w:t>
      </w:r>
      <w:r>
        <w:t>Education</w:t>
      </w:r>
      <w:r>
        <w:rPr>
          <w:spacing w:val="11"/>
        </w:rPr>
        <w:t xml:space="preserve"> </w:t>
      </w:r>
      <w:r>
        <w:t>is</w:t>
      </w:r>
      <w:r>
        <w:rPr>
          <w:spacing w:val="13"/>
        </w:rPr>
        <w:t xml:space="preserve"> </w:t>
      </w:r>
      <w:r>
        <w:t>providing</w:t>
      </w:r>
      <w:r>
        <w:rPr>
          <w:spacing w:val="11"/>
        </w:rPr>
        <w:t xml:space="preserve"> </w:t>
      </w:r>
      <w:r>
        <w:t>resources</w:t>
      </w:r>
      <w:r>
        <w:rPr>
          <w:spacing w:val="9"/>
        </w:rPr>
        <w:t xml:space="preserve"> </w:t>
      </w:r>
      <w:r>
        <w:t>on</w:t>
      </w:r>
      <w:r>
        <w:rPr>
          <w:spacing w:val="12"/>
        </w:rPr>
        <w:t xml:space="preserve"> </w:t>
      </w:r>
      <w:r>
        <w:t>this</w:t>
      </w:r>
      <w:r>
        <w:rPr>
          <w:spacing w:val="12"/>
        </w:rPr>
        <w:t xml:space="preserve"> </w:t>
      </w:r>
      <w:r>
        <w:t>topic</w:t>
      </w:r>
      <w:r>
        <w:rPr>
          <w:spacing w:val="12"/>
        </w:rPr>
        <w:t xml:space="preserve"> </w:t>
      </w:r>
      <w:r>
        <w:t>in</w:t>
      </w:r>
      <w:r>
        <w:rPr>
          <w:spacing w:val="12"/>
        </w:rPr>
        <w:t xml:space="preserve"> </w:t>
      </w:r>
      <w:r>
        <w:t>relation</w:t>
      </w:r>
      <w:r>
        <w:rPr>
          <w:spacing w:val="11"/>
        </w:rPr>
        <w:t xml:space="preserve"> </w:t>
      </w:r>
      <w:r>
        <w:t>to</w:t>
      </w:r>
      <w:r>
        <w:rPr>
          <w:spacing w:val="13"/>
        </w:rPr>
        <w:t xml:space="preserve"> </w:t>
      </w:r>
      <w:r>
        <w:t>the</w:t>
      </w:r>
      <w:r>
        <w:rPr>
          <w:spacing w:val="11"/>
        </w:rPr>
        <w:t xml:space="preserve"> </w:t>
      </w:r>
      <w:r>
        <w:t>new</w:t>
      </w:r>
      <w:r>
        <w:rPr>
          <w:spacing w:val="12"/>
        </w:rPr>
        <w:t xml:space="preserve"> </w:t>
      </w:r>
      <w:r>
        <w:t>mental</w:t>
      </w:r>
      <w:r>
        <w:rPr>
          <w:spacing w:val="11"/>
        </w:rPr>
        <w:t xml:space="preserve"> </w:t>
      </w:r>
      <w:r>
        <w:t>health</w:t>
      </w:r>
      <w:r>
        <w:rPr>
          <w:spacing w:val="12"/>
        </w:rPr>
        <w:t xml:space="preserve"> </w:t>
      </w:r>
      <w:r>
        <w:rPr>
          <w:spacing w:val="-4"/>
        </w:rPr>
        <w:t>law,</w:t>
      </w:r>
    </w:p>
    <w:p w:rsidR="00200FDA" w:rsidRDefault="00F76C4C">
      <w:pPr>
        <w:ind w:left="139" w:right="137"/>
        <w:jc w:val="both"/>
      </w:pPr>
      <w:bookmarkStart w:id="157" w:name="_bookmark75"/>
      <w:bookmarkEnd w:id="157"/>
      <w:r>
        <w:t>G.L.</w:t>
      </w:r>
      <w:r>
        <w:rPr>
          <w:spacing w:val="-6"/>
        </w:rPr>
        <w:t xml:space="preserve"> </w:t>
      </w:r>
      <w:r>
        <w:t>c.</w:t>
      </w:r>
      <w:r>
        <w:rPr>
          <w:spacing w:val="-8"/>
        </w:rPr>
        <w:t xml:space="preserve"> </w:t>
      </w:r>
      <w:r>
        <w:t>71,</w:t>
      </w:r>
      <w:r>
        <w:rPr>
          <w:spacing w:val="-6"/>
        </w:rPr>
        <w:t xml:space="preserve"> </w:t>
      </w:r>
      <w:r>
        <w:t>s.</w:t>
      </w:r>
      <w:r>
        <w:rPr>
          <w:spacing w:val="-8"/>
        </w:rPr>
        <w:t xml:space="preserve"> </w:t>
      </w:r>
      <w:r>
        <w:t>37H</w:t>
      </w:r>
      <w:r>
        <w:rPr>
          <w:spacing w:val="-6"/>
        </w:rPr>
        <w:t xml:space="preserve"> </w:t>
      </w:r>
      <w:r>
        <w:t>¾</w:t>
      </w:r>
      <w:r>
        <w:rPr>
          <w:spacing w:val="-8"/>
        </w:rPr>
        <w:t xml:space="preserve"> </w:t>
      </w:r>
      <w:r>
        <w:t>(b),</w:t>
      </w:r>
      <w:r>
        <w:rPr>
          <w:spacing w:val="-6"/>
        </w:rPr>
        <w:t xml:space="preserve"> </w:t>
      </w:r>
      <w:r>
        <w:t>as</w:t>
      </w:r>
      <w:r>
        <w:rPr>
          <w:spacing w:val="-8"/>
        </w:rPr>
        <w:t xml:space="preserve"> </w:t>
      </w:r>
      <w:r>
        <w:t>amended</w:t>
      </w:r>
      <w:r>
        <w:rPr>
          <w:spacing w:val="-9"/>
        </w:rPr>
        <w:t xml:space="preserve"> </w:t>
      </w:r>
      <w:r>
        <w:t>by</w:t>
      </w:r>
      <w:r>
        <w:rPr>
          <w:spacing w:val="-5"/>
        </w:rPr>
        <w:t xml:space="preserve"> </w:t>
      </w:r>
      <w:r>
        <w:t>Chapter</w:t>
      </w:r>
      <w:r>
        <w:rPr>
          <w:spacing w:val="-8"/>
        </w:rPr>
        <w:t xml:space="preserve"> </w:t>
      </w:r>
      <w:r>
        <w:t>177</w:t>
      </w:r>
      <w:r>
        <w:rPr>
          <w:spacing w:val="-7"/>
        </w:rPr>
        <w:t xml:space="preserve"> </w:t>
      </w:r>
      <w:r>
        <w:t>of</w:t>
      </w:r>
      <w:r>
        <w:rPr>
          <w:spacing w:val="-11"/>
        </w:rPr>
        <w:t xml:space="preserve"> </w:t>
      </w:r>
      <w:r>
        <w:t>the</w:t>
      </w:r>
      <w:r>
        <w:rPr>
          <w:spacing w:val="-5"/>
        </w:rPr>
        <w:t xml:space="preserve"> </w:t>
      </w:r>
      <w:r>
        <w:t>Acts</w:t>
      </w:r>
      <w:r>
        <w:rPr>
          <w:spacing w:val="-8"/>
        </w:rPr>
        <w:t xml:space="preserve"> </w:t>
      </w:r>
      <w:r>
        <w:t>of</w:t>
      </w:r>
      <w:r>
        <w:rPr>
          <w:spacing w:val="-8"/>
        </w:rPr>
        <w:t xml:space="preserve"> </w:t>
      </w:r>
      <w:r>
        <w:t>2022,</w:t>
      </w:r>
      <w:r>
        <w:rPr>
          <w:spacing w:val="-9"/>
        </w:rPr>
        <w:t xml:space="preserve"> </w:t>
      </w:r>
      <w:r>
        <w:rPr>
          <w:i/>
        </w:rPr>
        <w:t>An</w:t>
      </w:r>
      <w:r>
        <w:rPr>
          <w:i/>
          <w:spacing w:val="-6"/>
        </w:rPr>
        <w:t xml:space="preserve"> </w:t>
      </w:r>
      <w:r>
        <w:rPr>
          <w:i/>
        </w:rPr>
        <w:t>Act</w:t>
      </w:r>
      <w:r>
        <w:rPr>
          <w:i/>
          <w:spacing w:val="-7"/>
        </w:rPr>
        <w:t xml:space="preserve"> </w:t>
      </w:r>
      <w:r>
        <w:rPr>
          <w:i/>
        </w:rPr>
        <w:t>Addressing</w:t>
      </w:r>
      <w:r>
        <w:rPr>
          <w:i/>
          <w:spacing w:val="-9"/>
        </w:rPr>
        <w:t xml:space="preserve"> </w:t>
      </w:r>
      <w:r>
        <w:rPr>
          <w:i/>
        </w:rPr>
        <w:t>Barriers</w:t>
      </w:r>
      <w:r>
        <w:rPr>
          <w:i/>
          <w:spacing w:val="-5"/>
        </w:rPr>
        <w:t xml:space="preserve"> </w:t>
      </w:r>
      <w:r>
        <w:rPr>
          <w:i/>
        </w:rPr>
        <w:t>to</w:t>
      </w:r>
      <w:r>
        <w:rPr>
          <w:i/>
          <w:spacing w:val="-9"/>
        </w:rPr>
        <w:t xml:space="preserve"> </w:t>
      </w:r>
      <w:r>
        <w:rPr>
          <w:i/>
        </w:rPr>
        <w:t>Care for Mental Health</w:t>
      </w:r>
      <w:r>
        <w:t>.</w:t>
      </w:r>
      <w:hyperlink w:anchor="_bookmark60" w:history="1">
        <w:r>
          <w:rPr>
            <w:vertAlign w:val="superscript"/>
          </w:rPr>
          <w:t>24</w:t>
        </w:r>
      </w:hyperlink>
    </w:p>
    <w:p w:rsidR="00200FDA" w:rsidRDefault="00200FDA">
      <w:pPr>
        <w:pStyle w:val="BodyText"/>
        <w:spacing w:before="10"/>
        <w:rPr>
          <w:sz w:val="32"/>
        </w:rPr>
      </w:pPr>
    </w:p>
    <w:p w:rsidR="00200FDA" w:rsidRDefault="00F76C4C">
      <w:pPr>
        <w:pStyle w:val="BodyText"/>
        <w:ind w:left="140" w:right="133"/>
        <w:jc w:val="both"/>
      </w:pPr>
      <w:bookmarkStart w:id="158" w:name="_bookmark76"/>
      <w:bookmarkEnd w:id="158"/>
      <w:r>
        <w:t xml:space="preserve">Beyond staff training, students also need more education to prepare them to prevent and respond to </w:t>
      </w:r>
      <w:bookmarkStart w:id="159" w:name="_bookmark77"/>
      <w:bookmarkEnd w:id="159"/>
      <w:r>
        <w:t xml:space="preserve">bullying, bias, and mistreatment. The Commonwealth should also strengthen existing requirements that </w:t>
      </w:r>
      <w:bookmarkStart w:id="160" w:name="_bookmark78"/>
      <w:bookmarkEnd w:id="160"/>
      <w:r>
        <w:t>schools</w:t>
      </w:r>
      <w:r>
        <w:rPr>
          <w:spacing w:val="-7"/>
        </w:rPr>
        <w:t xml:space="preserve"> </w:t>
      </w:r>
      <w:r>
        <w:t>provide</w:t>
      </w:r>
      <w:r>
        <w:rPr>
          <w:spacing w:val="-8"/>
        </w:rPr>
        <w:t xml:space="preserve"> </w:t>
      </w:r>
      <w:r>
        <w:t>age-appropriate</w:t>
      </w:r>
      <w:r>
        <w:rPr>
          <w:spacing w:val="-6"/>
        </w:rPr>
        <w:t xml:space="preserve"> </w:t>
      </w:r>
      <w:r>
        <w:t>instruction</w:t>
      </w:r>
      <w:r>
        <w:rPr>
          <w:spacing w:val="-10"/>
        </w:rPr>
        <w:t xml:space="preserve"> </w:t>
      </w:r>
      <w:r>
        <w:t>on</w:t>
      </w:r>
      <w:r>
        <w:rPr>
          <w:spacing w:val="-7"/>
        </w:rPr>
        <w:t xml:space="preserve"> </w:t>
      </w:r>
      <w:r>
        <w:t>bullying</w:t>
      </w:r>
      <w:r>
        <w:rPr>
          <w:spacing w:val="-7"/>
        </w:rPr>
        <w:t xml:space="preserve"> </w:t>
      </w:r>
      <w:r>
        <w:t>prevention,</w:t>
      </w:r>
      <w:r>
        <w:rPr>
          <w:spacing w:val="-9"/>
        </w:rPr>
        <w:t xml:space="preserve"> </w:t>
      </w:r>
      <w:r>
        <w:t>to</w:t>
      </w:r>
      <w:r>
        <w:rPr>
          <w:spacing w:val="-8"/>
        </w:rPr>
        <w:t xml:space="preserve"> </w:t>
      </w:r>
      <w:r>
        <w:t>ensure</w:t>
      </w:r>
      <w:r>
        <w:rPr>
          <w:spacing w:val="-8"/>
        </w:rPr>
        <w:t xml:space="preserve"> </w:t>
      </w:r>
      <w:r>
        <w:t>that</w:t>
      </w:r>
      <w:r>
        <w:rPr>
          <w:spacing w:val="-6"/>
        </w:rPr>
        <w:t xml:space="preserve"> </w:t>
      </w:r>
      <w:r>
        <w:t>the</w:t>
      </w:r>
      <w:r>
        <w:rPr>
          <w:spacing w:val="-8"/>
        </w:rPr>
        <w:t xml:space="preserve"> </w:t>
      </w:r>
      <w:r>
        <w:t>state</w:t>
      </w:r>
      <w:r>
        <w:rPr>
          <w:spacing w:val="-6"/>
        </w:rPr>
        <w:t xml:space="preserve"> </w:t>
      </w:r>
      <w:r>
        <w:t>is</w:t>
      </w:r>
      <w:r>
        <w:rPr>
          <w:spacing w:val="-9"/>
        </w:rPr>
        <w:t xml:space="preserve"> </w:t>
      </w:r>
      <w:r>
        <w:t xml:space="preserve">monitoring </w:t>
      </w:r>
      <w:bookmarkStart w:id="161" w:name="_bookmark79"/>
      <w:bookmarkEnd w:id="161"/>
      <w:r>
        <w:t>evidence-based instruction at every level.</w:t>
      </w:r>
    </w:p>
    <w:p w:rsidR="00200FDA" w:rsidRDefault="00200FDA">
      <w:pPr>
        <w:jc w:val="both"/>
        <w:sectPr w:rsidR="00200FDA">
          <w:pgSz w:w="12240" w:h="15840"/>
          <w:pgMar w:top="1360" w:right="1300" w:bottom="1380" w:left="1300" w:header="761" w:footer="1132" w:gutter="0"/>
          <w:cols w:space="720"/>
        </w:sectPr>
      </w:pPr>
    </w:p>
    <w:p w:rsidR="00200FDA" w:rsidRDefault="00F76C4C">
      <w:pPr>
        <w:pStyle w:val="BodyText"/>
        <w:spacing w:before="64"/>
        <w:ind w:left="139" w:right="131"/>
        <w:jc w:val="both"/>
      </w:pPr>
      <w:bookmarkStart w:id="162" w:name="_bookmark80"/>
      <w:bookmarkEnd w:id="162"/>
      <w:r>
        <w:lastRenderedPageBreak/>
        <w:t>LGBTQ</w:t>
      </w:r>
      <w:r>
        <w:rPr>
          <w:spacing w:val="-4"/>
        </w:rPr>
        <w:t xml:space="preserve"> </w:t>
      </w:r>
      <w:r>
        <w:t>youth</w:t>
      </w:r>
      <w:r>
        <w:rPr>
          <w:spacing w:val="-3"/>
        </w:rPr>
        <w:t xml:space="preserve"> </w:t>
      </w:r>
      <w:r>
        <w:t>continue</w:t>
      </w:r>
      <w:r>
        <w:rPr>
          <w:spacing w:val="-1"/>
        </w:rPr>
        <w:t xml:space="preserve"> </w:t>
      </w:r>
      <w:r>
        <w:t>to</w:t>
      </w:r>
      <w:r>
        <w:rPr>
          <w:spacing w:val="-1"/>
        </w:rPr>
        <w:t xml:space="preserve"> </w:t>
      </w:r>
      <w:r>
        <w:t>report</w:t>
      </w:r>
      <w:r>
        <w:rPr>
          <w:spacing w:val="-1"/>
        </w:rPr>
        <w:t xml:space="preserve"> </w:t>
      </w:r>
      <w:r>
        <w:t>higher</w:t>
      </w:r>
      <w:r>
        <w:rPr>
          <w:spacing w:val="-4"/>
        </w:rPr>
        <w:t xml:space="preserve"> </w:t>
      </w:r>
      <w:r>
        <w:t>rates</w:t>
      </w:r>
      <w:r>
        <w:rPr>
          <w:spacing w:val="-4"/>
        </w:rPr>
        <w:t xml:space="preserve"> </w:t>
      </w:r>
      <w:r>
        <w:t>of</w:t>
      </w:r>
      <w:r>
        <w:rPr>
          <w:spacing w:val="-4"/>
        </w:rPr>
        <w:t xml:space="preserve"> </w:t>
      </w:r>
      <w:r>
        <w:t>self-harm</w:t>
      </w:r>
      <w:r>
        <w:rPr>
          <w:spacing w:val="-1"/>
        </w:rPr>
        <w:t xml:space="preserve"> </w:t>
      </w:r>
      <w:r>
        <w:t>and</w:t>
      </w:r>
      <w:r>
        <w:rPr>
          <w:spacing w:val="-3"/>
        </w:rPr>
        <w:t xml:space="preserve"> </w:t>
      </w:r>
      <w:r>
        <w:t>suicidality</w:t>
      </w:r>
      <w:r>
        <w:rPr>
          <w:spacing w:val="-1"/>
        </w:rPr>
        <w:t xml:space="preserve"> </w:t>
      </w:r>
      <w:r>
        <w:t>in</w:t>
      </w:r>
      <w:r>
        <w:rPr>
          <w:spacing w:val="-5"/>
        </w:rPr>
        <w:t xml:space="preserve"> </w:t>
      </w:r>
      <w:r>
        <w:t>Massachusetts.</w:t>
      </w:r>
      <w:r>
        <w:rPr>
          <w:spacing w:val="-2"/>
        </w:rPr>
        <w:t xml:space="preserve"> </w:t>
      </w:r>
      <w:r>
        <w:t>In</w:t>
      </w:r>
      <w:r>
        <w:rPr>
          <w:spacing w:val="-3"/>
        </w:rPr>
        <w:t xml:space="preserve"> </w:t>
      </w:r>
      <w:r>
        <w:t>addition</w:t>
      </w:r>
      <w:r>
        <w:rPr>
          <w:spacing w:val="-3"/>
        </w:rPr>
        <w:t xml:space="preserve"> </w:t>
      </w:r>
      <w:r>
        <w:t>to mental health supports like restorative justice practices, we recommend increased funds for staffing including school counselors, school psychologists, school social workers, nurses, and all other staff that directly address mental health needs of LGBTQ</w:t>
      </w:r>
      <w:r>
        <w:t xml:space="preserve"> youth. On the statewide level, policy efforts are needed to address school-based resources and requirements related to suicide prevention, intervention, and </w:t>
      </w:r>
      <w:bookmarkStart w:id="163" w:name="_bookmark81"/>
      <w:bookmarkEnd w:id="163"/>
      <w:r>
        <w:rPr>
          <w:spacing w:val="-2"/>
        </w:rPr>
        <w:t>postvention.</w:t>
      </w:r>
    </w:p>
    <w:p w:rsidR="00200FDA" w:rsidRDefault="00200FDA">
      <w:pPr>
        <w:pStyle w:val="BodyText"/>
        <w:spacing w:before="11"/>
      </w:pPr>
    </w:p>
    <w:p w:rsidR="00200FDA" w:rsidRDefault="00F76C4C">
      <w:pPr>
        <w:pStyle w:val="BodyText"/>
        <w:spacing w:line="264" w:lineRule="auto"/>
        <w:ind w:left="747" w:right="747" w:firstLine="3"/>
        <w:jc w:val="center"/>
      </w:pPr>
      <w:bookmarkStart w:id="164" w:name="_bookmark82"/>
      <w:bookmarkEnd w:id="164"/>
      <w:r>
        <w:rPr>
          <w:color w:val="4F81BC"/>
        </w:rPr>
        <w:t>“Neurodivergent</w:t>
      </w:r>
      <w:r>
        <w:rPr>
          <w:color w:val="4F81BC"/>
          <w:spacing w:val="-1"/>
        </w:rPr>
        <w:t xml:space="preserve"> </w:t>
      </w:r>
      <w:r>
        <w:rPr>
          <w:color w:val="4F81BC"/>
        </w:rPr>
        <w:t>people</w:t>
      </w:r>
      <w:r>
        <w:rPr>
          <w:color w:val="4F81BC"/>
          <w:spacing w:val="-1"/>
        </w:rPr>
        <w:t xml:space="preserve"> </w:t>
      </w:r>
      <w:r>
        <w:rPr>
          <w:color w:val="4F81BC"/>
        </w:rPr>
        <w:t>are</w:t>
      </w:r>
      <w:r>
        <w:rPr>
          <w:color w:val="4F81BC"/>
          <w:spacing w:val="-1"/>
        </w:rPr>
        <w:t xml:space="preserve"> </w:t>
      </w:r>
      <w:r>
        <w:rPr>
          <w:color w:val="4F81BC"/>
        </w:rPr>
        <w:t>trying</w:t>
      </w:r>
      <w:r>
        <w:rPr>
          <w:color w:val="4F81BC"/>
          <w:spacing w:val="-5"/>
        </w:rPr>
        <w:t xml:space="preserve"> </w:t>
      </w:r>
      <w:r>
        <w:rPr>
          <w:color w:val="4F81BC"/>
        </w:rPr>
        <w:t>their</w:t>
      </w:r>
      <w:r>
        <w:rPr>
          <w:color w:val="4F81BC"/>
          <w:spacing w:val="-2"/>
        </w:rPr>
        <w:t xml:space="preserve"> </w:t>
      </w:r>
      <w:r>
        <w:rPr>
          <w:color w:val="4F81BC"/>
        </w:rPr>
        <w:t>best.</w:t>
      </w:r>
      <w:r>
        <w:rPr>
          <w:color w:val="4F81BC"/>
          <w:spacing w:val="-2"/>
        </w:rPr>
        <w:t xml:space="preserve"> </w:t>
      </w:r>
      <w:r>
        <w:rPr>
          <w:color w:val="4F81BC"/>
        </w:rPr>
        <w:t>But</w:t>
      </w:r>
      <w:r>
        <w:rPr>
          <w:color w:val="4F81BC"/>
          <w:spacing w:val="-4"/>
        </w:rPr>
        <w:t xml:space="preserve"> </w:t>
      </w:r>
      <w:r>
        <w:rPr>
          <w:color w:val="4F81BC"/>
        </w:rPr>
        <w:t>you</w:t>
      </w:r>
      <w:r>
        <w:rPr>
          <w:color w:val="4F81BC"/>
          <w:spacing w:val="-5"/>
        </w:rPr>
        <w:t xml:space="preserve"> </w:t>
      </w:r>
      <w:r>
        <w:rPr>
          <w:color w:val="4F81BC"/>
        </w:rPr>
        <w:t>can’t</w:t>
      </w:r>
      <w:r>
        <w:rPr>
          <w:color w:val="4F81BC"/>
          <w:spacing w:val="-1"/>
        </w:rPr>
        <w:t xml:space="preserve"> </w:t>
      </w:r>
      <w:r>
        <w:rPr>
          <w:color w:val="4F81BC"/>
        </w:rPr>
        <w:t>necessarily</w:t>
      </w:r>
      <w:r>
        <w:rPr>
          <w:color w:val="4F81BC"/>
          <w:spacing w:val="-1"/>
        </w:rPr>
        <w:t xml:space="preserve"> </w:t>
      </w:r>
      <w:r>
        <w:rPr>
          <w:color w:val="4F81BC"/>
        </w:rPr>
        <w:t>hold</w:t>
      </w:r>
      <w:r>
        <w:rPr>
          <w:color w:val="4F81BC"/>
          <w:spacing w:val="-3"/>
        </w:rPr>
        <w:t xml:space="preserve"> </w:t>
      </w:r>
      <w:r>
        <w:rPr>
          <w:color w:val="4F81BC"/>
        </w:rPr>
        <w:t>us</w:t>
      </w:r>
      <w:r>
        <w:rPr>
          <w:color w:val="4F81BC"/>
          <w:spacing w:val="-4"/>
        </w:rPr>
        <w:t xml:space="preserve"> </w:t>
      </w:r>
      <w:r>
        <w:rPr>
          <w:color w:val="4F81BC"/>
        </w:rPr>
        <w:t>to</w:t>
      </w:r>
      <w:r>
        <w:rPr>
          <w:color w:val="4F81BC"/>
          <w:spacing w:val="-3"/>
        </w:rPr>
        <w:t xml:space="preserve"> </w:t>
      </w:r>
      <w:r>
        <w:rPr>
          <w:color w:val="4F81BC"/>
        </w:rPr>
        <w:t>t</w:t>
      </w:r>
      <w:r>
        <w:rPr>
          <w:color w:val="4F81BC"/>
        </w:rPr>
        <w:t>he</w:t>
      </w:r>
      <w:r>
        <w:rPr>
          <w:color w:val="4F81BC"/>
          <w:spacing w:val="-1"/>
        </w:rPr>
        <w:t xml:space="preserve"> </w:t>
      </w:r>
      <w:r>
        <w:rPr>
          <w:color w:val="4F81BC"/>
        </w:rPr>
        <w:t xml:space="preserve">same </w:t>
      </w:r>
      <w:bookmarkStart w:id="165" w:name="_bookmark83"/>
      <w:bookmarkEnd w:id="165"/>
      <w:r>
        <w:rPr>
          <w:color w:val="4F81BC"/>
        </w:rPr>
        <w:t xml:space="preserve">productivity standards as neurotypical people, it’s just not realistic for many of us to </w:t>
      </w:r>
      <w:bookmarkStart w:id="166" w:name="_bookmark84"/>
      <w:bookmarkEnd w:id="166"/>
      <w:r>
        <w:rPr>
          <w:color w:val="4F81BC"/>
        </w:rPr>
        <w:t>maintain</w:t>
      </w:r>
      <w:r>
        <w:rPr>
          <w:color w:val="4F81BC"/>
          <w:spacing w:val="-3"/>
        </w:rPr>
        <w:t xml:space="preserve"> </w:t>
      </w:r>
      <w:r>
        <w:rPr>
          <w:color w:val="4F81BC"/>
        </w:rPr>
        <w:t>high</w:t>
      </w:r>
      <w:r>
        <w:rPr>
          <w:color w:val="4F81BC"/>
          <w:spacing w:val="-3"/>
        </w:rPr>
        <w:t xml:space="preserve"> </w:t>
      </w:r>
      <w:r>
        <w:rPr>
          <w:color w:val="4F81BC"/>
        </w:rPr>
        <w:t>productivity</w:t>
      </w:r>
      <w:r>
        <w:rPr>
          <w:color w:val="4F81BC"/>
          <w:spacing w:val="-3"/>
        </w:rPr>
        <w:t xml:space="preserve"> </w:t>
      </w:r>
      <w:r>
        <w:rPr>
          <w:color w:val="4F81BC"/>
        </w:rPr>
        <w:t>and</w:t>
      </w:r>
      <w:r>
        <w:rPr>
          <w:color w:val="4F81BC"/>
          <w:spacing w:val="-3"/>
        </w:rPr>
        <w:t xml:space="preserve"> </w:t>
      </w:r>
      <w:r>
        <w:rPr>
          <w:color w:val="4F81BC"/>
        </w:rPr>
        <w:t>maintain</w:t>
      </w:r>
      <w:r>
        <w:rPr>
          <w:color w:val="4F81BC"/>
          <w:spacing w:val="-5"/>
        </w:rPr>
        <w:t xml:space="preserve"> </w:t>
      </w:r>
      <w:r>
        <w:rPr>
          <w:color w:val="4F81BC"/>
        </w:rPr>
        <w:t>our</w:t>
      </w:r>
      <w:r>
        <w:rPr>
          <w:color w:val="4F81BC"/>
          <w:spacing w:val="-4"/>
        </w:rPr>
        <w:t xml:space="preserve"> </w:t>
      </w:r>
      <w:r>
        <w:rPr>
          <w:color w:val="4F81BC"/>
        </w:rPr>
        <w:t>mental</w:t>
      </w:r>
      <w:r>
        <w:rPr>
          <w:color w:val="4F81BC"/>
          <w:spacing w:val="-4"/>
        </w:rPr>
        <w:t xml:space="preserve"> </w:t>
      </w:r>
      <w:r>
        <w:rPr>
          <w:color w:val="4F81BC"/>
        </w:rPr>
        <w:t>health.</w:t>
      </w:r>
      <w:r>
        <w:rPr>
          <w:color w:val="4F81BC"/>
          <w:spacing w:val="40"/>
        </w:rPr>
        <w:t xml:space="preserve"> </w:t>
      </w:r>
      <w:r>
        <w:rPr>
          <w:color w:val="4F81BC"/>
        </w:rPr>
        <w:t>And</w:t>
      </w:r>
      <w:r>
        <w:rPr>
          <w:color w:val="4F81BC"/>
          <w:spacing w:val="-3"/>
        </w:rPr>
        <w:t xml:space="preserve"> </w:t>
      </w:r>
      <w:r>
        <w:rPr>
          <w:color w:val="4F81BC"/>
        </w:rPr>
        <w:t>please</w:t>
      </w:r>
      <w:r>
        <w:rPr>
          <w:color w:val="4F81BC"/>
          <w:spacing w:val="-2"/>
        </w:rPr>
        <w:t xml:space="preserve"> </w:t>
      </w:r>
      <w:r>
        <w:rPr>
          <w:color w:val="4F81BC"/>
        </w:rPr>
        <w:t>don’t</w:t>
      </w:r>
      <w:r>
        <w:rPr>
          <w:color w:val="4F81BC"/>
          <w:spacing w:val="-2"/>
        </w:rPr>
        <w:t xml:space="preserve"> </w:t>
      </w:r>
      <w:r>
        <w:rPr>
          <w:color w:val="4F81BC"/>
        </w:rPr>
        <w:t>infantilize</w:t>
      </w:r>
      <w:r>
        <w:rPr>
          <w:color w:val="4F81BC"/>
          <w:spacing w:val="-2"/>
        </w:rPr>
        <w:t xml:space="preserve"> </w:t>
      </w:r>
      <w:r>
        <w:rPr>
          <w:color w:val="4F81BC"/>
        </w:rPr>
        <w:t>us.</w:t>
      </w:r>
    </w:p>
    <w:p w:rsidR="00200FDA" w:rsidRDefault="00F76C4C">
      <w:pPr>
        <w:pStyle w:val="BodyText"/>
        <w:spacing w:line="264" w:lineRule="auto"/>
        <w:ind w:left="982" w:right="984"/>
        <w:jc w:val="center"/>
      </w:pPr>
      <w:bookmarkStart w:id="167" w:name="_bookmark85"/>
      <w:bookmarkEnd w:id="167"/>
      <w:r>
        <w:rPr>
          <w:color w:val="4F81BC"/>
        </w:rPr>
        <w:t>Just</w:t>
      </w:r>
      <w:r>
        <w:rPr>
          <w:color w:val="4F81BC"/>
          <w:spacing w:val="-2"/>
        </w:rPr>
        <w:t xml:space="preserve"> </w:t>
      </w:r>
      <w:r>
        <w:rPr>
          <w:color w:val="4F81BC"/>
        </w:rPr>
        <w:t>because</w:t>
      </w:r>
      <w:r>
        <w:rPr>
          <w:color w:val="4F81BC"/>
          <w:spacing w:val="-4"/>
        </w:rPr>
        <w:t xml:space="preserve"> </w:t>
      </w:r>
      <w:r>
        <w:rPr>
          <w:color w:val="4F81BC"/>
        </w:rPr>
        <w:t>we</w:t>
      </w:r>
      <w:r>
        <w:rPr>
          <w:color w:val="4F81BC"/>
          <w:spacing w:val="-4"/>
        </w:rPr>
        <w:t xml:space="preserve"> </w:t>
      </w:r>
      <w:r>
        <w:rPr>
          <w:color w:val="4F81BC"/>
        </w:rPr>
        <w:t>struggle</w:t>
      </w:r>
      <w:r>
        <w:rPr>
          <w:color w:val="4F81BC"/>
          <w:spacing w:val="-4"/>
        </w:rPr>
        <w:t xml:space="preserve"> </w:t>
      </w:r>
      <w:r>
        <w:rPr>
          <w:color w:val="4F81BC"/>
        </w:rPr>
        <w:t>with</w:t>
      </w:r>
      <w:r>
        <w:rPr>
          <w:color w:val="4F81BC"/>
          <w:spacing w:val="-4"/>
        </w:rPr>
        <w:t xml:space="preserve"> </w:t>
      </w:r>
      <w:r>
        <w:rPr>
          <w:color w:val="4F81BC"/>
        </w:rPr>
        <w:t>some</w:t>
      </w:r>
      <w:r>
        <w:rPr>
          <w:color w:val="4F81BC"/>
          <w:spacing w:val="-4"/>
        </w:rPr>
        <w:t xml:space="preserve"> </w:t>
      </w:r>
      <w:r>
        <w:rPr>
          <w:color w:val="4F81BC"/>
        </w:rPr>
        <w:t>things</w:t>
      </w:r>
      <w:r>
        <w:rPr>
          <w:color w:val="4F81BC"/>
          <w:spacing w:val="-3"/>
        </w:rPr>
        <w:t xml:space="preserve"> </w:t>
      </w:r>
      <w:r>
        <w:rPr>
          <w:color w:val="4F81BC"/>
        </w:rPr>
        <w:t>you</w:t>
      </w:r>
      <w:r>
        <w:rPr>
          <w:color w:val="4F81BC"/>
          <w:spacing w:val="-5"/>
        </w:rPr>
        <w:t xml:space="preserve"> </w:t>
      </w:r>
      <w:r>
        <w:rPr>
          <w:color w:val="4F81BC"/>
        </w:rPr>
        <w:t>may</w:t>
      </w:r>
      <w:r>
        <w:rPr>
          <w:color w:val="4F81BC"/>
          <w:spacing w:val="-4"/>
        </w:rPr>
        <w:t xml:space="preserve"> </w:t>
      </w:r>
      <w:r>
        <w:rPr>
          <w:color w:val="4F81BC"/>
        </w:rPr>
        <w:t>consider</w:t>
      </w:r>
      <w:r>
        <w:rPr>
          <w:color w:val="4F81BC"/>
          <w:spacing w:val="-3"/>
        </w:rPr>
        <w:t xml:space="preserve"> </w:t>
      </w:r>
      <w:r>
        <w:rPr>
          <w:color w:val="4F81BC"/>
        </w:rPr>
        <w:t>basic</w:t>
      </w:r>
      <w:r>
        <w:rPr>
          <w:color w:val="4F81BC"/>
          <w:spacing w:val="-3"/>
        </w:rPr>
        <w:t xml:space="preserve"> </w:t>
      </w:r>
      <w:r>
        <w:rPr>
          <w:color w:val="4F81BC"/>
        </w:rPr>
        <w:t>adult</w:t>
      </w:r>
      <w:r>
        <w:rPr>
          <w:color w:val="4F81BC"/>
          <w:spacing w:val="-2"/>
        </w:rPr>
        <w:t xml:space="preserve"> </w:t>
      </w:r>
      <w:r>
        <w:rPr>
          <w:color w:val="4F81BC"/>
        </w:rPr>
        <w:t>skills,</w:t>
      </w:r>
      <w:r>
        <w:rPr>
          <w:color w:val="4F81BC"/>
          <w:spacing w:val="-3"/>
        </w:rPr>
        <w:t xml:space="preserve"> </w:t>
      </w:r>
      <w:r>
        <w:rPr>
          <w:color w:val="4F81BC"/>
        </w:rPr>
        <w:t xml:space="preserve">doesn’t </w:t>
      </w:r>
      <w:bookmarkStart w:id="168" w:name="_bookmark86"/>
      <w:bookmarkEnd w:id="168"/>
      <w:r>
        <w:rPr>
          <w:color w:val="4F81BC"/>
        </w:rPr>
        <w:t>mean we’re not mature or mentally our physical age.” - Rosie, 16</w:t>
      </w:r>
    </w:p>
    <w:p w:rsidR="00200FDA" w:rsidRDefault="00200FDA">
      <w:pPr>
        <w:pStyle w:val="BodyText"/>
        <w:spacing w:before="9"/>
        <w:rPr>
          <w:sz w:val="32"/>
        </w:rPr>
      </w:pPr>
    </w:p>
    <w:p w:rsidR="00200FDA" w:rsidRDefault="00F76C4C">
      <w:pPr>
        <w:pStyle w:val="BodyText"/>
        <w:ind w:left="139" w:right="135"/>
        <w:jc w:val="both"/>
      </w:pPr>
      <w:bookmarkStart w:id="169" w:name="_bookmark87"/>
      <w:bookmarkStart w:id="170" w:name="_bookmark88"/>
      <w:bookmarkEnd w:id="169"/>
      <w:bookmarkEnd w:id="170"/>
      <w:r>
        <w:t xml:space="preserve">GLSEN’s National School Climate Survey found that 73% of participants hear biased ability-focused </w:t>
      </w:r>
      <w:bookmarkStart w:id="171" w:name="_bookmark89"/>
      <w:bookmarkEnd w:id="171"/>
      <w:r>
        <w:t xml:space="preserve">remarks in school “often” or "frequently.” Meanwhile, 34% stated that </w:t>
      </w:r>
      <w:r>
        <w:t xml:space="preserve">they were harassed or assaulted </w:t>
      </w:r>
      <w:bookmarkStart w:id="172" w:name="_bookmark90"/>
      <w:bookmarkEnd w:id="172"/>
      <w:r>
        <w:t>at</w:t>
      </w:r>
      <w:r>
        <w:rPr>
          <w:spacing w:val="-6"/>
        </w:rPr>
        <w:t xml:space="preserve"> </w:t>
      </w:r>
      <w:r>
        <w:t>school</w:t>
      </w:r>
      <w:r>
        <w:rPr>
          <w:spacing w:val="-9"/>
        </w:rPr>
        <w:t xml:space="preserve"> </w:t>
      </w:r>
      <w:r>
        <w:t>within</w:t>
      </w:r>
      <w:r>
        <w:rPr>
          <w:spacing w:val="-7"/>
        </w:rPr>
        <w:t xml:space="preserve"> </w:t>
      </w:r>
      <w:r>
        <w:t>the</w:t>
      </w:r>
      <w:r>
        <w:rPr>
          <w:spacing w:val="-6"/>
        </w:rPr>
        <w:t xml:space="preserve"> </w:t>
      </w:r>
      <w:r>
        <w:t>last</w:t>
      </w:r>
      <w:r>
        <w:rPr>
          <w:spacing w:val="-9"/>
        </w:rPr>
        <w:t xml:space="preserve"> </w:t>
      </w:r>
      <w:r>
        <w:t>year</w:t>
      </w:r>
      <w:r>
        <w:rPr>
          <w:spacing w:val="-7"/>
        </w:rPr>
        <w:t xml:space="preserve"> </w:t>
      </w:r>
      <w:r>
        <w:t>based</w:t>
      </w:r>
      <w:r>
        <w:rPr>
          <w:spacing w:val="-7"/>
        </w:rPr>
        <w:t xml:space="preserve"> </w:t>
      </w:r>
      <w:r>
        <w:t>on</w:t>
      </w:r>
      <w:r>
        <w:rPr>
          <w:spacing w:val="-10"/>
        </w:rPr>
        <w:t xml:space="preserve"> </w:t>
      </w:r>
      <w:r>
        <w:t>their</w:t>
      </w:r>
      <w:r>
        <w:rPr>
          <w:spacing w:val="-7"/>
        </w:rPr>
        <w:t xml:space="preserve"> </w:t>
      </w:r>
      <w:r>
        <w:t>actual</w:t>
      </w:r>
      <w:r>
        <w:rPr>
          <w:spacing w:val="-7"/>
        </w:rPr>
        <w:t xml:space="preserve"> </w:t>
      </w:r>
      <w:r>
        <w:t>or</w:t>
      </w:r>
      <w:r>
        <w:rPr>
          <w:spacing w:val="-9"/>
        </w:rPr>
        <w:t xml:space="preserve"> </w:t>
      </w:r>
      <w:r>
        <w:t>perceived</w:t>
      </w:r>
      <w:r>
        <w:rPr>
          <w:spacing w:val="-7"/>
        </w:rPr>
        <w:t xml:space="preserve"> </w:t>
      </w:r>
      <w:r>
        <w:t>disability,</w:t>
      </w:r>
      <w:r>
        <w:rPr>
          <w:spacing w:val="-7"/>
        </w:rPr>
        <w:t xml:space="preserve"> </w:t>
      </w:r>
      <w:r>
        <w:t>and</w:t>
      </w:r>
      <w:r>
        <w:rPr>
          <w:spacing w:val="-7"/>
        </w:rPr>
        <w:t xml:space="preserve"> </w:t>
      </w:r>
      <w:r>
        <w:t>17%</w:t>
      </w:r>
      <w:r>
        <w:rPr>
          <w:spacing w:val="-6"/>
        </w:rPr>
        <w:t xml:space="preserve"> </w:t>
      </w:r>
      <w:r>
        <w:t>reported</w:t>
      </w:r>
      <w:r>
        <w:rPr>
          <w:spacing w:val="-10"/>
        </w:rPr>
        <w:t xml:space="preserve"> </w:t>
      </w:r>
      <w:r>
        <w:t>experiencing this online.</w:t>
      </w:r>
      <w:r>
        <w:rPr>
          <w:spacing w:val="-13"/>
        </w:rPr>
        <w:t xml:space="preserve"> </w:t>
      </w:r>
      <w:hyperlink w:anchor="_bookmark61" w:history="1">
        <w:r>
          <w:rPr>
            <w:vertAlign w:val="superscript"/>
          </w:rPr>
          <w:t>25</w:t>
        </w:r>
      </w:hyperlink>
      <w:r>
        <w:rPr>
          <w:spacing w:val="40"/>
        </w:rPr>
        <w:t xml:space="preserve"> </w:t>
      </w:r>
      <w:r>
        <w:t>Educators can support disabled and neurodivergent students by interrupting bullying, offering</w:t>
      </w:r>
      <w:r>
        <w:rPr>
          <w:spacing w:val="-13"/>
        </w:rPr>
        <w:t xml:space="preserve"> </w:t>
      </w:r>
      <w:r>
        <w:t>transparent</w:t>
      </w:r>
      <w:r>
        <w:rPr>
          <w:spacing w:val="-12"/>
        </w:rPr>
        <w:t xml:space="preserve"> </w:t>
      </w:r>
      <w:r>
        <w:t>communication</w:t>
      </w:r>
      <w:r>
        <w:rPr>
          <w:spacing w:val="-13"/>
        </w:rPr>
        <w:t xml:space="preserve"> </w:t>
      </w:r>
      <w:r>
        <w:t>around</w:t>
      </w:r>
      <w:r>
        <w:rPr>
          <w:spacing w:val="-12"/>
        </w:rPr>
        <w:t xml:space="preserve"> </w:t>
      </w:r>
      <w:r>
        <w:t>their</w:t>
      </w:r>
      <w:r>
        <w:rPr>
          <w:spacing w:val="-13"/>
        </w:rPr>
        <w:t xml:space="preserve"> </w:t>
      </w:r>
      <w:r>
        <w:t>education,</w:t>
      </w:r>
      <w:r>
        <w:rPr>
          <w:spacing w:val="-12"/>
        </w:rPr>
        <w:t xml:space="preserve"> </w:t>
      </w:r>
      <w:r>
        <w:t>and</w:t>
      </w:r>
      <w:r>
        <w:rPr>
          <w:spacing w:val="-12"/>
        </w:rPr>
        <w:t xml:space="preserve"> </w:t>
      </w:r>
      <w:r>
        <w:t>informing</w:t>
      </w:r>
      <w:r>
        <w:rPr>
          <w:spacing w:val="-13"/>
        </w:rPr>
        <w:t xml:space="preserve"> </w:t>
      </w:r>
      <w:r>
        <w:t>them</w:t>
      </w:r>
      <w:r>
        <w:rPr>
          <w:spacing w:val="-12"/>
        </w:rPr>
        <w:t xml:space="preserve"> </w:t>
      </w:r>
      <w:r>
        <w:t>of</w:t>
      </w:r>
      <w:r>
        <w:rPr>
          <w:spacing w:val="-11"/>
        </w:rPr>
        <w:t xml:space="preserve"> </w:t>
      </w:r>
      <w:r>
        <w:t>their</w:t>
      </w:r>
      <w:r>
        <w:rPr>
          <w:spacing w:val="-12"/>
        </w:rPr>
        <w:t xml:space="preserve"> </w:t>
      </w:r>
      <w:r>
        <w:t>rights.</w:t>
      </w:r>
      <w:hyperlink w:anchor="_bookmark62" w:history="1">
        <w:r>
          <w:rPr>
            <w:vertAlign w:val="superscript"/>
          </w:rPr>
          <w:t>26</w:t>
        </w:r>
      </w:hyperlink>
      <w:r>
        <w:rPr>
          <w:spacing w:val="-3"/>
        </w:rPr>
        <w:t xml:space="preserve"> </w:t>
      </w:r>
      <w:r>
        <w:t>Overall, more</w:t>
      </w:r>
      <w:r>
        <w:rPr>
          <w:spacing w:val="-6"/>
        </w:rPr>
        <w:t xml:space="preserve"> </w:t>
      </w:r>
      <w:r>
        <w:t>training</w:t>
      </w:r>
      <w:r>
        <w:rPr>
          <w:spacing w:val="-7"/>
        </w:rPr>
        <w:t xml:space="preserve"> </w:t>
      </w:r>
      <w:r>
        <w:t>and</w:t>
      </w:r>
      <w:r>
        <w:rPr>
          <w:spacing w:val="-7"/>
        </w:rPr>
        <w:t xml:space="preserve"> </w:t>
      </w:r>
      <w:r>
        <w:t>prevention</w:t>
      </w:r>
      <w:r>
        <w:rPr>
          <w:spacing w:val="-7"/>
        </w:rPr>
        <w:t xml:space="preserve"> </w:t>
      </w:r>
      <w:r>
        <w:t>work</w:t>
      </w:r>
      <w:r>
        <w:rPr>
          <w:spacing w:val="-6"/>
        </w:rPr>
        <w:t xml:space="preserve"> </w:t>
      </w:r>
      <w:r>
        <w:t>that</w:t>
      </w:r>
      <w:r>
        <w:rPr>
          <w:spacing w:val="-6"/>
        </w:rPr>
        <w:t xml:space="preserve"> </w:t>
      </w:r>
      <w:r>
        <w:t>acknowledges</w:t>
      </w:r>
      <w:r>
        <w:rPr>
          <w:spacing w:val="-9"/>
        </w:rPr>
        <w:t xml:space="preserve"> </w:t>
      </w:r>
      <w:r>
        <w:t>the</w:t>
      </w:r>
      <w:r>
        <w:rPr>
          <w:spacing w:val="-6"/>
        </w:rPr>
        <w:t xml:space="preserve"> </w:t>
      </w:r>
      <w:r>
        <w:t>overlapping</w:t>
      </w:r>
      <w:r>
        <w:rPr>
          <w:spacing w:val="-7"/>
        </w:rPr>
        <w:t xml:space="preserve"> </w:t>
      </w:r>
      <w:r>
        <w:t>forms</w:t>
      </w:r>
      <w:r>
        <w:rPr>
          <w:spacing w:val="-7"/>
        </w:rPr>
        <w:t xml:space="preserve"> </w:t>
      </w:r>
      <w:r>
        <w:t>of</w:t>
      </w:r>
      <w:r>
        <w:rPr>
          <w:spacing w:val="-9"/>
        </w:rPr>
        <w:t xml:space="preserve"> </w:t>
      </w:r>
      <w:r>
        <w:t>oppression</w:t>
      </w:r>
      <w:r>
        <w:rPr>
          <w:spacing w:val="-7"/>
        </w:rPr>
        <w:t xml:space="preserve"> </w:t>
      </w:r>
      <w:r>
        <w:t>that</w:t>
      </w:r>
      <w:r>
        <w:rPr>
          <w:spacing w:val="-6"/>
        </w:rPr>
        <w:t xml:space="preserve"> </w:t>
      </w:r>
      <w:r>
        <w:t xml:space="preserve">students </w:t>
      </w:r>
      <w:bookmarkStart w:id="173" w:name="Student_Leadership_and_Development"/>
      <w:bookmarkEnd w:id="173"/>
      <w:r>
        <w:t>face is needed.</w:t>
      </w:r>
    </w:p>
    <w:p w:rsidR="00200FDA" w:rsidRDefault="00200FDA">
      <w:pPr>
        <w:pStyle w:val="BodyText"/>
      </w:pPr>
    </w:p>
    <w:p w:rsidR="00200FDA" w:rsidRDefault="00F76C4C">
      <w:pPr>
        <w:pStyle w:val="Heading8"/>
        <w:spacing w:before="185"/>
      </w:pPr>
      <w:r>
        <w:rPr>
          <w:color w:val="365F91"/>
        </w:rPr>
        <w:t>Student</w:t>
      </w:r>
      <w:r>
        <w:rPr>
          <w:color w:val="365F91"/>
          <w:spacing w:val="-1"/>
        </w:rPr>
        <w:t xml:space="preserve"> </w:t>
      </w:r>
      <w:r>
        <w:rPr>
          <w:color w:val="365F91"/>
        </w:rPr>
        <w:t>Leadership</w:t>
      </w:r>
      <w:r>
        <w:rPr>
          <w:color w:val="365F91"/>
          <w:spacing w:val="-3"/>
        </w:rPr>
        <w:t xml:space="preserve"> </w:t>
      </w:r>
      <w:r>
        <w:rPr>
          <w:color w:val="365F91"/>
        </w:rPr>
        <w:t>and</w:t>
      </w:r>
      <w:r>
        <w:rPr>
          <w:color w:val="365F91"/>
          <w:spacing w:val="-4"/>
        </w:rPr>
        <w:t xml:space="preserve"> </w:t>
      </w:r>
      <w:r>
        <w:rPr>
          <w:color w:val="365F91"/>
          <w:spacing w:val="-2"/>
        </w:rPr>
        <w:t>Development</w:t>
      </w:r>
    </w:p>
    <w:p w:rsidR="00200FDA" w:rsidRDefault="00200FDA">
      <w:pPr>
        <w:pStyle w:val="BodyText"/>
        <w:spacing w:before="12"/>
      </w:pPr>
    </w:p>
    <w:p w:rsidR="00200FDA" w:rsidRDefault="00F76C4C">
      <w:pPr>
        <w:pStyle w:val="BodyText"/>
        <w:spacing w:line="264" w:lineRule="auto"/>
        <w:ind w:left="715" w:right="714" w:hanging="4"/>
        <w:jc w:val="center"/>
      </w:pPr>
      <w:bookmarkStart w:id="174" w:name="_bookmark91"/>
      <w:bookmarkStart w:id="175" w:name="_bookmark92"/>
      <w:bookmarkEnd w:id="174"/>
      <w:bookmarkEnd w:id="175"/>
      <w:r>
        <w:rPr>
          <w:color w:val="4F81BC"/>
        </w:rPr>
        <w:t>“I have been involved in the MA GSA Leadership Council since 7th grade (I’m now a Junior) and</w:t>
      </w:r>
      <w:r>
        <w:rPr>
          <w:color w:val="4F81BC"/>
          <w:spacing w:val="-3"/>
        </w:rPr>
        <w:t xml:space="preserve"> </w:t>
      </w:r>
      <w:r>
        <w:rPr>
          <w:color w:val="4F81BC"/>
        </w:rPr>
        <w:t>it</w:t>
      </w:r>
      <w:r>
        <w:rPr>
          <w:color w:val="4F81BC"/>
          <w:spacing w:val="-2"/>
        </w:rPr>
        <w:t xml:space="preserve"> </w:t>
      </w:r>
      <w:r>
        <w:rPr>
          <w:color w:val="4F81BC"/>
        </w:rPr>
        <w:t>has</w:t>
      </w:r>
      <w:r>
        <w:rPr>
          <w:color w:val="4F81BC"/>
          <w:spacing w:val="-2"/>
        </w:rPr>
        <w:t xml:space="preserve"> </w:t>
      </w:r>
      <w:r>
        <w:rPr>
          <w:color w:val="4F81BC"/>
        </w:rPr>
        <w:t>wildly</w:t>
      </w:r>
      <w:r>
        <w:rPr>
          <w:color w:val="4F81BC"/>
          <w:spacing w:val="-1"/>
        </w:rPr>
        <w:t xml:space="preserve"> </w:t>
      </w:r>
      <w:r>
        <w:rPr>
          <w:color w:val="4F81BC"/>
        </w:rPr>
        <w:t>changed</w:t>
      </w:r>
      <w:r>
        <w:rPr>
          <w:color w:val="4F81BC"/>
          <w:spacing w:val="-5"/>
        </w:rPr>
        <w:t xml:space="preserve"> </w:t>
      </w:r>
      <w:r>
        <w:rPr>
          <w:color w:val="4F81BC"/>
        </w:rPr>
        <w:t>my</w:t>
      </w:r>
      <w:r>
        <w:rPr>
          <w:color w:val="4F81BC"/>
          <w:spacing w:val="-3"/>
        </w:rPr>
        <w:t xml:space="preserve"> </w:t>
      </w:r>
      <w:r>
        <w:rPr>
          <w:color w:val="4F81BC"/>
        </w:rPr>
        <w:t>life</w:t>
      </w:r>
      <w:r>
        <w:rPr>
          <w:color w:val="4F81BC"/>
          <w:spacing w:val="-2"/>
        </w:rPr>
        <w:t xml:space="preserve"> </w:t>
      </w:r>
      <w:r>
        <w:rPr>
          <w:color w:val="4F81BC"/>
        </w:rPr>
        <w:t>for</w:t>
      </w:r>
      <w:r>
        <w:rPr>
          <w:color w:val="4F81BC"/>
          <w:spacing w:val="-2"/>
        </w:rPr>
        <w:t xml:space="preserve"> </w:t>
      </w:r>
      <w:r>
        <w:rPr>
          <w:color w:val="4F81BC"/>
        </w:rPr>
        <w:t>the</w:t>
      </w:r>
      <w:r>
        <w:rPr>
          <w:color w:val="4F81BC"/>
          <w:spacing w:val="-1"/>
        </w:rPr>
        <w:t xml:space="preserve"> </w:t>
      </w:r>
      <w:r>
        <w:rPr>
          <w:color w:val="4F81BC"/>
        </w:rPr>
        <w:t>better.</w:t>
      </w:r>
      <w:r>
        <w:rPr>
          <w:color w:val="4F81BC"/>
          <w:spacing w:val="-2"/>
        </w:rPr>
        <w:t xml:space="preserve"> </w:t>
      </w:r>
      <w:r>
        <w:rPr>
          <w:color w:val="4F81BC"/>
        </w:rPr>
        <w:t>I’m</w:t>
      </w:r>
      <w:r>
        <w:rPr>
          <w:color w:val="4F81BC"/>
          <w:spacing w:val="-1"/>
        </w:rPr>
        <w:t xml:space="preserve"> </w:t>
      </w:r>
      <w:r>
        <w:rPr>
          <w:color w:val="4F81BC"/>
        </w:rPr>
        <w:t>also</w:t>
      </w:r>
      <w:r>
        <w:rPr>
          <w:color w:val="4F81BC"/>
          <w:spacing w:val="-1"/>
        </w:rPr>
        <w:t xml:space="preserve"> </w:t>
      </w:r>
      <w:r>
        <w:rPr>
          <w:color w:val="4F81BC"/>
        </w:rPr>
        <w:t>the</w:t>
      </w:r>
      <w:r>
        <w:rPr>
          <w:color w:val="4F81BC"/>
          <w:spacing w:val="-1"/>
        </w:rPr>
        <w:t xml:space="preserve"> </w:t>
      </w:r>
      <w:r>
        <w:rPr>
          <w:color w:val="4F81BC"/>
        </w:rPr>
        <w:t>President</w:t>
      </w:r>
      <w:r>
        <w:rPr>
          <w:color w:val="4F81BC"/>
          <w:spacing w:val="-4"/>
        </w:rPr>
        <w:t xml:space="preserve"> </w:t>
      </w:r>
      <w:r>
        <w:rPr>
          <w:color w:val="4F81BC"/>
        </w:rPr>
        <w:t>of</w:t>
      </w:r>
      <w:r>
        <w:rPr>
          <w:color w:val="4F81BC"/>
          <w:spacing w:val="-4"/>
        </w:rPr>
        <w:t xml:space="preserve"> </w:t>
      </w:r>
      <w:r>
        <w:rPr>
          <w:color w:val="4F81BC"/>
        </w:rPr>
        <w:t>the</w:t>
      </w:r>
      <w:r>
        <w:rPr>
          <w:color w:val="4F81BC"/>
          <w:spacing w:val="-2"/>
        </w:rPr>
        <w:t xml:space="preserve"> </w:t>
      </w:r>
      <w:r>
        <w:rPr>
          <w:color w:val="4F81BC"/>
        </w:rPr>
        <w:t>GSA</w:t>
      </w:r>
      <w:r>
        <w:rPr>
          <w:color w:val="4F81BC"/>
          <w:spacing w:val="-2"/>
        </w:rPr>
        <w:t xml:space="preserve"> </w:t>
      </w:r>
      <w:r>
        <w:rPr>
          <w:color w:val="4F81BC"/>
        </w:rPr>
        <w:t>at</w:t>
      </w:r>
      <w:r>
        <w:rPr>
          <w:color w:val="4F81BC"/>
          <w:spacing w:val="-4"/>
        </w:rPr>
        <w:t xml:space="preserve"> </w:t>
      </w:r>
      <w:r>
        <w:rPr>
          <w:color w:val="4F81BC"/>
        </w:rPr>
        <w:t>my</w:t>
      </w:r>
      <w:r>
        <w:rPr>
          <w:color w:val="4F81BC"/>
          <w:spacing w:val="-1"/>
        </w:rPr>
        <w:t xml:space="preserve"> </w:t>
      </w:r>
      <w:r>
        <w:rPr>
          <w:color w:val="4F81BC"/>
        </w:rPr>
        <w:t xml:space="preserve">high </w:t>
      </w:r>
      <w:bookmarkStart w:id="176" w:name="_bookmark93"/>
      <w:bookmarkEnd w:id="176"/>
      <w:r>
        <w:rPr>
          <w:color w:val="4F81BC"/>
        </w:rPr>
        <w:t>school. I’ve found a support system who I know will always be there for me, and been able to begin/continue the LGBTQ advocacy work which I am so passionate about. The space is so</w:t>
      </w:r>
      <w:r>
        <w:rPr>
          <w:color w:val="4F81BC"/>
          <w:spacing w:val="-2"/>
        </w:rPr>
        <w:t xml:space="preserve"> </w:t>
      </w:r>
      <w:r>
        <w:rPr>
          <w:color w:val="4F81BC"/>
        </w:rPr>
        <w:t>welcoming</w:t>
      </w:r>
      <w:r>
        <w:rPr>
          <w:color w:val="4F81BC"/>
          <w:spacing w:val="-2"/>
        </w:rPr>
        <w:t xml:space="preserve"> </w:t>
      </w:r>
      <w:r>
        <w:rPr>
          <w:color w:val="4F81BC"/>
        </w:rPr>
        <w:t>and</w:t>
      </w:r>
      <w:r>
        <w:rPr>
          <w:color w:val="4F81BC"/>
          <w:spacing w:val="-2"/>
        </w:rPr>
        <w:t xml:space="preserve"> </w:t>
      </w:r>
      <w:r>
        <w:rPr>
          <w:color w:val="4F81BC"/>
        </w:rPr>
        <w:t>we</w:t>
      </w:r>
      <w:r>
        <w:rPr>
          <w:color w:val="4F81BC"/>
          <w:spacing w:val="-3"/>
        </w:rPr>
        <w:t xml:space="preserve"> </w:t>
      </w:r>
      <w:r>
        <w:rPr>
          <w:color w:val="4F81BC"/>
        </w:rPr>
        <w:t>do</w:t>
      </w:r>
      <w:r>
        <w:rPr>
          <w:color w:val="4F81BC"/>
          <w:spacing w:val="-2"/>
        </w:rPr>
        <w:t xml:space="preserve"> </w:t>
      </w:r>
      <w:r>
        <w:rPr>
          <w:color w:val="4F81BC"/>
        </w:rPr>
        <w:t>our</w:t>
      </w:r>
      <w:r>
        <w:rPr>
          <w:color w:val="4F81BC"/>
          <w:spacing w:val="-1"/>
        </w:rPr>
        <w:t xml:space="preserve"> </w:t>
      </w:r>
      <w:r>
        <w:rPr>
          <w:color w:val="4F81BC"/>
        </w:rPr>
        <w:t>best to</w:t>
      </w:r>
      <w:r>
        <w:rPr>
          <w:color w:val="4F81BC"/>
          <w:spacing w:val="-2"/>
        </w:rPr>
        <w:t xml:space="preserve"> </w:t>
      </w:r>
      <w:r>
        <w:rPr>
          <w:color w:val="4F81BC"/>
        </w:rPr>
        <w:t>make sure that</w:t>
      </w:r>
      <w:r>
        <w:rPr>
          <w:color w:val="4F81BC"/>
          <w:spacing w:val="-3"/>
        </w:rPr>
        <w:t xml:space="preserve"> </w:t>
      </w:r>
      <w:r>
        <w:rPr>
          <w:color w:val="4F81BC"/>
        </w:rPr>
        <w:t>everyone</w:t>
      </w:r>
      <w:r>
        <w:rPr>
          <w:color w:val="4F81BC"/>
          <w:spacing w:val="-3"/>
        </w:rPr>
        <w:t xml:space="preserve"> </w:t>
      </w:r>
      <w:r>
        <w:rPr>
          <w:color w:val="4F81BC"/>
        </w:rPr>
        <w:t>has</w:t>
      </w:r>
      <w:r>
        <w:rPr>
          <w:color w:val="4F81BC"/>
          <w:spacing w:val="-1"/>
        </w:rPr>
        <w:t xml:space="preserve"> </w:t>
      </w:r>
      <w:r>
        <w:rPr>
          <w:color w:val="4F81BC"/>
        </w:rPr>
        <w:t>a place to be safe.” -</w:t>
      </w:r>
      <w:r>
        <w:rPr>
          <w:color w:val="4F81BC"/>
          <w:spacing w:val="-1"/>
        </w:rPr>
        <w:t xml:space="preserve"> </w:t>
      </w:r>
      <w:r>
        <w:rPr>
          <w:color w:val="4F81BC"/>
        </w:rPr>
        <w:t xml:space="preserve">Alia, </w:t>
      </w:r>
      <w:r>
        <w:rPr>
          <w:color w:val="4F81BC"/>
          <w:spacing w:val="-6"/>
        </w:rPr>
        <w:t>17</w:t>
      </w:r>
    </w:p>
    <w:p w:rsidR="00200FDA" w:rsidRDefault="00200FDA">
      <w:pPr>
        <w:pStyle w:val="BodyText"/>
        <w:spacing w:before="8"/>
        <w:rPr>
          <w:sz w:val="32"/>
        </w:rPr>
      </w:pPr>
    </w:p>
    <w:p w:rsidR="00200FDA" w:rsidRDefault="00F76C4C">
      <w:pPr>
        <w:pStyle w:val="BodyText"/>
        <w:spacing w:before="1"/>
        <w:ind w:left="140" w:right="131"/>
        <w:jc w:val="both"/>
        <w:rPr>
          <w:b/>
        </w:rPr>
      </w:pPr>
      <w:r>
        <w:t>Gender-Sexuality Alliances (GSAs) empower LGBTQ youth to build resilience, hope, and positive support networks, and also tend to actively improve school culture. GLSEN found that student</w:t>
      </w:r>
      <w:r>
        <w:t>s with active GSAs experienced</w:t>
      </w:r>
      <w:r>
        <w:rPr>
          <w:spacing w:val="-3"/>
        </w:rPr>
        <w:t xml:space="preserve"> </w:t>
      </w:r>
      <w:r>
        <w:t>nearly</w:t>
      </w:r>
      <w:r>
        <w:rPr>
          <w:spacing w:val="-1"/>
        </w:rPr>
        <w:t xml:space="preserve"> </w:t>
      </w:r>
      <w:r>
        <w:t>half</w:t>
      </w:r>
      <w:r>
        <w:rPr>
          <w:spacing w:val="-5"/>
        </w:rPr>
        <w:t xml:space="preserve"> </w:t>
      </w:r>
      <w:r>
        <w:t>as</w:t>
      </w:r>
      <w:r>
        <w:rPr>
          <w:spacing w:val="-4"/>
        </w:rPr>
        <w:t xml:space="preserve"> </w:t>
      </w:r>
      <w:r>
        <w:t>much</w:t>
      </w:r>
      <w:r>
        <w:rPr>
          <w:spacing w:val="-3"/>
        </w:rPr>
        <w:t xml:space="preserve"> </w:t>
      </w:r>
      <w:r>
        <w:t>in-person</w:t>
      </w:r>
      <w:r>
        <w:rPr>
          <w:spacing w:val="-5"/>
        </w:rPr>
        <w:t xml:space="preserve"> </w:t>
      </w:r>
      <w:r>
        <w:t>victimization</w:t>
      </w:r>
      <w:r>
        <w:rPr>
          <w:spacing w:val="-3"/>
        </w:rPr>
        <w:t xml:space="preserve"> </w:t>
      </w:r>
      <w:r>
        <w:t>for</w:t>
      </w:r>
      <w:r>
        <w:rPr>
          <w:spacing w:val="-2"/>
        </w:rPr>
        <w:t xml:space="preserve"> </w:t>
      </w:r>
      <w:r>
        <w:t>their</w:t>
      </w:r>
      <w:r>
        <w:rPr>
          <w:spacing w:val="-4"/>
        </w:rPr>
        <w:t xml:space="preserve"> </w:t>
      </w:r>
      <w:r>
        <w:t>sexual</w:t>
      </w:r>
      <w:r>
        <w:rPr>
          <w:spacing w:val="-4"/>
        </w:rPr>
        <w:t xml:space="preserve"> </w:t>
      </w:r>
      <w:r>
        <w:t>orientation</w:t>
      </w:r>
      <w:r>
        <w:rPr>
          <w:spacing w:val="-5"/>
        </w:rPr>
        <w:t xml:space="preserve"> </w:t>
      </w:r>
      <w:r>
        <w:t>or</w:t>
      </w:r>
      <w:r>
        <w:rPr>
          <w:spacing w:val="-2"/>
        </w:rPr>
        <w:t xml:space="preserve"> </w:t>
      </w:r>
      <w:r>
        <w:t>gender</w:t>
      </w:r>
      <w:r>
        <w:rPr>
          <w:spacing w:val="-4"/>
        </w:rPr>
        <w:t xml:space="preserve"> </w:t>
      </w:r>
      <w:r>
        <w:t>expression as</w:t>
      </w:r>
      <w:r>
        <w:rPr>
          <w:spacing w:val="-7"/>
        </w:rPr>
        <w:t xml:space="preserve"> </w:t>
      </w:r>
      <w:r>
        <w:t>their</w:t>
      </w:r>
      <w:r>
        <w:rPr>
          <w:spacing w:val="-9"/>
        </w:rPr>
        <w:t xml:space="preserve"> </w:t>
      </w:r>
      <w:r>
        <w:t>peers.</w:t>
      </w:r>
      <w:r>
        <w:rPr>
          <w:spacing w:val="-10"/>
        </w:rPr>
        <w:t xml:space="preserve"> </w:t>
      </w:r>
      <w:r>
        <w:t>Although</w:t>
      </w:r>
      <w:r>
        <w:rPr>
          <w:spacing w:val="-7"/>
        </w:rPr>
        <w:t xml:space="preserve"> </w:t>
      </w:r>
      <w:r>
        <w:t>research</w:t>
      </w:r>
      <w:r>
        <w:rPr>
          <w:spacing w:val="-7"/>
        </w:rPr>
        <w:t xml:space="preserve"> </w:t>
      </w:r>
      <w:r>
        <w:t>shows</w:t>
      </w:r>
      <w:r>
        <w:rPr>
          <w:spacing w:val="-9"/>
        </w:rPr>
        <w:t xml:space="preserve"> </w:t>
      </w:r>
      <w:r>
        <w:t>that</w:t>
      </w:r>
      <w:r>
        <w:rPr>
          <w:spacing w:val="-9"/>
        </w:rPr>
        <w:t xml:space="preserve"> </w:t>
      </w:r>
      <w:r>
        <w:t>GSAs</w:t>
      </w:r>
      <w:r>
        <w:rPr>
          <w:spacing w:val="-7"/>
        </w:rPr>
        <w:t xml:space="preserve"> </w:t>
      </w:r>
      <w:r>
        <w:t>are</w:t>
      </w:r>
      <w:r>
        <w:rPr>
          <w:spacing w:val="-8"/>
        </w:rPr>
        <w:t xml:space="preserve"> </w:t>
      </w:r>
      <w:r>
        <w:t>effective</w:t>
      </w:r>
      <w:r>
        <w:rPr>
          <w:spacing w:val="-8"/>
        </w:rPr>
        <w:t xml:space="preserve"> </w:t>
      </w:r>
      <w:r>
        <w:t>mental</w:t>
      </w:r>
      <w:r>
        <w:rPr>
          <w:spacing w:val="-7"/>
        </w:rPr>
        <w:t xml:space="preserve"> </w:t>
      </w:r>
      <w:r>
        <w:t>health</w:t>
      </w:r>
      <w:r>
        <w:rPr>
          <w:spacing w:val="-7"/>
        </w:rPr>
        <w:t xml:space="preserve"> </w:t>
      </w:r>
      <w:r>
        <w:t>interventions,</w:t>
      </w:r>
      <w:r>
        <w:rPr>
          <w:spacing w:val="-9"/>
        </w:rPr>
        <w:t xml:space="preserve"> </w:t>
      </w:r>
      <w:r>
        <w:t>many</w:t>
      </w:r>
      <w:r>
        <w:rPr>
          <w:spacing w:val="-6"/>
        </w:rPr>
        <w:t xml:space="preserve"> </w:t>
      </w:r>
      <w:r>
        <w:t>school staff are not compensated for advising GSAs, creating issues with retaining advisors and keeping clubs open. A priority focus of the Safe Schools Program for LGBTQ Students in the coming year will be leadership development of GSA advisors. The progr</w:t>
      </w:r>
      <w:r>
        <w:t>am is developing training and technical assistance specifically focused on cultural responsiveness and BIPOC student leadership development to be shared at regional GSA meetings</w:t>
      </w:r>
      <w:r>
        <w:rPr>
          <w:b/>
        </w:rPr>
        <w:t>.</w:t>
      </w:r>
    </w:p>
    <w:p w:rsidR="00200FDA" w:rsidRDefault="00200FDA">
      <w:pPr>
        <w:pStyle w:val="BodyText"/>
        <w:spacing w:before="11"/>
        <w:rPr>
          <w:b/>
        </w:rPr>
      </w:pPr>
    </w:p>
    <w:p w:rsidR="00200FDA" w:rsidRDefault="00F76C4C">
      <w:pPr>
        <w:pStyle w:val="BodyText"/>
        <w:spacing w:before="1" w:line="264" w:lineRule="auto"/>
        <w:ind w:left="735" w:right="737"/>
        <w:jc w:val="center"/>
      </w:pPr>
      <w:r>
        <w:rPr>
          <w:color w:val="4F81BC"/>
        </w:rPr>
        <w:t>“I</w:t>
      </w:r>
      <w:r>
        <w:rPr>
          <w:color w:val="4F81BC"/>
          <w:spacing w:val="-2"/>
        </w:rPr>
        <w:t xml:space="preserve"> </w:t>
      </w:r>
      <w:r>
        <w:rPr>
          <w:color w:val="4F81BC"/>
        </w:rPr>
        <w:t>am</w:t>
      </w:r>
      <w:r>
        <w:rPr>
          <w:color w:val="4F81BC"/>
          <w:spacing w:val="-1"/>
        </w:rPr>
        <w:t xml:space="preserve"> </w:t>
      </w:r>
      <w:r>
        <w:rPr>
          <w:color w:val="4F81BC"/>
        </w:rPr>
        <w:t>a</w:t>
      </w:r>
      <w:r>
        <w:rPr>
          <w:color w:val="4F81BC"/>
          <w:spacing w:val="-4"/>
        </w:rPr>
        <w:t xml:space="preserve"> </w:t>
      </w:r>
      <w:r>
        <w:rPr>
          <w:color w:val="4F81BC"/>
        </w:rPr>
        <w:t>member</w:t>
      </w:r>
      <w:r>
        <w:rPr>
          <w:color w:val="4F81BC"/>
          <w:spacing w:val="-4"/>
        </w:rPr>
        <w:t xml:space="preserve"> </w:t>
      </w:r>
      <w:r>
        <w:rPr>
          <w:color w:val="4F81BC"/>
        </w:rPr>
        <w:t>of</w:t>
      </w:r>
      <w:r>
        <w:rPr>
          <w:color w:val="4F81BC"/>
          <w:spacing w:val="-4"/>
        </w:rPr>
        <w:t xml:space="preserve"> </w:t>
      </w:r>
      <w:r>
        <w:rPr>
          <w:color w:val="4F81BC"/>
        </w:rPr>
        <w:t>my</w:t>
      </w:r>
      <w:r>
        <w:rPr>
          <w:color w:val="4F81BC"/>
          <w:spacing w:val="-1"/>
        </w:rPr>
        <w:t xml:space="preserve"> </w:t>
      </w:r>
      <w:r>
        <w:rPr>
          <w:color w:val="4F81BC"/>
        </w:rPr>
        <w:t>school’s</w:t>
      </w:r>
      <w:r>
        <w:rPr>
          <w:color w:val="4F81BC"/>
          <w:spacing w:val="-2"/>
        </w:rPr>
        <w:t xml:space="preserve"> </w:t>
      </w:r>
      <w:r>
        <w:rPr>
          <w:color w:val="4F81BC"/>
        </w:rPr>
        <w:t>GSA.</w:t>
      </w:r>
      <w:r>
        <w:rPr>
          <w:color w:val="4F81BC"/>
          <w:spacing w:val="-2"/>
        </w:rPr>
        <w:t xml:space="preserve"> </w:t>
      </w:r>
      <w:r>
        <w:rPr>
          <w:color w:val="4F81BC"/>
        </w:rPr>
        <w:t>In</w:t>
      </w:r>
      <w:r>
        <w:rPr>
          <w:color w:val="4F81BC"/>
          <w:spacing w:val="-3"/>
        </w:rPr>
        <w:t xml:space="preserve"> </w:t>
      </w:r>
      <w:r>
        <w:rPr>
          <w:color w:val="4F81BC"/>
        </w:rPr>
        <w:t>this</w:t>
      </w:r>
      <w:r>
        <w:rPr>
          <w:color w:val="4F81BC"/>
          <w:spacing w:val="-2"/>
        </w:rPr>
        <w:t xml:space="preserve"> </w:t>
      </w:r>
      <w:r>
        <w:rPr>
          <w:color w:val="4F81BC"/>
        </w:rPr>
        <w:t>program,</w:t>
      </w:r>
      <w:r>
        <w:rPr>
          <w:color w:val="4F81BC"/>
          <w:spacing w:val="-4"/>
        </w:rPr>
        <w:t xml:space="preserve"> </w:t>
      </w:r>
      <w:r>
        <w:rPr>
          <w:color w:val="4F81BC"/>
        </w:rPr>
        <w:t>I’ve</w:t>
      </w:r>
      <w:r>
        <w:rPr>
          <w:color w:val="4F81BC"/>
          <w:spacing w:val="-4"/>
        </w:rPr>
        <w:t xml:space="preserve"> </w:t>
      </w:r>
      <w:r>
        <w:rPr>
          <w:color w:val="4F81BC"/>
        </w:rPr>
        <w:t>met</w:t>
      </w:r>
      <w:r>
        <w:rPr>
          <w:color w:val="4F81BC"/>
          <w:spacing w:val="-1"/>
        </w:rPr>
        <w:t xml:space="preserve"> </w:t>
      </w:r>
      <w:r>
        <w:rPr>
          <w:color w:val="4F81BC"/>
        </w:rPr>
        <w:t>and</w:t>
      </w:r>
      <w:r>
        <w:rPr>
          <w:color w:val="4F81BC"/>
          <w:spacing w:val="-3"/>
        </w:rPr>
        <w:t xml:space="preserve"> </w:t>
      </w:r>
      <w:r>
        <w:rPr>
          <w:color w:val="4F81BC"/>
        </w:rPr>
        <w:t>formed</w:t>
      </w:r>
      <w:r>
        <w:rPr>
          <w:color w:val="4F81BC"/>
          <w:spacing w:val="-3"/>
        </w:rPr>
        <w:t xml:space="preserve"> </w:t>
      </w:r>
      <w:r>
        <w:rPr>
          <w:color w:val="4F81BC"/>
        </w:rPr>
        <w:t>bonds</w:t>
      </w:r>
      <w:r>
        <w:rPr>
          <w:color w:val="4F81BC"/>
          <w:spacing w:val="-2"/>
        </w:rPr>
        <w:t xml:space="preserve"> </w:t>
      </w:r>
      <w:r>
        <w:rPr>
          <w:color w:val="4F81BC"/>
        </w:rPr>
        <w:t>with</w:t>
      </w:r>
      <w:r>
        <w:rPr>
          <w:color w:val="4F81BC"/>
          <w:spacing w:val="-3"/>
        </w:rPr>
        <w:t xml:space="preserve"> </w:t>
      </w:r>
      <w:r>
        <w:rPr>
          <w:color w:val="4F81BC"/>
        </w:rPr>
        <w:t>some of the most incredible people I’ve ever met. The program is a safe place for people of all kinds</w:t>
      </w:r>
      <w:r>
        <w:rPr>
          <w:color w:val="4F81BC"/>
          <w:spacing w:val="-1"/>
        </w:rPr>
        <w:t xml:space="preserve"> </w:t>
      </w:r>
      <w:r>
        <w:rPr>
          <w:color w:val="4F81BC"/>
        </w:rPr>
        <w:t>to</w:t>
      </w:r>
      <w:r>
        <w:rPr>
          <w:color w:val="4F81BC"/>
          <w:spacing w:val="-2"/>
        </w:rPr>
        <w:t xml:space="preserve"> </w:t>
      </w:r>
      <w:r>
        <w:rPr>
          <w:color w:val="4F81BC"/>
        </w:rPr>
        <w:t>simply go and</w:t>
      </w:r>
      <w:r>
        <w:rPr>
          <w:color w:val="4F81BC"/>
          <w:spacing w:val="-2"/>
        </w:rPr>
        <w:t xml:space="preserve"> </w:t>
      </w:r>
      <w:r>
        <w:rPr>
          <w:color w:val="4F81BC"/>
        </w:rPr>
        <w:t>be</w:t>
      </w:r>
      <w:r>
        <w:rPr>
          <w:color w:val="4F81BC"/>
          <w:spacing w:val="-3"/>
        </w:rPr>
        <w:t xml:space="preserve"> </w:t>
      </w:r>
      <w:r>
        <w:rPr>
          <w:color w:val="4F81BC"/>
        </w:rPr>
        <w:t>themselves.</w:t>
      </w:r>
      <w:r>
        <w:rPr>
          <w:color w:val="4F81BC"/>
          <w:spacing w:val="-1"/>
        </w:rPr>
        <w:t xml:space="preserve"> </w:t>
      </w:r>
      <w:r>
        <w:rPr>
          <w:color w:val="4F81BC"/>
        </w:rPr>
        <w:t>In</w:t>
      </w:r>
      <w:r>
        <w:rPr>
          <w:color w:val="4F81BC"/>
          <w:spacing w:val="-2"/>
        </w:rPr>
        <w:t xml:space="preserve"> </w:t>
      </w:r>
      <w:r>
        <w:rPr>
          <w:color w:val="4F81BC"/>
        </w:rPr>
        <w:t>this</w:t>
      </w:r>
      <w:r>
        <w:rPr>
          <w:color w:val="4F81BC"/>
          <w:spacing w:val="-1"/>
        </w:rPr>
        <w:t xml:space="preserve"> </w:t>
      </w:r>
      <w:r>
        <w:rPr>
          <w:color w:val="4F81BC"/>
        </w:rPr>
        <w:t>space,</w:t>
      </w:r>
      <w:r>
        <w:rPr>
          <w:color w:val="4F81BC"/>
          <w:spacing w:val="-1"/>
        </w:rPr>
        <w:t xml:space="preserve"> </w:t>
      </w:r>
      <w:r>
        <w:rPr>
          <w:color w:val="4F81BC"/>
        </w:rPr>
        <w:t>I</w:t>
      </w:r>
      <w:r>
        <w:rPr>
          <w:color w:val="4F81BC"/>
          <w:spacing w:val="-4"/>
        </w:rPr>
        <w:t xml:space="preserve"> </w:t>
      </w:r>
      <w:r>
        <w:rPr>
          <w:color w:val="4F81BC"/>
        </w:rPr>
        <w:t>can</w:t>
      </w:r>
      <w:r>
        <w:rPr>
          <w:color w:val="4F81BC"/>
          <w:spacing w:val="-2"/>
        </w:rPr>
        <w:t xml:space="preserve"> </w:t>
      </w:r>
      <w:r>
        <w:rPr>
          <w:color w:val="4F81BC"/>
        </w:rPr>
        <w:t>decompress,</w:t>
      </w:r>
      <w:r>
        <w:rPr>
          <w:color w:val="4F81BC"/>
          <w:spacing w:val="-1"/>
        </w:rPr>
        <w:t xml:space="preserve"> </w:t>
      </w:r>
      <w:r>
        <w:rPr>
          <w:color w:val="4F81BC"/>
        </w:rPr>
        <w:t>and</w:t>
      </w:r>
      <w:r>
        <w:rPr>
          <w:color w:val="4F81BC"/>
          <w:spacing w:val="-2"/>
        </w:rPr>
        <w:t xml:space="preserve"> </w:t>
      </w:r>
      <w:r>
        <w:rPr>
          <w:color w:val="4F81BC"/>
        </w:rPr>
        <w:t>feel</w:t>
      </w:r>
      <w:r>
        <w:rPr>
          <w:color w:val="4F81BC"/>
          <w:spacing w:val="-1"/>
        </w:rPr>
        <w:t xml:space="preserve"> </w:t>
      </w:r>
      <w:r>
        <w:rPr>
          <w:color w:val="4F81BC"/>
        </w:rPr>
        <w:t>like I</w:t>
      </w:r>
      <w:r>
        <w:rPr>
          <w:color w:val="4F81BC"/>
          <w:spacing w:val="-1"/>
        </w:rPr>
        <w:t xml:space="preserve"> </w:t>
      </w:r>
      <w:r>
        <w:rPr>
          <w:color w:val="4F81BC"/>
        </w:rPr>
        <w:t xml:space="preserve">belong somewhere. I’m not targeted with slurs, I’m not yelled </w:t>
      </w:r>
      <w:r>
        <w:rPr>
          <w:color w:val="4F81BC"/>
        </w:rPr>
        <w:t>at for being something I’m “not</w:t>
      </w:r>
    </w:p>
    <w:p w:rsidR="00200FDA" w:rsidRDefault="00200FDA">
      <w:pPr>
        <w:spacing w:line="264" w:lineRule="auto"/>
        <w:jc w:val="center"/>
        <w:sectPr w:rsidR="00200FDA">
          <w:pgSz w:w="12240" w:h="15840"/>
          <w:pgMar w:top="1360" w:right="1300" w:bottom="1380" w:left="1300" w:header="761" w:footer="1132" w:gutter="0"/>
          <w:cols w:space="720"/>
        </w:sectPr>
      </w:pPr>
    </w:p>
    <w:p w:rsidR="00200FDA" w:rsidRDefault="00F76C4C">
      <w:pPr>
        <w:pStyle w:val="BodyText"/>
        <w:spacing w:before="64" w:line="264" w:lineRule="auto"/>
        <w:ind w:left="735" w:right="734"/>
        <w:jc w:val="center"/>
      </w:pPr>
      <w:r>
        <w:rPr>
          <w:color w:val="4F81BC"/>
        </w:rPr>
        <w:lastRenderedPageBreak/>
        <w:t>supposed</w:t>
      </w:r>
      <w:r>
        <w:rPr>
          <w:color w:val="4F81BC"/>
          <w:spacing w:val="-3"/>
        </w:rPr>
        <w:t xml:space="preserve"> </w:t>
      </w:r>
      <w:r>
        <w:rPr>
          <w:color w:val="4F81BC"/>
        </w:rPr>
        <w:t>to</w:t>
      </w:r>
      <w:r>
        <w:rPr>
          <w:color w:val="4F81BC"/>
          <w:spacing w:val="-1"/>
        </w:rPr>
        <w:t xml:space="preserve"> </w:t>
      </w:r>
      <w:r>
        <w:rPr>
          <w:color w:val="4F81BC"/>
        </w:rPr>
        <w:t>be”.</w:t>
      </w:r>
      <w:r>
        <w:rPr>
          <w:color w:val="4F81BC"/>
          <w:spacing w:val="-2"/>
        </w:rPr>
        <w:t xml:space="preserve"> </w:t>
      </w:r>
      <w:r>
        <w:rPr>
          <w:color w:val="4F81BC"/>
        </w:rPr>
        <w:t>The</w:t>
      </w:r>
      <w:r>
        <w:rPr>
          <w:color w:val="4F81BC"/>
          <w:spacing w:val="-1"/>
        </w:rPr>
        <w:t xml:space="preserve"> </w:t>
      </w:r>
      <w:r>
        <w:rPr>
          <w:color w:val="4F81BC"/>
        </w:rPr>
        <w:t>environment</w:t>
      </w:r>
      <w:r>
        <w:rPr>
          <w:color w:val="4F81BC"/>
          <w:spacing w:val="-1"/>
        </w:rPr>
        <w:t xml:space="preserve"> </w:t>
      </w:r>
      <w:r>
        <w:rPr>
          <w:color w:val="4F81BC"/>
        </w:rPr>
        <w:t>is</w:t>
      </w:r>
      <w:r>
        <w:rPr>
          <w:color w:val="4F81BC"/>
          <w:spacing w:val="-4"/>
        </w:rPr>
        <w:t xml:space="preserve"> </w:t>
      </w:r>
      <w:r>
        <w:rPr>
          <w:color w:val="4F81BC"/>
        </w:rPr>
        <w:t>a</w:t>
      </w:r>
      <w:r>
        <w:rPr>
          <w:color w:val="4F81BC"/>
          <w:spacing w:val="-2"/>
        </w:rPr>
        <w:t xml:space="preserve"> </w:t>
      </w:r>
      <w:r>
        <w:rPr>
          <w:color w:val="4F81BC"/>
        </w:rPr>
        <w:t>welcoming,</w:t>
      </w:r>
      <w:r>
        <w:rPr>
          <w:color w:val="4F81BC"/>
          <w:spacing w:val="-2"/>
        </w:rPr>
        <w:t xml:space="preserve"> </w:t>
      </w:r>
      <w:r>
        <w:rPr>
          <w:color w:val="4F81BC"/>
        </w:rPr>
        <w:t>happy</w:t>
      </w:r>
      <w:r>
        <w:rPr>
          <w:color w:val="4F81BC"/>
          <w:spacing w:val="-1"/>
        </w:rPr>
        <w:t xml:space="preserve"> </w:t>
      </w:r>
      <w:r>
        <w:rPr>
          <w:color w:val="4F81BC"/>
        </w:rPr>
        <w:t>one,</w:t>
      </w:r>
      <w:r>
        <w:rPr>
          <w:color w:val="4F81BC"/>
          <w:spacing w:val="-4"/>
        </w:rPr>
        <w:t xml:space="preserve"> </w:t>
      </w:r>
      <w:r>
        <w:rPr>
          <w:color w:val="4F81BC"/>
        </w:rPr>
        <w:t>and</w:t>
      </w:r>
      <w:r>
        <w:rPr>
          <w:color w:val="4F81BC"/>
          <w:spacing w:val="-3"/>
        </w:rPr>
        <w:t xml:space="preserve"> </w:t>
      </w:r>
      <w:r>
        <w:rPr>
          <w:color w:val="4F81BC"/>
        </w:rPr>
        <w:t>that’s</w:t>
      </w:r>
      <w:r>
        <w:rPr>
          <w:color w:val="4F81BC"/>
          <w:spacing w:val="-2"/>
        </w:rPr>
        <w:t xml:space="preserve"> </w:t>
      </w:r>
      <w:r>
        <w:rPr>
          <w:color w:val="4F81BC"/>
        </w:rPr>
        <w:t>what</w:t>
      </w:r>
      <w:r>
        <w:rPr>
          <w:color w:val="4F81BC"/>
          <w:spacing w:val="-1"/>
        </w:rPr>
        <w:t xml:space="preserve"> </w:t>
      </w:r>
      <w:r>
        <w:rPr>
          <w:color w:val="4F81BC"/>
        </w:rPr>
        <w:t>you</w:t>
      </w:r>
      <w:r>
        <w:rPr>
          <w:color w:val="4F81BC"/>
          <w:spacing w:val="-3"/>
        </w:rPr>
        <w:t xml:space="preserve"> </w:t>
      </w:r>
      <w:r>
        <w:rPr>
          <w:color w:val="4F81BC"/>
        </w:rPr>
        <w:t>look</w:t>
      </w:r>
      <w:r>
        <w:rPr>
          <w:color w:val="4F81BC"/>
          <w:spacing w:val="-4"/>
        </w:rPr>
        <w:t xml:space="preserve"> </w:t>
      </w:r>
      <w:r>
        <w:rPr>
          <w:color w:val="4F81BC"/>
        </w:rPr>
        <w:t>for in a healthy social environment.” - C.H., 17</w:t>
      </w:r>
    </w:p>
    <w:p w:rsidR="00200FDA" w:rsidRDefault="00200FDA">
      <w:pPr>
        <w:pStyle w:val="BodyText"/>
      </w:pPr>
    </w:p>
    <w:p w:rsidR="00200FDA" w:rsidRDefault="00200FDA">
      <w:pPr>
        <w:pStyle w:val="BodyText"/>
        <w:spacing w:before="7"/>
        <w:rPr>
          <w:sz w:val="21"/>
        </w:rPr>
      </w:pPr>
    </w:p>
    <w:p w:rsidR="00200FDA" w:rsidRDefault="00F76C4C">
      <w:pPr>
        <w:pStyle w:val="Heading8"/>
      </w:pPr>
      <w:bookmarkStart w:id="177" w:name="Training_and_Technical_Assistance"/>
      <w:bookmarkEnd w:id="177"/>
      <w:r>
        <w:rPr>
          <w:color w:val="365F91"/>
        </w:rPr>
        <w:t>Training</w:t>
      </w:r>
      <w:r>
        <w:rPr>
          <w:color w:val="365F91"/>
          <w:spacing w:val="-2"/>
        </w:rPr>
        <w:t xml:space="preserve"> </w:t>
      </w:r>
      <w:r>
        <w:rPr>
          <w:color w:val="365F91"/>
        </w:rPr>
        <w:t>and Technical</w:t>
      </w:r>
      <w:r>
        <w:rPr>
          <w:color w:val="365F91"/>
          <w:spacing w:val="-3"/>
        </w:rPr>
        <w:t xml:space="preserve"> </w:t>
      </w:r>
      <w:r>
        <w:rPr>
          <w:color w:val="365F91"/>
          <w:spacing w:val="-2"/>
        </w:rPr>
        <w:t>Assistance</w:t>
      </w:r>
    </w:p>
    <w:p w:rsidR="00200FDA" w:rsidRDefault="00200FDA">
      <w:pPr>
        <w:pStyle w:val="BodyText"/>
        <w:spacing w:before="10"/>
        <w:rPr>
          <w:sz w:val="32"/>
        </w:rPr>
      </w:pPr>
    </w:p>
    <w:p w:rsidR="00200FDA" w:rsidRDefault="00F76C4C">
      <w:pPr>
        <w:pStyle w:val="BodyText"/>
        <w:ind w:left="140" w:right="137"/>
        <w:jc w:val="both"/>
      </w:pPr>
      <w:r>
        <w:t>The</w:t>
      </w:r>
      <w:r>
        <w:rPr>
          <w:spacing w:val="-3"/>
        </w:rPr>
        <w:t xml:space="preserve"> </w:t>
      </w:r>
      <w:r>
        <w:t>Safe</w:t>
      </w:r>
      <w:r>
        <w:rPr>
          <w:spacing w:val="-5"/>
        </w:rPr>
        <w:t xml:space="preserve"> </w:t>
      </w:r>
      <w:r>
        <w:t>Schools</w:t>
      </w:r>
      <w:r>
        <w:rPr>
          <w:spacing w:val="-6"/>
        </w:rPr>
        <w:t xml:space="preserve"> </w:t>
      </w:r>
      <w:r>
        <w:t>Program</w:t>
      </w:r>
      <w:r>
        <w:rPr>
          <w:spacing w:val="-3"/>
        </w:rPr>
        <w:t xml:space="preserve"> </w:t>
      </w:r>
      <w:r>
        <w:t>for</w:t>
      </w:r>
      <w:r>
        <w:rPr>
          <w:spacing w:val="-6"/>
        </w:rPr>
        <w:t xml:space="preserve"> </w:t>
      </w:r>
      <w:r>
        <w:t>LGBTQ</w:t>
      </w:r>
      <w:r>
        <w:rPr>
          <w:spacing w:val="-5"/>
        </w:rPr>
        <w:t xml:space="preserve"> </w:t>
      </w:r>
      <w:r>
        <w:t>Students</w:t>
      </w:r>
      <w:r>
        <w:rPr>
          <w:spacing w:val="-6"/>
        </w:rPr>
        <w:t xml:space="preserve"> </w:t>
      </w:r>
      <w:r>
        <w:t>will</w:t>
      </w:r>
      <w:r>
        <w:rPr>
          <w:spacing w:val="-6"/>
        </w:rPr>
        <w:t xml:space="preserve"> </w:t>
      </w:r>
      <w:r>
        <w:t>provide</w:t>
      </w:r>
      <w:r>
        <w:rPr>
          <w:spacing w:val="-5"/>
        </w:rPr>
        <w:t xml:space="preserve"> </w:t>
      </w:r>
      <w:r>
        <w:t>over</w:t>
      </w:r>
      <w:r>
        <w:rPr>
          <w:spacing w:val="-6"/>
        </w:rPr>
        <w:t xml:space="preserve"> </w:t>
      </w:r>
      <w:r>
        <w:t>200</w:t>
      </w:r>
      <w:r>
        <w:rPr>
          <w:spacing w:val="-5"/>
        </w:rPr>
        <w:t xml:space="preserve"> </w:t>
      </w:r>
      <w:r>
        <w:t>trainings</w:t>
      </w:r>
      <w:r>
        <w:rPr>
          <w:spacing w:val="-3"/>
        </w:rPr>
        <w:t xml:space="preserve"> </w:t>
      </w:r>
      <w:r>
        <w:t>to</w:t>
      </w:r>
      <w:r>
        <w:rPr>
          <w:spacing w:val="-3"/>
        </w:rPr>
        <w:t xml:space="preserve"> </w:t>
      </w:r>
      <w:r>
        <w:t>schools</w:t>
      </w:r>
      <w:r>
        <w:rPr>
          <w:spacing w:val="-6"/>
        </w:rPr>
        <w:t xml:space="preserve"> </w:t>
      </w:r>
      <w:r>
        <w:t>by</w:t>
      </w:r>
      <w:r>
        <w:rPr>
          <w:spacing w:val="-5"/>
        </w:rPr>
        <w:t xml:space="preserve"> </w:t>
      </w:r>
      <w:r>
        <w:t>the</w:t>
      </w:r>
      <w:r>
        <w:rPr>
          <w:spacing w:val="-5"/>
        </w:rPr>
        <w:t xml:space="preserve"> </w:t>
      </w:r>
      <w:r>
        <w:t>end</w:t>
      </w:r>
      <w:r>
        <w:rPr>
          <w:spacing w:val="-6"/>
        </w:rPr>
        <w:t xml:space="preserve"> </w:t>
      </w:r>
      <w:r>
        <w:t>of</w:t>
      </w:r>
      <w:r>
        <w:rPr>
          <w:spacing w:val="-4"/>
        </w:rPr>
        <w:t xml:space="preserve"> </w:t>
      </w:r>
      <w:r>
        <w:t>the 2022-2023 school year, as well as over 250 technical assistance requests.</w:t>
      </w:r>
    </w:p>
    <w:p w:rsidR="00200FDA" w:rsidRDefault="00200FDA">
      <w:pPr>
        <w:pStyle w:val="BodyText"/>
        <w:spacing w:before="1"/>
        <w:rPr>
          <w:sz w:val="23"/>
        </w:rPr>
      </w:pPr>
    </w:p>
    <w:p w:rsidR="00200FDA" w:rsidRDefault="00F76C4C">
      <w:pPr>
        <w:pStyle w:val="BodyText"/>
        <w:spacing w:line="264" w:lineRule="auto"/>
        <w:ind w:left="732" w:right="732" w:hanging="4"/>
        <w:jc w:val="center"/>
      </w:pPr>
      <w:r>
        <w:rPr>
          <w:color w:val="4F81BC"/>
        </w:rPr>
        <w:t>“Folks who are willing to be compassionate before requiring comprehension are incredible to</w:t>
      </w:r>
      <w:r>
        <w:rPr>
          <w:color w:val="4F81BC"/>
          <w:spacing w:val="-2"/>
        </w:rPr>
        <w:t xml:space="preserve"> </w:t>
      </w:r>
      <w:r>
        <w:rPr>
          <w:color w:val="4F81BC"/>
        </w:rPr>
        <w:t>me.</w:t>
      </w:r>
      <w:r>
        <w:rPr>
          <w:color w:val="4F81BC"/>
          <w:spacing w:val="-4"/>
        </w:rPr>
        <w:t xml:space="preserve"> </w:t>
      </w:r>
      <w:r>
        <w:rPr>
          <w:color w:val="4F81BC"/>
        </w:rPr>
        <w:t>I</w:t>
      </w:r>
      <w:r>
        <w:rPr>
          <w:color w:val="4F81BC"/>
          <w:spacing w:val="-2"/>
        </w:rPr>
        <w:t xml:space="preserve"> </w:t>
      </w:r>
      <w:r>
        <w:rPr>
          <w:color w:val="4F81BC"/>
        </w:rPr>
        <w:t>think</w:t>
      </w:r>
      <w:r>
        <w:rPr>
          <w:color w:val="4F81BC"/>
          <w:spacing w:val="-1"/>
        </w:rPr>
        <w:t xml:space="preserve"> </w:t>
      </w:r>
      <w:r>
        <w:rPr>
          <w:color w:val="4F81BC"/>
        </w:rPr>
        <w:t>it’s</w:t>
      </w:r>
      <w:r>
        <w:rPr>
          <w:color w:val="4F81BC"/>
          <w:spacing w:val="-2"/>
        </w:rPr>
        <w:t xml:space="preserve"> </w:t>
      </w:r>
      <w:r>
        <w:rPr>
          <w:color w:val="4F81BC"/>
        </w:rPr>
        <w:t>a</w:t>
      </w:r>
      <w:r>
        <w:rPr>
          <w:color w:val="4F81BC"/>
          <w:spacing w:val="-3"/>
        </w:rPr>
        <w:t xml:space="preserve"> </w:t>
      </w:r>
      <w:r>
        <w:rPr>
          <w:color w:val="4F81BC"/>
        </w:rPr>
        <w:t>super</w:t>
      </w:r>
      <w:r>
        <w:rPr>
          <w:color w:val="4F81BC"/>
          <w:spacing w:val="-2"/>
        </w:rPr>
        <w:t xml:space="preserve"> </w:t>
      </w:r>
      <w:r>
        <w:rPr>
          <w:color w:val="4F81BC"/>
        </w:rPr>
        <w:t>valuable</w:t>
      </w:r>
      <w:r>
        <w:rPr>
          <w:color w:val="4F81BC"/>
          <w:spacing w:val="-1"/>
        </w:rPr>
        <w:t xml:space="preserve"> </w:t>
      </w:r>
      <w:r>
        <w:rPr>
          <w:color w:val="4F81BC"/>
        </w:rPr>
        <w:t>way</w:t>
      </w:r>
      <w:r>
        <w:rPr>
          <w:color w:val="4F81BC"/>
          <w:spacing w:val="-2"/>
        </w:rPr>
        <w:t xml:space="preserve"> </w:t>
      </w:r>
      <w:r>
        <w:rPr>
          <w:color w:val="4F81BC"/>
        </w:rPr>
        <w:t>to</w:t>
      </w:r>
      <w:r>
        <w:rPr>
          <w:color w:val="4F81BC"/>
          <w:spacing w:val="-2"/>
        </w:rPr>
        <w:t xml:space="preserve"> </w:t>
      </w:r>
      <w:r>
        <w:rPr>
          <w:color w:val="4F81BC"/>
        </w:rPr>
        <w:t>view</w:t>
      </w:r>
      <w:r>
        <w:rPr>
          <w:color w:val="4F81BC"/>
          <w:spacing w:val="-3"/>
        </w:rPr>
        <w:t xml:space="preserve"> </w:t>
      </w:r>
      <w:r>
        <w:rPr>
          <w:color w:val="4F81BC"/>
        </w:rPr>
        <w:t>the</w:t>
      </w:r>
      <w:r>
        <w:rPr>
          <w:color w:val="4F81BC"/>
          <w:spacing w:val="-3"/>
        </w:rPr>
        <w:t xml:space="preserve"> </w:t>
      </w:r>
      <w:r>
        <w:rPr>
          <w:color w:val="4F81BC"/>
        </w:rPr>
        <w:t>world:</w:t>
      </w:r>
      <w:r>
        <w:rPr>
          <w:color w:val="4F81BC"/>
          <w:spacing w:val="-1"/>
        </w:rPr>
        <w:t xml:space="preserve"> </w:t>
      </w:r>
      <w:r>
        <w:rPr>
          <w:color w:val="4F81BC"/>
        </w:rPr>
        <w:t>although</w:t>
      </w:r>
      <w:r>
        <w:rPr>
          <w:color w:val="4F81BC"/>
          <w:spacing w:val="-4"/>
        </w:rPr>
        <w:t xml:space="preserve"> </w:t>
      </w:r>
      <w:r>
        <w:rPr>
          <w:color w:val="4F81BC"/>
        </w:rPr>
        <w:t>you</w:t>
      </w:r>
      <w:r>
        <w:rPr>
          <w:color w:val="4F81BC"/>
          <w:spacing w:val="-4"/>
        </w:rPr>
        <w:t xml:space="preserve"> </w:t>
      </w:r>
      <w:r>
        <w:rPr>
          <w:color w:val="4F81BC"/>
        </w:rPr>
        <w:t>may</w:t>
      </w:r>
      <w:r>
        <w:rPr>
          <w:color w:val="4F81BC"/>
          <w:spacing w:val="-1"/>
        </w:rPr>
        <w:t xml:space="preserve"> </w:t>
      </w:r>
      <w:r>
        <w:rPr>
          <w:color w:val="4F81BC"/>
        </w:rPr>
        <w:t>be</w:t>
      </w:r>
      <w:r>
        <w:rPr>
          <w:color w:val="4F81BC"/>
          <w:spacing w:val="-3"/>
        </w:rPr>
        <w:t xml:space="preserve"> </w:t>
      </w:r>
      <w:r>
        <w:rPr>
          <w:color w:val="4F81BC"/>
        </w:rPr>
        <w:t>confused</w:t>
      </w:r>
      <w:r>
        <w:rPr>
          <w:color w:val="4F81BC"/>
          <w:spacing w:val="-2"/>
        </w:rPr>
        <w:t xml:space="preserve"> </w:t>
      </w:r>
      <w:r>
        <w:rPr>
          <w:color w:val="4F81BC"/>
        </w:rPr>
        <w:t>by someone like myself who is nonbinary, and maybe you don’t really understand it, you can still recognize that trans people deserve to live safe, happy lives.” - Alia, 17</w:t>
      </w:r>
    </w:p>
    <w:p w:rsidR="00200FDA" w:rsidRDefault="00200FDA">
      <w:pPr>
        <w:pStyle w:val="BodyText"/>
        <w:spacing w:before="7"/>
        <w:rPr>
          <w:sz w:val="32"/>
        </w:rPr>
      </w:pPr>
    </w:p>
    <w:p w:rsidR="00200FDA" w:rsidRDefault="00F76C4C">
      <w:pPr>
        <w:pStyle w:val="BodyText"/>
        <w:ind w:left="139" w:right="133"/>
        <w:jc w:val="both"/>
      </w:pPr>
      <w:r>
        <w:t>Training school staff is an important strategy for supporting LGBTQ youth. Often, this training occurs through professional development programs, where staff (e.g., teachers, counselors, and school administrators)</w:t>
      </w:r>
      <w:r>
        <w:rPr>
          <w:spacing w:val="-10"/>
        </w:rPr>
        <w:t xml:space="preserve"> </w:t>
      </w:r>
      <w:r>
        <w:t>learn</w:t>
      </w:r>
      <w:r>
        <w:rPr>
          <w:spacing w:val="-9"/>
        </w:rPr>
        <w:t xml:space="preserve"> </w:t>
      </w:r>
      <w:r>
        <w:t>about</w:t>
      </w:r>
      <w:r>
        <w:rPr>
          <w:spacing w:val="-8"/>
        </w:rPr>
        <w:t xml:space="preserve"> </w:t>
      </w:r>
      <w:r>
        <w:t>the</w:t>
      </w:r>
      <w:r>
        <w:rPr>
          <w:spacing w:val="-7"/>
        </w:rPr>
        <w:t xml:space="preserve"> </w:t>
      </w:r>
      <w:r>
        <w:t>experiences</w:t>
      </w:r>
      <w:r>
        <w:rPr>
          <w:spacing w:val="-8"/>
        </w:rPr>
        <w:t xml:space="preserve"> </w:t>
      </w:r>
      <w:r>
        <w:t>of</w:t>
      </w:r>
      <w:r>
        <w:rPr>
          <w:spacing w:val="-8"/>
        </w:rPr>
        <w:t xml:space="preserve"> </w:t>
      </w:r>
      <w:r>
        <w:t>LGBTQ</w:t>
      </w:r>
      <w:r>
        <w:rPr>
          <w:spacing w:val="-10"/>
        </w:rPr>
        <w:t xml:space="preserve"> </w:t>
      </w:r>
      <w:r>
        <w:t>stude</w:t>
      </w:r>
      <w:r>
        <w:t>nts</w:t>
      </w:r>
      <w:r>
        <w:rPr>
          <w:spacing w:val="-6"/>
        </w:rPr>
        <w:t xml:space="preserve"> </w:t>
      </w:r>
      <w:r>
        <w:t>and</w:t>
      </w:r>
      <w:r>
        <w:rPr>
          <w:spacing w:val="-9"/>
        </w:rPr>
        <w:t xml:space="preserve"> </w:t>
      </w:r>
      <w:r>
        <w:t>the</w:t>
      </w:r>
      <w:r>
        <w:rPr>
          <w:spacing w:val="-5"/>
        </w:rPr>
        <w:t xml:space="preserve"> </w:t>
      </w:r>
      <w:r>
        <w:t>issues</w:t>
      </w:r>
      <w:r>
        <w:rPr>
          <w:spacing w:val="-8"/>
        </w:rPr>
        <w:t xml:space="preserve"> </w:t>
      </w:r>
      <w:r>
        <w:t>they</w:t>
      </w:r>
      <w:r>
        <w:rPr>
          <w:spacing w:val="-5"/>
        </w:rPr>
        <w:t xml:space="preserve"> </w:t>
      </w:r>
      <w:r>
        <w:t>face.</w:t>
      </w:r>
      <w:r>
        <w:rPr>
          <w:spacing w:val="-13"/>
        </w:rPr>
        <w:t xml:space="preserve"> </w:t>
      </w:r>
      <w:hyperlink w:anchor="_bookmark63" w:history="1">
        <w:r>
          <w:rPr>
            <w:vertAlign w:val="superscript"/>
          </w:rPr>
          <w:t>27</w:t>
        </w:r>
      </w:hyperlink>
      <w:r>
        <w:rPr>
          <w:spacing w:val="-2"/>
        </w:rPr>
        <w:t xml:space="preserve"> </w:t>
      </w:r>
      <w:r>
        <w:t>Training</w:t>
      </w:r>
      <w:r>
        <w:rPr>
          <w:spacing w:val="-6"/>
        </w:rPr>
        <w:t xml:space="preserve"> </w:t>
      </w:r>
      <w:r>
        <w:t>topics can include sexual orientation, gender identity, and gender expression (SOGIE); appropriate LGBTQ terminology; and stigma and bullying towards LGBTQ and gender-nonconforming st</w:t>
      </w:r>
      <w:r>
        <w:t>udents.</w:t>
      </w:r>
      <w:hyperlink w:anchor="_bookmark64" w:history="1">
        <w:r>
          <w:rPr>
            <w:vertAlign w:val="superscript"/>
          </w:rPr>
          <w:t>28</w:t>
        </w:r>
      </w:hyperlink>
      <w:r>
        <w:rPr>
          <w:spacing w:val="-3"/>
        </w:rPr>
        <w:t xml:space="preserve"> </w:t>
      </w:r>
      <w:r>
        <w:t>Research shows that schools with LGBTQ-focused professional development programs, such as those offered by the Safe Schools</w:t>
      </w:r>
      <w:r>
        <w:rPr>
          <w:spacing w:val="-3"/>
        </w:rPr>
        <w:t xml:space="preserve"> </w:t>
      </w:r>
      <w:r>
        <w:t>Program for</w:t>
      </w:r>
      <w:r>
        <w:rPr>
          <w:spacing w:val="-1"/>
        </w:rPr>
        <w:t xml:space="preserve"> </w:t>
      </w:r>
      <w:r>
        <w:t>LGBTQ Students,</w:t>
      </w:r>
      <w:r>
        <w:rPr>
          <w:spacing w:val="-1"/>
        </w:rPr>
        <w:t xml:space="preserve"> </w:t>
      </w:r>
      <w:r>
        <w:t>are safer and</w:t>
      </w:r>
      <w:r>
        <w:rPr>
          <w:spacing w:val="-2"/>
        </w:rPr>
        <w:t xml:space="preserve"> </w:t>
      </w:r>
      <w:r>
        <w:t>more welcoming.</w:t>
      </w:r>
      <w:hyperlink w:anchor="_bookmark65" w:history="1">
        <w:r>
          <w:rPr>
            <w:vertAlign w:val="superscript"/>
          </w:rPr>
          <w:t>29</w:t>
        </w:r>
      </w:hyperlink>
      <w:r>
        <w:rPr>
          <w:spacing w:val="-2"/>
        </w:rPr>
        <w:t xml:space="preserve"> </w:t>
      </w:r>
      <w:r>
        <w:t>Further, the presence</w:t>
      </w:r>
      <w:r>
        <w:rPr>
          <w:spacing w:val="-3"/>
        </w:rPr>
        <w:t xml:space="preserve"> </w:t>
      </w:r>
      <w:r>
        <w:t>of adults at school who are supportive of LGBTQ youth is linked to less hostile school climates — as well as greater academic and health outcomes for LGBTQ students.</w:t>
      </w:r>
      <w:hyperlink w:anchor="_bookmark66" w:history="1">
        <w:r>
          <w:rPr>
            <w:vertAlign w:val="superscript"/>
          </w:rPr>
          <w:t>30</w:t>
        </w:r>
      </w:hyperlink>
    </w:p>
    <w:p w:rsidR="00200FDA" w:rsidRDefault="00200FDA">
      <w:pPr>
        <w:pStyle w:val="BodyText"/>
        <w:spacing w:before="10"/>
        <w:rPr>
          <w:sz w:val="32"/>
        </w:rPr>
      </w:pPr>
    </w:p>
    <w:p w:rsidR="00200FDA" w:rsidRDefault="00F76C4C">
      <w:pPr>
        <w:pStyle w:val="BodyText"/>
        <w:ind w:left="139" w:right="134"/>
        <w:jc w:val="both"/>
      </w:pPr>
      <w:r>
        <w:t>Research has found that increasing staff knowledge of LGBTQ students can help ensure safer schools. According to a national survey analysis, knowing LGBTQ students is a significant predictor of how often teachers intervene in homophobic remarks.</w:t>
      </w:r>
      <w:hyperlink w:anchor="_bookmark67" w:history="1">
        <w:r>
          <w:rPr>
            <w:vertAlign w:val="superscript"/>
          </w:rPr>
          <w:t>31</w:t>
        </w:r>
      </w:hyperlink>
      <w:r>
        <w:rPr>
          <w:spacing w:val="-2"/>
        </w:rPr>
        <w:t xml:space="preserve"> </w:t>
      </w:r>
      <w:r>
        <w:t>Many other studies use pre- and post-surveys to measure knowledge gained. The results show that after LGBTQ trainings, school staff report increased knowledge across a variety of topics, including:</w:t>
      </w:r>
    </w:p>
    <w:p w:rsidR="00200FDA" w:rsidRDefault="00F76C4C">
      <w:pPr>
        <w:pStyle w:val="ListParagraph"/>
        <w:numPr>
          <w:ilvl w:val="0"/>
          <w:numId w:val="34"/>
        </w:numPr>
        <w:tabs>
          <w:tab w:val="left" w:pos="859"/>
          <w:tab w:val="left" w:pos="860"/>
        </w:tabs>
        <w:spacing w:before="121" w:line="268" w:lineRule="exact"/>
      </w:pPr>
      <w:r>
        <w:t>Transgender</w:t>
      </w:r>
      <w:r>
        <w:rPr>
          <w:spacing w:val="-5"/>
        </w:rPr>
        <w:t xml:space="preserve"> </w:t>
      </w:r>
      <w:r>
        <w:t>youth</w:t>
      </w:r>
      <w:r>
        <w:rPr>
          <w:spacing w:val="-4"/>
        </w:rPr>
        <w:t xml:space="preserve"> </w:t>
      </w:r>
      <w:r>
        <w:rPr>
          <w:spacing w:val="-2"/>
        </w:rPr>
        <w:t>identities</w:t>
      </w:r>
      <w:hyperlink w:anchor="_bookmark68" w:history="1">
        <w:r>
          <w:rPr>
            <w:spacing w:val="-2"/>
            <w:vertAlign w:val="superscript"/>
          </w:rPr>
          <w:t>32</w:t>
        </w:r>
      </w:hyperlink>
    </w:p>
    <w:p w:rsidR="00200FDA" w:rsidRDefault="00F76C4C">
      <w:pPr>
        <w:pStyle w:val="ListParagraph"/>
        <w:numPr>
          <w:ilvl w:val="0"/>
          <w:numId w:val="34"/>
        </w:numPr>
        <w:tabs>
          <w:tab w:val="left" w:pos="860"/>
          <w:tab w:val="left" w:pos="861"/>
        </w:tabs>
        <w:spacing w:line="268" w:lineRule="exact"/>
        <w:ind w:left="860"/>
      </w:pPr>
      <w:r>
        <w:t>LGBTQ-related</w:t>
      </w:r>
      <w:r>
        <w:rPr>
          <w:spacing w:val="-10"/>
        </w:rPr>
        <w:t xml:space="preserve"> </w:t>
      </w:r>
      <w:r>
        <w:t>terminology</w:t>
      </w:r>
      <w:r>
        <w:rPr>
          <w:spacing w:val="-7"/>
        </w:rPr>
        <w:t xml:space="preserve"> </w:t>
      </w:r>
      <w:r>
        <w:t>and</w:t>
      </w:r>
      <w:r>
        <w:rPr>
          <w:spacing w:val="-6"/>
        </w:rPr>
        <w:t xml:space="preserve"> </w:t>
      </w:r>
      <w:r>
        <w:t>where</w:t>
      </w:r>
      <w:r>
        <w:rPr>
          <w:spacing w:val="-7"/>
        </w:rPr>
        <w:t xml:space="preserve"> </w:t>
      </w:r>
      <w:r>
        <w:t>to</w:t>
      </w:r>
      <w:r>
        <w:rPr>
          <w:spacing w:val="-4"/>
        </w:rPr>
        <w:t xml:space="preserve"> </w:t>
      </w:r>
      <w:r>
        <w:t>find</w:t>
      </w:r>
      <w:r>
        <w:rPr>
          <w:spacing w:val="-6"/>
        </w:rPr>
        <w:t xml:space="preserve"> </w:t>
      </w:r>
      <w:r>
        <w:t>LGBTQ-related</w:t>
      </w:r>
      <w:r>
        <w:rPr>
          <w:spacing w:val="-6"/>
        </w:rPr>
        <w:t xml:space="preserve"> </w:t>
      </w:r>
      <w:r>
        <w:rPr>
          <w:spacing w:val="-2"/>
        </w:rPr>
        <w:t>resources</w:t>
      </w:r>
      <w:hyperlink w:anchor="_bookmark69" w:history="1">
        <w:r>
          <w:rPr>
            <w:spacing w:val="-2"/>
            <w:vertAlign w:val="superscript"/>
          </w:rPr>
          <w:t>33</w:t>
        </w:r>
      </w:hyperlink>
    </w:p>
    <w:p w:rsidR="00200FDA" w:rsidRDefault="00F76C4C">
      <w:pPr>
        <w:pStyle w:val="ListParagraph"/>
        <w:numPr>
          <w:ilvl w:val="0"/>
          <w:numId w:val="34"/>
        </w:numPr>
        <w:tabs>
          <w:tab w:val="left" w:pos="859"/>
          <w:tab w:val="left" w:pos="861"/>
        </w:tabs>
        <w:ind w:left="860" w:hanging="362"/>
      </w:pPr>
      <w:r>
        <w:t>Demographics</w:t>
      </w:r>
      <w:r>
        <w:rPr>
          <w:spacing w:val="-6"/>
        </w:rPr>
        <w:t xml:space="preserve"> </w:t>
      </w:r>
      <w:r>
        <w:t>and</w:t>
      </w:r>
      <w:r>
        <w:rPr>
          <w:spacing w:val="-4"/>
        </w:rPr>
        <w:t xml:space="preserve"> </w:t>
      </w:r>
      <w:r>
        <w:t>development</w:t>
      </w:r>
      <w:r>
        <w:rPr>
          <w:spacing w:val="-5"/>
        </w:rPr>
        <w:t xml:space="preserve"> </w:t>
      </w:r>
      <w:r>
        <w:t>of</w:t>
      </w:r>
      <w:r>
        <w:rPr>
          <w:spacing w:val="-5"/>
        </w:rPr>
        <w:t xml:space="preserve"> </w:t>
      </w:r>
      <w:r>
        <w:t>LGBTQ</w:t>
      </w:r>
      <w:r>
        <w:rPr>
          <w:spacing w:val="-5"/>
        </w:rPr>
        <w:t xml:space="preserve"> </w:t>
      </w:r>
      <w:r>
        <w:rPr>
          <w:spacing w:val="-2"/>
        </w:rPr>
        <w:t>youth</w:t>
      </w:r>
      <w:hyperlink w:anchor="_bookmark70" w:history="1">
        <w:r>
          <w:rPr>
            <w:spacing w:val="-2"/>
            <w:vertAlign w:val="superscript"/>
          </w:rPr>
          <w:t>34</w:t>
        </w:r>
      </w:hyperlink>
    </w:p>
    <w:p w:rsidR="00200FDA" w:rsidRDefault="00F76C4C">
      <w:pPr>
        <w:pStyle w:val="ListParagraph"/>
        <w:numPr>
          <w:ilvl w:val="0"/>
          <w:numId w:val="34"/>
        </w:numPr>
        <w:tabs>
          <w:tab w:val="left" w:pos="859"/>
          <w:tab w:val="left" w:pos="861"/>
        </w:tabs>
        <w:ind w:left="860" w:hanging="362"/>
      </w:pPr>
      <w:r>
        <w:t>Common</w:t>
      </w:r>
      <w:r>
        <w:rPr>
          <w:spacing w:val="-6"/>
        </w:rPr>
        <w:t xml:space="preserve"> </w:t>
      </w:r>
      <w:r>
        <w:t>challenges</w:t>
      </w:r>
      <w:r>
        <w:rPr>
          <w:spacing w:val="-5"/>
        </w:rPr>
        <w:t xml:space="preserve"> </w:t>
      </w:r>
      <w:r>
        <w:t>and</w:t>
      </w:r>
      <w:r>
        <w:rPr>
          <w:spacing w:val="-5"/>
        </w:rPr>
        <w:t xml:space="preserve"> </w:t>
      </w:r>
      <w:r>
        <w:t>risk</w:t>
      </w:r>
      <w:r>
        <w:rPr>
          <w:spacing w:val="-4"/>
        </w:rPr>
        <w:t xml:space="preserve"> </w:t>
      </w:r>
      <w:r>
        <w:t>factors</w:t>
      </w:r>
      <w:r>
        <w:rPr>
          <w:spacing w:val="-4"/>
        </w:rPr>
        <w:t xml:space="preserve"> </w:t>
      </w:r>
      <w:r>
        <w:t>facing</w:t>
      </w:r>
      <w:r>
        <w:rPr>
          <w:spacing w:val="-6"/>
        </w:rPr>
        <w:t xml:space="preserve"> </w:t>
      </w:r>
      <w:r>
        <w:t>LGBT</w:t>
      </w:r>
      <w:r>
        <w:t>Q</w:t>
      </w:r>
      <w:r>
        <w:rPr>
          <w:spacing w:val="-4"/>
        </w:rPr>
        <w:t xml:space="preserve"> </w:t>
      </w:r>
      <w:r>
        <w:rPr>
          <w:spacing w:val="-2"/>
        </w:rPr>
        <w:t>students</w:t>
      </w:r>
      <w:hyperlink w:anchor="_bookmark71" w:history="1">
        <w:r>
          <w:rPr>
            <w:spacing w:val="-2"/>
            <w:vertAlign w:val="superscript"/>
          </w:rPr>
          <w:t>35</w:t>
        </w:r>
      </w:hyperlink>
    </w:p>
    <w:p w:rsidR="00200FDA" w:rsidRDefault="00F76C4C">
      <w:pPr>
        <w:pStyle w:val="ListParagraph"/>
        <w:numPr>
          <w:ilvl w:val="0"/>
          <w:numId w:val="34"/>
        </w:numPr>
        <w:tabs>
          <w:tab w:val="left" w:pos="859"/>
          <w:tab w:val="left" w:pos="861"/>
        </w:tabs>
        <w:ind w:left="860" w:hanging="362"/>
      </w:pPr>
      <w:r>
        <w:t>Best</w:t>
      </w:r>
      <w:r>
        <w:rPr>
          <w:spacing w:val="-6"/>
        </w:rPr>
        <w:t xml:space="preserve"> </w:t>
      </w:r>
      <w:r>
        <w:t>practices</w:t>
      </w:r>
      <w:r>
        <w:rPr>
          <w:spacing w:val="-6"/>
        </w:rPr>
        <w:t xml:space="preserve"> </w:t>
      </w:r>
      <w:r>
        <w:t>in</w:t>
      </w:r>
      <w:r>
        <w:rPr>
          <w:spacing w:val="-6"/>
        </w:rPr>
        <w:t xml:space="preserve"> </w:t>
      </w:r>
      <w:r>
        <w:t>counseling</w:t>
      </w:r>
      <w:r>
        <w:rPr>
          <w:spacing w:val="-5"/>
        </w:rPr>
        <w:t xml:space="preserve"> </w:t>
      </w:r>
      <w:r>
        <w:t>LGBTQ</w:t>
      </w:r>
      <w:r>
        <w:rPr>
          <w:spacing w:val="-5"/>
        </w:rPr>
        <w:t xml:space="preserve"> </w:t>
      </w:r>
      <w:r>
        <w:t>students</w:t>
      </w:r>
      <w:r>
        <w:rPr>
          <w:spacing w:val="-4"/>
        </w:rPr>
        <w:t xml:space="preserve"> </w:t>
      </w:r>
      <w:r>
        <w:t>(reported</w:t>
      </w:r>
      <w:r>
        <w:rPr>
          <w:spacing w:val="-6"/>
        </w:rPr>
        <w:t xml:space="preserve"> </w:t>
      </w:r>
      <w:r>
        <w:t>by</w:t>
      </w:r>
      <w:r>
        <w:rPr>
          <w:spacing w:val="-3"/>
        </w:rPr>
        <w:t xml:space="preserve"> </w:t>
      </w:r>
      <w:r>
        <w:t>school</w:t>
      </w:r>
      <w:r>
        <w:rPr>
          <w:spacing w:val="-6"/>
        </w:rPr>
        <w:t xml:space="preserve"> </w:t>
      </w:r>
      <w:r>
        <w:rPr>
          <w:spacing w:val="-2"/>
        </w:rPr>
        <w:t>counselors)</w:t>
      </w:r>
      <w:hyperlink w:anchor="_bookmark72" w:history="1">
        <w:r>
          <w:rPr>
            <w:spacing w:val="-2"/>
            <w:vertAlign w:val="superscript"/>
          </w:rPr>
          <w:t>36</w:t>
        </w:r>
      </w:hyperlink>
    </w:p>
    <w:p w:rsidR="00200FDA" w:rsidRDefault="00200FDA">
      <w:pPr>
        <w:pStyle w:val="BodyText"/>
        <w:spacing w:before="11"/>
        <w:rPr>
          <w:sz w:val="32"/>
        </w:rPr>
      </w:pPr>
    </w:p>
    <w:p w:rsidR="00200FDA" w:rsidRDefault="00F76C4C">
      <w:pPr>
        <w:pStyle w:val="BodyText"/>
        <w:ind w:left="139" w:right="134"/>
        <w:jc w:val="both"/>
      </w:pPr>
      <w:r>
        <w:t>The survey evaluations collected by the Safe Schools Program for LGBTQ Students show that 96% of participants learn to better understand the experiences of LGBTQ students and families. Further, most participants learn more about DESE (Department of Element</w:t>
      </w:r>
      <w:r>
        <w:t xml:space="preserve">ary and Secondary Education) policy guidelines and about resources for creating safe and supportive learning environments for LGBTQ </w:t>
      </w:r>
      <w:r>
        <w:rPr>
          <w:spacing w:val="-2"/>
        </w:rPr>
        <w:t>students.</w:t>
      </w:r>
      <w:hyperlink w:anchor="_bookmark73" w:history="1">
        <w:r>
          <w:rPr>
            <w:spacing w:val="-2"/>
            <w:vertAlign w:val="superscript"/>
          </w:rPr>
          <w:t>37</w:t>
        </w:r>
      </w:hyperlink>
    </w:p>
    <w:p w:rsidR="00200FDA" w:rsidRDefault="00200FDA">
      <w:pPr>
        <w:pStyle w:val="BodyText"/>
        <w:spacing w:before="9"/>
        <w:rPr>
          <w:sz w:val="32"/>
        </w:rPr>
      </w:pPr>
    </w:p>
    <w:p w:rsidR="00200FDA" w:rsidRDefault="00F76C4C">
      <w:pPr>
        <w:pStyle w:val="BodyText"/>
        <w:ind w:left="140" w:right="136"/>
        <w:jc w:val="both"/>
      </w:pPr>
      <w:r>
        <w:t xml:space="preserve">Finally, LGBTQ trainings can positively affect school staff’s beliefs. Teachers </w:t>
      </w:r>
      <w:r>
        <w:t>who receive high levels of training have</w:t>
      </w:r>
      <w:r>
        <w:rPr>
          <w:spacing w:val="-1"/>
        </w:rPr>
        <w:t xml:space="preserve"> </w:t>
      </w:r>
      <w:r>
        <w:t>more positive attitudes towards</w:t>
      </w:r>
      <w:r>
        <w:rPr>
          <w:spacing w:val="-2"/>
        </w:rPr>
        <w:t xml:space="preserve"> </w:t>
      </w:r>
      <w:r>
        <w:t>LGBTQ</w:t>
      </w:r>
      <w:r>
        <w:rPr>
          <w:spacing w:val="-2"/>
        </w:rPr>
        <w:t xml:space="preserve"> </w:t>
      </w:r>
      <w:r>
        <w:t>youth</w:t>
      </w:r>
      <w:r>
        <w:rPr>
          <w:spacing w:val="-3"/>
        </w:rPr>
        <w:t xml:space="preserve"> </w:t>
      </w:r>
      <w:r>
        <w:t>compared</w:t>
      </w:r>
      <w:r>
        <w:rPr>
          <w:spacing w:val="-3"/>
        </w:rPr>
        <w:t xml:space="preserve"> </w:t>
      </w:r>
      <w:r>
        <w:t>to</w:t>
      </w:r>
      <w:r>
        <w:rPr>
          <w:spacing w:val="-1"/>
        </w:rPr>
        <w:t xml:space="preserve"> </w:t>
      </w:r>
      <w:r>
        <w:t>those</w:t>
      </w:r>
      <w:r>
        <w:rPr>
          <w:spacing w:val="-1"/>
        </w:rPr>
        <w:t xml:space="preserve"> </w:t>
      </w:r>
      <w:r>
        <w:t>with limited professional development.</w:t>
      </w:r>
      <w:r>
        <w:rPr>
          <w:spacing w:val="6"/>
        </w:rPr>
        <w:t xml:space="preserve"> </w:t>
      </w:r>
      <w:hyperlink w:anchor="_bookmark74" w:history="1">
        <w:r>
          <w:rPr>
            <w:vertAlign w:val="superscript"/>
          </w:rPr>
          <w:t>38</w:t>
        </w:r>
      </w:hyperlink>
      <w:r>
        <w:rPr>
          <w:spacing w:val="50"/>
        </w:rPr>
        <w:t xml:space="preserve"> </w:t>
      </w:r>
      <w:r>
        <w:t>Other</w:t>
      </w:r>
      <w:r>
        <w:rPr>
          <w:spacing w:val="72"/>
        </w:rPr>
        <w:t xml:space="preserve"> </w:t>
      </w:r>
      <w:r>
        <w:t>post-survey</w:t>
      </w:r>
      <w:r>
        <w:rPr>
          <w:spacing w:val="70"/>
        </w:rPr>
        <w:t xml:space="preserve"> </w:t>
      </w:r>
      <w:r>
        <w:t>evaluations</w:t>
      </w:r>
      <w:r>
        <w:rPr>
          <w:spacing w:val="72"/>
        </w:rPr>
        <w:t xml:space="preserve"> </w:t>
      </w:r>
      <w:r>
        <w:t>indicate</w:t>
      </w:r>
      <w:r>
        <w:rPr>
          <w:spacing w:val="72"/>
        </w:rPr>
        <w:t xml:space="preserve"> </w:t>
      </w:r>
      <w:r>
        <w:t>that</w:t>
      </w:r>
      <w:r>
        <w:rPr>
          <w:spacing w:val="72"/>
        </w:rPr>
        <w:t xml:space="preserve"> </w:t>
      </w:r>
      <w:r>
        <w:t>school</w:t>
      </w:r>
      <w:r>
        <w:rPr>
          <w:spacing w:val="72"/>
        </w:rPr>
        <w:t xml:space="preserve"> </w:t>
      </w:r>
      <w:r>
        <w:t>staff</w:t>
      </w:r>
      <w:r>
        <w:rPr>
          <w:spacing w:val="71"/>
        </w:rPr>
        <w:t xml:space="preserve"> </w:t>
      </w:r>
      <w:r>
        <w:t>rate</w:t>
      </w:r>
      <w:r>
        <w:rPr>
          <w:spacing w:val="72"/>
        </w:rPr>
        <w:t xml:space="preserve"> </w:t>
      </w:r>
      <w:r>
        <w:t>the</w:t>
      </w:r>
      <w:r>
        <w:rPr>
          <w:spacing w:val="72"/>
        </w:rPr>
        <w:t xml:space="preserve"> </w:t>
      </w:r>
      <w:r>
        <w:t>importance</w:t>
      </w:r>
      <w:r>
        <w:rPr>
          <w:spacing w:val="71"/>
        </w:rPr>
        <w:t xml:space="preserve"> </w:t>
      </w:r>
      <w:r>
        <w:rPr>
          <w:spacing w:val="-5"/>
        </w:rPr>
        <w:t>of</w:t>
      </w:r>
    </w:p>
    <w:p w:rsidR="00200FDA" w:rsidRDefault="00200FDA">
      <w:pPr>
        <w:jc w:val="both"/>
        <w:sectPr w:rsidR="00200FDA">
          <w:pgSz w:w="12240" w:h="15840"/>
          <w:pgMar w:top="1360" w:right="1300" w:bottom="1380" w:left="1300" w:header="761" w:footer="1132" w:gutter="0"/>
          <w:cols w:space="720"/>
        </w:sectPr>
      </w:pPr>
    </w:p>
    <w:p w:rsidR="00200FDA" w:rsidRDefault="00F76C4C">
      <w:pPr>
        <w:pStyle w:val="BodyText"/>
        <w:spacing w:before="64"/>
        <w:ind w:left="139" w:right="134"/>
        <w:jc w:val="both"/>
      </w:pPr>
      <w:r>
        <w:lastRenderedPageBreak/>
        <w:t>intervening in homophobic comments more highly after training.</w:t>
      </w:r>
      <w:r>
        <w:rPr>
          <w:spacing w:val="-6"/>
        </w:rPr>
        <w:t xml:space="preserve"> </w:t>
      </w:r>
      <w:hyperlink w:anchor="_bookmark75" w:history="1">
        <w:r>
          <w:rPr>
            <w:vertAlign w:val="superscript"/>
          </w:rPr>
          <w:t>39</w:t>
        </w:r>
      </w:hyperlink>
      <w:r>
        <w:t xml:space="preserve"> They also have more positive perceptions</w:t>
      </w:r>
      <w:r>
        <w:rPr>
          <w:spacing w:val="-13"/>
        </w:rPr>
        <w:t xml:space="preserve"> </w:t>
      </w:r>
      <w:r>
        <w:t>about</w:t>
      </w:r>
      <w:r>
        <w:rPr>
          <w:spacing w:val="-12"/>
        </w:rPr>
        <w:t xml:space="preserve"> </w:t>
      </w:r>
      <w:r>
        <w:t>the</w:t>
      </w:r>
      <w:r>
        <w:rPr>
          <w:spacing w:val="-13"/>
        </w:rPr>
        <w:t xml:space="preserve"> </w:t>
      </w:r>
      <w:r>
        <w:t>role</w:t>
      </w:r>
      <w:r>
        <w:rPr>
          <w:spacing w:val="-12"/>
        </w:rPr>
        <w:t xml:space="preserve"> </w:t>
      </w:r>
      <w:r>
        <w:t>of</w:t>
      </w:r>
      <w:r>
        <w:rPr>
          <w:spacing w:val="-13"/>
        </w:rPr>
        <w:t xml:space="preserve"> </w:t>
      </w:r>
      <w:r>
        <w:t>school</w:t>
      </w:r>
      <w:r>
        <w:rPr>
          <w:spacing w:val="-12"/>
        </w:rPr>
        <w:t xml:space="preserve"> </w:t>
      </w:r>
      <w:r>
        <w:t>staff</w:t>
      </w:r>
      <w:r>
        <w:rPr>
          <w:spacing w:val="-13"/>
        </w:rPr>
        <w:t xml:space="preserve"> </w:t>
      </w:r>
      <w:r>
        <w:t>in</w:t>
      </w:r>
      <w:r>
        <w:rPr>
          <w:spacing w:val="-12"/>
        </w:rPr>
        <w:t xml:space="preserve"> </w:t>
      </w:r>
      <w:r>
        <w:t>supporting</w:t>
      </w:r>
      <w:r>
        <w:rPr>
          <w:spacing w:val="-12"/>
        </w:rPr>
        <w:t xml:space="preserve"> </w:t>
      </w:r>
      <w:r>
        <w:t>LGBTQ</w:t>
      </w:r>
      <w:r>
        <w:rPr>
          <w:spacing w:val="-13"/>
        </w:rPr>
        <w:t xml:space="preserve"> </w:t>
      </w:r>
      <w:r>
        <w:t>students</w:t>
      </w:r>
      <w:r>
        <w:rPr>
          <w:spacing w:val="-12"/>
        </w:rPr>
        <w:t xml:space="preserve"> </w:t>
      </w:r>
      <w:r>
        <w:t>by</w:t>
      </w:r>
      <w:r>
        <w:rPr>
          <w:spacing w:val="-13"/>
        </w:rPr>
        <w:t xml:space="preserve"> </w:t>
      </w:r>
      <w:r>
        <w:t>creating</w:t>
      </w:r>
      <w:r>
        <w:rPr>
          <w:spacing w:val="-12"/>
        </w:rPr>
        <w:t xml:space="preserve"> </w:t>
      </w:r>
      <w:r>
        <w:t>a</w:t>
      </w:r>
      <w:r>
        <w:rPr>
          <w:spacing w:val="-13"/>
        </w:rPr>
        <w:t xml:space="preserve"> </w:t>
      </w:r>
      <w:r>
        <w:t>safer,</w:t>
      </w:r>
      <w:r>
        <w:rPr>
          <w:spacing w:val="-12"/>
        </w:rPr>
        <w:t xml:space="preserve"> </w:t>
      </w:r>
      <w:r>
        <w:t>more</w:t>
      </w:r>
      <w:r>
        <w:rPr>
          <w:spacing w:val="-12"/>
        </w:rPr>
        <w:t xml:space="preserve"> </w:t>
      </w:r>
      <w:r>
        <w:t>affirming environ</w:t>
      </w:r>
      <w:r>
        <w:t>ment.</w:t>
      </w:r>
      <w:hyperlink w:anchor="_bookmark76" w:history="1">
        <w:r>
          <w:rPr>
            <w:vertAlign w:val="superscript"/>
          </w:rPr>
          <w:t>40</w:t>
        </w:r>
      </w:hyperlink>
      <w:r>
        <w:rPr>
          <w:spacing w:val="40"/>
        </w:rPr>
        <w:t xml:space="preserve"> </w:t>
      </w:r>
      <w:r>
        <w:t>However,</w:t>
      </w:r>
      <w:r>
        <w:rPr>
          <w:spacing w:val="-1"/>
        </w:rPr>
        <w:t xml:space="preserve"> </w:t>
      </w:r>
      <w:r>
        <w:t>similar to the diminishing effects</w:t>
      </w:r>
      <w:r>
        <w:rPr>
          <w:spacing w:val="-1"/>
        </w:rPr>
        <w:t xml:space="preserve"> </w:t>
      </w:r>
      <w:r>
        <w:t>of self-awareness,</w:t>
      </w:r>
      <w:r>
        <w:rPr>
          <w:spacing w:val="-1"/>
        </w:rPr>
        <w:t xml:space="preserve"> </w:t>
      </w:r>
      <w:r>
        <w:t>the same study witnessed school</w:t>
      </w:r>
      <w:r>
        <w:rPr>
          <w:spacing w:val="-5"/>
        </w:rPr>
        <w:t xml:space="preserve"> </w:t>
      </w:r>
      <w:r>
        <w:t>staff’s</w:t>
      </w:r>
      <w:r>
        <w:rPr>
          <w:spacing w:val="-4"/>
        </w:rPr>
        <w:t xml:space="preserve"> </w:t>
      </w:r>
      <w:r>
        <w:t>empathy</w:t>
      </w:r>
      <w:r>
        <w:rPr>
          <w:spacing w:val="-3"/>
        </w:rPr>
        <w:t xml:space="preserve"> </w:t>
      </w:r>
      <w:r>
        <w:t>for</w:t>
      </w:r>
      <w:r>
        <w:rPr>
          <w:spacing w:val="-4"/>
        </w:rPr>
        <w:t xml:space="preserve"> </w:t>
      </w:r>
      <w:r>
        <w:t>LGBTQ</w:t>
      </w:r>
      <w:r>
        <w:rPr>
          <w:spacing w:val="-4"/>
        </w:rPr>
        <w:t xml:space="preserve"> </w:t>
      </w:r>
      <w:r>
        <w:t>students</w:t>
      </w:r>
      <w:r>
        <w:rPr>
          <w:spacing w:val="-4"/>
        </w:rPr>
        <w:t xml:space="preserve"> </w:t>
      </w:r>
      <w:r>
        <w:t>diminish</w:t>
      </w:r>
      <w:r>
        <w:rPr>
          <w:spacing w:val="-5"/>
        </w:rPr>
        <w:t xml:space="preserve"> </w:t>
      </w:r>
      <w:r>
        <w:t>over</w:t>
      </w:r>
      <w:r>
        <w:rPr>
          <w:spacing w:val="-4"/>
        </w:rPr>
        <w:t xml:space="preserve"> </w:t>
      </w:r>
      <w:r>
        <w:t>time,</w:t>
      </w:r>
      <w:r>
        <w:rPr>
          <w:spacing w:val="-4"/>
        </w:rPr>
        <w:t xml:space="preserve"> </w:t>
      </w:r>
      <w:r>
        <w:t>hinting</w:t>
      </w:r>
      <w:r>
        <w:rPr>
          <w:spacing w:val="-5"/>
        </w:rPr>
        <w:t xml:space="preserve"> </w:t>
      </w:r>
      <w:r>
        <w:t>again</w:t>
      </w:r>
      <w:r>
        <w:rPr>
          <w:spacing w:val="-7"/>
        </w:rPr>
        <w:t xml:space="preserve"> </w:t>
      </w:r>
      <w:r>
        <w:t>that</w:t>
      </w:r>
      <w:r>
        <w:rPr>
          <w:spacing w:val="-6"/>
        </w:rPr>
        <w:t xml:space="preserve"> </w:t>
      </w:r>
      <w:r>
        <w:t>a</w:t>
      </w:r>
      <w:r>
        <w:rPr>
          <w:spacing w:val="-5"/>
        </w:rPr>
        <w:t xml:space="preserve"> </w:t>
      </w:r>
      <w:r>
        <w:t>one-time</w:t>
      </w:r>
      <w:r>
        <w:rPr>
          <w:spacing w:val="-4"/>
        </w:rPr>
        <w:t xml:space="preserve"> </w:t>
      </w:r>
      <w:r>
        <w:t>training</w:t>
      </w:r>
      <w:r>
        <w:rPr>
          <w:spacing w:val="-7"/>
        </w:rPr>
        <w:t xml:space="preserve"> </w:t>
      </w:r>
      <w:r>
        <w:t>may not be enough.</w:t>
      </w:r>
      <w:hyperlink w:anchor="_bookmark77" w:history="1">
        <w:r>
          <w:rPr>
            <w:vertAlign w:val="superscript"/>
          </w:rPr>
          <w:t>41</w:t>
        </w:r>
      </w:hyperlink>
    </w:p>
    <w:p w:rsidR="00200FDA" w:rsidRDefault="00200FDA">
      <w:pPr>
        <w:pStyle w:val="BodyText"/>
        <w:spacing w:before="9"/>
        <w:rPr>
          <w:sz w:val="32"/>
        </w:rPr>
      </w:pPr>
    </w:p>
    <w:p w:rsidR="00200FDA" w:rsidRDefault="00F76C4C">
      <w:pPr>
        <w:pStyle w:val="BodyText"/>
        <w:ind w:left="139" w:right="134"/>
        <w:jc w:val="both"/>
      </w:pPr>
      <w:r>
        <w:t>Most of the data on the effects of LGBTQ training indicate an increase in participant self-efficacy. Even a brief two-hour training can improve school staff’s self-efficacy in addressing anti-LGBTQ behaviors and creating in</w:t>
      </w:r>
      <w:r>
        <w:t>clusive school environments.</w:t>
      </w:r>
      <w:hyperlink w:anchor="_bookmark78" w:history="1">
        <w:r>
          <w:rPr>
            <w:vertAlign w:val="superscript"/>
          </w:rPr>
          <w:t>42</w:t>
        </w:r>
      </w:hyperlink>
      <w:r>
        <w:t xml:space="preserve"> Specifically, school staff report a significant increase in their comfort in intervening in homophobic comments, their competence in addressing anti-LGBTQ bullying and harassment, and their conf</w:t>
      </w:r>
      <w:r>
        <w:t>idence in promoting an inclusive environment.</w:t>
      </w:r>
      <w:r>
        <w:rPr>
          <w:spacing w:val="-13"/>
        </w:rPr>
        <w:t xml:space="preserve"> </w:t>
      </w:r>
      <w:hyperlink w:anchor="_bookmark79" w:history="1">
        <w:r>
          <w:rPr>
            <w:vertAlign w:val="superscript"/>
          </w:rPr>
          <w:t>43</w:t>
        </w:r>
      </w:hyperlink>
      <w:r>
        <w:t xml:space="preserve"> Other studies also highlight</w:t>
      </w:r>
      <w:r>
        <w:rPr>
          <w:spacing w:val="-4"/>
        </w:rPr>
        <w:t xml:space="preserve"> </w:t>
      </w:r>
      <w:r>
        <w:t>a</w:t>
      </w:r>
      <w:r>
        <w:rPr>
          <w:spacing w:val="-5"/>
        </w:rPr>
        <w:t xml:space="preserve"> </w:t>
      </w:r>
      <w:r>
        <w:t>significant</w:t>
      </w:r>
      <w:r>
        <w:rPr>
          <w:spacing w:val="-4"/>
        </w:rPr>
        <w:t xml:space="preserve"> </w:t>
      </w:r>
      <w:r>
        <w:t>improvement</w:t>
      </w:r>
      <w:r>
        <w:rPr>
          <w:spacing w:val="-4"/>
        </w:rPr>
        <w:t xml:space="preserve"> </w:t>
      </w:r>
      <w:r>
        <w:t>in</w:t>
      </w:r>
      <w:r>
        <w:rPr>
          <w:spacing w:val="-5"/>
        </w:rPr>
        <w:t xml:space="preserve"> </w:t>
      </w:r>
      <w:r>
        <w:t>confidence</w:t>
      </w:r>
      <w:r>
        <w:rPr>
          <w:spacing w:val="-4"/>
        </w:rPr>
        <w:t xml:space="preserve"> </w:t>
      </w:r>
      <w:r>
        <w:t>in</w:t>
      </w:r>
      <w:r>
        <w:rPr>
          <w:spacing w:val="-5"/>
        </w:rPr>
        <w:t xml:space="preserve"> </w:t>
      </w:r>
      <w:r>
        <w:t>both</w:t>
      </w:r>
      <w:r>
        <w:rPr>
          <w:spacing w:val="-5"/>
        </w:rPr>
        <w:t xml:space="preserve"> </w:t>
      </w:r>
      <w:r>
        <w:t>addressing</w:t>
      </w:r>
      <w:r>
        <w:rPr>
          <w:spacing w:val="-5"/>
        </w:rPr>
        <w:t xml:space="preserve"> </w:t>
      </w:r>
      <w:r>
        <w:t>anti-LGBTQ</w:t>
      </w:r>
      <w:r>
        <w:rPr>
          <w:spacing w:val="-6"/>
        </w:rPr>
        <w:t xml:space="preserve"> </w:t>
      </w:r>
      <w:r>
        <w:t>language</w:t>
      </w:r>
      <w:r>
        <w:rPr>
          <w:spacing w:val="-4"/>
        </w:rPr>
        <w:t xml:space="preserve"> </w:t>
      </w:r>
      <w:r>
        <w:t>and</w:t>
      </w:r>
      <w:r>
        <w:rPr>
          <w:spacing w:val="-5"/>
        </w:rPr>
        <w:t xml:space="preserve"> </w:t>
      </w:r>
      <w:r>
        <w:t>discussing concerns</w:t>
      </w:r>
      <w:r>
        <w:rPr>
          <w:spacing w:val="-13"/>
        </w:rPr>
        <w:t xml:space="preserve"> </w:t>
      </w:r>
      <w:r>
        <w:t>about</w:t>
      </w:r>
      <w:r>
        <w:rPr>
          <w:spacing w:val="-12"/>
        </w:rPr>
        <w:t xml:space="preserve"> </w:t>
      </w:r>
      <w:r>
        <w:t>being</w:t>
      </w:r>
      <w:r>
        <w:rPr>
          <w:spacing w:val="-13"/>
        </w:rPr>
        <w:t xml:space="preserve"> </w:t>
      </w:r>
      <w:r>
        <w:t>teased,</w:t>
      </w:r>
      <w:r>
        <w:rPr>
          <w:spacing w:val="-12"/>
        </w:rPr>
        <w:t xml:space="preserve"> </w:t>
      </w:r>
      <w:r>
        <w:t>harassed,</w:t>
      </w:r>
      <w:r>
        <w:rPr>
          <w:spacing w:val="-13"/>
        </w:rPr>
        <w:t xml:space="preserve"> </w:t>
      </w:r>
      <w:r>
        <w:t>or</w:t>
      </w:r>
      <w:r>
        <w:rPr>
          <w:spacing w:val="-12"/>
        </w:rPr>
        <w:t xml:space="preserve"> </w:t>
      </w:r>
      <w:r>
        <w:t>bullied</w:t>
      </w:r>
      <w:r>
        <w:rPr>
          <w:spacing w:val="-13"/>
        </w:rPr>
        <w:t xml:space="preserve"> </w:t>
      </w:r>
      <w:r>
        <w:t>wit</w:t>
      </w:r>
      <w:r>
        <w:t>h</w:t>
      </w:r>
      <w:r>
        <w:rPr>
          <w:spacing w:val="-12"/>
        </w:rPr>
        <w:t xml:space="preserve"> </w:t>
      </w:r>
      <w:r>
        <w:t>students.</w:t>
      </w:r>
      <w:hyperlink w:anchor="_bookmark80" w:history="1">
        <w:r>
          <w:rPr>
            <w:vertAlign w:val="superscript"/>
          </w:rPr>
          <w:t>44</w:t>
        </w:r>
      </w:hyperlink>
      <w:r>
        <w:rPr>
          <w:spacing w:val="-12"/>
        </w:rPr>
        <w:t xml:space="preserve"> </w:t>
      </w:r>
      <w:r>
        <w:t>Similar</w:t>
      </w:r>
      <w:r>
        <w:rPr>
          <w:spacing w:val="-13"/>
        </w:rPr>
        <w:t xml:space="preserve"> </w:t>
      </w:r>
      <w:r>
        <w:t>to</w:t>
      </w:r>
      <w:r>
        <w:rPr>
          <w:spacing w:val="-12"/>
        </w:rPr>
        <w:t xml:space="preserve"> </w:t>
      </w:r>
      <w:r>
        <w:t>the</w:t>
      </w:r>
      <w:r>
        <w:rPr>
          <w:spacing w:val="-13"/>
        </w:rPr>
        <w:t xml:space="preserve"> </w:t>
      </w:r>
      <w:r>
        <w:t>findings</w:t>
      </w:r>
      <w:r>
        <w:rPr>
          <w:spacing w:val="-12"/>
        </w:rPr>
        <w:t xml:space="preserve"> </w:t>
      </w:r>
      <w:r>
        <w:t>about</w:t>
      </w:r>
      <w:r>
        <w:rPr>
          <w:spacing w:val="-13"/>
        </w:rPr>
        <w:t xml:space="preserve"> </w:t>
      </w:r>
      <w:r>
        <w:t>knowledge and awareness, self-efficacy is also a significant predictor of how frequently teachers intervene in anti- LGBTQ remarks.</w:t>
      </w:r>
      <w:hyperlink w:anchor="_bookmark81" w:history="1">
        <w:r>
          <w:rPr>
            <w:vertAlign w:val="superscript"/>
          </w:rPr>
          <w:t>45</w:t>
        </w:r>
      </w:hyperlink>
    </w:p>
    <w:p w:rsidR="00200FDA" w:rsidRDefault="00200FDA">
      <w:pPr>
        <w:pStyle w:val="BodyText"/>
        <w:spacing w:before="10"/>
        <w:rPr>
          <w:sz w:val="32"/>
        </w:rPr>
      </w:pPr>
    </w:p>
    <w:p w:rsidR="00200FDA" w:rsidRDefault="00F76C4C">
      <w:pPr>
        <w:pStyle w:val="BodyText"/>
        <w:ind w:left="139" w:right="133"/>
        <w:jc w:val="both"/>
      </w:pPr>
      <w:r>
        <w:t>Two</w:t>
      </w:r>
      <w:r>
        <w:rPr>
          <w:spacing w:val="-13"/>
        </w:rPr>
        <w:t xml:space="preserve"> </w:t>
      </w:r>
      <w:r>
        <w:t>common</w:t>
      </w:r>
      <w:r>
        <w:rPr>
          <w:spacing w:val="-12"/>
        </w:rPr>
        <w:t xml:space="preserve"> </w:t>
      </w:r>
      <w:r>
        <w:t>behavior</w:t>
      </w:r>
      <w:r>
        <w:rPr>
          <w:spacing w:val="-13"/>
        </w:rPr>
        <w:t xml:space="preserve"> </w:t>
      </w:r>
      <w:r>
        <w:t>changes</w:t>
      </w:r>
      <w:r>
        <w:rPr>
          <w:spacing w:val="-12"/>
        </w:rPr>
        <w:t xml:space="preserve"> </w:t>
      </w:r>
      <w:r>
        <w:t>associated</w:t>
      </w:r>
      <w:r>
        <w:rPr>
          <w:spacing w:val="-13"/>
        </w:rPr>
        <w:t xml:space="preserve"> </w:t>
      </w:r>
      <w:r>
        <w:t>with</w:t>
      </w:r>
      <w:r>
        <w:rPr>
          <w:spacing w:val="-12"/>
        </w:rPr>
        <w:t xml:space="preserve"> </w:t>
      </w:r>
      <w:r>
        <w:t>LGBTQ</w:t>
      </w:r>
      <w:r>
        <w:rPr>
          <w:spacing w:val="-13"/>
        </w:rPr>
        <w:t xml:space="preserve"> </w:t>
      </w:r>
      <w:r>
        <w:t>professional</w:t>
      </w:r>
      <w:r>
        <w:rPr>
          <w:spacing w:val="-12"/>
        </w:rPr>
        <w:t xml:space="preserve"> </w:t>
      </w:r>
      <w:r>
        <w:t>development</w:t>
      </w:r>
      <w:r>
        <w:rPr>
          <w:spacing w:val="-12"/>
        </w:rPr>
        <w:t xml:space="preserve"> </w:t>
      </w:r>
      <w:r>
        <w:t>programs</w:t>
      </w:r>
      <w:r>
        <w:rPr>
          <w:spacing w:val="-13"/>
        </w:rPr>
        <w:t xml:space="preserve"> </w:t>
      </w:r>
      <w:r>
        <w:t>are</w:t>
      </w:r>
      <w:r>
        <w:rPr>
          <w:spacing w:val="-12"/>
        </w:rPr>
        <w:t xml:space="preserve"> </w:t>
      </w:r>
      <w:r>
        <w:t>increased school staff intervention in anti-LGBTQ behavior and increased communication with students and teachers about LGBTQ topics. For instance, school personnel report more co</w:t>
      </w:r>
      <w:r>
        <w:t>mmunication with students and</w:t>
      </w:r>
      <w:r>
        <w:rPr>
          <w:spacing w:val="-13"/>
        </w:rPr>
        <w:t xml:space="preserve"> </w:t>
      </w:r>
      <w:r>
        <w:t>other</w:t>
      </w:r>
      <w:r>
        <w:rPr>
          <w:spacing w:val="-7"/>
        </w:rPr>
        <w:t xml:space="preserve"> </w:t>
      </w:r>
      <w:r>
        <w:t>staff</w:t>
      </w:r>
      <w:r>
        <w:rPr>
          <w:spacing w:val="-6"/>
        </w:rPr>
        <w:t xml:space="preserve"> </w:t>
      </w:r>
      <w:r>
        <w:t>about</w:t>
      </w:r>
      <w:r>
        <w:rPr>
          <w:spacing w:val="-5"/>
        </w:rPr>
        <w:t xml:space="preserve"> </w:t>
      </w:r>
      <w:r>
        <w:t>LGBTQ</w:t>
      </w:r>
      <w:r>
        <w:rPr>
          <w:spacing w:val="-5"/>
        </w:rPr>
        <w:t xml:space="preserve"> </w:t>
      </w:r>
      <w:r>
        <w:t>issues</w:t>
      </w:r>
      <w:r>
        <w:rPr>
          <w:spacing w:val="-6"/>
        </w:rPr>
        <w:t xml:space="preserve"> </w:t>
      </w:r>
      <w:r>
        <w:t>following</w:t>
      </w:r>
      <w:r>
        <w:rPr>
          <w:spacing w:val="-6"/>
        </w:rPr>
        <w:t xml:space="preserve"> </w:t>
      </w:r>
      <w:r>
        <w:t>their</w:t>
      </w:r>
      <w:r>
        <w:rPr>
          <w:spacing w:val="-8"/>
        </w:rPr>
        <w:t xml:space="preserve"> </w:t>
      </w:r>
      <w:r>
        <w:t>training.</w:t>
      </w:r>
      <w:hyperlink w:anchor="_bookmark82" w:history="1">
        <w:r>
          <w:rPr>
            <w:vertAlign w:val="superscript"/>
          </w:rPr>
          <w:t>46</w:t>
        </w:r>
      </w:hyperlink>
      <w:r>
        <w:rPr>
          <w:spacing w:val="-13"/>
        </w:rPr>
        <w:t xml:space="preserve"> </w:t>
      </w:r>
      <w:r>
        <w:t>Results</w:t>
      </w:r>
      <w:r>
        <w:rPr>
          <w:spacing w:val="-5"/>
        </w:rPr>
        <w:t xml:space="preserve"> </w:t>
      </w:r>
      <w:r>
        <w:t>from</w:t>
      </w:r>
      <w:r>
        <w:rPr>
          <w:spacing w:val="-7"/>
        </w:rPr>
        <w:t xml:space="preserve"> </w:t>
      </w:r>
      <w:r>
        <w:t>the</w:t>
      </w:r>
      <w:r>
        <w:rPr>
          <w:spacing w:val="-7"/>
        </w:rPr>
        <w:t xml:space="preserve"> </w:t>
      </w:r>
      <w:r>
        <w:t>“Step</w:t>
      </w:r>
      <w:r>
        <w:rPr>
          <w:spacing w:val="-6"/>
        </w:rPr>
        <w:t xml:space="preserve"> </w:t>
      </w:r>
      <w:r>
        <w:t>In,</w:t>
      </w:r>
      <w:r>
        <w:rPr>
          <w:spacing w:val="-6"/>
        </w:rPr>
        <w:t xml:space="preserve"> </w:t>
      </w:r>
      <w:r>
        <w:t>Speak</w:t>
      </w:r>
      <w:r>
        <w:rPr>
          <w:spacing w:val="-5"/>
        </w:rPr>
        <w:t xml:space="preserve"> </w:t>
      </w:r>
      <w:r>
        <w:t>Up!”</w:t>
      </w:r>
      <w:r>
        <w:rPr>
          <w:spacing w:val="-7"/>
        </w:rPr>
        <w:t xml:space="preserve"> </w:t>
      </w:r>
      <w:r>
        <w:t>online simulation found that afterwards most teachers reported an increase in connecting LGBTQ you</w:t>
      </w:r>
      <w:r>
        <w:t xml:space="preserve">th to support services (51%), speaking with students after class to see if they were okay (54%), and having conversations with other adults at school about LGBTQ harassment and bullying (58%), discriminatory language in classrooms (64%), and how to better </w:t>
      </w:r>
      <w:r>
        <w:t>support LGBTQ students (78%).</w:t>
      </w:r>
      <w:hyperlink w:anchor="_bookmark83" w:history="1">
        <w:r>
          <w:rPr>
            <w:vertAlign w:val="superscript"/>
          </w:rPr>
          <w:t>47</w:t>
        </w:r>
      </w:hyperlink>
    </w:p>
    <w:p w:rsidR="00200FDA" w:rsidRDefault="00200FDA">
      <w:pPr>
        <w:pStyle w:val="BodyText"/>
        <w:spacing w:before="9"/>
        <w:rPr>
          <w:sz w:val="32"/>
        </w:rPr>
      </w:pPr>
    </w:p>
    <w:p w:rsidR="00200FDA" w:rsidRDefault="00F76C4C">
      <w:pPr>
        <w:pStyle w:val="BodyText"/>
        <w:spacing w:before="1"/>
        <w:ind w:left="139" w:right="133"/>
        <w:jc w:val="both"/>
      </w:pPr>
      <w:r>
        <w:t>In the same study,</w:t>
      </w:r>
      <w:r>
        <w:rPr>
          <w:spacing w:val="-1"/>
        </w:rPr>
        <w:t xml:space="preserve"> </w:t>
      </w:r>
      <w:r>
        <w:t>over</w:t>
      </w:r>
      <w:r>
        <w:rPr>
          <w:spacing w:val="-1"/>
        </w:rPr>
        <w:t xml:space="preserve"> </w:t>
      </w:r>
      <w:r>
        <w:t>50% of</w:t>
      </w:r>
      <w:r>
        <w:rPr>
          <w:spacing w:val="-1"/>
        </w:rPr>
        <w:t xml:space="preserve"> </w:t>
      </w:r>
      <w:r>
        <w:t>school staff reported</w:t>
      </w:r>
      <w:r>
        <w:rPr>
          <w:spacing w:val="-1"/>
        </w:rPr>
        <w:t xml:space="preserve"> </w:t>
      </w:r>
      <w:r>
        <w:t>an increase in</w:t>
      </w:r>
      <w:r>
        <w:rPr>
          <w:spacing w:val="-2"/>
        </w:rPr>
        <w:t xml:space="preserve"> </w:t>
      </w:r>
      <w:r>
        <w:t>the number</w:t>
      </w:r>
      <w:r>
        <w:rPr>
          <w:spacing w:val="-1"/>
        </w:rPr>
        <w:t xml:space="preserve"> </w:t>
      </w:r>
      <w:r>
        <w:t>of times</w:t>
      </w:r>
      <w:r>
        <w:rPr>
          <w:spacing w:val="-1"/>
        </w:rPr>
        <w:t xml:space="preserve"> </w:t>
      </w:r>
      <w:r>
        <w:t>they intervened when students were being teased, harassed, or bullied by students labeling them as LGBTQ.</w:t>
      </w:r>
      <w:hyperlink w:anchor="_bookmark84" w:history="1">
        <w:r>
          <w:rPr>
            <w:vertAlign w:val="superscript"/>
          </w:rPr>
          <w:t>48</w:t>
        </w:r>
      </w:hyperlink>
      <w:r>
        <w:rPr>
          <w:spacing w:val="40"/>
        </w:rPr>
        <w:t xml:space="preserve"> </w:t>
      </w:r>
      <w:r>
        <w:t>After receiving training from the Safe Schools Program for LGBTQ Students, 88% of participants say they develop</w:t>
      </w:r>
      <w:r>
        <w:rPr>
          <w:spacing w:val="-12"/>
        </w:rPr>
        <w:t xml:space="preserve"> </w:t>
      </w:r>
      <w:r>
        <w:t>eithe</w:t>
      </w:r>
      <w:r>
        <w:t>r</w:t>
      </w:r>
      <w:r>
        <w:rPr>
          <w:spacing w:val="-13"/>
        </w:rPr>
        <w:t xml:space="preserve"> </w:t>
      </w:r>
      <w:r>
        <w:t>“some”</w:t>
      </w:r>
      <w:r>
        <w:rPr>
          <w:spacing w:val="-9"/>
        </w:rPr>
        <w:t xml:space="preserve"> </w:t>
      </w:r>
      <w:r>
        <w:t>or</w:t>
      </w:r>
      <w:r>
        <w:rPr>
          <w:spacing w:val="-13"/>
        </w:rPr>
        <w:t xml:space="preserve"> </w:t>
      </w:r>
      <w:r>
        <w:t>“a</w:t>
      </w:r>
      <w:r>
        <w:rPr>
          <w:spacing w:val="-11"/>
        </w:rPr>
        <w:t xml:space="preserve"> </w:t>
      </w:r>
      <w:r>
        <w:t>lot”</w:t>
      </w:r>
      <w:r>
        <w:rPr>
          <w:spacing w:val="-9"/>
        </w:rPr>
        <w:t xml:space="preserve"> </w:t>
      </w:r>
      <w:r>
        <w:t>of</w:t>
      </w:r>
      <w:r>
        <w:rPr>
          <w:spacing w:val="-11"/>
        </w:rPr>
        <w:t xml:space="preserve"> </w:t>
      </w:r>
      <w:r>
        <w:t>skills</w:t>
      </w:r>
      <w:r>
        <w:rPr>
          <w:spacing w:val="-10"/>
        </w:rPr>
        <w:t xml:space="preserve"> </w:t>
      </w:r>
      <w:r>
        <w:t>to</w:t>
      </w:r>
      <w:r>
        <w:rPr>
          <w:spacing w:val="-9"/>
        </w:rPr>
        <w:t xml:space="preserve"> </w:t>
      </w:r>
      <w:r>
        <w:t>respond</w:t>
      </w:r>
      <w:r>
        <w:rPr>
          <w:spacing w:val="-11"/>
        </w:rPr>
        <w:t xml:space="preserve"> </w:t>
      </w:r>
      <w:r>
        <w:t>to</w:t>
      </w:r>
      <w:r>
        <w:rPr>
          <w:spacing w:val="-12"/>
        </w:rPr>
        <w:t xml:space="preserve"> </w:t>
      </w:r>
      <w:r>
        <w:t>bias-based</w:t>
      </w:r>
      <w:r>
        <w:rPr>
          <w:spacing w:val="-11"/>
        </w:rPr>
        <w:t xml:space="preserve"> </w:t>
      </w:r>
      <w:r>
        <w:t>bullying</w:t>
      </w:r>
      <w:r>
        <w:rPr>
          <w:spacing w:val="-11"/>
        </w:rPr>
        <w:t xml:space="preserve"> </w:t>
      </w:r>
      <w:r>
        <w:t>—</w:t>
      </w:r>
      <w:r>
        <w:rPr>
          <w:spacing w:val="-11"/>
        </w:rPr>
        <w:t xml:space="preserve"> </w:t>
      </w:r>
      <w:r>
        <w:t>and</w:t>
      </w:r>
      <w:r>
        <w:rPr>
          <w:spacing w:val="-9"/>
        </w:rPr>
        <w:t xml:space="preserve"> </w:t>
      </w:r>
      <w:r>
        <w:t>89%</w:t>
      </w:r>
      <w:r>
        <w:rPr>
          <w:spacing w:val="-10"/>
        </w:rPr>
        <w:t xml:space="preserve"> </w:t>
      </w:r>
      <w:r>
        <w:t>say</w:t>
      </w:r>
      <w:r>
        <w:rPr>
          <w:spacing w:val="-10"/>
        </w:rPr>
        <w:t xml:space="preserve"> </w:t>
      </w:r>
      <w:r>
        <w:t>they</w:t>
      </w:r>
      <w:r>
        <w:rPr>
          <w:spacing w:val="-12"/>
        </w:rPr>
        <w:t xml:space="preserve"> </w:t>
      </w:r>
      <w:r>
        <w:t>will</w:t>
      </w:r>
      <w:r>
        <w:rPr>
          <w:spacing w:val="-11"/>
        </w:rPr>
        <w:t xml:space="preserve"> </w:t>
      </w:r>
      <w:r>
        <w:t>change their practice/policies based on</w:t>
      </w:r>
      <w:r>
        <w:rPr>
          <w:spacing w:val="-2"/>
        </w:rPr>
        <w:t xml:space="preserve"> </w:t>
      </w:r>
      <w:r>
        <w:t>what they heard</w:t>
      </w:r>
      <w:r>
        <w:rPr>
          <w:spacing w:val="-2"/>
        </w:rPr>
        <w:t xml:space="preserve"> </w:t>
      </w:r>
      <w:r>
        <w:t>or</w:t>
      </w:r>
      <w:r>
        <w:rPr>
          <w:spacing w:val="-1"/>
        </w:rPr>
        <w:t xml:space="preserve"> </w:t>
      </w:r>
      <w:r>
        <w:t>talked about during the training.</w:t>
      </w:r>
      <w:hyperlink w:anchor="_bookmark85" w:history="1">
        <w:r>
          <w:rPr>
            <w:vertAlign w:val="superscript"/>
          </w:rPr>
          <w:t>49</w:t>
        </w:r>
      </w:hyperlink>
      <w:r>
        <w:rPr>
          <w:spacing w:val="40"/>
        </w:rPr>
        <w:t xml:space="preserve"> </w:t>
      </w:r>
      <w:r>
        <w:t>In a</w:t>
      </w:r>
      <w:r>
        <w:rPr>
          <w:spacing w:val="-1"/>
        </w:rPr>
        <w:t xml:space="preserve"> </w:t>
      </w:r>
      <w:r>
        <w:t>case study</w:t>
      </w:r>
      <w:r>
        <w:rPr>
          <w:spacing w:val="-2"/>
        </w:rPr>
        <w:t xml:space="preserve"> </w:t>
      </w:r>
      <w:r>
        <w:t>of the Welcoming Schools p</w:t>
      </w:r>
      <w:r>
        <w:t>rogram, which offers similar training to the Safe Schools Program for LGBTQ Students, schools that completed the training experienced a 50% reduction in bullying behavior within two years.</w:t>
      </w:r>
      <w:hyperlink w:anchor="_bookmark86" w:history="1">
        <w:r>
          <w:rPr>
            <w:vertAlign w:val="superscript"/>
          </w:rPr>
          <w:t>50</w:t>
        </w:r>
      </w:hyperlink>
    </w:p>
    <w:p w:rsidR="00200FDA" w:rsidRDefault="00200FDA">
      <w:pPr>
        <w:pStyle w:val="BodyText"/>
        <w:spacing w:before="7"/>
        <w:rPr>
          <w:sz w:val="32"/>
        </w:rPr>
      </w:pPr>
    </w:p>
    <w:p w:rsidR="00200FDA" w:rsidRDefault="00F76C4C">
      <w:pPr>
        <w:pStyle w:val="BodyText"/>
        <w:ind w:left="139" w:right="135"/>
        <w:jc w:val="both"/>
      </w:pPr>
      <w:r>
        <w:t>While the Welcoming School study is one of the few that looked at the long-term effects of professional development training, the researchers do not explain how they measured bullying reduction. In most studies, the data is collected through self-reporting</w:t>
      </w:r>
      <w:r>
        <w:t>. This is a limitation since there can be a discrepancy between</w:t>
      </w:r>
      <w:r>
        <w:rPr>
          <w:spacing w:val="-4"/>
        </w:rPr>
        <w:t xml:space="preserve"> </w:t>
      </w:r>
      <w:r>
        <w:t>what</w:t>
      </w:r>
      <w:r>
        <w:rPr>
          <w:spacing w:val="-3"/>
        </w:rPr>
        <w:t xml:space="preserve"> </w:t>
      </w:r>
      <w:r>
        <w:t>school</w:t>
      </w:r>
      <w:r>
        <w:rPr>
          <w:spacing w:val="-4"/>
        </w:rPr>
        <w:t xml:space="preserve"> </w:t>
      </w:r>
      <w:r>
        <w:t>staff</w:t>
      </w:r>
      <w:r>
        <w:rPr>
          <w:spacing w:val="-6"/>
        </w:rPr>
        <w:t xml:space="preserve"> </w:t>
      </w:r>
      <w:r>
        <w:t>say</w:t>
      </w:r>
      <w:r>
        <w:rPr>
          <w:spacing w:val="-3"/>
        </w:rPr>
        <w:t xml:space="preserve"> </w:t>
      </w:r>
      <w:r>
        <w:t>they</w:t>
      </w:r>
      <w:r>
        <w:rPr>
          <w:spacing w:val="-2"/>
        </w:rPr>
        <w:t xml:space="preserve"> </w:t>
      </w:r>
      <w:r>
        <w:t>did</w:t>
      </w:r>
      <w:r>
        <w:rPr>
          <w:spacing w:val="-4"/>
        </w:rPr>
        <w:t xml:space="preserve"> </w:t>
      </w:r>
      <w:r>
        <w:t>(or</w:t>
      </w:r>
      <w:r>
        <w:rPr>
          <w:spacing w:val="-3"/>
        </w:rPr>
        <w:t xml:space="preserve"> </w:t>
      </w:r>
      <w:r>
        <w:t>will</w:t>
      </w:r>
      <w:r>
        <w:rPr>
          <w:spacing w:val="-4"/>
        </w:rPr>
        <w:t xml:space="preserve"> </w:t>
      </w:r>
      <w:r>
        <w:t>do)</w:t>
      </w:r>
      <w:r>
        <w:rPr>
          <w:spacing w:val="-3"/>
        </w:rPr>
        <w:t xml:space="preserve"> </w:t>
      </w:r>
      <w:r>
        <w:t>and</w:t>
      </w:r>
      <w:r>
        <w:rPr>
          <w:spacing w:val="-4"/>
        </w:rPr>
        <w:t xml:space="preserve"> </w:t>
      </w:r>
      <w:r>
        <w:t>what</w:t>
      </w:r>
      <w:r>
        <w:rPr>
          <w:spacing w:val="-3"/>
        </w:rPr>
        <w:t xml:space="preserve"> </w:t>
      </w:r>
      <w:r>
        <w:t>they</w:t>
      </w:r>
      <w:r>
        <w:rPr>
          <w:spacing w:val="-2"/>
        </w:rPr>
        <w:t xml:space="preserve"> </w:t>
      </w:r>
      <w:r>
        <w:t>actually</w:t>
      </w:r>
      <w:r>
        <w:rPr>
          <w:spacing w:val="-3"/>
        </w:rPr>
        <w:t xml:space="preserve"> </w:t>
      </w:r>
      <w:r>
        <w:t>do</w:t>
      </w:r>
      <w:r>
        <w:rPr>
          <w:spacing w:val="-2"/>
        </w:rPr>
        <w:t xml:space="preserve"> </w:t>
      </w:r>
      <w:r>
        <w:t>—</w:t>
      </w:r>
      <w:r>
        <w:rPr>
          <w:spacing w:val="-4"/>
        </w:rPr>
        <w:t xml:space="preserve"> </w:t>
      </w:r>
      <w:r>
        <w:t>especially</w:t>
      </w:r>
      <w:r>
        <w:rPr>
          <w:spacing w:val="-5"/>
        </w:rPr>
        <w:t xml:space="preserve"> </w:t>
      </w:r>
      <w:r>
        <w:t>when</w:t>
      </w:r>
      <w:r>
        <w:rPr>
          <w:spacing w:val="-4"/>
        </w:rPr>
        <w:t xml:space="preserve"> </w:t>
      </w:r>
      <w:r>
        <w:t>it</w:t>
      </w:r>
      <w:r>
        <w:rPr>
          <w:spacing w:val="-3"/>
        </w:rPr>
        <w:t xml:space="preserve"> </w:t>
      </w:r>
      <w:r>
        <w:t>comes to advocating for LGBTQ youth or intervening in anti-LGBTQ bullying and harassment.</w:t>
      </w:r>
      <w:hyperlink w:anchor="_bookmark87" w:history="1">
        <w:r>
          <w:rPr>
            <w:vertAlign w:val="superscript"/>
          </w:rPr>
          <w:t>51</w:t>
        </w:r>
      </w:hyperlink>
      <w:r>
        <w:rPr>
          <w:spacing w:val="-2"/>
        </w:rPr>
        <w:t xml:space="preserve"> </w:t>
      </w:r>
      <w:r>
        <w:t>Some experts claim that it’s more realistic to change knowledge and awareness through a professional development training than actual behaviors.</w:t>
      </w:r>
      <w:hyperlink w:anchor="_bookmark88" w:history="1">
        <w:r>
          <w:rPr>
            <w:vertAlign w:val="superscript"/>
          </w:rPr>
          <w:t>52</w:t>
        </w:r>
      </w:hyperlink>
      <w:r>
        <w:rPr>
          <w:spacing w:val="-11"/>
        </w:rPr>
        <w:t xml:space="preserve"> </w:t>
      </w:r>
      <w:r>
        <w:t>For example, results from the Commission’s Safe School e</w:t>
      </w:r>
      <w:r>
        <w:t>valuations indicate that participants had the least understanding of developing bullying intervention skills.</w:t>
      </w:r>
      <w:hyperlink w:anchor="_bookmark89" w:history="1">
        <w:r>
          <w:rPr>
            <w:vertAlign w:val="superscript"/>
          </w:rPr>
          <w:t>53</w:t>
        </w:r>
      </w:hyperlink>
      <w:r>
        <w:rPr>
          <w:spacing w:val="-3"/>
        </w:rPr>
        <w:t xml:space="preserve"> </w:t>
      </w:r>
      <w:r>
        <w:t>More ongoing trainings and practice are called for to build skills that affect behavior change for supporting LGB</w:t>
      </w:r>
      <w:r>
        <w:t>TQ youth.</w:t>
      </w:r>
      <w:hyperlink w:anchor="_bookmark90" w:history="1">
        <w:r>
          <w:rPr>
            <w:vertAlign w:val="superscript"/>
          </w:rPr>
          <w:t>54</w:t>
        </w:r>
      </w:hyperlink>
    </w:p>
    <w:p w:rsidR="00200FDA" w:rsidRDefault="00200FDA">
      <w:pPr>
        <w:jc w:val="both"/>
        <w:sectPr w:rsidR="00200FDA">
          <w:pgSz w:w="12240" w:h="15840"/>
          <w:pgMar w:top="1360" w:right="1300" w:bottom="1380" w:left="1300" w:header="761" w:footer="1132" w:gutter="0"/>
          <w:cols w:space="720"/>
        </w:sectPr>
      </w:pPr>
    </w:p>
    <w:p w:rsidR="00200FDA" w:rsidRDefault="00F76C4C">
      <w:pPr>
        <w:pStyle w:val="BodyText"/>
        <w:spacing w:before="64"/>
        <w:ind w:left="139" w:right="130"/>
        <w:jc w:val="both"/>
      </w:pPr>
      <w:r>
        <w:lastRenderedPageBreak/>
        <w:t>There is evidence that LGBTQ-focused professional development trainings can positively impact school climate,</w:t>
      </w:r>
      <w:r>
        <w:rPr>
          <w:spacing w:val="-6"/>
        </w:rPr>
        <w:t xml:space="preserve"> </w:t>
      </w:r>
      <w:r>
        <w:t>especially</w:t>
      </w:r>
      <w:r>
        <w:rPr>
          <w:spacing w:val="-5"/>
        </w:rPr>
        <w:t xml:space="preserve"> </w:t>
      </w:r>
      <w:r>
        <w:t>compared</w:t>
      </w:r>
      <w:r>
        <w:rPr>
          <w:spacing w:val="-4"/>
        </w:rPr>
        <w:t xml:space="preserve"> </w:t>
      </w:r>
      <w:r>
        <w:t>to</w:t>
      </w:r>
      <w:r>
        <w:rPr>
          <w:spacing w:val="-2"/>
        </w:rPr>
        <w:t xml:space="preserve"> </w:t>
      </w:r>
      <w:r>
        <w:t>schools</w:t>
      </w:r>
      <w:r>
        <w:rPr>
          <w:spacing w:val="-6"/>
        </w:rPr>
        <w:t xml:space="preserve"> </w:t>
      </w:r>
      <w:r>
        <w:t>without</w:t>
      </w:r>
      <w:r>
        <w:rPr>
          <w:spacing w:val="-5"/>
        </w:rPr>
        <w:t xml:space="preserve"> </w:t>
      </w:r>
      <w:r>
        <w:t>this</w:t>
      </w:r>
      <w:r>
        <w:rPr>
          <w:spacing w:val="-6"/>
        </w:rPr>
        <w:t xml:space="preserve"> </w:t>
      </w:r>
      <w:r>
        <w:t>training.</w:t>
      </w:r>
      <w:hyperlink w:anchor="_bookmark91" w:history="1">
        <w:r>
          <w:rPr>
            <w:vertAlign w:val="superscript"/>
          </w:rPr>
          <w:t>55</w:t>
        </w:r>
      </w:hyperlink>
      <w:r>
        <w:rPr>
          <w:spacing w:val="40"/>
        </w:rPr>
        <w:t xml:space="preserve"> </w:t>
      </w:r>
      <w:r>
        <w:t>Sc</w:t>
      </w:r>
      <w:r>
        <w:t>hool</w:t>
      </w:r>
      <w:r>
        <w:rPr>
          <w:spacing w:val="-6"/>
        </w:rPr>
        <w:t xml:space="preserve"> </w:t>
      </w:r>
      <w:r>
        <w:t>staff</w:t>
      </w:r>
      <w:r>
        <w:rPr>
          <w:spacing w:val="-6"/>
        </w:rPr>
        <w:t xml:space="preserve"> </w:t>
      </w:r>
      <w:r>
        <w:t>who</w:t>
      </w:r>
      <w:r>
        <w:rPr>
          <w:spacing w:val="-5"/>
        </w:rPr>
        <w:t xml:space="preserve"> </w:t>
      </w:r>
      <w:r>
        <w:t>experience</w:t>
      </w:r>
      <w:r>
        <w:rPr>
          <w:spacing w:val="-5"/>
        </w:rPr>
        <w:t xml:space="preserve"> </w:t>
      </w:r>
      <w:r>
        <w:t>trainings</w:t>
      </w:r>
      <w:r>
        <w:rPr>
          <w:spacing w:val="-6"/>
        </w:rPr>
        <w:t xml:space="preserve"> </w:t>
      </w:r>
      <w:r>
        <w:t>say they engage more in activities to create safer schools for LGBTQ students, such as supporting GSAs and including LGBTQ content in the curriculum.</w:t>
      </w:r>
      <w:hyperlink w:anchor="_bookmark92" w:history="1">
        <w:r>
          <w:rPr>
            <w:vertAlign w:val="superscript"/>
          </w:rPr>
          <w:t>56</w:t>
        </w:r>
      </w:hyperlink>
      <w:r>
        <w:rPr>
          <w:spacing w:val="-2"/>
        </w:rPr>
        <w:t xml:space="preserve"> </w:t>
      </w:r>
      <w:r>
        <w:t>Twenty years ago, researcher Laura A. Szalacha conducted</w:t>
      </w:r>
      <w:r>
        <w:rPr>
          <w:spacing w:val="40"/>
        </w:rPr>
        <w:t xml:space="preserve"> </w:t>
      </w:r>
      <w:r>
        <w:t>a</w:t>
      </w:r>
      <w:r>
        <w:rPr>
          <w:spacing w:val="-1"/>
        </w:rPr>
        <w:t xml:space="preserve"> </w:t>
      </w:r>
      <w:r>
        <w:t>mixed</w:t>
      </w:r>
      <w:r>
        <w:rPr>
          <w:spacing w:val="-4"/>
        </w:rPr>
        <w:t xml:space="preserve"> </w:t>
      </w:r>
      <w:r>
        <w:t>methods</w:t>
      </w:r>
      <w:r>
        <w:rPr>
          <w:spacing w:val="-3"/>
        </w:rPr>
        <w:t xml:space="preserve"> </w:t>
      </w:r>
      <w:r>
        <w:t>study</w:t>
      </w:r>
      <w:r>
        <w:rPr>
          <w:spacing w:val="-2"/>
        </w:rPr>
        <w:t xml:space="preserve"> </w:t>
      </w:r>
      <w:r>
        <w:t>on</w:t>
      </w:r>
      <w:r>
        <w:rPr>
          <w:spacing w:val="-4"/>
        </w:rPr>
        <w:t xml:space="preserve"> </w:t>
      </w:r>
      <w:r>
        <w:t>the Safe</w:t>
      </w:r>
      <w:r>
        <w:rPr>
          <w:spacing w:val="-3"/>
        </w:rPr>
        <w:t xml:space="preserve"> </w:t>
      </w:r>
      <w:r>
        <w:t>Schools</w:t>
      </w:r>
      <w:r>
        <w:rPr>
          <w:spacing w:val="-3"/>
        </w:rPr>
        <w:t xml:space="preserve"> </w:t>
      </w:r>
      <w:r>
        <w:t>Program for</w:t>
      </w:r>
      <w:r>
        <w:rPr>
          <w:spacing w:val="-3"/>
        </w:rPr>
        <w:t xml:space="preserve"> </w:t>
      </w:r>
      <w:r>
        <w:t>LGBTQ</w:t>
      </w:r>
      <w:r>
        <w:rPr>
          <w:spacing w:val="-3"/>
        </w:rPr>
        <w:t xml:space="preserve"> </w:t>
      </w:r>
      <w:r>
        <w:t>Students.</w:t>
      </w:r>
      <w:hyperlink w:anchor="_bookmark93" w:history="1">
        <w:r>
          <w:rPr>
            <w:vertAlign w:val="superscript"/>
          </w:rPr>
          <w:t>57</w:t>
        </w:r>
      </w:hyperlink>
      <w:r>
        <w:rPr>
          <w:spacing w:val="-2"/>
        </w:rPr>
        <w:t xml:space="preserve"> </w:t>
      </w:r>
      <w:r>
        <w:t>The results</w:t>
      </w:r>
      <w:r>
        <w:rPr>
          <w:spacing w:val="-1"/>
        </w:rPr>
        <w:t xml:space="preserve"> </w:t>
      </w:r>
      <w:r>
        <w:t>state</w:t>
      </w:r>
      <w:r>
        <w:rPr>
          <w:spacing w:val="-3"/>
        </w:rPr>
        <w:t xml:space="preserve"> </w:t>
      </w:r>
      <w:r>
        <w:t>that schools that receive training from the Safe Schools Program for LGBTQ Stu</w:t>
      </w:r>
      <w:r>
        <w:t>dents have more positive “sexual diversity</w:t>
      </w:r>
      <w:r>
        <w:rPr>
          <w:spacing w:val="-4"/>
        </w:rPr>
        <w:t xml:space="preserve"> </w:t>
      </w:r>
      <w:r>
        <w:t>climates,”</w:t>
      </w:r>
      <w:r>
        <w:rPr>
          <w:spacing w:val="-6"/>
        </w:rPr>
        <w:t xml:space="preserve"> </w:t>
      </w:r>
      <w:r>
        <w:t>meaning</w:t>
      </w:r>
      <w:r>
        <w:rPr>
          <w:spacing w:val="-6"/>
        </w:rPr>
        <w:t xml:space="preserve"> </w:t>
      </w:r>
      <w:r>
        <w:t>greater</w:t>
      </w:r>
      <w:r>
        <w:rPr>
          <w:spacing w:val="-8"/>
        </w:rPr>
        <w:t xml:space="preserve"> </w:t>
      </w:r>
      <w:r>
        <w:t>tolerance</w:t>
      </w:r>
      <w:r>
        <w:rPr>
          <w:spacing w:val="-5"/>
        </w:rPr>
        <w:t xml:space="preserve"> </w:t>
      </w:r>
      <w:r>
        <w:t>and</w:t>
      </w:r>
      <w:r>
        <w:rPr>
          <w:spacing w:val="-6"/>
        </w:rPr>
        <w:t xml:space="preserve"> </w:t>
      </w:r>
      <w:r>
        <w:t>lower</w:t>
      </w:r>
      <w:r>
        <w:rPr>
          <w:spacing w:val="-5"/>
        </w:rPr>
        <w:t xml:space="preserve"> </w:t>
      </w:r>
      <w:r>
        <w:t>sexual</w:t>
      </w:r>
      <w:r>
        <w:rPr>
          <w:spacing w:val="-6"/>
        </w:rPr>
        <w:t xml:space="preserve"> </w:t>
      </w:r>
      <w:r>
        <w:t>prejudice.</w:t>
      </w:r>
      <w:r>
        <w:rPr>
          <w:spacing w:val="-6"/>
        </w:rPr>
        <w:t xml:space="preserve"> </w:t>
      </w:r>
      <w:r>
        <w:t>Importantly,</w:t>
      </w:r>
      <w:r>
        <w:rPr>
          <w:spacing w:val="-5"/>
        </w:rPr>
        <w:t xml:space="preserve"> </w:t>
      </w:r>
      <w:r>
        <w:t>students</w:t>
      </w:r>
      <w:r>
        <w:rPr>
          <w:spacing w:val="-8"/>
        </w:rPr>
        <w:t xml:space="preserve"> </w:t>
      </w:r>
      <w:r>
        <w:t>at</w:t>
      </w:r>
      <w:r>
        <w:rPr>
          <w:spacing w:val="-7"/>
        </w:rPr>
        <w:t xml:space="preserve"> </w:t>
      </w:r>
      <w:r>
        <w:t>these schools</w:t>
      </w:r>
      <w:r>
        <w:rPr>
          <w:spacing w:val="-4"/>
        </w:rPr>
        <w:t xml:space="preserve"> </w:t>
      </w:r>
      <w:r>
        <w:t>report</w:t>
      </w:r>
      <w:r>
        <w:rPr>
          <w:spacing w:val="-4"/>
        </w:rPr>
        <w:t xml:space="preserve"> </w:t>
      </w:r>
      <w:r>
        <w:t>feeling</w:t>
      </w:r>
      <w:r>
        <w:rPr>
          <w:spacing w:val="-5"/>
        </w:rPr>
        <w:t xml:space="preserve"> </w:t>
      </w:r>
      <w:r>
        <w:t>more</w:t>
      </w:r>
      <w:r>
        <w:rPr>
          <w:spacing w:val="-4"/>
        </w:rPr>
        <w:t xml:space="preserve"> </w:t>
      </w:r>
      <w:r>
        <w:t>supported</w:t>
      </w:r>
      <w:r>
        <w:rPr>
          <w:spacing w:val="-5"/>
        </w:rPr>
        <w:t xml:space="preserve"> </w:t>
      </w:r>
      <w:r>
        <w:t>by</w:t>
      </w:r>
      <w:r>
        <w:rPr>
          <w:spacing w:val="-3"/>
        </w:rPr>
        <w:t xml:space="preserve"> </w:t>
      </w:r>
      <w:r>
        <w:t>teachers</w:t>
      </w:r>
      <w:r>
        <w:rPr>
          <w:spacing w:val="-4"/>
        </w:rPr>
        <w:t xml:space="preserve"> </w:t>
      </w:r>
      <w:r>
        <w:t>and</w:t>
      </w:r>
      <w:r>
        <w:rPr>
          <w:spacing w:val="-5"/>
        </w:rPr>
        <w:t xml:space="preserve"> </w:t>
      </w:r>
      <w:r>
        <w:t>counselors</w:t>
      </w:r>
      <w:r>
        <w:rPr>
          <w:spacing w:val="-4"/>
        </w:rPr>
        <w:t xml:space="preserve"> </w:t>
      </w:r>
      <w:r>
        <w:t>and</w:t>
      </w:r>
      <w:r>
        <w:rPr>
          <w:spacing w:val="-5"/>
        </w:rPr>
        <w:t xml:space="preserve"> </w:t>
      </w:r>
      <w:r>
        <w:t>believe</w:t>
      </w:r>
      <w:r>
        <w:rPr>
          <w:spacing w:val="-4"/>
        </w:rPr>
        <w:t xml:space="preserve"> </w:t>
      </w:r>
      <w:r>
        <w:t>their</w:t>
      </w:r>
      <w:r>
        <w:rPr>
          <w:spacing w:val="-5"/>
        </w:rPr>
        <w:t xml:space="preserve"> </w:t>
      </w:r>
      <w:r>
        <w:t>school</w:t>
      </w:r>
      <w:r>
        <w:rPr>
          <w:spacing w:val="-5"/>
        </w:rPr>
        <w:t xml:space="preserve"> </w:t>
      </w:r>
      <w:r>
        <w:t>is</w:t>
      </w:r>
      <w:r>
        <w:rPr>
          <w:spacing w:val="-4"/>
        </w:rPr>
        <w:t xml:space="preserve"> </w:t>
      </w:r>
      <w:r>
        <w:t>safer</w:t>
      </w:r>
      <w:r>
        <w:rPr>
          <w:spacing w:val="-4"/>
        </w:rPr>
        <w:t xml:space="preserve"> </w:t>
      </w:r>
      <w:r>
        <w:t>with</w:t>
      </w:r>
      <w:r>
        <w:rPr>
          <w:spacing w:val="-5"/>
        </w:rPr>
        <w:t xml:space="preserve"> </w:t>
      </w:r>
      <w:r>
        <w:t>a less sexually prejudiced environment. This is the only study reviewed that measures the effectiveness of professional development trainings from the perspective of students.</w:t>
      </w:r>
    </w:p>
    <w:p w:rsidR="00200FDA" w:rsidRDefault="00200FDA">
      <w:pPr>
        <w:pStyle w:val="BodyText"/>
      </w:pPr>
    </w:p>
    <w:p w:rsidR="00200FDA" w:rsidRDefault="00200FDA">
      <w:pPr>
        <w:pStyle w:val="BodyText"/>
      </w:pPr>
    </w:p>
    <w:p w:rsidR="00200FDA" w:rsidRDefault="00200FDA">
      <w:pPr>
        <w:pStyle w:val="BodyText"/>
      </w:pPr>
    </w:p>
    <w:p w:rsidR="00200FDA" w:rsidRDefault="00200FDA">
      <w:pPr>
        <w:pStyle w:val="BodyText"/>
        <w:spacing w:before="9"/>
        <w:rPr>
          <w:sz w:val="21"/>
        </w:rPr>
      </w:pPr>
    </w:p>
    <w:p w:rsidR="00200FDA" w:rsidRDefault="00F76C4C">
      <w:pPr>
        <w:pStyle w:val="Heading7"/>
        <w:ind w:left="140"/>
        <w:jc w:val="both"/>
      </w:pPr>
      <w:r>
        <w:pict>
          <v:rect id="docshape192" o:spid="_x0000_s1368" style="position:absolute;left:0;text-align:left;margin-left:70.55pt;margin-top:18pt;width:470.9pt;height:.5pt;z-index:-15711744;mso-wrap-distance-left:0;mso-wrap-distance-right:0;mso-position-horizontal-relative:page" fillcolor="#4f81bc" stroked="f">
            <w10:wrap type="topAndBottom" anchorx="page"/>
          </v:rect>
        </w:pict>
      </w:r>
      <w:r>
        <w:rPr>
          <w:color w:val="365F91"/>
        </w:rPr>
        <w:t>Acknowledgments</w:t>
      </w:r>
      <w:r>
        <w:rPr>
          <w:color w:val="365F91"/>
          <w:spacing w:val="-9"/>
        </w:rPr>
        <w:t xml:space="preserve"> </w:t>
      </w:r>
      <w:r>
        <w:rPr>
          <w:color w:val="365F91"/>
        </w:rPr>
        <w:t>&amp;</w:t>
      </w:r>
      <w:r>
        <w:rPr>
          <w:color w:val="365F91"/>
          <w:spacing w:val="-8"/>
        </w:rPr>
        <w:t xml:space="preserve"> </w:t>
      </w:r>
      <w:r>
        <w:rPr>
          <w:color w:val="365F91"/>
          <w:spacing w:val="-2"/>
        </w:rPr>
        <w:t>Citations</w:t>
      </w:r>
    </w:p>
    <w:p w:rsidR="00200FDA" w:rsidRDefault="00200FDA">
      <w:pPr>
        <w:pStyle w:val="BodyText"/>
        <w:spacing w:before="2"/>
        <w:rPr>
          <w:sz w:val="28"/>
        </w:rPr>
      </w:pPr>
    </w:p>
    <w:p w:rsidR="00200FDA" w:rsidRDefault="00F76C4C">
      <w:pPr>
        <w:spacing w:before="56"/>
        <w:ind w:left="139" w:right="135"/>
        <w:jc w:val="both"/>
        <w:rPr>
          <w:i/>
        </w:rPr>
      </w:pPr>
      <w:r>
        <w:rPr>
          <w:i/>
        </w:rPr>
        <w:t>Acknowledgments: Kimm Topping, Safe Schools Pr</w:t>
      </w:r>
      <w:r>
        <w:rPr>
          <w:i/>
        </w:rPr>
        <w:t>ogram Manager, and lead researcher and author of Uplifting Education Report; Max Tang, Social Work Intern and co-author; Cas Martin, Western MA Lead Trainer and co-author</w:t>
      </w:r>
    </w:p>
    <w:p w:rsidR="00200FDA" w:rsidRDefault="00200FDA">
      <w:pPr>
        <w:pStyle w:val="BodyText"/>
        <w:rPr>
          <w:i/>
        </w:rPr>
      </w:pPr>
    </w:p>
    <w:p w:rsidR="00200FDA" w:rsidRDefault="00200FDA">
      <w:pPr>
        <w:pStyle w:val="BodyText"/>
        <w:rPr>
          <w:i/>
        </w:rPr>
      </w:pPr>
    </w:p>
    <w:p w:rsidR="00200FDA" w:rsidRDefault="00200FDA">
      <w:pPr>
        <w:pStyle w:val="BodyText"/>
        <w:spacing w:before="11"/>
        <w:rPr>
          <w:i/>
          <w:sz w:val="30"/>
        </w:rPr>
      </w:pPr>
    </w:p>
    <w:p w:rsidR="00200FDA" w:rsidRDefault="00F76C4C">
      <w:pPr>
        <w:spacing w:before="1"/>
        <w:ind w:left="140" w:right="654" w:hanging="1"/>
        <w:rPr>
          <w:sz w:val="18"/>
        </w:rPr>
      </w:pPr>
      <w:r>
        <w:rPr>
          <w:position w:val="5"/>
          <w:sz w:val="12"/>
        </w:rPr>
        <w:t>1</w:t>
      </w:r>
      <w:r>
        <w:rPr>
          <w:spacing w:val="9"/>
          <w:position w:val="5"/>
          <w:sz w:val="12"/>
        </w:rPr>
        <w:t xml:space="preserve"> </w:t>
      </w:r>
      <w:r>
        <w:rPr>
          <w:sz w:val="18"/>
        </w:rPr>
        <w:t>“Principles</w:t>
      </w:r>
      <w:r>
        <w:rPr>
          <w:spacing w:val="-4"/>
          <w:sz w:val="18"/>
        </w:rPr>
        <w:t xml:space="preserve"> </w:t>
      </w:r>
      <w:r>
        <w:rPr>
          <w:sz w:val="18"/>
        </w:rPr>
        <w:t>for</w:t>
      </w:r>
      <w:r>
        <w:rPr>
          <w:spacing w:val="-4"/>
          <w:sz w:val="18"/>
        </w:rPr>
        <w:t xml:space="preserve"> </w:t>
      </w:r>
      <w:r>
        <w:rPr>
          <w:sz w:val="18"/>
        </w:rPr>
        <w:t>Ensuring</w:t>
      </w:r>
      <w:r>
        <w:rPr>
          <w:spacing w:val="-2"/>
          <w:sz w:val="18"/>
        </w:rPr>
        <w:t xml:space="preserve"> </w:t>
      </w:r>
      <w:r>
        <w:rPr>
          <w:sz w:val="18"/>
        </w:rPr>
        <w:t>Safe</w:t>
      </w:r>
      <w:r>
        <w:rPr>
          <w:spacing w:val="-4"/>
          <w:sz w:val="18"/>
        </w:rPr>
        <w:t xml:space="preserve"> </w:t>
      </w:r>
      <w:r>
        <w:rPr>
          <w:sz w:val="18"/>
        </w:rPr>
        <w:t>and</w:t>
      </w:r>
      <w:r>
        <w:rPr>
          <w:spacing w:val="-2"/>
          <w:sz w:val="18"/>
        </w:rPr>
        <w:t xml:space="preserve"> </w:t>
      </w:r>
      <w:r>
        <w:rPr>
          <w:sz w:val="18"/>
        </w:rPr>
        <w:t>Supportive</w:t>
      </w:r>
      <w:r>
        <w:rPr>
          <w:spacing w:val="-4"/>
          <w:sz w:val="18"/>
        </w:rPr>
        <w:t xml:space="preserve"> </w:t>
      </w:r>
      <w:r>
        <w:rPr>
          <w:sz w:val="18"/>
        </w:rPr>
        <w:t>Learning</w:t>
      </w:r>
      <w:r>
        <w:rPr>
          <w:spacing w:val="-4"/>
          <w:sz w:val="18"/>
        </w:rPr>
        <w:t xml:space="preserve"> </w:t>
      </w:r>
      <w:r>
        <w:rPr>
          <w:sz w:val="18"/>
        </w:rPr>
        <w:t>Environments</w:t>
      </w:r>
      <w:r>
        <w:rPr>
          <w:spacing w:val="-4"/>
          <w:sz w:val="18"/>
        </w:rPr>
        <w:t xml:space="preserve"> </w:t>
      </w:r>
      <w:r>
        <w:rPr>
          <w:sz w:val="18"/>
        </w:rPr>
        <w:t>for</w:t>
      </w:r>
      <w:r>
        <w:rPr>
          <w:spacing w:val="-4"/>
          <w:sz w:val="18"/>
        </w:rPr>
        <w:t xml:space="preserve"> </w:t>
      </w:r>
      <w:r>
        <w:rPr>
          <w:sz w:val="18"/>
        </w:rPr>
        <w:t>Lesbian,</w:t>
      </w:r>
      <w:r>
        <w:rPr>
          <w:spacing w:val="-3"/>
          <w:sz w:val="18"/>
        </w:rPr>
        <w:t xml:space="preserve"> </w:t>
      </w:r>
      <w:r>
        <w:rPr>
          <w:sz w:val="18"/>
        </w:rPr>
        <w:t>Gay,</w:t>
      </w:r>
      <w:r>
        <w:rPr>
          <w:spacing w:val="-3"/>
          <w:sz w:val="18"/>
        </w:rPr>
        <w:t xml:space="preserve"> </w:t>
      </w:r>
      <w:r>
        <w:rPr>
          <w:sz w:val="18"/>
        </w:rPr>
        <w:t>Bisexual,</w:t>
      </w:r>
      <w:r>
        <w:rPr>
          <w:spacing w:val="-3"/>
          <w:sz w:val="18"/>
        </w:rPr>
        <w:t xml:space="preserve"> </w:t>
      </w:r>
      <w:r>
        <w:rPr>
          <w:sz w:val="18"/>
        </w:rPr>
        <w:t>Transgender,</w:t>
      </w:r>
      <w:r>
        <w:rPr>
          <w:spacing w:val="-3"/>
          <w:sz w:val="18"/>
        </w:rPr>
        <w:t xml:space="preserve"> </w:t>
      </w:r>
      <w:r>
        <w:rPr>
          <w:sz w:val="18"/>
        </w:rPr>
        <w:t>Queer,</w:t>
      </w:r>
      <w:r>
        <w:rPr>
          <w:spacing w:val="-3"/>
          <w:sz w:val="18"/>
        </w:rPr>
        <w:t xml:space="preserve"> </w:t>
      </w:r>
      <w:r>
        <w:rPr>
          <w:sz w:val="18"/>
        </w:rPr>
        <w:t xml:space="preserve">and Questioning (LGBTQ) Students - Student and Family Support (SFS),” accessed April 13, 2023, </w:t>
      </w:r>
      <w:r>
        <w:rPr>
          <w:spacing w:val="-2"/>
          <w:sz w:val="18"/>
        </w:rPr>
        <w:t>https://</w:t>
      </w:r>
      <w:hyperlink r:id="rId152">
        <w:r>
          <w:rPr>
            <w:spacing w:val="-2"/>
            <w:sz w:val="18"/>
          </w:rPr>
          <w:t>www.doe.mass.edu/sfs/lgbtq/Princi</w:t>
        </w:r>
        <w:r>
          <w:rPr>
            <w:spacing w:val="-2"/>
            <w:sz w:val="18"/>
          </w:rPr>
          <w:t>ples-SafeEnvironment.html.</w:t>
        </w:r>
      </w:hyperlink>
    </w:p>
    <w:p w:rsidR="00200FDA" w:rsidRDefault="00F76C4C">
      <w:pPr>
        <w:ind w:left="140" w:right="364" w:hanging="1"/>
        <w:rPr>
          <w:sz w:val="18"/>
        </w:rPr>
      </w:pPr>
      <w:r>
        <w:rPr>
          <w:position w:val="5"/>
          <w:sz w:val="12"/>
        </w:rPr>
        <w:t>2</w:t>
      </w:r>
      <w:r>
        <w:rPr>
          <w:spacing w:val="10"/>
          <w:position w:val="5"/>
          <w:sz w:val="12"/>
        </w:rPr>
        <w:t xml:space="preserve"> </w:t>
      </w:r>
      <w:r>
        <w:rPr>
          <w:sz w:val="18"/>
        </w:rPr>
        <w:t>GLSEN,</w:t>
      </w:r>
      <w:r>
        <w:rPr>
          <w:spacing w:val="-2"/>
          <w:sz w:val="18"/>
        </w:rPr>
        <w:t xml:space="preserve"> </w:t>
      </w:r>
      <w:r>
        <w:rPr>
          <w:sz w:val="18"/>
        </w:rPr>
        <w:t>“School</w:t>
      </w:r>
      <w:r>
        <w:rPr>
          <w:spacing w:val="-3"/>
          <w:sz w:val="18"/>
        </w:rPr>
        <w:t xml:space="preserve"> </w:t>
      </w:r>
      <w:r>
        <w:rPr>
          <w:sz w:val="18"/>
        </w:rPr>
        <w:t>Climate</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Students</w:t>
      </w:r>
      <w:r>
        <w:rPr>
          <w:spacing w:val="-1"/>
          <w:sz w:val="18"/>
        </w:rPr>
        <w:t xml:space="preserve"> </w:t>
      </w:r>
      <w:r>
        <w:rPr>
          <w:sz w:val="18"/>
        </w:rPr>
        <w:t>in</w:t>
      </w:r>
      <w:r>
        <w:rPr>
          <w:spacing w:val="-3"/>
          <w:sz w:val="18"/>
        </w:rPr>
        <w:t xml:space="preserve"> </w:t>
      </w:r>
      <w:r>
        <w:rPr>
          <w:sz w:val="18"/>
        </w:rPr>
        <w:t>Massachusetts</w:t>
      </w:r>
      <w:r>
        <w:rPr>
          <w:spacing w:val="-3"/>
          <w:sz w:val="18"/>
        </w:rPr>
        <w:t xml:space="preserve"> </w:t>
      </w:r>
      <w:r>
        <w:rPr>
          <w:sz w:val="18"/>
        </w:rPr>
        <w:t>-</w:t>
      </w:r>
      <w:r>
        <w:rPr>
          <w:spacing w:val="-3"/>
          <w:sz w:val="18"/>
        </w:rPr>
        <w:t xml:space="preserve"> </w:t>
      </w:r>
      <w:r>
        <w:rPr>
          <w:sz w:val="18"/>
        </w:rPr>
        <w:t>2021</w:t>
      </w:r>
      <w:r>
        <w:rPr>
          <w:spacing w:val="-2"/>
          <w:sz w:val="18"/>
        </w:rPr>
        <w:t xml:space="preserve"> </w:t>
      </w:r>
      <w:r>
        <w:rPr>
          <w:sz w:val="18"/>
        </w:rPr>
        <w:t>National</w:t>
      </w:r>
      <w:r>
        <w:rPr>
          <w:spacing w:val="-3"/>
          <w:sz w:val="18"/>
        </w:rPr>
        <w:t xml:space="preserve"> </w:t>
      </w:r>
      <w:r>
        <w:rPr>
          <w:sz w:val="18"/>
        </w:rPr>
        <w:t>School</w:t>
      </w:r>
      <w:r>
        <w:rPr>
          <w:spacing w:val="-3"/>
          <w:sz w:val="18"/>
        </w:rPr>
        <w:t xml:space="preserve"> </w:t>
      </w:r>
      <w:r>
        <w:rPr>
          <w:sz w:val="18"/>
        </w:rPr>
        <w:t>Climate</w:t>
      </w:r>
      <w:r>
        <w:rPr>
          <w:spacing w:val="-1"/>
          <w:sz w:val="18"/>
        </w:rPr>
        <w:t xml:space="preserve"> </w:t>
      </w:r>
      <w:r>
        <w:rPr>
          <w:sz w:val="18"/>
        </w:rPr>
        <w:t>Survey</w:t>
      </w:r>
      <w:r>
        <w:rPr>
          <w:spacing w:val="-2"/>
          <w:sz w:val="18"/>
        </w:rPr>
        <w:t xml:space="preserve"> </w:t>
      </w:r>
      <w:r>
        <w:rPr>
          <w:sz w:val="18"/>
        </w:rPr>
        <w:t>State</w:t>
      </w:r>
      <w:r>
        <w:rPr>
          <w:spacing w:val="-1"/>
          <w:sz w:val="18"/>
        </w:rPr>
        <w:t xml:space="preserve"> </w:t>
      </w:r>
      <w:r>
        <w:rPr>
          <w:sz w:val="18"/>
        </w:rPr>
        <w:t>Snapshot,”</w:t>
      </w:r>
      <w:r>
        <w:rPr>
          <w:spacing w:val="-3"/>
          <w:sz w:val="18"/>
        </w:rPr>
        <w:t xml:space="preserve"> </w:t>
      </w:r>
      <w:r>
        <w:rPr>
          <w:sz w:val="18"/>
        </w:rPr>
        <w:t xml:space="preserve">n.d., </w:t>
      </w:r>
      <w:r>
        <w:rPr>
          <w:spacing w:val="-2"/>
          <w:sz w:val="18"/>
        </w:rPr>
        <w:t>https://maps.glsen.org/wp-content/uploads/2023/02/GLSEN_2021_NSCS_State_Snapshots_MA.pdf.</w:t>
      </w:r>
    </w:p>
    <w:p w:rsidR="00200FDA" w:rsidRDefault="00F76C4C">
      <w:pPr>
        <w:ind w:left="140" w:right="368" w:hanging="1"/>
        <w:rPr>
          <w:sz w:val="18"/>
        </w:rPr>
      </w:pPr>
      <w:r>
        <w:rPr>
          <w:position w:val="5"/>
          <w:sz w:val="12"/>
        </w:rPr>
        <w:t>3</w:t>
      </w:r>
      <w:r>
        <w:rPr>
          <w:spacing w:val="10"/>
          <w:position w:val="5"/>
          <w:sz w:val="12"/>
        </w:rPr>
        <w:t xml:space="preserve"> </w:t>
      </w:r>
      <w:r>
        <w:rPr>
          <w:sz w:val="18"/>
        </w:rPr>
        <w:t>“Mapping</w:t>
      </w:r>
      <w:r>
        <w:rPr>
          <w:spacing w:val="-3"/>
          <w:sz w:val="18"/>
        </w:rPr>
        <w:t xml:space="preserve"> </w:t>
      </w:r>
      <w:r>
        <w:rPr>
          <w:sz w:val="18"/>
        </w:rPr>
        <w:t>Attacks</w:t>
      </w:r>
      <w:r>
        <w:rPr>
          <w:spacing w:val="-3"/>
          <w:sz w:val="18"/>
        </w:rPr>
        <w:t xml:space="preserve"> </w:t>
      </w:r>
      <w:r>
        <w:rPr>
          <w:sz w:val="18"/>
        </w:rPr>
        <w:t>on</w:t>
      </w:r>
      <w:r>
        <w:rPr>
          <w:spacing w:val="-3"/>
          <w:sz w:val="18"/>
        </w:rPr>
        <w:t xml:space="preserve"> </w:t>
      </w:r>
      <w:r>
        <w:rPr>
          <w:sz w:val="18"/>
        </w:rPr>
        <w:t>LGBTQ</w:t>
      </w:r>
      <w:r>
        <w:rPr>
          <w:spacing w:val="-3"/>
          <w:sz w:val="18"/>
        </w:rPr>
        <w:t xml:space="preserve"> </w:t>
      </w:r>
      <w:r>
        <w:rPr>
          <w:sz w:val="18"/>
        </w:rPr>
        <w:t>Rights</w:t>
      </w:r>
      <w:r>
        <w:rPr>
          <w:spacing w:val="-3"/>
          <w:sz w:val="18"/>
        </w:rPr>
        <w:t xml:space="preserve"> </w:t>
      </w:r>
      <w:r>
        <w:rPr>
          <w:sz w:val="18"/>
        </w:rPr>
        <w:t>in</w:t>
      </w:r>
      <w:r>
        <w:rPr>
          <w:spacing w:val="-1"/>
          <w:sz w:val="18"/>
        </w:rPr>
        <w:t xml:space="preserve"> </w:t>
      </w:r>
      <w:r>
        <w:rPr>
          <w:sz w:val="18"/>
        </w:rPr>
        <w:t>U.S.</w:t>
      </w:r>
      <w:r>
        <w:rPr>
          <w:spacing w:val="-2"/>
          <w:sz w:val="18"/>
        </w:rPr>
        <w:t xml:space="preserve"> </w:t>
      </w:r>
      <w:r>
        <w:rPr>
          <w:sz w:val="18"/>
        </w:rPr>
        <w:t>State</w:t>
      </w:r>
      <w:r>
        <w:rPr>
          <w:spacing w:val="-3"/>
          <w:sz w:val="18"/>
        </w:rPr>
        <w:t xml:space="preserve"> </w:t>
      </w:r>
      <w:r>
        <w:rPr>
          <w:sz w:val="18"/>
        </w:rPr>
        <w:t>Legislatures,”</w:t>
      </w:r>
      <w:r>
        <w:rPr>
          <w:spacing w:val="-3"/>
          <w:sz w:val="18"/>
        </w:rPr>
        <w:t xml:space="preserve"> </w:t>
      </w:r>
      <w:r>
        <w:rPr>
          <w:i/>
          <w:sz w:val="18"/>
        </w:rPr>
        <w:t>American</w:t>
      </w:r>
      <w:r>
        <w:rPr>
          <w:i/>
          <w:spacing w:val="-1"/>
          <w:sz w:val="18"/>
        </w:rPr>
        <w:t xml:space="preserve"> </w:t>
      </w:r>
      <w:r>
        <w:rPr>
          <w:i/>
          <w:sz w:val="18"/>
        </w:rPr>
        <w:t>Civil</w:t>
      </w:r>
      <w:r>
        <w:rPr>
          <w:i/>
          <w:spacing w:val="-3"/>
          <w:sz w:val="18"/>
        </w:rPr>
        <w:t xml:space="preserve"> </w:t>
      </w:r>
      <w:r>
        <w:rPr>
          <w:i/>
          <w:sz w:val="18"/>
        </w:rPr>
        <w:t>Liberties</w:t>
      </w:r>
      <w:r>
        <w:rPr>
          <w:i/>
          <w:spacing w:val="-3"/>
          <w:sz w:val="18"/>
        </w:rPr>
        <w:t xml:space="preserve"> </w:t>
      </w:r>
      <w:r>
        <w:rPr>
          <w:i/>
          <w:sz w:val="18"/>
        </w:rPr>
        <w:t>Union</w:t>
      </w:r>
      <w:r>
        <w:rPr>
          <w:i/>
          <w:spacing w:val="-2"/>
          <w:sz w:val="18"/>
        </w:rPr>
        <w:t xml:space="preserve"> </w:t>
      </w:r>
      <w:r>
        <w:rPr>
          <w:sz w:val="18"/>
        </w:rPr>
        <w:t>(blog),</w:t>
      </w:r>
      <w:r>
        <w:rPr>
          <w:spacing w:val="-2"/>
          <w:sz w:val="18"/>
        </w:rPr>
        <w:t xml:space="preserve"> </w:t>
      </w:r>
      <w:r>
        <w:rPr>
          <w:sz w:val="18"/>
        </w:rPr>
        <w:t>accessed</w:t>
      </w:r>
      <w:r>
        <w:rPr>
          <w:spacing w:val="-3"/>
          <w:sz w:val="18"/>
        </w:rPr>
        <w:t xml:space="preserve"> </w:t>
      </w:r>
      <w:r>
        <w:rPr>
          <w:sz w:val="18"/>
        </w:rPr>
        <w:t>April</w:t>
      </w:r>
      <w:r>
        <w:rPr>
          <w:spacing w:val="-3"/>
          <w:sz w:val="18"/>
        </w:rPr>
        <w:t xml:space="preserve"> </w:t>
      </w:r>
      <w:r>
        <w:rPr>
          <w:sz w:val="18"/>
        </w:rPr>
        <w:t>24,</w:t>
      </w:r>
      <w:r>
        <w:rPr>
          <w:spacing w:val="-2"/>
          <w:sz w:val="18"/>
        </w:rPr>
        <w:t xml:space="preserve"> </w:t>
      </w:r>
      <w:r>
        <w:rPr>
          <w:sz w:val="18"/>
        </w:rPr>
        <w:t xml:space="preserve">2023, </w:t>
      </w:r>
      <w:r>
        <w:rPr>
          <w:spacing w:val="-2"/>
          <w:sz w:val="18"/>
        </w:rPr>
        <w:t>https://</w:t>
      </w:r>
      <w:hyperlink r:id="rId153">
        <w:r>
          <w:rPr>
            <w:spacing w:val="-2"/>
            <w:sz w:val="18"/>
          </w:rPr>
          <w:t>www.aclu.org/legislative-attacks-on-lgbtq-rights.</w:t>
        </w:r>
      </w:hyperlink>
    </w:p>
    <w:p w:rsidR="00200FDA" w:rsidRDefault="00F76C4C">
      <w:pPr>
        <w:ind w:left="140" w:right="534" w:hanging="1"/>
        <w:rPr>
          <w:sz w:val="18"/>
        </w:rPr>
      </w:pPr>
      <w:r>
        <w:rPr>
          <w:position w:val="5"/>
          <w:sz w:val="12"/>
        </w:rPr>
        <w:t>4</w:t>
      </w:r>
      <w:r>
        <w:rPr>
          <w:spacing w:val="10"/>
          <w:position w:val="5"/>
          <w:sz w:val="12"/>
        </w:rPr>
        <w:t xml:space="preserve"> </w:t>
      </w:r>
      <w:r>
        <w:rPr>
          <w:sz w:val="18"/>
        </w:rPr>
        <w:t>“New</w:t>
      </w:r>
      <w:r>
        <w:rPr>
          <w:spacing w:val="-1"/>
          <w:sz w:val="18"/>
        </w:rPr>
        <w:t xml:space="preserve"> </w:t>
      </w:r>
      <w:r>
        <w:rPr>
          <w:sz w:val="18"/>
        </w:rPr>
        <w:t>Poll</w:t>
      </w:r>
      <w:r>
        <w:rPr>
          <w:spacing w:val="-3"/>
          <w:sz w:val="18"/>
        </w:rPr>
        <w:t xml:space="preserve"> </w:t>
      </w:r>
      <w:r>
        <w:rPr>
          <w:sz w:val="18"/>
        </w:rPr>
        <w:t>Illustrates</w:t>
      </w:r>
      <w:r>
        <w:rPr>
          <w:spacing w:val="-3"/>
          <w:sz w:val="18"/>
        </w:rPr>
        <w:t xml:space="preserve"> </w:t>
      </w:r>
      <w:r>
        <w:rPr>
          <w:sz w:val="18"/>
        </w:rPr>
        <w:t>the</w:t>
      </w:r>
      <w:r>
        <w:rPr>
          <w:spacing w:val="-3"/>
          <w:sz w:val="18"/>
        </w:rPr>
        <w:t xml:space="preserve"> </w:t>
      </w:r>
      <w:r>
        <w:rPr>
          <w:sz w:val="18"/>
        </w:rPr>
        <w:t>Impacts</w:t>
      </w:r>
      <w:r>
        <w:rPr>
          <w:spacing w:val="-1"/>
          <w:sz w:val="18"/>
        </w:rPr>
        <w:t xml:space="preserve"> </w:t>
      </w:r>
      <w:r>
        <w:rPr>
          <w:sz w:val="18"/>
        </w:rPr>
        <w:t>of</w:t>
      </w:r>
      <w:r>
        <w:rPr>
          <w:spacing w:val="-2"/>
          <w:sz w:val="18"/>
        </w:rPr>
        <w:t xml:space="preserve"> </w:t>
      </w:r>
      <w:r>
        <w:rPr>
          <w:sz w:val="18"/>
        </w:rPr>
        <w:t>Social</w:t>
      </w:r>
      <w:r>
        <w:rPr>
          <w:spacing w:val="-3"/>
          <w:sz w:val="18"/>
        </w:rPr>
        <w:t xml:space="preserve"> </w:t>
      </w:r>
      <w:r>
        <w:rPr>
          <w:sz w:val="18"/>
        </w:rPr>
        <w:t>&amp;</w:t>
      </w:r>
      <w:r>
        <w:rPr>
          <w:spacing w:val="-3"/>
          <w:sz w:val="18"/>
        </w:rPr>
        <w:t xml:space="preserve"> </w:t>
      </w:r>
      <w:r>
        <w:rPr>
          <w:sz w:val="18"/>
        </w:rPr>
        <w:t>Political</w:t>
      </w:r>
      <w:r>
        <w:rPr>
          <w:spacing w:val="-3"/>
          <w:sz w:val="18"/>
        </w:rPr>
        <w:t xml:space="preserve"> </w:t>
      </w:r>
      <w:r>
        <w:rPr>
          <w:sz w:val="18"/>
        </w:rPr>
        <w:t>Issues</w:t>
      </w:r>
      <w:r>
        <w:rPr>
          <w:spacing w:val="-3"/>
          <w:sz w:val="18"/>
        </w:rPr>
        <w:t xml:space="preserve"> </w:t>
      </w:r>
      <w:r>
        <w:rPr>
          <w:sz w:val="18"/>
        </w:rPr>
        <w:t>on</w:t>
      </w:r>
      <w:r>
        <w:rPr>
          <w:spacing w:val="-3"/>
          <w:sz w:val="18"/>
        </w:rPr>
        <w:t xml:space="preserve"> </w:t>
      </w:r>
      <w:r>
        <w:rPr>
          <w:sz w:val="18"/>
        </w:rPr>
        <w:t>LGBTQ</w:t>
      </w:r>
      <w:r>
        <w:rPr>
          <w:spacing w:val="-4"/>
          <w:sz w:val="18"/>
        </w:rPr>
        <w:t xml:space="preserve"> </w:t>
      </w:r>
      <w:r>
        <w:rPr>
          <w:sz w:val="18"/>
        </w:rPr>
        <w:t>Youth,”</w:t>
      </w:r>
      <w:r>
        <w:rPr>
          <w:spacing w:val="-3"/>
          <w:sz w:val="18"/>
        </w:rPr>
        <w:t xml:space="preserve"> </w:t>
      </w:r>
      <w:r>
        <w:rPr>
          <w:i/>
          <w:sz w:val="18"/>
        </w:rPr>
        <w:t>The</w:t>
      </w:r>
      <w:r>
        <w:rPr>
          <w:i/>
          <w:spacing w:val="-4"/>
          <w:sz w:val="18"/>
        </w:rPr>
        <w:t xml:space="preserve"> </w:t>
      </w:r>
      <w:r>
        <w:rPr>
          <w:i/>
          <w:sz w:val="18"/>
        </w:rPr>
        <w:t>Trevor</w:t>
      </w:r>
      <w:r>
        <w:rPr>
          <w:i/>
          <w:spacing w:val="-2"/>
          <w:sz w:val="18"/>
        </w:rPr>
        <w:t xml:space="preserve"> </w:t>
      </w:r>
      <w:r>
        <w:rPr>
          <w:i/>
          <w:sz w:val="18"/>
        </w:rPr>
        <w:t>Project</w:t>
      </w:r>
      <w:r>
        <w:rPr>
          <w:i/>
          <w:spacing w:val="-2"/>
          <w:sz w:val="18"/>
        </w:rPr>
        <w:t xml:space="preserve"> </w:t>
      </w:r>
      <w:r>
        <w:rPr>
          <w:sz w:val="18"/>
        </w:rPr>
        <w:t>(blog),</w:t>
      </w:r>
      <w:r>
        <w:rPr>
          <w:spacing w:val="-2"/>
          <w:sz w:val="18"/>
        </w:rPr>
        <w:t xml:space="preserve"> </w:t>
      </w:r>
      <w:r>
        <w:rPr>
          <w:sz w:val="18"/>
        </w:rPr>
        <w:t>January</w:t>
      </w:r>
      <w:r>
        <w:rPr>
          <w:spacing w:val="-2"/>
          <w:sz w:val="18"/>
        </w:rPr>
        <w:t xml:space="preserve"> </w:t>
      </w:r>
      <w:r>
        <w:rPr>
          <w:sz w:val="18"/>
        </w:rPr>
        <w:t>10,</w:t>
      </w:r>
      <w:r>
        <w:rPr>
          <w:spacing w:val="-2"/>
          <w:sz w:val="18"/>
        </w:rPr>
        <w:t xml:space="preserve"> </w:t>
      </w:r>
      <w:r>
        <w:rPr>
          <w:sz w:val="18"/>
        </w:rPr>
        <w:t xml:space="preserve">2022, </w:t>
      </w:r>
      <w:r>
        <w:rPr>
          <w:spacing w:val="-2"/>
          <w:sz w:val="18"/>
        </w:rPr>
        <w:t>https://</w:t>
      </w:r>
      <w:hyperlink r:id="rId154">
        <w:r>
          <w:rPr>
            <w:spacing w:val="-2"/>
            <w:sz w:val="18"/>
          </w:rPr>
          <w:t>www.thetrevorproject.org/blog/new-poll-illustrates-the-impacts-of-social-political-issues-on-lgbtq-youth/.</w:t>
        </w:r>
      </w:hyperlink>
    </w:p>
    <w:p w:rsidR="00200FDA" w:rsidRDefault="00F76C4C">
      <w:pPr>
        <w:spacing w:line="219" w:lineRule="exact"/>
        <w:ind w:left="140"/>
        <w:rPr>
          <w:sz w:val="18"/>
        </w:rPr>
      </w:pPr>
      <w:r>
        <w:rPr>
          <w:position w:val="5"/>
          <w:sz w:val="12"/>
        </w:rPr>
        <w:t>5</w:t>
      </w:r>
      <w:r>
        <w:rPr>
          <w:spacing w:val="11"/>
          <w:position w:val="5"/>
          <w:sz w:val="12"/>
        </w:rPr>
        <w:t xml:space="preserve"> </w:t>
      </w:r>
      <w:r>
        <w:rPr>
          <w:sz w:val="18"/>
        </w:rPr>
        <w:t>Data</w:t>
      </w:r>
      <w:r>
        <w:rPr>
          <w:spacing w:val="-1"/>
          <w:sz w:val="18"/>
        </w:rPr>
        <w:t xml:space="preserve"> </w:t>
      </w:r>
      <w:r>
        <w:rPr>
          <w:sz w:val="18"/>
        </w:rPr>
        <w:t>on</w:t>
      </w:r>
      <w:r>
        <w:rPr>
          <w:spacing w:val="-2"/>
          <w:sz w:val="18"/>
        </w:rPr>
        <w:t xml:space="preserve"> </w:t>
      </w:r>
      <w:r>
        <w:rPr>
          <w:sz w:val="18"/>
        </w:rPr>
        <w:t>file</w:t>
      </w:r>
      <w:r>
        <w:rPr>
          <w:spacing w:val="-2"/>
          <w:sz w:val="18"/>
        </w:rPr>
        <w:t xml:space="preserve"> </w:t>
      </w:r>
      <w:r>
        <w:rPr>
          <w:sz w:val="18"/>
        </w:rPr>
        <w:t>with</w:t>
      </w:r>
      <w:r>
        <w:rPr>
          <w:spacing w:val="-2"/>
          <w:sz w:val="18"/>
        </w:rPr>
        <w:t xml:space="preserve"> </w:t>
      </w:r>
      <w:r>
        <w:rPr>
          <w:sz w:val="18"/>
        </w:rPr>
        <w:t>the</w:t>
      </w:r>
      <w:r>
        <w:rPr>
          <w:spacing w:val="-1"/>
          <w:sz w:val="18"/>
        </w:rPr>
        <w:t xml:space="preserve"> </w:t>
      </w:r>
      <w:r>
        <w:rPr>
          <w:spacing w:val="-2"/>
          <w:sz w:val="18"/>
        </w:rPr>
        <w:t>Commission.</w:t>
      </w:r>
    </w:p>
    <w:p w:rsidR="00200FDA" w:rsidRDefault="00F76C4C">
      <w:pPr>
        <w:spacing w:before="1"/>
        <w:ind w:left="140" w:hanging="1"/>
        <w:rPr>
          <w:sz w:val="18"/>
        </w:rPr>
      </w:pPr>
      <w:r>
        <w:rPr>
          <w:position w:val="5"/>
          <w:sz w:val="12"/>
        </w:rPr>
        <w:t>6</w:t>
      </w:r>
      <w:r>
        <w:rPr>
          <w:spacing w:val="10"/>
          <w:position w:val="5"/>
          <w:sz w:val="12"/>
        </w:rPr>
        <w:t xml:space="preserve"> </w:t>
      </w:r>
      <w:r>
        <w:rPr>
          <w:sz w:val="18"/>
        </w:rPr>
        <w:t>Day,</w:t>
      </w:r>
      <w:r>
        <w:rPr>
          <w:spacing w:val="-2"/>
          <w:sz w:val="18"/>
        </w:rPr>
        <w:t xml:space="preserve"> </w:t>
      </w:r>
      <w:r>
        <w:rPr>
          <w:sz w:val="18"/>
        </w:rPr>
        <w:t>J.</w:t>
      </w:r>
      <w:r>
        <w:rPr>
          <w:spacing w:val="-2"/>
          <w:sz w:val="18"/>
        </w:rPr>
        <w:t xml:space="preserve"> </w:t>
      </w:r>
      <w:r>
        <w:rPr>
          <w:sz w:val="18"/>
        </w:rPr>
        <w:t>K.,</w:t>
      </w:r>
      <w:r>
        <w:rPr>
          <w:spacing w:val="-2"/>
          <w:sz w:val="18"/>
        </w:rPr>
        <w:t xml:space="preserve"> </w:t>
      </w:r>
      <w:r>
        <w:rPr>
          <w:sz w:val="18"/>
        </w:rPr>
        <w:t>Fish,</w:t>
      </w:r>
      <w:r>
        <w:rPr>
          <w:spacing w:val="-2"/>
          <w:sz w:val="18"/>
        </w:rPr>
        <w:t xml:space="preserve"> </w:t>
      </w:r>
      <w:r>
        <w:rPr>
          <w:sz w:val="18"/>
        </w:rPr>
        <w:t>J.</w:t>
      </w:r>
      <w:r>
        <w:rPr>
          <w:spacing w:val="-2"/>
          <w:sz w:val="18"/>
        </w:rPr>
        <w:t xml:space="preserve"> </w:t>
      </w:r>
      <w:r>
        <w:rPr>
          <w:sz w:val="18"/>
        </w:rPr>
        <w:t>N.,</w:t>
      </w:r>
      <w:r>
        <w:rPr>
          <w:spacing w:val="-2"/>
          <w:sz w:val="18"/>
        </w:rPr>
        <w:t xml:space="preserve"> </w:t>
      </w:r>
      <w:r>
        <w:rPr>
          <w:sz w:val="18"/>
        </w:rPr>
        <w:t>Grossman, A.</w:t>
      </w:r>
      <w:r>
        <w:rPr>
          <w:spacing w:val="-2"/>
          <w:sz w:val="18"/>
        </w:rPr>
        <w:t xml:space="preserve"> </w:t>
      </w:r>
      <w:r>
        <w:rPr>
          <w:sz w:val="18"/>
        </w:rPr>
        <w:t>H.,</w:t>
      </w:r>
      <w:r>
        <w:rPr>
          <w:spacing w:val="-2"/>
          <w:sz w:val="18"/>
        </w:rPr>
        <w:t xml:space="preserve"> </w:t>
      </w:r>
      <w:r>
        <w:rPr>
          <w:sz w:val="18"/>
        </w:rPr>
        <w:t>&amp;</w:t>
      </w:r>
      <w:r>
        <w:rPr>
          <w:spacing w:val="-3"/>
          <w:sz w:val="18"/>
        </w:rPr>
        <w:t xml:space="preserve"> </w:t>
      </w:r>
      <w:r>
        <w:rPr>
          <w:sz w:val="18"/>
        </w:rPr>
        <w:t>Russell,</w:t>
      </w:r>
      <w:r>
        <w:rPr>
          <w:spacing w:val="-2"/>
          <w:sz w:val="18"/>
        </w:rPr>
        <w:t xml:space="preserve"> </w:t>
      </w:r>
      <w:r>
        <w:rPr>
          <w:sz w:val="18"/>
        </w:rPr>
        <w:t>S.</w:t>
      </w:r>
      <w:r>
        <w:rPr>
          <w:spacing w:val="-2"/>
          <w:sz w:val="18"/>
        </w:rPr>
        <w:t xml:space="preserve"> </w:t>
      </w:r>
      <w:r>
        <w:rPr>
          <w:sz w:val="18"/>
        </w:rPr>
        <w:t>T.</w:t>
      </w:r>
      <w:r>
        <w:rPr>
          <w:spacing w:val="-2"/>
          <w:sz w:val="18"/>
        </w:rPr>
        <w:t xml:space="preserve"> </w:t>
      </w:r>
      <w:r>
        <w:rPr>
          <w:sz w:val="18"/>
        </w:rPr>
        <w:t>(2020).</w:t>
      </w:r>
      <w:r>
        <w:rPr>
          <w:spacing w:val="-2"/>
          <w:sz w:val="18"/>
        </w:rPr>
        <w:t xml:space="preserve"> </w:t>
      </w:r>
      <w:r>
        <w:rPr>
          <w:sz w:val="18"/>
        </w:rPr>
        <w:t>Gay-straight</w:t>
      </w:r>
      <w:r>
        <w:rPr>
          <w:spacing w:val="-3"/>
          <w:sz w:val="18"/>
        </w:rPr>
        <w:t xml:space="preserve"> </w:t>
      </w:r>
      <w:r>
        <w:rPr>
          <w:sz w:val="18"/>
        </w:rPr>
        <w:t>alliances,</w:t>
      </w:r>
      <w:r>
        <w:rPr>
          <w:spacing w:val="-2"/>
          <w:sz w:val="18"/>
        </w:rPr>
        <w:t xml:space="preserve"> </w:t>
      </w:r>
      <w:r>
        <w:rPr>
          <w:sz w:val="18"/>
        </w:rPr>
        <w:t>inclusive</w:t>
      </w:r>
      <w:r>
        <w:rPr>
          <w:spacing w:val="-1"/>
          <w:sz w:val="18"/>
        </w:rPr>
        <w:t xml:space="preserve"> </w:t>
      </w:r>
      <w:r>
        <w:rPr>
          <w:sz w:val="18"/>
        </w:rPr>
        <w:t>policy,</w:t>
      </w:r>
      <w:r>
        <w:rPr>
          <w:spacing w:val="-2"/>
          <w:sz w:val="18"/>
        </w:rPr>
        <w:t xml:space="preserve"> </w:t>
      </w:r>
      <w:r>
        <w:rPr>
          <w:sz w:val="18"/>
        </w:rPr>
        <w:t>and</w:t>
      </w:r>
      <w:r>
        <w:rPr>
          <w:spacing w:val="-3"/>
          <w:sz w:val="18"/>
        </w:rPr>
        <w:t xml:space="preserve"> </w:t>
      </w:r>
      <w:r>
        <w:rPr>
          <w:sz w:val="18"/>
        </w:rPr>
        <w:t>school</w:t>
      </w:r>
      <w:r>
        <w:rPr>
          <w:spacing w:val="-3"/>
          <w:sz w:val="18"/>
        </w:rPr>
        <w:t xml:space="preserve"> </w:t>
      </w:r>
      <w:r>
        <w:rPr>
          <w:sz w:val="18"/>
        </w:rPr>
        <w:t>climate:</w:t>
      </w:r>
      <w:r>
        <w:rPr>
          <w:spacing w:val="-2"/>
          <w:sz w:val="18"/>
        </w:rPr>
        <w:t xml:space="preserve"> </w:t>
      </w:r>
      <w:r>
        <w:rPr>
          <w:sz w:val="18"/>
        </w:rPr>
        <w:t xml:space="preserve">LGBTQ youths’ experiences of social support and bullying. </w:t>
      </w:r>
      <w:r>
        <w:rPr>
          <w:i/>
          <w:sz w:val="18"/>
        </w:rPr>
        <w:t>Journal of Research on Adolescence, 30</w:t>
      </w:r>
      <w:r>
        <w:rPr>
          <w:sz w:val="18"/>
        </w:rPr>
        <w:t xml:space="preserve">(S2), 418–430. </w:t>
      </w:r>
      <w:hyperlink r:id="rId155">
        <w:r>
          <w:rPr>
            <w:color w:val="1154CC"/>
            <w:spacing w:val="-2"/>
            <w:sz w:val="18"/>
            <w:u w:val="single" w:color="1154CC"/>
          </w:rPr>
          <w:t>https://doi.org/10.1111/jora.12487</w:t>
        </w:r>
      </w:hyperlink>
    </w:p>
    <w:p w:rsidR="00200FDA" w:rsidRDefault="00F76C4C">
      <w:pPr>
        <w:ind w:left="140" w:right="384" w:hanging="1"/>
        <w:rPr>
          <w:sz w:val="18"/>
        </w:rPr>
      </w:pPr>
      <w:r>
        <w:rPr>
          <w:position w:val="5"/>
          <w:sz w:val="12"/>
        </w:rPr>
        <w:t>7</w:t>
      </w:r>
      <w:r>
        <w:rPr>
          <w:spacing w:val="9"/>
          <w:position w:val="5"/>
          <w:sz w:val="12"/>
        </w:rPr>
        <w:t xml:space="preserve"> </w:t>
      </w:r>
      <w:r>
        <w:rPr>
          <w:sz w:val="18"/>
        </w:rPr>
        <w:t>GLSEN,</w:t>
      </w:r>
      <w:r>
        <w:rPr>
          <w:spacing w:val="-3"/>
          <w:sz w:val="18"/>
        </w:rPr>
        <w:t xml:space="preserve"> </w:t>
      </w:r>
      <w:r>
        <w:rPr>
          <w:sz w:val="18"/>
        </w:rPr>
        <w:t>“The</w:t>
      </w:r>
      <w:r>
        <w:rPr>
          <w:spacing w:val="-4"/>
          <w:sz w:val="18"/>
        </w:rPr>
        <w:t xml:space="preserve"> </w:t>
      </w:r>
      <w:r>
        <w:rPr>
          <w:sz w:val="18"/>
        </w:rPr>
        <w:t>2021</w:t>
      </w:r>
      <w:r>
        <w:rPr>
          <w:spacing w:val="-3"/>
          <w:sz w:val="18"/>
        </w:rPr>
        <w:t xml:space="preserve"> </w:t>
      </w:r>
      <w:r>
        <w:rPr>
          <w:sz w:val="18"/>
        </w:rPr>
        <w:t>National</w:t>
      </w:r>
      <w:r>
        <w:rPr>
          <w:spacing w:val="-2"/>
          <w:sz w:val="18"/>
        </w:rPr>
        <w:t xml:space="preserve"> </w:t>
      </w:r>
      <w:r>
        <w:rPr>
          <w:sz w:val="18"/>
        </w:rPr>
        <w:t>School</w:t>
      </w:r>
      <w:r>
        <w:rPr>
          <w:spacing w:val="-4"/>
          <w:sz w:val="18"/>
        </w:rPr>
        <w:t xml:space="preserve"> </w:t>
      </w:r>
      <w:r>
        <w:rPr>
          <w:sz w:val="18"/>
        </w:rPr>
        <w:t>Climate</w:t>
      </w:r>
      <w:r>
        <w:rPr>
          <w:spacing w:val="-4"/>
          <w:sz w:val="18"/>
        </w:rPr>
        <w:t xml:space="preserve"> </w:t>
      </w:r>
      <w:r>
        <w:rPr>
          <w:sz w:val="18"/>
        </w:rPr>
        <w:t>Survey,”</w:t>
      </w:r>
      <w:r>
        <w:rPr>
          <w:spacing w:val="-4"/>
          <w:sz w:val="18"/>
        </w:rPr>
        <w:t xml:space="preserve"> </w:t>
      </w:r>
      <w:r>
        <w:rPr>
          <w:sz w:val="18"/>
        </w:rPr>
        <w:t>GLSEN,</w:t>
      </w:r>
      <w:r>
        <w:rPr>
          <w:spacing w:val="-3"/>
          <w:sz w:val="18"/>
        </w:rPr>
        <w:t xml:space="preserve"> </w:t>
      </w:r>
      <w:r>
        <w:rPr>
          <w:sz w:val="18"/>
        </w:rPr>
        <w:t>accessed</w:t>
      </w:r>
      <w:r>
        <w:rPr>
          <w:spacing w:val="-4"/>
          <w:sz w:val="18"/>
        </w:rPr>
        <w:t xml:space="preserve"> </w:t>
      </w:r>
      <w:r>
        <w:rPr>
          <w:sz w:val="18"/>
        </w:rPr>
        <w:t>April</w:t>
      </w:r>
      <w:r>
        <w:rPr>
          <w:spacing w:val="-4"/>
          <w:sz w:val="18"/>
        </w:rPr>
        <w:t xml:space="preserve"> </w:t>
      </w:r>
      <w:r>
        <w:rPr>
          <w:sz w:val="18"/>
        </w:rPr>
        <w:t>24,</w:t>
      </w:r>
      <w:r>
        <w:rPr>
          <w:spacing w:val="-3"/>
          <w:sz w:val="18"/>
        </w:rPr>
        <w:t xml:space="preserve"> </w:t>
      </w:r>
      <w:r>
        <w:rPr>
          <w:sz w:val="18"/>
        </w:rPr>
        <w:t>2023,</w:t>
      </w:r>
      <w:r>
        <w:rPr>
          <w:spacing w:val="-3"/>
          <w:sz w:val="18"/>
        </w:rPr>
        <w:t xml:space="preserve"> </w:t>
      </w:r>
      <w:r>
        <w:rPr>
          <w:sz w:val="18"/>
        </w:rPr>
        <w:t>https://</w:t>
      </w:r>
      <w:hyperlink r:id="rId156">
        <w:r>
          <w:rPr>
            <w:sz w:val="18"/>
          </w:rPr>
          <w:t>www.glsen.org/research/2021-</w:t>
        </w:r>
      </w:hyperlink>
      <w:r>
        <w:rPr>
          <w:sz w:val="18"/>
        </w:rPr>
        <w:t xml:space="preserve"> </w:t>
      </w:r>
      <w:r>
        <w:rPr>
          <w:spacing w:val="-2"/>
          <w:sz w:val="18"/>
        </w:rPr>
        <w:t>national-school-climate-survey.</w:t>
      </w:r>
    </w:p>
    <w:p w:rsidR="00200FDA" w:rsidRDefault="00F76C4C">
      <w:pPr>
        <w:spacing w:line="219" w:lineRule="exact"/>
        <w:ind w:left="140"/>
        <w:rPr>
          <w:sz w:val="18"/>
        </w:rPr>
      </w:pPr>
      <w:r>
        <w:rPr>
          <w:position w:val="5"/>
          <w:sz w:val="12"/>
        </w:rPr>
        <w:t>8</w:t>
      </w:r>
      <w:r>
        <w:rPr>
          <w:spacing w:val="12"/>
          <w:position w:val="5"/>
          <w:sz w:val="12"/>
        </w:rPr>
        <w:t xml:space="preserve"> </w:t>
      </w:r>
      <w:r>
        <w:rPr>
          <w:spacing w:val="-2"/>
          <w:sz w:val="18"/>
        </w:rPr>
        <w:t>GLSEN.</w:t>
      </w:r>
    </w:p>
    <w:p w:rsidR="00200FDA" w:rsidRDefault="00F76C4C">
      <w:pPr>
        <w:ind w:left="140"/>
        <w:rPr>
          <w:sz w:val="18"/>
        </w:rPr>
      </w:pPr>
      <w:r>
        <w:rPr>
          <w:position w:val="5"/>
          <w:sz w:val="12"/>
        </w:rPr>
        <w:t>9</w:t>
      </w:r>
      <w:r>
        <w:rPr>
          <w:spacing w:val="47"/>
          <w:position w:val="5"/>
          <w:sz w:val="12"/>
        </w:rPr>
        <w:t xml:space="preserve"> </w:t>
      </w:r>
      <w:r>
        <w:rPr>
          <w:sz w:val="18"/>
        </w:rPr>
        <w:t>GLSEN,</w:t>
      </w:r>
      <w:r>
        <w:rPr>
          <w:spacing w:val="-2"/>
          <w:sz w:val="18"/>
        </w:rPr>
        <w:t xml:space="preserve"> </w:t>
      </w:r>
      <w:r>
        <w:rPr>
          <w:sz w:val="18"/>
        </w:rPr>
        <w:t>“School</w:t>
      </w:r>
      <w:r>
        <w:rPr>
          <w:spacing w:val="-3"/>
          <w:sz w:val="18"/>
        </w:rPr>
        <w:t xml:space="preserve"> </w:t>
      </w:r>
      <w:r>
        <w:rPr>
          <w:sz w:val="18"/>
        </w:rPr>
        <w:t>Climate</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Students</w:t>
      </w:r>
      <w:r>
        <w:rPr>
          <w:spacing w:val="-3"/>
          <w:sz w:val="18"/>
        </w:rPr>
        <w:t xml:space="preserve"> </w:t>
      </w:r>
      <w:r>
        <w:rPr>
          <w:sz w:val="18"/>
        </w:rPr>
        <w:t>in</w:t>
      </w:r>
      <w:r>
        <w:rPr>
          <w:spacing w:val="-1"/>
          <w:sz w:val="18"/>
        </w:rPr>
        <w:t xml:space="preserve"> </w:t>
      </w:r>
      <w:r>
        <w:rPr>
          <w:sz w:val="18"/>
        </w:rPr>
        <w:t>Massachusetts</w:t>
      </w:r>
      <w:r>
        <w:rPr>
          <w:spacing w:val="-3"/>
          <w:sz w:val="18"/>
        </w:rPr>
        <w:t xml:space="preserve"> </w:t>
      </w:r>
      <w:r>
        <w:rPr>
          <w:sz w:val="18"/>
        </w:rPr>
        <w:t>-</w:t>
      </w:r>
      <w:r>
        <w:rPr>
          <w:spacing w:val="-1"/>
          <w:sz w:val="18"/>
        </w:rPr>
        <w:t xml:space="preserve"> </w:t>
      </w:r>
      <w:r>
        <w:rPr>
          <w:sz w:val="18"/>
        </w:rPr>
        <w:t>2021</w:t>
      </w:r>
      <w:r>
        <w:rPr>
          <w:spacing w:val="-2"/>
          <w:sz w:val="18"/>
        </w:rPr>
        <w:t xml:space="preserve"> </w:t>
      </w:r>
      <w:r>
        <w:rPr>
          <w:sz w:val="18"/>
        </w:rPr>
        <w:t>National</w:t>
      </w:r>
      <w:r>
        <w:rPr>
          <w:spacing w:val="-3"/>
          <w:sz w:val="18"/>
        </w:rPr>
        <w:t xml:space="preserve"> </w:t>
      </w:r>
      <w:r>
        <w:rPr>
          <w:sz w:val="18"/>
        </w:rPr>
        <w:t>School</w:t>
      </w:r>
      <w:r>
        <w:rPr>
          <w:spacing w:val="-3"/>
          <w:sz w:val="18"/>
        </w:rPr>
        <w:t xml:space="preserve"> </w:t>
      </w:r>
      <w:r>
        <w:rPr>
          <w:sz w:val="18"/>
        </w:rPr>
        <w:t>Climate</w:t>
      </w:r>
      <w:r>
        <w:rPr>
          <w:spacing w:val="-1"/>
          <w:sz w:val="18"/>
        </w:rPr>
        <w:t xml:space="preserve"> </w:t>
      </w:r>
      <w:r>
        <w:rPr>
          <w:sz w:val="18"/>
        </w:rPr>
        <w:t>Survey</w:t>
      </w:r>
      <w:r>
        <w:rPr>
          <w:spacing w:val="-2"/>
          <w:sz w:val="18"/>
        </w:rPr>
        <w:t xml:space="preserve"> </w:t>
      </w:r>
      <w:r>
        <w:rPr>
          <w:sz w:val="18"/>
        </w:rPr>
        <w:t>State</w:t>
      </w:r>
      <w:r>
        <w:rPr>
          <w:spacing w:val="-2"/>
          <w:sz w:val="18"/>
        </w:rPr>
        <w:t xml:space="preserve"> Snapshot.”</w:t>
      </w:r>
    </w:p>
    <w:p w:rsidR="00200FDA" w:rsidRDefault="00F76C4C">
      <w:pPr>
        <w:ind w:left="140" w:right="139" w:hanging="1"/>
        <w:rPr>
          <w:sz w:val="18"/>
        </w:rPr>
      </w:pPr>
      <w:r>
        <w:rPr>
          <w:position w:val="5"/>
          <w:sz w:val="12"/>
        </w:rPr>
        <w:t>10</w:t>
      </w:r>
      <w:r>
        <w:rPr>
          <w:spacing w:val="9"/>
          <w:position w:val="5"/>
          <w:sz w:val="12"/>
        </w:rPr>
        <w:t xml:space="preserve"> </w:t>
      </w:r>
      <w:r>
        <w:rPr>
          <w:sz w:val="18"/>
        </w:rPr>
        <w:t>“Principles</w:t>
      </w:r>
      <w:r>
        <w:rPr>
          <w:spacing w:val="-4"/>
          <w:sz w:val="18"/>
        </w:rPr>
        <w:t xml:space="preserve"> </w:t>
      </w:r>
      <w:r>
        <w:rPr>
          <w:sz w:val="18"/>
        </w:rPr>
        <w:t>for</w:t>
      </w:r>
      <w:r>
        <w:rPr>
          <w:spacing w:val="-4"/>
          <w:sz w:val="18"/>
        </w:rPr>
        <w:t xml:space="preserve"> </w:t>
      </w:r>
      <w:r>
        <w:rPr>
          <w:sz w:val="18"/>
        </w:rPr>
        <w:t>Ensuring</w:t>
      </w:r>
      <w:r>
        <w:rPr>
          <w:spacing w:val="-2"/>
          <w:sz w:val="18"/>
        </w:rPr>
        <w:t xml:space="preserve"> </w:t>
      </w:r>
      <w:r>
        <w:rPr>
          <w:sz w:val="18"/>
        </w:rPr>
        <w:t>Safe</w:t>
      </w:r>
      <w:r>
        <w:rPr>
          <w:spacing w:val="-4"/>
          <w:sz w:val="18"/>
        </w:rPr>
        <w:t xml:space="preserve"> </w:t>
      </w:r>
      <w:r>
        <w:rPr>
          <w:sz w:val="18"/>
        </w:rPr>
        <w:t>and</w:t>
      </w:r>
      <w:r>
        <w:rPr>
          <w:spacing w:val="-2"/>
          <w:sz w:val="18"/>
        </w:rPr>
        <w:t xml:space="preserve"> </w:t>
      </w:r>
      <w:r>
        <w:rPr>
          <w:sz w:val="18"/>
        </w:rPr>
        <w:t>Supportive</w:t>
      </w:r>
      <w:r>
        <w:rPr>
          <w:spacing w:val="-4"/>
          <w:sz w:val="18"/>
        </w:rPr>
        <w:t xml:space="preserve"> </w:t>
      </w:r>
      <w:r>
        <w:rPr>
          <w:sz w:val="18"/>
        </w:rPr>
        <w:t>Learning</w:t>
      </w:r>
      <w:r>
        <w:rPr>
          <w:spacing w:val="-4"/>
          <w:sz w:val="18"/>
        </w:rPr>
        <w:t xml:space="preserve"> </w:t>
      </w:r>
      <w:r>
        <w:rPr>
          <w:sz w:val="18"/>
        </w:rPr>
        <w:t>Environments</w:t>
      </w:r>
      <w:r>
        <w:rPr>
          <w:spacing w:val="-4"/>
          <w:sz w:val="18"/>
        </w:rPr>
        <w:t xml:space="preserve"> </w:t>
      </w:r>
      <w:r>
        <w:rPr>
          <w:sz w:val="18"/>
        </w:rPr>
        <w:t>for</w:t>
      </w:r>
      <w:r>
        <w:rPr>
          <w:spacing w:val="-4"/>
          <w:sz w:val="18"/>
        </w:rPr>
        <w:t xml:space="preserve"> </w:t>
      </w:r>
      <w:r>
        <w:rPr>
          <w:sz w:val="18"/>
        </w:rPr>
        <w:t>Lesbian,</w:t>
      </w:r>
      <w:r>
        <w:rPr>
          <w:spacing w:val="-3"/>
          <w:sz w:val="18"/>
        </w:rPr>
        <w:t xml:space="preserve"> </w:t>
      </w:r>
      <w:r>
        <w:rPr>
          <w:sz w:val="18"/>
        </w:rPr>
        <w:t>Gay,</w:t>
      </w:r>
      <w:r>
        <w:rPr>
          <w:spacing w:val="-3"/>
          <w:sz w:val="18"/>
        </w:rPr>
        <w:t xml:space="preserve"> </w:t>
      </w:r>
      <w:r>
        <w:rPr>
          <w:sz w:val="18"/>
        </w:rPr>
        <w:t>Bisexual,</w:t>
      </w:r>
      <w:r>
        <w:rPr>
          <w:spacing w:val="-3"/>
          <w:sz w:val="18"/>
        </w:rPr>
        <w:t xml:space="preserve"> </w:t>
      </w:r>
      <w:r>
        <w:rPr>
          <w:sz w:val="18"/>
        </w:rPr>
        <w:t>Transgender,</w:t>
      </w:r>
      <w:r>
        <w:rPr>
          <w:spacing w:val="-3"/>
          <w:sz w:val="18"/>
        </w:rPr>
        <w:t xml:space="preserve"> </w:t>
      </w:r>
      <w:r>
        <w:rPr>
          <w:sz w:val="18"/>
        </w:rPr>
        <w:t>Queer,</w:t>
      </w:r>
      <w:r>
        <w:rPr>
          <w:spacing w:val="-3"/>
          <w:sz w:val="18"/>
        </w:rPr>
        <w:t xml:space="preserve"> </w:t>
      </w:r>
      <w:r>
        <w:rPr>
          <w:sz w:val="18"/>
        </w:rPr>
        <w:t>and Questioning (LGBTQ) Students - Student and Family Support (SFS).”</w:t>
      </w:r>
    </w:p>
    <w:p w:rsidR="00200FDA" w:rsidRDefault="00F76C4C">
      <w:pPr>
        <w:spacing w:line="219" w:lineRule="exact"/>
        <w:ind w:left="140"/>
        <w:rPr>
          <w:sz w:val="18"/>
        </w:rPr>
      </w:pPr>
      <w:r>
        <w:rPr>
          <w:position w:val="5"/>
          <w:sz w:val="12"/>
        </w:rPr>
        <w:t>11</w:t>
      </w:r>
      <w:r>
        <w:rPr>
          <w:spacing w:val="10"/>
          <w:position w:val="5"/>
          <w:sz w:val="12"/>
        </w:rPr>
        <w:t xml:space="preserve"> </w:t>
      </w:r>
      <w:r>
        <w:rPr>
          <w:sz w:val="18"/>
        </w:rPr>
        <w:t>GLSEN,</w:t>
      </w:r>
      <w:r>
        <w:rPr>
          <w:spacing w:val="-2"/>
          <w:sz w:val="18"/>
        </w:rPr>
        <w:t xml:space="preserve"> </w:t>
      </w:r>
      <w:r>
        <w:rPr>
          <w:sz w:val="18"/>
        </w:rPr>
        <w:t>“The</w:t>
      </w:r>
      <w:r>
        <w:rPr>
          <w:spacing w:val="-3"/>
          <w:sz w:val="18"/>
        </w:rPr>
        <w:t xml:space="preserve"> </w:t>
      </w:r>
      <w:r>
        <w:rPr>
          <w:sz w:val="18"/>
        </w:rPr>
        <w:t>2021</w:t>
      </w:r>
      <w:r>
        <w:rPr>
          <w:spacing w:val="-2"/>
          <w:sz w:val="18"/>
        </w:rPr>
        <w:t xml:space="preserve"> </w:t>
      </w:r>
      <w:r>
        <w:rPr>
          <w:sz w:val="18"/>
        </w:rPr>
        <w:t>National</w:t>
      </w:r>
      <w:r>
        <w:rPr>
          <w:spacing w:val="-2"/>
          <w:sz w:val="18"/>
        </w:rPr>
        <w:t xml:space="preserve"> </w:t>
      </w:r>
      <w:r>
        <w:rPr>
          <w:sz w:val="18"/>
        </w:rPr>
        <w:t>School</w:t>
      </w:r>
      <w:r>
        <w:rPr>
          <w:spacing w:val="-3"/>
          <w:sz w:val="18"/>
        </w:rPr>
        <w:t xml:space="preserve"> </w:t>
      </w:r>
      <w:r>
        <w:rPr>
          <w:sz w:val="18"/>
        </w:rPr>
        <w:t>Climate</w:t>
      </w:r>
      <w:r>
        <w:rPr>
          <w:spacing w:val="-2"/>
          <w:sz w:val="18"/>
        </w:rPr>
        <w:t xml:space="preserve"> Survey.”</w:t>
      </w:r>
    </w:p>
    <w:p w:rsidR="00200FDA" w:rsidRDefault="00F76C4C">
      <w:pPr>
        <w:ind w:left="140" w:right="178" w:hanging="1"/>
        <w:rPr>
          <w:sz w:val="18"/>
        </w:rPr>
      </w:pPr>
      <w:r>
        <w:rPr>
          <w:position w:val="5"/>
          <w:sz w:val="12"/>
        </w:rPr>
        <w:t>12</w:t>
      </w:r>
      <w:r>
        <w:rPr>
          <w:spacing w:val="10"/>
          <w:position w:val="5"/>
          <w:sz w:val="12"/>
        </w:rPr>
        <w:t xml:space="preserve"> </w:t>
      </w:r>
      <w:r>
        <w:rPr>
          <w:sz w:val="18"/>
        </w:rPr>
        <w:t>“Stoughton</w:t>
      </w:r>
      <w:r>
        <w:rPr>
          <w:spacing w:val="-3"/>
          <w:sz w:val="18"/>
        </w:rPr>
        <w:t xml:space="preserve"> </w:t>
      </w:r>
      <w:r>
        <w:rPr>
          <w:sz w:val="18"/>
        </w:rPr>
        <w:t>High</w:t>
      </w:r>
      <w:r>
        <w:rPr>
          <w:spacing w:val="-1"/>
          <w:sz w:val="18"/>
        </w:rPr>
        <w:t xml:space="preserve"> </w:t>
      </w:r>
      <w:r>
        <w:rPr>
          <w:sz w:val="18"/>
        </w:rPr>
        <w:t>School</w:t>
      </w:r>
      <w:r>
        <w:rPr>
          <w:spacing w:val="-3"/>
          <w:sz w:val="18"/>
        </w:rPr>
        <w:t xml:space="preserve"> </w:t>
      </w:r>
      <w:r>
        <w:rPr>
          <w:sz w:val="18"/>
        </w:rPr>
        <w:t>Faculty Told</w:t>
      </w:r>
      <w:r>
        <w:rPr>
          <w:spacing w:val="-3"/>
          <w:sz w:val="18"/>
        </w:rPr>
        <w:t xml:space="preserve"> </w:t>
      </w:r>
      <w:r>
        <w:rPr>
          <w:sz w:val="18"/>
        </w:rPr>
        <w:t>Not</w:t>
      </w:r>
      <w:r>
        <w:rPr>
          <w:spacing w:val="-3"/>
          <w:sz w:val="18"/>
        </w:rPr>
        <w:t xml:space="preserve"> </w:t>
      </w:r>
      <w:r>
        <w:rPr>
          <w:sz w:val="18"/>
        </w:rPr>
        <w:t>to</w:t>
      </w:r>
      <w:r>
        <w:rPr>
          <w:spacing w:val="-1"/>
          <w:sz w:val="18"/>
        </w:rPr>
        <w:t xml:space="preserve"> </w:t>
      </w:r>
      <w:r>
        <w:rPr>
          <w:sz w:val="18"/>
        </w:rPr>
        <w:t>Display</w:t>
      </w:r>
      <w:r>
        <w:rPr>
          <w:spacing w:val="-2"/>
          <w:sz w:val="18"/>
        </w:rPr>
        <w:t xml:space="preserve"> </w:t>
      </w:r>
      <w:r>
        <w:rPr>
          <w:sz w:val="18"/>
        </w:rPr>
        <w:t>Items</w:t>
      </w:r>
      <w:r>
        <w:rPr>
          <w:spacing w:val="-3"/>
          <w:sz w:val="18"/>
        </w:rPr>
        <w:t xml:space="preserve"> </w:t>
      </w:r>
      <w:r>
        <w:rPr>
          <w:sz w:val="18"/>
        </w:rPr>
        <w:t>in</w:t>
      </w:r>
      <w:r>
        <w:rPr>
          <w:spacing w:val="-3"/>
          <w:sz w:val="18"/>
        </w:rPr>
        <w:t xml:space="preserve"> </w:t>
      </w:r>
      <w:r>
        <w:rPr>
          <w:sz w:val="18"/>
        </w:rPr>
        <w:t>Classroom</w:t>
      </w:r>
      <w:r>
        <w:rPr>
          <w:spacing w:val="-2"/>
          <w:sz w:val="18"/>
        </w:rPr>
        <w:t xml:space="preserve"> </w:t>
      </w:r>
      <w:r>
        <w:rPr>
          <w:sz w:val="18"/>
        </w:rPr>
        <w:t>Deemed</w:t>
      </w:r>
      <w:r>
        <w:rPr>
          <w:spacing w:val="-3"/>
          <w:sz w:val="18"/>
        </w:rPr>
        <w:t xml:space="preserve"> </w:t>
      </w:r>
      <w:r>
        <w:rPr>
          <w:sz w:val="18"/>
        </w:rPr>
        <w:t>‘Political’</w:t>
      </w:r>
      <w:r>
        <w:rPr>
          <w:spacing w:val="-2"/>
          <w:sz w:val="18"/>
        </w:rPr>
        <w:t xml:space="preserve"> </w:t>
      </w:r>
      <w:r>
        <w:rPr>
          <w:sz w:val="18"/>
        </w:rPr>
        <w:t>-</w:t>
      </w:r>
      <w:r>
        <w:rPr>
          <w:spacing w:val="-3"/>
          <w:sz w:val="18"/>
        </w:rPr>
        <w:t xml:space="preserve"> </w:t>
      </w:r>
      <w:r>
        <w:rPr>
          <w:sz w:val="18"/>
        </w:rPr>
        <w:t>The</w:t>
      </w:r>
      <w:r>
        <w:rPr>
          <w:spacing w:val="-3"/>
          <w:sz w:val="18"/>
        </w:rPr>
        <w:t xml:space="preserve"> </w:t>
      </w:r>
      <w:r>
        <w:rPr>
          <w:sz w:val="18"/>
        </w:rPr>
        <w:t>Boston</w:t>
      </w:r>
      <w:r>
        <w:rPr>
          <w:spacing w:val="-3"/>
          <w:sz w:val="18"/>
        </w:rPr>
        <w:t xml:space="preserve"> </w:t>
      </w:r>
      <w:r>
        <w:rPr>
          <w:sz w:val="18"/>
        </w:rPr>
        <w:t>Globe,”</w:t>
      </w:r>
      <w:r>
        <w:rPr>
          <w:spacing w:val="-3"/>
          <w:sz w:val="18"/>
        </w:rPr>
        <w:t xml:space="preserve"> </w:t>
      </w:r>
      <w:r>
        <w:rPr>
          <w:sz w:val="18"/>
        </w:rPr>
        <w:t>accessed</w:t>
      </w:r>
      <w:r>
        <w:rPr>
          <w:spacing w:val="-1"/>
          <w:sz w:val="18"/>
        </w:rPr>
        <w:t xml:space="preserve"> </w:t>
      </w:r>
      <w:r>
        <w:rPr>
          <w:sz w:val="18"/>
        </w:rPr>
        <w:t>April 24, 2023, https://</w:t>
      </w:r>
      <w:hyperlink r:id="rId157">
        <w:r>
          <w:rPr>
            <w:sz w:val="18"/>
          </w:rPr>
          <w:t>www.bostonglobe.com/2022/09/16/metro/stoughton-high-school-faculty-told-not-display-items-deemed-</w:t>
        </w:r>
      </w:hyperlink>
      <w:r>
        <w:rPr>
          <w:sz w:val="18"/>
        </w:rPr>
        <w:t xml:space="preserve"> </w:t>
      </w:r>
      <w:r>
        <w:rPr>
          <w:spacing w:val="-2"/>
          <w:sz w:val="18"/>
        </w:rPr>
        <w:t>political-classrooms/.</w:t>
      </w:r>
    </w:p>
    <w:p w:rsidR="00200FDA" w:rsidRDefault="00F76C4C">
      <w:pPr>
        <w:spacing w:before="1"/>
        <w:ind w:left="140" w:right="1114" w:hanging="1"/>
        <w:rPr>
          <w:sz w:val="18"/>
        </w:rPr>
      </w:pPr>
      <w:r>
        <w:rPr>
          <w:position w:val="5"/>
          <w:sz w:val="12"/>
        </w:rPr>
        <w:t>13</w:t>
      </w:r>
      <w:r>
        <w:rPr>
          <w:spacing w:val="21"/>
          <w:position w:val="5"/>
          <w:sz w:val="12"/>
        </w:rPr>
        <w:t xml:space="preserve"> </w:t>
      </w:r>
      <w:r>
        <w:rPr>
          <w:sz w:val="18"/>
        </w:rPr>
        <w:t>“Book Challenges up Nationwide and in Massachusetts Libraries – MBLC Blog,” acce</w:t>
      </w:r>
      <w:r>
        <w:rPr>
          <w:sz w:val="18"/>
        </w:rPr>
        <w:t xml:space="preserve">ssed April 24, 2023, </w:t>
      </w:r>
      <w:r>
        <w:rPr>
          <w:spacing w:val="-2"/>
          <w:sz w:val="18"/>
        </w:rPr>
        <w:t>https://mblc.state.ma.us/mblc_blog/2022/11/01/book-challenges-up-nationwide-and-in-massachusetts-libraries/.</w:t>
      </w:r>
    </w:p>
    <w:p w:rsidR="00200FDA" w:rsidRDefault="00F76C4C">
      <w:pPr>
        <w:ind w:left="139" w:right="161"/>
        <w:rPr>
          <w:sz w:val="18"/>
        </w:rPr>
      </w:pPr>
      <w:r>
        <w:rPr>
          <w:position w:val="5"/>
          <w:sz w:val="12"/>
        </w:rPr>
        <w:t>14</w:t>
      </w:r>
      <w:r>
        <w:rPr>
          <w:sz w:val="18"/>
        </w:rPr>
        <w:t>Kosciw,</w:t>
      </w:r>
      <w:r>
        <w:rPr>
          <w:spacing w:val="-2"/>
          <w:sz w:val="18"/>
        </w:rPr>
        <w:t xml:space="preserve"> </w:t>
      </w:r>
      <w:r>
        <w:rPr>
          <w:sz w:val="18"/>
        </w:rPr>
        <w:t>J.</w:t>
      </w:r>
      <w:r>
        <w:rPr>
          <w:spacing w:val="-2"/>
          <w:sz w:val="18"/>
        </w:rPr>
        <w:t xml:space="preserve"> </w:t>
      </w:r>
      <w:r>
        <w:rPr>
          <w:sz w:val="18"/>
        </w:rPr>
        <w:t>G.,</w:t>
      </w:r>
      <w:r>
        <w:rPr>
          <w:spacing w:val="-2"/>
          <w:sz w:val="18"/>
        </w:rPr>
        <w:t xml:space="preserve"> </w:t>
      </w:r>
      <w:r>
        <w:rPr>
          <w:sz w:val="18"/>
        </w:rPr>
        <w:t>Clark,</w:t>
      </w:r>
      <w:r>
        <w:rPr>
          <w:spacing w:val="-2"/>
          <w:sz w:val="18"/>
        </w:rPr>
        <w:t xml:space="preserve"> </w:t>
      </w:r>
      <w:r>
        <w:rPr>
          <w:sz w:val="18"/>
        </w:rPr>
        <w:t>C.</w:t>
      </w:r>
      <w:r>
        <w:rPr>
          <w:spacing w:val="-2"/>
          <w:sz w:val="18"/>
        </w:rPr>
        <w:t xml:space="preserve"> </w:t>
      </w:r>
      <w:r>
        <w:rPr>
          <w:sz w:val="18"/>
        </w:rPr>
        <w:t>M.,</w:t>
      </w:r>
      <w:r>
        <w:rPr>
          <w:spacing w:val="-4"/>
          <w:sz w:val="18"/>
        </w:rPr>
        <w:t xml:space="preserve"> </w:t>
      </w:r>
      <w:r>
        <w:rPr>
          <w:sz w:val="18"/>
        </w:rPr>
        <w:t>Truong,</w:t>
      </w:r>
      <w:r>
        <w:rPr>
          <w:spacing w:val="-2"/>
          <w:sz w:val="18"/>
        </w:rPr>
        <w:t xml:space="preserve"> </w:t>
      </w:r>
      <w:r>
        <w:rPr>
          <w:sz w:val="18"/>
        </w:rPr>
        <w:t>N.</w:t>
      </w:r>
      <w:r>
        <w:rPr>
          <w:spacing w:val="-2"/>
          <w:sz w:val="18"/>
        </w:rPr>
        <w:t xml:space="preserve"> </w:t>
      </w:r>
      <w:r>
        <w:rPr>
          <w:sz w:val="18"/>
        </w:rPr>
        <w:t>L.,</w:t>
      </w:r>
      <w:r>
        <w:rPr>
          <w:spacing w:val="-2"/>
          <w:sz w:val="18"/>
        </w:rPr>
        <w:t xml:space="preserve"> </w:t>
      </w:r>
      <w:r>
        <w:rPr>
          <w:sz w:val="18"/>
        </w:rPr>
        <w:t>&amp;</w:t>
      </w:r>
      <w:r>
        <w:rPr>
          <w:spacing w:val="-3"/>
          <w:sz w:val="18"/>
        </w:rPr>
        <w:t xml:space="preserve"> </w:t>
      </w:r>
      <w:r>
        <w:rPr>
          <w:sz w:val="18"/>
        </w:rPr>
        <w:t>Zongrone,</w:t>
      </w:r>
      <w:r>
        <w:rPr>
          <w:spacing w:val="-2"/>
          <w:sz w:val="18"/>
        </w:rPr>
        <w:t xml:space="preserve"> </w:t>
      </w:r>
      <w:r>
        <w:rPr>
          <w:sz w:val="18"/>
        </w:rPr>
        <w:t>A.</w:t>
      </w:r>
      <w:r>
        <w:rPr>
          <w:spacing w:val="-2"/>
          <w:sz w:val="18"/>
        </w:rPr>
        <w:t xml:space="preserve"> </w:t>
      </w:r>
      <w:r>
        <w:rPr>
          <w:sz w:val="18"/>
        </w:rPr>
        <w:t>D.</w:t>
      </w:r>
      <w:r>
        <w:rPr>
          <w:spacing w:val="-2"/>
          <w:sz w:val="18"/>
        </w:rPr>
        <w:t xml:space="preserve"> </w:t>
      </w:r>
      <w:r>
        <w:rPr>
          <w:sz w:val="18"/>
        </w:rPr>
        <w:t>(2012).</w:t>
      </w:r>
      <w:r>
        <w:rPr>
          <w:spacing w:val="-2"/>
          <w:sz w:val="18"/>
        </w:rPr>
        <w:t xml:space="preserve"> </w:t>
      </w:r>
      <w:r>
        <w:rPr>
          <w:i/>
          <w:sz w:val="18"/>
        </w:rPr>
        <w:t>The</w:t>
      </w:r>
      <w:r>
        <w:rPr>
          <w:i/>
          <w:spacing w:val="-2"/>
          <w:sz w:val="18"/>
        </w:rPr>
        <w:t xml:space="preserve"> </w:t>
      </w:r>
      <w:r>
        <w:rPr>
          <w:i/>
          <w:sz w:val="18"/>
        </w:rPr>
        <w:t>2011</w:t>
      </w:r>
      <w:r>
        <w:rPr>
          <w:i/>
          <w:spacing w:val="-2"/>
          <w:sz w:val="18"/>
        </w:rPr>
        <w:t xml:space="preserve"> </w:t>
      </w:r>
      <w:r>
        <w:rPr>
          <w:i/>
          <w:sz w:val="18"/>
        </w:rPr>
        <w:t>National</w:t>
      </w:r>
      <w:r>
        <w:rPr>
          <w:i/>
          <w:spacing w:val="-3"/>
          <w:sz w:val="18"/>
        </w:rPr>
        <w:t xml:space="preserve"> </w:t>
      </w:r>
      <w:r>
        <w:rPr>
          <w:i/>
          <w:sz w:val="18"/>
        </w:rPr>
        <w:t>School</w:t>
      </w:r>
      <w:r>
        <w:rPr>
          <w:i/>
          <w:spacing w:val="-3"/>
          <w:sz w:val="18"/>
        </w:rPr>
        <w:t xml:space="preserve"> </w:t>
      </w:r>
      <w:r>
        <w:rPr>
          <w:i/>
          <w:sz w:val="18"/>
        </w:rPr>
        <w:t>Climate</w:t>
      </w:r>
      <w:r>
        <w:rPr>
          <w:i/>
          <w:spacing w:val="-2"/>
          <w:sz w:val="18"/>
        </w:rPr>
        <w:t xml:space="preserve"> </w:t>
      </w:r>
      <w:r>
        <w:rPr>
          <w:i/>
          <w:sz w:val="18"/>
        </w:rPr>
        <w:t>Survey:</w:t>
      </w:r>
      <w:r>
        <w:rPr>
          <w:i/>
          <w:spacing w:val="-3"/>
          <w:sz w:val="18"/>
        </w:rPr>
        <w:t xml:space="preserve"> </w:t>
      </w:r>
      <w:r>
        <w:rPr>
          <w:i/>
          <w:sz w:val="18"/>
        </w:rPr>
        <w:t>The</w:t>
      </w:r>
      <w:r>
        <w:rPr>
          <w:i/>
          <w:spacing w:val="-2"/>
          <w:sz w:val="18"/>
        </w:rPr>
        <w:t xml:space="preserve"> </w:t>
      </w:r>
      <w:r>
        <w:rPr>
          <w:i/>
          <w:sz w:val="18"/>
        </w:rPr>
        <w:t>experiences</w:t>
      </w:r>
      <w:r>
        <w:rPr>
          <w:i/>
          <w:spacing w:val="-3"/>
          <w:sz w:val="18"/>
        </w:rPr>
        <w:t xml:space="preserve"> </w:t>
      </w:r>
      <w:r>
        <w:rPr>
          <w:i/>
          <w:sz w:val="18"/>
        </w:rPr>
        <w:t>of lesbian, gay, bisexual, transgender, and queer youth in our nation’s schools</w:t>
      </w:r>
      <w:r>
        <w:rPr>
          <w:sz w:val="18"/>
        </w:rPr>
        <w:t xml:space="preserve">. Gay, Lesbian and Straight Education Network (GLSEN). Retrieved from </w:t>
      </w:r>
      <w:hyperlink r:id="rId158">
        <w:r>
          <w:rPr>
            <w:sz w:val="18"/>
          </w:rPr>
          <w:t>www.glsen.org/research</w:t>
        </w:r>
      </w:hyperlink>
    </w:p>
    <w:p w:rsidR="00200FDA" w:rsidRDefault="00F76C4C">
      <w:pPr>
        <w:ind w:left="139" w:right="139"/>
        <w:rPr>
          <w:sz w:val="18"/>
        </w:rPr>
      </w:pPr>
      <w:r>
        <w:rPr>
          <w:position w:val="5"/>
          <w:sz w:val="12"/>
        </w:rPr>
        <w:t>15</w:t>
      </w:r>
      <w:r>
        <w:rPr>
          <w:sz w:val="18"/>
        </w:rPr>
        <w:t>Palkki,</w:t>
      </w:r>
      <w:r>
        <w:rPr>
          <w:spacing w:val="-2"/>
          <w:sz w:val="18"/>
        </w:rPr>
        <w:t xml:space="preserve"> </w:t>
      </w:r>
      <w:r>
        <w:rPr>
          <w:sz w:val="18"/>
        </w:rPr>
        <w:t>J.,</w:t>
      </w:r>
      <w:r>
        <w:rPr>
          <w:spacing w:val="-2"/>
          <w:sz w:val="18"/>
        </w:rPr>
        <w:t xml:space="preserve"> </w:t>
      </w:r>
      <w:r>
        <w:rPr>
          <w:sz w:val="18"/>
        </w:rPr>
        <w:t>&amp;</w:t>
      </w:r>
      <w:r>
        <w:rPr>
          <w:spacing w:val="-3"/>
          <w:sz w:val="18"/>
        </w:rPr>
        <w:t xml:space="preserve"> </w:t>
      </w:r>
      <w:r>
        <w:rPr>
          <w:sz w:val="18"/>
        </w:rPr>
        <w:t>Caldwell,</w:t>
      </w:r>
      <w:r>
        <w:rPr>
          <w:spacing w:val="-2"/>
          <w:sz w:val="18"/>
        </w:rPr>
        <w:t xml:space="preserve"> </w:t>
      </w:r>
      <w:r>
        <w:rPr>
          <w:sz w:val="18"/>
        </w:rPr>
        <w:t>P.</w:t>
      </w:r>
      <w:r>
        <w:rPr>
          <w:spacing w:val="-2"/>
          <w:sz w:val="18"/>
        </w:rPr>
        <w:t xml:space="preserve"> </w:t>
      </w:r>
      <w:r>
        <w:rPr>
          <w:sz w:val="18"/>
        </w:rPr>
        <w:t>(2018).</w:t>
      </w:r>
      <w:r>
        <w:rPr>
          <w:spacing w:val="-2"/>
          <w:sz w:val="18"/>
        </w:rPr>
        <w:t xml:space="preserve"> </w:t>
      </w:r>
      <w:r>
        <w:rPr>
          <w:sz w:val="18"/>
        </w:rPr>
        <w:t>“We</w:t>
      </w:r>
      <w:r>
        <w:rPr>
          <w:spacing w:val="-3"/>
          <w:sz w:val="18"/>
        </w:rPr>
        <w:t xml:space="preserve"> </w:t>
      </w:r>
      <w:r>
        <w:rPr>
          <w:sz w:val="18"/>
        </w:rPr>
        <w:t>are</w:t>
      </w:r>
      <w:r>
        <w:rPr>
          <w:spacing w:val="-3"/>
          <w:sz w:val="18"/>
        </w:rPr>
        <w:t xml:space="preserve"> </w:t>
      </w:r>
      <w:r>
        <w:rPr>
          <w:sz w:val="18"/>
        </w:rPr>
        <w:t>often</w:t>
      </w:r>
      <w:r>
        <w:rPr>
          <w:spacing w:val="-3"/>
          <w:sz w:val="18"/>
        </w:rPr>
        <w:t xml:space="preserve"> </w:t>
      </w:r>
      <w:r>
        <w:rPr>
          <w:sz w:val="18"/>
        </w:rPr>
        <w:t>invisible”: A</w:t>
      </w:r>
      <w:r>
        <w:rPr>
          <w:spacing w:val="-3"/>
          <w:sz w:val="18"/>
        </w:rPr>
        <w:t xml:space="preserve"> </w:t>
      </w:r>
      <w:r>
        <w:rPr>
          <w:sz w:val="18"/>
        </w:rPr>
        <w:t>survey on</w:t>
      </w:r>
      <w:r>
        <w:rPr>
          <w:spacing w:val="-3"/>
          <w:sz w:val="18"/>
        </w:rPr>
        <w:t xml:space="preserve"> </w:t>
      </w:r>
      <w:r>
        <w:rPr>
          <w:sz w:val="18"/>
        </w:rPr>
        <w:t>safe</w:t>
      </w:r>
      <w:r>
        <w:rPr>
          <w:spacing w:val="-3"/>
          <w:sz w:val="18"/>
        </w:rPr>
        <w:t xml:space="preserve"> </w:t>
      </w:r>
      <w:r>
        <w:rPr>
          <w:sz w:val="18"/>
        </w:rPr>
        <w:t>space</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students</w:t>
      </w:r>
      <w:r>
        <w:rPr>
          <w:spacing w:val="-1"/>
          <w:sz w:val="18"/>
        </w:rPr>
        <w:t xml:space="preserve"> </w:t>
      </w:r>
      <w:r>
        <w:rPr>
          <w:sz w:val="18"/>
        </w:rPr>
        <w:t>in</w:t>
      </w:r>
      <w:r>
        <w:rPr>
          <w:spacing w:val="-3"/>
          <w:sz w:val="18"/>
        </w:rPr>
        <w:t xml:space="preserve"> </w:t>
      </w:r>
      <w:r>
        <w:rPr>
          <w:sz w:val="18"/>
        </w:rPr>
        <w:t>secondary</w:t>
      </w:r>
      <w:r>
        <w:rPr>
          <w:spacing w:val="-2"/>
          <w:sz w:val="18"/>
        </w:rPr>
        <w:t xml:space="preserve"> </w:t>
      </w:r>
      <w:r>
        <w:rPr>
          <w:sz w:val="18"/>
        </w:rPr>
        <w:t>school</w:t>
      </w:r>
      <w:r>
        <w:rPr>
          <w:spacing w:val="-3"/>
          <w:sz w:val="18"/>
        </w:rPr>
        <w:t xml:space="preserve"> </w:t>
      </w:r>
      <w:r>
        <w:rPr>
          <w:sz w:val="18"/>
        </w:rPr>
        <w:t>choral programs. Research Studies in Music Education, 40(1), 28-49. doi:10.1177/1321103x17734973</w:t>
      </w:r>
    </w:p>
    <w:p w:rsidR="00200FDA" w:rsidRDefault="00200FDA">
      <w:pPr>
        <w:rPr>
          <w:sz w:val="18"/>
        </w:rPr>
        <w:sectPr w:rsidR="00200FDA">
          <w:pgSz w:w="12240" w:h="15840"/>
          <w:pgMar w:top="1360" w:right="1300" w:bottom="1380" w:left="1300" w:header="761" w:footer="1132" w:gutter="0"/>
          <w:cols w:space="720"/>
        </w:sectPr>
      </w:pPr>
    </w:p>
    <w:p w:rsidR="00200FDA" w:rsidRDefault="00200FDA">
      <w:pPr>
        <w:pStyle w:val="BodyText"/>
        <w:spacing w:before="10"/>
        <w:rPr>
          <w:sz w:val="19"/>
        </w:rPr>
      </w:pPr>
    </w:p>
    <w:p w:rsidR="00200FDA" w:rsidRDefault="00F76C4C">
      <w:pPr>
        <w:spacing w:before="69"/>
        <w:ind w:left="140" w:right="139" w:hanging="1"/>
        <w:rPr>
          <w:sz w:val="18"/>
        </w:rPr>
      </w:pPr>
      <w:r>
        <w:rPr>
          <w:position w:val="5"/>
          <w:sz w:val="12"/>
        </w:rPr>
        <w:t>16</w:t>
      </w:r>
      <w:r>
        <w:rPr>
          <w:sz w:val="18"/>
        </w:rPr>
        <w:t>Palkki,</w:t>
      </w:r>
      <w:r>
        <w:rPr>
          <w:spacing w:val="-2"/>
          <w:sz w:val="18"/>
        </w:rPr>
        <w:t xml:space="preserve"> </w:t>
      </w:r>
      <w:r>
        <w:rPr>
          <w:sz w:val="18"/>
        </w:rPr>
        <w:t>J.</w:t>
      </w:r>
      <w:r>
        <w:rPr>
          <w:spacing w:val="-2"/>
          <w:sz w:val="18"/>
        </w:rPr>
        <w:t xml:space="preserve"> </w:t>
      </w:r>
      <w:r>
        <w:rPr>
          <w:sz w:val="18"/>
        </w:rPr>
        <w:t>(2019).</w:t>
      </w:r>
      <w:r>
        <w:rPr>
          <w:spacing w:val="-2"/>
          <w:sz w:val="18"/>
        </w:rPr>
        <w:t xml:space="preserve"> </w:t>
      </w:r>
      <w:r>
        <w:rPr>
          <w:sz w:val="18"/>
        </w:rPr>
        <w:t>“My</w:t>
      </w:r>
      <w:r>
        <w:rPr>
          <w:spacing w:val="-2"/>
          <w:sz w:val="18"/>
        </w:rPr>
        <w:t xml:space="preserve"> </w:t>
      </w:r>
      <w:r>
        <w:rPr>
          <w:sz w:val="18"/>
        </w:rPr>
        <w:t>voice</w:t>
      </w:r>
      <w:r>
        <w:rPr>
          <w:spacing w:val="-3"/>
          <w:sz w:val="18"/>
        </w:rPr>
        <w:t xml:space="preserve"> </w:t>
      </w:r>
      <w:r>
        <w:rPr>
          <w:sz w:val="18"/>
        </w:rPr>
        <w:t>speaks</w:t>
      </w:r>
      <w:r>
        <w:rPr>
          <w:spacing w:val="-3"/>
          <w:sz w:val="18"/>
        </w:rPr>
        <w:t xml:space="preserve"> </w:t>
      </w:r>
      <w:r>
        <w:rPr>
          <w:sz w:val="18"/>
        </w:rPr>
        <w:t>for</w:t>
      </w:r>
      <w:r>
        <w:rPr>
          <w:spacing w:val="-3"/>
          <w:sz w:val="18"/>
        </w:rPr>
        <w:t xml:space="preserve"> </w:t>
      </w:r>
      <w:r>
        <w:rPr>
          <w:sz w:val="18"/>
        </w:rPr>
        <w:t>itself”:</w:t>
      </w:r>
      <w:r>
        <w:rPr>
          <w:spacing w:val="-2"/>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three</w:t>
      </w:r>
      <w:r>
        <w:rPr>
          <w:spacing w:val="-3"/>
          <w:sz w:val="18"/>
        </w:rPr>
        <w:t xml:space="preserve"> </w:t>
      </w:r>
      <w:r>
        <w:rPr>
          <w:sz w:val="18"/>
        </w:rPr>
        <w:t>transgender</w:t>
      </w:r>
      <w:r>
        <w:rPr>
          <w:spacing w:val="-3"/>
          <w:sz w:val="18"/>
        </w:rPr>
        <w:t xml:space="preserve"> </w:t>
      </w:r>
      <w:r>
        <w:rPr>
          <w:sz w:val="18"/>
        </w:rPr>
        <w:t>students</w:t>
      </w:r>
      <w:r>
        <w:rPr>
          <w:spacing w:val="-1"/>
          <w:sz w:val="18"/>
        </w:rPr>
        <w:t xml:space="preserve"> </w:t>
      </w:r>
      <w:r>
        <w:rPr>
          <w:sz w:val="18"/>
        </w:rPr>
        <w:t>in</w:t>
      </w:r>
      <w:r>
        <w:rPr>
          <w:spacing w:val="-3"/>
          <w:sz w:val="18"/>
        </w:rPr>
        <w:t xml:space="preserve"> </w:t>
      </w:r>
      <w:r>
        <w:rPr>
          <w:sz w:val="18"/>
        </w:rPr>
        <w:t>american</w:t>
      </w:r>
      <w:r>
        <w:rPr>
          <w:spacing w:val="-3"/>
          <w:sz w:val="18"/>
        </w:rPr>
        <w:t xml:space="preserve"> </w:t>
      </w:r>
      <w:r>
        <w:rPr>
          <w:sz w:val="18"/>
        </w:rPr>
        <w:t>secondary</w:t>
      </w:r>
      <w:r>
        <w:rPr>
          <w:spacing w:val="-2"/>
          <w:sz w:val="18"/>
        </w:rPr>
        <w:t xml:space="preserve"> </w:t>
      </w:r>
      <w:r>
        <w:rPr>
          <w:sz w:val="18"/>
        </w:rPr>
        <w:t>school choral programs. International Journal of Music Education, 38(1), 126-146. doi:10.1177/0255761419890946.</w:t>
      </w:r>
    </w:p>
    <w:p w:rsidR="00200FDA" w:rsidRDefault="00F76C4C">
      <w:pPr>
        <w:ind w:left="140" w:right="607" w:hanging="1"/>
        <w:rPr>
          <w:sz w:val="18"/>
        </w:rPr>
      </w:pPr>
      <w:r>
        <w:rPr>
          <w:position w:val="5"/>
          <w:sz w:val="12"/>
        </w:rPr>
        <w:t>17</w:t>
      </w:r>
      <w:r>
        <w:rPr>
          <w:sz w:val="18"/>
        </w:rPr>
        <w:t>Kruse,</w:t>
      </w:r>
      <w:r>
        <w:rPr>
          <w:spacing w:val="-2"/>
          <w:sz w:val="18"/>
        </w:rPr>
        <w:t xml:space="preserve"> </w:t>
      </w:r>
      <w:r>
        <w:rPr>
          <w:sz w:val="18"/>
        </w:rPr>
        <w:t>A.</w:t>
      </w:r>
      <w:r>
        <w:rPr>
          <w:spacing w:val="-2"/>
          <w:sz w:val="18"/>
        </w:rPr>
        <w:t xml:space="preserve"> </w:t>
      </w:r>
      <w:r>
        <w:rPr>
          <w:sz w:val="18"/>
        </w:rPr>
        <w:t>J.</w:t>
      </w:r>
      <w:r>
        <w:rPr>
          <w:spacing w:val="-2"/>
          <w:sz w:val="18"/>
        </w:rPr>
        <w:t xml:space="preserve"> </w:t>
      </w:r>
      <w:r>
        <w:rPr>
          <w:sz w:val="18"/>
        </w:rPr>
        <w:t>(2016).</w:t>
      </w:r>
      <w:r>
        <w:rPr>
          <w:spacing w:val="-2"/>
          <w:sz w:val="18"/>
        </w:rPr>
        <w:t xml:space="preserve"> </w:t>
      </w:r>
      <w:r>
        <w:rPr>
          <w:sz w:val="18"/>
        </w:rPr>
        <w:t>“Therapy</w:t>
      </w:r>
      <w:r>
        <w:rPr>
          <w:spacing w:val="-2"/>
          <w:sz w:val="18"/>
        </w:rPr>
        <w:t xml:space="preserve"> </w:t>
      </w:r>
      <w:r>
        <w:rPr>
          <w:sz w:val="18"/>
        </w:rPr>
        <w:t>was</w:t>
      </w:r>
      <w:r>
        <w:rPr>
          <w:spacing w:val="-3"/>
          <w:sz w:val="18"/>
        </w:rPr>
        <w:t xml:space="preserve"> </w:t>
      </w:r>
      <w:r>
        <w:rPr>
          <w:sz w:val="18"/>
        </w:rPr>
        <w:t>writing</w:t>
      </w:r>
      <w:r>
        <w:rPr>
          <w:spacing w:val="-3"/>
          <w:sz w:val="18"/>
        </w:rPr>
        <w:t xml:space="preserve"> </w:t>
      </w:r>
      <w:r>
        <w:rPr>
          <w:sz w:val="18"/>
        </w:rPr>
        <w:t>rhymes”:</w:t>
      </w:r>
      <w:r>
        <w:rPr>
          <w:spacing w:val="-2"/>
          <w:sz w:val="18"/>
        </w:rPr>
        <w:t xml:space="preserve"> </w:t>
      </w:r>
      <w:r>
        <w:rPr>
          <w:sz w:val="18"/>
        </w:rPr>
        <w:t>Hip</w:t>
      </w:r>
      <w:r>
        <w:rPr>
          <w:sz w:val="18"/>
        </w:rPr>
        <w:t>-hop</w:t>
      </w:r>
      <w:r>
        <w:rPr>
          <w:spacing w:val="-3"/>
          <w:sz w:val="18"/>
        </w:rPr>
        <w:t xml:space="preserve"> </w:t>
      </w:r>
      <w:r>
        <w:rPr>
          <w:sz w:val="18"/>
        </w:rPr>
        <w:t>as</w:t>
      </w:r>
      <w:r>
        <w:rPr>
          <w:spacing w:val="-3"/>
          <w:sz w:val="18"/>
        </w:rPr>
        <w:t xml:space="preserve"> </w:t>
      </w:r>
      <w:r>
        <w:rPr>
          <w:sz w:val="18"/>
        </w:rPr>
        <w:t>resilient</w:t>
      </w:r>
      <w:r>
        <w:rPr>
          <w:spacing w:val="-3"/>
          <w:sz w:val="18"/>
        </w:rPr>
        <w:t xml:space="preserve"> </w:t>
      </w:r>
      <w:r>
        <w:rPr>
          <w:sz w:val="18"/>
        </w:rPr>
        <w:t>space</w:t>
      </w:r>
      <w:r>
        <w:rPr>
          <w:spacing w:val="-3"/>
          <w:sz w:val="18"/>
        </w:rPr>
        <w:t xml:space="preserve"> </w:t>
      </w:r>
      <w:r>
        <w:rPr>
          <w:sz w:val="18"/>
        </w:rPr>
        <w:t>for</w:t>
      </w:r>
      <w:r>
        <w:rPr>
          <w:spacing w:val="-3"/>
          <w:sz w:val="18"/>
        </w:rPr>
        <w:t xml:space="preserve"> </w:t>
      </w:r>
      <w:r>
        <w:rPr>
          <w:sz w:val="18"/>
        </w:rPr>
        <w:t>a</w:t>
      </w:r>
      <w:r>
        <w:rPr>
          <w:spacing w:val="-2"/>
          <w:sz w:val="18"/>
        </w:rPr>
        <w:t xml:space="preserve"> </w:t>
      </w:r>
      <w:r>
        <w:rPr>
          <w:sz w:val="18"/>
        </w:rPr>
        <w:t>queer</w:t>
      </w:r>
      <w:r>
        <w:rPr>
          <w:spacing w:val="-3"/>
          <w:sz w:val="18"/>
        </w:rPr>
        <w:t xml:space="preserve"> </w:t>
      </w:r>
      <w:r>
        <w:rPr>
          <w:sz w:val="18"/>
        </w:rPr>
        <w:t>rapper</w:t>
      </w:r>
      <w:r>
        <w:rPr>
          <w:spacing w:val="-3"/>
          <w:sz w:val="18"/>
        </w:rPr>
        <w:t xml:space="preserve"> </w:t>
      </w:r>
      <w:r>
        <w:rPr>
          <w:sz w:val="18"/>
        </w:rPr>
        <w:t>of</w:t>
      </w:r>
      <w:r>
        <w:rPr>
          <w:spacing w:val="-2"/>
          <w:sz w:val="18"/>
        </w:rPr>
        <w:t xml:space="preserve"> </w:t>
      </w:r>
      <w:r>
        <w:rPr>
          <w:sz w:val="18"/>
        </w:rPr>
        <w:t>color.</w:t>
      </w:r>
      <w:r>
        <w:rPr>
          <w:spacing w:val="-2"/>
          <w:sz w:val="18"/>
        </w:rPr>
        <w:t xml:space="preserve"> </w:t>
      </w:r>
      <w:r>
        <w:rPr>
          <w:sz w:val="18"/>
        </w:rPr>
        <w:t>Bulletin</w:t>
      </w:r>
      <w:r>
        <w:rPr>
          <w:spacing w:val="-3"/>
          <w:sz w:val="18"/>
        </w:rPr>
        <w:t xml:space="preserve"> </w:t>
      </w:r>
      <w:r>
        <w:rPr>
          <w:sz w:val="18"/>
        </w:rPr>
        <w:t>of</w:t>
      </w:r>
      <w:r>
        <w:rPr>
          <w:spacing w:val="-2"/>
          <w:sz w:val="18"/>
        </w:rPr>
        <w:t xml:space="preserve"> </w:t>
      </w:r>
      <w:r>
        <w:rPr>
          <w:sz w:val="18"/>
        </w:rPr>
        <w:t>the Council for Research in Music Education, (207-208), 101-122.</w:t>
      </w:r>
    </w:p>
    <w:p w:rsidR="00200FDA" w:rsidRDefault="00F76C4C">
      <w:pPr>
        <w:spacing w:line="219" w:lineRule="exact"/>
        <w:ind w:left="140"/>
        <w:rPr>
          <w:sz w:val="18"/>
        </w:rPr>
      </w:pPr>
      <w:r>
        <w:rPr>
          <w:position w:val="5"/>
          <w:sz w:val="12"/>
        </w:rPr>
        <w:t>18</w:t>
      </w:r>
      <w:r>
        <w:rPr>
          <w:spacing w:val="7"/>
          <w:position w:val="5"/>
          <w:sz w:val="12"/>
        </w:rPr>
        <w:t xml:space="preserve"> </w:t>
      </w:r>
      <w:r>
        <w:rPr>
          <w:sz w:val="18"/>
        </w:rPr>
        <w:t>“Massachusetts</w:t>
      </w:r>
      <w:r>
        <w:rPr>
          <w:spacing w:val="-3"/>
          <w:sz w:val="18"/>
        </w:rPr>
        <w:t xml:space="preserve"> </w:t>
      </w:r>
      <w:r>
        <w:rPr>
          <w:sz w:val="18"/>
        </w:rPr>
        <w:t>-</w:t>
      </w:r>
      <w:r>
        <w:rPr>
          <w:spacing w:val="-2"/>
          <w:sz w:val="18"/>
        </w:rPr>
        <w:t xml:space="preserve"> </w:t>
      </w:r>
      <w:r>
        <w:rPr>
          <w:sz w:val="18"/>
        </w:rPr>
        <w:t>Arts</w:t>
      </w:r>
      <w:r>
        <w:rPr>
          <w:spacing w:val="-3"/>
          <w:sz w:val="18"/>
        </w:rPr>
        <w:t xml:space="preserve"> </w:t>
      </w:r>
      <w:r>
        <w:rPr>
          <w:sz w:val="18"/>
        </w:rPr>
        <w:t>Education</w:t>
      </w:r>
      <w:r>
        <w:rPr>
          <w:spacing w:val="-2"/>
          <w:sz w:val="18"/>
        </w:rPr>
        <w:t xml:space="preserve"> </w:t>
      </w:r>
      <w:r>
        <w:rPr>
          <w:sz w:val="18"/>
        </w:rPr>
        <w:t>Data</w:t>
      </w:r>
      <w:r>
        <w:rPr>
          <w:spacing w:val="-2"/>
          <w:sz w:val="18"/>
        </w:rPr>
        <w:t xml:space="preserve"> </w:t>
      </w:r>
      <w:r>
        <w:rPr>
          <w:sz w:val="18"/>
        </w:rPr>
        <w:t>Project,”</w:t>
      </w:r>
      <w:r>
        <w:rPr>
          <w:spacing w:val="-3"/>
          <w:sz w:val="18"/>
        </w:rPr>
        <w:t xml:space="preserve"> </w:t>
      </w:r>
      <w:r>
        <w:rPr>
          <w:sz w:val="18"/>
        </w:rPr>
        <w:t>accessed</w:t>
      </w:r>
      <w:r>
        <w:rPr>
          <w:spacing w:val="-4"/>
          <w:sz w:val="18"/>
        </w:rPr>
        <w:t xml:space="preserve"> </w:t>
      </w:r>
      <w:r>
        <w:rPr>
          <w:sz w:val="18"/>
        </w:rPr>
        <w:t>April</w:t>
      </w:r>
      <w:r>
        <w:rPr>
          <w:spacing w:val="-3"/>
          <w:sz w:val="18"/>
        </w:rPr>
        <w:t xml:space="preserve"> </w:t>
      </w:r>
      <w:r>
        <w:rPr>
          <w:sz w:val="18"/>
        </w:rPr>
        <w:t>24,</w:t>
      </w:r>
      <w:r>
        <w:rPr>
          <w:spacing w:val="1"/>
          <w:sz w:val="18"/>
        </w:rPr>
        <w:t xml:space="preserve"> </w:t>
      </w:r>
      <w:r>
        <w:rPr>
          <w:sz w:val="18"/>
        </w:rPr>
        <w:t>2023,</w:t>
      </w:r>
      <w:r>
        <w:rPr>
          <w:spacing w:val="-2"/>
          <w:sz w:val="18"/>
        </w:rPr>
        <w:t xml:space="preserve"> https://artseddata.org/massachusetts/.</w:t>
      </w:r>
    </w:p>
    <w:p w:rsidR="00200FDA" w:rsidRDefault="00F76C4C">
      <w:pPr>
        <w:spacing w:before="1" w:line="219" w:lineRule="exact"/>
        <w:ind w:left="140"/>
        <w:rPr>
          <w:sz w:val="18"/>
        </w:rPr>
      </w:pPr>
      <w:r>
        <w:rPr>
          <w:position w:val="5"/>
          <w:sz w:val="12"/>
        </w:rPr>
        <w:t>19</w:t>
      </w:r>
      <w:r>
        <w:rPr>
          <w:spacing w:val="10"/>
          <w:position w:val="5"/>
          <w:sz w:val="12"/>
        </w:rPr>
        <w:t xml:space="preserve"> </w:t>
      </w:r>
      <w:r>
        <w:rPr>
          <w:sz w:val="18"/>
        </w:rPr>
        <w:t>“Massachusetts</w:t>
      </w:r>
      <w:r>
        <w:rPr>
          <w:spacing w:val="-3"/>
          <w:sz w:val="18"/>
        </w:rPr>
        <w:t xml:space="preserve"> </w:t>
      </w:r>
      <w:r>
        <w:rPr>
          <w:sz w:val="18"/>
        </w:rPr>
        <w:t>-</w:t>
      </w:r>
      <w:r>
        <w:rPr>
          <w:spacing w:val="-2"/>
          <w:sz w:val="18"/>
        </w:rPr>
        <w:t xml:space="preserve"> </w:t>
      </w:r>
      <w:r>
        <w:rPr>
          <w:sz w:val="18"/>
        </w:rPr>
        <w:t>Arts</w:t>
      </w:r>
      <w:r>
        <w:rPr>
          <w:spacing w:val="-3"/>
          <w:sz w:val="18"/>
        </w:rPr>
        <w:t xml:space="preserve"> </w:t>
      </w:r>
      <w:r>
        <w:rPr>
          <w:sz w:val="18"/>
        </w:rPr>
        <w:t>Education</w:t>
      </w:r>
      <w:r>
        <w:rPr>
          <w:spacing w:val="-1"/>
          <w:sz w:val="18"/>
        </w:rPr>
        <w:t xml:space="preserve"> </w:t>
      </w:r>
      <w:r>
        <w:rPr>
          <w:sz w:val="18"/>
        </w:rPr>
        <w:t>Data</w:t>
      </w:r>
      <w:r>
        <w:rPr>
          <w:spacing w:val="-1"/>
          <w:sz w:val="18"/>
        </w:rPr>
        <w:t xml:space="preserve"> </w:t>
      </w:r>
      <w:r>
        <w:rPr>
          <w:spacing w:val="-2"/>
          <w:sz w:val="18"/>
        </w:rPr>
        <w:t>Project.”</w:t>
      </w:r>
    </w:p>
    <w:p w:rsidR="00200FDA" w:rsidRDefault="00F76C4C">
      <w:pPr>
        <w:spacing w:line="219" w:lineRule="exact"/>
        <w:ind w:left="140"/>
        <w:rPr>
          <w:sz w:val="18"/>
        </w:rPr>
      </w:pPr>
      <w:r>
        <w:rPr>
          <w:position w:val="5"/>
          <w:sz w:val="12"/>
        </w:rPr>
        <w:t>20</w:t>
      </w:r>
      <w:r>
        <w:rPr>
          <w:spacing w:val="10"/>
          <w:position w:val="5"/>
          <w:sz w:val="12"/>
        </w:rPr>
        <w:t xml:space="preserve"> </w:t>
      </w:r>
      <w:r>
        <w:rPr>
          <w:sz w:val="18"/>
        </w:rPr>
        <w:t>“Massachusetts</w:t>
      </w:r>
      <w:r>
        <w:rPr>
          <w:spacing w:val="-3"/>
          <w:sz w:val="18"/>
        </w:rPr>
        <w:t xml:space="preserve"> </w:t>
      </w:r>
      <w:r>
        <w:rPr>
          <w:sz w:val="18"/>
        </w:rPr>
        <w:t>-</w:t>
      </w:r>
      <w:r>
        <w:rPr>
          <w:spacing w:val="-2"/>
          <w:sz w:val="18"/>
        </w:rPr>
        <w:t xml:space="preserve"> </w:t>
      </w:r>
      <w:r>
        <w:rPr>
          <w:sz w:val="18"/>
        </w:rPr>
        <w:t>Arts</w:t>
      </w:r>
      <w:r>
        <w:rPr>
          <w:spacing w:val="-3"/>
          <w:sz w:val="18"/>
        </w:rPr>
        <w:t xml:space="preserve"> </w:t>
      </w:r>
      <w:r>
        <w:rPr>
          <w:sz w:val="18"/>
        </w:rPr>
        <w:t>Education</w:t>
      </w:r>
      <w:r>
        <w:rPr>
          <w:spacing w:val="-1"/>
          <w:sz w:val="18"/>
        </w:rPr>
        <w:t xml:space="preserve"> </w:t>
      </w:r>
      <w:r>
        <w:rPr>
          <w:sz w:val="18"/>
        </w:rPr>
        <w:t>Data</w:t>
      </w:r>
      <w:r>
        <w:rPr>
          <w:spacing w:val="-1"/>
          <w:sz w:val="18"/>
        </w:rPr>
        <w:t xml:space="preserve"> </w:t>
      </w:r>
      <w:r>
        <w:rPr>
          <w:spacing w:val="-2"/>
          <w:sz w:val="18"/>
        </w:rPr>
        <w:t>Project.”</w:t>
      </w:r>
    </w:p>
    <w:p w:rsidR="00200FDA" w:rsidRDefault="00F76C4C">
      <w:pPr>
        <w:spacing w:before="1"/>
        <w:ind w:left="140"/>
        <w:rPr>
          <w:sz w:val="18"/>
        </w:rPr>
      </w:pPr>
      <w:r>
        <w:rPr>
          <w:position w:val="5"/>
          <w:sz w:val="12"/>
        </w:rPr>
        <w:t>21</w:t>
      </w:r>
      <w:r>
        <w:rPr>
          <w:spacing w:val="10"/>
          <w:position w:val="5"/>
          <w:sz w:val="12"/>
        </w:rPr>
        <w:t xml:space="preserve"> </w:t>
      </w:r>
      <w:r>
        <w:rPr>
          <w:sz w:val="18"/>
        </w:rPr>
        <w:t>Clark,</w:t>
      </w:r>
      <w:r>
        <w:rPr>
          <w:spacing w:val="-2"/>
          <w:sz w:val="18"/>
        </w:rPr>
        <w:t xml:space="preserve"> </w:t>
      </w:r>
      <w:r>
        <w:rPr>
          <w:sz w:val="18"/>
        </w:rPr>
        <w:t>C.</w:t>
      </w:r>
      <w:r>
        <w:rPr>
          <w:spacing w:val="-2"/>
          <w:sz w:val="18"/>
        </w:rPr>
        <w:t xml:space="preserve"> </w:t>
      </w:r>
      <w:r>
        <w:rPr>
          <w:sz w:val="18"/>
        </w:rPr>
        <w:t>M.,</w:t>
      </w:r>
      <w:r>
        <w:rPr>
          <w:spacing w:val="-2"/>
          <w:sz w:val="18"/>
        </w:rPr>
        <w:t xml:space="preserve"> </w:t>
      </w:r>
      <w:r>
        <w:rPr>
          <w:sz w:val="18"/>
        </w:rPr>
        <w:t>&amp;</w:t>
      </w:r>
      <w:r>
        <w:rPr>
          <w:spacing w:val="-3"/>
          <w:sz w:val="18"/>
        </w:rPr>
        <w:t xml:space="preserve"> </w:t>
      </w:r>
      <w:r>
        <w:rPr>
          <w:sz w:val="18"/>
        </w:rPr>
        <w:t>Kosciw,</w:t>
      </w:r>
      <w:r>
        <w:rPr>
          <w:spacing w:val="-2"/>
          <w:sz w:val="18"/>
        </w:rPr>
        <w:t xml:space="preserve"> </w:t>
      </w:r>
      <w:r>
        <w:rPr>
          <w:sz w:val="18"/>
        </w:rPr>
        <w:t>J.</w:t>
      </w:r>
      <w:r>
        <w:rPr>
          <w:spacing w:val="-2"/>
          <w:sz w:val="18"/>
        </w:rPr>
        <w:t xml:space="preserve"> </w:t>
      </w:r>
      <w:r>
        <w:rPr>
          <w:sz w:val="18"/>
        </w:rPr>
        <w:t>G.</w:t>
      </w:r>
      <w:r>
        <w:rPr>
          <w:spacing w:val="-2"/>
          <w:sz w:val="18"/>
        </w:rPr>
        <w:t xml:space="preserve"> </w:t>
      </w:r>
      <w:r>
        <w:rPr>
          <w:sz w:val="18"/>
        </w:rPr>
        <w:t>‘Engaged</w:t>
      </w:r>
      <w:r>
        <w:rPr>
          <w:spacing w:val="-3"/>
          <w:sz w:val="18"/>
        </w:rPr>
        <w:t xml:space="preserve"> </w:t>
      </w:r>
      <w:r>
        <w:rPr>
          <w:sz w:val="18"/>
        </w:rPr>
        <w:t>or</w:t>
      </w:r>
      <w:r>
        <w:rPr>
          <w:spacing w:val="-3"/>
          <w:sz w:val="18"/>
        </w:rPr>
        <w:t xml:space="preserve"> </w:t>
      </w:r>
      <w:r>
        <w:rPr>
          <w:sz w:val="18"/>
        </w:rPr>
        <w:t>Excluded:</w:t>
      </w:r>
      <w:r>
        <w:rPr>
          <w:spacing w:val="-2"/>
          <w:sz w:val="18"/>
        </w:rPr>
        <w:t xml:space="preserve"> </w:t>
      </w:r>
      <w:r>
        <w:rPr>
          <w:sz w:val="18"/>
        </w:rPr>
        <w:t>LGBTQ</w:t>
      </w:r>
      <w:r>
        <w:rPr>
          <w:spacing w:val="-3"/>
          <w:sz w:val="18"/>
        </w:rPr>
        <w:t xml:space="preserve"> </w:t>
      </w:r>
      <w:r>
        <w:rPr>
          <w:sz w:val="18"/>
        </w:rPr>
        <w:t>Youth’s</w:t>
      </w:r>
      <w:r>
        <w:rPr>
          <w:spacing w:val="-1"/>
          <w:sz w:val="18"/>
        </w:rPr>
        <w:t xml:space="preserve"> </w:t>
      </w:r>
      <w:r>
        <w:rPr>
          <w:sz w:val="18"/>
        </w:rPr>
        <w:t>Participation</w:t>
      </w:r>
      <w:r>
        <w:rPr>
          <w:spacing w:val="-3"/>
          <w:sz w:val="18"/>
        </w:rPr>
        <w:t xml:space="preserve"> </w:t>
      </w:r>
      <w:r>
        <w:rPr>
          <w:sz w:val="18"/>
        </w:rPr>
        <w:t>in</w:t>
      </w:r>
      <w:r>
        <w:rPr>
          <w:spacing w:val="-1"/>
          <w:sz w:val="18"/>
        </w:rPr>
        <w:t xml:space="preserve"> </w:t>
      </w:r>
      <w:r>
        <w:rPr>
          <w:sz w:val="18"/>
        </w:rPr>
        <w:t>School</w:t>
      </w:r>
      <w:r>
        <w:rPr>
          <w:spacing w:val="-3"/>
          <w:sz w:val="18"/>
        </w:rPr>
        <w:t xml:space="preserve"> </w:t>
      </w:r>
      <w:r>
        <w:rPr>
          <w:sz w:val="18"/>
        </w:rPr>
        <w:t>Sports</w:t>
      </w:r>
      <w:r>
        <w:rPr>
          <w:spacing w:val="-3"/>
          <w:sz w:val="18"/>
        </w:rPr>
        <w:t xml:space="preserve"> </w:t>
      </w:r>
      <w:r>
        <w:rPr>
          <w:sz w:val="18"/>
        </w:rPr>
        <w:t>and</w:t>
      </w:r>
      <w:r>
        <w:rPr>
          <w:spacing w:val="-3"/>
          <w:sz w:val="18"/>
        </w:rPr>
        <w:t xml:space="preserve"> </w:t>
      </w:r>
      <w:r>
        <w:rPr>
          <w:sz w:val="18"/>
        </w:rPr>
        <w:t>Their</w:t>
      </w:r>
      <w:r>
        <w:rPr>
          <w:spacing w:val="-3"/>
          <w:sz w:val="18"/>
        </w:rPr>
        <w:t xml:space="preserve"> </w:t>
      </w:r>
      <w:r>
        <w:rPr>
          <w:sz w:val="18"/>
        </w:rPr>
        <w:t>Relationship</w:t>
      </w:r>
      <w:r>
        <w:rPr>
          <w:spacing w:val="-3"/>
          <w:sz w:val="18"/>
        </w:rPr>
        <w:t xml:space="preserve"> </w:t>
      </w:r>
      <w:r>
        <w:rPr>
          <w:sz w:val="18"/>
        </w:rPr>
        <w:t xml:space="preserve">to Psychological Well-being’, Psychology in the Schools, 2021, </w:t>
      </w:r>
      <w:hyperlink r:id="rId159">
        <w:r>
          <w:rPr>
            <w:color w:val="1154CC"/>
            <w:sz w:val="18"/>
            <w:u w:val="single" w:color="1154CC"/>
          </w:rPr>
          <w:t>https://doi.org/10.1002/pits.22500</w:t>
        </w:r>
      </w:hyperlink>
    </w:p>
    <w:p w:rsidR="00200FDA" w:rsidRDefault="00F76C4C">
      <w:pPr>
        <w:spacing w:line="219" w:lineRule="exact"/>
        <w:ind w:left="140"/>
        <w:rPr>
          <w:sz w:val="18"/>
        </w:rPr>
      </w:pPr>
      <w:r>
        <w:rPr>
          <w:position w:val="5"/>
          <w:sz w:val="12"/>
        </w:rPr>
        <w:t xml:space="preserve">22 </w:t>
      </w:r>
      <w:r>
        <w:rPr>
          <w:sz w:val="18"/>
        </w:rPr>
        <w:t>https://miaa.net/wp-</w:t>
      </w:r>
      <w:r>
        <w:rPr>
          <w:spacing w:val="-2"/>
          <w:sz w:val="18"/>
        </w:rPr>
        <w:t>content/uploads/2022/01/MIAA_Handbook21_23_O.pdf</w:t>
      </w:r>
    </w:p>
    <w:p w:rsidR="00200FDA" w:rsidRDefault="00F76C4C">
      <w:pPr>
        <w:spacing w:before="1" w:line="219" w:lineRule="exact"/>
        <w:ind w:left="140"/>
        <w:rPr>
          <w:sz w:val="18"/>
        </w:rPr>
      </w:pPr>
      <w:r>
        <w:rPr>
          <w:position w:val="5"/>
          <w:sz w:val="12"/>
        </w:rPr>
        <w:t>23</w:t>
      </w:r>
      <w:r>
        <w:rPr>
          <w:spacing w:val="11"/>
          <w:position w:val="5"/>
          <w:sz w:val="12"/>
        </w:rPr>
        <w:t xml:space="preserve"> </w:t>
      </w:r>
      <w:r>
        <w:rPr>
          <w:sz w:val="18"/>
        </w:rPr>
        <w:t>2021 MYRBS</w:t>
      </w:r>
      <w:r>
        <w:rPr>
          <w:spacing w:val="-1"/>
          <w:sz w:val="18"/>
        </w:rPr>
        <w:t xml:space="preserve"> </w:t>
      </w:r>
      <w:r>
        <w:rPr>
          <w:spacing w:val="-2"/>
          <w:sz w:val="18"/>
        </w:rPr>
        <w:t>Analysis.</w:t>
      </w:r>
    </w:p>
    <w:p w:rsidR="00200FDA" w:rsidRDefault="00F76C4C">
      <w:pPr>
        <w:ind w:left="140"/>
        <w:rPr>
          <w:sz w:val="18"/>
        </w:rPr>
      </w:pPr>
      <w:r>
        <w:rPr>
          <w:position w:val="5"/>
          <w:sz w:val="12"/>
        </w:rPr>
        <w:t>24</w:t>
      </w:r>
      <w:r>
        <w:rPr>
          <w:spacing w:val="-4"/>
          <w:position w:val="5"/>
          <w:sz w:val="12"/>
        </w:rPr>
        <w:t xml:space="preserve"> </w:t>
      </w:r>
      <w:r>
        <w:rPr>
          <w:sz w:val="18"/>
        </w:rPr>
        <w:t>“Stud</w:t>
      </w:r>
      <w:r>
        <w:rPr>
          <w:sz w:val="18"/>
        </w:rPr>
        <w:t>ent</w:t>
      </w:r>
      <w:r>
        <w:rPr>
          <w:spacing w:val="-4"/>
          <w:sz w:val="18"/>
        </w:rPr>
        <w:t xml:space="preserve"> </w:t>
      </w:r>
      <w:r>
        <w:rPr>
          <w:sz w:val="18"/>
        </w:rPr>
        <w:t>and</w:t>
      </w:r>
      <w:r>
        <w:rPr>
          <w:spacing w:val="-4"/>
          <w:sz w:val="18"/>
        </w:rPr>
        <w:t xml:space="preserve"> </w:t>
      </w:r>
      <w:r>
        <w:rPr>
          <w:sz w:val="18"/>
        </w:rPr>
        <w:t>Family</w:t>
      </w:r>
      <w:r>
        <w:rPr>
          <w:spacing w:val="-1"/>
          <w:sz w:val="18"/>
        </w:rPr>
        <w:t xml:space="preserve"> </w:t>
      </w:r>
      <w:r>
        <w:rPr>
          <w:sz w:val="18"/>
        </w:rPr>
        <w:t>Support</w:t>
      </w:r>
      <w:r>
        <w:rPr>
          <w:spacing w:val="-4"/>
          <w:sz w:val="18"/>
        </w:rPr>
        <w:t xml:space="preserve"> </w:t>
      </w:r>
      <w:r>
        <w:rPr>
          <w:sz w:val="18"/>
        </w:rPr>
        <w:t>(SFS)</w:t>
      </w:r>
      <w:r>
        <w:rPr>
          <w:spacing w:val="-3"/>
          <w:sz w:val="18"/>
        </w:rPr>
        <w:t xml:space="preserve"> </w:t>
      </w:r>
      <w:r>
        <w:rPr>
          <w:sz w:val="18"/>
        </w:rPr>
        <w:t>-</w:t>
      </w:r>
      <w:r>
        <w:rPr>
          <w:spacing w:val="-3"/>
          <w:sz w:val="18"/>
        </w:rPr>
        <w:t xml:space="preserve"> </w:t>
      </w:r>
      <w:r>
        <w:rPr>
          <w:sz w:val="18"/>
        </w:rPr>
        <w:t>Massachusetts</w:t>
      </w:r>
      <w:r>
        <w:rPr>
          <w:spacing w:val="-4"/>
          <w:sz w:val="18"/>
        </w:rPr>
        <w:t xml:space="preserve"> </w:t>
      </w:r>
      <w:r>
        <w:rPr>
          <w:sz w:val="18"/>
        </w:rPr>
        <w:t>Department</w:t>
      </w:r>
      <w:r>
        <w:rPr>
          <w:spacing w:val="-4"/>
          <w:sz w:val="18"/>
        </w:rPr>
        <w:t xml:space="preserve"> </w:t>
      </w:r>
      <w:r>
        <w:rPr>
          <w:sz w:val="18"/>
        </w:rPr>
        <w:t>of</w:t>
      </w:r>
      <w:r>
        <w:rPr>
          <w:spacing w:val="-3"/>
          <w:sz w:val="18"/>
        </w:rPr>
        <w:t xml:space="preserve"> </w:t>
      </w:r>
      <w:r>
        <w:rPr>
          <w:sz w:val="18"/>
        </w:rPr>
        <w:t>Elementary</w:t>
      </w:r>
      <w:r>
        <w:rPr>
          <w:spacing w:val="-3"/>
          <w:sz w:val="18"/>
        </w:rPr>
        <w:t xml:space="preserve"> </w:t>
      </w:r>
      <w:r>
        <w:rPr>
          <w:sz w:val="18"/>
        </w:rPr>
        <w:t>and</w:t>
      </w:r>
      <w:r>
        <w:rPr>
          <w:spacing w:val="-2"/>
          <w:sz w:val="18"/>
        </w:rPr>
        <w:t xml:space="preserve"> </w:t>
      </w:r>
      <w:r>
        <w:rPr>
          <w:sz w:val="18"/>
        </w:rPr>
        <w:t>Secondary</w:t>
      </w:r>
      <w:r>
        <w:rPr>
          <w:spacing w:val="-3"/>
          <w:sz w:val="18"/>
        </w:rPr>
        <w:t xml:space="preserve"> </w:t>
      </w:r>
      <w:r>
        <w:rPr>
          <w:sz w:val="18"/>
        </w:rPr>
        <w:t>Education,”</w:t>
      </w:r>
      <w:r>
        <w:rPr>
          <w:spacing w:val="-4"/>
          <w:sz w:val="18"/>
        </w:rPr>
        <w:t xml:space="preserve"> </w:t>
      </w:r>
      <w:r>
        <w:rPr>
          <w:sz w:val="18"/>
        </w:rPr>
        <w:t>accessed</w:t>
      </w:r>
      <w:r>
        <w:rPr>
          <w:spacing w:val="-2"/>
          <w:sz w:val="18"/>
        </w:rPr>
        <w:t xml:space="preserve"> </w:t>
      </w:r>
      <w:r>
        <w:rPr>
          <w:sz w:val="18"/>
        </w:rPr>
        <w:t>April</w:t>
      </w:r>
      <w:r>
        <w:rPr>
          <w:spacing w:val="-4"/>
          <w:sz w:val="18"/>
        </w:rPr>
        <w:t xml:space="preserve"> </w:t>
      </w:r>
      <w:r>
        <w:rPr>
          <w:sz w:val="18"/>
        </w:rPr>
        <w:t xml:space="preserve">24, </w:t>
      </w:r>
      <w:r>
        <w:rPr>
          <w:position w:val="-4"/>
          <w:sz w:val="18"/>
        </w:rPr>
        <w:t xml:space="preserve">2023, </w:t>
      </w:r>
      <w:hyperlink r:id="rId160">
        <w:r>
          <w:rPr>
            <w:color w:val="1154CC"/>
            <w:sz w:val="12"/>
            <w:u w:val="single" w:color="1154CC"/>
          </w:rPr>
          <w:t>https://www.doe.mass.edu/sfs/discipline/updated-ex</w:t>
        </w:r>
        <w:r>
          <w:rPr>
            <w:color w:val="1154CC"/>
            <w:sz w:val="12"/>
            <w:u w:val="single" w:color="1154CC"/>
          </w:rPr>
          <w:t>pectations.docx</w:t>
        </w:r>
        <w:r>
          <w:rPr>
            <w:position w:val="-4"/>
            <w:sz w:val="18"/>
          </w:rPr>
          <w:t>.</w:t>
        </w:r>
      </w:hyperlink>
    </w:p>
    <w:p w:rsidR="00200FDA" w:rsidRDefault="00F76C4C">
      <w:pPr>
        <w:ind w:left="140" w:right="218" w:hanging="1"/>
        <w:rPr>
          <w:sz w:val="18"/>
        </w:rPr>
      </w:pPr>
      <w:r>
        <w:rPr>
          <w:position w:val="5"/>
          <w:sz w:val="12"/>
        </w:rPr>
        <w:t>25</w:t>
      </w:r>
      <w:r>
        <w:rPr>
          <w:spacing w:val="10"/>
          <w:position w:val="5"/>
          <w:sz w:val="12"/>
        </w:rPr>
        <w:t xml:space="preserve"> </w:t>
      </w:r>
      <w:r>
        <w:rPr>
          <w:sz w:val="18"/>
        </w:rPr>
        <w:t>Kosciw,</w:t>
      </w:r>
      <w:r>
        <w:rPr>
          <w:spacing w:val="-2"/>
          <w:sz w:val="18"/>
        </w:rPr>
        <w:t xml:space="preserve"> </w:t>
      </w:r>
      <w:r>
        <w:rPr>
          <w:sz w:val="18"/>
        </w:rPr>
        <w:t>J.</w:t>
      </w:r>
      <w:r>
        <w:rPr>
          <w:spacing w:val="-2"/>
          <w:sz w:val="18"/>
        </w:rPr>
        <w:t xml:space="preserve"> </w:t>
      </w:r>
      <w:r>
        <w:rPr>
          <w:sz w:val="18"/>
        </w:rPr>
        <w:t>G.,</w:t>
      </w:r>
      <w:r>
        <w:rPr>
          <w:spacing w:val="-2"/>
          <w:sz w:val="18"/>
        </w:rPr>
        <w:t xml:space="preserve"> </w:t>
      </w:r>
      <w:r>
        <w:rPr>
          <w:sz w:val="18"/>
        </w:rPr>
        <w:t>Clark,</w:t>
      </w:r>
      <w:r>
        <w:rPr>
          <w:spacing w:val="-2"/>
          <w:sz w:val="18"/>
        </w:rPr>
        <w:t xml:space="preserve"> </w:t>
      </w:r>
      <w:r>
        <w:rPr>
          <w:sz w:val="18"/>
        </w:rPr>
        <w:t>C.</w:t>
      </w:r>
      <w:r>
        <w:rPr>
          <w:spacing w:val="-2"/>
          <w:sz w:val="18"/>
        </w:rPr>
        <w:t xml:space="preserve"> </w:t>
      </w:r>
      <w:r>
        <w:rPr>
          <w:sz w:val="18"/>
        </w:rPr>
        <w:t>M.,</w:t>
      </w:r>
      <w:r>
        <w:rPr>
          <w:spacing w:val="-2"/>
          <w:sz w:val="18"/>
        </w:rPr>
        <w:t xml:space="preserve"> </w:t>
      </w:r>
      <w:r>
        <w:rPr>
          <w:sz w:val="18"/>
        </w:rPr>
        <w:t>&amp;</w:t>
      </w:r>
      <w:r>
        <w:rPr>
          <w:spacing w:val="-3"/>
          <w:sz w:val="18"/>
        </w:rPr>
        <w:t xml:space="preserve"> </w:t>
      </w:r>
      <w:r>
        <w:rPr>
          <w:sz w:val="18"/>
        </w:rPr>
        <w:t>Menard,</w:t>
      </w:r>
      <w:r>
        <w:rPr>
          <w:spacing w:val="-2"/>
          <w:sz w:val="18"/>
        </w:rPr>
        <w:t xml:space="preserve"> </w:t>
      </w:r>
      <w:r>
        <w:rPr>
          <w:sz w:val="18"/>
        </w:rPr>
        <w:t>L.</w:t>
      </w:r>
      <w:r>
        <w:rPr>
          <w:spacing w:val="-2"/>
          <w:sz w:val="18"/>
        </w:rPr>
        <w:t xml:space="preserve"> </w:t>
      </w:r>
      <w:r>
        <w:rPr>
          <w:sz w:val="18"/>
        </w:rPr>
        <w:t>(2022).</w:t>
      </w:r>
      <w:r>
        <w:rPr>
          <w:spacing w:val="-2"/>
          <w:sz w:val="18"/>
        </w:rPr>
        <w:t xml:space="preserve"> </w:t>
      </w:r>
      <w:r>
        <w:rPr>
          <w:sz w:val="18"/>
        </w:rPr>
        <w:t>The</w:t>
      </w:r>
      <w:r>
        <w:rPr>
          <w:spacing w:val="-3"/>
          <w:sz w:val="18"/>
        </w:rPr>
        <w:t xml:space="preserve"> </w:t>
      </w:r>
      <w:r>
        <w:rPr>
          <w:sz w:val="18"/>
        </w:rPr>
        <w:t>2021</w:t>
      </w:r>
      <w:r>
        <w:rPr>
          <w:spacing w:val="-2"/>
          <w:sz w:val="18"/>
        </w:rPr>
        <w:t xml:space="preserve"> </w:t>
      </w:r>
      <w:r>
        <w:rPr>
          <w:sz w:val="18"/>
        </w:rPr>
        <w:t>National</w:t>
      </w:r>
      <w:r>
        <w:rPr>
          <w:spacing w:val="-3"/>
          <w:sz w:val="18"/>
        </w:rPr>
        <w:t xml:space="preserve"> </w:t>
      </w:r>
      <w:r>
        <w:rPr>
          <w:sz w:val="18"/>
        </w:rPr>
        <w:t>School</w:t>
      </w:r>
      <w:r>
        <w:rPr>
          <w:spacing w:val="-3"/>
          <w:sz w:val="18"/>
        </w:rPr>
        <w:t xml:space="preserve"> </w:t>
      </w:r>
      <w:r>
        <w:rPr>
          <w:sz w:val="18"/>
        </w:rPr>
        <w:t>Climate</w:t>
      </w:r>
      <w:r>
        <w:rPr>
          <w:spacing w:val="-3"/>
          <w:sz w:val="18"/>
        </w:rPr>
        <w:t xml:space="preserve"> </w:t>
      </w:r>
      <w:r>
        <w:rPr>
          <w:sz w:val="18"/>
        </w:rPr>
        <w:t>Survey:</w:t>
      </w:r>
      <w:r>
        <w:rPr>
          <w:spacing w:val="-2"/>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sz w:val="18"/>
        </w:rPr>
        <w:t>in our nation’s schools. New York: GLSEN.</w:t>
      </w:r>
    </w:p>
    <w:p w:rsidR="00200FDA" w:rsidRDefault="00F76C4C">
      <w:pPr>
        <w:ind w:left="139" w:right="171"/>
        <w:rPr>
          <w:sz w:val="18"/>
        </w:rPr>
      </w:pPr>
      <w:r>
        <w:rPr>
          <w:position w:val="5"/>
          <w:sz w:val="12"/>
        </w:rPr>
        <w:t>26</w:t>
      </w:r>
      <w:r>
        <w:rPr>
          <w:spacing w:val="9"/>
          <w:position w:val="5"/>
          <w:sz w:val="12"/>
        </w:rPr>
        <w:t xml:space="preserve"> </w:t>
      </w:r>
      <w:r>
        <w:rPr>
          <w:sz w:val="18"/>
        </w:rPr>
        <w:t>“Advocating</w:t>
      </w:r>
      <w:r>
        <w:rPr>
          <w:spacing w:val="-4"/>
          <w:sz w:val="18"/>
        </w:rPr>
        <w:t xml:space="preserve"> </w:t>
      </w:r>
      <w:r>
        <w:rPr>
          <w:sz w:val="18"/>
        </w:rPr>
        <w:t>for</w:t>
      </w:r>
      <w:r>
        <w:rPr>
          <w:spacing w:val="-4"/>
          <w:sz w:val="18"/>
        </w:rPr>
        <w:t xml:space="preserve"> </w:t>
      </w:r>
      <w:r>
        <w:rPr>
          <w:sz w:val="18"/>
        </w:rPr>
        <w:t>LGBTQ</w:t>
      </w:r>
      <w:r>
        <w:rPr>
          <w:spacing w:val="-4"/>
          <w:sz w:val="18"/>
        </w:rPr>
        <w:t xml:space="preserve"> </w:t>
      </w:r>
      <w:r>
        <w:rPr>
          <w:sz w:val="18"/>
        </w:rPr>
        <w:t>Students</w:t>
      </w:r>
      <w:r>
        <w:rPr>
          <w:spacing w:val="-2"/>
          <w:sz w:val="18"/>
        </w:rPr>
        <w:t xml:space="preserve"> </w:t>
      </w:r>
      <w:r>
        <w:rPr>
          <w:sz w:val="18"/>
        </w:rPr>
        <w:t>with</w:t>
      </w:r>
      <w:r>
        <w:rPr>
          <w:spacing w:val="-4"/>
          <w:sz w:val="18"/>
        </w:rPr>
        <w:t xml:space="preserve"> </w:t>
      </w:r>
      <w:r>
        <w:rPr>
          <w:sz w:val="18"/>
        </w:rPr>
        <w:t>Disabilities,”</w:t>
      </w:r>
      <w:r>
        <w:rPr>
          <w:spacing w:val="-4"/>
          <w:sz w:val="18"/>
        </w:rPr>
        <w:t xml:space="preserve"> </w:t>
      </w:r>
      <w:r>
        <w:rPr>
          <w:sz w:val="18"/>
        </w:rPr>
        <w:t>Human</w:t>
      </w:r>
      <w:r>
        <w:rPr>
          <w:spacing w:val="-4"/>
          <w:sz w:val="18"/>
        </w:rPr>
        <w:t xml:space="preserve"> </w:t>
      </w:r>
      <w:r>
        <w:rPr>
          <w:sz w:val="18"/>
        </w:rPr>
        <w:t>Rights</w:t>
      </w:r>
      <w:r>
        <w:rPr>
          <w:spacing w:val="-4"/>
          <w:sz w:val="18"/>
        </w:rPr>
        <w:t xml:space="preserve"> </w:t>
      </w:r>
      <w:r>
        <w:rPr>
          <w:sz w:val="18"/>
        </w:rPr>
        <w:t>Campaign,</w:t>
      </w:r>
      <w:r>
        <w:rPr>
          <w:spacing w:val="-3"/>
          <w:sz w:val="18"/>
        </w:rPr>
        <w:t xml:space="preserve"> </w:t>
      </w:r>
      <w:r>
        <w:rPr>
          <w:sz w:val="18"/>
        </w:rPr>
        <w:t>November</w:t>
      </w:r>
      <w:r>
        <w:rPr>
          <w:spacing w:val="-4"/>
          <w:sz w:val="18"/>
        </w:rPr>
        <w:t xml:space="preserve"> </w:t>
      </w:r>
      <w:r>
        <w:rPr>
          <w:sz w:val="18"/>
        </w:rPr>
        <w:t>17,</w:t>
      </w:r>
      <w:r>
        <w:rPr>
          <w:spacing w:val="-3"/>
          <w:sz w:val="18"/>
        </w:rPr>
        <w:t xml:space="preserve"> </w:t>
      </w:r>
      <w:r>
        <w:rPr>
          <w:sz w:val="18"/>
        </w:rPr>
        <w:t>2020,</w:t>
      </w:r>
      <w:r>
        <w:rPr>
          <w:spacing w:val="-3"/>
          <w:sz w:val="18"/>
        </w:rPr>
        <w:t xml:space="preserve"> </w:t>
      </w:r>
      <w:r>
        <w:rPr>
          <w:sz w:val="18"/>
        </w:rPr>
        <w:t>https://</w:t>
      </w:r>
      <w:hyperlink r:id="rId161">
        <w:r>
          <w:rPr>
            <w:sz w:val="18"/>
          </w:rPr>
          <w:t>www.hrc.org/press-</w:t>
        </w:r>
      </w:hyperlink>
      <w:r>
        <w:rPr>
          <w:sz w:val="18"/>
        </w:rPr>
        <w:t xml:space="preserve"> </w:t>
      </w:r>
      <w:r>
        <w:rPr>
          <w:spacing w:val="-2"/>
          <w:sz w:val="18"/>
        </w:rPr>
        <w:t>releases/hrc-partners-release-guide-to-help-educators-and-parents-advocate-for-lgbtq-students-with-disabilities.</w:t>
      </w:r>
    </w:p>
    <w:p w:rsidR="00200FDA" w:rsidRDefault="00F76C4C">
      <w:pPr>
        <w:spacing w:before="1"/>
        <w:ind w:left="140" w:right="218" w:hanging="1"/>
        <w:rPr>
          <w:sz w:val="18"/>
        </w:rPr>
      </w:pPr>
      <w:r>
        <w:rPr>
          <w:position w:val="5"/>
          <w:sz w:val="12"/>
        </w:rPr>
        <w:t>27</w:t>
      </w:r>
      <w:r>
        <w:rPr>
          <w:spacing w:val="9"/>
          <w:position w:val="5"/>
          <w:sz w:val="12"/>
        </w:rPr>
        <w:t xml:space="preserve"> </w:t>
      </w:r>
      <w:r>
        <w:rPr>
          <w:sz w:val="18"/>
        </w:rPr>
        <w:t>Katie</w:t>
      </w:r>
      <w:r>
        <w:rPr>
          <w:spacing w:val="-4"/>
          <w:sz w:val="18"/>
        </w:rPr>
        <w:t xml:space="preserve"> </w:t>
      </w:r>
      <w:r>
        <w:rPr>
          <w:sz w:val="18"/>
        </w:rPr>
        <w:t>Swanson</w:t>
      </w:r>
      <w:r>
        <w:rPr>
          <w:spacing w:val="-4"/>
          <w:sz w:val="18"/>
        </w:rPr>
        <w:t xml:space="preserve"> </w:t>
      </w:r>
      <w:r>
        <w:rPr>
          <w:sz w:val="18"/>
        </w:rPr>
        <w:t>and</w:t>
      </w:r>
      <w:r>
        <w:rPr>
          <w:spacing w:val="-4"/>
          <w:sz w:val="18"/>
        </w:rPr>
        <w:t xml:space="preserve"> </w:t>
      </w:r>
      <w:r>
        <w:rPr>
          <w:sz w:val="18"/>
        </w:rPr>
        <w:t>Maribeth</w:t>
      </w:r>
      <w:r>
        <w:rPr>
          <w:spacing w:val="-4"/>
          <w:sz w:val="18"/>
        </w:rPr>
        <w:t xml:space="preserve"> </w:t>
      </w:r>
      <w:r>
        <w:rPr>
          <w:sz w:val="18"/>
        </w:rPr>
        <w:t>Gettinger,</w:t>
      </w:r>
      <w:r>
        <w:rPr>
          <w:spacing w:val="-3"/>
          <w:sz w:val="18"/>
        </w:rPr>
        <w:t xml:space="preserve"> </w:t>
      </w:r>
      <w:r>
        <w:rPr>
          <w:sz w:val="18"/>
        </w:rPr>
        <w:t>“Teachers’</w:t>
      </w:r>
      <w:r>
        <w:rPr>
          <w:spacing w:val="-3"/>
          <w:sz w:val="18"/>
        </w:rPr>
        <w:t xml:space="preserve"> </w:t>
      </w:r>
      <w:r>
        <w:rPr>
          <w:sz w:val="18"/>
        </w:rPr>
        <w:t>Knowledge,</w:t>
      </w:r>
      <w:r>
        <w:rPr>
          <w:spacing w:val="-3"/>
          <w:sz w:val="18"/>
        </w:rPr>
        <w:t xml:space="preserve"> </w:t>
      </w:r>
      <w:r>
        <w:rPr>
          <w:sz w:val="18"/>
        </w:rPr>
        <w:t>Attitudes,</w:t>
      </w:r>
      <w:r>
        <w:rPr>
          <w:spacing w:val="-3"/>
          <w:sz w:val="18"/>
        </w:rPr>
        <w:t xml:space="preserve"> </w:t>
      </w:r>
      <w:r>
        <w:rPr>
          <w:sz w:val="18"/>
        </w:rPr>
        <w:t>and</w:t>
      </w:r>
      <w:r>
        <w:rPr>
          <w:spacing w:val="-2"/>
          <w:sz w:val="18"/>
        </w:rPr>
        <w:t xml:space="preserve"> </w:t>
      </w:r>
      <w:r>
        <w:rPr>
          <w:sz w:val="18"/>
        </w:rPr>
        <w:t>Supportive</w:t>
      </w:r>
      <w:r>
        <w:rPr>
          <w:spacing w:val="-4"/>
          <w:sz w:val="18"/>
        </w:rPr>
        <w:t xml:space="preserve"> </w:t>
      </w:r>
      <w:r>
        <w:rPr>
          <w:sz w:val="18"/>
        </w:rPr>
        <w:t>Behaviors</w:t>
      </w:r>
      <w:r>
        <w:rPr>
          <w:spacing w:val="-4"/>
          <w:sz w:val="18"/>
        </w:rPr>
        <w:t xml:space="preserve"> </w:t>
      </w:r>
      <w:r>
        <w:rPr>
          <w:sz w:val="18"/>
        </w:rPr>
        <w:t>toward</w:t>
      </w:r>
      <w:r>
        <w:rPr>
          <w:spacing w:val="-4"/>
          <w:sz w:val="18"/>
        </w:rPr>
        <w:t xml:space="preserve"> </w:t>
      </w:r>
      <w:r>
        <w:rPr>
          <w:sz w:val="18"/>
        </w:rPr>
        <w:t>LGBT</w:t>
      </w:r>
      <w:r>
        <w:rPr>
          <w:spacing w:val="-2"/>
          <w:sz w:val="18"/>
        </w:rPr>
        <w:t xml:space="preserve"> </w:t>
      </w:r>
      <w:r>
        <w:rPr>
          <w:sz w:val="18"/>
        </w:rPr>
        <w:t xml:space="preserve">Students: Relationship to Gay-Straight Alliances, Antibullying Policy, and Teacher Training,” </w:t>
      </w:r>
      <w:r>
        <w:rPr>
          <w:i/>
          <w:sz w:val="18"/>
        </w:rPr>
        <w:t xml:space="preserve">Journal of LGBT Youth </w:t>
      </w:r>
      <w:r>
        <w:rPr>
          <w:sz w:val="18"/>
        </w:rPr>
        <w:t>13, no. 4 (October 2016): 326–51, https://doi.org/10.1080/19361653.201</w:t>
      </w:r>
      <w:r>
        <w:rPr>
          <w:sz w:val="18"/>
        </w:rPr>
        <w:t>6.1185765.</w:t>
      </w:r>
    </w:p>
    <w:p w:rsidR="00200FDA" w:rsidRDefault="00F76C4C">
      <w:pPr>
        <w:ind w:left="140" w:right="139" w:hanging="1"/>
        <w:rPr>
          <w:sz w:val="18"/>
        </w:rPr>
      </w:pPr>
      <w:r>
        <w:rPr>
          <w:position w:val="5"/>
          <w:sz w:val="12"/>
        </w:rPr>
        <w:t>28</w:t>
      </w:r>
      <w:r>
        <w:rPr>
          <w:spacing w:val="10"/>
          <w:position w:val="5"/>
          <w:sz w:val="12"/>
        </w:rPr>
        <w:t xml:space="preserve"> </w:t>
      </w:r>
      <w:r>
        <w:rPr>
          <w:sz w:val="18"/>
        </w:rPr>
        <w:t>Robert</w:t>
      </w:r>
      <w:r>
        <w:rPr>
          <w:spacing w:val="-3"/>
          <w:sz w:val="18"/>
        </w:rPr>
        <w:t xml:space="preserve"> </w:t>
      </w:r>
      <w:r>
        <w:rPr>
          <w:sz w:val="18"/>
        </w:rPr>
        <w:t>Marx,</w:t>
      </w:r>
      <w:r>
        <w:rPr>
          <w:spacing w:val="-2"/>
          <w:sz w:val="18"/>
        </w:rPr>
        <w:t xml:space="preserve"> </w:t>
      </w:r>
      <w:r>
        <w:rPr>
          <w:sz w:val="18"/>
        </w:rPr>
        <w:t>Leah</w:t>
      </w:r>
      <w:r>
        <w:rPr>
          <w:spacing w:val="-3"/>
          <w:sz w:val="18"/>
        </w:rPr>
        <w:t xml:space="preserve"> </w:t>
      </w:r>
      <w:r>
        <w:rPr>
          <w:sz w:val="18"/>
        </w:rPr>
        <w:t>Roberts,</w:t>
      </w:r>
      <w:r>
        <w:rPr>
          <w:spacing w:val="-2"/>
          <w:sz w:val="18"/>
        </w:rPr>
        <w:t xml:space="preserve"> </w:t>
      </w:r>
      <w:r>
        <w:rPr>
          <w:sz w:val="18"/>
        </w:rPr>
        <w:t>and</w:t>
      </w:r>
      <w:r>
        <w:rPr>
          <w:spacing w:val="-1"/>
          <w:sz w:val="18"/>
        </w:rPr>
        <w:t xml:space="preserve"> </w:t>
      </w:r>
      <w:r>
        <w:rPr>
          <w:sz w:val="18"/>
        </w:rPr>
        <w:t>Carol</w:t>
      </w:r>
      <w:r>
        <w:rPr>
          <w:spacing w:val="-3"/>
          <w:sz w:val="18"/>
        </w:rPr>
        <w:t xml:space="preserve"> </w:t>
      </w:r>
      <w:r>
        <w:rPr>
          <w:sz w:val="18"/>
        </w:rPr>
        <w:t>Nixon,</w:t>
      </w:r>
      <w:r>
        <w:rPr>
          <w:spacing w:val="-2"/>
          <w:sz w:val="18"/>
        </w:rPr>
        <w:t xml:space="preserve"> </w:t>
      </w:r>
      <w:r>
        <w:rPr>
          <w:sz w:val="18"/>
        </w:rPr>
        <w:t>“When</w:t>
      </w:r>
      <w:r>
        <w:rPr>
          <w:spacing w:val="-3"/>
          <w:sz w:val="18"/>
        </w:rPr>
        <w:t xml:space="preserve"> </w:t>
      </w:r>
      <w:r>
        <w:rPr>
          <w:sz w:val="18"/>
        </w:rPr>
        <w:t>Care</w:t>
      </w:r>
      <w:r>
        <w:rPr>
          <w:spacing w:val="-3"/>
          <w:sz w:val="18"/>
        </w:rPr>
        <w:t xml:space="preserve"> </w:t>
      </w:r>
      <w:r>
        <w:rPr>
          <w:sz w:val="18"/>
        </w:rPr>
        <w:t>and</w:t>
      </w:r>
      <w:r>
        <w:rPr>
          <w:spacing w:val="-3"/>
          <w:sz w:val="18"/>
        </w:rPr>
        <w:t xml:space="preserve"> </w:t>
      </w:r>
      <w:r>
        <w:rPr>
          <w:sz w:val="18"/>
        </w:rPr>
        <w:t>Concern</w:t>
      </w:r>
      <w:r>
        <w:rPr>
          <w:spacing w:val="-3"/>
          <w:sz w:val="18"/>
        </w:rPr>
        <w:t xml:space="preserve"> </w:t>
      </w:r>
      <w:r>
        <w:rPr>
          <w:sz w:val="18"/>
        </w:rPr>
        <w:t>Are</w:t>
      </w:r>
      <w:r>
        <w:rPr>
          <w:spacing w:val="-3"/>
          <w:sz w:val="18"/>
        </w:rPr>
        <w:t xml:space="preserve"> </w:t>
      </w:r>
      <w:r>
        <w:rPr>
          <w:sz w:val="18"/>
        </w:rPr>
        <w:t>Not</w:t>
      </w:r>
      <w:r>
        <w:rPr>
          <w:spacing w:val="-3"/>
          <w:sz w:val="18"/>
        </w:rPr>
        <w:t xml:space="preserve"> </w:t>
      </w:r>
      <w:r>
        <w:rPr>
          <w:sz w:val="18"/>
        </w:rPr>
        <w:t>Enough:</w:t>
      </w:r>
      <w:r>
        <w:rPr>
          <w:spacing w:val="-3"/>
          <w:sz w:val="18"/>
        </w:rPr>
        <w:t xml:space="preserve"> </w:t>
      </w:r>
      <w:r>
        <w:rPr>
          <w:sz w:val="18"/>
        </w:rPr>
        <w:t>School</w:t>
      </w:r>
      <w:r>
        <w:rPr>
          <w:spacing w:val="-3"/>
          <w:sz w:val="18"/>
        </w:rPr>
        <w:t xml:space="preserve"> </w:t>
      </w:r>
      <w:r>
        <w:rPr>
          <w:sz w:val="18"/>
        </w:rPr>
        <w:t>Personnel’s</w:t>
      </w:r>
      <w:r>
        <w:rPr>
          <w:spacing w:val="-1"/>
          <w:sz w:val="18"/>
        </w:rPr>
        <w:t xml:space="preserve"> </w:t>
      </w:r>
      <w:r>
        <w:rPr>
          <w:sz w:val="18"/>
        </w:rPr>
        <w:t>Development</w:t>
      </w:r>
      <w:r>
        <w:rPr>
          <w:spacing w:val="-3"/>
          <w:sz w:val="18"/>
        </w:rPr>
        <w:t xml:space="preserve"> </w:t>
      </w:r>
      <w:r>
        <w:rPr>
          <w:sz w:val="18"/>
        </w:rPr>
        <w:t xml:space="preserve">as Allies for Trans and Gender Non-Conforming Students,” </w:t>
      </w:r>
      <w:r>
        <w:rPr>
          <w:i/>
          <w:sz w:val="18"/>
        </w:rPr>
        <w:t xml:space="preserve">Social Sciences </w:t>
      </w:r>
      <w:r>
        <w:rPr>
          <w:sz w:val="18"/>
        </w:rPr>
        <w:t xml:space="preserve">6, no. 1 (January 25, 2017): 11, </w:t>
      </w:r>
      <w:r>
        <w:rPr>
          <w:spacing w:val="-2"/>
          <w:sz w:val="18"/>
        </w:rPr>
        <w:t>https://doi.org/10.3390/socsci6010011.</w:t>
      </w:r>
    </w:p>
    <w:p w:rsidR="00200FDA" w:rsidRDefault="00F76C4C">
      <w:pPr>
        <w:ind w:left="140" w:right="218" w:hanging="1"/>
        <w:rPr>
          <w:sz w:val="18"/>
        </w:rPr>
      </w:pPr>
      <w:r>
        <w:rPr>
          <w:position w:val="5"/>
          <w:sz w:val="12"/>
        </w:rPr>
        <w:t>29</w:t>
      </w:r>
      <w:r>
        <w:rPr>
          <w:spacing w:val="9"/>
          <w:position w:val="5"/>
          <w:sz w:val="12"/>
        </w:rPr>
        <w:t xml:space="preserve"> </w:t>
      </w:r>
      <w:r>
        <w:rPr>
          <w:sz w:val="18"/>
        </w:rPr>
        <w:t>Laura</w:t>
      </w:r>
      <w:r>
        <w:rPr>
          <w:spacing w:val="-3"/>
          <w:sz w:val="18"/>
        </w:rPr>
        <w:t xml:space="preserve"> </w:t>
      </w:r>
      <w:r>
        <w:rPr>
          <w:sz w:val="18"/>
        </w:rPr>
        <w:t>A.</w:t>
      </w:r>
      <w:r>
        <w:rPr>
          <w:spacing w:val="-3"/>
          <w:sz w:val="18"/>
        </w:rPr>
        <w:t xml:space="preserve"> </w:t>
      </w:r>
      <w:r>
        <w:rPr>
          <w:sz w:val="18"/>
        </w:rPr>
        <w:t>Szalacha,</w:t>
      </w:r>
      <w:r>
        <w:rPr>
          <w:spacing w:val="-3"/>
          <w:sz w:val="18"/>
        </w:rPr>
        <w:t xml:space="preserve"> </w:t>
      </w:r>
      <w:r>
        <w:rPr>
          <w:sz w:val="18"/>
        </w:rPr>
        <w:t>“Safer</w:t>
      </w:r>
      <w:r>
        <w:rPr>
          <w:spacing w:val="-1"/>
          <w:sz w:val="18"/>
        </w:rPr>
        <w:t xml:space="preserve"> </w:t>
      </w:r>
      <w:r>
        <w:rPr>
          <w:sz w:val="18"/>
        </w:rPr>
        <w:t>Sexual</w:t>
      </w:r>
      <w:r>
        <w:rPr>
          <w:spacing w:val="-1"/>
          <w:sz w:val="18"/>
        </w:rPr>
        <w:t xml:space="preserve"> </w:t>
      </w:r>
      <w:r>
        <w:rPr>
          <w:sz w:val="18"/>
        </w:rPr>
        <w:t>Diversity</w:t>
      </w:r>
      <w:r>
        <w:rPr>
          <w:spacing w:val="-3"/>
          <w:sz w:val="18"/>
        </w:rPr>
        <w:t xml:space="preserve"> </w:t>
      </w:r>
      <w:r>
        <w:rPr>
          <w:sz w:val="18"/>
        </w:rPr>
        <w:t>Climates:</w:t>
      </w:r>
      <w:r>
        <w:rPr>
          <w:spacing w:val="-3"/>
          <w:sz w:val="18"/>
        </w:rPr>
        <w:t xml:space="preserve"> </w:t>
      </w:r>
      <w:r>
        <w:rPr>
          <w:sz w:val="18"/>
        </w:rPr>
        <w:t>Lessons</w:t>
      </w:r>
      <w:r>
        <w:rPr>
          <w:spacing w:val="-4"/>
          <w:sz w:val="18"/>
        </w:rPr>
        <w:t xml:space="preserve"> </w:t>
      </w:r>
      <w:r>
        <w:rPr>
          <w:sz w:val="18"/>
        </w:rPr>
        <w:t>Learned</w:t>
      </w:r>
      <w:r>
        <w:rPr>
          <w:spacing w:val="-4"/>
          <w:sz w:val="18"/>
        </w:rPr>
        <w:t xml:space="preserve"> </w:t>
      </w:r>
      <w:r>
        <w:rPr>
          <w:sz w:val="18"/>
        </w:rPr>
        <w:t>from</w:t>
      </w:r>
      <w:r>
        <w:rPr>
          <w:spacing w:val="-3"/>
          <w:sz w:val="18"/>
        </w:rPr>
        <w:t xml:space="preserve"> </w:t>
      </w:r>
      <w:r>
        <w:rPr>
          <w:sz w:val="18"/>
        </w:rPr>
        <w:t>an</w:t>
      </w:r>
      <w:r>
        <w:rPr>
          <w:spacing w:val="-4"/>
          <w:sz w:val="18"/>
        </w:rPr>
        <w:t xml:space="preserve"> </w:t>
      </w:r>
      <w:r>
        <w:rPr>
          <w:sz w:val="18"/>
        </w:rPr>
        <w:t>Evaluation</w:t>
      </w:r>
      <w:r>
        <w:rPr>
          <w:spacing w:val="-4"/>
          <w:sz w:val="18"/>
        </w:rPr>
        <w:t xml:space="preserve"> </w:t>
      </w:r>
      <w:r>
        <w:rPr>
          <w:sz w:val="18"/>
        </w:rPr>
        <w:t>of</w:t>
      </w:r>
      <w:r>
        <w:rPr>
          <w:spacing w:val="-4"/>
          <w:sz w:val="18"/>
        </w:rPr>
        <w:t xml:space="preserve"> </w:t>
      </w:r>
      <w:r>
        <w:rPr>
          <w:sz w:val="18"/>
        </w:rPr>
        <w:t>Massachusetts</w:t>
      </w:r>
      <w:r>
        <w:rPr>
          <w:spacing w:val="-4"/>
          <w:sz w:val="18"/>
        </w:rPr>
        <w:t xml:space="preserve"> </w:t>
      </w:r>
      <w:r>
        <w:rPr>
          <w:sz w:val="18"/>
        </w:rPr>
        <w:t>Safe</w:t>
      </w:r>
      <w:r>
        <w:rPr>
          <w:spacing w:val="-4"/>
          <w:sz w:val="18"/>
        </w:rPr>
        <w:t xml:space="preserve"> </w:t>
      </w:r>
      <w:r>
        <w:rPr>
          <w:sz w:val="18"/>
        </w:rPr>
        <w:t xml:space="preserve">Schools Program for Gay and Lesbian Students,” </w:t>
      </w:r>
      <w:r>
        <w:rPr>
          <w:i/>
          <w:sz w:val="18"/>
        </w:rPr>
        <w:t xml:space="preserve">American Journal of Education </w:t>
      </w:r>
      <w:r>
        <w:rPr>
          <w:sz w:val="18"/>
        </w:rPr>
        <w:t xml:space="preserve">110, no. 1 (November 2003): 58–88, </w:t>
      </w:r>
      <w:r>
        <w:rPr>
          <w:spacing w:val="-2"/>
          <w:sz w:val="18"/>
        </w:rPr>
        <w:t>https://doi.org/10.1086/377673.</w:t>
      </w:r>
    </w:p>
    <w:p w:rsidR="00200FDA" w:rsidRDefault="00F76C4C">
      <w:pPr>
        <w:ind w:left="140" w:hanging="1"/>
        <w:rPr>
          <w:sz w:val="18"/>
        </w:rPr>
      </w:pPr>
      <w:r>
        <w:rPr>
          <w:position w:val="5"/>
          <w:sz w:val="12"/>
        </w:rPr>
        <w:t>30</w:t>
      </w:r>
      <w:r>
        <w:rPr>
          <w:spacing w:val="10"/>
          <w:position w:val="5"/>
          <w:sz w:val="12"/>
        </w:rPr>
        <w:t xml:space="preserve"> </w:t>
      </w:r>
      <w:r>
        <w:rPr>
          <w:sz w:val="18"/>
        </w:rPr>
        <w:t>Kristie</w:t>
      </w:r>
      <w:r>
        <w:rPr>
          <w:spacing w:val="-3"/>
          <w:sz w:val="18"/>
        </w:rPr>
        <w:t xml:space="preserve"> </w:t>
      </w:r>
      <w:r>
        <w:rPr>
          <w:sz w:val="18"/>
        </w:rPr>
        <w:t>L.</w:t>
      </w:r>
      <w:r>
        <w:rPr>
          <w:spacing w:val="-2"/>
          <w:sz w:val="18"/>
        </w:rPr>
        <w:t xml:space="preserve"> </w:t>
      </w:r>
      <w:r>
        <w:rPr>
          <w:sz w:val="18"/>
        </w:rPr>
        <w:t>Seelman</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“School Engagement</w:t>
      </w:r>
      <w:r>
        <w:rPr>
          <w:spacing w:val="-3"/>
          <w:sz w:val="18"/>
        </w:rPr>
        <w:t xml:space="preserve"> </w:t>
      </w:r>
      <w:r>
        <w:rPr>
          <w:sz w:val="18"/>
        </w:rPr>
        <w:t>among</w:t>
      </w:r>
      <w:r>
        <w:rPr>
          <w:spacing w:val="-3"/>
          <w:sz w:val="18"/>
        </w:rPr>
        <w:t xml:space="preserve"> </w:t>
      </w:r>
      <w:r>
        <w:rPr>
          <w:sz w:val="18"/>
        </w:rPr>
        <w:t>LGBTQ</w:t>
      </w:r>
      <w:r>
        <w:rPr>
          <w:spacing w:val="-3"/>
          <w:sz w:val="18"/>
        </w:rPr>
        <w:t xml:space="preserve"> </w:t>
      </w:r>
      <w:r>
        <w:rPr>
          <w:sz w:val="18"/>
        </w:rPr>
        <w:t>High</w:t>
      </w:r>
      <w:r>
        <w:rPr>
          <w:spacing w:val="-1"/>
          <w:sz w:val="18"/>
        </w:rPr>
        <w:t xml:space="preserve"> </w:t>
      </w:r>
      <w:r>
        <w:rPr>
          <w:sz w:val="18"/>
        </w:rPr>
        <w:t>School</w:t>
      </w:r>
      <w:r>
        <w:rPr>
          <w:spacing w:val="-3"/>
          <w:sz w:val="18"/>
        </w:rPr>
        <w:t xml:space="preserve"> </w:t>
      </w:r>
      <w:r>
        <w:rPr>
          <w:sz w:val="18"/>
        </w:rPr>
        <w:t>Students:</w:t>
      </w:r>
      <w:r>
        <w:rPr>
          <w:spacing w:val="-2"/>
          <w:sz w:val="18"/>
        </w:rPr>
        <w:t xml:space="preserve"> </w:t>
      </w:r>
      <w:r>
        <w:rPr>
          <w:sz w:val="18"/>
        </w:rPr>
        <w:t>The</w:t>
      </w:r>
      <w:r>
        <w:rPr>
          <w:spacing w:val="-3"/>
          <w:sz w:val="18"/>
        </w:rPr>
        <w:t xml:space="preserve"> </w:t>
      </w:r>
      <w:r>
        <w:rPr>
          <w:sz w:val="18"/>
        </w:rPr>
        <w:t>Roles</w:t>
      </w:r>
      <w:r>
        <w:rPr>
          <w:spacing w:val="-3"/>
          <w:sz w:val="18"/>
        </w:rPr>
        <w:t xml:space="preserve"> </w:t>
      </w:r>
      <w:r>
        <w:rPr>
          <w:sz w:val="18"/>
        </w:rPr>
        <w:t>of</w:t>
      </w:r>
      <w:r>
        <w:rPr>
          <w:spacing w:val="-2"/>
          <w:sz w:val="18"/>
        </w:rPr>
        <w:t xml:space="preserve"> </w:t>
      </w:r>
      <w:r>
        <w:rPr>
          <w:sz w:val="18"/>
        </w:rPr>
        <w:t>Safe</w:t>
      </w:r>
      <w:r>
        <w:rPr>
          <w:spacing w:val="-3"/>
          <w:sz w:val="18"/>
        </w:rPr>
        <w:t xml:space="preserve"> </w:t>
      </w:r>
      <w:r>
        <w:rPr>
          <w:sz w:val="18"/>
        </w:rPr>
        <w:t>Adults</w:t>
      </w:r>
      <w:r>
        <w:rPr>
          <w:spacing w:val="-3"/>
          <w:sz w:val="18"/>
        </w:rPr>
        <w:t xml:space="preserve"> </w:t>
      </w:r>
      <w:r>
        <w:rPr>
          <w:sz w:val="18"/>
        </w:rPr>
        <w:t>and</w:t>
      </w:r>
      <w:r>
        <w:rPr>
          <w:spacing w:val="-3"/>
          <w:sz w:val="18"/>
        </w:rPr>
        <w:t xml:space="preserve"> </w:t>
      </w:r>
      <w:r>
        <w:rPr>
          <w:sz w:val="18"/>
        </w:rPr>
        <w:t xml:space="preserve">Gay–Straight Alliance Characteristics,” </w:t>
      </w:r>
      <w:r>
        <w:rPr>
          <w:i/>
          <w:sz w:val="18"/>
        </w:rPr>
        <w:t xml:space="preserve">Children and Youth Services Review </w:t>
      </w:r>
      <w:r>
        <w:rPr>
          <w:sz w:val="18"/>
        </w:rPr>
        <w:t>57</w:t>
      </w:r>
      <w:r>
        <w:rPr>
          <w:sz w:val="18"/>
        </w:rPr>
        <w:t xml:space="preserve"> (October 2015): 19–29, </w:t>
      </w:r>
      <w:r>
        <w:rPr>
          <w:spacing w:val="-2"/>
          <w:sz w:val="18"/>
        </w:rPr>
        <w:t>https://doi.org/10.1016/j.childyouth.2015.07.021.</w:t>
      </w:r>
    </w:p>
    <w:p w:rsidR="00200FDA" w:rsidRDefault="00F76C4C">
      <w:pPr>
        <w:ind w:left="139"/>
        <w:rPr>
          <w:sz w:val="18"/>
        </w:rPr>
      </w:pPr>
      <w:r>
        <w:rPr>
          <w:position w:val="5"/>
          <w:sz w:val="12"/>
        </w:rPr>
        <w:t>31</w:t>
      </w:r>
      <w:r>
        <w:rPr>
          <w:spacing w:val="10"/>
          <w:position w:val="5"/>
          <w:sz w:val="12"/>
        </w:rPr>
        <w:t xml:space="preserve"> </w:t>
      </w:r>
      <w:r>
        <w:rPr>
          <w:sz w:val="18"/>
        </w:rPr>
        <w:t>Emily</w:t>
      </w:r>
      <w:r>
        <w:rPr>
          <w:spacing w:val="-2"/>
          <w:sz w:val="18"/>
        </w:rPr>
        <w:t xml:space="preserve"> </w:t>
      </w:r>
      <w:r>
        <w:rPr>
          <w:sz w:val="18"/>
        </w:rPr>
        <w:t>A</w:t>
      </w:r>
      <w:r>
        <w:rPr>
          <w:spacing w:val="-3"/>
          <w:sz w:val="18"/>
        </w:rPr>
        <w:t xml:space="preserve"> </w:t>
      </w:r>
      <w:r>
        <w:rPr>
          <w:sz w:val="18"/>
        </w:rPr>
        <w:t>Greytak,</w:t>
      </w:r>
      <w:r>
        <w:rPr>
          <w:spacing w:val="-2"/>
          <w:sz w:val="18"/>
        </w:rPr>
        <w:t xml:space="preserve"> </w:t>
      </w:r>
      <w:r>
        <w:rPr>
          <w:sz w:val="18"/>
        </w:rPr>
        <w:t>Joseph</w:t>
      </w:r>
      <w:r>
        <w:rPr>
          <w:spacing w:val="-3"/>
          <w:sz w:val="18"/>
        </w:rPr>
        <w:t xml:space="preserve"> </w:t>
      </w:r>
      <w:r>
        <w:rPr>
          <w:sz w:val="18"/>
        </w:rPr>
        <w:t>G</w:t>
      </w:r>
      <w:r>
        <w:rPr>
          <w:spacing w:val="-3"/>
          <w:sz w:val="18"/>
        </w:rPr>
        <w:t xml:space="preserve"> </w:t>
      </w:r>
      <w:r>
        <w:rPr>
          <w:sz w:val="18"/>
        </w:rPr>
        <w:t>Kosciw,</w:t>
      </w:r>
      <w:r>
        <w:rPr>
          <w:spacing w:val="-2"/>
          <w:sz w:val="18"/>
        </w:rPr>
        <w:t xml:space="preserve"> </w:t>
      </w:r>
      <w:r>
        <w:rPr>
          <w:sz w:val="18"/>
        </w:rPr>
        <w:t>and</w:t>
      </w:r>
      <w:r>
        <w:rPr>
          <w:spacing w:val="-3"/>
          <w:sz w:val="18"/>
        </w:rPr>
        <w:t xml:space="preserve"> </w:t>
      </w:r>
      <w:r>
        <w:rPr>
          <w:sz w:val="18"/>
        </w:rPr>
        <w:t>Lesbian</w:t>
      </w:r>
      <w:r>
        <w:rPr>
          <w:spacing w:val="-3"/>
          <w:sz w:val="18"/>
        </w:rPr>
        <w:t xml:space="preserve"> </w:t>
      </w:r>
      <w:r>
        <w:rPr>
          <w:sz w:val="18"/>
        </w:rPr>
        <w:t>Gay</w:t>
      </w:r>
      <w:r>
        <w:rPr>
          <w:spacing w:val="-2"/>
          <w:sz w:val="18"/>
        </w:rPr>
        <w:t xml:space="preserve"> </w:t>
      </w:r>
      <w:r>
        <w:rPr>
          <w:sz w:val="18"/>
        </w:rPr>
        <w:t>and</w:t>
      </w:r>
      <w:r>
        <w:rPr>
          <w:spacing w:val="-3"/>
          <w:sz w:val="18"/>
        </w:rPr>
        <w:t xml:space="preserve"> </w:t>
      </w:r>
      <w:r>
        <w:rPr>
          <w:sz w:val="18"/>
        </w:rPr>
        <w:t>Straight Education</w:t>
      </w:r>
      <w:r>
        <w:rPr>
          <w:spacing w:val="-3"/>
          <w:sz w:val="18"/>
        </w:rPr>
        <w:t xml:space="preserve"> </w:t>
      </w:r>
      <w:r>
        <w:rPr>
          <w:sz w:val="18"/>
        </w:rPr>
        <w:t>Network,</w:t>
      </w:r>
      <w:r>
        <w:rPr>
          <w:spacing w:val="-2"/>
          <w:sz w:val="18"/>
        </w:rPr>
        <w:t xml:space="preserve"> </w:t>
      </w:r>
      <w:r>
        <w:rPr>
          <w:i/>
          <w:sz w:val="18"/>
        </w:rPr>
        <w:t>Year</w:t>
      </w:r>
      <w:r>
        <w:rPr>
          <w:i/>
          <w:spacing w:val="-2"/>
          <w:sz w:val="18"/>
        </w:rPr>
        <w:t xml:space="preserve"> </w:t>
      </w:r>
      <w:r>
        <w:rPr>
          <w:i/>
          <w:sz w:val="18"/>
        </w:rPr>
        <w:t>One</w:t>
      </w:r>
      <w:r>
        <w:rPr>
          <w:i/>
          <w:spacing w:val="-2"/>
          <w:sz w:val="18"/>
        </w:rPr>
        <w:t xml:space="preserve"> </w:t>
      </w:r>
      <w:r>
        <w:rPr>
          <w:i/>
          <w:sz w:val="18"/>
        </w:rPr>
        <w:t>Evaluation</w:t>
      </w:r>
      <w:r>
        <w:rPr>
          <w:i/>
          <w:spacing w:val="-1"/>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New</w:t>
      </w:r>
      <w:r>
        <w:rPr>
          <w:i/>
          <w:spacing w:val="-4"/>
          <w:sz w:val="18"/>
        </w:rPr>
        <w:t xml:space="preserve"> </w:t>
      </w:r>
      <w:r>
        <w:rPr>
          <w:i/>
          <w:sz w:val="18"/>
        </w:rPr>
        <w:t>York</w:t>
      </w:r>
      <w:r>
        <w:rPr>
          <w:i/>
          <w:spacing w:val="-3"/>
          <w:sz w:val="18"/>
        </w:rPr>
        <w:t xml:space="preserve"> </w:t>
      </w:r>
      <w:r>
        <w:rPr>
          <w:i/>
          <w:sz w:val="18"/>
        </w:rPr>
        <w:t>City</w:t>
      </w:r>
      <w:r>
        <w:rPr>
          <w:i/>
          <w:sz w:val="18"/>
        </w:rPr>
        <w:t xml:space="preserve"> Department of Education"Respect for All" Training Program. </w:t>
      </w:r>
      <w:r>
        <w:rPr>
          <w:sz w:val="18"/>
        </w:rPr>
        <w:t>(Gay, Lesbian and Straight Education Network, 2010).</w:t>
      </w:r>
    </w:p>
    <w:p w:rsidR="00200FDA" w:rsidRDefault="00F76C4C">
      <w:pPr>
        <w:spacing w:line="219" w:lineRule="exact"/>
        <w:ind w:left="140"/>
        <w:rPr>
          <w:sz w:val="18"/>
        </w:rPr>
      </w:pPr>
      <w:r>
        <w:rPr>
          <w:position w:val="5"/>
          <w:sz w:val="12"/>
        </w:rPr>
        <w:t>32</w:t>
      </w:r>
      <w:r>
        <w:rPr>
          <w:spacing w:val="8"/>
          <w:position w:val="5"/>
          <w:sz w:val="12"/>
        </w:rPr>
        <w:t xml:space="preserve"> </w:t>
      </w:r>
      <w:r>
        <w:rPr>
          <w:sz w:val="18"/>
        </w:rPr>
        <w:t>Marx,</w:t>
      </w:r>
      <w:r>
        <w:rPr>
          <w:spacing w:val="-1"/>
          <w:sz w:val="18"/>
        </w:rPr>
        <w:t xml:space="preserve"> </w:t>
      </w:r>
      <w:r>
        <w:rPr>
          <w:sz w:val="18"/>
        </w:rPr>
        <w:t>Roberts,</w:t>
      </w:r>
      <w:r>
        <w:rPr>
          <w:spacing w:val="-2"/>
          <w:sz w:val="18"/>
        </w:rPr>
        <w:t xml:space="preserve"> </w:t>
      </w:r>
      <w:r>
        <w:rPr>
          <w:sz w:val="18"/>
        </w:rPr>
        <w:t>and Nixon,</w:t>
      </w:r>
      <w:r>
        <w:rPr>
          <w:spacing w:val="-2"/>
          <w:sz w:val="18"/>
        </w:rPr>
        <w:t xml:space="preserve"> </w:t>
      </w:r>
      <w:r>
        <w:rPr>
          <w:sz w:val="18"/>
        </w:rPr>
        <w:t>“When</w:t>
      </w:r>
      <w:r>
        <w:rPr>
          <w:spacing w:val="-2"/>
          <w:sz w:val="18"/>
        </w:rPr>
        <w:t xml:space="preserve"> </w:t>
      </w:r>
      <w:r>
        <w:rPr>
          <w:sz w:val="18"/>
        </w:rPr>
        <w:t>Care</w:t>
      </w:r>
      <w:r>
        <w:rPr>
          <w:spacing w:val="-3"/>
          <w:sz w:val="18"/>
        </w:rPr>
        <w:t xml:space="preserve"> </w:t>
      </w:r>
      <w:r>
        <w:rPr>
          <w:sz w:val="18"/>
        </w:rPr>
        <w:t>and</w:t>
      </w:r>
      <w:r>
        <w:rPr>
          <w:spacing w:val="-2"/>
          <w:sz w:val="18"/>
        </w:rPr>
        <w:t xml:space="preserve"> </w:t>
      </w:r>
      <w:r>
        <w:rPr>
          <w:sz w:val="18"/>
        </w:rPr>
        <w:t>Concern</w:t>
      </w:r>
      <w:r>
        <w:rPr>
          <w:spacing w:val="-3"/>
          <w:sz w:val="18"/>
        </w:rPr>
        <w:t xml:space="preserve"> </w:t>
      </w:r>
      <w:r>
        <w:rPr>
          <w:sz w:val="18"/>
        </w:rPr>
        <w:t>Are</w:t>
      </w:r>
      <w:r>
        <w:rPr>
          <w:spacing w:val="-2"/>
          <w:sz w:val="18"/>
        </w:rPr>
        <w:t xml:space="preserve"> </w:t>
      </w:r>
      <w:r>
        <w:rPr>
          <w:sz w:val="18"/>
        </w:rPr>
        <w:t>Not</w:t>
      </w:r>
      <w:r>
        <w:rPr>
          <w:spacing w:val="-2"/>
          <w:sz w:val="18"/>
        </w:rPr>
        <w:t xml:space="preserve"> Enough.”</w:t>
      </w:r>
    </w:p>
    <w:p w:rsidR="00200FDA" w:rsidRDefault="00F76C4C">
      <w:pPr>
        <w:ind w:left="140" w:right="139" w:hanging="1"/>
        <w:rPr>
          <w:i/>
          <w:sz w:val="18"/>
        </w:rPr>
      </w:pPr>
      <w:r>
        <w:rPr>
          <w:position w:val="5"/>
          <w:sz w:val="12"/>
        </w:rPr>
        <w:t>33</w:t>
      </w:r>
      <w:r>
        <w:rPr>
          <w:spacing w:val="10"/>
          <w:position w:val="5"/>
          <w:sz w:val="12"/>
        </w:rPr>
        <w:t xml:space="preserve"> </w:t>
      </w:r>
      <w:r>
        <w:rPr>
          <w:sz w:val="18"/>
        </w:rPr>
        <w:t>Greytak,</w:t>
      </w:r>
      <w:r>
        <w:rPr>
          <w:spacing w:val="-2"/>
          <w:sz w:val="18"/>
        </w:rPr>
        <w:t xml:space="preserve"> </w:t>
      </w:r>
      <w:r>
        <w:rPr>
          <w:sz w:val="18"/>
        </w:rPr>
        <w:t>Kosciw,</w:t>
      </w:r>
      <w:r>
        <w:rPr>
          <w:spacing w:val="-2"/>
          <w:sz w:val="18"/>
        </w:rPr>
        <w:t xml:space="preserve"> </w:t>
      </w:r>
      <w:r>
        <w:rPr>
          <w:sz w:val="18"/>
        </w:rPr>
        <w:t>and</w:t>
      </w:r>
      <w:r>
        <w:rPr>
          <w:spacing w:val="-3"/>
          <w:sz w:val="18"/>
        </w:rPr>
        <w:t xml:space="preserve"> </w:t>
      </w:r>
      <w:r>
        <w:rPr>
          <w:sz w:val="18"/>
        </w:rPr>
        <w:t>Gay,</w:t>
      </w:r>
      <w:r>
        <w:rPr>
          <w:spacing w:val="-2"/>
          <w:sz w:val="18"/>
        </w:rPr>
        <w:t xml:space="preserve"> </w:t>
      </w:r>
      <w:r>
        <w:rPr>
          <w:i/>
          <w:sz w:val="18"/>
        </w:rPr>
        <w:t>Year</w:t>
      </w:r>
      <w:r>
        <w:rPr>
          <w:i/>
          <w:spacing w:val="-4"/>
          <w:sz w:val="18"/>
        </w:rPr>
        <w:t xml:space="preserve"> </w:t>
      </w:r>
      <w:r>
        <w:rPr>
          <w:i/>
          <w:sz w:val="18"/>
        </w:rPr>
        <w:t>One</w:t>
      </w:r>
      <w:r>
        <w:rPr>
          <w:i/>
          <w:spacing w:val="-2"/>
          <w:sz w:val="18"/>
        </w:rPr>
        <w:t xml:space="preserve"> </w:t>
      </w:r>
      <w:r>
        <w:rPr>
          <w:i/>
          <w:sz w:val="18"/>
        </w:rPr>
        <w:t>Evaluation</w:t>
      </w:r>
      <w:r>
        <w:rPr>
          <w:i/>
          <w:spacing w:val="-1"/>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New</w:t>
      </w:r>
      <w:r>
        <w:rPr>
          <w:i/>
          <w:spacing w:val="-1"/>
          <w:sz w:val="18"/>
        </w:rPr>
        <w:t xml:space="preserve"> </w:t>
      </w:r>
      <w:r>
        <w:rPr>
          <w:i/>
          <w:sz w:val="18"/>
        </w:rPr>
        <w:t>York</w:t>
      </w:r>
      <w:r>
        <w:rPr>
          <w:i/>
          <w:spacing w:val="-3"/>
          <w:sz w:val="18"/>
        </w:rPr>
        <w:t xml:space="preserve"> </w:t>
      </w:r>
      <w:r>
        <w:rPr>
          <w:i/>
          <w:sz w:val="18"/>
        </w:rPr>
        <w:t>City</w:t>
      </w:r>
      <w:r>
        <w:rPr>
          <w:i/>
          <w:spacing w:val="-1"/>
          <w:sz w:val="18"/>
        </w:rPr>
        <w:t xml:space="preserve"> </w:t>
      </w:r>
      <w:r>
        <w:rPr>
          <w:i/>
          <w:sz w:val="18"/>
        </w:rPr>
        <w:t>Department</w:t>
      </w:r>
      <w:r>
        <w:rPr>
          <w:i/>
          <w:spacing w:val="-3"/>
          <w:sz w:val="18"/>
        </w:rPr>
        <w:t xml:space="preserve"> </w:t>
      </w:r>
      <w:r>
        <w:rPr>
          <w:i/>
          <w:sz w:val="18"/>
        </w:rPr>
        <w:t>of</w:t>
      </w:r>
      <w:r>
        <w:rPr>
          <w:i/>
          <w:spacing w:val="-2"/>
          <w:sz w:val="18"/>
        </w:rPr>
        <w:t xml:space="preserve"> </w:t>
      </w:r>
      <w:r>
        <w:rPr>
          <w:i/>
          <w:sz w:val="18"/>
        </w:rPr>
        <w:t>Education</w:t>
      </w:r>
      <w:r>
        <w:rPr>
          <w:i/>
          <w:spacing w:val="-1"/>
          <w:sz w:val="18"/>
        </w:rPr>
        <w:t xml:space="preserve"> </w:t>
      </w:r>
      <w:r>
        <w:rPr>
          <w:i/>
          <w:sz w:val="18"/>
        </w:rPr>
        <w:t>"Respect</w:t>
      </w:r>
      <w:r>
        <w:rPr>
          <w:i/>
          <w:spacing w:val="-3"/>
          <w:sz w:val="18"/>
        </w:rPr>
        <w:t xml:space="preserve"> </w:t>
      </w:r>
      <w:r>
        <w:rPr>
          <w:i/>
          <w:sz w:val="18"/>
        </w:rPr>
        <w:t>for</w:t>
      </w:r>
      <w:r>
        <w:rPr>
          <w:i/>
          <w:spacing w:val="-2"/>
          <w:sz w:val="18"/>
        </w:rPr>
        <w:t xml:space="preserve"> </w:t>
      </w:r>
      <w:r>
        <w:rPr>
          <w:i/>
          <w:sz w:val="18"/>
        </w:rPr>
        <w:t>All"</w:t>
      </w:r>
      <w:r>
        <w:rPr>
          <w:i/>
          <w:spacing w:val="-2"/>
          <w:sz w:val="18"/>
        </w:rPr>
        <w:t xml:space="preserve"> </w:t>
      </w:r>
      <w:r>
        <w:rPr>
          <w:i/>
          <w:sz w:val="18"/>
        </w:rPr>
        <w:t xml:space="preserve">Training </w:t>
      </w:r>
      <w:r>
        <w:rPr>
          <w:i/>
          <w:spacing w:val="-2"/>
          <w:sz w:val="18"/>
        </w:rPr>
        <w:t>Program.</w:t>
      </w:r>
    </w:p>
    <w:p w:rsidR="00200FDA" w:rsidRDefault="00F76C4C">
      <w:pPr>
        <w:ind w:left="140" w:right="218" w:hanging="1"/>
        <w:rPr>
          <w:sz w:val="18"/>
        </w:rPr>
      </w:pPr>
      <w:r>
        <w:rPr>
          <w:position w:val="5"/>
          <w:sz w:val="12"/>
        </w:rPr>
        <w:t>34</w:t>
      </w:r>
      <w:r>
        <w:rPr>
          <w:spacing w:val="10"/>
          <w:position w:val="5"/>
          <w:sz w:val="12"/>
        </w:rPr>
        <w:t xml:space="preserve"> </w:t>
      </w:r>
      <w:r>
        <w:rPr>
          <w:sz w:val="18"/>
        </w:rPr>
        <w:t>Katie</w:t>
      </w:r>
      <w:r>
        <w:rPr>
          <w:spacing w:val="-3"/>
          <w:sz w:val="18"/>
        </w:rPr>
        <w:t xml:space="preserve"> </w:t>
      </w:r>
      <w:r>
        <w:rPr>
          <w:sz w:val="18"/>
        </w:rPr>
        <w:t>Ann</w:t>
      </w:r>
      <w:r>
        <w:rPr>
          <w:spacing w:val="-3"/>
          <w:sz w:val="18"/>
        </w:rPr>
        <w:t xml:space="preserve"> </w:t>
      </w:r>
      <w:r>
        <w:rPr>
          <w:sz w:val="18"/>
        </w:rPr>
        <w:t>McGravey,</w:t>
      </w:r>
      <w:r>
        <w:rPr>
          <w:spacing w:val="-2"/>
          <w:sz w:val="18"/>
        </w:rPr>
        <w:t xml:space="preserve"> </w:t>
      </w:r>
      <w:r>
        <w:rPr>
          <w:i/>
          <w:sz w:val="18"/>
        </w:rPr>
        <w:t>Measuring</w:t>
      </w:r>
      <w:r>
        <w:rPr>
          <w:i/>
          <w:spacing w:val="-4"/>
          <w:sz w:val="18"/>
        </w:rPr>
        <w:t xml:space="preserve"> </w:t>
      </w:r>
      <w:r>
        <w:rPr>
          <w:i/>
          <w:sz w:val="18"/>
        </w:rPr>
        <w:t>the</w:t>
      </w:r>
      <w:r>
        <w:rPr>
          <w:i/>
          <w:spacing w:val="-2"/>
          <w:sz w:val="18"/>
        </w:rPr>
        <w:t xml:space="preserve"> </w:t>
      </w:r>
      <w:r>
        <w:rPr>
          <w:i/>
          <w:sz w:val="18"/>
        </w:rPr>
        <w:t>Effectiveness</w:t>
      </w:r>
      <w:r>
        <w:rPr>
          <w:i/>
          <w:spacing w:val="-3"/>
          <w:sz w:val="18"/>
        </w:rPr>
        <w:t xml:space="preserve"> </w:t>
      </w:r>
      <w:r>
        <w:rPr>
          <w:i/>
          <w:sz w:val="18"/>
        </w:rPr>
        <w:t>of</w:t>
      </w:r>
      <w:r>
        <w:rPr>
          <w:i/>
          <w:spacing w:val="-2"/>
          <w:sz w:val="18"/>
        </w:rPr>
        <w:t xml:space="preserve"> </w:t>
      </w:r>
      <w:r>
        <w:rPr>
          <w:i/>
          <w:sz w:val="18"/>
        </w:rPr>
        <w:t>a</w:t>
      </w:r>
      <w:r>
        <w:rPr>
          <w:i/>
          <w:spacing w:val="-1"/>
          <w:sz w:val="18"/>
        </w:rPr>
        <w:t xml:space="preserve"> </w:t>
      </w:r>
      <w:r>
        <w:rPr>
          <w:i/>
          <w:sz w:val="18"/>
        </w:rPr>
        <w:t>Professional</w:t>
      </w:r>
      <w:r>
        <w:rPr>
          <w:i/>
          <w:spacing w:val="-3"/>
          <w:sz w:val="18"/>
        </w:rPr>
        <w:t xml:space="preserve"> </w:t>
      </w:r>
      <w:r>
        <w:rPr>
          <w:i/>
          <w:sz w:val="18"/>
        </w:rPr>
        <w:t>Development</w:t>
      </w:r>
      <w:r>
        <w:rPr>
          <w:i/>
          <w:spacing w:val="-3"/>
          <w:sz w:val="18"/>
        </w:rPr>
        <w:t xml:space="preserve"> </w:t>
      </w:r>
      <w:r>
        <w:rPr>
          <w:i/>
          <w:sz w:val="18"/>
        </w:rPr>
        <w:t>Workshop</w:t>
      </w:r>
      <w:r>
        <w:rPr>
          <w:i/>
          <w:spacing w:val="-1"/>
          <w:sz w:val="18"/>
        </w:rPr>
        <w:t xml:space="preserve"> </w:t>
      </w:r>
      <w:r>
        <w:rPr>
          <w:i/>
          <w:sz w:val="18"/>
        </w:rPr>
        <w:t>on</w:t>
      </w:r>
      <w:r>
        <w:rPr>
          <w:i/>
          <w:spacing w:val="-1"/>
          <w:sz w:val="18"/>
        </w:rPr>
        <w:t xml:space="preserve"> </w:t>
      </w:r>
      <w:r>
        <w:rPr>
          <w:i/>
          <w:sz w:val="18"/>
        </w:rPr>
        <w:t>Awareness,</w:t>
      </w:r>
      <w:r>
        <w:rPr>
          <w:i/>
          <w:spacing w:val="-2"/>
          <w:sz w:val="18"/>
        </w:rPr>
        <w:t xml:space="preserve"> </w:t>
      </w:r>
      <w:r>
        <w:rPr>
          <w:i/>
          <w:sz w:val="18"/>
        </w:rPr>
        <w:t>Knowledge,</w:t>
      </w:r>
      <w:r>
        <w:rPr>
          <w:i/>
          <w:spacing w:val="-2"/>
          <w:sz w:val="18"/>
        </w:rPr>
        <w:t xml:space="preserve"> </w:t>
      </w:r>
      <w:r>
        <w:rPr>
          <w:i/>
          <w:sz w:val="18"/>
        </w:rPr>
        <w:t>and Skills of Mental Health Professionals in Working with Lesbian, Gay, Bisexual,</w:t>
      </w:r>
      <w:r>
        <w:rPr>
          <w:i/>
          <w:sz w:val="18"/>
        </w:rPr>
        <w:t xml:space="preserve"> Transgender, and Questioning (LGBTQ) Youth</w:t>
      </w:r>
      <w:r>
        <w:rPr>
          <w:sz w:val="18"/>
        </w:rPr>
        <w:t xml:space="preserve">, </w:t>
      </w:r>
      <w:r>
        <w:rPr>
          <w:i/>
          <w:sz w:val="18"/>
        </w:rPr>
        <w:t xml:space="preserve">ProQuest LLC </w:t>
      </w:r>
      <w:r>
        <w:rPr>
          <w:sz w:val="18"/>
        </w:rPr>
        <w:t>(ProQuest LLC, 2014).</w:t>
      </w:r>
    </w:p>
    <w:p w:rsidR="00200FDA" w:rsidRDefault="00F76C4C">
      <w:pPr>
        <w:ind w:left="139" w:right="288"/>
        <w:rPr>
          <w:sz w:val="18"/>
        </w:rPr>
      </w:pPr>
      <w:r>
        <w:rPr>
          <w:position w:val="5"/>
          <w:sz w:val="12"/>
        </w:rPr>
        <w:t>35</w:t>
      </w:r>
      <w:r>
        <w:rPr>
          <w:spacing w:val="10"/>
          <w:position w:val="5"/>
          <w:sz w:val="12"/>
        </w:rPr>
        <w:t xml:space="preserve"> </w:t>
      </w:r>
      <w:r>
        <w:rPr>
          <w:sz w:val="18"/>
        </w:rPr>
        <w:t>Elizabeth</w:t>
      </w:r>
      <w:r>
        <w:rPr>
          <w:spacing w:val="-3"/>
          <w:sz w:val="18"/>
        </w:rPr>
        <w:t xml:space="preserve"> </w:t>
      </w:r>
      <w:r>
        <w:rPr>
          <w:sz w:val="18"/>
        </w:rPr>
        <w:t>Bradley</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“Impact of</w:t>
      </w:r>
      <w:r>
        <w:rPr>
          <w:spacing w:val="-2"/>
          <w:sz w:val="18"/>
        </w:rPr>
        <w:t xml:space="preserve"> </w:t>
      </w:r>
      <w:r>
        <w:rPr>
          <w:sz w:val="18"/>
        </w:rPr>
        <w:t>a</w:t>
      </w:r>
      <w:r>
        <w:rPr>
          <w:spacing w:val="-2"/>
          <w:sz w:val="18"/>
        </w:rPr>
        <w:t xml:space="preserve"> </w:t>
      </w:r>
      <w:r>
        <w:rPr>
          <w:sz w:val="18"/>
        </w:rPr>
        <w:t>Simulation</w:t>
      </w:r>
      <w:r>
        <w:rPr>
          <w:spacing w:val="-3"/>
          <w:sz w:val="18"/>
        </w:rPr>
        <w:t xml:space="preserve"> </w:t>
      </w:r>
      <w:r>
        <w:rPr>
          <w:sz w:val="18"/>
        </w:rPr>
        <w:t>on</w:t>
      </w:r>
      <w:r>
        <w:rPr>
          <w:spacing w:val="-3"/>
          <w:sz w:val="18"/>
        </w:rPr>
        <w:t xml:space="preserve"> </w:t>
      </w:r>
      <w:r>
        <w:rPr>
          <w:sz w:val="18"/>
        </w:rPr>
        <w:t>Educator</w:t>
      </w:r>
      <w:r>
        <w:rPr>
          <w:spacing w:val="-3"/>
          <w:sz w:val="18"/>
        </w:rPr>
        <w:t xml:space="preserve"> </w:t>
      </w:r>
      <w:r>
        <w:rPr>
          <w:sz w:val="18"/>
        </w:rPr>
        <w:t>Support</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LGBT</w:t>
      </w:r>
      <w:r>
        <w:rPr>
          <w:i/>
          <w:spacing w:val="-1"/>
          <w:sz w:val="18"/>
        </w:rPr>
        <w:t xml:space="preserve"> </w:t>
      </w:r>
      <w:r>
        <w:rPr>
          <w:i/>
          <w:sz w:val="18"/>
        </w:rPr>
        <w:t>Youth</w:t>
      </w:r>
      <w:r>
        <w:rPr>
          <w:i/>
          <w:spacing w:val="-1"/>
          <w:sz w:val="18"/>
        </w:rPr>
        <w:t xml:space="preserve"> </w:t>
      </w:r>
      <w:r>
        <w:rPr>
          <w:sz w:val="18"/>
        </w:rPr>
        <w:t>16,</w:t>
      </w:r>
      <w:r>
        <w:rPr>
          <w:spacing w:val="-2"/>
          <w:sz w:val="18"/>
        </w:rPr>
        <w:t xml:space="preserve"> </w:t>
      </w:r>
      <w:r>
        <w:rPr>
          <w:sz w:val="18"/>
        </w:rPr>
        <w:t>no.</w:t>
      </w:r>
      <w:r>
        <w:rPr>
          <w:spacing w:val="-2"/>
          <w:sz w:val="18"/>
        </w:rPr>
        <w:t xml:space="preserve"> </w:t>
      </w:r>
      <w:r>
        <w:rPr>
          <w:sz w:val="18"/>
        </w:rPr>
        <w:t>3</w:t>
      </w:r>
      <w:r>
        <w:rPr>
          <w:spacing w:val="-2"/>
          <w:sz w:val="18"/>
        </w:rPr>
        <w:t xml:space="preserve"> </w:t>
      </w:r>
      <w:r>
        <w:rPr>
          <w:sz w:val="18"/>
        </w:rPr>
        <w:t>(July 3,</w:t>
      </w:r>
      <w:r>
        <w:rPr>
          <w:spacing w:val="-2"/>
          <w:sz w:val="18"/>
        </w:rPr>
        <w:t xml:space="preserve"> </w:t>
      </w:r>
      <w:r>
        <w:rPr>
          <w:sz w:val="18"/>
        </w:rPr>
        <w:t>2019):</w:t>
      </w:r>
      <w:r>
        <w:rPr>
          <w:spacing w:val="-2"/>
          <w:sz w:val="18"/>
        </w:rPr>
        <w:t xml:space="preserve"> </w:t>
      </w:r>
      <w:r>
        <w:rPr>
          <w:sz w:val="18"/>
        </w:rPr>
        <w:t>317–39,</w:t>
      </w:r>
      <w:r>
        <w:rPr>
          <w:spacing w:val="-2"/>
          <w:sz w:val="18"/>
        </w:rPr>
        <w:t xml:space="preserve"> </w:t>
      </w:r>
      <w:r>
        <w:rPr>
          <w:sz w:val="18"/>
        </w:rPr>
        <w:t>https://doi.org/10.1080/19361653.2019.1578324;</w:t>
      </w:r>
      <w:r>
        <w:rPr>
          <w:spacing w:val="-3"/>
          <w:sz w:val="18"/>
        </w:rPr>
        <w:t xml:space="preserve"> </w:t>
      </w:r>
      <w:r>
        <w:rPr>
          <w:sz w:val="18"/>
        </w:rPr>
        <w:t>McGravey,</w:t>
      </w:r>
      <w:r>
        <w:rPr>
          <w:spacing w:val="-2"/>
          <w:sz w:val="18"/>
        </w:rPr>
        <w:t xml:space="preserve"> </w:t>
      </w:r>
      <w:r>
        <w:rPr>
          <w:i/>
          <w:sz w:val="18"/>
        </w:rPr>
        <w:t>Measuring</w:t>
      </w:r>
      <w:r>
        <w:rPr>
          <w:i/>
          <w:spacing w:val="-1"/>
          <w:sz w:val="18"/>
        </w:rPr>
        <w:t xml:space="preserve"> </w:t>
      </w:r>
      <w:r>
        <w:rPr>
          <w:i/>
          <w:sz w:val="18"/>
        </w:rPr>
        <w:t>the</w:t>
      </w:r>
      <w:r>
        <w:rPr>
          <w:i/>
          <w:spacing w:val="-5"/>
          <w:sz w:val="18"/>
        </w:rPr>
        <w:t xml:space="preserve"> </w:t>
      </w:r>
      <w:r>
        <w:rPr>
          <w:i/>
          <w:sz w:val="18"/>
        </w:rPr>
        <w:t>Effectiveness</w:t>
      </w:r>
      <w:r>
        <w:rPr>
          <w:i/>
          <w:spacing w:val="-3"/>
          <w:sz w:val="18"/>
        </w:rPr>
        <w:t xml:space="preserve"> </w:t>
      </w:r>
      <w:r>
        <w:rPr>
          <w:i/>
          <w:sz w:val="18"/>
        </w:rPr>
        <w:t>of</w:t>
      </w:r>
      <w:r>
        <w:rPr>
          <w:i/>
          <w:spacing w:val="-2"/>
          <w:sz w:val="18"/>
        </w:rPr>
        <w:t xml:space="preserve"> </w:t>
      </w:r>
      <w:r>
        <w:rPr>
          <w:i/>
          <w:sz w:val="18"/>
        </w:rPr>
        <w:t>a</w:t>
      </w:r>
      <w:r>
        <w:rPr>
          <w:i/>
          <w:spacing w:val="-1"/>
          <w:sz w:val="18"/>
        </w:rPr>
        <w:t xml:space="preserve"> </w:t>
      </w:r>
      <w:r>
        <w:rPr>
          <w:i/>
          <w:sz w:val="18"/>
        </w:rPr>
        <w:t>Professional Development Workshop on Awareness, Knowledge, and Skills of Mental Health Professionals in Working with Lesbian, Gay, Bisexual, Transgender, and Question</w:t>
      </w:r>
      <w:r>
        <w:rPr>
          <w:i/>
          <w:sz w:val="18"/>
        </w:rPr>
        <w:t>ing (LGBTQ) Youth</w:t>
      </w:r>
      <w:r>
        <w:rPr>
          <w:sz w:val="18"/>
        </w:rPr>
        <w:t>.</w:t>
      </w:r>
    </w:p>
    <w:p w:rsidR="00200FDA" w:rsidRDefault="00F76C4C">
      <w:pPr>
        <w:ind w:left="140" w:right="218" w:hanging="1"/>
        <w:rPr>
          <w:sz w:val="18"/>
        </w:rPr>
      </w:pPr>
      <w:r>
        <w:rPr>
          <w:position w:val="5"/>
          <w:sz w:val="12"/>
        </w:rPr>
        <w:t>36</w:t>
      </w:r>
      <w:r>
        <w:rPr>
          <w:spacing w:val="10"/>
          <w:position w:val="5"/>
          <w:sz w:val="12"/>
        </w:rPr>
        <w:t xml:space="preserve"> </w:t>
      </w:r>
      <w:r>
        <w:rPr>
          <w:sz w:val="18"/>
        </w:rPr>
        <w:t>Rebekah</w:t>
      </w:r>
      <w:r>
        <w:rPr>
          <w:spacing w:val="-3"/>
          <w:sz w:val="18"/>
        </w:rPr>
        <w:t xml:space="preserve"> </w:t>
      </w:r>
      <w:r>
        <w:rPr>
          <w:sz w:val="18"/>
        </w:rPr>
        <w:t>Byrd</w:t>
      </w:r>
      <w:r>
        <w:rPr>
          <w:spacing w:val="-3"/>
          <w:sz w:val="18"/>
        </w:rPr>
        <w:t xml:space="preserve"> </w:t>
      </w:r>
      <w:r>
        <w:rPr>
          <w:sz w:val="18"/>
        </w:rPr>
        <w:t>and</w:t>
      </w:r>
      <w:r>
        <w:rPr>
          <w:spacing w:val="-3"/>
          <w:sz w:val="18"/>
        </w:rPr>
        <w:t xml:space="preserve"> </w:t>
      </w:r>
      <w:r>
        <w:rPr>
          <w:sz w:val="18"/>
        </w:rPr>
        <w:t>Danica</w:t>
      </w:r>
      <w:r>
        <w:rPr>
          <w:spacing w:val="-2"/>
          <w:sz w:val="18"/>
        </w:rPr>
        <w:t xml:space="preserve"> </w:t>
      </w:r>
      <w:r>
        <w:rPr>
          <w:sz w:val="18"/>
        </w:rPr>
        <w:t>G.</w:t>
      </w:r>
      <w:r>
        <w:rPr>
          <w:spacing w:val="-2"/>
          <w:sz w:val="18"/>
        </w:rPr>
        <w:t xml:space="preserve"> </w:t>
      </w:r>
      <w:r>
        <w:rPr>
          <w:sz w:val="18"/>
        </w:rPr>
        <w:t>Hays,</w:t>
      </w:r>
      <w:r>
        <w:rPr>
          <w:spacing w:val="-2"/>
          <w:sz w:val="18"/>
        </w:rPr>
        <w:t xml:space="preserve"> </w:t>
      </w:r>
      <w:r>
        <w:rPr>
          <w:sz w:val="18"/>
        </w:rPr>
        <w:t>“Evaluating</w:t>
      </w:r>
      <w:r>
        <w:rPr>
          <w:spacing w:val="-1"/>
          <w:sz w:val="18"/>
        </w:rPr>
        <w:t xml:space="preserve"> </w:t>
      </w:r>
      <w:r>
        <w:rPr>
          <w:sz w:val="18"/>
        </w:rPr>
        <w:t>A</w:t>
      </w:r>
      <w:r>
        <w:rPr>
          <w:spacing w:val="-3"/>
          <w:sz w:val="18"/>
        </w:rPr>
        <w:t xml:space="preserve"> </w:t>
      </w:r>
      <w:r>
        <w:rPr>
          <w:sz w:val="18"/>
        </w:rPr>
        <w:t>Safe</w:t>
      </w:r>
      <w:r>
        <w:rPr>
          <w:spacing w:val="-1"/>
          <w:sz w:val="18"/>
        </w:rPr>
        <w:t xml:space="preserve"> </w:t>
      </w:r>
      <w:r>
        <w:rPr>
          <w:sz w:val="18"/>
        </w:rPr>
        <w:t>Space</w:t>
      </w:r>
      <w:r>
        <w:rPr>
          <w:spacing w:val="-3"/>
          <w:sz w:val="18"/>
        </w:rPr>
        <w:t xml:space="preserve"> </w:t>
      </w:r>
      <w:r>
        <w:rPr>
          <w:sz w:val="18"/>
        </w:rPr>
        <w:t>Training</w:t>
      </w:r>
      <w:r>
        <w:rPr>
          <w:spacing w:val="-3"/>
          <w:sz w:val="18"/>
        </w:rPr>
        <w:t xml:space="preserve"> </w:t>
      </w:r>
      <w:r>
        <w:rPr>
          <w:sz w:val="18"/>
        </w:rPr>
        <w:t>for</w:t>
      </w:r>
      <w:r>
        <w:rPr>
          <w:spacing w:val="-3"/>
          <w:sz w:val="18"/>
        </w:rPr>
        <w:t xml:space="preserve"> </w:t>
      </w:r>
      <w:r>
        <w:rPr>
          <w:sz w:val="18"/>
        </w:rPr>
        <w:t>School</w:t>
      </w:r>
      <w:r>
        <w:rPr>
          <w:spacing w:val="-3"/>
          <w:sz w:val="18"/>
        </w:rPr>
        <w:t xml:space="preserve"> </w:t>
      </w:r>
      <w:r>
        <w:rPr>
          <w:sz w:val="18"/>
        </w:rPr>
        <w:t>Counselors</w:t>
      </w:r>
      <w:r>
        <w:rPr>
          <w:spacing w:val="-3"/>
          <w:sz w:val="18"/>
        </w:rPr>
        <w:t xml:space="preserve"> </w:t>
      </w:r>
      <w:r>
        <w:rPr>
          <w:sz w:val="18"/>
        </w:rPr>
        <w:t>and</w:t>
      </w:r>
      <w:r>
        <w:rPr>
          <w:spacing w:val="-3"/>
          <w:sz w:val="18"/>
        </w:rPr>
        <w:t xml:space="preserve"> </w:t>
      </w:r>
      <w:r>
        <w:rPr>
          <w:sz w:val="18"/>
        </w:rPr>
        <w:t>Trainees</w:t>
      </w:r>
      <w:r>
        <w:rPr>
          <w:spacing w:val="-3"/>
          <w:sz w:val="18"/>
        </w:rPr>
        <w:t xml:space="preserve"> </w:t>
      </w:r>
      <w:r>
        <w:rPr>
          <w:sz w:val="18"/>
        </w:rPr>
        <w:t>Using</w:t>
      </w:r>
      <w:r>
        <w:rPr>
          <w:spacing w:val="-3"/>
          <w:sz w:val="18"/>
        </w:rPr>
        <w:t xml:space="preserve"> </w:t>
      </w:r>
      <w:r>
        <w:rPr>
          <w:sz w:val="18"/>
        </w:rPr>
        <w:t>a</w:t>
      </w:r>
      <w:r>
        <w:rPr>
          <w:spacing w:val="-2"/>
          <w:sz w:val="18"/>
        </w:rPr>
        <w:t xml:space="preserve"> </w:t>
      </w:r>
      <w:r>
        <w:rPr>
          <w:sz w:val="18"/>
        </w:rPr>
        <w:t xml:space="preserve">Randomized Control Group Design,” </w:t>
      </w:r>
      <w:r>
        <w:rPr>
          <w:i/>
          <w:sz w:val="18"/>
        </w:rPr>
        <w:t xml:space="preserve">Professional School Counseling </w:t>
      </w:r>
      <w:r>
        <w:rPr>
          <w:sz w:val="18"/>
        </w:rPr>
        <w:t xml:space="preserve">17, no. 1 (January 2013): 2156759X0001700, https://doi.org/10.1177/2156759X0001700103; McGravey, </w:t>
      </w:r>
      <w:r>
        <w:rPr>
          <w:i/>
          <w:sz w:val="18"/>
        </w:rPr>
        <w:t xml:space="preserve">Measuring the Effectiveness of a Professional Development Workshop on Awareness, Knowledge, and Skills of Mental Health Professionals in Working with Lesbian, </w:t>
      </w:r>
      <w:r>
        <w:rPr>
          <w:i/>
          <w:sz w:val="18"/>
        </w:rPr>
        <w:t>Gay, Bisexual, Transgender, and Questioning (LGBTQ) Youth</w:t>
      </w:r>
      <w:r>
        <w:rPr>
          <w:sz w:val="18"/>
        </w:rPr>
        <w:t>.</w:t>
      </w:r>
    </w:p>
    <w:p w:rsidR="00200FDA" w:rsidRDefault="00F76C4C">
      <w:pPr>
        <w:ind w:left="140" w:right="1900" w:hanging="1"/>
        <w:rPr>
          <w:sz w:val="18"/>
        </w:rPr>
      </w:pPr>
      <w:r>
        <w:rPr>
          <w:position w:val="5"/>
          <w:sz w:val="12"/>
        </w:rPr>
        <w:t>37</w:t>
      </w:r>
      <w:r>
        <w:rPr>
          <w:spacing w:val="9"/>
          <w:position w:val="5"/>
          <w:sz w:val="12"/>
        </w:rPr>
        <w:t xml:space="preserve"> </w:t>
      </w:r>
      <w:r>
        <w:rPr>
          <w:sz w:val="18"/>
        </w:rPr>
        <w:t>Massachusetts</w:t>
      </w:r>
      <w:r>
        <w:rPr>
          <w:spacing w:val="-4"/>
          <w:sz w:val="18"/>
        </w:rPr>
        <w:t xml:space="preserve"> </w:t>
      </w:r>
      <w:r>
        <w:rPr>
          <w:sz w:val="18"/>
        </w:rPr>
        <w:t>Commission</w:t>
      </w:r>
      <w:r>
        <w:rPr>
          <w:spacing w:val="-4"/>
          <w:sz w:val="18"/>
        </w:rPr>
        <w:t xml:space="preserve"> </w:t>
      </w:r>
      <w:r>
        <w:rPr>
          <w:sz w:val="18"/>
        </w:rPr>
        <w:t>on</w:t>
      </w:r>
      <w:r>
        <w:rPr>
          <w:spacing w:val="-4"/>
          <w:sz w:val="18"/>
        </w:rPr>
        <w:t xml:space="preserve"> </w:t>
      </w:r>
      <w:r>
        <w:rPr>
          <w:sz w:val="18"/>
        </w:rPr>
        <w:t>LGBTQ</w:t>
      </w:r>
      <w:r>
        <w:rPr>
          <w:spacing w:val="-4"/>
          <w:sz w:val="18"/>
        </w:rPr>
        <w:t xml:space="preserve"> </w:t>
      </w:r>
      <w:r>
        <w:rPr>
          <w:sz w:val="18"/>
        </w:rPr>
        <w:t>Youth,</w:t>
      </w:r>
      <w:r>
        <w:rPr>
          <w:spacing w:val="-3"/>
          <w:sz w:val="18"/>
        </w:rPr>
        <w:t xml:space="preserve"> </w:t>
      </w:r>
      <w:r>
        <w:rPr>
          <w:sz w:val="18"/>
        </w:rPr>
        <w:t>“Safe</w:t>
      </w:r>
      <w:r>
        <w:rPr>
          <w:spacing w:val="-4"/>
          <w:sz w:val="18"/>
        </w:rPr>
        <w:t xml:space="preserve"> </w:t>
      </w:r>
      <w:r>
        <w:rPr>
          <w:sz w:val="18"/>
        </w:rPr>
        <w:t>Schools</w:t>
      </w:r>
      <w:r>
        <w:rPr>
          <w:spacing w:val="-4"/>
          <w:sz w:val="18"/>
        </w:rPr>
        <w:t xml:space="preserve"> </w:t>
      </w:r>
      <w:r>
        <w:rPr>
          <w:sz w:val="18"/>
        </w:rPr>
        <w:t>Program</w:t>
      </w:r>
      <w:r>
        <w:rPr>
          <w:spacing w:val="-3"/>
          <w:sz w:val="18"/>
        </w:rPr>
        <w:t xml:space="preserve"> </w:t>
      </w:r>
      <w:r>
        <w:rPr>
          <w:sz w:val="18"/>
        </w:rPr>
        <w:t>Training</w:t>
      </w:r>
      <w:r>
        <w:rPr>
          <w:spacing w:val="-4"/>
          <w:sz w:val="18"/>
        </w:rPr>
        <w:t xml:space="preserve"> </w:t>
      </w:r>
      <w:r>
        <w:rPr>
          <w:sz w:val="18"/>
        </w:rPr>
        <w:t>Evaluation</w:t>
      </w:r>
      <w:r>
        <w:rPr>
          <w:spacing w:val="-4"/>
          <w:sz w:val="18"/>
        </w:rPr>
        <w:t xml:space="preserve"> </w:t>
      </w:r>
      <w:r>
        <w:rPr>
          <w:sz w:val="18"/>
        </w:rPr>
        <w:t>Data.,”</w:t>
      </w:r>
      <w:r>
        <w:rPr>
          <w:spacing w:val="-4"/>
          <w:sz w:val="18"/>
        </w:rPr>
        <w:t xml:space="preserve"> </w:t>
      </w:r>
      <w:r>
        <w:rPr>
          <w:sz w:val="18"/>
        </w:rPr>
        <w:t xml:space="preserve">2019, </w:t>
      </w:r>
      <w:r>
        <w:rPr>
          <w:spacing w:val="-2"/>
          <w:sz w:val="18"/>
        </w:rPr>
        <w:t>https://docs.google.com/document/d/15SzsGZwNN0k-JaeW1XeDcKFsrjlynZxaz9AM_qzNAg/edit?pli=1.</w:t>
      </w:r>
    </w:p>
    <w:p w:rsidR="00200FDA" w:rsidRDefault="00F76C4C">
      <w:pPr>
        <w:spacing w:line="219" w:lineRule="exact"/>
        <w:ind w:left="140"/>
        <w:rPr>
          <w:sz w:val="18"/>
        </w:rPr>
      </w:pPr>
      <w:r>
        <w:rPr>
          <w:position w:val="5"/>
          <w:sz w:val="12"/>
        </w:rPr>
        <w:t>38</w:t>
      </w:r>
      <w:r>
        <w:rPr>
          <w:spacing w:val="7"/>
          <w:position w:val="5"/>
          <w:sz w:val="12"/>
        </w:rPr>
        <w:t xml:space="preserve"> </w:t>
      </w:r>
      <w:r>
        <w:rPr>
          <w:sz w:val="18"/>
        </w:rPr>
        <w:t>Swa</w:t>
      </w:r>
      <w:r>
        <w:rPr>
          <w:sz w:val="18"/>
        </w:rPr>
        <w:t>nson</w:t>
      </w:r>
      <w:r>
        <w:rPr>
          <w:spacing w:val="-3"/>
          <w:sz w:val="18"/>
        </w:rPr>
        <w:t xml:space="preserve"> </w:t>
      </w:r>
      <w:r>
        <w:rPr>
          <w:sz w:val="18"/>
        </w:rPr>
        <w:t>and</w:t>
      </w:r>
      <w:r>
        <w:rPr>
          <w:spacing w:val="-1"/>
          <w:sz w:val="18"/>
        </w:rPr>
        <w:t xml:space="preserve"> </w:t>
      </w:r>
      <w:r>
        <w:rPr>
          <w:sz w:val="18"/>
        </w:rPr>
        <w:t>Gettinger,</w:t>
      </w:r>
      <w:r>
        <w:rPr>
          <w:spacing w:val="-2"/>
          <w:sz w:val="18"/>
        </w:rPr>
        <w:t xml:space="preserve"> </w:t>
      </w:r>
      <w:r>
        <w:rPr>
          <w:sz w:val="18"/>
        </w:rPr>
        <w:t>“Teachers’</w:t>
      </w:r>
      <w:r>
        <w:rPr>
          <w:spacing w:val="-2"/>
          <w:sz w:val="18"/>
        </w:rPr>
        <w:t xml:space="preserve"> </w:t>
      </w:r>
      <w:r>
        <w:rPr>
          <w:sz w:val="18"/>
        </w:rPr>
        <w:t>Knowledge,</w:t>
      </w:r>
      <w:r>
        <w:rPr>
          <w:spacing w:val="-3"/>
          <w:sz w:val="18"/>
        </w:rPr>
        <w:t xml:space="preserve"> </w:t>
      </w:r>
      <w:r>
        <w:rPr>
          <w:sz w:val="18"/>
        </w:rPr>
        <w:t>Attitudes,</w:t>
      </w:r>
      <w:r>
        <w:rPr>
          <w:spacing w:val="-2"/>
          <w:sz w:val="18"/>
        </w:rPr>
        <w:t xml:space="preserve"> </w:t>
      </w:r>
      <w:r>
        <w:rPr>
          <w:sz w:val="18"/>
        </w:rPr>
        <w:t>and</w:t>
      </w:r>
      <w:r>
        <w:rPr>
          <w:spacing w:val="-3"/>
          <w:sz w:val="18"/>
        </w:rPr>
        <w:t xml:space="preserve"> </w:t>
      </w:r>
      <w:r>
        <w:rPr>
          <w:sz w:val="18"/>
        </w:rPr>
        <w:t>Supportive</w:t>
      </w:r>
      <w:r>
        <w:rPr>
          <w:spacing w:val="-3"/>
          <w:sz w:val="18"/>
        </w:rPr>
        <w:t xml:space="preserve"> </w:t>
      </w:r>
      <w:r>
        <w:rPr>
          <w:sz w:val="18"/>
        </w:rPr>
        <w:t>Behaviors</w:t>
      </w:r>
      <w:r>
        <w:rPr>
          <w:spacing w:val="-3"/>
          <w:sz w:val="18"/>
        </w:rPr>
        <w:t xml:space="preserve"> </w:t>
      </w:r>
      <w:r>
        <w:rPr>
          <w:sz w:val="18"/>
        </w:rPr>
        <w:t>toward</w:t>
      </w:r>
      <w:r>
        <w:rPr>
          <w:spacing w:val="-3"/>
          <w:sz w:val="18"/>
        </w:rPr>
        <w:t xml:space="preserve"> </w:t>
      </w:r>
      <w:r>
        <w:rPr>
          <w:sz w:val="18"/>
        </w:rPr>
        <w:t>LGBT</w:t>
      </w:r>
      <w:r>
        <w:rPr>
          <w:spacing w:val="-4"/>
          <w:sz w:val="18"/>
        </w:rPr>
        <w:t xml:space="preserve"> </w:t>
      </w:r>
      <w:r>
        <w:rPr>
          <w:spacing w:val="-2"/>
          <w:sz w:val="18"/>
        </w:rPr>
        <w:t>Students.”</w:t>
      </w:r>
    </w:p>
    <w:p w:rsidR="00200FDA" w:rsidRDefault="00F76C4C">
      <w:pPr>
        <w:ind w:left="140" w:hanging="1"/>
        <w:rPr>
          <w:sz w:val="18"/>
        </w:rPr>
      </w:pPr>
      <w:r>
        <w:rPr>
          <w:position w:val="5"/>
          <w:sz w:val="12"/>
        </w:rPr>
        <w:t>39</w:t>
      </w:r>
      <w:r>
        <w:rPr>
          <w:spacing w:val="18"/>
          <w:position w:val="5"/>
          <w:sz w:val="12"/>
        </w:rPr>
        <w:t xml:space="preserve"> </w:t>
      </w:r>
      <w:r>
        <w:rPr>
          <w:sz w:val="18"/>
        </w:rPr>
        <w:t xml:space="preserve">Greytak, Kosciw, and Gay, </w:t>
      </w:r>
      <w:r>
        <w:rPr>
          <w:i/>
          <w:sz w:val="18"/>
        </w:rPr>
        <w:t>Year One Evaluation of the New York City Department of Education"Respect for All" Training Program.</w:t>
      </w:r>
      <w:r>
        <w:rPr>
          <w:sz w:val="18"/>
        </w:rPr>
        <w:t>;</w:t>
      </w:r>
      <w:r>
        <w:rPr>
          <w:spacing w:val="-2"/>
          <w:sz w:val="18"/>
        </w:rPr>
        <w:t xml:space="preserve"> </w:t>
      </w:r>
      <w:r>
        <w:rPr>
          <w:sz w:val="18"/>
        </w:rPr>
        <w:t>Emily</w:t>
      </w:r>
      <w:r>
        <w:rPr>
          <w:spacing w:val="-2"/>
          <w:sz w:val="18"/>
        </w:rPr>
        <w:t xml:space="preserve"> </w:t>
      </w:r>
      <w:r>
        <w:rPr>
          <w:sz w:val="18"/>
        </w:rPr>
        <w:t>A.</w:t>
      </w:r>
      <w:r>
        <w:rPr>
          <w:spacing w:val="-2"/>
          <w:sz w:val="18"/>
        </w:rPr>
        <w:t xml:space="preserve"> </w:t>
      </w:r>
      <w:r>
        <w:rPr>
          <w:sz w:val="18"/>
        </w:rPr>
        <w:t>Greytak,</w:t>
      </w:r>
      <w:r>
        <w:rPr>
          <w:spacing w:val="-2"/>
          <w:sz w:val="18"/>
        </w:rPr>
        <w:t xml:space="preserve"> </w:t>
      </w:r>
      <w:r>
        <w:rPr>
          <w:sz w:val="18"/>
        </w:rPr>
        <w:t>Joseph</w:t>
      </w:r>
      <w:r>
        <w:rPr>
          <w:spacing w:val="-3"/>
          <w:sz w:val="18"/>
        </w:rPr>
        <w:t xml:space="preserve"> </w:t>
      </w:r>
      <w:r>
        <w:rPr>
          <w:sz w:val="18"/>
        </w:rPr>
        <w:t>G.</w:t>
      </w:r>
      <w:r>
        <w:rPr>
          <w:spacing w:val="-2"/>
          <w:sz w:val="18"/>
        </w:rPr>
        <w:t xml:space="preserve"> </w:t>
      </w:r>
      <w:r>
        <w:rPr>
          <w:sz w:val="18"/>
        </w:rPr>
        <w:t>Kosciw,</w:t>
      </w:r>
      <w:r>
        <w:rPr>
          <w:spacing w:val="-2"/>
          <w:sz w:val="18"/>
        </w:rPr>
        <w:t xml:space="preserve"> </w:t>
      </w:r>
      <w:r>
        <w:rPr>
          <w:sz w:val="18"/>
        </w:rPr>
        <w:t>and</w:t>
      </w:r>
      <w:r>
        <w:rPr>
          <w:spacing w:val="-3"/>
          <w:sz w:val="18"/>
        </w:rPr>
        <w:t xml:space="preserve"> </w:t>
      </w:r>
      <w:r>
        <w:rPr>
          <w:sz w:val="18"/>
        </w:rPr>
        <w:t>Madelyn</w:t>
      </w:r>
      <w:r>
        <w:rPr>
          <w:spacing w:val="-3"/>
          <w:sz w:val="18"/>
        </w:rPr>
        <w:t xml:space="preserve"> </w:t>
      </w:r>
      <w:r>
        <w:rPr>
          <w:sz w:val="18"/>
        </w:rPr>
        <w:t>J.</w:t>
      </w:r>
      <w:r>
        <w:rPr>
          <w:spacing w:val="-2"/>
          <w:sz w:val="18"/>
        </w:rPr>
        <w:t xml:space="preserve"> </w:t>
      </w:r>
      <w:r>
        <w:rPr>
          <w:sz w:val="18"/>
        </w:rPr>
        <w:t>Boesen,</w:t>
      </w:r>
      <w:r>
        <w:rPr>
          <w:spacing w:val="-2"/>
          <w:sz w:val="18"/>
        </w:rPr>
        <w:t xml:space="preserve"> </w:t>
      </w:r>
      <w:r>
        <w:rPr>
          <w:sz w:val="18"/>
        </w:rPr>
        <w:t>“Educating</w:t>
      </w:r>
      <w:r>
        <w:rPr>
          <w:spacing w:val="-3"/>
          <w:sz w:val="18"/>
        </w:rPr>
        <w:t xml:space="preserve"> </w:t>
      </w:r>
      <w:r>
        <w:rPr>
          <w:sz w:val="18"/>
        </w:rPr>
        <w:t>the</w:t>
      </w:r>
      <w:r>
        <w:rPr>
          <w:spacing w:val="-3"/>
          <w:sz w:val="18"/>
        </w:rPr>
        <w:t xml:space="preserve"> </w:t>
      </w:r>
      <w:r>
        <w:rPr>
          <w:sz w:val="18"/>
        </w:rPr>
        <w:t>Educator:</w:t>
      </w:r>
      <w:r>
        <w:rPr>
          <w:spacing w:val="-2"/>
          <w:sz w:val="18"/>
        </w:rPr>
        <w:t xml:space="preserve"> </w:t>
      </w:r>
      <w:r>
        <w:rPr>
          <w:sz w:val="18"/>
        </w:rPr>
        <w:t>Creating</w:t>
      </w:r>
      <w:r>
        <w:rPr>
          <w:spacing w:val="-3"/>
          <w:sz w:val="18"/>
        </w:rPr>
        <w:t xml:space="preserve"> </w:t>
      </w:r>
      <w:r>
        <w:rPr>
          <w:sz w:val="18"/>
        </w:rPr>
        <w:t>Supportive</w:t>
      </w:r>
      <w:r>
        <w:rPr>
          <w:spacing w:val="-3"/>
          <w:sz w:val="18"/>
        </w:rPr>
        <w:t xml:space="preserve"> </w:t>
      </w:r>
      <w:r>
        <w:rPr>
          <w:sz w:val="18"/>
        </w:rPr>
        <w:t xml:space="preserve">School Personnel Through Professional Development,” </w:t>
      </w:r>
      <w:r>
        <w:rPr>
          <w:i/>
          <w:sz w:val="18"/>
        </w:rPr>
        <w:t xml:space="preserve">Journal of School Violence </w:t>
      </w:r>
      <w:r>
        <w:rPr>
          <w:sz w:val="18"/>
        </w:rPr>
        <w:t xml:space="preserve">12, no. 1 (January 2013): 80–97, </w:t>
      </w:r>
      <w:r>
        <w:rPr>
          <w:spacing w:val="-2"/>
          <w:sz w:val="18"/>
        </w:rPr>
        <w:t>https://doi.org/10.1080/15388220.2012.731586.</w:t>
      </w:r>
    </w:p>
    <w:p w:rsidR="00200FDA" w:rsidRDefault="00F76C4C">
      <w:pPr>
        <w:spacing w:line="219" w:lineRule="exact"/>
        <w:ind w:left="140"/>
        <w:rPr>
          <w:sz w:val="18"/>
        </w:rPr>
      </w:pPr>
      <w:r>
        <w:rPr>
          <w:position w:val="5"/>
          <w:sz w:val="12"/>
        </w:rPr>
        <w:t>40</w:t>
      </w:r>
      <w:r>
        <w:rPr>
          <w:spacing w:val="10"/>
          <w:position w:val="5"/>
          <w:sz w:val="12"/>
        </w:rPr>
        <w:t xml:space="preserve"> </w:t>
      </w:r>
      <w:r>
        <w:rPr>
          <w:sz w:val="18"/>
        </w:rPr>
        <w:t>Bradley</w:t>
      </w:r>
      <w:r>
        <w:rPr>
          <w:spacing w:val="-1"/>
          <w:sz w:val="18"/>
        </w:rPr>
        <w:t xml:space="preserve"> </w:t>
      </w:r>
      <w:r>
        <w:rPr>
          <w:sz w:val="18"/>
        </w:rPr>
        <w:t>et</w:t>
      </w:r>
      <w:r>
        <w:rPr>
          <w:spacing w:val="-2"/>
          <w:sz w:val="18"/>
        </w:rPr>
        <w:t xml:space="preserve"> </w:t>
      </w:r>
      <w:r>
        <w:rPr>
          <w:sz w:val="18"/>
        </w:rPr>
        <w:t>al.,</w:t>
      </w:r>
      <w:r>
        <w:rPr>
          <w:spacing w:val="-1"/>
          <w:sz w:val="18"/>
        </w:rPr>
        <w:t xml:space="preserve"> </w:t>
      </w:r>
      <w:r>
        <w:rPr>
          <w:sz w:val="18"/>
        </w:rPr>
        <w:t>“Impact</w:t>
      </w:r>
      <w:r>
        <w:rPr>
          <w:spacing w:val="-2"/>
          <w:sz w:val="18"/>
        </w:rPr>
        <w:t xml:space="preserve"> </w:t>
      </w:r>
      <w:r>
        <w:rPr>
          <w:sz w:val="18"/>
        </w:rPr>
        <w:t>of</w:t>
      </w:r>
      <w:r>
        <w:rPr>
          <w:spacing w:val="-1"/>
          <w:sz w:val="18"/>
        </w:rPr>
        <w:t xml:space="preserve"> </w:t>
      </w:r>
      <w:r>
        <w:rPr>
          <w:sz w:val="18"/>
        </w:rPr>
        <w:t>a</w:t>
      </w:r>
      <w:r>
        <w:rPr>
          <w:spacing w:val="-1"/>
          <w:sz w:val="18"/>
        </w:rPr>
        <w:t xml:space="preserve"> </w:t>
      </w:r>
      <w:r>
        <w:rPr>
          <w:sz w:val="18"/>
        </w:rPr>
        <w:t>Simulation</w:t>
      </w:r>
      <w:r>
        <w:rPr>
          <w:spacing w:val="-2"/>
          <w:sz w:val="18"/>
        </w:rPr>
        <w:t xml:space="preserve"> </w:t>
      </w:r>
      <w:r>
        <w:rPr>
          <w:sz w:val="18"/>
        </w:rPr>
        <w:t>on</w:t>
      </w:r>
      <w:r>
        <w:rPr>
          <w:spacing w:val="-2"/>
          <w:sz w:val="18"/>
        </w:rPr>
        <w:t xml:space="preserve"> </w:t>
      </w:r>
      <w:r>
        <w:rPr>
          <w:sz w:val="18"/>
        </w:rPr>
        <w:t>Educator</w:t>
      </w:r>
      <w:r>
        <w:rPr>
          <w:spacing w:val="-2"/>
          <w:sz w:val="18"/>
        </w:rPr>
        <w:t xml:space="preserve"> </w:t>
      </w:r>
      <w:r>
        <w:rPr>
          <w:sz w:val="18"/>
        </w:rPr>
        <w:t>Support</w:t>
      </w:r>
      <w:r>
        <w:rPr>
          <w:spacing w:val="-2"/>
          <w:sz w:val="18"/>
        </w:rPr>
        <w:t xml:space="preserve"> </w:t>
      </w:r>
      <w:r>
        <w:rPr>
          <w:sz w:val="18"/>
        </w:rPr>
        <w:t>of</w:t>
      </w:r>
      <w:r>
        <w:rPr>
          <w:spacing w:val="-1"/>
          <w:sz w:val="18"/>
        </w:rPr>
        <w:t xml:space="preserve"> </w:t>
      </w:r>
      <w:r>
        <w:rPr>
          <w:sz w:val="18"/>
        </w:rPr>
        <w:t>LGBTQ</w:t>
      </w:r>
      <w:r>
        <w:rPr>
          <w:spacing w:val="-2"/>
          <w:sz w:val="18"/>
        </w:rPr>
        <w:t xml:space="preserve"> Youth.”</w:t>
      </w:r>
    </w:p>
    <w:p w:rsidR="00200FDA" w:rsidRDefault="00F76C4C">
      <w:pPr>
        <w:ind w:left="140" w:right="139" w:hanging="1"/>
        <w:rPr>
          <w:i/>
          <w:sz w:val="18"/>
        </w:rPr>
      </w:pPr>
      <w:r>
        <w:rPr>
          <w:position w:val="5"/>
          <w:sz w:val="12"/>
        </w:rPr>
        <w:t>41</w:t>
      </w:r>
      <w:r>
        <w:rPr>
          <w:spacing w:val="10"/>
          <w:position w:val="5"/>
          <w:sz w:val="12"/>
        </w:rPr>
        <w:t xml:space="preserve"> </w:t>
      </w:r>
      <w:r>
        <w:rPr>
          <w:sz w:val="18"/>
        </w:rPr>
        <w:t>Greytak,</w:t>
      </w:r>
      <w:r>
        <w:rPr>
          <w:spacing w:val="-2"/>
          <w:sz w:val="18"/>
        </w:rPr>
        <w:t xml:space="preserve"> </w:t>
      </w:r>
      <w:r>
        <w:rPr>
          <w:sz w:val="18"/>
        </w:rPr>
        <w:t>Kosciw,</w:t>
      </w:r>
      <w:r>
        <w:rPr>
          <w:spacing w:val="-2"/>
          <w:sz w:val="18"/>
        </w:rPr>
        <w:t xml:space="preserve"> </w:t>
      </w:r>
      <w:r>
        <w:rPr>
          <w:sz w:val="18"/>
        </w:rPr>
        <w:t>and</w:t>
      </w:r>
      <w:r>
        <w:rPr>
          <w:spacing w:val="-3"/>
          <w:sz w:val="18"/>
        </w:rPr>
        <w:t xml:space="preserve"> </w:t>
      </w:r>
      <w:r>
        <w:rPr>
          <w:sz w:val="18"/>
        </w:rPr>
        <w:t>Gay,</w:t>
      </w:r>
      <w:r>
        <w:rPr>
          <w:spacing w:val="-2"/>
          <w:sz w:val="18"/>
        </w:rPr>
        <w:t xml:space="preserve"> </w:t>
      </w:r>
      <w:r>
        <w:rPr>
          <w:i/>
          <w:sz w:val="18"/>
        </w:rPr>
        <w:t>Year</w:t>
      </w:r>
      <w:r>
        <w:rPr>
          <w:i/>
          <w:spacing w:val="-4"/>
          <w:sz w:val="18"/>
        </w:rPr>
        <w:t xml:space="preserve"> </w:t>
      </w:r>
      <w:r>
        <w:rPr>
          <w:i/>
          <w:sz w:val="18"/>
        </w:rPr>
        <w:t>One</w:t>
      </w:r>
      <w:r>
        <w:rPr>
          <w:i/>
          <w:spacing w:val="-2"/>
          <w:sz w:val="18"/>
        </w:rPr>
        <w:t xml:space="preserve"> </w:t>
      </w:r>
      <w:r>
        <w:rPr>
          <w:i/>
          <w:sz w:val="18"/>
        </w:rPr>
        <w:t>Evaluation</w:t>
      </w:r>
      <w:r>
        <w:rPr>
          <w:i/>
          <w:spacing w:val="-1"/>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New</w:t>
      </w:r>
      <w:r>
        <w:rPr>
          <w:i/>
          <w:spacing w:val="-1"/>
          <w:sz w:val="18"/>
        </w:rPr>
        <w:t xml:space="preserve"> </w:t>
      </w:r>
      <w:r>
        <w:rPr>
          <w:i/>
          <w:sz w:val="18"/>
        </w:rPr>
        <w:t>York</w:t>
      </w:r>
      <w:r>
        <w:rPr>
          <w:i/>
          <w:spacing w:val="-3"/>
          <w:sz w:val="18"/>
        </w:rPr>
        <w:t xml:space="preserve"> </w:t>
      </w:r>
      <w:r>
        <w:rPr>
          <w:i/>
          <w:sz w:val="18"/>
        </w:rPr>
        <w:t>City</w:t>
      </w:r>
      <w:r>
        <w:rPr>
          <w:i/>
          <w:spacing w:val="-1"/>
          <w:sz w:val="18"/>
        </w:rPr>
        <w:t xml:space="preserve"> </w:t>
      </w:r>
      <w:r>
        <w:rPr>
          <w:i/>
          <w:sz w:val="18"/>
        </w:rPr>
        <w:t>Department</w:t>
      </w:r>
      <w:r>
        <w:rPr>
          <w:i/>
          <w:spacing w:val="-3"/>
          <w:sz w:val="18"/>
        </w:rPr>
        <w:t xml:space="preserve"> </w:t>
      </w:r>
      <w:r>
        <w:rPr>
          <w:i/>
          <w:sz w:val="18"/>
        </w:rPr>
        <w:t>of</w:t>
      </w:r>
      <w:r>
        <w:rPr>
          <w:i/>
          <w:spacing w:val="-2"/>
          <w:sz w:val="18"/>
        </w:rPr>
        <w:t xml:space="preserve"> </w:t>
      </w:r>
      <w:r>
        <w:rPr>
          <w:i/>
          <w:sz w:val="18"/>
        </w:rPr>
        <w:t>Education</w:t>
      </w:r>
      <w:r>
        <w:rPr>
          <w:i/>
          <w:spacing w:val="-1"/>
          <w:sz w:val="18"/>
        </w:rPr>
        <w:t xml:space="preserve"> </w:t>
      </w:r>
      <w:r>
        <w:rPr>
          <w:i/>
          <w:sz w:val="18"/>
        </w:rPr>
        <w:t>"Respect</w:t>
      </w:r>
      <w:r>
        <w:rPr>
          <w:i/>
          <w:spacing w:val="-3"/>
          <w:sz w:val="18"/>
        </w:rPr>
        <w:t xml:space="preserve"> </w:t>
      </w:r>
      <w:r>
        <w:rPr>
          <w:i/>
          <w:sz w:val="18"/>
        </w:rPr>
        <w:t>for</w:t>
      </w:r>
      <w:r>
        <w:rPr>
          <w:i/>
          <w:spacing w:val="-2"/>
          <w:sz w:val="18"/>
        </w:rPr>
        <w:t xml:space="preserve"> </w:t>
      </w:r>
      <w:r>
        <w:rPr>
          <w:i/>
          <w:sz w:val="18"/>
        </w:rPr>
        <w:t>All"</w:t>
      </w:r>
      <w:r>
        <w:rPr>
          <w:i/>
          <w:spacing w:val="-2"/>
          <w:sz w:val="18"/>
        </w:rPr>
        <w:t xml:space="preserve"> </w:t>
      </w:r>
      <w:r>
        <w:rPr>
          <w:i/>
          <w:sz w:val="18"/>
        </w:rPr>
        <w:t xml:space="preserve">Training </w:t>
      </w:r>
      <w:r>
        <w:rPr>
          <w:i/>
          <w:spacing w:val="-2"/>
          <w:sz w:val="18"/>
        </w:rPr>
        <w:t>Program.</w:t>
      </w:r>
    </w:p>
    <w:p w:rsidR="00200FDA" w:rsidRDefault="00F76C4C">
      <w:pPr>
        <w:spacing w:line="219" w:lineRule="exact"/>
        <w:ind w:left="140"/>
        <w:rPr>
          <w:sz w:val="18"/>
        </w:rPr>
      </w:pPr>
      <w:r>
        <w:rPr>
          <w:position w:val="5"/>
          <w:sz w:val="12"/>
        </w:rPr>
        <w:t>42</w:t>
      </w:r>
      <w:r>
        <w:rPr>
          <w:spacing w:val="9"/>
          <w:position w:val="5"/>
          <w:sz w:val="12"/>
        </w:rPr>
        <w:t xml:space="preserve"> </w:t>
      </w:r>
      <w:r>
        <w:rPr>
          <w:sz w:val="18"/>
        </w:rPr>
        <w:t>Greytak,</w:t>
      </w:r>
      <w:r>
        <w:rPr>
          <w:spacing w:val="-2"/>
          <w:sz w:val="18"/>
        </w:rPr>
        <w:t xml:space="preserve"> </w:t>
      </w:r>
      <w:r>
        <w:rPr>
          <w:sz w:val="18"/>
        </w:rPr>
        <w:t>Kosciw,</w:t>
      </w:r>
      <w:r>
        <w:rPr>
          <w:spacing w:val="-2"/>
          <w:sz w:val="18"/>
        </w:rPr>
        <w:t xml:space="preserve"> </w:t>
      </w:r>
      <w:r>
        <w:rPr>
          <w:sz w:val="18"/>
        </w:rPr>
        <w:t>and</w:t>
      </w:r>
      <w:r>
        <w:rPr>
          <w:spacing w:val="-4"/>
          <w:sz w:val="18"/>
        </w:rPr>
        <w:t xml:space="preserve"> </w:t>
      </w:r>
      <w:r>
        <w:rPr>
          <w:sz w:val="18"/>
        </w:rPr>
        <w:t>Boesen,</w:t>
      </w:r>
      <w:r>
        <w:rPr>
          <w:spacing w:val="-2"/>
          <w:sz w:val="18"/>
        </w:rPr>
        <w:t xml:space="preserve"> </w:t>
      </w:r>
      <w:r>
        <w:rPr>
          <w:sz w:val="18"/>
        </w:rPr>
        <w:t>“Educating</w:t>
      </w:r>
      <w:r>
        <w:rPr>
          <w:spacing w:val="-3"/>
          <w:sz w:val="18"/>
        </w:rPr>
        <w:t xml:space="preserve"> </w:t>
      </w:r>
      <w:r>
        <w:rPr>
          <w:sz w:val="18"/>
        </w:rPr>
        <w:t>the</w:t>
      </w:r>
      <w:r>
        <w:rPr>
          <w:spacing w:val="-3"/>
          <w:sz w:val="18"/>
        </w:rPr>
        <w:t xml:space="preserve"> </w:t>
      </w:r>
      <w:r>
        <w:rPr>
          <w:spacing w:val="-2"/>
          <w:sz w:val="18"/>
        </w:rPr>
        <w:t>Educator.”</w:t>
      </w:r>
    </w:p>
    <w:p w:rsidR="00200FDA" w:rsidRDefault="00F76C4C">
      <w:pPr>
        <w:spacing w:before="1"/>
        <w:ind w:left="140"/>
        <w:rPr>
          <w:sz w:val="18"/>
        </w:rPr>
      </w:pPr>
      <w:r>
        <w:rPr>
          <w:position w:val="5"/>
          <w:sz w:val="12"/>
        </w:rPr>
        <w:t>43</w:t>
      </w:r>
      <w:r>
        <w:rPr>
          <w:spacing w:val="10"/>
          <w:position w:val="5"/>
          <w:sz w:val="12"/>
        </w:rPr>
        <w:t xml:space="preserve"> </w:t>
      </w:r>
      <w:r>
        <w:rPr>
          <w:sz w:val="18"/>
        </w:rPr>
        <w:t>Greytak,</w:t>
      </w:r>
      <w:r>
        <w:rPr>
          <w:spacing w:val="-2"/>
          <w:sz w:val="18"/>
        </w:rPr>
        <w:t xml:space="preserve"> </w:t>
      </w:r>
      <w:r>
        <w:rPr>
          <w:sz w:val="18"/>
        </w:rPr>
        <w:t>Kosciw,</w:t>
      </w:r>
      <w:r>
        <w:rPr>
          <w:spacing w:val="-3"/>
          <w:sz w:val="18"/>
        </w:rPr>
        <w:t xml:space="preserve"> </w:t>
      </w:r>
      <w:r>
        <w:rPr>
          <w:sz w:val="18"/>
        </w:rPr>
        <w:t>and</w:t>
      </w:r>
      <w:r>
        <w:rPr>
          <w:spacing w:val="-2"/>
          <w:sz w:val="18"/>
        </w:rPr>
        <w:t xml:space="preserve"> Boesen.</w:t>
      </w:r>
    </w:p>
    <w:p w:rsidR="00200FDA" w:rsidRDefault="00200FDA">
      <w:pPr>
        <w:rPr>
          <w:sz w:val="18"/>
        </w:rPr>
        <w:sectPr w:rsidR="00200FDA">
          <w:pgSz w:w="12240" w:h="15840"/>
          <w:pgMar w:top="1360" w:right="1300" w:bottom="1320" w:left="1300" w:header="761" w:footer="1132" w:gutter="0"/>
          <w:cols w:space="720"/>
        </w:sectPr>
      </w:pPr>
    </w:p>
    <w:p w:rsidR="00200FDA" w:rsidRDefault="00200FDA">
      <w:pPr>
        <w:pStyle w:val="BodyText"/>
        <w:spacing w:before="10"/>
        <w:rPr>
          <w:sz w:val="19"/>
        </w:rPr>
      </w:pPr>
    </w:p>
    <w:p w:rsidR="00200FDA" w:rsidRDefault="00F76C4C">
      <w:pPr>
        <w:spacing w:before="69"/>
        <w:ind w:left="140" w:right="234" w:hanging="1"/>
        <w:rPr>
          <w:sz w:val="18"/>
        </w:rPr>
      </w:pPr>
      <w:r>
        <w:rPr>
          <w:position w:val="5"/>
          <w:sz w:val="12"/>
        </w:rPr>
        <w:t>44</w:t>
      </w:r>
      <w:r>
        <w:rPr>
          <w:spacing w:val="10"/>
          <w:position w:val="5"/>
          <w:sz w:val="12"/>
        </w:rPr>
        <w:t xml:space="preserve"> </w:t>
      </w:r>
      <w:r>
        <w:rPr>
          <w:sz w:val="18"/>
        </w:rPr>
        <w:t>Bradley</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“Impact</w:t>
      </w:r>
      <w:r>
        <w:rPr>
          <w:spacing w:val="-3"/>
          <w:sz w:val="18"/>
        </w:rPr>
        <w:t xml:space="preserve"> </w:t>
      </w:r>
      <w:r>
        <w:rPr>
          <w:sz w:val="18"/>
        </w:rPr>
        <w:t>of</w:t>
      </w:r>
      <w:r>
        <w:rPr>
          <w:spacing w:val="-2"/>
          <w:sz w:val="18"/>
        </w:rPr>
        <w:t xml:space="preserve"> </w:t>
      </w:r>
      <w:r>
        <w:rPr>
          <w:sz w:val="18"/>
        </w:rPr>
        <w:t>a</w:t>
      </w:r>
      <w:r>
        <w:rPr>
          <w:spacing w:val="-2"/>
          <w:sz w:val="18"/>
        </w:rPr>
        <w:t xml:space="preserve"> </w:t>
      </w:r>
      <w:r>
        <w:rPr>
          <w:sz w:val="18"/>
        </w:rPr>
        <w:t>Simulation</w:t>
      </w:r>
      <w:r>
        <w:rPr>
          <w:spacing w:val="-3"/>
          <w:sz w:val="18"/>
        </w:rPr>
        <w:t xml:space="preserve"> </w:t>
      </w:r>
      <w:r>
        <w:rPr>
          <w:sz w:val="18"/>
        </w:rPr>
        <w:t>on</w:t>
      </w:r>
      <w:r>
        <w:rPr>
          <w:spacing w:val="-3"/>
          <w:sz w:val="18"/>
        </w:rPr>
        <w:t xml:space="preserve"> </w:t>
      </w:r>
      <w:r>
        <w:rPr>
          <w:sz w:val="18"/>
        </w:rPr>
        <w:t>Educator</w:t>
      </w:r>
      <w:r>
        <w:rPr>
          <w:spacing w:val="-3"/>
          <w:sz w:val="18"/>
        </w:rPr>
        <w:t xml:space="preserve"> </w:t>
      </w:r>
      <w:r>
        <w:rPr>
          <w:sz w:val="18"/>
        </w:rPr>
        <w:t>Support</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sz w:val="18"/>
        </w:rPr>
        <w:t>Greytak,</w:t>
      </w:r>
      <w:r>
        <w:rPr>
          <w:spacing w:val="-2"/>
          <w:sz w:val="18"/>
        </w:rPr>
        <w:t xml:space="preserve"> </w:t>
      </w:r>
      <w:r>
        <w:rPr>
          <w:sz w:val="18"/>
        </w:rPr>
        <w:t>Kosciw,</w:t>
      </w:r>
      <w:r>
        <w:rPr>
          <w:spacing w:val="-2"/>
          <w:sz w:val="18"/>
        </w:rPr>
        <w:t xml:space="preserve"> </w:t>
      </w:r>
      <w:r>
        <w:rPr>
          <w:sz w:val="18"/>
        </w:rPr>
        <w:t>and</w:t>
      </w:r>
      <w:r>
        <w:rPr>
          <w:spacing w:val="-1"/>
          <w:sz w:val="18"/>
        </w:rPr>
        <w:t xml:space="preserve"> </w:t>
      </w:r>
      <w:r>
        <w:rPr>
          <w:sz w:val="18"/>
        </w:rPr>
        <w:t>Gay,</w:t>
      </w:r>
      <w:r>
        <w:rPr>
          <w:spacing w:val="-2"/>
          <w:sz w:val="18"/>
        </w:rPr>
        <w:t xml:space="preserve"> </w:t>
      </w:r>
      <w:r>
        <w:rPr>
          <w:i/>
          <w:sz w:val="18"/>
        </w:rPr>
        <w:t>Year</w:t>
      </w:r>
      <w:r>
        <w:rPr>
          <w:i/>
          <w:spacing w:val="-4"/>
          <w:sz w:val="18"/>
        </w:rPr>
        <w:t xml:space="preserve"> </w:t>
      </w:r>
      <w:r>
        <w:rPr>
          <w:i/>
          <w:sz w:val="18"/>
        </w:rPr>
        <w:t>One</w:t>
      </w:r>
      <w:r>
        <w:rPr>
          <w:i/>
          <w:spacing w:val="-2"/>
          <w:sz w:val="18"/>
        </w:rPr>
        <w:t xml:space="preserve"> </w:t>
      </w:r>
      <w:r>
        <w:rPr>
          <w:i/>
          <w:sz w:val="18"/>
        </w:rPr>
        <w:t>Evaluation of the New York City Department of Education"Respect for All" Training Program.</w:t>
      </w:r>
      <w:r>
        <w:rPr>
          <w:sz w:val="18"/>
        </w:rPr>
        <w:t xml:space="preserve">; Swanson and Gettinger, “Teachers’ Knowledge, Attitudes, and Supportive Behaviors toward LGBT Students”; McGravey, </w:t>
      </w:r>
      <w:r>
        <w:rPr>
          <w:i/>
          <w:sz w:val="18"/>
        </w:rPr>
        <w:t>Measuring the Effectiveness of a Professional Development Workshop on Awareness, Knowledge, and Skills of Mental Health Professionals in Wor</w:t>
      </w:r>
      <w:r>
        <w:rPr>
          <w:i/>
          <w:sz w:val="18"/>
        </w:rPr>
        <w:t>king with Lesbian, Gay, Bisexual, Transgender, and Questioning (LGBTQ) Youth</w:t>
      </w:r>
      <w:r>
        <w:rPr>
          <w:sz w:val="18"/>
        </w:rPr>
        <w:t>.</w:t>
      </w:r>
    </w:p>
    <w:p w:rsidR="00200FDA" w:rsidRDefault="00F76C4C">
      <w:pPr>
        <w:ind w:left="140" w:right="818" w:hanging="1"/>
        <w:rPr>
          <w:sz w:val="18"/>
        </w:rPr>
      </w:pPr>
      <w:r>
        <w:rPr>
          <w:position w:val="5"/>
          <w:sz w:val="12"/>
        </w:rPr>
        <w:t>45</w:t>
      </w:r>
      <w:r>
        <w:rPr>
          <w:spacing w:val="10"/>
          <w:position w:val="5"/>
          <w:sz w:val="12"/>
        </w:rPr>
        <w:t xml:space="preserve"> </w:t>
      </w:r>
      <w:r>
        <w:rPr>
          <w:sz w:val="18"/>
        </w:rPr>
        <w:t>Emily</w:t>
      </w:r>
      <w:r>
        <w:rPr>
          <w:spacing w:val="-2"/>
          <w:sz w:val="18"/>
        </w:rPr>
        <w:t xml:space="preserve"> </w:t>
      </w:r>
      <w:r>
        <w:rPr>
          <w:sz w:val="18"/>
        </w:rPr>
        <w:t>A.</w:t>
      </w:r>
      <w:r>
        <w:rPr>
          <w:spacing w:val="-2"/>
          <w:sz w:val="18"/>
        </w:rPr>
        <w:t xml:space="preserve"> </w:t>
      </w:r>
      <w:r>
        <w:rPr>
          <w:sz w:val="18"/>
        </w:rPr>
        <w:t>Greytak</w:t>
      </w:r>
      <w:r>
        <w:rPr>
          <w:spacing w:val="-3"/>
          <w:sz w:val="18"/>
        </w:rPr>
        <w:t xml:space="preserve"> </w:t>
      </w:r>
      <w:r>
        <w:rPr>
          <w:sz w:val="18"/>
        </w:rPr>
        <w:t>and</w:t>
      </w:r>
      <w:r>
        <w:rPr>
          <w:spacing w:val="-3"/>
          <w:sz w:val="18"/>
        </w:rPr>
        <w:t xml:space="preserve"> </w:t>
      </w:r>
      <w:r>
        <w:rPr>
          <w:sz w:val="18"/>
        </w:rPr>
        <w:t>Joseph</w:t>
      </w:r>
      <w:r>
        <w:rPr>
          <w:spacing w:val="-3"/>
          <w:sz w:val="18"/>
        </w:rPr>
        <w:t xml:space="preserve"> </w:t>
      </w:r>
      <w:r>
        <w:rPr>
          <w:sz w:val="18"/>
        </w:rPr>
        <w:t>G.</w:t>
      </w:r>
      <w:r>
        <w:rPr>
          <w:spacing w:val="-2"/>
          <w:sz w:val="18"/>
        </w:rPr>
        <w:t xml:space="preserve"> </w:t>
      </w:r>
      <w:r>
        <w:rPr>
          <w:sz w:val="18"/>
        </w:rPr>
        <w:t>Kosciw,</w:t>
      </w:r>
      <w:r>
        <w:rPr>
          <w:spacing w:val="-2"/>
          <w:sz w:val="18"/>
        </w:rPr>
        <w:t xml:space="preserve"> </w:t>
      </w:r>
      <w:r>
        <w:rPr>
          <w:sz w:val="18"/>
        </w:rPr>
        <w:t>“Predictors</w:t>
      </w:r>
      <w:r>
        <w:rPr>
          <w:spacing w:val="-3"/>
          <w:sz w:val="18"/>
        </w:rPr>
        <w:t xml:space="preserve"> </w:t>
      </w:r>
      <w:r>
        <w:rPr>
          <w:sz w:val="18"/>
        </w:rPr>
        <w:t>of</w:t>
      </w:r>
      <w:r>
        <w:rPr>
          <w:spacing w:val="-2"/>
          <w:sz w:val="18"/>
        </w:rPr>
        <w:t xml:space="preserve"> </w:t>
      </w:r>
      <w:r>
        <w:rPr>
          <w:sz w:val="18"/>
        </w:rPr>
        <w:t>US</w:t>
      </w:r>
      <w:r>
        <w:rPr>
          <w:spacing w:val="-3"/>
          <w:sz w:val="18"/>
        </w:rPr>
        <w:t xml:space="preserve"> </w:t>
      </w:r>
      <w:r>
        <w:rPr>
          <w:sz w:val="18"/>
        </w:rPr>
        <w:t>Teachers’</w:t>
      </w:r>
      <w:r>
        <w:rPr>
          <w:spacing w:val="-2"/>
          <w:sz w:val="18"/>
        </w:rPr>
        <w:t xml:space="preserve"> </w:t>
      </w:r>
      <w:r>
        <w:rPr>
          <w:sz w:val="18"/>
        </w:rPr>
        <w:t>Intervention</w:t>
      </w:r>
      <w:r>
        <w:rPr>
          <w:spacing w:val="-3"/>
          <w:sz w:val="18"/>
        </w:rPr>
        <w:t xml:space="preserve"> </w:t>
      </w:r>
      <w:r>
        <w:rPr>
          <w:sz w:val="18"/>
        </w:rPr>
        <w:t>in</w:t>
      </w:r>
      <w:r>
        <w:rPr>
          <w:spacing w:val="-3"/>
          <w:sz w:val="18"/>
        </w:rPr>
        <w:t xml:space="preserve"> </w:t>
      </w:r>
      <w:r>
        <w:rPr>
          <w:sz w:val="18"/>
        </w:rPr>
        <w:t>Anti-Lesbian,</w:t>
      </w:r>
      <w:r>
        <w:rPr>
          <w:spacing w:val="-2"/>
          <w:sz w:val="18"/>
        </w:rPr>
        <w:t xml:space="preserve"> </w:t>
      </w:r>
      <w:r>
        <w:rPr>
          <w:sz w:val="18"/>
        </w:rPr>
        <w:t>Gay,</w:t>
      </w:r>
      <w:r>
        <w:rPr>
          <w:spacing w:val="-2"/>
          <w:sz w:val="18"/>
        </w:rPr>
        <w:t xml:space="preserve"> </w:t>
      </w:r>
      <w:r>
        <w:rPr>
          <w:sz w:val="18"/>
        </w:rPr>
        <w:t>Bisexual,</w:t>
      </w:r>
      <w:r>
        <w:rPr>
          <w:spacing w:val="-2"/>
          <w:sz w:val="18"/>
        </w:rPr>
        <w:t xml:space="preserve"> </w:t>
      </w:r>
      <w:r>
        <w:rPr>
          <w:sz w:val="18"/>
        </w:rPr>
        <w:t xml:space="preserve">and Transgender Bullying and Harassment,” </w:t>
      </w:r>
      <w:r>
        <w:rPr>
          <w:i/>
          <w:sz w:val="18"/>
        </w:rPr>
        <w:t xml:space="preserve">Teaching Education </w:t>
      </w:r>
      <w:r>
        <w:rPr>
          <w:sz w:val="18"/>
        </w:rPr>
        <w:t>25</w:t>
      </w:r>
      <w:r>
        <w:rPr>
          <w:sz w:val="18"/>
        </w:rPr>
        <w:t xml:space="preserve">, no. 4 (October 2, 2014): 410–26, </w:t>
      </w:r>
      <w:r>
        <w:rPr>
          <w:spacing w:val="-2"/>
          <w:sz w:val="18"/>
        </w:rPr>
        <w:t>https://doi.org/10.1080/10476210.2014.920000.</w:t>
      </w:r>
    </w:p>
    <w:p w:rsidR="00200FDA" w:rsidRDefault="00F76C4C">
      <w:pPr>
        <w:spacing w:before="1"/>
        <w:ind w:left="140" w:right="218" w:hanging="1"/>
        <w:rPr>
          <w:i/>
          <w:sz w:val="18"/>
        </w:rPr>
      </w:pPr>
      <w:r>
        <w:rPr>
          <w:position w:val="5"/>
          <w:sz w:val="12"/>
        </w:rPr>
        <w:t>46</w:t>
      </w:r>
      <w:r>
        <w:rPr>
          <w:spacing w:val="10"/>
          <w:position w:val="5"/>
          <w:sz w:val="12"/>
        </w:rPr>
        <w:t xml:space="preserve"> </w:t>
      </w:r>
      <w:r>
        <w:rPr>
          <w:sz w:val="18"/>
        </w:rPr>
        <w:t>Greytak,</w:t>
      </w:r>
      <w:r>
        <w:rPr>
          <w:spacing w:val="-2"/>
          <w:sz w:val="18"/>
        </w:rPr>
        <w:t xml:space="preserve"> </w:t>
      </w:r>
      <w:r>
        <w:rPr>
          <w:sz w:val="18"/>
        </w:rPr>
        <w:t>Kosciw,</w:t>
      </w:r>
      <w:r>
        <w:rPr>
          <w:spacing w:val="-2"/>
          <w:sz w:val="18"/>
        </w:rPr>
        <w:t xml:space="preserve"> </w:t>
      </w:r>
      <w:r>
        <w:rPr>
          <w:sz w:val="18"/>
        </w:rPr>
        <w:t>and</w:t>
      </w:r>
      <w:r>
        <w:rPr>
          <w:spacing w:val="-3"/>
          <w:sz w:val="18"/>
        </w:rPr>
        <w:t xml:space="preserve"> </w:t>
      </w:r>
      <w:r>
        <w:rPr>
          <w:sz w:val="18"/>
        </w:rPr>
        <w:t>Gay,</w:t>
      </w:r>
      <w:r>
        <w:rPr>
          <w:spacing w:val="-2"/>
          <w:sz w:val="18"/>
        </w:rPr>
        <w:t xml:space="preserve"> </w:t>
      </w:r>
      <w:r>
        <w:rPr>
          <w:i/>
          <w:sz w:val="18"/>
        </w:rPr>
        <w:t>Year</w:t>
      </w:r>
      <w:r>
        <w:rPr>
          <w:i/>
          <w:spacing w:val="-4"/>
          <w:sz w:val="18"/>
        </w:rPr>
        <w:t xml:space="preserve"> </w:t>
      </w:r>
      <w:r>
        <w:rPr>
          <w:i/>
          <w:sz w:val="18"/>
        </w:rPr>
        <w:t>One</w:t>
      </w:r>
      <w:r>
        <w:rPr>
          <w:i/>
          <w:spacing w:val="-2"/>
          <w:sz w:val="18"/>
        </w:rPr>
        <w:t xml:space="preserve"> </w:t>
      </w:r>
      <w:r>
        <w:rPr>
          <w:i/>
          <w:sz w:val="18"/>
        </w:rPr>
        <w:t>Evaluation</w:t>
      </w:r>
      <w:r>
        <w:rPr>
          <w:i/>
          <w:spacing w:val="-1"/>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New</w:t>
      </w:r>
      <w:r>
        <w:rPr>
          <w:i/>
          <w:spacing w:val="-1"/>
          <w:sz w:val="18"/>
        </w:rPr>
        <w:t xml:space="preserve"> </w:t>
      </w:r>
      <w:r>
        <w:rPr>
          <w:i/>
          <w:sz w:val="18"/>
        </w:rPr>
        <w:t>York</w:t>
      </w:r>
      <w:r>
        <w:rPr>
          <w:i/>
          <w:spacing w:val="-3"/>
          <w:sz w:val="18"/>
        </w:rPr>
        <w:t xml:space="preserve"> </w:t>
      </w:r>
      <w:r>
        <w:rPr>
          <w:i/>
          <w:sz w:val="18"/>
        </w:rPr>
        <w:t>City</w:t>
      </w:r>
      <w:r>
        <w:rPr>
          <w:i/>
          <w:spacing w:val="-1"/>
          <w:sz w:val="18"/>
        </w:rPr>
        <w:t xml:space="preserve"> </w:t>
      </w:r>
      <w:r>
        <w:rPr>
          <w:i/>
          <w:sz w:val="18"/>
        </w:rPr>
        <w:t>Department</w:t>
      </w:r>
      <w:r>
        <w:rPr>
          <w:i/>
          <w:spacing w:val="-3"/>
          <w:sz w:val="18"/>
        </w:rPr>
        <w:t xml:space="preserve"> </w:t>
      </w:r>
      <w:r>
        <w:rPr>
          <w:i/>
          <w:sz w:val="18"/>
        </w:rPr>
        <w:t>of</w:t>
      </w:r>
      <w:r>
        <w:rPr>
          <w:i/>
          <w:spacing w:val="-2"/>
          <w:sz w:val="18"/>
        </w:rPr>
        <w:t xml:space="preserve"> </w:t>
      </w:r>
      <w:r>
        <w:rPr>
          <w:i/>
          <w:sz w:val="18"/>
        </w:rPr>
        <w:t>Education"Respect</w:t>
      </w:r>
      <w:r>
        <w:rPr>
          <w:i/>
          <w:spacing w:val="-3"/>
          <w:sz w:val="18"/>
        </w:rPr>
        <w:t xml:space="preserve"> </w:t>
      </w:r>
      <w:r>
        <w:rPr>
          <w:i/>
          <w:sz w:val="18"/>
        </w:rPr>
        <w:t>for</w:t>
      </w:r>
      <w:r>
        <w:rPr>
          <w:i/>
          <w:spacing w:val="-2"/>
          <w:sz w:val="18"/>
        </w:rPr>
        <w:t xml:space="preserve"> </w:t>
      </w:r>
      <w:r>
        <w:rPr>
          <w:i/>
          <w:sz w:val="18"/>
        </w:rPr>
        <w:t>All"</w:t>
      </w:r>
      <w:r>
        <w:rPr>
          <w:i/>
          <w:spacing w:val="-2"/>
          <w:sz w:val="18"/>
        </w:rPr>
        <w:t xml:space="preserve"> </w:t>
      </w:r>
      <w:r>
        <w:rPr>
          <w:i/>
          <w:sz w:val="18"/>
        </w:rPr>
        <w:t xml:space="preserve">Training </w:t>
      </w:r>
      <w:r>
        <w:rPr>
          <w:i/>
          <w:spacing w:val="-2"/>
          <w:sz w:val="18"/>
        </w:rPr>
        <w:t>Program.</w:t>
      </w:r>
    </w:p>
    <w:p w:rsidR="00200FDA" w:rsidRDefault="00F76C4C">
      <w:pPr>
        <w:spacing w:line="219" w:lineRule="exact"/>
        <w:ind w:left="140"/>
        <w:rPr>
          <w:sz w:val="18"/>
        </w:rPr>
      </w:pPr>
      <w:r>
        <w:rPr>
          <w:position w:val="5"/>
          <w:sz w:val="12"/>
        </w:rPr>
        <w:t>47</w:t>
      </w:r>
      <w:r>
        <w:rPr>
          <w:spacing w:val="10"/>
          <w:position w:val="5"/>
          <w:sz w:val="12"/>
        </w:rPr>
        <w:t xml:space="preserve"> </w:t>
      </w:r>
      <w:r>
        <w:rPr>
          <w:sz w:val="18"/>
        </w:rPr>
        <w:t>Bradley</w:t>
      </w:r>
      <w:r>
        <w:rPr>
          <w:spacing w:val="-1"/>
          <w:sz w:val="18"/>
        </w:rPr>
        <w:t xml:space="preserve"> </w:t>
      </w:r>
      <w:r>
        <w:rPr>
          <w:sz w:val="18"/>
        </w:rPr>
        <w:t>et</w:t>
      </w:r>
      <w:r>
        <w:rPr>
          <w:spacing w:val="-2"/>
          <w:sz w:val="18"/>
        </w:rPr>
        <w:t xml:space="preserve"> </w:t>
      </w:r>
      <w:r>
        <w:rPr>
          <w:sz w:val="18"/>
        </w:rPr>
        <w:t>al.,</w:t>
      </w:r>
      <w:r>
        <w:rPr>
          <w:spacing w:val="-1"/>
          <w:sz w:val="18"/>
        </w:rPr>
        <w:t xml:space="preserve"> </w:t>
      </w:r>
      <w:r>
        <w:rPr>
          <w:sz w:val="18"/>
        </w:rPr>
        <w:t>“Impact</w:t>
      </w:r>
      <w:r>
        <w:rPr>
          <w:spacing w:val="-2"/>
          <w:sz w:val="18"/>
        </w:rPr>
        <w:t xml:space="preserve"> </w:t>
      </w:r>
      <w:r>
        <w:rPr>
          <w:sz w:val="18"/>
        </w:rPr>
        <w:t>of</w:t>
      </w:r>
      <w:r>
        <w:rPr>
          <w:spacing w:val="-1"/>
          <w:sz w:val="18"/>
        </w:rPr>
        <w:t xml:space="preserve"> </w:t>
      </w:r>
      <w:r>
        <w:rPr>
          <w:sz w:val="18"/>
        </w:rPr>
        <w:t>a</w:t>
      </w:r>
      <w:r>
        <w:rPr>
          <w:spacing w:val="-1"/>
          <w:sz w:val="18"/>
        </w:rPr>
        <w:t xml:space="preserve"> </w:t>
      </w:r>
      <w:r>
        <w:rPr>
          <w:sz w:val="18"/>
        </w:rPr>
        <w:t>Simulation</w:t>
      </w:r>
      <w:r>
        <w:rPr>
          <w:spacing w:val="-2"/>
          <w:sz w:val="18"/>
        </w:rPr>
        <w:t xml:space="preserve"> </w:t>
      </w:r>
      <w:r>
        <w:rPr>
          <w:sz w:val="18"/>
        </w:rPr>
        <w:t>on</w:t>
      </w:r>
      <w:r>
        <w:rPr>
          <w:spacing w:val="-2"/>
          <w:sz w:val="18"/>
        </w:rPr>
        <w:t xml:space="preserve"> </w:t>
      </w:r>
      <w:r>
        <w:rPr>
          <w:sz w:val="18"/>
        </w:rPr>
        <w:t>Educator</w:t>
      </w:r>
      <w:r>
        <w:rPr>
          <w:spacing w:val="-2"/>
          <w:sz w:val="18"/>
        </w:rPr>
        <w:t xml:space="preserve"> </w:t>
      </w:r>
      <w:r>
        <w:rPr>
          <w:sz w:val="18"/>
        </w:rPr>
        <w:t>Support</w:t>
      </w:r>
      <w:r>
        <w:rPr>
          <w:spacing w:val="-2"/>
          <w:sz w:val="18"/>
        </w:rPr>
        <w:t xml:space="preserve"> </w:t>
      </w:r>
      <w:r>
        <w:rPr>
          <w:sz w:val="18"/>
        </w:rPr>
        <w:t>of</w:t>
      </w:r>
      <w:r>
        <w:rPr>
          <w:spacing w:val="-1"/>
          <w:sz w:val="18"/>
        </w:rPr>
        <w:t xml:space="preserve"> </w:t>
      </w:r>
      <w:r>
        <w:rPr>
          <w:sz w:val="18"/>
        </w:rPr>
        <w:t>LGBTQ</w:t>
      </w:r>
      <w:r>
        <w:rPr>
          <w:spacing w:val="-2"/>
          <w:sz w:val="18"/>
        </w:rPr>
        <w:t xml:space="preserve"> Youth.”</w:t>
      </w:r>
    </w:p>
    <w:p w:rsidR="00200FDA" w:rsidRDefault="00F76C4C">
      <w:pPr>
        <w:spacing w:line="219" w:lineRule="exact"/>
        <w:ind w:left="140"/>
        <w:rPr>
          <w:sz w:val="18"/>
        </w:rPr>
      </w:pPr>
      <w:r>
        <w:rPr>
          <w:position w:val="5"/>
          <w:sz w:val="12"/>
        </w:rPr>
        <w:t>48</w:t>
      </w:r>
      <w:r>
        <w:rPr>
          <w:spacing w:val="10"/>
          <w:position w:val="5"/>
          <w:sz w:val="12"/>
        </w:rPr>
        <w:t xml:space="preserve"> </w:t>
      </w:r>
      <w:r>
        <w:rPr>
          <w:sz w:val="18"/>
        </w:rPr>
        <w:t>Bradley</w:t>
      </w:r>
      <w:r>
        <w:rPr>
          <w:spacing w:val="-2"/>
          <w:sz w:val="18"/>
        </w:rPr>
        <w:t xml:space="preserve"> </w:t>
      </w:r>
      <w:r>
        <w:rPr>
          <w:sz w:val="18"/>
        </w:rPr>
        <w:t>et</w:t>
      </w:r>
      <w:r>
        <w:rPr>
          <w:spacing w:val="-3"/>
          <w:sz w:val="18"/>
        </w:rPr>
        <w:t xml:space="preserve"> </w:t>
      </w:r>
      <w:r>
        <w:rPr>
          <w:spacing w:val="-5"/>
          <w:sz w:val="18"/>
        </w:rPr>
        <w:t>al.</w:t>
      </w:r>
    </w:p>
    <w:p w:rsidR="00200FDA" w:rsidRDefault="00F76C4C">
      <w:pPr>
        <w:spacing w:before="1" w:line="219" w:lineRule="exact"/>
        <w:ind w:left="140"/>
        <w:rPr>
          <w:sz w:val="18"/>
        </w:rPr>
      </w:pPr>
      <w:r>
        <w:rPr>
          <w:position w:val="5"/>
          <w:sz w:val="12"/>
        </w:rPr>
        <w:t>49</w:t>
      </w:r>
      <w:r>
        <w:rPr>
          <w:spacing w:val="8"/>
          <w:position w:val="5"/>
          <w:sz w:val="12"/>
        </w:rPr>
        <w:t xml:space="preserve"> </w:t>
      </w:r>
      <w:r>
        <w:rPr>
          <w:sz w:val="18"/>
        </w:rPr>
        <w:t>Massachusetts</w:t>
      </w:r>
      <w:r>
        <w:rPr>
          <w:spacing w:val="-3"/>
          <w:sz w:val="18"/>
        </w:rPr>
        <w:t xml:space="preserve"> </w:t>
      </w:r>
      <w:r>
        <w:rPr>
          <w:sz w:val="18"/>
        </w:rPr>
        <w:t>Commission</w:t>
      </w:r>
      <w:r>
        <w:rPr>
          <w:spacing w:val="-2"/>
          <w:sz w:val="18"/>
        </w:rPr>
        <w:t xml:space="preserve"> </w:t>
      </w:r>
      <w:r>
        <w:rPr>
          <w:sz w:val="18"/>
        </w:rPr>
        <w:t>on</w:t>
      </w:r>
      <w:r>
        <w:rPr>
          <w:spacing w:val="-3"/>
          <w:sz w:val="18"/>
        </w:rPr>
        <w:t xml:space="preserve"> </w:t>
      </w:r>
      <w:r>
        <w:rPr>
          <w:sz w:val="18"/>
        </w:rPr>
        <w:t>LGBTQ</w:t>
      </w:r>
      <w:r>
        <w:rPr>
          <w:spacing w:val="-4"/>
          <w:sz w:val="18"/>
        </w:rPr>
        <w:t xml:space="preserve"> </w:t>
      </w:r>
      <w:r>
        <w:rPr>
          <w:sz w:val="18"/>
        </w:rPr>
        <w:t>Youth,</w:t>
      </w:r>
      <w:r>
        <w:rPr>
          <w:spacing w:val="-1"/>
          <w:sz w:val="18"/>
        </w:rPr>
        <w:t xml:space="preserve"> </w:t>
      </w:r>
      <w:r>
        <w:rPr>
          <w:sz w:val="18"/>
        </w:rPr>
        <w:t>“Safe</w:t>
      </w:r>
      <w:r>
        <w:rPr>
          <w:spacing w:val="-3"/>
          <w:sz w:val="18"/>
        </w:rPr>
        <w:t xml:space="preserve"> </w:t>
      </w:r>
      <w:r>
        <w:rPr>
          <w:sz w:val="18"/>
        </w:rPr>
        <w:t>Schools</w:t>
      </w:r>
      <w:r>
        <w:rPr>
          <w:spacing w:val="-3"/>
          <w:sz w:val="18"/>
        </w:rPr>
        <w:t xml:space="preserve"> </w:t>
      </w:r>
      <w:r>
        <w:rPr>
          <w:sz w:val="18"/>
        </w:rPr>
        <w:t>Program</w:t>
      </w:r>
      <w:r>
        <w:rPr>
          <w:spacing w:val="-1"/>
          <w:sz w:val="18"/>
        </w:rPr>
        <w:t xml:space="preserve"> </w:t>
      </w:r>
      <w:r>
        <w:rPr>
          <w:sz w:val="18"/>
        </w:rPr>
        <w:t>Training</w:t>
      </w:r>
      <w:r>
        <w:rPr>
          <w:spacing w:val="-3"/>
          <w:sz w:val="18"/>
        </w:rPr>
        <w:t xml:space="preserve"> </w:t>
      </w:r>
      <w:r>
        <w:rPr>
          <w:sz w:val="18"/>
        </w:rPr>
        <w:t>Evaluation</w:t>
      </w:r>
      <w:r>
        <w:rPr>
          <w:spacing w:val="-2"/>
          <w:sz w:val="18"/>
        </w:rPr>
        <w:t xml:space="preserve"> Data.”</w:t>
      </w:r>
    </w:p>
    <w:p w:rsidR="00200FDA" w:rsidRDefault="00F76C4C">
      <w:pPr>
        <w:ind w:left="140" w:hanging="1"/>
        <w:rPr>
          <w:sz w:val="18"/>
        </w:rPr>
      </w:pPr>
      <w:r>
        <w:rPr>
          <w:position w:val="5"/>
          <w:sz w:val="12"/>
        </w:rPr>
        <w:t>50</w:t>
      </w:r>
      <w:r>
        <w:rPr>
          <w:spacing w:val="10"/>
          <w:position w:val="5"/>
          <w:sz w:val="12"/>
        </w:rPr>
        <w:t xml:space="preserve"> </w:t>
      </w:r>
      <w:r>
        <w:rPr>
          <w:sz w:val="18"/>
        </w:rPr>
        <w:t>Laura</w:t>
      </w:r>
      <w:r>
        <w:rPr>
          <w:spacing w:val="-2"/>
          <w:sz w:val="18"/>
        </w:rPr>
        <w:t xml:space="preserve"> </w:t>
      </w:r>
      <w:r>
        <w:rPr>
          <w:sz w:val="18"/>
        </w:rPr>
        <w:t>A.</w:t>
      </w:r>
      <w:r>
        <w:rPr>
          <w:spacing w:val="-2"/>
          <w:sz w:val="18"/>
        </w:rPr>
        <w:t xml:space="preserve"> </w:t>
      </w:r>
      <w:r>
        <w:rPr>
          <w:sz w:val="18"/>
        </w:rPr>
        <w:t>Szalacha,</w:t>
      </w:r>
      <w:r>
        <w:rPr>
          <w:spacing w:val="-2"/>
          <w:sz w:val="18"/>
        </w:rPr>
        <w:t xml:space="preserve"> </w:t>
      </w:r>
      <w:r>
        <w:rPr>
          <w:sz w:val="18"/>
        </w:rPr>
        <w:t>“An</w:t>
      </w:r>
      <w:r>
        <w:rPr>
          <w:spacing w:val="-3"/>
          <w:sz w:val="18"/>
        </w:rPr>
        <w:t xml:space="preserve"> </w:t>
      </w:r>
      <w:r>
        <w:rPr>
          <w:sz w:val="18"/>
        </w:rPr>
        <w:t>Evaluation</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Welcoming</w:t>
      </w:r>
      <w:r>
        <w:rPr>
          <w:spacing w:val="-3"/>
          <w:sz w:val="18"/>
        </w:rPr>
        <w:t xml:space="preserve"> </w:t>
      </w:r>
      <w:r>
        <w:rPr>
          <w:sz w:val="18"/>
        </w:rPr>
        <w:t>Schools</w:t>
      </w:r>
      <w:r>
        <w:rPr>
          <w:spacing w:val="-3"/>
          <w:sz w:val="18"/>
        </w:rPr>
        <w:t xml:space="preserve"> </w:t>
      </w:r>
      <w:r>
        <w:rPr>
          <w:sz w:val="18"/>
        </w:rPr>
        <w:t>Guide</w:t>
      </w:r>
      <w:r>
        <w:rPr>
          <w:spacing w:val="-3"/>
          <w:sz w:val="18"/>
        </w:rPr>
        <w:t xml:space="preserve"> </w:t>
      </w:r>
      <w:r>
        <w:rPr>
          <w:sz w:val="18"/>
        </w:rPr>
        <w:t>Pilot</w:t>
      </w:r>
      <w:r>
        <w:rPr>
          <w:spacing w:val="-3"/>
          <w:sz w:val="18"/>
        </w:rPr>
        <w:t xml:space="preserve"> </w:t>
      </w:r>
      <w:r>
        <w:rPr>
          <w:sz w:val="18"/>
        </w:rPr>
        <w:t>for</w:t>
      </w:r>
      <w:r>
        <w:rPr>
          <w:spacing w:val="-3"/>
          <w:sz w:val="18"/>
        </w:rPr>
        <w:t xml:space="preserve"> </w:t>
      </w:r>
      <w:r>
        <w:rPr>
          <w:sz w:val="18"/>
        </w:rPr>
        <w:t>Use</w:t>
      </w:r>
      <w:r>
        <w:rPr>
          <w:spacing w:val="-3"/>
          <w:sz w:val="18"/>
        </w:rPr>
        <w:t xml:space="preserve"> </w:t>
      </w:r>
      <w:r>
        <w:rPr>
          <w:sz w:val="18"/>
        </w:rPr>
        <w:t>in</w:t>
      </w:r>
      <w:r>
        <w:rPr>
          <w:spacing w:val="-3"/>
          <w:sz w:val="18"/>
        </w:rPr>
        <w:t xml:space="preserve"> </w:t>
      </w:r>
      <w:r>
        <w:rPr>
          <w:sz w:val="18"/>
        </w:rPr>
        <w:t>Elementary</w:t>
      </w:r>
      <w:r>
        <w:rPr>
          <w:spacing w:val="-2"/>
          <w:sz w:val="18"/>
        </w:rPr>
        <w:t xml:space="preserve"> </w:t>
      </w:r>
      <w:r>
        <w:rPr>
          <w:sz w:val="18"/>
        </w:rPr>
        <w:t>Schools.,”</w:t>
      </w:r>
      <w:r>
        <w:rPr>
          <w:spacing w:val="-3"/>
          <w:sz w:val="18"/>
        </w:rPr>
        <w:t xml:space="preserve"> </w:t>
      </w:r>
      <w:r>
        <w:rPr>
          <w:sz w:val="18"/>
        </w:rPr>
        <w:t xml:space="preserve">n.d., </w:t>
      </w:r>
      <w:hyperlink r:id="rId162">
        <w:r>
          <w:rPr>
            <w:spacing w:val="-2"/>
            <w:sz w:val="18"/>
          </w:rPr>
          <w:t>http://www.welcomingschools.org/.</w:t>
        </w:r>
      </w:hyperlink>
    </w:p>
    <w:p w:rsidR="00200FDA" w:rsidRDefault="00F76C4C">
      <w:pPr>
        <w:ind w:left="140" w:hanging="1"/>
        <w:rPr>
          <w:sz w:val="18"/>
        </w:rPr>
      </w:pPr>
      <w:r>
        <w:rPr>
          <w:position w:val="5"/>
          <w:sz w:val="12"/>
        </w:rPr>
        <w:t>51</w:t>
      </w:r>
      <w:r>
        <w:rPr>
          <w:spacing w:val="9"/>
          <w:position w:val="5"/>
          <w:sz w:val="12"/>
        </w:rPr>
        <w:t xml:space="preserve"> </w:t>
      </w:r>
      <w:r>
        <w:rPr>
          <w:sz w:val="18"/>
        </w:rPr>
        <w:t>Hillary</w:t>
      </w:r>
      <w:r>
        <w:rPr>
          <w:spacing w:val="-3"/>
          <w:sz w:val="18"/>
        </w:rPr>
        <w:t xml:space="preserve"> </w:t>
      </w:r>
      <w:r>
        <w:rPr>
          <w:sz w:val="18"/>
        </w:rPr>
        <w:t>Parkhouse,</w:t>
      </w:r>
      <w:r>
        <w:rPr>
          <w:spacing w:val="-3"/>
          <w:sz w:val="18"/>
        </w:rPr>
        <w:t xml:space="preserve"> </w:t>
      </w:r>
      <w:r>
        <w:rPr>
          <w:sz w:val="18"/>
        </w:rPr>
        <w:t>Chu</w:t>
      </w:r>
      <w:r>
        <w:rPr>
          <w:spacing w:val="-4"/>
          <w:sz w:val="18"/>
        </w:rPr>
        <w:t xml:space="preserve"> </w:t>
      </w:r>
      <w:r>
        <w:rPr>
          <w:sz w:val="18"/>
        </w:rPr>
        <w:t>Yi</w:t>
      </w:r>
      <w:r>
        <w:rPr>
          <w:spacing w:val="-4"/>
          <w:sz w:val="18"/>
        </w:rPr>
        <w:t xml:space="preserve"> </w:t>
      </w:r>
      <w:r>
        <w:rPr>
          <w:sz w:val="18"/>
        </w:rPr>
        <w:t>Lu,</w:t>
      </w:r>
      <w:r>
        <w:rPr>
          <w:spacing w:val="-3"/>
          <w:sz w:val="18"/>
        </w:rPr>
        <w:t xml:space="preserve"> </w:t>
      </w:r>
      <w:r>
        <w:rPr>
          <w:sz w:val="18"/>
        </w:rPr>
        <w:t>and</w:t>
      </w:r>
      <w:r>
        <w:rPr>
          <w:spacing w:val="-2"/>
          <w:sz w:val="18"/>
        </w:rPr>
        <w:t xml:space="preserve"> </w:t>
      </w:r>
      <w:r>
        <w:rPr>
          <w:sz w:val="18"/>
        </w:rPr>
        <w:t>Virginia</w:t>
      </w:r>
      <w:r>
        <w:rPr>
          <w:spacing w:val="-3"/>
          <w:sz w:val="18"/>
        </w:rPr>
        <w:t xml:space="preserve"> </w:t>
      </w:r>
      <w:r>
        <w:rPr>
          <w:sz w:val="18"/>
        </w:rPr>
        <w:t>R.</w:t>
      </w:r>
      <w:r>
        <w:rPr>
          <w:spacing w:val="-3"/>
          <w:sz w:val="18"/>
        </w:rPr>
        <w:t xml:space="preserve"> </w:t>
      </w:r>
      <w:r>
        <w:rPr>
          <w:sz w:val="18"/>
        </w:rPr>
        <w:t>Massaro,</w:t>
      </w:r>
      <w:r>
        <w:rPr>
          <w:spacing w:val="-3"/>
          <w:sz w:val="18"/>
        </w:rPr>
        <w:t xml:space="preserve"> </w:t>
      </w:r>
      <w:r>
        <w:rPr>
          <w:sz w:val="18"/>
        </w:rPr>
        <w:t>“Multicultural</w:t>
      </w:r>
      <w:r>
        <w:rPr>
          <w:spacing w:val="-4"/>
          <w:sz w:val="18"/>
        </w:rPr>
        <w:t xml:space="preserve"> </w:t>
      </w:r>
      <w:r>
        <w:rPr>
          <w:sz w:val="18"/>
        </w:rPr>
        <w:t>Education</w:t>
      </w:r>
      <w:r>
        <w:rPr>
          <w:spacing w:val="-4"/>
          <w:sz w:val="18"/>
        </w:rPr>
        <w:t xml:space="preserve"> </w:t>
      </w:r>
      <w:r>
        <w:rPr>
          <w:sz w:val="18"/>
        </w:rPr>
        <w:t>Professional</w:t>
      </w:r>
      <w:r>
        <w:rPr>
          <w:spacing w:val="-4"/>
          <w:sz w:val="18"/>
        </w:rPr>
        <w:t xml:space="preserve"> </w:t>
      </w:r>
      <w:r>
        <w:rPr>
          <w:sz w:val="18"/>
        </w:rPr>
        <w:t>Development:</w:t>
      </w:r>
      <w:r>
        <w:rPr>
          <w:spacing w:val="-1"/>
          <w:sz w:val="18"/>
        </w:rPr>
        <w:t xml:space="preserve"> </w:t>
      </w:r>
      <w:r>
        <w:rPr>
          <w:sz w:val="18"/>
        </w:rPr>
        <w:t>A</w:t>
      </w:r>
      <w:r>
        <w:rPr>
          <w:spacing w:val="-4"/>
          <w:sz w:val="18"/>
        </w:rPr>
        <w:t xml:space="preserve"> </w:t>
      </w:r>
      <w:r>
        <w:rPr>
          <w:sz w:val="18"/>
        </w:rPr>
        <w:t>Review</w:t>
      </w:r>
      <w:r>
        <w:rPr>
          <w:spacing w:val="-2"/>
          <w:sz w:val="18"/>
        </w:rPr>
        <w:t xml:space="preserve"> </w:t>
      </w:r>
      <w:r>
        <w:rPr>
          <w:sz w:val="18"/>
        </w:rPr>
        <w:t>of</w:t>
      </w:r>
      <w:r>
        <w:rPr>
          <w:spacing w:val="-3"/>
          <w:sz w:val="18"/>
        </w:rPr>
        <w:t xml:space="preserve"> </w:t>
      </w:r>
      <w:r>
        <w:rPr>
          <w:sz w:val="18"/>
        </w:rPr>
        <w:t xml:space="preserve">the Literature,” </w:t>
      </w:r>
      <w:r>
        <w:rPr>
          <w:i/>
          <w:sz w:val="18"/>
        </w:rPr>
        <w:t xml:space="preserve">Review of Educational Research </w:t>
      </w:r>
      <w:r>
        <w:rPr>
          <w:sz w:val="18"/>
        </w:rPr>
        <w:t>89, no. 3 (June 2019): 416–58, https://doi.org/10.3102/0034654319840359.</w:t>
      </w:r>
    </w:p>
    <w:p w:rsidR="00200FDA" w:rsidRDefault="00F76C4C">
      <w:pPr>
        <w:spacing w:before="1" w:line="219" w:lineRule="exact"/>
        <w:ind w:left="140"/>
        <w:rPr>
          <w:sz w:val="18"/>
        </w:rPr>
      </w:pPr>
      <w:r>
        <w:rPr>
          <w:position w:val="5"/>
          <w:sz w:val="12"/>
        </w:rPr>
        <w:t>52</w:t>
      </w:r>
      <w:r>
        <w:rPr>
          <w:spacing w:val="10"/>
          <w:position w:val="5"/>
          <w:sz w:val="12"/>
        </w:rPr>
        <w:t xml:space="preserve"> </w:t>
      </w:r>
      <w:r>
        <w:rPr>
          <w:sz w:val="18"/>
        </w:rPr>
        <w:t>Parkhouse,</w:t>
      </w:r>
      <w:r>
        <w:rPr>
          <w:spacing w:val="-2"/>
          <w:sz w:val="18"/>
        </w:rPr>
        <w:t xml:space="preserve"> </w:t>
      </w:r>
      <w:r>
        <w:rPr>
          <w:sz w:val="18"/>
        </w:rPr>
        <w:t>Lu,</w:t>
      </w:r>
      <w:r>
        <w:rPr>
          <w:spacing w:val="-3"/>
          <w:sz w:val="18"/>
        </w:rPr>
        <w:t xml:space="preserve"> </w:t>
      </w:r>
      <w:r>
        <w:rPr>
          <w:sz w:val="18"/>
        </w:rPr>
        <w:t>and</w:t>
      </w:r>
      <w:r>
        <w:rPr>
          <w:spacing w:val="-2"/>
          <w:sz w:val="18"/>
        </w:rPr>
        <w:t xml:space="preserve"> Massaro.</w:t>
      </w:r>
    </w:p>
    <w:p w:rsidR="00200FDA" w:rsidRDefault="00F76C4C">
      <w:pPr>
        <w:spacing w:line="219" w:lineRule="exact"/>
        <w:ind w:left="140"/>
        <w:rPr>
          <w:sz w:val="18"/>
        </w:rPr>
      </w:pPr>
      <w:r>
        <w:rPr>
          <w:position w:val="5"/>
          <w:sz w:val="12"/>
        </w:rPr>
        <w:t>53</w:t>
      </w:r>
      <w:r>
        <w:rPr>
          <w:spacing w:val="8"/>
          <w:position w:val="5"/>
          <w:sz w:val="12"/>
        </w:rPr>
        <w:t xml:space="preserve"> </w:t>
      </w:r>
      <w:r>
        <w:rPr>
          <w:sz w:val="18"/>
        </w:rPr>
        <w:t>Massachusetts</w:t>
      </w:r>
      <w:r>
        <w:rPr>
          <w:spacing w:val="-3"/>
          <w:sz w:val="18"/>
        </w:rPr>
        <w:t xml:space="preserve"> </w:t>
      </w:r>
      <w:r>
        <w:rPr>
          <w:sz w:val="18"/>
        </w:rPr>
        <w:t>Commission</w:t>
      </w:r>
      <w:r>
        <w:rPr>
          <w:spacing w:val="-2"/>
          <w:sz w:val="18"/>
        </w:rPr>
        <w:t xml:space="preserve"> </w:t>
      </w:r>
      <w:r>
        <w:rPr>
          <w:sz w:val="18"/>
        </w:rPr>
        <w:t>on</w:t>
      </w:r>
      <w:r>
        <w:rPr>
          <w:spacing w:val="-3"/>
          <w:sz w:val="18"/>
        </w:rPr>
        <w:t xml:space="preserve"> </w:t>
      </w:r>
      <w:r>
        <w:rPr>
          <w:sz w:val="18"/>
        </w:rPr>
        <w:t>LGBTQ</w:t>
      </w:r>
      <w:r>
        <w:rPr>
          <w:spacing w:val="-3"/>
          <w:sz w:val="18"/>
        </w:rPr>
        <w:t xml:space="preserve"> </w:t>
      </w:r>
      <w:r>
        <w:rPr>
          <w:sz w:val="18"/>
        </w:rPr>
        <w:t>Youth,</w:t>
      </w:r>
      <w:r>
        <w:rPr>
          <w:spacing w:val="-1"/>
          <w:sz w:val="18"/>
        </w:rPr>
        <w:t xml:space="preserve"> </w:t>
      </w:r>
      <w:r>
        <w:rPr>
          <w:sz w:val="18"/>
        </w:rPr>
        <w:t>“Safe</w:t>
      </w:r>
      <w:r>
        <w:rPr>
          <w:spacing w:val="-3"/>
          <w:sz w:val="18"/>
        </w:rPr>
        <w:t xml:space="preserve"> </w:t>
      </w:r>
      <w:r>
        <w:rPr>
          <w:sz w:val="18"/>
        </w:rPr>
        <w:t>Schools</w:t>
      </w:r>
      <w:r>
        <w:rPr>
          <w:spacing w:val="-3"/>
          <w:sz w:val="18"/>
        </w:rPr>
        <w:t xml:space="preserve"> </w:t>
      </w:r>
      <w:r>
        <w:rPr>
          <w:sz w:val="18"/>
        </w:rPr>
        <w:t>Program</w:t>
      </w:r>
      <w:r>
        <w:rPr>
          <w:spacing w:val="-1"/>
          <w:sz w:val="18"/>
        </w:rPr>
        <w:t xml:space="preserve"> </w:t>
      </w:r>
      <w:r>
        <w:rPr>
          <w:sz w:val="18"/>
        </w:rPr>
        <w:t>Training</w:t>
      </w:r>
      <w:r>
        <w:rPr>
          <w:spacing w:val="-3"/>
          <w:sz w:val="18"/>
        </w:rPr>
        <w:t xml:space="preserve"> </w:t>
      </w:r>
      <w:r>
        <w:rPr>
          <w:sz w:val="18"/>
        </w:rPr>
        <w:t>Evaluation</w:t>
      </w:r>
      <w:r>
        <w:rPr>
          <w:spacing w:val="-2"/>
          <w:sz w:val="18"/>
        </w:rPr>
        <w:t xml:space="preserve"> Data.”</w:t>
      </w:r>
    </w:p>
    <w:p w:rsidR="00200FDA" w:rsidRDefault="00F76C4C">
      <w:pPr>
        <w:spacing w:before="2"/>
        <w:ind w:left="139" w:right="288"/>
        <w:rPr>
          <w:sz w:val="18"/>
        </w:rPr>
      </w:pPr>
      <w:r>
        <w:rPr>
          <w:position w:val="5"/>
          <w:sz w:val="12"/>
        </w:rPr>
        <w:t>54</w:t>
      </w:r>
      <w:r>
        <w:rPr>
          <w:spacing w:val="13"/>
          <w:position w:val="5"/>
          <w:sz w:val="12"/>
        </w:rPr>
        <w:t xml:space="preserve"> </w:t>
      </w:r>
      <w:r>
        <w:rPr>
          <w:sz w:val="18"/>
        </w:rPr>
        <w:t>Laura A. Szalacha, “Educa</w:t>
      </w:r>
      <w:r>
        <w:rPr>
          <w:sz w:val="18"/>
        </w:rPr>
        <w:t xml:space="preserve">ting Teachers on LGBTQ Issues: A Review of Research and Program Evaluations,” </w:t>
      </w:r>
      <w:r>
        <w:rPr>
          <w:i/>
          <w:sz w:val="18"/>
        </w:rPr>
        <w:t xml:space="preserve">Journal of Gay &amp; Lesbian Issues in Education </w:t>
      </w:r>
      <w:r>
        <w:rPr>
          <w:sz w:val="18"/>
        </w:rPr>
        <w:t>1, no. 4 (May 10, 2004): 67–79, https://doi.org/10.1300/J367v01n04_07; Greytak, Kosciw, and Boesen, “Educating the Educator”; Jennife</w:t>
      </w:r>
      <w:r>
        <w:rPr>
          <w:sz w:val="18"/>
        </w:rPr>
        <w:t xml:space="preserve">r M. Cooper et al., “No Lone Wolf: A Multidisciplinary Approach to Creating Safe Schools for LGBTQ Youth Through the Development of Allies,” </w:t>
      </w:r>
      <w:r>
        <w:rPr>
          <w:i/>
          <w:sz w:val="18"/>
        </w:rPr>
        <w:t>Journal of LGBT</w:t>
      </w:r>
      <w:r>
        <w:rPr>
          <w:i/>
          <w:spacing w:val="-1"/>
          <w:sz w:val="18"/>
        </w:rPr>
        <w:t xml:space="preserve"> </w:t>
      </w:r>
      <w:r>
        <w:rPr>
          <w:i/>
          <w:sz w:val="18"/>
        </w:rPr>
        <w:t>Issues in Counseling</w:t>
      </w:r>
      <w:r>
        <w:rPr>
          <w:i/>
          <w:spacing w:val="-1"/>
          <w:sz w:val="18"/>
        </w:rPr>
        <w:t xml:space="preserve"> </w:t>
      </w:r>
      <w:r>
        <w:rPr>
          <w:sz w:val="18"/>
        </w:rPr>
        <w:t>8, no. 4 (October 2, 2014): 344–60,</w:t>
      </w:r>
      <w:r>
        <w:rPr>
          <w:spacing w:val="-3"/>
          <w:sz w:val="18"/>
        </w:rPr>
        <w:t xml:space="preserve"> </w:t>
      </w:r>
      <w:r>
        <w:rPr>
          <w:sz w:val="18"/>
        </w:rPr>
        <w:t>https://doi.org/10.1080/15538605.2014.9601</w:t>
      </w:r>
      <w:r>
        <w:rPr>
          <w:sz w:val="18"/>
        </w:rPr>
        <w:t>28;</w:t>
      </w:r>
      <w:r>
        <w:rPr>
          <w:spacing w:val="-4"/>
          <w:sz w:val="18"/>
        </w:rPr>
        <w:t xml:space="preserve"> </w:t>
      </w:r>
      <w:r>
        <w:rPr>
          <w:sz w:val="18"/>
        </w:rPr>
        <w:t>Greytak, Kosciw,</w:t>
      </w:r>
      <w:r>
        <w:rPr>
          <w:spacing w:val="-3"/>
          <w:sz w:val="18"/>
        </w:rPr>
        <w:t xml:space="preserve"> </w:t>
      </w:r>
      <w:r>
        <w:rPr>
          <w:sz w:val="18"/>
        </w:rPr>
        <w:t>and</w:t>
      </w:r>
      <w:r>
        <w:rPr>
          <w:spacing w:val="-4"/>
          <w:sz w:val="18"/>
        </w:rPr>
        <w:t xml:space="preserve"> </w:t>
      </w:r>
      <w:r>
        <w:rPr>
          <w:sz w:val="18"/>
        </w:rPr>
        <w:t>Gay,</w:t>
      </w:r>
      <w:r>
        <w:rPr>
          <w:spacing w:val="-3"/>
          <w:sz w:val="18"/>
        </w:rPr>
        <w:t xml:space="preserve"> </w:t>
      </w:r>
      <w:r>
        <w:rPr>
          <w:i/>
          <w:sz w:val="18"/>
        </w:rPr>
        <w:t>Year</w:t>
      </w:r>
      <w:r>
        <w:rPr>
          <w:i/>
          <w:spacing w:val="-3"/>
          <w:sz w:val="18"/>
        </w:rPr>
        <w:t xml:space="preserve"> </w:t>
      </w:r>
      <w:r>
        <w:rPr>
          <w:i/>
          <w:sz w:val="18"/>
        </w:rPr>
        <w:t>One</w:t>
      </w:r>
      <w:r>
        <w:rPr>
          <w:i/>
          <w:spacing w:val="-5"/>
          <w:sz w:val="18"/>
        </w:rPr>
        <w:t xml:space="preserve"> </w:t>
      </w:r>
      <w:r>
        <w:rPr>
          <w:i/>
          <w:sz w:val="18"/>
        </w:rPr>
        <w:t>Evaluation</w:t>
      </w:r>
      <w:r>
        <w:rPr>
          <w:i/>
          <w:spacing w:val="-2"/>
          <w:sz w:val="18"/>
        </w:rPr>
        <w:t xml:space="preserve"> </w:t>
      </w:r>
      <w:r>
        <w:rPr>
          <w:i/>
          <w:sz w:val="18"/>
        </w:rPr>
        <w:t>of</w:t>
      </w:r>
      <w:r>
        <w:rPr>
          <w:i/>
          <w:spacing w:val="-3"/>
          <w:sz w:val="18"/>
        </w:rPr>
        <w:t xml:space="preserve"> </w:t>
      </w:r>
      <w:r>
        <w:rPr>
          <w:i/>
          <w:sz w:val="18"/>
        </w:rPr>
        <w:t>the</w:t>
      </w:r>
      <w:r>
        <w:rPr>
          <w:i/>
          <w:spacing w:val="-3"/>
          <w:sz w:val="18"/>
        </w:rPr>
        <w:t xml:space="preserve"> </w:t>
      </w:r>
      <w:r>
        <w:rPr>
          <w:i/>
          <w:sz w:val="18"/>
        </w:rPr>
        <w:t>New</w:t>
      </w:r>
      <w:r>
        <w:rPr>
          <w:i/>
          <w:spacing w:val="-2"/>
          <w:sz w:val="18"/>
        </w:rPr>
        <w:t xml:space="preserve"> </w:t>
      </w:r>
      <w:r>
        <w:rPr>
          <w:i/>
          <w:sz w:val="18"/>
        </w:rPr>
        <w:t>York</w:t>
      </w:r>
      <w:r>
        <w:rPr>
          <w:i/>
          <w:spacing w:val="-4"/>
          <w:sz w:val="18"/>
        </w:rPr>
        <w:t xml:space="preserve"> </w:t>
      </w:r>
      <w:r>
        <w:rPr>
          <w:i/>
          <w:sz w:val="18"/>
        </w:rPr>
        <w:t>City Department of Education"Respect for All" Training Program.</w:t>
      </w:r>
      <w:r>
        <w:rPr>
          <w:sz w:val="18"/>
        </w:rPr>
        <w:t>; Harris Interactive, Inc. and GLSEN, “Playgrounds and Prejudice: Elementary School Climate in the United States. A Survey of Students and Teachers.” (New York: GLSEN, 2012), https://</w:t>
      </w:r>
      <w:hyperlink r:id="rId163">
        <w:r>
          <w:rPr>
            <w:sz w:val="18"/>
          </w:rPr>
          <w:t>www.glsen.org/sites/default/files/2020-04/Playgrounds_Prejudice.pdf;</w:t>
        </w:r>
      </w:hyperlink>
      <w:r>
        <w:rPr>
          <w:spacing w:val="-4"/>
          <w:sz w:val="18"/>
        </w:rPr>
        <w:t xml:space="preserve"> </w:t>
      </w:r>
      <w:r>
        <w:rPr>
          <w:sz w:val="18"/>
        </w:rPr>
        <w:t>Dorothy</w:t>
      </w:r>
      <w:r>
        <w:rPr>
          <w:spacing w:val="-5"/>
          <w:sz w:val="18"/>
        </w:rPr>
        <w:t xml:space="preserve"> </w:t>
      </w:r>
      <w:r>
        <w:rPr>
          <w:sz w:val="18"/>
        </w:rPr>
        <w:t>L.</w:t>
      </w:r>
      <w:r>
        <w:rPr>
          <w:spacing w:val="-4"/>
          <w:sz w:val="18"/>
        </w:rPr>
        <w:t xml:space="preserve"> </w:t>
      </w:r>
      <w:r>
        <w:rPr>
          <w:sz w:val="18"/>
        </w:rPr>
        <w:t>Espelage,</w:t>
      </w:r>
      <w:r>
        <w:rPr>
          <w:spacing w:val="-5"/>
          <w:sz w:val="18"/>
        </w:rPr>
        <w:t xml:space="preserve"> </w:t>
      </w:r>
      <w:r>
        <w:rPr>
          <w:sz w:val="18"/>
        </w:rPr>
        <w:t>Sabina</w:t>
      </w:r>
      <w:r>
        <w:rPr>
          <w:spacing w:val="-4"/>
          <w:sz w:val="18"/>
        </w:rPr>
        <w:t xml:space="preserve"> </w:t>
      </w:r>
      <w:r>
        <w:rPr>
          <w:sz w:val="18"/>
        </w:rPr>
        <w:t>K.</w:t>
      </w:r>
      <w:r>
        <w:rPr>
          <w:spacing w:val="-5"/>
          <w:sz w:val="18"/>
        </w:rPr>
        <w:t xml:space="preserve"> </w:t>
      </w:r>
      <w:r>
        <w:rPr>
          <w:sz w:val="18"/>
        </w:rPr>
        <w:t>Low,</w:t>
      </w:r>
      <w:r>
        <w:rPr>
          <w:spacing w:val="-4"/>
          <w:sz w:val="18"/>
        </w:rPr>
        <w:t xml:space="preserve"> </w:t>
      </w:r>
      <w:r>
        <w:rPr>
          <w:sz w:val="18"/>
        </w:rPr>
        <w:t>and</w:t>
      </w:r>
      <w:r>
        <w:rPr>
          <w:spacing w:val="-5"/>
          <w:sz w:val="18"/>
        </w:rPr>
        <w:t xml:space="preserve"> </w:t>
      </w:r>
      <w:r>
        <w:rPr>
          <w:sz w:val="18"/>
        </w:rPr>
        <w:t>Shane</w:t>
      </w:r>
    </w:p>
    <w:p w:rsidR="00200FDA" w:rsidRDefault="00F76C4C">
      <w:pPr>
        <w:ind w:left="140"/>
        <w:rPr>
          <w:sz w:val="18"/>
        </w:rPr>
      </w:pPr>
      <w:r>
        <w:rPr>
          <w:sz w:val="18"/>
        </w:rPr>
        <w:t>R. Jimerson, “Understanding School Climate, Aggression, Peer Victimization, and Bully Perpetration: Contemporary Scie</w:t>
      </w:r>
      <w:r>
        <w:rPr>
          <w:sz w:val="18"/>
        </w:rPr>
        <w:t>nce, Practice,</w:t>
      </w:r>
      <w:r>
        <w:rPr>
          <w:spacing w:val="-4"/>
          <w:sz w:val="18"/>
        </w:rPr>
        <w:t xml:space="preserve"> </w:t>
      </w:r>
      <w:r>
        <w:rPr>
          <w:sz w:val="18"/>
        </w:rPr>
        <w:t>and</w:t>
      </w:r>
      <w:r>
        <w:rPr>
          <w:spacing w:val="-5"/>
          <w:sz w:val="18"/>
        </w:rPr>
        <w:t xml:space="preserve"> </w:t>
      </w:r>
      <w:r>
        <w:rPr>
          <w:sz w:val="18"/>
        </w:rPr>
        <w:t>Policy.,”</w:t>
      </w:r>
      <w:r>
        <w:rPr>
          <w:spacing w:val="-5"/>
          <w:sz w:val="18"/>
        </w:rPr>
        <w:t xml:space="preserve"> </w:t>
      </w:r>
      <w:r>
        <w:rPr>
          <w:i/>
          <w:sz w:val="18"/>
        </w:rPr>
        <w:t>School</w:t>
      </w:r>
      <w:r>
        <w:rPr>
          <w:i/>
          <w:spacing w:val="-5"/>
          <w:sz w:val="18"/>
        </w:rPr>
        <w:t xml:space="preserve"> </w:t>
      </w:r>
      <w:r>
        <w:rPr>
          <w:i/>
          <w:sz w:val="18"/>
        </w:rPr>
        <w:t>Psychology</w:t>
      </w:r>
      <w:r>
        <w:rPr>
          <w:i/>
          <w:spacing w:val="-3"/>
          <w:sz w:val="18"/>
        </w:rPr>
        <w:t xml:space="preserve"> </w:t>
      </w:r>
      <w:r>
        <w:rPr>
          <w:i/>
          <w:sz w:val="18"/>
        </w:rPr>
        <w:t>Quarterly</w:t>
      </w:r>
      <w:r>
        <w:rPr>
          <w:i/>
          <w:spacing w:val="-3"/>
          <w:sz w:val="18"/>
        </w:rPr>
        <w:t xml:space="preserve"> </w:t>
      </w:r>
      <w:r>
        <w:rPr>
          <w:sz w:val="18"/>
        </w:rPr>
        <w:t>29,</w:t>
      </w:r>
      <w:r>
        <w:rPr>
          <w:spacing w:val="-4"/>
          <w:sz w:val="18"/>
        </w:rPr>
        <w:t xml:space="preserve"> </w:t>
      </w:r>
      <w:r>
        <w:rPr>
          <w:sz w:val="18"/>
        </w:rPr>
        <w:t>no.</w:t>
      </w:r>
      <w:r>
        <w:rPr>
          <w:spacing w:val="-4"/>
          <w:sz w:val="18"/>
        </w:rPr>
        <w:t xml:space="preserve"> </w:t>
      </w:r>
      <w:r>
        <w:rPr>
          <w:sz w:val="18"/>
        </w:rPr>
        <w:t>3</w:t>
      </w:r>
      <w:r>
        <w:rPr>
          <w:spacing w:val="-4"/>
          <w:sz w:val="18"/>
        </w:rPr>
        <w:t xml:space="preserve"> </w:t>
      </w:r>
      <w:r>
        <w:rPr>
          <w:sz w:val="18"/>
        </w:rPr>
        <w:t>(September</w:t>
      </w:r>
      <w:r>
        <w:rPr>
          <w:spacing w:val="-5"/>
          <w:sz w:val="18"/>
        </w:rPr>
        <w:t xml:space="preserve"> </w:t>
      </w:r>
      <w:r>
        <w:rPr>
          <w:sz w:val="18"/>
        </w:rPr>
        <w:t>2014):</w:t>
      </w:r>
      <w:r>
        <w:rPr>
          <w:spacing w:val="-4"/>
          <w:sz w:val="18"/>
        </w:rPr>
        <w:t xml:space="preserve"> </w:t>
      </w:r>
      <w:r>
        <w:rPr>
          <w:sz w:val="18"/>
        </w:rPr>
        <w:t>233–37,</w:t>
      </w:r>
      <w:r>
        <w:rPr>
          <w:spacing w:val="-4"/>
          <w:sz w:val="18"/>
        </w:rPr>
        <w:t xml:space="preserve"> </w:t>
      </w:r>
      <w:r>
        <w:rPr>
          <w:sz w:val="18"/>
        </w:rPr>
        <w:t>https://doi.org/10.1037/spq0000090.</w:t>
      </w:r>
    </w:p>
    <w:p w:rsidR="00200FDA" w:rsidRDefault="00F76C4C">
      <w:pPr>
        <w:spacing w:line="219" w:lineRule="exact"/>
        <w:ind w:left="140"/>
        <w:rPr>
          <w:sz w:val="18"/>
        </w:rPr>
      </w:pPr>
      <w:r>
        <w:rPr>
          <w:position w:val="5"/>
          <w:sz w:val="12"/>
        </w:rPr>
        <w:t>55</w:t>
      </w:r>
      <w:r>
        <w:rPr>
          <w:spacing w:val="10"/>
          <w:position w:val="5"/>
          <w:sz w:val="12"/>
        </w:rPr>
        <w:t xml:space="preserve"> </w:t>
      </w:r>
      <w:r>
        <w:rPr>
          <w:sz w:val="18"/>
        </w:rPr>
        <w:t>Szalacha,</w:t>
      </w:r>
      <w:r>
        <w:rPr>
          <w:spacing w:val="-1"/>
          <w:sz w:val="18"/>
        </w:rPr>
        <w:t xml:space="preserve"> </w:t>
      </w:r>
      <w:r>
        <w:rPr>
          <w:sz w:val="18"/>
        </w:rPr>
        <w:t>“Educating</w:t>
      </w:r>
      <w:r>
        <w:rPr>
          <w:spacing w:val="-2"/>
          <w:sz w:val="18"/>
        </w:rPr>
        <w:t xml:space="preserve"> </w:t>
      </w:r>
      <w:r>
        <w:rPr>
          <w:sz w:val="18"/>
        </w:rPr>
        <w:t>Teachers</w:t>
      </w:r>
      <w:r>
        <w:rPr>
          <w:spacing w:val="-3"/>
          <w:sz w:val="18"/>
        </w:rPr>
        <w:t xml:space="preserve"> </w:t>
      </w:r>
      <w:r>
        <w:rPr>
          <w:sz w:val="18"/>
        </w:rPr>
        <w:t>on</w:t>
      </w:r>
      <w:r>
        <w:rPr>
          <w:spacing w:val="-2"/>
          <w:sz w:val="18"/>
        </w:rPr>
        <w:t xml:space="preserve"> </w:t>
      </w:r>
      <w:r>
        <w:rPr>
          <w:sz w:val="18"/>
        </w:rPr>
        <w:t>LGBTQ</w:t>
      </w:r>
      <w:r>
        <w:rPr>
          <w:spacing w:val="-2"/>
          <w:sz w:val="18"/>
        </w:rPr>
        <w:t xml:space="preserve"> Issues.”</w:t>
      </w:r>
    </w:p>
    <w:p w:rsidR="00200FDA" w:rsidRDefault="00F76C4C">
      <w:pPr>
        <w:ind w:left="140" w:hanging="1"/>
        <w:rPr>
          <w:sz w:val="18"/>
        </w:rPr>
      </w:pPr>
      <w:r>
        <w:rPr>
          <w:position w:val="5"/>
          <w:sz w:val="12"/>
        </w:rPr>
        <w:t>56</w:t>
      </w:r>
      <w:r>
        <w:rPr>
          <w:spacing w:val="9"/>
          <w:position w:val="5"/>
          <w:sz w:val="12"/>
        </w:rPr>
        <w:t xml:space="preserve"> </w:t>
      </w:r>
      <w:r>
        <w:rPr>
          <w:sz w:val="18"/>
        </w:rPr>
        <w:t>Swanson</w:t>
      </w:r>
      <w:r>
        <w:rPr>
          <w:spacing w:val="-4"/>
          <w:sz w:val="18"/>
        </w:rPr>
        <w:t xml:space="preserve"> </w:t>
      </w:r>
      <w:r>
        <w:rPr>
          <w:sz w:val="18"/>
        </w:rPr>
        <w:t>and</w:t>
      </w:r>
      <w:r>
        <w:rPr>
          <w:spacing w:val="-2"/>
          <w:sz w:val="18"/>
        </w:rPr>
        <w:t xml:space="preserve"> </w:t>
      </w:r>
      <w:r>
        <w:rPr>
          <w:sz w:val="18"/>
        </w:rPr>
        <w:t>Gettinger,</w:t>
      </w:r>
      <w:r>
        <w:rPr>
          <w:spacing w:val="-3"/>
          <w:sz w:val="18"/>
        </w:rPr>
        <w:t xml:space="preserve"> </w:t>
      </w:r>
      <w:r>
        <w:rPr>
          <w:sz w:val="18"/>
        </w:rPr>
        <w:t>“Teachers’</w:t>
      </w:r>
      <w:r>
        <w:rPr>
          <w:spacing w:val="-3"/>
          <w:sz w:val="18"/>
        </w:rPr>
        <w:t xml:space="preserve"> </w:t>
      </w:r>
      <w:r>
        <w:rPr>
          <w:sz w:val="18"/>
        </w:rPr>
        <w:t>Knowledge,</w:t>
      </w:r>
      <w:r>
        <w:rPr>
          <w:spacing w:val="-3"/>
          <w:sz w:val="18"/>
        </w:rPr>
        <w:t xml:space="preserve"> </w:t>
      </w:r>
      <w:r>
        <w:rPr>
          <w:sz w:val="18"/>
        </w:rPr>
        <w:t>Attitudes,</w:t>
      </w:r>
      <w:r>
        <w:rPr>
          <w:spacing w:val="-3"/>
          <w:sz w:val="18"/>
        </w:rPr>
        <w:t xml:space="preserve"> </w:t>
      </w:r>
      <w:r>
        <w:rPr>
          <w:sz w:val="18"/>
        </w:rPr>
        <w:t>and</w:t>
      </w:r>
      <w:r>
        <w:rPr>
          <w:spacing w:val="-4"/>
          <w:sz w:val="18"/>
        </w:rPr>
        <w:t xml:space="preserve"> </w:t>
      </w:r>
      <w:r>
        <w:rPr>
          <w:sz w:val="18"/>
        </w:rPr>
        <w:t>Supportive</w:t>
      </w:r>
      <w:r>
        <w:rPr>
          <w:spacing w:val="-4"/>
          <w:sz w:val="18"/>
        </w:rPr>
        <w:t xml:space="preserve"> </w:t>
      </w:r>
      <w:r>
        <w:rPr>
          <w:sz w:val="18"/>
        </w:rPr>
        <w:t>Behaviors</w:t>
      </w:r>
      <w:r>
        <w:rPr>
          <w:spacing w:val="-4"/>
          <w:sz w:val="18"/>
        </w:rPr>
        <w:t xml:space="preserve"> </w:t>
      </w:r>
      <w:r>
        <w:rPr>
          <w:sz w:val="18"/>
        </w:rPr>
        <w:t>toward</w:t>
      </w:r>
      <w:r>
        <w:rPr>
          <w:spacing w:val="-4"/>
          <w:sz w:val="18"/>
        </w:rPr>
        <w:t xml:space="preserve"> </w:t>
      </w:r>
      <w:r>
        <w:rPr>
          <w:sz w:val="18"/>
        </w:rPr>
        <w:t>LGBT</w:t>
      </w:r>
      <w:r>
        <w:rPr>
          <w:spacing w:val="-5"/>
          <w:sz w:val="18"/>
        </w:rPr>
        <w:t xml:space="preserve"> </w:t>
      </w:r>
      <w:r>
        <w:rPr>
          <w:sz w:val="18"/>
        </w:rPr>
        <w:t>Students”;</w:t>
      </w:r>
      <w:r>
        <w:rPr>
          <w:spacing w:val="-3"/>
          <w:sz w:val="18"/>
        </w:rPr>
        <w:t xml:space="preserve"> </w:t>
      </w:r>
      <w:r>
        <w:rPr>
          <w:sz w:val="18"/>
        </w:rPr>
        <w:t>Greytak,</w:t>
      </w:r>
      <w:r>
        <w:rPr>
          <w:spacing w:val="-3"/>
          <w:sz w:val="18"/>
        </w:rPr>
        <w:t xml:space="preserve"> </w:t>
      </w:r>
      <w:r>
        <w:rPr>
          <w:sz w:val="18"/>
        </w:rPr>
        <w:t xml:space="preserve">Kosciw, and Gay, </w:t>
      </w:r>
      <w:r>
        <w:rPr>
          <w:i/>
          <w:sz w:val="18"/>
        </w:rPr>
        <w:t>Year One Evaluation of the New York City Department of</w:t>
      </w:r>
      <w:r>
        <w:rPr>
          <w:i/>
          <w:spacing w:val="-1"/>
          <w:sz w:val="18"/>
        </w:rPr>
        <w:t xml:space="preserve"> </w:t>
      </w:r>
      <w:r>
        <w:rPr>
          <w:i/>
          <w:sz w:val="18"/>
        </w:rPr>
        <w:t>Education"Respect for All" Training Program.</w:t>
      </w:r>
      <w:r>
        <w:rPr>
          <w:sz w:val="18"/>
        </w:rPr>
        <w:t>; Parkhouse, Lu, and Massaro, “Multicultural Education Professional Development.”</w:t>
      </w:r>
    </w:p>
    <w:p w:rsidR="00200FDA" w:rsidRDefault="00F76C4C">
      <w:pPr>
        <w:spacing w:line="218" w:lineRule="exact"/>
        <w:ind w:left="140"/>
        <w:rPr>
          <w:sz w:val="18"/>
        </w:rPr>
      </w:pPr>
      <w:r>
        <w:rPr>
          <w:position w:val="5"/>
          <w:sz w:val="12"/>
        </w:rPr>
        <w:t>57</w:t>
      </w:r>
      <w:r>
        <w:rPr>
          <w:spacing w:val="9"/>
          <w:position w:val="5"/>
          <w:sz w:val="12"/>
        </w:rPr>
        <w:t xml:space="preserve"> </w:t>
      </w:r>
      <w:r>
        <w:rPr>
          <w:sz w:val="18"/>
        </w:rPr>
        <w:t>Szalacha,</w:t>
      </w:r>
      <w:r>
        <w:rPr>
          <w:spacing w:val="-3"/>
          <w:sz w:val="18"/>
        </w:rPr>
        <w:t xml:space="preserve"> </w:t>
      </w:r>
      <w:r>
        <w:rPr>
          <w:sz w:val="18"/>
        </w:rPr>
        <w:t>“Sa</w:t>
      </w:r>
      <w:r>
        <w:rPr>
          <w:sz w:val="18"/>
        </w:rPr>
        <w:t>fer</w:t>
      </w:r>
      <w:r>
        <w:rPr>
          <w:spacing w:val="-3"/>
          <w:sz w:val="18"/>
        </w:rPr>
        <w:t xml:space="preserve"> </w:t>
      </w:r>
      <w:r>
        <w:rPr>
          <w:sz w:val="18"/>
        </w:rPr>
        <w:t>Sexual</w:t>
      </w:r>
      <w:r>
        <w:rPr>
          <w:spacing w:val="-4"/>
          <w:sz w:val="18"/>
        </w:rPr>
        <w:t xml:space="preserve"> </w:t>
      </w:r>
      <w:r>
        <w:rPr>
          <w:sz w:val="18"/>
        </w:rPr>
        <w:t xml:space="preserve">Diversity </w:t>
      </w:r>
      <w:r>
        <w:rPr>
          <w:spacing w:val="-2"/>
          <w:sz w:val="18"/>
        </w:rPr>
        <w:t>Climates.”</w:t>
      </w:r>
    </w:p>
    <w:p w:rsidR="00200FDA" w:rsidRDefault="00200FDA">
      <w:pPr>
        <w:spacing w:line="218" w:lineRule="exact"/>
        <w:rPr>
          <w:sz w:val="18"/>
        </w:rPr>
        <w:sectPr w:rsidR="00200FDA">
          <w:pgSz w:w="12240" w:h="15840"/>
          <w:pgMar w:top="1360" w:right="1300" w:bottom="1380" w:left="1300" w:header="761" w:footer="1132" w:gutter="0"/>
          <w:cols w:space="720"/>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spacing w:before="2"/>
        <w:rPr>
          <w:sz w:val="19"/>
        </w:rPr>
      </w:pPr>
    </w:p>
    <w:p w:rsidR="00200FDA" w:rsidRDefault="00F76C4C">
      <w:pPr>
        <w:spacing w:before="107"/>
        <w:ind w:left="874"/>
        <w:rPr>
          <w:sz w:val="34"/>
        </w:rPr>
      </w:pPr>
      <w:bookmarkStart w:id="178" w:name="Education.pdf"/>
      <w:bookmarkEnd w:id="178"/>
      <w:r>
        <w:rPr>
          <w:color w:val="FFFFFF"/>
          <w:w w:val="120"/>
          <w:sz w:val="34"/>
        </w:rPr>
        <w:t>COMMISSION</w:t>
      </w:r>
      <w:r>
        <w:rPr>
          <w:color w:val="FFFFFF"/>
          <w:spacing w:val="17"/>
          <w:w w:val="120"/>
          <w:sz w:val="34"/>
        </w:rPr>
        <w:t xml:space="preserve"> </w:t>
      </w:r>
      <w:r>
        <w:rPr>
          <w:color w:val="FFFFFF"/>
          <w:w w:val="120"/>
          <w:sz w:val="34"/>
        </w:rPr>
        <w:t>ON</w:t>
      </w:r>
      <w:r>
        <w:rPr>
          <w:color w:val="FFFFFF"/>
          <w:spacing w:val="17"/>
          <w:w w:val="120"/>
          <w:sz w:val="34"/>
        </w:rPr>
        <w:t xml:space="preserve"> </w:t>
      </w:r>
      <w:r>
        <w:rPr>
          <w:color w:val="FFFFFF"/>
          <w:w w:val="120"/>
          <w:sz w:val="34"/>
        </w:rPr>
        <w:t>LGBTQ</w:t>
      </w:r>
      <w:r>
        <w:rPr>
          <w:color w:val="FFFFFF"/>
          <w:spacing w:val="17"/>
          <w:w w:val="120"/>
          <w:sz w:val="34"/>
        </w:rPr>
        <w:t xml:space="preserve"> </w:t>
      </w:r>
      <w:r>
        <w:rPr>
          <w:color w:val="FFFFFF"/>
          <w:spacing w:val="-2"/>
          <w:w w:val="120"/>
          <w:sz w:val="34"/>
        </w:rPr>
        <w:t>YOUTH</w:t>
      </w:r>
    </w:p>
    <w:p w:rsidR="00200FDA" w:rsidRDefault="00F76C4C">
      <w:pPr>
        <w:pStyle w:val="Heading1"/>
        <w:spacing w:line="216" w:lineRule="auto"/>
        <w:ind w:left="874"/>
      </w:pPr>
      <w:r>
        <w:rPr>
          <w:color w:val="FFFFFF"/>
          <w:spacing w:val="-2"/>
          <w:w w:val="125"/>
        </w:rPr>
        <w:t>UPLIFTING EDUCATION</w:t>
      </w: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spacing w:before="11"/>
        <w:rPr>
          <w:b/>
          <w:sz w:val="21"/>
        </w:rPr>
      </w:pPr>
    </w:p>
    <w:p w:rsidR="00200FDA" w:rsidRDefault="00200FDA">
      <w:pPr>
        <w:rPr>
          <w:sz w:val="21"/>
        </w:rPr>
        <w:sectPr w:rsidR="00200FDA">
          <w:headerReference w:type="default" r:id="rId164"/>
          <w:footerReference w:type="default" r:id="rId165"/>
          <w:pgSz w:w="12240" w:h="15840"/>
          <w:pgMar w:top="0" w:right="1260" w:bottom="280" w:left="720" w:header="0" w:footer="0" w:gutter="0"/>
          <w:cols w:space="720"/>
        </w:sectPr>
      </w:pPr>
    </w:p>
    <w:p w:rsidR="00200FDA" w:rsidRDefault="00F76C4C">
      <w:pPr>
        <w:pStyle w:val="Heading6"/>
        <w:ind w:left="357"/>
        <w:jc w:val="left"/>
      </w:pPr>
      <w:r>
        <w:rPr>
          <w:spacing w:val="11"/>
          <w:w w:val="125"/>
        </w:rPr>
        <w:t>ABOUT</w:t>
      </w:r>
    </w:p>
    <w:p w:rsidR="00200FDA" w:rsidRDefault="00F76C4C">
      <w:pPr>
        <w:spacing w:before="44" w:line="268" w:lineRule="auto"/>
        <w:ind w:left="523"/>
        <w:rPr>
          <w:rFonts w:ascii="Georgia"/>
          <w:sz w:val="24"/>
        </w:rPr>
      </w:pPr>
      <w:r>
        <w:rPr>
          <w:rFonts w:ascii="Georgia"/>
          <w:sz w:val="24"/>
        </w:rPr>
        <w:t>This report highlights key findings both locally and nationally that illustrate what is proven to create safer, more supportive schools for LGBTQ+</w:t>
      </w:r>
      <w:r>
        <w:rPr>
          <w:rFonts w:ascii="Georgia"/>
          <w:spacing w:val="-2"/>
          <w:sz w:val="24"/>
        </w:rPr>
        <w:t xml:space="preserve"> </w:t>
      </w:r>
      <w:r>
        <w:rPr>
          <w:rFonts w:ascii="Georgia"/>
          <w:sz w:val="24"/>
        </w:rPr>
        <w:t>youth,</w:t>
      </w:r>
      <w:r>
        <w:rPr>
          <w:rFonts w:ascii="Georgia"/>
          <w:spacing w:val="-2"/>
          <w:sz w:val="24"/>
        </w:rPr>
        <w:t xml:space="preserve"> </w:t>
      </w:r>
      <w:r>
        <w:rPr>
          <w:rFonts w:ascii="Georgia"/>
          <w:sz w:val="24"/>
        </w:rPr>
        <w:t>educators,</w:t>
      </w:r>
      <w:r>
        <w:rPr>
          <w:rFonts w:ascii="Georgia"/>
          <w:spacing w:val="-2"/>
          <w:sz w:val="24"/>
        </w:rPr>
        <w:t xml:space="preserve"> </w:t>
      </w:r>
      <w:r>
        <w:rPr>
          <w:rFonts w:ascii="Georgia"/>
          <w:sz w:val="24"/>
        </w:rPr>
        <w:t>and</w:t>
      </w:r>
      <w:r>
        <w:rPr>
          <w:rFonts w:ascii="Georgia"/>
          <w:spacing w:val="-2"/>
          <w:sz w:val="24"/>
        </w:rPr>
        <w:t xml:space="preserve"> </w:t>
      </w:r>
      <w:r>
        <w:rPr>
          <w:rFonts w:ascii="Georgia"/>
          <w:sz w:val="24"/>
        </w:rPr>
        <w:t>families</w:t>
      </w:r>
      <w:r>
        <w:rPr>
          <w:rFonts w:ascii="Georgia"/>
          <w:spacing w:val="-2"/>
          <w:sz w:val="24"/>
        </w:rPr>
        <w:t xml:space="preserve"> </w:t>
      </w:r>
      <w:r>
        <w:rPr>
          <w:rFonts w:ascii="Georgia"/>
          <w:sz w:val="24"/>
        </w:rPr>
        <w:t>so</w:t>
      </w:r>
      <w:r>
        <w:rPr>
          <w:rFonts w:ascii="Georgia"/>
          <w:spacing w:val="-2"/>
          <w:sz w:val="24"/>
        </w:rPr>
        <w:t xml:space="preserve"> </w:t>
      </w:r>
      <w:r>
        <w:rPr>
          <w:rFonts w:ascii="Georgia"/>
          <w:sz w:val="24"/>
        </w:rPr>
        <w:t xml:space="preserve">they can access joy, well-being, and successful </w:t>
      </w:r>
      <w:r>
        <w:rPr>
          <w:rFonts w:ascii="Georgia"/>
          <w:spacing w:val="-2"/>
          <w:sz w:val="24"/>
        </w:rPr>
        <w:t>futures.</w:t>
      </w:r>
    </w:p>
    <w:p w:rsidR="00200FDA" w:rsidRDefault="00200FDA">
      <w:pPr>
        <w:pStyle w:val="BodyText"/>
        <w:rPr>
          <w:rFonts w:ascii="Georgia"/>
          <w:sz w:val="26"/>
        </w:rPr>
      </w:pPr>
    </w:p>
    <w:p w:rsidR="00200FDA" w:rsidRDefault="00200FDA">
      <w:pPr>
        <w:pStyle w:val="BodyText"/>
        <w:spacing w:before="2"/>
        <w:rPr>
          <w:rFonts w:ascii="Georgia"/>
          <w:sz w:val="32"/>
        </w:rPr>
      </w:pPr>
    </w:p>
    <w:p w:rsidR="00200FDA" w:rsidRDefault="00F76C4C">
      <w:pPr>
        <w:pStyle w:val="Heading6"/>
        <w:spacing w:before="0"/>
        <w:ind w:left="357"/>
        <w:jc w:val="left"/>
      </w:pPr>
      <w:r>
        <w:rPr>
          <w:spacing w:val="13"/>
          <w:w w:val="125"/>
        </w:rPr>
        <w:t>RECOMMENDATIONS</w:t>
      </w:r>
    </w:p>
    <w:p w:rsidR="00200FDA" w:rsidRDefault="00F76C4C">
      <w:pPr>
        <w:spacing w:before="98" w:line="278" w:lineRule="auto"/>
        <w:ind w:left="1083"/>
        <w:rPr>
          <w:rFonts w:ascii="Georgia"/>
          <w:sz w:val="19"/>
        </w:rPr>
      </w:pPr>
      <w:r>
        <w:rPr>
          <w:rFonts w:ascii="Georgia"/>
          <w:w w:val="105"/>
          <w:sz w:val="19"/>
        </w:rPr>
        <w:t>Advise</w:t>
      </w:r>
      <w:r>
        <w:rPr>
          <w:rFonts w:ascii="Georgia"/>
          <w:spacing w:val="-11"/>
          <w:w w:val="105"/>
          <w:sz w:val="19"/>
        </w:rPr>
        <w:t xml:space="preserve"> </w:t>
      </w:r>
      <w:r>
        <w:rPr>
          <w:rFonts w:ascii="Georgia"/>
          <w:w w:val="105"/>
          <w:sz w:val="19"/>
        </w:rPr>
        <w:t>administrators</w:t>
      </w:r>
      <w:r>
        <w:rPr>
          <w:rFonts w:ascii="Georgia"/>
          <w:spacing w:val="-11"/>
          <w:w w:val="105"/>
          <w:sz w:val="19"/>
        </w:rPr>
        <w:t xml:space="preserve"> </w:t>
      </w:r>
      <w:r>
        <w:rPr>
          <w:rFonts w:ascii="Georgia"/>
          <w:w w:val="105"/>
          <w:sz w:val="19"/>
        </w:rPr>
        <w:t>and</w:t>
      </w:r>
      <w:r>
        <w:rPr>
          <w:rFonts w:ascii="Georgia"/>
          <w:spacing w:val="-11"/>
          <w:w w:val="105"/>
          <w:sz w:val="19"/>
        </w:rPr>
        <w:t xml:space="preserve"> </w:t>
      </w:r>
      <w:r>
        <w:rPr>
          <w:rFonts w:ascii="Georgia"/>
          <w:w w:val="105"/>
          <w:sz w:val="19"/>
        </w:rPr>
        <w:t>educators</w:t>
      </w:r>
      <w:r>
        <w:rPr>
          <w:rFonts w:ascii="Georgia"/>
          <w:spacing w:val="-11"/>
          <w:w w:val="105"/>
          <w:sz w:val="19"/>
        </w:rPr>
        <w:t xml:space="preserve"> </w:t>
      </w:r>
      <w:r>
        <w:rPr>
          <w:rFonts w:ascii="Georgia"/>
          <w:w w:val="105"/>
          <w:sz w:val="19"/>
        </w:rPr>
        <w:t>to</w:t>
      </w:r>
      <w:r>
        <w:rPr>
          <w:rFonts w:ascii="Georgia"/>
          <w:spacing w:val="-11"/>
          <w:w w:val="105"/>
          <w:sz w:val="19"/>
        </w:rPr>
        <w:t xml:space="preserve"> </w:t>
      </w:r>
      <w:r>
        <w:rPr>
          <w:rFonts w:ascii="Georgia"/>
          <w:w w:val="105"/>
          <w:sz w:val="19"/>
        </w:rPr>
        <w:t xml:space="preserve">proactively voice support of LGBTQ materials, and establish statewide process guidelines for challenged book </w:t>
      </w:r>
      <w:r>
        <w:rPr>
          <w:rFonts w:ascii="Georgia"/>
          <w:spacing w:val="-2"/>
          <w:w w:val="105"/>
          <w:sz w:val="19"/>
        </w:rPr>
        <w:t>reviews.</w:t>
      </w:r>
    </w:p>
    <w:p w:rsidR="00200FDA" w:rsidRDefault="00F76C4C">
      <w:pPr>
        <w:spacing w:before="447"/>
        <w:ind w:left="359" w:right="105"/>
        <w:jc w:val="center"/>
        <w:rPr>
          <w:b/>
          <w:sz w:val="77"/>
        </w:rPr>
      </w:pPr>
      <w:r>
        <w:br w:type="column"/>
      </w:r>
      <w:r>
        <w:rPr>
          <w:b/>
          <w:emboss/>
          <w:color w:val="EC3105"/>
          <w:spacing w:val="20"/>
          <w:w w:val="120"/>
          <w:sz w:val="77"/>
        </w:rPr>
        <w:t>58%</w:t>
      </w:r>
    </w:p>
    <w:p w:rsidR="00200FDA" w:rsidRDefault="00F76C4C">
      <w:pPr>
        <w:pStyle w:val="BodyText"/>
        <w:spacing w:before="20" w:line="266" w:lineRule="auto"/>
        <w:ind w:left="395" w:right="139"/>
        <w:jc w:val="center"/>
        <w:rPr>
          <w:rFonts w:ascii="Georgia"/>
        </w:rPr>
      </w:pPr>
      <w:r>
        <w:rPr>
          <w:rFonts w:ascii="Georgia"/>
        </w:rPr>
        <w:t>of LGBTQ students reported hearing homophobic remarks from teachers and staff</w:t>
      </w:r>
    </w:p>
    <w:p w:rsidR="00200FDA" w:rsidRDefault="00200FDA">
      <w:pPr>
        <w:pStyle w:val="BodyText"/>
        <w:rPr>
          <w:rFonts w:ascii="Georgia"/>
          <w:sz w:val="24"/>
        </w:rPr>
      </w:pPr>
    </w:p>
    <w:p w:rsidR="00200FDA" w:rsidRDefault="00200FDA">
      <w:pPr>
        <w:pStyle w:val="BodyText"/>
        <w:spacing w:before="6"/>
        <w:rPr>
          <w:rFonts w:ascii="Georgia"/>
          <w:sz w:val="29"/>
        </w:rPr>
      </w:pPr>
    </w:p>
    <w:p w:rsidR="00200FDA" w:rsidRDefault="00F76C4C">
      <w:pPr>
        <w:pStyle w:val="Heading3"/>
        <w:spacing w:before="1"/>
        <w:ind w:left="361" w:right="31"/>
        <w:jc w:val="center"/>
      </w:pPr>
      <w:r>
        <w:rPr>
          <w:emboss/>
          <w:color w:val="EC3105"/>
          <w:spacing w:val="19"/>
          <w:w w:val="120"/>
        </w:rPr>
        <w:t>70%</w:t>
      </w:r>
    </w:p>
    <w:p w:rsidR="00200FDA" w:rsidRDefault="00F76C4C">
      <w:pPr>
        <w:pStyle w:val="BodyText"/>
        <w:spacing w:before="66" w:line="266" w:lineRule="auto"/>
        <w:ind w:left="361" w:right="105"/>
        <w:jc w:val="center"/>
        <w:rPr>
          <w:rFonts w:ascii="Georgia"/>
        </w:rPr>
      </w:pPr>
      <w:r>
        <w:rPr>
          <w:rFonts w:ascii="Georgia"/>
        </w:rPr>
        <w:t xml:space="preserve">of LGBTQ+ students report being the </w:t>
      </w:r>
      <w:r>
        <w:rPr>
          <w:rFonts w:ascii="Georgia"/>
          <w:w w:val="105"/>
        </w:rPr>
        <w:t>victim of bullying</w:t>
      </w:r>
    </w:p>
    <w:p w:rsidR="00200FDA" w:rsidRDefault="00200FDA">
      <w:pPr>
        <w:spacing w:line="266" w:lineRule="auto"/>
        <w:jc w:val="center"/>
        <w:rPr>
          <w:rFonts w:ascii="Georgia"/>
        </w:rPr>
        <w:sectPr w:rsidR="00200FDA">
          <w:type w:val="continuous"/>
          <w:pgSz w:w="12240" w:h="15840"/>
          <w:pgMar w:top="720" w:right="1260" w:bottom="280" w:left="720" w:header="0" w:footer="0" w:gutter="0"/>
          <w:cols w:num="2" w:space="720" w:equalWidth="0">
            <w:col w:w="5598" w:space="537"/>
            <w:col w:w="4125"/>
          </w:cols>
        </w:sectPr>
      </w:pPr>
    </w:p>
    <w:p w:rsidR="00200FDA" w:rsidRDefault="00200FDA">
      <w:pPr>
        <w:pStyle w:val="BodyText"/>
        <w:spacing w:before="1"/>
        <w:rPr>
          <w:rFonts w:ascii="Georgia"/>
          <w:sz w:val="12"/>
        </w:rPr>
      </w:pPr>
    </w:p>
    <w:p w:rsidR="00200FDA" w:rsidRDefault="00200FDA">
      <w:pPr>
        <w:rPr>
          <w:rFonts w:ascii="Georgia"/>
          <w:sz w:val="12"/>
        </w:rPr>
        <w:sectPr w:rsidR="00200FDA">
          <w:type w:val="continuous"/>
          <w:pgSz w:w="12240" w:h="15840"/>
          <w:pgMar w:top="720" w:right="1260" w:bottom="280" w:left="720" w:header="0" w:footer="0" w:gutter="0"/>
          <w:cols w:space="720"/>
        </w:sectPr>
      </w:pPr>
    </w:p>
    <w:p w:rsidR="00200FDA" w:rsidRDefault="00F76C4C">
      <w:pPr>
        <w:spacing w:before="102" w:line="278" w:lineRule="auto"/>
        <w:ind w:left="1083"/>
        <w:rPr>
          <w:rFonts w:ascii="Georgia"/>
          <w:sz w:val="19"/>
        </w:rPr>
      </w:pPr>
      <w:r>
        <w:rPr>
          <w:rFonts w:ascii="Georgia"/>
          <w:w w:val="105"/>
          <w:sz w:val="19"/>
        </w:rPr>
        <w:t xml:space="preserve">Ensure that all subject areas are reflective of </w:t>
      </w:r>
      <w:r>
        <w:rPr>
          <w:rFonts w:ascii="Georgia"/>
          <w:spacing w:val="-2"/>
          <w:w w:val="105"/>
          <w:sz w:val="19"/>
        </w:rPr>
        <w:t>LGBTQ</w:t>
      </w:r>
      <w:r>
        <w:rPr>
          <w:rFonts w:ascii="Georgia"/>
          <w:spacing w:val="-7"/>
          <w:w w:val="105"/>
          <w:sz w:val="19"/>
        </w:rPr>
        <w:t xml:space="preserve"> </w:t>
      </w:r>
      <w:r>
        <w:rPr>
          <w:rFonts w:ascii="Georgia"/>
          <w:spacing w:val="-2"/>
          <w:w w:val="105"/>
          <w:sz w:val="19"/>
        </w:rPr>
        <w:t>&amp;</w:t>
      </w:r>
      <w:r>
        <w:rPr>
          <w:rFonts w:ascii="Georgia"/>
          <w:spacing w:val="-7"/>
          <w:w w:val="105"/>
          <w:sz w:val="19"/>
        </w:rPr>
        <w:t xml:space="preserve"> </w:t>
      </w:r>
      <w:r>
        <w:rPr>
          <w:rFonts w:ascii="Georgia"/>
          <w:spacing w:val="-2"/>
          <w:w w:val="105"/>
          <w:sz w:val="19"/>
        </w:rPr>
        <w:t>BIPOC</w:t>
      </w:r>
      <w:r>
        <w:rPr>
          <w:rFonts w:ascii="Georgia"/>
          <w:spacing w:val="-7"/>
          <w:w w:val="105"/>
          <w:sz w:val="19"/>
        </w:rPr>
        <w:t xml:space="preserve"> </w:t>
      </w:r>
      <w:r>
        <w:rPr>
          <w:rFonts w:ascii="Georgia"/>
          <w:spacing w:val="-2"/>
          <w:w w:val="105"/>
          <w:sz w:val="19"/>
        </w:rPr>
        <w:t>individuals,</w:t>
      </w:r>
      <w:r>
        <w:rPr>
          <w:rFonts w:ascii="Georgia"/>
          <w:spacing w:val="-7"/>
          <w:w w:val="105"/>
          <w:sz w:val="19"/>
        </w:rPr>
        <w:t xml:space="preserve"> </w:t>
      </w:r>
      <w:r>
        <w:rPr>
          <w:rFonts w:ascii="Georgia"/>
          <w:spacing w:val="-2"/>
          <w:w w:val="105"/>
          <w:sz w:val="19"/>
        </w:rPr>
        <w:t>historical</w:t>
      </w:r>
      <w:r>
        <w:rPr>
          <w:rFonts w:ascii="Georgia"/>
          <w:spacing w:val="-7"/>
          <w:w w:val="105"/>
          <w:sz w:val="19"/>
        </w:rPr>
        <w:t xml:space="preserve"> </w:t>
      </w:r>
      <w:r>
        <w:rPr>
          <w:rFonts w:ascii="Georgia"/>
          <w:spacing w:val="-2"/>
          <w:w w:val="105"/>
          <w:sz w:val="19"/>
        </w:rPr>
        <w:t>events,</w:t>
      </w:r>
      <w:r>
        <w:rPr>
          <w:rFonts w:ascii="Georgia"/>
          <w:spacing w:val="-7"/>
          <w:w w:val="105"/>
          <w:sz w:val="19"/>
        </w:rPr>
        <w:t xml:space="preserve"> </w:t>
      </w:r>
      <w:r>
        <w:rPr>
          <w:rFonts w:ascii="Georgia"/>
          <w:spacing w:val="-2"/>
          <w:w w:val="105"/>
          <w:sz w:val="19"/>
        </w:rPr>
        <w:t>and concepts.</w:t>
      </w:r>
    </w:p>
    <w:p w:rsidR="00200FDA" w:rsidRDefault="00200FDA">
      <w:pPr>
        <w:pStyle w:val="BodyText"/>
        <w:rPr>
          <w:rFonts w:ascii="Georgia"/>
        </w:rPr>
      </w:pPr>
    </w:p>
    <w:p w:rsidR="00200FDA" w:rsidRDefault="00F76C4C">
      <w:pPr>
        <w:spacing w:before="148" w:line="278" w:lineRule="auto"/>
        <w:ind w:left="1083"/>
        <w:rPr>
          <w:rFonts w:ascii="Georgia"/>
          <w:sz w:val="19"/>
        </w:rPr>
      </w:pPr>
      <w:r>
        <w:rPr>
          <w:rFonts w:ascii="Georgia"/>
          <w:spacing w:val="-2"/>
          <w:w w:val="105"/>
          <w:sz w:val="19"/>
        </w:rPr>
        <w:t xml:space="preserve">Mandate annual professional development for all </w:t>
      </w:r>
      <w:r>
        <w:rPr>
          <w:rFonts w:ascii="Georgia"/>
          <w:spacing w:val="-2"/>
          <w:w w:val="105"/>
          <w:sz w:val="19"/>
        </w:rPr>
        <w:t>educators.</w:t>
      </w:r>
    </w:p>
    <w:p w:rsidR="00200FDA" w:rsidRDefault="00F76C4C">
      <w:pPr>
        <w:spacing w:before="186"/>
        <w:ind w:left="1008" w:right="172"/>
        <w:jc w:val="center"/>
        <w:rPr>
          <w:b/>
          <w:sz w:val="75"/>
        </w:rPr>
      </w:pPr>
      <w:r>
        <w:br w:type="column"/>
      </w:r>
      <w:r>
        <w:rPr>
          <w:b/>
          <w:emboss/>
          <w:color w:val="EC3105"/>
          <w:spacing w:val="19"/>
          <w:w w:val="115"/>
          <w:sz w:val="75"/>
        </w:rPr>
        <w:t>82%</w:t>
      </w:r>
    </w:p>
    <w:p w:rsidR="00200FDA" w:rsidRDefault="00F76C4C">
      <w:pPr>
        <w:pStyle w:val="BodyText"/>
        <w:spacing w:before="64" w:line="266" w:lineRule="auto"/>
        <w:ind w:left="1010" w:right="172"/>
        <w:jc w:val="center"/>
        <w:rPr>
          <w:rFonts w:ascii="Georgia"/>
        </w:rPr>
      </w:pPr>
      <w:r>
        <w:rPr>
          <w:rFonts w:ascii="Georgia"/>
        </w:rPr>
        <w:t xml:space="preserve">of LGBTQ+ youth report not feeling </w:t>
      </w:r>
      <w:r>
        <w:rPr>
          <w:rFonts w:ascii="Georgia"/>
          <w:w w:val="105"/>
        </w:rPr>
        <w:t>safe</w:t>
      </w:r>
      <w:r>
        <w:rPr>
          <w:rFonts w:ascii="Georgia"/>
          <w:spacing w:val="-3"/>
          <w:w w:val="105"/>
        </w:rPr>
        <w:t xml:space="preserve"> </w:t>
      </w:r>
      <w:r>
        <w:rPr>
          <w:rFonts w:ascii="Georgia"/>
          <w:w w:val="105"/>
        </w:rPr>
        <w:t>in</w:t>
      </w:r>
      <w:r>
        <w:rPr>
          <w:rFonts w:ascii="Georgia"/>
          <w:spacing w:val="-3"/>
          <w:w w:val="105"/>
        </w:rPr>
        <w:t xml:space="preserve"> </w:t>
      </w:r>
      <w:r>
        <w:rPr>
          <w:rFonts w:ascii="Georgia"/>
          <w:w w:val="105"/>
        </w:rPr>
        <w:t>school</w:t>
      </w:r>
      <w:r>
        <w:rPr>
          <w:rFonts w:ascii="Georgia"/>
          <w:spacing w:val="-3"/>
          <w:w w:val="105"/>
        </w:rPr>
        <w:t xml:space="preserve"> </w:t>
      </w:r>
      <w:r>
        <w:rPr>
          <w:rFonts w:ascii="Georgia"/>
          <w:w w:val="105"/>
        </w:rPr>
        <w:t>due</w:t>
      </w:r>
      <w:r>
        <w:rPr>
          <w:rFonts w:ascii="Georgia"/>
          <w:spacing w:val="-3"/>
          <w:w w:val="105"/>
        </w:rPr>
        <w:t xml:space="preserve"> </w:t>
      </w:r>
      <w:r>
        <w:rPr>
          <w:rFonts w:ascii="Georgia"/>
          <w:w w:val="105"/>
        </w:rPr>
        <w:t>to</w:t>
      </w:r>
      <w:r>
        <w:rPr>
          <w:rFonts w:ascii="Georgia"/>
          <w:spacing w:val="-3"/>
          <w:w w:val="105"/>
        </w:rPr>
        <w:t xml:space="preserve"> </w:t>
      </w:r>
      <w:r>
        <w:rPr>
          <w:rFonts w:ascii="Georgia"/>
          <w:w w:val="105"/>
        </w:rPr>
        <w:t>their</w:t>
      </w:r>
      <w:r>
        <w:rPr>
          <w:rFonts w:ascii="Georgia"/>
          <w:spacing w:val="-3"/>
          <w:w w:val="105"/>
        </w:rPr>
        <w:t xml:space="preserve"> </w:t>
      </w:r>
      <w:r>
        <w:rPr>
          <w:rFonts w:ascii="Georgia"/>
          <w:w w:val="105"/>
        </w:rPr>
        <w:t xml:space="preserve">physical </w:t>
      </w:r>
      <w:r>
        <w:rPr>
          <w:rFonts w:ascii="Georgia"/>
          <w:spacing w:val="-2"/>
          <w:w w:val="105"/>
        </w:rPr>
        <w:t>appearance</w:t>
      </w:r>
    </w:p>
    <w:p w:rsidR="00200FDA" w:rsidRDefault="00200FDA">
      <w:pPr>
        <w:spacing w:line="266" w:lineRule="auto"/>
        <w:jc w:val="center"/>
        <w:rPr>
          <w:rFonts w:ascii="Georgia"/>
        </w:rPr>
        <w:sectPr w:rsidR="00200FDA">
          <w:type w:val="continuous"/>
          <w:pgSz w:w="12240" w:h="15840"/>
          <w:pgMar w:top="720" w:right="1260" w:bottom="280" w:left="720" w:header="0" w:footer="0" w:gutter="0"/>
          <w:cols w:num="2" w:space="720" w:equalWidth="0">
            <w:col w:w="5514" w:space="40"/>
            <w:col w:w="4706"/>
          </w:cols>
        </w:sectPr>
      </w:pPr>
    </w:p>
    <w:p w:rsidR="00200FDA" w:rsidRDefault="00F76C4C">
      <w:pPr>
        <w:pStyle w:val="BodyText"/>
        <w:spacing w:before="5"/>
        <w:rPr>
          <w:rFonts w:ascii="Georgia"/>
          <w:sz w:val="26"/>
        </w:rPr>
      </w:pPr>
      <w:r>
        <w:pict>
          <v:group id="docshapegroup193" o:spid="_x0000_s1348" style="position:absolute;margin-left:0;margin-top:0;width:609.9pt;height:574.4pt;z-index:-21320704;mso-position-horizontal-relative:page;mso-position-vertical-relative:page" coordsize="12198,11488">
            <v:shape id="docshape194" o:spid="_x0000_s1367" type="#_x0000_t75" style="position:absolute;width:12198;height:4912">
              <v:imagedata r:id="rId166" o:title=""/>
            </v:shape>
            <v:shape id="docshape195" o:spid="_x0000_s1366" type="#_x0000_t75" style="position:absolute;left:7839;top:1158;width:2333;height:2332">
              <v:imagedata r:id="rId143" o:title=""/>
            </v:shape>
            <v:shape id="docshape196" o:spid="_x0000_s1365" style="position:absolute;left:7818;top:1136;width:2375;height:2375" coordorigin="7818,1136" coordsize="2375,2375" o:spt="100" adj="0,,0" path="m9006,3511r-75,-2l8857,3502r-72,-11l8714,3475r-69,-20l8577,3431r-66,-27l8448,3372r-61,-35l8328,3298r-57,-41l8218,3211r-51,-48l8118,3112r-45,-54l8031,3002r-38,-59l7958,2882r-32,-64l7898,2752r-24,-67l7855,2616r-16,-71l7828,2473r-7,-74l7818,2324r3,-75l7828,2175r11,-72l7855,2032r19,-69l7898,1895r28,-65l7958,1766r35,-61l8031,1646r42,-56l8118,1536r49,-51l8218,1437r53,-46l8328,1350r59,-39l8448,1276r64,-32l8577,1217r68,-24l8714,1173r71,-16l8857,1146r74,-7l9006,1136r75,3l9155,1146r72,11l9298,1173r24,7l9006,1180r-75,2l8857,1189r-73,12l8714,1218r-69,20l8577,1263r-65,29l8449,1325r-60,36l8330,1401r-55,43l8222,1491r-49,50l8126,1593r-43,56l8043,1707r-37,60l7974,1830r-29,66l7920,1963r-21,69l7883,2103r-12,72l7864,2249r-2,75l7864,2399r7,74l7883,2545r16,71l7920,2685r25,67l7974,2818r32,63l8043,2941r40,58l8126,3055r47,52l8222,3157r53,47l8330,3247r59,40l8449,3323r63,33l8577,3385r68,25l8714,3430r70,17l8857,3459r74,7l9006,3468r316,l9298,3475r-71,16l9155,3502r-74,7l9006,3511xm9322,3468r-316,l9081,3466r74,-7l9227,3447r71,-17l9367,3410r67,-25l9499,3356r63,-33l9623,3287r58,-40l9737,3204r52,-47l9839,3107r47,-52l9929,2999r40,-58l10005,2881r33,-63l10067,2752r25,-67l10112,2616r17,-71l10140,2473r8,-74l10150,2324r-2,-75l10140,2175r-11,-72l10112,2032r-20,-69l10067,1896r-29,-66l10005,1767r-36,-60l9929,1649r-43,-56l9839,1541r-50,-50l9737,1444r-56,-43l9623,1361r-61,-36l9499,1292r-65,-29l9367,1238r-69,-20l9227,1201r-72,-12l9081,1182r-75,-2l9322,1180r45,13l9435,1217r65,27l9564,1276r61,35l9684,1350r56,41l9794,1437r51,48l9893,1536r45,54l9980,1646r39,59l10054,1766r31,64l10113,1896r24,67l10157,2032r16,71l10184,2175r7,74l10193,2324r-2,75l10184,2473r-11,72l10157,2616r-20,69l10113,2753r-28,65l10054,2882r-35,61l9980,3002r-42,56l9893,3112r-48,51l9794,3211r-54,46l9684,3298r-59,39l9564,3372r-64,32l9435,3431r-68,24l9322,3468xe" stroked="f">
              <v:stroke joinstyle="round"/>
              <v:formulas/>
              <v:path arrowok="t" o:connecttype="segments"/>
            </v:shape>
            <v:shape id="docshape197" o:spid="_x0000_s1364" style="position:absolute;left:7439;top:7275;width:1395;height:45" coordorigin="7439,7275" coordsize="1395,45" o:spt="100" adj="0,,0" path="m7574,7275r-135,l7439,7320r135,l7574,7275xm7754,7275r-135,l7619,7320r135,l7754,7275xm7934,7275r-135,l7799,7320r135,l7934,7275xm8114,7275r-135,l7979,7320r135,l8114,7275xm8294,7275r-135,l8159,7320r135,l8294,7275xm8473,7275r-135,l8338,7320r135,l8473,7275xm8653,7275r-135,l8518,7320r135,l8653,7275xm8833,7275r-135,l8698,7320r135,l8833,7275xe" fillcolor="#ec3105" stroked="f">
              <v:stroke joinstyle="round"/>
              <v:formulas/>
              <v:path arrowok="t" o:connecttype="segments"/>
            </v:shape>
            <v:shape id="docshape198" o:spid="_x0000_s1363" type="#_x0000_t75" style="position:absolute;left:839;top:4657;width:6555;height:6830">
              <v:imagedata r:id="rId167" o:title=""/>
            </v:shape>
            <v:shape id="docshape199" o:spid="_x0000_s1362" style="position:absolute;left:8878;top:7275;width:2387;height:45" coordorigin="8878,7275" coordsize="2387,45" o:spt="100" adj="0,,0" path="m9013,7275r-135,l8878,7320r135,l9013,7275xm9193,7275r-135,l9058,7320r135,l9193,7275xm9373,7275r-135,l9238,7320r135,l9373,7275xm9553,7275r-135,l9418,7320r135,l9553,7275xm9733,7275r-135,l9598,7320r135,l9733,7275xm9912,7275r-134,l9778,7320r134,l9912,7275xm10092,7275r-135,l9957,7320r135,l10092,7275xm10272,7275r-135,l10137,7320r135,l10272,7275xm10452,7275r-135,l10317,7320r135,l10452,7275xm10632,7275r-135,l10497,7320r135,l10632,7275xm10812,7275r-135,l10677,7320r135,l10812,7275xm10992,7275r-135,l10857,7320r135,l10992,7275xm11172,7275r-135,l11037,7320r135,l11172,7275xm11264,7275r-47,l11217,7320r47,l11264,7275xe" fillcolor="#ec3105" stroked="f">
              <v:stroke joinstyle="round"/>
              <v:formulas/>
              <v:path arrowok="t" o:connecttype="segments"/>
            </v:shape>
            <v:line id="_x0000_s1361" style="position:absolute" from="6861,9491" to="11226,9491" strokecolor="#ec3105" strokeweight="2.25pt">
              <v:stroke dashstyle="3 1"/>
            </v:line>
            <v:shape id="docshape200" o:spid="_x0000_s1360" style="position:absolute;left:6646;top:4419;width:1909;height:826" coordorigin="6646,4419" coordsize="1909,826" path="m7725,5244l6652,5036r-3,-4l6646,5022r8,-12l6680,4999r,-294l6675,4703r-12,-5l6653,4688r-1,-16l7506,4419r979,180l8504,4625r34,71l8555,4801r-36,131l8301,5017r-263,103l7818,5208r-93,36xe" fillcolor="#5c85bd" stroked="f">
              <v:path arrowok="t"/>
            </v:shape>
            <v:shape id="docshape201" o:spid="_x0000_s1359" style="position:absolute;left:7759;top:4779;width:307;height:418" coordorigin="7760,4779" coordsize="307,418" path="m7764,5197r41,-125l7799,4968r-25,-71l7760,4871r26,-9l7851,4839r81,-29l8005,4782r17,-3l8063,4901r3,97l8053,5063r-9,23l7764,5197xe" fillcolor="#3f5882" stroked="f">
              <v:path arrowok="t"/>
            </v:shape>
            <v:shape id="docshape202" o:spid="_x0000_s1358" style="position:absolute;left:6673;top:4704;width:1089;height:491" coordorigin="6673,4705" coordsize="1089,491" path="m7717,5195l6673,4999r,-294l6774,4720r255,39l7367,4814r350,63l7762,5011r-5,100l7732,5174r-15,21xe" fillcolor="#f1f1f1" stroked="f">
              <v:path arrowok="t"/>
            </v:shape>
            <v:shape id="docshape203" o:spid="_x0000_s1357" style="position:absolute;left:6673;top:4704;width:1091;height:491" coordorigin="6673,4705" coordsize="1091,491" path="m7717,5195l6673,4999r,-294l6867,4734r203,31l7311,4804r191,76l7617,4858r100,19l7754,4970r10,78l7757,5111r-17,46l7724,5186r-7,9xe" fillcolor="#d9d9d6" stroked="f">
              <v:path arrowok="t"/>
            </v:shape>
            <v:shape id="docshape204" o:spid="_x0000_s1356" style="position:absolute;left:6672;top:4054;width:1909;height:826" coordorigin="6673,4055" coordsize="1909,826" path="m7502,4880r-92,-37l7189,4756,6927,4653r-219,-85l6673,4437r16,-106l6723,4260r19,-25l7722,4055r854,266l8575,4336r-10,9l8553,4349r-6,1l8547,4635r27,11l8581,4658r-2,10l8576,4672,7502,4880xe" fillcolor="#ecb348" stroked="f">
              <v:path arrowok="t"/>
            </v:shape>
            <v:shape id="docshape205" o:spid="_x0000_s1355" style="position:absolute;left:6714;top:4270;width:1837;height:576" coordorigin="6715,4270" coordsize="1837,576" path="m7499,4845l6738,4547r-9,-23l6715,4463r3,-89l6762,4270r181,65l7193,4421r223,75l7512,4527,8552,4350r,285l7499,4845xe" fillcolor="#f1f1f1" stroked="f">
              <v:path arrowok="t"/>
            </v:shape>
            <v:shape id="docshape206" o:spid="_x0000_s1354" style="position:absolute;left:6712;top:4300;width:800;height:545" coordorigin="6713,4300" coordsize="800,545" path="m7499,4845l6738,4547r-21,-70l6713,4430r2,-30l6720,4369r9,-34l6744,4300r223,44l7149,4406r177,59l7460,4510r52,17l7499,4845xe" fillcolor="#d9d9d6" stroked="f">
              <v:path arrowok="t"/>
            </v:shape>
            <v:shape id="docshape207" o:spid="_x0000_s1353" style="position:absolute;left:6672;top:3670;width:1909;height:826" coordorigin="6673,3671" coordsize="1909,826" path="m7752,4496l6678,4288r-3,-4l6673,4274r7,-12l6707,4251r,-294l6701,3955r-11,-5l6679,3940r-1,-16l7532,3671r980,180l8531,3876r34,71l8581,4053r-35,130l8327,4269r-262,103l7844,4459r-92,37xe" fillcolor="#46ac95" stroked="f">
              <v:path arrowok="t"/>
            </v:shape>
            <v:shape id="docshape208" o:spid="_x0000_s1352" style="position:absolute;left:7532;top:3670;width:411;height:76" coordorigin="7532,3671" coordsize="411,76" path="m7943,3746r-411,-75l7943,3746xe" stroked="f">
              <v:path arrowok="t"/>
            </v:shape>
            <v:shape id="docshape209" o:spid="_x0000_s1351" style="position:absolute;left:6677;top:3670;width:1266;height:286" coordorigin="6677,3671" coordsize="1266,286" path="m6707,3957r-30,-7l6677,3929r1,-2l6678,3924r854,-253l7943,3746,6707,3957xe" fillcolor="#61bea8" stroked="f">
              <v:path arrowok="t"/>
            </v:shape>
            <v:shape id="docshape210" o:spid="_x0000_s1350" style="position:absolute;left:6699;top:3956;width:1089;height:491" coordorigin="6700,3957" coordsize="1089,491" path="m7743,4447l6700,4251r,-294l6801,3971r255,39l7394,4065r349,63l7788,4263r-5,100l7758,4425r-15,22xe" fillcolor="#f1f1f1" stroked="f">
              <v:path arrowok="t"/>
            </v:shape>
            <v:shape id="docshape211" o:spid="_x0000_s1349" style="position:absolute;left:7786;top:4032;width:311;height:415" coordorigin="7786,4033" coordsize="311,415" path="m7791,4447r41,-125l7826,4218r-25,-70l7786,4121r31,-10l7890,4085r89,-29l8055,4033r40,122l8096,4252r-16,65l8070,4341r-279,106xe" fillcolor="#9ddac7" stroked="f">
              <v:path arrowok="t"/>
            </v:shape>
            <w10:wrap anchorx="page" anchory="page"/>
          </v:group>
        </w:pict>
      </w:r>
      <w:r>
        <w:pict>
          <v:group id="docshapegroup212" o:spid="_x0000_s1339" style="position:absolute;margin-left:319.4pt;margin-top:588.6pt;width:269.75pt;height:173.8pt;z-index:15747072;mso-position-horizontal-relative:page;mso-position-vertical-relative:page" coordorigin="6388,11772" coordsize="5395,3476">
            <v:shape id="docshape213" o:spid="_x0000_s1347" type="#_x0000_t75" style="position:absolute;left:6387;top:11772;width:5235;height:2775">
              <v:imagedata r:id="rId168" o:title=""/>
            </v:shape>
            <v:shape id="docshape214" o:spid="_x0000_s1346" style="position:absolute;left:9698;top:13312;width:2084;height:1936" coordorigin="9698,13313" coordsize="2084,1936" path="m11782,13313l9699,15248r2083,l11782,14603r,-1290xe" fillcolor="#f7cd4d" stroked="f">
              <v:path arrowok="t"/>
            </v:shape>
            <v:shape id="docshape215" o:spid="_x0000_s1345" style="position:absolute;left:9698;top:13312;width:2084;height:1936" coordorigin="9698,13313" coordsize="2084,1936" path="m9698,15248r2084,-1935l11782,13623,9698,15248xe" fillcolor="#b079cc" stroked="f">
              <v:path arrowok="t"/>
            </v:shape>
            <v:shape id="docshape216" o:spid="_x0000_s1344" style="position:absolute;left:9698;top:13622;width:2084;height:1625" coordorigin="9698,13623" coordsize="2084,1625" path="m9698,15248r2084,-1625l11782,13950,9698,15248xe" fillcolor="#3c81da" stroked="f">
              <v:path arrowok="t"/>
            </v:shape>
            <v:shape id="docshape217" o:spid="_x0000_s1343" style="position:absolute;left:9698;top:13949;width:2084;height:1298" coordorigin="9698,13950" coordsize="2084,1298" o:spt="100" adj="0,,0" path="m9699,15247r2083,-1297l11782,14276r-2083,971xm9699,15248r,l9699,15247r,1xm9698,15248r,l9699,15248r-1,xe" fillcolor="#4d9e53" stroked="f">
              <v:stroke joinstyle="round"/>
              <v:formulas/>
              <v:path arrowok="t" o:connecttype="segments"/>
            </v:shape>
            <v:shape id="docshape218" o:spid="_x0000_s1342" style="position:absolute;left:9698;top:14276;width:2084;height:972" coordorigin="9698,14276" coordsize="2084,972" o:spt="100" adj="0,,0" path="m9699,15248r2083,-972l11782,14603r-2083,645xm9699,15248r-1,l9699,15248r,xm9698,15248r,l9698,15248r,xe" fillcolor="#f7cd4d" stroked="f">
              <v:stroke joinstyle="round"/>
              <v:formulas/>
              <v:path arrowok="t" o:connecttype="segments"/>
            </v:shape>
            <v:shape id="docshape219" o:spid="_x0000_s1341" style="position:absolute;left:9698;top:14603;width:2084;height:645" coordorigin="9698,14603" coordsize="2084,645" path="m9698,15248r2084,-645l11782,14922r-2084,326xe" fillcolor="#f67b28" stroked="f">
              <v:path arrowok="t"/>
            </v:shape>
            <v:shape id="docshape220" o:spid="_x0000_s1340" style="position:absolute;left:9698;top:15247;width:1945;height:2" coordorigin="9698,15248" coordsize="1945,0" path="m9698,15248r1945,l9698,15248xe" fillcolor="#dd2954" stroked="f">
              <v:path arrowok="t"/>
            </v:shape>
            <w10:wrap anchorx="page" anchory="page"/>
          </v:group>
        </w:pict>
      </w:r>
    </w:p>
    <w:p w:rsidR="00200FDA" w:rsidRDefault="00F76C4C">
      <w:pPr>
        <w:pStyle w:val="BodyText"/>
        <w:ind w:left="119"/>
        <w:rPr>
          <w:rFonts w:ascii="Georgia"/>
          <w:sz w:val="20"/>
        </w:rPr>
      </w:pPr>
      <w:r>
        <w:rPr>
          <w:rFonts w:ascii="Georgia"/>
          <w:sz w:val="20"/>
        </w:rPr>
      </w:r>
      <w:r>
        <w:rPr>
          <w:rFonts w:ascii="Georgia"/>
          <w:sz w:val="20"/>
        </w:rPr>
        <w:pict>
          <v:group id="docshapegroup221" o:spid="_x0000_s1336" style="width:273.15pt;height:143.2pt;mso-position-horizontal-relative:char;mso-position-vertical-relative:line" coordsize="5463,2864">
            <v:shape id="docshape222" o:spid="_x0000_s1338" style="position:absolute;width:5463;height:2864" coordsize="5463,2864" path="m4961,2864r-4449,l493,2863r-75,-16l348,2823r-66,-33l222,2749r-55,-48l119,2646,78,2586,45,2520,20,2449,5,2375,,2298,,570,5,493,20,418,45,348,78,282r41,-60l167,167r55,-48l282,78,348,45,418,20,493,5,570,,4904,r77,5l5055,20r70,25l5191,78r61,41l5307,167r48,55l5396,282r33,66l5453,418r10,47l5463,2403r-34,117l5396,2586r-41,60l5307,2701r-55,48l5191,2790r-66,33l5055,2847r-74,16l4961,2864xe" fillcolor="#f4e2d4" stroked="f">
              <v:fill opacity="36497f"/>
              <v:path arrowok="t"/>
            </v:shape>
            <v:shape id="docshape223" o:spid="_x0000_s1337" type="#_x0000_t202" style="position:absolute;width:5463;height:2864" filled="f" stroked="f">
              <v:textbox inset="0,0,0,0">
                <w:txbxContent>
                  <w:p w:rsidR="00200FDA" w:rsidRDefault="00F76C4C">
                    <w:pPr>
                      <w:spacing w:before="158"/>
                      <w:ind w:left="238"/>
                      <w:rPr>
                        <w:b/>
                        <w:i/>
                        <w:sz w:val="34"/>
                      </w:rPr>
                    </w:pPr>
                    <w:r>
                      <w:rPr>
                        <w:b/>
                        <w:i/>
                        <w:spacing w:val="11"/>
                        <w:w w:val="130"/>
                        <w:sz w:val="34"/>
                      </w:rPr>
                      <w:t>LEGISLATION</w:t>
                    </w:r>
                  </w:p>
                  <w:p w:rsidR="00200FDA" w:rsidRDefault="00F76C4C">
                    <w:pPr>
                      <w:spacing w:before="236" w:line="532" w:lineRule="auto"/>
                      <w:ind w:left="238"/>
                      <w:rPr>
                        <w:rFonts w:ascii="Georgia"/>
                      </w:rPr>
                    </w:pPr>
                    <w:r>
                      <w:rPr>
                        <w:rFonts w:ascii="Georgia"/>
                        <w:spacing w:val="-4"/>
                      </w:rPr>
                      <w:t xml:space="preserve">S.259/H.498: LGBTQ+ Inclusive Curriculum </w:t>
                    </w:r>
                    <w:r>
                      <w:rPr>
                        <w:rFonts w:ascii="Georgia"/>
                      </w:rPr>
                      <w:t>S.311/H.549: Educator Diversity</w:t>
                    </w:r>
                  </w:p>
                  <w:p w:rsidR="00200FDA" w:rsidRDefault="00F76C4C">
                    <w:pPr>
                      <w:spacing w:line="249" w:lineRule="exact"/>
                      <w:ind w:left="238"/>
                      <w:rPr>
                        <w:rFonts w:ascii="Georgia"/>
                      </w:rPr>
                    </w:pPr>
                    <w:r>
                      <w:rPr>
                        <w:rFonts w:ascii="Georgia"/>
                      </w:rPr>
                      <w:t>S.346:</w:t>
                    </w:r>
                    <w:r>
                      <w:rPr>
                        <w:rFonts w:ascii="Georgia"/>
                        <w:spacing w:val="-9"/>
                      </w:rPr>
                      <w:t xml:space="preserve"> </w:t>
                    </w:r>
                    <w:r>
                      <w:rPr>
                        <w:rFonts w:ascii="Georgia"/>
                      </w:rPr>
                      <w:t>Mental</w:t>
                    </w:r>
                    <w:r>
                      <w:rPr>
                        <w:rFonts w:ascii="Georgia"/>
                        <w:spacing w:val="-9"/>
                      </w:rPr>
                      <w:t xml:space="preserve"> </w:t>
                    </w:r>
                    <w:r>
                      <w:rPr>
                        <w:rFonts w:ascii="Georgia"/>
                      </w:rPr>
                      <w:t>Health</w:t>
                    </w:r>
                    <w:r>
                      <w:rPr>
                        <w:rFonts w:ascii="Georgia"/>
                        <w:spacing w:val="-9"/>
                      </w:rPr>
                      <w:t xml:space="preserve"> </w:t>
                    </w:r>
                    <w:r>
                      <w:rPr>
                        <w:rFonts w:ascii="Georgia"/>
                      </w:rPr>
                      <w:t>Supports</w:t>
                    </w:r>
                    <w:r>
                      <w:rPr>
                        <w:rFonts w:ascii="Georgia"/>
                        <w:spacing w:val="-9"/>
                      </w:rPr>
                      <w:t xml:space="preserve"> </w:t>
                    </w:r>
                    <w:r>
                      <w:rPr>
                        <w:rFonts w:ascii="Georgia"/>
                      </w:rPr>
                      <w:t>for</w:t>
                    </w:r>
                    <w:r>
                      <w:rPr>
                        <w:rFonts w:ascii="Georgia"/>
                        <w:spacing w:val="-9"/>
                      </w:rPr>
                      <w:t xml:space="preserve"> </w:t>
                    </w:r>
                    <w:r>
                      <w:rPr>
                        <w:rFonts w:ascii="Georgia"/>
                      </w:rPr>
                      <w:t>K-12</w:t>
                    </w:r>
                    <w:r>
                      <w:rPr>
                        <w:rFonts w:ascii="Georgia"/>
                        <w:spacing w:val="-9"/>
                      </w:rPr>
                      <w:t xml:space="preserve"> </w:t>
                    </w:r>
                    <w:r>
                      <w:rPr>
                        <w:rFonts w:ascii="Georgia"/>
                        <w:spacing w:val="-2"/>
                      </w:rPr>
                      <w:t>Schools</w:t>
                    </w:r>
                  </w:p>
                </w:txbxContent>
              </v:textbox>
            </v:shape>
            <w10:anchorlock/>
          </v:group>
        </w:pict>
      </w:r>
    </w:p>
    <w:p w:rsidR="00200FDA" w:rsidRDefault="00200FDA">
      <w:pPr>
        <w:rPr>
          <w:rFonts w:ascii="Georgia"/>
          <w:sz w:val="20"/>
        </w:rPr>
        <w:sectPr w:rsidR="00200FDA">
          <w:type w:val="continuous"/>
          <w:pgSz w:w="12240" w:h="15840"/>
          <w:pgMar w:top="720" w:right="1260" w:bottom="280" w:left="720" w:header="0" w:footer="0" w:gutter="0"/>
          <w:cols w:space="720"/>
        </w:sectPr>
      </w:pPr>
    </w:p>
    <w:p w:rsidR="00200FDA" w:rsidRDefault="00200FDA">
      <w:pPr>
        <w:pStyle w:val="BodyText"/>
        <w:spacing w:before="6"/>
        <w:rPr>
          <w:rFonts w:ascii="Georgia"/>
          <w:sz w:val="10"/>
        </w:rPr>
      </w:pPr>
    </w:p>
    <w:bookmarkStart w:id="179" w:name="DPH_-_Edited.pdf"/>
    <w:bookmarkStart w:id="180" w:name="Destigmatizing_Public_Health"/>
    <w:bookmarkStart w:id="181" w:name="_bookmark94"/>
    <w:bookmarkEnd w:id="179"/>
    <w:bookmarkEnd w:id="180"/>
    <w:bookmarkEnd w:id="181"/>
    <w:p w:rsidR="00200FDA" w:rsidRDefault="00F76C4C">
      <w:pPr>
        <w:spacing w:before="35"/>
        <w:ind w:left="140"/>
        <w:rPr>
          <w:sz w:val="32"/>
        </w:rPr>
      </w:pPr>
      <w:r>
        <w:fldChar w:fldCharType="begin"/>
      </w:r>
      <w:r>
        <w:instrText xml:space="preserve"> HYPERLINK \l "_bookmark2" </w:instrText>
      </w:r>
      <w:r>
        <w:fldChar w:fldCharType="separate"/>
      </w:r>
      <w:r>
        <w:rPr>
          <w:color w:val="0A5293"/>
          <w:sz w:val="32"/>
        </w:rPr>
        <w:t>Destigmatizing</w:t>
      </w:r>
      <w:r>
        <w:rPr>
          <w:color w:val="0A5293"/>
          <w:spacing w:val="-14"/>
          <w:sz w:val="32"/>
        </w:rPr>
        <w:t xml:space="preserve"> </w:t>
      </w:r>
      <w:r>
        <w:rPr>
          <w:color w:val="0A5293"/>
          <w:sz w:val="32"/>
        </w:rPr>
        <w:t>Public</w:t>
      </w:r>
      <w:r>
        <w:rPr>
          <w:color w:val="0A5293"/>
          <w:spacing w:val="-16"/>
          <w:sz w:val="32"/>
        </w:rPr>
        <w:t xml:space="preserve"> </w:t>
      </w:r>
      <w:r>
        <w:rPr>
          <w:color w:val="0A5293"/>
          <w:spacing w:val="-2"/>
          <w:sz w:val="32"/>
        </w:rPr>
        <w:t>Health</w:t>
      </w:r>
      <w:r>
        <w:rPr>
          <w:color w:val="0A5293"/>
          <w:spacing w:val="-2"/>
          <w:sz w:val="32"/>
        </w:rPr>
        <w:fldChar w:fldCharType="end"/>
      </w:r>
    </w:p>
    <w:p w:rsidR="00200FDA" w:rsidRDefault="00F76C4C">
      <w:pPr>
        <w:pStyle w:val="BodyText"/>
        <w:spacing w:before="4"/>
        <w:rPr>
          <w:sz w:val="4"/>
        </w:rPr>
      </w:pPr>
      <w:r>
        <w:pict>
          <v:rect id="docshape227" o:spid="_x0000_s1335" style="position:absolute;margin-left:70.55pt;margin-top:3.9pt;width:454.2pt;height:.5pt;z-index:-15709696;mso-wrap-distance-left:0;mso-wrap-distance-right:0;mso-position-horizontal-relative:page" fillcolor="#0f6ec5" stroked="f">
            <w10:wrap type="topAndBottom" anchorx="page"/>
          </v:rect>
        </w:pict>
      </w:r>
    </w:p>
    <w:p w:rsidR="00200FDA" w:rsidRDefault="00200FDA">
      <w:pPr>
        <w:pStyle w:val="BodyText"/>
        <w:spacing w:before="3"/>
        <w:rPr>
          <w:sz w:val="25"/>
        </w:rPr>
      </w:pPr>
    </w:p>
    <w:p w:rsidR="00200FDA" w:rsidRDefault="00F76C4C">
      <w:pPr>
        <w:pStyle w:val="Heading7"/>
        <w:spacing w:before="44"/>
        <w:ind w:left="140"/>
      </w:pPr>
      <w:r>
        <w:rPr>
          <w:color w:val="0A5293"/>
          <w:spacing w:val="-2"/>
        </w:rPr>
        <w:t>Introduction</w:t>
      </w:r>
    </w:p>
    <w:p w:rsidR="00200FDA" w:rsidRDefault="00F76C4C">
      <w:pPr>
        <w:pStyle w:val="BodyText"/>
        <w:spacing w:before="8"/>
        <w:rPr>
          <w:sz w:val="3"/>
        </w:rPr>
      </w:pPr>
      <w:r>
        <w:pict>
          <v:rect id="docshape228" o:spid="_x0000_s1334" style="position:absolute;margin-left:70.55pt;margin-top:3.45pt;width:454.2pt;height:.5pt;z-index:-15709184;mso-wrap-distance-left:0;mso-wrap-distance-right:0;mso-position-horizontal-relative:page" fillcolor="#0f6ec5" stroked="f">
            <w10:wrap type="topAndBottom" anchorx="page"/>
          </v:rect>
        </w:pict>
      </w:r>
    </w:p>
    <w:p w:rsidR="00200FDA" w:rsidRDefault="00200FDA">
      <w:pPr>
        <w:pStyle w:val="BodyText"/>
        <w:rPr>
          <w:sz w:val="15"/>
        </w:rPr>
      </w:pPr>
    </w:p>
    <w:p w:rsidR="00200FDA" w:rsidRDefault="00F76C4C">
      <w:pPr>
        <w:pStyle w:val="BodyText"/>
        <w:spacing w:before="56" w:line="276" w:lineRule="auto"/>
        <w:ind w:left="140" w:right="392"/>
        <w:jc w:val="both"/>
      </w:pPr>
      <w:r>
        <w:t>The public health crises facing LGBTQ youth are largely not because of individual risk factors, but rather systemic issues that affect how LGBTQ youth navigate the spaces in which they exist. LGBTQ youth often live in environments hostile to their existenc</w:t>
      </w:r>
      <w:r>
        <w:t>e, whether because of the current political climate,</w:t>
      </w:r>
      <w:r>
        <w:rPr>
          <w:spacing w:val="-9"/>
        </w:rPr>
        <w:t xml:space="preserve"> </w:t>
      </w:r>
      <w:r>
        <w:t>unsupportive</w:t>
      </w:r>
      <w:r>
        <w:rPr>
          <w:spacing w:val="-11"/>
        </w:rPr>
        <w:t xml:space="preserve"> </w:t>
      </w:r>
      <w:r>
        <w:t>families,</w:t>
      </w:r>
      <w:r>
        <w:rPr>
          <w:spacing w:val="-9"/>
        </w:rPr>
        <w:t xml:space="preserve"> </w:t>
      </w:r>
      <w:r>
        <w:t>or</w:t>
      </w:r>
      <w:r>
        <w:rPr>
          <w:spacing w:val="-9"/>
        </w:rPr>
        <w:t xml:space="preserve"> </w:t>
      </w:r>
      <w:r>
        <w:t>a</w:t>
      </w:r>
      <w:r>
        <w:rPr>
          <w:spacing w:val="-9"/>
        </w:rPr>
        <w:t xml:space="preserve"> </w:t>
      </w:r>
      <w:r>
        <w:t>lack</w:t>
      </w:r>
      <w:r>
        <w:rPr>
          <w:spacing w:val="-9"/>
        </w:rPr>
        <w:t xml:space="preserve"> </w:t>
      </w:r>
      <w:r>
        <w:t>of</w:t>
      </w:r>
      <w:r>
        <w:rPr>
          <w:spacing w:val="-9"/>
        </w:rPr>
        <w:t xml:space="preserve"> </w:t>
      </w:r>
      <w:r>
        <w:t>LGBTQ</w:t>
      </w:r>
      <w:r>
        <w:rPr>
          <w:spacing w:val="-11"/>
        </w:rPr>
        <w:t xml:space="preserve"> </w:t>
      </w:r>
      <w:r>
        <w:t>community</w:t>
      </w:r>
      <w:r>
        <w:rPr>
          <w:spacing w:val="-8"/>
        </w:rPr>
        <w:t xml:space="preserve"> </w:t>
      </w:r>
      <w:r>
        <w:t>and</w:t>
      </w:r>
      <w:r>
        <w:rPr>
          <w:spacing w:val="-10"/>
        </w:rPr>
        <w:t xml:space="preserve"> </w:t>
      </w:r>
      <w:r>
        <w:t>role</w:t>
      </w:r>
      <w:r>
        <w:rPr>
          <w:spacing w:val="-11"/>
        </w:rPr>
        <w:t xml:space="preserve"> </w:t>
      </w:r>
      <w:r>
        <w:t>models.</w:t>
      </w:r>
      <w:r>
        <w:rPr>
          <w:spacing w:val="-12"/>
        </w:rPr>
        <w:t xml:space="preserve"> </w:t>
      </w:r>
      <w:r>
        <w:t>The</w:t>
      </w:r>
      <w:r>
        <w:rPr>
          <w:spacing w:val="-8"/>
        </w:rPr>
        <w:t xml:space="preserve"> </w:t>
      </w:r>
      <w:r>
        <w:t>future</w:t>
      </w:r>
      <w:r>
        <w:rPr>
          <w:spacing w:val="-8"/>
        </w:rPr>
        <w:t xml:space="preserve"> </w:t>
      </w:r>
      <w:r>
        <w:t>is</w:t>
      </w:r>
      <w:r>
        <w:rPr>
          <w:spacing w:val="-11"/>
        </w:rPr>
        <w:t xml:space="preserve"> </w:t>
      </w:r>
      <w:r>
        <w:t>uncertain for</w:t>
      </w:r>
      <w:r>
        <w:rPr>
          <w:spacing w:val="-8"/>
        </w:rPr>
        <w:t xml:space="preserve"> </w:t>
      </w:r>
      <w:r>
        <w:t>many</w:t>
      </w:r>
      <w:r>
        <w:rPr>
          <w:spacing w:val="-7"/>
        </w:rPr>
        <w:t xml:space="preserve"> </w:t>
      </w:r>
      <w:r>
        <w:t>youths,</w:t>
      </w:r>
      <w:r>
        <w:rPr>
          <w:spacing w:val="-5"/>
        </w:rPr>
        <w:t xml:space="preserve"> </w:t>
      </w:r>
      <w:r>
        <w:t>and</w:t>
      </w:r>
      <w:r>
        <w:rPr>
          <w:spacing w:val="-9"/>
        </w:rPr>
        <w:t xml:space="preserve"> </w:t>
      </w:r>
      <w:r>
        <w:t>it</w:t>
      </w:r>
      <w:r>
        <w:rPr>
          <w:spacing w:val="-8"/>
        </w:rPr>
        <w:t xml:space="preserve"> </w:t>
      </w:r>
      <w:r>
        <w:t>can</w:t>
      </w:r>
      <w:r>
        <w:rPr>
          <w:spacing w:val="-11"/>
        </w:rPr>
        <w:t xml:space="preserve"> </w:t>
      </w:r>
      <w:r>
        <w:t>be</w:t>
      </w:r>
      <w:r>
        <w:rPr>
          <w:spacing w:val="-5"/>
        </w:rPr>
        <w:t xml:space="preserve"> </w:t>
      </w:r>
      <w:r>
        <w:t>difficult</w:t>
      </w:r>
      <w:r>
        <w:rPr>
          <w:spacing w:val="-8"/>
        </w:rPr>
        <w:t xml:space="preserve"> </w:t>
      </w:r>
      <w:r>
        <w:t>for</w:t>
      </w:r>
      <w:r>
        <w:rPr>
          <w:spacing w:val="-8"/>
        </w:rPr>
        <w:t xml:space="preserve"> </w:t>
      </w:r>
      <w:r>
        <w:t>them</w:t>
      </w:r>
      <w:r>
        <w:rPr>
          <w:spacing w:val="-7"/>
        </w:rPr>
        <w:t xml:space="preserve"> </w:t>
      </w:r>
      <w:r>
        <w:t>to</w:t>
      </w:r>
      <w:r>
        <w:rPr>
          <w:spacing w:val="-7"/>
        </w:rPr>
        <w:t xml:space="preserve"> </w:t>
      </w:r>
      <w:r>
        <w:t>envision</w:t>
      </w:r>
      <w:r>
        <w:rPr>
          <w:spacing w:val="-6"/>
        </w:rPr>
        <w:t xml:space="preserve"> </w:t>
      </w:r>
      <w:r>
        <w:t>a</w:t>
      </w:r>
      <w:r>
        <w:rPr>
          <w:spacing w:val="-8"/>
        </w:rPr>
        <w:t xml:space="preserve"> </w:t>
      </w:r>
      <w:r>
        <w:t>world</w:t>
      </w:r>
      <w:r>
        <w:rPr>
          <w:spacing w:val="-9"/>
        </w:rPr>
        <w:t xml:space="preserve"> </w:t>
      </w:r>
      <w:r>
        <w:t>where</w:t>
      </w:r>
      <w:r>
        <w:rPr>
          <w:spacing w:val="-7"/>
        </w:rPr>
        <w:t xml:space="preserve"> </w:t>
      </w:r>
      <w:r>
        <w:t>they</w:t>
      </w:r>
      <w:r>
        <w:rPr>
          <w:spacing w:val="-7"/>
        </w:rPr>
        <w:t xml:space="preserve"> </w:t>
      </w:r>
      <w:r>
        <w:t>are</w:t>
      </w:r>
      <w:r>
        <w:rPr>
          <w:spacing w:val="-5"/>
        </w:rPr>
        <w:t xml:space="preserve"> </w:t>
      </w:r>
      <w:r>
        <w:t>able</w:t>
      </w:r>
      <w:r>
        <w:rPr>
          <w:spacing w:val="-7"/>
        </w:rPr>
        <w:t xml:space="preserve"> </w:t>
      </w:r>
      <w:r>
        <w:t>to</w:t>
      </w:r>
      <w:r>
        <w:rPr>
          <w:spacing w:val="-7"/>
        </w:rPr>
        <w:t xml:space="preserve"> </w:t>
      </w:r>
      <w:r>
        <w:t>exist</w:t>
      </w:r>
      <w:r>
        <w:rPr>
          <w:spacing w:val="-5"/>
        </w:rPr>
        <w:t xml:space="preserve"> </w:t>
      </w:r>
      <w:r>
        <w:t>freely and safely as queer and trans adults. However, despite the hostility, LGBTQ youth continue to resist, challenge,</w:t>
      </w:r>
      <w:r>
        <w:rPr>
          <w:spacing w:val="-9"/>
        </w:rPr>
        <w:t xml:space="preserve"> </w:t>
      </w:r>
      <w:r>
        <w:t>and</w:t>
      </w:r>
      <w:r>
        <w:rPr>
          <w:spacing w:val="-12"/>
        </w:rPr>
        <w:t xml:space="preserve"> </w:t>
      </w:r>
      <w:r>
        <w:t>change</w:t>
      </w:r>
      <w:r>
        <w:rPr>
          <w:spacing w:val="-8"/>
        </w:rPr>
        <w:t xml:space="preserve"> </w:t>
      </w:r>
      <w:r>
        <w:t>the</w:t>
      </w:r>
      <w:r>
        <w:rPr>
          <w:spacing w:val="-8"/>
        </w:rPr>
        <w:t xml:space="preserve"> </w:t>
      </w:r>
      <w:r>
        <w:t>relationships,</w:t>
      </w:r>
      <w:r>
        <w:rPr>
          <w:spacing w:val="-11"/>
        </w:rPr>
        <w:t xml:space="preserve"> </w:t>
      </w:r>
      <w:r>
        <w:t>communities,</w:t>
      </w:r>
      <w:r>
        <w:rPr>
          <w:spacing w:val="-11"/>
        </w:rPr>
        <w:t xml:space="preserve"> </w:t>
      </w:r>
      <w:r>
        <w:t>institutions,</w:t>
      </w:r>
      <w:r>
        <w:rPr>
          <w:spacing w:val="-11"/>
        </w:rPr>
        <w:t xml:space="preserve"> </w:t>
      </w:r>
      <w:r>
        <w:t>and</w:t>
      </w:r>
      <w:r>
        <w:rPr>
          <w:spacing w:val="-10"/>
        </w:rPr>
        <w:t xml:space="preserve"> </w:t>
      </w:r>
      <w:r>
        <w:t>systems</w:t>
      </w:r>
      <w:r>
        <w:rPr>
          <w:spacing w:val="-11"/>
        </w:rPr>
        <w:t xml:space="preserve"> </w:t>
      </w:r>
      <w:r>
        <w:t>that</w:t>
      </w:r>
      <w:r>
        <w:rPr>
          <w:spacing w:val="-9"/>
        </w:rPr>
        <w:t xml:space="preserve"> </w:t>
      </w:r>
      <w:r>
        <w:t>act</w:t>
      </w:r>
      <w:r>
        <w:rPr>
          <w:spacing w:val="-11"/>
        </w:rPr>
        <w:t xml:space="preserve"> </w:t>
      </w:r>
      <w:r>
        <w:t>as</w:t>
      </w:r>
      <w:r>
        <w:rPr>
          <w:spacing w:val="-11"/>
        </w:rPr>
        <w:t xml:space="preserve"> </w:t>
      </w:r>
      <w:r>
        <w:t>oppressive forces.</w:t>
      </w:r>
      <w:hyperlink w:anchor="_bookmark95" w:history="1">
        <w:r>
          <w:rPr>
            <w:vertAlign w:val="superscript"/>
          </w:rPr>
          <w:t>1</w:t>
        </w:r>
      </w:hyperlink>
      <w:r>
        <w:rPr>
          <w:spacing w:val="-2"/>
        </w:rPr>
        <w:t xml:space="preserve"> </w:t>
      </w:r>
      <w:r>
        <w:t>Publ</w:t>
      </w:r>
      <w:r>
        <w:t>ic health has an obligation to support and uplift LGBTQ youth as they resist unjust and oppressive structures.</w:t>
      </w:r>
      <w:hyperlink w:anchor="_bookmark96" w:history="1">
        <w:r>
          <w:rPr>
            <w:vertAlign w:val="superscript"/>
          </w:rPr>
          <w:t>2</w:t>
        </w:r>
      </w:hyperlink>
      <w:r>
        <w:rPr>
          <w:spacing w:val="-2"/>
        </w:rPr>
        <w:t xml:space="preserve"> </w:t>
      </w:r>
      <w:r>
        <w:t>In doing so, policymakers, providers, and educators can better pave the way for a future where all LGBTQ youth th</w:t>
      </w:r>
      <w:r>
        <w:t>rive.</w:t>
      </w:r>
    </w:p>
    <w:p w:rsidR="00200FDA" w:rsidRDefault="00F76C4C">
      <w:pPr>
        <w:pStyle w:val="BodyText"/>
        <w:spacing w:before="120" w:line="276" w:lineRule="auto"/>
        <w:ind w:left="140" w:right="392"/>
        <w:jc w:val="both"/>
      </w:pPr>
      <w:r>
        <w:t>When working to develop policies and programs to address public health concerns, it is essential to understand that many of the issues highlighted in this section are compounded by intersecting systems of oppression, including poverty, racism, homoph</w:t>
      </w:r>
      <w:r>
        <w:t>obia, transphobia, and ableism that must simultaneously</w:t>
      </w:r>
      <w:r>
        <w:rPr>
          <w:spacing w:val="-9"/>
        </w:rPr>
        <w:t xml:space="preserve"> </w:t>
      </w:r>
      <w:r>
        <w:t>be</w:t>
      </w:r>
      <w:r>
        <w:rPr>
          <w:spacing w:val="-9"/>
        </w:rPr>
        <w:t xml:space="preserve"> </w:t>
      </w:r>
      <w:r>
        <w:t>addressed.</w:t>
      </w:r>
      <w:r>
        <w:rPr>
          <w:spacing w:val="-9"/>
        </w:rPr>
        <w:t xml:space="preserve"> </w:t>
      </w:r>
      <w:r>
        <w:t>Tackling</w:t>
      </w:r>
      <w:r>
        <w:rPr>
          <w:spacing w:val="-10"/>
        </w:rPr>
        <w:t xml:space="preserve"> </w:t>
      </w:r>
      <w:r>
        <w:t>such</w:t>
      </w:r>
      <w:r>
        <w:rPr>
          <w:spacing w:val="-10"/>
        </w:rPr>
        <w:t xml:space="preserve"> </w:t>
      </w:r>
      <w:r>
        <w:t>large</w:t>
      </w:r>
      <w:r>
        <w:rPr>
          <w:spacing w:val="-11"/>
        </w:rPr>
        <w:t xml:space="preserve"> </w:t>
      </w:r>
      <w:r>
        <w:t>structural</w:t>
      </w:r>
      <w:r>
        <w:rPr>
          <w:spacing w:val="-9"/>
        </w:rPr>
        <w:t xml:space="preserve"> </w:t>
      </w:r>
      <w:r>
        <w:t>issues</w:t>
      </w:r>
      <w:r>
        <w:rPr>
          <w:spacing w:val="-11"/>
        </w:rPr>
        <w:t xml:space="preserve"> </w:t>
      </w:r>
      <w:r>
        <w:t>may</w:t>
      </w:r>
      <w:r>
        <w:rPr>
          <w:spacing w:val="-9"/>
        </w:rPr>
        <w:t xml:space="preserve"> </w:t>
      </w:r>
      <w:r>
        <w:t>seem</w:t>
      </w:r>
      <w:r>
        <w:rPr>
          <w:spacing w:val="-10"/>
        </w:rPr>
        <w:t xml:space="preserve"> </w:t>
      </w:r>
      <w:r>
        <w:t>unfathomable,</w:t>
      </w:r>
      <w:r>
        <w:rPr>
          <w:spacing w:val="-9"/>
        </w:rPr>
        <w:t xml:space="preserve"> </w:t>
      </w:r>
      <w:r>
        <w:t xml:space="preserve">however, there are actions that can be taken in the meantime to continue providing support to LGBTQ youth and begin shifting </w:t>
      </w:r>
      <w:r>
        <w:t xml:space="preserve">the cultural norms that will eventually improve health outcomes for all </w:t>
      </w:r>
      <w:r>
        <w:rPr>
          <w:spacing w:val="-2"/>
        </w:rPr>
        <w:t>communities.</w:t>
      </w:r>
    </w:p>
    <w:p w:rsidR="00200FDA" w:rsidRDefault="00200FDA">
      <w:pPr>
        <w:pStyle w:val="BodyText"/>
        <w:spacing w:before="11"/>
        <w:rPr>
          <w:sz w:val="32"/>
        </w:rPr>
      </w:pPr>
    </w:p>
    <w:p w:rsidR="00200FDA" w:rsidRDefault="00F76C4C">
      <w:pPr>
        <w:pStyle w:val="Heading7"/>
        <w:spacing w:before="1"/>
        <w:ind w:left="140"/>
        <w:jc w:val="both"/>
      </w:pPr>
      <w:r>
        <w:pict>
          <v:rect id="docshape229" o:spid="_x0000_s1333" style="position:absolute;left:0;text-align:left;margin-left:70.55pt;margin-top:18.05pt;width:454.2pt;height:.5pt;z-index:-15708672;mso-wrap-distance-left:0;mso-wrap-distance-right:0;mso-position-horizontal-relative:page" fillcolor="#0f6ec5" stroked="f">
            <w10:wrap type="topAndBottom" anchorx="page"/>
          </v:rect>
        </w:pict>
      </w:r>
      <w:bookmarkStart w:id="182" w:name="FY2024_Recommendations_to_the_Governor_a"/>
      <w:bookmarkEnd w:id="182"/>
      <w:r>
        <w:rPr>
          <w:color w:val="0A5293"/>
        </w:rPr>
        <w:t>FY2024</w:t>
      </w:r>
      <w:r>
        <w:rPr>
          <w:color w:val="0A5293"/>
          <w:spacing w:val="-9"/>
        </w:rPr>
        <w:t xml:space="preserve"> </w:t>
      </w:r>
      <w:r>
        <w:rPr>
          <w:color w:val="0A5293"/>
        </w:rPr>
        <w:t>Recommendations</w:t>
      </w:r>
      <w:r>
        <w:rPr>
          <w:color w:val="0A5293"/>
          <w:spacing w:val="-5"/>
        </w:rPr>
        <w:t xml:space="preserve"> </w:t>
      </w:r>
      <w:r>
        <w:rPr>
          <w:color w:val="0A5293"/>
        </w:rPr>
        <w:t>to</w:t>
      </w:r>
      <w:r>
        <w:rPr>
          <w:color w:val="0A5293"/>
          <w:spacing w:val="-6"/>
        </w:rPr>
        <w:t xml:space="preserve"> </w:t>
      </w:r>
      <w:r>
        <w:rPr>
          <w:color w:val="0A5293"/>
        </w:rPr>
        <w:t>the</w:t>
      </w:r>
      <w:r>
        <w:rPr>
          <w:color w:val="0A5293"/>
          <w:spacing w:val="-6"/>
        </w:rPr>
        <w:t xml:space="preserve"> </w:t>
      </w:r>
      <w:r>
        <w:rPr>
          <w:color w:val="0A5293"/>
        </w:rPr>
        <w:t>Governor</w:t>
      </w:r>
      <w:r>
        <w:rPr>
          <w:color w:val="0A5293"/>
          <w:spacing w:val="-6"/>
        </w:rPr>
        <w:t xml:space="preserve"> </w:t>
      </w:r>
      <w:r>
        <w:rPr>
          <w:color w:val="0A5293"/>
        </w:rPr>
        <w:t>and</w:t>
      </w:r>
      <w:r>
        <w:rPr>
          <w:color w:val="0A5293"/>
          <w:spacing w:val="-7"/>
        </w:rPr>
        <w:t xml:space="preserve"> </w:t>
      </w:r>
      <w:r>
        <w:rPr>
          <w:color w:val="0A5293"/>
        </w:rPr>
        <w:t>Legislature</w:t>
      </w:r>
      <w:r>
        <w:rPr>
          <w:color w:val="0A5293"/>
          <w:spacing w:val="-7"/>
        </w:rPr>
        <w:t xml:space="preserve"> </w:t>
      </w:r>
      <w:r>
        <w:rPr>
          <w:color w:val="0A5293"/>
        </w:rPr>
        <w:t>on</w:t>
      </w:r>
      <w:r>
        <w:rPr>
          <w:color w:val="0A5293"/>
          <w:spacing w:val="-7"/>
        </w:rPr>
        <w:t xml:space="preserve"> </w:t>
      </w:r>
      <w:r>
        <w:rPr>
          <w:color w:val="0A5293"/>
        </w:rPr>
        <w:t>Public</w:t>
      </w:r>
      <w:r>
        <w:rPr>
          <w:color w:val="0A5293"/>
          <w:spacing w:val="-4"/>
        </w:rPr>
        <w:t xml:space="preserve"> </w:t>
      </w:r>
      <w:r>
        <w:rPr>
          <w:color w:val="0A5293"/>
          <w:spacing w:val="-2"/>
        </w:rPr>
        <w:t>Health</w:t>
      </w:r>
    </w:p>
    <w:p w:rsidR="00200FDA" w:rsidRDefault="00200FDA">
      <w:pPr>
        <w:pStyle w:val="BodyText"/>
        <w:rPr>
          <w:sz w:val="15"/>
        </w:rPr>
      </w:pPr>
    </w:p>
    <w:p w:rsidR="00200FDA" w:rsidRDefault="00F76C4C">
      <w:pPr>
        <w:pStyle w:val="Heading9"/>
        <w:numPr>
          <w:ilvl w:val="0"/>
          <w:numId w:val="33"/>
        </w:numPr>
        <w:tabs>
          <w:tab w:val="left" w:pos="361"/>
        </w:tabs>
        <w:spacing w:before="56" w:line="276" w:lineRule="auto"/>
        <w:ind w:right="395" w:firstLine="0"/>
      </w:pPr>
      <w:r>
        <w:t>Create</w:t>
      </w:r>
      <w:r>
        <w:rPr>
          <w:spacing w:val="-3"/>
        </w:rPr>
        <w:t xml:space="preserve"> </w:t>
      </w:r>
      <w:r>
        <w:t>and</w:t>
      </w:r>
      <w:r>
        <w:rPr>
          <w:spacing w:val="-3"/>
        </w:rPr>
        <w:t xml:space="preserve"> </w:t>
      </w:r>
      <w:r>
        <w:t>expand</w:t>
      </w:r>
      <w:r>
        <w:rPr>
          <w:spacing w:val="-3"/>
        </w:rPr>
        <w:t xml:space="preserve"> </w:t>
      </w:r>
      <w:r>
        <w:t>community-based</w:t>
      </w:r>
      <w:r>
        <w:rPr>
          <w:spacing w:val="-3"/>
        </w:rPr>
        <w:t xml:space="preserve"> </w:t>
      </w:r>
      <w:r>
        <w:t>public</w:t>
      </w:r>
      <w:r>
        <w:rPr>
          <w:spacing w:val="-1"/>
        </w:rPr>
        <w:t xml:space="preserve"> </w:t>
      </w:r>
      <w:r>
        <w:t>health</w:t>
      </w:r>
      <w:r>
        <w:rPr>
          <w:spacing w:val="-3"/>
        </w:rPr>
        <w:t xml:space="preserve"> </w:t>
      </w:r>
      <w:r>
        <w:t>programming</w:t>
      </w:r>
      <w:r>
        <w:rPr>
          <w:spacing w:val="-3"/>
        </w:rPr>
        <w:t xml:space="preserve"> </w:t>
      </w:r>
      <w:r>
        <w:t>that</w:t>
      </w:r>
      <w:r>
        <w:rPr>
          <w:spacing w:val="-2"/>
        </w:rPr>
        <w:t xml:space="preserve"> </w:t>
      </w:r>
      <w:r>
        <w:t>is</w:t>
      </w:r>
      <w:r>
        <w:rPr>
          <w:spacing w:val="-1"/>
        </w:rPr>
        <w:t xml:space="preserve"> </w:t>
      </w:r>
      <w:r>
        <w:t>accessible</w:t>
      </w:r>
      <w:r>
        <w:rPr>
          <w:spacing w:val="-3"/>
        </w:rPr>
        <w:t xml:space="preserve"> </w:t>
      </w:r>
      <w:r>
        <w:t>and</w:t>
      </w:r>
      <w:r>
        <w:rPr>
          <w:spacing w:val="-3"/>
        </w:rPr>
        <w:t xml:space="preserve"> </w:t>
      </w:r>
      <w:r>
        <w:t>engaging to youth with the most barriers to access, with specific attention to youth in rural communities.</w:t>
      </w:r>
    </w:p>
    <w:p w:rsidR="00200FDA" w:rsidRDefault="00200FDA">
      <w:pPr>
        <w:pStyle w:val="BodyText"/>
        <w:spacing w:before="6"/>
        <w:rPr>
          <w:b/>
          <w:sz w:val="25"/>
        </w:rPr>
      </w:pPr>
    </w:p>
    <w:p w:rsidR="00200FDA" w:rsidRDefault="00F76C4C">
      <w:pPr>
        <w:pStyle w:val="BodyText"/>
        <w:spacing w:line="276" w:lineRule="auto"/>
        <w:ind w:left="139" w:right="391"/>
        <w:jc w:val="both"/>
      </w:pPr>
      <w:r>
        <w:t>The Commission recommends that Massachusetts continue to explore and develop accessible programming for youth to eliminate public health disparities</w:t>
      </w:r>
      <w:r>
        <w:t>, with particular attention to youth in rural</w:t>
      </w:r>
      <w:r>
        <w:rPr>
          <w:spacing w:val="-13"/>
        </w:rPr>
        <w:t xml:space="preserve"> </w:t>
      </w:r>
      <w:r>
        <w:t>areas,</w:t>
      </w:r>
      <w:r>
        <w:rPr>
          <w:spacing w:val="-12"/>
        </w:rPr>
        <w:t xml:space="preserve"> </w:t>
      </w:r>
      <w:r>
        <w:t>Deaf</w:t>
      </w:r>
      <w:r>
        <w:rPr>
          <w:spacing w:val="-13"/>
        </w:rPr>
        <w:t xml:space="preserve"> </w:t>
      </w:r>
      <w:r>
        <w:t>and</w:t>
      </w:r>
      <w:r>
        <w:rPr>
          <w:spacing w:val="-12"/>
        </w:rPr>
        <w:t xml:space="preserve"> </w:t>
      </w:r>
      <w:r>
        <w:t>hard</w:t>
      </w:r>
      <w:r>
        <w:rPr>
          <w:spacing w:val="-13"/>
        </w:rPr>
        <w:t xml:space="preserve"> </w:t>
      </w:r>
      <w:r>
        <w:t>of</w:t>
      </w:r>
      <w:r>
        <w:rPr>
          <w:spacing w:val="-12"/>
        </w:rPr>
        <w:t xml:space="preserve"> </w:t>
      </w:r>
      <w:r>
        <w:t>hearing</w:t>
      </w:r>
      <w:r>
        <w:rPr>
          <w:spacing w:val="-13"/>
        </w:rPr>
        <w:t xml:space="preserve"> </w:t>
      </w:r>
      <w:r>
        <w:t>youth,</w:t>
      </w:r>
      <w:r>
        <w:rPr>
          <w:spacing w:val="-12"/>
        </w:rPr>
        <w:t xml:space="preserve"> </w:t>
      </w:r>
      <w:r>
        <w:t>multilingual</w:t>
      </w:r>
      <w:r>
        <w:rPr>
          <w:spacing w:val="-12"/>
        </w:rPr>
        <w:t xml:space="preserve"> </w:t>
      </w:r>
      <w:r>
        <w:t>youth,</w:t>
      </w:r>
      <w:r>
        <w:rPr>
          <w:spacing w:val="-13"/>
        </w:rPr>
        <w:t xml:space="preserve"> </w:t>
      </w:r>
      <w:r>
        <w:t>and</w:t>
      </w:r>
      <w:r>
        <w:rPr>
          <w:spacing w:val="-12"/>
        </w:rPr>
        <w:t xml:space="preserve"> </w:t>
      </w:r>
      <w:r>
        <w:t>QTBIPOC</w:t>
      </w:r>
      <w:r>
        <w:rPr>
          <w:spacing w:val="-13"/>
        </w:rPr>
        <w:t xml:space="preserve"> </w:t>
      </w:r>
      <w:r>
        <w:t>youth.</w:t>
      </w:r>
      <w:r>
        <w:rPr>
          <w:spacing w:val="-12"/>
        </w:rPr>
        <w:t xml:space="preserve"> </w:t>
      </w:r>
      <w:r>
        <w:t>As</w:t>
      </w:r>
      <w:r>
        <w:rPr>
          <w:spacing w:val="-13"/>
        </w:rPr>
        <w:t xml:space="preserve"> </w:t>
      </w:r>
      <w:r>
        <w:t>detailed</w:t>
      </w:r>
      <w:r>
        <w:rPr>
          <w:spacing w:val="-12"/>
        </w:rPr>
        <w:t xml:space="preserve"> </w:t>
      </w:r>
      <w:r>
        <w:t>below, Massachusetts</w:t>
      </w:r>
      <w:r>
        <w:rPr>
          <w:spacing w:val="-13"/>
        </w:rPr>
        <w:t xml:space="preserve"> </w:t>
      </w:r>
      <w:r>
        <w:t>employs</w:t>
      </w:r>
      <w:r>
        <w:rPr>
          <w:spacing w:val="-12"/>
        </w:rPr>
        <w:t xml:space="preserve"> </w:t>
      </w:r>
      <w:r>
        <w:t>a</w:t>
      </w:r>
      <w:r>
        <w:rPr>
          <w:spacing w:val="-13"/>
        </w:rPr>
        <w:t xml:space="preserve"> </w:t>
      </w:r>
      <w:r>
        <w:t>wide</w:t>
      </w:r>
      <w:r>
        <w:rPr>
          <w:spacing w:val="-12"/>
        </w:rPr>
        <w:t xml:space="preserve"> </w:t>
      </w:r>
      <w:r>
        <w:t>array</w:t>
      </w:r>
      <w:r>
        <w:rPr>
          <w:spacing w:val="-13"/>
        </w:rPr>
        <w:t xml:space="preserve"> </w:t>
      </w:r>
      <w:r>
        <w:t>of</w:t>
      </w:r>
      <w:r>
        <w:rPr>
          <w:spacing w:val="-12"/>
        </w:rPr>
        <w:t xml:space="preserve"> </w:t>
      </w:r>
      <w:r>
        <w:t>programming</w:t>
      </w:r>
      <w:r>
        <w:rPr>
          <w:spacing w:val="-13"/>
        </w:rPr>
        <w:t xml:space="preserve"> </w:t>
      </w:r>
      <w:r>
        <w:t>services</w:t>
      </w:r>
      <w:r>
        <w:rPr>
          <w:spacing w:val="-12"/>
        </w:rPr>
        <w:t xml:space="preserve"> </w:t>
      </w:r>
      <w:r>
        <w:t>to</w:t>
      </w:r>
      <w:r>
        <w:rPr>
          <w:spacing w:val="-12"/>
        </w:rPr>
        <w:t xml:space="preserve"> </w:t>
      </w:r>
      <w:r>
        <w:t>support</w:t>
      </w:r>
      <w:r>
        <w:rPr>
          <w:spacing w:val="-13"/>
        </w:rPr>
        <w:t xml:space="preserve"> </w:t>
      </w:r>
      <w:r>
        <w:t>public</w:t>
      </w:r>
      <w:r>
        <w:rPr>
          <w:spacing w:val="-12"/>
        </w:rPr>
        <w:t xml:space="preserve"> </w:t>
      </w:r>
      <w:r>
        <w:t>health,</w:t>
      </w:r>
      <w:r>
        <w:rPr>
          <w:spacing w:val="-13"/>
        </w:rPr>
        <w:t xml:space="preserve"> </w:t>
      </w:r>
      <w:r>
        <w:t>including</w:t>
      </w:r>
      <w:r>
        <w:rPr>
          <w:spacing w:val="-12"/>
        </w:rPr>
        <w:t xml:space="preserve"> </w:t>
      </w:r>
      <w:r>
        <w:t>harm reduction, prevention, and recovery services, as well as support for survivors of intimate partner violence and sexual exploitation. The need for trauma-informed and culturally aware is essential, particularly for QTBIPOC youth who often lack sufficie</w:t>
      </w:r>
      <w:r>
        <w:t>nt access to programs that are both LGBTQ- affirming,</w:t>
      </w:r>
      <w:r>
        <w:rPr>
          <w:spacing w:val="-7"/>
        </w:rPr>
        <w:t xml:space="preserve"> </w:t>
      </w:r>
      <w:r>
        <w:t>multilingual,</w:t>
      </w:r>
      <w:r>
        <w:rPr>
          <w:spacing w:val="-4"/>
        </w:rPr>
        <w:t xml:space="preserve"> </w:t>
      </w:r>
      <w:r>
        <w:t>and</w:t>
      </w:r>
      <w:r>
        <w:rPr>
          <w:spacing w:val="-5"/>
        </w:rPr>
        <w:t xml:space="preserve"> </w:t>
      </w:r>
      <w:r>
        <w:t>anti-racist.</w:t>
      </w:r>
      <w:r>
        <w:rPr>
          <w:spacing w:val="-5"/>
        </w:rPr>
        <w:t xml:space="preserve"> </w:t>
      </w:r>
      <w:r>
        <w:t>Additionally,</w:t>
      </w:r>
      <w:r>
        <w:rPr>
          <w:spacing w:val="-4"/>
        </w:rPr>
        <w:t xml:space="preserve"> </w:t>
      </w:r>
      <w:r>
        <w:t>by</w:t>
      </w:r>
      <w:r>
        <w:rPr>
          <w:spacing w:val="-6"/>
        </w:rPr>
        <w:t xml:space="preserve"> </w:t>
      </w:r>
      <w:r>
        <w:t>creating</w:t>
      </w:r>
      <w:r>
        <w:rPr>
          <w:spacing w:val="-7"/>
        </w:rPr>
        <w:t xml:space="preserve"> </w:t>
      </w:r>
      <w:r>
        <w:t>more</w:t>
      </w:r>
      <w:r>
        <w:rPr>
          <w:spacing w:val="-4"/>
        </w:rPr>
        <w:t xml:space="preserve"> </w:t>
      </w:r>
      <w:r>
        <w:t>peer-led</w:t>
      </w:r>
      <w:r>
        <w:rPr>
          <w:spacing w:val="-5"/>
        </w:rPr>
        <w:t xml:space="preserve"> </w:t>
      </w:r>
      <w:r>
        <w:t>education</w:t>
      </w:r>
      <w:r>
        <w:rPr>
          <w:spacing w:val="-5"/>
        </w:rPr>
        <w:t xml:space="preserve"> </w:t>
      </w:r>
      <w:r>
        <w:t>programs,</w:t>
      </w:r>
      <w:r>
        <w:rPr>
          <w:spacing w:val="-4"/>
        </w:rPr>
        <w:t xml:space="preserve"> </w:t>
      </w:r>
      <w:r>
        <w:t>it is more likely that youth will become engaged and build skills needed to address public health disparities i</w:t>
      </w:r>
      <w:r>
        <w:t>n their own communities.</w:t>
      </w:r>
    </w:p>
    <w:p w:rsidR="00200FDA" w:rsidRDefault="00F76C4C">
      <w:pPr>
        <w:pStyle w:val="BodyText"/>
        <w:spacing w:before="117" w:line="276" w:lineRule="auto"/>
        <w:ind w:left="139" w:right="395"/>
        <w:jc w:val="both"/>
      </w:pPr>
      <w:r>
        <w:t>Furthermore, the Commission recommends that Massachusetts improve the accessibility of holistic and</w:t>
      </w:r>
      <w:r>
        <w:rPr>
          <w:spacing w:val="-8"/>
        </w:rPr>
        <w:t xml:space="preserve"> </w:t>
      </w:r>
      <w:r>
        <w:t>community-based</w:t>
      </w:r>
      <w:r>
        <w:rPr>
          <w:spacing w:val="-8"/>
        </w:rPr>
        <w:t xml:space="preserve"> </w:t>
      </w:r>
      <w:r>
        <w:t>substance</w:t>
      </w:r>
      <w:r>
        <w:rPr>
          <w:spacing w:val="-7"/>
        </w:rPr>
        <w:t xml:space="preserve"> </w:t>
      </w:r>
      <w:r>
        <w:t>use</w:t>
      </w:r>
      <w:r>
        <w:rPr>
          <w:spacing w:val="-7"/>
        </w:rPr>
        <w:t xml:space="preserve"> </w:t>
      </w:r>
      <w:r>
        <w:t>reduction,</w:t>
      </w:r>
      <w:r>
        <w:rPr>
          <w:spacing w:val="-8"/>
        </w:rPr>
        <w:t xml:space="preserve"> </w:t>
      </w:r>
      <w:r>
        <w:t>prevention,</w:t>
      </w:r>
      <w:r>
        <w:rPr>
          <w:spacing w:val="-8"/>
        </w:rPr>
        <w:t xml:space="preserve"> </w:t>
      </w:r>
      <w:r>
        <w:t>and</w:t>
      </w:r>
      <w:r>
        <w:rPr>
          <w:spacing w:val="-8"/>
        </w:rPr>
        <w:t xml:space="preserve"> </w:t>
      </w:r>
      <w:r>
        <w:t>recovery</w:t>
      </w:r>
      <w:r>
        <w:rPr>
          <w:spacing w:val="-7"/>
        </w:rPr>
        <w:t xml:space="preserve"> </w:t>
      </w:r>
      <w:r>
        <w:t>programs.</w:t>
      </w:r>
      <w:r>
        <w:rPr>
          <w:spacing w:val="-8"/>
        </w:rPr>
        <w:t xml:space="preserve"> </w:t>
      </w:r>
      <w:r>
        <w:t>The</w:t>
      </w:r>
      <w:r>
        <w:rPr>
          <w:spacing w:val="-7"/>
        </w:rPr>
        <w:t xml:space="preserve"> </w:t>
      </w:r>
      <w:r>
        <w:t xml:space="preserve">Commission supports </w:t>
      </w:r>
      <w:r>
        <w:rPr>
          <w:i/>
        </w:rPr>
        <w:t>An Act Relative to Preventing O</w:t>
      </w:r>
      <w:r>
        <w:rPr>
          <w:i/>
        </w:rPr>
        <w:t xml:space="preserve">verdose Deaths and Increasing Access to Treatment </w:t>
      </w:r>
      <w:r>
        <w:t>(</w:t>
      </w:r>
      <w:hyperlink r:id="rId169">
        <w:r>
          <w:rPr>
            <w:color w:val="1154CC"/>
            <w:u w:val="single" w:color="1154CC"/>
          </w:rPr>
          <w:t>S.1242</w:t>
        </w:r>
      </w:hyperlink>
      <w:r>
        <w:t>/</w:t>
      </w:r>
      <w:hyperlink r:id="rId170">
        <w:r>
          <w:rPr>
            <w:color w:val="1154CC"/>
            <w:u w:val="single" w:color="1154CC"/>
          </w:rPr>
          <w:t>H.1981</w:t>
        </w:r>
      </w:hyperlink>
      <w:r>
        <w:t>),</w:t>
      </w:r>
      <w:r>
        <w:rPr>
          <w:spacing w:val="-7"/>
        </w:rPr>
        <w:t xml:space="preserve"> </w:t>
      </w:r>
      <w:r>
        <w:t>which</w:t>
      </w:r>
      <w:r>
        <w:rPr>
          <w:spacing w:val="-7"/>
        </w:rPr>
        <w:t xml:space="preserve"> </w:t>
      </w:r>
      <w:r>
        <w:t>would</w:t>
      </w:r>
      <w:r>
        <w:rPr>
          <w:spacing w:val="-5"/>
        </w:rPr>
        <w:t xml:space="preserve"> </w:t>
      </w:r>
      <w:r>
        <w:t>allow</w:t>
      </w:r>
      <w:r>
        <w:rPr>
          <w:spacing w:val="-6"/>
        </w:rPr>
        <w:t xml:space="preserve"> </w:t>
      </w:r>
      <w:r>
        <w:t>for</w:t>
      </w:r>
      <w:r>
        <w:rPr>
          <w:spacing w:val="-7"/>
        </w:rPr>
        <w:t xml:space="preserve"> </w:t>
      </w:r>
      <w:r>
        <w:t>the</w:t>
      </w:r>
      <w:r>
        <w:rPr>
          <w:spacing w:val="-6"/>
        </w:rPr>
        <w:t xml:space="preserve"> </w:t>
      </w:r>
      <w:r>
        <w:t>creation</w:t>
      </w:r>
      <w:r>
        <w:rPr>
          <w:spacing w:val="-7"/>
        </w:rPr>
        <w:t xml:space="preserve"> </w:t>
      </w:r>
      <w:r>
        <w:t>of</w:t>
      </w:r>
      <w:r>
        <w:rPr>
          <w:spacing w:val="-5"/>
        </w:rPr>
        <w:t xml:space="preserve"> </w:t>
      </w:r>
      <w:r>
        <w:t>a</w:t>
      </w:r>
      <w:r>
        <w:rPr>
          <w:spacing w:val="-7"/>
        </w:rPr>
        <w:t xml:space="preserve"> </w:t>
      </w:r>
      <w:r>
        <w:t>10-year</w:t>
      </w:r>
      <w:r>
        <w:rPr>
          <w:spacing w:val="-7"/>
        </w:rPr>
        <w:t xml:space="preserve"> </w:t>
      </w:r>
      <w:r>
        <w:t>pilot</w:t>
      </w:r>
      <w:r>
        <w:rPr>
          <w:spacing w:val="-6"/>
        </w:rPr>
        <w:t xml:space="preserve"> </w:t>
      </w:r>
      <w:r>
        <w:t>program</w:t>
      </w:r>
      <w:r>
        <w:rPr>
          <w:spacing w:val="-5"/>
        </w:rPr>
        <w:t xml:space="preserve"> </w:t>
      </w:r>
      <w:r>
        <w:t>establishing</w:t>
      </w:r>
      <w:r>
        <w:rPr>
          <w:spacing w:val="-5"/>
        </w:rPr>
        <w:t xml:space="preserve"> </w:t>
      </w:r>
      <w:r>
        <w:t>overdose prevention</w:t>
      </w:r>
      <w:r>
        <w:rPr>
          <w:spacing w:val="-7"/>
        </w:rPr>
        <w:t xml:space="preserve"> </w:t>
      </w:r>
      <w:r>
        <w:t>centers</w:t>
      </w:r>
      <w:r>
        <w:rPr>
          <w:spacing w:val="-9"/>
        </w:rPr>
        <w:t xml:space="preserve"> </w:t>
      </w:r>
      <w:r>
        <w:t>-</w:t>
      </w:r>
      <w:r>
        <w:rPr>
          <w:spacing w:val="-7"/>
        </w:rPr>
        <w:t xml:space="preserve"> </w:t>
      </w:r>
      <w:r>
        <w:t>also</w:t>
      </w:r>
      <w:r>
        <w:rPr>
          <w:spacing w:val="-5"/>
        </w:rPr>
        <w:t xml:space="preserve"> </w:t>
      </w:r>
      <w:r>
        <w:t>known</w:t>
      </w:r>
      <w:r>
        <w:rPr>
          <w:spacing w:val="-7"/>
        </w:rPr>
        <w:t xml:space="preserve"> </w:t>
      </w:r>
      <w:r>
        <w:t>as</w:t>
      </w:r>
      <w:r>
        <w:rPr>
          <w:spacing w:val="-9"/>
        </w:rPr>
        <w:t xml:space="preserve"> </w:t>
      </w:r>
      <w:r>
        <w:t>supervised</w:t>
      </w:r>
      <w:r>
        <w:rPr>
          <w:spacing w:val="-7"/>
        </w:rPr>
        <w:t xml:space="preserve"> </w:t>
      </w:r>
      <w:r>
        <w:t>consumption</w:t>
      </w:r>
      <w:r>
        <w:rPr>
          <w:spacing w:val="-7"/>
        </w:rPr>
        <w:t xml:space="preserve"> </w:t>
      </w:r>
      <w:r>
        <w:t>sites</w:t>
      </w:r>
      <w:r>
        <w:rPr>
          <w:spacing w:val="-7"/>
        </w:rPr>
        <w:t xml:space="preserve"> </w:t>
      </w:r>
      <w:r>
        <w:t>or</w:t>
      </w:r>
      <w:r>
        <w:rPr>
          <w:spacing w:val="-7"/>
        </w:rPr>
        <w:t xml:space="preserve"> </w:t>
      </w:r>
      <w:r>
        <w:t>harm</w:t>
      </w:r>
      <w:r>
        <w:rPr>
          <w:spacing w:val="-5"/>
        </w:rPr>
        <w:t xml:space="preserve"> </w:t>
      </w:r>
      <w:r>
        <w:t>reduction</w:t>
      </w:r>
      <w:r>
        <w:rPr>
          <w:spacing w:val="-7"/>
        </w:rPr>
        <w:t xml:space="preserve"> </w:t>
      </w:r>
      <w:r>
        <w:t>sites</w:t>
      </w:r>
      <w:r>
        <w:rPr>
          <w:spacing w:val="-7"/>
        </w:rPr>
        <w:t xml:space="preserve"> </w:t>
      </w:r>
      <w:r>
        <w:t>-</w:t>
      </w:r>
      <w:r>
        <w:rPr>
          <w:spacing w:val="-9"/>
        </w:rPr>
        <w:t xml:space="preserve"> </w:t>
      </w:r>
      <w:r>
        <w:t>to</w:t>
      </w:r>
      <w:r>
        <w:rPr>
          <w:spacing w:val="-8"/>
        </w:rPr>
        <w:t xml:space="preserve"> </w:t>
      </w:r>
      <w:r>
        <w:t>increase access</w:t>
      </w:r>
      <w:r>
        <w:rPr>
          <w:spacing w:val="-2"/>
        </w:rPr>
        <w:t xml:space="preserve"> </w:t>
      </w:r>
      <w:r>
        <w:t>to health and education services. In</w:t>
      </w:r>
      <w:r>
        <w:rPr>
          <w:spacing w:val="-3"/>
        </w:rPr>
        <w:t xml:space="preserve"> </w:t>
      </w:r>
      <w:r>
        <w:t>Massachusetts,</w:t>
      </w:r>
      <w:r>
        <w:rPr>
          <w:spacing w:val="-2"/>
        </w:rPr>
        <w:t xml:space="preserve"> </w:t>
      </w:r>
      <w:r>
        <w:t>Somerville</w:t>
      </w:r>
      <w:r>
        <w:rPr>
          <w:spacing w:val="-2"/>
        </w:rPr>
        <w:t xml:space="preserve"> </w:t>
      </w:r>
      <w:r>
        <w:t>is</w:t>
      </w:r>
      <w:r>
        <w:rPr>
          <w:spacing w:val="-2"/>
        </w:rPr>
        <w:t xml:space="preserve"> </w:t>
      </w:r>
      <w:r>
        <w:t>exploring and has released</w:t>
      </w:r>
      <w:r>
        <w:rPr>
          <w:spacing w:val="-3"/>
        </w:rPr>
        <w:t xml:space="preserve"> </w:t>
      </w:r>
      <w:r>
        <w:t>a proposal to open the state’s f</w:t>
      </w:r>
      <w:r>
        <w:t>irst overdose prevention site.</w:t>
      </w:r>
      <w:hyperlink w:anchor="_bookmark97" w:history="1">
        <w:r>
          <w:rPr>
            <w:vertAlign w:val="superscript"/>
          </w:rPr>
          <w:t>3</w:t>
        </w:r>
      </w:hyperlink>
    </w:p>
    <w:p w:rsidR="00200FDA" w:rsidRDefault="00200FDA">
      <w:pPr>
        <w:spacing w:line="276" w:lineRule="auto"/>
        <w:jc w:val="both"/>
        <w:sectPr w:rsidR="00200FDA">
          <w:headerReference w:type="default" r:id="rId171"/>
          <w:footerReference w:type="default" r:id="rId172"/>
          <w:pgSz w:w="11910" w:h="16840"/>
          <w:pgMar w:top="1100" w:right="1040" w:bottom="1260" w:left="1300" w:header="761" w:footer="1062" w:gutter="0"/>
          <w:pgNumType w:start="36"/>
          <w:cols w:space="720"/>
        </w:sectPr>
      </w:pPr>
    </w:p>
    <w:p w:rsidR="00200FDA" w:rsidRDefault="00F76C4C">
      <w:pPr>
        <w:pStyle w:val="Heading9"/>
        <w:numPr>
          <w:ilvl w:val="0"/>
          <w:numId w:val="33"/>
        </w:numPr>
        <w:tabs>
          <w:tab w:val="left" w:pos="361"/>
        </w:tabs>
        <w:spacing w:before="154"/>
        <w:ind w:left="360"/>
      </w:pPr>
      <w:r>
        <w:lastRenderedPageBreak/>
        <w:t>Increase</w:t>
      </w:r>
      <w:r>
        <w:rPr>
          <w:spacing w:val="-8"/>
        </w:rPr>
        <w:t xml:space="preserve"> </w:t>
      </w:r>
      <w:r>
        <w:t>funding</w:t>
      </w:r>
      <w:r>
        <w:rPr>
          <w:spacing w:val="-6"/>
        </w:rPr>
        <w:t xml:space="preserve"> </w:t>
      </w:r>
      <w:r>
        <w:t>to</w:t>
      </w:r>
      <w:r>
        <w:rPr>
          <w:spacing w:val="-6"/>
        </w:rPr>
        <w:t xml:space="preserve"> </w:t>
      </w:r>
      <w:r>
        <w:t>organizations</w:t>
      </w:r>
      <w:r>
        <w:rPr>
          <w:spacing w:val="-6"/>
        </w:rPr>
        <w:t xml:space="preserve"> </w:t>
      </w:r>
      <w:r>
        <w:t>that</w:t>
      </w:r>
      <w:r>
        <w:rPr>
          <w:spacing w:val="-5"/>
        </w:rPr>
        <w:t xml:space="preserve"> </w:t>
      </w:r>
      <w:r>
        <w:t>support</w:t>
      </w:r>
      <w:r>
        <w:rPr>
          <w:spacing w:val="-5"/>
        </w:rPr>
        <w:t xml:space="preserve"> </w:t>
      </w:r>
      <w:r>
        <w:t>LGBTQ</w:t>
      </w:r>
      <w:r>
        <w:rPr>
          <w:spacing w:val="-5"/>
        </w:rPr>
        <w:t xml:space="preserve"> </w:t>
      </w:r>
      <w:r>
        <w:t>survivors</w:t>
      </w:r>
      <w:r>
        <w:rPr>
          <w:spacing w:val="-4"/>
        </w:rPr>
        <w:t xml:space="preserve"> </w:t>
      </w:r>
      <w:r>
        <w:t>of</w:t>
      </w:r>
      <w:r>
        <w:rPr>
          <w:spacing w:val="-7"/>
        </w:rPr>
        <w:t xml:space="preserve"> </w:t>
      </w:r>
      <w:r>
        <w:t>intimate</w:t>
      </w:r>
      <w:r>
        <w:rPr>
          <w:spacing w:val="-6"/>
        </w:rPr>
        <w:t xml:space="preserve"> </w:t>
      </w:r>
      <w:r>
        <w:t>partner</w:t>
      </w:r>
      <w:r>
        <w:rPr>
          <w:spacing w:val="-3"/>
        </w:rPr>
        <w:t xml:space="preserve"> </w:t>
      </w:r>
      <w:r>
        <w:rPr>
          <w:spacing w:val="-2"/>
        </w:rPr>
        <w:t>violence.</w:t>
      </w:r>
    </w:p>
    <w:p w:rsidR="00200FDA" w:rsidRDefault="00200FDA">
      <w:pPr>
        <w:pStyle w:val="BodyText"/>
        <w:spacing w:before="6"/>
        <w:rPr>
          <w:b/>
          <w:sz w:val="28"/>
        </w:rPr>
      </w:pPr>
    </w:p>
    <w:p w:rsidR="00200FDA" w:rsidRDefault="00F76C4C">
      <w:pPr>
        <w:pStyle w:val="BodyText"/>
        <w:spacing w:line="276" w:lineRule="auto"/>
        <w:ind w:left="140" w:right="394"/>
        <w:jc w:val="both"/>
      </w:pPr>
      <w:r>
        <w:t>The Commission</w:t>
      </w:r>
      <w:r>
        <w:rPr>
          <w:spacing w:val="-1"/>
        </w:rPr>
        <w:t xml:space="preserve"> </w:t>
      </w:r>
      <w:r>
        <w:t>recommends that</w:t>
      </w:r>
      <w:r>
        <w:rPr>
          <w:spacing w:val="-2"/>
        </w:rPr>
        <w:t xml:space="preserve"> </w:t>
      </w:r>
      <w:r>
        <w:t>Massachusetts</w:t>
      </w:r>
      <w:r>
        <w:rPr>
          <w:spacing w:val="-3"/>
        </w:rPr>
        <w:t xml:space="preserve"> </w:t>
      </w:r>
      <w:r>
        <w:t>continue to increase funding</w:t>
      </w:r>
      <w:r>
        <w:rPr>
          <w:spacing w:val="-4"/>
        </w:rPr>
        <w:t xml:space="preserve"> </w:t>
      </w:r>
      <w:r>
        <w:t>to</w:t>
      </w:r>
      <w:r>
        <w:rPr>
          <w:spacing w:val="-2"/>
        </w:rPr>
        <w:t xml:space="preserve"> </w:t>
      </w:r>
      <w:r>
        <w:t xml:space="preserve">organizations that support LGBTQ youth who are survivors of intimate partner violence, and ensure that laws and services currently in place are working as intended to protect and support survivors, rather than </w:t>
      </w:r>
      <w:r>
        <w:t>placing an undue burden on them. As further explained below, LGBTQ survivors of intimate partner violence most desire support from services that are respectful, safe, and affirming.</w:t>
      </w:r>
    </w:p>
    <w:p w:rsidR="00200FDA" w:rsidRDefault="00200FDA">
      <w:pPr>
        <w:pStyle w:val="BodyText"/>
        <w:spacing w:before="3"/>
        <w:rPr>
          <w:sz w:val="25"/>
        </w:rPr>
      </w:pPr>
    </w:p>
    <w:p w:rsidR="00200FDA" w:rsidRDefault="00F76C4C">
      <w:pPr>
        <w:pStyle w:val="Heading9"/>
        <w:numPr>
          <w:ilvl w:val="0"/>
          <w:numId w:val="33"/>
        </w:numPr>
        <w:tabs>
          <w:tab w:val="left" w:pos="395"/>
        </w:tabs>
        <w:spacing w:line="276" w:lineRule="auto"/>
        <w:ind w:right="397" w:firstLine="0"/>
      </w:pPr>
      <w:r>
        <w:t>Ensure</w:t>
      </w:r>
      <w:r>
        <w:rPr>
          <w:spacing w:val="27"/>
        </w:rPr>
        <w:t xml:space="preserve"> </w:t>
      </w:r>
      <w:r>
        <w:t>that</w:t>
      </w:r>
      <w:r>
        <w:rPr>
          <w:spacing w:val="30"/>
        </w:rPr>
        <w:t xml:space="preserve"> </w:t>
      </w:r>
      <w:r>
        <w:t>public</w:t>
      </w:r>
      <w:r>
        <w:rPr>
          <w:spacing w:val="29"/>
        </w:rPr>
        <w:t xml:space="preserve"> </w:t>
      </w:r>
      <w:r>
        <w:t>schools,</w:t>
      </w:r>
      <w:r>
        <w:rPr>
          <w:spacing w:val="28"/>
        </w:rPr>
        <w:t xml:space="preserve"> </w:t>
      </w:r>
      <w:r>
        <w:t>colleges,</w:t>
      </w:r>
      <w:r>
        <w:rPr>
          <w:spacing w:val="31"/>
        </w:rPr>
        <w:t xml:space="preserve"> </w:t>
      </w:r>
      <w:r>
        <w:t>and</w:t>
      </w:r>
      <w:r>
        <w:rPr>
          <w:spacing w:val="29"/>
        </w:rPr>
        <w:t xml:space="preserve"> </w:t>
      </w:r>
      <w:r>
        <w:t>universities</w:t>
      </w:r>
      <w:r>
        <w:rPr>
          <w:spacing w:val="31"/>
        </w:rPr>
        <w:t xml:space="preserve"> </w:t>
      </w:r>
      <w:r>
        <w:t>have</w:t>
      </w:r>
      <w:r>
        <w:rPr>
          <w:spacing w:val="27"/>
        </w:rPr>
        <w:t xml:space="preserve"> </w:t>
      </w:r>
      <w:r>
        <w:t>comprehensive</w:t>
      </w:r>
      <w:r>
        <w:rPr>
          <w:spacing w:val="29"/>
        </w:rPr>
        <w:t xml:space="preserve"> </w:t>
      </w:r>
      <w:r>
        <w:t>anti-bullying,</w:t>
      </w:r>
      <w:r>
        <w:rPr>
          <w:spacing w:val="31"/>
        </w:rPr>
        <w:t xml:space="preserve"> </w:t>
      </w:r>
      <w:r>
        <w:t>anti- cyberbullying, and anti-harassment policies.</w:t>
      </w:r>
    </w:p>
    <w:p w:rsidR="00200FDA" w:rsidRDefault="00200FDA">
      <w:pPr>
        <w:pStyle w:val="BodyText"/>
        <w:spacing w:before="6"/>
        <w:rPr>
          <w:b/>
          <w:sz w:val="25"/>
        </w:rPr>
      </w:pPr>
    </w:p>
    <w:p w:rsidR="00200FDA" w:rsidRDefault="00F76C4C">
      <w:pPr>
        <w:pStyle w:val="BodyText"/>
        <w:spacing w:line="276" w:lineRule="auto"/>
        <w:ind w:left="139" w:right="394"/>
        <w:jc w:val="both"/>
      </w:pPr>
      <w:r>
        <w:t>Despite the adverse physical, emotional, mental, social, and educational outcomes that can occur from youth who are victims of bullying, confusion remains on the recourse that many student</w:t>
      </w:r>
      <w:r>
        <w:t>s and educators have to address incidents of bullying. The Commission recommends that public schools, college, and universities examine their anti-bullying and anti-harassment policies to ensure that: 1) there</w:t>
      </w:r>
      <w:r>
        <w:rPr>
          <w:spacing w:val="-6"/>
        </w:rPr>
        <w:t xml:space="preserve"> </w:t>
      </w:r>
      <w:r>
        <w:t>is</w:t>
      </w:r>
      <w:r>
        <w:rPr>
          <w:spacing w:val="-7"/>
        </w:rPr>
        <w:t xml:space="preserve"> </w:t>
      </w:r>
      <w:r>
        <w:t>a</w:t>
      </w:r>
      <w:r>
        <w:rPr>
          <w:spacing w:val="-5"/>
        </w:rPr>
        <w:t xml:space="preserve"> </w:t>
      </w:r>
      <w:r>
        <w:t>clear</w:t>
      </w:r>
      <w:r>
        <w:rPr>
          <w:spacing w:val="-7"/>
        </w:rPr>
        <w:t xml:space="preserve"> </w:t>
      </w:r>
      <w:r>
        <w:t>and</w:t>
      </w:r>
      <w:r>
        <w:rPr>
          <w:spacing w:val="-5"/>
        </w:rPr>
        <w:t xml:space="preserve"> </w:t>
      </w:r>
      <w:r>
        <w:t>detailed</w:t>
      </w:r>
      <w:r>
        <w:rPr>
          <w:spacing w:val="-5"/>
        </w:rPr>
        <w:t xml:space="preserve"> </w:t>
      </w:r>
      <w:r>
        <w:t>plan</w:t>
      </w:r>
      <w:r>
        <w:rPr>
          <w:spacing w:val="-5"/>
        </w:rPr>
        <w:t xml:space="preserve"> </w:t>
      </w:r>
      <w:r>
        <w:t>that</w:t>
      </w:r>
      <w:r>
        <w:rPr>
          <w:spacing w:val="-6"/>
        </w:rPr>
        <w:t xml:space="preserve"> </w:t>
      </w:r>
      <w:r>
        <w:t>supports</w:t>
      </w:r>
      <w:r>
        <w:rPr>
          <w:spacing w:val="-7"/>
        </w:rPr>
        <w:t xml:space="preserve"> </w:t>
      </w:r>
      <w:r>
        <w:t>vic</w:t>
      </w:r>
      <w:r>
        <w:t>tims</w:t>
      </w:r>
      <w:r>
        <w:rPr>
          <w:spacing w:val="-7"/>
        </w:rPr>
        <w:t xml:space="preserve"> </w:t>
      </w:r>
      <w:r>
        <w:t>of</w:t>
      </w:r>
      <w:r>
        <w:rPr>
          <w:spacing w:val="-5"/>
        </w:rPr>
        <w:t xml:space="preserve"> </w:t>
      </w:r>
      <w:r>
        <w:t>bullying,</w:t>
      </w:r>
      <w:r>
        <w:rPr>
          <w:spacing w:val="-7"/>
        </w:rPr>
        <w:t xml:space="preserve"> </w:t>
      </w:r>
      <w:r>
        <w:t>and</w:t>
      </w:r>
      <w:r>
        <w:rPr>
          <w:spacing w:val="-7"/>
        </w:rPr>
        <w:t xml:space="preserve"> </w:t>
      </w:r>
      <w:r>
        <w:t>offers</w:t>
      </w:r>
      <w:r>
        <w:rPr>
          <w:spacing w:val="-7"/>
        </w:rPr>
        <w:t xml:space="preserve"> </w:t>
      </w:r>
      <w:r>
        <w:t>training</w:t>
      </w:r>
      <w:r>
        <w:rPr>
          <w:spacing w:val="-5"/>
        </w:rPr>
        <w:t xml:space="preserve"> </w:t>
      </w:r>
      <w:r>
        <w:t>and</w:t>
      </w:r>
      <w:r>
        <w:rPr>
          <w:spacing w:val="-5"/>
        </w:rPr>
        <w:t xml:space="preserve"> </w:t>
      </w:r>
      <w:r>
        <w:t>appropriate consequences for perpetrators</w:t>
      </w:r>
      <w:r>
        <w:rPr>
          <w:spacing w:val="-1"/>
        </w:rPr>
        <w:t xml:space="preserve"> </w:t>
      </w:r>
      <w:r>
        <w:t>of bullying; 2) there is</w:t>
      </w:r>
      <w:r>
        <w:rPr>
          <w:spacing w:val="-1"/>
        </w:rPr>
        <w:t xml:space="preserve"> </w:t>
      </w:r>
      <w:r>
        <w:t>a clear definition</w:t>
      </w:r>
      <w:r>
        <w:rPr>
          <w:spacing w:val="-2"/>
        </w:rPr>
        <w:t xml:space="preserve"> </w:t>
      </w:r>
      <w:r>
        <w:t>of</w:t>
      </w:r>
      <w:r>
        <w:rPr>
          <w:spacing w:val="-1"/>
        </w:rPr>
        <w:t xml:space="preserve"> </w:t>
      </w:r>
      <w:r>
        <w:t>the role of</w:t>
      </w:r>
      <w:r>
        <w:rPr>
          <w:spacing w:val="-1"/>
        </w:rPr>
        <w:t xml:space="preserve"> </w:t>
      </w:r>
      <w:r>
        <w:t>school staff and educators on addressing bullying, and recurring scenario-based professional development training</w:t>
      </w:r>
      <w:r>
        <w:t>s are</w:t>
      </w:r>
      <w:r>
        <w:rPr>
          <w:spacing w:val="-13"/>
        </w:rPr>
        <w:t xml:space="preserve"> </w:t>
      </w:r>
      <w:r>
        <w:t>available</w:t>
      </w:r>
      <w:r>
        <w:rPr>
          <w:spacing w:val="-12"/>
        </w:rPr>
        <w:t xml:space="preserve"> </w:t>
      </w:r>
      <w:r>
        <w:t>on</w:t>
      </w:r>
      <w:r>
        <w:rPr>
          <w:spacing w:val="-13"/>
        </w:rPr>
        <w:t xml:space="preserve"> </w:t>
      </w:r>
      <w:r>
        <w:t>an</w:t>
      </w:r>
      <w:r>
        <w:rPr>
          <w:spacing w:val="-12"/>
        </w:rPr>
        <w:t xml:space="preserve"> </w:t>
      </w:r>
      <w:r>
        <w:t>annual</w:t>
      </w:r>
      <w:r>
        <w:rPr>
          <w:spacing w:val="-13"/>
        </w:rPr>
        <w:t xml:space="preserve"> </w:t>
      </w:r>
      <w:r>
        <w:t>basis;</w:t>
      </w:r>
      <w:r>
        <w:rPr>
          <w:spacing w:val="-12"/>
        </w:rPr>
        <w:t xml:space="preserve"> </w:t>
      </w:r>
      <w:r>
        <w:t>3)</w:t>
      </w:r>
      <w:r>
        <w:rPr>
          <w:spacing w:val="-13"/>
        </w:rPr>
        <w:t xml:space="preserve"> </w:t>
      </w:r>
      <w:r>
        <w:t>there</w:t>
      </w:r>
      <w:r>
        <w:rPr>
          <w:spacing w:val="-12"/>
        </w:rPr>
        <w:t xml:space="preserve"> </w:t>
      </w:r>
      <w:r>
        <w:t>is</w:t>
      </w:r>
      <w:r>
        <w:rPr>
          <w:spacing w:val="-12"/>
        </w:rPr>
        <w:t xml:space="preserve"> </w:t>
      </w:r>
      <w:r>
        <w:t>a</w:t>
      </w:r>
      <w:r>
        <w:rPr>
          <w:spacing w:val="-13"/>
        </w:rPr>
        <w:t xml:space="preserve"> </w:t>
      </w:r>
      <w:r>
        <w:t>clear</w:t>
      </w:r>
      <w:r>
        <w:rPr>
          <w:spacing w:val="-12"/>
        </w:rPr>
        <w:t xml:space="preserve"> </w:t>
      </w:r>
      <w:r>
        <w:t>and</w:t>
      </w:r>
      <w:r>
        <w:rPr>
          <w:spacing w:val="-13"/>
        </w:rPr>
        <w:t xml:space="preserve"> </w:t>
      </w:r>
      <w:r>
        <w:t>impartial</w:t>
      </w:r>
      <w:r>
        <w:rPr>
          <w:spacing w:val="-12"/>
        </w:rPr>
        <w:t xml:space="preserve"> </w:t>
      </w:r>
      <w:r>
        <w:t>review</w:t>
      </w:r>
      <w:r>
        <w:rPr>
          <w:spacing w:val="-13"/>
        </w:rPr>
        <w:t xml:space="preserve"> </w:t>
      </w:r>
      <w:r>
        <w:t>process</w:t>
      </w:r>
      <w:r>
        <w:rPr>
          <w:spacing w:val="-12"/>
        </w:rPr>
        <w:t xml:space="preserve"> </w:t>
      </w:r>
      <w:r>
        <w:t>to</w:t>
      </w:r>
      <w:r>
        <w:rPr>
          <w:spacing w:val="-12"/>
        </w:rPr>
        <w:t xml:space="preserve"> </w:t>
      </w:r>
      <w:r>
        <w:t>examine</w:t>
      </w:r>
      <w:r>
        <w:rPr>
          <w:spacing w:val="-13"/>
        </w:rPr>
        <w:t xml:space="preserve"> </w:t>
      </w:r>
      <w:r>
        <w:t>disciplinary incidents</w:t>
      </w:r>
      <w:r>
        <w:rPr>
          <w:spacing w:val="-13"/>
        </w:rPr>
        <w:t xml:space="preserve"> </w:t>
      </w:r>
      <w:r>
        <w:t>occurring</w:t>
      </w:r>
      <w:r>
        <w:rPr>
          <w:spacing w:val="-12"/>
        </w:rPr>
        <w:t xml:space="preserve"> </w:t>
      </w:r>
      <w:r>
        <w:t>from</w:t>
      </w:r>
      <w:r>
        <w:rPr>
          <w:spacing w:val="-13"/>
        </w:rPr>
        <w:t xml:space="preserve"> </w:t>
      </w:r>
      <w:r>
        <w:t>bullying;</w:t>
      </w:r>
      <w:r>
        <w:rPr>
          <w:spacing w:val="-12"/>
        </w:rPr>
        <w:t xml:space="preserve"> </w:t>
      </w:r>
      <w:r>
        <w:t>4)</w:t>
      </w:r>
      <w:r>
        <w:rPr>
          <w:spacing w:val="-13"/>
        </w:rPr>
        <w:t xml:space="preserve"> </w:t>
      </w:r>
      <w:r>
        <w:t>bullying</w:t>
      </w:r>
      <w:r>
        <w:rPr>
          <w:spacing w:val="-12"/>
        </w:rPr>
        <w:t xml:space="preserve"> </w:t>
      </w:r>
      <w:r>
        <w:t>policies</w:t>
      </w:r>
      <w:r>
        <w:rPr>
          <w:spacing w:val="-13"/>
        </w:rPr>
        <w:t xml:space="preserve"> </w:t>
      </w:r>
      <w:r>
        <w:t>include</w:t>
      </w:r>
      <w:r>
        <w:rPr>
          <w:spacing w:val="-12"/>
        </w:rPr>
        <w:t xml:space="preserve"> </w:t>
      </w:r>
      <w:r>
        <w:t>anti-cyberbullying</w:t>
      </w:r>
      <w:r>
        <w:rPr>
          <w:spacing w:val="-12"/>
        </w:rPr>
        <w:t xml:space="preserve"> </w:t>
      </w:r>
      <w:r>
        <w:t>provisions</w:t>
      </w:r>
      <w:r>
        <w:rPr>
          <w:spacing w:val="-13"/>
        </w:rPr>
        <w:t xml:space="preserve"> </w:t>
      </w:r>
      <w:r>
        <w:t>with</w:t>
      </w:r>
      <w:r>
        <w:rPr>
          <w:spacing w:val="-12"/>
        </w:rPr>
        <w:t xml:space="preserve"> </w:t>
      </w:r>
      <w:r>
        <w:t>lessons available for students and educators on appropriate technology usage.</w:t>
      </w:r>
    </w:p>
    <w:p w:rsidR="00200FDA" w:rsidRDefault="00200FDA">
      <w:pPr>
        <w:pStyle w:val="BodyText"/>
        <w:spacing w:before="2"/>
        <w:rPr>
          <w:sz w:val="25"/>
        </w:rPr>
      </w:pPr>
    </w:p>
    <w:p w:rsidR="00200FDA" w:rsidRDefault="00F76C4C">
      <w:pPr>
        <w:pStyle w:val="Heading9"/>
        <w:numPr>
          <w:ilvl w:val="0"/>
          <w:numId w:val="33"/>
        </w:numPr>
        <w:tabs>
          <w:tab w:val="left" w:pos="409"/>
        </w:tabs>
        <w:spacing w:line="276" w:lineRule="auto"/>
        <w:ind w:left="139" w:right="393" w:firstLine="0"/>
      </w:pPr>
      <w:r>
        <w:t>Decriminalize</w:t>
      </w:r>
      <w:r>
        <w:rPr>
          <w:spacing w:val="40"/>
        </w:rPr>
        <w:t xml:space="preserve"> </w:t>
      </w:r>
      <w:r>
        <w:t>sex</w:t>
      </w:r>
      <w:r>
        <w:rPr>
          <w:spacing w:val="40"/>
        </w:rPr>
        <w:t xml:space="preserve"> </w:t>
      </w:r>
      <w:r>
        <w:t>work,</w:t>
      </w:r>
      <w:r>
        <w:rPr>
          <w:spacing w:val="40"/>
        </w:rPr>
        <w:t xml:space="preserve"> </w:t>
      </w:r>
      <w:r>
        <w:t>and</w:t>
      </w:r>
      <w:r>
        <w:rPr>
          <w:spacing w:val="40"/>
        </w:rPr>
        <w:t xml:space="preserve"> </w:t>
      </w:r>
      <w:r>
        <w:t>increase</w:t>
      </w:r>
      <w:r>
        <w:rPr>
          <w:spacing w:val="40"/>
        </w:rPr>
        <w:t xml:space="preserve"> </w:t>
      </w:r>
      <w:r>
        <w:t>resources</w:t>
      </w:r>
      <w:r>
        <w:rPr>
          <w:spacing w:val="40"/>
        </w:rPr>
        <w:t xml:space="preserve"> </w:t>
      </w:r>
      <w:r>
        <w:t>to</w:t>
      </w:r>
      <w:r>
        <w:rPr>
          <w:spacing w:val="40"/>
        </w:rPr>
        <w:t xml:space="preserve"> </w:t>
      </w:r>
      <w:r>
        <w:t>programs</w:t>
      </w:r>
      <w:r>
        <w:rPr>
          <w:spacing w:val="40"/>
        </w:rPr>
        <w:t xml:space="preserve"> </w:t>
      </w:r>
      <w:r>
        <w:t>working</w:t>
      </w:r>
      <w:r>
        <w:rPr>
          <w:spacing w:val="40"/>
        </w:rPr>
        <w:t xml:space="preserve"> </w:t>
      </w:r>
      <w:r>
        <w:t>with</w:t>
      </w:r>
      <w:r>
        <w:rPr>
          <w:spacing w:val="40"/>
        </w:rPr>
        <w:t xml:space="preserve"> </w:t>
      </w:r>
      <w:r>
        <w:t>youth</w:t>
      </w:r>
      <w:r>
        <w:rPr>
          <w:spacing w:val="40"/>
        </w:rPr>
        <w:t xml:space="preserve"> </w:t>
      </w:r>
      <w:r>
        <w:t>at</w:t>
      </w:r>
      <w:r>
        <w:rPr>
          <w:spacing w:val="40"/>
        </w:rPr>
        <w:t xml:space="preserve"> </w:t>
      </w:r>
      <w:r>
        <w:t>risk</w:t>
      </w:r>
      <w:r>
        <w:rPr>
          <w:spacing w:val="40"/>
        </w:rPr>
        <w:t xml:space="preserve"> </w:t>
      </w:r>
      <w:r>
        <w:t>of commercial sex trafficking.</w:t>
      </w:r>
    </w:p>
    <w:p w:rsidR="00200FDA" w:rsidRDefault="00200FDA">
      <w:pPr>
        <w:pStyle w:val="BodyText"/>
        <w:spacing w:before="3"/>
        <w:rPr>
          <w:b/>
          <w:sz w:val="25"/>
        </w:rPr>
      </w:pPr>
    </w:p>
    <w:p w:rsidR="00200FDA" w:rsidRDefault="00F76C4C">
      <w:pPr>
        <w:pStyle w:val="BodyText"/>
        <w:spacing w:line="276" w:lineRule="auto"/>
        <w:ind w:left="139" w:right="396"/>
        <w:jc w:val="both"/>
      </w:pPr>
      <w:r>
        <w:t>As</w:t>
      </w:r>
      <w:r>
        <w:rPr>
          <w:spacing w:val="-2"/>
        </w:rPr>
        <w:t xml:space="preserve"> </w:t>
      </w:r>
      <w:r>
        <w:t>highlighted</w:t>
      </w:r>
      <w:r>
        <w:rPr>
          <w:spacing w:val="-3"/>
        </w:rPr>
        <w:t xml:space="preserve"> </w:t>
      </w:r>
      <w:r>
        <w:t>in</w:t>
      </w:r>
      <w:r>
        <w:rPr>
          <w:spacing w:val="-3"/>
        </w:rPr>
        <w:t xml:space="preserve"> </w:t>
      </w:r>
      <w:r>
        <w:t>several</w:t>
      </w:r>
      <w:r>
        <w:rPr>
          <w:spacing w:val="-2"/>
        </w:rPr>
        <w:t xml:space="preserve"> </w:t>
      </w:r>
      <w:r>
        <w:t>sections</w:t>
      </w:r>
      <w:r>
        <w:rPr>
          <w:spacing w:val="-4"/>
        </w:rPr>
        <w:t xml:space="preserve"> </w:t>
      </w:r>
      <w:r>
        <w:t>of</w:t>
      </w:r>
      <w:r>
        <w:rPr>
          <w:spacing w:val="-5"/>
        </w:rPr>
        <w:t xml:space="preserve"> </w:t>
      </w:r>
      <w:r>
        <w:t>this</w:t>
      </w:r>
      <w:r>
        <w:rPr>
          <w:spacing w:val="-2"/>
        </w:rPr>
        <w:t xml:space="preserve"> </w:t>
      </w:r>
      <w:r>
        <w:t>annual</w:t>
      </w:r>
      <w:r>
        <w:rPr>
          <w:spacing w:val="-2"/>
        </w:rPr>
        <w:t xml:space="preserve"> </w:t>
      </w:r>
      <w:r>
        <w:t>report,</w:t>
      </w:r>
      <w:r>
        <w:rPr>
          <w:spacing w:val="-2"/>
        </w:rPr>
        <w:t xml:space="preserve"> </w:t>
      </w:r>
      <w:r>
        <w:t>the</w:t>
      </w:r>
      <w:r>
        <w:rPr>
          <w:spacing w:val="-1"/>
        </w:rPr>
        <w:t xml:space="preserve"> </w:t>
      </w:r>
      <w:r>
        <w:t>Commission</w:t>
      </w:r>
      <w:r>
        <w:rPr>
          <w:spacing w:val="-4"/>
        </w:rPr>
        <w:t xml:space="preserve"> </w:t>
      </w:r>
      <w:r>
        <w:t>continues</w:t>
      </w:r>
      <w:r>
        <w:rPr>
          <w:spacing w:val="-2"/>
        </w:rPr>
        <w:t xml:space="preserve"> </w:t>
      </w:r>
      <w:r>
        <w:t>to</w:t>
      </w:r>
      <w:r>
        <w:rPr>
          <w:spacing w:val="-3"/>
        </w:rPr>
        <w:t xml:space="preserve"> </w:t>
      </w:r>
      <w:r>
        <w:t>recommend</w:t>
      </w:r>
      <w:r>
        <w:rPr>
          <w:spacing w:val="-3"/>
        </w:rPr>
        <w:t xml:space="preserve"> </w:t>
      </w:r>
      <w:r>
        <w:t>the decriminalization</w:t>
      </w:r>
      <w:r>
        <w:rPr>
          <w:spacing w:val="-3"/>
        </w:rPr>
        <w:t xml:space="preserve"> </w:t>
      </w:r>
      <w:r>
        <w:t>of sex</w:t>
      </w:r>
      <w:r>
        <w:rPr>
          <w:spacing w:val="-1"/>
        </w:rPr>
        <w:t xml:space="preserve"> </w:t>
      </w:r>
      <w:r>
        <w:t>work for</w:t>
      </w:r>
      <w:r>
        <w:rPr>
          <w:spacing w:val="-2"/>
        </w:rPr>
        <w:t xml:space="preserve"> </w:t>
      </w:r>
      <w:r>
        <w:t>youth</w:t>
      </w:r>
      <w:r>
        <w:rPr>
          <w:spacing w:val="-3"/>
        </w:rPr>
        <w:t xml:space="preserve"> </w:t>
      </w:r>
      <w:r>
        <w:t>over</w:t>
      </w:r>
      <w:r>
        <w:rPr>
          <w:spacing w:val="-2"/>
        </w:rPr>
        <w:t xml:space="preserve"> </w:t>
      </w:r>
      <w:r>
        <w:t>the</w:t>
      </w:r>
      <w:r>
        <w:rPr>
          <w:spacing w:val="-1"/>
        </w:rPr>
        <w:t xml:space="preserve"> </w:t>
      </w:r>
      <w:r>
        <w:t>age</w:t>
      </w:r>
      <w:r>
        <w:rPr>
          <w:spacing w:val="-1"/>
        </w:rPr>
        <w:t xml:space="preserve"> </w:t>
      </w:r>
      <w:r>
        <w:t>of 18 to better address public health</w:t>
      </w:r>
      <w:r>
        <w:rPr>
          <w:spacing w:val="-3"/>
        </w:rPr>
        <w:t xml:space="preserve"> </w:t>
      </w:r>
      <w:r>
        <w:t>disparities, increase housing access, and reduce criminal legal system involvement for LGBTQ youth. By decriminalizing</w:t>
      </w:r>
      <w:r>
        <w:rPr>
          <w:spacing w:val="-6"/>
        </w:rPr>
        <w:t xml:space="preserve"> </w:t>
      </w:r>
      <w:r>
        <w:t>sex</w:t>
      </w:r>
      <w:r>
        <w:rPr>
          <w:spacing w:val="-5"/>
        </w:rPr>
        <w:t xml:space="preserve"> </w:t>
      </w:r>
      <w:r>
        <w:t>work,</w:t>
      </w:r>
      <w:r>
        <w:rPr>
          <w:spacing w:val="-8"/>
        </w:rPr>
        <w:t xml:space="preserve"> </w:t>
      </w:r>
      <w:r>
        <w:t>resources</w:t>
      </w:r>
      <w:r>
        <w:rPr>
          <w:spacing w:val="-5"/>
        </w:rPr>
        <w:t xml:space="preserve"> </w:t>
      </w:r>
      <w:r>
        <w:t>are</w:t>
      </w:r>
      <w:r>
        <w:rPr>
          <w:spacing w:val="-5"/>
        </w:rPr>
        <w:t xml:space="preserve"> </w:t>
      </w:r>
      <w:r>
        <w:t>better</w:t>
      </w:r>
      <w:r>
        <w:rPr>
          <w:spacing w:val="-6"/>
        </w:rPr>
        <w:t xml:space="preserve"> </w:t>
      </w:r>
      <w:r>
        <w:t>diverted</w:t>
      </w:r>
      <w:r>
        <w:rPr>
          <w:spacing w:val="-6"/>
        </w:rPr>
        <w:t xml:space="preserve"> </w:t>
      </w:r>
      <w:r>
        <w:t>to</w:t>
      </w:r>
      <w:r>
        <w:rPr>
          <w:spacing w:val="-6"/>
        </w:rPr>
        <w:t xml:space="preserve"> </w:t>
      </w:r>
      <w:r>
        <w:t>effectively</w:t>
      </w:r>
      <w:r>
        <w:rPr>
          <w:spacing w:val="-4"/>
        </w:rPr>
        <w:t xml:space="preserve"> </w:t>
      </w:r>
      <w:r>
        <w:t>address</w:t>
      </w:r>
      <w:r>
        <w:rPr>
          <w:spacing w:val="-5"/>
        </w:rPr>
        <w:t xml:space="preserve"> </w:t>
      </w:r>
      <w:r>
        <w:t>supporting</w:t>
      </w:r>
      <w:r>
        <w:rPr>
          <w:spacing w:val="-6"/>
        </w:rPr>
        <w:t xml:space="preserve"> </w:t>
      </w:r>
      <w:r>
        <w:t>youth</w:t>
      </w:r>
      <w:r>
        <w:rPr>
          <w:spacing w:val="-6"/>
        </w:rPr>
        <w:t xml:space="preserve"> </w:t>
      </w:r>
      <w:r>
        <w:t>at</w:t>
      </w:r>
      <w:r>
        <w:rPr>
          <w:spacing w:val="-5"/>
        </w:rPr>
        <w:t xml:space="preserve"> </w:t>
      </w:r>
      <w:r>
        <w:t>risk of</w:t>
      </w:r>
      <w:r>
        <w:rPr>
          <w:spacing w:val="-9"/>
        </w:rPr>
        <w:t xml:space="preserve"> </w:t>
      </w:r>
      <w:r>
        <w:t>commercial</w:t>
      </w:r>
      <w:r>
        <w:rPr>
          <w:spacing w:val="-12"/>
        </w:rPr>
        <w:t xml:space="preserve"> </w:t>
      </w:r>
      <w:r>
        <w:t>sexual</w:t>
      </w:r>
      <w:r>
        <w:rPr>
          <w:spacing w:val="-9"/>
        </w:rPr>
        <w:t xml:space="preserve"> </w:t>
      </w:r>
      <w:r>
        <w:t>exploitation</w:t>
      </w:r>
      <w:r>
        <w:rPr>
          <w:spacing w:val="-12"/>
        </w:rPr>
        <w:t xml:space="preserve"> </w:t>
      </w:r>
      <w:r>
        <w:t>and</w:t>
      </w:r>
      <w:r>
        <w:rPr>
          <w:spacing w:val="-10"/>
        </w:rPr>
        <w:t xml:space="preserve"> </w:t>
      </w:r>
      <w:r>
        <w:t>trafficking.</w:t>
      </w:r>
      <w:r>
        <w:rPr>
          <w:spacing w:val="-9"/>
        </w:rPr>
        <w:t xml:space="preserve"> </w:t>
      </w:r>
      <w:r>
        <w:t>As</w:t>
      </w:r>
      <w:r>
        <w:rPr>
          <w:spacing w:val="-9"/>
        </w:rPr>
        <w:t xml:space="preserve"> </w:t>
      </w:r>
      <w:r>
        <w:t>noted</w:t>
      </w:r>
      <w:r>
        <w:rPr>
          <w:spacing w:val="-10"/>
        </w:rPr>
        <w:t xml:space="preserve"> </w:t>
      </w:r>
      <w:r>
        <w:t>below,</w:t>
      </w:r>
      <w:r>
        <w:rPr>
          <w:spacing w:val="-11"/>
        </w:rPr>
        <w:t xml:space="preserve"> </w:t>
      </w:r>
      <w:r>
        <w:t>the</w:t>
      </w:r>
      <w:r>
        <w:rPr>
          <w:spacing w:val="-11"/>
        </w:rPr>
        <w:t xml:space="preserve"> </w:t>
      </w:r>
      <w:r>
        <w:t>incorrect</w:t>
      </w:r>
      <w:r>
        <w:rPr>
          <w:spacing w:val="-8"/>
        </w:rPr>
        <w:t xml:space="preserve"> </w:t>
      </w:r>
      <w:r>
        <w:t>conflation</w:t>
      </w:r>
      <w:r>
        <w:rPr>
          <w:spacing w:val="-12"/>
        </w:rPr>
        <w:t xml:space="preserve"> </w:t>
      </w:r>
      <w:r>
        <w:t>of</w:t>
      </w:r>
      <w:r>
        <w:rPr>
          <w:spacing w:val="-9"/>
        </w:rPr>
        <w:t xml:space="preserve"> </w:t>
      </w:r>
      <w:r>
        <w:t>sex</w:t>
      </w:r>
      <w:r>
        <w:rPr>
          <w:spacing w:val="-11"/>
        </w:rPr>
        <w:t xml:space="preserve"> </w:t>
      </w:r>
      <w:r>
        <w:t xml:space="preserve">work and sex trafficking sets up ineffective and inefficient programs to </w:t>
      </w:r>
      <w:r>
        <w:t>often treat incidents of consensual sex work as trafficking, while also sometimes simultaneously punishing sexually exploited victims as criminalized sex workers.</w:t>
      </w:r>
    </w:p>
    <w:p w:rsidR="00200FDA" w:rsidRDefault="00200FDA">
      <w:pPr>
        <w:pStyle w:val="BodyText"/>
        <w:spacing w:before="9"/>
        <w:rPr>
          <w:sz w:val="19"/>
        </w:rPr>
      </w:pPr>
    </w:p>
    <w:p w:rsidR="00200FDA" w:rsidRDefault="00F76C4C">
      <w:pPr>
        <w:pStyle w:val="BodyText"/>
        <w:spacing w:line="276" w:lineRule="auto"/>
        <w:ind w:left="139" w:right="395"/>
        <w:jc w:val="both"/>
      </w:pPr>
      <w:r>
        <w:t>Additionally, the Commission advises that the state invest more resources to programs specif</w:t>
      </w:r>
      <w:r>
        <w:t>ically working</w:t>
      </w:r>
      <w:r>
        <w:rPr>
          <w:spacing w:val="-13"/>
        </w:rPr>
        <w:t xml:space="preserve"> </w:t>
      </w:r>
      <w:r>
        <w:t>with</w:t>
      </w:r>
      <w:r>
        <w:rPr>
          <w:spacing w:val="-11"/>
        </w:rPr>
        <w:t xml:space="preserve"> </w:t>
      </w:r>
      <w:r>
        <w:t>youth</w:t>
      </w:r>
      <w:r>
        <w:rPr>
          <w:spacing w:val="-11"/>
        </w:rPr>
        <w:t xml:space="preserve"> </w:t>
      </w:r>
      <w:r>
        <w:t>at</w:t>
      </w:r>
      <w:r>
        <w:rPr>
          <w:spacing w:val="-12"/>
        </w:rPr>
        <w:t xml:space="preserve"> </w:t>
      </w:r>
      <w:r>
        <w:t>risk</w:t>
      </w:r>
      <w:r>
        <w:rPr>
          <w:spacing w:val="-12"/>
        </w:rPr>
        <w:t xml:space="preserve"> </w:t>
      </w:r>
      <w:r>
        <w:t>of</w:t>
      </w:r>
      <w:r>
        <w:rPr>
          <w:spacing w:val="-11"/>
        </w:rPr>
        <w:t xml:space="preserve"> </w:t>
      </w:r>
      <w:r>
        <w:t>commercial</w:t>
      </w:r>
      <w:r>
        <w:rPr>
          <w:spacing w:val="-11"/>
        </w:rPr>
        <w:t xml:space="preserve"> </w:t>
      </w:r>
      <w:r>
        <w:t>sexual</w:t>
      </w:r>
      <w:r>
        <w:rPr>
          <w:spacing w:val="-13"/>
        </w:rPr>
        <w:t xml:space="preserve"> </w:t>
      </w:r>
      <w:r>
        <w:t>exploitation,</w:t>
      </w:r>
      <w:r>
        <w:rPr>
          <w:spacing w:val="-12"/>
        </w:rPr>
        <w:t xml:space="preserve"> </w:t>
      </w:r>
      <w:r>
        <w:t>with</w:t>
      </w:r>
      <w:r>
        <w:rPr>
          <w:spacing w:val="-11"/>
        </w:rPr>
        <w:t xml:space="preserve"> </w:t>
      </w:r>
      <w:r>
        <w:t>particular</w:t>
      </w:r>
      <w:r>
        <w:rPr>
          <w:spacing w:val="-11"/>
        </w:rPr>
        <w:t xml:space="preserve"> </w:t>
      </w:r>
      <w:r>
        <w:t>attention</w:t>
      </w:r>
      <w:r>
        <w:rPr>
          <w:spacing w:val="-11"/>
        </w:rPr>
        <w:t xml:space="preserve"> </w:t>
      </w:r>
      <w:r>
        <w:t>to</w:t>
      </w:r>
      <w:r>
        <w:rPr>
          <w:spacing w:val="-12"/>
        </w:rPr>
        <w:t xml:space="preserve"> </w:t>
      </w:r>
      <w:r>
        <w:t>LGBTQ</w:t>
      </w:r>
      <w:r>
        <w:rPr>
          <w:spacing w:val="-13"/>
        </w:rPr>
        <w:t xml:space="preserve"> </w:t>
      </w:r>
      <w:r>
        <w:t>youth and</w:t>
      </w:r>
      <w:r>
        <w:rPr>
          <w:spacing w:val="-6"/>
        </w:rPr>
        <w:t xml:space="preserve"> </w:t>
      </w:r>
      <w:r>
        <w:t>cisgender</w:t>
      </w:r>
      <w:r>
        <w:rPr>
          <w:spacing w:val="-6"/>
        </w:rPr>
        <w:t xml:space="preserve"> </w:t>
      </w:r>
      <w:r>
        <w:t>boys</w:t>
      </w:r>
      <w:r>
        <w:rPr>
          <w:spacing w:val="-8"/>
        </w:rPr>
        <w:t xml:space="preserve"> </w:t>
      </w:r>
      <w:r>
        <w:t>who</w:t>
      </w:r>
      <w:r>
        <w:rPr>
          <w:spacing w:val="-5"/>
        </w:rPr>
        <w:t xml:space="preserve"> </w:t>
      </w:r>
      <w:r>
        <w:t>are</w:t>
      </w:r>
      <w:r>
        <w:rPr>
          <w:spacing w:val="-5"/>
        </w:rPr>
        <w:t xml:space="preserve"> </w:t>
      </w:r>
      <w:r>
        <w:t>often</w:t>
      </w:r>
      <w:r>
        <w:rPr>
          <w:spacing w:val="-6"/>
        </w:rPr>
        <w:t xml:space="preserve"> </w:t>
      </w:r>
      <w:r>
        <w:t>left</w:t>
      </w:r>
      <w:r>
        <w:rPr>
          <w:spacing w:val="-8"/>
        </w:rPr>
        <w:t xml:space="preserve"> </w:t>
      </w:r>
      <w:r>
        <w:t>out</w:t>
      </w:r>
      <w:r>
        <w:rPr>
          <w:spacing w:val="-5"/>
        </w:rPr>
        <w:t xml:space="preserve"> </w:t>
      </w:r>
      <w:r>
        <w:t>of</w:t>
      </w:r>
      <w:r>
        <w:rPr>
          <w:spacing w:val="-6"/>
        </w:rPr>
        <w:t xml:space="preserve"> </w:t>
      </w:r>
      <w:r>
        <w:t>conversations</w:t>
      </w:r>
      <w:r>
        <w:rPr>
          <w:spacing w:val="-6"/>
        </w:rPr>
        <w:t xml:space="preserve"> </w:t>
      </w:r>
      <w:r>
        <w:t>around</w:t>
      </w:r>
      <w:r>
        <w:rPr>
          <w:spacing w:val="-6"/>
        </w:rPr>
        <w:t xml:space="preserve"> </w:t>
      </w:r>
      <w:r>
        <w:t>sexual</w:t>
      </w:r>
      <w:r>
        <w:rPr>
          <w:spacing w:val="-6"/>
        </w:rPr>
        <w:t xml:space="preserve"> </w:t>
      </w:r>
      <w:r>
        <w:t>exploitation</w:t>
      </w:r>
      <w:r>
        <w:rPr>
          <w:spacing w:val="-6"/>
        </w:rPr>
        <w:t xml:space="preserve"> </w:t>
      </w:r>
      <w:r>
        <w:t>and</w:t>
      </w:r>
      <w:r>
        <w:rPr>
          <w:spacing w:val="-6"/>
        </w:rPr>
        <w:t xml:space="preserve"> </w:t>
      </w:r>
      <w:r>
        <w:t>trafficking. Furthermore,</w:t>
      </w:r>
      <w:r>
        <w:rPr>
          <w:spacing w:val="-13"/>
        </w:rPr>
        <w:t xml:space="preserve"> </w:t>
      </w:r>
      <w:r>
        <w:t>the</w:t>
      </w:r>
      <w:r>
        <w:rPr>
          <w:spacing w:val="-12"/>
        </w:rPr>
        <w:t xml:space="preserve"> </w:t>
      </w:r>
      <w:r>
        <w:t>Commission</w:t>
      </w:r>
      <w:r>
        <w:rPr>
          <w:spacing w:val="-13"/>
        </w:rPr>
        <w:t xml:space="preserve"> </w:t>
      </w:r>
      <w:r>
        <w:t>recommends</w:t>
      </w:r>
      <w:r>
        <w:rPr>
          <w:spacing w:val="-12"/>
        </w:rPr>
        <w:t xml:space="preserve"> </w:t>
      </w:r>
      <w:r>
        <w:t>that</w:t>
      </w:r>
      <w:r>
        <w:rPr>
          <w:spacing w:val="-13"/>
        </w:rPr>
        <w:t xml:space="preserve"> </w:t>
      </w:r>
      <w:r>
        <w:t>the</w:t>
      </w:r>
      <w:r>
        <w:rPr>
          <w:spacing w:val="-12"/>
        </w:rPr>
        <w:t xml:space="preserve"> </w:t>
      </w:r>
      <w:r>
        <w:t>state</w:t>
      </w:r>
      <w:r>
        <w:rPr>
          <w:spacing w:val="-13"/>
        </w:rPr>
        <w:t xml:space="preserve"> </w:t>
      </w:r>
      <w:r>
        <w:t>broaden</w:t>
      </w:r>
      <w:r>
        <w:rPr>
          <w:spacing w:val="-12"/>
        </w:rPr>
        <w:t xml:space="preserve"> </w:t>
      </w:r>
      <w:r>
        <w:t>its</w:t>
      </w:r>
      <w:r>
        <w:rPr>
          <w:spacing w:val="-12"/>
        </w:rPr>
        <w:t xml:space="preserve"> </w:t>
      </w:r>
      <w:r>
        <w:t>understanding</w:t>
      </w:r>
      <w:r>
        <w:rPr>
          <w:spacing w:val="-13"/>
        </w:rPr>
        <w:t xml:space="preserve"> </w:t>
      </w:r>
      <w:r>
        <w:t>of</w:t>
      </w:r>
      <w:r>
        <w:rPr>
          <w:spacing w:val="-12"/>
        </w:rPr>
        <w:t xml:space="preserve"> </w:t>
      </w:r>
      <w:r>
        <w:t>how</w:t>
      </w:r>
      <w:r>
        <w:rPr>
          <w:spacing w:val="-13"/>
        </w:rPr>
        <w:t xml:space="preserve"> </w:t>
      </w:r>
      <w:r>
        <w:t>to</w:t>
      </w:r>
      <w:r>
        <w:rPr>
          <w:spacing w:val="-12"/>
        </w:rPr>
        <w:t xml:space="preserve"> </w:t>
      </w:r>
      <w:r>
        <w:t>reduce incidents of youth exchanging sex to meet their financial or material needs. For example, programs providing gender-affirming care products have the potential to reduce risk of engaging in sex work - an</w:t>
      </w:r>
      <w:r>
        <w:t>d thus also decreasing risks of commercial sexual exploitation - by supporting trans and gender expansive youth who may engage in sex work for funds to purchase items such as wigs, binders, packers, and makeup. Programs that already receive funding to addr</w:t>
      </w:r>
      <w:r>
        <w:t>ess human sexual exploitation, or funding to support youth at risk, should explore plans to increase funding to services that provide gender-affirming products to LGBTQ youth.</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F76C4C">
      <w:pPr>
        <w:pStyle w:val="Heading9"/>
        <w:numPr>
          <w:ilvl w:val="0"/>
          <w:numId w:val="33"/>
        </w:numPr>
        <w:tabs>
          <w:tab w:val="left" w:pos="364"/>
        </w:tabs>
        <w:spacing w:before="154" w:line="276" w:lineRule="auto"/>
        <w:ind w:right="396" w:firstLine="0"/>
      </w:pPr>
      <w:bookmarkStart w:id="183" w:name="_bookmark102"/>
      <w:bookmarkEnd w:id="183"/>
      <w:r>
        <w:lastRenderedPageBreak/>
        <w:t>Decriminalize</w:t>
      </w:r>
      <w:r>
        <w:rPr>
          <w:spacing w:val="-3"/>
        </w:rPr>
        <w:t xml:space="preserve"> </w:t>
      </w:r>
      <w:r>
        <w:t>consensual</w:t>
      </w:r>
      <w:r>
        <w:rPr>
          <w:spacing w:val="-1"/>
        </w:rPr>
        <w:t xml:space="preserve"> </w:t>
      </w:r>
      <w:r>
        <w:t>teen</w:t>
      </w:r>
      <w:r>
        <w:rPr>
          <w:spacing w:val="-3"/>
        </w:rPr>
        <w:t xml:space="preserve"> </w:t>
      </w:r>
      <w:r>
        <w:t>sex/sexting</w:t>
      </w:r>
      <w:r>
        <w:rPr>
          <w:spacing w:val="-1"/>
        </w:rPr>
        <w:t xml:space="preserve"> </w:t>
      </w:r>
      <w:r>
        <w:t>and</w:t>
      </w:r>
      <w:r>
        <w:rPr>
          <w:spacing w:val="-3"/>
        </w:rPr>
        <w:t xml:space="preserve"> </w:t>
      </w:r>
      <w:r>
        <w:t>adjust</w:t>
      </w:r>
      <w:r>
        <w:rPr>
          <w:spacing w:val="-2"/>
        </w:rPr>
        <w:t xml:space="preserve"> </w:t>
      </w:r>
      <w:r>
        <w:t>the</w:t>
      </w:r>
      <w:r>
        <w:rPr>
          <w:spacing w:val="-2"/>
        </w:rPr>
        <w:t xml:space="preserve"> </w:t>
      </w:r>
      <w:r>
        <w:t>current</w:t>
      </w:r>
      <w:r>
        <w:rPr>
          <w:spacing w:val="-2"/>
        </w:rPr>
        <w:t xml:space="preserve"> </w:t>
      </w:r>
      <w:r>
        <w:t>age</w:t>
      </w:r>
      <w:r>
        <w:rPr>
          <w:spacing w:val="-3"/>
        </w:rPr>
        <w:t xml:space="preserve"> </w:t>
      </w:r>
      <w:r>
        <w:t>of</w:t>
      </w:r>
      <w:r>
        <w:rPr>
          <w:spacing w:val="-2"/>
        </w:rPr>
        <w:t xml:space="preserve"> </w:t>
      </w:r>
      <w:r>
        <w:t>consent</w:t>
      </w:r>
      <w:r>
        <w:rPr>
          <w:spacing w:val="-2"/>
        </w:rPr>
        <w:t xml:space="preserve"> </w:t>
      </w:r>
      <w:r>
        <w:t>laws</w:t>
      </w:r>
      <w:r>
        <w:rPr>
          <w:spacing w:val="-1"/>
        </w:rPr>
        <w:t xml:space="preserve"> </w:t>
      </w:r>
      <w:r>
        <w:t>for</w:t>
      </w:r>
      <w:r>
        <w:rPr>
          <w:spacing w:val="-4"/>
        </w:rPr>
        <w:t xml:space="preserve"> </w:t>
      </w:r>
      <w:r>
        <w:t>minors engaging in consensual sexual activity.</w:t>
      </w:r>
    </w:p>
    <w:p w:rsidR="00200FDA" w:rsidRDefault="00200FDA">
      <w:pPr>
        <w:pStyle w:val="BodyText"/>
        <w:spacing w:before="3"/>
        <w:rPr>
          <w:b/>
          <w:sz w:val="25"/>
        </w:rPr>
      </w:pPr>
    </w:p>
    <w:p w:rsidR="00200FDA" w:rsidRDefault="00F76C4C">
      <w:pPr>
        <w:pStyle w:val="BodyText"/>
        <w:spacing w:line="276" w:lineRule="auto"/>
        <w:ind w:left="139" w:right="392"/>
        <w:jc w:val="both"/>
      </w:pPr>
      <w:r>
        <w:t>As discussed more thoroughly below, there are a number of ways to address sexual exploitation and inequitable penalties against youth who are victims of exploitation. Currently</w:t>
      </w:r>
      <w:r>
        <w:t>, while Massachusetts does not have explicit laws against sexting, child pornography laws do prohibit the exchange of sexually</w:t>
      </w:r>
      <w:r>
        <w:rPr>
          <w:spacing w:val="-5"/>
        </w:rPr>
        <w:t xml:space="preserve"> </w:t>
      </w:r>
      <w:r>
        <w:t>explicit</w:t>
      </w:r>
      <w:r>
        <w:rPr>
          <w:spacing w:val="-4"/>
        </w:rPr>
        <w:t xml:space="preserve"> </w:t>
      </w:r>
      <w:r>
        <w:t>images</w:t>
      </w:r>
      <w:r>
        <w:rPr>
          <w:spacing w:val="-6"/>
        </w:rPr>
        <w:t xml:space="preserve"> </w:t>
      </w:r>
      <w:r>
        <w:t>of</w:t>
      </w:r>
      <w:r>
        <w:rPr>
          <w:spacing w:val="-6"/>
        </w:rPr>
        <w:t xml:space="preserve"> </w:t>
      </w:r>
      <w:r>
        <w:t>minors</w:t>
      </w:r>
      <w:r>
        <w:rPr>
          <w:spacing w:val="-5"/>
        </w:rPr>
        <w:t xml:space="preserve"> </w:t>
      </w:r>
      <w:r>
        <w:t>-</w:t>
      </w:r>
      <w:r>
        <w:rPr>
          <w:spacing w:val="-6"/>
        </w:rPr>
        <w:t xml:space="preserve"> </w:t>
      </w:r>
      <w:r>
        <w:t>no</w:t>
      </w:r>
      <w:r>
        <w:rPr>
          <w:spacing w:val="-5"/>
        </w:rPr>
        <w:t xml:space="preserve"> </w:t>
      </w:r>
      <w:r>
        <w:t>matter</w:t>
      </w:r>
      <w:r>
        <w:rPr>
          <w:spacing w:val="-4"/>
        </w:rPr>
        <w:t xml:space="preserve"> </w:t>
      </w:r>
      <w:r>
        <w:t>the</w:t>
      </w:r>
      <w:r>
        <w:rPr>
          <w:spacing w:val="-4"/>
        </w:rPr>
        <w:t xml:space="preserve"> </w:t>
      </w:r>
      <w:r>
        <w:t>age</w:t>
      </w:r>
      <w:r>
        <w:rPr>
          <w:spacing w:val="-5"/>
        </w:rPr>
        <w:t xml:space="preserve"> </w:t>
      </w:r>
      <w:r>
        <w:t>of</w:t>
      </w:r>
      <w:r>
        <w:rPr>
          <w:spacing w:val="-6"/>
        </w:rPr>
        <w:t xml:space="preserve"> </w:t>
      </w:r>
      <w:r>
        <w:t>the</w:t>
      </w:r>
      <w:r>
        <w:rPr>
          <w:spacing w:val="-4"/>
        </w:rPr>
        <w:t xml:space="preserve"> </w:t>
      </w:r>
      <w:r>
        <w:t>recipient.</w:t>
      </w:r>
      <w:r>
        <w:rPr>
          <w:spacing w:val="-6"/>
        </w:rPr>
        <w:t xml:space="preserve"> </w:t>
      </w:r>
      <w:r>
        <w:t>Therefore,</w:t>
      </w:r>
      <w:r>
        <w:rPr>
          <w:spacing w:val="-6"/>
        </w:rPr>
        <w:t xml:space="preserve"> </w:t>
      </w:r>
      <w:r>
        <w:t>teens</w:t>
      </w:r>
      <w:r>
        <w:rPr>
          <w:spacing w:val="-4"/>
        </w:rPr>
        <w:t xml:space="preserve"> </w:t>
      </w:r>
      <w:r>
        <w:t>under</w:t>
      </w:r>
      <w:r>
        <w:rPr>
          <w:spacing w:val="-6"/>
        </w:rPr>
        <w:t xml:space="preserve"> </w:t>
      </w:r>
      <w:r>
        <w:t>the</w:t>
      </w:r>
      <w:r>
        <w:rPr>
          <w:spacing w:val="-5"/>
        </w:rPr>
        <w:t xml:space="preserve"> </w:t>
      </w:r>
      <w:r>
        <w:t>age of 16 who engage in consensual sex</w:t>
      </w:r>
      <w:r>
        <w:t>ting with another teen could potentially face legal ramifications for their decisions. The Commission recommends that the legislature adjust legal protections to appropriately support minors as technology and teen dating culture shifts, rather than crimina</w:t>
      </w:r>
      <w:r>
        <w:t>lizing teens who engage in sexting without fully understanding any legal consequences that may occur.</w:t>
      </w:r>
    </w:p>
    <w:p w:rsidR="00200FDA" w:rsidRDefault="00200FDA">
      <w:pPr>
        <w:pStyle w:val="BodyText"/>
        <w:spacing w:before="9"/>
        <w:rPr>
          <w:sz w:val="19"/>
        </w:rPr>
      </w:pPr>
    </w:p>
    <w:p w:rsidR="00200FDA" w:rsidRDefault="00F76C4C">
      <w:pPr>
        <w:pStyle w:val="BodyText"/>
        <w:spacing w:line="276" w:lineRule="auto"/>
        <w:ind w:left="139" w:right="395"/>
        <w:jc w:val="both"/>
      </w:pPr>
      <w:r>
        <w:t>Furthermore, the Commission additionally recommends that the legislature better understand and address</w:t>
      </w:r>
      <w:r>
        <w:rPr>
          <w:spacing w:val="-5"/>
        </w:rPr>
        <w:t xml:space="preserve"> </w:t>
      </w:r>
      <w:r>
        <w:t>any</w:t>
      </w:r>
      <w:r>
        <w:rPr>
          <w:spacing w:val="-5"/>
        </w:rPr>
        <w:t xml:space="preserve"> </w:t>
      </w:r>
      <w:r>
        <w:t>gaps</w:t>
      </w:r>
      <w:r>
        <w:rPr>
          <w:spacing w:val="-6"/>
        </w:rPr>
        <w:t xml:space="preserve"> </w:t>
      </w:r>
      <w:r>
        <w:t>in</w:t>
      </w:r>
      <w:r>
        <w:rPr>
          <w:spacing w:val="-6"/>
        </w:rPr>
        <w:t xml:space="preserve"> </w:t>
      </w:r>
      <w:r>
        <w:t>legal</w:t>
      </w:r>
      <w:r>
        <w:rPr>
          <w:spacing w:val="-6"/>
        </w:rPr>
        <w:t xml:space="preserve"> </w:t>
      </w:r>
      <w:r>
        <w:t>protections</w:t>
      </w:r>
      <w:r>
        <w:rPr>
          <w:spacing w:val="-8"/>
        </w:rPr>
        <w:t xml:space="preserve"> </w:t>
      </w:r>
      <w:r>
        <w:t>that</w:t>
      </w:r>
      <w:r>
        <w:rPr>
          <w:spacing w:val="-8"/>
        </w:rPr>
        <w:t xml:space="preserve"> </w:t>
      </w:r>
      <w:r>
        <w:t>may</w:t>
      </w:r>
      <w:r>
        <w:rPr>
          <w:spacing w:val="-5"/>
        </w:rPr>
        <w:t xml:space="preserve"> </w:t>
      </w:r>
      <w:r>
        <w:t>exist</w:t>
      </w:r>
      <w:r>
        <w:rPr>
          <w:spacing w:val="-5"/>
        </w:rPr>
        <w:t xml:space="preserve"> </w:t>
      </w:r>
      <w:r>
        <w:t>for</w:t>
      </w:r>
      <w:r>
        <w:rPr>
          <w:spacing w:val="-8"/>
        </w:rPr>
        <w:t xml:space="preserve"> </w:t>
      </w:r>
      <w:r>
        <w:t>v</w:t>
      </w:r>
      <w:r>
        <w:t>ictims</w:t>
      </w:r>
      <w:r>
        <w:rPr>
          <w:spacing w:val="-6"/>
        </w:rPr>
        <w:t xml:space="preserve"> </w:t>
      </w:r>
      <w:r>
        <w:t>of</w:t>
      </w:r>
      <w:r>
        <w:rPr>
          <w:spacing w:val="-6"/>
        </w:rPr>
        <w:t xml:space="preserve"> </w:t>
      </w:r>
      <w:r>
        <w:t>revenge</w:t>
      </w:r>
      <w:r>
        <w:rPr>
          <w:spacing w:val="-5"/>
        </w:rPr>
        <w:t xml:space="preserve"> </w:t>
      </w:r>
      <w:r>
        <w:t>porn</w:t>
      </w:r>
      <w:r>
        <w:rPr>
          <w:spacing w:val="-6"/>
        </w:rPr>
        <w:t xml:space="preserve"> </w:t>
      </w:r>
      <w:r>
        <w:t>and</w:t>
      </w:r>
      <w:r>
        <w:rPr>
          <w:spacing w:val="-6"/>
        </w:rPr>
        <w:t xml:space="preserve"> </w:t>
      </w:r>
      <w:r>
        <w:t>sexual</w:t>
      </w:r>
      <w:r>
        <w:rPr>
          <w:spacing w:val="-6"/>
        </w:rPr>
        <w:t xml:space="preserve"> </w:t>
      </w:r>
      <w:r>
        <w:t>deepfakes, particularly</w:t>
      </w:r>
      <w:r>
        <w:rPr>
          <w:spacing w:val="-1"/>
        </w:rPr>
        <w:t xml:space="preserve"> </w:t>
      </w:r>
      <w:r>
        <w:t>for</w:t>
      </w:r>
      <w:r>
        <w:rPr>
          <w:spacing w:val="-2"/>
        </w:rPr>
        <w:t xml:space="preserve"> </w:t>
      </w:r>
      <w:r>
        <w:t>those</w:t>
      </w:r>
      <w:r>
        <w:rPr>
          <w:spacing w:val="-4"/>
        </w:rPr>
        <w:t xml:space="preserve"> </w:t>
      </w:r>
      <w:r>
        <w:t>who</w:t>
      </w:r>
      <w:r>
        <w:rPr>
          <w:spacing w:val="-3"/>
        </w:rPr>
        <w:t xml:space="preserve"> </w:t>
      </w:r>
      <w:r>
        <w:t>are</w:t>
      </w:r>
      <w:r>
        <w:rPr>
          <w:spacing w:val="-1"/>
        </w:rPr>
        <w:t xml:space="preserve"> </w:t>
      </w:r>
      <w:r>
        <w:t>adults.</w:t>
      </w:r>
      <w:r>
        <w:rPr>
          <w:spacing w:val="-2"/>
        </w:rPr>
        <w:t xml:space="preserve"> </w:t>
      </w:r>
      <w:r>
        <w:t>Presumably,</w:t>
      </w:r>
      <w:r>
        <w:rPr>
          <w:spacing w:val="-2"/>
        </w:rPr>
        <w:t xml:space="preserve"> </w:t>
      </w:r>
      <w:r>
        <w:t>child</w:t>
      </w:r>
      <w:r>
        <w:rPr>
          <w:spacing w:val="-3"/>
        </w:rPr>
        <w:t xml:space="preserve"> </w:t>
      </w:r>
      <w:r>
        <w:t>pornography</w:t>
      </w:r>
      <w:r>
        <w:rPr>
          <w:spacing w:val="-1"/>
        </w:rPr>
        <w:t xml:space="preserve"> </w:t>
      </w:r>
      <w:r>
        <w:t>laws</w:t>
      </w:r>
      <w:r>
        <w:rPr>
          <w:spacing w:val="-2"/>
        </w:rPr>
        <w:t xml:space="preserve"> </w:t>
      </w:r>
      <w:r>
        <w:t>would</w:t>
      </w:r>
      <w:r>
        <w:rPr>
          <w:spacing w:val="-5"/>
        </w:rPr>
        <w:t xml:space="preserve"> </w:t>
      </w:r>
      <w:r>
        <w:t>protect</w:t>
      </w:r>
      <w:r>
        <w:rPr>
          <w:spacing w:val="-1"/>
        </w:rPr>
        <w:t xml:space="preserve"> </w:t>
      </w:r>
      <w:r>
        <w:t>and</w:t>
      </w:r>
      <w:r>
        <w:rPr>
          <w:spacing w:val="-3"/>
        </w:rPr>
        <w:t xml:space="preserve"> </w:t>
      </w:r>
      <w:r>
        <w:t>provide legal support for victims of revenge porn or deepfakes under the age of 16, however, legal supports for those over the age of consent remain unclear.</w:t>
      </w:r>
    </w:p>
    <w:p w:rsidR="00200FDA" w:rsidRDefault="00200FDA">
      <w:pPr>
        <w:pStyle w:val="BodyText"/>
        <w:spacing w:before="3"/>
        <w:rPr>
          <w:sz w:val="25"/>
        </w:rPr>
      </w:pPr>
    </w:p>
    <w:p w:rsidR="00200FDA" w:rsidRDefault="00F76C4C">
      <w:pPr>
        <w:pStyle w:val="Heading9"/>
        <w:numPr>
          <w:ilvl w:val="0"/>
          <w:numId w:val="33"/>
        </w:numPr>
        <w:tabs>
          <w:tab w:val="left" w:pos="428"/>
        </w:tabs>
        <w:spacing w:line="273" w:lineRule="auto"/>
        <w:ind w:left="139" w:right="396" w:firstLine="0"/>
      </w:pPr>
      <w:r>
        <w:t>Continue</w:t>
      </w:r>
      <w:r>
        <w:rPr>
          <w:spacing w:val="40"/>
        </w:rPr>
        <w:t xml:space="preserve"> </w:t>
      </w:r>
      <w:r>
        <w:t>to</w:t>
      </w:r>
      <w:r>
        <w:rPr>
          <w:spacing w:val="40"/>
        </w:rPr>
        <w:t xml:space="preserve"> </w:t>
      </w:r>
      <w:r>
        <w:t>increase</w:t>
      </w:r>
      <w:r>
        <w:rPr>
          <w:spacing w:val="40"/>
        </w:rPr>
        <w:t xml:space="preserve"> </w:t>
      </w:r>
      <w:r>
        <w:t>access</w:t>
      </w:r>
      <w:r>
        <w:rPr>
          <w:spacing w:val="40"/>
        </w:rPr>
        <w:t xml:space="preserve"> </w:t>
      </w:r>
      <w:r>
        <w:t>to</w:t>
      </w:r>
      <w:r>
        <w:rPr>
          <w:spacing w:val="40"/>
        </w:rPr>
        <w:t xml:space="preserve"> </w:t>
      </w:r>
      <w:r>
        <w:t>sexually-transmitted</w:t>
      </w:r>
      <w:r>
        <w:rPr>
          <w:spacing w:val="40"/>
        </w:rPr>
        <w:t xml:space="preserve"> </w:t>
      </w:r>
      <w:r>
        <w:t>infection</w:t>
      </w:r>
      <w:r>
        <w:rPr>
          <w:spacing w:val="40"/>
        </w:rPr>
        <w:t xml:space="preserve"> </w:t>
      </w:r>
      <w:r>
        <w:t>screenings,</w:t>
      </w:r>
      <w:r>
        <w:rPr>
          <w:spacing w:val="40"/>
        </w:rPr>
        <w:t xml:space="preserve"> </w:t>
      </w:r>
      <w:r>
        <w:t>prevention,</w:t>
      </w:r>
      <w:r>
        <w:rPr>
          <w:spacing w:val="40"/>
        </w:rPr>
        <w:t xml:space="preserve"> </w:t>
      </w:r>
      <w:r>
        <w:t>and</w:t>
      </w:r>
      <w:r>
        <w:rPr>
          <w:spacing w:val="40"/>
        </w:rPr>
        <w:t xml:space="preserve"> </w:t>
      </w:r>
      <w:r>
        <w:rPr>
          <w:spacing w:val="-2"/>
        </w:rPr>
        <w:t>treatme</w:t>
      </w:r>
      <w:r>
        <w:rPr>
          <w:spacing w:val="-2"/>
        </w:rPr>
        <w:t>nt.</w:t>
      </w:r>
    </w:p>
    <w:p w:rsidR="00200FDA" w:rsidRDefault="00200FDA">
      <w:pPr>
        <w:pStyle w:val="BodyText"/>
        <w:rPr>
          <w:b/>
          <w:sz w:val="20"/>
        </w:rPr>
      </w:pPr>
    </w:p>
    <w:p w:rsidR="00200FDA" w:rsidRDefault="00F76C4C">
      <w:pPr>
        <w:pStyle w:val="BodyText"/>
        <w:spacing w:before="1" w:line="276" w:lineRule="auto"/>
        <w:ind w:left="139" w:right="393"/>
        <w:jc w:val="both"/>
      </w:pPr>
      <w:r>
        <w:t>The Commission appreciates the dedication that Massachusetts policymakers, agencies, and advocates</w:t>
      </w:r>
      <w:r>
        <w:rPr>
          <w:spacing w:val="-9"/>
        </w:rPr>
        <w:t xml:space="preserve"> </w:t>
      </w:r>
      <w:r>
        <w:t>have</w:t>
      </w:r>
      <w:r>
        <w:rPr>
          <w:spacing w:val="-8"/>
        </w:rPr>
        <w:t xml:space="preserve"> </w:t>
      </w:r>
      <w:r>
        <w:t>given</w:t>
      </w:r>
      <w:r>
        <w:rPr>
          <w:spacing w:val="-10"/>
        </w:rPr>
        <w:t xml:space="preserve"> </w:t>
      </w:r>
      <w:r>
        <w:t>to</w:t>
      </w:r>
      <w:r>
        <w:rPr>
          <w:spacing w:val="-5"/>
        </w:rPr>
        <w:t xml:space="preserve"> </w:t>
      </w:r>
      <w:r>
        <w:t>increasing</w:t>
      </w:r>
      <w:r>
        <w:rPr>
          <w:spacing w:val="-7"/>
        </w:rPr>
        <w:t xml:space="preserve"> </w:t>
      </w:r>
      <w:r>
        <w:t>access</w:t>
      </w:r>
      <w:r>
        <w:rPr>
          <w:spacing w:val="-9"/>
        </w:rPr>
        <w:t xml:space="preserve"> </w:t>
      </w:r>
      <w:r>
        <w:t>to</w:t>
      </w:r>
      <w:r>
        <w:rPr>
          <w:spacing w:val="-8"/>
        </w:rPr>
        <w:t xml:space="preserve"> </w:t>
      </w:r>
      <w:r>
        <w:t>PrEP</w:t>
      </w:r>
      <w:r>
        <w:rPr>
          <w:spacing w:val="-8"/>
        </w:rPr>
        <w:t xml:space="preserve"> </w:t>
      </w:r>
      <w:r>
        <w:t>and</w:t>
      </w:r>
      <w:r>
        <w:rPr>
          <w:spacing w:val="-10"/>
        </w:rPr>
        <w:t xml:space="preserve"> </w:t>
      </w:r>
      <w:r>
        <w:t>PEP</w:t>
      </w:r>
      <w:r>
        <w:rPr>
          <w:spacing w:val="-5"/>
        </w:rPr>
        <w:t xml:space="preserve"> </w:t>
      </w:r>
      <w:r>
        <w:t>for</w:t>
      </w:r>
      <w:r>
        <w:rPr>
          <w:spacing w:val="-9"/>
        </w:rPr>
        <w:t xml:space="preserve"> </w:t>
      </w:r>
      <w:r>
        <w:t>LGBTQ</w:t>
      </w:r>
      <w:r>
        <w:rPr>
          <w:spacing w:val="-9"/>
        </w:rPr>
        <w:t xml:space="preserve"> </w:t>
      </w:r>
      <w:r>
        <w:t>youth</w:t>
      </w:r>
      <w:r>
        <w:rPr>
          <w:spacing w:val="-10"/>
        </w:rPr>
        <w:t xml:space="preserve"> </w:t>
      </w:r>
      <w:r>
        <w:t>across</w:t>
      </w:r>
      <w:r>
        <w:rPr>
          <w:spacing w:val="-7"/>
        </w:rPr>
        <w:t xml:space="preserve"> </w:t>
      </w:r>
      <w:r>
        <w:t>the</w:t>
      </w:r>
      <w:r>
        <w:rPr>
          <w:spacing w:val="-8"/>
        </w:rPr>
        <w:t xml:space="preserve"> </w:t>
      </w:r>
      <w:r>
        <w:t>state;</w:t>
      </w:r>
      <w:r>
        <w:rPr>
          <w:spacing w:val="-6"/>
        </w:rPr>
        <w:t xml:space="preserve"> </w:t>
      </w:r>
      <w:r>
        <w:t>HIV</w:t>
      </w:r>
      <w:r>
        <w:rPr>
          <w:spacing w:val="-9"/>
        </w:rPr>
        <w:t xml:space="preserve"> </w:t>
      </w:r>
      <w:r>
        <w:t>rates have</w:t>
      </w:r>
      <w:r>
        <w:rPr>
          <w:spacing w:val="-4"/>
        </w:rPr>
        <w:t xml:space="preserve"> </w:t>
      </w:r>
      <w:r>
        <w:t>continued</w:t>
      </w:r>
      <w:r>
        <w:rPr>
          <w:spacing w:val="-5"/>
        </w:rPr>
        <w:t xml:space="preserve"> </w:t>
      </w:r>
      <w:r>
        <w:t>to</w:t>
      </w:r>
      <w:r>
        <w:rPr>
          <w:spacing w:val="-3"/>
        </w:rPr>
        <w:t xml:space="preserve"> </w:t>
      </w:r>
      <w:r>
        <w:t>lower</w:t>
      </w:r>
      <w:r>
        <w:rPr>
          <w:spacing w:val="-4"/>
        </w:rPr>
        <w:t xml:space="preserve"> </w:t>
      </w:r>
      <w:r>
        <w:t>for</w:t>
      </w:r>
      <w:r>
        <w:rPr>
          <w:spacing w:val="-4"/>
        </w:rPr>
        <w:t xml:space="preserve"> </w:t>
      </w:r>
      <w:r>
        <w:t>Massachusetts</w:t>
      </w:r>
      <w:r>
        <w:rPr>
          <w:spacing w:val="-7"/>
        </w:rPr>
        <w:t xml:space="preserve"> </w:t>
      </w:r>
      <w:r>
        <w:t>youth</w:t>
      </w:r>
      <w:r>
        <w:rPr>
          <w:spacing w:val="-5"/>
        </w:rPr>
        <w:t xml:space="preserve"> </w:t>
      </w:r>
      <w:r>
        <w:t>aged</w:t>
      </w:r>
      <w:r>
        <w:rPr>
          <w:spacing w:val="-5"/>
        </w:rPr>
        <w:t xml:space="preserve"> </w:t>
      </w:r>
      <w:r>
        <w:t>0-29</w:t>
      </w:r>
      <w:r>
        <w:rPr>
          <w:spacing w:val="-6"/>
        </w:rPr>
        <w:t xml:space="preserve"> </w:t>
      </w:r>
      <w:r>
        <w:t>over</w:t>
      </w:r>
      <w:r>
        <w:rPr>
          <w:spacing w:val="-7"/>
        </w:rPr>
        <w:t xml:space="preserve"> </w:t>
      </w:r>
      <w:r>
        <w:t>the</w:t>
      </w:r>
      <w:r>
        <w:rPr>
          <w:spacing w:val="-4"/>
        </w:rPr>
        <w:t xml:space="preserve"> </w:t>
      </w:r>
      <w:r>
        <w:t>last</w:t>
      </w:r>
      <w:r>
        <w:rPr>
          <w:spacing w:val="-4"/>
        </w:rPr>
        <w:t xml:space="preserve"> </w:t>
      </w:r>
      <w:r>
        <w:t>decade.</w:t>
      </w:r>
      <w:r>
        <w:rPr>
          <w:spacing w:val="-5"/>
        </w:rPr>
        <w:t xml:space="preserve"> </w:t>
      </w:r>
      <w:r>
        <w:t>However,</w:t>
      </w:r>
      <w:r>
        <w:rPr>
          <w:spacing w:val="-4"/>
        </w:rPr>
        <w:t xml:space="preserve"> </w:t>
      </w:r>
      <w:r>
        <w:t>other</w:t>
      </w:r>
      <w:r>
        <w:rPr>
          <w:spacing w:val="-4"/>
        </w:rPr>
        <w:t xml:space="preserve"> </w:t>
      </w:r>
      <w:r>
        <w:t>STI transmission rates have risen for youth across the Commonwealth, and barriers to accessing prevention and screening for HIV continues to occur. The Commission recommends that the state boost its partnerships with co</w:t>
      </w:r>
      <w:r>
        <w:t>mmunity organizations to create more grantee and sub-grantee agreements</w:t>
      </w:r>
      <w:r>
        <w:rPr>
          <w:spacing w:val="-13"/>
        </w:rPr>
        <w:t xml:space="preserve"> </w:t>
      </w:r>
      <w:r>
        <w:t>to</w:t>
      </w:r>
      <w:r>
        <w:rPr>
          <w:spacing w:val="-12"/>
        </w:rPr>
        <w:t xml:space="preserve"> </w:t>
      </w:r>
      <w:r>
        <w:t>increase</w:t>
      </w:r>
      <w:r>
        <w:rPr>
          <w:spacing w:val="-13"/>
        </w:rPr>
        <w:t xml:space="preserve"> </w:t>
      </w:r>
      <w:r>
        <w:t>access</w:t>
      </w:r>
      <w:r>
        <w:rPr>
          <w:spacing w:val="-10"/>
        </w:rPr>
        <w:t xml:space="preserve"> </w:t>
      </w:r>
      <w:r>
        <w:t>to</w:t>
      </w:r>
      <w:r>
        <w:rPr>
          <w:spacing w:val="-10"/>
        </w:rPr>
        <w:t xml:space="preserve"> </w:t>
      </w:r>
      <w:r>
        <w:t>screening</w:t>
      </w:r>
      <w:r>
        <w:rPr>
          <w:spacing w:val="-12"/>
        </w:rPr>
        <w:t xml:space="preserve"> </w:t>
      </w:r>
      <w:r>
        <w:t>and</w:t>
      </w:r>
      <w:r>
        <w:rPr>
          <w:spacing w:val="-12"/>
        </w:rPr>
        <w:t xml:space="preserve"> </w:t>
      </w:r>
      <w:r>
        <w:t>prescriptions</w:t>
      </w:r>
      <w:r>
        <w:rPr>
          <w:spacing w:val="-11"/>
        </w:rPr>
        <w:t xml:space="preserve"> </w:t>
      </w:r>
      <w:r>
        <w:t>for</w:t>
      </w:r>
      <w:r>
        <w:rPr>
          <w:spacing w:val="-11"/>
        </w:rPr>
        <w:t xml:space="preserve"> </w:t>
      </w:r>
      <w:r>
        <w:t>PrEP</w:t>
      </w:r>
      <w:r>
        <w:rPr>
          <w:spacing w:val="-13"/>
        </w:rPr>
        <w:t xml:space="preserve"> </w:t>
      </w:r>
      <w:r>
        <w:t>and</w:t>
      </w:r>
      <w:r>
        <w:rPr>
          <w:spacing w:val="-11"/>
        </w:rPr>
        <w:t xml:space="preserve"> </w:t>
      </w:r>
      <w:r>
        <w:t>PEP.</w:t>
      </w:r>
      <w:r>
        <w:rPr>
          <w:spacing w:val="-13"/>
        </w:rPr>
        <w:t xml:space="preserve"> </w:t>
      </w:r>
      <w:r>
        <w:t>While</w:t>
      </w:r>
      <w:r>
        <w:rPr>
          <w:spacing w:val="-10"/>
        </w:rPr>
        <w:t xml:space="preserve"> </w:t>
      </w:r>
      <w:r>
        <w:t>the</w:t>
      </w:r>
      <w:r>
        <w:rPr>
          <w:spacing w:val="-11"/>
        </w:rPr>
        <w:t xml:space="preserve"> </w:t>
      </w:r>
      <w:r>
        <w:t>focus</w:t>
      </w:r>
      <w:r>
        <w:rPr>
          <w:spacing w:val="-11"/>
        </w:rPr>
        <w:t xml:space="preserve"> </w:t>
      </w:r>
      <w:r>
        <w:t>should be holistic, we are seeing a rise in STI rates in the LGBTQ community across the Commonwealth</w:t>
      </w:r>
      <w:r>
        <w:t xml:space="preserve"> and therefore</w:t>
      </w:r>
      <w:r>
        <w:rPr>
          <w:spacing w:val="-13"/>
        </w:rPr>
        <w:t xml:space="preserve"> </w:t>
      </w:r>
      <w:r>
        <w:t>resources</w:t>
      </w:r>
      <w:r>
        <w:rPr>
          <w:spacing w:val="-12"/>
        </w:rPr>
        <w:t xml:space="preserve"> </w:t>
      </w:r>
      <w:r>
        <w:t>should</w:t>
      </w:r>
      <w:r>
        <w:rPr>
          <w:spacing w:val="-15"/>
        </w:rPr>
        <w:t xml:space="preserve"> </w:t>
      </w:r>
      <w:r>
        <w:t>not</w:t>
      </w:r>
      <w:r>
        <w:rPr>
          <w:spacing w:val="-13"/>
        </w:rPr>
        <w:t xml:space="preserve"> </w:t>
      </w:r>
      <w:r>
        <w:t>be</w:t>
      </w:r>
      <w:r>
        <w:rPr>
          <w:spacing w:val="-12"/>
        </w:rPr>
        <w:t xml:space="preserve"> </w:t>
      </w:r>
      <w:r>
        <w:t>diverted</w:t>
      </w:r>
      <w:r>
        <w:rPr>
          <w:spacing w:val="-13"/>
        </w:rPr>
        <w:t xml:space="preserve"> </w:t>
      </w:r>
      <w:r>
        <w:t>from</w:t>
      </w:r>
      <w:r>
        <w:rPr>
          <w:spacing w:val="-13"/>
        </w:rPr>
        <w:t xml:space="preserve"> </w:t>
      </w:r>
      <w:r>
        <w:t>meaningful</w:t>
      </w:r>
      <w:r>
        <w:rPr>
          <w:spacing w:val="-13"/>
        </w:rPr>
        <w:t xml:space="preserve"> </w:t>
      </w:r>
      <w:r>
        <w:t>STI</w:t>
      </w:r>
      <w:r>
        <w:rPr>
          <w:spacing w:val="-12"/>
        </w:rPr>
        <w:t xml:space="preserve"> </w:t>
      </w:r>
      <w:r>
        <w:t>screening,</w:t>
      </w:r>
      <w:r>
        <w:rPr>
          <w:spacing w:val="-13"/>
        </w:rPr>
        <w:t xml:space="preserve"> </w:t>
      </w:r>
      <w:r>
        <w:t>prevention,</w:t>
      </w:r>
      <w:r>
        <w:rPr>
          <w:spacing w:val="-12"/>
        </w:rPr>
        <w:t xml:space="preserve"> </w:t>
      </w:r>
      <w:r>
        <w:t>and</w:t>
      </w:r>
      <w:r>
        <w:rPr>
          <w:spacing w:val="-13"/>
        </w:rPr>
        <w:t xml:space="preserve"> </w:t>
      </w:r>
      <w:r>
        <w:t>treatment.</w:t>
      </w:r>
    </w:p>
    <w:p w:rsidR="00200FDA" w:rsidRDefault="00200FDA">
      <w:pPr>
        <w:pStyle w:val="BodyText"/>
      </w:pPr>
    </w:p>
    <w:p w:rsidR="00200FDA" w:rsidRDefault="00F76C4C">
      <w:pPr>
        <w:pStyle w:val="Heading7"/>
        <w:spacing w:before="135"/>
        <w:ind w:left="140"/>
        <w:jc w:val="both"/>
      </w:pPr>
      <w:r>
        <w:pict>
          <v:rect id="docshape230" o:spid="_x0000_s1332" style="position:absolute;left:0;text-align:left;margin-left:70.55pt;margin-top:24.75pt;width:454.2pt;height:.5pt;z-index:-15708160;mso-wrap-distance-left:0;mso-wrap-distance-right:0;mso-position-horizontal-relative:page" fillcolor="#0f6ec5" stroked="f">
            <w10:wrap type="topAndBottom" anchorx="page"/>
          </v:rect>
        </w:pict>
      </w:r>
      <w:bookmarkStart w:id="184" w:name="Research:_Destigmatizing_Public_Health_&amp;"/>
      <w:bookmarkEnd w:id="184"/>
      <w:r>
        <w:rPr>
          <w:color w:val="0A5293"/>
        </w:rPr>
        <w:t>Research:</w:t>
      </w:r>
      <w:r>
        <w:rPr>
          <w:color w:val="0A5293"/>
          <w:spacing w:val="-7"/>
        </w:rPr>
        <w:t xml:space="preserve"> </w:t>
      </w:r>
      <w:r>
        <w:rPr>
          <w:color w:val="0A5293"/>
        </w:rPr>
        <w:t>Destigmatizing</w:t>
      </w:r>
      <w:r>
        <w:rPr>
          <w:color w:val="0A5293"/>
          <w:spacing w:val="-7"/>
        </w:rPr>
        <w:t xml:space="preserve"> </w:t>
      </w:r>
      <w:r>
        <w:rPr>
          <w:color w:val="0A5293"/>
        </w:rPr>
        <w:t>Public</w:t>
      </w:r>
      <w:r>
        <w:rPr>
          <w:color w:val="0A5293"/>
          <w:spacing w:val="-6"/>
        </w:rPr>
        <w:t xml:space="preserve"> </w:t>
      </w:r>
      <w:r>
        <w:rPr>
          <w:color w:val="0A5293"/>
        </w:rPr>
        <w:t>Health</w:t>
      </w:r>
      <w:r>
        <w:rPr>
          <w:color w:val="0A5293"/>
          <w:spacing w:val="-6"/>
        </w:rPr>
        <w:t xml:space="preserve"> </w:t>
      </w:r>
      <w:r>
        <w:rPr>
          <w:color w:val="0A5293"/>
        </w:rPr>
        <w:t>&amp;</w:t>
      </w:r>
      <w:r>
        <w:rPr>
          <w:color w:val="0A5293"/>
          <w:spacing w:val="-6"/>
        </w:rPr>
        <w:t xml:space="preserve"> </w:t>
      </w:r>
      <w:r>
        <w:rPr>
          <w:color w:val="0A5293"/>
          <w:spacing w:val="-2"/>
        </w:rPr>
        <w:t>Interventions</w:t>
      </w:r>
    </w:p>
    <w:p w:rsidR="00200FDA" w:rsidRDefault="00200FDA">
      <w:pPr>
        <w:pStyle w:val="BodyText"/>
        <w:spacing w:before="2"/>
        <w:rPr>
          <w:sz w:val="28"/>
        </w:rPr>
      </w:pPr>
    </w:p>
    <w:p w:rsidR="00200FDA" w:rsidRDefault="00F76C4C">
      <w:pPr>
        <w:pStyle w:val="BodyText"/>
        <w:spacing w:before="56" w:line="276" w:lineRule="auto"/>
        <w:ind w:left="139" w:right="394"/>
        <w:jc w:val="both"/>
      </w:pPr>
      <w:bookmarkStart w:id="185" w:name="_bookmark95"/>
      <w:bookmarkEnd w:id="185"/>
      <w:r>
        <w:t>The</w:t>
      </w:r>
      <w:r>
        <w:rPr>
          <w:spacing w:val="-3"/>
        </w:rPr>
        <w:t xml:space="preserve"> </w:t>
      </w:r>
      <w:r>
        <w:t>social-ecological</w:t>
      </w:r>
      <w:r>
        <w:rPr>
          <w:spacing w:val="-6"/>
        </w:rPr>
        <w:t xml:space="preserve"> </w:t>
      </w:r>
      <w:r>
        <w:t>model,</w:t>
      </w:r>
      <w:r>
        <w:rPr>
          <w:spacing w:val="-3"/>
        </w:rPr>
        <w:t xml:space="preserve"> </w:t>
      </w:r>
      <w:r>
        <w:t>sometimes</w:t>
      </w:r>
      <w:r>
        <w:rPr>
          <w:spacing w:val="-3"/>
        </w:rPr>
        <w:t xml:space="preserve"> </w:t>
      </w:r>
      <w:r>
        <w:t>known</w:t>
      </w:r>
      <w:r>
        <w:rPr>
          <w:spacing w:val="-4"/>
        </w:rPr>
        <w:t xml:space="preserve"> </w:t>
      </w:r>
      <w:r>
        <w:t>as</w:t>
      </w:r>
      <w:r>
        <w:rPr>
          <w:spacing w:val="-6"/>
        </w:rPr>
        <w:t xml:space="preserve"> </w:t>
      </w:r>
      <w:r>
        <w:t>the</w:t>
      </w:r>
      <w:r>
        <w:rPr>
          <w:spacing w:val="-5"/>
        </w:rPr>
        <w:t xml:space="preserve"> </w:t>
      </w:r>
      <w:r>
        <w:t>socioecological</w:t>
      </w:r>
      <w:r>
        <w:rPr>
          <w:spacing w:val="-6"/>
        </w:rPr>
        <w:t xml:space="preserve"> </w:t>
      </w:r>
      <w:r>
        <w:t>model</w:t>
      </w:r>
      <w:r>
        <w:rPr>
          <w:spacing w:val="-6"/>
        </w:rPr>
        <w:t xml:space="preserve"> </w:t>
      </w:r>
      <w:r>
        <w:t>or</w:t>
      </w:r>
      <w:r>
        <w:rPr>
          <w:spacing w:val="-3"/>
        </w:rPr>
        <w:t xml:space="preserve"> </w:t>
      </w:r>
      <w:r>
        <w:t>SEM,</w:t>
      </w:r>
      <w:r>
        <w:rPr>
          <w:spacing w:val="-3"/>
        </w:rPr>
        <w:t xml:space="preserve"> </w:t>
      </w:r>
      <w:r>
        <w:t>is</w:t>
      </w:r>
      <w:r>
        <w:rPr>
          <w:spacing w:val="-3"/>
        </w:rPr>
        <w:t xml:space="preserve"> </w:t>
      </w:r>
      <w:r>
        <w:t>becoming</w:t>
      </w:r>
      <w:r>
        <w:rPr>
          <w:spacing w:val="-6"/>
        </w:rPr>
        <w:t xml:space="preserve"> </w:t>
      </w:r>
      <w:r>
        <w:t xml:space="preserve">one </w:t>
      </w:r>
      <w:bookmarkStart w:id="186" w:name="_bookmark96"/>
      <w:bookmarkEnd w:id="186"/>
      <w:r>
        <w:t xml:space="preserve">of the most popular models of public health intervention strategy within the field. Proposed in 1998 </w:t>
      </w:r>
      <w:bookmarkStart w:id="187" w:name="_bookmark97"/>
      <w:bookmarkEnd w:id="187"/>
      <w:r>
        <w:t>by McLeroy, Bibeau, Steckler, and Glanz,</w:t>
      </w:r>
      <w:hyperlink w:anchor="_bookmark98" w:history="1">
        <w:r>
          <w:rPr>
            <w:vertAlign w:val="superscript"/>
          </w:rPr>
          <w:t>4</w:t>
        </w:r>
      </w:hyperlink>
      <w:r>
        <w:rPr>
          <w:spacing w:val="-2"/>
        </w:rPr>
        <w:t xml:space="preserve"> </w:t>
      </w:r>
      <w:r>
        <w:t xml:space="preserve">the SEM proposes that health is not solely an individual </w:t>
      </w:r>
      <w:bookmarkStart w:id="188" w:name="_bookmark98"/>
      <w:bookmarkEnd w:id="188"/>
      <w:r>
        <w:t>concern, but</w:t>
      </w:r>
      <w:r>
        <w:t xml:space="preserve"> rather a series of interwoven factors that influence an individual at interpersonal, institutional, community and societal levels. While public health traditionally focused on changing individual</w:t>
      </w:r>
      <w:r>
        <w:rPr>
          <w:spacing w:val="-5"/>
        </w:rPr>
        <w:t xml:space="preserve"> </w:t>
      </w:r>
      <w:r>
        <w:t>behaviors</w:t>
      </w:r>
      <w:r>
        <w:rPr>
          <w:spacing w:val="-6"/>
        </w:rPr>
        <w:t xml:space="preserve"> </w:t>
      </w:r>
      <w:r>
        <w:t>to</w:t>
      </w:r>
      <w:r>
        <w:rPr>
          <w:spacing w:val="-6"/>
        </w:rPr>
        <w:t xml:space="preserve"> </w:t>
      </w:r>
      <w:r>
        <w:t>promote</w:t>
      </w:r>
      <w:r>
        <w:rPr>
          <w:spacing w:val="-6"/>
        </w:rPr>
        <w:t xml:space="preserve"> </w:t>
      </w:r>
      <w:r>
        <w:t>health,</w:t>
      </w:r>
      <w:r>
        <w:rPr>
          <w:spacing w:val="-7"/>
        </w:rPr>
        <w:t xml:space="preserve"> </w:t>
      </w:r>
      <w:r>
        <w:t>practitioners</w:t>
      </w:r>
      <w:r>
        <w:rPr>
          <w:spacing w:val="-9"/>
        </w:rPr>
        <w:t xml:space="preserve"> </w:t>
      </w:r>
      <w:r>
        <w:t>began</w:t>
      </w:r>
      <w:r>
        <w:rPr>
          <w:spacing w:val="-5"/>
        </w:rPr>
        <w:t xml:space="preserve"> </w:t>
      </w:r>
      <w:r>
        <w:t>to</w:t>
      </w:r>
      <w:r>
        <w:rPr>
          <w:spacing w:val="-6"/>
        </w:rPr>
        <w:t xml:space="preserve"> </w:t>
      </w:r>
      <w:r>
        <w:t>realize</w:t>
      </w:r>
      <w:r>
        <w:rPr>
          <w:spacing w:val="-6"/>
        </w:rPr>
        <w:t xml:space="preserve"> </w:t>
      </w:r>
      <w:r>
        <w:t>that</w:t>
      </w:r>
      <w:r>
        <w:rPr>
          <w:spacing w:val="-6"/>
        </w:rPr>
        <w:t xml:space="preserve"> </w:t>
      </w:r>
      <w:r>
        <w:t>individual</w:t>
      </w:r>
      <w:r>
        <w:rPr>
          <w:spacing w:val="-5"/>
        </w:rPr>
        <w:t xml:space="preserve"> </w:t>
      </w:r>
      <w:r>
        <w:t>health</w:t>
      </w:r>
      <w:r>
        <w:rPr>
          <w:spacing w:val="-5"/>
        </w:rPr>
        <w:t xml:space="preserve"> </w:t>
      </w:r>
      <w:r>
        <w:t>could</w:t>
      </w:r>
      <w:r>
        <w:rPr>
          <w:spacing w:val="-5"/>
        </w:rPr>
        <w:t xml:space="preserve"> </w:t>
      </w:r>
      <w:r>
        <w:t xml:space="preserve">not </w:t>
      </w:r>
      <w:bookmarkStart w:id="189" w:name="_bookmark99"/>
      <w:bookmarkStart w:id="190" w:name="_bookmark100"/>
      <w:bookmarkEnd w:id="189"/>
      <w:bookmarkEnd w:id="190"/>
      <w:r>
        <w:t>be achieved without creating a supporting environment in which individual behaviors occur.</w:t>
      </w:r>
      <w:hyperlink w:anchor="_bookmark99" w:history="1">
        <w:r>
          <w:rPr>
            <w:vertAlign w:val="superscript"/>
          </w:rPr>
          <w:t>5</w:t>
        </w:r>
      </w:hyperlink>
      <w:r>
        <w:rPr>
          <w:spacing w:val="-2"/>
        </w:rPr>
        <w:t xml:space="preserve"> </w:t>
      </w:r>
      <w:r>
        <w:t>When creating</w:t>
      </w:r>
      <w:r>
        <w:rPr>
          <w:spacing w:val="-9"/>
        </w:rPr>
        <w:t xml:space="preserve"> </w:t>
      </w:r>
      <w:r>
        <w:t>public</w:t>
      </w:r>
      <w:r>
        <w:rPr>
          <w:spacing w:val="-8"/>
        </w:rPr>
        <w:t xml:space="preserve"> </w:t>
      </w:r>
      <w:r>
        <w:t>health</w:t>
      </w:r>
      <w:r>
        <w:rPr>
          <w:spacing w:val="-9"/>
        </w:rPr>
        <w:t xml:space="preserve"> </w:t>
      </w:r>
      <w:r>
        <w:t>interventions,</w:t>
      </w:r>
      <w:r>
        <w:rPr>
          <w:spacing w:val="-8"/>
        </w:rPr>
        <w:t xml:space="preserve"> </w:t>
      </w:r>
      <w:r>
        <w:t>it</w:t>
      </w:r>
      <w:r>
        <w:rPr>
          <w:spacing w:val="-7"/>
        </w:rPr>
        <w:t xml:space="preserve"> </w:t>
      </w:r>
      <w:r>
        <w:t>is</w:t>
      </w:r>
      <w:r>
        <w:rPr>
          <w:spacing w:val="-8"/>
        </w:rPr>
        <w:t xml:space="preserve"> </w:t>
      </w:r>
      <w:r>
        <w:t>often</w:t>
      </w:r>
      <w:r>
        <w:rPr>
          <w:spacing w:val="-9"/>
        </w:rPr>
        <w:t xml:space="preserve"> </w:t>
      </w:r>
      <w:r>
        <w:t>simply</w:t>
      </w:r>
      <w:r>
        <w:rPr>
          <w:spacing w:val="-10"/>
        </w:rPr>
        <w:t xml:space="preserve"> </w:t>
      </w:r>
      <w:r>
        <w:t>not</w:t>
      </w:r>
      <w:r>
        <w:rPr>
          <w:spacing w:val="-7"/>
        </w:rPr>
        <w:t xml:space="preserve"> </w:t>
      </w:r>
      <w:r>
        <w:t>enough</w:t>
      </w:r>
      <w:r>
        <w:rPr>
          <w:spacing w:val="-9"/>
        </w:rPr>
        <w:t xml:space="preserve"> </w:t>
      </w:r>
      <w:r>
        <w:t>to</w:t>
      </w:r>
      <w:r>
        <w:rPr>
          <w:spacing w:val="-7"/>
        </w:rPr>
        <w:t xml:space="preserve"> </w:t>
      </w:r>
      <w:r>
        <w:t>alter</w:t>
      </w:r>
      <w:r>
        <w:rPr>
          <w:spacing w:val="-8"/>
        </w:rPr>
        <w:t xml:space="preserve"> </w:t>
      </w:r>
      <w:r>
        <w:t>an</w:t>
      </w:r>
      <w:r>
        <w:rPr>
          <w:spacing w:val="-9"/>
        </w:rPr>
        <w:t xml:space="preserve"> </w:t>
      </w:r>
      <w:r>
        <w:t>individual’s</w:t>
      </w:r>
      <w:r>
        <w:rPr>
          <w:spacing w:val="-8"/>
        </w:rPr>
        <w:t xml:space="preserve"> </w:t>
      </w:r>
      <w:r>
        <w:t>b</w:t>
      </w:r>
      <w:r>
        <w:t>ehavior,</w:t>
      </w:r>
      <w:r>
        <w:rPr>
          <w:spacing w:val="-8"/>
        </w:rPr>
        <w:t xml:space="preserve"> </w:t>
      </w:r>
      <w:r>
        <w:t xml:space="preserve">but </w:t>
      </w:r>
      <w:bookmarkStart w:id="191" w:name="_bookmark101"/>
      <w:bookmarkEnd w:id="191"/>
      <w:r>
        <w:t>rather taking a holistic approach that investigates and remedies higher-order concerns may serve as a better and more sustainable solution.</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spacing w:before="3"/>
        <w:rPr>
          <w:sz w:val="19"/>
        </w:rPr>
      </w:pPr>
    </w:p>
    <w:p w:rsidR="00200FDA" w:rsidRDefault="00F76C4C">
      <w:pPr>
        <w:spacing w:before="71"/>
        <w:ind w:right="641"/>
        <w:jc w:val="right"/>
        <w:rPr>
          <w:sz w:val="14"/>
        </w:rPr>
      </w:pPr>
      <w:r>
        <w:rPr>
          <w:noProof/>
        </w:rPr>
        <w:drawing>
          <wp:anchor distT="0" distB="0" distL="0" distR="0" simplePos="0" relativeHeight="15749632" behindDoc="0" locked="0" layoutInCell="1" allowOverlap="1">
            <wp:simplePos x="0" y="0"/>
            <wp:positionH relativeFrom="page">
              <wp:posOffset>1068336</wp:posOffset>
            </wp:positionH>
            <wp:positionV relativeFrom="paragraph">
              <wp:posOffset>-2007978</wp:posOffset>
            </wp:positionV>
            <wp:extent cx="5363674" cy="2184444"/>
            <wp:effectExtent l="0" t="0" r="0" b="0"/>
            <wp:wrapNone/>
            <wp:docPr id="15"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0.jpeg"/>
                    <pic:cNvPicPr/>
                  </pic:nvPicPr>
                  <pic:blipFill>
                    <a:blip r:embed="rId173" cstate="print"/>
                    <a:stretch>
                      <a:fillRect/>
                    </a:stretch>
                  </pic:blipFill>
                  <pic:spPr>
                    <a:xfrm>
                      <a:off x="0" y="0"/>
                      <a:ext cx="5363674" cy="2184444"/>
                    </a:xfrm>
                    <a:prstGeom prst="rect">
                      <a:avLst/>
                    </a:prstGeom>
                  </pic:spPr>
                </pic:pic>
              </a:graphicData>
            </a:graphic>
          </wp:anchor>
        </w:drawing>
      </w:r>
      <w:bookmarkStart w:id="192" w:name="_bookmark139"/>
      <w:bookmarkStart w:id="193" w:name="_bookmark138"/>
      <w:bookmarkStart w:id="194" w:name="_bookmark137"/>
      <w:bookmarkStart w:id="195" w:name="_bookmark103"/>
      <w:bookmarkStart w:id="196" w:name="_bookmark104"/>
      <w:bookmarkStart w:id="197" w:name="_bookmark105"/>
      <w:bookmarkStart w:id="198" w:name="_bookmark106"/>
      <w:bookmarkStart w:id="199" w:name="_bookmark107"/>
      <w:bookmarkStart w:id="200" w:name="_bookmark108"/>
      <w:bookmarkStart w:id="201" w:name="_bookmark109"/>
      <w:bookmarkStart w:id="202" w:name="_bookmark110"/>
      <w:bookmarkStart w:id="203" w:name="_bookmark111"/>
      <w:bookmarkEnd w:id="192"/>
      <w:bookmarkEnd w:id="193"/>
      <w:bookmarkEnd w:id="194"/>
      <w:bookmarkEnd w:id="195"/>
      <w:bookmarkEnd w:id="196"/>
      <w:bookmarkEnd w:id="197"/>
      <w:bookmarkEnd w:id="198"/>
      <w:bookmarkEnd w:id="199"/>
      <w:bookmarkEnd w:id="200"/>
      <w:bookmarkEnd w:id="201"/>
      <w:bookmarkEnd w:id="202"/>
      <w:bookmarkEnd w:id="203"/>
      <w:r>
        <w:fldChar w:fldCharType="begin"/>
      </w:r>
      <w:r>
        <w:instrText xml:space="preserve"> HYPERLINK \l "_bookmark100" </w:instrText>
      </w:r>
      <w:r>
        <w:fldChar w:fldCharType="separate"/>
      </w:r>
      <w:r>
        <w:rPr>
          <w:w w:val="99"/>
          <w:sz w:val="14"/>
        </w:rPr>
        <w:t>6</w:t>
      </w:r>
      <w:r>
        <w:rPr>
          <w:w w:val="99"/>
          <w:sz w:val="14"/>
        </w:rPr>
        <w:fldChar w:fldCharType="end"/>
      </w:r>
    </w:p>
    <w:p w:rsidR="00200FDA" w:rsidRDefault="00200FDA">
      <w:pPr>
        <w:pStyle w:val="BodyText"/>
        <w:rPr>
          <w:sz w:val="20"/>
        </w:rPr>
      </w:pPr>
    </w:p>
    <w:p w:rsidR="00200FDA" w:rsidRDefault="00200FDA">
      <w:pPr>
        <w:pStyle w:val="BodyText"/>
        <w:rPr>
          <w:sz w:val="20"/>
        </w:rPr>
      </w:pPr>
    </w:p>
    <w:p w:rsidR="00200FDA" w:rsidRDefault="00200FDA">
      <w:pPr>
        <w:pStyle w:val="BodyText"/>
        <w:spacing w:before="9"/>
        <w:rPr>
          <w:sz w:val="17"/>
        </w:rPr>
      </w:pPr>
    </w:p>
    <w:p w:rsidR="00200FDA" w:rsidRDefault="00F76C4C">
      <w:pPr>
        <w:pStyle w:val="Heading8"/>
        <w:spacing w:before="51" w:line="293" w:lineRule="exact"/>
      </w:pPr>
      <w:bookmarkStart w:id="204" w:name="_bookmark112"/>
      <w:bookmarkStart w:id="205" w:name="_bookmark113"/>
      <w:bookmarkEnd w:id="204"/>
      <w:bookmarkEnd w:id="205"/>
      <w:r>
        <w:rPr>
          <w:color w:val="0A5293"/>
        </w:rPr>
        <w:t xml:space="preserve">Data </w:t>
      </w:r>
      <w:r>
        <w:rPr>
          <w:color w:val="0A5293"/>
          <w:spacing w:val="-2"/>
        </w:rPr>
        <w:t>Limitations</w:t>
      </w:r>
    </w:p>
    <w:p w:rsidR="00200FDA" w:rsidRDefault="00F76C4C">
      <w:pPr>
        <w:pStyle w:val="BodyText"/>
        <w:spacing w:line="276" w:lineRule="auto"/>
        <w:ind w:left="139" w:right="393"/>
        <w:jc w:val="both"/>
      </w:pPr>
      <w:bookmarkStart w:id="206" w:name="_bookmark114"/>
      <w:bookmarkEnd w:id="206"/>
      <w:r>
        <w:t>Unfortunately,</w:t>
      </w:r>
      <w:r>
        <w:rPr>
          <w:spacing w:val="-1"/>
        </w:rPr>
        <w:t xml:space="preserve"> </w:t>
      </w:r>
      <w:r>
        <w:t>when it comes</w:t>
      </w:r>
      <w:r>
        <w:rPr>
          <w:spacing w:val="-1"/>
        </w:rPr>
        <w:t xml:space="preserve"> </w:t>
      </w:r>
      <w:r>
        <w:t>to the health outcomes of LGBTQ</w:t>
      </w:r>
      <w:r>
        <w:rPr>
          <w:spacing w:val="-1"/>
        </w:rPr>
        <w:t xml:space="preserve"> </w:t>
      </w:r>
      <w:r>
        <w:t xml:space="preserve">youth, there are glaring data gaps in </w:t>
      </w:r>
      <w:bookmarkStart w:id="207" w:name="_bookmark115"/>
      <w:bookmarkEnd w:id="207"/>
      <w:r>
        <w:t>most surveys and studies. Few, if any, surveys include data about intersex youth outside of a biomedical and medicalized context. Aromantic, asexual, and pansexual youth ar</w:t>
      </w:r>
      <w:r>
        <w:t>e largely left out of survey data, although some organizations have begun to include a</w:t>
      </w:r>
      <w:r>
        <w:rPr>
          <w:spacing w:val="-2"/>
        </w:rPr>
        <w:t xml:space="preserve"> </w:t>
      </w:r>
      <w:r>
        <w:t>more inclusive array</w:t>
      </w:r>
      <w:r>
        <w:rPr>
          <w:spacing w:val="-1"/>
        </w:rPr>
        <w:t xml:space="preserve"> </w:t>
      </w:r>
      <w:r>
        <w:t xml:space="preserve">of sexualities </w:t>
      </w:r>
      <w:bookmarkStart w:id="208" w:name="_bookmark116"/>
      <w:bookmarkStart w:id="209" w:name="_bookmark117"/>
      <w:bookmarkEnd w:id="208"/>
      <w:bookmarkEnd w:id="209"/>
      <w:r>
        <w:t xml:space="preserve">for study participants to choose from. Most studies have a very small number of non-white </w:t>
      </w:r>
      <w:bookmarkStart w:id="210" w:name="_bookmark118"/>
      <w:bookmarkEnd w:id="210"/>
      <w:r>
        <w:t>participants. Data regarding disability and</w:t>
      </w:r>
      <w:r>
        <w:t xml:space="preserve"> neurodiversity is rarely, if ever, collected in surveys. Many data sets simply do not consider the intersecting identities that LGBTQ youth may hold nor the </w:t>
      </w:r>
      <w:bookmarkStart w:id="211" w:name="_bookmark119"/>
      <w:bookmarkEnd w:id="211"/>
      <w:r>
        <w:t>intersecting</w:t>
      </w:r>
      <w:r>
        <w:rPr>
          <w:spacing w:val="-12"/>
        </w:rPr>
        <w:t xml:space="preserve"> </w:t>
      </w:r>
      <w:r>
        <w:t>systems</w:t>
      </w:r>
      <w:r>
        <w:rPr>
          <w:spacing w:val="-10"/>
        </w:rPr>
        <w:t xml:space="preserve"> </w:t>
      </w:r>
      <w:r>
        <w:t>of</w:t>
      </w:r>
      <w:r>
        <w:rPr>
          <w:spacing w:val="-13"/>
        </w:rPr>
        <w:t xml:space="preserve"> </w:t>
      </w:r>
      <w:r>
        <w:t>oppression</w:t>
      </w:r>
      <w:r>
        <w:rPr>
          <w:spacing w:val="-11"/>
        </w:rPr>
        <w:t xml:space="preserve"> </w:t>
      </w:r>
      <w:r>
        <w:t>that</w:t>
      </w:r>
      <w:r>
        <w:rPr>
          <w:spacing w:val="-10"/>
        </w:rPr>
        <w:t xml:space="preserve"> </w:t>
      </w:r>
      <w:r>
        <w:t>LGBTQ</w:t>
      </w:r>
      <w:r>
        <w:rPr>
          <w:spacing w:val="-13"/>
        </w:rPr>
        <w:t xml:space="preserve"> </w:t>
      </w:r>
      <w:r>
        <w:t>youths</w:t>
      </w:r>
      <w:r>
        <w:rPr>
          <w:spacing w:val="-12"/>
        </w:rPr>
        <w:t xml:space="preserve"> </w:t>
      </w:r>
      <w:r>
        <w:t>may</w:t>
      </w:r>
      <w:r>
        <w:rPr>
          <w:spacing w:val="-10"/>
        </w:rPr>
        <w:t xml:space="preserve"> </w:t>
      </w:r>
      <w:r>
        <w:t>live</w:t>
      </w:r>
      <w:r>
        <w:rPr>
          <w:spacing w:val="-10"/>
        </w:rPr>
        <w:t xml:space="preserve"> </w:t>
      </w:r>
      <w:r>
        <w:t>under.</w:t>
      </w:r>
      <w:r>
        <w:rPr>
          <w:spacing w:val="-13"/>
        </w:rPr>
        <w:t xml:space="preserve"> </w:t>
      </w:r>
      <w:r>
        <w:t>LGBTQ</w:t>
      </w:r>
      <w:r>
        <w:rPr>
          <w:spacing w:val="-12"/>
        </w:rPr>
        <w:t xml:space="preserve"> </w:t>
      </w:r>
      <w:r>
        <w:t>youths</w:t>
      </w:r>
      <w:r>
        <w:rPr>
          <w:spacing w:val="-10"/>
        </w:rPr>
        <w:t xml:space="preserve"> </w:t>
      </w:r>
      <w:r>
        <w:t>are</w:t>
      </w:r>
      <w:r>
        <w:rPr>
          <w:spacing w:val="-10"/>
        </w:rPr>
        <w:t xml:space="preserve"> </w:t>
      </w:r>
      <w:r>
        <w:t>often</w:t>
      </w:r>
      <w:r>
        <w:rPr>
          <w:spacing w:val="-11"/>
        </w:rPr>
        <w:t xml:space="preserve"> </w:t>
      </w:r>
      <w:r>
        <w:t>treate</w:t>
      </w:r>
      <w:r>
        <w:t xml:space="preserve">d as a monolith, rather than a group of unique individuals with their own identities, risk factors, and </w:t>
      </w:r>
      <w:bookmarkStart w:id="212" w:name="_bookmark120"/>
      <w:bookmarkEnd w:id="212"/>
      <w:r>
        <w:t>protective factors.</w:t>
      </w:r>
    </w:p>
    <w:p w:rsidR="00200FDA" w:rsidRDefault="00F76C4C">
      <w:pPr>
        <w:pStyle w:val="BodyText"/>
        <w:spacing w:before="120" w:line="276" w:lineRule="auto"/>
        <w:ind w:left="139" w:right="396"/>
        <w:jc w:val="both"/>
      </w:pPr>
      <w:bookmarkStart w:id="213" w:name="_bookmark121"/>
      <w:bookmarkEnd w:id="213"/>
      <w:r>
        <w:t xml:space="preserve">To combat these gaps, public health research must be deliberate in its data collection. There are </w:t>
      </w:r>
      <w:bookmarkStart w:id="214" w:name="_bookmark122"/>
      <w:bookmarkEnd w:id="214"/>
      <w:r>
        <w:t>several</w:t>
      </w:r>
      <w:r>
        <w:rPr>
          <w:spacing w:val="-13"/>
        </w:rPr>
        <w:t xml:space="preserve"> </w:t>
      </w:r>
      <w:r>
        <w:t>professional</w:t>
      </w:r>
      <w:r>
        <w:rPr>
          <w:spacing w:val="-12"/>
        </w:rPr>
        <w:t xml:space="preserve"> </w:t>
      </w:r>
      <w:r>
        <w:t>and</w:t>
      </w:r>
      <w:r>
        <w:rPr>
          <w:spacing w:val="-13"/>
        </w:rPr>
        <w:t xml:space="preserve"> </w:t>
      </w:r>
      <w:r>
        <w:t>non-profi</w:t>
      </w:r>
      <w:r>
        <w:t>t</w:t>
      </w:r>
      <w:r>
        <w:rPr>
          <w:spacing w:val="-12"/>
        </w:rPr>
        <w:t xml:space="preserve"> </w:t>
      </w:r>
      <w:r>
        <w:t>organizations</w:t>
      </w:r>
      <w:r>
        <w:rPr>
          <w:spacing w:val="-13"/>
        </w:rPr>
        <w:t xml:space="preserve"> </w:t>
      </w:r>
      <w:r>
        <w:t>that</w:t>
      </w:r>
      <w:r>
        <w:rPr>
          <w:spacing w:val="-12"/>
        </w:rPr>
        <w:t xml:space="preserve"> </w:t>
      </w:r>
      <w:r>
        <w:t>have</w:t>
      </w:r>
      <w:r>
        <w:rPr>
          <w:spacing w:val="-13"/>
        </w:rPr>
        <w:t xml:space="preserve"> </w:t>
      </w:r>
      <w:r>
        <w:t>produced</w:t>
      </w:r>
      <w:r>
        <w:rPr>
          <w:spacing w:val="-12"/>
        </w:rPr>
        <w:t xml:space="preserve"> </w:t>
      </w:r>
      <w:r>
        <w:t>recommendations,</w:t>
      </w:r>
      <w:r>
        <w:rPr>
          <w:spacing w:val="-12"/>
        </w:rPr>
        <w:t xml:space="preserve"> </w:t>
      </w:r>
      <w:r>
        <w:t>including</w:t>
      </w:r>
      <w:r>
        <w:rPr>
          <w:spacing w:val="-13"/>
        </w:rPr>
        <w:t xml:space="preserve"> </w:t>
      </w:r>
      <w:r>
        <w:t>the Juvenile Justice Policy and Data Board,</w:t>
      </w:r>
      <w:hyperlink w:anchor="_bookmark101" w:history="1">
        <w:r>
          <w:rPr>
            <w:vertAlign w:val="superscript"/>
          </w:rPr>
          <w:t>7</w:t>
        </w:r>
      </w:hyperlink>
      <w:r>
        <w:t xml:space="preserve"> the Human Rights Campaign,</w:t>
      </w:r>
      <w:hyperlink w:anchor="_bookmark102" w:history="1">
        <w:r>
          <w:rPr>
            <w:vertAlign w:val="superscript"/>
          </w:rPr>
          <w:t>8</w:t>
        </w:r>
      </w:hyperlink>
      <w:r>
        <w:t xml:space="preserve"> and the National LGBTQIA+ </w:t>
      </w:r>
      <w:bookmarkStart w:id="215" w:name="_bookmark123"/>
      <w:bookmarkStart w:id="216" w:name="_bookmark124"/>
      <w:bookmarkEnd w:id="215"/>
      <w:bookmarkEnd w:id="216"/>
      <w:r>
        <w:t xml:space="preserve">Health Education Center. </w:t>
      </w:r>
      <w:hyperlink w:anchor="_bookmark103" w:history="1">
        <w:r>
          <w:rPr>
            <w:vertAlign w:val="superscript"/>
          </w:rPr>
          <w:t>9</w:t>
        </w:r>
      </w:hyperlink>
      <w:r>
        <w:t xml:space="preserve"> Beyond just collecting SOGIE (sexual orientation and gender identity/expression) data, it is also extremely important to collect data regarding program </w:t>
      </w:r>
      <w:bookmarkStart w:id="217" w:name="_bookmark125"/>
      <w:bookmarkStart w:id="218" w:name="_bookmark126"/>
      <w:bookmarkEnd w:id="217"/>
      <w:bookmarkEnd w:id="218"/>
      <w:r>
        <w:rPr>
          <w:spacing w:val="-2"/>
        </w:rPr>
        <w:t>participation.</w:t>
      </w:r>
    </w:p>
    <w:p w:rsidR="00200FDA" w:rsidRDefault="00200FDA">
      <w:pPr>
        <w:pStyle w:val="BodyText"/>
        <w:rPr>
          <w:sz w:val="23"/>
        </w:rPr>
      </w:pPr>
    </w:p>
    <w:p w:rsidR="00200FDA" w:rsidRDefault="00F76C4C">
      <w:pPr>
        <w:pStyle w:val="Heading8"/>
        <w:spacing w:before="1"/>
        <w:ind w:left="1841" w:right="2100"/>
        <w:jc w:val="center"/>
        <w:rPr>
          <w:rFonts w:ascii="Calibri Light"/>
        </w:rPr>
      </w:pPr>
      <w:bookmarkStart w:id="219" w:name="_bookmark127"/>
      <w:bookmarkStart w:id="220" w:name="_bookmark128"/>
      <w:bookmarkEnd w:id="219"/>
      <w:bookmarkEnd w:id="220"/>
      <w:r>
        <w:rPr>
          <w:rFonts w:ascii="Calibri Light"/>
          <w:color w:val="0F6EC5"/>
        </w:rPr>
        <w:t>Which</w:t>
      </w:r>
      <w:r>
        <w:rPr>
          <w:rFonts w:ascii="Calibri Light"/>
          <w:color w:val="0F6EC5"/>
          <w:spacing w:val="-2"/>
        </w:rPr>
        <w:t xml:space="preserve"> </w:t>
      </w:r>
      <w:r>
        <w:rPr>
          <w:rFonts w:ascii="Calibri Light"/>
          <w:color w:val="0F6EC5"/>
        </w:rPr>
        <w:t>youths</w:t>
      </w:r>
      <w:r>
        <w:rPr>
          <w:rFonts w:ascii="Calibri Light"/>
          <w:color w:val="0F6EC5"/>
          <w:spacing w:val="-2"/>
        </w:rPr>
        <w:t xml:space="preserve"> </w:t>
      </w:r>
      <w:r>
        <w:rPr>
          <w:rFonts w:ascii="Calibri Light"/>
          <w:color w:val="0F6EC5"/>
        </w:rPr>
        <w:t>are</w:t>
      </w:r>
      <w:r>
        <w:rPr>
          <w:rFonts w:ascii="Calibri Light"/>
          <w:color w:val="0F6EC5"/>
          <w:spacing w:val="-3"/>
        </w:rPr>
        <w:t xml:space="preserve"> </w:t>
      </w:r>
      <w:r>
        <w:rPr>
          <w:rFonts w:ascii="Calibri Light"/>
          <w:color w:val="0F6EC5"/>
        </w:rPr>
        <w:t>engaging</w:t>
      </w:r>
      <w:r>
        <w:rPr>
          <w:rFonts w:ascii="Calibri Light"/>
          <w:color w:val="0F6EC5"/>
          <w:spacing w:val="-2"/>
        </w:rPr>
        <w:t xml:space="preserve"> </w:t>
      </w:r>
      <w:r>
        <w:rPr>
          <w:rFonts w:ascii="Calibri Light"/>
          <w:color w:val="0F6EC5"/>
        </w:rPr>
        <w:t>in</w:t>
      </w:r>
      <w:r>
        <w:rPr>
          <w:rFonts w:ascii="Calibri Light"/>
          <w:color w:val="0F6EC5"/>
          <w:spacing w:val="-1"/>
        </w:rPr>
        <w:t xml:space="preserve"> </w:t>
      </w:r>
      <w:r>
        <w:rPr>
          <w:rFonts w:ascii="Calibri Light"/>
          <w:color w:val="0F6EC5"/>
        </w:rPr>
        <w:t>public</w:t>
      </w:r>
      <w:r>
        <w:rPr>
          <w:rFonts w:ascii="Calibri Light"/>
          <w:color w:val="0F6EC5"/>
          <w:spacing w:val="-4"/>
        </w:rPr>
        <w:t xml:space="preserve"> </w:t>
      </w:r>
      <w:r>
        <w:rPr>
          <w:rFonts w:ascii="Calibri Light"/>
          <w:color w:val="0F6EC5"/>
        </w:rPr>
        <w:t>health</w:t>
      </w:r>
      <w:r>
        <w:rPr>
          <w:rFonts w:ascii="Calibri Light"/>
          <w:color w:val="0F6EC5"/>
          <w:spacing w:val="-1"/>
        </w:rPr>
        <w:t xml:space="preserve"> </w:t>
      </w:r>
      <w:r>
        <w:rPr>
          <w:rFonts w:ascii="Calibri Light"/>
          <w:color w:val="0F6EC5"/>
          <w:spacing w:val="-2"/>
        </w:rPr>
        <w:t>programming?</w:t>
      </w:r>
    </w:p>
    <w:p w:rsidR="00200FDA" w:rsidRDefault="00200FDA">
      <w:pPr>
        <w:pStyle w:val="BodyText"/>
        <w:spacing w:before="4"/>
        <w:rPr>
          <w:rFonts w:ascii="Calibri Light"/>
          <w:sz w:val="25"/>
        </w:rPr>
      </w:pPr>
    </w:p>
    <w:p w:rsidR="00200FDA" w:rsidRDefault="00F76C4C">
      <w:pPr>
        <w:ind w:left="1841" w:right="2100"/>
        <w:jc w:val="center"/>
        <w:rPr>
          <w:rFonts w:ascii="Calibri Light"/>
          <w:sz w:val="24"/>
        </w:rPr>
      </w:pPr>
      <w:bookmarkStart w:id="221" w:name="_bookmark129"/>
      <w:bookmarkEnd w:id="221"/>
      <w:r>
        <w:rPr>
          <w:rFonts w:ascii="Calibri Light"/>
          <w:color w:val="0F6EC5"/>
          <w:sz w:val="24"/>
        </w:rPr>
        <w:t>Which</w:t>
      </w:r>
      <w:r>
        <w:rPr>
          <w:rFonts w:ascii="Calibri Light"/>
          <w:color w:val="0F6EC5"/>
          <w:spacing w:val="-2"/>
          <w:sz w:val="24"/>
        </w:rPr>
        <w:t xml:space="preserve"> </w:t>
      </w:r>
      <w:r>
        <w:rPr>
          <w:rFonts w:ascii="Calibri Light"/>
          <w:color w:val="0F6EC5"/>
          <w:sz w:val="24"/>
        </w:rPr>
        <w:t>youths</w:t>
      </w:r>
      <w:r>
        <w:rPr>
          <w:rFonts w:ascii="Calibri Light"/>
          <w:color w:val="0F6EC5"/>
          <w:spacing w:val="-1"/>
          <w:sz w:val="24"/>
        </w:rPr>
        <w:t xml:space="preserve"> </w:t>
      </w:r>
      <w:r>
        <w:rPr>
          <w:rFonts w:ascii="Calibri Light"/>
          <w:color w:val="0F6EC5"/>
          <w:sz w:val="24"/>
        </w:rPr>
        <w:t>are</w:t>
      </w:r>
      <w:r>
        <w:rPr>
          <w:rFonts w:ascii="Calibri Light"/>
          <w:color w:val="0F6EC5"/>
          <w:spacing w:val="-3"/>
          <w:sz w:val="24"/>
        </w:rPr>
        <w:t xml:space="preserve"> </w:t>
      </w:r>
      <w:r>
        <w:rPr>
          <w:rFonts w:ascii="Calibri Light"/>
          <w:color w:val="0F6EC5"/>
          <w:sz w:val="24"/>
        </w:rPr>
        <w:t>falling</w:t>
      </w:r>
      <w:r>
        <w:rPr>
          <w:rFonts w:ascii="Calibri Light"/>
          <w:color w:val="0F6EC5"/>
          <w:spacing w:val="-4"/>
          <w:sz w:val="24"/>
        </w:rPr>
        <w:t xml:space="preserve"> </w:t>
      </w:r>
      <w:r>
        <w:rPr>
          <w:rFonts w:ascii="Calibri Light"/>
          <w:color w:val="0F6EC5"/>
          <w:sz w:val="24"/>
        </w:rPr>
        <w:t>through</w:t>
      </w:r>
      <w:r>
        <w:rPr>
          <w:rFonts w:ascii="Calibri Light"/>
          <w:color w:val="0F6EC5"/>
          <w:spacing w:val="-1"/>
          <w:sz w:val="24"/>
        </w:rPr>
        <w:t xml:space="preserve"> </w:t>
      </w:r>
      <w:r>
        <w:rPr>
          <w:rFonts w:ascii="Calibri Light"/>
          <w:color w:val="0F6EC5"/>
          <w:sz w:val="24"/>
        </w:rPr>
        <w:t>the</w:t>
      </w:r>
      <w:r>
        <w:rPr>
          <w:rFonts w:ascii="Calibri Light"/>
          <w:color w:val="0F6EC5"/>
          <w:spacing w:val="-3"/>
          <w:sz w:val="24"/>
        </w:rPr>
        <w:t xml:space="preserve"> </w:t>
      </w:r>
      <w:r>
        <w:rPr>
          <w:rFonts w:ascii="Calibri Light"/>
          <w:color w:val="0F6EC5"/>
          <w:spacing w:val="-2"/>
          <w:sz w:val="24"/>
        </w:rPr>
        <w:t>cracks?</w:t>
      </w:r>
    </w:p>
    <w:p w:rsidR="00200FDA" w:rsidRDefault="00200FDA">
      <w:pPr>
        <w:pStyle w:val="BodyText"/>
        <w:rPr>
          <w:rFonts w:ascii="Calibri Light"/>
        </w:rPr>
      </w:pPr>
    </w:p>
    <w:p w:rsidR="00200FDA" w:rsidRDefault="00F76C4C">
      <w:pPr>
        <w:pStyle w:val="BodyText"/>
        <w:spacing w:line="276" w:lineRule="auto"/>
        <w:ind w:left="140" w:right="392"/>
        <w:jc w:val="both"/>
      </w:pPr>
      <w:bookmarkStart w:id="222" w:name="_bookmark130"/>
      <w:bookmarkStart w:id="223" w:name="_bookmark131"/>
      <w:bookmarkEnd w:id="222"/>
      <w:bookmarkEnd w:id="223"/>
      <w:r>
        <w:t xml:space="preserve">Without capturing this vital data, it is incredibly difficult to understand whether interventions and </w:t>
      </w:r>
      <w:bookmarkStart w:id="224" w:name="_bookmark132"/>
      <w:bookmarkEnd w:id="224"/>
      <w:r>
        <w:t xml:space="preserve">resources are appropriately serving LGBTQ youth. Without knowing this information, public health </w:t>
      </w:r>
      <w:bookmarkStart w:id="225" w:name="_bookmark133"/>
      <w:bookmarkEnd w:id="225"/>
      <w:r>
        <w:t>practitione</w:t>
      </w:r>
      <w:r>
        <w:t xml:space="preserve">rs cannot successfully implement improved interventions. Of course, </w:t>
      </w:r>
      <w:r>
        <w:rPr>
          <w:color w:val="000000"/>
          <w:shd w:val="clear" w:color="auto" w:fill="FBFBFB"/>
        </w:rPr>
        <w:t>not every</w:t>
      </w:r>
      <w:r>
        <w:rPr>
          <w:color w:val="000000"/>
        </w:rPr>
        <w:t xml:space="preserve"> </w:t>
      </w:r>
      <w:bookmarkStart w:id="226" w:name="_bookmark134"/>
      <w:bookmarkEnd w:id="226"/>
      <w:r>
        <w:rPr>
          <w:color w:val="000000"/>
          <w:shd w:val="clear" w:color="auto" w:fill="FBFBFB"/>
        </w:rPr>
        <w:t>intervention will be appropriate for every youth, but programming and community resources should</w:t>
      </w:r>
      <w:r>
        <w:rPr>
          <w:color w:val="000000"/>
        </w:rPr>
        <w:t xml:space="preserve"> </w:t>
      </w:r>
      <w:r>
        <w:rPr>
          <w:color w:val="000000"/>
          <w:shd w:val="clear" w:color="auto" w:fill="FBFBFB"/>
        </w:rPr>
        <w:t>be designed with the needs of the youth with the most barriers to access in mind.</w:t>
      </w:r>
      <w:r>
        <w:rPr>
          <w:color w:val="000000"/>
          <w:shd w:val="clear" w:color="auto" w:fill="FBFBFB"/>
        </w:rPr>
        <w:t xml:space="preserve"> Keeping them at</w:t>
      </w:r>
      <w:r>
        <w:rPr>
          <w:color w:val="000000"/>
        </w:rPr>
        <w:t xml:space="preserve"> </w:t>
      </w:r>
      <w:bookmarkStart w:id="227" w:name="_bookmark135"/>
      <w:bookmarkStart w:id="228" w:name="_bookmark136"/>
      <w:bookmarkEnd w:id="227"/>
      <w:bookmarkEnd w:id="228"/>
      <w:r>
        <w:rPr>
          <w:color w:val="000000"/>
          <w:shd w:val="clear" w:color="auto" w:fill="FBFBFB"/>
        </w:rPr>
        <w:t>the core</w:t>
      </w:r>
      <w:r>
        <w:rPr>
          <w:color w:val="000000"/>
          <w:spacing w:val="-2"/>
          <w:shd w:val="clear" w:color="auto" w:fill="FBFBFB"/>
        </w:rPr>
        <w:t xml:space="preserve"> </w:t>
      </w:r>
      <w:r>
        <w:rPr>
          <w:color w:val="000000"/>
          <w:shd w:val="clear" w:color="auto" w:fill="FBFBFB"/>
        </w:rPr>
        <w:t>of any public health</w:t>
      </w:r>
      <w:r>
        <w:rPr>
          <w:color w:val="000000"/>
          <w:spacing w:val="-1"/>
          <w:shd w:val="clear" w:color="auto" w:fill="FBFBFB"/>
        </w:rPr>
        <w:t xml:space="preserve"> </w:t>
      </w:r>
      <w:r>
        <w:rPr>
          <w:color w:val="000000"/>
          <w:shd w:val="clear" w:color="auto" w:fill="FBFBFB"/>
        </w:rPr>
        <w:t>intervention</w:t>
      </w:r>
      <w:r>
        <w:rPr>
          <w:color w:val="000000"/>
          <w:spacing w:val="-3"/>
          <w:shd w:val="clear" w:color="auto" w:fill="FBFBFB"/>
        </w:rPr>
        <w:t xml:space="preserve"> </w:t>
      </w:r>
      <w:r>
        <w:rPr>
          <w:color w:val="000000"/>
          <w:shd w:val="clear" w:color="auto" w:fill="FBFBFB"/>
        </w:rPr>
        <w:t>will allow</w:t>
      </w:r>
      <w:r>
        <w:rPr>
          <w:color w:val="000000"/>
          <w:spacing w:val="-2"/>
          <w:shd w:val="clear" w:color="auto" w:fill="FBFBFB"/>
        </w:rPr>
        <w:t xml:space="preserve"> </w:t>
      </w:r>
      <w:r>
        <w:rPr>
          <w:color w:val="000000"/>
          <w:shd w:val="clear" w:color="auto" w:fill="FBFBFB"/>
        </w:rPr>
        <w:t>the maximum number</w:t>
      </w:r>
      <w:r>
        <w:rPr>
          <w:color w:val="000000"/>
          <w:spacing w:val="-2"/>
          <w:shd w:val="clear" w:color="auto" w:fill="FBFBFB"/>
        </w:rPr>
        <w:t xml:space="preserve"> </w:t>
      </w:r>
      <w:r>
        <w:rPr>
          <w:color w:val="000000"/>
          <w:shd w:val="clear" w:color="auto" w:fill="FBFBFB"/>
        </w:rPr>
        <w:t>of</w:t>
      </w:r>
      <w:r>
        <w:rPr>
          <w:color w:val="000000"/>
          <w:spacing w:val="-2"/>
          <w:shd w:val="clear" w:color="auto" w:fill="FBFBFB"/>
        </w:rPr>
        <w:t xml:space="preserve"> </w:t>
      </w:r>
      <w:r>
        <w:rPr>
          <w:color w:val="000000"/>
          <w:shd w:val="clear" w:color="auto" w:fill="FBFBFB"/>
        </w:rPr>
        <w:t>youth</w:t>
      </w:r>
      <w:r>
        <w:rPr>
          <w:color w:val="000000"/>
          <w:spacing w:val="-1"/>
          <w:shd w:val="clear" w:color="auto" w:fill="FBFBFB"/>
        </w:rPr>
        <w:t xml:space="preserve"> </w:t>
      </w:r>
      <w:r>
        <w:rPr>
          <w:color w:val="000000"/>
          <w:shd w:val="clear" w:color="auto" w:fill="FBFBFB"/>
        </w:rPr>
        <w:t>to</w:t>
      </w:r>
      <w:r>
        <w:rPr>
          <w:color w:val="000000"/>
          <w:spacing w:val="-1"/>
          <w:shd w:val="clear" w:color="auto" w:fill="FBFBFB"/>
        </w:rPr>
        <w:t xml:space="preserve"> </w:t>
      </w:r>
      <w:r>
        <w:rPr>
          <w:color w:val="000000"/>
          <w:shd w:val="clear" w:color="auto" w:fill="FBFBFB"/>
        </w:rPr>
        <w:t>be supported.</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200FDA">
      <w:pPr>
        <w:pStyle w:val="BodyText"/>
        <w:spacing w:before="5"/>
        <w:rPr>
          <w:sz w:val="8"/>
        </w:rPr>
      </w:pPr>
    </w:p>
    <w:p w:rsidR="00200FDA" w:rsidRDefault="00F76C4C">
      <w:pPr>
        <w:pStyle w:val="Heading8"/>
        <w:spacing w:before="51"/>
      </w:pPr>
      <w:bookmarkStart w:id="229" w:name="_bookmark178"/>
      <w:bookmarkStart w:id="230" w:name="_bookmark177"/>
      <w:bookmarkStart w:id="231" w:name="Intimate_Partner_Violence"/>
      <w:bookmarkStart w:id="232" w:name="_bookmark140"/>
      <w:bookmarkEnd w:id="229"/>
      <w:bookmarkEnd w:id="230"/>
      <w:bookmarkEnd w:id="231"/>
      <w:bookmarkEnd w:id="232"/>
      <w:r>
        <w:rPr>
          <w:color w:val="0A5293"/>
        </w:rPr>
        <w:t>Intimate</w:t>
      </w:r>
      <w:r>
        <w:rPr>
          <w:color w:val="0A5293"/>
          <w:spacing w:val="-2"/>
        </w:rPr>
        <w:t xml:space="preserve"> </w:t>
      </w:r>
      <w:r>
        <w:rPr>
          <w:color w:val="0A5293"/>
        </w:rPr>
        <w:t>Partner</w:t>
      </w:r>
      <w:r>
        <w:rPr>
          <w:color w:val="0A5293"/>
          <w:spacing w:val="-3"/>
        </w:rPr>
        <w:t xml:space="preserve"> </w:t>
      </w:r>
      <w:r>
        <w:rPr>
          <w:color w:val="0A5293"/>
          <w:spacing w:val="-2"/>
        </w:rPr>
        <w:t>Violence</w:t>
      </w:r>
    </w:p>
    <w:p w:rsidR="00200FDA" w:rsidRDefault="00200FDA">
      <w:pPr>
        <w:pStyle w:val="BodyText"/>
        <w:spacing w:before="8"/>
        <w:rPr>
          <w:sz w:val="19"/>
        </w:rPr>
      </w:pPr>
    </w:p>
    <w:p w:rsidR="00200FDA" w:rsidRDefault="00F76C4C">
      <w:pPr>
        <w:pStyle w:val="BodyText"/>
        <w:spacing w:line="276" w:lineRule="auto"/>
        <w:ind w:left="139" w:right="391"/>
        <w:jc w:val="both"/>
      </w:pPr>
      <w:bookmarkStart w:id="233" w:name="_bookmark141"/>
      <w:bookmarkStart w:id="234" w:name="_bookmark142"/>
      <w:bookmarkEnd w:id="233"/>
      <w:bookmarkEnd w:id="234"/>
      <w:r>
        <w:t>Intimate partner</w:t>
      </w:r>
      <w:r>
        <w:rPr>
          <w:spacing w:val="-3"/>
        </w:rPr>
        <w:t xml:space="preserve"> </w:t>
      </w:r>
      <w:r>
        <w:t>violence,</w:t>
      </w:r>
      <w:r>
        <w:rPr>
          <w:spacing w:val="-3"/>
        </w:rPr>
        <w:t xml:space="preserve"> </w:t>
      </w:r>
      <w:r>
        <w:t>also known</w:t>
      </w:r>
      <w:r>
        <w:rPr>
          <w:spacing w:val="-2"/>
        </w:rPr>
        <w:t xml:space="preserve"> </w:t>
      </w:r>
      <w:r>
        <w:t>as</w:t>
      </w:r>
      <w:r>
        <w:rPr>
          <w:spacing w:val="-3"/>
        </w:rPr>
        <w:t xml:space="preserve"> </w:t>
      </w:r>
      <w:r>
        <w:t>relationship</w:t>
      </w:r>
      <w:r>
        <w:rPr>
          <w:spacing w:val="-4"/>
        </w:rPr>
        <w:t xml:space="preserve"> </w:t>
      </w:r>
      <w:r>
        <w:t>violence,</w:t>
      </w:r>
      <w:r>
        <w:rPr>
          <w:spacing w:val="-1"/>
        </w:rPr>
        <w:t xml:space="preserve"> </w:t>
      </w:r>
      <w:r>
        <w:t>dating</w:t>
      </w:r>
      <w:r>
        <w:rPr>
          <w:spacing w:val="-4"/>
        </w:rPr>
        <w:t xml:space="preserve"> </w:t>
      </w:r>
      <w:r>
        <w:t>violence,</w:t>
      </w:r>
      <w:r>
        <w:rPr>
          <w:spacing w:val="-3"/>
        </w:rPr>
        <w:t xml:space="preserve"> </w:t>
      </w:r>
      <w:r>
        <w:t>or</w:t>
      </w:r>
      <w:r>
        <w:rPr>
          <w:spacing w:val="-1"/>
        </w:rPr>
        <w:t xml:space="preserve"> </w:t>
      </w:r>
      <w:r>
        <w:t>domestic</w:t>
      </w:r>
      <w:r>
        <w:rPr>
          <w:spacing w:val="-3"/>
        </w:rPr>
        <w:t xml:space="preserve"> </w:t>
      </w:r>
      <w:r>
        <w:t xml:space="preserve">violence, affects an alarming percentage of LGBTQ youth. Intimate partner violence is a serious public health </w:t>
      </w:r>
      <w:bookmarkStart w:id="235" w:name="_bookmark143"/>
      <w:bookmarkEnd w:id="235"/>
      <w:r>
        <w:t xml:space="preserve">issue that can have long-term negative effects on survivors’ physical, emotional, mental, and social </w:t>
      </w:r>
      <w:bookmarkStart w:id="236" w:name="_bookmark144"/>
      <w:bookmarkEnd w:id="236"/>
      <w:r>
        <w:t xml:space="preserve">well-being. For youth, experiencing intimate </w:t>
      </w:r>
      <w:r>
        <w:t>partner violence at a young age can affect “lifelong health,</w:t>
      </w:r>
      <w:r>
        <w:rPr>
          <w:spacing w:val="-3"/>
        </w:rPr>
        <w:t xml:space="preserve"> </w:t>
      </w:r>
      <w:r>
        <w:t>opportunity,</w:t>
      </w:r>
      <w:r>
        <w:rPr>
          <w:spacing w:val="-3"/>
        </w:rPr>
        <w:t xml:space="preserve"> </w:t>
      </w:r>
      <w:r>
        <w:t>and</w:t>
      </w:r>
      <w:r>
        <w:rPr>
          <w:spacing w:val="-6"/>
        </w:rPr>
        <w:t xml:space="preserve"> </w:t>
      </w:r>
      <w:r>
        <w:t>well-being”</w:t>
      </w:r>
      <w:hyperlink w:anchor="_bookmark104" w:history="1">
        <w:r>
          <w:rPr>
            <w:vertAlign w:val="superscript"/>
          </w:rPr>
          <w:t>10</w:t>
        </w:r>
      </w:hyperlink>
      <w:r>
        <w:rPr>
          <w:spacing w:val="-2"/>
        </w:rPr>
        <w:t xml:space="preserve"> </w:t>
      </w:r>
      <w:r>
        <w:t>and</w:t>
      </w:r>
      <w:r>
        <w:rPr>
          <w:spacing w:val="-6"/>
        </w:rPr>
        <w:t xml:space="preserve"> </w:t>
      </w:r>
      <w:r>
        <w:t>make</w:t>
      </w:r>
      <w:r>
        <w:rPr>
          <w:spacing w:val="-5"/>
        </w:rPr>
        <w:t xml:space="preserve"> </w:t>
      </w:r>
      <w:r>
        <w:t>youth</w:t>
      </w:r>
      <w:r>
        <w:rPr>
          <w:spacing w:val="-6"/>
        </w:rPr>
        <w:t xml:space="preserve"> </w:t>
      </w:r>
      <w:r>
        <w:t>survivors</w:t>
      </w:r>
      <w:r>
        <w:rPr>
          <w:spacing w:val="-5"/>
        </w:rPr>
        <w:t xml:space="preserve"> </w:t>
      </w:r>
      <w:r>
        <w:t>more</w:t>
      </w:r>
      <w:r>
        <w:rPr>
          <w:spacing w:val="-5"/>
        </w:rPr>
        <w:t xml:space="preserve"> </w:t>
      </w:r>
      <w:r>
        <w:t>vulnerable</w:t>
      </w:r>
      <w:r>
        <w:rPr>
          <w:spacing w:val="-5"/>
        </w:rPr>
        <w:t xml:space="preserve"> </w:t>
      </w:r>
      <w:r>
        <w:t>to</w:t>
      </w:r>
      <w:r>
        <w:rPr>
          <w:spacing w:val="-2"/>
        </w:rPr>
        <w:t xml:space="preserve"> </w:t>
      </w:r>
      <w:r>
        <w:t>intimate</w:t>
      </w:r>
      <w:r>
        <w:rPr>
          <w:spacing w:val="-3"/>
        </w:rPr>
        <w:t xml:space="preserve"> </w:t>
      </w:r>
      <w:r>
        <w:t xml:space="preserve">partner </w:t>
      </w:r>
      <w:bookmarkStart w:id="237" w:name="_bookmark145"/>
      <w:bookmarkEnd w:id="237"/>
      <w:r>
        <w:t>violence as adults.</w:t>
      </w:r>
    </w:p>
    <w:p w:rsidR="00200FDA" w:rsidRDefault="00F76C4C">
      <w:pPr>
        <w:pStyle w:val="BodyText"/>
        <w:spacing w:before="120" w:line="276" w:lineRule="auto"/>
        <w:ind w:left="139" w:right="392"/>
        <w:jc w:val="both"/>
      </w:pPr>
      <w:bookmarkStart w:id="238" w:name="_bookmark146"/>
      <w:bookmarkEnd w:id="238"/>
      <w:r>
        <w:t xml:space="preserve">According to the 2021 Massachusetts Youth Risk Behavior Survey (MYRBS), an annual survey that </w:t>
      </w:r>
      <w:bookmarkStart w:id="239" w:name="_bookmark147"/>
      <w:bookmarkEnd w:id="239"/>
      <w:r>
        <w:t xml:space="preserve">examines the health behaviors of youth in grades 9 through 12, 17.8% of LGBTQ youth have </w:t>
      </w:r>
      <w:bookmarkStart w:id="240" w:name="_bookmark148"/>
      <w:bookmarkStart w:id="241" w:name="_bookmark149"/>
      <w:bookmarkEnd w:id="240"/>
      <w:bookmarkEnd w:id="241"/>
      <w:r>
        <w:t>experienced sexual dating violence within the last twelve months, and 13.</w:t>
      </w:r>
      <w:r>
        <w:t xml:space="preserve">9% of LGBTQ youth </w:t>
      </w:r>
      <w:bookmarkStart w:id="242" w:name="_bookmark150"/>
      <w:bookmarkEnd w:id="242"/>
      <w:r>
        <w:t>experienced physical dating violence within the last twelve months.</w:t>
      </w:r>
      <w:hyperlink w:anchor="_bookmark105" w:history="1">
        <w:r>
          <w:rPr>
            <w:vertAlign w:val="superscript"/>
          </w:rPr>
          <w:t>11</w:t>
        </w:r>
      </w:hyperlink>
      <w:r>
        <w:rPr>
          <w:spacing w:val="-2"/>
        </w:rPr>
        <w:t xml:space="preserve"> </w:t>
      </w:r>
      <w:r>
        <w:t xml:space="preserve">Among LGBTQ youth of color, </w:t>
      </w:r>
      <w:bookmarkStart w:id="243" w:name="_bookmark151"/>
      <w:bookmarkEnd w:id="243"/>
      <w:r>
        <w:t xml:space="preserve">17.8% have experienced sexual dating violence within the last twelve months, with the highest rates </w:t>
      </w:r>
      <w:bookmarkStart w:id="244" w:name="_bookmark152"/>
      <w:bookmarkStart w:id="245" w:name="_bookmark153"/>
      <w:bookmarkEnd w:id="244"/>
      <w:bookmarkEnd w:id="245"/>
      <w:r>
        <w:t>among Hi</w:t>
      </w:r>
      <w:r>
        <w:t>spanic/Latinx (25.0%) and</w:t>
      </w:r>
      <w:r>
        <w:rPr>
          <w:spacing w:val="-3"/>
        </w:rPr>
        <w:t xml:space="preserve"> </w:t>
      </w:r>
      <w:r>
        <w:t xml:space="preserve">multiracial Hispanic/Latinx (20.3%) respondents; and 13.8% have experienced physical dating violence within the last twelve months, with the highest rates among </w:t>
      </w:r>
      <w:bookmarkStart w:id="246" w:name="_bookmark154"/>
      <w:bookmarkEnd w:id="246"/>
      <w:r>
        <w:t>Hispanic/Latinx (27.8%) and multiracial non-Hispanic/Latinx (20.0%) r</w:t>
      </w:r>
      <w:r>
        <w:t>espondents.</w:t>
      </w:r>
      <w:hyperlink w:anchor="_bookmark106" w:history="1">
        <w:r>
          <w:rPr>
            <w:vertAlign w:val="superscript"/>
          </w:rPr>
          <w:t>12</w:t>
        </w:r>
      </w:hyperlink>
    </w:p>
    <w:p w:rsidR="00200FDA" w:rsidRDefault="00F76C4C">
      <w:pPr>
        <w:pStyle w:val="BodyText"/>
        <w:spacing w:before="121" w:line="276" w:lineRule="auto"/>
        <w:ind w:left="139" w:right="394"/>
        <w:jc w:val="both"/>
      </w:pPr>
      <w:bookmarkStart w:id="247" w:name="_bookmark155"/>
      <w:bookmarkEnd w:id="247"/>
      <w:r>
        <w:t xml:space="preserve">For trans and gender expansive individuals, the numbers of intimate partner violence and sexual </w:t>
      </w:r>
      <w:bookmarkStart w:id="248" w:name="_bookmark156"/>
      <w:bookmarkEnd w:id="248"/>
      <w:r>
        <w:t>assault are even higher. According to the 2015 U.S. Transgender survey, which collects data for transgender and ge</w:t>
      </w:r>
      <w:r>
        <w:t xml:space="preserve">nder nonconforming individuals ages 16 and up, 47% of transgender and gender </w:t>
      </w:r>
      <w:bookmarkStart w:id="249" w:name="_bookmark157"/>
      <w:bookmarkEnd w:id="249"/>
      <w:r>
        <w:t>nonconforming individuals have ever experienced sexual assault during their lifetime.</w:t>
      </w:r>
      <w:hyperlink w:anchor="_bookmark107" w:history="1">
        <w:r>
          <w:rPr>
            <w:vertAlign w:val="superscript"/>
          </w:rPr>
          <w:t>13</w:t>
        </w:r>
      </w:hyperlink>
      <w:r>
        <w:t xml:space="preserve"> Nonbinary </w:t>
      </w:r>
      <w:bookmarkStart w:id="250" w:name="_bookmark158"/>
      <w:bookmarkEnd w:id="250"/>
      <w:r>
        <w:t xml:space="preserve">people assigned female at birth (58%), trans men </w:t>
      </w:r>
      <w:r>
        <w:t xml:space="preserve">(51%), and American Indian (65%), Middle Eastern </w:t>
      </w:r>
      <w:bookmarkStart w:id="251" w:name="_bookmark159"/>
      <w:bookmarkEnd w:id="251"/>
      <w:r>
        <w:t>(59%), and Multiracial (58%) individuals had the highest rates of experiencing sexual assault.</w:t>
      </w:r>
      <w:r>
        <w:rPr>
          <w:spacing w:val="-13"/>
        </w:rPr>
        <w:t xml:space="preserve"> </w:t>
      </w:r>
      <w:hyperlink w:anchor="_bookmark108" w:history="1">
        <w:r>
          <w:rPr>
            <w:vertAlign w:val="superscript"/>
          </w:rPr>
          <w:t>14</w:t>
        </w:r>
      </w:hyperlink>
      <w:r>
        <w:t xml:space="preserve"> </w:t>
      </w:r>
      <w:bookmarkStart w:id="252" w:name="_bookmark160"/>
      <w:bookmarkEnd w:id="252"/>
      <w:r>
        <w:t>Additionally, transgender and gender-nonconforming individuals who had partic</w:t>
      </w:r>
      <w:r>
        <w:t xml:space="preserve">ipated in sex work (72%), had ever been unhoused (65%), and are disabled (61%) had the highest rates of experiencing </w:t>
      </w:r>
      <w:bookmarkStart w:id="253" w:name="_bookmark161"/>
      <w:bookmarkEnd w:id="253"/>
      <w:r>
        <w:t>sexual</w:t>
      </w:r>
      <w:r>
        <w:rPr>
          <w:spacing w:val="-12"/>
        </w:rPr>
        <w:t xml:space="preserve"> </w:t>
      </w:r>
      <w:r>
        <w:t>assault.</w:t>
      </w:r>
      <w:hyperlink w:anchor="_bookmark109" w:history="1">
        <w:r>
          <w:rPr>
            <w:vertAlign w:val="superscript"/>
          </w:rPr>
          <w:t>15</w:t>
        </w:r>
      </w:hyperlink>
      <w:r>
        <w:rPr>
          <w:spacing w:val="-3"/>
        </w:rPr>
        <w:t xml:space="preserve"> </w:t>
      </w:r>
      <w:r>
        <w:t>Furthermore,</w:t>
      </w:r>
      <w:r>
        <w:rPr>
          <w:spacing w:val="-11"/>
        </w:rPr>
        <w:t xml:space="preserve"> </w:t>
      </w:r>
      <w:r>
        <w:t>54%</w:t>
      </w:r>
      <w:r>
        <w:rPr>
          <w:spacing w:val="-11"/>
        </w:rPr>
        <w:t xml:space="preserve"> </w:t>
      </w:r>
      <w:r>
        <w:t>of</w:t>
      </w:r>
      <w:r>
        <w:rPr>
          <w:spacing w:val="-12"/>
        </w:rPr>
        <w:t xml:space="preserve"> </w:t>
      </w:r>
      <w:r>
        <w:t>respondents</w:t>
      </w:r>
      <w:r>
        <w:rPr>
          <w:spacing w:val="-11"/>
        </w:rPr>
        <w:t xml:space="preserve"> </w:t>
      </w:r>
      <w:r>
        <w:t>to</w:t>
      </w:r>
      <w:r>
        <w:rPr>
          <w:spacing w:val="-10"/>
        </w:rPr>
        <w:t xml:space="preserve"> </w:t>
      </w:r>
      <w:r>
        <w:t>the</w:t>
      </w:r>
      <w:r>
        <w:rPr>
          <w:spacing w:val="-8"/>
        </w:rPr>
        <w:t xml:space="preserve"> </w:t>
      </w:r>
      <w:r>
        <w:t>survey</w:t>
      </w:r>
      <w:r>
        <w:rPr>
          <w:spacing w:val="-8"/>
        </w:rPr>
        <w:t xml:space="preserve"> </w:t>
      </w:r>
      <w:r>
        <w:t>indicated</w:t>
      </w:r>
      <w:r>
        <w:rPr>
          <w:spacing w:val="-12"/>
        </w:rPr>
        <w:t xml:space="preserve"> </w:t>
      </w:r>
      <w:r>
        <w:t>that</w:t>
      </w:r>
      <w:r>
        <w:rPr>
          <w:spacing w:val="-11"/>
        </w:rPr>
        <w:t xml:space="preserve"> </w:t>
      </w:r>
      <w:r>
        <w:t>they</w:t>
      </w:r>
      <w:r>
        <w:rPr>
          <w:spacing w:val="-8"/>
        </w:rPr>
        <w:t xml:space="preserve"> </w:t>
      </w:r>
      <w:r>
        <w:t>have</w:t>
      </w:r>
      <w:r>
        <w:rPr>
          <w:spacing w:val="-11"/>
        </w:rPr>
        <w:t xml:space="preserve"> </w:t>
      </w:r>
      <w:r>
        <w:t xml:space="preserve">experienced </w:t>
      </w:r>
      <w:bookmarkStart w:id="254" w:name="_bookmark162"/>
      <w:bookmarkEnd w:id="254"/>
      <w:r>
        <w:t>some f</w:t>
      </w:r>
      <w:r>
        <w:t>orm of intimate partner violence in their lifetimes.</w:t>
      </w:r>
      <w:hyperlink w:anchor="_bookmark110" w:history="1">
        <w:r>
          <w:rPr>
            <w:vertAlign w:val="superscript"/>
          </w:rPr>
          <w:t>16</w:t>
        </w:r>
      </w:hyperlink>
      <w:r>
        <w:rPr>
          <w:spacing w:val="-2"/>
        </w:rPr>
        <w:t xml:space="preserve"> </w:t>
      </w:r>
      <w:r>
        <w:t xml:space="preserve">Transgender and gender nonconforming </w:t>
      </w:r>
      <w:bookmarkStart w:id="255" w:name="_bookmark163"/>
      <w:bookmarkStart w:id="256" w:name="_bookmark164"/>
      <w:bookmarkEnd w:id="255"/>
      <w:bookmarkEnd w:id="256"/>
      <w:r>
        <w:t>individuals who had participated in sex work (77%), had ever been unhoused (72%), are undocumented</w:t>
      </w:r>
      <w:r>
        <w:rPr>
          <w:spacing w:val="-13"/>
        </w:rPr>
        <w:t xml:space="preserve"> </w:t>
      </w:r>
      <w:r>
        <w:t>(68%),</w:t>
      </w:r>
      <w:r>
        <w:rPr>
          <w:spacing w:val="-12"/>
        </w:rPr>
        <w:t xml:space="preserve"> </w:t>
      </w:r>
      <w:r>
        <w:t>or</w:t>
      </w:r>
      <w:r>
        <w:rPr>
          <w:spacing w:val="-13"/>
        </w:rPr>
        <w:t xml:space="preserve"> </w:t>
      </w:r>
      <w:r>
        <w:t>are</w:t>
      </w:r>
      <w:r>
        <w:rPr>
          <w:spacing w:val="-12"/>
        </w:rPr>
        <w:t xml:space="preserve"> </w:t>
      </w:r>
      <w:r>
        <w:t>disabled</w:t>
      </w:r>
      <w:r>
        <w:rPr>
          <w:spacing w:val="-13"/>
        </w:rPr>
        <w:t xml:space="preserve"> </w:t>
      </w:r>
      <w:r>
        <w:t>(61%)</w:t>
      </w:r>
      <w:r>
        <w:rPr>
          <w:spacing w:val="-12"/>
        </w:rPr>
        <w:t xml:space="preserve"> </w:t>
      </w:r>
      <w:r>
        <w:t>had</w:t>
      </w:r>
      <w:r>
        <w:rPr>
          <w:spacing w:val="-13"/>
        </w:rPr>
        <w:t xml:space="preserve"> </w:t>
      </w:r>
      <w:r>
        <w:t>extremely</w:t>
      </w:r>
      <w:r>
        <w:rPr>
          <w:spacing w:val="-12"/>
        </w:rPr>
        <w:t xml:space="preserve"> </w:t>
      </w:r>
      <w:r>
        <w:t>high</w:t>
      </w:r>
      <w:r>
        <w:rPr>
          <w:spacing w:val="-12"/>
        </w:rPr>
        <w:t xml:space="preserve"> </w:t>
      </w:r>
      <w:r>
        <w:t>rates</w:t>
      </w:r>
      <w:r>
        <w:rPr>
          <w:spacing w:val="-13"/>
        </w:rPr>
        <w:t xml:space="preserve"> </w:t>
      </w:r>
      <w:r>
        <w:t>of</w:t>
      </w:r>
      <w:r>
        <w:rPr>
          <w:spacing w:val="-12"/>
        </w:rPr>
        <w:t xml:space="preserve"> </w:t>
      </w:r>
      <w:r>
        <w:t>experiencing</w:t>
      </w:r>
      <w:r>
        <w:rPr>
          <w:spacing w:val="-13"/>
        </w:rPr>
        <w:t xml:space="preserve"> </w:t>
      </w:r>
      <w:r>
        <w:t>intimate</w:t>
      </w:r>
      <w:r>
        <w:rPr>
          <w:spacing w:val="-12"/>
        </w:rPr>
        <w:t xml:space="preserve"> </w:t>
      </w:r>
      <w:r>
        <w:t xml:space="preserve">partner </w:t>
      </w:r>
      <w:r>
        <w:rPr>
          <w:spacing w:val="-2"/>
        </w:rPr>
        <w:t>violence.</w:t>
      </w:r>
      <w:hyperlink w:anchor="_bookmark111" w:history="1">
        <w:r>
          <w:rPr>
            <w:spacing w:val="-2"/>
            <w:vertAlign w:val="superscript"/>
          </w:rPr>
          <w:t>17</w:t>
        </w:r>
      </w:hyperlink>
    </w:p>
    <w:p w:rsidR="00200FDA" w:rsidRDefault="00F76C4C">
      <w:pPr>
        <w:pStyle w:val="BodyText"/>
        <w:spacing w:before="118" w:line="276" w:lineRule="auto"/>
        <w:ind w:left="139" w:right="393"/>
        <w:jc w:val="both"/>
      </w:pPr>
      <w:bookmarkStart w:id="257" w:name="_bookmark165"/>
      <w:bookmarkStart w:id="258" w:name="_bookmark166"/>
      <w:bookmarkEnd w:id="257"/>
      <w:bookmarkEnd w:id="258"/>
      <w:r>
        <w:t>Like</w:t>
      </w:r>
      <w:r>
        <w:rPr>
          <w:spacing w:val="-11"/>
        </w:rPr>
        <w:t xml:space="preserve"> </w:t>
      </w:r>
      <w:r>
        <w:t>with</w:t>
      </w:r>
      <w:r>
        <w:rPr>
          <w:spacing w:val="-10"/>
        </w:rPr>
        <w:t xml:space="preserve"> </w:t>
      </w:r>
      <w:r>
        <w:t>sexual</w:t>
      </w:r>
      <w:r>
        <w:rPr>
          <w:spacing w:val="-12"/>
        </w:rPr>
        <w:t xml:space="preserve"> </w:t>
      </w:r>
      <w:r>
        <w:t>assault,</w:t>
      </w:r>
      <w:r>
        <w:rPr>
          <w:spacing w:val="-11"/>
        </w:rPr>
        <w:t xml:space="preserve"> </w:t>
      </w:r>
      <w:r>
        <w:t>American</w:t>
      </w:r>
      <w:r>
        <w:rPr>
          <w:spacing w:val="-12"/>
        </w:rPr>
        <w:t xml:space="preserve"> </w:t>
      </w:r>
      <w:r>
        <w:t>Indian</w:t>
      </w:r>
      <w:r>
        <w:rPr>
          <w:spacing w:val="-10"/>
        </w:rPr>
        <w:t xml:space="preserve"> </w:t>
      </w:r>
      <w:r>
        <w:t>(73%),</w:t>
      </w:r>
      <w:r>
        <w:rPr>
          <w:spacing w:val="-13"/>
        </w:rPr>
        <w:t xml:space="preserve"> </w:t>
      </w:r>
      <w:r>
        <w:t>Middle</w:t>
      </w:r>
      <w:r>
        <w:rPr>
          <w:spacing w:val="-8"/>
        </w:rPr>
        <w:t xml:space="preserve"> </w:t>
      </w:r>
      <w:r>
        <w:t>Eastern</w:t>
      </w:r>
      <w:r>
        <w:rPr>
          <w:spacing w:val="-12"/>
        </w:rPr>
        <w:t xml:space="preserve"> </w:t>
      </w:r>
      <w:r>
        <w:t>(62%),</w:t>
      </w:r>
      <w:r>
        <w:rPr>
          <w:spacing w:val="-11"/>
        </w:rPr>
        <w:t xml:space="preserve"> </w:t>
      </w:r>
      <w:r>
        <w:t>and</w:t>
      </w:r>
      <w:r>
        <w:rPr>
          <w:spacing w:val="-12"/>
        </w:rPr>
        <w:t xml:space="preserve"> </w:t>
      </w:r>
      <w:r>
        <w:t>Multiracial</w:t>
      </w:r>
      <w:r>
        <w:rPr>
          <w:spacing w:val="-9"/>
        </w:rPr>
        <w:t xml:space="preserve"> </w:t>
      </w:r>
      <w:r>
        <w:t>(62%)</w:t>
      </w:r>
      <w:r>
        <w:rPr>
          <w:spacing w:val="-11"/>
        </w:rPr>
        <w:t xml:space="preserve"> </w:t>
      </w:r>
      <w:r>
        <w:t>trans</w:t>
      </w:r>
      <w:r>
        <w:rPr>
          <w:spacing w:val="-11"/>
        </w:rPr>
        <w:t xml:space="preserve"> </w:t>
      </w:r>
      <w:r>
        <w:t xml:space="preserve">and </w:t>
      </w:r>
      <w:bookmarkStart w:id="259" w:name="_bookmark167"/>
      <w:bookmarkEnd w:id="259"/>
      <w:r>
        <w:t xml:space="preserve">gender nonconforming individuals had the highest rates </w:t>
      </w:r>
      <w:r>
        <w:t>of experiencing intimate partner violence.</w:t>
      </w:r>
      <w:hyperlink w:anchor="_bookmark112" w:history="1">
        <w:r>
          <w:rPr>
            <w:vertAlign w:val="superscript"/>
          </w:rPr>
          <w:t>18</w:t>
        </w:r>
      </w:hyperlink>
      <w:r>
        <w:t xml:space="preserve"> </w:t>
      </w:r>
      <w:bookmarkStart w:id="260" w:name="_bookmark168"/>
      <w:bookmarkEnd w:id="260"/>
      <w:r>
        <w:t xml:space="preserve">For youth attending 2- and 4-year undergraduate institutions, transgender and gender expansive </w:t>
      </w:r>
      <w:bookmarkStart w:id="261" w:name="_bookmark169"/>
      <w:bookmarkEnd w:id="261"/>
      <w:r>
        <w:t>individuals consistently experience intimate partner violence at higher rates than t</w:t>
      </w:r>
      <w:r>
        <w:t xml:space="preserve">heir cisgender </w:t>
      </w:r>
      <w:bookmarkStart w:id="262" w:name="_bookmark170"/>
      <w:bookmarkEnd w:id="262"/>
      <w:r>
        <w:t xml:space="preserve">peers. According to the National College Health Assessment, conducted by the American College </w:t>
      </w:r>
      <w:bookmarkStart w:id="263" w:name="_bookmark171"/>
      <w:bookmarkEnd w:id="263"/>
      <w:r>
        <w:t xml:space="preserve">Health Association, 10.8% of trans and gender nonconforming undergraduate students have </w:t>
      </w:r>
      <w:bookmarkStart w:id="264" w:name="_bookmark172"/>
      <w:bookmarkEnd w:id="264"/>
      <w:r>
        <w:t>experienced emotional or</w:t>
      </w:r>
      <w:r>
        <w:rPr>
          <w:spacing w:val="-2"/>
        </w:rPr>
        <w:t xml:space="preserve"> </w:t>
      </w:r>
      <w:r>
        <w:t xml:space="preserve">verbal intimate partner violence, </w:t>
      </w:r>
      <w:r>
        <w:t>3.8% have experienced physical intimate partner violence, and 5.7% have experienced sexual intimate partner violence.</w:t>
      </w:r>
      <w:hyperlink w:anchor="_bookmark113" w:history="1">
        <w:r>
          <w:rPr>
            <w:vertAlign w:val="superscript"/>
          </w:rPr>
          <w:t>19</w:t>
        </w:r>
      </w:hyperlink>
    </w:p>
    <w:p w:rsidR="00200FDA" w:rsidRDefault="00200FDA">
      <w:pPr>
        <w:pStyle w:val="BodyText"/>
        <w:rPr>
          <w:sz w:val="24"/>
        </w:rPr>
      </w:pPr>
    </w:p>
    <w:p w:rsidR="00200FDA" w:rsidRDefault="00F76C4C">
      <w:pPr>
        <w:pStyle w:val="Heading8"/>
        <w:spacing w:before="162"/>
      </w:pPr>
      <w:bookmarkStart w:id="265" w:name="Types_of_Intimate_Partner_Violence_and_I"/>
      <w:bookmarkStart w:id="266" w:name="_bookmark173"/>
      <w:bookmarkStart w:id="267" w:name="_bookmark174"/>
      <w:bookmarkStart w:id="268" w:name="_bookmark175"/>
      <w:bookmarkEnd w:id="265"/>
      <w:bookmarkEnd w:id="266"/>
      <w:bookmarkEnd w:id="267"/>
      <w:bookmarkEnd w:id="268"/>
      <w:r>
        <w:rPr>
          <w:color w:val="0A5293"/>
        </w:rPr>
        <w:t>Types</w:t>
      </w:r>
      <w:r>
        <w:rPr>
          <w:color w:val="0A5293"/>
          <w:spacing w:val="-3"/>
        </w:rPr>
        <w:t xml:space="preserve"> </w:t>
      </w:r>
      <w:r>
        <w:rPr>
          <w:color w:val="0A5293"/>
        </w:rPr>
        <w:t>of Intimate</w:t>
      </w:r>
      <w:r>
        <w:rPr>
          <w:color w:val="0A5293"/>
          <w:spacing w:val="-3"/>
        </w:rPr>
        <w:t xml:space="preserve"> </w:t>
      </w:r>
      <w:r>
        <w:rPr>
          <w:color w:val="0A5293"/>
        </w:rPr>
        <w:t>Partner</w:t>
      </w:r>
      <w:r>
        <w:rPr>
          <w:color w:val="0A5293"/>
          <w:spacing w:val="-2"/>
        </w:rPr>
        <w:t xml:space="preserve"> </w:t>
      </w:r>
      <w:r>
        <w:rPr>
          <w:color w:val="0A5293"/>
        </w:rPr>
        <w:t>Violence and</w:t>
      </w:r>
      <w:r>
        <w:rPr>
          <w:color w:val="0A5293"/>
          <w:spacing w:val="-3"/>
        </w:rPr>
        <w:t xml:space="preserve"> </w:t>
      </w:r>
      <w:r>
        <w:rPr>
          <w:color w:val="0A5293"/>
          <w:spacing w:val="-2"/>
        </w:rPr>
        <w:t>Interventions</w:t>
      </w:r>
    </w:p>
    <w:p w:rsidR="00200FDA" w:rsidRDefault="00200FDA">
      <w:pPr>
        <w:pStyle w:val="BodyText"/>
        <w:spacing w:before="8"/>
        <w:rPr>
          <w:sz w:val="19"/>
        </w:rPr>
      </w:pPr>
    </w:p>
    <w:p w:rsidR="00200FDA" w:rsidRDefault="00F76C4C">
      <w:pPr>
        <w:pStyle w:val="BodyText"/>
        <w:spacing w:line="273" w:lineRule="auto"/>
        <w:ind w:left="140" w:right="396"/>
        <w:jc w:val="both"/>
      </w:pPr>
      <w:r>
        <w:t xml:space="preserve">Intimate partner violence is often depicted as physical violence, but intimate partner violence can </w:t>
      </w:r>
      <w:bookmarkStart w:id="269" w:name="_bookmark176"/>
      <w:bookmarkEnd w:id="269"/>
      <w:r>
        <w:t>manifest in a variety of forms beyond the physical. For young people in particular, intimate partner</w:t>
      </w:r>
    </w:p>
    <w:p w:rsidR="00200FDA" w:rsidRDefault="00200FDA">
      <w:pPr>
        <w:spacing w:line="273" w:lineRule="auto"/>
        <w:jc w:val="both"/>
        <w:sectPr w:rsidR="00200FDA">
          <w:pgSz w:w="11910" w:h="16840"/>
          <w:pgMar w:top="1100" w:right="1040" w:bottom="1260" w:left="1300" w:header="761" w:footer="1062" w:gutter="0"/>
          <w:cols w:space="720"/>
        </w:sectPr>
      </w:pPr>
    </w:p>
    <w:p w:rsidR="00200FDA" w:rsidRDefault="00F76C4C">
      <w:pPr>
        <w:pStyle w:val="BodyText"/>
        <w:spacing w:before="154" w:line="276" w:lineRule="auto"/>
        <w:ind w:left="140" w:right="38"/>
        <w:jc w:val="both"/>
        <w:rPr>
          <w:i/>
        </w:rPr>
      </w:pPr>
      <w:r>
        <w:lastRenderedPageBreak/>
        <w:t>violence</w:t>
      </w:r>
      <w:r>
        <w:rPr>
          <w:spacing w:val="-13"/>
        </w:rPr>
        <w:t xml:space="preserve"> </w:t>
      </w:r>
      <w:r>
        <w:t>often</w:t>
      </w:r>
      <w:r>
        <w:rPr>
          <w:spacing w:val="-12"/>
        </w:rPr>
        <w:t xml:space="preserve"> </w:t>
      </w:r>
      <w:r>
        <w:t>presents</w:t>
      </w:r>
      <w:r>
        <w:rPr>
          <w:spacing w:val="-13"/>
        </w:rPr>
        <w:t xml:space="preserve"> </w:t>
      </w:r>
      <w:r>
        <w:t>as</w:t>
      </w:r>
      <w:r>
        <w:rPr>
          <w:spacing w:val="-12"/>
        </w:rPr>
        <w:t xml:space="preserve"> </w:t>
      </w:r>
      <w:r>
        <w:t>emotional,</w:t>
      </w:r>
      <w:r>
        <w:rPr>
          <w:spacing w:val="-13"/>
        </w:rPr>
        <w:t xml:space="preserve"> </w:t>
      </w:r>
      <w:r>
        <w:t xml:space="preserve">verbal, </w:t>
      </w:r>
      <w:bookmarkStart w:id="270" w:name="_bookmark179"/>
      <w:bookmarkEnd w:id="270"/>
      <w:r>
        <w:t xml:space="preserve">or psychological abuse, with an increasing </w:t>
      </w:r>
      <w:bookmarkStart w:id="271" w:name="_bookmark180"/>
      <w:bookmarkEnd w:id="271"/>
      <w:r>
        <w:t xml:space="preserve">amount of harassment and violence taking </w:t>
      </w:r>
      <w:bookmarkStart w:id="272" w:name="_bookmark181"/>
      <w:bookmarkStart w:id="273" w:name="_bookmark182"/>
      <w:bookmarkEnd w:id="272"/>
      <w:bookmarkEnd w:id="273"/>
      <w:r>
        <w:t>place on digital platforms.</w:t>
      </w:r>
      <w:hyperlink w:anchor="_bookmark114" w:history="1">
        <w:r>
          <w:rPr>
            <w:i/>
            <w:vertAlign w:val="superscript"/>
          </w:rPr>
          <w:t>20</w:t>
        </w:r>
      </w:hyperlink>
    </w:p>
    <w:p w:rsidR="00200FDA" w:rsidRDefault="00200FDA">
      <w:pPr>
        <w:pStyle w:val="BodyText"/>
        <w:spacing w:before="8"/>
        <w:rPr>
          <w:i/>
          <w:sz w:val="19"/>
        </w:rPr>
      </w:pPr>
    </w:p>
    <w:p w:rsidR="00200FDA" w:rsidRDefault="00F76C4C">
      <w:pPr>
        <w:pStyle w:val="BodyText"/>
        <w:spacing w:before="1" w:line="276" w:lineRule="auto"/>
        <w:ind w:left="139" w:right="38"/>
        <w:jc w:val="both"/>
      </w:pPr>
      <w:bookmarkStart w:id="274" w:name="_bookmark183"/>
      <w:bookmarkEnd w:id="274"/>
      <w:r>
        <w:t xml:space="preserve">Intimate partner violence is a multi-faceted </w:t>
      </w:r>
      <w:bookmarkStart w:id="275" w:name="_bookmark184"/>
      <w:bookmarkEnd w:id="275"/>
      <w:r>
        <w:t>issue that requires intervention on numerous fronts. Ge</w:t>
      </w:r>
      <w:r>
        <w:t xml:space="preserve">nerally, these interventions occur at the individual or </w:t>
      </w:r>
      <w:bookmarkStart w:id="276" w:name="_bookmark185"/>
      <w:bookmarkStart w:id="277" w:name="_bookmark186"/>
      <w:bookmarkEnd w:id="276"/>
      <w:bookmarkEnd w:id="277"/>
      <w:r>
        <w:t>interpersonal levels of the SEM, with the long-term</w:t>
      </w:r>
      <w:r>
        <w:rPr>
          <w:spacing w:val="-7"/>
        </w:rPr>
        <w:t xml:space="preserve"> </w:t>
      </w:r>
      <w:r>
        <w:t>goal</w:t>
      </w:r>
      <w:r>
        <w:rPr>
          <w:spacing w:val="-10"/>
        </w:rPr>
        <w:t xml:space="preserve"> </w:t>
      </w:r>
      <w:r>
        <w:t>of</w:t>
      </w:r>
      <w:r>
        <w:rPr>
          <w:spacing w:val="-10"/>
        </w:rPr>
        <w:t xml:space="preserve"> </w:t>
      </w:r>
      <w:r>
        <w:t>shifting</w:t>
      </w:r>
      <w:r>
        <w:rPr>
          <w:spacing w:val="-10"/>
        </w:rPr>
        <w:t xml:space="preserve"> </w:t>
      </w:r>
      <w:r>
        <w:t>cultural</w:t>
      </w:r>
      <w:r>
        <w:rPr>
          <w:spacing w:val="-8"/>
        </w:rPr>
        <w:t xml:space="preserve"> </w:t>
      </w:r>
      <w:r>
        <w:t>norms</w:t>
      </w:r>
      <w:r>
        <w:rPr>
          <w:spacing w:val="-10"/>
        </w:rPr>
        <w:t xml:space="preserve"> </w:t>
      </w:r>
      <w:r>
        <w:t xml:space="preserve">and </w:t>
      </w:r>
      <w:bookmarkStart w:id="278" w:name="_bookmark187"/>
      <w:bookmarkEnd w:id="278"/>
      <w:r>
        <w:t xml:space="preserve">values around intimate partner violence </w:t>
      </w:r>
      <w:bookmarkStart w:id="279" w:name="_bookmark188"/>
      <w:bookmarkEnd w:id="279"/>
      <w:r>
        <w:t>perpetration</w:t>
      </w:r>
      <w:r>
        <w:rPr>
          <w:spacing w:val="-3"/>
        </w:rPr>
        <w:t xml:space="preserve"> </w:t>
      </w:r>
      <w:r>
        <w:t>and</w:t>
      </w:r>
      <w:r>
        <w:rPr>
          <w:spacing w:val="-3"/>
        </w:rPr>
        <w:t xml:space="preserve"> </w:t>
      </w:r>
      <w:r>
        <w:t>victimization.</w:t>
      </w:r>
      <w:r>
        <w:rPr>
          <w:spacing w:val="-3"/>
        </w:rPr>
        <w:t xml:space="preserve"> </w:t>
      </w:r>
      <w:r>
        <w:t>The</w:t>
      </w:r>
      <w:r>
        <w:rPr>
          <w:spacing w:val="-2"/>
        </w:rPr>
        <w:t xml:space="preserve"> </w:t>
      </w:r>
      <w:r>
        <w:t>majority of</w:t>
      </w:r>
      <w:r>
        <w:rPr>
          <w:spacing w:val="-13"/>
        </w:rPr>
        <w:t xml:space="preserve"> </w:t>
      </w:r>
      <w:r>
        <w:t>successful</w:t>
      </w:r>
      <w:r>
        <w:rPr>
          <w:spacing w:val="-12"/>
        </w:rPr>
        <w:t xml:space="preserve"> </w:t>
      </w:r>
      <w:r>
        <w:t>youth</w:t>
      </w:r>
      <w:r>
        <w:rPr>
          <w:spacing w:val="-13"/>
        </w:rPr>
        <w:t xml:space="preserve"> </w:t>
      </w:r>
      <w:r>
        <w:t>intimat</w:t>
      </w:r>
      <w:r>
        <w:t>e</w:t>
      </w:r>
      <w:r>
        <w:rPr>
          <w:spacing w:val="-12"/>
        </w:rPr>
        <w:t xml:space="preserve"> </w:t>
      </w:r>
      <w:r>
        <w:t>partner</w:t>
      </w:r>
      <w:r>
        <w:rPr>
          <w:spacing w:val="-13"/>
        </w:rPr>
        <w:t xml:space="preserve"> </w:t>
      </w:r>
      <w:r>
        <w:t xml:space="preserve">violence </w:t>
      </w:r>
      <w:bookmarkStart w:id="280" w:name="_bookmark189"/>
      <w:bookmarkEnd w:id="280"/>
      <w:r>
        <w:t xml:space="preserve">interventions fall under one of three categories: 1) school-based dating violence </w:t>
      </w:r>
      <w:bookmarkStart w:id="281" w:name="_bookmark190"/>
      <w:bookmarkEnd w:id="281"/>
      <w:r>
        <w:t xml:space="preserve">interventions, 2) community-based gender </w:t>
      </w:r>
      <w:bookmarkStart w:id="282" w:name="_bookmark191"/>
      <w:bookmarkEnd w:id="282"/>
      <w:r>
        <w:t xml:space="preserve">equity interventions, or 3) parent-focused relationship-building interventions. </w:t>
      </w:r>
      <w:hyperlink w:anchor="_bookmark115" w:history="1">
        <w:r>
          <w:rPr>
            <w:vertAlign w:val="superscript"/>
          </w:rPr>
          <w:t>21</w:t>
        </w:r>
      </w:hyperlink>
      <w:r>
        <w:t xml:space="preserve"> </w:t>
      </w:r>
      <w:bookmarkStart w:id="283" w:name="_bookmark192"/>
      <w:bookmarkEnd w:id="283"/>
      <w:r>
        <w:t>Additionally, results from meta-analyses show</w:t>
      </w:r>
      <w:r>
        <w:rPr>
          <w:spacing w:val="-8"/>
        </w:rPr>
        <w:t xml:space="preserve"> </w:t>
      </w:r>
      <w:r>
        <w:t>that</w:t>
      </w:r>
      <w:r>
        <w:rPr>
          <w:spacing w:val="-5"/>
        </w:rPr>
        <w:t xml:space="preserve"> </w:t>
      </w:r>
      <w:r>
        <w:t>long-term</w:t>
      </w:r>
      <w:r>
        <w:rPr>
          <w:spacing w:val="-5"/>
        </w:rPr>
        <w:t xml:space="preserve"> </w:t>
      </w:r>
      <w:r>
        <w:t>programs</w:t>
      </w:r>
      <w:r>
        <w:rPr>
          <w:spacing w:val="-8"/>
        </w:rPr>
        <w:t xml:space="preserve"> </w:t>
      </w:r>
      <w:r>
        <w:t>with</w:t>
      </w:r>
      <w:r>
        <w:rPr>
          <w:spacing w:val="-8"/>
        </w:rPr>
        <w:t xml:space="preserve"> </w:t>
      </w:r>
      <w:r>
        <w:t xml:space="preserve">multiple </w:t>
      </w:r>
      <w:bookmarkStart w:id="284" w:name="_bookmark193"/>
      <w:bookmarkStart w:id="285" w:name="_bookmark194"/>
      <w:bookmarkEnd w:id="284"/>
      <w:bookmarkEnd w:id="285"/>
      <w:r>
        <w:t>sessions and multiple methods of engagement</w:t>
      </w:r>
      <w:r>
        <w:rPr>
          <w:spacing w:val="-13"/>
        </w:rPr>
        <w:t xml:space="preserve"> </w:t>
      </w:r>
      <w:r>
        <w:t>are</w:t>
      </w:r>
      <w:r>
        <w:rPr>
          <w:spacing w:val="-12"/>
        </w:rPr>
        <w:t xml:space="preserve"> </w:t>
      </w:r>
      <w:r>
        <w:t>more</w:t>
      </w:r>
      <w:r>
        <w:rPr>
          <w:spacing w:val="-13"/>
        </w:rPr>
        <w:t xml:space="preserve"> </w:t>
      </w:r>
      <w:r>
        <w:t>successful</w:t>
      </w:r>
      <w:r>
        <w:rPr>
          <w:spacing w:val="-12"/>
        </w:rPr>
        <w:t xml:space="preserve"> </w:t>
      </w:r>
      <w:r>
        <w:t>than</w:t>
      </w:r>
      <w:r>
        <w:rPr>
          <w:spacing w:val="-13"/>
        </w:rPr>
        <w:t xml:space="preserve"> </w:t>
      </w:r>
      <w:r>
        <w:t>single- day, single-method interventions.</w:t>
      </w:r>
      <w:r>
        <w:rPr>
          <w:spacing w:val="-13"/>
        </w:rPr>
        <w:t xml:space="preserve"> </w:t>
      </w:r>
      <w:hyperlink w:anchor="_bookmark116" w:history="1">
        <w:r>
          <w:rPr>
            <w:vertAlign w:val="superscript"/>
          </w:rPr>
          <w:t>22</w:t>
        </w:r>
      </w:hyperlink>
      <w:r>
        <w:t xml:space="preserve"> By far </w:t>
      </w:r>
      <w:bookmarkStart w:id="286" w:name="_bookmark195"/>
      <w:bookmarkStart w:id="287" w:name="_bookmark196"/>
      <w:bookmarkEnd w:id="286"/>
      <w:bookmarkEnd w:id="287"/>
      <w:r>
        <w:t>t</w:t>
      </w:r>
      <w:r>
        <w:t xml:space="preserve">he most popular type of intervention is a </w:t>
      </w:r>
      <w:bookmarkStart w:id="288" w:name="_bookmark197"/>
      <w:bookmarkEnd w:id="288"/>
      <w:r>
        <w:t xml:space="preserve">school-based dating violence intervention, </w:t>
      </w:r>
      <w:bookmarkStart w:id="289" w:name="_bookmark198"/>
      <w:bookmarkStart w:id="290" w:name="_bookmark199"/>
      <w:bookmarkEnd w:id="289"/>
      <w:bookmarkEnd w:id="290"/>
      <w:r>
        <w:t>which</w:t>
      </w:r>
      <w:r>
        <w:rPr>
          <w:spacing w:val="-13"/>
        </w:rPr>
        <w:t xml:space="preserve"> </w:t>
      </w:r>
      <w:r>
        <w:t>may</w:t>
      </w:r>
      <w:r>
        <w:rPr>
          <w:spacing w:val="-12"/>
        </w:rPr>
        <w:t xml:space="preserve"> </w:t>
      </w:r>
      <w:r>
        <w:t>take</w:t>
      </w:r>
      <w:r>
        <w:rPr>
          <w:spacing w:val="-13"/>
        </w:rPr>
        <w:t xml:space="preserve"> </w:t>
      </w:r>
      <w:r>
        <w:t>the</w:t>
      </w:r>
      <w:r>
        <w:rPr>
          <w:spacing w:val="-12"/>
        </w:rPr>
        <w:t xml:space="preserve"> </w:t>
      </w:r>
      <w:r>
        <w:t>form</w:t>
      </w:r>
      <w:r>
        <w:rPr>
          <w:spacing w:val="-13"/>
        </w:rPr>
        <w:t xml:space="preserve"> </w:t>
      </w:r>
      <w:r>
        <w:t>of</w:t>
      </w:r>
      <w:r>
        <w:rPr>
          <w:spacing w:val="-12"/>
        </w:rPr>
        <w:t xml:space="preserve"> </w:t>
      </w:r>
      <w:r>
        <w:t>group</w:t>
      </w:r>
      <w:r>
        <w:rPr>
          <w:spacing w:val="-13"/>
        </w:rPr>
        <w:t xml:space="preserve"> </w:t>
      </w:r>
      <w:r>
        <w:t xml:space="preserve">education, </w:t>
      </w:r>
      <w:bookmarkStart w:id="291" w:name="_bookmark200"/>
      <w:bookmarkEnd w:id="291"/>
      <w:r>
        <w:t>peer mentorship, and/or bystander intervention training.</w:t>
      </w:r>
      <w:hyperlink w:anchor="_bookmark117" w:history="1">
        <w:r>
          <w:rPr>
            <w:vertAlign w:val="superscript"/>
          </w:rPr>
          <w:t>23</w:t>
        </w:r>
      </w:hyperlink>
    </w:p>
    <w:p w:rsidR="00200FDA" w:rsidRDefault="00200FDA">
      <w:pPr>
        <w:pStyle w:val="BodyText"/>
        <w:spacing w:before="7"/>
        <w:rPr>
          <w:sz w:val="19"/>
        </w:rPr>
      </w:pPr>
    </w:p>
    <w:p w:rsidR="00200FDA" w:rsidRDefault="00F76C4C">
      <w:pPr>
        <w:pStyle w:val="BodyText"/>
        <w:spacing w:line="276" w:lineRule="auto"/>
        <w:ind w:left="140" w:right="38"/>
        <w:jc w:val="both"/>
      </w:pPr>
      <w:bookmarkStart w:id="292" w:name="_bookmark201"/>
      <w:bookmarkEnd w:id="292"/>
      <w:r>
        <w:t xml:space="preserve">These interventions have shown promising results, such as reductions in physical, </w:t>
      </w:r>
      <w:bookmarkStart w:id="293" w:name="_bookmark202"/>
      <w:bookmarkStart w:id="294" w:name="_bookmark203"/>
      <w:bookmarkEnd w:id="293"/>
      <w:bookmarkEnd w:id="294"/>
      <w:r>
        <w:t xml:space="preserve">psychological, and sexual violence </w:t>
      </w:r>
      <w:bookmarkStart w:id="295" w:name="_bookmark204"/>
      <w:bookmarkEnd w:id="295"/>
      <w:r>
        <w:t xml:space="preserve">perpetration; increased knowledge of the different types of intimate partner violence; </w:t>
      </w:r>
      <w:bookmarkStart w:id="296" w:name="_bookmark205"/>
      <w:bookmarkEnd w:id="296"/>
      <w:r>
        <w:t xml:space="preserve">decreased acceptance of intimate partner </w:t>
      </w:r>
      <w:bookmarkStart w:id="297" w:name="_bookmark206"/>
      <w:bookmarkEnd w:id="297"/>
      <w:r>
        <w:t>violence; i</w:t>
      </w:r>
      <w:r>
        <w:t xml:space="preserve">mproved conflict resolution skills; </w:t>
      </w:r>
      <w:bookmarkStart w:id="298" w:name="_bookmark207"/>
      <w:bookmarkEnd w:id="298"/>
      <w:r>
        <w:t xml:space="preserve">and a greater likelihood to act as active </w:t>
      </w:r>
      <w:bookmarkStart w:id="299" w:name="_bookmark208"/>
      <w:bookmarkEnd w:id="299"/>
      <w:r>
        <w:t>bystanders</w:t>
      </w:r>
      <w:r>
        <w:rPr>
          <w:spacing w:val="-2"/>
        </w:rPr>
        <w:t xml:space="preserve"> </w:t>
      </w:r>
      <w:r>
        <w:t>in</w:t>
      </w:r>
      <w:r>
        <w:rPr>
          <w:spacing w:val="-6"/>
        </w:rPr>
        <w:t xml:space="preserve"> </w:t>
      </w:r>
      <w:r>
        <w:t>situations</w:t>
      </w:r>
      <w:r>
        <w:rPr>
          <w:spacing w:val="-5"/>
        </w:rPr>
        <w:t xml:space="preserve"> </w:t>
      </w:r>
      <w:r>
        <w:t>of</w:t>
      </w:r>
      <w:r>
        <w:rPr>
          <w:spacing w:val="-5"/>
        </w:rPr>
        <w:t xml:space="preserve"> </w:t>
      </w:r>
      <w:r>
        <w:t>bullying</w:t>
      </w:r>
      <w:r>
        <w:rPr>
          <w:spacing w:val="-3"/>
        </w:rPr>
        <w:t xml:space="preserve"> </w:t>
      </w:r>
      <w:r>
        <w:t>or</w:t>
      </w:r>
      <w:r>
        <w:rPr>
          <w:spacing w:val="-3"/>
        </w:rPr>
        <w:t xml:space="preserve"> </w:t>
      </w:r>
      <w:r>
        <w:t xml:space="preserve">dating violence. </w:t>
      </w:r>
      <w:hyperlink w:anchor="_bookmark118" w:history="1">
        <w:r>
          <w:rPr>
            <w:vertAlign w:val="superscript"/>
          </w:rPr>
          <w:t>24</w:t>
        </w:r>
      </w:hyperlink>
      <w:r>
        <w:t xml:space="preserve"> </w:t>
      </w:r>
      <w:r>
        <w:rPr>
          <w:vertAlign w:val="superscript"/>
        </w:rPr>
        <w:t>,</w:t>
      </w:r>
      <w:r>
        <w:t xml:space="preserve"> </w:t>
      </w:r>
      <w:hyperlink w:anchor="_bookmark119" w:history="1">
        <w:r>
          <w:rPr>
            <w:vertAlign w:val="superscript"/>
          </w:rPr>
          <w:t>25</w:t>
        </w:r>
      </w:hyperlink>
      <w:r>
        <w:t xml:space="preserve"> </w:t>
      </w:r>
      <w:r>
        <w:rPr>
          <w:vertAlign w:val="superscript"/>
        </w:rPr>
        <w:t>,</w:t>
      </w:r>
      <w:r>
        <w:t xml:space="preserve"> </w:t>
      </w:r>
      <w:hyperlink w:anchor="_bookmark120" w:history="1">
        <w:r>
          <w:rPr>
            <w:vertAlign w:val="superscript"/>
          </w:rPr>
          <w:t>26</w:t>
        </w:r>
      </w:hyperlink>
      <w:r>
        <w:rPr>
          <w:spacing w:val="40"/>
        </w:rPr>
        <w:t xml:space="preserve"> </w:t>
      </w:r>
      <w:r>
        <w:t>Oftentimes,</w:t>
      </w:r>
      <w:r>
        <w:rPr>
          <w:spacing w:val="40"/>
        </w:rPr>
        <w:t xml:space="preserve"> </w:t>
      </w:r>
      <w:r>
        <w:t xml:space="preserve">relationship </w:t>
      </w:r>
      <w:bookmarkStart w:id="300" w:name="_bookmark209"/>
      <w:bookmarkEnd w:id="300"/>
      <w:r>
        <w:t xml:space="preserve">skill-building and relationship violence </w:t>
      </w:r>
      <w:bookmarkStart w:id="301" w:name="_bookmark210"/>
      <w:bookmarkEnd w:id="301"/>
      <w:r>
        <w:t>prevention</w:t>
      </w:r>
      <w:r>
        <w:rPr>
          <w:spacing w:val="11"/>
        </w:rPr>
        <w:t xml:space="preserve"> </w:t>
      </w:r>
      <w:r>
        <w:t>will</w:t>
      </w:r>
      <w:r>
        <w:rPr>
          <w:spacing w:val="11"/>
        </w:rPr>
        <w:t xml:space="preserve"> </w:t>
      </w:r>
      <w:r>
        <w:t>be</w:t>
      </w:r>
      <w:r>
        <w:rPr>
          <w:spacing w:val="12"/>
        </w:rPr>
        <w:t xml:space="preserve"> </w:t>
      </w:r>
      <w:r>
        <w:t>built</w:t>
      </w:r>
      <w:r>
        <w:rPr>
          <w:spacing w:val="12"/>
        </w:rPr>
        <w:t xml:space="preserve"> </w:t>
      </w:r>
      <w:r>
        <w:t>into</w:t>
      </w:r>
      <w:r>
        <w:rPr>
          <w:spacing w:val="13"/>
        </w:rPr>
        <w:t xml:space="preserve"> </w:t>
      </w:r>
      <w:r>
        <w:rPr>
          <w:spacing w:val="-2"/>
        </w:rPr>
        <w:t>comprehensive</w:t>
      </w:r>
    </w:p>
    <w:p w:rsidR="00200FDA" w:rsidRDefault="00F76C4C">
      <w:pPr>
        <w:spacing w:before="48"/>
        <w:ind w:left="139"/>
        <w:rPr>
          <w:i/>
          <w:sz w:val="21"/>
        </w:rPr>
      </w:pPr>
      <w:r>
        <w:br w:type="column"/>
      </w:r>
      <w:r>
        <w:rPr>
          <w:i/>
          <w:color w:val="585858"/>
          <w:sz w:val="21"/>
        </w:rPr>
        <w:t>Intimate</w:t>
      </w:r>
      <w:r>
        <w:rPr>
          <w:i/>
          <w:color w:val="585858"/>
          <w:spacing w:val="-8"/>
          <w:sz w:val="21"/>
        </w:rPr>
        <w:t xml:space="preserve"> </w:t>
      </w:r>
      <w:r>
        <w:rPr>
          <w:i/>
          <w:color w:val="585858"/>
          <w:sz w:val="21"/>
        </w:rPr>
        <w:t>Partner</w:t>
      </w:r>
      <w:r>
        <w:rPr>
          <w:i/>
          <w:color w:val="585858"/>
          <w:spacing w:val="-8"/>
          <w:sz w:val="21"/>
        </w:rPr>
        <w:t xml:space="preserve"> </w:t>
      </w:r>
      <w:r>
        <w:rPr>
          <w:i/>
          <w:color w:val="585858"/>
          <w:sz w:val="21"/>
        </w:rPr>
        <w:t>Violence</w:t>
      </w:r>
      <w:r>
        <w:rPr>
          <w:i/>
          <w:color w:val="585858"/>
          <w:spacing w:val="-7"/>
          <w:sz w:val="21"/>
        </w:rPr>
        <w:t xml:space="preserve"> </w:t>
      </w:r>
      <w:r>
        <w:rPr>
          <w:i/>
          <w:color w:val="585858"/>
          <w:spacing w:val="-2"/>
          <w:sz w:val="21"/>
        </w:rPr>
        <w:t>Definitions</w:t>
      </w:r>
    </w:p>
    <w:p w:rsidR="00200FDA" w:rsidRDefault="00F76C4C">
      <w:pPr>
        <w:spacing w:before="159"/>
        <w:ind w:left="139"/>
        <w:rPr>
          <w:b/>
          <w:sz w:val="21"/>
        </w:rPr>
      </w:pPr>
      <w:r>
        <w:rPr>
          <w:b/>
          <w:sz w:val="21"/>
          <w:u w:val="single"/>
        </w:rPr>
        <w:t>Physical</w:t>
      </w:r>
      <w:r>
        <w:rPr>
          <w:b/>
          <w:spacing w:val="-8"/>
          <w:sz w:val="21"/>
          <w:u w:val="single"/>
        </w:rPr>
        <w:t xml:space="preserve"> </w:t>
      </w:r>
      <w:r>
        <w:rPr>
          <w:b/>
          <w:spacing w:val="-2"/>
          <w:sz w:val="21"/>
          <w:u w:val="single"/>
        </w:rPr>
        <w:t>Abuse:</w:t>
      </w:r>
    </w:p>
    <w:p w:rsidR="00200FDA" w:rsidRDefault="00F76C4C">
      <w:pPr>
        <w:spacing w:before="156" w:line="276" w:lineRule="auto"/>
        <w:ind w:left="139" w:right="107"/>
        <w:jc w:val="both"/>
        <w:rPr>
          <w:sz w:val="21"/>
        </w:rPr>
      </w:pPr>
      <w:r>
        <w:rPr>
          <w:sz w:val="21"/>
        </w:rPr>
        <w:t>Physical</w:t>
      </w:r>
      <w:r>
        <w:rPr>
          <w:spacing w:val="-4"/>
          <w:sz w:val="21"/>
        </w:rPr>
        <w:t xml:space="preserve"> </w:t>
      </w:r>
      <w:r>
        <w:rPr>
          <w:sz w:val="21"/>
        </w:rPr>
        <w:t>assault</w:t>
      </w:r>
      <w:r>
        <w:rPr>
          <w:spacing w:val="-5"/>
          <w:sz w:val="21"/>
        </w:rPr>
        <w:t xml:space="preserve"> </w:t>
      </w:r>
      <w:r>
        <w:rPr>
          <w:sz w:val="21"/>
        </w:rPr>
        <w:t>including</w:t>
      </w:r>
      <w:r>
        <w:rPr>
          <w:spacing w:val="-5"/>
          <w:sz w:val="21"/>
        </w:rPr>
        <w:t xml:space="preserve"> </w:t>
      </w:r>
      <w:r>
        <w:rPr>
          <w:sz w:val="21"/>
        </w:rPr>
        <w:t>punching,</w:t>
      </w:r>
      <w:r>
        <w:rPr>
          <w:spacing w:val="-3"/>
          <w:sz w:val="21"/>
        </w:rPr>
        <w:t xml:space="preserve"> </w:t>
      </w:r>
      <w:r>
        <w:rPr>
          <w:sz w:val="21"/>
        </w:rPr>
        <w:t>kicking,</w:t>
      </w:r>
      <w:r>
        <w:rPr>
          <w:spacing w:val="-3"/>
          <w:sz w:val="21"/>
        </w:rPr>
        <w:t xml:space="preserve"> </w:t>
      </w:r>
      <w:r>
        <w:rPr>
          <w:sz w:val="21"/>
        </w:rPr>
        <w:t>slapping, or choking; physical assault with a weapon; harming loved ones or pets; threats of suicide or self-harm; denying medical care or medication; forced consumption of alcohol and/or other drugs</w:t>
      </w:r>
    </w:p>
    <w:p w:rsidR="00200FDA" w:rsidRDefault="00F76C4C">
      <w:pPr>
        <w:spacing w:before="122"/>
        <w:ind w:left="139"/>
        <w:jc w:val="both"/>
        <w:rPr>
          <w:b/>
          <w:sz w:val="21"/>
        </w:rPr>
      </w:pPr>
      <w:r>
        <w:rPr>
          <w:b/>
          <w:sz w:val="21"/>
          <w:u w:val="single"/>
        </w:rPr>
        <w:t>Emotional,</w:t>
      </w:r>
      <w:r>
        <w:rPr>
          <w:b/>
          <w:spacing w:val="-7"/>
          <w:sz w:val="21"/>
          <w:u w:val="single"/>
        </w:rPr>
        <w:t xml:space="preserve"> </w:t>
      </w:r>
      <w:r>
        <w:rPr>
          <w:b/>
          <w:sz w:val="21"/>
          <w:u w:val="single"/>
        </w:rPr>
        <w:t>Verbal,</w:t>
      </w:r>
      <w:r>
        <w:rPr>
          <w:b/>
          <w:spacing w:val="-7"/>
          <w:sz w:val="21"/>
          <w:u w:val="single"/>
        </w:rPr>
        <w:t xml:space="preserve"> </w:t>
      </w:r>
      <w:r>
        <w:rPr>
          <w:b/>
          <w:sz w:val="21"/>
          <w:u w:val="single"/>
        </w:rPr>
        <w:t>and</w:t>
      </w:r>
      <w:r>
        <w:rPr>
          <w:b/>
          <w:spacing w:val="-11"/>
          <w:sz w:val="21"/>
          <w:u w:val="single"/>
        </w:rPr>
        <w:t xml:space="preserve"> </w:t>
      </w:r>
      <w:r>
        <w:rPr>
          <w:b/>
          <w:sz w:val="21"/>
          <w:u w:val="single"/>
        </w:rPr>
        <w:t>Psychological</w:t>
      </w:r>
      <w:r>
        <w:rPr>
          <w:b/>
          <w:spacing w:val="-6"/>
          <w:sz w:val="21"/>
          <w:u w:val="single"/>
        </w:rPr>
        <w:t xml:space="preserve"> </w:t>
      </w:r>
      <w:r>
        <w:rPr>
          <w:b/>
          <w:spacing w:val="-2"/>
          <w:sz w:val="21"/>
          <w:u w:val="single"/>
        </w:rPr>
        <w:t>Abuse:</w:t>
      </w:r>
    </w:p>
    <w:p w:rsidR="00200FDA" w:rsidRDefault="00F76C4C">
      <w:pPr>
        <w:spacing w:before="157" w:line="276" w:lineRule="auto"/>
        <w:ind w:left="139" w:right="107"/>
        <w:jc w:val="both"/>
        <w:rPr>
          <w:sz w:val="21"/>
        </w:rPr>
      </w:pPr>
      <w:r>
        <w:rPr>
          <w:sz w:val="21"/>
        </w:rPr>
        <w:t>Threats</w:t>
      </w:r>
      <w:r>
        <w:rPr>
          <w:spacing w:val="-12"/>
          <w:sz w:val="21"/>
        </w:rPr>
        <w:t xml:space="preserve"> </w:t>
      </w:r>
      <w:r>
        <w:rPr>
          <w:sz w:val="21"/>
        </w:rPr>
        <w:t>of</w:t>
      </w:r>
      <w:r>
        <w:rPr>
          <w:spacing w:val="-12"/>
          <w:sz w:val="21"/>
        </w:rPr>
        <w:t xml:space="preserve"> </w:t>
      </w:r>
      <w:r>
        <w:rPr>
          <w:sz w:val="21"/>
        </w:rPr>
        <w:t>physical</w:t>
      </w:r>
      <w:r>
        <w:rPr>
          <w:spacing w:val="-12"/>
          <w:sz w:val="21"/>
        </w:rPr>
        <w:t xml:space="preserve"> </w:t>
      </w:r>
      <w:r>
        <w:rPr>
          <w:sz w:val="21"/>
        </w:rPr>
        <w:t>assault,</w:t>
      </w:r>
      <w:r>
        <w:rPr>
          <w:spacing w:val="-12"/>
          <w:sz w:val="21"/>
        </w:rPr>
        <w:t xml:space="preserve"> </w:t>
      </w:r>
      <w:r>
        <w:rPr>
          <w:sz w:val="21"/>
        </w:rPr>
        <w:t>with</w:t>
      </w:r>
      <w:r>
        <w:rPr>
          <w:spacing w:val="-12"/>
          <w:sz w:val="21"/>
        </w:rPr>
        <w:t xml:space="preserve"> </w:t>
      </w:r>
      <w:r>
        <w:rPr>
          <w:sz w:val="21"/>
        </w:rPr>
        <w:t>or</w:t>
      </w:r>
      <w:r>
        <w:rPr>
          <w:spacing w:val="-12"/>
          <w:sz w:val="21"/>
        </w:rPr>
        <w:t xml:space="preserve"> </w:t>
      </w:r>
      <w:r>
        <w:rPr>
          <w:sz w:val="21"/>
        </w:rPr>
        <w:t>without</w:t>
      </w:r>
      <w:r>
        <w:rPr>
          <w:spacing w:val="-12"/>
          <w:sz w:val="21"/>
        </w:rPr>
        <w:t xml:space="preserve"> </w:t>
      </w:r>
      <w:r>
        <w:rPr>
          <w:sz w:val="21"/>
        </w:rPr>
        <w:t>a</w:t>
      </w:r>
      <w:r>
        <w:rPr>
          <w:spacing w:val="-11"/>
          <w:sz w:val="21"/>
        </w:rPr>
        <w:t xml:space="preserve"> </w:t>
      </w:r>
      <w:r>
        <w:rPr>
          <w:sz w:val="21"/>
        </w:rPr>
        <w:t>weapon; destroying physical property; humiliation, constant criticism, name-calling; isolation from or controlling contact with family and friends; gaslighting; forced outing; purposeful misgendering</w:t>
      </w:r>
    </w:p>
    <w:p w:rsidR="00200FDA" w:rsidRDefault="00F76C4C">
      <w:pPr>
        <w:spacing w:before="122"/>
        <w:ind w:left="139"/>
        <w:jc w:val="both"/>
        <w:rPr>
          <w:b/>
          <w:sz w:val="21"/>
        </w:rPr>
      </w:pPr>
      <w:r>
        <w:rPr>
          <w:b/>
          <w:sz w:val="21"/>
          <w:u w:val="single"/>
        </w:rPr>
        <w:t>Sexual</w:t>
      </w:r>
      <w:r>
        <w:rPr>
          <w:b/>
          <w:spacing w:val="-6"/>
          <w:sz w:val="21"/>
          <w:u w:val="single"/>
        </w:rPr>
        <w:t xml:space="preserve"> </w:t>
      </w:r>
      <w:r>
        <w:rPr>
          <w:b/>
          <w:sz w:val="21"/>
          <w:u w:val="single"/>
        </w:rPr>
        <w:t>Abuse,</w:t>
      </w:r>
      <w:r>
        <w:rPr>
          <w:b/>
          <w:spacing w:val="-7"/>
          <w:sz w:val="21"/>
          <w:u w:val="single"/>
        </w:rPr>
        <w:t xml:space="preserve"> </w:t>
      </w:r>
      <w:r>
        <w:rPr>
          <w:b/>
          <w:sz w:val="21"/>
          <w:u w:val="single"/>
        </w:rPr>
        <w:t>Sexual</w:t>
      </w:r>
      <w:r>
        <w:rPr>
          <w:b/>
          <w:spacing w:val="-7"/>
          <w:sz w:val="21"/>
          <w:u w:val="single"/>
        </w:rPr>
        <w:t xml:space="preserve"> </w:t>
      </w:r>
      <w:r>
        <w:rPr>
          <w:b/>
          <w:sz w:val="21"/>
          <w:u w:val="single"/>
        </w:rPr>
        <w:t>and</w:t>
      </w:r>
      <w:r>
        <w:rPr>
          <w:b/>
          <w:spacing w:val="-6"/>
          <w:sz w:val="21"/>
          <w:u w:val="single"/>
        </w:rPr>
        <w:t xml:space="preserve"> </w:t>
      </w:r>
      <w:r>
        <w:rPr>
          <w:b/>
          <w:sz w:val="21"/>
          <w:u w:val="single"/>
        </w:rPr>
        <w:t>Reproductive</w:t>
      </w:r>
      <w:r>
        <w:rPr>
          <w:b/>
          <w:spacing w:val="-8"/>
          <w:sz w:val="21"/>
          <w:u w:val="single"/>
        </w:rPr>
        <w:t xml:space="preserve"> </w:t>
      </w:r>
      <w:r>
        <w:rPr>
          <w:b/>
          <w:spacing w:val="-2"/>
          <w:sz w:val="21"/>
          <w:u w:val="single"/>
        </w:rPr>
        <w:t>Coercion:</w:t>
      </w:r>
    </w:p>
    <w:p w:rsidR="00200FDA" w:rsidRDefault="00F76C4C">
      <w:pPr>
        <w:spacing w:before="156" w:line="276" w:lineRule="auto"/>
        <w:ind w:left="139" w:right="106"/>
        <w:jc w:val="both"/>
        <w:rPr>
          <w:sz w:val="21"/>
        </w:rPr>
      </w:pPr>
      <w:r>
        <w:rPr>
          <w:sz w:val="21"/>
        </w:rPr>
        <w:t>Refusing</w:t>
      </w:r>
      <w:r>
        <w:rPr>
          <w:spacing w:val="-6"/>
          <w:sz w:val="21"/>
        </w:rPr>
        <w:t xml:space="preserve"> </w:t>
      </w:r>
      <w:r>
        <w:rPr>
          <w:sz w:val="21"/>
        </w:rPr>
        <w:t>to</w:t>
      </w:r>
      <w:r>
        <w:rPr>
          <w:spacing w:val="-6"/>
          <w:sz w:val="21"/>
        </w:rPr>
        <w:t xml:space="preserve"> </w:t>
      </w:r>
      <w:r>
        <w:rPr>
          <w:sz w:val="21"/>
        </w:rPr>
        <w:t>use</w:t>
      </w:r>
      <w:r>
        <w:rPr>
          <w:spacing w:val="-5"/>
          <w:sz w:val="21"/>
        </w:rPr>
        <w:t xml:space="preserve"> </w:t>
      </w:r>
      <w:r>
        <w:rPr>
          <w:sz w:val="21"/>
        </w:rPr>
        <w:t>safer</w:t>
      </w:r>
      <w:r>
        <w:rPr>
          <w:spacing w:val="-5"/>
          <w:sz w:val="21"/>
        </w:rPr>
        <w:t xml:space="preserve"> </w:t>
      </w:r>
      <w:r>
        <w:rPr>
          <w:sz w:val="21"/>
        </w:rPr>
        <w:t>sex</w:t>
      </w:r>
      <w:r>
        <w:rPr>
          <w:spacing w:val="-6"/>
          <w:sz w:val="21"/>
        </w:rPr>
        <w:t xml:space="preserve"> </w:t>
      </w:r>
      <w:r>
        <w:rPr>
          <w:sz w:val="21"/>
        </w:rPr>
        <w:t>supplies</w:t>
      </w:r>
      <w:r>
        <w:rPr>
          <w:spacing w:val="-6"/>
          <w:sz w:val="21"/>
        </w:rPr>
        <w:t xml:space="preserve"> </w:t>
      </w:r>
      <w:r>
        <w:rPr>
          <w:sz w:val="21"/>
        </w:rPr>
        <w:t>including</w:t>
      </w:r>
      <w:r>
        <w:rPr>
          <w:spacing w:val="-6"/>
          <w:sz w:val="21"/>
        </w:rPr>
        <w:t xml:space="preserve"> </w:t>
      </w:r>
      <w:r>
        <w:rPr>
          <w:sz w:val="21"/>
        </w:rPr>
        <w:t>condoms, dental dams, or PrEP; sabotaging birth control or preventing the use of birth control; pressure to engage in a particular sex act; using alcohol and/or other drugs to facilit</w:t>
      </w:r>
      <w:r>
        <w:rPr>
          <w:sz w:val="21"/>
        </w:rPr>
        <w:t>ate sexual intercourse; sexual assault; becoming volatile when denied sex</w:t>
      </w:r>
    </w:p>
    <w:p w:rsidR="00200FDA" w:rsidRDefault="00F76C4C">
      <w:pPr>
        <w:spacing w:before="120"/>
        <w:ind w:left="139"/>
        <w:jc w:val="both"/>
        <w:rPr>
          <w:b/>
          <w:sz w:val="21"/>
        </w:rPr>
      </w:pPr>
      <w:r>
        <w:rPr>
          <w:b/>
          <w:sz w:val="21"/>
          <w:u w:val="single"/>
        </w:rPr>
        <w:t>Financial</w:t>
      </w:r>
      <w:r>
        <w:rPr>
          <w:b/>
          <w:spacing w:val="-8"/>
          <w:sz w:val="21"/>
          <w:u w:val="single"/>
        </w:rPr>
        <w:t xml:space="preserve"> </w:t>
      </w:r>
      <w:r>
        <w:rPr>
          <w:b/>
          <w:spacing w:val="-2"/>
          <w:sz w:val="21"/>
          <w:u w:val="single"/>
        </w:rPr>
        <w:t>Abuse:</w:t>
      </w:r>
    </w:p>
    <w:p w:rsidR="00200FDA" w:rsidRDefault="00F76C4C">
      <w:pPr>
        <w:spacing w:before="159" w:line="276" w:lineRule="auto"/>
        <w:ind w:left="139" w:right="107"/>
        <w:jc w:val="both"/>
        <w:rPr>
          <w:sz w:val="21"/>
        </w:rPr>
      </w:pPr>
      <w:r>
        <w:rPr>
          <w:sz w:val="21"/>
        </w:rPr>
        <w:t>Stealing money or paychecks; controlling how much, when, and where money is spent; prohibiting, limiting, or controlling work opportunities</w:t>
      </w:r>
    </w:p>
    <w:p w:rsidR="00200FDA" w:rsidRDefault="00F76C4C">
      <w:pPr>
        <w:spacing w:before="121"/>
        <w:ind w:left="139"/>
        <w:jc w:val="both"/>
        <w:rPr>
          <w:b/>
          <w:sz w:val="21"/>
        </w:rPr>
      </w:pPr>
      <w:r>
        <w:rPr>
          <w:b/>
          <w:sz w:val="21"/>
          <w:u w:val="single"/>
        </w:rPr>
        <w:t>Digital</w:t>
      </w:r>
      <w:r>
        <w:rPr>
          <w:b/>
          <w:spacing w:val="-6"/>
          <w:sz w:val="21"/>
          <w:u w:val="single"/>
        </w:rPr>
        <w:t xml:space="preserve"> </w:t>
      </w:r>
      <w:r>
        <w:rPr>
          <w:b/>
          <w:spacing w:val="-2"/>
          <w:sz w:val="21"/>
          <w:u w:val="single"/>
        </w:rPr>
        <w:t>Abuse:</w:t>
      </w:r>
    </w:p>
    <w:p w:rsidR="00200FDA" w:rsidRDefault="00F76C4C">
      <w:pPr>
        <w:spacing w:before="159" w:line="276" w:lineRule="auto"/>
        <w:ind w:left="139" w:right="107"/>
        <w:jc w:val="both"/>
        <w:rPr>
          <w:sz w:val="21"/>
        </w:rPr>
      </w:pPr>
      <w:r>
        <w:rPr>
          <w:sz w:val="21"/>
        </w:rPr>
        <w:t>Revenge po</w:t>
      </w:r>
      <w:r>
        <w:rPr>
          <w:sz w:val="21"/>
        </w:rPr>
        <w:t>rn and sextortion; sending threats via text, email, or social media DM; using a tracking device or service to monitor location; monitoring texts,</w:t>
      </w:r>
      <w:r>
        <w:rPr>
          <w:spacing w:val="-1"/>
          <w:sz w:val="21"/>
        </w:rPr>
        <w:t xml:space="preserve"> </w:t>
      </w:r>
      <w:r>
        <w:rPr>
          <w:sz w:val="21"/>
        </w:rPr>
        <w:t>emails,</w:t>
      </w:r>
      <w:r>
        <w:rPr>
          <w:spacing w:val="-1"/>
          <w:sz w:val="21"/>
        </w:rPr>
        <w:t xml:space="preserve"> </w:t>
      </w:r>
      <w:r>
        <w:rPr>
          <w:sz w:val="21"/>
        </w:rPr>
        <w:t>or</w:t>
      </w:r>
      <w:r>
        <w:rPr>
          <w:spacing w:val="-1"/>
          <w:sz w:val="21"/>
        </w:rPr>
        <w:t xml:space="preserve"> </w:t>
      </w:r>
      <w:r>
        <w:rPr>
          <w:sz w:val="21"/>
        </w:rPr>
        <w:t>social</w:t>
      </w:r>
      <w:r>
        <w:rPr>
          <w:spacing w:val="-2"/>
          <w:sz w:val="21"/>
        </w:rPr>
        <w:t xml:space="preserve"> </w:t>
      </w:r>
      <w:r>
        <w:rPr>
          <w:sz w:val="21"/>
        </w:rPr>
        <w:t>media</w:t>
      </w:r>
      <w:r>
        <w:rPr>
          <w:spacing w:val="-2"/>
          <w:sz w:val="21"/>
        </w:rPr>
        <w:t xml:space="preserve"> </w:t>
      </w:r>
      <w:r>
        <w:rPr>
          <w:sz w:val="21"/>
        </w:rPr>
        <w:t>DMs; becoming</w:t>
      </w:r>
      <w:r>
        <w:rPr>
          <w:spacing w:val="-3"/>
          <w:sz w:val="21"/>
        </w:rPr>
        <w:t xml:space="preserve"> </w:t>
      </w:r>
      <w:r>
        <w:rPr>
          <w:sz w:val="21"/>
        </w:rPr>
        <w:t>volatile when denied constant digital contact; stealing or demanding passwords</w:t>
      </w:r>
    </w:p>
    <w:p w:rsidR="00200FDA" w:rsidRDefault="00F76C4C">
      <w:pPr>
        <w:spacing w:before="120"/>
        <w:ind w:left="139"/>
        <w:rPr>
          <w:b/>
          <w:sz w:val="21"/>
        </w:rPr>
      </w:pPr>
      <w:r>
        <w:rPr>
          <w:b/>
          <w:spacing w:val="-2"/>
          <w:sz w:val="21"/>
          <w:u w:val="single"/>
        </w:rPr>
        <w:t>Stalking:</w:t>
      </w:r>
    </w:p>
    <w:p w:rsidR="00200FDA" w:rsidRDefault="00F76C4C">
      <w:pPr>
        <w:spacing w:before="157" w:line="276" w:lineRule="auto"/>
        <w:ind w:left="139" w:right="109"/>
        <w:jc w:val="both"/>
        <w:rPr>
          <w:sz w:val="21"/>
        </w:rPr>
      </w:pPr>
      <w:r>
        <w:rPr>
          <w:sz w:val="21"/>
        </w:rPr>
        <w:t>Showing up uninvited and unannounced to home, school, or work; using a tracking device or service to monitor location; constant text messages, emails, or social media DMs; sending unwanted gifts</w:t>
      </w:r>
    </w:p>
    <w:p w:rsidR="00200FDA" w:rsidRDefault="00200FDA">
      <w:pPr>
        <w:spacing w:line="276" w:lineRule="auto"/>
        <w:jc w:val="both"/>
        <w:rPr>
          <w:sz w:val="21"/>
        </w:rPr>
        <w:sectPr w:rsidR="00200FDA">
          <w:pgSz w:w="11910" w:h="16840"/>
          <w:pgMar w:top="1100" w:right="1040" w:bottom="1260" w:left="1300" w:header="761" w:footer="1062" w:gutter="0"/>
          <w:cols w:num="2" w:space="720" w:equalWidth="0">
            <w:col w:w="4161" w:space="615"/>
            <w:col w:w="4794"/>
          </w:cols>
        </w:sectPr>
      </w:pPr>
    </w:p>
    <w:p w:rsidR="00200FDA" w:rsidRDefault="00F76C4C">
      <w:pPr>
        <w:pStyle w:val="BodyText"/>
        <w:spacing w:line="276" w:lineRule="auto"/>
        <w:ind w:left="140" w:right="394"/>
        <w:jc w:val="both"/>
      </w:pPr>
      <w:r>
        <w:t>sexuality education programs, wh</w:t>
      </w:r>
      <w:r>
        <w:t xml:space="preserve">ich have also shown promising results, including increased </w:t>
      </w:r>
      <w:bookmarkStart w:id="302" w:name="_bookmark211"/>
      <w:bookmarkEnd w:id="302"/>
      <w:r>
        <w:t xml:space="preserve">awareness of intimate partner violence as a serious issue, decreased tolerance of abusive behaviors </w:t>
      </w:r>
      <w:bookmarkStart w:id="303" w:name="_bookmark212"/>
      <w:bookmarkEnd w:id="303"/>
      <w:r>
        <w:t>by peers, improved communication skills, decreased intimate partner violence perpetration, and in</w:t>
      </w:r>
      <w:r>
        <w:t>creased positive bystander behaviors.</w:t>
      </w:r>
      <w:hyperlink w:anchor="_bookmark121" w:history="1">
        <w:r>
          <w:rPr>
            <w:vertAlign w:val="superscript"/>
          </w:rPr>
          <w:t>27</w:t>
        </w:r>
      </w:hyperlink>
    </w:p>
    <w:p w:rsidR="00200FDA" w:rsidRDefault="00200FDA">
      <w:pPr>
        <w:spacing w:line="276" w:lineRule="auto"/>
        <w:jc w:val="both"/>
        <w:sectPr w:rsidR="00200FDA">
          <w:type w:val="continuous"/>
          <w:pgSz w:w="11910" w:h="16840"/>
          <w:pgMar w:top="720" w:right="1040" w:bottom="280" w:left="1300" w:header="761" w:footer="1062" w:gutter="0"/>
          <w:cols w:space="720"/>
        </w:sectPr>
      </w:pPr>
    </w:p>
    <w:p w:rsidR="00200FDA" w:rsidRDefault="00F76C4C">
      <w:pPr>
        <w:pStyle w:val="BodyText"/>
        <w:spacing w:before="154" w:line="276" w:lineRule="auto"/>
        <w:ind w:left="140" w:right="394"/>
        <w:jc w:val="both"/>
      </w:pPr>
      <w:bookmarkStart w:id="304" w:name="_bookmark249"/>
      <w:bookmarkEnd w:id="304"/>
      <w:r>
        <w:lastRenderedPageBreak/>
        <w:t xml:space="preserve">Unfortunately, there is no consistency across Massachusetts as to what kind of dating violence </w:t>
      </w:r>
      <w:bookmarkStart w:id="305" w:name="_bookmark213"/>
      <w:bookmarkEnd w:id="305"/>
      <w:r>
        <w:t>intervention students receive; some school districts have adopted the</w:t>
      </w:r>
      <w:r>
        <w:t xml:space="preserve"> 3R’s (Rights, Respect, </w:t>
      </w:r>
      <w:bookmarkStart w:id="306" w:name="_bookmark214"/>
      <w:bookmarkEnd w:id="306"/>
      <w:r>
        <w:t xml:space="preserve">Responsibility) programming, which is a comprehensive sexuality education curriculum that includes </w:t>
      </w:r>
      <w:bookmarkStart w:id="307" w:name="_bookmark215"/>
      <w:bookmarkEnd w:id="307"/>
      <w:r>
        <w:t>education on consent and healthy relationships.</w:t>
      </w:r>
      <w:r>
        <w:rPr>
          <w:spacing w:val="-13"/>
        </w:rPr>
        <w:t xml:space="preserve"> </w:t>
      </w:r>
      <w:hyperlink w:anchor="_bookmark122" w:history="1">
        <w:r>
          <w:rPr>
            <w:vertAlign w:val="superscript"/>
          </w:rPr>
          <w:t>28</w:t>
        </w:r>
      </w:hyperlink>
      <w:r>
        <w:t xml:space="preserve"> Although this program is one of the premier </w:t>
      </w:r>
      <w:bookmarkStart w:id="308" w:name="_bookmark216"/>
      <w:bookmarkEnd w:id="308"/>
      <w:r>
        <w:t>compre</w:t>
      </w:r>
      <w:r>
        <w:t>hensive</w:t>
      </w:r>
      <w:r>
        <w:rPr>
          <w:spacing w:val="-6"/>
        </w:rPr>
        <w:t xml:space="preserve"> </w:t>
      </w:r>
      <w:r>
        <w:t>sexuality</w:t>
      </w:r>
      <w:r>
        <w:rPr>
          <w:spacing w:val="-6"/>
        </w:rPr>
        <w:t xml:space="preserve"> </w:t>
      </w:r>
      <w:r>
        <w:t>education</w:t>
      </w:r>
      <w:r>
        <w:rPr>
          <w:spacing w:val="-7"/>
        </w:rPr>
        <w:t xml:space="preserve"> </w:t>
      </w:r>
      <w:r>
        <w:t>curriculums,</w:t>
      </w:r>
      <w:r>
        <w:rPr>
          <w:spacing w:val="-7"/>
        </w:rPr>
        <w:t xml:space="preserve"> </w:t>
      </w:r>
      <w:r>
        <w:t>it</w:t>
      </w:r>
      <w:r>
        <w:rPr>
          <w:spacing w:val="-6"/>
        </w:rPr>
        <w:t xml:space="preserve"> </w:t>
      </w:r>
      <w:r>
        <w:t>has</w:t>
      </w:r>
      <w:r>
        <w:rPr>
          <w:spacing w:val="-6"/>
        </w:rPr>
        <w:t xml:space="preserve"> </w:t>
      </w:r>
      <w:r>
        <w:t>yet</w:t>
      </w:r>
      <w:r>
        <w:rPr>
          <w:spacing w:val="-9"/>
        </w:rPr>
        <w:t xml:space="preserve"> </w:t>
      </w:r>
      <w:r>
        <w:t>to</w:t>
      </w:r>
      <w:r>
        <w:rPr>
          <w:spacing w:val="-5"/>
        </w:rPr>
        <w:t xml:space="preserve"> </w:t>
      </w:r>
      <w:r>
        <w:t>be</w:t>
      </w:r>
      <w:r>
        <w:rPr>
          <w:spacing w:val="-6"/>
        </w:rPr>
        <w:t xml:space="preserve"> </w:t>
      </w:r>
      <w:r>
        <w:t>implemented</w:t>
      </w:r>
      <w:r>
        <w:rPr>
          <w:spacing w:val="-7"/>
        </w:rPr>
        <w:t xml:space="preserve"> </w:t>
      </w:r>
      <w:r>
        <w:t>at</w:t>
      </w:r>
      <w:r>
        <w:rPr>
          <w:spacing w:val="-9"/>
        </w:rPr>
        <w:t xml:space="preserve"> </w:t>
      </w:r>
      <w:r>
        <w:t>a</w:t>
      </w:r>
      <w:r>
        <w:rPr>
          <w:spacing w:val="-7"/>
        </w:rPr>
        <w:t xml:space="preserve"> </w:t>
      </w:r>
      <w:r>
        <w:t>state-wide</w:t>
      </w:r>
      <w:r>
        <w:rPr>
          <w:spacing w:val="-6"/>
        </w:rPr>
        <w:t xml:space="preserve"> </w:t>
      </w:r>
      <w:r>
        <w:t>level;</w:t>
      </w:r>
      <w:r>
        <w:rPr>
          <w:spacing w:val="-6"/>
        </w:rPr>
        <w:t xml:space="preserve"> </w:t>
      </w:r>
      <w:r>
        <w:t xml:space="preserve">as </w:t>
      </w:r>
      <w:bookmarkStart w:id="309" w:name="_bookmark217"/>
      <w:bookmarkEnd w:id="309"/>
      <w:r>
        <w:t>highlighted in the sexual health section of this annual report, the Healthy Youth Act (</w:t>
      </w:r>
      <w:hyperlink r:id="rId174">
        <w:r>
          <w:rPr>
            <w:u w:val="single"/>
          </w:rPr>
          <w:t>S.268</w:t>
        </w:r>
      </w:hyperlink>
      <w:r>
        <w:t>/</w:t>
      </w:r>
      <w:hyperlink r:id="rId175">
        <w:r>
          <w:rPr>
            <w:u w:val="single"/>
          </w:rPr>
          <w:t>H.544</w:t>
        </w:r>
      </w:hyperlink>
      <w:r>
        <w:t xml:space="preserve">) is </w:t>
      </w:r>
      <w:bookmarkStart w:id="310" w:name="_bookmark218"/>
      <w:bookmarkEnd w:id="310"/>
      <w:r>
        <w:t>an opportunity for Massachusetts legislators to ensure that Massachusetts youth have access to medically accurate, inclusive, culturally appropriate sexual health education.</w:t>
      </w:r>
      <w:hyperlink w:anchor="_bookmark123" w:history="1">
        <w:r>
          <w:rPr>
            <w:vertAlign w:val="superscript"/>
          </w:rPr>
          <w:t>29</w:t>
        </w:r>
      </w:hyperlink>
    </w:p>
    <w:p w:rsidR="00200FDA" w:rsidRDefault="00200FDA">
      <w:pPr>
        <w:pStyle w:val="BodyText"/>
        <w:spacing w:before="7"/>
        <w:rPr>
          <w:sz w:val="19"/>
        </w:rPr>
      </w:pPr>
    </w:p>
    <w:p w:rsidR="00200FDA" w:rsidRDefault="00F76C4C">
      <w:pPr>
        <w:pStyle w:val="BodyText"/>
        <w:spacing w:line="276" w:lineRule="auto"/>
        <w:ind w:left="140" w:right="393"/>
        <w:jc w:val="both"/>
      </w:pPr>
      <w:bookmarkStart w:id="311" w:name="_bookmark219"/>
      <w:bookmarkStart w:id="312" w:name="_bookmark220"/>
      <w:bookmarkStart w:id="313" w:name="_bookmark221"/>
      <w:bookmarkEnd w:id="311"/>
      <w:bookmarkEnd w:id="312"/>
      <w:bookmarkEnd w:id="313"/>
      <w:r>
        <w:t xml:space="preserve">In addition to school-based education, studies have shown that access to LGBTQ-inclusive support </w:t>
      </w:r>
      <w:bookmarkStart w:id="314" w:name="_bookmark222"/>
      <w:bookmarkEnd w:id="314"/>
      <w:r>
        <w:t>resources are key in supporting survivors of intimate partner violence.</w:t>
      </w:r>
      <w:hyperlink w:anchor="_bookmark124" w:history="1">
        <w:r>
          <w:rPr>
            <w:vertAlign w:val="superscript"/>
          </w:rPr>
          <w:t>30</w:t>
        </w:r>
      </w:hyperlink>
      <w:r>
        <w:t xml:space="preserve"> According to a survey of </w:t>
      </w:r>
      <w:bookmarkStart w:id="315" w:name="_bookmark223"/>
      <w:bookmarkEnd w:id="315"/>
      <w:r>
        <w:t>q</w:t>
      </w:r>
      <w:r>
        <w:t xml:space="preserve">ueer and trans Massachusetts survivors, survivors want support from resources where they feel </w:t>
      </w:r>
      <w:bookmarkStart w:id="316" w:name="_bookmark224"/>
      <w:bookmarkEnd w:id="316"/>
      <w:r>
        <w:t>respected, safe, and comfortable, and where they will not have to explain their identities or face discrimination</w:t>
      </w:r>
      <w:r>
        <w:rPr>
          <w:spacing w:val="-6"/>
        </w:rPr>
        <w:t xml:space="preserve"> </w:t>
      </w:r>
      <w:r>
        <w:t>from</w:t>
      </w:r>
      <w:r>
        <w:rPr>
          <w:spacing w:val="-4"/>
        </w:rPr>
        <w:t xml:space="preserve"> </w:t>
      </w:r>
      <w:r>
        <w:t>a</w:t>
      </w:r>
      <w:r>
        <w:rPr>
          <w:spacing w:val="-8"/>
        </w:rPr>
        <w:t xml:space="preserve"> </w:t>
      </w:r>
      <w:r>
        <w:t>service</w:t>
      </w:r>
      <w:r>
        <w:rPr>
          <w:spacing w:val="-5"/>
        </w:rPr>
        <w:t xml:space="preserve"> </w:t>
      </w:r>
      <w:r>
        <w:t>provider.</w:t>
      </w:r>
      <w:hyperlink w:anchor="_bookmark125" w:history="1">
        <w:r>
          <w:rPr>
            <w:vertAlign w:val="superscript"/>
          </w:rPr>
          <w:t>31</w:t>
        </w:r>
      </w:hyperlink>
      <w:r>
        <w:rPr>
          <w:spacing w:val="-2"/>
        </w:rPr>
        <w:t xml:space="preserve"> </w:t>
      </w:r>
      <w:r>
        <w:t>Black</w:t>
      </w:r>
      <w:r>
        <w:rPr>
          <w:spacing w:val="-5"/>
        </w:rPr>
        <w:t xml:space="preserve"> </w:t>
      </w:r>
      <w:r>
        <w:t>survivors</w:t>
      </w:r>
      <w:r>
        <w:rPr>
          <w:spacing w:val="-8"/>
        </w:rPr>
        <w:t xml:space="preserve"> </w:t>
      </w:r>
      <w:r>
        <w:t>and</w:t>
      </w:r>
      <w:r>
        <w:rPr>
          <w:spacing w:val="-6"/>
        </w:rPr>
        <w:t xml:space="preserve"> </w:t>
      </w:r>
      <w:r>
        <w:t>trans</w:t>
      </w:r>
      <w:r>
        <w:rPr>
          <w:spacing w:val="-5"/>
        </w:rPr>
        <w:t xml:space="preserve"> </w:t>
      </w:r>
      <w:r>
        <w:t>survivors,</w:t>
      </w:r>
      <w:r>
        <w:rPr>
          <w:spacing w:val="-6"/>
        </w:rPr>
        <w:t xml:space="preserve"> </w:t>
      </w:r>
      <w:r>
        <w:t>in</w:t>
      </w:r>
      <w:r>
        <w:rPr>
          <w:spacing w:val="-6"/>
        </w:rPr>
        <w:t xml:space="preserve"> </w:t>
      </w:r>
      <w:r>
        <w:t>particular,</w:t>
      </w:r>
      <w:r>
        <w:rPr>
          <w:spacing w:val="-6"/>
        </w:rPr>
        <w:t xml:space="preserve"> </w:t>
      </w:r>
      <w:r>
        <w:t>expressed</w:t>
      </w:r>
      <w:r>
        <w:rPr>
          <w:spacing w:val="-6"/>
        </w:rPr>
        <w:t xml:space="preserve"> </w:t>
      </w:r>
      <w:r>
        <w:t xml:space="preserve">a </w:t>
      </w:r>
      <w:bookmarkStart w:id="317" w:name="_bookmark225"/>
      <w:bookmarkEnd w:id="317"/>
      <w:r>
        <w:t>desire</w:t>
      </w:r>
      <w:r>
        <w:rPr>
          <w:spacing w:val="-4"/>
        </w:rPr>
        <w:t xml:space="preserve"> </w:t>
      </w:r>
      <w:r>
        <w:t>for</w:t>
      </w:r>
      <w:r>
        <w:rPr>
          <w:spacing w:val="-7"/>
        </w:rPr>
        <w:t xml:space="preserve"> </w:t>
      </w:r>
      <w:r>
        <w:t>LGBTQ-specific</w:t>
      </w:r>
      <w:r>
        <w:rPr>
          <w:spacing w:val="-4"/>
        </w:rPr>
        <w:t xml:space="preserve"> </w:t>
      </w:r>
      <w:r>
        <w:t>resources,</w:t>
      </w:r>
      <w:r>
        <w:rPr>
          <w:spacing w:val="-4"/>
        </w:rPr>
        <w:t xml:space="preserve"> </w:t>
      </w:r>
      <w:r>
        <w:t>stating</w:t>
      </w:r>
      <w:r>
        <w:rPr>
          <w:spacing w:val="-5"/>
        </w:rPr>
        <w:t xml:space="preserve"> </w:t>
      </w:r>
      <w:r>
        <w:t>that</w:t>
      </w:r>
      <w:r>
        <w:rPr>
          <w:spacing w:val="-4"/>
        </w:rPr>
        <w:t xml:space="preserve"> </w:t>
      </w:r>
      <w:r>
        <w:t>they</w:t>
      </w:r>
      <w:r>
        <w:rPr>
          <w:spacing w:val="-6"/>
        </w:rPr>
        <w:t xml:space="preserve"> </w:t>
      </w:r>
      <w:r>
        <w:t>appreciate</w:t>
      </w:r>
      <w:r>
        <w:rPr>
          <w:spacing w:val="-6"/>
        </w:rPr>
        <w:t xml:space="preserve"> </w:t>
      </w:r>
      <w:r>
        <w:t>when</w:t>
      </w:r>
      <w:r>
        <w:rPr>
          <w:spacing w:val="-5"/>
        </w:rPr>
        <w:t xml:space="preserve"> </w:t>
      </w:r>
      <w:r>
        <w:t>support</w:t>
      </w:r>
      <w:r>
        <w:rPr>
          <w:spacing w:val="-4"/>
        </w:rPr>
        <w:t xml:space="preserve"> </w:t>
      </w:r>
      <w:r>
        <w:t>resources</w:t>
      </w:r>
      <w:r>
        <w:rPr>
          <w:spacing w:val="-4"/>
        </w:rPr>
        <w:t xml:space="preserve"> </w:t>
      </w:r>
      <w:r>
        <w:t>understand their identities and offer culturally competent support.</w:t>
      </w:r>
      <w:r>
        <w:rPr>
          <w:spacing w:val="-1"/>
        </w:rPr>
        <w:t xml:space="preserve"> </w:t>
      </w:r>
      <w:hyperlink w:anchor="_bookmark126" w:history="1">
        <w:r>
          <w:rPr>
            <w:vertAlign w:val="superscript"/>
          </w:rPr>
          <w:t>32</w:t>
        </w:r>
      </w:hyperlink>
      <w:r>
        <w:t xml:space="preserve"> Although LGBTQ individuals tend to </w:t>
      </w:r>
      <w:bookmarkStart w:id="318" w:name="_bookmark226"/>
      <w:bookmarkEnd w:id="318"/>
      <w:r>
        <w:t xml:space="preserve">experience intimate partner violence at slightly higher rates than the general population, there are </w:t>
      </w:r>
      <w:bookmarkStart w:id="319" w:name="_bookmark227"/>
      <w:bookmarkEnd w:id="319"/>
      <w:r>
        <w:t xml:space="preserve">few organizations that are dedicated to serving LGBTQ individuals, and fewer still that can offer </w:t>
      </w:r>
      <w:bookmarkStart w:id="320" w:name="_bookmark228"/>
      <w:bookmarkEnd w:id="320"/>
      <w:r>
        <w:t xml:space="preserve">culturally </w:t>
      </w:r>
      <w:r>
        <w:t>humble support services to LGBTQ survivors of color. Additionally, many intimate partner violence or sexual violence support resources are located in larger cities, making them largely inaccessible to LGBTQ youth who lack consistent access to transportatio</w:t>
      </w:r>
      <w:r>
        <w:t xml:space="preserve">n and/or who are living in </w:t>
      </w:r>
      <w:bookmarkStart w:id="321" w:name="_bookmark229"/>
      <w:bookmarkStart w:id="322" w:name="_bookmark230"/>
      <w:bookmarkEnd w:id="321"/>
      <w:bookmarkEnd w:id="322"/>
      <w:r>
        <w:t xml:space="preserve">more rural areas of the state. Oftentimes, these organizations are chronically under-funded and do </w:t>
      </w:r>
      <w:bookmarkStart w:id="323" w:name="_bookmark231"/>
      <w:bookmarkEnd w:id="323"/>
      <w:r>
        <w:t xml:space="preserve">not receive enough support at the state level. This prevents organizations from doing targeted </w:t>
      </w:r>
      <w:bookmarkStart w:id="324" w:name="_bookmark232"/>
      <w:bookmarkEnd w:id="324"/>
      <w:r>
        <w:t>outreach to underserved populations</w:t>
      </w:r>
      <w:r>
        <w:t>.</w:t>
      </w:r>
    </w:p>
    <w:p w:rsidR="00200FDA" w:rsidRDefault="00200FDA">
      <w:pPr>
        <w:pStyle w:val="BodyText"/>
        <w:rPr>
          <w:sz w:val="20"/>
        </w:rPr>
      </w:pPr>
    </w:p>
    <w:p w:rsidR="00200FDA" w:rsidRDefault="00200FDA">
      <w:pPr>
        <w:pStyle w:val="BodyText"/>
        <w:rPr>
          <w:sz w:val="25"/>
        </w:rPr>
      </w:pPr>
    </w:p>
    <w:tbl>
      <w:tblPr>
        <w:tblW w:w="0" w:type="auto"/>
        <w:tblInd w:w="339" w:type="dxa"/>
        <w:tblLayout w:type="fixed"/>
        <w:tblCellMar>
          <w:left w:w="0" w:type="dxa"/>
          <w:right w:w="0" w:type="dxa"/>
        </w:tblCellMar>
        <w:tblLook w:val="01E0" w:firstRow="1" w:lastRow="1" w:firstColumn="1" w:lastColumn="1" w:noHBand="0" w:noVBand="0"/>
      </w:tblPr>
      <w:tblGrid>
        <w:gridCol w:w="2790"/>
        <w:gridCol w:w="2976"/>
        <w:gridCol w:w="2874"/>
      </w:tblGrid>
      <w:tr w:rsidR="00200FDA">
        <w:trPr>
          <w:trHeight w:val="619"/>
        </w:trPr>
        <w:tc>
          <w:tcPr>
            <w:tcW w:w="2790" w:type="dxa"/>
            <w:shd w:val="clear" w:color="auto" w:fill="C6E1F9"/>
          </w:tcPr>
          <w:p w:rsidR="00200FDA" w:rsidRDefault="00F76C4C">
            <w:pPr>
              <w:pStyle w:val="TableParagraph"/>
              <w:ind w:left="228"/>
              <w:jc w:val="left"/>
              <w:rPr>
                <w:b/>
              </w:rPr>
            </w:pPr>
            <w:bookmarkStart w:id="325" w:name="_bookmark233"/>
            <w:bookmarkStart w:id="326" w:name="_bookmark234"/>
            <w:bookmarkEnd w:id="325"/>
            <w:bookmarkEnd w:id="326"/>
            <w:r>
              <w:rPr>
                <w:b/>
                <w:color w:val="0A5293"/>
              </w:rPr>
              <w:t>Organizations</w:t>
            </w:r>
            <w:r>
              <w:rPr>
                <w:b/>
                <w:color w:val="0A5293"/>
                <w:spacing w:val="-9"/>
              </w:rPr>
              <w:t xml:space="preserve"> </w:t>
            </w:r>
            <w:r>
              <w:rPr>
                <w:b/>
                <w:color w:val="0A5293"/>
              </w:rPr>
              <w:t>with</w:t>
            </w:r>
            <w:r>
              <w:rPr>
                <w:b/>
                <w:color w:val="0A5293"/>
                <w:spacing w:val="-5"/>
              </w:rPr>
              <w:t xml:space="preserve"> </w:t>
            </w:r>
            <w:r>
              <w:rPr>
                <w:b/>
                <w:color w:val="0A5293"/>
                <w:spacing w:val="-4"/>
              </w:rPr>
              <w:t>LGBTQ</w:t>
            </w:r>
          </w:p>
          <w:p w:rsidR="00200FDA" w:rsidRDefault="00F76C4C">
            <w:pPr>
              <w:pStyle w:val="TableParagraph"/>
              <w:spacing w:before="41" w:line="240" w:lineRule="auto"/>
              <w:ind w:left="280"/>
              <w:jc w:val="left"/>
              <w:rPr>
                <w:b/>
              </w:rPr>
            </w:pPr>
            <w:bookmarkStart w:id="327" w:name="_bookmark235"/>
            <w:bookmarkStart w:id="328" w:name="_bookmark236"/>
            <w:bookmarkEnd w:id="327"/>
            <w:bookmarkEnd w:id="328"/>
            <w:r>
              <w:rPr>
                <w:b/>
                <w:color w:val="0A5293"/>
              </w:rPr>
              <w:t>Youth-Specific</w:t>
            </w:r>
            <w:r>
              <w:rPr>
                <w:b/>
                <w:color w:val="0A5293"/>
                <w:spacing w:val="-11"/>
              </w:rPr>
              <w:t xml:space="preserve"> </w:t>
            </w:r>
            <w:r>
              <w:rPr>
                <w:b/>
                <w:color w:val="0A5293"/>
                <w:spacing w:val="-2"/>
              </w:rPr>
              <w:t>Resources</w:t>
            </w:r>
          </w:p>
        </w:tc>
        <w:tc>
          <w:tcPr>
            <w:tcW w:w="2976" w:type="dxa"/>
            <w:shd w:val="clear" w:color="auto" w:fill="C6E1F9"/>
          </w:tcPr>
          <w:p w:rsidR="00200FDA" w:rsidRDefault="00F76C4C">
            <w:pPr>
              <w:pStyle w:val="TableParagraph"/>
              <w:ind w:left="161" w:right="137"/>
              <w:rPr>
                <w:b/>
              </w:rPr>
            </w:pPr>
            <w:r>
              <w:rPr>
                <w:b/>
                <w:color w:val="0A5293"/>
              </w:rPr>
              <w:t>Programs</w:t>
            </w:r>
            <w:r>
              <w:rPr>
                <w:b/>
                <w:color w:val="0A5293"/>
                <w:spacing w:val="-6"/>
              </w:rPr>
              <w:t xml:space="preserve"> </w:t>
            </w:r>
            <w:r>
              <w:rPr>
                <w:b/>
                <w:color w:val="0A5293"/>
              </w:rPr>
              <w:t>with</w:t>
            </w:r>
            <w:r>
              <w:rPr>
                <w:b/>
                <w:color w:val="0A5293"/>
                <w:spacing w:val="-4"/>
              </w:rPr>
              <w:t xml:space="preserve"> </w:t>
            </w:r>
            <w:r>
              <w:rPr>
                <w:b/>
                <w:color w:val="0A5293"/>
              </w:rPr>
              <w:t>LGBTQ</w:t>
            </w:r>
            <w:r>
              <w:rPr>
                <w:b/>
                <w:color w:val="0A5293"/>
                <w:spacing w:val="-3"/>
              </w:rPr>
              <w:t xml:space="preserve"> </w:t>
            </w:r>
            <w:r>
              <w:rPr>
                <w:b/>
                <w:color w:val="0A5293"/>
                <w:spacing w:val="-2"/>
              </w:rPr>
              <w:t>Youth-</w:t>
            </w:r>
          </w:p>
          <w:p w:rsidR="00200FDA" w:rsidRDefault="00F76C4C">
            <w:pPr>
              <w:pStyle w:val="TableParagraph"/>
              <w:spacing w:before="41" w:line="240" w:lineRule="auto"/>
              <w:ind w:left="161" w:right="136"/>
              <w:rPr>
                <w:b/>
              </w:rPr>
            </w:pPr>
            <w:r>
              <w:rPr>
                <w:b/>
                <w:color w:val="0A5293"/>
              </w:rPr>
              <w:t>Specific</w:t>
            </w:r>
            <w:r>
              <w:rPr>
                <w:b/>
                <w:color w:val="0A5293"/>
                <w:spacing w:val="-5"/>
              </w:rPr>
              <w:t xml:space="preserve"> </w:t>
            </w:r>
            <w:r>
              <w:rPr>
                <w:b/>
                <w:color w:val="0A5293"/>
                <w:spacing w:val="-2"/>
              </w:rPr>
              <w:t>Resources</w:t>
            </w:r>
          </w:p>
        </w:tc>
        <w:tc>
          <w:tcPr>
            <w:tcW w:w="2874" w:type="dxa"/>
            <w:shd w:val="clear" w:color="auto" w:fill="C6E1F9"/>
          </w:tcPr>
          <w:p w:rsidR="00200FDA" w:rsidRDefault="00F76C4C">
            <w:pPr>
              <w:pStyle w:val="TableParagraph"/>
              <w:ind w:left="141" w:right="173"/>
              <w:rPr>
                <w:b/>
              </w:rPr>
            </w:pPr>
            <w:r>
              <w:rPr>
                <w:b/>
                <w:color w:val="0A5293"/>
              </w:rPr>
              <w:t>Hotlines</w:t>
            </w:r>
            <w:r>
              <w:rPr>
                <w:b/>
                <w:color w:val="0A5293"/>
                <w:spacing w:val="-6"/>
              </w:rPr>
              <w:t xml:space="preserve"> </w:t>
            </w:r>
            <w:r>
              <w:rPr>
                <w:b/>
                <w:color w:val="0A5293"/>
              </w:rPr>
              <w:t>with</w:t>
            </w:r>
            <w:r>
              <w:rPr>
                <w:b/>
                <w:color w:val="0A5293"/>
                <w:spacing w:val="-5"/>
              </w:rPr>
              <w:t xml:space="preserve"> </w:t>
            </w:r>
            <w:r>
              <w:rPr>
                <w:b/>
                <w:color w:val="0A5293"/>
              </w:rPr>
              <w:t>LGBTQ</w:t>
            </w:r>
            <w:r>
              <w:rPr>
                <w:b/>
                <w:color w:val="0A5293"/>
                <w:spacing w:val="-6"/>
              </w:rPr>
              <w:t xml:space="preserve"> </w:t>
            </w:r>
            <w:r>
              <w:rPr>
                <w:b/>
                <w:color w:val="0A5293"/>
                <w:spacing w:val="-2"/>
              </w:rPr>
              <w:t>Youth-</w:t>
            </w:r>
          </w:p>
          <w:p w:rsidR="00200FDA" w:rsidRDefault="00F76C4C">
            <w:pPr>
              <w:pStyle w:val="TableParagraph"/>
              <w:spacing w:before="41" w:line="240" w:lineRule="auto"/>
              <w:ind w:left="140" w:right="173"/>
              <w:rPr>
                <w:b/>
              </w:rPr>
            </w:pPr>
            <w:r>
              <w:rPr>
                <w:b/>
                <w:color w:val="0A5293"/>
              </w:rPr>
              <w:t>Specific</w:t>
            </w:r>
            <w:r>
              <w:rPr>
                <w:b/>
                <w:color w:val="0A5293"/>
                <w:spacing w:val="-5"/>
              </w:rPr>
              <w:t xml:space="preserve"> </w:t>
            </w:r>
            <w:r>
              <w:rPr>
                <w:b/>
                <w:color w:val="0A5293"/>
                <w:spacing w:val="-2"/>
              </w:rPr>
              <w:t>Resources</w:t>
            </w:r>
          </w:p>
        </w:tc>
      </w:tr>
      <w:tr w:rsidR="00200FDA">
        <w:trPr>
          <w:trHeight w:val="616"/>
        </w:trPr>
        <w:tc>
          <w:tcPr>
            <w:tcW w:w="2790" w:type="dxa"/>
          </w:tcPr>
          <w:p w:rsidR="00200FDA" w:rsidRDefault="00F76C4C">
            <w:pPr>
              <w:pStyle w:val="TableParagraph"/>
              <w:ind w:left="498" w:right="438"/>
            </w:pPr>
            <w:r>
              <w:rPr>
                <w:color w:val="0A5293"/>
              </w:rPr>
              <w:t>The</w:t>
            </w:r>
            <w:r>
              <w:rPr>
                <w:color w:val="0A5293"/>
                <w:spacing w:val="-4"/>
              </w:rPr>
              <w:t xml:space="preserve"> </w:t>
            </w:r>
            <w:r>
              <w:rPr>
                <w:color w:val="0A5293"/>
              </w:rPr>
              <w:t>Network/La</w:t>
            </w:r>
            <w:r>
              <w:rPr>
                <w:color w:val="0A5293"/>
                <w:spacing w:val="-3"/>
              </w:rPr>
              <w:t xml:space="preserve"> </w:t>
            </w:r>
            <w:r>
              <w:rPr>
                <w:color w:val="0A5293"/>
                <w:spacing w:val="-5"/>
              </w:rPr>
              <w:t>Red</w:t>
            </w:r>
          </w:p>
        </w:tc>
        <w:tc>
          <w:tcPr>
            <w:tcW w:w="2976" w:type="dxa"/>
          </w:tcPr>
          <w:p w:rsidR="00200FDA" w:rsidRDefault="00F76C4C">
            <w:pPr>
              <w:pStyle w:val="TableParagraph"/>
              <w:ind w:left="160" w:right="137"/>
            </w:pPr>
            <w:r>
              <w:rPr>
                <w:color w:val="0A5293"/>
              </w:rPr>
              <w:t>Fenway</w:t>
            </w:r>
            <w:r>
              <w:rPr>
                <w:color w:val="0A5293"/>
                <w:spacing w:val="-5"/>
              </w:rPr>
              <w:t xml:space="preserve"> </w:t>
            </w:r>
            <w:r>
              <w:rPr>
                <w:color w:val="0A5293"/>
              </w:rPr>
              <w:t>Violence</w:t>
            </w:r>
            <w:r>
              <w:rPr>
                <w:color w:val="0A5293"/>
                <w:spacing w:val="-4"/>
              </w:rPr>
              <w:t xml:space="preserve"> </w:t>
            </w:r>
            <w:r>
              <w:rPr>
                <w:color w:val="0A5293"/>
                <w:spacing w:val="-2"/>
              </w:rPr>
              <w:t>Recovery</w:t>
            </w:r>
          </w:p>
          <w:p w:rsidR="00200FDA" w:rsidRDefault="00F76C4C">
            <w:pPr>
              <w:pStyle w:val="TableParagraph"/>
              <w:spacing w:before="38" w:line="240" w:lineRule="auto"/>
              <w:ind w:left="161" w:right="134"/>
            </w:pPr>
            <w:bookmarkStart w:id="329" w:name="_bookmark237"/>
            <w:bookmarkEnd w:id="329"/>
            <w:r>
              <w:rPr>
                <w:color w:val="0A5293"/>
                <w:spacing w:val="-2"/>
              </w:rPr>
              <w:t>Program</w:t>
            </w:r>
          </w:p>
        </w:tc>
        <w:tc>
          <w:tcPr>
            <w:tcW w:w="2874" w:type="dxa"/>
          </w:tcPr>
          <w:p w:rsidR="00200FDA" w:rsidRDefault="00F76C4C">
            <w:pPr>
              <w:pStyle w:val="TableParagraph"/>
              <w:ind w:left="138" w:right="173"/>
            </w:pPr>
            <w:r>
              <w:rPr>
                <w:color w:val="0A5293"/>
              </w:rPr>
              <w:t>The</w:t>
            </w:r>
            <w:r>
              <w:rPr>
                <w:color w:val="0A5293"/>
                <w:spacing w:val="-3"/>
              </w:rPr>
              <w:t xml:space="preserve"> </w:t>
            </w:r>
            <w:r>
              <w:rPr>
                <w:color w:val="0A5293"/>
              </w:rPr>
              <w:t>National</w:t>
            </w:r>
            <w:r>
              <w:rPr>
                <w:color w:val="0A5293"/>
                <w:spacing w:val="-3"/>
              </w:rPr>
              <w:t xml:space="preserve"> </w:t>
            </w:r>
            <w:r>
              <w:rPr>
                <w:color w:val="0A5293"/>
                <w:spacing w:val="-2"/>
              </w:rPr>
              <w:t>Domestic</w:t>
            </w:r>
          </w:p>
          <w:p w:rsidR="00200FDA" w:rsidRDefault="00F76C4C">
            <w:pPr>
              <w:pStyle w:val="TableParagraph"/>
              <w:spacing w:before="38" w:line="240" w:lineRule="auto"/>
              <w:ind w:left="140" w:right="173"/>
            </w:pPr>
            <w:r>
              <w:rPr>
                <w:color w:val="0A5293"/>
              </w:rPr>
              <w:t>Violence</w:t>
            </w:r>
            <w:r>
              <w:rPr>
                <w:color w:val="0A5293"/>
                <w:spacing w:val="-7"/>
              </w:rPr>
              <w:t xml:space="preserve"> </w:t>
            </w:r>
            <w:r>
              <w:rPr>
                <w:color w:val="0A5293"/>
                <w:spacing w:val="-2"/>
              </w:rPr>
              <w:t>Hotline</w:t>
            </w:r>
          </w:p>
        </w:tc>
      </w:tr>
      <w:tr w:rsidR="00200FDA">
        <w:trPr>
          <w:trHeight w:val="616"/>
        </w:trPr>
        <w:tc>
          <w:tcPr>
            <w:tcW w:w="2790" w:type="dxa"/>
            <w:shd w:val="clear" w:color="auto" w:fill="C6E1F9"/>
          </w:tcPr>
          <w:p w:rsidR="00200FDA" w:rsidRDefault="00F76C4C">
            <w:pPr>
              <w:pStyle w:val="TableParagraph"/>
              <w:ind w:left="498" w:right="438"/>
            </w:pPr>
            <w:bookmarkStart w:id="330" w:name="_bookmark238"/>
            <w:bookmarkEnd w:id="330"/>
            <w:r>
              <w:rPr>
                <w:color w:val="0A5293"/>
              </w:rPr>
              <w:t>love</w:t>
            </w:r>
            <w:r>
              <w:rPr>
                <w:color w:val="0A5293"/>
                <w:spacing w:val="-1"/>
              </w:rPr>
              <w:t xml:space="preserve"> </w:t>
            </w:r>
            <w:r>
              <w:rPr>
                <w:color w:val="0A5293"/>
              </w:rPr>
              <w:t>is</w:t>
            </w:r>
            <w:r>
              <w:rPr>
                <w:color w:val="0A5293"/>
                <w:spacing w:val="-1"/>
              </w:rPr>
              <w:t xml:space="preserve"> </w:t>
            </w:r>
            <w:r>
              <w:rPr>
                <w:color w:val="0A5293"/>
                <w:spacing w:val="-2"/>
              </w:rPr>
              <w:t>respect</w:t>
            </w:r>
          </w:p>
        </w:tc>
        <w:tc>
          <w:tcPr>
            <w:tcW w:w="2976" w:type="dxa"/>
            <w:shd w:val="clear" w:color="auto" w:fill="C6E1F9"/>
          </w:tcPr>
          <w:p w:rsidR="00200FDA" w:rsidRDefault="00F76C4C">
            <w:pPr>
              <w:pStyle w:val="TableParagraph"/>
              <w:ind w:left="0" w:right="939"/>
              <w:jc w:val="right"/>
            </w:pPr>
            <w:r>
              <w:rPr>
                <w:color w:val="0A5293"/>
              </w:rPr>
              <w:t>Start</w:t>
            </w:r>
            <w:r>
              <w:rPr>
                <w:color w:val="0A5293"/>
                <w:spacing w:val="-2"/>
              </w:rPr>
              <w:t xml:space="preserve"> Strong</w:t>
            </w:r>
          </w:p>
        </w:tc>
        <w:tc>
          <w:tcPr>
            <w:tcW w:w="2874" w:type="dxa"/>
            <w:shd w:val="clear" w:color="auto" w:fill="C6E1F9"/>
          </w:tcPr>
          <w:p w:rsidR="00200FDA" w:rsidRDefault="00F76C4C">
            <w:pPr>
              <w:pStyle w:val="TableParagraph"/>
              <w:ind w:left="141" w:right="173"/>
            </w:pPr>
            <w:r>
              <w:rPr>
                <w:color w:val="0A5293"/>
              </w:rPr>
              <w:t>The</w:t>
            </w:r>
            <w:r>
              <w:rPr>
                <w:color w:val="0A5293"/>
                <w:spacing w:val="-3"/>
              </w:rPr>
              <w:t xml:space="preserve"> </w:t>
            </w:r>
            <w:r>
              <w:rPr>
                <w:color w:val="0A5293"/>
              </w:rPr>
              <w:t>National</w:t>
            </w:r>
            <w:r>
              <w:rPr>
                <w:color w:val="0A5293"/>
                <w:spacing w:val="-3"/>
              </w:rPr>
              <w:t xml:space="preserve"> </w:t>
            </w:r>
            <w:r>
              <w:rPr>
                <w:color w:val="0A5293"/>
              </w:rPr>
              <w:t>Sexual</w:t>
            </w:r>
            <w:r>
              <w:rPr>
                <w:color w:val="0A5293"/>
                <w:spacing w:val="-6"/>
              </w:rPr>
              <w:t xml:space="preserve"> </w:t>
            </w:r>
            <w:r>
              <w:rPr>
                <w:color w:val="0A5293"/>
                <w:spacing w:val="-2"/>
              </w:rPr>
              <w:t>Assault</w:t>
            </w:r>
          </w:p>
          <w:p w:rsidR="00200FDA" w:rsidRDefault="00F76C4C">
            <w:pPr>
              <w:pStyle w:val="TableParagraph"/>
              <w:spacing w:before="41" w:line="240" w:lineRule="auto"/>
              <w:ind w:left="141" w:right="172"/>
            </w:pPr>
            <w:r>
              <w:rPr>
                <w:color w:val="0A5293"/>
                <w:spacing w:val="-2"/>
              </w:rPr>
              <w:t>Hotline</w:t>
            </w:r>
          </w:p>
        </w:tc>
      </w:tr>
      <w:tr w:rsidR="00200FDA">
        <w:trPr>
          <w:trHeight w:val="263"/>
        </w:trPr>
        <w:tc>
          <w:tcPr>
            <w:tcW w:w="2790" w:type="dxa"/>
          </w:tcPr>
          <w:p w:rsidR="00200FDA" w:rsidRDefault="00F76C4C">
            <w:pPr>
              <w:pStyle w:val="TableParagraph"/>
              <w:spacing w:line="244" w:lineRule="exact"/>
              <w:ind w:left="498" w:right="438"/>
            </w:pPr>
            <w:bookmarkStart w:id="331" w:name="_bookmark239"/>
            <w:bookmarkEnd w:id="331"/>
            <w:r>
              <w:rPr>
                <w:color w:val="0A5293"/>
              </w:rPr>
              <w:t>One</w:t>
            </w:r>
            <w:r>
              <w:rPr>
                <w:color w:val="0A5293"/>
                <w:spacing w:val="-2"/>
              </w:rPr>
              <w:t xml:space="preserve"> </w:t>
            </w:r>
            <w:r>
              <w:rPr>
                <w:color w:val="0A5293"/>
                <w:spacing w:val="-4"/>
              </w:rPr>
              <w:t>Love</w:t>
            </w:r>
          </w:p>
        </w:tc>
        <w:tc>
          <w:tcPr>
            <w:tcW w:w="2976" w:type="dxa"/>
          </w:tcPr>
          <w:p w:rsidR="00200FDA" w:rsidRDefault="00F76C4C">
            <w:pPr>
              <w:pStyle w:val="TableParagraph"/>
              <w:spacing w:line="244" w:lineRule="exact"/>
              <w:ind w:left="0" w:right="893"/>
              <w:jc w:val="right"/>
            </w:pPr>
            <w:r>
              <w:rPr>
                <w:color w:val="0A5293"/>
                <w:spacing w:val="-2"/>
              </w:rPr>
              <w:t>RESPECTfully</w:t>
            </w:r>
          </w:p>
        </w:tc>
        <w:tc>
          <w:tcPr>
            <w:tcW w:w="2874" w:type="dxa"/>
          </w:tcPr>
          <w:p w:rsidR="00200FDA" w:rsidRDefault="00F76C4C">
            <w:pPr>
              <w:pStyle w:val="TableParagraph"/>
              <w:spacing w:line="244" w:lineRule="exact"/>
              <w:ind w:left="145"/>
              <w:jc w:val="left"/>
            </w:pPr>
            <w:r>
              <w:rPr>
                <w:color w:val="0A5293"/>
              </w:rPr>
              <w:t>LGBT</w:t>
            </w:r>
            <w:r>
              <w:rPr>
                <w:color w:val="0A5293"/>
                <w:spacing w:val="-2"/>
              </w:rPr>
              <w:t xml:space="preserve"> </w:t>
            </w:r>
            <w:r>
              <w:rPr>
                <w:color w:val="0A5293"/>
              </w:rPr>
              <w:t>National</w:t>
            </w:r>
            <w:r>
              <w:rPr>
                <w:color w:val="0A5293"/>
                <w:spacing w:val="-5"/>
              </w:rPr>
              <w:t xml:space="preserve"> </w:t>
            </w:r>
            <w:r>
              <w:rPr>
                <w:color w:val="0A5293"/>
              </w:rPr>
              <w:t>Youth</w:t>
            </w:r>
            <w:r>
              <w:rPr>
                <w:color w:val="0A5293"/>
                <w:spacing w:val="-5"/>
              </w:rPr>
              <w:t xml:space="preserve"> </w:t>
            </w:r>
            <w:r>
              <w:rPr>
                <w:color w:val="0A5293"/>
                <w:spacing w:val="-2"/>
              </w:rPr>
              <w:t>Hotline</w:t>
            </w:r>
          </w:p>
        </w:tc>
      </w:tr>
    </w:tbl>
    <w:p w:rsidR="00200FDA" w:rsidRDefault="00200FDA">
      <w:pPr>
        <w:pStyle w:val="BodyText"/>
        <w:rPr>
          <w:sz w:val="20"/>
        </w:rPr>
      </w:pPr>
    </w:p>
    <w:p w:rsidR="00200FDA" w:rsidRDefault="00200FDA">
      <w:pPr>
        <w:pStyle w:val="BodyText"/>
        <w:spacing w:before="2"/>
        <w:rPr>
          <w:sz w:val="18"/>
        </w:rPr>
      </w:pPr>
    </w:p>
    <w:p w:rsidR="00200FDA" w:rsidRDefault="00F76C4C">
      <w:pPr>
        <w:pStyle w:val="Heading8"/>
        <w:spacing w:before="52"/>
      </w:pPr>
      <w:bookmarkStart w:id="332" w:name="Sexually_Transmitted_Infections_and_PrEP"/>
      <w:bookmarkStart w:id="333" w:name="_bookmark240"/>
      <w:bookmarkStart w:id="334" w:name="_bookmark241"/>
      <w:bookmarkEnd w:id="332"/>
      <w:bookmarkEnd w:id="333"/>
      <w:bookmarkEnd w:id="334"/>
      <w:r>
        <w:rPr>
          <w:color w:val="0A5293"/>
        </w:rPr>
        <w:t>Sexually</w:t>
      </w:r>
      <w:r>
        <w:rPr>
          <w:color w:val="0A5293"/>
          <w:spacing w:val="-3"/>
        </w:rPr>
        <w:t xml:space="preserve"> </w:t>
      </w:r>
      <w:r>
        <w:rPr>
          <w:color w:val="0A5293"/>
        </w:rPr>
        <w:t>Transmitted</w:t>
      </w:r>
      <w:r>
        <w:rPr>
          <w:color w:val="0A5293"/>
          <w:spacing w:val="-4"/>
        </w:rPr>
        <w:t xml:space="preserve"> </w:t>
      </w:r>
      <w:r>
        <w:rPr>
          <w:color w:val="0A5293"/>
        </w:rPr>
        <w:t>Infections</w:t>
      </w:r>
      <w:r>
        <w:rPr>
          <w:color w:val="0A5293"/>
          <w:spacing w:val="-4"/>
        </w:rPr>
        <w:t xml:space="preserve"> </w:t>
      </w:r>
      <w:r>
        <w:rPr>
          <w:color w:val="0A5293"/>
        </w:rPr>
        <w:t>and</w:t>
      </w:r>
      <w:r>
        <w:rPr>
          <w:color w:val="0A5293"/>
          <w:spacing w:val="-1"/>
        </w:rPr>
        <w:t xml:space="preserve"> </w:t>
      </w:r>
      <w:r>
        <w:rPr>
          <w:color w:val="0A5293"/>
        </w:rPr>
        <w:t>PrEP</w:t>
      </w:r>
      <w:r>
        <w:rPr>
          <w:color w:val="0A5293"/>
          <w:spacing w:val="-1"/>
        </w:rPr>
        <w:t xml:space="preserve"> </w:t>
      </w:r>
      <w:r>
        <w:rPr>
          <w:color w:val="0A5293"/>
          <w:spacing w:val="-2"/>
        </w:rPr>
        <w:t>Interventions</w:t>
      </w:r>
    </w:p>
    <w:p w:rsidR="00200FDA" w:rsidRDefault="00200FDA">
      <w:pPr>
        <w:pStyle w:val="BodyText"/>
        <w:spacing w:before="8"/>
        <w:rPr>
          <w:sz w:val="19"/>
        </w:rPr>
      </w:pPr>
    </w:p>
    <w:p w:rsidR="00200FDA" w:rsidRDefault="00F76C4C">
      <w:pPr>
        <w:pStyle w:val="BodyText"/>
        <w:spacing w:line="276" w:lineRule="auto"/>
        <w:ind w:left="139" w:right="392"/>
        <w:jc w:val="both"/>
      </w:pPr>
      <w:bookmarkStart w:id="335" w:name="_bookmark242"/>
      <w:bookmarkEnd w:id="335"/>
      <w:r>
        <w:t>Sexually</w:t>
      </w:r>
      <w:r>
        <w:rPr>
          <w:spacing w:val="-3"/>
        </w:rPr>
        <w:t xml:space="preserve"> </w:t>
      </w:r>
      <w:r>
        <w:t>transmitted</w:t>
      </w:r>
      <w:r>
        <w:rPr>
          <w:spacing w:val="-5"/>
        </w:rPr>
        <w:t xml:space="preserve"> </w:t>
      </w:r>
      <w:r>
        <w:t>infections</w:t>
      </w:r>
      <w:r>
        <w:rPr>
          <w:spacing w:val="-4"/>
        </w:rPr>
        <w:t xml:space="preserve"> </w:t>
      </w:r>
      <w:r>
        <w:t>(STIs</w:t>
      </w:r>
      <w:r>
        <w:rPr>
          <w:spacing w:val="-7"/>
        </w:rPr>
        <w:t xml:space="preserve"> </w:t>
      </w:r>
      <w:r>
        <w:t>–</w:t>
      </w:r>
      <w:r>
        <w:rPr>
          <w:spacing w:val="-4"/>
        </w:rPr>
        <w:t xml:space="preserve"> </w:t>
      </w:r>
      <w:r>
        <w:t>also</w:t>
      </w:r>
      <w:r>
        <w:rPr>
          <w:spacing w:val="-6"/>
        </w:rPr>
        <w:t xml:space="preserve"> </w:t>
      </w:r>
      <w:r>
        <w:t>known</w:t>
      </w:r>
      <w:r>
        <w:rPr>
          <w:spacing w:val="-5"/>
        </w:rPr>
        <w:t xml:space="preserve"> </w:t>
      </w:r>
      <w:r>
        <w:t>as</w:t>
      </w:r>
      <w:r>
        <w:rPr>
          <w:spacing w:val="-4"/>
        </w:rPr>
        <w:t xml:space="preserve"> </w:t>
      </w:r>
      <w:r>
        <w:t>sexually</w:t>
      </w:r>
      <w:r>
        <w:rPr>
          <w:spacing w:val="-6"/>
        </w:rPr>
        <w:t xml:space="preserve"> </w:t>
      </w:r>
      <w:r>
        <w:t>transmitted</w:t>
      </w:r>
      <w:r>
        <w:rPr>
          <w:spacing w:val="-5"/>
        </w:rPr>
        <w:t xml:space="preserve"> </w:t>
      </w:r>
      <w:r>
        <w:t>diseases</w:t>
      </w:r>
      <w:r>
        <w:rPr>
          <w:spacing w:val="-4"/>
        </w:rPr>
        <w:t xml:space="preserve"> </w:t>
      </w:r>
      <w:r>
        <w:t>or</w:t>
      </w:r>
      <w:r>
        <w:rPr>
          <w:spacing w:val="-4"/>
        </w:rPr>
        <w:t xml:space="preserve"> </w:t>
      </w:r>
      <w:r>
        <w:t>STDs)</w:t>
      </w:r>
      <w:r>
        <w:rPr>
          <w:spacing w:val="-6"/>
        </w:rPr>
        <w:t xml:space="preserve"> </w:t>
      </w:r>
      <w:r>
        <w:t>have</w:t>
      </w:r>
      <w:r>
        <w:rPr>
          <w:spacing w:val="-4"/>
        </w:rPr>
        <w:t xml:space="preserve"> </w:t>
      </w:r>
      <w:r>
        <w:t xml:space="preserve">long </w:t>
      </w:r>
      <w:bookmarkStart w:id="336" w:name="_bookmark243"/>
      <w:bookmarkEnd w:id="336"/>
      <w:r>
        <w:t>been</w:t>
      </w:r>
      <w:r>
        <w:rPr>
          <w:spacing w:val="-12"/>
        </w:rPr>
        <w:t xml:space="preserve"> </w:t>
      </w:r>
      <w:r>
        <w:t>considered</w:t>
      </w:r>
      <w:r>
        <w:rPr>
          <w:spacing w:val="-11"/>
        </w:rPr>
        <w:t xml:space="preserve"> </w:t>
      </w:r>
      <w:r>
        <w:t>a</w:t>
      </w:r>
      <w:r>
        <w:rPr>
          <w:spacing w:val="-11"/>
        </w:rPr>
        <w:t xml:space="preserve"> </w:t>
      </w:r>
      <w:r>
        <w:t>public</w:t>
      </w:r>
      <w:r>
        <w:rPr>
          <w:spacing w:val="-10"/>
        </w:rPr>
        <w:t xml:space="preserve"> </w:t>
      </w:r>
      <w:r>
        <w:t>health</w:t>
      </w:r>
      <w:r>
        <w:rPr>
          <w:spacing w:val="-11"/>
        </w:rPr>
        <w:t xml:space="preserve"> </w:t>
      </w:r>
      <w:r>
        <w:t>crisis,</w:t>
      </w:r>
      <w:r>
        <w:rPr>
          <w:spacing w:val="-10"/>
        </w:rPr>
        <w:t xml:space="preserve"> </w:t>
      </w:r>
      <w:r>
        <w:t>particularly</w:t>
      </w:r>
      <w:r>
        <w:rPr>
          <w:spacing w:val="-10"/>
        </w:rPr>
        <w:t xml:space="preserve"> </w:t>
      </w:r>
      <w:r>
        <w:t>for</w:t>
      </w:r>
      <w:r>
        <w:rPr>
          <w:spacing w:val="-13"/>
        </w:rPr>
        <w:t xml:space="preserve"> </w:t>
      </w:r>
      <w:r>
        <w:t>the</w:t>
      </w:r>
      <w:r>
        <w:rPr>
          <w:spacing w:val="-10"/>
        </w:rPr>
        <w:t xml:space="preserve"> </w:t>
      </w:r>
      <w:r>
        <w:t>15</w:t>
      </w:r>
      <w:r>
        <w:rPr>
          <w:spacing w:val="-9"/>
        </w:rPr>
        <w:t xml:space="preserve"> </w:t>
      </w:r>
      <w:r>
        <w:t>to</w:t>
      </w:r>
      <w:r>
        <w:rPr>
          <w:spacing w:val="-12"/>
        </w:rPr>
        <w:t xml:space="preserve"> </w:t>
      </w:r>
      <w:r>
        <w:t>24</w:t>
      </w:r>
      <w:r>
        <w:rPr>
          <w:spacing w:val="-9"/>
        </w:rPr>
        <w:t xml:space="preserve"> </w:t>
      </w:r>
      <w:r>
        <w:t>age</w:t>
      </w:r>
      <w:r>
        <w:rPr>
          <w:spacing w:val="-10"/>
        </w:rPr>
        <w:t xml:space="preserve"> </w:t>
      </w:r>
      <w:r>
        <w:t>group.</w:t>
      </w:r>
      <w:r>
        <w:rPr>
          <w:spacing w:val="-11"/>
        </w:rPr>
        <w:t xml:space="preserve"> </w:t>
      </w:r>
      <w:r>
        <w:t>According</w:t>
      </w:r>
      <w:r>
        <w:rPr>
          <w:spacing w:val="-11"/>
        </w:rPr>
        <w:t xml:space="preserve"> </w:t>
      </w:r>
      <w:r>
        <w:t>to</w:t>
      </w:r>
      <w:r>
        <w:rPr>
          <w:spacing w:val="-9"/>
        </w:rPr>
        <w:t xml:space="preserve"> </w:t>
      </w:r>
      <w:r>
        <w:t>the</w:t>
      </w:r>
      <w:r>
        <w:rPr>
          <w:spacing w:val="-10"/>
        </w:rPr>
        <w:t xml:space="preserve"> </w:t>
      </w:r>
      <w:r>
        <w:t xml:space="preserve">Centers for Disease Control and Prevention, nationally, youths ages 15 to 24 make up almost half of new STI </w:t>
      </w:r>
      <w:bookmarkStart w:id="337" w:name="_bookmark244"/>
      <w:bookmarkEnd w:id="337"/>
      <w:r>
        <w:t>infections</w:t>
      </w:r>
      <w:r>
        <w:rPr>
          <w:spacing w:val="-10"/>
        </w:rPr>
        <w:t xml:space="preserve"> </w:t>
      </w:r>
      <w:r>
        <w:t>each</w:t>
      </w:r>
      <w:r>
        <w:rPr>
          <w:spacing w:val="-11"/>
        </w:rPr>
        <w:t xml:space="preserve"> </w:t>
      </w:r>
      <w:r>
        <w:t>year.</w:t>
      </w:r>
      <w:hyperlink w:anchor="_bookmark127" w:history="1">
        <w:r>
          <w:rPr>
            <w:vertAlign w:val="superscript"/>
          </w:rPr>
          <w:t>33</w:t>
        </w:r>
      </w:hyperlink>
      <w:r>
        <w:rPr>
          <w:spacing w:val="-2"/>
        </w:rPr>
        <w:t xml:space="preserve"> </w:t>
      </w:r>
      <w:r>
        <w:t>In</w:t>
      </w:r>
      <w:r>
        <w:rPr>
          <w:spacing w:val="-9"/>
        </w:rPr>
        <w:t xml:space="preserve"> </w:t>
      </w:r>
      <w:r>
        <w:t>Massachusetts,</w:t>
      </w:r>
      <w:r>
        <w:rPr>
          <w:spacing w:val="-8"/>
        </w:rPr>
        <w:t xml:space="preserve"> </w:t>
      </w:r>
      <w:r>
        <w:t>chlamydia</w:t>
      </w:r>
      <w:r>
        <w:rPr>
          <w:spacing w:val="-11"/>
        </w:rPr>
        <w:t xml:space="preserve"> </w:t>
      </w:r>
      <w:r>
        <w:t>and</w:t>
      </w:r>
      <w:r>
        <w:rPr>
          <w:spacing w:val="-9"/>
        </w:rPr>
        <w:t xml:space="preserve"> </w:t>
      </w:r>
      <w:r>
        <w:t>gonorrhea</w:t>
      </w:r>
      <w:r>
        <w:rPr>
          <w:spacing w:val="-8"/>
        </w:rPr>
        <w:t xml:space="preserve"> </w:t>
      </w:r>
      <w:r>
        <w:t>are</w:t>
      </w:r>
      <w:r>
        <w:rPr>
          <w:spacing w:val="-10"/>
        </w:rPr>
        <w:t xml:space="preserve"> </w:t>
      </w:r>
      <w:r>
        <w:t>the</w:t>
      </w:r>
      <w:r>
        <w:rPr>
          <w:spacing w:val="-10"/>
        </w:rPr>
        <w:t xml:space="preserve"> </w:t>
      </w:r>
      <w:r>
        <w:t>two</w:t>
      </w:r>
      <w:r>
        <w:rPr>
          <w:spacing w:val="-9"/>
        </w:rPr>
        <w:t xml:space="preserve"> </w:t>
      </w:r>
      <w:r>
        <w:t>most</w:t>
      </w:r>
      <w:r>
        <w:rPr>
          <w:spacing w:val="-7"/>
        </w:rPr>
        <w:t xml:space="preserve"> </w:t>
      </w:r>
      <w:r>
        <w:t>common</w:t>
      </w:r>
      <w:r>
        <w:rPr>
          <w:spacing w:val="-9"/>
        </w:rPr>
        <w:t xml:space="preserve"> </w:t>
      </w:r>
      <w:r>
        <w:t>STIs</w:t>
      </w:r>
      <w:r>
        <w:rPr>
          <w:spacing w:val="-8"/>
        </w:rPr>
        <w:t xml:space="preserve"> </w:t>
      </w:r>
      <w:r>
        <w:t xml:space="preserve">for </w:t>
      </w:r>
      <w:bookmarkStart w:id="338" w:name="_bookmark245"/>
      <w:bookmarkEnd w:id="338"/>
      <w:r>
        <w:t xml:space="preserve">this age group, although public health officials closely monitor rates of HIV, Hepatitis A-B-C, and </w:t>
      </w:r>
      <w:bookmarkStart w:id="339" w:name="_bookmark246"/>
      <w:bookmarkEnd w:id="339"/>
      <w:r>
        <w:t xml:space="preserve">syphilis, as well. </w:t>
      </w:r>
      <w:hyperlink w:anchor="_bookmark128" w:history="1">
        <w:r>
          <w:rPr>
            <w:vertAlign w:val="superscript"/>
          </w:rPr>
          <w:t>34</w:t>
        </w:r>
      </w:hyperlink>
      <w:r>
        <w:rPr>
          <w:spacing w:val="-2"/>
        </w:rPr>
        <w:t xml:space="preserve"> </w:t>
      </w:r>
      <w:r>
        <w:t>If left untreated, STIs can cause several long-term health conditions, making STI prevention</w:t>
      </w:r>
      <w:r>
        <w:rPr>
          <w:spacing w:val="-7"/>
        </w:rPr>
        <w:t xml:space="preserve"> </w:t>
      </w:r>
      <w:r>
        <w:t>and</w:t>
      </w:r>
      <w:r>
        <w:rPr>
          <w:spacing w:val="-7"/>
        </w:rPr>
        <w:t xml:space="preserve"> </w:t>
      </w:r>
      <w:r>
        <w:t>treatment</w:t>
      </w:r>
      <w:r>
        <w:rPr>
          <w:spacing w:val="-9"/>
        </w:rPr>
        <w:t xml:space="preserve"> </w:t>
      </w:r>
      <w:r>
        <w:t>of</w:t>
      </w:r>
      <w:r>
        <w:rPr>
          <w:spacing w:val="-7"/>
        </w:rPr>
        <w:t xml:space="preserve"> </w:t>
      </w:r>
      <w:r>
        <w:t>particular</w:t>
      </w:r>
      <w:r>
        <w:rPr>
          <w:spacing w:val="-7"/>
        </w:rPr>
        <w:t xml:space="preserve"> </w:t>
      </w:r>
      <w:r>
        <w:t>interest</w:t>
      </w:r>
      <w:r>
        <w:rPr>
          <w:spacing w:val="-6"/>
        </w:rPr>
        <w:t xml:space="preserve"> </w:t>
      </w:r>
      <w:r>
        <w:t>to</w:t>
      </w:r>
      <w:r>
        <w:rPr>
          <w:spacing w:val="-5"/>
        </w:rPr>
        <w:t xml:space="preserve"> </w:t>
      </w:r>
      <w:r>
        <w:t>public</w:t>
      </w:r>
      <w:r>
        <w:rPr>
          <w:spacing w:val="-7"/>
        </w:rPr>
        <w:t xml:space="preserve"> </w:t>
      </w:r>
      <w:r>
        <w:t>health</w:t>
      </w:r>
      <w:r>
        <w:rPr>
          <w:spacing w:val="-7"/>
        </w:rPr>
        <w:t xml:space="preserve"> </w:t>
      </w:r>
      <w:r>
        <w:t>officials.</w:t>
      </w:r>
      <w:r>
        <w:rPr>
          <w:spacing w:val="-7"/>
        </w:rPr>
        <w:t xml:space="preserve"> </w:t>
      </w:r>
      <w:r>
        <w:t>Unfortunately,</w:t>
      </w:r>
      <w:r>
        <w:rPr>
          <w:spacing w:val="-7"/>
        </w:rPr>
        <w:t xml:space="preserve"> </w:t>
      </w:r>
      <w:r>
        <w:t>although</w:t>
      </w:r>
      <w:r>
        <w:rPr>
          <w:spacing w:val="-7"/>
        </w:rPr>
        <w:t xml:space="preserve"> </w:t>
      </w:r>
      <w:r>
        <w:t xml:space="preserve">STIs </w:t>
      </w:r>
      <w:bookmarkStart w:id="340" w:name="_bookmark247"/>
      <w:bookmarkStart w:id="341" w:name="_bookmark248"/>
      <w:bookmarkEnd w:id="340"/>
      <w:bookmarkEnd w:id="341"/>
      <w:r>
        <w:t>are largely preventable and treatable, many LGBTQ youths are not able</w:t>
      </w:r>
      <w:r>
        <w:t xml:space="preserve"> to access STI testing, treatment, or prophylactic measures. LGBTQ youth of color, transgender youth, low-income LGBTQ youth,</w:t>
      </w:r>
      <w:r>
        <w:rPr>
          <w:spacing w:val="-10"/>
        </w:rPr>
        <w:t xml:space="preserve"> </w:t>
      </w:r>
      <w:r>
        <w:t>and</w:t>
      </w:r>
      <w:r>
        <w:rPr>
          <w:spacing w:val="-13"/>
        </w:rPr>
        <w:t xml:space="preserve"> </w:t>
      </w:r>
      <w:r>
        <w:t>LGBTQ</w:t>
      </w:r>
      <w:r>
        <w:rPr>
          <w:spacing w:val="-10"/>
        </w:rPr>
        <w:t xml:space="preserve"> </w:t>
      </w:r>
      <w:r>
        <w:t>youth</w:t>
      </w:r>
      <w:r>
        <w:rPr>
          <w:spacing w:val="-11"/>
        </w:rPr>
        <w:t xml:space="preserve"> </w:t>
      </w:r>
      <w:r>
        <w:t>at</w:t>
      </w:r>
      <w:r>
        <w:rPr>
          <w:spacing w:val="-12"/>
        </w:rPr>
        <w:t xml:space="preserve"> </w:t>
      </w:r>
      <w:r>
        <w:t>the</w:t>
      </w:r>
      <w:r>
        <w:rPr>
          <w:spacing w:val="-10"/>
        </w:rPr>
        <w:t xml:space="preserve"> </w:t>
      </w:r>
      <w:r>
        <w:t>intersection</w:t>
      </w:r>
      <w:r>
        <w:rPr>
          <w:spacing w:val="-11"/>
        </w:rPr>
        <w:t xml:space="preserve"> </w:t>
      </w:r>
      <w:r>
        <w:t>of</w:t>
      </w:r>
      <w:r>
        <w:rPr>
          <w:spacing w:val="-13"/>
        </w:rPr>
        <w:t xml:space="preserve"> </w:t>
      </w:r>
      <w:r>
        <w:t>these</w:t>
      </w:r>
      <w:r>
        <w:rPr>
          <w:spacing w:val="-11"/>
        </w:rPr>
        <w:t xml:space="preserve"> </w:t>
      </w:r>
      <w:r>
        <w:t>identities,</w:t>
      </w:r>
      <w:r>
        <w:rPr>
          <w:spacing w:val="-13"/>
        </w:rPr>
        <w:t xml:space="preserve"> </w:t>
      </w:r>
      <w:r>
        <w:t>are</w:t>
      </w:r>
      <w:r>
        <w:rPr>
          <w:spacing w:val="-9"/>
        </w:rPr>
        <w:t xml:space="preserve"> </w:t>
      </w:r>
      <w:r>
        <w:t>at</w:t>
      </w:r>
      <w:r>
        <w:rPr>
          <w:spacing w:val="-12"/>
        </w:rPr>
        <w:t xml:space="preserve"> </w:t>
      </w:r>
      <w:r>
        <w:t>an</w:t>
      </w:r>
      <w:r>
        <w:rPr>
          <w:spacing w:val="-11"/>
        </w:rPr>
        <w:t xml:space="preserve"> </w:t>
      </w:r>
      <w:r>
        <w:t>increased</w:t>
      </w:r>
      <w:r>
        <w:rPr>
          <w:spacing w:val="-11"/>
        </w:rPr>
        <w:t xml:space="preserve"> </w:t>
      </w:r>
      <w:r>
        <w:t>risk</w:t>
      </w:r>
      <w:r>
        <w:rPr>
          <w:spacing w:val="-10"/>
        </w:rPr>
        <w:t xml:space="preserve"> </w:t>
      </w:r>
      <w:r>
        <w:t>for</w:t>
      </w:r>
      <w:r>
        <w:rPr>
          <w:spacing w:val="-11"/>
        </w:rPr>
        <w:t xml:space="preserve"> </w:t>
      </w:r>
      <w:r>
        <w:t>STI</w:t>
      </w:r>
      <w:r>
        <w:rPr>
          <w:spacing w:val="-11"/>
        </w:rPr>
        <w:t xml:space="preserve"> </w:t>
      </w:r>
      <w:r>
        <w:t>infection</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F76C4C">
      <w:pPr>
        <w:pStyle w:val="BodyText"/>
        <w:spacing w:before="154" w:line="276" w:lineRule="auto"/>
        <w:ind w:left="139" w:right="397"/>
        <w:jc w:val="both"/>
      </w:pPr>
      <w:r>
        <w:lastRenderedPageBreak/>
        <w:t>and lack of access to testing and treatment.</w:t>
      </w:r>
      <w:r>
        <w:rPr>
          <w:spacing w:val="-13"/>
        </w:rPr>
        <w:t xml:space="preserve"> </w:t>
      </w:r>
      <w:hyperlink w:anchor="_bookmark129" w:history="1">
        <w:r>
          <w:rPr>
            <w:vertAlign w:val="superscript"/>
          </w:rPr>
          <w:t>35</w:t>
        </w:r>
      </w:hyperlink>
      <w:r>
        <w:t xml:space="preserve"> According to the 2021 Massachusetts Youth Risk </w:t>
      </w:r>
      <w:bookmarkStart w:id="342" w:name="_bookmark250"/>
      <w:bookmarkStart w:id="343" w:name="_bookmark251"/>
      <w:bookmarkEnd w:id="342"/>
      <w:bookmarkEnd w:id="343"/>
      <w:r>
        <w:t>Behavior</w:t>
      </w:r>
      <w:r>
        <w:rPr>
          <w:spacing w:val="-6"/>
        </w:rPr>
        <w:t xml:space="preserve"> </w:t>
      </w:r>
      <w:r>
        <w:t>Survey,</w:t>
      </w:r>
      <w:r>
        <w:rPr>
          <w:spacing w:val="-8"/>
        </w:rPr>
        <w:t xml:space="preserve"> </w:t>
      </w:r>
      <w:r>
        <w:t>only</w:t>
      </w:r>
      <w:r>
        <w:rPr>
          <w:spacing w:val="-7"/>
        </w:rPr>
        <w:t xml:space="preserve"> </w:t>
      </w:r>
      <w:r>
        <w:t>6.8%</w:t>
      </w:r>
      <w:r>
        <w:rPr>
          <w:spacing w:val="-7"/>
        </w:rPr>
        <w:t xml:space="preserve"> </w:t>
      </w:r>
      <w:r>
        <w:t>of</w:t>
      </w:r>
      <w:r>
        <w:rPr>
          <w:spacing w:val="-6"/>
        </w:rPr>
        <w:t xml:space="preserve"> </w:t>
      </w:r>
      <w:r>
        <w:t>LGBTQ</w:t>
      </w:r>
      <w:r>
        <w:rPr>
          <w:spacing w:val="-8"/>
        </w:rPr>
        <w:t xml:space="preserve"> </w:t>
      </w:r>
      <w:r>
        <w:t>youth</w:t>
      </w:r>
      <w:r>
        <w:rPr>
          <w:spacing w:val="-6"/>
        </w:rPr>
        <w:t xml:space="preserve"> </w:t>
      </w:r>
      <w:r>
        <w:t>have</w:t>
      </w:r>
      <w:r>
        <w:rPr>
          <w:spacing w:val="-6"/>
        </w:rPr>
        <w:t xml:space="preserve"> </w:t>
      </w:r>
      <w:r>
        <w:t>ever</w:t>
      </w:r>
      <w:r>
        <w:rPr>
          <w:spacing w:val="-11"/>
        </w:rPr>
        <w:t xml:space="preserve"> </w:t>
      </w:r>
      <w:r>
        <w:t>been</w:t>
      </w:r>
      <w:r>
        <w:rPr>
          <w:spacing w:val="-6"/>
        </w:rPr>
        <w:t xml:space="preserve"> </w:t>
      </w:r>
      <w:r>
        <w:t>tested</w:t>
      </w:r>
      <w:r>
        <w:rPr>
          <w:spacing w:val="-6"/>
        </w:rPr>
        <w:t xml:space="preserve"> </w:t>
      </w:r>
      <w:r>
        <w:t>for</w:t>
      </w:r>
      <w:r>
        <w:rPr>
          <w:spacing w:val="-6"/>
        </w:rPr>
        <w:t xml:space="preserve"> </w:t>
      </w:r>
      <w:r>
        <w:t>an</w:t>
      </w:r>
      <w:r>
        <w:rPr>
          <w:spacing w:val="-6"/>
        </w:rPr>
        <w:t xml:space="preserve"> </w:t>
      </w:r>
      <w:r>
        <w:t>STI</w:t>
      </w:r>
      <w:r>
        <w:rPr>
          <w:spacing w:val="-7"/>
        </w:rPr>
        <w:t xml:space="preserve"> </w:t>
      </w:r>
      <w:r>
        <w:t>other</w:t>
      </w:r>
      <w:r>
        <w:rPr>
          <w:spacing w:val="-6"/>
        </w:rPr>
        <w:t xml:space="preserve"> </w:t>
      </w:r>
      <w:r>
        <w:t>than</w:t>
      </w:r>
      <w:r>
        <w:rPr>
          <w:spacing w:val="-6"/>
        </w:rPr>
        <w:t xml:space="preserve"> </w:t>
      </w:r>
      <w:r>
        <w:t>HIV</w:t>
      </w:r>
      <w:r>
        <w:rPr>
          <w:spacing w:val="-6"/>
        </w:rPr>
        <w:t xml:space="preserve"> </w:t>
      </w:r>
      <w:r>
        <w:t xml:space="preserve">(including </w:t>
      </w:r>
      <w:bookmarkStart w:id="344" w:name="_bookmark252"/>
      <w:bookmarkEnd w:id="344"/>
      <w:r>
        <w:t>gonorrhea</w:t>
      </w:r>
      <w:r>
        <w:rPr>
          <w:spacing w:val="-13"/>
        </w:rPr>
        <w:t xml:space="preserve"> </w:t>
      </w:r>
      <w:r>
        <w:t>and</w:t>
      </w:r>
      <w:r>
        <w:rPr>
          <w:spacing w:val="-12"/>
        </w:rPr>
        <w:t xml:space="preserve"> </w:t>
      </w:r>
      <w:r>
        <w:t>chlamydia).</w:t>
      </w:r>
      <w:hyperlink w:anchor="_bookmark130" w:history="1">
        <w:r>
          <w:rPr>
            <w:vertAlign w:val="superscript"/>
          </w:rPr>
          <w:t>36</w:t>
        </w:r>
      </w:hyperlink>
      <w:r>
        <w:rPr>
          <w:spacing w:val="-2"/>
        </w:rPr>
        <w:t xml:space="preserve"> </w:t>
      </w:r>
      <w:r>
        <w:t>Among</w:t>
      </w:r>
      <w:r>
        <w:rPr>
          <w:spacing w:val="-11"/>
        </w:rPr>
        <w:t xml:space="preserve"> </w:t>
      </w:r>
      <w:r>
        <w:t>high</w:t>
      </w:r>
      <w:r>
        <w:rPr>
          <w:spacing w:val="-11"/>
        </w:rPr>
        <w:t xml:space="preserve"> </w:t>
      </w:r>
      <w:r>
        <w:t>school-age</w:t>
      </w:r>
      <w:r>
        <w:rPr>
          <w:spacing w:val="-10"/>
        </w:rPr>
        <w:t xml:space="preserve"> </w:t>
      </w:r>
      <w:r>
        <w:t>LGBTQ</w:t>
      </w:r>
      <w:r>
        <w:rPr>
          <w:spacing w:val="-10"/>
        </w:rPr>
        <w:t xml:space="preserve"> </w:t>
      </w:r>
      <w:r>
        <w:t>youth</w:t>
      </w:r>
      <w:r>
        <w:rPr>
          <w:spacing w:val="-13"/>
        </w:rPr>
        <w:t xml:space="preserve"> </w:t>
      </w:r>
      <w:r>
        <w:t>of</w:t>
      </w:r>
      <w:r>
        <w:rPr>
          <w:spacing w:val="-10"/>
        </w:rPr>
        <w:t xml:space="preserve"> </w:t>
      </w:r>
      <w:r>
        <w:t>color,</w:t>
      </w:r>
      <w:r>
        <w:rPr>
          <w:spacing w:val="-13"/>
        </w:rPr>
        <w:t xml:space="preserve"> </w:t>
      </w:r>
      <w:r>
        <w:t>only</w:t>
      </w:r>
      <w:r>
        <w:rPr>
          <w:spacing w:val="-11"/>
        </w:rPr>
        <w:t xml:space="preserve"> </w:t>
      </w:r>
      <w:r>
        <w:t>10.9%</w:t>
      </w:r>
      <w:r>
        <w:rPr>
          <w:spacing w:val="-12"/>
        </w:rPr>
        <w:t xml:space="preserve"> </w:t>
      </w:r>
      <w:r>
        <w:t>of</w:t>
      </w:r>
      <w:r>
        <w:rPr>
          <w:spacing w:val="-11"/>
        </w:rPr>
        <w:t xml:space="preserve"> </w:t>
      </w:r>
      <w:r>
        <w:t xml:space="preserve">respondents </w:t>
      </w:r>
      <w:bookmarkStart w:id="345" w:name="_bookmark253"/>
      <w:bookmarkEnd w:id="345"/>
      <w:r>
        <w:t>have ever been tested for an STI other than HIV.</w:t>
      </w:r>
      <w:hyperlink w:anchor="_bookmark131" w:history="1">
        <w:r>
          <w:rPr>
            <w:vertAlign w:val="superscript"/>
          </w:rPr>
          <w:t>37</w:t>
        </w:r>
      </w:hyperlink>
      <w:r>
        <w:rPr>
          <w:spacing w:val="-2"/>
        </w:rPr>
        <w:t xml:space="preserve"> </w:t>
      </w:r>
      <w:r>
        <w:t>Testing rates were lowest amongst Asian (6.5%) and multi-racial non-His</w:t>
      </w:r>
      <w:r>
        <w:t>panic/Latinx (11.6%) respondents.</w:t>
      </w:r>
      <w:hyperlink w:anchor="_bookmark132" w:history="1">
        <w:r>
          <w:rPr>
            <w:vertAlign w:val="superscript"/>
          </w:rPr>
          <w:t>38</w:t>
        </w:r>
      </w:hyperlink>
    </w:p>
    <w:p w:rsidR="00200FDA" w:rsidRDefault="00200FDA">
      <w:pPr>
        <w:pStyle w:val="BodyText"/>
        <w:spacing w:before="7"/>
        <w:rPr>
          <w:sz w:val="19"/>
        </w:rPr>
      </w:pPr>
    </w:p>
    <w:p w:rsidR="00200FDA" w:rsidRDefault="00F76C4C">
      <w:pPr>
        <w:pStyle w:val="BodyText"/>
        <w:spacing w:line="276" w:lineRule="auto"/>
        <w:ind w:left="139" w:right="394"/>
        <w:jc w:val="both"/>
      </w:pPr>
      <w:r>
        <w:t>There are a number of reasons why STI rates remain so high among youths ages 15 to 24. One such reason is a lack of knowledge about STIs and how to prevent them.</w:t>
      </w:r>
      <w:hyperlink w:anchor="_bookmark133" w:history="1">
        <w:r>
          <w:rPr>
            <w:vertAlign w:val="superscript"/>
          </w:rPr>
          <w:t>39</w:t>
        </w:r>
      </w:hyperlink>
      <w:r>
        <w:t xml:space="preserve"> Like with intimate partner violence, LGBTQ youth are simply not receiving the quality education that they need to be able to make informed and safe decisions about their sexual health. LGBTQ youth are at a particular disadv</w:t>
      </w:r>
      <w:r>
        <w:t>antage, as only 6.7% of youth nationally report receiving LGBTQ-inclusive sex education in school.</w:t>
      </w:r>
      <w:hyperlink w:anchor="_bookmark134" w:history="1">
        <w:r>
          <w:rPr>
            <w:vertAlign w:val="superscript"/>
          </w:rPr>
          <w:t>40</w:t>
        </w:r>
      </w:hyperlink>
      <w:r>
        <w:rPr>
          <w:spacing w:val="-1"/>
        </w:rPr>
        <w:t xml:space="preserve"> </w:t>
      </w:r>
      <w:r>
        <w:t>In</w:t>
      </w:r>
      <w:r>
        <w:rPr>
          <w:spacing w:val="-1"/>
        </w:rPr>
        <w:t xml:space="preserve"> </w:t>
      </w:r>
      <w:r>
        <w:t>Massachusetts,</w:t>
      </w:r>
      <w:r>
        <w:rPr>
          <w:spacing w:val="-2"/>
        </w:rPr>
        <w:t xml:space="preserve"> </w:t>
      </w:r>
      <w:r>
        <w:t>only</w:t>
      </w:r>
      <w:r>
        <w:rPr>
          <w:spacing w:val="-1"/>
        </w:rPr>
        <w:t xml:space="preserve"> </w:t>
      </w:r>
      <w:r>
        <w:t>40.2%</w:t>
      </w:r>
      <w:r>
        <w:rPr>
          <w:spacing w:val="-2"/>
        </w:rPr>
        <w:t xml:space="preserve"> </w:t>
      </w:r>
      <w:r>
        <w:t>of</w:t>
      </w:r>
      <w:r>
        <w:rPr>
          <w:spacing w:val="-2"/>
        </w:rPr>
        <w:t xml:space="preserve"> </w:t>
      </w:r>
      <w:r>
        <w:t>LGBTQ</w:t>
      </w:r>
      <w:r>
        <w:rPr>
          <w:spacing w:val="-2"/>
        </w:rPr>
        <w:t xml:space="preserve"> </w:t>
      </w:r>
      <w:r>
        <w:t>youth</w:t>
      </w:r>
      <w:r>
        <w:rPr>
          <w:spacing w:val="-3"/>
        </w:rPr>
        <w:t xml:space="preserve"> </w:t>
      </w:r>
      <w:r>
        <w:t>have</w:t>
      </w:r>
      <w:r>
        <w:rPr>
          <w:spacing w:val="-2"/>
        </w:rPr>
        <w:t xml:space="preserve"> </w:t>
      </w:r>
      <w:r>
        <w:t>ever received</w:t>
      </w:r>
      <w:r>
        <w:rPr>
          <w:spacing w:val="-1"/>
        </w:rPr>
        <w:t xml:space="preserve"> </w:t>
      </w:r>
      <w:r>
        <w:t>education</w:t>
      </w:r>
      <w:r>
        <w:rPr>
          <w:spacing w:val="-1"/>
        </w:rPr>
        <w:t xml:space="preserve"> </w:t>
      </w:r>
      <w:r>
        <w:t>in</w:t>
      </w:r>
      <w:r>
        <w:rPr>
          <w:spacing w:val="-1"/>
        </w:rPr>
        <w:t xml:space="preserve"> </w:t>
      </w:r>
      <w:r>
        <w:t>school about how to correctly use a</w:t>
      </w:r>
      <w:r>
        <w:rPr>
          <w:spacing w:val="-3"/>
        </w:rPr>
        <w:t xml:space="preserve"> </w:t>
      </w:r>
      <w:r>
        <w:t>condom.</w:t>
      </w:r>
      <w:hyperlink w:anchor="_bookmark135" w:history="1">
        <w:r>
          <w:rPr>
            <w:vertAlign w:val="superscript"/>
          </w:rPr>
          <w:t>41</w:t>
        </w:r>
      </w:hyperlink>
      <w:r>
        <w:rPr>
          <w:spacing w:val="-2"/>
        </w:rPr>
        <w:t xml:space="preserve"> </w:t>
      </w:r>
      <w:r>
        <w:t>While</w:t>
      </w:r>
      <w:r>
        <w:rPr>
          <w:spacing w:val="-1"/>
        </w:rPr>
        <w:t xml:space="preserve"> </w:t>
      </w:r>
      <w:r>
        <w:t>school</w:t>
      </w:r>
      <w:r>
        <w:rPr>
          <w:spacing w:val="-1"/>
        </w:rPr>
        <w:t xml:space="preserve"> </w:t>
      </w:r>
      <w:r>
        <w:t>is</w:t>
      </w:r>
      <w:r>
        <w:rPr>
          <w:spacing w:val="-1"/>
        </w:rPr>
        <w:t xml:space="preserve"> </w:t>
      </w:r>
      <w:r>
        <w:t>not the only place that</w:t>
      </w:r>
      <w:r>
        <w:rPr>
          <w:spacing w:val="-3"/>
        </w:rPr>
        <w:t xml:space="preserve"> </w:t>
      </w:r>
      <w:r>
        <w:t>youth</w:t>
      </w:r>
      <w:r>
        <w:rPr>
          <w:spacing w:val="-4"/>
        </w:rPr>
        <w:t xml:space="preserve"> </w:t>
      </w:r>
      <w:r>
        <w:t>may learn</w:t>
      </w:r>
      <w:r>
        <w:rPr>
          <w:spacing w:val="-2"/>
        </w:rPr>
        <w:t xml:space="preserve"> </w:t>
      </w:r>
      <w:r>
        <w:t>about safer sex practices, this lack of education likely contributes to low rates of prophylactic use. Among Massachusetts</w:t>
      </w:r>
      <w:r>
        <w:rPr>
          <w:spacing w:val="-1"/>
        </w:rPr>
        <w:t xml:space="preserve"> </w:t>
      </w:r>
      <w:r>
        <w:t>LGBTQ youth of color,</w:t>
      </w:r>
      <w:r>
        <w:rPr>
          <w:spacing w:val="-1"/>
        </w:rPr>
        <w:t xml:space="preserve"> </w:t>
      </w:r>
      <w:r>
        <w:t>only 38.9% of respondent</w:t>
      </w:r>
      <w:r>
        <w:t>s used a</w:t>
      </w:r>
      <w:r>
        <w:rPr>
          <w:spacing w:val="-1"/>
        </w:rPr>
        <w:t xml:space="preserve"> </w:t>
      </w:r>
      <w:r>
        <w:t>condom during the last time they</w:t>
      </w:r>
      <w:r>
        <w:rPr>
          <w:spacing w:val="-8"/>
        </w:rPr>
        <w:t xml:space="preserve"> </w:t>
      </w:r>
      <w:r>
        <w:t>had</w:t>
      </w:r>
      <w:r>
        <w:rPr>
          <w:spacing w:val="-7"/>
        </w:rPr>
        <w:t xml:space="preserve"> </w:t>
      </w:r>
      <w:r>
        <w:t>sexual</w:t>
      </w:r>
      <w:r>
        <w:rPr>
          <w:spacing w:val="-7"/>
        </w:rPr>
        <w:t xml:space="preserve"> </w:t>
      </w:r>
      <w:r>
        <w:t>intercourse.</w:t>
      </w:r>
      <w:hyperlink w:anchor="_bookmark136" w:history="1">
        <w:r>
          <w:rPr>
            <w:vertAlign w:val="superscript"/>
          </w:rPr>
          <w:t>42</w:t>
        </w:r>
      </w:hyperlink>
      <w:r>
        <w:rPr>
          <w:spacing w:val="-3"/>
        </w:rPr>
        <w:t xml:space="preserve"> </w:t>
      </w:r>
      <w:r>
        <w:t>Condom</w:t>
      </w:r>
      <w:r>
        <w:rPr>
          <w:spacing w:val="-5"/>
        </w:rPr>
        <w:t xml:space="preserve"> </w:t>
      </w:r>
      <w:r>
        <w:t>use</w:t>
      </w:r>
      <w:r>
        <w:rPr>
          <w:spacing w:val="-8"/>
        </w:rPr>
        <w:t xml:space="preserve"> </w:t>
      </w:r>
      <w:r>
        <w:t>was</w:t>
      </w:r>
      <w:r>
        <w:rPr>
          <w:spacing w:val="-7"/>
        </w:rPr>
        <w:t xml:space="preserve"> </w:t>
      </w:r>
      <w:r>
        <w:t>lowest</w:t>
      </w:r>
      <w:r>
        <w:rPr>
          <w:spacing w:val="-9"/>
        </w:rPr>
        <w:t xml:space="preserve"> </w:t>
      </w:r>
      <w:r>
        <w:t>among</w:t>
      </w:r>
      <w:r>
        <w:rPr>
          <w:spacing w:val="-10"/>
        </w:rPr>
        <w:t xml:space="preserve"> </w:t>
      </w:r>
      <w:r>
        <w:t>Hispanic/Latinx</w:t>
      </w:r>
      <w:r>
        <w:rPr>
          <w:spacing w:val="-9"/>
        </w:rPr>
        <w:t xml:space="preserve"> </w:t>
      </w:r>
      <w:r>
        <w:t>(28.6%)</w:t>
      </w:r>
      <w:r>
        <w:rPr>
          <w:spacing w:val="-6"/>
        </w:rPr>
        <w:t xml:space="preserve"> </w:t>
      </w:r>
      <w:r>
        <w:t>and</w:t>
      </w:r>
      <w:r>
        <w:rPr>
          <w:spacing w:val="-10"/>
        </w:rPr>
        <w:t xml:space="preserve"> </w:t>
      </w:r>
      <w:r>
        <w:t>multiracial Hispanic/Latinx (16.3%) respondents.</w:t>
      </w:r>
      <w:hyperlink w:anchor="_bookmark139" w:history="1">
        <w:r>
          <w:rPr>
            <w:vertAlign w:val="superscript"/>
          </w:rPr>
          <w:t>43</w:t>
        </w:r>
      </w:hyperlink>
    </w:p>
    <w:p w:rsidR="00200FDA" w:rsidRDefault="00200FDA">
      <w:pPr>
        <w:pStyle w:val="BodyText"/>
        <w:spacing w:before="9"/>
        <w:rPr>
          <w:sz w:val="19"/>
        </w:rPr>
      </w:pPr>
    </w:p>
    <w:p w:rsidR="00200FDA" w:rsidRDefault="00F76C4C">
      <w:pPr>
        <w:pStyle w:val="BodyText"/>
        <w:spacing w:line="276" w:lineRule="auto"/>
        <w:ind w:left="140" w:right="396"/>
        <w:jc w:val="both"/>
      </w:pPr>
      <w:r>
        <w:t>At the individual and interpersonal levels, the most effective intervention has been comprehensive sexuality</w:t>
      </w:r>
      <w:r>
        <w:rPr>
          <w:spacing w:val="-6"/>
        </w:rPr>
        <w:t xml:space="preserve"> </w:t>
      </w:r>
      <w:r>
        <w:t>education</w:t>
      </w:r>
      <w:r>
        <w:rPr>
          <w:spacing w:val="-3"/>
        </w:rPr>
        <w:t xml:space="preserve"> </w:t>
      </w:r>
      <w:r>
        <w:t>that</w:t>
      </w:r>
      <w:r>
        <w:rPr>
          <w:spacing w:val="-1"/>
        </w:rPr>
        <w:t xml:space="preserve"> </w:t>
      </w:r>
      <w:r>
        <w:t>includes</w:t>
      </w:r>
      <w:r>
        <w:rPr>
          <w:spacing w:val="-2"/>
        </w:rPr>
        <w:t xml:space="preserve"> </w:t>
      </w:r>
      <w:r>
        <w:t>not</w:t>
      </w:r>
      <w:r>
        <w:rPr>
          <w:spacing w:val="-4"/>
        </w:rPr>
        <w:t xml:space="preserve"> </w:t>
      </w:r>
      <w:r>
        <w:t>only</w:t>
      </w:r>
      <w:r>
        <w:rPr>
          <w:spacing w:val="-4"/>
        </w:rPr>
        <w:t xml:space="preserve"> </w:t>
      </w:r>
      <w:r>
        <w:t>information</w:t>
      </w:r>
      <w:r>
        <w:rPr>
          <w:spacing w:val="-8"/>
        </w:rPr>
        <w:t xml:space="preserve"> </w:t>
      </w:r>
      <w:r>
        <w:t>about</w:t>
      </w:r>
      <w:r>
        <w:rPr>
          <w:spacing w:val="-1"/>
        </w:rPr>
        <w:t xml:space="preserve"> </w:t>
      </w:r>
      <w:r>
        <w:t>STIs,</w:t>
      </w:r>
      <w:r>
        <w:rPr>
          <w:spacing w:val="-4"/>
        </w:rPr>
        <w:t xml:space="preserve"> </w:t>
      </w:r>
      <w:r>
        <w:t>barrier</w:t>
      </w:r>
      <w:r>
        <w:rPr>
          <w:spacing w:val="-7"/>
        </w:rPr>
        <w:t xml:space="preserve"> </w:t>
      </w:r>
      <w:r>
        <w:t>methods,</w:t>
      </w:r>
      <w:r>
        <w:rPr>
          <w:spacing w:val="-4"/>
        </w:rPr>
        <w:t xml:space="preserve"> </w:t>
      </w:r>
      <w:r>
        <w:t>PrEP,</w:t>
      </w:r>
      <w:r>
        <w:rPr>
          <w:spacing w:val="-4"/>
        </w:rPr>
        <w:t xml:space="preserve"> </w:t>
      </w:r>
      <w:r>
        <w:t>and</w:t>
      </w:r>
      <w:r>
        <w:rPr>
          <w:spacing w:val="-3"/>
        </w:rPr>
        <w:t xml:space="preserve"> </w:t>
      </w:r>
      <w:r>
        <w:t xml:space="preserve">testing, but also information and skill building around how to </w:t>
      </w:r>
      <w:r>
        <w:t>negotiate safer sex with a partner.</w:t>
      </w:r>
      <w:hyperlink w:anchor="_bookmark138" w:history="1">
        <w:r>
          <w:rPr>
            <w:vertAlign w:val="superscript"/>
          </w:rPr>
          <w:t>44</w:t>
        </w:r>
      </w:hyperlink>
      <w:r>
        <w:rPr>
          <w:spacing w:val="-2"/>
        </w:rPr>
        <w:t xml:space="preserve"> </w:t>
      </w:r>
      <w:r>
        <w:t>However,</w:t>
      </w:r>
    </w:p>
    <w:p w:rsidR="00200FDA" w:rsidRDefault="00F76C4C">
      <w:pPr>
        <w:pStyle w:val="BodyText"/>
        <w:spacing w:line="276" w:lineRule="auto"/>
        <w:ind w:left="4390" w:right="393"/>
        <w:jc w:val="both"/>
      </w:pPr>
      <w:r>
        <w:rPr>
          <w:noProof/>
        </w:rPr>
        <w:drawing>
          <wp:anchor distT="0" distB="0" distL="0" distR="0" simplePos="0" relativeHeight="15750144" behindDoc="0" locked="0" layoutInCell="1" allowOverlap="1">
            <wp:simplePos x="0" y="0"/>
            <wp:positionH relativeFrom="page">
              <wp:posOffset>965199</wp:posOffset>
            </wp:positionH>
            <wp:positionV relativeFrom="paragraph">
              <wp:posOffset>353656</wp:posOffset>
            </wp:positionV>
            <wp:extent cx="2527300" cy="2003550"/>
            <wp:effectExtent l="0" t="0" r="0" b="0"/>
            <wp:wrapNone/>
            <wp:docPr id="17"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jpeg"/>
                    <pic:cNvPicPr/>
                  </pic:nvPicPr>
                  <pic:blipFill>
                    <a:blip r:embed="rId176" cstate="print"/>
                    <a:stretch>
                      <a:fillRect/>
                    </a:stretch>
                  </pic:blipFill>
                  <pic:spPr>
                    <a:xfrm>
                      <a:off x="0" y="0"/>
                      <a:ext cx="2527300" cy="2003550"/>
                    </a:xfrm>
                    <a:prstGeom prst="rect">
                      <a:avLst/>
                    </a:prstGeom>
                  </pic:spPr>
                </pic:pic>
              </a:graphicData>
            </a:graphic>
          </wp:anchor>
        </w:drawing>
      </w:r>
      <w:r>
        <w:t>high rates of STIs are not only due to individual knowledge,</w:t>
      </w:r>
      <w:r>
        <w:rPr>
          <w:spacing w:val="-13"/>
        </w:rPr>
        <w:t xml:space="preserve"> </w:t>
      </w:r>
      <w:r>
        <w:t>but</w:t>
      </w:r>
      <w:r>
        <w:rPr>
          <w:spacing w:val="-12"/>
        </w:rPr>
        <w:t xml:space="preserve"> </w:t>
      </w:r>
      <w:r>
        <w:t>also</w:t>
      </w:r>
      <w:r>
        <w:rPr>
          <w:spacing w:val="-13"/>
        </w:rPr>
        <w:t xml:space="preserve"> </w:t>
      </w:r>
      <w:r>
        <w:t>due</w:t>
      </w:r>
      <w:r>
        <w:rPr>
          <w:spacing w:val="-12"/>
        </w:rPr>
        <w:t xml:space="preserve"> </w:t>
      </w:r>
      <w:r>
        <w:t>to</w:t>
      </w:r>
      <w:r>
        <w:rPr>
          <w:spacing w:val="-13"/>
        </w:rPr>
        <w:t xml:space="preserve"> </w:t>
      </w:r>
      <w:r>
        <w:t>structural</w:t>
      </w:r>
      <w:r>
        <w:rPr>
          <w:spacing w:val="-12"/>
        </w:rPr>
        <w:t xml:space="preserve"> </w:t>
      </w:r>
      <w:r>
        <w:t>access</w:t>
      </w:r>
      <w:r>
        <w:rPr>
          <w:spacing w:val="-13"/>
        </w:rPr>
        <w:t xml:space="preserve"> </w:t>
      </w:r>
      <w:r>
        <w:t>issues.</w:t>
      </w:r>
      <w:r>
        <w:rPr>
          <w:spacing w:val="-12"/>
        </w:rPr>
        <w:t xml:space="preserve"> </w:t>
      </w:r>
      <w:r>
        <w:t>As further discussed</w:t>
      </w:r>
      <w:r>
        <w:rPr>
          <w:spacing w:val="-2"/>
        </w:rPr>
        <w:t xml:space="preserve"> </w:t>
      </w:r>
      <w:r>
        <w:t>in the</w:t>
      </w:r>
      <w:r>
        <w:rPr>
          <w:spacing w:val="-1"/>
        </w:rPr>
        <w:t xml:space="preserve"> </w:t>
      </w:r>
      <w:r>
        <w:t>sexual health section,</w:t>
      </w:r>
      <w:r>
        <w:rPr>
          <w:spacing w:val="-1"/>
        </w:rPr>
        <w:t xml:space="preserve"> </w:t>
      </w:r>
      <w:r>
        <w:t>LGBTQ youth</w:t>
      </w:r>
      <w:r>
        <w:rPr>
          <w:spacing w:val="-13"/>
        </w:rPr>
        <w:t xml:space="preserve"> </w:t>
      </w:r>
      <w:r>
        <w:t>may</w:t>
      </w:r>
      <w:r>
        <w:rPr>
          <w:spacing w:val="-12"/>
        </w:rPr>
        <w:t xml:space="preserve"> </w:t>
      </w:r>
      <w:r>
        <w:t>know</w:t>
      </w:r>
      <w:r>
        <w:rPr>
          <w:spacing w:val="-13"/>
        </w:rPr>
        <w:t xml:space="preserve"> </w:t>
      </w:r>
      <w:r>
        <w:t>how</w:t>
      </w:r>
      <w:r>
        <w:rPr>
          <w:spacing w:val="-12"/>
        </w:rPr>
        <w:t xml:space="preserve"> </w:t>
      </w:r>
      <w:r>
        <w:t>and</w:t>
      </w:r>
      <w:r>
        <w:rPr>
          <w:spacing w:val="-13"/>
        </w:rPr>
        <w:t xml:space="preserve"> </w:t>
      </w:r>
      <w:r>
        <w:t>when</w:t>
      </w:r>
      <w:r>
        <w:rPr>
          <w:spacing w:val="-12"/>
        </w:rPr>
        <w:t xml:space="preserve"> </w:t>
      </w:r>
      <w:r>
        <w:t>to</w:t>
      </w:r>
      <w:r>
        <w:rPr>
          <w:spacing w:val="-13"/>
        </w:rPr>
        <w:t xml:space="preserve"> </w:t>
      </w:r>
      <w:r>
        <w:t>use</w:t>
      </w:r>
      <w:r>
        <w:rPr>
          <w:spacing w:val="-12"/>
        </w:rPr>
        <w:t xml:space="preserve"> </w:t>
      </w:r>
      <w:r>
        <w:t>particular</w:t>
      </w:r>
      <w:r>
        <w:rPr>
          <w:spacing w:val="-12"/>
        </w:rPr>
        <w:t xml:space="preserve"> </w:t>
      </w:r>
      <w:r>
        <w:t>safer sex</w:t>
      </w:r>
      <w:r>
        <w:rPr>
          <w:spacing w:val="-3"/>
        </w:rPr>
        <w:t xml:space="preserve"> </w:t>
      </w:r>
      <w:r>
        <w:t>supplies,</w:t>
      </w:r>
      <w:r>
        <w:rPr>
          <w:spacing w:val="-5"/>
        </w:rPr>
        <w:t xml:space="preserve"> </w:t>
      </w:r>
      <w:r>
        <w:t>however</w:t>
      </w:r>
      <w:r>
        <w:rPr>
          <w:spacing w:val="-5"/>
        </w:rPr>
        <w:t xml:space="preserve"> </w:t>
      </w:r>
      <w:r>
        <w:t>they</w:t>
      </w:r>
      <w:r>
        <w:rPr>
          <w:spacing w:val="-4"/>
        </w:rPr>
        <w:t xml:space="preserve"> </w:t>
      </w:r>
      <w:r>
        <w:t>may</w:t>
      </w:r>
      <w:r>
        <w:rPr>
          <w:spacing w:val="-4"/>
        </w:rPr>
        <w:t xml:space="preserve"> </w:t>
      </w:r>
      <w:r>
        <w:t>find</w:t>
      </w:r>
      <w:r>
        <w:rPr>
          <w:spacing w:val="-4"/>
        </w:rPr>
        <w:t xml:space="preserve"> </w:t>
      </w:r>
      <w:r>
        <w:t>the</w:t>
      </w:r>
      <w:r>
        <w:rPr>
          <w:spacing w:val="-5"/>
        </w:rPr>
        <w:t xml:space="preserve"> </w:t>
      </w:r>
      <w:r>
        <w:t>cost</w:t>
      </w:r>
      <w:r>
        <w:rPr>
          <w:spacing w:val="-5"/>
        </w:rPr>
        <w:t xml:space="preserve"> </w:t>
      </w:r>
      <w:r>
        <w:t>of</w:t>
      </w:r>
      <w:r>
        <w:rPr>
          <w:spacing w:val="-5"/>
        </w:rPr>
        <w:t xml:space="preserve"> </w:t>
      </w:r>
      <w:r>
        <w:t>these prophylactic</w:t>
      </w:r>
      <w:r>
        <w:rPr>
          <w:spacing w:val="-10"/>
        </w:rPr>
        <w:t xml:space="preserve"> </w:t>
      </w:r>
      <w:r>
        <w:t>measures</w:t>
      </w:r>
      <w:r>
        <w:rPr>
          <w:spacing w:val="-10"/>
        </w:rPr>
        <w:t xml:space="preserve"> </w:t>
      </w:r>
      <w:r>
        <w:t>to</w:t>
      </w:r>
      <w:r>
        <w:rPr>
          <w:spacing w:val="-6"/>
        </w:rPr>
        <w:t xml:space="preserve"> </w:t>
      </w:r>
      <w:r>
        <w:t>be</w:t>
      </w:r>
      <w:r>
        <w:rPr>
          <w:spacing w:val="-7"/>
        </w:rPr>
        <w:t xml:space="preserve"> </w:t>
      </w:r>
      <w:r>
        <w:t>prohibitive.</w:t>
      </w:r>
      <w:hyperlink w:anchor="_bookmark137" w:history="1">
        <w:r>
          <w:rPr>
            <w:vertAlign w:val="superscript"/>
          </w:rPr>
          <w:t>45</w:t>
        </w:r>
      </w:hyperlink>
      <w:r>
        <w:rPr>
          <w:spacing w:val="-4"/>
        </w:rPr>
        <w:t xml:space="preserve"> </w:t>
      </w:r>
      <w:r>
        <w:t>When</w:t>
      </w:r>
      <w:r>
        <w:rPr>
          <w:spacing w:val="-8"/>
        </w:rPr>
        <w:t xml:space="preserve"> </w:t>
      </w:r>
      <w:r>
        <w:t xml:space="preserve">they are able to find safer sex supplies for free at a local community health clinic </w:t>
      </w:r>
      <w:r>
        <w:t>or youth program, those facilities</w:t>
      </w:r>
      <w:r>
        <w:rPr>
          <w:spacing w:val="-3"/>
        </w:rPr>
        <w:t xml:space="preserve"> </w:t>
      </w:r>
      <w:r>
        <w:t>may not stock the</w:t>
      </w:r>
      <w:r>
        <w:rPr>
          <w:spacing w:val="-5"/>
        </w:rPr>
        <w:t xml:space="preserve"> </w:t>
      </w:r>
      <w:r>
        <w:t>kinds of</w:t>
      </w:r>
      <w:r>
        <w:rPr>
          <w:spacing w:val="-1"/>
        </w:rPr>
        <w:t xml:space="preserve"> </w:t>
      </w:r>
      <w:r>
        <w:t>safer</w:t>
      </w:r>
      <w:r>
        <w:rPr>
          <w:spacing w:val="-1"/>
        </w:rPr>
        <w:t xml:space="preserve"> </w:t>
      </w:r>
      <w:r>
        <w:t>sex supplies LGBTQ youth are looking for, such as dental dams.</w:t>
      </w:r>
      <w:hyperlink w:anchor="_bookmark140" w:history="1">
        <w:r>
          <w:rPr>
            <w:vertAlign w:val="superscript"/>
          </w:rPr>
          <w:t>46</w:t>
        </w:r>
      </w:hyperlink>
      <w:r>
        <w:t xml:space="preserve"> Having access to free or reduced-price safer sex supplies</w:t>
      </w:r>
      <w:r>
        <w:rPr>
          <w:spacing w:val="-6"/>
        </w:rPr>
        <w:t xml:space="preserve"> </w:t>
      </w:r>
      <w:r>
        <w:t>allows</w:t>
      </w:r>
      <w:r>
        <w:rPr>
          <w:spacing w:val="-9"/>
        </w:rPr>
        <w:t xml:space="preserve"> </w:t>
      </w:r>
      <w:r>
        <w:t>LGBTQ</w:t>
      </w:r>
      <w:r>
        <w:rPr>
          <w:spacing w:val="-8"/>
        </w:rPr>
        <w:t xml:space="preserve"> </w:t>
      </w:r>
      <w:r>
        <w:t>youth</w:t>
      </w:r>
      <w:r>
        <w:rPr>
          <w:spacing w:val="-7"/>
        </w:rPr>
        <w:t xml:space="preserve"> </w:t>
      </w:r>
      <w:r>
        <w:t>to</w:t>
      </w:r>
      <w:r>
        <w:rPr>
          <w:spacing w:val="-10"/>
        </w:rPr>
        <w:t xml:space="preserve"> </w:t>
      </w:r>
      <w:r>
        <w:t>make</w:t>
      </w:r>
      <w:r>
        <w:rPr>
          <w:spacing w:val="-6"/>
        </w:rPr>
        <w:t xml:space="preserve"> </w:t>
      </w:r>
      <w:r>
        <w:t>decisions</w:t>
      </w:r>
      <w:r>
        <w:rPr>
          <w:spacing w:val="-9"/>
        </w:rPr>
        <w:t xml:space="preserve"> </w:t>
      </w:r>
      <w:r>
        <w:t>about their sexual health, without being limited by monetary cost.</w:t>
      </w:r>
    </w:p>
    <w:p w:rsidR="00200FDA" w:rsidRDefault="00F76C4C">
      <w:pPr>
        <w:pStyle w:val="BodyText"/>
        <w:spacing w:before="121" w:line="276" w:lineRule="auto"/>
        <w:ind w:left="139" w:right="391"/>
        <w:jc w:val="both"/>
      </w:pPr>
      <w:r>
        <w:t>Access to STI testing and treatment may be equally as prohibitive.</w:t>
      </w:r>
      <w:hyperlink w:anchor="_bookmark141" w:history="1">
        <w:r>
          <w:rPr>
            <w:vertAlign w:val="superscript"/>
          </w:rPr>
          <w:t>47</w:t>
        </w:r>
      </w:hyperlink>
      <w:r>
        <w:rPr>
          <w:spacing w:val="-1"/>
        </w:rPr>
        <w:t xml:space="preserve"> </w:t>
      </w:r>
      <w:r>
        <w:t>LGBTQ youth, particularly, low- income</w:t>
      </w:r>
      <w:r>
        <w:rPr>
          <w:spacing w:val="-3"/>
        </w:rPr>
        <w:t xml:space="preserve"> </w:t>
      </w:r>
      <w:r>
        <w:t>youth,</w:t>
      </w:r>
      <w:r>
        <w:rPr>
          <w:spacing w:val="-3"/>
        </w:rPr>
        <w:t xml:space="preserve"> </w:t>
      </w:r>
      <w:r>
        <w:t>unhoused</w:t>
      </w:r>
      <w:r>
        <w:rPr>
          <w:spacing w:val="-4"/>
        </w:rPr>
        <w:t xml:space="preserve"> </w:t>
      </w:r>
      <w:r>
        <w:t>youth,</w:t>
      </w:r>
      <w:r>
        <w:rPr>
          <w:spacing w:val="-3"/>
        </w:rPr>
        <w:t xml:space="preserve"> </w:t>
      </w:r>
      <w:r>
        <w:t>undocumented</w:t>
      </w:r>
      <w:r>
        <w:rPr>
          <w:spacing w:val="-6"/>
        </w:rPr>
        <w:t xml:space="preserve"> </w:t>
      </w:r>
      <w:r>
        <w:t>you</w:t>
      </w:r>
      <w:r>
        <w:t>th,</w:t>
      </w:r>
      <w:r>
        <w:rPr>
          <w:spacing w:val="-3"/>
        </w:rPr>
        <w:t xml:space="preserve"> </w:t>
      </w:r>
      <w:r>
        <w:t>and</w:t>
      </w:r>
      <w:r>
        <w:rPr>
          <w:spacing w:val="-4"/>
        </w:rPr>
        <w:t xml:space="preserve"> </w:t>
      </w:r>
      <w:r>
        <w:t>rural</w:t>
      </w:r>
      <w:r>
        <w:rPr>
          <w:spacing w:val="-4"/>
        </w:rPr>
        <w:t xml:space="preserve"> </w:t>
      </w:r>
      <w:r>
        <w:t>youth,</w:t>
      </w:r>
      <w:r>
        <w:rPr>
          <w:spacing w:val="-3"/>
        </w:rPr>
        <w:t xml:space="preserve"> </w:t>
      </w:r>
      <w:r>
        <w:t>may</w:t>
      </w:r>
      <w:r>
        <w:rPr>
          <w:spacing w:val="-3"/>
        </w:rPr>
        <w:t xml:space="preserve"> </w:t>
      </w:r>
      <w:r>
        <w:t>lack</w:t>
      </w:r>
      <w:r>
        <w:rPr>
          <w:spacing w:val="-3"/>
        </w:rPr>
        <w:t xml:space="preserve"> </w:t>
      </w:r>
      <w:r>
        <w:t>consistent</w:t>
      </w:r>
      <w:r>
        <w:rPr>
          <w:spacing w:val="-3"/>
        </w:rPr>
        <w:t xml:space="preserve"> </w:t>
      </w:r>
      <w:r>
        <w:t>access</w:t>
      </w:r>
      <w:r>
        <w:rPr>
          <w:spacing w:val="-3"/>
        </w:rPr>
        <w:t xml:space="preserve"> </w:t>
      </w:r>
      <w:r>
        <w:t>to healthcare.</w:t>
      </w:r>
      <w:hyperlink w:anchor="_bookmark142" w:history="1">
        <w:r>
          <w:rPr>
            <w:vertAlign w:val="superscript"/>
          </w:rPr>
          <w:t>48</w:t>
        </w:r>
      </w:hyperlink>
      <w:r>
        <w:rPr>
          <w:spacing w:val="-2"/>
        </w:rPr>
        <w:t xml:space="preserve"> </w:t>
      </w:r>
      <w:r>
        <w:t>LGBTQ youth who are still on their parents’ health insurance may be reluctant to seek STI</w:t>
      </w:r>
      <w:r>
        <w:rPr>
          <w:spacing w:val="-4"/>
        </w:rPr>
        <w:t xml:space="preserve"> </w:t>
      </w:r>
      <w:r>
        <w:t>testing</w:t>
      </w:r>
      <w:r>
        <w:rPr>
          <w:spacing w:val="-4"/>
        </w:rPr>
        <w:t xml:space="preserve"> </w:t>
      </w:r>
      <w:r>
        <w:t>and</w:t>
      </w:r>
      <w:r>
        <w:rPr>
          <w:spacing w:val="-4"/>
        </w:rPr>
        <w:t xml:space="preserve"> </w:t>
      </w:r>
      <w:r>
        <w:t>treatment</w:t>
      </w:r>
      <w:r>
        <w:rPr>
          <w:spacing w:val="-3"/>
        </w:rPr>
        <w:t xml:space="preserve"> </w:t>
      </w:r>
      <w:r>
        <w:t>due</w:t>
      </w:r>
      <w:r>
        <w:rPr>
          <w:spacing w:val="-3"/>
        </w:rPr>
        <w:t xml:space="preserve"> </w:t>
      </w:r>
      <w:r>
        <w:t>to</w:t>
      </w:r>
      <w:r>
        <w:rPr>
          <w:spacing w:val="-2"/>
        </w:rPr>
        <w:t xml:space="preserve"> </w:t>
      </w:r>
      <w:r>
        <w:t>fear</w:t>
      </w:r>
      <w:r>
        <w:rPr>
          <w:spacing w:val="-6"/>
        </w:rPr>
        <w:t xml:space="preserve"> </w:t>
      </w:r>
      <w:r>
        <w:t>of</w:t>
      </w:r>
      <w:r>
        <w:rPr>
          <w:spacing w:val="-6"/>
        </w:rPr>
        <w:t xml:space="preserve"> </w:t>
      </w:r>
      <w:r>
        <w:t>being</w:t>
      </w:r>
      <w:r>
        <w:rPr>
          <w:spacing w:val="-6"/>
        </w:rPr>
        <w:t xml:space="preserve"> </w:t>
      </w:r>
      <w:r>
        <w:t>outed</w:t>
      </w:r>
      <w:r>
        <w:rPr>
          <w:spacing w:val="-6"/>
        </w:rPr>
        <w:t xml:space="preserve"> </w:t>
      </w:r>
      <w:r>
        <w:t>to</w:t>
      </w:r>
      <w:r>
        <w:rPr>
          <w:spacing w:val="-4"/>
        </w:rPr>
        <w:t xml:space="preserve"> </w:t>
      </w:r>
      <w:r>
        <w:t>their</w:t>
      </w:r>
      <w:r>
        <w:rPr>
          <w:spacing w:val="-3"/>
        </w:rPr>
        <w:t xml:space="preserve"> </w:t>
      </w:r>
      <w:r>
        <w:t>parents</w:t>
      </w:r>
      <w:r>
        <w:rPr>
          <w:spacing w:val="-6"/>
        </w:rPr>
        <w:t xml:space="preserve"> </w:t>
      </w:r>
      <w:r>
        <w:t>or</w:t>
      </w:r>
      <w:r>
        <w:rPr>
          <w:spacing w:val="-3"/>
        </w:rPr>
        <w:t xml:space="preserve"> </w:t>
      </w:r>
      <w:r>
        <w:t>due</w:t>
      </w:r>
      <w:r>
        <w:rPr>
          <w:spacing w:val="-5"/>
        </w:rPr>
        <w:t xml:space="preserve"> </w:t>
      </w:r>
      <w:r>
        <w:t>to</w:t>
      </w:r>
      <w:r>
        <w:rPr>
          <w:spacing w:val="-2"/>
        </w:rPr>
        <w:t xml:space="preserve"> </w:t>
      </w:r>
      <w:r>
        <w:t>the</w:t>
      </w:r>
      <w:r>
        <w:rPr>
          <w:spacing w:val="-5"/>
        </w:rPr>
        <w:t xml:space="preserve"> </w:t>
      </w:r>
      <w:r>
        <w:t>stigma</w:t>
      </w:r>
      <w:r>
        <w:rPr>
          <w:spacing w:val="-6"/>
        </w:rPr>
        <w:t xml:space="preserve"> </w:t>
      </w:r>
      <w:r>
        <w:t>of</w:t>
      </w:r>
      <w:r>
        <w:rPr>
          <w:spacing w:val="-6"/>
        </w:rPr>
        <w:t xml:space="preserve"> </w:t>
      </w:r>
      <w:r>
        <w:t>receiving STI</w:t>
      </w:r>
      <w:r>
        <w:rPr>
          <w:spacing w:val="-10"/>
        </w:rPr>
        <w:t xml:space="preserve"> </w:t>
      </w:r>
      <w:r>
        <w:t>testing.</w:t>
      </w:r>
      <w:hyperlink w:anchor="_bookmark143" w:history="1">
        <w:r>
          <w:rPr>
            <w:vertAlign w:val="superscript"/>
          </w:rPr>
          <w:t>49</w:t>
        </w:r>
      </w:hyperlink>
      <w:r>
        <w:rPr>
          <w:vertAlign w:val="superscript"/>
        </w:rPr>
        <w:t>,</w:t>
      </w:r>
      <w:hyperlink w:anchor="_bookmark144" w:history="1">
        <w:r>
          <w:rPr>
            <w:vertAlign w:val="superscript"/>
          </w:rPr>
          <w:t>50</w:t>
        </w:r>
      </w:hyperlink>
      <w:r>
        <w:rPr>
          <w:spacing w:val="-1"/>
        </w:rPr>
        <w:t xml:space="preserve"> </w:t>
      </w:r>
      <w:r>
        <w:t>In</w:t>
      </w:r>
      <w:r>
        <w:rPr>
          <w:spacing w:val="-10"/>
        </w:rPr>
        <w:t xml:space="preserve"> </w:t>
      </w:r>
      <w:r>
        <w:t>Massachusetts,</w:t>
      </w:r>
      <w:r>
        <w:rPr>
          <w:spacing w:val="-9"/>
        </w:rPr>
        <w:t xml:space="preserve"> </w:t>
      </w:r>
      <w:r>
        <w:t>all</w:t>
      </w:r>
      <w:r>
        <w:rPr>
          <w:spacing w:val="-12"/>
        </w:rPr>
        <w:t xml:space="preserve"> </w:t>
      </w:r>
      <w:r>
        <w:t>youth</w:t>
      </w:r>
      <w:r>
        <w:rPr>
          <w:spacing w:val="-10"/>
        </w:rPr>
        <w:t xml:space="preserve"> </w:t>
      </w:r>
      <w:r>
        <w:t>over</w:t>
      </w:r>
      <w:r>
        <w:rPr>
          <w:spacing w:val="-12"/>
        </w:rPr>
        <w:t xml:space="preserve"> </w:t>
      </w:r>
      <w:r>
        <w:t>the</w:t>
      </w:r>
      <w:r>
        <w:rPr>
          <w:spacing w:val="-11"/>
        </w:rPr>
        <w:t xml:space="preserve"> </w:t>
      </w:r>
      <w:r>
        <w:t>age</w:t>
      </w:r>
      <w:r>
        <w:rPr>
          <w:spacing w:val="-11"/>
        </w:rPr>
        <w:t xml:space="preserve"> </w:t>
      </w:r>
      <w:r>
        <w:t>of</w:t>
      </w:r>
      <w:r>
        <w:rPr>
          <w:spacing w:val="-12"/>
        </w:rPr>
        <w:t xml:space="preserve"> </w:t>
      </w:r>
      <w:r>
        <w:t>thirteen</w:t>
      </w:r>
      <w:r>
        <w:rPr>
          <w:spacing w:val="-10"/>
        </w:rPr>
        <w:t xml:space="preserve"> </w:t>
      </w:r>
      <w:r>
        <w:t>have</w:t>
      </w:r>
      <w:r>
        <w:rPr>
          <w:spacing w:val="-11"/>
        </w:rPr>
        <w:t xml:space="preserve"> </w:t>
      </w:r>
      <w:r>
        <w:t>the</w:t>
      </w:r>
      <w:r>
        <w:rPr>
          <w:spacing w:val="-11"/>
        </w:rPr>
        <w:t xml:space="preserve"> </w:t>
      </w:r>
      <w:r>
        <w:t>right</w:t>
      </w:r>
      <w:r>
        <w:rPr>
          <w:spacing w:val="-9"/>
        </w:rPr>
        <w:t xml:space="preserve"> </w:t>
      </w:r>
      <w:r>
        <w:t>to</w:t>
      </w:r>
      <w:r>
        <w:rPr>
          <w:spacing w:val="-8"/>
        </w:rPr>
        <w:t xml:space="preserve"> </w:t>
      </w:r>
      <w:r>
        <w:t>receive</w:t>
      </w:r>
      <w:r>
        <w:rPr>
          <w:spacing w:val="-9"/>
        </w:rPr>
        <w:t xml:space="preserve"> </w:t>
      </w:r>
      <w:r>
        <w:t>STI</w:t>
      </w:r>
      <w:r>
        <w:rPr>
          <w:spacing w:val="-12"/>
        </w:rPr>
        <w:t xml:space="preserve"> </w:t>
      </w:r>
      <w:r>
        <w:t>testing without</w:t>
      </w:r>
      <w:r>
        <w:rPr>
          <w:spacing w:val="-2"/>
        </w:rPr>
        <w:t xml:space="preserve"> </w:t>
      </w:r>
      <w:r>
        <w:t>parental</w:t>
      </w:r>
      <w:r>
        <w:rPr>
          <w:spacing w:val="-3"/>
        </w:rPr>
        <w:t xml:space="preserve"> </w:t>
      </w:r>
      <w:r>
        <w:t>consent.</w:t>
      </w:r>
      <w:hyperlink w:anchor="_bookmark145" w:history="1">
        <w:r>
          <w:rPr>
            <w:vertAlign w:val="superscript"/>
          </w:rPr>
          <w:t>51</w:t>
        </w:r>
      </w:hyperlink>
      <w:r>
        <w:rPr>
          <w:spacing w:val="-3"/>
        </w:rPr>
        <w:t xml:space="preserve"> </w:t>
      </w:r>
      <w:r>
        <w:t>However, this service is</w:t>
      </w:r>
      <w:r>
        <w:rPr>
          <w:spacing w:val="-2"/>
        </w:rPr>
        <w:t xml:space="preserve"> </w:t>
      </w:r>
      <w:r>
        <w:t>not</w:t>
      </w:r>
      <w:r>
        <w:rPr>
          <w:spacing w:val="-2"/>
        </w:rPr>
        <w:t xml:space="preserve"> </w:t>
      </w:r>
      <w:r>
        <w:t>widely</w:t>
      </w:r>
      <w:r>
        <w:rPr>
          <w:spacing w:val="-1"/>
        </w:rPr>
        <w:t xml:space="preserve"> </w:t>
      </w:r>
      <w:r>
        <w:t>advertised,</w:t>
      </w:r>
      <w:r>
        <w:rPr>
          <w:spacing w:val="-2"/>
        </w:rPr>
        <w:t xml:space="preserve"> </w:t>
      </w:r>
      <w:r>
        <w:t>and</w:t>
      </w:r>
      <w:r>
        <w:rPr>
          <w:spacing w:val="-1"/>
        </w:rPr>
        <w:t xml:space="preserve"> </w:t>
      </w:r>
      <w:r>
        <w:t>many youths</w:t>
      </w:r>
      <w:r>
        <w:rPr>
          <w:spacing w:val="-2"/>
        </w:rPr>
        <w:t xml:space="preserve"> </w:t>
      </w:r>
      <w:r>
        <w:t>may</w:t>
      </w:r>
      <w:r>
        <w:rPr>
          <w:spacing w:val="-1"/>
        </w:rPr>
        <w:t xml:space="preserve"> </w:t>
      </w:r>
      <w:r>
        <w:t>not take advantage of this important service. LGBTQ youth may also avoid seeking testing or treatment due to prior negative experiences with a healthcare p</w:t>
      </w:r>
      <w:r>
        <w:t>rovider.</w:t>
      </w:r>
      <w:hyperlink w:anchor="_bookmark146" w:history="1">
        <w:r>
          <w:rPr>
            <w:vertAlign w:val="superscript"/>
          </w:rPr>
          <w:t>52</w:t>
        </w:r>
      </w:hyperlink>
      <w:r>
        <w:rPr>
          <w:spacing w:val="-2"/>
        </w:rPr>
        <w:t xml:space="preserve"> </w:t>
      </w:r>
      <w:r>
        <w:t>If healthcare providers are unwilling to</w:t>
      </w:r>
      <w:r>
        <w:rPr>
          <w:spacing w:val="-3"/>
        </w:rPr>
        <w:t xml:space="preserve"> </w:t>
      </w:r>
      <w:r>
        <w:t>acknowledge</w:t>
      </w:r>
      <w:r>
        <w:rPr>
          <w:spacing w:val="-4"/>
        </w:rPr>
        <w:t xml:space="preserve"> </w:t>
      </w:r>
      <w:r>
        <w:t>the</w:t>
      </w:r>
      <w:r>
        <w:rPr>
          <w:spacing w:val="-4"/>
        </w:rPr>
        <w:t xml:space="preserve"> </w:t>
      </w:r>
      <w:r>
        <w:t>identities</w:t>
      </w:r>
      <w:r>
        <w:rPr>
          <w:spacing w:val="-4"/>
        </w:rPr>
        <w:t xml:space="preserve"> </w:t>
      </w:r>
      <w:r>
        <w:t>of</w:t>
      </w:r>
      <w:r>
        <w:rPr>
          <w:spacing w:val="-6"/>
        </w:rPr>
        <w:t xml:space="preserve"> </w:t>
      </w:r>
      <w:r>
        <w:t>their</w:t>
      </w:r>
      <w:r>
        <w:rPr>
          <w:spacing w:val="-4"/>
        </w:rPr>
        <w:t xml:space="preserve"> </w:t>
      </w:r>
      <w:r>
        <w:t>LGBTQ</w:t>
      </w:r>
      <w:r>
        <w:rPr>
          <w:spacing w:val="-4"/>
        </w:rPr>
        <w:t xml:space="preserve"> </w:t>
      </w:r>
      <w:r>
        <w:t>patients</w:t>
      </w:r>
      <w:r>
        <w:rPr>
          <w:spacing w:val="-6"/>
        </w:rPr>
        <w:t xml:space="preserve"> </w:t>
      </w:r>
      <w:r>
        <w:t>or</w:t>
      </w:r>
      <w:r>
        <w:rPr>
          <w:spacing w:val="-4"/>
        </w:rPr>
        <w:t xml:space="preserve"> </w:t>
      </w:r>
      <w:r>
        <w:t>simply</w:t>
      </w:r>
      <w:r>
        <w:rPr>
          <w:spacing w:val="-5"/>
        </w:rPr>
        <w:t xml:space="preserve"> </w:t>
      </w:r>
      <w:r>
        <w:t>make</w:t>
      </w:r>
      <w:r>
        <w:rPr>
          <w:spacing w:val="-4"/>
        </w:rPr>
        <w:t xml:space="preserve"> </w:t>
      </w:r>
      <w:r>
        <w:t>assumptions</w:t>
      </w:r>
      <w:r>
        <w:rPr>
          <w:spacing w:val="-4"/>
        </w:rPr>
        <w:t xml:space="preserve"> </w:t>
      </w:r>
      <w:r>
        <w:t>about</w:t>
      </w:r>
      <w:r>
        <w:rPr>
          <w:spacing w:val="-4"/>
        </w:rPr>
        <w:t xml:space="preserve"> </w:t>
      </w:r>
      <w:r>
        <w:t>the</w:t>
      </w:r>
      <w:r>
        <w:rPr>
          <w:spacing w:val="-5"/>
        </w:rPr>
        <w:t xml:space="preserve"> </w:t>
      </w:r>
      <w:r>
        <w:t>kinds</w:t>
      </w:r>
      <w:r>
        <w:rPr>
          <w:spacing w:val="-4"/>
        </w:rPr>
        <w:t xml:space="preserve"> </w:t>
      </w:r>
      <w:r>
        <w:t>of sex</w:t>
      </w:r>
      <w:r>
        <w:rPr>
          <w:spacing w:val="-4"/>
        </w:rPr>
        <w:t xml:space="preserve"> </w:t>
      </w:r>
      <w:r>
        <w:t>their</w:t>
      </w:r>
      <w:r>
        <w:rPr>
          <w:spacing w:val="-4"/>
        </w:rPr>
        <w:t xml:space="preserve"> </w:t>
      </w:r>
      <w:r>
        <w:t>LGBTQ</w:t>
      </w:r>
      <w:r>
        <w:rPr>
          <w:spacing w:val="-2"/>
        </w:rPr>
        <w:t xml:space="preserve"> </w:t>
      </w:r>
      <w:r>
        <w:t>patients</w:t>
      </w:r>
      <w:r>
        <w:rPr>
          <w:spacing w:val="-4"/>
        </w:rPr>
        <w:t xml:space="preserve"> </w:t>
      </w:r>
      <w:r>
        <w:t>are</w:t>
      </w:r>
      <w:r>
        <w:rPr>
          <w:spacing w:val="-1"/>
        </w:rPr>
        <w:t xml:space="preserve"> </w:t>
      </w:r>
      <w:r>
        <w:t>having,</w:t>
      </w:r>
      <w:r>
        <w:rPr>
          <w:spacing w:val="-4"/>
        </w:rPr>
        <w:t xml:space="preserve"> </w:t>
      </w:r>
      <w:r>
        <w:t>LGBTQ</w:t>
      </w:r>
      <w:r>
        <w:rPr>
          <w:spacing w:val="-4"/>
        </w:rPr>
        <w:t xml:space="preserve"> </w:t>
      </w:r>
      <w:r>
        <w:t>youths</w:t>
      </w:r>
      <w:r>
        <w:rPr>
          <w:spacing w:val="-4"/>
        </w:rPr>
        <w:t xml:space="preserve"> </w:t>
      </w:r>
      <w:r>
        <w:t>are</w:t>
      </w:r>
      <w:r>
        <w:rPr>
          <w:spacing w:val="-4"/>
        </w:rPr>
        <w:t xml:space="preserve"> </w:t>
      </w:r>
      <w:r>
        <w:t>unlikely</w:t>
      </w:r>
      <w:r>
        <w:rPr>
          <w:spacing w:val="-4"/>
        </w:rPr>
        <w:t xml:space="preserve"> </w:t>
      </w:r>
      <w:r>
        <w:t>to</w:t>
      </w:r>
      <w:r>
        <w:rPr>
          <w:spacing w:val="-1"/>
        </w:rPr>
        <w:t xml:space="preserve"> </w:t>
      </w:r>
      <w:r>
        <w:t>feel</w:t>
      </w:r>
      <w:r>
        <w:rPr>
          <w:spacing w:val="-5"/>
        </w:rPr>
        <w:t xml:space="preserve"> </w:t>
      </w:r>
      <w:r>
        <w:t>comfortable</w:t>
      </w:r>
      <w:r>
        <w:rPr>
          <w:spacing w:val="-1"/>
        </w:rPr>
        <w:t xml:space="preserve"> </w:t>
      </w:r>
      <w:r>
        <w:t>discussing</w:t>
      </w:r>
      <w:r>
        <w:rPr>
          <w:spacing w:val="-3"/>
        </w:rPr>
        <w:t xml:space="preserve"> </w:t>
      </w:r>
      <w:r>
        <w:t>STI</w:t>
      </w:r>
      <w:r>
        <w:rPr>
          <w:spacing w:val="-2"/>
        </w:rPr>
        <w:t xml:space="preserve"> </w:t>
      </w:r>
      <w:r>
        <w:t>risk</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F76C4C">
      <w:pPr>
        <w:pStyle w:val="BodyText"/>
        <w:spacing w:before="154" w:line="276" w:lineRule="auto"/>
        <w:ind w:left="139" w:right="395"/>
        <w:jc w:val="both"/>
      </w:pPr>
      <w:r>
        <w:lastRenderedPageBreak/>
        <w:t>reduction and testing options.</w:t>
      </w:r>
      <w:r>
        <w:rPr>
          <w:spacing w:val="-13"/>
        </w:rPr>
        <w:t xml:space="preserve"> </w:t>
      </w:r>
      <w:hyperlink w:anchor="_bookmark147" w:history="1">
        <w:r>
          <w:rPr>
            <w:vertAlign w:val="superscript"/>
          </w:rPr>
          <w:t>53</w:t>
        </w:r>
      </w:hyperlink>
      <w:r>
        <w:t xml:space="preserve"> One possible solution to this is offering STI testing outside of a traditional</w:t>
      </w:r>
      <w:r>
        <w:rPr>
          <w:spacing w:val="-4"/>
        </w:rPr>
        <w:t xml:space="preserve"> </w:t>
      </w:r>
      <w:r>
        <w:t>healthcare</w:t>
      </w:r>
      <w:r>
        <w:rPr>
          <w:spacing w:val="-3"/>
        </w:rPr>
        <w:t xml:space="preserve"> </w:t>
      </w:r>
      <w:r>
        <w:t>setting,</w:t>
      </w:r>
      <w:r>
        <w:rPr>
          <w:spacing w:val="-3"/>
        </w:rPr>
        <w:t xml:space="preserve"> </w:t>
      </w:r>
      <w:r>
        <w:t>such</w:t>
      </w:r>
      <w:r>
        <w:rPr>
          <w:spacing w:val="-4"/>
        </w:rPr>
        <w:t xml:space="preserve"> </w:t>
      </w:r>
      <w:r>
        <w:t>as</w:t>
      </w:r>
      <w:r>
        <w:rPr>
          <w:spacing w:val="-3"/>
        </w:rPr>
        <w:t xml:space="preserve"> </w:t>
      </w:r>
      <w:r>
        <w:t>through</w:t>
      </w:r>
      <w:r>
        <w:rPr>
          <w:spacing w:val="-4"/>
        </w:rPr>
        <w:t xml:space="preserve"> </w:t>
      </w:r>
      <w:r>
        <w:t>mobile</w:t>
      </w:r>
      <w:r>
        <w:rPr>
          <w:spacing w:val="-5"/>
        </w:rPr>
        <w:t xml:space="preserve"> </w:t>
      </w:r>
      <w:r>
        <w:t>testing</w:t>
      </w:r>
      <w:r>
        <w:rPr>
          <w:spacing w:val="-4"/>
        </w:rPr>
        <w:t xml:space="preserve"> </w:t>
      </w:r>
      <w:r>
        <w:t>vans,</w:t>
      </w:r>
      <w:r>
        <w:rPr>
          <w:spacing w:val="-6"/>
        </w:rPr>
        <w:t xml:space="preserve"> </w:t>
      </w:r>
      <w:r>
        <w:t>comm</w:t>
      </w:r>
      <w:r>
        <w:t>unity-based</w:t>
      </w:r>
      <w:r>
        <w:rPr>
          <w:spacing w:val="-4"/>
        </w:rPr>
        <w:t xml:space="preserve"> </w:t>
      </w:r>
      <w:r>
        <w:t>testing</w:t>
      </w:r>
      <w:r>
        <w:rPr>
          <w:spacing w:val="-4"/>
        </w:rPr>
        <w:t xml:space="preserve"> </w:t>
      </w:r>
      <w:r>
        <w:t>sites,</w:t>
      </w:r>
      <w:r>
        <w:rPr>
          <w:spacing w:val="-6"/>
        </w:rPr>
        <w:t xml:space="preserve"> </w:t>
      </w:r>
      <w:r>
        <w:t>or mobile technologies and telehealth.</w:t>
      </w:r>
      <w:hyperlink w:anchor="_bookmark148" w:history="1">
        <w:r>
          <w:rPr>
            <w:vertAlign w:val="superscript"/>
          </w:rPr>
          <w:t>54</w:t>
        </w:r>
      </w:hyperlink>
      <w:r>
        <w:rPr>
          <w:spacing w:val="-3"/>
        </w:rPr>
        <w:t xml:space="preserve"> </w:t>
      </w:r>
      <w:r>
        <w:t>Further ensuring that clinics have youth-focused services and LGBTQ-competent clinicians can increase the likelihood that LGBTQ youth are able to access testing and treatment options on their own terms in a safe space.</w:t>
      </w:r>
      <w:hyperlink w:anchor="_bookmark149" w:history="1">
        <w:r>
          <w:rPr>
            <w:vertAlign w:val="superscript"/>
          </w:rPr>
          <w:t>55</w:t>
        </w:r>
      </w:hyperlink>
    </w:p>
    <w:p w:rsidR="00200FDA" w:rsidRDefault="00200FDA">
      <w:pPr>
        <w:pStyle w:val="BodyText"/>
        <w:spacing w:before="7"/>
        <w:rPr>
          <w:sz w:val="19"/>
        </w:rPr>
      </w:pPr>
    </w:p>
    <w:p w:rsidR="00200FDA" w:rsidRDefault="00F76C4C">
      <w:pPr>
        <w:pStyle w:val="BodyText"/>
        <w:spacing w:line="276" w:lineRule="auto"/>
        <w:ind w:left="139" w:right="395"/>
        <w:jc w:val="both"/>
      </w:pPr>
      <w:r>
        <w:t>Pr</w:t>
      </w:r>
      <w:r>
        <w:t>e-Exposure</w:t>
      </w:r>
      <w:r>
        <w:rPr>
          <w:spacing w:val="-2"/>
        </w:rPr>
        <w:t xml:space="preserve"> </w:t>
      </w:r>
      <w:r>
        <w:t>Prophylaxis (PrEP) is another</w:t>
      </w:r>
      <w:r>
        <w:rPr>
          <w:spacing w:val="-3"/>
        </w:rPr>
        <w:t xml:space="preserve"> </w:t>
      </w:r>
      <w:r>
        <w:t>widely underutilized</w:t>
      </w:r>
      <w:r>
        <w:rPr>
          <w:spacing w:val="-1"/>
        </w:rPr>
        <w:t xml:space="preserve"> </w:t>
      </w:r>
      <w:r>
        <w:t>and</w:t>
      </w:r>
      <w:r>
        <w:rPr>
          <w:spacing w:val="-1"/>
        </w:rPr>
        <w:t xml:space="preserve"> </w:t>
      </w:r>
      <w:r>
        <w:t>highly successful</w:t>
      </w:r>
      <w:r>
        <w:rPr>
          <w:spacing w:val="-1"/>
        </w:rPr>
        <w:t xml:space="preserve"> </w:t>
      </w:r>
      <w:r>
        <w:t>HIV</w:t>
      </w:r>
      <w:r>
        <w:rPr>
          <w:spacing w:val="-1"/>
        </w:rPr>
        <w:t xml:space="preserve"> </w:t>
      </w:r>
      <w:r>
        <w:t>prevention method.</w:t>
      </w:r>
      <w:r>
        <w:rPr>
          <w:spacing w:val="-6"/>
        </w:rPr>
        <w:t xml:space="preserve"> </w:t>
      </w:r>
      <w:r>
        <w:t>PrEP</w:t>
      </w:r>
      <w:r>
        <w:rPr>
          <w:spacing w:val="-4"/>
        </w:rPr>
        <w:t xml:space="preserve"> </w:t>
      </w:r>
      <w:r>
        <w:t>is</w:t>
      </w:r>
      <w:r>
        <w:rPr>
          <w:spacing w:val="-6"/>
        </w:rPr>
        <w:t xml:space="preserve"> </w:t>
      </w:r>
      <w:r>
        <w:t>approved</w:t>
      </w:r>
      <w:r>
        <w:rPr>
          <w:spacing w:val="-6"/>
        </w:rPr>
        <w:t xml:space="preserve"> </w:t>
      </w:r>
      <w:r>
        <w:t>for</w:t>
      </w:r>
      <w:r>
        <w:rPr>
          <w:spacing w:val="-6"/>
        </w:rPr>
        <w:t xml:space="preserve"> </w:t>
      </w:r>
      <w:r>
        <w:t>use</w:t>
      </w:r>
      <w:r>
        <w:rPr>
          <w:spacing w:val="-5"/>
        </w:rPr>
        <w:t xml:space="preserve"> </w:t>
      </w:r>
      <w:r>
        <w:t>by</w:t>
      </w:r>
      <w:r>
        <w:rPr>
          <w:spacing w:val="-7"/>
        </w:rPr>
        <w:t xml:space="preserve"> </w:t>
      </w:r>
      <w:r>
        <w:t>the</w:t>
      </w:r>
      <w:r>
        <w:rPr>
          <w:spacing w:val="-5"/>
        </w:rPr>
        <w:t xml:space="preserve"> </w:t>
      </w:r>
      <w:r>
        <w:t>FDA</w:t>
      </w:r>
      <w:r>
        <w:rPr>
          <w:spacing w:val="-6"/>
        </w:rPr>
        <w:t xml:space="preserve"> </w:t>
      </w:r>
      <w:r>
        <w:t>for</w:t>
      </w:r>
      <w:r>
        <w:rPr>
          <w:spacing w:val="-6"/>
        </w:rPr>
        <w:t xml:space="preserve"> </w:t>
      </w:r>
      <w:r>
        <w:t>anyone</w:t>
      </w:r>
      <w:r>
        <w:rPr>
          <w:spacing w:val="-5"/>
        </w:rPr>
        <w:t xml:space="preserve"> </w:t>
      </w:r>
      <w:r>
        <w:t>over</w:t>
      </w:r>
      <w:r>
        <w:rPr>
          <w:spacing w:val="-6"/>
        </w:rPr>
        <w:t xml:space="preserve"> </w:t>
      </w:r>
      <w:r>
        <w:t>twelve</w:t>
      </w:r>
      <w:r>
        <w:rPr>
          <w:spacing w:val="-7"/>
        </w:rPr>
        <w:t xml:space="preserve"> </w:t>
      </w:r>
      <w:r>
        <w:t>years</w:t>
      </w:r>
      <w:r>
        <w:rPr>
          <w:spacing w:val="-8"/>
        </w:rPr>
        <w:t xml:space="preserve"> </w:t>
      </w:r>
      <w:r>
        <w:t>of</w:t>
      </w:r>
      <w:r>
        <w:rPr>
          <w:spacing w:val="-6"/>
        </w:rPr>
        <w:t xml:space="preserve"> </w:t>
      </w:r>
      <w:r>
        <w:t>age</w:t>
      </w:r>
      <w:r>
        <w:rPr>
          <w:spacing w:val="-8"/>
        </w:rPr>
        <w:t xml:space="preserve"> </w:t>
      </w:r>
      <w:r>
        <w:t>weighing</w:t>
      </w:r>
      <w:r>
        <w:rPr>
          <w:spacing w:val="-6"/>
        </w:rPr>
        <w:t xml:space="preserve"> </w:t>
      </w:r>
      <w:r>
        <w:t>77</w:t>
      </w:r>
      <w:r>
        <w:rPr>
          <w:spacing w:val="-5"/>
        </w:rPr>
        <w:t xml:space="preserve"> </w:t>
      </w:r>
      <w:r>
        <w:t>pounds or</w:t>
      </w:r>
      <w:r>
        <w:rPr>
          <w:spacing w:val="-1"/>
        </w:rPr>
        <w:t xml:space="preserve"> </w:t>
      </w:r>
      <w:r>
        <w:t>more.</w:t>
      </w:r>
      <w:hyperlink w:anchor="_bookmark150" w:history="1">
        <w:r>
          <w:rPr>
            <w:vertAlign w:val="superscript"/>
          </w:rPr>
          <w:t>56</w:t>
        </w:r>
      </w:hyperlink>
      <w:r>
        <w:rPr>
          <w:spacing w:val="-2"/>
        </w:rPr>
        <w:t xml:space="preserve"> </w:t>
      </w:r>
      <w:r>
        <w:t xml:space="preserve">PrEP, since it </w:t>
      </w:r>
      <w:r>
        <w:t>must be prescribed by a health care provider,</w:t>
      </w:r>
      <w:r>
        <w:rPr>
          <w:spacing w:val="-1"/>
        </w:rPr>
        <w:t xml:space="preserve"> </w:t>
      </w:r>
      <w:r>
        <w:t>can be particularly difficult for youth to access – although 93% of healthcare providers are aware that PrEP exists, only 64.8% prescribe PrEP to adolescents.</w:t>
      </w:r>
      <w:hyperlink w:anchor="_bookmark151" w:history="1">
        <w:r>
          <w:rPr>
            <w:vertAlign w:val="superscript"/>
          </w:rPr>
          <w:t>57</w:t>
        </w:r>
      </w:hyperlink>
      <w:r>
        <w:rPr>
          <w:spacing w:val="-2"/>
        </w:rPr>
        <w:t xml:space="preserve"> </w:t>
      </w:r>
      <w:r>
        <w:t>Additionally, although the rates of PrEP use have not been studied specifically</w:t>
      </w:r>
      <w:r>
        <w:rPr>
          <w:spacing w:val="-6"/>
        </w:rPr>
        <w:t xml:space="preserve"> </w:t>
      </w:r>
      <w:r>
        <w:t>for</w:t>
      </w:r>
      <w:r>
        <w:rPr>
          <w:spacing w:val="-7"/>
        </w:rPr>
        <w:t xml:space="preserve"> </w:t>
      </w:r>
      <w:r>
        <w:t>LGBTQ</w:t>
      </w:r>
      <w:r>
        <w:rPr>
          <w:spacing w:val="-6"/>
        </w:rPr>
        <w:t xml:space="preserve"> </w:t>
      </w:r>
      <w:r>
        <w:t>youth,</w:t>
      </w:r>
      <w:r>
        <w:rPr>
          <w:spacing w:val="-4"/>
        </w:rPr>
        <w:t xml:space="preserve"> </w:t>
      </w:r>
      <w:r>
        <w:t>studies</w:t>
      </w:r>
      <w:r>
        <w:rPr>
          <w:spacing w:val="-7"/>
        </w:rPr>
        <w:t xml:space="preserve"> </w:t>
      </w:r>
      <w:r>
        <w:t>of</w:t>
      </w:r>
      <w:r>
        <w:rPr>
          <w:spacing w:val="-5"/>
        </w:rPr>
        <w:t xml:space="preserve"> </w:t>
      </w:r>
      <w:r>
        <w:t>the</w:t>
      </w:r>
      <w:r>
        <w:rPr>
          <w:spacing w:val="-4"/>
        </w:rPr>
        <w:t xml:space="preserve"> </w:t>
      </w:r>
      <w:r>
        <w:t>general</w:t>
      </w:r>
      <w:r>
        <w:rPr>
          <w:spacing w:val="-5"/>
        </w:rPr>
        <w:t xml:space="preserve"> </w:t>
      </w:r>
      <w:r>
        <w:t>LGBTQ</w:t>
      </w:r>
      <w:r>
        <w:rPr>
          <w:spacing w:val="-4"/>
        </w:rPr>
        <w:t xml:space="preserve"> </w:t>
      </w:r>
      <w:r>
        <w:t>population</w:t>
      </w:r>
      <w:r>
        <w:rPr>
          <w:spacing w:val="-5"/>
        </w:rPr>
        <w:t xml:space="preserve"> </w:t>
      </w:r>
      <w:r>
        <w:t>indicate</w:t>
      </w:r>
      <w:r>
        <w:rPr>
          <w:spacing w:val="-6"/>
        </w:rPr>
        <w:t xml:space="preserve"> </w:t>
      </w:r>
      <w:r>
        <w:t>that</w:t>
      </w:r>
      <w:r>
        <w:rPr>
          <w:spacing w:val="-4"/>
        </w:rPr>
        <w:t xml:space="preserve"> </w:t>
      </w:r>
      <w:r>
        <w:t>PrEP</w:t>
      </w:r>
      <w:r>
        <w:rPr>
          <w:spacing w:val="-6"/>
        </w:rPr>
        <w:t xml:space="preserve"> </w:t>
      </w:r>
      <w:r>
        <w:t>use</w:t>
      </w:r>
      <w:r>
        <w:rPr>
          <w:spacing w:val="-4"/>
        </w:rPr>
        <w:t xml:space="preserve"> </w:t>
      </w:r>
      <w:r>
        <w:t>is</w:t>
      </w:r>
      <w:r>
        <w:rPr>
          <w:spacing w:val="-7"/>
        </w:rPr>
        <w:t xml:space="preserve"> </w:t>
      </w:r>
      <w:r>
        <w:t xml:space="preserve">lowest among Black, Hispanic/Latinx, and Asian individuals and cisgender women. </w:t>
      </w:r>
      <w:hyperlink w:anchor="_bookmark152" w:history="1">
        <w:r>
          <w:rPr>
            <w:vertAlign w:val="superscript"/>
          </w:rPr>
          <w:t>58</w:t>
        </w:r>
      </w:hyperlink>
      <w:r>
        <w:t xml:space="preserve"> Stigma and discrimination may prevent LGBTQ youth from accessing PrEP or continuing PrEP once they have started</w:t>
      </w:r>
      <w:r>
        <w:rPr>
          <w:spacing w:val="-13"/>
        </w:rPr>
        <w:t xml:space="preserve"> </w:t>
      </w:r>
      <w:r>
        <w:t>a</w:t>
      </w:r>
      <w:r>
        <w:rPr>
          <w:spacing w:val="-12"/>
        </w:rPr>
        <w:t xml:space="preserve"> </w:t>
      </w:r>
      <w:r>
        <w:t>regimen.</w:t>
      </w:r>
      <w:hyperlink w:anchor="_bookmark153" w:history="1">
        <w:r>
          <w:rPr>
            <w:vertAlign w:val="superscript"/>
          </w:rPr>
          <w:t>59</w:t>
        </w:r>
      </w:hyperlink>
      <w:r>
        <w:rPr>
          <w:spacing w:val="-5"/>
        </w:rPr>
        <w:t xml:space="preserve"> </w:t>
      </w:r>
      <w:r>
        <w:t>LGBTQ</w:t>
      </w:r>
      <w:r>
        <w:rPr>
          <w:spacing w:val="-12"/>
        </w:rPr>
        <w:t xml:space="preserve"> </w:t>
      </w:r>
      <w:r>
        <w:t>youth</w:t>
      </w:r>
      <w:r>
        <w:rPr>
          <w:spacing w:val="-13"/>
        </w:rPr>
        <w:t xml:space="preserve"> </w:t>
      </w:r>
      <w:r>
        <w:t>of</w:t>
      </w:r>
      <w:r>
        <w:rPr>
          <w:spacing w:val="-12"/>
        </w:rPr>
        <w:t xml:space="preserve"> </w:t>
      </w:r>
      <w:r>
        <w:t>color</w:t>
      </w:r>
      <w:r>
        <w:rPr>
          <w:spacing w:val="-13"/>
        </w:rPr>
        <w:t xml:space="preserve"> </w:t>
      </w:r>
      <w:r>
        <w:t>may</w:t>
      </w:r>
      <w:r>
        <w:rPr>
          <w:spacing w:val="-11"/>
        </w:rPr>
        <w:t xml:space="preserve"> </w:t>
      </w:r>
      <w:r>
        <w:t>face</w:t>
      </w:r>
      <w:r>
        <w:rPr>
          <w:spacing w:val="-10"/>
        </w:rPr>
        <w:t xml:space="preserve"> </w:t>
      </w:r>
      <w:r>
        <w:t>additional</w:t>
      </w:r>
      <w:r>
        <w:rPr>
          <w:spacing w:val="-13"/>
        </w:rPr>
        <w:t xml:space="preserve"> </w:t>
      </w:r>
      <w:r>
        <w:t>medical</w:t>
      </w:r>
      <w:r>
        <w:rPr>
          <w:spacing w:val="-10"/>
        </w:rPr>
        <w:t xml:space="preserve"> </w:t>
      </w:r>
      <w:r>
        <w:t>discrimination</w:t>
      </w:r>
      <w:r>
        <w:rPr>
          <w:spacing w:val="-11"/>
        </w:rPr>
        <w:t xml:space="preserve"> </w:t>
      </w:r>
      <w:r>
        <w:t>due</w:t>
      </w:r>
      <w:r>
        <w:rPr>
          <w:spacing w:val="-12"/>
        </w:rPr>
        <w:t xml:space="preserve"> </w:t>
      </w:r>
      <w:r>
        <w:t>to</w:t>
      </w:r>
      <w:r>
        <w:rPr>
          <w:spacing w:val="-12"/>
        </w:rPr>
        <w:t xml:space="preserve"> </w:t>
      </w:r>
      <w:r>
        <w:t>their</w:t>
      </w:r>
      <w:r>
        <w:rPr>
          <w:spacing w:val="-13"/>
        </w:rPr>
        <w:t xml:space="preserve"> </w:t>
      </w:r>
      <w:r>
        <w:t>race or</w:t>
      </w:r>
      <w:r>
        <w:rPr>
          <w:spacing w:val="39"/>
        </w:rPr>
        <w:t xml:space="preserve"> </w:t>
      </w:r>
      <w:r>
        <w:t>ethnicity,</w:t>
      </w:r>
      <w:r>
        <w:rPr>
          <w:spacing w:val="39"/>
        </w:rPr>
        <w:t xml:space="preserve"> </w:t>
      </w:r>
      <w:r>
        <w:t>and</w:t>
      </w:r>
      <w:r>
        <w:rPr>
          <w:spacing w:val="38"/>
        </w:rPr>
        <w:t xml:space="preserve"> </w:t>
      </w:r>
      <w:r>
        <w:t>a</w:t>
      </w:r>
      <w:r>
        <w:rPr>
          <w:spacing w:val="39"/>
        </w:rPr>
        <w:t xml:space="preserve"> </w:t>
      </w:r>
      <w:r>
        <w:t>lack</w:t>
      </w:r>
      <w:r>
        <w:rPr>
          <w:spacing w:val="40"/>
        </w:rPr>
        <w:t xml:space="preserve"> </w:t>
      </w:r>
      <w:r>
        <w:t>of</w:t>
      </w:r>
      <w:r>
        <w:rPr>
          <w:spacing w:val="39"/>
        </w:rPr>
        <w:t xml:space="preserve"> </w:t>
      </w:r>
      <w:r>
        <w:t>culturally-relevant</w:t>
      </w:r>
      <w:r>
        <w:rPr>
          <w:spacing w:val="37"/>
        </w:rPr>
        <w:t xml:space="preserve"> </w:t>
      </w:r>
      <w:r>
        <w:t>materials</w:t>
      </w:r>
      <w:r>
        <w:rPr>
          <w:spacing w:val="39"/>
        </w:rPr>
        <w:t xml:space="preserve"> </w:t>
      </w:r>
      <w:r>
        <w:t>about</w:t>
      </w:r>
      <w:r>
        <w:rPr>
          <w:spacing w:val="40"/>
        </w:rPr>
        <w:t xml:space="preserve"> </w:t>
      </w:r>
      <w:r>
        <w:t>PrEP</w:t>
      </w:r>
      <w:r>
        <w:rPr>
          <w:spacing w:val="38"/>
        </w:rPr>
        <w:t xml:space="preserve"> </w:t>
      </w:r>
      <w:r>
        <w:t>may</w:t>
      </w:r>
      <w:r>
        <w:rPr>
          <w:spacing w:val="40"/>
        </w:rPr>
        <w:t xml:space="preserve"> </w:t>
      </w:r>
      <w:r>
        <w:t>increase</w:t>
      </w:r>
      <w:r>
        <w:rPr>
          <w:spacing w:val="40"/>
        </w:rPr>
        <w:t xml:space="preserve"> </w:t>
      </w:r>
      <w:r>
        <w:t>mistrust</w:t>
      </w:r>
      <w:r>
        <w:rPr>
          <w:spacing w:val="40"/>
        </w:rPr>
        <w:t xml:space="preserve"> </w:t>
      </w:r>
      <w:r>
        <w:t>in</w:t>
      </w:r>
      <w:r>
        <w:rPr>
          <w:spacing w:val="38"/>
        </w:rPr>
        <w:t xml:space="preserve"> </w:t>
      </w:r>
      <w:r>
        <w:t>the drug.</w:t>
      </w:r>
      <w:r>
        <w:rPr>
          <w:spacing w:val="-1"/>
        </w:rPr>
        <w:t xml:space="preserve"> </w:t>
      </w:r>
      <w:hyperlink w:anchor="_bookmark154" w:history="1">
        <w:r>
          <w:rPr>
            <w:vertAlign w:val="superscript"/>
          </w:rPr>
          <w:t>60</w:t>
        </w:r>
      </w:hyperlink>
      <w:r>
        <w:rPr>
          <w:spacing w:val="-11"/>
        </w:rPr>
        <w:t xml:space="preserve"> </w:t>
      </w:r>
      <w:r>
        <w:rPr>
          <w:vertAlign w:val="superscript"/>
        </w:rPr>
        <w:t>,</w:t>
      </w:r>
      <w:r>
        <w:rPr>
          <w:spacing w:val="-2"/>
        </w:rPr>
        <w:t xml:space="preserve"> </w:t>
      </w:r>
      <w:hyperlink w:anchor="_bookmark155" w:history="1">
        <w:r>
          <w:rPr>
            <w:vertAlign w:val="superscript"/>
          </w:rPr>
          <w:t>61</w:t>
        </w:r>
      </w:hyperlink>
      <w:r>
        <w:t xml:space="preserve"> Digital, peer-led interventions via social media platforms have proven successful in increasing</w:t>
      </w:r>
      <w:r>
        <w:rPr>
          <w:spacing w:val="-4"/>
        </w:rPr>
        <w:t xml:space="preserve"> </w:t>
      </w:r>
      <w:r>
        <w:t>PrEP</w:t>
      </w:r>
      <w:r>
        <w:rPr>
          <w:spacing w:val="-5"/>
        </w:rPr>
        <w:t xml:space="preserve"> </w:t>
      </w:r>
      <w:r>
        <w:t>use,</w:t>
      </w:r>
      <w:r>
        <w:rPr>
          <w:spacing w:val="-6"/>
        </w:rPr>
        <w:t xml:space="preserve"> </w:t>
      </w:r>
      <w:r>
        <w:t>positive</w:t>
      </w:r>
      <w:r>
        <w:rPr>
          <w:spacing w:val="-3"/>
        </w:rPr>
        <w:t xml:space="preserve"> </w:t>
      </w:r>
      <w:r>
        <w:t>attitudes</w:t>
      </w:r>
      <w:r>
        <w:rPr>
          <w:spacing w:val="-6"/>
        </w:rPr>
        <w:t xml:space="preserve"> </w:t>
      </w:r>
      <w:r>
        <w:t>towards</w:t>
      </w:r>
      <w:r>
        <w:rPr>
          <w:spacing w:val="-6"/>
        </w:rPr>
        <w:t xml:space="preserve"> </w:t>
      </w:r>
      <w:r>
        <w:t>using</w:t>
      </w:r>
      <w:r>
        <w:rPr>
          <w:spacing w:val="-4"/>
        </w:rPr>
        <w:t xml:space="preserve"> </w:t>
      </w:r>
      <w:r>
        <w:t>PrEP,</w:t>
      </w:r>
      <w:r>
        <w:rPr>
          <w:spacing w:val="-6"/>
        </w:rPr>
        <w:t xml:space="preserve"> </w:t>
      </w:r>
      <w:r>
        <w:t>and</w:t>
      </w:r>
      <w:r>
        <w:rPr>
          <w:spacing w:val="-4"/>
        </w:rPr>
        <w:t xml:space="preserve"> </w:t>
      </w:r>
      <w:r>
        <w:t>adherence</w:t>
      </w:r>
      <w:r>
        <w:rPr>
          <w:spacing w:val="-5"/>
        </w:rPr>
        <w:t xml:space="preserve"> </w:t>
      </w:r>
      <w:r>
        <w:t>to</w:t>
      </w:r>
      <w:r>
        <w:rPr>
          <w:spacing w:val="-5"/>
        </w:rPr>
        <w:t xml:space="preserve"> </w:t>
      </w:r>
      <w:r>
        <w:t>a</w:t>
      </w:r>
      <w:r>
        <w:rPr>
          <w:spacing w:val="-6"/>
        </w:rPr>
        <w:t xml:space="preserve"> </w:t>
      </w:r>
      <w:r>
        <w:t>PrEP</w:t>
      </w:r>
      <w:r>
        <w:rPr>
          <w:spacing w:val="-2"/>
        </w:rPr>
        <w:t xml:space="preserve"> </w:t>
      </w:r>
      <w:r>
        <w:t>regimen.</w:t>
      </w:r>
      <w:hyperlink w:anchor="_bookmark156" w:history="1">
        <w:r>
          <w:rPr>
            <w:vertAlign w:val="superscript"/>
          </w:rPr>
          <w:t>62</w:t>
        </w:r>
      </w:hyperlink>
      <w:r>
        <w:rPr>
          <w:spacing w:val="-2"/>
        </w:rPr>
        <w:t xml:space="preserve"> </w:t>
      </w:r>
      <w:r>
        <w:t>Digital interventions are additionally help</w:t>
      </w:r>
      <w:r>
        <w:t>ful for advertising locations to acquire PrEP, particularly community-based locations.</w:t>
      </w:r>
      <w:hyperlink w:anchor="_bookmark157" w:history="1">
        <w:r>
          <w:rPr>
            <w:vertAlign w:val="superscript"/>
          </w:rPr>
          <w:t>63</w:t>
        </w:r>
      </w:hyperlink>
    </w:p>
    <w:p w:rsidR="00200FDA" w:rsidRDefault="00200FDA">
      <w:pPr>
        <w:pStyle w:val="BodyText"/>
        <w:spacing w:before="9"/>
        <w:rPr>
          <w:sz w:val="19"/>
        </w:rPr>
      </w:pPr>
    </w:p>
    <w:p w:rsidR="00200FDA" w:rsidRDefault="00F76C4C">
      <w:pPr>
        <w:pStyle w:val="BodyText"/>
        <w:spacing w:line="276" w:lineRule="auto"/>
        <w:ind w:left="139" w:right="392"/>
        <w:jc w:val="both"/>
      </w:pPr>
      <w:r>
        <w:t>It</w:t>
      </w:r>
      <w:r>
        <w:rPr>
          <w:spacing w:val="-13"/>
        </w:rPr>
        <w:t xml:space="preserve"> </w:t>
      </w:r>
      <w:r>
        <w:t>is</w:t>
      </w:r>
      <w:r>
        <w:rPr>
          <w:spacing w:val="-12"/>
        </w:rPr>
        <w:t xml:space="preserve"> </w:t>
      </w:r>
      <w:r>
        <w:t>equally</w:t>
      </w:r>
      <w:r>
        <w:rPr>
          <w:spacing w:val="-13"/>
        </w:rPr>
        <w:t xml:space="preserve"> </w:t>
      </w:r>
      <w:r>
        <w:t>important</w:t>
      </w:r>
      <w:r>
        <w:rPr>
          <w:spacing w:val="-11"/>
        </w:rPr>
        <w:t xml:space="preserve"> </w:t>
      </w:r>
      <w:r>
        <w:t>that</w:t>
      </w:r>
      <w:r>
        <w:rPr>
          <w:spacing w:val="-13"/>
        </w:rPr>
        <w:t xml:space="preserve"> </w:t>
      </w:r>
      <w:r>
        <w:t>any</w:t>
      </w:r>
      <w:r>
        <w:rPr>
          <w:spacing w:val="-11"/>
        </w:rPr>
        <w:t xml:space="preserve"> </w:t>
      </w:r>
      <w:r>
        <w:t>PrEP</w:t>
      </w:r>
      <w:r>
        <w:rPr>
          <w:spacing w:val="-13"/>
        </w:rPr>
        <w:t xml:space="preserve"> </w:t>
      </w:r>
      <w:r>
        <w:t>materials</w:t>
      </w:r>
      <w:r>
        <w:rPr>
          <w:spacing w:val="-12"/>
        </w:rPr>
        <w:t xml:space="preserve"> </w:t>
      </w:r>
      <w:r>
        <w:t>should</w:t>
      </w:r>
      <w:r>
        <w:rPr>
          <w:spacing w:val="-12"/>
        </w:rPr>
        <w:t xml:space="preserve"> </w:t>
      </w:r>
      <w:r>
        <w:t>be</w:t>
      </w:r>
      <w:r>
        <w:rPr>
          <w:spacing w:val="-12"/>
        </w:rPr>
        <w:t xml:space="preserve"> </w:t>
      </w:r>
      <w:r>
        <w:t>culturally</w:t>
      </w:r>
      <w:r>
        <w:rPr>
          <w:spacing w:val="-13"/>
        </w:rPr>
        <w:t xml:space="preserve"> </w:t>
      </w:r>
      <w:r>
        <w:t>relevant,</w:t>
      </w:r>
      <w:r>
        <w:rPr>
          <w:spacing w:val="-11"/>
        </w:rPr>
        <w:t xml:space="preserve"> </w:t>
      </w:r>
      <w:r>
        <w:t>community-created,</w:t>
      </w:r>
      <w:r>
        <w:rPr>
          <w:spacing w:val="-12"/>
        </w:rPr>
        <w:t xml:space="preserve"> </w:t>
      </w:r>
      <w:r>
        <w:t>avoid stigmatizing language, and include identity-labels that are commonly used by the priority populations.</w:t>
      </w:r>
      <w:hyperlink w:anchor="_bookmark158" w:history="1">
        <w:r>
          <w:rPr>
            <w:vertAlign w:val="superscript"/>
          </w:rPr>
          <w:t>64</w:t>
        </w:r>
      </w:hyperlink>
      <w:r>
        <w:t xml:space="preserve"> By using inclusive language and avoiding negative language about PrEP use, LGBTQ youth will be more likely to see</w:t>
      </w:r>
      <w:r>
        <w:t>k out PrEP, adhere to a PrEP regimen, and discuss PrEP use positively with friends and other LGBTQ youth.</w:t>
      </w:r>
      <w:hyperlink w:anchor="_bookmark159" w:history="1">
        <w:r>
          <w:rPr>
            <w:vertAlign w:val="superscript"/>
          </w:rPr>
          <w:t>65</w:t>
        </w:r>
      </w:hyperlink>
    </w:p>
    <w:p w:rsidR="00200FDA" w:rsidRDefault="00200FDA">
      <w:pPr>
        <w:pStyle w:val="BodyText"/>
        <w:rPr>
          <w:sz w:val="24"/>
        </w:rPr>
      </w:pPr>
    </w:p>
    <w:p w:rsidR="00200FDA" w:rsidRDefault="00F76C4C">
      <w:pPr>
        <w:pStyle w:val="Heading8"/>
        <w:spacing w:before="160"/>
      </w:pPr>
      <w:bookmarkStart w:id="346" w:name="Bullying_and_Cyberbullying_Interventions"/>
      <w:bookmarkEnd w:id="346"/>
      <w:r>
        <w:rPr>
          <w:color w:val="0A5293"/>
        </w:rPr>
        <w:t>Bullying</w:t>
      </w:r>
      <w:r>
        <w:rPr>
          <w:color w:val="0A5293"/>
          <w:spacing w:val="-3"/>
        </w:rPr>
        <w:t xml:space="preserve"> </w:t>
      </w:r>
      <w:r>
        <w:rPr>
          <w:color w:val="0A5293"/>
        </w:rPr>
        <w:t>and</w:t>
      </w:r>
      <w:r>
        <w:rPr>
          <w:color w:val="0A5293"/>
          <w:spacing w:val="-1"/>
        </w:rPr>
        <w:t xml:space="preserve"> </w:t>
      </w:r>
      <w:r>
        <w:rPr>
          <w:color w:val="0A5293"/>
        </w:rPr>
        <w:t>Cyberbullying</w:t>
      </w:r>
      <w:r>
        <w:rPr>
          <w:color w:val="0A5293"/>
          <w:spacing w:val="-1"/>
        </w:rPr>
        <w:t xml:space="preserve"> </w:t>
      </w:r>
      <w:r>
        <w:rPr>
          <w:color w:val="0A5293"/>
          <w:spacing w:val="-2"/>
        </w:rPr>
        <w:t>Interventions</w:t>
      </w:r>
    </w:p>
    <w:p w:rsidR="00200FDA" w:rsidRDefault="00200FDA">
      <w:pPr>
        <w:pStyle w:val="BodyText"/>
        <w:spacing w:before="7"/>
        <w:rPr>
          <w:sz w:val="19"/>
        </w:rPr>
      </w:pPr>
    </w:p>
    <w:p w:rsidR="00200FDA" w:rsidRDefault="00F76C4C">
      <w:pPr>
        <w:pStyle w:val="BodyText"/>
        <w:spacing w:before="1" w:line="276" w:lineRule="auto"/>
        <w:ind w:left="140" w:right="392"/>
        <w:jc w:val="both"/>
      </w:pPr>
      <w:r>
        <w:t>Bullying</w:t>
      </w:r>
      <w:r>
        <w:rPr>
          <w:spacing w:val="-9"/>
        </w:rPr>
        <w:t xml:space="preserve"> </w:t>
      </w:r>
      <w:r>
        <w:t>and</w:t>
      </w:r>
      <w:r>
        <w:rPr>
          <w:spacing w:val="-9"/>
        </w:rPr>
        <w:t xml:space="preserve"> </w:t>
      </w:r>
      <w:r>
        <w:t>cyberbullying</w:t>
      </w:r>
      <w:r>
        <w:rPr>
          <w:spacing w:val="-11"/>
        </w:rPr>
        <w:t xml:space="preserve"> </w:t>
      </w:r>
      <w:r>
        <w:t>are</w:t>
      </w:r>
      <w:r>
        <w:rPr>
          <w:spacing w:val="-8"/>
        </w:rPr>
        <w:t xml:space="preserve"> </w:t>
      </w:r>
      <w:r>
        <w:t>another</w:t>
      </w:r>
      <w:r>
        <w:rPr>
          <w:spacing w:val="-8"/>
        </w:rPr>
        <w:t xml:space="preserve"> </w:t>
      </w:r>
      <w:r>
        <w:t>significant</w:t>
      </w:r>
      <w:r>
        <w:rPr>
          <w:spacing w:val="-7"/>
        </w:rPr>
        <w:t xml:space="preserve"> </w:t>
      </w:r>
      <w:r>
        <w:t>issue</w:t>
      </w:r>
      <w:r>
        <w:rPr>
          <w:spacing w:val="-7"/>
        </w:rPr>
        <w:t xml:space="preserve"> </w:t>
      </w:r>
      <w:r>
        <w:t>faced</w:t>
      </w:r>
      <w:r>
        <w:rPr>
          <w:spacing w:val="-9"/>
        </w:rPr>
        <w:t xml:space="preserve"> </w:t>
      </w:r>
      <w:r>
        <w:t>by</w:t>
      </w:r>
      <w:r>
        <w:rPr>
          <w:spacing w:val="-10"/>
        </w:rPr>
        <w:t xml:space="preserve"> </w:t>
      </w:r>
      <w:r>
        <w:t>LGBTQ</w:t>
      </w:r>
      <w:r>
        <w:rPr>
          <w:spacing w:val="-10"/>
        </w:rPr>
        <w:t xml:space="preserve"> </w:t>
      </w:r>
      <w:r>
        <w:t>y</w:t>
      </w:r>
      <w:r>
        <w:t>outh</w:t>
      </w:r>
      <w:r>
        <w:rPr>
          <w:spacing w:val="-9"/>
        </w:rPr>
        <w:t xml:space="preserve"> </w:t>
      </w:r>
      <w:r>
        <w:t>and</w:t>
      </w:r>
      <w:r>
        <w:rPr>
          <w:spacing w:val="-9"/>
        </w:rPr>
        <w:t xml:space="preserve"> </w:t>
      </w:r>
      <w:r>
        <w:t>a</w:t>
      </w:r>
      <w:r>
        <w:rPr>
          <w:spacing w:val="-8"/>
        </w:rPr>
        <w:t xml:space="preserve"> </w:t>
      </w:r>
      <w:r>
        <w:t>major</w:t>
      </w:r>
      <w:r>
        <w:rPr>
          <w:spacing w:val="-8"/>
        </w:rPr>
        <w:t xml:space="preserve"> </w:t>
      </w:r>
      <w:r>
        <w:t>concern</w:t>
      </w:r>
      <w:r>
        <w:rPr>
          <w:spacing w:val="-9"/>
        </w:rPr>
        <w:t xml:space="preserve"> </w:t>
      </w:r>
      <w:r>
        <w:t>for public</w:t>
      </w:r>
      <w:r>
        <w:rPr>
          <w:spacing w:val="-4"/>
        </w:rPr>
        <w:t xml:space="preserve"> </w:t>
      </w:r>
      <w:r>
        <w:t>health</w:t>
      </w:r>
      <w:r>
        <w:rPr>
          <w:spacing w:val="-5"/>
        </w:rPr>
        <w:t xml:space="preserve"> </w:t>
      </w:r>
      <w:r>
        <w:t>practitioners.</w:t>
      </w:r>
      <w:r>
        <w:rPr>
          <w:spacing w:val="-7"/>
        </w:rPr>
        <w:t xml:space="preserve"> </w:t>
      </w:r>
      <w:r>
        <w:t>Like</w:t>
      </w:r>
      <w:r>
        <w:rPr>
          <w:spacing w:val="-4"/>
        </w:rPr>
        <w:t xml:space="preserve"> </w:t>
      </w:r>
      <w:r>
        <w:t>intimate</w:t>
      </w:r>
      <w:r>
        <w:rPr>
          <w:spacing w:val="-4"/>
        </w:rPr>
        <w:t xml:space="preserve"> </w:t>
      </w:r>
      <w:r>
        <w:t>partner</w:t>
      </w:r>
      <w:r>
        <w:rPr>
          <w:spacing w:val="-4"/>
        </w:rPr>
        <w:t xml:space="preserve"> </w:t>
      </w:r>
      <w:r>
        <w:t>violence,</w:t>
      </w:r>
      <w:r>
        <w:rPr>
          <w:spacing w:val="-4"/>
        </w:rPr>
        <w:t xml:space="preserve"> </w:t>
      </w:r>
      <w:r>
        <w:t>bullying</w:t>
      </w:r>
      <w:r>
        <w:rPr>
          <w:spacing w:val="-5"/>
        </w:rPr>
        <w:t xml:space="preserve"> </w:t>
      </w:r>
      <w:r>
        <w:t>and</w:t>
      </w:r>
      <w:r>
        <w:rPr>
          <w:spacing w:val="-5"/>
        </w:rPr>
        <w:t xml:space="preserve"> </w:t>
      </w:r>
      <w:r>
        <w:t>cyberbullying</w:t>
      </w:r>
      <w:r>
        <w:rPr>
          <w:spacing w:val="-5"/>
        </w:rPr>
        <w:t xml:space="preserve"> </w:t>
      </w:r>
      <w:r>
        <w:t>can</w:t>
      </w:r>
      <w:r>
        <w:rPr>
          <w:spacing w:val="-5"/>
        </w:rPr>
        <w:t xml:space="preserve"> </w:t>
      </w:r>
      <w:r>
        <w:t>have</w:t>
      </w:r>
      <w:r>
        <w:rPr>
          <w:spacing w:val="-4"/>
        </w:rPr>
        <w:t xml:space="preserve"> </w:t>
      </w:r>
      <w:r>
        <w:t>severe and lifelong consequences. Bullying can lead to adverse physical, emotional, mental, social, and educational outcomes, as well as increase the likelihood of substance use, suicidal ideation, and experiencing violence later in life.</w:t>
      </w:r>
      <w:hyperlink w:anchor="_bookmark160" w:history="1">
        <w:r>
          <w:rPr>
            <w:vertAlign w:val="superscript"/>
          </w:rPr>
          <w:t>66</w:t>
        </w:r>
      </w:hyperlink>
      <w:r>
        <w:rPr>
          <w:spacing w:val="-2"/>
        </w:rPr>
        <w:t xml:space="preserve"> </w:t>
      </w:r>
      <w:r>
        <w:t>Bullying can take the form of verbal, physical, or psychological aggression, with an increasing amount of bullying occurring digitally. As further discussed in the education section of this annual report, in Massachusetts, 54% of LGBTQ stu</w:t>
      </w:r>
      <w:r>
        <w:t>dents have experienced verbal harassment due to their sexuality, 17% have experienced physical harassment, and 8% have experienced physical assault.</w:t>
      </w:r>
      <w:hyperlink w:anchor="_bookmark161" w:history="1">
        <w:r>
          <w:rPr>
            <w:vertAlign w:val="superscript"/>
          </w:rPr>
          <w:t>67</w:t>
        </w:r>
      </w:hyperlink>
    </w:p>
    <w:p w:rsidR="00200FDA" w:rsidRDefault="00200FDA">
      <w:pPr>
        <w:pStyle w:val="BodyText"/>
        <w:spacing w:before="7"/>
        <w:rPr>
          <w:sz w:val="19"/>
        </w:rPr>
      </w:pPr>
    </w:p>
    <w:p w:rsidR="00200FDA" w:rsidRDefault="00F76C4C">
      <w:pPr>
        <w:pStyle w:val="BodyText"/>
        <w:spacing w:line="276" w:lineRule="auto"/>
        <w:ind w:left="139" w:right="392"/>
        <w:jc w:val="both"/>
      </w:pPr>
      <w:r>
        <w:t>Additionally,</w:t>
      </w:r>
      <w:r>
        <w:rPr>
          <w:spacing w:val="-9"/>
        </w:rPr>
        <w:t xml:space="preserve"> </w:t>
      </w:r>
      <w:r>
        <w:t>46%</w:t>
      </w:r>
      <w:r>
        <w:rPr>
          <w:spacing w:val="-8"/>
        </w:rPr>
        <w:t xml:space="preserve"> </w:t>
      </w:r>
      <w:r>
        <w:t>of</w:t>
      </w:r>
      <w:r>
        <w:rPr>
          <w:spacing w:val="-9"/>
        </w:rPr>
        <w:t xml:space="preserve"> </w:t>
      </w:r>
      <w:r>
        <w:t>Massachusetts</w:t>
      </w:r>
      <w:r>
        <w:rPr>
          <w:spacing w:val="-9"/>
        </w:rPr>
        <w:t xml:space="preserve"> </w:t>
      </w:r>
      <w:r>
        <w:t>LGBTQ</w:t>
      </w:r>
      <w:r>
        <w:rPr>
          <w:spacing w:val="-6"/>
        </w:rPr>
        <w:t xml:space="preserve"> </w:t>
      </w:r>
      <w:r>
        <w:t>students</w:t>
      </w:r>
      <w:r>
        <w:rPr>
          <w:spacing w:val="-7"/>
        </w:rPr>
        <w:t xml:space="preserve"> </w:t>
      </w:r>
      <w:r>
        <w:t>have</w:t>
      </w:r>
      <w:r>
        <w:rPr>
          <w:spacing w:val="-8"/>
        </w:rPr>
        <w:t xml:space="preserve"> </w:t>
      </w:r>
      <w:r>
        <w:t>experienced</w:t>
      </w:r>
      <w:r>
        <w:rPr>
          <w:spacing w:val="-10"/>
        </w:rPr>
        <w:t xml:space="preserve"> </w:t>
      </w:r>
      <w:r>
        <w:t>verba</w:t>
      </w:r>
      <w:r>
        <w:t>l</w:t>
      </w:r>
      <w:r>
        <w:rPr>
          <w:spacing w:val="-7"/>
        </w:rPr>
        <w:t xml:space="preserve"> </w:t>
      </w:r>
      <w:r>
        <w:t>harassment</w:t>
      </w:r>
      <w:r>
        <w:rPr>
          <w:spacing w:val="-6"/>
        </w:rPr>
        <w:t xml:space="preserve"> </w:t>
      </w:r>
      <w:r>
        <w:t>due</w:t>
      </w:r>
      <w:r>
        <w:rPr>
          <w:spacing w:val="-8"/>
        </w:rPr>
        <w:t xml:space="preserve"> </w:t>
      </w:r>
      <w:r>
        <w:t>to</w:t>
      </w:r>
      <w:r>
        <w:rPr>
          <w:spacing w:val="-8"/>
        </w:rPr>
        <w:t xml:space="preserve"> </w:t>
      </w:r>
      <w:r>
        <w:t>their gender, with 14% having experienced physical harassment and 7% having experienced physical assault;</w:t>
      </w:r>
      <w:hyperlink w:anchor="_bookmark162" w:history="1">
        <w:r>
          <w:rPr>
            <w:vertAlign w:val="superscript"/>
          </w:rPr>
          <w:t>68</w:t>
        </w:r>
      </w:hyperlink>
      <w:r>
        <w:t xml:space="preserve"> 68%</w:t>
      </w:r>
      <w:r>
        <w:rPr>
          <w:spacing w:val="21"/>
        </w:rPr>
        <w:t xml:space="preserve"> </w:t>
      </w:r>
      <w:r>
        <w:t>of</w:t>
      </w:r>
      <w:r>
        <w:rPr>
          <w:spacing w:val="23"/>
        </w:rPr>
        <w:t xml:space="preserve"> </w:t>
      </w:r>
      <w:r>
        <w:t>Massachusetts</w:t>
      </w:r>
      <w:r>
        <w:rPr>
          <w:spacing w:val="23"/>
        </w:rPr>
        <w:t xml:space="preserve"> </w:t>
      </w:r>
      <w:r>
        <w:t>students</w:t>
      </w:r>
      <w:r>
        <w:rPr>
          <w:spacing w:val="23"/>
        </w:rPr>
        <w:t xml:space="preserve"> </w:t>
      </w:r>
      <w:r>
        <w:t>regularly</w:t>
      </w:r>
      <w:r>
        <w:rPr>
          <w:spacing w:val="23"/>
        </w:rPr>
        <w:t xml:space="preserve"> </w:t>
      </w:r>
      <w:r>
        <w:t>heard</w:t>
      </w:r>
      <w:r>
        <w:rPr>
          <w:spacing w:val="22"/>
        </w:rPr>
        <w:t xml:space="preserve"> </w:t>
      </w:r>
      <w:r>
        <w:t>homophobic</w:t>
      </w:r>
      <w:r>
        <w:rPr>
          <w:spacing w:val="23"/>
        </w:rPr>
        <w:t xml:space="preserve"> </w:t>
      </w:r>
      <w:r>
        <w:t>remarks,</w:t>
      </w:r>
      <w:r>
        <w:rPr>
          <w:spacing w:val="21"/>
        </w:rPr>
        <w:t xml:space="preserve"> </w:t>
      </w:r>
      <w:r>
        <w:t>and</w:t>
      </w:r>
      <w:r>
        <w:rPr>
          <w:spacing w:val="22"/>
        </w:rPr>
        <w:t xml:space="preserve"> </w:t>
      </w:r>
      <w:r>
        <w:t>64%</w:t>
      </w:r>
      <w:r>
        <w:rPr>
          <w:spacing w:val="23"/>
        </w:rPr>
        <w:t xml:space="preserve"> </w:t>
      </w:r>
      <w:r>
        <w:t>regularly</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F76C4C">
      <w:pPr>
        <w:pStyle w:val="BodyText"/>
        <w:spacing w:before="154" w:line="276" w:lineRule="auto"/>
        <w:ind w:left="4850" w:right="394"/>
        <w:jc w:val="both"/>
      </w:pPr>
      <w:r>
        <w:rPr>
          <w:noProof/>
        </w:rPr>
        <w:lastRenderedPageBreak/>
        <w:drawing>
          <wp:anchor distT="0" distB="0" distL="0" distR="0" simplePos="0" relativeHeight="15750656" behindDoc="0" locked="0" layoutInCell="1" allowOverlap="1">
            <wp:simplePos x="0" y="0"/>
            <wp:positionH relativeFrom="page">
              <wp:posOffset>1018217</wp:posOffset>
            </wp:positionH>
            <wp:positionV relativeFrom="paragraph">
              <wp:posOffset>251887</wp:posOffset>
            </wp:positionV>
            <wp:extent cx="2641116" cy="2246609"/>
            <wp:effectExtent l="0" t="0" r="0" b="0"/>
            <wp:wrapNone/>
            <wp:docPr id="19"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2.jpeg"/>
                    <pic:cNvPicPr/>
                  </pic:nvPicPr>
                  <pic:blipFill>
                    <a:blip r:embed="rId177" cstate="print"/>
                    <a:stretch>
                      <a:fillRect/>
                    </a:stretch>
                  </pic:blipFill>
                  <pic:spPr>
                    <a:xfrm>
                      <a:off x="0" y="0"/>
                      <a:ext cx="2641116" cy="2246609"/>
                    </a:xfrm>
                    <a:prstGeom prst="rect">
                      <a:avLst/>
                    </a:prstGeom>
                  </pic:spPr>
                </pic:pic>
              </a:graphicData>
            </a:graphic>
          </wp:anchor>
        </w:drawing>
      </w:r>
      <w:r>
        <w:t xml:space="preserve">heard negative remarks about transgender people. </w:t>
      </w:r>
      <w:hyperlink w:anchor="_bookmark163" w:history="1">
        <w:r>
          <w:rPr>
            <w:vertAlign w:val="superscript"/>
          </w:rPr>
          <w:t>69</w:t>
        </w:r>
      </w:hyperlink>
      <w:r>
        <w:rPr>
          <w:spacing w:val="40"/>
        </w:rPr>
        <w:t xml:space="preserve"> </w:t>
      </w:r>
      <w:r>
        <w:t xml:space="preserve">Furthermore, 49.5% of students nationally frequently heard negative comments regarding ability, and 32.1% frequently heard racist comments. </w:t>
      </w:r>
      <w:hyperlink w:anchor="_bookmark164" w:history="1">
        <w:r>
          <w:rPr>
            <w:vertAlign w:val="superscript"/>
          </w:rPr>
          <w:t>70</w:t>
        </w:r>
      </w:hyperlink>
      <w:r>
        <w:t xml:space="preserve"> When it comes to cyberbullying</w:t>
      </w:r>
      <w:r>
        <w:rPr>
          <w:spacing w:val="-13"/>
        </w:rPr>
        <w:t xml:space="preserve"> </w:t>
      </w:r>
      <w:r>
        <w:t>nationally,</w:t>
      </w:r>
      <w:r>
        <w:rPr>
          <w:spacing w:val="-12"/>
        </w:rPr>
        <w:t xml:space="preserve"> </w:t>
      </w:r>
      <w:r>
        <w:t>in</w:t>
      </w:r>
      <w:r>
        <w:rPr>
          <w:spacing w:val="-13"/>
        </w:rPr>
        <w:t xml:space="preserve"> </w:t>
      </w:r>
      <w:r>
        <w:t>2021</w:t>
      </w:r>
      <w:r>
        <w:rPr>
          <w:spacing w:val="-12"/>
        </w:rPr>
        <w:t xml:space="preserve"> </w:t>
      </w:r>
      <w:r>
        <w:t>47.1%</w:t>
      </w:r>
      <w:r>
        <w:rPr>
          <w:spacing w:val="-13"/>
        </w:rPr>
        <w:t xml:space="preserve"> </w:t>
      </w:r>
      <w:r>
        <w:t>of</w:t>
      </w:r>
      <w:r>
        <w:rPr>
          <w:spacing w:val="-12"/>
        </w:rPr>
        <w:t xml:space="preserve"> </w:t>
      </w:r>
      <w:r>
        <w:t>LGBTQ students experienced some form of online harassment, with 34.6% of these students indicating that the harassment took place via social media direct message (</w:t>
      </w:r>
      <w:r>
        <w:t>DM), 20.4% indicating that the harassment took place via text, and 19.1% indicating that the harassment took place via a public social media post.</w:t>
      </w:r>
      <w:hyperlink w:anchor="_bookmark165" w:history="1">
        <w:r>
          <w:rPr>
            <w:vertAlign w:val="superscript"/>
          </w:rPr>
          <w:t>71</w:t>
        </w:r>
      </w:hyperlink>
    </w:p>
    <w:p w:rsidR="00200FDA" w:rsidRDefault="00200FDA">
      <w:pPr>
        <w:pStyle w:val="BodyText"/>
        <w:spacing w:before="1"/>
        <w:rPr>
          <w:sz w:val="15"/>
        </w:rPr>
      </w:pPr>
    </w:p>
    <w:p w:rsidR="00200FDA" w:rsidRDefault="00F76C4C">
      <w:pPr>
        <w:pStyle w:val="BodyText"/>
        <w:spacing w:before="56" w:line="276" w:lineRule="auto"/>
        <w:ind w:left="139" w:right="393" w:firstLine="4711"/>
        <w:jc w:val="both"/>
      </w:pPr>
      <w:r>
        <w:t xml:space="preserve">Individuals who were out as transgender or perceived as transgender faced </w:t>
      </w:r>
      <w:r>
        <w:t>significant amounts of mistreatment and harassment. According to the 2015 U.S. Transgender Survey: Massachusetts State Report, 73% of respondents experienced verbal,</w:t>
      </w:r>
      <w:r>
        <w:rPr>
          <w:spacing w:val="-4"/>
        </w:rPr>
        <w:t xml:space="preserve"> </w:t>
      </w:r>
      <w:r>
        <w:t>physical,</w:t>
      </w:r>
      <w:r>
        <w:rPr>
          <w:spacing w:val="-4"/>
        </w:rPr>
        <w:t xml:space="preserve"> </w:t>
      </w:r>
      <w:r>
        <w:t>and/or</w:t>
      </w:r>
      <w:r>
        <w:rPr>
          <w:spacing w:val="-4"/>
        </w:rPr>
        <w:t xml:space="preserve"> </w:t>
      </w:r>
      <w:r>
        <w:t>sexual</w:t>
      </w:r>
      <w:r>
        <w:rPr>
          <w:spacing w:val="-5"/>
        </w:rPr>
        <w:t xml:space="preserve"> </w:t>
      </w:r>
      <w:r>
        <w:t>mistreatment</w:t>
      </w:r>
      <w:r>
        <w:rPr>
          <w:spacing w:val="-4"/>
        </w:rPr>
        <w:t xml:space="preserve"> </w:t>
      </w:r>
      <w:r>
        <w:t>or</w:t>
      </w:r>
      <w:r>
        <w:rPr>
          <w:spacing w:val="-4"/>
        </w:rPr>
        <w:t xml:space="preserve"> </w:t>
      </w:r>
      <w:r>
        <w:t>harassment</w:t>
      </w:r>
      <w:r>
        <w:rPr>
          <w:spacing w:val="-4"/>
        </w:rPr>
        <w:t xml:space="preserve"> </w:t>
      </w:r>
      <w:r>
        <w:t>at</w:t>
      </w:r>
      <w:r>
        <w:rPr>
          <w:spacing w:val="-4"/>
        </w:rPr>
        <w:t xml:space="preserve"> </w:t>
      </w:r>
      <w:r>
        <w:t>some</w:t>
      </w:r>
      <w:r>
        <w:rPr>
          <w:spacing w:val="-4"/>
        </w:rPr>
        <w:t xml:space="preserve"> </w:t>
      </w:r>
      <w:r>
        <w:t>point</w:t>
      </w:r>
      <w:r>
        <w:rPr>
          <w:spacing w:val="-4"/>
        </w:rPr>
        <w:t xml:space="preserve"> </w:t>
      </w:r>
      <w:r>
        <w:t>between</w:t>
      </w:r>
      <w:r>
        <w:rPr>
          <w:spacing w:val="-5"/>
        </w:rPr>
        <w:t xml:space="preserve"> </w:t>
      </w:r>
      <w:r>
        <w:t>kindergarten</w:t>
      </w:r>
      <w:r>
        <w:rPr>
          <w:spacing w:val="-5"/>
        </w:rPr>
        <w:t xml:space="preserve"> </w:t>
      </w:r>
      <w:r>
        <w:t xml:space="preserve">and </w:t>
      </w:r>
      <w:r>
        <w:t>Grade</w:t>
      </w:r>
      <w:r>
        <w:rPr>
          <w:spacing w:val="-1"/>
        </w:rPr>
        <w:t xml:space="preserve"> </w:t>
      </w:r>
      <w:r>
        <w:t>12,</w:t>
      </w:r>
      <w:r>
        <w:rPr>
          <w:spacing w:val="-1"/>
        </w:rPr>
        <w:t xml:space="preserve"> </w:t>
      </w:r>
      <w:r>
        <w:t>with</w:t>
      </w:r>
      <w:r>
        <w:rPr>
          <w:spacing w:val="-2"/>
        </w:rPr>
        <w:t xml:space="preserve"> </w:t>
      </w:r>
      <w:r>
        <w:t>11%</w:t>
      </w:r>
      <w:r>
        <w:rPr>
          <w:spacing w:val="-1"/>
        </w:rPr>
        <w:t xml:space="preserve"> </w:t>
      </w:r>
      <w:r>
        <w:t>of</w:t>
      </w:r>
      <w:r>
        <w:rPr>
          <w:spacing w:val="-1"/>
        </w:rPr>
        <w:t xml:space="preserve"> </w:t>
      </w:r>
      <w:r>
        <w:t>respondents</w:t>
      </w:r>
      <w:r>
        <w:rPr>
          <w:spacing w:val="-1"/>
        </w:rPr>
        <w:t xml:space="preserve"> </w:t>
      </w:r>
      <w:r>
        <w:t>reporting that</w:t>
      </w:r>
      <w:r>
        <w:rPr>
          <w:spacing w:val="-1"/>
        </w:rPr>
        <w:t xml:space="preserve"> </w:t>
      </w:r>
      <w:r>
        <w:t>they had</w:t>
      </w:r>
      <w:r>
        <w:rPr>
          <w:spacing w:val="-2"/>
        </w:rPr>
        <w:t xml:space="preserve"> </w:t>
      </w:r>
      <w:r>
        <w:t>to</w:t>
      </w:r>
      <w:r>
        <w:rPr>
          <w:spacing w:val="-1"/>
        </w:rPr>
        <w:t xml:space="preserve"> </w:t>
      </w:r>
      <w:r>
        <w:t>leave</w:t>
      </w:r>
      <w:r>
        <w:rPr>
          <w:spacing w:val="-1"/>
        </w:rPr>
        <w:t xml:space="preserve"> </w:t>
      </w:r>
      <w:r>
        <w:t>the school due to</w:t>
      </w:r>
      <w:r>
        <w:rPr>
          <w:spacing w:val="-1"/>
        </w:rPr>
        <w:t xml:space="preserve"> </w:t>
      </w:r>
      <w:r>
        <w:t>the</w:t>
      </w:r>
      <w:r>
        <w:rPr>
          <w:spacing w:val="-1"/>
        </w:rPr>
        <w:t xml:space="preserve"> </w:t>
      </w:r>
      <w:r>
        <w:t>severity</w:t>
      </w:r>
      <w:r>
        <w:rPr>
          <w:spacing w:val="-1"/>
        </w:rPr>
        <w:t xml:space="preserve"> </w:t>
      </w:r>
      <w:r>
        <w:t xml:space="preserve">of the incidents. </w:t>
      </w:r>
      <w:hyperlink w:anchor="_bookmark166" w:history="1">
        <w:r>
          <w:rPr>
            <w:vertAlign w:val="superscript"/>
          </w:rPr>
          <w:t>72</w:t>
        </w:r>
      </w:hyperlink>
      <w:r>
        <w:t xml:space="preserve"> For slightly older individuals in college or vocational school, around 24% of respondents</w:t>
      </w:r>
      <w:r>
        <w:rPr>
          <w:spacing w:val="-13"/>
        </w:rPr>
        <w:t xml:space="preserve"> </w:t>
      </w:r>
      <w:r>
        <w:t>experienced</w:t>
      </w:r>
      <w:r>
        <w:rPr>
          <w:spacing w:val="-12"/>
        </w:rPr>
        <w:t xml:space="preserve"> </w:t>
      </w:r>
      <w:r>
        <w:t>some</w:t>
      </w:r>
      <w:r>
        <w:rPr>
          <w:spacing w:val="-13"/>
        </w:rPr>
        <w:t xml:space="preserve"> </w:t>
      </w:r>
      <w:r>
        <w:t>kind</w:t>
      </w:r>
      <w:r>
        <w:rPr>
          <w:spacing w:val="-12"/>
        </w:rPr>
        <w:t xml:space="preserve"> </w:t>
      </w:r>
      <w:r>
        <w:t>of</w:t>
      </w:r>
      <w:r>
        <w:rPr>
          <w:spacing w:val="-13"/>
        </w:rPr>
        <w:t xml:space="preserve"> </w:t>
      </w:r>
      <w:r>
        <w:t>verbal,</w:t>
      </w:r>
      <w:r>
        <w:rPr>
          <w:spacing w:val="-12"/>
        </w:rPr>
        <w:t xml:space="preserve"> </w:t>
      </w:r>
      <w:r>
        <w:t>physical,</w:t>
      </w:r>
      <w:r>
        <w:rPr>
          <w:spacing w:val="-13"/>
        </w:rPr>
        <w:t xml:space="preserve"> </w:t>
      </w:r>
      <w:r>
        <w:t>or</w:t>
      </w:r>
      <w:r>
        <w:rPr>
          <w:spacing w:val="-12"/>
        </w:rPr>
        <w:t xml:space="preserve"> </w:t>
      </w:r>
      <w:r>
        <w:t>sexual</w:t>
      </w:r>
      <w:r>
        <w:rPr>
          <w:spacing w:val="-12"/>
        </w:rPr>
        <w:t xml:space="preserve"> </w:t>
      </w:r>
      <w:r>
        <w:t>harassment</w:t>
      </w:r>
      <w:r>
        <w:rPr>
          <w:spacing w:val="-13"/>
        </w:rPr>
        <w:t xml:space="preserve"> </w:t>
      </w:r>
      <w:r>
        <w:t>during</w:t>
      </w:r>
      <w:r>
        <w:rPr>
          <w:spacing w:val="-12"/>
        </w:rPr>
        <w:t xml:space="preserve"> </w:t>
      </w:r>
      <w:r>
        <w:t>their</w:t>
      </w:r>
      <w:r>
        <w:rPr>
          <w:spacing w:val="-13"/>
        </w:rPr>
        <w:t xml:space="preserve"> </w:t>
      </w:r>
      <w:r>
        <w:t>time</w:t>
      </w:r>
      <w:r>
        <w:rPr>
          <w:spacing w:val="-12"/>
        </w:rPr>
        <w:t xml:space="preserve"> </w:t>
      </w:r>
      <w:r>
        <w:t>at</w:t>
      </w:r>
      <w:r>
        <w:rPr>
          <w:spacing w:val="-13"/>
        </w:rPr>
        <w:t xml:space="preserve"> </w:t>
      </w:r>
      <w:r>
        <w:t>their institution.</w:t>
      </w:r>
      <w:hyperlink w:anchor="_bookmark167" w:history="1">
        <w:r>
          <w:rPr>
            <w:vertAlign w:val="superscript"/>
          </w:rPr>
          <w:t>73</w:t>
        </w:r>
      </w:hyperlink>
      <w:r>
        <w:rPr>
          <w:spacing w:val="-2"/>
        </w:rPr>
        <w:t xml:space="preserve"> </w:t>
      </w:r>
      <w:r>
        <w:t>LGBTQ youth of color were particularly vulnerable to identity-based bullying. According to</w:t>
      </w:r>
      <w:r>
        <w:rPr>
          <w:spacing w:val="-1"/>
        </w:rPr>
        <w:t xml:space="preserve"> </w:t>
      </w:r>
      <w:r>
        <w:t>GLSEN’s</w:t>
      </w:r>
      <w:r>
        <w:rPr>
          <w:spacing w:val="-2"/>
        </w:rPr>
        <w:t xml:space="preserve"> </w:t>
      </w:r>
      <w:r>
        <w:t>National</w:t>
      </w:r>
      <w:r>
        <w:rPr>
          <w:spacing w:val="-2"/>
        </w:rPr>
        <w:t xml:space="preserve"> </w:t>
      </w:r>
      <w:r>
        <w:t>School</w:t>
      </w:r>
      <w:r>
        <w:rPr>
          <w:spacing w:val="-5"/>
        </w:rPr>
        <w:t xml:space="preserve"> </w:t>
      </w:r>
      <w:r>
        <w:t>Climate</w:t>
      </w:r>
      <w:r>
        <w:rPr>
          <w:spacing w:val="-1"/>
        </w:rPr>
        <w:t xml:space="preserve"> </w:t>
      </w:r>
      <w:r>
        <w:t>Survey,</w:t>
      </w:r>
      <w:r>
        <w:rPr>
          <w:spacing w:val="-4"/>
        </w:rPr>
        <w:t xml:space="preserve"> </w:t>
      </w:r>
      <w:r>
        <w:t>LGBTQ</w:t>
      </w:r>
      <w:r>
        <w:rPr>
          <w:spacing w:val="-2"/>
        </w:rPr>
        <w:t xml:space="preserve"> </w:t>
      </w:r>
      <w:r>
        <w:t>Native</w:t>
      </w:r>
      <w:r>
        <w:rPr>
          <w:spacing w:val="-1"/>
        </w:rPr>
        <w:t xml:space="preserve"> </w:t>
      </w:r>
      <w:r>
        <w:t>American</w:t>
      </w:r>
      <w:r>
        <w:rPr>
          <w:spacing w:val="-3"/>
        </w:rPr>
        <w:t xml:space="preserve"> </w:t>
      </w:r>
      <w:r>
        <w:t>and</w:t>
      </w:r>
      <w:r>
        <w:rPr>
          <w:spacing w:val="-3"/>
        </w:rPr>
        <w:t xml:space="preserve"> </w:t>
      </w:r>
      <w:r>
        <w:t>Indigenous</w:t>
      </w:r>
      <w:r>
        <w:rPr>
          <w:spacing w:val="-2"/>
        </w:rPr>
        <w:t xml:space="preserve"> </w:t>
      </w:r>
      <w:r>
        <w:t>students</w:t>
      </w:r>
      <w:r>
        <w:rPr>
          <w:spacing w:val="-2"/>
        </w:rPr>
        <w:t xml:space="preserve"> </w:t>
      </w:r>
      <w:r>
        <w:t>had</w:t>
      </w:r>
      <w:r>
        <w:rPr>
          <w:spacing w:val="-3"/>
        </w:rPr>
        <w:t xml:space="preserve"> </w:t>
      </w:r>
      <w:r>
        <w:t>the highest rates of in-person victimization for both sexual orientation (86.0%) and gender expression (82.8%), followed by LGBTQ Middle Eastern and North African (MENA) students (67.7% and 61.5%, respecti</w:t>
      </w:r>
      <w:r>
        <w:t>vely) and LGBTQ Latinx students (63.4% and 60.9%, respectively).</w:t>
      </w:r>
      <w:hyperlink w:anchor="_bookmark168" w:history="1">
        <w:r>
          <w:rPr>
            <w:vertAlign w:val="superscript"/>
          </w:rPr>
          <w:t>74</w:t>
        </w:r>
      </w:hyperlink>
      <w:r>
        <w:rPr>
          <w:spacing w:val="-2"/>
        </w:rPr>
        <w:t xml:space="preserve"> </w:t>
      </w:r>
      <w:r>
        <w:t>LGBTQ Native American and Indigenous students experienced the highest rates of in-person victimization based on race and ethnicity</w:t>
      </w:r>
      <w:r>
        <w:rPr>
          <w:spacing w:val="-8"/>
        </w:rPr>
        <w:t xml:space="preserve"> </w:t>
      </w:r>
      <w:r>
        <w:t>(63.8%),</w:t>
      </w:r>
      <w:r>
        <w:rPr>
          <w:spacing w:val="-7"/>
        </w:rPr>
        <w:t xml:space="preserve"> </w:t>
      </w:r>
      <w:r>
        <w:t>followed</w:t>
      </w:r>
      <w:r>
        <w:rPr>
          <w:spacing w:val="-10"/>
        </w:rPr>
        <w:t xml:space="preserve"> </w:t>
      </w:r>
      <w:r>
        <w:t>by</w:t>
      </w:r>
      <w:r>
        <w:rPr>
          <w:spacing w:val="-6"/>
        </w:rPr>
        <w:t xml:space="preserve"> </w:t>
      </w:r>
      <w:r>
        <w:t>LGBTQ</w:t>
      </w:r>
      <w:r>
        <w:rPr>
          <w:spacing w:val="-6"/>
        </w:rPr>
        <w:t xml:space="preserve"> </w:t>
      </w:r>
      <w:r>
        <w:t>Asian</w:t>
      </w:r>
      <w:r>
        <w:rPr>
          <w:spacing w:val="-7"/>
        </w:rPr>
        <w:t xml:space="preserve"> </w:t>
      </w:r>
      <w:r>
        <w:t>American</w:t>
      </w:r>
      <w:r>
        <w:rPr>
          <w:spacing w:val="-7"/>
        </w:rPr>
        <w:t xml:space="preserve"> </w:t>
      </w:r>
      <w:r>
        <w:t>and</w:t>
      </w:r>
      <w:r>
        <w:rPr>
          <w:spacing w:val="-7"/>
        </w:rPr>
        <w:t xml:space="preserve"> </w:t>
      </w:r>
      <w:r>
        <w:t>Pacific</w:t>
      </w:r>
      <w:r>
        <w:rPr>
          <w:spacing w:val="-6"/>
        </w:rPr>
        <w:t xml:space="preserve"> </w:t>
      </w:r>
      <w:r>
        <w:t>Islander</w:t>
      </w:r>
      <w:r>
        <w:rPr>
          <w:spacing w:val="-7"/>
        </w:rPr>
        <w:t xml:space="preserve"> </w:t>
      </w:r>
      <w:r>
        <w:t>(AAPI)</w:t>
      </w:r>
      <w:r>
        <w:rPr>
          <w:spacing w:val="-6"/>
        </w:rPr>
        <w:t xml:space="preserve"> </w:t>
      </w:r>
      <w:r>
        <w:t>students</w:t>
      </w:r>
      <w:r>
        <w:rPr>
          <w:spacing w:val="-7"/>
        </w:rPr>
        <w:t xml:space="preserve"> </w:t>
      </w:r>
      <w:r>
        <w:t>(62.8%)</w:t>
      </w:r>
      <w:r>
        <w:rPr>
          <w:spacing w:val="-6"/>
        </w:rPr>
        <w:t xml:space="preserve"> </w:t>
      </w:r>
      <w:r>
        <w:t xml:space="preserve">and LGBTQ Black students (55.2%). </w:t>
      </w:r>
      <w:hyperlink w:anchor="_bookmark169" w:history="1">
        <w:r>
          <w:rPr>
            <w:vertAlign w:val="superscript"/>
          </w:rPr>
          <w:t>75</w:t>
        </w:r>
      </w:hyperlink>
      <w:r>
        <w:t xml:space="preserve"> Online, LGBTQ Native American and Indigenous students experienced victimization based on sexual orientation (60.8%) and gender</w:t>
      </w:r>
      <w:r>
        <w:t xml:space="preserve"> expression (59.7%) at significantly higher rates than any other racial or ethnic group.</w:t>
      </w:r>
      <w:hyperlink w:anchor="_bookmark170" w:history="1">
        <w:r>
          <w:rPr>
            <w:vertAlign w:val="superscript"/>
          </w:rPr>
          <w:t>76</w:t>
        </w:r>
      </w:hyperlink>
    </w:p>
    <w:p w:rsidR="00200FDA" w:rsidRDefault="00200FDA">
      <w:pPr>
        <w:pStyle w:val="BodyText"/>
        <w:spacing w:before="6"/>
        <w:rPr>
          <w:sz w:val="19"/>
        </w:rPr>
      </w:pPr>
    </w:p>
    <w:p w:rsidR="00200FDA" w:rsidRDefault="00F76C4C">
      <w:pPr>
        <w:pStyle w:val="BodyText"/>
        <w:spacing w:before="1" w:line="276" w:lineRule="auto"/>
        <w:ind w:left="139" w:right="392"/>
        <w:jc w:val="both"/>
      </w:pPr>
      <w:r>
        <w:t>Regarding digital technology, social media is a multi-faceted and complex tool that can affect LGBTQ youth both positively and negat</w:t>
      </w:r>
      <w:r>
        <w:t>ively. According to the Trevor Project’s 2021 National Survey on LGBTQ+ Youth Mental Health, LGBTQ youth stated that social media had both “positive (96%) and negative (88%)” effects on their mental health.</w:t>
      </w:r>
      <w:hyperlink w:anchor="_bookmark171" w:history="1">
        <w:r>
          <w:rPr>
            <w:vertAlign w:val="superscript"/>
          </w:rPr>
          <w:t>77</w:t>
        </w:r>
      </w:hyperlink>
      <w:r>
        <w:rPr>
          <w:spacing w:val="-1"/>
        </w:rPr>
        <w:t xml:space="preserve"> </w:t>
      </w:r>
      <w:r>
        <w:t>On one hand, so</w:t>
      </w:r>
      <w:r>
        <w:t>cial media allows youth to connect with LGBTQ peers when they may otherwise have no safe physical space to engage with their community. For example, youth may use social media to explore their identities, chat with other LGBTQ</w:t>
      </w:r>
      <w:r>
        <w:rPr>
          <w:spacing w:val="-3"/>
        </w:rPr>
        <w:t xml:space="preserve"> </w:t>
      </w:r>
      <w:r>
        <w:t>youth,</w:t>
      </w:r>
      <w:r>
        <w:rPr>
          <w:spacing w:val="-3"/>
        </w:rPr>
        <w:t xml:space="preserve"> </w:t>
      </w:r>
      <w:r>
        <w:t>or</w:t>
      </w:r>
      <w:r>
        <w:rPr>
          <w:spacing w:val="-1"/>
        </w:rPr>
        <w:t xml:space="preserve"> </w:t>
      </w:r>
      <w:r>
        <w:t>find</w:t>
      </w:r>
      <w:r>
        <w:rPr>
          <w:spacing w:val="-2"/>
        </w:rPr>
        <w:t xml:space="preserve"> </w:t>
      </w:r>
      <w:r>
        <w:t>reprieve</w:t>
      </w:r>
      <w:r>
        <w:rPr>
          <w:spacing w:val="-3"/>
        </w:rPr>
        <w:t xml:space="preserve"> </w:t>
      </w:r>
      <w:r>
        <w:t>from</w:t>
      </w:r>
      <w:r>
        <w:rPr>
          <w:spacing w:val="-2"/>
        </w:rPr>
        <w:t xml:space="preserve"> </w:t>
      </w:r>
      <w:r>
        <w:t>a</w:t>
      </w:r>
      <w:r>
        <w:rPr>
          <w:spacing w:val="-1"/>
        </w:rPr>
        <w:t xml:space="preserve"> </w:t>
      </w:r>
      <w:r>
        <w:t>stressful</w:t>
      </w:r>
      <w:r>
        <w:rPr>
          <w:spacing w:val="-1"/>
        </w:rPr>
        <w:t xml:space="preserve"> </w:t>
      </w:r>
      <w:r>
        <w:t>home</w:t>
      </w:r>
      <w:r>
        <w:rPr>
          <w:spacing w:val="-3"/>
        </w:rPr>
        <w:t xml:space="preserve"> </w:t>
      </w:r>
      <w:r>
        <w:t>or</w:t>
      </w:r>
      <w:r>
        <w:rPr>
          <w:spacing w:val="-1"/>
        </w:rPr>
        <w:t xml:space="preserve"> </w:t>
      </w:r>
      <w:r>
        <w:t>school</w:t>
      </w:r>
      <w:r>
        <w:rPr>
          <w:spacing w:val="-1"/>
        </w:rPr>
        <w:t xml:space="preserve"> </w:t>
      </w:r>
      <w:r>
        <w:t>situation.</w:t>
      </w:r>
      <w:hyperlink w:anchor="_bookmark172" w:history="1">
        <w:r>
          <w:rPr>
            <w:vertAlign w:val="superscript"/>
          </w:rPr>
          <w:t>78</w:t>
        </w:r>
      </w:hyperlink>
      <w:r>
        <w:rPr>
          <w:spacing w:val="-2"/>
        </w:rPr>
        <w:t xml:space="preserve"> </w:t>
      </w:r>
      <w:r>
        <w:t>LGBTQ</w:t>
      </w:r>
      <w:r>
        <w:rPr>
          <w:spacing w:val="-3"/>
        </w:rPr>
        <w:t xml:space="preserve"> </w:t>
      </w:r>
      <w:r>
        <w:t>youth</w:t>
      </w:r>
      <w:r>
        <w:rPr>
          <w:spacing w:val="-2"/>
        </w:rPr>
        <w:t xml:space="preserve"> </w:t>
      </w:r>
      <w:r>
        <w:t>living</w:t>
      </w:r>
      <w:r>
        <w:rPr>
          <w:spacing w:val="-2"/>
        </w:rPr>
        <w:t xml:space="preserve"> </w:t>
      </w:r>
      <w:r>
        <w:t>in</w:t>
      </w:r>
      <w:r>
        <w:rPr>
          <w:spacing w:val="-2"/>
        </w:rPr>
        <w:t xml:space="preserve"> </w:t>
      </w:r>
      <w:r>
        <w:t>rural or remote areas, in particular, expressed that social media was a vital tool to avoid feelings of isolation.</w:t>
      </w:r>
      <w:r>
        <w:rPr>
          <w:spacing w:val="-13"/>
        </w:rPr>
        <w:t xml:space="preserve"> </w:t>
      </w:r>
      <w:hyperlink w:anchor="_bookmark173" w:history="1">
        <w:r>
          <w:rPr>
            <w:vertAlign w:val="superscript"/>
          </w:rPr>
          <w:t>79</w:t>
        </w:r>
      </w:hyperlink>
      <w:r>
        <w:t xml:space="preserve"> Additionally, meta-analysis has shown that positive social media use can lead to a reduction in mental illness symptoms and improvement in overall well-being.</w:t>
      </w:r>
      <w:hyperlink w:anchor="_bookmark174" w:history="1">
        <w:r>
          <w:rPr>
            <w:vertAlign w:val="superscript"/>
          </w:rPr>
          <w:t>80</w:t>
        </w:r>
      </w:hyperlink>
      <w:r>
        <w:rPr>
          <w:spacing w:val="-1"/>
        </w:rPr>
        <w:t xml:space="preserve"> </w:t>
      </w:r>
      <w:r>
        <w:t xml:space="preserve">On the other hand, social media allows bullies easy access to </w:t>
      </w:r>
      <w:r>
        <w:t>vulnerable youth.</w:t>
      </w:r>
    </w:p>
    <w:p w:rsidR="00200FDA" w:rsidRDefault="00200FDA">
      <w:pPr>
        <w:pStyle w:val="BodyText"/>
        <w:spacing w:before="9"/>
        <w:rPr>
          <w:sz w:val="19"/>
        </w:rPr>
      </w:pPr>
    </w:p>
    <w:p w:rsidR="00200FDA" w:rsidRDefault="00F76C4C">
      <w:pPr>
        <w:pStyle w:val="BodyText"/>
        <w:spacing w:line="276" w:lineRule="auto"/>
        <w:ind w:left="140" w:right="396"/>
        <w:jc w:val="both"/>
      </w:pPr>
      <w:r>
        <w:t>There</w:t>
      </w:r>
      <w:r>
        <w:rPr>
          <w:spacing w:val="-1"/>
        </w:rPr>
        <w:t xml:space="preserve"> </w:t>
      </w:r>
      <w:r>
        <w:t>are</w:t>
      </w:r>
      <w:r>
        <w:rPr>
          <w:spacing w:val="-1"/>
        </w:rPr>
        <w:t xml:space="preserve"> </w:t>
      </w:r>
      <w:r>
        <w:t>a number</w:t>
      </w:r>
      <w:r>
        <w:rPr>
          <w:spacing w:val="-2"/>
        </w:rPr>
        <w:t xml:space="preserve"> </w:t>
      </w:r>
      <w:r>
        <w:t>of</w:t>
      </w:r>
      <w:r>
        <w:rPr>
          <w:spacing w:val="-2"/>
        </w:rPr>
        <w:t xml:space="preserve"> </w:t>
      </w:r>
      <w:r>
        <w:t>interventions</w:t>
      </w:r>
      <w:r>
        <w:rPr>
          <w:spacing w:val="-2"/>
        </w:rPr>
        <w:t xml:space="preserve"> </w:t>
      </w:r>
      <w:r>
        <w:t>that</w:t>
      </w:r>
      <w:r>
        <w:rPr>
          <w:spacing w:val="-1"/>
        </w:rPr>
        <w:t xml:space="preserve"> </w:t>
      </w:r>
      <w:r>
        <w:t>can be</w:t>
      </w:r>
      <w:r>
        <w:rPr>
          <w:spacing w:val="-1"/>
        </w:rPr>
        <w:t xml:space="preserve"> </w:t>
      </w:r>
      <w:r>
        <w:t>taken to</w:t>
      </w:r>
      <w:r>
        <w:rPr>
          <w:spacing w:val="-1"/>
        </w:rPr>
        <w:t xml:space="preserve"> </w:t>
      </w:r>
      <w:r>
        <w:t>both prevent</w:t>
      </w:r>
      <w:r>
        <w:rPr>
          <w:spacing w:val="-1"/>
        </w:rPr>
        <w:t xml:space="preserve"> </w:t>
      </w:r>
      <w:r>
        <w:t>bullying</w:t>
      </w:r>
      <w:r>
        <w:rPr>
          <w:spacing w:val="-3"/>
        </w:rPr>
        <w:t xml:space="preserve"> </w:t>
      </w:r>
      <w:r>
        <w:t>and cyberbullying,</w:t>
      </w:r>
      <w:r>
        <w:rPr>
          <w:spacing w:val="-2"/>
        </w:rPr>
        <w:t xml:space="preserve"> </w:t>
      </w:r>
      <w:r>
        <w:t>as well</w:t>
      </w:r>
      <w:r>
        <w:rPr>
          <w:spacing w:val="-1"/>
        </w:rPr>
        <w:t xml:space="preserve"> </w:t>
      </w:r>
      <w:r>
        <w:t>as</w:t>
      </w:r>
      <w:r>
        <w:rPr>
          <w:spacing w:val="-2"/>
        </w:rPr>
        <w:t xml:space="preserve"> </w:t>
      </w:r>
      <w:r>
        <w:t>mitigate their</w:t>
      </w:r>
      <w:r>
        <w:rPr>
          <w:spacing w:val="-1"/>
        </w:rPr>
        <w:t xml:space="preserve"> </w:t>
      </w:r>
      <w:r>
        <w:t>negative long-term</w:t>
      </w:r>
      <w:r>
        <w:rPr>
          <w:spacing w:val="-1"/>
        </w:rPr>
        <w:t xml:space="preserve"> </w:t>
      </w:r>
      <w:r>
        <w:t>effects.</w:t>
      </w:r>
      <w:r>
        <w:rPr>
          <w:spacing w:val="-2"/>
        </w:rPr>
        <w:t xml:space="preserve"> </w:t>
      </w:r>
      <w:r>
        <w:t>Because bullying</w:t>
      </w:r>
      <w:r>
        <w:rPr>
          <w:spacing w:val="-1"/>
        </w:rPr>
        <w:t xml:space="preserve"> </w:t>
      </w:r>
      <w:r>
        <w:t>and</w:t>
      </w:r>
      <w:r>
        <w:rPr>
          <w:spacing w:val="-3"/>
        </w:rPr>
        <w:t xml:space="preserve"> </w:t>
      </w:r>
      <w:r>
        <w:t>cyberbullying</w:t>
      </w:r>
      <w:r>
        <w:rPr>
          <w:spacing w:val="-1"/>
        </w:rPr>
        <w:t xml:space="preserve"> </w:t>
      </w:r>
      <w:r>
        <w:t>involve</w:t>
      </w:r>
      <w:r>
        <w:rPr>
          <w:spacing w:val="-1"/>
        </w:rPr>
        <w:t xml:space="preserve"> </w:t>
      </w:r>
      <w:r>
        <w:t>so</w:t>
      </w:r>
      <w:r>
        <w:rPr>
          <w:spacing w:val="-3"/>
        </w:rPr>
        <w:t xml:space="preserve"> </w:t>
      </w:r>
      <w:r>
        <w:t>many</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F76C4C">
      <w:pPr>
        <w:pStyle w:val="BodyText"/>
        <w:spacing w:before="154" w:line="276" w:lineRule="auto"/>
        <w:ind w:left="139" w:right="394"/>
        <w:jc w:val="both"/>
      </w:pPr>
      <w:r>
        <w:lastRenderedPageBreak/>
        <w:t>actors (the bull</w:t>
      </w:r>
      <w:r>
        <w:t>ies, the bullied, and the bystanders), these issues are often tackled through interventions</w:t>
      </w:r>
      <w:r>
        <w:rPr>
          <w:spacing w:val="-5"/>
        </w:rPr>
        <w:t xml:space="preserve"> </w:t>
      </w:r>
      <w:r>
        <w:t>at</w:t>
      </w:r>
      <w:r>
        <w:rPr>
          <w:spacing w:val="-8"/>
        </w:rPr>
        <w:t xml:space="preserve"> </w:t>
      </w:r>
      <w:r>
        <w:t>multiple</w:t>
      </w:r>
      <w:r>
        <w:rPr>
          <w:spacing w:val="-5"/>
        </w:rPr>
        <w:t xml:space="preserve"> </w:t>
      </w:r>
      <w:r>
        <w:t>levels</w:t>
      </w:r>
      <w:r>
        <w:rPr>
          <w:spacing w:val="-8"/>
        </w:rPr>
        <w:t xml:space="preserve"> </w:t>
      </w:r>
      <w:r>
        <w:t>of</w:t>
      </w:r>
      <w:r>
        <w:rPr>
          <w:spacing w:val="-6"/>
        </w:rPr>
        <w:t xml:space="preserve"> </w:t>
      </w:r>
      <w:r>
        <w:t>the</w:t>
      </w:r>
      <w:r>
        <w:rPr>
          <w:spacing w:val="-5"/>
        </w:rPr>
        <w:t xml:space="preserve"> </w:t>
      </w:r>
      <w:r>
        <w:t>SEM.</w:t>
      </w:r>
      <w:r>
        <w:rPr>
          <w:spacing w:val="-6"/>
        </w:rPr>
        <w:t xml:space="preserve"> </w:t>
      </w:r>
      <w:r>
        <w:t>Fostering</w:t>
      </w:r>
      <w:r>
        <w:rPr>
          <w:spacing w:val="-6"/>
        </w:rPr>
        <w:t xml:space="preserve"> </w:t>
      </w:r>
      <w:r>
        <w:t>an</w:t>
      </w:r>
      <w:r>
        <w:rPr>
          <w:spacing w:val="-6"/>
        </w:rPr>
        <w:t xml:space="preserve"> </w:t>
      </w:r>
      <w:r>
        <w:t>inclusive</w:t>
      </w:r>
      <w:r>
        <w:rPr>
          <w:spacing w:val="-5"/>
        </w:rPr>
        <w:t xml:space="preserve"> </w:t>
      </w:r>
      <w:r>
        <w:t>school</w:t>
      </w:r>
      <w:r>
        <w:rPr>
          <w:spacing w:val="-6"/>
        </w:rPr>
        <w:t xml:space="preserve"> </w:t>
      </w:r>
      <w:r>
        <w:t>climate</w:t>
      </w:r>
      <w:r>
        <w:rPr>
          <w:spacing w:val="-5"/>
        </w:rPr>
        <w:t xml:space="preserve"> </w:t>
      </w:r>
      <w:r>
        <w:t>is</w:t>
      </w:r>
      <w:r>
        <w:rPr>
          <w:spacing w:val="-8"/>
        </w:rPr>
        <w:t xml:space="preserve"> </w:t>
      </w:r>
      <w:r>
        <w:t>widely</w:t>
      </w:r>
      <w:r>
        <w:rPr>
          <w:spacing w:val="-5"/>
        </w:rPr>
        <w:t xml:space="preserve"> </w:t>
      </w:r>
      <w:r>
        <w:t>regarded</w:t>
      </w:r>
      <w:r>
        <w:rPr>
          <w:spacing w:val="-6"/>
        </w:rPr>
        <w:t xml:space="preserve"> </w:t>
      </w:r>
      <w:r>
        <w:t>as a crucial primary component to bullying prevention. This can be done through a variety of methods, including supporting GSAs, implementing anti-bullying policies and inclusive practices, and providing anti-bullying training to students, faculty, and sta</w:t>
      </w:r>
      <w:r>
        <w:t xml:space="preserve">ff. Although teachers are in a prime position to intervene and prevent bullying, very few have received LGBTQ-specific training or support. </w:t>
      </w:r>
      <w:hyperlink w:anchor="_bookmark175" w:history="1">
        <w:r>
          <w:rPr>
            <w:vertAlign w:val="superscript"/>
          </w:rPr>
          <w:t>81</w:t>
        </w:r>
      </w:hyperlink>
      <w:r>
        <w:t xml:space="preserve"> Nationally,</w:t>
      </w:r>
      <w:r>
        <w:rPr>
          <w:spacing w:val="-2"/>
        </w:rPr>
        <w:t xml:space="preserve"> </w:t>
      </w:r>
      <w:r>
        <w:t>69.6%</w:t>
      </w:r>
      <w:r>
        <w:rPr>
          <w:spacing w:val="-1"/>
        </w:rPr>
        <w:t xml:space="preserve"> </w:t>
      </w:r>
      <w:r>
        <w:t>of</w:t>
      </w:r>
      <w:r>
        <w:rPr>
          <w:spacing w:val="-2"/>
        </w:rPr>
        <w:t xml:space="preserve"> </w:t>
      </w:r>
      <w:r>
        <w:t>students reported that they</w:t>
      </w:r>
      <w:r>
        <w:rPr>
          <w:spacing w:val="-1"/>
        </w:rPr>
        <w:t xml:space="preserve"> </w:t>
      </w:r>
      <w:r>
        <w:t>did</w:t>
      </w:r>
      <w:r>
        <w:rPr>
          <w:spacing w:val="-3"/>
        </w:rPr>
        <w:t xml:space="preserve"> </w:t>
      </w:r>
      <w:r>
        <w:t>not report an</w:t>
      </w:r>
      <w:r>
        <w:rPr>
          <w:spacing w:val="-3"/>
        </w:rPr>
        <w:t xml:space="preserve"> </w:t>
      </w:r>
      <w:r>
        <w:t>incident</w:t>
      </w:r>
      <w:r>
        <w:rPr>
          <w:spacing w:val="-1"/>
        </w:rPr>
        <w:t xml:space="preserve"> </w:t>
      </w:r>
      <w:r>
        <w:t>of ha</w:t>
      </w:r>
      <w:r>
        <w:t>rassment</w:t>
      </w:r>
      <w:r>
        <w:rPr>
          <w:spacing w:val="-1"/>
        </w:rPr>
        <w:t xml:space="preserve"> </w:t>
      </w:r>
      <w:r>
        <w:t>or</w:t>
      </w:r>
      <w:r>
        <w:rPr>
          <w:spacing w:val="-2"/>
        </w:rPr>
        <w:t xml:space="preserve"> </w:t>
      </w:r>
      <w:r>
        <w:t>bullying due to a</w:t>
      </w:r>
      <w:r>
        <w:rPr>
          <w:spacing w:val="-2"/>
        </w:rPr>
        <w:t xml:space="preserve"> </w:t>
      </w:r>
      <w:r>
        <w:t>lack</w:t>
      </w:r>
      <w:r>
        <w:rPr>
          <w:spacing w:val="-3"/>
        </w:rPr>
        <w:t xml:space="preserve"> </w:t>
      </w:r>
      <w:r>
        <w:t>of confidence</w:t>
      </w:r>
      <w:r>
        <w:rPr>
          <w:spacing w:val="-3"/>
        </w:rPr>
        <w:t xml:space="preserve"> </w:t>
      </w:r>
      <w:r>
        <w:t>in</w:t>
      </w:r>
      <w:r>
        <w:rPr>
          <w:spacing w:val="-1"/>
        </w:rPr>
        <w:t xml:space="preserve"> </w:t>
      </w:r>
      <w:r>
        <w:t>school</w:t>
      </w:r>
      <w:r>
        <w:rPr>
          <w:spacing w:val="-4"/>
        </w:rPr>
        <w:t xml:space="preserve"> </w:t>
      </w:r>
      <w:r>
        <w:t>staff responding</w:t>
      </w:r>
      <w:r>
        <w:rPr>
          <w:spacing w:val="-2"/>
        </w:rPr>
        <w:t xml:space="preserve"> </w:t>
      </w:r>
      <w:r>
        <w:t>appropriately</w:t>
      </w:r>
      <w:r>
        <w:rPr>
          <w:spacing w:val="-1"/>
        </w:rPr>
        <w:t xml:space="preserve"> </w:t>
      </w:r>
      <w:r>
        <w:t>to the report.</w:t>
      </w:r>
      <w:hyperlink w:anchor="_bookmark176" w:history="1">
        <w:r>
          <w:rPr>
            <w:vertAlign w:val="superscript"/>
          </w:rPr>
          <w:t>82</w:t>
        </w:r>
      </w:hyperlink>
      <w:r>
        <w:rPr>
          <w:spacing w:val="-3"/>
        </w:rPr>
        <w:t xml:space="preserve"> </w:t>
      </w:r>
      <w:r>
        <w:t>Nationally,</w:t>
      </w:r>
      <w:r>
        <w:rPr>
          <w:spacing w:val="-3"/>
        </w:rPr>
        <w:t xml:space="preserve"> </w:t>
      </w:r>
      <w:r>
        <w:t>only</w:t>
      </w:r>
      <w:r>
        <w:rPr>
          <w:spacing w:val="-2"/>
        </w:rPr>
        <w:t xml:space="preserve"> </w:t>
      </w:r>
      <w:r>
        <w:t xml:space="preserve">a third of teachers have received training in how to support LGBTQ students and only a quarter have </w:t>
      </w:r>
      <w:r>
        <w:t xml:space="preserve">received a similar training regarding transgender students, </w:t>
      </w:r>
      <w:r>
        <w:rPr>
          <w:color w:val="000000"/>
          <w:shd w:val="clear" w:color="auto" w:fill="FBFBFB"/>
        </w:rPr>
        <w:t>leaving the majority of teachers unaware</w:t>
      </w:r>
      <w:r>
        <w:rPr>
          <w:color w:val="000000"/>
        </w:rPr>
        <w:t xml:space="preserve"> </w:t>
      </w:r>
      <w:r>
        <w:rPr>
          <w:color w:val="000000"/>
          <w:shd w:val="clear" w:color="auto" w:fill="FBFBFB"/>
        </w:rPr>
        <w:t>of how to appropriately support students who may come forward to report bullying.</w:t>
      </w:r>
      <w:hyperlink w:anchor="_bookmark178" w:history="1">
        <w:r>
          <w:rPr>
            <w:color w:val="000000"/>
            <w:vertAlign w:val="superscript"/>
          </w:rPr>
          <w:t>83</w:t>
        </w:r>
      </w:hyperlink>
    </w:p>
    <w:p w:rsidR="00200FDA" w:rsidRDefault="00200FDA">
      <w:pPr>
        <w:pStyle w:val="BodyText"/>
        <w:rPr>
          <w:sz w:val="20"/>
        </w:rPr>
      </w:pPr>
    </w:p>
    <w:p w:rsidR="00200FDA" w:rsidRDefault="00200FDA">
      <w:pPr>
        <w:pStyle w:val="BodyText"/>
        <w:rPr>
          <w:sz w:val="20"/>
        </w:rPr>
      </w:pPr>
    </w:p>
    <w:p w:rsidR="00200FDA" w:rsidRDefault="00F76C4C">
      <w:pPr>
        <w:pStyle w:val="BodyText"/>
        <w:spacing w:before="11"/>
        <w:rPr>
          <w:sz w:val="10"/>
        </w:rPr>
      </w:pPr>
      <w:r>
        <w:rPr>
          <w:noProof/>
        </w:rPr>
        <w:drawing>
          <wp:anchor distT="0" distB="0" distL="0" distR="0" simplePos="0" relativeHeight="44" behindDoc="0" locked="0" layoutInCell="1" allowOverlap="1">
            <wp:simplePos x="0" y="0"/>
            <wp:positionH relativeFrom="page">
              <wp:posOffset>925594</wp:posOffset>
            </wp:positionH>
            <wp:positionV relativeFrom="paragraph">
              <wp:posOffset>100302</wp:posOffset>
            </wp:positionV>
            <wp:extent cx="5743812" cy="3804570"/>
            <wp:effectExtent l="0" t="0" r="0" b="0"/>
            <wp:wrapTopAndBottom/>
            <wp:docPr id="21"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3.jpeg"/>
                    <pic:cNvPicPr/>
                  </pic:nvPicPr>
                  <pic:blipFill>
                    <a:blip r:embed="rId178" cstate="print"/>
                    <a:stretch>
                      <a:fillRect/>
                    </a:stretch>
                  </pic:blipFill>
                  <pic:spPr>
                    <a:xfrm>
                      <a:off x="0" y="0"/>
                      <a:ext cx="5743812" cy="3804570"/>
                    </a:xfrm>
                    <a:prstGeom prst="rect">
                      <a:avLst/>
                    </a:prstGeom>
                  </pic:spPr>
                </pic:pic>
              </a:graphicData>
            </a:graphic>
          </wp:anchor>
        </w:drawing>
      </w:r>
    </w:p>
    <w:p w:rsidR="00200FDA" w:rsidRDefault="00200FDA">
      <w:pPr>
        <w:pStyle w:val="BodyText"/>
        <w:rPr>
          <w:sz w:val="20"/>
        </w:rPr>
      </w:pPr>
    </w:p>
    <w:p w:rsidR="00200FDA" w:rsidRDefault="00200FDA">
      <w:pPr>
        <w:pStyle w:val="BodyText"/>
        <w:spacing w:before="7"/>
        <w:rPr>
          <w:sz w:val="29"/>
        </w:rPr>
      </w:pPr>
    </w:p>
    <w:p w:rsidR="00200FDA" w:rsidRDefault="00F76C4C">
      <w:pPr>
        <w:pStyle w:val="BodyText"/>
        <w:spacing w:before="57" w:line="276" w:lineRule="auto"/>
        <w:ind w:left="139" w:right="393"/>
        <w:jc w:val="both"/>
      </w:pPr>
      <w:r>
        <w:rPr>
          <w:color w:val="000000"/>
          <w:shd w:val="clear" w:color="auto" w:fill="FBFBFB"/>
        </w:rPr>
        <w:t>This</w:t>
      </w:r>
      <w:r>
        <w:rPr>
          <w:color w:val="000000"/>
          <w:spacing w:val="-1"/>
          <w:shd w:val="clear" w:color="auto" w:fill="FBFBFB"/>
        </w:rPr>
        <w:t xml:space="preserve"> </w:t>
      </w:r>
      <w:r>
        <w:rPr>
          <w:color w:val="000000"/>
          <w:shd w:val="clear" w:color="auto" w:fill="FBFBFB"/>
        </w:rPr>
        <w:t>lack</w:t>
      </w:r>
      <w:r>
        <w:rPr>
          <w:color w:val="000000"/>
          <w:spacing w:val="-5"/>
          <w:shd w:val="clear" w:color="auto" w:fill="FBFBFB"/>
        </w:rPr>
        <w:t xml:space="preserve"> </w:t>
      </w:r>
      <w:r>
        <w:rPr>
          <w:color w:val="000000"/>
          <w:shd w:val="clear" w:color="auto" w:fill="FBFBFB"/>
        </w:rPr>
        <w:t>of</w:t>
      </w:r>
      <w:r>
        <w:rPr>
          <w:color w:val="000000"/>
          <w:spacing w:val="-1"/>
          <w:shd w:val="clear" w:color="auto" w:fill="FBFBFB"/>
        </w:rPr>
        <w:t xml:space="preserve"> </w:t>
      </w:r>
      <w:r>
        <w:rPr>
          <w:color w:val="000000"/>
          <w:shd w:val="clear" w:color="auto" w:fill="FBFBFB"/>
        </w:rPr>
        <w:t>knowledge is</w:t>
      </w:r>
      <w:r>
        <w:rPr>
          <w:color w:val="000000"/>
          <w:spacing w:val="-6"/>
          <w:shd w:val="clear" w:color="auto" w:fill="FBFBFB"/>
        </w:rPr>
        <w:t xml:space="preserve"> </w:t>
      </w:r>
      <w:r>
        <w:rPr>
          <w:color w:val="000000"/>
          <w:shd w:val="clear" w:color="auto" w:fill="FBFBFB"/>
        </w:rPr>
        <w:t>multiplied</w:t>
      </w:r>
      <w:r>
        <w:rPr>
          <w:color w:val="000000"/>
          <w:spacing w:val="-2"/>
          <w:shd w:val="clear" w:color="auto" w:fill="FBFBFB"/>
        </w:rPr>
        <w:t xml:space="preserve"> </w:t>
      </w:r>
      <w:r>
        <w:rPr>
          <w:color w:val="000000"/>
          <w:shd w:val="clear" w:color="auto" w:fill="FBFBFB"/>
        </w:rPr>
        <w:t>for</w:t>
      </w:r>
      <w:r>
        <w:rPr>
          <w:color w:val="000000"/>
          <w:spacing w:val="-3"/>
          <w:shd w:val="clear" w:color="auto" w:fill="FBFBFB"/>
        </w:rPr>
        <w:t xml:space="preserve"> </w:t>
      </w:r>
      <w:r>
        <w:rPr>
          <w:color w:val="000000"/>
          <w:shd w:val="clear" w:color="auto" w:fill="FBFBFB"/>
        </w:rPr>
        <w:t>LGBTQ</w:t>
      </w:r>
      <w:r>
        <w:rPr>
          <w:color w:val="000000"/>
          <w:spacing w:val="-3"/>
          <w:shd w:val="clear" w:color="auto" w:fill="FBFBFB"/>
        </w:rPr>
        <w:t xml:space="preserve"> </w:t>
      </w:r>
      <w:r>
        <w:rPr>
          <w:color w:val="000000"/>
          <w:shd w:val="clear" w:color="auto" w:fill="FBFBFB"/>
        </w:rPr>
        <w:t>students</w:t>
      </w:r>
      <w:r>
        <w:rPr>
          <w:color w:val="000000"/>
          <w:spacing w:val="-1"/>
          <w:shd w:val="clear" w:color="auto" w:fill="FBFBFB"/>
        </w:rPr>
        <w:t xml:space="preserve"> </w:t>
      </w:r>
      <w:r>
        <w:rPr>
          <w:color w:val="000000"/>
          <w:shd w:val="clear" w:color="auto" w:fill="FBFBFB"/>
        </w:rPr>
        <w:t>of</w:t>
      </w:r>
      <w:r>
        <w:rPr>
          <w:color w:val="000000"/>
          <w:spacing w:val="-3"/>
          <w:shd w:val="clear" w:color="auto" w:fill="FBFBFB"/>
        </w:rPr>
        <w:t xml:space="preserve"> </w:t>
      </w:r>
      <w:r>
        <w:rPr>
          <w:color w:val="000000"/>
          <w:shd w:val="clear" w:color="auto" w:fill="FBFBFB"/>
        </w:rPr>
        <w:t>color,</w:t>
      </w:r>
      <w:r>
        <w:rPr>
          <w:color w:val="000000"/>
          <w:spacing w:val="-3"/>
          <w:shd w:val="clear" w:color="auto" w:fill="FBFBFB"/>
        </w:rPr>
        <w:t xml:space="preserve"> </w:t>
      </w:r>
      <w:r>
        <w:rPr>
          <w:color w:val="000000"/>
          <w:shd w:val="clear" w:color="auto" w:fill="FBFBFB"/>
        </w:rPr>
        <w:t>who</w:t>
      </w:r>
      <w:r>
        <w:rPr>
          <w:color w:val="000000"/>
          <w:spacing w:val="-2"/>
          <w:shd w:val="clear" w:color="auto" w:fill="FBFBFB"/>
        </w:rPr>
        <w:t xml:space="preserve"> </w:t>
      </w:r>
      <w:r>
        <w:rPr>
          <w:color w:val="000000"/>
          <w:shd w:val="clear" w:color="auto" w:fill="FBFBFB"/>
        </w:rPr>
        <w:t>feel</w:t>
      </w:r>
      <w:r>
        <w:rPr>
          <w:color w:val="000000"/>
          <w:spacing w:val="-4"/>
          <w:shd w:val="clear" w:color="auto" w:fill="FBFBFB"/>
        </w:rPr>
        <w:t xml:space="preserve"> </w:t>
      </w:r>
      <w:r>
        <w:rPr>
          <w:color w:val="000000"/>
          <w:shd w:val="clear" w:color="auto" w:fill="FBFBFB"/>
        </w:rPr>
        <w:t>even</w:t>
      </w:r>
      <w:r>
        <w:rPr>
          <w:color w:val="000000"/>
          <w:spacing w:val="-4"/>
          <w:shd w:val="clear" w:color="auto" w:fill="FBFBFB"/>
        </w:rPr>
        <w:t xml:space="preserve"> </w:t>
      </w:r>
      <w:r>
        <w:rPr>
          <w:color w:val="000000"/>
          <w:shd w:val="clear" w:color="auto" w:fill="FBFBFB"/>
        </w:rPr>
        <w:t>less</w:t>
      </w:r>
      <w:r>
        <w:rPr>
          <w:color w:val="000000"/>
          <w:spacing w:val="-1"/>
          <w:shd w:val="clear" w:color="auto" w:fill="FBFBFB"/>
        </w:rPr>
        <w:t xml:space="preserve"> </w:t>
      </w:r>
      <w:r>
        <w:rPr>
          <w:color w:val="000000"/>
          <w:shd w:val="clear" w:color="auto" w:fill="FBFBFB"/>
        </w:rPr>
        <w:t>supported</w:t>
      </w:r>
      <w:r>
        <w:rPr>
          <w:color w:val="000000"/>
          <w:spacing w:val="-2"/>
          <w:shd w:val="clear" w:color="auto" w:fill="FBFBFB"/>
        </w:rPr>
        <w:t xml:space="preserve"> </w:t>
      </w:r>
      <w:r>
        <w:rPr>
          <w:color w:val="000000"/>
          <w:shd w:val="clear" w:color="auto" w:fill="FBFBFB"/>
        </w:rPr>
        <w:t>due</w:t>
      </w:r>
      <w:r>
        <w:rPr>
          <w:color w:val="000000"/>
          <w:spacing w:val="-3"/>
          <w:shd w:val="clear" w:color="auto" w:fill="FBFBFB"/>
        </w:rPr>
        <w:t xml:space="preserve"> </w:t>
      </w:r>
      <w:r>
        <w:rPr>
          <w:color w:val="000000"/>
          <w:shd w:val="clear" w:color="auto" w:fill="FBFBFB"/>
        </w:rPr>
        <w:t>to</w:t>
      </w:r>
      <w:r>
        <w:rPr>
          <w:color w:val="000000"/>
        </w:rPr>
        <w:t xml:space="preserve"> </w:t>
      </w:r>
      <w:r>
        <w:rPr>
          <w:color w:val="000000"/>
          <w:shd w:val="clear" w:color="auto" w:fill="FBFBFB"/>
        </w:rPr>
        <w:t>having to explain both their sexual orientation and/or gender identity, as well as their racial and/or</w:t>
      </w:r>
      <w:r>
        <w:rPr>
          <w:color w:val="000000"/>
        </w:rPr>
        <w:t xml:space="preserve"> </w:t>
      </w:r>
      <w:r>
        <w:rPr>
          <w:color w:val="000000"/>
          <w:shd w:val="clear" w:color="auto" w:fill="FBFBFB"/>
        </w:rPr>
        <w:t>ethnic identity to faculty and staff members before receiving assistance.</w:t>
      </w:r>
      <w:r>
        <w:rPr>
          <w:color w:val="000000"/>
          <w:spacing w:val="-8"/>
          <w:shd w:val="clear" w:color="auto" w:fill="FBFBFB"/>
        </w:rPr>
        <w:t xml:space="preserve"> </w:t>
      </w:r>
      <w:hyperlink w:anchor="_bookmark177" w:history="1">
        <w:r>
          <w:rPr>
            <w:color w:val="000000"/>
            <w:vertAlign w:val="superscript"/>
          </w:rPr>
          <w:t>84</w:t>
        </w:r>
      </w:hyperlink>
      <w:r>
        <w:rPr>
          <w:color w:val="000000"/>
        </w:rPr>
        <w:t xml:space="preserve"> The Massachusetts Department</w:t>
      </w:r>
      <w:r>
        <w:rPr>
          <w:color w:val="000000"/>
          <w:spacing w:val="-4"/>
        </w:rPr>
        <w:t xml:space="preserve"> </w:t>
      </w:r>
      <w:r>
        <w:rPr>
          <w:color w:val="000000"/>
        </w:rPr>
        <w:t>of</w:t>
      </w:r>
      <w:r>
        <w:rPr>
          <w:color w:val="000000"/>
          <w:spacing w:val="-5"/>
        </w:rPr>
        <w:t xml:space="preserve"> </w:t>
      </w:r>
      <w:r>
        <w:rPr>
          <w:color w:val="000000"/>
        </w:rPr>
        <w:t>Elementary</w:t>
      </w:r>
      <w:r>
        <w:rPr>
          <w:color w:val="000000"/>
          <w:spacing w:val="-6"/>
        </w:rPr>
        <w:t xml:space="preserve"> </w:t>
      </w:r>
      <w:r>
        <w:rPr>
          <w:color w:val="000000"/>
        </w:rPr>
        <w:t>and</w:t>
      </w:r>
      <w:r>
        <w:rPr>
          <w:color w:val="000000"/>
          <w:spacing w:val="-5"/>
        </w:rPr>
        <w:t xml:space="preserve"> </w:t>
      </w:r>
      <w:r>
        <w:rPr>
          <w:color w:val="000000"/>
        </w:rPr>
        <w:t>Secondary</w:t>
      </w:r>
      <w:r>
        <w:rPr>
          <w:color w:val="000000"/>
          <w:spacing w:val="-4"/>
        </w:rPr>
        <w:t xml:space="preserve"> </w:t>
      </w:r>
      <w:r>
        <w:rPr>
          <w:color w:val="000000"/>
        </w:rPr>
        <w:t>Education</w:t>
      </w:r>
      <w:r>
        <w:rPr>
          <w:color w:val="000000"/>
          <w:spacing w:val="-5"/>
        </w:rPr>
        <w:t xml:space="preserve"> </w:t>
      </w:r>
      <w:r>
        <w:rPr>
          <w:color w:val="000000"/>
        </w:rPr>
        <w:t>(DESE)</w:t>
      </w:r>
      <w:r>
        <w:rPr>
          <w:color w:val="000000"/>
          <w:spacing w:val="-4"/>
        </w:rPr>
        <w:t xml:space="preserve"> </w:t>
      </w:r>
      <w:r>
        <w:rPr>
          <w:color w:val="000000"/>
        </w:rPr>
        <w:t>and</w:t>
      </w:r>
      <w:r>
        <w:rPr>
          <w:color w:val="000000"/>
          <w:spacing w:val="-5"/>
        </w:rPr>
        <w:t xml:space="preserve"> </w:t>
      </w:r>
      <w:r>
        <w:rPr>
          <w:color w:val="000000"/>
        </w:rPr>
        <w:t>the</w:t>
      </w:r>
      <w:r>
        <w:rPr>
          <w:color w:val="000000"/>
          <w:spacing w:val="-4"/>
        </w:rPr>
        <w:t xml:space="preserve"> </w:t>
      </w:r>
      <w:r>
        <w:rPr>
          <w:color w:val="000000"/>
        </w:rPr>
        <w:t>Commission</w:t>
      </w:r>
      <w:r>
        <w:rPr>
          <w:color w:val="000000"/>
          <w:spacing w:val="-7"/>
        </w:rPr>
        <w:t xml:space="preserve"> </w:t>
      </w:r>
      <w:r>
        <w:rPr>
          <w:color w:val="000000"/>
        </w:rPr>
        <w:t>jointly</w:t>
      </w:r>
      <w:r>
        <w:rPr>
          <w:color w:val="000000"/>
          <w:spacing w:val="-4"/>
        </w:rPr>
        <w:t xml:space="preserve"> </w:t>
      </w:r>
      <w:r>
        <w:rPr>
          <w:color w:val="000000"/>
        </w:rPr>
        <w:t>host</w:t>
      </w:r>
      <w:r>
        <w:rPr>
          <w:color w:val="000000"/>
          <w:spacing w:val="-4"/>
        </w:rPr>
        <w:t xml:space="preserve"> </w:t>
      </w:r>
      <w:r>
        <w:rPr>
          <w:color w:val="000000"/>
        </w:rPr>
        <w:t>the</w:t>
      </w:r>
      <w:r>
        <w:rPr>
          <w:color w:val="000000"/>
          <w:spacing w:val="-4"/>
        </w:rPr>
        <w:t xml:space="preserve"> </w:t>
      </w:r>
      <w:r>
        <w:rPr>
          <w:color w:val="000000"/>
        </w:rPr>
        <w:t>Safe Schools Program for LGBTQ Students, which supports schools through curriculum development, professional trai</w:t>
      </w:r>
      <w:r>
        <w:rPr>
          <w:color w:val="000000"/>
        </w:rPr>
        <w:t>nings, and management of the Massachusetts Gender and Sexuality Alliance (GSA) Student Leadership Council.</w:t>
      </w:r>
      <w:hyperlink w:anchor="_bookmark179" w:history="1">
        <w:r>
          <w:rPr>
            <w:color w:val="000000"/>
            <w:vertAlign w:val="superscript"/>
          </w:rPr>
          <w:t>85</w:t>
        </w:r>
      </w:hyperlink>
      <w:r>
        <w:rPr>
          <w:color w:val="000000"/>
          <w:spacing w:val="-2"/>
        </w:rPr>
        <w:t xml:space="preserve"> </w:t>
      </w:r>
      <w:r>
        <w:rPr>
          <w:color w:val="000000"/>
        </w:rPr>
        <w:t>Although the training content and length varies from school to school, students</w:t>
      </w:r>
      <w:r>
        <w:rPr>
          <w:color w:val="000000"/>
          <w:spacing w:val="-6"/>
        </w:rPr>
        <w:t xml:space="preserve"> </w:t>
      </w:r>
      <w:r>
        <w:rPr>
          <w:color w:val="000000"/>
        </w:rPr>
        <w:t>whose</w:t>
      </w:r>
      <w:r>
        <w:rPr>
          <w:color w:val="000000"/>
          <w:spacing w:val="-7"/>
        </w:rPr>
        <w:t xml:space="preserve"> </w:t>
      </w:r>
      <w:r>
        <w:rPr>
          <w:color w:val="000000"/>
        </w:rPr>
        <w:t>teachers</w:t>
      </w:r>
      <w:r>
        <w:rPr>
          <w:color w:val="000000"/>
          <w:spacing w:val="-5"/>
        </w:rPr>
        <w:t xml:space="preserve"> </w:t>
      </w:r>
      <w:r>
        <w:rPr>
          <w:color w:val="000000"/>
        </w:rPr>
        <w:t>received</w:t>
      </w:r>
      <w:r>
        <w:rPr>
          <w:color w:val="000000"/>
          <w:spacing w:val="-6"/>
        </w:rPr>
        <w:t xml:space="preserve"> </w:t>
      </w:r>
      <w:r>
        <w:rPr>
          <w:color w:val="000000"/>
        </w:rPr>
        <w:t>Safe</w:t>
      </w:r>
      <w:r>
        <w:rPr>
          <w:color w:val="000000"/>
          <w:spacing w:val="-5"/>
        </w:rPr>
        <w:t xml:space="preserve"> </w:t>
      </w:r>
      <w:r>
        <w:rPr>
          <w:color w:val="000000"/>
        </w:rPr>
        <w:t>School</w:t>
      </w:r>
      <w:r>
        <w:rPr>
          <w:color w:val="000000"/>
        </w:rPr>
        <w:t>s</w:t>
      </w:r>
      <w:r>
        <w:rPr>
          <w:color w:val="000000"/>
          <w:spacing w:val="-8"/>
        </w:rPr>
        <w:t xml:space="preserve"> </w:t>
      </w:r>
      <w:r>
        <w:rPr>
          <w:color w:val="000000"/>
        </w:rPr>
        <w:t>Program</w:t>
      </w:r>
      <w:r>
        <w:rPr>
          <w:color w:val="000000"/>
          <w:spacing w:val="-4"/>
        </w:rPr>
        <w:t xml:space="preserve"> </w:t>
      </w:r>
      <w:r>
        <w:rPr>
          <w:color w:val="000000"/>
        </w:rPr>
        <w:t>training</w:t>
      </w:r>
      <w:r>
        <w:rPr>
          <w:color w:val="000000"/>
          <w:spacing w:val="-6"/>
        </w:rPr>
        <w:t xml:space="preserve"> </w:t>
      </w:r>
      <w:r>
        <w:rPr>
          <w:color w:val="000000"/>
        </w:rPr>
        <w:t>did</w:t>
      </w:r>
      <w:r>
        <w:rPr>
          <w:color w:val="000000"/>
          <w:spacing w:val="-6"/>
        </w:rPr>
        <w:t xml:space="preserve"> </w:t>
      </w:r>
      <w:r>
        <w:rPr>
          <w:color w:val="000000"/>
        </w:rPr>
        <w:t>report</w:t>
      </w:r>
      <w:r>
        <w:rPr>
          <w:color w:val="000000"/>
          <w:spacing w:val="-5"/>
        </w:rPr>
        <w:t xml:space="preserve"> </w:t>
      </w:r>
      <w:r>
        <w:rPr>
          <w:color w:val="000000"/>
        </w:rPr>
        <w:t>feeling</w:t>
      </w:r>
      <w:r>
        <w:rPr>
          <w:color w:val="000000"/>
          <w:spacing w:val="-6"/>
        </w:rPr>
        <w:t xml:space="preserve"> </w:t>
      </w:r>
      <w:r>
        <w:rPr>
          <w:color w:val="000000"/>
        </w:rPr>
        <w:t>more</w:t>
      </w:r>
      <w:r>
        <w:rPr>
          <w:color w:val="000000"/>
          <w:spacing w:val="-5"/>
        </w:rPr>
        <w:t xml:space="preserve"> </w:t>
      </w:r>
      <w:r>
        <w:rPr>
          <w:color w:val="000000"/>
        </w:rPr>
        <w:t>supported.</w:t>
      </w:r>
      <w:hyperlink w:anchor="_bookmark180" w:history="1">
        <w:r>
          <w:rPr>
            <w:color w:val="000000"/>
            <w:vertAlign w:val="superscript"/>
          </w:rPr>
          <w:t>86</w:t>
        </w:r>
      </w:hyperlink>
      <w:r>
        <w:rPr>
          <w:color w:val="000000"/>
        </w:rPr>
        <w:t xml:space="preserve"> However, Massachusetts students indicated that they wish that faculty and staff received more intersectional training, stating that faculty and staff members were often</w:t>
      </w:r>
      <w:r>
        <w:rPr>
          <w:color w:val="000000"/>
        </w:rPr>
        <w:t xml:space="preserve"> not aware of the specific vulnerabilities</w:t>
      </w:r>
      <w:r>
        <w:rPr>
          <w:color w:val="000000"/>
          <w:spacing w:val="36"/>
        </w:rPr>
        <w:t xml:space="preserve"> </w:t>
      </w:r>
      <w:r>
        <w:rPr>
          <w:color w:val="000000"/>
        </w:rPr>
        <w:t>faced</w:t>
      </w:r>
      <w:r>
        <w:rPr>
          <w:color w:val="000000"/>
          <w:spacing w:val="36"/>
        </w:rPr>
        <w:t xml:space="preserve"> </w:t>
      </w:r>
      <w:r>
        <w:rPr>
          <w:color w:val="000000"/>
        </w:rPr>
        <w:t>by</w:t>
      </w:r>
      <w:r>
        <w:rPr>
          <w:color w:val="000000"/>
          <w:spacing w:val="37"/>
        </w:rPr>
        <w:t xml:space="preserve"> </w:t>
      </w:r>
      <w:r>
        <w:rPr>
          <w:color w:val="000000"/>
        </w:rPr>
        <w:t>students</w:t>
      </w:r>
      <w:r>
        <w:rPr>
          <w:color w:val="000000"/>
          <w:spacing w:val="36"/>
        </w:rPr>
        <w:t xml:space="preserve"> </w:t>
      </w:r>
      <w:r>
        <w:rPr>
          <w:color w:val="000000"/>
        </w:rPr>
        <w:t>with</w:t>
      </w:r>
      <w:r>
        <w:rPr>
          <w:color w:val="000000"/>
          <w:spacing w:val="34"/>
        </w:rPr>
        <w:t xml:space="preserve"> </w:t>
      </w:r>
      <w:r>
        <w:rPr>
          <w:color w:val="000000"/>
        </w:rPr>
        <w:t>multiple</w:t>
      </w:r>
      <w:r>
        <w:rPr>
          <w:color w:val="000000"/>
          <w:spacing w:val="35"/>
        </w:rPr>
        <w:t xml:space="preserve"> </w:t>
      </w:r>
      <w:r>
        <w:rPr>
          <w:color w:val="000000"/>
        </w:rPr>
        <w:t>marginalized</w:t>
      </w:r>
      <w:r>
        <w:rPr>
          <w:color w:val="000000"/>
          <w:spacing w:val="36"/>
        </w:rPr>
        <w:t xml:space="preserve"> </w:t>
      </w:r>
      <w:r>
        <w:rPr>
          <w:color w:val="000000"/>
        </w:rPr>
        <w:t>identities.</w:t>
      </w:r>
      <w:r>
        <w:rPr>
          <w:color w:val="000000"/>
          <w:spacing w:val="-27"/>
        </w:rPr>
        <w:t xml:space="preserve"> </w:t>
      </w:r>
      <w:hyperlink w:anchor="_bookmark181" w:history="1">
        <w:r>
          <w:rPr>
            <w:color w:val="000000"/>
            <w:vertAlign w:val="superscript"/>
          </w:rPr>
          <w:t>87</w:t>
        </w:r>
      </w:hyperlink>
      <w:r>
        <w:rPr>
          <w:color w:val="000000"/>
          <w:spacing w:val="15"/>
        </w:rPr>
        <w:t xml:space="preserve"> </w:t>
      </w:r>
      <w:r>
        <w:rPr>
          <w:color w:val="000000"/>
          <w:shd w:val="clear" w:color="auto" w:fill="FBFBFB"/>
        </w:rPr>
        <w:t>This</w:t>
      </w:r>
      <w:r>
        <w:rPr>
          <w:color w:val="000000"/>
          <w:spacing w:val="36"/>
          <w:shd w:val="clear" w:color="auto" w:fill="FBFBFB"/>
        </w:rPr>
        <w:t xml:space="preserve"> </w:t>
      </w:r>
      <w:r>
        <w:rPr>
          <w:color w:val="000000"/>
          <w:shd w:val="clear" w:color="auto" w:fill="FBFBFB"/>
        </w:rPr>
        <w:t>issue</w:t>
      </w:r>
      <w:r>
        <w:rPr>
          <w:color w:val="000000"/>
          <w:spacing w:val="36"/>
          <w:shd w:val="clear" w:color="auto" w:fill="FBFBFB"/>
        </w:rPr>
        <w:t xml:space="preserve"> </w:t>
      </w:r>
      <w:r>
        <w:rPr>
          <w:color w:val="000000"/>
          <w:shd w:val="clear" w:color="auto" w:fill="FBFBFB"/>
        </w:rPr>
        <w:t>became</w:t>
      </w:r>
      <w:r>
        <w:rPr>
          <w:color w:val="000000"/>
          <w:spacing w:val="35"/>
          <w:shd w:val="clear" w:color="auto" w:fill="FBFBFB"/>
        </w:rPr>
        <w:t xml:space="preserve"> </w:t>
      </w:r>
      <w:r>
        <w:rPr>
          <w:color w:val="000000"/>
          <w:shd w:val="clear" w:color="auto" w:fill="FBFBFB"/>
        </w:rPr>
        <w:t>more</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F76C4C">
      <w:pPr>
        <w:pStyle w:val="BodyText"/>
        <w:spacing w:before="154" w:line="276" w:lineRule="auto"/>
        <w:ind w:left="140" w:right="391"/>
        <w:jc w:val="both"/>
      </w:pPr>
      <w:r>
        <w:rPr>
          <w:color w:val="000000"/>
          <w:shd w:val="clear" w:color="auto" w:fill="FBFBFB"/>
        </w:rPr>
        <w:lastRenderedPageBreak/>
        <w:t>prominent at institutions where faculty and staff members do not share similar identities to their</w:t>
      </w:r>
      <w:r>
        <w:rPr>
          <w:color w:val="000000"/>
        </w:rPr>
        <w:t xml:space="preserve"> </w:t>
      </w:r>
      <w:r>
        <w:rPr>
          <w:color w:val="000000"/>
          <w:spacing w:val="-2"/>
          <w:shd w:val="clear" w:color="auto" w:fill="FBFBFB"/>
        </w:rPr>
        <w:t>students.</w:t>
      </w:r>
      <w:hyperlink w:anchor="_bookmark182" w:history="1">
        <w:r>
          <w:rPr>
            <w:color w:val="000000"/>
            <w:spacing w:val="-2"/>
            <w:vertAlign w:val="superscript"/>
          </w:rPr>
          <w:t>88</w:t>
        </w:r>
      </w:hyperlink>
    </w:p>
    <w:p w:rsidR="00200FDA" w:rsidRDefault="00200FDA">
      <w:pPr>
        <w:pStyle w:val="BodyText"/>
        <w:spacing w:before="7"/>
        <w:rPr>
          <w:sz w:val="19"/>
        </w:rPr>
      </w:pPr>
    </w:p>
    <w:p w:rsidR="00200FDA" w:rsidRDefault="00F76C4C">
      <w:pPr>
        <w:pStyle w:val="BodyText"/>
        <w:spacing w:line="276" w:lineRule="auto"/>
        <w:ind w:left="139" w:right="394"/>
        <w:jc w:val="both"/>
      </w:pPr>
      <w:r>
        <w:t>Likewise, GSAs have been shown to have a profoundly positive impact on LGBTQ youth, particularly trans and gende</w:t>
      </w:r>
      <w:r>
        <w:t>r expansive youth, and serve as protective factors against a variety of public health concerns.</w:t>
      </w:r>
      <w:hyperlink w:anchor="_bookmark183" w:history="1">
        <w:r>
          <w:rPr>
            <w:vertAlign w:val="superscript"/>
          </w:rPr>
          <w:t>89</w:t>
        </w:r>
      </w:hyperlink>
      <w:r>
        <w:rPr>
          <w:vertAlign w:val="superscript"/>
        </w:rPr>
        <w:t>,</w:t>
      </w:r>
      <w:hyperlink w:anchor="_bookmark184" w:history="1">
        <w:r>
          <w:rPr>
            <w:vertAlign w:val="superscript"/>
          </w:rPr>
          <w:t>90</w:t>
        </w:r>
      </w:hyperlink>
      <w:r>
        <w:rPr>
          <w:spacing w:val="-1"/>
        </w:rPr>
        <w:t xml:space="preserve"> </w:t>
      </w:r>
      <w:r>
        <w:t>GSAs have been shown to make schools safer for LGBTQ students by creating positive changes</w:t>
      </w:r>
      <w:r>
        <w:rPr>
          <w:spacing w:val="-4"/>
        </w:rPr>
        <w:t xml:space="preserve"> </w:t>
      </w:r>
      <w:r>
        <w:t>to</w:t>
      </w:r>
      <w:r>
        <w:rPr>
          <w:spacing w:val="-3"/>
        </w:rPr>
        <w:t xml:space="preserve"> </w:t>
      </w:r>
      <w:r>
        <w:t>school</w:t>
      </w:r>
      <w:r>
        <w:rPr>
          <w:spacing w:val="-5"/>
        </w:rPr>
        <w:t xml:space="preserve"> </w:t>
      </w:r>
      <w:r>
        <w:t>climate,</w:t>
      </w:r>
      <w:r>
        <w:rPr>
          <w:spacing w:val="-7"/>
        </w:rPr>
        <w:t xml:space="preserve"> </w:t>
      </w:r>
      <w:r>
        <w:t>allow</w:t>
      </w:r>
      <w:r>
        <w:rPr>
          <w:spacing w:val="-6"/>
        </w:rPr>
        <w:t xml:space="preserve"> </w:t>
      </w:r>
      <w:r>
        <w:t>students</w:t>
      </w:r>
      <w:r>
        <w:rPr>
          <w:spacing w:val="-7"/>
        </w:rPr>
        <w:t xml:space="preserve"> </w:t>
      </w:r>
      <w:r>
        <w:t>to</w:t>
      </w:r>
      <w:r>
        <w:rPr>
          <w:spacing w:val="-5"/>
        </w:rPr>
        <w:t xml:space="preserve"> </w:t>
      </w:r>
      <w:r>
        <w:t>more</w:t>
      </w:r>
      <w:r>
        <w:rPr>
          <w:spacing w:val="-6"/>
        </w:rPr>
        <w:t xml:space="preserve"> </w:t>
      </w:r>
      <w:r>
        <w:t>easily</w:t>
      </w:r>
      <w:r>
        <w:rPr>
          <w:spacing w:val="-4"/>
        </w:rPr>
        <w:t xml:space="preserve"> </w:t>
      </w:r>
      <w:r>
        <w:t>identify</w:t>
      </w:r>
      <w:r>
        <w:rPr>
          <w:spacing w:val="-3"/>
        </w:rPr>
        <w:t xml:space="preserve"> </w:t>
      </w:r>
      <w:r>
        <w:t>safe</w:t>
      </w:r>
      <w:r>
        <w:rPr>
          <w:spacing w:val="-4"/>
        </w:rPr>
        <w:t xml:space="preserve"> </w:t>
      </w:r>
      <w:r>
        <w:t>and</w:t>
      </w:r>
      <w:r>
        <w:rPr>
          <w:spacing w:val="-5"/>
        </w:rPr>
        <w:t xml:space="preserve"> </w:t>
      </w:r>
      <w:r>
        <w:t>supportive</w:t>
      </w:r>
      <w:r>
        <w:rPr>
          <w:spacing w:val="-6"/>
        </w:rPr>
        <w:t xml:space="preserve"> </w:t>
      </w:r>
      <w:r>
        <w:t>faculty</w:t>
      </w:r>
      <w:r>
        <w:rPr>
          <w:spacing w:val="-3"/>
        </w:rPr>
        <w:t xml:space="preserve"> </w:t>
      </w:r>
      <w:r>
        <w:t>and</w:t>
      </w:r>
      <w:r>
        <w:rPr>
          <w:spacing w:val="-5"/>
        </w:rPr>
        <w:t xml:space="preserve"> </w:t>
      </w:r>
      <w:r>
        <w:t>staff members, and lower the frequency of absenteeism due to harassment or discrimination.</w:t>
      </w:r>
      <w:hyperlink w:anchor="_bookmark185" w:history="1">
        <w:r>
          <w:rPr>
            <w:vertAlign w:val="superscript"/>
          </w:rPr>
          <w:t>91</w:t>
        </w:r>
      </w:hyperlink>
      <w:r>
        <w:rPr>
          <w:spacing w:val="-3"/>
        </w:rPr>
        <w:t xml:space="preserve"> </w:t>
      </w:r>
      <w:r>
        <w:t>The Safe Schools</w:t>
      </w:r>
      <w:r>
        <w:rPr>
          <w:spacing w:val="-7"/>
        </w:rPr>
        <w:t xml:space="preserve"> </w:t>
      </w:r>
      <w:r>
        <w:t>Program</w:t>
      </w:r>
      <w:r>
        <w:rPr>
          <w:spacing w:val="-1"/>
        </w:rPr>
        <w:t xml:space="preserve"> </w:t>
      </w:r>
      <w:r>
        <w:t>has</w:t>
      </w:r>
      <w:r>
        <w:rPr>
          <w:spacing w:val="-2"/>
        </w:rPr>
        <w:t xml:space="preserve"> </w:t>
      </w:r>
      <w:r>
        <w:t>already</w:t>
      </w:r>
      <w:r>
        <w:rPr>
          <w:spacing w:val="-1"/>
        </w:rPr>
        <w:t xml:space="preserve"> </w:t>
      </w:r>
      <w:r>
        <w:t>done</w:t>
      </w:r>
      <w:r>
        <w:rPr>
          <w:spacing w:val="-1"/>
        </w:rPr>
        <w:t xml:space="preserve"> </w:t>
      </w:r>
      <w:r>
        <w:t>an</w:t>
      </w:r>
      <w:r>
        <w:rPr>
          <w:spacing w:val="-5"/>
        </w:rPr>
        <w:t xml:space="preserve"> </w:t>
      </w:r>
      <w:r>
        <w:t>excellent</w:t>
      </w:r>
      <w:r>
        <w:rPr>
          <w:spacing w:val="-4"/>
        </w:rPr>
        <w:t xml:space="preserve"> </w:t>
      </w:r>
      <w:r>
        <w:t>job</w:t>
      </w:r>
      <w:r>
        <w:rPr>
          <w:spacing w:val="-5"/>
        </w:rPr>
        <w:t xml:space="preserve"> </w:t>
      </w:r>
      <w:r>
        <w:t>creating,</w:t>
      </w:r>
      <w:r>
        <w:rPr>
          <w:spacing w:val="-2"/>
        </w:rPr>
        <w:t xml:space="preserve"> </w:t>
      </w:r>
      <w:r>
        <w:t>promoting,</w:t>
      </w:r>
      <w:r>
        <w:rPr>
          <w:spacing w:val="-4"/>
        </w:rPr>
        <w:t xml:space="preserve"> </w:t>
      </w:r>
      <w:r>
        <w:t>and</w:t>
      </w:r>
      <w:r>
        <w:rPr>
          <w:spacing w:val="-3"/>
        </w:rPr>
        <w:t xml:space="preserve"> </w:t>
      </w:r>
      <w:r>
        <w:t>engaging</w:t>
      </w:r>
      <w:r>
        <w:rPr>
          <w:spacing w:val="-3"/>
        </w:rPr>
        <w:t xml:space="preserve"> </w:t>
      </w:r>
      <w:r>
        <w:t>local</w:t>
      </w:r>
      <w:r>
        <w:rPr>
          <w:spacing w:val="-4"/>
        </w:rPr>
        <w:t xml:space="preserve"> </w:t>
      </w:r>
      <w:r>
        <w:t>GSAs,</w:t>
      </w:r>
      <w:r>
        <w:rPr>
          <w:spacing w:val="-2"/>
        </w:rPr>
        <w:t xml:space="preserve"> </w:t>
      </w:r>
      <w:r>
        <w:t>but there are still many public high schools that do not have GSAs, and even fewer public middle and elementary</w:t>
      </w:r>
      <w:r>
        <w:rPr>
          <w:spacing w:val="-8"/>
        </w:rPr>
        <w:t xml:space="preserve"> </w:t>
      </w:r>
      <w:r>
        <w:t>schools</w:t>
      </w:r>
      <w:r>
        <w:rPr>
          <w:spacing w:val="-9"/>
        </w:rPr>
        <w:t xml:space="preserve"> </w:t>
      </w:r>
      <w:r>
        <w:t>that</w:t>
      </w:r>
      <w:r>
        <w:rPr>
          <w:spacing w:val="-11"/>
        </w:rPr>
        <w:t xml:space="preserve"> </w:t>
      </w:r>
      <w:r>
        <w:t>have</w:t>
      </w:r>
      <w:r>
        <w:rPr>
          <w:spacing w:val="-8"/>
        </w:rPr>
        <w:t xml:space="preserve"> </w:t>
      </w:r>
      <w:r>
        <w:t>GSAs.</w:t>
      </w:r>
      <w:r>
        <w:rPr>
          <w:spacing w:val="-12"/>
        </w:rPr>
        <w:t xml:space="preserve"> </w:t>
      </w:r>
      <w:r>
        <w:t>Although</w:t>
      </w:r>
      <w:r>
        <w:rPr>
          <w:spacing w:val="-12"/>
        </w:rPr>
        <w:t xml:space="preserve"> </w:t>
      </w:r>
      <w:r>
        <w:t>more</w:t>
      </w:r>
      <w:r>
        <w:rPr>
          <w:spacing w:val="-8"/>
        </w:rPr>
        <w:t xml:space="preserve"> </w:t>
      </w:r>
      <w:r>
        <w:t>difficult,</w:t>
      </w:r>
      <w:r>
        <w:rPr>
          <w:spacing w:val="-9"/>
        </w:rPr>
        <w:t xml:space="preserve"> </w:t>
      </w:r>
      <w:r>
        <w:t>it</w:t>
      </w:r>
      <w:r>
        <w:rPr>
          <w:spacing w:val="-11"/>
        </w:rPr>
        <w:t xml:space="preserve"> </w:t>
      </w:r>
      <w:r>
        <w:t>would</w:t>
      </w:r>
      <w:r>
        <w:rPr>
          <w:spacing w:val="-10"/>
        </w:rPr>
        <w:t xml:space="preserve"> </w:t>
      </w:r>
      <w:r>
        <w:t>also</w:t>
      </w:r>
      <w:r>
        <w:rPr>
          <w:spacing w:val="-8"/>
        </w:rPr>
        <w:t xml:space="preserve"> </w:t>
      </w:r>
      <w:r>
        <w:t>be</w:t>
      </w:r>
      <w:r>
        <w:rPr>
          <w:spacing w:val="-8"/>
        </w:rPr>
        <w:t xml:space="preserve"> </w:t>
      </w:r>
      <w:r>
        <w:t>worthwhile</w:t>
      </w:r>
      <w:r>
        <w:rPr>
          <w:spacing w:val="-9"/>
        </w:rPr>
        <w:t xml:space="preserve"> </w:t>
      </w:r>
      <w:r>
        <w:t>for</w:t>
      </w:r>
      <w:r>
        <w:rPr>
          <w:spacing w:val="-12"/>
        </w:rPr>
        <w:t xml:space="preserve"> </w:t>
      </w:r>
      <w:r>
        <w:t>programs to explore doing outreach to private and charter schools to promote the creation of GSAs at their institution.</w:t>
      </w:r>
      <w:r>
        <w:rPr>
          <w:spacing w:val="-2"/>
        </w:rPr>
        <w:t xml:space="preserve"> </w:t>
      </w:r>
      <w:r>
        <w:t>Another</w:t>
      </w:r>
      <w:r>
        <w:rPr>
          <w:spacing w:val="-2"/>
        </w:rPr>
        <w:t xml:space="preserve"> </w:t>
      </w:r>
      <w:r>
        <w:t>important</w:t>
      </w:r>
      <w:r>
        <w:rPr>
          <w:spacing w:val="-1"/>
        </w:rPr>
        <w:t xml:space="preserve"> </w:t>
      </w:r>
      <w:r>
        <w:t>factor</w:t>
      </w:r>
      <w:r>
        <w:rPr>
          <w:spacing w:val="-4"/>
        </w:rPr>
        <w:t xml:space="preserve"> </w:t>
      </w:r>
      <w:r>
        <w:t>to</w:t>
      </w:r>
      <w:r>
        <w:rPr>
          <w:spacing w:val="-1"/>
        </w:rPr>
        <w:t xml:space="preserve"> </w:t>
      </w:r>
      <w:r>
        <w:t>consider</w:t>
      </w:r>
      <w:r>
        <w:rPr>
          <w:spacing w:val="-2"/>
        </w:rPr>
        <w:t xml:space="preserve"> </w:t>
      </w:r>
      <w:r>
        <w:t>is</w:t>
      </w:r>
      <w:r>
        <w:rPr>
          <w:spacing w:val="-4"/>
        </w:rPr>
        <w:t xml:space="preserve"> </w:t>
      </w:r>
      <w:r>
        <w:t>that</w:t>
      </w:r>
      <w:r>
        <w:rPr>
          <w:spacing w:val="-1"/>
        </w:rPr>
        <w:t xml:space="preserve"> </w:t>
      </w:r>
      <w:r>
        <w:t>GSAs</w:t>
      </w:r>
      <w:r>
        <w:rPr>
          <w:spacing w:val="-2"/>
        </w:rPr>
        <w:t xml:space="preserve"> </w:t>
      </w:r>
      <w:r>
        <w:t>have</w:t>
      </w:r>
      <w:r>
        <w:rPr>
          <w:spacing w:val="-1"/>
        </w:rPr>
        <w:t xml:space="preserve"> </w:t>
      </w:r>
      <w:r>
        <w:t>historically</w:t>
      </w:r>
      <w:r>
        <w:rPr>
          <w:spacing w:val="-1"/>
        </w:rPr>
        <w:t xml:space="preserve"> </w:t>
      </w:r>
      <w:r>
        <w:t>served</w:t>
      </w:r>
      <w:r>
        <w:rPr>
          <w:spacing w:val="-3"/>
        </w:rPr>
        <w:t xml:space="preserve"> </w:t>
      </w:r>
      <w:r>
        <w:t>larger</w:t>
      </w:r>
      <w:r>
        <w:rPr>
          <w:spacing w:val="-2"/>
        </w:rPr>
        <w:t xml:space="preserve"> </w:t>
      </w:r>
      <w:r>
        <w:t>numbers of white youth, while community-based organiz</w:t>
      </w:r>
      <w:r>
        <w:t>ations have historically served larger numbers of youth of color.</w:t>
      </w:r>
      <w:hyperlink w:anchor="_bookmark186" w:history="1">
        <w:r>
          <w:rPr>
            <w:vertAlign w:val="superscript"/>
          </w:rPr>
          <w:t>92</w:t>
        </w:r>
      </w:hyperlink>
      <w:r>
        <w:rPr>
          <w:spacing w:val="-2"/>
        </w:rPr>
        <w:t xml:space="preserve"> </w:t>
      </w:r>
      <w:r>
        <w:t>Ensuring that all LGBTQ youth have spaces to explore their identities and connect with other LGBTQ youth will be key in fostering inclusive school environme</w:t>
      </w:r>
      <w:r>
        <w:t>nts.</w:t>
      </w:r>
    </w:p>
    <w:p w:rsidR="00200FDA" w:rsidRDefault="00200FDA">
      <w:pPr>
        <w:pStyle w:val="BodyText"/>
        <w:spacing w:before="8"/>
        <w:rPr>
          <w:sz w:val="19"/>
        </w:rPr>
      </w:pPr>
    </w:p>
    <w:p w:rsidR="00200FDA" w:rsidRDefault="00F76C4C">
      <w:pPr>
        <w:pStyle w:val="BodyText"/>
        <w:spacing w:line="276" w:lineRule="auto"/>
        <w:ind w:left="139" w:right="396"/>
        <w:jc w:val="both"/>
      </w:pPr>
      <w:r>
        <w:t>Furthermore, it is extremely important to have comprehensive anti-bullying policies, as well as comprehensive LGBTQ inclusion policies in place in schools, as these play a key role in promoting a school climate that is welcoming towards LGBTQ student</w:t>
      </w:r>
      <w:r>
        <w:t>s.</w:t>
      </w:r>
      <w:hyperlink w:anchor="_bookmark187" w:history="1">
        <w:r>
          <w:rPr>
            <w:vertAlign w:val="superscript"/>
          </w:rPr>
          <w:t>93</w:t>
        </w:r>
      </w:hyperlink>
      <w:r>
        <w:rPr>
          <w:vertAlign w:val="superscript"/>
        </w:rPr>
        <w:t>,</w:t>
      </w:r>
      <w:hyperlink w:anchor="_bookmark188" w:history="1">
        <w:r>
          <w:rPr>
            <w:vertAlign w:val="superscript"/>
          </w:rPr>
          <w:t>94</w:t>
        </w:r>
      </w:hyperlink>
      <w:r>
        <w:rPr>
          <w:spacing w:val="-1"/>
        </w:rPr>
        <w:t xml:space="preserve"> </w:t>
      </w:r>
      <w:r>
        <w:t>This is equally important in both K-12 education</w:t>
      </w:r>
      <w:r>
        <w:rPr>
          <w:spacing w:val="80"/>
        </w:rPr>
        <w:t xml:space="preserve"> </w:t>
      </w:r>
      <w:r>
        <w:t>settings,</w:t>
      </w:r>
      <w:r>
        <w:rPr>
          <w:spacing w:val="80"/>
        </w:rPr>
        <w:t xml:space="preserve"> </w:t>
      </w:r>
      <w:r>
        <w:t>as</w:t>
      </w:r>
      <w:r>
        <w:rPr>
          <w:spacing w:val="80"/>
        </w:rPr>
        <w:t xml:space="preserve"> </w:t>
      </w:r>
      <w:r>
        <w:t>well</w:t>
      </w:r>
      <w:r>
        <w:rPr>
          <w:spacing w:val="80"/>
        </w:rPr>
        <w:t xml:space="preserve"> </w:t>
      </w:r>
      <w:r>
        <w:t>as</w:t>
      </w:r>
    </w:p>
    <w:p w:rsidR="00200FDA" w:rsidRDefault="00F76C4C">
      <w:pPr>
        <w:pStyle w:val="BodyText"/>
        <w:spacing w:before="1" w:line="276" w:lineRule="auto"/>
        <w:ind w:left="139" w:right="6323"/>
        <w:jc w:val="both"/>
      </w:pPr>
      <w:r>
        <w:rPr>
          <w:noProof/>
        </w:rPr>
        <w:drawing>
          <wp:anchor distT="0" distB="0" distL="0" distR="0" simplePos="0" relativeHeight="15751680" behindDoc="0" locked="0" layoutInCell="1" allowOverlap="1">
            <wp:simplePos x="0" y="0"/>
            <wp:positionH relativeFrom="page">
              <wp:posOffset>3364483</wp:posOffset>
            </wp:positionH>
            <wp:positionV relativeFrom="paragraph">
              <wp:posOffset>158461</wp:posOffset>
            </wp:positionV>
            <wp:extent cx="3003158" cy="2364401"/>
            <wp:effectExtent l="0" t="0" r="0" b="0"/>
            <wp:wrapNone/>
            <wp:docPr id="23"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4.jpeg"/>
                    <pic:cNvPicPr/>
                  </pic:nvPicPr>
                  <pic:blipFill>
                    <a:blip r:embed="rId179" cstate="print"/>
                    <a:stretch>
                      <a:fillRect/>
                    </a:stretch>
                  </pic:blipFill>
                  <pic:spPr>
                    <a:xfrm>
                      <a:off x="0" y="0"/>
                      <a:ext cx="3003158" cy="2364401"/>
                    </a:xfrm>
                    <a:prstGeom prst="rect">
                      <a:avLst/>
                    </a:prstGeom>
                  </pic:spPr>
                </pic:pic>
              </a:graphicData>
            </a:graphic>
          </wp:anchor>
        </w:drawing>
      </w:r>
      <w:r>
        <w:t>higher education. For example, many colleges and universities have recently begun streamlining the process for submitting</w:t>
      </w:r>
      <w:r>
        <w:rPr>
          <w:spacing w:val="-1"/>
        </w:rPr>
        <w:t xml:space="preserve"> </w:t>
      </w:r>
      <w:r>
        <w:t>a name change in university systems, making it easier for transgender and gender expansive students to have their names recognized. Ma</w:t>
      </w:r>
      <w:r>
        <w:t xml:space="preserve">ny institutions have begun requiring mandatory diversity and inclusion training to both new students and new employees. All schools that receive federal </w:t>
      </w:r>
      <w:r>
        <w:rPr>
          <w:spacing w:val="-2"/>
        </w:rPr>
        <w:t>funding</w:t>
      </w:r>
      <w:r>
        <w:rPr>
          <w:spacing w:val="-6"/>
        </w:rPr>
        <w:t xml:space="preserve"> </w:t>
      </w:r>
      <w:r>
        <w:rPr>
          <w:spacing w:val="-2"/>
        </w:rPr>
        <w:t>are</w:t>
      </w:r>
      <w:r>
        <w:rPr>
          <w:spacing w:val="-4"/>
        </w:rPr>
        <w:t xml:space="preserve"> </w:t>
      </w:r>
      <w:r>
        <w:rPr>
          <w:spacing w:val="-2"/>
        </w:rPr>
        <w:t>required</w:t>
      </w:r>
      <w:r>
        <w:rPr>
          <w:spacing w:val="-8"/>
        </w:rPr>
        <w:t xml:space="preserve"> </w:t>
      </w:r>
      <w:r>
        <w:rPr>
          <w:spacing w:val="-2"/>
        </w:rPr>
        <w:t>to</w:t>
      </w:r>
      <w:r>
        <w:rPr>
          <w:spacing w:val="-3"/>
        </w:rPr>
        <w:t xml:space="preserve"> </w:t>
      </w:r>
      <w:r>
        <w:rPr>
          <w:spacing w:val="-2"/>
        </w:rPr>
        <w:t>have</w:t>
      </w:r>
      <w:r>
        <w:rPr>
          <w:spacing w:val="-4"/>
        </w:rPr>
        <w:t xml:space="preserve"> </w:t>
      </w:r>
      <w:r>
        <w:rPr>
          <w:spacing w:val="-2"/>
        </w:rPr>
        <w:t>a</w:t>
      </w:r>
      <w:r>
        <w:rPr>
          <w:spacing w:val="-7"/>
        </w:rPr>
        <w:t xml:space="preserve"> </w:t>
      </w:r>
      <w:r>
        <w:rPr>
          <w:spacing w:val="-4"/>
        </w:rPr>
        <w:t>Title</w:t>
      </w:r>
    </w:p>
    <w:p w:rsidR="00200FDA" w:rsidRDefault="00F76C4C">
      <w:pPr>
        <w:pStyle w:val="BodyText"/>
        <w:spacing w:line="276" w:lineRule="auto"/>
        <w:ind w:left="139" w:right="393"/>
        <w:jc w:val="both"/>
      </w:pPr>
      <w:r>
        <w:t>IX policy, which prohibits discrimination on the basis of sex, and</w:t>
      </w:r>
      <w:r>
        <w:t xml:space="preserve"> the majority of schools have some kind of anti-discrimination or equity policy that covers conduct not addressed under Title IX. By implementing policies like these, schools, colleges, and universities can ensure that their campus climates are inclusive o</w:t>
      </w:r>
      <w:r>
        <w:t>f and welcoming to LGBTQ youth.</w:t>
      </w:r>
    </w:p>
    <w:p w:rsidR="00200FDA" w:rsidRDefault="00F76C4C">
      <w:pPr>
        <w:pStyle w:val="Heading8"/>
        <w:spacing w:before="160"/>
      </w:pPr>
      <w:bookmarkStart w:id="347" w:name="Substance_Use_and_Interventions"/>
      <w:bookmarkEnd w:id="347"/>
      <w:r>
        <w:rPr>
          <w:color w:val="0A5293"/>
        </w:rPr>
        <w:t>Substance</w:t>
      </w:r>
      <w:r>
        <w:rPr>
          <w:color w:val="0A5293"/>
          <w:spacing w:val="-1"/>
        </w:rPr>
        <w:t xml:space="preserve"> </w:t>
      </w:r>
      <w:r>
        <w:rPr>
          <w:color w:val="0A5293"/>
        </w:rPr>
        <w:t>Use</w:t>
      </w:r>
      <w:r>
        <w:rPr>
          <w:color w:val="0A5293"/>
          <w:spacing w:val="-3"/>
        </w:rPr>
        <w:t xml:space="preserve"> </w:t>
      </w:r>
      <w:r>
        <w:rPr>
          <w:color w:val="0A5293"/>
        </w:rPr>
        <w:t xml:space="preserve">and </w:t>
      </w:r>
      <w:r>
        <w:rPr>
          <w:color w:val="0A5293"/>
          <w:spacing w:val="-2"/>
        </w:rPr>
        <w:t>Interventions</w:t>
      </w:r>
    </w:p>
    <w:p w:rsidR="00200FDA" w:rsidRDefault="00200FDA">
      <w:pPr>
        <w:pStyle w:val="BodyText"/>
        <w:spacing w:before="8"/>
        <w:rPr>
          <w:sz w:val="19"/>
        </w:rPr>
      </w:pPr>
    </w:p>
    <w:p w:rsidR="00200FDA" w:rsidRDefault="00F76C4C">
      <w:pPr>
        <w:pStyle w:val="BodyText"/>
        <w:spacing w:line="276" w:lineRule="auto"/>
        <w:ind w:left="139" w:right="394"/>
        <w:jc w:val="both"/>
      </w:pPr>
      <w:r>
        <w:t>Substance</w:t>
      </w:r>
      <w:r>
        <w:rPr>
          <w:spacing w:val="-6"/>
        </w:rPr>
        <w:t xml:space="preserve"> </w:t>
      </w:r>
      <w:r>
        <w:t>use</w:t>
      </w:r>
      <w:r>
        <w:rPr>
          <w:spacing w:val="-6"/>
        </w:rPr>
        <w:t xml:space="preserve"> </w:t>
      </w:r>
      <w:r>
        <w:t>is</w:t>
      </w:r>
      <w:r>
        <w:rPr>
          <w:spacing w:val="-7"/>
        </w:rPr>
        <w:t xml:space="preserve"> </w:t>
      </w:r>
      <w:r>
        <w:t>a</w:t>
      </w:r>
      <w:r>
        <w:rPr>
          <w:spacing w:val="-9"/>
        </w:rPr>
        <w:t xml:space="preserve"> </w:t>
      </w:r>
      <w:r>
        <w:t>major</w:t>
      </w:r>
      <w:r>
        <w:rPr>
          <w:spacing w:val="-7"/>
        </w:rPr>
        <w:t xml:space="preserve"> </w:t>
      </w:r>
      <w:r>
        <w:t>public</w:t>
      </w:r>
      <w:r>
        <w:rPr>
          <w:spacing w:val="-7"/>
        </w:rPr>
        <w:t xml:space="preserve"> </w:t>
      </w:r>
      <w:r>
        <w:t>health</w:t>
      </w:r>
      <w:r>
        <w:rPr>
          <w:spacing w:val="-7"/>
        </w:rPr>
        <w:t xml:space="preserve"> </w:t>
      </w:r>
      <w:r>
        <w:t>crisis</w:t>
      </w:r>
      <w:r>
        <w:rPr>
          <w:spacing w:val="-9"/>
        </w:rPr>
        <w:t xml:space="preserve"> </w:t>
      </w:r>
      <w:r>
        <w:t>in</w:t>
      </w:r>
      <w:r>
        <w:rPr>
          <w:spacing w:val="-7"/>
        </w:rPr>
        <w:t xml:space="preserve"> </w:t>
      </w:r>
      <w:r>
        <w:t>Massachusetts.</w:t>
      </w:r>
      <w:r>
        <w:rPr>
          <w:spacing w:val="-7"/>
        </w:rPr>
        <w:t xml:space="preserve"> </w:t>
      </w:r>
      <w:r>
        <w:t>In</w:t>
      </w:r>
      <w:r>
        <w:rPr>
          <w:spacing w:val="-10"/>
        </w:rPr>
        <w:t xml:space="preserve"> </w:t>
      </w:r>
      <w:r>
        <w:t>2022</w:t>
      </w:r>
      <w:r>
        <w:rPr>
          <w:spacing w:val="-8"/>
        </w:rPr>
        <w:t xml:space="preserve"> </w:t>
      </w:r>
      <w:r>
        <w:t>alone,</w:t>
      </w:r>
      <w:r>
        <w:rPr>
          <w:spacing w:val="-7"/>
        </w:rPr>
        <w:t xml:space="preserve"> </w:t>
      </w:r>
      <w:r>
        <w:t>there</w:t>
      </w:r>
      <w:r>
        <w:rPr>
          <w:spacing w:val="-8"/>
        </w:rPr>
        <w:t xml:space="preserve"> </w:t>
      </w:r>
      <w:r>
        <w:t>were</w:t>
      </w:r>
      <w:r>
        <w:rPr>
          <w:spacing w:val="-6"/>
        </w:rPr>
        <w:t xml:space="preserve"> </w:t>
      </w:r>
      <w:r>
        <w:t>1,340</w:t>
      </w:r>
      <w:r>
        <w:rPr>
          <w:spacing w:val="-6"/>
        </w:rPr>
        <w:t xml:space="preserve"> </w:t>
      </w:r>
      <w:r>
        <w:t>deaths due</w:t>
      </w:r>
      <w:r>
        <w:rPr>
          <w:spacing w:val="-13"/>
        </w:rPr>
        <w:t xml:space="preserve"> </w:t>
      </w:r>
      <w:r>
        <w:t>to</w:t>
      </w:r>
      <w:r>
        <w:rPr>
          <w:spacing w:val="-12"/>
        </w:rPr>
        <w:t xml:space="preserve"> </w:t>
      </w:r>
      <w:r>
        <w:t>opioid</w:t>
      </w:r>
      <w:r>
        <w:rPr>
          <w:spacing w:val="-13"/>
        </w:rPr>
        <w:t xml:space="preserve"> </w:t>
      </w:r>
      <w:r>
        <w:t>overdose,</w:t>
      </w:r>
      <w:r>
        <w:rPr>
          <w:spacing w:val="-12"/>
        </w:rPr>
        <w:t xml:space="preserve"> </w:t>
      </w:r>
      <w:r>
        <w:t>and</w:t>
      </w:r>
      <w:r>
        <w:rPr>
          <w:spacing w:val="-13"/>
        </w:rPr>
        <w:t xml:space="preserve"> </w:t>
      </w:r>
      <w:r>
        <w:t>almost</w:t>
      </w:r>
      <w:r>
        <w:rPr>
          <w:spacing w:val="-12"/>
        </w:rPr>
        <w:t xml:space="preserve"> </w:t>
      </w:r>
      <w:r>
        <w:t>10%</w:t>
      </w:r>
      <w:r>
        <w:rPr>
          <w:spacing w:val="-13"/>
        </w:rPr>
        <w:t xml:space="preserve"> </w:t>
      </w:r>
      <w:r>
        <w:t>of</w:t>
      </w:r>
      <w:r>
        <w:rPr>
          <w:spacing w:val="-11"/>
        </w:rPr>
        <w:t xml:space="preserve"> </w:t>
      </w:r>
      <w:r>
        <w:t>deaths</w:t>
      </w:r>
      <w:r>
        <w:rPr>
          <w:spacing w:val="-10"/>
        </w:rPr>
        <w:t xml:space="preserve"> </w:t>
      </w:r>
      <w:r>
        <w:t>in</w:t>
      </w:r>
      <w:r>
        <w:rPr>
          <w:spacing w:val="-13"/>
        </w:rPr>
        <w:t xml:space="preserve"> </w:t>
      </w:r>
      <w:r>
        <w:t>youths</w:t>
      </w:r>
      <w:r>
        <w:rPr>
          <w:spacing w:val="-9"/>
        </w:rPr>
        <w:t xml:space="preserve"> </w:t>
      </w:r>
      <w:r>
        <w:t>under</w:t>
      </w:r>
      <w:r>
        <w:rPr>
          <w:spacing w:val="-13"/>
        </w:rPr>
        <w:t xml:space="preserve"> </w:t>
      </w:r>
      <w:r>
        <w:t>the</w:t>
      </w:r>
      <w:r>
        <w:rPr>
          <w:spacing w:val="-11"/>
        </w:rPr>
        <w:t xml:space="preserve"> </w:t>
      </w:r>
      <w:r>
        <w:t>age</w:t>
      </w:r>
      <w:r>
        <w:rPr>
          <w:spacing w:val="-13"/>
        </w:rPr>
        <w:t xml:space="preserve"> </w:t>
      </w:r>
      <w:r>
        <w:t>of</w:t>
      </w:r>
      <w:r>
        <w:rPr>
          <w:spacing w:val="-12"/>
        </w:rPr>
        <w:t xml:space="preserve"> </w:t>
      </w:r>
      <w:r>
        <w:t>25</w:t>
      </w:r>
      <w:r>
        <w:rPr>
          <w:spacing w:val="-13"/>
        </w:rPr>
        <w:t xml:space="preserve"> </w:t>
      </w:r>
      <w:r>
        <w:t>were</w:t>
      </w:r>
      <w:r>
        <w:rPr>
          <w:spacing w:val="-11"/>
        </w:rPr>
        <w:t xml:space="preserve"> </w:t>
      </w:r>
      <w:r>
        <w:t>caused</w:t>
      </w:r>
      <w:r>
        <w:rPr>
          <w:spacing w:val="-11"/>
        </w:rPr>
        <w:t xml:space="preserve"> </w:t>
      </w:r>
      <w:r>
        <w:t>by</w:t>
      </w:r>
      <w:r>
        <w:rPr>
          <w:spacing w:val="-13"/>
        </w:rPr>
        <w:t xml:space="preserve"> </w:t>
      </w:r>
      <w:r>
        <w:t>opioid overdose.</w:t>
      </w:r>
      <w:r>
        <w:rPr>
          <w:spacing w:val="-4"/>
        </w:rPr>
        <w:t xml:space="preserve"> </w:t>
      </w:r>
      <w:hyperlink w:anchor="_bookmark189" w:history="1">
        <w:r>
          <w:rPr>
            <w:vertAlign w:val="superscript"/>
          </w:rPr>
          <w:t>95</w:t>
        </w:r>
      </w:hyperlink>
      <w:r>
        <w:t xml:space="preserve"> Although there is no data regarding the gender identities or sexualities of these individuals, it is likely that several of them were LGBTQ youth. Beyond opioids, public health practitioners</w:t>
      </w:r>
      <w:r>
        <w:rPr>
          <w:spacing w:val="40"/>
        </w:rPr>
        <w:t xml:space="preserve"> </w:t>
      </w:r>
      <w:r>
        <w:t>hav</w:t>
      </w:r>
      <w:r>
        <w:t>e</w:t>
      </w:r>
      <w:r>
        <w:rPr>
          <w:spacing w:val="40"/>
        </w:rPr>
        <w:t xml:space="preserve"> </w:t>
      </w:r>
      <w:r>
        <w:t>been</w:t>
      </w:r>
      <w:r>
        <w:rPr>
          <w:spacing w:val="40"/>
        </w:rPr>
        <w:t xml:space="preserve"> </w:t>
      </w:r>
      <w:r>
        <w:t>pushing</w:t>
      </w:r>
      <w:r>
        <w:rPr>
          <w:spacing w:val="40"/>
        </w:rPr>
        <w:t xml:space="preserve"> </w:t>
      </w:r>
      <w:r>
        <w:t>for</w:t>
      </w:r>
      <w:r>
        <w:rPr>
          <w:spacing w:val="40"/>
        </w:rPr>
        <w:t xml:space="preserve"> </w:t>
      </w:r>
      <w:r>
        <w:t>more</w:t>
      </w:r>
      <w:r>
        <w:rPr>
          <w:spacing w:val="40"/>
        </w:rPr>
        <w:t xml:space="preserve"> </w:t>
      </w:r>
      <w:r>
        <w:t>regulation</w:t>
      </w:r>
      <w:r>
        <w:rPr>
          <w:spacing w:val="40"/>
        </w:rPr>
        <w:t xml:space="preserve"> </w:t>
      </w:r>
      <w:r>
        <w:t>on</w:t>
      </w:r>
      <w:r>
        <w:rPr>
          <w:spacing w:val="40"/>
        </w:rPr>
        <w:t xml:space="preserve"> </w:t>
      </w:r>
      <w:r>
        <w:t>the</w:t>
      </w:r>
      <w:r>
        <w:rPr>
          <w:spacing w:val="40"/>
        </w:rPr>
        <w:t xml:space="preserve"> </w:t>
      </w:r>
      <w:r>
        <w:t>tobacco</w:t>
      </w:r>
      <w:r>
        <w:rPr>
          <w:spacing w:val="40"/>
        </w:rPr>
        <w:t xml:space="preserve"> </w:t>
      </w:r>
      <w:r>
        <w:t>and</w:t>
      </w:r>
      <w:r>
        <w:rPr>
          <w:spacing w:val="40"/>
        </w:rPr>
        <w:t xml:space="preserve"> </w:t>
      </w:r>
      <w:r>
        <w:t>alcohol</w:t>
      </w:r>
      <w:r>
        <w:rPr>
          <w:spacing w:val="40"/>
        </w:rPr>
        <w:t xml:space="preserve"> </w:t>
      </w:r>
      <w:r>
        <w:t>industries</w:t>
      </w:r>
      <w:r>
        <w:rPr>
          <w:spacing w:val="40"/>
        </w:rPr>
        <w:t xml:space="preserve"> </w:t>
      </w:r>
      <w:r>
        <w:t>for</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F76C4C">
      <w:pPr>
        <w:pStyle w:val="BodyText"/>
        <w:spacing w:before="154" w:line="276" w:lineRule="auto"/>
        <w:ind w:left="139" w:right="392"/>
        <w:jc w:val="both"/>
      </w:pPr>
      <w:r>
        <w:lastRenderedPageBreak/>
        <w:pict>
          <v:rect id="docshape231" o:spid="_x0000_s1331" style="position:absolute;left:0;text-align:left;margin-left:428.75pt;margin-top:100.25pt;width:2.5pt;height:13.55pt;z-index:-21315072;mso-position-horizontal-relative:page" fillcolor="#fbfbfb" stroked="f">
            <w10:wrap anchorx="page"/>
          </v:rect>
        </w:pict>
      </w:r>
      <w:r>
        <w:t>decades,</w:t>
      </w:r>
      <w:r>
        <w:rPr>
          <w:spacing w:val="-4"/>
        </w:rPr>
        <w:t xml:space="preserve"> </w:t>
      </w:r>
      <w:r>
        <w:t>in</w:t>
      </w:r>
      <w:r>
        <w:rPr>
          <w:spacing w:val="-7"/>
        </w:rPr>
        <w:t xml:space="preserve"> </w:t>
      </w:r>
      <w:r>
        <w:t>the</w:t>
      </w:r>
      <w:r>
        <w:rPr>
          <w:spacing w:val="-5"/>
        </w:rPr>
        <w:t xml:space="preserve"> </w:t>
      </w:r>
      <w:r>
        <w:t>hopes</w:t>
      </w:r>
      <w:r>
        <w:rPr>
          <w:spacing w:val="-6"/>
        </w:rPr>
        <w:t xml:space="preserve"> </w:t>
      </w:r>
      <w:r>
        <w:t>of</w:t>
      </w:r>
      <w:r>
        <w:rPr>
          <w:spacing w:val="-6"/>
        </w:rPr>
        <w:t xml:space="preserve"> </w:t>
      </w:r>
      <w:r>
        <w:t>mitigating</w:t>
      </w:r>
      <w:r>
        <w:rPr>
          <w:spacing w:val="-4"/>
        </w:rPr>
        <w:t xml:space="preserve"> </w:t>
      </w:r>
      <w:r>
        <w:t>both</w:t>
      </w:r>
      <w:r>
        <w:rPr>
          <w:spacing w:val="-7"/>
        </w:rPr>
        <w:t xml:space="preserve"> </w:t>
      </w:r>
      <w:r>
        <w:t>the</w:t>
      </w:r>
      <w:r>
        <w:rPr>
          <w:spacing w:val="-5"/>
        </w:rPr>
        <w:t xml:space="preserve"> </w:t>
      </w:r>
      <w:r>
        <w:t>short-term</w:t>
      </w:r>
      <w:r>
        <w:rPr>
          <w:spacing w:val="-3"/>
        </w:rPr>
        <w:t xml:space="preserve"> </w:t>
      </w:r>
      <w:r>
        <w:t>consequences</w:t>
      </w:r>
      <w:r>
        <w:rPr>
          <w:spacing w:val="-6"/>
        </w:rPr>
        <w:t xml:space="preserve"> </w:t>
      </w:r>
      <w:r>
        <w:t>(such</w:t>
      </w:r>
      <w:r>
        <w:rPr>
          <w:spacing w:val="-4"/>
        </w:rPr>
        <w:t xml:space="preserve"> </w:t>
      </w:r>
      <w:r>
        <w:t>as</w:t>
      </w:r>
      <w:r>
        <w:rPr>
          <w:spacing w:val="-4"/>
        </w:rPr>
        <w:t xml:space="preserve"> </w:t>
      </w:r>
      <w:r>
        <w:t>drunk</w:t>
      </w:r>
      <w:r>
        <w:rPr>
          <w:spacing w:val="-4"/>
        </w:rPr>
        <w:t xml:space="preserve"> </w:t>
      </w:r>
      <w:r>
        <w:t>driving),</w:t>
      </w:r>
      <w:r>
        <w:rPr>
          <w:spacing w:val="-4"/>
        </w:rPr>
        <w:t xml:space="preserve"> </w:t>
      </w:r>
      <w:r>
        <w:t>as</w:t>
      </w:r>
      <w:r>
        <w:rPr>
          <w:spacing w:val="-6"/>
        </w:rPr>
        <w:t xml:space="preserve"> </w:t>
      </w:r>
      <w:r>
        <w:t>well as the long-term (such as lung cancer from secondhand smoke) for youths and</w:t>
      </w:r>
      <w:r>
        <w:rPr>
          <w:spacing w:val="-3"/>
        </w:rPr>
        <w:t xml:space="preserve"> </w:t>
      </w:r>
      <w:r>
        <w:t xml:space="preserve">adults. Substance use and substance use disorders stem from a variety of factors including </w:t>
      </w:r>
      <w:r>
        <w:rPr>
          <w:color w:val="000000"/>
          <w:shd w:val="clear" w:color="auto" w:fill="FBFBFB"/>
        </w:rPr>
        <w:t>victimization (experiencing</w:t>
      </w:r>
      <w:r>
        <w:rPr>
          <w:color w:val="000000"/>
        </w:rPr>
        <w:t xml:space="preserve"> </w:t>
      </w:r>
      <w:r>
        <w:rPr>
          <w:color w:val="000000"/>
          <w:shd w:val="clear" w:color="auto" w:fill="FBFBFB"/>
        </w:rPr>
        <w:t>harassment,</w:t>
      </w:r>
      <w:r>
        <w:rPr>
          <w:color w:val="000000"/>
          <w:spacing w:val="-9"/>
          <w:shd w:val="clear" w:color="auto" w:fill="FBFBFB"/>
        </w:rPr>
        <w:t xml:space="preserve"> </w:t>
      </w:r>
      <w:r>
        <w:rPr>
          <w:color w:val="000000"/>
          <w:shd w:val="clear" w:color="auto" w:fill="FBFBFB"/>
        </w:rPr>
        <w:t>discrimination,</w:t>
      </w:r>
      <w:r>
        <w:rPr>
          <w:color w:val="000000"/>
          <w:spacing w:val="-9"/>
          <w:shd w:val="clear" w:color="auto" w:fill="FBFBFB"/>
        </w:rPr>
        <w:t xml:space="preserve"> </w:t>
      </w:r>
      <w:r>
        <w:rPr>
          <w:color w:val="000000"/>
          <w:shd w:val="clear" w:color="auto" w:fill="FBFBFB"/>
        </w:rPr>
        <w:t>or</w:t>
      </w:r>
      <w:r>
        <w:rPr>
          <w:color w:val="000000"/>
          <w:spacing w:val="-9"/>
          <w:shd w:val="clear" w:color="auto" w:fill="FBFBFB"/>
        </w:rPr>
        <w:t xml:space="preserve"> </w:t>
      </w:r>
      <w:r>
        <w:rPr>
          <w:color w:val="000000"/>
          <w:shd w:val="clear" w:color="auto" w:fill="FBFBFB"/>
        </w:rPr>
        <w:t>physical</w:t>
      </w:r>
      <w:r>
        <w:rPr>
          <w:color w:val="000000"/>
          <w:spacing w:val="-9"/>
          <w:shd w:val="clear" w:color="auto" w:fill="FBFBFB"/>
        </w:rPr>
        <w:t xml:space="preserve"> </w:t>
      </w:r>
      <w:r>
        <w:rPr>
          <w:color w:val="000000"/>
          <w:shd w:val="clear" w:color="auto" w:fill="FBFBFB"/>
        </w:rPr>
        <w:t>violence),</w:t>
      </w:r>
      <w:r>
        <w:rPr>
          <w:color w:val="000000"/>
          <w:spacing w:val="-9"/>
          <w:shd w:val="clear" w:color="auto" w:fill="FBFBFB"/>
        </w:rPr>
        <w:t xml:space="preserve"> </w:t>
      </w:r>
      <w:r>
        <w:rPr>
          <w:color w:val="000000"/>
          <w:shd w:val="clear" w:color="auto" w:fill="FBFBFB"/>
        </w:rPr>
        <w:t>a</w:t>
      </w:r>
      <w:r>
        <w:rPr>
          <w:color w:val="000000"/>
          <w:spacing w:val="-9"/>
          <w:shd w:val="clear" w:color="auto" w:fill="FBFBFB"/>
        </w:rPr>
        <w:t xml:space="preserve"> </w:t>
      </w:r>
      <w:r>
        <w:rPr>
          <w:color w:val="000000"/>
          <w:shd w:val="clear" w:color="auto" w:fill="FBFBFB"/>
        </w:rPr>
        <w:t>lac</w:t>
      </w:r>
      <w:r>
        <w:rPr>
          <w:color w:val="000000"/>
          <w:shd w:val="clear" w:color="auto" w:fill="FBFBFB"/>
        </w:rPr>
        <w:t>k</w:t>
      </w:r>
      <w:r>
        <w:rPr>
          <w:color w:val="000000"/>
          <w:spacing w:val="-9"/>
          <w:shd w:val="clear" w:color="auto" w:fill="FBFBFB"/>
        </w:rPr>
        <w:t xml:space="preserve"> </w:t>
      </w:r>
      <w:r>
        <w:rPr>
          <w:color w:val="000000"/>
          <w:shd w:val="clear" w:color="auto" w:fill="FBFBFB"/>
        </w:rPr>
        <w:t>of</w:t>
      </w:r>
      <w:r>
        <w:rPr>
          <w:color w:val="000000"/>
          <w:spacing w:val="-9"/>
          <w:shd w:val="clear" w:color="auto" w:fill="FBFBFB"/>
        </w:rPr>
        <w:t xml:space="preserve"> </w:t>
      </w:r>
      <w:r>
        <w:rPr>
          <w:color w:val="000000"/>
          <w:shd w:val="clear" w:color="auto" w:fill="FBFBFB"/>
        </w:rPr>
        <w:t>support</w:t>
      </w:r>
      <w:r>
        <w:rPr>
          <w:color w:val="000000"/>
          <w:spacing w:val="-8"/>
          <w:shd w:val="clear" w:color="auto" w:fill="FBFBFB"/>
        </w:rPr>
        <w:t xml:space="preserve"> </w:t>
      </w:r>
      <w:r>
        <w:rPr>
          <w:color w:val="000000"/>
          <w:shd w:val="clear" w:color="auto" w:fill="FBFBFB"/>
        </w:rPr>
        <w:t>for</w:t>
      </w:r>
      <w:r>
        <w:rPr>
          <w:color w:val="000000"/>
          <w:spacing w:val="-9"/>
          <w:shd w:val="clear" w:color="auto" w:fill="FBFBFB"/>
        </w:rPr>
        <w:t xml:space="preserve"> </w:t>
      </w:r>
      <w:r>
        <w:rPr>
          <w:color w:val="000000"/>
          <w:shd w:val="clear" w:color="auto" w:fill="FBFBFB"/>
        </w:rPr>
        <w:t>LGBTQ</w:t>
      </w:r>
      <w:r>
        <w:rPr>
          <w:color w:val="000000"/>
          <w:spacing w:val="-9"/>
          <w:shd w:val="clear" w:color="auto" w:fill="FBFBFB"/>
        </w:rPr>
        <w:t xml:space="preserve"> </w:t>
      </w:r>
      <w:r>
        <w:rPr>
          <w:color w:val="000000"/>
          <w:shd w:val="clear" w:color="auto" w:fill="FBFBFB"/>
        </w:rPr>
        <w:t>identity</w:t>
      </w:r>
      <w:r>
        <w:rPr>
          <w:color w:val="000000"/>
          <w:spacing w:val="-8"/>
          <w:shd w:val="clear" w:color="auto" w:fill="FBFBFB"/>
        </w:rPr>
        <w:t xml:space="preserve"> </w:t>
      </w:r>
      <w:r>
        <w:rPr>
          <w:color w:val="000000"/>
          <w:shd w:val="clear" w:color="auto" w:fill="FBFBFB"/>
        </w:rPr>
        <w:t>(at</w:t>
      </w:r>
      <w:r>
        <w:rPr>
          <w:color w:val="000000"/>
          <w:spacing w:val="-8"/>
          <w:shd w:val="clear" w:color="auto" w:fill="FBFBFB"/>
        </w:rPr>
        <w:t xml:space="preserve"> </w:t>
      </w:r>
      <w:r>
        <w:rPr>
          <w:color w:val="000000"/>
          <w:shd w:val="clear" w:color="auto" w:fill="FBFBFB"/>
        </w:rPr>
        <w:t>home,</w:t>
      </w:r>
      <w:r>
        <w:rPr>
          <w:color w:val="000000"/>
          <w:spacing w:val="-9"/>
          <w:shd w:val="clear" w:color="auto" w:fill="FBFBFB"/>
        </w:rPr>
        <w:t xml:space="preserve"> </w:t>
      </w:r>
      <w:r>
        <w:rPr>
          <w:color w:val="000000"/>
          <w:shd w:val="clear" w:color="auto" w:fill="FBFBFB"/>
        </w:rPr>
        <w:t>in</w:t>
      </w:r>
      <w:r>
        <w:rPr>
          <w:color w:val="000000"/>
          <w:spacing w:val="-10"/>
          <w:shd w:val="clear" w:color="auto" w:fill="FBFBFB"/>
        </w:rPr>
        <w:t xml:space="preserve"> </w:t>
      </w:r>
      <w:r>
        <w:rPr>
          <w:color w:val="000000"/>
          <w:shd w:val="clear" w:color="auto" w:fill="FBFBFB"/>
        </w:rPr>
        <w:t>the</w:t>
      </w:r>
      <w:r>
        <w:rPr>
          <w:color w:val="000000"/>
        </w:rPr>
        <w:t xml:space="preserve"> </w:t>
      </w:r>
      <w:r>
        <w:rPr>
          <w:color w:val="000000"/>
          <w:shd w:val="clear" w:color="auto" w:fill="FBFBFB"/>
        </w:rPr>
        <w:t>community, or at school), psychological stress due to personal experiences or current events, and a</w:t>
      </w:r>
      <w:r>
        <w:rPr>
          <w:color w:val="000000"/>
        </w:rPr>
        <w:t xml:space="preserve"> </w:t>
      </w:r>
      <w:r>
        <w:rPr>
          <w:color w:val="000000"/>
          <w:shd w:val="clear" w:color="auto" w:fill="FBFBFB"/>
        </w:rPr>
        <w:t>lack of secure and stable housing.</w:t>
      </w:r>
      <w:r>
        <w:rPr>
          <w:color w:val="000000"/>
          <w:spacing w:val="-8"/>
          <w:shd w:val="clear" w:color="auto" w:fill="FBFBFB"/>
        </w:rPr>
        <w:t xml:space="preserve"> </w:t>
      </w:r>
      <w:hyperlink w:anchor="_bookmark190" w:history="1">
        <w:r>
          <w:rPr>
            <w:color w:val="000000"/>
            <w:vertAlign w:val="superscript"/>
          </w:rPr>
          <w:t>96</w:t>
        </w:r>
      </w:hyperlink>
      <w:r>
        <w:rPr>
          <w:color w:val="000000"/>
        </w:rPr>
        <w:t xml:space="preserve"> Transgender and gender expansive yout</w:t>
      </w:r>
      <w:r>
        <w:rPr>
          <w:color w:val="000000"/>
        </w:rPr>
        <w:t>h are particularly vulnerable to these factors due to increased victimization and discrimination.</w:t>
      </w:r>
      <w:hyperlink w:anchor="_bookmark191" w:history="1">
        <w:r>
          <w:rPr>
            <w:color w:val="000000"/>
            <w:vertAlign w:val="superscript"/>
          </w:rPr>
          <w:t>97</w:t>
        </w:r>
      </w:hyperlink>
      <w:r>
        <w:rPr>
          <w:color w:val="000000"/>
          <w:spacing w:val="-2"/>
        </w:rPr>
        <w:t xml:space="preserve"> </w:t>
      </w:r>
      <w:r>
        <w:rPr>
          <w:color w:val="000000"/>
        </w:rPr>
        <w:t>In regard to tobacco products,</w:t>
      </w:r>
      <w:r>
        <w:rPr>
          <w:color w:val="000000"/>
          <w:spacing w:val="-8"/>
        </w:rPr>
        <w:t xml:space="preserve"> </w:t>
      </w:r>
      <w:r>
        <w:rPr>
          <w:color w:val="000000"/>
        </w:rPr>
        <w:t>17.0%</w:t>
      </w:r>
      <w:r>
        <w:rPr>
          <w:color w:val="000000"/>
          <w:spacing w:val="-10"/>
        </w:rPr>
        <w:t xml:space="preserve"> </w:t>
      </w:r>
      <w:r>
        <w:rPr>
          <w:color w:val="000000"/>
        </w:rPr>
        <w:t>of</w:t>
      </w:r>
      <w:r>
        <w:rPr>
          <w:color w:val="000000"/>
          <w:spacing w:val="-8"/>
        </w:rPr>
        <w:t xml:space="preserve"> </w:t>
      </w:r>
      <w:r>
        <w:rPr>
          <w:color w:val="000000"/>
        </w:rPr>
        <w:t>Massachusetts</w:t>
      </w:r>
      <w:r>
        <w:rPr>
          <w:color w:val="000000"/>
          <w:spacing w:val="-8"/>
        </w:rPr>
        <w:t xml:space="preserve"> </w:t>
      </w:r>
      <w:r>
        <w:rPr>
          <w:color w:val="000000"/>
        </w:rPr>
        <w:t>LGBTQ</w:t>
      </w:r>
      <w:r>
        <w:rPr>
          <w:color w:val="000000"/>
          <w:spacing w:val="-8"/>
        </w:rPr>
        <w:t xml:space="preserve"> </w:t>
      </w:r>
      <w:r>
        <w:rPr>
          <w:color w:val="000000"/>
        </w:rPr>
        <w:t>youth</w:t>
      </w:r>
      <w:r>
        <w:rPr>
          <w:color w:val="000000"/>
          <w:spacing w:val="-6"/>
        </w:rPr>
        <w:t xml:space="preserve"> </w:t>
      </w:r>
      <w:r>
        <w:rPr>
          <w:color w:val="000000"/>
        </w:rPr>
        <w:t>in</w:t>
      </w:r>
      <w:r>
        <w:rPr>
          <w:color w:val="000000"/>
          <w:spacing w:val="-6"/>
        </w:rPr>
        <w:t xml:space="preserve"> </w:t>
      </w:r>
      <w:r>
        <w:rPr>
          <w:color w:val="000000"/>
        </w:rPr>
        <w:t>grades</w:t>
      </w:r>
      <w:r>
        <w:rPr>
          <w:color w:val="000000"/>
          <w:spacing w:val="-6"/>
        </w:rPr>
        <w:t xml:space="preserve"> </w:t>
      </w:r>
      <w:r>
        <w:rPr>
          <w:color w:val="000000"/>
        </w:rPr>
        <w:t>9-12</w:t>
      </w:r>
      <w:r>
        <w:rPr>
          <w:color w:val="000000"/>
          <w:spacing w:val="-7"/>
        </w:rPr>
        <w:t xml:space="preserve"> </w:t>
      </w:r>
      <w:r>
        <w:rPr>
          <w:color w:val="000000"/>
        </w:rPr>
        <w:t>report</w:t>
      </w:r>
      <w:r>
        <w:rPr>
          <w:color w:val="000000"/>
          <w:spacing w:val="-8"/>
        </w:rPr>
        <w:t xml:space="preserve"> </w:t>
      </w:r>
      <w:r>
        <w:rPr>
          <w:color w:val="000000"/>
        </w:rPr>
        <w:t>having</w:t>
      </w:r>
      <w:r>
        <w:rPr>
          <w:color w:val="000000"/>
          <w:spacing w:val="-9"/>
        </w:rPr>
        <w:t xml:space="preserve"> </w:t>
      </w:r>
      <w:r>
        <w:rPr>
          <w:color w:val="000000"/>
        </w:rPr>
        <w:t>ever</w:t>
      </w:r>
      <w:r>
        <w:rPr>
          <w:color w:val="000000"/>
          <w:spacing w:val="-8"/>
        </w:rPr>
        <w:t xml:space="preserve"> </w:t>
      </w:r>
      <w:r>
        <w:rPr>
          <w:color w:val="000000"/>
        </w:rPr>
        <w:t>smoked</w:t>
      </w:r>
      <w:r>
        <w:rPr>
          <w:color w:val="000000"/>
          <w:spacing w:val="-6"/>
        </w:rPr>
        <w:t xml:space="preserve"> </w:t>
      </w:r>
      <w:r>
        <w:rPr>
          <w:color w:val="000000"/>
        </w:rPr>
        <w:t>a</w:t>
      </w:r>
      <w:r>
        <w:rPr>
          <w:color w:val="000000"/>
          <w:spacing w:val="-8"/>
        </w:rPr>
        <w:t xml:space="preserve"> </w:t>
      </w:r>
      <w:r>
        <w:rPr>
          <w:color w:val="000000"/>
        </w:rPr>
        <w:t>cigarette, while 35.4% reporting having ever used a vape product.</w:t>
      </w:r>
      <w:hyperlink w:anchor="_bookmark192" w:history="1">
        <w:r>
          <w:rPr>
            <w:color w:val="000000"/>
            <w:vertAlign w:val="superscript"/>
          </w:rPr>
          <w:t>98</w:t>
        </w:r>
      </w:hyperlink>
      <w:r>
        <w:rPr>
          <w:color w:val="000000"/>
          <w:spacing w:val="-2"/>
        </w:rPr>
        <w:t xml:space="preserve"> </w:t>
      </w:r>
      <w:r>
        <w:rPr>
          <w:color w:val="000000"/>
        </w:rPr>
        <w:t>Likewise, 24.5% of LGBTQ youth reported drinking alcohol within the last 30 days, and 32.4% of LGBTQ reported ever having used marijuana.</w:t>
      </w:r>
      <w:hyperlink w:anchor="_bookmark193" w:history="1">
        <w:r>
          <w:rPr>
            <w:color w:val="000000"/>
            <w:vertAlign w:val="superscript"/>
          </w:rPr>
          <w:t>99</w:t>
        </w:r>
      </w:hyperlink>
    </w:p>
    <w:p w:rsidR="00200FDA" w:rsidRDefault="00200FDA">
      <w:pPr>
        <w:pStyle w:val="BodyText"/>
        <w:spacing w:before="8"/>
        <w:rPr>
          <w:sz w:val="19"/>
        </w:rPr>
      </w:pPr>
    </w:p>
    <w:p w:rsidR="00200FDA" w:rsidRDefault="00F76C4C">
      <w:pPr>
        <w:pStyle w:val="BodyText"/>
        <w:spacing w:line="276" w:lineRule="auto"/>
        <w:ind w:left="4219" w:right="396"/>
        <w:jc w:val="both"/>
      </w:pPr>
      <w:r>
        <w:rPr>
          <w:noProof/>
        </w:rPr>
        <w:drawing>
          <wp:anchor distT="0" distB="0" distL="0" distR="0" simplePos="0" relativeHeight="15752704" behindDoc="0" locked="0" layoutInCell="1" allowOverlap="1">
            <wp:simplePos x="0" y="0"/>
            <wp:positionH relativeFrom="page">
              <wp:posOffset>955414</wp:posOffset>
            </wp:positionH>
            <wp:positionV relativeFrom="paragraph">
              <wp:posOffset>28895</wp:posOffset>
            </wp:positionV>
            <wp:extent cx="2336431" cy="3371546"/>
            <wp:effectExtent l="0" t="0" r="0" b="0"/>
            <wp:wrapNone/>
            <wp:docPr id="25"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5.jpeg"/>
                    <pic:cNvPicPr/>
                  </pic:nvPicPr>
                  <pic:blipFill>
                    <a:blip r:embed="rId180" cstate="print"/>
                    <a:stretch>
                      <a:fillRect/>
                    </a:stretch>
                  </pic:blipFill>
                  <pic:spPr>
                    <a:xfrm>
                      <a:off x="0" y="0"/>
                      <a:ext cx="2336431" cy="3371546"/>
                    </a:xfrm>
                    <a:prstGeom prst="rect">
                      <a:avLst/>
                    </a:prstGeom>
                  </pic:spPr>
                </pic:pic>
              </a:graphicData>
            </a:graphic>
          </wp:anchor>
        </w:drawing>
      </w:r>
      <w:r>
        <w:t>Among</w:t>
      </w:r>
      <w:r>
        <w:rPr>
          <w:spacing w:val="-5"/>
        </w:rPr>
        <w:t xml:space="preserve"> </w:t>
      </w:r>
      <w:r>
        <w:t>Massachusetts</w:t>
      </w:r>
      <w:r>
        <w:rPr>
          <w:spacing w:val="-4"/>
        </w:rPr>
        <w:t xml:space="preserve"> </w:t>
      </w:r>
      <w:r>
        <w:t>LGBTQ</w:t>
      </w:r>
      <w:r>
        <w:rPr>
          <w:spacing w:val="-2"/>
        </w:rPr>
        <w:t xml:space="preserve"> </w:t>
      </w:r>
      <w:r>
        <w:t>youth</w:t>
      </w:r>
      <w:r>
        <w:rPr>
          <w:spacing w:val="-3"/>
        </w:rPr>
        <w:t xml:space="preserve"> </w:t>
      </w:r>
      <w:r>
        <w:t>of</w:t>
      </w:r>
      <w:r>
        <w:rPr>
          <w:spacing w:val="-5"/>
        </w:rPr>
        <w:t xml:space="preserve"> </w:t>
      </w:r>
      <w:r>
        <w:t>color</w:t>
      </w:r>
      <w:r>
        <w:rPr>
          <w:spacing w:val="-2"/>
        </w:rPr>
        <w:t xml:space="preserve"> </w:t>
      </w:r>
      <w:r>
        <w:t>ages</w:t>
      </w:r>
      <w:r>
        <w:rPr>
          <w:spacing w:val="-4"/>
        </w:rPr>
        <w:t xml:space="preserve"> </w:t>
      </w:r>
      <w:r>
        <w:t>13</w:t>
      </w:r>
      <w:r>
        <w:rPr>
          <w:spacing w:val="-3"/>
        </w:rPr>
        <w:t xml:space="preserve"> </w:t>
      </w:r>
      <w:r>
        <w:t>to 25 who responded to the Our Health Matters Survey, 37.9% reported having smoked cigarettes within the last</w:t>
      </w:r>
      <w:r>
        <w:rPr>
          <w:spacing w:val="-7"/>
        </w:rPr>
        <w:t xml:space="preserve"> </w:t>
      </w:r>
      <w:r>
        <w:t>30</w:t>
      </w:r>
      <w:r>
        <w:rPr>
          <w:spacing w:val="-7"/>
        </w:rPr>
        <w:t xml:space="preserve"> </w:t>
      </w:r>
      <w:r>
        <w:t>days,</w:t>
      </w:r>
      <w:r>
        <w:rPr>
          <w:spacing w:val="-10"/>
        </w:rPr>
        <w:t xml:space="preserve"> </w:t>
      </w:r>
      <w:r>
        <w:t>with</w:t>
      </w:r>
      <w:r>
        <w:rPr>
          <w:spacing w:val="-11"/>
        </w:rPr>
        <w:t xml:space="preserve"> </w:t>
      </w:r>
      <w:r>
        <w:t>13.9%</w:t>
      </w:r>
      <w:r>
        <w:rPr>
          <w:spacing w:val="-9"/>
        </w:rPr>
        <w:t xml:space="preserve"> </w:t>
      </w:r>
      <w:r>
        <w:t>of</w:t>
      </w:r>
      <w:r>
        <w:rPr>
          <w:spacing w:val="-10"/>
        </w:rPr>
        <w:t xml:space="preserve"> </w:t>
      </w:r>
      <w:r>
        <w:t>those</w:t>
      </w:r>
      <w:r>
        <w:rPr>
          <w:spacing w:val="-9"/>
        </w:rPr>
        <w:t xml:space="preserve"> </w:t>
      </w:r>
      <w:r>
        <w:t>respondents</w:t>
      </w:r>
      <w:r>
        <w:rPr>
          <w:spacing w:val="-8"/>
        </w:rPr>
        <w:t xml:space="preserve"> </w:t>
      </w:r>
      <w:r>
        <w:t>reporting smoking 10-19 days out of the past 30 days.</w:t>
      </w:r>
      <w:r>
        <w:rPr>
          <w:spacing w:val="-6"/>
        </w:rPr>
        <w:t xml:space="preserve"> </w:t>
      </w:r>
      <w:hyperlink w:anchor="_bookmark194" w:history="1">
        <w:r>
          <w:rPr>
            <w:vertAlign w:val="superscript"/>
          </w:rPr>
          <w:t>100</w:t>
        </w:r>
      </w:hyperlink>
      <w:r>
        <w:t xml:space="preserve"> In regards to alcohol, 51.9% of respondents reported binge drinking in the last 30 days.</w:t>
      </w:r>
      <w:hyperlink w:anchor="_bookmark195" w:history="1">
        <w:r>
          <w:rPr>
            <w:vertAlign w:val="superscript"/>
          </w:rPr>
          <w:t>101</w:t>
        </w:r>
      </w:hyperlink>
      <w:r>
        <w:rPr>
          <w:spacing w:val="-3"/>
        </w:rPr>
        <w:t xml:space="preserve"> </w:t>
      </w:r>
      <w:r>
        <w:t>Similarly, 53.0% of respondents reported s</w:t>
      </w:r>
      <w:r>
        <w:t xml:space="preserve">moking marijuana within the past 30 days, with 13.2% of those respondents reporting smoking 40 or more times during the past 30 days. </w:t>
      </w:r>
      <w:hyperlink w:anchor="_bookmark196" w:history="1">
        <w:r>
          <w:rPr>
            <w:vertAlign w:val="superscript"/>
          </w:rPr>
          <w:t>102</w:t>
        </w:r>
      </w:hyperlink>
      <w:r>
        <w:t xml:space="preserve"> 21.4% of respondents reported misusing prescription drugs within the last 30 days. </w:t>
      </w:r>
      <w:hyperlink w:anchor="_bookmark197" w:history="1">
        <w:r>
          <w:rPr>
            <w:vertAlign w:val="superscript"/>
          </w:rPr>
          <w:t>103</w:t>
        </w:r>
      </w:hyperlink>
      <w:r>
        <w:t xml:space="preserve"> For controlled substances, 18.5% of youth had ever used MDMA</w:t>
      </w:r>
      <w:r>
        <w:rPr>
          <w:spacing w:val="-13"/>
        </w:rPr>
        <w:t xml:space="preserve"> </w:t>
      </w:r>
      <w:r>
        <w:t>(ecstasy),</w:t>
      </w:r>
      <w:r>
        <w:rPr>
          <w:spacing w:val="-12"/>
        </w:rPr>
        <w:t xml:space="preserve"> </w:t>
      </w:r>
      <w:r>
        <w:t>19.2%</w:t>
      </w:r>
      <w:r>
        <w:rPr>
          <w:spacing w:val="-13"/>
        </w:rPr>
        <w:t xml:space="preserve"> </w:t>
      </w:r>
      <w:r>
        <w:t>of</w:t>
      </w:r>
      <w:r>
        <w:rPr>
          <w:spacing w:val="-12"/>
        </w:rPr>
        <w:t xml:space="preserve"> </w:t>
      </w:r>
      <w:r>
        <w:t>youth</w:t>
      </w:r>
      <w:r>
        <w:rPr>
          <w:spacing w:val="-13"/>
        </w:rPr>
        <w:t xml:space="preserve"> </w:t>
      </w:r>
      <w:r>
        <w:t>had</w:t>
      </w:r>
      <w:r>
        <w:rPr>
          <w:spacing w:val="-12"/>
        </w:rPr>
        <w:t xml:space="preserve"> </w:t>
      </w:r>
      <w:r>
        <w:t>ever</w:t>
      </w:r>
      <w:r>
        <w:rPr>
          <w:spacing w:val="-13"/>
        </w:rPr>
        <w:t xml:space="preserve"> </w:t>
      </w:r>
      <w:r>
        <w:t>used</w:t>
      </w:r>
      <w:r>
        <w:rPr>
          <w:spacing w:val="-12"/>
        </w:rPr>
        <w:t xml:space="preserve"> </w:t>
      </w:r>
      <w:r>
        <w:t>cocaine, 13.6% had ever used methamphetamine, and 10.1% had ever used heroin.</w:t>
      </w:r>
      <w:r>
        <w:rPr>
          <w:spacing w:val="-13"/>
        </w:rPr>
        <w:t xml:space="preserve"> </w:t>
      </w:r>
      <w:hyperlink w:anchor="_bookmark198" w:history="1">
        <w:r>
          <w:rPr>
            <w:vertAlign w:val="superscript"/>
          </w:rPr>
          <w:t>104</w:t>
        </w:r>
      </w:hyperlink>
      <w:r>
        <w:t xml:space="preserve"> Responde</w:t>
      </w:r>
      <w:r>
        <w:t>nts to this survey ages 13-18 had the lowest rates of substance use.</w:t>
      </w:r>
      <w:r>
        <w:rPr>
          <w:spacing w:val="-13"/>
        </w:rPr>
        <w:t xml:space="preserve"> </w:t>
      </w:r>
      <w:hyperlink w:anchor="_bookmark199" w:history="1">
        <w:r>
          <w:rPr>
            <w:vertAlign w:val="superscript"/>
          </w:rPr>
          <w:t>105</w:t>
        </w:r>
      </w:hyperlink>
      <w:r>
        <w:t xml:space="preserve"> However,</w:t>
      </w:r>
      <w:r>
        <w:rPr>
          <w:spacing w:val="76"/>
        </w:rPr>
        <w:t xml:space="preserve">  </w:t>
      </w:r>
      <w:r>
        <w:t>though</w:t>
      </w:r>
      <w:r>
        <w:rPr>
          <w:spacing w:val="75"/>
        </w:rPr>
        <w:t xml:space="preserve">  </w:t>
      </w:r>
      <w:r>
        <w:t>access</w:t>
      </w:r>
      <w:r>
        <w:rPr>
          <w:spacing w:val="77"/>
        </w:rPr>
        <w:t xml:space="preserve">  </w:t>
      </w:r>
      <w:r>
        <w:t>to</w:t>
      </w:r>
      <w:r>
        <w:rPr>
          <w:spacing w:val="75"/>
        </w:rPr>
        <w:t xml:space="preserve">  </w:t>
      </w:r>
      <w:r>
        <w:t>medications</w:t>
      </w:r>
      <w:r>
        <w:rPr>
          <w:spacing w:val="76"/>
        </w:rPr>
        <w:t xml:space="preserve">  </w:t>
      </w:r>
      <w:r>
        <w:rPr>
          <w:spacing w:val="-4"/>
        </w:rPr>
        <w:t>like</w:t>
      </w:r>
    </w:p>
    <w:p w:rsidR="00200FDA" w:rsidRDefault="00F76C4C">
      <w:pPr>
        <w:pStyle w:val="BodyText"/>
        <w:spacing w:line="276" w:lineRule="auto"/>
        <w:ind w:left="140" w:right="395"/>
        <w:jc w:val="both"/>
      </w:pPr>
      <w:r>
        <w:t>buprenorphine can be beneficial to LGBTQ youth, a 2022 study reported that patients who were younger, B</w:t>
      </w:r>
      <w:r>
        <w:t>lack, and/or female were less likely to receive buprenorphine treatment.</w:t>
      </w:r>
      <w:hyperlink w:anchor="_bookmark200" w:history="1">
        <w:r>
          <w:rPr>
            <w:vertAlign w:val="superscript"/>
          </w:rPr>
          <w:t>106</w:t>
        </w:r>
      </w:hyperlink>
    </w:p>
    <w:p w:rsidR="00200FDA" w:rsidRDefault="00200FDA">
      <w:pPr>
        <w:pStyle w:val="BodyText"/>
        <w:spacing w:before="7"/>
        <w:rPr>
          <w:sz w:val="19"/>
        </w:rPr>
      </w:pPr>
    </w:p>
    <w:p w:rsidR="00200FDA" w:rsidRDefault="00F76C4C">
      <w:pPr>
        <w:pStyle w:val="BodyText"/>
        <w:spacing w:line="276" w:lineRule="auto"/>
        <w:ind w:left="139" w:right="394"/>
        <w:jc w:val="both"/>
      </w:pPr>
      <w:r>
        <w:t>Despite</w:t>
      </w:r>
      <w:r>
        <w:rPr>
          <w:spacing w:val="-1"/>
        </w:rPr>
        <w:t xml:space="preserve"> </w:t>
      </w:r>
      <w:r>
        <w:t>a</w:t>
      </w:r>
      <w:r>
        <w:rPr>
          <w:spacing w:val="-4"/>
        </w:rPr>
        <w:t xml:space="preserve"> </w:t>
      </w:r>
      <w:r>
        <w:t>higher</w:t>
      </w:r>
      <w:r>
        <w:rPr>
          <w:spacing w:val="-2"/>
        </w:rPr>
        <w:t xml:space="preserve"> </w:t>
      </w:r>
      <w:r>
        <w:t>than</w:t>
      </w:r>
      <w:r>
        <w:rPr>
          <w:spacing w:val="-3"/>
        </w:rPr>
        <w:t xml:space="preserve"> </w:t>
      </w:r>
      <w:r>
        <w:t>average</w:t>
      </w:r>
      <w:r>
        <w:rPr>
          <w:spacing w:val="-1"/>
        </w:rPr>
        <w:t xml:space="preserve"> </w:t>
      </w:r>
      <w:r>
        <w:t>risk,</w:t>
      </w:r>
      <w:r>
        <w:rPr>
          <w:spacing w:val="-4"/>
        </w:rPr>
        <w:t xml:space="preserve"> </w:t>
      </w:r>
      <w:r>
        <w:t>LGBTQ</w:t>
      </w:r>
      <w:r>
        <w:rPr>
          <w:spacing w:val="-4"/>
        </w:rPr>
        <w:t xml:space="preserve"> </w:t>
      </w:r>
      <w:r>
        <w:t>youth</w:t>
      </w:r>
      <w:r>
        <w:rPr>
          <w:spacing w:val="-3"/>
        </w:rPr>
        <w:t xml:space="preserve"> </w:t>
      </w:r>
      <w:r>
        <w:t>have</w:t>
      </w:r>
      <w:r>
        <w:rPr>
          <w:spacing w:val="-4"/>
        </w:rPr>
        <w:t xml:space="preserve"> </w:t>
      </w:r>
      <w:r>
        <w:t>a</w:t>
      </w:r>
      <w:r>
        <w:rPr>
          <w:spacing w:val="-2"/>
        </w:rPr>
        <w:t xml:space="preserve"> </w:t>
      </w:r>
      <w:r>
        <w:t>number</w:t>
      </w:r>
      <w:r>
        <w:rPr>
          <w:spacing w:val="-4"/>
        </w:rPr>
        <w:t xml:space="preserve"> </w:t>
      </w:r>
      <w:r>
        <w:t>of</w:t>
      </w:r>
      <w:r>
        <w:rPr>
          <w:spacing w:val="-2"/>
        </w:rPr>
        <w:t xml:space="preserve"> </w:t>
      </w:r>
      <w:r>
        <w:t>protective</w:t>
      </w:r>
      <w:r>
        <w:rPr>
          <w:spacing w:val="-1"/>
        </w:rPr>
        <w:t xml:space="preserve"> </w:t>
      </w:r>
      <w:r>
        <w:t>factors</w:t>
      </w:r>
      <w:r>
        <w:rPr>
          <w:spacing w:val="-4"/>
        </w:rPr>
        <w:t xml:space="preserve"> </w:t>
      </w:r>
      <w:r>
        <w:t>that</w:t>
      </w:r>
      <w:r>
        <w:rPr>
          <w:spacing w:val="-4"/>
        </w:rPr>
        <w:t xml:space="preserve"> </w:t>
      </w:r>
      <w:r>
        <w:t>can</w:t>
      </w:r>
      <w:r>
        <w:rPr>
          <w:spacing w:val="-3"/>
        </w:rPr>
        <w:t xml:space="preserve"> </w:t>
      </w:r>
      <w:r>
        <w:t>reduce their risk of substance use.</w:t>
      </w:r>
      <w:hyperlink w:anchor="_bookmark201" w:history="1">
        <w:r>
          <w:rPr>
            <w:vertAlign w:val="superscript"/>
          </w:rPr>
          <w:t>107</w:t>
        </w:r>
      </w:hyperlink>
      <w:r>
        <w:rPr>
          <w:spacing w:val="-2"/>
        </w:rPr>
        <w:t xml:space="preserve"> </w:t>
      </w:r>
      <w:r>
        <w:t>For example, fostering a supportive and inclusive school environment, including</w:t>
      </w:r>
      <w:r>
        <w:rPr>
          <w:spacing w:val="-3"/>
        </w:rPr>
        <w:t xml:space="preserve"> </w:t>
      </w:r>
      <w:r>
        <w:t>positive</w:t>
      </w:r>
      <w:r>
        <w:rPr>
          <w:spacing w:val="-2"/>
        </w:rPr>
        <w:t xml:space="preserve"> </w:t>
      </w:r>
      <w:r>
        <w:t>teacher-student</w:t>
      </w:r>
      <w:r>
        <w:rPr>
          <w:spacing w:val="-4"/>
        </w:rPr>
        <w:t xml:space="preserve"> </w:t>
      </w:r>
      <w:r>
        <w:t>mentoring</w:t>
      </w:r>
      <w:r>
        <w:rPr>
          <w:spacing w:val="-3"/>
        </w:rPr>
        <w:t xml:space="preserve"> </w:t>
      </w:r>
      <w:r>
        <w:t>relationships,</w:t>
      </w:r>
      <w:r>
        <w:rPr>
          <w:spacing w:val="-3"/>
        </w:rPr>
        <w:t xml:space="preserve"> </w:t>
      </w:r>
      <w:r>
        <w:t>is</w:t>
      </w:r>
      <w:r>
        <w:rPr>
          <w:spacing w:val="-3"/>
        </w:rPr>
        <w:t xml:space="preserve"> </w:t>
      </w:r>
      <w:r>
        <w:t>associated</w:t>
      </w:r>
      <w:r>
        <w:rPr>
          <w:spacing w:val="-3"/>
        </w:rPr>
        <w:t xml:space="preserve"> </w:t>
      </w:r>
      <w:r>
        <w:t>with</w:t>
      </w:r>
      <w:r>
        <w:rPr>
          <w:spacing w:val="-4"/>
        </w:rPr>
        <w:t xml:space="preserve"> </w:t>
      </w:r>
      <w:r>
        <w:t>lower</w:t>
      </w:r>
      <w:r>
        <w:rPr>
          <w:spacing w:val="-3"/>
        </w:rPr>
        <w:t xml:space="preserve"> </w:t>
      </w:r>
      <w:r>
        <w:t>rates</w:t>
      </w:r>
      <w:r>
        <w:rPr>
          <w:spacing w:val="-4"/>
        </w:rPr>
        <w:t xml:space="preserve"> </w:t>
      </w:r>
      <w:r>
        <w:t>of</w:t>
      </w:r>
      <w:r>
        <w:rPr>
          <w:spacing w:val="-5"/>
        </w:rPr>
        <w:t xml:space="preserve"> </w:t>
      </w:r>
      <w:r>
        <w:t xml:space="preserve">tobacco, alcohol, and marijuana use. </w:t>
      </w:r>
      <w:hyperlink w:anchor="_bookmark202" w:history="1">
        <w:r>
          <w:rPr>
            <w:vertAlign w:val="superscript"/>
          </w:rPr>
          <w:t>108</w:t>
        </w:r>
      </w:hyperlink>
      <w:r>
        <w:t xml:space="preserve"> Youth-focused organizations, whether in-school (like GSAs) or community-based,</w:t>
      </w:r>
      <w:r>
        <w:rPr>
          <w:spacing w:val="-11"/>
        </w:rPr>
        <w:t xml:space="preserve"> </w:t>
      </w:r>
      <w:r>
        <w:t>foster</w:t>
      </w:r>
      <w:r>
        <w:rPr>
          <w:spacing w:val="-12"/>
        </w:rPr>
        <w:t xml:space="preserve"> </w:t>
      </w:r>
      <w:r>
        <w:t>connections</w:t>
      </w:r>
      <w:r>
        <w:rPr>
          <w:spacing w:val="-9"/>
        </w:rPr>
        <w:t xml:space="preserve"> </w:t>
      </w:r>
      <w:r>
        <w:t>between</w:t>
      </w:r>
      <w:r>
        <w:rPr>
          <w:spacing w:val="-12"/>
        </w:rPr>
        <w:t xml:space="preserve"> </w:t>
      </w:r>
      <w:r>
        <w:t>LGBTQ</w:t>
      </w:r>
      <w:r>
        <w:rPr>
          <w:spacing w:val="-9"/>
        </w:rPr>
        <w:t xml:space="preserve"> </w:t>
      </w:r>
      <w:r>
        <w:t>youths</w:t>
      </w:r>
      <w:r>
        <w:rPr>
          <w:spacing w:val="-11"/>
        </w:rPr>
        <w:t xml:space="preserve"> </w:t>
      </w:r>
      <w:r>
        <w:t>and</w:t>
      </w:r>
      <w:r>
        <w:rPr>
          <w:spacing w:val="-10"/>
        </w:rPr>
        <w:t xml:space="preserve"> </w:t>
      </w:r>
      <w:r>
        <w:t>give</w:t>
      </w:r>
      <w:r>
        <w:rPr>
          <w:spacing w:val="-11"/>
        </w:rPr>
        <w:t xml:space="preserve"> </w:t>
      </w:r>
      <w:r>
        <w:t>LGBTQ</w:t>
      </w:r>
      <w:r>
        <w:rPr>
          <w:spacing w:val="-11"/>
        </w:rPr>
        <w:t xml:space="preserve"> </w:t>
      </w:r>
      <w:r>
        <w:t>youths</w:t>
      </w:r>
      <w:r>
        <w:rPr>
          <w:spacing w:val="-11"/>
        </w:rPr>
        <w:t xml:space="preserve"> </w:t>
      </w:r>
      <w:r>
        <w:t>the</w:t>
      </w:r>
      <w:r>
        <w:rPr>
          <w:spacing w:val="-11"/>
        </w:rPr>
        <w:t xml:space="preserve"> </w:t>
      </w:r>
      <w:r>
        <w:t>opportunity to engage with their peers in a sober space.</w:t>
      </w:r>
      <w:hyperlink w:anchor="_bookmark203" w:history="1">
        <w:r>
          <w:rPr>
            <w:vertAlign w:val="superscript"/>
          </w:rPr>
          <w:t>109</w:t>
        </w:r>
      </w:hyperlink>
      <w:r>
        <w:rPr>
          <w:spacing w:val="-2"/>
        </w:rPr>
        <w:t xml:space="preserve"> </w:t>
      </w:r>
      <w:r>
        <w:t>These organizations can also be used to foster youth- adult mentorship relationships, as</w:t>
      </w:r>
      <w:r>
        <w:rPr>
          <w:spacing w:val="-2"/>
        </w:rPr>
        <w:t xml:space="preserve"> </w:t>
      </w:r>
      <w:r>
        <w:t>well.</w:t>
      </w:r>
      <w:r>
        <w:rPr>
          <w:spacing w:val="-2"/>
        </w:rPr>
        <w:t xml:space="preserve"> </w:t>
      </w:r>
      <w:r>
        <w:t>Additionally, research</w:t>
      </w:r>
      <w:r>
        <w:rPr>
          <w:spacing w:val="-3"/>
        </w:rPr>
        <w:t xml:space="preserve"> </w:t>
      </w:r>
      <w:r>
        <w:t>has</w:t>
      </w:r>
      <w:r>
        <w:rPr>
          <w:spacing w:val="-2"/>
        </w:rPr>
        <w:t xml:space="preserve"> </w:t>
      </w:r>
      <w:r>
        <w:t>shown</w:t>
      </w:r>
      <w:r>
        <w:rPr>
          <w:spacing w:val="-3"/>
        </w:rPr>
        <w:t xml:space="preserve"> </w:t>
      </w:r>
      <w:r>
        <w:t>that</w:t>
      </w:r>
      <w:r>
        <w:rPr>
          <w:spacing w:val="-1"/>
        </w:rPr>
        <w:t xml:space="preserve"> </w:t>
      </w:r>
      <w:r>
        <w:t>the higher</w:t>
      </w:r>
      <w:r>
        <w:rPr>
          <w:spacing w:val="-2"/>
        </w:rPr>
        <w:t xml:space="preserve"> </w:t>
      </w:r>
      <w:r>
        <w:t>the</w:t>
      </w:r>
      <w:r>
        <w:rPr>
          <w:spacing w:val="-1"/>
        </w:rPr>
        <w:t xml:space="preserve"> </w:t>
      </w:r>
      <w:r>
        <w:t>number of LGBTQ specific school and community resources available to LGBTQ youth, the lower the rate of subs</w:t>
      </w:r>
      <w:r>
        <w:t>tance</w:t>
      </w:r>
      <w:r>
        <w:rPr>
          <w:spacing w:val="-10"/>
        </w:rPr>
        <w:t xml:space="preserve"> </w:t>
      </w:r>
      <w:r>
        <w:t>use</w:t>
      </w:r>
      <w:r>
        <w:rPr>
          <w:spacing w:val="-10"/>
        </w:rPr>
        <w:t xml:space="preserve"> </w:t>
      </w:r>
      <w:r>
        <w:t>among</w:t>
      </w:r>
      <w:r>
        <w:rPr>
          <w:spacing w:val="-11"/>
        </w:rPr>
        <w:t xml:space="preserve"> </w:t>
      </w:r>
      <w:r>
        <w:t>LGBTQ</w:t>
      </w:r>
      <w:r>
        <w:rPr>
          <w:spacing w:val="-10"/>
        </w:rPr>
        <w:t xml:space="preserve"> </w:t>
      </w:r>
      <w:r>
        <w:t>youth.</w:t>
      </w:r>
      <w:hyperlink w:anchor="_bookmark204" w:history="1">
        <w:r>
          <w:rPr>
            <w:vertAlign w:val="superscript"/>
          </w:rPr>
          <w:t>110</w:t>
        </w:r>
      </w:hyperlink>
      <w:r>
        <w:rPr>
          <w:spacing w:val="-2"/>
        </w:rPr>
        <w:t xml:space="preserve"> </w:t>
      </w:r>
      <w:r>
        <w:t>Whether</w:t>
      </w:r>
      <w:r>
        <w:rPr>
          <w:spacing w:val="-11"/>
        </w:rPr>
        <w:t xml:space="preserve"> </w:t>
      </w:r>
      <w:r>
        <w:t>or</w:t>
      </w:r>
      <w:r>
        <w:rPr>
          <w:spacing w:val="-11"/>
        </w:rPr>
        <w:t xml:space="preserve"> </w:t>
      </w:r>
      <w:r>
        <w:t>not</w:t>
      </w:r>
      <w:r>
        <w:rPr>
          <w:spacing w:val="-12"/>
        </w:rPr>
        <w:t xml:space="preserve"> </w:t>
      </w:r>
      <w:r>
        <w:t>youths</w:t>
      </w:r>
      <w:r>
        <w:rPr>
          <w:spacing w:val="-10"/>
        </w:rPr>
        <w:t xml:space="preserve"> </w:t>
      </w:r>
      <w:r>
        <w:t>actually</w:t>
      </w:r>
      <w:r>
        <w:rPr>
          <w:spacing w:val="-10"/>
        </w:rPr>
        <w:t xml:space="preserve"> </w:t>
      </w:r>
      <w:r>
        <w:t>use</w:t>
      </w:r>
      <w:r>
        <w:rPr>
          <w:spacing w:val="-12"/>
        </w:rPr>
        <w:t xml:space="preserve"> </w:t>
      </w:r>
      <w:r>
        <w:t>the</w:t>
      </w:r>
      <w:r>
        <w:rPr>
          <w:spacing w:val="-10"/>
        </w:rPr>
        <w:t xml:space="preserve"> </w:t>
      </w:r>
      <w:r>
        <w:t>resources,</w:t>
      </w:r>
      <w:r>
        <w:rPr>
          <w:spacing w:val="-10"/>
        </w:rPr>
        <w:t xml:space="preserve"> </w:t>
      </w:r>
      <w:r>
        <w:t>just</w:t>
      </w:r>
      <w:r>
        <w:rPr>
          <w:spacing w:val="-12"/>
        </w:rPr>
        <w:t xml:space="preserve"> </w:t>
      </w:r>
      <w:r>
        <w:t>knowing that there is a strong community network and that there are supportive resources readily available serves as a key protective fac</w:t>
      </w:r>
      <w:r>
        <w:t>tor against substance use.</w:t>
      </w:r>
      <w:hyperlink w:anchor="_bookmark205" w:history="1">
        <w:r>
          <w:rPr>
            <w:vertAlign w:val="superscript"/>
          </w:rPr>
          <w:t>111</w:t>
        </w:r>
      </w:hyperlink>
    </w:p>
    <w:p w:rsidR="00200FDA" w:rsidRDefault="00200FDA">
      <w:pPr>
        <w:pStyle w:val="BodyText"/>
        <w:spacing w:before="9"/>
        <w:rPr>
          <w:sz w:val="19"/>
        </w:rPr>
      </w:pPr>
    </w:p>
    <w:p w:rsidR="00200FDA" w:rsidRDefault="00F76C4C">
      <w:pPr>
        <w:pStyle w:val="BodyText"/>
        <w:spacing w:line="276" w:lineRule="auto"/>
        <w:ind w:left="139" w:right="394"/>
        <w:jc w:val="both"/>
      </w:pPr>
      <w:r>
        <w:t>When asked, LGBTQ youth of color additionally expressed interest in community-based healing, LGBTQ</w:t>
      </w:r>
      <w:r>
        <w:rPr>
          <w:spacing w:val="23"/>
        </w:rPr>
        <w:t xml:space="preserve"> </w:t>
      </w:r>
      <w:r>
        <w:t>youth-specific</w:t>
      </w:r>
      <w:r>
        <w:rPr>
          <w:spacing w:val="25"/>
        </w:rPr>
        <w:t xml:space="preserve"> </w:t>
      </w:r>
      <w:r>
        <w:t>treatment</w:t>
      </w:r>
      <w:r>
        <w:rPr>
          <w:spacing w:val="25"/>
        </w:rPr>
        <w:t xml:space="preserve"> </w:t>
      </w:r>
      <w:r>
        <w:t>and</w:t>
      </w:r>
      <w:r>
        <w:rPr>
          <w:spacing w:val="24"/>
        </w:rPr>
        <w:t xml:space="preserve"> </w:t>
      </w:r>
      <w:r>
        <w:t>healing</w:t>
      </w:r>
      <w:r>
        <w:rPr>
          <w:spacing w:val="24"/>
        </w:rPr>
        <w:t xml:space="preserve"> </w:t>
      </w:r>
      <w:r>
        <w:t>spaces,</w:t>
      </w:r>
      <w:r>
        <w:rPr>
          <w:spacing w:val="23"/>
        </w:rPr>
        <w:t xml:space="preserve"> </w:t>
      </w:r>
      <w:r>
        <w:t>and</w:t>
      </w:r>
      <w:r>
        <w:rPr>
          <w:spacing w:val="24"/>
        </w:rPr>
        <w:t xml:space="preserve"> </w:t>
      </w:r>
      <w:r>
        <w:t>more</w:t>
      </w:r>
      <w:r>
        <w:rPr>
          <w:spacing w:val="25"/>
        </w:rPr>
        <w:t xml:space="preserve"> </w:t>
      </w:r>
      <w:r>
        <w:t>holistic/less</w:t>
      </w:r>
      <w:r>
        <w:rPr>
          <w:spacing w:val="25"/>
        </w:rPr>
        <w:t xml:space="preserve"> </w:t>
      </w:r>
      <w:r>
        <w:t>medicalized</w:t>
      </w:r>
      <w:r>
        <w:rPr>
          <w:spacing w:val="24"/>
        </w:rPr>
        <w:t xml:space="preserve"> </w:t>
      </w:r>
      <w:r>
        <w:t>treatment</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F76C4C">
      <w:pPr>
        <w:pStyle w:val="BodyText"/>
        <w:spacing w:before="154" w:line="276" w:lineRule="auto"/>
        <w:ind w:left="139" w:right="394"/>
        <w:jc w:val="both"/>
      </w:pPr>
      <w:r>
        <w:lastRenderedPageBreak/>
        <w:t>options.</w:t>
      </w:r>
      <w:hyperlink w:anchor="_bookmark206" w:history="1">
        <w:r>
          <w:rPr>
            <w:vertAlign w:val="superscript"/>
          </w:rPr>
          <w:t>112</w:t>
        </w:r>
      </w:hyperlink>
      <w:r>
        <w:t xml:space="preserve"> Low-income youth and undocumented youth in particular may have trouble accessing traditional, clinic-based substance use disorder recovery care.</w:t>
      </w:r>
      <w:hyperlink w:anchor="_bookmark207" w:history="1">
        <w:r>
          <w:rPr>
            <w:vertAlign w:val="superscript"/>
          </w:rPr>
          <w:t>113</w:t>
        </w:r>
      </w:hyperlink>
      <w:r>
        <w:t xml:space="preserve"> While not stu</w:t>
      </w:r>
      <w:r>
        <w:t>died specifically for LGBTQ youth, both peer-led substance use recovery and prevention programming are highly successful and more effective than adult-led programming.</w:t>
      </w:r>
      <w:r>
        <w:rPr>
          <w:spacing w:val="-13"/>
        </w:rPr>
        <w:t xml:space="preserve"> </w:t>
      </w:r>
      <w:hyperlink w:anchor="_bookmark208" w:history="1">
        <w:r>
          <w:rPr>
            <w:vertAlign w:val="superscript"/>
          </w:rPr>
          <w:t>114</w:t>
        </w:r>
      </w:hyperlink>
      <w:r>
        <w:t xml:space="preserve"> Youths expressed that they found “peer-led</w:t>
      </w:r>
      <w:r>
        <w:rPr>
          <w:spacing w:val="-5"/>
        </w:rPr>
        <w:t xml:space="preserve"> </w:t>
      </w:r>
      <w:r>
        <w:t>sessions</w:t>
      </w:r>
      <w:r>
        <w:rPr>
          <w:spacing w:val="-7"/>
        </w:rPr>
        <w:t xml:space="preserve"> </w:t>
      </w:r>
      <w:r>
        <w:t>more</w:t>
      </w:r>
      <w:r>
        <w:rPr>
          <w:spacing w:val="-6"/>
        </w:rPr>
        <w:t xml:space="preserve"> </w:t>
      </w:r>
      <w:r>
        <w:t>enjoyable,”</w:t>
      </w:r>
      <w:r>
        <w:rPr>
          <w:spacing w:val="-5"/>
        </w:rPr>
        <w:t xml:space="preserve"> </w:t>
      </w:r>
      <w:r>
        <w:t>and</w:t>
      </w:r>
      <w:r>
        <w:rPr>
          <w:spacing w:val="-5"/>
        </w:rPr>
        <w:t xml:space="preserve"> </w:t>
      </w:r>
      <w:r>
        <w:t>were</w:t>
      </w:r>
      <w:r>
        <w:rPr>
          <w:spacing w:val="-6"/>
        </w:rPr>
        <w:t xml:space="preserve"> </w:t>
      </w:r>
      <w:r>
        <w:t>more</w:t>
      </w:r>
      <w:r>
        <w:rPr>
          <w:spacing w:val="-6"/>
        </w:rPr>
        <w:t xml:space="preserve"> </w:t>
      </w:r>
      <w:r>
        <w:t>willing</w:t>
      </w:r>
      <w:r>
        <w:rPr>
          <w:spacing w:val="-5"/>
        </w:rPr>
        <w:t xml:space="preserve"> </w:t>
      </w:r>
      <w:r>
        <w:t>to</w:t>
      </w:r>
      <w:r>
        <w:rPr>
          <w:spacing w:val="-3"/>
        </w:rPr>
        <w:t xml:space="preserve"> </w:t>
      </w:r>
      <w:r>
        <w:t>actively</w:t>
      </w:r>
      <w:r>
        <w:rPr>
          <w:spacing w:val="-6"/>
        </w:rPr>
        <w:t xml:space="preserve"> </w:t>
      </w:r>
      <w:r>
        <w:t>engage</w:t>
      </w:r>
      <w:r>
        <w:rPr>
          <w:spacing w:val="-4"/>
        </w:rPr>
        <w:t xml:space="preserve"> </w:t>
      </w:r>
      <w:r>
        <w:t>with</w:t>
      </w:r>
      <w:r>
        <w:rPr>
          <w:spacing w:val="-5"/>
        </w:rPr>
        <w:t xml:space="preserve"> </w:t>
      </w:r>
      <w:r>
        <w:t>peers,</w:t>
      </w:r>
      <w:r>
        <w:rPr>
          <w:spacing w:val="-4"/>
        </w:rPr>
        <w:t xml:space="preserve"> </w:t>
      </w:r>
      <w:r>
        <w:t>rather</w:t>
      </w:r>
      <w:r>
        <w:rPr>
          <w:spacing w:val="-4"/>
        </w:rPr>
        <w:t xml:space="preserve"> </w:t>
      </w:r>
      <w:r>
        <w:t>than adults.</w:t>
      </w:r>
      <w:hyperlink w:anchor="_bookmark209" w:history="1">
        <w:r>
          <w:rPr>
            <w:vertAlign w:val="superscript"/>
          </w:rPr>
          <w:t>115</w:t>
        </w:r>
      </w:hyperlink>
      <w:r>
        <w:rPr>
          <w:spacing w:val="-2"/>
        </w:rPr>
        <w:t xml:space="preserve"> </w:t>
      </w:r>
      <w:r>
        <w:t>Youths additionally stressed the importance of culturally-competent treatment options, as well as interventions</w:t>
      </w:r>
      <w:r>
        <w:rPr>
          <w:spacing w:val="-1"/>
        </w:rPr>
        <w:t xml:space="preserve"> </w:t>
      </w:r>
      <w:r>
        <w:t>that promote harm-r</w:t>
      </w:r>
      <w:r>
        <w:t>eduction.</w:t>
      </w:r>
      <w:hyperlink w:anchor="_bookmark210" w:history="1">
        <w:r>
          <w:rPr>
            <w:vertAlign w:val="superscript"/>
          </w:rPr>
          <w:t>116</w:t>
        </w:r>
      </w:hyperlink>
      <w:r>
        <w:rPr>
          <w:spacing w:val="-2"/>
        </w:rPr>
        <w:t xml:space="preserve"> </w:t>
      </w:r>
      <w:r>
        <w:t>For example, ensuring that LGBTQ youth have access to community-based safe consumption sites and needle exchange programs can reduce the number of overdoses, as well as the number of cases of HIV and Hepatitis C</w:t>
      </w:r>
      <w:r>
        <w:t>.</w:t>
      </w:r>
      <w:hyperlink w:anchor="_bookmark211" w:history="1">
        <w:r>
          <w:rPr>
            <w:vertAlign w:val="superscript"/>
          </w:rPr>
          <w:t>117</w:t>
        </w:r>
      </w:hyperlink>
      <w:r>
        <w:rPr>
          <w:spacing w:val="-2"/>
        </w:rPr>
        <w:t xml:space="preserve"> </w:t>
      </w:r>
      <w:r>
        <w:t>These have shown great promise in many cities and towns across Massachusetts, but are oftentimes inaccessible to young people, especially those who are still in school or who live in more rural areas of the state, including parts of central Massachusetts.</w:t>
      </w:r>
      <w:hyperlink w:anchor="_bookmark212" w:history="1">
        <w:r>
          <w:rPr>
            <w:vertAlign w:val="superscript"/>
          </w:rPr>
          <w:t>118</w:t>
        </w:r>
      </w:hyperlink>
      <w:r>
        <w:rPr>
          <w:vertAlign w:val="superscript"/>
        </w:rPr>
        <w:t>,</w:t>
      </w:r>
      <w:hyperlink w:anchor="_bookmark213" w:history="1">
        <w:r>
          <w:rPr>
            <w:vertAlign w:val="superscript"/>
          </w:rPr>
          <w:t>119</w:t>
        </w:r>
      </w:hyperlink>
      <w:r>
        <w:t xml:space="preserve"> Many youths already engage informally with harm- reduction strategies, so ensuring that prevention and recovery programming support this goal is important to ensuring that youth actuall</w:t>
      </w:r>
      <w:r>
        <w:t>y participate in the programs.</w:t>
      </w:r>
      <w:hyperlink w:anchor="_bookmark214" w:history="1">
        <w:r>
          <w:rPr>
            <w:vertAlign w:val="superscript"/>
          </w:rPr>
          <w:t>120</w:t>
        </w:r>
      </w:hyperlink>
    </w:p>
    <w:p w:rsidR="00200FDA" w:rsidRDefault="00F76C4C">
      <w:pPr>
        <w:pStyle w:val="Heading8"/>
        <w:spacing w:before="162"/>
      </w:pPr>
      <w:bookmarkStart w:id="348" w:name="Commercial_Sexual_Exploitation_&amp;_Sex_Wor"/>
      <w:bookmarkEnd w:id="348"/>
      <w:r>
        <w:rPr>
          <w:color w:val="0A5293"/>
        </w:rPr>
        <w:t>Commercial</w:t>
      </w:r>
      <w:r>
        <w:rPr>
          <w:color w:val="0A5293"/>
          <w:spacing w:val="-1"/>
        </w:rPr>
        <w:t xml:space="preserve"> </w:t>
      </w:r>
      <w:r>
        <w:rPr>
          <w:color w:val="0A5293"/>
        </w:rPr>
        <w:t>Sexual</w:t>
      </w:r>
      <w:r>
        <w:rPr>
          <w:color w:val="0A5293"/>
          <w:spacing w:val="-3"/>
        </w:rPr>
        <w:t xml:space="preserve"> </w:t>
      </w:r>
      <w:r>
        <w:rPr>
          <w:color w:val="0A5293"/>
        </w:rPr>
        <w:t>Exploitation</w:t>
      </w:r>
      <w:r>
        <w:rPr>
          <w:color w:val="0A5293"/>
          <w:spacing w:val="1"/>
        </w:rPr>
        <w:t xml:space="preserve"> </w:t>
      </w:r>
      <w:r>
        <w:rPr>
          <w:color w:val="0A5293"/>
        </w:rPr>
        <w:t>&amp;</w:t>
      </w:r>
      <w:r>
        <w:rPr>
          <w:color w:val="0A5293"/>
          <w:spacing w:val="-3"/>
        </w:rPr>
        <w:t xml:space="preserve"> </w:t>
      </w:r>
      <w:r>
        <w:rPr>
          <w:color w:val="0A5293"/>
        </w:rPr>
        <w:t xml:space="preserve">Sex </w:t>
      </w:r>
      <w:r>
        <w:rPr>
          <w:color w:val="0A5293"/>
          <w:spacing w:val="-4"/>
        </w:rPr>
        <w:t>Work</w:t>
      </w:r>
    </w:p>
    <w:p w:rsidR="00200FDA" w:rsidRDefault="00200FDA">
      <w:pPr>
        <w:pStyle w:val="BodyText"/>
        <w:spacing w:before="5"/>
        <w:rPr>
          <w:sz w:val="19"/>
        </w:rPr>
      </w:pPr>
    </w:p>
    <w:p w:rsidR="00200FDA" w:rsidRDefault="00F76C4C">
      <w:pPr>
        <w:pStyle w:val="BodyText"/>
        <w:spacing w:line="276" w:lineRule="auto"/>
        <w:ind w:left="139" w:right="394"/>
        <w:jc w:val="both"/>
      </w:pPr>
      <w:r>
        <w:t>Traffickers often target marginalized individuals who have previously experienced violent victimization,</w:t>
      </w:r>
      <w:r>
        <w:rPr>
          <w:spacing w:val="-1"/>
        </w:rPr>
        <w:t xml:space="preserve"> </w:t>
      </w:r>
      <w:r>
        <w:t>who lack strong</w:t>
      </w:r>
      <w:r>
        <w:rPr>
          <w:spacing w:val="-2"/>
        </w:rPr>
        <w:t xml:space="preserve"> </w:t>
      </w:r>
      <w:r>
        <w:t>family or</w:t>
      </w:r>
      <w:r>
        <w:rPr>
          <w:spacing w:val="-1"/>
        </w:rPr>
        <w:t xml:space="preserve"> </w:t>
      </w:r>
      <w:r>
        <w:t>friend</w:t>
      </w:r>
      <w:r>
        <w:rPr>
          <w:spacing w:val="-2"/>
        </w:rPr>
        <w:t xml:space="preserve"> </w:t>
      </w:r>
      <w:r>
        <w:t>support,</w:t>
      </w:r>
      <w:r>
        <w:rPr>
          <w:spacing w:val="-3"/>
        </w:rPr>
        <w:t xml:space="preserve"> </w:t>
      </w:r>
      <w:r>
        <w:t>or</w:t>
      </w:r>
      <w:r>
        <w:rPr>
          <w:spacing w:val="-1"/>
        </w:rPr>
        <w:t xml:space="preserve"> </w:t>
      </w:r>
      <w:r>
        <w:t>who are experiencing</w:t>
      </w:r>
      <w:r>
        <w:rPr>
          <w:spacing w:val="-2"/>
        </w:rPr>
        <w:t xml:space="preserve"> </w:t>
      </w:r>
      <w:r>
        <w:t>financial</w:t>
      </w:r>
      <w:r>
        <w:rPr>
          <w:spacing w:val="-1"/>
        </w:rPr>
        <w:t xml:space="preserve"> </w:t>
      </w:r>
      <w:r>
        <w:t>hardship.</w:t>
      </w:r>
      <w:hyperlink w:anchor="_bookmark215" w:history="1">
        <w:r>
          <w:rPr>
            <w:vertAlign w:val="superscript"/>
          </w:rPr>
          <w:t>121</w:t>
        </w:r>
      </w:hyperlink>
      <w:r>
        <w:t xml:space="preserve"> Some youth are exploited by romantic partners, while others are exploited by family members or employers. </w:t>
      </w:r>
      <w:hyperlink w:anchor="_bookmark216" w:history="1">
        <w:r>
          <w:rPr>
            <w:vertAlign w:val="superscript"/>
          </w:rPr>
          <w:t>122</w:t>
        </w:r>
      </w:hyperlink>
      <w:r>
        <w:t xml:space="preserve"> Youth who have experienced intimate</w:t>
      </w:r>
      <w:r>
        <w:t xml:space="preserve"> partner or sexual violence, bullying or discrimination, and involvement in the child welfare system are particularly vulnerable. </w:t>
      </w:r>
      <w:hyperlink w:anchor="_bookmark217" w:history="1">
        <w:r>
          <w:rPr>
            <w:vertAlign w:val="superscript"/>
          </w:rPr>
          <w:t>123</w:t>
        </w:r>
      </w:hyperlink>
      <w:r>
        <w:t xml:space="preserve"> Additionally,</w:t>
      </w:r>
      <w:r>
        <w:rPr>
          <w:spacing w:val="-9"/>
        </w:rPr>
        <w:t xml:space="preserve"> </w:t>
      </w:r>
      <w:r>
        <w:t>unhoused</w:t>
      </w:r>
      <w:r>
        <w:rPr>
          <w:spacing w:val="-12"/>
        </w:rPr>
        <w:t xml:space="preserve"> </w:t>
      </w:r>
      <w:r>
        <w:t>youth,</w:t>
      </w:r>
      <w:r>
        <w:rPr>
          <w:spacing w:val="-9"/>
        </w:rPr>
        <w:t xml:space="preserve"> </w:t>
      </w:r>
      <w:r>
        <w:t>transgender</w:t>
      </w:r>
      <w:r>
        <w:rPr>
          <w:spacing w:val="-12"/>
        </w:rPr>
        <w:t xml:space="preserve"> </w:t>
      </w:r>
      <w:r>
        <w:t>youth</w:t>
      </w:r>
      <w:r>
        <w:rPr>
          <w:spacing w:val="-12"/>
        </w:rPr>
        <w:t xml:space="preserve"> </w:t>
      </w:r>
      <w:r>
        <w:t>of</w:t>
      </w:r>
      <w:r>
        <w:rPr>
          <w:spacing w:val="-12"/>
        </w:rPr>
        <w:t xml:space="preserve"> </w:t>
      </w:r>
      <w:r>
        <w:t>color,</w:t>
      </w:r>
      <w:r>
        <w:rPr>
          <w:spacing w:val="-9"/>
        </w:rPr>
        <w:t xml:space="preserve"> </w:t>
      </w:r>
      <w:r>
        <w:t>and</w:t>
      </w:r>
      <w:r>
        <w:rPr>
          <w:spacing w:val="-12"/>
        </w:rPr>
        <w:t xml:space="preserve"> </w:t>
      </w:r>
      <w:r>
        <w:t>youth</w:t>
      </w:r>
      <w:r>
        <w:rPr>
          <w:spacing w:val="-10"/>
        </w:rPr>
        <w:t xml:space="preserve"> </w:t>
      </w:r>
      <w:r>
        <w:t>with</w:t>
      </w:r>
      <w:r>
        <w:rPr>
          <w:spacing w:val="-10"/>
        </w:rPr>
        <w:t xml:space="preserve"> </w:t>
      </w:r>
      <w:r>
        <w:t>substance</w:t>
      </w:r>
      <w:r>
        <w:rPr>
          <w:spacing w:val="-8"/>
        </w:rPr>
        <w:t xml:space="preserve"> </w:t>
      </w:r>
      <w:r>
        <w:t>use</w:t>
      </w:r>
      <w:r>
        <w:rPr>
          <w:spacing w:val="-11"/>
        </w:rPr>
        <w:t xml:space="preserve"> </w:t>
      </w:r>
      <w:r>
        <w:t>disorders</w:t>
      </w:r>
      <w:r>
        <w:rPr>
          <w:spacing w:val="-9"/>
        </w:rPr>
        <w:t xml:space="preserve"> </w:t>
      </w:r>
      <w:r>
        <w:t>are at an increased risk for sexual exploitation.</w:t>
      </w:r>
      <w:hyperlink w:anchor="_bookmark218" w:history="1">
        <w:r>
          <w:rPr>
            <w:vertAlign w:val="superscript"/>
          </w:rPr>
          <w:t>124</w:t>
        </w:r>
      </w:hyperlink>
      <w:r>
        <w:rPr>
          <w:spacing w:val="-2"/>
        </w:rPr>
        <w:t xml:space="preserve"> </w:t>
      </w:r>
      <w:r>
        <w:t>Some LGBTQ youth may fall into one or all of these categories, increasing their risk of commercial sexual exploitation. Although there is little data regarding t</w:t>
      </w:r>
      <w:r>
        <w:t>he number of LGBTQ youths who experience commercial sexual exploitation each year, experts estimate that it is likely extremely underreported.</w:t>
      </w:r>
      <w:r>
        <w:rPr>
          <w:spacing w:val="-13"/>
        </w:rPr>
        <w:t xml:space="preserve"> </w:t>
      </w:r>
      <w:hyperlink w:anchor="_bookmark219" w:history="1">
        <w:r>
          <w:rPr>
            <w:vertAlign w:val="superscript"/>
          </w:rPr>
          <w:t>125</w:t>
        </w:r>
      </w:hyperlink>
      <w:r>
        <w:t xml:space="preserve"> An estimated 19-41% of unhoused LGBTQ</w:t>
      </w:r>
      <w:r>
        <w:rPr>
          <w:spacing w:val="-13"/>
        </w:rPr>
        <w:t xml:space="preserve"> </w:t>
      </w:r>
      <w:r>
        <w:t>youth</w:t>
      </w:r>
      <w:r>
        <w:rPr>
          <w:spacing w:val="-12"/>
        </w:rPr>
        <w:t xml:space="preserve"> </w:t>
      </w:r>
      <w:r>
        <w:t>have</w:t>
      </w:r>
      <w:r>
        <w:rPr>
          <w:spacing w:val="-13"/>
        </w:rPr>
        <w:t xml:space="preserve"> </w:t>
      </w:r>
      <w:r>
        <w:t>experienced</w:t>
      </w:r>
      <w:r>
        <w:rPr>
          <w:spacing w:val="-11"/>
        </w:rPr>
        <w:t xml:space="preserve"> </w:t>
      </w:r>
      <w:r>
        <w:t>commercial</w:t>
      </w:r>
      <w:r>
        <w:rPr>
          <w:spacing w:val="-11"/>
        </w:rPr>
        <w:t xml:space="preserve"> </w:t>
      </w:r>
      <w:r>
        <w:t>sexua</w:t>
      </w:r>
      <w:r>
        <w:t>l</w:t>
      </w:r>
      <w:r>
        <w:rPr>
          <w:spacing w:val="-13"/>
        </w:rPr>
        <w:t xml:space="preserve"> </w:t>
      </w:r>
      <w:r>
        <w:t>exploitation.</w:t>
      </w:r>
      <w:hyperlink w:anchor="_bookmark220" w:history="1">
        <w:r>
          <w:rPr>
            <w:vertAlign w:val="superscript"/>
          </w:rPr>
          <w:t>126</w:t>
        </w:r>
      </w:hyperlink>
      <w:r>
        <w:rPr>
          <w:spacing w:val="-2"/>
        </w:rPr>
        <w:t xml:space="preserve"> </w:t>
      </w:r>
      <w:r>
        <w:t>Among</w:t>
      </w:r>
      <w:r>
        <w:rPr>
          <w:spacing w:val="-11"/>
        </w:rPr>
        <w:t xml:space="preserve"> </w:t>
      </w:r>
      <w:r>
        <w:t>LGBTQ</w:t>
      </w:r>
      <w:r>
        <w:rPr>
          <w:spacing w:val="-13"/>
        </w:rPr>
        <w:t xml:space="preserve"> </w:t>
      </w:r>
      <w:r>
        <w:t>youth</w:t>
      </w:r>
      <w:r>
        <w:rPr>
          <w:spacing w:val="-12"/>
        </w:rPr>
        <w:t xml:space="preserve"> </w:t>
      </w:r>
      <w:r>
        <w:t>of</w:t>
      </w:r>
      <w:r>
        <w:rPr>
          <w:spacing w:val="-11"/>
        </w:rPr>
        <w:t xml:space="preserve"> </w:t>
      </w:r>
      <w:r>
        <w:t>color,</w:t>
      </w:r>
      <w:r>
        <w:rPr>
          <w:spacing w:val="-10"/>
        </w:rPr>
        <w:t xml:space="preserve"> </w:t>
      </w:r>
      <w:r>
        <w:t>Black youth of any gender are most likely to be criminalized and arrested for being sexually exploited.</w:t>
      </w:r>
      <w:hyperlink w:anchor="_bookmark221" w:history="1">
        <w:r>
          <w:rPr>
            <w:vertAlign w:val="superscript"/>
          </w:rPr>
          <w:t>127</w:t>
        </w:r>
      </w:hyperlink>
      <w:r>
        <w:t xml:space="preserve"> Additionally,</w:t>
      </w:r>
      <w:r>
        <w:rPr>
          <w:spacing w:val="-1"/>
        </w:rPr>
        <w:t xml:space="preserve"> </w:t>
      </w:r>
      <w:r>
        <w:t>while</w:t>
      </w:r>
      <w:r>
        <w:rPr>
          <w:spacing w:val="-3"/>
        </w:rPr>
        <w:t xml:space="preserve"> </w:t>
      </w:r>
      <w:r>
        <w:t>LGBTQ</w:t>
      </w:r>
      <w:r>
        <w:rPr>
          <w:spacing w:val="-1"/>
        </w:rPr>
        <w:t xml:space="preserve"> </w:t>
      </w:r>
      <w:r>
        <w:t>youth</w:t>
      </w:r>
      <w:r>
        <w:rPr>
          <w:spacing w:val="-2"/>
        </w:rPr>
        <w:t xml:space="preserve"> </w:t>
      </w:r>
      <w:r>
        <w:t>likely</w:t>
      </w:r>
      <w:r>
        <w:rPr>
          <w:spacing w:val="-3"/>
        </w:rPr>
        <w:t xml:space="preserve"> </w:t>
      </w:r>
      <w:r>
        <w:t>make up</w:t>
      </w:r>
      <w:r>
        <w:rPr>
          <w:spacing w:val="-2"/>
        </w:rPr>
        <w:t xml:space="preserve"> </w:t>
      </w:r>
      <w:r>
        <w:t>a high</w:t>
      </w:r>
      <w:r>
        <w:rPr>
          <w:spacing w:val="-2"/>
        </w:rPr>
        <w:t xml:space="preserve"> </w:t>
      </w:r>
      <w:r>
        <w:t>percentage</w:t>
      </w:r>
      <w:r>
        <w:rPr>
          <w:spacing w:val="-3"/>
        </w:rPr>
        <w:t xml:space="preserve"> </w:t>
      </w:r>
      <w:r>
        <w:t>of sexually</w:t>
      </w:r>
      <w:r>
        <w:rPr>
          <w:spacing w:val="-2"/>
        </w:rPr>
        <w:t xml:space="preserve"> </w:t>
      </w:r>
      <w:r>
        <w:t>exploited</w:t>
      </w:r>
      <w:r>
        <w:rPr>
          <w:spacing w:val="-4"/>
        </w:rPr>
        <w:t xml:space="preserve"> </w:t>
      </w:r>
      <w:r>
        <w:t>minors,</w:t>
      </w:r>
      <w:r>
        <w:rPr>
          <w:spacing w:val="-1"/>
        </w:rPr>
        <w:t xml:space="preserve"> </w:t>
      </w:r>
      <w:r>
        <w:t>there are very few services that focus on the particular support needs of LGBTQ youth.</w:t>
      </w:r>
      <w:hyperlink w:anchor="_bookmark222" w:history="1">
        <w:r>
          <w:rPr>
            <w:vertAlign w:val="superscript"/>
          </w:rPr>
          <w:t>128</w:t>
        </w:r>
      </w:hyperlink>
    </w:p>
    <w:p w:rsidR="00200FDA" w:rsidRDefault="00200FDA">
      <w:pPr>
        <w:pStyle w:val="BodyText"/>
        <w:spacing w:before="9"/>
        <w:rPr>
          <w:sz w:val="19"/>
        </w:rPr>
      </w:pPr>
    </w:p>
    <w:p w:rsidR="00200FDA" w:rsidRDefault="00F76C4C">
      <w:pPr>
        <w:pStyle w:val="BodyText"/>
        <w:spacing w:line="276" w:lineRule="auto"/>
        <w:ind w:left="139" w:right="394"/>
        <w:jc w:val="both"/>
      </w:pPr>
      <w:r>
        <w:t>However,</w:t>
      </w:r>
      <w:r>
        <w:rPr>
          <w:spacing w:val="-12"/>
        </w:rPr>
        <w:t xml:space="preserve"> </w:t>
      </w:r>
      <w:r>
        <w:t>when</w:t>
      </w:r>
      <w:r>
        <w:rPr>
          <w:spacing w:val="-10"/>
        </w:rPr>
        <w:t xml:space="preserve"> </w:t>
      </w:r>
      <w:r>
        <w:t>considering</w:t>
      </w:r>
      <w:r>
        <w:rPr>
          <w:spacing w:val="-10"/>
        </w:rPr>
        <w:t xml:space="preserve"> </w:t>
      </w:r>
      <w:r>
        <w:t>interventions</w:t>
      </w:r>
      <w:r>
        <w:rPr>
          <w:spacing w:val="-9"/>
        </w:rPr>
        <w:t xml:space="preserve"> </w:t>
      </w:r>
      <w:r>
        <w:t>to</w:t>
      </w:r>
      <w:r>
        <w:rPr>
          <w:spacing w:val="-10"/>
        </w:rPr>
        <w:t xml:space="preserve"> </w:t>
      </w:r>
      <w:r>
        <w:t>address</w:t>
      </w:r>
      <w:r>
        <w:rPr>
          <w:spacing w:val="-11"/>
        </w:rPr>
        <w:t xml:space="preserve"> </w:t>
      </w:r>
      <w:r>
        <w:t>sexual</w:t>
      </w:r>
      <w:r>
        <w:rPr>
          <w:spacing w:val="-12"/>
        </w:rPr>
        <w:t xml:space="preserve"> </w:t>
      </w:r>
      <w:r>
        <w:t>exploitation</w:t>
      </w:r>
      <w:r>
        <w:rPr>
          <w:spacing w:val="-10"/>
        </w:rPr>
        <w:t xml:space="preserve"> </w:t>
      </w:r>
      <w:r>
        <w:t>and</w:t>
      </w:r>
      <w:r>
        <w:rPr>
          <w:spacing w:val="-10"/>
        </w:rPr>
        <w:t xml:space="preserve"> </w:t>
      </w:r>
      <w:r>
        <w:t>trafficking</w:t>
      </w:r>
      <w:r>
        <w:rPr>
          <w:spacing w:val="-10"/>
        </w:rPr>
        <w:t xml:space="preserve"> </w:t>
      </w:r>
      <w:r>
        <w:t>for</w:t>
      </w:r>
      <w:r>
        <w:rPr>
          <w:spacing w:val="-13"/>
        </w:rPr>
        <w:t xml:space="preserve"> </w:t>
      </w:r>
      <w:r>
        <w:t>youth</w:t>
      </w:r>
      <w:r>
        <w:rPr>
          <w:spacing w:val="-11"/>
        </w:rPr>
        <w:t xml:space="preserve"> </w:t>
      </w:r>
      <w:r>
        <w:t>over the age of 18, it is essential to avoid conflating exploitation/trafficking with sex work. As noted throughout this report, the Commission defines ‘youth’ as under 25, but when discussing sex work, the</w:t>
      </w:r>
      <w:r>
        <w:rPr>
          <w:spacing w:val="-11"/>
        </w:rPr>
        <w:t xml:space="preserve"> </w:t>
      </w:r>
      <w:r>
        <w:t>Commission</w:t>
      </w:r>
      <w:r>
        <w:rPr>
          <w:spacing w:val="-12"/>
        </w:rPr>
        <w:t xml:space="preserve"> </w:t>
      </w:r>
      <w:r>
        <w:t>is</w:t>
      </w:r>
      <w:r>
        <w:rPr>
          <w:spacing w:val="-11"/>
        </w:rPr>
        <w:t xml:space="preserve"> </w:t>
      </w:r>
      <w:r>
        <w:t>discussing</w:t>
      </w:r>
      <w:r>
        <w:rPr>
          <w:spacing w:val="-12"/>
        </w:rPr>
        <w:t xml:space="preserve"> </w:t>
      </w:r>
      <w:r>
        <w:t>yo</w:t>
      </w:r>
      <w:r>
        <w:t>uth</w:t>
      </w:r>
      <w:r>
        <w:rPr>
          <w:spacing w:val="-12"/>
        </w:rPr>
        <w:t xml:space="preserve"> </w:t>
      </w:r>
      <w:r>
        <w:t>18</w:t>
      </w:r>
      <w:r>
        <w:rPr>
          <w:spacing w:val="-10"/>
        </w:rPr>
        <w:t xml:space="preserve"> </w:t>
      </w:r>
      <w:r>
        <w:t>and</w:t>
      </w:r>
      <w:r>
        <w:rPr>
          <w:spacing w:val="-12"/>
        </w:rPr>
        <w:t xml:space="preserve"> </w:t>
      </w:r>
      <w:r>
        <w:t>over;</w:t>
      </w:r>
      <w:r>
        <w:rPr>
          <w:spacing w:val="-10"/>
        </w:rPr>
        <w:t xml:space="preserve"> </w:t>
      </w:r>
      <w:r>
        <w:t>any</w:t>
      </w:r>
      <w:r>
        <w:rPr>
          <w:spacing w:val="-11"/>
        </w:rPr>
        <w:t xml:space="preserve"> </w:t>
      </w:r>
      <w:r>
        <w:t>instance</w:t>
      </w:r>
      <w:r>
        <w:rPr>
          <w:spacing w:val="-12"/>
        </w:rPr>
        <w:t xml:space="preserve"> </w:t>
      </w:r>
      <w:r>
        <w:t>of</w:t>
      </w:r>
      <w:r>
        <w:rPr>
          <w:spacing w:val="-12"/>
        </w:rPr>
        <w:t xml:space="preserve"> </w:t>
      </w:r>
      <w:r>
        <w:t>youth</w:t>
      </w:r>
      <w:r>
        <w:rPr>
          <w:spacing w:val="-12"/>
        </w:rPr>
        <w:t xml:space="preserve"> </w:t>
      </w:r>
      <w:r>
        <w:t>under</w:t>
      </w:r>
      <w:r>
        <w:rPr>
          <w:spacing w:val="-12"/>
        </w:rPr>
        <w:t xml:space="preserve"> </w:t>
      </w:r>
      <w:r>
        <w:t>18</w:t>
      </w:r>
      <w:r>
        <w:rPr>
          <w:spacing w:val="-11"/>
        </w:rPr>
        <w:t xml:space="preserve"> </w:t>
      </w:r>
      <w:r>
        <w:t>trading</w:t>
      </w:r>
      <w:r>
        <w:rPr>
          <w:spacing w:val="-12"/>
        </w:rPr>
        <w:t xml:space="preserve"> </w:t>
      </w:r>
      <w:r>
        <w:t>sexual</w:t>
      </w:r>
      <w:r>
        <w:rPr>
          <w:spacing w:val="-12"/>
        </w:rPr>
        <w:t xml:space="preserve"> </w:t>
      </w:r>
      <w:r>
        <w:t>contact for a fee is trafficking, and interventions should be targeted accordingly while centering minors with support and resources rather than punitive measures. While the age of consent in M</w:t>
      </w:r>
      <w:r>
        <w:t>assachusetts is set</w:t>
      </w:r>
      <w:r>
        <w:rPr>
          <w:spacing w:val="-5"/>
        </w:rPr>
        <w:t xml:space="preserve"> </w:t>
      </w:r>
      <w:r>
        <w:t>at</w:t>
      </w:r>
      <w:r>
        <w:rPr>
          <w:spacing w:val="-5"/>
        </w:rPr>
        <w:t xml:space="preserve"> </w:t>
      </w:r>
      <w:r>
        <w:t>16,</w:t>
      </w:r>
      <w:r>
        <w:rPr>
          <w:spacing w:val="-3"/>
        </w:rPr>
        <w:t xml:space="preserve"> </w:t>
      </w:r>
      <w:r>
        <w:t>federal</w:t>
      </w:r>
      <w:r>
        <w:rPr>
          <w:spacing w:val="-6"/>
        </w:rPr>
        <w:t xml:space="preserve"> </w:t>
      </w:r>
      <w:r>
        <w:t>law</w:t>
      </w:r>
      <w:r>
        <w:rPr>
          <w:spacing w:val="-5"/>
        </w:rPr>
        <w:t xml:space="preserve"> </w:t>
      </w:r>
      <w:r>
        <w:t>defines</w:t>
      </w:r>
      <w:r>
        <w:rPr>
          <w:spacing w:val="-6"/>
        </w:rPr>
        <w:t xml:space="preserve"> </w:t>
      </w:r>
      <w:r>
        <w:t>youth</w:t>
      </w:r>
      <w:r>
        <w:rPr>
          <w:spacing w:val="-7"/>
        </w:rPr>
        <w:t xml:space="preserve"> </w:t>
      </w:r>
      <w:r>
        <w:t>under</w:t>
      </w:r>
      <w:r>
        <w:rPr>
          <w:spacing w:val="-6"/>
        </w:rPr>
        <w:t xml:space="preserve"> </w:t>
      </w:r>
      <w:r>
        <w:t>18</w:t>
      </w:r>
      <w:r>
        <w:rPr>
          <w:spacing w:val="-2"/>
        </w:rPr>
        <w:t xml:space="preserve"> </w:t>
      </w:r>
      <w:r>
        <w:t>as</w:t>
      </w:r>
      <w:r>
        <w:rPr>
          <w:spacing w:val="-8"/>
        </w:rPr>
        <w:t xml:space="preserve"> </w:t>
      </w:r>
      <w:r>
        <w:t>victims</w:t>
      </w:r>
      <w:r>
        <w:rPr>
          <w:spacing w:val="-3"/>
        </w:rPr>
        <w:t xml:space="preserve"> </w:t>
      </w:r>
      <w:r>
        <w:t>of</w:t>
      </w:r>
      <w:r>
        <w:rPr>
          <w:spacing w:val="-6"/>
        </w:rPr>
        <w:t xml:space="preserve"> </w:t>
      </w:r>
      <w:r>
        <w:t>trafficking.</w:t>
      </w:r>
      <w:hyperlink w:anchor="_bookmark223" w:history="1">
        <w:r>
          <w:rPr>
            <w:vertAlign w:val="superscript"/>
          </w:rPr>
          <w:t>129</w:t>
        </w:r>
      </w:hyperlink>
      <w:r>
        <w:rPr>
          <w:spacing w:val="-2"/>
        </w:rPr>
        <w:t xml:space="preserve"> </w:t>
      </w:r>
      <w:r>
        <w:t>The</w:t>
      </w:r>
      <w:r>
        <w:rPr>
          <w:spacing w:val="-5"/>
        </w:rPr>
        <w:t xml:space="preserve"> </w:t>
      </w:r>
      <w:r>
        <w:t>Commission</w:t>
      </w:r>
      <w:r>
        <w:rPr>
          <w:spacing w:val="-4"/>
        </w:rPr>
        <w:t xml:space="preserve"> </w:t>
      </w:r>
      <w:r>
        <w:t>understands the reality that there are minors exchanging sexual contact with other minors for money or goods, which is a nuanced conversation currently outside of the scope of this report, and is legally still unlawful. Per Massachusetts law (</w:t>
      </w:r>
      <w:hyperlink r:id="rId181">
        <w:r>
          <w:rPr>
            <w:color w:val="1154CC"/>
            <w:u w:val="single" w:color="1154CC"/>
          </w:rPr>
          <w:t>MGL c.265, § 23</w:t>
        </w:r>
      </w:hyperlink>
      <w:r>
        <w:t>) - as noted later in the criminal justice section of this report - it is unlawful for persons under 16 to engage in sexual intercourse, even if the other pe</w:t>
      </w:r>
      <w:r>
        <w:t>rson is also under the age of 16.</w:t>
      </w:r>
      <w:hyperlink w:anchor="_bookmark224" w:history="1">
        <w:r>
          <w:rPr>
            <w:vertAlign w:val="superscript"/>
          </w:rPr>
          <w:t>130</w:t>
        </w:r>
      </w:hyperlink>
    </w:p>
    <w:p w:rsidR="00200FDA" w:rsidRDefault="00200FDA">
      <w:pPr>
        <w:pStyle w:val="BodyText"/>
        <w:spacing w:before="8"/>
        <w:rPr>
          <w:sz w:val="19"/>
        </w:rPr>
      </w:pPr>
    </w:p>
    <w:p w:rsidR="00200FDA" w:rsidRDefault="00F76C4C">
      <w:pPr>
        <w:pStyle w:val="BodyText"/>
        <w:spacing w:line="276" w:lineRule="auto"/>
        <w:ind w:left="140" w:right="394"/>
        <w:jc w:val="both"/>
      </w:pPr>
      <w:r>
        <w:t>The Commission finds it necessary to define the differences between the terms trafficking and sex work,</w:t>
      </w:r>
      <w:r>
        <w:rPr>
          <w:spacing w:val="35"/>
        </w:rPr>
        <w:t xml:space="preserve"> </w:t>
      </w:r>
      <w:r>
        <w:t>as</w:t>
      </w:r>
      <w:r>
        <w:rPr>
          <w:spacing w:val="32"/>
        </w:rPr>
        <w:t xml:space="preserve"> </w:t>
      </w:r>
      <w:r>
        <w:t>many</w:t>
      </w:r>
      <w:r>
        <w:rPr>
          <w:spacing w:val="33"/>
        </w:rPr>
        <w:t xml:space="preserve"> </w:t>
      </w:r>
      <w:r>
        <w:t>advocacy</w:t>
      </w:r>
      <w:r>
        <w:rPr>
          <w:spacing w:val="33"/>
        </w:rPr>
        <w:t xml:space="preserve"> </w:t>
      </w:r>
      <w:r>
        <w:t>materials</w:t>
      </w:r>
      <w:r>
        <w:rPr>
          <w:spacing w:val="35"/>
        </w:rPr>
        <w:t xml:space="preserve"> </w:t>
      </w:r>
      <w:r>
        <w:t>and</w:t>
      </w:r>
      <w:r>
        <w:rPr>
          <w:spacing w:val="31"/>
        </w:rPr>
        <w:t xml:space="preserve"> </w:t>
      </w:r>
      <w:r>
        <w:t>media</w:t>
      </w:r>
      <w:r>
        <w:rPr>
          <w:spacing w:val="34"/>
        </w:rPr>
        <w:t xml:space="preserve"> </w:t>
      </w:r>
      <w:r>
        <w:t>use</w:t>
      </w:r>
      <w:r>
        <w:rPr>
          <w:spacing w:val="32"/>
        </w:rPr>
        <w:t xml:space="preserve"> </w:t>
      </w:r>
      <w:r>
        <w:t>the</w:t>
      </w:r>
      <w:r>
        <w:rPr>
          <w:spacing w:val="35"/>
        </w:rPr>
        <w:t xml:space="preserve"> </w:t>
      </w:r>
      <w:r>
        <w:t>terms</w:t>
      </w:r>
      <w:r>
        <w:rPr>
          <w:spacing w:val="34"/>
        </w:rPr>
        <w:t xml:space="preserve"> </w:t>
      </w:r>
      <w:r>
        <w:t>interchangeably,</w:t>
      </w:r>
      <w:r>
        <w:rPr>
          <w:spacing w:val="32"/>
        </w:rPr>
        <w:t xml:space="preserve"> </w:t>
      </w:r>
      <w:r>
        <w:t>which</w:t>
      </w:r>
      <w:r>
        <w:rPr>
          <w:spacing w:val="34"/>
        </w:rPr>
        <w:t xml:space="preserve"> </w:t>
      </w:r>
      <w:r>
        <w:t>inaccurately</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F76C4C">
      <w:pPr>
        <w:pStyle w:val="BodyText"/>
        <w:spacing w:before="154"/>
        <w:ind w:left="140"/>
        <w:jc w:val="both"/>
      </w:pPr>
      <w:r>
        <w:lastRenderedPageBreak/>
        <w:t>captures</w:t>
      </w:r>
      <w:r>
        <w:rPr>
          <w:spacing w:val="12"/>
        </w:rPr>
        <w:t xml:space="preserve"> </w:t>
      </w:r>
      <w:r>
        <w:t>and</w:t>
      </w:r>
      <w:r>
        <w:rPr>
          <w:spacing w:val="17"/>
        </w:rPr>
        <w:t xml:space="preserve"> </w:t>
      </w:r>
      <w:r>
        <w:t>conflates</w:t>
      </w:r>
      <w:r>
        <w:rPr>
          <w:spacing w:val="15"/>
        </w:rPr>
        <w:t xml:space="preserve"> </w:t>
      </w:r>
      <w:r>
        <w:t>the</w:t>
      </w:r>
      <w:r>
        <w:rPr>
          <w:spacing w:val="16"/>
        </w:rPr>
        <w:t xml:space="preserve"> </w:t>
      </w:r>
      <w:r>
        <w:t>disparate</w:t>
      </w:r>
      <w:r>
        <w:rPr>
          <w:spacing w:val="16"/>
        </w:rPr>
        <w:t xml:space="preserve"> </w:t>
      </w:r>
      <w:r>
        <w:t>realities</w:t>
      </w:r>
      <w:r>
        <w:rPr>
          <w:spacing w:val="15"/>
        </w:rPr>
        <w:t xml:space="preserve"> </w:t>
      </w:r>
      <w:r>
        <w:t>faced</w:t>
      </w:r>
      <w:r>
        <w:rPr>
          <w:spacing w:val="17"/>
        </w:rPr>
        <w:t xml:space="preserve"> </w:t>
      </w:r>
      <w:r>
        <w:t>by</w:t>
      </w:r>
      <w:r>
        <w:rPr>
          <w:spacing w:val="19"/>
        </w:rPr>
        <w:t xml:space="preserve"> </w:t>
      </w:r>
      <w:r>
        <w:t>those</w:t>
      </w:r>
      <w:r>
        <w:rPr>
          <w:spacing w:val="15"/>
        </w:rPr>
        <w:t xml:space="preserve"> </w:t>
      </w:r>
      <w:r>
        <w:t>engaging</w:t>
      </w:r>
      <w:r>
        <w:rPr>
          <w:spacing w:val="17"/>
        </w:rPr>
        <w:t xml:space="preserve"> </w:t>
      </w:r>
      <w:r>
        <w:t>in</w:t>
      </w:r>
      <w:r>
        <w:rPr>
          <w:spacing w:val="17"/>
        </w:rPr>
        <w:t xml:space="preserve"> </w:t>
      </w:r>
      <w:r>
        <w:t>sex</w:t>
      </w:r>
      <w:r>
        <w:rPr>
          <w:spacing w:val="16"/>
        </w:rPr>
        <w:t xml:space="preserve"> </w:t>
      </w:r>
      <w:r>
        <w:t>work</w:t>
      </w:r>
      <w:r>
        <w:rPr>
          <w:spacing w:val="16"/>
        </w:rPr>
        <w:t xml:space="preserve"> </w:t>
      </w:r>
      <w:r>
        <w:t>over</w:t>
      </w:r>
      <w:r>
        <w:rPr>
          <w:spacing w:val="15"/>
        </w:rPr>
        <w:t xml:space="preserve"> </w:t>
      </w:r>
      <w:r>
        <w:t>the</w:t>
      </w:r>
      <w:r>
        <w:rPr>
          <w:spacing w:val="18"/>
        </w:rPr>
        <w:t xml:space="preserve"> </w:t>
      </w:r>
      <w:r>
        <w:t>age</w:t>
      </w:r>
      <w:r>
        <w:rPr>
          <w:spacing w:val="16"/>
        </w:rPr>
        <w:t xml:space="preserve"> </w:t>
      </w:r>
      <w:r>
        <w:rPr>
          <w:spacing w:val="-5"/>
        </w:rPr>
        <w:t>of</w:t>
      </w:r>
    </w:p>
    <w:p w:rsidR="00200FDA" w:rsidRDefault="00F76C4C">
      <w:pPr>
        <w:pStyle w:val="BodyText"/>
        <w:spacing w:before="37" w:line="276" w:lineRule="auto"/>
        <w:ind w:left="140" w:right="396"/>
        <w:jc w:val="both"/>
      </w:pPr>
      <w:r>
        <w:t>18.</w:t>
      </w:r>
      <w:hyperlink w:anchor="_bookmark225" w:history="1">
        <w:r>
          <w:rPr>
            <w:position w:val="8"/>
            <w:sz w:val="14"/>
          </w:rPr>
          <w:t>131</w:t>
        </w:r>
      </w:hyperlink>
      <w:r>
        <w:rPr>
          <w:position w:val="8"/>
          <w:sz w:val="14"/>
        </w:rPr>
        <w:t xml:space="preserve"> </w:t>
      </w:r>
      <w:r>
        <w:t>Sex work, by definition, is consensual, though many individuals who engage in sex work may also be victims of trafficking and exploitation.</w:t>
      </w:r>
      <w:hyperlink w:anchor="_bookmark226" w:history="1">
        <w:r>
          <w:rPr>
            <w:vertAlign w:val="superscript"/>
          </w:rPr>
          <w:t>132</w:t>
        </w:r>
      </w:hyperlink>
      <w:r>
        <w:rPr>
          <w:spacing w:val="-1"/>
        </w:rPr>
        <w:t xml:space="preserve"> </w:t>
      </w:r>
      <w:r>
        <w:t xml:space="preserve">LGBTQ youth over the age of 18 may engage in sex work to meet their needs due to </w:t>
      </w:r>
      <w:r>
        <w:t>financial necessity, particularly if they have been kicked out of their home due to their gender identity or sexuality or have been unable to find employment due to harassment or discrimination.</w:t>
      </w:r>
      <w:hyperlink w:anchor="_bookmark227" w:history="1">
        <w:r>
          <w:rPr>
            <w:vertAlign w:val="superscript"/>
          </w:rPr>
          <w:t>133</w:t>
        </w:r>
      </w:hyperlink>
      <w:r>
        <w:rPr>
          <w:vertAlign w:val="superscript"/>
        </w:rPr>
        <w:t>,</w:t>
      </w:r>
      <w:hyperlink w:anchor="_bookmark228" w:history="1">
        <w:r>
          <w:rPr>
            <w:vertAlign w:val="superscript"/>
          </w:rPr>
          <w:t>134</w:t>
        </w:r>
      </w:hyperlink>
    </w:p>
    <w:p w:rsidR="00200FDA" w:rsidRDefault="00200FDA">
      <w:pPr>
        <w:pStyle w:val="BodyText"/>
        <w:spacing w:before="7"/>
        <w:rPr>
          <w:sz w:val="19"/>
        </w:rPr>
      </w:pPr>
    </w:p>
    <w:p w:rsidR="00200FDA" w:rsidRDefault="00F76C4C">
      <w:pPr>
        <w:pStyle w:val="BodyText"/>
        <w:spacing w:line="276" w:lineRule="auto"/>
        <w:ind w:left="139" w:right="393"/>
        <w:jc w:val="both"/>
      </w:pPr>
      <w:r>
        <w:t>According to the 2015 U.S. Transgender Survey, among transgender and gender nonconforming individuals</w:t>
      </w:r>
      <w:r>
        <w:rPr>
          <w:spacing w:val="-2"/>
        </w:rPr>
        <w:t xml:space="preserve"> </w:t>
      </w:r>
      <w:r>
        <w:t>aged</w:t>
      </w:r>
      <w:r>
        <w:rPr>
          <w:spacing w:val="-5"/>
        </w:rPr>
        <w:t xml:space="preserve"> </w:t>
      </w:r>
      <w:r>
        <w:t>16</w:t>
      </w:r>
      <w:r>
        <w:rPr>
          <w:spacing w:val="-3"/>
        </w:rPr>
        <w:t xml:space="preserve"> </w:t>
      </w:r>
      <w:r>
        <w:t>and</w:t>
      </w:r>
      <w:r>
        <w:rPr>
          <w:spacing w:val="-5"/>
        </w:rPr>
        <w:t xml:space="preserve"> </w:t>
      </w:r>
      <w:r>
        <w:t>older,</w:t>
      </w:r>
      <w:r>
        <w:rPr>
          <w:spacing w:val="-4"/>
        </w:rPr>
        <w:t xml:space="preserve"> </w:t>
      </w:r>
      <w:r>
        <w:t>12%</w:t>
      </w:r>
      <w:r>
        <w:rPr>
          <w:spacing w:val="-1"/>
        </w:rPr>
        <w:t xml:space="preserve"> </w:t>
      </w:r>
      <w:r>
        <w:t>reported</w:t>
      </w:r>
      <w:r>
        <w:rPr>
          <w:spacing w:val="-5"/>
        </w:rPr>
        <w:t xml:space="preserve"> </w:t>
      </w:r>
      <w:r>
        <w:t>ever</w:t>
      </w:r>
      <w:r>
        <w:rPr>
          <w:spacing w:val="-2"/>
        </w:rPr>
        <w:t xml:space="preserve"> </w:t>
      </w:r>
      <w:r>
        <w:t>having</w:t>
      </w:r>
      <w:r>
        <w:rPr>
          <w:spacing w:val="-3"/>
        </w:rPr>
        <w:t xml:space="preserve"> </w:t>
      </w:r>
      <w:r>
        <w:t>done</w:t>
      </w:r>
      <w:r>
        <w:rPr>
          <w:spacing w:val="-4"/>
        </w:rPr>
        <w:t xml:space="preserve"> </w:t>
      </w:r>
      <w:r>
        <w:t>sex</w:t>
      </w:r>
      <w:r>
        <w:rPr>
          <w:spacing w:val="-4"/>
        </w:rPr>
        <w:t xml:space="preserve"> </w:t>
      </w:r>
      <w:r>
        <w:t>work</w:t>
      </w:r>
      <w:r>
        <w:rPr>
          <w:spacing w:val="-4"/>
        </w:rPr>
        <w:t xml:space="preserve"> </w:t>
      </w:r>
      <w:r>
        <w:t>(including,</w:t>
      </w:r>
      <w:r>
        <w:rPr>
          <w:spacing w:val="-2"/>
        </w:rPr>
        <w:t xml:space="preserve"> </w:t>
      </w:r>
      <w:r>
        <w:t>but</w:t>
      </w:r>
      <w:r>
        <w:rPr>
          <w:spacing w:val="-1"/>
        </w:rPr>
        <w:t xml:space="preserve"> </w:t>
      </w:r>
      <w:r>
        <w:t>not</w:t>
      </w:r>
      <w:r>
        <w:rPr>
          <w:spacing w:val="-1"/>
        </w:rPr>
        <w:t xml:space="preserve"> </w:t>
      </w:r>
      <w:r>
        <w:t>limited</w:t>
      </w:r>
      <w:r>
        <w:rPr>
          <w:spacing w:val="-3"/>
        </w:rPr>
        <w:t xml:space="preserve"> </w:t>
      </w:r>
      <w:r>
        <w:t>to, dancing</w:t>
      </w:r>
      <w:r>
        <w:rPr>
          <w:spacing w:val="-9"/>
        </w:rPr>
        <w:t xml:space="preserve"> </w:t>
      </w:r>
      <w:r>
        <w:t>in</w:t>
      </w:r>
      <w:r>
        <w:rPr>
          <w:spacing w:val="-9"/>
        </w:rPr>
        <w:t xml:space="preserve"> </w:t>
      </w:r>
      <w:r>
        <w:t>clubs,</w:t>
      </w:r>
      <w:r>
        <w:rPr>
          <w:spacing w:val="-9"/>
        </w:rPr>
        <w:t xml:space="preserve"> </w:t>
      </w:r>
      <w:r>
        <w:t>virtual</w:t>
      </w:r>
      <w:r>
        <w:rPr>
          <w:spacing w:val="-11"/>
        </w:rPr>
        <w:t xml:space="preserve"> </w:t>
      </w:r>
      <w:r>
        <w:t>webcam</w:t>
      </w:r>
      <w:r>
        <w:rPr>
          <w:spacing w:val="-9"/>
        </w:rPr>
        <w:t xml:space="preserve"> </w:t>
      </w:r>
      <w:r>
        <w:t>work</w:t>
      </w:r>
      <w:r>
        <w:rPr>
          <w:spacing w:val="-10"/>
        </w:rPr>
        <w:t xml:space="preserve"> </w:t>
      </w:r>
      <w:r>
        <w:t>on</w:t>
      </w:r>
      <w:r>
        <w:rPr>
          <w:spacing w:val="-9"/>
        </w:rPr>
        <w:t xml:space="preserve"> </w:t>
      </w:r>
      <w:r>
        <w:t>platforms</w:t>
      </w:r>
      <w:r>
        <w:rPr>
          <w:spacing w:val="-9"/>
        </w:rPr>
        <w:t xml:space="preserve"> </w:t>
      </w:r>
      <w:r>
        <w:t>such</w:t>
      </w:r>
      <w:r>
        <w:rPr>
          <w:spacing w:val="-9"/>
        </w:rPr>
        <w:t xml:space="preserve"> </w:t>
      </w:r>
      <w:r>
        <w:t>as</w:t>
      </w:r>
      <w:r>
        <w:rPr>
          <w:spacing w:val="-9"/>
        </w:rPr>
        <w:t xml:space="preserve"> </w:t>
      </w:r>
      <w:r>
        <w:t>OnlyFans,</w:t>
      </w:r>
      <w:r>
        <w:rPr>
          <w:spacing w:val="-10"/>
        </w:rPr>
        <w:t xml:space="preserve"> </w:t>
      </w:r>
      <w:r>
        <w:t>or</w:t>
      </w:r>
      <w:r>
        <w:rPr>
          <w:spacing w:val="-9"/>
        </w:rPr>
        <w:t xml:space="preserve"> </w:t>
      </w:r>
      <w:r>
        <w:t>filming</w:t>
      </w:r>
      <w:r>
        <w:rPr>
          <w:spacing w:val="-9"/>
        </w:rPr>
        <w:t xml:space="preserve"> </w:t>
      </w:r>
      <w:r>
        <w:t>pornography</w:t>
      </w:r>
      <w:r>
        <w:rPr>
          <w:spacing w:val="-9"/>
        </w:rPr>
        <w:t xml:space="preserve"> </w:t>
      </w:r>
      <w:r>
        <w:t>for</w:t>
      </w:r>
      <w:r>
        <w:rPr>
          <w:spacing w:val="-11"/>
        </w:rPr>
        <w:t xml:space="preserve"> </w:t>
      </w:r>
      <w:r>
        <w:t>wide release)</w:t>
      </w:r>
      <w:r>
        <w:rPr>
          <w:spacing w:val="-4"/>
        </w:rPr>
        <w:t xml:space="preserve"> </w:t>
      </w:r>
      <w:r>
        <w:t>for</w:t>
      </w:r>
      <w:r>
        <w:rPr>
          <w:spacing w:val="-4"/>
        </w:rPr>
        <w:t xml:space="preserve"> </w:t>
      </w:r>
      <w:r>
        <w:t>income</w:t>
      </w:r>
      <w:r>
        <w:rPr>
          <w:spacing w:val="-4"/>
        </w:rPr>
        <w:t xml:space="preserve"> </w:t>
      </w:r>
      <w:r>
        <w:t>during</w:t>
      </w:r>
      <w:r>
        <w:rPr>
          <w:spacing w:val="-5"/>
        </w:rPr>
        <w:t xml:space="preserve"> </w:t>
      </w:r>
      <w:r>
        <w:t>their</w:t>
      </w:r>
      <w:r>
        <w:rPr>
          <w:spacing w:val="-5"/>
        </w:rPr>
        <w:t xml:space="preserve"> </w:t>
      </w:r>
      <w:r>
        <w:t>lifetimes.</w:t>
      </w:r>
      <w:hyperlink w:anchor="_bookmark229" w:history="1">
        <w:r>
          <w:rPr>
            <w:vertAlign w:val="superscript"/>
          </w:rPr>
          <w:t>135</w:t>
        </w:r>
      </w:hyperlink>
      <w:r>
        <w:rPr>
          <w:spacing w:val="-3"/>
        </w:rPr>
        <w:t xml:space="preserve"> </w:t>
      </w:r>
      <w:r>
        <w:t>Among</w:t>
      </w:r>
      <w:r>
        <w:rPr>
          <w:spacing w:val="-5"/>
        </w:rPr>
        <w:t xml:space="preserve"> </w:t>
      </w:r>
      <w:r>
        <w:t>survey</w:t>
      </w:r>
      <w:r>
        <w:rPr>
          <w:spacing w:val="-3"/>
        </w:rPr>
        <w:t xml:space="preserve"> </w:t>
      </w:r>
      <w:r>
        <w:t>participants</w:t>
      </w:r>
      <w:r>
        <w:rPr>
          <w:spacing w:val="-4"/>
        </w:rPr>
        <w:t xml:space="preserve"> </w:t>
      </w:r>
      <w:r>
        <w:t>who</w:t>
      </w:r>
      <w:r>
        <w:rPr>
          <w:spacing w:val="-3"/>
        </w:rPr>
        <w:t xml:space="preserve"> </w:t>
      </w:r>
      <w:r>
        <w:t>reported</w:t>
      </w:r>
      <w:r>
        <w:rPr>
          <w:spacing w:val="-5"/>
        </w:rPr>
        <w:t xml:space="preserve"> </w:t>
      </w:r>
      <w:r>
        <w:t>participating</w:t>
      </w:r>
      <w:r>
        <w:rPr>
          <w:spacing w:val="-5"/>
        </w:rPr>
        <w:t xml:space="preserve"> </w:t>
      </w:r>
      <w:r>
        <w:t>in income-based</w:t>
      </w:r>
      <w:r>
        <w:rPr>
          <w:spacing w:val="-13"/>
        </w:rPr>
        <w:t xml:space="preserve"> </w:t>
      </w:r>
      <w:r>
        <w:t>sex</w:t>
      </w:r>
      <w:r>
        <w:rPr>
          <w:spacing w:val="-12"/>
        </w:rPr>
        <w:t xml:space="preserve"> </w:t>
      </w:r>
      <w:r>
        <w:t>work,</w:t>
      </w:r>
      <w:r>
        <w:rPr>
          <w:spacing w:val="-13"/>
        </w:rPr>
        <w:t xml:space="preserve"> </w:t>
      </w:r>
      <w:r>
        <w:t>50%</w:t>
      </w:r>
      <w:r>
        <w:rPr>
          <w:spacing w:val="-12"/>
        </w:rPr>
        <w:t xml:space="preserve"> </w:t>
      </w:r>
      <w:r>
        <w:t>were</w:t>
      </w:r>
      <w:r>
        <w:rPr>
          <w:spacing w:val="-13"/>
        </w:rPr>
        <w:t xml:space="preserve"> </w:t>
      </w:r>
      <w:r>
        <w:t>trans</w:t>
      </w:r>
      <w:r>
        <w:rPr>
          <w:spacing w:val="-12"/>
        </w:rPr>
        <w:t xml:space="preserve"> </w:t>
      </w:r>
      <w:r>
        <w:t>women,</w:t>
      </w:r>
      <w:r>
        <w:rPr>
          <w:spacing w:val="-13"/>
        </w:rPr>
        <w:t xml:space="preserve"> </w:t>
      </w:r>
      <w:r>
        <w:t>23%</w:t>
      </w:r>
      <w:r>
        <w:rPr>
          <w:spacing w:val="-12"/>
        </w:rPr>
        <w:t xml:space="preserve"> </w:t>
      </w:r>
      <w:r>
        <w:t>were</w:t>
      </w:r>
      <w:r>
        <w:rPr>
          <w:spacing w:val="-12"/>
        </w:rPr>
        <w:t xml:space="preserve"> </w:t>
      </w:r>
      <w:r>
        <w:t>nonbinary</w:t>
      </w:r>
      <w:r>
        <w:rPr>
          <w:spacing w:val="-13"/>
        </w:rPr>
        <w:t xml:space="preserve"> </w:t>
      </w:r>
      <w:r>
        <w:t>people</w:t>
      </w:r>
      <w:r>
        <w:rPr>
          <w:spacing w:val="-12"/>
        </w:rPr>
        <w:t xml:space="preserve"> </w:t>
      </w:r>
      <w:r>
        <w:t>assigned</w:t>
      </w:r>
      <w:r>
        <w:rPr>
          <w:spacing w:val="-13"/>
        </w:rPr>
        <w:t xml:space="preserve"> </w:t>
      </w:r>
      <w:r>
        <w:t>female</w:t>
      </w:r>
      <w:r>
        <w:rPr>
          <w:spacing w:val="-12"/>
        </w:rPr>
        <w:t xml:space="preserve"> </w:t>
      </w:r>
      <w:r>
        <w:t>at</w:t>
      </w:r>
      <w:r>
        <w:rPr>
          <w:spacing w:val="-13"/>
        </w:rPr>
        <w:t xml:space="preserve"> </w:t>
      </w:r>
      <w:r>
        <w:t>birth, and</w:t>
      </w:r>
      <w:r>
        <w:rPr>
          <w:spacing w:val="-13"/>
        </w:rPr>
        <w:t xml:space="preserve"> </w:t>
      </w:r>
      <w:r>
        <w:t>19%</w:t>
      </w:r>
      <w:r>
        <w:rPr>
          <w:spacing w:val="-12"/>
        </w:rPr>
        <w:t xml:space="preserve"> </w:t>
      </w:r>
      <w:r>
        <w:t>were</w:t>
      </w:r>
      <w:r>
        <w:rPr>
          <w:spacing w:val="-13"/>
        </w:rPr>
        <w:t xml:space="preserve"> </w:t>
      </w:r>
      <w:r>
        <w:t>trans</w:t>
      </w:r>
      <w:r>
        <w:rPr>
          <w:spacing w:val="-12"/>
        </w:rPr>
        <w:t xml:space="preserve"> </w:t>
      </w:r>
      <w:r>
        <w:t>men.</w:t>
      </w:r>
      <w:r>
        <w:rPr>
          <w:spacing w:val="-13"/>
        </w:rPr>
        <w:t xml:space="preserve"> </w:t>
      </w:r>
      <w:r>
        <w:t>Individuals</w:t>
      </w:r>
      <w:r>
        <w:rPr>
          <w:spacing w:val="-12"/>
        </w:rPr>
        <w:t xml:space="preserve"> </w:t>
      </w:r>
      <w:r>
        <w:t>living</w:t>
      </w:r>
      <w:r>
        <w:rPr>
          <w:spacing w:val="-13"/>
        </w:rPr>
        <w:t xml:space="preserve"> </w:t>
      </w:r>
      <w:r>
        <w:t>with</w:t>
      </w:r>
      <w:r>
        <w:rPr>
          <w:spacing w:val="-12"/>
        </w:rPr>
        <w:t xml:space="preserve"> </w:t>
      </w:r>
      <w:r>
        <w:t>HIV</w:t>
      </w:r>
      <w:r>
        <w:rPr>
          <w:spacing w:val="-12"/>
        </w:rPr>
        <w:t xml:space="preserve"> </w:t>
      </w:r>
      <w:r>
        <w:t>(32%),</w:t>
      </w:r>
      <w:r>
        <w:rPr>
          <w:spacing w:val="-13"/>
        </w:rPr>
        <w:t xml:space="preserve"> </w:t>
      </w:r>
      <w:r>
        <w:t>undocumented</w:t>
      </w:r>
      <w:r>
        <w:rPr>
          <w:spacing w:val="-12"/>
        </w:rPr>
        <w:t xml:space="preserve"> </w:t>
      </w:r>
      <w:r>
        <w:t>individuals</w:t>
      </w:r>
      <w:r>
        <w:rPr>
          <w:spacing w:val="-13"/>
        </w:rPr>
        <w:t xml:space="preserve"> </w:t>
      </w:r>
      <w:r>
        <w:t>(29%),</w:t>
      </w:r>
      <w:r>
        <w:rPr>
          <w:spacing w:val="-12"/>
        </w:rPr>
        <w:t xml:space="preserve"> </w:t>
      </w:r>
      <w:r>
        <w:t>and</w:t>
      </w:r>
      <w:r>
        <w:rPr>
          <w:spacing w:val="-13"/>
        </w:rPr>
        <w:t xml:space="preserve"> </w:t>
      </w:r>
      <w:r>
        <w:t>Black trans women (24%) reported participating in sex work for income within the past year at the highest rates.</w:t>
      </w:r>
      <w:hyperlink w:anchor="_bookmark230" w:history="1">
        <w:r>
          <w:rPr>
            <w:vertAlign w:val="superscript"/>
          </w:rPr>
          <w:t>136</w:t>
        </w:r>
      </w:hyperlink>
      <w:r>
        <w:t xml:space="preserve"> Reaching out for support if they have a bad experience with a client may be particularly difficult</w:t>
      </w:r>
      <w:r>
        <w:rPr>
          <w:spacing w:val="-5"/>
        </w:rPr>
        <w:t xml:space="preserve"> </w:t>
      </w:r>
      <w:r>
        <w:t>for</w:t>
      </w:r>
      <w:r>
        <w:rPr>
          <w:spacing w:val="-11"/>
        </w:rPr>
        <w:t xml:space="preserve"> </w:t>
      </w:r>
      <w:r>
        <w:t>older</w:t>
      </w:r>
      <w:r>
        <w:rPr>
          <w:spacing w:val="-8"/>
        </w:rPr>
        <w:t xml:space="preserve"> </w:t>
      </w:r>
      <w:r>
        <w:t>LGBTQ</w:t>
      </w:r>
      <w:r>
        <w:rPr>
          <w:spacing w:val="-8"/>
        </w:rPr>
        <w:t xml:space="preserve"> </w:t>
      </w:r>
      <w:r>
        <w:t>youth,</w:t>
      </w:r>
      <w:r>
        <w:rPr>
          <w:spacing w:val="-6"/>
        </w:rPr>
        <w:t xml:space="preserve"> </w:t>
      </w:r>
      <w:r>
        <w:t>due</w:t>
      </w:r>
      <w:r>
        <w:rPr>
          <w:spacing w:val="-7"/>
        </w:rPr>
        <w:t xml:space="preserve"> </w:t>
      </w:r>
      <w:r>
        <w:t>to</w:t>
      </w:r>
      <w:r>
        <w:rPr>
          <w:spacing w:val="-7"/>
        </w:rPr>
        <w:t xml:space="preserve"> </w:t>
      </w:r>
      <w:r>
        <w:t>a</w:t>
      </w:r>
      <w:r>
        <w:rPr>
          <w:spacing w:val="-6"/>
        </w:rPr>
        <w:t xml:space="preserve"> </w:t>
      </w:r>
      <w:r>
        <w:t>fear</w:t>
      </w:r>
      <w:r>
        <w:rPr>
          <w:spacing w:val="-8"/>
        </w:rPr>
        <w:t xml:space="preserve"> </w:t>
      </w:r>
      <w:r>
        <w:t>of</w:t>
      </w:r>
      <w:r>
        <w:rPr>
          <w:spacing w:val="-8"/>
        </w:rPr>
        <w:t xml:space="preserve"> </w:t>
      </w:r>
      <w:r>
        <w:t>criminal</w:t>
      </w:r>
      <w:r>
        <w:rPr>
          <w:spacing w:val="-6"/>
        </w:rPr>
        <w:t xml:space="preserve"> </w:t>
      </w:r>
      <w:r>
        <w:t>persecution</w:t>
      </w:r>
      <w:r>
        <w:rPr>
          <w:spacing w:val="-9"/>
        </w:rPr>
        <w:t xml:space="preserve"> </w:t>
      </w:r>
      <w:r>
        <w:t>or</w:t>
      </w:r>
      <w:r>
        <w:rPr>
          <w:spacing w:val="-8"/>
        </w:rPr>
        <w:t xml:space="preserve"> </w:t>
      </w:r>
      <w:r>
        <w:t>a</w:t>
      </w:r>
      <w:r>
        <w:rPr>
          <w:spacing w:val="-8"/>
        </w:rPr>
        <w:t xml:space="preserve"> </w:t>
      </w:r>
      <w:r>
        <w:t>fear</w:t>
      </w:r>
      <w:r>
        <w:rPr>
          <w:spacing w:val="-8"/>
        </w:rPr>
        <w:t xml:space="preserve"> </w:t>
      </w:r>
      <w:r>
        <w:t>of</w:t>
      </w:r>
      <w:r>
        <w:rPr>
          <w:spacing w:val="-8"/>
        </w:rPr>
        <w:t xml:space="preserve"> </w:t>
      </w:r>
      <w:r>
        <w:t>not</w:t>
      </w:r>
      <w:r>
        <w:rPr>
          <w:spacing w:val="-5"/>
        </w:rPr>
        <w:t xml:space="preserve"> </w:t>
      </w:r>
      <w:r>
        <w:t>being</w:t>
      </w:r>
      <w:r>
        <w:rPr>
          <w:spacing w:val="-6"/>
        </w:rPr>
        <w:t xml:space="preserve"> </w:t>
      </w:r>
      <w:r>
        <w:t>believed.</w:t>
      </w:r>
      <w:hyperlink w:anchor="_bookmark231" w:history="1">
        <w:r>
          <w:rPr>
            <w:vertAlign w:val="superscript"/>
          </w:rPr>
          <w:t>137</w:t>
        </w:r>
      </w:hyperlink>
    </w:p>
    <w:p w:rsidR="00200FDA" w:rsidRDefault="00200FDA">
      <w:pPr>
        <w:pStyle w:val="BodyText"/>
        <w:spacing w:before="8"/>
        <w:rPr>
          <w:sz w:val="19"/>
        </w:rPr>
      </w:pPr>
    </w:p>
    <w:p w:rsidR="00200FDA" w:rsidRDefault="00F76C4C">
      <w:pPr>
        <w:pStyle w:val="BodyText"/>
        <w:spacing w:line="276" w:lineRule="auto"/>
        <w:ind w:left="139" w:right="393"/>
        <w:jc w:val="both"/>
      </w:pPr>
      <w:r>
        <w:t>Historically,</w:t>
      </w:r>
      <w:r>
        <w:rPr>
          <w:spacing w:val="-2"/>
        </w:rPr>
        <w:t xml:space="preserve"> </w:t>
      </w:r>
      <w:r>
        <w:t>sexually</w:t>
      </w:r>
      <w:r>
        <w:rPr>
          <w:spacing w:val="-3"/>
        </w:rPr>
        <w:t xml:space="preserve"> </w:t>
      </w:r>
      <w:r>
        <w:t>exploited</w:t>
      </w:r>
      <w:r>
        <w:rPr>
          <w:spacing w:val="-3"/>
        </w:rPr>
        <w:t xml:space="preserve"> </w:t>
      </w:r>
      <w:r>
        <w:t>youths</w:t>
      </w:r>
      <w:r>
        <w:rPr>
          <w:spacing w:val="-2"/>
        </w:rPr>
        <w:t xml:space="preserve"> </w:t>
      </w:r>
      <w:r>
        <w:t>have</w:t>
      </w:r>
      <w:r>
        <w:rPr>
          <w:spacing w:val="-1"/>
        </w:rPr>
        <w:t xml:space="preserve"> </w:t>
      </w:r>
      <w:r>
        <w:t>been</w:t>
      </w:r>
      <w:r>
        <w:rPr>
          <w:spacing w:val="-3"/>
        </w:rPr>
        <w:t xml:space="preserve"> </w:t>
      </w:r>
      <w:r>
        <w:t>treated</w:t>
      </w:r>
      <w:r>
        <w:rPr>
          <w:spacing w:val="-3"/>
        </w:rPr>
        <w:t xml:space="preserve"> </w:t>
      </w:r>
      <w:r>
        <w:t>as</w:t>
      </w:r>
      <w:r>
        <w:rPr>
          <w:spacing w:val="-2"/>
        </w:rPr>
        <w:t xml:space="preserve"> </w:t>
      </w:r>
      <w:r>
        <w:t>perpetrators</w:t>
      </w:r>
      <w:r>
        <w:rPr>
          <w:spacing w:val="-2"/>
        </w:rPr>
        <w:t xml:space="preserve"> </w:t>
      </w:r>
      <w:r>
        <w:t>and</w:t>
      </w:r>
      <w:r>
        <w:rPr>
          <w:spacing w:val="-3"/>
        </w:rPr>
        <w:t xml:space="preserve"> </w:t>
      </w:r>
      <w:r>
        <w:t>criminals</w:t>
      </w:r>
      <w:r>
        <w:rPr>
          <w:spacing w:val="-2"/>
        </w:rPr>
        <w:t xml:space="preserve"> </w:t>
      </w:r>
      <w:r>
        <w:t>in</w:t>
      </w:r>
      <w:r>
        <w:rPr>
          <w:spacing w:val="-3"/>
        </w:rPr>
        <w:t xml:space="preserve"> </w:t>
      </w:r>
      <w:r>
        <w:t>the</w:t>
      </w:r>
      <w:r>
        <w:rPr>
          <w:spacing w:val="-1"/>
        </w:rPr>
        <w:t xml:space="preserve"> </w:t>
      </w:r>
      <w:r>
        <w:t>juvenile justice</w:t>
      </w:r>
      <w:r>
        <w:rPr>
          <w:spacing w:val="-3"/>
        </w:rPr>
        <w:t xml:space="preserve"> </w:t>
      </w:r>
      <w:r>
        <w:t>system,</w:t>
      </w:r>
      <w:r>
        <w:rPr>
          <w:spacing w:val="-3"/>
        </w:rPr>
        <w:t xml:space="preserve"> </w:t>
      </w:r>
      <w:r>
        <w:t>rather</w:t>
      </w:r>
      <w:r>
        <w:rPr>
          <w:spacing w:val="-3"/>
        </w:rPr>
        <w:t xml:space="preserve"> </w:t>
      </w:r>
      <w:r>
        <w:t>than</w:t>
      </w:r>
      <w:r>
        <w:rPr>
          <w:spacing w:val="-4"/>
        </w:rPr>
        <w:t xml:space="preserve"> </w:t>
      </w:r>
      <w:r>
        <w:t>victims</w:t>
      </w:r>
      <w:r>
        <w:rPr>
          <w:spacing w:val="-3"/>
        </w:rPr>
        <w:t xml:space="preserve"> </w:t>
      </w:r>
      <w:r>
        <w:t>and</w:t>
      </w:r>
      <w:r>
        <w:rPr>
          <w:spacing w:val="-4"/>
        </w:rPr>
        <w:t xml:space="preserve"> </w:t>
      </w:r>
      <w:r>
        <w:t>survivors</w:t>
      </w:r>
      <w:r>
        <w:rPr>
          <w:spacing w:val="-3"/>
        </w:rPr>
        <w:t xml:space="preserve"> </w:t>
      </w:r>
      <w:r>
        <w:t>in</w:t>
      </w:r>
      <w:r>
        <w:rPr>
          <w:spacing w:val="-4"/>
        </w:rPr>
        <w:t xml:space="preserve"> </w:t>
      </w:r>
      <w:r>
        <w:t>need</w:t>
      </w:r>
      <w:r>
        <w:rPr>
          <w:spacing w:val="-4"/>
        </w:rPr>
        <w:t xml:space="preserve"> </w:t>
      </w:r>
      <w:r>
        <w:t>of</w:t>
      </w:r>
      <w:r>
        <w:rPr>
          <w:spacing w:val="-4"/>
        </w:rPr>
        <w:t xml:space="preserve"> </w:t>
      </w:r>
      <w:r>
        <w:t>care.</w:t>
      </w:r>
      <w:hyperlink w:anchor="_bookmark232" w:history="1">
        <w:r>
          <w:rPr>
            <w:vertAlign w:val="superscript"/>
          </w:rPr>
          <w:t>138</w:t>
        </w:r>
      </w:hyperlink>
      <w:r>
        <w:rPr>
          <w:spacing w:val="-2"/>
        </w:rPr>
        <w:t xml:space="preserve"> </w:t>
      </w:r>
      <w:r>
        <w:t>This</w:t>
      </w:r>
      <w:r>
        <w:rPr>
          <w:spacing w:val="-3"/>
        </w:rPr>
        <w:t xml:space="preserve"> </w:t>
      </w:r>
      <w:r>
        <w:t>practice</w:t>
      </w:r>
      <w:r>
        <w:rPr>
          <w:spacing w:val="-3"/>
        </w:rPr>
        <w:t xml:space="preserve"> </w:t>
      </w:r>
      <w:r>
        <w:t>stems</w:t>
      </w:r>
      <w:r>
        <w:rPr>
          <w:spacing w:val="-3"/>
        </w:rPr>
        <w:t xml:space="preserve"> </w:t>
      </w:r>
      <w:r>
        <w:t>from</w:t>
      </w:r>
      <w:r>
        <w:rPr>
          <w:spacing w:val="-2"/>
        </w:rPr>
        <w:t xml:space="preserve"> </w:t>
      </w:r>
      <w:r>
        <w:t>a</w:t>
      </w:r>
      <w:r>
        <w:rPr>
          <w:spacing w:val="-4"/>
        </w:rPr>
        <w:t xml:space="preserve"> </w:t>
      </w:r>
      <w:r>
        <w:t>culture of control, where both sexually exploited youth and adults engaging in sex work were viewed as deviants in need of reform.</w:t>
      </w:r>
      <w:hyperlink w:anchor="_bookmark233" w:history="1">
        <w:r>
          <w:rPr>
            <w:vertAlign w:val="superscript"/>
          </w:rPr>
          <w:t>139</w:t>
        </w:r>
      </w:hyperlink>
      <w:r>
        <w:rPr>
          <w:spacing w:val="-2"/>
        </w:rPr>
        <w:t xml:space="preserve"> </w:t>
      </w:r>
      <w:r>
        <w:t>Decriminalizing sex work has long been thought to be a major part of the solution to end s</w:t>
      </w:r>
      <w:r>
        <w:t>ex trafficking and commercial sexual exploitation. By decriminalizing sex work, youth who are experiencing commercial sexual exploitation will be able to come forward, report any abuse, and receive care without fear of being criminally prosecuted.</w:t>
      </w:r>
      <w:hyperlink w:anchor="_bookmark234" w:history="1">
        <w:r>
          <w:rPr>
            <w:vertAlign w:val="superscript"/>
          </w:rPr>
          <w:t>140</w:t>
        </w:r>
      </w:hyperlink>
      <w:r>
        <w:rPr>
          <w:spacing w:val="-2"/>
        </w:rPr>
        <w:t xml:space="preserve"> </w:t>
      </w:r>
      <w:r>
        <w:t>Furthermore, youth who are engaging sex work to</w:t>
      </w:r>
      <w:r>
        <w:rPr>
          <w:spacing w:val="-2"/>
        </w:rPr>
        <w:t xml:space="preserve"> </w:t>
      </w:r>
      <w:r>
        <w:t>meet their</w:t>
      </w:r>
      <w:r>
        <w:rPr>
          <w:spacing w:val="-1"/>
        </w:rPr>
        <w:t xml:space="preserve"> </w:t>
      </w:r>
      <w:r>
        <w:t>needs</w:t>
      </w:r>
      <w:r>
        <w:rPr>
          <w:spacing w:val="-1"/>
        </w:rPr>
        <w:t xml:space="preserve"> </w:t>
      </w:r>
      <w:r>
        <w:t>will</w:t>
      </w:r>
      <w:r>
        <w:rPr>
          <w:spacing w:val="-1"/>
        </w:rPr>
        <w:t xml:space="preserve"> </w:t>
      </w:r>
      <w:r>
        <w:t>be able to</w:t>
      </w:r>
      <w:r>
        <w:rPr>
          <w:spacing w:val="-2"/>
        </w:rPr>
        <w:t xml:space="preserve"> </w:t>
      </w:r>
      <w:r>
        <w:t>report any violence they experience from their clients, rather than being silenced out of fear of prosecution for engaging in sex work. Decriminaliz</w:t>
      </w:r>
      <w:r>
        <w:t>ation</w:t>
      </w:r>
      <w:r>
        <w:rPr>
          <w:spacing w:val="-5"/>
        </w:rPr>
        <w:t xml:space="preserve"> </w:t>
      </w:r>
      <w:r>
        <w:t>further</w:t>
      </w:r>
      <w:r>
        <w:rPr>
          <w:spacing w:val="-4"/>
        </w:rPr>
        <w:t xml:space="preserve"> </w:t>
      </w:r>
      <w:r>
        <w:t>destigmatizes</w:t>
      </w:r>
      <w:r>
        <w:rPr>
          <w:spacing w:val="-4"/>
        </w:rPr>
        <w:t xml:space="preserve"> </w:t>
      </w:r>
      <w:r>
        <w:t>sex</w:t>
      </w:r>
      <w:r>
        <w:rPr>
          <w:spacing w:val="-6"/>
        </w:rPr>
        <w:t xml:space="preserve"> </w:t>
      </w:r>
      <w:r>
        <w:t>work</w:t>
      </w:r>
      <w:r>
        <w:rPr>
          <w:spacing w:val="-4"/>
        </w:rPr>
        <w:t xml:space="preserve"> </w:t>
      </w:r>
      <w:r>
        <w:t>and</w:t>
      </w:r>
      <w:r>
        <w:rPr>
          <w:spacing w:val="-7"/>
        </w:rPr>
        <w:t xml:space="preserve"> </w:t>
      </w:r>
      <w:r>
        <w:t>helps</w:t>
      </w:r>
      <w:r>
        <w:rPr>
          <w:spacing w:val="-4"/>
        </w:rPr>
        <w:t xml:space="preserve"> </w:t>
      </w:r>
      <w:r>
        <w:t>youth</w:t>
      </w:r>
      <w:r>
        <w:rPr>
          <w:spacing w:val="-5"/>
        </w:rPr>
        <w:t xml:space="preserve"> </w:t>
      </w:r>
      <w:r>
        <w:t>who</w:t>
      </w:r>
      <w:r>
        <w:rPr>
          <w:spacing w:val="-3"/>
        </w:rPr>
        <w:t xml:space="preserve"> </w:t>
      </w:r>
      <w:r>
        <w:t>may</w:t>
      </w:r>
      <w:r>
        <w:rPr>
          <w:spacing w:val="-4"/>
        </w:rPr>
        <w:t xml:space="preserve"> </w:t>
      </w:r>
      <w:r>
        <w:t>have</w:t>
      </w:r>
      <w:r>
        <w:rPr>
          <w:spacing w:val="-6"/>
        </w:rPr>
        <w:t xml:space="preserve"> </w:t>
      </w:r>
      <w:r>
        <w:t>had</w:t>
      </w:r>
      <w:r>
        <w:rPr>
          <w:spacing w:val="-5"/>
        </w:rPr>
        <w:t xml:space="preserve"> </w:t>
      </w:r>
      <w:r>
        <w:t>to</w:t>
      </w:r>
      <w:r>
        <w:rPr>
          <w:spacing w:val="-3"/>
        </w:rPr>
        <w:t xml:space="preserve"> </w:t>
      </w:r>
      <w:r>
        <w:t>participate</w:t>
      </w:r>
      <w:r>
        <w:rPr>
          <w:spacing w:val="-4"/>
        </w:rPr>
        <w:t xml:space="preserve"> </w:t>
      </w:r>
      <w:r>
        <w:t>in survival sex work resist further marginalization.</w:t>
      </w:r>
      <w:hyperlink w:anchor="_bookmark235" w:history="1">
        <w:r>
          <w:rPr>
            <w:vertAlign w:val="superscript"/>
          </w:rPr>
          <w:t>141</w:t>
        </w:r>
      </w:hyperlink>
    </w:p>
    <w:p w:rsidR="00200FDA" w:rsidRDefault="00200FDA">
      <w:pPr>
        <w:pStyle w:val="BodyText"/>
        <w:spacing w:before="9"/>
        <w:rPr>
          <w:sz w:val="19"/>
        </w:rPr>
      </w:pPr>
    </w:p>
    <w:p w:rsidR="00200FDA" w:rsidRDefault="00F76C4C">
      <w:pPr>
        <w:pStyle w:val="BodyText"/>
        <w:spacing w:line="276" w:lineRule="auto"/>
        <w:ind w:left="139" w:right="392"/>
        <w:jc w:val="both"/>
      </w:pPr>
      <w:r>
        <w:t>Furthermore, despite having laws that punish youth under 16 for engaging in consensual sexting, Massachusetts does not have any laws that protect victims over the age of 16 against revenge porn (the purposeful, non-consensual spreading of explicit images b</w:t>
      </w:r>
      <w:r>
        <w:t>y the receiving party), sextortion (extortion for money with threats of sharing explicit images), or sexual deepfakes (edited photos or videos</w:t>
      </w:r>
      <w:r>
        <w:rPr>
          <w:spacing w:val="-13"/>
        </w:rPr>
        <w:t xml:space="preserve"> </w:t>
      </w:r>
      <w:r>
        <w:t>that</w:t>
      </w:r>
      <w:r>
        <w:rPr>
          <w:spacing w:val="-12"/>
        </w:rPr>
        <w:t xml:space="preserve"> </w:t>
      </w:r>
      <w:r>
        <w:t>falsely</w:t>
      </w:r>
      <w:r>
        <w:rPr>
          <w:spacing w:val="-11"/>
        </w:rPr>
        <w:t xml:space="preserve"> </w:t>
      </w:r>
      <w:r>
        <w:t>show</w:t>
      </w:r>
      <w:r>
        <w:rPr>
          <w:spacing w:val="-11"/>
        </w:rPr>
        <w:t xml:space="preserve"> </w:t>
      </w:r>
      <w:r>
        <w:t>a</w:t>
      </w:r>
      <w:r>
        <w:rPr>
          <w:spacing w:val="-13"/>
        </w:rPr>
        <w:t xml:space="preserve"> </w:t>
      </w:r>
      <w:r>
        <w:t>person</w:t>
      </w:r>
      <w:r>
        <w:rPr>
          <w:spacing w:val="-12"/>
        </w:rPr>
        <w:t xml:space="preserve"> </w:t>
      </w:r>
      <w:r>
        <w:t>engaging</w:t>
      </w:r>
      <w:r>
        <w:rPr>
          <w:spacing w:val="-11"/>
        </w:rPr>
        <w:t xml:space="preserve"> </w:t>
      </w:r>
      <w:r>
        <w:t>in</w:t>
      </w:r>
      <w:r>
        <w:rPr>
          <w:spacing w:val="-13"/>
        </w:rPr>
        <w:t xml:space="preserve"> </w:t>
      </w:r>
      <w:r>
        <w:t>a</w:t>
      </w:r>
      <w:r>
        <w:rPr>
          <w:spacing w:val="-12"/>
        </w:rPr>
        <w:t xml:space="preserve"> </w:t>
      </w:r>
      <w:r>
        <w:t>sex</w:t>
      </w:r>
      <w:r>
        <w:rPr>
          <w:spacing w:val="-12"/>
        </w:rPr>
        <w:t xml:space="preserve"> </w:t>
      </w:r>
      <w:r>
        <w:t>act).</w:t>
      </w:r>
      <w:hyperlink w:anchor="_bookmark236" w:history="1">
        <w:r>
          <w:rPr>
            <w:vertAlign w:val="superscript"/>
          </w:rPr>
          <w:t>142</w:t>
        </w:r>
      </w:hyperlink>
      <w:r>
        <w:rPr>
          <w:spacing w:val="-2"/>
        </w:rPr>
        <w:t xml:space="preserve"> </w:t>
      </w:r>
      <w:r>
        <w:t>For</w:t>
      </w:r>
      <w:r>
        <w:rPr>
          <w:spacing w:val="-13"/>
        </w:rPr>
        <w:t xml:space="preserve"> </w:t>
      </w:r>
      <w:r>
        <w:t>example,</w:t>
      </w:r>
      <w:r>
        <w:rPr>
          <w:spacing w:val="-12"/>
        </w:rPr>
        <w:t xml:space="preserve"> </w:t>
      </w:r>
      <w:r>
        <w:t>minors</w:t>
      </w:r>
      <w:r>
        <w:rPr>
          <w:spacing w:val="-13"/>
        </w:rPr>
        <w:t xml:space="preserve"> </w:t>
      </w:r>
      <w:r>
        <w:t>who</w:t>
      </w:r>
      <w:r>
        <w:rPr>
          <w:spacing w:val="-12"/>
        </w:rPr>
        <w:t xml:space="preserve"> </w:t>
      </w:r>
      <w:r>
        <w:t>con</w:t>
      </w:r>
      <w:r>
        <w:t>sensually</w:t>
      </w:r>
      <w:r>
        <w:rPr>
          <w:spacing w:val="-9"/>
        </w:rPr>
        <w:t xml:space="preserve"> </w:t>
      </w:r>
      <w:r>
        <w:t>send explicit images to each</w:t>
      </w:r>
      <w:r>
        <w:rPr>
          <w:spacing w:val="-2"/>
        </w:rPr>
        <w:t xml:space="preserve"> </w:t>
      </w:r>
      <w:r>
        <w:t>other will likely face equal punishment as a</w:t>
      </w:r>
      <w:r>
        <w:rPr>
          <w:spacing w:val="-1"/>
        </w:rPr>
        <w:t xml:space="preserve"> </w:t>
      </w:r>
      <w:r>
        <w:t>minor who purposefully and non- consensually</w:t>
      </w:r>
      <w:r>
        <w:rPr>
          <w:spacing w:val="-5"/>
        </w:rPr>
        <w:t xml:space="preserve"> </w:t>
      </w:r>
      <w:r>
        <w:t>shares</w:t>
      </w:r>
      <w:r>
        <w:rPr>
          <w:spacing w:val="-6"/>
        </w:rPr>
        <w:t xml:space="preserve"> </w:t>
      </w:r>
      <w:r>
        <w:t>another</w:t>
      </w:r>
      <w:r>
        <w:rPr>
          <w:spacing w:val="-6"/>
        </w:rPr>
        <w:t xml:space="preserve"> </w:t>
      </w:r>
      <w:r>
        <w:t>minor’s</w:t>
      </w:r>
      <w:r>
        <w:rPr>
          <w:spacing w:val="-8"/>
        </w:rPr>
        <w:t xml:space="preserve"> </w:t>
      </w:r>
      <w:r>
        <w:t>explicit</w:t>
      </w:r>
      <w:r>
        <w:rPr>
          <w:spacing w:val="-5"/>
        </w:rPr>
        <w:t xml:space="preserve"> </w:t>
      </w:r>
      <w:r>
        <w:t>images,</w:t>
      </w:r>
      <w:r>
        <w:rPr>
          <w:spacing w:val="-8"/>
        </w:rPr>
        <w:t xml:space="preserve"> </w:t>
      </w:r>
      <w:r>
        <w:t>or</w:t>
      </w:r>
      <w:r>
        <w:rPr>
          <w:spacing w:val="-8"/>
        </w:rPr>
        <w:t xml:space="preserve"> </w:t>
      </w:r>
      <w:r>
        <w:t>an</w:t>
      </w:r>
      <w:r>
        <w:rPr>
          <w:spacing w:val="-6"/>
        </w:rPr>
        <w:t xml:space="preserve"> </w:t>
      </w:r>
      <w:r>
        <w:t>adult</w:t>
      </w:r>
      <w:r>
        <w:rPr>
          <w:spacing w:val="-5"/>
        </w:rPr>
        <w:t xml:space="preserve"> </w:t>
      </w:r>
      <w:r>
        <w:t>who</w:t>
      </w:r>
      <w:r>
        <w:rPr>
          <w:spacing w:val="-4"/>
        </w:rPr>
        <w:t xml:space="preserve"> </w:t>
      </w:r>
      <w:r>
        <w:t>digitally</w:t>
      </w:r>
      <w:r>
        <w:rPr>
          <w:spacing w:val="-5"/>
        </w:rPr>
        <w:t xml:space="preserve"> </w:t>
      </w:r>
      <w:r>
        <w:t>exploits</w:t>
      </w:r>
      <w:r>
        <w:rPr>
          <w:spacing w:val="-8"/>
        </w:rPr>
        <w:t xml:space="preserve"> </w:t>
      </w:r>
      <w:r>
        <w:t>minors.</w:t>
      </w:r>
      <w:hyperlink w:anchor="_bookmark237" w:history="1">
        <w:r>
          <w:rPr>
            <w:vertAlign w:val="superscript"/>
          </w:rPr>
          <w:t>143</w:t>
        </w:r>
      </w:hyperlink>
      <w:r>
        <w:rPr>
          <w:spacing w:val="-2"/>
        </w:rPr>
        <w:t xml:space="preserve"> </w:t>
      </w:r>
      <w:r>
        <w:t>Even worse,</w:t>
      </w:r>
      <w:r>
        <w:rPr>
          <w:spacing w:val="-4"/>
        </w:rPr>
        <w:t xml:space="preserve"> </w:t>
      </w:r>
      <w:r>
        <w:t>victims</w:t>
      </w:r>
      <w:r>
        <w:rPr>
          <w:spacing w:val="-4"/>
        </w:rPr>
        <w:t xml:space="preserve"> </w:t>
      </w:r>
      <w:r>
        <w:t>of</w:t>
      </w:r>
      <w:r>
        <w:rPr>
          <w:spacing w:val="-4"/>
        </w:rPr>
        <w:t xml:space="preserve"> </w:t>
      </w:r>
      <w:r>
        <w:t>revenge</w:t>
      </w:r>
      <w:r>
        <w:rPr>
          <w:spacing w:val="-4"/>
        </w:rPr>
        <w:t xml:space="preserve"> </w:t>
      </w:r>
      <w:r>
        <w:t>porn</w:t>
      </w:r>
      <w:r>
        <w:rPr>
          <w:spacing w:val="-4"/>
        </w:rPr>
        <w:t xml:space="preserve"> </w:t>
      </w:r>
      <w:r>
        <w:t>and</w:t>
      </w:r>
      <w:r>
        <w:rPr>
          <w:spacing w:val="-4"/>
        </w:rPr>
        <w:t xml:space="preserve"> </w:t>
      </w:r>
      <w:r>
        <w:t>digital</w:t>
      </w:r>
      <w:r>
        <w:rPr>
          <w:spacing w:val="-5"/>
        </w:rPr>
        <w:t xml:space="preserve"> </w:t>
      </w:r>
      <w:r>
        <w:t>commercial</w:t>
      </w:r>
      <w:r>
        <w:rPr>
          <w:spacing w:val="-6"/>
        </w:rPr>
        <w:t xml:space="preserve"> </w:t>
      </w:r>
      <w:r>
        <w:t>sexual</w:t>
      </w:r>
      <w:r>
        <w:rPr>
          <w:spacing w:val="-4"/>
        </w:rPr>
        <w:t xml:space="preserve"> </w:t>
      </w:r>
      <w:r>
        <w:t>exploitation</w:t>
      </w:r>
      <w:r>
        <w:rPr>
          <w:spacing w:val="-4"/>
        </w:rPr>
        <w:t xml:space="preserve"> </w:t>
      </w:r>
      <w:r>
        <w:t>are</w:t>
      </w:r>
      <w:r>
        <w:rPr>
          <w:spacing w:val="-4"/>
        </w:rPr>
        <w:t xml:space="preserve"> </w:t>
      </w:r>
      <w:r>
        <w:t>usually</w:t>
      </w:r>
      <w:r>
        <w:rPr>
          <w:spacing w:val="-4"/>
        </w:rPr>
        <w:t xml:space="preserve"> </w:t>
      </w:r>
      <w:r>
        <w:t>punished</w:t>
      </w:r>
      <w:r>
        <w:rPr>
          <w:spacing w:val="-4"/>
        </w:rPr>
        <w:t xml:space="preserve"> </w:t>
      </w:r>
      <w:r>
        <w:t>to</w:t>
      </w:r>
      <w:r>
        <w:rPr>
          <w:spacing w:val="-3"/>
        </w:rPr>
        <w:t xml:space="preserve"> </w:t>
      </w:r>
      <w:r>
        <w:t>the same,</w:t>
      </w:r>
      <w:r>
        <w:rPr>
          <w:spacing w:val="-3"/>
        </w:rPr>
        <w:t xml:space="preserve"> </w:t>
      </w:r>
      <w:r>
        <w:t>or</w:t>
      </w:r>
      <w:r>
        <w:rPr>
          <w:spacing w:val="-3"/>
        </w:rPr>
        <w:t xml:space="preserve"> </w:t>
      </w:r>
      <w:r>
        <w:t>sometimes</w:t>
      </w:r>
      <w:r>
        <w:rPr>
          <w:spacing w:val="-3"/>
        </w:rPr>
        <w:t xml:space="preserve"> </w:t>
      </w:r>
      <w:r>
        <w:t>even</w:t>
      </w:r>
      <w:r>
        <w:rPr>
          <w:spacing w:val="-4"/>
        </w:rPr>
        <w:t xml:space="preserve"> </w:t>
      </w:r>
      <w:r>
        <w:t>greater,</w:t>
      </w:r>
      <w:r>
        <w:rPr>
          <w:spacing w:val="-3"/>
        </w:rPr>
        <w:t xml:space="preserve"> </w:t>
      </w:r>
      <w:r>
        <w:t>extent as</w:t>
      </w:r>
      <w:r>
        <w:rPr>
          <w:spacing w:val="-3"/>
        </w:rPr>
        <w:t xml:space="preserve"> </w:t>
      </w:r>
      <w:r>
        <w:t>the perpetrator.</w:t>
      </w:r>
      <w:hyperlink w:anchor="_bookmark238" w:history="1">
        <w:r>
          <w:rPr>
            <w:vertAlign w:val="superscript"/>
          </w:rPr>
          <w:t>144</w:t>
        </w:r>
      </w:hyperlink>
      <w:r>
        <w:rPr>
          <w:spacing w:val="-2"/>
        </w:rPr>
        <w:t xml:space="preserve"> </w:t>
      </w:r>
      <w:r>
        <w:t>Although</w:t>
      </w:r>
      <w:r>
        <w:rPr>
          <w:spacing w:val="-2"/>
        </w:rPr>
        <w:t xml:space="preserve"> </w:t>
      </w:r>
      <w:r>
        <w:t>these</w:t>
      </w:r>
      <w:r>
        <w:rPr>
          <w:spacing w:val="-3"/>
        </w:rPr>
        <w:t xml:space="preserve"> </w:t>
      </w:r>
      <w:r>
        <w:t>kinds</w:t>
      </w:r>
      <w:r>
        <w:rPr>
          <w:spacing w:val="-1"/>
        </w:rPr>
        <w:t xml:space="preserve"> </w:t>
      </w:r>
      <w:r>
        <w:t>of</w:t>
      </w:r>
      <w:r>
        <w:rPr>
          <w:spacing w:val="-1"/>
        </w:rPr>
        <w:t xml:space="preserve"> </w:t>
      </w:r>
      <w:r>
        <w:t>laws</w:t>
      </w:r>
      <w:r>
        <w:rPr>
          <w:spacing w:val="-3"/>
        </w:rPr>
        <w:t xml:space="preserve"> </w:t>
      </w:r>
      <w:r>
        <w:t>may</w:t>
      </w:r>
      <w:r>
        <w:rPr>
          <w:spacing w:val="-2"/>
        </w:rPr>
        <w:t xml:space="preserve"> </w:t>
      </w:r>
      <w:r>
        <w:t>not seem directly rel</w:t>
      </w:r>
      <w:r>
        <w:t>ated to commercial sexual exploitation, they foster a hostile environment around sexuality and make youth feel uncomfortable or even unsafe coming forward to reveal sexual exploitation or sexual violence for fear of punishment and criminalization.</w:t>
      </w:r>
    </w:p>
    <w:p w:rsidR="00200FDA" w:rsidRDefault="00200FDA">
      <w:pPr>
        <w:pStyle w:val="BodyText"/>
        <w:spacing w:before="7"/>
        <w:rPr>
          <w:sz w:val="19"/>
        </w:rPr>
      </w:pPr>
    </w:p>
    <w:p w:rsidR="00200FDA" w:rsidRDefault="00F76C4C">
      <w:pPr>
        <w:pStyle w:val="BodyText"/>
        <w:spacing w:before="1" w:line="276" w:lineRule="auto"/>
        <w:ind w:left="139" w:right="394"/>
        <w:jc w:val="both"/>
      </w:pPr>
      <w:r>
        <w:t>When examining interventions to prevent commercial youth sexual exploitation and support survivors/victims, there are notable gaps in Boston when it comes to trauma-informed health care and access to mental health services that specialize in supporting com</w:t>
      </w:r>
      <w:r>
        <w:t>mercially sexually exploited youth.</w:t>
      </w:r>
      <w:hyperlink w:anchor="_bookmark239" w:history="1">
        <w:r>
          <w:rPr>
            <w:vertAlign w:val="superscript"/>
          </w:rPr>
          <w:t>145</w:t>
        </w:r>
      </w:hyperlink>
      <w:r>
        <w:rPr>
          <w:spacing w:val="-3"/>
        </w:rPr>
        <w:t xml:space="preserve"> </w:t>
      </w:r>
      <w:r>
        <w:t>Care</w:t>
      </w:r>
      <w:r>
        <w:rPr>
          <w:spacing w:val="-8"/>
        </w:rPr>
        <w:t xml:space="preserve"> </w:t>
      </w:r>
      <w:r>
        <w:t>providers</w:t>
      </w:r>
      <w:r>
        <w:rPr>
          <w:spacing w:val="-8"/>
        </w:rPr>
        <w:t xml:space="preserve"> </w:t>
      </w:r>
      <w:r>
        <w:t>need</w:t>
      </w:r>
      <w:r>
        <w:rPr>
          <w:spacing w:val="-11"/>
        </w:rPr>
        <w:t xml:space="preserve"> </w:t>
      </w:r>
      <w:r>
        <w:t>more</w:t>
      </w:r>
      <w:r>
        <w:rPr>
          <w:spacing w:val="-10"/>
        </w:rPr>
        <w:t xml:space="preserve"> </w:t>
      </w:r>
      <w:r>
        <w:t>training,</w:t>
      </w:r>
      <w:r>
        <w:rPr>
          <w:spacing w:val="-10"/>
        </w:rPr>
        <w:t xml:space="preserve"> </w:t>
      </w:r>
      <w:r>
        <w:t>as</w:t>
      </w:r>
      <w:r>
        <w:rPr>
          <w:spacing w:val="-10"/>
        </w:rPr>
        <w:t xml:space="preserve"> </w:t>
      </w:r>
      <w:r>
        <w:t>well</w:t>
      </w:r>
      <w:r>
        <w:rPr>
          <w:spacing w:val="-11"/>
        </w:rPr>
        <w:t xml:space="preserve"> </w:t>
      </w:r>
      <w:r>
        <w:t>as</w:t>
      </w:r>
      <w:r>
        <w:rPr>
          <w:spacing w:val="-10"/>
        </w:rPr>
        <w:t xml:space="preserve"> </w:t>
      </w:r>
      <w:r>
        <w:t>more</w:t>
      </w:r>
      <w:r>
        <w:rPr>
          <w:spacing w:val="-10"/>
        </w:rPr>
        <w:t xml:space="preserve"> </w:t>
      </w:r>
      <w:r>
        <w:t>funding,</w:t>
      </w:r>
      <w:r>
        <w:rPr>
          <w:spacing w:val="-8"/>
        </w:rPr>
        <w:t xml:space="preserve"> </w:t>
      </w:r>
      <w:r>
        <w:t>to</w:t>
      </w:r>
      <w:r>
        <w:rPr>
          <w:spacing w:val="-9"/>
        </w:rPr>
        <w:t xml:space="preserve"> </w:t>
      </w:r>
      <w:r>
        <w:t>appropriately</w:t>
      </w:r>
      <w:r>
        <w:rPr>
          <w:spacing w:val="-7"/>
        </w:rPr>
        <w:t xml:space="preserve"> </w:t>
      </w:r>
      <w:r>
        <w:t>and</w:t>
      </w:r>
      <w:r>
        <w:rPr>
          <w:spacing w:val="-9"/>
        </w:rPr>
        <w:t xml:space="preserve"> </w:t>
      </w:r>
      <w:r>
        <w:t>adequately</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F76C4C">
      <w:pPr>
        <w:pStyle w:val="BodyText"/>
        <w:spacing w:before="154" w:line="276" w:lineRule="auto"/>
        <w:ind w:left="139" w:right="395"/>
        <w:jc w:val="both"/>
      </w:pPr>
      <w:r>
        <w:lastRenderedPageBreak/>
        <w:t>support sexually exploited youth;</w:t>
      </w:r>
      <w:hyperlink w:anchor="_bookmark240" w:history="1">
        <w:r>
          <w:rPr>
            <w:vertAlign w:val="superscript"/>
          </w:rPr>
          <w:t>146</w:t>
        </w:r>
      </w:hyperlink>
      <w:r>
        <w:rPr>
          <w:spacing w:val="-2"/>
        </w:rPr>
        <w:t xml:space="preserve"> </w:t>
      </w:r>
      <w:r>
        <w:t>traini</w:t>
      </w:r>
      <w:r>
        <w:t>ng service providers on how to better support survivors of sexual exploitation is also key to ending stigma.</w:t>
      </w:r>
      <w:r>
        <w:rPr>
          <w:spacing w:val="-11"/>
        </w:rPr>
        <w:t xml:space="preserve"> </w:t>
      </w:r>
      <w:hyperlink w:anchor="_bookmark241" w:history="1">
        <w:r>
          <w:rPr>
            <w:vertAlign w:val="superscript"/>
          </w:rPr>
          <w:t>147</w:t>
        </w:r>
      </w:hyperlink>
      <w:r>
        <w:t xml:space="preserve"> Instead of taking a carceral view of youth commercial</w:t>
      </w:r>
      <w:r>
        <w:rPr>
          <w:spacing w:val="-4"/>
        </w:rPr>
        <w:t xml:space="preserve"> </w:t>
      </w:r>
      <w:r>
        <w:t>sexual</w:t>
      </w:r>
      <w:r>
        <w:rPr>
          <w:spacing w:val="-3"/>
        </w:rPr>
        <w:t xml:space="preserve"> </w:t>
      </w:r>
      <w:r>
        <w:t>exploitation,</w:t>
      </w:r>
      <w:r>
        <w:rPr>
          <w:spacing w:val="-1"/>
        </w:rPr>
        <w:t xml:space="preserve"> </w:t>
      </w:r>
      <w:r>
        <w:t>a</w:t>
      </w:r>
      <w:r>
        <w:rPr>
          <w:spacing w:val="-3"/>
        </w:rPr>
        <w:t xml:space="preserve"> </w:t>
      </w:r>
      <w:r>
        <w:t>cultural</w:t>
      </w:r>
      <w:r>
        <w:rPr>
          <w:spacing w:val="-1"/>
        </w:rPr>
        <w:t xml:space="preserve"> </w:t>
      </w:r>
      <w:r>
        <w:t>shift</w:t>
      </w:r>
      <w:r>
        <w:rPr>
          <w:spacing w:val="-5"/>
        </w:rPr>
        <w:t xml:space="preserve"> </w:t>
      </w:r>
      <w:r>
        <w:t>must</w:t>
      </w:r>
      <w:r>
        <w:rPr>
          <w:spacing w:val="-3"/>
        </w:rPr>
        <w:t xml:space="preserve"> </w:t>
      </w:r>
      <w:r>
        <w:t>occur</w:t>
      </w:r>
      <w:r>
        <w:rPr>
          <w:spacing w:val="-1"/>
        </w:rPr>
        <w:t xml:space="preserve"> </w:t>
      </w:r>
      <w:r>
        <w:t>in</w:t>
      </w:r>
      <w:r>
        <w:rPr>
          <w:spacing w:val="-2"/>
        </w:rPr>
        <w:t xml:space="preserve"> </w:t>
      </w:r>
      <w:r>
        <w:t>how</w:t>
      </w:r>
      <w:r>
        <w:rPr>
          <w:spacing w:val="-1"/>
        </w:rPr>
        <w:t xml:space="preserve"> </w:t>
      </w:r>
      <w:r>
        <w:t>p</w:t>
      </w:r>
      <w:r>
        <w:t>roviders</w:t>
      </w:r>
      <w:r>
        <w:rPr>
          <w:spacing w:val="-1"/>
        </w:rPr>
        <w:t xml:space="preserve"> </w:t>
      </w:r>
      <w:r>
        <w:t>view</w:t>
      </w:r>
      <w:r>
        <w:rPr>
          <w:spacing w:val="-5"/>
        </w:rPr>
        <w:t xml:space="preserve"> </w:t>
      </w:r>
      <w:r>
        <w:t>survivors/victims</w:t>
      </w:r>
      <w:r>
        <w:rPr>
          <w:spacing w:val="-3"/>
        </w:rPr>
        <w:t xml:space="preserve"> </w:t>
      </w:r>
      <w:r>
        <w:t>of sexual exploitation and how victims/survivors are supported and connected with resources, rather than criminalized and punished.</w:t>
      </w:r>
      <w:r>
        <w:rPr>
          <w:spacing w:val="-6"/>
        </w:rPr>
        <w:t xml:space="preserve"> </w:t>
      </w:r>
      <w:hyperlink w:anchor="_bookmark242" w:history="1">
        <w:r>
          <w:rPr>
            <w:vertAlign w:val="superscript"/>
          </w:rPr>
          <w:t>148</w:t>
        </w:r>
      </w:hyperlink>
      <w:r>
        <w:t xml:space="preserve"> Furthermore, it is important to involve survivors/victims in intervention</w:t>
      </w:r>
      <w:r>
        <w:rPr>
          <w:spacing w:val="-5"/>
        </w:rPr>
        <w:t xml:space="preserve"> </w:t>
      </w:r>
      <w:r>
        <w:t>creation,</w:t>
      </w:r>
      <w:r>
        <w:rPr>
          <w:spacing w:val="-4"/>
        </w:rPr>
        <w:t xml:space="preserve"> </w:t>
      </w:r>
      <w:r>
        <w:t>as</w:t>
      </w:r>
      <w:r>
        <w:rPr>
          <w:spacing w:val="-4"/>
        </w:rPr>
        <w:t xml:space="preserve"> </w:t>
      </w:r>
      <w:r>
        <w:t>survivors/victims</w:t>
      </w:r>
      <w:r>
        <w:rPr>
          <w:spacing w:val="-2"/>
        </w:rPr>
        <w:t xml:space="preserve"> </w:t>
      </w:r>
      <w:r>
        <w:t>have</w:t>
      </w:r>
      <w:r>
        <w:rPr>
          <w:spacing w:val="-4"/>
        </w:rPr>
        <w:t xml:space="preserve"> </w:t>
      </w:r>
      <w:r>
        <w:t>largely</w:t>
      </w:r>
      <w:r>
        <w:rPr>
          <w:spacing w:val="-4"/>
        </w:rPr>
        <w:t xml:space="preserve"> </w:t>
      </w:r>
      <w:r>
        <w:t>been</w:t>
      </w:r>
      <w:r>
        <w:rPr>
          <w:spacing w:val="-5"/>
        </w:rPr>
        <w:t xml:space="preserve"> </w:t>
      </w:r>
      <w:r>
        <w:t>left</w:t>
      </w:r>
      <w:r>
        <w:rPr>
          <w:spacing w:val="-4"/>
        </w:rPr>
        <w:t xml:space="preserve"> </w:t>
      </w:r>
      <w:r>
        <w:t>out</w:t>
      </w:r>
      <w:r>
        <w:rPr>
          <w:spacing w:val="-4"/>
        </w:rPr>
        <w:t xml:space="preserve"> </w:t>
      </w:r>
      <w:r>
        <w:t>of</w:t>
      </w:r>
      <w:r>
        <w:rPr>
          <w:spacing w:val="-2"/>
        </w:rPr>
        <w:t xml:space="preserve"> </w:t>
      </w:r>
      <w:r>
        <w:t>leadership</w:t>
      </w:r>
      <w:r>
        <w:rPr>
          <w:spacing w:val="-5"/>
        </w:rPr>
        <w:t xml:space="preserve"> </w:t>
      </w:r>
      <w:r>
        <w:t>positions</w:t>
      </w:r>
      <w:r>
        <w:rPr>
          <w:spacing w:val="-4"/>
        </w:rPr>
        <w:t xml:space="preserve"> </w:t>
      </w:r>
      <w:r>
        <w:t>and</w:t>
      </w:r>
      <w:r>
        <w:rPr>
          <w:spacing w:val="-3"/>
        </w:rPr>
        <w:t xml:space="preserve"> </w:t>
      </w:r>
      <w:r>
        <w:t>have been further exploited as talking-points for organizations, rather than uplifted and suppo</w:t>
      </w:r>
      <w:r>
        <w:t>rted.</w:t>
      </w:r>
      <w:r>
        <w:rPr>
          <w:spacing w:val="-13"/>
        </w:rPr>
        <w:t xml:space="preserve"> </w:t>
      </w:r>
      <w:hyperlink w:anchor="_bookmark243" w:history="1">
        <w:r>
          <w:rPr>
            <w:vertAlign w:val="superscript"/>
          </w:rPr>
          <w:t>149</w:t>
        </w:r>
      </w:hyperlink>
      <w:r>
        <w:t xml:space="preserve"> Without taking into account the needs of victims/survivors, it will be impossible to create successful outreach programs.</w:t>
      </w:r>
    </w:p>
    <w:p w:rsidR="00200FDA" w:rsidRDefault="00200FDA">
      <w:pPr>
        <w:pStyle w:val="BodyText"/>
      </w:pPr>
    </w:p>
    <w:p w:rsidR="00200FDA" w:rsidRDefault="00200FDA">
      <w:pPr>
        <w:pStyle w:val="BodyText"/>
      </w:pPr>
    </w:p>
    <w:p w:rsidR="00200FDA" w:rsidRDefault="00200FDA">
      <w:pPr>
        <w:pStyle w:val="BodyText"/>
      </w:pPr>
    </w:p>
    <w:p w:rsidR="00200FDA" w:rsidRDefault="00200FDA">
      <w:pPr>
        <w:pStyle w:val="BodyText"/>
        <w:spacing w:before="6"/>
        <w:rPr>
          <w:sz w:val="17"/>
        </w:rPr>
      </w:pPr>
    </w:p>
    <w:p w:rsidR="00200FDA" w:rsidRDefault="00F76C4C">
      <w:pPr>
        <w:pStyle w:val="Heading8"/>
      </w:pPr>
      <w:bookmarkStart w:id="349" w:name="Engaging_LGBTQ_Youth"/>
      <w:bookmarkEnd w:id="349"/>
      <w:r>
        <w:rPr>
          <w:color w:val="0A5293"/>
        </w:rPr>
        <w:t>Engaging</w:t>
      </w:r>
      <w:r>
        <w:rPr>
          <w:color w:val="0A5293"/>
          <w:spacing w:val="-4"/>
        </w:rPr>
        <w:t xml:space="preserve"> </w:t>
      </w:r>
      <w:r>
        <w:rPr>
          <w:color w:val="0A5293"/>
        </w:rPr>
        <w:t>LGBTQ</w:t>
      </w:r>
      <w:r>
        <w:rPr>
          <w:color w:val="0A5293"/>
          <w:spacing w:val="-1"/>
        </w:rPr>
        <w:t xml:space="preserve"> </w:t>
      </w:r>
      <w:r>
        <w:rPr>
          <w:color w:val="0A5293"/>
          <w:spacing w:val="-4"/>
        </w:rPr>
        <w:t>Youth</w:t>
      </w:r>
    </w:p>
    <w:p w:rsidR="00200FDA" w:rsidRDefault="00200FDA">
      <w:pPr>
        <w:pStyle w:val="BodyText"/>
        <w:spacing w:before="6"/>
        <w:rPr>
          <w:sz w:val="19"/>
        </w:rPr>
      </w:pPr>
    </w:p>
    <w:p w:rsidR="00200FDA" w:rsidRDefault="00F76C4C">
      <w:pPr>
        <w:pStyle w:val="BodyText"/>
        <w:spacing w:line="276" w:lineRule="auto"/>
        <w:ind w:left="139" w:right="393"/>
        <w:jc w:val="both"/>
      </w:pPr>
      <w:r>
        <w:t>LGBTQ</w:t>
      </w:r>
      <w:r>
        <w:rPr>
          <w:spacing w:val="-3"/>
        </w:rPr>
        <w:t xml:space="preserve"> </w:t>
      </w:r>
      <w:r>
        <w:t>youth</w:t>
      </w:r>
      <w:r>
        <w:rPr>
          <w:spacing w:val="-2"/>
        </w:rPr>
        <w:t xml:space="preserve"> </w:t>
      </w:r>
      <w:r>
        <w:t>have a</w:t>
      </w:r>
      <w:r>
        <w:rPr>
          <w:spacing w:val="-1"/>
        </w:rPr>
        <w:t xml:space="preserve"> </w:t>
      </w:r>
      <w:r>
        <w:t>right</w:t>
      </w:r>
      <w:r>
        <w:rPr>
          <w:spacing w:val="-3"/>
        </w:rPr>
        <w:t xml:space="preserve"> </w:t>
      </w:r>
      <w:r>
        <w:t>to be involved</w:t>
      </w:r>
      <w:r>
        <w:rPr>
          <w:spacing w:val="-2"/>
        </w:rPr>
        <w:t xml:space="preserve"> </w:t>
      </w:r>
      <w:r>
        <w:t>in</w:t>
      </w:r>
      <w:r>
        <w:rPr>
          <w:spacing w:val="-2"/>
        </w:rPr>
        <w:t xml:space="preserve"> </w:t>
      </w:r>
      <w:r>
        <w:t>the creation</w:t>
      </w:r>
      <w:r>
        <w:rPr>
          <w:spacing w:val="-2"/>
        </w:rPr>
        <w:t xml:space="preserve"> </w:t>
      </w:r>
      <w:r>
        <w:t>of</w:t>
      </w:r>
      <w:r>
        <w:rPr>
          <w:spacing w:val="-1"/>
        </w:rPr>
        <w:t xml:space="preserve"> </w:t>
      </w:r>
      <w:r>
        <w:t>the programs</w:t>
      </w:r>
      <w:r>
        <w:rPr>
          <w:spacing w:val="-3"/>
        </w:rPr>
        <w:t xml:space="preserve"> </w:t>
      </w:r>
      <w:r>
        <w:t>meant</w:t>
      </w:r>
      <w:r>
        <w:rPr>
          <w:spacing w:val="-3"/>
        </w:rPr>
        <w:t xml:space="preserve"> </w:t>
      </w:r>
      <w:r>
        <w:t>to support</w:t>
      </w:r>
      <w:r>
        <w:rPr>
          <w:spacing w:val="-3"/>
        </w:rPr>
        <w:t xml:space="preserve"> </w:t>
      </w:r>
      <w:r>
        <w:t>their</w:t>
      </w:r>
      <w:r>
        <w:rPr>
          <w:spacing w:val="-4"/>
        </w:rPr>
        <w:t xml:space="preserve"> </w:t>
      </w:r>
      <w:r>
        <w:t>well- being. No matter</w:t>
      </w:r>
      <w:r>
        <w:rPr>
          <w:spacing w:val="-1"/>
        </w:rPr>
        <w:t xml:space="preserve"> </w:t>
      </w:r>
      <w:r>
        <w:t>the public health issue,</w:t>
      </w:r>
      <w:r>
        <w:rPr>
          <w:spacing w:val="-1"/>
        </w:rPr>
        <w:t xml:space="preserve"> </w:t>
      </w:r>
      <w:r>
        <w:t>it is important that the voices</w:t>
      </w:r>
      <w:r>
        <w:rPr>
          <w:spacing w:val="-1"/>
        </w:rPr>
        <w:t xml:space="preserve"> </w:t>
      </w:r>
      <w:r>
        <w:t>and opinions of</w:t>
      </w:r>
      <w:r>
        <w:rPr>
          <w:spacing w:val="-1"/>
        </w:rPr>
        <w:t xml:space="preserve"> </w:t>
      </w:r>
      <w:r>
        <w:t>LGBTQ youth are</w:t>
      </w:r>
      <w:r>
        <w:rPr>
          <w:spacing w:val="-3"/>
        </w:rPr>
        <w:t xml:space="preserve"> </w:t>
      </w:r>
      <w:r>
        <w:t>included</w:t>
      </w:r>
      <w:r>
        <w:rPr>
          <w:spacing w:val="-4"/>
        </w:rPr>
        <w:t xml:space="preserve"> </w:t>
      </w:r>
      <w:r>
        <w:t>in</w:t>
      </w:r>
      <w:r>
        <w:rPr>
          <w:spacing w:val="-4"/>
        </w:rPr>
        <w:t xml:space="preserve"> </w:t>
      </w:r>
      <w:r>
        <w:t>any</w:t>
      </w:r>
      <w:r>
        <w:rPr>
          <w:spacing w:val="-2"/>
        </w:rPr>
        <w:t xml:space="preserve"> </w:t>
      </w:r>
      <w:r>
        <w:t>kind</w:t>
      </w:r>
      <w:r>
        <w:rPr>
          <w:spacing w:val="-4"/>
        </w:rPr>
        <w:t xml:space="preserve"> </w:t>
      </w:r>
      <w:r>
        <w:t>of</w:t>
      </w:r>
      <w:r>
        <w:rPr>
          <w:spacing w:val="-6"/>
        </w:rPr>
        <w:t xml:space="preserve"> </w:t>
      </w:r>
      <w:r>
        <w:t>program</w:t>
      </w:r>
      <w:r>
        <w:rPr>
          <w:spacing w:val="-2"/>
        </w:rPr>
        <w:t xml:space="preserve"> </w:t>
      </w:r>
      <w:r>
        <w:t>development</w:t>
      </w:r>
      <w:r>
        <w:rPr>
          <w:spacing w:val="-3"/>
        </w:rPr>
        <w:t xml:space="preserve"> </w:t>
      </w:r>
      <w:r>
        <w:t>and</w:t>
      </w:r>
      <w:r>
        <w:rPr>
          <w:spacing w:val="-6"/>
        </w:rPr>
        <w:t xml:space="preserve"> </w:t>
      </w:r>
      <w:r>
        <w:t>implementation.</w:t>
      </w:r>
      <w:r>
        <w:rPr>
          <w:spacing w:val="-4"/>
        </w:rPr>
        <w:t xml:space="preserve"> </w:t>
      </w:r>
      <w:r>
        <w:t>LGBTQ</w:t>
      </w:r>
      <w:r>
        <w:rPr>
          <w:spacing w:val="-5"/>
        </w:rPr>
        <w:t xml:space="preserve"> </w:t>
      </w:r>
      <w:r>
        <w:t>youth</w:t>
      </w:r>
      <w:r>
        <w:rPr>
          <w:spacing w:val="-4"/>
        </w:rPr>
        <w:t xml:space="preserve"> </w:t>
      </w:r>
      <w:r>
        <w:t>know</w:t>
      </w:r>
      <w:r>
        <w:rPr>
          <w:spacing w:val="-3"/>
        </w:rPr>
        <w:t xml:space="preserve"> </w:t>
      </w:r>
      <w:r>
        <w:t>best</w:t>
      </w:r>
      <w:r>
        <w:rPr>
          <w:spacing w:val="-3"/>
        </w:rPr>
        <w:t xml:space="preserve"> </w:t>
      </w:r>
      <w:r>
        <w:t>what resources</w:t>
      </w:r>
      <w:r>
        <w:rPr>
          <w:spacing w:val="-6"/>
        </w:rPr>
        <w:t xml:space="preserve"> </w:t>
      </w:r>
      <w:r>
        <w:t>they</w:t>
      </w:r>
      <w:r>
        <w:rPr>
          <w:spacing w:val="-6"/>
        </w:rPr>
        <w:t xml:space="preserve"> </w:t>
      </w:r>
      <w:r>
        <w:t>need</w:t>
      </w:r>
      <w:r>
        <w:rPr>
          <w:spacing w:val="-7"/>
        </w:rPr>
        <w:t xml:space="preserve"> </w:t>
      </w:r>
      <w:r>
        <w:t>and</w:t>
      </w:r>
      <w:r>
        <w:rPr>
          <w:spacing w:val="-7"/>
        </w:rPr>
        <w:t xml:space="preserve"> </w:t>
      </w:r>
      <w:r>
        <w:t>how</w:t>
      </w:r>
      <w:r>
        <w:rPr>
          <w:spacing w:val="-6"/>
        </w:rPr>
        <w:t xml:space="preserve"> </w:t>
      </w:r>
      <w:r>
        <w:t>they</w:t>
      </w:r>
      <w:r>
        <w:rPr>
          <w:spacing w:val="-6"/>
        </w:rPr>
        <w:t xml:space="preserve"> </w:t>
      </w:r>
      <w:r>
        <w:t>can</w:t>
      </w:r>
      <w:r>
        <w:rPr>
          <w:spacing w:val="-7"/>
        </w:rPr>
        <w:t xml:space="preserve"> </w:t>
      </w:r>
      <w:r>
        <w:t>best</w:t>
      </w:r>
      <w:r>
        <w:rPr>
          <w:spacing w:val="-6"/>
        </w:rPr>
        <w:t xml:space="preserve"> </w:t>
      </w:r>
      <w:r>
        <w:t>be</w:t>
      </w:r>
      <w:r>
        <w:rPr>
          <w:spacing w:val="-6"/>
        </w:rPr>
        <w:t xml:space="preserve"> </w:t>
      </w:r>
      <w:r>
        <w:t>supported,</w:t>
      </w:r>
      <w:r>
        <w:rPr>
          <w:spacing w:val="-7"/>
        </w:rPr>
        <w:t xml:space="preserve"> </w:t>
      </w:r>
      <w:r>
        <w:t>oftentimes</w:t>
      </w:r>
      <w:r>
        <w:rPr>
          <w:spacing w:val="-9"/>
        </w:rPr>
        <w:t xml:space="preserve"> </w:t>
      </w:r>
      <w:r>
        <w:t>more</w:t>
      </w:r>
      <w:r>
        <w:rPr>
          <w:spacing w:val="-6"/>
        </w:rPr>
        <w:t xml:space="preserve"> </w:t>
      </w:r>
      <w:r>
        <w:t>so</w:t>
      </w:r>
      <w:r>
        <w:rPr>
          <w:spacing w:val="-5"/>
        </w:rPr>
        <w:t xml:space="preserve"> </w:t>
      </w:r>
      <w:r>
        <w:t>than</w:t>
      </w:r>
      <w:r>
        <w:rPr>
          <w:spacing w:val="-7"/>
        </w:rPr>
        <w:t xml:space="preserve"> </w:t>
      </w:r>
      <w:r>
        <w:t>the</w:t>
      </w:r>
      <w:r>
        <w:rPr>
          <w:spacing w:val="-6"/>
        </w:rPr>
        <w:t xml:space="preserve"> </w:t>
      </w:r>
      <w:r>
        <w:t>adults</w:t>
      </w:r>
      <w:r>
        <w:rPr>
          <w:spacing w:val="-7"/>
        </w:rPr>
        <w:t xml:space="preserve"> </w:t>
      </w:r>
      <w:r>
        <w:t>in</w:t>
      </w:r>
      <w:r>
        <w:rPr>
          <w:spacing w:val="-7"/>
        </w:rPr>
        <w:t xml:space="preserve"> </w:t>
      </w:r>
      <w:r>
        <w:t>their lives who may be unaware or uninformed about the issues faced by LGBTQ youth.</w:t>
      </w:r>
      <w:hyperlink w:anchor="_bookmark244" w:history="1">
        <w:r>
          <w:rPr>
            <w:vertAlign w:val="superscript"/>
          </w:rPr>
          <w:t>150</w:t>
        </w:r>
      </w:hyperlink>
      <w:r>
        <w:t xml:space="preserve"> Peer health education programs, whether for dating violenc</w:t>
      </w:r>
      <w:r>
        <w:t>e, substance use, or bullying, have been highly successful.</w:t>
      </w:r>
      <w:hyperlink w:anchor="_bookmark245" w:history="1">
        <w:r>
          <w:rPr>
            <w:vertAlign w:val="superscript"/>
          </w:rPr>
          <w:t>151</w:t>
        </w:r>
      </w:hyperlink>
      <w:r>
        <w:t xml:space="preserve"> Peer education finds its success in the fact that peer-to-peer education is often less awkward, and peer educators understand the current social, cultural, and p</w:t>
      </w:r>
      <w:r>
        <w:t>olitical landscape that youths navigate on a day-to-day basis.</w:t>
      </w:r>
      <w:hyperlink w:anchor="_bookmark246" w:history="1">
        <w:r>
          <w:rPr>
            <w:vertAlign w:val="superscript"/>
          </w:rPr>
          <w:t>152</w:t>
        </w:r>
      </w:hyperlink>
      <w:r>
        <w:rPr>
          <w:spacing w:val="-2"/>
        </w:rPr>
        <w:t xml:space="preserve"> </w:t>
      </w:r>
      <w:r>
        <w:t>Beyond peer support, peer education programs and youth- led advocacy allow peer health educators to become content experts for a particular public health topic,</w:t>
      </w:r>
      <w:r>
        <w:rPr>
          <w:spacing w:val="-12"/>
        </w:rPr>
        <w:t xml:space="preserve"> </w:t>
      </w:r>
      <w:r>
        <w:t>increase</w:t>
      </w:r>
      <w:r>
        <w:rPr>
          <w:spacing w:val="-12"/>
        </w:rPr>
        <w:t xml:space="preserve"> </w:t>
      </w:r>
      <w:r>
        <w:t>communication</w:t>
      </w:r>
      <w:r>
        <w:rPr>
          <w:spacing w:val="-12"/>
        </w:rPr>
        <w:t xml:space="preserve"> </w:t>
      </w:r>
      <w:r>
        <w:t>with</w:t>
      </w:r>
      <w:r>
        <w:rPr>
          <w:spacing w:val="-12"/>
        </w:rPr>
        <w:t xml:space="preserve"> </w:t>
      </w:r>
      <w:r>
        <w:t>parents</w:t>
      </w:r>
      <w:r>
        <w:rPr>
          <w:spacing w:val="-11"/>
        </w:rPr>
        <w:t xml:space="preserve"> </w:t>
      </w:r>
      <w:r>
        <w:t>and</w:t>
      </w:r>
      <w:r>
        <w:rPr>
          <w:spacing w:val="-12"/>
        </w:rPr>
        <w:t xml:space="preserve"> </w:t>
      </w:r>
      <w:r>
        <w:t>other</w:t>
      </w:r>
      <w:r>
        <w:rPr>
          <w:spacing w:val="-13"/>
        </w:rPr>
        <w:t xml:space="preserve"> </w:t>
      </w:r>
      <w:r>
        <w:t>adults,</w:t>
      </w:r>
      <w:r>
        <w:rPr>
          <w:spacing w:val="-10"/>
        </w:rPr>
        <w:t xml:space="preserve"> </w:t>
      </w:r>
      <w:r>
        <w:t>and</w:t>
      </w:r>
      <w:r>
        <w:rPr>
          <w:spacing w:val="-12"/>
        </w:rPr>
        <w:t xml:space="preserve"> </w:t>
      </w:r>
      <w:r>
        <w:t>inspire</w:t>
      </w:r>
      <w:r>
        <w:rPr>
          <w:spacing w:val="-11"/>
        </w:rPr>
        <w:t xml:space="preserve"> </w:t>
      </w:r>
      <w:r>
        <w:t>peer</w:t>
      </w:r>
      <w:r>
        <w:rPr>
          <w:spacing w:val="-13"/>
        </w:rPr>
        <w:t xml:space="preserve"> </w:t>
      </w:r>
      <w:r>
        <w:t>educators</w:t>
      </w:r>
      <w:r>
        <w:rPr>
          <w:spacing w:val="-12"/>
        </w:rPr>
        <w:t xml:space="preserve"> </w:t>
      </w:r>
      <w:r>
        <w:t>to</w:t>
      </w:r>
      <w:r>
        <w:rPr>
          <w:spacing w:val="-9"/>
        </w:rPr>
        <w:t xml:space="preserve"> </w:t>
      </w:r>
      <w:r>
        <w:t>play</w:t>
      </w:r>
      <w:r>
        <w:rPr>
          <w:spacing w:val="-11"/>
        </w:rPr>
        <w:t xml:space="preserve"> </w:t>
      </w:r>
      <w:r>
        <w:t>a</w:t>
      </w:r>
      <w:r>
        <w:rPr>
          <w:spacing w:val="-12"/>
        </w:rPr>
        <w:t xml:space="preserve"> </w:t>
      </w:r>
      <w:r>
        <w:t>role</w:t>
      </w:r>
      <w:r>
        <w:t xml:space="preserve"> in their community’s long-term wellness.</w:t>
      </w:r>
      <w:hyperlink w:anchor="_bookmark247" w:history="1">
        <w:r>
          <w:rPr>
            <w:vertAlign w:val="superscript"/>
          </w:rPr>
          <w:t>153</w:t>
        </w:r>
      </w:hyperlink>
    </w:p>
    <w:p w:rsidR="00200FDA" w:rsidRDefault="00200FDA">
      <w:pPr>
        <w:pStyle w:val="BodyText"/>
        <w:spacing w:before="7"/>
        <w:rPr>
          <w:sz w:val="19"/>
        </w:rPr>
      </w:pPr>
    </w:p>
    <w:p w:rsidR="00200FDA" w:rsidRDefault="00F76C4C">
      <w:pPr>
        <w:pStyle w:val="BodyText"/>
        <w:spacing w:line="276" w:lineRule="auto"/>
        <w:ind w:left="139" w:right="394"/>
        <w:jc w:val="both"/>
      </w:pPr>
      <w:r>
        <w:t>There</w:t>
      </w:r>
      <w:r>
        <w:rPr>
          <w:spacing w:val="-13"/>
        </w:rPr>
        <w:t xml:space="preserve"> </w:t>
      </w:r>
      <w:r>
        <w:t>are</w:t>
      </w:r>
      <w:r>
        <w:rPr>
          <w:spacing w:val="-12"/>
        </w:rPr>
        <w:t xml:space="preserve"> </w:t>
      </w:r>
      <w:r>
        <w:t>already</w:t>
      </w:r>
      <w:r>
        <w:rPr>
          <w:spacing w:val="-13"/>
        </w:rPr>
        <w:t xml:space="preserve"> </w:t>
      </w:r>
      <w:r>
        <w:t>a</w:t>
      </w:r>
      <w:r>
        <w:rPr>
          <w:spacing w:val="-12"/>
        </w:rPr>
        <w:t xml:space="preserve"> </w:t>
      </w:r>
      <w:r>
        <w:t>number</w:t>
      </w:r>
      <w:r>
        <w:rPr>
          <w:spacing w:val="-13"/>
        </w:rPr>
        <w:t xml:space="preserve"> </w:t>
      </w:r>
      <w:r>
        <w:t>of</w:t>
      </w:r>
      <w:r>
        <w:rPr>
          <w:spacing w:val="-12"/>
        </w:rPr>
        <w:t xml:space="preserve"> </w:t>
      </w:r>
      <w:r>
        <w:t>models</w:t>
      </w:r>
      <w:r>
        <w:rPr>
          <w:spacing w:val="-13"/>
        </w:rPr>
        <w:t xml:space="preserve"> </w:t>
      </w:r>
      <w:r>
        <w:t>for</w:t>
      </w:r>
      <w:r>
        <w:rPr>
          <w:spacing w:val="-12"/>
        </w:rPr>
        <w:t xml:space="preserve"> </w:t>
      </w:r>
      <w:r>
        <w:t>incorporating</w:t>
      </w:r>
      <w:r>
        <w:rPr>
          <w:spacing w:val="-12"/>
        </w:rPr>
        <w:t xml:space="preserve"> </w:t>
      </w:r>
      <w:r>
        <w:t>youths</w:t>
      </w:r>
      <w:r>
        <w:rPr>
          <w:spacing w:val="-13"/>
        </w:rPr>
        <w:t xml:space="preserve"> </w:t>
      </w:r>
      <w:r>
        <w:t>into</w:t>
      </w:r>
      <w:r>
        <w:rPr>
          <w:spacing w:val="-12"/>
        </w:rPr>
        <w:t xml:space="preserve"> </w:t>
      </w:r>
      <w:r>
        <w:t>advocacy</w:t>
      </w:r>
      <w:r>
        <w:rPr>
          <w:spacing w:val="-13"/>
        </w:rPr>
        <w:t xml:space="preserve"> </w:t>
      </w:r>
      <w:r>
        <w:t>efforts,</w:t>
      </w:r>
      <w:r>
        <w:rPr>
          <w:spacing w:val="-12"/>
        </w:rPr>
        <w:t xml:space="preserve"> </w:t>
      </w:r>
      <w:r>
        <w:t>from</w:t>
      </w:r>
      <w:r>
        <w:rPr>
          <w:spacing w:val="-13"/>
        </w:rPr>
        <w:t xml:space="preserve"> </w:t>
      </w:r>
      <w:r>
        <w:t>peer</w:t>
      </w:r>
      <w:r>
        <w:rPr>
          <w:spacing w:val="-12"/>
        </w:rPr>
        <w:t xml:space="preserve"> </w:t>
      </w:r>
      <w:r>
        <w:t>health education</w:t>
      </w:r>
      <w:r>
        <w:rPr>
          <w:spacing w:val="-4"/>
        </w:rPr>
        <w:t xml:space="preserve"> </w:t>
      </w:r>
      <w:r>
        <w:t>programs</w:t>
      </w:r>
      <w:r>
        <w:rPr>
          <w:spacing w:val="-3"/>
        </w:rPr>
        <w:t xml:space="preserve"> </w:t>
      </w:r>
      <w:r>
        <w:t>to</w:t>
      </w:r>
      <w:r>
        <w:rPr>
          <w:spacing w:val="-2"/>
        </w:rPr>
        <w:t xml:space="preserve"> </w:t>
      </w:r>
      <w:r>
        <w:t>youth</w:t>
      </w:r>
      <w:r>
        <w:rPr>
          <w:spacing w:val="-4"/>
        </w:rPr>
        <w:t xml:space="preserve"> </w:t>
      </w:r>
      <w:r>
        <w:t>representatives</w:t>
      </w:r>
      <w:r>
        <w:rPr>
          <w:spacing w:val="-3"/>
        </w:rPr>
        <w:t xml:space="preserve"> </w:t>
      </w:r>
      <w:r>
        <w:t>and</w:t>
      </w:r>
      <w:r>
        <w:rPr>
          <w:spacing w:val="-4"/>
        </w:rPr>
        <w:t xml:space="preserve"> </w:t>
      </w:r>
      <w:r>
        <w:t>councils.</w:t>
      </w:r>
      <w:hyperlink w:anchor="_bookmark248" w:history="1">
        <w:r>
          <w:rPr>
            <w:vertAlign w:val="superscript"/>
          </w:rPr>
          <w:t>154</w:t>
        </w:r>
      </w:hyperlink>
      <w:r>
        <w:rPr>
          <w:spacing w:val="-2"/>
        </w:rPr>
        <w:t xml:space="preserve"> </w:t>
      </w:r>
      <w:r>
        <w:t>For</w:t>
      </w:r>
      <w:r>
        <w:rPr>
          <w:spacing w:val="-3"/>
        </w:rPr>
        <w:t xml:space="preserve"> </w:t>
      </w:r>
      <w:r>
        <w:t>example,</w:t>
      </w:r>
      <w:r>
        <w:rPr>
          <w:spacing w:val="-3"/>
        </w:rPr>
        <w:t xml:space="preserve"> </w:t>
      </w:r>
      <w:r>
        <w:t>the</w:t>
      </w:r>
      <w:r>
        <w:rPr>
          <w:spacing w:val="-3"/>
        </w:rPr>
        <w:t xml:space="preserve"> </w:t>
      </w:r>
      <w:r>
        <w:t>International</w:t>
      </w:r>
      <w:r>
        <w:rPr>
          <w:spacing w:val="-4"/>
        </w:rPr>
        <w:t xml:space="preserve"> </w:t>
      </w:r>
      <w:r>
        <w:t>Planned Parenthood Federation passed a resolution in 2001 that strongly encouraged member organizations to aim for at least 20% youth participation in their leadership structures.</w:t>
      </w:r>
      <w:hyperlink w:anchor="_bookmark249" w:history="1">
        <w:r>
          <w:rPr>
            <w:vertAlign w:val="superscript"/>
          </w:rPr>
          <w:t>155</w:t>
        </w:r>
      </w:hyperlink>
      <w:r>
        <w:rPr>
          <w:spacing w:val="-2"/>
        </w:rPr>
        <w:t xml:space="preserve"> </w:t>
      </w:r>
      <w:r>
        <w:t>Across Massachusetts, some</w:t>
      </w:r>
      <w:r>
        <w:rPr>
          <w:spacing w:val="-7"/>
        </w:rPr>
        <w:t xml:space="preserve"> </w:t>
      </w:r>
      <w:r>
        <w:t>examples</w:t>
      </w:r>
      <w:r>
        <w:rPr>
          <w:spacing w:val="-6"/>
        </w:rPr>
        <w:t xml:space="preserve"> </w:t>
      </w:r>
      <w:r>
        <w:t>-</w:t>
      </w:r>
      <w:r>
        <w:rPr>
          <w:spacing w:val="-8"/>
        </w:rPr>
        <w:t xml:space="preserve"> </w:t>
      </w:r>
      <w:r>
        <w:t>though</w:t>
      </w:r>
      <w:r>
        <w:rPr>
          <w:spacing w:val="-6"/>
        </w:rPr>
        <w:t xml:space="preserve"> </w:t>
      </w:r>
      <w:r>
        <w:t>not</w:t>
      </w:r>
      <w:r>
        <w:rPr>
          <w:spacing w:val="-5"/>
        </w:rPr>
        <w:t xml:space="preserve"> </w:t>
      </w:r>
      <w:r>
        <w:t>the</w:t>
      </w:r>
      <w:r>
        <w:rPr>
          <w:spacing w:val="-7"/>
        </w:rPr>
        <w:t xml:space="preserve"> </w:t>
      </w:r>
      <w:r>
        <w:t>only</w:t>
      </w:r>
      <w:r>
        <w:rPr>
          <w:spacing w:val="-5"/>
        </w:rPr>
        <w:t xml:space="preserve"> </w:t>
      </w:r>
      <w:r>
        <w:t>-</w:t>
      </w:r>
      <w:r>
        <w:rPr>
          <w:spacing w:val="-9"/>
        </w:rPr>
        <w:t xml:space="preserve"> </w:t>
      </w:r>
      <w:r>
        <w:t>of</w:t>
      </w:r>
      <w:r>
        <w:rPr>
          <w:spacing w:val="-8"/>
        </w:rPr>
        <w:t xml:space="preserve"> </w:t>
      </w:r>
      <w:r>
        <w:t>this</w:t>
      </w:r>
      <w:r>
        <w:rPr>
          <w:spacing w:val="-6"/>
        </w:rPr>
        <w:t xml:space="preserve"> </w:t>
      </w:r>
      <w:r>
        <w:t>model</w:t>
      </w:r>
      <w:r>
        <w:rPr>
          <w:spacing w:val="-8"/>
        </w:rPr>
        <w:t xml:space="preserve"> </w:t>
      </w:r>
      <w:r>
        <w:t>would</w:t>
      </w:r>
      <w:r>
        <w:rPr>
          <w:spacing w:val="-6"/>
        </w:rPr>
        <w:t xml:space="preserve"> </w:t>
      </w:r>
      <w:r>
        <w:t>be</w:t>
      </w:r>
      <w:r>
        <w:rPr>
          <w:spacing w:val="-5"/>
        </w:rPr>
        <w:t xml:space="preserve"> </w:t>
      </w:r>
      <w:r>
        <w:t>the</w:t>
      </w:r>
      <w:r>
        <w:rPr>
          <w:spacing w:val="-7"/>
        </w:rPr>
        <w:t xml:space="preserve"> </w:t>
      </w:r>
      <w:r>
        <w:t>Start</w:t>
      </w:r>
      <w:r>
        <w:rPr>
          <w:spacing w:val="-5"/>
        </w:rPr>
        <w:t xml:space="preserve"> </w:t>
      </w:r>
      <w:r>
        <w:t>Strong</w:t>
      </w:r>
      <w:r>
        <w:rPr>
          <w:spacing w:val="-6"/>
        </w:rPr>
        <w:t xml:space="preserve"> </w:t>
      </w:r>
      <w:r>
        <w:t>program</w:t>
      </w:r>
      <w:r>
        <w:rPr>
          <w:spacing w:val="-7"/>
        </w:rPr>
        <w:t xml:space="preserve"> </w:t>
      </w:r>
      <w:r>
        <w:t>hosted</w:t>
      </w:r>
      <w:r>
        <w:rPr>
          <w:spacing w:val="-6"/>
        </w:rPr>
        <w:t xml:space="preserve"> </w:t>
      </w:r>
      <w:r>
        <w:t>by</w:t>
      </w:r>
      <w:r>
        <w:rPr>
          <w:spacing w:val="-7"/>
        </w:rPr>
        <w:t xml:space="preserve"> </w:t>
      </w:r>
      <w:r>
        <w:t>the Boston</w:t>
      </w:r>
      <w:r>
        <w:rPr>
          <w:spacing w:val="-13"/>
        </w:rPr>
        <w:t xml:space="preserve"> </w:t>
      </w:r>
      <w:r>
        <w:t>Public</w:t>
      </w:r>
      <w:r>
        <w:rPr>
          <w:spacing w:val="-12"/>
        </w:rPr>
        <w:t xml:space="preserve"> </w:t>
      </w:r>
      <w:r>
        <w:t>Health</w:t>
      </w:r>
      <w:r>
        <w:rPr>
          <w:spacing w:val="-13"/>
        </w:rPr>
        <w:t xml:space="preserve"> </w:t>
      </w:r>
      <w:r>
        <w:t>Commission,</w:t>
      </w:r>
      <w:r>
        <w:rPr>
          <w:spacing w:val="-12"/>
        </w:rPr>
        <w:t xml:space="preserve"> </w:t>
      </w:r>
      <w:r>
        <w:t>a</w:t>
      </w:r>
      <w:r>
        <w:rPr>
          <w:spacing w:val="-13"/>
        </w:rPr>
        <w:t xml:space="preserve"> </w:t>
      </w:r>
      <w:r>
        <w:t>high</w:t>
      </w:r>
      <w:r>
        <w:rPr>
          <w:spacing w:val="-12"/>
        </w:rPr>
        <w:t xml:space="preserve"> </w:t>
      </w:r>
      <w:r>
        <w:t>school</w:t>
      </w:r>
      <w:r>
        <w:rPr>
          <w:spacing w:val="-13"/>
        </w:rPr>
        <w:t xml:space="preserve"> </w:t>
      </w:r>
      <w:r>
        <w:t>peer</w:t>
      </w:r>
      <w:r>
        <w:rPr>
          <w:spacing w:val="-12"/>
        </w:rPr>
        <w:t xml:space="preserve"> </w:t>
      </w:r>
      <w:r>
        <w:t>leadership</w:t>
      </w:r>
      <w:r>
        <w:rPr>
          <w:spacing w:val="-12"/>
        </w:rPr>
        <w:t xml:space="preserve"> </w:t>
      </w:r>
      <w:r>
        <w:t>program</w:t>
      </w:r>
      <w:r>
        <w:rPr>
          <w:spacing w:val="-13"/>
        </w:rPr>
        <w:t xml:space="preserve"> </w:t>
      </w:r>
      <w:r>
        <w:t>designed</w:t>
      </w:r>
      <w:r>
        <w:rPr>
          <w:spacing w:val="-12"/>
        </w:rPr>
        <w:t xml:space="preserve"> </w:t>
      </w:r>
      <w:r>
        <w:t>to</w:t>
      </w:r>
      <w:r>
        <w:rPr>
          <w:spacing w:val="-13"/>
        </w:rPr>
        <w:t xml:space="preserve"> </w:t>
      </w:r>
      <w:r>
        <w:t>promote</w:t>
      </w:r>
      <w:r>
        <w:rPr>
          <w:spacing w:val="-12"/>
        </w:rPr>
        <w:t xml:space="preserve"> </w:t>
      </w:r>
      <w:r>
        <w:t xml:space="preserve">healthy relationships and change attitudes towards teen dating violence through peer education. </w:t>
      </w:r>
      <w:hyperlink w:anchor="_bookmark250" w:history="1">
        <w:r>
          <w:rPr>
            <w:vertAlign w:val="superscript"/>
          </w:rPr>
          <w:t>156</w:t>
        </w:r>
      </w:hyperlink>
      <w:r>
        <w:t xml:space="preserve"> Advocates</w:t>
      </w:r>
      <w:r>
        <w:rPr>
          <w:spacing w:val="-13"/>
        </w:rPr>
        <w:t xml:space="preserve"> </w:t>
      </w:r>
      <w:r>
        <w:t>for</w:t>
      </w:r>
      <w:r>
        <w:rPr>
          <w:spacing w:val="-12"/>
        </w:rPr>
        <w:t xml:space="preserve"> </w:t>
      </w:r>
      <w:r>
        <w:t>Youth,</w:t>
      </w:r>
      <w:r>
        <w:rPr>
          <w:spacing w:val="-13"/>
        </w:rPr>
        <w:t xml:space="preserve"> </w:t>
      </w:r>
      <w:r>
        <w:t>a</w:t>
      </w:r>
      <w:r>
        <w:rPr>
          <w:spacing w:val="-12"/>
        </w:rPr>
        <w:t xml:space="preserve"> </w:t>
      </w:r>
      <w:r>
        <w:t>youth-led</w:t>
      </w:r>
      <w:r>
        <w:rPr>
          <w:spacing w:val="-13"/>
        </w:rPr>
        <w:t xml:space="preserve"> </w:t>
      </w:r>
      <w:r>
        <w:t>and</w:t>
      </w:r>
      <w:r>
        <w:rPr>
          <w:spacing w:val="-12"/>
        </w:rPr>
        <w:t xml:space="preserve"> </w:t>
      </w:r>
      <w:r>
        <w:t>adult-supported</w:t>
      </w:r>
      <w:r>
        <w:rPr>
          <w:spacing w:val="-13"/>
        </w:rPr>
        <w:t xml:space="preserve"> </w:t>
      </w:r>
      <w:r>
        <w:t>sexual</w:t>
      </w:r>
      <w:r>
        <w:rPr>
          <w:spacing w:val="-12"/>
        </w:rPr>
        <w:t xml:space="preserve"> </w:t>
      </w:r>
      <w:r>
        <w:t>health</w:t>
      </w:r>
      <w:r>
        <w:rPr>
          <w:spacing w:val="-12"/>
        </w:rPr>
        <w:t xml:space="preserve"> </w:t>
      </w:r>
      <w:r>
        <w:t>and</w:t>
      </w:r>
      <w:r>
        <w:rPr>
          <w:spacing w:val="-13"/>
        </w:rPr>
        <w:t xml:space="preserve"> </w:t>
      </w:r>
      <w:r>
        <w:t>reproductive</w:t>
      </w:r>
      <w:r>
        <w:rPr>
          <w:spacing w:val="-12"/>
        </w:rPr>
        <w:t xml:space="preserve"> </w:t>
      </w:r>
      <w:r>
        <w:t>justice</w:t>
      </w:r>
      <w:r>
        <w:rPr>
          <w:spacing w:val="-13"/>
        </w:rPr>
        <w:t xml:space="preserve"> </w:t>
      </w:r>
      <w:r>
        <w:t>advocacy group, continues to lea</w:t>
      </w:r>
      <w:r>
        <w:t>d the charge on today’s most relevant and pressing reproductive justice issues.</w:t>
      </w:r>
      <w:r>
        <w:rPr>
          <w:spacing w:val="-8"/>
        </w:rPr>
        <w:t xml:space="preserve"> </w:t>
      </w:r>
      <w:hyperlink w:anchor="_bookmark251" w:history="1">
        <w:r>
          <w:rPr>
            <w:vertAlign w:val="superscript"/>
          </w:rPr>
          <w:t>157</w:t>
        </w:r>
      </w:hyperlink>
      <w:r>
        <w:t xml:space="preserve"> Lastly, Winthrop CASA, a local organization that supports youth through community engagement, has a public health Youth Advisory Board that </w:t>
      </w:r>
      <w:r>
        <w:t>helps develop CASA’s programming.</w:t>
      </w:r>
      <w:hyperlink w:anchor="_bookmark252" w:history="1">
        <w:r>
          <w:rPr>
            <w:vertAlign w:val="superscript"/>
          </w:rPr>
          <w:t>158</w:t>
        </w:r>
      </w:hyperlink>
      <w:r>
        <w:t xml:space="preserve"> The Commission highlights the important need of funding and supporting LGBTQ-specific youth groups</w:t>
      </w:r>
      <w:r>
        <w:rPr>
          <w:spacing w:val="-8"/>
        </w:rPr>
        <w:t xml:space="preserve"> </w:t>
      </w:r>
      <w:r>
        <w:t>and</w:t>
      </w:r>
      <w:r>
        <w:rPr>
          <w:spacing w:val="-9"/>
        </w:rPr>
        <w:t xml:space="preserve"> </w:t>
      </w:r>
      <w:r>
        <w:t>advocacy</w:t>
      </w:r>
      <w:r>
        <w:rPr>
          <w:spacing w:val="-10"/>
        </w:rPr>
        <w:t xml:space="preserve"> </w:t>
      </w:r>
      <w:r>
        <w:t>organizations,</w:t>
      </w:r>
      <w:r>
        <w:rPr>
          <w:spacing w:val="-8"/>
        </w:rPr>
        <w:t xml:space="preserve"> </w:t>
      </w:r>
      <w:r>
        <w:t>as</w:t>
      </w:r>
      <w:r>
        <w:rPr>
          <w:spacing w:val="-8"/>
        </w:rPr>
        <w:t xml:space="preserve"> </w:t>
      </w:r>
      <w:r>
        <w:t>there</w:t>
      </w:r>
      <w:r>
        <w:rPr>
          <w:spacing w:val="-7"/>
        </w:rPr>
        <w:t xml:space="preserve"> </w:t>
      </w:r>
      <w:r>
        <w:t>remain</w:t>
      </w:r>
      <w:r>
        <w:rPr>
          <w:spacing w:val="-11"/>
        </w:rPr>
        <w:t xml:space="preserve"> </w:t>
      </w:r>
      <w:r>
        <w:t>very</w:t>
      </w:r>
      <w:r>
        <w:rPr>
          <w:spacing w:val="-7"/>
        </w:rPr>
        <w:t xml:space="preserve"> </w:t>
      </w:r>
      <w:r>
        <w:t>few</w:t>
      </w:r>
      <w:r>
        <w:rPr>
          <w:spacing w:val="-10"/>
        </w:rPr>
        <w:t xml:space="preserve"> </w:t>
      </w:r>
      <w:r>
        <w:t>in</w:t>
      </w:r>
      <w:r>
        <w:rPr>
          <w:spacing w:val="-9"/>
        </w:rPr>
        <w:t xml:space="preserve"> </w:t>
      </w:r>
      <w:r>
        <w:t>the</w:t>
      </w:r>
      <w:r>
        <w:rPr>
          <w:spacing w:val="-10"/>
        </w:rPr>
        <w:t xml:space="preserve"> </w:t>
      </w:r>
      <w:r>
        <w:t>more</w:t>
      </w:r>
      <w:r>
        <w:rPr>
          <w:spacing w:val="-7"/>
        </w:rPr>
        <w:t xml:space="preserve"> </w:t>
      </w:r>
      <w:r>
        <w:t>rural</w:t>
      </w:r>
      <w:r>
        <w:rPr>
          <w:spacing w:val="-8"/>
        </w:rPr>
        <w:t xml:space="preserve"> </w:t>
      </w:r>
      <w:r>
        <w:t>and</w:t>
      </w:r>
      <w:r>
        <w:rPr>
          <w:spacing w:val="-9"/>
        </w:rPr>
        <w:t xml:space="preserve"> </w:t>
      </w:r>
      <w:r>
        <w:t>underserved</w:t>
      </w:r>
      <w:r>
        <w:rPr>
          <w:spacing w:val="-9"/>
        </w:rPr>
        <w:t xml:space="preserve"> </w:t>
      </w:r>
      <w:r>
        <w:t>a</w:t>
      </w:r>
      <w:r>
        <w:t>reas of the state.</w:t>
      </w:r>
    </w:p>
    <w:p w:rsidR="00200FDA" w:rsidRDefault="00200FDA">
      <w:pPr>
        <w:pStyle w:val="BodyText"/>
        <w:spacing w:before="9"/>
        <w:rPr>
          <w:sz w:val="19"/>
        </w:rPr>
      </w:pPr>
    </w:p>
    <w:p w:rsidR="00200FDA" w:rsidRDefault="00F76C4C">
      <w:pPr>
        <w:pStyle w:val="BodyText"/>
        <w:spacing w:line="276" w:lineRule="auto"/>
        <w:ind w:left="140" w:right="394"/>
        <w:jc w:val="both"/>
      </w:pPr>
      <w:r>
        <w:t>The following table illustrates some of the organizations that are currently serving LGBTQ youths in Massachusetts, from social</w:t>
      </w:r>
      <w:r>
        <w:rPr>
          <w:spacing w:val="-1"/>
        </w:rPr>
        <w:t xml:space="preserve"> </w:t>
      </w:r>
      <w:r>
        <w:t>clubs and family support networks to advocacy groups and legal</w:t>
      </w:r>
      <w:r>
        <w:rPr>
          <w:spacing w:val="-1"/>
        </w:rPr>
        <w:t xml:space="preserve"> </w:t>
      </w:r>
      <w:r>
        <w:t xml:space="preserve">counsel. Many of these organizations rely on peer education, peer mentorship, or youth leadership council </w:t>
      </w:r>
      <w:r>
        <w:rPr>
          <w:spacing w:val="-2"/>
        </w:rPr>
        <w:t>models.</w:t>
      </w:r>
    </w:p>
    <w:p w:rsidR="00200FDA" w:rsidRDefault="00200FDA">
      <w:pPr>
        <w:spacing w:line="276" w:lineRule="auto"/>
        <w:jc w:val="both"/>
        <w:sectPr w:rsidR="00200FDA">
          <w:pgSz w:w="11910" w:h="16840"/>
          <w:pgMar w:top="1100" w:right="1040" w:bottom="1260" w:left="1300" w:header="761" w:footer="1062" w:gutter="0"/>
          <w:cols w:space="720"/>
        </w:sectPr>
      </w:pPr>
    </w:p>
    <w:p w:rsidR="00200FDA" w:rsidRDefault="00200FDA">
      <w:pPr>
        <w:pStyle w:val="BodyText"/>
        <w:spacing w:before="8"/>
        <w:rPr>
          <w:sz w:val="12"/>
        </w:rPr>
      </w:pPr>
    </w:p>
    <w:tbl>
      <w:tblPr>
        <w:tblW w:w="0" w:type="auto"/>
        <w:tblInd w:w="149" w:type="dxa"/>
        <w:tblLayout w:type="fixed"/>
        <w:tblCellMar>
          <w:left w:w="0" w:type="dxa"/>
          <w:right w:w="0" w:type="dxa"/>
        </w:tblCellMar>
        <w:tblLook w:val="01E0" w:firstRow="1" w:lastRow="1" w:firstColumn="1" w:lastColumn="1" w:noHBand="0" w:noVBand="0"/>
      </w:tblPr>
      <w:tblGrid>
        <w:gridCol w:w="5060"/>
        <w:gridCol w:w="3957"/>
      </w:tblGrid>
      <w:tr w:rsidR="00200FDA">
        <w:trPr>
          <w:trHeight w:val="309"/>
        </w:trPr>
        <w:tc>
          <w:tcPr>
            <w:tcW w:w="9017" w:type="dxa"/>
            <w:gridSpan w:val="2"/>
            <w:tcBorders>
              <w:top w:val="single" w:sz="4" w:space="0" w:color="000000"/>
              <w:left w:val="single" w:sz="4" w:space="0" w:color="000000"/>
              <w:right w:val="single" w:sz="4" w:space="0" w:color="000000"/>
            </w:tcBorders>
            <w:shd w:val="clear" w:color="auto" w:fill="C6E1F9"/>
          </w:tcPr>
          <w:p w:rsidR="00200FDA" w:rsidRDefault="00F76C4C">
            <w:pPr>
              <w:pStyle w:val="TableParagraph"/>
              <w:ind w:left="2154" w:right="2145"/>
              <w:rPr>
                <w:b/>
              </w:rPr>
            </w:pPr>
            <w:r>
              <w:rPr>
                <w:b/>
                <w:color w:val="0A5293"/>
              </w:rPr>
              <w:t>Local</w:t>
            </w:r>
            <w:r>
              <w:rPr>
                <w:b/>
                <w:color w:val="0A5293"/>
                <w:spacing w:val="-4"/>
              </w:rPr>
              <w:t xml:space="preserve"> </w:t>
            </w:r>
            <w:r>
              <w:rPr>
                <w:b/>
                <w:color w:val="0A5293"/>
              </w:rPr>
              <w:t>and</w:t>
            </w:r>
            <w:r>
              <w:rPr>
                <w:b/>
                <w:color w:val="0A5293"/>
                <w:spacing w:val="-5"/>
              </w:rPr>
              <w:t xml:space="preserve"> </w:t>
            </w:r>
            <w:r>
              <w:rPr>
                <w:b/>
                <w:color w:val="0A5293"/>
              </w:rPr>
              <w:t>National</w:t>
            </w:r>
            <w:r>
              <w:rPr>
                <w:b/>
                <w:color w:val="0A5293"/>
                <w:spacing w:val="-3"/>
              </w:rPr>
              <w:t xml:space="preserve"> </w:t>
            </w:r>
            <w:r>
              <w:rPr>
                <w:b/>
                <w:color w:val="0A5293"/>
              </w:rPr>
              <w:t>LGBTQ</w:t>
            </w:r>
            <w:r>
              <w:rPr>
                <w:b/>
                <w:color w:val="0A5293"/>
                <w:spacing w:val="-6"/>
              </w:rPr>
              <w:t xml:space="preserve"> </w:t>
            </w:r>
            <w:r>
              <w:rPr>
                <w:b/>
                <w:color w:val="0A5293"/>
              </w:rPr>
              <w:t>Youth</w:t>
            </w:r>
            <w:r>
              <w:rPr>
                <w:b/>
                <w:color w:val="0A5293"/>
                <w:spacing w:val="-5"/>
              </w:rPr>
              <w:t xml:space="preserve"> </w:t>
            </w:r>
            <w:r>
              <w:rPr>
                <w:b/>
                <w:color w:val="0A5293"/>
              </w:rPr>
              <w:t>Support</w:t>
            </w:r>
            <w:r>
              <w:rPr>
                <w:b/>
                <w:color w:val="0A5293"/>
                <w:spacing w:val="-4"/>
              </w:rPr>
              <w:t xml:space="preserve"> </w:t>
            </w:r>
            <w:r>
              <w:rPr>
                <w:b/>
                <w:color w:val="0A5293"/>
                <w:spacing w:val="-2"/>
              </w:rPr>
              <w:t>Resources</w:t>
            </w:r>
          </w:p>
        </w:tc>
      </w:tr>
      <w:tr w:rsidR="00200FDA">
        <w:trPr>
          <w:trHeight w:val="309"/>
        </w:trPr>
        <w:tc>
          <w:tcPr>
            <w:tcW w:w="5060" w:type="dxa"/>
            <w:tcBorders>
              <w:left w:val="single" w:sz="4" w:space="0" w:color="000000"/>
            </w:tcBorders>
          </w:tcPr>
          <w:p w:rsidR="00200FDA" w:rsidRDefault="00F76C4C">
            <w:pPr>
              <w:pStyle w:val="TableParagraph"/>
              <w:ind w:left="170" w:right="182"/>
            </w:pPr>
            <w:r>
              <w:rPr>
                <w:color w:val="0A5293"/>
              </w:rPr>
              <w:t>Advocates</w:t>
            </w:r>
            <w:r>
              <w:rPr>
                <w:color w:val="0A5293"/>
                <w:spacing w:val="-3"/>
              </w:rPr>
              <w:t xml:space="preserve"> </w:t>
            </w:r>
            <w:r>
              <w:rPr>
                <w:color w:val="0A5293"/>
              </w:rPr>
              <w:t>for</w:t>
            </w:r>
            <w:r>
              <w:rPr>
                <w:color w:val="0A5293"/>
                <w:spacing w:val="-4"/>
              </w:rPr>
              <w:t xml:space="preserve"> </w:t>
            </w:r>
            <w:r>
              <w:rPr>
                <w:color w:val="0A5293"/>
                <w:spacing w:val="-2"/>
              </w:rPr>
              <w:t>Youth</w:t>
            </w:r>
          </w:p>
        </w:tc>
        <w:tc>
          <w:tcPr>
            <w:tcW w:w="3957" w:type="dxa"/>
            <w:tcBorders>
              <w:right w:val="single" w:sz="4" w:space="0" w:color="000000"/>
            </w:tcBorders>
          </w:tcPr>
          <w:p w:rsidR="00200FDA" w:rsidRDefault="00F76C4C">
            <w:pPr>
              <w:pStyle w:val="TableParagraph"/>
              <w:ind w:left="192" w:right="196"/>
            </w:pPr>
            <w:r>
              <w:rPr>
                <w:color w:val="0A5293"/>
              </w:rPr>
              <w:t>Hispanic</w:t>
            </w:r>
            <w:r>
              <w:rPr>
                <w:color w:val="0A5293"/>
                <w:spacing w:val="-6"/>
              </w:rPr>
              <w:t xml:space="preserve"> </w:t>
            </w:r>
            <w:r>
              <w:rPr>
                <w:color w:val="0A5293"/>
              </w:rPr>
              <w:t>Black</w:t>
            </w:r>
            <w:r>
              <w:rPr>
                <w:color w:val="0A5293"/>
                <w:spacing w:val="-5"/>
              </w:rPr>
              <w:t xml:space="preserve"> </w:t>
            </w:r>
            <w:r>
              <w:rPr>
                <w:color w:val="0A5293"/>
              </w:rPr>
              <w:t>Gay</w:t>
            </w:r>
            <w:r>
              <w:rPr>
                <w:color w:val="0A5293"/>
                <w:spacing w:val="-5"/>
              </w:rPr>
              <w:t xml:space="preserve"> </w:t>
            </w:r>
            <w:r>
              <w:rPr>
                <w:color w:val="0A5293"/>
              </w:rPr>
              <w:t>Coalition</w:t>
            </w:r>
            <w:r>
              <w:rPr>
                <w:color w:val="0A5293"/>
                <w:spacing w:val="-6"/>
              </w:rPr>
              <w:t xml:space="preserve"> </w:t>
            </w:r>
            <w:r>
              <w:rPr>
                <w:color w:val="0A5293"/>
                <w:spacing w:val="-2"/>
              </w:rPr>
              <w:t>(HBGC)</w:t>
            </w:r>
          </w:p>
        </w:tc>
      </w:tr>
      <w:tr w:rsidR="00200FDA">
        <w:trPr>
          <w:trHeight w:val="307"/>
        </w:trPr>
        <w:tc>
          <w:tcPr>
            <w:tcW w:w="5060" w:type="dxa"/>
            <w:tcBorders>
              <w:left w:val="single" w:sz="4" w:space="0" w:color="000000"/>
            </w:tcBorders>
            <w:shd w:val="clear" w:color="auto" w:fill="C6E1F9"/>
          </w:tcPr>
          <w:p w:rsidR="00200FDA" w:rsidRDefault="00F76C4C">
            <w:pPr>
              <w:pStyle w:val="TableParagraph"/>
              <w:ind w:left="170" w:right="181"/>
            </w:pPr>
            <w:r>
              <w:rPr>
                <w:color w:val="0A5293"/>
              </w:rPr>
              <w:t>AIDS</w:t>
            </w:r>
            <w:r>
              <w:rPr>
                <w:color w:val="0A5293"/>
                <w:spacing w:val="-5"/>
              </w:rPr>
              <w:t xml:space="preserve"> </w:t>
            </w:r>
            <w:r>
              <w:rPr>
                <w:color w:val="0A5293"/>
              </w:rPr>
              <w:t>Action</w:t>
            </w:r>
            <w:r>
              <w:rPr>
                <w:color w:val="0A5293"/>
                <w:spacing w:val="-5"/>
              </w:rPr>
              <w:t xml:space="preserve"> </w:t>
            </w:r>
            <w:r>
              <w:rPr>
                <w:color w:val="0A5293"/>
              </w:rPr>
              <w:t>Committee</w:t>
            </w:r>
            <w:r>
              <w:rPr>
                <w:color w:val="0A5293"/>
                <w:spacing w:val="-5"/>
              </w:rPr>
              <w:t xml:space="preserve"> </w:t>
            </w:r>
            <w:r>
              <w:rPr>
                <w:color w:val="0A5293"/>
                <w:spacing w:val="-2"/>
              </w:rPr>
              <w:t>Massachusetts</w:t>
            </w:r>
          </w:p>
        </w:tc>
        <w:tc>
          <w:tcPr>
            <w:tcW w:w="3957" w:type="dxa"/>
            <w:tcBorders>
              <w:right w:val="single" w:sz="4" w:space="0" w:color="000000"/>
            </w:tcBorders>
            <w:shd w:val="clear" w:color="auto" w:fill="C6E1F9"/>
          </w:tcPr>
          <w:p w:rsidR="00200FDA" w:rsidRDefault="00F76C4C">
            <w:pPr>
              <w:pStyle w:val="TableParagraph"/>
              <w:ind w:left="192" w:right="193"/>
            </w:pPr>
            <w:r>
              <w:rPr>
                <w:color w:val="0A5293"/>
              </w:rPr>
              <w:t>It</w:t>
            </w:r>
            <w:r>
              <w:rPr>
                <w:color w:val="0A5293"/>
                <w:spacing w:val="-1"/>
              </w:rPr>
              <w:t xml:space="preserve"> </w:t>
            </w:r>
            <w:r>
              <w:rPr>
                <w:color w:val="0A5293"/>
              </w:rPr>
              <w:t>Gets</w:t>
            </w:r>
            <w:r>
              <w:rPr>
                <w:color w:val="0A5293"/>
                <w:spacing w:val="-4"/>
              </w:rPr>
              <w:t xml:space="preserve"> </w:t>
            </w:r>
            <w:r>
              <w:rPr>
                <w:color w:val="0A5293"/>
              </w:rPr>
              <w:t>Better</w:t>
            </w:r>
            <w:r>
              <w:rPr>
                <w:color w:val="0A5293"/>
                <w:spacing w:val="-4"/>
              </w:rPr>
              <w:t xml:space="preserve"> </w:t>
            </w:r>
            <w:r>
              <w:rPr>
                <w:color w:val="0A5293"/>
                <w:spacing w:val="-2"/>
              </w:rPr>
              <w:t>Project</w:t>
            </w:r>
          </w:p>
        </w:tc>
      </w:tr>
      <w:tr w:rsidR="00200FDA">
        <w:trPr>
          <w:trHeight w:val="309"/>
        </w:trPr>
        <w:tc>
          <w:tcPr>
            <w:tcW w:w="5060" w:type="dxa"/>
            <w:tcBorders>
              <w:left w:val="single" w:sz="4" w:space="0" w:color="000000"/>
            </w:tcBorders>
          </w:tcPr>
          <w:p w:rsidR="00200FDA" w:rsidRDefault="00F76C4C">
            <w:pPr>
              <w:pStyle w:val="TableParagraph"/>
              <w:ind w:left="170" w:right="183"/>
            </w:pPr>
            <w:r>
              <w:rPr>
                <w:color w:val="0A5293"/>
              </w:rPr>
              <w:t>AIDS</w:t>
            </w:r>
            <w:r>
              <w:rPr>
                <w:color w:val="0A5293"/>
                <w:spacing w:val="-5"/>
              </w:rPr>
              <w:t xml:space="preserve"> </w:t>
            </w:r>
            <w:r>
              <w:rPr>
                <w:color w:val="0A5293"/>
              </w:rPr>
              <w:t>Project</w:t>
            </w:r>
            <w:r>
              <w:rPr>
                <w:color w:val="0A5293"/>
                <w:spacing w:val="-5"/>
              </w:rPr>
              <w:t xml:space="preserve"> </w:t>
            </w:r>
            <w:r>
              <w:rPr>
                <w:color w:val="0A5293"/>
              </w:rPr>
              <w:t>Worcester</w:t>
            </w:r>
            <w:r>
              <w:rPr>
                <w:color w:val="0A5293"/>
                <w:spacing w:val="-3"/>
              </w:rPr>
              <w:t xml:space="preserve"> </w:t>
            </w:r>
            <w:r>
              <w:rPr>
                <w:color w:val="0A5293"/>
                <w:spacing w:val="-4"/>
              </w:rPr>
              <w:t>(APW)</w:t>
            </w:r>
          </w:p>
        </w:tc>
        <w:tc>
          <w:tcPr>
            <w:tcW w:w="3957" w:type="dxa"/>
            <w:tcBorders>
              <w:right w:val="single" w:sz="4" w:space="0" w:color="000000"/>
            </w:tcBorders>
          </w:tcPr>
          <w:p w:rsidR="00200FDA" w:rsidRDefault="00F76C4C">
            <w:pPr>
              <w:pStyle w:val="TableParagraph"/>
              <w:ind w:left="192" w:right="193"/>
            </w:pPr>
            <w:r>
              <w:rPr>
                <w:color w:val="0A5293"/>
              </w:rPr>
              <w:t>Lesbians</w:t>
            </w:r>
            <w:r>
              <w:rPr>
                <w:color w:val="0A5293"/>
                <w:spacing w:val="-6"/>
              </w:rPr>
              <w:t xml:space="preserve"> </w:t>
            </w:r>
            <w:r>
              <w:rPr>
                <w:color w:val="0A5293"/>
              </w:rPr>
              <w:t>of</w:t>
            </w:r>
            <w:r>
              <w:rPr>
                <w:color w:val="0A5293"/>
                <w:spacing w:val="-4"/>
              </w:rPr>
              <w:t xml:space="preserve"> </w:t>
            </w:r>
            <w:r>
              <w:rPr>
                <w:color w:val="0A5293"/>
              </w:rPr>
              <w:t>Color</w:t>
            </w:r>
            <w:r>
              <w:rPr>
                <w:color w:val="0A5293"/>
                <w:spacing w:val="-4"/>
              </w:rPr>
              <w:t xml:space="preserve"> </w:t>
            </w:r>
            <w:r>
              <w:rPr>
                <w:color w:val="0A5293"/>
              </w:rPr>
              <w:t>Symposium</w:t>
            </w:r>
            <w:r>
              <w:rPr>
                <w:color w:val="0A5293"/>
                <w:spacing w:val="-2"/>
              </w:rPr>
              <w:t xml:space="preserve"> (LOCS)</w:t>
            </w:r>
          </w:p>
        </w:tc>
      </w:tr>
      <w:tr w:rsidR="00200FDA">
        <w:trPr>
          <w:trHeight w:val="616"/>
        </w:trPr>
        <w:tc>
          <w:tcPr>
            <w:tcW w:w="5060" w:type="dxa"/>
            <w:tcBorders>
              <w:left w:val="single" w:sz="4" w:space="0" w:color="000000"/>
            </w:tcBorders>
            <w:shd w:val="clear" w:color="auto" w:fill="C6E1F9"/>
          </w:tcPr>
          <w:p w:rsidR="00200FDA" w:rsidRDefault="00F76C4C">
            <w:pPr>
              <w:pStyle w:val="TableParagraph"/>
              <w:ind w:left="170" w:right="184"/>
            </w:pPr>
            <w:r>
              <w:rPr>
                <w:color w:val="0A5293"/>
              </w:rPr>
              <w:t>BAGLY</w:t>
            </w:r>
            <w:r>
              <w:rPr>
                <w:color w:val="0A5293"/>
                <w:spacing w:val="-6"/>
              </w:rPr>
              <w:t xml:space="preserve"> </w:t>
            </w:r>
            <w:r>
              <w:rPr>
                <w:color w:val="0A5293"/>
              </w:rPr>
              <w:t>(The</w:t>
            </w:r>
            <w:r>
              <w:rPr>
                <w:color w:val="0A5293"/>
                <w:spacing w:val="-3"/>
              </w:rPr>
              <w:t xml:space="preserve"> </w:t>
            </w:r>
            <w:r>
              <w:rPr>
                <w:color w:val="0A5293"/>
              </w:rPr>
              <w:t>Boston</w:t>
            </w:r>
            <w:r>
              <w:rPr>
                <w:color w:val="0A5293"/>
                <w:spacing w:val="-5"/>
              </w:rPr>
              <w:t xml:space="preserve"> </w:t>
            </w:r>
            <w:r>
              <w:rPr>
                <w:color w:val="0A5293"/>
              </w:rPr>
              <w:t>Alliance</w:t>
            </w:r>
            <w:r>
              <w:rPr>
                <w:color w:val="0A5293"/>
                <w:spacing w:val="-2"/>
              </w:rPr>
              <w:t xml:space="preserve"> </w:t>
            </w:r>
            <w:r>
              <w:rPr>
                <w:color w:val="0A5293"/>
              </w:rPr>
              <w:t>of</w:t>
            </w:r>
            <w:r>
              <w:rPr>
                <w:color w:val="0A5293"/>
                <w:spacing w:val="-6"/>
              </w:rPr>
              <w:t xml:space="preserve"> </w:t>
            </w:r>
            <w:r>
              <w:rPr>
                <w:color w:val="0A5293"/>
              </w:rPr>
              <w:t>Gay,</w:t>
            </w:r>
            <w:r>
              <w:rPr>
                <w:color w:val="0A5293"/>
                <w:spacing w:val="-4"/>
              </w:rPr>
              <w:t xml:space="preserve"> </w:t>
            </w:r>
            <w:r>
              <w:rPr>
                <w:color w:val="0A5293"/>
              </w:rPr>
              <w:t>Lesbian,</w:t>
            </w:r>
            <w:r>
              <w:rPr>
                <w:color w:val="0A5293"/>
                <w:spacing w:val="-3"/>
              </w:rPr>
              <w:t xml:space="preserve"> </w:t>
            </w:r>
            <w:r>
              <w:rPr>
                <w:color w:val="0A5293"/>
                <w:spacing w:val="-2"/>
              </w:rPr>
              <w:t>Bisexual</w:t>
            </w:r>
          </w:p>
          <w:p w:rsidR="00200FDA" w:rsidRDefault="00F76C4C">
            <w:pPr>
              <w:pStyle w:val="TableParagraph"/>
              <w:spacing w:before="41" w:line="240" w:lineRule="auto"/>
              <w:ind w:left="170" w:right="183"/>
            </w:pPr>
            <w:r>
              <w:rPr>
                <w:color w:val="0A5293"/>
              </w:rPr>
              <w:t>and</w:t>
            </w:r>
            <w:r>
              <w:rPr>
                <w:color w:val="0A5293"/>
                <w:spacing w:val="-5"/>
              </w:rPr>
              <w:t xml:space="preserve"> </w:t>
            </w:r>
            <w:r>
              <w:rPr>
                <w:color w:val="0A5293"/>
              </w:rPr>
              <w:t>Transgender</w:t>
            </w:r>
            <w:r>
              <w:rPr>
                <w:color w:val="0A5293"/>
                <w:spacing w:val="-4"/>
              </w:rPr>
              <w:t xml:space="preserve"> </w:t>
            </w:r>
            <w:r>
              <w:rPr>
                <w:color w:val="0A5293"/>
                <w:spacing w:val="-2"/>
              </w:rPr>
              <w:t>Youth)</w:t>
            </w:r>
          </w:p>
        </w:tc>
        <w:tc>
          <w:tcPr>
            <w:tcW w:w="3957" w:type="dxa"/>
            <w:tcBorders>
              <w:right w:val="single" w:sz="4" w:space="0" w:color="000000"/>
            </w:tcBorders>
            <w:shd w:val="clear" w:color="auto" w:fill="C6E1F9"/>
          </w:tcPr>
          <w:p w:rsidR="00200FDA" w:rsidRDefault="00F76C4C">
            <w:pPr>
              <w:pStyle w:val="TableParagraph"/>
              <w:ind w:left="192" w:right="196"/>
            </w:pPr>
            <w:r>
              <w:rPr>
                <w:color w:val="0A5293"/>
              </w:rPr>
              <w:t>MAP</w:t>
            </w:r>
            <w:r>
              <w:rPr>
                <w:color w:val="0A5293"/>
                <w:spacing w:val="-4"/>
              </w:rPr>
              <w:t xml:space="preserve"> </w:t>
            </w:r>
            <w:r>
              <w:rPr>
                <w:color w:val="0A5293"/>
              </w:rPr>
              <w:t>(Massachusetts</w:t>
            </w:r>
            <w:r>
              <w:rPr>
                <w:color w:val="0A5293"/>
                <w:spacing w:val="-4"/>
              </w:rPr>
              <w:t xml:space="preserve"> </w:t>
            </w:r>
            <w:r>
              <w:rPr>
                <w:color w:val="0A5293"/>
              </w:rPr>
              <w:t>Asian</w:t>
            </w:r>
            <w:r>
              <w:rPr>
                <w:color w:val="0A5293"/>
                <w:spacing w:val="-5"/>
              </w:rPr>
              <w:t xml:space="preserve"> </w:t>
            </w:r>
            <w:r>
              <w:rPr>
                <w:color w:val="0A5293"/>
              </w:rPr>
              <w:t>+</w:t>
            </w:r>
            <w:r>
              <w:rPr>
                <w:color w:val="0A5293"/>
                <w:spacing w:val="-2"/>
              </w:rPr>
              <w:t xml:space="preserve"> Pacific</w:t>
            </w:r>
          </w:p>
          <w:p w:rsidR="00200FDA" w:rsidRDefault="00F76C4C">
            <w:pPr>
              <w:pStyle w:val="TableParagraph"/>
              <w:spacing w:before="41" w:line="240" w:lineRule="auto"/>
              <w:ind w:left="192" w:right="194"/>
            </w:pPr>
            <w:r>
              <w:rPr>
                <w:color w:val="0A5293"/>
              </w:rPr>
              <w:t>Islanders)</w:t>
            </w:r>
            <w:r>
              <w:rPr>
                <w:color w:val="0A5293"/>
                <w:spacing w:val="-5"/>
              </w:rPr>
              <w:t xml:space="preserve"> </w:t>
            </w:r>
            <w:r>
              <w:rPr>
                <w:color w:val="0A5293"/>
              </w:rPr>
              <w:t>for</w:t>
            </w:r>
            <w:r>
              <w:rPr>
                <w:color w:val="0A5293"/>
                <w:spacing w:val="-4"/>
              </w:rPr>
              <w:t xml:space="preserve"> </w:t>
            </w:r>
            <w:r>
              <w:rPr>
                <w:color w:val="0A5293"/>
                <w:spacing w:val="-2"/>
              </w:rPr>
              <w:t>Health</w:t>
            </w:r>
          </w:p>
        </w:tc>
      </w:tr>
      <w:tr w:rsidR="00200FDA">
        <w:trPr>
          <w:trHeight w:val="309"/>
        </w:trPr>
        <w:tc>
          <w:tcPr>
            <w:tcW w:w="5060" w:type="dxa"/>
            <w:tcBorders>
              <w:left w:val="single" w:sz="4" w:space="0" w:color="000000"/>
            </w:tcBorders>
          </w:tcPr>
          <w:p w:rsidR="00200FDA" w:rsidRDefault="00F76C4C">
            <w:pPr>
              <w:pStyle w:val="TableParagraph"/>
              <w:ind w:left="170" w:right="184"/>
            </w:pPr>
            <w:r>
              <w:rPr>
                <w:color w:val="0A5293"/>
              </w:rPr>
              <w:t>Boston</w:t>
            </w:r>
            <w:r>
              <w:rPr>
                <w:color w:val="0A5293"/>
                <w:spacing w:val="-6"/>
              </w:rPr>
              <w:t xml:space="preserve"> </w:t>
            </w:r>
            <w:r>
              <w:rPr>
                <w:color w:val="0A5293"/>
              </w:rPr>
              <w:t>Area</w:t>
            </w:r>
            <w:r>
              <w:rPr>
                <w:color w:val="0A5293"/>
                <w:spacing w:val="-6"/>
              </w:rPr>
              <w:t xml:space="preserve"> </w:t>
            </w:r>
            <w:r>
              <w:rPr>
                <w:color w:val="0A5293"/>
              </w:rPr>
              <w:t>Transgender</w:t>
            </w:r>
            <w:r>
              <w:rPr>
                <w:color w:val="0A5293"/>
                <w:spacing w:val="-5"/>
              </w:rPr>
              <w:t xml:space="preserve"> </w:t>
            </w:r>
            <w:r>
              <w:rPr>
                <w:color w:val="0A5293"/>
              </w:rPr>
              <w:t>Support</w:t>
            </w:r>
            <w:r>
              <w:rPr>
                <w:color w:val="0A5293"/>
                <w:spacing w:val="-3"/>
              </w:rPr>
              <w:t xml:space="preserve"> </w:t>
            </w:r>
            <w:r>
              <w:rPr>
                <w:color w:val="0A5293"/>
                <w:spacing w:val="-2"/>
              </w:rPr>
              <w:t>(BATS)</w:t>
            </w:r>
          </w:p>
        </w:tc>
        <w:tc>
          <w:tcPr>
            <w:tcW w:w="3957" w:type="dxa"/>
            <w:tcBorders>
              <w:right w:val="single" w:sz="4" w:space="0" w:color="000000"/>
            </w:tcBorders>
          </w:tcPr>
          <w:p w:rsidR="00200FDA" w:rsidRDefault="00F76C4C">
            <w:pPr>
              <w:pStyle w:val="TableParagraph"/>
              <w:ind w:left="192" w:right="193"/>
            </w:pPr>
            <w:r>
              <w:rPr>
                <w:color w:val="0A5293"/>
              </w:rPr>
              <w:t xml:space="preserve">Out </w:t>
            </w:r>
            <w:r>
              <w:rPr>
                <w:color w:val="0A5293"/>
                <w:spacing w:val="-5"/>
              </w:rPr>
              <w:t>Now</w:t>
            </w:r>
          </w:p>
        </w:tc>
      </w:tr>
      <w:tr w:rsidR="00200FDA">
        <w:trPr>
          <w:trHeight w:val="309"/>
        </w:trPr>
        <w:tc>
          <w:tcPr>
            <w:tcW w:w="5060" w:type="dxa"/>
            <w:tcBorders>
              <w:left w:val="single" w:sz="4" w:space="0" w:color="000000"/>
            </w:tcBorders>
            <w:shd w:val="clear" w:color="auto" w:fill="C6E1F9"/>
          </w:tcPr>
          <w:p w:rsidR="00200FDA" w:rsidRDefault="00F76C4C">
            <w:pPr>
              <w:pStyle w:val="TableParagraph"/>
              <w:ind w:left="170" w:right="182"/>
            </w:pPr>
            <w:r>
              <w:rPr>
                <w:color w:val="0A5293"/>
              </w:rPr>
              <w:t>Boston</w:t>
            </w:r>
            <w:r>
              <w:rPr>
                <w:color w:val="0A5293"/>
                <w:spacing w:val="-5"/>
              </w:rPr>
              <w:t xml:space="preserve"> </w:t>
            </w:r>
            <w:r>
              <w:rPr>
                <w:color w:val="0A5293"/>
                <w:spacing w:val="-2"/>
              </w:rPr>
              <w:t>GLASS</w:t>
            </w:r>
          </w:p>
        </w:tc>
        <w:tc>
          <w:tcPr>
            <w:tcW w:w="3957" w:type="dxa"/>
            <w:tcBorders>
              <w:right w:val="single" w:sz="4" w:space="0" w:color="000000"/>
            </w:tcBorders>
            <w:shd w:val="clear" w:color="auto" w:fill="C6E1F9"/>
          </w:tcPr>
          <w:p w:rsidR="00200FDA" w:rsidRDefault="00F76C4C">
            <w:pPr>
              <w:pStyle w:val="TableParagraph"/>
              <w:ind w:left="192" w:right="193"/>
            </w:pPr>
            <w:r>
              <w:rPr>
                <w:color w:val="0A5293"/>
              </w:rPr>
              <w:t>Peer</w:t>
            </w:r>
            <w:r>
              <w:rPr>
                <w:color w:val="0A5293"/>
                <w:spacing w:val="-4"/>
              </w:rPr>
              <w:t xml:space="preserve"> </w:t>
            </w:r>
            <w:r>
              <w:rPr>
                <w:color w:val="0A5293"/>
              </w:rPr>
              <w:t>Health</w:t>
            </w:r>
            <w:r>
              <w:rPr>
                <w:color w:val="0A5293"/>
                <w:spacing w:val="-3"/>
              </w:rPr>
              <w:t xml:space="preserve"> </w:t>
            </w:r>
            <w:r>
              <w:rPr>
                <w:color w:val="0A5293"/>
                <w:spacing w:val="-2"/>
              </w:rPr>
              <w:t>Exchange</w:t>
            </w:r>
          </w:p>
        </w:tc>
      </w:tr>
      <w:tr w:rsidR="00200FDA">
        <w:trPr>
          <w:trHeight w:val="616"/>
        </w:trPr>
        <w:tc>
          <w:tcPr>
            <w:tcW w:w="5060" w:type="dxa"/>
            <w:tcBorders>
              <w:left w:val="single" w:sz="4" w:space="0" w:color="000000"/>
            </w:tcBorders>
          </w:tcPr>
          <w:p w:rsidR="00200FDA" w:rsidRDefault="00F76C4C">
            <w:pPr>
              <w:pStyle w:val="TableParagraph"/>
              <w:ind w:left="167" w:right="184"/>
            </w:pPr>
            <w:r>
              <w:rPr>
                <w:color w:val="0A5293"/>
              </w:rPr>
              <w:t>Cape</w:t>
            </w:r>
            <w:r>
              <w:rPr>
                <w:color w:val="0A5293"/>
                <w:spacing w:val="-3"/>
              </w:rPr>
              <w:t xml:space="preserve"> </w:t>
            </w:r>
            <w:r>
              <w:rPr>
                <w:color w:val="0A5293"/>
              </w:rPr>
              <w:t>and</w:t>
            </w:r>
            <w:r>
              <w:rPr>
                <w:color w:val="0A5293"/>
                <w:spacing w:val="-4"/>
              </w:rPr>
              <w:t xml:space="preserve"> </w:t>
            </w:r>
            <w:r>
              <w:rPr>
                <w:color w:val="0A5293"/>
              </w:rPr>
              <w:t>Islands</w:t>
            </w:r>
            <w:r>
              <w:rPr>
                <w:color w:val="0A5293"/>
                <w:spacing w:val="-3"/>
              </w:rPr>
              <w:t xml:space="preserve"> </w:t>
            </w:r>
            <w:r>
              <w:rPr>
                <w:color w:val="0A5293"/>
              </w:rPr>
              <w:t>Gay</w:t>
            </w:r>
            <w:r>
              <w:rPr>
                <w:color w:val="0A5293"/>
                <w:spacing w:val="-2"/>
              </w:rPr>
              <w:t xml:space="preserve"> </w:t>
            </w:r>
            <w:r>
              <w:rPr>
                <w:color w:val="0A5293"/>
              </w:rPr>
              <w:t>&amp;</w:t>
            </w:r>
            <w:r>
              <w:rPr>
                <w:color w:val="0A5293"/>
                <w:spacing w:val="-5"/>
              </w:rPr>
              <w:t xml:space="preserve"> </w:t>
            </w:r>
            <w:r>
              <w:rPr>
                <w:color w:val="0A5293"/>
              </w:rPr>
              <w:t>Straight</w:t>
            </w:r>
            <w:r>
              <w:rPr>
                <w:color w:val="0A5293"/>
                <w:spacing w:val="-3"/>
              </w:rPr>
              <w:t xml:space="preserve"> </w:t>
            </w:r>
            <w:r>
              <w:rPr>
                <w:color w:val="0A5293"/>
              </w:rPr>
              <w:t>Youth</w:t>
            </w:r>
            <w:r>
              <w:rPr>
                <w:color w:val="0A5293"/>
                <w:spacing w:val="-5"/>
              </w:rPr>
              <w:t xml:space="preserve"> </w:t>
            </w:r>
            <w:r>
              <w:rPr>
                <w:color w:val="0A5293"/>
                <w:spacing w:val="-2"/>
              </w:rPr>
              <w:t>Alliance</w:t>
            </w:r>
          </w:p>
          <w:p w:rsidR="00200FDA" w:rsidRDefault="00F76C4C">
            <w:pPr>
              <w:pStyle w:val="TableParagraph"/>
              <w:spacing w:before="38" w:line="240" w:lineRule="auto"/>
              <w:ind w:left="170" w:right="183"/>
            </w:pPr>
            <w:r>
              <w:rPr>
                <w:color w:val="0A5293"/>
                <w:spacing w:val="-2"/>
              </w:rPr>
              <w:t>(CIGSYA)</w:t>
            </w:r>
          </w:p>
        </w:tc>
        <w:tc>
          <w:tcPr>
            <w:tcW w:w="3957" w:type="dxa"/>
            <w:tcBorders>
              <w:right w:val="single" w:sz="4" w:space="0" w:color="000000"/>
            </w:tcBorders>
          </w:tcPr>
          <w:p w:rsidR="00200FDA" w:rsidRDefault="00F76C4C">
            <w:pPr>
              <w:pStyle w:val="TableParagraph"/>
              <w:ind w:left="192" w:right="193"/>
            </w:pPr>
            <w:r>
              <w:rPr>
                <w:color w:val="0A5293"/>
                <w:spacing w:val="-2"/>
              </w:rPr>
              <w:t>PFLAG</w:t>
            </w:r>
          </w:p>
        </w:tc>
      </w:tr>
      <w:tr w:rsidR="00200FDA">
        <w:trPr>
          <w:trHeight w:val="309"/>
        </w:trPr>
        <w:tc>
          <w:tcPr>
            <w:tcW w:w="5060" w:type="dxa"/>
            <w:tcBorders>
              <w:left w:val="single" w:sz="4" w:space="0" w:color="000000"/>
            </w:tcBorders>
            <w:shd w:val="clear" w:color="auto" w:fill="C6E1F9"/>
          </w:tcPr>
          <w:p w:rsidR="00200FDA" w:rsidRDefault="00F76C4C">
            <w:pPr>
              <w:pStyle w:val="TableParagraph"/>
              <w:ind w:left="170" w:right="183"/>
            </w:pPr>
            <w:r>
              <w:rPr>
                <w:color w:val="0A5293"/>
              </w:rPr>
              <w:t>Gender-Sexuality</w:t>
            </w:r>
            <w:r>
              <w:rPr>
                <w:color w:val="0A5293"/>
                <w:spacing w:val="-10"/>
              </w:rPr>
              <w:t xml:space="preserve"> </w:t>
            </w:r>
            <w:r>
              <w:rPr>
                <w:color w:val="0A5293"/>
              </w:rPr>
              <w:t>Alliances</w:t>
            </w:r>
            <w:r>
              <w:rPr>
                <w:color w:val="0A5293"/>
                <w:spacing w:val="-11"/>
              </w:rPr>
              <w:t xml:space="preserve"> </w:t>
            </w:r>
            <w:r>
              <w:rPr>
                <w:color w:val="0A5293"/>
                <w:spacing w:val="-2"/>
              </w:rPr>
              <w:t>(GSAs)</w:t>
            </w:r>
          </w:p>
        </w:tc>
        <w:tc>
          <w:tcPr>
            <w:tcW w:w="3957" w:type="dxa"/>
            <w:tcBorders>
              <w:right w:val="single" w:sz="4" w:space="0" w:color="000000"/>
            </w:tcBorders>
            <w:shd w:val="clear" w:color="auto" w:fill="C6E1F9"/>
          </w:tcPr>
          <w:p w:rsidR="00200FDA" w:rsidRDefault="00F76C4C">
            <w:pPr>
              <w:pStyle w:val="TableParagraph"/>
              <w:ind w:left="192" w:right="193"/>
            </w:pPr>
            <w:r>
              <w:rPr>
                <w:color w:val="0A5293"/>
              </w:rPr>
              <w:t>Roxbury</w:t>
            </w:r>
            <w:r>
              <w:rPr>
                <w:color w:val="0A5293"/>
                <w:spacing w:val="-4"/>
              </w:rPr>
              <w:t xml:space="preserve"> </w:t>
            </w:r>
            <w:r>
              <w:rPr>
                <w:color w:val="0A5293"/>
              </w:rPr>
              <w:t>Youth</w:t>
            </w:r>
            <w:r>
              <w:rPr>
                <w:color w:val="0A5293"/>
                <w:spacing w:val="-3"/>
              </w:rPr>
              <w:t xml:space="preserve"> </w:t>
            </w:r>
            <w:r>
              <w:rPr>
                <w:color w:val="0A5293"/>
                <w:spacing w:val="-4"/>
              </w:rPr>
              <w:t>Works</w:t>
            </w:r>
          </w:p>
        </w:tc>
      </w:tr>
      <w:tr w:rsidR="00200FDA">
        <w:trPr>
          <w:trHeight w:val="307"/>
        </w:trPr>
        <w:tc>
          <w:tcPr>
            <w:tcW w:w="5060" w:type="dxa"/>
            <w:tcBorders>
              <w:left w:val="single" w:sz="4" w:space="0" w:color="000000"/>
            </w:tcBorders>
          </w:tcPr>
          <w:p w:rsidR="00200FDA" w:rsidRDefault="00F76C4C">
            <w:pPr>
              <w:pStyle w:val="TableParagraph"/>
              <w:ind w:left="170" w:right="180"/>
            </w:pPr>
            <w:r>
              <w:rPr>
                <w:color w:val="0A5293"/>
              </w:rPr>
              <w:t>Generation</w:t>
            </w:r>
            <w:r>
              <w:rPr>
                <w:color w:val="0A5293"/>
                <w:spacing w:val="-7"/>
              </w:rPr>
              <w:t xml:space="preserve"> </w:t>
            </w:r>
            <w:r>
              <w:rPr>
                <w:color w:val="0A5293"/>
                <w:spacing w:val="-10"/>
              </w:rPr>
              <w:t>Q</w:t>
            </w:r>
          </w:p>
        </w:tc>
        <w:tc>
          <w:tcPr>
            <w:tcW w:w="3957" w:type="dxa"/>
            <w:tcBorders>
              <w:right w:val="single" w:sz="4" w:space="0" w:color="000000"/>
            </w:tcBorders>
          </w:tcPr>
          <w:p w:rsidR="00200FDA" w:rsidRDefault="00F76C4C">
            <w:pPr>
              <w:pStyle w:val="TableParagraph"/>
              <w:ind w:left="192" w:right="193"/>
            </w:pPr>
            <w:r>
              <w:rPr>
                <w:color w:val="0A5293"/>
              </w:rPr>
              <w:t>Safe</w:t>
            </w:r>
            <w:r>
              <w:rPr>
                <w:color w:val="0A5293"/>
                <w:spacing w:val="-5"/>
              </w:rPr>
              <w:t xml:space="preserve"> </w:t>
            </w:r>
            <w:r>
              <w:rPr>
                <w:color w:val="0A5293"/>
              </w:rPr>
              <w:t>Homes/The</w:t>
            </w:r>
            <w:r>
              <w:rPr>
                <w:color w:val="0A5293"/>
                <w:spacing w:val="-4"/>
              </w:rPr>
              <w:t xml:space="preserve"> </w:t>
            </w:r>
            <w:r>
              <w:rPr>
                <w:color w:val="0A5293"/>
                <w:spacing w:val="-2"/>
              </w:rPr>
              <w:t>Bridge</w:t>
            </w:r>
          </w:p>
        </w:tc>
      </w:tr>
      <w:tr w:rsidR="00200FDA">
        <w:trPr>
          <w:trHeight w:val="309"/>
        </w:trPr>
        <w:tc>
          <w:tcPr>
            <w:tcW w:w="5060" w:type="dxa"/>
            <w:tcBorders>
              <w:left w:val="single" w:sz="4" w:space="0" w:color="000000"/>
            </w:tcBorders>
            <w:shd w:val="clear" w:color="auto" w:fill="C6E1F9"/>
          </w:tcPr>
          <w:p w:rsidR="00200FDA" w:rsidRDefault="00F76C4C">
            <w:pPr>
              <w:pStyle w:val="TableParagraph"/>
              <w:ind w:left="170" w:right="182"/>
            </w:pPr>
            <w:r>
              <w:rPr>
                <w:color w:val="0A5293"/>
              </w:rPr>
              <w:t>Getting</w:t>
            </w:r>
            <w:r>
              <w:rPr>
                <w:color w:val="0A5293"/>
                <w:spacing w:val="-4"/>
              </w:rPr>
              <w:t xml:space="preserve"> </w:t>
            </w:r>
            <w:r>
              <w:rPr>
                <w:color w:val="0A5293"/>
              </w:rPr>
              <w:t>to</w:t>
            </w:r>
            <w:r>
              <w:rPr>
                <w:color w:val="0A5293"/>
                <w:spacing w:val="-3"/>
              </w:rPr>
              <w:t xml:space="preserve"> </w:t>
            </w:r>
            <w:r>
              <w:rPr>
                <w:color w:val="0A5293"/>
              </w:rPr>
              <w:t>Zero</w:t>
            </w:r>
            <w:r>
              <w:rPr>
                <w:color w:val="0A5293"/>
                <w:spacing w:val="-3"/>
              </w:rPr>
              <w:t xml:space="preserve"> </w:t>
            </w:r>
            <w:r>
              <w:rPr>
                <w:color w:val="0A5293"/>
                <w:spacing w:val="-5"/>
              </w:rPr>
              <w:t>MA</w:t>
            </w:r>
          </w:p>
        </w:tc>
        <w:tc>
          <w:tcPr>
            <w:tcW w:w="3957" w:type="dxa"/>
            <w:tcBorders>
              <w:right w:val="single" w:sz="4" w:space="0" w:color="000000"/>
            </w:tcBorders>
            <w:shd w:val="clear" w:color="auto" w:fill="C6E1F9"/>
          </w:tcPr>
          <w:p w:rsidR="00200FDA" w:rsidRDefault="00F76C4C">
            <w:pPr>
              <w:pStyle w:val="TableParagraph"/>
              <w:ind w:left="192" w:right="194"/>
            </w:pPr>
            <w:r>
              <w:rPr>
                <w:color w:val="0A5293"/>
              </w:rPr>
              <w:t>Start</w:t>
            </w:r>
            <w:r>
              <w:rPr>
                <w:color w:val="0A5293"/>
                <w:spacing w:val="-2"/>
              </w:rPr>
              <w:t xml:space="preserve"> Strong</w:t>
            </w:r>
          </w:p>
        </w:tc>
      </w:tr>
      <w:tr w:rsidR="00200FDA">
        <w:trPr>
          <w:trHeight w:val="309"/>
        </w:trPr>
        <w:tc>
          <w:tcPr>
            <w:tcW w:w="5060" w:type="dxa"/>
            <w:tcBorders>
              <w:left w:val="single" w:sz="4" w:space="0" w:color="000000"/>
            </w:tcBorders>
          </w:tcPr>
          <w:p w:rsidR="00200FDA" w:rsidRDefault="00F76C4C">
            <w:pPr>
              <w:pStyle w:val="TableParagraph"/>
              <w:ind w:left="170" w:right="183"/>
            </w:pPr>
            <w:r>
              <w:rPr>
                <w:color w:val="0A5293"/>
              </w:rPr>
              <w:t>GLAD</w:t>
            </w:r>
            <w:r>
              <w:rPr>
                <w:color w:val="0A5293"/>
                <w:spacing w:val="-5"/>
              </w:rPr>
              <w:t xml:space="preserve"> </w:t>
            </w:r>
            <w:r>
              <w:rPr>
                <w:color w:val="0A5293"/>
              </w:rPr>
              <w:t>(GLBTQ</w:t>
            </w:r>
            <w:r>
              <w:rPr>
                <w:color w:val="0A5293"/>
                <w:spacing w:val="-5"/>
              </w:rPr>
              <w:t xml:space="preserve"> </w:t>
            </w:r>
            <w:r>
              <w:rPr>
                <w:color w:val="0A5293"/>
              </w:rPr>
              <w:t>Legal</w:t>
            </w:r>
            <w:r>
              <w:rPr>
                <w:color w:val="0A5293"/>
                <w:spacing w:val="-4"/>
              </w:rPr>
              <w:t xml:space="preserve"> </w:t>
            </w:r>
            <w:r>
              <w:rPr>
                <w:color w:val="0A5293"/>
              </w:rPr>
              <w:t>Advocates</w:t>
            </w:r>
            <w:r>
              <w:rPr>
                <w:color w:val="0A5293"/>
                <w:spacing w:val="-5"/>
              </w:rPr>
              <w:t xml:space="preserve"> </w:t>
            </w:r>
            <w:r>
              <w:rPr>
                <w:color w:val="0A5293"/>
              </w:rPr>
              <w:t>&amp;</w:t>
            </w:r>
            <w:r>
              <w:rPr>
                <w:color w:val="0A5293"/>
                <w:spacing w:val="-2"/>
              </w:rPr>
              <w:t xml:space="preserve"> Defenders)</w:t>
            </w:r>
          </w:p>
        </w:tc>
        <w:tc>
          <w:tcPr>
            <w:tcW w:w="3957" w:type="dxa"/>
            <w:tcBorders>
              <w:right w:val="single" w:sz="4" w:space="0" w:color="000000"/>
            </w:tcBorders>
          </w:tcPr>
          <w:p w:rsidR="00200FDA" w:rsidRDefault="00F76C4C">
            <w:pPr>
              <w:pStyle w:val="TableParagraph"/>
              <w:ind w:left="192" w:right="193"/>
            </w:pPr>
            <w:r>
              <w:rPr>
                <w:color w:val="0A5293"/>
              </w:rPr>
              <w:t>The</w:t>
            </w:r>
            <w:r>
              <w:rPr>
                <w:color w:val="0A5293"/>
                <w:spacing w:val="-2"/>
              </w:rPr>
              <w:t xml:space="preserve"> </w:t>
            </w:r>
            <w:r>
              <w:rPr>
                <w:color w:val="0A5293"/>
              </w:rPr>
              <w:t>Trevor</w:t>
            </w:r>
            <w:r>
              <w:rPr>
                <w:color w:val="0A5293"/>
                <w:spacing w:val="-4"/>
              </w:rPr>
              <w:t xml:space="preserve"> </w:t>
            </w:r>
            <w:r>
              <w:rPr>
                <w:color w:val="0A5293"/>
                <w:spacing w:val="-2"/>
              </w:rPr>
              <w:t>Project</w:t>
            </w:r>
          </w:p>
        </w:tc>
      </w:tr>
      <w:tr w:rsidR="00200FDA">
        <w:trPr>
          <w:trHeight w:val="616"/>
        </w:trPr>
        <w:tc>
          <w:tcPr>
            <w:tcW w:w="5060" w:type="dxa"/>
            <w:tcBorders>
              <w:left w:val="single" w:sz="4" w:space="0" w:color="000000"/>
            </w:tcBorders>
            <w:shd w:val="clear" w:color="auto" w:fill="C6E1F9"/>
          </w:tcPr>
          <w:p w:rsidR="00200FDA" w:rsidRDefault="00F76C4C">
            <w:pPr>
              <w:pStyle w:val="TableParagraph"/>
              <w:ind w:left="170" w:right="180"/>
            </w:pPr>
            <w:r>
              <w:rPr>
                <w:color w:val="0A5293"/>
              </w:rPr>
              <w:t>GLBT</w:t>
            </w:r>
            <w:r>
              <w:rPr>
                <w:color w:val="0A5293"/>
                <w:spacing w:val="-7"/>
              </w:rPr>
              <w:t xml:space="preserve"> </w:t>
            </w:r>
            <w:r>
              <w:rPr>
                <w:color w:val="0A5293"/>
              </w:rPr>
              <w:t>Youth</w:t>
            </w:r>
            <w:r>
              <w:rPr>
                <w:color w:val="0A5293"/>
                <w:spacing w:val="-5"/>
              </w:rPr>
              <w:t xml:space="preserve"> </w:t>
            </w:r>
            <w:r>
              <w:rPr>
                <w:color w:val="0A5293"/>
              </w:rPr>
              <w:t>Group</w:t>
            </w:r>
            <w:r>
              <w:rPr>
                <w:color w:val="0A5293"/>
                <w:spacing w:val="-3"/>
              </w:rPr>
              <w:t xml:space="preserve"> </w:t>
            </w:r>
            <w:r>
              <w:rPr>
                <w:color w:val="0A5293"/>
              </w:rPr>
              <w:t>Network</w:t>
            </w:r>
            <w:r>
              <w:rPr>
                <w:color w:val="0A5293"/>
                <w:spacing w:val="-1"/>
              </w:rPr>
              <w:t xml:space="preserve"> </w:t>
            </w:r>
            <w:r>
              <w:rPr>
                <w:color w:val="0A5293"/>
              </w:rPr>
              <w:t>of</w:t>
            </w:r>
            <w:r>
              <w:rPr>
                <w:color w:val="0A5293"/>
                <w:spacing w:val="-4"/>
              </w:rPr>
              <w:t xml:space="preserve"> </w:t>
            </w:r>
            <w:r>
              <w:rPr>
                <w:color w:val="0A5293"/>
                <w:spacing w:val="-5"/>
              </w:rPr>
              <w:t>MA</w:t>
            </w:r>
          </w:p>
        </w:tc>
        <w:tc>
          <w:tcPr>
            <w:tcW w:w="3957" w:type="dxa"/>
            <w:tcBorders>
              <w:right w:val="single" w:sz="4" w:space="0" w:color="000000"/>
            </w:tcBorders>
            <w:shd w:val="clear" w:color="auto" w:fill="C6E1F9"/>
          </w:tcPr>
          <w:p w:rsidR="00200FDA" w:rsidRDefault="00F76C4C">
            <w:pPr>
              <w:pStyle w:val="TableParagraph"/>
              <w:ind w:left="192" w:right="197"/>
            </w:pPr>
            <w:r>
              <w:rPr>
                <w:color w:val="0A5293"/>
              </w:rPr>
              <w:t>Winthrop</w:t>
            </w:r>
            <w:r>
              <w:rPr>
                <w:color w:val="0A5293"/>
                <w:spacing w:val="-6"/>
              </w:rPr>
              <w:t xml:space="preserve"> </w:t>
            </w:r>
            <w:r>
              <w:rPr>
                <w:color w:val="0A5293"/>
              </w:rPr>
              <w:t>CASA</w:t>
            </w:r>
            <w:r>
              <w:rPr>
                <w:color w:val="0A5293"/>
                <w:spacing w:val="-8"/>
              </w:rPr>
              <w:t xml:space="preserve"> </w:t>
            </w:r>
            <w:r>
              <w:rPr>
                <w:color w:val="0A5293"/>
              </w:rPr>
              <w:t>(Community</w:t>
            </w:r>
            <w:r>
              <w:rPr>
                <w:color w:val="0A5293"/>
                <w:spacing w:val="-4"/>
              </w:rPr>
              <w:t xml:space="preserve"> </w:t>
            </w:r>
            <w:r>
              <w:rPr>
                <w:color w:val="0A5293"/>
              </w:rPr>
              <w:t>Actions</w:t>
            </w:r>
            <w:r>
              <w:rPr>
                <w:color w:val="0A5293"/>
                <w:spacing w:val="-4"/>
              </w:rPr>
              <w:t xml:space="preserve"> </w:t>
            </w:r>
            <w:r>
              <w:rPr>
                <w:color w:val="0A5293"/>
                <w:spacing w:val="-5"/>
              </w:rPr>
              <w:t>for</w:t>
            </w:r>
          </w:p>
          <w:p w:rsidR="00200FDA" w:rsidRDefault="00F76C4C">
            <w:pPr>
              <w:pStyle w:val="TableParagraph"/>
              <w:spacing w:before="38" w:line="240" w:lineRule="auto"/>
              <w:ind w:left="192" w:right="193"/>
            </w:pPr>
            <w:r>
              <w:rPr>
                <w:color w:val="0A5293"/>
              </w:rPr>
              <w:t>Safe</w:t>
            </w:r>
            <w:r>
              <w:rPr>
                <w:color w:val="0A5293"/>
                <w:spacing w:val="-2"/>
              </w:rPr>
              <w:t xml:space="preserve"> Alternatives)</w:t>
            </w:r>
          </w:p>
        </w:tc>
      </w:tr>
      <w:tr w:rsidR="00200FDA">
        <w:trPr>
          <w:trHeight w:val="309"/>
        </w:trPr>
        <w:tc>
          <w:tcPr>
            <w:tcW w:w="5060" w:type="dxa"/>
            <w:tcBorders>
              <w:left w:val="single" w:sz="4" w:space="0" w:color="000000"/>
              <w:bottom w:val="single" w:sz="4" w:space="0" w:color="000000"/>
            </w:tcBorders>
          </w:tcPr>
          <w:p w:rsidR="00200FDA" w:rsidRDefault="00F76C4C">
            <w:pPr>
              <w:pStyle w:val="TableParagraph"/>
              <w:ind w:left="170" w:right="180"/>
            </w:pPr>
            <w:r>
              <w:rPr>
                <w:color w:val="0A5293"/>
                <w:spacing w:val="-4"/>
              </w:rPr>
              <w:t>GLSEN</w:t>
            </w:r>
          </w:p>
        </w:tc>
        <w:tc>
          <w:tcPr>
            <w:tcW w:w="3957" w:type="dxa"/>
            <w:tcBorders>
              <w:bottom w:val="single" w:sz="4" w:space="0" w:color="000000"/>
              <w:right w:val="single" w:sz="4" w:space="0" w:color="000000"/>
            </w:tcBorders>
          </w:tcPr>
          <w:p w:rsidR="00200FDA" w:rsidRDefault="00F76C4C">
            <w:pPr>
              <w:pStyle w:val="TableParagraph"/>
              <w:ind w:left="192" w:right="193"/>
            </w:pPr>
            <w:r>
              <w:rPr>
                <w:color w:val="0A5293"/>
              </w:rPr>
              <w:t>Youth</w:t>
            </w:r>
            <w:r>
              <w:rPr>
                <w:color w:val="0A5293"/>
                <w:spacing w:val="-3"/>
              </w:rPr>
              <w:t xml:space="preserve"> </w:t>
            </w:r>
            <w:r>
              <w:rPr>
                <w:color w:val="0A5293"/>
              </w:rPr>
              <w:t xml:space="preserve">on </w:t>
            </w:r>
            <w:r>
              <w:rPr>
                <w:color w:val="0A5293"/>
                <w:spacing w:val="-4"/>
              </w:rPr>
              <w:t>Fire</w:t>
            </w:r>
          </w:p>
        </w:tc>
      </w:tr>
    </w:tbl>
    <w:p w:rsidR="00200FDA" w:rsidRDefault="00200FDA">
      <w:pPr>
        <w:pStyle w:val="BodyText"/>
        <w:rPr>
          <w:sz w:val="20"/>
        </w:rPr>
      </w:pPr>
    </w:p>
    <w:p w:rsidR="00200FDA" w:rsidRDefault="00200FDA">
      <w:pPr>
        <w:pStyle w:val="BodyText"/>
        <w:spacing w:before="11"/>
        <w:rPr>
          <w:sz w:val="20"/>
        </w:rPr>
      </w:pPr>
    </w:p>
    <w:p w:rsidR="00200FDA" w:rsidRDefault="00F76C4C">
      <w:pPr>
        <w:pStyle w:val="BodyText"/>
        <w:spacing w:before="57" w:line="276" w:lineRule="auto"/>
        <w:ind w:left="139" w:right="395"/>
        <w:jc w:val="both"/>
      </w:pPr>
      <w:r>
        <w:t>Finally, as we have learned throughout the COVID pandemic, expanding programming and support services</w:t>
      </w:r>
      <w:r>
        <w:rPr>
          <w:spacing w:val="-3"/>
        </w:rPr>
        <w:t xml:space="preserve"> </w:t>
      </w:r>
      <w:r>
        <w:t>to</w:t>
      </w:r>
      <w:r>
        <w:rPr>
          <w:spacing w:val="-2"/>
        </w:rPr>
        <w:t xml:space="preserve"> </w:t>
      </w:r>
      <w:r>
        <w:t>a</w:t>
      </w:r>
      <w:r>
        <w:rPr>
          <w:spacing w:val="-3"/>
        </w:rPr>
        <w:t xml:space="preserve"> </w:t>
      </w:r>
      <w:r>
        <w:t>virtual</w:t>
      </w:r>
      <w:r>
        <w:rPr>
          <w:spacing w:val="-1"/>
        </w:rPr>
        <w:t xml:space="preserve"> </w:t>
      </w:r>
      <w:r>
        <w:t>format</w:t>
      </w:r>
      <w:r>
        <w:rPr>
          <w:spacing w:val="-3"/>
        </w:rPr>
        <w:t xml:space="preserve"> </w:t>
      </w:r>
      <w:r>
        <w:t>can</w:t>
      </w:r>
      <w:r>
        <w:rPr>
          <w:spacing w:val="-2"/>
        </w:rPr>
        <w:t xml:space="preserve"> </w:t>
      </w:r>
      <w:r>
        <w:t>have</w:t>
      </w:r>
      <w:r>
        <w:rPr>
          <w:spacing w:val="-3"/>
        </w:rPr>
        <w:t xml:space="preserve"> </w:t>
      </w:r>
      <w:r>
        <w:t>a</w:t>
      </w:r>
      <w:r>
        <w:rPr>
          <w:spacing w:val="-1"/>
        </w:rPr>
        <w:t xml:space="preserve"> </w:t>
      </w:r>
      <w:r>
        <w:t>significant</w:t>
      </w:r>
      <w:r>
        <w:rPr>
          <w:spacing w:val="-3"/>
        </w:rPr>
        <w:t xml:space="preserve"> </w:t>
      </w:r>
      <w:r>
        <w:t>impact</w:t>
      </w:r>
      <w:r>
        <w:rPr>
          <w:spacing w:val="-3"/>
        </w:rPr>
        <w:t xml:space="preserve"> </w:t>
      </w:r>
      <w:r>
        <w:t>on</w:t>
      </w:r>
      <w:r>
        <w:rPr>
          <w:spacing w:val="-2"/>
        </w:rPr>
        <w:t xml:space="preserve"> </w:t>
      </w:r>
      <w:r>
        <w:t>youth</w:t>
      </w:r>
      <w:r>
        <w:rPr>
          <w:spacing w:val="-4"/>
        </w:rPr>
        <w:t xml:space="preserve"> </w:t>
      </w:r>
      <w:r>
        <w:t>who</w:t>
      </w:r>
      <w:r>
        <w:rPr>
          <w:spacing w:val="-2"/>
        </w:rPr>
        <w:t xml:space="preserve"> </w:t>
      </w:r>
      <w:r>
        <w:t>would</w:t>
      </w:r>
      <w:r>
        <w:rPr>
          <w:spacing w:val="-2"/>
        </w:rPr>
        <w:t xml:space="preserve"> </w:t>
      </w:r>
      <w:r>
        <w:t>otherwise</w:t>
      </w:r>
      <w:r>
        <w:rPr>
          <w:spacing w:val="-3"/>
        </w:rPr>
        <w:t xml:space="preserve"> </w:t>
      </w:r>
      <w:r>
        <w:t>be unable</w:t>
      </w:r>
      <w:r>
        <w:rPr>
          <w:spacing w:val="-3"/>
        </w:rPr>
        <w:t xml:space="preserve"> </w:t>
      </w:r>
      <w:r>
        <w:t>to engage with critical resources.</w:t>
      </w:r>
      <w:hyperlink w:anchor="_bookmark253" w:history="1">
        <w:r>
          <w:rPr>
            <w:vertAlign w:val="superscript"/>
          </w:rPr>
          <w:t>159</w:t>
        </w:r>
      </w:hyperlink>
      <w:r>
        <w:rPr>
          <w:spacing w:val="-2"/>
        </w:rPr>
        <w:t xml:space="preserve"> </w:t>
      </w:r>
      <w:r>
        <w:t>Rural LGBTQ youth and LGBTQ youth with disabilities, in particular, may find virtual resources particularly helpful. Moving forward, public health professionals should embrace the technology</w:t>
      </w:r>
      <w:r>
        <w:rPr>
          <w:spacing w:val="-1"/>
        </w:rPr>
        <w:t xml:space="preserve"> </w:t>
      </w:r>
      <w:r>
        <w:t>that was</w:t>
      </w:r>
      <w:r>
        <w:rPr>
          <w:spacing w:val="-2"/>
        </w:rPr>
        <w:t xml:space="preserve"> </w:t>
      </w:r>
      <w:r>
        <w:t>developed and improved upon</w:t>
      </w:r>
      <w:r>
        <w:rPr>
          <w:spacing w:val="-3"/>
        </w:rPr>
        <w:t xml:space="preserve"> </w:t>
      </w:r>
      <w:r>
        <w:t>over the course</w:t>
      </w:r>
      <w:r>
        <w:rPr>
          <w:spacing w:val="-1"/>
        </w:rPr>
        <w:t xml:space="preserve"> </w:t>
      </w:r>
      <w:r>
        <w:t xml:space="preserve">of the </w:t>
      </w:r>
      <w:r>
        <w:t>pandemic to better</w:t>
      </w:r>
      <w:r>
        <w:rPr>
          <w:spacing w:val="-11"/>
        </w:rPr>
        <w:t xml:space="preserve"> </w:t>
      </w:r>
      <w:r>
        <w:t>serve</w:t>
      </w:r>
      <w:r>
        <w:rPr>
          <w:spacing w:val="-10"/>
        </w:rPr>
        <w:t xml:space="preserve"> </w:t>
      </w:r>
      <w:r>
        <w:t>diverse</w:t>
      </w:r>
      <w:r>
        <w:rPr>
          <w:spacing w:val="-8"/>
        </w:rPr>
        <w:t xml:space="preserve"> </w:t>
      </w:r>
      <w:r>
        <w:t>populations</w:t>
      </w:r>
      <w:r>
        <w:rPr>
          <w:spacing w:val="-10"/>
        </w:rPr>
        <w:t xml:space="preserve"> </w:t>
      </w:r>
      <w:r>
        <w:t>of</w:t>
      </w:r>
      <w:r>
        <w:rPr>
          <w:spacing w:val="-11"/>
        </w:rPr>
        <w:t xml:space="preserve"> </w:t>
      </w:r>
      <w:r>
        <w:t>LGBTQ</w:t>
      </w:r>
      <w:r>
        <w:rPr>
          <w:spacing w:val="-10"/>
        </w:rPr>
        <w:t xml:space="preserve"> </w:t>
      </w:r>
      <w:r>
        <w:t>youth.</w:t>
      </w:r>
      <w:r>
        <w:rPr>
          <w:spacing w:val="-11"/>
        </w:rPr>
        <w:t xml:space="preserve"> </w:t>
      </w:r>
      <w:r>
        <w:t>Ultimately,</w:t>
      </w:r>
      <w:r>
        <w:rPr>
          <w:spacing w:val="-10"/>
        </w:rPr>
        <w:t xml:space="preserve"> </w:t>
      </w:r>
      <w:r>
        <w:t>LGBTQ</w:t>
      </w:r>
      <w:r>
        <w:rPr>
          <w:spacing w:val="-10"/>
        </w:rPr>
        <w:t xml:space="preserve"> </w:t>
      </w:r>
      <w:r>
        <w:t>youth</w:t>
      </w:r>
      <w:r>
        <w:rPr>
          <w:spacing w:val="-9"/>
        </w:rPr>
        <w:t xml:space="preserve"> </w:t>
      </w:r>
      <w:r>
        <w:t>are</w:t>
      </w:r>
      <w:r>
        <w:rPr>
          <w:spacing w:val="-10"/>
        </w:rPr>
        <w:t xml:space="preserve"> </w:t>
      </w:r>
      <w:r>
        <w:t>the</w:t>
      </w:r>
      <w:r>
        <w:rPr>
          <w:spacing w:val="-8"/>
        </w:rPr>
        <w:t xml:space="preserve"> </w:t>
      </w:r>
      <w:r>
        <w:t>future,</w:t>
      </w:r>
      <w:r>
        <w:rPr>
          <w:spacing w:val="-10"/>
        </w:rPr>
        <w:t xml:space="preserve"> </w:t>
      </w:r>
      <w:r>
        <w:t>but</w:t>
      </w:r>
      <w:r>
        <w:rPr>
          <w:spacing w:val="-10"/>
        </w:rPr>
        <w:t xml:space="preserve"> </w:t>
      </w:r>
      <w:r>
        <w:t>without support,</w:t>
      </w:r>
      <w:r>
        <w:rPr>
          <w:spacing w:val="-4"/>
        </w:rPr>
        <w:t xml:space="preserve"> </w:t>
      </w:r>
      <w:r>
        <w:t>it</w:t>
      </w:r>
      <w:r>
        <w:rPr>
          <w:spacing w:val="-6"/>
        </w:rPr>
        <w:t xml:space="preserve"> </w:t>
      </w:r>
      <w:r>
        <w:t>can</w:t>
      </w:r>
      <w:r>
        <w:rPr>
          <w:spacing w:val="-5"/>
        </w:rPr>
        <w:t xml:space="preserve"> </w:t>
      </w:r>
      <w:r>
        <w:t>be</w:t>
      </w:r>
      <w:r>
        <w:rPr>
          <w:spacing w:val="-4"/>
        </w:rPr>
        <w:t xml:space="preserve"> </w:t>
      </w:r>
      <w:r>
        <w:t>hard</w:t>
      </w:r>
      <w:r>
        <w:rPr>
          <w:spacing w:val="-5"/>
        </w:rPr>
        <w:t xml:space="preserve"> </w:t>
      </w:r>
      <w:r>
        <w:t>for</w:t>
      </w:r>
      <w:r>
        <w:rPr>
          <w:spacing w:val="-4"/>
        </w:rPr>
        <w:t xml:space="preserve"> </w:t>
      </w:r>
      <w:r>
        <w:t>them</w:t>
      </w:r>
      <w:r>
        <w:rPr>
          <w:spacing w:val="-3"/>
        </w:rPr>
        <w:t xml:space="preserve"> </w:t>
      </w:r>
      <w:r>
        <w:t>to</w:t>
      </w:r>
      <w:r>
        <w:rPr>
          <w:spacing w:val="-5"/>
        </w:rPr>
        <w:t xml:space="preserve"> </w:t>
      </w:r>
      <w:r>
        <w:t>envision</w:t>
      </w:r>
      <w:r>
        <w:rPr>
          <w:spacing w:val="-5"/>
        </w:rPr>
        <w:t xml:space="preserve"> </w:t>
      </w:r>
      <w:r>
        <w:t>a</w:t>
      </w:r>
      <w:r>
        <w:rPr>
          <w:spacing w:val="-4"/>
        </w:rPr>
        <w:t xml:space="preserve"> </w:t>
      </w:r>
      <w:r>
        <w:t>world</w:t>
      </w:r>
      <w:r>
        <w:rPr>
          <w:spacing w:val="-5"/>
        </w:rPr>
        <w:t xml:space="preserve"> </w:t>
      </w:r>
      <w:r>
        <w:t>with</w:t>
      </w:r>
      <w:r>
        <w:rPr>
          <w:spacing w:val="-5"/>
        </w:rPr>
        <w:t xml:space="preserve"> </w:t>
      </w:r>
      <w:r>
        <w:t>them</w:t>
      </w:r>
      <w:r>
        <w:rPr>
          <w:spacing w:val="-3"/>
        </w:rPr>
        <w:t xml:space="preserve"> </w:t>
      </w:r>
      <w:r>
        <w:t>in</w:t>
      </w:r>
      <w:r>
        <w:rPr>
          <w:spacing w:val="-5"/>
        </w:rPr>
        <w:t xml:space="preserve"> </w:t>
      </w:r>
      <w:r>
        <w:t>it.</w:t>
      </w:r>
      <w:r>
        <w:rPr>
          <w:spacing w:val="-5"/>
        </w:rPr>
        <w:t xml:space="preserve"> </w:t>
      </w:r>
      <w:r>
        <w:t>Public</w:t>
      </w:r>
      <w:r>
        <w:rPr>
          <w:spacing w:val="-4"/>
        </w:rPr>
        <w:t xml:space="preserve"> </w:t>
      </w:r>
      <w:r>
        <w:t>health</w:t>
      </w:r>
      <w:r>
        <w:rPr>
          <w:spacing w:val="-6"/>
        </w:rPr>
        <w:t xml:space="preserve"> </w:t>
      </w:r>
      <w:r>
        <w:t>has</w:t>
      </w:r>
      <w:r>
        <w:rPr>
          <w:spacing w:val="-4"/>
        </w:rPr>
        <w:t xml:space="preserve"> </w:t>
      </w:r>
      <w:r>
        <w:t>the</w:t>
      </w:r>
      <w:r>
        <w:rPr>
          <w:spacing w:val="-4"/>
        </w:rPr>
        <w:t xml:space="preserve"> </w:t>
      </w:r>
      <w:r>
        <w:t>opportunity to support LGBTQ youth as they resist, challenge, and change the structures that prevent them from fully attaining physical, mental, and emotional wellness.</w:t>
      </w:r>
    </w:p>
    <w:p w:rsidR="00200FDA" w:rsidRDefault="00200FDA">
      <w:pPr>
        <w:pStyle w:val="BodyText"/>
        <w:spacing w:before="10"/>
        <w:rPr>
          <w:sz w:val="32"/>
        </w:rPr>
      </w:pPr>
    </w:p>
    <w:p w:rsidR="00200FDA" w:rsidRDefault="00F76C4C">
      <w:pPr>
        <w:ind w:left="140"/>
        <w:jc w:val="both"/>
        <w:rPr>
          <w:sz w:val="32"/>
        </w:rPr>
      </w:pPr>
      <w:r>
        <w:pict>
          <v:rect id="docshape232" o:spid="_x0000_s1330" style="position:absolute;left:0;text-align:left;margin-left:70.55pt;margin-top:20.4pt;width:454.2pt;height:.5pt;z-index:-15704064;mso-wrap-distance-left:0;mso-wrap-distance-right:0;mso-position-horizontal-relative:page" fillcolor="#0f6ec5" stroked="f">
            <w10:wrap type="topAndBottom" anchorx="page"/>
          </v:rect>
        </w:pict>
      </w:r>
      <w:r>
        <w:rPr>
          <w:color w:val="0A5293"/>
          <w:sz w:val="32"/>
        </w:rPr>
        <w:t>Acknowledgments</w:t>
      </w:r>
      <w:r>
        <w:rPr>
          <w:color w:val="0A5293"/>
          <w:spacing w:val="-15"/>
          <w:sz w:val="32"/>
        </w:rPr>
        <w:t xml:space="preserve"> </w:t>
      </w:r>
      <w:r>
        <w:rPr>
          <w:color w:val="0A5293"/>
          <w:sz w:val="32"/>
        </w:rPr>
        <w:t>&amp;</w:t>
      </w:r>
      <w:r>
        <w:rPr>
          <w:color w:val="0A5293"/>
          <w:spacing w:val="-15"/>
          <w:sz w:val="32"/>
        </w:rPr>
        <w:t xml:space="preserve"> </w:t>
      </w:r>
      <w:r>
        <w:rPr>
          <w:color w:val="0A5293"/>
          <w:spacing w:val="-2"/>
          <w:sz w:val="32"/>
        </w:rPr>
        <w:t>Citations</w:t>
      </w:r>
    </w:p>
    <w:p w:rsidR="00200FDA" w:rsidRDefault="00200FDA">
      <w:pPr>
        <w:pStyle w:val="BodyText"/>
        <w:rPr>
          <w:sz w:val="15"/>
        </w:rPr>
      </w:pPr>
    </w:p>
    <w:p w:rsidR="00200FDA" w:rsidRDefault="00F76C4C">
      <w:pPr>
        <w:spacing w:before="56"/>
        <w:ind w:left="140"/>
        <w:rPr>
          <w:i/>
        </w:rPr>
      </w:pPr>
      <w:r>
        <w:rPr>
          <w:i/>
        </w:rPr>
        <w:t>Acknowledgments:</w:t>
      </w:r>
      <w:r>
        <w:rPr>
          <w:i/>
          <w:spacing w:val="-5"/>
        </w:rPr>
        <w:t xml:space="preserve"> </w:t>
      </w:r>
      <w:r>
        <w:rPr>
          <w:i/>
        </w:rPr>
        <w:t>Alexandra</w:t>
      </w:r>
      <w:r>
        <w:rPr>
          <w:i/>
          <w:spacing w:val="-5"/>
        </w:rPr>
        <w:t xml:space="preserve"> </w:t>
      </w:r>
      <w:r>
        <w:rPr>
          <w:i/>
        </w:rPr>
        <w:t>Gago,</w:t>
      </w:r>
      <w:r>
        <w:rPr>
          <w:i/>
          <w:spacing w:val="-5"/>
        </w:rPr>
        <w:t xml:space="preserve"> </w:t>
      </w:r>
      <w:r>
        <w:rPr>
          <w:i/>
        </w:rPr>
        <w:t>lead</w:t>
      </w:r>
      <w:r>
        <w:rPr>
          <w:i/>
          <w:spacing w:val="-8"/>
        </w:rPr>
        <w:t xml:space="preserve"> </w:t>
      </w:r>
      <w:r>
        <w:rPr>
          <w:i/>
        </w:rPr>
        <w:t>researcher</w:t>
      </w:r>
      <w:r>
        <w:rPr>
          <w:i/>
          <w:spacing w:val="-8"/>
        </w:rPr>
        <w:t xml:space="preserve"> </w:t>
      </w:r>
      <w:r>
        <w:rPr>
          <w:i/>
        </w:rPr>
        <w:t>and</w:t>
      </w:r>
      <w:r>
        <w:rPr>
          <w:i/>
          <w:spacing w:val="-5"/>
        </w:rPr>
        <w:t xml:space="preserve"> </w:t>
      </w:r>
      <w:r>
        <w:rPr>
          <w:i/>
          <w:spacing w:val="-2"/>
        </w:rPr>
        <w:t>aut</w:t>
      </w:r>
      <w:r>
        <w:rPr>
          <w:i/>
          <w:spacing w:val="-2"/>
        </w:rPr>
        <w:t>hor</w:t>
      </w:r>
    </w:p>
    <w:p w:rsidR="00200FDA" w:rsidRDefault="00200FDA">
      <w:pPr>
        <w:pStyle w:val="BodyText"/>
        <w:rPr>
          <w:i/>
        </w:rPr>
      </w:pPr>
    </w:p>
    <w:p w:rsidR="00200FDA" w:rsidRDefault="00F76C4C">
      <w:pPr>
        <w:spacing w:before="151"/>
        <w:ind w:left="140" w:hanging="1"/>
        <w:rPr>
          <w:sz w:val="18"/>
        </w:rPr>
      </w:pPr>
      <w:r>
        <w:rPr>
          <w:position w:val="5"/>
          <w:sz w:val="12"/>
        </w:rPr>
        <w:t>1</w:t>
      </w:r>
      <w:r>
        <w:rPr>
          <w:spacing w:val="10"/>
          <w:position w:val="5"/>
          <w:sz w:val="12"/>
        </w:rPr>
        <w:t xml:space="preserve"> </w:t>
      </w:r>
      <w:r>
        <w:rPr>
          <w:sz w:val="18"/>
        </w:rPr>
        <w:t>Brandon</w:t>
      </w:r>
      <w:r>
        <w:rPr>
          <w:spacing w:val="-3"/>
          <w:sz w:val="18"/>
        </w:rPr>
        <w:t xml:space="preserve"> </w:t>
      </w:r>
      <w:r>
        <w:rPr>
          <w:sz w:val="18"/>
        </w:rPr>
        <w:t>Andrew</w:t>
      </w:r>
      <w:r>
        <w:rPr>
          <w:spacing w:val="-1"/>
          <w:sz w:val="18"/>
        </w:rPr>
        <w:t xml:space="preserve"> </w:t>
      </w:r>
      <w:r>
        <w:rPr>
          <w:sz w:val="18"/>
        </w:rPr>
        <w:t>Robinson</w:t>
      </w:r>
      <w:r>
        <w:rPr>
          <w:spacing w:val="-3"/>
          <w:sz w:val="18"/>
        </w:rPr>
        <w:t xml:space="preserve"> </w:t>
      </w:r>
      <w:r>
        <w:rPr>
          <w:sz w:val="18"/>
        </w:rPr>
        <w:t>and</w:t>
      </w:r>
      <w:r>
        <w:rPr>
          <w:spacing w:val="-1"/>
          <w:sz w:val="18"/>
        </w:rPr>
        <w:t xml:space="preserve"> </w:t>
      </w:r>
      <w:r>
        <w:rPr>
          <w:sz w:val="18"/>
        </w:rPr>
        <w:t>Rachel</w:t>
      </w:r>
      <w:r>
        <w:rPr>
          <w:spacing w:val="-3"/>
          <w:sz w:val="18"/>
        </w:rPr>
        <w:t xml:space="preserve"> </w:t>
      </w:r>
      <w:r>
        <w:rPr>
          <w:sz w:val="18"/>
        </w:rPr>
        <w:t>M.</w:t>
      </w:r>
      <w:r>
        <w:rPr>
          <w:spacing w:val="-2"/>
          <w:sz w:val="18"/>
        </w:rPr>
        <w:t xml:space="preserve"> </w:t>
      </w:r>
      <w:r>
        <w:rPr>
          <w:sz w:val="18"/>
        </w:rPr>
        <w:t>Schmitz,</w:t>
      </w:r>
      <w:r>
        <w:rPr>
          <w:spacing w:val="-2"/>
          <w:sz w:val="18"/>
        </w:rPr>
        <w:t xml:space="preserve"> </w:t>
      </w:r>
      <w:r>
        <w:rPr>
          <w:sz w:val="18"/>
        </w:rPr>
        <w:t>“Beyond</w:t>
      </w:r>
      <w:r>
        <w:rPr>
          <w:spacing w:val="-3"/>
          <w:sz w:val="18"/>
        </w:rPr>
        <w:t xml:space="preserve"> </w:t>
      </w:r>
      <w:r>
        <w:rPr>
          <w:sz w:val="18"/>
        </w:rPr>
        <w:t>Resilience:</w:t>
      </w:r>
      <w:r>
        <w:rPr>
          <w:spacing w:val="-2"/>
          <w:sz w:val="18"/>
        </w:rPr>
        <w:t xml:space="preserve"> </w:t>
      </w:r>
      <w:r>
        <w:rPr>
          <w:sz w:val="18"/>
        </w:rPr>
        <w:t>Resistance</w:t>
      </w:r>
      <w:r>
        <w:rPr>
          <w:spacing w:val="-1"/>
          <w:sz w:val="18"/>
        </w:rPr>
        <w:t xml:space="preserve"> </w:t>
      </w:r>
      <w:r>
        <w:rPr>
          <w:sz w:val="18"/>
        </w:rPr>
        <w:t>in</w:t>
      </w:r>
      <w:r>
        <w:rPr>
          <w:spacing w:val="-3"/>
          <w:sz w:val="18"/>
        </w:rPr>
        <w:t xml:space="preserve"> </w:t>
      </w:r>
      <w:r>
        <w:rPr>
          <w:sz w:val="18"/>
        </w:rPr>
        <w:t>the</w:t>
      </w:r>
      <w:r>
        <w:rPr>
          <w:spacing w:val="-3"/>
          <w:sz w:val="18"/>
        </w:rPr>
        <w:t xml:space="preserve"> </w:t>
      </w:r>
      <w:r>
        <w:rPr>
          <w:sz w:val="18"/>
        </w:rPr>
        <w:t>Lives</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i/>
          <w:sz w:val="18"/>
        </w:rPr>
        <w:t xml:space="preserve">Sociology Compass </w:t>
      </w:r>
      <w:r>
        <w:rPr>
          <w:sz w:val="18"/>
        </w:rPr>
        <w:t>15, no. 12 (2021): e12947, https://doi.org/10.1111/soc4.12947.</w:t>
      </w:r>
    </w:p>
    <w:p w:rsidR="00200FDA" w:rsidRDefault="00F76C4C">
      <w:pPr>
        <w:spacing w:line="219" w:lineRule="exact"/>
        <w:ind w:left="140"/>
        <w:rPr>
          <w:sz w:val="18"/>
        </w:rPr>
      </w:pPr>
      <w:r>
        <w:rPr>
          <w:position w:val="5"/>
          <w:sz w:val="12"/>
        </w:rPr>
        <w:t>2</w:t>
      </w:r>
      <w:r>
        <w:rPr>
          <w:spacing w:val="10"/>
          <w:position w:val="5"/>
          <w:sz w:val="12"/>
        </w:rPr>
        <w:t xml:space="preserve"> </w:t>
      </w:r>
      <w:r>
        <w:rPr>
          <w:sz w:val="18"/>
        </w:rPr>
        <w:t>Robinson</w:t>
      </w:r>
      <w:r>
        <w:rPr>
          <w:spacing w:val="-2"/>
          <w:sz w:val="18"/>
        </w:rPr>
        <w:t xml:space="preserve"> </w:t>
      </w:r>
      <w:r>
        <w:rPr>
          <w:sz w:val="18"/>
        </w:rPr>
        <w:t xml:space="preserve">and </w:t>
      </w:r>
      <w:r>
        <w:rPr>
          <w:spacing w:val="-2"/>
          <w:sz w:val="18"/>
        </w:rPr>
        <w:t>Schmitz.</w:t>
      </w:r>
    </w:p>
    <w:p w:rsidR="00200FDA" w:rsidRDefault="00F76C4C">
      <w:pPr>
        <w:ind w:left="140" w:right="418" w:hanging="1"/>
        <w:rPr>
          <w:sz w:val="18"/>
        </w:rPr>
      </w:pPr>
      <w:r>
        <w:rPr>
          <w:position w:val="5"/>
          <w:sz w:val="12"/>
        </w:rPr>
        <w:t>3</w:t>
      </w:r>
      <w:r>
        <w:rPr>
          <w:spacing w:val="10"/>
          <w:position w:val="5"/>
          <w:sz w:val="12"/>
        </w:rPr>
        <w:t xml:space="preserve"> </w:t>
      </w:r>
      <w:r>
        <w:rPr>
          <w:sz w:val="18"/>
        </w:rPr>
        <w:t>“Somerville</w:t>
      </w:r>
      <w:r>
        <w:rPr>
          <w:spacing w:val="-3"/>
          <w:sz w:val="18"/>
        </w:rPr>
        <w:t xml:space="preserve"> </w:t>
      </w:r>
      <w:r>
        <w:rPr>
          <w:sz w:val="18"/>
        </w:rPr>
        <w:t>Maps</w:t>
      </w:r>
      <w:r>
        <w:rPr>
          <w:spacing w:val="-1"/>
          <w:sz w:val="18"/>
        </w:rPr>
        <w:t xml:space="preserve"> </w:t>
      </w:r>
      <w:r>
        <w:rPr>
          <w:sz w:val="18"/>
        </w:rPr>
        <w:t>Fastest</w:t>
      </w:r>
      <w:r>
        <w:rPr>
          <w:spacing w:val="-3"/>
          <w:sz w:val="18"/>
        </w:rPr>
        <w:t xml:space="preserve"> </w:t>
      </w:r>
      <w:r>
        <w:rPr>
          <w:sz w:val="18"/>
        </w:rPr>
        <w:t>Path</w:t>
      </w:r>
      <w:r>
        <w:rPr>
          <w:spacing w:val="-3"/>
          <w:sz w:val="18"/>
        </w:rPr>
        <w:t xml:space="preserve"> </w:t>
      </w:r>
      <w:r>
        <w:rPr>
          <w:sz w:val="18"/>
        </w:rPr>
        <w:t>to</w:t>
      </w:r>
      <w:r>
        <w:rPr>
          <w:spacing w:val="-1"/>
          <w:sz w:val="18"/>
        </w:rPr>
        <w:t xml:space="preserve"> </w:t>
      </w:r>
      <w:r>
        <w:rPr>
          <w:sz w:val="18"/>
        </w:rPr>
        <w:t>State’s</w:t>
      </w:r>
      <w:r>
        <w:rPr>
          <w:spacing w:val="-3"/>
          <w:sz w:val="18"/>
        </w:rPr>
        <w:t xml:space="preserve"> </w:t>
      </w:r>
      <w:r>
        <w:rPr>
          <w:sz w:val="18"/>
        </w:rPr>
        <w:t>First</w:t>
      </w:r>
      <w:r>
        <w:rPr>
          <w:spacing w:val="-3"/>
          <w:sz w:val="18"/>
        </w:rPr>
        <w:t xml:space="preserve"> </w:t>
      </w:r>
      <w:r>
        <w:rPr>
          <w:sz w:val="18"/>
        </w:rPr>
        <w:t>Supervised</w:t>
      </w:r>
      <w:r>
        <w:rPr>
          <w:spacing w:val="-3"/>
          <w:sz w:val="18"/>
        </w:rPr>
        <w:t xml:space="preserve"> </w:t>
      </w:r>
      <w:r>
        <w:rPr>
          <w:sz w:val="18"/>
        </w:rPr>
        <w:t>Consumption</w:t>
      </w:r>
      <w:r>
        <w:rPr>
          <w:spacing w:val="-3"/>
          <w:sz w:val="18"/>
        </w:rPr>
        <w:t xml:space="preserve"> </w:t>
      </w:r>
      <w:r>
        <w:rPr>
          <w:sz w:val="18"/>
        </w:rPr>
        <w:t>Clinic</w:t>
      </w:r>
      <w:r>
        <w:rPr>
          <w:spacing w:val="-2"/>
          <w:sz w:val="18"/>
        </w:rPr>
        <w:t xml:space="preserve"> </w:t>
      </w:r>
      <w:r>
        <w:rPr>
          <w:sz w:val="18"/>
        </w:rPr>
        <w:t>—</w:t>
      </w:r>
      <w:r>
        <w:rPr>
          <w:spacing w:val="-3"/>
          <w:sz w:val="18"/>
        </w:rPr>
        <w:t xml:space="preserve"> </w:t>
      </w:r>
      <w:r>
        <w:rPr>
          <w:sz w:val="18"/>
        </w:rPr>
        <w:t>Starting</w:t>
      </w:r>
      <w:r>
        <w:rPr>
          <w:spacing w:val="-3"/>
          <w:sz w:val="18"/>
        </w:rPr>
        <w:t xml:space="preserve"> </w:t>
      </w:r>
      <w:r>
        <w:rPr>
          <w:sz w:val="18"/>
        </w:rPr>
        <w:t>in</w:t>
      </w:r>
      <w:r>
        <w:rPr>
          <w:spacing w:val="-3"/>
          <w:sz w:val="18"/>
        </w:rPr>
        <w:t xml:space="preserve"> </w:t>
      </w:r>
      <w:r>
        <w:rPr>
          <w:sz w:val="18"/>
        </w:rPr>
        <w:t>a</w:t>
      </w:r>
      <w:r>
        <w:rPr>
          <w:spacing w:val="-2"/>
          <w:sz w:val="18"/>
        </w:rPr>
        <w:t xml:space="preserve"> </w:t>
      </w:r>
      <w:r>
        <w:rPr>
          <w:sz w:val="18"/>
        </w:rPr>
        <w:t>Parking</w:t>
      </w:r>
      <w:r>
        <w:rPr>
          <w:spacing w:val="-3"/>
          <w:sz w:val="18"/>
        </w:rPr>
        <w:t xml:space="preserve"> </w:t>
      </w:r>
      <w:r>
        <w:rPr>
          <w:sz w:val="18"/>
        </w:rPr>
        <w:t>Lot,”</w:t>
      </w:r>
      <w:r>
        <w:rPr>
          <w:spacing w:val="-3"/>
          <w:sz w:val="18"/>
        </w:rPr>
        <w:t xml:space="preserve"> </w:t>
      </w:r>
      <w:r>
        <w:rPr>
          <w:sz w:val="18"/>
        </w:rPr>
        <w:t>accessed</w:t>
      </w:r>
      <w:r>
        <w:rPr>
          <w:spacing w:val="-1"/>
          <w:sz w:val="18"/>
        </w:rPr>
        <w:t xml:space="preserve"> </w:t>
      </w:r>
      <w:r>
        <w:rPr>
          <w:sz w:val="18"/>
        </w:rPr>
        <w:t>April 24, 2023, https://</w:t>
      </w:r>
      <w:hyperlink r:id="rId182">
        <w:r>
          <w:rPr>
            <w:sz w:val="18"/>
          </w:rPr>
          <w:t>www.wbur.org/news/2022/07/29/massachusetts-</w:t>
        </w:r>
        <w:r>
          <w:rPr>
            <w:sz w:val="18"/>
          </w:rPr>
          <w:t>supervised-drug-site-somerville-plan.</w:t>
        </w:r>
      </w:hyperlink>
    </w:p>
    <w:p w:rsidR="00200FDA" w:rsidRDefault="00F76C4C">
      <w:pPr>
        <w:ind w:left="140" w:right="484" w:hanging="1"/>
        <w:rPr>
          <w:sz w:val="18"/>
        </w:rPr>
      </w:pPr>
      <w:r>
        <w:rPr>
          <w:position w:val="5"/>
          <w:sz w:val="12"/>
        </w:rPr>
        <w:t>4</w:t>
      </w:r>
      <w:r>
        <w:rPr>
          <w:spacing w:val="17"/>
          <w:position w:val="5"/>
          <w:sz w:val="12"/>
        </w:rPr>
        <w:t xml:space="preserve"> </w:t>
      </w:r>
      <w:r>
        <w:rPr>
          <w:sz w:val="18"/>
        </w:rPr>
        <w:t>Shelley D. Golden and Jo Anne L. Earp, “Social Ecological Approaches to Individuals and Their Contexts: Twenty Years of Health</w:t>
      </w:r>
      <w:r>
        <w:rPr>
          <w:spacing w:val="-3"/>
          <w:sz w:val="18"/>
        </w:rPr>
        <w:t xml:space="preserve"> </w:t>
      </w:r>
      <w:r>
        <w:rPr>
          <w:sz w:val="18"/>
        </w:rPr>
        <w:t>Education</w:t>
      </w:r>
      <w:r>
        <w:rPr>
          <w:spacing w:val="-3"/>
          <w:sz w:val="18"/>
        </w:rPr>
        <w:t xml:space="preserve"> </w:t>
      </w:r>
      <w:r>
        <w:rPr>
          <w:sz w:val="18"/>
        </w:rPr>
        <w:t>&amp;</w:t>
      </w:r>
      <w:r>
        <w:rPr>
          <w:spacing w:val="-3"/>
          <w:sz w:val="18"/>
        </w:rPr>
        <w:t xml:space="preserve"> </w:t>
      </w:r>
      <w:r>
        <w:rPr>
          <w:sz w:val="18"/>
        </w:rPr>
        <w:t>Behavior</w:t>
      </w:r>
      <w:r>
        <w:rPr>
          <w:spacing w:val="-3"/>
          <w:sz w:val="18"/>
        </w:rPr>
        <w:t xml:space="preserve"> </w:t>
      </w:r>
      <w:r>
        <w:rPr>
          <w:sz w:val="18"/>
        </w:rPr>
        <w:t>Health</w:t>
      </w:r>
      <w:r>
        <w:rPr>
          <w:spacing w:val="-3"/>
          <w:sz w:val="18"/>
        </w:rPr>
        <w:t xml:space="preserve"> </w:t>
      </w:r>
      <w:r>
        <w:rPr>
          <w:sz w:val="18"/>
        </w:rPr>
        <w:t>Promotion</w:t>
      </w:r>
      <w:r>
        <w:rPr>
          <w:spacing w:val="-3"/>
          <w:sz w:val="18"/>
        </w:rPr>
        <w:t xml:space="preserve"> </w:t>
      </w:r>
      <w:r>
        <w:rPr>
          <w:sz w:val="18"/>
        </w:rPr>
        <w:t>Interventions,”</w:t>
      </w:r>
      <w:r>
        <w:rPr>
          <w:spacing w:val="-3"/>
          <w:sz w:val="18"/>
        </w:rPr>
        <w:t xml:space="preserve"> </w:t>
      </w:r>
      <w:r>
        <w:rPr>
          <w:i/>
          <w:sz w:val="18"/>
        </w:rPr>
        <w:t>Health</w:t>
      </w:r>
      <w:r>
        <w:rPr>
          <w:i/>
          <w:spacing w:val="-1"/>
          <w:sz w:val="18"/>
        </w:rPr>
        <w:t xml:space="preserve"> </w:t>
      </w:r>
      <w:r>
        <w:rPr>
          <w:i/>
          <w:sz w:val="18"/>
        </w:rPr>
        <w:t>Education</w:t>
      </w:r>
      <w:r>
        <w:rPr>
          <w:i/>
          <w:spacing w:val="-1"/>
          <w:sz w:val="18"/>
        </w:rPr>
        <w:t xml:space="preserve"> </w:t>
      </w:r>
      <w:r>
        <w:rPr>
          <w:i/>
          <w:sz w:val="18"/>
        </w:rPr>
        <w:t>&amp;</w:t>
      </w:r>
      <w:r>
        <w:rPr>
          <w:i/>
          <w:spacing w:val="-3"/>
          <w:sz w:val="18"/>
        </w:rPr>
        <w:t xml:space="preserve"> </w:t>
      </w:r>
      <w:r>
        <w:rPr>
          <w:i/>
          <w:sz w:val="18"/>
        </w:rPr>
        <w:t>Behavior</w:t>
      </w:r>
      <w:r>
        <w:rPr>
          <w:i/>
          <w:spacing w:val="-1"/>
          <w:sz w:val="18"/>
        </w:rPr>
        <w:t xml:space="preserve"> </w:t>
      </w:r>
      <w:r>
        <w:rPr>
          <w:sz w:val="18"/>
        </w:rPr>
        <w:t>39,</w:t>
      </w:r>
      <w:r>
        <w:rPr>
          <w:spacing w:val="-2"/>
          <w:sz w:val="18"/>
        </w:rPr>
        <w:t xml:space="preserve"> </w:t>
      </w:r>
      <w:r>
        <w:rPr>
          <w:sz w:val="18"/>
        </w:rPr>
        <w:t>no.</w:t>
      </w:r>
      <w:r>
        <w:rPr>
          <w:spacing w:val="-2"/>
          <w:sz w:val="18"/>
        </w:rPr>
        <w:t xml:space="preserve"> </w:t>
      </w:r>
      <w:r>
        <w:rPr>
          <w:sz w:val="18"/>
        </w:rPr>
        <w:t>3</w:t>
      </w:r>
      <w:r>
        <w:rPr>
          <w:spacing w:val="-2"/>
          <w:sz w:val="18"/>
        </w:rPr>
        <w:t xml:space="preserve"> </w:t>
      </w:r>
      <w:r>
        <w:rPr>
          <w:sz w:val="18"/>
        </w:rPr>
        <w:t>(June</w:t>
      </w:r>
      <w:r>
        <w:rPr>
          <w:spacing w:val="-3"/>
          <w:sz w:val="18"/>
        </w:rPr>
        <w:t xml:space="preserve"> </w:t>
      </w:r>
      <w:r>
        <w:rPr>
          <w:sz w:val="18"/>
        </w:rPr>
        <w:t>1,</w:t>
      </w:r>
      <w:r>
        <w:rPr>
          <w:spacing w:val="-2"/>
          <w:sz w:val="18"/>
        </w:rPr>
        <w:t xml:space="preserve"> </w:t>
      </w:r>
      <w:r>
        <w:rPr>
          <w:sz w:val="18"/>
        </w:rPr>
        <w:t>2012):</w:t>
      </w:r>
      <w:r>
        <w:rPr>
          <w:spacing w:val="-2"/>
          <w:sz w:val="18"/>
        </w:rPr>
        <w:t xml:space="preserve"> </w:t>
      </w:r>
      <w:r>
        <w:rPr>
          <w:sz w:val="18"/>
        </w:rPr>
        <w:t>364– 72, https://doi.org/10.1177/1090198111418634.</w:t>
      </w:r>
    </w:p>
    <w:p w:rsidR="00200FDA" w:rsidRDefault="00F76C4C">
      <w:pPr>
        <w:ind w:left="140"/>
        <w:rPr>
          <w:sz w:val="18"/>
        </w:rPr>
      </w:pPr>
      <w:r>
        <w:rPr>
          <w:position w:val="5"/>
          <w:sz w:val="12"/>
        </w:rPr>
        <w:t>5</w:t>
      </w:r>
      <w:r>
        <w:rPr>
          <w:spacing w:val="10"/>
          <w:position w:val="5"/>
          <w:sz w:val="12"/>
        </w:rPr>
        <w:t xml:space="preserve"> </w:t>
      </w:r>
      <w:r>
        <w:rPr>
          <w:sz w:val="18"/>
        </w:rPr>
        <w:t>Golden</w:t>
      </w:r>
      <w:r>
        <w:rPr>
          <w:spacing w:val="-2"/>
          <w:sz w:val="18"/>
        </w:rPr>
        <w:t xml:space="preserve"> </w:t>
      </w:r>
      <w:r>
        <w:rPr>
          <w:sz w:val="18"/>
        </w:rPr>
        <w:t>and</w:t>
      </w:r>
      <w:r>
        <w:rPr>
          <w:spacing w:val="-2"/>
          <w:sz w:val="18"/>
        </w:rPr>
        <w:t xml:space="preserve"> Earp.</w:t>
      </w:r>
    </w:p>
    <w:p w:rsidR="00200FDA" w:rsidRDefault="00F76C4C">
      <w:pPr>
        <w:spacing w:before="1"/>
        <w:ind w:left="140" w:hanging="1"/>
        <w:rPr>
          <w:sz w:val="18"/>
        </w:rPr>
      </w:pPr>
      <w:r>
        <w:rPr>
          <w:position w:val="5"/>
          <w:sz w:val="12"/>
        </w:rPr>
        <w:t>6</w:t>
      </w:r>
      <w:r>
        <w:rPr>
          <w:spacing w:val="9"/>
          <w:position w:val="5"/>
          <w:sz w:val="12"/>
        </w:rPr>
        <w:t xml:space="preserve"> </w:t>
      </w:r>
      <w:r>
        <w:rPr>
          <w:sz w:val="18"/>
        </w:rPr>
        <w:t>American</w:t>
      </w:r>
      <w:r>
        <w:rPr>
          <w:spacing w:val="-4"/>
          <w:sz w:val="18"/>
        </w:rPr>
        <w:t xml:space="preserve"> </w:t>
      </w:r>
      <w:r>
        <w:rPr>
          <w:sz w:val="18"/>
        </w:rPr>
        <w:t>College</w:t>
      </w:r>
      <w:r>
        <w:rPr>
          <w:spacing w:val="-4"/>
          <w:sz w:val="18"/>
        </w:rPr>
        <w:t xml:space="preserve"> </w:t>
      </w:r>
      <w:r>
        <w:rPr>
          <w:sz w:val="18"/>
        </w:rPr>
        <w:t>Health</w:t>
      </w:r>
      <w:r>
        <w:rPr>
          <w:spacing w:val="-4"/>
          <w:sz w:val="18"/>
        </w:rPr>
        <w:t xml:space="preserve"> </w:t>
      </w:r>
      <w:r>
        <w:rPr>
          <w:sz w:val="18"/>
        </w:rPr>
        <w:t>Association,</w:t>
      </w:r>
      <w:r>
        <w:rPr>
          <w:spacing w:val="-3"/>
          <w:sz w:val="18"/>
        </w:rPr>
        <w:t xml:space="preserve"> </w:t>
      </w:r>
      <w:r>
        <w:rPr>
          <w:sz w:val="18"/>
        </w:rPr>
        <w:t>“Ecological</w:t>
      </w:r>
      <w:r>
        <w:rPr>
          <w:spacing w:val="-4"/>
          <w:sz w:val="18"/>
        </w:rPr>
        <w:t xml:space="preserve"> </w:t>
      </w:r>
      <w:r>
        <w:rPr>
          <w:sz w:val="18"/>
        </w:rPr>
        <w:t>Model,”</w:t>
      </w:r>
      <w:r>
        <w:rPr>
          <w:spacing w:val="-4"/>
          <w:sz w:val="18"/>
        </w:rPr>
        <w:t xml:space="preserve"> </w:t>
      </w:r>
      <w:r>
        <w:rPr>
          <w:sz w:val="18"/>
        </w:rPr>
        <w:t>Healthy</w:t>
      </w:r>
      <w:r>
        <w:rPr>
          <w:spacing w:val="-1"/>
          <w:sz w:val="18"/>
        </w:rPr>
        <w:t xml:space="preserve"> </w:t>
      </w:r>
      <w:r>
        <w:rPr>
          <w:sz w:val="18"/>
        </w:rPr>
        <w:t>Campus,</w:t>
      </w:r>
      <w:r>
        <w:rPr>
          <w:spacing w:val="-3"/>
          <w:sz w:val="18"/>
        </w:rPr>
        <w:t xml:space="preserve"> </w:t>
      </w:r>
      <w:r>
        <w:rPr>
          <w:sz w:val="18"/>
        </w:rPr>
        <w:t>accessed</w:t>
      </w:r>
      <w:r>
        <w:rPr>
          <w:spacing w:val="-4"/>
          <w:sz w:val="18"/>
        </w:rPr>
        <w:t xml:space="preserve"> </w:t>
      </w:r>
      <w:r>
        <w:rPr>
          <w:sz w:val="18"/>
        </w:rPr>
        <w:t>December</w:t>
      </w:r>
      <w:r>
        <w:rPr>
          <w:spacing w:val="-4"/>
          <w:sz w:val="18"/>
        </w:rPr>
        <w:t xml:space="preserve"> </w:t>
      </w:r>
      <w:r>
        <w:rPr>
          <w:sz w:val="18"/>
        </w:rPr>
        <w:t xml:space="preserve">17, 2022, </w:t>
      </w:r>
      <w:r>
        <w:rPr>
          <w:spacing w:val="-2"/>
          <w:sz w:val="18"/>
        </w:rPr>
        <w:t>https:</w:t>
      </w:r>
      <w:hyperlink r:id="rId183">
        <w:r>
          <w:rPr>
            <w:spacing w:val="-2"/>
            <w:sz w:val="18"/>
          </w:rPr>
          <w:t>//w</w:t>
        </w:r>
      </w:hyperlink>
      <w:r>
        <w:rPr>
          <w:spacing w:val="-2"/>
          <w:sz w:val="18"/>
        </w:rPr>
        <w:t>ww</w:t>
      </w:r>
      <w:hyperlink r:id="rId184">
        <w:r>
          <w:rPr>
            <w:spacing w:val="-2"/>
            <w:sz w:val="18"/>
          </w:rPr>
          <w:t>.acha.org/HealthyCampus/HealthyCampus/Ecological_Model.aspx.</w:t>
        </w:r>
      </w:hyperlink>
    </w:p>
    <w:p w:rsidR="00200FDA" w:rsidRDefault="00F76C4C">
      <w:pPr>
        <w:ind w:left="140" w:right="418" w:hanging="1"/>
        <w:rPr>
          <w:sz w:val="18"/>
        </w:rPr>
      </w:pPr>
      <w:r>
        <w:rPr>
          <w:position w:val="5"/>
          <w:sz w:val="12"/>
        </w:rPr>
        <w:t>7</w:t>
      </w:r>
      <w:r>
        <w:rPr>
          <w:spacing w:val="9"/>
          <w:position w:val="5"/>
          <w:sz w:val="12"/>
        </w:rPr>
        <w:t xml:space="preserve"> </w:t>
      </w:r>
      <w:r>
        <w:rPr>
          <w:sz w:val="18"/>
        </w:rPr>
        <w:t>“Recommended</w:t>
      </w:r>
      <w:r>
        <w:rPr>
          <w:spacing w:val="-4"/>
          <w:sz w:val="18"/>
        </w:rPr>
        <w:t xml:space="preserve"> </w:t>
      </w:r>
      <w:r>
        <w:rPr>
          <w:sz w:val="18"/>
        </w:rPr>
        <w:t>Data</w:t>
      </w:r>
      <w:r>
        <w:rPr>
          <w:spacing w:val="-3"/>
          <w:sz w:val="18"/>
        </w:rPr>
        <w:t xml:space="preserve"> </w:t>
      </w:r>
      <w:r>
        <w:rPr>
          <w:sz w:val="18"/>
        </w:rPr>
        <w:t>Reporting</w:t>
      </w:r>
      <w:r>
        <w:rPr>
          <w:spacing w:val="-2"/>
          <w:sz w:val="18"/>
        </w:rPr>
        <w:t xml:space="preserve"> </w:t>
      </w:r>
      <w:r>
        <w:rPr>
          <w:sz w:val="18"/>
        </w:rPr>
        <w:t>Standards:</w:t>
      </w:r>
      <w:r>
        <w:rPr>
          <w:spacing w:val="-3"/>
          <w:sz w:val="18"/>
        </w:rPr>
        <w:t xml:space="preserve"> </w:t>
      </w:r>
      <w:r>
        <w:rPr>
          <w:sz w:val="18"/>
        </w:rPr>
        <w:t>Recommendations</w:t>
      </w:r>
      <w:r>
        <w:rPr>
          <w:spacing w:val="-4"/>
          <w:sz w:val="18"/>
        </w:rPr>
        <w:t xml:space="preserve"> </w:t>
      </w:r>
      <w:r>
        <w:rPr>
          <w:sz w:val="18"/>
        </w:rPr>
        <w:t>for</w:t>
      </w:r>
      <w:r>
        <w:rPr>
          <w:spacing w:val="-1"/>
          <w:sz w:val="18"/>
        </w:rPr>
        <w:t xml:space="preserve"> </w:t>
      </w:r>
      <w:r>
        <w:rPr>
          <w:sz w:val="18"/>
        </w:rPr>
        <w:t>Reporting</w:t>
      </w:r>
      <w:r>
        <w:rPr>
          <w:spacing w:val="-4"/>
          <w:sz w:val="18"/>
        </w:rPr>
        <w:t xml:space="preserve"> </w:t>
      </w:r>
      <w:r>
        <w:rPr>
          <w:sz w:val="18"/>
        </w:rPr>
        <w:t>on</w:t>
      </w:r>
      <w:r>
        <w:rPr>
          <w:spacing w:val="-4"/>
          <w:sz w:val="18"/>
        </w:rPr>
        <w:t xml:space="preserve"> </w:t>
      </w:r>
      <w:r>
        <w:rPr>
          <w:sz w:val="18"/>
        </w:rPr>
        <w:t>Race,</w:t>
      </w:r>
      <w:r>
        <w:rPr>
          <w:spacing w:val="-3"/>
          <w:sz w:val="18"/>
        </w:rPr>
        <w:t xml:space="preserve"> </w:t>
      </w:r>
      <w:r>
        <w:rPr>
          <w:sz w:val="18"/>
        </w:rPr>
        <w:t>Ethnicity,</w:t>
      </w:r>
      <w:r>
        <w:rPr>
          <w:spacing w:val="-3"/>
          <w:sz w:val="18"/>
        </w:rPr>
        <w:t xml:space="preserve"> </w:t>
      </w:r>
      <w:r>
        <w:rPr>
          <w:sz w:val="18"/>
        </w:rPr>
        <w:t>Sexual</w:t>
      </w:r>
      <w:r>
        <w:rPr>
          <w:spacing w:val="-4"/>
          <w:sz w:val="18"/>
        </w:rPr>
        <w:t xml:space="preserve"> </w:t>
      </w:r>
      <w:r>
        <w:rPr>
          <w:sz w:val="18"/>
        </w:rPr>
        <w:t>Orientation</w:t>
      </w:r>
      <w:r>
        <w:rPr>
          <w:spacing w:val="-4"/>
          <w:sz w:val="18"/>
        </w:rPr>
        <w:t xml:space="preserve"> </w:t>
      </w:r>
      <w:r>
        <w:rPr>
          <w:sz w:val="18"/>
        </w:rPr>
        <w:t xml:space="preserve">and Gender Identity” (Massachusetts: The Juvenile Justice Policy and Data Board, November 2020), </w:t>
      </w:r>
      <w:r>
        <w:rPr>
          <w:spacing w:val="-2"/>
          <w:sz w:val="18"/>
        </w:rPr>
        <w:t>https://drive.google.com/drive/u/2/folders/18_t2Wa0JjoIyKMPhwpJLiKhzK0G6VdNJ.</w:t>
      </w:r>
    </w:p>
    <w:p w:rsidR="00200FDA" w:rsidRDefault="00F76C4C">
      <w:pPr>
        <w:ind w:left="140" w:right="484" w:hanging="1"/>
        <w:rPr>
          <w:sz w:val="18"/>
        </w:rPr>
      </w:pPr>
      <w:r>
        <w:rPr>
          <w:position w:val="5"/>
          <w:sz w:val="12"/>
        </w:rPr>
        <w:t>8</w:t>
      </w:r>
      <w:r>
        <w:rPr>
          <w:spacing w:val="9"/>
          <w:position w:val="5"/>
          <w:sz w:val="12"/>
        </w:rPr>
        <w:t xml:space="preserve"> </w:t>
      </w:r>
      <w:r>
        <w:rPr>
          <w:sz w:val="18"/>
        </w:rPr>
        <w:t>Alison</w:t>
      </w:r>
      <w:r>
        <w:rPr>
          <w:spacing w:val="-4"/>
          <w:sz w:val="18"/>
        </w:rPr>
        <w:t xml:space="preserve"> </w:t>
      </w:r>
      <w:r>
        <w:rPr>
          <w:sz w:val="18"/>
        </w:rPr>
        <w:t>Delpercio</w:t>
      </w:r>
      <w:r>
        <w:rPr>
          <w:spacing w:val="-2"/>
          <w:sz w:val="18"/>
        </w:rPr>
        <w:t xml:space="preserve"> </w:t>
      </w:r>
      <w:r>
        <w:rPr>
          <w:sz w:val="18"/>
        </w:rPr>
        <w:t>and</w:t>
      </w:r>
      <w:r>
        <w:rPr>
          <w:spacing w:val="-4"/>
          <w:sz w:val="18"/>
        </w:rPr>
        <w:t xml:space="preserve"> </w:t>
      </w:r>
      <w:r>
        <w:rPr>
          <w:sz w:val="18"/>
        </w:rPr>
        <w:t>Gabe</w:t>
      </w:r>
      <w:r>
        <w:rPr>
          <w:spacing w:val="-4"/>
          <w:sz w:val="18"/>
        </w:rPr>
        <w:t xml:space="preserve"> </w:t>
      </w:r>
      <w:r>
        <w:rPr>
          <w:sz w:val="18"/>
        </w:rPr>
        <w:t>Murchison,</w:t>
      </w:r>
      <w:r>
        <w:rPr>
          <w:spacing w:val="-3"/>
          <w:sz w:val="18"/>
        </w:rPr>
        <w:t xml:space="preserve"> </w:t>
      </w:r>
      <w:r>
        <w:rPr>
          <w:sz w:val="18"/>
        </w:rPr>
        <w:t>“S</w:t>
      </w:r>
      <w:r>
        <w:rPr>
          <w:sz w:val="18"/>
        </w:rPr>
        <w:t>OGIE*</w:t>
      </w:r>
      <w:r>
        <w:rPr>
          <w:spacing w:val="-4"/>
          <w:sz w:val="18"/>
        </w:rPr>
        <w:t xml:space="preserve"> </w:t>
      </w:r>
      <w:r>
        <w:rPr>
          <w:sz w:val="18"/>
        </w:rPr>
        <w:t>Data</w:t>
      </w:r>
      <w:r>
        <w:rPr>
          <w:spacing w:val="-3"/>
          <w:sz w:val="18"/>
        </w:rPr>
        <w:t xml:space="preserve"> </w:t>
      </w:r>
      <w:r>
        <w:rPr>
          <w:sz w:val="18"/>
        </w:rPr>
        <w:t>Collection”</w:t>
      </w:r>
      <w:r>
        <w:rPr>
          <w:spacing w:val="-4"/>
          <w:sz w:val="18"/>
        </w:rPr>
        <w:t xml:space="preserve"> </w:t>
      </w:r>
      <w:r>
        <w:rPr>
          <w:sz w:val="18"/>
        </w:rPr>
        <w:t>(Washington,</w:t>
      </w:r>
      <w:r>
        <w:rPr>
          <w:spacing w:val="-3"/>
          <w:sz w:val="18"/>
        </w:rPr>
        <w:t xml:space="preserve"> </w:t>
      </w:r>
      <w:r>
        <w:rPr>
          <w:sz w:val="18"/>
        </w:rPr>
        <w:t>D.C.:</w:t>
      </w:r>
      <w:r>
        <w:rPr>
          <w:spacing w:val="-3"/>
          <w:sz w:val="18"/>
        </w:rPr>
        <w:t xml:space="preserve"> </w:t>
      </w:r>
      <w:r>
        <w:rPr>
          <w:sz w:val="18"/>
        </w:rPr>
        <w:t>Human</w:t>
      </w:r>
      <w:r>
        <w:rPr>
          <w:spacing w:val="-4"/>
          <w:sz w:val="18"/>
        </w:rPr>
        <w:t xml:space="preserve"> </w:t>
      </w:r>
      <w:r>
        <w:rPr>
          <w:sz w:val="18"/>
        </w:rPr>
        <w:t>Rights</w:t>
      </w:r>
      <w:r>
        <w:rPr>
          <w:spacing w:val="-2"/>
          <w:sz w:val="18"/>
        </w:rPr>
        <w:t xml:space="preserve"> </w:t>
      </w:r>
      <w:r>
        <w:rPr>
          <w:sz w:val="18"/>
        </w:rPr>
        <w:t>Campaign</w:t>
      </w:r>
      <w:r>
        <w:rPr>
          <w:spacing w:val="-2"/>
          <w:sz w:val="18"/>
        </w:rPr>
        <w:t xml:space="preserve"> </w:t>
      </w:r>
      <w:r>
        <w:rPr>
          <w:sz w:val="18"/>
        </w:rPr>
        <w:t xml:space="preserve">Foundation, 2017), </w:t>
      </w:r>
      <w:hyperlink r:id="rId185">
        <w:r>
          <w:rPr>
            <w:sz w:val="18"/>
          </w:rPr>
          <w:t>http://assets2.hrc.org/files/assets/resources/HRC_ACAF_SOGIE_Data_C</w:t>
        </w:r>
        <w:r>
          <w:rPr>
            <w:sz w:val="18"/>
          </w:rPr>
          <w:t>ollection_Guide.pdf.</w:t>
        </w:r>
      </w:hyperlink>
    </w:p>
    <w:p w:rsidR="00200FDA" w:rsidRDefault="00200FDA">
      <w:pPr>
        <w:rPr>
          <w:sz w:val="18"/>
        </w:rPr>
        <w:sectPr w:rsidR="00200FDA">
          <w:pgSz w:w="11910" w:h="16840"/>
          <w:pgMar w:top="1100" w:right="1040" w:bottom="1260" w:left="1300" w:header="761" w:footer="1062" w:gutter="0"/>
          <w:cols w:space="720"/>
        </w:sectPr>
      </w:pPr>
    </w:p>
    <w:p w:rsidR="00200FDA" w:rsidRDefault="00200FDA">
      <w:pPr>
        <w:pStyle w:val="BodyText"/>
        <w:spacing w:before="12"/>
        <w:rPr>
          <w:sz w:val="27"/>
        </w:rPr>
      </w:pPr>
    </w:p>
    <w:p w:rsidR="00200FDA" w:rsidRDefault="00F76C4C">
      <w:pPr>
        <w:spacing w:before="69"/>
        <w:ind w:left="140" w:right="484" w:hanging="1"/>
        <w:rPr>
          <w:sz w:val="18"/>
        </w:rPr>
      </w:pPr>
      <w:r>
        <w:rPr>
          <w:position w:val="5"/>
          <w:sz w:val="12"/>
        </w:rPr>
        <w:t>9</w:t>
      </w:r>
      <w:r>
        <w:rPr>
          <w:spacing w:val="10"/>
          <w:position w:val="5"/>
          <w:sz w:val="12"/>
        </w:rPr>
        <w:t xml:space="preserve"> </w:t>
      </w:r>
      <w:r>
        <w:rPr>
          <w:sz w:val="18"/>
        </w:rPr>
        <w:t>“Ready,</w:t>
      </w:r>
      <w:r>
        <w:rPr>
          <w:spacing w:val="-2"/>
          <w:sz w:val="18"/>
        </w:rPr>
        <w:t xml:space="preserve"> </w:t>
      </w:r>
      <w:r>
        <w:rPr>
          <w:sz w:val="18"/>
        </w:rPr>
        <w:t>Set,</w:t>
      </w:r>
      <w:r>
        <w:rPr>
          <w:spacing w:val="-2"/>
          <w:sz w:val="18"/>
        </w:rPr>
        <w:t xml:space="preserve"> </w:t>
      </w:r>
      <w:r>
        <w:rPr>
          <w:sz w:val="18"/>
        </w:rPr>
        <w:t>Go!</w:t>
      </w:r>
      <w:r>
        <w:rPr>
          <w:spacing w:val="-1"/>
          <w:sz w:val="18"/>
        </w:rPr>
        <w:t xml:space="preserve"> </w:t>
      </w:r>
      <w:r>
        <w:rPr>
          <w:sz w:val="18"/>
        </w:rPr>
        <w:t>Guidelines</w:t>
      </w:r>
      <w:r>
        <w:rPr>
          <w:spacing w:val="-3"/>
          <w:sz w:val="18"/>
        </w:rPr>
        <w:t xml:space="preserve"> </w:t>
      </w:r>
      <w:r>
        <w:rPr>
          <w:sz w:val="18"/>
        </w:rPr>
        <w:t>and</w:t>
      </w:r>
      <w:r>
        <w:rPr>
          <w:spacing w:val="-1"/>
          <w:sz w:val="18"/>
        </w:rPr>
        <w:t xml:space="preserve"> </w:t>
      </w:r>
      <w:r>
        <w:rPr>
          <w:sz w:val="18"/>
        </w:rPr>
        <w:t>Tips</w:t>
      </w:r>
      <w:r>
        <w:rPr>
          <w:spacing w:val="-3"/>
          <w:sz w:val="18"/>
        </w:rPr>
        <w:t xml:space="preserve"> </w:t>
      </w:r>
      <w:r>
        <w:rPr>
          <w:sz w:val="18"/>
        </w:rPr>
        <w:t>For</w:t>
      </w:r>
      <w:r>
        <w:rPr>
          <w:spacing w:val="-3"/>
          <w:sz w:val="18"/>
        </w:rPr>
        <w:t xml:space="preserve"> </w:t>
      </w:r>
      <w:r>
        <w:rPr>
          <w:sz w:val="18"/>
        </w:rPr>
        <w:t>Collecting</w:t>
      </w:r>
      <w:r>
        <w:rPr>
          <w:spacing w:val="-3"/>
          <w:sz w:val="18"/>
        </w:rPr>
        <w:t xml:space="preserve"> </w:t>
      </w:r>
      <w:r>
        <w:rPr>
          <w:sz w:val="18"/>
        </w:rPr>
        <w:t>Patient Data</w:t>
      </w:r>
      <w:r>
        <w:rPr>
          <w:spacing w:val="-2"/>
          <w:sz w:val="18"/>
        </w:rPr>
        <w:t xml:space="preserve"> </w:t>
      </w:r>
      <w:r>
        <w:rPr>
          <w:sz w:val="18"/>
        </w:rPr>
        <w:t>on</w:t>
      </w:r>
      <w:r>
        <w:rPr>
          <w:spacing w:val="-3"/>
          <w:sz w:val="18"/>
        </w:rPr>
        <w:t xml:space="preserve"> </w:t>
      </w:r>
      <w:r>
        <w:rPr>
          <w:sz w:val="18"/>
        </w:rPr>
        <w:t>Sexual</w:t>
      </w:r>
      <w:r>
        <w:rPr>
          <w:spacing w:val="-3"/>
          <w:sz w:val="18"/>
        </w:rPr>
        <w:t xml:space="preserve"> </w:t>
      </w:r>
      <w:r>
        <w:rPr>
          <w:sz w:val="18"/>
        </w:rPr>
        <w:t>Orientation</w:t>
      </w:r>
      <w:r>
        <w:rPr>
          <w:spacing w:val="-3"/>
          <w:sz w:val="18"/>
        </w:rPr>
        <w:t xml:space="preserve"> </w:t>
      </w:r>
      <w:r>
        <w:rPr>
          <w:sz w:val="18"/>
        </w:rPr>
        <w:t>and</w:t>
      </w:r>
      <w:r>
        <w:rPr>
          <w:spacing w:val="-3"/>
          <w:sz w:val="18"/>
        </w:rPr>
        <w:t xml:space="preserve"> </w:t>
      </w:r>
      <w:r>
        <w:rPr>
          <w:sz w:val="18"/>
        </w:rPr>
        <w:t>Gender Identity</w:t>
      </w:r>
      <w:r>
        <w:rPr>
          <w:spacing w:val="-2"/>
          <w:sz w:val="18"/>
        </w:rPr>
        <w:t xml:space="preserve"> </w:t>
      </w:r>
      <w:r>
        <w:rPr>
          <w:sz w:val="18"/>
        </w:rPr>
        <w:t>(SOGI)</w:t>
      </w:r>
      <w:r>
        <w:rPr>
          <w:spacing w:val="-2"/>
          <w:sz w:val="18"/>
        </w:rPr>
        <w:t xml:space="preserve"> </w:t>
      </w:r>
      <w:r>
        <w:rPr>
          <w:sz w:val="18"/>
        </w:rPr>
        <w:t>–</w:t>
      </w:r>
      <w:r>
        <w:rPr>
          <w:spacing w:val="-4"/>
          <w:sz w:val="18"/>
        </w:rPr>
        <w:t xml:space="preserve"> </w:t>
      </w:r>
      <w:r>
        <w:rPr>
          <w:sz w:val="18"/>
        </w:rPr>
        <w:t>2022 Update”</w:t>
      </w:r>
      <w:r>
        <w:rPr>
          <w:spacing w:val="-3"/>
          <w:sz w:val="18"/>
        </w:rPr>
        <w:t xml:space="preserve"> </w:t>
      </w:r>
      <w:r>
        <w:rPr>
          <w:sz w:val="18"/>
        </w:rPr>
        <w:t>(Boston,</w:t>
      </w:r>
      <w:r>
        <w:rPr>
          <w:spacing w:val="-2"/>
          <w:sz w:val="18"/>
        </w:rPr>
        <w:t xml:space="preserve"> </w:t>
      </w:r>
      <w:r>
        <w:rPr>
          <w:sz w:val="18"/>
        </w:rPr>
        <w:t>Massachusetts: National</w:t>
      </w:r>
      <w:r>
        <w:rPr>
          <w:spacing w:val="-3"/>
          <w:sz w:val="18"/>
        </w:rPr>
        <w:t xml:space="preserve"> </w:t>
      </w:r>
      <w:r>
        <w:rPr>
          <w:sz w:val="18"/>
        </w:rPr>
        <w:t>LGBTQIA+</w:t>
      </w:r>
      <w:r>
        <w:rPr>
          <w:spacing w:val="-3"/>
          <w:sz w:val="18"/>
        </w:rPr>
        <w:t xml:space="preserve"> </w:t>
      </w:r>
      <w:r>
        <w:rPr>
          <w:sz w:val="18"/>
        </w:rPr>
        <w:t>Health</w:t>
      </w:r>
      <w:r>
        <w:rPr>
          <w:spacing w:val="-3"/>
          <w:sz w:val="18"/>
        </w:rPr>
        <w:t xml:space="preserve"> </w:t>
      </w:r>
      <w:r>
        <w:rPr>
          <w:sz w:val="18"/>
        </w:rPr>
        <w:t>Education</w:t>
      </w:r>
      <w:r>
        <w:rPr>
          <w:spacing w:val="-3"/>
          <w:sz w:val="18"/>
        </w:rPr>
        <w:t xml:space="preserve"> </w:t>
      </w:r>
      <w:r>
        <w:rPr>
          <w:sz w:val="18"/>
        </w:rPr>
        <w:t>Center</w:t>
      </w:r>
      <w:r>
        <w:rPr>
          <w:spacing w:val="-3"/>
          <w:sz w:val="18"/>
        </w:rPr>
        <w:t xml:space="preserve"> </w:t>
      </w:r>
      <w:r>
        <w:rPr>
          <w:sz w:val="18"/>
        </w:rPr>
        <w:t>-</w:t>
      </w:r>
      <w:r>
        <w:rPr>
          <w:spacing w:val="-2"/>
          <w:sz w:val="18"/>
        </w:rPr>
        <w:t xml:space="preserve"> </w:t>
      </w:r>
      <w:r>
        <w:rPr>
          <w:sz w:val="18"/>
        </w:rPr>
        <w:t>A</w:t>
      </w:r>
      <w:r>
        <w:rPr>
          <w:spacing w:val="-3"/>
          <w:sz w:val="18"/>
        </w:rPr>
        <w:t xml:space="preserve"> </w:t>
      </w:r>
      <w:r>
        <w:rPr>
          <w:sz w:val="18"/>
        </w:rPr>
        <w:t>Program</w:t>
      </w:r>
      <w:r>
        <w:rPr>
          <w:spacing w:val="-2"/>
          <w:sz w:val="18"/>
        </w:rPr>
        <w:t xml:space="preserve"> </w:t>
      </w:r>
      <w:r>
        <w:rPr>
          <w:sz w:val="18"/>
        </w:rPr>
        <w:t>of</w:t>
      </w:r>
      <w:r>
        <w:rPr>
          <w:spacing w:val="-2"/>
          <w:sz w:val="18"/>
        </w:rPr>
        <w:t xml:space="preserve"> </w:t>
      </w:r>
      <w:r>
        <w:rPr>
          <w:sz w:val="18"/>
        </w:rPr>
        <w:t>the</w:t>
      </w:r>
      <w:r>
        <w:rPr>
          <w:spacing w:val="-3"/>
          <w:sz w:val="18"/>
        </w:rPr>
        <w:t xml:space="preserve"> </w:t>
      </w:r>
      <w:r>
        <w:rPr>
          <w:sz w:val="18"/>
        </w:rPr>
        <w:t>Fenway</w:t>
      </w:r>
      <w:r>
        <w:rPr>
          <w:spacing w:val="-2"/>
          <w:sz w:val="18"/>
        </w:rPr>
        <w:t xml:space="preserve"> </w:t>
      </w:r>
      <w:r>
        <w:rPr>
          <w:sz w:val="18"/>
        </w:rPr>
        <w:t>Institute,</w:t>
      </w:r>
      <w:r>
        <w:rPr>
          <w:spacing w:val="-2"/>
          <w:sz w:val="18"/>
        </w:rPr>
        <w:t xml:space="preserve"> </w:t>
      </w:r>
      <w:r>
        <w:rPr>
          <w:sz w:val="18"/>
        </w:rPr>
        <w:t>May</w:t>
      </w:r>
      <w:r>
        <w:rPr>
          <w:spacing w:val="-2"/>
          <w:sz w:val="18"/>
        </w:rPr>
        <w:t xml:space="preserve"> </w:t>
      </w:r>
      <w:r>
        <w:rPr>
          <w:sz w:val="18"/>
        </w:rPr>
        <w:t>5, 2022), https://</w:t>
      </w:r>
      <w:hyperlink r:id="rId186">
        <w:r>
          <w:rPr>
            <w:sz w:val="18"/>
          </w:rPr>
          <w:t>www.lgbtqiahealtheducation.org/publication/ready-set-go-a-guide-for-collecting-data-on-sexual-</w:t>
        </w:r>
      </w:hyperlink>
      <w:r>
        <w:rPr>
          <w:sz w:val="18"/>
        </w:rPr>
        <w:t xml:space="preserve"> </w:t>
      </w:r>
      <w:r>
        <w:rPr>
          <w:spacing w:val="-2"/>
          <w:sz w:val="18"/>
        </w:rPr>
        <w:t>orientation-and-gender-identity-2022-update/.</w:t>
      </w:r>
    </w:p>
    <w:p w:rsidR="00200FDA" w:rsidRDefault="00F76C4C">
      <w:pPr>
        <w:spacing w:before="2"/>
        <w:ind w:left="140" w:right="418"/>
        <w:rPr>
          <w:sz w:val="18"/>
        </w:rPr>
      </w:pPr>
      <w:r>
        <w:rPr>
          <w:position w:val="5"/>
          <w:sz w:val="12"/>
        </w:rPr>
        <w:t>10</w:t>
      </w:r>
      <w:r>
        <w:rPr>
          <w:spacing w:val="20"/>
          <w:position w:val="5"/>
          <w:sz w:val="12"/>
        </w:rPr>
        <w:t xml:space="preserve"> </w:t>
      </w:r>
      <w:r>
        <w:rPr>
          <w:sz w:val="18"/>
        </w:rPr>
        <w:t>“Fast Facts: Preventing Teen Dating Violence,” Centers for Disease Control and Prevention - Violence Prevention, February</w:t>
      </w:r>
      <w:r>
        <w:rPr>
          <w:spacing w:val="-11"/>
          <w:sz w:val="18"/>
        </w:rPr>
        <w:t xml:space="preserve"> </w:t>
      </w:r>
      <w:r>
        <w:rPr>
          <w:sz w:val="18"/>
        </w:rPr>
        <w:t>8,</w:t>
      </w:r>
      <w:r>
        <w:rPr>
          <w:spacing w:val="-10"/>
          <w:sz w:val="18"/>
        </w:rPr>
        <w:t xml:space="preserve"> </w:t>
      </w:r>
      <w:r>
        <w:rPr>
          <w:sz w:val="18"/>
        </w:rPr>
        <w:t>2023,</w:t>
      </w:r>
      <w:r>
        <w:rPr>
          <w:spacing w:val="-10"/>
          <w:sz w:val="18"/>
        </w:rPr>
        <w:t xml:space="preserve"> </w:t>
      </w:r>
      <w:r>
        <w:rPr>
          <w:sz w:val="18"/>
        </w:rPr>
        <w:t>https://</w:t>
      </w:r>
      <w:hyperlink r:id="rId187">
        <w:r>
          <w:rPr>
            <w:sz w:val="18"/>
          </w:rPr>
          <w:t>www.cdc.gov/violenceprevention/intimatepartnerviolence/teendatingviolence/fastfact.html.</w:t>
        </w:r>
      </w:hyperlink>
    </w:p>
    <w:p w:rsidR="00200FDA" w:rsidRDefault="00F76C4C">
      <w:pPr>
        <w:spacing w:line="219" w:lineRule="exact"/>
        <w:ind w:left="140"/>
        <w:rPr>
          <w:sz w:val="18"/>
        </w:rPr>
      </w:pPr>
      <w:r>
        <w:rPr>
          <w:position w:val="5"/>
          <w:sz w:val="12"/>
        </w:rPr>
        <w:t>11</w:t>
      </w:r>
      <w:r>
        <w:rPr>
          <w:spacing w:val="9"/>
          <w:position w:val="5"/>
          <w:sz w:val="12"/>
        </w:rPr>
        <w:t xml:space="preserve"> </w:t>
      </w:r>
      <w:r>
        <w:rPr>
          <w:sz w:val="18"/>
        </w:rPr>
        <w:t>“2021</w:t>
      </w:r>
      <w:r>
        <w:rPr>
          <w:spacing w:val="-2"/>
          <w:sz w:val="18"/>
        </w:rPr>
        <w:t xml:space="preserve"> </w:t>
      </w:r>
      <w:r>
        <w:rPr>
          <w:sz w:val="18"/>
        </w:rPr>
        <w:t>Massachusetts</w:t>
      </w:r>
      <w:r>
        <w:rPr>
          <w:spacing w:val="-3"/>
          <w:sz w:val="18"/>
        </w:rPr>
        <w:t xml:space="preserve"> </w:t>
      </w:r>
      <w:r>
        <w:rPr>
          <w:sz w:val="18"/>
        </w:rPr>
        <w:t>Youth</w:t>
      </w:r>
      <w:r>
        <w:rPr>
          <w:spacing w:val="-3"/>
          <w:sz w:val="18"/>
        </w:rPr>
        <w:t xml:space="preserve"> </w:t>
      </w:r>
      <w:r>
        <w:rPr>
          <w:sz w:val="18"/>
        </w:rPr>
        <w:t>Risk</w:t>
      </w:r>
      <w:r>
        <w:rPr>
          <w:spacing w:val="-1"/>
          <w:sz w:val="18"/>
        </w:rPr>
        <w:t xml:space="preserve"> </w:t>
      </w:r>
      <w:r>
        <w:rPr>
          <w:sz w:val="18"/>
        </w:rPr>
        <w:t>Behavior</w:t>
      </w:r>
      <w:r>
        <w:rPr>
          <w:spacing w:val="-3"/>
          <w:sz w:val="18"/>
        </w:rPr>
        <w:t xml:space="preserve"> </w:t>
      </w:r>
      <w:r>
        <w:rPr>
          <w:sz w:val="18"/>
        </w:rPr>
        <w:t>Survey</w:t>
      </w:r>
      <w:r>
        <w:rPr>
          <w:spacing w:val="-2"/>
          <w:sz w:val="18"/>
        </w:rPr>
        <w:t xml:space="preserve"> </w:t>
      </w:r>
      <w:r>
        <w:rPr>
          <w:sz w:val="18"/>
        </w:rPr>
        <w:t>Data,”</w:t>
      </w:r>
      <w:r>
        <w:rPr>
          <w:spacing w:val="-3"/>
          <w:sz w:val="18"/>
        </w:rPr>
        <w:t xml:space="preserve"> </w:t>
      </w:r>
      <w:r>
        <w:rPr>
          <w:spacing w:val="-4"/>
          <w:sz w:val="18"/>
        </w:rPr>
        <w:t>n.d.</w:t>
      </w:r>
    </w:p>
    <w:p w:rsidR="00200FDA" w:rsidRDefault="00F76C4C">
      <w:pPr>
        <w:spacing w:line="219" w:lineRule="exact"/>
        <w:ind w:left="140"/>
        <w:rPr>
          <w:sz w:val="18"/>
        </w:rPr>
      </w:pPr>
      <w:r>
        <w:rPr>
          <w:position w:val="5"/>
          <w:sz w:val="12"/>
        </w:rPr>
        <w:t>12</w:t>
      </w:r>
      <w:r>
        <w:rPr>
          <w:spacing w:val="9"/>
          <w:position w:val="5"/>
          <w:sz w:val="12"/>
        </w:rPr>
        <w:t xml:space="preserve"> </w:t>
      </w:r>
      <w:r>
        <w:rPr>
          <w:sz w:val="18"/>
        </w:rPr>
        <w:t>“2021</w:t>
      </w:r>
      <w:r>
        <w:rPr>
          <w:spacing w:val="-3"/>
          <w:sz w:val="18"/>
        </w:rPr>
        <w:t xml:space="preserve"> </w:t>
      </w:r>
      <w:r>
        <w:rPr>
          <w:sz w:val="18"/>
        </w:rPr>
        <w:t>Massachusetts</w:t>
      </w:r>
      <w:r>
        <w:rPr>
          <w:spacing w:val="-3"/>
          <w:sz w:val="18"/>
        </w:rPr>
        <w:t xml:space="preserve"> </w:t>
      </w:r>
      <w:r>
        <w:rPr>
          <w:sz w:val="18"/>
        </w:rPr>
        <w:t>Youth</w:t>
      </w:r>
      <w:r>
        <w:rPr>
          <w:spacing w:val="-4"/>
          <w:sz w:val="18"/>
        </w:rPr>
        <w:t xml:space="preserve"> </w:t>
      </w:r>
      <w:r>
        <w:rPr>
          <w:sz w:val="18"/>
        </w:rPr>
        <w:t>Risk Behavior</w:t>
      </w:r>
      <w:r>
        <w:rPr>
          <w:spacing w:val="-4"/>
          <w:sz w:val="18"/>
        </w:rPr>
        <w:t xml:space="preserve"> </w:t>
      </w:r>
      <w:r>
        <w:rPr>
          <w:sz w:val="18"/>
        </w:rPr>
        <w:t>Survey</w:t>
      </w:r>
      <w:r>
        <w:rPr>
          <w:spacing w:val="-2"/>
          <w:sz w:val="18"/>
        </w:rPr>
        <w:t xml:space="preserve"> Data.”</w:t>
      </w:r>
    </w:p>
    <w:p w:rsidR="00200FDA" w:rsidRDefault="00F76C4C">
      <w:pPr>
        <w:spacing w:before="1"/>
        <w:ind w:left="140" w:right="467" w:hanging="1"/>
        <w:jc w:val="both"/>
        <w:rPr>
          <w:sz w:val="18"/>
        </w:rPr>
      </w:pPr>
      <w:r>
        <w:rPr>
          <w:position w:val="5"/>
          <w:sz w:val="12"/>
        </w:rPr>
        <w:t>13</w:t>
      </w:r>
      <w:r>
        <w:rPr>
          <w:spacing w:val="12"/>
          <w:position w:val="5"/>
          <w:sz w:val="12"/>
        </w:rPr>
        <w:t xml:space="preserve"> </w:t>
      </w:r>
      <w:r>
        <w:rPr>
          <w:sz w:val="18"/>
        </w:rPr>
        <w:t>S. E. James</w:t>
      </w:r>
      <w:r>
        <w:rPr>
          <w:spacing w:val="-1"/>
          <w:sz w:val="18"/>
        </w:rPr>
        <w:t xml:space="preserve"> </w:t>
      </w:r>
      <w:r>
        <w:rPr>
          <w:sz w:val="18"/>
        </w:rPr>
        <w:t>et</w:t>
      </w:r>
      <w:r>
        <w:rPr>
          <w:spacing w:val="-1"/>
          <w:sz w:val="18"/>
        </w:rPr>
        <w:t xml:space="preserve"> </w:t>
      </w:r>
      <w:r>
        <w:rPr>
          <w:sz w:val="18"/>
        </w:rPr>
        <w:t>al., “The</w:t>
      </w:r>
      <w:r>
        <w:rPr>
          <w:spacing w:val="-1"/>
          <w:sz w:val="18"/>
        </w:rPr>
        <w:t xml:space="preserve"> </w:t>
      </w:r>
      <w:r>
        <w:rPr>
          <w:sz w:val="18"/>
        </w:rPr>
        <w:t>Report</w:t>
      </w:r>
      <w:r>
        <w:rPr>
          <w:spacing w:val="-1"/>
          <w:sz w:val="18"/>
        </w:rPr>
        <w:t xml:space="preserve"> </w:t>
      </w:r>
      <w:r>
        <w:rPr>
          <w:sz w:val="18"/>
        </w:rPr>
        <w:t>of the</w:t>
      </w:r>
      <w:r>
        <w:rPr>
          <w:spacing w:val="-1"/>
          <w:sz w:val="18"/>
        </w:rPr>
        <w:t xml:space="preserve"> </w:t>
      </w:r>
      <w:r>
        <w:rPr>
          <w:sz w:val="18"/>
        </w:rPr>
        <w:t>2015 U.S. Transgender</w:t>
      </w:r>
      <w:r>
        <w:rPr>
          <w:spacing w:val="-1"/>
          <w:sz w:val="18"/>
        </w:rPr>
        <w:t xml:space="preserve"> </w:t>
      </w:r>
      <w:r>
        <w:rPr>
          <w:sz w:val="18"/>
        </w:rPr>
        <w:t>Survey”</w:t>
      </w:r>
      <w:r>
        <w:rPr>
          <w:spacing w:val="-1"/>
          <w:sz w:val="18"/>
        </w:rPr>
        <w:t xml:space="preserve"> </w:t>
      </w:r>
      <w:r>
        <w:rPr>
          <w:sz w:val="18"/>
        </w:rPr>
        <w:t>(Washington, D.C.: National</w:t>
      </w:r>
      <w:r>
        <w:rPr>
          <w:spacing w:val="-1"/>
          <w:sz w:val="18"/>
        </w:rPr>
        <w:t xml:space="preserve"> </w:t>
      </w:r>
      <w:r>
        <w:rPr>
          <w:sz w:val="18"/>
        </w:rPr>
        <w:t>Center</w:t>
      </w:r>
      <w:r>
        <w:rPr>
          <w:spacing w:val="-1"/>
          <w:sz w:val="18"/>
        </w:rPr>
        <w:t xml:space="preserve"> </w:t>
      </w:r>
      <w:r>
        <w:rPr>
          <w:sz w:val="18"/>
        </w:rPr>
        <w:t>for</w:t>
      </w:r>
      <w:r>
        <w:rPr>
          <w:spacing w:val="-1"/>
          <w:sz w:val="18"/>
        </w:rPr>
        <w:t xml:space="preserve"> </w:t>
      </w:r>
      <w:r>
        <w:rPr>
          <w:sz w:val="18"/>
        </w:rPr>
        <w:t>Transgender Equality</w:t>
      </w:r>
      <w:r>
        <w:rPr>
          <w:spacing w:val="-4"/>
          <w:sz w:val="18"/>
        </w:rPr>
        <w:t xml:space="preserve"> </w:t>
      </w:r>
      <w:r>
        <w:rPr>
          <w:sz w:val="18"/>
        </w:rPr>
        <w:t>and</w:t>
      </w:r>
      <w:r>
        <w:rPr>
          <w:spacing w:val="-5"/>
          <w:sz w:val="18"/>
        </w:rPr>
        <w:t xml:space="preserve"> </w:t>
      </w:r>
      <w:r>
        <w:rPr>
          <w:sz w:val="18"/>
        </w:rPr>
        <w:t>National</w:t>
      </w:r>
      <w:r>
        <w:rPr>
          <w:spacing w:val="-3"/>
          <w:sz w:val="18"/>
        </w:rPr>
        <w:t xml:space="preserve"> </w:t>
      </w:r>
      <w:r>
        <w:rPr>
          <w:sz w:val="18"/>
        </w:rPr>
        <w:t>Gay</w:t>
      </w:r>
      <w:r>
        <w:rPr>
          <w:spacing w:val="-4"/>
          <w:sz w:val="18"/>
        </w:rPr>
        <w:t xml:space="preserve"> </w:t>
      </w:r>
      <w:r>
        <w:rPr>
          <w:sz w:val="18"/>
        </w:rPr>
        <w:t>and</w:t>
      </w:r>
      <w:r>
        <w:rPr>
          <w:spacing w:val="-5"/>
          <w:sz w:val="18"/>
        </w:rPr>
        <w:t xml:space="preserve"> </w:t>
      </w:r>
      <w:r>
        <w:rPr>
          <w:sz w:val="18"/>
        </w:rPr>
        <w:t>Lesbian</w:t>
      </w:r>
      <w:r>
        <w:rPr>
          <w:spacing w:val="-5"/>
          <w:sz w:val="18"/>
        </w:rPr>
        <w:t xml:space="preserve"> </w:t>
      </w:r>
      <w:r>
        <w:rPr>
          <w:sz w:val="18"/>
        </w:rPr>
        <w:t>Task</w:t>
      </w:r>
      <w:r>
        <w:rPr>
          <w:spacing w:val="-3"/>
          <w:sz w:val="18"/>
        </w:rPr>
        <w:t xml:space="preserve"> </w:t>
      </w:r>
      <w:r>
        <w:rPr>
          <w:sz w:val="18"/>
        </w:rPr>
        <w:t>Force,</w:t>
      </w:r>
      <w:r>
        <w:rPr>
          <w:spacing w:val="-4"/>
          <w:sz w:val="18"/>
        </w:rPr>
        <w:t xml:space="preserve"> </w:t>
      </w:r>
      <w:r>
        <w:rPr>
          <w:sz w:val="18"/>
        </w:rPr>
        <w:t>2016),</w:t>
      </w:r>
      <w:r>
        <w:rPr>
          <w:spacing w:val="-4"/>
          <w:sz w:val="18"/>
        </w:rPr>
        <w:t xml:space="preserve"> </w:t>
      </w:r>
      <w:r>
        <w:rPr>
          <w:sz w:val="18"/>
        </w:rPr>
        <w:t xml:space="preserve">https://transequality.org/sites/default/files/docs/usts/USTS-Full- </w:t>
      </w:r>
      <w:r>
        <w:rPr>
          <w:spacing w:val="-2"/>
          <w:sz w:val="18"/>
        </w:rPr>
        <w:t>Report-Dec1</w:t>
      </w:r>
      <w:r>
        <w:rPr>
          <w:spacing w:val="-2"/>
          <w:sz w:val="18"/>
        </w:rPr>
        <w:t>7.pdf.</w:t>
      </w:r>
    </w:p>
    <w:p w:rsidR="00200FDA" w:rsidRDefault="00F76C4C">
      <w:pPr>
        <w:spacing w:line="218" w:lineRule="exact"/>
        <w:ind w:left="140"/>
        <w:jc w:val="both"/>
        <w:rPr>
          <w:sz w:val="18"/>
        </w:rPr>
      </w:pPr>
      <w:r>
        <w:rPr>
          <w:position w:val="5"/>
          <w:sz w:val="12"/>
        </w:rPr>
        <w:t>14</w:t>
      </w:r>
      <w:r>
        <w:rPr>
          <w:spacing w:val="11"/>
          <w:position w:val="5"/>
          <w:sz w:val="12"/>
        </w:rPr>
        <w:t xml:space="preserve"> </w:t>
      </w:r>
      <w:r>
        <w:rPr>
          <w:sz w:val="18"/>
        </w:rPr>
        <w:t>James</w:t>
      </w:r>
      <w:r>
        <w:rPr>
          <w:spacing w:val="-2"/>
          <w:sz w:val="18"/>
        </w:rPr>
        <w:t xml:space="preserve"> </w:t>
      </w:r>
      <w:r>
        <w:rPr>
          <w:sz w:val="18"/>
        </w:rPr>
        <w:t>et</w:t>
      </w:r>
      <w:r>
        <w:rPr>
          <w:spacing w:val="-2"/>
          <w:sz w:val="18"/>
        </w:rPr>
        <w:t xml:space="preserve"> </w:t>
      </w:r>
      <w:r>
        <w:rPr>
          <w:spacing w:val="-5"/>
          <w:sz w:val="18"/>
        </w:rPr>
        <w:t>al.</w:t>
      </w:r>
    </w:p>
    <w:p w:rsidR="00200FDA" w:rsidRDefault="00F76C4C">
      <w:pPr>
        <w:spacing w:before="1"/>
        <w:ind w:left="140"/>
        <w:jc w:val="both"/>
        <w:rPr>
          <w:sz w:val="18"/>
        </w:rPr>
      </w:pPr>
      <w:r>
        <w:rPr>
          <w:position w:val="5"/>
          <w:sz w:val="12"/>
        </w:rPr>
        <w:t>15</w:t>
      </w:r>
      <w:r>
        <w:rPr>
          <w:spacing w:val="11"/>
          <w:position w:val="5"/>
          <w:sz w:val="12"/>
        </w:rPr>
        <w:t xml:space="preserve"> </w:t>
      </w:r>
      <w:r>
        <w:rPr>
          <w:sz w:val="18"/>
        </w:rPr>
        <w:t>James</w:t>
      </w:r>
      <w:r>
        <w:rPr>
          <w:spacing w:val="-2"/>
          <w:sz w:val="18"/>
        </w:rPr>
        <w:t xml:space="preserve"> </w:t>
      </w:r>
      <w:r>
        <w:rPr>
          <w:sz w:val="18"/>
        </w:rPr>
        <w:t>et</w:t>
      </w:r>
      <w:r>
        <w:rPr>
          <w:spacing w:val="-2"/>
          <w:sz w:val="18"/>
        </w:rPr>
        <w:t xml:space="preserve"> </w:t>
      </w:r>
      <w:r>
        <w:rPr>
          <w:spacing w:val="-5"/>
          <w:sz w:val="18"/>
        </w:rPr>
        <w:t>al.</w:t>
      </w:r>
    </w:p>
    <w:p w:rsidR="00200FDA" w:rsidRDefault="00F76C4C">
      <w:pPr>
        <w:spacing w:before="1" w:line="219" w:lineRule="exact"/>
        <w:ind w:left="140"/>
        <w:rPr>
          <w:sz w:val="18"/>
        </w:rPr>
      </w:pPr>
      <w:r>
        <w:rPr>
          <w:position w:val="5"/>
          <w:sz w:val="12"/>
        </w:rPr>
        <w:t>16</w:t>
      </w:r>
      <w:r>
        <w:rPr>
          <w:spacing w:val="11"/>
          <w:position w:val="5"/>
          <w:sz w:val="12"/>
        </w:rPr>
        <w:t xml:space="preserve"> </w:t>
      </w:r>
      <w:r>
        <w:rPr>
          <w:sz w:val="18"/>
        </w:rPr>
        <w:t>James</w:t>
      </w:r>
      <w:r>
        <w:rPr>
          <w:spacing w:val="-2"/>
          <w:sz w:val="18"/>
        </w:rPr>
        <w:t xml:space="preserve"> </w:t>
      </w:r>
      <w:r>
        <w:rPr>
          <w:sz w:val="18"/>
        </w:rPr>
        <w:t>et</w:t>
      </w:r>
      <w:r>
        <w:rPr>
          <w:spacing w:val="-2"/>
          <w:sz w:val="18"/>
        </w:rPr>
        <w:t xml:space="preserve"> </w:t>
      </w:r>
      <w:r>
        <w:rPr>
          <w:spacing w:val="-5"/>
          <w:sz w:val="18"/>
        </w:rPr>
        <w:t>al.</w:t>
      </w:r>
    </w:p>
    <w:p w:rsidR="00200FDA" w:rsidRDefault="00F76C4C">
      <w:pPr>
        <w:spacing w:line="219" w:lineRule="exact"/>
        <w:ind w:left="140"/>
        <w:rPr>
          <w:sz w:val="18"/>
        </w:rPr>
      </w:pPr>
      <w:r>
        <w:rPr>
          <w:position w:val="5"/>
          <w:sz w:val="12"/>
        </w:rPr>
        <w:t>17</w:t>
      </w:r>
      <w:r>
        <w:rPr>
          <w:spacing w:val="11"/>
          <w:position w:val="5"/>
          <w:sz w:val="12"/>
        </w:rPr>
        <w:t xml:space="preserve"> </w:t>
      </w:r>
      <w:r>
        <w:rPr>
          <w:sz w:val="18"/>
        </w:rPr>
        <w:t>James</w:t>
      </w:r>
      <w:r>
        <w:rPr>
          <w:spacing w:val="-2"/>
          <w:sz w:val="18"/>
        </w:rPr>
        <w:t xml:space="preserve"> </w:t>
      </w:r>
      <w:r>
        <w:rPr>
          <w:sz w:val="18"/>
        </w:rPr>
        <w:t>et</w:t>
      </w:r>
      <w:r>
        <w:rPr>
          <w:spacing w:val="-2"/>
          <w:sz w:val="18"/>
        </w:rPr>
        <w:t xml:space="preserve"> </w:t>
      </w:r>
      <w:r>
        <w:rPr>
          <w:spacing w:val="-5"/>
          <w:sz w:val="18"/>
        </w:rPr>
        <w:t>al.</w:t>
      </w:r>
    </w:p>
    <w:p w:rsidR="00200FDA" w:rsidRDefault="00F76C4C">
      <w:pPr>
        <w:spacing w:before="1" w:line="219" w:lineRule="exact"/>
        <w:ind w:left="140"/>
        <w:rPr>
          <w:sz w:val="18"/>
        </w:rPr>
      </w:pPr>
      <w:r>
        <w:rPr>
          <w:position w:val="5"/>
          <w:sz w:val="12"/>
        </w:rPr>
        <w:t>18</w:t>
      </w:r>
      <w:r>
        <w:rPr>
          <w:spacing w:val="11"/>
          <w:position w:val="5"/>
          <w:sz w:val="12"/>
        </w:rPr>
        <w:t xml:space="preserve"> </w:t>
      </w:r>
      <w:r>
        <w:rPr>
          <w:sz w:val="18"/>
        </w:rPr>
        <w:t>James</w:t>
      </w:r>
      <w:r>
        <w:rPr>
          <w:spacing w:val="-2"/>
          <w:sz w:val="18"/>
        </w:rPr>
        <w:t xml:space="preserve"> </w:t>
      </w:r>
      <w:r>
        <w:rPr>
          <w:sz w:val="18"/>
        </w:rPr>
        <w:t>et</w:t>
      </w:r>
      <w:r>
        <w:rPr>
          <w:spacing w:val="-2"/>
          <w:sz w:val="18"/>
        </w:rPr>
        <w:t xml:space="preserve"> </w:t>
      </w:r>
      <w:r>
        <w:rPr>
          <w:spacing w:val="-5"/>
          <w:sz w:val="18"/>
        </w:rPr>
        <w:t>al.</w:t>
      </w:r>
    </w:p>
    <w:p w:rsidR="00200FDA" w:rsidRDefault="00F76C4C">
      <w:pPr>
        <w:ind w:left="140" w:hanging="1"/>
        <w:rPr>
          <w:sz w:val="18"/>
        </w:rPr>
      </w:pPr>
      <w:r>
        <w:rPr>
          <w:position w:val="5"/>
          <w:sz w:val="12"/>
        </w:rPr>
        <w:t>19</w:t>
      </w:r>
      <w:r>
        <w:rPr>
          <w:spacing w:val="22"/>
          <w:position w:val="5"/>
          <w:sz w:val="12"/>
        </w:rPr>
        <w:t xml:space="preserve"> </w:t>
      </w:r>
      <w:r>
        <w:rPr>
          <w:sz w:val="18"/>
        </w:rPr>
        <w:t>American College Health Association, “American College Health Association-National College Health Assessment III: Undergraduate</w:t>
      </w:r>
      <w:r>
        <w:rPr>
          <w:spacing w:val="-4"/>
          <w:sz w:val="18"/>
        </w:rPr>
        <w:t xml:space="preserve"> </w:t>
      </w:r>
      <w:r>
        <w:rPr>
          <w:sz w:val="18"/>
        </w:rPr>
        <w:t>Student</w:t>
      </w:r>
      <w:r>
        <w:rPr>
          <w:spacing w:val="-4"/>
          <w:sz w:val="18"/>
        </w:rPr>
        <w:t xml:space="preserve"> </w:t>
      </w:r>
      <w:r>
        <w:rPr>
          <w:sz w:val="18"/>
        </w:rPr>
        <w:t>Reference</w:t>
      </w:r>
      <w:r>
        <w:rPr>
          <w:spacing w:val="-4"/>
          <w:sz w:val="18"/>
        </w:rPr>
        <w:t xml:space="preserve"> </w:t>
      </w:r>
      <w:r>
        <w:rPr>
          <w:sz w:val="18"/>
        </w:rPr>
        <w:t>Group</w:t>
      </w:r>
      <w:r>
        <w:rPr>
          <w:spacing w:val="-4"/>
          <w:sz w:val="18"/>
        </w:rPr>
        <w:t xml:space="preserve"> </w:t>
      </w:r>
      <w:r>
        <w:rPr>
          <w:sz w:val="18"/>
        </w:rPr>
        <w:t>Executive</w:t>
      </w:r>
      <w:r>
        <w:rPr>
          <w:spacing w:val="-2"/>
          <w:sz w:val="18"/>
        </w:rPr>
        <w:t xml:space="preserve"> </w:t>
      </w:r>
      <w:r>
        <w:rPr>
          <w:sz w:val="18"/>
        </w:rPr>
        <w:t>Summary</w:t>
      </w:r>
      <w:r>
        <w:rPr>
          <w:spacing w:val="-3"/>
          <w:sz w:val="18"/>
        </w:rPr>
        <w:t xml:space="preserve"> </w:t>
      </w:r>
      <w:r>
        <w:rPr>
          <w:sz w:val="18"/>
        </w:rPr>
        <w:t>Spring</w:t>
      </w:r>
      <w:r>
        <w:rPr>
          <w:spacing w:val="-4"/>
          <w:sz w:val="18"/>
        </w:rPr>
        <w:t xml:space="preserve"> </w:t>
      </w:r>
      <w:r>
        <w:rPr>
          <w:sz w:val="18"/>
        </w:rPr>
        <w:t>2022”</w:t>
      </w:r>
      <w:r>
        <w:rPr>
          <w:spacing w:val="-4"/>
          <w:sz w:val="18"/>
        </w:rPr>
        <w:t xml:space="preserve"> </w:t>
      </w:r>
      <w:r>
        <w:rPr>
          <w:sz w:val="18"/>
        </w:rPr>
        <w:t>(Silver</w:t>
      </w:r>
      <w:r>
        <w:rPr>
          <w:spacing w:val="-4"/>
          <w:sz w:val="18"/>
        </w:rPr>
        <w:t xml:space="preserve"> </w:t>
      </w:r>
      <w:r>
        <w:rPr>
          <w:sz w:val="18"/>
        </w:rPr>
        <w:t>Springs,</w:t>
      </w:r>
      <w:r>
        <w:rPr>
          <w:spacing w:val="-3"/>
          <w:sz w:val="18"/>
        </w:rPr>
        <w:t xml:space="preserve"> </w:t>
      </w:r>
      <w:r>
        <w:rPr>
          <w:sz w:val="18"/>
        </w:rPr>
        <w:t>MD:</w:t>
      </w:r>
      <w:r>
        <w:rPr>
          <w:spacing w:val="-1"/>
          <w:sz w:val="18"/>
        </w:rPr>
        <w:t xml:space="preserve"> </w:t>
      </w:r>
      <w:r>
        <w:rPr>
          <w:sz w:val="18"/>
        </w:rPr>
        <w:t>American</w:t>
      </w:r>
      <w:r>
        <w:rPr>
          <w:spacing w:val="-4"/>
          <w:sz w:val="18"/>
        </w:rPr>
        <w:t xml:space="preserve"> </w:t>
      </w:r>
      <w:r>
        <w:rPr>
          <w:sz w:val="18"/>
        </w:rPr>
        <w:t>College</w:t>
      </w:r>
      <w:r>
        <w:rPr>
          <w:spacing w:val="-4"/>
          <w:sz w:val="18"/>
        </w:rPr>
        <w:t xml:space="preserve"> </w:t>
      </w:r>
      <w:r>
        <w:rPr>
          <w:sz w:val="18"/>
        </w:rPr>
        <w:t>Health Association, 2022), https://</w:t>
      </w:r>
      <w:hyperlink r:id="rId188">
        <w:r>
          <w:rPr>
            <w:sz w:val="18"/>
          </w:rPr>
          <w:t>www.acha.org/documents/ncha/NCHA-</w:t>
        </w:r>
      </w:hyperlink>
      <w:r>
        <w:rPr>
          <w:sz w:val="18"/>
        </w:rPr>
        <w:t xml:space="preserve"> </w:t>
      </w:r>
      <w:r>
        <w:rPr>
          <w:spacing w:val="-2"/>
          <w:sz w:val="18"/>
        </w:rPr>
        <w:t>III_SPRING_2022_UNDERGRAD_REFERENCE_GROUP_EXECUTIVE_SUMMARY.pdf.</w:t>
      </w:r>
    </w:p>
    <w:p w:rsidR="00200FDA" w:rsidRDefault="00F76C4C">
      <w:pPr>
        <w:ind w:left="140" w:right="2423" w:hanging="1"/>
        <w:rPr>
          <w:sz w:val="18"/>
        </w:rPr>
      </w:pPr>
      <w:r>
        <w:rPr>
          <w:position w:val="5"/>
          <w:sz w:val="12"/>
        </w:rPr>
        <w:t>20</w:t>
      </w:r>
      <w:r>
        <w:rPr>
          <w:spacing w:val="9"/>
          <w:position w:val="5"/>
          <w:sz w:val="12"/>
        </w:rPr>
        <w:t xml:space="preserve"> </w:t>
      </w:r>
      <w:r>
        <w:rPr>
          <w:sz w:val="18"/>
        </w:rPr>
        <w:t>National</w:t>
      </w:r>
      <w:r>
        <w:rPr>
          <w:spacing w:val="-4"/>
          <w:sz w:val="18"/>
        </w:rPr>
        <w:t xml:space="preserve"> </w:t>
      </w:r>
      <w:r>
        <w:rPr>
          <w:sz w:val="18"/>
        </w:rPr>
        <w:t>Domestic</w:t>
      </w:r>
      <w:r>
        <w:rPr>
          <w:spacing w:val="-3"/>
          <w:sz w:val="18"/>
        </w:rPr>
        <w:t xml:space="preserve"> </w:t>
      </w:r>
      <w:r>
        <w:rPr>
          <w:sz w:val="18"/>
        </w:rPr>
        <w:t>Violence</w:t>
      </w:r>
      <w:r>
        <w:rPr>
          <w:spacing w:val="-4"/>
          <w:sz w:val="18"/>
        </w:rPr>
        <w:t xml:space="preserve"> </w:t>
      </w:r>
      <w:r>
        <w:rPr>
          <w:sz w:val="18"/>
        </w:rPr>
        <w:t>Hotline,</w:t>
      </w:r>
      <w:r>
        <w:rPr>
          <w:spacing w:val="-3"/>
          <w:sz w:val="18"/>
        </w:rPr>
        <w:t xml:space="preserve"> </w:t>
      </w:r>
      <w:r>
        <w:rPr>
          <w:sz w:val="18"/>
        </w:rPr>
        <w:t>“Types</w:t>
      </w:r>
      <w:r>
        <w:rPr>
          <w:spacing w:val="-4"/>
          <w:sz w:val="18"/>
        </w:rPr>
        <w:t xml:space="preserve"> </w:t>
      </w:r>
      <w:r>
        <w:rPr>
          <w:sz w:val="18"/>
        </w:rPr>
        <w:t>of</w:t>
      </w:r>
      <w:r>
        <w:rPr>
          <w:spacing w:val="-3"/>
          <w:sz w:val="18"/>
        </w:rPr>
        <w:t xml:space="preserve"> </w:t>
      </w:r>
      <w:r>
        <w:rPr>
          <w:sz w:val="18"/>
        </w:rPr>
        <w:t>Abuse,”</w:t>
      </w:r>
      <w:r>
        <w:rPr>
          <w:spacing w:val="-4"/>
          <w:sz w:val="18"/>
        </w:rPr>
        <w:t xml:space="preserve"> </w:t>
      </w:r>
      <w:r>
        <w:rPr>
          <w:sz w:val="18"/>
        </w:rPr>
        <w:t>The</w:t>
      </w:r>
      <w:r>
        <w:rPr>
          <w:spacing w:val="-4"/>
          <w:sz w:val="18"/>
        </w:rPr>
        <w:t xml:space="preserve"> </w:t>
      </w:r>
      <w:r>
        <w:rPr>
          <w:sz w:val="18"/>
        </w:rPr>
        <w:t>Hotline,</w:t>
      </w:r>
      <w:r>
        <w:rPr>
          <w:spacing w:val="-3"/>
          <w:sz w:val="18"/>
        </w:rPr>
        <w:t xml:space="preserve"> </w:t>
      </w:r>
      <w:r>
        <w:rPr>
          <w:sz w:val="18"/>
        </w:rPr>
        <w:t>accessed</w:t>
      </w:r>
      <w:r>
        <w:rPr>
          <w:spacing w:val="-4"/>
          <w:sz w:val="18"/>
        </w:rPr>
        <w:t xml:space="preserve"> </w:t>
      </w:r>
      <w:r>
        <w:rPr>
          <w:sz w:val="18"/>
        </w:rPr>
        <w:t>January</w:t>
      </w:r>
      <w:r>
        <w:rPr>
          <w:spacing w:val="-3"/>
          <w:sz w:val="18"/>
        </w:rPr>
        <w:t xml:space="preserve"> </w:t>
      </w:r>
      <w:r>
        <w:rPr>
          <w:sz w:val="18"/>
        </w:rPr>
        <w:t>4,</w:t>
      </w:r>
      <w:r>
        <w:rPr>
          <w:spacing w:val="-3"/>
          <w:sz w:val="18"/>
        </w:rPr>
        <w:t xml:space="preserve"> </w:t>
      </w:r>
      <w:r>
        <w:rPr>
          <w:sz w:val="18"/>
        </w:rPr>
        <w:t xml:space="preserve">2023, </w:t>
      </w:r>
      <w:r>
        <w:rPr>
          <w:spacing w:val="-2"/>
          <w:sz w:val="18"/>
        </w:rPr>
        <w:t>https://</w:t>
      </w:r>
      <w:hyperlink r:id="rId189">
        <w:r>
          <w:rPr>
            <w:spacing w:val="-2"/>
            <w:sz w:val="18"/>
          </w:rPr>
          <w:t>www.thehotline.org/resources/types-of-abuse/.</w:t>
        </w:r>
      </w:hyperlink>
    </w:p>
    <w:p w:rsidR="00200FDA" w:rsidRDefault="00F76C4C">
      <w:pPr>
        <w:spacing w:before="1"/>
        <w:ind w:left="139" w:right="418"/>
        <w:rPr>
          <w:sz w:val="18"/>
        </w:rPr>
      </w:pPr>
      <w:r>
        <w:rPr>
          <w:position w:val="5"/>
          <w:sz w:val="12"/>
        </w:rPr>
        <w:t>21</w:t>
      </w:r>
      <w:r>
        <w:rPr>
          <w:spacing w:val="9"/>
          <w:position w:val="5"/>
          <w:sz w:val="12"/>
        </w:rPr>
        <w:t xml:space="preserve"> </w:t>
      </w:r>
      <w:r>
        <w:rPr>
          <w:sz w:val="18"/>
        </w:rPr>
        <w:t>Rebecka</w:t>
      </w:r>
      <w:r>
        <w:rPr>
          <w:spacing w:val="-3"/>
          <w:sz w:val="18"/>
        </w:rPr>
        <w:t xml:space="preserve"> </w:t>
      </w:r>
      <w:r>
        <w:rPr>
          <w:sz w:val="18"/>
        </w:rPr>
        <w:t>Lundgren</w:t>
      </w:r>
      <w:r>
        <w:rPr>
          <w:spacing w:val="-4"/>
          <w:sz w:val="18"/>
        </w:rPr>
        <w:t xml:space="preserve"> </w:t>
      </w:r>
      <w:r>
        <w:rPr>
          <w:sz w:val="18"/>
        </w:rPr>
        <w:t>and</w:t>
      </w:r>
      <w:r>
        <w:rPr>
          <w:spacing w:val="-4"/>
          <w:sz w:val="18"/>
        </w:rPr>
        <w:t xml:space="preserve"> </w:t>
      </w:r>
      <w:r>
        <w:rPr>
          <w:sz w:val="18"/>
        </w:rPr>
        <w:t>Avni</w:t>
      </w:r>
      <w:r>
        <w:rPr>
          <w:spacing w:val="-4"/>
          <w:sz w:val="18"/>
        </w:rPr>
        <w:t xml:space="preserve"> </w:t>
      </w:r>
      <w:r>
        <w:rPr>
          <w:sz w:val="18"/>
        </w:rPr>
        <w:t>Amin,</w:t>
      </w:r>
      <w:r>
        <w:rPr>
          <w:spacing w:val="-3"/>
          <w:sz w:val="18"/>
        </w:rPr>
        <w:t xml:space="preserve"> </w:t>
      </w:r>
      <w:r>
        <w:rPr>
          <w:sz w:val="18"/>
        </w:rPr>
        <w:t>“Addressing</w:t>
      </w:r>
      <w:r>
        <w:rPr>
          <w:spacing w:val="-4"/>
          <w:sz w:val="18"/>
        </w:rPr>
        <w:t xml:space="preserve"> </w:t>
      </w:r>
      <w:r>
        <w:rPr>
          <w:sz w:val="18"/>
        </w:rPr>
        <w:t>Intimate</w:t>
      </w:r>
      <w:r>
        <w:rPr>
          <w:spacing w:val="-4"/>
          <w:sz w:val="18"/>
        </w:rPr>
        <w:t xml:space="preserve"> </w:t>
      </w:r>
      <w:r>
        <w:rPr>
          <w:sz w:val="18"/>
        </w:rPr>
        <w:t>Partner</w:t>
      </w:r>
      <w:r>
        <w:rPr>
          <w:spacing w:val="-1"/>
          <w:sz w:val="18"/>
        </w:rPr>
        <w:t xml:space="preserve"> </w:t>
      </w:r>
      <w:r>
        <w:rPr>
          <w:sz w:val="18"/>
        </w:rPr>
        <w:t>Violence</w:t>
      </w:r>
      <w:r>
        <w:rPr>
          <w:spacing w:val="-4"/>
          <w:sz w:val="18"/>
        </w:rPr>
        <w:t xml:space="preserve"> </w:t>
      </w:r>
      <w:r>
        <w:rPr>
          <w:sz w:val="18"/>
        </w:rPr>
        <w:t>and</w:t>
      </w:r>
      <w:r>
        <w:rPr>
          <w:spacing w:val="-4"/>
          <w:sz w:val="18"/>
        </w:rPr>
        <w:t xml:space="preserve"> </w:t>
      </w:r>
      <w:r>
        <w:rPr>
          <w:sz w:val="18"/>
        </w:rPr>
        <w:t>Sexual</w:t>
      </w:r>
      <w:r>
        <w:rPr>
          <w:spacing w:val="-4"/>
          <w:sz w:val="18"/>
        </w:rPr>
        <w:t xml:space="preserve"> </w:t>
      </w:r>
      <w:r>
        <w:rPr>
          <w:sz w:val="18"/>
        </w:rPr>
        <w:t>Violence</w:t>
      </w:r>
      <w:r>
        <w:rPr>
          <w:spacing w:val="-4"/>
          <w:sz w:val="18"/>
        </w:rPr>
        <w:t xml:space="preserve"> </w:t>
      </w:r>
      <w:r>
        <w:rPr>
          <w:sz w:val="18"/>
        </w:rPr>
        <w:t>Among</w:t>
      </w:r>
      <w:r>
        <w:rPr>
          <w:spacing w:val="-4"/>
          <w:sz w:val="18"/>
        </w:rPr>
        <w:t xml:space="preserve"> </w:t>
      </w:r>
      <w:r>
        <w:rPr>
          <w:sz w:val="18"/>
        </w:rPr>
        <w:t xml:space="preserve">Adolescents: Emerging Evidence of Effectiveness,” </w:t>
      </w:r>
      <w:r>
        <w:rPr>
          <w:i/>
          <w:sz w:val="18"/>
        </w:rPr>
        <w:t>Journal of Adolescent Health</w:t>
      </w:r>
      <w:r>
        <w:rPr>
          <w:sz w:val="18"/>
        </w:rPr>
        <w:t>, International Conference on Population and Development, 56, no. 1, Supplement (January 1, 2015): S42–50, https:/</w:t>
      </w:r>
      <w:r>
        <w:rPr>
          <w:sz w:val="18"/>
        </w:rPr>
        <w:t>/doi.org/10.1016/j.jadohealth.2014.08.012.</w:t>
      </w:r>
    </w:p>
    <w:p w:rsidR="00200FDA" w:rsidRDefault="00F76C4C">
      <w:pPr>
        <w:spacing w:line="218" w:lineRule="exact"/>
        <w:ind w:left="140"/>
        <w:rPr>
          <w:sz w:val="18"/>
        </w:rPr>
      </w:pPr>
      <w:r>
        <w:rPr>
          <w:position w:val="5"/>
          <w:sz w:val="12"/>
        </w:rPr>
        <w:t>22</w:t>
      </w:r>
      <w:r>
        <w:rPr>
          <w:spacing w:val="11"/>
          <w:position w:val="5"/>
          <w:sz w:val="12"/>
        </w:rPr>
        <w:t xml:space="preserve"> </w:t>
      </w:r>
      <w:r>
        <w:rPr>
          <w:sz w:val="18"/>
        </w:rPr>
        <w:t>Lundgren</w:t>
      </w:r>
      <w:r>
        <w:rPr>
          <w:spacing w:val="-2"/>
          <w:sz w:val="18"/>
        </w:rPr>
        <w:t xml:space="preserve"> </w:t>
      </w:r>
      <w:r>
        <w:rPr>
          <w:sz w:val="18"/>
        </w:rPr>
        <w:t>and</w:t>
      </w:r>
      <w:r>
        <w:rPr>
          <w:spacing w:val="-2"/>
          <w:sz w:val="18"/>
        </w:rPr>
        <w:t xml:space="preserve"> </w:t>
      </w:r>
      <w:r>
        <w:rPr>
          <w:spacing w:val="-4"/>
          <w:sz w:val="18"/>
        </w:rPr>
        <w:t>Amin.</w:t>
      </w:r>
    </w:p>
    <w:p w:rsidR="00200FDA" w:rsidRDefault="00F76C4C">
      <w:pPr>
        <w:spacing w:before="1" w:line="219" w:lineRule="exact"/>
        <w:ind w:left="140"/>
        <w:rPr>
          <w:sz w:val="18"/>
        </w:rPr>
      </w:pPr>
      <w:r>
        <w:rPr>
          <w:position w:val="5"/>
          <w:sz w:val="12"/>
        </w:rPr>
        <w:t>23</w:t>
      </w:r>
      <w:r>
        <w:rPr>
          <w:spacing w:val="11"/>
          <w:position w:val="5"/>
          <w:sz w:val="12"/>
        </w:rPr>
        <w:t xml:space="preserve"> </w:t>
      </w:r>
      <w:r>
        <w:rPr>
          <w:sz w:val="18"/>
        </w:rPr>
        <w:t>Lundgren</w:t>
      </w:r>
      <w:r>
        <w:rPr>
          <w:spacing w:val="-2"/>
          <w:sz w:val="18"/>
        </w:rPr>
        <w:t xml:space="preserve"> </w:t>
      </w:r>
      <w:r>
        <w:rPr>
          <w:sz w:val="18"/>
        </w:rPr>
        <w:t>and</w:t>
      </w:r>
      <w:r>
        <w:rPr>
          <w:spacing w:val="-2"/>
          <w:sz w:val="18"/>
        </w:rPr>
        <w:t xml:space="preserve"> </w:t>
      </w:r>
      <w:r>
        <w:rPr>
          <w:spacing w:val="-4"/>
          <w:sz w:val="18"/>
        </w:rPr>
        <w:t>Amin.</w:t>
      </w:r>
    </w:p>
    <w:p w:rsidR="00200FDA" w:rsidRDefault="00F76C4C">
      <w:pPr>
        <w:ind w:left="140" w:right="418"/>
        <w:rPr>
          <w:sz w:val="18"/>
        </w:rPr>
      </w:pPr>
      <w:r>
        <w:rPr>
          <w:position w:val="5"/>
          <w:sz w:val="12"/>
        </w:rPr>
        <w:t>24</w:t>
      </w:r>
      <w:r>
        <w:rPr>
          <w:spacing w:val="19"/>
          <w:position w:val="5"/>
          <w:sz w:val="12"/>
        </w:rPr>
        <w:t xml:space="preserve"> </w:t>
      </w:r>
      <w:r>
        <w:rPr>
          <w:sz w:val="18"/>
        </w:rPr>
        <w:t xml:space="preserve">Katie M. Edwards, Ryan C. Shorey, and Kalei Glozier, “Primary Prevention of Intitmate Partner Violence Among Sexual and Gender Minorities,” in </w:t>
      </w:r>
      <w:r>
        <w:rPr>
          <w:i/>
          <w:sz w:val="18"/>
        </w:rPr>
        <w:t xml:space="preserve">Intimate Partner Violence and the LGBTQ+ Community: Understanding Power Dynamics </w:t>
      </w:r>
      <w:r>
        <w:rPr>
          <w:sz w:val="18"/>
        </w:rPr>
        <w:t>(Switzerland:</w:t>
      </w:r>
      <w:r>
        <w:rPr>
          <w:spacing w:val="-8"/>
          <w:sz w:val="18"/>
        </w:rPr>
        <w:t xml:space="preserve"> </w:t>
      </w:r>
      <w:r>
        <w:rPr>
          <w:sz w:val="18"/>
        </w:rPr>
        <w:t>Springer,</w:t>
      </w:r>
      <w:r>
        <w:rPr>
          <w:spacing w:val="-10"/>
          <w:sz w:val="18"/>
        </w:rPr>
        <w:t xml:space="preserve"> </w:t>
      </w:r>
      <w:r>
        <w:rPr>
          <w:sz w:val="18"/>
        </w:rPr>
        <w:t>2020),</w:t>
      </w:r>
      <w:r>
        <w:rPr>
          <w:spacing w:val="-10"/>
          <w:sz w:val="18"/>
        </w:rPr>
        <w:t xml:space="preserve"> </w:t>
      </w:r>
      <w:r>
        <w:rPr>
          <w:sz w:val="18"/>
        </w:rPr>
        <w:t>161–76,</w:t>
      </w:r>
      <w:r>
        <w:rPr>
          <w:spacing w:val="-10"/>
          <w:sz w:val="18"/>
        </w:rPr>
        <w:t xml:space="preserve"> </w:t>
      </w:r>
      <w:r>
        <w:rPr>
          <w:sz w:val="18"/>
        </w:rPr>
        <w:t xml:space="preserve">https://link.springer.com/content/pdf/10.1007/978-3-030-44762-5.pdf?pdf=button. </w:t>
      </w:r>
      <w:r>
        <w:rPr>
          <w:position w:val="5"/>
          <w:sz w:val="12"/>
        </w:rPr>
        <w:t>25</w:t>
      </w:r>
      <w:r>
        <w:rPr>
          <w:spacing w:val="19"/>
          <w:position w:val="5"/>
          <w:sz w:val="12"/>
        </w:rPr>
        <w:t xml:space="preserve"> </w:t>
      </w:r>
      <w:r>
        <w:rPr>
          <w:sz w:val="18"/>
        </w:rPr>
        <w:t xml:space="preserve">Lisa De La Rue et al., “A Meta-Analysis of School-Based Interventions Aimed to Prevent or Reduce Violence in Teen Dating Relationships,” </w:t>
      </w:r>
      <w:r>
        <w:rPr>
          <w:i/>
          <w:sz w:val="18"/>
        </w:rPr>
        <w:t xml:space="preserve">Review of Educational Research </w:t>
      </w:r>
      <w:r>
        <w:rPr>
          <w:sz w:val="18"/>
        </w:rPr>
        <w:t xml:space="preserve">87, no. 1 (February 1, 2017): 7–34, </w:t>
      </w:r>
      <w:r>
        <w:rPr>
          <w:spacing w:val="-2"/>
          <w:sz w:val="18"/>
        </w:rPr>
        <w:t>https://doi.org/10.3102/0034654316632061.</w:t>
      </w:r>
    </w:p>
    <w:p w:rsidR="00200FDA" w:rsidRDefault="00F76C4C">
      <w:pPr>
        <w:spacing w:before="1" w:line="219" w:lineRule="exact"/>
        <w:ind w:left="140"/>
        <w:rPr>
          <w:sz w:val="18"/>
        </w:rPr>
      </w:pPr>
      <w:r>
        <w:rPr>
          <w:position w:val="5"/>
          <w:sz w:val="12"/>
        </w:rPr>
        <w:t>26</w:t>
      </w:r>
      <w:r>
        <w:rPr>
          <w:spacing w:val="8"/>
          <w:position w:val="5"/>
          <w:sz w:val="12"/>
        </w:rPr>
        <w:t xml:space="preserve"> </w:t>
      </w:r>
      <w:r>
        <w:rPr>
          <w:sz w:val="18"/>
        </w:rPr>
        <w:t>Lundgre</w:t>
      </w:r>
      <w:r>
        <w:rPr>
          <w:sz w:val="18"/>
        </w:rPr>
        <w:t>n</w:t>
      </w:r>
      <w:r>
        <w:rPr>
          <w:spacing w:val="-3"/>
          <w:sz w:val="18"/>
        </w:rPr>
        <w:t xml:space="preserve"> </w:t>
      </w:r>
      <w:r>
        <w:rPr>
          <w:sz w:val="18"/>
        </w:rPr>
        <w:t>and</w:t>
      </w:r>
      <w:r>
        <w:rPr>
          <w:spacing w:val="-3"/>
          <w:sz w:val="18"/>
        </w:rPr>
        <w:t xml:space="preserve"> </w:t>
      </w:r>
      <w:r>
        <w:rPr>
          <w:sz w:val="18"/>
        </w:rPr>
        <w:t>Amin, “Addressing</w:t>
      </w:r>
      <w:r>
        <w:rPr>
          <w:spacing w:val="-1"/>
          <w:sz w:val="18"/>
        </w:rPr>
        <w:t xml:space="preserve"> </w:t>
      </w:r>
      <w:r>
        <w:rPr>
          <w:sz w:val="18"/>
        </w:rPr>
        <w:t>Intimate</w:t>
      </w:r>
      <w:r>
        <w:rPr>
          <w:spacing w:val="-3"/>
          <w:sz w:val="18"/>
        </w:rPr>
        <w:t xml:space="preserve"> </w:t>
      </w:r>
      <w:r>
        <w:rPr>
          <w:sz w:val="18"/>
        </w:rPr>
        <w:t>Partner</w:t>
      </w:r>
      <w:r>
        <w:rPr>
          <w:spacing w:val="-3"/>
          <w:sz w:val="18"/>
        </w:rPr>
        <w:t xml:space="preserve"> </w:t>
      </w:r>
      <w:r>
        <w:rPr>
          <w:sz w:val="18"/>
        </w:rPr>
        <w:t>Violence</w:t>
      </w:r>
      <w:r>
        <w:rPr>
          <w:spacing w:val="-3"/>
          <w:sz w:val="18"/>
        </w:rPr>
        <w:t xml:space="preserve"> </w:t>
      </w:r>
      <w:r>
        <w:rPr>
          <w:sz w:val="18"/>
        </w:rPr>
        <w:t>and</w:t>
      </w:r>
      <w:r>
        <w:rPr>
          <w:spacing w:val="-2"/>
          <w:sz w:val="18"/>
        </w:rPr>
        <w:t xml:space="preserve"> </w:t>
      </w:r>
      <w:r>
        <w:rPr>
          <w:sz w:val="18"/>
        </w:rPr>
        <w:t>Sexual</w:t>
      </w:r>
      <w:r>
        <w:rPr>
          <w:spacing w:val="-3"/>
          <w:sz w:val="18"/>
        </w:rPr>
        <w:t xml:space="preserve"> </w:t>
      </w:r>
      <w:r>
        <w:rPr>
          <w:sz w:val="18"/>
        </w:rPr>
        <w:t>Violence</w:t>
      </w:r>
      <w:r>
        <w:rPr>
          <w:spacing w:val="-2"/>
          <w:sz w:val="18"/>
        </w:rPr>
        <w:t xml:space="preserve"> </w:t>
      </w:r>
      <w:r>
        <w:rPr>
          <w:sz w:val="18"/>
        </w:rPr>
        <w:t>Among</w:t>
      </w:r>
      <w:r>
        <w:rPr>
          <w:spacing w:val="-2"/>
          <w:sz w:val="18"/>
        </w:rPr>
        <w:t xml:space="preserve"> Adolescents.”</w:t>
      </w:r>
    </w:p>
    <w:p w:rsidR="00200FDA" w:rsidRDefault="00F76C4C">
      <w:pPr>
        <w:ind w:left="140" w:right="418" w:hanging="1"/>
        <w:rPr>
          <w:sz w:val="18"/>
        </w:rPr>
      </w:pPr>
      <w:r>
        <w:rPr>
          <w:position w:val="5"/>
          <w:sz w:val="12"/>
        </w:rPr>
        <w:t>27</w:t>
      </w:r>
      <w:r>
        <w:rPr>
          <w:spacing w:val="10"/>
          <w:position w:val="5"/>
          <w:sz w:val="12"/>
        </w:rPr>
        <w:t xml:space="preserve"> </w:t>
      </w:r>
      <w:r>
        <w:rPr>
          <w:sz w:val="18"/>
        </w:rPr>
        <w:t>Eva</w:t>
      </w:r>
      <w:r>
        <w:rPr>
          <w:spacing w:val="-2"/>
          <w:sz w:val="18"/>
        </w:rPr>
        <w:t xml:space="preserve"> </w:t>
      </w:r>
      <w:r>
        <w:rPr>
          <w:sz w:val="18"/>
        </w:rPr>
        <w:t>S.</w:t>
      </w:r>
      <w:r>
        <w:rPr>
          <w:spacing w:val="-2"/>
          <w:sz w:val="18"/>
        </w:rPr>
        <w:t xml:space="preserve"> </w:t>
      </w:r>
      <w:r>
        <w:rPr>
          <w:sz w:val="18"/>
        </w:rPr>
        <w:t>Goldfarb</w:t>
      </w:r>
      <w:r>
        <w:rPr>
          <w:spacing w:val="-3"/>
          <w:sz w:val="18"/>
        </w:rPr>
        <w:t xml:space="preserve"> </w:t>
      </w:r>
      <w:r>
        <w:rPr>
          <w:sz w:val="18"/>
        </w:rPr>
        <w:t>and</w:t>
      </w:r>
      <w:r>
        <w:rPr>
          <w:spacing w:val="-3"/>
          <w:sz w:val="18"/>
        </w:rPr>
        <w:t xml:space="preserve"> </w:t>
      </w:r>
      <w:r>
        <w:rPr>
          <w:sz w:val="18"/>
        </w:rPr>
        <w:t>Lisa</w:t>
      </w:r>
      <w:r>
        <w:rPr>
          <w:spacing w:val="-2"/>
          <w:sz w:val="18"/>
        </w:rPr>
        <w:t xml:space="preserve"> </w:t>
      </w:r>
      <w:r>
        <w:rPr>
          <w:sz w:val="18"/>
        </w:rPr>
        <w:t>D.</w:t>
      </w:r>
      <w:r>
        <w:rPr>
          <w:spacing w:val="-2"/>
          <w:sz w:val="18"/>
        </w:rPr>
        <w:t xml:space="preserve"> </w:t>
      </w:r>
      <w:r>
        <w:rPr>
          <w:sz w:val="18"/>
        </w:rPr>
        <w:t>Lieberman,</w:t>
      </w:r>
      <w:r>
        <w:rPr>
          <w:spacing w:val="-2"/>
          <w:sz w:val="18"/>
        </w:rPr>
        <w:t xml:space="preserve"> </w:t>
      </w:r>
      <w:r>
        <w:rPr>
          <w:sz w:val="18"/>
        </w:rPr>
        <w:t>“Three</w:t>
      </w:r>
      <w:r>
        <w:rPr>
          <w:spacing w:val="-3"/>
          <w:sz w:val="18"/>
        </w:rPr>
        <w:t xml:space="preserve"> </w:t>
      </w:r>
      <w:r>
        <w:rPr>
          <w:sz w:val="18"/>
        </w:rPr>
        <w:t>Decades</w:t>
      </w:r>
      <w:r>
        <w:rPr>
          <w:spacing w:val="-3"/>
          <w:sz w:val="18"/>
        </w:rPr>
        <w:t xml:space="preserve"> </w:t>
      </w:r>
      <w:r>
        <w:rPr>
          <w:sz w:val="18"/>
        </w:rPr>
        <w:t>of</w:t>
      </w:r>
      <w:r>
        <w:rPr>
          <w:spacing w:val="-2"/>
          <w:sz w:val="18"/>
        </w:rPr>
        <w:t xml:space="preserve"> </w:t>
      </w:r>
      <w:r>
        <w:rPr>
          <w:sz w:val="18"/>
        </w:rPr>
        <w:t>Research:</w:t>
      </w:r>
      <w:r>
        <w:rPr>
          <w:spacing w:val="-3"/>
          <w:sz w:val="18"/>
        </w:rPr>
        <w:t xml:space="preserve"> </w:t>
      </w:r>
      <w:r>
        <w:rPr>
          <w:sz w:val="18"/>
        </w:rPr>
        <w:t>The</w:t>
      </w:r>
      <w:r>
        <w:rPr>
          <w:spacing w:val="-3"/>
          <w:sz w:val="18"/>
        </w:rPr>
        <w:t xml:space="preserve"> </w:t>
      </w:r>
      <w:r>
        <w:rPr>
          <w:sz w:val="18"/>
        </w:rPr>
        <w:t>Case</w:t>
      </w:r>
      <w:r>
        <w:rPr>
          <w:spacing w:val="-3"/>
          <w:sz w:val="18"/>
        </w:rPr>
        <w:t xml:space="preserve"> </w:t>
      </w:r>
      <w:r>
        <w:rPr>
          <w:sz w:val="18"/>
        </w:rPr>
        <w:t>for</w:t>
      </w:r>
      <w:r>
        <w:rPr>
          <w:spacing w:val="-3"/>
          <w:sz w:val="18"/>
        </w:rPr>
        <w:t xml:space="preserve"> </w:t>
      </w:r>
      <w:r>
        <w:rPr>
          <w:sz w:val="18"/>
        </w:rPr>
        <w:t>Comprehensive</w:t>
      </w:r>
      <w:r>
        <w:rPr>
          <w:spacing w:val="-3"/>
          <w:sz w:val="18"/>
        </w:rPr>
        <w:t xml:space="preserve"> </w:t>
      </w:r>
      <w:r>
        <w:rPr>
          <w:sz w:val="18"/>
        </w:rPr>
        <w:t>Sex</w:t>
      </w:r>
      <w:r>
        <w:rPr>
          <w:spacing w:val="-3"/>
          <w:sz w:val="18"/>
        </w:rPr>
        <w:t xml:space="preserve"> </w:t>
      </w:r>
      <w:r>
        <w:rPr>
          <w:sz w:val="18"/>
        </w:rPr>
        <w:t>Education,”</w:t>
      </w:r>
      <w:r>
        <w:rPr>
          <w:spacing w:val="-3"/>
          <w:sz w:val="18"/>
        </w:rPr>
        <w:t xml:space="preserve"> </w:t>
      </w:r>
      <w:r>
        <w:rPr>
          <w:i/>
          <w:sz w:val="18"/>
        </w:rPr>
        <w:t xml:space="preserve">Journal of Adolescent Health </w:t>
      </w:r>
      <w:r>
        <w:rPr>
          <w:sz w:val="18"/>
        </w:rPr>
        <w:t>68, no. 1 (January 1, 20</w:t>
      </w:r>
      <w:r>
        <w:rPr>
          <w:sz w:val="18"/>
        </w:rPr>
        <w:t>21): 13–27, https://doi.org/10.1016/j.jadohealth.2020.07.036.</w:t>
      </w:r>
    </w:p>
    <w:p w:rsidR="00200FDA" w:rsidRDefault="00F76C4C">
      <w:pPr>
        <w:ind w:left="140" w:right="484" w:hanging="1"/>
        <w:rPr>
          <w:sz w:val="18"/>
        </w:rPr>
      </w:pPr>
      <w:r>
        <w:rPr>
          <w:position w:val="5"/>
          <w:sz w:val="12"/>
        </w:rPr>
        <w:t>28</w:t>
      </w:r>
      <w:r>
        <w:rPr>
          <w:spacing w:val="9"/>
          <w:position w:val="5"/>
          <w:sz w:val="12"/>
        </w:rPr>
        <w:t xml:space="preserve"> </w:t>
      </w:r>
      <w:r>
        <w:rPr>
          <w:sz w:val="18"/>
        </w:rPr>
        <w:t>“Healthy</w:t>
      </w:r>
      <w:r>
        <w:rPr>
          <w:spacing w:val="-3"/>
          <w:sz w:val="18"/>
        </w:rPr>
        <w:t xml:space="preserve"> </w:t>
      </w:r>
      <w:r>
        <w:rPr>
          <w:sz w:val="18"/>
        </w:rPr>
        <w:t>Youth</w:t>
      </w:r>
      <w:r>
        <w:rPr>
          <w:spacing w:val="-4"/>
          <w:sz w:val="18"/>
        </w:rPr>
        <w:t xml:space="preserve"> </w:t>
      </w:r>
      <w:r>
        <w:rPr>
          <w:sz w:val="18"/>
        </w:rPr>
        <w:t>Act</w:t>
      </w:r>
      <w:r>
        <w:rPr>
          <w:spacing w:val="-4"/>
          <w:sz w:val="18"/>
        </w:rPr>
        <w:t xml:space="preserve"> </w:t>
      </w:r>
      <w:r>
        <w:rPr>
          <w:sz w:val="18"/>
        </w:rPr>
        <w:t>Coalition,”</w:t>
      </w:r>
      <w:r>
        <w:rPr>
          <w:spacing w:val="-4"/>
          <w:sz w:val="18"/>
        </w:rPr>
        <w:t xml:space="preserve"> </w:t>
      </w:r>
      <w:r>
        <w:rPr>
          <w:sz w:val="18"/>
        </w:rPr>
        <w:t>Healthy</w:t>
      </w:r>
      <w:r>
        <w:rPr>
          <w:spacing w:val="-3"/>
          <w:sz w:val="18"/>
        </w:rPr>
        <w:t xml:space="preserve"> </w:t>
      </w:r>
      <w:r>
        <w:rPr>
          <w:sz w:val="18"/>
        </w:rPr>
        <w:t>Youth</w:t>
      </w:r>
      <w:r>
        <w:rPr>
          <w:spacing w:val="-4"/>
          <w:sz w:val="18"/>
        </w:rPr>
        <w:t xml:space="preserve"> </w:t>
      </w:r>
      <w:r>
        <w:rPr>
          <w:sz w:val="18"/>
        </w:rPr>
        <w:t>Act</w:t>
      </w:r>
      <w:r>
        <w:rPr>
          <w:spacing w:val="-4"/>
          <w:sz w:val="18"/>
        </w:rPr>
        <w:t xml:space="preserve"> </w:t>
      </w:r>
      <w:r>
        <w:rPr>
          <w:sz w:val="18"/>
        </w:rPr>
        <w:t>Coalition,</w:t>
      </w:r>
      <w:r>
        <w:rPr>
          <w:spacing w:val="-3"/>
          <w:sz w:val="18"/>
        </w:rPr>
        <w:t xml:space="preserve"> </w:t>
      </w:r>
      <w:r>
        <w:rPr>
          <w:sz w:val="18"/>
        </w:rPr>
        <w:t>accessed</w:t>
      </w:r>
      <w:r>
        <w:rPr>
          <w:spacing w:val="-4"/>
          <w:sz w:val="18"/>
        </w:rPr>
        <w:t xml:space="preserve"> </w:t>
      </w:r>
      <w:r>
        <w:rPr>
          <w:sz w:val="18"/>
        </w:rPr>
        <w:t>January</w:t>
      </w:r>
      <w:r>
        <w:rPr>
          <w:spacing w:val="-3"/>
          <w:sz w:val="18"/>
        </w:rPr>
        <w:t xml:space="preserve"> </w:t>
      </w:r>
      <w:r>
        <w:rPr>
          <w:sz w:val="18"/>
        </w:rPr>
        <w:t>11,</w:t>
      </w:r>
      <w:r>
        <w:rPr>
          <w:spacing w:val="-3"/>
          <w:sz w:val="18"/>
        </w:rPr>
        <w:t xml:space="preserve"> </w:t>
      </w:r>
      <w:r>
        <w:rPr>
          <w:sz w:val="18"/>
        </w:rPr>
        <w:t xml:space="preserve">2023, </w:t>
      </w:r>
      <w:r>
        <w:rPr>
          <w:spacing w:val="-2"/>
          <w:sz w:val="18"/>
        </w:rPr>
        <w:t>https://</w:t>
      </w:r>
      <w:hyperlink r:id="rId190">
        <w:r>
          <w:rPr>
            <w:spacing w:val="-2"/>
            <w:sz w:val="18"/>
          </w:rPr>
          <w:t>www.healthyyouthact.org/.</w:t>
        </w:r>
      </w:hyperlink>
    </w:p>
    <w:p w:rsidR="00200FDA" w:rsidRDefault="00F76C4C">
      <w:pPr>
        <w:spacing w:line="219" w:lineRule="exact"/>
        <w:ind w:left="140"/>
        <w:rPr>
          <w:sz w:val="18"/>
        </w:rPr>
      </w:pPr>
      <w:r>
        <w:rPr>
          <w:position w:val="5"/>
          <w:sz w:val="12"/>
        </w:rPr>
        <w:t>29</w:t>
      </w:r>
      <w:r>
        <w:rPr>
          <w:spacing w:val="10"/>
          <w:position w:val="5"/>
          <w:sz w:val="12"/>
        </w:rPr>
        <w:t xml:space="preserve"> </w:t>
      </w:r>
      <w:r>
        <w:rPr>
          <w:sz w:val="18"/>
        </w:rPr>
        <w:t>“Healthy</w:t>
      </w:r>
      <w:r>
        <w:rPr>
          <w:spacing w:val="-2"/>
          <w:sz w:val="18"/>
        </w:rPr>
        <w:t xml:space="preserve"> </w:t>
      </w:r>
      <w:r>
        <w:rPr>
          <w:sz w:val="18"/>
        </w:rPr>
        <w:t>Youth</w:t>
      </w:r>
      <w:r>
        <w:rPr>
          <w:spacing w:val="-3"/>
          <w:sz w:val="18"/>
        </w:rPr>
        <w:t xml:space="preserve"> </w:t>
      </w:r>
      <w:r>
        <w:rPr>
          <w:sz w:val="18"/>
        </w:rPr>
        <w:t>Act</w:t>
      </w:r>
      <w:r>
        <w:rPr>
          <w:spacing w:val="-2"/>
          <w:sz w:val="18"/>
        </w:rPr>
        <w:t xml:space="preserve"> Coalition.”</w:t>
      </w:r>
    </w:p>
    <w:p w:rsidR="00200FDA" w:rsidRDefault="00F76C4C">
      <w:pPr>
        <w:ind w:left="139"/>
        <w:rPr>
          <w:sz w:val="18"/>
        </w:rPr>
      </w:pPr>
      <w:r>
        <w:rPr>
          <w:position w:val="5"/>
          <w:sz w:val="12"/>
        </w:rPr>
        <w:t>30</w:t>
      </w:r>
      <w:r>
        <w:rPr>
          <w:spacing w:val="10"/>
          <w:position w:val="5"/>
          <w:sz w:val="12"/>
        </w:rPr>
        <w:t xml:space="preserve"> </w:t>
      </w:r>
      <w:r>
        <w:rPr>
          <w:sz w:val="18"/>
        </w:rPr>
        <w:t>Beth</w:t>
      </w:r>
      <w:r>
        <w:rPr>
          <w:spacing w:val="-3"/>
          <w:sz w:val="18"/>
        </w:rPr>
        <w:t xml:space="preserve"> </w:t>
      </w:r>
      <w:r>
        <w:rPr>
          <w:sz w:val="18"/>
        </w:rPr>
        <w:t>Leventhal,</w:t>
      </w:r>
      <w:r>
        <w:rPr>
          <w:spacing w:val="-2"/>
          <w:sz w:val="18"/>
        </w:rPr>
        <w:t xml:space="preserve"> </w:t>
      </w:r>
      <w:r>
        <w:rPr>
          <w:sz w:val="18"/>
        </w:rPr>
        <w:t>Charly</w:t>
      </w:r>
      <w:r>
        <w:rPr>
          <w:spacing w:val="-2"/>
          <w:sz w:val="18"/>
        </w:rPr>
        <w:t xml:space="preserve"> </w:t>
      </w:r>
      <w:r>
        <w:rPr>
          <w:sz w:val="18"/>
        </w:rPr>
        <w:t>Robles,</w:t>
      </w:r>
      <w:r>
        <w:rPr>
          <w:spacing w:val="-2"/>
          <w:sz w:val="18"/>
        </w:rPr>
        <w:t xml:space="preserve"> </w:t>
      </w:r>
      <w:r>
        <w:rPr>
          <w:sz w:val="18"/>
        </w:rPr>
        <w:t>and</w:t>
      </w:r>
      <w:r>
        <w:rPr>
          <w:spacing w:val="-3"/>
          <w:sz w:val="18"/>
        </w:rPr>
        <w:t xml:space="preserve"> </w:t>
      </w:r>
      <w:r>
        <w:rPr>
          <w:sz w:val="18"/>
        </w:rPr>
        <w:t>Jenn</w:t>
      </w:r>
      <w:r>
        <w:rPr>
          <w:spacing w:val="-3"/>
          <w:sz w:val="18"/>
        </w:rPr>
        <w:t xml:space="preserve"> </w:t>
      </w:r>
      <w:r>
        <w:rPr>
          <w:sz w:val="18"/>
        </w:rPr>
        <w:t>Ho,</w:t>
      </w:r>
      <w:r>
        <w:rPr>
          <w:spacing w:val="-2"/>
          <w:sz w:val="18"/>
        </w:rPr>
        <w:t xml:space="preserve"> </w:t>
      </w:r>
      <w:r>
        <w:rPr>
          <w:sz w:val="18"/>
        </w:rPr>
        <w:t>“Survivor</w:t>
      </w:r>
      <w:r>
        <w:rPr>
          <w:spacing w:val="-3"/>
          <w:sz w:val="18"/>
        </w:rPr>
        <w:t xml:space="preserve"> </w:t>
      </w:r>
      <w:r>
        <w:rPr>
          <w:sz w:val="18"/>
        </w:rPr>
        <w:t>Stories:</w:t>
      </w:r>
      <w:r>
        <w:rPr>
          <w:spacing w:val="-2"/>
          <w:sz w:val="18"/>
        </w:rPr>
        <w:t xml:space="preserve"> </w:t>
      </w:r>
      <w:r>
        <w:rPr>
          <w:sz w:val="18"/>
        </w:rPr>
        <w:t>Learning</w:t>
      </w:r>
      <w:r>
        <w:rPr>
          <w:spacing w:val="-3"/>
          <w:sz w:val="18"/>
        </w:rPr>
        <w:t xml:space="preserve"> </w:t>
      </w:r>
      <w:r>
        <w:rPr>
          <w:sz w:val="18"/>
        </w:rPr>
        <w:t>from</w:t>
      </w:r>
      <w:r>
        <w:rPr>
          <w:spacing w:val="-2"/>
          <w:sz w:val="18"/>
        </w:rPr>
        <w:t xml:space="preserve"> </w:t>
      </w:r>
      <w:r>
        <w:rPr>
          <w:sz w:val="18"/>
        </w:rPr>
        <w:t>LGBQ/T</w:t>
      </w:r>
      <w:r>
        <w:rPr>
          <w:spacing w:val="-1"/>
          <w:sz w:val="18"/>
        </w:rPr>
        <w:t xml:space="preserve"> </w:t>
      </w:r>
      <w:r>
        <w:rPr>
          <w:sz w:val="18"/>
        </w:rPr>
        <w:t>Communities</w:t>
      </w:r>
      <w:r>
        <w:rPr>
          <w:spacing w:val="-3"/>
          <w:sz w:val="18"/>
        </w:rPr>
        <w:t xml:space="preserve"> </w:t>
      </w:r>
      <w:r>
        <w:rPr>
          <w:sz w:val="18"/>
        </w:rPr>
        <w:t>in</w:t>
      </w:r>
      <w:r>
        <w:rPr>
          <w:spacing w:val="-3"/>
          <w:sz w:val="18"/>
        </w:rPr>
        <w:t xml:space="preserve"> </w:t>
      </w:r>
      <w:r>
        <w:rPr>
          <w:sz w:val="18"/>
        </w:rPr>
        <w:t>MA”</w:t>
      </w:r>
      <w:r>
        <w:rPr>
          <w:spacing w:val="-3"/>
          <w:sz w:val="18"/>
        </w:rPr>
        <w:t xml:space="preserve"> </w:t>
      </w:r>
      <w:r>
        <w:rPr>
          <w:sz w:val="18"/>
        </w:rPr>
        <w:t>(Boston, Massachusetts: The Network/La Red, 2020), https://</w:t>
      </w:r>
      <w:hyperlink r:id="rId191">
        <w:r>
          <w:rPr>
            <w:sz w:val="18"/>
          </w:rPr>
          <w:t>www.tnlr.org/wp-content/uploads/CNA-w-cover-Final.pdf.</w:t>
        </w:r>
      </w:hyperlink>
    </w:p>
    <w:p w:rsidR="00200FDA" w:rsidRDefault="00F76C4C">
      <w:pPr>
        <w:spacing w:line="219" w:lineRule="exact"/>
        <w:ind w:left="140"/>
        <w:rPr>
          <w:sz w:val="18"/>
        </w:rPr>
      </w:pPr>
      <w:r>
        <w:rPr>
          <w:position w:val="5"/>
          <w:sz w:val="12"/>
        </w:rPr>
        <w:t>31</w:t>
      </w:r>
      <w:r>
        <w:rPr>
          <w:spacing w:val="10"/>
          <w:position w:val="5"/>
          <w:sz w:val="12"/>
        </w:rPr>
        <w:t xml:space="preserve"> </w:t>
      </w:r>
      <w:r>
        <w:rPr>
          <w:sz w:val="18"/>
        </w:rPr>
        <w:t>Leventhal,</w:t>
      </w:r>
      <w:r>
        <w:rPr>
          <w:spacing w:val="-2"/>
          <w:sz w:val="18"/>
        </w:rPr>
        <w:t xml:space="preserve"> </w:t>
      </w:r>
      <w:r>
        <w:rPr>
          <w:sz w:val="18"/>
        </w:rPr>
        <w:t>Robles,</w:t>
      </w:r>
      <w:r>
        <w:rPr>
          <w:spacing w:val="-3"/>
          <w:sz w:val="18"/>
        </w:rPr>
        <w:t xml:space="preserve"> </w:t>
      </w:r>
      <w:r>
        <w:rPr>
          <w:sz w:val="18"/>
        </w:rPr>
        <w:t>and</w:t>
      </w:r>
      <w:r>
        <w:rPr>
          <w:spacing w:val="-2"/>
          <w:sz w:val="18"/>
        </w:rPr>
        <w:t xml:space="preserve"> </w:t>
      </w:r>
      <w:r>
        <w:rPr>
          <w:spacing w:val="-5"/>
          <w:sz w:val="18"/>
        </w:rPr>
        <w:t>Ho.</w:t>
      </w:r>
    </w:p>
    <w:p w:rsidR="00200FDA" w:rsidRDefault="00F76C4C">
      <w:pPr>
        <w:spacing w:before="1" w:line="219" w:lineRule="exact"/>
        <w:ind w:left="140"/>
        <w:rPr>
          <w:sz w:val="18"/>
        </w:rPr>
      </w:pPr>
      <w:r>
        <w:rPr>
          <w:position w:val="5"/>
          <w:sz w:val="12"/>
        </w:rPr>
        <w:t>32</w:t>
      </w:r>
      <w:r>
        <w:rPr>
          <w:spacing w:val="10"/>
          <w:position w:val="5"/>
          <w:sz w:val="12"/>
        </w:rPr>
        <w:t xml:space="preserve"> </w:t>
      </w:r>
      <w:r>
        <w:rPr>
          <w:sz w:val="18"/>
        </w:rPr>
        <w:t>Leventhal,</w:t>
      </w:r>
      <w:r>
        <w:rPr>
          <w:spacing w:val="-2"/>
          <w:sz w:val="18"/>
        </w:rPr>
        <w:t xml:space="preserve"> </w:t>
      </w:r>
      <w:r>
        <w:rPr>
          <w:sz w:val="18"/>
        </w:rPr>
        <w:t>Robles,</w:t>
      </w:r>
      <w:r>
        <w:rPr>
          <w:spacing w:val="-3"/>
          <w:sz w:val="18"/>
        </w:rPr>
        <w:t xml:space="preserve"> </w:t>
      </w:r>
      <w:r>
        <w:rPr>
          <w:sz w:val="18"/>
        </w:rPr>
        <w:t>and</w:t>
      </w:r>
      <w:r>
        <w:rPr>
          <w:spacing w:val="-2"/>
          <w:sz w:val="18"/>
        </w:rPr>
        <w:t xml:space="preserve"> </w:t>
      </w:r>
      <w:r>
        <w:rPr>
          <w:spacing w:val="-5"/>
          <w:sz w:val="18"/>
        </w:rPr>
        <w:t>Ho.</w:t>
      </w:r>
    </w:p>
    <w:p w:rsidR="00200FDA" w:rsidRDefault="00F76C4C">
      <w:pPr>
        <w:ind w:left="139" w:right="2262"/>
        <w:rPr>
          <w:sz w:val="18"/>
        </w:rPr>
      </w:pPr>
      <w:r>
        <w:rPr>
          <w:position w:val="5"/>
          <w:sz w:val="12"/>
        </w:rPr>
        <w:t>33</w:t>
      </w:r>
      <w:r>
        <w:rPr>
          <w:spacing w:val="9"/>
          <w:position w:val="5"/>
          <w:sz w:val="12"/>
        </w:rPr>
        <w:t xml:space="preserve"> </w:t>
      </w:r>
      <w:r>
        <w:rPr>
          <w:sz w:val="18"/>
        </w:rPr>
        <w:t>“Adolescents</w:t>
      </w:r>
      <w:r>
        <w:rPr>
          <w:spacing w:val="-4"/>
          <w:sz w:val="18"/>
        </w:rPr>
        <w:t xml:space="preserve"> </w:t>
      </w:r>
      <w:r>
        <w:rPr>
          <w:sz w:val="18"/>
        </w:rPr>
        <w:t>and</w:t>
      </w:r>
      <w:r>
        <w:rPr>
          <w:spacing w:val="-4"/>
          <w:sz w:val="18"/>
        </w:rPr>
        <w:t xml:space="preserve"> </w:t>
      </w:r>
      <w:r>
        <w:rPr>
          <w:sz w:val="18"/>
        </w:rPr>
        <w:t>Young</w:t>
      </w:r>
      <w:r>
        <w:rPr>
          <w:spacing w:val="-2"/>
          <w:sz w:val="18"/>
        </w:rPr>
        <w:t xml:space="preserve"> </w:t>
      </w:r>
      <w:r>
        <w:rPr>
          <w:sz w:val="18"/>
        </w:rPr>
        <w:t>Adults,”</w:t>
      </w:r>
      <w:r>
        <w:rPr>
          <w:spacing w:val="-2"/>
          <w:sz w:val="18"/>
        </w:rPr>
        <w:t xml:space="preserve"> </w:t>
      </w:r>
      <w:r>
        <w:rPr>
          <w:sz w:val="18"/>
        </w:rPr>
        <w:t>Centers</w:t>
      </w:r>
      <w:r>
        <w:rPr>
          <w:spacing w:val="-4"/>
          <w:sz w:val="18"/>
        </w:rPr>
        <w:t xml:space="preserve"> </w:t>
      </w:r>
      <w:r>
        <w:rPr>
          <w:sz w:val="18"/>
        </w:rPr>
        <w:t>for</w:t>
      </w:r>
      <w:r>
        <w:rPr>
          <w:spacing w:val="-4"/>
          <w:sz w:val="18"/>
        </w:rPr>
        <w:t xml:space="preserve"> </w:t>
      </w:r>
      <w:r>
        <w:rPr>
          <w:sz w:val="18"/>
        </w:rPr>
        <w:t>Disease</w:t>
      </w:r>
      <w:r>
        <w:rPr>
          <w:spacing w:val="-4"/>
          <w:sz w:val="18"/>
        </w:rPr>
        <w:t xml:space="preserve"> </w:t>
      </w:r>
      <w:r>
        <w:rPr>
          <w:sz w:val="18"/>
        </w:rPr>
        <w:t>Control</w:t>
      </w:r>
      <w:r>
        <w:rPr>
          <w:spacing w:val="-4"/>
          <w:sz w:val="18"/>
        </w:rPr>
        <w:t xml:space="preserve"> </w:t>
      </w:r>
      <w:r>
        <w:rPr>
          <w:sz w:val="18"/>
        </w:rPr>
        <w:t>and</w:t>
      </w:r>
      <w:r>
        <w:rPr>
          <w:spacing w:val="-2"/>
          <w:sz w:val="18"/>
        </w:rPr>
        <w:t xml:space="preserve"> </w:t>
      </w:r>
      <w:r>
        <w:rPr>
          <w:sz w:val="18"/>
        </w:rPr>
        <w:t>Prevention,</w:t>
      </w:r>
      <w:r>
        <w:rPr>
          <w:spacing w:val="-3"/>
          <w:sz w:val="18"/>
        </w:rPr>
        <w:t xml:space="preserve"> </w:t>
      </w:r>
      <w:r>
        <w:rPr>
          <w:sz w:val="18"/>
        </w:rPr>
        <w:t>October</w:t>
      </w:r>
      <w:r>
        <w:rPr>
          <w:spacing w:val="-4"/>
          <w:sz w:val="18"/>
        </w:rPr>
        <w:t xml:space="preserve"> </w:t>
      </w:r>
      <w:r>
        <w:rPr>
          <w:sz w:val="18"/>
        </w:rPr>
        <w:t>18,</w:t>
      </w:r>
      <w:r>
        <w:rPr>
          <w:spacing w:val="-3"/>
          <w:sz w:val="18"/>
        </w:rPr>
        <w:t xml:space="preserve"> </w:t>
      </w:r>
      <w:r>
        <w:rPr>
          <w:sz w:val="18"/>
        </w:rPr>
        <w:t xml:space="preserve">2022, </w:t>
      </w:r>
      <w:r>
        <w:rPr>
          <w:spacing w:val="-2"/>
          <w:sz w:val="18"/>
        </w:rPr>
        <w:t>https://</w:t>
      </w:r>
      <w:hyperlink r:id="rId192">
        <w:r>
          <w:rPr>
            <w:spacing w:val="-2"/>
            <w:sz w:val="18"/>
          </w:rPr>
          <w:t>www.cdc.gov/std/life-stages-populations/adolescents-youngadults.htm.</w:t>
        </w:r>
      </w:hyperlink>
    </w:p>
    <w:p w:rsidR="00200FDA" w:rsidRDefault="00F76C4C">
      <w:pPr>
        <w:ind w:left="140" w:hanging="1"/>
        <w:rPr>
          <w:sz w:val="18"/>
        </w:rPr>
      </w:pPr>
      <w:r>
        <w:rPr>
          <w:position w:val="5"/>
          <w:sz w:val="12"/>
        </w:rPr>
        <w:t>34</w:t>
      </w:r>
      <w:r>
        <w:rPr>
          <w:spacing w:val="10"/>
          <w:position w:val="5"/>
          <w:sz w:val="12"/>
        </w:rPr>
        <w:t xml:space="preserve"> </w:t>
      </w:r>
      <w:r>
        <w:rPr>
          <w:sz w:val="18"/>
        </w:rPr>
        <w:t>“2021</w:t>
      </w:r>
      <w:r>
        <w:rPr>
          <w:spacing w:val="-3"/>
          <w:sz w:val="18"/>
        </w:rPr>
        <w:t xml:space="preserve"> </w:t>
      </w:r>
      <w:r>
        <w:rPr>
          <w:sz w:val="18"/>
        </w:rPr>
        <w:t>Massachusetts</w:t>
      </w:r>
      <w:r>
        <w:rPr>
          <w:spacing w:val="-3"/>
          <w:sz w:val="18"/>
        </w:rPr>
        <w:t xml:space="preserve"> </w:t>
      </w:r>
      <w:r>
        <w:rPr>
          <w:sz w:val="18"/>
        </w:rPr>
        <w:t>Integrated</w:t>
      </w:r>
      <w:r>
        <w:rPr>
          <w:spacing w:val="-2"/>
          <w:sz w:val="18"/>
        </w:rPr>
        <w:t xml:space="preserve"> </w:t>
      </w:r>
      <w:r>
        <w:rPr>
          <w:sz w:val="18"/>
        </w:rPr>
        <w:t>HIV,</w:t>
      </w:r>
      <w:r>
        <w:rPr>
          <w:spacing w:val="-3"/>
          <w:sz w:val="18"/>
        </w:rPr>
        <w:t xml:space="preserve"> </w:t>
      </w:r>
      <w:r>
        <w:rPr>
          <w:sz w:val="18"/>
        </w:rPr>
        <w:t>STD</w:t>
      </w:r>
      <w:r>
        <w:rPr>
          <w:spacing w:val="-3"/>
          <w:sz w:val="18"/>
        </w:rPr>
        <w:t xml:space="preserve"> </w:t>
      </w:r>
      <w:r>
        <w:rPr>
          <w:sz w:val="18"/>
        </w:rPr>
        <w:t>and</w:t>
      </w:r>
      <w:r>
        <w:rPr>
          <w:spacing w:val="-4"/>
          <w:sz w:val="18"/>
        </w:rPr>
        <w:t xml:space="preserve"> </w:t>
      </w:r>
      <w:r>
        <w:rPr>
          <w:sz w:val="18"/>
        </w:rPr>
        <w:t>Viral</w:t>
      </w:r>
      <w:r>
        <w:rPr>
          <w:spacing w:val="-3"/>
          <w:sz w:val="18"/>
        </w:rPr>
        <w:t xml:space="preserve"> </w:t>
      </w:r>
      <w:r>
        <w:rPr>
          <w:sz w:val="18"/>
        </w:rPr>
        <w:t>Hepatitis</w:t>
      </w:r>
      <w:r>
        <w:rPr>
          <w:spacing w:val="-2"/>
          <w:sz w:val="18"/>
        </w:rPr>
        <w:t xml:space="preserve"> </w:t>
      </w:r>
      <w:r>
        <w:rPr>
          <w:sz w:val="18"/>
        </w:rPr>
        <w:t>Surveillance</w:t>
      </w:r>
      <w:r>
        <w:rPr>
          <w:spacing w:val="-3"/>
          <w:sz w:val="18"/>
        </w:rPr>
        <w:t xml:space="preserve"> </w:t>
      </w:r>
      <w:r>
        <w:rPr>
          <w:sz w:val="18"/>
        </w:rPr>
        <w:t>Report”</w:t>
      </w:r>
      <w:r>
        <w:rPr>
          <w:spacing w:val="-4"/>
          <w:sz w:val="18"/>
        </w:rPr>
        <w:t xml:space="preserve"> </w:t>
      </w:r>
      <w:r>
        <w:rPr>
          <w:sz w:val="18"/>
        </w:rPr>
        <w:t>(Jamaica</w:t>
      </w:r>
      <w:r>
        <w:rPr>
          <w:spacing w:val="-3"/>
          <w:sz w:val="18"/>
        </w:rPr>
        <w:t xml:space="preserve"> </w:t>
      </w:r>
      <w:r>
        <w:rPr>
          <w:sz w:val="18"/>
        </w:rPr>
        <w:t>Pl</w:t>
      </w:r>
      <w:r>
        <w:rPr>
          <w:sz w:val="18"/>
        </w:rPr>
        <w:t>ain,</w:t>
      </w:r>
      <w:r>
        <w:rPr>
          <w:spacing w:val="-3"/>
          <w:sz w:val="18"/>
        </w:rPr>
        <w:t xml:space="preserve"> </w:t>
      </w:r>
      <w:r>
        <w:rPr>
          <w:sz w:val="18"/>
        </w:rPr>
        <w:t>MA:</w:t>
      </w:r>
      <w:r>
        <w:rPr>
          <w:spacing w:val="-3"/>
          <w:sz w:val="18"/>
        </w:rPr>
        <w:t xml:space="preserve"> </w:t>
      </w:r>
      <w:r>
        <w:rPr>
          <w:sz w:val="18"/>
        </w:rPr>
        <w:t>Massachusetts Department of Public Health, Bureau of Infectious Disease and Laboratory Sciences, 2022).</w:t>
      </w:r>
    </w:p>
    <w:p w:rsidR="00200FDA" w:rsidRDefault="00F76C4C">
      <w:pPr>
        <w:spacing w:line="219" w:lineRule="exact"/>
        <w:ind w:left="140"/>
        <w:rPr>
          <w:i/>
          <w:sz w:val="18"/>
        </w:rPr>
      </w:pPr>
      <w:r>
        <w:rPr>
          <w:position w:val="5"/>
          <w:sz w:val="12"/>
        </w:rPr>
        <w:t>35</w:t>
      </w:r>
      <w:r>
        <w:rPr>
          <w:spacing w:val="7"/>
          <w:position w:val="5"/>
          <w:sz w:val="12"/>
        </w:rPr>
        <w:t xml:space="preserve"> </w:t>
      </w:r>
      <w:r>
        <w:rPr>
          <w:sz w:val="18"/>
        </w:rPr>
        <w:t>Elizabeth</w:t>
      </w:r>
      <w:r>
        <w:rPr>
          <w:spacing w:val="-3"/>
          <w:sz w:val="18"/>
        </w:rPr>
        <w:t xml:space="preserve"> </w:t>
      </w:r>
      <w:r>
        <w:rPr>
          <w:sz w:val="18"/>
        </w:rPr>
        <w:t>Campanella</w:t>
      </w:r>
      <w:r>
        <w:rPr>
          <w:spacing w:val="-2"/>
          <w:sz w:val="18"/>
        </w:rPr>
        <w:t xml:space="preserve"> </w:t>
      </w:r>
      <w:r>
        <w:rPr>
          <w:sz w:val="18"/>
        </w:rPr>
        <w:t>Day,</w:t>
      </w:r>
      <w:r>
        <w:rPr>
          <w:spacing w:val="-2"/>
          <w:sz w:val="18"/>
        </w:rPr>
        <w:t xml:space="preserve"> </w:t>
      </w:r>
      <w:r>
        <w:rPr>
          <w:sz w:val="18"/>
        </w:rPr>
        <w:t>“Communicating</w:t>
      </w:r>
      <w:r>
        <w:rPr>
          <w:spacing w:val="-3"/>
          <w:sz w:val="18"/>
        </w:rPr>
        <w:t xml:space="preserve"> </w:t>
      </w:r>
      <w:r>
        <w:rPr>
          <w:sz w:val="18"/>
        </w:rPr>
        <w:t>with</w:t>
      </w:r>
      <w:r>
        <w:rPr>
          <w:spacing w:val="-3"/>
          <w:sz w:val="18"/>
        </w:rPr>
        <w:t xml:space="preserve"> </w:t>
      </w:r>
      <w:r>
        <w:rPr>
          <w:sz w:val="18"/>
        </w:rPr>
        <w:t>LGBTQ</w:t>
      </w:r>
      <w:r>
        <w:rPr>
          <w:spacing w:val="-3"/>
          <w:sz w:val="18"/>
        </w:rPr>
        <w:t xml:space="preserve"> </w:t>
      </w:r>
      <w:r>
        <w:rPr>
          <w:sz w:val="18"/>
        </w:rPr>
        <w:t>Adolescents:</w:t>
      </w:r>
      <w:r>
        <w:rPr>
          <w:spacing w:val="-2"/>
          <w:sz w:val="18"/>
        </w:rPr>
        <w:t xml:space="preserve"> </w:t>
      </w:r>
      <w:r>
        <w:rPr>
          <w:sz w:val="18"/>
        </w:rPr>
        <w:t>Preventing</w:t>
      </w:r>
      <w:r>
        <w:rPr>
          <w:spacing w:val="-3"/>
          <w:sz w:val="18"/>
        </w:rPr>
        <w:t xml:space="preserve"> </w:t>
      </w:r>
      <w:r>
        <w:rPr>
          <w:sz w:val="18"/>
        </w:rPr>
        <w:t>HIV</w:t>
      </w:r>
      <w:r>
        <w:rPr>
          <w:spacing w:val="-1"/>
          <w:sz w:val="18"/>
        </w:rPr>
        <w:t xml:space="preserve"> </w:t>
      </w:r>
      <w:r>
        <w:rPr>
          <w:sz w:val="18"/>
        </w:rPr>
        <w:t>and</w:t>
      </w:r>
      <w:r>
        <w:rPr>
          <w:spacing w:val="-3"/>
          <w:sz w:val="18"/>
        </w:rPr>
        <w:t xml:space="preserve"> </w:t>
      </w:r>
      <w:r>
        <w:rPr>
          <w:sz w:val="18"/>
        </w:rPr>
        <w:t>Other STIs.,”</w:t>
      </w:r>
      <w:r>
        <w:rPr>
          <w:spacing w:val="-3"/>
          <w:sz w:val="18"/>
        </w:rPr>
        <w:t xml:space="preserve"> </w:t>
      </w:r>
      <w:r>
        <w:rPr>
          <w:i/>
          <w:sz w:val="18"/>
        </w:rPr>
        <w:t>Pediatric</w:t>
      </w:r>
      <w:r>
        <w:rPr>
          <w:i/>
          <w:spacing w:val="-3"/>
          <w:sz w:val="18"/>
        </w:rPr>
        <w:t xml:space="preserve"> </w:t>
      </w:r>
      <w:r>
        <w:rPr>
          <w:i/>
          <w:spacing w:val="-2"/>
          <w:sz w:val="18"/>
        </w:rPr>
        <w:t>Nursing</w:t>
      </w:r>
    </w:p>
    <w:p w:rsidR="00200FDA" w:rsidRDefault="00F76C4C">
      <w:pPr>
        <w:spacing w:line="219" w:lineRule="exact"/>
        <w:ind w:left="140"/>
        <w:rPr>
          <w:sz w:val="18"/>
        </w:rPr>
      </w:pPr>
      <w:r>
        <w:rPr>
          <w:sz w:val="18"/>
        </w:rPr>
        <w:t>48,</w:t>
      </w:r>
      <w:r>
        <w:rPr>
          <w:spacing w:val="-1"/>
          <w:sz w:val="18"/>
        </w:rPr>
        <w:t xml:space="preserve"> </w:t>
      </w:r>
      <w:r>
        <w:rPr>
          <w:sz w:val="18"/>
        </w:rPr>
        <w:t>no. 4 (July</w:t>
      </w:r>
      <w:r>
        <w:rPr>
          <w:spacing w:val="-1"/>
          <w:sz w:val="18"/>
        </w:rPr>
        <w:t xml:space="preserve"> </w:t>
      </w:r>
      <w:r>
        <w:rPr>
          <w:sz w:val="18"/>
        </w:rPr>
        <w:t xml:space="preserve">1, 2022): </w:t>
      </w:r>
      <w:r>
        <w:rPr>
          <w:spacing w:val="-2"/>
          <w:sz w:val="18"/>
        </w:rPr>
        <w:t>163–67.</w:t>
      </w:r>
    </w:p>
    <w:p w:rsidR="00200FDA" w:rsidRDefault="00F76C4C">
      <w:pPr>
        <w:spacing w:line="219" w:lineRule="exact"/>
        <w:ind w:left="140"/>
        <w:rPr>
          <w:sz w:val="18"/>
        </w:rPr>
      </w:pPr>
      <w:r>
        <w:rPr>
          <w:position w:val="5"/>
          <w:sz w:val="12"/>
        </w:rPr>
        <w:t>36</w:t>
      </w:r>
      <w:r>
        <w:rPr>
          <w:spacing w:val="9"/>
          <w:position w:val="5"/>
          <w:sz w:val="12"/>
        </w:rPr>
        <w:t xml:space="preserve"> </w:t>
      </w:r>
      <w:r>
        <w:rPr>
          <w:sz w:val="18"/>
        </w:rPr>
        <w:t>“2021</w:t>
      </w:r>
      <w:r>
        <w:rPr>
          <w:spacing w:val="-3"/>
          <w:sz w:val="18"/>
        </w:rPr>
        <w:t xml:space="preserve"> </w:t>
      </w:r>
      <w:r>
        <w:rPr>
          <w:sz w:val="18"/>
        </w:rPr>
        <w:t>Massachusetts</w:t>
      </w:r>
      <w:r>
        <w:rPr>
          <w:spacing w:val="-3"/>
          <w:sz w:val="18"/>
        </w:rPr>
        <w:t xml:space="preserve"> </w:t>
      </w:r>
      <w:r>
        <w:rPr>
          <w:sz w:val="18"/>
        </w:rPr>
        <w:t>Youth</w:t>
      </w:r>
      <w:r>
        <w:rPr>
          <w:spacing w:val="-4"/>
          <w:sz w:val="18"/>
        </w:rPr>
        <w:t xml:space="preserve"> </w:t>
      </w:r>
      <w:r>
        <w:rPr>
          <w:sz w:val="18"/>
        </w:rPr>
        <w:t>Risk Behavior</w:t>
      </w:r>
      <w:r>
        <w:rPr>
          <w:spacing w:val="-4"/>
          <w:sz w:val="18"/>
        </w:rPr>
        <w:t xml:space="preserve"> </w:t>
      </w:r>
      <w:r>
        <w:rPr>
          <w:sz w:val="18"/>
        </w:rPr>
        <w:t>Survey</w:t>
      </w:r>
      <w:r>
        <w:rPr>
          <w:spacing w:val="-2"/>
          <w:sz w:val="18"/>
        </w:rPr>
        <w:t xml:space="preserve"> Data.”</w:t>
      </w:r>
    </w:p>
    <w:p w:rsidR="00200FDA" w:rsidRDefault="00F76C4C">
      <w:pPr>
        <w:spacing w:before="1"/>
        <w:ind w:left="140"/>
        <w:rPr>
          <w:sz w:val="18"/>
        </w:rPr>
      </w:pPr>
      <w:r>
        <w:rPr>
          <w:position w:val="5"/>
          <w:sz w:val="12"/>
        </w:rPr>
        <w:t>37</w:t>
      </w:r>
      <w:r>
        <w:rPr>
          <w:spacing w:val="9"/>
          <w:position w:val="5"/>
          <w:sz w:val="12"/>
        </w:rPr>
        <w:t xml:space="preserve"> </w:t>
      </w:r>
      <w:r>
        <w:rPr>
          <w:sz w:val="18"/>
        </w:rPr>
        <w:t>“2021</w:t>
      </w:r>
      <w:r>
        <w:rPr>
          <w:spacing w:val="-3"/>
          <w:sz w:val="18"/>
        </w:rPr>
        <w:t xml:space="preserve"> </w:t>
      </w:r>
      <w:r>
        <w:rPr>
          <w:sz w:val="18"/>
        </w:rPr>
        <w:t>Massachusetts</w:t>
      </w:r>
      <w:r>
        <w:rPr>
          <w:spacing w:val="-3"/>
          <w:sz w:val="18"/>
        </w:rPr>
        <w:t xml:space="preserve"> </w:t>
      </w:r>
      <w:r>
        <w:rPr>
          <w:sz w:val="18"/>
        </w:rPr>
        <w:t>Youth</w:t>
      </w:r>
      <w:r>
        <w:rPr>
          <w:spacing w:val="-4"/>
          <w:sz w:val="18"/>
        </w:rPr>
        <w:t xml:space="preserve"> </w:t>
      </w:r>
      <w:r>
        <w:rPr>
          <w:sz w:val="18"/>
        </w:rPr>
        <w:t>Risk Behavior</w:t>
      </w:r>
      <w:r>
        <w:rPr>
          <w:spacing w:val="-4"/>
          <w:sz w:val="18"/>
        </w:rPr>
        <w:t xml:space="preserve"> </w:t>
      </w:r>
      <w:r>
        <w:rPr>
          <w:sz w:val="18"/>
        </w:rPr>
        <w:t>Survey</w:t>
      </w:r>
      <w:r>
        <w:rPr>
          <w:spacing w:val="-2"/>
          <w:sz w:val="18"/>
        </w:rPr>
        <w:t xml:space="preserve"> Data.”</w:t>
      </w:r>
    </w:p>
    <w:p w:rsidR="00200FDA" w:rsidRDefault="00F76C4C">
      <w:pPr>
        <w:spacing w:before="2" w:line="219" w:lineRule="exact"/>
        <w:ind w:left="140"/>
        <w:rPr>
          <w:sz w:val="18"/>
        </w:rPr>
      </w:pPr>
      <w:r>
        <w:rPr>
          <w:position w:val="5"/>
          <w:sz w:val="12"/>
        </w:rPr>
        <w:t>38</w:t>
      </w:r>
      <w:r>
        <w:rPr>
          <w:spacing w:val="9"/>
          <w:position w:val="5"/>
          <w:sz w:val="12"/>
        </w:rPr>
        <w:t xml:space="preserve"> </w:t>
      </w:r>
      <w:r>
        <w:rPr>
          <w:sz w:val="18"/>
        </w:rPr>
        <w:t>“2021</w:t>
      </w:r>
      <w:r>
        <w:rPr>
          <w:spacing w:val="-3"/>
          <w:sz w:val="18"/>
        </w:rPr>
        <w:t xml:space="preserve"> </w:t>
      </w:r>
      <w:r>
        <w:rPr>
          <w:sz w:val="18"/>
        </w:rPr>
        <w:t>Massachusetts</w:t>
      </w:r>
      <w:r>
        <w:rPr>
          <w:spacing w:val="-3"/>
          <w:sz w:val="18"/>
        </w:rPr>
        <w:t xml:space="preserve"> </w:t>
      </w:r>
      <w:r>
        <w:rPr>
          <w:sz w:val="18"/>
        </w:rPr>
        <w:t>Youth</w:t>
      </w:r>
      <w:r>
        <w:rPr>
          <w:spacing w:val="-4"/>
          <w:sz w:val="18"/>
        </w:rPr>
        <w:t xml:space="preserve"> </w:t>
      </w:r>
      <w:r>
        <w:rPr>
          <w:sz w:val="18"/>
        </w:rPr>
        <w:t>Risk Behavior</w:t>
      </w:r>
      <w:r>
        <w:rPr>
          <w:spacing w:val="-4"/>
          <w:sz w:val="18"/>
        </w:rPr>
        <w:t xml:space="preserve"> </w:t>
      </w:r>
      <w:r>
        <w:rPr>
          <w:sz w:val="18"/>
        </w:rPr>
        <w:t>Survey</w:t>
      </w:r>
      <w:r>
        <w:rPr>
          <w:spacing w:val="-2"/>
          <w:sz w:val="18"/>
        </w:rPr>
        <w:t xml:space="preserve"> Data.”</w:t>
      </w:r>
    </w:p>
    <w:p w:rsidR="00200FDA" w:rsidRDefault="00F76C4C">
      <w:pPr>
        <w:ind w:left="139" w:right="1158"/>
        <w:rPr>
          <w:sz w:val="18"/>
        </w:rPr>
      </w:pPr>
      <w:r>
        <w:rPr>
          <w:position w:val="5"/>
          <w:sz w:val="12"/>
        </w:rPr>
        <w:t>39</w:t>
      </w:r>
      <w:r>
        <w:rPr>
          <w:spacing w:val="10"/>
          <w:position w:val="5"/>
          <w:sz w:val="12"/>
        </w:rPr>
        <w:t xml:space="preserve"> </w:t>
      </w:r>
      <w:r>
        <w:rPr>
          <w:sz w:val="18"/>
        </w:rPr>
        <w:t>“Youth</w:t>
      </w:r>
      <w:r>
        <w:rPr>
          <w:spacing w:val="-3"/>
          <w:sz w:val="18"/>
        </w:rPr>
        <w:t xml:space="preserve"> </w:t>
      </w:r>
      <w:r>
        <w:rPr>
          <w:sz w:val="18"/>
        </w:rPr>
        <w:t>STIs:</w:t>
      </w:r>
      <w:r>
        <w:rPr>
          <w:spacing w:val="-2"/>
          <w:sz w:val="18"/>
        </w:rPr>
        <w:t xml:space="preserve"> </w:t>
      </w:r>
      <w:r>
        <w:rPr>
          <w:sz w:val="18"/>
        </w:rPr>
        <w:t>An</w:t>
      </w:r>
      <w:r>
        <w:rPr>
          <w:spacing w:val="-3"/>
          <w:sz w:val="18"/>
        </w:rPr>
        <w:t xml:space="preserve"> </w:t>
      </w:r>
      <w:r>
        <w:rPr>
          <w:sz w:val="18"/>
        </w:rPr>
        <w:t>Epidemic Fuelled</w:t>
      </w:r>
      <w:r>
        <w:rPr>
          <w:spacing w:val="-1"/>
          <w:sz w:val="18"/>
        </w:rPr>
        <w:t xml:space="preserve"> </w:t>
      </w:r>
      <w:r>
        <w:rPr>
          <w:sz w:val="18"/>
        </w:rPr>
        <w:t>by</w:t>
      </w:r>
      <w:r>
        <w:rPr>
          <w:spacing w:val="-2"/>
          <w:sz w:val="18"/>
        </w:rPr>
        <w:t xml:space="preserve"> </w:t>
      </w:r>
      <w:r>
        <w:rPr>
          <w:sz w:val="18"/>
        </w:rPr>
        <w:t>Shame,”</w:t>
      </w:r>
      <w:r>
        <w:rPr>
          <w:spacing w:val="-3"/>
          <w:sz w:val="18"/>
        </w:rPr>
        <w:t xml:space="preserve"> </w:t>
      </w:r>
      <w:r>
        <w:rPr>
          <w:i/>
          <w:sz w:val="18"/>
        </w:rPr>
        <w:t>The</w:t>
      </w:r>
      <w:r>
        <w:rPr>
          <w:i/>
          <w:spacing w:val="-2"/>
          <w:sz w:val="18"/>
        </w:rPr>
        <w:t xml:space="preserve"> </w:t>
      </w:r>
      <w:r>
        <w:rPr>
          <w:i/>
          <w:sz w:val="18"/>
        </w:rPr>
        <w:t>Lancet</w:t>
      </w:r>
      <w:r>
        <w:rPr>
          <w:i/>
          <w:spacing w:val="-3"/>
          <w:sz w:val="18"/>
        </w:rPr>
        <w:t xml:space="preserve"> </w:t>
      </w:r>
      <w:r>
        <w:rPr>
          <w:i/>
          <w:sz w:val="18"/>
        </w:rPr>
        <w:t>Child</w:t>
      </w:r>
      <w:r>
        <w:rPr>
          <w:i/>
          <w:spacing w:val="-1"/>
          <w:sz w:val="18"/>
        </w:rPr>
        <w:t xml:space="preserve"> </w:t>
      </w:r>
      <w:r>
        <w:rPr>
          <w:i/>
          <w:sz w:val="18"/>
        </w:rPr>
        <w:t>&amp;</w:t>
      </w:r>
      <w:r>
        <w:rPr>
          <w:i/>
          <w:spacing w:val="-3"/>
          <w:sz w:val="18"/>
        </w:rPr>
        <w:t xml:space="preserve"> </w:t>
      </w:r>
      <w:r>
        <w:rPr>
          <w:i/>
          <w:sz w:val="18"/>
        </w:rPr>
        <w:t>Adolescent</w:t>
      </w:r>
      <w:r>
        <w:rPr>
          <w:i/>
          <w:spacing w:val="-3"/>
          <w:sz w:val="18"/>
        </w:rPr>
        <w:t xml:space="preserve"> </w:t>
      </w:r>
      <w:r>
        <w:rPr>
          <w:i/>
          <w:sz w:val="18"/>
        </w:rPr>
        <w:t>Health</w:t>
      </w:r>
      <w:r>
        <w:rPr>
          <w:i/>
          <w:spacing w:val="-1"/>
          <w:sz w:val="18"/>
        </w:rPr>
        <w:t xml:space="preserve"> </w:t>
      </w:r>
      <w:r>
        <w:rPr>
          <w:sz w:val="18"/>
        </w:rPr>
        <w:t>6,</w:t>
      </w:r>
      <w:r>
        <w:rPr>
          <w:spacing w:val="-2"/>
          <w:sz w:val="18"/>
        </w:rPr>
        <w:t xml:space="preserve"> </w:t>
      </w:r>
      <w:r>
        <w:rPr>
          <w:sz w:val="18"/>
        </w:rPr>
        <w:t>no.</w:t>
      </w:r>
      <w:r>
        <w:rPr>
          <w:spacing w:val="-5"/>
          <w:sz w:val="18"/>
        </w:rPr>
        <w:t xml:space="preserve"> </w:t>
      </w:r>
      <w:r>
        <w:rPr>
          <w:sz w:val="18"/>
        </w:rPr>
        <w:t>6</w:t>
      </w:r>
      <w:r>
        <w:rPr>
          <w:spacing w:val="-2"/>
          <w:sz w:val="18"/>
        </w:rPr>
        <w:t xml:space="preserve"> </w:t>
      </w:r>
      <w:r>
        <w:rPr>
          <w:sz w:val="18"/>
        </w:rPr>
        <w:t>(June</w:t>
      </w:r>
      <w:r>
        <w:rPr>
          <w:spacing w:val="-3"/>
          <w:sz w:val="18"/>
        </w:rPr>
        <w:t xml:space="preserve"> </w:t>
      </w:r>
      <w:r>
        <w:rPr>
          <w:sz w:val="18"/>
        </w:rPr>
        <w:t>1,</w:t>
      </w:r>
      <w:r>
        <w:rPr>
          <w:spacing w:val="-2"/>
          <w:sz w:val="18"/>
        </w:rPr>
        <w:t xml:space="preserve"> </w:t>
      </w:r>
      <w:r>
        <w:rPr>
          <w:sz w:val="18"/>
        </w:rPr>
        <w:t>2022):</w:t>
      </w:r>
      <w:r>
        <w:rPr>
          <w:spacing w:val="-2"/>
          <w:sz w:val="18"/>
        </w:rPr>
        <w:t xml:space="preserve"> </w:t>
      </w:r>
      <w:r>
        <w:rPr>
          <w:sz w:val="18"/>
        </w:rPr>
        <w:t xml:space="preserve">353, </w:t>
      </w:r>
      <w:r>
        <w:rPr>
          <w:spacing w:val="-2"/>
          <w:sz w:val="18"/>
        </w:rPr>
        <w:t>https://doi.org/10.1016/S2352-4642(22)00128-6.</w:t>
      </w:r>
    </w:p>
    <w:p w:rsidR="00200FDA" w:rsidRDefault="00F76C4C">
      <w:pPr>
        <w:ind w:left="140" w:right="418" w:hanging="1"/>
        <w:rPr>
          <w:sz w:val="18"/>
        </w:rPr>
      </w:pPr>
      <w:r>
        <w:rPr>
          <w:position w:val="5"/>
          <w:sz w:val="12"/>
        </w:rPr>
        <w:t>40</w:t>
      </w:r>
      <w:r>
        <w:rPr>
          <w:spacing w:val="10"/>
          <w:position w:val="5"/>
          <w:sz w:val="12"/>
        </w:rPr>
        <w:t xml:space="preserve"> </w:t>
      </w:r>
      <w:r>
        <w:rPr>
          <w:sz w:val="18"/>
        </w:rPr>
        <w:t>Ashley</w:t>
      </w:r>
      <w:r>
        <w:rPr>
          <w:spacing w:val="-2"/>
          <w:sz w:val="18"/>
        </w:rPr>
        <w:t xml:space="preserve"> </w:t>
      </w:r>
      <w:r>
        <w:rPr>
          <w:sz w:val="18"/>
        </w:rPr>
        <w:t>B.</w:t>
      </w:r>
      <w:r>
        <w:rPr>
          <w:spacing w:val="-2"/>
          <w:sz w:val="18"/>
        </w:rPr>
        <w:t xml:space="preserve"> </w:t>
      </w:r>
      <w:r>
        <w:rPr>
          <w:sz w:val="18"/>
        </w:rPr>
        <w:t>Woolweaver</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“Leveraging</w:t>
      </w:r>
      <w:r>
        <w:rPr>
          <w:spacing w:val="-3"/>
          <w:sz w:val="18"/>
        </w:rPr>
        <w:t xml:space="preserve"> </w:t>
      </w:r>
      <w:r>
        <w:rPr>
          <w:sz w:val="18"/>
        </w:rPr>
        <w:t>Comprehensive</w:t>
      </w:r>
      <w:r>
        <w:rPr>
          <w:spacing w:val="-3"/>
          <w:sz w:val="18"/>
        </w:rPr>
        <w:t xml:space="preserve"> </w:t>
      </w:r>
      <w:r>
        <w:rPr>
          <w:sz w:val="18"/>
        </w:rPr>
        <w:t>Sexuality</w:t>
      </w:r>
      <w:r>
        <w:rPr>
          <w:spacing w:val="-2"/>
          <w:sz w:val="18"/>
        </w:rPr>
        <w:t xml:space="preserve"> </w:t>
      </w:r>
      <w:r>
        <w:rPr>
          <w:sz w:val="18"/>
        </w:rPr>
        <w:t>Education</w:t>
      </w:r>
      <w:r>
        <w:rPr>
          <w:spacing w:val="-3"/>
          <w:sz w:val="18"/>
        </w:rPr>
        <w:t xml:space="preserve"> </w:t>
      </w:r>
      <w:r>
        <w:rPr>
          <w:sz w:val="18"/>
        </w:rPr>
        <w:t>as</w:t>
      </w:r>
      <w:r>
        <w:rPr>
          <w:spacing w:val="-3"/>
          <w:sz w:val="18"/>
        </w:rPr>
        <w:t xml:space="preserve"> </w:t>
      </w:r>
      <w:r>
        <w:rPr>
          <w:sz w:val="18"/>
        </w:rPr>
        <w:t>a</w:t>
      </w:r>
      <w:r>
        <w:rPr>
          <w:spacing w:val="-2"/>
          <w:sz w:val="18"/>
        </w:rPr>
        <w:t xml:space="preserve"> </w:t>
      </w:r>
      <w:r>
        <w:rPr>
          <w:sz w:val="18"/>
        </w:rPr>
        <w:t>Tool</w:t>
      </w:r>
      <w:r>
        <w:rPr>
          <w:spacing w:val="-3"/>
          <w:sz w:val="18"/>
        </w:rPr>
        <w:t xml:space="preserve"> </w:t>
      </w:r>
      <w:r>
        <w:rPr>
          <w:sz w:val="18"/>
        </w:rPr>
        <w:t>for</w:t>
      </w:r>
      <w:r>
        <w:rPr>
          <w:spacing w:val="-3"/>
          <w:sz w:val="18"/>
        </w:rPr>
        <w:t xml:space="preserve"> </w:t>
      </w:r>
      <w:r>
        <w:rPr>
          <w:sz w:val="18"/>
        </w:rPr>
        <w:t>Knowledge,</w:t>
      </w:r>
      <w:r>
        <w:rPr>
          <w:spacing w:val="-2"/>
          <w:sz w:val="18"/>
        </w:rPr>
        <w:t xml:space="preserve"> </w:t>
      </w:r>
      <w:r>
        <w:rPr>
          <w:sz w:val="18"/>
        </w:rPr>
        <w:t>Equity,</w:t>
      </w:r>
      <w:r>
        <w:rPr>
          <w:spacing w:val="-2"/>
          <w:sz w:val="18"/>
        </w:rPr>
        <w:t xml:space="preserve"> </w:t>
      </w:r>
      <w:r>
        <w:rPr>
          <w:sz w:val="18"/>
        </w:rPr>
        <w:t xml:space="preserve">and Inclusion,” </w:t>
      </w:r>
      <w:r>
        <w:rPr>
          <w:i/>
          <w:sz w:val="18"/>
        </w:rPr>
        <w:t>Journal of School Health</w:t>
      </w:r>
      <w:r>
        <w:rPr>
          <w:sz w:val="18"/>
        </w:rPr>
        <w:t>, November 20, 2022, https://doi.org/10.1111/josh.13276.</w:t>
      </w:r>
    </w:p>
    <w:p w:rsidR="00200FDA" w:rsidRDefault="00F76C4C">
      <w:pPr>
        <w:spacing w:line="219" w:lineRule="exact"/>
        <w:ind w:left="140"/>
        <w:rPr>
          <w:sz w:val="18"/>
        </w:rPr>
      </w:pPr>
      <w:r>
        <w:rPr>
          <w:position w:val="5"/>
          <w:sz w:val="12"/>
        </w:rPr>
        <w:t>41</w:t>
      </w:r>
      <w:r>
        <w:rPr>
          <w:spacing w:val="9"/>
          <w:position w:val="5"/>
          <w:sz w:val="12"/>
        </w:rPr>
        <w:t xml:space="preserve"> </w:t>
      </w:r>
      <w:r>
        <w:rPr>
          <w:sz w:val="18"/>
        </w:rPr>
        <w:t>“2021</w:t>
      </w:r>
      <w:r>
        <w:rPr>
          <w:spacing w:val="-3"/>
          <w:sz w:val="18"/>
        </w:rPr>
        <w:t xml:space="preserve"> </w:t>
      </w:r>
      <w:r>
        <w:rPr>
          <w:sz w:val="18"/>
        </w:rPr>
        <w:t>Massachusetts</w:t>
      </w:r>
      <w:r>
        <w:rPr>
          <w:spacing w:val="-3"/>
          <w:sz w:val="18"/>
        </w:rPr>
        <w:t xml:space="preserve"> </w:t>
      </w:r>
      <w:r>
        <w:rPr>
          <w:sz w:val="18"/>
        </w:rPr>
        <w:t>Youth</w:t>
      </w:r>
      <w:r>
        <w:rPr>
          <w:spacing w:val="-4"/>
          <w:sz w:val="18"/>
        </w:rPr>
        <w:t xml:space="preserve"> </w:t>
      </w:r>
      <w:r>
        <w:rPr>
          <w:sz w:val="18"/>
        </w:rPr>
        <w:t>Risk Behavior</w:t>
      </w:r>
      <w:r>
        <w:rPr>
          <w:spacing w:val="-4"/>
          <w:sz w:val="18"/>
        </w:rPr>
        <w:t xml:space="preserve"> </w:t>
      </w:r>
      <w:r>
        <w:rPr>
          <w:sz w:val="18"/>
        </w:rPr>
        <w:t>Survey</w:t>
      </w:r>
      <w:r>
        <w:rPr>
          <w:spacing w:val="-2"/>
          <w:sz w:val="18"/>
        </w:rPr>
        <w:t xml:space="preserve"> Data.”</w:t>
      </w:r>
    </w:p>
    <w:p w:rsidR="00200FDA" w:rsidRDefault="00F76C4C">
      <w:pPr>
        <w:spacing w:line="219" w:lineRule="exact"/>
        <w:ind w:left="140"/>
        <w:rPr>
          <w:sz w:val="18"/>
        </w:rPr>
      </w:pPr>
      <w:r>
        <w:rPr>
          <w:position w:val="5"/>
          <w:sz w:val="12"/>
        </w:rPr>
        <w:t>42</w:t>
      </w:r>
      <w:r>
        <w:rPr>
          <w:spacing w:val="9"/>
          <w:position w:val="5"/>
          <w:sz w:val="12"/>
        </w:rPr>
        <w:t xml:space="preserve"> </w:t>
      </w:r>
      <w:r>
        <w:rPr>
          <w:sz w:val="18"/>
        </w:rPr>
        <w:t>“2021</w:t>
      </w:r>
      <w:r>
        <w:rPr>
          <w:spacing w:val="-3"/>
          <w:sz w:val="18"/>
        </w:rPr>
        <w:t xml:space="preserve"> </w:t>
      </w:r>
      <w:r>
        <w:rPr>
          <w:sz w:val="18"/>
        </w:rPr>
        <w:t>Massachusetts</w:t>
      </w:r>
      <w:r>
        <w:rPr>
          <w:spacing w:val="-3"/>
          <w:sz w:val="18"/>
        </w:rPr>
        <w:t xml:space="preserve"> </w:t>
      </w:r>
      <w:r>
        <w:rPr>
          <w:sz w:val="18"/>
        </w:rPr>
        <w:t>Youth</w:t>
      </w:r>
      <w:r>
        <w:rPr>
          <w:spacing w:val="-4"/>
          <w:sz w:val="18"/>
        </w:rPr>
        <w:t xml:space="preserve"> </w:t>
      </w:r>
      <w:r>
        <w:rPr>
          <w:sz w:val="18"/>
        </w:rPr>
        <w:t>Risk Behavior</w:t>
      </w:r>
      <w:r>
        <w:rPr>
          <w:spacing w:val="-4"/>
          <w:sz w:val="18"/>
        </w:rPr>
        <w:t xml:space="preserve"> </w:t>
      </w:r>
      <w:r>
        <w:rPr>
          <w:sz w:val="18"/>
        </w:rPr>
        <w:t>Survey</w:t>
      </w:r>
      <w:r>
        <w:rPr>
          <w:spacing w:val="-2"/>
          <w:sz w:val="18"/>
        </w:rPr>
        <w:t xml:space="preserve"> Data.”</w:t>
      </w:r>
    </w:p>
    <w:p w:rsidR="00200FDA" w:rsidRDefault="00F76C4C">
      <w:pPr>
        <w:spacing w:line="219" w:lineRule="exact"/>
        <w:ind w:left="140"/>
        <w:rPr>
          <w:sz w:val="18"/>
        </w:rPr>
      </w:pPr>
      <w:r>
        <w:rPr>
          <w:position w:val="5"/>
          <w:sz w:val="12"/>
        </w:rPr>
        <w:t>43</w:t>
      </w:r>
      <w:r>
        <w:rPr>
          <w:spacing w:val="9"/>
          <w:position w:val="5"/>
          <w:sz w:val="12"/>
        </w:rPr>
        <w:t xml:space="preserve"> </w:t>
      </w:r>
      <w:r>
        <w:rPr>
          <w:sz w:val="18"/>
        </w:rPr>
        <w:t>“2021</w:t>
      </w:r>
      <w:r>
        <w:rPr>
          <w:spacing w:val="-3"/>
          <w:sz w:val="18"/>
        </w:rPr>
        <w:t xml:space="preserve"> </w:t>
      </w:r>
      <w:r>
        <w:rPr>
          <w:sz w:val="18"/>
        </w:rPr>
        <w:t>Massachusetts</w:t>
      </w:r>
      <w:r>
        <w:rPr>
          <w:spacing w:val="-3"/>
          <w:sz w:val="18"/>
        </w:rPr>
        <w:t xml:space="preserve"> </w:t>
      </w:r>
      <w:r>
        <w:rPr>
          <w:sz w:val="18"/>
        </w:rPr>
        <w:t>Youth</w:t>
      </w:r>
      <w:r>
        <w:rPr>
          <w:spacing w:val="-4"/>
          <w:sz w:val="18"/>
        </w:rPr>
        <w:t xml:space="preserve"> </w:t>
      </w:r>
      <w:r>
        <w:rPr>
          <w:sz w:val="18"/>
        </w:rPr>
        <w:t>Risk Behavior</w:t>
      </w:r>
      <w:r>
        <w:rPr>
          <w:spacing w:val="-4"/>
          <w:sz w:val="18"/>
        </w:rPr>
        <w:t xml:space="preserve"> </w:t>
      </w:r>
      <w:r>
        <w:rPr>
          <w:sz w:val="18"/>
        </w:rPr>
        <w:t>Survey</w:t>
      </w:r>
      <w:r>
        <w:rPr>
          <w:spacing w:val="-2"/>
          <w:sz w:val="18"/>
        </w:rPr>
        <w:t xml:space="preserve"> Data.”</w:t>
      </w:r>
    </w:p>
    <w:p w:rsidR="00200FDA" w:rsidRDefault="00F76C4C">
      <w:pPr>
        <w:spacing w:before="1"/>
        <w:ind w:left="140"/>
        <w:rPr>
          <w:sz w:val="18"/>
        </w:rPr>
      </w:pPr>
      <w:r>
        <w:rPr>
          <w:position w:val="5"/>
          <w:sz w:val="12"/>
        </w:rPr>
        <w:t>44</w:t>
      </w:r>
      <w:r>
        <w:rPr>
          <w:spacing w:val="10"/>
          <w:position w:val="5"/>
          <w:sz w:val="12"/>
        </w:rPr>
        <w:t xml:space="preserve"> </w:t>
      </w:r>
      <w:r>
        <w:rPr>
          <w:sz w:val="18"/>
        </w:rPr>
        <w:t>Goldfarb</w:t>
      </w:r>
      <w:r>
        <w:rPr>
          <w:spacing w:val="-3"/>
          <w:sz w:val="18"/>
        </w:rPr>
        <w:t xml:space="preserve"> </w:t>
      </w:r>
      <w:r>
        <w:rPr>
          <w:sz w:val="18"/>
        </w:rPr>
        <w:t>and</w:t>
      </w:r>
      <w:r>
        <w:rPr>
          <w:spacing w:val="-3"/>
          <w:sz w:val="18"/>
        </w:rPr>
        <w:t xml:space="preserve"> </w:t>
      </w:r>
      <w:r>
        <w:rPr>
          <w:sz w:val="18"/>
        </w:rPr>
        <w:t>Lieberman,</w:t>
      </w:r>
      <w:r>
        <w:rPr>
          <w:spacing w:val="-1"/>
          <w:sz w:val="18"/>
        </w:rPr>
        <w:t xml:space="preserve"> </w:t>
      </w:r>
      <w:r>
        <w:rPr>
          <w:sz w:val="18"/>
        </w:rPr>
        <w:t>“</w:t>
      </w:r>
      <w:r>
        <w:rPr>
          <w:sz w:val="18"/>
        </w:rPr>
        <w:t>Three</w:t>
      </w:r>
      <w:r>
        <w:rPr>
          <w:spacing w:val="-1"/>
          <w:sz w:val="18"/>
        </w:rPr>
        <w:t xml:space="preserve"> </w:t>
      </w:r>
      <w:r>
        <w:rPr>
          <w:sz w:val="18"/>
        </w:rPr>
        <w:t>Decades</w:t>
      </w:r>
      <w:r>
        <w:rPr>
          <w:spacing w:val="-3"/>
          <w:sz w:val="18"/>
        </w:rPr>
        <w:t xml:space="preserve"> </w:t>
      </w:r>
      <w:r>
        <w:rPr>
          <w:sz w:val="18"/>
        </w:rPr>
        <w:t>of</w:t>
      </w:r>
      <w:r>
        <w:rPr>
          <w:spacing w:val="-1"/>
          <w:sz w:val="18"/>
        </w:rPr>
        <w:t xml:space="preserve"> </w:t>
      </w:r>
      <w:r>
        <w:rPr>
          <w:spacing w:val="-2"/>
          <w:sz w:val="18"/>
        </w:rPr>
        <w:t>Research.”</w:t>
      </w:r>
    </w:p>
    <w:p w:rsidR="00200FDA" w:rsidRDefault="00F76C4C">
      <w:pPr>
        <w:spacing w:before="1"/>
        <w:ind w:left="140" w:right="445" w:hanging="1"/>
        <w:rPr>
          <w:sz w:val="18"/>
        </w:rPr>
      </w:pPr>
      <w:r>
        <w:rPr>
          <w:position w:val="5"/>
          <w:sz w:val="12"/>
        </w:rPr>
        <w:t>45</w:t>
      </w:r>
      <w:r>
        <w:rPr>
          <w:spacing w:val="10"/>
          <w:position w:val="5"/>
          <w:sz w:val="12"/>
        </w:rPr>
        <w:t xml:space="preserve"> </w:t>
      </w:r>
      <w:r>
        <w:rPr>
          <w:sz w:val="18"/>
        </w:rPr>
        <w:t>Meredith</w:t>
      </w:r>
      <w:r>
        <w:rPr>
          <w:spacing w:val="-3"/>
          <w:sz w:val="18"/>
        </w:rPr>
        <w:t xml:space="preserve"> </w:t>
      </w:r>
      <w:r>
        <w:rPr>
          <w:sz w:val="18"/>
        </w:rPr>
        <w:t>Dank,</w:t>
      </w:r>
      <w:r>
        <w:rPr>
          <w:spacing w:val="-2"/>
          <w:sz w:val="18"/>
        </w:rPr>
        <w:t xml:space="preserve"> </w:t>
      </w:r>
      <w:r>
        <w:rPr>
          <w:sz w:val="18"/>
        </w:rPr>
        <w:t>Lilly</w:t>
      </w:r>
      <w:r>
        <w:rPr>
          <w:spacing w:val="-2"/>
          <w:sz w:val="18"/>
        </w:rPr>
        <w:t xml:space="preserve"> </w:t>
      </w:r>
      <w:r>
        <w:rPr>
          <w:sz w:val="18"/>
        </w:rPr>
        <w:t>Yu,</w:t>
      </w:r>
      <w:r>
        <w:rPr>
          <w:spacing w:val="-2"/>
          <w:sz w:val="18"/>
        </w:rPr>
        <w:t xml:space="preserve"> </w:t>
      </w:r>
      <w:r>
        <w:rPr>
          <w:sz w:val="18"/>
        </w:rPr>
        <w:t>and</w:t>
      </w:r>
      <w:r>
        <w:rPr>
          <w:spacing w:val="-3"/>
          <w:sz w:val="18"/>
        </w:rPr>
        <w:t xml:space="preserve"> </w:t>
      </w:r>
      <w:r>
        <w:rPr>
          <w:sz w:val="18"/>
        </w:rPr>
        <w:t>Jennifer</w:t>
      </w:r>
      <w:r>
        <w:rPr>
          <w:spacing w:val="-3"/>
          <w:sz w:val="18"/>
        </w:rPr>
        <w:t xml:space="preserve"> </w:t>
      </w:r>
      <w:r>
        <w:rPr>
          <w:sz w:val="18"/>
        </w:rPr>
        <w:t>Yahner,</w:t>
      </w:r>
      <w:r>
        <w:rPr>
          <w:spacing w:val="-2"/>
          <w:sz w:val="18"/>
        </w:rPr>
        <w:t xml:space="preserve"> </w:t>
      </w:r>
      <w:r>
        <w:rPr>
          <w:sz w:val="18"/>
        </w:rPr>
        <w:t>“Access</w:t>
      </w:r>
      <w:r>
        <w:rPr>
          <w:spacing w:val="-3"/>
          <w:sz w:val="18"/>
        </w:rPr>
        <w:t xml:space="preserve"> </w:t>
      </w:r>
      <w:r>
        <w:rPr>
          <w:sz w:val="18"/>
        </w:rPr>
        <w:t>to</w:t>
      </w:r>
      <w:r>
        <w:rPr>
          <w:spacing w:val="-1"/>
          <w:sz w:val="18"/>
        </w:rPr>
        <w:t xml:space="preserve"> </w:t>
      </w:r>
      <w:r>
        <w:rPr>
          <w:sz w:val="18"/>
        </w:rPr>
        <w:t>Safety:</w:t>
      </w:r>
      <w:r>
        <w:rPr>
          <w:spacing w:val="-2"/>
          <w:sz w:val="18"/>
        </w:rPr>
        <w:t xml:space="preserve"> </w:t>
      </w:r>
      <w:r>
        <w:rPr>
          <w:sz w:val="18"/>
        </w:rPr>
        <w:t>Health</w:t>
      </w:r>
      <w:r>
        <w:rPr>
          <w:spacing w:val="-3"/>
          <w:sz w:val="18"/>
        </w:rPr>
        <w:t xml:space="preserve"> </w:t>
      </w:r>
      <w:r>
        <w:rPr>
          <w:sz w:val="18"/>
        </w:rPr>
        <w:t>Outcomes,</w:t>
      </w:r>
      <w:r>
        <w:rPr>
          <w:spacing w:val="-2"/>
          <w:sz w:val="18"/>
        </w:rPr>
        <w:t xml:space="preserve"> </w:t>
      </w:r>
      <w:r>
        <w:rPr>
          <w:sz w:val="18"/>
        </w:rPr>
        <w:t>Substance</w:t>
      </w:r>
      <w:r>
        <w:rPr>
          <w:spacing w:val="-3"/>
          <w:sz w:val="18"/>
        </w:rPr>
        <w:t xml:space="preserve"> </w:t>
      </w:r>
      <w:r>
        <w:rPr>
          <w:sz w:val="18"/>
        </w:rPr>
        <w:t>Use</w:t>
      </w:r>
      <w:r>
        <w:rPr>
          <w:spacing w:val="-3"/>
          <w:sz w:val="18"/>
        </w:rPr>
        <w:t xml:space="preserve"> </w:t>
      </w:r>
      <w:r>
        <w:rPr>
          <w:sz w:val="18"/>
        </w:rPr>
        <w:t>and</w:t>
      </w:r>
      <w:r>
        <w:rPr>
          <w:spacing w:val="-3"/>
          <w:sz w:val="18"/>
        </w:rPr>
        <w:t xml:space="preserve"> </w:t>
      </w:r>
      <w:r>
        <w:rPr>
          <w:sz w:val="18"/>
        </w:rPr>
        <w:t>Abuse,</w:t>
      </w:r>
      <w:r>
        <w:rPr>
          <w:spacing w:val="-2"/>
          <w:sz w:val="18"/>
        </w:rPr>
        <w:t xml:space="preserve"> </w:t>
      </w:r>
      <w:r>
        <w:rPr>
          <w:sz w:val="18"/>
        </w:rPr>
        <w:t>and</w:t>
      </w:r>
      <w:r>
        <w:rPr>
          <w:spacing w:val="-3"/>
          <w:sz w:val="18"/>
        </w:rPr>
        <w:t xml:space="preserve"> </w:t>
      </w:r>
      <w:r>
        <w:rPr>
          <w:sz w:val="18"/>
        </w:rPr>
        <w:t xml:space="preserve">Service Provision for LGBTQ Youth, YMSM, and YWSW Who Engage in Survival Sex” (Urban Institute, February 2016), </w:t>
      </w:r>
      <w:r>
        <w:rPr>
          <w:spacing w:val="-2"/>
          <w:sz w:val="18"/>
        </w:rPr>
        <w:t>https://</w:t>
      </w:r>
      <w:hyperlink r:id="rId193">
        <w:r>
          <w:rPr>
            <w:spacing w:val="-2"/>
            <w:sz w:val="18"/>
          </w:rPr>
          <w:t>www.urban.org/research/publication/access-safety-health-outcomes-substance-use-and-abuse-and-service-</w:t>
        </w:r>
      </w:hyperlink>
    </w:p>
    <w:p w:rsidR="00200FDA" w:rsidRDefault="00F76C4C">
      <w:pPr>
        <w:tabs>
          <w:tab w:val="left" w:pos="9195"/>
        </w:tabs>
        <w:spacing w:line="218" w:lineRule="exact"/>
        <w:ind w:left="111"/>
        <w:rPr>
          <w:sz w:val="18"/>
        </w:rPr>
      </w:pPr>
      <w:r>
        <w:rPr>
          <w:spacing w:val="63"/>
          <w:w w:val="150"/>
          <w:sz w:val="18"/>
          <w:u w:val="single" w:color="D9D9D9"/>
        </w:rPr>
        <w:t xml:space="preserve"> </w:t>
      </w:r>
      <w:r>
        <w:rPr>
          <w:spacing w:val="-2"/>
          <w:sz w:val="18"/>
          <w:u w:val="single" w:color="D9D9D9"/>
        </w:rPr>
        <w:t>provision-lgbtq-y</w:t>
      </w:r>
      <w:r>
        <w:rPr>
          <w:spacing w:val="-2"/>
          <w:sz w:val="18"/>
          <w:u w:val="single" w:color="D9D9D9"/>
        </w:rPr>
        <w:t>outh-ymsm-and-ywsw-who-engage-survival-</w:t>
      </w:r>
      <w:r>
        <w:rPr>
          <w:spacing w:val="-4"/>
          <w:sz w:val="18"/>
          <w:u w:val="single" w:color="D9D9D9"/>
        </w:rPr>
        <w:t>sex.</w:t>
      </w:r>
      <w:r>
        <w:rPr>
          <w:sz w:val="18"/>
          <w:u w:val="single" w:color="D9D9D9"/>
        </w:rPr>
        <w:tab/>
      </w:r>
    </w:p>
    <w:p w:rsidR="00200FDA" w:rsidRDefault="00200FDA">
      <w:pPr>
        <w:spacing w:line="218" w:lineRule="exact"/>
        <w:rPr>
          <w:sz w:val="18"/>
        </w:rPr>
        <w:sectPr w:rsidR="00200FDA">
          <w:headerReference w:type="default" r:id="rId194"/>
          <w:footerReference w:type="default" r:id="rId195"/>
          <w:pgSz w:w="11910" w:h="16840"/>
          <w:pgMar w:top="1100" w:right="1040" w:bottom="1180" w:left="1300" w:header="761" w:footer="983" w:gutter="0"/>
          <w:cols w:space="720"/>
        </w:sectPr>
      </w:pPr>
    </w:p>
    <w:p w:rsidR="00200FDA" w:rsidRDefault="00200FDA">
      <w:pPr>
        <w:pStyle w:val="BodyText"/>
        <w:spacing w:before="12"/>
        <w:rPr>
          <w:sz w:val="27"/>
        </w:rPr>
      </w:pPr>
    </w:p>
    <w:p w:rsidR="00200FDA" w:rsidRDefault="00F76C4C">
      <w:pPr>
        <w:spacing w:before="69"/>
        <w:ind w:left="140"/>
        <w:rPr>
          <w:sz w:val="18"/>
        </w:rPr>
      </w:pPr>
      <w:r>
        <w:rPr>
          <w:position w:val="5"/>
          <w:sz w:val="12"/>
        </w:rPr>
        <w:t>46</w:t>
      </w:r>
      <w:r>
        <w:rPr>
          <w:spacing w:val="10"/>
          <w:position w:val="5"/>
          <w:sz w:val="12"/>
        </w:rPr>
        <w:t xml:space="preserve"> </w:t>
      </w:r>
      <w:r>
        <w:rPr>
          <w:sz w:val="18"/>
        </w:rPr>
        <w:t>Dank,</w:t>
      </w:r>
      <w:r>
        <w:rPr>
          <w:spacing w:val="-1"/>
          <w:sz w:val="18"/>
        </w:rPr>
        <w:t xml:space="preserve"> </w:t>
      </w:r>
      <w:r>
        <w:rPr>
          <w:sz w:val="18"/>
        </w:rPr>
        <w:t>Yu,</w:t>
      </w:r>
      <w:r>
        <w:rPr>
          <w:spacing w:val="-2"/>
          <w:sz w:val="18"/>
        </w:rPr>
        <w:t xml:space="preserve"> </w:t>
      </w:r>
      <w:r>
        <w:rPr>
          <w:sz w:val="18"/>
        </w:rPr>
        <w:t>and</w:t>
      </w:r>
      <w:r>
        <w:rPr>
          <w:spacing w:val="-2"/>
          <w:sz w:val="18"/>
        </w:rPr>
        <w:t xml:space="preserve"> Yahner.</w:t>
      </w:r>
    </w:p>
    <w:p w:rsidR="00200FDA" w:rsidRDefault="00F76C4C">
      <w:pPr>
        <w:spacing w:before="1" w:line="219" w:lineRule="exact"/>
        <w:ind w:left="140"/>
        <w:rPr>
          <w:sz w:val="18"/>
        </w:rPr>
      </w:pPr>
      <w:r>
        <w:rPr>
          <w:position w:val="5"/>
          <w:sz w:val="12"/>
        </w:rPr>
        <w:t>47</w:t>
      </w:r>
      <w:r>
        <w:rPr>
          <w:spacing w:val="11"/>
          <w:position w:val="5"/>
          <w:sz w:val="12"/>
        </w:rPr>
        <w:t xml:space="preserve"> </w:t>
      </w:r>
      <w:r>
        <w:rPr>
          <w:sz w:val="18"/>
        </w:rPr>
        <w:t>“Youth</w:t>
      </w:r>
      <w:r>
        <w:rPr>
          <w:spacing w:val="-2"/>
          <w:sz w:val="18"/>
        </w:rPr>
        <w:t xml:space="preserve"> STIs.”</w:t>
      </w:r>
    </w:p>
    <w:p w:rsidR="00200FDA" w:rsidRDefault="00F76C4C">
      <w:pPr>
        <w:ind w:left="140" w:right="484" w:hanging="1"/>
        <w:rPr>
          <w:sz w:val="18"/>
        </w:rPr>
      </w:pPr>
      <w:r>
        <w:rPr>
          <w:position w:val="5"/>
          <w:sz w:val="12"/>
        </w:rPr>
        <w:t>48</w:t>
      </w:r>
      <w:r>
        <w:rPr>
          <w:spacing w:val="10"/>
          <w:position w:val="5"/>
          <w:sz w:val="12"/>
        </w:rPr>
        <w:t xml:space="preserve"> </w:t>
      </w:r>
      <w:r>
        <w:rPr>
          <w:sz w:val="18"/>
        </w:rPr>
        <w:t>Mary</w:t>
      </w:r>
      <w:r>
        <w:rPr>
          <w:spacing w:val="-2"/>
          <w:sz w:val="18"/>
        </w:rPr>
        <w:t xml:space="preserve"> </w:t>
      </w:r>
      <w:r>
        <w:rPr>
          <w:sz w:val="18"/>
        </w:rPr>
        <w:t>Jane</w:t>
      </w:r>
      <w:r>
        <w:rPr>
          <w:spacing w:val="-3"/>
          <w:sz w:val="18"/>
        </w:rPr>
        <w:t xml:space="preserve"> </w:t>
      </w:r>
      <w:r>
        <w:rPr>
          <w:sz w:val="18"/>
        </w:rPr>
        <w:t>Rotheram-Borus,</w:t>
      </w:r>
      <w:r>
        <w:rPr>
          <w:spacing w:val="-2"/>
          <w:sz w:val="18"/>
        </w:rPr>
        <w:t xml:space="preserve"> </w:t>
      </w:r>
      <w:r>
        <w:rPr>
          <w:sz w:val="18"/>
        </w:rPr>
        <w:t>Sung-Jae</w:t>
      </w:r>
      <w:r>
        <w:rPr>
          <w:spacing w:val="-3"/>
          <w:sz w:val="18"/>
        </w:rPr>
        <w:t xml:space="preserve"> </w:t>
      </w:r>
      <w:r>
        <w:rPr>
          <w:sz w:val="18"/>
        </w:rPr>
        <w:t>Lee,</w:t>
      </w:r>
      <w:r>
        <w:rPr>
          <w:spacing w:val="-2"/>
          <w:sz w:val="18"/>
        </w:rPr>
        <w:t xml:space="preserve"> </w:t>
      </w:r>
      <w:r>
        <w:rPr>
          <w:sz w:val="18"/>
        </w:rPr>
        <w:t>and</w:t>
      </w:r>
      <w:r>
        <w:rPr>
          <w:spacing w:val="-3"/>
          <w:sz w:val="18"/>
        </w:rPr>
        <w:t xml:space="preserve"> </w:t>
      </w:r>
      <w:r>
        <w:rPr>
          <w:sz w:val="18"/>
        </w:rPr>
        <w:t>Dallas</w:t>
      </w:r>
      <w:r>
        <w:rPr>
          <w:spacing w:val="-3"/>
          <w:sz w:val="18"/>
        </w:rPr>
        <w:t xml:space="preserve"> </w:t>
      </w:r>
      <w:r>
        <w:rPr>
          <w:sz w:val="18"/>
        </w:rPr>
        <w:t>Swendeman,</w:t>
      </w:r>
      <w:r>
        <w:rPr>
          <w:spacing w:val="-2"/>
          <w:sz w:val="18"/>
        </w:rPr>
        <w:t xml:space="preserve"> </w:t>
      </w:r>
      <w:r>
        <w:rPr>
          <w:sz w:val="18"/>
        </w:rPr>
        <w:t>“Getting</w:t>
      </w:r>
      <w:r>
        <w:rPr>
          <w:spacing w:val="-3"/>
          <w:sz w:val="18"/>
        </w:rPr>
        <w:t xml:space="preserve"> </w:t>
      </w:r>
      <w:r>
        <w:rPr>
          <w:sz w:val="18"/>
        </w:rPr>
        <w:t>to</w:t>
      </w:r>
      <w:r>
        <w:rPr>
          <w:spacing w:val="-1"/>
          <w:sz w:val="18"/>
        </w:rPr>
        <w:t xml:space="preserve"> </w:t>
      </w:r>
      <w:r>
        <w:rPr>
          <w:sz w:val="18"/>
        </w:rPr>
        <w:t>Zero</w:t>
      </w:r>
      <w:r>
        <w:rPr>
          <w:spacing w:val="-1"/>
          <w:sz w:val="18"/>
        </w:rPr>
        <w:t xml:space="preserve"> </w:t>
      </w:r>
      <w:r>
        <w:rPr>
          <w:sz w:val="18"/>
        </w:rPr>
        <w:t>HIV</w:t>
      </w:r>
      <w:r>
        <w:rPr>
          <w:spacing w:val="-1"/>
          <w:sz w:val="18"/>
        </w:rPr>
        <w:t xml:space="preserve"> </w:t>
      </w:r>
      <w:r>
        <w:rPr>
          <w:sz w:val="18"/>
        </w:rPr>
        <w:t>Among</w:t>
      </w:r>
      <w:r>
        <w:rPr>
          <w:spacing w:val="-3"/>
          <w:sz w:val="18"/>
        </w:rPr>
        <w:t xml:space="preserve"> </w:t>
      </w:r>
      <w:r>
        <w:rPr>
          <w:sz w:val="18"/>
        </w:rPr>
        <w:t>Youth:</w:t>
      </w:r>
      <w:r>
        <w:rPr>
          <w:spacing w:val="-2"/>
          <w:sz w:val="18"/>
        </w:rPr>
        <w:t xml:space="preserve"> </w:t>
      </w:r>
      <w:r>
        <w:rPr>
          <w:sz w:val="18"/>
        </w:rPr>
        <w:t>Moving</w:t>
      </w:r>
      <w:r>
        <w:rPr>
          <w:spacing w:val="-3"/>
          <w:sz w:val="18"/>
        </w:rPr>
        <w:t xml:space="preserve"> </w:t>
      </w:r>
      <w:r>
        <w:rPr>
          <w:sz w:val="18"/>
        </w:rPr>
        <w:t xml:space="preserve">Beyond Medical Sites,” </w:t>
      </w:r>
      <w:r>
        <w:rPr>
          <w:i/>
          <w:sz w:val="18"/>
        </w:rPr>
        <w:t xml:space="preserve">JAMA Pediatrics </w:t>
      </w:r>
      <w:r>
        <w:rPr>
          <w:sz w:val="18"/>
        </w:rPr>
        <w:t xml:space="preserve">172, no. 12 (December 1, 2018): 1117–18, </w:t>
      </w:r>
      <w:r>
        <w:rPr>
          <w:spacing w:val="-2"/>
          <w:sz w:val="18"/>
        </w:rPr>
        <w:t>https://doi.org/10.1001/jamapediatrics.2018.3672.</w:t>
      </w:r>
    </w:p>
    <w:p w:rsidR="00200FDA" w:rsidRDefault="00F76C4C">
      <w:pPr>
        <w:ind w:left="140"/>
        <w:rPr>
          <w:sz w:val="18"/>
        </w:rPr>
      </w:pPr>
      <w:r>
        <w:rPr>
          <w:position w:val="5"/>
          <w:sz w:val="12"/>
        </w:rPr>
        <w:t>49</w:t>
      </w:r>
      <w:r>
        <w:rPr>
          <w:spacing w:val="11"/>
          <w:position w:val="5"/>
          <w:sz w:val="12"/>
        </w:rPr>
        <w:t xml:space="preserve"> </w:t>
      </w:r>
      <w:r>
        <w:rPr>
          <w:sz w:val="18"/>
        </w:rPr>
        <w:t>“Youth</w:t>
      </w:r>
      <w:r>
        <w:rPr>
          <w:spacing w:val="-2"/>
          <w:sz w:val="18"/>
        </w:rPr>
        <w:t xml:space="preserve"> STIs.”</w:t>
      </w:r>
    </w:p>
    <w:p w:rsidR="00200FDA" w:rsidRDefault="00F76C4C">
      <w:pPr>
        <w:spacing w:before="1"/>
        <w:ind w:left="140" w:right="484" w:hanging="1"/>
        <w:rPr>
          <w:sz w:val="18"/>
        </w:rPr>
      </w:pPr>
      <w:r>
        <w:rPr>
          <w:position w:val="5"/>
          <w:sz w:val="12"/>
        </w:rPr>
        <w:t>50</w:t>
      </w:r>
      <w:r>
        <w:rPr>
          <w:spacing w:val="10"/>
          <w:position w:val="5"/>
          <w:sz w:val="12"/>
        </w:rPr>
        <w:t xml:space="preserve"> </w:t>
      </w:r>
      <w:r>
        <w:rPr>
          <w:sz w:val="18"/>
        </w:rPr>
        <w:t>C.</w:t>
      </w:r>
      <w:r>
        <w:rPr>
          <w:spacing w:val="-2"/>
          <w:sz w:val="18"/>
        </w:rPr>
        <w:t xml:space="preserve"> </w:t>
      </w:r>
      <w:r>
        <w:rPr>
          <w:sz w:val="18"/>
        </w:rPr>
        <w:t>L.</w:t>
      </w:r>
      <w:r>
        <w:rPr>
          <w:spacing w:val="-2"/>
          <w:sz w:val="18"/>
        </w:rPr>
        <w:t xml:space="preserve"> </w:t>
      </w:r>
      <w:r>
        <w:rPr>
          <w:sz w:val="18"/>
        </w:rPr>
        <w:t>Shannon</w:t>
      </w:r>
      <w:r>
        <w:rPr>
          <w:spacing w:val="-3"/>
          <w:sz w:val="18"/>
        </w:rPr>
        <w:t xml:space="preserve"> </w:t>
      </w:r>
      <w:r>
        <w:rPr>
          <w:sz w:val="18"/>
        </w:rPr>
        <w:t>and</w:t>
      </w:r>
      <w:r>
        <w:rPr>
          <w:spacing w:val="-3"/>
          <w:sz w:val="18"/>
        </w:rPr>
        <w:t xml:space="preserve"> </w:t>
      </w:r>
      <w:r>
        <w:rPr>
          <w:sz w:val="18"/>
        </w:rPr>
        <w:t>J.</w:t>
      </w:r>
      <w:r>
        <w:rPr>
          <w:spacing w:val="-2"/>
          <w:sz w:val="18"/>
        </w:rPr>
        <w:t xml:space="preserve"> </w:t>
      </w:r>
      <w:r>
        <w:rPr>
          <w:sz w:val="18"/>
        </w:rPr>
        <w:t>D.</w:t>
      </w:r>
      <w:r>
        <w:rPr>
          <w:spacing w:val="-2"/>
          <w:sz w:val="18"/>
        </w:rPr>
        <w:t xml:space="preserve"> </w:t>
      </w:r>
      <w:r>
        <w:rPr>
          <w:sz w:val="18"/>
        </w:rPr>
        <w:t>Klausner, “The</w:t>
      </w:r>
      <w:r>
        <w:rPr>
          <w:spacing w:val="-3"/>
          <w:sz w:val="18"/>
        </w:rPr>
        <w:t xml:space="preserve"> </w:t>
      </w:r>
      <w:r>
        <w:rPr>
          <w:sz w:val="18"/>
        </w:rPr>
        <w:t>Growing</w:t>
      </w:r>
      <w:r>
        <w:rPr>
          <w:spacing w:val="-3"/>
          <w:sz w:val="18"/>
        </w:rPr>
        <w:t xml:space="preserve"> </w:t>
      </w:r>
      <w:r>
        <w:rPr>
          <w:sz w:val="18"/>
        </w:rPr>
        <w:t>Epidemic</w:t>
      </w:r>
      <w:r>
        <w:rPr>
          <w:spacing w:val="-2"/>
          <w:sz w:val="18"/>
        </w:rPr>
        <w:t xml:space="preserve"> </w:t>
      </w:r>
      <w:r>
        <w:rPr>
          <w:sz w:val="18"/>
        </w:rPr>
        <w:t>of</w:t>
      </w:r>
      <w:r>
        <w:rPr>
          <w:spacing w:val="-2"/>
          <w:sz w:val="18"/>
        </w:rPr>
        <w:t xml:space="preserve"> </w:t>
      </w:r>
      <w:r>
        <w:rPr>
          <w:sz w:val="18"/>
        </w:rPr>
        <w:t>Sexually</w:t>
      </w:r>
      <w:r>
        <w:rPr>
          <w:spacing w:val="-2"/>
          <w:sz w:val="18"/>
        </w:rPr>
        <w:t xml:space="preserve"> </w:t>
      </w:r>
      <w:r>
        <w:rPr>
          <w:sz w:val="18"/>
        </w:rPr>
        <w:t>Transmitted</w:t>
      </w:r>
      <w:r>
        <w:rPr>
          <w:spacing w:val="-3"/>
          <w:sz w:val="18"/>
        </w:rPr>
        <w:t xml:space="preserve"> </w:t>
      </w:r>
      <w:r>
        <w:rPr>
          <w:sz w:val="18"/>
        </w:rPr>
        <w:t>Infections</w:t>
      </w:r>
      <w:r>
        <w:rPr>
          <w:spacing w:val="-1"/>
          <w:sz w:val="18"/>
        </w:rPr>
        <w:t xml:space="preserve"> </w:t>
      </w:r>
      <w:r>
        <w:rPr>
          <w:sz w:val="18"/>
        </w:rPr>
        <w:t>in</w:t>
      </w:r>
      <w:r>
        <w:rPr>
          <w:spacing w:val="-3"/>
          <w:sz w:val="18"/>
        </w:rPr>
        <w:t xml:space="preserve"> </w:t>
      </w:r>
      <w:r>
        <w:rPr>
          <w:sz w:val="18"/>
        </w:rPr>
        <w:t>Adolescents:</w:t>
      </w:r>
      <w:r>
        <w:rPr>
          <w:spacing w:val="-2"/>
          <w:sz w:val="18"/>
        </w:rPr>
        <w:t xml:space="preserve"> </w:t>
      </w:r>
      <w:r>
        <w:rPr>
          <w:sz w:val="18"/>
        </w:rPr>
        <w:t>A</w:t>
      </w:r>
      <w:r>
        <w:rPr>
          <w:spacing w:val="-3"/>
          <w:sz w:val="18"/>
        </w:rPr>
        <w:t xml:space="preserve"> </w:t>
      </w:r>
      <w:r>
        <w:rPr>
          <w:sz w:val="18"/>
        </w:rPr>
        <w:t xml:space="preserve">Neglected Population,” </w:t>
      </w:r>
      <w:r>
        <w:rPr>
          <w:i/>
          <w:sz w:val="18"/>
        </w:rPr>
        <w:t xml:space="preserve">Current Opinion in Pediatrics </w:t>
      </w:r>
      <w:r>
        <w:rPr>
          <w:sz w:val="18"/>
        </w:rPr>
        <w:t xml:space="preserve">30, no. 1 (February 2018): 137, </w:t>
      </w:r>
      <w:r>
        <w:rPr>
          <w:spacing w:val="-2"/>
          <w:sz w:val="18"/>
        </w:rPr>
        <w:t>https://doi.org/10.1097/MOP.0000000000000578.</w:t>
      </w:r>
    </w:p>
    <w:p w:rsidR="00200FDA" w:rsidRDefault="00F76C4C">
      <w:pPr>
        <w:ind w:left="140" w:right="1274" w:hanging="1"/>
        <w:rPr>
          <w:sz w:val="18"/>
        </w:rPr>
      </w:pPr>
      <w:r>
        <w:rPr>
          <w:position w:val="5"/>
          <w:sz w:val="12"/>
        </w:rPr>
        <w:t>51</w:t>
      </w:r>
      <w:r>
        <w:rPr>
          <w:spacing w:val="8"/>
          <w:position w:val="5"/>
          <w:sz w:val="12"/>
        </w:rPr>
        <w:t xml:space="preserve"> </w:t>
      </w:r>
      <w:r>
        <w:rPr>
          <w:sz w:val="18"/>
        </w:rPr>
        <w:t>“Minors’</w:t>
      </w:r>
      <w:r>
        <w:rPr>
          <w:spacing w:val="-4"/>
          <w:sz w:val="18"/>
        </w:rPr>
        <w:t xml:space="preserve"> </w:t>
      </w:r>
      <w:r>
        <w:rPr>
          <w:sz w:val="18"/>
        </w:rPr>
        <w:t>Access</w:t>
      </w:r>
      <w:r>
        <w:rPr>
          <w:spacing w:val="-5"/>
          <w:sz w:val="18"/>
        </w:rPr>
        <w:t xml:space="preserve"> </w:t>
      </w:r>
      <w:r>
        <w:rPr>
          <w:sz w:val="18"/>
        </w:rPr>
        <w:t>to</w:t>
      </w:r>
      <w:r>
        <w:rPr>
          <w:spacing w:val="-3"/>
          <w:sz w:val="18"/>
        </w:rPr>
        <w:t xml:space="preserve"> </w:t>
      </w:r>
      <w:r>
        <w:rPr>
          <w:sz w:val="18"/>
        </w:rPr>
        <w:t>STI</w:t>
      </w:r>
      <w:r>
        <w:rPr>
          <w:spacing w:val="-4"/>
          <w:sz w:val="18"/>
        </w:rPr>
        <w:t xml:space="preserve"> </w:t>
      </w:r>
      <w:r>
        <w:rPr>
          <w:sz w:val="18"/>
        </w:rPr>
        <w:t>Services,”</w:t>
      </w:r>
      <w:r>
        <w:rPr>
          <w:spacing w:val="-3"/>
          <w:sz w:val="18"/>
        </w:rPr>
        <w:t xml:space="preserve"> </w:t>
      </w:r>
      <w:r>
        <w:rPr>
          <w:sz w:val="18"/>
        </w:rPr>
        <w:t>Guttmacher</w:t>
      </w:r>
      <w:r>
        <w:rPr>
          <w:spacing w:val="-5"/>
          <w:sz w:val="18"/>
        </w:rPr>
        <w:t xml:space="preserve"> </w:t>
      </w:r>
      <w:r>
        <w:rPr>
          <w:sz w:val="18"/>
        </w:rPr>
        <w:t>Institute,</w:t>
      </w:r>
      <w:r>
        <w:rPr>
          <w:spacing w:val="-4"/>
          <w:sz w:val="18"/>
        </w:rPr>
        <w:t xml:space="preserve"> </w:t>
      </w:r>
      <w:r>
        <w:rPr>
          <w:sz w:val="18"/>
        </w:rPr>
        <w:t>February</w:t>
      </w:r>
      <w:r>
        <w:rPr>
          <w:spacing w:val="-4"/>
          <w:sz w:val="18"/>
        </w:rPr>
        <w:t xml:space="preserve"> </w:t>
      </w:r>
      <w:r>
        <w:rPr>
          <w:sz w:val="18"/>
        </w:rPr>
        <w:t>1,</w:t>
      </w:r>
      <w:r>
        <w:rPr>
          <w:spacing w:val="-4"/>
          <w:sz w:val="18"/>
        </w:rPr>
        <w:t xml:space="preserve"> </w:t>
      </w:r>
      <w:r>
        <w:rPr>
          <w:sz w:val="18"/>
        </w:rPr>
        <w:t>2023,</w:t>
      </w:r>
      <w:r>
        <w:rPr>
          <w:spacing w:val="-4"/>
          <w:sz w:val="18"/>
        </w:rPr>
        <w:t xml:space="preserve"> </w:t>
      </w:r>
      <w:r>
        <w:rPr>
          <w:sz w:val="18"/>
        </w:rPr>
        <w:t>https://</w:t>
      </w:r>
      <w:hyperlink r:id="rId196">
        <w:r>
          <w:rPr>
            <w:sz w:val="18"/>
          </w:rPr>
          <w:t>www.guttmacher.org/state-</w:t>
        </w:r>
      </w:hyperlink>
      <w:r>
        <w:rPr>
          <w:sz w:val="18"/>
        </w:rPr>
        <w:t xml:space="preserve"> </w:t>
      </w:r>
      <w:r>
        <w:rPr>
          <w:spacing w:val="-2"/>
          <w:sz w:val="18"/>
        </w:rPr>
        <w:t>policy/explore/minors-access-sti-services.</w:t>
      </w:r>
    </w:p>
    <w:p w:rsidR="00200FDA" w:rsidRDefault="00F76C4C">
      <w:pPr>
        <w:spacing w:line="219" w:lineRule="exact"/>
        <w:ind w:left="140"/>
        <w:rPr>
          <w:sz w:val="18"/>
        </w:rPr>
      </w:pPr>
      <w:r>
        <w:rPr>
          <w:position w:val="5"/>
          <w:sz w:val="12"/>
        </w:rPr>
        <w:t>52</w:t>
      </w:r>
      <w:r>
        <w:rPr>
          <w:spacing w:val="7"/>
          <w:position w:val="5"/>
          <w:sz w:val="12"/>
        </w:rPr>
        <w:t xml:space="preserve"> </w:t>
      </w:r>
      <w:r>
        <w:rPr>
          <w:sz w:val="18"/>
        </w:rPr>
        <w:t>Rotheram-Borus,</w:t>
      </w:r>
      <w:r>
        <w:rPr>
          <w:spacing w:val="-2"/>
          <w:sz w:val="18"/>
        </w:rPr>
        <w:t xml:space="preserve"> </w:t>
      </w:r>
      <w:r>
        <w:rPr>
          <w:sz w:val="18"/>
        </w:rPr>
        <w:t>Lee,</w:t>
      </w:r>
      <w:r>
        <w:rPr>
          <w:spacing w:val="-2"/>
          <w:sz w:val="18"/>
        </w:rPr>
        <w:t xml:space="preserve"> </w:t>
      </w:r>
      <w:r>
        <w:rPr>
          <w:sz w:val="18"/>
        </w:rPr>
        <w:t>and</w:t>
      </w:r>
      <w:r>
        <w:rPr>
          <w:spacing w:val="-3"/>
          <w:sz w:val="18"/>
        </w:rPr>
        <w:t xml:space="preserve"> </w:t>
      </w:r>
      <w:r>
        <w:rPr>
          <w:sz w:val="18"/>
        </w:rPr>
        <w:t>Swendeman,</w:t>
      </w:r>
      <w:r>
        <w:rPr>
          <w:spacing w:val="-2"/>
          <w:sz w:val="18"/>
        </w:rPr>
        <w:t xml:space="preserve"> </w:t>
      </w:r>
      <w:r>
        <w:rPr>
          <w:sz w:val="18"/>
        </w:rPr>
        <w:t>“Getting</w:t>
      </w:r>
      <w:r>
        <w:rPr>
          <w:spacing w:val="-4"/>
          <w:sz w:val="18"/>
        </w:rPr>
        <w:t xml:space="preserve"> </w:t>
      </w:r>
      <w:r>
        <w:rPr>
          <w:sz w:val="18"/>
        </w:rPr>
        <w:t>to</w:t>
      </w:r>
      <w:r>
        <w:rPr>
          <w:spacing w:val="-1"/>
          <w:sz w:val="18"/>
        </w:rPr>
        <w:t xml:space="preserve"> </w:t>
      </w:r>
      <w:r>
        <w:rPr>
          <w:sz w:val="18"/>
        </w:rPr>
        <w:t>Zero</w:t>
      </w:r>
      <w:r>
        <w:rPr>
          <w:spacing w:val="-1"/>
          <w:sz w:val="18"/>
        </w:rPr>
        <w:t xml:space="preserve"> </w:t>
      </w:r>
      <w:r>
        <w:rPr>
          <w:sz w:val="18"/>
        </w:rPr>
        <w:t>HIV</w:t>
      </w:r>
      <w:r>
        <w:rPr>
          <w:spacing w:val="-1"/>
          <w:sz w:val="18"/>
        </w:rPr>
        <w:t xml:space="preserve"> </w:t>
      </w:r>
      <w:r>
        <w:rPr>
          <w:sz w:val="18"/>
        </w:rPr>
        <w:t>Among</w:t>
      </w:r>
      <w:r>
        <w:rPr>
          <w:spacing w:val="-3"/>
          <w:sz w:val="18"/>
        </w:rPr>
        <w:t xml:space="preserve"> </w:t>
      </w:r>
      <w:r>
        <w:rPr>
          <w:spacing w:val="-2"/>
          <w:sz w:val="18"/>
        </w:rPr>
        <w:t>Youth.”</w:t>
      </w:r>
    </w:p>
    <w:p w:rsidR="00200FDA" w:rsidRDefault="00F76C4C">
      <w:pPr>
        <w:ind w:left="140"/>
        <w:rPr>
          <w:sz w:val="18"/>
        </w:rPr>
      </w:pPr>
      <w:r>
        <w:rPr>
          <w:position w:val="5"/>
          <w:sz w:val="12"/>
        </w:rPr>
        <w:t>53</w:t>
      </w:r>
      <w:r>
        <w:rPr>
          <w:spacing w:val="9"/>
          <w:position w:val="5"/>
          <w:sz w:val="12"/>
        </w:rPr>
        <w:t xml:space="preserve"> </w:t>
      </w:r>
      <w:r>
        <w:rPr>
          <w:sz w:val="18"/>
        </w:rPr>
        <w:t>Rotheram-Borus,</w:t>
      </w:r>
      <w:r>
        <w:rPr>
          <w:spacing w:val="-2"/>
          <w:sz w:val="18"/>
        </w:rPr>
        <w:t xml:space="preserve"> </w:t>
      </w:r>
      <w:r>
        <w:rPr>
          <w:sz w:val="18"/>
        </w:rPr>
        <w:t>Lee,</w:t>
      </w:r>
      <w:r>
        <w:rPr>
          <w:spacing w:val="-2"/>
          <w:sz w:val="18"/>
        </w:rPr>
        <w:t xml:space="preserve"> </w:t>
      </w:r>
      <w:r>
        <w:rPr>
          <w:sz w:val="18"/>
        </w:rPr>
        <w:t>and</w:t>
      </w:r>
      <w:r>
        <w:rPr>
          <w:spacing w:val="-3"/>
          <w:sz w:val="18"/>
        </w:rPr>
        <w:t xml:space="preserve"> </w:t>
      </w:r>
      <w:r>
        <w:rPr>
          <w:spacing w:val="-2"/>
          <w:sz w:val="18"/>
        </w:rPr>
        <w:t>Swendeman.</w:t>
      </w:r>
    </w:p>
    <w:p w:rsidR="00200FDA" w:rsidRDefault="00F76C4C">
      <w:pPr>
        <w:spacing w:before="1" w:line="219" w:lineRule="exact"/>
        <w:ind w:left="140"/>
        <w:rPr>
          <w:sz w:val="18"/>
        </w:rPr>
      </w:pPr>
      <w:r>
        <w:rPr>
          <w:position w:val="5"/>
          <w:sz w:val="12"/>
        </w:rPr>
        <w:t>54</w:t>
      </w:r>
      <w:r>
        <w:rPr>
          <w:spacing w:val="9"/>
          <w:position w:val="5"/>
          <w:sz w:val="12"/>
        </w:rPr>
        <w:t xml:space="preserve"> </w:t>
      </w:r>
      <w:r>
        <w:rPr>
          <w:sz w:val="18"/>
        </w:rPr>
        <w:t>Rotheram-Borus,</w:t>
      </w:r>
      <w:r>
        <w:rPr>
          <w:spacing w:val="-2"/>
          <w:sz w:val="18"/>
        </w:rPr>
        <w:t xml:space="preserve"> </w:t>
      </w:r>
      <w:r>
        <w:rPr>
          <w:sz w:val="18"/>
        </w:rPr>
        <w:t>Lee,</w:t>
      </w:r>
      <w:r>
        <w:rPr>
          <w:spacing w:val="-2"/>
          <w:sz w:val="18"/>
        </w:rPr>
        <w:t xml:space="preserve"> </w:t>
      </w:r>
      <w:r>
        <w:rPr>
          <w:sz w:val="18"/>
        </w:rPr>
        <w:t>and</w:t>
      </w:r>
      <w:r>
        <w:rPr>
          <w:spacing w:val="-3"/>
          <w:sz w:val="18"/>
        </w:rPr>
        <w:t xml:space="preserve"> </w:t>
      </w:r>
      <w:r>
        <w:rPr>
          <w:spacing w:val="-2"/>
          <w:sz w:val="18"/>
        </w:rPr>
        <w:t>Swendeman.</w:t>
      </w:r>
    </w:p>
    <w:p w:rsidR="00200FDA" w:rsidRDefault="00F76C4C">
      <w:pPr>
        <w:spacing w:line="219" w:lineRule="exact"/>
        <w:ind w:left="140"/>
        <w:rPr>
          <w:sz w:val="18"/>
        </w:rPr>
      </w:pPr>
      <w:r>
        <w:rPr>
          <w:position w:val="5"/>
          <w:sz w:val="12"/>
        </w:rPr>
        <w:t>55</w:t>
      </w:r>
      <w:r>
        <w:rPr>
          <w:spacing w:val="10"/>
          <w:position w:val="5"/>
          <w:sz w:val="12"/>
        </w:rPr>
        <w:t xml:space="preserve"> </w:t>
      </w:r>
      <w:r>
        <w:rPr>
          <w:sz w:val="18"/>
        </w:rPr>
        <w:t>Dank,</w:t>
      </w:r>
      <w:r>
        <w:rPr>
          <w:spacing w:val="-2"/>
          <w:sz w:val="18"/>
        </w:rPr>
        <w:t xml:space="preserve"> </w:t>
      </w:r>
      <w:r>
        <w:rPr>
          <w:sz w:val="18"/>
        </w:rPr>
        <w:t>Yu,</w:t>
      </w:r>
      <w:r>
        <w:rPr>
          <w:spacing w:val="-2"/>
          <w:sz w:val="18"/>
        </w:rPr>
        <w:t xml:space="preserve"> </w:t>
      </w:r>
      <w:r>
        <w:rPr>
          <w:sz w:val="18"/>
        </w:rPr>
        <w:t>and</w:t>
      </w:r>
      <w:r>
        <w:rPr>
          <w:spacing w:val="-2"/>
          <w:sz w:val="18"/>
        </w:rPr>
        <w:t xml:space="preserve"> </w:t>
      </w:r>
      <w:r>
        <w:rPr>
          <w:sz w:val="18"/>
        </w:rPr>
        <w:t>Yahner,</w:t>
      </w:r>
      <w:r>
        <w:rPr>
          <w:spacing w:val="-2"/>
          <w:sz w:val="18"/>
        </w:rPr>
        <w:t xml:space="preserve"> </w:t>
      </w:r>
      <w:r>
        <w:rPr>
          <w:sz w:val="18"/>
        </w:rPr>
        <w:t>“Access</w:t>
      </w:r>
      <w:r>
        <w:rPr>
          <w:spacing w:val="-3"/>
          <w:sz w:val="18"/>
        </w:rPr>
        <w:t xml:space="preserve"> </w:t>
      </w:r>
      <w:r>
        <w:rPr>
          <w:sz w:val="18"/>
        </w:rPr>
        <w:t>to</w:t>
      </w:r>
      <w:r>
        <w:rPr>
          <w:spacing w:val="2"/>
          <w:sz w:val="18"/>
        </w:rPr>
        <w:t xml:space="preserve"> </w:t>
      </w:r>
      <w:r>
        <w:rPr>
          <w:spacing w:val="-2"/>
          <w:sz w:val="18"/>
        </w:rPr>
        <w:t>Safety.”</w:t>
      </w:r>
    </w:p>
    <w:p w:rsidR="00200FDA" w:rsidRDefault="00F76C4C">
      <w:pPr>
        <w:spacing w:before="1" w:line="219" w:lineRule="exact"/>
        <w:ind w:left="140"/>
        <w:rPr>
          <w:sz w:val="18"/>
        </w:rPr>
      </w:pPr>
      <w:r>
        <w:rPr>
          <w:position w:val="5"/>
          <w:sz w:val="12"/>
        </w:rPr>
        <w:t>56</w:t>
      </w:r>
      <w:r>
        <w:rPr>
          <w:spacing w:val="8"/>
          <w:position w:val="5"/>
          <w:sz w:val="12"/>
        </w:rPr>
        <w:t xml:space="preserve"> </w:t>
      </w:r>
      <w:r>
        <w:rPr>
          <w:sz w:val="18"/>
        </w:rPr>
        <w:t>Campanella</w:t>
      </w:r>
      <w:r>
        <w:rPr>
          <w:spacing w:val="-2"/>
          <w:sz w:val="18"/>
        </w:rPr>
        <w:t xml:space="preserve"> </w:t>
      </w:r>
      <w:r>
        <w:rPr>
          <w:sz w:val="18"/>
        </w:rPr>
        <w:t>Day,</w:t>
      </w:r>
      <w:r>
        <w:rPr>
          <w:spacing w:val="-2"/>
          <w:sz w:val="18"/>
        </w:rPr>
        <w:t xml:space="preserve"> </w:t>
      </w:r>
      <w:r>
        <w:rPr>
          <w:sz w:val="18"/>
        </w:rPr>
        <w:t>“Communicating</w:t>
      </w:r>
      <w:r>
        <w:rPr>
          <w:spacing w:val="-2"/>
          <w:sz w:val="18"/>
        </w:rPr>
        <w:t xml:space="preserve"> </w:t>
      </w:r>
      <w:r>
        <w:rPr>
          <w:sz w:val="18"/>
        </w:rPr>
        <w:t>with</w:t>
      </w:r>
      <w:r>
        <w:rPr>
          <w:spacing w:val="-3"/>
          <w:sz w:val="18"/>
        </w:rPr>
        <w:t xml:space="preserve"> </w:t>
      </w:r>
      <w:r>
        <w:rPr>
          <w:sz w:val="18"/>
        </w:rPr>
        <w:t>LGBTQ</w:t>
      </w:r>
      <w:r>
        <w:rPr>
          <w:spacing w:val="-2"/>
          <w:sz w:val="18"/>
        </w:rPr>
        <w:t xml:space="preserve"> Adolescents.”</w:t>
      </w:r>
    </w:p>
    <w:p w:rsidR="00200FDA" w:rsidRDefault="00F76C4C">
      <w:pPr>
        <w:spacing w:line="219" w:lineRule="exact"/>
        <w:ind w:left="140"/>
        <w:rPr>
          <w:sz w:val="18"/>
        </w:rPr>
      </w:pPr>
      <w:r>
        <w:rPr>
          <w:position w:val="5"/>
          <w:sz w:val="12"/>
        </w:rPr>
        <w:t>57</w:t>
      </w:r>
      <w:r>
        <w:rPr>
          <w:spacing w:val="9"/>
          <w:position w:val="5"/>
          <w:sz w:val="12"/>
        </w:rPr>
        <w:t xml:space="preserve"> </w:t>
      </w:r>
      <w:r>
        <w:rPr>
          <w:sz w:val="18"/>
        </w:rPr>
        <w:t>Campanella</w:t>
      </w:r>
      <w:r>
        <w:rPr>
          <w:spacing w:val="-3"/>
          <w:sz w:val="18"/>
        </w:rPr>
        <w:t xml:space="preserve"> </w:t>
      </w:r>
      <w:r>
        <w:rPr>
          <w:spacing w:val="-4"/>
          <w:sz w:val="18"/>
        </w:rPr>
        <w:t>Day.</w:t>
      </w:r>
    </w:p>
    <w:p w:rsidR="00200FDA" w:rsidRDefault="00F76C4C">
      <w:pPr>
        <w:spacing w:before="1" w:line="219" w:lineRule="exact"/>
        <w:ind w:left="140"/>
        <w:rPr>
          <w:sz w:val="18"/>
        </w:rPr>
      </w:pPr>
      <w:r>
        <w:rPr>
          <w:position w:val="5"/>
          <w:sz w:val="12"/>
        </w:rPr>
        <w:t>58</w:t>
      </w:r>
      <w:r>
        <w:rPr>
          <w:spacing w:val="9"/>
          <w:position w:val="5"/>
          <w:sz w:val="12"/>
        </w:rPr>
        <w:t xml:space="preserve"> </w:t>
      </w:r>
      <w:r>
        <w:rPr>
          <w:sz w:val="18"/>
        </w:rPr>
        <w:t>Campanella</w:t>
      </w:r>
      <w:r>
        <w:rPr>
          <w:spacing w:val="-3"/>
          <w:sz w:val="18"/>
        </w:rPr>
        <w:t xml:space="preserve"> </w:t>
      </w:r>
      <w:r>
        <w:rPr>
          <w:spacing w:val="-4"/>
          <w:sz w:val="18"/>
        </w:rPr>
        <w:t>Day.</w:t>
      </w:r>
    </w:p>
    <w:p w:rsidR="00200FDA" w:rsidRDefault="00F76C4C">
      <w:pPr>
        <w:ind w:left="140" w:right="628" w:hanging="1"/>
        <w:rPr>
          <w:sz w:val="18"/>
        </w:rPr>
      </w:pPr>
      <w:r>
        <w:rPr>
          <w:position w:val="5"/>
          <w:sz w:val="12"/>
        </w:rPr>
        <w:t>59</w:t>
      </w:r>
      <w:r>
        <w:rPr>
          <w:spacing w:val="10"/>
          <w:position w:val="5"/>
          <w:sz w:val="12"/>
        </w:rPr>
        <w:t xml:space="preserve"> </w:t>
      </w:r>
      <w:r>
        <w:rPr>
          <w:sz w:val="18"/>
        </w:rPr>
        <w:t>Katherine</w:t>
      </w:r>
      <w:r>
        <w:rPr>
          <w:spacing w:val="-3"/>
          <w:sz w:val="18"/>
        </w:rPr>
        <w:t xml:space="preserve"> </w:t>
      </w:r>
      <w:r>
        <w:rPr>
          <w:sz w:val="18"/>
        </w:rPr>
        <w:t>G.</w:t>
      </w:r>
      <w:r>
        <w:rPr>
          <w:spacing w:val="-2"/>
          <w:sz w:val="18"/>
        </w:rPr>
        <w:t xml:space="preserve"> </w:t>
      </w:r>
      <w:r>
        <w:rPr>
          <w:sz w:val="18"/>
        </w:rPr>
        <w:t>Quinn</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“Intersectional</w:t>
      </w:r>
      <w:r>
        <w:rPr>
          <w:spacing w:val="-3"/>
          <w:sz w:val="18"/>
        </w:rPr>
        <w:t xml:space="preserve"> </w:t>
      </w:r>
      <w:r>
        <w:rPr>
          <w:sz w:val="18"/>
        </w:rPr>
        <w:t>Discrimination</w:t>
      </w:r>
      <w:r>
        <w:rPr>
          <w:spacing w:val="-3"/>
          <w:sz w:val="18"/>
        </w:rPr>
        <w:t xml:space="preserve"> </w:t>
      </w:r>
      <w:r>
        <w:rPr>
          <w:sz w:val="18"/>
        </w:rPr>
        <w:t>and</w:t>
      </w:r>
      <w:r>
        <w:rPr>
          <w:spacing w:val="-3"/>
          <w:sz w:val="18"/>
        </w:rPr>
        <w:t xml:space="preserve"> </w:t>
      </w:r>
      <w:r>
        <w:rPr>
          <w:sz w:val="18"/>
        </w:rPr>
        <w:t>PrEP</w:t>
      </w:r>
      <w:r>
        <w:rPr>
          <w:spacing w:val="-2"/>
          <w:sz w:val="18"/>
        </w:rPr>
        <w:t xml:space="preserve"> </w:t>
      </w:r>
      <w:r>
        <w:rPr>
          <w:sz w:val="18"/>
        </w:rPr>
        <w:t>USe</w:t>
      </w:r>
      <w:r>
        <w:rPr>
          <w:spacing w:val="-3"/>
          <w:sz w:val="18"/>
        </w:rPr>
        <w:t xml:space="preserve"> </w:t>
      </w:r>
      <w:r>
        <w:rPr>
          <w:sz w:val="18"/>
        </w:rPr>
        <w:t>Among</w:t>
      </w:r>
      <w:r>
        <w:rPr>
          <w:spacing w:val="-3"/>
          <w:sz w:val="18"/>
        </w:rPr>
        <w:t xml:space="preserve"> </w:t>
      </w:r>
      <w:r>
        <w:rPr>
          <w:sz w:val="18"/>
        </w:rPr>
        <w:t>Young</w:t>
      </w:r>
      <w:r>
        <w:rPr>
          <w:spacing w:val="-3"/>
          <w:sz w:val="18"/>
        </w:rPr>
        <w:t xml:space="preserve"> </w:t>
      </w:r>
      <w:r>
        <w:rPr>
          <w:sz w:val="18"/>
        </w:rPr>
        <w:t>Black</w:t>
      </w:r>
      <w:r>
        <w:rPr>
          <w:spacing w:val="-3"/>
          <w:sz w:val="18"/>
        </w:rPr>
        <w:t xml:space="preserve"> </w:t>
      </w:r>
      <w:r>
        <w:rPr>
          <w:sz w:val="18"/>
        </w:rPr>
        <w:t>Sexual Minority</w:t>
      </w:r>
      <w:r>
        <w:rPr>
          <w:spacing w:val="-2"/>
          <w:sz w:val="18"/>
        </w:rPr>
        <w:t xml:space="preserve"> </w:t>
      </w:r>
      <w:r>
        <w:rPr>
          <w:sz w:val="18"/>
        </w:rPr>
        <w:t xml:space="preserve">Individuals: The Importance of Black LGBTQ Communities and Social Support,” </w:t>
      </w:r>
      <w:r>
        <w:rPr>
          <w:i/>
          <w:sz w:val="18"/>
        </w:rPr>
        <w:t xml:space="preserve">AIDS and Behavior </w:t>
      </w:r>
      <w:r>
        <w:rPr>
          <w:sz w:val="18"/>
        </w:rPr>
        <w:t xml:space="preserve">27 (2023): 290–302, </w:t>
      </w:r>
      <w:r>
        <w:rPr>
          <w:spacing w:val="-2"/>
          <w:sz w:val="18"/>
        </w:rPr>
        <w:t>https://doi.org/10.1007/s10461-022-03763-w.</w:t>
      </w:r>
    </w:p>
    <w:p w:rsidR="00200FDA" w:rsidRDefault="00F76C4C">
      <w:pPr>
        <w:ind w:left="140"/>
        <w:rPr>
          <w:sz w:val="18"/>
        </w:rPr>
      </w:pPr>
      <w:r>
        <w:rPr>
          <w:position w:val="5"/>
          <w:sz w:val="12"/>
        </w:rPr>
        <w:t>60</w:t>
      </w:r>
      <w:r>
        <w:rPr>
          <w:spacing w:val="10"/>
          <w:position w:val="5"/>
          <w:sz w:val="12"/>
        </w:rPr>
        <w:t xml:space="preserve"> </w:t>
      </w:r>
      <w:r>
        <w:rPr>
          <w:sz w:val="18"/>
        </w:rPr>
        <w:t>Quinn</w:t>
      </w:r>
      <w:r>
        <w:rPr>
          <w:spacing w:val="-3"/>
          <w:sz w:val="18"/>
        </w:rPr>
        <w:t xml:space="preserve"> </w:t>
      </w:r>
      <w:r>
        <w:rPr>
          <w:sz w:val="18"/>
        </w:rPr>
        <w:t>et</w:t>
      </w:r>
      <w:r>
        <w:rPr>
          <w:spacing w:val="-2"/>
          <w:sz w:val="18"/>
        </w:rPr>
        <w:t xml:space="preserve"> </w:t>
      </w:r>
      <w:r>
        <w:rPr>
          <w:spacing w:val="-5"/>
          <w:sz w:val="18"/>
        </w:rPr>
        <w:t>al.</w:t>
      </w:r>
    </w:p>
    <w:p w:rsidR="00200FDA" w:rsidRDefault="00F76C4C">
      <w:pPr>
        <w:spacing w:before="1"/>
        <w:ind w:left="140" w:right="418" w:hanging="1"/>
        <w:rPr>
          <w:sz w:val="18"/>
        </w:rPr>
      </w:pPr>
      <w:r>
        <w:rPr>
          <w:position w:val="5"/>
          <w:sz w:val="12"/>
        </w:rPr>
        <w:t>61</w:t>
      </w:r>
      <w:r>
        <w:rPr>
          <w:spacing w:val="10"/>
          <w:position w:val="5"/>
          <w:sz w:val="12"/>
        </w:rPr>
        <w:t xml:space="preserve"> </w:t>
      </w:r>
      <w:r>
        <w:rPr>
          <w:sz w:val="18"/>
        </w:rPr>
        <w:t>Errol</w:t>
      </w:r>
      <w:r>
        <w:rPr>
          <w:spacing w:val="-3"/>
          <w:sz w:val="18"/>
        </w:rPr>
        <w:t xml:space="preserve"> </w:t>
      </w:r>
      <w:r>
        <w:rPr>
          <w:sz w:val="18"/>
        </w:rPr>
        <w:t>L.</w:t>
      </w:r>
      <w:r>
        <w:rPr>
          <w:spacing w:val="-2"/>
          <w:sz w:val="18"/>
        </w:rPr>
        <w:t xml:space="preserve"> </w:t>
      </w:r>
      <w:r>
        <w:rPr>
          <w:sz w:val="18"/>
        </w:rPr>
        <w:t>Fields</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“Identifying</w:t>
      </w:r>
      <w:r>
        <w:rPr>
          <w:spacing w:val="-1"/>
          <w:sz w:val="18"/>
        </w:rPr>
        <w:t xml:space="preserve"> </w:t>
      </w:r>
      <w:r>
        <w:rPr>
          <w:sz w:val="18"/>
        </w:rPr>
        <w:t>Community-Informed</w:t>
      </w:r>
      <w:r>
        <w:rPr>
          <w:spacing w:val="-3"/>
          <w:sz w:val="18"/>
        </w:rPr>
        <w:t xml:space="preserve"> </w:t>
      </w:r>
      <w:r>
        <w:rPr>
          <w:sz w:val="18"/>
        </w:rPr>
        <w:t>Language</w:t>
      </w:r>
      <w:r>
        <w:rPr>
          <w:spacing w:val="-3"/>
          <w:sz w:val="18"/>
        </w:rPr>
        <w:t xml:space="preserve"> </w:t>
      </w:r>
      <w:r>
        <w:rPr>
          <w:sz w:val="18"/>
        </w:rPr>
        <w:t>to</w:t>
      </w:r>
      <w:r>
        <w:rPr>
          <w:spacing w:val="-1"/>
          <w:sz w:val="18"/>
        </w:rPr>
        <w:t xml:space="preserve"> </w:t>
      </w:r>
      <w:r>
        <w:rPr>
          <w:sz w:val="18"/>
        </w:rPr>
        <w:t>Promote</w:t>
      </w:r>
      <w:r>
        <w:rPr>
          <w:spacing w:val="-3"/>
          <w:sz w:val="18"/>
        </w:rPr>
        <w:t xml:space="preserve"> </w:t>
      </w:r>
      <w:r>
        <w:rPr>
          <w:sz w:val="18"/>
        </w:rPr>
        <w:t>HIV</w:t>
      </w:r>
      <w:r>
        <w:rPr>
          <w:spacing w:val="-1"/>
          <w:sz w:val="18"/>
        </w:rPr>
        <w:t xml:space="preserve"> </w:t>
      </w:r>
      <w:r>
        <w:rPr>
          <w:sz w:val="18"/>
        </w:rPr>
        <w:t>Preesposure</w:t>
      </w:r>
      <w:r>
        <w:rPr>
          <w:spacing w:val="-3"/>
          <w:sz w:val="18"/>
        </w:rPr>
        <w:t xml:space="preserve"> </w:t>
      </w:r>
      <w:r>
        <w:rPr>
          <w:sz w:val="18"/>
        </w:rPr>
        <w:t>Prophylaxis</w:t>
      </w:r>
      <w:r>
        <w:rPr>
          <w:spacing w:val="-3"/>
          <w:sz w:val="18"/>
        </w:rPr>
        <w:t xml:space="preserve"> </w:t>
      </w:r>
      <w:r>
        <w:rPr>
          <w:sz w:val="18"/>
        </w:rPr>
        <w:t>(PrEP)</w:t>
      </w:r>
      <w:r>
        <w:rPr>
          <w:spacing w:val="-2"/>
          <w:sz w:val="18"/>
        </w:rPr>
        <w:t xml:space="preserve"> </w:t>
      </w:r>
      <w:r>
        <w:rPr>
          <w:sz w:val="18"/>
        </w:rPr>
        <w:t>in</w:t>
      </w:r>
      <w:r>
        <w:rPr>
          <w:spacing w:val="-3"/>
          <w:sz w:val="18"/>
        </w:rPr>
        <w:t xml:space="preserve"> </w:t>
      </w:r>
      <w:r>
        <w:rPr>
          <w:sz w:val="18"/>
        </w:rPr>
        <w:t xml:space="preserve">Black LGBTQ Communities in Baltimore,” </w:t>
      </w:r>
      <w:r>
        <w:rPr>
          <w:i/>
          <w:sz w:val="18"/>
        </w:rPr>
        <w:t xml:space="preserve">AIDS Education and Prevention </w:t>
      </w:r>
      <w:r>
        <w:rPr>
          <w:sz w:val="18"/>
        </w:rPr>
        <w:t>32, no. 2 (2020): 152–68.</w:t>
      </w:r>
    </w:p>
    <w:p w:rsidR="00200FDA" w:rsidRDefault="00F76C4C">
      <w:pPr>
        <w:ind w:left="140" w:right="628" w:hanging="1"/>
        <w:rPr>
          <w:sz w:val="18"/>
        </w:rPr>
      </w:pPr>
      <w:r>
        <w:rPr>
          <w:position w:val="5"/>
          <w:sz w:val="12"/>
        </w:rPr>
        <w:t>62</w:t>
      </w:r>
      <w:r>
        <w:rPr>
          <w:spacing w:val="10"/>
          <w:position w:val="5"/>
          <w:sz w:val="12"/>
        </w:rPr>
        <w:t xml:space="preserve"> </w:t>
      </w:r>
      <w:r>
        <w:rPr>
          <w:sz w:val="18"/>
        </w:rPr>
        <w:t>Viraj</w:t>
      </w:r>
      <w:r>
        <w:rPr>
          <w:spacing w:val="-2"/>
          <w:sz w:val="18"/>
        </w:rPr>
        <w:t xml:space="preserve"> </w:t>
      </w:r>
      <w:r>
        <w:rPr>
          <w:sz w:val="18"/>
        </w:rPr>
        <w:t>V.</w:t>
      </w:r>
      <w:r>
        <w:rPr>
          <w:spacing w:val="-2"/>
          <w:sz w:val="18"/>
        </w:rPr>
        <w:t xml:space="preserve"> </w:t>
      </w:r>
      <w:r>
        <w:rPr>
          <w:sz w:val="18"/>
        </w:rPr>
        <w:t>Patel</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“Empowering</w:t>
      </w:r>
      <w:r>
        <w:rPr>
          <w:spacing w:val="-3"/>
          <w:sz w:val="18"/>
        </w:rPr>
        <w:t xml:space="preserve"> </w:t>
      </w:r>
      <w:r>
        <w:rPr>
          <w:sz w:val="18"/>
        </w:rPr>
        <w:t>With</w:t>
      </w:r>
      <w:r>
        <w:rPr>
          <w:spacing w:val="-3"/>
          <w:sz w:val="18"/>
        </w:rPr>
        <w:t xml:space="preserve"> </w:t>
      </w:r>
      <w:r>
        <w:rPr>
          <w:sz w:val="18"/>
        </w:rPr>
        <w:t>PrEP</w:t>
      </w:r>
      <w:r>
        <w:rPr>
          <w:spacing w:val="-2"/>
          <w:sz w:val="18"/>
        </w:rPr>
        <w:t xml:space="preserve"> </w:t>
      </w:r>
      <w:r>
        <w:rPr>
          <w:sz w:val="18"/>
        </w:rPr>
        <w:t>(E-PrEP),</w:t>
      </w:r>
      <w:r>
        <w:rPr>
          <w:spacing w:val="-2"/>
          <w:sz w:val="18"/>
        </w:rPr>
        <w:t xml:space="preserve"> </w:t>
      </w:r>
      <w:r>
        <w:rPr>
          <w:sz w:val="18"/>
        </w:rPr>
        <w:t>a</w:t>
      </w:r>
      <w:r>
        <w:rPr>
          <w:spacing w:val="-2"/>
          <w:sz w:val="18"/>
        </w:rPr>
        <w:t xml:space="preserve"> </w:t>
      </w:r>
      <w:r>
        <w:rPr>
          <w:sz w:val="18"/>
        </w:rPr>
        <w:t>Peer-Led</w:t>
      </w:r>
      <w:r>
        <w:rPr>
          <w:spacing w:val="-3"/>
          <w:sz w:val="18"/>
        </w:rPr>
        <w:t xml:space="preserve"> </w:t>
      </w:r>
      <w:r>
        <w:rPr>
          <w:sz w:val="18"/>
        </w:rPr>
        <w:t>Social</w:t>
      </w:r>
      <w:r>
        <w:rPr>
          <w:spacing w:val="-3"/>
          <w:sz w:val="18"/>
        </w:rPr>
        <w:t xml:space="preserve"> </w:t>
      </w:r>
      <w:r>
        <w:rPr>
          <w:sz w:val="18"/>
        </w:rPr>
        <w:t>Media–Based</w:t>
      </w:r>
      <w:r>
        <w:rPr>
          <w:spacing w:val="-3"/>
          <w:sz w:val="18"/>
        </w:rPr>
        <w:t xml:space="preserve"> </w:t>
      </w:r>
      <w:r>
        <w:rPr>
          <w:sz w:val="18"/>
        </w:rPr>
        <w:t>Intervention</w:t>
      </w:r>
      <w:r>
        <w:rPr>
          <w:spacing w:val="-1"/>
          <w:sz w:val="18"/>
        </w:rPr>
        <w:t xml:space="preserve"> </w:t>
      </w:r>
      <w:r>
        <w:rPr>
          <w:sz w:val="18"/>
        </w:rPr>
        <w:t>to</w:t>
      </w:r>
      <w:r>
        <w:rPr>
          <w:spacing w:val="-1"/>
          <w:sz w:val="18"/>
        </w:rPr>
        <w:t xml:space="preserve"> </w:t>
      </w:r>
      <w:r>
        <w:rPr>
          <w:sz w:val="18"/>
        </w:rPr>
        <w:t>Facilitate</w:t>
      </w:r>
      <w:r>
        <w:rPr>
          <w:spacing w:val="-3"/>
          <w:sz w:val="18"/>
        </w:rPr>
        <w:t xml:space="preserve"> </w:t>
      </w:r>
      <w:r>
        <w:rPr>
          <w:sz w:val="18"/>
        </w:rPr>
        <w:t xml:space="preserve">HIV Preexposure Prophylaxis Adoption Among Young Black and Latinx Gay and Bisexual Men: Protocol for a Cluster Randomized Controlled Trial,” </w:t>
      </w:r>
      <w:r>
        <w:rPr>
          <w:i/>
          <w:sz w:val="18"/>
        </w:rPr>
        <w:t xml:space="preserve">JMIR Research Protocols </w:t>
      </w:r>
      <w:r>
        <w:rPr>
          <w:sz w:val="18"/>
        </w:rPr>
        <w:t>7, no. 8 (2018): e11375, https://doi.org/10.2196/11375.</w:t>
      </w:r>
    </w:p>
    <w:p w:rsidR="00200FDA" w:rsidRDefault="00F76C4C">
      <w:pPr>
        <w:spacing w:line="218" w:lineRule="exact"/>
        <w:ind w:left="140"/>
        <w:rPr>
          <w:sz w:val="18"/>
        </w:rPr>
      </w:pPr>
      <w:r>
        <w:rPr>
          <w:position w:val="5"/>
          <w:sz w:val="12"/>
        </w:rPr>
        <w:t>63</w:t>
      </w:r>
      <w:r>
        <w:rPr>
          <w:spacing w:val="10"/>
          <w:position w:val="5"/>
          <w:sz w:val="12"/>
        </w:rPr>
        <w:t xml:space="preserve"> </w:t>
      </w:r>
      <w:r>
        <w:rPr>
          <w:sz w:val="18"/>
        </w:rPr>
        <w:t>Patel</w:t>
      </w:r>
      <w:r>
        <w:rPr>
          <w:spacing w:val="-2"/>
          <w:sz w:val="18"/>
        </w:rPr>
        <w:t xml:space="preserve"> </w:t>
      </w:r>
      <w:r>
        <w:rPr>
          <w:sz w:val="18"/>
        </w:rPr>
        <w:t>et</w:t>
      </w:r>
      <w:r>
        <w:rPr>
          <w:spacing w:val="-2"/>
          <w:sz w:val="18"/>
        </w:rPr>
        <w:t xml:space="preserve"> </w:t>
      </w:r>
      <w:r>
        <w:rPr>
          <w:spacing w:val="-5"/>
          <w:sz w:val="18"/>
        </w:rPr>
        <w:t>al.</w:t>
      </w:r>
    </w:p>
    <w:p w:rsidR="00200FDA" w:rsidRDefault="00F76C4C">
      <w:pPr>
        <w:spacing w:before="1"/>
        <w:ind w:left="140" w:right="484" w:hanging="1"/>
        <w:rPr>
          <w:sz w:val="18"/>
        </w:rPr>
      </w:pPr>
      <w:r>
        <w:rPr>
          <w:position w:val="5"/>
          <w:sz w:val="12"/>
        </w:rPr>
        <w:t>64</w:t>
      </w:r>
      <w:r>
        <w:rPr>
          <w:spacing w:val="10"/>
          <w:position w:val="5"/>
          <w:sz w:val="12"/>
        </w:rPr>
        <w:t xml:space="preserve"> </w:t>
      </w:r>
      <w:r>
        <w:rPr>
          <w:sz w:val="18"/>
        </w:rPr>
        <w:t>Fields</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w:t>
      </w:r>
      <w:r>
        <w:rPr>
          <w:sz w:val="18"/>
        </w:rPr>
        <w:t>Identifying</w:t>
      </w:r>
      <w:r>
        <w:rPr>
          <w:spacing w:val="-3"/>
          <w:sz w:val="18"/>
        </w:rPr>
        <w:t xml:space="preserve"> </w:t>
      </w:r>
      <w:r>
        <w:rPr>
          <w:sz w:val="18"/>
        </w:rPr>
        <w:t>Community-Informed</w:t>
      </w:r>
      <w:r>
        <w:rPr>
          <w:spacing w:val="-3"/>
          <w:sz w:val="18"/>
        </w:rPr>
        <w:t xml:space="preserve"> </w:t>
      </w:r>
      <w:r>
        <w:rPr>
          <w:sz w:val="18"/>
        </w:rPr>
        <w:t>Language</w:t>
      </w:r>
      <w:r>
        <w:rPr>
          <w:spacing w:val="-3"/>
          <w:sz w:val="18"/>
        </w:rPr>
        <w:t xml:space="preserve"> </w:t>
      </w:r>
      <w:r>
        <w:rPr>
          <w:sz w:val="18"/>
        </w:rPr>
        <w:t>to</w:t>
      </w:r>
      <w:r>
        <w:rPr>
          <w:spacing w:val="-1"/>
          <w:sz w:val="18"/>
        </w:rPr>
        <w:t xml:space="preserve"> </w:t>
      </w:r>
      <w:r>
        <w:rPr>
          <w:sz w:val="18"/>
        </w:rPr>
        <w:t>Promote</w:t>
      </w:r>
      <w:r>
        <w:rPr>
          <w:spacing w:val="-3"/>
          <w:sz w:val="18"/>
        </w:rPr>
        <w:t xml:space="preserve"> </w:t>
      </w:r>
      <w:r>
        <w:rPr>
          <w:sz w:val="18"/>
        </w:rPr>
        <w:t>HIV</w:t>
      </w:r>
      <w:r>
        <w:rPr>
          <w:spacing w:val="-1"/>
          <w:sz w:val="18"/>
        </w:rPr>
        <w:t xml:space="preserve"> </w:t>
      </w:r>
      <w:r>
        <w:rPr>
          <w:sz w:val="18"/>
        </w:rPr>
        <w:t>Preesposure</w:t>
      </w:r>
      <w:r>
        <w:rPr>
          <w:spacing w:val="-3"/>
          <w:sz w:val="18"/>
        </w:rPr>
        <w:t xml:space="preserve"> </w:t>
      </w:r>
      <w:r>
        <w:rPr>
          <w:sz w:val="18"/>
        </w:rPr>
        <w:t>Prophylaxis</w:t>
      </w:r>
      <w:r>
        <w:rPr>
          <w:spacing w:val="-1"/>
          <w:sz w:val="18"/>
        </w:rPr>
        <w:t xml:space="preserve"> </w:t>
      </w:r>
      <w:r>
        <w:rPr>
          <w:sz w:val="18"/>
        </w:rPr>
        <w:t>(PrEP)</w:t>
      </w:r>
      <w:r>
        <w:rPr>
          <w:spacing w:val="-2"/>
          <w:sz w:val="18"/>
        </w:rPr>
        <w:t xml:space="preserve"> </w:t>
      </w:r>
      <w:r>
        <w:rPr>
          <w:sz w:val="18"/>
        </w:rPr>
        <w:t>in</w:t>
      </w:r>
      <w:r>
        <w:rPr>
          <w:spacing w:val="-3"/>
          <w:sz w:val="18"/>
        </w:rPr>
        <w:t xml:space="preserve"> </w:t>
      </w:r>
      <w:r>
        <w:rPr>
          <w:sz w:val="18"/>
        </w:rPr>
        <w:t>Black</w:t>
      </w:r>
      <w:r>
        <w:rPr>
          <w:spacing w:val="-3"/>
          <w:sz w:val="18"/>
        </w:rPr>
        <w:t xml:space="preserve"> </w:t>
      </w:r>
      <w:r>
        <w:rPr>
          <w:sz w:val="18"/>
        </w:rPr>
        <w:t>LGBTQ Communities in Baltimore.”</w:t>
      </w:r>
    </w:p>
    <w:p w:rsidR="00200FDA" w:rsidRDefault="00F76C4C">
      <w:pPr>
        <w:spacing w:line="219" w:lineRule="exact"/>
        <w:ind w:left="140"/>
        <w:rPr>
          <w:sz w:val="18"/>
        </w:rPr>
      </w:pPr>
      <w:r>
        <w:rPr>
          <w:position w:val="5"/>
          <w:sz w:val="12"/>
        </w:rPr>
        <w:t>65</w:t>
      </w:r>
      <w:r>
        <w:rPr>
          <w:spacing w:val="10"/>
          <w:position w:val="5"/>
          <w:sz w:val="12"/>
        </w:rPr>
        <w:t xml:space="preserve"> </w:t>
      </w:r>
      <w:r>
        <w:rPr>
          <w:sz w:val="18"/>
        </w:rPr>
        <w:t>Fields</w:t>
      </w:r>
      <w:r>
        <w:rPr>
          <w:spacing w:val="-3"/>
          <w:sz w:val="18"/>
        </w:rPr>
        <w:t xml:space="preserve"> </w:t>
      </w:r>
      <w:r>
        <w:rPr>
          <w:sz w:val="18"/>
        </w:rPr>
        <w:t>et</w:t>
      </w:r>
      <w:r>
        <w:rPr>
          <w:spacing w:val="-3"/>
          <w:sz w:val="18"/>
        </w:rPr>
        <w:t xml:space="preserve"> </w:t>
      </w:r>
      <w:r>
        <w:rPr>
          <w:spacing w:val="-5"/>
          <w:sz w:val="18"/>
        </w:rPr>
        <w:t>al.</w:t>
      </w:r>
    </w:p>
    <w:p w:rsidR="00200FDA" w:rsidRDefault="00F76C4C">
      <w:pPr>
        <w:ind w:left="140" w:hanging="1"/>
        <w:rPr>
          <w:sz w:val="18"/>
        </w:rPr>
      </w:pPr>
      <w:r>
        <w:rPr>
          <w:position w:val="5"/>
          <w:sz w:val="12"/>
        </w:rPr>
        <w:t>66</w:t>
      </w:r>
      <w:r>
        <w:rPr>
          <w:spacing w:val="10"/>
          <w:position w:val="5"/>
          <w:sz w:val="12"/>
        </w:rPr>
        <w:t xml:space="preserve"> </w:t>
      </w:r>
      <w:r>
        <w:rPr>
          <w:sz w:val="18"/>
        </w:rPr>
        <w:t>“Fast Fact:</w:t>
      </w:r>
      <w:r>
        <w:rPr>
          <w:spacing w:val="-2"/>
          <w:sz w:val="18"/>
        </w:rPr>
        <w:t xml:space="preserve"> </w:t>
      </w:r>
      <w:r>
        <w:rPr>
          <w:sz w:val="18"/>
        </w:rPr>
        <w:t>Preventing</w:t>
      </w:r>
      <w:r>
        <w:rPr>
          <w:spacing w:val="-3"/>
          <w:sz w:val="18"/>
        </w:rPr>
        <w:t xml:space="preserve"> </w:t>
      </w:r>
      <w:r>
        <w:rPr>
          <w:sz w:val="18"/>
        </w:rPr>
        <w:t>Bullying,”</w:t>
      </w:r>
      <w:r>
        <w:rPr>
          <w:spacing w:val="-1"/>
          <w:sz w:val="18"/>
        </w:rPr>
        <w:t xml:space="preserve"> </w:t>
      </w:r>
      <w:r>
        <w:rPr>
          <w:sz w:val="18"/>
        </w:rPr>
        <w:t>Centers</w:t>
      </w:r>
      <w:r>
        <w:rPr>
          <w:spacing w:val="-3"/>
          <w:sz w:val="18"/>
        </w:rPr>
        <w:t xml:space="preserve"> </w:t>
      </w:r>
      <w:r>
        <w:rPr>
          <w:sz w:val="18"/>
        </w:rPr>
        <w:t>for</w:t>
      </w:r>
      <w:r>
        <w:rPr>
          <w:spacing w:val="-3"/>
          <w:sz w:val="18"/>
        </w:rPr>
        <w:t xml:space="preserve"> </w:t>
      </w:r>
      <w:r>
        <w:rPr>
          <w:sz w:val="18"/>
        </w:rPr>
        <w:t>Disease</w:t>
      </w:r>
      <w:r>
        <w:rPr>
          <w:spacing w:val="-3"/>
          <w:sz w:val="18"/>
        </w:rPr>
        <w:t xml:space="preserve"> </w:t>
      </w:r>
      <w:r>
        <w:rPr>
          <w:sz w:val="18"/>
        </w:rPr>
        <w:t>Control</w:t>
      </w:r>
      <w:r>
        <w:rPr>
          <w:spacing w:val="-3"/>
          <w:sz w:val="18"/>
        </w:rPr>
        <w:t xml:space="preserve"> </w:t>
      </w:r>
      <w:r>
        <w:rPr>
          <w:sz w:val="18"/>
        </w:rPr>
        <w:t>and</w:t>
      </w:r>
      <w:r>
        <w:rPr>
          <w:spacing w:val="-3"/>
          <w:sz w:val="18"/>
        </w:rPr>
        <w:t xml:space="preserve"> </w:t>
      </w:r>
      <w:r>
        <w:rPr>
          <w:sz w:val="18"/>
        </w:rPr>
        <w:t>Prevention</w:t>
      </w:r>
      <w:r>
        <w:rPr>
          <w:spacing w:val="-3"/>
          <w:sz w:val="18"/>
        </w:rPr>
        <w:t xml:space="preserve"> </w:t>
      </w:r>
      <w:r>
        <w:rPr>
          <w:sz w:val="18"/>
        </w:rPr>
        <w:t>-</w:t>
      </w:r>
      <w:r>
        <w:rPr>
          <w:spacing w:val="-3"/>
          <w:sz w:val="18"/>
        </w:rPr>
        <w:t xml:space="preserve"> </w:t>
      </w:r>
      <w:r>
        <w:rPr>
          <w:sz w:val="18"/>
        </w:rPr>
        <w:t>Violence</w:t>
      </w:r>
      <w:r>
        <w:rPr>
          <w:spacing w:val="-3"/>
          <w:sz w:val="18"/>
        </w:rPr>
        <w:t xml:space="preserve"> </w:t>
      </w:r>
      <w:r>
        <w:rPr>
          <w:sz w:val="18"/>
        </w:rPr>
        <w:t>Prevention,</w:t>
      </w:r>
      <w:r>
        <w:rPr>
          <w:spacing w:val="-2"/>
          <w:sz w:val="18"/>
        </w:rPr>
        <w:t xml:space="preserve"> </w:t>
      </w:r>
      <w:r>
        <w:rPr>
          <w:sz w:val="18"/>
        </w:rPr>
        <w:t>April</w:t>
      </w:r>
      <w:r>
        <w:rPr>
          <w:spacing w:val="-3"/>
          <w:sz w:val="18"/>
        </w:rPr>
        <w:t xml:space="preserve"> </w:t>
      </w:r>
      <w:r>
        <w:rPr>
          <w:sz w:val="18"/>
        </w:rPr>
        <w:t>14</w:t>
      </w:r>
      <w:r>
        <w:rPr>
          <w:sz w:val="18"/>
        </w:rPr>
        <w:t>,</w:t>
      </w:r>
      <w:r>
        <w:rPr>
          <w:spacing w:val="-2"/>
          <w:sz w:val="18"/>
        </w:rPr>
        <w:t xml:space="preserve"> </w:t>
      </w:r>
      <w:r>
        <w:rPr>
          <w:sz w:val="18"/>
        </w:rPr>
        <w:t xml:space="preserve">2022, </w:t>
      </w:r>
      <w:r>
        <w:rPr>
          <w:spacing w:val="-2"/>
          <w:sz w:val="18"/>
        </w:rPr>
        <w:t>https://</w:t>
      </w:r>
      <w:hyperlink r:id="rId197">
        <w:r>
          <w:rPr>
            <w:spacing w:val="-2"/>
            <w:sz w:val="18"/>
          </w:rPr>
          <w:t>www.cdc.gov/violenceprevention/youthviolence/bullyingresearch/fastfact.html.</w:t>
        </w:r>
      </w:hyperlink>
    </w:p>
    <w:p w:rsidR="00200FDA" w:rsidRDefault="00F76C4C">
      <w:pPr>
        <w:spacing w:before="1"/>
        <w:ind w:left="140" w:right="1797" w:hanging="1"/>
        <w:rPr>
          <w:sz w:val="18"/>
        </w:rPr>
      </w:pPr>
      <w:r>
        <w:rPr>
          <w:position w:val="5"/>
          <w:sz w:val="12"/>
        </w:rPr>
        <w:t>67</w:t>
      </w:r>
      <w:r>
        <w:rPr>
          <w:spacing w:val="10"/>
          <w:position w:val="5"/>
          <w:sz w:val="12"/>
        </w:rPr>
        <w:t xml:space="preserve"> </w:t>
      </w:r>
      <w:r>
        <w:rPr>
          <w:sz w:val="18"/>
        </w:rPr>
        <w:t>“School</w:t>
      </w:r>
      <w:r>
        <w:rPr>
          <w:spacing w:val="-3"/>
          <w:sz w:val="18"/>
        </w:rPr>
        <w:t xml:space="preserve"> </w:t>
      </w:r>
      <w:r>
        <w:rPr>
          <w:sz w:val="18"/>
        </w:rPr>
        <w:t>Climate</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Students</w:t>
      </w:r>
      <w:r>
        <w:rPr>
          <w:spacing w:val="-3"/>
          <w:sz w:val="18"/>
        </w:rPr>
        <w:t xml:space="preserve"> </w:t>
      </w:r>
      <w:r>
        <w:rPr>
          <w:sz w:val="18"/>
        </w:rPr>
        <w:t>in</w:t>
      </w:r>
      <w:r>
        <w:rPr>
          <w:spacing w:val="-1"/>
          <w:sz w:val="18"/>
        </w:rPr>
        <w:t xml:space="preserve"> </w:t>
      </w:r>
      <w:r>
        <w:rPr>
          <w:sz w:val="18"/>
        </w:rPr>
        <w:t>Massachusetts</w:t>
      </w:r>
      <w:r>
        <w:rPr>
          <w:spacing w:val="-3"/>
          <w:sz w:val="18"/>
        </w:rPr>
        <w:t xml:space="preserve"> </w:t>
      </w:r>
      <w:r>
        <w:rPr>
          <w:sz w:val="18"/>
        </w:rPr>
        <w:t>(State</w:t>
      </w:r>
      <w:r>
        <w:rPr>
          <w:spacing w:val="-1"/>
          <w:sz w:val="18"/>
        </w:rPr>
        <w:t xml:space="preserve"> </w:t>
      </w:r>
      <w:r>
        <w:rPr>
          <w:sz w:val="18"/>
        </w:rPr>
        <w:t>Snapshot)”</w:t>
      </w:r>
      <w:r>
        <w:rPr>
          <w:spacing w:val="-3"/>
          <w:sz w:val="18"/>
        </w:rPr>
        <w:t xml:space="preserve"> </w:t>
      </w:r>
      <w:r>
        <w:rPr>
          <w:sz w:val="18"/>
        </w:rPr>
        <w:t>(New</w:t>
      </w:r>
      <w:r>
        <w:rPr>
          <w:spacing w:val="-1"/>
          <w:sz w:val="18"/>
        </w:rPr>
        <w:t xml:space="preserve"> </w:t>
      </w:r>
      <w:r>
        <w:rPr>
          <w:sz w:val="18"/>
        </w:rPr>
        <w:t>York,</w:t>
      </w:r>
      <w:r>
        <w:rPr>
          <w:spacing w:val="-2"/>
          <w:sz w:val="18"/>
        </w:rPr>
        <w:t xml:space="preserve"> </w:t>
      </w:r>
      <w:r>
        <w:rPr>
          <w:sz w:val="18"/>
        </w:rPr>
        <w:t>NY:</w:t>
      </w:r>
      <w:r>
        <w:rPr>
          <w:spacing w:val="-2"/>
          <w:sz w:val="18"/>
        </w:rPr>
        <w:t xml:space="preserve"> </w:t>
      </w:r>
      <w:r>
        <w:rPr>
          <w:sz w:val="18"/>
        </w:rPr>
        <w:t>GLSEN,</w:t>
      </w:r>
      <w:r>
        <w:rPr>
          <w:spacing w:val="-2"/>
          <w:sz w:val="18"/>
        </w:rPr>
        <w:t xml:space="preserve"> </w:t>
      </w:r>
      <w:r>
        <w:rPr>
          <w:sz w:val="18"/>
        </w:rPr>
        <w:t xml:space="preserve">2021), </w:t>
      </w:r>
      <w:r>
        <w:rPr>
          <w:spacing w:val="-2"/>
          <w:sz w:val="18"/>
        </w:rPr>
        <w:t>https://</w:t>
      </w:r>
      <w:hyperlink r:id="rId198">
        <w:r>
          <w:rPr>
            <w:spacing w:val="-2"/>
            <w:sz w:val="18"/>
          </w:rPr>
          <w:t>www.glsen.org/sites/default/files/2021-01/Massachusetts-Snapshot-2019_1.pdf.</w:t>
        </w:r>
      </w:hyperlink>
    </w:p>
    <w:p w:rsidR="00200FDA" w:rsidRDefault="00F76C4C">
      <w:pPr>
        <w:spacing w:line="219" w:lineRule="exact"/>
        <w:ind w:left="140"/>
        <w:rPr>
          <w:sz w:val="18"/>
        </w:rPr>
      </w:pPr>
      <w:r>
        <w:rPr>
          <w:position w:val="5"/>
          <w:sz w:val="12"/>
        </w:rPr>
        <w:t>68</w:t>
      </w:r>
      <w:r>
        <w:rPr>
          <w:spacing w:val="10"/>
          <w:position w:val="5"/>
          <w:sz w:val="12"/>
        </w:rPr>
        <w:t xml:space="preserve"> </w:t>
      </w:r>
      <w:r>
        <w:rPr>
          <w:sz w:val="18"/>
        </w:rPr>
        <w:t>“School</w:t>
      </w:r>
      <w:r>
        <w:rPr>
          <w:spacing w:val="-3"/>
          <w:sz w:val="18"/>
        </w:rPr>
        <w:t xml:space="preserve"> </w:t>
      </w:r>
      <w:r>
        <w:rPr>
          <w:sz w:val="18"/>
        </w:rPr>
        <w:t>Climate</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Students</w:t>
      </w:r>
      <w:r>
        <w:rPr>
          <w:spacing w:val="-3"/>
          <w:sz w:val="18"/>
        </w:rPr>
        <w:t xml:space="preserve"> </w:t>
      </w:r>
      <w:r>
        <w:rPr>
          <w:sz w:val="18"/>
        </w:rPr>
        <w:t>in</w:t>
      </w:r>
      <w:r>
        <w:rPr>
          <w:spacing w:val="-1"/>
          <w:sz w:val="18"/>
        </w:rPr>
        <w:t xml:space="preserve"> </w:t>
      </w:r>
      <w:r>
        <w:rPr>
          <w:sz w:val="18"/>
        </w:rPr>
        <w:t>Massachusetts</w:t>
      </w:r>
      <w:r>
        <w:rPr>
          <w:spacing w:val="-3"/>
          <w:sz w:val="18"/>
        </w:rPr>
        <w:t xml:space="preserve"> </w:t>
      </w:r>
      <w:r>
        <w:rPr>
          <w:sz w:val="18"/>
        </w:rPr>
        <w:t xml:space="preserve">(State </w:t>
      </w:r>
      <w:r>
        <w:rPr>
          <w:spacing w:val="-2"/>
          <w:sz w:val="18"/>
        </w:rPr>
        <w:t>Snapshot).”</w:t>
      </w:r>
    </w:p>
    <w:p w:rsidR="00200FDA" w:rsidRDefault="00F76C4C">
      <w:pPr>
        <w:spacing w:line="219" w:lineRule="exact"/>
        <w:ind w:left="140"/>
        <w:rPr>
          <w:sz w:val="18"/>
        </w:rPr>
      </w:pPr>
      <w:r>
        <w:rPr>
          <w:position w:val="5"/>
          <w:sz w:val="12"/>
        </w:rPr>
        <w:t>69</w:t>
      </w:r>
      <w:r>
        <w:rPr>
          <w:spacing w:val="10"/>
          <w:position w:val="5"/>
          <w:sz w:val="12"/>
        </w:rPr>
        <w:t xml:space="preserve"> </w:t>
      </w:r>
      <w:r>
        <w:rPr>
          <w:sz w:val="18"/>
        </w:rPr>
        <w:t>“School</w:t>
      </w:r>
      <w:r>
        <w:rPr>
          <w:spacing w:val="-3"/>
          <w:sz w:val="18"/>
        </w:rPr>
        <w:t xml:space="preserve"> </w:t>
      </w:r>
      <w:r>
        <w:rPr>
          <w:sz w:val="18"/>
        </w:rPr>
        <w:t>Climate</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Students</w:t>
      </w:r>
      <w:r>
        <w:rPr>
          <w:spacing w:val="-3"/>
          <w:sz w:val="18"/>
        </w:rPr>
        <w:t xml:space="preserve"> </w:t>
      </w:r>
      <w:r>
        <w:rPr>
          <w:sz w:val="18"/>
        </w:rPr>
        <w:t>in</w:t>
      </w:r>
      <w:r>
        <w:rPr>
          <w:spacing w:val="-1"/>
          <w:sz w:val="18"/>
        </w:rPr>
        <w:t xml:space="preserve"> </w:t>
      </w:r>
      <w:r>
        <w:rPr>
          <w:sz w:val="18"/>
        </w:rPr>
        <w:t>Massachusetts</w:t>
      </w:r>
      <w:r>
        <w:rPr>
          <w:spacing w:val="-3"/>
          <w:sz w:val="18"/>
        </w:rPr>
        <w:t xml:space="preserve"> </w:t>
      </w:r>
      <w:r>
        <w:rPr>
          <w:sz w:val="18"/>
        </w:rPr>
        <w:t xml:space="preserve">(State </w:t>
      </w:r>
      <w:r>
        <w:rPr>
          <w:spacing w:val="-2"/>
          <w:sz w:val="18"/>
        </w:rPr>
        <w:t>Snapshot).”</w:t>
      </w:r>
    </w:p>
    <w:p w:rsidR="00200FDA" w:rsidRDefault="00F76C4C">
      <w:pPr>
        <w:spacing w:before="1"/>
        <w:ind w:left="140" w:right="755" w:hanging="1"/>
        <w:jc w:val="both"/>
        <w:rPr>
          <w:sz w:val="18"/>
        </w:rPr>
      </w:pPr>
      <w:r>
        <w:rPr>
          <w:position w:val="5"/>
          <w:sz w:val="12"/>
        </w:rPr>
        <w:t>70</w:t>
      </w:r>
      <w:r>
        <w:rPr>
          <w:spacing w:val="10"/>
          <w:position w:val="5"/>
          <w:sz w:val="12"/>
        </w:rPr>
        <w:t xml:space="preserve"> </w:t>
      </w:r>
      <w:r>
        <w:rPr>
          <w:sz w:val="18"/>
        </w:rPr>
        <w:t>Joseph</w:t>
      </w:r>
      <w:r>
        <w:rPr>
          <w:spacing w:val="-3"/>
          <w:sz w:val="18"/>
        </w:rPr>
        <w:t xml:space="preserve"> </w:t>
      </w:r>
      <w:r>
        <w:rPr>
          <w:sz w:val="18"/>
        </w:rPr>
        <w:t>G.</w:t>
      </w:r>
      <w:r>
        <w:rPr>
          <w:spacing w:val="-2"/>
          <w:sz w:val="18"/>
        </w:rPr>
        <w:t xml:space="preserve"> </w:t>
      </w:r>
      <w:r>
        <w:rPr>
          <w:sz w:val="18"/>
        </w:rPr>
        <w:t>Kosciw,</w:t>
      </w:r>
      <w:r>
        <w:rPr>
          <w:spacing w:val="-2"/>
          <w:sz w:val="18"/>
        </w:rPr>
        <w:t xml:space="preserve"> </w:t>
      </w:r>
      <w:r>
        <w:rPr>
          <w:sz w:val="18"/>
        </w:rPr>
        <w:t>Caitlin</w:t>
      </w:r>
      <w:r>
        <w:rPr>
          <w:spacing w:val="-3"/>
          <w:sz w:val="18"/>
        </w:rPr>
        <w:t xml:space="preserve"> </w:t>
      </w:r>
      <w:r>
        <w:rPr>
          <w:sz w:val="18"/>
        </w:rPr>
        <w:t>M.</w:t>
      </w:r>
      <w:r>
        <w:rPr>
          <w:spacing w:val="-2"/>
          <w:sz w:val="18"/>
        </w:rPr>
        <w:t xml:space="preserve"> </w:t>
      </w:r>
      <w:r>
        <w:rPr>
          <w:sz w:val="18"/>
        </w:rPr>
        <w:t>Clark,</w:t>
      </w:r>
      <w:r>
        <w:rPr>
          <w:spacing w:val="-2"/>
          <w:sz w:val="18"/>
        </w:rPr>
        <w:t xml:space="preserve"> </w:t>
      </w:r>
      <w:r>
        <w:rPr>
          <w:sz w:val="18"/>
        </w:rPr>
        <w:t>and</w:t>
      </w:r>
      <w:r>
        <w:rPr>
          <w:spacing w:val="-3"/>
          <w:sz w:val="18"/>
        </w:rPr>
        <w:t xml:space="preserve"> </w:t>
      </w:r>
      <w:r>
        <w:rPr>
          <w:sz w:val="18"/>
        </w:rPr>
        <w:t>Leesh</w:t>
      </w:r>
      <w:r>
        <w:rPr>
          <w:spacing w:val="-3"/>
          <w:sz w:val="18"/>
        </w:rPr>
        <w:t xml:space="preserve"> </w:t>
      </w:r>
      <w:r>
        <w:rPr>
          <w:sz w:val="18"/>
        </w:rPr>
        <w:t>Menard,</w:t>
      </w:r>
      <w:r>
        <w:rPr>
          <w:spacing w:val="-2"/>
          <w:sz w:val="18"/>
        </w:rPr>
        <w:t xml:space="preserve"> </w:t>
      </w:r>
      <w:r>
        <w:rPr>
          <w:sz w:val="18"/>
        </w:rPr>
        <w:t>“The</w:t>
      </w:r>
      <w:r>
        <w:rPr>
          <w:spacing w:val="-3"/>
          <w:sz w:val="18"/>
        </w:rPr>
        <w:t xml:space="preserve"> </w:t>
      </w:r>
      <w:r>
        <w:rPr>
          <w:sz w:val="18"/>
        </w:rPr>
        <w:t>2021 National</w:t>
      </w:r>
      <w:r>
        <w:rPr>
          <w:spacing w:val="-3"/>
          <w:sz w:val="18"/>
        </w:rPr>
        <w:t xml:space="preserve"> </w:t>
      </w:r>
      <w:r>
        <w:rPr>
          <w:sz w:val="18"/>
        </w:rPr>
        <w:t>School</w:t>
      </w:r>
      <w:r>
        <w:rPr>
          <w:spacing w:val="-3"/>
          <w:sz w:val="18"/>
        </w:rPr>
        <w:t xml:space="preserve"> </w:t>
      </w:r>
      <w:r>
        <w:rPr>
          <w:sz w:val="18"/>
        </w:rPr>
        <w:t>Climate</w:t>
      </w:r>
      <w:r>
        <w:rPr>
          <w:spacing w:val="-1"/>
          <w:sz w:val="18"/>
        </w:rPr>
        <w:t xml:space="preserve"> </w:t>
      </w:r>
      <w:r>
        <w:rPr>
          <w:sz w:val="18"/>
        </w:rPr>
        <w:t>Survey:</w:t>
      </w:r>
      <w:r>
        <w:rPr>
          <w:spacing w:val="-2"/>
          <w:sz w:val="18"/>
        </w:rPr>
        <w:t xml:space="preserve"> </w:t>
      </w:r>
      <w:r>
        <w:rPr>
          <w:sz w:val="18"/>
        </w:rPr>
        <w:t>The</w:t>
      </w:r>
      <w:r>
        <w:rPr>
          <w:spacing w:val="-3"/>
          <w:sz w:val="18"/>
        </w:rPr>
        <w:t xml:space="preserve"> </w:t>
      </w:r>
      <w:r>
        <w:rPr>
          <w:sz w:val="18"/>
        </w:rPr>
        <w:t>Experiences</w:t>
      </w:r>
      <w:r>
        <w:rPr>
          <w:spacing w:val="-3"/>
          <w:sz w:val="18"/>
        </w:rPr>
        <w:t xml:space="preserve"> </w:t>
      </w:r>
      <w:r>
        <w:rPr>
          <w:sz w:val="18"/>
        </w:rPr>
        <w:t>of LGBTQ+</w:t>
      </w:r>
      <w:r>
        <w:rPr>
          <w:spacing w:val="-1"/>
          <w:sz w:val="18"/>
        </w:rPr>
        <w:t xml:space="preserve"> </w:t>
      </w:r>
      <w:r>
        <w:rPr>
          <w:sz w:val="18"/>
        </w:rPr>
        <w:t>Youth</w:t>
      </w:r>
      <w:r>
        <w:rPr>
          <w:spacing w:val="-1"/>
          <w:sz w:val="18"/>
        </w:rPr>
        <w:t xml:space="preserve"> </w:t>
      </w:r>
      <w:r>
        <w:rPr>
          <w:sz w:val="18"/>
        </w:rPr>
        <w:t>in</w:t>
      </w:r>
      <w:r>
        <w:rPr>
          <w:spacing w:val="-1"/>
          <w:sz w:val="18"/>
        </w:rPr>
        <w:t xml:space="preserve"> </w:t>
      </w:r>
      <w:r>
        <w:rPr>
          <w:sz w:val="18"/>
        </w:rPr>
        <w:t>Our</w:t>
      </w:r>
      <w:r>
        <w:rPr>
          <w:spacing w:val="-1"/>
          <w:sz w:val="18"/>
        </w:rPr>
        <w:t xml:space="preserve"> </w:t>
      </w:r>
      <w:r>
        <w:rPr>
          <w:sz w:val="18"/>
        </w:rPr>
        <w:t>Nation’s Schools”</w:t>
      </w:r>
      <w:r>
        <w:rPr>
          <w:spacing w:val="-1"/>
          <w:sz w:val="18"/>
        </w:rPr>
        <w:t xml:space="preserve"> </w:t>
      </w:r>
      <w:r>
        <w:rPr>
          <w:sz w:val="18"/>
        </w:rPr>
        <w:t>(New York, NY: GLSEN, 2022), https://</w:t>
      </w:r>
      <w:hyperlink r:id="rId199">
        <w:r>
          <w:rPr>
            <w:sz w:val="18"/>
          </w:rPr>
          <w:t>www.glsen.org/sites/default/files/2022-</w:t>
        </w:r>
      </w:hyperlink>
      <w:r>
        <w:rPr>
          <w:sz w:val="18"/>
        </w:rPr>
        <w:t xml:space="preserve"> </w:t>
      </w:r>
      <w:r>
        <w:rPr>
          <w:spacing w:val="-2"/>
          <w:sz w:val="18"/>
        </w:rPr>
        <w:t>10/NSCS-2021-Full-Report.pdf.</w:t>
      </w:r>
    </w:p>
    <w:p w:rsidR="00200FDA" w:rsidRDefault="00F76C4C">
      <w:pPr>
        <w:spacing w:line="218" w:lineRule="exact"/>
        <w:ind w:left="140"/>
        <w:jc w:val="both"/>
        <w:rPr>
          <w:sz w:val="18"/>
        </w:rPr>
      </w:pPr>
      <w:r>
        <w:rPr>
          <w:position w:val="5"/>
          <w:sz w:val="12"/>
        </w:rPr>
        <w:t>71</w:t>
      </w:r>
      <w:r>
        <w:rPr>
          <w:spacing w:val="10"/>
          <w:position w:val="5"/>
          <w:sz w:val="12"/>
        </w:rPr>
        <w:t xml:space="preserve"> </w:t>
      </w:r>
      <w:r>
        <w:rPr>
          <w:sz w:val="18"/>
        </w:rPr>
        <w:t>Kosciw,</w:t>
      </w:r>
      <w:r>
        <w:rPr>
          <w:spacing w:val="-2"/>
          <w:sz w:val="18"/>
        </w:rPr>
        <w:t xml:space="preserve"> </w:t>
      </w:r>
      <w:r>
        <w:rPr>
          <w:sz w:val="18"/>
        </w:rPr>
        <w:t>Clark,</w:t>
      </w:r>
      <w:r>
        <w:rPr>
          <w:spacing w:val="-2"/>
          <w:sz w:val="18"/>
        </w:rPr>
        <w:t xml:space="preserve"> </w:t>
      </w:r>
      <w:r>
        <w:rPr>
          <w:sz w:val="18"/>
        </w:rPr>
        <w:t>and</w:t>
      </w:r>
      <w:r>
        <w:rPr>
          <w:spacing w:val="-2"/>
          <w:sz w:val="18"/>
        </w:rPr>
        <w:t xml:space="preserve"> Menard.</w:t>
      </w:r>
    </w:p>
    <w:p w:rsidR="00200FDA" w:rsidRDefault="00F76C4C">
      <w:pPr>
        <w:spacing w:before="1"/>
        <w:ind w:left="140" w:right="418" w:hanging="1"/>
        <w:rPr>
          <w:sz w:val="18"/>
        </w:rPr>
      </w:pPr>
      <w:r>
        <w:rPr>
          <w:position w:val="5"/>
          <w:sz w:val="12"/>
        </w:rPr>
        <w:t>72</w:t>
      </w:r>
      <w:r>
        <w:rPr>
          <w:spacing w:val="9"/>
          <w:position w:val="5"/>
          <w:sz w:val="12"/>
        </w:rPr>
        <w:t xml:space="preserve"> </w:t>
      </w:r>
      <w:r>
        <w:rPr>
          <w:sz w:val="18"/>
        </w:rPr>
        <w:t>“2015</w:t>
      </w:r>
      <w:r>
        <w:rPr>
          <w:spacing w:val="-3"/>
          <w:sz w:val="18"/>
        </w:rPr>
        <w:t xml:space="preserve"> </w:t>
      </w:r>
      <w:r>
        <w:rPr>
          <w:sz w:val="18"/>
        </w:rPr>
        <w:t>U.S.</w:t>
      </w:r>
      <w:r>
        <w:rPr>
          <w:spacing w:val="-3"/>
          <w:sz w:val="18"/>
        </w:rPr>
        <w:t xml:space="preserve"> </w:t>
      </w:r>
      <w:r>
        <w:rPr>
          <w:sz w:val="18"/>
        </w:rPr>
        <w:t>Transgender</w:t>
      </w:r>
      <w:r>
        <w:rPr>
          <w:spacing w:val="-4"/>
          <w:sz w:val="18"/>
        </w:rPr>
        <w:t xml:space="preserve"> </w:t>
      </w:r>
      <w:r>
        <w:rPr>
          <w:sz w:val="18"/>
        </w:rPr>
        <w:t>Surve</w:t>
      </w:r>
      <w:r>
        <w:rPr>
          <w:sz w:val="18"/>
        </w:rPr>
        <w:t>y:</w:t>
      </w:r>
      <w:r>
        <w:rPr>
          <w:spacing w:val="-1"/>
          <w:sz w:val="18"/>
        </w:rPr>
        <w:t xml:space="preserve"> </w:t>
      </w:r>
      <w:r>
        <w:rPr>
          <w:sz w:val="18"/>
        </w:rPr>
        <w:t>Massachusetts</w:t>
      </w:r>
      <w:r>
        <w:rPr>
          <w:spacing w:val="-2"/>
          <w:sz w:val="18"/>
        </w:rPr>
        <w:t xml:space="preserve"> </w:t>
      </w:r>
      <w:r>
        <w:rPr>
          <w:sz w:val="18"/>
        </w:rPr>
        <w:t>State</w:t>
      </w:r>
      <w:r>
        <w:rPr>
          <w:spacing w:val="-4"/>
          <w:sz w:val="18"/>
        </w:rPr>
        <w:t xml:space="preserve"> </w:t>
      </w:r>
      <w:r>
        <w:rPr>
          <w:sz w:val="18"/>
        </w:rPr>
        <w:t>Report”</w:t>
      </w:r>
      <w:r>
        <w:rPr>
          <w:spacing w:val="-4"/>
          <w:sz w:val="18"/>
        </w:rPr>
        <w:t xml:space="preserve"> </w:t>
      </w:r>
      <w:r>
        <w:rPr>
          <w:sz w:val="18"/>
        </w:rPr>
        <w:t>(Washington,</w:t>
      </w:r>
      <w:r>
        <w:rPr>
          <w:spacing w:val="-3"/>
          <w:sz w:val="18"/>
        </w:rPr>
        <w:t xml:space="preserve"> </w:t>
      </w:r>
      <w:r>
        <w:rPr>
          <w:sz w:val="18"/>
        </w:rPr>
        <w:t>D.C.:</w:t>
      </w:r>
      <w:r>
        <w:rPr>
          <w:spacing w:val="-3"/>
          <w:sz w:val="18"/>
        </w:rPr>
        <w:t xml:space="preserve"> </w:t>
      </w:r>
      <w:r>
        <w:rPr>
          <w:sz w:val="18"/>
        </w:rPr>
        <w:t>National</w:t>
      </w:r>
      <w:r>
        <w:rPr>
          <w:spacing w:val="-4"/>
          <w:sz w:val="18"/>
        </w:rPr>
        <w:t xml:space="preserve"> </w:t>
      </w:r>
      <w:r>
        <w:rPr>
          <w:sz w:val="18"/>
        </w:rPr>
        <w:t>Center</w:t>
      </w:r>
      <w:r>
        <w:rPr>
          <w:spacing w:val="-4"/>
          <w:sz w:val="18"/>
        </w:rPr>
        <w:t xml:space="preserve"> </w:t>
      </w:r>
      <w:r>
        <w:rPr>
          <w:sz w:val="18"/>
        </w:rPr>
        <w:t>for</w:t>
      </w:r>
      <w:r>
        <w:rPr>
          <w:spacing w:val="-4"/>
          <w:sz w:val="18"/>
        </w:rPr>
        <w:t xml:space="preserve"> </w:t>
      </w:r>
      <w:r>
        <w:rPr>
          <w:sz w:val="18"/>
        </w:rPr>
        <w:t>Transgender Equality, 2017).</w:t>
      </w:r>
    </w:p>
    <w:p w:rsidR="00200FDA" w:rsidRDefault="00F76C4C">
      <w:pPr>
        <w:spacing w:line="219" w:lineRule="exact"/>
        <w:ind w:left="140"/>
        <w:rPr>
          <w:sz w:val="18"/>
        </w:rPr>
      </w:pPr>
      <w:r>
        <w:rPr>
          <w:position w:val="5"/>
          <w:sz w:val="12"/>
        </w:rPr>
        <w:t>73</w:t>
      </w:r>
      <w:r>
        <w:rPr>
          <w:spacing w:val="8"/>
          <w:position w:val="5"/>
          <w:sz w:val="12"/>
        </w:rPr>
        <w:t xml:space="preserve"> </w:t>
      </w:r>
      <w:r>
        <w:rPr>
          <w:sz w:val="18"/>
        </w:rPr>
        <w:t>“2015</w:t>
      </w:r>
      <w:r>
        <w:rPr>
          <w:spacing w:val="-3"/>
          <w:sz w:val="18"/>
        </w:rPr>
        <w:t xml:space="preserve"> </w:t>
      </w:r>
      <w:r>
        <w:rPr>
          <w:sz w:val="18"/>
        </w:rPr>
        <w:t>U.S.</w:t>
      </w:r>
      <w:r>
        <w:rPr>
          <w:spacing w:val="-4"/>
          <w:sz w:val="18"/>
        </w:rPr>
        <w:t xml:space="preserve"> </w:t>
      </w:r>
      <w:r>
        <w:rPr>
          <w:sz w:val="18"/>
        </w:rPr>
        <w:t>Transgender</w:t>
      </w:r>
      <w:r>
        <w:rPr>
          <w:spacing w:val="-4"/>
          <w:sz w:val="18"/>
        </w:rPr>
        <w:t xml:space="preserve"> </w:t>
      </w:r>
      <w:r>
        <w:rPr>
          <w:sz w:val="18"/>
        </w:rPr>
        <w:t>Survey:</w:t>
      </w:r>
      <w:r>
        <w:rPr>
          <w:spacing w:val="-2"/>
          <w:sz w:val="18"/>
        </w:rPr>
        <w:t xml:space="preserve"> </w:t>
      </w:r>
      <w:r>
        <w:rPr>
          <w:sz w:val="18"/>
        </w:rPr>
        <w:t>Massachusetts</w:t>
      </w:r>
      <w:r>
        <w:rPr>
          <w:spacing w:val="-2"/>
          <w:sz w:val="18"/>
        </w:rPr>
        <w:t xml:space="preserve"> </w:t>
      </w:r>
      <w:r>
        <w:rPr>
          <w:sz w:val="18"/>
        </w:rPr>
        <w:t>State</w:t>
      </w:r>
      <w:r>
        <w:rPr>
          <w:spacing w:val="-4"/>
          <w:sz w:val="18"/>
        </w:rPr>
        <w:t xml:space="preserve"> </w:t>
      </w:r>
      <w:r>
        <w:rPr>
          <w:spacing w:val="-2"/>
          <w:sz w:val="18"/>
        </w:rPr>
        <w:t>Report.”</w:t>
      </w:r>
    </w:p>
    <w:p w:rsidR="00200FDA" w:rsidRDefault="00F76C4C">
      <w:pPr>
        <w:spacing w:before="1"/>
        <w:ind w:left="140" w:hanging="1"/>
        <w:rPr>
          <w:sz w:val="18"/>
        </w:rPr>
      </w:pPr>
      <w:r>
        <w:rPr>
          <w:position w:val="5"/>
          <w:sz w:val="12"/>
        </w:rPr>
        <w:t>74</w:t>
      </w:r>
      <w:r>
        <w:rPr>
          <w:spacing w:val="10"/>
          <w:position w:val="5"/>
          <w:sz w:val="12"/>
        </w:rPr>
        <w:t xml:space="preserve"> </w:t>
      </w:r>
      <w:r>
        <w:rPr>
          <w:sz w:val="18"/>
        </w:rPr>
        <w:t>Kosciw,</w:t>
      </w:r>
      <w:r>
        <w:rPr>
          <w:spacing w:val="-2"/>
          <w:sz w:val="18"/>
        </w:rPr>
        <w:t xml:space="preserve"> </w:t>
      </w:r>
      <w:r>
        <w:rPr>
          <w:sz w:val="18"/>
        </w:rPr>
        <w:t>Clark,</w:t>
      </w:r>
      <w:r>
        <w:rPr>
          <w:spacing w:val="-2"/>
          <w:sz w:val="18"/>
        </w:rPr>
        <w:t xml:space="preserve"> </w:t>
      </w:r>
      <w:r>
        <w:rPr>
          <w:sz w:val="18"/>
        </w:rPr>
        <w:t>and</w:t>
      </w:r>
      <w:r>
        <w:rPr>
          <w:spacing w:val="-3"/>
          <w:sz w:val="18"/>
        </w:rPr>
        <w:t xml:space="preserve"> </w:t>
      </w:r>
      <w:r>
        <w:rPr>
          <w:sz w:val="18"/>
        </w:rPr>
        <w:t>Menard,</w:t>
      </w:r>
      <w:r>
        <w:rPr>
          <w:spacing w:val="-2"/>
          <w:sz w:val="18"/>
        </w:rPr>
        <w:t xml:space="preserve"> </w:t>
      </w:r>
      <w:r>
        <w:rPr>
          <w:sz w:val="18"/>
        </w:rPr>
        <w:t>“The</w:t>
      </w:r>
      <w:r>
        <w:rPr>
          <w:spacing w:val="-1"/>
          <w:sz w:val="18"/>
        </w:rPr>
        <w:t xml:space="preserve"> </w:t>
      </w:r>
      <w:r>
        <w:rPr>
          <w:sz w:val="18"/>
        </w:rPr>
        <w:t>2021</w:t>
      </w:r>
      <w:r>
        <w:rPr>
          <w:spacing w:val="-2"/>
          <w:sz w:val="18"/>
        </w:rPr>
        <w:t xml:space="preserve"> </w:t>
      </w:r>
      <w:r>
        <w:rPr>
          <w:sz w:val="18"/>
        </w:rPr>
        <w:t>National</w:t>
      </w:r>
      <w:r>
        <w:rPr>
          <w:spacing w:val="-3"/>
          <w:sz w:val="18"/>
        </w:rPr>
        <w:t xml:space="preserve"> </w:t>
      </w:r>
      <w:r>
        <w:rPr>
          <w:sz w:val="18"/>
        </w:rPr>
        <w:t>School</w:t>
      </w:r>
      <w:r>
        <w:rPr>
          <w:spacing w:val="-3"/>
          <w:sz w:val="18"/>
        </w:rPr>
        <w:t xml:space="preserve"> </w:t>
      </w:r>
      <w:r>
        <w:rPr>
          <w:sz w:val="18"/>
        </w:rPr>
        <w:t>Climate</w:t>
      </w:r>
      <w:r>
        <w:rPr>
          <w:spacing w:val="-1"/>
          <w:sz w:val="18"/>
        </w:rPr>
        <w:t xml:space="preserve"> </w:t>
      </w:r>
      <w:r>
        <w:rPr>
          <w:sz w:val="18"/>
        </w:rPr>
        <w:t>Survey:</w:t>
      </w:r>
      <w:r>
        <w:rPr>
          <w:spacing w:val="-2"/>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sz w:val="18"/>
        </w:rPr>
        <w:t>in</w:t>
      </w:r>
      <w:r>
        <w:rPr>
          <w:spacing w:val="-3"/>
          <w:sz w:val="18"/>
        </w:rPr>
        <w:t xml:space="preserve"> </w:t>
      </w:r>
      <w:r>
        <w:rPr>
          <w:sz w:val="18"/>
        </w:rPr>
        <w:t>Our</w:t>
      </w:r>
      <w:r>
        <w:rPr>
          <w:spacing w:val="-3"/>
          <w:sz w:val="18"/>
        </w:rPr>
        <w:t xml:space="preserve"> </w:t>
      </w:r>
      <w:r>
        <w:rPr>
          <w:sz w:val="18"/>
        </w:rPr>
        <w:t xml:space="preserve">Nation’s </w:t>
      </w:r>
      <w:r>
        <w:rPr>
          <w:spacing w:val="-2"/>
          <w:sz w:val="18"/>
        </w:rPr>
        <w:t>Schools.”</w:t>
      </w:r>
    </w:p>
    <w:p w:rsidR="00200FDA" w:rsidRDefault="00F76C4C">
      <w:pPr>
        <w:spacing w:line="219" w:lineRule="exact"/>
        <w:ind w:left="140"/>
        <w:rPr>
          <w:sz w:val="18"/>
        </w:rPr>
      </w:pPr>
      <w:r>
        <w:rPr>
          <w:position w:val="5"/>
          <w:sz w:val="12"/>
        </w:rPr>
        <w:t>75</w:t>
      </w:r>
      <w:r>
        <w:rPr>
          <w:spacing w:val="10"/>
          <w:position w:val="5"/>
          <w:sz w:val="12"/>
        </w:rPr>
        <w:t xml:space="preserve"> </w:t>
      </w:r>
      <w:r>
        <w:rPr>
          <w:sz w:val="18"/>
        </w:rPr>
        <w:t>Kosciw,</w:t>
      </w:r>
      <w:r>
        <w:rPr>
          <w:spacing w:val="-2"/>
          <w:sz w:val="18"/>
        </w:rPr>
        <w:t xml:space="preserve"> </w:t>
      </w:r>
      <w:r>
        <w:rPr>
          <w:sz w:val="18"/>
        </w:rPr>
        <w:t>Clark,</w:t>
      </w:r>
      <w:r>
        <w:rPr>
          <w:spacing w:val="-2"/>
          <w:sz w:val="18"/>
        </w:rPr>
        <w:t xml:space="preserve"> </w:t>
      </w:r>
      <w:r>
        <w:rPr>
          <w:sz w:val="18"/>
        </w:rPr>
        <w:t>and</w:t>
      </w:r>
      <w:r>
        <w:rPr>
          <w:spacing w:val="-2"/>
          <w:sz w:val="18"/>
        </w:rPr>
        <w:t xml:space="preserve"> Menard.</w:t>
      </w:r>
    </w:p>
    <w:p w:rsidR="00200FDA" w:rsidRDefault="00F76C4C">
      <w:pPr>
        <w:spacing w:line="219" w:lineRule="exact"/>
        <w:ind w:left="140"/>
        <w:rPr>
          <w:sz w:val="18"/>
        </w:rPr>
      </w:pPr>
      <w:r>
        <w:rPr>
          <w:position w:val="5"/>
          <w:sz w:val="12"/>
        </w:rPr>
        <w:t>76</w:t>
      </w:r>
      <w:r>
        <w:rPr>
          <w:spacing w:val="10"/>
          <w:position w:val="5"/>
          <w:sz w:val="12"/>
        </w:rPr>
        <w:t xml:space="preserve"> </w:t>
      </w:r>
      <w:r>
        <w:rPr>
          <w:sz w:val="18"/>
        </w:rPr>
        <w:t>Kosciw,</w:t>
      </w:r>
      <w:r>
        <w:rPr>
          <w:spacing w:val="-2"/>
          <w:sz w:val="18"/>
        </w:rPr>
        <w:t xml:space="preserve"> </w:t>
      </w:r>
      <w:r>
        <w:rPr>
          <w:sz w:val="18"/>
        </w:rPr>
        <w:t>Clark,</w:t>
      </w:r>
      <w:r>
        <w:rPr>
          <w:spacing w:val="-2"/>
          <w:sz w:val="18"/>
        </w:rPr>
        <w:t xml:space="preserve"> </w:t>
      </w:r>
      <w:r>
        <w:rPr>
          <w:sz w:val="18"/>
        </w:rPr>
        <w:t>and</w:t>
      </w:r>
      <w:r>
        <w:rPr>
          <w:spacing w:val="-2"/>
          <w:sz w:val="18"/>
        </w:rPr>
        <w:t xml:space="preserve"> Menard.</w:t>
      </w:r>
    </w:p>
    <w:p w:rsidR="00200FDA" w:rsidRDefault="00F76C4C">
      <w:pPr>
        <w:spacing w:before="2"/>
        <w:ind w:left="140" w:right="663" w:hanging="1"/>
        <w:rPr>
          <w:sz w:val="18"/>
        </w:rPr>
      </w:pPr>
      <w:r>
        <w:rPr>
          <w:position w:val="5"/>
          <w:sz w:val="12"/>
        </w:rPr>
        <w:t>77</w:t>
      </w:r>
      <w:r>
        <w:rPr>
          <w:spacing w:val="20"/>
          <w:position w:val="5"/>
          <w:sz w:val="12"/>
        </w:rPr>
        <w:t xml:space="preserve"> </w:t>
      </w:r>
      <w:r>
        <w:rPr>
          <w:sz w:val="18"/>
        </w:rPr>
        <w:t xml:space="preserve">“2021 National Survey on LGBTQ Youth Mental Health” (West Hollywood, CA: The Trevor Project, 2021), </w:t>
      </w:r>
      <w:r>
        <w:rPr>
          <w:spacing w:val="-2"/>
          <w:sz w:val="18"/>
        </w:rPr>
        <w:t>https://</w:t>
      </w:r>
      <w:hyperlink r:id="rId200">
        <w:r>
          <w:rPr>
            <w:spacing w:val="-2"/>
            <w:sz w:val="18"/>
          </w:rPr>
          <w:t>www.thetrevorproject.org/wp-content/uploads/2021/05/The-Trevor-Project-National-Survey-Results-2021.pdf.</w:t>
        </w:r>
      </w:hyperlink>
    </w:p>
    <w:p w:rsidR="00200FDA" w:rsidRDefault="00F76C4C">
      <w:pPr>
        <w:ind w:left="139" w:right="206"/>
        <w:rPr>
          <w:sz w:val="18"/>
        </w:rPr>
      </w:pPr>
      <w:r>
        <w:rPr>
          <w:position w:val="5"/>
          <w:sz w:val="12"/>
        </w:rPr>
        <w:t>78</w:t>
      </w:r>
      <w:r>
        <w:rPr>
          <w:spacing w:val="10"/>
          <w:position w:val="5"/>
          <w:sz w:val="12"/>
        </w:rPr>
        <w:t xml:space="preserve"> </w:t>
      </w:r>
      <w:r>
        <w:rPr>
          <w:sz w:val="18"/>
        </w:rPr>
        <w:t>Matthew</w:t>
      </w:r>
      <w:r>
        <w:rPr>
          <w:spacing w:val="-1"/>
          <w:sz w:val="18"/>
        </w:rPr>
        <w:t xml:space="preserve"> </w:t>
      </w:r>
      <w:r>
        <w:rPr>
          <w:sz w:val="18"/>
        </w:rPr>
        <w:t>N</w:t>
      </w:r>
      <w:r>
        <w:rPr>
          <w:spacing w:val="-3"/>
          <w:sz w:val="18"/>
        </w:rPr>
        <w:t xml:space="preserve"> </w:t>
      </w:r>
      <w:r>
        <w:rPr>
          <w:sz w:val="18"/>
        </w:rPr>
        <w:t>Berger</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“Social Media</w:t>
      </w:r>
      <w:r>
        <w:rPr>
          <w:spacing w:val="-2"/>
          <w:sz w:val="18"/>
        </w:rPr>
        <w:t xml:space="preserve"> </w:t>
      </w:r>
      <w:r>
        <w:rPr>
          <w:sz w:val="18"/>
        </w:rPr>
        <w:t>Use</w:t>
      </w:r>
      <w:r>
        <w:rPr>
          <w:spacing w:val="-3"/>
          <w:sz w:val="18"/>
        </w:rPr>
        <w:t xml:space="preserve"> </w:t>
      </w:r>
      <w:r>
        <w:rPr>
          <w:sz w:val="18"/>
        </w:rPr>
        <w:t>and</w:t>
      </w:r>
      <w:r>
        <w:rPr>
          <w:spacing w:val="-3"/>
          <w:sz w:val="18"/>
        </w:rPr>
        <w:t xml:space="preserve"> </w:t>
      </w:r>
      <w:r>
        <w:rPr>
          <w:sz w:val="18"/>
        </w:rPr>
        <w:t>Health</w:t>
      </w:r>
      <w:r>
        <w:rPr>
          <w:spacing w:val="-3"/>
          <w:sz w:val="18"/>
        </w:rPr>
        <w:t xml:space="preserve"> </w:t>
      </w:r>
      <w:r>
        <w:rPr>
          <w:sz w:val="18"/>
        </w:rPr>
        <w:t>and</w:t>
      </w:r>
      <w:r>
        <w:rPr>
          <w:spacing w:val="-3"/>
          <w:sz w:val="18"/>
        </w:rPr>
        <w:t xml:space="preserve"> </w:t>
      </w:r>
      <w:r>
        <w:rPr>
          <w:sz w:val="18"/>
        </w:rPr>
        <w:t>Well-Being</w:t>
      </w:r>
      <w:r>
        <w:rPr>
          <w:spacing w:val="-3"/>
          <w:sz w:val="18"/>
        </w:rPr>
        <w:t xml:space="preserve"> </w:t>
      </w:r>
      <w:r>
        <w:rPr>
          <w:sz w:val="18"/>
        </w:rPr>
        <w:t>of</w:t>
      </w:r>
      <w:r>
        <w:rPr>
          <w:spacing w:val="-2"/>
          <w:sz w:val="18"/>
        </w:rPr>
        <w:t xml:space="preserve"> </w:t>
      </w:r>
      <w:r>
        <w:rPr>
          <w:sz w:val="18"/>
        </w:rPr>
        <w:t>Lesbian,</w:t>
      </w:r>
      <w:r>
        <w:rPr>
          <w:spacing w:val="-2"/>
          <w:sz w:val="18"/>
        </w:rPr>
        <w:t xml:space="preserve"> </w:t>
      </w:r>
      <w:r>
        <w:rPr>
          <w:sz w:val="18"/>
        </w:rPr>
        <w:t>Gay,</w:t>
      </w:r>
      <w:r>
        <w:rPr>
          <w:spacing w:val="-2"/>
          <w:sz w:val="18"/>
        </w:rPr>
        <w:t xml:space="preserve"> </w:t>
      </w:r>
      <w:r>
        <w:rPr>
          <w:sz w:val="18"/>
        </w:rPr>
        <w:t>Bisexual,</w:t>
      </w:r>
      <w:r>
        <w:rPr>
          <w:spacing w:val="-2"/>
          <w:sz w:val="18"/>
        </w:rPr>
        <w:t xml:space="preserve"> </w:t>
      </w:r>
      <w:r>
        <w:rPr>
          <w:sz w:val="18"/>
        </w:rPr>
        <w:t>Transgender,</w:t>
      </w:r>
      <w:r>
        <w:rPr>
          <w:spacing w:val="-2"/>
          <w:sz w:val="18"/>
        </w:rPr>
        <w:t xml:space="preserve"> </w:t>
      </w:r>
      <w:r>
        <w:rPr>
          <w:sz w:val="18"/>
        </w:rPr>
        <w:t>and</w:t>
      </w:r>
      <w:r>
        <w:rPr>
          <w:spacing w:val="-1"/>
          <w:sz w:val="18"/>
        </w:rPr>
        <w:t xml:space="preserve"> </w:t>
      </w:r>
      <w:r>
        <w:rPr>
          <w:sz w:val="18"/>
        </w:rPr>
        <w:t xml:space="preserve">Queer Youth: Systematic Review,” </w:t>
      </w:r>
      <w:r>
        <w:rPr>
          <w:i/>
          <w:sz w:val="18"/>
        </w:rPr>
        <w:t xml:space="preserve">Journal of Medical Internet Research </w:t>
      </w:r>
      <w:r>
        <w:rPr>
          <w:sz w:val="18"/>
        </w:rPr>
        <w:t xml:space="preserve">24, no. 9 (September 21, 2022): e38449, </w:t>
      </w:r>
      <w:r>
        <w:rPr>
          <w:spacing w:val="-2"/>
          <w:sz w:val="18"/>
        </w:rPr>
        <w:t>https://doi.org/10.2196/38449.</w:t>
      </w:r>
    </w:p>
    <w:p w:rsidR="00200FDA" w:rsidRDefault="00F76C4C">
      <w:pPr>
        <w:spacing w:line="219" w:lineRule="exact"/>
        <w:ind w:left="140"/>
        <w:rPr>
          <w:sz w:val="18"/>
        </w:rPr>
      </w:pPr>
      <w:r>
        <w:rPr>
          <w:position w:val="5"/>
          <w:sz w:val="12"/>
        </w:rPr>
        <w:t>79</w:t>
      </w:r>
      <w:r>
        <w:rPr>
          <w:spacing w:val="10"/>
          <w:position w:val="5"/>
          <w:sz w:val="12"/>
        </w:rPr>
        <w:t xml:space="preserve"> </w:t>
      </w:r>
      <w:r>
        <w:rPr>
          <w:sz w:val="18"/>
        </w:rPr>
        <w:t>Berger</w:t>
      </w:r>
      <w:r>
        <w:rPr>
          <w:spacing w:val="-3"/>
          <w:sz w:val="18"/>
        </w:rPr>
        <w:t xml:space="preserve"> </w:t>
      </w:r>
      <w:r>
        <w:rPr>
          <w:sz w:val="18"/>
        </w:rPr>
        <w:t>et</w:t>
      </w:r>
      <w:r>
        <w:rPr>
          <w:spacing w:val="-3"/>
          <w:sz w:val="18"/>
        </w:rPr>
        <w:t xml:space="preserve"> </w:t>
      </w:r>
      <w:r>
        <w:rPr>
          <w:spacing w:val="-5"/>
          <w:sz w:val="18"/>
        </w:rPr>
        <w:t>al.</w:t>
      </w:r>
    </w:p>
    <w:p w:rsidR="00200FDA" w:rsidRDefault="00F76C4C">
      <w:pPr>
        <w:spacing w:line="219" w:lineRule="exact"/>
        <w:ind w:left="140"/>
        <w:rPr>
          <w:sz w:val="18"/>
        </w:rPr>
      </w:pPr>
      <w:r>
        <w:rPr>
          <w:position w:val="5"/>
          <w:sz w:val="12"/>
        </w:rPr>
        <w:t>80</w:t>
      </w:r>
      <w:r>
        <w:rPr>
          <w:spacing w:val="10"/>
          <w:position w:val="5"/>
          <w:sz w:val="12"/>
        </w:rPr>
        <w:t xml:space="preserve"> </w:t>
      </w:r>
      <w:r>
        <w:rPr>
          <w:sz w:val="18"/>
        </w:rPr>
        <w:t>Be</w:t>
      </w:r>
      <w:r>
        <w:rPr>
          <w:sz w:val="18"/>
        </w:rPr>
        <w:t>rger</w:t>
      </w:r>
      <w:r>
        <w:rPr>
          <w:spacing w:val="-3"/>
          <w:sz w:val="18"/>
        </w:rPr>
        <w:t xml:space="preserve"> </w:t>
      </w:r>
      <w:r>
        <w:rPr>
          <w:sz w:val="18"/>
        </w:rPr>
        <w:t>et</w:t>
      </w:r>
      <w:r>
        <w:rPr>
          <w:spacing w:val="-3"/>
          <w:sz w:val="18"/>
        </w:rPr>
        <w:t xml:space="preserve"> </w:t>
      </w:r>
      <w:r>
        <w:rPr>
          <w:spacing w:val="-5"/>
          <w:sz w:val="18"/>
        </w:rPr>
        <w:t>al.</w:t>
      </w:r>
    </w:p>
    <w:p w:rsidR="00200FDA" w:rsidRDefault="00F76C4C">
      <w:pPr>
        <w:spacing w:before="1"/>
        <w:ind w:left="140" w:right="628" w:hanging="1"/>
        <w:rPr>
          <w:sz w:val="18"/>
        </w:rPr>
      </w:pPr>
      <w:r>
        <w:rPr>
          <w:position w:val="5"/>
          <w:sz w:val="12"/>
        </w:rPr>
        <w:t>81</w:t>
      </w:r>
      <w:r>
        <w:rPr>
          <w:spacing w:val="19"/>
          <w:position w:val="5"/>
          <w:sz w:val="12"/>
        </w:rPr>
        <w:t xml:space="preserve"> </w:t>
      </w:r>
      <w:r>
        <w:rPr>
          <w:sz w:val="18"/>
        </w:rPr>
        <w:t xml:space="preserve">Elizabeth Bradley et al., “Step In, Speak Up! LGBTQ Youth Bullying Prevention,” in </w:t>
      </w:r>
      <w:r>
        <w:rPr>
          <w:i/>
          <w:sz w:val="18"/>
        </w:rPr>
        <w:t>Games and Simulations in Teacher Education</w:t>
      </w:r>
      <w:r>
        <w:rPr>
          <w:sz w:val="18"/>
        </w:rPr>
        <w:t>,</w:t>
      </w:r>
      <w:r>
        <w:rPr>
          <w:spacing w:val="-3"/>
          <w:sz w:val="18"/>
        </w:rPr>
        <w:t xml:space="preserve"> </w:t>
      </w:r>
      <w:r>
        <w:rPr>
          <w:sz w:val="18"/>
        </w:rPr>
        <w:t>ed.</w:t>
      </w:r>
      <w:r>
        <w:rPr>
          <w:spacing w:val="-3"/>
          <w:sz w:val="18"/>
        </w:rPr>
        <w:t xml:space="preserve"> </w:t>
      </w:r>
      <w:r>
        <w:rPr>
          <w:sz w:val="18"/>
        </w:rPr>
        <w:t>Elizabeth</w:t>
      </w:r>
      <w:r>
        <w:rPr>
          <w:spacing w:val="-4"/>
          <w:sz w:val="18"/>
        </w:rPr>
        <w:t xml:space="preserve"> </w:t>
      </w:r>
      <w:r>
        <w:rPr>
          <w:sz w:val="18"/>
        </w:rPr>
        <w:t>Bradley,</w:t>
      </w:r>
      <w:r>
        <w:rPr>
          <w:spacing w:val="-3"/>
          <w:sz w:val="18"/>
        </w:rPr>
        <w:t xml:space="preserve"> </w:t>
      </w:r>
      <w:r>
        <w:rPr>
          <w:sz w:val="18"/>
        </w:rPr>
        <w:t>Advances</w:t>
      </w:r>
      <w:r>
        <w:rPr>
          <w:spacing w:val="-2"/>
          <w:sz w:val="18"/>
        </w:rPr>
        <w:t xml:space="preserve"> </w:t>
      </w:r>
      <w:r>
        <w:rPr>
          <w:sz w:val="18"/>
        </w:rPr>
        <w:t>in</w:t>
      </w:r>
      <w:r>
        <w:rPr>
          <w:spacing w:val="-4"/>
          <w:sz w:val="18"/>
        </w:rPr>
        <w:t xml:space="preserve"> </w:t>
      </w:r>
      <w:r>
        <w:rPr>
          <w:sz w:val="18"/>
        </w:rPr>
        <w:t>Game-Based</w:t>
      </w:r>
      <w:r>
        <w:rPr>
          <w:spacing w:val="-4"/>
          <w:sz w:val="18"/>
        </w:rPr>
        <w:t xml:space="preserve"> </w:t>
      </w:r>
      <w:r>
        <w:rPr>
          <w:sz w:val="18"/>
        </w:rPr>
        <w:t>Learning</w:t>
      </w:r>
      <w:r>
        <w:rPr>
          <w:spacing w:val="-4"/>
          <w:sz w:val="18"/>
        </w:rPr>
        <w:t xml:space="preserve"> </w:t>
      </w:r>
      <w:r>
        <w:rPr>
          <w:sz w:val="18"/>
        </w:rPr>
        <w:t>(Cham:</w:t>
      </w:r>
      <w:r>
        <w:rPr>
          <w:spacing w:val="-3"/>
          <w:sz w:val="18"/>
        </w:rPr>
        <w:t xml:space="preserve"> </w:t>
      </w:r>
      <w:r>
        <w:rPr>
          <w:sz w:val="18"/>
        </w:rPr>
        <w:t>Springer</w:t>
      </w:r>
      <w:r>
        <w:rPr>
          <w:spacing w:val="-4"/>
          <w:sz w:val="18"/>
        </w:rPr>
        <w:t xml:space="preserve"> </w:t>
      </w:r>
      <w:r>
        <w:rPr>
          <w:sz w:val="18"/>
        </w:rPr>
        <w:t>International</w:t>
      </w:r>
      <w:r>
        <w:rPr>
          <w:spacing w:val="-4"/>
          <w:sz w:val="18"/>
        </w:rPr>
        <w:t xml:space="preserve"> </w:t>
      </w:r>
      <w:r>
        <w:rPr>
          <w:sz w:val="18"/>
        </w:rPr>
        <w:t>Publishing,</w:t>
      </w:r>
      <w:r>
        <w:rPr>
          <w:spacing w:val="-3"/>
          <w:sz w:val="18"/>
        </w:rPr>
        <w:t xml:space="preserve"> </w:t>
      </w:r>
      <w:r>
        <w:rPr>
          <w:sz w:val="18"/>
        </w:rPr>
        <w:t>2020),</w:t>
      </w:r>
      <w:r>
        <w:rPr>
          <w:spacing w:val="-3"/>
          <w:sz w:val="18"/>
        </w:rPr>
        <w:t xml:space="preserve"> </w:t>
      </w:r>
      <w:r>
        <w:rPr>
          <w:sz w:val="18"/>
        </w:rPr>
        <w:t>35– 54, https://doi.org/10.1007/978-3-030-44526-3_4.</w:t>
      </w:r>
    </w:p>
    <w:p w:rsidR="00200FDA" w:rsidRDefault="00F76C4C">
      <w:pPr>
        <w:ind w:left="140" w:hanging="1"/>
        <w:rPr>
          <w:sz w:val="18"/>
        </w:rPr>
      </w:pPr>
      <w:r>
        <w:rPr>
          <w:position w:val="5"/>
          <w:sz w:val="12"/>
        </w:rPr>
        <w:t>82</w:t>
      </w:r>
      <w:r>
        <w:rPr>
          <w:spacing w:val="10"/>
          <w:position w:val="5"/>
          <w:sz w:val="12"/>
        </w:rPr>
        <w:t xml:space="preserve"> </w:t>
      </w:r>
      <w:r>
        <w:rPr>
          <w:sz w:val="18"/>
        </w:rPr>
        <w:t>Kosciw,</w:t>
      </w:r>
      <w:r>
        <w:rPr>
          <w:spacing w:val="-2"/>
          <w:sz w:val="18"/>
        </w:rPr>
        <w:t xml:space="preserve"> </w:t>
      </w:r>
      <w:r>
        <w:rPr>
          <w:sz w:val="18"/>
        </w:rPr>
        <w:t>Clark,</w:t>
      </w:r>
      <w:r>
        <w:rPr>
          <w:spacing w:val="-2"/>
          <w:sz w:val="18"/>
        </w:rPr>
        <w:t xml:space="preserve"> </w:t>
      </w:r>
      <w:r>
        <w:rPr>
          <w:sz w:val="18"/>
        </w:rPr>
        <w:t>and</w:t>
      </w:r>
      <w:r>
        <w:rPr>
          <w:spacing w:val="-3"/>
          <w:sz w:val="18"/>
        </w:rPr>
        <w:t xml:space="preserve"> </w:t>
      </w:r>
      <w:r>
        <w:rPr>
          <w:sz w:val="18"/>
        </w:rPr>
        <w:t>Menard,</w:t>
      </w:r>
      <w:r>
        <w:rPr>
          <w:spacing w:val="-2"/>
          <w:sz w:val="18"/>
        </w:rPr>
        <w:t xml:space="preserve"> </w:t>
      </w:r>
      <w:r>
        <w:rPr>
          <w:sz w:val="18"/>
        </w:rPr>
        <w:t>“The</w:t>
      </w:r>
      <w:r>
        <w:rPr>
          <w:spacing w:val="-1"/>
          <w:sz w:val="18"/>
        </w:rPr>
        <w:t xml:space="preserve"> </w:t>
      </w:r>
      <w:r>
        <w:rPr>
          <w:sz w:val="18"/>
        </w:rPr>
        <w:t>2021</w:t>
      </w:r>
      <w:r>
        <w:rPr>
          <w:spacing w:val="-2"/>
          <w:sz w:val="18"/>
        </w:rPr>
        <w:t xml:space="preserve"> </w:t>
      </w:r>
      <w:r>
        <w:rPr>
          <w:sz w:val="18"/>
        </w:rPr>
        <w:t>National</w:t>
      </w:r>
      <w:r>
        <w:rPr>
          <w:spacing w:val="-3"/>
          <w:sz w:val="18"/>
        </w:rPr>
        <w:t xml:space="preserve"> </w:t>
      </w:r>
      <w:r>
        <w:rPr>
          <w:sz w:val="18"/>
        </w:rPr>
        <w:t>School</w:t>
      </w:r>
      <w:r>
        <w:rPr>
          <w:spacing w:val="-3"/>
          <w:sz w:val="18"/>
        </w:rPr>
        <w:t xml:space="preserve"> </w:t>
      </w:r>
      <w:r>
        <w:rPr>
          <w:sz w:val="18"/>
        </w:rPr>
        <w:t>Climate</w:t>
      </w:r>
      <w:r>
        <w:rPr>
          <w:spacing w:val="-1"/>
          <w:sz w:val="18"/>
        </w:rPr>
        <w:t xml:space="preserve"> </w:t>
      </w:r>
      <w:r>
        <w:rPr>
          <w:sz w:val="18"/>
        </w:rPr>
        <w:t>Survey:</w:t>
      </w:r>
      <w:r>
        <w:rPr>
          <w:spacing w:val="-2"/>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sz w:val="18"/>
        </w:rPr>
        <w:t>in</w:t>
      </w:r>
      <w:r>
        <w:rPr>
          <w:spacing w:val="-3"/>
          <w:sz w:val="18"/>
        </w:rPr>
        <w:t xml:space="preserve"> </w:t>
      </w:r>
      <w:r>
        <w:rPr>
          <w:sz w:val="18"/>
        </w:rPr>
        <w:t>Our</w:t>
      </w:r>
      <w:r>
        <w:rPr>
          <w:spacing w:val="-3"/>
          <w:sz w:val="18"/>
        </w:rPr>
        <w:t xml:space="preserve"> </w:t>
      </w:r>
      <w:r>
        <w:rPr>
          <w:sz w:val="18"/>
        </w:rPr>
        <w:t xml:space="preserve">Nation’s </w:t>
      </w:r>
      <w:r>
        <w:rPr>
          <w:spacing w:val="-2"/>
          <w:sz w:val="18"/>
        </w:rPr>
        <w:t>Schools.”</w:t>
      </w:r>
    </w:p>
    <w:p w:rsidR="00200FDA" w:rsidRDefault="00F76C4C">
      <w:pPr>
        <w:spacing w:before="1" w:line="219" w:lineRule="exact"/>
        <w:ind w:left="140"/>
        <w:rPr>
          <w:sz w:val="18"/>
        </w:rPr>
      </w:pPr>
      <w:r>
        <w:rPr>
          <w:position w:val="5"/>
          <w:sz w:val="12"/>
        </w:rPr>
        <w:t>83</w:t>
      </w:r>
      <w:r>
        <w:rPr>
          <w:spacing w:val="10"/>
          <w:position w:val="5"/>
          <w:sz w:val="12"/>
        </w:rPr>
        <w:t xml:space="preserve"> </w:t>
      </w:r>
      <w:r>
        <w:rPr>
          <w:sz w:val="18"/>
        </w:rPr>
        <w:t>Bradley</w:t>
      </w:r>
      <w:r>
        <w:rPr>
          <w:spacing w:val="-1"/>
          <w:sz w:val="18"/>
        </w:rPr>
        <w:t xml:space="preserve"> </w:t>
      </w:r>
      <w:r>
        <w:rPr>
          <w:sz w:val="18"/>
        </w:rPr>
        <w:t>et</w:t>
      </w:r>
      <w:r>
        <w:rPr>
          <w:spacing w:val="-2"/>
          <w:sz w:val="18"/>
        </w:rPr>
        <w:t xml:space="preserve"> </w:t>
      </w:r>
      <w:r>
        <w:rPr>
          <w:sz w:val="18"/>
        </w:rPr>
        <w:t>al.,</w:t>
      </w:r>
      <w:r>
        <w:rPr>
          <w:spacing w:val="-1"/>
          <w:sz w:val="18"/>
        </w:rPr>
        <w:t xml:space="preserve"> </w:t>
      </w:r>
      <w:r>
        <w:rPr>
          <w:sz w:val="18"/>
        </w:rPr>
        <w:t>“Step</w:t>
      </w:r>
      <w:r>
        <w:rPr>
          <w:spacing w:val="-2"/>
          <w:sz w:val="18"/>
        </w:rPr>
        <w:t xml:space="preserve"> </w:t>
      </w:r>
      <w:r>
        <w:rPr>
          <w:sz w:val="18"/>
        </w:rPr>
        <w:t>In,</w:t>
      </w:r>
      <w:r>
        <w:rPr>
          <w:spacing w:val="-2"/>
          <w:sz w:val="18"/>
        </w:rPr>
        <w:t xml:space="preserve"> </w:t>
      </w:r>
      <w:r>
        <w:rPr>
          <w:sz w:val="18"/>
        </w:rPr>
        <w:t>Speak</w:t>
      </w:r>
      <w:r>
        <w:rPr>
          <w:spacing w:val="-2"/>
          <w:sz w:val="18"/>
        </w:rPr>
        <w:t xml:space="preserve"> </w:t>
      </w:r>
      <w:r>
        <w:rPr>
          <w:sz w:val="18"/>
        </w:rPr>
        <w:t>Up!</w:t>
      </w:r>
      <w:r>
        <w:rPr>
          <w:spacing w:val="-2"/>
          <w:sz w:val="18"/>
        </w:rPr>
        <w:t xml:space="preserve"> </w:t>
      </w:r>
      <w:r>
        <w:rPr>
          <w:sz w:val="18"/>
        </w:rPr>
        <w:t>LGBTQ</w:t>
      </w:r>
      <w:r>
        <w:rPr>
          <w:spacing w:val="-2"/>
          <w:sz w:val="18"/>
        </w:rPr>
        <w:t xml:space="preserve"> </w:t>
      </w:r>
      <w:r>
        <w:rPr>
          <w:sz w:val="18"/>
        </w:rPr>
        <w:t>Youth</w:t>
      </w:r>
      <w:r>
        <w:rPr>
          <w:spacing w:val="-2"/>
          <w:sz w:val="18"/>
        </w:rPr>
        <w:t xml:space="preserve"> </w:t>
      </w:r>
      <w:r>
        <w:rPr>
          <w:sz w:val="18"/>
        </w:rPr>
        <w:t>Bullying</w:t>
      </w:r>
      <w:r>
        <w:rPr>
          <w:spacing w:val="-2"/>
          <w:sz w:val="18"/>
        </w:rPr>
        <w:t xml:space="preserve"> Prevention.”</w:t>
      </w:r>
    </w:p>
    <w:p w:rsidR="00200FDA" w:rsidRDefault="00F76C4C">
      <w:pPr>
        <w:ind w:left="140" w:right="418" w:hanging="1"/>
        <w:rPr>
          <w:sz w:val="18"/>
        </w:rPr>
      </w:pPr>
      <w:r>
        <w:rPr>
          <w:position w:val="5"/>
          <w:sz w:val="12"/>
        </w:rPr>
        <w:t>84</w:t>
      </w:r>
      <w:r>
        <w:rPr>
          <w:spacing w:val="10"/>
          <w:position w:val="5"/>
          <w:sz w:val="12"/>
        </w:rPr>
        <w:t xml:space="preserve"> </w:t>
      </w:r>
      <w:r>
        <w:rPr>
          <w:sz w:val="18"/>
        </w:rPr>
        <w:t>Sari</w:t>
      </w:r>
      <w:r>
        <w:rPr>
          <w:spacing w:val="-3"/>
          <w:sz w:val="18"/>
        </w:rPr>
        <w:t xml:space="preserve"> </w:t>
      </w:r>
      <w:r>
        <w:rPr>
          <w:sz w:val="18"/>
        </w:rPr>
        <w:t>L.</w:t>
      </w:r>
      <w:r>
        <w:rPr>
          <w:spacing w:val="-2"/>
          <w:sz w:val="18"/>
        </w:rPr>
        <w:t xml:space="preserve"> </w:t>
      </w:r>
      <w:r>
        <w:rPr>
          <w:sz w:val="18"/>
        </w:rPr>
        <w:t>Reisner</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“Addressing</w:t>
      </w:r>
      <w:r>
        <w:rPr>
          <w:spacing w:val="-1"/>
          <w:sz w:val="18"/>
        </w:rPr>
        <w:t xml:space="preserve"> </w:t>
      </w:r>
      <w:r>
        <w:rPr>
          <w:sz w:val="18"/>
        </w:rPr>
        <w:t>LGBTQ</w:t>
      </w:r>
      <w:r>
        <w:rPr>
          <w:spacing w:val="-3"/>
          <w:sz w:val="18"/>
        </w:rPr>
        <w:t xml:space="preserve"> </w:t>
      </w:r>
      <w:r>
        <w:rPr>
          <w:sz w:val="18"/>
        </w:rPr>
        <w:t>Student</w:t>
      </w:r>
      <w:r>
        <w:rPr>
          <w:spacing w:val="-3"/>
          <w:sz w:val="18"/>
        </w:rPr>
        <w:t xml:space="preserve"> </w:t>
      </w:r>
      <w:r>
        <w:rPr>
          <w:sz w:val="18"/>
        </w:rPr>
        <w:t>Bullying</w:t>
      </w:r>
      <w:r>
        <w:rPr>
          <w:spacing w:val="-3"/>
          <w:sz w:val="18"/>
        </w:rPr>
        <w:t xml:space="preserve"> </w:t>
      </w:r>
      <w:r>
        <w:rPr>
          <w:sz w:val="18"/>
        </w:rPr>
        <w:t>in</w:t>
      </w:r>
      <w:r>
        <w:rPr>
          <w:spacing w:val="-3"/>
          <w:sz w:val="18"/>
        </w:rPr>
        <w:t xml:space="preserve"> </w:t>
      </w:r>
      <w:r>
        <w:rPr>
          <w:sz w:val="18"/>
        </w:rPr>
        <w:t>Massachusetts</w:t>
      </w:r>
      <w:r>
        <w:rPr>
          <w:spacing w:val="-3"/>
          <w:sz w:val="18"/>
        </w:rPr>
        <w:t xml:space="preserve"> </w:t>
      </w:r>
      <w:r>
        <w:rPr>
          <w:sz w:val="18"/>
        </w:rPr>
        <w:t>Schools:</w:t>
      </w:r>
      <w:r>
        <w:rPr>
          <w:spacing w:val="-2"/>
          <w:sz w:val="18"/>
        </w:rPr>
        <w:t xml:space="preserve"> </w:t>
      </w:r>
      <w:r>
        <w:rPr>
          <w:sz w:val="18"/>
        </w:rPr>
        <w:t>Perspectives</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Students</w:t>
      </w:r>
      <w:r>
        <w:rPr>
          <w:spacing w:val="-3"/>
          <w:sz w:val="18"/>
        </w:rPr>
        <w:t xml:space="preserve"> </w:t>
      </w:r>
      <w:r>
        <w:rPr>
          <w:sz w:val="18"/>
        </w:rPr>
        <w:t xml:space="preserve">and School Health Professionals,” </w:t>
      </w:r>
      <w:r>
        <w:rPr>
          <w:i/>
          <w:sz w:val="18"/>
        </w:rPr>
        <w:t xml:space="preserve">Prevention Science </w:t>
      </w:r>
      <w:r>
        <w:rPr>
          <w:sz w:val="18"/>
        </w:rPr>
        <w:t>21, no. 3 (April 1, 2020): 408–21, https://doi.org/10.1007/s11121-019-</w:t>
      </w:r>
    </w:p>
    <w:p w:rsidR="00200FDA" w:rsidRDefault="00F76C4C">
      <w:pPr>
        <w:tabs>
          <w:tab w:val="left" w:pos="9195"/>
        </w:tabs>
        <w:spacing w:line="219" w:lineRule="exact"/>
        <w:ind w:left="111"/>
        <w:rPr>
          <w:sz w:val="18"/>
        </w:rPr>
      </w:pPr>
      <w:r>
        <w:rPr>
          <w:spacing w:val="-1"/>
          <w:sz w:val="18"/>
          <w:u w:val="single" w:color="D9D9D9"/>
        </w:rPr>
        <w:t xml:space="preserve"> </w:t>
      </w:r>
      <w:r>
        <w:rPr>
          <w:spacing w:val="-2"/>
          <w:sz w:val="18"/>
          <w:u w:val="single" w:color="D9D9D9"/>
        </w:rPr>
        <w:t>01084-</w:t>
      </w:r>
      <w:r>
        <w:rPr>
          <w:spacing w:val="-5"/>
          <w:sz w:val="18"/>
          <w:u w:val="single" w:color="D9D9D9"/>
        </w:rPr>
        <w:t>4.</w:t>
      </w:r>
      <w:r>
        <w:rPr>
          <w:sz w:val="18"/>
          <w:u w:val="single" w:color="D9D9D9"/>
        </w:rPr>
        <w:tab/>
      </w:r>
    </w:p>
    <w:p w:rsidR="00200FDA" w:rsidRDefault="00200FDA">
      <w:pPr>
        <w:spacing w:line="219" w:lineRule="exact"/>
        <w:rPr>
          <w:sz w:val="18"/>
        </w:rPr>
        <w:sectPr w:rsidR="00200FDA">
          <w:pgSz w:w="11910" w:h="16840"/>
          <w:pgMar w:top="1100" w:right="1040" w:bottom="1180" w:left="1300" w:header="761" w:footer="983" w:gutter="0"/>
          <w:cols w:space="720"/>
        </w:sectPr>
      </w:pPr>
    </w:p>
    <w:p w:rsidR="00200FDA" w:rsidRDefault="00200FDA">
      <w:pPr>
        <w:pStyle w:val="BodyText"/>
        <w:spacing w:before="12"/>
        <w:rPr>
          <w:sz w:val="27"/>
        </w:rPr>
      </w:pPr>
    </w:p>
    <w:p w:rsidR="00200FDA" w:rsidRDefault="00F76C4C">
      <w:pPr>
        <w:spacing w:before="69"/>
        <w:ind w:left="140" w:right="418" w:hanging="1"/>
        <w:rPr>
          <w:sz w:val="18"/>
        </w:rPr>
      </w:pPr>
      <w:r>
        <w:rPr>
          <w:position w:val="5"/>
          <w:sz w:val="12"/>
        </w:rPr>
        <w:t>85</w:t>
      </w:r>
      <w:r>
        <w:rPr>
          <w:spacing w:val="9"/>
          <w:position w:val="5"/>
          <w:sz w:val="12"/>
        </w:rPr>
        <w:t xml:space="preserve"> </w:t>
      </w:r>
      <w:r>
        <w:rPr>
          <w:sz w:val="18"/>
        </w:rPr>
        <w:t>“Safe</w:t>
      </w:r>
      <w:r>
        <w:rPr>
          <w:spacing w:val="-4"/>
          <w:sz w:val="18"/>
        </w:rPr>
        <w:t xml:space="preserve"> </w:t>
      </w:r>
      <w:r>
        <w:rPr>
          <w:sz w:val="18"/>
        </w:rPr>
        <w:t>Schools</w:t>
      </w:r>
      <w:r>
        <w:rPr>
          <w:spacing w:val="-4"/>
          <w:sz w:val="18"/>
        </w:rPr>
        <w:t xml:space="preserve"> </w:t>
      </w:r>
      <w:r>
        <w:rPr>
          <w:sz w:val="18"/>
        </w:rPr>
        <w:t>Program</w:t>
      </w:r>
      <w:r>
        <w:rPr>
          <w:spacing w:val="-3"/>
          <w:sz w:val="18"/>
        </w:rPr>
        <w:t xml:space="preserve"> </w:t>
      </w:r>
      <w:r>
        <w:rPr>
          <w:sz w:val="18"/>
        </w:rPr>
        <w:t>for</w:t>
      </w:r>
      <w:r>
        <w:rPr>
          <w:spacing w:val="-4"/>
          <w:sz w:val="18"/>
        </w:rPr>
        <w:t xml:space="preserve"> </w:t>
      </w:r>
      <w:r>
        <w:rPr>
          <w:sz w:val="18"/>
        </w:rPr>
        <w:t>LGBTQ</w:t>
      </w:r>
      <w:r>
        <w:rPr>
          <w:spacing w:val="-4"/>
          <w:sz w:val="18"/>
        </w:rPr>
        <w:t xml:space="preserve"> </w:t>
      </w:r>
      <w:r>
        <w:rPr>
          <w:sz w:val="18"/>
        </w:rPr>
        <w:t>Students,”</w:t>
      </w:r>
      <w:r>
        <w:rPr>
          <w:spacing w:val="-4"/>
          <w:sz w:val="18"/>
        </w:rPr>
        <w:t xml:space="preserve"> </w:t>
      </w:r>
      <w:r>
        <w:rPr>
          <w:sz w:val="18"/>
        </w:rPr>
        <w:t>Massachusetts</w:t>
      </w:r>
      <w:r>
        <w:rPr>
          <w:spacing w:val="-2"/>
          <w:sz w:val="18"/>
        </w:rPr>
        <w:t xml:space="preserve"> </w:t>
      </w:r>
      <w:r>
        <w:rPr>
          <w:sz w:val="18"/>
        </w:rPr>
        <w:t>Department</w:t>
      </w:r>
      <w:r>
        <w:rPr>
          <w:spacing w:val="-4"/>
          <w:sz w:val="18"/>
        </w:rPr>
        <w:t xml:space="preserve"> </w:t>
      </w:r>
      <w:r>
        <w:rPr>
          <w:sz w:val="18"/>
        </w:rPr>
        <w:t>of</w:t>
      </w:r>
      <w:r>
        <w:rPr>
          <w:spacing w:val="-3"/>
          <w:sz w:val="18"/>
        </w:rPr>
        <w:t xml:space="preserve"> </w:t>
      </w:r>
      <w:r>
        <w:rPr>
          <w:sz w:val="18"/>
        </w:rPr>
        <w:t>Elementary</w:t>
      </w:r>
      <w:r>
        <w:rPr>
          <w:spacing w:val="-3"/>
          <w:sz w:val="18"/>
        </w:rPr>
        <w:t xml:space="preserve"> </w:t>
      </w:r>
      <w:r>
        <w:rPr>
          <w:sz w:val="18"/>
        </w:rPr>
        <w:t>and</w:t>
      </w:r>
      <w:r>
        <w:rPr>
          <w:spacing w:val="-4"/>
          <w:sz w:val="18"/>
        </w:rPr>
        <w:t xml:space="preserve"> </w:t>
      </w:r>
      <w:r>
        <w:rPr>
          <w:sz w:val="18"/>
        </w:rPr>
        <w:t>Secondary</w:t>
      </w:r>
      <w:r>
        <w:rPr>
          <w:spacing w:val="-3"/>
          <w:sz w:val="18"/>
        </w:rPr>
        <w:t xml:space="preserve"> </w:t>
      </w:r>
      <w:r>
        <w:rPr>
          <w:sz w:val="18"/>
        </w:rPr>
        <w:t>Education, accessed January 7, 2023, https://</w:t>
      </w:r>
      <w:hyperlink r:id="rId201">
        <w:r>
          <w:rPr>
            <w:sz w:val="18"/>
          </w:rPr>
          <w:t>www.doe.mass.edu/sfs/lgbtq/.</w:t>
        </w:r>
      </w:hyperlink>
    </w:p>
    <w:p w:rsidR="00200FDA" w:rsidRDefault="00F76C4C">
      <w:pPr>
        <w:spacing w:line="219" w:lineRule="exact"/>
        <w:ind w:left="140"/>
        <w:rPr>
          <w:sz w:val="18"/>
        </w:rPr>
      </w:pPr>
      <w:r>
        <w:rPr>
          <w:position w:val="5"/>
          <w:sz w:val="12"/>
        </w:rPr>
        <w:t>86</w:t>
      </w:r>
      <w:r>
        <w:rPr>
          <w:spacing w:val="10"/>
          <w:position w:val="5"/>
          <w:sz w:val="12"/>
        </w:rPr>
        <w:t xml:space="preserve"> </w:t>
      </w:r>
      <w:r>
        <w:rPr>
          <w:sz w:val="18"/>
        </w:rPr>
        <w:t>Bradley</w:t>
      </w:r>
      <w:r>
        <w:rPr>
          <w:spacing w:val="-1"/>
          <w:sz w:val="18"/>
        </w:rPr>
        <w:t xml:space="preserve"> </w:t>
      </w:r>
      <w:r>
        <w:rPr>
          <w:sz w:val="18"/>
        </w:rPr>
        <w:t>et</w:t>
      </w:r>
      <w:r>
        <w:rPr>
          <w:spacing w:val="-2"/>
          <w:sz w:val="18"/>
        </w:rPr>
        <w:t xml:space="preserve"> </w:t>
      </w:r>
      <w:r>
        <w:rPr>
          <w:sz w:val="18"/>
        </w:rPr>
        <w:t>al.,</w:t>
      </w:r>
      <w:r>
        <w:rPr>
          <w:spacing w:val="-1"/>
          <w:sz w:val="18"/>
        </w:rPr>
        <w:t xml:space="preserve"> </w:t>
      </w:r>
      <w:r>
        <w:rPr>
          <w:sz w:val="18"/>
        </w:rPr>
        <w:t>“Step</w:t>
      </w:r>
      <w:r>
        <w:rPr>
          <w:spacing w:val="-2"/>
          <w:sz w:val="18"/>
        </w:rPr>
        <w:t xml:space="preserve"> </w:t>
      </w:r>
      <w:r>
        <w:rPr>
          <w:sz w:val="18"/>
        </w:rPr>
        <w:t>In,</w:t>
      </w:r>
      <w:r>
        <w:rPr>
          <w:spacing w:val="-2"/>
          <w:sz w:val="18"/>
        </w:rPr>
        <w:t xml:space="preserve"> </w:t>
      </w:r>
      <w:r>
        <w:rPr>
          <w:sz w:val="18"/>
        </w:rPr>
        <w:t>Speak</w:t>
      </w:r>
      <w:r>
        <w:rPr>
          <w:spacing w:val="-2"/>
          <w:sz w:val="18"/>
        </w:rPr>
        <w:t xml:space="preserve"> </w:t>
      </w:r>
      <w:r>
        <w:rPr>
          <w:sz w:val="18"/>
        </w:rPr>
        <w:t>Up!</w:t>
      </w:r>
      <w:r>
        <w:rPr>
          <w:spacing w:val="-2"/>
          <w:sz w:val="18"/>
        </w:rPr>
        <w:t xml:space="preserve"> </w:t>
      </w:r>
      <w:r>
        <w:rPr>
          <w:sz w:val="18"/>
        </w:rPr>
        <w:t>LGBTQ</w:t>
      </w:r>
      <w:r>
        <w:rPr>
          <w:spacing w:val="-2"/>
          <w:sz w:val="18"/>
        </w:rPr>
        <w:t xml:space="preserve"> </w:t>
      </w:r>
      <w:r>
        <w:rPr>
          <w:sz w:val="18"/>
        </w:rPr>
        <w:t>Youth</w:t>
      </w:r>
      <w:r>
        <w:rPr>
          <w:spacing w:val="-2"/>
          <w:sz w:val="18"/>
        </w:rPr>
        <w:t xml:space="preserve"> </w:t>
      </w:r>
      <w:r>
        <w:rPr>
          <w:sz w:val="18"/>
        </w:rPr>
        <w:t>Bullying</w:t>
      </w:r>
      <w:r>
        <w:rPr>
          <w:spacing w:val="-2"/>
          <w:sz w:val="18"/>
        </w:rPr>
        <w:t xml:space="preserve"> Prevention.”</w:t>
      </w:r>
    </w:p>
    <w:p w:rsidR="00200FDA" w:rsidRDefault="00F76C4C">
      <w:pPr>
        <w:spacing w:before="1"/>
        <w:ind w:left="140"/>
        <w:rPr>
          <w:sz w:val="18"/>
        </w:rPr>
      </w:pPr>
      <w:r>
        <w:rPr>
          <w:position w:val="5"/>
          <w:sz w:val="12"/>
        </w:rPr>
        <w:t>87</w:t>
      </w:r>
      <w:r>
        <w:rPr>
          <w:spacing w:val="8"/>
          <w:position w:val="5"/>
          <w:sz w:val="12"/>
        </w:rPr>
        <w:t xml:space="preserve"> </w:t>
      </w:r>
      <w:r>
        <w:rPr>
          <w:sz w:val="18"/>
        </w:rPr>
        <w:t>Reisner</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“Addressing</w:t>
      </w:r>
      <w:r>
        <w:rPr>
          <w:spacing w:val="-3"/>
          <w:sz w:val="18"/>
        </w:rPr>
        <w:t xml:space="preserve"> </w:t>
      </w:r>
      <w:r>
        <w:rPr>
          <w:sz w:val="18"/>
        </w:rPr>
        <w:t>LGBTQ</w:t>
      </w:r>
      <w:r>
        <w:rPr>
          <w:spacing w:val="-3"/>
          <w:sz w:val="18"/>
        </w:rPr>
        <w:t xml:space="preserve"> </w:t>
      </w:r>
      <w:r>
        <w:rPr>
          <w:sz w:val="18"/>
        </w:rPr>
        <w:t>Student</w:t>
      </w:r>
      <w:r>
        <w:rPr>
          <w:spacing w:val="-3"/>
          <w:sz w:val="18"/>
        </w:rPr>
        <w:t xml:space="preserve"> </w:t>
      </w:r>
      <w:r>
        <w:rPr>
          <w:sz w:val="18"/>
        </w:rPr>
        <w:t>Bullying</w:t>
      </w:r>
      <w:r>
        <w:rPr>
          <w:spacing w:val="-3"/>
          <w:sz w:val="18"/>
        </w:rPr>
        <w:t xml:space="preserve"> </w:t>
      </w:r>
      <w:r>
        <w:rPr>
          <w:sz w:val="18"/>
        </w:rPr>
        <w:t>in</w:t>
      </w:r>
      <w:r>
        <w:rPr>
          <w:spacing w:val="-3"/>
          <w:sz w:val="18"/>
        </w:rPr>
        <w:t xml:space="preserve"> </w:t>
      </w:r>
      <w:r>
        <w:rPr>
          <w:sz w:val="18"/>
        </w:rPr>
        <w:t>Massachusetts</w:t>
      </w:r>
      <w:r>
        <w:rPr>
          <w:spacing w:val="-2"/>
          <w:sz w:val="18"/>
        </w:rPr>
        <w:t xml:space="preserve"> Schools.”</w:t>
      </w:r>
    </w:p>
    <w:p w:rsidR="00200FDA" w:rsidRDefault="00F76C4C">
      <w:pPr>
        <w:spacing w:before="1" w:line="219" w:lineRule="exact"/>
        <w:ind w:left="140"/>
        <w:rPr>
          <w:sz w:val="18"/>
        </w:rPr>
      </w:pPr>
      <w:r>
        <w:rPr>
          <w:position w:val="5"/>
          <w:sz w:val="12"/>
        </w:rPr>
        <w:t>88</w:t>
      </w:r>
      <w:r>
        <w:rPr>
          <w:spacing w:val="9"/>
          <w:position w:val="5"/>
          <w:sz w:val="12"/>
        </w:rPr>
        <w:t xml:space="preserve"> </w:t>
      </w:r>
      <w:r>
        <w:rPr>
          <w:sz w:val="18"/>
        </w:rPr>
        <w:t>Reisner et</w:t>
      </w:r>
      <w:r>
        <w:rPr>
          <w:spacing w:val="-3"/>
          <w:sz w:val="18"/>
        </w:rPr>
        <w:t xml:space="preserve"> </w:t>
      </w:r>
      <w:r>
        <w:rPr>
          <w:spacing w:val="-5"/>
          <w:sz w:val="18"/>
        </w:rPr>
        <w:t>al.</w:t>
      </w:r>
    </w:p>
    <w:p w:rsidR="00200FDA" w:rsidRDefault="00F76C4C">
      <w:pPr>
        <w:ind w:left="140" w:right="418" w:hanging="1"/>
        <w:rPr>
          <w:sz w:val="18"/>
        </w:rPr>
      </w:pPr>
      <w:r>
        <w:rPr>
          <w:position w:val="5"/>
          <w:sz w:val="12"/>
        </w:rPr>
        <w:t>89</w:t>
      </w:r>
      <w:r>
        <w:rPr>
          <w:spacing w:val="9"/>
          <w:position w:val="5"/>
          <w:sz w:val="12"/>
        </w:rPr>
        <w:t xml:space="preserve"> </w:t>
      </w:r>
      <w:r>
        <w:rPr>
          <w:sz w:val="18"/>
        </w:rPr>
        <w:t>Tecelli</w:t>
      </w:r>
      <w:r>
        <w:rPr>
          <w:spacing w:val="-4"/>
          <w:sz w:val="18"/>
        </w:rPr>
        <w:t xml:space="preserve"> </w:t>
      </w:r>
      <w:r>
        <w:rPr>
          <w:sz w:val="18"/>
        </w:rPr>
        <w:t>Domínguez-Martínez</w:t>
      </w:r>
      <w:r>
        <w:rPr>
          <w:spacing w:val="-2"/>
          <w:sz w:val="18"/>
        </w:rPr>
        <w:t xml:space="preserve"> </w:t>
      </w:r>
      <w:r>
        <w:rPr>
          <w:sz w:val="18"/>
        </w:rPr>
        <w:t>and</w:t>
      </w:r>
      <w:r>
        <w:rPr>
          <w:spacing w:val="-2"/>
          <w:sz w:val="18"/>
        </w:rPr>
        <w:t xml:space="preserve"> </w:t>
      </w:r>
      <w:r>
        <w:rPr>
          <w:sz w:val="18"/>
        </w:rPr>
        <w:t>Rebeca</w:t>
      </w:r>
      <w:r>
        <w:rPr>
          <w:spacing w:val="-3"/>
          <w:sz w:val="18"/>
        </w:rPr>
        <w:t xml:space="preserve"> </w:t>
      </w:r>
      <w:r>
        <w:rPr>
          <w:sz w:val="18"/>
        </w:rPr>
        <w:t>Robles,</w:t>
      </w:r>
      <w:r>
        <w:rPr>
          <w:spacing w:val="-3"/>
          <w:sz w:val="18"/>
        </w:rPr>
        <w:t xml:space="preserve"> </w:t>
      </w:r>
      <w:r>
        <w:rPr>
          <w:sz w:val="18"/>
        </w:rPr>
        <w:t>“Preventing</w:t>
      </w:r>
      <w:r>
        <w:rPr>
          <w:spacing w:val="-4"/>
          <w:sz w:val="18"/>
        </w:rPr>
        <w:t xml:space="preserve"> </w:t>
      </w:r>
      <w:r>
        <w:rPr>
          <w:sz w:val="18"/>
        </w:rPr>
        <w:t>Transphobic</w:t>
      </w:r>
      <w:r>
        <w:rPr>
          <w:spacing w:val="-3"/>
          <w:sz w:val="18"/>
        </w:rPr>
        <w:t xml:space="preserve"> </w:t>
      </w:r>
      <w:r>
        <w:rPr>
          <w:sz w:val="18"/>
        </w:rPr>
        <w:t>Bullying</w:t>
      </w:r>
      <w:r>
        <w:rPr>
          <w:spacing w:val="-4"/>
          <w:sz w:val="18"/>
        </w:rPr>
        <w:t xml:space="preserve"> </w:t>
      </w:r>
      <w:r>
        <w:rPr>
          <w:sz w:val="18"/>
        </w:rPr>
        <w:t>and</w:t>
      </w:r>
      <w:r>
        <w:rPr>
          <w:spacing w:val="-4"/>
          <w:sz w:val="18"/>
        </w:rPr>
        <w:t xml:space="preserve"> </w:t>
      </w:r>
      <w:r>
        <w:rPr>
          <w:sz w:val="18"/>
        </w:rPr>
        <w:t>Promoting</w:t>
      </w:r>
      <w:r>
        <w:rPr>
          <w:spacing w:val="-4"/>
          <w:sz w:val="18"/>
        </w:rPr>
        <w:t xml:space="preserve"> </w:t>
      </w:r>
      <w:r>
        <w:rPr>
          <w:sz w:val="18"/>
        </w:rPr>
        <w:t>Inclusive</w:t>
      </w:r>
      <w:r>
        <w:rPr>
          <w:spacing w:val="-4"/>
          <w:sz w:val="18"/>
        </w:rPr>
        <w:t xml:space="preserve"> </w:t>
      </w:r>
      <w:r>
        <w:rPr>
          <w:sz w:val="18"/>
        </w:rPr>
        <w:t xml:space="preserve">Educational Environments: Literature Review and Implementing Recommendations,” </w:t>
      </w:r>
      <w:r>
        <w:rPr>
          <w:i/>
          <w:sz w:val="18"/>
        </w:rPr>
        <w:t>Archives of Medical Research</w:t>
      </w:r>
      <w:r>
        <w:rPr>
          <w:sz w:val="18"/>
        </w:rPr>
        <w:t>, Special Issue: Mental Health, 50, no. 8 (November 1, 2019): 543–55, https://doi.org/10.1016/j.arcmed.2019.10.009.</w:t>
      </w:r>
    </w:p>
    <w:p w:rsidR="00200FDA" w:rsidRDefault="00F76C4C">
      <w:pPr>
        <w:ind w:left="140" w:hanging="1"/>
        <w:rPr>
          <w:sz w:val="18"/>
        </w:rPr>
      </w:pPr>
      <w:r>
        <w:rPr>
          <w:position w:val="5"/>
          <w:sz w:val="12"/>
        </w:rPr>
        <w:t>90</w:t>
      </w:r>
      <w:r>
        <w:rPr>
          <w:spacing w:val="10"/>
          <w:position w:val="5"/>
          <w:sz w:val="12"/>
        </w:rPr>
        <w:t xml:space="preserve"> </w:t>
      </w:r>
      <w:r>
        <w:rPr>
          <w:sz w:val="18"/>
        </w:rPr>
        <w:t>V.</w:t>
      </w:r>
      <w:r>
        <w:rPr>
          <w:spacing w:val="-2"/>
          <w:sz w:val="18"/>
        </w:rPr>
        <w:t xml:space="preserve"> </w:t>
      </w:r>
      <w:r>
        <w:rPr>
          <w:sz w:val="18"/>
        </w:rPr>
        <w:t>Paul</w:t>
      </w:r>
      <w:r>
        <w:rPr>
          <w:spacing w:val="-3"/>
          <w:sz w:val="18"/>
        </w:rPr>
        <w:t xml:space="preserve"> </w:t>
      </w:r>
      <w:r>
        <w:rPr>
          <w:sz w:val="18"/>
        </w:rPr>
        <w:t>Po</w:t>
      </w:r>
      <w:r>
        <w:rPr>
          <w:sz w:val="18"/>
        </w:rPr>
        <w:t>teat</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“Greater</w:t>
      </w:r>
      <w:r>
        <w:rPr>
          <w:spacing w:val="-3"/>
          <w:sz w:val="18"/>
        </w:rPr>
        <w:t xml:space="preserve"> </w:t>
      </w:r>
      <w:r>
        <w:rPr>
          <w:sz w:val="18"/>
        </w:rPr>
        <w:t>Engagement</w:t>
      </w:r>
      <w:r>
        <w:rPr>
          <w:spacing w:val="-3"/>
          <w:sz w:val="18"/>
        </w:rPr>
        <w:t xml:space="preserve"> </w:t>
      </w:r>
      <w:r>
        <w:rPr>
          <w:sz w:val="18"/>
        </w:rPr>
        <w:t>in</w:t>
      </w:r>
      <w:r>
        <w:rPr>
          <w:spacing w:val="-3"/>
          <w:sz w:val="18"/>
        </w:rPr>
        <w:t xml:space="preserve"> </w:t>
      </w:r>
      <w:r>
        <w:rPr>
          <w:sz w:val="18"/>
        </w:rPr>
        <w:t>Gender-Sexuality Alliances</w:t>
      </w:r>
      <w:r>
        <w:rPr>
          <w:spacing w:val="-3"/>
          <w:sz w:val="18"/>
        </w:rPr>
        <w:t xml:space="preserve"> </w:t>
      </w:r>
      <w:r>
        <w:rPr>
          <w:sz w:val="18"/>
        </w:rPr>
        <w:t>(GSAs)</w:t>
      </w:r>
      <w:r>
        <w:rPr>
          <w:spacing w:val="-2"/>
          <w:sz w:val="18"/>
        </w:rPr>
        <w:t xml:space="preserve"> </w:t>
      </w:r>
      <w:r>
        <w:rPr>
          <w:sz w:val="18"/>
        </w:rPr>
        <w:t>and</w:t>
      </w:r>
      <w:r>
        <w:rPr>
          <w:spacing w:val="-3"/>
          <w:sz w:val="18"/>
        </w:rPr>
        <w:t xml:space="preserve"> </w:t>
      </w:r>
      <w:r>
        <w:rPr>
          <w:sz w:val="18"/>
        </w:rPr>
        <w:t>GSA</w:t>
      </w:r>
      <w:r>
        <w:rPr>
          <w:spacing w:val="-3"/>
          <w:sz w:val="18"/>
        </w:rPr>
        <w:t xml:space="preserve"> </w:t>
      </w:r>
      <w:r>
        <w:rPr>
          <w:sz w:val="18"/>
        </w:rPr>
        <w:t>Characteristics</w:t>
      </w:r>
      <w:r>
        <w:rPr>
          <w:spacing w:val="-3"/>
          <w:sz w:val="18"/>
        </w:rPr>
        <w:t xml:space="preserve"> </w:t>
      </w:r>
      <w:r>
        <w:rPr>
          <w:sz w:val="18"/>
        </w:rPr>
        <w:t>Predict</w:t>
      </w:r>
      <w:r>
        <w:rPr>
          <w:spacing w:val="-3"/>
          <w:sz w:val="18"/>
        </w:rPr>
        <w:t xml:space="preserve"> </w:t>
      </w:r>
      <w:r>
        <w:rPr>
          <w:sz w:val="18"/>
        </w:rPr>
        <w:t xml:space="preserve">Youth Empowerment and Reduced Mental Health Concerns,” </w:t>
      </w:r>
      <w:r>
        <w:rPr>
          <w:i/>
          <w:sz w:val="18"/>
        </w:rPr>
        <w:t xml:space="preserve">Child Development </w:t>
      </w:r>
      <w:r>
        <w:rPr>
          <w:sz w:val="18"/>
        </w:rPr>
        <w:t xml:space="preserve">91, no. 5 (2020): 1509–28, </w:t>
      </w:r>
      <w:r>
        <w:rPr>
          <w:spacing w:val="-2"/>
          <w:sz w:val="18"/>
        </w:rPr>
        <w:t>https://doi.org/10.1111/cdev.13345.</w:t>
      </w:r>
    </w:p>
    <w:p w:rsidR="00200FDA" w:rsidRDefault="00F76C4C">
      <w:pPr>
        <w:spacing w:line="218" w:lineRule="exact"/>
        <w:ind w:left="140"/>
        <w:rPr>
          <w:sz w:val="18"/>
        </w:rPr>
      </w:pPr>
      <w:r>
        <w:rPr>
          <w:position w:val="5"/>
          <w:sz w:val="12"/>
        </w:rPr>
        <w:t>91</w:t>
      </w:r>
      <w:r>
        <w:rPr>
          <w:spacing w:val="7"/>
          <w:position w:val="5"/>
          <w:sz w:val="12"/>
        </w:rPr>
        <w:t xml:space="preserve"> </w:t>
      </w:r>
      <w:r>
        <w:rPr>
          <w:sz w:val="18"/>
        </w:rPr>
        <w:t>Domínguez-Martí</w:t>
      </w:r>
      <w:r>
        <w:rPr>
          <w:sz w:val="18"/>
        </w:rPr>
        <w:t>nez</w:t>
      </w:r>
      <w:r>
        <w:rPr>
          <w:spacing w:val="-2"/>
          <w:sz w:val="18"/>
        </w:rPr>
        <w:t xml:space="preserve"> </w:t>
      </w:r>
      <w:r>
        <w:rPr>
          <w:sz w:val="18"/>
        </w:rPr>
        <w:t>and</w:t>
      </w:r>
      <w:r>
        <w:rPr>
          <w:spacing w:val="-3"/>
          <w:sz w:val="18"/>
        </w:rPr>
        <w:t xml:space="preserve"> </w:t>
      </w:r>
      <w:r>
        <w:rPr>
          <w:sz w:val="18"/>
        </w:rPr>
        <w:t>Robles,</w:t>
      </w:r>
      <w:r>
        <w:rPr>
          <w:spacing w:val="-3"/>
          <w:sz w:val="18"/>
        </w:rPr>
        <w:t xml:space="preserve"> </w:t>
      </w:r>
      <w:r>
        <w:rPr>
          <w:sz w:val="18"/>
        </w:rPr>
        <w:t>“Preventing</w:t>
      </w:r>
      <w:r>
        <w:rPr>
          <w:spacing w:val="-4"/>
          <w:sz w:val="18"/>
        </w:rPr>
        <w:t xml:space="preserve"> </w:t>
      </w:r>
      <w:r>
        <w:rPr>
          <w:sz w:val="18"/>
        </w:rPr>
        <w:t>Transphobic</w:t>
      </w:r>
      <w:r>
        <w:rPr>
          <w:spacing w:val="-2"/>
          <w:sz w:val="18"/>
        </w:rPr>
        <w:t xml:space="preserve"> </w:t>
      </w:r>
      <w:r>
        <w:rPr>
          <w:sz w:val="18"/>
        </w:rPr>
        <w:t>Bullying</w:t>
      </w:r>
      <w:r>
        <w:rPr>
          <w:spacing w:val="-4"/>
          <w:sz w:val="18"/>
        </w:rPr>
        <w:t xml:space="preserve"> </w:t>
      </w:r>
      <w:r>
        <w:rPr>
          <w:sz w:val="18"/>
        </w:rPr>
        <w:t>and</w:t>
      </w:r>
      <w:r>
        <w:rPr>
          <w:spacing w:val="-4"/>
          <w:sz w:val="18"/>
        </w:rPr>
        <w:t xml:space="preserve"> </w:t>
      </w:r>
      <w:r>
        <w:rPr>
          <w:sz w:val="18"/>
        </w:rPr>
        <w:t>Promoting</w:t>
      </w:r>
      <w:r>
        <w:rPr>
          <w:spacing w:val="-3"/>
          <w:sz w:val="18"/>
        </w:rPr>
        <w:t xml:space="preserve"> </w:t>
      </w:r>
      <w:r>
        <w:rPr>
          <w:sz w:val="18"/>
        </w:rPr>
        <w:t>Inclusive</w:t>
      </w:r>
      <w:r>
        <w:rPr>
          <w:spacing w:val="-4"/>
          <w:sz w:val="18"/>
        </w:rPr>
        <w:t xml:space="preserve"> </w:t>
      </w:r>
      <w:r>
        <w:rPr>
          <w:sz w:val="18"/>
        </w:rPr>
        <w:t>Educational</w:t>
      </w:r>
      <w:r>
        <w:rPr>
          <w:spacing w:val="-3"/>
          <w:sz w:val="18"/>
        </w:rPr>
        <w:t xml:space="preserve"> </w:t>
      </w:r>
      <w:r>
        <w:rPr>
          <w:spacing w:val="-2"/>
          <w:sz w:val="18"/>
        </w:rPr>
        <w:t>Environments.”</w:t>
      </w:r>
    </w:p>
    <w:p w:rsidR="00200FDA" w:rsidRDefault="00F76C4C">
      <w:pPr>
        <w:spacing w:before="1"/>
        <w:ind w:left="140" w:right="483" w:hanging="1"/>
        <w:rPr>
          <w:sz w:val="18"/>
        </w:rPr>
      </w:pPr>
      <w:r>
        <w:rPr>
          <w:position w:val="5"/>
          <w:sz w:val="12"/>
        </w:rPr>
        <w:t>92</w:t>
      </w:r>
      <w:r>
        <w:rPr>
          <w:spacing w:val="10"/>
          <w:position w:val="5"/>
          <w:sz w:val="12"/>
        </w:rPr>
        <w:t xml:space="preserve"> </w:t>
      </w:r>
      <w:r>
        <w:rPr>
          <w:sz w:val="18"/>
        </w:rPr>
        <w:t>Jessica</w:t>
      </w:r>
      <w:r>
        <w:rPr>
          <w:spacing w:val="-2"/>
          <w:sz w:val="18"/>
        </w:rPr>
        <w:t xml:space="preserve"> </w:t>
      </w:r>
      <w:r>
        <w:rPr>
          <w:sz w:val="18"/>
        </w:rPr>
        <w:t>N.</w:t>
      </w:r>
      <w:r>
        <w:rPr>
          <w:spacing w:val="-2"/>
          <w:sz w:val="18"/>
        </w:rPr>
        <w:t xml:space="preserve"> </w:t>
      </w:r>
      <w:r>
        <w:rPr>
          <w:sz w:val="18"/>
        </w:rPr>
        <w:t>Fish</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“‘I’m</w:t>
      </w:r>
      <w:r>
        <w:rPr>
          <w:spacing w:val="-2"/>
          <w:sz w:val="18"/>
        </w:rPr>
        <w:t xml:space="preserve"> </w:t>
      </w:r>
      <w:r>
        <w:rPr>
          <w:sz w:val="18"/>
        </w:rPr>
        <w:t>Kinda Stuck</w:t>
      </w:r>
      <w:r>
        <w:rPr>
          <w:spacing w:val="-3"/>
          <w:sz w:val="18"/>
        </w:rPr>
        <w:t xml:space="preserve"> </w:t>
      </w:r>
      <w:r>
        <w:rPr>
          <w:sz w:val="18"/>
        </w:rPr>
        <w:t>at</w:t>
      </w:r>
      <w:r>
        <w:rPr>
          <w:spacing w:val="-3"/>
          <w:sz w:val="18"/>
        </w:rPr>
        <w:t xml:space="preserve"> </w:t>
      </w:r>
      <w:r>
        <w:rPr>
          <w:sz w:val="18"/>
        </w:rPr>
        <w:t>Home</w:t>
      </w:r>
      <w:r>
        <w:rPr>
          <w:spacing w:val="-3"/>
          <w:sz w:val="18"/>
        </w:rPr>
        <w:t xml:space="preserve"> </w:t>
      </w:r>
      <w:r>
        <w:rPr>
          <w:sz w:val="18"/>
        </w:rPr>
        <w:t>With</w:t>
      </w:r>
      <w:r>
        <w:rPr>
          <w:spacing w:val="-3"/>
          <w:sz w:val="18"/>
        </w:rPr>
        <w:t xml:space="preserve"> </w:t>
      </w:r>
      <w:r>
        <w:rPr>
          <w:sz w:val="18"/>
        </w:rPr>
        <w:t>Unsupportive</w:t>
      </w:r>
      <w:r>
        <w:rPr>
          <w:spacing w:val="-3"/>
          <w:sz w:val="18"/>
        </w:rPr>
        <w:t xml:space="preserve"> </w:t>
      </w:r>
      <w:r>
        <w:rPr>
          <w:sz w:val="18"/>
        </w:rPr>
        <w:t>Parents</w:t>
      </w:r>
      <w:r>
        <w:rPr>
          <w:spacing w:val="-3"/>
          <w:sz w:val="18"/>
        </w:rPr>
        <w:t xml:space="preserve"> </w:t>
      </w:r>
      <w:r>
        <w:rPr>
          <w:sz w:val="18"/>
        </w:rPr>
        <w:t>Right</w:t>
      </w:r>
      <w:r>
        <w:rPr>
          <w:spacing w:val="-3"/>
          <w:sz w:val="18"/>
        </w:rPr>
        <w:t xml:space="preserve"> </w:t>
      </w:r>
      <w:r>
        <w:rPr>
          <w:sz w:val="18"/>
        </w:rPr>
        <w:t>Now’:</w:t>
      </w:r>
      <w:r>
        <w:rPr>
          <w:spacing w:val="-2"/>
          <w:sz w:val="18"/>
        </w:rPr>
        <w:t xml:space="preserve"> </w:t>
      </w:r>
      <w:r>
        <w:rPr>
          <w:sz w:val="18"/>
        </w:rPr>
        <w:t>LGBTQ</w:t>
      </w:r>
      <w:r>
        <w:rPr>
          <w:spacing w:val="-3"/>
          <w:sz w:val="18"/>
        </w:rPr>
        <w:t xml:space="preserve"> </w:t>
      </w:r>
      <w:r>
        <w:rPr>
          <w:sz w:val="18"/>
        </w:rPr>
        <w:t>Youths’</w:t>
      </w:r>
      <w:r>
        <w:rPr>
          <w:spacing w:val="-2"/>
          <w:sz w:val="18"/>
        </w:rPr>
        <w:t xml:space="preserve"> </w:t>
      </w:r>
      <w:r>
        <w:rPr>
          <w:sz w:val="18"/>
        </w:rPr>
        <w:t>Experiences</w:t>
      </w:r>
      <w:r>
        <w:rPr>
          <w:spacing w:val="-3"/>
          <w:sz w:val="18"/>
        </w:rPr>
        <w:t xml:space="preserve"> </w:t>
      </w:r>
      <w:r>
        <w:rPr>
          <w:sz w:val="18"/>
        </w:rPr>
        <w:t xml:space="preserve">With COVID-19 and the Importance of Online Support,” </w:t>
      </w:r>
      <w:r>
        <w:rPr>
          <w:i/>
          <w:sz w:val="18"/>
        </w:rPr>
        <w:t xml:space="preserve">Journal of Adolescent Health </w:t>
      </w:r>
      <w:r>
        <w:rPr>
          <w:sz w:val="18"/>
        </w:rPr>
        <w:t xml:space="preserve">67, no. 3 (September 1, 2020): 450–52, </w:t>
      </w:r>
      <w:r>
        <w:rPr>
          <w:spacing w:val="-2"/>
          <w:sz w:val="18"/>
        </w:rPr>
        <w:t>https://doi.org/10.1016/j.jadohealth.2020.06.002.</w:t>
      </w:r>
    </w:p>
    <w:p w:rsidR="00200FDA" w:rsidRDefault="00F76C4C">
      <w:pPr>
        <w:spacing w:before="1" w:line="219" w:lineRule="exact"/>
        <w:ind w:left="140"/>
        <w:rPr>
          <w:sz w:val="18"/>
        </w:rPr>
      </w:pPr>
      <w:r>
        <w:rPr>
          <w:position w:val="5"/>
          <w:sz w:val="12"/>
        </w:rPr>
        <w:t>93</w:t>
      </w:r>
      <w:r>
        <w:rPr>
          <w:spacing w:val="7"/>
          <w:position w:val="5"/>
          <w:sz w:val="12"/>
        </w:rPr>
        <w:t xml:space="preserve"> </w:t>
      </w:r>
      <w:r>
        <w:rPr>
          <w:sz w:val="18"/>
        </w:rPr>
        <w:t>Domínguez-Martínez</w:t>
      </w:r>
      <w:r>
        <w:rPr>
          <w:spacing w:val="-2"/>
          <w:sz w:val="18"/>
        </w:rPr>
        <w:t xml:space="preserve"> </w:t>
      </w:r>
      <w:r>
        <w:rPr>
          <w:sz w:val="18"/>
        </w:rPr>
        <w:t>and</w:t>
      </w:r>
      <w:r>
        <w:rPr>
          <w:spacing w:val="-3"/>
          <w:sz w:val="18"/>
        </w:rPr>
        <w:t xml:space="preserve"> </w:t>
      </w:r>
      <w:r>
        <w:rPr>
          <w:sz w:val="18"/>
        </w:rPr>
        <w:t>Robles,</w:t>
      </w:r>
      <w:r>
        <w:rPr>
          <w:spacing w:val="-3"/>
          <w:sz w:val="18"/>
        </w:rPr>
        <w:t xml:space="preserve"> </w:t>
      </w:r>
      <w:r>
        <w:rPr>
          <w:sz w:val="18"/>
        </w:rPr>
        <w:t>“Preventing</w:t>
      </w:r>
      <w:r>
        <w:rPr>
          <w:spacing w:val="-4"/>
          <w:sz w:val="18"/>
        </w:rPr>
        <w:t xml:space="preserve"> </w:t>
      </w:r>
      <w:r>
        <w:rPr>
          <w:sz w:val="18"/>
        </w:rPr>
        <w:t>Transphobic</w:t>
      </w:r>
      <w:r>
        <w:rPr>
          <w:spacing w:val="-2"/>
          <w:sz w:val="18"/>
        </w:rPr>
        <w:t xml:space="preserve"> </w:t>
      </w:r>
      <w:r>
        <w:rPr>
          <w:sz w:val="18"/>
        </w:rPr>
        <w:t>Bullying</w:t>
      </w:r>
      <w:r>
        <w:rPr>
          <w:spacing w:val="-4"/>
          <w:sz w:val="18"/>
        </w:rPr>
        <w:t xml:space="preserve"> </w:t>
      </w:r>
      <w:r>
        <w:rPr>
          <w:sz w:val="18"/>
        </w:rPr>
        <w:t>and</w:t>
      </w:r>
      <w:r>
        <w:rPr>
          <w:spacing w:val="-4"/>
          <w:sz w:val="18"/>
        </w:rPr>
        <w:t xml:space="preserve"> </w:t>
      </w:r>
      <w:r>
        <w:rPr>
          <w:sz w:val="18"/>
        </w:rPr>
        <w:t>Promoting</w:t>
      </w:r>
      <w:r>
        <w:rPr>
          <w:spacing w:val="-3"/>
          <w:sz w:val="18"/>
        </w:rPr>
        <w:t xml:space="preserve"> </w:t>
      </w:r>
      <w:r>
        <w:rPr>
          <w:sz w:val="18"/>
        </w:rPr>
        <w:t>Incl</w:t>
      </w:r>
      <w:r>
        <w:rPr>
          <w:sz w:val="18"/>
        </w:rPr>
        <w:t>usive</w:t>
      </w:r>
      <w:r>
        <w:rPr>
          <w:spacing w:val="-4"/>
          <w:sz w:val="18"/>
        </w:rPr>
        <w:t xml:space="preserve"> </w:t>
      </w:r>
      <w:r>
        <w:rPr>
          <w:sz w:val="18"/>
        </w:rPr>
        <w:t>Educational</w:t>
      </w:r>
      <w:r>
        <w:rPr>
          <w:spacing w:val="-3"/>
          <w:sz w:val="18"/>
        </w:rPr>
        <w:t xml:space="preserve"> </w:t>
      </w:r>
      <w:r>
        <w:rPr>
          <w:spacing w:val="-2"/>
          <w:sz w:val="18"/>
        </w:rPr>
        <w:t>Environments.”</w:t>
      </w:r>
    </w:p>
    <w:p w:rsidR="00200FDA" w:rsidRDefault="00F76C4C">
      <w:pPr>
        <w:ind w:left="140" w:hanging="1"/>
        <w:rPr>
          <w:sz w:val="18"/>
        </w:rPr>
      </w:pPr>
      <w:r>
        <w:rPr>
          <w:position w:val="5"/>
          <w:sz w:val="12"/>
        </w:rPr>
        <w:t>94</w:t>
      </w:r>
      <w:r>
        <w:rPr>
          <w:spacing w:val="10"/>
          <w:position w:val="5"/>
          <w:sz w:val="12"/>
        </w:rPr>
        <w:t xml:space="preserve"> </w:t>
      </w:r>
      <w:r>
        <w:rPr>
          <w:sz w:val="18"/>
        </w:rPr>
        <w:t>Kosciw,</w:t>
      </w:r>
      <w:r>
        <w:rPr>
          <w:spacing w:val="-2"/>
          <w:sz w:val="18"/>
        </w:rPr>
        <w:t xml:space="preserve"> </w:t>
      </w:r>
      <w:r>
        <w:rPr>
          <w:sz w:val="18"/>
        </w:rPr>
        <w:t>Clark,</w:t>
      </w:r>
      <w:r>
        <w:rPr>
          <w:spacing w:val="-2"/>
          <w:sz w:val="18"/>
        </w:rPr>
        <w:t xml:space="preserve"> </w:t>
      </w:r>
      <w:r>
        <w:rPr>
          <w:sz w:val="18"/>
        </w:rPr>
        <w:t>and</w:t>
      </w:r>
      <w:r>
        <w:rPr>
          <w:spacing w:val="-3"/>
          <w:sz w:val="18"/>
        </w:rPr>
        <w:t xml:space="preserve"> </w:t>
      </w:r>
      <w:r>
        <w:rPr>
          <w:sz w:val="18"/>
        </w:rPr>
        <w:t>Menard,</w:t>
      </w:r>
      <w:r>
        <w:rPr>
          <w:spacing w:val="-2"/>
          <w:sz w:val="18"/>
        </w:rPr>
        <w:t xml:space="preserve"> </w:t>
      </w:r>
      <w:r>
        <w:rPr>
          <w:sz w:val="18"/>
        </w:rPr>
        <w:t>“The</w:t>
      </w:r>
      <w:r>
        <w:rPr>
          <w:spacing w:val="-1"/>
          <w:sz w:val="18"/>
        </w:rPr>
        <w:t xml:space="preserve"> </w:t>
      </w:r>
      <w:r>
        <w:rPr>
          <w:sz w:val="18"/>
        </w:rPr>
        <w:t>2021</w:t>
      </w:r>
      <w:r>
        <w:rPr>
          <w:spacing w:val="-2"/>
          <w:sz w:val="18"/>
        </w:rPr>
        <w:t xml:space="preserve"> </w:t>
      </w:r>
      <w:r>
        <w:rPr>
          <w:sz w:val="18"/>
        </w:rPr>
        <w:t>National</w:t>
      </w:r>
      <w:r>
        <w:rPr>
          <w:spacing w:val="-3"/>
          <w:sz w:val="18"/>
        </w:rPr>
        <w:t xml:space="preserve"> </w:t>
      </w:r>
      <w:r>
        <w:rPr>
          <w:sz w:val="18"/>
        </w:rPr>
        <w:t>School</w:t>
      </w:r>
      <w:r>
        <w:rPr>
          <w:spacing w:val="-3"/>
          <w:sz w:val="18"/>
        </w:rPr>
        <w:t xml:space="preserve"> </w:t>
      </w:r>
      <w:r>
        <w:rPr>
          <w:sz w:val="18"/>
        </w:rPr>
        <w:t>Climate</w:t>
      </w:r>
      <w:r>
        <w:rPr>
          <w:spacing w:val="-1"/>
          <w:sz w:val="18"/>
        </w:rPr>
        <w:t xml:space="preserve"> </w:t>
      </w:r>
      <w:r>
        <w:rPr>
          <w:sz w:val="18"/>
        </w:rPr>
        <w:t>Survey:</w:t>
      </w:r>
      <w:r>
        <w:rPr>
          <w:spacing w:val="-2"/>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sz w:val="18"/>
        </w:rPr>
        <w:t>in</w:t>
      </w:r>
      <w:r>
        <w:rPr>
          <w:spacing w:val="-3"/>
          <w:sz w:val="18"/>
        </w:rPr>
        <w:t xml:space="preserve"> </w:t>
      </w:r>
      <w:r>
        <w:rPr>
          <w:sz w:val="18"/>
        </w:rPr>
        <w:t>Our</w:t>
      </w:r>
      <w:r>
        <w:rPr>
          <w:spacing w:val="-3"/>
          <w:sz w:val="18"/>
        </w:rPr>
        <w:t xml:space="preserve"> </w:t>
      </w:r>
      <w:r>
        <w:rPr>
          <w:sz w:val="18"/>
        </w:rPr>
        <w:t xml:space="preserve">Nation’s </w:t>
      </w:r>
      <w:r>
        <w:rPr>
          <w:spacing w:val="-2"/>
          <w:sz w:val="18"/>
        </w:rPr>
        <w:t>Schools.”</w:t>
      </w:r>
    </w:p>
    <w:p w:rsidR="00200FDA" w:rsidRDefault="00F76C4C">
      <w:pPr>
        <w:ind w:left="139" w:right="1321"/>
        <w:rPr>
          <w:sz w:val="18"/>
        </w:rPr>
      </w:pPr>
      <w:r>
        <w:rPr>
          <w:position w:val="5"/>
          <w:sz w:val="12"/>
        </w:rPr>
        <w:t>95</w:t>
      </w:r>
      <w:r>
        <w:rPr>
          <w:spacing w:val="9"/>
          <w:position w:val="5"/>
          <w:sz w:val="12"/>
        </w:rPr>
        <w:t xml:space="preserve"> </w:t>
      </w:r>
      <w:r>
        <w:rPr>
          <w:sz w:val="18"/>
        </w:rPr>
        <w:t>“Opioid-Related</w:t>
      </w:r>
      <w:r>
        <w:rPr>
          <w:spacing w:val="-4"/>
          <w:sz w:val="18"/>
        </w:rPr>
        <w:t xml:space="preserve"> </w:t>
      </w:r>
      <w:r>
        <w:rPr>
          <w:sz w:val="18"/>
        </w:rPr>
        <w:t>Overdose</w:t>
      </w:r>
      <w:r>
        <w:rPr>
          <w:spacing w:val="-4"/>
          <w:sz w:val="18"/>
        </w:rPr>
        <w:t xml:space="preserve"> </w:t>
      </w:r>
      <w:r>
        <w:rPr>
          <w:sz w:val="18"/>
        </w:rPr>
        <w:t>Deaths,</w:t>
      </w:r>
      <w:r>
        <w:rPr>
          <w:spacing w:val="-3"/>
          <w:sz w:val="18"/>
        </w:rPr>
        <w:t xml:space="preserve"> </w:t>
      </w:r>
      <w:r>
        <w:rPr>
          <w:sz w:val="18"/>
        </w:rPr>
        <w:t>All</w:t>
      </w:r>
      <w:r>
        <w:rPr>
          <w:spacing w:val="-4"/>
          <w:sz w:val="18"/>
        </w:rPr>
        <w:t xml:space="preserve"> </w:t>
      </w:r>
      <w:r>
        <w:rPr>
          <w:sz w:val="18"/>
        </w:rPr>
        <w:t>Intents,</w:t>
      </w:r>
      <w:r>
        <w:rPr>
          <w:spacing w:val="-3"/>
          <w:sz w:val="18"/>
        </w:rPr>
        <w:t xml:space="preserve"> </w:t>
      </w:r>
      <w:r>
        <w:rPr>
          <w:sz w:val="18"/>
        </w:rPr>
        <w:t>MA</w:t>
      </w:r>
      <w:r>
        <w:rPr>
          <w:spacing w:val="-4"/>
          <w:sz w:val="18"/>
        </w:rPr>
        <w:t xml:space="preserve"> </w:t>
      </w:r>
      <w:r>
        <w:rPr>
          <w:sz w:val="18"/>
        </w:rPr>
        <w:t>Residents</w:t>
      </w:r>
      <w:r>
        <w:rPr>
          <w:spacing w:val="-4"/>
          <w:sz w:val="18"/>
        </w:rPr>
        <w:t xml:space="preserve"> </w:t>
      </w:r>
      <w:r>
        <w:rPr>
          <w:sz w:val="18"/>
        </w:rPr>
        <w:t>–</w:t>
      </w:r>
      <w:r>
        <w:rPr>
          <w:spacing w:val="-4"/>
          <w:sz w:val="18"/>
        </w:rPr>
        <w:t xml:space="preserve"> </w:t>
      </w:r>
      <w:r>
        <w:rPr>
          <w:sz w:val="18"/>
        </w:rPr>
        <w:t>Demographic</w:t>
      </w:r>
      <w:r>
        <w:rPr>
          <w:spacing w:val="-3"/>
          <w:sz w:val="18"/>
        </w:rPr>
        <w:t xml:space="preserve"> </w:t>
      </w:r>
      <w:r>
        <w:rPr>
          <w:sz w:val="18"/>
        </w:rPr>
        <w:t>Data</w:t>
      </w:r>
      <w:r>
        <w:rPr>
          <w:spacing w:val="-3"/>
          <w:sz w:val="18"/>
        </w:rPr>
        <w:t xml:space="preserve"> </w:t>
      </w:r>
      <w:r>
        <w:rPr>
          <w:sz w:val="18"/>
        </w:rPr>
        <w:t>Highlights”</w:t>
      </w:r>
      <w:r>
        <w:rPr>
          <w:spacing w:val="-4"/>
          <w:sz w:val="18"/>
        </w:rPr>
        <w:t xml:space="preserve"> </w:t>
      </w:r>
      <w:r>
        <w:rPr>
          <w:sz w:val="18"/>
        </w:rPr>
        <w:t>(Massachusetts Department of Public Health, December 2022), https://</w:t>
      </w:r>
      <w:hyperlink r:id="rId202">
        <w:r>
          <w:rPr>
            <w:sz w:val="18"/>
          </w:rPr>
          <w:t>www.mass.gov/doc/opioid-related-overdose-deaths-</w:t>
        </w:r>
      </w:hyperlink>
      <w:r>
        <w:rPr>
          <w:sz w:val="18"/>
        </w:rPr>
        <w:t xml:space="preserve"> </w:t>
      </w:r>
      <w:r>
        <w:rPr>
          <w:spacing w:val="-2"/>
          <w:sz w:val="18"/>
        </w:rPr>
        <w:t>demographics-december-2022/download.</w:t>
      </w:r>
    </w:p>
    <w:p w:rsidR="00200FDA" w:rsidRDefault="00F76C4C">
      <w:pPr>
        <w:ind w:left="140"/>
        <w:rPr>
          <w:sz w:val="18"/>
        </w:rPr>
      </w:pPr>
      <w:r>
        <w:rPr>
          <w:position w:val="5"/>
          <w:sz w:val="12"/>
        </w:rPr>
        <w:t>96</w:t>
      </w:r>
      <w:r>
        <w:rPr>
          <w:spacing w:val="10"/>
          <w:position w:val="5"/>
          <w:sz w:val="12"/>
        </w:rPr>
        <w:t xml:space="preserve"> </w:t>
      </w:r>
      <w:r>
        <w:rPr>
          <w:sz w:val="18"/>
        </w:rPr>
        <w:t>Jeremy</w:t>
      </w:r>
      <w:r>
        <w:rPr>
          <w:spacing w:val="-2"/>
          <w:sz w:val="18"/>
        </w:rPr>
        <w:t xml:space="preserve"> </w:t>
      </w:r>
      <w:r>
        <w:rPr>
          <w:sz w:val="18"/>
        </w:rPr>
        <w:t>T.</w:t>
      </w:r>
      <w:r>
        <w:rPr>
          <w:spacing w:val="-1"/>
          <w:sz w:val="18"/>
        </w:rPr>
        <w:t xml:space="preserve"> </w:t>
      </w:r>
      <w:r>
        <w:rPr>
          <w:sz w:val="18"/>
        </w:rPr>
        <w:t>Goldbach</w:t>
      </w:r>
      <w:r>
        <w:rPr>
          <w:spacing w:val="-3"/>
          <w:sz w:val="18"/>
        </w:rPr>
        <w:t xml:space="preserve"> </w:t>
      </w:r>
      <w:r>
        <w:rPr>
          <w:sz w:val="18"/>
        </w:rPr>
        <w:t>et</w:t>
      </w:r>
      <w:r>
        <w:rPr>
          <w:spacing w:val="-3"/>
          <w:sz w:val="18"/>
        </w:rPr>
        <w:t xml:space="preserve"> </w:t>
      </w:r>
      <w:r>
        <w:rPr>
          <w:sz w:val="18"/>
        </w:rPr>
        <w:t>al</w:t>
      </w:r>
      <w:r>
        <w:rPr>
          <w:sz w:val="18"/>
        </w:rPr>
        <w:t>.,</w:t>
      </w:r>
      <w:r>
        <w:rPr>
          <w:spacing w:val="-1"/>
          <w:sz w:val="18"/>
        </w:rPr>
        <w:t xml:space="preserve"> </w:t>
      </w:r>
      <w:r>
        <w:rPr>
          <w:sz w:val="18"/>
        </w:rPr>
        <w:t>“Minority</w:t>
      </w:r>
      <w:r>
        <w:rPr>
          <w:spacing w:val="-2"/>
          <w:sz w:val="18"/>
        </w:rPr>
        <w:t xml:space="preserve"> </w:t>
      </w:r>
      <w:r>
        <w:rPr>
          <w:sz w:val="18"/>
        </w:rPr>
        <w:t>Stress</w:t>
      </w:r>
      <w:r>
        <w:rPr>
          <w:spacing w:val="-2"/>
          <w:sz w:val="18"/>
        </w:rPr>
        <w:t xml:space="preserve"> </w:t>
      </w:r>
      <w:r>
        <w:rPr>
          <w:sz w:val="18"/>
        </w:rPr>
        <w:t>and</w:t>
      </w:r>
      <w:r>
        <w:rPr>
          <w:spacing w:val="-3"/>
          <w:sz w:val="18"/>
        </w:rPr>
        <w:t xml:space="preserve"> </w:t>
      </w:r>
      <w:r>
        <w:rPr>
          <w:sz w:val="18"/>
        </w:rPr>
        <w:t>Substance</w:t>
      </w:r>
      <w:r>
        <w:rPr>
          <w:spacing w:val="-3"/>
          <w:sz w:val="18"/>
        </w:rPr>
        <w:t xml:space="preserve"> </w:t>
      </w:r>
      <w:r>
        <w:rPr>
          <w:sz w:val="18"/>
        </w:rPr>
        <w:t>Use</w:t>
      </w:r>
      <w:r>
        <w:rPr>
          <w:spacing w:val="-2"/>
          <w:sz w:val="18"/>
        </w:rPr>
        <w:t xml:space="preserve"> </w:t>
      </w:r>
      <w:r>
        <w:rPr>
          <w:sz w:val="18"/>
        </w:rPr>
        <w:t>in</w:t>
      </w:r>
      <w:r>
        <w:rPr>
          <w:spacing w:val="-1"/>
          <w:sz w:val="18"/>
        </w:rPr>
        <w:t xml:space="preserve"> </w:t>
      </w:r>
      <w:r>
        <w:rPr>
          <w:sz w:val="18"/>
        </w:rPr>
        <w:t>Sexual</w:t>
      </w:r>
      <w:r>
        <w:rPr>
          <w:spacing w:val="-3"/>
          <w:sz w:val="18"/>
        </w:rPr>
        <w:t xml:space="preserve"> </w:t>
      </w:r>
      <w:r>
        <w:rPr>
          <w:sz w:val="18"/>
        </w:rPr>
        <w:t>Minority</w:t>
      </w:r>
      <w:r>
        <w:rPr>
          <w:spacing w:val="-1"/>
          <w:sz w:val="18"/>
        </w:rPr>
        <w:t xml:space="preserve"> </w:t>
      </w:r>
      <w:r>
        <w:rPr>
          <w:sz w:val="18"/>
        </w:rPr>
        <w:t>Adolescents: A</w:t>
      </w:r>
      <w:r>
        <w:rPr>
          <w:spacing w:val="-2"/>
          <w:sz w:val="18"/>
        </w:rPr>
        <w:t xml:space="preserve"> </w:t>
      </w:r>
      <w:r>
        <w:rPr>
          <w:sz w:val="18"/>
        </w:rPr>
        <w:t>Meta-</w:t>
      </w:r>
      <w:r>
        <w:rPr>
          <w:spacing w:val="-2"/>
          <w:sz w:val="18"/>
        </w:rPr>
        <w:t>Analysis,”</w:t>
      </w:r>
    </w:p>
    <w:p w:rsidR="00200FDA" w:rsidRDefault="00F76C4C">
      <w:pPr>
        <w:spacing w:before="1" w:line="219" w:lineRule="exact"/>
        <w:ind w:left="140"/>
        <w:rPr>
          <w:sz w:val="18"/>
        </w:rPr>
      </w:pPr>
      <w:r>
        <w:rPr>
          <w:i/>
          <w:sz w:val="18"/>
        </w:rPr>
        <w:t>Prevention</w:t>
      </w:r>
      <w:r>
        <w:rPr>
          <w:i/>
          <w:spacing w:val="-4"/>
          <w:sz w:val="18"/>
        </w:rPr>
        <w:t xml:space="preserve"> </w:t>
      </w:r>
      <w:r>
        <w:rPr>
          <w:i/>
          <w:sz w:val="18"/>
        </w:rPr>
        <w:t>Science</w:t>
      </w:r>
      <w:r>
        <w:rPr>
          <w:i/>
          <w:spacing w:val="-2"/>
          <w:sz w:val="18"/>
        </w:rPr>
        <w:t xml:space="preserve"> </w:t>
      </w:r>
      <w:r>
        <w:rPr>
          <w:sz w:val="18"/>
        </w:rPr>
        <w:t>15,</w:t>
      </w:r>
      <w:r>
        <w:rPr>
          <w:spacing w:val="-3"/>
          <w:sz w:val="18"/>
        </w:rPr>
        <w:t xml:space="preserve"> </w:t>
      </w:r>
      <w:r>
        <w:rPr>
          <w:sz w:val="18"/>
        </w:rPr>
        <w:t>no.</w:t>
      </w:r>
      <w:r>
        <w:rPr>
          <w:spacing w:val="-2"/>
          <w:sz w:val="18"/>
        </w:rPr>
        <w:t xml:space="preserve"> </w:t>
      </w:r>
      <w:r>
        <w:rPr>
          <w:sz w:val="18"/>
        </w:rPr>
        <w:t>3</w:t>
      </w:r>
      <w:r>
        <w:rPr>
          <w:spacing w:val="-5"/>
          <w:sz w:val="18"/>
        </w:rPr>
        <w:t xml:space="preserve"> </w:t>
      </w:r>
      <w:r>
        <w:rPr>
          <w:sz w:val="18"/>
        </w:rPr>
        <w:t>(June</w:t>
      </w:r>
      <w:r>
        <w:rPr>
          <w:spacing w:val="-3"/>
          <w:sz w:val="18"/>
        </w:rPr>
        <w:t xml:space="preserve"> </w:t>
      </w:r>
      <w:r>
        <w:rPr>
          <w:sz w:val="18"/>
        </w:rPr>
        <w:t>1,</w:t>
      </w:r>
      <w:r>
        <w:rPr>
          <w:spacing w:val="-3"/>
          <w:sz w:val="18"/>
        </w:rPr>
        <w:t xml:space="preserve"> </w:t>
      </w:r>
      <w:r>
        <w:rPr>
          <w:sz w:val="18"/>
        </w:rPr>
        <w:t>2014):</w:t>
      </w:r>
      <w:r>
        <w:rPr>
          <w:spacing w:val="-2"/>
          <w:sz w:val="18"/>
        </w:rPr>
        <w:t xml:space="preserve"> </w:t>
      </w:r>
      <w:r>
        <w:rPr>
          <w:sz w:val="18"/>
        </w:rPr>
        <w:t>350–63,</w:t>
      </w:r>
      <w:r>
        <w:rPr>
          <w:spacing w:val="-2"/>
          <w:sz w:val="18"/>
        </w:rPr>
        <w:t xml:space="preserve"> </w:t>
      </w:r>
      <w:r>
        <w:rPr>
          <w:sz w:val="18"/>
        </w:rPr>
        <w:t>https://doi.org/10.1007/s11121-013-0393-</w:t>
      </w:r>
      <w:r>
        <w:rPr>
          <w:spacing w:val="-5"/>
          <w:sz w:val="18"/>
        </w:rPr>
        <w:t>7.</w:t>
      </w:r>
    </w:p>
    <w:p w:rsidR="00200FDA" w:rsidRDefault="00F76C4C">
      <w:pPr>
        <w:ind w:left="140" w:hanging="1"/>
        <w:rPr>
          <w:sz w:val="18"/>
        </w:rPr>
      </w:pPr>
      <w:r>
        <w:rPr>
          <w:position w:val="5"/>
          <w:sz w:val="12"/>
        </w:rPr>
        <w:t>97</w:t>
      </w:r>
      <w:r>
        <w:rPr>
          <w:spacing w:val="10"/>
          <w:position w:val="5"/>
          <w:sz w:val="12"/>
        </w:rPr>
        <w:t xml:space="preserve"> </w:t>
      </w:r>
      <w:r>
        <w:rPr>
          <w:sz w:val="18"/>
        </w:rPr>
        <w:t>Jack</w:t>
      </w:r>
      <w:r>
        <w:rPr>
          <w:spacing w:val="-3"/>
          <w:sz w:val="18"/>
        </w:rPr>
        <w:t xml:space="preserve"> </w:t>
      </w:r>
      <w:r>
        <w:rPr>
          <w:sz w:val="18"/>
        </w:rPr>
        <w:t>K.</w:t>
      </w:r>
      <w:r>
        <w:rPr>
          <w:spacing w:val="-2"/>
          <w:sz w:val="18"/>
        </w:rPr>
        <w:t xml:space="preserve"> </w:t>
      </w:r>
      <w:r>
        <w:rPr>
          <w:sz w:val="18"/>
        </w:rPr>
        <w:t>Day</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“Transgender</w:t>
      </w:r>
      <w:r>
        <w:rPr>
          <w:spacing w:val="-3"/>
          <w:sz w:val="18"/>
        </w:rPr>
        <w:t xml:space="preserve"> </w:t>
      </w:r>
      <w:r>
        <w:rPr>
          <w:sz w:val="18"/>
        </w:rPr>
        <w:t>Youth</w:t>
      </w:r>
      <w:r>
        <w:rPr>
          <w:spacing w:val="-3"/>
          <w:sz w:val="18"/>
        </w:rPr>
        <w:t xml:space="preserve"> </w:t>
      </w:r>
      <w:r>
        <w:rPr>
          <w:sz w:val="18"/>
        </w:rPr>
        <w:t>Substance</w:t>
      </w:r>
      <w:r>
        <w:rPr>
          <w:spacing w:val="-3"/>
          <w:sz w:val="18"/>
        </w:rPr>
        <w:t xml:space="preserve"> </w:t>
      </w:r>
      <w:r>
        <w:rPr>
          <w:sz w:val="18"/>
        </w:rPr>
        <w:t>Use</w:t>
      </w:r>
      <w:r>
        <w:rPr>
          <w:spacing w:val="-3"/>
          <w:sz w:val="18"/>
        </w:rPr>
        <w:t xml:space="preserve"> </w:t>
      </w:r>
      <w:r>
        <w:rPr>
          <w:sz w:val="18"/>
        </w:rPr>
        <w:t>Disparities:</w:t>
      </w:r>
      <w:r>
        <w:rPr>
          <w:spacing w:val="-3"/>
          <w:sz w:val="18"/>
        </w:rPr>
        <w:t xml:space="preserve"> </w:t>
      </w:r>
      <w:r>
        <w:rPr>
          <w:sz w:val="18"/>
        </w:rPr>
        <w:t>Results</w:t>
      </w:r>
      <w:r>
        <w:rPr>
          <w:spacing w:val="-3"/>
          <w:sz w:val="18"/>
        </w:rPr>
        <w:t xml:space="preserve"> </w:t>
      </w:r>
      <w:r>
        <w:rPr>
          <w:sz w:val="18"/>
        </w:rPr>
        <w:t>From</w:t>
      </w:r>
      <w:r>
        <w:rPr>
          <w:spacing w:val="-2"/>
          <w:sz w:val="18"/>
        </w:rPr>
        <w:t xml:space="preserve"> </w:t>
      </w:r>
      <w:r>
        <w:rPr>
          <w:sz w:val="18"/>
        </w:rPr>
        <w:t>a</w:t>
      </w:r>
      <w:r>
        <w:rPr>
          <w:spacing w:val="-2"/>
          <w:sz w:val="18"/>
        </w:rPr>
        <w:t xml:space="preserve"> </w:t>
      </w:r>
      <w:r>
        <w:rPr>
          <w:sz w:val="18"/>
        </w:rPr>
        <w:t>Population-Based</w:t>
      </w:r>
      <w:r>
        <w:rPr>
          <w:spacing w:val="-3"/>
          <w:sz w:val="18"/>
        </w:rPr>
        <w:t xml:space="preserve"> </w:t>
      </w:r>
      <w:r>
        <w:rPr>
          <w:sz w:val="18"/>
        </w:rPr>
        <w:t>Sample,”</w:t>
      </w:r>
      <w:r>
        <w:rPr>
          <w:spacing w:val="-3"/>
          <w:sz w:val="18"/>
        </w:rPr>
        <w:t xml:space="preserve"> </w:t>
      </w:r>
      <w:r>
        <w:rPr>
          <w:i/>
          <w:sz w:val="18"/>
        </w:rPr>
        <w:t>Journal</w:t>
      </w:r>
      <w:r>
        <w:rPr>
          <w:i/>
          <w:spacing w:val="-3"/>
          <w:sz w:val="18"/>
        </w:rPr>
        <w:t xml:space="preserve"> </w:t>
      </w:r>
      <w:r>
        <w:rPr>
          <w:i/>
          <w:sz w:val="18"/>
        </w:rPr>
        <w:t xml:space="preserve">of Adolescent Health </w:t>
      </w:r>
      <w:r>
        <w:rPr>
          <w:sz w:val="18"/>
        </w:rPr>
        <w:t>61, no. 6 (December 1, 2017): 729–35, https://doi.org/10.1016/j.jadohealth.2017.06.024.</w:t>
      </w:r>
    </w:p>
    <w:p w:rsidR="00200FDA" w:rsidRDefault="00F76C4C">
      <w:pPr>
        <w:ind w:left="140" w:right="442" w:hanging="1"/>
        <w:rPr>
          <w:sz w:val="18"/>
        </w:rPr>
      </w:pPr>
      <w:r>
        <w:rPr>
          <w:position w:val="5"/>
          <w:sz w:val="12"/>
        </w:rPr>
        <w:t>98</w:t>
      </w:r>
      <w:r>
        <w:rPr>
          <w:spacing w:val="20"/>
          <w:position w:val="5"/>
          <w:sz w:val="12"/>
        </w:rPr>
        <w:t xml:space="preserve"> </w:t>
      </w:r>
      <w:r>
        <w:rPr>
          <w:sz w:val="18"/>
        </w:rPr>
        <w:t xml:space="preserve">“Results of the Massachusetts Youth Health Survey 2021” (Boston, Massachusetts: Office of Data </w:t>
      </w:r>
      <w:r>
        <w:rPr>
          <w:sz w:val="18"/>
        </w:rPr>
        <w:t>Management and Outcomes</w:t>
      </w:r>
      <w:r>
        <w:rPr>
          <w:spacing w:val="-5"/>
          <w:sz w:val="18"/>
        </w:rPr>
        <w:t xml:space="preserve"> </w:t>
      </w:r>
      <w:r>
        <w:rPr>
          <w:sz w:val="18"/>
        </w:rPr>
        <w:t>Assessment,</w:t>
      </w:r>
      <w:r>
        <w:rPr>
          <w:spacing w:val="-4"/>
          <w:sz w:val="18"/>
        </w:rPr>
        <w:t xml:space="preserve"> </w:t>
      </w:r>
      <w:r>
        <w:rPr>
          <w:sz w:val="18"/>
        </w:rPr>
        <w:t>Massachusetts</w:t>
      </w:r>
      <w:r>
        <w:rPr>
          <w:spacing w:val="-5"/>
          <w:sz w:val="18"/>
        </w:rPr>
        <w:t xml:space="preserve"> </w:t>
      </w:r>
      <w:r>
        <w:rPr>
          <w:sz w:val="18"/>
        </w:rPr>
        <w:t>Department</w:t>
      </w:r>
      <w:r>
        <w:rPr>
          <w:spacing w:val="-5"/>
          <w:sz w:val="18"/>
        </w:rPr>
        <w:t xml:space="preserve"> </w:t>
      </w:r>
      <w:r>
        <w:rPr>
          <w:sz w:val="18"/>
        </w:rPr>
        <w:t>of</w:t>
      </w:r>
      <w:r>
        <w:rPr>
          <w:spacing w:val="-4"/>
          <w:sz w:val="18"/>
        </w:rPr>
        <w:t xml:space="preserve"> </w:t>
      </w:r>
      <w:r>
        <w:rPr>
          <w:sz w:val="18"/>
        </w:rPr>
        <w:t>Public</w:t>
      </w:r>
      <w:r>
        <w:rPr>
          <w:spacing w:val="-4"/>
          <w:sz w:val="18"/>
        </w:rPr>
        <w:t xml:space="preserve"> </w:t>
      </w:r>
      <w:r>
        <w:rPr>
          <w:sz w:val="18"/>
        </w:rPr>
        <w:t>Health,</w:t>
      </w:r>
      <w:r>
        <w:rPr>
          <w:spacing w:val="-4"/>
          <w:sz w:val="18"/>
        </w:rPr>
        <w:t xml:space="preserve"> </w:t>
      </w:r>
      <w:r>
        <w:rPr>
          <w:sz w:val="18"/>
        </w:rPr>
        <w:t>October</w:t>
      </w:r>
      <w:r>
        <w:rPr>
          <w:spacing w:val="-5"/>
          <w:sz w:val="18"/>
        </w:rPr>
        <w:t xml:space="preserve"> </w:t>
      </w:r>
      <w:r>
        <w:rPr>
          <w:sz w:val="18"/>
        </w:rPr>
        <w:t>6,</w:t>
      </w:r>
      <w:r>
        <w:rPr>
          <w:spacing w:val="-4"/>
          <w:sz w:val="18"/>
        </w:rPr>
        <w:t xml:space="preserve"> </w:t>
      </w:r>
      <w:r>
        <w:rPr>
          <w:sz w:val="18"/>
        </w:rPr>
        <w:t>2022),</w:t>
      </w:r>
      <w:r>
        <w:rPr>
          <w:spacing w:val="-4"/>
          <w:sz w:val="18"/>
        </w:rPr>
        <w:t xml:space="preserve"> </w:t>
      </w:r>
      <w:r>
        <w:rPr>
          <w:sz w:val="18"/>
        </w:rPr>
        <w:t>https://</w:t>
      </w:r>
      <w:hyperlink r:id="rId203">
        <w:r>
          <w:rPr>
            <w:sz w:val="18"/>
          </w:rPr>
          <w:t>www.mass.gov/doc/results-</w:t>
        </w:r>
      </w:hyperlink>
      <w:r>
        <w:rPr>
          <w:sz w:val="18"/>
        </w:rPr>
        <w:t xml:space="preserve"> </w:t>
      </w:r>
      <w:r>
        <w:rPr>
          <w:spacing w:val="-2"/>
          <w:sz w:val="18"/>
        </w:rPr>
        <w:t>of-the-massachusetts-youth-health-survey-2021/download.</w:t>
      </w:r>
    </w:p>
    <w:p w:rsidR="00200FDA" w:rsidRDefault="00F76C4C">
      <w:pPr>
        <w:spacing w:line="219" w:lineRule="exact"/>
        <w:ind w:left="140"/>
        <w:rPr>
          <w:sz w:val="18"/>
        </w:rPr>
      </w:pPr>
      <w:r>
        <w:rPr>
          <w:position w:val="5"/>
          <w:sz w:val="12"/>
        </w:rPr>
        <w:t>99</w:t>
      </w:r>
      <w:r>
        <w:rPr>
          <w:spacing w:val="9"/>
          <w:position w:val="5"/>
          <w:sz w:val="12"/>
        </w:rPr>
        <w:t xml:space="preserve"> </w:t>
      </w:r>
      <w:r>
        <w:rPr>
          <w:sz w:val="18"/>
        </w:rPr>
        <w:t>“Results</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Massachusetts</w:t>
      </w:r>
      <w:r>
        <w:rPr>
          <w:spacing w:val="-3"/>
          <w:sz w:val="18"/>
        </w:rPr>
        <w:t xml:space="preserve"> </w:t>
      </w:r>
      <w:r>
        <w:rPr>
          <w:sz w:val="18"/>
        </w:rPr>
        <w:t>Youth</w:t>
      </w:r>
      <w:r>
        <w:rPr>
          <w:spacing w:val="-3"/>
          <w:sz w:val="18"/>
        </w:rPr>
        <w:t xml:space="preserve"> </w:t>
      </w:r>
      <w:r>
        <w:rPr>
          <w:sz w:val="18"/>
        </w:rPr>
        <w:t>Health</w:t>
      </w:r>
      <w:r>
        <w:rPr>
          <w:spacing w:val="-1"/>
          <w:sz w:val="18"/>
        </w:rPr>
        <w:t xml:space="preserve"> </w:t>
      </w:r>
      <w:r>
        <w:rPr>
          <w:sz w:val="18"/>
        </w:rPr>
        <w:t>Survey</w:t>
      </w:r>
      <w:r>
        <w:rPr>
          <w:spacing w:val="-2"/>
          <w:sz w:val="18"/>
        </w:rPr>
        <w:t xml:space="preserve"> 2021.”</w:t>
      </w:r>
    </w:p>
    <w:p w:rsidR="00200FDA" w:rsidRDefault="00F76C4C">
      <w:pPr>
        <w:ind w:left="140" w:right="600" w:hanging="1"/>
        <w:jc w:val="both"/>
        <w:rPr>
          <w:sz w:val="18"/>
        </w:rPr>
      </w:pPr>
      <w:r>
        <w:rPr>
          <w:position w:val="5"/>
          <w:sz w:val="12"/>
        </w:rPr>
        <w:t>100</w:t>
      </w:r>
      <w:r>
        <w:rPr>
          <w:spacing w:val="10"/>
          <w:position w:val="5"/>
          <w:sz w:val="12"/>
        </w:rPr>
        <w:t xml:space="preserve"> </w:t>
      </w:r>
      <w:r>
        <w:rPr>
          <w:sz w:val="18"/>
        </w:rPr>
        <w:t>Kerith</w:t>
      </w:r>
      <w:r>
        <w:rPr>
          <w:spacing w:val="-3"/>
          <w:sz w:val="18"/>
        </w:rPr>
        <w:t xml:space="preserve"> </w:t>
      </w:r>
      <w:r>
        <w:rPr>
          <w:sz w:val="18"/>
        </w:rPr>
        <w:t>Conron</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“Our</w:t>
      </w:r>
      <w:r>
        <w:rPr>
          <w:spacing w:val="-3"/>
          <w:sz w:val="18"/>
        </w:rPr>
        <w:t xml:space="preserve"> </w:t>
      </w:r>
      <w:r>
        <w:rPr>
          <w:sz w:val="18"/>
        </w:rPr>
        <w:t>Health</w:t>
      </w:r>
      <w:r>
        <w:rPr>
          <w:spacing w:val="-1"/>
          <w:sz w:val="18"/>
        </w:rPr>
        <w:t xml:space="preserve"> </w:t>
      </w:r>
      <w:r>
        <w:rPr>
          <w:sz w:val="18"/>
        </w:rPr>
        <w:t>Matters:</w:t>
      </w:r>
      <w:r>
        <w:rPr>
          <w:spacing w:val="-2"/>
          <w:sz w:val="18"/>
        </w:rPr>
        <w:t xml:space="preserve"> </w:t>
      </w:r>
      <w:r>
        <w:rPr>
          <w:sz w:val="18"/>
        </w:rPr>
        <w:t>Mental</w:t>
      </w:r>
      <w:r>
        <w:rPr>
          <w:spacing w:val="-3"/>
          <w:sz w:val="18"/>
        </w:rPr>
        <w:t xml:space="preserve"> </w:t>
      </w:r>
      <w:r>
        <w:rPr>
          <w:sz w:val="18"/>
        </w:rPr>
        <w:t>Health,</w:t>
      </w:r>
      <w:r>
        <w:rPr>
          <w:spacing w:val="-2"/>
          <w:sz w:val="18"/>
        </w:rPr>
        <w:t xml:space="preserve"> </w:t>
      </w:r>
      <w:r>
        <w:rPr>
          <w:sz w:val="18"/>
        </w:rPr>
        <w:t>Risk,</w:t>
      </w:r>
      <w:r>
        <w:rPr>
          <w:spacing w:val="-2"/>
          <w:sz w:val="18"/>
        </w:rPr>
        <w:t xml:space="preserve"> </w:t>
      </w:r>
      <w:r>
        <w:rPr>
          <w:sz w:val="18"/>
        </w:rPr>
        <w:t>and</w:t>
      </w:r>
      <w:r>
        <w:rPr>
          <w:spacing w:val="-3"/>
          <w:sz w:val="18"/>
        </w:rPr>
        <w:t xml:space="preserve"> </w:t>
      </w:r>
      <w:r>
        <w:rPr>
          <w:sz w:val="18"/>
        </w:rPr>
        <w:t>Resilience</w:t>
      </w:r>
      <w:r>
        <w:rPr>
          <w:spacing w:val="-3"/>
          <w:sz w:val="18"/>
        </w:rPr>
        <w:t xml:space="preserve"> </w:t>
      </w:r>
      <w:r>
        <w:rPr>
          <w:sz w:val="18"/>
        </w:rPr>
        <w:t>among</w:t>
      </w:r>
      <w:r>
        <w:rPr>
          <w:spacing w:val="-3"/>
          <w:sz w:val="18"/>
        </w:rPr>
        <w:t xml:space="preserve"> </w:t>
      </w:r>
      <w:r>
        <w:rPr>
          <w:sz w:val="18"/>
        </w:rPr>
        <w:t>LGBTQ</w:t>
      </w:r>
      <w:r>
        <w:rPr>
          <w:spacing w:val="-4"/>
          <w:sz w:val="18"/>
        </w:rPr>
        <w:t xml:space="preserve"> </w:t>
      </w:r>
      <w:r>
        <w:rPr>
          <w:sz w:val="18"/>
        </w:rPr>
        <w:t>Youth</w:t>
      </w:r>
      <w:r>
        <w:rPr>
          <w:spacing w:val="-1"/>
          <w:sz w:val="18"/>
        </w:rPr>
        <w:t xml:space="preserve"> </w:t>
      </w:r>
      <w:r>
        <w:rPr>
          <w:sz w:val="18"/>
        </w:rPr>
        <w:t>of</w:t>
      </w:r>
      <w:r>
        <w:rPr>
          <w:spacing w:val="-2"/>
          <w:sz w:val="18"/>
        </w:rPr>
        <w:t xml:space="preserve"> </w:t>
      </w:r>
      <w:r>
        <w:rPr>
          <w:sz w:val="18"/>
        </w:rPr>
        <w:t>Color</w:t>
      </w:r>
      <w:r>
        <w:rPr>
          <w:spacing w:val="-3"/>
          <w:sz w:val="18"/>
        </w:rPr>
        <w:t xml:space="preserve"> </w:t>
      </w:r>
      <w:r>
        <w:rPr>
          <w:sz w:val="18"/>
        </w:rPr>
        <w:t>Who</w:t>
      </w:r>
      <w:r>
        <w:rPr>
          <w:spacing w:val="-1"/>
          <w:sz w:val="18"/>
        </w:rPr>
        <w:t xml:space="preserve"> </w:t>
      </w:r>
      <w:r>
        <w:rPr>
          <w:sz w:val="18"/>
        </w:rPr>
        <w:t>Live, Work,</w:t>
      </w:r>
      <w:r>
        <w:rPr>
          <w:spacing w:val="-1"/>
          <w:sz w:val="18"/>
        </w:rPr>
        <w:t xml:space="preserve"> </w:t>
      </w:r>
      <w:r>
        <w:rPr>
          <w:sz w:val="18"/>
        </w:rPr>
        <w:t>or</w:t>
      </w:r>
      <w:r>
        <w:rPr>
          <w:spacing w:val="-2"/>
          <w:sz w:val="18"/>
        </w:rPr>
        <w:t xml:space="preserve"> </w:t>
      </w:r>
      <w:r>
        <w:rPr>
          <w:sz w:val="18"/>
        </w:rPr>
        <w:t>Play</w:t>
      </w:r>
      <w:r>
        <w:rPr>
          <w:spacing w:val="-1"/>
          <w:sz w:val="18"/>
        </w:rPr>
        <w:t xml:space="preserve"> </w:t>
      </w:r>
      <w:r>
        <w:rPr>
          <w:sz w:val="18"/>
        </w:rPr>
        <w:t>in</w:t>
      </w:r>
      <w:r>
        <w:rPr>
          <w:spacing w:val="-2"/>
          <w:sz w:val="18"/>
        </w:rPr>
        <w:t xml:space="preserve"> </w:t>
      </w:r>
      <w:r>
        <w:rPr>
          <w:sz w:val="18"/>
        </w:rPr>
        <w:t>Boston”</w:t>
      </w:r>
      <w:r>
        <w:rPr>
          <w:spacing w:val="-2"/>
          <w:sz w:val="18"/>
        </w:rPr>
        <w:t xml:space="preserve"> </w:t>
      </w:r>
      <w:r>
        <w:rPr>
          <w:sz w:val="18"/>
        </w:rPr>
        <w:t>(Boston,</w:t>
      </w:r>
      <w:r>
        <w:rPr>
          <w:spacing w:val="-1"/>
          <w:sz w:val="18"/>
        </w:rPr>
        <w:t xml:space="preserve"> </w:t>
      </w:r>
      <w:r>
        <w:rPr>
          <w:sz w:val="18"/>
        </w:rPr>
        <w:t>Massachusetts:</w:t>
      </w:r>
      <w:r>
        <w:rPr>
          <w:spacing w:val="-1"/>
          <w:sz w:val="18"/>
        </w:rPr>
        <w:t xml:space="preserve"> </w:t>
      </w:r>
      <w:r>
        <w:rPr>
          <w:sz w:val="18"/>
        </w:rPr>
        <w:t>The</w:t>
      </w:r>
      <w:r>
        <w:rPr>
          <w:spacing w:val="-2"/>
          <w:sz w:val="18"/>
        </w:rPr>
        <w:t xml:space="preserve"> </w:t>
      </w:r>
      <w:r>
        <w:rPr>
          <w:sz w:val="18"/>
        </w:rPr>
        <w:t>Fenway</w:t>
      </w:r>
      <w:r>
        <w:rPr>
          <w:spacing w:val="-1"/>
          <w:sz w:val="18"/>
        </w:rPr>
        <w:t xml:space="preserve"> </w:t>
      </w:r>
      <w:r>
        <w:rPr>
          <w:sz w:val="18"/>
        </w:rPr>
        <w:t>Institute,</w:t>
      </w:r>
      <w:r>
        <w:rPr>
          <w:spacing w:val="-1"/>
          <w:sz w:val="18"/>
        </w:rPr>
        <w:t xml:space="preserve"> </w:t>
      </w:r>
      <w:r>
        <w:rPr>
          <w:sz w:val="18"/>
        </w:rPr>
        <w:t>November</w:t>
      </w:r>
      <w:r>
        <w:rPr>
          <w:spacing w:val="-2"/>
          <w:sz w:val="18"/>
        </w:rPr>
        <w:t xml:space="preserve"> </w:t>
      </w:r>
      <w:r>
        <w:rPr>
          <w:sz w:val="18"/>
        </w:rPr>
        <w:t>2015),</w:t>
      </w:r>
      <w:r>
        <w:rPr>
          <w:spacing w:val="-1"/>
          <w:sz w:val="18"/>
        </w:rPr>
        <w:t xml:space="preserve"> </w:t>
      </w:r>
      <w:r>
        <w:rPr>
          <w:sz w:val="18"/>
        </w:rPr>
        <w:t xml:space="preserve">https://fenwayhealth.org/wp- </w:t>
      </w:r>
      <w:r>
        <w:rPr>
          <w:spacing w:val="-2"/>
          <w:sz w:val="18"/>
        </w:rPr>
        <w:t>content/uploads/our-health-matters.pdf.</w:t>
      </w:r>
    </w:p>
    <w:p w:rsidR="00200FDA" w:rsidRDefault="00F76C4C">
      <w:pPr>
        <w:ind w:left="140"/>
        <w:jc w:val="both"/>
        <w:rPr>
          <w:sz w:val="18"/>
        </w:rPr>
      </w:pPr>
      <w:r>
        <w:rPr>
          <w:position w:val="5"/>
          <w:sz w:val="12"/>
        </w:rPr>
        <w:t>101</w:t>
      </w:r>
      <w:r>
        <w:rPr>
          <w:spacing w:val="11"/>
          <w:position w:val="5"/>
          <w:sz w:val="12"/>
        </w:rPr>
        <w:t xml:space="preserve"> </w:t>
      </w:r>
      <w:r>
        <w:rPr>
          <w:sz w:val="18"/>
        </w:rPr>
        <w:t>Conron</w:t>
      </w:r>
      <w:r>
        <w:rPr>
          <w:spacing w:val="-2"/>
          <w:sz w:val="18"/>
        </w:rPr>
        <w:t xml:space="preserve"> </w:t>
      </w:r>
      <w:r>
        <w:rPr>
          <w:sz w:val="18"/>
        </w:rPr>
        <w:t>et</w:t>
      </w:r>
      <w:r>
        <w:rPr>
          <w:spacing w:val="-2"/>
          <w:sz w:val="18"/>
        </w:rPr>
        <w:t xml:space="preserve"> </w:t>
      </w:r>
      <w:r>
        <w:rPr>
          <w:spacing w:val="-5"/>
          <w:sz w:val="18"/>
        </w:rPr>
        <w:t>al.</w:t>
      </w:r>
    </w:p>
    <w:p w:rsidR="00200FDA" w:rsidRDefault="00F76C4C">
      <w:pPr>
        <w:spacing w:before="1" w:line="219" w:lineRule="exact"/>
        <w:ind w:left="140"/>
        <w:rPr>
          <w:sz w:val="18"/>
        </w:rPr>
      </w:pPr>
      <w:r>
        <w:rPr>
          <w:position w:val="5"/>
          <w:sz w:val="12"/>
        </w:rPr>
        <w:t>102</w:t>
      </w:r>
      <w:r>
        <w:rPr>
          <w:spacing w:val="11"/>
          <w:position w:val="5"/>
          <w:sz w:val="12"/>
        </w:rPr>
        <w:t xml:space="preserve"> </w:t>
      </w:r>
      <w:r>
        <w:rPr>
          <w:sz w:val="18"/>
        </w:rPr>
        <w:t>Conron</w:t>
      </w:r>
      <w:r>
        <w:rPr>
          <w:spacing w:val="-2"/>
          <w:sz w:val="18"/>
        </w:rPr>
        <w:t xml:space="preserve"> </w:t>
      </w:r>
      <w:r>
        <w:rPr>
          <w:sz w:val="18"/>
        </w:rPr>
        <w:t>et</w:t>
      </w:r>
      <w:r>
        <w:rPr>
          <w:spacing w:val="-2"/>
          <w:sz w:val="18"/>
        </w:rPr>
        <w:t xml:space="preserve"> </w:t>
      </w:r>
      <w:r>
        <w:rPr>
          <w:spacing w:val="-5"/>
          <w:sz w:val="18"/>
        </w:rPr>
        <w:t>al.</w:t>
      </w:r>
    </w:p>
    <w:p w:rsidR="00200FDA" w:rsidRDefault="00F76C4C">
      <w:pPr>
        <w:spacing w:line="219" w:lineRule="exact"/>
        <w:ind w:left="140"/>
        <w:rPr>
          <w:sz w:val="18"/>
        </w:rPr>
      </w:pPr>
      <w:r>
        <w:rPr>
          <w:position w:val="5"/>
          <w:sz w:val="12"/>
        </w:rPr>
        <w:t>103</w:t>
      </w:r>
      <w:r>
        <w:rPr>
          <w:spacing w:val="10"/>
          <w:position w:val="5"/>
          <w:sz w:val="12"/>
        </w:rPr>
        <w:t xml:space="preserve"> </w:t>
      </w:r>
      <w:r>
        <w:rPr>
          <w:sz w:val="18"/>
        </w:rPr>
        <w:t>Conron</w:t>
      </w:r>
      <w:r>
        <w:rPr>
          <w:spacing w:val="-2"/>
          <w:sz w:val="18"/>
        </w:rPr>
        <w:t xml:space="preserve"> </w:t>
      </w:r>
      <w:r>
        <w:rPr>
          <w:sz w:val="18"/>
        </w:rPr>
        <w:t>et</w:t>
      </w:r>
      <w:r>
        <w:rPr>
          <w:spacing w:val="-2"/>
          <w:sz w:val="18"/>
        </w:rPr>
        <w:t xml:space="preserve"> </w:t>
      </w:r>
      <w:r>
        <w:rPr>
          <w:spacing w:val="-5"/>
          <w:sz w:val="18"/>
        </w:rPr>
        <w:t>al.</w:t>
      </w:r>
    </w:p>
    <w:p w:rsidR="00200FDA" w:rsidRDefault="00F76C4C">
      <w:pPr>
        <w:spacing w:before="1" w:line="219" w:lineRule="exact"/>
        <w:ind w:left="140"/>
        <w:rPr>
          <w:sz w:val="18"/>
        </w:rPr>
      </w:pPr>
      <w:r>
        <w:rPr>
          <w:position w:val="5"/>
          <w:sz w:val="12"/>
        </w:rPr>
        <w:t>104</w:t>
      </w:r>
      <w:r>
        <w:rPr>
          <w:spacing w:val="11"/>
          <w:position w:val="5"/>
          <w:sz w:val="12"/>
        </w:rPr>
        <w:t xml:space="preserve"> </w:t>
      </w:r>
      <w:r>
        <w:rPr>
          <w:sz w:val="18"/>
        </w:rPr>
        <w:t>Conron</w:t>
      </w:r>
      <w:r>
        <w:rPr>
          <w:spacing w:val="-2"/>
          <w:sz w:val="18"/>
        </w:rPr>
        <w:t xml:space="preserve"> </w:t>
      </w:r>
      <w:r>
        <w:rPr>
          <w:sz w:val="18"/>
        </w:rPr>
        <w:t>et</w:t>
      </w:r>
      <w:r>
        <w:rPr>
          <w:spacing w:val="-2"/>
          <w:sz w:val="18"/>
        </w:rPr>
        <w:t xml:space="preserve"> </w:t>
      </w:r>
      <w:r>
        <w:rPr>
          <w:spacing w:val="-5"/>
          <w:sz w:val="18"/>
        </w:rPr>
        <w:t>al.</w:t>
      </w:r>
    </w:p>
    <w:p w:rsidR="00200FDA" w:rsidRDefault="00F76C4C">
      <w:pPr>
        <w:spacing w:line="219" w:lineRule="exact"/>
        <w:ind w:left="140"/>
        <w:rPr>
          <w:sz w:val="18"/>
        </w:rPr>
      </w:pPr>
      <w:r>
        <w:rPr>
          <w:position w:val="5"/>
          <w:sz w:val="12"/>
        </w:rPr>
        <w:t>105</w:t>
      </w:r>
      <w:r>
        <w:rPr>
          <w:spacing w:val="11"/>
          <w:position w:val="5"/>
          <w:sz w:val="12"/>
        </w:rPr>
        <w:t xml:space="preserve"> </w:t>
      </w:r>
      <w:r>
        <w:rPr>
          <w:sz w:val="18"/>
        </w:rPr>
        <w:t>Conron</w:t>
      </w:r>
      <w:r>
        <w:rPr>
          <w:spacing w:val="-2"/>
          <w:sz w:val="18"/>
        </w:rPr>
        <w:t xml:space="preserve"> </w:t>
      </w:r>
      <w:r>
        <w:rPr>
          <w:sz w:val="18"/>
        </w:rPr>
        <w:t>et</w:t>
      </w:r>
      <w:r>
        <w:rPr>
          <w:spacing w:val="-2"/>
          <w:sz w:val="18"/>
        </w:rPr>
        <w:t xml:space="preserve"> </w:t>
      </w:r>
      <w:r>
        <w:rPr>
          <w:spacing w:val="-5"/>
          <w:sz w:val="18"/>
        </w:rPr>
        <w:t>al.</w:t>
      </w:r>
    </w:p>
    <w:p w:rsidR="00200FDA" w:rsidRDefault="00F76C4C">
      <w:pPr>
        <w:spacing w:before="1"/>
        <w:ind w:left="140" w:right="418" w:hanging="1"/>
        <w:rPr>
          <w:sz w:val="18"/>
        </w:rPr>
      </w:pPr>
      <w:r>
        <w:rPr>
          <w:position w:val="5"/>
          <w:sz w:val="12"/>
        </w:rPr>
        <w:t>106</w:t>
      </w:r>
      <w:r>
        <w:rPr>
          <w:spacing w:val="10"/>
          <w:position w:val="5"/>
          <w:sz w:val="12"/>
        </w:rPr>
        <w:t xml:space="preserve"> </w:t>
      </w:r>
      <w:r>
        <w:rPr>
          <w:sz w:val="18"/>
        </w:rPr>
        <w:t>Wakeman,</w:t>
      </w:r>
      <w:r>
        <w:rPr>
          <w:spacing w:val="-2"/>
          <w:sz w:val="18"/>
        </w:rPr>
        <w:t xml:space="preserve"> </w:t>
      </w:r>
      <w:r>
        <w:rPr>
          <w:sz w:val="18"/>
        </w:rPr>
        <w:t>Sarah</w:t>
      </w:r>
      <w:r>
        <w:rPr>
          <w:spacing w:val="-3"/>
          <w:sz w:val="18"/>
        </w:rPr>
        <w:t xml:space="preserve"> </w:t>
      </w:r>
      <w:r>
        <w:rPr>
          <w:sz w:val="18"/>
        </w:rPr>
        <w:t>E.,</w:t>
      </w:r>
      <w:r>
        <w:rPr>
          <w:spacing w:val="-2"/>
          <w:sz w:val="18"/>
        </w:rPr>
        <w:t xml:space="preserve"> </w:t>
      </w:r>
      <w:r>
        <w:rPr>
          <w:sz w:val="18"/>
        </w:rPr>
        <w:t>Eugene</w:t>
      </w:r>
      <w:r>
        <w:rPr>
          <w:spacing w:val="-3"/>
          <w:sz w:val="18"/>
        </w:rPr>
        <w:t xml:space="preserve"> </w:t>
      </w:r>
      <w:r>
        <w:rPr>
          <w:sz w:val="18"/>
        </w:rPr>
        <w:t>Lambert,</w:t>
      </w:r>
      <w:r>
        <w:rPr>
          <w:spacing w:val="-2"/>
          <w:sz w:val="18"/>
        </w:rPr>
        <w:t xml:space="preserve"> </w:t>
      </w:r>
      <w:r>
        <w:rPr>
          <w:sz w:val="18"/>
        </w:rPr>
        <w:t>Sunny</w:t>
      </w:r>
      <w:r>
        <w:rPr>
          <w:spacing w:val="-2"/>
          <w:sz w:val="18"/>
        </w:rPr>
        <w:t xml:space="preserve"> </w:t>
      </w:r>
      <w:r>
        <w:rPr>
          <w:sz w:val="18"/>
        </w:rPr>
        <w:t>Kung,</w:t>
      </w:r>
      <w:r>
        <w:rPr>
          <w:spacing w:val="-2"/>
          <w:sz w:val="18"/>
        </w:rPr>
        <w:t xml:space="preserve"> </w:t>
      </w:r>
      <w:r>
        <w:rPr>
          <w:sz w:val="18"/>
        </w:rPr>
        <w:t>Nicholas</w:t>
      </w:r>
      <w:r>
        <w:rPr>
          <w:spacing w:val="-3"/>
          <w:sz w:val="18"/>
        </w:rPr>
        <w:t xml:space="preserve"> </w:t>
      </w:r>
      <w:r>
        <w:rPr>
          <w:sz w:val="18"/>
        </w:rPr>
        <w:t>M.</w:t>
      </w:r>
      <w:r>
        <w:rPr>
          <w:spacing w:val="-2"/>
          <w:sz w:val="18"/>
        </w:rPr>
        <w:t xml:space="preserve"> </w:t>
      </w:r>
      <w:r>
        <w:rPr>
          <w:sz w:val="18"/>
        </w:rPr>
        <w:t>Brisbon,</w:t>
      </w:r>
      <w:r>
        <w:rPr>
          <w:spacing w:val="-2"/>
          <w:sz w:val="18"/>
        </w:rPr>
        <w:t xml:space="preserve"> </w:t>
      </w:r>
      <w:r>
        <w:rPr>
          <w:sz w:val="18"/>
        </w:rPr>
        <w:t>Aleta</w:t>
      </w:r>
      <w:r>
        <w:rPr>
          <w:spacing w:val="-2"/>
          <w:sz w:val="18"/>
        </w:rPr>
        <w:t xml:space="preserve"> </w:t>
      </w:r>
      <w:r>
        <w:rPr>
          <w:sz w:val="18"/>
        </w:rPr>
        <w:t>D.</w:t>
      </w:r>
      <w:r>
        <w:rPr>
          <w:spacing w:val="-2"/>
          <w:sz w:val="18"/>
        </w:rPr>
        <w:t xml:space="preserve"> </w:t>
      </w:r>
      <w:r>
        <w:rPr>
          <w:sz w:val="18"/>
        </w:rPr>
        <w:t>Carroll,</w:t>
      </w:r>
      <w:r>
        <w:rPr>
          <w:spacing w:val="-2"/>
          <w:sz w:val="18"/>
        </w:rPr>
        <w:t xml:space="preserve"> </w:t>
      </w:r>
      <w:r>
        <w:rPr>
          <w:sz w:val="18"/>
        </w:rPr>
        <w:t>Thu-Trang</w:t>
      </w:r>
      <w:r>
        <w:rPr>
          <w:spacing w:val="-1"/>
          <w:sz w:val="18"/>
        </w:rPr>
        <w:t xml:space="preserve"> </w:t>
      </w:r>
      <w:r>
        <w:rPr>
          <w:sz w:val="18"/>
        </w:rPr>
        <w:t>Hickman,</w:t>
      </w:r>
      <w:r>
        <w:rPr>
          <w:spacing w:val="-2"/>
          <w:sz w:val="18"/>
        </w:rPr>
        <w:t xml:space="preserve"> </w:t>
      </w:r>
      <w:r>
        <w:rPr>
          <w:sz w:val="18"/>
        </w:rPr>
        <w:t>Charles Covahey, Thomas D. Sequist, and Scott G. Weiner. "Trends in buprenorphine treatment disparities during the COVID pandemic in Massachusetts." Substance Abuse 43, no. 1 (2022): 1317-1321.</w:t>
      </w:r>
    </w:p>
    <w:p w:rsidR="00200FDA" w:rsidRDefault="00F76C4C">
      <w:pPr>
        <w:ind w:left="139" w:right="418"/>
        <w:rPr>
          <w:sz w:val="18"/>
        </w:rPr>
      </w:pPr>
      <w:r>
        <w:rPr>
          <w:position w:val="5"/>
          <w:sz w:val="12"/>
        </w:rPr>
        <w:t>107</w:t>
      </w:r>
      <w:r>
        <w:rPr>
          <w:spacing w:val="10"/>
          <w:position w:val="5"/>
          <w:sz w:val="12"/>
        </w:rPr>
        <w:t xml:space="preserve"> </w:t>
      </w:r>
      <w:r>
        <w:rPr>
          <w:sz w:val="18"/>
        </w:rPr>
        <w:t>Amy</w:t>
      </w:r>
      <w:r>
        <w:rPr>
          <w:spacing w:val="-2"/>
          <w:sz w:val="18"/>
        </w:rPr>
        <w:t xml:space="preserve"> </w:t>
      </w:r>
      <w:r>
        <w:rPr>
          <w:sz w:val="18"/>
        </w:rPr>
        <w:t>L.</w:t>
      </w:r>
      <w:r>
        <w:rPr>
          <w:spacing w:val="-2"/>
          <w:sz w:val="18"/>
        </w:rPr>
        <w:t xml:space="preserve"> </w:t>
      </w:r>
      <w:r>
        <w:rPr>
          <w:sz w:val="18"/>
        </w:rPr>
        <w:t>Gower</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“Supporting</w:t>
      </w:r>
      <w:r>
        <w:rPr>
          <w:spacing w:val="-1"/>
          <w:sz w:val="18"/>
        </w:rPr>
        <w:t xml:space="preserve"> </w:t>
      </w:r>
      <w:r>
        <w:rPr>
          <w:sz w:val="18"/>
        </w:rPr>
        <w:t>Transg</w:t>
      </w:r>
      <w:r>
        <w:rPr>
          <w:sz w:val="18"/>
        </w:rPr>
        <w:t>ender</w:t>
      </w:r>
      <w:r>
        <w:rPr>
          <w:spacing w:val="-3"/>
          <w:sz w:val="18"/>
        </w:rPr>
        <w:t xml:space="preserve"> </w:t>
      </w:r>
      <w:r>
        <w:rPr>
          <w:sz w:val="18"/>
        </w:rPr>
        <w:t>and</w:t>
      </w:r>
      <w:r>
        <w:rPr>
          <w:spacing w:val="-3"/>
          <w:sz w:val="18"/>
        </w:rPr>
        <w:t xml:space="preserve"> </w:t>
      </w:r>
      <w:r>
        <w:rPr>
          <w:sz w:val="18"/>
        </w:rPr>
        <w:t>Gender</w:t>
      </w:r>
      <w:r>
        <w:rPr>
          <w:spacing w:val="-3"/>
          <w:sz w:val="18"/>
        </w:rPr>
        <w:t xml:space="preserve"> </w:t>
      </w:r>
      <w:r>
        <w:rPr>
          <w:sz w:val="18"/>
        </w:rPr>
        <w:t>Diverse</w:t>
      </w:r>
      <w:r>
        <w:rPr>
          <w:spacing w:val="-1"/>
          <w:sz w:val="18"/>
        </w:rPr>
        <w:t xml:space="preserve"> </w:t>
      </w:r>
      <w:r>
        <w:rPr>
          <w:sz w:val="18"/>
        </w:rPr>
        <w:t>Youth:</w:t>
      </w:r>
      <w:r>
        <w:rPr>
          <w:spacing w:val="-3"/>
          <w:sz w:val="18"/>
        </w:rPr>
        <w:t xml:space="preserve"> </w:t>
      </w:r>
      <w:r>
        <w:rPr>
          <w:sz w:val="18"/>
        </w:rPr>
        <w:t>Protection</w:t>
      </w:r>
      <w:r>
        <w:rPr>
          <w:spacing w:val="-3"/>
          <w:sz w:val="18"/>
        </w:rPr>
        <w:t xml:space="preserve"> </w:t>
      </w:r>
      <w:r>
        <w:rPr>
          <w:sz w:val="18"/>
        </w:rPr>
        <w:t>Against</w:t>
      </w:r>
      <w:r>
        <w:rPr>
          <w:spacing w:val="-3"/>
          <w:sz w:val="18"/>
        </w:rPr>
        <w:t xml:space="preserve"> </w:t>
      </w:r>
      <w:r>
        <w:rPr>
          <w:sz w:val="18"/>
        </w:rPr>
        <w:t>Emotional</w:t>
      </w:r>
      <w:r>
        <w:rPr>
          <w:spacing w:val="-3"/>
          <w:sz w:val="18"/>
        </w:rPr>
        <w:t xml:space="preserve"> </w:t>
      </w:r>
      <w:r>
        <w:rPr>
          <w:sz w:val="18"/>
        </w:rPr>
        <w:t>Distress</w:t>
      </w:r>
      <w:r>
        <w:rPr>
          <w:spacing w:val="-3"/>
          <w:sz w:val="18"/>
        </w:rPr>
        <w:t xml:space="preserve"> </w:t>
      </w:r>
      <w:r>
        <w:rPr>
          <w:sz w:val="18"/>
        </w:rPr>
        <w:t xml:space="preserve">and Substance Use,” </w:t>
      </w:r>
      <w:r>
        <w:rPr>
          <w:i/>
          <w:sz w:val="18"/>
        </w:rPr>
        <w:t xml:space="preserve">American Journal of Preventive Medicine </w:t>
      </w:r>
      <w:r>
        <w:rPr>
          <w:sz w:val="18"/>
        </w:rPr>
        <w:t xml:space="preserve">55, no. 6 (December 1, 2018): 787–94, </w:t>
      </w:r>
      <w:r>
        <w:rPr>
          <w:spacing w:val="-2"/>
          <w:sz w:val="18"/>
        </w:rPr>
        <w:t>https://doi.org/10.1016/j.amepre.2018.06.030.</w:t>
      </w:r>
    </w:p>
    <w:p w:rsidR="00200FDA" w:rsidRDefault="00F76C4C">
      <w:pPr>
        <w:ind w:left="140"/>
        <w:rPr>
          <w:sz w:val="18"/>
        </w:rPr>
      </w:pPr>
      <w:r>
        <w:rPr>
          <w:position w:val="5"/>
          <w:sz w:val="12"/>
        </w:rPr>
        <w:t>108</w:t>
      </w:r>
      <w:r>
        <w:rPr>
          <w:spacing w:val="10"/>
          <w:position w:val="5"/>
          <w:sz w:val="12"/>
        </w:rPr>
        <w:t xml:space="preserve"> </w:t>
      </w:r>
      <w:r>
        <w:rPr>
          <w:sz w:val="18"/>
        </w:rPr>
        <w:t>Gower</w:t>
      </w:r>
      <w:r>
        <w:rPr>
          <w:spacing w:val="-2"/>
          <w:sz w:val="18"/>
        </w:rPr>
        <w:t xml:space="preserve"> </w:t>
      </w:r>
      <w:r>
        <w:rPr>
          <w:sz w:val="18"/>
        </w:rPr>
        <w:t>et</w:t>
      </w:r>
      <w:r>
        <w:rPr>
          <w:spacing w:val="-2"/>
          <w:sz w:val="18"/>
        </w:rPr>
        <w:t xml:space="preserve"> </w:t>
      </w:r>
      <w:r>
        <w:rPr>
          <w:spacing w:val="-5"/>
          <w:sz w:val="18"/>
        </w:rPr>
        <w:t>al.</w:t>
      </w:r>
    </w:p>
    <w:p w:rsidR="00200FDA" w:rsidRDefault="00F76C4C">
      <w:pPr>
        <w:spacing w:before="1" w:line="219" w:lineRule="exact"/>
        <w:ind w:left="140"/>
        <w:rPr>
          <w:sz w:val="18"/>
        </w:rPr>
      </w:pPr>
      <w:r>
        <w:rPr>
          <w:position w:val="5"/>
          <w:sz w:val="12"/>
        </w:rPr>
        <w:t>109</w:t>
      </w:r>
      <w:r>
        <w:rPr>
          <w:spacing w:val="10"/>
          <w:position w:val="5"/>
          <w:sz w:val="12"/>
        </w:rPr>
        <w:t xml:space="preserve"> </w:t>
      </w:r>
      <w:r>
        <w:rPr>
          <w:sz w:val="18"/>
        </w:rPr>
        <w:t>Gower</w:t>
      </w:r>
      <w:r>
        <w:rPr>
          <w:spacing w:val="-2"/>
          <w:sz w:val="18"/>
        </w:rPr>
        <w:t xml:space="preserve"> </w:t>
      </w:r>
      <w:r>
        <w:rPr>
          <w:sz w:val="18"/>
        </w:rPr>
        <w:t>et</w:t>
      </w:r>
      <w:r>
        <w:rPr>
          <w:spacing w:val="-2"/>
          <w:sz w:val="18"/>
        </w:rPr>
        <w:t xml:space="preserve"> </w:t>
      </w:r>
      <w:r>
        <w:rPr>
          <w:spacing w:val="-5"/>
          <w:sz w:val="18"/>
        </w:rPr>
        <w:t>al.</w:t>
      </w:r>
    </w:p>
    <w:p w:rsidR="00200FDA" w:rsidRDefault="00F76C4C">
      <w:pPr>
        <w:ind w:left="140" w:right="418"/>
        <w:rPr>
          <w:sz w:val="18"/>
        </w:rPr>
      </w:pPr>
      <w:r>
        <w:rPr>
          <w:position w:val="5"/>
          <w:sz w:val="12"/>
        </w:rPr>
        <w:t>110</w:t>
      </w:r>
      <w:r>
        <w:rPr>
          <w:spacing w:val="10"/>
          <w:position w:val="5"/>
          <w:sz w:val="12"/>
        </w:rPr>
        <w:t xml:space="preserve"> </w:t>
      </w:r>
      <w:r>
        <w:rPr>
          <w:sz w:val="18"/>
        </w:rPr>
        <w:t>Marl</w:t>
      </w:r>
      <w:r>
        <w:rPr>
          <w:sz w:val="18"/>
        </w:rPr>
        <w:t>a</w:t>
      </w:r>
      <w:r>
        <w:rPr>
          <w:spacing w:val="-2"/>
          <w:sz w:val="18"/>
        </w:rPr>
        <w:t xml:space="preserve"> </w:t>
      </w:r>
      <w:r>
        <w:rPr>
          <w:sz w:val="18"/>
        </w:rPr>
        <w:t>E.</w:t>
      </w:r>
      <w:r>
        <w:rPr>
          <w:spacing w:val="-2"/>
          <w:sz w:val="18"/>
        </w:rPr>
        <w:t xml:space="preserve"> </w:t>
      </w:r>
      <w:r>
        <w:rPr>
          <w:sz w:val="18"/>
        </w:rPr>
        <w:t>Eisenberg</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“Supportive</w:t>
      </w:r>
      <w:r>
        <w:rPr>
          <w:spacing w:val="-3"/>
          <w:sz w:val="18"/>
        </w:rPr>
        <w:t xml:space="preserve"> </w:t>
      </w:r>
      <w:r>
        <w:rPr>
          <w:sz w:val="18"/>
        </w:rPr>
        <w:t>Community</w:t>
      </w:r>
      <w:r>
        <w:rPr>
          <w:spacing w:val="-2"/>
          <w:sz w:val="18"/>
        </w:rPr>
        <w:t xml:space="preserve"> </w:t>
      </w:r>
      <w:r>
        <w:rPr>
          <w:sz w:val="18"/>
        </w:rPr>
        <w:t>Resources</w:t>
      </w:r>
      <w:r>
        <w:rPr>
          <w:spacing w:val="-3"/>
          <w:sz w:val="18"/>
        </w:rPr>
        <w:t xml:space="preserve"> </w:t>
      </w:r>
      <w:r>
        <w:rPr>
          <w:sz w:val="18"/>
        </w:rPr>
        <w:t>Are</w:t>
      </w:r>
      <w:r>
        <w:rPr>
          <w:spacing w:val="-3"/>
          <w:sz w:val="18"/>
        </w:rPr>
        <w:t xml:space="preserve"> </w:t>
      </w:r>
      <w:r>
        <w:rPr>
          <w:sz w:val="18"/>
        </w:rPr>
        <w:t>Associated</w:t>
      </w:r>
      <w:r>
        <w:rPr>
          <w:spacing w:val="-3"/>
          <w:sz w:val="18"/>
        </w:rPr>
        <w:t xml:space="preserve"> </w:t>
      </w:r>
      <w:r>
        <w:rPr>
          <w:sz w:val="18"/>
        </w:rPr>
        <w:t>with</w:t>
      </w:r>
      <w:r>
        <w:rPr>
          <w:spacing w:val="-3"/>
          <w:sz w:val="18"/>
        </w:rPr>
        <w:t xml:space="preserve"> </w:t>
      </w:r>
      <w:r>
        <w:rPr>
          <w:sz w:val="18"/>
        </w:rPr>
        <w:t>Lower</w:t>
      </w:r>
      <w:r>
        <w:rPr>
          <w:spacing w:val="-3"/>
          <w:sz w:val="18"/>
        </w:rPr>
        <w:t xml:space="preserve"> </w:t>
      </w:r>
      <w:r>
        <w:rPr>
          <w:sz w:val="18"/>
        </w:rPr>
        <w:t>Risk</w:t>
      </w:r>
      <w:r>
        <w:rPr>
          <w:spacing w:val="-3"/>
          <w:sz w:val="18"/>
        </w:rPr>
        <w:t xml:space="preserve"> </w:t>
      </w:r>
      <w:r>
        <w:rPr>
          <w:sz w:val="18"/>
        </w:rPr>
        <w:t>of</w:t>
      </w:r>
      <w:r>
        <w:rPr>
          <w:spacing w:val="-2"/>
          <w:sz w:val="18"/>
        </w:rPr>
        <w:t xml:space="preserve"> </w:t>
      </w:r>
      <w:r>
        <w:rPr>
          <w:sz w:val="18"/>
        </w:rPr>
        <w:t>Substance</w:t>
      </w:r>
      <w:r>
        <w:rPr>
          <w:spacing w:val="-3"/>
          <w:sz w:val="18"/>
        </w:rPr>
        <w:t xml:space="preserve"> </w:t>
      </w:r>
      <w:r>
        <w:rPr>
          <w:sz w:val="18"/>
        </w:rPr>
        <w:t>Use</w:t>
      </w:r>
      <w:r>
        <w:rPr>
          <w:spacing w:val="-3"/>
          <w:sz w:val="18"/>
        </w:rPr>
        <w:t xml:space="preserve"> </w:t>
      </w:r>
      <w:r>
        <w:rPr>
          <w:sz w:val="18"/>
        </w:rPr>
        <w:t xml:space="preserve">among Lesbian, Gay, Bisexual, and Questioning Adolescents in Minnesota,” </w:t>
      </w:r>
      <w:r>
        <w:rPr>
          <w:i/>
          <w:sz w:val="18"/>
        </w:rPr>
        <w:t>Journal of Youth</w:t>
      </w:r>
      <w:r>
        <w:rPr>
          <w:i/>
          <w:spacing w:val="-1"/>
          <w:sz w:val="18"/>
        </w:rPr>
        <w:t xml:space="preserve"> </w:t>
      </w:r>
      <w:r>
        <w:rPr>
          <w:i/>
          <w:sz w:val="18"/>
        </w:rPr>
        <w:t xml:space="preserve">and Adolescence </w:t>
      </w:r>
      <w:r>
        <w:rPr>
          <w:sz w:val="18"/>
        </w:rPr>
        <w:t>49, no. 4 (April 1, 2020): 836–48, https://doi.org/10.1007/s10964-019-01100-4.</w:t>
      </w:r>
    </w:p>
    <w:p w:rsidR="00200FDA" w:rsidRDefault="00F76C4C">
      <w:pPr>
        <w:spacing w:line="219" w:lineRule="exact"/>
        <w:ind w:left="140"/>
        <w:rPr>
          <w:sz w:val="18"/>
        </w:rPr>
      </w:pPr>
      <w:r>
        <w:rPr>
          <w:position w:val="5"/>
          <w:sz w:val="12"/>
        </w:rPr>
        <w:t>111</w:t>
      </w:r>
      <w:r>
        <w:rPr>
          <w:spacing w:val="9"/>
          <w:position w:val="5"/>
          <w:sz w:val="12"/>
        </w:rPr>
        <w:t xml:space="preserve"> </w:t>
      </w:r>
      <w:r>
        <w:rPr>
          <w:sz w:val="18"/>
        </w:rPr>
        <w:t>Eisenberg</w:t>
      </w:r>
      <w:r>
        <w:rPr>
          <w:spacing w:val="-4"/>
          <w:sz w:val="18"/>
        </w:rPr>
        <w:t xml:space="preserve"> </w:t>
      </w:r>
      <w:r>
        <w:rPr>
          <w:sz w:val="18"/>
        </w:rPr>
        <w:t>et</w:t>
      </w:r>
      <w:r>
        <w:rPr>
          <w:spacing w:val="-3"/>
          <w:sz w:val="18"/>
        </w:rPr>
        <w:t xml:space="preserve"> </w:t>
      </w:r>
      <w:r>
        <w:rPr>
          <w:spacing w:val="-5"/>
          <w:sz w:val="18"/>
        </w:rPr>
        <w:t>al.</w:t>
      </w:r>
    </w:p>
    <w:p w:rsidR="00200FDA" w:rsidRDefault="00F76C4C">
      <w:pPr>
        <w:ind w:left="140" w:right="165"/>
        <w:rPr>
          <w:sz w:val="18"/>
        </w:rPr>
      </w:pPr>
      <w:r>
        <w:rPr>
          <w:position w:val="5"/>
          <w:sz w:val="12"/>
        </w:rPr>
        <w:t>112</w:t>
      </w:r>
      <w:r>
        <w:rPr>
          <w:spacing w:val="11"/>
          <w:position w:val="5"/>
          <w:sz w:val="12"/>
        </w:rPr>
        <w:t xml:space="preserve"> </w:t>
      </w:r>
      <w:r>
        <w:rPr>
          <w:sz w:val="18"/>
        </w:rPr>
        <w:t>Conron</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“Our</w:t>
      </w:r>
      <w:r>
        <w:rPr>
          <w:spacing w:val="-2"/>
          <w:sz w:val="18"/>
        </w:rPr>
        <w:t xml:space="preserve"> </w:t>
      </w:r>
      <w:r>
        <w:rPr>
          <w:sz w:val="18"/>
        </w:rPr>
        <w:t>Health</w:t>
      </w:r>
      <w:r>
        <w:rPr>
          <w:spacing w:val="-1"/>
          <w:sz w:val="18"/>
        </w:rPr>
        <w:t xml:space="preserve"> </w:t>
      </w:r>
      <w:r>
        <w:rPr>
          <w:sz w:val="18"/>
        </w:rPr>
        <w:t>Matters:</w:t>
      </w:r>
      <w:r>
        <w:rPr>
          <w:spacing w:val="-2"/>
          <w:sz w:val="18"/>
        </w:rPr>
        <w:t xml:space="preserve"> </w:t>
      </w:r>
      <w:r>
        <w:rPr>
          <w:sz w:val="18"/>
        </w:rPr>
        <w:t>Mental</w:t>
      </w:r>
      <w:r>
        <w:rPr>
          <w:spacing w:val="-2"/>
          <w:sz w:val="18"/>
        </w:rPr>
        <w:t xml:space="preserve"> </w:t>
      </w:r>
      <w:r>
        <w:rPr>
          <w:sz w:val="18"/>
        </w:rPr>
        <w:t>Health,</w:t>
      </w:r>
      <w:r>
        <w:rPr>
          <w:spacing w:val="-2"/>
          <w:sz w:val="18"/>
        </w:rPr>
        <w:t xml:space="preserve"> </w:t>
      </w:r>
      <w:r>
        <w:rPr>
          <w:sz w:val="18"/>
        </w:rPr>
        <w:t>Risk,</w:t>
      </w:r>
      <w:r>
        <w:rPr>
          <w:spacing w:val="-2"/>
          <w:sz w:val="18"/>
        </w:rPr>
        <w:t xml:space="preserve"> </w:t>
      </w:r>
      <w:r>
        <w:rPr>
          <w:sz w:val="18"/>
        </w:rPr>
        <w:t>and</w:t>
      </w:r>
      <w:r>
        <w:rPr>
          <w:spacing w:val="-2"/>
          <w:sz w:val="18"/>
        </w:rPr>
        <w:t xml:space="preserve"> </w:t>
      </w:r>
      <w:r>
        <w:rPr>
          <w:sz w:val="18"/>
        </w:rPr>
        <w:t>Resilience</w:t>
      </w:r>
      <w:r>
        <w:rPr>
          <w:spacing w:val="-3"/>
          <w:sz w:val="18"/>
        </w:rPr>
        <w:t xml:space="preserve"> </w:t>
      </w:r>
      <w:r>
        <w:rPr>
          <w:sz w:val="18"/>
        </w:rPr>
        <w:t>among</w:t>
      </w:r>
      <w:r>
        <w:rPr>
          <w:spacing w:val="-2"/>
          <w:sz w:val="18"/>
        </w:rPr>
        <w:t xml:space="preserve"> </w:t>
      </w:r>
      <w:r>
        <w:rPr>
          <w:sz w:val="18"/>
        </w:rPr>
        <w:t>LGBTQ</w:t>
      </w:r>
      <w:r>
        <w:rPr>
          <w:spacing w:val="-3"/>
          <w:sz w:val="18"/>
        </w:rPr>
        <w:t xml:space="preserve"> </w:t>
      </w:r>
      <w:r>
        <w:rPr>
          <w:sz w:val="18"/>
        </w:rPr>
        <w:t>Youth</w:t>
      </w:r>
      <w:r>
        <w:rPr>
          <w:spacing w:val="-2"/>
          <w:sz w:val="18"/>
        </w:rPr>
        <w:t xml:space="preserve"> </w:t>
      </w:r>
      <w:r>
        <w:rPr>
          <w:sz w:val="18"/>
        </w:rPr>
        <w:t>of</w:t>
      </w:r>
      <w:r>
        <w:rPr>
          <w:spacing w:val="-2"/>
          <w:sz w:val="18"/>
        </w:rPr>
        <w:t xml:space="preserve"> </w:t>
      </w:r>
      <w:r>
        <w:rPr>
          <w:sz w:val="18"/>
        </w:rPr>
        <w:t>Color</w:t>
      </w:r>
      <w:r>
        <w:rPr>
          <w:spacing w:val="-2"/>
          <w:sz w:val="18"/>
        </w:rPr>
        <w:t xml:space="preserve"> </w:t>
      </w:r>
      <w:r>
        <w:rPr>
          <w:sz w:val="18"/>
        </w:rPr>
        <w:t>Who</w:t>
      </w:r>
      <w:r>
        <w:rPr>
          <w:spacing w:val="-1"/>
          <w:sz w:val="18"/>
        </w:rPr>
        <w:t xml:space="preserve"> </w:t>
      </w:r>
      <w:r>
        <w:rPr>
          <w:sz w:val="18"/>
        </w:rPr>
        <w:t>Live,</w:t>
      </w:r>
      <w:r>
        <w:rPr>
          <w:spacing w:val="-2"/>
          <w:sz w:val="18"/>
        </w:rPr>
        <w:t xml:space="preserve"> </w:t>
      </w:r>
      <w:r>
        <w:rPr>
          <w:sz w:val="18"/>
        </w:rPr>
        <w:t>Work,</w:t>
      </w:r>
      <w:r>
        <w:rPr>
          <w:spacing w:val="-2"/>
          <w:sz w:val="18"/>
        </w:rPr>
        <w:t xml:space="preserve"> </w:t>
      </w:r>
      <w:r>
        <w:rPr>
          <w:sz w:val="18"/>
        </w:rPr>
        <w:t>or Play in Boston.”</w:t>
      </w:r>
    </w:p>
    <w:p w:rsidR="00200FDA" w:rsidRDefault="00F76C4C">
      <w:pPr>
        <w:spacing w:before="1" w:line="219" w:lineRule="exact"/>
        <w:ind w:left="140"/>
        <w:rPr>
          <w:sz w:val="18"/>
        </w:rPr>
      </w:pPr>
      <w:r>
        <w:rPr>
          <w:position w:val="5"/>
          <w:sz w:val="12"/>
        </w:rPr>
        <w:t>113</w:t>
      </w:r>
      <w:r>
        <w:rPr>
          <w:spacing w:val="7"/>
          <w:position w:val="5"/>
          <w:sz w:val="12"/>
        </w:rPr>
        <w:t xml:space="preserve"> </w:t>
      </w:r>
      <w:r>
        <w:rPr>
          <w:sz w:val="18"/>
        </w:rPr>
        <w:t>Rotheram-Boru</w:t>
      </w:r>
      <w:r>
        <w:rPr>
          <w:sz w:val="18"/>
        </w:rPr>
        <w:t>s,</w:t>
      </w:r>
      <w:r>
        <w:rPr>
          <w:spacing w:val="-2"/>
          <w:sz w:val="18"/>
        </w:rPr>
        <w:t xml:space="preserve"> </w:t>
      </w:r>
      <w:r>
        <w:rPr>
          <w:sz w:val="18"/>
        </w:rPr>
        <w:t>Lee,</w:t>
      </w:r>
      <w:r>
        <w:rPr>
          <w:spacing w:val="-2"/>
          <w:sz w:val="18"/>
        </w:rPr>
        <w:t xml:space="preserve"> </w:t>
      </w:r>
      <w:r>
        <w:rPr>
          <w:sz w:val="18"/>
        </w:rPr>
        <w:t>and</w:t>
      </w:r>
      <w:r>
        <w:rPr>
          <w:spacing w:val="-4"/>
          <w:sz w:val="18"/>
        </w:rPr>
        <w:t xml:space="preserve"> </w:t>
      </w:r>
      <w:r>
        <w:rPr>
          <w:sz w:val="18"/>
        </w:rPr>
        <w:t>Swendeman,</w:t>
      </w:r>
      <w:r>
        <w:rPr>
          <w:spacing w:val="-2"/>
          <w:sz w:val="18"/>
        </w:rPr>
        <w:t xml:space="preserve"> </w:t>
      </w:r>
      <w:r>
        <w:rPr>
          <w:sz w:val="18"/>
        </w:rPr>
        <w:t>“Getting</w:t>
      </w:r>
      <w:r>
        <w:rPr>
          <w:spacing w:val="-3"/>
          <w:sz w:val="18"/>
        </w:rPr>
        <w:t xml:space="preserve"> </w:t>
      </w:r>
      <w:r>
        <w:rPr>
          <w:sz w:val="18"/>
        </w:rPr>
        <w:t>to</w:t>
      </w:r>
      <w:r>
        <w:rPr>
          <w:spacing w:val="-2"/>
          <w:sz w:val="18"/>
        </w:rPr>
        <w:t xml:space="preserve"> </w:t>
      </w:r>
      <w:r>
        <w:rPr>
          <w:sz w:val="18"/>
        </w:rPr>
        <w:t>Zero</w:t>
      </w:r>
      <w:r>
        <w:rPr>
          <w:spacing w:val="-1"/>
          <w:sz w:val="18"/>
        </w:rPr>
        <w:t xml:space="preserve"> </w:t>
      </w:r>
      <w:r>
        <w:rPr>
          <w:sz w:val="18"/>
        </w:rPr>
        <w:t>HIV</w:t>
      </w:r>
      <w:r>
        <w:rPr>
          <w:spacing w:val="-1"/>
          <w:sz w:val="18"/>
        </w:rPr>
        <w:t xml:space="preserve"> </w:t>
      </w:r>
      <w:r>
        <w:rPr>
          <w:sz w:val="18"/>
        </w:rPr>
        <w:t>Among</w:t>
      </w:r>
      <w:r>
        <w:rPr>
          <w:spacing w:val="-3"/>
          <w:sz w:val="18"/>
        </w:rPr>
        <w:t xml:space="preserve"> </w:t>
      </w:r>
      <w:r>
        <w:rPr>
          <w:spacing w:val="-2"/>
          <w:sz w:val="18"/>
        </w:rPr>
        <w:t>Youth.”</w:t>
      </w:r>
    </w:p>
    <w:p w:rsidR="00200FDA" w:rsidRDefault="00F76C4C">
      <w:pPr>
        <w:ind w:left="140" w:right="418" w:hanging="1"/>
        <w:rPr>
          <w:sz w:val="18"/>
        </w:rPr>
      </w:pPr>
      <w:r>
        <w:rPr>
          <w:position w:val="5"/>
          <w:sz w:val="12"/>
        </w:rPr>
        <w:t>114</w:t>
      </w:r>
      <w:r>
        <w:rPr>
          <w:spacing w:val="10"/>
          <w:position w:val="5"/>
          <w:sz w:val="12"/>
        </w:rPr>
        <w:t xml:space="preserve"> </w:t>
      </w:r>
      <w:r>
        <w:rPr>
          <w:sz w:val="18"/>
        </w:rPr>
        <w:t>Keith</w:t>
      </w:r>
      <w:r>
        <w:rPr>
          <w:spacing w:val="-3"/>
          <w:sz w:val="18"/>
        </w:rPr>
        <w:t xml:space="preserve"> </w:t>
      </w:r>
      <w:r>
        <w:rPr>
          <w:sz w:val="18"/>
        </w:rPr>
        <w:t>James</w:t>
      </w:r>
      <w:r>
        <w:rPr>
          <w:spacing w:val="-3"/>
          <w:sz w:val="18"/>
        </w:rPr>
        <w:t xml:space="preserve"> </w:t>
      </w:r>
      <w:r>
        <w:rPr>
          <w:sz w:val="18"/>
        </w:rPr>
        <w:t>Topping,</w:t>
      </w:r>
      <w:r>
        <w:rPr>
          <w:spacing w:val="-2"/>
          <w:sz w:val="18"/>
        </w:rPr>
        <w:t xml:space="preserve"> </w:t>
      </w:r>
      <w:r>
        <w:rPr>
          <w:sz w:val="18"/>
        </w:rPr>
        <w:t>“Peer</w:t>
      </w:r>
      <w:r>
        <w:rPr>
          <w:spacing w:val="-3"/>
          <w:sz w:val="18"/>
        </w:rPr>
        <w:t xml:space="preserve"> </w:t>
      </w:r>
      <w:r>
        <w:rPr>
          <w:sz w:val="18"/>
        </w:rPr>
        <w:t>Education</w:t>
      </w:r>
      <w:r>
        <w:rPr>
          <w:spacing w:val="-3"/>
          <w:sz w:val="18"/>
        </w:rPr>
        <w:t xml:space="preserve"> </w:t>
      </w:r>
      <w:r>
        <w:rPr>
          <w:sz w:val="18"/>
        </w:rPr>
        <w:t>and</w:t>
      </w:r>
      <w:r>
        <w:rPr>
          <w:spacing w:val="-3"/>
          <w:sz w:val="18"/>
        </w:rPr>
        <w:t xml:space="preserve"> </w:t>
      </w:r>
      <w:r>
        <w:rPr>
          <w:sz w:val="18"/>
        </w:rPr>
        <w:t>Peer</w:t>
      </w:r>
      <w:r>
        <w:rPr>
          <w:spacing w:val="-3"/>
          <w:sz w:val="18"/>
        </w:rPr>
        <w:t xml:space="preserve"> </w:t>
      </w:r>
      <w:r>
        <w:rPr>
          <w:sz w:val="18"/>
        </w:rPr>
        <w:t>Counselling</w:t>
      </w:r>
      <w:r>
        <w:rPr>
          <w:spacing w:val="-3"/>
          <w:sz w:val="18"/>
        </w:rPr>
        <w:t xml:space="preserve"> </w:t>
      </w:r>
      <w:r>
        <w:rPr>
          <w:sz w:val="18"/>
        </w:rPr>
        <w:t>for</w:t>
      </w:r>
      <w:r>
        <w:rPr>
          <w:spacing w:val="-3"/>
          <w:sz w:val="18"/>
        </w:rPr>
        <w:t xml:space="preserve"> </w:t>
      </w:r>
      <w:r>
        <w:rPr>
          <w:sz w:val="18"/>
        </w:rPr>
        <w:t>Health</w:t>
      </w:r>
      <w:r>
        <w:rPr>
          <w:spacing w:val="-3"/>
          <w:sz w:val="18"/>
        </w:rPr>
        <w:t xml:space="preserve"> </w:t>
      </w:r>
      <w:r>
        <w:rPr>
          <w:sz w:val="18"/>
        </w:rPr>
        <w:t>and</w:t>
      </w:r>
      <w:r>
        <w:rPr>
          <w:spacing w:val="-3"/>
          <w:sz w:val="18"/>
        </w:rPr>
        <w:t xml:space="preserve"> </w:t>
      </w:r>
      <w:r>
        <w:rPr>
          <w:sz w:val="18"/>
        </w:rPr>
        <w:t>Well-Being:</w:t>
      </w:r>
      <w:r>
        <w:rPr>
          <w:spacing w:val="-3"/>
          <w:sz w:val="18"/>
        </w:rPr>
        <w:t xml:space="preserve"> </w:t>
      </w:r>
      <w:r>
        <w:rPr>
          <w:sz w:val="18"/>
        </w:rPr>
        <w:t>A</w:t>
      </w:r>
      <w:r>
        <w:rPr>
          <w:spacing w:val="-3"/>
          <w:sz w:val="18"/>
        </w:rPr>
        <w:t xml:space="preserve"> </w:t>
      </w:r>
      <w:r>
        <w:rPr>
          <w:sz w:val="18"/>
        </w:rPr>
        <w:t>Review</w:t>
      </w:r>
      <w:r>
        <w:rPr>
          <w:spacing w:val="-1"/>
          <w:sz w:val="18"/>
        </w:rPr>
        <w:t xml:space="preserve"> </w:t>
      </w:r>
      <w:r>
        <w:rPr>
          <w:sz w:val="18"/>
        </w:rPr>
        <w:t>of</w:t>
      </w:r>
      <w:r>
        <w:rPr>
          <w:spacing w:val="-2"/>
          <w:sz w:val="18"/>
        </w:rPr>
        <w:t xml:space="preserve"> </w:t>
      </w:r>
      <w:r>
        <w:rPr>
          <w:sz w:val="18"/>
        </w:rPr>
        <w:t xml:space="preserve">Reviews,” </w:t>
      </w:r>
      <w:r>
        <w:rPr>
          <w:i/>
          <w:sz w:val="18"/>
        </w:rPr>
        <w:t xml:space="preserve">International Journal of Environmental Research and Public Health </w:t>
      </w:r>
      <w:r>
        <w:rPr>
          <w:sz w:val="18"/>
        </w:rPr>
        <w:t xml:space="preserve">19, no. 10 (January 2022): 6064, </w:t>
      </w:r>
      <w:r>
        <w:rPr>
          <w:spacing w:val="-2"/>
          <w:sz w:val="18"/>
        </w:rPr>
        <w:t>https://doi.org/10.3390/ijerph19106064.</w:t>
      </w:r>
    </w:p>
    <w:p w:rsidR="00200FDA" w:rsidRDefault="00F76C4C">
      <w:pPr>
        <w:spacing w:line="219" w:lineRule="exact"/>
        <w:ind w:left="140"/>
        <w:rPr>
          <w:sz w:val="18"/>
        </w:rPr>
      </w:pPr>
      <w:r>
        <w:rPr>
          <w:position w:val="5"/>
          <w:sz w:val="12"/>
        </w:rPr>
        <w:t>115</w:t>
      </w:r>
      <w:r>
        <w:rPr>
          <w:spacing w:val="10"/>
          <w:position w:val="5"/>
          <w:sz w:val="12"/>
        </w:rPr>
        <w:t xml:space="preserve"> </w:t>
      </w:r>
      <w:r>
        <w:rPr>
          <w:spacing w:val="-2"/>
          <w:sz w:val="18"/>
        </w:rPr>
        <w:t>Topping.</w:t>
      </w:r>
    </w:p>
    <w:p w:rsidR="00200FDA" w:rsidRDefault="00F76C4C">
      <w:pPr>
        <w:ind w:left="139" w:right="418"/>
        <w:rPr>
          <w:sz w:val="18"/>
        </w:rPr>
      </w:pPr>
      <w:r>
        <w:rPr>
          <w:position w:val="5"/>
          <w:sz w:val="12"/>
        </w:rPr>
        <w:t>116</w:t>
      </w:r>
      <w:r>
        <w:rPr>
          <w:spacing w:val="19"/>
          <w:position w:val="5"/>
          <w:sz w:val="12"/>
        </w:rPr>
        <w:t xml:space="preserve"> </w:t>
      </w:r>
      <w:r>
        <w:rPr>
          <w:sz w:val="18"/>
        </w:rPr>
        <w:t>Emily K. Jenkins, Allie Slemon, and Rebecca J. Haines-Saah, “Developing Harm Reduction in the Context of Youth Substance</w:t>
      </w:r>
      <w:r>
        <w:rPr>
          <w:spacing w:val="-3"/>
          <w:sz w:val="18"/>
        </w:rPr>
        <w:t xml:space="preserve"> </w:t>
      </w:r>
      <w:r>
        <w:rPr>
          <w:sz w:val="18"/>
        </w:rPr>
        <w:t>Use:</w:t>
      </w:r>
      <w:r>
        <w:rPr>
          <w:spacing w:val="-2"/>
          <w:sz w:val="18"/>
        </w:rPr>
        <w:t xml:space="preserve"> </w:t>
      </w:r>
      <w:r>
        <w:rPr>
          <w:sz w:val="18"/>
        </w:rPr>
        <w:t>Insights</w:t>
      </w:r>
      <w:r>
        <w:rPr>
          <w:spacing w:val="-3"/>
          <w:sz w:val="18"/>
        </w:rPr>
        <w:t xml:space="preserve"> </w:t>
      </w:r>
      <w:r>
        <w:rPr>
          <w:sz w:val="18"/>
        </w:rPr>
        <w:t>from</w:t>
      </w:r>
      <w:r>
        <w:rPr>
          <w:spacing w:val="-2"/>
          <w:sz w:val="18"/>
        </w:rPr>
        <w:t xml:space="preserve"> </w:t>
      </w:r>
      <w:r>
        <w:rPr>
          <w:sz w:val="18"/>
        </w:rPr>
        <w:t>a</w:t>
      </w:r>
      <w:r>
        <w:rPr>
          <w:spacing w:val="-2"/>
          <w:sz w:val="18"/>
        </w:rPr>
        <w:t xml:space="preserve"> </w:t>
      </w:r>
      <w:r>
        <w:rPr>
          <w:sz w:val="18"/>
        </w:rPr>
        <w:t>Multi-Site</w:t>
      </w:r>
      <w:r>
        <w:rPr>
          <w:spacing w:val="-3"/>
          <w:sz w:val="18"/>
        </w:rPr>
        <w:t xml:space="preserve"> </w:t>
      </w:r>
      <w:r>
        <w:rPr>
          <w:sz w:val="18"/>
        </w:rPr>
        <w:t>Qualitative</w:t>
      </w:r>
      <w:r>
        <w:rPr>
          <w:spacing w:val="-3"/>
          <w:sz w:val="18"/>
        </w:rPr>
        <w:t xml:space="preserve"> </w:t>
      </w:r>
      <w:r>
        <w:rPr>
          <w:sz w:val="18"/>
        </w:rPr>
        <w:t>A</w:t>
      </w:r>
      <w:r>
        <w:rPr>
          <w:sz w:val="18"/>
        </w:rPr>
        <w:t>nalysis</w:t>
      </w:r>
      <w:r>
        <w:rPr>
          <w:spacing w:val="-3"/>
          <w:sz w:val="18"/>
        </w:rPr>
        <w:t xml:space="preserve"> </w:t>
      </w:r>
      <w:r>
        <w:rPr>
          <w:sz w:val="18"/>
        </w:rPr>
        <w:t>of</w:t>
      </w:r>
      <w:r>
        <w:rPr>
          <w:spacing w:val="-2"/>
          <w:sz w:val="18"/>
        </w:rPr>
        <w:t xml:space="preserve"> </w:t>
      </w:r>
      <w:r>
        <w:rPr>
          <w:sz w:val="18"/>
        </w:rPr>
        <w:t>Young</w:t>
      </w:r>
      <w:r>
        <w:rPr>
          <w:spacing w:val="-3"/>
          <w:sz w:val="18"/>
        </w:rPr>
        <w:t xml:space="preserve"> </w:t>
      </w:r>
      <w:r>
        <w:rPr>
          <w:sz w:val="18"/>
        </w:rPr>
        <w:t>People’s</w:t>
      </w:r>
      <w:r>
        <w:rPr>
          <w:spacing w:val="-3"/>
          <w:sz w:val="18"/>
        </w:rPr>
        <w:t xml:space="preserve"> </w:t>
      </w:r>
      <w:r>
        <w:rPr>
          <w:sz w:val="18"/>
        </w:rPr>
        <w:t>Harm</w:t>
      </w:r>
      <w:r>
        <w:rPr>
          <w:spacing w:val="-2"/>
          <w:sz w:val="18"/>
        </w:rPr>
        <w:t xml:space="preserve"> </w:t>
      </w:r>
      <w:r>
        <w:rPr>
          <w:sz w:val="18"/>
        </w:rPr>
        <w:t>Minimization</w:t>
      </w:r>
      <w:r>
        <w:rPr>
          <w:spacing w:val="-1"/>
          <w:sz w:val="18"/>
        </w:rPr>
        <w:t xml:space="preserve"> </w:t>
      </w:r>
      <w:r>
        <w:rPr>
          <w:sz w:val="18"/>
        </w:rPr>
        <w:t>Strategies,”</w:t>
      </w:r>
      <w:r>
        <w:rPr>
          <w:spacing w:val="-3"/>
          <w:sz w:val="18"/>
        </w:rPr>
        <w:t xml:space="preserve"> </w:t>
      </w:r>
      <w:r>
        <w:rPr>
          <w:i/>
          <w:sz w:val="18"/>
        </w:rPr>
        <w:t xml:space="preserve">Harm Reduction Journal </w:t>
      </w:r>
      <w:r>
        <w:rPr>
          <w:sz w:val="18"/>
        </w:rPr>
        <w:t>14, no. 1 (July 31, 2017): 53, https://doi.org/10.1186/s12954-017-0180-z.</w:t>
      </w:r>
    </w:p>
    <w:p w:rsidR="00200FDA" w:rsidRDefault="00F76C4C">
      <w:pPr>
        <w:ind w:left="140" w:right="484"/>
        <w:rPr>
          <w:sz w:val="18"/>
        </w:rPr>
      </w:pPr>
      <w:r>
        <w:rPr>
          <w:position w:val="5"/>
          <w:sz w:val="12"/>
        </w:rPr>
        <w:t>117</w:t>
      </w:r>
      <w:r>
        <w:rPr>
          <w:spacing w:val="10"/>
          <w:position w:val="5"/>
          <w:sz w:val="12"/>
        </w:rPr>
        <w:t xml:space="preserve"> </w:t>
      </w:r>
      <w:r>
        <w:rPr>
          <w:sz w:val="18"/>
        </w:rPr>
        <w:t>“LGBTQ</w:t>
      </w:r>
      <w:r>
        <w:rPr>
          <w:spacing w:val="-3"/>
          <w:sz w:val="18"/>
        </w:rPr>
        <w:t xml:space="preserve"> </w:t>
      </w:r>
      <w:r>
        <w:rPr>
          <w:sz w:val="18"/>
        </w:rPr>
        <w:t>People</w:t>
      </w:r>
      <w:r>
        <w:rPr>
          <w:spacing w:val="-3"/>
          <w:sz w:val="18"/>
        </w:rPr>
        <w:t xml:space="preserve"> </w:t>
      </w:r>
      <w:r>
        <w:rPr>
          <w:sz w:val="18"/>
        </w:rPr>
        <w:t>and</w:t>
      </w:r>
      <w:r>
        <w:rPr>
          <w:spacing w:val="-1"/>
          <w:sz w:val="18"/>
        </w:rPr>
        <w:t xml:space="preserve"> </w:t>
      </w:r>
      <w:r>
        <w:rPr>
          <w:sz w:val="18"/>
        </w:rPr>
        <w:t>Syringe</w:t>
      </w:r>
      <w:r>
        <w:rPr>
          <w:spacing w:val="-3"/>
          <w:sz w:val="18"/>
        </w:rPr>
        <w:t xml:space="preserve"> </w:t>
      </w:r>
      <w:r>
        <w:rPr>
          <w:sz w:val="18"/>
        </w:rPr>
        <w:t>Services</w:t>
      </w:r>
      <w:r>
        <w:rPr>
          <w:spacing w:val="-3"/>
          <w:sz w:val="18"/>
        </w:rPr>
        <w:t xml:space="preserve"> </w:t>
      </w:r>
      <w:r>
        <w:rPr>
          <w:sz w:val="18"/>
        </w:rPr>
        <w:t>Programs”</w:t>
      </w:r>
      <w:r>
        <w:rPr>
          <w:spacing w:val="-3"/>
          <w:sz w:val="18"/>
        </w:rPr>
        <w:t xml:space="preserve"> </w:t>
      </w:r>
      <w:r>
        <w:rPr>
          <w:sz w:val="18"/>
        </w:rPr>
        <w:t>(Washington,</w:t>
      </w:r>
      <w:r>
        <w:rPr>
          <w:spacing w:val="-2"/>
          <w:sz w:val="18"/>
        </w:rPr>
        <w:t xml:space="preserve"> </w:t>
      </w:r>
      <w:r>
        <w:rPr>
          <w:sz w:val="18"/>
        </w:rPr>
        <w:t>D.C.:</w:t>
      </w:r>
      <w:r>
        <w:rPr>
          <w:spacing w:val="-2"/>
          <w:sz w:val="18"/>
        </w:rPr>
        <w:t xml:space="preserve"> </w:t>
      </w:r>
      <w:r>
        <w:rPr>
          <w:sz w:val="18"/>
        </w:rPr>
        <w:t>National</w:t>
      </w:r>
      <w:r>
        <w:rPr>
          <w:spacing w:val="-3"/>
          <w:sz w:val="18"/>
        </w:rPr>
        <w:t xml:space="preserve"> </w:t>
      </w:r>
      <w:r>
        <w:rPr>
          <w:sz w:val="18"/>
        </w:rPr>
        <w:t>LGBTQ</w:t>
      </w:r>
      <w:r>
        <w:rPr>
          <w:spacing w:val="-3"/>
          <w:sz w:val="18"/>
        </w:rPr>
        <w:t xml:space="preserve"> </w:t>
      </w:r>
      <w:r>
        <w:rPr>
          <w:sz w:val="18"/>
        </w:rPr>
        <w:t>Task</w:t>
      </w:r>
      <w:r>
        <w:rPr>
          <w:spacing w:val="-3"/>
          <w:sz w:val="18"/>
        </w:rPr>
        <w:t xml:space="preserve"> </w:t>
      </w:r>
      <w:r>
        <w:rPr>
          <w:sz w:val="18"/>
        </w:rPr>
        <w:t>Force),</w:t>
      </w:r>
      <w:r>
        <w:rPr>
          <w:spacing w:val="-2"/>
          <w:sz w:val="18"/>
        </w:rPr>
        <w:t xml:space="preserve"> </w:t>
      </w:r>
      <w:r>
        <w:rPr>
          <w:sz w:val="18"/>
        </w:rPr>
        <w:t>accessed</w:t>
      </w:r>
      <w:r>
        <w:rPr>
          <w:spacing w:val="-3"/>
          <w:sz w:val="18"/>
        </w:rPr>
        <w:t xml:space="preserve"> </w:t>
      </w:r>
      <w:r>
        <w:rPr>
          <w:sz w:val="18"/>
        </w:rPr>
        <w:t>February</w:t>
      </w:r>
      <w:r>
        <w:rPr>
          <w:spacing w:val="-2"/>
          <w:sz w:val="18"/>
        </w:rPr>
        <w:t xml:space="preserve"> </w:t>
      </w:r>
      <w:r>
        <w:rPr>
          <w:sz w:val="18"/>
        </w:rPr>
        <w:t>23, 2023, https://</w:t>
      </w:r>
      <w:hyperlink r:id="rId204">
        <w:r>
          <w:rPr>
            <w:sz w:val="18"/>
          </w:rPr>
          <w:t>www.hivlawandpolicy.org/sites/default/files/Syringe%20Access%20LGBT%20Fact%20Sheet.pdf.</w:t>
        </w:r>
      </w:hyperlink>
    </w:p>
    <w:p w:rsidR="00200FDA" w:rsidRDefault="00F76C4C">
      <w:pPr>
        <w:ind w:left="140" w:right="1807"/>
        <w:rPr>
          <w:sz w:val="18"/>
        </w:rPr>
      </w:pPr>
      <w:r>
        <w:rPr>
          <w:position w:val="5"/>
          <w:sz w:val="12"/>
        </w:rPr>
        <w:t>118</w:t>
      </w:r>
      <w:r>
        <w:rPr>
          <w:spacing w:val="9"/>
          <w:position w:val="5"/>
          <w:sz w:val="12"/>
        </w:rPr>
        <w:t xml:space="preserve"> </w:t>
      </w:r>
      <w:r>
        <w:rPr>
          <w:sz w:val="18"/>
        </w:rPr>
        <w:t>“Establishing</w:t>
      </w:r>
      <w:r>
        <w:rPr>
          <w:spacing w:val="-4"/>
          <w:sz w:val="18"/>
        </w:rPr>
        <w:t xml:space="preserve"> </w:t>
      </w:r>
      <w:r>
        <w:rPr>
          <w:sz w:val="18"/>
        </w:rPr>
        <w:t>a</w:t>
      </w:r>
      <w:r>
        <w:rPr>
          <w:spacing w:val="-3"/>
          <w:sz w:val="18"/>
        </w:rPr>
        <w:t xml:space="preserve"> </w:t>
      </w:r>
      <w:r>
        <w:rPr>
          <w:sz w:val="18"/>
        </w:rPr>
        <w:t>Syringe</w:t>
      </w:r>
      <w:r>
        <w:rPr>
          <w:spacing w:val="-4"/>
          <w:sz w:val="18"/>
        </w:rPr>
        <w:t xml:space="preserve"> </w:t>
      </w:r>
      <w:r>
        <w:rPr>
          <w:sz w:val="18"/>
        </w:rPr>
        <w:t>Services</w:t>
      </w:r>
      <w:r>
        <w:rPr>
          <w:spacing w:val="-2"/>
          <w:sz w:val="18"/>
        </w:rPr>
        <w:t xml:space="preserve"> </w:t>
      </w:r>
      <w:r>
        <w:rPr>
          <w:sz w:val="18"/>
        </w:rPr>
        <w:t>Program</w:t>
      </w:r>
      <w:r>
        <w:rPr>
          <w:spacing w:val="-3"/>
          <w:sz w:val="18"/>
        </w:rPr>
        <w:t xml:space="preserve"> </w:t>
      </w:r>
      <w:r>
        <w:rPr>
          <w:sz w:val="18"/>
        </w:rPr>
        <w:t>in</w:t>
      </w:r>
      <w:r>
        <w:rPr>
          <w:spacing w:val="-4"/>
          <w:sz w:val="18"/>
        </w:rPr>
        <w:t xml:space="preserve"> </w:t>
      </w:r>
      <w:r>
        <w:rPr>
          <w:sz w:val="18"/>
        </w:rPr>
        <w:t>Rural</w:t>
      </w:r>
      <w:r>
        <w:rPr>
          <w:spacing w:val="-4"/>
          <w:sz w:val="18"/>
        </w:rPr>
        <w:t xml:space="preserve"> </w:t>
      </w:r>
      <w:r>
        <w:rPr>
          <w:sz w:val="18"/>
        </w:rPr>
        <w:t>America,”</w:t>
      </w:r>
      <w:r>
        <w:rPr>
          <w:spacing w:val="-4"/>
          <w:sz w:val="18"/>
        </w:rPr>
        <w:t xml:space="preserve"> </w:t>
      </w:r>
      <w:r>
        <w:rPr>
          <w:sz w:val="18"/>
        </w:rPr>
        <w:t>National</w:t>
      </w:r>
      <w:r>
        <w:rPr>
          <w:spacing w:val="-4"/>
          <w:sz w:val="18"/>
        </w:rPr>
        <w:t xml:space="preserve"> </w:t>
      </w:r>
      <w:r>
        <w:rPr>
          <w:sz w:val="18"/>
        </w:rPr>
        <w:t>Harm</w:t>
      </w:r>
      <w:r>
        <w:rPr>
          <w:spacing w:val="-3"/>
          <w:sz w:val="18"/>
        </w:rPr>
        <w:t xml:space="preserve"> </w:t>
      </w:r>
      <w:r>
        <w:rPr>
          <w:sz w:val="18"/>
        </w:rPr>
        <w:t>Reduction</w:t>
      </w:r>
      <w:r>
        <w:rPr>
          <w:spacing w:val="-4"/>
          <w:sz w:val="18"/>
        </w:rPr>
        <w:t xml:space="preserve"> </w:t>
      </w:r>
      <w:r>
        <w:rPr>
          <w:sz w:val="18"/>
        </w:rPr>
        <w:t>Coalition,</w:t>
      </w:r>
      <w:r>
        <w:rPr>
          <w:spacing w:val="-3"/>
          <w:sz w:val="18"/>
        </w:rPr>
        <w:t xml:space="preserve"> </w:t>
      </w:r>
      <w:r>
        <w:rPr>
          <w:sz w:val="18"/>
        </w:rPr>
        <w:t xml:space="preserve">2020, </w:t>
      </w:r>
      <w:r>
        <w:rPr>
          <w:spacing w:val="-2"/>
          <w:sz w:val="18"/>
        </w:rPr>
        <w:t>https://harmreduction.org/issues/establishing-rural-programs/.</w:t>
      </w:r>
    </w:p>
    <w:p w:rsidR="00200FDA" w:rsidRDefault="00200FDA">
      <w:pPr>
        <w:rPr>
          <w:sz w:val="18"/>
        </w:rPr>
        <w:sectPr w:rsidR="00200FDA">
          <w:headerReference w:type="default" r:id="rId205"/>
          <w:footerReference w:type="default" r:id="rId206"/>
          <w:pgSz w:w="11910" w:h="16840"/>
          <w:pgMar w:top="1100" w:right="1040" w:bottom="1260" w:left="1300" w:header="761" w:footer="1062" w:gutter="0"/>
          <w:cols w:space="720"/>
        </w:sectPr>
      </w:pPr>
    </w:p>
    <w:p w:rsidR="00200FDA" w:rsidRDefault="00200FDA">
      <w:pPr>
        <w:pStyle w:val="BodyText"/>
        <w:spacing w:before="12"/>
        <w:rPr>
          <w:sz w:val="27"/>
        </w:rPr>
      </w:pPr>
    </w:p>
    <w:p w:rsidR="00200FDA" w:rsidRDefault="00F76C4C">
      <w:pPr>
        <w:spacing w:before="69"/>
        <w:ind w:left="139" w:right="758"/>
        <w:rPr>
          <w:sz w:val="18"/>
        </w:rPr>
      </w:pPr>
      <w:r>
        <w:rPr>
          <w:position w:val="5"/>
          <w:sz w:val="12"/>
        </w:rPr>
        <w:t>119</w:t>
      </w:r>
      <w:r>
        <w:rPr>
          <w:spacing w:val="9"/>
          <w:position w:val="5"/>
          <w:sz w:val="12"/>
        </w:rPr>
        <w:t xml:space="preserve"> </w:t>
      </w:r>
      <w:r>
        <w:rPr>
          <w:sz w:val="18"/>
        </w:rPr>
        <w:t>“Syringe</w:t>
      </w:r>
      <w:r>
        <w:rPr>
          <w:spacing w:val="-2"/>
          <w:sz w:val="18"/>
        </w:rPr>
        <w:t xml:space="preserve"> </w:t>
      </w:r>
      <w:r>
        <w:rPr>
          <w:sz w:val="18"/>
        </w:rPr>
        <w:t>Service</w:t>
      </w:r>
      <w:r>
        <w:rPr>
          <w:spacing w:val="-4"/>
          <w:sz w:val="18"/>
        </w:rPr>
        <w:t xml:space="preserve"> </w:t>
      </w:r>
      <w:r>
        <w:rPr>
          <w:sz w:val="18"/>
        </w:rPr>
        <w:t>Program</w:t>
      </w:r>
      <w:r>
        <w:rPr>
          <w:spacing w:val="-3"/>
          <w:sz w:val="18"/>
        </w:rPr>
        <w:t xml:space="preserve"> </w:t>
      </w:r>
      <w:r>
        <w:rPr>
          <w:sz w:val="18"/>
        </w:rPr>
        <w:t>Locator</w:t>
      </w:r>
      <w:r>
        <w:rPr>
          <w:spacing w:val="-4"/>
          <w:sz w:val="18"/>
        </w:rPr>
        <w:t xml:space="preserve"> </w:t>
      </w:r>
      <w:r>
        <w:rPr>
          <w:sz w:val="18"/>
        </w:rPr>
        <w:t>|</w:t>
      </w:r>
      <w:r>
        <w:rPr>
          <w:spacing w:val="-2"/>
          <w:sz w:val="18"/>
        </w:rPr>
        <w:t xml:space="preserve"> </w:t>
      </w:r>
      <w:r>
        <w:rPr>
          <w:sz w:val="18"/>
        </w:rPr>
        <w:t>Mass.Gov,”</w:t>
      </w:r>
      <w:r>
        <w:rPr>
          <w:spacing w:val="-4"/>
          <w:sz w:val="18"/>
        </w:rPr>
        <w:t xml:space="preserve"> </w:t>
      </w:r>
      <w:r>
        <w:rPr>
          <w:sz w:val="18"/>
        </w:rPr>
        <w:t>Mass.gov,</w:t>
      </w:r>
      <w:r>
        <w:rPr>
          <w:spacing w:val="-3"/>
          <w:sz w:val="18"/>
        </w:rPr>
        <w:t xml:space="preserve"> </w:t>
      </w:r>
      <w:r>
        <w:rPr>
          <w:sz w:val="18"/>
        </w:rPr>
        <w:t>accessed</w:t>
      </w:r>
      <w:r>
        <w:rPr>
          <w:spacing w:val="-4"/>
          <w:sz w:val="18"/>
        </w:rPr>
        <w:t xml:space="preserve"> </w:t>
      </w:r>
      <w:r>
        <w:rPr>
          <w:sz w:val="18"/>
        </w:rPr>
        <w:t>February</w:t>
      </w:r>
      <w:r>
        <w:rPr>
          <w:spacing w:val="-3"/>
          <w:sz w:val="18"/>
        </w:rPr>
        <w:t xml:space="preserve"> </w:t>
      </w:r>
      <w:r>
        <w:rPr>
          <w:sz w:val="18"/>
        </w:rPr>
        <w:t>23,</w:t>
      </w:r>
      <w:r>
        <w:rPr>
          <w:spacing w:val="-3"/>
          <w:sz w:val="18"/>
        </w:rPr>
        <w:t xml:space="preserve"> </w:t>
      </w:r>
      <w:r>
        <w:rPr>
          <w:sz w:val="18"/>
        </w:rPr>
        <w:t>2023,</w:t>
      </w:r>
      <w:r>
        <w:rPr>
          <w:spacing w:val="-3"/>
          <w:sz w:val="18"/>
        </w:rPr>
        <w:t xml:space="preserve"> </w:t>
      </w:r>
      <w:r>
        <w:rPr>
          <w:sz w:val="18"/>
        </w:rPr>
        <w:t>https://</w:t>
      </w:r>
      <w:hyperlink r:id="rId207">
        <w:r>
          <w:rPr>
            <w:sz w:val="18"/>
          </w:rPr>
          <w:t>www.mass.gov/info-</w:t>
        </w:r>
      </w:hyperlink>
      <w:r>
        <w:rPr>
          <w:sz w:val="18"/>
        </w:rPr>
        <w:t xml:space="preserve"> </w:t>
      </w:r>
      <w:r>
        <w:rPr>
          <w:spacing w:val="-2"/>
          <w:sz w:val="18"/>
        </w:rPr>
        <w:t>details/syringe-service-program-locator.</w:t>
      </w:r>
    </w:p>
    <w:p w:rsidR="00200FDA" w:rsidRDefault="00F76C4C">
      <w:pPr>
        <w:spacing w:line="219" w:lineRule="exact"/>
        <w:ind w:left="140"/>
        <w:rPr>
          <w:sz w:val="18"/>
        </w:rPr>
      </w:pPr>
      <w:r>
        <w:rPr>
          <w:position w:val="5"/>
          <w:sz w:val="12"/>
        </w:rPr>
        <w:t>120</w:t>
      </w:r>
      <w:r>
        <w:rPr>
          <w:spacing w:val="10"/>
          <w:position w:val="5"/>
          <w:sz w:val="12"/>
        </w:rPr>
        <w:t xml:space="preserve"> </w:t>
      </w:r>
      <w:r>
        <w:rPr>
          <w:sz w:val="18"/>
        </w:rPr>
        <w:t>Jenkins,</w:t>
      </w:r>
      <w:r>
        <w:rPr>
          <w:spacing w:val="-2"/>
          <w:sz w:val="18"/>
        </w:rPr>
        <w:t xml:space="preserve"> </w:t>
      </w:r>
      <w:r>
        <w:rPr>
          <w:sz w:val="18"/>
        </w:rPr>
        <w:t>Slemon,</w:t>
      </w:r>
      <w:r>
        <w:rPr>
          <w:spacing w:val="-2"/>
          <w:sz w:val="18"/>
        </w:rPr>
        <w:t xml:space="preserve"> </w:t>
      </w:r>
      <w:r>
        <w:rPr>
          <w:sz w:val="18"/>
        </w:rPr>
        <w:t>and</w:t>
      </w:r>
      <w:r>
        <w:rPr>
          <w:spacing w:val="-3"/>
          <w:sz w:val="18"/>
        </w:rPr>
        <w:t xml:space="preserve"> </w:t>
      </w:r>
      <w:r>
        <w:rPr>
          <w:sz w:val="18"/>
        </w:rPr>
        <w:t>Haines-Saah,</w:t>
      </w:r>
      <w:r>
        <w:rPr>
          <w:spacing w:val="-1"/>
          <w:sz w:val="18"/>
        </w:rPr>
        <w:t xml:space="preserve"> </w:t>
      </w:r>
      <w:r>
        <w:rPr>
          <w:sz w:val="18"/>
        </w:rPr>
        <w:t>“Developing</w:t>
      </w:r>
      <w:r>
        <w:rPr>
          <w:spacing w:val="-3"/>
          <w:sz w:val="18"/>
        </w:rPr>
        <w:t xml:space="preserve"> </w:t>
      </w:r>
      <w:r>
        <w:rPr>
          <w:sz w:val="18"/>
        </w:rPr>
        <w:t>Harm</w:t>
      </w:r>
      <w:r>
        <w:rPr>
          <w:spacing w:val="-2"/>
          <w:sz w:val="18"/>
        </w:rPr>
        <w:t xml:space="preserve"> </w:t>
      </w:r>
      <w:r>
        <w:rPr>
          <w:sz w:val="18"/>
        </w:rPr>
        <w:t>Reduction</w:t>
      </w:r>
      <w:r>
        <w:rPr>
          <w:spacing w:val="-3"/>
          <w:sz w:val="18"/>
        </w:rPr>
        <w:t xml:space="preserve"> </w:t>
      </w:r>
      <w:r>
        <w:rPr>
          <w:sz w:val="18"/>
        </w:rPr>
        <w:t>in</w:t>
      </w:r>
      <w:r>
        <w:rPr>
          <w:spacing w:val="-3"/>
          <w:sz w:val="18"/>
        </w:rPr>
        <w:t xml:space="preserve"> </w:t>
      </w:r>
      <w:r>
        <w:rPr>
          <w:sz w:val="18"/>
        </w:rPr>
        <w:t>the</w:t>
      </w:r>
      <w:r>
        <w:rPr>
          <w:spacing w:val="-2"/>
          <w:sz w:val="18"/>
        </w:rPr>
        <w:t xml:space="preserve"> </w:t>
      </w:r>
      <w:r>
        <w:rPr>
          <w:sz w:val="18"/>
        </w:rPr>
        <w:t>Context</w:t>
      </w:r>
      <w:r>
        <w:rPr>
          <w:spacing w:val="-3"/>
          <w:sz w:val="18"/>
        </w:rPr>
        <w:t xml:space="preserve"> </w:t>
      </w:r>
      <w:r>
        <w:rPr>
          <w:sz w:val="18"/>
        </w:rPr>
        <w:t>of</w:t>
      </w:r>
      <w:r>
        <w:rPr>
          <w:spacing w:val="-2"/>
          <w:sz w:val="18"/>
        </w:rPr>
        <w:t xml:space="preserve"> </w:t>
      </w:r>
      <w:r>
        <w:rPr>
          <w:sz w:val="18"/>
        </w:rPr>
        <w:t>Youth</w:t>
      </w:r>
      <w:r>
        <w:rPr>
          <w:spacing w:val="-3"/>
          <w:sz w:val="18"/>
        </w:rPr>
        <w:t xml:space="preserve"> </w:t>
      </w:r>
      <w:r>
        <w:rPr>
          <w:sz w:val="18"/>
        </w:rPr>
        <w:t xml:space="preserve">Substance </w:t>
      </w:r>
      <w:r>
        <w:rPr>
          <w:spacing w:val="-2"/>
          <w:sz w:val="18"/>
        </w:rPr>
        <w:t>Use.”</w:t>
      </w:r>
    </w:p>
    <w:p w:rsidR="00200FDA" w:rsidRDefault="00F76C4C">
      <w:pPr>
        <w:spacing w:before="1"/>
        <w:ind w:left="140" w:right="1358"/>
        <w:rPr>
          <w:sz w:val="18"/>
        </w:rPr>
      </w:pPr>
      <w:r>
        <w:rPr>
          <w:position w:val="5"/>
          <w:sz w:val="12"/>
        </w:rPr>
        <w:t>121</w:t>
      </w:r>
      <w:r>
        <w:rPr>
          <w:spacing w:val="9"/>
          <w:position w:val="5"/>
          <w:sz w:val="12"/>
        </w:rPr>
        <w:t xml:space="preserve"> </w:t>
      </w:r>
      <w:r>
        <w:rPr>
          <w:sz w:val="18"/>
        </w:rPr>
        <w:t>“Sex</w:t>
      </w:r>
      <w:r>
        <w:rPr>
          <w:spacing w:val="-4"/>
          <w:sz w:val="18"/>
        </w:rPr>
        <w:t xml:space="preserve"> </w:t>
      </w:r>
      <w:r>
        <w:rPr>
          <w:sz w:val="18"/>
        </w:rPr>
        <w:t>Trafficking</w:t>
      </w:r>
      <w:r>
        <w:rPr>
          <w:spacing w:val="-4"/>
          <w:sz w:val="18"/>
        </w:rPr>
        <w:t xml:space="preserve"> </w:t>
      </w:r>
      <w:r>
        <w:rPr>
          <w:sz w:val="18"/>
        </w:rPr>
        <w:t>and</w:t>
      </w:r>
      <w:r>
        <w:rPr>
          <w:spacing w:val="-4"/>
          <w:sz w:val="18"/>
        </w:rPr>
        <w:t xml:space="preserve"> </w:t>
      </w:r>
      <w:r>
        <w:rPr>
          <w:sz w:val="18"/>
        </w:rPr>
        <w:t>LGBTQ+</w:t>
      </w:r>
      <w:r>
        <w:rPr>
          <w:spacing w:val="-4"/>
          <w:sz w:val="18"/>
        </w:rPr>
        <w:t xml:space="preserve"> </w:t>
      </w:r>
      <w:r>
        <w:rPr>
          <w:sz w:val="18"/>
        </w:rPr>
        <w:t>Youth”</w:t>
      </w:r>
      <w:r>
        <w:rPr>
          <w:spacing w:val="-4"/>
          <w:sz w:val="18"/>
        </w:rPr>
        <w:t xml:space="preserve"> </w:t>
      </w:r>
      <w:r>
        <w:rPr>
          <w:sz w:val="18"/>
        </w:rPr>
        <w:t>(Washington,</w:t>
      </w:r>
      <w:r>
        <w:rPr>
          <w:spacing w:val="-3"/>
          <w:sz w:val="18"/>
        </w:rPr>
        <w:t xml:space="preserve"> </w:t>
      </w:r>
      <w:r>
        <w:rPr>
          <w:sz w:val="18"/>
        </w:rPr>
        <w:t>D.C.:</w:t>
      </w:r>
      <w:r>
        <w:rPr>
          <w:spacing w:val="-3"/>
          <w:sz w:val="18"/>
        </w:rPr>
        <w:t xml:space="preserve"> </w:t>
      </w:r>
      <w:r>
        <w:rPr>
          <w:sz w:val="18"/>
        </w:rPr>
        <w:t>Polaris</w:t>
      </w:r>
      <w:r>
        <w:rPr>
          <w:spacing w:val="-4"/>
          <w:sz w:val="18"/>
        </w:rPr>
        <w:t xml:space="preserve"> </w:t>
      </w:r>
      <w:r>
        <w:rPr>
          <w:sz w:val="18"/>
        </w:rPr>
        <w:t>Project,</w:t>
      </w:r>
      <w:r>
        <w:rPr>
          <w:spacing w:val="-3"/>
          <w:sz w:val="18"/>
        </w:rPr>
        <w:t xml:space="preserve"> </w:t>
      </w:r>
      <w:r>
        <w:rPr>
          <w:sz w:val="18"/>
        </w:rPr>
        <w:t>n.d.),</w:t>
      </w:r>
      <w:r>
        <w:rPr>
          <w:spacing w:val="-3"/>
          <w:sz w:val="18"/>
        </w:rPr>
        <w:t xml:space="preserve"> </w:t>
      </w:r>
      <w:r>
        <w:rPr>
          <w:sz w:val="18"/>
        </w:rPr>
        <w:t xml:space="preserve">https://polarisproject.org/wp- </w:t>
      </w:r>
      <w:r>
        <w:rPr>
          <w:spacing w:val="-2"/>
          <w:sz w:val="18"/>
        </w:rPr>
        <w:t>content/uploads/2019/09/LGBTQ-Sex-Trafficking.pdf.</w:t>
      </w:r>
    </w:p>
    <w:p w:rsidR="00200FDA" w:rsidRDefault="00F76C4C">
      <w:pPr>
        <w:spacing w:line="219" w:lineRule="exact"/>
        <w:ind w:left="140"/>
        <w:rPr>
          <w:sz w:val="18"/>
        </w:rPr>
      </w:pPr>
      <w:r>
        <w:rPr>
          <w:position w:val="5"/>
          <w:sz w:val="12"/>
        </w:rPr>
        <w:t>122</w:t>
      </w:r>
      <w:r>
        <w:rPr>
          <w:spacing w:val="10"/>
          <w:position w:val="5"/>
          <w:sz w:val="12"/>
        </w:rPr>
        <w:t xml:space="preserve"> </w:t>
      </w:r>
      <w:r>
        <w:rPr>
          <w:sz w:val="18"/>
        </w:rPr>
        <w:t>“Sex</w:t>
      </w:r>
      <w:r>
        <w:rPr>
          <w:spacing w:val="-3"/>
          <w:sz w:val="18"/>
        </w:rPr>
        <w:t xml:space="preserve"> </w:t>
      </w:r>
      <w:r>
        <w:rPr>
          <w:sz w:val="18"/>
        </w:rPr>
        <w:t>Trafficking</w:t>
      </w:r>
      <w:r>
        <w:rPr>
          <w:spacing w:val="-2"/>
          <w:sz w:val="18"/>
        </w:rPr>
        <w:t xml:space="preserve"> </w:t>
      </w:r>
      <w:r>
        <w:rPr>
          <w:sz w:val="18"/>
        </w:rPr>
        <w:t>and</w:t>
      </w:r>
      <w:r>
        <w:rPr>
          <w:spacing w:val="-3"/>
          <w:sz w:val="18"/>
        </w:rPr>
        <w:t xml:space="preserve"> </w:t>
      </w:r>
      <w:r>
        <w:rPr>
          <w:sz w:val="18"/>
        </w:rPr>
        <w:t>LGBTQ+</w:t>
      </w:r>
      <w:r>
        <w:rPr>
          <w:spacing w:val="-2"/>
          <w:sz w:val="18"/>
        </w:rPr>
        <w:t xml:space="preserve"> Youth.”</w:t>
      </w:r>
    </w:p>
    <w:p w:rsidR="00200FDA" w:rsidRDefault="00F76C4C">
      <w:pPr>
        <w:spacing w:before="1"/>
        <w:ind w:left="140" w:right="418"/>
        <w:rPr>
          <w:sz w:val="18"/>
        </w:rPr>
      </w:pPr>
      <w:r>
        <w:rPr>
          <w:position w:val="5"/>
          <w:sz w:val="12"/>
        </w:rPr>
        <w:t>123</w:t>
      </w:r>
      <w:r>
        <w:rPr>
          <w:spacing w:val="10"/>
          <w:position w:val="5"/>
          <w:sz w:val="12"/>
        </w:rPr>
        <w:t xml:space="preserve"> </w:t>
      </w:r>
      <w:r>
        <w:rPr>
          <w:sz w:val="18"/>
        </w:rPr>
        <w:t>Meaghan</w:t>
      </w:r>
      <w:r>
        <w:rPr>
          <w:spacing w:val="-3"/>
          <w:sz w:val="18"/>
        </w:rPr>
        <w:t xml:space="preserve"> </w:t>
      </w:r>
      <w:r>
        <w:rPr>
          <w:sz w:val="18"/>
        </w:rPr>
        <w:t>Tomasiewicz,</w:t>
      </w:r>
      <w:r>
        <w:rPr>
          <w:spacing w:val="-2"/>
          <w:sz w:val="18"/>
        </w:rPr>
        <w:t xml:space="preserve"> </w:t>
      </w:r>
      <w:r>
        <w:rPr>
          <w:sz w:val="18"/>
        </w:rPr>
        <w:t>“Sex</w:t>
      </w:r>
      <w:r>
        <w:rPr>
          <w:spacing w:val="-3"/>
          <w:sz w:val="18"/>
        </w:rPr>
        <w:t xml:space="preserve"> </w:t>
      </w:r>
      <w:r>
        <w:rPr>
          <w:sz w:val="18"/>
        </w:rPr>
        <w:t>Trafficking</w:t>
      </w:r>
      <w:r>
        <w:rPr>
          <w:spacing w:val="-3"/>
          <w:sz w:val="18"/>
        </w:rPr>
        <w:t xml:space="preserve"> </w:t>
      </w:r>
      <w:r>
        <w:rPr>
          <w:sz w:val="18"/>
        </w:rPr>
        <w:t>of</w:t>
      </w:r>
      <w:r>
        <w:rPr>
          <w:spacing w:val="-2"/>
          <w:sz w:val="18"/>
        </w:rPr>
        <w:t xml:space="preserve"> </w:t>
      </w:r>
      <w:r>
        <w:rPr>
          <w:sz w:val="18"/>
        </w:rPr>
        <w:t>Transg</w:t>
      </w:r>
      <w:r>
        <w:rPr>
          <w:sz w:val="18"/>
        </w:rPr>
        <w:t>ender</w:t>
      </w:r>
      <w:r>
        <w:rPr>
          <w:spacing w:val="-3"/>
          <w:sz w:val="18"/>
        </w:rPr>
        <w:t xml:space="preserve"> </w:t>
      </w:r>
      <w:r>
        <w:rPr>
          <w:sz w:val="18"/>
        </w:rPr>
        <w:t>and</w:t>
      </w:r>
      <w:r>
        <w:rPr>
          <w:spacing w:val="-3"/>
          <w:sz w:val="18"/>
        </w:rPr>
        <w:t xml:space="preserve"> </w:t>
      </w:r>
      <w:r>
        <w:rPr>
          <w:sz w:val="18"/>
        </w:rPr>
        <w:t>Gender</w:t>
      </w:r>
      <w:r>
        <w:rPr>
          <w:spacing w:val="-3"/>
          <w:sz w:val="18"/>
        </w:rPr>
        <w:t xml:space="preserve"> </w:t>
      </w:r>
      <w:r>
        <w:rPr>
          <w:sz w:val="18"/>
        </w:rPr>
        <w:t>Nonconforming</w:t>
      </w:r>
      <w:r>
        <w:rPr>
          <w:spacing w:val="-3"/>
          <w:sz w:val="18"/>
        </w:rPr>
        <w:t xml:space="preserve"> </w:t>
      </w:r>
      <w:r>
        <w:rPr>
          <w:sz w:val="18"/>
        </w:rPr>
        <w:t>Youth</w:t>
      </w:r>
      <w:r>
        <w:rPr>
          <w:spacing w:val="-3"/>
          <w:sz w:val="18"/>
        </w:rPr>
        <w:t xml:space="preserve"> </w:t>
      </w:r>
      <w:r>
        <w:rPr>
          <w:sz w:val="18"/>
        </w:rPr>
        <w:t>in</w:t>
      </w:r>
      <w:r>
        <w:rPr>
          <w:spacing w:val="-1"/>
          <w:sz w:val="18"/>
        </w:rPr>
        <w:t xml:space="preserve"> </w:t>
      </w:r>
      <w:r>
        <w:rPr>
          <w:sz w:val="18"/>
        </w:rPr>
        <w:t>the</w:t>
      </w:r>
      <w:r>
        <w:rPr>
          <w:spacing w:val="-3"/>
          <w:sz w:val="18"/>
        </w:rPr>
        <w:t xml:space="preserve"> </w:t>
      </w:r>
      <w:r>
        <w:rPr>
          <w:sz w:val="18"/>
        </w:rPr>
        <w:t>United</w:t>
      </w:r>
      <w:r>
        <w:rPr>
          <w:spacing w:val="-1"/>
          <w:sz w:val="18"/>
        </w:rPr>
        <w:t xml:space="preserve"> </w:t>
      </w:r>
      <w:r>
        <w:rPr>
          <w:sz w:val="18"/>
        </w:rPr>
        <w:t>States,”</w:t>
      </w:r>
      <w:r>
        <w:rPr>
          <w:spacing w:val="-3"/>
          <w:sz w:val="18"/>
        </w:rPr>
        <w:t xml:space="preserve"> </w:t>
      </w:r>
      <w:r>
        <w:rPr>
          <w:i/>
          <w:sz w:val="18"/>
        </w:rPr>
        <w:t>Center for the Human Rights of Children</w:t>
      </w:r>
      <w:r>
        <w:rPr>
          <w:sz w:val="18"/>
        </w:rPr>
        <w:t>, May 1, 2018, https://ecommons.luc.edu/chrc/16.</w:t>
      </w:r>
    </w:p>
    <w:p w:rsidR="00200FDA" w:rsidRDefault="00F76C4C">
      <w:pPr>
        <w:spacing w:line="219" w:lineRule="exact"/>
        <w:ind w:left="140"/>
        <w:rPr>
          <w:sz w:val="18"/>
        </w:rPr>
      </w:pPr>
      <w:r>
        <w:rPr>
          <w:position w:val="5"/>
          <w:sz w:val="12"/>
        </w:rPr>
        <w:t>124</w:t>
      </w:r>
      <w:r>
        <w:rPr>
          <w:spacing w:val="8"/>
          <w:position w:val="5"/>
          <w:sz w:val="12"/>
        </w:rPr>
        <w:t xml:space="preserve"> </w:t>
      </w:r>
      <w:r>
        <w:rPr>
          <w:sz w:val="18"/>
        </w:rPr>
        <w:t>Kimberly</w:t>
      </w:r>
      <w:r>
        <w:rPr>
          <w:spacing w:val="-2"/>
          <w:sz w:val="18"/>
        </w:rPr>
        <w:t xml:space="preserve"> </w:t>
      </w:r>
      <w:r>
        <w:rPr>
          <w:sz w:val="18"/>
        </w:rPr>
        <w:t>A.</w:t>
      </w:r>
      <w:r>
        <w:rPr>
          <w:spacing w:val="-2"/>
          <w:sz w:val="18"/>
        </w:rPr>
        <w:t xml:space="preserve"> </w:t>
      </w:r>
      <w:r>
        <w:rPr>
          <w:sz w:val="18"/>
        </w:rPr>
        <w:t>Hogan</w:t>
      </w:r>
      <w:r>
        <w:rPr>
          <w:spacing w:val="-3"/>
          <w:sz w:val="18"/>
        </w:rPr>
        <w:t xml:space="preserve"> </w:t>
      </w:r>
      <w:r>
        <w:rPr>
          <w:sz w:val="18"/>
        </w:rPr>
        <w:t>and</w:t>
      </w:r>
      <w:r>
        <w:rPr>
          <w:spacing w:val="-3"/>
          <w:sz w:val="18"/>
        </w:rPr>
        <w:t xml:space="preserve"> </w:t>
      </w:r>
      <w:r>
        <w:rPr>
          <w:sz w:val="18"/>
        </w:rPr>
        <w:t>Dominique</w:t>
      </w:r>
      <w:r>
        <w:rPr>
          <w:spacing w:val="-3"/>
          <w:sz w:val="18"/>
        </w:rPr>
        <w:t xml:space="preserve"> </w:t>
      </w:r>
      <w:r>
        <w:rPr>
          <w:sz w:val="18"/>
        </w:rPr>
        <w:t>Roe-Sepowitz,</w:t>
      </w:r>
      <w:r>
        <w:rPr>
          <w:spacing w:val="-2"/>
          <w:sz w:val="18"/>
        </w:rPr>
        <w:t xml:space="preserve"> </w:t>
      </w:r>
      <w:r>
        <w:rPr>
          <w:sz w:val="18"/>
        </w:rPr>
        <w:t>“LGBTQ+</w:t>
      </w:r>
      <w:r>
        <w:rPr>
          <w:spacing w:val="-3"/>
          <w:sz w:val="18"/>
        </w:rPr>
        <w:t xml:space="preserve"> </w:t>
      </w:r>
      <w:r>
        <w:rPr>
          <w:sz w:val="18"/>
        </w:rPr>
        <w:t>Homeless</w:t>
      </w:r>
      <w:r>
        <w:rPr>
          <w:spacing w:val="-3"/>
          <w:sz w:val="18"/>
        </w:rPr>
        <w:t xml:space="preserve"> </w:t>
      </w:r>
      <w:r>
        <w:rPr>
          <w:sz w:val="18"/>
        </w:rPr>
        <w:t>Young</w:t>
      </w:r>
      <w:r>
        <w:rPr>
          <w:spacing w:val="-1"/>
          <w:sz w:val="18"/>
        </w:rPr>
        <w:t xml:space="preserve"> </w:t>
      </w:r>
      <w:r>
        <w:rPr>
          <w:sz w:val="18"/>
        </w:rPr>
        <w:t>Adults</w:t>
      </w:r>
      <w:r>
        <w:rPr>
          <w:spacing w:val="-3"/>
          <w:sz w:val="18"/>
        </w:rPr>
        <w:t xml:space="preserve"> </w:t>
      </w:r>
      <w:r>
        <w:rPr>
          <w:sz w:val="18"/>
        </w:rPr>
        <w:t>and</w:t>
      </w:r>
      <w:r>
        <w:rPr>
          <w:spacing w:val="-3"/>
          <w:sz w:val="18"/>
        </w:rPr>
        <w:t xml:space="preserve"> </w:t>
      </w:r>
      <w:r>
        <w:rPr>
          <w:sz w:val="18"/>
        </w:rPr>
        <w:t>Sex</w:t>
      </w:r>
      <w:r>
        <w:rPr>
          <w:spacing w:val="-3"/>
          <w:sz w:val="18"/>
        </w:rPr>
        <w:t xml:space="preserve"> </w:t>
      </w:r>
      <w:r>
        <w:rPr>
          <w:sz w:val="18"/>
        </w:rPr>
        <w:t>Trafficking</w:t>
      </w:r>
      <w:r>
        <w:rPr>
          <w:spacing w:val="-2"/>
          <w:sz w:val="18"/>
        </w:rPr>
        <w:t xml:space="preserve"> Vulnerability,”</w:t>
      </w:r>
    </w:p>
    <w:p w:rsidR="00200FDA" w:rsidRDefault="00F76C4C">
      <w:pPr>
        <w:spacing w:line="219" w:lineRule="exact"/>
        <w:ind w:left="140"/>
        <w:rPr>
          <w:sz w:val="18"/>
        </w:rPr>
      </w:pPr>
      <w:r>
        <w:rPr>
          <w:i/>
          <w:sz w:val="18"/>
        </w:rPr>
        <w:t>Journal</w:t>
      </w:r>
      <w:r>
        <w:rPr>
          <w:i/>
          <w:spacing w:val="-5"/>
          <w:sz w:val="18"/>
        </w:rPr>
        <w:t xml:space="preserve"> </w:t>
      </w:r>
      <w:r>
        <w:rPr>
          <w:i/>
          <w:sz w:val="18"/>
        </w:rPr>
        <w:t>of</w:t>
      </w:r>
      <w:r>
        <w:rPr>
          <w:i/>
          <w:spacing w:val="-1"/>
          <w:sz w:val="18"/>
        </w:rPr>
        <w:t xml:space="preserve"> </w:t>
      </w:r>
      <w:r>
        <w:rPr>
          <w:i/>
          <w:sz w:val="18"/>
        </w:rPr>
        <w:t>Human</w:t>
      </w:r>
      <w:r>
        <w:rPr>
          <w:i/>
          <w:spacing w:val="-1"/>
          <w:sz w:val="18"/>
        </w:rPr>
        <w:t xml:space="preserve"> </w:t>
      </w:r>
      <w:r>
        <w:rPr>
          <w:i/>
          <w:sz w:val="18"/>
        </w:rPr>
        <w:t xml:space="preserve">Trafficking </w:t>
      </w:r>
      <w:r>
        <w:rPr>
          <w:sz w:val="18"/>
        </w:rPr>
        <w:t>0,</w:t>
      </w:r>
      <w:r>
        <w:rPr>
          <w:spacing w:val="-1"/>
          <w:sz w:val="18"/>
        </w:rPr>
        <w:t xml:space="preserve"> </w:t>
      </w:r>
      <w:r>
        <w:rPr>
          <w:sz w:val="18"/>
        </w:rPr>
        <w:t>no.</w:t>
      </w:r>
      <w:r>
        <w:rPr>
          <w:spacing w:val="-2"/>
          <w:sz w:val="18"/>
        </w:rPr>
        <w:t xml:space="preserve"> </w:t>
      </w:r>
      <w:r>
        <w:rPr>
          <w:sz w:val="18"/>
        </w:rPr>
        <w:t>0</w:t>
      </w:r>
      <w:r>
        <w:rPr>
          <w:spacing w:val="-1"/>
          <w:sz w:val="18"/>
        </w:rPr>
        <w:t xml:space="preserve"> </w:t>
      </w:r>
      <w:r>
        <w:rPr>
          <w:sz w:val="18"/>
        </w:rPr>
        <w:t>(November</w:t>
      </w:r>
      <w:r>
        <w:rPr>
          <w:spacing w:val="-2"/>
          <w:sz w:val="18"/>
        </w:rPr>
        <w:t xml:space="preserve"> </w:t>
      </w:r>
      <w:r>
        <w:rPr>
          <w:sz w:val="18"/>
        </w:rPr>
        <w:t>11,</w:t>
      </w:r>
      <w:r>
        <w:rPr>
          <w:spacing w:val="-2"/>
          <w:sz w:val="18"/>
        </w:rPr>
        <w:t xml:space="preserve"> </w:t>
      </w:r>
      <w:r>
        <w:rPr>
          <w:sz w:val="18"/>
        </w:rPr>
        <w:t>2020):</w:t>
      </w:r>
      <w:r>
        <w:rPr>
          <w:spacing w:val="-1"/>
          <w:sz w:val="18"/>
        </w:rPr>
        <w:t xml:space="preserve"> </w:t>
      </w:r>
      <w:r>
        <w:rPr>
          <w:sz w:val="18"/>
        </w:rPr>
        <w:t>1–16,</w:t>
      </w:r>
      <w:r>
        <w:rPr>
          <w:spacing w:val="-1"/>
          <w:sz w:val="18"/>
        </w:rPr>
        <w:t xml:space="preserve"> </w:t>
      </w:r>
      <w:r>
        <w:rPr>
          <w:spacing w:val="-2"/>
          <w:sz w:val="18"/>
        </w:rPr>
        <w:t>https://doi.org/10.1080/23322705.2020.1841985.</w:t>
      </w:r>
    </w:p>
    <w:p w:rsidR="00200FDA" w:rsidRDefault="00F76C4C">
      <w:pPr>
        <w:spacing w:before="1" w:line="219" w:lineRule="exact"/>
        <w:ind w:left="140"/>
        <w:rPr>
          <w:sz w:val="18"/>
        </w:rPr>
      </w:pPr>
      <w:r>
        <w:rPr>
          <w:position w:val="5"/>
          <w:sz w:val="12"/>
        </w:rPr>
        <w:t>125</w:t>
      </w:r>
      <w:r>
        <w:rPr>
          <w:spacing w:val="10"/>
          <w:position w:val="5"/>
          <w:sz w:val="12"/>
        </w:rPr>
        <w:t xml:space="preserve"> </w:t>
      </w:r>
      <w:r>
        <w:rPr>
          <w:sz w:val="18"/>
        </w:rPr>
        <w:t>Hogan</w:t>
      </w:r>
      <w:r>
        <w:rPr>
          <w:spacing w:val="-2"/>
          <w:sz w:val="18"/>
        </w:rPr>
        <w:t xml:space="preserve"> </w:t>
      </w:r>
      <w:r>
        <w:rPr>
          <w:sz w:val="18"/>
        </w:rPr>
        <w:t>and</w:t>
      </w:r>
      <w:r>
        <w:rPr>
          <w:spacing w:val="-2"/>
          <w:sz w:val="18"/>
        </w:rPr>
        <w:t xml:space="preserve"> </w:t>
      </w:r>
      <w:r>
        <w:rPr>
          <w:sz w:val="18"/>
        </w:rPr>
        <w:t>Roe-</w:t>
      </w:r>
      <w:r>
        <w:rPr>
          <w:spacing w:val="-2"/>
          <w:sz w:val="18"/>
        </w:rPr>
        <w:t>Sepowitz.</w:t>
      </w:r>
    </w:p>
    <w:p w:rsidR="00200FDA" w:rsidRDefault="00F76C4C">
      <w:pPr>
        <w:spacing w:line="219" w:lineRule="exact"/>
        <w:ind w:left="140"/>
        <w:rPr>
          <w:sz w:val="18"/>
        </w:rPr>
      </w:pPr>
      <w:r>
        <w:rPr>
          <w:position w:val="5"/>
          <w:sz w:val="12"/>
        </w:rPr>
        <w:t>126</w:t>
      </w:r>
      <w:r>
        <w:rPr>
          <w:spacing w:val="10"/>
          <w:position w:val="5"/>
          <w:sz w:val="12"/>
        </w:rPr>
        <w:t xml:space="preserve"> </w:t>
      </w:r>
      <w:r>
        <w:rPr>
          <w:sz w:val="18"/>
        </w:rPr>
        <w:t>Hogan</w:t>
      </w:r>
      <w:r>
        <w:rPr>
          <w:spacing w:val="-2"/>
          <w:sz w:val="18"/>
        </w:rPr>
        <w:t xml:space="preserve"> </w:t>
      </w:r>
      <w:r>
        <w:rPr>
          <w:sz w:val="18"/>
        </w:rPr>
        <w:t>and</w:t>
      </w:r>
      <w:r>
        <w:rPr>
          <w:spacing w:val="-2"/>
          <w:sz w:val="18"/>
        </w:rPr>
        <w:t xml:space="preserve"> </w:t>
      </w:r>
      <w:r>
        <w:rPr>
          <w:sz w:val="18"/>
        </w:rPr>
        <w:t>Roe-</w:t>
      </w:r>
      <w:r>
        <w:rPr>
          <w:spacing w:val="-2"/>
          <w:sz w:val="18"/>
        </w:rPr>
        <w:t>Sepowitz.</w:t>
      </w:r>
    </w:p>
    <w:p w:rsidR="00200FDA" w:rsidRDefault="00F76C4C">
      <w:pPr>
        <w:spacing w:before="1"/>
        <w:ind w:left="140"/>
        <w:rPr>
          <w:sz w:val="18"/>
        </w:rPr>
      </w:pPr>
      <w:r>
        <w:rPr>
          <w:position w:val="5"/>
          <w:sz w:val="12"/>
        </w:rPr>
        <w:t>127</w:t>
      </w:r>
      <w:r>
        <w:rPr>
          <w:spacing w:val="10"/>
          <w:position w:val="5"/>
          <w:sz w:val="12"/>
        </w:rPr>
        <w:t xml:space="preserve"> </w:t>
      </w:r>
      <w:r>
        <w:rPr>
          <w:sz w:val="18"/>
        </w:rPr>
        <w:t>Hogan</w:t>
      </w:r>
      <w:r>
        <w:rPr>
          <w:spacing w:val="-2"/>
          <w:sz w:val="18"/>
        </w:rPr>
        <w:t xml:space="preserve"> </w:t>
      </w:r>
      <w:r>
        <w:rPr>
          <w:sz w:val="18"/>
        </w:rPr>
        <w:t>and</w:t>
      </w:r>
      <w:r>
        <w:rPr>
          <w:spacing w:val="-2"/>
          <w:sz w:val="18"/>
        </w:rPr>
        <w:t xml:space="preserve"> </w:t>
      </w:r>
      <w:r>
        <w:rPr>
          <w:sz w:val="18"/>
        </w:rPr>
        <w:t>Roe-</w:t>
      </w:r>
      <w:r>
        <w:rPr>
          <w:spacing w:val="-2"/>
          <w:sz w:val="18"/>
        </w:rPr>
        <w:t>Sepowitz.</w:t>
      </w:r>
    </w:p>
    <w:p w:rsidR="00200FDA" w:rsidRDefault="00F76C4C">
      <w:pPr>
        <w:spacing w:before="1" w:line="219" w:lineRule="exact"/>
        <w:ind w:left="140"/>
        <w:rPr>
          <w:sz w:val="18"/>
        </w:rPr>
      </w:pPr>
      <w:r>
        <w:rPr>
          <w:position w:val="5"/>
          <w:sz w:val="12"/>
        </w:rPr>
        <w:t>128</w:t>
      </w:r>
      <w:r>
        <w:rPr>
          <w:spacing w:val="10"/>
          <w:position w:val="5"/>
          <w:sz w:val="12"/>
        </w:rPr>
        <w:t xml:space="preserve"> </w:t>
      </w:r>
      <w:r>
        <w:rPr>
          <w:sz w:val="18"/>
        </w:rPr>
        <w:t>Hogan</w:t>
      </w:r>
      <w:r>
        <w:rPr>
          <w:spacing w:val="-2"/>
          <w:sz w:val="18"/>
        </w:rPr>
        <w:t xml:space="preserve"> </w:t>
      </w:r>
      <w:r>
        <w:rPr>
          <w:sz w:val="18"/>
        </w:rPr>
        <w:t>and</w:t>
      </w:r>
      <w:r>
        <w:rPr>
          <w:spacing w:val="-2"/>
          <w:sz w:val="18"/>
        </w:rPr>
        <w:t xml:space="preserve"> </w:t>
      </w:r>
      <w:r>
        <w:rPr>
          <w:sz w:val="18"/>
        </w:rPr>
        <w:t>Roe-</w:t>
      </w:r>
      <w:r>
        <w:rPr>
          <w:spacing w:val="-2"/>
          <w:sz w:val="18"/>
        </w:rPr>
        <w:t>Sepowitz.</w:t>
      </w:r>
    </w:p>
    <w:p w:rsidR="00200FDA" w:rsidRDefault="00F76C4C">
      <w:pPr>
        <w:ind w:left="140" w:right="1077"/>
        <w:rPr>
          <w:sz w:val="18"/>
        </w:rPr>
      </w:pPr>
      <w:r>
        <w:rPr>
          <w:position w:val="5"/>
          <w:sz w:val="12"/>
        </w:rPr>
        <w:t>129</w:t>
      </w:r>
      <w:r>
        <w:rPr>
          <w:spacing w:val="9"/>
          <w:position w:val="5"/>
          <w:sz w:val="12"/>
        </w:rPr>
        <w:t xml:space="preserve"> </w:t>
      </w:r>
      <w:r>
        <w:rPr>
          <w:sz w:val="18"/>
        </w:rPr>
        <w:t>“Citizen’s</w:t>
      </w:r>
      <w:r>
        <w:rPr>
          <w:spacing w:val="-2"/>
          <w:sz w:val="18"/>
        </w:rPr>
        <w:t xml:space="preserve"> </w:t>
      </w:r>
      <w:r>
        <w:rPr>
          <w:sz w:val="18"/>
        </w:rPr>
        <w:t>Guide</w:t>
      </w:r>
      <w:r>
        <w:rPr>
          <w:spacing w:val="-4"/>
          <w:sz w:val="18"/>
        </w:rPr>
        <w:t xml:space="preserve"> </w:t>
      </w:r>
      <w:r>
        <w:rPr>
          <w:sz w:val="18"/>
        </w:rPr>
        <w:t>To</w:t>
      </w:r>
      <w:r>
        <w:rPr>
          <w:spacing w:val="-2"/>
          <w:sz w:val="18"/>
        </w:rPr>
        <w:t xml:space="preserve"> </w:t>
      </w:r>
      <w:r>
        <w:rPr>
          <w:sz w:val="18"/>
        </w:rPr>
        <w:t>U.S.</w:t>
      </w:r>
      <w:r>
        <w:rPr>
          <w:spacing w:val="-3"/>
          <w:sz w:val="18"/>
        </w:rPr>
        <w:t xml:space="preserve"> </w:t>
      </w:r>
      <w:r>
        <w:rPr>
          <w:sz w:val="18"/>
        </w:rPr>
        <w:t>Federal</w:t>
      </w:r>
      <w:r>
        <w:rPr>
          <w:spacing w:val="-1"/>
          <w:sz w:val="18"/>
        </w:rPr>
        <w:t xml:space="preserve"> </w:t>
      </w:r>
      <w:r>
        <w:rPr>
          <w:sz w:val="18"/>
        </w:rPr>
        <w:t>Law</w:t>
      </w:r>
      <w:r>
        <w:rPr>
          <w:spacing w:val="-2"/>
          <w:sz w:val="18"/>
        </w:rPr>
        <w:t xml:space="preserve"> </w:t>
      </w:r>
      <w:r>
        <w:rPr>
          <w:sz w:val="18"/>
        </w:rPr>
        <w:t>On</w:t>
      </w:r>
      <w:r>
        <w:rPr>
          <w:spacing w:val="-4"/>
          <w:sz w:val="18"/>
        </w:rPr>
        <w:t xml:space="preserve"> </w:t>
      </w:r>
      <w:r>
        <w:rPr>
          <w:sz w:val="18"/>
        </w:rPr>
        <w:t>Child</w:t>
      </w:r>
      <w:r>
        <w:rPr>
          <w:spacing w:val="-4"/>
          <w:sz w:val="18"/>
        </w:rPr>
        <w:t xml:space="preserve"> </w:t>
      </w:r>
      <w:r>
        <w:rPr>
          <w:sz w:val="18"/>
        </w:rPr>
        <w:t>Sex</w:t>
      </w:r>
      <w:r>
        <w:rPr>
          <w:spacing w:val="-4"/>
          <w:sz w:val="18"/>
        </w:rPr>
        <w:t xml:space="preserve"> </w:t>
      </w:r>
      <w:r>
        <w:rPr>
          <w:sz w:val="18"/>
        </w:rPr>
        <w:t>Trafficking,”</w:t>
      </w:r>
      <w:r>
        <w:rPr>
          <w:spacing w:val="-4"/>
          <w:sz w:val="18"/>
        </w:rPr>
        <w:t xml:space="preserve"> </w:t>
      </w:r>
      <w:r>
        <w:rPr>
          <w:sz w:val="18"/>
        </w:rPr>
        <w:t>May</w:t>
      </w:r>
      <w:r>
        <w:rPr>
          <w:spacing w:val="-3"/>
          <w:sz w:val="18"/>
        </w:rPr>
        <w:t xml:space="preserve"> </w:t>
      </w:r>
      <w:r>
        <w:rPr>
          <w:sz w:val="18"/>
        </w:rPr>
        <w:t>26,</w:t>
      </w:r>
      <w:r>
        <w:rPr>
          <w:spacing w:val="-3"/>
          <w:sz w:val="18"/>
        </w:rPr>
        <w:t xml:space="preserve"> </w:t>
      </w:r>
      <w:r>
        <w:rPr>
          <w:sz w:val="18"/>
        </w:rPr>
        <w:t>2015,</w:t>
      </w:r>
      <w:r>
        <w:rPr>
          <w:spacing w:val="-3"/>
          <w:sz w:val="18"/>
        </w:rPr>
        <w:t xml:space="preserve"> </w:t>
      </w:r>
      <w:r>
        <w:rPr>
          <w:sz w:val="18"/>
        </w:rPr>
        <w:t>https://</w:t>
      </w:r>
      <w:hyperlink r:id="rId208">
        <w:r>
          <w:rPr>
            <w:sz w:val="18"/>
          </w:rPr>
          <w:t>www.justice.gov/criminal-</w:t>
        </w:r>
      </w:hyperlink>
      <w:r>
        <w:rPr>
          <w:sz w:val="18"/>
        </w:rPr>
        <w:t xml:space="preserve"> </w:t>
      </w:r>
      <w:r>
        <w:rPr>
          <w:spacing w:val="-2"/>
          <w:sz w:val="18"/>
        </w:rPr>
        <w:t>ceos/citizens-guide-us-federal-law-child-sex-trafficking.</w:t>
      </w:r>
    </w:p>
    <w:p w:rsidR="00200FDA" w:rsidRDefault="00F76C4C">
      <w:pPr>
        <w:ind w:left="140" w:right="2025"/>
        <w:rPr>
          <w:sz w:val="18"/>
        </w:rPr>
      </w:pPr>
      <w:r>
        <w:rPr>
          <w:position w:val="5"/>
          <w:sz w:val="12"/>
        </w:rPr>
        <w:t>130</w:t>
      </w:r>
      <w:r>
        <w:rPr>
          <w:spacing w:val="9"/>
          <w:position w:val="5"/>
          <w:sz w:val="12"/>
        </w:rPr>
        <w:t xml:space="preserve"> </w:t>
      </w:r>
      <w:r>
        <w:rPr>
          <w:sz w:val="18"/>
        </w:rPr>
        <w:t>“Massachusetts</w:t>
      </w:r>
      <w:r>
        <w:rPr>
          <w:spacing w:val="-4"/>
          <w:sz w:val="18"/>
        </w:rPr>
        <w:t xml:space="preserve"> </w:t>
      </w:r>
      <w:r>
        <w:rPr>
          <w:sz w:val="18"/>
        </w:rPr>
        <w:t>Law</w:t>
      </w:r>
      <w:r>
        <w:rPr>
          <w:spacing w:val="-2"/>
          <w:sz w:val="18"/>
        </w:rPr>
        <w:t xml:space="preserve"> </w:t>
      </w:r>
      <w:r>
        <w:rPr>
          <w:sz w:val="18"/>
        </w:rPr>
        <w:t>about</w:t>
      </w:r>
      <w:r>
        <w:rPr>
          <w:spacing w:val="-4"/>
          <w:sz w:val="18"/>
        </w:rPr>
        <w:t xml:space="preserve"> </w:t>
      </w:r>
      <w:r>
        <w:rPr>
          <w:sz w:val="18"/>
        </w:rPr>
        <w:t>Sex</w:t>
      </w:r>
      <w:r>
        <w:rPr>
          <w:spacing w:val="-4"/>
          <w:sz w:val="18"/>
        </w:rPr>
        <w:t xml:space="preserve"> </w:t>
      </w:r>
      <w:r>
        <w:rPr>
          <w:sz w:val="18"/>
        </w:rPr>
        <w:t>|</w:t>
      </w:r>
      <w:r>
        <w:rPr>
          <w:spacing w:val="-1"/>
          <w:sz w:val="18"/>
        </w:rPr>
        <w:t xml:space="preserve"> </w:t>
      </w:r>
      <w:r>
        <w:rPr>
          <w:sz w:val="18"/>
        </w:rPr>
        <w:t>Mass.Gov,”</w:t>
      </w:r>
      <w:r>
        <w:rPr>
          <w:spacing w:val="-4"/>
          <w:sz w:val="18"/>
        </w:rPr>
        <w:t xml:space="preserve"> </w:t>
      </w:r>
      <w:r>
        <w:rPr>
          <w:sz w:val="18"/>
        </w:rPr>
        <w:t>accessed</w:t>
      </w:r>
      <w:r>
        <w:rPr>
          <w:spacing w:val="-4"/>
          <w:sz w:val="18"/>
        </w:rPr>
        <w:t xml:space="preserve"> </w:t>
      </w:r>
      <w:r>
        <w:rPr>
          <w:sz w:val="18"/>
        </w:rPr>
        <w:t>April</w:t>
      </w:r>
      <w:r>
        <w:rPr>
          <w:spacing w:val="-4"/>
          <w:sz w:val="18"/>
        </w:rPr>
        <w:t xml:space="preserve"> </w:t>
      </w:r>
      <w:r>
        <w:rPr>
          <w:sz w:val="18"/>
        </w:rPr>
        <w:t>24,</w:t>
      </w:r>
      <w:r>
        <w:rPr>
          <w:spacing w:val="-3"/>
          <w:sz w:val="18"/>
        </w:rPr>
        <w:t xml:space="preserve"> </w:t>
      </w:r>
      <w:r>
        <w:rPr>
          <w:sz w:val="18"/>
        </w:rPr>
        <w:t>2023,</w:t>
      </w:r>
      <w:r>
        <w:rPr>
          <w:spacing w:val="-3"/>
          <w:sz w:val="18"/>
        </w:rPr>
        <w:t xml:space="preserve"> </w:t>
      </w:r>
      <w:r>
        <w:rPr>
          <w:sz w:val="18"/>
        </w:rPr>
        <w:t>https://</w:t>
      </w:r>
      <w:hyperlink r:id="rId209">
        <w:r>
          <w:rPr>
            <w:sz w:val="18"/>
          </w:rPr>
          <w:t>www.mass.gov/info-</w:t>
        </w:r>
      </w:hyperlink>
      <w:r>
        <w:rPr>
          <w:sz w:val="18"/>
        </w:rPr>
        <w:t xml:space="preserve"> </w:t>
      </w:r>
      <w:r>
        <w:rPr>
          <w:spacing w:val="-2"/>
          <w:sz w:val="18"/>
        </w:rPr>
        <w:t>details/massachusetts-law-about-sex.</w:t>
      </w:r>
    </w:p>
    <w:p w:rsidR="00200FDA" w:rsidRDefault="00F76C4C">
      <w:pPr>
        <w:ind w:left="140" w:right="628"/>
        <w:rPr>
          <w:sz w:val="18"/>
        </w:rPr>
      </w:pPr>
      <w:r>
        <w:rPr>
          <w:position w:val="5"/>
          <w:sz w:val="12"/>
        </w:rPr>
        <w:t>131</w:t>
      </w:r>
      <w:r>
        <w:rPr>
          <w:sz w:val="18"/>
        </w:rPr>
        <w:t>Sex</w:t>
      </w:r>
      <w:r>
        <w:rPr>
          <w:spacing w:val="-3"/>
          <w:sz w:val="18"/>
        </w:rPr>
        <w:t xml:space="preserve"> </w:t>
      </w:r>
      <w:r>
        <w:rPr>
          <w:sz w:val="18"/>
        </w:rPr>
        <w:t>Workers</w:t>
      </w:r>
      <w:r>
        <w:rPr>
          <w:spacing w:val="-3"/>
          <w:sz w:val="18"/>
        </w:rPr>
        <w:t xml:space="preserve"> </w:t>
      </w:r>
      <w:r>
        <w:rPr>
          <w:sz w:val="18"/>
        </w:rPr>
        <w:t>and</w:t>
      </w:r>
      <w:r>
        <w:rPr>
          <w:spacing w:val="-1"/>
          <w:sz w:val="18"/>
        </w:rPr>
        <w:t xml:space="preserve"> </w:t>
      </w:r>
      <w:r>
        <w:rPr>
          <w:sz w:val="18"/>
        </w:rPr>
        <w:t>Allies</w:t>
      </w:r>
      <w:r>
        <w:rPr>
          <w:spacing w:val="-3"/>
          <w:sz w:val="18"/>
        </w:rPr>
        <w:t xml:space="preserve"> </w:t>
      </w:r>
      <w:r>
        <w:rPr>
          <w:sz w:val="18"/>
        </w:rPr>
        <w:t>Network</w:t>
      </w:r>
      <w:r>
        <w:rPr>
          <w:spacing w:val="-3"/>
          <w:sz w:val="18"/>
        </w:rPr>
        <w:t xml:space="preserve"> </w:t>
      </w:r>
      <w:r>
        <w:rPr>
          <w:sz w:val="18"/>
        </w:rPr>
        <w:t>and</w:t>
      </w:r>
      <w:r>
        <w:rPr>
          <w:spacing w:val="-3"/>
          <w:sz w:val="18"/>
        </w:rPr>
        <w:t xml:space="preserve"> </w:t>
      </w:r>
      <w:r>
        <w:rPr>
          <w:sz w:val="18"/>
        </w:rPr>
        <w:t>Yale</w:t>
      </w:r>
      <w:r>
        <w:rPr>
          <w:spacing w:val="-3"/>
          <w:sz w:val="18"/>
        </w:rPr>
        <w:t xml:space="preserve"> </w:t>
      </w:r>
      <w:r>
        <w:rPr>
          <w:sz w:val="18"/>
        </w:rPr>
        <w:t>Global</w:t>
      </w:r>
      <w:r>
        <w:rPr>
          <w:spacing w:val="-3"/>
          <w:sz w:val="18"/>
        </w:rPr>
        <w:t xml:space="preserve"> </w:t>
      </w:r>
      <w:r>
        <w:rPr>
          <w:sz w:val="18"/>
        </w:rPr>
        <w:t>Health</w:t>
      </w:r>
      <w:r>
        <w:rPr>
          <w:spacing w:val="-3"/>
          <w:sz w:val="18"/>
        </w:rPr>
        <w:t xml:space="preserve"> </w:t>
      </w:r>
      <w:r>
        <w:rPr>
          <w:sz w:val="18"/>
        </w:rPr>
        <w:t>Justice</w:t>
      </w:r>
      <w:r>
        <w:rPr>
          <w:spacing w:val="-3"/>
          <w:sz w:val="18"/>
        </w:rPr>
        <w:t xml:space="preserve"> </w:t>
      </w:r>
      <w:r>
        <w:rPr>
          <w:sz w:val="18"/>
        </w:rPr>
        <w:t>Partnership,</w:t>
      </w:r>
      <w:r>
        <w:rPr>
          <w:spacing w:val="-2"/>
          <w:sz w:val="18"/>
        </w:rPr>
        <w:t xml:space="preserve"> </w:t>
      </w:r>
      <w:r>
        <w:rPr>
          <w:sz w:val="18"/>
        </w:rPr>
        <w:t>“SEX</w:t>
      </w:r>
      <w:r>
        <w:rPr>
          <w:spacing w:val="-2"/>
          <w:sz w:val="18"/>
        </w:rPr>
        <w:t xml:space="preserve"> </w:t>
      </w:r>
      <w:r>
        <w:rPr>
          <w:sz w:val="18"/>
        </w:rPr>
        <w:t>WORK</w:t>
      </w:r>
      <w:r>
        <w:rPr>
          <w:spacing w:val="-2"/>
          <w:sz w:val="18"/>
        </w:rPr>
        <w:t xml:space="preserve"> </w:t>
      </w:r>
      <w:r>
        <w:rPr>
          <w:sz w:val="18"/>
        </w:rPr>
        <w:t>VS</w:t>
      </w:r>
      <w:r>
        <w:rPr>
          <w:spacing w:val="-3"/>
          <w:sz w:val="18"/>
        </w:rPr>
        <w:t xml:space="preserve"> </w:t>
      </w:r>
      <w:r>
        <w:rPr>
          <w:sz w:val="18"/>
        </w:rPr>
        <w:t>TRAFFICKING:</w:t>
      </w:r>
      <w:r>
        <w:rPr>
          <w:spacing w:val="-2"/>
          <w:sz w:val="18"/>
        </w:rPr>
        <w:t xml:space="preserve"> </w:t>
      </w:r>
      <w:r>
        <w:rPr>
          <w:sz w:val="18"/>
        </w:rPr>
        <w:t>HOW</w:t>
      </w:r>
      <w:r>
        <w:rPr>
          <w:spacing w:val="-2"/>
          <w:sz w:val="18"/>
        </w:rPr>
        <w:t xml:space="preserve"> </w:t>
      </w:r>
      <w:r>
        <w:rPr>
          <w:sz w:val="18"/>
        </w:rPr>
        <w:t>THEY ARE DIFFERENT AND WHY IT MATTERS,” June 2020,</w:t>
      </w:r>
    </w:p>
    <w:p w:rsidR="00200FDA" w:rsidRDefault="00F76C4C">
      <w:pPr>
        <w:spacing w:line="219" w:lineRule="exact"/>
        <w:ind w:left="140"/>
        <w:rPr>
          <w:sz w:val="18"/>
        </w:rPr>
      </w:pPr>
      <w:r>
        <w:rPr>
          <w:spacing w:val="-2"/>
          <w:sz w:val="18"/>
        </w:rPr>
        <w:t>https://law.yale.edu/sites/default/files/area/center/ghjp/documents/issue_brief_sex_work_vs_trafficking_v2.pdf.</w:t>
      </w:r>
    </w:p>
    <w:p w:rsidR="00200FDA" w:rsidRDefault="00F76C4C">
      <w:pPr>
        <w:ind w:left="140" w:right="544" w:hanging="1"/>
        <w:rPr>
          <w:sz w:val="18"/>
        </w:rPr>
      </w:pPr>
      <w:r>
        <w:rPr>
          <w:position w:val="5"/>
          <w:sz w:val="12"/>
        </w:rPr>
        <w:t>132</w:t>
      </w:r>
      <w:r>
        <w:rPr>
          <w:spacing w:val="10"/>
          <w:position w:val="5"/>
          <w:sz w:val="12"/>
        </w:rPr>
        <w:t xml:space="preserve"> </w:t>
      </w:r>
      <w:r>
        <w:rPr>
          <w:sz w:val="18"/>
        </w:rPr>
        <w:t>“Erased</w:t>
      </w:r>
      <w:r>
        <w:rPr>
          <w:spacing w:val="-3"/>
          <w:sz w:val="18"/>
        </w:rPr>
        <w:t xml:space="preserve"> </w:t>
      </w:r>
      <w:r>
        <w:rPr>
          <w:sz w:val="18"/>
        </w:rPr>
        <w:t>-</w:t>
      </w:r>
      <w:r>
        <w:rPr>
          <w:spacing w:val="-2"/>
          <w:sz w:val="18"/>
        </w:rPr>
        <w:t xml:space="preserve"> </w:t>
      </w:r>
      <w:r>
        <w:rPr>
          <w:sz w:val="18"/>
        </w:rPr>
        <w:t>The</w:t>
      </w:r>
      <w:r>
        <w:rPr>
          <w:spacing w:val="-3"/>
          <w:sz w:val="18"/>
        </w:rPr>
        <w:t xml:space="preserve"> </w:t>
      </w:r>
      <w:r>
        <w:rPr>
          <w:sz w:val="18"/>
        </w:rPr>
        <w:t>Impact</w:t>
      </w:r>
      <w:r>
        <w:rPr>
          <w:spacing w:val="-3"/>
          <w:sz w:val="18"/>
        </w:rPr>
        <w:t xml:space="preserve"> </w:t>
      </w:r>
      <w:r>
        <w:rPr>
          <w:sz w:val="18"/>
        </w:rPr>
        <w:t>of</w:t>
      </w:r>
      <w:r>
        <w:rPr>
          <w:spacing w:val="-2"/>
          <w:sz w:val="18"/>
        </w:rPr>
        <w:t xml:space="preserve"> </w:t>
      </w:r>
      <w:r>
        <w:rPr>
          <w:sz w:val="18"/>
        </w:rPr>
        <w:t>FOSTA-SESTA</w:t>
      </w:r>
      <w:r>
        <w:rPr>
          <w:spacing w:val="-3"/>
          <w:sz w:val="18"/>
        </w:rPr>
        <w:t xml:space="preserve"> </w:t>
      </w:r>
      <w:r>
        <w:rPr>
          <w:sz w:val="18"/>
        </w:rPr>
        <w:t>and</w:t>
      </w:r>
      <w:r>
        <w:rPr>
          <w:spacing w:val="-3"/>
          <w:sz w:val="18"/>
        </w:rPr>
        <w:t xml:space="preserve"> </w:t>
      </w:r>
      <w:r>
        <w:rPr>
          <w:sz w:val="18"/>
        </w:rPr>
        <w:t>the</w:t>
      </w:r>
      <w:r>
        <w:rPr>
          <w:spacing w:val="-3"/>
          <w:sz w:val="18"/>
        </w:rPr>
        <w:t xml:space="preserve"> </w:t>
      </w:r>
      <w:r>
        <w:rPr>
          <w:sz w:val="18"/>
        </w:rPr>
        <w:t>Removal</w:t>
      </w:r>
      <w:r>
        <w:rPr>
          <w:spacing w:val="-3"/>
          <w:sz w:val="18"/>
        </w:rPr>
        <w:t xml:space="preserve"> </w:t>
      </w:r>
      <w:r>
        <w:rPr>
          <w:sz w:val="18"/>
        </w:rPr>
        <w:t>of</w:t>
      </w:r>
      <w:r>
        <w:rPr>
          <w:spacing w:val="-2"/>
          <w:sz w:val="18"/>
        </w:rPr>
        <w:t xml:space="preserve"> </w:t>
      </w:r>
      <w:r>
        <w:rPr>
          <w:sz w:val="18"/>
        </w:rPr>
        <w:t>Backpage</w:t>
      </w:r>
      <w:r>
        <w:rPr>
          <w:spacing w:val="-3"/>
          <w:sz w:val="18"/>
        </w:rPr>
        <w:t xml:space="preserve"> </w:t>
      </w:r>
      <w:r>
        <w:rPr>
          <w:sz w:val="18"/>
        </w:rPr>
        <w:t>2020,”</w:t>
      </w:r>
      <w:r>
        <w:rPr>
          <w:spacing w:val="-3"/>
          <w:sz w:val="18"/>
        </w:rPr>
        <w:t xml:space="preserve"> </w:t>
      </w:r>
      <w:r>
        <w:rPr>
          <w:sz w:val="18"/>
        </w:rPr>
        <w:t>Hacking//Hustling,</w:t>
      </w:r>
      <w:r>
        <w:rPr>
          <w:spacing w:val="-2"/>
          <w:sz w:val="18"/>
        </w:rPr>
        <w:t xml:space="preserve"> </w:t>
      </w:r>
      <w:r>
        <w:rPr>
          <w:sz w:val="18"/>
        </w:rPr>
        <w:t>accessed</w:t>
      </w:r>
      <w:r>
        <w:rPr>
          <w:spacing w:val="-3"/>
          <w:sz w:val="18"/>
        </w:rPr>
        <w:t xml:space="preserve"> </w:t>
      </w:r>
      <w:r>
        <w:rPr>
          <w:sz w:val="18"/>
        </w:rPr>
        <w:t>April</w:t>
      </w:r>
      <w:r>
        <w:rPr>
          <w:spacing w:val="-3"/>
          <w:sz w:val="18"/>
        </w:rPr>
        <w:t xml:space="preserve"> </w:t>
      </w:r>
      <w:r>
        <w:rPr>
          <w:sz w:val="18"/>
        </w:rPr>
        <w:t>24,</w:t>
      </w:r>
      <w:r>
        <w:rPr>
          <w:spacing w:val="-2"/>
          <w:sz w:val="18"/>
        </w:rPr>
        <w:t xml:space="preserve"> </w:t>
      </w:r>
      <w:r>
        <w:rPr>
          <w:sz w:val="18"/>
        </w:rPr>
        <w:t xml:space="preserve">2023, </w:t>
      </w:r>
      <w:r>
        <w:rPr>
          <w:spacing w:val="-2"/>
          <w:sz w:val="18"/>
        </w:rPr>
        <w:t>https://hackinghustling.org/erased-the-impact-of-fosta-sesta-2020/.</w:t>
      </w:r>
    </w:p>
    <w:p w:rsidR="00200FDA" w:rsidRDefault="00F76C4C">
      <w:pPr>
        <w:spacing w:line="219" w:lineRule="exact"/>
        <w:ind w:left="140"/>
        <w:rPr>
          <w:sz w:val="18"/>
        </w:rPr>
      </w:pPr>
      <w:r>
        <w:rPr>
          <w:position w:val="5"/>
          <w:sz w:val="12"/>
        </w:rPr>
        <w:t>133</w:t>
      </w:r>
      <w:r>
        <w:rPr>
          <w:spacing w:val="10"/>
          <w:position w:val="5"/>
          <w:sz w:val="12"/>
        </w:rPr>
        <w:t xml:space="preserve"> </w:t>
      </w:r>
      <w:r>
        <w:rPr>
          <w:sz w:val="18"/>
        </w:rPr>
        <w:t>“Sex</w:t>
      </w:r>
      <w:r>
        <w:rPr>
          <w:spacing w:val="-3"/>
          <w:sz w:val="18"/>
        </w:rPr>
        <w:t xml:space="preserve"> </w:t>
      </w:r>
      <w:r>
        <w:rPr>
          <w:sz w:val="18"/>
        </w:rPr>
        <w:t>Trafficking</w:t>
      </w:r>
      <w:r>
        <w:rPr>
          <w:spacing w:val="-2"/>
          <w:sz w:val="18"/>
        </w:rPr>
        <w:t xml:space="preserve"> </w:t>
      </w:r>
      <w:r>
        <w:rPr>
          <w:sz w:val="18"/>
        </w:rPr>
        <w:t>and</w:t>
      </w:r>
      <w:r>
        <w:rPr>
          <w:spacing w:val="-3"/>
          <w:sz w:val="18"/>
        </w:rPr>
        <w:t xml:space="preserve"> </w:t>
      </w:r>
      <w:r>
        <w:rPr>
          <w:sz w:val="18"/>
        </w:rPr>
        <w:t>LGBTQ+</w:t>
      </w:r>
      <w:r>
        <w:rPr>
          <w:spacing w:val="-2"/>
          <w:sz w:val="18"/>
        </w:rPr>
        <w:t xml:space="preserve"> Youth.”</w:t>
      </w:r>
    </w:p>
    <w:p w:rsidR="00200FDA" w:rsidRDefault="00F76C4C">
      <w:pPr>
        <w:spacing w:before="1"/>
        <w:ind w:left="140" w:right="566" w:hanging="1"/>
        <w:rPr>
          <w:sz w:val="18"/>
        </w:rPr>
      </w:pPr>
      <w:r>
        <w:rPr>
          <w:position w:val="5"/>
          <w:sz w:val="12"/>
        </w:rPr>
        <w:t>134</w:t>
      </w:r>
      <w:r>
        <w:rPr>
          <w:spacing w:val="10"/>
          <w:position w:val="5"/>
          <w:sz w:val="12"/>
        </w:rPr>
        <w:t xml:space="preserve"> </w:t>
      </w:r>
      <w:r>
        <w:rPr>
          <w:sz w:val="18"/>
        </w:rPr>
        <w:t>“LGBTQIA+</w:t>
      </w:r>
      <w:r>
        <w:rPr>
          <w:spacing w:val="-3"/>
          <w:sz w:val="18"/>
        </w:rPr>
        <w:t xml:space="preserve"> </w:t>
      </w:r>
      <w:r>
        <w:rPr>
          <w:sz w:val="18"/>
        </w:rPr>
        <w:t>Youth</w:t>
      </w:r>
      <w:r>
        <w:rPr>
          <w:spacing w:val="-3"/>
          <w:sz w:val="18"/>
        </w:rPr>
        <w:t xml:space="preserve"> </w:t>
      </w:r>
      <w:r>
        <w:rPr>
          <w:sz w:val="18"/>
        </w:rPr>
        <w:t>and</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Human</w:t>
      </w:r>
      <w:r>
        <w:rPr>
          <w:spacing w:val="-3"/>
          <w:sz w:val="18"/>
        </w:rPr>
        <w:t xml:space="preserve"> </w:t>
      </w:r>
      <w:r>
        <w:rPr>
          <w:sz w:val="18"/>
        </w:rPr>
        <w:t>Trafficking:</w:t>
      </w:r>
      <w:r>
        <w:rPr>
          <w:spacing w:val="-2"/>
          <w:sz w:val="18"/>
        </w:rPr>
        <w:t xml:space="preserve"> </w:t>
      </w:r>
      <w:r>
        <w:rPr>
          <w:sz w:val="18"/>
        </w:rPr>
        <w:t>A</w:t>
      </w:r>
      <w:r>
        <w:rPr>
          <w:spacing w:val="-3"/>
          <w:sz w:val="18"/>
        </w:rPr>
        <w:t xml:space="preserve"> </w:t>
      </w:r>
      <w:r>
        <w:rPr>
          <w:sz w:val="18"/>
        </w:rPr>
        <w:t>Healing-Centered</w:t>
      </w:r>
      <w:r>
        <w:rPr>
          <w:spacing w:val="-1"/>
          <w:sz w:val="18"/>
        </w:rPr>
        <w:t xml:space="preserve"> </w:t>
      </w:r>
      <w:r>
        <w:rPr>
          <w:sz w:val="18"/>
        </w:rPr>
        <w:t>Approach</w:t>
      </w:r>
      <w:r>
        <w:rPr>
          <w:spacing w:val="-3"/>
          <w:sz w:val="18"/>
        </w:rPr>
        <w:t xml:space="preserve"> </w:t>
      </w:r>
      <w:r>
        <w:rPr>
          <w:sz w:val="18"/>
        </w:rPr>
        <w:t>|</w:t>
      </w:r>
      <w:r>
        <w:rPr>
          <w:spacing w:val="-1"/>
          <w:sz w:val="18"/>
        </w:rPr>
        <w:t xml:space="preserve"> </w:t>
      </w:r>
      <w:r>
        <w:rPr>
          <w:sz w:val="18"/>
        </w:rPr>
        <w:t>2021”</w:t>
      </w:r>
      <w:r>
        <w:rPr>
          <w:spacing w:val="-3"/>
          <w:sz w:val="18"/>
        </w:rPr>
        <w:t xml:space="preserve"> </w:t>
      </w:r>
      <w:r>
        <w:rPr>
          <w:sz w:val="18"/>
        </w:rPr>
        <w:t>(Health</w:t>
      </w:r>
      <w:r>
        <w:rPr>
          <w:spacing w:val="-3"/>
          <w:sz w:val="18"/>
        </w:rPr>
        <w:t xml:space="preserve"> </w:t>
      </w:r>
      <w:r>
        <w:rPr>
          <w:sz w:val="18"/>
        </w:rPr>
        <w:t>Resources</w:t>
      </w:r>
      <w:r>
        <w:rPr>
          <w:spacing w:val="-3"/>
          <w:sz w:val="18"/>
        </w:rPr>
        <w:t xml:space="preserve"> </w:t>
      </w:r>
      <w:r>
        <w:rPr>
          <w:sz w:val="18"/>
        </w:rPr>
        <w:t xml:space="preserve">and Services Administration of the U.S. Department of Health and Human Services, 2021), </w:t>
      </w:r>
      <w:r>
        <w:rPr>
          <w:spacing w:val="-2"/>
          <w:sz w:val="18"/>
        </w:rPr>
        <w:t>https://</w:t>
      </w:r>
      <w:hyperlink r:id="rId210">
        <w:r>
          <w:rPr>
            <w:spacing w:val="-2"/>
            <w:sz w:val="18"/>
          </w:rPr>
          <w:t>www.lgbtqiahealtheducation.org/wp-content</w:t>
        </w:r>
        <w:r>
          <w:rPr>
            <w:spacing w:val="-2"/>
            <w:sz w:val="18"/>
          </w:rPr>
          <w:t>/uploads/2021/09/Supporting-LGBTQIA-Youth-Who-Have-</w:t>
        </w:r>
      </w:hyperlink>
      <w:r>
        <w:rPr>
          <w:sz w:val="18"/>
        </w:rPr>
        <w:t xml:space="preserve"> </w:t>
      </w:r>
      <w:r>
        <w:rPr>
          <w:spacing w:val="-2"/>
          <w:sz w:val="18"/>
        </w:rPr>
        <w:t>Experienced-Trafficking.pdf.</w:t>
      </w:r>
    </w:p>
    <w:p w:rsidR="00200FDA" w:rsidRDefault="00F76C4C">
      <w:pPr>
        <w:spacing w:line="219" w:lineRule="exact"/>
        <w:ind w:left="140"/>
        <w:rPr>
          <w:sz w:val="18"/>
        </w:rPr>
      </w:pPr>
      <w:r>
        <w:rPr>
          <w:position w:val="5"/>
          <w:sz w:val="12"/>
        </w:rPr>
        <w:t>135</w:t>
      </w:r>
      <w:r>
        <w:rPr>
          <w:spacing w:val="10"/>
          <w:position w:val="5"/>
          <w:sz w:val="12"/>
        </w:rPr>
        <w:t xml:space="preserve"> </w:t>
      </w:r>
      <w:r>
        <w:rPr>
          <w:sz w:val="18"/>
        </w:rPr>
        <w:t>James</w:t>
      </w:r>
      <w:r>
        <w:rPr>
          <w:spacing w:val="-2"/>
          <w:sz w:val="18"/>
        </w:rPr>
        <w:t xml:space="preserve"> </w:t>
      </w:r>
      <w:r>
        <w:rPr>
          <w:sz w:val="18"/>
        </w:rPr>
        <w:t>et</w:t>
      </w:r>
      <w:r>
        <w:rPr>
          <w:spacing w:val="-3"/>
          <w:sz w:val="18"/>
        </w:rPr>
        <w:t xml:space="preserve"> </w:t>
      </w:r>
      <w:r>
        <w:rPr>
          <w:sz w:val="18"/>
        </w:rPr>
        <w:t>al.,</w:t>
      </w:r>
      <w:r>
        <w:rPr>
          <w:spacing w:val="-1"/>
          <w:sz w:val="18"/>
        </w:rPr>
        <w:t xml:space="preserve"> </w:t>
      </w:r>
      <w:r>
        <w:rPr>
          <w:sz w:val="18"/>
        </w:rPr>
        <w:t>“The</w:t>
      </w:r>
      <w:r>
        <w:rPr>
          <w:spacing w:val="-3"/>
          <w:sz w:val="18"/>
        </w:rPr>
        <w:t xml:space="preserve"> </w:t>
      </w:r>
      <w:r>
        <w:rPr>
          <w:sz w:val="18"/>
        </w:rPr>
        <w:t>Report</w:t>
      </w:r>
      <w:r>
        <w:rPr>
          <w:spacing w:val="-2"/>
          <w:sz w:val="18"/>
        </w:rPr>
        <w:t xml:space="preserve"> </w:t>
      </w:r>
      <w:r>
        <w:rPr>
          <w:sz w:val="18"/>
        </w:rPr>
        <w:t>of</w:t>
      </w:r>
      <w:r>
        <w:rPr>
          <w:spacing w:val="-2"/>
          <w:sz w:val="18"/>
        </w:rPr>
        <w:t xml:space="preserve"> </w:t>
      </w:r>
      <w:r>
        <w:rPr>
          <w:sz w:val="18"/>
        </w:rPr>
        <w:t>the 2015</w:t>
      </w:r>
      <w:r>
        <w:rPr>
          <w:spacing w:val="-2"/>
          <w:sz w:val="18"/>
        </w:rPr>
        <w:t xml:space="preserve"> </w:t>
      </w:r>
      <w:r>
        <w:rPr>
          <w:sz w:val="18"/>
        </w:rPr>
        <w:t>U.S.</w:t>
      </w:r>
      <w:r>
        <w:rPr>
          <w:spacing w:val="-1"/>
          <w:sz w:val="18"/>
        </w:rPr>
        <w:t xml:space="preserve"> </w:t>
      </w:r>
      <w:r>
        <w:rPr>
          <w:sz w:val="18"/>
        </w:rPr>
        <w:t>Transgender</w:t>
      </w:r>
      <w:r>
        <w:rPr>
          <w:spacing w:val="-2"/>
          <w:sz w:val="18"/>
        </w:rPr>
        <w:t xml:space="preserve"> Survey.”</w:t>
      </w:r>
    </w:p>
    <w:p w:rsidR="00200FDA" w:rsidRDefault="00F76C4C">
      <w:pPr>
        <w:spacing w:line="219" w:lineRule="exact"/>
        <w:ind w:left="140"/>
        <w:rPr>
          <w:sz w:val="18"/>
        </w:rPr>
      </w:pPr>
      <w:r>
        <w:rPr>
          <w:position w:val="5"/>
          <w:sz w:val="12"/>
        </w:rPr>
        <w:t>136</w:t>
      </w:r>
      <w:r>
        <w:rPr>
          <w:spacing w:val="10"/>
          <w:position w:val="5"/>
          <w:sz w:val="12"/>
        </w:rPr>
        <w:t xml:space="preserve"> </w:t>
      </w:r>
      <w:r>
        <w:rPr>
          <w:sz w:val="18"/>
        </w:rPr>
        <w:t>James</w:t>
      </w:r>
      <w:r>
        <w:rPr>
          <w:spacing w:val="-2"/>
          <w:sz w:val="18"/>
        </w:rPr>
        <w:t xml:space="preserve"> </w:t>
      </w:r>
      <w:r>
        <w:rPr>
          <w:sz w:val="18"/>
        </w:rPr>
        <w:t>et</w:t>
      </w:r>
      <w:r>
        <w:rPr>
          <w:spacing w:val="-2"/>
          <w:sz w:val="18"/>
        </w:rPr>
        <w:t xml:space="preserve"> </w:t>
      </w:r>
      <w:r>
        <w:rPr>
          <w:spacing w:val="-5"/>
          <w:sz w:val="18"/>
        </w:rPr>
        <w:t>al.</w:t>
      </w:r>
    </w:p>
    <w:p w:rsidR="00200FDA" w:rsidRDefault="00F76C4C">
      <w:pPr>
        <w:spacing w:before="1" w:line="219" w:lineRule="exact"/>
        <w:ind w:left="140"/>
        <w:rPr>
          <w:sz w:val="18"/>
        </w:rPr>
      </w:pPr>
      <w:r>
        <w:rPr>
          <w:position w:val="5"/>
          <w:sz w:val="12"/>
        </w:rPr>
        <w:t>137</w:t>
      </w:r>
      <w:r>
        <w:rPr>
          <w:spacing w:val="10"/>
          <w:position w:val="5"/>
          <w:sz w:val="12"/>
        </w:rPr>
        <w:t xml:space="preserve"> </w:t>
      </w:r>
      <w:r>
        <w:rPr>
          <w:sz w:val="18"/>
        </w:rPr>
        <w:t>“Sex</w:t>
      </w:r>
      <w:r>
        <w:rPr>
          <w:spacing w:val="-3"/>
          <w:sz w:val="18"/>
        </w:rPr>
        <w:t xml:space="preserve"> </w:t>
      </w:r>
      <w:r>
        <w:rPr>
          <w:sz w:val="18"/>
        </w:rPr>
        <w:t>Trafficking</w:t>
      </w:r>
      <w:r>
        <w:rPr>
          <w:spacing w:val="-2"/>
          <w:sz w:val="18"/>
        </w:rPr>
        <w:t xml:space="preserve"> </w:t>
      </w:r>
      <w:r>
        <w:rPr>
          <w:sz w:val="18"/>
        </w:rPr>
        <w:t>and</w:t>
      </w:r>
      <w:r>
        <w:rPr>
          <w:spacing w:val="-3"/>
          <w:sz w:val="18"/>
        </w:rPr>
        <w:t xml:space="preserve"> </w:t>
      </w:r>
      <w:r>
        <w:rPr>
          <w:sz w:val="18"/>
        </w:rPr>
        <w:t>LGBTQ+</w:t>
      </w:r>
      <w:r>
        <w:rPr>
          <w:spacing w:val="-2"/>
          <w:sz w:val="18"/>
        </w:rPr>
        <w:t xml:space="preserve"> Youth.”</w:t>
      </w:r>
    </w:p>
    <w:p w:rsidR="00200FDA" w:rsidRDefault="00F76C4C">
      <w:pPr>
        <w:spacing w:line="219" w:lineRule="exact"/>
        <w:ind w:left="140"/>
        <w:rPr>
          <w:sz w:val="18"/>
        </w:rPr>
      </w:pPr>
      <w:r>
        <w:rPr>
          <w:position w:val="5"/>
          <w:sz w:val="12"/>
        </w:rPr>
        <w:t>138</w:t>
      </w:r>
      <w:r>
        <w:rPr>
          <w:spacing w:val="10"/>
          <w:position w:val="5"/>
          <w:sz w:val="12"/>
        </w:rPr>
        <w:t xml:space="preserve"> </w:t>
      </w:r>
      <w:r>
        <w:rPr>
          <w:sz w:val="18"/>
        </w:rPr>
        <w:t>Laura</w:t>
      </w:r>
      <w:r>
        <w:rPr>
          <w:spacing w:val="-2"/>
          <w:sz w:val="18"/>
        </w:rPr>
        <w:t xml:space="preserve"> </w:t>
      </w:r>
      <w:r>
        <w:rPr>
          <w:sz w:val="18"/>
        </w:rPr>
        <w:t>S</w:t>
      </w:r>
      <w:r>
        <w:rPr>
          <w:spacing w:val="-2"/>
          <w:sz w:val="18"/>
        </w:rPr>
        <w:t xml:space="preserve"> </w:t>
      </w:r>
      <w:r>
        <w:rPr>
          <w:sz w:val="18"/>
        </w:rPr>
        <w:t>Abrams</w:t>
      </w:r>
      <w:r>
        <w:rPr>
          <w:spacing w:val="-1"/>
          <w:sz w:val="18"/>
        </w:rPr>
        <w:t xml:space="preserve"> </w:t>
      </w:r>
      <w:r>
        <w:rPr>
          <w:sz w:val="18"/>
        </w:rPr>
        <w:t>et</w:t>
      </w:r>
      <w:r>
        <w:rPr>
          <w:spacing w:val="-2"/>
          <w:sz w:val="18"/>
        </w:rPr>
        <w:t xml:space="preserve"> </w:t>
      </w:r>
      <w:r>
        <w:rPr>
          <w:sz w:val="18"/>
        </w:rPr>
        <w:t>al.,</w:t>
      </w:r>
      <w:r>
        <w:rPr>
          <w:spacing w:val="-2"/>
          <w:sz w:val="18"/>
        </w:rPr>
        <w:t xml:space="preserve"> </w:t>
      </w:r>
      <w:r>
        <w:rPr>
          <w:sz w:val="18"/>
        </w:rPr>
        <w:t>“Collaborative</w:t>
      </w:r>
      <w:r>
        <w:rPr>
          <w:spacing w:val="-2"/>
          <w:sz w:val="18"/>
        </w:rPr>
        <w:t xml:space="preserve"> </w:t>
      </w:r>
      <w:r>
        <w:rPr>
          <w:sz w:val="18"/>
        </w:rPr>
        <w:t>Responses</w:t>
      </w:r>
      <w:r>
        <w:rPr>
          <w:spacing w:val="-3"/>
          <w:sz w:val="18"/>
        </w:rPr>
        <w:t xml:space="preserve"> </w:t>
      </w:r>
      <w:r>
        <w:rPr>
          <w:sz w:val="18"/>
        </w:rPr>
        <w:t>to Commercial</w:t>
      </w:r>
      <w:r>
        <w:rPr>
          <w:spacing w:val="-3"/>
          <w:sz w:val="18"/>
        </w:rPr>
        <w:t xml:space="preserve"> </w:t>
      </w:r>
      <w:r>
        <w:rPr>
          <w:sz w:val="18"/>
        </w:rPr>
        <w:t>Sexual</w:t>
      </w:r>
      <w:r>
        <w:rPr>
          <w:spacing w:val="-2"/>
          <w:sz w:val="18"/>
        </w:rPr>
        <w:t xml:space="preserve"> </w:t>
      </w:r>
      <w:r>
        <w:rPr>
          <w:sz w:val="18"/>
        </w:rPr>
        <w:t>Exploitation</w:t>
      </w:r>
      <w:r>
        <w:rPr>
          <w:spacing w:val="-3"/>
          <w:sz w:val="18"/>
        </w:rPr>
        <w:t xml:space="preserve"> </w:t>
      </w:r>
      <w:r>
        <w:rPr>
          <w:sz w:val="18"/>
        </w:rPr>
        <w:t>as</w:t>
      </w:r>
      <w:r>
        <w:rPr>
          <w:spacing w:val="-2"/>
          <w:sz w:val="18"/>
        </w:rPr>
        <w:t xml:space="preserve"> </w:t>
      </w:r>
      <w:r>
        <w:rPr>
          <w:sz w:val="18"/>
        </w:rPr>
        <w:t>a</w:t>
      </w:r>
      <w:r>
        <w:rPr>
          <w:spacing w:val="-2"/>
          <w:sz w:val="18"/>
        </w:rPr>
        <w:t xml:space="preserve"> </w:t>
      </w:r>
      <w:r>
        <w:rPr>
          <w:sz w:val="18"/>
        </w:rPr>
        <w:t>Model</w:t>
      </w:r>
      <w:r>
        <w:rPr>
          <w:spacing w:val="-2"/>
          <w:sz w:val="18"/>
        </w:rPr>
        <w:t xml:space="preserve"> </w:t>
      </w:r>
      <w:r>
        <w:rPr>
          <w:sz w:val="18"/>
        </w:rPr>
        <w:t>of</w:t>
      </w:r>
      <w:r>
        <w:rPr>
          <w:spacing w:val="-2"/>
          <w:sz w:val="18"/>
        </w:rPr>
        <w:t xml:space="preserve"> </w:t>
      </w:r>
      <w:r>
        <w:rPr>
          <w:sz w:val="18"/>
        </w:rPr>
        <w:t>Smart</w:t>
      </w:r>
      <w:r>
        <w:rPr>
          <w:spacing w:val="-2"/>
          <w:sz w:val="18"/>
        </w:rPr>
        <w:t xml:space="preserve"> Decarceration,”</w:t>
      </w:r>
    </w:p>
    <w:p w:rsidR="00200FDA" w:rsidRDefault="00F76C4C">
      <w:pPr>
        <w:spacing w:before="1"/>
        <w:ind w:left="140"/>
        <w:rPr>
          <w:sz w:val="18"/>
        </w:rPr>
      </w:pPr>
      <w:r>
        <w:rPr>
          <w:i/>
          <w:sz w:val="18"/>
        </w:rPr>
        <w:t>Social</w:t>
      </w:r>
      <w:r>
        <w:rPr>
          <w:i/>
          <w:spacing w:val="-2"/>
          <w:sz w:val="18"/>
        </w:rPr>
        <w:t xml:space="preserve"> </w:t>
      </w:r>
      <w:r>
        <w:rPr>
          <w:i/>
          <w:sz w:val="18"/>
        </w:rPr>
        <w:t>Work</w:t>
      </w:r>
      <w:r>
        <w:rPr>
          <w:i/>
          <w:spacing w:val="-2"/>
          <w:sz w:val="18"/>
        </w:rPr>
        <w:t xml:space="preserve"> </w:t>
      </w:r>
      <w:r>
        <w:rPr>
          <w:sz w:val="18"/>
        </w:rPr>
        <w:t>65,</w:t>
      </w:r>
      <w:r>
        <w:rPr>
          <w:spacing w:val="-1"/>
          <w:sz w:val="18"/>
        </w:rPr>
        <w:t xml:space="preserve"> </w:t>
      </w:r>
      <w:r>
        <w:rPr>
          <w:sz w:val="18"/>
        </w:rPr>
        <w:t>no.</w:t>
      </w:r>
      <w:r>
        <w:rPr>
          <w:spacing w:val="-1"/>
          <w:sz w:val="18"/>
        </w:rPr>
        <w:t xml:space="preserve"> </w:t>
      </w:r>
      <w:r>
        <w:rPr>
          <w:sz w:val="18"/>
        </w:rPr>
        <w:t>4</w:t>
      </w:r>
      <w:r>
        <w:rPr>
          <w:spacing w:val="-2"/>
          <w:sz w:val="18"/>
        </w:rPr>
        <w:t xml:space="preserve"> </w:t>
      </w:r>
      <w:r>
        <w:rPr>
          <w:sz w:val="18"/>
        </w:rPr>
        <w:t>(October</w:t>
      </w:r>
      <w:r>
        <w:rPr>
          <w:spacing w:val="-1"/>
          <w:sz w:val="18"/>
        </w:rPr>
        <w:t xml:space="preserve"> </w:t>
      </w:r>
      <w:r>
        <w:rPr>
          <w:sz w:val="18"/>
        </w:rPr>
        <w:t>1,</w:t>
      </w:r>
      <w:r>
        <w:rPr>
          <w:spacing w:val="-3"/>
          <w:sz w:val="18"/>
        </w:rPr>
        <w:t xml:space="preserve"> </w:t>
      </w:r>
      <w:r>
        <w:rPr>
          <w:sz w:val="18"/>
        </w:rPr>
        <w:t>2020):</w:t>
      </w:r>
      <w:r>
        <w:rPr>
          <w:spacing w:val="-1"/>
          <w:sz w:val="18"/>
        </w:rPr>
        <w:t xml:space="preserve"> </w:t>
      </w:r>
      <w:r>
        <w:rPr>
          <w:sz w:val="18"/>
        </w:rPr>
        <w:t>387–96,</w:t>
      </w:r>
      <w:r>
        <w:rPr>
          <w:spacing w:val="-1"/>
          <w:sz w:val="18"/>
        </w:rPr>
        <w:t xml:space="preserve"> </w:t>
      </w:r>
      <w:r>
        <w:rPr>
          <w:spacing w:val="-2"/>
          <w:sz w:val="18"/>
        </w:rPr>
        <w:t>https://doi.org/10.1093/sw/swaa040.</w:t>
      </w:r>
    </w:p>
    <w:p w:rsidR="00200FDA" w:rsidRDefault="00F76C4C">
      <w:pPr>
        <w:spacing w:before="1" w:line="219" w:lineRule="exact"/>
        <w:ind w:left="140"/>
        <w:rPr>
          <w:sz w:val="18"/>
        </w:rPr>
      </w:pPr>
      <w:r>
        <w:rPr>
          <w:position w:val="5"/>
          <w:sz w:val="12"/>
        </w:rPr>
        <w:t>139</w:t>
      </w:r>
      <w:r>
        <w:rPr>
          <w:spacing w:val="10"/>
          <w:position w:val="5"/>
          <w:sz w:val="12"/>
        </w:rPr>
        <w:t xml:space="preserve"> </w:t>
      </w:r>
      <w:r>
        <w:rPr>
          <w:sz w:val="18"/>
        </w:rPr>
        <w:t>Abrams</w:t>
      </w:r>
      <w:r>
        <w:rPr>
          <w:spacing w:val="-3"/>
          <w:sz w:val="18"/>
        </w:rPr>
        <w:t xml:space="preserve"> </w:t>
      </w:r>
      <w:r>
        <w:rPr>
          <w:sz w:val="18"/>
        </w:rPr>
        <w:t>et</w:t>
      </w:r>
      <w:r>
        <w:rPr>
          <w:spacing w:val="-3"/>
          <w:sz w:val="18"/>
        </w:rPr>
        <w:t xml:space="preserve"> </w:t>
      </w:r>
      <w:r>
        <w:rPr>
          <w:spacing w:val="-5"/>
          <w:sz w:val="18"/>
        </w:rPr>
        <w:t>al.</w:t>
      </w:r>
    </w:p>
    <w:p w:rsidR="00200FDA" w:rsidRDefault="00F76C4C">
      <w:pPr>
        <w:ind w:left="140" w:right="418"/>
        <w:rPr>
          <w:sz w:val="18"/>
        </w:rPr>
      </w:pPr>
      <w:r>
        <w:rPr>
          <w:position w:val="5"/>
          <w:sz w:val="12"/>
        </w:rPr>
        <w:t>140</w:t>
      </w:r>
      <w:r>
        <w:rPr>
          <w:spacing w:val="10"/>
          <w:position w:val="5"/>
          <w:sz w:val="12"/>
        </w:rPr>
        <w:t xml:space="preserve"> </w:t>
      </w:r>
      <w:r>
        <w:rPr>
          <w:sz w:val="18"/>
        </w:rPr>
        <w:t>Erin</w:t>
      </w:r>
      <w:r>
        <w:rPr>
          <w:spacing w:val="-3"/>
          <w:sz w:val="18"/>
        </w:rPr>
        <w:t xml:space="preserve"> </w:t>
      </w:r>
      <w:r>
        <w:rPr>
          <w:sz w:val="18"/>
        </w:rPr>
        <w:t>Albright</w:t>
      </w:r>
      <w:r>
        <w:rPr>
          <w:spacing w:val="-3"/>
          <w:sz w:val="18"/>
        </w:rPr>
        <w:t xml:space="preserve"> </w:t>
      </w:r>
      <w:r>
        <w:rPr>
          <w:sz w:val="18"/>
        </w:rPr>
        <w:t>and</w:t>
      </w:r>
      <w:r>
        <w:rPr>
          <w:spacing w:val="-3"/>
          <w:sz w:val="18"/>
        </w:rPr>
        <w:t xml:space="preserve"> </w:t>
      </w:r>
      <w:r>
        <w:rPr>
          <w:sz w:val="18"/>
        </w:rPr>
        <w:t>Kate</w:t>
      </w:r>
      <w:r>
        <w:rPr>
          <w:spacing w:val="-3"/>
          <w:sz w:val="18"/>
        </w:rPr>
        <w:t xml:space="preserve"> </w:t>
      </w:r>
      <w:r>
        <w:rPr>
          <w:sz w:val="18"/>
        </w:rPr>
        <w:t>Adamo,</w:t>
      </w:r>
      <w:r>
        <w:rPr>
          <w:spacing w:val="-2"/>
          <w:sz w:val="18"/>
        </w:rPr>
        <w:t xml:space="preserve"> </w:t>
      </w:r>
      <w:r>
        <w:rPr>
          <w:sz w:val="18"/>
        </w:rPr>
        <w:t>“Decreasing</w:t>
      </w:r>
      <w:r>
        <w:rPr>
          <w:spacing w:val="-3"/>
          <w:sz w:val="18"/>
        </w:rPr>
        <w:t xml:space="preserve"> </w:t>
      </w:r>
      <w:r>
        <w:rPr>
          <w:sz w:val="18"/>
        </w:rPr>
        <w:t>Human</w:t>
      </w:r>
      <w:r>
        <w:rPr>
          <w:spacing w:val="-3"/>
          <w:sz w:val="18"/>
        </w:rPr>
        <w:t xml:space="preserve"> </w:t>
      </w:r>
      <w:r>
        <w:rPr>
          <w:sz w:val="18"/>
        </w:rPr>
        <w:t>Trafficking</w:t>
      </w:r>
      <w:r>
        <w:rPr>
          <w:spacing w:val="-3"/>
          <w:sz w:val="18"/>
        </w:rPr>
        <w:t xml:space="preserve"> </w:t>
      </w:r>
      <w:r>
        <w:rPr>
          <w:sz w:val="18"/>
        </w:rPr>
        <w:t>through</w:t>
      </w:r>
      <w:r>
        <w:rPr>
          <w:spacing w:val="-3"/>
          <w:sz w:val="18"/>
        </w:rPr>
        <w:t xml:space="preserve"> </w:t>
      </w:r>
      <w:r>
        <w:rPr>
          <w:sz w:val="18"/>
        </w:rPr>
        <w:t>Sex</w:t>
      </w:r>
      <w:r>
        <w:rPr>
          <w:spacing w:val="-3"/>
          <w:sz w:val="18"/>
        </w:rPr>
        <w:t xml:space="preserve"> </w:t>
      </w:r>
      <w:r>
        <w:rPr>
          <w:sz w:val="18"/>
        </w:rPr>
        <w:t>Work</w:t>
      </w:r>
      <w:r>
        <w:rPr>
          <w:spacing w:val="-3"/>
          <w:sz w:val="18"/>
        </w:rPr>
        <w:t xml:space="preserve"> </w:t>
      </w:r>
      <w:r>
        <w:rPr>
          <w:sz w:val="18"/>
        </w:rPr>
        <w:t>Decriminalization,”</w:t>
      </w:r>
      <w:r>
        <w:rPr>
          <w:spacing w:val="-3"/>
          <w:sz w:val="18"/>
        </w:rPr>
        <w:t xml:space="preserve"> </w:t>
      </w:r>
      <w:r>
        <w:rPr>
          <w:i/>
          <w:sz w:val="18"/>
        </w:rPr>
        <w:t>AMA</w:t>
      </w:r>
      <w:r>
        <w:rPr>
          <w:i/>
          <w:spacing w:val="-3"/>
          <w:sz w:val="18"/>
        </w:rPr>
        <w:t xml:space="preserve"> </w:t>
      </w:r>
      <w:r>
        <w:rPr>
          <w:i/>
          <w:sz w:val="18"/>
        </w:rPr>
        <w:t>Journal</w:t>
      </w:r>
      <w:r>
        <w:rPr>
          <w:i/>
          <w:spacing w:val="-3"/>
          <w:sz w:val="18"/>
        </w:rPr>
        <w:t xml:space="preserve"> </w:t>
      </w:r>
      <w:r>
        <w:rPr>
          <w:i/>
          <w:sz w:val="18"/>
        </w:rPr>
        <w:t xml:space="preserve">of Ethics </w:t>
      </w:r>
      <w:r>
        <w:rPr>
          <w:sz w:val="18"/>
        </w:rPr>
        <w:t>19, no. 1 (January 1, 2017): 122–26, https://doi.org/10.1001/journalofethics.2017.19.1.sect2-1701.</w:t>
      </w:r>
    </w:p>
    <w:p w:rsidR="00200FDA" w:rsidRDefault="00F76C4C">
      <w:pPr>
        <w:spacing w:line="219" w:lineRule="exact"/>
        <w:ind w:left="140"/>
        <w:rPr>
          <w:sz w:val="18"/>
        </w:rPr>
      </w:pPr>
      <w:r>
        <w:rPr>
          <w:position w:val="5"/>
          <w:sz w:val="12"/>
        </w:rPr>
        <w:t>141</w:t>
      </w:r>
      <w:r>
        <w:rPr>
          <w:spacing w:val="10"/>
          <w:position w:val="5"/>
          <w:sz w:val="12"/>
        </w:rPr>
        <w:t xml:space="preserve"> </w:t>
      </w:r>
      <w:r>
        <w:rPr>
          <w:sz w:val="18"/>
        </w:rPr>
        <w:t>Albright</w:t>
      </w:r>
      <w:r>
        <w:rPr>
          <w:spacing w:val="-3"/>
          <w:sz w:val="18"/>
        </w:rPr>
        <w:t xml:space="preserve"> </w:t>
      </w:r>
      <w:r>
        <w:rPr>
          <w:sz w:val="18"/>
        </w:rPr>
        <w:t>and</w:t>
      </w:r>
      <w:r>
        <w:rPr>
          <w:spacing w:val="-3"/>
          <w:sz w:val="18"/>
        </w:rPr>
        <w:t xml:space="preserve"> </w:t>
      </w:r>
      <w:r>
        <w:rPr>
          <w:spacing w:val="-2"/>
          <w:sz w:val="18"/>
        </w:rPr>
        <w:t>Adamo.</w:t>
      </w:r>
    </w:p>
    <w:p w:rsidR="00200FDA" w:rsidRDefault="00F76C4C">
      <w:pPr>
        <w:spacing w:before="1"/>
        <w:ind w:left="140" w:right="566"/>
        <w:rPr>
          <w:sz w:val="18"/>
        </w:rPr>
      </w:pPr>
      <w:r>
        <w:rPr>
          <w:position w:val="5"/>
          <w:sz w:val="12"/>
        </w:rPr>
        <w:t>142</w:t>
      </w:r>
      <w:r>
        <w:rPr>
          <w:spacing w:val="9"/>
          <w:position w:val="5"/>
          <w:sz w:val="12"/>
        </w:rPr>
        <w:t xml:space="preserve"> </w:t>
      </w:r>
      <w:r>
        <w:rPr>
          <w:sz w:val="18"/>
        </w:rPr>
        <w:t>“Existing</w:t>
      </w:r>
      <w:r>
        <w:rPr>
          <w:spacing w:val="-4"/>
          <w:sz w:val="18"/>
        </w:rPr>
        <w:t xml:space="preserve"> </w:t>
      </w:r>
      <w:r>
        <w:rPr>
          <w:sz w:val="18"/>
        </w:rPr>
        <w:t>Nonconsensual</w:t>
      </w:r>
      <w:r>
        <w:rPr>
          <w:spacing w:val="-4"/>
          <w:sz w:val="18"/>
        </w:rPr>
        <w:t xml:space="preserve"> </w:t>
      </w:r>
      <w:r>
        <w:rPr>
          <w:sz w:val="18"/>
        </w:rPr>
        <w:t>Pornography,</w:t>
      </w:r>
      <w:r>
        <w:rPr>
          <w:spacing w:val="-3"/>
          <w:sz w:val="18"/>
        </w:rPr>
        <w:t xml:space="preserve"> </w:t>
      </w:r>
      <w:r>
        <w:rPr>
          <w:sz w:val="18"/>
        </w:rPr>
        <w:t>Sextortion,</w:t>
      </w:r>
      <w:r>
        <w:rPr>
          <w:spacing w:val="-3"/>
          <w:sz w:val="18"/>
        </w:rPr>
        <w:t xml:space="preserve"> </w:t>
      </w:r>
      <w:r>
        <w:rPr>
          <w:sz w:val="18"/>
        </w:rPr>
        <w:t>and</w:t>
      </w:r>
      <w:r>
        <w:rPr>
          <w:spacing w:val="-4"/>
          <w:sz w:val="18"/>
        </w:rPr>
        <w:t xml:space="preserve"> </w:t>
      </w:r>
      <w:r>
        <w:rPr>
          <w:sz w:val="18"/>
        </w:rPr>
        <w:t>Deep</w:t>
      </w:r>
      <w:r>
        <w:rPr>
          <w:spacing w:val="-2"/>
          <w:sz w:val="18"/>
        </w:rPr>
        <w:t xml:space="preserve"> </w:t>
      </w:r>
      <w:r>
        <w:rPr>
          <w:sz w:val="18"/>
        </w:rPr>
        <w:t>Fake</w:t>
      </w:r>
      <w:r>
        <w:rPr>
          <w:spacing w:val="-2"/>
          <w:sz w:val="18"/>
        </w:rPr>
        <w:t xml:space="preserve"> </w:t>
      </w:r>
      <w:r>
        <w:rPr>
          <w:sz w:val="18"/>
        </w:rPr>
        <w:t>Laws,”</w:t>
      </w:r>
      <w:r>
        <w:rPr>
          <w:spacing w:val="-4"/>
          <w:sz w:val="18"/>
        </w:rPr>
        <w:t xml:space="preserve"> </w:t>
      </w:r>
      <w:r>
        <w:rPr>
          <w:sz w:val="18"/>
        </w:rPr>
        <w:t>Cyber</w:t>
      </w:r>
      <w:r>
        <w:rPr>
          <w:spacing w:val="-4"/>
          <w:sz w:val="18"/>
        </w:rPr>
        <w:t xml:space="preserve"> </w:t>
      </w:r>
      <w:r>
        <w:rPr>
          <w:sz w:val="18"/>
        </w:rPr>
        <w:t>Civil</w:t>
      </w:r>
      <w:r>
        <w:rPr>
          <w:spacing w:val="-4"/>
          <w:sz w:val="18"/>
        </w:rPr>
        <w:t xml:space="preserve"> </w:t>
      </w:r>
      <w:r>
        <w:rPr>
          <w:sz w:val="18"/>
        </w:rPr>
        <w:t>Rights</w:t>
      </w:r>
      <w:r>
        <w:rPr>
          <w:spacing w:val="-4"/>
          <w:sz w:val="18"/>
        </w:rPr>
        <w:t xml:space="preserve"> </w:t>
      </w:r>
      <w:r>
        <w:rPr>
          <w:sz w:val="18"/>
        </w:rPr>
        <w:t>Initiative,</w:t>
      </w:r>
      <w:r>
        <w:rPr>
          <w:spacing w:val="-3"/>
          <w:sz w:val="18"/>
        </w:rPr>
        <w:t xml:space="preserve"> </w:t>
      </w:r>
      <w:r>
        <w:rPr>
          <w:sz w:val="18"/>
        </w:rPr>
        <w:t>accessed</w:t>
      </w:r>
      <w:r>
        <w:rPr>
          <w:spacing w:val="-4"/>
          <w:sz w:val="18"/>
        </w:rPr>
        <w:t xml:space="preserve"> </w:t>
      </w:r>
      <w:r>
        <w:rPr>
          <w:sz w:val="18"/>
        </w:rPr>
        <w:t>January 7, 2023, https://cybercivilrights.org/existing-laws/.</w:t>
      </w:r>
    </w:p>
    <w:p w:rsidR="00200FDA" w:rsidRDefault="00F76C4C">
      <w:pPr>
        <w:ind w:left="140" w:right="418"/>
        <w:rPr>
          <w:sz w:val="18"/>
        </w:rPr>
      </w:pPr>
      <w:r>
        <w:rPr>
          <w:position w:val="5"/>
          <w:sz w:val="12"/>
        </w:rPr>
        <w:t>143</w:t>
      </w:r>
      <w:r>
        <w:rPr>
          <w:spacing w:val="10"/>
          <w:position w:val="5"/>
          <w:sz w:val="12"/>
        </w:rPr>
        <w:t xml:space="preserve"> </w:t>
      </w:r>
      <w:r>
        <w:rPr>
          <w:sz w:val="18"/>
        </w:rPr>
        <w:t>Joanna</w:t>
      </w:r>
      <w:r>
        <w:rPr>
          <w:spacing w:val="-2"/>
          <w:sz w:val="18"/>
        </w:rPr>
        <w:t xml:space="preserve"> </w:t>
      </w:r>
      <w:r>
        <w:rPr>
          <w:sz w:val="18"/>
        </w:rPr>
        <w:t>Lampe,</w:t>
      </w:r>
      <w:r>
        <w:rPr>
          <w:spacing w:val="-2"/>
          <w:sz w:val="18"/>
        </w:rPr>
        <w:t xml:space="preserve"> </w:t>
      </w:r>
      <w:r>
        <w:rPr>
          <w:sz w:val="18"/>
        </w:rPr>
        <w:t>“A</w:t>
      </w:r>
      <w:r>
        <w:rPr>
          <w:spacing w:val="-3"/>
          <w:sz w:val="18"/>
        </w:rPr>
        <w:t xml:space="preserve"> </w:t>
      </w:r>
      <w:r>
        <w:rPr>
          <w:sz w:val="18"/>
        </w:rPr>
        <w:t>Victimless</w:t>
      </w:r>
      <w:r>
        <w:rPr>
          <w:spacing w:val="-3"/>
          <w:sz w:val="18"/>
        </w:rPr>
        <w:t xml:space="preserve"> </w:t>
      </w:r>
      <w:r>
        <w:rPr>
          <w:sz w:val="18"/>
        </w:rPr>
        <w:t>Sex</w:t>
      </w:r>
      <w:r>
        <w:rPr>
          <w:spacing w:val="-1"/>
          <w:sz w:val="18"/>
        </w:rPr>
        <w:t xml:space="preserve"> </w:t>
      </w:r>
      <w:r>
        <w:rPr>
          <w:sz w:val="18"/>
        </w:rPr>
        <w:t>Crime:</w:t>
      </w:r>
      <w:r>
        <w:rPr>
          <w:spacing w:val="-2"/>
          <w:sz w:val="18"/>
        </w:rPr>
        <w:t xml:space="preserve"> </w:t>
      </w:r>
      <w:r>
        <w:rPr>
          <w:sz w:val="18"/>
        </w:rPr>
        <w:t>The</w:t>
      </w:r>
      <w:r>
        <w:rPr>
          <w:spacing w:val="-3"/>
          <w:sz w:val="18"/>
        </w:rPr>
        <w:t xml:space="preserve"> </w:t>
      </w:r>
      <w:r>
        <w:rPr>
          <w:sz w:val="18"/>
        </w:rPr>
        <w:t>Case</w:t>
      </w:r>
      <w:r>
        <w:rPr>
          <w:spacing w:val="-3"/>
          <w:sz w:val="18"/>
        </w:rPr>
        <w:t xml:space="preserve"> </w:t>
      </w:r>
      <w:r>
        <w:rPr>
          <w:sz w:val="18"/>
        </w:rPr>
        <w:t>for</w:t>
      </w:r>
      <w:r>
        <w:rPr>
          <w:spacing w:val="-3"/>
          <w:sz w:val="18"/>
        </w:rPr>
        <w:t xml:space="preserve"> </w:t>
      </w:r>
      <w:r>
        <w:rPr>
          <w:sz w:val="18"/>
        </w:rPr>
        <w:t>Decriminalizing</w:t>
      </w:r>
      <w:r>
        <w:rPr>
          <w:spacing w:val="-3"/>
          <w:sz w:val="18"/>
        </w:rPr>
        <w:t xml:space="preserve"> </w:t>
      </w:r>
      <w:r>
        <w:rPr>
          <w:sz w:val="18"/>
        </w:rPr>
        <w:t>Consensual</w:t>
      </w:r>
      <w:r>
        <w:rPr>
          <w:spacing w:val="-3"/>
          <w:sz w:val="18"/>
        </w:rPr>
        <w:t xml:space="preserve"> </w:t>
      </w:r>
      <w:r>
        <w:rPr>
          <w:sz w:val="18"/>
        </w:rPr>
        <w:t>Teen</w:t>
      </w:r>
      <w:r>
        <w:rPr>
          <w:spacing w:val="-1"/>
          <w:sz w:val="18"/>
        </w:rPr>
        <w:t xml:space="preserve"> </w:t>
      </w:r>
      <w:r>
        <w:rPr>
          <w:sz w:val="18"/>
        </w:rPr>
        <w:t>Sexting,”</w:t>
      </w:r>
      <w:r>
        <w:rPr>
          <w:spacing w:val="-3"/>
          <w:sz w:val="18"/>
        </w:rPr>
        <w:t xml:space="preserve"> </w:t>
      </w:r>
      <w:r>
        <w:rPr>
          <w:i/>
          <w:sz w:val="18"/>
        </w:rPr>
        <w:t>University</w:t>
      </w:r>
      <w:r>
        <w:rPr>
          <w:i/>
          <w:spacing w:val="-1"/>
          <w:sz w:val="18"/>
        </w:rPr>
        <w:t xml:space="preserve"> </w:t>
      </w:r>
      <w:r>
        <w:rPr>
          <w:i/>
          <w:sz w:val="18"/>
        </w:rPr>
        <w:t>of</w:t>
      </w:r>
      <w:r>
        <w:rPr>
          <w:i/>
          <w:spacing w:val="-2"/>
          <w:sz w:val="18"/>
        </w:rPr>
        <w:t xml:space="preserve"> </w:t>
      </w:r>
      <w:r>
        <w:rPr>
          <w:i/>
          <w:sz w:val="18"/>
        </w:rPr>
        <w:t>Michigan Journal of Law Reform</w:t>
      </w:r>
      <w:r>
        <w:rPr>
          <w:sz w:val="18"/>
        </w:rPr>
        <w:t>, no. 46.2 (2013): 703, https://doi.org/10.36646/mjlr.46.2.victimless.</w:t>
      </w:r>
    </w:p>
    <w:p w:rsidR="00200FDA" w:rsidRDefault="00F76C4C">
      <w:pPr>
        <w:ind w:left="140" w:right="544"/>
        <w:rPr>
          <w:sz w:val="18"/>
        </w:rPr>
      </w:pPr>
      <w:r>
        <w:rPr>
          <w:w w:val="90"/>
          <w:position w:val="5"/>
          <w:sz w:val="12"/>
        </w:rPr>
        <w:t>144</w:t>
      </w:r>
      <w:r>
        <w:rPr>
          <w:spacing w:val="5"/>
          <w:position w:val="5"/>
          <w:sz w:val="12"/>
        </w:rPr>
        <w:t xml:space="preserve"> </w:t>
      </w:r>
      <w:r>
        <w:rPr>
          <w:w w:val="90"/>
          <w:sz w:val="18"/>
        </w:rPr>
        <w:t>Blaire</w:t>
      </w:r>
      <w:r>
        <w:rPr>
          <w:spacing w:val="-2"/>
          <w:w w:val="90"/>
          <w:sz w:val="18"/>
        </w:rPr>
        <w:t xml:space="preserve"> </w:t>
      </w:r>
      <w:r>
        <w:rPr>
          <w:w w:val="90"/>
          <w:sz w:val="18"/>
        </w:rPr>
        <w:t>Bayliss,</w:t>
      </w:r>
      <w:r>
        <w:rPr>
          <w:spacing w:val="-1"/>
          <w:w w:val="90"/>
          <w:sz w:val="18"/>
        </w:rPr>
        <w:t xml:space="preserve"> </w:t>
      </w:r>
      <w:r>
        <w:rPr>
          <w:w w:val="90"/>
          <w:sz w:val="18"/>
        </w:rPr>
        <w:t>“The</w:t>
      </w:r>
      <w:r>
        <w:rPr>
          <w:spacing w:val="-2"/>
          <w:w w:val="90"/>
          <w:sz w:val="18"/>
        </w:rPr>
        <w:t xml:space="preserve"> </w:t>
      </w:r>
      <w:r>
        <w:rPr>
          <w:w w:val="90"/>
          <w:sz w:val="18"/>
        </w:rPr>
        <w:t>Kids</w:t>
      </w:r>
      <w:r>
        <w:rPr>
          <w:spacing w:val="-2"/>
          <w:w w:val="90"/>
          <w:sz w:val="18"/>
        </w:rPr>
        <w:t xml:space="preserve"> </w:t>
      </w:r>
      <w:r>
        <w:rPr>
          <w:w w:val="90"/>
          <w:sz w:val="18"/>
        </w:rPr>
        <w:t>Are Alright</w:t>
      </w:r>
      <w:r>
        <w:rPr>
          <w:spacing w:val="-2"/>
          <w:w w:val="90"/>
          <w:sz w:val="18"/>
        </w:rPr>
        <w:t xml:space="preserve"> </w:t>
      </w:r>
      <w:r>
        <w:rPr>
          <w:rFonts w:ascii="Segoe UI Symbol" w:eastAsia="Segoe UI Symbol" w:hAnsi="Segoe UI Symbol"/>
          <w:w w:val="85"/>
          <w:sz w:val="18"/>
        </w:rPr>
        <w:t>😂😂😂😂</w:t>
      </w:r>
      <w:r>
        <w:rPr>
          <w:rFonts w:ascii="Segoe UI Symbol" w:eastAsia="Segoe UI Symbol" w:hAnsi="Segoe UI Symbol"/>
          <w:spacing w:val="-5"/>
          <w:w w:val="85"/>
          <w:sz w:val="18"/>
        </w:rPr>
        <w:t xml:space="preserve"> </w:t>
      </w:r>
      <w:r>
        <w:rPr>
          <w:rFonts w:ascii="Segoe UI Symbol" w:eastAsia="Segoe UI Symbol" w:hAnsi="Segoe UI Symbol"/>
          <w:w w:val="85"/>
          <w:sz w:val="18"/>
        </w:rPr>
        <w:t>🍆🍆🍆🍆</w:t>
      </w:r>
      <w:r>
        <w:rPr>
          <w:rFonts w:ascii="Segoe UI Symbol" w:eastAsia="Segoe UI Symbol" w:hAnsi="Segoe UI Symbol"/>
          <w:spacing w:val="-5"/>
          <w:w w:val="85"/>
          <w:sz w:val="18"/>
        </w:rPr>
        <w:t xml:space="preserve"> </w:t>
      </w:r>
      <w:r>
        <w:rPr>
          <w:rFonts w:ascii="Segoe UI Symbol" w:eastAsia="Segoe UI Symbol" w:hAnsi="Segoe UI Symbol"/>
          <w:w w:val="85"/>
          <w:sz w:val="18"/>
        </w:rPr>
        <w:t>🍑🍑🍑🍑</w:t>
      </w:r>
      <w:r>
        <w:rPr>
          <w:w w:val="85"/>
          <w:sz w:val="18"/>
        </w:rPr>
        <w:t xml:space="preserve">: </w:t>
      </w:r>
      <w:r>
        <w:rPr>
          <w:w w:val="90"/>
          <w:sz w:val="18"/>
        </w:rPr>
        <w:t>Teen</w:t>
      </w:r>
      <w:r>
        <w:rPr>
          <w:spacing w:val="-2"/>
          <w:w w:val="90"/>
          <w:sz w:val="18"/>
        </w:rPr>
        <w:t xml:space="preserve"> </w:t>
      </w:r>
      <w:r>
        <w:rPr>
          <w:w w:val="90"/>
          <w:sz w:val="18"/>
        </w:rPr>
        <w:t>Sexting, Child</w:t>
      </w:r>
      <w:r>
        <w:rPr>
          <w:spacing w:val="-2"/>
          <w:w w:val="90"/>
          <w:sz w:val="18"/>
        </w:rPr>
        <w:t xml:space="preserve"> </w:t>
      </w:r>
      <w:r>
        <w:rPr>
          <w:w w:val="90"/>
          <w:sz w:val="18"/>
        </w:rPr>
        <w:t>Pornography</w:t>
      </w:r>
      <w:r>
        <w:rPr>
          <w:spacing w:val="-1"/>
          <w:w w:val="90"/>
          <w:sz w:val="18"/>
        </w:rPr>
        <w:t xml:space="preserve"> </w:t>
      </w:r>
      <w:r>
        <w:rPr>
          <w:w w:val="90"/>
          <w:sz w:val="18"/>
        </w:rPr>
        <w:t>Charges,</w:t>
      </w:r>
      <w:r>
        <w:rPr>
          <w:spacing w:val="-1"/>
          <w:w w:val="90"/>
          <w:sz w:val="18"/>
        </w:rPr>
        <w:t xml:space="preserve"> </w:t>
      </w:r>
      <w:r>
        <w:rPr>
          <w:w w:val="90"/>
          <w:sz w:val="18"/>
        </w:rPr>
        <w:t>and</w:t>
      </w:r>
      <w:r>
        <w:rPr>
          <w:spacing w:val="-2"/>
          <w:w w:val="90"/>
          <w:sz w:val="18"/>
        </w:rPr>
        <w:t xml:space="preserve"> </w:t>
      </w:r>
      <w:r>
        <w:rPr>
          <w:w w:val="90"/>
          <w:sz w:val="18"/>
        </w:rPr>
        <w:t>the</w:t>
      </w:r>
      <w:r>
        <w:rPr>
          <w:spacing w:val="-2"/>
          <w:w w:val="90"/>
          <w:sz w:val="18"/>
        </w:rPr>
        <w:t xml:space="preserve"> </w:t>
      </w:r>
      <w:r>
        <w:rPr>
          <w:w w:val="90"/>
          <w:sz w:val="18"/>
        </w:rPr>
        <w:t>Criminalization</w:t>
      </w:r>
      <w:r>
        <w:rPr>
          <w:sz w:val="18"/>
        </w:rPr>
        <w:t xml:space="preserve"> of Adolescent Sexuality,” </w:t>
      </w:r>
      <w:r>
        <w:rPr>
          <w:i/>
          <w:sz w:val="18"/>
        </w:rPr>
        <w:t>University of Colorado L</w:t>
      </w:r>
      <w:r>
        <w:rPr>
          <w:i/>
          <w:sz w:val="18"/>
        </w:rPr>
        <w:t xml:space="preserve">aw Review </w:t>
      </w:r>
      <w:r>
        <w:rPr>
          <w:sz w:val="18"/>
        </w:rPr>
        <w:t>91 (2020): 251–82.</w:t>
      </w:r>
    </w:p>
    <w:p w:rsidR="00200FDA" w:rsidRDefault="00F76C4C">
      <w:pPr>
        <w:ind w:left="140" w:right="418" w:hanging="1"/>
        <w:rPr>
          <w:sz w:val="18"/>
        </w:rPr>
      </w:pPr>
      <w:r>
        <w:rPr>
          <w:position w:val="5"/>
          <w:sz w:val="12"/>
        </w:rPr>
        <w:t>145</w:t>
      </w:r>
      <w:r>
        <w:rPr>
          <w:spacing w:val="19"/>
          <w:position w:val="5"/>
          <w:sz w:val="12"/>
        </w:rPr>
        <w:t xml:space="preserve"> </w:t>
      </w:r>
      <w:r>
        <w:rPr>
          <w:sz w:val="18"/>
        </w:rPr>
        <w:t>Wendy L. Macias-Konstantopoulos et al., “The Commercial Sexual Exploitation and Sex Trafficking of Minors in the Boston</w:t>
      </w:r>
      <w:r>
        <w:rPr>
          <w:spacing w:val="-3"/>
          <w:sz w:val="18"/>
        </w:rPr>
        <w:t xml:space="preserve"> </w:t>
      </w:r>
      <w:r>
        <w:rPr>
          <w:sz w:val="18"/>
        </w:rPr>
        <w:t>Metropolitan</w:t>
      </w:r>
      <w:r>
        <w:rPr>
          <w:spacing w:val="-3"/>
          <w:sz w:val="18"/>
        </w:rPr>
        <w:t xml:space="preserve"> </w:t>
      </w:r>
      <w:r>
        <w:rPr>
          <w:sz w:val="18"/>
        </w:rPr>
        <w:t>Area:</w:t>
      </w:r>
      <w:r>
        <w:rPr>
          <w:spacing w:val="-2"/>
          <w:sz w:val="18"/>
        </w:rPr>
        <w:t xml:space="preserve"> </w:t>
      </w:r>
      <w:r>
        <w:rPr>
          <w:sz w:val="18"/>
        </w:rPr>
        <w:t>Experiences</w:t>
      </w:r>
      <w:r>
        <w:rPr>
          <w:spacing w:val="-3"/>
          <w:sz w:val="18"/>
        </w:rPr>
        <w:t xml:space="preserve"> </w:t>
      </w:r>
      <w:r>
        <w:rPr>
          <w:sz w:val="18"/>
        </w:rPr>
        <w:t>and</w:t>
      </w:r>
      <w:r>
        <w:rPr>
          <w:spacing w:val="-3"/>
          <w:sz w:val="18"/>
        </w:rPr>
        <w:t xml:space="preserve"> </w:t>
      </w:r>
      <w:r>
        <w:rPr>
          <w:sz w:val="18"/>
        </w:rPr>
        <w:t>Challenges</w:t>
      </w:r>
      <w:r>
        <w:rPr>
          <w:spacing w:val="-1"/>
          <w:sz w:val="18"/>
        </w:rPr>
        <w:t xml:space="preserve"> </w:t>
      </w:r>
      <w:r>
        <w:rPr>
          <w:sz w:val="18"/>
        </w:rPr>
        <w:t>Faced</w:t>
      </w:r>
      <w:r>
        <w:rPr>
          <w:spacing w:val="-3"/>
          <w:sz w:val="18"/>
        </w:rPr>
        <w:t xml:space="preserve"> </w:t>
      </w:r>
      <w:r>
        <w:rPr>
          <w:sz w:val="18"/>
        </w:rPr>
        <w:t>by Front-Line</w:t>
      </w:r>
      <w:r>
        <w:rPr>
          <w:spacing w:val="-3"/>
          <w:sz w:val="18"/>
        </w:rPr>
        <w:t xml:space="preserve"> </w:t>
      </w:r>
      <w:r>
        <w:rPr>
          <w:sz w:val="18"/>
        </w:rPr>
        <w:t>Providers</w:t>
      </w:r>
      <w:r>
        <w:rPr>
          <w:spacing w:val="-3"/>
          <w:sz w:val="18"/>
        </w:rPr>
        <w:t xml:space="preserve"> </w:t>
      </w:r>
      <w:r>
        <w:rPr>
          <w:sz w:val="18"/>
        </w:rPr>
        <w:t>and</w:t>
      </w:r>
      <w:r>
        <w:rPr>
          <w:spacing w:val="-3"/>
          <w:sz w:val="18"/>
        </w:rPr>
        <w:t xml:space="preserve"> </w:t>
      </w:r>
      <w:r>
        <w:rPr>
          <w:sz w:val="18"/>
        </w:rPr>
        <w:t>Other</w:t>
      </w:r>
      <w:r>
        <w:rPr>
          <w:spacing w:val="-3"/>
          <w:sz w:val="18"/>
        </w:rPr>
        <w:t xml:space="preserve"> </w:t>
      </w:r>
      <w:r>
        <w:rPr>
          <w:sz w:val="18"/>
        </w:rPr>
        <w:t>Stakeholders,”</w:t>
      </w:r>
      <w:r>
        <w:rPr>
          <w:spacing w:val="-3"/>
          <w:sz w:val="18"/>
        </w:rPr>
        <w:t xml:space="preserve"> </w:t>
      </w:r>
      <w:r>
        <w:rPr>
          <w:i/>
          <w:sz w:val="18"/>
        </w:rPr>
        <w:t>Journal</w:t>
      </w:r>
      <w:r>
        <w:rPr>
          <w:i/>
          <w:spacing w:val="-3"/>
          <w:sz w:val="18"/>
        </w:rPr>
        <w:t xml:space="preserve"> </w:t>
      </w:r>
      <w:r>
        <w:rPr>
          <w:i/>
          <w:sz w:val="18"/>
        </w:rPr>
        <w:t xml:space="preserve">of Applied Research on Children </w:t>
      </w:r>
      <w:r>
        <w:rPr>
          <w:sz w:val="18"/>
        </w:rPr>
        <w:t>6, no. 1 (2015), https://eric.ed.gov/?id=EJ1188522.</w:t>
      </w:r>
    </w:p>
    <w:p w:rsidR="00200FDA" w:rsidRDefault="00F76C4C">
      <w:pPr>
        <w:spacing w:line="218" w:lineRule="exact"/>
        <w:ind w:left="140"/>
        <w:rPr>
          <w:sz w:val="18"/>
        </w:rPr>
      </w:pPr>
      <w:r>
        <w:rPr>
          <w:position w:val="5"/>
          <w:sz w:val="12"/>
        </w:rPr>
        <w:t>146</w:t>
      </w:r>
      <w:r>
        <w:rPr>
          <w:spacing w:val="8"/>
          <w:position w:val="5"/>
          <w:sz w:val="12"/>
        </w:rPr>
        <w:t xml:space="preserve"> </w:t>
      </w:r>
      <w:r>
        <w:rPr>
          <w:sz w:val="18"/>
        </w:rPr>
        <w:t>Macias-Konstantopoulos</w:t>
      </w:r>
      <w:r>
        <w:rPr>
          <w:spacing w:val="-4"/>
          <w:sz w:val="18"/>
        </w:rPr>
        <w:t xml:space="preserve"> </w:t>
      </w:r>
      <w:r>
        <w:rPr>
          <w:sz w:val="18"/>
        </w:rPr>
        <w:t>et</w:t>
      </w:r>
      <w:r>
        <w:rPr>
          <w:spacing w:val="-4"/>
          <w:sz w:val="18"/>
        </w:rPr>
        <w:t xml:space="preserve"> </w:t>
      </w:r>
      <w:r>
        <w:rPr>
          <w:spacing w:val="-5"/>
          <w:sz w:val="18"/>
        </w:rPr>
        <w:t>al.</w:t>
      </w:r>
    </w:p>
    <w:p w:rsidR="00200FDA" w:rsidRDefault="00F76C4C">
      <w:pPr>
        <w:spacing w:before="1"/>
        <w:ind w:left="139" w:right="418"/>
        <w:rPr>
          <w:sz w:val="18"/>
        </w:rPr>
      </w:pPr>
      <w:r>
        <w:rPr>
          <w:position w:val="5"/>
          <w:sz w:val="12"/>
        </w:rPr>
        <w:t>147</w:t>
      </w:r>
      <w:r>
        <w:rPr>
          <w:spacing w:val="10"/>
          <w:position w:val="5"/>
          <w:sz w:val="12"/>
        </w:rPr>
        <w:t xml:space="preserve"> </w:t>
      </w:r>
      <w:r>
        <w:rPr>
          <w:sz w:val="18"/>
        </w:rPr>
        <w:t>Charles</w:t>
      </w:r>
      <w:r>
        <w:rPr>
          <w:spacing w:val="-3"/>
          <w:sz w:val="18"/>
        </w:rPr>
        <w:t xml:space="preserve"> </w:t>
      </w:r>
      <w:r>
        <w:rPr>
          <w:sz w:val="18"/>
        </w:rPr>
        <w:t>Hounmenou</w:t>
      </w:r>
      <w:r>
        <w:rPr>
          <w:spacing w:val="-3"/>
          <w:sz w:val="18"/>
        </w:rPr>
        <w:t xml:space="preserve"> </w:t>
      </w:r>
      <w:r>
        <w:rPr>
          <w:sz w:val="18"/>
        </w:rPr>
        <w:t>and</w:t>
      </w:r>
      <w:r>
        <w:rPr>
          <w:spacing w:val="-3"/>
          <w:sz w:val="18"/>
        </w:rPr>
        <w:t xml:space="preserve"> </w:t>
      </w:r>
      <w:r>
        <w:rPr>
          <w:sz w:val="18"/>
        </w:rPr>
        <w:t>Caitlin</w:t>
      </w:r>
      <w:r>
        <w:rPr>
          <w:spacing w:val="-1"/>
          <w:sz w:val="18"/>
        </w:rPr>
        <w:t xml:space="preserve"> </w:t>
      </w:r>
      <w:r>
        <w:rPr>
          <w:sz w:val="18"/>
        </w:rPr>
        <w:t>O’Grady,</w:t>
      </w:r>
      <w:r>
        <w:rPr>
          <w:spacing w:val="-2"/>
          <w:sz w:val="18"/>
        </w:rPr>
        <w:t xml:space="preserve"> </w:t>
      </w:r>
      <w:r>
        <w:rPr>
          <w:sz w:val="18"/>
        </w:rPr>
        <w:t>“A</w:t>
      </w:r>
      <w:r>
        <w:rPr>
          <w:spacing w:val="-3"/>
          <w:sz w:val="18"/>
        </w:rPr>
        <w:t xml:space="preserve"> </w:t>
      </w:r>
      <w:r>
        <w:rPr>
          <w:sz w:val="18"/>
        </w:rPr>
        <w:t>Review</w:t>
      </w:r>
      <w:r>
        <w:rPr>
          <w:spacing w:val="-1"/>
          <w:sz w:val="18"/>
        </w:rPr>
        <w:t xml:space="preserve"> </w:t>
      </w:r>
      <w:r>
        <w:rPr>
          <w:sz w:val="18"/>
        </w:rPr>
        <w:t>and</w:t>
      </w:r>
      <w:r>
        <w:rPr>
          <w:spacing w:val="-3"/>
          <w:sz w:val="18"/>
        </w:rPr>
        <w:t xml:space="preserve"> </w:t>
      </w:r>
      <w:r>
        <w:rPr>
          <w:sz w:val="18"/>
        </w:rPr>
        <w:t>Critique</w:t>
      </w:r>
      <w:r>
        <w:rPr>
          <w:spacing w:val="-1"/>
          <w:sz w:val="18"/>
        </w:rPr>
        <w:t xml:space="preserve"> </w:t>
      </w:r>
      <w:r>
        <w:rPr>
          <w:sz w:val="18"/>
        </w:rPr>
        <w:t>of</w:t>
      </w:r>
      <w:r>
        <w:rPr>
          <w:spacing w:val="-2"/>
          <w:sz w:val="18"/>
        </w:rPr>
        <w:t xml:space="preserve"> </w:t>
      </w:r>
      <w:r>
        <w:rPr>
          <w:sz w:val="18"/>
        </w:rPr>
        <w:t>the</w:t>
      </w:r>
      <w:r>
        <w:rPr>
          <w:spacing w:val="-3"/>
          <w:sz w:val="18"/>
        </w:rPr>
        <w:t xml:space="preserve"> </w:t>
      </w:r>
      <w:r>
        <w:rPr>
          <w:sz w:val="18"/>
        </w:rPr>
        <w:t>U.S.</w:t>
      </w:r>
      <w:r>
        <w:rPr>
          <w:spacing w:val="-2"/>
          <w:sz w:val="18"/>
        </w:rPr>
        <w:t xml:space="preserve"> </w:t>
      </w:r>
      <w:r>
        <w:rPr>
          <w:sz w:val="18"/>
        </w:rPr>
        <w:t>Responses</w:t>
      </w:r>
      <w:r>
        <w:rPr>
          <w:spacing w:val="-3"/>
          <w:sz w:val="18"/>
        </w:rPr>
        <w:t xml:space="preserve"> </w:t>
      </w:r>
      <w:r>
        <w:rPr>
          <w:sz w:val="18"/>
        </w:rPr>
        <w:t>to</w:t>
      </w:r>
      <w:r>
        <w:rPr>
          <w:spacing w:val="-1"/>
          <w:sz w:val="18"/>
        </w:rPr>
        <w:t xml:space="preserve"> </w:t>
      </w:r>
      <w:r>
        <w:rPr>
          <w:sz w:val="18"/>
        </w:rPr>
        <w:t>the</w:t>
      </w:r>
      <w:r>
        <w:rPr>
          <w:spacing w:val="-3"/>
          <w:sz w:val="18"/>
        </w:rPr>
        <w:t xml:space="preserve"> </w:t>
      </w:r>
      <w:r>
        <w:rPr>
          <w:sz w:val="18"/>
        </w:rPr>
        <w:t>Commercial</w:t>
      </w:r>
      <w:r>
        <w:rPr>
          <w:spacing w:val="-3"/>
          <w:sz w:val="18"/>
        </w:rPr>
        <w:t xml:space="preserve"> </w:t>
      </w:r>
      <w:r>
        <w:rPr>
          <w:sz w:val="18"/>
        </w:rPr>
        <w:t>Sexual Exploitation of C</w:t>
      </w:r>
      <w:r>
        <w:rPr>
          <w:sz w:val="18"/>
        </w:rPr>
        <w:t xml:space="preserve">hildren,” </w:t>
      </w:r>
      <w:r>
        <w:rPr>
          <w:i/>
          <w:sz w:val="18"/>
        </w:rPr>
        <w:t xml:space="preserve">Children and Youth Services Review </w:t>
      </w:r>
      <w:r>
        <w:rPr>
          <w:sz w:val="18"/>
        </w:rPr>
        <w:t xml:space="preserve">98 (March 1, 2019): 188–98, </w:t>
      </w:r>
      <w:r>
        <w:rPr>
          <w:spacing w:val="-2"/>
          <w:sz w:val="18"/>
        </w:rPr>
        <w:t>https://doi.org/10.1016/j.childyouth.2019.01.005.</w:t>
      </w:r>
    </w:p>
    <w:p w:rsidR="00200FDA" w:rsidRDefault="00F76C4C">
      <w:pPr>
        <w:spacing w:before="1" w:line="219" w:lineRule="exact"/>
        <w:ind w:left="140"/>
        <w:rPr>
          <w:sz w:val="18"/>
        </w:rPr>
      </w:pPr>
      <w:r>
        <w:rPr>
          <w:position w:val="5"/>
          <w:sz w:val="12"/>
        </w:rPr>
        <w:t>148</w:t>
      </w:r>
      <w:r>
        <w:rPr>
          <w:spacing w:val="8"/>
          <w:position w:val="5"/>
          <w:sz w:val="12"/>
        </w:rPr>
        <w:t xml:space="preserve"> </w:t>
      </w:r>
      <w:r>
        <w:rPr>
          <w:sz w:val="18"/>
        </w:rPr>
        <w:t>Abrams</w:t>
      </w:r>
      <w:r>
        <w:rPr>
          <w:spacing w:val="-3"/>
          <w:sz w:val="18"/>
        </w:rPr>
        <w:t xml:space="preserve"> </w:t>
      </w:r>
      <w:r>
        <w:rPr>
          <w:sz w:val="18"/>
        </w:rPr>
        <w:t>et</w:t>
      </w:r>
      <w:r>
        <w:rPr>
          <w:spacing w:val="-2"/>
          <w:sz w:val="18"/>
        </w:rPr>
        <w:t xml:space="preserve"> </w:t>
      </w:r>
      <w:r>
        <w:rPr>
          <w:sz w:val="18"/>
        </w:rPr>
        <w:t>al.,</w:t>
      </w:r>
      <w:r>
        <w:rPr>
          <w:spacing w:val="-2"/>
          <w:sz w:val="18"/>
        </w:rPr>
        <w:t xml:space="preserve"> </w:t>
      </w:r>
      <w:r>
        <w:rPr>
          <w:sz w:val="18"/>
        </w:rPr>
        <w:t>“Collaborative</w:t>
      </w:r>
      <w:r>
        <w:rPr>
          <w:spacing w:val="-2"/>
          <w:sz w:val="18"/>
        </w:rPr>
        <w:t xml:space="preserve"> </w:t>
      </w:r>
      <w:r>
        <w:rPr>
          <w:sz w:val="18"/>
        </w:rPr>
        <w:t>Responses</w:t>
      </w:r>
      <w:r>
        <w:rPr>
          <w:spacing w:val="-3"/>
          <w:sz w:val="18"/>
        </w:rPr>
        <w:t xml:space="preserve"> </w:t>
      </w:r>
      <w:r>
        <w:rPr>
          <w:sz w:val="18"/>
        </w:rPr>
        <w:t>to</w:t>
      </w:r>
      <w:r>
        <w:rPr>
          <w:spacing w:val="-1"/>
          <w:sz w:val="18"/>
        </w:rPr>
        <w:t xml:space="preserve"> </w:t>
      </w:r>
      <w:r>
        <w:rPr>
          <w:sz w:val="18"/>
        </w:rPr>
        <w:t>Commercial</w:t>
      </w:r>
      <w:r>
        <w:rPr>
          <w:spacing w:val="-2"/>
          <w:sz w:val="18"/>
        </w:rPr>
        <w:t xml:space="preserve"> </w:t>
      </w:r>
      <w:r>
        <w:rPr>
          <w:sz w:val="18"/>
        </w:rPr>
        <w:t>Sexual</w:t>
      </w:r>
      <w:r>
        <w:rPr>
          <w:spacing w:val="-3"/>
          <w:sz w:val="18"/>
        </w:rPr>
        <w:t xml:space="preserve"> </w:t>
      </w:r>
      <w:r>
        <w:rPr>
          <w:sz w:val="18"/>
        </w:rPr>
        <w:t>Exploitation</w:t>
      </w:r>
      <w:r>
        <w:rPr>
          <w:spacing w:val="-2"/>
          <w:sz w:val="18"/>
        </w:rPr>
        <w:t xml:space="preserve"> </w:t>
      </w:r>
      <w:r>
        <w:rPr>
          <w:sz w:val="18"/>
        </w:rPr>
        <w:t>as</w:t>
      </w:r>
      <w:r>
        <w:rPr>
          <w:spacing w:val="-3"/>
          <w:sz w:val="18"/>
        </w:rPr>
        <w:t xml:space="preserve"> </w:t>
      </w:r>
      <w:r>
        <w:rPr>
          <w:sz w:val="18"/>
        </w:rPr>
        <w:t>a</w:t>
      </w:r>
      <w:r>
        <w:rPr>
          <w:spacing w:val="-2"/>
          <w:sz w:val="18"/>
        </w:rPr>
        <w:t xml:space="preserve"> </w:t>
      </w:r>
      <w:r>
        <w:rPr>
          <w:sz w:val="18"/>
        </w:rPr>
        <w:t>Model</w:t>
      </w:r>
      <w:r>
        <w:rPr>
          <w:spacing w:val="-2"/>
          <w:sz w:val="18"/>
        </w:rPr>
        <w:t xml:space="preserve"> </w:t>
      </w:r>
      <w:r>
        <w:rPr>
          <w:sz w:val="18"/>
        </w:rPr>
        <w:t>of</w:t>
      </w:r>
      <w:r>
        <w:rPr>
          <w:spacing w:val="-2"/>
          <w:sz w:val="18"/>
        </w:rPr>
        <w:t xml:space="preserve"> </w:t>
      </w:r>
      <w:r>
        <w:rPr>
          <w:sz w:val="18"/>
        </w:rPr>
        <w:t>Smart</w:t>
      </w:r>
      <w:r>
        <w:rPr>
          <w:spacing w:val="-2"/>
          <w:sz w:val="18"/>
        </w:rPr>
        <w:t xml:space="preserve"> Decarceration.”</w:t>
      </w:r>
    </w:p>
    <w:p w:rsidR="00200FDA" w:rsidRDefault="00F76C4C">
      <w:pPr>
        <w:ind w:left="140" w:right="418"/>
        <w:rPr>
          <w:sz w:val="18"/>
        </w:rPr>
      </w:pPr>
      <w:r>
        <w:rPr>
          <w:position w:val="5"/>
          <w:sz w:val="12"/>
        </w:rPr>
        <w:t>149</w:t>
      </w:r>
      <w:r>
        <w:rPr>
          <w:spacing w:val="10"/>
          <w:position w:val="5"/>
          <w:sz w:val="12"/>
        </w:rPr>
        <w:t xml:space="preserve"> </w:t>
      </w:r>
      <w:r>
        <w:rPr>
          <w:sz w:val="18"/>
        </w:rPr>
        <w:t>Dora</w:t>
      </w:r>
      <w:r>
        <w:rPr>
          <w:spacing w:val="-2"/>
          <w:sz w:val="18"/>
        </w:rPr>
        <w:t xml:space="preserve"> </w:t>
      </w:r>
      <w:r>
        <w:rPr>
          <w:sz w:val="18"/>
        </w:rPr>
        <w:t>Ducak</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“Perspectives</w:t>
      </w:r>
      <w:r>
        <w:rPr>
          <w:spacing w:val="-1"/>
          <w:sz w:val="18"/>
        </w:rPr>
        <w:t xml:space="preserve"> </w:t>
      </w:r>
      <w:r>
        <w:rPr>
          <w:sz w:val="18"/>
        </w:rPr>
        <w:t>of</w:t>
      </w:r>
      <w:r>
        <w:rPr>
          <w:spacing w:val="-2"/>
          <w:sz w:val="18"/>
        </w:rPr>
        <w:t xml:space="preserve"> </w:t>
      </w:r>
      <w:r>
        <w:rPr>
          <w:sz w:val="18"/>
        </w:rPr>
        <w:t>Stakeholders</w:t>
      </w:r>
      <w:r>
        <w:rPr>
          <w:spacing w:val="-3"/>
          <w:sz w:val="18"/>
        </w:rPr>
        <w:t xml:space="preserve"> </w:t>
      </w:r>
      <w:r>
        <w:rPr>
          <w:sz w:val="18"/>
        </w:rPr>
        <w:t>Working</w:t>
      </w:r>
      <w:r>
        <w:rPr>
          <w:spacing w:val="-3"/>
          <w:sz w:val="18"/>
        </w:rPr>
        <w:t xml:space="preserve"> </w:t>
      </w:r>
      <w:r>
        <w:rPr>
          <w:sz w:val="18"/>
        </w:rPr>
        <w:t>to</w:t>
      </w:r>
      <w:r>
        <w:rPr>
          <w:spacing w:val="-1"/>
          <w:sz w:val="18"/>
        </w:rPr>
        <w:t xml:space="preserve"> </w:t>
      </w:r>
      <w:r>
        <w:rPr>
          <w:sz w:val="18"/>
        </w:rPr>
        <w:t>End</w:t>
      </w:r>
      <w:r>
        <w:rPr>
          <w:spacing w:val="-3"/>
          <w:sz w:val="18"/>
        </w:rPr>
        <w:t xml:space="preserve"> </w:t>
      </w:r>
      <w:r>
        <w:rPr>
          <w:sz w:val="18"/>
        </w:rPr>
        <w:t>the</w:t>
      </w:r>
      <w:r>
        <w:rPr>
          <w:spacing w:val="-3"/>
          <w:sz w:val="18"/>
        </w:rPr>
        <w:t xml:space="preserve"> </w:t>
      </w:r>
      <w:r>
        <w:rPr>
          <w:sz w:val="18"/>
        </w:rPr>
        <w:t>Commercial</w:t>
      </w:r>
      <w:r>
        <w:rPr>
          <w:spacing w:val="-3"/>
          <w:sz w:val="18"/>
        </w:rPr>
        <w:t xml:space="preserve"> </w:t>
      </w:r>
      <w:r>
        <w:rPr>
          <w:sz w:val="18"/>
        </w:rPr>
        <w:t>Sexual</w:t>
      </w:r>
      <w:r>
        <w:rPr>
          <w:spacing w:val="-3"/>
          <w:sz w:val="18"/>
        </w:rPr>
        <w:t xml:space="preserve"> </w:t>
      </w:r>
      <w:r>
        <w:rPr>
          <w:sz w:val="18"/>
        </w:rPr>
        <w:t>Exploitation</w:t>
      </w:r>
      <w:r>
        <w:rPr>
          <w:spacing w:val="-3"/>
          <w:sz w:val="18"/>
        </w:rPr>
        <w:t xml:space="preserve"> </w:t>
      </w:r>
      <w:r>
        <w:rPr>
          <w:sz w:val="18"/>
        </w:rPr>
        <w:t>of</w:t>
      </w:r>
      <w:r>
        <w:rPr>
          <w:spacing w:val="-2"/>
          <w:sz w:val="18"/>
        </w:rPr>
        <w:t xml:space="preserve"> </w:t>
      </w:r>
      <w:r>
        <w:rPr>
          <w:sz w:val="18"/>
        </w:rPr>
        <w:t>Children</w:t>
      </w:r>
      <w:r>
        <w:rPr>
          <w:spacing w:val="-3"/>
          <w:sz w:val="18"/>
        </w:rPr>
        <w:t xml:space="preserve"> </w:t>
      </w:r>
      <w:r>
        <w:rPr>
          <w:sz w:val="18"/>
        </w:rPr>
        <w:t xml:space="preserve">in Atlanta, Georgia,” </w:t>
      </w:r>
      <w:r>
        <w:rPr>
          <w:i/>
          <w:sz w:val="18"/>
        </w:rPr>
        <w:t xml:space="preserve">Violence and Gender </w:t>
      </w:r>
      <w:r>
        <w:rPr>
          <w:sz w:val="18"/>
        </w:rPr>
        <w:t>9, no. 2 (June 2022): 73–79, https://doi.org/10.1089/vio.2021.0048.</w:t>
      </w:r>
    </w:p>
    <w:p w:rsidR="00200FDA" w:rsidRDefault="00F76C4C">
      <w:pPr>
        <w:spacing w:line="219" w:lineRule="exact"/>
        <w:ind w:left="140"/>
        <w:rPr>
          <w:sz w:val="18"/>
        </w:rPr>
      </w:pPr>
      <w:r>
        <w:rPr>
          <w:position w:val="5"/>
          <w:sz w:val="12"/>
        </w:rPr>
        <w:t>150</w:t>
      </w:r>
      <w:r>
        <w:rPr>
          <w:spacing w:val="8"/>
          <w:position w:val="5"/>
          <w:sz w:val="12"/>
        </w:rPr>
        <w:t xml:space="preserve"> </w:t>
      </w:r>
      <w:r>
        <w:rPr>
          <w:sz w:val="18"/>
        </w:rPr>
        <w:t>Lauren</w:t>
      </w:r>
      <w:r>
        <w:rPr>
          <w:spacing w:val="-3"/>
          <w:sz w:val="18"/>
        </w:rPr>
        <w:t xml:space="preserve"> </w:t>
      </w:r>
      <w:r>
        <w:rPr>
          <w:sz w:val="18"/>
        </w:rPr>
        <w:t>M.</w:t>
      </w:r>
      <w:r>
        <w:rPr>
          <w:spacing w:val="-2"/>
          <w:sz w:val="18"/>
        </w:rPr>
        <w:t xml:space="preserve"> </w:t>
      </w:r>
      <w:r>
        <w:rPr>
          <w:sz w:val="18"/>
        </w:rPr>
        <w:t>Sava</w:t>
      </w:r>
      <w:r>
        <w:rPr>
          <w:spacing w:val="-2"/>
          <w:sz w:val="18"/>
        </w:rPr>
        <w:t xml:space="preserve"> </w:t>
      </w:r>
      <w:r>
        <w:rPr>
          <w:sz w:val="18"/>
        </w:rPr>
        <w:t>et</w:t>
      </w:r>
      <w:r>
        <w:rPr>
          <w:spacing w:val="-2"/>
          <w:sz w:val="18"/>
        </w:rPr>
        <w:t xml:space="preserve"> </w:t>
      </w:r>
      <w:r>
        <w:rPr>
          <w:sz w:val="18"/>
        </w:rPr>
        <w:t>al.,</w:t>
      </w:r>
      <w:r>
        <w:rPr>
          <w:spacing w:val="-2"/>
          <w:sz w:val="18"/>
        </w:rPr>
        <w:t xml:space="preserve"> </w:t>
      </w:r>
      <w:r>
        <w:rPr>
          <w:sz w:val="18"/>
        </w:rPr>
        <w:t>“LGBTQ</w:t>
      </w:r>
      <w:r>
        <w:rPr>
          <w:spacing w:val="-3"/>
          <w:sz w:val="18"/>
        </w:rPr>
        <w:t xml:space="preserve"> </w:t>
      </w:r>
      <w:r>
        <w:rPr>
          <w:sz w:val="18"/>
        </w:rPr>
        <w:t>Student</w:t>
      </w:r>
      <w:r>
        <w:rPr>
          <w:spacing w:val="-3"/>
          <w:sz w:val="18"/>
        </w:rPr>
        <w:t xml:space="preserve"> </w:t>
      </w:r>
      <w:r>
        <w:rPr>
          <w:sz w:val="18"/>
        </w:rPr>
        <w:t>Health:</w:t>
      </w:r>
      <w:r>
        <w:rPr>
          <w:spacing w:val="1"/>
          <w:sz w:val="18"/>
        </w:rPr>
        <w:t xml:space="preserve"> </w:t>
      </w:r>
      <w:r>
        <w:rPr>
          <w:sz w:val="18"/>
        </w:rPr>
        <w:t>A</w:t>
      </w:r>
      <w:r>
        <w:rPr>
          <w:spacing w:val="-3"/>
          <w:sz w:val="18"/>
        </w:rPr>
        <w:t xml:space="preserve"> </w:t>
      </w:r>
      <w:r>
        <w:rPr>
          <w:sz w:val="18"/>
        </w:rPr>
        <w:t>Mixed-Methods</w:t>
      </w:r>
      <w:r>
        <w:rPr>
          <w:spacing w:val="-3"/>
          <w:sz w:val="18"/>
        </w:rPr>
        <w:t xml:space="preserve"> </w:t>
      </w:r>
      <w:r>
        <w:rPr>
          <w:sz w:val="18"/>
        </w:rPr>
        <w:t>Study</w:t>
      </w:r>
      <w:r>
        <w:rPr>
          <w:spacing w:val="-2"/>
          <w:sz w:val="18"/>
        </w:rPr>
        <w:t xml:space="preserve"> </w:t>
      </w:r>
      <w:r>
        <w:rPr>
          <w:sz w:val="18"/>
        </w:rPr>
        <w:t>of</w:t>
      </w:r>
      <w:r>
        <w:rPr>
          <w:spacing w:val="-1"/>
          <w:sz w:val="18"/>
        </w:rPr>
        <w:t xml:space="preserve"> </w:t>
      </w:r>
      <w:r>
        <w:rPr>
          <w:sz w:val="18"/>
        </w:rPr>
        <w:t>Unmet</w:t>
      </w:r>
      <w:r>
        <w:rPr>
          <w:spacing w:val="-3"/>
          <w:sz w:val="18"/>
        </w:rPr>
        <w:t xml:space="preserve"> </w:t>
      </w:r>
      <w:r>
        <w:rPr>
          <w:sz w:val="18"/>
        </w:rPr>
        <w:t>Needs</w:t>
      </w:r>
      <w:r>
        <w:rPr>
          <w:spacing w:val="-1"/>
          <w:sz w:val="18"/>
        </w:rPr>
        <w:t xml:space="preserve"> </w:t>
      </w:r>
      <w:r>
        <w:rPr>
          <w:sz w:val="18"/>
        </w:rPr>
        <w:t>in</w:t>
      </w:r>
      <w:r>
        <w:rPr>
          <w:spacing w:val="-3"/>
          <w:sz w:val="18"/>
        </w:rPr>
        <w:t xml:space="preserve"> </w:t>
      </w:r>
      <w:r>
        <w:rPr>
          <w:sz w:val="18"/>
        </w:rPr>
        <w:t>Massachusetts</w:t>
      </w:r>
      <w:r>
        <w:rPr>
          <w:spacing w:val="-2"/>
          <w:sz w:val="18"/>
        </w:rPr>
        <w:t xml:space="preserve"> Schools,”</w:t>
      </w:r>
    </w:p>
    <w:p w:rsidR="00200FDA" w:rsidRDefault="00F76C4C">
      <w:pPr>
        <w:spacing w:before="1" w:line="219" w:lineRule="exact"/>
        <w:ind w:left="139"/>
        <w:rPr>
          <w:sz w:val="18"/>
        </w:rPr>
      </w:pPr>
      <w:r>
        <w:rPr>
          <w:i/>
          <w:sz w:val="18"/>
        </w:rPr>
        <w:t>Journal</w:t>
      </w:r>
      <w:r>
        <w:rPr>
          <w:i/>
          <w:spacing w:val="-3"/>
          <w:sz w:val="18"/>
        </w:rPr>
        <w:t xml:space="preserve"> </w:t>
      </w:r>
      <w:r>
        <w:rPr>
          <w:i/>
          <w:sz w:val="18"/>
        </w:rPr>
        <w:t>of</w:t>
      </w:r>
      <w:r>
        <w:rPr>
          <w:i/>
          <w:spacing w:val="-1"/>
          <w:sz w:val="18"/>
        </w:rPr>
        <w:t xml:space="preserve"> </w:t>
      </w:r>
      <w:r>
        <w:rPr>
          <w:i/>
          <w:sz w:val="18"/>
        </w:rPr>
        <w:t>School</w:t>
      </w:r>
      <w:r>
        <w:rPr>
          <w:i/>
          <w:spacing w:val="-2"/>
          <w:sz w:val="18"/>
        </w:rPr>
        <w:t xml:space="preserve"> </w:t>
      </w:r>
      <w:r>
        <w:rPr>
          <w:i/>
          <w:sz w:val="18"/>
        </w:rPr>
        <w:t>Health</w:t>
      </w:r>
      <w:r>
        <w:rPr>
          <w:i/>
          <w:spacing w:val="-1"/>
          <w:sz w:val="18"/>
        </w:rPr>
        <w:t xml:space="preserve"> </w:t>
      </w:r>
      <w:r>
        <w:rPr>
          <w:sz w:val="18"/>
        </w:rPr>
        <w:t>91,</w:t>
      </w:r>
      <w:r>
        <w:rPr>
          <w:spacing w:val="-2"/>
          <w:sz w:val="18"/>
        </w:rPr>
        <w:t xml:space="preserve"> </w:t>
      </w:r>
      <w:r>
        <w:rPr>
          <w:sz w:val="18"/>
        </w:rPr>
        <w:t>no.</w:t>
      </w:r>
      <w:r>
        <w:rPr>
          <w:spacing w:val="-1"/>
          <w:sz w:val="18"/>
        </w:rPr>
        <w:t xml:space="preserve"> </w:t>
      </w:r>
      <w:r>
        <w:rPr>
          <w:sz w:val="18"/>
        </w:rPr>
        <w:t>11</w:t>
      </w:r>
      <w:r>
        <w:rPr>
          <w:spacing w:val="-1"/>
          <w:sz w:val="18"/>
        </w:rPr>
        <w:t xml:space="preserve"> </w:t>
      </w:r>
      <w:r>
        <w:rPr>
          <w:sz w:val="18"/>
        </w:rPr>
        <w:t>(2021):</w:t>
      </w:r>
      <w:r>
        <w:rPr>
          <w:spacing w:val="-1"/>
          <w:sz w:val="18"/>
        </w:rPr>
        <w:t xml:space="preserve"> </w:t>
      </w:r>
      <w:r>
        <w:rPr>
          <w:sz w:val="18"/>
        </w:rPr>
        <w:t>894–905,</w:t>
      </w:r>
      <w:r>
        <w:rPr>
          <w:spacing w:val="-1"/>
          <w:sz w:val="18"/>
        </w:rPr>
        <w:t xml:space="preserve"> </w:t>
      </w:r>
      <w:r>
        <w:rPr>
          <w:spacing w:val="-2"/>
          <w:sz w:val="18"/>
        </w:rPr>
        <w:t>https://doi.org/10.1111/josh.13082.</w:t>
      </w:r>
    </w:p>
    <w:p w:rsidR="00200FDA" w:rsidRDefault="00F76C4C">
      <w:pPr>
        <w:spacing w:line="219" w:lineRule="exact"/>
        <w:ind w:left="140"/>
        <w:rPr>
          <w:sz w:val="18"/>
        </w:rPr>
      </w:pPr>
      <w:r>
        <w:rPr>
          <w:position w:val="5"/>
          <w:sz w:val="12"/>
        </w:rPr>
        <w:t>151</w:t>
      </w:r>
      <w:r>
        <w:rPr>
          <w:spacing w:val="8"/>
          <w:position w:val="5"/>
          <w:sz w:val="12"/>
        </w:rPr>
        <w:t xml:space="preserve"> </w:t>
      </w:r>
      <w:r>
        <w:rPr>
          <w:sz w:val="18"/>
        </w:rPr>
        <w:t>Topping,</w:t>
      </w:r>
      <w:r>
        <w:rPr>
          <w:spacing w:val="-2"/>
          <w:sz w:val="18"/>
        </w:rPr>
        <w:t xml:space="preserve"> </w:t>
      </w:r>
      <w:r>
        <w:rPr>
          <w:sz w:val="18"/>
        </w:rPr>
        <w:t>“Peer</w:t>
      </w:r>
      <w:r>
        <w:rPr>
          <w:spacing w:val="-2"/>
          <w:sz w:val="18"/>
        </w:rPr>
        <w:t xml:space="preserve"> </w:t>
      </w:r>
      <w:r>
        <w:rPr>
          <w:sz w:val="18"/>
        </w:rPr>
        <w:t>Education</w:t>
      </w:r>
      <w:r>
        <w:rPr>
          <w:spacing w:val="-3"/>
          <w:sz w:val="18"/>
        </w:rPr>
        <w:t xml:space="preserve"> </w:t>
      </w:r>
      <w:r>
        <w:rPr>
          <w:sz w:val="18"/>
        </w:rPr>
        <w:t>and</w:t>
      </w:r>
      <w:r>
        <w:rPr>
          <w:spacing w:val="-2"/>
          <w:sz w:val="18"/>
        </w:rPr>
        <w:t xml:space="preserve"> </w:t>
      </w:r>
      <w:r>
        <w:rPr>
          <w:sz w:val="18"/>
        </w:rPr>
        <w:t>Peer</w:t>
      </w:r>
      <w:r>
        <w:rPr>
          <w:spacing w:val="-3"/>
          <w:sz w:val="18"/>
        </w:rPr>
        <w:t xml:space="preserve"> </w:t>
      </w:r>
      <w:r>
        <w:rPr>
          <w:sz w:val="18"/>
        </w:rPr>
        <w:t>Counselling</w:t>
      </w:r>
      <w:r>
        <w:rPr>
          <w:spacing w:val="-3"/>
          <w:sz w:val="18"/>
        </w:rPr>
        <w:t xml:space="preserve"> </w:t>
      </w:r>
      <w:r>
        <w:rPr>
          <w:sz w:val="18"/>
        </w:rPr>
        <w:t>for</w:t>
      </w:r>
      <w:r>
        <w:rPr>
          <w:spacing w:val="-2"/>
          <w:sz w:val="18"/>
        </w:rPr>
        <w:t xml:space="preserve"> </w:t>
      </w:r>
      <w:r>
        <w:rPr>
          <w:sz w:val="18"/>
        </w:rPr>
        <w:t>Health</w:t>
      </w:r>
      <w:r>
        <w:rPr>
          <w:spacing w:val="-3"/>
          <w:sz w:val="18"/>
        </w:rPr>
        <w:t xml:space="preserve"> </w:t>
      </w:r>
      <w:r>
        <w:rPr>
          <w:sz w:val="18"/>
        </w:rPr>
        <w:t>and</w:t>
      </w:r>
      <w:r>
        <w:rPr>
          <w:spacing w:val="-2"/>
          <w:sz w:val="18"/>
        </w:rPr>
        <w:t xml:space="preserve"> </w:t>
      </w:r>
      <w:r>
        <w:rPr>
          <w:sz w:val="18"/>
        </w:rPr>
        <w:t>Well-</w:t>
      </w:r>
      <w:r>
        <w:rPr>
          <w:spacing w:val="-2"/>
          <w:sz w:val="18"/>
        </w:rPr>
        <w:t>Being.”</w:t>
      </w:r>
    </w:p>
    <w:p w:rsidR="00200FDA" w:rsidRDefault="00F76C4C">
      <w:pPr>
        <w:spacing w:before="1" w:line="219" w:lineRule="exact"/>
        <w:ind w:left="140"/>
        <w:rPr>
          <w:sz w:val="18"/>
        </w:rPr>
      </w:pPr>
      <w:r>
        <w:rPr>
          <w:position w:val="5"/>
          <w:sz w:val="12"/>
        </w:rPr>
        <w:t>152</w:t>
      </w:r>
      <w:r>
        <w:rPr>
          <w:spacing w:val="8"/>
          <w:position w:val="5"/>
          <w:sz w:val="12"/>
        </w:rPr>
        <w:t xml:space="preserve"> </w:t>
      </w:r>
      <w:r>
        <w:rPr>
          <w:sz w:val="18"/>
        </w:rPr>
        <w:t>Amy</w:t>
      </w:r>
      <w:r>
        <w:rPr>
          <w:spacing w:val="-2"/>
          <w:sz w:val="18"/>
        </w:rPr>
        <w:t xml:space="preserve"> </w:t>
      </w:r>
      <w:r>
        <w:rPr>
          <w:sz w:val="18"/>
        </w:rPr>
        <w:t>D.</w:t>
      </w:r>
      <w:r>
        <w:rPr>
          <w:spacing w:val="-2"/>
          <w:sz w:val="18"/>
        </w:rPr>
        <w:t xml:space="preserve"> </w:t>
      </w:r>
      <w:r>
        <w:rPr>
          <w:sz w:val="18"/>
        </w:rPr>
        <w:t>Benton</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“Peer-Led</w:t>
      </w:r>
      <w:r>
        <w:rPr>
          <w:spacing w:val="-1"/>
          <w:sz w:val="18"/>
        </w:rPr>
        <w:t xml:space="preserve"> </w:t>
      </w:r>
      <w:r>
        <w:rPr>
          <w:sz w:val="18"/>
        </w:rPr>
        <w:t>Sexual</w:t>
      </w:r>
      <w:r>
        <w:rPr>
          <w:spacing w:val="-2"/>
          <w:sz w:val="18"/>
        </w:rPr>
        <w:t xml:space="preserve"> </w:t>
      </w:r>
      <w:r>
        <w:rPr>
          <w:sz w:val="18"/>
        </w:rPr>
        <w:t>Health</w:t>
      </w:r>
      <w:r>
        <w:rPr>
          <w:spacing w:val="-3"/>
          <w:sz w:val="18"/>
        </w:rPr>
        <w:t xml:space="preserve"> </w:t>
      </w:r>
      <w:r>
        <w:rPr>
          <w:sz w:val="18"/>
        </w:rPr>
        <w:t>Education:</w:t>
      </w:r>
      <w:r>
        <w:rPr>
          <w:spacing w:val="-3"/>
          <w:sz w:val="18"/>
        </w:rPr>
        <w:t xml:space="preserve"> </w:t>
      </w:r>
      <w:r>
        <w:rPr>
          <w:sz w:val="18"/>
        </w:rPr>
        <w:t>Multiple</w:t>
      </w:r>
      <w:r>
        <w:rPr>
          <w:spacing w:val="-2"/>
          <w:sz w:val="18"/>
        </w:rPr>
        <w:t xml:space="preserve"> </w:t>
      </w:r>
      <w:r>
        <w:rPr>
          <w:sz w:val="18"/>
        </w:rPr>
        <w:t>Perspectives</w:t>
      </w:r>
      <w:r>
        <w:rPr>
          <w:spacing w:val="-3"/>
          <w:sz w:val="18"/>
        </w:rPr>
        <w:t xml:space="preserve"> </w:t>
      </w:r>
      <w:r>
        <w:rPr>
          <w:sz w:val="18"/>
        </w:rPr>
        <w:t>on</w:t>
      </w:r>
      <w:r>
        <w:rPr>
          <w:spacing w:val="-3"/>
          <w:sz w:val="18"/>
        </w:rPr>
        <w:t xml:space="preserve"> </w:t>
      </w:r>
      <w:r>
        <w:rPr>
          <w:sz w:val="18"/>
        </w:rPr>
        <w:t>Benefits</w:t>
      </w:r>
      <w:r>
        <w:rPr>
          <w:spacing w:val="-2"/>
          <w:sz w:val="18"/>
        </w:rPr>
        <w:t xml:space="preserve"> </w:t>
      </w:r>
      <w:r>
        <w:rPr>
          <w:sz w:val="18"/>
        </w:rPr>
        <w:t>for</w:t>
      </w:r>
      <w:r>
        <w:rPr>
          <w:spacing w:val="-3"/>
          <w:sz w:val="18"/>
        </w:rPr>
        <w:t xml:space="preserve"> </w:t>
      </w:r>
      <w:r>
        <w:rPr>
          <w:sz w:val="18"/>
        </w:rPr>
        <w:t>Peer</w:t>
      </w:r>
      <w:r>
        <w:rPr>
          <w:spacing w:val="-3"/>
          <w:sz w:val="18"/>
        </w:rPr>
        <w:t xml:space="preserve"> </w:t>
      </w:r>
      <w:r>
        <w:rPr>
          <w:sz w:val="18"/>
        </w:rPr>
        <w:t>Health</w:t>
      </w:r>
      <w:r>
        <w:rPr>
          <w:spacing w:val="-2"/>
          <w:sz w:val="18"/>
        </w:rPr>
        <w:t xml:space="preserve"> Educators,”</w:t>
      </w:r>
    </w:p>
    <w:p w:rsidR="00200FDA" w:rsidRDefault="00F76C4C">
      <w:pPr>
        <w:spacing w:line="219" w:lineRule="exact"/>
        <w:ind w:left="140"/>
        <w:rPr>
          <w:sz w:val="18"/>
        </w:rPr>
      </w:pPr>
      <w:r>
        <w:rPr>
          <w:i/>
          <w:sz w:val="18"/>
        </w:rPr>
        <w:t>Child</w:t>
      </w:r>
      <w:r>
        <w:rPr>
          <w:i/>
          <w:spacing w:val="-4"/>
          <w:sz w:val="18"/>
        </w:rPr>
        <w:t xml:space="preserve"> </w:t>
      </w:r>
      <w:r>
        <w:rPr>
          <w:i/>
          <w:sz w:val="18"/>
        </w:rPr>
        <w:t>and</w:t>
      </w:r>
      <w:r>
        <w:rPr>
          <w:i/>
          <w:spacing w:val="-1"/>
          <w:sz w:val="18"/>
        </w:rPr>
        <w:t xml:space="preserve"> </w:t>
      </w:r>
      <w:r>
        <w:rPr>
          <w:i/>
          <w:sz w:val="18"/>
        </w:rPr>
        <w:t>Adolescent</w:t>
      </w:r>
      <w:r>
        <w:rPr>
          <w:i/>
          <w:spacing w:val="-3"/>
          <w:sz w:val="18"/>
        </w:rPr>
        <w:t xml:space="preserve"> </w:t>
      </w:r>
      <w:r>
        <w:rPr>
          <w:i/>
          <w:sz w:val="18"/>
        </w:rPr>
        <w:t>Social</w:t>
      </w:r>
      <w:r>
        <w:rPr>
          <w:i/>
          <w:spacing w:val="-3"/>
          <w:sz w:val="18"/>
        </w:rPr>
        <w:t xml:space="preserve"> </w:t>
      </w:r>
      <w:r>
        <w:rPr>
          <w:i/>
          <w:sz w:val="18"/>
        </w:rPr>
        <w:t>Work</w:t>
      </w:r>
      <w:r>
        <w:rPr>
          <w:i/>
          <w:spacing w:val="-3"/>
          <w:sz w:val="18"/>
        </w:rPr>
        <w:t xml:space="preserve"> </w:t>
      </w:r>
      <w:r>
        <w:rPr>
          <w:i/>
          <w:sz w:val="18"/>
        </w:rPr>
        <w:t>Journal</w:t>
      </w:r>
      <w:r>
        <w:rPr>
          <w:i/>
          <w:spacing w:val="-3"/>
          <w:sz w:val="18"/>
        </w:rPr>
        <w:t xml:space="preserve"> </w:t>
      </w:r>
      <w:r>
        <w:rPr>
          <w:sz w:val="18"/>
        </w:rPr>
        <w:t>37,</w:t>
      </w:r>
      <w:r>
        <w:rPr>
          <w:spacing w:val="-2"/>
          <w:sz w:val="18"/>
        </w:rPr>
        <w:t xml:space="preserve"> </w:t>
      </w:r>
      <w:r>
        <w:rPr>
          <w:sz w:val="18"/>
        </w:rPr>
        <w:t>no.</w:t>
      </w:r>
      <w:r>
        <w:rPr>
          <w:spacing w:val="-4"/>
          <w:sz w:val="18"/>
        </w:rPr>
        <w:t xml:space="preserve"> </w:t>
      </w:r>
      <w:r>
        <w:rPr>
          <w:sz w:val="18"/>
        </w:rPr>
        <w:t>5</w:t>
      </w:r>
      <w:r>
        <w:rPr>
          <w:spacing w:val="-2"/>
          <w:sz w:val="18"/>
        </w:rPr>
        <w:t xml:space="preserve"> </w:t>
      </w:r>
      <w:r>
        <w:rPr>
          <w:sz w:val="18"/>
        </w:rPr>
        <w:t>(October</w:t>
      </w:r>
      <w:r>
        <w:rPr>
          <w:spacing w:val="-3"/>
          <w:sz w:val="18"/>
        </w:rPr>
        <w:t xml:space="preserve"> </w:t>
      </w:r>
      <w:r>
        <w:rPr>
          <w:sz w:val="18"/>
        </w:rPr>
        <w:t>1,</w:t>
      </w:r>
      <w:r>
        <w:rPr>
          <w:spacing w:val="-2"/>
          <w:sz w:val="18"/>
        </w:rPr>
        <w:t xml:space="preserve"> </w:t>
      </w:r>
      <w:r>
        <w:rPr>
          <w:sz w:val="18"/>
        </w:rPr>
        <w:t>2020):</w:t>
      </w:r>
      <w:r>
        <w:rPr>
          <w:spacing w:val="-2"/>
          <w:sz w:val="18"/>
        </w:rPr>
        <w:t xml:space="preserve"> </w:t>
      </w:r>
      <w:r>
        <w:rPr>
          <w:sz w:val="18"/>
        </w:rPr>
        <w:t>487–96,</w:t>
      </w:r>
      <w:r>
        <w:rPr>
          <w:spacing w:val="-2"/>
          <w:sz w:val="18"/>
        </w:rPr>
        <w:t xml:space="preserve"> </w:t>
      </w:r>
      <w:r>
        <w:rPr>
          <w:sz w:val="18"/>
        </w:rPr>
        <w:t>https://doi.org/10.1007/s10560-020-</w:t>
      </w:r>
      <w:r>
        <w:rPr>
          <w:spacing w:val="-2"/>
          <w:sz w:val="18"/>
        </w:rPr>
        <w:t>00661-</w:t>
      </w:r>
    </w:p>
    <w:p w:rsidR="00200FDA" w:rsidRDefault="00F76C4C">
      <w:pPr>
        <w:spacing w:before="1" w:line="219" w:lineRule="exact"/>
        <w:ind w:left="139"/>
        <w:rPr>
          <w:sz w:val="18"/>
        </w:rPr>
      </w:pPr>
      <w:r>
        <w:rPr>
          <w:spacing w:val="-5"/>
          <w:sz w:val="18"/>
        </w:rPr>
        <w:t>9.</w:t>
      </w:r>
    </w:p>
    <w:p w:rsidR="00200FDA" w:rsidRDefault="00F76C4C">
      <w:pPr>
        <w:spacing w:line="219" w:lineRule="exact"/>
        <w:ind w:left="140"/>
        <w:rPr>
          <w:sz w:val="18"/>
        </w:rPr>
      </w:pPr>
      <w:r>
        <w:rPr>
          <w:position w:val="5"/>
          <w:sz w:val="12"/>
        </w:rPr>
        <w:t>153</w:t>
      </w:r>
      <w:r>
        <w:rPr>
          <w:spacing w:val="10"/>
          <w:position w:val="5"/>
          <w:sz w:val="12"/>
        </w:rPr>
        <w:t xml:space="preserve"> </w:t>
      </w:r>
      <w:r>
        <w:rPr>
          <w:sz w:val="18"/>
        </w:rPr>
        <w:t>Benton</w:t>
      </w:r>
      <w:r>
        <w:rPr>
          <w:spacing w:val="-3"/>
          <w:sz w:val="18"/>
        </w:rPr>
        <w:t xml:space="preserve"> </w:t>
      </w:r>
      <w:r>
        <w:rPr>
          <w:sz w:val="18"/>
        </w:rPr>
        <w:t>et</w:t>
      </w:r>
      <w:r>
        <w:rPr>
          <w:spacing w:val="-2"/>
          <w:sz w:val="18"/>
        </w:rPr>
        <w:t xml:space="preserve"> </w:t>
      </w:r>
      <w:r>
        <w:rPr>
          <w:spacing w:val="-5"/>
          <w:sz w:val="18"/>
        </w:rPr>
        <w:t>al.</w:t>
      </w:r>
    </w:p>
    <w:p w:rsidR="00200FDA" w:rsidRDefault="00F76C4C">
      <w:pPr>
        <w:spacing w:before="1"/>
        <w:ind w:left="140" w:right="206"/>
        <w:rPr>
          <w:sz w:val="18"/>
        </w:rPr>
      </w:pPr>
      <w:r>
        <w:rPr>
          <w:position w:val="5"/>
          <w:sz w:val="12"/>
        </w:rPr>
        <w:t>154</w:t>
      </w:r>
      <w:r>
        <w:rPr>
          <w:spacing w:val="10"/>
          <w:position w:val="5"/>
          <w:sz w:val="12"/>
        </w:rPr>
        <w:t xml:space="preserve"> </w:t>
      </w:r>
      <w:r>
        <w:rPr>
          <w:sz w:val="18"/>
        </w:rPr>
        <w:t>Laura</w:t>
      </w:r>
      <w:r>
        <w:rPr>
          <w:spacing w:val="-2"/>
          <w:sz w:val="18"/>
        </w:rPr>
        <w:t xml:space="preserve"> </w:t>
      </w:r>
      <w:r>
        <w:rPr>
          <w:sz w:val="18"/>
        </w:rPr>
        <w:t>Villa-Torres</w:t>
      </w:r>
      <w:r>
        <w:rPr>
          <w:spacing w:val="-3"/>
          <w:sz w:val="18"/>
        </w:rPr>
        <w:t xml:space="preserve"> </w:t>
      </w:r>
      <w:r>
        <w:rPr>
          <w:sz w:val="18"/>
        </w:rPr>
        <w:t>and</w:t>
      </w:r>
      <w:r>
        <w:rPr>
          <w:spacing w:val="-3"/>
          <w:sz w:val="18"/>
        </w:rPr>
        <w:t xml:space="preserve"> </w:t>
      </w:r>
      <w:r>
        <w:rPr>
          <w:sz w:val="18"/>
        </w:rPr>
        <w:t>Joar</w:t>
      </w:r>
      <w:r>
        <w:rPr>
          <w:spacing w:val="-3"/>
          <w:sz w:val="18"/>
        </w:rPr>
        <w:t xml:space="preserve"> </w:t>
      </w:r>
      <w:r>
        <w:rPr>
          <w:sz w:val="18"/>
        </w:rPr>
        <w:t>Svanemyr,</w:t>
      </w:r>
      <w:r>
        <w:rPr>
          <w:spacing w:val="-2"/>
          <w:sz w:val="18"/>
        </w:rPr>
        <w:t xml:space="preserve"> </w:t>
      </w:r>
      <w:r>
        <w:rPr>
          <w:sz w:val="18"/>
        </w:rPr>
        <w:t>“Ensuring</w:t>
      </w:r>
      <w:r>
        <w:rPr>
          <w:spacing w:val="-3"/>
          <w:sz w:val="18"/>
        </w:rPr>
        <w:t xml:space="preserve"> </w:t>
      </w:r>
      <w:r>
        <w:rPr>
          <w:sz w:val="18"/>
        </w:rPr>
        <w:t>Youth’s</w:t>
      </w:r>
      <w:r>
        <w:rPr>
          <w:spacing w:val="-3"/>
          <w:sz w:val="18"/>
        </w:rPr>
        <w:t xml:space="preserve"> </w:t>
      </w:r>
      <w:r>
        <w:rPr>
          <w:sz w:val="18"/>
        </w:rPr>
        <w:t>Right</w:t>
      </w:r>
      <w:r>
        <w:rPr>
          <w:spacing w:val="-3"/>
          <w:sz w:val="18"/>
        </w:rPr>
        <w:t xml:space="preserve"> </w:t>
      </w:r>
      <w:r>
        <w:rPr>
          <w:sz w:val="18"/>
        </w:rPr>
        <w:t>to</w:t>
      </w:r>
      <w:r>
        <w:rPr>
          <w:spacing w:val="-1"/>
          <w:sz w:val="18"/>
        </w:rPr>
        <w:t xml:space="preserve"> </w:t>
      </w:r>
      <w:r>
        <w:rPr>
          <w:sz w:val="18"/>
        </w:rPr>
        <w:t>Participation</w:t>
      </w:r>
      <w:r>
        <w:rPr>
          <w:spacing w:val="-3"/>
          <w:sz w:val="18"/>
        </w:rPr>
        <w:t xml:space="preserve"> </w:t>
      </w:r>
      <w:r>
        <w:rPr>
          <w:sz w:val="18"/>
        </w:rPr>
        <w:t>and</w:t>
      </w:r>
      <w:r>
        <w:rPr>
          <w:spacing w:val="-3"/>
          <w:sz w:val="18"/>
        </w:rPr>
        <w:t xml:space="preserve"> </w:t>
      </w:r>
      <w:r>
        <w:rPr>
          <w:sz w:val="18"/>
        </w:rPr>
        <w:t>Promotion</w:t>
      </w:r>
      <w:r>
        <w:rPr>
          <w:spacing w:val="-3"/>
          <w:sz w:val="18"/>
        </w:rPr>
        <w:t xml:space="preserve"> </w:t>
      </w:r>
      <w:r>
        <w:rPr>
          <w:sz w:val="18"/>
        </w:rPr>
        <w:t>of</w:t>
      </w:r>
      <w:r>
        <w:rPr>
          <w:spacing w:val="-2"/>
          <w:sz w:val="18"/>
        </w:rPr>
        <w:t xml:space="preserve"> </w:t>
      </w:r>
      <w:r>
        <w:rPr>
          <w:sz w:val="18"/>
        </w:rPr>
        <w:t>Youth</w:t>
      </w:r>
      <w:r>
        <w:rPr>
          <w:spacing w:val="-3"/>
          <w:sz w:val="18"/>
        </w:rPr>
        <w:t xml:space="preserve"> </w:t>
      </w:r>
      <w:r>
        <w:rPr>
          <w:sz w:val="18"/>
        </w:rPr>
        <w:t>Leadership</w:t>
      </w:r>
      <w:r>
        <w:rPr>
          <w:spacing w:val="-3"/>
          <w:sz w:val="18"/>
        </w:rPr>
        <w:t xml:space="preserve"> </w:t>
      </w:r>
      <w:r>
        <w:rPr>
          <w:sz w:val="18"/>
        </w:rPr>
        <w:t>in</w:t>
      </w:r>
      <w:r>
        <w:rPr>
          <w:spacing w:val="-1"/>
          <w:sz w:val="18"/>
        </w:rPr>
        <w:t xml:space="preserve"> </w:t>
      </w:r>
      <w:r>
        <w:rPr>
          <w:sz w:val="18"/>
        </w:rPr>
        <w:t xml:space="preserve">the Development of Sexual and Reproductive Health Policies and Programs,” </w:t>
      </w:r>
      <w:r>
        <w:rPr>
          <w:i/>
          <w:sz w:val="18"/>
        </w:rPr>
        <w:t xml:space="preserve">Journal of Adolescent Health </w:t>
      </w:r>
      <w:r>
        <w:rPr>
          <w:sz w:val="18"/>
        </w:rPr>
        <w:t>56, no. 1 (January 2015): S51–57, https://doi.org/10.1016/j.jadohealth.2014.07.022.</w:t>
      </w:r>
    </w:p>
    <w:p w:rsidR="00200FDA" w:rsidRDefault="00F76C4C">
      <w:pPr>
        <w:spacing w:before="1"/>
        <w:ind w:left="140"/>
        <w:rPr>
          <w:sz w:val="18"/>
        </w:rPr>
      </w:pPr>
      <w:r>
        <w:pict>
          <v:rect id="docshape240" o:spid="_x0000_s1329" style="position:absolute;left:0;text-align:left;margin-left:70.55pt;margin-top:9.7pt;width:454.2pt;height:.5pt;z-index:15753728;mso-position-horizontal-relative:page" fillcolor="#d9d9d9" stroked="f">
            <w10:wrap anchorx="page"/>
          </v:rect>
        </w:pict>
      </w:r>
      <w:r>
        <w:rPr>
          <w:position w:val="5"/>
          <w:sz w:val="12"/>
        </w:rPr>
        <w:t>155</w:t>
      </w:r>
      <w:r>
        <w:rPr>
          <w:spacing w:val="9"/>
          <w:position w:val="5"/>
          <w:sz w:val="12"/>
        </w:rPr>
        <w:t xml:space="preserve"> </w:t>
      </w:r>
      <w:r>
        <w:rPr>
          <w:sz w:val="18"/>
        </w:rPr>
        <w:t>Villa-Torres</w:t>
      </w:r>
      <w:r>
        <w:rPr>
          <w:spacing w:val="-3"/>
          <w:sz w:val="18"/>
        </w:rPr>
        <w:t xml:space="preserve"> </w:t>
      </w:r>
      <w:r>
        <w:rPr>
          <w:sz w:val="18"/>
        </w:rPr>
        <w:t>and</w:t>
      </w:r>
      <w:r>
        <w:rPr>
          <w:spacing w:val="-3"/>
          <w:sz w:val="18"/>
        </w:rPr>
        <w:t xml:space="preserve"> </w:t>
      </w:r>
      <w:r>
        <w:rPr>
          <w:spacing w:val="-2"/>
          <w:sz w:val="18"/>
        </w:rPr>
        <w:t>Svanemyr.</w:t>
      </w:r>
    </w:p>
    <w:p w:rsidR="00200FDA" w:rsidRDefault="00200FDA">
      <w:pPr>
        <w:rPr>
          <w:sz w:val="18"/>
        </w:rPr>
        <w:sectPr w:rsidR="00200FDA">
          <w:headerReference w:type="default" r:id="rId211"/>
          <w:footerReference w:type="default" r:id="rId212"/>
          <w:pgSz w:w="11910" w:h="16840"/>
          <w:pgMar w:top="1100" w:right="1040" w:bottom="1140" w:left="1300" w:header="761" w:footer="959" w:gutter="0"/>
          <w:cols w:space="720"/>
        </w:sectPr>
      </w:pPr>
    </w:p>
    <w:p w:rsidR="00200FDA" w:rsidRDefault="00200FDA">
      <w:pPr>
        <w:pStyle w:val="BodyText"/>
        <w:spacing w:before="12"/>
        <w:rPr>
          <w:sz w:val="27"/>
        </w:rPr>
      </w:pPr>
    </w:p>
    <w:p w:rsidR="00200FDA" w:rsidRDefault="00F76C4C">
      <w:pPr>
        <w:spacing w:before="69"/>
        <w:ind w:left="140"/>
        <w:rPr>
          <w:sz w:val="18"/>
        </w:rPr>
      </w:pPr>
      <w:r>
        <w:rPr>
          <w:position w:val="5"/>
          <w:sz w:val="12"/>
        </w:rPr>
        <w:t>156</w:t>
      </w:r>
      <w:r>
        <w:rPr>
          <w:spacing w:val="7"/>
          <w:position w:val="5"/>
          <w:sz w:val="12"/>
        </w:rPr>
        <w:t xml:space="preserve"> </w:t>
      </w:r>
      <w:r>
        <w:rPr>
          <w:sz w:val="18"/>
        </w:rPr>
        <w:t>“Start Strong,”</w:t>
      </w:r>
      <w:r>
        <w:rPr>
          <w:spacing w:val="-4"/>
          <w:sz w:val="18"/>
        </w:rPr>
        <w:t xml:space="preserve"> </w:t>
      </w:r>
      <w:r>
        <w:rPr>
          <w:sz w:val="18"/>
        </w:rPr>
        <w:t>Boston</w:t>
      </w:r>
      <w:r>
        <w:rPr>
          <w:spacing w:val="-3"/>
          <w:sz w:val="18"/>
        </w:rPr>
        <w:t xml:space="preserve"> </w:t>
      </w:r>
      <w:r>
        <w:rPr>
          <w:sz w:val="18"/>
        </w:rPr>
        <w:t>Public</w:t>
      </w:r>
      <w:r>
        <w:rPr>
          <w:spacing w:val="-2"/>
          <w:sz w:val="18"/>
        </w:rPr>
        <w:t xml:space="preserve"> </w:t>
      </w:r>
      <w:r>
        <w:rPr>
          <w:sz w:val="18"/>
        </w:rPr>
        <w:t>Health</w:t>
      </w:r>
      <w:r>
        <w:rPr>
          <w:spacing w:val="-4"/>
          <w:sz w:val="18"/>
        </w:rPr>
        <w:t xml:space="preserve"> </w:t>
      </w:r>
      <w:r>
        <w:rPr>
          <w:sz w:val="18"/>
        </w:rPr>
        <w:t>Commission,</w:t>
      </w:r>
      <w:r>
        <w:rPr>
          <w:spacing w:val="-2"/>
          <w:sz w:val="18"/>
        </w:rPr>
        <w:t xml:space="preserve"> </w:t>
      </w:r>
      <w:r>
        <w:rPr>
          <w:sz w:val="18"/>
        </w:rPr>
        <w:t>accessed</w:t>
      </w:r>
      <w:r>
        <w:rPr>
          <w:spacing w:val="-3"/>
          <w:sz w:val="18"/>
        </w:rPr>
        <w:t xml:space="preserve"> </w:t>
      </w:r>
      <w:r>
        <w:rPr>
          <w:sz w:val="18"/>
        </w:rPr>
        <w:t>January</w:t>
      </w:r>
      <w:r>
        <w:rPr>
          <w:spacing w:val="-3"/>
          <w:sz w:val="18"/>
        </w:rPr>
        <w:t xml:space="preserve"> </w:t>
      </w:r>
      <w:r>
        <w:rPr>
          <w:sz w:val="18"/>
        </w:rPr>
        <w:t>7,</w:t>
      </w:r>
      <w:r>
        <w:rPr>
          <w:spacing w:val="-2"/>
          <w:sz w:val="18"/>
        </w:rPr>
        <w:t xml:space="preserve"> </w:t>
      </w:r>
      <w:r>
        <w:rPr>
          <w:sz w:val="18"/>
        </w:rPr>
        <w:t>2023,</w:t>
      </w:r>
      <w:r>
        <w:rPr>
          <w:spacing w:val="-2"/>
          <w:sz w:val="18"/>
        </w:rPr>
        <w:t xml:space="preserve"> https://</w:t>
      </w:r>
      <w:hyperlink r:id="rId213">
        <w:r>
          <w:rPr>
            <w:spacing w:val="-2"/>
            <w:sz w:val="18"/>
          </w:rPr>
          <w:t>www.thehallsboston.com/.</w:t>
        </w:r>
      </w:hyperlink>
    </w:p>
    <w:p w:rsidR="00200FDA" w:rsidRDefault="00F76C4C">
      <w:pPr>
        <w:spacing w:before="1" w:line="219" w:lineRule="exact"/>
        <w:ind w:left="140"/>
        <w:rPr>
          <w:sz w:val="18"/>
        </w:rPr>
      </w:pPr>
      <w:r>
        <w:rPr>
          <w:position w:val="5"/>
          <w:sz w:val="12"/>
        </w:rPr>
        <w:t>157</w:t>
      </w:r>
      <w:r>
        <w:rPr>
          <w:spacing w:val="7"/>
          <w:position w:val="5"/>
          <w:sz w:val="12"/>
        </w:rPr>
        <w:t xml:space="preserve"> </w:t>
      </w:r>
      <w:r>
        <w:rPr>
          <w:sz w:val="18"/>
        </w:rPr>
        <w:t>Advocates</w:t>
      </w:r>
      <w:r>
        <w:rPr>
          <w:spacing w:val="-3"/>
          <w:sz w:val="18"/>
        </w:rPr>
        <w:t xml:space="preserve"> </w:t>
      </w:r>
      <w:r>
        <w:rPr>
          <w:sz w:val="18"/>
        </w:rPr>
        <w:t>for</w:t>
      </w:r>
      <w:r>
        <w:rPr>
          <w:spacing w:val="-3"/>
          <w:sz w:val="18"/>
        </w:rPr>
        <w:t xml:space="preserve"> </w:t>
      </w:r>
      <w:r>
        <w:rPr>
          <w:sz w:val="18"/>
        </w:rPr>
        <w:t>Youth,</w:t>
      </w:r>
      <w:r>
        <w:rPr>
          <w:spacing w:val="-2"/>
          <w:sz w:val="18"/>
        </w:rPr>
        <w:t xml:space="preserve"> </w:t>
      </w:r>
      <w:r>
        <w:rPr>
          <w:sz w:val="18"/>
        </w:rPr>
        <w:t>accessed</w:t>
      </w:r>
      <w:r>
        <w:rPr>
          <w:spacing w:val="-3"/>
          <w:sz w:val="18"/>
        </w:rPr>
        <w:t xml:space="preserve"> </w:t>
      </w:r>
      <w:r>
        <w:rPr>
          <w:sz w:val="18"/>
        </w:rPr>
        <w:t>December</w:t>
      </w:r>
      <w:r>
        <w:rPr>
          <w:spacing w:val="-3"/>
          <w:sz w:val="18"/>
        </w:rPr>
        <w:t xml:space="preserve"> </w:t>
      </w:r>
      <w:r>
        <w:rPr>
          <w:sz w:val="18"/>
        </w:rPr>
        <w:t>17,</w:t>
      </w:r>
      <w:r>
        <w:rPr>
          <w:spacing w:val="-2"/>
          <w:sz w:val="18"/>
        </w:rPr>
        <w:t xml:space="preserve"> </w:t>
      </w:r>
      <w:r>
        <w:rPr>
          <w:sz w:val="18"/>
        </w:rPr>
        <w:t>2022,</w:t>
      </w:r>
      <w:r>
        <w:rPr>
          <w:spacing w:val="-2"/>
          <w:sz w:val="18"/>
        </w:rPr>
        <w:t xml:space="preserve"> https://</w:t>
      </w:r>
      <w:hyperlink r:id="rId214">
        <w:r>
          <w:rPr>
            <w:spacing w:val="-2"/>
            <w:sz w:val="18"/>
          </w:rPr>
          <w:t>www.advocatesforyouth.org/.</w:t>
        </w:r>
      </w:hyperlink>
    </w:p>
    <w:p w:rsidR="00200FDA" w:rsidRDefault="00F76C4C">
      <w:pPr>
        <w:spacing w:line="219" w:lineRule="exact"/>
        <w:ind w:left="140"/>
        <w:rPr>
          <w:sz w:val="18"/>
        </w:rPr>
      </w:pPr>
      <w:r>
        <w:rPr>
          <w:position w:val="5"/>
          <w:sz w:val="12"/>
        </w:rPr>
        <w:t>158</w:t>
      </w:r>
      <w:r>
        <w:rPr>
          <w:spacing w:val="10"/>
          <w:position w:val="5"/>
          <w:sz w:val="12"/>
        </w:rPr>
        <w:t xml:space="preserve"> </w:t>
      </w:r>
      <w:r>
        <w:rPr>
          <w:sz w:val="18"/>
        </w:rPr>
        <w:t>Winthrop</w:t>
      </w:r>
      <w:r>
        <w:rPr>
          <w:spacing w:val="-3"/>
          <w:sz w:val="18"/>
        </w:rPr>
        <w:t xml:space="preserve"> </w:t>
      </w:r>
      <w:r>
        <w:rPr>
          <w:sz w:val="18"/>
        </w:rPr>
        <w:t>CASA,</w:t>
      </w:r>
      <w:r>
        <w:rPr>
          <w:spacing w:val="-2"/>
          <w:sz w:val="18"/>
        </w:rPr>
        <w:t xml:space="preserve"> </w:t>
      </w:r>
      <w:r>
        <w:rPr>
          <w:sz w:val="18"/>
        </w:rPr>
        <w:t>accessed</w:t>
      </w:r>
      <w:r>
        <w:rPr>
          <w:spacing w:val="-3"/>
          <w:sz w:val="18"/>
        </w:rPr>
        <w:t xml:space="preserve"> </w:t>
      </w:r>
      <w:r>
        <w:rPr>
          <w:sz w:val="18"/>
        </w:rPr>
        <w:t>Ja</w:t>
      </w:r>
      <w:r>
        <w:rPr>
          <w:sz w:val="18"/>
        </w:rPr>
        <w:t>nuary</w:t>
      </w:r>
      <w:r>
        <w:rPr>
          <w:spacing w:val="-2"/>
          <w:sz w:val="18"/>
        </w:rPr>
        <w:t xml:space="preserve"> </w:t>
      </w:r>
      <w:r>
        <w:rPr>
          <w:sz w:val="18"/>
        </w:rPr>
        <w:t>8,</w:t>
      </w:r>
      <w:r>
        <w:rPr>
          <w:spacing w:val="-2"/>
          <w:sz w:val="18"/>
        </w:rPr>
        <w:t xml:space="preserve"> </w:t>
      </w:r>
      <w:r>
        <w:rPr>
          <w:sz w:val="18"/>
        </w:rPr>
        <w:t>2023,</w:t>
      </w:r>
      <w:r>
        <w:rPr>
          <w:spacing w:val="-1"/>
          <w:sz w:val="18"/>
        </w:rPr>
        <w:t xml:space="preserve"> </w:t>
      </w:r>
      <w:r>
        <w:rPr>
          <w:spacing w:val="-2"/>
          <w:sz w:val="18"/>
        </w:rPr>
        <w:t>https:</w:t>
      </w:r>
      <w:hyperlink r:id="rId215">
        <w:r>
          <w:rPr>
            <w:spacing w:val="-2"/>
            <w:sz w:val="18"/>
          </w:rPr>
          <w:t>//w</w:t>
        </w:r>
      </w:hyperlink>
      <w:r>
        <w:rPr>
          <w:spacing w:val="-2"/>
          <w:sz w:val="18"/>
        </w:rPr>
        <w:t>ww</w:t>
      </w:r>
      <w:hyperlink r:id="rId216">
        <w:r>
          <w:rPr>
            <w:spacing w:val="-2"/>
            <w:sz w:val="18"/>
          </w:rPr>
          <w:t>.winthropcasa.org.</w:t>
        </w:r>
      </w:hyperlink>
    </w:p>
    <w:p w:rsidR="00200FDA" w:rsidRDefault="00F76C4C">
      <w:pPr>
        <w:spacing w:before="1"/>
        <w:ind w:left="140" w:right="718" w:hanging="1"/>
        <w:rPr>
          <w:sz w:val="18"/>
        </w:rPr>
      </w:pPr>
      <w:r>
        <w:rPr>
          <w:position w:val="5"/>
          <w:sz w:val="12"/>
        </w:rPr>
        <w:t>159</w:t>
      </w:r>
      <w:r>
        <w:rPr>
          <w:spacing w:val="9"/>
          <w:position w:val="5"/>
          <w:sz w:val="12"/>
        </w:rPr>
        <w:t xml:space="preserve"> </w:t>
      </w:r>
      <w:r>
        <w:rPr>
          <w:sz w:val="18"/>
        </w:rPr>
        <w:t>Jessica</w:t>
      </w:r>
      <w:r>
        <w:rPr>
          <w:spacing w:val="-3"/>
          <w:sz w:val="18"/>
        </w:rPr>
        <w:t xml:space="preserve"> </w:t>
      </w:r>
      <w:r>
        <w:rPr>
          <w:sz w:val="18"/>
        </w:rPr>
        <w:t>N.</w:t>
      </w:r>
      <w:r>
        <w:rPr>
          <w:spacing w:val="-3"/>
          <w:sz w:val="18"/>
        </w:rPr>
        <w:t xml:space="preserve"> </w:t>
      </w:r>
      <w:r>
        <w:rPr>
          <w:sz w:val="18"/>
        </w:rPr>
        <w:t>Fish</w:t>
      </w:r>
      <w:r>
        <w:rPr>
          <w:spacing w:val="-2"/>
          <w:sz w:val="18"/>
        </w:rPr>
        <w:t xml:space="preserve"> </w:t>
      </w:r>
      <w:r>
        <w:rPr>
          <w:sz w:val="18"/>
        </w:rPr>
        <w:t>et</w:t>
      </w:r>
      <w:r>
        <w:rPr>
          <w:spacing w:val="-4"/>
          <w:sz w:val="18"/>
        </w:rPr>
        <w:t xml:space="preserve"> </w:t>
      </w:r>
      <w:r>
        <w:rPr>
          <w:sz w:val="18"/>
        </w:rPr>
        <w:t>al.,</w:t>
      </w:r>
      <w:r>
        <w:rPr>
          <w:spacing w:val="-3"/>
          <w:sz w:val="18"/>
        </w:rPr>
        <w:t xml:space="preserve"> </w:t>
      </w:r>
      <w:r>
        <w:rPr>
          <w:sz w:val="18"/>
        </w:rPr>
        <w:t>“LGBTQ</w:t>
      </w:r>
      <w:r>
        <w:rPr>
          <w:spacing w:val="-4"/>
          <w:sz w:val="18"/>
        </w:rPr>
        <w:t xml:space="preserve"> </w:t>
      </w:r>
      <w:r>
        <w:rPr>
          <w:sz w:val="18"/>
        </w:rPr>
        <w:t>Youth-Serving</w:t>
      </w:r>
      <w:r>
        <w:rPr>
          <w:spacing w:val="-4"/>
          <w:sz w:val="18"/>
        </w:rPr>
        <w:t xml:space="preserve"> </w:t>
      </w:r>
      <w:r>
        <w:rPr>
          <w:sz w:val="18"/>
        </w:rPr>
        <w:t>Community-Based</w:t>
      </w:r>
      <w:r>
        <w:rPr>
          <w:spacing w:val="-4"/>
          <w:sz w:val="18"/>
        </w:rPr>
        <w:t xml:space="preserve"> </w:t>
      </w:r>
      <w:r>
        <w:rPr>
          <w:sz w:val="18"/>
        </w:rPr>
        <w:t>Organizations:</w:t>
      </w:r>
      <w:r>
        <w:rPr>
          <w:spacing w:val="-3"/>
          <w:sz w:val="18"/>
        </w:rPr>
        <w:t xml:space="preserve"> </w:t>
      </w:r>
      <w:r>
        <w:rPr>
          <w:sz w:val="18"/>
        </w:rPr>
        <w:t>Who</w:t>
      </w:r>
      <w:r>
        <w:rPr>
          <w:spacing w:val="-2"/>
          <w:sz w:val="18"/>
        </w:rPr>
        <w:t xml:space="preserve"> </w:t>
      </w:r>
      <w:r>
        <w:rPr>
          <w:sz w:val="18"/>
        </w:rPr>
        <w:t>Participates</w:t>
      </w:r>
      <w:r>
        <w:rPr>
          <w:spacing w:val="-4"/>
          <w:sz w:val="18"/>
        </w:rPr>
        <w:t xml:space="preserve"> </w:t>
      </w:r>
      <w:r>
        <w:rPr>
          <w:sz w:val="18"/>
        </w:rPr>
        <w:t>and</w:t>
      </w:r>
      <w:r>
        <w:rPr>
          <w:spacing w:val="-2"/>
          <w:sz w:val="18"/>
        </w:rPr>
        <w:t xml:space="preserve"> </w:t>
      </w:r>
      <w:r>
        <w:rPr>
          <w:sz w:val="18"/>
        </w:rPr>
        <w:t>What</w:t>
      </w:r>
      <w:r>
        <w:rPr>
          <w:spacing w:val="-4"/>
          <w:sz w:val="18"/>
        </w:rPr>
        <w:t xml:space="preserve"> </w:t>
      </w:r>
      <w:r>
        <w:rPr>
          <w:sz w:val="18"/>
        </w:rPr>
        <w:t xml:space="preserve">Difference Does It Make?,” </w:t>
      </w:r>
      <w:r>
        <w:rPr>
          <w:i/>
          <w:sz w:val="18"/>
        </w:rPr>
        <w:t xml:space="preserve">Journal of Youth and Adolescence </w:t>
      </w:r>
      <w:r>
        <w:rPr>
          <w:sz w:val="18"/>
        </w:rPr>
        <w:t xml:space="preserve">48, no. 12 (December 1, 2019): 2418–31, </w:t>
      </w:r>
      <w:r>
        <w:rPr>
          <w:spacing w:val="-2"/>
          <w:sz w:val="18"/>
        </w:rPr>
        <w:t>https://doi.org/10.1007/s10964-019-01129-5.</w:t>
      </w:r>
    </w:p>
    <w:p w:rsidR="00200FDA" w:rsidRDefault="00200FDA">
      <w:pPr>
        <w:rPr>
          <w:sz w:val="18"/>
        </w:rPr>
        <w:sectPr w:rsidR="00200FDA">
          <w:headerReference w:type="default" r:id="rId217"/>
          <w:footerReference w:type="default" r:id="rId218"/>
          <w:pgSz w:w="11910" w:h="16840"/>
          <w:pgMar w:top="1100" w:right="1040" w:bottom="1260" w:left="1300" w:header="761" w:footer="1062" w:gutter="0"/>
          <w:cols w:space="720"/>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spacing w:before="2"/>
        <w:rPr>
          <w:sz w:val="19"/>
        </w:rPr>
      </w:pPr>
    </w:p>
    <w:p w:rsidR="00200FDA" w:rsidRDefault="00F76C4C">
      <w:pPr>
        <w:spacing w:before="107"/>
        <w:ind w:left="674"/>
        <w:rPr>
          <w:sz w:val="34"/>
        </w:rPr>
      </w:pPr>
      <w:bookmarkStart w:id="350" w:name="Public_Health.pdf"/>
      <w:bookmarkEnd w:id="350"/>
      <w:r>
        <w:rPr>
          <w:color w:val="FFFFFF"/>
          <w:w w:val="120"/>
          <w:sz w:val="34"/>
        </w:rPr>
        <w:t>COMMISSION</w:t>
      </w:r>
      <w:r>
        <w:rPr>
          <w:color w:val="FFFFFF"/>
          <w:spacing w:val="17"/>
          <w:w w:val="120"/>
          <w:sz w:val="34"/>
        </w:rPr>
        <w:t xml:space="preserve"> </w:t>
      </w:r>
      <w:r>
        <w:rPr>
          <w:color w:val="FFFFFF"/>
          <w:w w:val="120"/>
          <w:sz w:val="34"/>
        </w:rPr>
        <w:t>ON</w:t>
      </w:r>
      <w:r>
        <w:rPr>
          <w:color w:val="FFFFFF"/>
          <w:spacing w:val="17"/>
          <w:w w:val="120"/>
          <w:sz w:val="34"/>
        </w:rPr>
        <w:t xml:space="preserve"> </w:t>
      </w:r>
      <w:r>
        <w:rPr>
          <w:color w:val="FFFFFF"/>
          <w:w w:val="120"/>
          <w:sz w:val="34"/>
        </w:rPr>
        <w:t>LGBTQ</w:t>
      </w:r>
      <w:r>
        <w:rPr>
          <w:color w:val="FFFFFF"/>
          <w:spacing w:val="17"/>
          <w:w w:val="120"/>
          <w:sz w:val="34"/>
        </w:rPr>
        <w:t xml:space="preserve"> </w:t>
      </w:r>
      <w:r>
        <w:rPr>
          <w:color w:val="FFFFFF"/>
          <w:spacing w:val="-2"/>
          <w:w w:val="120"/>
          <w:sz w:val="34"/>
        </w:rPr>
        <w:t>YOUTH</w:t>
      </w:r>
    </w:p>
    <w:p w:rsidR="00200FDA" w:rsidRDefault="00F76C4C">
      <w:pPr>
        <w:pStyle w:val="Heading1"/>
        <w:spacing w:line="216" w:lineRule="auto"/>
        <w:ind w:left="674" w:right="3755"/>
      </w:pPr>
      <w:r>
        <w:rPr>
          <w:color w:val="FFFFFF"/>
          <w:spacing w:val="-2"/>
          <w:w w:val="130"/>
        </w:rPr>
        <w:t xml:space="preserve">PUBLIC </w:t>
      </w:r>
      <w:r>
        <w:rPr>
          <w:color w:val="FFFFFF"/>
          <w:spacing w:val="-2"/>
          <w:w w:val="125"/>
        </w:rPr>
        <w:t>HEALTH</w:t>
      </w: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spacing w:before="11"/>
        <w:rPr>
          <w:b/>
          <w:sz w:val="21"/>
        </w:rPr>
      </w:pPr>
    </w:p>
    <w:p w:rsidR="00200FDA" w:rsidRDefault="00200FDA">
      <w:pPr>
        <w:rPr>
          <w:sz w:val="21"/>
        </w:rPr>
        <w:sectPr w:rsidR="00200FDA">
          <w:headerReference w:type="default" r:id="rId219"/>
          <w:footerReference w:type="default" r:id="rId220"/>
          <w:pgSz w:w="12240" w:h="15840"/>
          <w:pgMar w:top="0" w:right="340" w:bottom="280" w:left="920" w:header="0" w:footer="0" w:gutter="0"/>
          <w:cols w:space="720"/>
        </w:sectPr>
      </w:pPr>
    </w:p>
    <w:p w:rsidR="00200FDA" w:rsidRDefault="00F76C4C">
      <w:pPr>
        <w:pStyle w:val="Heading6"/>
      </w:pPr>
      <w:r>
        <w:rPr>
          <w:spacing w:val="11"/>
          <w:w w:val="125"/>
        </w:rPr>
        <w:t>ABOUT</w:t>
      </w:r>
    </w:p>
    <w:p w:rsidR="00200FDA" w:rsidRDefault="00F76C4C">
      <w:pPr>
        <w:spacing w:before="133" w:line="268" w:lineRule="auto"/>
        <w:ind w:left="323" w:right="38"/>
        <w:jc w:val="both"/>
        <w:rPr>
          <w:rFonts w:ascii="Georgia"/>
          <w:sz w:val="20"/>
        </w:rPr>
      </w:pPr>
      <w:r>
        <w:pict>
          <v:group id="docshapegroup244" o:spid="_x0000_s1324" style="position:absolute;left:0;text-align:left;margin-left:51.6pt;margin-top:190.7pt;width:273.15pt;height:180.35pt;z-index:-21311488;mso-position-horizontal-relative:page" coordorigin="1032,3814" coordsize="5463,3607">
            <v:shape id="docshape245" o:spid="_x0000_s1328" type="#_x0000_t75" style="position:absolute;left:1031;top:3814;width:5463;height:3607">
              <v:imagedata r:id="rId221" o:title=""/>
            </v:shape>
            <v:shape id="docshape246" o:spid="_x0000_s1327" type="#_x0000_t202" style="position:absolute;left:1243;top:3938;width:5150;height:1231" filled="f" stroked="f">
              <v:textbox inset="0,0,0,0">
                <w:txbxContent>
                  <w:p w:rsidR="00200FDA" w:rsidRDefault="00F76C4C">
                    <w:pPr>
                      <w:spacing w:before="6"/>
                      <w:rPr>
                        <w:b/>
                        <w:i/>
                        <w:sz w:val="34"/>
                      </w:rPr>
                    </w:pPr>
                    <w:r>
                      <w:rPr>
                        <w:b/>
                        <w:i/>
                        <w:spacing w:val="13"/>
                        <w:w w:val="125"/>
                        <w:sz w:val="34"/>
                      </w:rPr>
                      <w:t>RECOMMENDATIONS</w:t>
                    </w:r>
                  </w:p>
                  <w:p w:rsidR="00200FDA" w:rsidRDefault="00F76C4C">
                    <w:pPr>
                      <w:spacing w:before="115" w:line="261" w:lineRule="auto"/>
                      <w:ind w:left="752"/>
                      <w:rPr>
                        <w:rFonts w:ascii="Georgia"/>
                        <w:sz w:val="19"/>
                      </w:rPr>
                    </w:pPr>
                    <w:r>
                      <w:rPr>
                        <w:rFonts w:ascii="Georgia"/>
                        <w:sz w:val="19"/>
                      </w:rPr>
                      <w:t xml:space="preserve">Create and expand community-based public health </w:t>
                    </w:r>
                    <w:r>
                      <w:rPr>
                        <w:rFonts w:ascii="Georgia"/>
                        <w:w w:val="105"/>
                        <w:sz w:val="19"/>
                      </w:rPr>
                      <w:t>programming that is accessible and engaging to youth with the most barriers to access.</w:t>
                    </w:r>
                  </w:p>
                </w:txbxContent>
              </v:textbox>
            </v:shape>
            <v:shape id="docshape247" o:spid="_x0000_s1326" type="#_x0000_t202" style="position:absolute;left:1996;top:5606;width:4025;height:455" filled="f" stroked="f">
              <v:textbox inset="0,0,0,0">
                <w:txbxContent>
                  <w:p w:rsidR="00200FDA" w:rsidRDefault="00F76C4C">
                    <w:pPr>
                      <w:spacing w:line="261" w:lineRule="auto"/>
                      <w:rPr>
                        <w:rFonts w:ascii="Georgia"/>
                        <w:sz w:val="19"/>
                      </w:rPr>
                    </w:pPr>
                    <w:r>
                      <w:rPr>
                        <w:rFonts w:ascii="Georgia"/>
                        <w:spacing w:val="-2"/>
                        <w:w w:val="105"/>
                        <w:sz w:val="19"/>
                      </w:rPr>
                      <w:t>Increase</w:t>
                    </w:r>
                    <w:r>
                      <w:rPr>
                        <w:rFonts w:ascii="Georgia"/>
                        <w:spacing w:val="-9"/>
                        <w:w w:val="105"/>
                        <w:sz w:val="19"/>
                      </w:rPr>
                      <w:t xml:space="preserve"> </w:t>
                    </w:r>
                    <w:r>
                      <w:rPr>
                        <w:rFonts w:ascii="Georgia"/>
                        <w:spacing w:val="-2"/>
                        <w:w w:val="105"/>
                        <w:sz w:val="19"/>
                      </w:rPr>
                      <w:t>funding</w:t>
                    </w:r>
                    <w:r>
                      <w:rPr>
                        <w:rFonts w:ascii="Georgia"/>
                        <w:spacing w:val="-9"/>
                        <w:w w:val="105"/>
                        <w:sz w:val="19"/>
                      </w:rPr>
                      <w:t xml:space="preserve"> </w:t>
                    </w:r>
                    <w:r>
                      <w:rPr>
                        <w:rFonts w:ascii="Georgia"/>
                        <w:spacing w:val="-2"/>
                        <w:w w:val="105"/>
                        <w:sz w:val="19"/>
                      </w:rPr>
                      <w:t>to</w:t>
                    </w:r>
                    <w:r>
                      <w:rPr>
                        <w:rFonts w:ascii="Georgia"/>
                        <w:spacing w:val="-9"/>
                        <w:w w:val="105"/>
                        <w:sz w:val="19"/>
                      </w:rPr>
                      <w:t xml:space="preserve"> </w:t>
                    </w:r>
                    <w:r>
                      <w:rPr>
                        <w:rFonts w:ascii="Georgia"/>
                        <w:spacing w:val="-2"/>
                        <w:w w:val="105"/>
                        <w:sz w:val="19"/>
                      </w:rPr>
                      <w:t>organizations</w:t>
                    </w:r>
                    <w:r>
                      <w:rPr>
                        <w:rFonts w:ascii="Georgia"/>
                        <w:spacing w:val="-9"/>
                        <w:w w:val="105"/>
                        <w:sz w:val="19"/>
                      </w:rPr>
                      <w:t xml:space="preserve"> </w:t>
                    </w:r>
                    <w:r>
                      <w:rPr>
                        <w:rFonts w:ascii="Georgia"/>
                        <w:spacing w:val="-2"/>
                        <w:w w:val="105"/>
                        <w:sz w:val="19"/>
                      </w:rPr>
                      <w:t>that</w:t>
                    </w:r>
                    <w:r>
                      <w:rPr>
                        <w:rFonts w:ascii="Georgia"/>
                        <w:spacing w:val="-9"/>
                        <w:w w:val="105"/>
                        <w:sz w:val="19"/>
                      </w:rPr>
                      <w:t xml:space="preserve"> </w:t>
                    </w:r>
                    <w:r>
                      <w:rPr>
                        <w:rFonts w:ascii="Georgia"/>
                        <w:spacing w:val="-2"/>
                        <w:w w:val="105"/>
                        <w:sz w:val="19"/>
                      </w:rPr>
                      <w:t xml:space="preserve">support </w:t>
                    </w:r>
                    <w:r>
                      <w:rPr>
                        <w:rFonts w:ascii="Georgia"/>
                        <w:sz w:val="19"/>
                      </w:rPr>
                      <w:t>LGBTQ</w:t>
                    </w:r>
                    <w:r>
                      <w:rPr>
                        <w:rFonts w:ascii="Georgia"/>
                        <w:spacing w:val="4"/>
                        <w:sz w:val="19"/>
                      </w:rPr>
                      <w:t xml:space="preserve"> </w:t>
                    </w:r>
                    <w:r>
                      <w:rPr>
                        <w:rFonts w:ascii="Georgia"/>
                        <w:sz w:val="19"/>
                      </w:rPr>
                      <w:t>survivors</w:t>
                    </w:r>
                    <w:r>
                      <w:rPr>
                        <w:rFonts w:ascii="Georgia"/>
                        <w:spacing w:val="4"/>
                        <w:sz w:val="19"/>
                      </w:rPr>
                      <w:t xml:space="preserve"> </w:t>
                    </w:r>
                    <w:r>
                      <w:rPr>
                        <w:rFonts w:ascii="Georgia"/>
                        <w:sz w:val="19"/>
                      </w:rPr>
                      <w:t>of</w:t>
                    </w:r>
                    <w:r>
                      <w:rPr>
                        <w:rFonts w:ascii="Georgia"/>
                        <w:spacing w:val="4"/>
                        <w:sz w:val="19"/>
                      </w:rPr>
                      <w:t xml:space="preserve"> </w:t>
                    </w:r>
                    <w:r>
                      <w:rPr>
                        <w:rFonts w:ascii="Georgia"/>
                        <w:sz w:val="19"/>
                      </w:rPr>
                      <w:t>intimate</w:t>
                    </w:r>
                    <w:r>
                      <w:rPr>
                        <w:rFonts w:ascii="Georgia"/>
                        <w:spacing w:val="4"/>
                        <w:sz w:val="19"/>
                      </w:rPr>
                      <w:t xml:space="preserve"> </w:t>
                    </w:r>
                    <w:r>
                      <w:rPr>
                        <w:rFonts w:ascii="Georgia"/>
                        <w:sz w:val="19"/>
                      </w:rPr>
                      <w:t>partner</w:t>
                    </w:r>
                    <w:r>
                      <w:rPr>
                        <w:rFonts w:ascii="Georgia"/>
                        <w:spacing w:val="4"/>
                        <w:sz w:val="19"/>
                      </w:rPr>
                      <w:t xml:space="preserve"> </w:t>
                    </w:r>
                    <w:r>
                      <w:rPr>
                        <w:rFonts w:ascii="Georgia"/>
                        <w:spacing w:val="-2"/>
                        <w:sz w:val="19"/>
                      </w:rPr>
                      <w:t>violence.</w:t>
                    </w:r>
                  </w:p>
                </w:txbxContent>
              </v:textbox>
            </v:shape>
            <v:shape id="docshape248" o:spid="_x0000_s1325" type="#_x0000_t202" style="position:absolute;left:1996;top:6540;width:4232;height:699" filled="f" stroked="f">
              <v:textbox inset="0,0,0,0">
                <w:txbxContent>
                  <w:p w:rsidR="00200FDA" w:rsidRDefault="00F76C4C">
                    <w:pPr>
                      <w:spacing w:line="266" w:lineRule="auto"/>
                      <w:ind w:right="18"/>
                      <w:rPr>
                        <w:rFonts w:ascii="Georgia"/>
                        <w:sz w:val="19"/>
                      </w:rPr>
                    </w:pPr>
                    <w:r>
                      <w:rPr>
                        <w:rFonts w:ascii="Georgia"/>
                        <w:sz w:val="19"/>
                      </w:rPr>
                      <w:t>Ensure that public schools, colleges, and universities have comprehensive anti-bullying, anti-cyberbullying, and anti-harassment policies.</w:t>
                    </w:r>
                  </w:p>
                </w:txbxContent>
              </v:textbox>
            </v:shape>
            <w10:wrap anchorx="page"/>
          </v:group>
        </w:pict>
      </w:r>
      <w:r>
        <w:rPr>
          <w:rFonts w:ascii="Georgia"/>
          <w:w w:val="105"/>
          <w:sz w:val="20"/>
        </w:rPr>
        <w:t>The</w:t>
      </w:r>
      <w:r>
        <w:rPr>
          <w:rFonts w:ascii="Georgia"/>
          <w:spacing w:val="-13"/>
          <w:w w:val="105"/>
          <w:sz w:val="20"/>
        </w:rPr>
        <w:t xml:space="preserve"> </w:t>
      </w:r>
      <w:r>
        <w:rPr>
          <w:rFonts w:ascii="Georgia"/>
          <w:w w:val="105"/>
          <w:sz w:val="20"/>
        </w:rPr>
        <w:t>public</w:t>
      </w:r>
      <w:r>
        <w:rPr>
          <w:rFonts w:ascii="Georgia"/>
          <w:spacing w:val="-13"/>
          <w:w w:val="105"/>
          <w:sz w:val="20"/>
        </w:rPr>
        <w:t xml:space="preserve"> </w:t>
      </w:r>
      <w:r>
        <w:rPr>
          <w:rFonts w:ascii="Georgia"/>
          <w:w w:val="105"/>
          <w:sz w:val="20"/>
        </w:rPr>
        <w:t>health</w:t>
      </w:r>
      <w:r>
        <w:rPr>
          <w:rFonts w:ascii="Georgia"/>
          <w:spacing w:val="-12"/>
          <w:w w:val="105"/>
          <w:sz w:val="20"/>
        </w:rPr>
        <w:t xml:space="preserve"> </w:t>
      </w:r>
      <w:r>
        <w:rPr>
          <w:rFonts w:ascii="Georgia"/>
          <w:w w:val="105"/>
          <w:sz w:val="20"/>
        </w:rPr>
        <w:t>crises</w:t>
      </w:r>
      <w:r>
        <w:rPr>
          <w:rFonts w:ascii="Georgia"/>
          <w:spacing w:val="-13"/>
          <w:w w:val="105"/>
          <w:sz w:val="20"/>
        </w:rPr>
        <w:t xml:space="preserve"> </w:t>
      </w:r>
      <w:r>
        <w:rPr>
          <w:rFonts w:ascii="Georgia"/>
          <w:w w:val="105"/>
          <w:sz w:val="20"/>
        </w:rPr>
        <w:t>facing</w:t>
      </w:r>
      <w:r>
        <w:rPr>
          <w:rFonts w:ascii="Georgia"/>
          <w:spacing w:val="-13"/>
          <w:w w:val="105"/>
          <w:sz w:val="20"/>
        </w:rPr>
        <w:t xml:space="preserve"> </w:t>
      </w:r>
      <w:r>
        <w:rPr>
          <w:rFonts w:ascii="Georgia"/>
          <w:w w:val="105"/>
          <w:sz w:val="20"/>
        </w:rPr>
        <w:t>LGBTQ</w:t>
      </w:r>
      <w:r>
        <w:rPr>
          <w:rFonts w:ascii="Georgia"/>
          <w:spacing w:val="-12"/>
          <w:w w:val="105"/>
          <w:sz w:val="20"/>
        </w:rPr>
        <w:t xml:space="preserve"> </w:t>
      </w:r>
      <w:r>
        <w:rPr>
          <w:rFonts w:ascii="Georgia"/>
          <w:w w:val="105"/>
          <w:sz w:val="20"/>
        </w:rPr>
        <w:t>youth</w:t>
      </w:r>
      <w:r>
        <w:rPr>
          <w:rFonts w:ascii="Georgia"/>
          <w:spacing w:val="-13"/>
          <w:w w:val="105"/>
          <w:sz w:val="20"/>
        </w:rPr>
        <w:t xml:space="preserve"> </w:t>
      </w:r>
      <w:r>
        <w:rPr>
          <w:rFonts w:ascii="Georgia"/>
          <w:w w:val="105"/>
          <w:sz w:val="20"/>
        </w:rPr>
        <w:t>are</w:t>
      </w:r>
      <w:r>
        <w:rPr>
          <w:rFonts w:ascii="Georgia"/>
          <w:spacing w:val="-13"/>
          <w:w w:val="105"/>
          <w:sz w:val="20"/>
        </w:rPr>
        <w:t xml:space="preserve"> </w:t>
      </w:r>
      <w:r>
        <w:rPr>
          <w:rFonts w:ascii="Georgia"/>
          <w:w w:val="105"/>
          <w:sz w:val="20"/>
        </w:rPr>
        <w:t>largely not because of individual risk factors,</w:t>
      </w:r>
      <w:r>
        <w:rPr>
          <w:rFonts w:ascii="Georgia"/>
          <w:w w:val="105"/>
          <w:sz w:val="20"/>
        </w:rPr>
        <w:t xml:space="preserve"> but rather systemic issues that affect how LGBTQ youth navigate the spaces in which they exist. Despite</w:t>
      </w:r>
      <w:r>
        <w:rPr>
          <w:rFonts w:ascii="Georgia"/>
          <w:spacing w:val="40"/>
          <w:w w:val="105"/>
          <w:sz w:val="20"/>
        </w:rPr>
        <w:t xml:space="preserve"> </w:t>
      </w:r>
      <w:r>
        <w:rPr>
          <w:rFonts w:ascii="Georgia"/>
          <w:w w:val="105"/>
          <w:sz w:val="20"/>
        </w:rPr>
        <w:t>hostility, LGBTQ</w:t>
      </w:r>
      <w:r>
        <w:rPr>
          <w:rFonts w:ascii="Georgia"/>
          <w:spacing w:val="-9"/>
          <w:w w:val="105"/>
          <w:sz w:val="20"/>
        </w:rPr>
        <w:t xml:space="preserve"> </w:t>
      </w:r>
      <w:r>
        <w:rPr>
          <w:rFonts w:ascii="Georgia"/>
          <w:w w:val="105"/>
          <w:sz w:val="20"/>
        </w:rPr>
        <w:t>youth</w:t>
      </w:r>
      <w:r>
        <w:rPr>
          <w:rFonts w:ascii="Georgia"/>
          <w:spacing w:val="-9"/>
          <w:w w:val="105"/>
          <w:sz w:val="20"/>
        </w:rPr>
        <w:t xml:space="preserve"> </w:t>
      </w:r>
      <w:r>
        <w:rPr>
          <w:rFonts w:ascii="Georgia"/>
          <w:w w:val="105"/>
          <w:sz w:val="20"/>
        </w:rPr>
        <w:t>continue</w:t>
      </w:r>
      <w:r>
        <w:rPr>
          <w:rFonts w:ascii="Georgia"/>
          <w:spacing w:val="-9"/>
          <w:w w:val="105"/>
          <w:sz w:val="20"/>
        </w:rPr>
        <w:t xml:space="preserve"> </w:t>
      </w:r>
      <w:r>
        <w:rPr>
          <w:rFonts w:ascii="Georgia"/>
          <w:w w:val="105"/>
          <w:sz w:val="20"/>
        </w:rPr>
        <w:t>to</w:t>
      </w:r>
      <w:r>
        <w:rPr>
          <w:rFonts w:ascii="Georgia"/>
          <w:spacing w:val="-9"/>
          <w:w w:val="105"/>
          <w:sz w:val="20"/>
        </w:rPr>
        <w:t xml:space="preserve"> </w:t>
      </w:r>
      <w:r>
        <w:rPr>
          <w:rFonts w:ascii="Georgia"/>
          <w:w w:val="105"/>
          <w:sz w:val="20"/>
        </w:rPr>
        <w:t>resist,</w:t>
      </w:r>
      <w:r>
        <w:rPr>
          <w:rFonts w:ascii="Georgia"/>
          <w:spacing w:val="-9"/>
          <w:w w:val="105"/>
          <w:sz w:val="20"/>
        </w:rPr>
        <w:t xml:space="preserve"> </w:t>
      </w:r>
      <w:r>
        <w:rPr>
          <w:rFonts w:ascii="Georgia"/>
          <w:w w:val="105"/>
          <w:sz w:val="20"/>
        </w:rPr>
        <w:t>challenge,</w:t>
      </w:r>
      <w:r>
        <w:rPr>
          <w:rFonts w:ascii="Georgia"/>
          <w:spacing w:val="-9"/>
          <w:w w:val="105"/>
          <w:sz w:val="20"/>
        </w:rPr>
        <w:t xml:space="preserve"> </w:t>
      </w:r>
      <w:r>
        <w:rPr>
          <w:rFonts w:ascii="Georgia"/>
          <w:w w:val="105"/>
          <w:sz w:val="20"/>
        </w:rPr>
        <w:t>and</w:t>
      </w:r>
      <w:r>
        <w:rPr>
          <w:rFonts w:ascii="Georgia"/>
          <w:spacing w:val="-9"/>
          <w:w w:val="105"/>
          <w:sz w:val="20"/>
        </w:rPr>
        <w:t xml:space="preserve"> </w:t>
      </w:r>
      <w:r>
        <w:rPr>
          <w:rFonts w:ascii="Georgia"/>
          <w:w w:val="105"/>
          <w:sz w:val="20"/>
        </w:rPr>
        <w:t>change the relationships, communities, institutions, and systems</w:t>
      </w:r>
      <w:r>
        <w:rPr>
          <w:rFonts w:ascii="Georgia"/>
          <w:spacing w:val="-6"/>
          <w:w w:val="105"/>
          <w:sz w:val="20"/>
        </w:rPr>
        <w:t xml:space="preserve"> </w:t>
      </w:r>
      <w:r>
        <w:rPr>
          <w:rFonts w:ascii="Georgia"/>
          <w:w w:val="105"/>
          <w:sz w:val="20"/>
        </w:rPr>
        <w:t>that</w:t>
      </w:r>
      <w:r>
        <w:rPr>
          <w:rFonts w:ascii="Georgia"/>
          <w:spacing w:val="-6"/>
          <w:w w:val="105"/>
          <w:sz w:val="20"/>
        </w:rPr>
        <w:t xml:space="preserve"> </w:t>
      </w:r>
      <w:r>
        <w:rPr>
          <w:rFonts w:ascii="Georgia"/>
          <w:w w:val="105"/>
          <w:sz w:val="20"/>
        </w:rPr>
        <w:t>act</w:t>
      </w:r>
      <w:r>
        <w:rPr>
          <w:rFonts w:ascii="Georgia"/>
          <w:spacing w:val="-6"/>
          <w:w w:val="105"/>
          <w:sz w:val="20"/>
        </w:rPr>
        <w:t xml:space="preserve"> </w:t>
      </w:r>
      <w:r>
        <w:rPr>
          <w:rFonts w:ascii="Georgia"/>
          <w:w w:val="105"/>
          <w:sz w:val="20"/>
        </w:rPr>
        <w:t>as</w:t>
      </w:r>
      <w:r>
        <w:rPr>
          <w:rFonts w:ascii="Georgia"/>
          <w:spacing w:val="-6"/>
          <w:w w:val="105"/>
          <w:sz w:val="20"/>
        </w:rPr>
        <w:t xml:space="preserve"> </w:t>
      </w:r>
      <w:r>
        <w:rPr>
          <w:rFonts w:ascii="Georgia"/>
          <w:w w:val="105"/>
          <w:sz w:val="20"/>
        </w:rPr>
        <w:t>oppressive</w:t>
      </w:r>
      <w:r>
        <w:rPr>
          <w:rFonts w:ascii="Georgia"/>
          <w:spacing w:val="-6"/>
          <w:w w:val="105"/>
          <w:sz w:val="20"/>
        </w:rPr>
        <w:t xml:space="preserve"> </w:t>
      </w:r>
      <w:r>
        <w:rPr>
          <w:rFonts w:ascii="Georgia"/>
          <w:w w:val="105"/>
          <w:sz w:val="20"/>
        </w:rPr>
        <w:t>force</w:t>
      </w:r>
      <w:r>
        <w:rPr>
          <w:rFonts w:ascii="Georgia"/>
          <w:w w:val="105"/>
          <w:sz w:val="20"/>
        </w:rPr>
        <w:t>s.</w:t>
      </w:r>
      <w:r>
        <w:rPr>
          <w:rFonts w:ascii="Georgia"/>
          <w:spacing w:val="-6"/>
          <w:w w:val="105"/>
          <w:sz w:val="20"/>
        </w:rPr>
        <w:t xml:space="preserve"> </w:t>
      </w:r>
      <w:r>
        <w:rPr>
          <w:rFonts w:ascii="Georgia"/>
          <w:w w:val="105"/>
          <w:sz w:val="20"/>
        </w:rPr>
        <w:t>Public</w:t>
      </w:r>
      <w:r>
        <w:rPr>
          <w:rFonts w:ascii="Georgia"/>
          <w:spacing w:val="-6"/>
          <w:w w:val="105"/>
          <w:sz w:val="20"/>
        </w:rPr>
        <w:t xml:space="preserve"> </w:t>
      </w:r>
      <w:r>
        <w:rPr>
          <w:rFonts w:ascii="Georgia"/>
          <w:w w:val="105"/>
          <w:sz w:val="20"/>
        </w:rPr>
        <w:t>health</w:t>
      </w:r>
      <w:r>
        <w:rPr>
          <w:rFonts w:ascii="Georgia"/>
          <w:spacing w:val="-6"/>
          <w:w w:val="105"/>
          <w:sz w:val="20"/>
        </w:rPr>
        <w:t xml:space="preserve"> </w:t>
      </w:r>
      <w:r>
        <w:rPr>
          <w:rFonts w:ascii="Georgia"/>
          <w:w w:val="105"/>
          <w:sz w:val="20"/>
        </w:rPr>
        <w:t xml:space="preserve">has an obligation to support and uplift LGBTQ youth as they resist unjust and oppressive structures. In doing so, policymakers, providers, and educators can better pave the way for a future where all LGBTQ youth </w:t>
      </w:r>
      <w:r>
        <w:rPr>
          <w:rFonts w:ascii="Georgia"/>
          <w:spacing w:val="-2"/>
          <w:w w:val="105"/>
          <w:sz w:val="20"/>
        </w:rPr>
        <w:t>thrive.</w:t>
      </w:r>
    </w:p>
    <w:p w:rsidR="00200FDA" w:rsidRDefault="00F76C4C">
      <w:pPr>
        <w:spacing w:before="242"/>
        <w:ind w:left="1383"/>
        <w:rPr>
          <w:b/>
          <w:sz w:val="77"/>
        </w:rPr>
      </w:pPr>
      <w:r>
        <w:br w:type="column"/>
      </w:r>
      <w:r>
        <w:rPr>
          <w:b/>
          <w:emboss/>
          <w:color w:val="001389"/>
          <w:spacing w:val="20"/>
          <w:w w:val="115"/>
          <w:sz w:val="77"/>
        </w:rPr>
        <w:t>54%</w:t>
      </w:r>
    </w:p>
    <w:p w:rsidR="00200FDA" w:rsidRDefault="00F76C4C">
      <w:pPr>
        <w:spacing w:before="12" w:line="278" w:lineRule="auto"/>
        <w:ind w:left="582" w:right="1194"/>
        <w:jc w:val="center"/>
        <w:rPr>
          <w:rFonts w:ascii="Georgia"/>
          <w:sz w:val="20"/>
        </w:rPr>
      </w:pPr>
      <w:r>
        <w:rPr>
          <w:rFonts w:ascii="Georgia"/>
          <w:w w:val="105"/>
          <w:sz w:val="20"/>
        </w:rPr>
        <w:t xml:space="preserve">of LGBTQ students have </w:t>
      </w:r>
      <w:r>
        <w:rPr>
          <w:rFonts w:ascii="Georgia"/>
          <w:spacing w:val="-2"/>
          <w:w w:val="105"/>
          <w:sz w:val="20"/>
        </w:rPr>
        <w:t>experienced</w:t>
      </w:r>
      <w:r>
        <w:rPr>
          <w:rFonts w:ascii="Georgia"/>
          <w:spacing w:val="-4"/>
          <w:w w:val="105"/>
          <w:sz w:val="20"/>
        </w:rPr>
        <w:t xml:space="preserve"> </w:t>
      </w:r>
      <w:r>
        <w:rPr>
          <w:rFonts w:ascii="Georgia"/>
          <w:spacing w:val="-2"/>
          <w:w w:val="105"/>
          <w:sz w:val="20"/>
        </w:rPr>
        <w:t>verbal</w:t>
      </w:r>
      <w:r>
        <w:rPr>
          <w:rFonts w:ascii="Georgia"/>
          <w:spacing w:val="-4"/>
          <w:w w:val="105"/>
          <w:sz w:val="20"/>
        </w:rPr>
        <w:t xml:space="preserve"> </w:t>
      </w:r>
      <w:r>
        <w:rPr>
          <w:rFonts w:ascii="Georgia"/>
          <w:spacing w:val="-2"/>
          <w:w w:val="105"/>
          <w:sz w:val="20"/>
        </w:rPr>
        <w:t>harassment</w:t>
      </w:r>
      <w:r>
        <w:rPr>
          <w:rFonts w:ascii="Georgia"/>
          <w:spacing w:val="-4"/>
          <w:w w:val="105"/>
          <w:sz w:val="20"/>
        </w:rPr>
        <w:t xml:space="preserve"> </w:t>
      </w:r>
      <w:r>
        <w:rPr>
          <w:rFonts w:ascii="Georgia"/>
          <w:spacing w:val="-2"/>
          <w:w w:val="105"/>
          <w:sz w:val="20"/>
        </w:rPr>
        <w:t xml:space="preserve">due </w:t>
      </w:r>
      <w:r>
        <w:rPr>
          <w:rFonts w:ascii="Georgia"/>
          <w:w w:val="105"/>
          <w:sz w:val="20"/>
        </w:rPr>
        <w:t>to their sexuality</w:t>
      </w:r>
    </w:p>
    <w:p w:rsidR="00200FDA" w:rsidRDefault="00200FDA">
      <w:pPr>
        <w:pStyle w:val="BodyText"/>
        <w:rPr>
          <w:rFonts w:ascii="Georgia"/>
        </w:rPr>
      </w:pPr>
    </w:p>
    <w:p w:rsidR="00200FDA" w:rsidRDefault="00200FDA">
      <w:pPr>
        <w:pStyle w:val="BodyText"/>
        <w:spacing w:before="10"/>
        <w:rPr>
          <w:rFonts w:ascii="Georgia"/>
          <w:sz w:val="25"/>
        </w:rPr>
      </w:pPr>
    </w:p>
    <w:p w:rsidR="00200FDA" w:rsidRDefault="00F76C4C">
      <w:pPr>
        <w:pStyle w:val="Heading3"/>
        <w:spacing w:before="1" w:line="896" w:lineRule="exact"/>
        <w:ind w:left="1284"/>
      </w:pPr>
      <w:r>
        <w:rPr>
          <w:emboss/>
          <w:color w:val="001389"/>
          <w:spacing w:val="23"/>
          <w:w w:val="110"/>
        </w:rPr>
        <w:t>6.8%</w:t>
      </w:r>
    </w:p>
    <w:p w:rsidR="00200FDA" w:rsidRDefault="00F76C4C">
      <w:pPr>
        <w:spacing w:line="208" w:lineRule="exact"/>
        <w:ind w:left="582" w:right="1193"/>
        <w:jc w:val="center"/>
        <w:rPr>
          <w:rFonts w:ascii="Georgia"/>
          <w:sz w:val="20"/>
        </w:rPr>
      </w:pPr>
      <w:r>
        <w:rPr>
          <w:rFonts w:ascii="Georgia"/>
          <w:sz w:val="20"/>
        </w:rPr>
        <w:t>of</w:t>
      </w:r>
      <w:r>
        <w:rPr>
          <w:rFonts w:ascii="Georgia"/>
          <w:spacing w:val="4"/>
          <w:sz w:val="20"/>
        </w:rPr>
        <w:t xml:space="preserve"> </w:t>
      </w:r>
      <w:r>
        <w:rPr>
          <w:rFonts w:ascii="Georgia"/>
          <w:sz w:val="20"/>
        </w:rPr>
        <w:t>LGBTQ</w:t>
      </w:r>
      <w:r>
        <w:rPr>
          <w:rFonts w:ascii="Georgia"/>
          <w:spacing w:val="4"/>
          <w:sz w:val="20"/>
        </w:rPr>
        <w:t xml:space="preserve"> </w:t>
      </w:r>
      <w:r>
        <w:rPr>
          <w:rFonts w:ascii="Georgia"/>
          <w:sz w:val="20"/>
        </w:rPr>
        <w:t>youth</w:t>
      </w:r>
      <w:r>
        <w:rPr>
          <w:rFonts w:ascii="Georgia"/>
          <w:spacing w:val="4"/>
          <w:sz w:val="20"/>
        </w:rPr>
        <w:t xml:space="preserve"> </w:t>
      </w:r>
      <w:r>
        <w:rPr>
          <w:rFonts w:ascii="Georgia"/>
          <w:sz w:val="20"/>
        </w:rPr>
        <w:t>have</w:t>
      </w:r>
      <w:r>
        <w:rPr>
          <w:rFonts w:ascii="Georgia"/>
          <w:spacing w:val="5"/>
          <w:sz w:val="20"/>
        </w:rPr>
        <w:t xml:space="preserve"> </w:t>
      </w:r>
      <w:r>
        <w:rPr>
          <w:rFonts w:ascii="Georgia"/>
          <w:spacing w:val="-4"/>
          <w:sz w:val="20"/>
        </w:rPr>
        <w:t>ever</w:t>
      </w:r>
    </w:p>
    <w:p w:rsidR="00200FDA" w:rsidRDefault="00F76C4C">
      <w:pPr>
        <w:spacing w:before="36" w:line="278" w:lineRule="auto"/>
        <w:ind w:left="939" w:right="1551"/>
        <w:jc w:val="center"/>
        <w:rPr>
          <w:rFonts w:ascii="Georgia"/>
          <w:sz w:val="20"/>
        </w:rPr>
      </w:pPr>
      <w:r>
        <w:rPr>
          <w:rFonts w:ascii="Georgia"/>
          <w:w w:val="105"/>
          <w:sz w:val="20"/>
        </w:rPr>
        <w:t>been</w:t>
      </w:r>
      <w:r>
        <w:rPr>
          <w:rFonts w:ascii="Georgia"/>
          <w:spacing w:val="-13"/>
          <w:w w:val="105"/>
          <w:sz w:val="20"/>
        </w:rPr>
        <w:t xml:space="preserve"> </w:t>
      </w:r>
      <w:r>
        <w:rPr>
          <w:rFonts w:ascii="Georgia"/>
          <w:w w:val="105"/>
          <w:sz w:val="20"/>
        </w:rPr>
        <w:t>tested</w:t>
      </w:r>
      <w:r>
        <w:rPr>
          <w:rFonts w:ascii="Georgia"/>
          <w:spacing w:val="-13"/>
          <w:w w:val="105"/>
          <w:sz w:val="20"/>
        </w:rPr>
        <w:t xml:space="preserve"> </w:t>
      </w:r>
      <w:r>
        <w:rPr>
          <w:rFonts w:ascii="Georgia"/>
          <w:w w:val="105"/>
          <w:sz w:val="20"/>
        </w:rPr>
        <w:t>for</w:t>
      </w:r>
      <w:r>
        <w:rPr>
          <w:rFonts w:ascii="Georgia"/>
          <w:spacing w:val="-12"/>
          <w:w w:val="105"/>
          <w:sz w:val="20"/>
        </w:rPr>
        <w:t xml:space="preserve"> </w:t>
      </w:r>
      <w:r>
        <w:rPr>
          <w:rFonts w:ascii="Georgia"/>
          <w:w w:val="105"/>
          <w:sz w:val="20"/>
        </w:rPr>
        <w:t>an</w:t>
      </w:r>
      <w:r>
        <w:rPr>
          <w:rFonts w:ascii="Georgia"/>
          <w:spacing w:val="-13"/>
          <w:w w:val="105"/>
          <w:sz w:val="20"/>
        </w:rPr>
        <w:t xml:space="preserve"> </w:t>
      </w:r>
      <w:r>
        <w:rPr>
          <w:rFonts w:ascii="Georgia"/>
          <w:w w:val="105"/>
          <w:sz w:val="20"/>
        </w:rPr>
        <w:t>STI</w:t>
      </w:r>
      <w:r>
        <w:rPr>
          <w:rFonts w:ascii="Georgia"/>
          <w:spacing w:val="-13"/>
          <w:w w:val="105"/>
          <w:sz w:val="20"/>
        </w:rPr>
        <w:t xml:space="preserve"> </w:t>
      </w:r>
      <w:r>
        <w:rPr>
          <w:rFonts w:ascii="Georgia"/>
          <w:w w:val="105"/>
          <w:sz w:val="20"/>
        </w:rPr>
        <w:t>other than</w:t>
      </w:r>
      <w:r>
        <w:rPr>
          <w:rFonts w:ascii="Georgia"/>
          <w:spacing w:val="-1"/>
          <w:w w:val="105"/>
          <w:sz w:val="20"/>
        </w:rPr>
        <w:t xml:space="preserve"> </w:t>
      </w:r>
      <w:r>
        <w:rPr>
          <w:rFonts w:ascii="Georgia"/>
          <w:w w:val="105"/>
          <w:sz w:val="20"/>
        </w:rPr>
        <w:t>HIV</w:t>
      </w:r>
    </w:p>
    <w:p w:rsidR="00200FDA" w:rsidRDefault="00200FDA">
      <w:pPr>
        <w:pStyle w:val="BodyText"/>
        <w:rPr>
          <w:rFonts w:ascii="Georgia"/>
          <w:sz w:val="20"/>
        </w:rPr>
      </w:pPr>
    </w:p>
    <w:p w:rsidR="00200FDA" w:rsidRDefault="00200FDA">
      <w:pPr>
        <w:pStyle w:val="BodyText"/>
        <w:spacing w:before="6"/>
        <w:rPr>
          <w:rFonts w:ascii="Georgia"/>
          <w:sz w:val="13"/>
        </w:rPr>
      </w:pPr>
    </w:p>
    <w:p w:rsidR="00200FDA" w:rsidRDefault="00F76C4C">
      <w:pPr>
        <w:pStyle w:val="BodyText"/>
        <w:spacing w:line="20" w:lineRule="exact"/>
        <w:ind w:left="-20"/>
        <w:rPr>
          <w:rFonts w:ascii="Georgia"/>
          <w:sz w:val="2"/>
        </w:rPr>
      </w:pPr>
      <w:r>
        <w:rPr>
          <w:rFonts w:ascii="Georgia"/>
          <w:sz w:val="2"/>
        </w:rPr>
      </w:r>
      <w:r>
        <w:rPr>
          <w:rFonts w:ascii="Georgia"/>
          <w:sz w:val="2"/>
        </w:rPr>
        <w:pict>
          <v:group id="docshapegroup249" o:spid="_x0000_s1322" style="width:218.3pt;height:2.25pt;mso-position-horizontal-relative:char;mso-position-vertical-relative:line" coordsize="4366,45">
            <v:line id="_x0000_s1323" style="position:absolute" from="0,23" to="4365,23" strokecolor="#001389" strokeweight="2.25pt">
              <v:stroke dashstyle="3 1"/>
            </v:line>
            <w10:anchorlock/>
          </v:group>
        </w:pict>
      </w:r>
    </w:p>
    <w:p w:rsidR="00200FDA" w:rsidRDefault="00F76C4C">
      <w:pPr>
        <w:pStyle w:val="Heading3"/>
        <w:spacing w:before="144"/>
        <w:ind w:left="1274"/>
      </w:pPr>
      <w:r>
        <w:rPr>
          <w:emboss/>
          <w:color w:val="001389"/>
          <w:spacing w:val="27"/>
        </w:rPr>
        <w:t>17.8%</w:t>
      </w:r>
    </w:p>
    <w:p w:rsidR="00200FDA" w:rsidRDefault="00F76C4C">
      <w:pPr>
        <w:spacing w:before="16" w:line="278" w:lineRule="auto"/>
        <w:ind w:left="323" w:right="935"/>
        <w:jc w:val="center"/>
        <w:rPr>
          <w:rFonts w:ascii="Georgia"/>
          <w:sz w:val="20"/>
        </w:rPr>
      </w:pPr>
      <w:r>
        <w:rPr>
          <w:rFonts w:ascii="Georgia"/>
          <w:w w:val="105"/>
          <w:sz w:val="20"/>
        </w:rPr>
        <w:t>of LGBTQ high school students have experienced</w:t>
      </w:r>
      <w:r>
        <w:rPr>
          <w:rFonts w:ascii="Georgia"/>
          <w:spacing w:val="-13"/>
          <w:w w:val="105"/>
          <w:sz w:val="20"/>
        </w:rPr>
        <w:t xml:space="preserve"> </w:t>
      </w:r>
      <w:r>
        <w:rPr>
          <w:rFonts w:ascii="Georgia"/>
          <w:w w:val="105"/>
          <w:sz w:val="20"/>
        </w:rPr>
        <w:t>sexual</w:t>
      </w:r>
      <w:r>
        <w:rPr>
          <w:rFonts w:ascii="Georgia"/>
          <w:spacing w:val="-13"/>
          <w:w w:val="105"/>
          <w:sz w:val="20"/>
        </w:rPr>
        <w:t xml:space="preserve"> </w:t>
      </w:r>
      <w:r>
        <w:rPr>
          <w:rFonts w:ascii="Georgia"/>
          <w:w w:val="105"/>
          <w:sz w:val="20"/>
        </w:rPr>
        <w:t>dating</w:t>
      </w:r>
      <w:r>
        <w:rPr>
          <w:rFonts w:ascii="Georgia"/>
          <w:spacing w:val="-12"/>
          <w:w w:val="105"/>
          <w:sz w:val="20"/>
        </w:rPr>
        <w:t xml:space="preserve"> </w:t>
      </w:r>
      <w:r>
        <w:rPr>
          <w:rFonts w:ascii="Georgia"/>
          <w:w w:val="105"/>
          <w:sz w:val="20"/>
        </w:rPr>
        <w:t>violence</w:t>
      </w:r>
      <w:r>
        <w:rPr>
          <w:rFonts w:ascii="Georgia"/>
          <w:spacing w:val="-13"/>
          <w:w w:val="105"/>
          <w:sz w:val="20"/>
        </w:rPr>
        <w:t xml:space="preserve"> </w:t>
      </w:r>
      <w:r>
        <w:rPr>
          <w:rFonts w:ascii="Georgia"/>
          <w:w w:val="105"/>
          <w:sz w:val="20"/>
        </w:rPr>
        <w:t>in</w:t>
      </w:r>
      <w:r>
        <w:rPr>
          <w:rFonts w:ascii="Georgia"/>
          <w:spacing w:val="-13"/>
          <w:w w:val="105"/>
          <w:sz w:val="20"/>
        </w:rPr>
        <w:t xml:space="preserve"> </w:t>
      </w:r>
      <w:r>
        <w:rPr>
          <w:rFonts w:ascii="Georgia"/>
          <w:w w:val="105"/>
          <w:sz w:val="20"/>
        </w:rPr>
        <w:t>the past</w:t>
      </w:r>
      <w:r>
        <w:rPr>
          <w:rFonts w:ascii="Georgia"/>
          <w:spacing w:val="-1"/>
          <w:w w:val="105"/>
          <w:sz w:val="20"/>
        </w:rPr>
        <w:t xml:space="preserve"> </w:t>
      </w:r>
      <w:r>
        <w:rPr>
          <w:rFonts w:ascii="Georgia"/>
          <w:w w:val="105"/>
          <w:sz w:val="20"/>
        </w:rPr>
        <w:t>year</w:t>
      </w:r>
    </w:p>
    <w:p w:rsidR="00200FDA" w:rsidRDefault="00200FDA">
      <w:pPr>
        <w:spacing w:line="278" w:lineRule="auto"/>
        <w:jc w:val="center"/>
        <w:rPr>
          <w:rFonts w:ascii="Georgia"/>
          <w:sz w:val="20"/>
        </w:rPr>
        <w:sectPr w:rsidR="00200FDA">
          <w:type w:val="continuous"/>
          <w:pgSz w:w="12240" w:h="15840"/>
          <w:pgMar w:top="720" w:right="340" w:bottom="280" w:left="920" w:header="0" w:footer="0" w:gutter="0"/>
          <w:cols w:num="2" w:space="720" w:equalWidth="0">
            <w:col w:w="5431" w:space="530"/>
            <w:col w:w="5019"/>
          </w:cols>
        </w:sectPr>
      </w:pPr>
    </w:p>
    <w:p w:rsidR="00200FDA" w:rsidRDefault="00F76C4C">
      <w:pPr>
        <w:pStyle w:val="BodyText"/>
        <w:rPr>
          <w:rFonts w:ascii="Georgia"/>
          <w:sz w:val="20"/>
        </w:rPr>
      </w:pPr>
      <w:r>
        <w:pict>
          <v:group id="docshapegroup250" o:spid="_x0000_s1305" style="position:absolute;margin-left:0;margin-top:0;width:609.9pt;height:432.55pt;z-index:-21312000;mso-position-horizontal-relative:page;mso-position-vertical-relative:page" coordsize="12198,8651">
            <v:shape id="docshape251" o:spid="_x0000_s1321" type="#_x0000_t75" style="position:absolute;width:12198;height:4912">
              <v:imagedata r:id="rId222" o:title=""/>
            </v:shape>
            <v:shape id="docshape252" o:spid="_x0000_s1320" type="#_x0000_t75" style="position:absolute;left:7839;top:1158;width:2333;height:2332">
              <v:imagedata r:id="rId143" o:title=""/>
            </v:shape>
            <v:shape id="docshape253" o:spid="_x0000_s1319" style="position:absolute;left:7818;top:1136;width:2375;height:2375" coordorigin="7818,1136" coordsize="2375,2375" o:spt="100" adj="0,,0" path="m9006,3511r-75,-2l8857,3502r-72,-11l8714,3475r-69,-20l8577,3431r-66,-27l8448,3372r-61,-35l8328,3298r-57,-41l8218,3211r-51,-48l8118,3112r-45,-54l8031,3002r-38,-59l7958,2882r-32,-64l7898,2752r-24,-67l7855,2616r-16,-71l7828,2473r-7,-74l7818,2324r3,-75l7828,2175r11,-72l7855,2032r19,-69l7898,1895r28,-65l7958,1766r35,-61l8031,1646r42,-56l8118,1536r49,-51l8218,1437r53,-46l8328,1350r59,-39l8448,1276r64,-32l8577,1217r68,-24l8714,1173r71,-16l8857,1146r74,-7l9006,1136r75,3l9155,1146r72,11l9298,1173r24,7l9006,1180r-75,2l8857,1189r-73,12l8714,1218r-69,20l8577,1263r-65,29l8449,1324r-60,37l8330,1401r-55,43l8222,1491r-49,50l8126,1593r-43,56l8043,1707r-37,60l7974,1830r-29,66l7920,1963r-21,69l7883,2103r-12,72l7864,2249r-2,75l7864,2399r7,74l7883,2545r16,71l7920,2685r25,67l7974,2818r32,63l8043,2941r40,58l8126,3055r47,52l8222,3157r53,47l8330,3247r59,40l8449,3323r63,33l8577,3385r68,25l8714,3430r70,17l8857,3459r74,7l9006,3468r316,l9298,3475r-71,16l9155,3502r-74,7l9006,3511xm9322,3468r-316,l9081,3466r74,-7l9227,3447r71,-17l9367,3410r67,-25l9499,3356r63,-33l9623,3287r58,-40l9737,3204r52,-47l9839,3107r47,-52l9929,2999r40,-58l10005,2881r33,-63l10067,2752r25,-67l10112,2616r17,-71l10140,2473r8,-74l10150,2324r-2,-75l10140,2175r-11,-72l10112,2032r-20,-69l10067,1896r-29,-66l10005,1767r-36,-60l9929,1649r-43,-56l9839,1541r-50,-50l9737,1444r-56,-43l9623,1361r-61,-37l9499,1292r-65,-29l9367,1238r-69,-20l9227,1201r-72,-12l9081,1182r-75,-2l9322,1180r45,13l9435,1217r65,27l9564,1276r61,35l9684,1350r56,41l9794,1437r51,48l9893,1536r45,54l9980,1646r39,59l10054,1766r31,64l10113,1896r24,67l10157,2032r16,71l10184,2175r7,74l10193,2324r-2,75l10184,2473r-11,72l10157,2616r-20,69l10113,2753r-28,65l10054,2882r-35,61l9980,3002r-42,56l9893,3112r-48,51l9794,3211r-54,46l9684,3298r-59,39l9564,3372r-64,32l9435,3431r-68,24l9322,3468xe" stroked="f">
              <v:stroke joinstyle="round"/>
              <v:formulas/>
              <v:path arrowok="t" o:connecttype="segments"/>
            </v:shape>
            <v:shape id="docshape254" o:spid="_x0000_s1318" style="position:absolute;left:1031;top:4619;width:5463;height:4031" coordorigin="1032,4620" coordsize="5463,4031" path="m6054,8651r-4571,l1450,8644r-70,-25l1314,8586r-60,-41l1199,8497r-48,-55l1110,8382r-33,-66l1052,8246r-15,-75l1032,8094r,-2904l1037,5112r15,-74l1077,4968r33,-66l1151,4841r48,-54l1254,4739r60,-41l1380,4665r70,-25l1524,4625r78,-5l5935,4620r78,5l6087,4640r70,25l6223,4698r61,41l6338,4787r49,54l6428,4902r33,66l6485,5038r10,47l6495,8199r-34,117l6428,8382r-41,60l6338,8497r-54,48l6223,8586r-66,33l6087,8644r-33,7xe" fillcolor="#94abff" stroked="f">
              <v:fill opacity="36497f"/>
              <v:path arrowok="t"/>
            </v:shape>
            <v:line id="_x0000_s1317" style="position:absolute" from="6861,6915" to="11226,6915" strokecolor="#001389" strokeweight="2.25pt">
              <v:stroke dashstyle="3 1"/>
            </v:line>
            <v:shape id="docshape255" o:spid="_x0000_s1316" style="position:absolute;left:7638;top:4206;width:299;height:1026" coordorigin="7639,4207" coordsize="299,1026" path="m7639,5233r2,-135l7642,5021r,-96l7641,4838r-2,-78l7639,4695r,-93l7640,4523r1,-20l7641,4492r,-28l7641,4444r-2,-67l7639,4309r2,-68l7642,4207r26,12l7730,4261r58,52l7833,4369r38,59l7900,4492r21,66l7933,4626r4,69l7933,4764r-12,67l7900,4898r-29,63l7833,5021r-45,55l7639,5233xe" fillcolor="#ed3624" stroked="f">
              <v:path arrowok="t"/>
            </v:shape>
            <v:shape id="docshape256" o:spid="_x0000_s1315" style="position:absolute;left:7328;top:4156;width:325;height:1403" coordorigin="7329,4157" coordsize="325,1403" path="m7330,5559r-1,-201l7329,5271r3,-173l7332,5011r,-86l7331,4838r-1,-78l7329,4693r,-91l7331,4523r,-20l7332,4483r,-19l7331,4439r-1,-62l7330,4309r1,-68l7333,4167r58,-10l7462,4157r71,10l7602,4188r51,24l7653,4230r,62l7652,4309r,68l7652,4524r,84l7652,4693r,85l7653,4863r,355l7330,5559xe" fillcolor="#e88024" stroked="f">
              <v:path arrowok="t"/>
            </v:shape>
            <v:shape id="docshape257" o:spid="_x0000_s1314" style="position:absolute;left:7019;top:4163;width:328;height:1702" coordorigin="7019,4164" coordsize="328,1702" o:spt="100" adj="0,,0" path="m7343,4340r-303,l7065,4313r57,-52l7185,4219r66,-31l7320,4167r24,-3l7344,4230r-1,62l7343,4313r,27xm7040,5865r-19,-20l7021,5729r1,-59l7021,5611r,-69l7019,5358r1,-87l7022,5098r1,-87l7023,4925r-1,-87l7020,4760r-1,-67l7019,4602r2,-79l7022,4503r,-20l7022,4464r-1,-25l7020,4377r,-58l7021,4320r19,20l7343,4340r,37l7343,4524r-1,84l7342,4693r,85l7344,4863r,235l7344,5292r3,250l7040,5865xe" fillcolor="#ecaf2f" stroked="f">
              <v:stroke joinstyle="round"/>
              <v:formulas/>
              <v:path arrowok="t" o:connecttype="segments"/>
            </v:shape>
            <v:shape id="docshape258" o:spid="_x0000_s1313" style="position:absolute;left:6709;top:4166;width:325;height:1693" coordorigin="6709,4166" coordsize="325,1693" path="m7034,5859l6711,5518r-2,-160l6710,5271r2,-173l6713,5011r,-86l6712,4838r-1,-78l6710,4693r,-91l6712,4523r,-20l6712,4483r,-19l6712,4439r-1,-62l6711,4309r1,-68l6714,4166r53,8l6836,4195r66,31l6964,4268r57,52l7029,4377r,62l7028,4524r,84l7028,4693r,85l7029,4863r,235l7030,5292r4,417l7034,5859xe" fillcolor="#009d59" stroked="f">
              <v:path arrowok="t"/>
            </v:shape>
            <v:shape id="docshape259" o:spid="_x0000_s1312" style="position:absolute;left:6400;top:4163;width:328;height:1372" coordorigin="6400,4164" coordsize="328,1372" path="m6727,5535l6402,5192r1,-94l6404,5011r,-86l6403,4838r-2,-78l6400,4693r,-91l6402,4523r1,-20l6403,4483r,-19l6402,4439r-1,-62l6401,4309r1,-68l6485,4195r69,-21l6625,4164r71,l6725,4168r,62l6724,4292r,17l6724,4377r,62l6724,4524r-1,84l6723,4693r,85l6724,4863r1,329l6725,5292r2,243xe" fillcolor="#1b6094" stroked="f">
              <v:path arrowok="t"/>
            </v:shape>
            <v:shape id="docshape260" o:spid="_x0000_s1311" style="position:absolute;left:6149;top:4222;width:278;height:996" coordorigin="6149,4222" coordsize="278,996" path="m6427,5218l6299,5083r-46,-55l6216,4968r-29,-63l6166,4838r-13,-67l6149,4702r4,-69l6166,4565r21,-66l6216,4435r37,-59l6299,4320r57,-52l6419,4226r8,-4l6427,4230r-1,62l6426,4320r,56l6426,4435r,89l6426,4608r-1,94l6426,4778r1,85l6427,5218xe" fillcolor="#6b3486" stroked="f">
              <v:path arrowok="t"/>
            </v:shape>
            <v:shape id="docshape261" o:spid="_x0000_s1310" style="position:absolute;left:6546;top:4905;width:976;height:960" coordorigin="6546,4906" coordsize="976,960" path="m7040,5865l6546,5344r481,-438l7522,5357r-482,508xe" fillcolor="#1b1818" stroked="f">
              <v:path arrowok="t"/>
            </v:shape>
            <v:shape id="docshape262" o:spid="_x0000_s1309" style="position:absolute;left:6642;top:5093;width:785;height:772" coordorigin="6642,5094" coordsize="785,772" path="m7040,5865l6642,5445r385,-351l7426,5458r-386,407xe" fillcolor="#623c2a" stroked="f">
              <v:path arrowok="t"/>
            </v:shape>
            <v:shape id="docshape263" o:spid="_x0000_s1308" style="position:absolute;left:6738;top:5283;width:592;height:583" coordorigin="6738,5283" coordsize="592,583" path="m7040,5865l6738,5547r289,-264l7330,5559r-290,306xe" fillcolor="#79cbdd" stroked="f">
              <v:path arrowok="t"/>
            </v:shape>
            <v:shape id="docshape264" o:spid="_x0000_s1307" style="position:absolute;left:6834;top:5471;width:401;height:394" coordorigin="6834,5472" coordsize="401,394" path="m7040,5865l6834,5648r193,-176l7234,5660r-194,205xe" fillcolor="#e4a1c7" stroked="f">
              <v:path arrowok="t"/>
            </v:shape>
            <v:shape id="docshape265" o:spid="_x0000_s1306" style="position:absolute;left:6930;top:5660;width:208;height:205" coordorigin="6930,5661" coordsize="208,205" path="m7040,5865l6930,5749r97,-88l7138,5762r-98,103xe" fillcolor="#e6e7e7" stroked="f">
              <v:path arrowok="t"/>
            </v:shape>
            <w10:wrap anchorx="page" anchory="page"/>
          </v:group>
        </w:pict>
      </w: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rPr>
          <w:rFonts w:ascii="Georgia"/>
          <w:sz w:val="18"/>
        </w:rPr>
      </w:pPr>
    </w:p>
    <w:p w:rsidR="00200FDA" w:rsidRDefault="00F76C4C">
      <w:pPr>
        <w:tabs>
          <w:tab w:val="left" w:pos="5945"/>
        </w:tabs>
        <w:ind w:left="121"/>
        <w:rPr>
          <w:rFonts w:ascii="Georgia"/>
          <w:sz w:val="20"/>
        </w:rPr>
      </w:pPr>
      <w:r>
        <w:rPr>
          <w:rFonts w:ascii="Georgia"/>
          <w:position w:val="81"/>
          <w:sz w:val="20"/>
        </w:rPr>
      </w:r>
      <w:r>
        <w:rPr>
          <w:rFonts w:ascii="Georgia"/>
          <w:position w:val="81"/>
          <w:sz w:val="20"/>
        </w:rPr>
        <w:pict>
          <v:group id="docshapegroup266" o:spid="_x0000_s1302" style="width:273.15pt;height:84.9pt;mso-position-horizontal-relative:char;mso-position-vertical-relative:line" coordsize="5463,1698">
            <v:shape id="docshape267" o:spid="_x0000_s1304" style="position:absolute;width:5463;height:1698" coordsize="5463,1698" path="m5012,1697r-4550,l418,1688r-70,-24l282,1631r-60,-41l167,1542r-48,-55l78,1426,45,1360,20,1290,5,1216,,1139,,570,5,493,20,418,45,348,78,282r41,-60l167,167r55,-48l282,78,348,45,418,20,493,5,570,,4904,r77,5l5055,20r70,25l5191,78r61,41l5307,167r48,55l5396,282r33,66l5453,418r10,47l5463,1244r-34,116l5396,1426r-41,61l5307,1542r-55,48l5191,1631r-66,33l5055,1688r-43,9xe" fillcolor="#94abff" stroked="f">
              <v:fill opacity="36497f"/>
              <v:path arrowok="t"/>
            </v:shape>
            <v:shape id="docshape268" o:spid="_x0000_s1303" type="#_x0000_t202" style="position:absolute;width:5463;height:1698" filled="f" stroked="f">
              <v:textbox inset="0,0,0,0">
                <w:txbxContent>
                  <w:p w:rsidR="00200FDA" w:rsidRDefault="00F76C4C">
                    <w:pPr>
                      <w:spacing w:before="136"/>
                      <w:ind w:left="202"/>
                      <w:rPr>
                        <w:b/>
                        <w:i/>
                        <w:sz w:val="34"/>
                      </w:rPr>
                    </w:pPr>
                    <w:r>
                      <w:rPr>
                        <w:b/>
                        <w:i/>
                        <w:spacing w:val="11"/>
                        <w:w w:val="130"/>
                        <w:sz w:val="34"/>
                      </w:rPr>
                      <w:t>LEGISLATION</w:t>
                    </w:r>
                  </w:p>
                  <w:p w:rsidR="00200FDA" w:rsidRDefault="00F76C4C">
                    <w:pPr>
                      <w:spacing w:before="122" w:line="537" w:lineRule="auto"/>
                      <w:ind w:left="211"/>
                      <w:rPr>
                        <w:rFonts w:ascii="Georgia"/>
                        <w:sz w:val="20"/>
                      </w:rPr>
                    </w:pPr>
                    <w:r>
                      <w:rPr>
                        <w:rFonts w:ascii="Georgia"/>
                        <w:sz w:val="20"/>
                      </w:rPr>
                      <w:t>S.1242/H.1981: Overdose Prevention Centers S.619/H.1085:</w:t>
                    </w:r>
                    <w:r>
                      <w:rPr>
                        <w:rFonts w:ascii="Georgia"/>
                        <w:spacing w:val="-9"/>
                        <w:sz w:val="20"/>
                      </w:rPr>
                      <w:t xml:space="preserve"> </w:t>
                    </w:r>
                    <w:r>
                      <w:rPr>
                        <w:rFonts w:ascii="Georgia"/>
                        <w:sz w:val="20"/>
                      </w:rPr>
                      <w:t>Access</w:t>
                    </w:r>
                    <w:r>
                      <w:rPr>
                        <w:rFonts w:ascii="Georgia"/>
                        <w:spacing w:val="-9"/>
                        <w:sz w:val="20"/>
                      </w:rPr>
                      <w:t xml:space="preserve"> </w:t>
                    </w:r>
                    <w:r>
                      <w:rPr>
                        <w:rFonts w:ascii="Georgia"/>
                        <w:sz w:val="20"/>
                      </w:rPr>
                      <w:t>to</w:t>
                    </w:r>
                    <w:r>
                      <w:rPr>
                        <w:rFonts w:ascii="Georgia"/>
                        <w:spacing w:val="-9"/>
                        <w:sz w:val="20"/>
                      </w:rPr>
                      <w:t xml:space="preserve"> </w:t>
                    </w:r>
                    <w:r>
                      <w:rPr>
                        <w:rFonts w:ascii="Georgia"/>
                        <w:sz w:val="20"/>
                      </w:rPr>
                      <w:t>HIV</w:t>
                    </w:r>
                    <w:r>
                      <w:rPr>
                        <w:rFonts w:ascii="Georgia"/>
                        <w:spacing w:val="-9"/>
                        <w:sz w:val="20"/>
                      </w:rPr>
                      <w:t xml:space="preserve"> </w:t>
                    </w:r>
                    <w:r>
                      <w:rPr>
                        <w:rFonts w:ascii="Georgia"/>
                        <w:sz w:val="20"/>
                      </w:rPr>
                      <w:t>Prevention</w:t>
                    </w:r>
                    <w:r>
                      <w:rPr>
                        <w:rFonts w:ascii="Georgia"/>
                        <w:spacing w:val="-9"/>
                        <w:sz w:val="20"/>
                      </w:rPr>
                      <w:t xml:space="preserve"> </w:t>
                    </w:r>
                    <w:r>
                      <w:rPr>
                        <w:rFonts w:ascii="Georgia"/>
                        <w:sz w:val="20"/>
                      </w:rPr>
                      <w:t>Medication</w:t>
                    </w:r>
                  </w:p>
                </w:txbxContent>
              </v:textbox>
            </v:shape>
            <w10:anchorlock/>
          </v:group>
        </w:pict>
      </w:r>
      <w:r>
        <w:rPr>
          <w:rFonts w:ascii="Georgia"/>
          <w:position w:val="81"/>
          <w:sz w:val="20"/>
        </w:rPr>
        <w:tab/>
      </w:r>
      <w:r>
        <w:rPr>
          <w:rFonts w:ascii="Georgia"/>
          <w:noProof/>
          <w:sz w:val="20"/>
        </w:rPr>
        <w:drawing>
          <wp:inline distT="0" distB="0" distL="0" distR="0">
            <wp:extent cx="3121626" cy="2195512"/>
            <wp:effectExtent l="0" t="0" r="0" b="0"/>
            <wp:docPr id="27"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8.png"/>
                    <pic:cNvPicPr/>
                  </pic:nvPicPr>
                  <pic:blipFill>
                    <a:blip r:embed="rId223" cstate="print"/>
                    <a:stretch>
                      <a:fillRect/>
                    </a:stretch>
                  </pic:blipFill>
                  <pic:spPr>
                    <a:xfrm>
                      <a:off x="0" y="0"/>
                      <a:ext cx="3121626" cy="2195512"/>
                    </a:xfrm>
                    <a:prstGeom prst="rect">
                      <a:avLst/>
                    </a:prstGeom>
                  </pic:spPr>
                </pic:pic>
              </a:graphicData>
            </a:graphic>
          </wp:inline>
        </w:drawing>
      </w:r>
    </w:p>
    <w:p w:rsidR="00200FDA" w:rsidRDefault="00200FDA">
      <w:pPr>
        <w:rPr>
          <w:rFonts w:ascii="Georgia"/>
          <w:sz w:val="20"/>
        </w:rPr>
        <w:sectPr w:rsidR="00200FDA">
          <w:type w:val="continuous"/>
          <w:pgSz w:w="12240" w:h="15840"/>
          <w:pgMar w:top="720" w:right="340" w:bottom="280" w:left="920" w:header="0" w:footer="0" w:gutter="0"/>
          <w:cols w:space="720"/>
        </w:sectPr>
      </w:pPr>
    </w:p>
    <w:bookmarkStart w:id="351" w:name="MH_Report_-_Edited.pdf"/>
    <w:bookmarkStart w:id="352" w:name="Supporting_Mental_Health"/>
    <w:bookmarkStart w:id="353" w:name="_bookmark254"/>
    <w:bookmarkEnd w:id="351"/>
    <w:bookmarkEnd w:id="352"/>
    <w:bookmarkEnd w:id="353"/>
    <w:p w:rsidR="00200FDA" w:rsidRDefault="00F76C4C">
      <w:pPr>
        <w:spacing w:before="67"/>
        <w:ind w:left="140"/>
        <w:rPr>
          <w:sz w:val="32"/>
        </w:rPr>
      </w:pPr>
      <w:r>
        <w:lastRenderedPageBreak/>
        <w:fldChar w:fldCharType="begin"/>
      </w:r>
      <w:r>
        <w:instrText xml:space="preserve"> HYPERLINK \l "_bookmark2" </w:instrText>
      </w:r>
      <w:r>
        <w:fldChar w:fldCharType="separate"/>
      </w:r>
      <w:r>
        <w:rPr>
          <w:color w:val="0A5293"/>
          <w:sz w:val="32"/>
        </w:rPr>
        <w:t>Supporting</w:t>
      </w:r>
      <w:r>
        <w:rPr>
          <w:color w:val="0A5293"/>
          <w:spacing w:val="-13"/>
          <w:sz w:val="32"/>
        </w:rPr>
        <w:t xml:space="preserve"> </w:t>
      </w:r>
      <w:r>
        <w:rPr>
          <w:color w:val="0A5293"/>
          <w:sz w:val="32"/>
        </w:rPr>
        <w:t>Mental</w:t>
      </w:r>
      <w:r>
        <w:rPr>
          <w:color w:val="0A5293"/>
          <w:spacing w:val="-13"/>
          <w:sz w:val="32"/>
        </w:rPr>
        <w:t xml:space="preserve"> </w:t>
      </w:r>
      <w:r>
        <w:rPr>
          <w:color w:val="0A5293"/>
          <w:spacing w:val="-2"/>
          <w:sz w:val="32"/>
        </w:rPr>
        <w:t>Health</w:t>
      </w:r>
      <w:r>
        <w:rPr>
          <w:color w:val="0A5293"/>
          <w:spacing w:val="-2"/>
          <w:sz w:val="32"/>
        </w:rPr>
        <w:fldChar w:fldCharType="end"/>
      </w:r>
    </w:p>
    <w:p w:rsidR="00200FDA" w:rsidRDefault="00F76C4C">
      <w:pPr>
        <w:pStyle w:val="BodyText"/>
        <w:spacing w:before="4"/>
        <w:rPr>
          <w:sz w:val="4"/>
        </w:rPr>
      </w:pPr>
      <w:r>
        <w:pict>
          <v:rect id="docshape272" o:spid="_x0000_s1301" style="position:absolute;margin-left:70.55pt;margin-top:3.9pt;width:470.9pt;height:.5pt;z-index:-15700992;mso-wrap-distance-left:0;mso-wrap-distance-right:0;mso-position-horizontal-relative:page" fillcolor="#0f6ec5" stroked="f">
            <w10:wrap type="topAndBottom" anchorx="page"/>
          </v:rect>
        </w:pict>
      </w:r>
    </w:p>
    <w:p w:rsidR="00200FDA" w:rsidRDefault="00200FDA">
      <w:pPr>
        <w:pStyle w:val="BodyText"/>
        <w:rPr>
          <w:sz w:val="20"/>
        </w:rPr>
      </w:pPr>
    </w:p>
    <w:p w:rsidR="00200FDA" w:rsidRDefault="00F76C4C">
      <w:pPr>
        <w:pStyle w:val="Heading7"/>
        <w:spacing w:before="173"/>
        <w:ind w:left="140"/>
      </w:pPr>
      <w:r>
        <w:rPr>
          <w:color w:val="0A5293"/>
          <w:spacing w:val="-2"/>
        </w:rPr>
        <w:t>Introduction</w:t>
      </w:r>
    </w:p>
    <w:p w:rsidR="00200FDA" w:rsidRDefault="00F76C4C">
      <w:pPr>
        <w:pStyle w:val="BodyText"/>
        <w:spacing w:before="6"/>
        <w:rPr>
          <w:sz w:val="3"/>
        </w:rPr>
      </w:pPr>
      <w:r>
        <w:pict>
          <v:rect id="docshape273" o:spid="_x0000_s1300" style="position:absolute;margin-left:70.55pt;margin-top:3.35pt;width:470.9pt;height:.5pt;z-index:-15700480;mso-wrap-distance-left:0;mso-wrap-distance-right:0;mso-position-horizontal-relative:page" fillcolor="#0f6ec5" stroked="f">
            <w10:wrap type="topAndBottom" anchorx="page"/>
          </v:rect>
        </w:pict>
      </w:r>
    </w:p>
    <w:p w:rsidR="00200FDA" w:rsidRDefault="00200FDA">
      <w:pPr>
        <w:pStyle w:val="BodyText"/>
        <w:rPr>
          <w:sz w:val="20"/>
        </w:rPr>
      </w:pPr>
    </w:p>
    <w:p w:rsidR="00200FDA" w:rsidRDefault="00200FDA">
      <w:pPr>
        <w:pStyle w:val="BodyText"/>
        <w:spacing w:before="3"/>
        <w:rPr>
          <w:sz w:val="17"/>
        </w:rPr>
      </w:pPr>
    </w:p>
    <w:p w:rsidR="00200FDA" w:rsidRDefault="00F76C4C">
      <w:pPr>
        <w:spacing w:line="276" w:lineRule="auto"/>
        <w:ind w:left="139" w:right="254"/>
        <w:jc w:val="both"/>
        <w:rPr>
          <w:sz w:val="21"/>
        </w:rPr>
      </w:pPr>
      <w:r>
        <w:rPr>
          <w:sz w:val="21"/>
        </w:rPr>
        <w:t>The personal is political – and that includes mental health, too. Across the Commonwealth, LGBTQ youth mental health is in crisis. Last year, LGBTQ youth reported alarmingly high levels of depression, anxiety, suicidality, and trauma, yet most who wanted m</w:t>
      </w:r>
      <w:r>
        <w:rPr>
          <w:sz w:val="21"/>
        </w:rPr>
        <w:t>ental healthcare did not receive it. In this report, the Commission discusses ways that allies across many fields can promote evidence-based, intersectional, and trauma-informed</w:t>
      </w:r>
      <w:r>
        <w:rPr>
          <w:spacing w:val="-8"/>
          <w:sz w:val="21"/>
        </w:rPr>
        <w:t xml:space="preserve"> </w:t>
      </w:r>
      <w:r>
        <w:rPr>
          <w:sz w:val="21"/>
        </w:rPr>
        <w:t>mental</w:t>
      </w:r>
      <w:r>
        <w:rPr>
          <w:spacing w:val="-8"/>
          <w:sz w:val="21"/>
        </w:rPr>
        <w:t xml:space="preserve"> </w:t>
      </w:r>
      <w:r>
        <w:rPr>
          <w:sz w:val="21"/>
        </w:rPr>
        <w:t>healthcare</w:t>
      </w:r>
      <w:r>
        <w:rPr>
          <w:spacing w:val="-7"/>
          <w:sz w:val="21"/>
        </w:rPr>
        <w:t xml:space="preserve"> </w:t>
      </w:r>
      <w:r>
        <w:rPr>
          <w:sz w:val="21"/>
        </w:rPr>
        <w:t>for</w:t>
      </w:r>
      <w:r>
        <w:rPr>
          <w:spacing w:val="-7"/>
          <w:sz w:val="21"/>
        </w:rPr>
        <w:t xml:space="preserve"> </w:t>
      </w:r>
      <w:r>
        <w:rPr>
          <w:sz w:val="21"/>
        </w:rPr>
        <w:t>LGBTQ</w:t>
      </w:r>
      <w:r>
        <w:rPr>
          <w:spacing w:val="-10"/>
          <w:sz w:val="21"/>
        </w:rPr>
        <w:t xml:space="preserve"> </w:t>
      </w:r>
      <w:r>
        <w:rPr>
          <w:sz w:val="21"/>
        </w:rPr>
        <w:t>youth,</w:t>
      </w:r>
      <w:r>
        <w:rPr>
          <w:spacing w:val="-8"/>
          <w:sz w:val="21"/>
        </w:rPr>
        <w:t xml:space="preserve"> </w:t>
      </w:r>
      <w:r>
        <w:rPr>
          <w:sz w:val="21"/>
        </w:rPr>
        <w:t>all</w:t>
      </w:r>
      <w:r>
        <w:rPr>
          <w:spacing w:val="-10"/>
          <w:sz w:val="21"/>
        </w:rPr>
        <w:t xml:space="preserve"> </w:t>
      </w:r>
      <w:r>
        <w:rPr>
          <w:sz w:val="21"/>
        </w:rPr>
        <w:t>while</w:t>
      </w:r>
      <w:r>
        <w:rPr>
          <w:spacing w:val="-10"/>
          <w:sz w:val="21"/>
        </w:rPr>
        <w:t xml:space="preserve"> </w:t>
      </w:r>
      <w:r>
        <w:rPr>
          <w:sz w:val="21"/>
        </w:rPr>
        <w:t>highlighting</w:t>
      </w:r>
      <w:r>
        <w:rPr>
          <w:spacing w:val="-9"/>
          <w:sz w:val="21"/>
        </w:rPr>
        <w:t xml:space="preserve"> </w:t>
      </w:r>
      <w:r>
        <w:rPr>
          <w:sz w:val="21"/>
        </w:rPr>
        <w:t>youths’</w:t>
      </w:r>
      <w:r>
        <w:rPr>
          <w:spacing w:val="-8"/>
          <w:sz w:val="21"/>
        </w:rPr>
        <w:t xml:space="preserve"> </w:t>
      </w:r>
      <w:r>
        <w:rPr>
          <w:sz w:val="21"/>
        </w:rPr>
        <w:t>voices</w:t>
      </w:r>
      <w:r>
        <w:rPr>
          <w:spacing w:val="-9"/>
          <w:sz w:val="21"/>
        </w:rPr>
        <w:t xml:space="preserve"> </w:t>
      </w:r>
      <w:r>
        <w:rPr>
          <w:sz w:val="21"/>
        </w:rPr>
        <w:t>and</w:t>
      </w:r>
      <w:r>
        <w:rPr>
          <w:spacing w:val="-8"/>
          <w:sz w:val="21"/>
        </w:rPr>
        <w:t xml:space="preserve"> </w:t>
      </w:r>
      <w:r>
        <w:rPr>
          <w:sz w:val="21"/>
        </w:rPr>
        <w:t>strengths.</w:t>
      </w:r>
      <w:r>
        <w:rPr>
          <w:spacing w:val="-8"/>
          <w:sz w:val="21"/>
        </w:rPr>
        <w:t xml:space="preserve"> </w:t>
      </w:r>
      <w:r>
        <w:rPr>
          <w:sz w:val="21"/>
        </w:rPr>
        <w:t>From the classroom to the campaign trail, discrimination wears down LGBTQ youths’ physical, social, and mental health</w:t>
      </w:r>
      <w:r>
        <w:rPr>
          <w:spacing w:val="-6"/>
          <w:sz w:val="21"/>
        </w:rPr>
        <w:t xml:space="preserve"> </w:t>
      </w:r>
      <w:r>
        <w:rPr>
          <w:sz w:val="21"/>
        </w:rPr>
        <w:t>on</w:t>
      </w:r>
      <w:r>
        <w:rPr>
          <w:spacing w:val="-7"/>
          <w:sz w:val="21"/>
        </w:rPr>
        <w:t xml:space="preserve"> </w:t>
      </w:r>
      <w:r>
        <w:rPr>
          <w:sz w:val="21"/>
        </w:rPr>
        <w:t>an</w:t>
      </w:r>
      <w:r>
        <w:rPr>
          <w:spacing w:val="-7"/>
          <w:sz w:val="21"/>
        </w:rPr>
        <w:t xml:space="preserve"> </w:t>
      </w:r>
      <w:r>
        <w:rPr>
          <w:sz w:val="21"/>
        </w:rPr>
        <w:t>everyday</w:t>
      </w:r>
      <w:r>
        <w:rPr>
          <w:spacing w:val="-6"/>
          <w:sz w:val="21"/>
        </w:rPr>
        <w:t xml:space="preserve"> </w:t>
      </w:r>
      <w:r>
        <w:rPr>
          <w:sz w:val="21"/>
        </w:rPr>
        <w:t>basis;</w:t>
      </w:r>
      <w:r>
        <w:rPr>
          <w:spacing w:val="-8"/>
          <w:sz w:val="21"/>
        </w:rPr>
        <w:t xml:space="preserve"> </w:t>
      </w:r>
      <w:r>
        <w:rPr>
          <w:sz w:val="21"/>
        </w:rPr>
        <w:t>LGBTQ</w:t>
      </w:r>
      <w:r>
        <w:rPr>
          <w:spacing w:val="-7"/>
          <w:sz w:val="21"/>
        </w:rPr>
        <w:t xml:space="preserve"> </w:t>
      </w:r>
      <w:r>
        <w:rPr>
          <w:sz w:val="21"/>
        </w:rPr>
        <w:t>youth</w:t>
      </w:r>
      <w:r>
        <w:rPr>
          <w:spacing w:val="-6"/>
          <w:sz w:val="21"/>
        </w:rPr>
        <w:t xml:space="preserve"> </w:t>
      </w:r>
      <w:r>
        <w:rPr>
          <w:sz w:val="21"/>
        </w:rPr>
        <w:t>mental</w:t>
      </w:r>
      <w:r>
        <w:rPr>
          <w:spacing w:val="-6"/>
          <w:sz w:val="21"/>
        </w:rPr>
        <w:t xml:space="preserve"> </w:t>
      </w:r>
      <w:r>
        <w:rPr>
          <w:sz w:val="21"/>
        </w:rPr>
        <w:t>health</w:t>
      </w:r>
      <w:r>
        <w:rPr>
          <w:spacing w:val="-6"/>
          <w:sz w:val="21"/>
        </w:rPr>
        <w:t xml:space="preserve"> </w:t>
      </w:r>
      <w:r>
        <w:rPr>
          <w:sz w:val="21"/>
        </w:rPr>
        <w:t>is</w:t>
      </w:r>
      <w:r>
        <w:rPr>
          <w:spacing w:val="-6"/>
          <w:sz w:val="21"/>
        </w:rPr>
        <w:t xml:space="preserve"> </w:t>
      </w:r>
      <w:r>
        <w:rPr>
          <w:sz w:val="21"/>
        </w:rPr>
        <w:t>a</w:t>
      </w:r>
      <w:r>
        <w:rPr>
          <w:spacing w:val="-6"/>
          <w:sz w:val="21"/>
        </w:rPr>
        <w:t xml:space="preserve"> </w:t>
      </w:r>
      <w:r>
        <w:rPr>
          <w:sz w:val="21"/>
        </w:rPr>
        <w:t>community-wide</w:t>
      </w:r>
      <w:r>
        <w:rPr>
          <w:spacing w:val="-6"/>
          <w:sz w:val="21"/>
        </w:rPr>
        <w:t xml:space="preserve"> </w:t>
      </w:r>
      <w:r>
        <w:rPr>
          <w:sz w:val="21"/>
        </w:rPr>
        <w:t>issue</w:t>
      </w:r>
      <w:r>
        <w:rPr>
          <w:spacing w:val="-6"/>
          <w:sz w:val="21"/>
        </w:rPr>
        <w:t xml:space="preserve"> </w:t>
      </w:r>
      <w:r>
        <w:rPr>
          <w:sz w:val="21"/>
        </w:rPr>
        <w:t>that</w:t>
      </w:r>
      <w:r>
        <w:rPr>
          <w:spacing w:val="-6"/>
          <w:sz w:val="21"/>
        </w:rPr>
        <w:t xml:space="preserve"> </w:t>
      </w:r>
      <w:r>
        <w:rPr>
          <w:sz w:val="21"/>
        </w:rPr>
        <w:t>deserves</w:t>
      </w:r>
      <w:r>
        <w:rPr>
          <w:spacing w:val="-6"/>
          <w:sz w:val="21"/>
        </w:rPr>
        <w:t xml:space="preserve"> </w:t>
      </w:r>
      <w:r>
        <w:rPr>
          <w:sz w:val="21"/>
        </w:rPr>
        <w:t>community- based solutions – and everyo</w:t>
      </w:r>
      <w:r>
        <w:rPr>
          <w:sz w:val="21"/>
        </w:rPr>
        <w:t>ne has a part to play. For this dedicated section on mental health, the Commission’s recommendations center around three key principles: recognize that discrimination causes trauma,</w:t>
      </w:r>
      <w:r>
        <w:rPr>
          <w:spacing w:val="-2"/>
          <w:sz w:val="21"/>
        </w:rPr>
        <w:t xml:space="preserve"> </w:t>
      </w:r>
      <w:r>
        <w:rPr>
          <w:sz w:val="21"/>
        </w:rPr>
        <w:t>invest</w:t>
      </w:r>
      <w:r>
        <w:rPr>
          <w:spacing w:val="-3"/>
          <w:sz w:val="21"/>
        </w:rPr>
        <w:t xml:space="preserve"> </w:t>
      </w:r>
      <w:r>
        <w:rPr>
          <w:sz w:val="21"/>
        </w:rPr>
        <w:t>in</w:t>
      </w:r>
      <w:r>
        <w:rPr>
          <w:spacing w:val="-3"/>
          <w:sz w:val="21"/>
        </w:rPr>
        <w:t xml:space="preserve"> </w:t>
      </w:r>
      <w:r>
        <w:rPr>
          <w:sz w:val="21"/>
        </w:rPr>
        <w:t>early</w:t>
      </w:r>
      <w:r>
        <w:rPr>
          <w:spacing w:val="-2"/>
          <w:sz w:val="21"/>
        </w:rPr>
        <w:t xml:space="preserve"> </w:t>
      </w:r>
      <w:r>
        <w:rPr>
          <w:sz w:val="21"/>
        </w:rPr>
        <w:t>intervention,</w:t>
      </w:r>
      <w:r>
        <w:rPr>
          <w:spacing w:val="-2"/>
          <w:sz w:val="21"/>
        </w:rPr>
        <w:t xml:space="preserve"> </w:t>
      </w:r>
      <w:r>
        <w:rPr>
          <w:sz w:val="21"/>
        </w:rPr>
        <w:t>and</w:t>
      </w:r>
      <w:r>
        <w:rPr>
          <w:spacing w:val="-3"/>
          <w:sz w:val="21"/>
        </w:rPr>
        <w:t xml:space="preserve"> </w:t>
      </w:r>
      <w:r>
        <w:rPr>
          <w:sz w:val="21"/>
        </w:rPr>
        <w:t>fuel</w:t>
      </w:r>
      <w:r>
        <w:rPr>
          <w:spacing w:val="-2"/>
          <w:sz w:val="21"/>
        </w:rPr>
        <w:t xml:space="preserve"> </w:t>
      </w:r>
      <w:r>
        <w:rPr>
          <w:sz w:val="21"/>
        </w:rPr>
        <w:t>systemic</w:t>
      </w:r>
      <w:r>
        <w:rPr>
          <w:spacing w:val="-3"/>
          <w:sz w:val="21"/>
        </w:rPr>
        <w:t xml:space="preserve"> </w:t>
      </w:r>
      <w:r>
        <w:rPr>
          <w:sz w:val="21"/>
        </w:rPr>
        <w:t>change</w:t>
      </w:r>
      <w:r>
        <w:rPr>
          <w:spacing w:val="-1"/>
          <w:sz w:val="21"/>
        </w:rPr>
        <w:t xml:space="preserve"> </w:t>
      </w:r>
      <w:r>
        <w:rPr>
          <w:sz w:val="21"/>
        </w:rPr>
        <w:t>rather</w:t>
      </w:r>
      <w:r>
        <w:rPr>
          <w:spacing w:val="-1"/>
          <w:sz w:val="21"/>
        </w:rPr>
        <w:t xml:space="preserve"> </w:t>
      </w:r>
      <w:r>
        <w:rPr>
          <w:sz w:val="21"/>
        </w:rPr>
        <w:t>than</w:t>
      </w:r>
      <w:r>
        <w:rPr>
          <w:spacing w:val="-3"/>
          <w:sz w:val="21"/>
        </w:rPr>
        <w:t xml:space="preserve"> </w:t>
      </w:r>
      <w:r>
        <w:rPr>
          <w:sz w:val="21"/>
        </w:rPr>
        <w:t>focusin</w:t>
      </w:r>
      <w:r>
        <w:rPr>
          <w:sz w:val="21"/>
        </w:rPr>
        <w:t>g</w:t>
      </w:r>
      <w:r>
        <w:rPr>
          <w:spacing w:val="-5"/>
          <w:sz w:val="21"/>
        </w:rPr>
        <w:t xml:space="preserve"> </w:t>
      </w:r>
      <w:r>
        <w:rPr>
          <w:sz w:val="21"/>
        </w:rPr>
        <w:t>only</w:t>
      </w:r>
      <w:r>
        <w:rPr>
          <w:spacing w:val="-2"/>
          <w:sz w:val="21"/>
        </w:rPr>
        <w:t xml:space="preserve"> </w:t>
      </w:r>
      <w:r>
        <w:rPr>
          <w:sz w:val="21"/>
        </w:rPr>
        <w:t>on</w:t>
      </w:r>
      <w:r>
        <w:rPr>
          <w:spacing w:val="-3"/>
          <w:sz w:val="21"/>
        </w:rPr>
        <w:t xml:space="preserve"> </w:t>
      </w:r>
      <w:r>
        <w:rPr>
          <w:sz w:val="21"/>
        </w:rPr>
        <w:t>individual</w:t>
      </w:r>
      <w:r>
        <w:rPr>
          <w:spacing w:val="-2"/>
          <w:sz w:val="21"/>
        </w:rPr>
        <w:t xml:space="preserve"> </w:t>
      </w:r>
      <w:r>
        <w:rPr>
          <w:sz w:val="21"/>
        </w:rPr>
        <w:t>therapy.</w:t>
      </w:r>
    </w:p>
    <w:p w:rsidR="00200FDA" w:rsidRDefault="00200FDA">
      <w:pPr>
        <w:pStyle w:val="BodyText"/>
        <w:spacing w:before="2"/>
        <w:rPr>
          <w:sz w:val="23"/>
        </w:rPr>
      </w:pPr>
    </w:p>
    <w:p w:rsidR="00200FDA" w:rsidRDefault="00F76C4C">
      <w:pPr>
        <w:spacing w:line="276" w:lineRule="auto"/>
        <w:ind w:left="1245" w:right="1363"/>
        <w:jc w:val="center"/>
        <w:rPr>
          <w:sz w:val="24"/>
        </w:rPr>
      </w:pPr>
      <w:r>
        <w:rPr>
          <w:color w:val="0F6EC5"/>
          <w:sz w:val="24"/>
        </w:rPr>
        <w:t>“If</w:t>
      </w:r>
      <w:r>
        <w:rPr>
          <w:color w:val="0F6EC5"/>
          <w:spacing w:val="-1"/>
          <w:sz w:val="24"/>
        </w:rPr>
        <w:t xml:space="preserve"> </w:t>
      </w:r>
      <w:r>
        <w:rPr>
          <w:color w:val="0F6EC5"/>
          <w:sz w:val="24"/>
        </w:rPr>
        <w:t>I</w:t>
      </w:r>
      <w:r>
        <w:rPr>
          <w:color w:val="0F6EC5"/>
          <w:spacing w:val="-3"/>
          <w:sz w:val="24"/>
        </w:rPr>
        <w:t xml:space="preserve"> </w:t>
      </w:r>
      <w:r>
        <w:rPr>
          <w:color w:val="0F6EC5"/>
          <w:sz w:val="24"/>
        </w:rPr>
        <w:t>am</w:t>
      </w:r>
      <w:r>
        <w:rPr>
          <w:color w:val="0F6EC5"/>
          <w:spacing w:val="-5"/>
          <w:sz w:val="24"/>
        </w:rPr>
        <w:t xml:space="preserve"> </w:t>
      </w:r>
      <w:r>
        <w:rPr>
          <w:color w:val="0F6EC5"/>
          <w:sz w:val="24"/>
        </w:rPr>
        <w:t>depressed</w:t>
      </w:r>
      <w:r>
        <w:rPr>
          <w:color w:val="0F6EC5"/>
          <w:spacing w:val="-1"/>
          <w:sz w:val="24"/>
        </w:rPr>
        <w:t xml:space="preserve"> </w:t>
      </w:r>
      <w:r>
        <w:rPr>
          <w:color w:val="0F6EC5"/>
          <w:sz w:val="24"/>
        </w:rPr>
        <w:t>or</w:t>
      </w:r>
      <w:r>
        <w:rPr>
          <w:color w:val="0F6EC5"/>
          <w:spacing w:val="-5"/>
          <w:sz w:val="24"/>
        </w:rPr>
        <w:t xml:space="preserve"> </w:t>
      </w:r>
      <w:r>
        <w:rPr>
          <w:color w:val="0F6EC5"/>
          <w:sz w:val="24"/>
        </w:rPr>
        <w:t>anxious,</w:t>
      </w:r>
      <w:r>
        <w:rPr>
          <w:color w:val="0F6EC5"/>
          <w:spacing w:val="-2"/>
          <w:sz w:val="24"/>
        </w:rPr>
        <w:t xml:space="preserve"> </w:t>
      </w:r>
      <w:r>
        <w:rPr>
          <w:color w:val="0F6EC5"/>
          <w:sz w:val="24"/>
        </w:rPr>
        <w:t>it’s</w:t>
      </w:r>
      <w:r>
        <w:rPr>
          <w:color w:val="0F6EC5"/>
          <w:spacing w:val="-3"/>
          <w:sz w:val="24"/>
        </w:rPr>
        <w:t xml:space="preserve"> </w:t>
      </w:r>
      <w:r>
        <w:rPr>
          <w:color w:val="0F6EC5"/>
          <w:sz w:val="24"/>
        </w:rPr>
        <w:t>likely</w:t>
      </w:r>
      <w:r>
        <w:rPr>
          <w:color w:val="0F6EC5"/>
          <w:spacing w:val="-3"/>
          <w:sz w:val="24"/>
        </w:rPr>
        <w:t xml:space="preserve"> </w:t>
      </w:r>
      <w:r>
        <w:rPr>
          <w:color w:val="0F6EC5"/>
          <w:sz w:val="24"/>
        </w:rPr>
        <w:t>not</w:t>
      </w:r>
      <w:r>
        <w:rPr>
          <w:color w:val="0F6EC5"/>
          <w:spacing w:val="-4"/>
          <w:sz w:val="24"/>
        </w:rPr>
        <w:t xml:space="preserve"> </w:t>
      </w:r>
      <w:r>
        <w:rPr>
          <w:color w:val="0F6EC5"/>
          <w:sz w:val="24"/>
        </w:rPr>
        <w:t>because</w:t>
      </w:r>
      <w:r>
        <w:rPr>
          <w:color w:val="0F6EC5"/>
          <w:spacing w:val="-2"/>
          <w:sz w:val="24"/>
        </w:rPr>
        <w:t xml:space="preserve"> </w:t>
      </w:r>
      <w:r>
        <w:rPr>
          <w:color w:val="0F6EC5"/>
          <w:sz w:val="24"/>
        </w:rPr>
        <w:t>I</w:t>
      </w:r>
      <w:r>
        <w:rPr>
          <w:color w:val="0F6EC5"/>
          <w:spacing w:val="-3"/>
          <w:sz w:val="24"/>
        </w:rPr>
        <w:t xml:space="preserve"> </w:t>
      </w:r>
      <w:r>
        <w:rPr>
          <w:color w:val="0F6EC5"/>
          <w:sz w:val="24"/>
        </w:rPr>
        <w:t>have</w:t>
      </w:r>
      <w:r>
        <w:rPr>
          <w:color w:val="0F6EC5"/>
          <w:spacing w:val="-4"/>
          <w:sz w:val="24"/>
        </w:rPr>
        <w:t xml:space="preserve"> </w:t>
      </w:r>
      <w:r>
        <w:rPr>
          <w:color w:val="0F6EC5"/>
          <w:sz w:val="24"/>
        </w:rPr>
        <w:t>issues</w:t>
      </w:r>
      <w:r>
        <w:rPr>
          <w:color w:val="0F6EC5"/>
          <w:spacing w:val="-5"/>
          <w:sz w:val="24"/>
        </w:rPr>
        <w:t xml:space="preserve"> </w:t>
      </w:r>
      <w:r>
        <w:rPr>
          <w:color w:val="0F6EC5"/>
          <w:sz w:val="24"/>
        </w:rPr>
        <w:t>with</w:t>
      </w:r>
      <w:r>
        <w:rPr>
          <w:color w:val="0F6EC5"/>
          <w:spacing w:val="-4"/>
          <w:sz w:val="24"/>
        </w:rPr>
        <w:t xml:space="preserve"> </w:t>
      </w:r>
      <w:r>
        <w:rPr>
          <w:color w:val="0F6EC5"/>
          <w:sz w:val="24"/>
        </w:rPr>
        <w:t>my gender identity, but because everyone else does.” –</w:t>
      </w:r>
    </w:p>
    <w:p w:rsidR="00200FDA" w:rsidRDefault="00F76C4C">
      <w:pPr>
        <w:spacing w:line="291" w:lineRule="exact"/>
        <w:ind w:left="3247" w:right="3366"/>
        <w:jc w:val="center"/>
        <w:rPr>
          <w:sz w:val="24"/>
        </w:rPr>
      </w:pPr>
      <w:r>
        <w:rPr>
          <w:color w:val="0F6EC5"/>
          <w:sz w:val="24"/>
        </w:rPr>
        <w:t>Youth from</w:t>
      </w:r>
      <w:r>
        <w:rPr>
          <w:color w:val="0F6EC5"/>
          <w:spacing w:val="-1"/>
          <w:sz w:val="24"/>
        </w:rPr>
        <w:t xml:space="preserve"> </w:t>
      </w:r>
      <w:r>
        <w:rPr>
          <w:color w:val="0F6EC5"/>
          <w:sz w:val="24"/>
        </w:rPr>
        <w:t>New England,</w:t>
      </w:r>
      <w:hyperlink w:anchor="_bookmark255" w:history="1">
        <w:r>
          <w:rPr>
            <w:color w:val="0F6EC5"/>
            <w:sz w:val="24"/>
            <w:vertAlign w:val="superscript"/>
          </w:rPr>
          <w:t>1</w:t>
        </w:r>
      </w:hyperlink>
      <w:r>
        <w:rPr>
          <w:color w:val="0F6EC5"/>
          <w:spacing w:val="2"/>
          <w:sz w:val="24"/>
        </w:rPr>
        <w:t xml:space="preserve"> </w:t>
      </w:r>
      <w:r>
        <w:rPr>
          <w:color w:val="0F6EC5"/>
          <w:spacing w:val="-4"/>
          <w:sz w:val="24"/>
        </w:rPr>
        <w:t>2017</w:t>
      </w:r>
    </w:p>
    <w:p w:rsidR="00200FDA" w:rsidRDefault="00200FDA">
      <w:pPr>
        <w:pStyle w:val="BodyText"/>
        <w:spacing w:before="7"/>
        <w:rPr>
          <w:sz w:val="36"/>
        </w:rPr>
      </w:pPr>
    </w:p>
    <w:p w:rsidR="00200FDA" w:rsidRDefault="00F76C4C">
      <w:pPr>
        <w:pStyle w:val="Heading7"/>
        <w:ind w:left="140"/>
        <w:jc w:val="both"/>
      </w:pPr>
      <w:r>
        <w:rPr>
          <w:color w:val="0A5293"/>
        </w:rPr>
        <w:t>FY</w:t>
      </w:r>
      <w:r>
        <w:rPr>
          <w:color w:val="0A5293"/>
          <w:spacing w:val="-7"/>
        </w:rPr>
        <w:t xml:space="preserve"> </w:t>
      </w:r>
      <w:r>
        <w:rPr>
          <w:color w:val="0A5293"/>
        </w:rPr>
        <w:t>2024</w:t>
      </w:r>
      <w:r>
        <w:rPr>
          <w:color w:val="0A5293"/>
          <w:spacing w:val="-5"/>
        </w:rPr>
        <w:t xml:space="preserve"> </w:t>
      </w:r>
      <w:r>
        <w:rPr>
          <w:color w:val="0A5293"/>
        </w:rPr>
        <w:t>Recommendations</w:t>
      </w:r>
      <w:r>
        <w:rPr>
          <w:color w:val="0A5293"/>
          <w:spacing w:val="-5"/>
        </w:rPr>
        <w:t xml:space="preserve"> </w:t>
      </w:r>
      <w:r>
        <w:rPr>
          <w:color w:val="0A5293"/>
        </w:rPr>
        <w:t>to</w:t>
      </w:r>
      <w:r>
        <w:rPr>
          <w:color w:val="0A5293"/>
          <w:spacing w:val="-5"/>
        </w:rPr>
        <w:t xml:space="preserve"> </w:t>
      </w:r>
      <w:r>
        <w:rPr>
          <w:color w:val="0A5293"/>
        </w:rPr>
        <w:t>the</w:t>
      </w:r>
      <w:r>
        <w:rPr>
          <w:color w:val="0A5293"/>
          <w:spacing w:val="-5"/>
        </w:rPr>
        <w:t xml:space="preserve"> </w:t>
      </w:r>
      <w:r>
        <w:rPr>
          <w:color w:val="0A5293"/>
        </w:rPr>
        <w:t>Governor</w:t>
      </w:r>
      <w:r>
        <w:rPr>
          <w:color w:val="0A5293"/>
          <w:spacing w:val="-5"/>
        </w:rPr>
        <w:t xml:space="preserve"> </w:t>
      </w:r>
      <w:r>
        <w:rPr>
          <w:color w:val="0A5293"/>
        </w:rPr>
        <w:t>on</w:t>
      </w:r>
      <w:r>
        <w:rPr>
          <w:color w:val="0A5293"/>
          <w:spacing w:val="-6"/>
        </w:rPr>
        <w:t xml:space="preserve"> </w:t>
      </w:r>
      <w:r>
        <w:rPr>
          <w:color w:val="0A5293"/>
        </w:rPr>
        <w:t>Mental</w:t>
      </w:r>
      <w:r>
        <w:rPr>
          <w:color w:val="0A5293"/>
          <w:spacing w:val="-4"/>
        </w:rPr>
        <w:t xml:space="preserve"> </w:t>
      </w:r>
      <w:r>
        <w:rPr>
          <w:color w:val="0A5293"/>
          <w:spacing w:val="-2"/>
        </w:rPr>
        <w:t>Health</w:t>
      </w:r>
    </w:p>
    <w:p w:rsidR="00200FDA" w:rsidRDefault="00F76C4C">
      <w:pPr>
        <w:pStyle w:val="BodyText"/>
        <w:spacing w:before="8"/>
        <w:rPr>
          <w:sz w:val="3"/>
        </w:rPr>
      </w:pPr>
      <w:r>
        <w:pict>
          <v:rect id="docshape274" o:spid="_x0000_s1299" style="position:absolute;margin-left:70.55pt;margin-top:3.45pt;width:470.9pt;height:.5pt;z-index:-15699968;mso-wrap-distance-left:0;mso-wrap-distance-right:0;mso-position-horizontal-relative:page" fillcolor="#0f6ec5" stroked="f">
            <w10:wrap type="topAndBottom" anchorx="page"/>
          </v:rect>
        </w:pict>
      </w:r>
    </w:p>
    <w:p w:rsidR="00200FDA" w:rsidRDefault="00200FDA">
      <w:pPr>
        <w:pStyle w:val="BodyText"/>
        <w:rPr>
          <w:sz w:val="20"/>
        </w:rPr>
      </w:pPr>
    </w:p>
    <w:p w:rsidR="00200FDA" w:rsidRDefault="00200FDA">
      <w:pPr>
        <w:pStyle w:val="BodyText"/>
        <w:spacing w:before="4"/>
      </w:pPr>
    </w:p>
    <w:p w:rsidR="00200FDA" w:rsidRDefault="00F76C4C">
      <w:pPr>
        <w:pStyle w:val="ListParagraph"/>
        <w:numPr>
          <w:ilvl w:val="0"/>
          <w:numId w:val="1"/>
        </w:numPr>
        <w:tabs>
          <w:tab w:val="left" w:pos="378"/>
        </w:tabs>
        <w:spacing w:before="58" w:line="276" w:lineRule="auto"/>
        <w:ind w:right="254" w:firstLine="0"/>
        <w:rPr>
          <w:b/>
          <w:sz w:val="21"/>
        </w:rPr>
      </w:pPr>
      <w:r>
        <w:rPr>
          <w:b/>
          <w:sz w:val="21"/>
        </w:rPr>
        <w:t>Fund more statewide research about mental health and suicide prevention treatment approaches for</w:t>
      </w:r>
      <w:r>
        <w:rPr>
          <w:b/>
          <w:spacing w:val="80"/>
          <w:sz w:val="21"/>
        </w:rPr>
        <w:t xml:space="preserve"> </w:t>
      </w:r>
      <w:r>
        <w:rPr>
          <w:b/>
          <w:sz w:val="21"/>
        </w:rPr>
        <w:t>LGBTQ youth.</w:t>
      </w:r>
    </w:p>
    <w:p w:rsidR="00200FDA" w:rsidRDefault="00200FDA">
      <w:pPr>
        <w:pStyle w:val="BodyText"/>
        <w:spacing w:before="9"/>
        <w:rPr>
          <w:b/>
          <w:sz w:val="19"/>
        </w:rPr>
      </w:pPr>
    </w:p>
    <w:p w:rsidR="00200FDA" w:rsidRDefault="00F76C4C">
      <w:pPr>
        <w:spacing w:line="276" w:lineRule="auto"/>
        <w:ind w:left="140" w:right="254" w:hanging="1"/>
        <w:jc w:val="both"/>
        <w:rPr>
          <w:sz w:val="21"/>
        </w:rPr>
      </w:pPr>
      <w:r>
        <w:rPr>
          <w:sz w:val="21"/>
        </w:rPr>
        <w:t>The Commission strongly recommends that the state fund more in-depth, community-based research on mental health and suicide prevention treatment approaches for LGBTQ youth, particularly those in oft undeserved communities, such as rural youth, undocumented</w:t>
      </w:r>
      <w:r>
        <w:rPr>
          <w:sz w:val="21"/>
        </w:rPr>
        <w:t xml:space="preserve"> youth, disabled youth, and QTBIPOC youth. There is a significant crisis for mental health care across the country, and numerous efforts to mitigate the crisis are underway - however, it is essential that policymakers understand the unique needs of LGBTQ y</w:t>
      </w:r>
      <w:r>
        <w:rPr>
          <w:sz w:val="21"/>
        </w:rPr>
        <w:t>outh and the desperate need for affirming and accessible mental health care. By conducting further needs assessments, the state can better understand potential innovative methods of addressing the mental healthcare crisis, and building capacity within comm</w:t>
      </w:r>
      <w:r>
        <w:rPr>
          <w:sz w:val="21"/>
        </w:rPr>
        <w:t>unities.</w:t>
      </w:r>
    </w:p>
    <w:p w:rsidR="00200FDA" w:rsidRDefault="00200FDA">
      <w:pPr>
        <w:pStyle w:val="BodyText"/>
        <w:spacing w:before="7"/>
        <w:rPr>
          <w:sz w:val="19"/>
        </w:rPr>
      </w:pPr>
    </w:p>
    <w:p w:rsidR="00200FDA" w:rsidRDefault="00F76C4C">
      <w:pPr>
        <w:pStyle w:val="ListParagraph"/>
        <w:numPr>
          <w:ilvl w:val="0"/>
          <w:numId w:val="1"/>
        </w:numPr>
        <w:tabs>
          <w:tab w:val="left" w:pos="352"/>
        </w:tabs>
        <w:ind w:left="351" w:hanging="212"/>
        <w:rPr>
          <w:b/>
          <w:sz w:val="21"/>
        </w:rPr>
      </w:pPr>
      <w:r>
        <w:rPr>
          <w:b/>
          <w:sz w:val="21"/>
        </w:rPr>
        <w:t>Support</w:t>
      </w:r>
      <w:r>
        <w:rPr>
          <w:b/>
          <w:spacing w:val="-7"/>
          <w:sz w:val="21"/>
        </w:rPr>
        <w:t xml:space="preserve"> </w:t>
      </w:r>
      <w:r>
        <w:rPr>
          <w:b/>
          <w:sz w:val="21"/>
        </w:rPr>
        <w:t>reforms</w:t>
      </w:r>
      <w:r>
        <w:rPr>
          <w:b/>
          <w:spacing w:val="-5"/>
          <w:sz w:val="21"/>
        </w:rPr>
        <w:t xml:space="preserve"> </w:t>
      </w:r>
      <w:r>
        <w:rPr>
          <w:b/>
          <w:sz w:val="21"/>
        </w:rPr>
        <w:t>of</w:t>
      </w:r>
      <w:r>
        <w:rPr>
          <w:b/>
          <w:spacing w:val="-7"/>
          <w:sz w:val="21"/>
        </w:rPr>
        <w:t xml:space="preserve"> </w:t>
      </w:r>
      <w:r>
        <w:rPr>
          <w:b/>
          <w:sz w:val="21"/>
        </w:rPr>
        <w:t>the</w:t>
      </w:r>
      <w:r>
        <w:rPr>
          <w:b/>
          <w:spacing w:val="-8"/>
          <w:sz w:val="21"/>
        </w:rPr>
        <w:t xml:space="preserve"> </w:t>
      </w:r>
      <w:r>
        <w:rPr>
          <w:b/>
          <w:sz w:val="21"/>
        </w:rPr>
        <w:t>mental</w:t>
      </w:r>
      <w:r>
        <w:rPr>
          <w:b/>
          <w:spacing w:val="-5"/>
          <w:sz w:val="21"/>
        </w:rPr>
        <w:t xml:space="preserve"> </w:t>
      </w:r>
      <w:r>
        <w:rPr>
          <w:b/>
          <w:sz w:val="21"/>
        </w:rPr>
        <w:t>healthcare</w:t>
      </w:r>
      <w:r>
        <w:rPr>
          <w:b/>
          <w:spacing w:val="-6"/>
          <w:sz w:val="21"/>
        </w:rPr>
        <w:t xml:space="preserve"> </w:t>
      </w:r>
      <w:r>
        <w:rPr>
          <w:b/>
          <w:sz w:val="21"/>
        </w:rPr>
        <w:t>and</w:t>
      </w:r>
      <w:r>
        <w:rPr>
          <w:b/>
          <w:spacing w:val="-5"/>
          <w:sz w:val="21"/>
        </w:rPr>
        <w:t xml:space="preserve"> </w:t>
      </w:r>
      <w:r>
        <w:rPr>
          <w:b/>
          <w:sz w:val="21"/>
        </w:rPr>
        <w:t>health</w:t>
      </w:r>
      <w:r>
        <w:rPr>
          <w:b/>
          <w:spacing w:val="-8"/>
          <w:sz w:val="21"/>
        </w:rPr>
        <w:t xml:space="preserve"> </w:t>
      </w:r>
      <w:r>
        <w:rPr>
          <w:b/>
          <w:sz w:val="21"/>
        </w:rPr>
        <w:t>insurance</w:t>
      </w:r>
      <w:r>
        <w:rPr>
          <w:b/>
          <w:spacing w:val="-6"/>
          <w:sz w:val="21"/>
        </w:rPr>
        <w:t xml:space="preserve"> </w:t>
      </w:r>
      <w:r>
        <w:rPr>
          <w:b/>
          <w:spacing w:val="-2"/>
          <w:sz w:val="21"/>
        </w:rPr>
        <w:t>systems.</w:t>
      </w:r>
    </w:p>
    <w:p w:rsidR="00200FDA" w:rsidRDefault="00200FDA">
      <w:pPr>
        <w:pStyle w:val="BodyText"/>
        <w:spacing w:before="10"/>
        <w:rPr>
          <w:b/>
        </w:rPr>
      </w:pPr>
    </w:p>
    <w:p w:rsidR="00200FDA" w:rsidRDefault="00F76C4C">
      <w:pPr>
        <w:spacing w:line="276" w:lineRule="auto"/>
        <w:ind w:left="140" w:right="253"/>
        <w:jc w:val="both"/>
        <w:rPr>
          <w:sz w:val="21"/>
        </w:rPr>
      </w:pPr>
      <w:r>
        <w:rPr>
          <w:sz w:val="21"/>
        </w:rPr>
        <w:t>The</w:t>
      </w:r>
      <w:r>
        <w:rPr>
          <w:spacing w:val="-1"/>
          <w:sz w:val="21"/>
        </w:rPr>
        <w:t xml:space="preserve"> </w:t>
      </w:r>
      <w:r>
        <w:rPr>
          <w:sz w:val="21"/>
        </w:rPr>
        <w:t>Commission</w:t>
      </w:r>
      <w:r>
        <w:rPr>
          <w:spacing w:val="-2"/>
          <w:sz w:val="21"/>
        </w:rPr>
        <w:t xml:space="preserve"> </w:t>
      </w:r>
      <w:r>
        <w:rPr>
          <w:sz w:val="21"/>
        </w:rPr>
        <w:t>recommends</w:t>
      </w:r>
      <w:r>
        <w:rPr>
          <w:spacing w:val="-2"/>
          <w:sz w:val="21"/>
        </w:rPr>
        <w:t xml:space="preserve"> </w:t>
      </w:r>
      <w:r>
        <w:rPr>
          <w:sz w:val="21"/>
        </w:rPr>
        <w:t>that the</w:t>
      </w:r>
      <w:r>
        <w:rPr>
          <w:spacing w:val="-1"/>
          <w:sz w:val="21"/>
        </w:rPr>
        <w:t xml:space="preserve"> </w:t>
      </w:r>
      <w:r>
        <w:rPr>
          <w:sz w:val="21"/>
        </w:rPr>
        <w:t>legislature</w:t>
      </w:r>
      <w:r>
        <w:rPr>
          <w:spacing w:val="-1"/>
          <w:sz w:val="21"/>
        </w:rPr>
        <w:t xml:space="preserve"> </w:t>
      </w:r>
      <w:r>
        <w:rPr>
          <w:sz w:val="21"/>
        </w:rPr>
        <w:t>support</w:t>
      </w:r>
      <w:r>
        <w:rPr>
          <w:spacing w:val="-2"/>
          <w:sz w:val="21"/>
        </w:rPr>
        <w:t xml:space="preserve"> </w:t>
      </w:r>
      <w:r>
        <w:rPr>
          <w:sz w:val="21"/>
        </w:rPr>
        <w:t>and</w:t>
      </w:r>
      <w:r>
        <w:rPr>
          <w:spacing w:val="-2"/>
          <w:sz w:val="21"/>
        </w:rPr>
        <w:t xml:space="preserve"> </w:t>
      </w:r>
      <w:r>
        <w:rPr>
          <w:sz w:val="21"/>
        </w:rPr>
        <w:t>pass</w:t>
      </w:r>
      <w:r>
        <w:rPr>
          <w:spacing w:val="-2"/>
          <w:sz w:val="21"/>
        </w:rPr>
        <w:t xml:space="preserve"> </w:t>
      </w:r>
      <w:r>
        <w:rPr>
          <w:sz w:val="21"/>
        </w:rPr>
        <w:t>effective</w:t>
      </w:r>
      <w:r>
        <w:rPr>
          <w:spacing w:val="-1"/>
          <w:sz w:val="21"/>
        </w:rPr>
        <w:t xml:space="preserve"> </w:t>
      </w:r>
      <w:r>
        <w:rPr>
          <w:sz w:val="21"/>
        </w:rPr>
        <w:t>reforms</w:t>
      </w:r>
      <w:r>
        <w:rPr>
          <w:spacing w:val="-2"/>
          <w:sz w:val="21"/>
        </w:rPr>
        <w:t xml:space="preserve"> </w:t>
      </w:r>
      <w:r>
        <w:rPr>
          <w:sz w:val="21"/>
        </w:rPr>
        <w:t>to</w:t>
      </w:r>
      <w:r>
        <w:rPr>
          <w:spacing w:val="-2"/>
          <w:sz w:val="21"/>
        </w:rPr>
        <w:t xml:space="preserve"> </w:t>
      </w:r>
      <w:r>
        <w:rPr>
          <w:sz w:val="21"/>
        </w:rPr>
        <w:t>recruit</w:t>
      </w:r>
      <w:r>
        <w:rPr>
          <w:spacing w:val="-2"/>
          <w:sz w:val="21"/>
        </w:rPr>
        <w:t xml:space="preserve"> </w:t>
      </w:r>
      <w:r>
        <w:rPr>
          <w:sz w:val="21"/>
        </w:rPr>
        <w:t>more</w:t>
      </w:r>
      <w:r>
        <w:rPr>
          <w:spacing w:val="-1"/>
          <w:sz w:val="21"/>
        </w:rPr>
        <w:t xml:space="preserve"> </w:t>
      </w:r>
      <w:r>
        <w:rPr>
          <w:sz w:val="21"/>
        </w:rPr>
        <w:t>trauma- informed and culturally-responsive mental health professionals to support intersectional mental health support</w:t>
      </w:r>
      <w:r>
        <w:rPr>
          <w:spacing w:val="-8"/>
          <w:sz w:val="21"/>
        </w:rPr>
        <w:t xml:space="preserve"> </w:t>
      </w:r>
      <w:r>
        <w:rPr>
          <w:sz w:val="21"/>
        </w:rPr>
        <w:t>and</w:t>
      </w:r>
      <w:r>
        <w:rPr>
          <w:spacing w:val="-7"/>
          <w:sz w:val="21"/>
        </w:rPr>
        <w:t xml:space="preserve"> </w:t>
      </w:r>
      <w:r>
        <w:rPr>
          <w:sz w:val="21"/>
        </w:rPr>
        <w:t>to</w:t>
      </w:r>
      <w:r>
        <w:rPr>
          <w:spacing w:val="-8"/>
          <w:sz w:val="21"/>
        </w:rPr>
        <w:t xml:space="preserve"> </w:t>
      </w:r>
      <w:r>
        <w:rPr>
          <w:sz w:val="21"/>
        </w:rPr>
        <w:t>reduce</w:t>
      </w:r>
      <w:r>
        <w:rPr>
          <w:spacing w:val="-6"/>
          <w:sz w:val="21"/>
        </w:rPr>
        <w:t xml:space="preserve"> </w:t>
      </w:r>
      <w:r>
        <w:rPr>
          <w:sz w:val="21"/>
        </w:rPr>
        <w:t>the</w:t>
      </w:r>
      <w:r>
        <w:rPr>
          <w:spacing w:val="-6"/>
          <w:sz w:val="21"/>
        </w:rPr>
        <w:t xml:space="preserve"> </w:t>
      </w:r>
      <w:r>
        <w:rPr>
          <w:sz w:val="21"/>
        </w:rPr>
        <w:t>costs</w:t>
      </w:r>
      <w:r>
        <w:rPr>
          <w:spacing w:val="-8"/>
          <w:sz w:val="21"/>
        </w:rPr>
        <w:t xml:space="preserve"> </w:t>
      </w:r>
      <w:r>
        <w:rPr>
          <w:sz w:val="21"/>
        </w:rPr>
        <w:t>of</w:t>
      </w:r>
      <w:r>
        <w:rPr>
          <w:spacing w:val="-6"/>
          <w:sz w:val="21"/>
        </w:rPr>
        <w:t xml:space="preserve"> </w:t>
      </w:r>
      <w:r>
        <w:rPr>
          <w:sz w:val="21"/>
        </w:rPr>
        <w:t>mental</w:t>
      </w:r>
      <w:r>
        <w:rPr>
          <w:spacing w:val="-7"/>
          <w:sz w:val="21"/>
        </w:rPr>
        <w:t xml:space="preserve"> </w:t>
      </w:r>
      <w:r>
        <w:rPr>
          <w:sz w:val="21"/>
        </w:rPr>
        <w:t>health</w:t>
      </w:r>
      <w:r>
        <w:rPr>
          <w:spacing w:val="-7"/>
          <w:sz w:val="21"/>
        </w:rPr>
        <w:t xml:space="preserve"> </w:t>
      </w:r>
      <w:r>
        <w:rPr>
          <w:sz w:val="21"/>
        </w:rPr>
        <w:t>services.</w:t>
      </w:r>
      <w:r>
        <w:rPr>
          <w:spacing w:val="-7"/>
          <w:sz w:val="21"/>
        </w:rPr>
        <w:t xml:space="preserve"> </w:t>
      </w:r>
      <w:r>
        <w:rPr>
          <w:sz w:val="21"/>
        </w:rPr>
        <w:t>Furthermore,</w:t>
      </w:r>
      <w:r>
        <w:rPr>
          <w:spacing w:val="-7"/>
          <w:sz w:val="21"/>
        </w:rPr>
        <w:t xml:space="preserve"> </w:t>
      </w:r>
      <w:r>
        <w:rPr>
          <w:sz w:val="21"/>
        </w:rPr>
        <w:t>the</w:t>
      </w:r>
      <w:r>
        <w:rPr>
          <w:spacing w:val="-6"/>
          <w:sz w:val="21"/>
        </w:rPr>
        <w:t xml:space="preserve"> </w:t>
      </w:r>
      <w:r>
        <w:rPr>
          <w:sz w:val="21"/>
        </w:rPr>
        <w:t>Commission</w:t>
      </w:r>
      <w:r>
        <w:rPr>
          <w:spacing w:val="-7"/>
          <w:sz w:val="21"/>
        </w:rPr>
        <w:t xml:space="preserve"> </w:t>
      </w:r>
      <w:r>
        <w:rPr>
          <w:sz w:val="21"/>
        </w:rPr>
        <w:t>advises</w:t>
      </w:r>
      <w:r>
        <w:rPr>
          <w:spacing w:val="-8"/>
          <w:sz w:val="21"/>
        </w:rPr>
        <w:t xml:space="preserve"> </w:t>
      </w:r>
      <w:r>
        <w:rPr>
          <w:sz w:val="21"/>
        </w:rPr>
        <w:t>policymakers to invest in non-clinical community-b</w:t>
      </w:r>
      <w:r>
        <w:rPr>
          <w:sz w:val="21"/>
        </w:rPr>
        <w:t>ased programs, such as peer support programs, mental health advocate programs,</w:t>
      </w:r>
      <w:r>
        <w:rPr>
          <w:spacing w:val="-7"/>
          <w:sz w:val="21"/>
        </w:rPr>
        <w:t xml:space="preserve"> </w:t>
      </w:r>
      <w:r>
        <w:rPr>
          <w:sz w:val="21"/>
        </w:rPr>
        <w:t>mental</w:t>
      </w:r>
      <w:r>
        <w:rPr>
          <w:spacing w:val="-7"/>
          <w:sz w:val="21"/>
        </w:rPr>
        <w:t xml:space="preserve"> </w:t>
      </w:r>
      <w:r>
        <w:rPr>
          <w:sz w:val="21"/>
        </w:rPr>
        <w:t>health</w:t>
      </w:r>
      <w:r>
        <w:rPr>
          <w:spacing w:val="-7"/>
          <w:sz w:val="21"/>
        </w:rPr>
        <w:t xml:space="preserve"> </w:t>
      </w:r>
      <w:r>
        <w:rPr>
          <w:sz w:val="21"/>
        </w:rPr>
        <w:t>first</w:t>
      </w:r>
      <w:r>
        <w:rPr>
          <w:spacing w:val="-8"/>
          <w:sz w:val="21"/>
        </w:rPr>
        <w:t xml:space="preserve"> </w:t>
      </w:r>
      <w:r>
        <w:rPr>
          <w:sz w:val="21"/>
        </w:rPr>
        <w:t>aid</w:t>
      </w:r>
      <w:r>
        <w:rPr>
          <w:spacing w:val="-7"/>
          <w:sz w:val="21"/>
        </w:rPr>
        <w:t xml:space="preserve"> </w:t>
      </w:r>
      <w:r>
        <w:rPr>
          <w:sz w:val="21"/>
        </w:rPr>
        <w:t>trainings,</w:t>
      </w:r>
      <w:r>
        <w:rPr>
          <w:spacing w:val="-7"/>
          <w:sz w:val="21"/>
        </w:rPr>
        <w:t xml:space="preserve"> </w:t>
      </w:r>
      <w:r>
        <w:rPr>
          <w:sz w:val="21"/>
        </w:rPr>
        <w:t>and</w:t>
      </w:r>
      <w:r>
        <w:rPr>
          <w:spacing w:val="-7"/>
          <w:sz w:val="21"/>
        </w:rPr>
        <w:t xml:space="preserve"> </w:t>
      </w:r>
      <w:r>
        <w:rPr>
          <w:sz w:val="21"/>
        </w:rPr>
        <w:t>mental</w:t>
      </w:r>
      <w:r>
        <w:rPr>
          <w:spacing w:val="-7"/>
          <w:sz w:val="21"/>
        </w:rPr>
        <w:t xml:space="preserve"> </w:t>
      </w:r>
      <w:r>
        <w:rPr>
          <w:sz w:val="21"/>
        </w:rPr>
        <w:t>health</w:t>
      </w:r>
      <w:r>
        <w:rPr>
          <w:spacing w:val="-7"/>
          <w:sz w:val="21"/>
        </w:rPr>
        <w:t xml:space="preserve"> </w:t>
      </w:r>
      <w:r>
        <w:rPr>
          <w:sz w:val="21"/>
        </w:rPr>
        <w:t>literacy</w:t>
      </w:r>
      <w:r>
        <w:rPr>
          <w:spacing w:val="-6"/>
          <w:sz w:val="21"/>
        </w:rPr>
        <w:t xml:space="preserve"> </w:t>
      </w:r>
      <w:r>
        <w:rPr>
          <w:sz w:val="21"/>
        </w:rPr>
        <w:t>campaigns.</w:t>
      </w:r>
      <w:r>
        <w:rPr>
          <w:spacing w:val="-7"/>
          <w:sz w:val="21"/>
        </w:rPr>
        <w:t xml:space="preserve"> </w:t>
      </w:r>
      <w:r>
        <w:rPr>
          <w:sz w:val="21"/>
        </w:rPr>
        <w:t>Additional</w:t>
      </w:r>
      <w:r>
        <w:rPr>
          <w:spacing w:val="-7"/>
          <w:sz w:val="21"/>
        </w:rPr>
        <w:t xml:space="preserve"> </w:t>
      </w:r>
      <w:r>
        <w:rPr>
          <w:sz w:val="21"/>
        </w:rPr>
        <w:t>potential</w:t>
      </w:r>
      <w:r>
        <w:rPr>
          <w:spacing w:val="-7"/>
          <w:sz w:val="21"/>
        </w:rPr>
        <w:t xml:space="preserve"> </w:t>
      </w:r>
      <w:r>
        <w:rPr>
          <w:sz w:val="21"/>
        </w:rPr>
        <w:t>areas</w:t>
      </w:r>
      <w:r>
        <w:rPr>
          <w:spacing w:val="-8"/>
          <w:sz w:val="21"/>
        </w:rPr>
        <w:t xml:space="preserve"> </w:t>
      </w:r>
      <w:r>
        <w:rPr>
          <w:sz w:val="21"/>
        </w:rPr>
        <w:t>of</w:t>
      </w:r>
    </w:p>
    <w:p w:rsidR="00200FDA" w:rsidRDefault="00200FDA">
      <w:pPr>
        <w:spacing w:line="276" w:lineRule="auto"/>
        <w:jc w:val="both"/>
        <w:rPr>
          <w:sz w:val="21"/>
        </w:rPr>
        <w:sectPr w:rsidR="00200FDA">
          <w:headerReference w:type="default" r:id="rId224"/>
          <w:footerReference w:type="default" r:id="rId225"/>
          <w:pgSz w:w="12240" w:h="15840"/>
          <w:pgMar w:top="1360" w:right="1180" w:bottom="1480" w:left="1300" w:header="761" w:footer="1283" w:gutter="0"/>
          <w:pgNumType w:start="58"/>
          <w:cols w:space="720"/>
        </w:sectPr>
      </w:pPr>
    </w:p>
    <w:p w:rsidR="00200FDA" w:rsidRDefault="00F76C4C">
      <w:pPr>
        <w:spacing w:before="64" w:line="276" w:lineRule="auto"/>
        <w:ind w:left="140" w:right="255"/>
        <w:jc w:val="both"/>
        <w:rPr>
          <w:sz w:val="21"/>
        </w:rPr>
      </w:pPr>
      <w:r>
        <w:rPr>
          <w:sz w:val="21"/>
        </w:rPr>
        <w:lastRenderedPageBreak/>
        <w:t>investment would be telehealth or online programs, peer summer camps, and programs based on art, movement, and activism.</w:t>
      </w:r>
    </w:p>
    <w:p w:rsidR="00200FDA" w:rsidRDefault="00200FDA">
      <w:pPr>
        <w:pStyle w:val="BodyText"/>
        <w:spacing w:before="8"/>
        <w:rPr>
          <w:sz w:val="19"/>
        </w:rPr>
      </w:pPr>
    </w:p>
    <w:p w:rsidR="00200FDA" w:rsidRDefault="00F76C4C">
      <w:pPr>
        <w:pStyle w:val="ListParagraph"/>
        <w:numPr>
          <w:ilvl w:val="0"/>
          <w:numId w:val="1"/>
        </w:numPr>
        <w:tabs>
          <w:tab w:val="left" w:pos="383"/>
        </w:tabs>
        <w:spacing w:before="1" w:line="273" w:lineRule="auto"/>
        <w:ind w:right="257" w:firstLine="0"/>
        <w:rPr>
          <w:b/>
          <w:sz w:val="21"/>
        </w:rPr>
      </w:pPr>
      <w:r>
        <w:rPr>
          <w:b/>
          <w:sz w:val="21"/>
        </w:rPr>
        <w:t>Promote</w:t>
      </w:r>
      <w:r>
        <w:rPr>
          <w:b/>
          <w:spacing w:val="26"/>
          <w:sz w:val="21"/>
        </w:rPr>
        <w:t xml:space="preserve"> </w:t>
      </w:r>
      <w:r>
        <w:rPr>
          <w:b/>
          <w:sz w:val="21"/>
        </w:rPr>
        <w:t>services</w:t>
      </w:r>
      <w:r>
        <w:rPr>
          <w:b/>
          <w:spacing w:val="24"/>
          <w:sz w:val="21"/>
        </w:rPr>
        <w:t xml:space="preserve"> </w:t>
      </w:r>
      <w:r>
        <w:rPr>
          <w:b/>
          <w:sz w:val="21"/>
        </w:rPr>
        <w:t>that</w:t>
      </w:r>
      <w:r>
        <w:rPr>
          <w:b/>
          <w:spacing w:val="26"/>
          <w:sz w:val="21"/>
        </w:rPr>
        <w:t xml:space="preserve"> </w:t>
      </w:r>
      <w:r>
        <w:rPr>
          <w:b/>
          <w:sz w:val="21"/>
        </w:rPr>
        <w:t>address</w:t>
      </w:r>
      <w:r>
        <w:rPr>
          <w:b/>
          <w:spacing w:val="27"/>
          <w:sz w:val="21"/>
        </w:rPr>
        <w:t xml:space="preserve"> </w:t>
      </w:r>
      <w:r>
        <w:rPr>
          <w:b/>
          <w:sz w:val="21"/>
        </w:rPr>
        <w:t>youths’</w:t>
      </w:r>
      <w:r>
        <w:rPr>
          <w:b/>
          <w:spacing w:val="23"/>
          <w:sz w:val="21"/>
        </w:rPr>
        <w:t xml:space="preserve"> </w:t>
      </w:r>
      <w:r>
        <w:rPr>
          <w:b/>
          <w:sz w:val="21"/>
        </w:rPr>
        <w:t>intersectional</w:t>
      </w:r>
      <w:r>
        <w:rPr>
          <w:b/>
          <w:spacing w:val="28"/>
          <w:sz w:val="21"/>
        </w:rPr>
        <w:t xml:space="preserve"> </w:t>
      </w:r>
      <w:r>
        <w:rPr>
          <w:b/>
          <w:sz w:val="21"/>
        </w:rPr>
        <w:t>identities,</w:t>
      </w:r>
      <w:r>
        <w:rPr>
          <w:b/>
          <w:spacing w:val="25"/>
          <w:sz w:val="21"/>
        </w:rPr>
        <w:t xml:space="preserve"> </w:t>
      </w:r>
      <w:r>
        <w:rPr>
          <w:b/>
          <w:sz w:val="21"/>
        </w:rPr>
        <w:t>including</w:t>
      </w:r>
      <w:r>
        <w:rPr>
          <w:b/>
          <w:spacing w:val="25"/>
          <w:sz w:val="21"/>
        </w:rPr>
        <w:t xml:space="preserve"> </w:t>
      </w:r>
      <w:r>
        <w:rPr>
          <w:b/>
          <w:sz w:val="21"/>
        </w:rPr>
        <w:t>race/ethnicity,</w:t>
      </w:r>
      <w:r>
        <w:rPr>
          <w:b/>
          <w:spacing w:val="25"/>
          <w:sz w:val="21"/>
        </w:rPr>
        <w:t xml:space="preserve"> </w:t>
      </w:r>
      <w:r>
        <w:rPr>
          <w:b/>
          <w:sz w:val="21"/>
        </w:rPr>
        <w:t>immigration, ability, involvement in juveni</w:t>
      </w:r>
      <w:r>
        <w:rPr>
          <w:b/>
          <w:sz w:val="21"/>
        </w:rPr>
        <w:t>le justice or foster care, and rural residence.</w:t>
      </w:r>
    </w:p>
    <w:p w:rsidR="00200FDA" w:rsidRDefault="00200FDA">
      <w:pPr>
        <w:pStyle w:val="BodyText"/>
        <w:spacing w:before="11"/>
        <w:rPr>
          <w:b/>
          <w:sz w:val="19"/>
        </w:rPr>
      </w:pPr>
    </w:p>
    <w:p w:rsidR="00200FDA" w:rsidRDefault="00F76C4C">
      <w:pPr>
        <w:spacing w:line="276" w:lineRule="auto"/>
        <w:ind w:left="139" w:right="253"/>
        <w:jc w:val="both"/>
        <w:rPr>
          <w:sz w:val="21"/>
        </w:rPr>
      </w:pPr>
      <w:r>
        <w:rPr>
          <w:sz w:val="21"/>
        </w:rPr>
        <w:t xml:space="preserve">As detailed below, there remains limited access to LGBTQ-affirming, trauma-informed, and culturally </w:t>
      </w:r>
      <w:r>
        <w:rPr>
          <w:spacing w:val="-2"/>
          <w:sz w:val="21"/>
        </w:rPr>
        <w:t>competent</w:t>
      </w:r>
      <w:r>
        <w:rPr>
          <w:spacing w:val="-3"/>
          <w:sz w:val="21"/>
        </w:rPr>
        <w:t xml:space="preserve"> </w:t>
      </w:r>
      <w:r>
        <w:rPr>
          <w:spacing w:val="-2"/>
          <w:sz w:val="21"/>
        </w:rPr>
        <w:t>care</w:t>
      </w:r>
      <w:r>
        <w:rPr>
          <w:spacing w:val="-4"/>
          <w:sz w:val="21"/>
        </w:rPr>
        <w:t xml:space="preserve"> </w:t>
      </w:r>
      <w:r>
        <w:rPr>
          <w:spacing w:val="-2"/>
          <w:sz w:val="21"/>
        </w:rPr>
        <w:t>for</w:t>
      </w:r>
      <w:r>
        <w:rPr>
          <w:spacing w:val="-4"/>
          <w:sz w:val="21"/>
        </w:rPr>
        <w:t xml:space="preserve"> </w:t>
      </w:r>
      <w:r>
        <w:rPr>
          <w:spacing w:val="-2"/>
          <w:sz w:val="21"/>
        </w:rPr>
        <w:t>QTBIPOC</w:t>
      </w:r>
      <w:r>
        <w:rPr>
          <w:spacing w:val="-4"/>
          <w:sz w:val="21"/>
        </w:rPr>
        <w:t xml:space="preserve"> </w:t>
      </w:r>
      <w:r>
        <w:rPr>
          <w:spacing w:val="-2"/>
          <w:sz w:val="21"/>
        </w:rPr>
        <w:t>youth, as</w:t>
      </w:r>
      <w:r>
        <w:rPr>
          <w:spacing w:val="-3"/>
          <w:sz w:val="21"/>
        </w:rPr>
        <w:t xml:space="preserve"> </w:t>
      </w:r>
      <w:r>
        <w:rPr>
          <w:spacing w:val="-2"/>
          <w:sz w:val="21"/>
        </w:rPr>
        <w:t>well</w:t>
      </w:r>
      <w:r>
        <w:rPr>
          <w:spacing w:val="-3"/>
          <w:sz w:val="21"/>
        </w:rPr>
        <w:t xml:space="preserve"> </w:t>
      </w:r>
      <w:r>
        <w:rPr>
          <w:spacing w:val="-2"/>
          <w:sz w:val="21"/>
        </w:rPr>
        <w:t>as</w:t>
      </w:r>
      <w:r>
        <w:rPr>
          <w:spacing w:val="-3"/>
          <w:sz w:val="21"/>
        </w:rPr>
        <w:t xml:space="preserve"> </w:t>
      </w:r>
      <w:r>
        <w:rPr>
          <w:spacing w:val="-2"/>
          <w:sz w:val="21"/>
        </w:rPr>
        <w:t>access</w:t>
      </w:r>
      <w:r>
        <w:rPr>
          <w:spacing w:val="-3"/>
          <w:sz w:val="21"/>
        </w:rPr>
        <w:t xml:space="preserve"> </w:t>
      </w:r>
      <w:r>
        <w:rPr>
          <w:spacing w:val="-2"/>
          <w:sz w:val="21"/>
        </w:rPr>
        <w:t>for</w:t>
      </w:r>
      <w:r>
        <w:rPr>
          <w:spacing w:val="-4"/>
          <w:sz w:val="21"/>
        </w:rPr>
        <w:t xml:space="preserve"> </w:t>
      </w:r>
      <w:r>
        <w:rPr>
          <w:spacing w:val="-2"/>
          <w:sz w:val="21"/>
        </w:rPr>
        <w:t>youth</w:t>
      </w:r>
      <w:r>
        <w:rPr>
          <w:spacing w:val="-3"/>
          <w:sz w:val="21"/>
        </w:rPr>
        <w:t xml:space="preserve"> </w:t>
      </w:r>
      <w:r>
        <w:rPr>
          <w:spacing w:val="-2"/>
          <w:sz w:val="21"/>
        </w:rPr>
        <w:t>who</w:t>
      </w:r>
      <w:r>
        <w:rPr>
          <w:spacing w:val="-3"/>
          <w:sz w:val="21"/>
        </w:rPr>
        <w:t xml:space="preserve"> </w:t>
      </w:r>
      <w:r>
        <w:rPr>
          <w:spacing w:val="-2"/>
          <w:sz w:val="21"/>
        </w:rPr>
        <w:t>are undocumented</w:t>
      </w:r>
      <w:r>
        <w:rPr>
          <w:spacing w:val="-3"/>
          <w:sz w:val="21"/>
        </w:rPr>
        <w:t xml:space="preserve"> </w:t>
      </w:r>
      <w:r>
        <w:rPr>
          <w:spacing w:val="-2"/>
          <w:sz w:val="21"/>
        </w:rPr>
        <w:t xml:space="preserve">and/or have disabilities. </w:t>
      </w:r>
      <w:r>
        <w:rPr>
          <w:sz w:val="21"/>
        </w:rPr>
        <w:t>More research needs to occur to better understand access for youth in the juvenile justice and child welfare systems</w:t>
      </w:r>
      <w:r>
        <w:rPr>
          <w:spacing w:val="-8"/>
          <w:sz w:val="21"/>
        </w:rPr>
        <w:t xml:space="preserve"> </w:t>
      </w:r>
      <w:r>
        <w:rPr>
          <w:sz w:val="21"/>
        </w:rPr>
        <w:t>in</w:t>
      </w:r>
      <w:r>
        <w:rPr>
          <w:spacing w:val="-7"/>
          <w:sz w:val="21"/>
        </w:rPr>
        <w:t xml:space="preserve"> </w:t>
      </w:r>
      <w:r>
        <w:rPr>
          <w:sz w:val="21"/>
        </w:rPr>
        <w:t>Massachusetts,</w:t>
      </w:r>
      <w:r>
        <w:rPr>
          <w:spacing w:val="-7"/>
          <w:sz w:val="21"/>
        </w:rPr>
        <w:t xml:space="preserve"> </w:t>
      </w:r>
      <w:r>
        <w:rPr>
          <w:sz w:val="21"/>
        </w:rPr>
        <w:t>but</w:t>
      </w:r>
      <w:r>
        <w:rPr>
          <w:spacing w:val="-8"/>
          <w:sz w:val="21"/>
        </w:rPr>
        <w:t xml:space="preserve"> </w:t>
      </w:r>
      <w:r>
        <w:rPr>
          <w:sz w:val="21"/>
        </w:rPr>
        <w:t>the</w:t>
      </w:r>
      <w:r>
        <w:rPr>
          <w:spacing w:val="-6"/>
          <w:sz w:val="21"/>
        </w:rPr>
        <w:t xml:space="preserve"> </w:t>
      </w:r>
      <w:r>
        <w:rPr>
          <w:sz w:val="21"/>
        </w:rPr>
        <w:t>significant</w:t>
      </w:r>
      <w:r>
        <w:rPr>
          <w:spacing w:val="-8"/>
          <w:sz w:val="21"/>
        </w:rPr>
        <w:t xml:space="preserve"> </w:t>
      </w:r>
      <w:r>
        <w:rPr>
          <w:sz w:val="21"/>
        </w:rPr>
        <w:t>mental</w:t>
      </w:r>
      <w:r>
        <w:rPr>
          <w:spacing w:val="-7"/>
          <w:sz w:val="21"/>
        </w:rPr>
        <w:t xml:space="preserve"> </w:t>
      </w:r>
      <w:r>
        <w:rPr>
          <w:sz w:val="21"/>
        </w:rPr>
        <w:t>healthcare</w:t>
      </w:r>
      <w:r>
        <w:rPr>
          <w:spacing w:val="-6"/>
          <w:sz w:val="21"/>
        </w:rPr>
        <w:t xml:space="preserve"> </w:t>
      </w:r>
      <w:r>
        <w:rPr>
          <w:sz w:val="21"/>
        </w:rPr>
        <w:t>crisis</w:t>
      </w:r>
      <w:r>
        <w:rPr>
          <w:spacing w:val="-8"/>
          <w:sz w:val="21"/>
        </w:rPr>
        <w:t xml:space="preserve"> </w:t>
      </w:r>
      <w:r>
        <w:rPr>
          <w:sz w:val="21"/>
        </w:rPr>
        <w:t>likely</w:t>
      </w:r>
      <w:r>
        <w:rPr>
          <w:spacing w:val="-6"/>
          <w:sz w:val="21"/>
        </w:rPr>
        <w:t xml:space="preserve"> </w:t>
      </w:r>
      <w:r>
        <w:rPr>
          <w:sz w:val="21"/>
        </w:rPr>
        <w:t>affects</w:t>
      </w:r>
      <w:r>
        <w:rPr>
          <w:spacing w:val="-8"/>
          <w:sz w:val="21"/>
        </w:rPr>
        <w:t xml:space="preserve"> </w:t>
      </w:r>
      <w:r>
        <w:rPr>
          <w:sz w:val="21"/>
        </w:rPr>
        <w:t>these</w:t>
      </w:r>
      <w:r>
        <w:rPr>
          <w:spacing w:val="-6"/>
          <w:sz w:val="21"/>
        </w:rPr>
        <w:t xml:space="preserve"> </w:t>
      </w:r>
      <w:r>
        <w:rPr>
          <w:sz w:val="21"/>
        </w:rPr>
        <w:t>populations</w:t>
      </w:r>
      <w:r>
        <w:rPr>
          <w:spacing w:val="-8"/>
          <w:sz w:val="21"/>
        </w:rPr>
        <w:t xml:space="preserve"> </w:t>
      </w:r>
      <w:r>
        <w:rPr>
          <w:sz w:val="21"/>
        </w:rPr>
        <w:t>critically. The C</w:t>
      </w:r>
      <w:r>
        <w:rPr>
          <w:sz w:val="21"/>
        </w:rPr>
        <w:t>ommission recommends that the Commonwealth allocates more funding to LGBTQ youth and family services,</w:t>
      </w:r>
      <w:r>
        <w:rPr>
          <w:spacing w:val="-2"/>
          <w:sz w:val="21"/>
        </w:rPr>
        <w:t xml:space="preserve"> </w:t>
      </w:r>
      <w:r>
        <w:rPr>
          <w:sz w:val="21"/>
        </w:rPr>
        <w:t>and</w:t>
      </w:r>
      <w:r>
        <w:rPr>
          <w:spacing w:val="-5"/>
          <w:sz w:val="21"/>
        </w:rPr>
        <w:t xml:space="preserve"> </w:t>
      </w:r>
      <w:r>
        <w:rPr>
          <w:sz w:val="21"/>
        </w:rPr>
        <w:t>encourages</w:t>
      </w:r>
      <w:r>
        <w:rPr>
          <w:spacing w:val="-3"/>
          <w:sz w:val="21"/>
        </w:rPr>
        <w:t xml:space="preserve"> </w:t>
      </w:r>
      <w:r>
        <w:rPr>
          <w:sz w:val="21"/>
        </w:rPr>
        <w:t>programs</w:t>
      </w:r>
      <w:r>
        <w:rPr>
          <w:spacing w:val="-3"/>
          <w:sz w:val="21"/>
        </w:rPr>
        <w:t xml:space="preserve"> </w:t>
      </w:r>
      <w:r>
        <w:rPr>
          <w:sz w:val="21"/>
        </w:rPr>
        <w:t>to</w:t>
      </w:r>
      <w:r>
        <w:rPr>
          <w:spacing w:val="-3"/>
          <w:sz w:val="21"/>
        </w:rPr>
        <w:t xml:space="preserve"> </w:t>
      </w:r>
      <w:r>
        <w:rPr>
          <w:sz w:val="21"/>
        </w:rPr>
        <w:t>make</w:t>
      </w:r>
      <w:r>
        <w:rPr>
          <w:spacing w:val="-2"/>
          <w:sz w:val="21"/>
        </w:rPr>
        <w:t xml:space="preserve"> </w:t>
      </w:r>
      <w:r>
        <w:rPr>
          <w:sz w:val="21"/>
        </w:rPr>
        <w:t>concerted</w:t>
      </w:r>
      <w:r>
        <w:rPr>
          <w:spacing w:val="-5"/>
          <w:sz w:val="21"/>
        </w:rPr>
        <w:t xml:space="preserve"> </w:t>
      </w:r>
      <w:r>
        <w:rPr>
          <w:sz w:val="21"/>
        </w:rPr>
        <w:t>efforts</w:t>
      </w:r>
      <w:r>
        <w:rPr>
          <w:spacing w:val="-3"/>
          <w:sz w:val="21"/>
        </w:rPr>
        <w:t xml:space="preserve"> </w:t>
      </w:r>
      <w:r>
        <w:rPr>
          <w:sz w:val="21"/>
        </w:rPr>
        <w:t>to</w:t>
      </w:r>
      <w:r>
        <w:rPr>
          <w:spacing w:val="-3"/>
          <w:sz w:val="21"/>
        </w:rPr>
        <w:t xml:space="preserve"> </w:t>
      </w:r>
      <w:r>
        <w:rPr>
          <w:sz w:val="21"/>
        </w:rPr>
        <w:t>ensure</w:t>
      </w:r>
      <w:r>
        <w:rPr>
          <w:spacing w:val="-2"/>
          <w:sz w:val="21"/>
        </w:rPr>
        <w:t xml:space="preserve"> </w:t>
      </w:r>
      <w:r>
        <w:rPr>
          <w:sz w:val="21"/>
        </w:rPr>
        <w:t>that</w:t>
      </w:r>
      <w:r>
        <w:rPr>
          <w:spacing w:val="-3"/>
          <w:sz w:val="21"/>
        </w:rPr>
        <w:t xml:space="preserve"> </w:t>
      </w:r>
      <w:r>
        <w:rPr>
          <w:sz w:val="21"/>
        </w:rPr>
        <w:t>their</w:t>
      </w:r>
      <w:r>
        <w:rPr>
          <w:spacing w:val="-1"/>
          <w:sz w:val="21"/>
        </w:rPr>
        <w:t xml:space="preserve"> </w:t>
      </w:r>
      <w:r>
        <w:rPr>
          <w:sz w:val="21"/>
        </w:rPr>
        <w:t>programs</w:t>
      </w:r>
      <w:r>
        <w:rPr>
          <w:spacing w:val="-3"/>
          <w:sz w:val="21"/>
        </w:rPr>
        <w:t xml:space="preserve"> </w:t>
      </w:r>
      <w:r>
        <w:rPr>
          <w:sz w:val="21"/>
        </w:rPr>
        <w:t>are</w:t>
      </w:r>
      <w:r>
        <w:rPr>
          <w:spacing w:val="-4"/>
          <w:sz w:val="21"/>
        </w:rPr>
        <w:t xml:space="preserve"> </w:t>
      </w:r>
      <w:r>
        <w:rPr>
          <w:sz w:val="21"/>
        </w:rPr>
        <w:t>affirming</w:t>
      </w:r>
      <w:r>
        <w:rPr>
          <w:spacing w:val="-3"/>
          <w:sz w:val="21"/>
        </w:rPr>
        <w:t xml:space="preserve"> </w:t>
      </w:r>
      <w:r>
        <w:rPr>
          <w:sz w:val="21"/>
        </w:rPr>
        <w:t>and welcoming for all youth.</w:t>
      </w:r>
    </w:p>
    <w:p w:rsidR="00200FDA" w:rsidRDefault="00200FDA">
      <w:pPr>
        <w:pStyle w:val="BodyText"/>
        <w:spacing w:before="9"/>
        <w:rPr>
          <w:sz w:val="19"/>
        </w:rPr>
      </w:pPr>
    </w:p>
    <w:p w:rsidR="00200FDA" w:rsidRDefault="00F76C4C">
      <w:pPr>
        <w:pStyle w:val="ListParagraph"/>
        <w:numPr>
          <w:ilvl w:val="0"/>
          <w:numId w:val="1"/>
        </w:numPr>
        <w:tabs>
          <w:tab w:val="left" w:pos="351"/>
        </w:tabs>
        <w:spacing w:line="276" w:lineRule="auto"/>
        <w:ind w:left="139" w:right="257" w:firstLine="0"/>
        <w:rPr>
          <w:b/>
          <w:sz w:val="21"/>
        </w:rPr>
      </w:pPr>
      <w:r>
        <w:rPr>
          <w:b/>
          <w:sz w:val="21"/>
        </w:rPr>
        <w:t>Increase</w:t>
      </w:r>
      <w:r>
        <w:rPr>
          <w:b/>
          <w:spacing w:val="-5"/>
          <w:sz w:val="21"/>
        </w:rPr>
        <w:t xml:space="preserve"> </w:t>
      </w:r>
      <w:r>
        <w:rPr>
          <w:b/>
          <w:sz w:val="21"/>
        </w:rPr>
        <w:t>funding</w:t>
      </w:r>
      <w:r>
        <w:rPr>
          <w:b/>
          <w:spacing w:val="-6"/>
          <w:sz w:val="21"/>
        </w:rPr>
        <w:t xml:space="preserve"> </w:t>
      </w:r>
      <w:r>
        <w:rPr>
          <w:b/>
          <w:sz w:val="21"/>
        </w:rPr>
        <w:t>to</w:t>
      </w:r>
      <w:r>
        <w:rPr>
          <w:b/>
          <w:spacing w:val="-5"/>
          <w:sz w:val="21"/>
        </w:rPr>
        <w:t xml:space="preserve"> </w:t>
      </w:r>
      <w:r>
        <w:rPr>
          <w:b/>
          <w:sz w:val="21"/>
        </w:rPr>
        <w:t>hire</w:t>
      </w:r>
      <w:r>
        <w:rPr>
          <w:b/>
          <w:spacing w:val="-5"/>
          <w:sz w:val="21"/>
        </w:rPr>
        <w:t xml:space="preserve"> </w:t>
      </w:r>
      <w:r>
        <w:rPr>
          <w:b/>
          <w:sz w:val="21"/>
        </w:rPr>
        <w:t>and</w:t>
      </w:r>
      <w:r>
        <w:rPr>
          <w:b/>
          <w:spacing w:val="-5"/>
          <w:sz w:val="21"/>
        </w:rPr>
        <w:t xml:space="preserve"> </w:t>
      </w:r>
      <w:r>
        <w:rPr>
          <w:b/>
          <w:sz w:val="21"/>
        </w:rPr>
        <w:t>retain</w:t>
      </w:r>
      <w:r>
        <w:rPr>
          <w:b/>
          <w:spacing w:val="-7"/>
          <w:sz w:val="21"/>
        </w:rPr>
        <w:t xml:space="preserve"> </w:t>
      </w:r>
      <w:r>
        <w:rPr>
          <w:b/>
          <w:sz w:val="21"/>
        </w:rPr>
        <w:t>more</w:t>
      </w:r>
      <w:r>
        <w:rPr>
          <w:b/>
          <w:spacing w:val="-8"/>
          <w:sz w:val="21"/>
        </w:rPr>
        <w:t xml:space="preserve"> </w:t>
      </w:r>
      <w:r>
        <w:rPr>
          <w:b/>
          <w:sz w:val="21"/>
        </w:rPr>
        <w:t>MHPs</w:t>
      </w:r>
      <w:r>
        <w:rPr>
          <w:b/>
          <w:spacing w:val="-7"/>
          <w:sz w:val="21"/>
        </w:rPr>
        <w:t xml:space="preserve"> </w:t>
      </w:r>
      <w:r>
        <w:rPr>
          <w:b/>
          <w:sz w:val="21"/>
        </w:rPr>
        <w:t>in</w:t>
      </w:r>
      <w:r>
        <w:rPr>
          <w:b/>
          <w:spacing w:val="-5"/>
          <w:sz w:val="21"/>
        </w:rPr>
        <w:t xml:space="preserve"> </w:t>
      </w:r>
      <w:r>
        <w:rPr>
          <w:b/>
          <w:sz w:val="21"/>
        </w:rPr>
        <w:t>order</w:t>
      </w:r>
      <w:r>
        <w:rPr>
          <w:b/>
          <w:spacing w:val="-5"/>
          <w:sz w:val="21"/>
        </w:rPr>
        <w:t xml:space="preserve"> </w:t>
      </w:r>
      <w:r>
        <w:rPr>
          <w:b/>
          <w:sz w:val="21"/>
        </w:rPr>
        <w:t>to</w:t>
      </w:r>
      <w:r>
        <w:rPr>
          <w:b/>
          <w:spacing w:val="-8"/>
          <w:sz w:val="21"/>
        </w:rPr>
        <w:t xml:space="preserve"> </w:t>
      </w:r>
      <w:r>
        <w:rPr>
          <w:b/>
          <w:sz w:val="21"/>
        </w:rPr>
        <w:t>meet</w:t>
      </w:r>
      <w:r>
        <w:rPr>
          <w:b/>
          <w:spacing w:val="-3"/>
          <w:sz w:val="21"/>
        </w:rPr>
        <w:t xml:space="preserve"> </w:t>
      </w:r>
      <w:r>
        <w:rPr>
          <w:b/>
          <w:sz w:val="21"/>
        </w:rPr>
        <w:t>nationally-recommended</w:t>
      </w:r>
      <w:r>
        <w:rPr>
          <w:b/>
          <w:spacing w:val="-5"/>
          <w:sz w:val="21"/>
        </w:rPr>
        <w:t xml:space="preserve"> </w:t>
      </w:r>
      <w:r>
        <w:rPr>
          <w:b/>
          <w:sz w:val="21"/>
        </w:rPr>
        <w:t>ratios</w:t>
      </w:r>
      <w:r>
        <w:rPr>
          <w:b/>
          <w:spacing w:val="-5"/>
          <w:sz w:val="21"/>
        </w:rPr>
        <w:t xml:space="preserve"> </w:t>
      </w:r>
      <w:r>
        <w:rPr>
          <w:b/>
          <w:sz w:val="21"/>
        </w:rPr>
        <w:t>between MHPs and youth.</w:t>
      </w:r>
    </w:p>
    <w:p w:rsidR="00200FDA" w:rsidRDefault="00200FDA">
      <w:pPr>
        <w:pStyle w:val="BodyText"/>
        <w:spacing w:before="9"/>
        <w:rPr>
          <w:b/>
          <w:sz w:val="19"/>
        </w:rPr>
      </w:pPr>
    </w:p>
    <w:p w:rsidR="00200FDA" w:rsidRDefault="00F76C4C">
      <w:pPr>
        <w:spacing w:line="276" w:lineRule="auto"/>
        <w:ind w:left="139" w:right="255"/>
        <w:jc w:val="both"/>
        <w:rPr>
          <w:sz w:val="21"/>
        </w:rPr>
      </w:pPr>
      <w:r>
        <w:rPr>
          <w:sz w:val="21"/>
        </w:rPr>
        <w:t>As</w:t>
      </w:r>
      <w:r>
        <w:rPr>
          <w:spacing w:val="-10"/>
          <w:sz w:val="21"/>
        </w:rPr>
        <w:t xml:space="preserve"> </w:t>
      </w:r>
      <w:r>
        <w:rPr>
          <w:sz w:val="21"/>
        </w:rPr>
        <w:t>discussed</w:t>
      </w:r>
      <w:r>
        <w:rPr>
          <w:spacing w:val="-10"/>
          <w:sz w:val="21"/>
        </w:rPr>
        <w:t xml:space="preserve"> </w:t>
      </w:r>
      <w:r>
        <w:rPr>
          <w:sz w:val="21"/>
        </w:rPr>
        <w:t>throughout</w:t>
      </w:r>
      <w:r>
        <w:rPr>
          <w:spacing w:val="-10"/>
          <w:sz w:val="21"/>
        </w:rPr>
        <w:t xml:space="preserve"> </w:t>
      </w:r>
      <w:r>
        <w:rPr>
          <w:sz w:val="21"/>
        </w:rPr>
        <w:t>this</w:t>
      </w:r>
      <w:r>
        <w:rPr>
          <w:spacing w:val="-8"/>
          <w:sz w:val="21"/>
        </w:rPr>
        <w:t xml:space="preserve"> </w:t>
      </w:r>
      <w:r>
        <w:rPr>
          <w:sz w:val="21"/>
        </w:rPr>
        <w:t>report,</w:t>
      </w:r>
      <w:r>
        <w:rPr>
          <w:spacing w:val="-12"/>
          <w:sz w:val="21"/>
        </w:rPr>
        <w:t xml:space="preserve"> </w:t>
      </w:r>
      <w:r>
        <w:rPr>
          <w:sz w:val="21"/>
        </w:rPr>
        <w:t>mental</w:t>
      </w:r>
      <w:r>
        <w:rPr>
          <w:spacing w:val="-10"/>
          <w:sz w:val="21"/>
        </w:rPr>
        <w:t xml:space="preserve"> </w:t>
      </w:r>
      <w:r>
        <w:rPr>
          <w:sz w:val="21"/>
        </w:rPr>
        <w:t>healthcare</w:t>
      </w:r>
      <w:r>
        <w:rPr>
          <w:spacing w:val="-9"/>
          <w:sz w:val="21"/>
        </w:rPr>
        <w:t xml:space="preserve"> </w:t>
      </w:r>
      <w:r>
        <w:rPr>
          <w:sz w:val="21"/>
        </w:rPr>
        <w:t>is</w:t>
      </w:r>
      <w:r>
        <w:rPr>
          <w:spacing w:val="-12"/>
          <w:sz w:val="21"/>
        </w:rPr>
        <w:t xml:space="preserve"> </w:t>
      </w:r>
      <w:r>
        <w:rPr>
          <w:sz w:val="21"/>
        </w:rPr>
        <w:t>in</w:t>
      </w:r>
      <w:r>
        <w:rPr>
          <w:spacing w:val="-10"/>
          <w:sz w:val="21"/>
        </w:rPr>
        <w:t xml:space="preserve"> </w:t>
      </w:r>
      <w:r>
        <w:rPr>
          <w:sz w:val="21"/>
        </w:rPr>
        <w:t>a</w:t>
      </w:r>
      <w:r>
        <w:rPr>
          <w:spacing w:val="-10"/>
          <w:sz w:val="21"/>
        </w:rPr>
        <w:t xml:space="preserve"> </w:t>
      </w:r>
      <w:r>
        <w:rPr>
          <w:sz w:val="21"/>
        </w:rPr>
        <w:t>state</w:t>
      </w:r>
      <w:r>
        <w:rPr>
          <w:spacing w:val="-9"/>
          <w:sz w:val="21"/>
        </w:rPr>
        <w:t xml:space="preserve"> </w:t>
      </w:r>
      <w:r>
        <w:rPr>
          <w:sz w:val="21"/>
        </w:rPr>
        <w:t>of</w:t>
      </w:r>
      <w:r>
        <w:rPr>
          <w:spacing w:val="-9"/>
          <w:sz w:val="21"/>
        </w:rPr>
        <w:t xml:space="preserve"> </w:t>
      </w:r>
      <w:r>
        <w:rPr>
          <w:sz w:val="21"/>
        </w:rPr>
        <w:t>crisis.</w:t>
      </w:r>
      <w:r>
        <w:rPr>
          <w:spacing w:val="-10"/>
          <w:sz w:val="21"/>
        </w:rPr>
        <w:t xml:space="preserve"> </w:t>
      </w:r>
      <w:r>
        <w:rPr>
          <w:sz w:val="21"/>
        </w:rPr>
        <w:t>The</w:t>
      </w:r>
      <w:r>
        <w:rPr>
          <w:spacing w:val="-11"/>
          <w:sz w:val="21"/>
        </w:rPr>
        <w:t xml:space="preserve"> </w:t>
      </w:r>
      <w:r>
        <w:rPr>
          <w:sz w:val="21"/>
        </w:rPr>
        <w:t>Commission</w:t>
      </w:r>
      <w:r>
        <w:rPr>
          <w:spacing w:val="-10"/>
          <w:sz w:val="21"/>
        </w:rPr>
        <w:t xml:space="preserve"> </w:t>
      </w:r>
      <w:r>
        <w:rPr>
          <w:sz w:val="21"/>
        </w:rPr>
        <w:t>recommends</w:t>
      </w:r>
      <w:r>
        <w:rPr>
          <w:spacing w:val="-10"/>
          <w:sz w:val="21"/>
        </w:rPr>
        <w:t xml:space="preserve"> </w:t>
      </w:r>
      <w:r>
        <w:rPr>
          <w:sz w:val="21"/>
        </w:rPr>
        <w:t>that the Commonwealth continue to prioritize and invest in mental health professionals, and ensure that K-12 schools,</w:t>
      </w:r>
      <w:r>
        <w:rPr>
          <w:spacing w:val="-7"/>
          <w:sz w:val="21"/>
        </w:rPr>
        <w:t xml:space="preserve"> </w:t>
      </w:r>
      <w:r>
        <w:rPr>
          <w:sz w:val="21"/>
        </w:rPr>
        <w:t>higher</w:t>
      </w:r>
      <w:r>
        <w:rPr>
          <w:spacing w:val="-6"/>
          <w:sz w:val="21"/>
        </w:rPr>
        <w:t xml:space="preserve"> </w:t>
      </w:r>
      <w:r>
        <w:rPr>
          <w:sz w:val="21"/>
        </w:rPr>
        <w:t>education,</w:t>
      </w:r>
      <w:r>
        <w:rPr>
          <w:spacing w:val="-7"/>
          <w:sz w:val="21"/>
        </w:rPr>
        <w:t xml:space="preserve"> </w:t>
      </w:r>
      <w:r>
        <w:rPr>
          <w:sz w:val="21"/>
        </w:rPr>
        <w:t>juvenile</w:t>
      </w:r>
      <w:r>
        <w:rPr>
          <w:spacing w:val="-6"/>
          <w:sz w:val="21"/>
        </w:rPr>
        <w:t xml:space="preserve"> </w:t>
      </w:r>
      <w:r>
        <w:rPr>
          <w:sz w:val="21"/>
        </w:rPr>
        <w:t>justice</w:t>
      </w:r>
      <w:r>
        <w:rPr>
          <w:spacing w:val="-6"/>
          <w:sz w:val="21"/>
        </w:rPr>
        <w:t xml:space="preserve"> </w:t>
      </w:r>
      <w:r>
        <w:rPr>
          <w:sz w:val="21"/>
        </w:rPr>
        <w:t>programs,</w:t>
      </w:r>
      <w:r>
        <w:rPr>
          <w:spacing w:val="-7"/>
          <w:sz w:val="21"/>
        </w:rPr>
        <w:t xml:space="preserve"> </w:t>
      </w:r>
      <w:r>
        <w:rPr>
          <w:sz w:val="21"/>
        </w:rPr>
        <w:t>and</w:t>
      </w:r>
      <w:r>
        <w:rPr>
          <w:spacing w:val="-10"/>
          <w:sz w:val="21"/>
        </w:rPr>
        <w:t xml:space="preserve"> </w:t>
      </w:r>
      <w:r>
        <w:rPr>
          <w:sz w:val="21"/>
        </w:rPr>
        <w:t>the</w:t>
      </w:r>
      <w:r>
        <w:rPr>
          <w:spacing w:val="-6"/>
          <w:sz w:val="21"/>
        </w:rPr>
        <w:t xml:space="preserve"> </w:t>
      </w:r>
      <w:r>
        <w:rPr>
          <w:sz w:val="21"/>
        </w:rPr>
        <w:t>child</w:t>
      </w:r>
      <w:r>
        <w:rPr>
          <w:spacing w:val="-7"/>
          <w:sz w:val="21"/>
        </w:rPr>
        <w:t xml:space="preserve"> </w:t>
      </w:r>
      <w:r>
        <w:rPr>
          <w:sz w:val="21"/>
        </w:rPr>
        <w:t>welfare</w:t>
      </w:r>
      <w:r>
        <w:rPr>
          <w:spacing w:val="-6"/>
          <w:sz w:val="21"/>
        </w:rPr>
        <w:t xml:space="preserve"> </w:t>
      </w:r>
      <w:r>
        <w:rPr>
          <w:sz w:val="21"/>
        </w:rPr>
        <w:t>system</w:t>
      </w:r>
      <w:r>
        <w:rPr>
          <w:spacing w:val="-7"/>
          <w:sz w:val="21"/>
        </w:rPr>
        <w:t xml:space="preserve"> </w:t>
      </w:r>
      <w:r>
        <w:rPr>
          <w:sz w:val="21"/>
        </w:rPr>
        <w:t>are</w:t>
      </w:r>
      <w:r>
        <w:rPr>
          <w:spacing w:val="-9"/>
          <w:sz w:val="21"/>
        </w:rPr>
        <w:t xml:space="preserve"> </w:t>
      </w:r>
      <w:r>
        <w:rPr>
          <w:sz w:val="21"/>
        </w:rPr>
        <w:t>able</w:t>
      </w:r>
      <w:r>
        <w:rPr>
          <w:spacing w:val="-6"/>
          <w:sz w:val="21"/>
        </w:rPr>
        <w:t xml:space="preserve"> </w:t>
      </w:r>
      <w:r>
        <w:rPr>
          <w:sz w:val="21"/>
        </w:rPr>
        <w:t>to</w:t>
      </w:r>
      <w:r>
        <w:rPr>
          <w:spacing w:val="-8"/>
          <w:sz w:val="21"/>
        </w:rPr>
        <w:t xml:space="preserve"> </w:t>
      </w:r>
      <w:r>
        <w:rPr>
          <w:sz w:val="21"/>
        </w:rPr>
        <w:t>provide</w:t>
      </w:r>
      <w:r>
        <w:rPr>
          <w:spacing w:val="-9"/>
          <w:sz w:val="21"/>
        </w:rPr>
        <w:t xml:space="preserve"> </w:t>
      </w:r>
      <w:r>
        <w:rPr>
          <w:sz w:val="21"/>
        </w:rPr>
        <w:t>effective and affirming mental health servic</w:t>
      </w:r>
      <w:r>
        <w:rPr>
          <w:sz w:val="21"/>
        </w:rPr>
        <w:t>es for youth in their care. The Commission urges the legislature to explore innovative</w:t>
      </w:r>
      <w:r>
        <w:rPr>
          <w:spacing w:val="-12"/>
          <w:sz w:val="21"/>
        </w:rPr>
        <w:t xml:space="preserve"> </w:t>
      </w:r>
      <w:r>
        <w:rPr>
          <w:sz w:val="21"/>
        </w:rPr>
        <w:t>ways</w:t>
      </w:r>
      <w:r>
        <w:rPr>
          <w:spacing w:val="-12"/>
          <w:sz w:val="21"/>
        </w:rPr>
        <w:t xml:space="preserve"> </w:t>
      </w:r>
      <w:r>
        <w:rPr>
          <w:sz w:val="21"/>
        </w:rPr>
        <w:t>to</w:t>
      </w:r>
      <w:r>
        <w:rPr>
          <w:spacing w:val="-12"/>
          <w:sz w:val="21"/>
        </w:rPr>
        <w:t xml:space="preserve"> </w:t>
      </w:r>
      <w:r>
        <w:rPr>
          <w:sz w:val="21"/>
        </w:rPr>
        <w:t>invest</w:t>
      </w:r>
      <w:r>
        <w:rPr>
          <w:spacing w:val="-12"/>
          <w:sz w:val="21"/>
        </w:rPr>
        <w:t xml:space="preserve"> </w:t>
      </w:r>
      <w:r>
        <w:rPr>
          <w:sz w:val="21"/>
        </w:rPr>
        <w:t>in</w:t>
      </w:r>
      <w:r>
        <w:rPr>
          <w:spacing w:val="-12"/>
          <w:sz w:val="21"/>
        </w:rPr>
        <w:t xml:space="preserve"> </w:t>
      </w:r>
      <w:r>
        <w:rPr>
          <w:sz w:val="21"/>
        </w:rPr>
        <w:t>mental</w:t>
      </w:r>
      <w:r>
        <w:rPr>
          <w:spacing w:val="-12"/>
          <w:sz w:val="21"/>
        </w:rPr>
        <w:t xml:space="preserve"> </w:t>
      </w:r>
      <w:r>
        <w:rPr>
          <w:sz w:val="21"/>
        </w:rPr>
        <w:t>healthcare</w:t>
      </w:r>
      <w:r>
        <w:rPr>
          <w:spacing w:val="-12"/>
          <w:sz w:val="21"/>
        </w:rPr>
        <w:t xml:space="preserve"> </w:t>
      </w:r>
      <w:r>
        <w:rPr>
          <w:sz w:val="21"/>
        </w:rPr>
        <w:t>professionals,</w:t>
      </w:r>
      <w:r>
        <w:rPr>
          <w:spacing w:val="-11"/>
          <w:sz w:val="21"/>
        </w:rPr>
        <w:t xml:space="preserve"> </w:t>
      </w:r>
      <w:r>
        <w:rPr>
          <w:sz w:val="21"/>
        </w:rPr>
        <w:t>including</w:t>
      </w:r>
      <w:r>
        <w:rPr>
          <w:spacing w:val="-12"/>
          <w:sz w:val="21"/>
        </w:rPr>
        <w:t xml:space="preserve"> </w:t>
      </w:r>
      <w:r>
        <w:rPr>
          <w:sz w:val="21"/>
        </w:rPr>
        <w:t>at</w:t>
      </w:r>
      <w:r>
        <w:rPr>
          <w:spacing w:val="-12"/>
          <w:sz w:val="21"/>
        </w:rPr>
        <w:t xml:space="preserve"> </w:t>
      </w:r>
      <w:r>
        <w:rPr>
          <w:sz w:val="21"/>
        </w:rPr>
        <w:t>the</w:t>
      </w:r>
      <w:r>
        <w:rPr>
          <w:spacing w:val="-12"/>
          <w:sz w:val="21"/>
        </w:rPr>
        <w:t xml:space="preserve"> </w:t>
      </w:r>
      <w:r>
        <w:rPr>
          <w:sz w:val="21"/>
        </w:rPr>
        <w:t>student</w:t>
      </w:r>
      <w:r>
        <w:rPr>
          <w:spacing w:val="-12"/>
          <w:sz w:val="21"/>
        </w:rPr>
        <w:t xml:space="preserve"> </w:t>
      </w:r>
      <w:r>
        <w:rPr>
          <w:sz w:val="21"/>
        </w:rPr>
        <w:t>level</w:t>
      </w:r>
      <w:r>
        <w:rPr>
          <w:spacing w:val="-12"/>
          <w:sz w:val="21"/>
        </w:rPr>
        <w:t xml:space="preserve"> </w:t>
      </w:r>
      <w:r>
        <w:rPr>
          <w:sz w:val="21"/>
        </w:rPr>
        <w:t>by</w:t>
      </w:r>
      <w:r>
        <w:rPr>
          <w:spacing w:val="-12"/>
          <w:sz w:val="21"/>
        </w:rPr>
        <w:t xml:space="preserve"> </w:t>
      </w:r>
      <w:r>
        <w:rPr>
          <w:sz w:val="21"/>
        </w:rPr>
        <w:t>providing</w:t>
      </w:r>
      <w:r>
        <w:rPr>
          <w:spacing w:val="-12"/>
          <w:sz w:val="21"/>
        </w:rPr>
        <w:t xml:space="preserve"> </w:t>
      </w:r>
      <w:r>
        <w:rPr>
          <w:sz w:val="21"/>
        </w:rPr>
        <w:t>funding opportunities and easing barriers to access for BIPOC and LGBTQ so</w:t>
      </w:r>
      <w:r>
        <w:rPr>
          <w:sz w:val="21"/>
        </w:rPr>
        <w:t>cial work students to licensure.</w:t>
      </w:r>
    </w:p>
    <w:p w:rsidR="00200FDA" w:rsidRDefault="00200FDA">
      <w:pPr>
        <w:pStyle w:val="BodyText"/>
        <w:rPr>
          <w:sz w:val="20"/>
        </w:rPr>
      </w:pPr>
    </w:p>
    <w:p w:rsidR="00200FDA" w:rsidRDefault="00F76C4C">
      <w:pPr>
        <w:pStyle w:val="Heading7"/>
        <w:spacing w:before="174"/>
        <w:ind w:left="140"/>
        <w:jc w:val="both"/>
      </w:pPr>
      <w:bookmarkStart w:id="354" w:name="Massachusetts_LGBTQ_Youth_Mental_Health_"/>
      <w:bookmarkEnd w:id="354"/>
      <w:r>
        <w:rPr>
          <w:color w:val="0A5293"/>
        </w:rPr>
        <w:t>Massachusetts</w:t>
      </w:r>
      <w:r>
        <w:rPr>
          <w:color w:val="0A5293"/>
          <w:spacing w:val="-5"/>
        </w:rPr>
        <w:t xml:space="preserve"> </w:t>
      </w:r>
      <w:r>
        <w:rPr>
          <w:color w:val="0A5293"/>
        </w:rPr>
        <w:t>LGBTQ</w:t>
      </w:r>
      <w:r>
        <w:rPr>
          <w:color w:val="0A5293"/>
          <w:spacing w:val="-5"/>
        </w:rPr>
        <w:t xml:space="preserve"> </w:t>
      </w:r>
      <w:r>
        <w:rPr>
          <w:color w:val="0A5293"/>
        </w:rPr>
        <w:t>Youth</w:t>
      </w:r>
      <w:r>
        <w:rPr>
          <w:color w:val="0A5293"/>
          <w:spacing w:val="-6"/>
        </w:rPr>
        <w:t xml:space="preserve"> </w:t>
      </w:r>
      <w:r>
        <w:rPr>
          <w:color w:val="0A5293"/>
        </w:rPr>
        <w:t>Mental</w:t>
      </w:r>
      <w:r>
        <w:rPr>
          <w:color w:val="0A5293"/>
          <w:spacing w:val="-5"/>
        </w:rPr>
        <w:t xml:space="preserve"> </w:t>
      </w:r>
      <w:r>
        <w:rPr>
          <w:color w:val="0A5293"/>
        </w:rPr>
        <w:t>Health</w:t>
      </w:r>
      <w:r>
        <w:rPr>
          <w:color w:val="0A5293"/>
          <w:spacing w:val="-5"/>
        </w:rPr>
        <w:t xml:space="preserve"> </w:t>
      </w:r>
      <w:r>
        <w:rPr>
          <w:color w:val="0A5293"/>
        </w:rPr>
        <w:t>–</w:t>
      </w:r>
      <w:r>
        <w:rPr>
          <w:color w:val="0A5293"/>
          <w:spacing w:val="-7"/>
        </w:rPr>
        <w:t xml:space="preserve"> </w:t>
      </w:r>
      <w:r>
        <w:rPr>
          <w:color w:val="0A5293"/>
        </w:rPr>
        <w:t>Data</w:t>
      </w:r>
      <w:r>
        <w:rPr>
          <w:color w:val="0A5293"/>
          <w:spacing w:val="-5"/>
        </w:rPr>
        <w:t xml:space="preserve"> </w:t>
      </w:r>
      <w:r>
        <w:rPr>
          <w:color w:val="0A5293"/>
        </w:rPr>
        <w:t>&amp;</w:t>
      </w:r>
      <w:r>
        <w:rPr>
          <w:color w:val="0A5293"/>
          <w:spacing w:val="-4"/>
        </w:rPr>
        <w:t xml:space="preserve"> </w:t>
      </w:r>
      <w:r>
        <w:rPr>
          <w:color w:val="0A5293"/>
          <w:spacing w:val="-2"/>
        </w:rPr>
        <w:t>Theories</w:t>
      </w:r>
    </w:p>
    <w:p w:rsidR="00200FDA" w:rsidRDefault="00F76C4C">
      <w:pPr>
        <w:pStyle w:val="BodyText"/>
        <w:spacing w:before="8"/>
        <w:rPr>
          <w:sz w:val="3"/>
        </w:rPr>
      </w:pPr>
      <w:r>
        <w:pict>
          <v:rect id="docshape275" o:spid="_x0000_s1298" style="position:absolute;margin-left:70.55pt;margin-top:3.45pt;width:470.9pt;height:.5pt;z-index:-15699456;mso-wrap-distance-left:0;mso-wrap-distance-right:0;mso-position-horizontal-relative:page" fillcolor="#0f6ec5" stroked="f">
            <w10:wrap type="topAndBottom" anchorx="page"/>
          </v:rect>
        </w:pict>
      </w:r>
    </w:p>
    <w:p w:rsidR="00200FDA" w:rsidRDefault="00200FDA">
      <w:pPr>
        <w:pStyle w:val="BodyText"/>
        <w:rPr>
          <w:sz w:val="20"/>
        </w:rPr>
      </w:pPr>
    </w:p>
    <w:p w:rsidR="00200FDA" w:rsidRDefault="00200FDA">
      <w:pPr>
        <w:pStyle w:val="BodyText"/>
        <w:spacing w:before="1"/>
        <w:rPr>
          <w:sz w:val="17"/>
        </w:rPr>
      </w:pPr>
    </w:p>
    <w:p w:rsidR="00200FDA" w:rsidRDefault="00F76C4C">
      <w:pPr>
        <w:spacing w:line="276" w:lineRule="auto"/>
        <w:ind w:left="139" w:right="253"/>
        <w:jc w:val="both"/>
        <w:rPr>
          <w:sz w:val="21"/>
        </w:rPr>
      </w:pPr>
      <w:r>
        <w:rPr>
          <w:sz w:val="21"/>
        </w:rPr>
        <w:t>Against</w:t>
      </w:r>
      <w:r>
        <w:rPr>
          <w:spacing w:val="-1"/>
          <w:sz w:val="21"/>
        </w:rPr>
        <w:t xml:space="preserve"> </w:t>
      </w:r>
      <w:r>
        <w:rPr>
          <w:sz w:val="21"/>
        </w:rPr>
        <w:t>the backdrop of the ongoing COVID-19 pandemic, growing</w:t>
      </w:r>
      <w:r>
        <w:rPr>
          <w:spacing w:val="-1"/>
          <w:sz w:val="21"/>
        </w:rPr>
        <w:t xml:space="preserve"> </w:t>
      </w:r>
      <w:r>
        <w:rPr>
          <w:sz w:val="21"/>
        </w:rPr>
        <w:t>social and political hostility, and a growing shortage</w:t>
      </w:r>
      <w:r>
        <w:rPr>
          <w:spacing w:val="-4"/>
          <w:sz w:val="21"/>
        </w:rPr>
        <w:t xml:space="preserve"> </w:t>
      </w:r>
      <w:r>
        <w:rPr>
          <w:sz w:val="21"/>
        </w:rPr>
        <w:t>of</w:t>
      </w:r>
      <w:r>
        <w:rPr>
          <w:spacing w:val="-4"/>
          <w:sz w:val="21"/>
        </w:rPr>
        <w:t xml:space="preserve"> </w:t>
      </w:r>
      <w:r>
        <w:rPr>
          <w:sz w:val="21"/>
        </w:rPr>
        <w:t>affordable</w:t>
      </w:r>
      <w:r>
        <w:rPr>
          <w:spacing w:val="-6"/>
          <w:sz w:val="21"/>
        </w:rPr>
        <w:t xml:space="preserve"> </w:t>
      </w:r>
      <w:r>
        <w:rPr>
          <w:sz w:val="21"/>
        </w:rPr>
        <w:t>and</w:t>
      </w:r>
      <w:r>
        <w:rPr>
          <w:spacing w:val="-5"/>
          <w:sz w:val="21"/>
        </w:rPr>
        <w:t xml:space="preserve"> </w:t>
      </w:r>
      <w:r>
        <w:rPr>
          <w:sz w:val="21"/>
        </w:rPr>
        <w:t>accessible</w:t>
      </w:r>
      <w:r>
        <w:rPr>
          <w:spacing w:val="-4"/>
          <w:sz w:val="21"/>
        </w:rPr>
        <w:t xml:space="preserve"> </w:t>
      </w:r>
      <w:r>
        <w:rPr>
          <w:sz w:val="21"/>
        </w:rPr>
        <w:t>mental</w:t>
      </w:r>
      <w:r>
        <w:rPr>
          <w:spacing w:val="-5"/>
          <w:sz w:val="21"/>
        </w:rPr>
        <w:t xml:space="preserve"> </w:t>
      </w:r>
      <w:r>
        <w:rPr>
          <w:sz w:val="21"/>
        </w:rPr>
        <w:t>healthcare,</w:t>
      </w:r>
      <w:r>
        <w:rPr>
          <w:spacing w:val="-7"/>
          <w:sz w:val="21"/>
        </w:rPr>
        <w:t xml:space="preserve"> </w:t>
      </w:r>
      <w:r>
        <w:rPr>
          <w:sz w:val="21"/>
        </w:rPr>
        <w:t>the</w:t>
      </w:r>
      <w:r>
        <w:rPr>
          <w:spacing w:val="-4"/>
          <w:sz w:val="21"/>
        </w:rPr>
        <w:t xml:space="preserve"> </w:t>
      </w:r>
      <w:r>
        <w:rPr>
          <w:sz w:val="21"/>
        </w:rPr>
        <w:t>state</w:t>
      </w:r>
      <w:r>
        <w:rPr>
          <w:spacing w:val="-4"/>
          <w:sz w:val="21"/>
        </w:rPr>
        <w:t xml:space="preserve"> </w:t>
      </w:r>
      <w:r>
        <w:rPr>
          <w:sz w:val="21"/>
        </w:rPr>
        <w:t>of</w:t>
      </w:r>
      <w:r>
        <w:rPr>
          <w:spacing w:val="-4"/>
          <w:sz w:val="21"/>
        </w:rPr>
        <w:t xml:space="preserve"> </w:t>
      </w:r>
      <w:r>
        <w:rPr>
          <w:sz w:val="21"/>
        </w:rPr>
        <w:t>LGBTQ</w:t>
      </w:r>
      <w:r>
        <w:rPr>
          <w:spacing w:val="-5"/>
          <w:sz w:val="21"/>
        </w:rPr>
        <w:t xml:space="preserve"> </w:t>
      </w:r>
      <w:r>
        <w:rPr>
          <w:sz w:val="21"/>
        </w:rPr>
        <w:t>youth</w:t>
      </w:r>
      <w:r>
        <w:rPr>
          <w:spacing w:val="-5"/>
          <w:sz w:val="21"/>
        </w:rPr>
        <w:t xml:space="preserve"> </w:t>
      </w:r>
      <w:r>
        <w:rPr>
          <w:sz w:val="21"/>
        </w:rPr>
        <w:t>mental</w:t>
      </w:r>
      <w:r>
        <w:rPr>
          <w:spacing w:val="-5"/>
          <w:sz w:val="21"/>
        </w:rPr>
        <w:t xml:space="preserve"> </w:t>
      </w:r>
      <w:r>
        <w:rPr>
          <w:sz w:val="21"/>
        </w:rPr>
        <w:t>health</w:t>
      </w:r>
      <w:r>
        <w:rPr>
          <w:spacing w:val="-5"/>
          <w:sz w:val="21"/>
        </w:rPr>
        <w:t xml:space="preserve"> </w:t>
      </w:r>
      <w:r>
        <w:rPr>
          <w:sz w:val="21"/>
        </w:rPr>
        <w:t>continues</w:t>
      </w:r>
      <w:r>
        <w:rPr>
          <w:spacing w:val="-5"/>
          <w:sz w:val="21"/>
        </w:rPr>
        <w:t xml:space="preserve"> </w:t>
      </w:r>
      <w:r>
        <w:rPr>
          <w:sz w:val="21"/>
        </w:rPr>
        <w:t>to deteriorate. Overall, more and more youth have been experiencing anxiety and considering suicide over the last three years of the global pandemic. Additionally, more youth are experiencing dep</w:t>
      </w:r>
      <w:r>
        <w:rPr>
          <w:sz w:val="21"/>
        </w:rPr>
        <w:t>ression than in 2020, while suicide attempt rates have stayed relatively level.</w:t>
      </w:r>
      <w:hyperlink w:anchor="_bookmark256" w:history="1">
        <w:r>
          <w:rPr>
            <w:sz w:val="21"/>
            <w:vertAlign w:val="superscript"/>
          </w:rPr>
          <w:t>2</w:t>
        </w:r>
      </w:hyperlink>
      <w:r>
        <w:rPr>
          <w:sz w:val="21"/>
        </w:rPr>
        <w:t xml:space="preserve"> Most alarmingly, in 2021, 1 in 2 LGBTQ youth in Massachusetts were not able to get mental healthcare when they wanted it.</w:t>
      </w:r>
      <w:hyperlink w:anchor="_bookmark257" w:history="1">
        <w:r>
          <w:rPr>
            <w:sz w:val="21"/>
            <w:vertAlign w:val="superscript"/>
          </w:rPr>
          <w:t>3</w:t>
        </w:r>
      </w:hyperlink>
    </w:p>
    <w:p w:rsidR="00200FDA" w:rsidRDefault="00200FDA">
      <w:pPr>
        <w:pStyle w:val="BodyText"/>
        <w:spacing w:before="8"/>
        <w:rPr>
          <w:sz w:val="19"/>
        </w:rPr>
      </w:pPr>
    </w:p>
    <w:p w:rsidR="00200FDA" w:rsidRDefault="00F76C4C">
      <w:pPr>
        <w:spacing w:line="276" w:lineRule="auto"/>
        <w:ind w:left="139" w:right="254"/>
        <w:jc w:val="both"/>
        <w:rPr>
          <w:sz w:val="21"/>
        </w:rPr>
      </w:pPr>
      <w:r>
        <w:rPr>
          <w:sz w:val="21"/>
        </w:rPr>
        <w:t>In the Trevor Project’s most recent survey on LGBTQ youth mental health, 71% of 13-18 year-old LGBTQ participants in Massachusetts reported experiencing anxiety, while 51% felt symptoms of depression.</w:t>
      </w:r>
      <w:r>
        <w:rPr>
          <w:spacing w:val="-9"/>
          <w:sz w:val="21"/>
        </w:rPr>
        <w:t xml:space="preserve"> </w:t>
      </w:r>
      <w:hyperlink w:anchor="_bookmark258" w:history="1">
        <w:r>
          <w:rPr>
            <w:sz w:val="21"/>
            <w:vertAlign w:val="superscript"/>
          </w:rPr>
          <w:t>4</w:t>
        </w:r>
      </w:hyperlink>
      <w:r>
        <w:rPr>
          <w:sz w:val="21"/>
        </w:rPr>
        <w:t xml:space="preserve"> Meanwhile, 41% of participants reported seriously considering suicide in the last year, and 11% reported attempting suicide (vs. 14% nationwide). Across the US, more than 1 in 3 youth have experienced physical threats</w:t>
      </w:r>
      <w:r>
        <w:rPr>
          <w:spacing w:val="-1"/>
          <w:sz w:val="21"/>
        </w:rPr>
        <w:t xml:space="preserve"> </w:t>
      </w:r>
      <w:r>
        <w:rPr>
          <w:sz w:val="21"/>
        </w:rPr>
        <w:t>or harm</w:t>
      </w:r>
      <w:r>
        <w:rPr>
          <w:spacing w:val="-3"/>
          <w:sz w:val="21"/>
        </w:rPr>
        <w:t xml:space="preserve"> </w:t>
      </w:r>
      <w:r>
        <w:rPr>
          <w:sz w:val="21"/>
        </w:rPr>
        <w:t>based on</w:t>
      </w:r>
      <w:r>
        <w:rPr>
          <w:spacing w:val="-2"/>
          <w:sz w:val="21"/>
        </w:rPr>
        <w:t xml:space="preserve"> </w:t>
      </w:r>
      <w:r>
        <w:rPr>
          <w:sz w:val="21"/>
        </w:rPr>
        <w:t>their ide</w:t>
      </w:r>
      <w:r>
        <w:rPr>
          <w:sz w:val="21"/>
        </w:rPr>
        <w:t>ntities</w:t>
      </w:r>
      <w:r>
        <w:rPr>
          <w:spacing w:val="-1"/>
          <w:sz w:val="21"/>
        </w:rPr>
        <w:t xml:space="preserve"> </w:t>
      </w:r>
      <w:r>
        <w:rPr>
          <w:sz w:val="21"/>
        </w:rPr>
        <w:t>– and youth</w:t>
      </w:r>
      <w:r>
        <w:rPr>
          <w:spacing w:val="-3"/>
          <w:sz w:val="21"/>
        </w:rPr>
        <w:t xml:space="preserve"> </w:t>
      </w:r>
      <w:r>
        <w:rPr>
          <w:sz w:val="21"/>
        </w:rPr>
        <w:t>who were</w:t>
      </w:r>
      <w:r>
        <w:rPr>
          <w:spacing w:val="-1"/>
          <w:sz w:val="21"/>
        </w:rPr>
        <w:t xml:space="preserve"> </w:t>
      </w:r>
      <w:r>
        <w:rPr>
          <w:sz w:val="21"/>
        </w:rPr>
        <w:t>victimized</w:t>
      </w:r>
      <w:r>
        <w:rPr>
          <w:spacing w:val="-2"/>
          <w:sz w:val="21"/>
        </w:rPr>
        <w:t xml:space="preserve"> </w:t>
      </w:r>
      <w:r>
        <w:rPr>
          <w:sz w:val="21"/>
        </w:rPr>
        <w:t>attempted suicide at</w:t>
      </w:r>
      <w:r>
        <w:rPr>
          <w:spacing w:val="-1"/>
          <w:sz w:val="21"/>
        </w:rPr>
        <w:t xml:space="preserve"> </w:t>
      </w:r>
      <w:r>
        <w:rPr>
          <w:sz w:val="21"/>
        </w:rPr>
        <w:t>over</w:t>
      </w:r>
      <w:r>
        <w:rPr>
          <w:spacing w:val="-1"/>
          <w:sz w:val="21"/>
        </w:rPr>
        <w:t xml:space="preserve"> </w:t>
      </w:r>
      <w:r>
        <w:rPr>
          <w:sz w:val="21"/>
        </w:rPr>
        <w:t>twice</w:t>
      </w:r>
      <w:r>
        <w:rPr>
          <w:spacing w:val="-1"/>
          <w:sz w:val="21"/>
        </w:rPr>
        <w:t xml:space="preserve"> </w:t>
      </w:r>
      <w:r>
        <w:rPr>
          <w:sz w:val="21"/>
        </w:rPr>
        <w:t>as often as peers who were not.</w:t>
      </w:r>
      <w:hyperlink w:anchor="_bookmark259" w:history="1">
        <w:r>
          <w:rPr>
            <w:sz w:val="21"/>
            <w:vertAlign w:val="superscript"/>
          </w:rPr>
          <w:t>5</w:t>
        </w:r>
      </w:hyperlink>
      <w:r>
        <w:rPr>
          <w:spacing w:val="-2"/>
          <w:sz w:val="21"/>
        </w:rPr>
        <w:t xml:space="preserve"> </w:t>
      </w:r>
      <w:r>
        <w:rPr>
          <w:sz w:val="21"/>
        </w:rPr>
        <w:t>Finally, the US Census Bureau’s Household Pulse Survey recently found that LGBTQ</w:t>
      </w:r>
      <w:r>
        <w:rPr>
          <w:spacing w:val="-6"/>
          <w:sz w:val="21"/>
        </w:rPr>
        <w:t xml:space="preserve"> </w:t>
      </w:r>
      <w:r>
        <w:rPr>
          <w:sz w:val="21"/>
        </w:rPr>
        <w:t>adults</w:t>
      </w:r>
      <w:r>
        <w:rPr>
          <w:spacing w:val="-7"/>
          <w:sz w:val="21"/>
        </w:rPr>
        <w:t xml:space="preserve"> </w:t>
      </w:r>
      <w:r>
        <w:rPr>
          <w:sz w:val="21"/>
        </w:rPr>
        <w:t>ages</w:t>
      </w:r>
      <w:r>
        <w:rPr>
          <w:spacing w:val="-7"/>
          <w:sz w:val="21"/>
        </w:rPr>
        <w:t xml:space="preserve"> </w:t>
      </w:r>
      <w:r>
        <w:rPr>
          <w:sz w:val="21"/>
        </w:rPr>
        <w:t>18-29</w:t>
      </w:r>
      <w:r>
        <w:rPr>
          <w:spacing w:val="-7"/>
          <w:sz w:val="21"/>
        </w:rPr>
        <w:t xml:space="preserve"> </w:t>
      </w:r>
      <w:r>
        <w:rPr>
          <w:sz w:val="21"/>
        </w:rPr>
        <w:t>were</w:t>
      </w:r>
      <w:r>
        <w:rPr>
          <w:spacing w:val="-5"/>
          <w:sz w:val="21"/>
        </w:rPr>
        <w:t xml:space="preserve"> </w:t>
      </w:r>
      <w:r>
        <w:rPr>
          <w:sz w:val="21"/>
        </w:rPr>
        <w:t>nearly</w:t>
      </w:r>
      <w:r>
        <w:rPr>
          <w:spacing w:val="-5"/>
          <w:sz w:val="21"/>
        </w:rPr>
        <w:t xml:space="preserve"> </w:t>
      </w:r>
      <w:r>
        <w:rPr>
          <w:sz w:val="21"/>
        </w:rPr>
        <w:t>twice</w:t>
      </w:r>
      <w:r>
        <w:rPr>
          <w:spacing w:val="-5"/>
          <w:sz w:val="21"/>
        </w:rPr>
        <w:t xml:space="preserve"> </w:t>
      </w:r>
      <w:r>
        <w:rPr>
          <w:sz w:val="21"/>
        </w:rPr>
        <w:t>as</w:t>
      </w:r>
      <w:r>
        <w:rPr>
          <w:spacing w:val="-7"/>
          <w:sz w:val="21"/>
        </w:rPr>
        <w:t xml:space="preserve"> </w:t>
      </w:r>
      <w:r>
        <w:rPr>
          <w:sz w:val="21"/>
        </w:rPr>
        <w:t>likely</w:t>
      </w:r>
      <w:r>
        <w:rPr>
          <w:spacing w:val="-5"/>
          <w:sz w:val="21"/>
        </w:rPr>
        <w:t xml:space="preserve"> </w:t>
      </w:r>
      <w:r>
        <w:rPr>
          <w:sz w:val="21"/>
        </w:rPr>
        <w:t>as</w:t>
      </w:r>
      <w:r>
        <w:rPr>
          <w:spacing w:val="-7"/>
          <w:sz w:val="21"/>
        </w:rPr>
        <w:t xml:space="preserve"> </w:t>
      </w:r>
      <w:r>
        <w:rPr>
          <w:sz w:val="21"/>
        </w:rPr>
        <w:t>non-LGBTQ</w:t>
      </w:r>
      <w:r>
        <w:rPr>
          <w:spacing w:val="-6"/>
          <w:sz w:val="21"/>
        </w:rPr>
        <w:t xml:space="preserve"> </w:t>
      </w:r>
      <w:r>
        <w:rPr>
          <w:sz w:val="21"/>
        </w:rPr>
        <w:t>peers</w:t>
      </w:r>
      <w:r>
        <w:rPr>
          <w:spacing w:val="-7"/>
          <w:sz w:val="21"/>
        </w:rPr>
        <w:t xml:space="preserve"> </w:t>
      </w:r>
      <w:r>
        <w:rPr>
          <w:sz w:val="21"/>
        </w:rPr>
        <w:t>to</w:t>
      </w:r>
      <w:r>
        <w:rPr>
          <w:spacing w:val="-7"/>
          <w:sz w:val="21"/>
        </w:rPr>
        <w:t xml:space="preserve"> </w:t>
      </w:r>
      <w:r>
        <w:rPr>
          <w:sz w:val="21"/>
        </w:rPr>
        <w:t>report</w:t>
      </w:r>
      <w:r>
        <w:rPr>
          <w:spacing w:val="-7"/>
          <w:sz w:val="21"/>
        </w:rPr>
        <w:t xml:space="preserve"> </w:t>
      </w:r>
      <w:r>
        <w:rPr>
          <w:sz w:val="21"/>
        </w:rPr>
        <w:t>having</w:t>
      </w:r>
      <w:r>
        <w:rPr>
          <w:spacing w:val="-7"/>
          <w:sz w:val="21"/>
        </w:rPr>
        <w:t xml:space="preserve"> </w:t>
      </w:r>
      <w:r>
        <w:rPr>
          <w:sz w:val="21"/>
        </w:rPr>
        <w:t>symptoms</w:t>
      </w:r>
      <w:r>
        <w:rPr>
          <w:spacing w:val="-7"/>
          <w:sz w:val="21"/>
        </w:rPr>
        <w:t xml:space="preserve"> </w:t>
      </w:r>
      <w:r>
        <w:rPr>
          <w:sz w:val="21"/>
        </w:rPr>
        <w:t>of</w:t>
      </w:r>
      <w:r>
        <w:rPr>
          <w:spacing w:val="-5"/>
          <w:sz w:val="21"/>
        </w:rPr>
        <w:t xml:space="preserve"> </w:t>
      </w:r>
      <w:r>
        <w:rPr>
          <w:sz w:val="21"/>
        </w:rPr>
        <w:t>anxiety (61% of adults) and depression (50%).</w:t>
      </w:r>
      <w:hyperlink w:anchor="_bookmark260" w:history="1">
        <w:r>
          <w:rPr>
            <w:sz w:val="21"/>
            <w:vertAlign w:val="superscript"/>
          </w:rPr>
          <w:t>6</w:t>
        </w:r>
      </w:hyperlink>
    </w:p>
    <w:p w:rsidR="00200FDA" w:rsidRDefault="00200FDA">
      <w:pPr>
        <w:spacing w:line="276" w:lineRule="auto"/>
        <w:jc w:val="both"/>
        <w:rPr>
          <w:sz w:val="21"/>
        </w:rPr>
        <w:sectPr w:rsidR="00200FDA">
          <w:pgSz w:w="12240" w:h="15840"/>
          <w:pgMar w:top="1360" w:right="1180" w:bottom="1480" w:left="1300" w:header="761" w:footer="1283" w:gutter="0"/>
          <w:cols w:space="720"/>
        </w:sectPr>
      </w:pPr>
    </w:p>
    <w:p w:rsidR="00200FDA" w:rsidRDefault="00F76C4C">
      <w:pPr>
        <w:pStyle w:val="Heading8"/>
        <w:spacing w:before="64"/>
      </w:pPr>
      <w:r>
        <w:rPr>
          <w:color w:val="0A5293"/>
        </w:rPr>
        <w:lastRenderedPageBreak/>
        <w:t xml:space="preserve">Data </w:t>
      </w:r>
      <w:r>
        <w:rPr>
          <w:color w:val="0A5293"/>
          <w:spacing w:val="-2"/>
        </w:rPr>
        <w:t>Limitations</w:t>
      </w:r>
    </w:p>
    <w:p w:rsidR="00200FDA" w:rsidRDefault="00200FDA">
      <w:pPr>
        <w:pStyle w:val="BodyText"/>
        <w:spacing w:before="8"/>
        <w:rPr>
          <w:sz w:val="27"/>
        </w:rPr>
      </w:pPr>
    </w:p>
    <w:p w:rsidR="00200FDA" w:rsidRDefault="00F76C4C">
      <w:pPr>
        <w:spacing w:line="276" w:lineRule="auto"/>
        <w:ind w:left="140" w:right="255"/>
        <w:jc w:val="both"/>
        <w:rPr>
          <w:sz w:val="21"/>
        </w:rPr>
      </w:pPr>
      <w:r>
        <w:rPr>
          <w:sz w:val="21"/>
        </w:rPr>
        <w:t>While LGBTQ youth face mental health challenges across the board, there are clear disparities for BIPOC, multiracial, and gender expansive (transgender and non-binary) LGBTQ youth. For instance, in the Trevor Project’s 2022 National Survey, Indigenous, Mid</w:t>
      </w:r>
      <w:r>
        <w:rPr>
          <w:sz w:val="21"/>
        </w:rPr>
        <w:t>dle Eastern/North African (MENA), and multiracial LGBTQ youth were the top three reporters of anxiety, depression, and threats and acts of physical harm. Gender expansive</w:t>
      </w:r>
      <w:r>
        <w:rPr>
          <w:spacing w:val="-6"/>
          <w:sz w:val="21"/>
        </w:rPr>
        <w:t xml:space="preserve"> </w:t>
      </w:r>
      <w:r>
        <w:rPr>
          <w:sz w:val="21"/>
        </w:rPr>
        <w:t>youth</w:t>
      </w:r>
      <w:r>
        <w:rPr>
          <w:spacing w:val="-5"/>
          <w:sz w:val="21"/>
        </w:rPr>
        <w:t xml:space="preserve"> </w:t>
      </w:r>
      <w:r>
        <w:rPr>
          <w:sz w:val="21"/>
        </w:rPr>
        <w:t>across</w:t>
      </w:r>
      <w:r>
        <w:rPr>
          <w:spacing w:val="-5"/>
          <w:sz w:val="21"/>
        </w:rPr>
        <w:t xml:space="preserve"> </w:t>
      </w:r>
      <w:r>
        <w:rPr>
          <w:sz w:val="21"/>
        </w:rPr>
        <w:t>the</w:t>
      </w:r>
      <w:r>
        <w:rPr>
          <w:spacing w:val="-6"/>
          <w:sz w:val="21"/>
        </w:rPr>
        <w:t xml:space="preserve"> </w:t>
      </w:r>
      <w:r>
        <w:rPr>
          <w:sz w:val="21"/>
        </w:rPr>
        <w:t>Commonwealth</w:t>
      </w:r>
      <w:r>
        <w:rPr>
          <w:spacing w:val="-5"/>
          <w:sz w:val="21"/>
        </w:rPr>
        <w:t xml:space="preserve"> </w:t>
      </w:r>
      <w:r>
        <w:rPr>
          <w:sz w:val="21"/>
        </w:rPr>
        <w:t>and</w:t>
      </w:r>
      <w:r>
        <w:rPr>
          <w:spacing w:val="-7"/>
          <w:sz w:val="21"/>
        </w:rPr>
        <w:t xml:space="preserve"> </w:t>
      </w:r>
      <w:r>
        <w:rPr>
          <w:sz w:val="21"/>
        </w:rPr>
        <w:t>the</w:t>
      </w:r>
      <w:r>
        <w:rPr>
          <w:spacing w:val="-4"/>
          <w:sz w:val="21"/>
        </w:rPr>
        <w:t xml:space="preserve"> </w:t>
      </w:r>
      <w:r>
        <w:rPr>
          <w:sz w:val="21"/>
        </w:rPr>
        <w:t>country</w:t>
      </w:r>
      <w:r>
        <w:rPr>
          <w:spacing w:val="-4"/>
          <w:sz w:val="21"/>
        </w:rPr>
        <w:t xml:space="preserve"> </w:t>
      </w:r>
      <w:r>
        <w:rPr>
          <w:sz w:val="21"/>
        </w:rPr>
        <w:t>also</w:t>
      </w:r>
      <w:r>
        <w:rPr>
          <w:spacing w:val="-5"/>
          <w:sz w:val="21"/>
        </w:rPr>
        <w:t xml:space="preserve"> </w:t>
      </w:r>
      <w:r>
        <w:rPr>
          <w:sz w:val="21"/>
        </w:rPr>
        <w:t>reported</w:t>
      </w:r>
      <w:r>
        <w:rPr>
          <w:spacing w:val="-5"/>
          <w:sz w:val="21"/>
        </w:rPr>
        <w:t xml:space="preserve"> </w:t>
      </w:r>
      <w:r>
        <w:rPr>
          <w:sz w:val="21"/>
        </w:rPr>
        <w:t>significantly</w:t>
      </w:r>
      <w:r>
        <w:rPr>
          <w:spacing w:val="-4"/>
          <w:sz w:val="21"/>
        </w:rPr>
        <w:t xml:space="preserve"> </w:t>
      </w:r>
      <w:r>
        <w:rPr>
          <w:sz w:val="21"/>
        </w:rPr>
        <w:t>higher</w:t>
      </w:r>
      <w:r>
        <w:rPr>
          <w:spacing w:val="-6"/>
          <w:sz w:val="21"/>
        </w:rPr>
        <w:t xml:space="preserve"> </w:t>
      </w:r>
      <w:r>
        <w:rPr>
          <w:sz w:val="21"/>
        </w:rPr>
        <w:t>rate</w:t>
      </w:r>
      <w:r>
        <w:rPr>
          <w:sz w:val="21"/>
        </w:rPr>
        <w:t>s</w:t>
      </w:r>
      <w:r>
        <w:rPr>
          <w:spacing w:val="-5"/>
          <w:sz w:val="21"/>
        </w:rPr>
        <w:t xml:space="preserve"> </w:t>
      </w:r>
      <w:r>
        <w:rPr>
          <w:sz w:val="21"/>
        </w:rPr>
        <w:t>of</w:t>
      </w:r>
      <w:r>
        <w:rPr>
          <w:spacing w:val="-6"/>
          <w:sz w:val="21"/>
        </w:rPr>
        <w:t xml:space="preserve"> </w:t>
      </w:r>
      <w:r>
        <w:rPr>
          <w:sz w:val="21"/>
        </w:rPr>
        <w:t>anxiety, depression, and suicidality –</w:t>
      </w:r>
      <w:r>
        <w:rPr>
          <w:spacing w:val="-1"/>
          <w:sz w:val="21"/>
        </w:rPr>
        <w:t xml:space="preserve"> </w:t>
      </w:r>
      <w:r>
        <w:rPr>
          <w:sz w:val="21"/>
        </w:rPr>
        <w:t>for instance,</w:t>
      </w:r>
      <w:r>
        <w:rPr>
          <w:spacing w:val="-2"/>
          <w:sz w:val="21"/>
        </w:rPr>
        <w:t xml:space="preserve"> </w:t>
      </w:r>
      <w:r>
        <w:rPr>
          <w:sz w:val="21"/>
        </w:rPr>
        <w:t>64% of gender</w:t>
      </w:r>
      <w:r>
        <w:rPr>
          <w:spacing w:val="-1"/>
          <w:sz w:val="21"/>
        </w:rPr>
        <w:t xml:space="preserve"> </w:t>
      </w:r>
      <w:r>
        <w:rPr>
          <w:sz w:val="21"/>
        </w:rPr>
        <w:t>expansive</w:t>
      </w:r>
      <w:r>
        <w:rPr>
          <w:spacing w:val="-1"/>
          <w:sz w:val="21"/>
        </w:rPr>
        <w:t xml:space="preserve"> </w:t>
      </w:r>
      <w:r>
        <w:rPr>
          <w:sz w:val="21"/>
        </w:rPr>
        <w:t>youth. Finally, over half of Indigenous and gender expansive youth reported high levels of trauma symptoms.</w:t>
      </w:r>
    </w:p>
    <w:p w:rsidR="00200FDA" w:rsidRDefault="00200FDA">
      <w:pPr>
        <w:pStyle w:val="BodyText"/>
        <w:spacing w:before="9"/>
        <w:rPr>
          <w:sz w:val="19"/>
        </w:rPr>
      </w:pPr>
    </w:p>
    <w:p w:rsidR="00200FDA" w:rsidRDefault="00F76C4C">
      <w:pPr>
        <w:spacing w:line="276" w:lineRule="auto"/>
        <w:ind w:left="140" w:right="256"/>
        <w:jc w:val="both"/>
        <w:rPr>
          <w:sz w:val="21"/>
        </w:rPr>
      </w:pPr>
      <w:r>
        <w:rPr>
          <w:sz w:val="21"/>
        </w:rPr>
        <w:t>It</w:t>
      </w:r>
      <w:r>
        <w:rPr>
          <w:spacing w:val="-8"/>
          <w:sz w:val="21"/>
        </w:rPr>
        <w:t xml:space="preserve"> </w:t>
      </w:r>
      <w:r>
        <w:rPr>
          <w:sz w:val="21"/>
        </w:rPr>
        <w:t>is</w:t>
      </w:r>
      <w:r>
        <w:rPr>
          <w:spacing w:val="-8"/>
          <w:sz w:val="21"/>
        </w:rPr>
        <w:t xml:space="preserve"> </w:t>
      </w:r>
      <w:r>
        <w:rPr>
          <w:sz w:val="21"/>
        </w:rPr>
        <w:t>also</w:t>
      </w:r>
      <w:r>
        <w:rPr>
          <w:spacing w:val="-8"/>
          <w:sz w:val="21"/>
        </w:rPr>
        <w:t xml:space="preserve"> </w:t>
      </w:r>
      <w:r>
        <w:rPr>
          <w:sz w:val="21"/>
        </w:rPr>
        <w:t>important</w:t>
      </w:r>
      <w:r>
        <w:rPr>
          <w:spacing w:val="-8"/>
          <w:sz w:val="21"/>
        </w:rPr>
        <w:t xml:space="preserve"> </w:t>
      </w:r>
      <w:r>
        <w:rPr>
          <w:sz w:val="21"/>
        </w:rPr>
        <w:t>to</w:t>
      </w:r>
      <w:r>
        <w:rPr>
          <w:spacing w:val="-8"/>
          <w:sz w:val="21"/>
        </w:rPr>
        <w:t xml:space="preserve"> </w:t>
      </w:r>
      <w:r>
        <w:rPr>
          <w:sz w:val="21"/>
        </w:rPr>
        <w:t>acknowledge</w:t>
      </w:r>
      <w:r>
        <w:rPr>
          <w:spacing w:val="-9"/>
          <w:sz w:val="21"/>
        </w:rPr>
        <w:t xml:space="preserve"> </w:t>
      </w:r>
      <w:r>
        <w:rPr>
          <w:sz w:val="21"/>
        </w:rPr>
        <w:t>that</w:t>
      </w:r>
      <w:r>
        <w:rPr>
          <w:spacing w:val="-8"/>
          <w:sz w:val="21"/>
        </w:rPr>
        <w:t xml:space="preserve"> </w:t>
      </w:r>
      <w:r>
        <w:rPr>
          <w:sz w:val="21"/>
        </w:rPr>
        <w:t>many</w:t>
      </w:r>
      <w:r>
        <w:rPr>
          <w:spacing w:val="-9"/>
          <w:sz w:val="21"/>
        </w:rPr>
        <w:t xml:space="preserve"> </w:t>
      </w:r>
      <w:r>
        <w:rPr>
          <w:sz w:val="21"/>
        </w:rPr>
        <w:t>youth</w:t>
      </w:r>
      <w:r>
        <w:rPr>
          <w:spacing w:val="-7"/>
          <w:sz w:val="21"/>
        </w:rPr>
        <w:t xml:space="preserve"> </w:t>
      </w:r>
      <w:r>
        <w:rPr>
          <w:sz w:val="21"/>
        </w:rPr>
        <w:t>remain</w:t>
      </w:r>
      <w:r>
        <w:rPr>
          <w:spacing w:val="-7"/>
          <w:sz w:val="21"/>
        </w:rPr>
        <w:t xml:space="preserve"> </w:t>
      </w:r>
      <w:r>
        <w:rPr>
          <w:sz w:val="21"/>
        </w:rPr>
        <w:t>invisible</w:t>
      </w:r>
      <w:r>
        <w:rPr>
          <w:spacing w:val="-6"/>
          <w:sz w:val="21"/>
        </w:rPr>
        <w:t xml:space="preserve"> </w:t>
      </w:r>
      <w:r>
        <w:rPr>
          <w:sz w:val="21"/>
        </w:rPr>
        <w:t>in</w:t>
      </w:r>
      <w:r>
        <w:rPr>
          <w:spacing w:val="-10"/>
          <w:sz w:val="21"/>
        </w:rPr>
        <w:t xml:space="preserve"> </w:t>
      </w:r>
      <w:r>
        <w:rPr>
          <w:sz w:val="21"/>
        </w:rPr>
        <w:t>research.</w:t>
      </w:r>
      <w:r>
        <w:rPr>
          <w:spacing w:val="-10"/>
          <w:sz w:val="21"/>
        </w:rPr>
        <w:t xml:space="preserve"> </w:t>
      </w:r>
      <w:r>
        <w:rPr>
          <w:sz w:val="21"/>
        </w:rPr>
        <w:t>No</w:t>
      </w:r>
      <w:r>
        <w:rPr>
          <w:spacing w:val="-10"/>
          <w:sz w:val="21"/>
        </w:rPr>
        <w:t xml:space="preserve"> </w:t>
      </w:r>
      <w:r>
        <w:rPr>
          <w:sz w:val="21"/>
        </w:rPr>
        <w:t>recent</w:t>
      </w:r>
      <w:r>
        <w:rPr>
          <w:spacing w:val="-8"/>
          <w:sz w:val="21"/>
        </w:rPr>
        <w:t xml:space="preserve"> </w:t>
      </w:r>
      <w:r>
        <w:rPr>
          <w:sz w:val="21"/>
        </w:rPr>
        <w:t>national</w:t>
      </w:r>
      <w:r>
        <w:rPr>
          <w:spacing w:val="-7"/>
          <w:sz w:val="21"/>
        </w:rPr>
        <w:t xml:space="preserve"> </w:t>
      </w:r>
      <w:r>
        <w:rPr>
          <w:sz w:val="21"/>
        </w:rPr>
        <w:t>and</w:t>
      </w:r>
      <w:r>
        <w:rPr>
          <w:spacing w:val="-10"/>
          <w:sz w:val="21"/>
        </w:rPr>
        <w:t xml:space="preserve"> </w:t>
      </w:r>
      <w:r>
        <w:rPr>
          <w:sz w:val="21"/>
        </w:rPr>
        <w:t>state- level survey about LGBTQ mental health exists that is disaggregated by intersex status, immigration status, geographical location, disability, or involvement</w:t>
      </w:r>
      <w:r>
        <w:rPr>
          <w:spacing w:val="-2"/>
          <w:sz w:val="21"/>
        </w:rPr>
        <w:t xml:space="preserve"> </w:t>
      </w:r>
      <w:r>
        <w:rPr>
          <w:sz w:val="21"/>
        </w:rPr>
        <w:t>with child welfare or juvenile justice.</w:t>
      </w:r>
      <w:r>
        <w:rPr>
          <w:spacing w:val="-1"/>
          <w:sz w:val="21"/>
        </w:rPr>
        <w:t xml:space="preserve"> </w:t>
      </w:r>
      <w:r>
        <w:rPr>
          <w:sz w:val="21"/>
        </w:rPr>
        <w:t>When</w:t>
      </w:r>
      <w:r>
        <w:rPr>
          <w:spacing w:val="-1"/>
          <w:sz w:val="21"/>
        </w:rPr>
        <w:t xml:space="preserve"> </w:t>
      </w:r>
      <w:r>
        <w:rPr>
          <w:sz w:val="21"/>
        </w:rPr>
        <w:t>data collection is monolithic, it paints over critical needs, leading authorities to assume that entire populations do not need support. Going forward, the Commission urges local and state agencies to collect and discuss disaggregated youth demographics.</w:t>
      </w:r>
    </w:p>
    <w:p w:rsidR="00200FDA" w:rsidRDefault="00200FDA">
      <w:pPr>
        <w:pStyle w:val="BodyText"/>
        <w:rPr>
          <w:sz w:val="20"/>
        </w:rPr>
      </w:pPr>
    </w:p>
    <w:p w:rsidR="00200FDA" w:rsidRDefault="00200FDA">
      <w:pPr>
        <w:pStyle w:val="BodyText"/>
        <w:spacing w:before="4"/>
        <w:rPr>
          <w:sz w:val="17"/>
        </w:rPr>
      </w:pPr>
    </w:p>
    <w:p w:rsidR="00200FDA" w:rsidRDefault="00F76C4C">
      <w:pPr>
        <w:pStyle w:val="Heading8"/>
      </w:pPr>
      <w:bookmarkStart w:id="355" w:name="The_Role_of_Minority_Stress:_How_Oppress"/>
      <w:bookmarkEnd w:id="355"/>
      <w:r>
        <w:rPr>
          <w:color w:val="0A5293"/>
        </w:rPr>
        <w:t>The</w:t>
      </w:r>
      <w:r>
        <w:rPr>
          <w:color w:val="0A5293"/>
          <w:spacing w:val="-4"/>
        </w:rPr>
        <w:t xml:space="preserve"> </w:t>
      </w:r>
      <w:r>
        <w:rPr>
          <w:color w:val="0A5293"/>
        </w:rPr>
        <w:t>Role</w:t>
      </w:r>
      <w:r>
        <w:rPr>
          <w:color w:val="0A5293"/>
          <w:spacing w:val="-1"/>
        </w:rPr>
        <w:t xml:space="preserve"> </w:t>
      </w:r>
      <w:r>
        <w:rPr>
          <w:color w:val="0A5293"/>
        </w:rPr>
        <w:t>of</w:t>
      </w:r>
      <w:r>
        <w:rPr>
          <w:color w:val="0A5293"/>
          <w:spacing w:val="-3"/>
        </w:rPr>
        <w:t xml:space="preserve"> </w:t>
      </w:r>
      <w:r>
        <w:rPr>
          <w:color w:val="0A5293"/>
        </w:rPr>
        <w:t>Minority</w:t>
      </w:r>
      <w:r>
        <w:rPr>
          <w:color w:val="0A5293"/>
          <w:spacing w:val="-2"/>
        </w:rPr>
        <w:t xml:space="preserve"> </w:t>
      </w:r>
      <w:r>
        <w:rPr>
          <w:color w:val="0A5293"/>
        </w:rPr>
        <w:t>Stress:</w:t>
      </w:r>
      <w:r>
        <w:rPr>
          <w:color w:val="0A5293"/>
          <w:spacing w:val="-1"/>
        </w:rPr>
        <w:t xml:space="preserve"> </w:t>
      </w:r>
      <w:r>
        <w:rPr>
          <w:color w:val="0A5293"/>
        </w:rPr>
        <w:t>How</w:t>
      </w:r>
      <w:r>
        <w:rPr>
          <w:color w:val="0A5293"/>
          <w:spacing w:val="-3"/>
        </w:rPr>
        <w:t xml:space="preserve"> </w:t>
      </w:r>
      <w:r>
        <w:rPr>
          <w:color w:val="0A5293"/>
        </w:rPr>
        <w:t>Oppression</w:t>
      </w:r>
      <w:r>
        <w:rPr>
          <w:color w:val="0A5293"/>
          <w:spacing w:val="-1"/>
        </w:rPr>
        <w:t xml:space="preserve"> </w:t>
      </w:r>
      <w:r>
        <w:rPr>
          <w:color w:val="0A5293"/>
        </w:rPr>
        <w:t>Impacts</w:t>
      </w:r>
      <w:r>
        <w:rPr>
          <w:color w:val="0A5293"/>
          <w:spacing w:val="-2"/>
        </w:rPr>
        <w:t xml:space="preserve"> </w:t>
      </w:r>
      <w:r>
        <w:rPr>
          <w:color w:val="0A5293"/>
        </w:rPr>
        <w:t>Mental</w:t>
      </w:r>
      <w:r>
        <w:rPr>
          <w:color w:val="0A5293"/>
          <w:spacing w:val="-4"/>
        </w:rPr>
        <w:t xml:space="preserve"> </w:t>
      </w:r>
      <w:r>
        <w:rPr>
          <w:color w:val="0A5293"/>
          <w:spacing w:val="-2"/>
        </w:rPr>
        <w:t>Health</w:t>
      </w:r>
    </w:p>
    <w:p w:rsidR="00200FDA" w:rsidRDefault="00200FDA">
      <w:pPr>
        <w:pStyle w:val="BodyText"/>
        <w:rPr>
          <w:sz w:val="24"/>
        </w:rPr>
      </w:pPr>
    </w:p>
    <w:p w:rsidR="00200FDA" w:rsidRDefault="00F76C4C">
      <w:pPr>
        <w:spacing w:before="166" w:line="276" w:lineRule="auto"/>
        <w:ind w:left="3384" w:right="984" w:hanging="2158"/>
        <w:rPr>
          <w:sz w:val="24"/>
        </w:rPr>
      </w:pPr>
      <w:r>
        <w:rPr>
          <w:color w:val="0F6EC5"/>
          <w:sz w:val="24"/>
        </w:rPr>
        <w:t>Why</w:t>
      </w:r>
      <w:r>
        <w:rPr>
          <w:color w:val="0F6EC5"/>
          <w:spacing w:val="-3"/>
          <w:sz w:val="24"/>
        </w:rPr>
        <w:t xml:space="preserve"> </w:t>
      </w:r>
      <w:r>
        <w:rPr>
          <w:color w:val="0F6EC5"/>
          <w:sz w:val="24"/>
        </w:rPr>
        <w:t>are</w:t>
      </w:r>
      <w:r>
        <w:rPr>
          <w:color w:val="0F6EC5"/>
          <w:spacing w:val="-4"/>
          <w:sz w:val="24"/>
        </w:rPr>
        <w:t xml:space="preserve"> </w:t>
      </w:r>
      <w:r>
        <w:rPr>
          <w:color w:val="0F6EC5"/>
          <w:sz w:val="24"/>
        </w:rPr>
        <w:t>mental</w:t>
      </w:r>
      <w:r>
        <w:rPr>
          <w:color w:val="0F6EC5"/>
          <w:spacing w:val="-5"/>
          <w:sz w:val="24"/>
        </w:rPr>
        <w:t xml:space="preserve"> </w:t>
      </w:r>
      <w:r>
        <w:rPr>
          <w:color w:val="0F6EC5"/>
          <w:sz w:val="24"/>
        </w:rPr>
        <w:t>health</w:t>
      </w:r>
      <w:r>
        <w:rPr>
          <w:color w:val="0F6EC5"/>
          <w:spacing w:val="-4"/>
          <w:sz w:val="24"/>
        </w:rPr>
        <w:t xml:space="preserve"> </w:t>
      </w:r>
      <w:r>
        <w:rPr>
          <w:color w:val="0F6EC5"/>
          <w:sz w:val="24"/>
        </w:rPr>
        <w:t>concerns</w:t>
      </w:r>
      <w:r>
        <w:rPr>
          <w:color w:val="0F6EC5"/>
          <w:spacing w:val="-5"/>
          <w:sz w:val="24"/>
        </w:rPr>
        <w:t xml:space="preserve"> </w:t>
      </w:r>
      <w:r>
        <w:rPr>
          <w:color w:val="0F6EC5"/>
          <w:sz w:val="24"/>
        </w:rPr>
        <w:t>so</w:t>
      </w:r>
      <w:r>
        <w:rPr>
          <w:color w:val="0F6EC5"/>
          <w:spacing w:val="-3"/>
          <w:sz w:val="24"/>
        </w:rPr>
        <w:t xml:space="preserve"> </w:t>
      </w:r>
      <w:r>
        <w:rPr>
          <w:color w:val="0F6EC5"/>
          <w:sz w:val="24"/>
        </w:rPr>
        <w:t>widespread</w:t>
      </w:r>
      <w:r>
        <w:rPr>
          <w:color w:val="0F6EC5"/>
          <w:spacing w:val="-2"/>
          <w:sz w:val="24"/>
        </w:rPr>
        <w:t xml:space="preserve"> </w:t>
      </w:r>
      <w:r>
        <w:rPr>
          <w:color w:val="0F6EC5"/>
          <w:sz w:val="24"/>
        </w:rPr>
        <w:t>among</w:t>
      </w:r>
      <w:r>
        <w:rPr>
          <w:color w:val="0F6EC5"/>
          <w:spacing w:val="-3"/>
          <w:sz w:val="24"/>
        </w:rPr>
        <w:t xml:space="preserve"> </w:t>
      </w:r>
      <w:r>
        <w:rPr>
          <w:color w:val="0F6EC5"/>
          <w:sz w:val="24"/>
        </w:rPr>
        <w:t>LGBTQ</w:t>
      </w:r>
      <w:r>
        <w:rPr>
          <w:color w:val="0F6EC5"/>
          <w:spacing w:val="-3"/>
          <w:sz w:val="24"/>
        </w:rPr>
        <w:t xml:space="preserve"> </w:t>
      </w:r>
      <w:r>
        <w:rPr>
          <w:color w:val="0F6EC5"/>
          <w:sz w:val="24"/>
        </w:rPr>
        <w:t>youth,</w:t>
      </w:r>
      <w:r>
        <w:rPr>
          <w:color w:val="0F6EC5"/>
          <w:spacing w:val="-5"/>
          <w:sz w:val="24"/>
        </w:rPr>
        <w:t xml:space="preserve"> </w:t>
      </w:r>
      <w:r>
        <w:rPr>
          <w:color w:val="0F6EC5"/>
          <w:sz w:val="24"/>
        </w:rPr>
        <w:t>and how can allies support them?</w:t>
      </w:r>
    </w:p>
    <w:p w:rsidR="00200FDA" w:rsidRDefault="00200FDA">
      <w:pPr>
        <w:pStyle w:val="BodyText"/>
        <w:spacing w:before="8"/>
        <w:rPr>
          <w:sz w:val="19"/>
        </w:rPr>
      </w:pPr>
    </w:p>
    <w:p w:rsidR="00200FDA" w:rsidRDefault="00F76C4C">
      <w:pPr>
        <w:spacing w:line="276" w:lineRule="auto"/>
        <w:ind w:left="139" w:right="254"/>
        <w:jc w:val="both"/>
        <w:rPr>
          <w:sz w:val="21"/>
        </w:rPr>
      </w:pPr>
      <w:r>
        <w:rPr>
          <w:sz w:val="21"/>
        </w:rPr>
        <w:t>To understand LGBTQ youth’s inner worlds, decision-makers should first look at the world in which they live. To</w:t>
      </w:r>
      <w:r>
        <w:rPr>
          <w:spacing w:val="-4"/>
          <w:sz w:val="21"/>
        </w:rPr>
        <w:t xml:space="preserve"> </w:t>
      </w:r>
      <w:r>
        <w:rPr>
          <w:sz w:val="21"/>
        </w:rPr>
        <w:t>begin,</w:t>
      </w:r>
      <w:r>
        <w:rPr>
          <w:spacing w:val="-3"/>
          <w:sz w:val="21"/>
        </w:rPr>
        <w:t xml:space="preserve"> </w:t>
      </w:r>
      <w:r>
        <w:rPr>
          <w:sz w:val="21"/>
        </w:rPr>
        <w:t>four</w:t>
      </w:r>
      <w:r>
        <w:rPr>
          <w:spacing w:val="-3"/>
          <w:sz w:val="21"/>
        </w:rPr>
        <w:t xml:space="preserve"> </w:t>
      </w:r>
      <w:r>
        <w:rPr>
          <w:sz w:val="21"/>
        </w:rPr>
        <w:t>months</w:t>
      </w:r>
      <w:r>
        <w:rPr>
          <w:spacing w:val="-4"/>
          <w:sz w:val="21"/>
        </w:rPr>
        <w:t xml:space="preserve"> </w:t>
      </w:r>
      <w:r>
        <w:rPr>
          <w:sz w:val="21"/>
        </w:rPr>
        <w:t>into</w:t>
      </w:r>
      <w:r>
        <w:rPr>
          <w:spacing w:val="-4"/>
          <w:sz w:val="21"/>
        </w:rPr>
        <w:t xml:space="preserve"> </w:t>
      </w:r>
      <w:r>
        <w:rPr>
          <w:sz w:val="21"/>
        </w:rPr>
        <w:t>2023,</w:t>
      </w:r>
      <w:r>
        <w:rPr>
          <w:spacing w:val="-6"/>
          <w:sz w:val="21"/>
        </w:rPr>
        <w:t xml:space="preserve"> </w:t>
      </w:r>
      <w:r>
        <w:rPr>
          <w:sz w:val="21"/>
        </w:rPr>
        <w:t>469</w:t>
      </w:r>
      <w:r>
        <w:rPr>
          <w:spacing w:val="-2"/>
          <w:sz w:val="21"/>
        </w:rPr>
        <w:t xml:space="preserve"> </w:t>
      </w:r>
      <w:r>
        <w:rPr>
          <w:sz w:val="21"/>
        </w:rPr>
        <w:t>anti-LGBTQ</w:t>
      </w:r>
      <w:r>
        <w:rPr>
          <w:spacing w:val="-4"/>
          <w:sz w:val="21"/>
        </w:rPr>
        <w:t xml:space="preserve"> </w:t>
      </w:r>
      <w:r>
        <w:rPr>
          <w:sz w:val="21"/>
        </w:rPr>
        <w:t>bills</w:t>
      </w:r>
      <w:r>
        <w:rPr>
          <w:spacing w:val="-4"/>
          <w:sz w:val="21"/>
        </w:rPr>
        <w:t xml:space="preserve"> </w:t>
      </w:r>
      <w:r>
        <w:rPr>
          <w:sz w:val="21"/>
        </w:rPr>
        <w:t>have</w:t>
      </w:r>
      <w:r>
        <w:rPr>
          <w:spacing w:val="-3"/>
          <w:sz w:val="21"/>
        </w:rPr>
        <w:t xml:space="preserve"> </w:t>
      </w:r>
      <w:r>
        <w:rPr>
          <w:sz w:val="21"/>
        </w:rPr>
        <w:t>already</w:t>
      </w:r>
      <w:r>
        <w:rPr>
          <w:spacing w:val="-3"/>
          <w:sz w:val="21"/>
        </w:rPr>
        <w:t xml:space="preserve"> </w:t>
      </w:r>
      <w:r>
        <w:rPr>
          <w:sz w:val="21"/>
        </w:rPr>
        <w:t>been</w:t>
      </w:r>
      <w:r>
        <w:rPr>
          <w:spacing w:val="-4"/>
          <w:sz w:val="21"/>
        </w:rPr>
        <w:t xml:space="preserve"> </w:t>
      </w:r>
      <w:r>
        <w:rPr>
          <w:sz w:val="21"/>
        </w:rPr>
        <w:t>filed</w:t>
      </w:r>
      <w:r>
        <w:rPr>
          <w:spacing w:val="-4"/>
          <w:sz w:val="21"/>
        </w:rPr>
        <w:t xml:space="preserve"> </w:t>
      </w:r>
      <w:r>
        <w:rPr>
          <w:sz w:val="21"/>
        </w:rPr>
        <w:t>across</w:t>
      </w:r>
      <w:r>
        <w:rPr>
          <w:spacing w:val="-4"/>
          <w:sz w:val="21"/>
        </w:rPr>
        <w:t xml:space="preserve"> </w:t>
      </w:r>
      <w:r>
        <w:rPr>
          <w:sz w:val="21"/>
        </w:rPr>
        <w:t>the</w:t>
      </w:r>
      <w:r>
        <w:rPr>
          <w:spacing w:val="-3"/>
          <w:sz w:val="21"/>
        </w:rPr>
        <w:t xml:space="preserve"> </w:t>
      </w:r>
      <w:r>
        <w:rPr>
          <w:sz w:val="21"/>
        </w:rPr>
        <w:t>US,</w:t>
      </w:r>
      <w:r>
        <w:rPr>
          <w:spacing w:val="-3"/>
          <w:sz w:val="21"/>
        </w:rPr>
        <w:t xml:space="preserve"> </w:t>
      </w:r>
      <w:r>
        <w:rPr>
          <w:sz w:val="21"/>
        </w:rPr>
        <w:t>with</w:t>
      </w:r>
      <w:r>
        <w:rPr>
          <w:spacing w:val="-4"/>
          <w:sz w:val="21"/>
        </w:rPr>
        <w:t xml:space="preserve"> </w:t>
      </w:r>
      <w:r>
        <w:rPr>
          <w:sz w:val="21"/>
        </w:rPr>
        <w:t>the</w:t>
      </w:r>
      <w:r>
        <w:rPr>
          <w:spacing w:val="-3"/>
          <w:sz w:val="21"/>
        </w:rPr>
        <w:t xml:space="preserve"> </w:t>
      </w:r>
      <w:r>
        <w:rPr>
          <w:sz w:val="21"/>
        </w:rPr>
        <w:t>majority targeting gender expansive people.</w:t>
      </w:r>
      <w:hyperlink w:anchor="_bookmark261" w:history="1">
        <w:r>
          <w:rPr>
            <w:sz w:val="21"/>
            <w:vertAlign w:val="superscript"/>
          </w:rPr>
          <w:t>7</w:t>
        </w:r>
      </w:hyperlink>
      <w:r>
        <w:rPr>
          <w:sz w:val="21"/>
        </w:rPr>
        <w:t xml:space="preserve"> This is only the latest escalation in a mounting barrage of anti-LGBTQ political</w:t>
      </w:r>
      <w:r>
        <w:rPr>
          <w:spacing w:val="-4"/>
          <w:sz w:val="21"/>
        </w:rPr>
        <w:t xml:space="preserve"> </w:t>
      </w:r>
      <w:r>
        <w:rPr>
          <w:sz w:val="21"/>
        </w:rPr>
        <w:t>and</w:t>
      </w:r>
      <w:r>
        <w:rPr>
          <w:spacing w:val="-4"/>
          <w:sz w:val="21"/>
        </w:rPr>
        <w:t xml:space="preserve"> </w:t>
      </w:r>
      <w:r>
        <w:rPr>
          <w:sz w:val="21"/>
        </w:rPr>
        <w:t>social</w:t>
      </w:r>
      <w:r>
        <w:rPr>
          <w:spacing w:val="-1"/>
          <w:sz w:val="21"/>
        </w:rPr>
        <w:t xml:space="preserve"> </w:t>
      </w:r>
      <w:r>
        <w:rPr>
          <w:sz w:val="21"/>
        </w:rPr>
        <w:t>rhetoric</w:t>
      </w:r>
      <w:r>
        <w:rPr>
          <w:spacing w:val="-4"/>
          <w:sz w:val="21"/>
        </w:rPr>
        <w:t xml:space="preserve"> </w:t>
      </w:r>
      <w:r>
        <w:rPr>
          <w:sz w:val="21"/>
        </w:rPr>
        <w:t>over</w:t>
      </w:r>
      <w:r>
        <w:rPr>
          <w:spacing w:val="-3"/>
          <w:sz w:val="21"/>
        </w:rPr>
        <w:t xml:space="preserve"> </w:t>
      </w:r>
      <w:r>
        <w:rPr>
          <w:sz w:val="21"/>
        </w:rPr>
        <w:t>the</w:t>
      </w:r>
      <w:r>
        <w:rPr>
          <w:spacing w:val="-3"/>
          <w:sz w:val="21"/>
        </w:rPr>
        <w:t xml:space="preserve"> </w:t>
      </w:r>
      <w:r>
        <w:rPr>
          <w:sz w:val="21"/>
        </w:rPr>
        <w:t>last</w:t>
      </w:r>
      <w:r>
        <w:rPr>
          <w:spacing w:val="-4"/>
          <w:sz w:val="21"/>
        </w:rPr>
        <w:t xml:space="preserve"> </w:t>
      </w:r>
      <w:r>
        <w:rPr>
          <w:sz w:val="21"/>
        </w:rPr>
        <w:t>decade</w:t>
      </w:r>
      <w:r>
        <w:rPr>
          <w:spacing w:val="-3"/>
          <w:sz w:val="21"/>
        </w:rPr>
        <w:t xml:space="preserve"> </w:t>
      </w:r>
      <w:r>
        <w:rPr>
          <w:sz w:val="21"/>
        </w:rPr>
        <w:t>–</w:t>
      </w:r>
      <w:r>
        <w:rPr>
          <w:spacing w:val="-2"/>
          <w:sz w:val="21"/>
        </w:rPr>
        <w:t xml:space="preserve"> </w:t>
      </w:r>
      <w:r>
        <w:rPr>
          <w:sz w:val="21"/>
        </w:rPr>
        <w:t>and</w:t>
      </w:r>
      <w:r>
        <w:rPr>
          <w:spacing w:val="-4"/>
          <w:sz w:val="21"/>
        </w:rPr>
        <w:t xml:space="preserve"> </w:t>
      </w:r>
      <w:r>
        <w:rPr>
          <w:sz w:val="21"/>
        </w:rPr>
        <w:t>it</w:t>
      </w:r>
      <w:r>
        <w:rPr>
          <w:spacing w:val="-4"/>
          <w:sz w:val="21"/>
        </w:rPr>
        <w:t xml:space="preserve"> </w:t>
      </w:r>
      <w:r>
        <w:rPr>
          <w:sz w:val="21"/>
        </w:rPr>
        <w:t>takes</w:t>
      </w:r>
      <w:r>
        <w:rPr>
          <w:spacing w:val="-4"/>
          <w:sz w:val="21"/>
        </w:rPr>
        <w:t xml:space="preserve"> </w:t>
      </w:r>
      <w:r>
        <w:rPr>
          <w:sz w:val="21"/>
        </w:rPr>
        <w:t>a</w:t>
      </w:r>
      <w:r>
        <w:rPr>
          <w:spacing w:val="-4"/>
          <w:sz w:val="21"/>
        </w:rPr>
        <w:t xml:space="preserve"> </w:t>
      </w:r>
      <w:r>
        <w:rPr>
          <w:sz w:val="21"/>
        </w:rPr>
        <w:t>toll.</w:t>
      </w:r>
      <w:r>
        <w:rPr>
          <w:spacing w:val="-4"/>
          <w:sz w:val="21"/>
        </w:rPr>
        <w:t xml:space="preserve"> </w:t>
      </w:r>
      <w:r>
        <w:rPr>
          <w:sz w:val="21"/>
        </w:rPr>
        <w:t>Even</w:t>
      </w:r>
      <w:r>
        <w:rPr>
          <w:spacing w:val="-4"/>
          <w:sz w:val="21"/>
        </w:rPr>
        <w:t xml:space="preserve"> </w:t>
      </w:r>
      <w:r>
        <w:rPr>
          <w:sz w:val="21"/>
        </w:rPr>
        <w:t>though</w:t>
      </w:r>
      <w:r>
        <w:rPr>
          <w:spacing w:val="-4"/>
          <w:sz w:val="21"/>
        </w:rPr>
        <w:t xml:space="preserve"> </w:t>
      </w:r>
      <w:r>
        <w:rPr>
          <w:sz w:val="21"/>
        </w:rPr>
        <w:t>Massachusetts</w:t>
      </w:r>
      <w:r>
        <w:rPr>
          <w:spacing w:val="-4"/>
          <w:sz w:val="21"/>
        </w:rPr>
        <w:t xml:space="preserve"> </w:t>
      </w:r>
      <w:r>
        <w:rPr>
          <w:sz w:val="21"/>
        </w:rPr>
        <w:t>is</w:t>
      </w:r>
      <w:r>
        <w:rPr>
          <w:spacing w:val="-4"/>
          <w:sz w:val="21"/>
        </w:rPr>
        <w:t xml:space="preserve"> </w:t>
      </w:r>
      <w:r>
        <w:rPr>
          <w:sz w:val="21"/>
        </w:rPr>
        <w:t xml:space="preserve">considered a safe haven for LGBTQ policy, the majority of LGBTQ youth in the Commonwealth reported to the Trevor Project that recent politics had negatively impacted their well-being sometimes (49%) or a lot (41%). Across the US, the overwhelming majority </w:t>
      </w:r>
      <w:r>
        <w:rPr>
          <w:sz w:val="21"/>
        </w:rPr>
        <w:t>of gender</w:t>
      </w:r>
      <w:r>
        <w:rPr>
          <w:spacing w:val="-1"/>
          <w:sz w:val="21"/>
        </w:rPr>
        <w:t xml:space="preserve"> </w:t>
      </w:r>
      <w:r>
        <w:rPr>
          <w:sz w:val="21"/>
        </w:rPr>
        <w:t>expansive</w:t>
      </w:r>
      <w:r>
        <w:rPr>
          <w:spacing w:val="-1"/>
          <w:sz w:val="21"/>
        </w:rPr>
        <w:t xml:space="preserve"> </w:t>
      </w:r>
      <w:r>
        <w:rPr>
          <w:sz w:val="21"/>
        </w:rPr>
        <w:t>youth have</w:t>
      </w:r>
      <w:r>
        <w:rPr>
          <w:spacing w:val="-1"/>
          <w:sz w:val="21"/>
        </w:rPr>
        <w:t xml:space="preserve"> </w:t>
      </w:r>
      <w:r>
        <w:rPr>
          <w:sz w:val="21"/>
        </w:rPr>
        <w:t>worried about</w:t>
      </w:r>
      <w:r>
        <w:rPr>
          <w:spacing w:val="-1"/>
          <w:sz w:val="21"/>
        </w:rPr>
        <w:t xml:space="preserve"> </w:t>
      </w:r>
      <w:r>
        <w:rPr>
          <w:sz w:val="21"/>
        </w:rPr>
        <w:t>local or state laws denying transgender people’s access to medical care (93%), bathrooms (91%), and sports (83%).</w:t>
      </w:r>
      <w:hyperlink w:anchor="_bookmark262" w:history="1">
        <w:r>
          <w:rPr>
            <w:sz w:val="21"/>
            <w:vertAlign w:val="superscript"/>
          </w:rPr>
          <w:t>8</w:t>
        </w:r>
      </w:hyperlink>
    </w:p>
    <w:p w:rsidR="00200FDA" w:rsidRDefault="00200FDA">
      <w:pPr>
        <w:pStyle w:val="BodyText"/>
        <w:rPr>
          <w:sz w:val="20"/>
        </w:rPr>
      </w:pPr>
    </w:p>
    <w:p w:rsidR="00200FDA" w:rsidRDefault="00F76C4C">
      <w:pPr>
        <w:pStyle w:val="BodyText"/>
        <w:spacing w:before="10"/>
        <w:rPr>
          <w:sz w:val="21"/>
        </w:rPr>
      </w:pPr>
      <w:r>
        <w:rPr>
          <w:noProof/>
        </w:rPr>
        <w:drawing>
          <wp:anchor distT="0" distB="0" distL="0" distR="0" simplePos="0" relativeHeight="58" behindDoc="0" locked="0" layoutInCell="1" allowOverlap="1">
            <wp:simplePos x="0" y="0"/>
            <wp:positionH relativeFrom="page">
              <wp:posOffset>914400</wp:posOffset>
            </wp:positionH>
            <wp:positionV relativeFrom="paragraph">
              <wp:posOffset>184576</wp:posOffset>
            </wp:positionV>
            <wp:extent cx="5849648" cy="548640"/>
            <wp:effectExtent l="0" t="0" r="0" b="0"/>
            <wp:wrapTopAndBottom/>
            <wp:docPr id="29"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9.jpeg"/>
                    <pic:cNvPicPr/>
                  </pic:nvPicPr>
                  <pic:blipFill>
                    <a:blip r:embed="rId226" cstate="print"/>
                    <a:stretch>
                      <a:fillRect/>
                    </a:stretch>
                  </pic:blipFill>
                  <pic:spPr>
                    <a:xfrm>
                      <a:off x="0" y="0"/>
                      <a:ext cx="5849648" cy="548640"/>
                    </a:xfrm>
                    <a:prstGeom prst="rect">
                      <a:avLst/>
                    </a:prstGeom>
                  </pic:spPr>
                </pic:pic>
              </a:graphicData>
            </a:graphic>
          </wp:anchor>
        </w:drawing>
      </w:r>
    </w:p>
    <w:p w:rsidR="00200FDA" w:rsidRDefault="00200FDA">
      <w:pPr>
        <w:pStyle w:val="BodyText"/>
      </w:pPr>
    </w:p>
    <w:p w:rsidR="00200FDA" w:rsidRDefault="00200FDA">
      <w:pPr>
        <w:pStyle w:val="BodyText"/>
        <w:spacing w:before="7"/>
        <w:rPr>
          <w:sz w:val="31"/>
        </w:rPr>
      </w:pPr>
    </w:p>
    <w:p w:rsidR="00200FDA" w:rsidRDefault="00F76C4C">
      <w:pPr>
        <w:spacing w:line="276" w:lineRule="auto"/>
        <w:ind w:left="139" w:right="258"/>
        <w:jc w:val="both"/>
        <w:rPr>
          <w:sz w:val="21"/>
        </w:rPr>
      </w:pPr>
      <w:r>
        <w:rPr>
          <w:sz w:val="21"/>
        </w:rPr>
        <w:t>Many youth also feel unsafe in their classrooms, neighborho</w:t>
      </w:r>
      <w:r>
        <w:rPr>
          <w:sz w:val="21"/>
        </w:rPr>
        <w:t>ods, and homes. In 2021, 61% of Massachusetts LGBTQ</w:t>
      </w:r>
      <w:r>
        <w:rPr>
          <w:spacing w:val="-4"/>
          <w:sz w:val="21"/>
        </w:rPr>
        <w:t xml:space="preserve"> </w:t>
      </w:r>
      <w:r>
        <w:rPr>
          <w:sz w:val="21"/>
        </w:rPr>
        <w:t>youth</w:t>
      </w:r>
      <w:r>
        <w:rPr>
          <w:spacing w:val="-2"/>
          <w:sz w:val="21"/>
        </w:rPr>
        <w:t xml:space="preserve"> </w:t>
      </w:r>
      <w:r>
        <w:rPr>
          <w:sz w:val="21"/>
        </w:rPr>
        <w:t>did</w:t>
      </w:r>
      <w:r>
        <w:rPr>
          <w:spacing w:val="-2"/>
          <w:sz w:val="21"/>
        </w:rPr>
        <w:t xml:space="preserve"> </w:t>
      </w:r>
      <w:r>
        <w:rPr>
          <w:sz w:val="21"/>
        </w:rPr>
        <w:t>not</w:t>
      </w:r>
      <w:r>
        <w:rPr>
          <w:spacing w:val="-4"/>
          <w:sz w:val="21"/>
        </w:rPr>
        <w:t xml:space="preserve"> </w:t>
      </w:r>
      <w:r>
        <w:rPr>
          <w:sz w:val="21"/>
        </w:rPr>
        <w:t>feel</w:t>
      </w:r>
      <w:r>
        <w:rPr>
          <w:spacing w:val="-4"/>
          <w:sz w:val="21"/>
        </w:rPr>
        <w:t xml:space="preserve"> </w:t>
      </w:r>
      <w:r>
        <w:rPr>
          <w:sz w:val="21"/>
        </w:rPr>
        <w:t>they</w:t>
      </w:r>
      <w:r>
        <w:rPr>
          <w:spacing w:val="-1"/>
          <w:sz w:val="21"/>
        </w:rPr>
        <w:t xml:space="preserve"> </w:t>
      </w:r>
      <w:r>
        <w:rPr>
          <w:sz w:val="21"/>
        </w:rPr>
        <w:t>lived</w:t>
      </w:r>
      <w:r>
        <w:rPr>
          <w:spacing w:val="-4"/>
          <w:sz w:val="21"/>
        </w:rPr>
        <w:t xml:space="preserve"> </w:t>
      </w:r>
      <w:r>
        <w:rPr>
          <w:sz w:val="21"/>
        </w:rPr>
        <w:t>in</w:t>
      </w:r>
      <w:r>
        <w:rPr>
          <w:spacing w:val="-2"/>
          <w:sz w:val="21"/>
        </w:rPr>
        <w:t xml:space="preserve"> </w:t>
      </w:r>
      <w:r>
        <w:rPr>
          <w:sz w:val="21"/>
        </w:rPr>
        <w:t>an</w:t>
      </w:r>
      <w:r>
        <w:rPr>
          <w:spacing w:val="-4"/>
          <w:sz w:val="21"/>
        </w:rPr>
        <w:t xml:space="preserve"> </w:t>
      </w:r>
      <w:r>
        <w:rPr>
          <w:sz w:val="21"/>
        </w:rPr>
        <w:t>affirming</w:t>
      </w:r>
      <w:r>
        <w:rPr>
          <w:spacing w:val="-2"/>
          <w:sz w:val="21"/>
        </w:rPr>
        <w:t xml:space="preserve"> </w:t>
      </w:r>
      <w:r>
        <w:rPr>
          <w:sz w:val="21"/>
        </w:rPr>
        <w:t>home,</w:t>
      </w:r>
      <w:r>
        <w:rPr>
          <w:spacing w:val="-1"/>
          <w:sz w:val="21"/>
        </w:rPr>
        <w:t xml:space="preserve"> </w:t>
      </w:r>
      <w:r>
        <w:rPr>
          <w:sz w:val="21"/>
        </w:rPr>
        <w:t>and</w:t>
      </w:r>
      <w:r>
        <w:rPr>
          <w:spacing w:val="-4"/>
          <w:sz w:val="21"/>
        </w:rPr>
        <w:t xml:space="preserve"> </w:t>
      </w:r>
      <w:r>
        <w:rPr>
          <w:sz w:val="21"/>
        </w:rPr>
        <w:t>nearly</w:t>
      </w:r>
      <w:r>
        <w:rPr>
          <w:spacing w:val="-3"/>
          <w:sz w:val="21"/>
        </w:rPr>
        <w:t xml:space="preserve"> </w:t>
      </w:r>
      <w:r>
        <w:rPr>
          <w:sz w:val="21"/>
        </w:rPr>
        <w:t>1</w:t>
      </w:r>
      <w:r>
        <w:rPr>
          <w:spacing w:val="-2"/>
          <w:sz w:val="21"/>
        </w:rPr>
        <w:t xml:space="preserve"> </w:t>
      </w:r>
      <w:r>
        <w:rPr>
          <w:sz w:val="21"/>
        </w:rPr>
        <w:t>in</w:t>
      </w:r>
      <w:r>
        <w:rPr>
          <w:spacing w:val="-4"/>
          <w:sz w:val="21"/>
        </w:rPr>
        <w:t xml:space="preserve"> </w:t>
      </w:r>
      <w:r>
        <w:rPr>
          <w:sz w:val="21"/>
        </w:rPr>
        <w:t>2 did</w:t>
      </w:r>
      <w:r>
        <w:rPr>
          <w:spacing w:val="-4"/>
          <w:sz w:val="21"/>
        </w:rPr>
        <w:t xml:space="preserve"> </w:t>
      </w:r>
      <w:r>
        <w:rPr>
          <w:sz w:val="21"/>
        </w:rPr>
        <w:t>not</w:t>
      </w:r>
      <w:r>
        <w:rPr>
          <w:spacing w:val="-2"/>
          <w:sz w:val="21"/>
        </w:rPr>
        <w:t xml:space="preserve"> </w:t>
      </w:r>
      <w:r>
        <w:rPr>
          <w:sz w:val="21"/>
        </w:rPr>
        <w:t>attend</w:t>
      </w:r>
      <w:r>
        <w:rPr>
          <w:spacing w:val="-2"/>
          <w:sz w:val="21"/>
        </w:rPr>
        <w:t xml:space="preserve"> </w:t>
      </w:r>
      <w:r>
        <w:rPr>
          <w:sz w:val="21"/>
        </w:rPr>
        <w:t>an</w:t>
      </w:r>
      <w:r>
        <w:rPr>
          <w:spacing w:val="-1"/>
          <w:sz w:val="21"/>
        </w:rPr>
        <w:t xml:space="preserve"> </w:t>
      </w:r>
      <w:r>
        <w:rPr>
          <w:sz w:val="21"/>
        </w:rPr>
        <w:t>affirming</w:t>
      </w:r>
      <w:r>
        <w:rPr>
          <w:spacing w:val="-2"/>
          <w:sz w:val="21"/>
        </w:rPr>
        <w:t xml:space="preserve"> </w:t>
      </w:r>
      <w:r>
        <w:rPr>
          <w:sz w:val="21"/>
        </w:rPr>
        <w:t>school. Meanwhile,</w:t>
      </w:r>
      <w:r>
        <w:rPr>
          <w:spacing w:val="-7"/>
          <w:sz w:val="21"/>
        </w:rPr>
        <w:t xml:space="preserve"> </w:t>
      </w:r>
      <w:r>
        <w:rPr>
          <w:sz w:val="21"/>
        </w:rPr>
        <w:t>32%</w:t>
      </w:r>
      <w:r>
        <w:rPr>
          <w:spacing w:val="-4"/>
          <w:sz w:val="21"/>
        </w:rPr>
        <w:t xml:space="preserve"> </w:t>
      </w:r>
      <w:r>
        <w:rPr>
          <w:sz w:val="21"/>
        </w:rPr>
        <w:t>of</w:t>
      </w:r>
      <w:r>
        <w:rPr>
          <w:spacing w:val="-6"/>
          <w:sz w:val="21"/>
        </w:rPr>
        <w:t xml:space="preserve"> </w:t>
      </w:r>
      <w:r>
        <w:rPr>
          <w:sz w:val="21"/>
        </w:rPr>
        <w:t>youth</w:t>
      </w:r>
      <w:r>
        <w:rPr>
          <w:spacing w:val="-5"/>
          <w:sz w:val="21"/>
        </w:rPr>
        <w:t xml:space="preserve"> </w:t>
      </w:r>
      <w:r>
        <w:rPr>
          <w:sz w:val="21"/>
        </w:rPr>
        <w:t>had</w:t>
      </w:r>
      <w:r>
        <w:rPr>
          <w:spacing w:val="-5"/>
          <w:sz w:val="21"/>
        </w:rPr>
        <w:t xml:space="preserve"> </w:t>
      </w:r>
      <w:r>
        <w:rPr>
          <w:sz w:val="21"/>
        </w:rPr>
        <w:t>experienced</w:t>
      </w:r>
      <w:r>
        <w:rPr>
          <w:spacing w:val="-5"/>
          <w:sz w:val="21"/>
        </w:rPr>
        <w:t xml:space="preserve"> </w:t>
      </w:r>
      <w:r>
        <w:rPr>
          <w:sz w:val="21"/>
        </w:rPr>
        <w:t>threats</w:t>
      </w:r>
      <w:r>
        <w:rPr>
          <w:spacing w:val="-5"/>
          <w:sz w:val="21"/>
        </w:rPr>
        <w:t xml:space="preserve"> </w:t>
      </w:r>
      <w:r>
        <w:rPr>
          <w:sz w:val="21"/>
        </w:rPr>
        <w:t>or</w:t>
      </w:r>
      <w:r>
        <w:rPr>
          <w:spacing w:val="-4"/>
          <w:sz w:val="21"/>
        </w:rPr>
        <w:t xml:space="preserve"> </w:t>
      </w:r>
      <w:r>
        <w:rPr>
          <w:sz w:val="21"/>
        </w:rPr>
        <w:t>acts</w:t>
      </w:r>
      <w:r>
        <w:rPr>
          <w:spacing w:val="-5"/>
          <w:sz w:val="21"/>
        </w:rPr>
        <w:t xml:space="preserve"> </w:t>
      </w:r>
      <w:r>
        <w:rPr>
          <w:sz w:val="21"/>
        </w:rPr>
        <w:t>of</w:t>
      </w:r>
      <w:r>
        <w:rPr>
          <w:spacing w:val="-4"/>
          <w:sz w:val="21"/>
        </w:rPr>
        <w:t xml:space="preserve"> </w:t>
      </w:r>
      <w:r>
        <w:rPr>
          <w:sz w:val="21"/>
        </w:rPr>
        <w:t>physical</w:t>
      </w:r>
      <w:r>
        <w:rPr>
          <w:spacing w:val="-5"/>
          <w:sz w:val="21"/>
        </w:rPr>
        <w:t xml:space="preserve"> </w:t>
      </w:r>
      <w:r>
        <w:rPr>
          <w:sz w:val="21"/>
        </w:rPr>
        <w:t>harm</w:t>
      </w:r>
      <w:r>
        <w:rPr>
          <w:spacing w:val="-7"/>
          <w:sz w:val="21"/>
        </w:rPr>
        <w:t xml:space="preserve"> </w:t>
      </w:r>
      <w:r>
        <w:rPr>
          <w:sz w:val="21"/>
        </w:rPr>
        <w:t>because</w:t>
      </w:r>
      <w:r>
        <w:rPr>
          <w:spacing w:val="-6"/>
          <w:sz w:val="21"/>
        </w:rPr>
        <w:t xml:space="preserve"> </w:t>
      </w:r>
      <w:r>
        <w:rPr>
          <w:sz w:val="21"/>
        </w:rPr>
        <w:t>of</w:t>
      </w:r>
      <w:r>
        <w:rPr>
          <w:spacing w:val="-4"/>
          <w:sz w:val="21"/>
        </w:rPr>
        <w:t xml:space="preserve"> </w:t>
      </w:r>
      <w:r>
        <w:rPr>
          <w:sz w:val="21"/>
        </w:rPr>
        <w:t>their</w:t>
      </w:r>
      <w:r>
        <w:rPr>
          <w:spacing w:val="-4"/>
          <w:sz w:val="21"/>
        </w:rPr>
        <w:t xml:space="preserve"> </w:t>
      </w:r>
      <w:r>
        <w:rPr>
          <w:sz w:val="21"/>
        </w:rPr>
        <w:t>sexual</w:t>
      </w:r>
      <w:r>
        <w:rPr>
          <w:spacing w:val="-5"/>
          <w:sz w:val="21"/>
        </w:rPr>
        <w:t xml:space="preserve"> </w:t>
      </w:r>
      <w:r>
        <w:rPr>
          <w:sz w:val="21"/>
        </w:rPr>
        <w:t>orientation or gender identity during their lifetime, while 67% had faced discrimination.</w:t>
      </w:r>
      <w:hyperlink w:anchor="_bookmark263" w:history="1">
        <w:r>
          <w:rPr>
            <w:sz w:val="21"/>
            <w:vertAlign w:val="superscript"/>
          </w:rPr>
          <w:t>9</w:t>
        </w:r>
      </w:hyperlink>
    </w:p>
    <w:p w:rsidR="00200FDA" w:rsidRDefault="00200FDA">
      <w:pPr>
        <w:spacing w:line="276" w:lineRule="auto"/>
        <w:jc w:val="both"/>
        <w:rPr>
          <w:sz w:val="21"/>
        </w:rPr>
        <w:sectPr w:rsidR="00200FDA">
          <w:pgSz w:w="12240" w:h="15840"/>
          <w:pgMar w:top="1360" w:right="1180" w:bottom="1480" w:left="1300" w:header="761" w:footer="1283" w:gutter="0"/>
          <w:cols w:space="720"/>
        </w:sectPr>
      </w:pPr>
    </w:p>
    <w:p w:rsidR="00200FDA" w:rsidRDefault="00F76C4C">
      <w:pPr>
        <w:spacing w:before="64" w:line="276" w:lineRule="auto"/>
        <w:ind w:left="139" w:right="255"/>
        <w:jc w:val="both"/>
        <w:rPr>
          <w:sz w:val="21"/>
        </w:rPr>
      </w:pPr>
      <w:r>
        <w:rPr>
          <w:sz w:val="21"/>
        </w:rPr>
        <w:lastRenderedPageBreak/>
        <w:t>Considering</w:t>
      </w:r>
      <w:r>
        <w:rPr>
          <w:spacing w:val="-8"/>
          <w:sz w:val="21"/>
        </w:rPr>
        <w:t xml:space="preserve"> </w:t>
      </w:r>
      <w:r>
        <w:rPr>
          <w:sz w:val="21"/>
        </w:rPr>
        <w:t>the</w:t>
      </w:r>
      <w:r>
        <w:rPr>
          <w:spacing w:val="-9"/>
          <w:sz w:val="21"/>
        </w:rPr>
        <w:t xml:space="preserve"> </w:t>
      </w:r>
      <w:r>
        <w:rPr>
          <w:sz w:val="21"/>
        </w:rPr>
        <w:t>hostility</w:t>
      </w:r>
      <w:r>
        <w:rPr>
          <w:spacing w:val="-9"/>
          <w:sz w:val="21"/>
        </w:rPr>
        <w:t xml:space="preserve"> </w:t>
      </w:r>
      <w:r>
        <w:rPr>
          <w:sz w:val="21"/>
        </w:rPr>
        <w:t>that</w:t>
      </w:r>
      <w:r>
        <w:rPr>
          <w:spacing w:val="-8"/>
          <w:sz w:val="21"/>
        </w:rPr>
        <w:t xml:space="preserve"> </w:t>
      </w:r>
      <w:r>
        <w:rPr>
          <w:sz w:val="21"/>
        </w:rPr>
        <w:t>youth</w:t>
      </w:r>
      <w:r>
        <w:rPr>
          <w:spacing w:val="-7"/>
          <w:sz w:val="21"/>
        </w:rPr>
        <w:t xml:space="preserve"> </w:t>
      </w:r>
      <w:r>
        <w:rPr>
          <w:sz w:val="21"/>
        </w:rPr>
        <w:t>face</w:t>
      </w:r>
      <w:r>
        <w:rPr>
          <w:spacing w:val="-9"/>
          <w:sz w:val="21"/>
        </w:rPr>
        <w:t xml:space="preserve"> </w:t>
      </w:r>
      <w:r>
        <w:rPr>
          <w:sz w:val="21"/>
        </w:rPr>
        <w:t>in</w:t>
      </w:r>
      <w:r>
        <w:rPr>
          <w:spacing w:val="-10"/>
          <w:sz w:val="21"/>
        </w:rPr>
        <w:t xml:space="preserve"> </w:t>
      </w:r>
      <w:r>
        <w:rPr>
          <w:sz w:val="21"/>
        </w:rPr>
        <w:t>their</w:t>
      </w:r>
      <w:r>
        <w:rPr>
          <w:spacing w:val="-8"/>
          <w:sz w:val="21"/>
        </w:rPr>
        <w:t xml:space="preserve"> </w:t>
      </w:r>
      <w:r>
        <w:rPr>
          <w:sz w:val="21"/>
        </w:rPr>
        <w:t>homes,</w:t>
      </w:r>
      <w:r>
        <w:rPr>
          <w:spacing w:val="-9"/>
          <w:sz w:val="21"/>
        </w:rPr>
        <w:t xml:space="preserve"> </w:t>
      </w:r>
      <w:r>
        <w:rPr>
          <w:sz w:val="21"/>
        </w:rPr>
        <w:t>communities,</w:t>
      </w:r>
      <w:r>
        <w:rPr>
          <w:spacing w:val="-9"/>
          <w:sz w:val="21"/>
        </w:rPr>
        <w:t xml:space="preserve"> </w:t>
      </w:r>
      <w:r>
        <w:rPr>
          <w:sz w:val="21"/>
        </w:rPr>
        <w:t>and</w:t>
      </w:r>
      <w:r>
        <w:rPr>
          <w:spacing w:val="-10"/>
          <w:sz w:val="21"/>
        </w:rPr>
        <w:t xml:space="preserve"> </w:t>
      </w:r>
      <w:r>
        <w:rPr>
          <w:sz w:val="21"/>
        </w:rPr>
        <w:t>country,</w:t>
      </w:r>
      <w:r>
        <w:rPr>
          <w:spacing w:val="-9"/>
          <w:sz w:val="21"/>
        </w:rPr>
        <w:t xml:space="preserve"> </w:t>
      </w:r>
      <w:r>
        <w:rPr>
          <w:sz w:val="21"/>
        </w:rPr>
        <w:t>it</w:t>
      </w:r>
      <w:r>
        <w:rPr>
          <w:spacing w:val="-8"/>
          <w:sz w:val="21"/>
        </w:rPr>
        <w:t xml:space="preserve"> </w:t>
      </w:r>
      <w:r>
        <w:rPr>
          <w:sz w:val="21"/>
        </w:rPr>
        <w:t>is</w:t>
      </w:r>
      <w:r>
        <w:rPr>
          <w:spacing w:val="-10"/>
          <w:sz w:val="21"/>
        </w:rPr>
        <w:t xml:space="preserve"> </w:t>
      </w:r>
      <w:r>
        <w:rPr>
          <w:sz w:val="21"/>
        </w:rPr>
        <w:t>no</w:t>
      </w:r>
      <w:r>
        <w:rPr>
          <w:spacing w:val="-10"/>
          <w:sz w:val="21"/>
        </w:rPr>
        <w:t xml:space="preserve"> </w:t>
      </w:r>
      <w:r>
        <w:rPr>
          <w:sz w:val="21"/>
        </w:rPr>
        <w:t>surprise</w:t>
      </w:r>
      <w:r>
        <w:rPr>
          <w:spacing w:val="-9"/>
          <w:sz w:val="21"/>
        </w:rPr>
        <w:t xml:space="preserve"> </w:t>
      </w:r>
      <w:r>
        <w:rPr>
          <w:sz w:val="21"/>
        </w:rPr>
        <w:t>that</w:t>
      </w:r>
      <w:r>
        <w:rPr>
          <w:spacing w:val="-10"/>
          <w:sz w:val="21"/>
        </w:rPr>
        <w:t xml:space="preserve"> </w:t>
      </w:r>
      <w:r>
        <w:rPr>
          <w:sz w:val="21"/>
        </w:rPr>
        <w:t>LGBTQ youth mental health is in crisis. For decades, researchers have shown that anti-LGBTQ cultural, political, and societal conditions have the power to erode LGBTQ people’s physical,</w:t>
      </w:r>
      <w:hyperlink w:anchor="_bookmark264" w:history="1">
        <w:r>
          <w:rPr>
            <w:sz w:val="21"/>
            <w:vertAlign w:val="superscript"/>
          </w:rPr>
          <w:t>10</w:t>
        </w:r>
      </w:hyperlink>
      <w:r>
        <w:rPr>
          <w:sz w:val="21"/>
        </w:rPr>
        <w:t xml:space="preserve"> mental,</w:t>
      </w:r>
      <w:hyperlink w:anchor="_bookmark265" w:history="1">
        <w:r>
          <w:rPr>
            <w:sz w:val="21"/>
            <w:vertAlign w:val="superscript"/>
          </w:rPr>
          <w:t>11</w:t>
        </w:r>
      </w:hyperlink>
      <w:r>
        <w:rPr>
          <w:spacing w:val="-8"/>
          <w:sz w:val="21"/>
        </w:rPr>
        <w:t xml:space="preserve"> </w:t>
      </w:r>
      <w:r>
        <w:rPr>
          <w:sz w:val="21"/>
        </w:rPr>
        <w:t>and financial health, an experience often called minority stress. Many studies have explored how minority stressors (like bullying, negative media depictions, and hostile legislation) are directly related to mental health challenges (like depression,</w:t>
      </w:r>
      <w:hyperlink w:anchor="_bookmark266" w:history="1">
        <w:r>
          <w:rPr>
            <w:sz w:val="21"/>
            <w:vertAlign w:val="superscript"/>
          </w:rPr>
          <w:t>12</w:t>
        </w:r>
      </w:hyperlink>
      <w:r>
        <w:rPr>
          <w:sz w:val="21"/>
        </w:rPr>
        <w:t xml:space="preserve"> anxiety, PTSD, and suicide attempts.</w:t>
      </w:r>
      <w:hyperlink w:anchor="_bookmark267" w:history="1">
        <w:r>
          <w:rPr>
            <w:sz w:val="21"/>
            <w:vertAlign w:val="superscript"/>
          </w:rPr>
          <w:t>13</w:t>
        </w:r>
      </w:hyperlink>
      <w:r>
        <w:rPr>
          <w:sz w:val="21"/>
        </w:rPr>
        <w:t>) For instance, in the year after marriage equality was passed in Massachusetts, there was a statistically significant drop in medical and mental healt</w:t>
      </w:r>
      <w:r>
        <w:rPr>
          <w:sz w:val="21"/>
        </w:rPr>
        <w:t>h-related care visits among gay and bisexual men.</w:t>
      </w:r>
      <w:hyperlink w:anchor="_bookmark268" w:history="1">
        <w:r>
          <w:rPr>
            <w:sz w:val="21"/>
            <w:vertAlign w:val="superscript"/>
          </w:rPr>
          <w:t>14</w:t>
        </w:r>
      </w:hyperlink>
    </w:p>
    <w:p w:rsidR="00200FDA" w:rsidRDefault="00200FDA">
      <w:pPr>
        <w:pStyle w:val="BodyText"/>
      </w:pPr>
    </w:p>
    <w:p w:rsidR="00200FDA" w:rsidRDefault="00200FDA">
      <w:pPr>
        <w:pStyle w:val="BodyText"/>
        <w:spacing w:before="9"/>
        <w:rPr>
          <w:sz w:val="18"/>
        </w:rPr>
      </w:pPr>
    </w:p>
    <w:p w:rsidR="00200FDA" w:rsidRDefault="00F76C4C">
      <w:pPr>
        <w:pStyle w:val="Heading8"/>
        <w:spacing w:line="276" w:lineRule="auto"/>
        <w:ind w:right="432"/>
        <w:jc w:val="left"/>
      </w:pPr>
      <w:bookmarkStart w:id="356" w:name="Three_Key_Principles_of_Support:_Trauma-"/>
      <w:bookmarkEnd w:id="356"/>
      <w:r>
        <w:rPr>
          <w:color w:val="0A5293"/>
        </w:rPr>
        <w:t>Three</w:t>
      </w:r>
      <w:r>
        <w:rPr>
          <w:color w:val="0A5293"/>
          <w:spacing w:val="-6"/>
        </w:rPr>
        <w:t xml:space="preserve"> </w:t>
      </w:r>
      <w:r>
        <w:rPr>
          <w:color w:val="0A5293"/>
        </w:rPr>
        <w:t>Key</w:t>
      </w:r>
      <w:r>
        <w:rPr>
          <w:color w:val="0A5293"/>
          <w:spacing w:val="-5"/>
        </w:rPr>
        <w:t xml:space="preserve"> </w:t>
      </w:r>
      <w:r>
        <w:rPr>
          <w:color w:val="0A5293"/>
        </w:rPr>
        <w:t>Principles</w:t>
      </w:r>
      <w:r>
        <w:rPr>
          <w:color w:val="0A5293"/>
          <w:spacing w:val="-5"/>
        </w:rPr>
        <w:t xml:space="preserve"> </w:t>
      </w:r>
      <w:r>
        <w:rPr>
          <w:color w:val="0A5293"/>
        </w:rPr>
        <w:t>of</w:t>
      </w:r>
      <w:r>
        <w:rPr>
          <w:color w:val="0A5293"/>
          <w:spacing w:val="-3"/>
        </w:rPr>
        <w:t xml:space="preserve"> </w:t>
      </w:r>
      <w:r>
        <w:rPr>
          <w:color w:val="0A5293"/>
        </w:rPr>
        <w:t>Support:</w:t>
      </w:r>
      <w:r>
        <w:rPr>
          <w:color w:val="0A5293"/>
          <w:spacing w:val="-4"/>
        </w:rPr>
        <w:t xml:space="preserve"> </w:t>
      </w:r>
      <w:r>
        <w:rPr>
          <w:color w:val="0A5293"/>
        </w:rPr>
        <w:t>Trauma-Informed</w:t>
      </w:r>
      <w:r>
        <w:rPr>
          <w:color w:val="0A5293"/>
          <w:spacing w:val="-3"/>
        </w:rPr>
        <w:t xml:space="preserve"> </w:t>
      </w:r>
      <w:r>
        <w:rPr>
          <w:color w:val="0A5293"/>
        </w:rPr>
        <w:t>Services,</w:t>
      </w:r>
      <w:r>
        <w:rPr>
          <w:color w:val="0A5293"/>
          <w:spacing w:val="-7"/>
        </w:rPr>
        <w:t xml:space="preserve"> </w:t>
      </w:r>
      <w:r>
        <w:rPr>
          <w:color w:val="0A5293"/>
        </w:rPr>
        <w:t>Early</w:t>
      </w:r>
      <w:r>
        <w:rPr>
          <w:color w:val="0A5293"/>
          <w:spacing w:val="-5"/>
        </w:rPr>
        <w:t xml:space="preserve"> </w:t>
      </w:r>
      <w:r>
        <w:rPr>
          <w:color w:val="0A5293"/>
        </w:rPr>
        <w:t>Intervention,</w:t>
      </w:r>
      <w:r>
        <w:rPr>
          <w:color w:val="0A5293"/>
          <w:spacing w:val="-7"/>
        </w:rPr>
        <w:t xml:space="preserve"> </w:t>
      </w:r>
      <w:r>
        <w:rPr>
          <w:color w:val="0A5293"/>
        </w:rPr>
        <w:t xml:space="preserve">and </w:t>
      </w:r>
      <w:r>
        <w:rPr>
          <w:color w:val="0A5293"/>
          <w:spacing w:val="-2"/>
        </w:rPr>
        <w:t>Collaboration</w:t>
      </w:r>
    </w:p>
    <w:p w:rsidR="00200FDA" w:rsidRDefault="00200FDA">
      <w:pPr>
        <w:pStyle w:val="BodyText"/>
        <w:spacing w:before="10"/>
        <w:rPr>
          <w:sz w:val="33"/>
        </w:rPr>
      </w:pPr>
    </w:p>
    <w:p w:rsidR="00200FDA" w:rsidRDefault="00F76C4C">
      <w:pPr>
        <w:spacing w:before="1" w:line="276" w:lineRule="auto"/>
        <w:ind w:left="139" w:right="254"/>
        <w:jc w:val="both"/>
        <w:rPr>
          <w:sz w:val="21"/>
        </w:rPr>
      </w:pPr>
      <w:r>
        <w:rPr>
          <w:sz w:val="21"/>
        </w:rPr>
        <w:t>The realities of minority stress shape the Commission’s recommendations in three key ways. First, all supporters of LGBTQ youth should recognize that discrimination is not simply “stressful”; it is also a form of trauma. Therefore, all of our recommendatio</w:t>
      </w:r>
      <w:r>
        <w:rPr>
          <w:sz w:val="21"/>
        </w:rPr>
        <w:t>ns should</w:t>
      </w:r>
      <w:r>
        <w:rPr>
          <w:spacing w:val="-1"/>
          <w:sz w:val="21"/>
        </w:rPr>
        <w:t xml:space="preserve"> </w:t>
      </w:r>
      <w:r>
        <w:rPr>
          <w:sz w:val="21"/>
        </w:rPr>
        <w:t>be implemented</w:t>
      </w:r>
      <w:r>
        <w:rPr>
          <w:spacing w:val="-1"/>
          <w:sz w:val="21"/>
        </w:rPr>
        <w:t xml:space="preserve"> </w:t>
      </w:r>
      <w:r>
        <w:rPr>
          <w:sz w:val="21"/>
        </w:rPr>
        <w:t>in</w:t>
      </w:r>
      <w:r>
        <w:rPr>
          <w:spacing w:val="-1"/>
          <w:sz w:val="21"/>
        </w:rPr>
        <w:t xml:space="preserve"> </w:t>
      </w:r>
      <w:r>
        <w:rPr>
          <w:sz w:val="21"/>
        </w:rPr>
        <w:t>a</w:t>
      </w:r>
      <w:r>
        <w:rPr>
          <w:spacing w:val="-1"/>
          <w:sz w:val="21"/>
        </w:rPr>
        <w:t xml:space="preserve"> </w:t>
      </w:r>
      <w:r>
        <w:rPr>
          <w:sz w:val="21"/>
        </w:rPr>
        <w:t>trauma-informed</w:t>
      </w:r>
      <w:r>
        <w:rPr>
          <w:spacing w:val="-1"/>
          <w:sz w:val="21"/>
        </w:rPr>
        <w:t xml:space="preserve"> </w:t>
      </w:r>
      <w:r>
        <w:rPr>
          <w:sz w:val="21"/>
        </w:rPr>
        <w:t>way, expecting that any youth being served may have experienced trauma. Clinical, school, and community-based providers should follow the Substance Abuse and Mental Health Services Administration (SAMHSA)’s six</w:t>
      </w:r>
      <w:r>
        <w:rPr>
          <w:sz w:val="21"/>
        </w:rPr>
        <w:t xml:space="preserve"> principles of LGBTQ trauma-informed care: 1) center survivors’ voices and desires in services, 2) build collaborative </w:t>
      </w:r>
      <w:r>
        <w:rPr>
          <w:spacing w:val="-2"/>
          <w:sz w:val="21"/>
        </w:rPr>
        <w:t xml:space="preserve">relationships, 3) demonstrate trustworthiness and transparency, 4) create safety by proactively communicating </w:t>
      </w:r>
      <w:r>
        <w:rPr>
          <w:sz w:val="21"/>
        </w:rPr>
        <w:t>an affirming stance, 5) rec</w:t>
      </w:r>
      <w:r>
        <w:rPr>
          <w:sz w:val="21"/>
        </w:rPr>
        <w:t>ognize and discuss cultural, historical, and gender influences on youths’ identities and experiences, and 6) promote peer support.</w:t>
      </w:r>
      <w:hyperlink w:anchor="_bookmark269" w:history="1">
        <w:r>
          <w:rPr>
            <w:sz w:val="21"/>
            <w:vertAlign w:val="superscript"/>
          </w:rPr>
          <w:t>15</w:t>
        </w:r>
      </w:hyperlink>
    </w:p>
    <w:p w:rsidR="00200FDA" w:rsidRDefault="00200FDA">
      <w:pPr>
        <w:pStyle w:val="BodyText"/>
        <w:spacing w:before="9"/>
        <w:rPr>
          <w:sz w:val="19"/>
        </w:rPr>
      </w:pPr>
    </w:p>
    <w:p w:rsidR="00200FDA" w:rsidRDefault="00F76C4C">
      <w:pPr>
        <w:spacing w:line="276" w:lineRule="auto"/>
        <w:ind w:left="139" w:right="254"/>
        <w:jc w:val="both"/>
        <w:rPr>
          <w:sz w:val="21"/>
        </w:rPr>
      </w:pPr>
      <w:r>
        <w:rPr>
          <w:sz w:val="21"/>
        </w:rPr>
        <w:t>Second, the Commission’s recommendations</w:t>
      </w:r>
      <w:r>
        <w:rPr>
          <w:spacing w:val="-1"/>
          <w:sz w:val="21"/>
        </w:rPr>
        <w:t xml:space="preserve"> </w:t>
      </w:r>
      <w:r>
        <w:rPr>
          <w:sz w:val="21"/>
        </w:rPr>
        <w:t>include investing</w:t>
      </w:r>
      <w:r>
        <w:rPr>
          <w:spacing w:val="-1"/>
          <w:sz w:val="21"/>
        </w:rPr>
        <w:t xml:space="preserve"> </w:t>
      </w:r>
      <w:r>
        <w:rPr>
          <w:sz w:val="21"/>
        </w:rPr>
        <w:t>in early intervention, rather t</w:t>
      </w:r>
      <w:r>
        <w:rPr>
          <w:sz w:val="21"/>
        </w:rPr>
        <w:t>han reacting</w:t>
      </w:r>
      <w:r>
        <w:rPr>
          <w:spacing w:val="-1"/>
          <w:sz w:val="21"/>
        </w:rPr>
        <w:t xml:space="preserve"> </w:t>
      </w:r>
      <w:r>
        <w:rPr>
          <w:sz w:val="21"/>
        </w:rPr>
        <w:t>only after youths’ mental health issues become obvious. While LGBTQ children begin experiencing more bullying than</w:t>
      </w:r>
      <w:r>
        <w:rPr>
          <w:spacing w:val="-7"/>
          <w:sz w:val="21"/>
        </w:rPr>
        <w:t xml:space="preserve"> </w:t>
      </w:r>
      <w:r>
        <w:rPr>
          <w:sz w:val="21"/>
        </w:rPr>
        <w:t>their</w:t>
      </w:r>
      <w:r>
        <w:rPr>
          <w:spacing w:val="-6"/>
          <w:sz w:val="21"/>
        </w:rPr>
        <w:t xml:space="preserve"> </w:t>
      </w:r>
      <w:r>
        <w:rPr>
          <w:sz w:val="21"/>
        </w:rPr>
        <w:t>peers</w:t>
      </w:r>
      <w:r>
        <w:rPr>
          <w:spacing w:val="-8"/>
          <w:sz w:val="21"/>
        </w:rPr>
        <w:t xml:space="preserve"> </w:t>
      </w:r>
      <w:r>
        <w:rPr>
          <w:sz w:val="21"/>
        </w:rPr>
        <w:t>by</w:t>
      </w:r>
      <w:r>
        <w:rPr>
          <w:spacing w:val="-6"/>
          <w:sz w:val="21"/>
        </w:rPr>
        <w:t xml:space="preserve"> </w:t>
      </w:r>
      <w:r>
        <w:rPr>
          <w:sz w:val="21"/>
        </w:rPr>
        <w:t>age</w:t>
      </w:r>
      <w:r>
        <w:rPr>
          <w:spacing w:val="-6"/>
          <w:sz w:val="21"/>
        </w:rPr>
        <w:t xml:space="preserve"> </w:t>
      </w:r>
      <w:r>
        <w:rPr>
          <w:sz w:val="21"/>
        </w:rPr>
        <w:t>9,</w:t>
      </w:r>
      <w:r>
        <w:rPr>
          <w:spacing w:val="-7"/>
          <w:sz w:val="21"/>
        </w:rPr>
        <w:t xml:space="preserve"> </w:t>
      </w:r>
      <w:r>
        <w:rPr>
          <w:sz w:val="21"/>
        </w:rPr>
        <w:t>it</w:t>
      </w:r>
      <w:r>
        <w:rPr>
          <w:spacing w:val="-10"/>
          <w:sz w:val="21"/>
        </w:rPr>
        <w:t xml:space="preserve"> </w:t>
      </w:r>
      <w:r>
        <w:rPr>
          <w:sz w:val="21"/>
        </w:rPr>
        <w:t>does</w:t>
      </w:r>
      <w:r>
        <w:rPr>
          <w:spacing w:val="-8"/>
          <w:sz w:val="21"/>
        </w:rPr>
        <w:t xml:space="preserve"> </w:t>
      </w:r>
      <w:r>
        <w:rPr>
          <w:sz w:val="21"/>
        </w:rPr>
        <w:t>not</w:t>
      </w:r>
      <w:r>
        <w:rPr>
          <w:spacing w:val="-8"/>
          <w:sz w:val="21"/>
        </w:rPr>
        <w:t xml:space="preserve"> </w:t>
      </w:r>
      <w:r>
        <w:rPr>
          <w:sz w:val="21"/>
        </w:rPr>
        <w:t>become</w:t>
      </w:r>
      <w:r>
        <w:rPr>
          <w:spacing w:val="-6"/>
          <w:sz w:val="21"/>
        </w:rPr>
        <w:t xml:space="preserve"> </w:t>
      </w:r>
      <w:r>
        <w:rPr>
          <w:sz w:val="21"/>
        </w:rPr>
        <w:t>obvious</w:t>
      </w:r>
      <w:r>
        <w:rPr>
          <w:spacing w:val="-8"/>
          <w:sz w:val="21"/>
        </w:rPr>
        <w:t xml:space="preserve"> </w:t>
      </w:r>
      <w:r>
        <w:rPr>
          <w:sz w:val="21"/>
        </w:rPr>
        <w:t>that</w:t>
      </w:r>
      <w:r>
        <w:rPr>
          <w:spacing w:val="-8"/>
          <w:sz w:val="21"/>
        </w:rPr>
        <w:t xml:space="preserve"> </w:t>
      </w:r>
      <w:r>
        <w:rPr>
          <w:sz w:val="21"/>
        </w:rPr>
        <w:t>they</w:t>
      </w:r>
      <w:r>
        <w:rPr>
          <w:spacing w:val="-6"/>
          <w:sz w:val="21"/>
        </w:rPr>
        <w:t xml:space="preserve"> </w:t>
      </w:r>
      <w:r>
        <w:rPr>
          <w:sz w:val="21"/>
        </w:rPr>
        <w:t>suffer</w:t>
      </w:r>
      <w:r>
        <w:rPr>
          <w:spacing w:val="-6"/>
          <w:sz w:val="21"/>
        </w:rPr>
        <w:t xml:space="preserve"> </w:t>
      </w:r>
      <w:r>
        <w:rPr>
          <w:sz w:val="21"/>
        </w:rPr>
        <w:t>from</w:t>
      </w:r>
      <w:r>
        <w:rPr>
          <w:spacing w:val="-7"/>
          <w:sz w:val="21"/>
        </w:rPr>
        <w:t xml:space="preserve"> </w:t>
      </w:r>
      <w:r>
        <w:rPr>
          <w:sz w:val="21"/>
        </w:rPr>
        <w:t>more</w:t>
      </w:r>
      <w:r>
        <w:rPr>
          <w:spacing w:val="-6"/>
          <w:sz w:val="21"/>
        </w:rPr>
        <w:t xml:space="preserve"> </w:t>
      </w:r>
      <w:r>
        <w:rPr>
          <w:sz w:val="21"/>
        </w:rPr>
        <w:t>mental</w:t>
      </w:r>
      <w:r>
        <w:rPr>
          <w:spacing w:val="-7"/>
          <w:sz w:val="21"/>
        </w:rPr>
        <w:t xml:space="preserve"> </w:t>
      </w:r>
      <w:r>
        <w:rPr>
          <w:sz w:val="21"/>
        </w:rPr>
        <w:t>health</w:t>
      </w:r>
      <w:r>
        <w:rPr>
          <w:spacing w:val="-7"/>
          <w:sz w:val="21"/>
        </w:rPr>
        <w:t xml:space="preserve"> </w:t>
      </w:r>
      <w:r>
        <w:rPr>
          <w:sz w:val="21"/>
        </w:rPr>
        <w:t>and</w:t>
      </w:r>
      <w:r>
        <w:rPr>
          <w:spacing w:val="-7"/>
          <w:sz w:val="21"/>
        </w:rPr>
        <w:t xml:space="preserve"> </w:t>
      </w:r>
      <w:r>
        <w:rPr>
          <w:sz w:val="21"/>
        </w:rPr>
        <w:t>substance use challenges until early adolescence (i.e. age 12 or 15).</w:t>
      </w:r>
      <w:hyperlink w:anchor="_bookmark270" w:history="1">
        <w:r>
          <w:rPr>
            <w:sz w:val="21"/>
            <w:vertAlign w:val="superscript"/>
          </w:rPr>
          <w:t>16</w:t>
        </w:r>
      </w:hyperlink>
      <w:r>
        <w:rPr>
          <w:spacing w:val="-2"/>
          <w:sz w:val="21"/>
        </w:rPr>
        <w:t xml:space="preserve"> </w:t>
      </w:r>
      <w:r>
        <w:rPr>
          <w:sz w:val="21"/>
        </w:rPr>
        <w:t>This delayed impact of bullying on youth health is minority stress in action. This is why youth should be supported early in life, such as through inclu</w:t>
      </w:r>
      <w:r>
        <w:rPr>
          <w:sz w:val="21"/>
        </w:rPr>
        <w:t>sive curriculum and peer support spaces, even when adults assume that youth do not yet know they are LGBTQ. Preventative</w:t>
      </w:r>
      <w:r>
        <w:rPr>
          <w:spacing w:val="-6"/>
          <w:sz w:val="21"/>
        </w:rPr>
        <w:t xml:space="preserve"> </w:t>
      </w:r>
      <w:r>
        <w:rPr>
          <w:sz w:val="21"/>
        </w:rPr>
        <w:t>support</w:t>
      </w:r>
      <w:r>
        <w:rPr>
          <w:spacing w:val="-8"/>
          <w:sz w:val="21"/>
        </w:rPr>
        <w:t xml:space="preserve"> </w:t>
      </w:r>
      <w:r>
        <w:rPr>
          <w:sz w:val="21"/>
        </w:rPr>
        <w:t>in</w:t>
      </w:r>
      <w:r>
        <w:rPr>
          <w:spacing w:val="-7"/>
          <w:sz w:val="21"/>
        </w:rPr>
        <w:t xml:space="preserve"> </w:t>
      </w:r>
      <w:r>
        <w:rPr>
          <w:sz w:val="21"/>
        </w:rPr>
        <w:t>schools</w:t>
      </w:r>
      <w:r>
        <w:rPr>
          <w:spacing w:val="-8"/>
          <w:sz w:val="21"/>
        </w:rPr>
        <w:t xml:space="preserve"> </w:t>
      </w:r>
      <w:r>
        <w:rPr>
          <w:sz w:val="21"/>
        </w:rPr>
        <w:t>and</w:t>
      </w:r>
      <w:r>
        <w:rPr>
          <w:spacing w:val="-7"/>
          <w:sz w:val="21"/>
        </w:rPr>
        <w:t xml:space="preserve"> </w:t>
      </w:r>
      <w:r>
        <w:rPr>
          <w:sz w:val="21"/>
        </w:rPr>
        <w:t>communities</w:t>
      </w:r>
      <w:r>
        <w:rPr>
          <w:spacing w:val="-8"/>
          <w:sz w:val="21"/>
        </w:rPr>
        <w:t xml:space="preserve"> </w:t>
      </w:r>
      <w:r>
        <w:rPr>
          <w:sz w:val="21"/>
        </w:rPr>
        <w:t>will</w:t>
      </w:r>
      <w:r>
        <w:rPr>
          <w:spacing w:val="-7"/>
          <w:sz w:val="21"/>
        </w:rPr>
        <w:t xml:space="preserve"> </w:t>
      </w:r>
      <w:r>
        <w:rPr>
          <w:sz w:val="21"/>
        </w:rPr>
        <w:t>decrease</w:t>
      </w:r>
      <w:r>
        <w:rPr>
          <w:spacing w:val="-6"/>
          <w:sz w:val="21"/>
        </w:rPr>
        <w:t xml:space="preserve"> </w:t>
      </w:r>
      <w:r>
        <w:rPr>
          <w:sz w:val="21"/>
        </w:rPr>
        <w:t>the</w:t>
      </w:r>
      <w:r>
        <w:rPr>
          <w:spacing w:val="-6"/>
          <w:sz w:val="21"/>
        </w:rPr>
        <w:t xml:space="preserve"> </w:t>
      </w:r>
      <w:r>
        <w:rPr>
          <w:sz w:val="21"/>
        </w:rPr>
        <w:t>lifelong</w:t>
      </w:r>
      <w:r>
        <w:rPr>
          <w:spacing w:val="-8"/>
          <w:sz w:val="21"/>
        </w:rPr>
        <w:t xml:space="preserve"> </w:t>
      </w:r>
      <w:r>
        <w:rPr>
          <w:sz w:val="21"/>
        </w:rPr>
        <w:t>impacts</w:t>
      </w:r>
      <w:r>
        <w:rPr>
          <w:spacing w:val="-8"/>
          <w:sz w:val="21"/>
        </w:rPr>
        <w:t xml:space="preserve"> </w:t>
      </w:r>
      <w:r>
        <w:rPr>
          <w:sz w:val="21"/>
        </w:rPr>
        <w:t>of</w:t>
      </w:r>
      <w:r>
        <w:rPr>
          <w:spacing w:val="-6"/>
          <w:sz w:val="21"/>
        </w:rPr>
        <w:t xml:space="preserve"> </w:t>
      </w:r>
      <w:r>
        <w:rPr>
          <w:sz w:val="21"/>
        </w:rPr>
        <w:t>minority</w:t>
      </w:r>
      <w:r>
        <w:rPr>
          <w:spacing w:val="-6"/>
          <w:sz w:val="21"/>
        </w:rPr>
        <w:t xml:space="preserve"> </w:t>
      </w:r>
      <w:r>
        <w:rPr>
          <w:sz w:val="21"/>
        </w:rPr>
        <w:t>stress</w:t>
      </w:r>
      <w:r>
        <w:rPr>
          <w:spacing w:val="-8"/>
          <w:sz w:val="21"/>
        </w:rPr>
        <w:t xml:space="preserve"> </w:t>
      </w:r>
      <w:r>
        <w:rPr>
          <w:sz w:val="21"/>
        </w:rPr>
        <w:t>and</w:t>
      </w:r>
      <w:r>
        <w:rPr>
          <w:spacing w:val="-7"/>
          <w:sz w:val="21"/>
        </w:rPr>
        <w:t xml:space="preserve"> </w:t>
      </w:r>
      <w:r>
        <w:rPr>
          <w:sz w:val="21"/>
        </w:rPr>
        <w:t>help bridge the massive gap in access to n</w:t>
      </w:r>
      <w:r>
        <w:rPr>
          <w:sz w:val="21"/>
        </w:rPr>
        <w:t>eeded professional mental health support.</w:t>
      </w:r>
    </w:p>
    <w:p w:rsidR="00200FDA" w:rsidRDefault="00200FDA">
      <w:pPr>
        <w:pStyle w:val="BodyText"/>
        <w:spacing w:before="6"/>
        <w:rPr>
          <w:sz w:val="19"/>
        </w:rPr>
      </w:pPr>
    </w:p>
    <w:p w:rsidR="00200FDA" w:rsidRDefault="00F76C4C">
      <w:pPr>
        <w:spacing w:before="1" w:line="276" w:lineRule="auto"/>
        <w:ind w:left="139" w:right="256"/>
        <w:jc w:val="both"/>
        <w:rPr>
          <w:sz w:val="21"/>
        </w:rPr>
      </w:pPr>
      <w:r>
        <w:rPr>
          <w:sz w:val="21"/>
        </w:rPr>
        <w:t>Finally,</w:t>
      </w:r>
      <w:r>
        <w:rPr>
          <w:spacing w:val="-10"/>
          <w:sz w:val="21"/>
        </w:rPr>
        <w:t xml:space="preserve"> </w:t>
      </w:r>
      <w:r>
        <w:rPr>
          <w:sz w:val="21"/>
        </w:rPr>
        <w:t>the</w:t>
      </w:r>
      <w:r>
        <w:rPr>
          <w:spacing w:val="-10"/>
          <w:sz w:val="21"/>
        </w:rPr>
        <w:t xml:space="preserve"> </w:t>
      </w:r>
      <w:r>
        <w:rPr>
          <w:sz w:val="21"/>
        </w:rPr>
        <w:t>Commission</w:t>
      </w:r>
      <w:r>
        <w:rPr>
          <w:spacing w:val="-11"/>
          <w:sz w:val="21"/>
        </w:rPr>
        <w:t xml:space="preserve"> </w:t>
      </w:r>
      <w:r>
        <w:rPr>
          <w:sz w:val="21"/>
        </w:rPr>
        <w:t>follows</w:t>
      </w:r>
      <w:r>
        <w:rPr>
          <w:spacing w:val="-11"/>
          <w:sz w:val="21"/>
        </w:rPr>
        <w:t xml:space="preserve"> </w:t>
      </w:r>
      <w:r>
        <w:rPr>
          <w:sz w:val="21"/>
        </w:rPr>
        <w:t>current</w:t>
      </w:r>
      <w:r>
        <w:rPr>
          <w:spacing w:val="-11"/>
          <w:sz w:val="21"/>
        </w:rPr>
        <w:t xml:space="preserve"> </w:t>
      </w:r>
      <w:r>
        <w:rPr>
          <w:sz w:val="21"/>
        </w:rPr>
        <w:t>research</w:t>
      </w:r>
      <w:r>
        <w:rPr>
          <w:spacing w:val="-11"/>
          <w:sz w:val="21"/>
        </w:rPr>
        <w:t xml:space="preserve"> </w:t>
      </w:r>
      <w:r>
        <w:rPr>
          <w:sz w:val="21"/>
        </w:rPr>
        <w:t>recommendations</w:t>
      </w:r>
      <w:r>
        <w:rPr>
          <w:spacing w:val="-11"/>
          <w:sz w:val="21"/>
        </w:rPr>
        <w:t xml:space="preserve"> </w:t>
      </w:r>
      <w:r>
        <w:rPr>
          <w:sz w:val="21"/>
        </w:rPr>
        <w:t>by</w:t>
      </w:r>
      <w:r>
        <w:rPr>
          <w:spacing w:val="-10"/>
          <w:sz w:val="21"/>
        </w:rPr>
        <w:t xml:space="preserve"> </w:t>
      </w:r>
      <w:r>
        <w:rPr>
          <w:sz w:val="21"/>
        </w:rPr>
        <w:t>taking</w:t>
      </w:r>
      <w:r>
        <w:rPr>
          <w:spacing w:val="-11"/>
          <w:sz w:val="21"/>
        </w:rPr>
        <w:t xml:space="preserve"> </w:t>
      </w:r>
      <w:r>
        <w:rPr>
          <w:sz w:val="21"/>
        </w:rPr>
        <w:t>a</w:t>
      </w:r>
      <w:r>
        <w:rPr>
          <w:spacing w:val="-11"/>
          <w:sz w:val="21"/>
        </w:rPr>
        <w:t xml:space="preserve"> </w:t>
      </w:r>
      <w:r>
        <w:rPr>
          <w:sz w:val="21"/>
        </w:rPr>
        <w:t>sociopolitical,</w:t>
      </w:r>
      <w:r>
        <w:rPr>
          <w:spacing w:val="-10"/>
          <w:sz w:val="21"/>
        </w:rPr>
        <w:t xml:space="preserve"> </w:t>
      </w:r>
      <w:r>
        <w:rPr>
          <w:sz w:val="21"/>
        </w:rPr>
        <w:t>holistic</w:t>
      </w:r>
      <w:r>
        <w:rPr>
          <w:spacing w:val="-11"/>
          <w:sz w:val="21"/>
        </w:rPr>
        <w:t xml:space="preserve"> </w:t>
      </w:r>
      <w:r>
        <w:rPr>
          <w:sz w:val="21"/>
        </w:rPr>
        <w:t>approach to LGBTQ youth mental health instead of an individualistic or pathologizing approach. That is, LGBTQ youths’ mental health challenges can be seen as natural human responses to their experiences in school, home, community, and society – not just “p</w:t>
      </w:r>
      <w:r>
        <w:rPr>
          <w:sz w:val="21"/>
        </w:rPr>
        <w:t>ersonal issues.” Therefore, all support efforts should be anti-oppressive: they should fuel systemic change that tangibly reshapes services, schools, communities, policies, and laws rather than focusing only on individual mental health support.</w:t>
      </w:r>
    </w:p>
    <w:p w:rsidR="00200FDA" w:rsidRDefault="00200FDA">
      <w:pPr>
        <w:pStyle w:val="BodyText"/>
        <w:rPr>
          <w:sz w:val="20"/>
        </w:rPr>
      </w:pPr>
    </w:p>
    <w:p w:rsidR="00200FDA" w:rsidRDefault="00F76C4C">
      <w:pPr>
        <w:pStyle w:val="Heading7"/>
        <w:spacing w:before="159"/>
        <w:ind w:left="140"/>
      </w:pPr>
      <w:bookmarkStart w:id="357" w:name="Research:_Supporting_LGBTQ_Mental_Health"/>
      <w:bookmarkEnd w:id="357"/>
      <w:r>
        <w:rPr>
          <w:color w:val="0A5293"/>
        </w:rPr>
        <w:t>Research:</w:t>
      </w:r>
      <w:r>
        <w:rPr>
          <w:color w:val="0A5293"/>
          <w:spacing w:val="-11"/>
        </w:rPr>
        <w:t xml:space="preserve"> </w:t>
      </w:r>
      <w:r>
        <w:rPr>
          <w:color w:val="0A5293"/>
        </w:rPr>
        <w:t>Supporting</w:t>
      </w:r>
      <w:r>
        <w:rPr>
          <w:color w:val="0A5293"/>
          <w:spacing w:val="-8"/>
        </w:rPr>
        <w:t xml:space="preserve"> </w:t>
      </w:r>
      <w:r>
        <w:rPr>
          <w:color w:val="0A5293"/>
        </w:rPr>
        <w:t>LGBTQ</w:t>
      </w:r>
      <w:r>
        <w:rPr>
          <w:color w:val="0A5293"/>
          <w:spacing w:val="-7"/>
        </w:rPr>
        <w:t xml:space="preserve"> </w:t>
      </w:r>
      <w:r>
        <w:rPr>
          <w:color w:val="0A5293"/>
        </w:rPr>
        <w:t>Mental</w:t>
      </w:r>
      <w:r>
        <w:rPr>
          <w:color w:val="0A5293"/>
          <w:spacing w:val="-7"/>
        </w:rPr>
        <w:t xml:space="preserve"> </w:t>
      </w:r>
      <w:r>
        <w:rPr>
          <w:color w:val="0A5293"/>
        </w:rPr>
        <w:t>Healthcare</w:t>
      </w:r>
      <w:r>
        <w:rPr>
          <w:color w:val="0A5293"/>
          <w:spacing w:val="-8"/>
        </w:rPr>
        <w:t xml:space="preserve"> </w:t>
      </w:r>
      <w:r>
        <w:rPr>
          <w:color w:val="0A5293"/>
          <w:spacing w:val="-2"/>
        </w:rPr>
        <w:t>Needs</w:t>
      </w:r>
    </w:p>
    <w:p w:rsidR="00200FDA" w:rsidRDefault="00F76C4C">
      <w:pPr>
        <w:pStyle w:val="BodyText"/>
        <w:spacing w:before="8"/>
        <w:rPr>
          <w:sz w:val="3"/>
        </w:rPr>
      </w:pPr>
      <w:r>
        <w:pict>
          <v:rect id="docshape276" o:spid="_x0000_s1297" style="position:absolute;margin-left:70.55pt;margin-top:3.45pt;width:470.9pt;height:.5pt;z-index:-15698432;mso-wrap-distance-left:0;mso-wrap-distance-right:0;mso-position-horizontal-relative:page" fillcolor="#0f6ec5" stroked="f">
            <w10:wrap type="topAndBottom" anchorx="page"/>
          </v:rect>
        </w:pict>
      </w:r>
    </w:p>
    <w:p w:rsidR="00200FDA" w:rsidRDefault="00200FDA">
      <w:pPr>
        <w:rPr>
          <w:sz w:val="3"/>
        </w:rPr>
        <w:sectPr w:rsidR="00200FDA">
          <w:pgSz w:w="12240" w:h="15840"/>
          <w:pgMar w:top="1360" w:right="1180" w:bottom="1480" w:left="1300" w:header="761" w:footer="1283" w:gutter="0"/>
          <w:cols w:space="720"/>
        </w:sectPr>
      </w:pPr>
    </w:p>
    <w:p w:rsidR="00200FDA" w:rsidRDefault="00F76C4C">
      <w:pPr>
        <w:spacing w:before="64" w:line="276" w:lineRule="auto"/>
        <w:ind w:left="140" w:right="253" w:hanging="1"/>
        <w:jc w:val="both"/>
        <w:rPr>
          <w:sz w:val="21"/>
        </w:rPr>
      </w:pPr>
      <w:r>
        <w:rPr>
          <w:sz w:val="21"/>
        </w:rPr>
        <w:lastRenderedPageBreak/>
        <w:t>In addition to early intervention and anti-oppressive, trauma-informed services, the Commission also urges decision-makers and allies to pay attention to youths’ intersectional identities. Key identi</w:t>
      </w:r>
      <w:r>
        <w:rPr>
          <w:sz w:val="21"/>
        </w:rPr>
        <w:t>ties to consider include</w:t>
      </w:r>
      <w:r>
        <w:rPr>
          <w:spacing w:val="-1"/>
          <w:sz w:val="21"/>
        </w:rPr>
        <w:t xml:space="preserve"> </w:t>
      </w:r>
      <w:r>
        <w:rPr>
          <w:sz w:val="21"/>
        </w:rPr>
        <w:t>race/ethnicity,</w:t>
      </w:r>
      <w:r>
        <w:rPr>
          <w:spacing w:val="-1"/>
          <w:sz w:val="21"/>
        </w:rPr>
        <w:t xml:space="preserve"> </w:t>
      </w:r>
      <w:r>
        <w:rPr>
          <w:sz w:val="21"/>
        </w:rPr>
        <w:t>immigration</w:t>
      </w:r>
      <w:r>
        <w:rPr>
          <w:spacing w:val="-2"/>
          <w:sz w:val="21"/>
        </w:rPr>
        <w:t xml:space="preserve"> </w:t>
      </w:r>
      <w:r>
        <w:rPr>
          <w:sz w:val="21"/>
        </w:rPr>
        <w:t>status,</w:t>
      </w:r>
      <w:r>
        <w:rPr>
          <w:spacing w:val="-1"/>
          <w:sz w:val="21"/>
        </w:rPr>
        <w:t xml:space="preserve"> </w:t>
      </w:r>
      <w:r>
        <w:rPr>
          <w:sz w:val="21"/>
        </w:rPr>
        <w:t>disability/neurodivergence/Deafness,</w:t>
      </w:r>
      <w:r>
        <w:rPr>
          <w:spacing w:val="-1"/>
          <w:sz w:val="21"/>
        </w:rPr>
        <w:t xml:space="preserve"> </w:t>
      </w:r>
      <w:r>
        <w:rPr>
          <w:sz w:val="21"/>
        </w:rPr>
        <w:t>involvement</w:t>
      </w:r>
      <w:r>
        <w:rPr>
          <w:spacing w:val="-3"/>
          <w:sz w:val="21"/>
        </w:rPr>
        <w:t xml:space="preserve"> </w:t>
      </w:r>
      <w:r>
        <w:rPr>
          <w:sz w:val="21"/>
        </w:rPr>
        <w:t>in</w:t>
      </w:r>
      <w:r>
        <w:rPr>
          <w:spacing w:val="-2"/>
          <w:sz w:val="21"/>
        </w:rPr>
        <w:t xml:space="preserve"> </w:t>
      </w:r>
      <w:r>
        <w:rPr>
          <w:sz w:val="21"/>
        </w:rPr>
        <w:t>child</w:t>
      </w:r>
      <w:r>
        <w:rPr>
          <w:spacing w:val="-2"/>
          <w:sz w:val="21"/>
        </w:rPr>
        <w:t xml:space="preserve"> </w:t>
      </w:r>
      <w:r>
        <w:rPr>
          <w:sz w:val="21"/>
        </w:rPr>
        <w:t>welfare and juvenile justice systems, and rural residence.</w:t>
      </w:r>
    </w:p>
    <w:p w:rsidR="00200FDA" w:rsidRDefault="00200FDA">
      <w:pPr>
        <w:pStyle w:val="BodyText"/>
        <w:rPr>
          <w:sz w:val="20"/>
        </w:rPr>
      </w:pPr>
    </w:p>
    <w:p w:rsidR="00200FDA" w:rsidRDefault="00200FDA">
      <w:pPr>
        <w:pStyle w:val="BodyText"/>
        <w:spacing w:before="3"/>
        <w:rPr>
          <w:sz w:val="17"/>
        </w:rPr>
      </w:pPr>
    </w:p>
    <w:p w:rsidR="00200FDA" w:rsidRDefault="00F76C4C">
      <w:pPr>
        <w:pStyle w:val="Heading8"/>
        <w:spacing w:before="1"/>
      </w:pPr>
      <w:bookmarkStart w:id="358" w:name="Race_&amp;_Ethnicity:_Taking_an_Anti-Racist,"/>
      <w:bookmarkEnd w:id="358"/>
      <w:r>
        <w:rPr>
          <w:color w:val="0A5293"/>
        </w:rPr>
        <w:t>Race</w:t>
      </w:r>
      <w:r>
        <w:rPr>
          <w:color w:val="0A5293"/>
          <w:spacing w:val="-1"/>
        </w:rPr>
        <w:t xml:space="preserve"> </w:t>
      </w:r>
      <w:r>
        <w:rPr>
          <w:color w:val="0A5293"/>
        </w:rPr>
        <w:t>&amp;</w:t>
      </w:r>
      <w:r>
        <w:rPr>
          <w:color w:val="0A5293"/>
          <w:spacing w:val="-2"/>
        </w:rPr>
        <w:t xml:space="preserve"> </w:t>
      </w:r>
      <w:r>
        <w:rPr>
          <w:color w:val="0A5293"/>
        </w:rPr>
        <w:t>Ethnicity:</w:t>
      </w:r>
      <w:r>
        <w:rPr>
          <w:color w:val="0A5293"/>
          <w:spacing w:val="-3"/>
        </w:rPr>
        <w:t xml:space="preserve"> </w:t>
      </w:r>
      <w:r>
        <w:rPr>
          <w:color w:val="0A5293"/>
        </w:rPr>
        <w:t>Taking</w:t>
      </w:r>
      <w:r>
        <w:rPr>
          <w:color w:val="0A5293"/>
          <w:spacing w:val="-3"/>
        </w:rPr>
        <w:t xml:space="preserve"> </w:t>
      </w:r>
      <w:r>
        <w:rPr>
          <w:color w:val="0A5293"/>
        </w:rPr>
        <w:t>an</w:t>
      </w:r>
      <w:r>
        <w:rPr>
          <w:color w:val="0A5293"/>
          <w:spacing w:val="-1"/>
        </w:rPr>
        <w:t xml:space="preserve"> </w:t>
      </w:r>
      <w:r>
        <w:rPr>
          <w:color w:val="0A5293"/>
        </w:rPr>
        <w:t>Anti-Racist,</w:t>
      </w:r>
      <w:r>
        <w:rPr>
          <w:color w:val="0A5293"/>
          <w:spacing w:val="-4"/>
        </w:rPr>
        <w:t xml:space="preserve"> </w:t>
      </w:r>
      <w:r>
        <w:rPr>
          <w:color w:val="0A5293"/>
        </w:rPr>
        <w:t xml:space="preserve">Intersectional </w:t>
      </w:r>
      <w:r>
        <w:rPr>
          <w:color w:val="0A5293"/>
          <w:spacing w:val="-2"/>
        </w:rPr>
        <w:t>Approach</w:t>
      </w:r>
    </w:p>
    <w:p w:rsidR="00200FDA" w:rsidRDefault="00200FDA">
      <w:pPr>
        <w:pStyle w:val="BodyText"/>
        <w:spacing w:before="8"/>
        <w:rPr>
          <w:sz w:val="27"/>
        </w:rPr>
      </w:pPr>
    </w:p>
    <w:p w:rsidR="00200FDA" w:rsidRDefault="00F76C4C">
      <w:pPr>
        <w:spacing w:line="276" w:lineRule="auto"/>
        <w:ind w:left="2000" w:right="111"/>
        <w:jc w:val="both"/>
        <w:rPr>
          <w:sz w:val="21"/>
        </w:rPr>
      </w:pPr>
      <w:r>
        <w:rPr>
          <w:noProof/>
        </w:rPr>
        <w:drawing>
          <wp:anchor distT="0" distB="0" distL="0" distR="0" simplePos="0" relativeHeight="15759360" behindDoc="0" locked="0" layoutInCell="1" allowOverlap="1">
            <wp:simplePos x="0" y="0"/>
            <wp:positionH relativeFrom="page">
              <wp:posOffset>1005738</wp:posOffset>
            </wp:positionH>
            <wp:positionV relativeFrom="paragraph">
              <wp:posOffset>26737</wp:posOffset>
            </wp:positionV>
            <wp:extent cx="996416" cy="839681"/>
            <wp:effectExtent l="0" t="0" r="0" b="0"/>
            <wp:wrapNone/>
            <wp:docPr id="31"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0.jpeg"/>
                    <pic:cNvPicPr/>
                  </pic:nvPicPr>
                  <pic:blipFill>
                    <a:blip r:embed="rId227" cstate="print"/>
                    <a:stretch>
                      <a:fillRect/>
                    </a:stretch>
                  </pic:blipFill>
                  <pic:spPr>
                    <a:xfrm>
                      <a:off x="0" y="0"/>
                      <a:ext cx="996416" cy="839681"/>
                    </a:xfrm>
                    <a:prstGeom prst="rect">
                      <a:avLst/>
                    </a:prstGeom>
                  </pic:spPr>
                </pic:pic>
              </a:graphicData>
            </a:graphic>
          </wp:anchor>
        </w:drawing>
      </w:r>
      <w:r>
        <w:rPr>
          <w:sz w:val="21"/>
        </w:rPr>
        <w:t xml:space="preserve">Queer and transgender BIPOC (QTBIPOC) youth do not just experience minority stress through LGBTQ-phobia, but also through racism – which </w:t>
      </w:r>
      <w:r>
        <w:rPr>
          <w:color w:val="1C1D1E"/>
          <w:sz w:val="21"/>
        </w:rPr>
        <w:t>“is not an abnormal experience, but</w:t>
      </w:r>
      <w:r>
        <w:rPr>
          <w:color w:val="1C1D1E"/>
          <w:spacing w:val="-12"/>
          <w:sz w:val="21"/>
        </w:rPr>
        <w:t xml:space="preserve"> </w:t>
      </w:r>
      <w:r>
        <w:rPr>
          <w:color w:val="1C1D1E"/>
          <w:sz w:val="21"/>
        </w:rPr>
        <w:t>an</w:t>
      </w:r>
      <w:r>
        <w:rPr>
          <w:color w:val="1C1D1E"/>
          <w:spacing w:val="-11"/>
          <w:sz w:val="21"/>
        </w:rPr>
        <w:t xml:space="preserve"> </w:t>
      </w:r>
      <w:r>
        <w:rPr>
          <w:color w:val="1C1D1E"/>
          <w:sz w:val="21"/>
        </w:rPr>
        <w:t>everyday</w:t>
      </w:r>
      <w:r>
        <w:rPr>
          <w:color w:val="1C1D1E"/>
          <w:spacing w:val="-11"/>
          <w:sz w:val="21"/>
        </w:rPr>
        <w:t xml:space="preserve"> </w:t>
      </w:r>
      <w:r>
        <w:rPr>
          <w:color w:val="1C1D1E"/>
          <w:sz w:val="21"/>
        </w:rPr>
        <w:t>occurrence.”</w:t>
      </w:r>
      <w:hyperlink w:anchor="_bookmark271" w:history="1">
        <w:r>
          <w:rPr>
            <w:color w:val="1C1D1E"/>
            <w:sz w:val="21"/>
            <w:vertAlign w:val="superscript"/>
          </w:rPr>
          <w:t>17</w:t>
        </w:r>
      </w:hyperlink>
      <w:r>
        <w:rPr>
          <w:color w:val="1C1D1E"/>
          <w:spacing w:val="-3"/>
          <w:sz w:val="21"/>
        </w:rPr>
        <w:t xml:space="preserve"> </w:t>
      </w:r>
      <w:r>
        <w:rPr>
          <w:color w:val="1C1D1E"/>
          <w:sz w:val="21"/>
        </w:rPr>
        <w:t>For</w:t>
      </w:r>
      <w:r>
        <w:rPr>
          <w:color w:val="1C1D1E"/>
          <w:spacing w:val="-8"/>
          <w:sz w:val="21"/>
        </w:rPr>
        <w:t xml:space="preserve"> </w:t>
      </w:r>
      <w:r>
        <w:rPr>
          <w:color w:val="1C1D1E"/>
          <w:sz w:val="21"/>
        </w:rPr>
        <w:t>instance,</w:t>
      </w:r>
      <w:r>
        <w:rPr>
          <w:color w:val="1C1D1E"/>
          <w:spacing w:val="-12"/>
          <w:sz w:val="21"/>
        </w:rPr>
        <w:t xml:space="preserve"> </w:t>
      </w:r>
      <w:r>
        <w:rPr>
          <w:sz w:val="21"/>
        </w:rPr>
        <w:t>GLSEN’s</w:t>
      </w:r>
      <w:r>
        <w:rPr>
          <w:spacing w:val="-12"/>
          <w:sz w:val="21"/>
        </w:rPr>
        <w:t xml:space="preserve"> </w:t>
      </w:r>
      <w:r>
        <w:rPr>
          <w:sz w:val="21"/>
        </w:rPr>
        <w:t>20</w:t>
      </w:r>
      <w:r>
        <w:rPr>
          <w:sz w:val="21"/>
        </w:rPr>
        <w:t>21</w:t>
      </w:r>
      <w:r>
        <w:rPr>
          <w:spacing w:val="-11"/>
          <w:sz w:val="21"/>
        </w:rPr>
        <w:t xml:space="preserve"> </w:t>
      </w:r>
      <w:r>
        <w:rPr>
          <w:sz w:val="21"/>
        </w:rPr>
        <w:t>National</w:t>
      </w:r>
      <w:r>
        <w:rPr>
          <w:spacing w:val="-12"/>
          <w:sz w:val="21"/>
        </w:rPr>
        <w:t xml:space="preserve"> </w:t>
      </w:r>
      <w:r>
        <w:rPr>
          <w:sz w:val="21"/>
        </w:rPr>
        <w:t>School</w:t>
      </w:r>
      <w:r>
        <w:rPr>
          <w:spacing w:val="-10"/>
          <w:sz w:val="21"/>
        </w:rPr>
        <w:t xml:space="preserve"> </w:t>
      </w:r>
      <w:r>
        <w:rPr>
          <w:sz w:val="21"/>
        </w:rPr>
        <w:t>Climate</w:t>
      </w:r>
      <w:r>
        <w:rPr>
          <w:spacing w:val="-11"/>
          <w:sz w:val="21"/>
        </w:rPr>
        <w:t xml:space="preserve"> </w:t>
      </w:r>
      <w:r>
        <w:rPr>
          <w:sz w:val="21"/>
        </w:rPr>
        <w:t>Survey found</w:t>
      </w:r>
      <w:r>
        <w:rPr>
          <w:spacing w:val="-12"/>
          <w:sz w:val="21"/>
        </w:rPr>
        <w:t xml:space="preserve"> </w:t>
      </w:r>
      <w:r>
        <w:rPr>
          <w:sz w:val="21"/>
        </w:rPr>
        <w:t>that</w:t>
      </w:r>
      <w:r>
        <w:rPr>
          <w:spacing w:val="-12"/>
          <w:sz w:val="21"/>
        </w:rPr>
        <w:t xml:space="preserve"> </w:t>
      </w:r>
      <w:r>
        <w:rPr>
          <w:sz w:val="21"/>
        </w:rPr>
        <w:t>nearly</w:t>
      </w:r>
      <w:r>
        <w:rPr>
          <w:spacing w:val="-12"/>
          <w:sz w:val="21"/>
        </w:rPr>
        <w:t xml:space="preserve"> </w:t>
      </w:r>
      <w:r>
        <w:rPr>
          <w:sz w:val="21"/>
        </w:rPr>
        <w:t>81%</w:t>
      </w:r>
      <w:r>
        <w:rPr>
          <w:spacing w:val="-12"/>
          <w:sz w:val="21"/>
        </w:rPr>
        <w:t xml:space="preserve"> </w:t>
      </w:r>
      <w:r>
        <w:rPr>
          <w:sz w:val="21"/>
        </w:rPr>
        <w:t>of</w:t>
      </w:r>
      <w:r>
        <w:rPr>
          <w:spacing w:val="-12"/>
          <w:sz w:val="21"/>
        </w:rPr>
        <w:t xml:space="preserve"> </w:t>
      </w:r>
      <w:r>
        <w:rPr>
          <w:sz w:val="21"/>
        </w:rPr>
        <w:t>LGBTQ</w:t>
      </w:r>
      <w:r>
        <w:rPr>
          <w:spacing w:val="-12"/>
          <w:sz w:val="21"/>
        </w:rPr>
        <w:t xml:space="preserve"> </w:t>
      </w:r>
      <w:r>
        <w:rPr>
          <w:sz w:val="21"/>
        </w:rPr>
        <w:t>youth</w:t>
      </w:r>
      <w:r>
        <w:rPr>
          <w:spacing w:val="-12"/>
          <w:sz w:val="21"/>
        </w:rPr>
        <w:t xml:space="preserve"> </w:t>
      </w:r>
      <w:r>
        <w:rPr>
          <w:sz w:val="21"/>
        </w:rPr>
        <w:t>heard</w:t>
      </w:r>
      <w:r>
        <w:rPr>
          <w:spacing w:val="-13"/>
          <w:sz w:val="21"/>
        </w:rPr>
        <w:t xml:space="preserve"> </w:t>
      </w:r>
      <w:r>
        <w:rPr>
          <w:sz w:val="21"/>
        </w:rPr>
        <w:t>racist</w:t>
      </w:r>
      <w:r>
        <w:rPr>
          <w:spacing w:val="-11"/>
          <w:sz w:val="21"/>
        </w:rPr>
        <w:t xml:space="preserve"> </w:t>
      </w:r>
      <w:r>
        <w:rPr>
          <w:sz w:val="21"/>
        </w:rPr>
        <w:t>remarks</w:t>
      </w:r>
      <w:r>
        <w:rPr>
          <w:spacing w:val="-12"/>
          <w:sz w:val="21"/>
        </w:rPr>
        <w:t xml:space="preserve"> </w:t>
      </w:r>
      <w:r>
        <w:rPr>
          <w:sz w:val="21"/>
        </w:rPr>
        <w:t>in</w:t>
      </w:r>
      <w:r>
        <w:rPr>
          <w:spacing w:val="-12"/>
          <w:sz w:val="21"/>
        </w:rPr>
        <w:t xml:space="preserve"> </w:t>
      </w:r>
      <w:r>
        <w:rPr>
          <w:sz w:val="21"/>
        </w:rPr>
        <w:t>school</w:t>
      </w:r>
      <w:r>
        <w:rPr>
          <w:spacing w:val="-12"/>
          <w:sz w:val="21"/>
        </w:rPr>
        <w:t xml:space="preserve"> </w:t>
      </w:r>
      <w:r>
        <w:rPr>
          <w:sz w:val="21"/>
        </w:rPr>
        <w:t>at</w:t>
      </w:r>
      <w:r>
        <w:rPr>
          <w:spacing w:val="-12"/>
          <w:sz w:val="21"/>
        </w:rPr>
        <w:t xml:space="preserve"> </w:t>
      </w:r>
      <w:r>
        <w:rPr>
          <w:sz w:val="21"/>
        </w:rPr>
        <w:t>least</w:t>
      </w:r>
      <w:r>
        <w:rPr>
          <w:spacing w:val="-12"/>
          <w:sz w:val="21"/>
        </w:rPr>
        <w:t xml:space="preserve"> </w:t>
      </w:r>
      <w:r>
        <w:rPr>
          <w:sz w:val="21"/>
        </w:rPr>
        <w:t>“sometimes.”</w:t>
      </w:r>
    </w:p>
    <w:p w:rsidR="00200FDA" w:rsidRDefault="00F76C4C">
      <w:pPr>
        <w:spacing w:line="276" w:lineRule="auto"/>
        <w:ind w:left="140" w:right="113" w:firstLine="1860"/>
        <w:jc w:val="both"/>
        <w:rPr>
          <w:sz w:val="21"/>
        </w:rPr>
      </w:pPr>
      <w:r>
        <w:rPr>
          <w:sz w:val="21"/>
        </w:rPr>
        <w:t>Meanwhile, many QTBIPOC youth have reported being harassed or assaulted based on their race or ethnicity – either at school (over 1 in 2 youth) or online (over 1 in 4).</w:t>
      </w:r>
      <w:hyperlink w:anchor="_bookmark272" w:history="1">
        <w:r>
          <w:rPr>
            <w:sz w:val="21"/>
            <w:vertAlign w:val="superscript"/>
          </w:rPr>
          <w:t>18</w:t>
        </w:r>
      </w:hyperlink>
    </w:p>
    <w:p w:rsidR="00200FDA" w:rsidRDefault="00200FDA">
      <w:pPr>
        <w:pStyle w:val="BodyText"/>
        <w:spacing w:before="8"/>
        <w:rPr>
          <w:sz w:val="19"/>
        </w:rPr>
      </w:pPr>
    </w:p>
    <w:p w:rsidR="00200FDA" w:rsidRDefault="00F76C4C">
      <w:pPr>
        <w:spacing w:line="276" w:lineRule="auto"/>
        <w:ind w:left="140" w:right="110"/>
        <w:jc w:val="both"/>
        <w:rPr>
          <w:sz w:val="21"/>
        </w:rPr>
      </w:pPr>
      <w:r>
        <w:rPr>
          <w:sz w:val="21"/>
        </w:rPr>
        <w:t>Racism is not just interpersonal. Systems such as ho</w:t>
      </w:r>
      <w:r>
        <w:rPr>
          <w:sz w:val="21"/>
        </w:rPr>
        <w:t>using and employment create and maintain generational inequities</w:t>
      </w:r>
      <w:r>
        <w:rPr>
          <w:spacing w:val="-6"/>
          <w:sz w:val="21"/>
        </w:rPr>
        <w:t xml:space="preserve"> </w:t>
      </w:r>
      <w:r>
        <w:rPr>
          <w:sz w:val="21"/>
        </w:rPr>
        <w:t>in</w:t>
      </w:r>
      <w:r>
        <w:rPr>
          <w:spacing w:val="-6"/>
          <w:sz w:val="21"/>
        </w:rPr>
        <w:t xml:space="preserve"> </w:t>
      </w:r>
      <w:r>
        <w:rPr>
          <w:sz w:val="21"/>
        </w:rPr>
        <w:t>income</w:t>
      </w:r>
      <w:r>
        <w:rPr>
          <w:spacing w:val="-7"/>
          <w:sz w:val="21"/>
        </w:rPr>
        <w:t xml:space="preserve"> </w:t>
      </w:r>
      <w:r>
        <w:rPr>
          <w:sz w:val="21"/>
        </w:rPr>
        <w:t>and</w:t>
      </w:r>
      <w:r>
        <w:rPr>
          <w:spacing w:val="-6"/>
          <w:sz w:val="21"/>
        </w:rPr>
        <w:t xml:space="preserve"> </w:t>
      </w:r>
      <w:r>
        <w:rPr>
          <w:sz w:val="21"/>
        </w:rPr>
        <w:t>health,</w:t>
      </w:r>
      <w:r>
        <w:rPr>
          <w:spacing w:val="-5"/>
          <w:sz w:val="21"/>
        </w:rPr>
        <w:t xml:space="preserve"> </w:t>
      </w:r>
      <w:r>
        <w:rPr>
          <w:sz w:val="21"/>
        </w:rPr>
        <w:t>leading</w:t>
      </w:r>
      <w:r>
        <w:rPr>
          <w:spacing w:val="-6"/>
          <w:sz w:val="21"/>
        </w:rPr>
        <w:t xml:space="preserve"> </w:t>
      </w:r>
      <w:r>
        <w:rPr>
          <w:sz w:val="21"/>
        </w:rPr>
        <w:t>to</w:t>
      </w:r>
      <w:r>
        <w:rPr>
          <w:spacing w:val="-6"/>
          <w:sz w:val="21"/>
        </w:rPr>
        <w:t xml:space="preserve"> </w:t>
      </w:r>
      <w:r>
        <w:rPr>
          <w:sz w:val="21"/>
        </w:rPr>
        <w:t>minority</w:t>
      </w:r>
      <w:r>
        <w:rPr>
          <w:spacing w:val="-7"/>
          <w:sz w:val="21"/>
        </w:rPr>
        <w:t xml:space="preserve"> </w:t>
      </w:r>
      <w:r>
        <w:rPr>
          <w:sz w:val="21"/>
        </w:rPr>
        <w:t>stress.</w:t>
      </w:r>
      <w:r>
        <w:rPr>
          <w:spacing w:val="-6"/>
          <w:sz w:val="21"/>
        </w:rPr>
        <w:t xml:space="preserve"> </w:t>
      </w:r>
      <w:r>
        <w:rPr>
          <w:sz w:val="21"/>
        </w:rPr>
        <w:t>Mental</w:t>
      </w:r>
      <w:r>
        <w:rPr>
          <w:spacing w:val="-6"/>
          <w:sz w:val="21"/>
        </w:rPr>
        <w:t xml:space="preserve"> </w:t>
      </w:r>
      <w:r>
        <w:rPr>
          <w:sz w:val="21"/>
        </w:rPr>
        <w:t>healthcare</w:t>
      </w:r>
      <w:r>
        <w:rPr>
          <w:spacing w:val="-7"/>
          <w:sz w:val="21"/>
        </w:rPr>
        <w:t xml:space="preserve"> </w:t>
      </w:r>
      <w:r>
        <w:rPr>
          <w:sz w:val="21"/>
        </w:rPr>
        <w:t>and</w:t>
      </w:r>
      <w:r>
        <w:rPr>
          <w:spacing w:val="-6"/>
          <w:sz w:val="21"/>
        </w:rPr>
        <w:t xml:space="preserve"> </w:t>
      </w:r>
      <w:r>
        <w:rPr>
          <w:sz w:val="21"/>
        </w:rPr>
        <w:t>social</w:t>
      </w:r>
      <w:r>
        <w:rPr>
          <w:spacing w:val="-6"/>
          <w:sz w:val="21"/>
        </w:rPr>
        <w:t xml:space="preserve"> </w:t>
      </w:r>
      <w:r>
        <w:rPr>
          <w:sz w:val="21"/>
        </w:rPr>
        <w:t>service</w:t>
      </w:r>
      <w:r>
        <w:rPr>
          <w:spacing w:val="-5"/>
          <w:sz w:val="21"/>
        </w:rPr>
        <w:t xml:space="preserve"> </w:t>
      </w:r>
      <w:r>
        <w:rPr>
          <w:sz w:val="21"/>
        </w:rPr>
        <w:t>systems</w:t>
      </w:r>
      <w:r>
        <w:rPr>
          <w:spacing w:val="-6"/>
          <w:sz w:val="21"/>
        </w:rPr>
        <w:t xml:space="preserve"> </w:t>
      </w:r>
      <w:r>
        <w:rPr>
          <w:sz w:val="21"/>
        </w:rPr>
        <w:t>are</w:t>
      </w:r>
      <w:r>
        <w:rPr>
          <w:spacing w:val="-5"/>
          <w:sz w:val="21"/>
        </w:rPr>
        <w:t xml:space="preserve"> </w:t>
      </w:r>
      <w:r>
        <w:rPr>
          <w:sz w:val="21"/>
        </w:rPr>
        <w:t>not exempt. Research shows that BIPOC youth across the board do not get the mental healthcar</w:t>
      </w:r>
      <w:r>
        <w:rPr>
          <w:sz w:val="21"/>
        </w:rPr>
        <w:t>e they need more often than their white peers, partially due to barriers like cost, insurance, parent and youth work or childcare responsibilities,</w:t>
      </w:r>
      <w:r>
        <w:rPr>
          <w:spacing w:val="-9"/>
          <w:sz w:val="21"/>
        </w:rPr>
        <w:t xml:space="preserve"> </w:t>
      </w:r>
      <w:r>
        <w:rPr>
          <w:sz w:val="21"/>
        </w:rPr>
        <w:t>and</w:t>
      </w:r>
      <w:r>
        <w:rPr>
          <w:spacing w:val="-10"/>
          <w:sz w:val="21"/>
        </w:rPr>
        <w:t xml:space="preserve"> </w:t>
      </w:r>
      <w:r>
        <w:rPr>
          <w:sz w:val="21"/>
        </w:rPr>
        <w:t>transportation.</w:t>
      </w:r>
      <w:r>
        <w:rPr>
          <w:spacing w:val="-10"/>
          <w:sz w:val="21"/>
        </w:rPr>
        <w:t xml:space="preserve"> </w:t>
      </w:r>
      <w:r>
        <w:rPr>
          <w:sz w:val="21"/>
        </w:rPr>
        <w:t>Importantly,</w:t>
      </w:r>
      <w:r>
        <w:rPr>
          <w:spacing w:val="-9"/>
          <w:sz w:val="21"/>
        </w:rPr>
        <w:t xml:space="preserve"> </w:t>
      </w:r>
      <w:r>
        <w:rPr>
          <w:sz w:val="21"/>
        </w:rPr>
        <w:t>youth</w:t>
      </w:r>
      <w:r>
        <w:rPr>
          <w:spacing w:val="-7"/>
          <w:sz w:val="21"/>
        </w:rPr>
        <w:t xml:space="preserve"> </w:t>
      </w:r>
      <w:r>
        <w:rPr>
          <w:sz w:val="21"/>
        </w:rPr>
        <w:t>may</w:t>
      </w:r>
      <w:r>
        <w:rPr>
          <w:spacing w:val="-9"/>
          <w:sz w:val="21"/>
        </w:rPr>
        <w:t xml:space="preserve"> </w:t>
      </w:r>
      <w:r>
        <w:rPr>
          <w:sz w:val="21"/>
        </w:rPr>
        <w:t>also</w:t>
      </w:r>
      <w:r>
        <w:rPr>
          <w:spacing w:val="-10"/>
          <w:sz w:val="21"/>
        </w:rPr>
        <w:t xml:space="preserve"> </w:t>
      </w:r>
      <w:r>
        <w:rPr>
          <w:sz w:val="21"/>
        </w:rPr>
        <w:t>avoid</w:t>
      </w:r>
      <w:r>
        <w:rPr>
          <w:spacing w:val="-10"/>
          <w:sz w:val="21"/>
        </w:rPr>
        <w:t xml:space="preserve"> </w:t>
      </w:r>
      <w:r>
        <w:rPr>
          <w:sz w:val="21"/>
        </w:rPr>
        <w:t>or</w:t>
      </w:r>
      <w:r>
        <w:rPr>
          <w:spacing w:val="-8"/>
          <w:sz w:val="21"/>
        </w:rPr>
        <w:t xml:space="preserve"> </w:t>
      </w:r>
      <w:r>
        <w:rPr>
          <w:sz w:val="21"/>
        </w:rPr>
        <w:t>distrust</w:t>
      </w:r>
      <w:r>
        <w:rPr>
          <w:spacing w:val="-10"/>
          <w:sz w:val="21"/>
        </w:rPr>
        <w:t xml:space="preserve"> </w:t>
      </w:r>
      <w:r>
        <w:rPr>
          <w:sz w:val="21"/>
        </w:rPr>
        <w:t>providers</w:t>
      </w:r>
      <w:r>
        <w:rPr>
          <w:spacing w:val="-10"/>
          <w:sz w:val="21"/>
        </w:rPr>
        <w:t xml:space="preserve"> </w:t>
      </w:r>
      <w:r>
        <w:rPr>
          <w:sz w:val="21"/>
        </w:rPr>
        <w:t>who</w:t>
      </w:r>
      <w:r>
        <w:rPr>
          <w:spacing w:val="-10"/>
          <w:sz w:val="21"/>
        </w:rPr>
        <w:t xml:space="preserve"> </w:t>
      </w:r>
      <w:r>
        <w:rPr>
          <w:sz w:val="21"/>
        </w:rPr>
        <w:t>use</w:t>
      </w:r>
      <w:r>
        <w:rPr>
          <w:spacing w:val="-9"/>
          <w:sz w:val="21"/>
        </w:rPr>
        <w:t xml:space="preserve"> </w:t>
      </w:r>
      <w:r>
        <w:rPr>
          <w:sz w:val="21"/>
        </w:rPr>
        <w:t>Eurocentric theories and</w:t>
      </w:r>
      <w:r>
        <w:rPr>
          <w:sz w:val="21"/>
        </w:rPr>
        <w:t xml:space="preserve"> treatment models that focus on the individual, “other” non-white clients’ values or experiences, and</w:t>
      </w:r>
      <w:r>
        <w:rPr>
          <w:spacing w:val="-5"/>
          <w:sz w:val="21"/>
        </w:rPr>
        <w:t xml:space="preserve"> </w:t>
      </w:r>
      <w:r>
        <w:rPr>
          <w:sz w:val="21"/>
        </w:rPr>
        <w:t>ignore</w:t>
      </w:r>
      <w:r>
        <w:rPr>
          <w:spacing w:val="-4"/>
          <w:sz w:val="21"/>
        </w:rPr>
        <w:t xml:space="preserve"> </w:t>
      </w:r>
      <w:r>
        <w:rPr>
          <w:sz w:val="21"/>
        </w:rPr>
        <w:t>or</w:t>
      </w:r>
      <w:r>
        <w:rPr>
          <w:spacing w:val="-4"/>
          <w:sz w:val="21"/>
        </w:rPr>
        <w:t xml:space="preserve"> </w:t>
      </w:r>
      <w:r>
        <w:rPr>
          <w:sz w:val="21"/>
        </w:rPr>
        <w:t>misaddress</w:t>
      </w:r>
      <w:r>
        <w:rPr>
          <w:spacing w:val="-5"/>
          <w:sz w:val="21"/>
        </w:rPr>
        <w:t xml:space="preserve"> </w:t>
      </w:r>
      <w:r>
        <w:rPr>
          <w:sz w:val="21"/>
        </w:rPr>
        <w:t>issues</w:t>
      </w:r>
      <w:r>
        <w:rPr>
          <w:spacing w:val="-5"/>
          <w:sz w:val="21"/>
        </w:rPr>
        <w:t xml:space="preserve"> </w:t>
      </w:r>
      <w:r>
        <w:rPr>
          <w:sz w:val="21"/>
        </w:rPr>
        <w:t>of</w:t>
      </w:r>
      <w:r>
        <w:rPr>
          <w:spacing w:val="-4"/>
          <w:sz w:val="21"/>
        </w:rPr>
        <w:t xml:space="preserve"> </w:t>
      </w:r>
      <w:r>
        <w:rPr>
          <w:sz w:val="21"/>
        </w:rPr>
        <w:t>power,</w:t>
      </w:r>
      <w:r>
        <w:rPr>
          <w:spacing w:val="-7"/>
          <w:sz w:val="21"/>
        </w:rPr>
        <w:t xml:space="preserve"> </w:t>
      </w:r>
      <w:r>
        <w:rPr>
          <w:sz w:val="21"/>
        </w:rPr>
        <w:t>culture,</w:t>
      </w:r>
      <w:r>
        <w:rPr>
          <w:spacing w:val="-7"/>
          <w:sz w:val="21"/>
        </w:rPr>
        <w:t xml:space="preserve"> </w:t>
      </w:r>
      <w:r>
        <w:rPr>
          <w:sz w:val="21"/>
        </w:rPr>
        <w:t>poverty,</w:t>
      </w:r>
      <w:r>
        <w:rPr>
          <w:spacing w:val="-4"/>
          <w:sz w:val="21"/>
        </w:rPr>
        <w:t xml:space="preserve"> </w:t>
      </w:r>
      <w:r>
        <w:rPr>
          <w:sz w:val="21"/>
        </w:rPr>
        <w:t>race,</w:t>
      </w:r>
      <w:r>
        <w:rPr>
          <w:spacing w:val="-4"/>
          <w:sz w:val="21"/>
        </w:rPr>
        <w:t xml:space="preserve"> </w:t>
      </w:r>
      <w:r>
        <w:rPr>
          <w:sz w:val="21"/>
        </w:rPr>
        <w:t>and</w:t>
      </w:r>
      <w:r>
        <w:rPr>
          <w:spacing w:val="-7"/>
          <w:sz w:val="21"/>
        </w:rPr>
        <w:t xml:space="preserve"> </w:t>
      </w:r>
      <w:r>
        <w:rPr>
          <w:sz w:val="21"/>
        </w:rPr>
        <w:t>racism.</w:t>
      </w:r>
      <w:hyperlink w:anchor="_bookmark273" w:history="1">
        <w:r>
          <w:rPr>
            <w:sz w:val="21"/>
            <w:vertAlign w:val="superscript"/>
          </w:rPr>
          <w:t>19</w:t>
        </w:r>
      </w:hyperlink>
      <w:r>
        <w:rPr>
          <w:spacing w:val="-3"/>
          <w:sz w:val="21"/>
        </w:rPr>
        <w:t xml:space="preserve"> </w:t>
      </w:r>
      <w:r>
        <w:rPr>
          <w:sz w:val="21"/>
        </w:rPr>
        <w:t>For</w:t>
      </w:r>
      <w:r>
        <w:rPr>
          <w:spacing w:val="-4"/>
          <w:sz w:val="21"/>
        </w:rPr>
        <w:t xml:space="preserve"> </w:t>
      </w:r>
      <w:r>
        <w:rPr>
          <w:sz w:val="21"/>
        </w:rPr>
        <w:t>example,</w:t>
      </w:r>
      <w:r>
        <w:rPr>
          <w:spacing w:val="-4"/>
          <w:sz w:val="21"/>
        </w:rPr>
        <w:t xml:space="preserve"> </w:t>
      </w:r>
      <w:r>
        <w:rPr>
          <w:sz w:val="21"/>
        </w:rPr>
        <w:t>mounting</w:t>
      </w:r>
      <w:r>
        <w:rPr>
          <w:spacing w:val="-5"/>
          <w:sz w:val="21"/>
        </w:rPr>
        <w:t xml:space="preserve"> </w:t>
      </w:r>
      <w:r>
        <w:rPr>
          <w:sz w:val="21"/>
        </w:rPr>
        <w:t>evidence shows that Black and Latine male youth are significantly more likely than their white peers to be misdiagnosed with disruptive behavioral disorders rather than trauma, ADHD, or autism, partially due to clinician bias.</w:t>
      </w:r>
      <w:hyperlink w:anchor="_bookmark274" w:history="1">
        <w:r>
          <w:rPr>
            <w:sz w:val="21"/>
            <w:vertAlign w:val="superscript"/>
          </w:rPr>
          <w:t>20</w:t>
        </w:r>
      </w:hyperlink>
    </w:p>
    <w:p w:rsidR="00200FDA" w:rsidRDefault="00200FDA">
      <w:pPr>
        <w:pStyle w:val="BodyText"/>
        <w:spacing w:before="9"/>
        <w:rPr>
          <w:sz w:val="19"/>
        </w:rPr>
      </w:pPr>
    </w:p>
    <w:p w:rsidR="00200FDA" w:rsidRDefault="00F76C4C">
      <w:pPr>
        <w:spacing w:line="276" w:lineRule="auto"/>
        <w:ind w:left="139" w:right="110"/>
        <w:jc w:val="both"/>
        <w:rPr>
          <w:sz w:val="21"/>
        </w:rPr>
      </w:pPr>
      <w:r>
        <w:rPr>
          <w:sz w:val="21"/>
        </w:rPr>
        <w:t>In</w:t>
      </w:r>
      <w:r>
        <w:rPr>
          <w:spacing w:val="-1"/>
          <w:sz w:val="21"/>
        </w:rPr>
        <w:t xml:space="preserve"> </w:t>
      </w:r>
      <w:r>
        <w:rPr>
          <w:sz w:val="21"/>
        </w:rPr>
        <w:t>addition</w:t>
      </w:r>
      <w:r>
        <w:rPr>
          <w:spacing w:val="-1"/>
          <w:sz w:val="21"/>
        </w:rPr>
        <w:t xml:space="preserve"> </w:t>
      </w:r>
      <w:r>
        <w:rPr>
          <w:sz w:val="21"/>
        </w:rPr>
        <w:t>to</w:t>
      </w:r>
      <w:r>
        <w:rPr>
          <w:spacing w:val="-1"/>
          <w:sz w:val="21"/>
        </w:rPr>
        <w:t xml:space="preserve"> </w:t>
      </w:r>
      <w:r>
        <w:rPr>
          <w:sz w:val="21"/>
        </w:rPr>
        <w:t>the double burden</w:t>
      </w:r>
      <w:r>
        <w:rPr>
          <w:spacing w:val="-1"/>
          <w:sz w:val="21"/>
        </w:rPr>
        <w:t xml:space="preserve"> </w:t>
      </w:r>
      <w:r>
        <w:rPr>
          <w:sz w:val="21"/>
        </w:rPr>
        <w:t>of</w:t>
      </w:r>
      <w:r>
        <w:rPr>
          <w:spacing w:val="-2"/>
          <w:sz w:val="21"/>
        </w:rPr>
        <w:t xml:space="preserve"> </w:t>
      </w:r>
      <w:r>
        <w:rPr>
          <w:sz w:val="21"/>
        </w:rPr>
        <w:t>everyday</w:t>
      </w:r>
      <w:r>
        <w:rPr>
          <w:spacing w:val="-1"/>
          <w:sz w:val="21"/>
        </w:rPr>
        <w:t xml:space="preserve"> </w:t>
      </w:r>
      <w:r>
        <w:rPr>
          <w:sz w:val="21"/>
        </w:rPr>
        <w:t>oppression, some QTBIPOC people</w:t>
      </w:r>
      <w:r>
        <w:rPr>
          <w:spacing w:val="-1"/>
          <w:sz w:val="21"/>
        </w:rPr>
        <w:t xml:space="preserve"> </w:t>
      </w:r>
      <w:r>
        <w:rPr>
          <w:sz w:val="21"/>
        </w:rPr>
        <w:t>report</w:t>
      </w:r>
      <w:r>
        <w:rPr>
          <w:spacing w:val="-1"/>
          <w:sz w:val="21"/>
        </w:rPr>
        <w:t xml:space="preserve"> </w:t>
      </w:r>
      <w:r>
        <w:rPr>
          <w:sz w:val="21"/>
        </w:rPr>
        <w:t>feeling</w:t>
      </w:r>
      <w:r>
        <w:rPr>
          <w:spacing w:val="-1"/>
          <w:sz w:val="21"/>
        </w:rPr>
        <w:t xml:space="preserve"> </w:t>
      </w:r>
      <w:r>
        <w:rPr>
          <w:sz w:val="21"/>
        </w:rPr>
        <w:t>doubly isolated. That is, they feel unseen and unprotected in both LGBTQ and racial/ethnic affinity spaces.</w:t>
      </w:r>
      <w:hyperlink w:anchor="_bookmark275" w:history="1">
        <w:r>
          <w:rPr>
            <w:sz w:val="21"/>
            <w:vertAlign w:val="superscript"/>
          </w:rPr>
          <w:t>21</w:t>
        </w:r>
      </w:hyperlink>
      <w:r>
        <w:rPr>
          <w:spacing w:val="-2"/>
          <w:sz w:val="21"/>
        </w:rPr>
        <w:t xml:space="preserve"> </w:t>
      </w:r>
      <w:r>
        <w:rPr>
          <w:sz w:val="21"/>
        </w:rPr>
        <w:t>One well-known example</w:t>
      </w:r>
      <w:r>
        <w:rPr>
          <w:spacing w:val="-8"/>
          <w:sz w:val="21"/>
        </w:rPr>
        <w:t xml:space="preserve"> </w:t>
      </w:r>
      <w:r>
        <w:rPr>
          <w:sz w:val="21"/>
        </w:rPr>
        <w:t>is</w:t>
      </w:r>
      <w:r>
        <w:rPr>
          <w:spacing w:val="-9"/>
          <w:sz w:val="21"/>
        </w:rPr>
        <w:t xml:space="preserve"> </w:t>
      </w:r>
      <w:r>
        <w:rPr>
          <w:sz w:val="21"/>
        </w:rPr>
        <w:t>the</w:t>
      </w:r>
      <w:r>
        <w:rPr>
          <w:spacing w:val="-8"/>
          <w:sz w:val="21"/>
        </w:rPr>
        <w:t xml:space="preserve"> </w:t>
      </w:r>
      <w:r>
        <w:rPr>
          <w:sz w:val="21"/>
        </w:rPr>
        <w:t>“no</w:t>
      </w:r>
      <w:r>
        <w:rPr>
          <w:spacing w:val="-12"/>
          <w:sz w:val="21"/>
        </w:rPr>
        <w:t xml:space="preserve"> </w:t>
      </w:r>
      <w:r>
        <w:rPr>
          <w:sz w:val="21"/>
        </w:rPr>
        <w:t>fats,</w:t>
      </w:r>
      <w:r>
        <w:rPr>
          <w:spacing w:val="-8"/>
          <w:sz w:val="21"/>
        </w:rPr>
        <w:t xml:space="preserve"> </w:t>
      </w:r>
      <w:r>
        <w:rPr>
          <w:sz w:val="21"/>
        </w:rPr>
        <w:t>no</w:t>
      </w:r>
      <w:r>
        <w:rPr>
          <w:spacing w:val="-9"/>
          <w:sz w:val="21"/>
        </w:rPr>
        <w:t xml:space="preserve"> </w:t>
      </w:r>
      <w:r>
        <w:rPr>
          <w:sz w:val="21"/>
        </w:rPr>
        <w:t>femmes,</w:t>
      </w:r>
      <w:r>
        <w:rPr>
          <w:spacing w:val="-8"/>
          <w:sz w:val="21"/>
        </w:rPr>
        <w:t xml:space="preserve"> </w:t>
      </w:r>
      <w:r>
        <w:rPr>
          <w:sz w:val="21"/>
        </w:rPr>
        <w:t>no</w:t>
      </w:r>
      <w:r>
        <w:rPr>
          <w:spacing w:val="-9"/>
          <w:sz w:val="21"/>
        </w:rPr>
        <w:t xml:space="preserve"> </w:t>
      </w:r>
      <w:r>
        <w:rPr>
          <w:sz w:val="21"/>
        </w:rPr>
        <w:t>Asians”</w:t>
      </w:r>
      <w:r>
        <w:rPr>
          <w:spacing w:val="-8"/>
          <w:sz w:val="21"/>
        </w:rPr>
        <w:t xml:space="preserve"> </w:t>
      </w:r>
      <w:r>
        <w:rPr>
          <w:sz w:val="21"/>
        </w:rPr>
        <w:t>line</w:t>
      </w:r>
      <w:r>
        <w:rPr>
          <w:spacing w:val="-8"/>
          <w:sz w:val="21"/>
        </w:rPr>
        <w:t xml:space="preserve"> </w:t>
      </w:r>
      <w:r>
        <w:rPr>
          <w:sz w:val="21"/>
        </w:rPr>
        <w:t>that</w:t>
      </w:r>
      <w:r>
        <w:rPr>
          <w:spacing w:val="-9"/>
          <w:sz w:val="21"/>
        </w:rPr>
        <w:t xml:space="preserve"> </w:t>
      </w:r>
      <w:r>
        <w:rPr>
          <w:sz w:val="21"/>
        </w:rPr>
        <w:t>Asian</w:t>
      </w:r>
      <w:r>
        <w:rPr>
          <w:spacing w:val="-9"/>
          <w:sz w:val="21"/>
        </w:rPr>
        <w:t xml:space="preserve"> </w:t>
      </w:r>
      <w:r>
        <w:rPr>
          <w:sz w:val="21"/>
        </w:rPr>
        <w:t>men</w:t>
      </w:r>
      <w:r>
        <w:rPr>
          <w:spacing w:val="-9"/>
          <w:sz w:val="21"/>
        </w:rPr>
        <w:t xml:space="preserve"> </w:t>
      </w:r>
      <w:r>
        <w:rPr>
          <w:sz w:val="21"/>
        </w:rPr>
        <w:t>who</w:t>
      </w:r>
      <w:r>
        <w:rPr>
          <w:spacing w:val="-9"/>
          <w:sz w:val="21"/>
        </w:rPr>
        <w:t xml:space="preserve"> </w:t>
      </w:r>
      <w:r>
        <w:rPr>
          <w:sz w:val="21"/>
        </w:rPr>
        <w:t>date</w:t>
      </w:r>
      <w:r>
        <w:rPr>
          <w:spacing w:val="-8"/>
          <w:sz w:val="21"/>
        </w:rPr>
        <w:t xml:space="preserve"> </w:t>
      </w:r>
      <w:r>
        <w:rPr>
          <w:sz w:val="21"/>
        </w:rPr>
        <w:t>men</w:t>
      </w:r>
      <w:r>
        <w:rPr>
          <w:spacing w:val="-9"/>
          <w:sz w:val="21"/>
        </w:rPr>
        <w:t xml:space="preserve"> </w:t>
      </w:r>
      <w:r>
        <w:rPr>
          <w:sz w:val="21"/>
        </w:rPr>
        <w:t>report</w:t>
      </w:r>
      <w:r>
        <w:rPr>
          <w:spacing w:val="-9"/>
          <w:sz w:val="21"/>
        </w:rPr>
        <w:t xml:space="preserve"> </w:t>
      </w:r>
      <w:r>
        <w:rPr>
          <w:sz w:val="21"/>
        </w:rPr>
        <w:t>encountering</w:t>
      </w:r>
      <w:r>
        <w:rPr>
          <w:spacing w:val="-9"/>
          <w:sz w:val="21"/>
        </w:rPr>
        <w:t xml:space="preserve"> </w:t>
      </w:r>
      <w:r>
        <w:rPr>
          <w:sz w:val="21"/>
        </w:rPr>
        <w:t>on</w:t>
      </w:r>
      <w:r>
        <w:rPr>
          <w:spacing w:val="-9"/>
          <w:sz w:val="21"/>
        </w:rPr>
        <w:t xml:space="preserve"> </w:t>
      </w:r>
      <w:r>
        <w:rPr>
          <w:sz w:val="21"/>
        </w:rPr>
        <w:t>dating apps, on top of the stigma that they face in cultural affinity spaces.</w:t>
      </w:r>
      <w:hyperlink w:anchor="_bookmark276" w:history="1">
        <w:r>
          <w:rPr>
            <w:sz w:val="21"/>
            <w:vertAlign w:val="superscript"/>
          </w:rPr>
          <w:t>22</w:t>
        </w:r>
      </w:hyperlink>
      <w:r>
        <w:rPr>
          <w:spacing w:val="-12"/>
          <w:sz w:val="21"/>
        </w:rPr>
        <w:t xml:space="preserve"> </w:t>
      </w:r>
      <w:r>
        <w:rPr>
          <w:sz w:val="21"/>
        </w:rPr>
        <w:t>Double isolation is also more common among youth who have limited access to LGBTQ and racial/ethnic spaces, such as youth in the juvenile justice system, the child welfare system, or rural areas.</w:t>
      </w:r>
    </w:p>
    <w:p w:rsidR="00200FDA" w:rsidRDefault="00200FDA">
      <w:pPr>
        <w:pStyle w:val="BodyText"/>
        <w:spacing w:before="8"/>
        <w:rPr>
          <w:sz w:val="19"/>
        </w:rPr>
      </w:pPr>
    </w:p>
    <w:p w:rsidR="00200FDA" w:rsidRDefault="00F76C4C">
      <w:pPr>
        <w:spacing w:line="276" w:lineRule="auto"/>
        <w:ind w:left="139" w:right="111"/>
        <w:jc w:val="both"/>
        <w:rPr>
          <w:sz w:val="21"/>
        </w:rPr>
      </w:pPr>
      <w:r>
        <w:rPr>
          <w:sz w:val="21"/>
        </w:rPr>
        <w:t>Given</w:t>
      </w:r>
      <w:r>
        <w:rPr>
          <w:spacing w:val="-5"/>
          <w:sz w:val="21"/>
        </w:rPr>
        <w:t xml:space="preserve"> </w:t>
      </w:r>
      <w:r>
        <w:rPr>
          <w:sz w:val="21"/>
        </w:rPr>
        <w:t>the</w:t>
      </w:r>
      <w:r>
        <w:rPr>
          <w:spacing w:val="-4"/>
          <w:sz w:val="21"/>
        </w:rPr>
        <w:t xml:space="preserve"> </w:t>
      </w:r>
      <w:r>
        <w:rPr>
          <w:sz w:val="21"/>
        </w:rPr>
        <w:t>everyday,</w:t>
      </w:r>
      <w:r>
        <w:rPr>
          <w:spacing w:val="-4"/>
          <w:sz w:val="21"/>
        </w:rPr>
        <w:t xml:space="preserve"> </w:t>
      </w:r>
      <w:r>
        <w:rPr>
          <w:sz w:val="21"/>
        </w:rPr>
        <w:t>systemic,</w:t>
      </w:r>
      <w:r>
        <w:rPr>
          <w:spacing w:val="-4"/>
          <w:sz w:val="21"/>
        </w:rPr>
        <w:t xml:space="preserve"> </w:t>
      </w:r>
      <w:r>
        <w:rPr>
          <w:sz w:val="21"/>
        </w:rPr>
        <w:t>and</w:t>
      </w:r>
      <w:r>
        <w:rPr>
          <w:spacing w:val="-5"/>
          <w:sz w:val="21"/>
        </w:rPr>
        <w:t xml:space="preserve"> </w:t>
      </w:r>
      <w:r>
        <w:rPr>
          <w:sz w:val="21"/>
        </w:rPr>
        <w:t>isolating</w:t>
      </w:r>
      <w:r>
        <w:rPr>
          <w:spacing w:val="-5"/>
          <w:sz w:val="21"/>
        </w:rPr>
        <w:t xml:space="preserve"> </w:t>
      </w:r>
      <w:r>
        <w:rPr>
          <w:sz w:val="21"/>
        </w:rPr>
        <w:t>nature</w:t>
      </w:r>
      <w:r>
        <w:rPr>
          <w:spacing w:val="-4"/>
          <w:sz w:val="21"/>
        </w:rPr>
        <w:t xml:space="preserve"> </w:t>
      </w:r>
      <w:r>
        <w:rPr>
          <w:sz w:val="21"/>
        </w:rPr>
        <w:t>of</w:t>
      </w:r>
      <w:r>
        <w:rPr>
          <w:spacing w:val="-4"/>
          <w:sz w:val="21"/>
        </w:rPr>
        <w:t xml:space="preserve"> </w:t>
      </w:r>
      <w:r>
        <w:rPr>
          <w:sz w:val="21"/>
        </w:rPr>
        <w:t>inter</w:t>
      </w:r>
      <w:r>
        <w:rPr>
          <w:sz w:val="21"/>
        </w:rPr>
        <w:t>sectional</w:t>
      </w:r>
      <w:r>
        <w:rPr>
          <w:spacing w:val="-5"/>
          <w:sz w:val="21"/>
        </w:rPr>
        <w:t xml:space="preserve"> </w:t>
      </w:r>
      <w:r>
        <w:rPr>
          <w:sz w:val="21"/>
        </w:rPr>
        <w:t>oppression,</w:t>
      </w:r>
      <w:r>
        <w:rPr>
          <w:spacing w:val="-4"/>
          <w:sz w:val="21"/>
        </w:rPr>
        <w:t xml:space="preserve"> </w:t>
      </w:r>
      <w:r>
        <w:rPr>
          <w:sz w:val="21"/>
        </w:rPr>
        <w:t>it</w:t>
      </w:r>
      <w:r>
        <w:rPr>
          <w:spacing w:val="-5"/>
          <w:sz w:val="21"/>
        </w:rPr>
        <w:t xml:space="preserve"> </w:t>
      </w:r>
      <w:r>
        <w:rPr>
          <w:sz w:val="21"/>
        </w:rPr>
        <w:t>is</w:t>
      </w:r>
      <w:r>
        <w:rPr>
          <w:spacing w:val="-3"/>
          <w:sz w:val="21"/>
        </w:rPr>
        <w:t xml:space="preserve"> </w:t>
      </w:r>
      <w:r>
        <w:rPr>
          <w:sz w:val="21"/>
        </w:rPr>
        <w:t>not</w:t>
      </w:r>
      <w:r>
        <w:rPr>
          <w:spacing w:val="-5"/>
          <w:sz w:val="21"/>
        </w:rPr>
        <w:t xml:space="preserve"> </w:t>
      </w:r>
      <w:r>
        <w:rPr>
          <w:sz w:val="21"/>
        </w:rPr>
        <w:t>surprising</w:t>
      </w:r>
      <w:r>
        <w:rPr>
          <w:spacing w:val="-5"/>
          <w:sz w:val="21"/>
        </w:rPr>
        <w:t xml:space="preserve"> </w:t>
      </w:r>
      <w:r>
        <w:rPr>
          <w:sz w:val="21"/>
        </w:rPr>
        <w:t>that</w:t>
      </w:r>
      <w:r>
        <w:rPr>
          <w:spacing w:val="-5"/>
          <w:sz w:val="21"/>
        </w:rPr>
        <w:t xml:space="preserve"> </w:t>
      </w:r>
      <w:r>
        <w:rPr>
          <w:sz w:val="21"/>
        </w:rPr>
        <w:t>research shows that QTBIPOC youth have elevated rates of anxiety, depression, suicidality, school discipline, and substance use. These challenges can be seen as a human response to long-term exposure to multi</w:t>
      </w:r>
      <w:r>
        <w:rPr>
          <w:sz w:val="21"/>
        </w:rPr>
        <w:t>ple forms of traumatic discrimination.</w:t>
      </w:r>
    </w:p>
    <w:p w:rsidR="00200FDA" w:rsidRDefault="00200FDA">
      <w:pPr>
        <w:pStyle w:val="BodyText"/>
        <w:spacing w:before="8"/>
        <w:rPr>
          <w:sz w:val="19"/>
        </w:rPr>
      </w:pPr>
    </w:p>
    <w:p w:rsidR="00200FDA" w:rsidRDefault="00F76C4C">
      <w:pPr>
        <w:spacing w:line="276" w:lineRule="auto"/>
        <w:ind w:left="139" w:right="109"/>
        <w:jc w:val="both"/>
        <w:rPr>
          <w:sz w:val="21"/>
        </w:rPr>
      </w:pPr>
      <w:r>
        <w:rPr>
          <w:sz w:val="21"/>
        </w:rPr>
        <w:t>Given</w:t>
      </w:r>
      <w:r>
        <w:rPr>
          <w:spacing w:val="-7"/>
          <w:sz w:val="21"/>
        </w:rPr>
        <w:t xml:space="preserve"> </w:t>
      </w:r>
      <w:r>
        <w:rPr>
          <w:sz w:val="21"/>
        </w:rPr>
        <w:t>all</w:t>
      </w:r>
      <w:r>
        <w:rPr>
          <w:spacing w:val="-7"/>
          <w:sz w:val="21"/>
        </w:rPr>
        <w:t xml:space="preserve"> </w:t>
      </w:r>
      <w:r>
        <w:rPr>
          <w:sz w:val="21"/>
        </w:rPr>
        <w:t>of</w:t>
      </w:r>
      <w:r>
        <w:rPr>
          <w:spacing w:val="-6"/>
          <w:sz w:val="21"/>
        </w:rPr>
        <w:t xml:space="preserve"> </w:t>
      </w:r>
      <w:r>
        <w:rPr>
          <w:sz w:val="21"/>
        </w:rPr>
        <w:t>these</w:t>
      </w:r>
      <w:r>
        <w:rPr>
          <w:spacing w:val="-9"/>
          <w:sz w:val="21"/>
        </w:rPr>
        <w:t xml:space="preserve"> </w:t>
      </w:r>
      <w:r>
        <w:rPr>
          <w:sz w:val="21"/>
        </w:rPr>
        <w:t>unique</w:t>
      </w:r>
      <w:r>
        <w:rPr>
          <w:spacing w:val="-9"/>
          <w:sz w:val="21"/>
        </w:rPr>
        <w:t xml:space="preserve"> </w:t>
      </w:r>
      <w:r>
        <w:rPr>
          <w:sz w:val="21"/>
        </w:rPr>
        <w:t>challenges,</w:t>
      </w:r>
      <w:r>
        <w:rPr>
          <w:spacing w:val="-7"/>
          <w:sz w:val="21"/>
        </w:rPr>
        <w:t xml:space="preserve"> </w:t>
      </w:r>
      <w:r>
        <w:rPr>
          <w:sz w:val="21"/>
        </w:rPr>
        <w:t>allies</w:t>
      </w:r>
      <w:r>
        <w:rPr>
          <w:spacing w:val="-8"/>
          <w:sz w:val="21"/>
        </w:rPr>
        <w:t xml:space="preserve"> </w:t>
      </w:r>
      <w:r>
        <w:rPr>
          <w:sz w:val="21"/>
        </w:rPr>
        <w:t>in</w:t>
      </w:r>
      <w:r>
        <w:rPr>
          <w:spacing w:val="-10"/>
          <w:sz w:val="21"/>
        </w:rPr>
        <w:t xml:space="preserve"> </w:t>
      </w:r>
      <w:r>
        <w:rPr>
          <w:sz w:val="21"/>
        </w:rPr>
        <w:t>mental</w:t>
      </w:r>
      <w:r>
        <w:rPr>
          <w:spacing w:val="-7"/>
          <w:sz w:val="21"/>
        </w:rPr>
        <w:t xml:space="preserve"> </w:t>
      </w:r>
      <w:r>
        <w:rPr>
          <w:sz w:val="21"/>
        </w:rPr>
        <w:t>healthcare,</w:t>
      </w:r>
      <w:r>
        <w:rPr>
          <w:spacing w:val="-9"/>
          <w:sz w:val="21"/>
        </w:rPr>
        <w:t xml:space="preserve"> </w:t>
      </w:r>
      <w:r>
        <w:rPr>
          <w:sz w:val="21"/>
        </w:rPr>
        <w:t>youth</w:t>
      </w:r>
      <w:r>
        <w:rPr>
          <w:spacing w:val="-7"/>
          <w:sz w:val="21"/>
        </w:rPr>
        <w:t xml:space="preserve"> </w:t>
      </w:r>
      <w:r>
        <w:rPr>
          <w:sz w:val="21"/>
        </w:rPr>
        <w:t>services,</w:t>
      </w:r>
      <w:r>
        <w:rPr>
          <w:spacing w:val="-7"/>
          <w:sz w:val="21"/>
        </w:rPr>
        <w:t xml:space="preserve"> </w:t>
      </w:r>
      <w:r>
        <w:rPr>
          <w:sz w:val="21"/>
        </w:rPr>
        <w:t>and</w:t>
      </w:r>
      <w:r>
        <w:rPr>
          <w:spacing w:val="-7"/>
          <w:sz w:val="21"/>
        </w:rPr>
        <w:t xml:space="preserve"> </w:t>
      </w:r>
      <w:r>
        <w:rPr>
          <w:sz w:val="21"/>
        </w:rPr>
        <w:t>policy</w:t>
      </w:r>
      <w:r>
        <w:rPr>
          <w:spacing w:val="-6"/>
          <w:sz w:val="21"/>
        </w:rPr>
        <w:t xml:space="preserve"> </w:t>
      </w:r>
      <w:r>
        <w:rPr>
          <w:sz w:val="21"/>
        </w:rPr>
        <w:t>should</w:t>
      </w:r>
      <w:r>
        <w:rPr>
          <w:spacing w:val="-7"/>
          <w:sz w:val="21"/>
        </w:rPr>
        <w:t xml:space="preserve"> </w:t>
      </w:r>
      <w:r>
        <w:rPr>
          <w:sz w:val="21"/>
        </w:rPr>
        <w:t>recognize</w:t>
      </w:r>
      <w:r>
        <w:rPr>
          <w:spacing w:val="-6"/>
          <w:sz w:val="21"/>
        </w:rPr>
        <w:t xml:space="preserve"> </w:t>
      </w:r>
      <w:r>
        <w:rPr>
          <w:sz w:val="21"/>
        </w:rPr>
        <w:t>that QTBIPOC</w:t>
      </w:r>
      <w:r>
        <w:rPr>
          <w:spacing w:val="-6"/>
          <w:sz w:val="21"/>
        </w:rPr>
        <w:t xml:space="preserve"> </w:t>
      </w:r>
      <w:r>
        <w:rPr>
          <w:sz w:val="21"/>
        </w:rPr>
        <w:t>youth</w:t>
      </w:r>
      <w:r>
        <w:rPr>
          <w:spacing w:val="-7"/>
          <w:sz w:val="21"/>
        </w:rPr>
        <w:t xml:space="preserve"> </w:t>
      </w:r>
      <w:r>
        <w:rPr>
          <w:sz w:val="21"/>
        </w:rPr>
        <w:t>may</w:t>
      </w:r>
      <w:r>
        <w:rPr>
          <w:spacing w:val="-6"/>
          <w:sz w:val="21"/>
        </w:rPr>
        <w:t xml:space="preserve"> </w:t>
      </w:r>
      <w:r>
        <w:rPr>
          <w:sz w:val="21"/>
        </w:rPr>
        <w:t>not</w:t>
      </w:r>
      <w:r>
        <w:rPr>
          <w:spacing w:val="-8"/>
          <w:sz w:val="21"/>
        </w:rPr>
        <w:t xml:space="preserve"> </w:t>
      </w:r>
      <w:r>
        <w:rPr>
          <w:sz w:val="21"/>
        </w:rPr>
        <w:t>automatically</w:t>
      </w:r>
      <w:r>
        <w:rPr>
          <w:spacing w:val="-6"/>
          <w:sz w:val="21"/>
        </w:rPr>
        <w:t xml:space="preserve"> </w:t>
      </w:r>
      <w:r>
        <w:rPr>
          <w:sz w:val="21"/>
        </w:rPr>
        <w:t>feel</w:t>
      </w:r>
      <w:r>
        <w:rPr>
          <w:spacing w:val="-7"/>
          <w:sz w:val="21"/>
        </w:rPr>
        <w:t xml:space="preserve"> </w:t>
      </w:r>
      <w:r>
        <w:rPr>
          <w:sz w:val="21"/>
        </w:rPr>
        <w:t>safe</w:t>
      </w:r>
      <w:r>
        <w:rPr>
          <w:spacing w:val="-6"/>
          <w:sz w:val="21"/>
        </w:rPr>
        <w:t xml:space="preserve"> </w:t>
      </w:r>
      <w:r>
        <w:rPr>
          <w:sz w:val="21"/>
        </w:rPr>
        <w:t>simply</w:t>
      </w:r>
      <w:r>
        <w:rPr>
          <w:spacing w:val="-6"/>
          <w:sz w:val="21"/>
        </w:rPr>
        <w:t xml:space="preserve"> </w:t>
      </w:r>
      <w:r>
        <w:rPr>
          <w:sz w:val="21"/>
        </w:rPr>
        <w:t>because</w:t>
      </w:r>
      <w:r>
        <w:rPr>
          <w:spacing w:val="-6"/>
          <w:sz w:val="21"/>
        </w:rPr>
        <w:t xml:space="preserve"> </w:t>
      </w:r>
      <w:r>
        <w:rPr>
          <w:sz w:val="21"/>
        </w:rPr>
        <w:t>a</w:t>
      </w:r>
      <w:r>
        <w:rPr>
          <w:spacing w:val="-7"/>
          <w:sz w:val="21"/>
        </w:rPr>
        <w:t xml:space="preserve"> </w:t>
      </w:r>
      <w:r>
        <w:rPr>
          <w:sz w:val="21"/>
        </w:rPr>
        <w:t>support</w:t>
      </w:r>
      <w:r>
        <w:rPr>
          <w:spacing w:val="-8"/>
          <w:sz w:val="21"/>
        </w:rPr>
        <w:t xml:space="preserve"> </w:t>
      </w:r>
      <w:r>
        <w:rPr>
          <w:sz w:val="21"/>
        </w:rPr>
        <w:t>effort</w:t>
      </w:r>
      <w:r>
        <w:rPr>
          <w:spacing w:val="-8"/>
          <w:sz w:val="21"/>
        </w:rPr>
        <w:t xml:space="preserve"> </w:t>
      </w:r>
      <w:r>
        <w:rPr>
          <w:sz w:val="21"/>
        </w:rPr>
        <w:t>is</w:t>
      </w:r>
      <w:r>
        <w:rPr>
          <w:spacing w:val="-8"/>
          <w:sz w:val="21"/>
        </w:rPr>
        <w:t xml:space="preserve"> </w:t>
      </w:r>
      <w:r>
        <w:rPr>
          <w:sz w:val="21"/>
        </w:rPr>
        <w:t>LGBTQ-friendly.</w:t>
      </w:r>
      <w:r>
        <w:rPr>
          <w:spacing w:val="-7"/>
          <w:sz w:val="21"/>
        </w:rPr>
        <w:t xml:space="preserve"> </w:t>
      </w:r>
      <w:r>
        <w:rPr>
          <w:sz w:val="21"/>
        </w:rPr>
        <w:t>Instead,</w:t>
      </w:r>
      <w:r>
        <w:rPr>
          <w:spacing w:val="-7"/>
          <w:sz w:val="21"/>
        </w:rPr>
        <w:t xml:space="preserve"> </w:t>
      </w:r>
      <w:r>
        <w:rPr>
          <w:sz w:val="21"/>
        </w:rPr>
        <w:t>allies should intentionally build safe spaces for QTBIPOC youth by 1) openly discussing how racialized inequities and experiences may impact people differently and 2) shaping services around ongoing feedback from QTBIPOC youth about their own goal</w:t>
      </w:r>
      <w:r>
        <w:rPr>
          <w:sz w:val="21"/>
        </w:rPr>
        <w:t>s and needs. Allies should also proactively respond to possible distrust of white- majority LGBTQ services by 1) recruiting, meaningfully compensating, and retaining BIPOC staff; 2) openly discussing</w:t>
      </w:r>
      <w:r>
        <w:rPr>
          <w:spacing w:val="2"/>
          <w:sz w:val="21"/>
        </w:rPr>
        <w:t xml:space="preserve"> </w:t>
      </w:r>
      <w:r>
        <w:rPr>
          <w:sz w:val="21"/>
        </w:rPr>
        <w:t>and</w:t>
      </w:r>
      <w:r>
        <w:rPr>
          <w:spacing w:val="5"/>
          <w:sz w:val="21"/>
        </w:rPr>
        <w:t xml:space="preserve"> </w:t>
      </w:r>
      <w:r>
        <w:rPr>
          <w:sz w:val="21"/>
        </w:rPr>
        <w:t>acting</w:t>
      </w:r>
      <w:r>
        <w:rPr>
          <w:spacing w:val="5"/>
          <w:sz w:val="21"/>
        </w:rPr>
        <w:t xml:space="preserve"> </w:t>
      </w:r>
      <w:r>
        <w:rPr>
          <w:sz w:val="21"/>
        </w:rPr>
        <w:t>against</w:t>
      </w:r>
      <w:r>
        <w:rPr>
          <w:spacing w:val="5"/>
          <w:sz w:val="21"/>
        </w:rPr>
        <w:t xml:space="preserve"> </w:t>
      </w:r>
      <w:r>
        <w:rPr>
          <w:sz w:val="21"/>
        </w:rPr>
        <w:t>racism</w:t>
      </w:r>
      <w:r>
        <w:rPr>
          <w:spacing w:val="5"/>
          <w:sz w:val="21"/>
        </w:rPr>
        <w:t xml:space="preserve"> </w:t>
      </w:r>
      <w:r>
        <w:rPr>
          <w:sz w:val="21"/>
        </w:rPr>
        <w:t>that</w:t>
      </w:r>
      <w:r>
        <w:rPr>
          <w:spacing w:val="5"/>
          <w:sz w:val="21"/>
        </w:rPr>
        <w:t xml:space="preserve"> </w:t>
      </w:r>
      <w:r>
        <w:rPr>
          <w:sz w:val="21"/>
        </w:rPr>
        <w:t>comes</w:t>
      </w:r>
      <w:r>
        <w:rPr>
          <w:spacing w:val="5"/>
          <w:sz w:val="21"/>
        </w:rPr>
        <w:t xml:space="preserve"> </w:t>
      </w:r>
      <w:r>
        <w:rPr>
          <w:sz w:val="21"/>
        </w:rPr>
        <w:t>up</w:t>
      </w:r>
      <w:r>
        <w:rPr>
          <w:spacing w:val="5"/>
          <w:sz w:val="21"/>
        </w:rPr>
        <w:t xml:space="preserve"> </w:t>
      </w:r>
      <w:r>
        <w:rPr>
          <w:sz w:val="21"/>
        </w:rPr>
        <w:t>in</w:t>
      </w:r>
      <w:r>
        <w:rPr>
          <w:spacing w:val="5"/>
          <w:sz w:val="21"/>
        </w:rPr>
        <w:t xml:space="preserve"> </w:t>
      </w:r>
      <w:r>
        <w:rPr>
          <w:sz w:val="21"/>
        </w:rPr>
        <w:t>the</w:t>
      </w:r>
      <w:r>
        <w:rPr>
          <w:spacing w:val="6"/>
          <w:sz w:val="21"/>
        </w:rPr>
        <w:t xml:space="preserve"> </w:t>
      </w:r>
      <w:r>
        <w:rPr>
          <w:sz w:val="21"/>
        </w:rPr>
        <w:t>organizat</w:t>
      </w:r>
      <w:r>
        <w:rPr>
          <w:sz w:val="21"/>
        </w:rPr>
        <w:t>ion,</w:t>
      </w:r>
      <w:r>
        <w:rPr>
          <w:spacing w:val="6"/>
          <w:sz w:val="21"/>
        </w:rPr>
        <w:t xml:space="preserve"> </w:t>
      </w:r>
      <w:r>
        <w:rPr>
          <w:sz w:val="21"/>
        </w:rPr>
        <w:t>community,</w:t>
      </w:r>
      <w:r>
        <w:rPr>
          <w:spacing w:val="3"/>
          <w:sz w:val="21"/>
        </w:rPr>
        <w:t xml:space="preserve"> </w:t>
      </w:r>
      <w:r>
        <w:rPr>
          <w:sz w:val="21"/>
        </w:rPr>
        <w:t>and</w:t>
      </w:r>
      <w:r>
        <w:rPr>
          <w:spacing w:val="5"/>
          <w:sz w:val="21"/>
        </w:rPr>
        <w:t xml:space="preserve"> </w:t>
      </w:r>
      <w:r>
        <w:rPr>
          <w:sz w:val="21"/>
        </w:rPr>
        <w:t>news;</w:t>
      </w:r>
      <w:r>
        <w:rPr>
          <w:spacing w:val="7"/>
          <w:sz w:val="21"/>
        </w:rPr>
        <w:t xml:space="preserve"> </w:t>
      </w:r>
      <w:r>
        <w:rPr>
          <w:sz w:val="21"/>
        </w:rPr>
        <w:t>and</w:t>
      </w:r>
      <w:r>
        <w:rPr>
          <w:spacing w:val="3"/>
          <w:sz w:val="21"/>
        </w:rPr>
        <w:t xml:space="preserve"> </w:t>
      </w:r>
      <w:r>
        <w:rPr>
          <w:sz w:val="21"/>
        </w:rPr>
        <w:t>3)</w:t>
      </w:r>
      <w:r>
        <w:rPr>
          <w:spacing w:val="6"/>
          <w:sz w:val="21"/>
        </w:rPr>
        <w:t xml:space="preserve"> </w:t>
      </w:r>
      <w:r>
        <w:rPr>
          <w:spacing w:val="-2"/>
          <w:sz w:val="21"/>
        </w:rPr>
        <w:t>building</w:t>
      </w:r>
    </w:p>
    <w:p w:rsidR="00200FDA" w:rsidRDefault="00F76C4C">
      <w:pPr>
        <w:ind w:left="111"/>
        <w:jc w:val="both"/>
        <w:rPr>
          <w:sz w:val="21"/>
        </w:rPr>
      </w:pPr>
      <w:r>
        <w:rPr>
          <w:spacing w:val="-21"/>
          <w:sz w:val="21"/>
          <w:u w:val="single" w:color="D9D9D9"/>
        </w:rPr>
        <w:t xml:space="preserve"> </w:t>
      </w:r>
      <w:r>
        <w:rPr>
          <w:sz w:val="21"/>
          <w:u w:val="single" w:color="D9D9D9"/>
        </w:rPr>
        <w:t>relationships</w:t>
      </w:r>
      <w:r>
        <w:rPr>
          <w:spacing w:val="20"/>
          <w:sz w:val="21"/>
          <w:u w:val="single" w:color="D9D9D9"/>
        </w:rPr>
        <w:t xml:space="preserve"> </w:t>
      </w:r>
      <w:r>
        <w:rPr>
          <w:sz w:val="21"/>
          <w:u w:val="single" w:color="D9D9D9"/>
        </w:rPr>
        <w:t>with</w:t>
      </w:r>
      <w:r>
        <w:rPr>
          <w:spacing w:val="23"/>
          <w:sz w:val="21"/>
          <w:u w:val="single" w:color="D9D9D9"/>
        </w:rPr>
        <w:t xml:space="preserve"> </w:t>
      </w:r>
      <w:r>
        <w:rPr>
          <w:sz w:val="21"/>
          <w:u w:val="single" w:color="D9D9D9"/>
        </w:rPr>
        <w:t>communities</w:t>
      </w:r>
      <w:r>
        <w:rPr>
          <w:spacing w:val="22"/>
          <w:sz w:val="21"/>
          <w:u w:val="single" w:color="D9D9D9"/>
        </w:rPr>
        <w:t xml:space="preserve"> </w:t>
      </w:r>
      <w:r>
        <w:rPr>
          <w:sz w:val="21"/>
          <w:u w:val="single" w:color="D9D9D9"/>
        </w:rPr>
        <w:t>where</w:t>
      </w:r>
      <w:r>
        <w:rPr>
          <w:spacing w:val="24"/>
          <w:sz w:val="21"/>
          <w:u w:val="single" w:color="D9D9D9"/>
        </w:rPr>
        <w:t xml:space="preserve"> </w:t>
      </w:r>
      <w:r>
        <w:rPr>
          <w:sz w:val="21"/>
          <w:u w:val="single" w:color="D9D9D9"/>
        </w:rPr>
        <w:t>BIPOC</w:t>
      </w:r>
      <w:r>
        <w:rPr>
          <w:spacing w:val="21"/>
          <w:sz w:val="21"/>
          <w:u w:val="single" w:color="D9D9D9"/>
        </w:rPr>
        <w:t xml:space="preserve"> </w:t>
      </w:r>
      <w:r>
        <w:rPr>
          <w:sz w:val="21"/>
          <w:u w:val="single" w:color="D9D9D9"/>
        </w:rPr>
        <w:t>youth</w:t>
      </w:r>
      <w:r>
        <w:rPr>
          <w:spacing w:val="23"/>
          <w:sz w:val="21"/>
          <w:u w:val="single" w:color="D9D9D9"/>
        </w:rPr>
        <w:t xml:space="preserve"> </w:t>
      </w:r>
      <w:r>
        <w:rPr>
          <w:sz w:val="21"/>
          <w:u w:val="single" w:color="D9D9D9"/>
        </w:rPr>
        <w:t>are.</w:t>
      </w:r>
      <w:r>
        <w:rPr>
          <w:spacing w:val="23"/>
          <w:sz w:val="21"/>
          <w:u w:val="single" w:color="D9D9D9"/>
        </w:rPr>
        <w:t xml:space="preserve"> </w:t>
      </w:r>
      <w:r>
        <w:rPr>
          <w:sz w:val="21"/>
          <w:u w:val="single" w:color="D9D9D9"/>
        </w:rPr>
        <w:t>Finally,</w:t>
      </w:r>
      <w:r>
        <w:rPr>
          <w:spacing w:val="23"/>
          <w:sz w:val="21"/>
          <w:u w:val="single" w:color="D9D9D9"/>
        </w:rPr>
        <w:t xml:space="preserve"> </w:t>
      </w:r>
      <w:r>
        <w:rPr>
          <w:sz w:val="21"/>
          <w:u w:val="single" w:color="D9D9D9"/>
        </w:rPr>
        <w:t>allies</w:t>
      </w:r>
      <w:r>
        <w:rPr>
          <w:spacing w:val="23"/>
          <w:sz w:val="21"/>
          <w:u w:val="single" w:color="D9D9D9"/>
        </w:rPr>
        <w:t xml:space="preserve"> </w:t>
      </w:r>
      <w:r>
        <w:rPr>
          <w:sz w:val="21"/>
          <w:u w:val="single" w:color="D9D9D9"/>
        </w:rPr>
        <w:t>should</w:t>
      </w:r>
      <w:r>
        <w:rPr>
          <w:spacing w:val="22"/>
          <w:sz w:val="21"/>
          <w:u w:val="single" w:color="D9D9D9"/>
        </w:rPr>
        <w:t xml:space="preserve"> </w:t>
      </w:r>
      <w:r>
        <w:rPr>
          <w:sz w:val="21"/>
          <w:u w:val="single" w:color="D9D9D9"/>
        </w:rPr>
        <w:t>invest</w:t>
      </w:r>
      <w:r>
        <w:rPr>
          <w:spacing w:val="23"/>
          <w:sz w:val="21"/>
          <w:u w:val="single" w:color="D9D9D9"/>
        </w:rPr>
        <w:t xml:space="preserve"> </w:t>
      </w:r>
      <w:r>
        <w:rPr>
          <w:sz w:val="21"/>
          <w:u w:val="single" w:color="D9D9D9"/>
        </w:rPr>
        <w:t>resources</w:t>
      </w:r>
      <w:r>
        <w:rPr>
          <w:spacing w:val="22"/>
          <w:sz w:val="21"/>
          <w:u w:val="single" w:color="D9D9D9"/>
        </w:rPr>
        <w:t xml:space="preserve"> </w:t>
      </w:r>
      <w:r>
        <w:rPr>
          <w:sz w:val="21"/>
          <w:u w:val="single" w:color="D9D9D9"/>
        </w:rPr>
        <w:t>in</w:t>
      </w:r>
      <w:r>
        <w:rPr>
          <w:spacing w:val="23"/>
          <w:sz w:val="21"/>
          <w:u w:val="single" w:color="D9D9D9"/>
        </w:rPr>
        <w:t xml:space="preserve"> </w:t>
      </w:r>
      <w:r>
        <w:rPr>
          <w:spacing w:val="-2"/>
          <w:sz w:val="21"/>
          <w:u w:val="single" w:color="D9D9D9"/>
        </w:rPr>
        <w:t>addressin</w:t>
      </w:r>
      <w:r>
        <w:rPr>
          <w:spacing w:val="-2"/>
          <w:sz w:val="21"/>
        </w:rPr>
        <w:t>g</w:t>
      </w:r>
    </w:p>
    <w:p w:rsidR="00200FDA" w:rsidRDefault="00200FDA">
      <w:pPr>
        <w:jc w:val="both"/>
        <w:rPr>
          <w:sz w:val="21"/>
        </w:rPr>
        <w:sectPr w:rsidR="00200FDA">
          <w:headerReference w:type="default" r:id="rId228"/>
          <w:footerReference w:type="default" r:id="rId229"/>
          <w:pgSz w:w="12240" w:h="15840"/>
          <w:pgMar w:top="1360" w:right="1180" w:bottom="1400" w:left="1300" w:header="761" w:footer="1208" w:gutter="0"/>
          <w:cols w:space="720"/>
        </w:sectPr>
      </w:pPr>
    </w:p>
    <w:p w:rsidR="00200FDA" w:rsidRDefault="00F76C4C">
      <w:pPr>
        <w:spacing w:before="64" w:line="276" w:lineRule="auto"/>
        <w:ind w:left="140" w:right="113"/>
        <w:jc w:val="both"/>
        <w:rPr>
          <w:sz w:val="21"/>
        </w:rPr>
      </w:pPr>
      <w:r>
        <w:rPr>
          <w:sz w:val="21"/>
        </w:rPr>
        <w:lastRenderedPageBreak/>
        <w:t>structural barriers, like cost, scheduling availability, or transportation access, so that more QTBIPOC youth can access services.</w:t>
      </w:r>
    </w:p>
    <w:p w:rsidR="00200FDA" w:rsidRDefault="00200FDA">
      <w:pPr>
        <w:pStyle w:val="BodyText"/>
        <w:spacing w:before="8"/>
        <w:rPr>
          <w:sz w:val="19"/>
        </w:rPr>
      </w:pPr>
    </w:p>
    <w:p w:rsidR="00200FDA" w:rsidRDefault="00F76C4C">
      <w:pPr>
        <w:spacing w:before="1" w:line="276" w:lineRule="auto"/>
        <w:ind w:left="140" w:right="111"/>
        <w:jc w:val="both"/>
        <w:rPr>
          <w:sz w:val="21"/>
        </w:rPr>
      </w:pPr>
      <w:r>
        <w:rPr>
          <w:sz w:val="21"/>
        </w:rPr>
        <w:t>Although QTBIPOC youth face concerning mental health disparities, they also have many personal, family, and cultural strengths. Their intersectional identities do not just expose them to harm; they are great sources of connection, coping, and pride – and s</w:t>
      </w:r>
      <w:r>
        <w:rPr>
          <w:sz w:val="21"/>
        </w:rPr>
        <w:t>upporters should tap into and celebrate them.</w:t>
      </w:r>
    </w:p>
    <w:p w:rsidR="00200FDA" w:rsidRDefault="00200FDA">
      <w:pPr>
        <w:pStyle w:val="BodyText"/>
        <w:spacing w:before="6"/>
        <w:rPr>
          <w:sz w:val="19"/>
        </w:rPr>
      </w:pPr>
    </w:p>
    <w:p w:rsidR="00200FDA" w:rsidRDefault="00F76C4C">
      <w:pPr>
        <w:spacing w:line="276" w:lineRule="auto"/>
        <w:ind w:left="139" w:right="111"/>
        <w:jc w:val="both"/>
        <w:rPr>
          <w:sz w:val="21"/>
        </w:rPr>
      </w:pPr>
      <w:r>
        <w:rPr>
          <w:sz w:val="21"/>
        </w:rPr>
        <w:t>Current research highlights multiple tools that QTBIPOC youth use to cope with discrimination: chosen family and community-building, self-advocacy, and cultivating ethnic or racial identity pride.</w:t>
      </w:r>
      <w:hyperlink w:anchor="_bookmark277" w:history="1">
        <w:r>
          <w:rPr>
            <w:sz w:val="21"/>
            <w:vertAlign w:val="superscript"/>
          </w:rPr>
          <w:t>23</w:t>
        </w:r>
      </w:hyperlink>
      <w:r>
        <w:rPr>
          <w:sz w:val="21"/>
        </w:rPr>
        <w:t xml:space="preserve"> QTBIPOC youth also often cope with LGBTQ-phobic bullying</w:t>
      </w:r>
      <w:hyperlink w:anchor="_bookmark278" w:history="1">
        <w:r>
          <w:rPr>
            <w:sz w:val="21"/>
            <w:vertAlign w:val="superscript"/>
          </w:rPr>
          <w:t>24</w:t>
        </w:r>
      </w:hyperlink>
      <w:r>
        <w:rPr>
          <w:sz w:val="21"/>
        </w:rPr>
        <w:t xml:space="preserve"> using skills they first learned from family and friends to cope with racism.</w:t>
      </w:r>
      <w:r>
        <w:rPr>
          <w:spacing w:val="-2"/>
          <w:sz w:val="21"/>
        </w:rPr>
        <w:t xml:space="preserve"> </w:t>
      </w:r>
      <w:r>
        <w:rPr>
          <w:sz w:val="21"/>
        </w:rPr>
        <w:t>Since</w:t>
      </w:r>
      <w:r>
        <w:rPr>
          <w:spacing w:val="-1"/>
          <w:sz w:val="21"/>
        </w:rPr>
        <w:t xml:space="preserve"> </w:t>
      </w:r>
      <w:r>
        <w:rPr>
          <w:sz w:val="21"/>
        </w:rPr>
        <w:t>peer validation</w:t>
      </w:r>
      <w:r>
        <w:rPr>
          <w:spacing w:val="-2"/>
          <w:sz w:val="21"/>
        </w:rPr>
        <w:t xml:space="preserve"> </w:t>
      </w:r>
      <w:r>
        <w:rPr>
          <w:sz w:val="21"/>
        </w:rPr>
        <w:t>is</w:t>
      </w:r>
      <w:r>
        <w:rPr>
          <w:spacing w:val="-2"/>
          <w:sz w:val="21"/>
        </w:rPr>
        <w:t xml:space="preserve"> </w:t>
      </w:r>
      <w:r>
        <w:rPr>
          <w:sz w:val="21"/>
        </w:rPr>
        <w:t>such</w:t>
      </w:r>
      <w:r>
        <w:rPr>
          <w:spacing w:val="-2"/>
          <w:sz w:val="21"/>
        </w:rPr>
        <w:t xml:space="preserve"> </w:t>
      </w:r>
      <w:r>
        <w:rPr>
          <w:sz w:val="21"/>
        </w:rPr>
        <w:t>a</w:t>
      </w:r>
      <w:r>
        <w:rPr>
          <w:spacing w:val="-1"/>
          <w:sz w:val="21"/>
        </w:rPr>
        <w:t xml:space="preserve"> </w:t>
      </w:r>
      <w:r>
        <w:rPr>
          <w:sz w:val="21"/>
        </w:rPr>
        <w:t>strong</w:t>
      </w:r>
      <w:r>
        <w:rPr>
          <w:spacing w:val="-2"/>
          <w:sz w:val="21"/>
        </w:rPr>
        <w:t xml:space="preserve"> </w:t>
      </w:r>
      <w:r>
        <w:rPr>
          <w:sz w:val="21"/>
        </w:rPr>
        <w:t>buffer against</w:t>
      </w:r>
      <w:r>
        <w:rPr>
          <w:spacing w:val="-2"/>
          <w:sz w:val="21"/>
        </w:rPr>
        <w:t xml:space="preserve"> </w:t>
      </w:r>
      <w:r>
        <w:rPr>
          <w:sz w:val="21"/>
        </w:rPr>
        <w:t>racial</w:t>
      </w:r>
      <w:r>
        <w:rPr>
          <w:spacing w:val="-2"/>
          <w:sz w:val="21"/>
        </w:rPr>
        <w:t xml:space="preserve"> </w:t>
      </w:r>
      <w:r>
        <w:rPr>
          <w:sz w:val="21"/>
        </w:rPr>
        <w:t>minor</w:t>
      </w:r>
      <w:r>
        <w:rPr>
          <w:sz w:val="21"/>
        </w:rPr>
        <w:t>ity</w:t>
      </w:r>
      <w:r>
        <w:rPr>
          <w:spacing w:val="-1"/>
          <w:sz w:val="21"/>
        </w:rPr>
        <w:t xml:space="preserve"> </w:t>
      </w:r>
      <w:r>
        <w:rPr>
          <w:sz w:val="21"/>
        </w:rPr>
        <w:t>stress,</w:t>
      </w:r>
      <w:r>
        <w:rPr>
          <w:spacing w:val="-1"/>
          <w:sz w:val="21"/>
        </w:rPr>
        <w:t xml:space="preserve"> </w:t>
      </w:r>
      <w:r>
        <w:rPr>
          <w:sz w:val="21"/>
        </w:rPr>
        <w:t>the</w:t>
      </w:r>
      <w:r>
        <w:rPr>
          <w:spacing w:val="-1"/>
          <w:sz w:val="21"/>
        </w:rPr>
        <w:t xml:space="preserve"> </w:t>
      </w:r>
      <w:r>
        <w:rPr>
          <w:sz w:val="21"/>
        </w:rPr>
        <w:t>Commission</w:t>
      </w:r>
      <w:r>
        <w:rPr>
          <w:spacing w:val="-2"/>
          <w:sz w:val="21"/>
        </w:rPr>
        <w:t xml:space="preserve"> </w:t>
      </w:r>
      <w:r>
        <w:rPr>
          <w:sz w:val="21"/>
        </w:rPr>
        <w:t>recommends investing</w:t>
      </w:r>
      <w:r>
        <w:rPr>
          <w:spacing w:val="-1"/>
          <w:sz w:val="21"/>
        </w:rPr>
        <w:t xml:space="preserve"> </w:t>
      </w:r>
      <w:r>
        <w:rPr>
          <w:sz w:val="21"/>
        </w:rPr>
        <w:t>funding</w:t>
      </w:r>
      <w:r>
        <w:rPr>
          <w:spacing w:val="-4"/>
          <w:sz w:val="21"/>
        </w:rPr>
        <w:t xml:space="preserve"> </w:t>
      </w:r>
      <w:r>
        <w:rPr>
          <w:sz w:val="21"/>
        </w:rPr>
        <w:t>and</w:t>
      </w:r>
      <w:r>
        <w:rPr>
          <w:spacing w:val="-4"/>
          <w:sz w:val="21"/>
        </w:rPr>
        <w:t xml:space="preserve"> </w:t>
      </w:r>
      <w:r>
        <w:rPr>
          <w:sz w:val="21"/>
        </w:rPr>
        <w:t>resources</w:t>
      </w:r>
      <w:r>
        <w:rPr>
          <w:spacing w:val="-2"/>
          <w:sz w:val="21"/>
        </w:rPr>
        <w:t xml:space="preserve"> </w:t>
      </w:r>
      <w:r>
        <w:rPr>
          <w:sz w:val="21"/>
        </w:rPr>
        <w:t>into</w:t>
      </w:r>
      <w:r>
        <w:rPr>
          <w:spacing w:val="-1"/>
          <w:sz w:val="21"/>
        </w:rPr>
        <w:t xml:space="preserve"> </w:t>
      </w:r>
      <w:r>
        <w:rPr>
          <w:sz w:val="21"/>
        </w:rPr>
        <w:t>promoting</w:t>
      </w:r>
      <w:r>
        <w:rPr>
          <w:spacing w:val="-1"/>
          <w:sz w:val="21"/>
        </w:rPr>
        <w:t xml:space="preserve"> </w:t>
      </w:r>
      <w:r>
        <w:rPr>
          <w:sz w:val="21"/>
        </w:rPr>
        <w:t>LGBTQ-friendly</w:t>
      </w:r>
      <w:r>
        <w:rPr>
          <w:spacing w:val="-3"/>
          <w:sz w:val="21"/>
        </w:rPr>
        <w:t xml:space="preserve"> </w:t>
      </w:r>
      <w:r>
        <w:rPr>
          <w:sz w:val="21"/>
        </w:rPr>
        <w:t>racial</w:t>
      </w:r>
      <w:r>
        <w:rPr>
          <w:spacing w:val="-3"/>
          <w:sz w:val="21"/>
        </w:rPr>
        <w:t xml:space="preserve"> </w:t>
      </w:r>
      <w:r>
        <w:rPr>
          <w:sz w:val="21"/>
        </w:rPr>
        <w:t>and</w:t>
      </w:r>
      <w:r>
        <w:rPr>
          <w:spacing w:val="-1"/>
          <w:sz w:val="21"/>
        </w:rPr>
        <w:t xml:space="preserve"> </w:t>
      </w:r>
      <w:r>
        <w:rPr>
          <w:sz w:val="21"/>
        </w:rPr>
        <w:t>cultural</w:t>
      </w:r>
      <w:r>
        <w:rPr>
          <w:spacing w:val="-1"/>
          <w:sz w:val="21"/>
        </w:rPr>
        <w:t xml:space="preserve"> </w:t>
      </w:r>
      <w:r>
        <w:rPr>
          <w:sz w:val="21"/>
        </w:rPr>
        <w:t>affinity spaces</w:t>
      </w:r>
      <w:r>
        <w:rPr>
          <w:spacing w:val="-2"/>
          <w:sz w:val="21"/>
        </w:rPr>
        <w:t xml:space="preserve"> </w:t>
      </w:r>
      <w:r>
        <w:rPr>
          <w:sz w:val="21"/>
        </w:rPr>
        <w:t>in</w:t>
      </w:r>
      <w:r>
        <w:rPr>
          <w:spacing w:val="-3"/>
          <w:sz w:val="21"/>
        </w:rPr>
        <w:t xml:space="preserve"> </w:t>
      </w:r>
      <w:r>
        <w:rPr>
          <w:sz w:val="21"/>
        </w:rPr>
        <w:t>schools</w:t>
      </w:r>
      <w:r>
        <w:rPr>
          <w:spacing w:val="-2"/>
          <w:sz w:val="21"/>
        </w:rPr>
        <w:t xml:space="preserve"> </w:t>
      </w:r>
      <w:r>
        <w:rPr>
          <w:sz w:val="21"/>
        </w:rPr>
        <w:t>and communities, as well as specific racial/cultural affinity spaces in LGBTQ youth groups (like GSAs). These are unique spaces where QTBIPOC youth can develop identity pride, discuss intersectional experiences and strengths, safely unload experiences of o</w:t>
      </w:r>
      <w:r>
        <w:rPr>
          <w:sz w:val="21"/>
        </w:rPr>
        <w:t>ppression, and advocate for themselves and one another.</w:t>
      </w:r>
    </w:p>
    <w:p w:rsidR="00200FDA" w:rsidRDefault="00200FDA">
      <w:pPr>
        <w:pStyle w:val="BodyText"/>
        <w:rPr>
          <w:sz w:val="20"/>
        </w:rPr>
      </w:pPr>
    </w:p>
    <w:p w:rsidR="00200FDA" w:rsidRDefault="00200FDA">
      <w:pPr>
        <w:pStyle w:val="BodyText"/>
        <w:spacing w:before="3"/>
        <w:rPr>
          <w:sz w:val="17"/>
        </w:rPr>
      </w:pPr>
    </w:p>
    <w:p w:rsidR="00200FDA" w:rsidRDefault="00F76C4C">
      <w:pPr>
        <w:pStyle w:val="Heading8"/>
      </w:pPr>
      <w:bookmarkStart w:id="359" w:name="Immigration_&amp;_Migration:_Culturally-Resp"/>
      <w:bookmarkEnd w:id="359"/>
      <w:r>
        <w:rPr>
          <w:color w:val="0A5293"/>
        </w:rPr>
        <w:t>Immigration</w:t>
      </w:r>
      <w:r>
        <w:rPr>
          <w:color w:val="0A5293"/>
          <w:spacing w:val="-4"/>
        </w:rPr>
        <w:t xml:space="preserve"> </w:t>
      </w:r>
      <w:r>
        <w:rPr>
          <w:color w:val="0A5293"/>
        </w:rPr>
        <w:t>&amp;</w:t>
      </w:r>
      <w:r>
        <w:rPr>
          <w:color w:val="0A5293"/>
          <w:spacing w:val="-5"/>
        </w:rPr>
        <w:t xml:space="preserve"> </w:t>
      </w:r>
      <w:r>
        <w:rPr>
          <w:color w:val="0A5293"/>
        </w:rPr>
        <w:t>Migration:</w:t>
      </w:r>
      <w:r>
        <w:rPr>
          <w:color w:val="0A5293"/>
          <w:spacing w:val="-3"/>
        </w:rPr>
        <w:t xml:space="preserve"> </w:t>
      </w:r>
      <w:r>
        <w:rPr>
          <w:color w:val="0A5293"/>
        </w:rPr>
        <w:t>Culturally-Responsive</w:t>
      </w:r>
      <w:r>
        <w:rPr>
          <w:color w:val="0A5293"/>
          <w:spacing w:val="-3"/>
        </w:rPr>
        <w:t xml:space="preserve"> </w:t>
      </w:r>
      <w:r>
        <w:rPr>
          <w:color w:val="0A5293"/>
          <w:spacing w:val="-2"/>
        </w:rPr>
        <w:t>Support</w:t>
      </w:r>
    </w:p>
    <w:p w:rsidR="00200FDA" w:rsidRDefault="00200FDA">
      <w:pPr>
        <w:pStyle w:val="BodyText"/>
        <w:spacing w:before="11"/>
        <w:rPr>
          <w:sz w:val="27"/>
        </w:rPr>
      </w:pPr>
    </w:p>
    <w:p w:rsidR="00200FDA" w:rsidRDefault="00F76C4C">
      <w:pPr>
        <w:spacing w:line="276" w:lineRule="auto"/>
        <w:ind w:left="139" w:right="109"/>
        <w:jc w:val="both"/>
        <w:rPr>
          <w:sz w:val="21"/>
        </w:rPr>
      </w:pPr>
      <w:r>
        <w:rPr>
          <w:sz w:val="21"/>
        </w:rPr>
        <w:t>QTBIPOC youth may also experience minority stress when they have personal or family experience with being an immigrant, refugee, or undocument</w:t>
      </w:r>
      <w:r>
        <w:rPr>
          <w:sz w:val="21"/>
        </w:rPr>
        <w:t>ed person. Structural inequalities, discriminatory comments or policies, xenophobia in political debates and acts, and cross-cultural stressors can all impact LGBTQ immigrant youths’ mental</w:t>
      </w:r>
      <w:r>
        <w:rPr>
          <w:spacing w:val="-5"/>
          <w:sz w:val="21"/>
        </w:rPr>
        <w:t xml:space="preserve"> </w:t>
      </w:r>
      <w:r>
        <w:rPr>
          <w:sz w:val="21"/>
        </w:rPr>
        <w:t>health</w:t>
      </w:r>
      <w:r>
        <w:rPr>
          <w:spacing w:val="-5"/>
          <w:sz w:val="21"/>
        </w:rPr>
        <w:t xml:space="preserve"> </w:t>
      </w:r>
      <w:r>
        <w:rPr>
          <w:sz w:val="21"/>
        </w:rPr>
        <w:t>on</w:t>
      </w:r>
      <w:r>
        <w:rPr>
          <w:spacing w:val="-5"/>
          <w:sz w:val="21"/>
        </w:rPr>
        <w:t xml:space="preserve"> </w:t>
      </w:r>
      <w:r>
        <w:rPr>
          <w:sz w:val="21"/>
        </w:rPr>
        <w:t>a</w:t>
      </w:r>
      <w:r>
        <w:rPr>
          <w:spacing w:val="-5"/>
          <w:sz w:val="21"/>
        </w:rPr>
        <w:t xml:space="preserve"> </w:t>
      </w:r>
      <w:r>
        <w:rPr>
          <w:sz w:val="21"/>
        </w:rPr>
        <w:t>day-to-day</w:t>
      </w:r>
      <w:r>
        <w:rPr>
          <w:spacing w:val="-4"/>
          <w:sz w:val="21"/>
        </w:rPr>
        <w:t xml:space="preserve"> </w:t>
      </w:r>
      <w:r>
        <w:rPr>
          <w:sz w:val="21"/>
        </w:rPr>
        <w:t>basis.</w:t>
      </w:r>
      <w:r>
        <w:rPr>
          <w:spacing w:val="-5"/>
          <w:sz w:val="21"/>
        </w:rPr>
        <w:t xml:space="preserve"> </w:t>
      </w:r>
      <w:r>
        <w:rPr>
          <w:sz w:val="21"/>
        </w:rPr>
        <w:t>For</w:t>
      </w:r>
      <w:r>
        <w:rPr>
          <w:spacing w:val="-4"/>
          <w:sz w:val="21"/>
        </w:rPr>
        <w:t xml:space="preserve"> </w:t>
      </w:r>
      <w:r>
        <w:rPr>
          <w:sz w:val="21"/>
        </w:rPr>
        <w:t>example,</w:t>
      </w:r>
      <w:r>
        <w:rPr>
          <w:spacing w:val="-4"/>
          <w:sz w:val="21"/>
        </w:rPr>
        <w:t xml:space="preserve"> </w:t>
      </w:r>
      <w:r>
        <w:rPr>
          <w:sz w:val="21"/>
        </w:rPr>
        <w:t>GLSEN’s</w:t>
      </w:r>
      <w:r>
        <w:rPr>
          <w:spacing w:val="-5"/>
          <w:sz w:val="21"/>
        </w:rPr>
        <w:t xml:space="preserve"> </w:t>
      </w:r>
      <w:r>
        <w:rPr>
          <w:sz w:val="21"/>
        </w:rPr>
        <w:t>2021</w:t>
      </w:r>
      <w:r>
        <w:rPr>
          <w:spacing w:val="-6"/>
          <w:sz w:val="21"/>
        </w:rPr>
        <w:t xml:space="preserve"> </w:t>
      </w:r>
      <w:r>
        <w:rPr>
          <w:sz w:val="21"/>
        </w:rPr>
        <w:t>National</w:t>
      </w:r>
      <w:r>
        <w:rPr>
          <w:spacing w:val="-5"/>
          <w:sz w:val="21"/>
        </w:rPr>
        <w:t xml:space="preserve"> </w:t>
      </w:r>
      <w:r>
        <w:rPr>
          <w:sz w:val="21"/>
        </w:rPr>
        <w:t>S</w:t>
      </w:r>
      <w:r>
        <w:rPr>
          <w:sz w:val="21"/>
        </w:rPr>
        <w:t>chool</w:t>
      </w:r>
      <w:r>
        <w:rPr>
          <w:spacing w:val="-5"/>
          <w:sz w:val="21"/>
        </w:rPr>
        <w:t xml:space="preserve"> </w:t>
      </w:r>
      <w:r>
        <w:rPr>
          <w:sz w:val="21"/>
        </w:rPr>
        <w:t>Climate</w:t>
      </w:r>
      <w:r>
        <w:rPr>
          <w:spacing w:val="-4"/>
          <w:sz w:val="21"/>
        </w:rPr>
        <w:t xml:space="preserve"> </w:t>
      </w:r>
      <w:r>
        <w:rPr>
          <w:sz w:val="21"/>
        </w:rPr>
        <w:t>Survey</w:t>
      </w:r>
      <w:r>
        <w:rPr>
          <w:spacing w:val="-4"/>
          <w:sz w:val="21"/>
        </w:rPr>
        <w:t xml:space="preserve"> </w:t>
      </w:r>
      <w:r>
        <w:rPr>
          <w:sz w:val="21"/>
        </w:rPr>
        <w:t>found</w:t>
      </w:r>
      <w:r>
        <w:rPr>
          <w:spacing w:val="-5"/>
          <w:sz w:val="21"/>
        </w:rPr>
        <w:t xml:space="preserve"> </w:t>
      </w:r>
      <w:r>
        <w:rPr>
          <w:sz w:val="21"/>
        </w:rPr>
        <w:t>that</w:t>
      </w:r>
      <w:r>
        <w:rPr>
          <w:spacing w:val="-8"/>
          <w:sz w:val="21"/>
        </w:rPr>
        <w:t xml:space="preserve"> </w:t>
      </w:r>
      <w:r>
        <w:rPr>
          <w:sz w:val="21"/>
        </w:rPr>
        <w:t>18% of student participants said they hear biased remarks about immigration status “often” or “frequently,” while 16% hear them “sometimes.”</w:t>
      </w:r>
      <w:hyperlink w:anchor="_bookmark279" w:history="1">
        <w:r>
          <w:rPr>
            <w:sz w:val="21"/>
            <w:vertAlign w:val="superscript"/>
          </w:rPr>
          <w:t>25</w:t>
        </w:r>
      </w:hyperlink>
    </w:p>
    <w:p w:rsidR="00200FDA" w:rsidRDefault="00200FDA">
      <w:pPr>
        <w:pStyle w:val="BodyText"/>
        <w:spacing w:before="8"/>
        <w:rPr>
          <w:sz w:val="19"/>
        </w:rPr>
      </w:pPr>
    </w:p>
    <w:p w:rsidR="00200FDA" w:rsidRDefault="00F76C4C">
      <w:pPr>
        <w:spacing w:line="276" w:lineRule="auto"/>
        <w:ind w:left="139" w:right="111" w:hanging="1"/>
        <w:jc w:val="both"/>
        <w:rPr>
          <w:sz w:val="21"/>
        </w:rPr>
      </w:pPr>
      <w:r>
        <w:rPr>
          <w:sz w:val="21"/>
        </w:rPr>
        <w:t>There is scarce research about LGBTQ foreign-born youth, and the findings about mental health are mixed.</w:t>
      </w:r>
      <w:hyperlink w:anchor="_bookmark280" w:history="1">
        <w:r>
          <w:rPr>
            <w:sz w:val="21"/>
            <w:vertAlign w:val="superscript"/>
          </w:rPr>
          <w:t>26</w:t>
        </w:r>
      </w:hyperlink>
      <w:r>
        <w:rPr>
          <w:sz w:val="21"/>
        </w:rPr>
        <w:t xml:space="preserve"> Overall, risk factors include poverty, lack of social support and stable housing, risk of detainment and deportation,</w:t>
      </w:r>
      <w:r>
        <w:rPr>
          <w:spacing w:val="-7"/>
          <w:sz w:val="21"/>
        </w:rPr>
        <w:t xml:space="preserve"> </w:t>
      </w:r>
      <w:r>
        <w:rPr>
          <w:sz w:val="21"/>
        </w:rPr>
        <w:t>discriminatory</w:t>
      </w:r>
      <w:r>
        <w:rPr>
          <w:spacing w:val="-9"/>
          <w:sz w:val="21"/>
        </w:rPr>
        <w:t xml:space="preserve"> </w:t>
      </w:r>
      <w:r>
        <w:rPr>
          <w:sz w:val="21"/>
        </w:rPr>
        <w:t>experiences,</w:t>
      </w:r>
      <w:r>
        <w:rPr>
          <w:spacing w:val="-7"/>
          <w:sz w:val="21"/>
        </w:rPr>
        <w:t xml:space="preserve"> </w:t>
      </w:r>
      <w:r>
        <w:rPr>
          <w:sz w:val="21"/>
        </w:rPr>
        <w:t>dehumanizing</w:t>
      </w:r>
      <w:r>
        <w:rPr>
          <w:spacing w:val="-10"/>
          <w:sz w:val="21"/>
        </w:rPr>
        <w:t xml:space="preserve"> </w:t>
      </w:r>
      <w:r>
        <w:rPr>
          <w:sz w:val="21"/>
        </w:rPr>
        <w:t>public</w:t>
      </w:r>
      <w:r>
        <w:rPr>
          <w:spacing w:val="-7"/>
          <w:sz w:val="21"/>
        </w:rPr>
        <w:t xml:space="preserve"> </w:t>
      </w:r>
      <w:r>
        <w:rPr>
          <w:sz w:val="21"/>
        </w:rPr>
        <w:t>discourse</w:t>
      </w:r>
      <w:r>
        <w:rPr>
          <w:spacing w:val="-6"/>
          <w:sz w:val="21"/>
        </w:rPr>
        <w:t xml:space="preserve"> </w:t>
      </w:r>
      <w:r>
        <w:rPr>
          <w:sz w:val="21"/>
        </w:rPr>
        <w:t>and</w:t>
      </w:r>
      <w:r>
        <w:rPr>
          <w:spacing w:val="-7"/>
          <w:sz w:val="21"/>
        </w:rPr>
        <w:t xml:space="preserve"> </w:t>
      </w:r>
      <w:r>
        <w:rPr>
          <w:sz w:val="21"/>
        </w:rPr>
        <w:t>policy,</w:t>
      </w:r>
      <w:r>
        <w:rPr>
          <w:spacing w:val="-7"/>
          <w:sz w:val="21"/>
        </w:rPr>
        <w:t xml:space="preserve"> </w:t>
      </w:r>
      <w:r>
        <w:rPr>
          <w:sz w:val="21"/>
        </w:rPr>
        <w:t>and</w:t>
      </w:r>
      <w:r>
        <w:rPr>
          <w:spacing w:val="-7"/>
          <w:sz w:val="21"/>
        </w:rPr>
        <w:t xml:space="preserve"> </w:t>
      </w:r>
      <w:r>
        <w:rPr>
          <w:sz w:val="21"/>
        </w:rPr>
        <w:t>barriers</w:t>
      </w:r>
      <w:r>
        <w:rPr>
          <w:spacing w:val="-8"/>
          <w:sz w:val="21"/>
        </w:rPr>
        <w:t xml:space="preserve"> </w:t>
      </w:r>
      <w:r>
        <w:rPr>
          <w:sz w:val="21"/>
        </w:rPr>
        <w:t>to</w:t>
      </w:r>
      <w:r>
        <w:rPr>
          <w:spacing w:val="-8"/>
          <w:sz w:val="21"/>
        </w:rPr>
        <w:t xml:space="preserve"> </w:t>
      </w:r>
      <w:r>
        <w:rPr>
          <w:sz w:val="21"/>
        </w:rPr>
        <w:t>care,</w:t>
      </w:r>
      <w:r>
        <w:rPr>
          <w:spacing w:val="-7"/>
          <w:sz w:val="21"/>
        </w:rPr>
        <w:t xml:space="preserve"> </w:t>
      </w:r>
      <w:r>
        <w:rPr>
          <w:sz w:val="21"/>
        </w:rPr>
        <w:t>such</w:t>
      </w:r>
      <w:r>
        <w:rPr>
          <w:spacing w:val="-7"/>
          <w:sz w:val="21"/>
        </w:rPr>
        <w:t xml:space="preserve"> </w:t>
      </w:r>
      <w:r>
        <w:rPr>
          <w:sz w:val="21"/>
        </w:rPr>
        <w:t>as waiting periods to access public health insurance. However, immigrant youth have also been found to have similar or better physical and mental health outco</w:t>
      </w:r>
      <w:r>
        <w:rPr>
          <w:sz w:val="21"/>
        </w:rPr>
        <w:t>mes than native-born peers, a phenomenon called the “immigrant health paradox.”</w:t>
      </w:r>
      <w:hyperlink w:anchor="_bookmark281" w:history="1">
        <w:r>
          <w:rPr>
            <w:sz w:val="21"/>
            <w:vertAlign w:val="superscript"/>
          </w:rPr>
          <w:t>27</w:t>
        </w:r>
      </w:hyperlink>
      <w:r>
        <w:rPr>
          <w:spacing w:val="-2"/>
          <w:sz w:val="21"/>
        </w:rPr>
        <w:t xml:space="preserve"> </w:t>
      </w:r>
      <w:r>
        <w:rPr>
          <w:sz w:val="21"/>
        </w:rPr>
        <w:t>This advantage levels out over generations, not just due to acculturation, like shifts in diet and exercise, but also through the wear-and-tea</w:t>
      </w:r>
      <w:r>
        <w:rPr>
          <w:sz w:val="21"/>
        </w:rPr>
        <w:t>r of minority stress.</w:t>
      </w:r>
    </w:p>
    <w:p w:rsidR="00200FDA" w:rsidRDefault="00200FDA">
      <w:pPr>
        <w:pStyle w:val="BodyText"/>
        <w:spacing w:before="6"/>
        <w:rPr>
          <w:sz w:val="19"/>
        </w:rPr>
      </w:pPr>
    </w:p>
    <w:p w:rsidR="00200FDA" w:rsidRDefault="00F76C4C">
      <w:pPr>
        <w:spacing w:before="1" w:line="276" w:lineRule="auto"/>
        <w:ind w:left="139" w:right="110"/>
        <w:jc w:val="both"/>
        <w:rPr>
          <w:sz w:val="21"/>
        </w:rPr>
      </w:pPr>
      <w:r>
        <w:rPr>
          <w:sz w:val="21"/>
        </w:rPr>
        <w:t>With these mixed results in mind, the Commission recommends that supporters seek to understand LGBTQ foreign-born</w:t>
      </w:r>
      <w:r>
        <w:rPr>
          <w:spacing w:val="-12"/>
          <w:sz w:val="21"/>
        </w:rPr>
        <w:t xml:space="preserve"> </w:t>
      </w:r>
      <w:r>
        <w:rPr>
          <w:sz w:val="21"/>
        </w:rPr>
        <w:t>youths’</w:t>
      </w:r>
      <w:r>
        <w:rPr>
          <w:spacing w:val="-12"/>
          <w:sz w:val="21"/>
        </w:rPr>
        <w:t xml:space="preserve"> </w:t>
      </w:r>
      <w:r>
        <w:rPr>
          <w:sz w:val="21"/>
        </w:rPr>
        <w:t>mental</w:t>
      </w:r>
      <w:r>
        <w:rPr>
          <w:spacing w:val="-12"/>
          <w:sz w:val="21"/>
        </w:rPr>
        <w:t xml:space="preserve"> </w:t>
      </w:r>
      <w:r>
        <w:rPr>
          <w:sz w:val="21"/>
        </w:rPr>
        <w:t>health</w:t>
      </w:r>
      <w:r>
        <w:rPr>
          <w:spacing w:val="-11"/>
          <w:sz w:val="21"/>
        </w:rPr>
        <w:t xml:space="preserve"> </w:t>
      </w:r>
      <w:r>
        <w:rPr>
          <w:sz w:val="21"/>
        </w:rPr>
        <w:t>in</w:t>
      </w:r>
      <w:r>
        <w:rPr>
          <w:spacing w:val="-11"/>
          <w:sz w:val="21"/>
        </w:rPr>
        <w:t xml:space="preserve"> </w:t>
      </w:r>
      <w:r>
        <w:rPr>
          <w:sz w:val="21"/>
        </w:rPr>
        <w:t>the</w:t>
      </w:r>
      <w:r>
        <w:rPr>
          <w:spacing w:val="-10"/>
          <w:sz w:val="21"/>
        </w:rPr>
        <w:t xml:space="preserve"> </w:t>
      </w:r>
      <w:r>
        <w:rPr>
          <w:sz w:val="21"/>
        </w:rPr>
        <w:t>context</w:t>
      </w:r>
      <w:r>
        <w:rPr>
          <w:spacing w:val="-12"/>
          <w:sz w:val="21"/>
        </w:rPr>
        <w:t xml:space="preserve"> </w:t>
      </w:r>
      <w:r>
        <w:rPr>
          <w:sz w:val="21"/>
        </w:rPr>
        <w:t>of</w:t>
      </w:r>
      <w:r>
        <w:rPr>
          <w:spacing w:val="-10"/>
          <w:sz w:val="21"/>
        </w:rPr>
        <w:t xml:space="preserve"> </w:t>
      </w:r>
      <w:r>
        <w:rPr>
          <w:sz w:val="21"/>
        </w:rPr>
        <w:t>their</w:t>
      </w:r>
      <w:r>
        <w:rPr>
          <w:spacing w:val="-10"/>
          <w:sz w:val="21"/>
        </w:rPr>
        <w:t xml:space="preserve"> </w:t>
      </w:r>
      <w:r>
        <w:rPr>
          <w:sz w:val="21"/>
        </w:rPr>
        <w:t>position</w:t>
      </w:r>
      <w:r>
        <w:rPr>
          <w:spacing w:val="-11"/>
          <w:sz w:val="21"/>
        </w:rPr>
        <w:t xml:space="preserve"> </w:t>
      </w:r>
      <w:r>
        <w:rPr>
          <w:sz w:val="21"/>
        </w:rPr>
        <w:t>in</w:t>
      </w:r>
      <w:r>
        <w:rPr>
          <w:spacing w:val="-9"/>
          <w:sz w:val="21"/>
        </w:rPr>
        <w:t xml:space="preserve"> </w:t>
      </w:r>
      <w:r>
        <w:rPr>
          <w:sz w:val="21"/>
        </w:rPr>
        <w:t>the</w:t>
      </w:r>
      <w:r>
        <w:rPr>
          <w:spacing w:val="-10"/>
          <w:sz w:val="21"/>
        </w:rPr>
        <w:t xml:space="preserve"> </w:t>
      </w:r>
      <w:r>
        <w:rPr>
          <w:sz w:val="21"/>
        </w:rPr>
        <w:t>US</w:t>
      </w:r>
      <w:r>
        <w:rPr>
          <w:spacing w:val="-12"/>
          <w:sz w:val="21"/>
        </w:rPr>
        <w:t xml:space="preserve"> </w:t>
      </w:r>
      <w:r>
        <w:rPr>
          <w:sz w:val="21"/>
        </w:rPr>
        <w:t>immigration</w:t>
      </w:r>
      <w:r>
        <w:rPr>
          <w:spacing w:val="-11"/>
          <w:sz w:val="21"/>
        </w:rPr>
        <w:t xml:space="preserve"> </w:t>
      </w:r>
      <w:r>
        <w:rPr>
          <w:sz w:val="21"/>
        </w:rPr>
        <w:t>system.</w:t>
      </w:r>
      <w:r>
        <w:rPr>
          <w:spacing w:val="-11"/>
          <w:sz w:val="21"/>
        </w:rPr>
        <w:t xml:space="preserve"> </w:t>
      </w:r>
      <w:r>
        <w:rPr>
          <w:sz w:val="21"/>
        </w:rPr>
        <w:t>It</w:t>
      </w:r>
      <w:r>
        <w:rPr>
          <w:spacing w:val="-12"/>
          <w:sz w:val="21"/>
        </w:rPr>
        <w:t xml:space="preserve"> </w:t>
      </w:r>
      <w:r>
        <w:rPr>
          <w:sz w:val="21"/>
        </w:rPr>
        <w:t>is</w:t>
      </w:r>
      <w:r>
        <w:rPr>
          <w:spacing w:val="-12"/>
          <w:sz w:val="21"/>
        </w:rPr>
        <w:t xml:space="preserve"> </w:t>
      </w:r>
      <w:r>
        <w:rPr>
          <w:sz w:val="21"/>
        </w:rPr>
        <w:t>additionally important</w:t>
      </w:r>
      <w:r>
        <w:rPr>
          <w:spacing w:val="-5"/>
          <w:sz w:val="21"/>
        </w:rPr>
        <w:t xml:space="preserve"> </w:t>
      </w:r>
      <w:r>
        <w:rPr>
          <w:sz w:val="21"/>
        </w:rPr>
        <w:t>to</w:t>
      </w:r>
      <w:r>
        <w:rPr>
          <w:spacing w:val="-5"/>
          <w:sz w:val="21"/>
        </w:rPr>
        <w:t xml:space="preserve"> </w:t>
      </w:r>
      <w:r>
        <w:rPr>
          <w:sz w:val="21"/>
        </w:rPr>
        <w:t>highlight</w:t>
      </w:r>
      <w:r>
        <w:rPr>
          <w:spacing w:val="-5"/>
          <w:sz w:val="21"/>
        </w:rPr>
        <w:t xml:space="preserve"> </w:t>
      </w:r>
      <w:r>
        <w:rPr>
          <w:sz w:val="21"/>
        </w:rPr>
        <w:t>that</w:t>
      </w:r>
      <w:r>
        <w:rPr>
          <w:spacing w:val="-5"/>
          <w:sz w:val="21"/>
        </w:rPr>
        <w:t xml:space="preserve"> </w:t>
      </w:r>
      <w:r>
        <w:rPr>
          <w:sz w:val="21"/>
        </w:rPr>
        <w:t>not</w:t>
      </w:r>
      <w:r>
        <w:rPr>
          <w:spacing w:val="-5"/>
          <w:sz w:val="21"/>
        </w:rPr>
        <w:t xml:space="preserve"> </w:t>
      </w:r>
      <w:r>
        <w:rPr>
          <w:sz w:val="21"/>
        </w:rPr>
        <w:t>all</w:t>
      </w:r>
      <w:r>
        <w:rPr>
          <w:spacing w:val="-5"/>
          <w:sz w:val="21"/>
        </w:rPr>
        <w:t xml:space="preserve"> </w:t>
      </w:r>
      <w:r>
        <w:rPr>
          <w:sz w:val="21"/>
        </w:rPr>
        <w:t>foreign-born</w:t>
      </w:r>
      <w:r>
        <w:rPr>
          <w:spacing w:val="-7"/>
          <w:sz w:val="21"/>
        </w:rPr>
        <w:t xml:space="preserve"> </w:t>
      </w:r>
      <w:r>
        <w:rPr>
          <w:sz w:val="21"/>
        </w:rPr>
        <w:t>youth</w:t>
      </w:r>
      <w:r>
        <w:rPr>
          <w:spacing w:val="-5"/>
          <w:sz w:val="21"/>
        </w:rPr>
        <w:t xml:space="preserve"> </w:t>
      </w:r>
      <w:r>
        <w:rPr>
          <w:sz w:val="21"/>
        </w:rPr>
        <w:t>have</w:t>
      </w:r>
      <w:r>
        <w:rPr>
          <w:spacing w:val="-4"/>
          <w:sz w:val="21"/>
        </w:rPr>
        <w:t xml:space="preserve"> </w:t>
      </w:r>
      <w:r>
        <w:rPr>
          <w:sz w:val="21"/>
        </w:rPr>
        <w:t>the</w:t>
      </w:r>
      <w:r>
        <w:rPr>
          <w:spacing w:val="-4"/>
          <w:sz w:val="21"/>
        </w:rPr>
        <w:t xml:space="preserve"> </w:t>
      </w:r>
      <w:r>
        <w:rPr>
          <w:sz w:val="21"/>
        </w:rPr>
        <w:t>same</w:t>
      </w:r>
      <w:r>
        <w:rPr>
          <w:spacing w:val="-6"/>
          <w:sz w:val="21"/>
        </w:rPr>
        <w:t xml:space="preserve"> </w:t>
      </w:r>
      <w:r>
        <w:rPr>
          <w:sz w:val="21"/>
        </w:rPr>
        <w:t>privileges</w:t>
      </w:r>
      <w:r>
        <w:rPr>
          <w:spacing w:val="-5"/>
          <w:sz w:val="21"/>
        </w:rPr>
        <w:t xml:space="preserve"> </w:t>
      </w:r>
      <w:r>
        <w:rPr>
          <w:sz w:val="21"/>
        </w:rPr>
        <w:t>and</w:t>
      </w:r>
      <w:r>
        <w:rPr>
          <w:spacing w:val="-5"/>
          <w:sz w:val="21"/>
        </w:rPr>
        <w:t xml:space="preserve"> </w:t>
      </w:r>
      <w:r>
        <w:rPr>
          <w:sz w:val="21"/>
        </w:rPr>
        <w:t>stressors.</w:t>
      </w:r>
      <w:r>
        <w:rPr>
          <w:spacing w:val="-5"/>
          <w:sz w:val="21"/>
        </w:rPr>
        <w:t xml:space="preserve"> </w:t>
      </w:r>
      <w:r>
        <w:rPr>
          <w:sz w:val="21"/>
        </w:rPr>
        <w:t>The</w:t>
      </w:r>
      <w:r>
        <w:rPr>
          <w:spacing w:val="-6"/>
          <w:sz w:val="21"/>
        </w:rPr>
        <w:t xml:space="preserve"> </w:t>
      </w:r>
      <w:r>
        <w:rPr>
          <w:sz w:val="21"/>
        </w:rPr>
        <w:t>Trevor</w:t>
      </w:r>
      <w:r>
        <w:rPr>
          <w:spacing w:val="-6"/>
          <w:sz w:val="21"/>
        </w:rPr>
        <w:t xml:space="preserve"> </w:t>
      </w:r>
      <w:r>
        <w:rPr>
          <w:sz w:val="21"/>
        </w:rPr>
        <w:t>Project found that LGBTQ youth with at least one immigrant parent had higher odds of attempting suicide when they worried</w:t>
      </w:r>
      <w:r>
        <w:rPr>
          <w:spacing w:val="-12"/>
          <w:sz w:val="21"/>
        </w:rPr>
        <w:t xml:space="preserve"> </w:t>
      </w:r>
      <w:r>
        <w:rPr>
          <w:sz w:val="21"/>
        </w:rPr>
        <w:t>about</w:t>
      </w:r>
      <w:r>
        <w:rPr>
          <w:spacing w:val="-12"/>
          <w:sz w:val="21"/>
        </w:rPr>
        <w:t xml:space="preserve"> </w:t>
      </w:r>
      <w:r>
        <w:rPr>
          <w:sz w:val="21"/>
        </w:rPr>
        <w:t>deportation</w:t>
      </w:r>
      <w:r>
        <w:rPr>
          <w:spacing w:val="-12"/>
          <w:sz w:val="21"/>
        </w:rPr>
        <w:t xml:space="preserve"> </w:t>
      </w:r>
      <w:r>
        <w:rPr>
          <w:sz w:val="21"/>
        </w:rPr>
        <w:t>(63%</w:t>
      </w:r>
      <w:r>
        <w:rPr>
          <w:spacing w:val="-12"/>
          <w:sz w:val="21"/>
        </w:rPr>
        <w:t xml:space="preserve"> </w:t>
      </w:r>
      <w:r>
        <w:rPr>
          <w:sz w:val="21"/>
        </w:rPr>
        <w:t>more</w:t>
      </w:r>
      <w:r>
        <w:rPr>
          <w:spacing w:val="-12"/>
          <w:sz w:val="21"/>
        </w:rPr>
        <w:t xml:space="preserve"> </w:t>
      </w:r>
      <w:r>
        <w:rPr>
          <w:sz w:val="21"/>
        </w:rPr>
        <w:t>likely)</w:t>
      </w:r>
      <w:r>
        <w:rPr>
          <w:spacing w:val="-12"/>
          <w:sz w:val="21"/>
        </w:rPr>
        <w:t xml:space="preserve"> </w:t>
      </w:r>
      <w:r>
        <w:rPr>
          <w:sz w:val="21"/>
        </w:rPr>
        <w:t>or</w:t>
      </w:r>
      <w:r>
        <w:rPr>
          <w:spacing w:val="-12"/>
          <w:sz w:val="21"/>
        </w:rPr>
        <w:t xml:space="preserve"> </w:t>
      </w:r>
      <w:r>
        <w:rPr>
          <w:sz w:val="21"/>
        </w:rPr>
        <w:t>fa</w:t>
      </w:r>
      <w:r>
        <w:rPr>
          <w:sz w:val="21"/>
        </w:rPr>
        <w:t>ced</w:t>
      </w:r>
      <w:r>
        <w:rPr>
          <w:spacing w:val="-11"/>
          <w:sz w:val="21"/>
        </w:rPr>
        <w:t xml:space="preserve"> </w:t>
      </w:r>
      <w:r>
        <w:rPr>
          <w:sz w:val="21"/>
        </w:rPr>
        <w:t>immigration-based</w:t>
      </w:r>
      <w:r>
        <w:rPr>
          <w:spacing w:val="-12"/>
          <w:sz w:val="21"/>
        </w:rPr>
        <w:t xml:space="preserve"> </w:t>
      </w:r>
      <w:r>
        <w:rPr>
          <w:sz w:val="21"/>
        </w:rPr>
        <w:t>discrimination</w:t>
      </w:r>
      <w:r>
        <w:rPr>
          <w:spacing w:val="-12"/>
          <w:sz w:val="21"/>
        </w:rPr>
        <w:t xml:space="preserve"> </w:t>
      </w:r>
      <w:r>
        <w:rPr>
          <w:sz w:val="21"/>
        </w:rPr>
        <w:t>(2.5</w:t>
      </w:r>
      <w:r>
        <w:rPr>
          <w:spacing w:val="-12"/>
          <w:sz w:val="21"/>
        </w:rPr>
        <w:t xml:space="preserve"> </w:t>
      </w:r>
      <w:r>
        <w:rPr>
          <w:sz w:val="21"/>
        </w:rPr>
        <w:t>times</w:t>
      </w:r>
      <w:r>
        <w:rPr>
          <w:spacing w:val="-12"/>
          <w:sz w:val="21"/>
        </w:rPr>
        <w:t xml:space="preserve"> </w:t>
      </w:r>
      <w:r>
        <w:rPr>
          <w:sz w:val="21"/>
        </w:rPr>
        <w:t>more</w:t>
      </w:r>
      <w:r>
        <w:rPr>
          <w:spacing w:val="-12"/>
          <w:sz w:val="21"/>
        </w:rPr>
        <w:t xml:space="preserve"> </w:t>
      </w:r>
      <w:r>
        <w:rPr>
          <w:sz w:val="21"/>
        </w:rPr>
        <w:t>likely.)</w:t>
      </w:r>
      <w:hyperlink w:anchor="_bookmark282" w:history="1">
        <w:r>
          <w:rPr>
            <w:sz w:val="21"/>
            <w:vertAlign w:val="superscript"/>
          </w:rPr>
          <w:t>28</w:t>
        </w:r>
      </w:hyperlink>
      <w:r>
        <w:rPr>
          <w:sz w:val="21"/>
        </w:rPr>
        <w:t xml:space="preserve"> Supporters should also consider how anti-LGBTQ sentiment and xenophobia shape youths’ past and current experiences. For instance, LGBTQ youth may flee trauma in their first countries only to face intersectional discrimination</w:t>
      </w:r>
      <w:r>
        <w:rPr>
          <w:spacing w:val="-2"/>
          <w:sz w:val="21"/>
        </w:rPr>
        <w:t xml:space="preserve"> </w:t>
      </w:r>
      <w:r>
        <w:rPr>
          <w:sz w:val="21"/>
        </w:rPr>
        <w:t>in</w:t>
      </w:r>
      <w:r>
        <w:rPr>
          <w:spacing w:val="-2"/>
          <w:sz w:val="21"/>
        </w:rPr>
        <w:t xml:space="preserve"> </w:t>
      </w:r>
      <w:r>
        <w:rPr>
          <w:sz w:val="21"/>
        </w:rPr>
        <w:t>the</w:t>
      </w:r>
      <w:r>
        <w:rPr>
          <w:spacing w:val="-1"/>
          <w:sz w:val="21"/>
        </w:rPr>
        <w:t xml:space="preserve"> </w:t>
      </w:r>
      <w:r>
        <w:rPr>
          <w:sz w:val="21"/>
        </w:rPr>
        <w:t>US,</w:t>
      </w:r>
      <w:r>
        <w:rPr>
          <w:spacing w:val="-1"/>
          <w:sz w:val="21"/>
        </w:rPr>
        <w:t xml:space="preserve"> </w:t>
      </w:r>
      <w:r>
        <w:rPr>
          <w:sz w:val="21"/>
        </w:rPr>
        <w:t>such</w:t>
      </w:r>
      <w:r>
        <w:rPr>
          <w:spacing w:val="-2"/>
          <w:sz w:val="21"/>
        </w:rPr>
        <w:t xml:space="preserve"> </w:t>
      </w:r>
      <w:r>
        <w:rPr>
          <w:sz w:val="21"/>
        </w:rPr>
        <w:t>as</w:t>
      </w:r>
      <w:r>
        <w:rPr>
          <w:spacing w:val="-2"/>
          <w:sz w:val="21"/>
        </w:rPr>
        <w:t xml:space="preserve"> </w:t>
      </w:r>
      <w:r>
        <w:rPr>
          <w:sz w:val="21"/>
        </w:rPr>
        <w:t>pressure</w:t>
      </w:r>
      <w:r>
        <w:rPr>
          <w:spacing w:val="-3"/>
          <w:sz w:val="21"/>
        </w:rPr>
        <w:t xml:space="preserve"> </w:t>
      </w:r>
      <w:r>
        <w:rPr>
          <w:sz w:val="21"/>
        </w:rPr>
        <w:t>t</w:t>
      </w:r>
      <w:r>
        <w:rPr>
          <w:sz w:val="21"/>
        </w:rPr>
        <w:t>o</w:t>
      </w:r>
      <w:r>
        <w:rPr>
          <w:spacing w:val="-2"/>
          <w:sz w:val="21"/>
        </w:rPr>
        <w:t xml:space="preserve"> </w:t>
      </w:r>
      <w:r>
        <w:rPr>
          <w:sz w:val="21"/>
        </w:rPr>
        <w:t>conform</w:t>
      </w:r>
      <w:r>
        <w:rPr>
          <w:spacing w:val="-4"/>
          <w:sz w:val="21"/>
        </w:rPr>
        <w:t xml:space="preserve"> </w:t>
      </w:r>
      <w:r>
        <w:rPr>
          <w:sz w:val="21"/>
        </w:rPr>
        <w:t>to</w:t>
      </w:r>
      <w:r>
        <w:rPr>
          <w:spacing w:val="-4"/>
          <w:sz w:val="21"/>
        </w:rPr>
        <w:t xml:space="preserve"> </w:t>
      </w:r>
      <w:r>
        <w:rPr>
          <w:sz w:val="21"/>
        </w:rPr>
        <w:t>Western</w:t>
      </w:r>
      <w:r>
        <w:rPr>
          <w:spacing w:val="-4"/>
          <w:sz w:val="21"/>
        </w:rPr>
        <w:t xml:space="preserve"> </w:t>
      </w:r>
      <w:r>
        <w:rPr>
          <w:sz w:val="21"/>
        </w:rPr>
        <w:t>LGBTQ</w:t>
      </w:r>
      <w:r>
        <w:rPr>
          <w:spacing w:val="-4"/>
          <w:sz w:val="21"/>
        </w:rPr>
        <w:t xml:space="preserve"> </w:t>
      </w:r>
      <w:r>
        <w:rPr>
          <w:sz w:val="21"/>
        </w:rPr>
        <w:t>labels</w:t>
      </w:r>
      <w:r>
        <w:rPr>
          <w:spacing w:val="-4"/>
          <w:sz w:val="21"/>
        </w:rPr>
        <w:t xml:space="preserve"> </w:t>
      </w:r>
      <w:r>
        <w:rPr>
          <w:sz w:val="21"/>
        </w:rPr>
        <w:t>while</w:t>
      </w:r>
      <w:r>
        <w:rPr>
          <w:spacing w:val="-5"/>
          <w:sz w:val="21"/>
        </w:rPr>
        <w:t xml:space="preserve"> </w:t>
      </w:r>
      <w:r>
        <w:rPr>
          <w:sz w:val="21"/>
        </w:rPr>
        <w:t>seeking</w:t>
      </w:r>
      <w:r>
        <w:rPr>
          <w:spacing w:val="-2"/>
          <w:sz w:val="21"/>
        </w:rPr>
        <w:t xml:space="preserve"> </w:t>
      </w:r>
      <w:r>
        <w:rPr>
          <w:sz w:val="21"/>
        </w:rPr>
        <w:t>asylum</w:t>
      </w:r>
      <w:r>
        <w:rPr>
          <w:spacing w:val="-4"/>
          <w:sz w:val="21"/>
        </w:rPr>
        <w:t xml:space="preserve"> </w:t>
      </w:r>
      <w:r>
        <w:rPr>
          <w:sz w:val="21"/>
        </w:rPr>
        <w:t>or</w:t>
      </w:r>
      <w:r>
        <w:rPr>
          <w:spacing w:val="-3"/>
          <w:sz w:val="21"/>
        </w:rPr>
        <w:t xml:space="preserve"> </w:t>
      </w:r>
      <w:r>
        <w:rPr>
          <w:sz w:val="21"/>
        </w:rPr>
        <w:t xml:space="preserve">refugee </w:t>
      </w:r>
      <w:r>
        <w:rPr>
          <w:spacing w:val="-2"/>
          <w:sz w:val="21"/>
        </w:rPr>
        <w:t>status.</w:t>
      </w:r>
      <w:hyperlink w:anchor="_bookmark283" w:history="1">
        <w:r>
          <w:rPr>
            <w:spacing w:val="-2"/>
            <w:sz w:val="21"/>
            <w:vertAlign w:val="superscript"/>
          </w:rPr>
          <w:t>29</w:t>
        </w:r>
      </w:hyperlink>
    </w:p>
    <w:p w:rsidR="00200FDA" w:rsidRDefault="00200FDA">
      <w:pPr>
        <w:pStyle w:val="BodyText"/>
        <w:spacing w:before="8"/>
        <w:rPr>
          <w:sz w:val="19"/>
        </w:rPr>
      </w:pPr>
    </w:p>
    <w:p w:rsidR="00200FDA" w:rsidRDefault="00F76C4C">
      <w:pPr>
        <w:spacing w:before="1"/>
        <w:ind w:left="139"/>
        <w:jc w:val="both"/>
        <w:rPr>
          <w:sz w:val="21"/>
        </w:rPr>
      </w:pPr>
      <w:r>
        <w:rPr>
          <w:sz w:val="21"/>
        </w:rPr>
        <w:t>Despite</w:t>
      </w:r>
      <w:r>
        <w:rPr>
          <w:spacing w:val="8"/>
          <w:sz w:val="21"/>
        </w:rPr>
        <w:t xml:space="preserve"> </w:t>
      </w:r>
      <w:r>
        <w:rPr>
          <w:sz w:val="21"/>
        </w:rPr>
        <w:t>these</w:t>
      </w:r>
      <w:r>
        <w:rPr>
          <w:spacing w:val="10"/>
          <w:sz w:val="21"/>
        </w:rPr>
        <w:t xml:space="preserve"> </w:t>
      </w:r>
      <w:r>
        <w:rPr>
          <w:sz w:val="21"/>
        </w:rPr>
        <w:t>diverse</w:t>
      </w:r>
      <w:r>
        <w:rPr>
          <w:spacing w:val="9"/>
          <w:sz w:val="21"/>
        </w:rPr>
        <w:t xml:space="preserve"> </w:t>
      </w:r>
      <w:r>
        <w:rPr>
          <w:sz w:val="21"/>
        </w:rPr>
        <w:t>stressors,</w:t>
      </w:r>
      <w:r>
        <w:rPr>
          <w:spacing w:val="11"/>
          <w:sz w:val="21"/>
        </w:rPr>
        <w:t xml:space="preserve"> </w:t>
      </w:r>
      <w:r>
        <w:rPr>
          <w:sz w:val="21"/>
        </w:rPr>
        <w:t>foreign-born</w:t>
      </w:r>
      <w:r>
        <w:rPr>
          <w:spacing w:val="8"/>
          <w:sz w:val="21"/>
        </w:rPr>
        <w:t xml:space="preserve"> </w:t>
      </w:r>
      <w:r>
        <w:rPr>
          <w:sz w:val="21"/>
        </w:rPr>
        <w:t>youth</w:t>
      </w:r>
      <w:r>
        <w:rPr>
          <w:spacing w:val="10"/>
          <w:sz w:val="21"/>
        </w:rPr>
        <w:t xml:space="preserve"> </w:t>
      </w:r>
      <w:r>
        <w:rPr>
          <w:sz w:val="21"/>
        </w:rPr>
        <w:t>have</w:t>
      </w:r>
      <w:r>
        <w:rPr>
          <w:spacing w:val="11"/>
          <w:sz w:val="21"/>
        </w:rPr>
        <w:t xml:space="preserve"> </w:t>
      </w:r>
      <w:r>
        <w:rPr>
          <w:sz w:val="21"/>
        </w:rPr>
        <w:t>also</w:t>
      </w:r>
      <w:r>
        <w:rPr>
          <w:spacing w:val="10"/>
          <w:sz w:val="21"/>
        </w:rPr>
        <w:t xml:space="preserve"> </w:t>
      </w:r>
      <w:r>
        <w:rPr>
          <w:sz w:val="21"/>
        </w:rPr>
        <w:t>always</w:t>
      </w:r>
      <w:r>
        <w:rPr>
          <w:spacing w:val="10"/>
          <w:sz w:val="21"/>
        </w:rPr>
        <w:t xml:space="preserve"> </w:t>
      </w:r>
      <w:r>
        <w:rPr>
          <w:sz w:val="21"/>
        </w:rPr>
        <w:t>invented</w:t>
      </w:r>
      <w:r>
        <w:rPr>
          <w:spacing w:val="8"/>
          <w:sz w:val="21"/>
        </w:rPr>
        <w:t xml:space="preserve"> </w:t>
      </w:r>
      <w:r>
        <w:rPr>
          <w:sz w:val="21"/>
        </w:rPr>
        <w:t>their</w:t>
      </w:r>
      <w:r>
        <w:rPr>
          <w:spacing w:val="9"/>
          <w:sz w:val="21"/>
        </w:rPr>
        <w:t xml:space="preserve"> </w:t>
      </w:r>
      <w:r>
        <w:rPr>
          <w:sz w:val="21"/>
        </w:rPr>
        <w:t>own</w:t>
      </w:r>
      <w:r>
        <w:rPr>
          <w:spacing w:val="10"/>
          <w:sz w:val="21"/>
        </w:rPr>
        <w:t xml:space="preserve"> </w:t>
      </w:r>
      <w:r>
        <w:rPr>
          <w:sz w:val="21"/>
        </w:rPr>
        <w:t>strategies</w:t>
      </w:r>
      <w:r>
        <w:rPr>
          <w:spacing w:val="10"/>
          <w:sz w:val="21"/>
        </w:rPr>
        <w:t xml:space="preserve"> </w:t>
      </w:r>
      <w:r>
        <w:rPr>
          <w:sz w:val="21"/>
        </w:rPr>
        <w:t>to</w:t>
      </w:r>
      <w:r>
        <w:rPr>
          <w:spacing w:val="11"/>
          <w:sz w:val="21"/>
        </w:rPr>
        <w:t xml:space="preserve"> </w:t>
      </w:r>
      <w:r>
        <w:rPr>
          <w:spacing w:val="-2"/>
          <w:sz w:val="21"/>
        </w:rPr>
        <w:t>survive</w:t>
      </w:r>
    </w:p>
    <w:p w:rsidR="00200FDA" w:rsidRDefault="00200FDA">
      <w:pPr>
        <w:jc w:val="both"/>
        <w:rPr>
          <w:sz w:val="21"/>
        </w:rPr>
        <w:sectPr w:rsidR="00200FDA">
          <w:headerReference w:type="default" r:id="rId230"/>
          <w:footerReference w:type="default" r:id="rId231"/>
          <w:pgSz w:w="12240" w:h="15840"/>
          <w:pgMar w:top="1360" w:right="1180" w:bottom="1400" w:left="1300" w:header="761" w:footer="1208" w:gutter="0"/>
          <w:cols w:space="720"/>
        </w:sectPr>
      </w:pPr>
    </w:p>
    <w:p w:rsidR="00200FDA" w:rsidRDefault="00F76C4C">
      <w:pPr>
        <w:spacing w:before="64" w:line="276" w:lineRule="auto"/>
        <w:ind w:left="140" w:right="111"/>
        <w:jc w:val="both"/>
        <w:rPr>
          <w:sz w:val="21"/>
        </w:rPr>
      </w:pPr>
      <w:r>
        <w:rPr>
          <w:sz w:val="21"/>
        </w:rPr>
        <w:lastRenderedPageBreak/>
        <w:t>and thrive. For instance, they are significantly more likely than their peers to befriend other foreign-born individuals from the same generation, and less likely to report negative health behaviors and outcomes when they do so.</w:t>
      </w:r>
      <w:hyperlink w:anchor="_bookmark284" w:history="1">
        <w:r>
          <w:rPr>
            <w:sz w:val="21"/>
            <w:vertAlign w:val="superscript"/>
          </w:rPr>
          <w:t>30</w:t>
        </w:r>
      </w:hyperlink>
      <w:r>
        <w:rPr>
          <w:spacing w:val="-2"/>
          <w:sz w:val="21"/>
        </w:rPr>
        <w:t xml:space="preserve"> </w:t>
      </w:r>
      <w:r>
        <w:rPr>
          <w:sz w:val="21"/>
        </w:rPr>
        <w:t>Because same-generation immigrant peer support protects youths’ mental health, care providers and youth workers should address differences in immigration status in their services. For instance, services for LGBTQ youth can create spa</w:t>
      </w:r>
      <w:r>
        <w:rPr>
          <w:sz w:val="21"/>
        </w:rPr>
        <w:t>ce for immigrant, refugee, asylee, and undocumented youth to build relationships and advocate for themselves, while also connecting them with immigrant community networks.</w:t>
      </w:r>
    </w:p>
    <w:p w:rsidR="00200FDA" w:rsidRDefault="00200FDA">
      <w:pPr>
        <w:pStyle w:val="BodyText"/>
        <w:spacing w:before="8"/>
        <w:rPr>
          <w:sz w:val="19"/>
        </w:rPr>
      </w:pPr>
    </w:p>
    <w:p w:rsidR="00200FDA" w:rsidRDefault="00F76C4C">
      <w:pPr>
        <w:spacing w:line="276" w:lineRule="auto"/>
        <w:ind w:left="139" w:right="111"/>
        <w:jc w:val="both"/>
        <w:rPr>
          <w:sz w:val="21"/>
        </w:rPr>
      </w:pPr>
      <w:r>
        <w:rPr>
          <w:sz w:val="21"/>
        </w:rPr>
        <w:t>As the benefits of peer support suggest, foreign-born youth thrive when they feel u</w:t>
      </w:r>
      <w:r>
        <w:rPr>
          <w:sz w:val="21"/>
        </w:rPr>
        <w:t>nderstood. Yet in 2022, the Trevor Project</w:t>
      </w:r>
      <w:r>
        <w:rPr>
          <w:spacing w:val="-2"/>
          <w:sz w:val="21"/>
        </w:rPr>
        <w:t xml:space="preserve"> </w:t>
      </w:r>
      <w:r>
        <w:rPr>
          <w:sz w:val="21"/>
        </w:rPr>
        <w:t>found</w:t>
      </w:r>
      <w:r>
        <w:rPr>
          <w:spacing w:val="-2"/>
          <w:sz w:val="21"/>
        </w:rPr>
        <w:t xml:space="preserve"> </w:t>
      </w:r>
      <w:r>
        <w:rPr>
          <w:sz w:val="21"/>
        </w:rPr>
        <w:t>that</w:t>
      </w:r>
      <w:r>
        <w:rPr>
          <w:spacing w:val="-4"/>
          <w:sz w:val="21"/>
        </w:rPr>
        <w:t xml:space="preserve"> </w:t>
      </w:r>
      <w:r>
        <w:rPr>
          <w:sz w:val="21"/>
        </w:rPr>
        <w:t>youth</w:t>
      </w:r>
      <w:r>
        <w:rPr>
          <w:spacing w:val="-2"/>
          <w:sz w:val="21"/>
        </w:rPr>
        <w:t xml:space="preserve"> </w:t>
      </w:r>
      <w:r>
        <w:rPr>
          <w:sz w:val="21"/>
        </w:rPr>
        <w:t>from</w:t>
      </w:r>
      <w:r>
        <w:rPr>
          <w:spacing w:val="-2"/>
          <w:sz w:val="21"/>
        </w:rPr>
        <w:t xml:space="preserve"> </w:t>
      </w:r>
      <w:r>
        <w:rPr>
          <w:sz w:val="21"/>
        </w:rPr>
        <w:t>all</w:t>
      </w:r>
      <w:r>
        <w:rPr>
          <w:spacing w:val="-1"/>
          <w:sz w:val="21"/>
        </w:rPr>
        <w:t xml:space="preserve"> </w:t>
      </w:r>
      <w:r>
        <w:rPr>
          <w:sz w:val="21"/>
        </w:rPr>
        <w:t>non-white</w:t>
      </w:r>
      <w:r>
        <w:rPr>
          <w:spacing w:val="-3"/>
          <w:sz w:val="21"/>
        </w:rPr>
        <w:t xml:space="preserve"> </w:t>
      </w:r>
      <w:r>
        <w:rPr>
          <w:sz w:val="21"/>
        </w:rPr>
        <w:t>racial</w:t>
      </w:r>
      <w:r>
        <w:rPr>
          <w:spacing w:val="-4"/>
          <w:sz w:val="21"/>
        </w:rPr>
        <w:t xml:space="preserve"> </w:t>
      </w:r>
      <w:r>
        <w:rPr>
          <w:sz w:val="21"/>
        </w:rPr>
        <w:t>and</w:t>
      </w:r>
      <w:r>
        <w:rPr>
          <w:spacing w:val="-1"/>
          <w:sz w:val="21"/>
        </w:rPr>
        <w:t xml:space="preserve"> </w:t>
      </w:r>
      <w:r>
        <w:rPr>
          <w:sz w:val="21"/>
        </w:rPr>
        <w:t>ethnic</w:t>
      </w:r>
      <w:r>
        <w:rPr>
          <w:spacing w:val="-2"/>
          <w:sz w:val="21"/>
        </w:rPr>
        <w:t xml:space="preserve"> </w:t>
      </w:r>
      <w:r>
        <w:rPr>
          <w:sz w:val="21"/>
        </w:rPr>
        <w:t>groups</w:t>
      </w:r>
      <w:r>
        <w:rPr>
          <w:spacing w:val="-4"/>
          <w:sz w:val="21"/>
        </w:rPr>
        <w:t xml:space="preserve"> </w:t>
      </w:r>
      <w:r>
        <w:rPr>
          <w:sz w:val="21"/>
        </w:rPr>
        <w:t>were</w:t>
      </w:r>
      <w:r>
        <w:rPr>
          <w:spacing w:val="-3"/>
          <w:sz w:val="21"/>
        </w:rPr>
        <w:t xml:space="preserve"> </w:t>
      </w:r>
      <w:r>
        <w:rPr>
          <w:sz w:val="21"/>
        </w:rPr>
        <w:t>4 to</w:t>
      </w:r>
      <w:r>
        <w:rPr>
          <w:spacing w:val="-4"/>
          <w:sz w:val="21"/>
        </w:rPr>
        <w:t xml:space="preserve"> </w:t>
      </w:r>
      <w:r>
        <w:rPr>
          <w:sz w:val="21"/>
        </w:rPr>
        <w:t>10 times</w:t>
      </w:r>
      <w:r>
        <w:rPr>
          <w:spacing w:val="-2"/>
          <w:sz w:val="21"/>
        </w:rPr>
        <w:t xml:space="preserve"> </w:t>
      </w:r>
      <w:r>
        <w:rPr>
          <w:sz w:val="21"/>
        </w:rPr>
        <w:t>more</w:t>
      </w:r>
      <w:r>
        <w:rPr>
          <w:spacing w:val="-1"/>
          <w:sz w:val="21"/>
        </w:rPr>
        <w:t xml:space="preserve"> </w:t>
      </w:r>
      <w:r>
        <w:rPr>
          <w:sz w:val="21"/>
        </w:rPr>
        <w:t>likely</w:t>
      </w:r>
      <w:r>
        <w:rPr>
          <w:spacing w:val="-1"/>
          <w:sz w:val="21"/>
        </w:rPr>
        <w:t xml:space="preserve"> </w:t>
      </w:r>
      <w:r>
        <w:rPr>
          <w:sz w:val="21"/>
        </w:rPr>
        <w:t>than their white peers to feel that care providers would not understand their culture. Middle Eastern/North African (MENA) (21%), AAPI (18%), and Black youth (13%) reported most often that they felt care providers would not understand</w:t>
      </w:r>
      <w:r>
        <w:rPr>
          <w:spacing w:val="40"/>
          <w:sz w:val="21"/>
        </w:rPr>
        <w:t xml:space="preserve"> </w:t>
      </w:r>
      <w:r>
        <w:rPr>
          <w:sz w:val="21"/>
        </w:rPr>
        <w:t>their</w:t>
      </w:r>
      <w:r>
        <w:rPr>
          <w:spacing w:val="40"/>
          <w:sz w:val="21"/>
        </w:rPr>
        <w:t xml:space="preserve"> </w:t>
      </w:r>
      <w:r>
        <w:rPr>
          <w:sz w:val="21"/>
        </w:rPr>
        <w:t>cultures,</w:t>
      </w:r>
      <w:r>
        <w:rPr>
          <w:spacing w:val="40"/>
          <w:sz w:val="21"/>
        </w:rPr>
        <w:t xml:space="preserve"> </w:t>
      </w:r>
      <w:r>
        <w:rPr>
          <w:sz w:val="21"/>
        </w:rPr>
        <w:t>follo</w:t>
      </w:r>
      <w:r>
        <w:rPr>
          <w:sz w:val="21"/>
        </w:rPr>
        <w:t>wed</w:t>
      </w:r>
      <w:r>
        <w:rPr>
          <w:spacing w:val="40"/>
          <w:sz w:val="21"/>
        </w:rPr>
        <w:t xml:space="preserve"> </w:t>
      </w:r>
      <w:r>
        <w:rPr>
          <w:sz w:val="21"/>
        </w:rPr>
        <w:t>by</w:t>
      </w:r>
      <w:r>
        <w:rPr>
          <w:spacing w:val="40"/>
          <w:sz w:val="21"/>
        </w:rPr>
        <w:t xml:space="preserve"> </w:t>
      </w:r>
      <w:r>
        <w:rPr>
          <w:sz w:val="21"/>
        </w:rPr>
        <w:t>Latine</w:t>
      </w:r>
      <w:r>
        <w:rPr>
          <w:spacing w:val="40"/>
          <w:sz w:val="21"/>
        </w:rPr>
        <w:t xml:space="preserve"> </w:t>
      </w:r>
      <w:r>
        <w:rPr>
          <w:sz w:val="21"/>
        </w:rPr>
        <w:t>and</w:t>
      </w:r>
    </w:p>
    <w:p w:rsidR="00200FDA" w:rsidRDefault="00F76C4C">
      <w:pPr>
        <w:spacing w:line="276" w:lineRule="auto"/>
        <w:ind w:left="139" w:right="5084"/>
        <w:jc w:val="both"/>
        <w:rPr>
          <w:sz w:val="21"/>
        </w:rPr>
      </w:pPr>
      <w:r>
        <w:rPr>
          <w:noProof/>
        </w:rPr>
        <w:drawing>
          <wp:anchor distT="0" distB="0" distL="0" distR="0" simplePos="0" relativeHeight="15759872" behindDoc="0" locked="0" layoutInCell="1" allowOverlap="1">
            <wp:simplePos x="0" y="0"/>
            <wp:positionH relativeFrom="page">
              <wp:posOffset>4038001</wp:posOffset>
            </wp:positionH>
            <wp:positionV relativeFrom="paragraph">
              <wp:posOffset>69195</wp:posOffset>
            </wp:positionV>
            <wp:extent cx="2684060" cy="2787783"/>
            <wp:effectExtent l="0" t="0" r="0" b="0"/>
            <wp:wrapNone/>
            <wp:docPr id="33"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1.jpeg"/>
                    <pic:cNvPicPr/>
                  </pic:nvPicPr>
                  <pic:blipFill>
                    <a:blip r:embed="rId232" cstate="print"/>
                    <a:stretch>
                      <a:fillRect/>
                    </a:stretch>
                  </pic:blipFill>
                  <pic:spPr>
                    <a:xfrm>
                      <a:off x="0" y="0"/>
                      <a:ext cx="2684060" cy="2787783"/>
                    </a:xfrm>
                    <a:prstGeom prst="rect">
                      <a:avLst/>
                    </a:prstGeom>
                  </pic:spPr>
                </pic:pic>
              </a:graphicData>
            </a:graphic>
          </wp:anchor>
        </w:drawing>
      </w:r>
      <w:r>
        <w:rPr>
          <w:sz w:val="21"/>
        </w:rPr>
        <w:t>Indigenous (9% each), multiracial (8%), and white (2%) youth.</w:t>
      </w:r>
      <w:hyperlink w:anchor="_bookmark285" w:history="1">
        <w:r>
          <w:rPr>
            <w:sz w:val="21"/>
            <w:vertAlign w:val="superscript"/>
          </w:rPr>
          <w:t>31</w:t>
        </w:r>
      </w:hyperlink>
      <w:r>
        <w:rPr>
          <w:spacing w:val="-3"/>
          <w:sz w:val="21"/>
        </w:rPr>
        <w:t xml:space="preserve"> </w:t>
      </w:r>
      <w:r>
        <w:rPr>
          <w:sz w:val="21"/>
        </w:rPr>
        <w:t>It is crucial, then, for supporters to not only</w:t>
      </w:r>
      <w:r>
        <w:rPr>
          <w:spacing w:val="-5"/>
          <w:sz w:val="21"/>
        </w:rPr>
        <w:t xml:space="preserve"> </w:t>
      </w:r>
      <w:r>
        <w:rPr>
          <w:sz w:val="21"/>
        </w:rPr>
        <w:t>take</w:t>
      </w:r>
      <w:r>
        <w:rPr>
          <w:spacing w:val="-5"/>
          <w:sz w:val="21"/>
        </w:rPr>
        <w:t xml:space="preserve"> </w:t>
      </w:r>
      <w:r>
        <w:rPr>
          <w:sz w:val="21"/>
        </w:rPr>
        <w:t>an</w:t>
      </w:r>
      <w:r>
        <w:rPr>
          <w:spacing w:val="-5"/>
          <w:sz w:val="21"/>
        </w:rPr>
        <w:t xml:space="preserve"> </w:t>
      </w:r>
      <w:r>
        <w:rPr>
          <w:sz w:val="21"/>
        </w:rPr>
        <w:t>anti-racist</w:t>
      </w:r>
      <w:r>
        <w:rPr>
          <w:spacing w:val="-5"/>
          <w:sz w:val="21"/>
        </w:rPr>
        <w:t xml:space="preserve"> </w:t>
      </w:r>
      <w:r>
        <w:rPr>
          <w:sz w:val="21"/>
        </w:rPr>
        <w:t>and</w:t>
      </w:r>
      <w:r>
        <w:rPr>
          <w:spacing w:val="-5"/>
          <w:sz w:val="21"/>
        </w:rPr>
        <w:t xml:space="preserve"> </w:t>
      </w:r>
      <w:r>
        <w:rPr>
          <w:sz w:val="21"/>
        </w:rPr>
        <w:t>intersectional</w:t>
      </w:r>
      <w:r>
        <w:rPr>
          <w:spacing w:val="-5"/>
          <w:sz w:val="21"/>
        </w:rPr>
        <w:t xml:space="preserve"> </w:t>
      </w:r>
      <w:r>
        <w:rPr>
          <w:sz w:val="21"/>
        </w:rPr>
        <w:t>stance,</w:t>
      </w:r>
      <w:r>
        <w:rPr>
          <w:spacing w:val="-5"/>
          <w:sz w:val="21"/>
        </w:rPr>
        <w:t xml:space="preserve"> </w:t>
      </w:r>
      <w:r>
        <w:rPr>
          <w:sz w:val="21"/>
        </w:rPr>
        <w:t xml:space="preserve">but also a culturally-responsive one. Whether </w:t>
      </w:r>
      <w:r>
        <w:rPr>
          <w:sz w:val="21"/>
        </w:rPr>
        <w:t xml:space="preserve">in policy, youth services, or mental healthcare, cultural responsiveness begins with curiosity rather than </w:t>
      </w:r>
      <w:r>
        <w:rPr>
          <w:spacing w:val="-2"/>
          <w:sz w:val="21"/>
        </w:rPr>
        <w:t>generalization.</w:t>
      </w:r>
    </w:p>
    <w:p w:rsidR="00200FDA" w:rsidRDefault="00200FDA">
      <w:pPr>
        <w:pStyle w:val="BodyText"/>
        <w:spacing w:before="8"/>
        <w:rPr>
          <w:sz w:val="19"/>
        </w:rPr>
      </w:pPr>
    </w:p>
    <w:p w:rsidR="00200FDA" w:rsidRDefault="00F76C4C">
      <w:pPr>
        <w:spacing w:line="276" w:lineRule="auto"/>
        <w:ind w:left="139" w:right="5085"/>
        <w:jc w:val="both"/>
        <w:rPr>
          <w:sz w:val="21"/>
        </w:rPr>
      </w:pPr>
      <w:r>
        <w:rPr>
          <w:sz w:val="21"/>
        </w:rPr>
        <w:t>First, supporters of LGBTQ youth should recognize that every country – including the US – has multiple cultures with diverse values,</w:t>
      </w:r>
      <w:r>
        <w:rPr>
          <w:sz w:val="21"/>
        </w:rPr>
        <w:t xml:space="preserve"> and that foreign-born youth blend these cultures differently across generations, regions, and families. Further, racial oppression (including assimilation pressures, colonization, forced migration, and inequitable systems</w:t>
      </w:r>
      <w:r>
        <w:rPr>
          <w:spacing w:val="33"/>
          <w:sz w:val="21"/>
        </w:rPr>
        <w:t xml:space="preserve"> </w:t>
      </w:r>
      <w:r>
        <w:rPr>
          <w:sz w:val="21"/>
        </w:rPr>
        <w:t>of</w:t>
      </w:r>
      <w:r>
        <w:rPr>
          <w:spacing w:val="35"/>
          <w:sz w:val="21"/>
        </w:rPr>
        <w:t xml:space="preserve"> </w:t>
      </w:r>
      <w:r>
        <w:rPr>
          <w:sz w:val="21"/>
        </w:rPr>
        <w:t>family</w:t>
      </w:r>
      <w:r>
        <w:rPr>
          <w:spacing w:val="35"/>
          <w:sz w:val="21"/>
        </w:rPr>
        <w:t xml:space="preserve"> </w:t>
      </w:r>
      <w:r>
        <w:rPr>
          <w:sz w:val="21"/>
        </w:rPr>
        <w:t>separation,</w:t>
      </w:r>
      <w:r>
        <w:rPr>
          <w:spacing w:val="34"/>
          <w:sz w:val="21"/>
        </w:rPr>
        <w:t xml:space="preserve"> </w:t>
      </w:r>
      <w:r>
        <w:rPr>
          <w:sz w:val="21"/>
        </w:rPr>
        <w:t>adoption,</w:t>
      </w:r>
      <w:r>
        <w:rPr>
          <w:spacing w:val="34"/>
          <w:sz w:val="21"/>
        </w:rPr>
        <w:t xml:space="preserve"> </w:t>
      </w:r>
      <w:r>
        <w:rPr>
          <w:sz w:val="21"/>
        </w:rPr>
        <w:t>and</w:t>
      </w:r>
      <w:r>
        <w:rPr>
          <w:spacing w:val="35"/>
          <w:sz w:val="21"/>
        </w:rPr>
        <w:t xml:space="preserve"> </w:t>
      </w:r>
      <w:r>
        <w:rPr>
          <w:spacing w:val="-2"/>
          <w:sz w:val="21"/>
        </w:rPr>
        <w:t>foster</w:t>
      </w:r>
    </w:p>
    <w:p w:rsidR="00200FDA" w:rsidRDefault="00F76C4C">
      <w:pPr>
        <w:spacing w:before="1" w:line="276" w:lineRule="auto"/>
        <w:ind w:left="139" w:right="110"/>
        <w:jc w:val="both"/>
        <w:rPr>
          <w:sz w:val="21"/>
        </w:rPr>
      </w:pPr>
      <w:r>
        <w:rPr>
          <w:sz w:val="21"/>
        </w:rPr>
        <w:t>care) can disconnect BIPOC youth and families from their heritage cultures. Thus, supporters should avoid assuming</w:t>
      </w:r>
      <w:r>
        <w:rPr>
          <w:spacing w:val="-5"/>
          <w:sz w:val="21"/>
        </w:rPr>
        <w:t xml:space="preserve"> </w:t>
      </w:r>
      <w:r>
        <w:rPr>
          <w:sz w:val="21"/>
        </w:rPr>
        <w:t>that</w:t>
      </w:r>
      <w:r>
        <w:rPr>
          <w:spacing w:val="-5"/>
          <w:sz w:val="21"/>
        </w:rPr>
        <w:t xml:space="preserve"> </w:t>
      </w:r>
      <w:r>
        <w:rPr>
          <w:sz w:val="21"/>
        </w:rPr>
        <w:t>all</w:t>
      </w:r>
      <w:r>
        <w:rPr>
          <w:spacing w:val="-5"/>
          <w:sz w:val="21"/>
        </w:rPr>
        <w:t xml:space="preserve"> </w:t>
      </w:r>
      <w:r>
        <w:rPr>
          <w:sz w:val="21"/>
        </w:rPr>
        <w:t>foreign-born</w:t>
      </w:r>
      <w:r>
        <w:rPr>
          <w:spacing w:val="-5"/>
          <w:sz w:val="21"/>
        </w:rPr>
        <w:t xml:space="preserve"> </w:t>
      </w:r>
      <w:r>
        <w:rPr>
          <w:sz w:val="21"/>
        </w:rPr>
        <w:t>youth</w:t>
      </w:r>
      <w:r>
        <w:rPr>
          <w:spacing w:val="-5"/>
          <w:sz w:val="21"/>
        </w:rPr>
        <w:t xml:space="preserve"> </w:t>
      </w:r>
      <w:r>
        <w:rPr>
          <w:sz w:val="21"/>
        </w:rPr>
        <w:t>have</w:t>
      </w:r>
      <w:r>
        <w:rPr>
          <w:spacing w:val="-4"/>
          <w:sz w:val="21"/>
        </w:rPr>
        <w:t xml:space="preserve"> </w:t>
      </w:r>
      <w:r>
        <w:rPr>
          <w:sz w:val="21"/>
        </w:rPr>
        <w:t>the</w:t>
      </w:r>
      <w:r>
        <w:rPr>
          <w:spacing w:val="-4"/>
          <w:sz w:val="21"/>
        </w:rPr>
        <w:t xml:space="preserve"> </w:t>
      </w:r>
      <w:r>
        <w:rPr>
          <w:sz w:val="21"/>
        </w:rPr>
        <w:t>same</w:t>
      </w:r>
      <w:r>
        <w:rPr>
          <w:spacing w:val="-4"/>
          <w:sz w:val="21"/>
        </w:rPr>
        <w:t xml:space="preserve"> </w:t>
      </w:r>
      <w:r>
        <w:rPr>
          <w:sz w:val="21"/>
        </w:rPr>
        <w:t>cultural</w:t>
      </w:r>
      <w:r>
        <w:rPr>
          <w:spacing w:val="-5"/>
          <w:sz w:val="21"/>
        </w:rPr>
        <w:t xml:space="preserve"> </w:t>
      </w:r>
      <w:r>
        <w:rPr>
          <w:sz w:val="21"/>
        </w:rPr>
        <w:t>values</w:t>
      </w:r>
      <w:r>
        <w:rPr>
          <w:spacing w:val="-5"/>
          <w:sz w:val="21"/>
        </w:rPr>
        <w:t xml:space="preserve"> </w:t>
      </w:r>
      <w:r>
        <w:rPr>
          <w:sz w:val="21"/>
        </w:rPr>
        <w:t>or</w:t>
      </w:r>
      <w:r>
        <w:rPr>
          <w:spacing w:val="-4"/>
          <w:sz w:val="21"/>
        </w:rPr>
        <w:t xml:space="preserve"> </w:t>
      </w:r>
      <w:r>
        <w:rPr>
          <w:sz w:val="21"/>
        </w:rPr>
        <w:t>that</w:t>
      </w:r>
      <w:r>
        <w:rPr>
          <w:spacing w:val="-5"/>
          <w:sz w:val="21"/>
        </w:rPr>
        <w:t xml:space="preserve"> </w:t>
      </w:r>
      <w:r>
        <w:rPr>
          <w:sz w:val="21"/>
        </w:rPr>
        <w:t>they</w:t>
      </w:r>
      <w:r>
        <w:rPr>
          <w:spacing w:val="-4"/>
          <w:sz w:val="21"/>
        </w:rPr>
        <w:t xml:space="preserve"> </w:t>
      </w:r>
      <w:r>
        <w:rPr>
          <w:sz w:val="21"/>
        </w:rPr>
        <w:t>are</w:t>
      </w:r>
      <w:r>
        <w:rPr>
          <w:spacing w:val="-4"/>
          <w:sz w:val="21"/>
        </w:rPr>
        <w:t xml:space="preserve"> </w:t>
      </w:r>
      <w:r>
        <w:rPr>
          <w:sz w:val="21"/>
        </w:rPr>
        <w:t>comfortably</w:t>
      </w:r>
      <w:r>
        <w:rPr>
          <w:spacing w:val="-4"/>
          <w:sz w:val="21"/>
        </w:rPr>
        <w:t xml:space="preserve"> </w:t>
      </w:r>
      <w:r>
        <w:rPr>
          <w:sz w:val="21"/>
        </w:rPr>
        <w:t>connected</w:t>
      </w:r>
      <w:r>
        <w:rPr>
          <w:spacing w:val="-7"/>
          <w:sz w:val="21"/>
        </w:rPr>
        <w:t xml:space="preserve"> </w:t>
      </w:r>
      <w:r>
        <w:rPr>
          <w:sz w:val="21"/>
        </w:rPr>
        <w:t>with their heritage cultures. Ins</w:t>
      </w:r>
      <w:r>
        <w:rPr>
          <w:sz w:val="21"/>
        </w:rPr>
        <w:t xml:space="preserve">tead, supporters should recognize that each individual has their own relationship to </w:t>
      </w:r>
      <w:r>
        <w:rPr>
          <w:spacing w:val="-2"/>
          <w:sz w:val="21"/>
        </w:rPr>
        <w:t>culture.</w:t>
      </w:r>
    </w:p>
    <w:p w:rsidR="00200FDA" w:rsidRDefault="00200FDA">
      <w:pPr>
        <w:pStyle w:val="BodyText"/>
        <w:spacing w:before="7"/>
        <w:rPr>
          <w:sz w:val="19"/>
        </w:rPr>
      </w:pPr>
    </w:p>
    <w:p w:rsidR="00200FDA" w:rsidRDefault="00F76C4C">
      <w:pPr>
        <w:spacing w:line="276" w:lineRule="auto"/>
        <w:ind w:left="139" w:right="111"/>
        <w:jc w:val="both"/>
        <w:rPr>
          <w:sz w:val="21"/>
        </w:rPr>
      </w:pPr>
      <w:r>
        <w:rPr>
          <w:sz w:val="21"/>
        </w:rPr>
        <w:t>Second, the Commission urges supporters not to place Western standards of mental health or LGBTQ identity upon</w:t>
      </w:r>
      <w:r>
        <w:rPr>
          <w:spacing w:val="-4"/>
          <w:sz w:val="21"/>
        </w:rPr>
        <w:t xml:space="preserve"> </w:t>
      </w:r>
      <w:r>
        <w:rPr>
          <w:sz w:val="21"/>
        </w:rPr>
        <w:t>all</w:t>
      </w:r>
      <w:r>
        <w:rPr>
          <w:spacing w:val="-4"/>
          <w:sz w:val="21"/>
        </w:rPr>
        <w:t xml:space="preserve"> </w:t>
      </w:r>
      <w:r>
        <w:rPr>
          <w:sz w:val="21"/>
        </w:rPr>
        <w:t>youth.</w:t>
      </w:r>
      <w:r>
        <w:rPr>
          <w:spacing w:val="-4"/>
          <w:sz w:val="21"/>
        </w:rPr>
        <w:t xml:space="preserve"> </w:t>
      </w:r>
      <w:r>
        <w:rPr>
          <w:color w:val="1C1D1E"/>
          <w:sz w:val="21"/>
        </w:rPr>
        <w:t>One</w:t>
      </w:r>
      <w:r>
        <w:rPr>
          <w:color w:val="1C1D1E"/>
          <w:spacing w:val="-3"/>
          <w:sz w:val="21"/>
        </w:rPr>
        <w:t xml:space="preserve"> </w:t>
      </w:r>
      <w:r>
        <w:rPr>
          <w:color w:val="1C1D1E"/>
          <w:sz w:val="21"/>
        </w:rPr>
        <w:t>example</w:t>
      </w:r>
      <w:r>
        <w:rPr>
          <w:color w:val="1C1D1E"/>
          <w:spacing w:val="-5"/>
          <w:sz w:val="21"/>
        </w:rPr>
        <w:t xml:space="preserve"> </w:t>
      </w:r>
      <w:r>
        <w:rPr>
          <w:color w:val="1C1D1E"/>
          <w:sz w:val="21"/>
        </w:rPr>
        <w:t>is</w:t>
      </w:r>
      <w:r>
        <w:rPr>
          <w:color w:val="1C1D1E"/>
          <w:spacing w:val="-4"/>
          <w:sz w:val="21"/>
        </w:rPr>
        <w:t xml:space="preserve"> </w:t>
      </w:r>
      <w:r>
        <w:rPr>
          <w:color w:val="1C1D1E"/>
          <w:sz w:val="21"/>
        </w:rPr>
        <w:t>to</w:t>
      </w:r>
      <w:r>
        <w:rPr>
          <w:color w:val="1C1D1E"/>
          <w:spacing w:val="-4"/>
          <w:sz w:val="21"/>
        </w:rPr>
        <w:t xml:space="preserve"> </w:t>
      </w:r>
      <w:r>
        <w:rPr>
          <w:color w:val="1C1D1E"/>
          <w:sz w:val="21"/>
        </w:rPr>
        <w:t>avoid</w:t>
      </w:r>
      <w:r>
        <w:rPr>
          <w:color w:val="1C1D1E"/>
          <w:spacing w:val="-4"/>
          <w:sz w:val="21"/>
        </w:rPr>
        <w:t xml:space="preserve"> </w:t>
      </w:r>
      <w:r>
        <w:rPr>
          <w:color w:val="1C1D1E"/>
          <w:sz w:val="21"/>
        </w:rPr>
        <w:t>assuming</w:t>
      </w:r>
      <w:r>
        <w:rPr>
          <w:color w:val="1C1D1E"/>
          <w:spacing w:val="-4"/>
          <w:sz w:val="21"/>
        </w:rPr>
        <w:t xml:space="preserve"> </w:t>
      </w:r>
      <w:r>
        <w:rPr>
          <w:color w:val="1C1D1E"/>
          <w:sz w:val="21"/>
        </w:rPr>
        <w:t>that</w:t>
      </w:r>
      <w:r>
        <w:rPr>
          <w:color w:val="1C1D1E"/>
          <w:spacing w:val="-2"/>
          <w:sz w:val="21"/>
        </w:rPr>
        <w:t xml:space="preserve"> </w:t>
      </w:r>
      <w:r>
        <w:rPr>
          <w:color w:val="1C1D1E"/>
          <w:sz w:val="21"/>
        </w:rPr>
        <w:t>youth</w:t>
      </w:r>
      <w:r>
        <w:rPr>
          <w:color w:val="1C1D1E"/>
          <w:spacing w:val="-4"/>
          <w:sz w:val="21"/>
        </w:rPr>
        <w:t xml:space="preserve"> </w:t>
      </w:r>
      <w:r>
        <w:rPr>
          <w:color w:val="1C1D1E"/>
          <w:sz w:val="21"/>
        </w:rPr>
        <w:t>want</w:t>
      </w:r>
      <w:r>
        <w:rPr>
          <w:color w:val="1C1D1E"/>
          <w:spacing w:val="-4"/>
          <w:sz w:val="21"/>
        </w:rPr>
        <w:t xml:space="preserve"> </w:t>
      </w:r>
      <w:r>
        <w:rPr>
          <w:color w:val="1C1D1E"/>
          <w:sz w:val="21"/>
        </w:rPr>
        <w:t>to</w:t>
      </w:r>
      <w:r>
        <w:rPr>
          <w:color w:val="1C1D1E"/>
          <w:spacing w:val="-4"/>
          <w:sz w:val="21"/>
        </w:rPr>
        <w:t xml:space="preserve"> </w:t>
      </w:r>
      <w:r>
        <w:rPr>
          <w:color w:val="1C1D1E"/>
          <w:sz w:val="21"/>
        </w:rPr>
        <w:t>eventually</w:t>
      </w:r>
      <w:r>
        <w:rPr>
          <w:color w:val="1C1D1E"/>
          <w:spacing w:val="-3"/>
          <w:sz w:val="21"/>
        </w:rPr>
        <w:t xml:space="preserve"> </w:t>
      </w:r>
      <w:r>
        <w:rPr>
          <w:color w:val="1C1D1E"/>
          <w:sz w:val="21"/>
        </w:rPr>
        <w:t>“come</w:t>
      </w:r>
      <w:r>
        <w:rPr>
          <w:color w:val="1C1D1E"/>
          <w:spacing w:val="-3"/>
          <w:sz w:val="21"/>
        </w:rPr>
        <w:t xml:space="preserve"> </w:t>
      </w:r>
      <w:r>
        <w:rPr>
          <w:color w:val="1C1D1E"/>
          <w:sz w:val="21"/>
        </w:rPr>
        <w:t>out,”</w:t>
      </w:r>
      <w:r>
        <w:rPr>
          <w:color w:val="1C1D1E"/>
          <w:spacing w:val="-3"/>
          <w:sz w:val="21"/>
        </w:rPr>
        <w:t xml:space="preserve"> </w:t>
      </w:r>
      <w:r>
        <w:rPr>
          <w:color w:val="1C1D1E"/>
          <w:sz w:val="21"/>
        </w:rPr>
        <w:t>since</w:t>
      </w:r>
      <w:r>
        <w:rPr>
          <w:color w:val="1C1D1E"/>
          <w:spacing w:val="-3"/>
          <w:sz w:val="21"/>
        </w:rPr>
        <w:t xml:space="preserve"> </w:t>
      </w:r>
      <w:r>
        <w:rPr>
          <w:color w:val="1C1D1E"/>
          <w:sz w:val="21"/>
        </w:rPr>
        <w:t>this</w:t>
      </w:r>
      <w:r>
        <w:rPr>
          <w:color w:val="1C1D1E"/>
          <w:spacing w:val="-4"/>
          <w:sz w:val="21"/>
        </w:rPr>
        <w:t xml:space="preserve"> </w:t>
      </w:r>
      <w:r>
        <w:rPr>
          <w:color w:val="1C1D1E"/>
          <w:sz w:val="21"/>
        </w:rPr>
        <w:t>does</w:t>
      </w:r>
      <w:r>
        <w:rPr>
          <w:color w:val="1C1D1E"/>
          <w:spacing w:val="-4"/>
          <w:sz w:val="21"/>
        </w:rPr>
        <w:t xml:space="preserve"> </w:t>
      </w:r>
      <w:r>
        <w:rPr>
          <w:color w:val="1C1D1E"/>
          <w:sz w:val="21"/>
        </w:rPr>
        <w:t>not fit</w:t>
      </w:r>
      <w:r>
        <w:rPr>
          <w:color w:val="1C1D1E"/>
          <w:spacing w:val="-10"/>
          <w:sz w:val="21"/>
        </w:rPr>
        <w:t xml:space="preserve"> </w:t>
      </w:r>
      <w:r>
        <w:rPr>
          <w:color w:val="1C1D1E"/>
          <w:sz w:val="21"/>
        </w:rPr>
        <w:t>all</w:t>
      </w:r>
      <w:r>
        <w:rPr>
          <w:color w:val="1C1D1E"/>
          <w:spacing w:val="-10"/>
          <w:sz w:val="21"/>
        </w:rPr>
        <w:t xml:space="preserve"> </w:t>
      </w:r>
      <w:r>
        <w:rPr>
          <w:color w:val="1C1D1E"/>
          <w:sz w:val="21"/>
        </w:rPr>
        <w:t>cultural</w:t>
      </w:r>
      <w:r>
        <w:rPr>
          <w:color w:val="1C1D1E"/>
          <w:spacing w:val="-10"/>
          <w:sz w:val="21"/>
        </w:rPr>
        <w:t xml:space="preserve"> </w:t>
      </w:r>
      <w:r>
        <w:rPr>
          <w:color w:val="1C1D1E"/>
          <w:sz w:val="21"/>
        </w:rPr>
        <w:t>norms.</w:t>
      </w:r>
      <w:r>
        <w:rPr>
          <w:color w:val="1C1D1E"/>
          <w:spacing w:val="-10"/>
          <w:sz w:val="21"/>
        </w:rPr>
        <w:t xml:space="preserve"> </w:t>
      </w:r>
      <w:r>
        <w:rPr>
          <w:color w:val="1C1D1E"/>
          <w:sz w:val="21"/>
        </w:rPr>
        <w:t>In</w:t>
      </w:r>
      <w:r>
        <w:rPr>
          <w:color w:val="1C1D1E"/>
          <w:spacing w:val="-12"/>
          <w:sz w:val="21"/>
        </w:rPr>
        <w:t xml:space="preserve"> </w:t>
      </w:r>
      <w:r>
        <w:rPr>
          <w:color w:val="1C1D1E"/>
          <w:sz w:val="21"/>
        </w:rPr>
        <w:t>Hong</w:t>
      </w:r>
      <w:r>
        <w:rPr>
          <w:color w:val="1C1D1E"/>
          <w:spacing w:val="-10"/>
          <w:sz w:val="21"/>
        </w:rPr>
        <w:t xml:space="preserve"> </w:t>
      </w:r>
      <w:r>
        <w:rPr>
          <w:color w:val="1C1D1E"/>
          <w:sz w:val="21"/>
        </w:rPr>
        <w:t>Kong,</w:t>
      </w:r>
      <w:r>
        <w:rPr>
          <w:color w:val="1C1D1E"/>
          <w:spacing w:val="-9"/>
          <w:sz w:val="21"/>
        </w:rPr>
        <w:t xml:space="preserve"> </w:t>
      </w:r>
      <w:r>
        <w:rPr>
          <w:color w:val="1C1D1E"/>
          <w:sz w:val="21"/>
        </w:rPr>
        <w:t>some</w:t>
      </w:r>
      <w:r>
        <w:rPr>
          <w:color w:val="1C1D1E"/>
          <w:spacing w:val="-11"/>
          <w:sz w:val="21"/>
        </w:rPr>
        <w:t xml:space="preserve"> </w:t>
      </w:r>
      <w:r>
        <w:rPr>
          <w:color w:val="1C1D1E"/>
          <w:sz w:val="21"/>
        </w:rPr>
        <w:t>use</w:t>
      </w:r>
      <w:r>
        <w:rPr>
          <w:color w:val="1C1D1E"/>
          <w:spacing w:val="-9"/>
          <w:sz w:val="21"/>
        </w:rPr>
        <w:t xml:space="preserve"> </w:t>
      </w:r>
      <w:r>
        <w:rPr>
          <w:color w:val="1C1D1E"/>
          <w:sz w:val="21"/>
        </w:rPr>
        <w:t>the</w:t>
      </w:r>
      <w:r>
        <w:rPr>
          <w:color w:val="1C1D1E"/>
          <w:spacing w:val="-9"/>
          <w:sz w:val="21"/>
        </w:rPr>
        <w:t xml:space="preserve"> </w:t>
      </w:r>
      <w:r>
        <w:rPr>
          <w:color w:val="1C1D1E"/>
          <w:sz w:val="21"/>
        </w:rPr>
        <w:t>“coming</w:t>
      </w:r>
      <w:r>
        <w:rPr>
          <w:color w:val="1C1D1E"/>
          <w:spacing w:val="-12"/>
          <w:sz w:val="21"/>
        </w:rPr>
        <w:t xml:space="preserve"> </w:t>
      </w:r>
      <w:r>
        <w:rPr>
          <w:color w:val="1C1D1E"/>
          <w:sz w:val="21"/>
        </w:rPr>
        <w:t>home”</w:t>
      </w:r>
      <w:r>
        <w:rPr>
          <w:color w:val="1C1D1E"/>
          <w:spacing w:val="-11"/>
          <w:sz w:val="21"/>
        </w:rPr>
        <w:t xml:space="preserve"> </w:t>
      </w:r>
      <w:r>
        <w:rPr>
          <w:color w:val="1C1D1E"/>
          <w:sz w:val="21"/>
        </w:rPr>
        <w:t>method</w:t>
      </w:r>
      <w:r>
        <w:rPr>
          <w:color w:val="1C1D1E"/>
          <w:spacing w:val="-10"/>
          <w:sz w:val="21"/>
        </w:rPr>
        <w:t xml:space="preserve"> </w:t>
      </w:r>
      <w:r>
        <w:rPr>
          <w:color w:val="1C1D1E"/>
          <w:sz w:val="21"/>
        </w:rPr>
        <w:t>of</w:t>
      </w:r>
      <w:r>
        <w:rPr>
          <w:color w:val="1C1D1E"/>
          <w:spacing w:val="-11"/>
          <w:sz w:val="21"/>
        </w:rPr>
        <w:t xml:space="preserve"> </w:t>
      </w:r>
      <w:r>
        <w:rPr>
          <w:color w:val="1C1D1E"/>
          <w:sz w:val="21"/>
        </w:rPr>
        <w:t>simply</w:t>
      </w:r>
      <w:r>
        <w:rPr>
          <w:color w:val="1C1D1E"/>
          <w:spacing w:val="-9"/>
          <w:sz w:val="21"/>
        </w:rPr>
        <w:t xml:space="preserve"> </w:t>
      </w:r>
      <w:r>
        <w:rPr>
          <w:color w:val="1C1D1E"/>
          <w:sz w:val="21"/>
        </w:rPr>
        <w:t>bringing</w:t>
      </w:r>
      <w:r>
        <w:rPr>
          <w:color w:val="1C1D1E"/>
          <w:spacing w:val="-10"/>
          <w:sz w:val="21"/>
        </w:rPr>
        <w:t xml:space="preserve"> </w:t>
      </w:r>
      <w:r>
        <w:rPr>
          <w:color w:val="1C1D1E"/>
          <w:sz w:val="21"/>
        </w:rPr>
        <w:t>their</w:t>
      </w:r>
      <w:r>
        <w:rPr>
          <w:color w:val="1C1D1E"/>
          <w:spacing w:val="-8"/>
          <w:sz w:val="21"/>
        </w:rPr>
        <w:t xml:space="preserve"> </w:t>
      </w:r>
      <w:r>
        <w:rPr>
          <w:color w:val="1C1D1E"/>
          <w:sz w:val="21"/>
        </w:rPr>
        <w:t>partners</w:t>
      </w:r>
      <w:r>
        <w:rPr>
          <w:color w:val="1C1D1E"/>
          <w:spacing w:val="-10"/>
          <w:sz w:val="21"/>
        </w:rPr>
        <w:t xml:space="preserve"> </w:t>
      </w:r>
      <w:r>
        <w:rPr>
          <w:color w:val="1C1D1E"/>
          <w:sz w:val="21"/>
        </w:rPr>
        <w:t>home instead, forgoing a direct conversation or declaration.</w:t>
      </w:r>
      <w:hyperlink w:anchor="_bookmark286" w:history="1">
        <w:r>
          <w:rPr>
            <w:color w:val="1C1D1E"/>
            <w:sz w:val="21"/>
            <w:vertAlign w:val="superscript"/>
          </w:rPr>
          <w:t>32</w:t>
        </w:r>
      </w:hyperlink>
      <w:r>
        <w:rPr>
          <w:color w:val="1C1D1E"/>
          <w:spacing w:val="-3"/>
          <w:sz w:val="21"/>
        </w:rPr>
        <w:t xml:space="preserve"> </w:t>
      </w:r>
      <w:r>
        <w:rPr>
          <w:sz w:val="21"/>
        </w:rPr>
        <w:t>Another example is to remember that mental health is expressed</w:t>
      </w:r>
      <w:r>
        <w:rPr>
          <w:spacing w:val="-11"/>
          <w:sz w:val="21"/>
        </w:rPr>
        <w:t xml:space="preserve"> </w:t>
      </w:r>
      <w:r>
        <w:rPr>
          <w:sz w:val="21"/>
        </w:rPr>
        <w:t>differently</w:t>
      </w:r>
      <w:r>
        <w:rPr>
          <w:spacing w:val="-10"/>
          <w:sz w:val="21"/>
        </w:rPr>
        <w:t xml:space="preserve"> </w:t>
      </w:r>
      <w:r>
        <w:rPr>
          <w:sz w:val="21"/>
        </w:rPr>
        <w:t>across</w:t>
      </w:r>
      <w:r>
        <w:rPr>
          <w:spacing w:val="-12"/>
          <w:sz w:val="21"/>
        </w:rPr>
        <w:t xml:space="preserve"> </w:t>
      </w:r>
      <w:r>
        <w:rPr>
          <w:sz w:val="21"/>
        </w:rPr>
        <w:t>cultures.</w:t>
      </w:r>
      <w:r>
        <w:rPr>
          <w:spacing w:val="-11"/>
          <w:sz w:val="21"/>
        </w:rPr>
        <w:t xml:space="preserve"> </w:t>
      </w:r>
      <w:r>
        <w:rPr>
          <w:sz w:val="21"/>
        </w:rPr>
        <w:t>Asian</w:t>
      </w:r>
      <w:r>
        <w:rPr>
          <w:spacing w:val="-11"/>
          <w:sz w:val="21"/>
        </w:rPr>
        <w:t xml:space="preserve"> </w:t>
      </w:r>
      <w:r>
        <w:rPr>
          <w:sz w:val="21"/>
        </w:rPr>
        <w:t>Americans</w:t>
      </w:r>
      <w:r>
        <w:rPr>
          <w:spacing w:val="-12"/>
          <w:sz w:val="21"/>
        </w:rPr>
        <w:t xml:space="preserve"> </w:t>
      </w:r>
      <w:r>
        <w:rPr>
          <w:sz w:val="21"/>
        </w:rPr>
        <w:t>are</w:t>
      </w:r>
      <w:r>
        <w:rPr>
          <w:spacing w:val="-10"/>
          <w:sz w:val="21"/>
        </w:rPr>
        <w:t xml:space="preserve"> </w:t>
      </w:r>
      <w:r>
        <w:rPr>
          <w:sz w:val="21"/>
        </w:rPr>
        <w:t>more</w:t>
      </w:r>
      <w:r>
        <w:rPr>
          <w:spacing w:val="-10"/>
          <w:sz w:val="21"/>
        </w:rPr>
        <w:t xml:space="preserve"> </w:t>
      </w:r>
      <w:r>
        <w:rPr>
          <w:sz w:val="21"/>
        </w:rPr>
        <w:t>likely</w:t>
      </w:r>
      <w:r>
        <w:rPr>
          <w:spacing w:val="-10"/>
          <w:sz w:val="21"/>
        </w:rPr>
        <w:t xml:space="preserve"> </w:t>
      </w:r>
      <w:r>
        <w:rPr>
          <w:sz w:val="21"/>
        </w:rPr>
        <w:t>to</w:t>
      </w:r>
      <w:r>
        <w:rPr>
          <w:spacing w:val="-12"/>
          <w:sz w:val="21"/>
        </w:rPr>
        <w:t xml:space="preserve"> </w:t>
      </w:r>
      <w:r>
        <w:rPr>
          <w:sz w:val="21"/>
        </w:rPr>
        <w:t>express</w:t>
      </w:r>
      <w:r>
        <w:rPr>
          <w:spacing w:val="-12"/>
          <w:sz w:val="21"/>
        </w:rPr>
        <w:t xml:space="preserve"> </w:t>
      </w:r>
      <w:r>
        <w:rPr>
          <w:sz w:val="21"/>
        </w:rPr>
        <w:t>mental</w:t>
      </w:r>
      <w:r>
        <w:rPr>
          <w:spacing w:val="-11"/>
          <w:sz w:val="21"/>
        </w:rPr>
        <w:t xml:space="preserve"> </w:t>
      </w:r>
      <w:r>
        <w:rPr>
          <w:sz w:val="21"/>
        </w:rPr>
        <w:t>health</w:t>
      </w:r>
      <w:r>
        <w:rPr>
          <w:spacing w:val="-11"/>
          <w:sz w:val="21"/>
        </w:rPr>
        <w:t xml:space="preserve"> </w:t>
      </w:r>
      <w:r>
        <w:rPr>
          <w:sz w:val="21"/>
        </w:rPr>
        <w:t>issues</w:t>
      </w:r>
      <w:r>
        <w:rPr>
          <w:spacing w:val="-12"/>
          <w:sz w:val="21"/>
        </w:rPr>
        <w:t xml:space="preserve"> </w:t>
      </w:r>
      <w:r>
        <w:rPr>
          <w:sz w:val="21"/>
        </w:rPr>
        <w:t>as</w:t>
      </w:r>
      <w:r>
        <w:rPr>
          <w:spacing w:val="-9"/>
          <w:sz w:val="21"/>
        </w:rPr>
        <w:t xml:space="preserve"> </w:t>
      </w:r>
      <w:r>
        <w:rPr>
          <w:sz w:val="21"/>
        </w:rPr>
        <w:t>physical symptoms; when service providers only look for Western signs of distress, these issues go undetected, misdiagnosed, or treated inappropriately.</w:t>
      </w:r>
      <w:hyperlink w:anchor="_bookmark287" w:history="1">
        <w:r>
          <w:rPr>
            <w:color w:val="1C1D1E"/>
            <w:sz w:val="21"/>
            <w:vertAlign w:val="superscript"/>
          </w:rPr>
          <w:t>33</w:t>
        </w:r>
      </w:hyperlink>
    </w:p>
    <w:p w:rsidR="00200FDA" w:rsidRDefault="00200FDA">
      <w:pPr>
        <w:pStyle w:val="BodyText"/>
        <w:spacing w:before="8"/>
        <w:rPr>
          <w:sz w:val="19"/>
        </w:rPr>
      </w:pPr>
    </w:p>
    <w:p w:rsidR="00200FDA" w:rsidRDefault="00F76C4C">
      <w:pPr>
        <w:spacing w:line="276" w:lineRule="auto"/>
        <w:ind w:left="139" w:right="111"/>
        <w:jc w:val="both"/>
        <w:rPr>
          <w:sz w:val="21"/>
        </w:rPr>
      </w:pPr>
      <w:r>
        <w:rPr>
          <w:sz w:val="21"/>
        </w:rPr>
        <w:t>Third, supporters should invest in culturally-responsive, LGBTQ-affi</w:t>
      </w:r>
      <w:r>
        <w:rPr>
          <w:sz w:val="21"/>
        </w:rPr>
        <w:t>rming mental health resources. In 2020, the Trevor</w:t>
      </w:r>
      <w:r>
        <w:rPr>
          <w:spacing w:val="-12"/>
          <w:sz w:val="21"/>
        </w:rPr>
        <w:t xml:space="preserve"> </w:t>
      </w:r>
      <w:r>
        <w:rPr>
          <w:sz w:val="21"/>
        </w:rPr>
        <w:t>Project</w:t>
      </w:r>
      <w:r>
        <w:rPr>
          <w:spacing w:val="-12"/>
          <w:sz w:val="21"/>
        </w:rPr>
        <w:t xml:space="preserve"> </w:t>
      </w:r>
      <w:r>
        <w:rPr>
          <w:sz w:val="21"/>
        </w:rPr>
        <w:t>found</w:t>
      </w:r>
      <w:r>
        <w:rPr>
          <w:spacing w:val="-12"/>
          <w:sz w:val="21"/>
        </w:rPr>
        <w:t xml:space="preserve"> </w:t>
      </w:r>
      <w:r>
        <w:rPr>
          <w:sz w:val="21"/>
        </w:rPr>
        <w:t>that</w:t>
      </w:r>
      <w:r>
        <w:rPr>
          <w:spacing w:val="-12"/>
          <w:sz w:val="21"/>
        </w:rPr>
        <w:t xml:space="preserve"> </w:t>
      </w:r>
      <w:r>
        <w:rPr>
          <w:sz w:val="21"/>
        </w:rPr>
        <w:t>many</w:t>
      </w:r>
      <w:r>
        <w:rPr>
          <w:spacing w:val="-10"/>
          <w:sz w:val="21"/>
        </w:rPr>
        <w:t xml:space="preserve"> </w:t>
      </w:r>
      <w:r>
        <w:rPr>
          <w:sz w:val="21"/>
        </w:rPr>
        <w:t>LGBTQ</w:t>
      </w:r>
      <w:r>
        <w:rPr>
          <w:spacing w:val="-12"/>
          <w:sz w:val="21"/>
        </w:rPr>
        <w:t xml:space="preserve"> </w:t>
      </w:r>
      <w:r>
        <w:rPr>
          <w:sz w:val="21"/>
        </w:rPr>
        <w:t>youth</w:t>
      </w:r>
      <w:r>
        <w:rPr>
          <w:spacing w:val="-11"/>
          <w:sz w:val="21"/>
        </w:rPr>
        <w:t xml:space="preserve"> </w:t>
      </w:r>
      <w:r>
        <w:rPr>
          <w:sz w:val="21"/>
        </w:rPr>
        <w:t>did</w:t>
      </w:r>
      <w:r>
        <w:rPr>
          <w:spacing w:val="-11"/>
          <w:sz w:val="21"/>
        </w:rPr>
        <w:t xml:space="preserve"> </w:t>
      </w:r>
      <w:r>
        <w:rPr>
          <w:sz w:val="21"/>
        </w:rPr>
        <w:t>not</w:t>
      </w:r>
      <w:r>
        <w:rPr>
          <w:spacing w:val="-12"/>
          <w:sz w:val="21"/>
        </w:rPr>
        <w:t xml:space="preserve"> </w:t>
      </w:r>
      <w:r>
        <w:rPr>
          <w:sz w:val="21"/>
        </w:rPr>
        <w:t>access</w:t>
      </w:r>
      <w:r>
        <w:rPr>
          <w:spacing w:val="-12"/>
          <w:sz w:val="21"/>
        </w:rPr>
        <w:t xml:space="preserve"> </w:t>
      </w:r>
      <w:r>
        <w:rPr>
          <w:sz w:val="21"/>
        </w:rPr>
        <w:t>mental</w:t>
      </w:r>
      <w:r>
        <w:rPr>
          <w:spacing w:val="-11"/>
          <w:sz w:val="21"/>
        </w:rPr>
        <w:t xml:space="preserve"> </w:t>
      </w:r>
      <w:r>
        <w:rPr>
          <w:sz w:val="21"/>
        </w:rPr>
        <w:t>healthcare</w:t>
      </w:r>
      <w:r>
        <w:rPr>
          <w:spacing w:val="-10"/>
          <w:sz w:val="21"/>
        </w:rPr>
        <w:t xml:space="preserve"> </w:t>
      </w:r>
      <w:r>
        <w:rPr>
          <w:sz w:val="21"/>
        </w:rPr>
        <w:t>because</w:t>
      </w:r>
      <w:r>
        <w:rPr>
          <w:spacing w:val="-10"/>
          <w:sz w:val="21"/>
        </w:rPr>
        <w:t xml:space="preserve"> </w:t>
      </w:r>
      <w:r>
        <w:rPr>
          <w:sz w:val="21"/>
        </w:rPr>
        <w:t>they</w:t>
      </w:r>
      <w:r>
        <w:rPr>
          <w:spacing w:val="-10"/>
          <w:sz w:val="21"/>
        </w:rPr>
        <w:t xml:space="preserve"> </w:t>
      </w:r>
      <w:r>
        <w:rPr>
          <w:sz w:val="21"/>
        </w:rPr>
        <w:t>faced</w:t>
      </w:r>
      <w:r>
        <w:rPr>
          <w:spacing w:val="-11"/>
          <w:sz w:val="21"/>
        </w:rPr>
        <w:t xml:space="preserve"> </w:t>
      </w:r>
      <w:r>
        <w:rPr>
          <w:sz w:val="21"/>
        </w:rPr>
        <w:t>mental</w:t>
      </w:r>
      <w:r>
        <w:rPr>
          <w:spacing w:val="-11"/>
          <w:sz w:val="21"/>
        </w:rPr>
        <w:t xml:space="preserve"> </w:t>
      </w:r>
      <w:r>
        <w:rPr>
          <w:sz w:val="21"/>
        </w:rPr>
        <w:t>health stigma</w:t>
      </w:r>
      <w:r>
        <w:rPr>
          <w:spacing w:val="-5"/>
          <w:sz w:val="21"/>
        </w:rPr>
        <w:t xml:space="preserve"> </w:t>
      </w:r>
      <w:r>
        <w:rPr>
          <w:sz w:val="21"/>
        </w:rPr>
        <w:t>in</w:t>
      </w:r>
      <w:r>
        <w:rPr>
          <w:spacing w:val="-5"/>
          <w:sz w:val="21"/>
        </w:rPr>
        <w:t xml:space="preserve"> </w:t>
      </w:r>
      <w:r>
        <w:rPr>
          <w:sz w:val="21"/>
        </w:rPr>
        <w:t>their</w:t>
      </w:r>
      <w:r>
        <w:rPr>
          <w:spacing w:val="-6"/>
          <w:sz w:val="21"/>
        </w:rPr>
        <w:t xml:space="preserve"> </w:t>
      </w:r>
      <w:r>
        <w:rPr>
          <w:sz w:val="21"/>
        </w:rPr>
        <w:t>communities</w:t>
      </w:r>
      <w:r>
        <w:rPr>
          <w:spacing w:val="-8"/>
          <w:sz w:val="21"/>
        </w:rPr>
        <w:t xml:space="preserve"> </w:t>
      </w:r>
      <w:r>
        <w:rPr>
          <w:sz w:val="21"/>
        </w:rPr>
        <w:t>or</w:t>
      </w:r>
      <w:r>
        <w:rPr>
          <w:spacing w:val="-4"/>
          <w:sz w:val="21"/>
        </w:rPr>
        <w:t xml:space="preserve"> </w:t>
      </w:r>
      <w:r>
        <w:rPr>
          <w:sz w:val="21"/>
        </w:rPr>
        <w:t>worried</w:t>
      </w:r>
      <w:r>
        <w:rPr>
          <w:spacing w:val="-5"/>
          <w:sz w:val="21"/>
        </w:rPr>
        <w:t xml:space="preserve"> </w:t>
      </w:r>
      <w:r>
        <w:rPr>
          <w:sz w:val="21"/>
        </w:rPr>
        <w:t>that</w:t>
      </w:r>
      <w:r>
        <w:rPr>
          <w:spacing w:val="-5"/>
          <w:sz w:val="21"/>
        </w:rPr>
        <w:t xml:space="preserve"> </w:t>
      </w:r>
      <w:r>
        <w:rPr>
          <w:sz w:val="21"/>
        </w:rPr>
        <w:t>providers</w:t>
      </w:r>
      <w:r>
        <w:rPr>
          <w:spacing w:val="-8"/>
          <w:sz w:val="21"/>
        </w:rPr>
        <w:t xml:space="preserve"> </w:t>
      </w:r>
      <w:r>
        <w:rPr>
          <w:sz w:val="21"/>
        </w:rPr>
        <w:t>would</w:t>
      </w:r>
      <w:r>
        <w:rPr>
          <w:spacing w:val="-5"/>
          <w:sz w:val="21"/>
        </w:rPr>
        <w:t xml:space="preserve"> </w:t>
      </w:r>
      <w:r>
        <w:rPr>
          <w:sz w:val="21"/>
        </w:rPr>
        <w:t>not</w:t>
      </w:r>
      <w:r>
        <w:rPr>
          <w:spacing w:val="-5"/>
          <w:sz w:val="21"/>
        </w:rPr>
        <w:t xml:space="preserve"> </w:t>
      </w:r>
      <w:r>
        <w:rPr>
          <w:sz w:val="21"/>
        </w:rPr>
        <w:t>understand</w:t>
      </w:r>
      <w:r>
        <w:rPr>
          <w:spacing w:val="-5"/>
          <w:sz w:val="21"/>
        </w:rPr>
        <w:t xml:space="preserve"> </w:t>
      </w:r>
      <w:r>
        <w:rPr>
          <w:sz w:val="21"/>
        </w:rPr>
        <w:t>the</w:t>
      </w:r>
      <w:r>
        <w:rPr>
          <w:spacing w:val="-6"/>
          <w:sz w:val="21"/>
        </w:rPr>
        <w:t xml:space="preserve"> </w:t>
      </w:r>
      <w:r>
        <w:rPr>
          <w:sz w:val="21"/>
        </w:rPr>
        <w:t>impact</w:t>
      </w:r>
      <w:r>
        <w:rPr>
          <w:spacing w:val="-5"/>
          <w:sz w:val="21"/>
        </w:rPr>
        <w:t xml:space="preserve"> </w:t>
      </w:r>
      <w:r>
        <w:rPr>
          <w:sz w:val="21"/>
        </w:rPr>
        <w:t>of</w:t>
      </w:r>
      <w:r>
        <w:rPr>
          <w:spacing w:val="-4"/>
          <w:sz w:val="21"/>
        </w:rPr>
        <w:t xml:space="preserve"> </w:t>
      </w:r>
      <w:r>
        <w:rPr>
          <w:sz w:val="21"/>
        </w:rPr>
        <w:t>racism</w:t>
      </w:r>
      <w:r>
        <w:rPr>
          <w:spacing w:val="-5"/>
          <w:sz w:val="21"/>
        </w:rPr>
        <w:t xml:space="preserve"> </w:t>
      </w:r>
      <w:r>
        <w:rPr>
          <w:sz w:val="21"/>
        </w:rPr>
        <w:t>and</w:t>
      </w:r>
      <w:r>
        <w:rPr>
          <w:spacing w:val="-7"/>
          <w:sz w:val="21"/>
        </w:rPr>
        <w:t xml:space="preserve"> </w:t>
      </w:r>
      <w:r>
        <w:rPr>
          <w:sz w:val="21"/>
        </w:rPr>
        <w:t>culture</w:t>
      </w:r>
      <w:r>
        <w:rPr>
          <w:spacing w:val="-6"/>
          <w:sz w:val="21"/>
        </w:rPr>
        <w:t xml:space="preserve"> </w:t>
      </w:r>
      <w:r>
        <w:rPr>
          <w:sz w:val="21"/>
        </w:rPr>
        <w:t>in</w:t>
      </w:r>
    </w:p>
    <w:p w:rsidR="00200FDA" w:rsidRDefault="00200FDA">
      <w:pPr>
        <w:spacing w:line="276" w:lineRule="auto"/>
        <w:jc w:val="both"/>
        <w:rPr>
          <w:sz w:val="21"/>
        </w:rPr>
        <w:sectPr w:rsidR="00200FDA">
          <w:pgSz w:w="12240" w:h="15840"/>
          <w:pgMar w:top="1360" w:right="1180" w:bottom="1480" w:left="1300" w:header="761" w:footer="1208" w:gutter="0"/>
          <w:cols w:space="720"/>
        </w:sectPr>
      </w:pPr>
    </w:p>
    <w:p w:rsidR="00200FDA" w:rsidRDefault="00F76C4C">
      <w:pPr>
        <w:spacing w:before="64" w:line="276" w:lineRule="auto"/>
        <w:ind w:left="139" w:right="110"/>
        <w:jc w:val="both"/>
        <w:rPr>
          <w:sz w:val="21"/>
        </w:rPr>
      </w:pPr>
      <w:r>
        <w:rPr>
          <w:sz w:val="21"/>
        </w:rPr>
        <w:lastRenderedPageBreak/>
        <w:t>their</w:t>
      </w:r>
      <w:r>
        <w:rPr>
          <w:spacing w:val="-5"/>
          <w:sz w:val="21"/>
        </w:rPr>
        <w:t xml:space="preserve"> </w:t>
      </w:r>
      <w:r>
        <w:rPr>
          <w:sz w:val="21"/>
        </w:rPr>
        <w:t>lives.</w:t>
      </w:r>
      <w:hyperlink w:anchor="_bookmark288" w:history="1">
        <w:r>
          <w:rPr>
            <w:sz w:val="21"/>
            <w:vertAlign w:val="superscript"/>
          </w:rPr>
          <w:t>34</w:t>
        </w:r>
      </w:hyperlink>
      <w:r>
        <w:rPr>
          <w:spacing w:val="-12"/>
          <w:sz w:val="21"/>
        </w:rPr>
        <w:t xml:space="preserve"> </w:t>
      </w:r>
      <w:r>
        <w:rPr>
          <w:sz w:val="21"/>
        </w:rPr>
        <w:t>Thus, the Commonwealth should</w:t>
      </w:r>
      <w:r>
        <w:rPr>
          <w:spacing w:val="-1"/>
          <w:sz w:val="21"/>
        </w:rPr>
        <w:t xml:space="preserve"> </w:t>
      </w:r>
      <w:r>
        <w:rPr>
          <w:sz w:val="21"/>
        </w:rPr>
        <w:t>invest</w:t>
      </w:r>
      <w:r>
        <w:rPr>
          <w:spacing w:val="-2"/>
          <w:sz w:val="21"/>
        </w:rPr>
        <w:t xml:space="preserve"> </w:t>
      </w:r>
      <w:r>
        <w:rPr>
          <w:sz w:val="21"/>
        </w:rPr>
        <w:t>in providers</w:t>
      </w:r>
      <w:r>
        <w:rPr>
          <w:spacing w:val="-2"/>
          <w:sz w:val="21"/>
        </w:rPr>
        <w:t xml:space="preserve"> </w:t>
      </w:r>
      <w:r>
        <w:rPr>
          <w:sz w:val="21"/>
        </w:rPr>
        <w:t>and</w:t>
      </w:r>
      <w:r>
        <w:rPr>
          <w:spacing w:val="-1"/>
          <w:sz w:val="21"/>
        </w:rPr>
        <w:t xml:space="preserve"> </w:t>
      </w:r>
      <w:r>
        <w:rPr>
          <w:sz w:val="21"/>
        </w:rPr>
        <w:t>services</w:t>
      </w:r>
      <w:r>
        <w:rPr>
          <w:spacing w:val="-2"/>
          <w:sz w:val="21"/>
        </w:rPr>
        <w:t xml:space="preserve"> </w:t>
      </w:r>
      <w:r>
        <w:rPr>
          <w:sz w:val="21"/>
        </w:rPr>
        <w:t>who</w:t>
      </w:r>
      <w:r>
        <w:rPr>
          <w:spacing w:val="-2"/>
          <w:sz w:val="21"/>
        </w:rPr>
        <w:t xml:space="preserve"> </w:t>
      </w:r>
      <w:r>
        <w:rPr>
          <w:sz w:val="21"/>
        </w:rPr>
        <w:t>are culturally</w:t>
      </w:r>
      <w:r>
        <w:rPr>
          <w:spacing w:val="-1"/>
          <w:sz w:val="21"/>
        </w:rPr>
        <w:t xml:space="preserve"> </w:t>
      </w:r>
      <w:r>
        <w:rPr>
          <w:sz w:val="21"/>
        </w:rPr>
        <w:t>representative and multilingual. Language access is especially lacking; before 2021, for instance, bil</w:t>
      </w:r>
      <w:r>
        <w:rPr>
          <w:sz w:val="21"/>
        </w:rPr>
        <w:t>ingual social workers in Boston Public Schools covered almost double the schools as their monolingual peers, at 25 schools per professional.</w:t>
      </w:r>
      <w:hyperlink w:anchor="_bookmark289" w:history="1">
        <w:r>
          <w:rPr>
            <w:sz w:val="21"/>
            <w:vertAlign w:val="superscript"/>
          </w:rPr>
          <w:t>35</w:t>
        </w:r>
      </w:hyperlink>
      <w:r>
        <w:rPr>
          <w:spacing w:val="-3"/>
          <w:sz w:val="21"/>
        </w:rPr>
        <w:t xml:space="preserve"> </w:t>
      </w:r>
      <w:r>
        <w:rPr>
          <w:sz w:val="21"/>
        </w:rPr>
        <w:t>Additionally, decision-makers should work to provide foreign-born communities wit</w:t>
      </w:r>
      <w:r>
        <w:rPr>
          <w:sz w:val="21"/>
        </w:rPr>
        <w:t>h financial and</w:t>
      </w:r>
      <w:r>
        <w:rPr>
          <w:spacing w:val="-11"/>
          <w:sz w:val="21"/>
        </w:rPr>
        <w:t xml:space="preserve"> </w:t>
      </w:r>
      <w:r>
        <w:rPr>
          <w:sz w:val="21"/>
        </w:rPr>
        <w:t>logistical</w:t>
      </w:r>
      <w:r>
        <w:rPr>
          <w:spacing w:val="-11"/>
          <w:sz w:val="21"/>
        </w:rPr>
        <w:t xml:space="preserve"> </w:t>
      </w:r>
      <w:r>
        <w:rPr>
          <w:sz w:val="21"/>
        </w:rPr>
        <w:t>resources</w:t>
      </w:r>
      <w:r>
        <w:rPr>
          <w:spacing w:val="-12"/>
          <w:sz w:val="21"/>
        </w:rPr>
        <w:t xml:space="preserve"> </w:t>
      </w:r>
      <w:r>
        <w:rPr>
          <w:sz w:val="21"/>
        </w:rPr>
        <w:t>so</w:t>
      </w:r>
      <w:r>
        <w:rPr>
          <w:spacing w:val="-11"/>
          <w:sz w:val="21"/>
        </w:rPr>
        <w:t xml:space="preserve"> </w:t>
      </w:r>
      <w:r>
        <w:rPr>
          <w:sz w:val="21"/>
        </w:rPr>
        <w:t>that</w:t>
      </w:r>
      <w:r>
        <w:rPr>
          <w:spacing w:val="-12"/>
          <w:sz w:val="21"/>
        </w:rPr>
        <w:t xml:space="preserve"> </w:t>
      </w:r>
      <w:r>
        <w:rPr>
          <w:sz w:val="21"/>
        </w:rPr>
        <w:t>they</w:t>
      </w:r>
      <w:r>
        <w:rPr>
          <w:spacing w:val="-10"/>
          <w:sz w:val="21"/>
        </w:rPr>
        <w:t xml:space="preserve"> </w:t>
      </w:r>
      <w:r>
        <w:rPr>
          <w:sz w:val="21"/>
        </w:rPr>
        <w:t>can</w:t>
      </w:r>
      <w:r>
        <w:rPr>
          <w:spacing w:val="-11"/>
          <w:sz w:val="21"/>
        </w:rPr>
        <w:t xml:space="preserve"> </w:t>
      </w:r>
      <w:r>
        <w:rPr>
          <w:sz w:val="21"/>
        </w:rPr>
        <w:t>respond</w:t>
      </w:r>
      <w:r>
        <w:rPr>
          <w:spacing w:val="-11"/>
          <w:sz w:val="21"/>
        </w:rPr>
        <w:t xml:space="preserve"> </w:t>
      </w:r>
      <w:r>
        <w:rPr>
          <w:sz w:val="21"/>
        </w:rPr>
        <w:t>to</w:t>
      </w:r>
      <w:r>
        <w:rPr>
          <w:spacing w:val="-11"/>
          <w:sz w:val="21"/>
        </w:rPr>
        <w:t xml:space="preserve"> </w:t>
      </w:r>
      <w:r>
        <w:rPr>
          <w:sz w:val="21"/>
        </w:rPr>
        <w:t>cultural</w:t>
      </w:r>
      <w:r>
        <w:rPr>
          <w:spacing w:val="-11"/>
          <w:sz w:val="21"/>
        </w:rPr>
        <w:t xml:space="preserve"> </w:t>
      </w:r>
      <w:r>
        <w:rPr>
          <w:sz w:val="21"/>
        </w:rPr>
        <w:t>mental</w:t>
      </w:r>
      <w:r>
        <w:rPr>
          <w:spacing w:val="-11"/>
          <w:sz w:val="21"/>
        </w:rPr>
        <w:t xml:space="preserve"> </w:t>
      </w:r>
      <w:r>
        <w:rPr>
          <w:sz w:val="21"/>
        </w:rPr>
        <w:t>health</w:t>
      </w:r>
      <w:r>
        <w:rPr>
          <w:spacing w:val="-11"/>
          <w:sz w:val="21"/>
        </w:rPr>
        <w:t xml:space="preserve"> </w:t>
      </w:r>
      <w:r>
        <w:rPr>
          <w:sz w:val="21"/>
        </w:rPr>
        <w:t>stigma</w:t>
      </w:r>
      <w:r>
        <w:rPr>
          <w:spacing w:val="-11"/>
          <w:sz w:val="21"/>
        </w:rPr>
        <w:t xml:space="preserve"> </w:t>
      </w:r>
      <w:r>
        <w:rPr>
          <w:sz w:val="21"/>
        </w:rPr>
        <w:t>in</w:t>
      </w:r>
      <w:r>
        <w:rPr>
          <w:spacing w:val="-11"/>
          <w:sz w:val="21"/>
        </w:rPr>
        <w:t xml:space="preserve"> </w:t>
      </w:r>
      <w:r>
        <w:rPr>
          <w:sz w:val="21"/>
        </w:rPr>
        <w:t>their</w:t>
      </w:r>
      <w:r>
        <w:rPr>
          <w:spacing w:val="-10"/>
          <w:sz w:val="21"/>
        </w:rPr>
        <w:t xml:space="preserve"> </w:t>
      </w:r>
      <w:r>
        <w:rPr>
          <w:sz w:val="21"/>
        </w:rPr>
        <w:t>own</w:t>
      </w:r>
      <w:r>
        <w:rPr>
          <w:spacing w:val="-11"/>
          <w:sz w:val="21"/>
        </w:rPr>
        <w:t xml:space="preserve"> </w:t>
      </w:r>
      <w:r>
        <w:rPr>
          <w:sz w:val="21"/>
        </w:rPr>
        <w:t>ways;</w:t>
      </w:r>
      <w:r>
        <w:rPr>
          <w:spacing w:val="-10"/>
          <w:sz w:val="21"/>
        </w:rPr>
        <w:t xml:space="preserve"> </w:t>
      </w:r>
      <w:r>
        <w:rPr>
          <w:sz w:val="21"/>
        </w:rPr>
        <w:t>one</w:t>
      </w:r>
      <w:r>
        <w:rPr>
          <w:spacing w:val="-10"/>
          <w:sz w:val="21"/>
        </w:rPr>
        <w:t xml:space="preserve"> </w:t>
      </w:r>
      <w:r>
        <w:rPr>
          <w:sz w:val="21"/>
        </w:rPr>
        <w:t>possible model is the promotora method, discussed further below.</w:t>
      </w:r>
    </w:p>
    <w:p w:rsidR="00200FDA" w:rsidRDefault="00200FDA">
      <w:pPr>
        <w:pStyle w:val="BodyText"/>
        <w:spacing w:before="8"/>
        <w:rPr>
          <w:sz w:val="19"/>
        </w:rPr>
      </w:pPr>
    </w:p>
    <w:p w:rsidR="00200FDA" w:rsidRDefault="00F76C4C">
      <w:pPr>
        <w:spacing w:line="276" w:lineRule="auto"/>
        <w:ind w:right="111"/>
        <w:jc w:val="right"/>
        <w:rPr>
          <w:sz w:val="21"/>
        </w:rPr>
      </w:pPr>
      <w:r>
        <w:rPr>
          <w:noProof/>
        </w:rPr>
        <w:drawing>
          <wp:anchor distT="0" distB="0" distL="0" distR="0" simplePos="0" relativeHeight="15760384" behindDoc="0" locked="0" layoutInCell="1" allowOverlap="1">
            <wp:simplePos x="0" y="0"/>
            <wp:positionH relativeFrom="page">
              <wp:posOffset>977264</wp:posOffset>
            </wp:positionH>
            <wp:positionV relativeFrom="paragraph">
              <wp:posOffset>351063</wp:posOffset>
            </wp:positionV>
            <wp:extent cx="1430018" cy="864523"/>
            <wp:effectExtent l="0" t="0" r="0" b="0"/>
            <wp:wrapNone/>
            <wp:docPr id="35"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2.jpeg"/>
                    <pic:cNvPicPr/>
                  </pic:nvPicPr>
                  <pic:blipFill>
                    <a:blip r:embed="rId233" cstate="print"/>
                    <a:stretch>
                      <a:fillRect/>
                    </a:stretch>
                  </pic:blipFill>
                  <pic:spPr>
                    <a:xfrm>
                      <a:off x="0" y="0"/>
                      <a:ext cx="1430018" cy="864523"/>
                    </a:xfrm>
                    <a:prstGeom prst="rect">
                      <a:avLst/>
                    </a:prstGeom>
                  </pic:spPr>
                </pic:pic>
              </a:graphicData>
            </a:graphic>
          </wp:anchor>
        </w:drawing>
      </w:r>
      <w:r>
        <w:rPr>
          <w:sz w:val="21"/>
        </w:rPr>
        <w:t>Finally, research finds that</w:t>
      </w:r>
      <w:r>
        <w:rPr>
          <w:spacing w:val="-1"/>
          <w:sz w:val="21"/>
        </w:rPr>
        <w:t xml:space="preserve"> </w:t>
      </w:r>
      <w:r>
        <w:rPr>
          <w:sz w:val="21"/>
        </w:rPr>
        <w:t>when QTBIPOC youth find pride in their racialized and cultural traits, such as</w:t>
      </w:r>
      <w:r>
        <w:rPr>
          <w:spacing w:val="-1"/>
          <w:sz w:val="21"/>
        </w:rPr>
        <w:t xml:space="preserve"> </w:t>
      </w:r>
      <w:r>
        <w:rPr>
          <w:sz w:val="21"/>
        </w:rPr>
        <w:t>values, traditions, or hairstyles, they cope better with the stress of acculturation and discrimination,</w:t>
      </w:r>
      <w:hyperlink w:anchor="_bookmark290" w:history="1">
        <w:r>
          <w:rPr>
            <w:sz w:val="21"/>
            <w:vertAlign w:val="superscript"/>
          </w:rPr>
          <w:t>36</w:t>
        </w:r>
      </w:hyperlink>
      <w:r>
        <w:rPr>
          <w:spacing w:val="40"/>
          <w:sz w:val="21"/>
        </w:rPr>
        <w:t xml:space="preserve"> </w:t>
      </w:r>
      <w:r>
        <w:rPr>
          <w:sz w:val="21"/>
        </w:rPr>
        <w:t>and advocates should support programmi</w:t>
      </w:r>
      <w:r>
        <w:rPr>
          <w:sz w:val="21"/>
        </w:rPr>
        <w:t>ng in which youth can positively develop their racial,</w:t>
      </w:r>
    </w:p>
    <w:p w:rsidR="00200FDA" w:rsidRDefault="00F76C4C">
      <w:pPr>
        <w:spacing w:line="255" w:lineRule="exact"/>
        <w:ind w:left="2672"/>
        <w:rPr>
          <w:sz w:val="21"/>
        </w:rPr>
      </w:pPr>
      <w:r>
        <w:rPr>
          <w:sz w:val="21"/>
        </w:rPr>
        <w:t>ethnic,</w:t>
      </w:r>
      <w:r>
        <w:rPr>
          <w:spacing w:val="-5"/>
          <w:sz w:val="21"/>
        </w:rPr>
        <w:t xml:space="preserve"> </w:t>
      </w:r>
      <w:r>
        <w:rPr>
          <w:sz w:val="21"/>
        </w:rPr>
        <w:t>and</w:t>
      </w:r>
      <w:r>
        <w:rPr>
          <w:spacing w:val="-5"/>
          <w:sz w:val="21"/>
        </w:rPr>
        <w:t xml:space="preserve"> </w:t>
      </w:r>
      <w:r>
        <w:rPr>
          <w:sz w:val="21"/>
        </w:rPr>
        <w:t>cultural</w:t>
      </w:r>
      <w:r>
        <w:rPr>
          <w:spacing w:val="-5"/>
          <w:sz w:val="21"/>
        </w:rPr>
        <w:t xml:space="preserve"> </w:t>
      </w:r>
      <w:r>
        <w:rPr>
          <w:spacing w:val="-2"/>
          <w:sz w:val="21"/>
        </w:rPr>
        <w:t>identities.</w:t>
      </w:r>
    </w:p>
    <w:p w:rsidR="00200FDA" w:rsidRDefault="00200FDA">
      <w:pPr>
        <w:pStyle w:val="BodyText"/>
        <w:rPr>
          <w:sz w:val="20"/>
        </w:rPr>
      </w:pPr>
    </w:p>
    <w:p w:rsidR="00200FDA" w:rsidRDefault="00200FDA">
      <w:pPr>
        <w:pStyle w:val="BodyText"/>
        <w:spacing w:before="7"/>
        <w:rPr>
          <w:sz w:val="20"/>
        </w:rPr>
      </w:pPr>
    </w:p>
    <w:p w:rsidR="00200FDA" w:rsidRDefault="00F76C4C">
      <w:pPr>
        <w:pStyle w:val="Heading8"/>
        <w:ind w:left="2672"/>
        <w:jc w:val="left"/>
      </w:pPr>
      <w:bookmarkStart w:id="360" w:name="Disability,_Neurodiversity,_and_Deafness"/>
      <w:bookmarkEnd w:id="360"/>
      <w:r>
        <w:rPr>
          <w:color w:val="0A5293"/>
        </w:rPr>
        <w:t>Disability,</w:t>
      </w:r>
      <w:r>
        <w:rPr>
          <w:color w:val="0A5293"/>
          <w:spacing w:val="-3"/>
        </w:rPr>
        <w:t xml:space="preserve"> </w:t>
      </w:r>
      <w:r>
        <w:rPr>
          <w:color w:val="0A5293"/>
        </w:rPr>
        <w:t>Neurodiversity,</w:t>
      </w:r>
      <w:r>
        <w:rPr>
          <w:color w:val="0A5293"/>
          <w:spacing w:val="-3"/>
        </w:rPr>
        <w:t xml:space="preserve"> </w:t>
      </w:r>
      <w:r>
        <w:rPr>
          <w:color w:val="0A5293"/>
        </w:rPr>
        <w:t>and</w:t>
      </w:r>
      <w:r>
        <w:rPr>
          <w:color w:val="0A5293"/>
          <w:spacing w:val="-4"/>
        </w:rPr>
        <w:t xml:space="preserve"> </w:t>
      </w:r>
      <w:r>
        <w:rPr>
          <w:color w:val="0A5293"/>
        </w:rPr>
        <w:t>Deafness:</w:t>
      </w:r>
      <w:r>
        <w:rPr>
          <w:color w:val="0A5293"/>
          <w:spacing w:val="-2"/>
        </w:rPr>
        <w:t xml:space="preserve"> </w:t>
      </w:r>
      <w:r>
        <w:rPr>
          <w:color w:val="0A5293"/>
        </w:rPr>
        <w:t>Accessible,</w:t>
      </w:r>
      <w:r>
        <w:rPr>
          <w:color w:val="0A5293"/>
          <w:spacing w:val="-3"/>
        </w:rPr>
        <w:t xml:space="preserve"> </w:t>
      </w:r>
      <w:r>
        <w:rPr>
          <w:color w:val="0A5293"/>
        </w:rPr>
        <w:t>Affirming</w:t>
      </w:r>
      <w:r>
        <w:rPr>
          <w:color w:val="0A5293"/>
          <w:spacing w:val="-3"/>
        </w:rPr>
        <w:t xml:space="preserve"> </w:t>
      </w:r>
      <w:r>
        <w:rPr>
          <w:color w:val="0A5293"/>
          <w:spacing w:val="-4"/>
        </w:rPr>
        <w:t>Care</w:t>
      </w:r>
    </w:p>
    <w:p w:rsidR="00200FDA" w:rsidRDefault="00200FDA">
      <w:pPr>
        <w:pStyle w:val="BodyText"/>
        <w:spacing w:before="8"/>
        <w:rPr>
          <w:sz w:val="27"/>
        </w:rPr>
      </w:pPr>
    </w:p>
    <w:p w:rsidR="00200FDA" w:rsidRDefault="00F76C4C">
      <w:pPr>
        <w:spacing w:line="276" w:lineRule="auto"/>
        <w:ind w:left="139" w:right="255"/>
        <w:jc w:val="both"/>
        <w:rPr>
          <w:sz w:val="21"/>
        </w:rPr>
      </w:pPr>
      <w:r>
        <w:rPr>
          <w:sz w:val="21"/>
        </w:rPr>
        <w:t>This</w:t>
      </w:r>
      <w:r>
        <w:rPr>
          <w:spacing w:val="-6"/>
          <w:sz w:val="21"/>
        </w:rPr>
        <w:t xml:space="preserve"> </w:t>
      </w:r>
      <w:r>
        <w:rPr>
          <w:sz w:val="21"/>
        </w:rPr>
        <w:t>is</w:t>
      </w:r>
      <w:r>
        <w:rPr>
          <w:spacing w:val="-6"/>
          <w:sz w:val="21"/>
        </w:rPr>
        <w:t xml:space="preserve"> </w:t>
      </w:r>
      <w:r>
        <w:rPr>
          <w:sz w:val="21"/>
        </w:rPr>
        <w:t>another</w:t>
      </w:r>
      <w:r>
        <w:rPr>
          <w:spacing w:val="-5"/>
          <w:sz w:val="21"/>
        </w:rPr>
        <w:t xml:space="preserve"> </w:t>
      </w:r>
      <w:r>
        <w:rPr>
          <w:sz w:val="21"/>
        </w:rPr>
        <w:t>opportunity</w:t>
      </w:r>
      <w:r>
        <w:rPr>
          <w:spacing w:val="-7"/>
          <w:sz w:val="21"/>
        </w:rPr>
        <w:t xml:space="preserve"> </w:t>
      </w:r>
      <w:r>
        <w:rPr>
          <w:sz w:val="21"/>
        </w:rPr>
        <w:t>for</w:t>
      </w:r>
      <w:r>
        <w:rPr>
          <w:spacing w:val="-5"/>
          <w:sz w:val="21"/>
        </w:rPr>
        <w:t xml:space="preserve"> </w:t>
      </w:r>
      <w:r>
        <w:rPr>
          <w:sz w:val="21"/>
        </w:rPr>
        <w:t>youth</w:t>
      </w:r>
      <w:r>
        <w:rPr>
          <w:spacing w:val="-6"/>
          <w:sz w:val="21"/>
        </w:rPr>
        <w:t xml:space="preserve"> </w:t>
      </w:r>
      <w:r>
        <w:rPr>
          <w:sz w:val="21"/>
        </w:rPr>
        <w:t>voices.</w:t>
      </w:r>
      <w:r>
        <w:rPr>
          <w:spacing w:val="-6"/>
          <w:sz w:val="21"/>
        </w:rPr>
        <w:t xml:space="preserve"> </w:t>
      </w:r>
      <w:r>
        <w:rPr>
          <w:sz w:val="21"/>
        </w:rPr>
        <w:t>Disability,</w:t>
      </w:r>
      <w:r>
        <w:rPr>
          <w:spacing w:val="-5"/>
          <w:sz w:val="21"/>
        </w:rPr>
        <w:t xml:space="preserve"> </w:t>
      </w:r>
      <w:r>
        <w:rPr>
          <w:sz w:val="21"/>
        </w:rPr>
        <w:t>deafness,</w:t>
      </w:r>
      <w:r>
        <w:rPr>
          <w:spacing w:val="-5"/>
          <w:sz w:val="21"/>
        </w:rPr>
        <w:t xml:space="preserve"> </w:t>
      </w:r>
      <w:r>
        <w:rPr>
          <w:sz w:val="21"/>
        </w:rPr>
        <w:t>and</w:t>
      </w:r>
      <w:r>
        <w:rPr>
          <w:spacing w:val="-8"/>
          <w:sz w:val="21"/>
        </w:rPr>
        <w:t xml:space="preserve"> </w:t>
      </w:r>
      <w:r>
        <w:rPr>
          <w:sz w:val="21"/>
        </w:rPr>
        <w:t>neurodivergence</w:t>
      </w:r>
      <w:r>
        <w:rPr>
          <w:spacing w:val="-5"/>
          <w:sz w:val="21"/>
        </w:rPr>
        <w:t xml:space="preserve"> </w:t>
      </w:r>
      <w:r>
        <w:rPr>
          <w:sz w:val="21"/>
        </w:rPr>
        <w:t>typically</w:t>
      </w:r>
      <w:r>
        <w:rPr>
          <w:spacing w:val="-5"/>
          <w:sz w:val="21"/>
        </w:rPr>
        <w:t xml:space="preserve"> </w:t>
      </w:r>
      <w:r>
        <w:rPr>
          <w:sz w:val="21"/>
        </w:rPr>
        <w:t>go</w:t>
      </w:r>
      <w:r>
        <w:rPr>
          <w:spacing w:val="-6"/>
          <w:sz w:val="21"/>
        </w:rPr>
        <w:t xml:space="preserve"> </w:t>
      </w:r>
      <w:r>
        <w:rPr>
          <w:sz w:val="21"/>
        </w:rPr>
        <w:t>completely unaddressed</w:t>
      </w:r>
      <w:r>
        <w:rPr>
          <w:spacing w:val="-6"/>
          <w:sz w:val="21"/>
        </w:rPr>
        <w:t xml:space="preserve"> </w:t>
      </w:r>
      <w:r>
        <w:rPr>
          <w:sz w:val="21"/>
        </w:rPr>
        <w:t>in</w:t>
      </w:r>
      <w:r>
        <w:rPr>
          <w:spacing w:val="-9"/>
          <w:sz w:val="21"/>
        </w:rPr>
        <w:t xml:space="preserve"> </w:t>
      </w:r>
      <w:r>
        <w:rPr>
          <w:sz w:val="21"/>
        </w:rPr>
        <w:t>research</w:t>
      </w:r>
      <w:r>
        <w:rPr>
          <w:spacing w:val="-9"/>
          <w:sz w:val="21"/>
        </w:rPr>
        <w:t xml:space="preserve"> </w:t>
      </w:r>
      <w:r>
        <w:rPr>
          <w:sz w:val="21"/>
        </w:rPr>
        <w:t>about</w:t>
      </w:r>
      <w:r>
        <w:rPr>
          <w:spacing w:val="-7"/>
          <w:sz w:val="21"/>
        </w:rPr>
        <w:t xml:space="preserve"> </w:t>
      </w:r>
      <w:r>
        <w:rPr>
          <w:sz w:val="21"/>
        </w:rPr>
        <w:t>LGBTQ</w:t>
      </w:r>
      <w:r>
        <w:rPr>
          <w:spacing w:val="-9"/>
          <w:sz w:val="21"/>
        </w:rPr>
        <w:t xml:space="preserve"> </w:t>
      </w:r>
      <w:r>
        <w:rPr>
          <w:sz w:val="21"/>
        </w:rPr>
        <w:t>youth,</w:t>
      </w:r>
      <w:r>
        <w:rPr>
          <w:spacing w:val="-6"/>
          <w:sz w:val="21"/>
        </w:rPr>
        <w:t xml:space="preserve"> </w:t>
      </w:r>
      <w:r>
        <w:rPr>
          <w:sz w:val="21"/>
        </w:rPr>
        <w:t>yet</w:t>
      </w:r>
      <w:r>
        <w:rPr>
          <w:spacing w:val="-9"/>
          <w:sz w:val="21"/>
        </w:rPr>
        <w:t xml:space="preserve"> </w:t>
      </w:r>
      <w:r>
        <w:rPr>
          <w:sz w:val="21"/>
        </w:rPr>
        <w:t>1</w:t>
      </w:r>
      <w:r>
        <w:rPr>
          <w:spacing w:val="-5"/>
          <w:sz w:val="21"/>
        </w:rPr>
        <w:t xml:space="preserve"> </w:t>
      </w:r>
      <w:r>
        <w:rPr>
          <w:sz w:val="21"/>
        </w:rPr>
        <w:t>in</w:t>
      </w:r>
      <w:r>
        <w:rPr>
          <w:spacing w:val="-9"/>
          <w:sz w:val="21"/>
        </w:rPr>
        <w:t xml:space="preserve"> </w:t>
      </w:r>
      <w:r>
        <w:rPr>
          <w:sz w:val="21"/>
        </w:rPr>
        <w:t>3</w:t>
      </w:r>
      <w:r>
        <w:rPr>
          <w:spacing w:val="-7"/>
          <w:sz w:val="21"/>
        </w:rPr>
        <w:t xml:space="preserve"> </w:t>
      </w:r>
      <w:r>
        <w:rPr>
          <w:sz w:val="21"/>
        </w:rPr>
        <w:t>LGBTQ</w:t>
      </w:r>
      <w:r>
        <w:rPr>
          <w:spacing w:val="-6"/>
          <w:sz w:val="21"/>
        </w:rPr>
        <w:t xml:space="preserve"> </w:t>
      </w:r>
      <w:r>
        <w:rPr>
          <w:sz w:val="21"/>
        </w:rPr>
        <w:t>adults</w:t>
      </w:r>
      <w:r>
        <w:rPr>
          <w:spacing w:val="-7"/>
          <w:sz w:val="21"/>
        </w:rPr>
        <w:t xml:space="preserve"> </w:t>
      </w:r>
      <w:r>
        <w:rPr>
          <w:sz w:val="21"/>
        </w:rPr>
        <w:t>and</w:t>
      </w:r>
      <w:r>
        <w:rPr>
          <w:spacing w:val="-6"/>
          <w:sz w:val="21"/>
        </w:rPr>
        <w:t xml:space="preserve"> </w:t>
      </w:r>
      <w:r>
        <w:rPr>
          <w:sz w:val="21"/>
        </w:rPr>
        <w:t>more</w:t>
      </w:r>
      <w:r>
        <w:rPr>
          <w:spacing w:val="-5"/>
          <w:sz w:val="21"/>
        </w:rPr>
        <w:t xml:space="preserve"> </w:t>
      </w:r>
      <w:r>
        <w:rPr>
          <w:sz w:val="21"/>
        </w:rPr>
        <w:t>than</w:t>
      </w:r>
      <w:r>
        <w:rPr>
          <w:spacing w:val="-9"/>
          <w:sz w:val="21"/>
        </w:rPr>
        <w:t xml:space="preserve"> </w:t>
      </w:r>
      <w:r>
        <w:rPr>
          <w:sz w:val="21"/>
        </w:rPr>
        <w:t>half</w:t>
      </w:r>
      <w:r>
        <w:rPr>
          <w:spacing w:val="-5"/>
          <w:sz w:val="21"/>
        </w:rPr>
        <w:t xml:space="preserve"> </w:t>
      </w:r>
      <w:r>
        <w:rPr>
          <w:sz w:val="21"/>
        </w:rPr>
        <w:t>of</w:t>
      </w:r>
      <w:r>
        <w:rPr>
          <w:spacing w:val="-5"/>
          <w:sz w:val="21"/>
        </w:rPr>
        <w:t xml:space="preserve"> </w:t>
      </w:r>
      <w:r>
        <w:rPr>
          <w:sz w:val="21"/>
        </w:rPr>
        <w:t>transgender</w:t>
      </w:r>
      <w:r>
        <w:rPr>
          <w:spacing w:val="-7"/>
          <w:sz w:val="21"/>
        </w:rPr>
        <w:t xml:space="preserve"> </w:t>
      </w:r>
      <w:r>
        <w:rPr>
          <w:sz w:val="21"/>
        </w:rPr>
        <w:t>adults reported having a disability in 2020.</w:t>
      </w:r>
      <w:hyperlink w:anchor="_bookmark291" w:history="1">
        <w:r>
          <w:rPr>
            <w:sz w:val="21"/>
            <w:vertAlign w:val="superscript"/>
          </w:rPr>
          <w:t>37</w:t>
        </w:r>
      </w:hyperlink>
      <w:r>
        <w:rPr>
          <w:spacing w:val="-2"/>
          <w:sz w:val="21"/>
        </w:rPr>
        <w:t xml:space="preserve"> </w:t>
      </w:r>
      <w:r>
        <w:rPr>
          <w:sz w:val="21"/>
        </w:rPr>
        <w:t>These identities are common among youth as well; for instance, one recent</w:t>
      </w:r>
      <w:r>
        <w:rPr>
          <w:spacing w:val="-1"/>
          <w:sz w:val="21"/>
        </w:rPr>
        <w:t xml:space="preserve"> </w:t>
      </w:r>
      <w:r>
        <w:rPr>
          <w:sz w:val="21"/>
        </w:rPr>
        <w:t>study found that autistic children were</w:t>
      </w:r>
      <w:r>
        <w:rPr>
          <w:spacing w:val="-1"/>
          <w:sz w:val="21"/>
        </w:rPr>
        <w:t xml:space="preserve"> </w:t>
      </w:r>
      <w:r>
        <w:rPr>
          <w:sz w:val="21"/>
        </w:rPr>
        <w:t>400% more likely to</w:t>
      </w:r>
      <w:r>
        <w:rPr>
          <w:spacing w:val="-1"/>
          <w:sz w:val="21"/>
        </w:rPr>
        <w:t xml:space="preserve"> </w:t>
      </w:r>
      <w:r>
        <w:rPr>
          <w:sz w:val="21"/>
        </w:rPr>
        <w:t>have a gender dysphoria-related diagnosis than their peers.</w:t>
      </w:r>
      <w:hyperlink w:anchor="_bookmark292" w:history="1">
        <w:r>
          <w:rPr>
            <w:sz w:val="21"/>
            <w:vertAlign w:val="superscript"/>
          </w:rPr>
          <w:t>38</w:t>
        </w:r>
      </w:hyperlink>
    </w:p>
    <w:p w:rsidR="00200FDA" w:rsidRDefault="00200FDA">
      <w:pPr>
        <w:pStyle w:val="BodyText"/>
        <w:spacing w:before="8"/>
        <w:rPr>
          <w:sz w:val="19"/>
        </w:rPr>
      </w:pPr>
    </w:p>
    <w:p w:rsidR="00200FDA" w:rsidRDefault="00F76C4C">
      <w:pPr>
        <w:spacing w:line="276" w:lineRule="auto"/>
        <w:ind w:left="139" w:right="256"/>
        <w:jc w:val="both"/>
        <w:rPr>
          <w:sz w:val="21"/>
        </w:rPr>
      </w:pPr>
      <w:r>
        <w:rPr>
          <w:sz w:val="21"/>
        </w:rPr>
        <w:t>Minority</w:t>
      </w:r>
      <w:r>
        <w:rPr>
          <w:spacing w:val="-5"/>
          <w:sz w:val="21"/>
        </w:rPr>
        <w:t xml:space="preserve"> </w:t>
      </w:r>
      <w:r>
        <w:rPr>
          <w:sz w:val="21"/>
        </w:rPr>
        <w:t>stress</w:t>
      </w:r>
      <w:r>
        <w:rPr>
          <w:spacing w:val="-7"/>
          <w:sz w:val="21"/>
        </w:rPr>
        <w:t xml:space="preserve"> </w:t>
      </w:r>
      <w:r>
        <w:rPr>
          <w:sz w:val="21"/>
        </w:rPr>
        <w:t>from</w:t>
      </w:r>
      <w:r>
        <w:rPr>
          <w:spacing w:val="-6"/>
          <w:sz w:val="21"/>
        </w:rPr>
        <w:t xml:space="preserve"> </w:t>
      </w:r>
      <w:r>
        <w:rPr>
          <w:sz w:val="21"/>
        </w:rPr>
        <w:t>ableis</w:t>
      </w:r>
      <w:r>
        <w:rPr>
          <w:sz w:val="21"/>
        </w:rPr>
        <w:t>m</w:t>
      </w:r>
      <w:r>
        <w:rPr>
          <w:spacing w:val="-9"/>
          <w:sz w:val="21"/>
        </w:rPr>
        <w:t xml:space="preserve"> </w:t>
      </w:r>
      <w:r>
        <w:rPr>
          <w:sz w:val="21"/>
        </w:rPr>
        <w:t>begins</w:t>
      </w:r>
      <w:r>
        <w:rPr>
          <w:spacing w:val="-7"/>
          <w:sz w:val="21"/>
        </w:rPr>
        <w:t xml:space="preserve"> </w:t>
      </w:r>
      <w:r>
        <w:rPr>
          <w:sz w:val="21"/>
        </w:rPr>
        <w:t>to</w:t>
      </w:r>
      <w:r>
        <w:rPr>
          <w:spacing w:val="-7"/>
          <w:sz w:val="21"/>
        </w:rPr>
        <w:t xml:space="preserve"> </w:t>
      </w:r>
      <w:r>
        <w:rPr>
          <w:sz w:val="21"/>
        </w:rPr>
        <w:t>impact</w:t>
      </w:r>
      <w:r>
        <w:rPr>
          <w:spacing w:val="-5"/>
          <w:sz w:val="21"/>
        </w:rPr>
        <w:t xml:space="preserve"> </w:t>
      </w:r>
      <w:r>
        <w:rPr>
          <w:sz w:val="21"/>
        </w:rPr>
        <w:t>LGBTQ</w:t>
      </w:r>
      <w:r>
        <w:rPr>
          <w:spacing w:val="-6"/>
          <w:sz w:val="21"/>
        </w:rPr>
        <w:t xml:space="preserve"> </w:t>
      </w:r>
      <w:r>
        <w:rPr>
          <w:sz w:val="21"/>
        </w:rPr>
        <w:t>disabled</w:t>
      </w:r>
      <w:r>
        <w:rPr>
          <w:spacing w:val="-6"/>
          <w:sz w:val="21"/>
        </w:rPr>
        <w:t xml:space="preserve"> </w:t>
      </w:r>
      <w:r>
        <w:rPr>
          <w:sz w:val="21"/>
        </w:rPr>
        <w:t>youths’</w:t>
      </w:r>
      <w:r>
        <w:rPr>
          <w:spacing w:val="-6"/>
          <w:sz w:val="21"/>
        </w:rPr>
        <w:t xml:space="preserve"> </w:t>
      </w:r>
      <w:r>
        <w:rPr>
          <w:sz w:val="21"/>
        </w:rPr>
        <w:t>mental</w:t>
      </w:r>
      <w:r>
        <w:rPr>
          <w:spacing w:val="-6"/>
          <w:sz w:val="21"/>
        </w:rPr>
        <w:t xml:space="preserve"> </w:t>
      </w:r>
      <w:r>
        <w:rPr>
          <w:sz w:val="21"/>
        </w:rPr>
        <w:t>health</w:t>
      </w:r>
      <w:r>
        <w:rPr>
          <w:spacing w:val="-6"/>
          <w:sz w:val="21"/>
        </w:rPr>
        <w:t xml:space="preserve"> </w:t>
      </w:r>
      <w:r>
        <w:rPr>
          <w:sz w:val="21"/>
        </w:rPr>
        <w:t>from</w:t>
      </w:r>
      <w:r>
        <w:rPr>
          <w:spacing w:val="-6"/>
          <w:sz w:val="21"/>
        </w:rPr>
        <w:t xml:space="preserve"> </w:t>
      </w:r>
      <w:r>
        <w:rPr>
          <w:sz w:val="21"/>
        </w:rPr>
        <w:t>an</w:t>
      </w:r>
      <w:r>
        <w:rPr>
          <w:spacing w:val="-6"/>
          <w:sz w:val="21"/>
        </w:rPr>
        <w:t xml:space="preserve"> </w:t>
      </w:r>
      <w:r>
        <w:rPr>
          <w:sz w:val="21"/>
        </w:rPr>
        <w:t>early</w:t>
      </w:r>
      <w:r>
        <w:rPr>
          <w:spacing w:val="-5"/>
          <w:sz w:val="21"/>
        </w:rPr>
        <w:t xml:space="preserve"> </w:t>
      </w:r>
      <w:r>
        <w:rPr>
          <w:sz w:val="21"/>
        </w:rPr>
        <w:t>age.</w:t>
      </w:r>
      <w:r>
        <w:rPr>
          <w:spacing w:val="-6"/>
          <w:sz w:val="21"/>
        </w:rPr>
        <w:t xml:space="preserve"> </w:t>
      </w:r>
      <w:r>
        <w:rPr>
          <w:sz w:val="21"/>
        </w:rPr>
        <w:t>GLSEN found that 73% of participants hear biased ability-focused remarks in school “often” or "frequently.” Meanwhile, 34% stated that they were harassed or assaulted at school with</w:t>
      </w:r>
      <w:r>
        <w:rPr>
          <w:sz w:val="21"/>
        </w:rPr>
        <w:t>in the last year based on their actual or perceived disability, and 17% reported experiencing this online.</w:t>
      </w:r>
      <w:hyperlink w:anchor="_bookmark293" w:history="1">
        <w:r>
          <w:rPr>
            <w:sz w:val="21"/>
            <w:vertAlign w:val="superscript"/>
          </w:rPr>
          <w:t>39</w:t>
        </w:r>
      </w:hyperlink>
    </w:p>
    <w:p w:rsidR="00200FDA" w:rsidRDefault="00200FDA">
      <w:pPr>
        <w:pStyle w:val="BodyText"/>
        <w:spacing w:before="9"/>
        <w:rPr>
          <w:sz w:val="19"/>
        </w:rPr>
      </w:pPr>
    </w:p>
    <w:p w:rsidR="00200FDA" w:rsidRDefault="00F76C4C">
      <w:pPr>
        <w:spacing w:line="276" w:lineRule="auto"/>
        <w:ind w:left="139" w:right="255"/>
        <w:jc w:val="both"/>
        <w:rPr>
          <w:sz w:val="21"/>
        </w:rPr>
      </w:pPr>
      <w:r>
        <w:rPr>
          <w:sz w:val="21"/>
        </w:rPr>
        <w:t>Disabled LGBTQ youth are excluded and discriminated against past age 18 as well. A few studies have found that the majority of disabled LGBTQ students do not receive accommodations in their colleges.</w:t>
      </w:r>
      <w:r>
        <w:rPr>
          <w:spacing w:val="-12"/>
          <w:sz w:val="21"/>
        </w:rPr>
        <w:t xml:space="preserve"> </w:t>
      </w:r>
      <w:hyperlink w:anchor="_bookmark294" w:history="1">
        <w:r>
          <w:rPr>
            <w:sz w:val="21"/>
            <w:vertAlign w:val="superscript"/>
          </w:rPr>
          <w:t>40</w:t>
        </w:r>
      </w:hyperlink>
      <w:r>
        <w:rPr>
          <w:sz w:val="21"/>
        </w:rPr>
        <w:t xml:space="preserve"> Other research shows </w:t>
      </w:r>
      <w:r>
        <w:rPr>
          <w:sz w:val="21"/>
        </w:rPr>
        <w:t>that disabled gender expansive people experience heightened discrimination within employment, housing, and social services such as mental health centers, rape crisis centers, and domestic violence</w:t>
      </w:r>
      <w:r>
        <w:rPr>
          <w:spacing w:val="-1"/>
          <w:sz w:val="21"/>
        </w:rPr>
        <w:t xml:space="preserve"> </w:t>
      </w:r>
      <w:r>
        <w:rPr>
          <w:sz w:val="21"/>
        </w:rPr>
        <w:t>shelters.</w:t>
      </w:r>
      <w:hyperlink w:anchor="_bookmark295" w:history="1">
        <w:r>
          <w:rPr>
            <w:sz w:val="21"/>
            <w:vertAlign w:val="superscript"/>
          </w:rPr>
          <w:t>41</w:t>
        </w:r>
      </w:hyperlink>
      <w:r>
        <w:rPr>
          <w:spacing w:val="-2"/>
          <w:sz w:val="21"/>
        </w:rPr>
        <w:t xml:space="preserve"> </w:t>
      </w:r>
      <w:r>
        <w:rPr>
          <w:sz w:val="21"/>
        </w:rPr>
        <w:t>Disabled</w:t>
      </w:r>
      <w:r>
        <w:rPr>
          <w:spacing w:val="-2"/>
          <w:sz w:val="21"/>
        </w:rPr>
        <w:t xml:space="preserve"> </w:t>
      </w:r>
      <w:r>
        <w:rPr>
          <w:sz w:val="21"/>
        </w:rPr>
        <w:t xml:space="preserve">LGBTQ </w:t>
      </w:r>
      <w:r>
        <w:rPr>
          <w:sz w:val="21"/>
        </w:rPr>
        <w:t>people</w:t>
      </w:r>
      <w:r>
        <w:rPr>
          <w:spacing w:val="-1"/>
          <w:sz w:val="21"/>
        </w:rPr>
        <w:t xml:space="preserve"> </w:t>
      </w:r>
      <w:r>
        <w:rPr>
          <w:sz w:val="21"/>
        </w:rPr>
        <w:t>have been</w:t>
      </w:r>
      <w:r>
        <w:rPr>
          <w:spacing w:val="-2"/>
          <w:sz w:val="21"/>
        </w:rPr>
        <w:t xml:space="preserve"> </w:t>
      </w:r>
      <w:r>
        <w:rPr>
          <w:sz w:val="21"/>
        </w:rPr>
        <w:t>found to</w:t>
      </w:r>
      <w:r>
        <w:rPr>
          <w:spacing w:val="-2"/>
          <w:sz w:val="21"/>
        </w:rPr>
        <w:t xml:space="preserve"> </w:t>
      </w:r>
      <w:r>
        <w:rPr>
          <w:sz w:val="21"/>
        </w:rPr>
        <w:t>face</w:t>
      </w:r>
      <w:r>
        <w:rPr>
          <w:spacing w:val="-1"/>
          <w:sz w:val="21"/>
        </w:rPr>
        <w:t xml:space="preserve"> </w:t>
      </w:r>
      <w:r>
        <w:rPr>
          <w:sz w:val="21"/>
        </w:rPr>
        <w:t>depression and</w:t>
      </w:r>
      <w:r>
        <w:rPr>
          <w:spacing w:val="-1"/>
          <w:sz w:val="21"/>
        </w:rPr>
        <w:t xml:space="preserve"> </w:t>
      </w:r>
      <w:r>
        <w:rPr>
          <w:sz w:val="21"/>
        </w:rPr>
        <w:t>suicidality at</w:t>
      </w:r>
      <w:r>
        <w:rPr>
          <w:spacing w:val="-2"/>
          <w:sz w:val="21"/>
        </w:rPr>
        <w:t xml:space="preserve"> </w:t>
      </w:r>
      <w:r>
        <w:rPr>
          <w:sz w:val="21"/>
        </w:rPr>
        <w:t>higher rates than peers, yet inequitable policies can prevent them from accessing mental healthcare. This includes inaccessible services, a shortage of professionals who accept public insurance, and policies that revoke lifesaving SSI or SSDI benefits shou</w:t>
      </w:r>
      <w:r>
        <w:rPr>
          <w:sz w:val="21"/>
        </w:rPr>
        <w:t>ld recipients get married or hold over $2,000 in assets.</w:t>
      </w:r>
    </w:p>
    <w:p w:rsidR="00200FDA" w:rsidRDefault="00200FDA">
      <w:pPr>
        <w:pStyle w:val="BodyText"/>
        <w:spacing w:before="7"/>
        <w:rPr>
          <w:sz w:val="19"/>
        </w:rPr>
      </w:pPr>
    </w:p>
    <w:p w:rsidR="00200FDA" w:rsidRDefault="00F76C4C">
      <w:pPr>
        <w:spacing w:line="276" w:lineRule="auto"/>
        <w:ind w:left="140" w:right="254"/>
        <w:jc w:val="both"/>
        <w:rPr>
          <w:sz w:val="21"/>
        </w:rPr>
      </w:pPr>
      <w:r>
        <w:rPr>
          <w:sz w:val="21"/>
        </w:rPr>
        <w:t>Given the prevalence of disability among LGBTQ people, accessibility should not be an afterthought to supporters of LGBTQ youth mental health. Disabled, Deaf, and neurodivergent LGBTQ youth have div</w:t>
      </w:r>
      <w:r>
        <w:rPr>
          <w:sz w:val="21"/>
        </w:rPr>
        <w:t>erse strengths</w:t>
      </w:r>
      <w:r>
        <w:rPr>
          <w:spacing w:val="-1"/>
          <w:sz w:val="21"/>
        </w:rPr>
        <w:t xml:space="preserve"> </w:t>
      </w:r>
      <w:r>
        <w:rPr>
          <w:sz w:val="21"/>
        </w:rPr>
        <w:t>and challenges,</w:t>
      </w:r>
      <w:r>
        <w:rPr>
          <w:spacing w:val="-2"/>
          <w:sz w:val="21"/>
        </w:rPr>
        <w:t xml:space="preserve"> </w:t>
      </w:r>
      <w:r>
        <w:rPr>
          <w:sz w:val="21"/>
        </w:rPr>
        <w:t>and supporters</w:t>
      </w:r>
      <w:r>
        <w:rPr>
          <w:spacing w:val="-3"/>
          <w:sz w:val="21"/>
        </w:rPr>
        <w:t xml:space="preserve"> </w:t>
      </w:r>
      <w:r>
        <w:rPr>
          <w:sz w:val="21"/>
        </w:rPr>
        <w:t>should work to</w:t>
      </w:r>
      <w:r>
        <w:rPr>
          <w:spacing w:val="-3"/>
          <w:sz w:val="21"/>
        </w:rPr>
        <w:t xml:space="preserve"> </w:t>
      </w:r>
      <w:r>
        <w:rPr>
          <w:sz w:val="21"/>
        </w:rPr>
        <w:t>specifically</w:t>
      </w:r>
      <w:r>
        <w:rPr>
          <w:spacing w:val="-2"/>
          <w:sz w:val="21"/>
        </w:rPr>
        <w:t xml:space="preserve"> </w:t>
      </w:r>
      <w:r>
        <w:rPr>
          <w:sz w:val="21"/>
        </w:rPr>
        <w:t>include</w:t>
      </w:r>
      <w:r>
        <w:rPr>
          <w:spacing w:val="-2"/>
          <w:sz w:val="21"/>
        </w:rPr>
        <w:t xml:space="preserve"> </w:t>
      </w:r>
      <w:r>
        <w:rPr>
          <w:sz w:val="21"/>
        </w:rPr>
        <w:t>each group in services.</w:t>
      </w:r>
      <w:r>
        <w:rPr>
          <w:spacing w:val="-2"/>
          <w:sz w:val="21"/>
        </w:rPr>
        <w:t xml:space="preserve"> </w:t>
      </w:r>
      <w:r>
        <w:rPr>
          <w:sz w:val="21"/>
        </w:rPr>
        <w:t>However, allies can broadly support these three populations with the following principles.</w:t>
      </w:r>
    </w:p>
    <w:p w:rsidR="00200FDA" w:rsidRDefault="00200FDA">
      <w:pPr>
        <w:pStyle w:val="BodyText"/>
        <w:spacing w:before="10"/>
        <w:rPr>
          <w:sz w:val="19"/>
        </w:rPr>
      </w:pPr>
    </w:p>
    <w:p w:rsidR="00200FDA" w:rsidRDefault="00F76C4C">
      <w:pPr>
        <w:spacing w:line="276" w:lineRule="auto"/>
        <w:ind w:left="139" w:right="254"/>
        <w:jc w:val="both"/>
        <w:rPr>
          <w:sz w:val="21"/>
        </w:rPr>
      </w:pPr>
      <w:r>
        <w:rPr>
          <w:sz w:val="21"/>
        </w:rPr>
        <w:t>First,</w:t>
      </w:r>
      <w:r>
        <w:rPr>
          <w:spacing w:val="-4"/>
          <w:sz w:val="21"/>
        </w:rPr>
        <w:t xml:space="preserve"> </w:t>
      </w:r>
      <w:r>
        <w:rPr>
          <w:sz w:val="21"/>
        </w:rPr>
        <w:t>expect</w:t>
      </w:r>
      <w:r>
        <w:rPr>
          <w:spacing w:val="-5"/>
          <w:sz w:val="21"/>
        </w:rPr>
        <w:t xml:space="preserve"> </w:t>
      </w:r>
      <w:r>
        <w:rPr>
          <w:sz w:val="21"/>
        </w:rPr>
        <w:t>differences:</w:t>
      </w:r>
      <w:r>
        <w:rPr>
          <w:spacing w:val="-3"/>
          <w:sz w:val="21"/>
        </w:rPr>
        <w:t xml:space="preserve"> </w:t>
      </w:r>
      <w:r>
        <w:rPr>
          <w:sz w:val="21"/>
        </w:rPr>
        <w:t>assume</w:t>
      </w:r>
      <w:r>
        <w:rPr>
          <w:spacing w:val="-4"/>
          <w:sz w:val="21"/>
        </w:rPr>
        <w:t xml:space="preserve"> </w:t>
      </w:r>
      <w:r>
        <w:rPr>
          <w:sz w:val="21"/>
        </w:rPr>
        <w:t>that</w:t>
      </w:r>
      <w:r>
        <w:rPr>
          <w:spacing w:val="-5"/>
          <w:sz w:val="21"/>
        </w:rPr>
        <w:t xml:space="preserve"> </w:t>
      </w:r>
      <w:r>
        <w:rPr>
          <w:sz w:val="21"/>
        </w:rPr>
        <w:t>disabled,</w:t>
      </w:r>
      <w:r>
        <w:rPr>
          <w:spacing w:val="-4"/>
          <w:sz w:val="21"/>
        </w:rPr>
        <w:t xml:space="preserve"> </w:t>
      </w:r>
      <w:r>
        <w:rPr>
          <w:sz w:val="21"/>
        </w:rPr>
        <w:t>Deaf,</w:t>
      </w:r>
      <w:r>
        <w:rPr>
          <w:spacing w:val="-4"/>
          <w:sz w:val="21"/>
        </w:rPr>
        <w:t xml:space="preserve"> </w:t>
      </w:r>
      <w:r>
        <w:rPr>
          <w:sz w:val="21"/>
        </w:rPr>
        <w:t>and</w:t>
      </w:r>
      <w:r>
        <w:rPr>
          <w:spacing w:val="-7"/>
          <w:sz w:val="21"/>
        </w:rPr>
        <w:t xml:space="preserve"> </w:t>
      </w:r>
      <w:r>
        <w:rPr>
          <w:sz w:val="21"/>
        </w:rPr>
        <w:t>neurodivergent</w:t>
      </w:r>
      <w:r>
        <w:rPr>
          <w:spacing w:val="-5"/>
          <w:sz w:val="21"/>
        </w:rPr>
        <w:t xml:space="preserve"> </w:t>
      </w:r>
      <w:r>
        <w:rPr>
          <w:sz w:val="21"/>
        </w:rPr>
        <w:t>youth</w:t>
      </w:r>
      <w:r>
        <w:rPr>
          <w:spacing w:val="-5"/>
          <w:sz w:val="21"/>
        </w:rPr>
        <w:t xml:space="preserve"> </w:t>
      </w:r>
      <w:r>
        <w:rPr>
          <w:sz w:val="21"/>
        </w:rPr>
        <w:t>are</w:t>
      </w:r>
      <w:r>
        <w:rPr>
          <w:spacing w:val="-4"/>
          <w:sz w:val="21"/>
        </w:rPr>
        <w:t xml:space="preserve"> </w:t>
      </w:r>
      <w:r>
        <w:rPr>
          <w:sz w:val="21"/>
        </w:rPr>
        <w:t>already</w:t>
      </w:r>
      <w:r>
        <w:rPr>
          <w:spacing w:val="-4"/>
          <w:sz w:val="21"/>
        </w:rPr>
        <w:t xml:space="preserve"> </w:t>
      </w:r>
      <w:r>
        <w:rPr>
          <w:sz w:val="21"/>
        </w:rPr>
        <w:t>using</w:t>
      </w:r>
      <w:r>
        <w:rPr>
          <w:spacing w:val="-5"/>
          <w:sz w:val="21"/>
        </w:rPr>
        <w:t xml:space="preserve"> </w:t>
      </w:r>
      <w:r>
        <w:rPr>
          <w:sz w:val="21"/>
        </w:rPr>
        <w:t>services</w:t>
      </w:r>
      <w:r>
        <w:rPr>
          <w:spacing w:val="-5"/>
          <w:sz w:val="21"/>
        </w:rPr>
        <w:t xml:space="preserve"> </w:t>
      </w:r>
      <w:r>
        <w:rPr>
          <w:sz w:val="21"/>
        </w:rPr>
        <w:t>and make them accessible to as many youth as possible. This includes when communicating (closed captions), moving about (ramps), socializing (supporting use of non-verbal communication), self-regulating (sen</w:t>
      </w:r>
      <w:r>
        <w:rPr>
          <w:sz w:val="21"/>
        </w:rPr>
        <w:t>sory or quiet</w:t>
      </w:r>
      <w:r>
        <w:rPr>
          <w:spacing w:val="-8"/>
          <w:sz w:val="21"/>
        </w:rPr>
        <w:t xml:space="preserve"> </w:t>
      </w:r>
      <w:r>
        <w:rPr>
          <w:sz w:val="21"/>
        </w:rPr>
        <w:t>spaces),</w:t>
      </w:r>
      <w:r>
        <w:rPr>
          <w:spacing w:val="-9"/>
          <w:sz w:val="21"/>
        </w:rPr>
        <w:t xml:space="preserve"> </w:t>
      </w:r>
      <w:r>
        <w:rPr>
          <w:sz w:val="21"/>
        </w:rPr>
        <w:t>and</w:t>
      </w:r>
      <w:r>
        <w:rPr>
          <w:spacing w:val="-7"/>
          <w:sz w:val="21"/>
        </w:rPr>
        <w:t xml:space="preserve"> </w:t>
      </w:r>
      <w:r>
        <w:rPr>
          <w:sz w:val="21"/>
        </w:rPr>
        <w:t>more.</w:t>
      </w:r>
      <w:r>
        <w:rPr>
          <w:spacing w:val="-7"/>
          <w:sz w:val="21"/>
        </w:rPr>
        <w:t xml:space="preserve"> </w:t>
      </w:r>
      <w:r>
        <w:rPr>
          <w:sz w:val="21"/>
        </w:rPr>
        <w:t>Second,</w:t>
      </w:r>
      <w:r>
        <w:rPr>
          <w:spacing w:val="-7"/>
          <w:sz w:val="21"/>
        </w:rPr>
        <w:t xml:space="preserve"> </w:t>
      </w:r>
      <w:r>
        <w:rPr>
          <w:sz w:val="21"/>
        </w:rPr>
        <w:t>challenge</w:t>
      </w:r>
      <w:r>
        <w:rPr>
          <w:spacing w:val="-9"/>
          <w:sz w:val="21"/>
        </w:rPr>
        <w:t xml:space="preserve"> </w:t>
      </w:r>
      <w:r>
        <w:rPr>
          <w:sz w:val="21"/>
        </w:rPr>
        <w:t>ableist</w:t>
      </w:r>
      <w:r>
        <w:rPr>
          <w:spacing w:val="-8"/>
          <w:sz w:val="21"/>
        </w:rPr>
        <w:t xml:space="preserve"> </w:t>
      </w:r>
      <w:r>
        <w:rPr>
          <w:sz w:val="21"/>
        </w:rPr>
        <w:t>attitudes</w:t>
      </w:r>
      <w:r>
        <w:rPr>
          <w:spacing w:val="-8"/>
          <w:sz w:val="21"/>
        </w:rPr>
        <w:t xml:space="preserve"> </w:t>
      </w:r>
      <w:r>
        <w:rPr>
          <w:sz w:val="21"/>
        </w:rPr>
        <w:t>that</w:t>
      </w:r>
      <w:r>
        <w:rPr>
          <w:spacing w:val="-8"/>
          <w:sz w:val="21"/>
        </w:rPr>
        <w:t xml:space="preserve"> </w:t>
      </w:r>
      <w:r>
        <w:rPr>
          <w:sz w:val="21"/>
        </w:rPr>
        <w:t>disabled,</w:t>
      </w:r>
      <w:r>
        <w:rPr>
          <w:spacing w:val="-7"/>
          <w:sz w:val="21"/>
        </w:rPr>
        <w:t xml:space="preserve"> </w:t>
      </w:r>
      <w:r>
        <w:rPr>
          <w:sz w:val="21"/>
        </w:rPr>
        <w:t>Deaf,</w:t>
      </w:r>
      <w:r>
        <w:rPr>
          <w:spacing w:val="-9"/>
          <w:sz w:val="21"/>
        </w:rPr>
        <w:t xml:space="preserve"> </w:t>
      </w:r>
      <w:r>
        <w:rPr>
          <w:sz w:val="21"/>
        </w:rPr>
        <w:t>and</w:t>
      </w:r>
      <w:r>
        <w:rPr>
          <w:spacing w:val="-10"/>
          <w:sz w:val="21"/>
        </w:rPr>
        <w:t xml:space="preserve"> </w:t>
      </w:r>
      <w:r>
        <w:rPr>
          <w:sz w:val="21"/>
        </w:rPr>
        <w:t>neurodivergent</w:t>
      </w:r>
      <w:r>
        <w:rPr>
          <w:spacing w:val="-8"/>
          <w:sz w:val="21"/>
        </w:rPr>
        <w:t xml:space="preserve"> </w:t>
      </w:r>
      <w:r>
        <w:rPr>
          <w:sz w:val="21"/>
        </w:rPr>
        <w:t>youth</w:t>
      </w:r>
      <w:r>
        <w:rPr>
          <w:spacing w:val="-7"/>
          <w:sz w:val="21"/>
        </w:rPr>
        <w:t xml:space="preserve"> </w:t>
      </w:r>
      <w:r>
        <w:rPr>
          <w:sz w:val="21"/>
        </w:rPr>
        <w:t>are helpless, burdensome, tragic, lazy, or deficient. Instead, take their lead in exploring the positive and negative</w:t>
      </w:r>
    </w:p>
    <w:p w:rsidR="00200FDA" w:rsidRDefault="00200FDA">
      <w:pPr>
        <w:spacing w:line="276" w:lineRule="auto"/>
        <w:jc w:val="both"/>
        <w:rPr>
          <w:sz w:val="21"/>
        </w:rPr>
        <w:sectPr w:rsidR="00200FDA">
          <w:pgSz w:w="12240" w:h="15840"/>
          <w:pgMar w:top="1360" w:right="1180" w:bottom="1460" w:left="1300" w:header="761" w:footer="1208" w:gutter="0"/>
          <w:cols w:space="720"/>
        </w:sectPr>
      </w:pPr>
    </w:p>
    <w:p w:rsidR="00200FDA" w:rsidRDefault="00F76C4C">
      <w:pPr>
        <w:spacing w:before="64" w:line="276" w:lineRule="auto"/>
        <w:ind w:left="140" w:right="255"/>
        <w:jc w:val="both"/>
        <w:rPr>
          <w:sz w:val="21"/>
        </w:rPr>
      </w:pPr>
      <w:r>
        <w:rPr>
          <w:sz w:val="21"/>
        </w:rPr>
        <w:lastRenderedPageBreak/>
        <w:t>nuances of their own experiences, and inquire about any impacts of ableism on their mental health. Third, practice “nothing about</w:t>
      </w:r>
      <w:r>
        <w:rPr>
          <w:spacing w:val="-1"/>
          <w:sz w:val="21"/>
        </w:rPr>
        <w:t xml:space="preserve"> </w:t>
      </w:r>
      <w:r>
        <w:rPr>
          <w:sz w:val="21"/>
        </w:rPr>
        <w:t>us without</w:t>
      </w:r>
      <w:r>
        <w:rPr>
          <w:spacing w:val="-1"/>
          <w:sz w:val="21"/>
        </w:rPr>
        <w:t xml:space="preserve"> </w:t>
      </w:r>
      <w:r>
        <w:rPr>
          <w:sz w:val="21"/>
        </w:rPr>
        <w:t>us”; shape services</w:t>
      </w:r>
      <w:r>
        <w:rPr>
          <w:spacing w:val="-1"/>
          <w:sz w:val="21"/>
        </w:rPr>
        <w:t xml:space="preserve"> </w:t>
      </w:r>
      <w:r>
        <w:rPr>
          <w:sz w:val="21"/>
        </w:rPr>
        <w:t>around ongoing feedback from youth about</w:t>
      </w:r>
      <w:r>
        <w:rPr>
          <w:spacing w:val="-1"/>
          <w:sz w:val="21"/>
        </w:rPr>
        <w:t xml:space="preserve"> </w:t>
      </w:r>
      <w:r>
        <w:rPr>
          <w:sz w:val="21"/>
        </w:rPr>
        <w:t>their own goals, and create meaningful opportunities f</w:t>
      </w:r>
      <w:r>
        <w:rPr>
          <w:sz w:val="21"/>
        </w:rPr>
        <w:t>or leadership and active participation.</w:t>
      </w:r>
    </w:p>
    <w:p w:rsidR="00200FDA" w:rsidRDefault="00F76C4C">
      <w:pPr>
        <w:pStyle w:val="Heading8"/>
        <w:spacing w:before="160"/>
      </w:pPr>
      <w:bookmarkStart w:id="361" w:name="Rural_Youth"/>
      <w:bookmarkEnd w:id="361"/>
      <w:r>
        <w:rPr>
          <w:color w:val="0A5293"/>
        </w:rPr>
        <w:t>Rural</w:t>
      </w:r>
      <w:r>
        <w:rPr>
          <w:color w:val="0A5293"/>
          <w:spacing w:val="1"/>
        </w:rPr>
        <w:t xml:space="preserve"> </w:t>
      </w:r>
      <w:r>
        <w:rPr>
          <w:color w:val="0A5293"/>
          <w:spacing w:val="-2"/>
        </w:rPr>
        <w:t>Youth</w:t>
      </w:r>
    </w:p>
    <w:p w:rsidR="00200FDA" w:rsidRDefault="00200FDA">
      <w:pPr>
        <w:pStyle w:val="BodyText"/>
        <w:spacing w:before="8"/>
        <w:rPr>
          <w:sz w:val="27"/>
        </w:rPr>
      </w:pPr>
    </w:p>
    <w:p w:rsidR="00200FDA" w:rsidRDefault="00F76C4C">
      <w:pPr>
        <w:spacing w:line="276" w:lineRule="auto"/>
        <w:ind w:left="139" w:right="255"/>
        <w:jc w:val="both"/>
        <w:rPr>
          <w:sz w:val="21"/>
        </w:rPr>
      </w:pPr>
      <w:r>
        <w:rPr>
          <w:sz w:val="21"/>
        </w:rPr>
        <w:t>Rural youth experience unique risk factors for mental health. Firstly, they may be more isolated from social spaces</w:t>
      </w:r>
      <w:r>
        <w:rPr>
          <w:spacing w:val="-10"/>
          <w:sz w:val="21"/>
        </w:rPr>
        <w:t xml:space="preserve"> </w:t>
      </w:r>
      <w:r>
        <w:rPr>
          <w:sz w:val="21"/>
        </w:rPr>
        <w:t>and</w:t>
      </w:r>
      <w:r>
        <w:rPr>
          <w:spacing w:val="-10"/>
          <w:sz w:val="21"/>
        </w:rPr>
        <w:t xml:space="preserve"> </w:t>
      </w:r>
      <w:r>
        <w:rPr>
          <w:sz w:val="21"/>
        </w:rPr>
        <w:t>services</w:t>
      </w:r>
      <w:r>
        <w:rPr>
          <w:spacing w:val="-12"/>
          <w:sz w:val="21"/>
        </w:rPr>
        <w:t xml:space="preserve"> </w:t>
      </w:r>
      <w:r>
        <w:rPr>
          <w:sz w:val="21"/>
        </w:rPr>
        <w:t>for</w:t>
      </w:r>
      <w:r>
        <w:rPr>
          <w:spacing w:val="-11"/>
          <w:sz w:val="21"/>
        </w:rPr>
        <w:t xml:space="preserve"> </w:t>
      </w:r>
      <w:r>
        <w:rPr>
          <w:sz w:val="21"/>
        </w:rPr>
        <w:t>LGBTQ</w:t>
      </w:r>
      <w:r>
        <w:rPr>
          <w:spacing w:val="-10"/>
          <w:sz w:val="21"/>
        </w:rPr>
        <w:t xml:space="preserve"> </w:t>
      </w:r>
      <w:r>
        <w:rPr>
          <w:sz w:val="21"/>
        </w:rPr>
        <w:t>and</w:t>
      </w:r>
      <w:r>
        <w:rPr>
          <w:spacing w:val="-10"/>
          <w:sz w:val="21"/>
        </w:rPr>
        <w:t xml:space="preserve"> </w:t>
      </w:r>
      <w:r>
        <w:rPr>
          <w:sz w:val="21"/>
        </w:rPr>
        <w:t>other</w:t>
      </w:r>
      <w:r>
        <w:rPr>
          <w:spacing w:val="-11"/>
          <w:sz w:val="21"/>
        </w:rPr>
        <w:t xml:space="preserve"> </w:t>
      </w:r>
      <w:r>
        <w:rPr>
          <w:sz w:val="21"/>
        </w:rPr>
        <w:t>fellow</w:t>
      </w:r>
      <w:r>
        <w:rPr>
          <w:spacing w:val="-9"/>
          <w:sz w:val="21"/>
        </w:rPr>
        <w:t xml:space="preserve"> </w:t>
      </w:r>
      <w:r>
        <w:rPr>
          <w:sz w:val="21"/>
        </w:rPr>
        <w:t>marginalized</w:t>
      </w:r>
      <w:r>
        <w:rPr>
          <w:spacing w:val="-10"/>
          <w:sz w:val="21"/>
        </w:rPr>
        <w:t xml:space="preserve"> </w:t>
      </w:r>
      <w:r>
        <w:rPr>
          <w:sz w:val="21"/>
        </w:rPr>
        <w:t>people.</w:t>
      </w:r>
      <w:r>
        <w:rPr>
          <w:spacing w:val="-10"/>
          <w:sz w:val="21"/>
        </w:rPr>
        <w:t xml:space="preserve"> </w:t>
      </w:r>
      <w:r>
        <w:rPr>
          <w:sz w:val="21"/>
        </w:rPr>
        <w:t>Local</w:t>
      </w:r>
      <w:r>
        <w:rPr>
          <w:spacing w:val="-12"/>
          <w:sz w:val="21"/>
        </w:rPr>
        <w:t xml:space="preserve"> </w:t>
      </w:r>
      <w:r>
        <w:rPr>
          <w:sz w:val="21"/>
        </w:rPr>
        <w:t>cultural</w:t>
      </w:r>
      <w:r>
        <w:rPr>
          <w:spacing w:val="-10"/>
          <w:sz w:val="21"/>
        </w:rPr>
        <w:t xml:space="preserve"> </w:t>
      </w:r>
      <w:r>
        <w:rPr>
          <w:sz w:val="21"/>
        </w:rPr>
        <w:t>norms,</w:t>
      </w:r>
      <w:r>
        <w:rPr>
          <w:spacing w:val="-9"/>
          <w:sz w:val="21"/>
        </w:rPr>
        <w:t xml:space="preserve"> </w:t>
      </w:r>
      <w:r>
        <w:rPr>
          <w:sz w:val="21"/>
        </w:rPr>
        <w:t>such</w:t>
      </w:r>
      <w:r>
        <w:rPr>
          <w:spacing w:val="-10"/>
          <w:sz w:val="21"/>
        </w:rPr>
        <w:t xml:space="preserve"> </w:t>
      </w:r>
      <w:r>
        <w:rPr>
          <w:sz w:val="21"/>
        </w:rPr>
        <w:t>as</w:t>
      </w:r>
      <w:r>
        <w:rPr>
          <w:spacing w:val="-10"/>
          <w:sz w:val="21"/>
        </w:rPr>
        <w:t xml:space="preserve"> </w:t>
      </w:r>
      <w:r>
        <w:rPr>
          <w:sz w:val="21"/>
        </w:rPr>
        <w:t>comparison, conformity, and dwelling on difference, may also intensify their feelings of marginalization and expose them to targeted prejudice and discrimination.</w:t>
      </w:r>
      <w:hyperlink w:anchor="_bookmark296" w:history="1">
        <w:r>
          <w:rPr>
            <w:sz w:val="21"/>
            <w:vertAlign w:val="superscript"/>
          </w:rPr>
          <w:t>42</w:t>
        </w:r>
      </w:hyperlink>
      <w:r>
        <w:rPr>
          <w:sz w:val="21"/>
        </w:rPr>
        <w:t xml:space="preserve"> Intersecting oppression, such as for being disabled, In</w:t>
      </w:r>
      <w:r>
        <w:rPr>
          <w:sz w:val="21"/>
        </w:rPr>
        <w:t>digenous, non-Christian, or BIPOC in a white-majority area, may intensify minority stress on youths’ mental health. Possible</w:t>
      </w:r>
      <w:r>
        <w:rPr>
          <w:spacing w:val="-6"/>
          <w:sz w:val="21"/>
        </w:rPr>
        <w:t xml:space="preserve"> </w:t>
      </w:r>
      <w:r>
        <w:rPr>
          <w:sz w:val="21"/>
        </w:rPr>
        <w:t>areas</w:t>
      </w:r>
      <w:r>
        <w:rPr>
          <w:spacing w:val="-10"/>
          <w:sz w:val="21"/>
        </w:rPr>
        <w:t xml:space="preserve"> </w:t>
      </w:r>
      <w:r>
        <w:rPr>
          <w:sz w:val="21"/>
        </w:rPr>
        <w:t>of</w:t>
      </w:r>
      <w:r>
        <w:rPr>
          <w:spacing w:val="-6"/>
          <w:sz w:val="21"/>
        </w:rPr>
        <w:t xml:space="preserve"> </w:t>
      </w:r>
      <w:r>
        <w:rPr>
          <w:sz w:val="21"/>
        </w:rPr>
        <w:t>investment</w:t>
      </w:r>
      <w:r>
        <w:rPr>
          <w:spacing w:val="-10"/>
          <w:sz w:val="21"/>
        </w:rPr>
        <w:t xml:space="preserve"> </w:t>
      </w:r>
      <w:r>
        <w:rPr>
          <w:sz w:val="21"/>
        </w:rPr>
        <w:t>for</w:t>
      </w:r>
      <w:r>
        <w:rPr>
          <w:spacing w:val="-8"/>
          <w:sz w:val="21"/>
        </w:rPr>
        <w:t xml:space="preserve"> </w:t>
      </w:r>
      <w:r>
        <w:rPr>
          <w:sz w:val="21"/>
        </w:rPr>
        <w:t>rural</w:t>
      </w:r>
      <w:r>
        <w:rPr>
          <w:spacing w:val="-10"/>
          <w:sz w:val="21"/>
        </w:rPr>
        <w:t xml:space="preserve"> </w:t>
      </w:r>
      <w:r>
        <w:rPr>
          <w:sz w:val="21"/>
        </w:rPr>
        <w:t>LGBTQ</w:t>
      </w:r>
      <w:r>
        <w:rPr>
          <w:spacing w:val="-10"/>
          <w:sz w:val="21"/>
        </w:rPr>
        <w:t xml:space="preserve"> </w:t>
      </w:r>
      <w:r>
        <w:rPr>
          <w:sz w:val="21"/>
        </w:rPr>
        <w:t>youth</w:t>
      </w:r>
      <w:r>
        <w:rPr>
          <w:spacing w:val="-10"/>
          <w:sz w:val="21"/>
        </w:rPr>
        <w:t xml:space="preserve"> </w:t>
      </w:r>
      <w:r>
        <w:rPr>
          <w:sz w:val="21"/>
        </w:rPr>
        <w:t>mental</w:t>
      </w:r>
      <w:r>
        <w:rPr>
          <w:spacing w:val="-7"/>
          <w:sz w:val="21"/>
        </w:rPr>
        <w:t xml:space="preserve"> </w:t>
      </w:r>
      <w:r>
        <w:rPr>
          <w:sz w:val="21"/>
        </w:rPr>
        <w:t>health</w:t>
      </w:r>
      <w:r>
        <w:rPr>
          <w:spacing w:val="-10"/>
          <w:sz w:val="21"/>
        </w:rPr>
        <w:t xml:space="preserve"> </w:t>
      </w:r>
      <w:r>
        <w:rPr>
          <w:sz w:val="21"/>
        </w:rPr>
        <w:t>will</w:t>
      </w:r>
      <w:r>
        <w:rPr>
          <w:spacing w:val="-7"/>
          <w:sz w:val="21"/>
        </w:rPr>
        <w:t xml:space="preserve"> </w:t>
      </w:r>
      <w:r>
        <w:rPr>
          <w:sz w:val="21"/>
        </w:rPr>
        <w:t>be</w:t>
      </w:r>
      <w:r>
        <w:rPr>
          <w:spacing w:val="-6"/>
          <w:sz w:val="21"/>
        </w:rPr>
        <w:t xml:space="preserve"> </w:t>
      </w:r>
      <w:r>
        <w:rPr>
          <w:sz w:val="21"/>
        </w:rPr>
        <w:t>discussed</w:t>
      </w:r>
      <w:r>
        <w:rPr>
          <w:spacing w:val="-10"/>
          <w:sz w:val="21"/>
        </w:rPr>
        <w:t xml:space="preserve"> </w:t>
      </w:r>
      <w:r>
        <w:rPr>
          <w:sz w:val="21"/>
        </w:rPr>
        <w:t>further</w:t>
      </w:r>
      <w:r>
        <w:rPr>
          <w:spacing w:val="-8"/>
          <w:sz w:val="21"/>
        </w:rPr>
        <w:t xml:space="preserve"> </w:t>
      </w:r>
      <w:r>
        <w:rPr>
          <w:sz w:val="21"/>
        </w:rPr>
        <w:t>in</w:t>
      </w:r>
      <w:r>
        <w:rPr>
          <w:spacing w:val="-7"/>
          <w:sz w:val="21"/>
        </w:rPr>
        <w:t xml:space="preserve"> </w:t>
      </w:r>
      <w:r>
        <w:rPr>
          <w:sz w:val="21"/>
        </w:rPr>
        <w:t>the</w:t>
      </w:r>
      <w:r>
        <w:rPr>
          <w:spacing w:val="-9"/>
          <w:sz w:val="21"/>
        </w:rPr>
        <w:t xml:space="preserve"> </w:t>
      </w:r>
      <w:r>
        <w:rPr>
          <w:sz w:val="21"/>
        </w:rPr>
        <w:t>“Community- Based Support” section.</w:t>
      </w:r>
    </w:p>
    <w:p w:rsidR="00200FDA" w:rsidRDefault="00200FDA">
      <w:pPr>
        <w:pStyle w:val="BodyText"/>
        <w:rPr>
          <w:sz w:val="20"/>
        </w:rPr>
      </w:pPr>
    </w:p>
    <w:p w:rsidR="00200FDA" w:rsidRDefault="00200FDA">
      <w:pPr>
        <w:pStyle w:val="BodyText"/>
        <w:spacing w:before="5"/>
        <w:rPr>
          <w:sz w:val="17"/>
        </w:rPr>
      </w:pPr>
    </w:p>
    <w:p w:rsidR="00200FDA" w:rsidRDefault="00F76C4C">
      <w:pPr>
        <w:pStyle w:val="Heading8"/>
      </w:pPr>
      <w:bookmarkStart w:id="362" w:name="Youth_Involved_in_the_Child_Welfare_and_"/>
      <w:bookmarkEnd w:id="362"/>
      <w:r>
        <w:rPr>
          <w:color w:val="0A5293"/>
        </w:rPr>
        <w:t>Youth</w:t>
      </w:r>
      <w:r>
        <w:rPr>
          <w:color w:val="0A5293"/>
          <w:spacing w:val="-4"/>
        </w:rPr>
        <w:t xml:space="preserve"> </w:t>
      </w:r>
      <w:r>
        <w:rPr>
          <w:color w:val="0A5293"/>
        </w:rPr>
        <w:t>Involved</w:t>
      </w:r>
      <w:r>
        <w:rPr>
          <w:color w:val="0A5293"/>
          <w:spacing w:val="-2"/>
        </w:rPr>
        <w:t xml:space="preserve"> </w:t>
      </w:r>
      <w:r>
        <w:rPr>
          <w:color w:val="0A5293"/>
        </w:rPr>
        <w:t>in</w:t>
      </w:r>
      <w:r>
        <w:rPr>
          <w:color w:val="0A5293"/>
          <w:spacing w:val="-3"/>
        </w:rPr>
        <w:t xml:space="preserve"> </w:t>
      </w:r>
      <w:r>
        <w:rPr>
          <w:color w:val="0A5293"/>
        </w:rPr>
        <w:t>the</w:t>
      </w:r>
      <w:r>
        <w:rPr>
          <w:color w:val="0A5293"/>
          <w:spacing w:val="-1"/>
        </w:rPr>
        <w:t xml:space="preserve"> </w:t>
      </w:r>
      <w:r>
        <w:rPr>
          <w:color w:val="0A5293"/>
        </w:rPr>
        <w:t>Child</w:t>
      </w:r>
      <w:r>
        <w:rPr>
          <w:color w:val="0A5293"/>
          <w:spacing w:val="-2"/>
        </w:rPr>
        <w:t xml:space="preserve"> </w:t>
      </w:r>
      <w:r>
        <w:rPr>
          <w:color w:val="0A5293"/>
        </w:rPr>
        <w:t>Welfare</w:t>
      </w:r>
      <w:r>
        <w:rPr>
          <w:color w:val="0A5293"/>
          <w:spacing w:val="-2"/>
        </w:rPr>
        <w:t xml:space="preserve"> </w:t>
      </w:r>
      <w:r>
        <w:rPr>
          <w:color w:val="0A5293"/>
        </w:rPr>
        <w:t>and</w:t>
      </w:r>
      <w:r>
        <w:rPr>
          <w:color w:val="0A5293"/>
          <w:spacing w:val="-1"/>
        </w:rPr>
        <w:t xml:space="preserve"> </w:t>
      </w:r>
      <w:r>
        <w:rPr>
          <w:color w:val="0A5293"/>
        </w:rPr>
        <w:t>Juvenile</w:t>
      </w:r>
      <w:r>
        <w:rPr>
          <w:color w:val="0A5293"/>
          <w:spacing w:val="-3"/>
        </w:rPr>
        <w:t xml:space="preserve"> </w:t>
      </w:r>
      <w:r>
        <w:rPr>
          <w:color w:val="0A5293"/>
        </w:rPr>
        <w:t>Justice</w:t>
      </w:r>
      <w:r>
        <w:rPr>
          <w:color w:val="0A5293"/>
          <w:spacing w:val="-1"/>
        </w:rPr>
        <w:t xml:space="preserve"> </w:t>
      </w:r>
      <w:r>
        <w:rPr>
          <w:color w:val="0A5293"/>
          <w:spacing w:val="-2"/>
        </w:rPr>
        <w:t>Systems</w:t>
      </w:r>
    </w:p>
    <w:p w:rsidR="00200FDA" w:rsidRDefault="00200FDA">
      <w:pPr>
        <w:pStyle w:val="BodyText"/>
        <w:spacing w:before="8"/>
        <w:rPr>
          <w:sz w:val="27"/>
        </w:rPr>
      </w:pPr>
    </w:p>
    <w:p w:rsidR="00200FDA" w:rsidRDefault="00F76C4C">
      <w:pPr>
        <w:spacing w:line="276" w:lineRule="auto"/>
        <w:ind w:left="139" w:right="256"/>
        <w:jc w:val="both"/>
        <w:rPr>
          <w:sz w:val="21"/>
        </w:rPr>
      </w:pPr>
      <w:r>
        <w:rPr>
          <w:sz w:val="21"/>
        </w:rPr>
        <w:t>Youth who are involved in the juvenile and criminal justice systems also often have multiple marginalized identities.</w:t>
      </w:r>
      <w:r>
        <w:rPr>
          <w:spacing w:val="-12"/>
          <w:sz w:val="21"/>
        </w:rPr>
        <w:t xml:space="preserve"> </w:t>
      </w:r>
      <w:r>
        <w:rPr>
          <w:sz w:val="21"/>
        </w:rPr>
        <w:t>Nationally,</w:t>
      </w:r>
      <w:r>
        <w:rPr>
          <w:spacing w:val="-12"/>
          <w:sz w:val="21"/>
        </w:rPr>
        <w:t xml:space="preserve"> </w:t>
      </w:r>
      <w:r>
        <w:rPr>
          <w:sz w:val="21"/>
        </w:rPr>
        <w:t>nearly</w:t>
      </w:r>
      <w:r>
        <w:rPr>
          <w:spacing w:val="-12"/>
          <w:sz w:val="21"/>
        </w:rPr>
        <w:t xml:space="preserve"> </w:t>
      </w:r>
      <w:r>
        <w:rPr>
          <w:sz w:val="21"/>
        </w:rPr>
        <w:t>60%</w:t>
      </w:r>
      <w:r>
        <w:rPr>
          <w:spacing w:val="-9"/>
          <w:sz w:val="21"/>
        </w:rPr>
        <w:t xml:space="preserve"> </w:t>
      </w:r>
      <w:r>
        <w:rPr>
          <w:sz w:val="21"/>
        </w:rPr>
        <w:t>of</w:t>
      </w:r>
      <w:r>
        <w:rPr>
          <w:spacing w:val="-9"/>
          <w:sz w:val="21"/>
        </w:rPr>
        <w:t xml:space="preserve"> </w:t>
      </w:r>
      <w:r>
        <w:rPr>
          <w:sz w:val="21"/>
        </w:rPr>
        <w:t>girls</w:t>
      </w:r>
      <w:r>
        <w:rPr>
          <w:spacing w:val="-12"/>
          <w:sz w:val="21"/>
        </w:rPr>
        <w:t xml:space="preserve"> </w:t>
      </w:r>
      <w:r>
        <w:rPr>
          <w:sz w:val="21"/>
        </w:rPr>
        <w:t>in</w:t>
      </w:r>
      <w:r>
        <w:rPr>
          <w:spacing w:val="-12"/>
          <w:sz w:val="21"/>
        </w:rPr>
        <w:t xml:space="preserve"> </w:t>
      </w:r>
      <w:r>
        <w:rPr>
          <w:sz w:val="21"/>
        </w:rPr>
        <w:t>juvenile</w:t>
      </w:r>
      <w:r>
        <w:rPr>
          <w:spacing w:val="-11"/>
          <w:sz w:val="21"/>
        </w:rPr>
        <w:t xml:space="preserve"> </w:t>
      </w:r>
      <w:r>
        <w:rPr>
          <w:sz w:val="21"/>
        </w:rPr>
        <w:t>justice</w:t>
      </w:r>
      <w:r>
        <w:rPr>
          <w:spacing w:val="-9"/>
          <w:sz w:val="21"/>
        </w:rPr>
        <w:t xml:space="preserve"> </w:t>
      </w:r>
      <w:r>
        <w:rPr>
          <w:sz w:val="21"/>
        </w:rPr>
        <w:t>facilities</w:t>
      </w:r>
      <w:r>
        <w:rPr>
          <w:spacing w:val="-10"/>
          <w:sz w:val="21"/>
        </w:rPr>
        <w:t xml:space="preserve"> </w:t>
      </w:r>
      <w:r>
        <w:rPr>
          <w:sz w:val="21"/>
        </w:rPr>
        <w:t>identify</w:t>
      </w:r>
      <w:r>
        <w:rPr>
          <w:spacing w:val="-9"/>
          <w:sz w:val="21"/>
        </w:rPr>
        <w:t xml:space="preserve"> </w:t>
      </w:r>
      <w:r>
        <w:rPr>
          <w:sz w:val="21"/>
        </w:rPr>
        <w:t>as</w:t>
      </w:r>
      <w:r>
        <w:rPr>
          <w:spacing w:val="-12"/>
          <w:sz w:val="21"/>
        </w:rPr>
        <w:t xml:space="preserve"> </w:t>
      </w:r>
      <w:r>
        <w:rPr>
          <w:sz w:val="21"/>
        </w:rPr>
        <w:t>LGBQ,</w:t>
      </w:r>
      <w:r>
        <w:rPr>
          <w:spacing w:val="-12"/>
          <w:sz w:val="21"/>
        </w:rPr>
        <w:t xml:space="preserve"> </w:t>
      </w:r>
      <w:r>
        <w:rPr>
          <w:sz w:val="21"/>
        </w:rPr>
        <w:t>up</w:t>
      </w:r>
      <w:r>
        <w:rPr>
          <w:spacing w:val="-10"/>
          <w:sz w:val="21"/>
        </w:rPr>
        <w:t xml:space="preserve"> </w:t>
      </w:r>
      <w:r>
        <w:rPr>
          <w:sz w:val="21"/>
        </w:rPr>
        <w:t>to</w:t>
      </w:r>
      <w:r>
        <w:rPr>
          <w:spacing w:val="-12"/>
          <w:sz w:val="21"/>
        </w:rPr>
        <w:t xml:space="preserve"> </w:t>
      </w:r>
      <w:r>
        <w:rPr>
          <w:sz w:val="21"/>
        </w:rPr>
        <w:t>85%</w:t>
      </w:r>
      <w:r>
        <w:rPr>
          <w:spacing w:val="-9"/>
          <w:sz w:val="21"/>
        </w:rPr>
        <w:t xml:space="preserve"> </w:t>
      </w:r>
      <w:r>
        <w:rPr>
          <w:sz w:val="21"/>
        </w:rPr>
        <w:t>of</w:t>
      </w:r>
      <w:r>
        <w:rPr>
          <w:spacing w:val="-9"/>
          <w:sz w:val="21"/>
        </w:rPr>
        <w:t xml:space="preserve"> </w:t>
      </w:r>
      <w:r>
        <w:rPr>
          <w:sz w:val="21"/>
        </w:rPr>
        <w:t>LGBTQ</w:t>
      </w:r>
      <w:r>
        <w:rPr>
          <w:spacing w:val="-12"/>
          <w:sz w:val="21"/>
        </w:rPr>
        <w:t xml:space="preserve"> </w:t>
      </w:r>
      <w:r>
        <w:rPr>
          <w:sz w:val="21"/>
        </w:rPr>
        <w:t>youth in the justice system are also BIPOC, and nearly 1 in 2 women in prison report having a disability.</w:t>
      </w:r>
      <w:r>
        <w:rPr>
          <w:spacing w:val="-12"/>
          <w:sz w:val="21"/>
        </w:rPr>
        <w:t xml:space="preserve"> </w:t>
      </w:r>
      <w:hyperlink w:anchor="_bookmark297" w:history="1">
        <w:r>
          <w:rPr>
            <w:sz w:val="21"/>
            <w:vertAlign w:val="superscript"/>
          </w:rPr>
          <w:t>43</w:t>
        </w:r>
      </w:hyperlink>
      <w:r>
        <w:rPr>
          <w:sz w:val="21"/>
        </w:rPr>
        <w:t xml:space="preserve"> In Massachusetts,</w:t>
      </w:r>
      <w:r>
        <w:rPr>
          <w:spacing w:val="-2"/>
          <w:sz w:val="21"/>
        </w:rPr>
        <w:t xml:space="preserve"> </w:t>
      </w:r>
      <w:r>
        <w:rPr>
          <w:sz w:val="21"/>
        </w:rPr>
        <w:t>DYS</w:t>
      </w:r>
      <w:r>
        <w:rPr>
          <w:spacing w:val="-3"/>
          <w:sz w:val="21"/>
        </w:rPr>
        <w:t xml:space="preserve"> </w:t>
      </w:r>
      <w:r>
        <w:rPr>
          <w:sz w:val="21"/>
        </w:rPr>
        <w:t>Annual</w:t>
      </w:r>
      <w:r>
        <w:rPr>
          <w:spacing w:val="-5"/>
          <w:sz w:val="21"/>
        </w:rPr>
        <w:t xml:space="preserve"> </w:t>
      </w:r>
      <w:r>
        <w:rPr>
          <w:sz w:val="21"/>
        </w:rPr>
        <w:t>Report</w:t>
      </w:r>
      <w:r>
        <w:rPr>
          <w:spacing w:val="-6"/>
          <w:sz w:val="21"/>
        </w:rPr>
        <w:t xml:space="preserve"> </w:t>
      </w:r>
      <w:r>
        <w:rPr>
          <w:sz w:val="21"/>
        </w:rPr>
        <w:t>2022</w:t>
      </w:r>
      <w:r>
        <w:rPr>
          <w:spacing w:val="-3"/>
          <w:sz w:val="21"/>
        </w:rPr>
        <w:t xml:space="preserve"> </w:t>
      </w:r>
      <w:r>
        <w:rPr>
          <w:sz w:val="21"/>
        </w:rPr>
        <w:t>reports</w:t>
      </w:r>
      <w:r>
        <w:rPr>
          <w:spacing w:val="-3"/>
          <w:sz w:val="21"/>
        </w:rPr>
        <w:t xml:space="preserve"> </w:t>
      </w:r>
      <w:r>
        <w:rPr>
          <w:sz w:val="21"/>
        </w:rPr>
        <w:t>that</w:t>
      </w:r>
      <w:r>
        <w:rPr>
          <w:spacing w:val="-3"/>
          <w:sz w:val="21"/>
        </w:rPr>
        <w:t xml:space="preserve"> </w:t>
      </w:r>
      <w:r>
        <w:rPr>
          <w:sz w:val="21"/>
        </w:rPr>
        <w:t>only</w:t>
      </w:r>
      <w:r>
        <w:rPr>
          <w:spacing w:val="-2"/>
          <w:sz w:val="21"/>
        </w:rPr>
        <w:t xml:space="preserve"> </w:t>
      </w:r>
      <w:r>
        <w:rPr>
          <w:sz w:val="21"/>
        </w:rPr>
        <w:t>7.4%</w:t>
      </w:r>
      <w:r>
        <w:rPr>
          <w:spacing w:val="-4"/>
          <w:sz w:val="21"/>
        </w:rPr>
        <w:t xml:space="preserve"> </w:t>
      </w:r>
      <w:r>
        <w:rPr>
          <w:sz w:val="21"/>
        </w:rPr>
        <w:t>of</w:t>
      </w:r>
      <w:r>
        <w:rPr>
          <w:spacing w:val="-4"/>
          <w:sz w:val="21"/>
        </w:rPr>
        <w:t xml:space="preserve"> </w:t>
      </w:r>
      <w:r>
        <w:rPr>
          <w:sz w:val="21"/>
        </w:rPr>
        <w:t>youth</w:t>
      </w:r>
      <w:r>
        <w:rPr>
          <w:spacing w:val="-3"/>
          <w:sz w:val="21"/>
        </w:rPr>
        <w:t xml:space="preserve"> </w:t>
      </w:r>
      <w:r>
        <w:rPr>
          <w:sz w:val="21"/>
        </w:rPr>
        <w:t>in</w:t>
      </w:r>
      <w:r>
        <w:rPr>
          <w:spacing w:val="-3"/>
          <w:sz w:val="21"/>
        </w:rPr>
        <w:t xml:space="preserve"> </w:t>
      </w:r>
      <w:r>
        <w:rPr>
          <w:sz w:val="21"/>
        </w:rPr>
        <w:t>the</w:t>
      </w:r>
      <w:r>
        <w:rPr>
          <w:spacing w:val="-2"/>
          <w:sz w:val="21"/>
        </w:rPr>
        <w:t xml:space="preserve"> </w:t>
      </w:r>
      <w:r>
        <w:rPr>
          <w:sz w:val="21"/>
        </w:rPr>
        <w:t>juvenil</w:t>
      </w:r>
      <w:r>
        <w:rPr>
          <w:sz w:val="21"/>
        </w:rPr>
        <w:t>e</w:t>
      </w:r>
      <w:r>
        <w:rPr>
          <w:spacing w:val="-2"/>
          <w:sz w:val="21"/>
        </w:rPr>
        <w:t xml:space="preserve"> </w:t>
      </w:r>
      <w:r>
        <w:rPr>
          <w:sz w:val="21"/>
        </w:rPr>
        <w:t>justice</w:t>
      </w:r>
      <w:r>
        <w:rPr>
          <w:spacing w:val="-2"/>
          <w:sz w:val="21"/>
        </w:rPr>
        <w:t xml:space="preserve"> </w:t>
      </w:r>
      <w:r>
        <w:rPr>
          <w:sz w:val="21"/>
        </w:rPr>
        <w:t>system</w:t>
      </w:r>
      <w:r>
        <w:rPr>
          <w:spacing w:val="-3"/>
          <w:sz w:val="21"/>
        </w:rPr>
        <w:t xml:space="preserve"> </w:t>
      </w:r>
      <w:r>
        <w:rPr>
          <w:sz w:val="21"/>
        </w:rPr>
        <w:t>identify as LGBTQ, though 83% of its detained juvenile population identifies as BIPOC.</w:t>
      </w:r>
      <w:hyperlink w:anchor="_bookmark298" w:history="1">
        <w:r>
          <w:rPr>
            <w:sz w:val="21"/>
            <w:vertAlign w:val="superscript"/>
          </w:rPr>
          <w:t>44</w:t>
        </w:r>
      </w:hyperlink>
      <w:r>
        <w:rPr>
          <w:spacing w:val="-2"/>
          <w:sz w:val="21"/>
        </w:rPr>
        <w:t xml:space="preserve"> </w:t>
      </w:r>
      <w:r>
        <w:rPr>
          <w:sz w:val="21"/>
        </w:rPr>
        <w:t>Many LGBTQ prisoners are survivors</w:t>
      </w:r>
      <w:r>
        <w:rPr>
          <w:spacing w:val="-9"/>
          <w:sz w:val="21"/>
        </w:rPr>
        <w:t xml:space="preserve"> </w:t>
      </w:r>
      <w:r>
        <w:rPr>
          <w:sz w:val="21"/>
        </w:rPr>
        <w:t>of</w:t>
      </w:r>
      <w:r>
        <w:rPr>
          <w:spacing w:val="-7"/>
          <w:sz w:val="21"/>
        </w:rPr>
        <w:t xml:space="preserve"> </w:t>
      </w:r>
      <w:r>
        <w:rPr>
          <w:sz w:val="21"/>
        </w:rPr>
        <w:t>childhood</w:t>
      </w:r>
      <w:r>
        <w:rPr>
          <w:spacing w:val="-8"/>
          <w:sz w:val="21"/>
        </w:rPr>
        <w:t xml:space="preserve"> </w:t>
      </w:r>
      <w:r>
        <w:rPr>
          <w:sz w:val="21"/>
        </w:rPr>
        <w:t>abuse</w:t>
      </w:r>
      <w:r>
        <w:rPr>
          <w:spacing w:val="-10"/>
          <w:sz w:val="21"/>
        </w:rPr>
        <w:t xml:space="preserve"> </w:t>
      </w:r>
      <w:r>
        <w:rPr>
          <w:sz w:val="21"/>
        </w:rPr>
        <w:t>and</w:t>
      </w:r>
      <w:r>
        <w:rPr>
          <w:spacing w:val="-8"/>
          <w:sz w:val="21"/>
        </w:rPr>
        <w:t xml:space="preserve"> </w:t>
      </w:r>
      <w:r>
        <w:rPr>
          <w:sz w:val="21"/>
        </w:rPr>
        <w:t>trauma,</w:t>
      </w:r>
      <w:r>
        <w:rPr>
          <w:spacing w:val="-10"/>
          <w:sz w:val="21"/>
        </w:rPr>
        <w:t xml:space="preserve"> </w:t>
      </w:r>
      <w:r>
        <w:rPr>
          <w:sz w:val="21"/>
        </w:rPr>
        <w:t>were</w:t>
      </w:r>
      <w:r>
        <w:rPr>
          <w:spacing w:val="-7"/>
          <w:sz w:val="21"/>
        </w:rPr>
        <w:t xml:space="preserve"> </w:t>
      </w:r>
      <w:r>
        <w:rPr>
          <w:sz w:val="21"/>
        </w:rPr>
        <w:t>unemployed</w:t>
      </w:r>
      <w:r>
        <w:rPr>
          <w:spacing w:val="-8"/>
          <w:sz w:val="21"/>
        </w:rPr>
        <w:t xml:space="preserve"> </w:t>
      </w:r>
      <w:r>
        <w:rPr>
          <w:sz w:val="21"/>
        </w:rPr>
        <w:t>or</w:t>
      </w:r>
      <w:r>
        <w:rPr>
          <w:spacing w:val="-9"/>
          <w:sz w:val="21"/>
        </w:rPr>
        <w:t xml:space="preserve"> </w:t>
      </w:r>
      <w:r>
        <w:rPr>
          <w:sz w:val="21"/>
        </w:rPr>
        <w:t>homeless</w:t>
      </w:r>
      <w:r>
        <w:rPr>
          <w:spacing w:val="-9"/>
          <w:sz w:val="21"/>
        </w:rPr>
        <w:t xml:space="preserve"> </w:t>
      </w:r>
      <w:r>
        <w:rPr>
          <w:sz w:val="21"/>
        </w:rPr>
        <w:t>before</w:t>
      </w:r>
      <w:r>
        <w:rPr>
          <w:spacing w:val="-7"/>
          <w:sz w:val="21"/>
        </w:rPr>
        <w:t xml:space="preserve"> </w:t>
      </w:r>
      <w:r>
        <w:rPr>
          <w:sz w:val="21"/>
        </w:rPr>
        <w:t>incarceration,</w:t>
      </w:r>
      <w:r>
        <w:rPr>
          <w:spacing w:val="-8"/>
          <w:sz w:val="21"/>
        </w:rPr>
        <w:t xml:space="preserve"> </w:t>
      </w:r>
      <w:r>
        <w:rPr>
          <w:sz w:val="21"/>
        </w:rPr>
        <w:t>and</w:t>
      </w:r>
      <w:r>
        <w:rPr>
          <w:spacing w:val="-8"/>
          <w:sz w:val="21"/>
        </w:rPr>
        <w:t xml:space="preserve"> </w:t>
      </w:r>
      <w:r>
        <w:rPr>
          <w:sz w:val="21"/>
        </w:rPr>
        <w:t>experience violence, sexual assault, and human rights abuses within the gender-segregated justice system. Finally, research</w:t>
      </w:r>
      <w:r>
        <w:rPr>
          <w:spacing w:val="-12"/>
          <w:sz w:val="21"/>
        </w:rPr>
        <w:t xml:space="preserve"> </w:t>
      </w:r>
      <w:r>
        <w:rPr>
          <w:sz w:val="21"/>
        </w:rPr>
        <w:t>shows</w:t>
      </w:r>
      <w:r>
        <w:rPr>
          <w:spacing w:val="-12"/>
          <w:sz w:val="21"/>
        </w:rPr>
        <w:t xml:space="preserve"> </w:t>
      </w:r>
      <w:r>
        <w:rPr>
          <w:sz w:val="21"/>
        </w:rPr>
        <w:t>that</w:t>
      </w:r>
      <w:r>
        <w:rPr>
          <w:spacing w:val="-12"/>
          <w:sz w:val="21"/>
        </w:rPr>
        <w:t xml:space="preserve"> </w:t>
      </w:r>
      <w:r>
        <w:rPr>
          <w:sz w:val="21"/>
        </w:rPr>
        <w:t>arrest</w:t>
      </w:r>
      <w:r>
        <w:rPr>
          <w:spacing w:val="-12"/>
          <w:sz w:val="21"/>
        </w:rPr>
        <w:t xml:space="preserve"> </w:t>
      </w:r>
      <w:r>
        <w:rPr>
          <w:sz w:val="21"/>
        </w:rPr>
        <w:t>rates</w:t>
      </w:r>
      <w:r>
        <w:rPr>
          <w:spacing w:val="-12"/>
          <w:sz w:val="21"/>
        </w:rPr>
        <w:t xml:space="preserve"> </w:t>
      </w:r>
      <w:r>
        <w:rPr>
          <w:sz w:val="21"/>
        </w:rPr>
        <w:t>are</w:t>
      </w:r>
      <w:r>
        <w:rPr>
          <w:spacing w:val="-12"/>
          <w:sz w:val="21"/>
        </w:rPr>
        <w:t xml:space="preserve"> </w:t>
      </w:r>
      <w:r>
        <w:rPr>
          <w:sz w:val="21"/>
        </w:rPr>
        <w:t>higher</w:t>
      </w:r>
      <w:r>
        <w:rPr>
          <w:spacing w:val="-12"/>
          <w:sz w:val="21"/>
        </w:rPr>
        <w:t xml:space="preserve"> </w:t>
      </w:r>
      <w:r>
        <w:rPr>
          <w:sz w:val="21"/>
        </w:rPr>
        <w:t>for</w:t>
      </w:r>
      <w:r>
        <w:rPr>
          <w:spacing w:val="-11"/>
          <w:sz w:val="21"/>
        </w:rPr>
        <w:t xml:space="preserve"> </w:t>
      </w:r>
      <w:r>
        <w:rPr>
          <w:sz w:val="21"/>
        </w:rPr>
        <w:t>BIPOC</w:t>
      </w:r>
      <w:r>
        <w:rPr>
          <w:spacing w:val="-12"/>
          <w:sz w:val="21"/>
        </w:rPr>
        <w:t xml:space="preserve"> </w:t>
      </w:r>
      <w:r>
        <w:rPr>
          <w:sz w:val="21"/>
        </w:rPr>
        <w:t>(especially</w:t>
      </w:r>
      <w:r>
        <w:rPr>
          <w:spacing w:val="-12"/>
          <w:sz w:val="21"/>
        </w:rPr>
        <w:t xml:space="preserve"> </w:t>
      </w:r>
      <w:r>
        <w:rPr>
          <w:sz w:val="21"/>
        </w:rPr>
        <w:t>Black,</w:t>
      </w:r>
      <w:r>
        <w:rPr>
          <w:spacing w:val="-12"/>
          <w:sz w:val="21"/>
        </w:rPr>
        <w:t xml:space="preserve"> </w:t>
      </w:r>
      <w:r>
        <w:rPr>
          <w:sz w:val="21"/>
        </w:rPr>
        <w:t>Latine,</w:t>
      </w:r>
      <w:r>
        <w:rPr>
          <w:spacing w:val="-12"/>
          <w:sz w:val="21"/>
        </w:rPr>
        <w:t xml:space="preserve"> </w:t>
      </w:r>
      <w:r>
        <w:rPr>
          <w:sz w:val="21"/>
        </w:rPr>
        <w:t>and</w:t>
      </w:r>
      <w:r>
        <w:rPr>
          <w:spacing w:val="-12"/>
          <w:sz w:val="21"/>
        </w:rPr>
        <w:t xml:space="preserve"> </w:t>
      </w:r>
      <w:r>
        <w:rPr>
          <w:sz w:val="21"/>
        </w:rPr>
        <w:t>Indigenous)</w:t>
      </w:r>
      <w:r>
        <w:rPr>
          <w:spacing w:val="-12"/>
          <w:sz w:val="21"/>
        </w:rPr>
        <w:t xml:space="preserve"> </w:t>
      </w:r>
      <w:r>
        <w:rPr>
          <w:sz w:val="21"/>
        </w:rPr>
        <w:t>and</w:t>
      </w:r>
      <w:r>
        <w:rPr>
          <w:spacing w:val="-12"/>
          <w:sz w:val="21"/>
        </w:rPr>
        <w:t xml:space="preserve"> </w:t>
      </w:r>
      <w:r>
        <w:rPr>
          <w:sz w:val="21"/>
        </w:rPr>
        <w:t>transgender youth, due at least in p</w:t>
      </w:r>
      <w:r>
        <w:rPr>
          <w:sz w:val="21"/>
        </w:rPr>
        <w:t>art to prejudice, poverty, and inequitable laws such as criminalization of sex work.</w:t>
      </w:r>
    </w:p>
    <w:p w:rsidR="00200FDA" w:rsidRDefault="00200FDA">
      <w:pPr>
        <w:pStyle w:val="BodyText"/>
        <w:spacing w:before="7"/>
        <w:rPr>
          <w:sz w:val="19"/>
        </w:rPr>
      </w:pPr>
    </w:p>
    <w:p w:rsidR="00200FDA" w:rsidRDefault="00F76C4C">
      <w:pPr>
        <w:spacing w:before="1" w:line="276" w:lineRule="auto"/>
        <w:ind w:left="3739" w:right="254"/>
        <w:jc w:val="both"/>
        <w:rPr>
          <w:sz w:val="21"/>
        </w:rPr>
      </w:pPr>
      <w:r>
        <w:rPr>
          <w:noProof/>
        </w:rPr>
        <w:drawing>
          <wp:anchor distT="0" distB="0" distL="0" distR="0" simplePos="0" relativeHeight="15760896" behindDoc="0" locked="0" layoutInCell="1" allowOverlap="1">
            <wp:simplePos x="0" y="0"/>
            <wp:positionH relativeFrom="page">
              <wp:posOffset>980991</wp:posOffset>
            </wp:positionH>
            <wp:positionV relativeFrom="paragraph">
              <wp:posOffset>235738</wp:posOffset>
            </wp:positionV>
            <wp:extent cx="2064337" cy="929758"/>
            <wp:effectExtent l="0" t="0" r="0" b="0"/>
            <wp:wrapNone/>
            <wp:docPr id="37"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3.jpeg"/>
                    <pic:cNvPicPr/>
                  </pic:nvPicPr>
                  <pic:blipFill>
                    <a:blip r:embed="rId234" cstate="print"/>
                    <a:stretch>
                      <a:fillRect/>
                    </a:stretch>
                  </pic:blipFill>
                  <pic:spPr>
                    <a:xfrm>
                      <a:off x="0" y="0"/>
                      <a:ext cx="2064337" cy="929758"/>
                    </a:xfrm>
                    <a:prstGeom prst="rect">
                      <a:avLst/>
                    </a:prstGeom>
                  </pic:spPr>
                </pic:pic>
              </a:graphicData>
            </a:graphic>
          </wp:anchor>
        </w:drawing>
      </w:r>
      <w:r>
        <w:rPr>
          <w:sz w:val="21"/>
        </w:rPr>
        <w:t>Meanwhile, around 1 in 5 foster youth in the US is LGBTQ, though as discussed in the child welfare section of this annual report, this number is currently estimated to b</w:t>
      </w:r>
      <w:r>
        <w:rPr>
          <w:sz w:val="21"/>
        </w:rPr>
        <w:t>e lower in Massachusetts. However, staff often do not ask about youths’ identities, putting them at risk of being denied services or mistreated within foster placements.</w:t>
      </w:r>
      <w:hyperlink w:anchor="_bookmark299" w:history="1">
        <w:r>
          <w:rPr>
            <w:sz w:val="21"/>
            <w:vertAlign w:val="superscript"/>
          </w:rPr>
          <w:t>45</w:t>
        </w:r>
      </w:hyperlink>
      <w:r>
        <w:rPr>
          <w:spacing w:val="-3"/>
          <w:sz w:val="21"/>
        </w:rPr>
        <w:t xml:space="preserve"> </w:t>
      </w:r>
      <w:r>
        <w:rPr>
          <w:sz w:val="21"/>
        </w:rPr>
        <w:t>This is troubling, as one study found that, nationally, LGBTQ youth had</w:t>
      </w:r>
      <w:r>
        <w:rPr>
          <w:spacing w:val="-1"/>
          <w:sz w:val="21"/>
        </w:rPr>
        <w:t xml:space="preserve"> </w:t>
      </w:r>
      <w:r>
        <w:rPr>
          <w:sz w:val="21"/>
        </w:rPr>
        <w:t>an average of 6 foster placements, nearly double that</w:t>
      </w:r>
      <w:r>
        <w:rPr>
          <w:spacing w:val="19"/>
          <w:sz w:val="21"/>
        </w:rPr>
        <w:t xml:space="preserve"> </w:t>
      </w:r>
      <w:r>
        <w:rPr>
          <w:sz w:val="21"/>
        </w:rPr>
        <w:t>of</w:t>
      </w:r>
      <w:r>
        <w:rPr>
          <w:spacing w:val="20"/>
          <w:sz w:val="21"/>
        </w:rPr>
        <w:t xml:space="preserve"> </w:t>
      </w:r>
      <w:r>
        <w:rPr>
          <w:sz w:val="21"/>
        </w:rPr>
        <w:t>their</w:t>
      </w:r>
      <w:r>
        <w:rPr>
          <w:spacing w:val="20"/>
          <w:sz w:val="21"/>
        </w:rPr>
        <w:t xml:space="preserve"> </w:t>
      </w:r>
      <w:r>
        <w:rPr>
          <w:sz w:val="21"/>
        </w:rPr>
        <w:t>straight</w:t>
      </w:r>
      <w:r>
        <w:rPr>
          <w:spacing w:val="19"/>
          <w:sz w:val="21"/>
        </w:rPr>
        <w:t xml:space="preserve"> </w:t>
      </w:r>
      <w:r>
        <w:rPr>
          <w:sz w:val="21"/>
        </w:rPr>
        <w:t>peers;</w:t>
      </w:r>
      <w:r>
        <w:rPr>
          <w:spacing w:val="19"/>
          <w:sz w:val="21"/>
        </w:rPr>
        <w:t xml:space="preserve"> </w:t>
      </w:r>
      <w:r>
        <w:rPr>
          <w:sz w:val="21"/>
        </w:rPr>
        <w:t>LGBTQ</w:t>
      </w:r>
      <w:r>
        <w:rPr>
          <w:spacing w:val="20"/>
          <w:sz w:val="21"/>
        </w:rPr>
        <w:t xml:space="preserve"> </w:t>
      </w:r>
      <w:r>
        <w:rPr>
          <w:sz w:val="21"/>
        </w:rPr>
        <w:t>foster</w:t>
      </w:r>
      <w:r>
        <w:rPr>
          <w:spacing w:val="20"/>
          <w:sz w:val="21"/>
        </w:rPr>
        <w:t xml:space="preserve"> </w:t>
      </w:r>
      <w:r>
        <w:rPr>
          <w:sz w:val="21"/>
        </w:rPr>
        <w:t>youth</w:t>
      </w:r>
      <w:r>
        <w:rPr>
          <w:spacing w:val="19"/>
          <w:sz w:val="21"/>
        </w:rPr>
        <w:t xml:space="preserve"> </w:t>
      </w:r>
      <w:r>
        <w:rPr>
          <w:sz w:val="21"/>
        </w:rPr>
        <w:t>are</w:t>
      </w:r>
      <w:r>
        <w:rPr>
          <w:spacing w:val="20"/>
          <w:sz w:val="21"/>
        </w:rPr>
        <w:t xml:space="preserve"> </w:t>
      </w:r>
      <w:r>
        <w:rPr>
          <w:sz w:val="21"/>
        </w:rPr>
        <w:t>also</w:t>
      </w:r>
      <w:r>
        <w:rPr>
          <w:spacing w:val="19"/>
          <w:sz w:val="21"/>
        </w:rPr>
        <w:t xml:space="preserve"> </w:t>
      </w:r>
      <w:r>
        <w:rPr>
          <w:sz w:val="21"/>
        </w:rPr>
        <w:t>twice</w:t>
      </w:r>
      <w:r>
        <w:rPr>
          <w:spacing w:val="21"/>
          <w:sz w:val="21"/>
        </w:rPr>
        <w:t xml:space="preserve"> </w:t>
      </w:r>
      <w:r>
        <w:rPr>
          <w:spacing w:val="-5"/>
          <w:sz w:val="21"/>
        </w:rPr>
        <w:t>as</w:t>
      </w:r>
    </w:p>
    <w:p w:rsidR="00200FDA" w:rsidRDefault="00F76C4C">
      <w:pPr>
        <w:spacing w:line="276" w:lineRule="auto"/>
        <w:ind w:left="139" w:right="257"/>
        <w:jc w:val="both"/>
        <w:rPr>
          <w:sz w:val="21"/>
        </w:rPr>
      </w:pPr>
      <w:r>
        <w:rPr>
          <w:sz w:val="21"/>
        </w:rPr>
        <w:t>likely</w:t>
      </w:r>
      <w:r>
        <w:rPr>
          <w:spacing w:val="-9"/>
          <w:sz w:val="21"/>
        </w:rPr>
        <w:t xml:space="preserve"> </w:t>
      </w:r>
      <w:r>
        <w:rPr>
          <w:sz w:val="21"/>
        </w:rPr>
        <w:t>to</w:t>
      </w:r>
      <w:r>
        <w:rPr>
          <w:spacing w:val="-9"/>
          <w:sz w:val="21"/>
        </w:rPr>
        <w:t xml:space="preserve"> </w:t>
      </w:r>
      <w:r>
        <w:rPr>
          <w:sz w:val="21"/>
        </w:rPr>
        <w:t>report</w:t>
      </w:r>
      <w:r>
        <w:rPr>
          <w:spacing w:val="-9"/>
          <w:sz w:val="21"/>
        </w:rPr>
        <w:t xml:space="preserve"> </w:t>
      </w:r>
      <w:r>
        <w:rPr>
          <w:sz w:val="21"/>
        </w:rPr>
        <w:t>being</w:t>
      </w:r>
      <w:r>
        <w:rPr>
          <w:spacing w:val="-9"/>
          <w:sz w:val="21"/>
        </w:rPr>
        <w:t xml:space="preserve"> </w:t>
      </w:r>
      <w:r>
        <w:rPr>
          <w:sz w:val="21"/>
        </w:rPr>
        <w:t>unfairly</w:t>
      </w:r>
      <w:r>
        <w:rPr>
          <w:spacing w:val="-10"/>
          <w:sz w:val="21"/>
        </w:rPr>
        <w:t xml:space="preserve"> </w:t>
      </w:r>
      <w:r>
        <w:rPr>
          <w:sz w:val="21"/>
        </w:rPr>
        <w:t>treated</w:t>
      </w:r>
      <w:r>
        <w:rPr>
          <w:spacing w:val="-9"/>
          <w:sz w:val="21"/>
        </w:rPr>
        <w:t xml:space="preserve"> </w:t>
      </w:r>
      <w:r>
        <w:rPr>
          <w:sz w:val="21"/>
        </w:rPr>
        <w:t>by</w:t>
      </w:r>
      <w:r>
        <w:rPr>
          <w:spacing w:val="-8"/>
          <w:sz w:val="21"/>
        </w:rPr>
        <w:t xml:space="preserve"> </w:t>
      </w:r>
      <w:r>
        <w:rPr>
          <w:sz w:val="21"/>
        </w:rPr>
        <w:t>the</w:t>
      </w:r>
      <w:r>
        <w:rPr>
          <w:spacing w:val="-8"/>
          <w:sz w:val="21"/>
        </w:rPr>
        <w:t xml:space="preserve"> </w:t>
      </w:r>
      <w:r>
        <w:rPr>
          <w:sz w:val="21"/>
        </w:rPr>
        <w:t>child</w:t>
      </w:r>
      <w:r>
        <w:rPr>
          <w:spacing w:val="-9"/>
          <w:sz w:val="21"/>
        </w:rPr>
        <w:t xml:space="preserve"> </w:t>
      </w:r>
      <w:r>
        <w:rPr>
          <w:sz w:val="21"/>
        </w:rPr>
        <w:t>welfare</w:t>
      </w:r>
      <w:r>
        <w:rPr>
          <w:spacing w:val="-10"/>
          <w:sz w:val="21"/>
        </w:rPr>
        <w:t xml:space="preserve"> </w:t>
      </w:r>
      <w:r>
        <w:rPr>
          <w:sz w:val="21"/>
        </w:rPr>
        <w:t>system,</w:t>
      </w:r>
      <w:r>
        <w:rPr>
          <w:spacing w:val="-8"/>
          <w:sz w:val="21"/>
        </w:rPr>
        <w:t xml:space="preserve"> </w:t>
      </w:r>
      <w:r>
        <w:rPr>
          <w:sz w:val="21"/>
        </w:rPr>
        <w:t>explaining</w:t>
      </w:r>
      <w:r>
        <w:rPr>
          <w:spacing w:val="-9"/>
          <w:sz w:val="21"/>
        </w:rPr>
        <w:t xml:space="preserve"> </w:t>
      </w:r>
      <w:r>
        <w:rPr>
          <w:sz w:val="21"/>
        </w:rPr>
        <w:t>why</w:t>
      </w:r>
      <w:r>
        <w:rPr>
          <w:spacing w:val="-8"/>
          <w:sz w:val="21"/>
        </w:rPr>
        <w:t xml:space="preserve"> </w:t>
      </w:r>
      <w:r>
        <w:rPr>
          <w:sz w:val="21"/>
        </w:rPr>
        <w:t>rates</w:t>
      </w:r>
      <w:r>
        <w:rPr>
          <w:spacing w:val="-11"/>
          <w:sz w:val="21"/>
        </w:rPr>
        <w:t xml:space="preserve"> </w:t>
      </w:r>
      <w:r>
        <w:rPr>
          <w:sz w:val="21"/>
        </w:rPr>
        <w:t>of</w:t>
      </w:r>
      <w:r>
        <w:rPr>
          <w:spacing w:val="-8"/>
          <w:sz w:val="21"/>
        </w:rPr>
        <w:t xml:space="preserve"> </w:t>
      </w:r>
      <w:r>
        <w:rPr>
          <w:sz w:val="21"/>
        </w:rPr>
        <w:t>placement</w:t>
      </w:r>
      <w:r>
        <w:rPr>
          <w:spacing w:val="-12"/>
          <w:sz w:val="21"/>
        </w:rPr>
        <w:t xml:space="preserve"> </w:t>
      </w:r>
      <w:r>
        <w:rPr>
          <w:sz w:val="21"/>
        </w:rPr>
        <w:t>run-away, school absenteeism, discipline, and dropout are so high. Unsurprisingly, LGBTQ foster youth are nearly three times as likely to be hospitalized for emotional reasons – yet when they age out of services, many are</w:t>
      </w:r>
      <w:r>
        <w:rPr>
          <w:sz w:val="21"/>
        </w:rPr>
        <w:t xml:space="preserve"> left on their own.</w:t>
      </w:r>
      <w:hyperlink w:anchor="_bookmark300" w:history="1">
        <w:r>
          <w:rPr>
            <w:sz w:val="21"/>
            <w:vertAlign w:val="superscript"/>
          </w:rPr>
          <w:t>46</w:t>
        </w:r>
      </w:hyperlink>
    </w:p>
    <w:p w:rsidR="00200FDA" w:rsidRDefault="00200FDA">
      <w:pPr>
        <w:pStyle w:val="BodyText"/>
        <w:spacing w:before="7"/>
        <w:rPr>
          <w:sz w:val="19"/>
        </w:rPr>
      </w:pPr>
    </w:p>
    <w:p w:rsidR="00200FDA" w:rsidRDefault="00F76C4C">
      <w:pPr>
        <w:spacing w:line="276" w:lineRule="auto"/>
        <w:ind w:left="139" w:right="254"/>
        <w:jc w:val="both"/>
        <w:rPr>
          <w:sz w:val="21"/>
        </w:rPr>
      </w:pPr>
      <w:r>
        <w:rPr>
          <w:sz w:val="21"/>
        </w:rPr>
        <w:t>Overall, the child welfare and juvenile justice systems should ensure that policies and programs supporting LGBTQ youth include supporting youth and families to prevent removal or detainment in the first place; recognizing trauma responses rather than simp</w:t>
      </w:r>
      <w:r>
        <w:rPr>
          <w:sz w:val="21"/>
        </w:rPr>
        <w:t>ly maligning youth as aggressive; offering LGBTQ competency trainings for system employees and foster parents; extending eligibility for support services after youth exit</w:t>
      </w:r>
    </w:p>
    <w:p w:rsidR="00200FDA" w:rsidRDefault="00200FDA">
      <w:pPr>
        <w:spacing w:line="276" w:lineRule="auto"/>
        <w:jc w:val="both"/>
        <w:rPr>
          <w:sz w:val="21"/>
        </w:rPr>
        <w:sectPr w:rsidR="00200FDA">
          <w:pgSz w:w="12240" w:h="15840"/>
          <w:pgMar w:top="1360" w:right="1180" w:bottom="1480" w:left="1300" w:header="761" w:footer="1208" w:gutter="0"/>
          <w:cols w:space="720"/>
        </w:sectPr>
      </w:pPr>
    </w:p>
    <w:p w:rsidR="00200FDA" w:rsidRDefault="00F76C4C">
      <w:pPr>
        <w:spacing w:before="64" w:line="276" w:lineRule="auto"/>
        <w:ind w:left="140" w:right="254"/>
        <w:jc w:val="both"/>
        <w:rPr>
          <w:sz w:val="21"/>
        </w:rPr>
      </w:pPr>
      <w:r>
        <w:rPr>
          <w:sz w:val="21"/>
        </w:rPr>
        <w:lastRenderedPageBreak/>
        <w:t>the systems; offering trauma-informed, LGBTQ-specific social spaces and</w:t>
      </w:r>
      <w:r>
        <w:rPr>
          <w:sz w:val="21"/>
        </w:rPr>
        <w:t xml:space="preserve"> support services; and creating pathways for reporting and enforcing consequences for anti-LGBTQ discrimination. For more detailed recommendations for DCF, see the Commission’s 2021 report, “LGBTQ Youth in the Massachusetts Child Welfare System: A Report o</w:t>
      </w:r>
      <w:r>
        <w:rPr>
          <w:sz w:val="21"/>
        </w:rPr>
        <w:t>n Pervasive Threats to Safety, Wellbeing, and Permanency.”</w:t>
      </w:r>
    </w:p>
    <w:p w:rsidR="00200FDA" w:rsidRDefault="00F76C4C">
      <w:pPr>
        <w:pStyle w:val="Heading8"/>
        <w:spacing w:before="160"/>
      </w:pPr>
      <w:bookmarkStart w:id="363" w:name="Evidence-Based_Clinical,_School_&amp;_Commun"/>
      <w:bookmarkEnd w:id="363"/>
      <w:r>
        <w:rPr>
          <w:color w:val="0A5293"/>
        </w:rPr>
        <w:t>Evidence-Based</w:t>
      </w:r>
      <w:r>
        <w:rPr>
          <w:color w:val="0A5293"/>
          <w:spacing w:val="-4"/>
        </w:rPr>
        <w:t xml:space="preserve"> </w:t>
      </w:r>
      <w:r>
        <w:rPr>
          <w:color w:val="0A5293"/>
        </w:rPr>
        <w:t>Clinical,</w:t>
      </w:r>
      <w:r>
        <w:rPr>
          <w:color w:val="0A5293"/>
          <w:spacing w:val="-6"/>
        </w:rPr>
        <w:t xml:space="preserve"> </w:t>
      </w:r>
      <w:r>
        <w:rPr>
          <w:color w:val="0A5293"/>
        </w:rPr>
        <w:t>School</w:t>
      </w:r>
      <w:r>
        <w:rPr>
          <w:color w:val="0A5293"/>
          <w:spacing w:val="-3"/>
        </w:rPr>
        <w:t xml:space="preserve"> </w:t>
      </w:r>
      <w:r>
        <w:rPr>
          <w:color w:val="0A5293"/>
        </w:rPr>
        <w:t>&amp;</w:t>
      </w:r>
      <w:r>
        <w:rPr>
          <w:color w:val="0A5293"/>
          <w:spacing w:val="-3"/>
        </w:rPr>
        <w:t xml:space="preserve"> </w:t>
      </w:r>
      <w:r>
        <w:rPr>
          <w:color w:val="0A5293"/>
        </w:rPr>
        <w:t>Community-Based</w:t>
      </w:r>
      <w:r>
        <w:rPr>
          <w:color w:val="0A5293"/>
          <w:spacing w:val="-1"/>
        </w:rPr>
        <w:t xml:space="preserve"> </w:t>
      </w:r>
      <w:r>
        <w:rPr>
          <w:color w:val="0A5293"/>
        </w:rPr>
        <w:t>Mental</w:t>
      </w:r>
      <w:r>
        <w:rPr>
          <w:color w:val="0A5293"/>
          <w:spacing w:val="-3"/>
        </w:rPr>
        <w:t xml:space="preserve"> </w:t>
      </w:r>
      <w:r>
        <w:rPr>
          <w:color w:val="0A5293"/>
        </w:rPr>
        <w:t>Health</w:t>
      </w:r>
      <w:r>
        <w:rPr>
          <w:color w:val="0A5293"/>
          <w:spacing w:val="-3"/>
        </w:rPr>
        <w:t xml:space="preserve"> </w:t>
      </w:r>
      <w:r>
        <w:rPr>
          <w:color w:val="0A5293"/>
          <w:spacing w:val="-2"/>
        </w:rPr>
        <w:t>Support</w:t>
      </w:r>
    </w:p>
    <w:p w:rsidR="00200FDA" w:rsidRDefault="00200FDA">
      <w:pPr>
        <w:pStyle w:val="BodyText"/>
        <w:spacing w:before="8"/>
        <w:rPr>
          <w:sz w:val="27"/>
        </w:rPr>
      </w:pPr>
    </w:p>
    <w:p w:rsidR="00200FDA" w:rsidRDefault="00F76C4C">
      <w:pPr>
        <w:spacing w:line="276" w:lineRule="auto"/>
        <w:ind w:left="139" w:right="253"/>
        <w:jc w:val="both"/>
        <w:rPr>
          <w:sz w:val="21"/>
        </w:rPr>
      </w:pPr>
      <w:r>
        <w:rPr>
          <w:sz w:val="21"/>
        </w:rPr>
        <w:t>When</w:t>
      </w:r>
      <w:r>
        <w:rPr>
          <w:spacing w:val="-4"/>
          <w:sz w:val="21"/>
        </w:rPr>
        <w:t xml:space="preserve"> </w:t>
      </w:r>
      <w:r>
        <w:rPr>
          <w:sz w:val="21"/>
        </w:rPr>
        <w:t>LGBTQ</w:t>
      </w:r>
      <w:r>
        <w:rPr>
          <w:spacing w:val="-6"/>
          <w:sz w:val="21"/>
        </w:rPr>
        <w:t xml:space="preserve"> </w:t>
      </w:r>
      <w:r>
        <w:rPr>
          <w:sz w:val="21"/>
        </w:rPr>
        <w:t>youth</w:t>
      </w:r>
      <w:r>
        <w:rPr>
          <w:spacing w:val="-4"/>
          <w:sz w:val="21"/>
        </w:rPr>
        <w:t xml:space="preserve"> </w:t>
      </w:r>
      <w:r>
        <w:rPr>
          <w:sz w:val="21"/>
        </w:rPr>
        <w:t>face</w:t>
      </w:r>
      <w:r>
        <w:rPr>
          <w:spacing w:val="-5"/>
          <w:sz w:val="21"/>
        </w:rPr>
        <w:t xml:space="preserve"> </w:t>
      </w:r>
      <w:r>
        <w:rPr>
          <w:sz w:val="21"/>
        </w:rPr>
        <w:t>mental</w:t>
      </w:r>
      <w:r>
        <w:rPr>
          <w:spacing w:val="-3"/>
          <w:sz w:val="21"/>
        </w:rPr>
        <w:t xml:space="preserve"> </w:t>
      </w:r>
      <w:r>
        <w:rPr>
          <w:sz w:val="21"/>
        </w:rPr>
        <w:t>health</w:t>
      </w:r>
      <w:r>
        <w:rPr>
          <w:spacing w:val="-4"/>
          <w:sz w:val="21"/>
        </w:rPr>
        <w:t xml:space="preserve"> </w:t>
      </w:r>
      <w:r>
        <w:rPr>
          <w:sz w:val="21"/>
        </w:rPr>
        <w:t>challenges</w:t>
      </w:r>
      <w:r>
        <w:rPr>
          <w:spacing w:val="-4"/>
          <w:sz w:val="21"/>
        </w:rPr>
        <w:t xml:space="preserve"> </w:t>
      </w:r>
      <w:r>
        <w:rPr>
          <w:sz w:val="21"/>
        </w:rPr>
        <w:t>like</w:t>
      </w:r>
      <w:r>
        <w:rPr>
          <w:spacing w:val="-3"/>
          <w:sz w:val="21"/>
        </w:rPr>
        <w:t xml:space="preserve"> </w:t>
      </w:r>
      <w:r>
        <w:rPr>
          <w:sz w:val="21"/>
        </w:rPr>
        <w:t>depression,</w:t>
      </w:r>
      <w:r>
        <w:rPr>
          <w:spacing w:val="-3"/>
          <w:sz w:val="21"/>
        </w:rPr>
        <w:t xml:space="preserve"> </w:t>
      </w:r>
      <w:r>
        <w:rPr>
          <w:sz w:val="21"/>
        </w:rPr>
        <w:t>trauma,</w:t>
      </w:r>
      <w:r>
        <w:rPr>
          <w:spacing w:val="-3"/>
          <w:sz w:val="21"/>
        </w:rPr>
        <w:t xml:space="preserve"> </w:t>
      </w:r>
      <w:r>
        <w:rPr>
          <w:sz w:val="21"/>
        </w:rPr>
        <w:t>or</w:t>
      </w:r>
      <w:r>
        <w:rPr>
          <w:spacing w:val="-2"/>
          <w:sz w:val="21"/>
        </w:rPr>
        <w:t xml:space="preserve"> </w:t>
      </w:r>
      <w:r>
        <w:rPr>
          <w:sz w:val="21"/>
        </w:rPr>
        <w:t>suicidality,</w:t>
      </w:r>
      <w:r>
        <w:rPr>
          <w:spacing w:val="-3"/>
          <w:sz w:val="21"/>
        </w:rPr>
        <w:t xml:space="preserve"> </w:t>
      </w:r>
      <w:r>
        <w:rPr>
          <w:sz w:val="21"/>
        </w:rPr>
        <w:t>professional</w:t>
      </w:r>
      <w:r>
        <w:rPr>
          <w:spacing w:val="-4"/>
          <w:sz w:val="21"/>
        </w:rPr>
        <w:t xml:space="preserve"> </w:t>
      </w:r>
      <w:r>
        <w:rPr>
          <w:sz w:val="21"/>
        </w:rPr>
        <w:t>support is</w:t>
      </w:r>
      <w:r>
        <w:rPr>
          <w:spacing w:val="-12"/>
          <w:sz w:val="21"/>
        </w:rPr>
        <w:t xml:space="preserve"> </w:t>
      </w:r>
      <w:r>
        <w:rPr>
          <w:sz w:val="21"/>
        </w:rPr>
        <w:t>often</w:t>
      </w:r>
      <w:r>
        <w:rPr>
          <w:spacing w:val="-12"/>
          <w:sz w:val="21"/>
        </w:rPr>
        <w:t xml:space="preserve"> </w:t>
      </w:r>
      <w:r>
        <w:rPr>
          <w:sz w:val="21"/>
        </w:rPr>
        <w:t>the</w:t>
      </w:r>
      <w:r>
        <w:rPr>
          <w:spacing w:val="-12"/>
          <w:sz w:val="21"/>
        </w:rPr>
        <w:t xml:space="preserve"> </w:t>
      </w:r>
      <w:r>
        <w:rPr>
          <w:sz w:val="21"/>
        </w:rPr>
        <w:t>fi</w:t>
      </w:r>
      <w:r>
        <w:rPr>
          <w:sz w:val="21"/>
        </w:rPr>
        <w:t>rst</w:t>
      </w:r>
      <w:r>
        <w:rPr>
          <w:spacing w:val="-12"/>
          <w:sz w:val="21"/>
        </w:rPr>
        <w:t xml:space="preserve"> </w:t>
      </w:r>
      <w:r>
        <w:rPr>
          <w:sz w:val="21"/>
        </w:rPr>
        <w:t>step.</w:t>
      </w:r>
      <w:r>
        <w:rPr>
          <w:spacing w:val="-12"/>
          <w:sz w:val="21"/>
        </w:rPr>
        <w:t xml:space="preserve"> </w:t>
      </w:r>
      <w:r>
        <w:rPr>
          <w:sz w:val="21"/>
        </w:rPr>
        <w:t>However,</w:t>
      </w:r>
      <w:r>
        <w:rPr>
          <w:spacing w:val="-12"/>
          <w:sz w:val="21"/>
        </w:rPr>
        <w:t xml:space="preserve"> </w:t>
      </w:r>
      <w:r>
        <w:rPr>
          <w:sz w:val="21"/>
        </w:rPr>
        <w:t>research</w:t>
      </w:r>
      <w:r>
        <w:rPr>
          <w:spacing w:val="-12"/>
          <w:sz w:val="21"/>
        </w:rPr>
        <w:t xml:space="preserve"> </w:t>
      </w:r>
      <w:r>
        <w:rPr>
          <w:sz w:val="21"/>
        </w:rPr>
        <w:t>about</w:t>
      </w:r>
      <w:r>
        <w:rPr>
          <w:spacing w:val="-11"/>
          <w:sz w:val="21"/>
        </w:rPr>
        <w:t xml:space="preserve"> </w:t>
      </w:r>
      <w:r>
        <w:rPr>
          <w:sz w:val="21"/>
        </w:rPr>
        <w:t>therapy</w:t>
      </w:r>
      <w:r>
        <w:rPr>
          <w:spacing w:val="-12"/>
          <w:sz w:val="21"/>
        </w:rPr>
        <w:t xml:space="preserve"> </w:t>
      </w:r>
      <w:r>
        <w:rPr>
          <w:sz w:val="21"/>
        </w:rPr>
        <w:t>for</w:t>
      </w:r>
      <w:r>
        <w:rPr>
          <w:spacing w:val="-12"/>
          <w:sz w:val="21"/>
        </w:rPr>
        <w:t xml:space="preserve"> </w:t>
      </w:r>
      <w:r>
        <w:rPr>
          <w:sz w:val="21"/>
        </w:rPr>
        <w:t>LGBTQ</w:t>
      </w:r>
      <w:r>
        <w:rPr>
          <w:spacing w:val="-12"/>
          <w:sz w:val="21"/>
        </w:rPr>
        <w:t xml:space="preserve"> </w:t>
      </w:r>
      <w:r>
        <w:rPr>
          <w:sz w:val="21"/>
        </w:rPr>
        <w:t>youth</w:t>
      </w:r>
      <w:r>
        <w:rPr>
          <w:spacing w:val="-12"/>
          <w:sz w:val="21"/>
        </w:rPr>
        <w:t xml:space="preserve"> </w:t>
      </w:r>
      <w:r>
        <w:rPr>
          <w:sz w:val="21"/>
        </w:rPr>
        <w:t>is</w:t>
      </w:r>
      <w:r>
        <w:rPr>
          <w:spacing w:val="-12"/>
          <w:sz w:val="21"/>
        </w:rPr>
        <w:t xml:space="preserve"> </w:t>
      </w:r>
      <w:r>
        <w:rPr>
          <w:sz w:val="21"/>
        </w:rPr>
        <w:t>still</w:t>
      </w:r>
      <w:r>
        <w:rPr>
          <w:spacing w:val="-12"/>
          <w:sz w:val="21"/>
        </w:rPr>
        <w:t xml:space="preserve"> </w:t>
      </w:r>
      <w:r>
        <w:rPr>
          <w:sz w:val="21"/>
        </w:rPr>
        <w:t>“severely</w:t>
      </w:r>
      <w:r>
        <w:rPr>
          <w:spacing w:val="-12"/>
          <w:sz w:val="21"/>
        </w:rPr>
        <w:t xml:space="preserve"> </w:t>
      </w:r>
      <w:r>
        <w:rPr>
          <w:sz w:val="21"/>
        </w:rPr>
        <w:t>lacking.”</w:t>
      </w:r>
      <w:r>
        <w:rPr>
          <w:spacing w:val="-11"/>
          <w:sz w:val="21"/>
        </w:rPr>
        <w:t xml:space="preserve"> </w:t>
      </w:r>
      <w:hyperlink w:anchor="_bookmark301" w:history="1">
        <w:r>
          <w:rPr>
            <w:sz w:val="21"/>
            <w:vertAlign w:val="superscript"/>
          </w:rPr>
          <w:t>47</w:t>
        </w:r>
      </w:hyperlink>
      <w:r>
        <w:rPr>
          <w:spacing w:val="-9"/>
          <w:sz w:val="21"/>
        </w:rPr>
        <w:t xml:space="preserve"> </w:t>
      </w:r>
      <w:r>
        <w:rPr>
          <w:sz w:val="21"/>
        </w:rPr>
        <w:t>One</w:t>
      </w:r>
      <w:r>
        <w:rPr>
          <w:spacing w:val="-11"/>
          <w:sz w:val="21"/>
        </w:rPr>
        <w:t xml:space="preserve"> </w:t>
      </w:r>
      <w:r>
        <w:rPr>
          <w:sz w:val="21"/>
        </w:rPr>
        <w:t>recent study</w:t>
      </w:r>
      <w:r>
        <w:rPr>
          <w:spacing w:val="-4"/>
          <w:sz w:val="21"/>
        </w:rPr>
        <w:t xml:space="preserve"> </w:t>
      </w:r>
      <w:r>
        <w:rPr>
          <w:sz w:val="21"/>
        </w:rPr>
        <w:t>reviewed</w:t>
      </w:r>
      <w:r>
        <w:rPr>
          <w:spacing w:val="-7"/>
          <w:sz w:val="21"/>
        </w:rPr>
        <w:t xml:space="preserve"> </w:t>
      </w:r>
      <w:r>
        <w:rPr>
          <w:sz w:val="21"/>
        </w:rPr>
        <w:t>over</w:t>
      </w:r>
      <w:r>
        <w:rPr>
          <w:spacing w:val="-4"/>
          <w:sz w:val="21"/>
        </w:rPr>
        <w:t xml:space="preserve"> </w:t>
      </w:r>
      <w:r>
        <w:rPr>
          <w:sz w:val="21"/>
        </w:rPr>
        <w:t>six</w:t>
      </w:r>
      <w:r>
        <w:rPr>
          <w:spacing w:val="-7"/>
          <w:sz w:val="21"/>
        </w:rPr>
        <w:t xml:space="preserve"> </w:t>
      </w:r>
      <w:r>
        <w:rPr>
          <w:sz w:val="21"/>
        </w:rPr>
        <w:t>thousand</w:t>
      </w:r>
      <w:r>
        <w:rPr>
          <w:spacing w:val="-5"/>
          <w:sz w:val="21"/>
        </w:rPr>
        <w:t xml:space="preserve"> </w:t>
      </w:r>
      <w:r>
        <w:rPr>
          <w:sz w:val="21"/>
        </w:rPr>
        <w:t>studies</w:t>
      </w:r>
      <w:r>
        <w:rPr>
          <w:spacing w:val="-5"/>
          <w:sz w:val="21"/>
        </w:rPr>
        <w:t xml:space="preserve"> </w:t>
      </w:r>
      <w:r>
        <w:rPr>
          <w:sz w:val="21"/>
        </w:rPr>
        <w:t>from</w:t>
      </w:r>
      <w:r>
        <w:rPr>
          <w:spacing w:val="-7"/>
          <w:sz w:val="21"/>
        </w:rPr>
        <w:t xml:space="preserve"> </w:t>
      </w:r>
      <w:r>
        <w:rPr>
          <w:sz w:val="21"/>
        </w:rPr>
        <w:t>2000</w:t>
      </w:r>
      <w:r>
        <w:rPr>
          <w:spacing w:val="-6"/>
          <w:sz w:val="21"/>
        </w:rPr>
        <w:t xml:space="preserve"> </w:t>
      </w:r>
      <w:r>
        <w:rPr>
          <w:sz w:val="21"/>
        </w:rPr>
        <w:t>to</w:t>
      </w:r>
      <w:r>
        <w:rPr>
          <w:spacing w:val="-8"/>
          <w:sz w:val="21"/>
        </w:rPr>
        <w:t xml:space="preserve"> </w:t>
      </w:r>
      <w:r>
        <w:rPr>
          <w:sz w:val="21"/>
        </w:rPr>
        <w:t>2019</w:t>
      </w:r>
      <w:r>
        <w:rPr>
          <w:spacing w:val="-6"/>
          <w:sz w:val="21"/>
        </w:rPr>
        <w:t xml:space="preserve"> </w:t>
      </w:r>
      <w:r>
        <w:rPr>
          <w:sz w:val="21"/>
        </w:rPr>
        <w:t>and</w:t>
      </w:r>
      <w:r>
        <w:rPr>
          <w:spacing w:val="-5"/>
          <w:sz w:val="21"/>
        </w:rPr>
        <w:t xml:space="preserve"> </w:t>
      </w:r>
      <w:r>
        <w:rPr>
          <w:sz w:val="21"/>
        </w:rPr>
        <w:t>found</w:t>
      </w:r>
      <w:r>
        <w:rPr>
          <w:spacing w:val="-7"/>
          <w:sz w:val="21"/>
        </w:rPr>
        <w:t xml:space="preserve"> </w:t>
      </w:r>
      <w:r>
        <w:rPr>
          <w:sz w:val="21"/>
        </w:rPr>
        <w:t>that</w:t>
      </w:r>
      <w:r>
        <w:rPr>
          <w:spacing w:val="-5"/>
          <w:sz w:val="21"/>
        </w:rPr>
        <w:t xml:space="preserve"> </w:t>
      </w:r>
      <w:r>
        <w:rPr>
          <w:sz w:val="21"/>
        </w:rPr>
        <w:t>only</w:t>
      </w:r>
      <w:r>
        <w:rPr>
          <w:spacing w:val="-4"/>
          <w:sz w:val="21"/>
        </w:rPr>
        <w:t xml:space="preserve"> </w:t>
      </w:r>
      <w:r>
        <w:rPr>
          <w:sz w:val="21"/>
        </w:rPr>
        <w:t>nine</w:t>
      </w:r>
      <w:r>
        <w:rPr>
          <w:spacing w:val="-4"/>
          <w:sz w:val="21"/>
        </w:rPr>
        <w:t xml:space="preserve"> </w:t>
      </w:r>
      <w:r>
        <w:rPr>
          <w:sz w:val="21"/>
        </w:rPr>
        <w:t>evaluated</w:t>
      </w:r>
      <w:r>
        <w:rPr>
          <w:spacing w:val="-7"/>
          <w:sz w:val="21"/>
        </w:rPr>
        <w:t xml:space="preserve"> </w:t>
      </w:r>
      <w:r>
        <w:rPr>
          <w:sz w:val="21"/>
        </w:rPr>
        <w:t>treatment</w:t>
      </w:r>
      <w:r>
        <w:rPr>
          <w:spacing w:val="-5"/>
          <w:sz w:val="21"/>
        </w:rPr>
        <w:t xml:space="preserve"> </w:t>
      </w:r>
      <w:r>
        <w:rPr>
          <w:sz w:val="21"/>
        </w:rPr>
        <w:t>for substance use, mental illness, or victimization among LGBTQ youth. Even then, most studies were small and focused</w:t>
      </w:r>
      <w:r>
        <w:rPr>
          <w:spacing w:val="-9"/>
          <w:sz w:val="21"/>
        </w:rPr>
        <w:t xml:space="preserve"> </w:t>
      </w:r>
      <w:r>
        <w:rPr>
          <w:sz w:val="21"/>
        </w:rPr>
        <w:t>on</w:t>
      </w:r>
      <w:r>
        <w:rPr>
          <w:spacing w:val="-9"/>
          <w:sz w:val="21"/>
        </w:rPr>
        <w:t xml:space="preserve"> </w:t>
      </w:r>
      <w:r>
        <w:rPr>
          <w:sz w:val="21"/>
        </w:rPr>
        <w:t>individual</w:t>
      </w:r>
      <w:r>
        <w:rPr>
          <w:spacing w:val="-9"/>
          <w:sz w:val="21"/>
        </w:rPr>
        <w:t xml:space="preserve"> </w:t>
      </w:r>
      <w:r>
        <w:rPr>
          <w:sz w:val="21"/>
        </w:rPr>
        <w:t>therapy;</w:t>
      </w:r>
      <w:hyperlink w:anchor="_bookmark302" w:history="1">
        <w:r>
          <w:rPr>
            <w:sz w:val="21"/>
            <w:vertAlign w:val="superscript"/>
          </w:rPr>
          <w:t>48</w:t>
        </w:r>
      </w:hyperlink>
      <w:r>
        <w:rPr>
          <w:spacing w:val="-2"/>
          <w:sz w:val="21"/>
        </w:rPr>
        <w:t xml:space="preserve"> </w:t>
      </w:r>
      <w:r>
        <w:rPr>
          <w:sz w:val="21"/>
        </w:rPr>
        <w:t>investment</w:t>
      </w:r>
      <w:r>
        <w:rPr>
          <w:spacing w:val="-9"/>
          <w:sz w:val="21"/>
        </w:rPr>
        <w:t xml:space="preserve"> </w:t>
      </w:r>
      <w:r>
        <w:rPr>
          <w:sz w:val="21"/>
        </w:rPr>
        <w:t>in</w:t>
      </w:r>
      <w:r>
        <w:rPr>
          <w:spacing w:val="-9"/>
          <w:sz w:val="21"/>
        </w:rPr>
        <w:t xml:space="preserve"> </w:t>
      </w:r>
      <w:r>
        <w:rPr>
          <w:sz w:val="21"/>
        </w:rPr>
        <w:t>research</w:t>
      </w:r>
      <w:r>
        <w:rPr>
          <w:spacing w:val="-9"/>
          <w:sz w:val="21"/>
        </w:rPr>
        <w:t xml:space="preserve"> </w:t>
      </w:r>
      <w:r>
        <w:rPr>
          <w:sz w:val="21"/>
        </w:rPr>
        <w:t>about</w:t>
      </w:r>
      <w:r>
        <w:rPr>
          <w:spacing w:val="-9"/>
          <w:sz w:val="21"/>
        </w:rPr>
        <w:t xml:space="preserve"> </w:t>
      </w:r>
      <w:r>
        <w:rPr>
          <w:sz w:val="21"/>
        </w:rPr>
        <w:t>specific</w:t>
      </w:r>
      <w:r>
        <w:rPr>
          <w:spacing w:val="-9"/>
          <w:sz w:val="21"/>
        </w:rPr>
        <w:t xml:space="preserve"> </w:t>
      </w:r>
      <w:r>
        <w:rPr>
          <w:sz w:val="21"/>
        </w:rPr>
        <w:t>treatment</w:t>
      </w:r>
      <w:r>
        <w:rPr>
          <w:spacing w:val="-9"/>
          <w:sz w:val="21"/>
        </w:rPr>
        <w:t xml:space="preserve"> </w:t>
      </w:r>
      <w:r>
        <w:rPr>
          <w:sz w:val="21"/>
        </w:rPr>
        <w:t>approaches</w:t>
      </w:r>
      <w:r>
        <w:rPr>
          <w:spacing w:val="-9"/>
          <w:sz w:val="21"/>
        </w:rPr>
        <w:t xml:space="preserve"> </w:t>
      </w:r>
      <w:r>
        <w:rPr>
          <w:sz w:val="21"/>
        </w:rPr>
        <w:t>for</w:t>
      </w:r>
      <w:r>
        <w:rPr>
          <w:spacing w:val="-10"/>
          <w:sz w:val="21"/>
        </w:rPr>
        <w:t xml:space="preserve"> </w:t>
      </w:r>
      <w:r>
        <w:rPr>
          <w:sz w:val="21"/>
        </w:rPr>
        <w:t>LGBTQ</w:t>
      </w:r>
      <w:r>
        <w:rPr>
          <w:spacing w:val="-11"/>
          <w:sz w:val="21"/>
        </w:rPr>
        <w:t xml:space="preserve"> </w:t>
      </w:r>
      <w:r>
        <w:rPr>
          <w:sz w:val="21"/>
        </w:rPr>
        <w:t>youth, especially those who are multiply-marginalized and underrepresented in the mental healthcare field, is essential to understanding LGBTQ youth needs.</w:t>
      </w:r>
    </w:p>
    <w:p w:rsidR="00200FDA" w:rsidRDefault="00200FDA">
      <w:pPr>
        <w:pStyle w:val="BodyText"/>
        <w:spacing w:before="9"/>
        <w:rPr>
          <w:sz w:val="19"/>
        </w:rPr>
      </w:pPr>
    </w:p>
    <w:p w:rsidR="00200FDA" w:rsidRDefault="00F76C4C">
      <w:pPr>
        <w:spacing w:line="276" w:lineRule="auto"/>
        <w:ind w:left="3835" w:right="254"/>
        <w:jc w:val="both"/>
        <w:rPr>
          <w:sz w:val="21"/>
        </w:rPr>
      </w:pPr>
      <w:r>
        <w:rPr>
          <w:noProof/>
        </w:rPr>
        <w:drawing>
          <wp:anchor distT="0" distB="0" distL="0" distR="0" simplePos="0" relativeHeight="15761408" behindDoc="0" locked="0" layoutInCell="1" allowOverlap="1">
            <wp:simplePos x="0" y="0"/>
            <wp:positionH relativeFrom="page">
              <wp:posOffset>937188</wp:posOffset>
            </wp:positionH>
            <wp:positionV relativeFrom="paragraph">
              <wp:posOffset>20897</wp:posOffset>
            </wp:positionV>
            <wp:extent cx="2202909" cy="1768475"/>
            <wp:effectExtent l="0" t="0" r="0" b="0"/>
            <wp:wrapNone/>
            <wp:docPr id="39"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4.jpeg"/>
                    <pic:cNvPicPr/>
                  </pic:nvPicPr>
                  <pic:blipFill>
                    <a:blip r:embed="rId235" cstate="print"/>
                    <a:stretch>
                      <a:fillRect/>
                    </a:stretch>
                  </pic:blipFill>
                  <pic:spPr>
                    <a:xfrm>
                      <a:off x="0" y="0"/>
                      <a:ext cx="2202909" cy="1768475"/>
                    </a:xfrm>
                    <a:prstGeom prst="rect">
                      <a:avLst/>
                    </a:prstGeom>
                  </pic:spPr>
                </pic:pic>
              </a:graphicData>
            </a:graphic>
          </wp:anchor>
        </w:drawing>
      </w:r>
      <w:r>
        <w:rPr>
          <w:sz w:val="21"/>
        </w:rPr>
        <w:t xml:space="preserve">In general, mental healthcare providers (MHPs) who want to provide affirming care for LGBTQ youth </w:t>
      </w:r>
      <w:r>
        <w:rPr>
          <w:sz w:val="21"/>
        </w:rPr>
        <w:t>can adopt the following best practices. First, MHPs should recognize that the personal is political:</w:t>
      </w:r>
      <w:r>
        <w:rPr>
          <w:spacing w:val="-12"/>
          <w:sz w:val="21"/>
        </w:rPr>
        <w:t xml:space="preserve"> </w:t>
      </w:r>
      <w:r>
        <w:rPr>
          <w:sz w:val="21"/>
        </w:rPr>
        <w:t>minority</w:t>
      </w:r>
      <w:r>
        <w:rPr>
          <w:spacing w:val="-11"/>
          <w:sz w:val="21"/>
        </w:rPr>
        <w:t xml:space="preserve"> </w:t>
      </w:r>
      <w:r>
        <w:rPr>
          <w:sz w:val="21"/>
        </w:rPr>
        <w:t>stress</w:t>
      </w:r>
      <w:r>
        <w:rPr>
          <w:spacing w:val="-12"/>
          <w:sz w:val="21"/>
        </w:rPr>
        <w:t xml:space="preserve"> </w:t>
      </w:r>
      <w:r>
        <w:rPr>
          <w:sz w:val="21"/>
        </w:rPr>
        <w:t>is</w:t>
      </w:r>
      <w:r>
        <w:rPr>
          <w:spacing w:val="-12"/>
          <w:sz w:val="21"/>
        </w:rPr>
        <w:t xml:space="preserve"> </w:t>
      </w:r>
      <w:r>
        <w:rPr>
          <w:sz w:val="21"/>
        </w:rPr>
        <w:t>intersectional,</w:t>
      </w:r>
      <w:r>
        <w:rPr>
          <w:spacing w:val="-11"/>
          <w:sz w:val="21"/>
        </w:rPr>
        <w:t xml:space="preserve"> </w:t>
      </w:r>
      <w:r>
        <w:rPr>
          <w:sz w:val="21"/>
        </w:rPr>
        <w:t>comes</w:t>
      </w:r>
      <w:r>
        <w:rPr>
          <w:spacing w:val="-12"/>
          <w:sz w:val="21"/>
        </w:rPr>
        <w:t xml:space="preserve"> </w:t>
      </w:r>
      <w:r>
        <w:rPr>
          <w:sz w:val="21"/>
        </w:rPr>
        <w:t>from</w:t>
      </w:r>
      <w:r>
        <w:rPr>
          <w:spacing w:val="-12"/>
          <w:sz w:val="21"/>
        </w:rPr>
        <w:t xml:space="preserve"> </w:t>
      </w:r>
      <w:r>
        <w:rPr>
          <w:sz w:val="21"/>
        </w:rPr>
        <w:t>many</w:t>
      </w:r>
      <w:r>
        <w:rPr>
          <w:spacing w:val="-11"/>
          <w:sz w:val="21"/>
        </w:rPr>
        <w:t xml:space="preserve"> </w:t>
      </w:r>
      <w:r>
        <w:rPr>
          <w:sz w:val="21"/>
        </w:rPr>
        <w:t>angles, and</w:t>
      </w:r>
      <w:r>
        <w:rPr>
          <w:spacing w:val="-7"/>
          <w:sz w:val="21"/>
        </w:rPr>
        <w:t xml:space="preserve"> </w:t>
      </w:r>
      <w:r>
        <w:rPr>
          <w:sz w:val="21"/>
        </w:rPr>
        <w:t>leaves</w:t>
      </w:r>
      <w:r>
        <w:rPr>
          <w:spacing w:val="-8"/>
          <w:sz w:val="21"/>
        </w:rPr>
        <w:t xml:space="preserve"> </w:t>
      </w:r>
      <w:r>
        <w:rPr>
          <w:sz w:val="21"/>
        </w:rPr>
        <w:t>many</w:t>
      </w:r>
      <w:r>
        <w:rPr>
          <w:spacing w:val="-7"/>
          <w:sz w:val="21"/>
        </w:rPr>
        <w:t xml:space="preserve"> </w:t>
      </w:r>
      <w:r>
        <w:rPr>
          <w:sz w:val="21"/>
        </w:rPr>
        <w:t>marks.</w:t>
      </w:r>
      <w:r>
        <w:rPr>
          <w:spacing w:val="-7"/>
          <w:sz w:val="21"/>
        </w:rPr>
        <w:t xml:space="preserve"> </w:t>
      </w:r>
      <w:r>
        <w:rPr>
          <w:sz w:val="21"/>
        </w:rPr>
        <w:t>Growing</w:t>
      </w:r>
      <w:r>
        <w:rPr>
          <w:spacing w:val="-8"/>
          <w:sz w:val="21"/>
        </w:rPr>
        <w:t xml:space="preserve"> </w:t>
      </w:r>
      <w:r>
        <w:rPr>
          <w:sz w:val="21"/>
        </w:rPr>
        <w:t>up</w:t>
      </w:r>
      <w:r>
        <w:rPr>
          <w:spacing w:val="-7"/>
          <w:sz w:val="21"/>
        </w:rPr>
        <w:t xml:space="preserve"> </w:t>
      </w:r>
      <w:r>
        <w:rPr>
          <w:sz w:val="21"/>
        </w:rPr>
        <w:t>in</w:t>
      </w:r>
      <w:r>
        <w:rPr>
          <w:spacing w:val="-7"/>
          <w:sz w:val="21"/>
        </w:rPr>
        <w:t xml:space="preserve"> </w:t>
      </w:r>
      <w:r>
        <w:rPr>
          <w:sz w:val="21"/>
        </w:rPr>
        <w:t>an</w:t>
      </w:r>
      <w:r>
        <w:rPr>
          <w:spacing w:val="-8"/>
          <w:sz w:val="21"/>
        </w:rPr>
        <w:t xml:space="preserve"> </w:t>
      </w:r>
      <w:r>
        <w:rPr>
          <w:sz w:val="21"/>
        </w:rPr>
        <w:t>LGBTQ-phobic</w:t>
      </w:r>
      <w:r>
        <w:rPr>
          <w:spacing w:val="-10"/>
          <w:sz w:val="21"/>
        </w:rPr>
        <w:t xml:space="preserve"> </w:t>
      </w:r>
      <w:r>
        <w:rPr>
          <w:sz w:val="21"/>
        </w:rPr>
        <w:t>world</w:t>
      </w:r>
      <w:r>
        <w:rPr>
          <w:spacing w:val="-7"/>
          <w:sz w:val="21"/>
        </w:rPr>
        <w:t xml:space="preserve"> </w:t>
      </w:r>
      <w:r>
        <w:rPr>
          <w:sz w:val="21"/>
        </w:rPr>
        <w:t>can cause complex (prolonged or repet</w:t>
      </w:r>
      <w:r>
        <w:rPr>
          <w:sz w:val="21"/>
        </w:rPr>
        <w:t>itive) trauma, including shame, betrayal, or abandonment.</w:t>
      </w:r>
      <w:r>
        <w:rPr>
          <w:spacing w:val="-1"/>
          <w:sz w:val="21"/>
        </w:rPr>
        <w:t xml:space="preserve"> </w:t>
      </w:r>
      <w:r>
        <w:rPr>
          <w:sz w:val="21"/>
        </w:rPr>
        <w:t>By asking about the various impacts of minority</w:t>
      </w:r>
      <w:r>
        <w:rPr>
          <w:spacing w:val="-12"/>
          <w:sz w:val="21"/>
        </w:rPr>
        <w:t xml:space="preserve"> </w:t>
      </w:r>
      <w:r>
        <w:rPr>
          <w:sz w:val="21"/>
        </w:rPr>
        <w:t>stress</w:t>
      </w:r>
      <w:r>
        <w:rPr>
          <w:spacing w:val="-12"/>
          <w:sz w:val="21"/>
        </w:rPr>
        <w:t xml:space="preserve"> </w:t>
      </w:r>
      <w:r>
        <w:rPr>
          <w:sz w:val="21"/>
        </w:rPr>
        <w:t>on</w:t>
      </w:r>
      <w:r>
        <w:rPr>
          <w:spacing w:val="-12"/>
          <w:sz w:val="21"/>
        </w:rPr>
        <w:t xml:space="preserve"> </w:t>
      </w:r>
      <w:r>
        <w:rPr>
          <w:sz w:val="21"/>
        </w:rPr>
        <w:t>youths’</w:t>
      </w:r>
      <w:r>
        <w:rPr>
          <w:spacing w:val="-12"/>
          <w:sz w:val="21"/>
        </w:rPr>
        <w:t xml:space="preserve"> </w:t>
      </w:r>
      <w:r>
        <w:rPr>
          <w:sz w:val="21"/>
        </w:rPr>
        <w:t>lives,</w:t>
      </w:r>
      <w:r>
        <w:rPr>
          <w:spacing w:val="-12"/>
          <w:sz w:val="21"/>
        </w:rPr>
        <w:t xml:space="preserve"> </w:t>
      </w:r>
      <w:r>
        <w:rPr>
          <w:sz w:val="21"/>
        </w:rPr>
        <w:t>such</w:t>
      </w:r>
      <w:r>
        <w:rPr>
          <w:spacing w:val="-12"/>
          <w:sz w:val="21"/>
        </w:rPr>
        <w:t xml:space="preserve"> </w:t>
      </w:r>
      <w:r>
        <w:rPr>
          <w:sz w:val="21"/>
        </w:rPr>
        <w:t>as</w:t>
      </w:r>
      <w:r>
        <w:rPr>
          <w:spacing w:val="-12"/>
          <w:sz w:val="21"/>
        </w:rPr>
        <w:t xml:space="preserve"> </w:t>
      </w:r>
      <w:r>
        <w:rPr>
          <w:sz w:val="21"/>
        </w:rPr>
        <w:t>hearing</w:t>
      </w:r>
      <w:r>
        <w:rPr>
          <w:spacing w:val="-11"/>
          <w:sz w:val="21"/>
        </w:rPr>
        <w:t xml:space="preserve"> </w:t>
      </w:r>
      <w:r>
        <w:rPr>
          <w:sz w:val="21"/>
        </w:rPr>
        <w:t>political</w:t>
      </w:r>
      <w:r>
        <w:rPr>
          <w:spacing w:val="-12"/>
          <w:sz w:val="21"/>
        </w:rPr>
        <w:t xml:space="preserve"> </w:t>
      </w:r>
      <w:r>
        <w:rPr>
          <w:sz w:val="21"/>
        </w:rPr>
        <w:t>candidates debate the validity of youths’ identities, MHPs can help youth connect</w:t>
      </w:r>
      <w:r>
        <w:rPr>
          <w:spacing w:val="46"/>
          <w:sz w:val="21"/>
        </w:rPr>
        <w:t xml:space="preserve"> </w:t>
      </w:r>
      <w:r>
        <w:rPr>
          <w:sz w:val="21"/>
        </w:rPr>
        <w:t>their</w:t>
      </w:r>
      <w:r>
        <w:rPr>
          <w:spacing w:val="50"/>
          <w:sz w:val="21"/>
        </w:rPr>
        <w:t xml:space="preserve"> </w:t>
      </w:r>
      <w:r>
        <w:rPr>
          <w:sz w:val="21"/>
        </w:rPr>
        <w:t>personal</w:t>
      </w:r>
      <w:r>
        <w:rPr>
          <w:spacing w:val="49"/>
          <w:sz w:val="21"/>
        </w:rPr>
        <w:t xml:space="preserve"> </w:t>
      </w:r>
      <w:r>
        <w:rPr>
          <w:sz w:val="21"/>
        </w:rPr>
        <w:t>experiences</w:t>
      </w:r>
      <w:r>
        <w:rPr>
          <w:spacing w:val="48"/>
          <w:sz w:val="21"/>
        </w:rPr>
        <w:t xml:space="preserve"> </w:t>
      </w:r>
      <w:r>
        <w:rPr>
          <w:sz w:val="21"/>
        </w:rPr>
        <w:t>to</w:t>
      </w:r>
      <w:r>
        <w:rPr>
          <w:spacing w:val="49"/>
          <w:sz w:val="21"/>
        </w:rPr>
        <w:t xml:space="preserve"> </w:t>
      </w:r>
      <w:r>
        <w:rPr>
          <w:sz w:val="21"/>
        </w:rPr>
        <w:t>wider</w:t>
      </w:r>
      <w:r>
        <w:rPr>
          <w:spacing w:val="50"/>
          <w:sz w:val="21"/>
        </w:rPr>
        <w:t xml:space="preserve"> </w:t>
      </w:r>
      <w:r>
        <w:rPr>
          <w:sz w:val="21"/>
        </w:rPr>
        <w:t>social</w:t>
      </w:r>
      <w:r>
        <w:rPr>
          <w:spacing w:val="49"/>
          <w:sz w:val="21"/>
        </w:rPr>
        <w:t xml:space="preserve"> </w:t>
      </w:r>
      <w:r>
        <w:rPr>
          <w:spacing w:val="-2"/>
          <w:sz w:val="21"/>
        </w:rPr>
        <w:t>conditions,</w:t>
      </w:r>
    </w:p>
    <w:p w:rsidR="00200FDA" w:rsidRDefault="00F76C4C">
      <w:pPr>
        <w:spacing w:line="276" w:lineRule="auto"/>
        <w:ind w:left="139" w:right="255"/>
        <w:jc w:val="both"/>
        <w:rPr>
          <w:sz w:val="21"/>
        </w:rPr>
      </w:pPr>
      <w:r>
        <w:rPr>
          <w:sz w:val="21"/>
        </w:rPr>
        <w:t>unlearn internalized LGBTQ-phobia, and develop positive identity. For more on this topic, see SAMHSA’s six principles of LGBTQ trauma-informed care and McCormick, Scheyd, &amp; Terrazas’ considerations for trauma- informed care with LGBTQ youth.</w:t>
      </w:r>
      <w:hyperlink w:anchor="_bookmark303" w:history="1">
        <w:r>
          <w:rPr>
            <w:sz w:val="21"/>
            <w:vertAlign w:val="superscript"/>
          </w:rPr>
          <w:t>49</w:t>
        </w:r>
      </w:hyperlink>
    </w:p>
    <w:p w:rsidR="00200FDA" w:rsidRDefault="00200FDA">
      <w:pPr>
        <w:pStyle w:val="BodyText"/>
        <w:spacing w:before="8"/>
        <w:rPr>
          <w:sz w:val="19"/>
        </w:rPr>
      </w:pPr>
    </w:p>
    <w:p w:rsidR="00200FDA" w:rsidRDefault="00F76C4C">
      <w:pPr>
        <w:spacing w:line="276" w:lineRule="auto"/>
        <w:ind w:left="139" w:right="254"/>
        <w:jc w:val="both"/>
        <w:rPr>
          <w:sz w:val="21"/>
        </w:rPr>
      </w:pPr>
      <w:r>
        <w:rPr>
          <w:sz w:val="21"/>
        </w:rPr>
        <w:t>Second, MHPs should adapt their services to be accessible and relevant to youth. For instance, many LGBTQ youth are active Internet users, more so during the age of COVID. Online services are more convenient, safe, and familiar for som</w:t>
      </w:r>
      <w:r>
        <w:rPr>
          <w:sz w:val="21"/>
        </w:rPr>
        <w:t>e youth, especially those who have privacy concerns, lack transportation, or live in rural areas. Groups can also be uniquely healing for youth – in particular, those who do not have many safe, supportive relationships or have limited contact with others l</w:t>
      </w:r>
      <w:r>
        <w:rPr>
          <w:sz w:val="21"/>
        </w:rPr>
        <w:t>ike them.</w:t>
      </w:r>
    </w:p>
    <w:p w:rsidR="00200FDA" w:rsidRDefault="00200FDA">
      <w:pPr>
        <w:pStyle w:val="BodyText"/>
        <w:spacing w:before="8"/>
        <w:rPr>
          <w:sz w:val="19"/>
        </w:rPr>
      </w:pPr>
    </w:p>
    <w:p w:rsidR="00200FDA" w:rsidRDefault="00F76C4C">
      <w:pPr>
        <w:spacing w:line="276" w:lineRule="auto"/>
        <w:ind w:left="139" w:right="253"/>
        <w:jc w:val="both"/>
        <w:rPr>
          <w:sz w:val="21"/>
        </w:rPr>
      </w:pPr>
      <w:r>
        <w:rPr>
          <w:sz w:val="21"/>
        </w:rPr>
        <w:t>Finally, research recommends that MHPs see LGBTQ youth mental health in terms of holistic emotional well- being, including social networks, community connections, and personal meaning in life.</w:t>
      </w:r>
      <w:hyperlink w:anchor="_bookmark304" w:history="1">
        <w:r>
          <w:rPr>
            <w:sz w:val="21"/>
            <w:vertAlign w:val="superscript"/>
          </w:rPr>
          <w:t>50</w:t>
        </w:r>
      </w:hyperlink>
      <w:r>
        <w:rPr>
          <w:spacing w:val="-2"/>
          <w:sz w:val="21"/>
        </w:rPr>
        <w:t xml:space="preserve"> </w:t>
      </w:r>
      <w:r>
        <w:rPr>
          <w:sz w:val="21"/>
        </w:rPr>
        <w:t xml:space="preserve">Thus, MHPs should </w:t>
      </w:r>
      <w:r>
        <w:rPr>
          <w:sz w:val="21"/>
        </w:rPr>
        <w:t>pay extra attention to LGBTQ youths’ relationships, including peers, supportive adults, families, communities, and</w:t>
      </w:r>
      <w:r>
        <w:rPr>
          <w:spacing w:val="-8"/>
          <w:sz w:val="21"/>
        </w:rPr>
        <w:t xml:space="preserve"> </w:t>
      </w:r>
      <w:r>
        <w:rPr>
          <w:sz w:val="21"/>
        </w:rPr>
        <w:t>advocacy/affinity-based</w:t>
      </w:r>
      <w:r>
        <w:rPr>
          <w:spacing w:val="-10"/>
          <w:sz w:val="21"/>
        </w:rPr>
        <w:t xml:space="preserve"> </w:t>
      </w:r>
      <w:r>
        <w:rPr>
          <w:sz w:val="21"/>
        </w:rPr>
        <w:t>groups.</w:t>
      </w:r>
      <w:r>
        <w:rPr>
          <w:spacing w:val="-8"/>
          <w:sz w:val="21"/>
        </w:rPr>
        <w:t xml:space="preserve"> </w:t>
      </w:r>
      <w:r>
        <w:rPr>
          <w:sz w:val="21"/>
        </w:rPr>
        <w:t>Community-building</w:t>
      </w:r>
      <w:r>
        <w:rPr>
          <w:spacing w:val="-9"/>
          <w:sz w:val="21"/>
        </w:rPr>
        <w:t xml:space="preserve"> </w:t>
      </w:r>
      <w:r>
        <w:rPr>
          <w:sz w:val="21"/>
        </w:rPr>
        <w:t>and</w:t>
      </w:r>
      <w:r>
        <w:rPr>
          <w:spacing w:val="-8"/>
          <w:sz w:val="21"/>
        </w:rPr>
        <w:t xml:space="preserve"> </w:t>
      </w:r>
      <w:r>
        <w:rPr>
          <w:sz w:val="21"/>
        </w:rPr>
        <w:t>creativity-based</w:t>
      </w:r>
      <w:r>
        <w:rPr>
          <w:spacing w:val="-8"/>
          <w:sz w:val="21"/>
        </w:rPr>
        <w:t xml:space="preserve"> </w:t>
      </w:r>
      <w:r>
        <w:rPr>
          <w:sz w:val="21"/>
        </w:rPr>
        <w:t>approaches</w:t>
      </w:r>
      <w:r>
        <w:rPr>
          <w:spacing w:val="-9"/>
          <w:sz w:val="21"/>
        </w:rPr>
        <w:t xml:space="preserve"> </w:t>
      </w:r>
      <w:r>
        <w:rPr>
          <w:sz w:val="21"/>
        </w:rPr>
        <w:t>align</w:t>
      </w:r>
      <w:r>
        <w:rPr>
          <w:spacing w:val="-8"/>
          <w:sz w:val="21"/>
        </w:rPr>
        <w:t xml:space="preserve"> </w:t>
      </w:r>
      <w:r>
        <w:rPr>
          <w:sz w:val="21"/>
        </w:rPr>
        <w:t>very</w:t>
      </w:r>
      <w:r>
        <w:rPr>
          <w:spacing w:val="-7"/>
          <w:sz w:val="21"/>
        </w:rPr>
        <w:t xml:space="preserve"> </w:t>
      </w:r>
      <w:r>
        <w:rPr>
          <w:sz w:val="21"/>
        </w:rPr>
        <w:t>well</w:t>
      </w:r>
      <w:r>
        <w:rPr>
          <w:spacing w:val="-8"/>
          <w:sz w:val="21"/>
        </w:rPr>
        <w:t xml:space="preserve"> </w:t>
      </w:r>
      <w:r>
        <w:rPr>
          <w:sz w:val="21"/>
        </w:rPr>
        <w:t xml:space="preserve">with Western LGBTQ cultures and should be </w:t>
      </w:r>
      <w:r>
        <w:rPr>
          <w:sz w:val="21"/>
        </w:rPr>
        <w:t>considered as well.</w:t>
      </w:r>
    </w:p>
    <w:p w:rsidR="00200FDA" w:rsidRDefault="00200FDA">
      <w:pPr>
        <w:pStyle w:val="BodyText"/>
        <w:spacing w:before="7"/>
        <w:rPr>
          <w:sz w:val="19"/>
        </w:rPr>
      </w:pPr>
    </w:p>
    <w:p w:rsidR="00200FDA" w:rsidRDefault="00F76C4C">
      <w:pPr>
        <w:spacing w:before="1" w:line="276" w:lineRule="auto"/>
        <w:ind w:left="140" w:right="255"/>
        <w:jc w:val="both"/>
        <w:rPr>
          <w:sz w:val="21"/>
        </w:rPr>
      </w:pPr>
      <w:r>
        <w:rPr>
          <w:sz w:val="21"/>
        </w:rPr>
        <w:t>The</w:t>
      </w:r>
      <w:r>
        <w:rPr>
          <w:spacing w:val="-9"/>
          <w:sz w:val="21"/>
        </w:rPr>
        <w:t xml:space="preserve"> </w:t>
      </w:r>
      <w:r>
        <w:rPr>
          <w:sz w:val="21"/>
        </w:rPr>
        <w:t>few</w:t>
      </w:r>
      <w:r>
        <w:rPr>
          <w:spacing w:val="-7"/>
          <w:sz w:val="21"/>
        </w:rPr>
        <w:t xml:space="preserve"> </w:t>
      </w:r>
      <w:r>
        <w:rPr>
          <w:sz w:val="21"/>
        </w:rPr>
        <w:t>current</w:t>
      </w:r>
      <w:r>
        <w:rPr>
          <w:spacing w:val="-10"/>
          <w:sz w:val="21"/>
        </w:rPr>
        <w:t xml:space="preserve"> </w:t>
      </w:r>
      <w:r>
        <w:rPr>
          <w:sz w:val="21"/>
        </w:rPr>
        <w:t>evidence-based</w:t>
      </w:r>
      <w:r>
        <w:rPr>
          <w:spacing w:val="-7"/>
          <w:sz w:val="21"/>
        </w:rPr>
        <w:t xml:space="preserve"> </w:t>
      </w:r>
      <w:r>
        <w:rPr>
          <w:sz w:val="21"/>
        </w:rPr>
        <w:t>modalities</w:t>
      </w:r>
      <w:r>
        <w:rPr>
          <w:spacing w:val="-8"/>
          <w:sz w:val="21"/>
        </w:rPr>
        <w:t xml:space="preserve"> </w:t>
      </w:r>
      <w:r>
        <w:rPr>
          <w:sz w:val="21"/>
        </w:rPr>
        <w:t>for</w:t>
      </w:r>
      <w:r>
        <w:rPr>
          <w:spacing w:val="-6"/>
          <w:sz w:val="21"/>
        </w:rPr>
        <w:t xml:space="preserve"> </w:t>
      </w:r>
      <w:r>
        <w:rPr>
          <w:sz w:val="21"/>
        </w:rPr>
        <w:t>LGBTQ</w:t>
      </w:r>
      <w:r>
        <w:rPr>
          <w:spacing w:val="-10"/>
          <w:sz w:val="21"/>
        </w:rPr>
        <w:t xml:space="preserve"> </w:t>
      </w:r>
      <w:r>
        <w:rPr>
          <w:sz w:val="21"/>
        </w:rPr>
        <w:t>youth</w:t>
      </w:r>
      <w:r>
        <w:rPr>
          <w:spacing w:val="-7"/>
          <w:sz w:val="21"/>
        </w:rPr>
        <w:t xml:space="preserve"> </w:t>
      </w:r>
      <w:r>
        <w:rPr>
          <w:sz w:val="21"/>
        </w:rPr>
        <w:t>are</w:t>
      </w:r>
      <w:r>
        <w:rPr>
          <w:spacing w:val="-9"/>
          <w:sz w:val="21"/>
        </w:rPr>
        <w:t xml:space="preserve"> </w:t>
      </w:r>
      <w:r>
        <w:rPr>
          <w:sz w:val="21"/>
        </w:rPr>
        <w:t>adapted</w:t>
      </w:r>
      <w:r>
        <w:rPr>
          <w:spacing w:val="-10"/>
          <w:sz w:val="21"/>
        </w:rPr>
        <w:t xml:space="preserve"> </w:t>
      </w:r>
      <w:r>
        <w:rPr>
          <w:sz w:val="21"/>
        </w:rPr>
        <w:t>from</w:t>
      </w:r>
      <w:r>
        <w:rPr>
          <w:spacing w:val="-10"/>
          <w:sz w:val="21"/>
        </w:rPr>
        <w:t xml:space="preserve"> </w:t>
      </w:r>
      <w:r>
        <w:rPr>
          <w:sz w:val="21"/>
        </w:rPr>
        <w:t>mainstream</w:t>
      </w:r>
      <w:r>
        <w:rPr>
          <w:spacing w:val="-10"/>
          <w:sz w:val="21"/>
        </w:rPr>
        <w:t xml:space="preserve"> </w:t>
      </w:r>
      <w:r>
        <w:rPr>
          <w:sz w:val="21"/>
        </w:rPr>
        <w:t>traditional</w:t>
      </w:r>
      <w:r>
        <w:rPr>
          <w:spacing w:val="-7"/>
          <w:sz w:val="21"/>
        </w:rPr>
        <w:t xml:space="preserve"> </w:t>
      </w:r>
      <w:r>
        <w:rPr>
          <w:sz w:val="21"/>
        </w:rPr>
        <w:t>models. CBT is the most-studied modality for LGBTQ youth, likely since it can be done in brief individual or group sessions.</w:t>
      </w:r>
      <w:r>
        <w:rPr>
          <w:spacing w:val="-12"/>
          <w:sz w:val="21"/>
        </w:rPr>
        <w:t xml:space="preserve"> </w:t>
      </w:r>
      <w:hyperlink w:anchor="_bookmark305" w:history="1">
        <w:r>
          <w:rPr>
            <w:sz w:val="21"/>
            <w:vertAlign w:val="superscript"/>
          </w:rPr>
          <w:t>51</w:t>
        </w:r>
      </w:hyperlink>
      <w:r>
        <w:rPr>
          <w:spacing w:val="-2"/>
          <w:sz w:val="21"/>
        </w:rPr>
        <w:t xml:space="preserve"> </w:t>
      </w:r>
      <w:r>
        <w:rPr>
          <w:sz w:val="21"/>
        </w:rPr>
        <w:t>Examples include Rainbow SPARX, a game-based psychoeducational platform that significantly reduced</w:t>
      </w:r>
      <w:r>
        <w:rPr>
          <w:spacing w:val="-11"/>
          <w:sz w:val="21"/>
        </w:rPr>
        <w:t xml:space="preserve"> </w:t>
      </w:r>
      <w:r>
        <w:rPr>
          <w:sz w:val="21"/>
        </w:rPr>
        <w:t>depression</w:t>
      </w:r>
      <w:r>
        <w:rPr>
          <w:spacing w:val="-9"/>
          <w:sz w:val="21"/>
        </w:rPr>
        <w:t xml:space="preserve"> </w:t>
      </w:r>
      <w:r>
        <w:rPr>
          <w:sz w:val="21"/>
        </w:rPr>
        <w:t>in</w:t>
      </w:r>
      <w:r>
        <w:rPr>
          <w:spacing w:val="-9"/>
          <w:sz w:val="21"/>
        </w:rPr>
        <w:t xml:space="preserve"> </w:t>
      </w:r>
      <w:r>
        <w:rPr>
          <w:sz w:val="21"/>
        </w:rPr>
        <w:t>LGBTQ</w:t>
      </w:r>
      <w:r>
        <w:rPr>
          <w:spacing w:val="-9"/>
          <w:sz w:val="21"/>
        </w:rPr>
        <w:t xml:space="preserve"> </w:t>
      </w:r>
      <w:r>
        <w:rPr>
          <w:sz w:val="21"/>
        </w:rPr>
        <w:t>youth</w:t>
      </w:r>
      <w:r>
        <w:rPr>
          <w:spacing w:val="-9"/>
          <w:sz w:val="21"/>
        </w:rPr>
        <w:t xml:space="preserve"> </w:t>
      </w:r>
      <w:r>
        <w:rPr>
          <w:sz w:val="21"/>
        </w:rPr>
        <w:t>ages</w:t>
      </w:r>
      <w:r>
        <w:rPr>
          <w:spacing w:val="-12"/>
          <w:sz w:val="21"/>
        </w:rPr>
        <w:t xml:space="preserve"> </w:t>
      </w:r>
      <w:r>
        <w:rPr>
          <w:sz w:val="21"/>
        </w:rPr>
        <w:t>13</w:t>
      </w:r>
      <w:r>
        <w:rPr>
          <w:spacing w:val="-10"/>
          <w:sz w:val="21"/>
        </w:rPr>
        <w:t xml:space="preserve"> </w:t>
      </w:r>
      <w:r>
        <w:rPr>
          <w:sz w:val="21"/>
        </w:rPr>
        <w:t>to</w:t>
      </w:r>
      <w:r>
        <w:rPr>
          <w:spacing w:val="-11"/>
          <w:sz w:val="21"/>
        </w:rPr>
        <w:t xml:space="preserve"> </w:t>
      </w:r>
      <w:r>
        <w:rPr>
          <w:sz w:val="21"/>
        </w:rPr>
        <w:t>19,</w:t>
      </w:r>
      <w:hyperlink w:anchor="_bookmark306" w:history="1">
        <w:r>
          <w:rPr>
            <w:sz w:val="21"/>
            <w:vertAlign w:val="superscript"/>
          </w:rPr>
          <w:t>52</w:t>
        </w:r>
      </w:hyperlink>
      <w:r>
        <w:rPr>
          <w:spacing w:val="-2"/>
          <w:sz w:val="21"/>
        </w:rPr>
        <w:t xml:space="preserve"> </w:t>
      </w:r>
      <w:r>
        <w:rPr>
          <w:sz w:val="21"/>
        </w:rPr>
        <w:t>as</w:t>
      </w:r>
      <w:r>
        <w:rPr>
          <w:spacing w:val="-9"/>
          <w:sz w:val="21"/>
        </w:rPr>
        <w:t xml:space="preserve"> </w:t>
      </w:r>
      <w:r>
        <w:rPr>
          <w:sz w:val="21"/>
        </w:rPr>
        <w:t>well</w:t>
      </w:r>
      <w:r>
        <w:rPr>
          <w:spacing w:val="-9"/>
          <w:sz w:val="21"/>
        </w:rPr>
        <w:t xml:space="preserve"> </w:t>
      </w:r>
      <w:r>
        <w:rPr>
          <w:sz w:val="21"/>
        </w:rPr>
        <w:t>as</w:t>
      </w:r>
      <w:r>
        <w:rPr>
          <w:spacing w:val="-9"/>
          <w:sz w:val="21"/>
        </w:rPr>
        <w:t xml:space="preserve"> </w:t>
      </w:r>
      <w:r>
        <w:rPr>
          <w:sz w:val="21"/>
        </w:rPr>
        <w:t>AFFIRM,</w:t>
      </w:r>
      <w:r>
        <w:rPr>
          <w:spacing w:val="-8"/>
          <w:sz w:val="21"/>
        </w:rPr>
        <w:t xml:space="preserve"> </w:t>
      </w:r>
      <w:r>
        <w:rPr>
          <w:sz w:val="21"/>
        </w:rPr>
        <w:t>a</w:t>
      </w:r>
      <w:r>
        <w:rPr>
          <w:spacing w:val="-11"/>
          <w:sz w:val="21"/>
        </w:rPr>
        <w:t xml:space="preserve"> </w:t>
      </w:r>
      <w:r>
        <w:rPr>
          <w:sz w:val="21"/>
        </w:rPr>
        <w:t>new</w:t>
      </w:r>
      <w:r>
        <w:rPr>
          <w:spacing w:val="-10"/>
          <w:sz w:val="21"/>
        </w:rPr>
        <w:t xml:space="preserve"> </w:t>
      </w:r>
      <w:r>
        <w:rPr>
          <w:sz w:val="21"/>
        </w:rPr>
        <w:t>8-session</w:t>
      </w:r>
      <w:r>
        <w:rPr>
          <w:spacing w:val="-9"/>
          <w:sz w:val="21"/>
        </w:rPr>
        <w:t xml:space="preserve"> </w:t>
      </w:r>
      <w:r>
        <w:rPr>
          <w:sz w:val="21"/>
        </w:rPr>
        <w:t>group</w:t>
      </w:r>
      <w:r>
        <w:rPr>
          <w:spacing w:val="-11"/>
          <w:sz w:val="21"/>
        </w:rPr>
        <w:t xml:space="preserve"> </w:t>
      </w:r>
      <w:r>
        <w:rPr>
          <w:sz w:val="21"/>
        </w:rPr>
        <w:t>CBT</w:t>
      </w:r>
      <w:r>
        <w:rPr>
          <w:spacing w:val="-8"/>
          <w:sz w:val="21"/>
        </w:rPr>
        <w:t xml:space="preserve"> </w:t>
      </w:r>
      <w:r>
        <w:rPr>
          <w:sz w:val="21"/>
        </w:rPr>
        <w:t>intervention</w:t>
      </w:r>
    </w:p>
    <w:p w:rsidR="00200FDA" w:rsidRDefault="00200FDA">
      <w:pPr>
        <w:spacing w:line="276" w:lineRule="auto"/>
        <w:jc w:val="both"/>
        <w:rPr>
          <w:sz w:val="21"/>
        </w:rPr>
        <w:sectPr w:rsidR="00200FDA">
          <w:pgSz w:w="12240" w:h="15840"/>
          <w:pgMar w:top="1360" w:right="1180" w:bottom="1400" w:left="1300" w:header="761" w:footer="1208" w:gutter="0"/>
          <w:cols w:space="720"/>
        </w:sectPr>
      </w:pPr>
    </w:p>
    <w:p w:rsidR="00200FDA" w:rsidRDefault="00F76C4C">
      <w:pPr>
        <w:spacing w:before="64" w:line="276" w:lineRule="auto"/>
        <w:ind w:left="140" w:right="254"/>
        <w:jc w:val="both"/>
        <w:rPr>
          <w:sz w:val="21"/>
        </w:rPr>
      </w:pPr>
      <w:r>
        <w:rPr>
          <w:sz w:val="21"/>
        </w:rPr>
        <w:lastRenderedPageBreak/>
        <w:t>that validates participants’ lived experiences, reduces depression and sexual and mental health risks, and improves coping and mood in LGBTQ youth.</w:t>
      </w:r>
      <w:hyperlink w:anchor="_bookmark307" w:history="1">
        <w:r>
          <w:rPr>
            <w:sz w:val="21"/>
            <w:vertAlign w:val="superscript"/>
          </w:rPr>
          <w:t>53</w:t>
        </w:r>
      </w:hyperlink>
    </w:p>
    <w:p w:rsidR="00200FDA" w:rsidRDefault="00200FDA">
      <w:pPr>
        <w:pStyle w:val="BodyText"/>
        <w:spacing w:before="8"/>
        <w:rPr>
          <w:sz w:val="19"/>
        </w:rPr>
      </w:pPr>
    </w:p>
    <w:p w:rsidR="00200FDA" w:rsidRDefault="00F76C4C">
      <w:pPr>
        <w:spacing w:before="1" w:line="276" w:lineRule="auto"/>
        <w:ind w:left="139" w:right="252"/>
        <w:jc w:val="both"/>
        <w:rPr>
          <w:sz w:val="21"/>
        </w:rPr>
      </w:pPr>
      <w:r>
        <w:rPr>
          <w:sz w:val="21"/>
        </w:rPr>
        <w:t>Other interventions include LGBTQ-affirming mi</w:t>
      </w:r>
      <w:r>
        <w:rPr>
          <w:sz w:val="21"/>
        </w:rPr>
        <w:t>ndfulness to help youth develop core mindfulness and self- compassion skills for stress,</w:t>
      </w:r>
      <w:hyperlink w:anchor="_bookmark308" w:history="1">
        <w:r>
          <w:rPr>
            <w:sz w:val="21"/>
            <w:vertAlign w:val="superscript"/>
          </w:rPr>
          <w:t>54</w:t>
        </w:r>
      </w:hyperlink>
      <w:r>
        <w:rPr>
          <w:sz w:val="21"/>
        </w:rPr>
        <w:t xml:space="preserve"> as well as adaptations of Solution-Focused Brief Therapy,</w:t>
      </w:r>
      <w:hyperlink w:anchor="_bookmark309" w:history="1">
        <w:r>
          <w:rPr>
            <w:sz w:val="21"/>
            <w:vertAlign w:val="superscript"/>
          </w:rPr>
          <w:t>55</w:t>
        </w:r>
      </w:hyperlink>
      <w:r>
        <w:rPr>
          <w:sz w:val="21"/>
        </w:rPr>
        <w:t xml:space="preserve"> Emotion-Focused Therapy,</w:t>
      </w:r>
      <w:r>
        <w:rPr>
          <w:spacing w:val="-12"/>
          <w:sz w:val="21"/>
        </w:rPr>
        <w:t xml:space="preserve"> </w:t>
      </w:r>
      <w:hyperlink w:anchor="_bookmark310" w:history="1">
        <w:r>
          <w:rPr>
            <w:sz w:val="21"/>
            <w:vertAlign w:val="superscript"/>
          </w:rPr>
          <w:t>56</w:t>
        </w:r>
      </w:hyperlink>
      <w:r>
        <w:rPr>
          <w:sz w:val="21"/>
        </w:rPr>
        <w:t xml:space="preserve"> and Narrative Exposure Therapy with gender expansive youth or adults.</w:t>
      </w:r>
      <w:r>
        <w:rPr>
          <w:spacing w:val="-12"/>
          <w:sz w:val="21"/>
        </w:rPr>
        <w:t xml:space="preserve"> </w:t>
      </w:r>
      <w:hyperlink w:anchor="_bookmark311" w:history="1">
        <w:r>
          <w:rPr>
            <w:sz w:val="21"/>
            <w:vertAlign w:val="superscript"/>
          </w:rPr>
          <w:t>57</w:t>
        </w:r>
      </w:hyperlink>
      <w:r>
        <w:rPr>
          <w:sz w:val="21"/>
        </w:rPr>
        <w:t xml:space="preserve"> When it comes to supporting</w:t>
      </w:r>
      <w:r>
        <w:rPr>
          <w:spacing w:val="-12"/>
          <w:sz w:val="21"/>
        </w:rPr>
        <w:t xml:space="preserve"> </w:t>
      </w:r>
      <w:r>
        <w:rPr>
          <w:sz w:val="21"/>
        </w:rPr>
        <w:t>families,</w:t>
      </w:r>
      <w:r>
        <w:rPr>
          <w:spacing w:val="-12"/>
          <w:sz w:val="21"/>
        </w:rPr>
        <w:t xml:space="preserve"> </w:t>
      </w:r>
      <w:r>
        <w:rPr>
          <w:sz w:val="21"/>
        </w:rPr>
        <w:t>one</w:t>
      </w:r>
      <w:r>
        <w:rPr>
          <w:spacing w:val="-12"/>
          <w:sz w:val="21"/>
        </w:rPr>
        <w:t xml:space="preserve"> </w:t>
      </w:r>
      <w:r>
        <w:rPr>
          <w:sz w:val="21"/>
        </w:rPr>
        <w:t>LGBTQ-specific</w:t>
      </w:r>
      <w:r>
        <w:rPr>
          <w:spacing w:val="-12"/>
          <w:sz w:val="21"/>
        </w:rPr>
        <w:t xml:space="preserve"> </w:t>
      </w:r>
      <w:r>
        <w:rPr>
          <w:sz w:val="21"/>
        </w:rPr>
        <w:t>option</w:t>
      </w:r>
      <w:r>
        <w:rPr>
          <w:spacing w:val="-12"/>
          <w:sz w:val="21"/>
        </w:rPr>
        <w:t xml:space="preserve"> </w:t>
      </w:r>
      <w:r>
        <w:rPr>
          <w:sz w:val="21"/>
        </w:rPr>
        <w:t>is</w:t>
      </w:r>
      <w:r>
        <w:rPr>
          <w:spacing w:val="-12"/>
          <w:sz w:val="21"/>
        </w:rPr>
        <w:t xml:space="preserve"> </w:t>
      </w:r>
      <w:r>
        <w:rPr>
          <w:sz w:val="21"/>
        </w:rPr>
        <w:t>ABFT-SGM</w:t>
      </w:r>
      <w:r>
        <w:rPr>
          <w:spacing w:val="-12"/>
          <w:sz w:val="21"/>
        </w:rPr>
        <w:t xml:space="preserve"> </w:t>
      </w:r>
      <w:r>
        <w:rPr>
          <w:sz w:val="21"/>
        </w:rPr>
        <w:t>(Attachment-Based</w:t>
      </w:r>
      <w:r>
        <w:rPr>
          <w:spacing w:val="-11"/>
          <w:sz w:val="21"/>
        </w:rPr>
        <w:t xml:space="preserve"> </w:t>
      </w:r>
      <w:r>
        <w:rPr>
          <w:sz w:val="21"/>
        </w:rPr>
        <w:t>Family</w:t>
      </w:r>
      <w:r>
        <w:rPr>
          <w:spacing w:val="-12"/>
          <w:sz w:val="21"/>
        </w:rPr>
        <w:t xml:space="preserve"> </w:t>
      </w:r>
      <w:r>
        <w:rPr>
          <w:sz w:val="21"/>
        </w:rPr>
        <w:t>Therapy),</w:t>
      </w:r>
      <w:r>
        <w:rPr>
          <w:spacing w:val="-12"/>
          <w:sz w:val="21"/>
        </w:rPr>
        <w:t xml:space="preserve"> </w:t>
      </w:r>
      <w:r>
        <w:rPr>
          <w:sz w:val="21"/>
        </w:rPr>
        <w:t>a</w:t>
      </w:r>
      <w:r>
        <w:rPr>
          <w:spacing w:val="-12"/>
          <w:sz w:val="21"/>
        </w:rPr>
        <w:t xml:space="preserve"> </w:t>
      </w:r>
      <w:r>
        <w:rPr>
          <w:sz w:val="21"/>
        </w:rPr>
        <w:t>manualized interven</w:t>
      </w:r>
      <w:r>
        <w:rPr>
          <w:sz w:val="21"/>
        </w:rPr>
        <w:t>tion for parental rejection that raised maternal acceptance of LGBTQ young adults’ identities and reduced</w:t>
      </w:r>
      <w:r>
        <w:rPr>
          <w:spacing w:val="-2"/>
          <w:sz w:val="21"/>
        </w:rPr>
        <w:t xml:space="preserve"> </w:t>
      </w:r>
      <w:r>
        <w:rPr>
          <w:sz w:val="21"/>
        </w:rPr>
        <w:t>avoidance</w:t>
      </w:r>
      <w:r>
        <w:rPr>
          <w:spacing w:val="-1"/>
          <w:sz w:val="21"/>
        </w:rPr>
        <w:t xml:space="preserve"> </w:t>
      </w:r>
      <w:r>
        <w:rPr>
          <w:sz w:val="21"/>
        </w:rPr>
        <w:t>in their</w:t>
      </w:r>
      <w:r>
        <w:rPr>
          <w:spacing w:val="-1"/>
          <w:sz w:val="21"/>
        </w:rPr>
        <w:t xml:space="preserve"> </w:t>
      </w:r>
      <w:r>
        <w:rPr>
          <w:sz w:val="21"/>
        </w:rPr>
        <w:t>relationships</w:t>
      </w:r>
      <w:r>
        <w:rPr>
          <w:spacing w:val="-1"/>
          <w:sz w:val="21"/>
        </w:rPr>
        <w:t xml:space="preserve"> </w:t>
      </w:r>
      <w:r>
        <w:rPr>
          <w:sz w:val="21"/>
        </w:rPr>
        <w:t>with their</w:t>
      </w:r>
      <w:r>
        <w:rPr>
          <w:spacing w:val="-1"/>
          <w:sz w:val="21"/>
        </w:rPr>
        <w:t xml:space="preserve"> </w:t>
      </w:r>
      <w:r>
        <w:rPr>
          <w:sz w:val="21"/>
        </w:rPr>
        <w:t>parents.</w:t>
      </w:r>
      <w:hyperlink w:anchor="_bookmark312" w:history="1">
        <w:r>
          <w:rPr>
            <w:sz w:val="21"/>
            <w:vertAlign w:val="superscript"/>
          </w:rPr>
          <w:t>58</w:t>
        </w:r>
      </w:hyperlink>
      <w:r>
        <w:rPr>
          <w:spacing w:val="-3"/>
          <w:sz w:val="21"/>
        </w:rPr>
        <w:t xml:space="preserve"> </w:t>
      </w:r>
      <w:r>
        <w:rPr>
          <w:sz w:val="21"/>
        </w:rPr>
        <w:t>Motivational Interviewing</w:t>
      </w:r>
      <w:r>
        <w:rPr>
          <w:spacing w:val="-1"/>
          <w:sz w:val="21"/>
        </w:rPr>
        <w:t xml:space="preserve"> </w:t>
      </w:r>
      <w:r>
        <w:rPr>
          <w:sz w:val="21"/>
        </w:rPr>
        <w:t>can also</w:t>
      </w:r>
      <w:r>
        <w:rPr>
          <w:spacing w:val="-3"/>
          <w:sz w:val="21"/>
        </w:rPr>
        <w:t xml:space="preserve"> </w:t>
      </w:r>
      <w:r>
        <w:rPr>
          <w:sz w:val="21"/>
        </w:rPr>
        <w:t>be</w:t>
      </w:r>
      <w:r>
        <w:rPr>
          <w:spacing w:val="-2"/>
          <w:sz w:val="21"/>
        </w:rPr>
        <w:t xml:space="preserve"> </w:t>
      </w:r>
      <w:r>
        <w:rPr>
          <w:sz w:val="21"/>
        </w:rPr>
        <w:t>used</w:t>
      </w:r>
      <w:r>
        <w:rPr>
          <w:spacing w:val="-2"/>
          <w:sz w:val="21"/>
        </w:rPr>
        <w:t xml:space="preserve"> </w:t>
      </w:r>
      <w:r>
        <w:rPr>
          <w:sz w:val="21"/>
        </w:rPr>
        <w:t>with caregivers who are ambivalent to their child’s coming out process.</w:t>
      </w:r>
      <w:hyperlink w:anchor="_bookmark313" w:history="1">
        <w:r>
          <w:rPr>
            <w:sz w:val="21"/>
            <w:vertAlign w:val="superscript"/>
          </w:rPr>
          <w:t>59</w:t>
        </w:r>
      </w:hyperlink>
    </w:p>
    <w:p w:rsidR="00200FDA" w:rsidRDefault="00200FDA">
      <w:pPr>
        <w:pStyle w:val="BodyText"/>
        <w:spacing w:before="6"/>
        <w:rPr>
          <w:sz w:val="19"/>
        </w:rPr>
      </w:pPr>
    </w:p>
    <w:p w:rsidR="00200FDA" w:rsidRDefault="00F76C4C">
      <w:pPr>
        <w:spacing w:line="276" w:lineRule="auto"/>
        <w:ind w:left="140" w:right="258" w:hanging="1"/>
        <w:jc w:val="both"/>
        <w:rPr>
          <w:sz w:val="21"/>
        </w:rPr>
      </w:pPr>
      <w:r>
        <w:rPr>
          <w:noProof/>
        </w:rPr>
        <w:drawing>
          <wp:anchor distT="0" distB="0" distL="0" distR="0" simplePos="0" relativeHeight="15762432" behindDoc="0" locked="0" layoutInCell="1" allowOverlap="1">
            <wp:simplePos x="0" y="0"/>
            <wp:positionH relativeFrom="page">
              <wp:posOffset>4312053</wp:posOffset>
            </wp:positionH>
            <wp:positionV relativeFrom="paragraph">
              <wp:posOffset>442485</wp:posOffset>
            </wp:positionV>
            <wp:extent cx="2511901" cy="1351364"/>
            <wp:effectExtent l="0" t="0" r="0" b="0"/>
            <wp:wrapNone/>
            <wp:docPr id="41"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5.jpeg"/>
                    <pic:cNvPicPr/>
                  </pic:nvPicPr>
                  <pic:blipFill>
                    <a:blip r:embed="rId236" cstate="print"/>
                    <a:stretch>
                      <a:fillRect/>
                    </a:stretch>
                  </pic:blipFill>
                  <pic:spPr>
                    <a:xfrm>
                      <a:off x="0" y="0"/>
                      <a:ext cx="2511901" cy="1351364"/>
                    </a:xfrm>
                    <a:prstGeom prst="rect">
                      <a:avLst/>
                    </a:prstGeom>
                  </pic:spPr>
                </pic:pic>
              </a:graphicData>
            </a:graphic>
          </wp:anchor>
        </w:drawing>
      </w:r>
      <w:r>
        <w:rPr>
          <w:sz w:val="21"/>
        </w:rPr>
        <w:t>In the spirit of the above quote, decision-makers should not expect traditional individual therapy to single- handedly solve the LGBTQ</w:t>
      </w:r>
      <w:r>
        <w:rPr>
          <w:spacing w:val="-1"/>
          <w:sz w:val="21"/>
        </w:rPr>
        <w:t xml:space="preserve"> </w:t>
      </w:r>
      <w:r>
        <w:rPr>
          <w:sz w:val="21"/>
        </w:rPr>
        <w:t xml:space="preserve">youth mental </w:t>
      </w:r>
      <w:r>
        <w:rPr>
          <w:sz w:val="21"/>
        </w:rPr>
        <w:t>health crisis. Families, schools, communities, and</w:t>
      </w:r>
      <w:r>
        <w:rPr>
          <w:spacing w:val="-1"/>
          <w:sz w:val="21"/>
        </w:rPr>
        <w:t xml:space="preserve"> </w:t>
      </w:r>
      <w:r>
        <w:rPr>
          <w:sz w:val="21"/>
        </w:rPr>
        <w:t>institutions all play a role in creating minority stress, but they are also potential</w:t>
      </w:r>
    </w:p>
    <w:p w:rsidR="00200FDA" w:rsidRDefault="00F76C4C">
      <w:pPr>
        <w:spacing w:before="1" w:line="276" w:lineRule="auto"/>
        <w:ind w:left="140" w:right="4548"/>
        <w:jc w:val="both"/>
        <w:rPr>
          <w:sz w:val="21"/>
        </w:rPr>
      </w:pPr>
      <w:r>
        <w:rPr>
          <w:sz w:val="21"/>
        </w:rPr>
        <w:t>sources of care and healing. Group programs allow all to become actively involved in supporting LGBTQ youth. They also</w:t>
      </w:r>
      <w:r>
        <w:rPr>
          <w:spacing w:val="-12"/>
          <w:sz w:val="21"/>
        </w:rPr>
        <w:t xml:space="preserve"> </w:t>
      </w:r>
      <w:r>
        <w:rPr>
          <w:sz w:val="21"/>
        </w:rPr>
        <w:t>fulfill</w:t>
      </w:r>
      <w:r>
        <w:rPr>
          <w:spacing w:val="-12"/>
          <w:sz w:val="21"/>
        </w:rPr>
        <w:t xml:space="preserve"> </w:t>
      </w:r>
      <w:r>
        <w:rPr>
          <w:sz w:val="21"/>
        </w:rPr>
        <w:t>several</w:t>
      </w:r>
      <w:r>
        <w:rPr>
          <w:spacing w:val="-12"/>
          <w:sz w:val="21"/>
        </w:rPr>
        <w:t xml:space="preserve"> </w:t>
      </w:r>
      <w:r>
        <w:rPr>
          <w:sz w:val="21"/>
        </w:rPr>
        <w:t>of</w:t>
      </w:r>
      <w:r>
        <w:rPr>
          <w:spacing w:val="-12"/>
          <w:sz w:val="21"/>
        </w:rPr>
        <w:t xml:space="preserve"> </w:t>
      </w:r>
      <w:r>
        <w:rPr>
          <w:sz w:val="21"/>
        </w:rPr>
        <w:t>SAMHSA’s</w:t>
      </w:r>
      <w:r>
        <w:rPr>
          <w:spacing w:val="-12"/>
          <w:sz w:val="21"/>
        </w:rPr>
        <w:t xml:space="preserve"> </w:t>
      </w:r>
      <w:r>
        <w:rPr>
          <w:sz w:val="21"/>
        </w:rPr>
        <w:t>principles</w:t>
      </w:r>
      <w:r>
        <w:rPr>
          <w:spacing w:val="-12"/>
          <w:sz w:val="21"/>
        </w:rPr>
        <w:t xml:space="preserve"> </w:t>
      </w:r>
      <w:r>
        <w:rPr>
          <w:sz w:val="21"/>
        </w:rPr>
        <w:t>for</w:t>
      </w:r>
      <w:r>
        <w:rPr>
          <w:spacing w:val="-12"/>
          <w:sz w:val="21"/>
        </w:rPr>
        <w:t xml:space="preserve"> </w:t>
      </w:r>
      <w:r>
        <w:rPr>
          <w:sz w:val="21"/>
        </w:rPr>
        <w:t>LGBTQ</w:t>
      </w:r>
      <w:r>
        <w:rPr>
          <w:spacing w:val="-11"/>
          <w:sz w:val="21"/>
        </w:rPr>
        <w:t xml:space="preserve"> </w:t>
      </w:r>
      <w:r>
        <w:rPr>
          <w:sz w:val="21"/>
        </w:rPr>
        <w:t>trauma- informed</w:t>
      </w:r>
      <w:r>
        <w:rPr>
          <w:spacing w:val="-3"/>
          <w:sz w:val="21"/>
        </w:rPr>
        <w:t xml:space="preserve"> </w:t>
      </w:r>
      <w:r>
        <w:rPr>
          <w:sz w:val="21"/>
        </w:rPr>
        <w:t>care:</w:t>
      </w:r>
      <w:r>
        <w:rPr>
          <w:spacing w:val="-1"/>
          <w:sz w:val="21"/>
        </w:rPr>
        <w:t xml:space="preserve"> </w:t>
      </w:r>
      <w:r>
        <w:rPr>
          <w:sz w:val="21"/>
        </w:rPr>
        <w:t>Peer</w:t>
      </w:r>
      <w:r>
        <w:rPr>
          <w:spacing w:val="-4"/>
          <w:sz w:val="21"/>
        </w:rPr>
        <w:t xml:space="preserve"> </w:t>
      </w:r>
      <w:r>
        <w:rPr>
          <w:sz w:val="21"/>
        </w:rPr>
        <w:t>Support,</w:t>
      </w:r>
      <w:r>
        <w:rPr>
          <w:spacing w:val="-2"/>
          <w:sz w:val="21"/>
        </w:rPr>
        <w:t xml:space="preserve"> </w:t>
      </w:r>
      <w:r>
        <w:rPr>
          <w:sz w:val="21"/>
        </w:rPr>
        <w:t>Safety,</w:t>
      </w:r>
      <w:r>
        <w:rPr>
          <w:spacing w:val="-5"/>
          <w:sz w:val="21"/>
        </w:rPr>
        <w:t xml:space="preserve"> </w:t>
      </w:r>
      <w:r>
        <w:rPr>
          <w:sz w:val="21"/>
        </w:rPr>
        <w:t>and</w:t>
      </w:r>
      <w:r>
        <w:rPr>
          <w:spacing w:val="-3"/>
          <w:sz w:val="21"/>
        </w:rPr>
        <w:t xml:space="preserve"> </w:t>
      </w:r>
      <w:r>
        <w:rPr>
          <w:sz w:val="21"/>
        </w:rPr>
        <w:t>Collaboration</w:t>
      </w:r>
      <w:r>
        <w:rPr>
          <w:spacing w:val="-3"/>
          <w:sz w:val="21"/>
        </w:rPr>
        <w:t xml:space="preserve"> </w:t>
      </w:r>
      <w:r>
        <w:rPr>
          <w:sz w:val="21"/>
        </w:rPr>
        <w:t>and Mutuality. This is why the Commission recommends that allies invest resources in non-clinical, community-based interventions,</w:t>
      </w:r>
      <w:r>
        <w:rPr>
          <w:spacing w:val="57"/>
          <w:sz w:val="21"/>
        </w:rPr>
        <w:t xml:space="preserve"> </w:t>
      </w:r>
      <w:r>
        <w:rPr>
          <w:sz w:val="21"/>
        </w:rPr>
        <w:t>including</w:t>
      </w:r>
      <w:r>
        <w:rPr>
          <w:spacing w:val="56"/>
          <w:sz w:val="21"/>
        </w:rPr>
        <w:t xml:space="preserve"> </w:t>
      </w:r>
      <w:r>
        <w:rPr>
          <w:sz w:val="21"/>
        </w:rPr>
        <w:t>onli</w:t>
      </w:r>
      <w:r>
        <w:rPr>
          <w:sz w:val="21"/>
        </w:rPr>
        <w:t>ne</w:t>
      </w:r>
      <w:r>
        <w:rPr>
          <w:spacing w:val="59"/>
          <w:sz w:val="21"/>
        </w:rPr>
        <w:t xml:space="preserve"> </w:t>
      </w:r>
      <w:r>
        <w:rPr>
          <w:sz w:val="21"/>
        </w:rPr>
        <w:t>and</w:t>
      </w:r>
      <w:r>
        <w:rPr>
          <w:spacing w:val="57"/>
          <w:sz w:val="21"/>
        </w:rPr>
        <w:t xml:space="preserve"> </w:t>
      </w:r>
      <w:r>
        <w:rPr>
          <w:sz w:val="21"/>
        </w:rPr>
        <w:t>in-person</w:t>
      </w:r>
      <w:r>
        <w:rPr>
          <w:spacing w:val="58"/>
          <w:sz w:val="21"/>
        </w:rPr>
        <w:t xml:space="preserve"> </w:t>
      </w:r>
      <w:r>
        <w:rPr>
          <w:spacing w:val="-2"/>
          <w:sz w:val="21"/>
        </w:rPr>
        <w:t>programs,</w:t>
      </w:r>
    </w:p>
    <w:p w:rsidR="00200FDA" w:rsidRDefault="00F76C4C">
      <w:pPr>
        <w:spacing w:before="1"/>
        <w:ind w:left="140"/>
        <w:jc w:val="both"/>
        <w:rPr>
          <w:sz w:val="21"/>
        </w:rPr>
      </w:pPr>
      <w:r>
        <w:rPr>
          <w:sz w:val="21"/>
        </w:rPr>
        <w:t>GSAs,</w:t>
      </w:r>
      <w:r>
        <w:rPr>
          <w:spacing w:val="-8"/>
          <w:sz w:val="21"/>
        </w:rPr>
        <w:t xml:space="preserve"> </w:t>
      </w:r>
      <w:r>
        <w:rPr>
          <w:sz w:val="21"/>
        </w:rPr>
        <w:t>peer</w:t>
      </w:r>
      <w:r>
        <w:rPr>
          <w:spacing w:val="-6"/>
          <w:sz w:val="21"/>
        </w:rPr>
        <w:t xml:space="preserve"> </w:t>
      </w:r>
      <w:r>
        <w:rPr>
          <w:sz w:val="21"/>
        </w:rPr>
        <w:t>summer</w:t>
      </w:r>
      <w:r>
        <w:rPr>
          <w:spacing w:val="-5"/>
          <w:sz w:val="21"/>
        </w:rPr>
        <w:t xml:space="preserve"> </w:t>
      </w:r>
      <w:r>
        <w:rPr>
          <w:sz w:val="21"/>
        </w:rPr>
        <w:t>camps,</w:t>
      </w:r>
      <w:r>
        <w:rPr>
          <w:spacing w:val="-7"/>
          <w:sz w:val="21"/>
        </w:rPr>
        <w:t xml:space="preserve"> </w:t>
      </w:r>
      <w:r>
        <w:rPr>
          <w:sz w:val="21"/>
        </w:rPr>
        <w:t>activism,</w:t>
      </w:r>
      <w:r>
        <w:rPr>
          <w:spacing w:val="-6"/>
          <w:sz w:val="21"/>
        </w:rPr>
        <w:t xml:space="preserve"> </w:t>
      </w:r>
      <w:r>
        <w:rPr>
          <w:sz w:val="21"/>
        </w:rPr>
        <w:t>bodywork,</w:t>
      </w:r>
      <w:r>
        <w:rPr>
          <w:spacing w:val="-6"/>
          <w:sz w:val="21"/>
        </w:rPr>
        <w:t xml:space="preserve"> </w:t>
      </w:r>
      <w:r>
        <w:rPr>
          <w:sz w:val="21"/>
        </w:rPr>
        <w:t>and</w:t>
      </w:r>
      <w:r>
        <w:rPr>
          <w:spacing w:val="-9"/>
          <w:sz w:val="21"/>
        </w:rPr>
        <w:t xml:space="preserve"> </w:t>
      </w:r>
      <w:r>
        <w:rPr>
          <w:sz w:val="21"/>
        </w:rPr>
        <w:t>expressive</w:t>
      </w:r>
      <w:r>
        <w:rPr>
          <w:spacing w:val="-7"/>
          <w:sz w:val="21"/>
        </w:rPr>
        <w:t xml:space="preserve"> </w:t>
      </w:r>
      <w:r>
        <w:rPr>
          <w:spacing w:val="-2"/>
          <w:sz w:val="21"/>
        </w:rPr>
        <w:t>arts.</w:t>
      </w:r>
    </w:p>
    <w:p w:rsidR="00200FDA" w:rsidRDefault="00200FDA">
      <w:pPr>
        <w:pStyle w:val="BodyText"/>
        <w:spacing w:before="10"/>
      </w:pPr>
    </w:p>
    <w:p w:rsidR="00200FDA" w:rsidRDefault="00F76C4C">
      <w:pPr>
        <w:spacing w:line="276" w:lineRule="auto"/>
        <w:ind w:left="140" w:right="251" w:hanging="1"/>
        <w:jc w:val="both"/>
        <w:rPr>
          <w:sz w:val="21"/>
        </w:rPr>
      </w:pPr>
      <w:r>
        <w:rPr>
          <w:sz w:val="21"/>
        </w:rPr>
        <w:t>Furthermore, LGBTQ youth peer support programs have huge potential for improving youth mental health – in fact, this is one of SAMHSA’s six tenets of LGBTQ trauma-informed care. Research has shown for decades that</w:t>
      </w:r>
      <w:r>
        <w:rPr>
          <w:spacing w:val="-1"/>
          <w:sz w:val="21"/>
        </w:rPr>
        <w:t xml:space="preserve"> </w:t>
      </w:r>
      <w:r>
        <w:rPr>
          <w:sz w:val="21"/>
        </w:rPr>
        <w:t>social support</w:t>
      </w:r>
      <w:r>
        <w:rPr>
          <w:spacing w:val="-1"/>
          <w:sz w:val="21"/>
        </w:rPr>
        <w:t xml:space="preserve"> </w:t>
      </w:r>
      <w:r>
        <w:rPr>
          <w:sz w:val="21"/>
        </w:rPr>
        <w:t>is</w:t>
      </w:r>
      <w:r>
        <w:rPr>
          <w:spacing w:val="-1"/>
          <w:sz w:val="21"/>
        </w:rPr>
        <w:t xml:space="preserve"> </w:t>
      </w:r>
      <w:r>
        <w:rPr>
          <w:sz w:val="21"/>
        </w:rPr>
        <w:t>life-affirming</w:t>
      </w:r>
      <w:r>
        <w:rPr>
          <w:spacing w:val="-1"/>
          <w:sz w:val="21"/>
        </w:rPr>
        <w:t xml:space="preserve"> </w:t>
      </w:r>
      <w:r>
        <w:rPr>
          <w:sz w:val="21"/>
        </w:rPr>
        <w:t>for</w:t>
      </w:r>
      <w:r>
        <w:rPr>
          <w:spacing w:val="-1"/>
          <w:sz w:val="21"/>
        </w:rPr>
        <w:t xml:space="preserve"> </w:t>
      </w:r>
      <w:r>
        <w:rPr>
          <w:sz w:val="21"/>
        </w:rPr>
        <w:t>LGBTQ</w:t>
      </w:r>
      <w:r>
        <w:rPr>
          <w:spacing w:val="-2"/>
          <w:sz w:val="21"/>
        </w:rPr>
        <w:t xml:space="preserve"> </w:t>
      </w:r>
      <w:r>
        <w:rPr>
          <w:sz w:val="21"/>
        </w:rPr>
        <w:t>people. In</w:t>
      </w:r>
      <w:r>
        <w:rPr>
          <w:spacing w:val="-2"/>
          <w:sz w:val="21"/>
        </w:rPr>
        <w:t xml:space="preserve"> </w:t>
      </w:r>
      <w:r>
        <w:rPr>
          <w:sz w:val="21"/>
        </w:rPr>
        <w:t>the</w:t>
      </w:r>
      <w:r>
        <w:rPr>
          <w:spacing w:val="-2"/>
          <w:sz w:val="21"/>
        </w:rPr>
        <w:t xml:space="preserve"> </w:t>
      </w:r>
      <w:r>
        <w:rPr>
          <w:sz w:val="21"/>
        </w:rPr>
        <w:t>Trevor</w:t>
      </w:r>
      <w:r>
        <w:rPr>
          <w:spacing w:val="-1"/>
          <w:sz w:val="21"/>
        </w:rPr>
        <w:t xml:space="preserve"> </w:t>
      </w:r>
      <w:r>
        <w:rPr>
          <w:sz w:val="21"/>
        </w:rPr>
        <w:t>Project’s</w:t>
      </w:r>
      <w:r>
        <w:rPr>
          <w:spacing w:val="-3"/>
          <w:sz w:val="21"/>
        </w:rPr>
        <w:t xml:space="preserve"> </w:t>
      </w:r>
      <w:r>
        <w:rPr>
          <w:sz w:val="21"/>
        </w:rPr>
        <w:t>2022</w:t>
      </w:r>
      <w:r>
        <w:rPr>
          <w:spacing w:val="-1"/>
          <w:sz w:val="21"/>
        </w:rPr>
        <w:t xml:space="preserve"> </w:t>
      </w:r>
      <w:r>
        <w:rPr>
          <w:sz w:val="21"/>
        </w:rPr>
        <w:t>National Survey,</w:t>
      </w:r>
      <w:r>
        <w:rPr>
          <w:spacing w:val="-2"/>
          <w:sz w:val="21"/>
        </w:rPr>
        <w:t xml:space="preserve"> </w:t>
      </w:r>
      <w:r>
        <w:rPr>
          <w:sz w:val="21"/>
        </w:rPr>
        <w:t>nearly</w:t>
      </w:r>
      <w:r>
        <w:rPr>
          <w:spacing w:val="-2"/>
          <w:sz w:val="21"/>
        </w:rPr>
        <w:t xml:space="preserve"> </w:t>
      </w:r>
      <w:r>
        <w:rPr>
          <w:sz w:val="21"/>
        </w:rPr>
        <w:t>half of youth reported living in a “somewhat accepting” community, while 38% lived in a “somewhat or very unaccepting” community. Predictably, suicide attempt rates were highest among youth in v</w:t>
      </w:r>
      <w:r>
        <w:rPr>
          <w:sz w:val="21"/>
        </w:rPr>
        <w:t>ery unaccepting communities (21%) versus somewhat accepting (13%) or very accepting (8%). Yet peer support may be even more influential than family support: youth attempted suicide more often when they had low to moderate support from peers as opposed to f</w:t>
      </w:r>
      <w:r>
        <w:rPr>
          <w:sz w:val="21"/>
        </w:rPr>
        <w:t>rom family.</w:t>
      </w:r>
      <w:hyperlink w:anchor="_bookmark314" w:history="1">
        <w:r>
          <w:rPr>
            <w:sz w:val="21"/>
            <w:vertAlign w:val="superscript"/>
          </w:rPr>
          <w:t>60</w:t>
        </w:r>
      </w:hyperlink>
    </w:p>
    <w:p w:rsidR="00200FDA" w:rsidRDefault="00F76C4C">
      <w:pPr>
        <w:pStyle w:val="BodyText"/>
        <w:spacing w:before="8"/>
        <w:rPr>
          <w:sz w:val="17"/>
        </w:rPr>
      </w:pPr>
      <w:r>
        <w:rPr>
          <w:noProof/>
        </w:rPr>
        <w:drawing>
          <wp:anchor distT="0" distB="0" distL="0" distR="0" simplePos="0" relativeHeight="65" behindDoc="0" locked="0" layoutInCell="1" allowOverlap="1">
            <wp:simplePos x="0" y="0"/>
            <wp:positionH relativeFrom="page">
              <wp:posOffset>1921510</wp:posOffset>
            </wp:positionH>
            <wp:positionV relativeFrom="paragraph">
              <wp:posOffset>152295</wp:posOffset>
            </wp:positionV>
            <wp:extent cx="3928935" cy="1088136"/>
            <wp:effectExtent l="0" t="0" r="0" b="0"/>
            <wp:wrapTopAndBottom/>
            <wp:docPr id="43"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6.jpeg"/>
                    <pic:cNvPicPr/>
                  </pic:nvPicPr>
                  <pic:blipFill>
                    <a:blip r:embed="rId237" cstate="print"/>
                    <a:stretch>
                      <a:fillRect/>
                    </a:stretch>
                  </pic:blipFill>
                  <pic:spPr>
                    <a:xfrm>
                      <a:off x="0" y="0"/>
                      <a:ext cx="3928935" cy="1088136"/>
                    </a:xfrm>
                    <a:prstGeom prst="rect">
                      <a:avLst/>
                    </a:prstGeom>
                  </pic:spPr>
                </pic:pic>
              </a:graphicData>
            </a:graphic>
          </wp:anchor>
        </w:drawing>
      </w:r>
    </w:p>
    <w:p w:rsidR="00200FDA" w:rsidRDefault="00200FDA">
      <w:pPr>
        <w:pStyle w:val="BodyText"/>
      </w:pPr>
    </w:p>
    <w:p w:rsidR="00200FDA" w:rsidRDefault="00200FDA">
      <w:pPr>
        <w:pStyle w:val="BodyText"/>
        <w:spacing w:before="10"/>
        <w:rPr>
          <w:sz w:val="24"/>
        </w:rPr>
      </w:pPr>
    </w:p>
    <w:p w:rsidR="00200FDA" w:rsidRDefault="00F76C4C">
      <w:pPr>
        <w:pStyle w:val="Heading8"/>
      </w:pPr>
      <w:bookmarkStart w:id="364" w:name="Virtual_Programs"/>
      <w:bookmarkEnd w:id="364"/>
      <w:r>
        <w:rPr>
          <w:color w:val="0A5293"/>
        </w:rPr>
        <w:t>Virtual</w:t>
      </w:r>
      <w:r>
        <w:rPr>
          <w:color w:val="0A5293"/>
          <w:spacing w:val="-3"/>
        </w:rPr>
        <w:t xml:space="preserve"> </w:t>
      </w:r>
      <w:r>
        <w:rPr>
          <w:color w:val="0A5293"/>
          <w:spacing w:val="-2"/>
        </w:rPr>
        <w:t>Programs</w:t>
      </w:r>
    </w:p>
    <w:p w:rsidR="00200FDA" w:rsidRDefault="00200FDA">
      <w:pPr>
        <w:pStyle w:val="BodyText"/>
        <w:spacing w:before="2"/>
        <w:rPr>
          <w:sz w:val="23"/>
        </w:rPr>
      </w:pPr>
    </w:p>
    <w:p w:rsidR="00200FDA" w:rsidRDefault="00F76C4C">
      <w:pPr>
        <w:spacing w:line="276" w:lineRule="auto"/>
        <w:ind w:left="140" w:right="256"/>
        <w:jc w:val="both"/>
        <w:rPr>
          <w:sz w:val="21"/>
        </w:rPr>
      </w:pPr>
      <w:r>
        <w:rPr>
          <w:sz w:val="21"/>
        </w:rPr>
        <w:t>Whether</w:t>
      </w:r>
      <w:r>
        <w:rPr>
          <w:spacing w:val="-12"/>
          <w:sz w:val="21"/>
        </w:rPr>
        <w:t xml:space="preserve"> </w:t>
      </w:r>
      <w:r>
        <w:rPr>
          <w:sz w:val="21"/>
        </w:rPr>
        <w:t>in-person,</w:t>
      </w:r>
      <w:r>
        <w:rPr>
          <w:spacing w:val="-12"/>
          <w:sz w:val="21"/>
        </w:rPr>
        <w:t xml:space="preserve"> </w:t>
      </w:r>
      <w:r>
        <w:rPr>
          <w:sz w:val="21"/>
        </w:rPr>
        <w:t>online,</w:t>
      </w:r>
      <w:r>
        <w:rPr>
          <w:spacing w:val="-12"/>
          <w:sz w:val="21"/>
        </w:rPr>
        <w:t xml:space="preserve"> </w:t>
      </w:r>
      <w:r>
        <w:rPr>
          <w:sz w:val="21"/>
        </w:rPr>
        <w:t>or</w:t>
      </w:r>
      <w:r>
        <w:rPr>
          <w:spacing w:val="-12"/>
          <w:sz w:val="21"/>
        </w:rPr>
        <w:t xml:space="preserve"> </w:t>
      </w:r>
      <w:r>
        <w:rPr>
          <w:sz w:val="21"/>
        </w:rPr>
        <w:t>through</w:t>
      </w:r>
      <w:r>
        <w:rPr>
          <w:spacing w:val="-12"/>
          <w:sz w:val="21"/>
        </w:rPr>
        <w:t xml:space="preserve"> </w:t>
      </w:r>
      <w:r>
        <w:rPr>
          <w:sz w:val="21"/>
        </w:rPr>
        <w:t>a</w:t>
      </w:r>
      <w:r>
        <w:rPr>
          <w:spacing w:val="-12"/>
          <w:sz w:val="21"/>
        </w:rPr>
        <w:t xml:space="preserve"> </w:t>
      </w:r>
      <w:r>
        <w:rPr>
          <w:sz w:val="21"/>
        </w:rPr>
        <w:t>school,</w:t>
      </w:r>
      <w:r>
        <w:rPr>
          <w:spacing w:val="-12"/>
          <w:sz w:val="21"/>
        </w:rPr>
        <w:t xml:space="preserve"> </w:t>
      </w:r>
      <w:r>
        <w:rPr>
          <w:sz w:val="21"/>
        </w:rPr>
        <w:t>community,</w:t>
      </w:r>
      <w:r>
        <w:rPr>
          <w:spacing w:val="-11"/>
          <w:sz w:val="21"/>
        </w:rPr>
        <w:t xml:space="preserve"> </w:t>
      </w:r>
      <w:r>
        <w:rPr>
          <w:sz w:val="21"/>
        </w:rPr>
        <w:t>or</w:t>
      </w:r>
      <w:r>
        <w:rPr>
          <w:spacing w:val="-12"/>
          <w:sz w:val="21"/>
        </w:rPr>
        <w:t xml:space="preserve"> </w:t>
      </w:r>
      <w:r>
        <w:rPr>
          <w:sz w:val="21"/>
        </w:rPr>
        <w:t>camp,</w:t>
      </w:r>
      <w:r>
        <w:rPr>
          <w:spacing w:val="-12"/>
          <w:sz w:val="21"/>
        </w:rPr>
        <w:t xml:space="preserve"> </w:t>
      </w:r>
      <w:r>
        <w:rPr>
          <w:sz w:val="21"/>
        </w:rPr>
        <w:t>LGBTQ</w:t>
      </w:r>
      <w:r>
        <w:rPr>
          <w:spacing w:val="-12"/>
          <w:sz w:val="21"/>
        </w:rPr>
        <w:t xml:space="preserve"> </w:t>
      </w:r>
      <w:r>
        <w:rPr>
          <w:sz w:val="21"/>
        </w:rPr>
        <w:t>youth</w:t>
      </w:r>
      <w:r>
        <w:rPr>
          <w:spacing w:val="-12"/>
          <w:sz w:val="21"/>
        </w:rPr>
        <w:t xml:space="preserve"> </w:t>
      </w:r>
      <w:r>
        <w:rPr>
          <w:sz w:val="21"/>
        </w:rPr>
        <w:t>groups</w:t>
      </w:r>
      <w:r>
        <w:rPr>
          <w:spacing w:val="-12"/>
          <w:sz w:val="21"/>
        </w:rPr>
        <w:t xml:space="preserve"> </w:t>
      </w:r>
      <w:r>
        <w:rPr>
          <w:sz w:val="21"/>
        </w:rPr>
        <w:t>are</w:t>
      </w:r>
      <w:r>
        <w:rPr>
          <w:spacing w:val="-12"/>
          <w:sz w:val="21"/>
        </w:rPr>
        <w:t xml:space="preserve"> </w:t>
      </w:r>
      <w:r>
        <w:rPr>
          <w:sz w:val="21"/>
        </w:rPr>
        <w:t>versatile.</w:t>
      </w:r>
      <w:r>
        <w:rPr>
          <w:spacing w:val="-12"/>
          <w:sz w:val="21"/>
        </w:rPr>
        <w:t xml:space="preserve"> </w:t>
      </w:r>
      <w:r>
        <w:rPr>
          <w:sz w:val="21"/>
        </w:rPr>
        <w:t>Virtual groups</w:t>
      </w:r>
      <w:r>
        <w:rPr>
          <w:spacing w:val="-4"/>
          <w:sz w:val="21"/>
        </w:rPr>
        <w:t xml:space="preserve"> </w:t>
      </w:r>
      <w:r>
        <w:rPr>
          <w:sz w:val="21"/>
        </w:rPr>
        <w:t>can</w:t>
      </w:r>
      <w:r>
        <w:rPr>
          <w:spacing w:val="-4"/>
          <w:sz w:val="21"/>
        </w:rPr>
        <w:t xml:space="preserve"> </w:t>
      </w:r>
      <w:r>
        <w:rPr>
          <w:sz w:val="21"/>
        </w:rPr>
        <w:t>provide</w:t>
      </w:r>
      <w:r>
        <w:rPr>
          <w:spacing w:val="-3"/>
          <w:sz w:val="21"/>
        </w:rPr>
        <w:t xml:space="preserve"> </w:t>
      </w:r>
      <w:r>
        <w:rPr>
          <w:sz w:val="21"/>
        </w:rPr>
        <w:t>brief,</w:t>
      </w:r>
      <w:r>
        <w:rPr>
          <w:spacing w:val="-5"/>
          <w:sz w:val="21"/>
        </w:rPr>
        <w:t xml:space="preserve"> </w:t>
      </w:r>
      <w:r>
        <w:rPr>
          <w:sz w:val="21"/>
        </w:rPr>
        <w:t>evidence-based</w:t>
      </w:r>
      <w:r>
        <w:rPr>
          <w:spacing w:val="-4"/>
          <w:sz w:val="21"/>
        </w:rPr>
        <w:t xml:space="preserve"> </w:t>
      </w:r>
      <w:r>
        <w:rPr>
          <w:sz w:val="21"/>
        </w:rPr>
        <w:t>clinical</w:t>
      </w:r>
      <w:r>
        <w:rPr>
          <w:spacing w:val="-3"/>
          <w:sz w:val="21"/>
        </w:rPr>
        <w:t xml:space="preserve"> </w:t>
      </w:r>
      <w:r>
        <w:rPr>
          <w:sz w:val="21"/>
        </w:rPr>
        <w:t>interventions</w:t>
      </w:r>
      <w:r>
        <w:rPr>
          <w:spacing w:val="-4"/>
          <w:sz w:val="21"/>
        </w:rPr>
        <w:t xml:space="preserve"> </w:t>
      </w:r>
      <w:r>
        <w:rPr>
          <w:sz w:val="21"/>
        </w:rPr>
        <w:t>such</w:t>
      </w:r>
      <w:r>
        <w:rPr>
          <w:spacing w:val="-4"/>
          <w:sz w:val="21"/>
        </w:rPr>
        <w:t xml:space="preserve"> </w:t>
      </w:r>
      <w:r>
        <w:rPr>
          <w:sz w:val="21"/>
        </w:rPr>
        <w:t>as</w:t>
      </w:r>
      <w:r>
        <w:rPr>
          <w:spacing w:val="-4"/>
          <w:sz w:val="21"/>
        </w:rPr>
        <w:t xml:space="preserve"> </w:t>
      </w:r>
      <w:r>
        <w:rPr>
          <w:sz w:val="21"/>
        </w:rPr>
        <w:t>CBT</w:t>
      </w:r>
      <w:r>
        <w:rPr>
          <w:spacing w:val="-3"/>
          <w:sz w:val="21"/>
        </w:rPr>
        <w:t xml:space="preserve"> </w:t>
      </w:r>
      <w:r>
        <w:rPr>
          <w:sz w:val="21"/>
        </w:rPr>
        <w:t>or</w:t>
      </w:r>
      <w:r>
        <w:rPr>
          <w:spacing w:val="-2"/>
          <w:sz w:val="21"/>
        </w:rPr>
        <w:t xml:space="preserve"> </w:t>
      </w:r>
      <w:r>
        <w:rPr>
          <w:sz w:val="21"/>
        </w:rPr>
        <w:t>DBT,</w:t>
      </w:r>
      <w:r>
        <w:rPr>
          <w:spacing w:val="-5"/>
          <w:sz w:val="21"/>
        </w:rPr>
        <w:t xml:space="preserve"> </w:t>
      </w:r>
      <w:r>
        <w:rPr>
          <w:sz w:val="21"/>
        </w:rPr>
        <w:t>but</w:t>
      </w:r>
      <w:r>
        <w:rPr>
          <w:spacing w:val="-4"/>
          <w:sz w:val="21"/>
        </w:rPr>
        <w:t xml:space="preserve"> </w:t>
      </w:r>
      <w:r>
        <w:rPr>
          <w:sz w:val="21"/>
        </w:rPr>
        <w:t>they</w:t>
      </w:r>
      <w:r>
        <w:rPr>
          <w:spacing w:val="-3"/>
          <w:sz w:val="21"/>
        </w:rPr>
        <w:t xml:space="preserve"> </w:t>
      </w:r>
      <w:r>
        <w:rPr>
          <w:sz w:val="21"/>
        </w:rPr>
        <w:t>can</w:t>
      </w:r>
      <w:r>
        <w:rPr>
          <w:spacing w:val="-3"/>
          <w:sz w:val="21"/>
        </w:rPr>
        <w:t xml:space="preserve"> </w:t>
      </w:r>
      <w:r>
        <w:rPr>
          <w:sz w:val="21"/>
        </w:rPr>
        <w:t>also</w:t>
      </w:r>
      <w:r>
        <w:rPr>
          <w:spacing w:val="-4"/>
          <w:sz w:val="21"/>
        </w:rPr>
        <w:t xml:space="preserve"> </w:t>
      </w:r>
      <w:r>
        <w:rPr>
          <w:sz w:val="21"/>
        </w:rPr>
        <w:t>be</w:t>
      </w:r>
      <w:r>
        <w:rPr>
          <w:spacing w:val="-3"/>
          <w:sz w:val="21"/>
        </w:rPr>
        <w:t xml:space="preserve"> </w:t>
      </w:r>
      <w:r>
        <w:rPr>
          <w:sz w:val="21"/>
        </w:rPr>
        <w:t>based</w:t>
      </w:r>
    </w:p>
    <w:p w:rsidR="00200FDA" w:rsidRDefault="00200FDA">
      <w:pPr>
        <w:spacing w:line="276" w:lineRule="auto"/>
        <w:jc w:val="both"/>
        <w:rPr>
          <w:sz w:val="21"/>
        </w:rPr>
        <w:sectPr w:rsidR="00200FDA">
          <w:pgSz w:w="12240" w:h="15840"/>
          <w:pgMar w:top="1360" w:right="1180" w:bottom="1480" w:left="1300" w:header="761" w:footer="1208" w:gutter="0"/>
          <w:cols w:space="720"/>
        </w:sectPr>
      </w:pPr>
    </w:p>
    <w:p w:rsidR="00200FDA" w:rsidRDefault="00F76C4C">
      <w:pPr>
        <w:spacing w:before="64" w:line="276" w:lineRule="auto"/>
        <w:ind w:left="140" w:right="255"/>
        <w:jc w:val="both"/>
        <w:rPr>
          <w:sz w:val="21"/>
        </w:rPr>
      </w:pPr>
      <w:r>
        <w:rPr>
          <w:sz w:val="21"/>
        </w:rPr>
        <w:lastRenderedPageBreak/>
        <w:t>around</w:t>
      </w:r>
      <w:r>
        <w:rPr>
          <w:spacing w:val="-5"/>
          <w:sz w:val="21"/>
        </w:rPr>
        <w:t xml:space="preserve"> </w:t>
      </w:r>
      <w:r>
        <w:rPr>
          <w:sz w:val="21"/>
        </w:rPr>
        <w:t>socializing,</w:t>
      </w:r>
      <w:r>
        <w:rPr>
          <w:spacing w:val="-4"/>
          <w:sz w:val="21"/>
        </w:rPr>
        <w:t xml:space="preserve"> </w:t>
      </w:r>
      <w:r>
        <w:rPr>
          <w:sz w:val="21"/>
        </w:rPr>
        <w:t>peer</w:t>
      </w:r>
      <w:r>
        <w:rPr>
          <w:spacing w:val="-4"/>
          <w:sz w:val="21"/>
        </w:rPr>
        <w:t xml:space="preserve"> </w:t>
      </w:r>
      <w:r>
        <w:rPr>
          <w:sz w:val="21"/>
        </w:rPr>
        <w:t>support,</w:t>
      </w:r>
      <w:r>
        <w:rPr>
          <w:spacing w:val="-4"/>
          <w:sz w:val="21"/>
        </w:rPr>
        <w:t xml:space="preserve"> </w:t>
      </w:r>
      <w:r>
        <w:rPr>
          <w:sz w:val="21"/>
        </w:rPr>
        <w:t>activism,</w:t>
      </w:r>
      <w:r>
        <w:rPr>
          <w:spacing w:val="-4"/>
          <w:sz w:val="21"/>
        </w:rPr>
        <w:t xml:space="preserve"> </w:t>
      </w:r>
      <w:r>
        <w:rPr>
          <w:sz w:val="21"/>
        </w:rPr>
        <w:t>common</w:t>
      </w:r>
      <w:r>
        <w:rPr>
          <w:spacing w:val="-5"/>
          <w:sz w:val="21"/>
        </w:rPr>
        <w:t xml:space="preserve"> </w:t>
      </w:r>
      <w:r>
        <w:rPr>
          <w:sz w:val="21"/>
        </w:rPr>
        <w:t>interests,</w:t>
      </w:r>
      <w:r>
        <w:rPr>
          <w:spacing w:val="-4"/>
          <w:sz w:val="21"/>
        </w:rPr>
        <w:t xml:space="preserve"> </w:t>
      </w:r>
      <w:r>
        <w:rPr>
          <w:sz w:val="21"/>
        </w:rPr>
        <w:t>and</w:t>
      </w:r>
      <w:r>
        <w:rPr>
          <w:spacing w:val="-5"/>
          <w:sz w:val="21"/>
        </w:rPr>
        <w:t xml:space="preserve"> </w:t>
      </w:r>
      <w:r>
        <w:rPr>
          <w:sz w:val="21"/>
        </w:rPr>
        <w:t>more,</w:t>
      </w:r>
      <w:r>
        <w:rPr>
          <w:spacing w:val="-4"/>
          <w:sz w:val="21"/>
        </w:rPr>
        <w:t xml:space="preserve"> </w:t>
      </w:r>
      <w:r>
        <w:rPr>
          <w:sz w:val="21"/>
        </w:rPr>
        <w:t>acting</w:t>
      </w:r>
      <w:r>
        <w:rPr>
          <w:spacing w:val="-5"/>
          <w:sz w:val="21"/>
        </w:rPr>
        <w:t xml:space="preserve"> </w:t>
      </w:r>
      <w:r>
        <w:rPr>
          <w:sz w:val="21"/>
        </w:rPr>
        <w:t>as</w:t>
      </w:r>
      <w:r>
        <w:rPr>
          <w:spacing w:val="-5"/>
          <w:sz w:val="21"/>
        </w:rPr>
        <w:t xml:space="preserve"> </w:t>
      </w:r>
      <w:r>
        <w:rPr>
          <w:sz w:val="21"/>
        </w:rPr>
        <w:t>safe</w:t>
      </w:r>
      <w:r>
        <w:rPr>
          <w:spacing w:val="-4"/>
          <w:sz w:val="21"/>
        </w:rPr>
        <w:t xml:space="preserve"> </w:t>
      </w:r>
      <w:r>
        <w:rPr>
          <w:sz w:val="21"/>
        </w:rPr>
        <w:t>oases</w:t>
      </w:r>
      <w:r>
        <w:rPr>
          <w:spacing w:val="-5"/>
          <w:sz w:val="21"/>
        </w:rPr>
        <w:t xml:space="preserve"> </w:t>
      </w:r>
      <w:r>
        <w:rPr>
          <w:sz w:val="21"/>
        </w:rPr>
        <w:t>where</w:t>
      </w:r>
      <w:r>
        <w:rPr>
          <w:spacing w:val="-4"/>
          <w:sz w:val="21"/>
        </w:rPr>
        <w:t xml:space="preserve"> </w:t>
      </w:r>
      <w:r>
        <w:rPr>
          <w:sz w:val="21"/>
        </w:rPr>
        <w:t>youth</w:t>
      </w:r>
      <w:r>
        <w:rPr>
          <w:spacing w:val="-5"/>
          <w:sz w:val="21"/>
        </w:rPr>
        <w:t xml:space="preserve"> </w:t>
      </w:r>
      <w:r>
        <w:rPr>
          <w:sz w:val="21"/>
        </w:rPr>
        <w:t>feel more implicitly understood and accepted than in other areas of life.</w:t>
      </w:r>
    </w:p>
    <w:p w:rsidR="00200FDA" w:rsidRDefault="00200FDA">
      <w:pPr>
        <w:pStyle w:val="BodyText"/>
        <w:spacing w:before="8"/>
        <w:rPr>
          <w:sz w:val="19"/>
        </w:rPr>
      </w:pPr>
    </w:p>
    <w:p w:rsidR="00200FDA" w:rsidRDefault="00F76C4C">
      <w:pPr>
        <w:spacing w:before="1" w:line="276" w:lineRule="auto"/>
        <w:ind w:left="139" w:right="3304"/>
        <w:jc w:val="both"/>
        <w:rPr>
          <w:sz w:val="21"/>
        </w:rPr>
      </w:pPr>
      <w:r>
        <w:rPr>
          <w:noProof/>
        </w:rPr>
        <w:drawing>
          <wp:anchor distT="0" distB="0" distL="0" distR="0" simplePos="0" relativeHeight="15762944" behindDoc="0" locked="0" layoutInCell="1" allowOverlap="1">
            <wp:simplePos x="0" y="0"/>
            <wp:positionH relativeFrom="page">
              <wp:posOffset>5113263</wp:posOffset>
            </wp:positionH>
            <wp:positionV relativeFrom="paragraph">
              <wp:posOffset>64175</wp:posOffset>
            </wp:positionV>
            <wp:extent cx="1669806" cy="1660786"/>
            <wp:effectExtent l="0" t="0" r="0" b="0"/>
            <wp:wrapNone/>
            <wp:docPr id="45"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7.png"/>
                    <pic:cNvPicPr/>
                  </pic:nvPicPr>
                  <pic:blipFill>
                    <a:blip r:embed="rId238" cstate="print"/>
                    <a:stretch>
                      <a:fillRect/>
                    </a:stretch>
                  </pic:blipFill>
                  <pic:spPr>
                    <a:xfrm>
                      <a:off x="0" y="0"/>
                      <a:ext cx="1669806" cy="1660786"/>
                    </a:xfrm>
                    <a:prstGeom prst="rect">
                      <a:avLst/>
                    </a:prstGeom>
                  </pic:spPr>
                </pic:pic>
              </a:graphicData>
            </a:graphic>
          </wp:anchor>
        </w:drawing>
      </w:r>
      <w:r>
        <w:rPr>
          <w:sz w:val="21"/>
        </w:rPr>
        <w:t>To begin, since LGBTQ youth face high rates of online harassment and maintain</w:t>
      </w:r>
      <w:r>
        <w:rPr>
          <w:spacing w:val="-12"/>
          <w:sz w:val="21"/>
        </w:rPr>
        <w:t xml:space="preserve"> </w:t>
      </w:r>
      <w:r>
        <w:rPr>
          <w:sz w:val="21"/>
        </w:rPr>
        <w:t>active</w:t>
      </w:r>
      <w:r>
        <w:rPr>
          <w:spacing w:val="-12"/>
          <w:sz w:val="21"/>
        </w:rPr>
        <w:t xml:space="preserve"> </w:t>
      </w:r>
      <w:r>
        <w:rPr>
          <w:sz w:val="21"/>
        </w:rPr>
        <w:t>subcultures</w:t>
      </w:r>
      <w:r>
        <w:rPr>
          <w:spacing w:val="-12"/>
          <w:sz w:val="21"/>
        </w:rPr>
        <w:t xml:space="preserve"> </w:t>
      </w:r>
      <w:r>
        <w:rPr>
          <w:sz w:val="21"/>
        </w:rPr>
        <w:t>and</w:t>
      </w:r>
      <w:r>
        <w:rPr>
          <w:spacing w:val="-12"/>
          <w:sz w:val="21"/>
        </w:rPr>
        <w:t xml:space="preserve"> </w:t>
      </w:r>
      <w:r>
        <w:rPr>
          <w:sz w:val="21"/>
        </w:rPr>
        <w:t>affinity</w:t>
      </w:r>
      <w:r>
        <w:rPr>
          <w:spacing w:val="-12"/>
          <w:sz w:val="21"/>
        </w:rPr>
        <w:t xml:space="preserve"> </w:t>
      </w:r>
      <w:r>
        <w:rPr>
          <w:sz w:val="21"/>
        </w:rPr>
        <w:t>spaces</w:t>
      </w:r>
      <w:r>
        <w:rPr>
          <w:spacing w:val="-12"/>
          <w:sz w:val="21"/>
        </w:rPr>
        <w:t xml:space="preserve"> </w:t>
      </w:r>
      <w:r>
        <w:rPr>
          <w:sz w:val="21"/>
        </w:rPr>
        <w:t>online,</w:t>
      </w:r>
      <w:r>
        <w:rPr>
          <w:spacing w:val="-12"/>
          <w:sz w:val="21"/>
        </w:rPr>
        <w:t xml:space="preserve"> </w:t>
      </w:r>
      <w:r>
        <w:rPr>
          <w:sz w:val="21"/>
        </w:rPr>
        <w:t>virtual</w:t>
      </w:r>
      <w:r>
        <w:rPr>
          <w:spacing w:val="-11"/>
          <w:sz w:val="21"/>
        </w:rPr>
        <w:t xml:space="preserve"> </w:t>
      </w:r>
      <w:r>
        <w:rPr>
          <w:sz w:val="21"/>
        </w:rPr>
        <w:t>interventions are</w:t>
      </w:r>
      <w:r>
        <w:rPr>
          <w:spacing w:val="-7"/>
          <w:sz w:val="21"/>
        </w:rPr>
        <w:t xml:space="preserve"> </w:t>
      </w:r>
      <w:r>
        <w:rPr>
          <w:sz w:val="21"/>
        </w:rPr>
        <w:t>a</w:t>
      </w:r>
      <w:r>
        <w:rPr>
          <w:spacing w:val="-6"/>
          <w:sz w:val="21"/>
        </w:rPr>
        <w:t xml:space="preserve"> </w:t>
      </w:r>
      <w:r>
        <w:rPr>
          <w:sz w:val="21"/>
        </w:rPr>
        <w:t>promising</w:t>
      </w:r>
      <w:r>
        <w:rPr>
          <w:spacing w:val="-6"/>
          <w:sz w:val="21"/>
        </w:rPr>
        <w:t xml:space="preserve"> </w:t>
      </w:r>
      <w:r>
        <w:rPr>
          <w:sz w:val="21"/>
        </w:rPr>
        <w:t>avenue</w:t>
      </w:r>
      <w:r>
        <w:rPr>
          <w:spacing w:val="-7"/>
          <w:sz w:val="21"/>
        </w:rPr>
        <w:t xml:space="preserve"> </w:t>
      </w:r>
      <w:r>
        <w:rPr>
          <w:sz w:val="21"/>
        </w:rPr>
        <w:t>for</w:t>
      </w:r>
      <w:r>
        <w:rPr>
          <w:spacing w:val="-7"/>
          <w:sz w:val="21"/>
        </w:rPr>
        <w:t xml:space="preserve"> </w:t>
      </w:r>
      <w:r>
        <w:rPr>
          <w:sz w:val="21"/>
        </w:rPr>
        <w:t>LGBTQ</w:t>
      </w:r>
      <w:r>
        <w:rPr>
          <w:spacing w:val="-8"/>
          <w:sz w:val="21"/>
        </w:rPr>
        <w:t xml:space="preserve"> </w:t>
      </w:r>
      <w:r>
        <w:rPr>
          <w:sz w:val="21"/>
        </w:rPr>
        <w:t>youth</w:t>
      </w:r>
      <w:r>
        <w:rPr>
          <w:spacing w:val="-6"/>
          <w:sz w:val="21"/>
        </w:rPr>
        <w:t xml:space="preserve"> </w:t>
      </w:r>
      <w:r>
        <w:rPr>
          <w:sz w:val="21"/>
        </w:rPr>
        <w:t>mental</w:t>
      </w:r>
      <w:r>
        <w:rPr>
          <w:spacing w:val="-8"/>
          <w:sz w:val="21"/>
        </w:rPr>
        <w:t xml:space="preserve"> </w:t>
      </w:r>
      <w:r>
        <w:rPr>
          <w:sz w:val="21"/>
        </w:rPr>
        <w:t>health</w:t>
      </w:r>
      <w:r>
        <w:rPr>
          <w:spacing w:val="-6"/>
          <w:sz w:val="21"/>
        </w:rPr>
        <w:t xml:space="preserve"> </w:t>
      </w:r>
      <w:r>
        <w:rPr>
          <w:sz w:val="21"/>
        </w:rPr>
        <w:t>support.</w:t>
      </w:r>
      <w:r>
        <w:rPr>
          <w:spacing w:val="35"/>
          <w:sz w:val="21"/>
        </w:rPr>
        <w:t xml:space="preserve"> </w:t>
      </w:r>
      <w:r>
        <w:rPr>
          <w:sz w:val="21"/>
        </w:rPr>
        <w:t>Research suggests that youth feel more comforta</w:t>
      </w:r>
      <w:r>
        <w:rPr>
          <w:sz w:val="21"/>
        </w:rPr>
        <w:t>ble sharing personal experiences via text than face-to-face,</w:t>
      </w:r>
      <w:hyperlink w:anchor="_bookmark315" w:history="1">
        <w:r>
          <w:rPr>
            <w:sz w:val="21"/>
            <w:vertAlign w:val="superscript"/>
          </w:rPr>
          <w:t>61</w:t>
        </w:r>
      </w:hyperlink>
      <w:r>
        <w:rPr>
          <w:sz w:val="21"/>
        </w:rPr>
        <w:t xml:space="preserve"> as this lessens fears about outing or social discomfort. Online groups are also more accessible for youth who lack reliable</w:t>
      </w:r>
      <w:r>
        <w:rPr>
          <w:spacing w:val="-12"/>
          <w:sz w:val="21"/>
        </w:rPr>
        <w:t xml:space="preserve"> </w:t>
      </w:r>
      <w:r>
        <w:rPr>
          <w:sz w:val="21"/>
        </w:rPr>
        <w:t>transportation,</w:t>
      </w:r>
      <w:r>
        <w:rPr>
          <w:spacing w:val="-12"/>
          <w:sz w:val="21"/>
        </w:rPr>
        <w:t xml:space="preserve"> </w:t>
      </w:r>
      <w:r>
        <w:rPr>
          <w:sz w:val="21"/>
        </w:rPr>
        <w:t>live</w:t>
      </w:r>
      <w:r>
        <w:rPr>
          <w:spacing w:val="-12"/>
          <w:sz w:val="21"/>
        </w:rPr>
        <w:t xml:space="preserve"> </w:t>
      </w:r>
      <w:r>
        <w:rPr>
          <w:sz w:val="21"/>
        </w:rPr>
        <w:t>in</w:t>
      </w:r>
      <w:r>
        <w:rPr>
          <w:spacing w:val="-12"/>
          <w:sz w:val="21"/>
        </w:rPr>
        <w:t xml:space="preserve"> </w:t>
      </w:r>
      <w:r>
        <w:rPr>
          <w:sz w:val="21"/>
        </w:rPr>
        <w:t>rural</w:t>
      </w:r>
      <w:r>
        <w:rPr>
          <w:spacing w:val="-12"/>
          <w:sz w:val="21"/>
        </w:rPr>
        <w:t xml:space="preserve"> </w:t>
      </w:r>
      <w:r>
        <w:rPr>
          <w:sz w:val="21"/>
        </w:rPr>
        <w:t>areas,</w:t>
      </w:r>
      <w:r>
        <w:rPr>
          <w:spacing w:val="-12"/>
          <w:sz w:val="21"/>
        </w:rPr>
        <w:t xml:space="preserve"> </w:t>
      </w:r>
      <w:r>
        <w:rPr>
          <w:sz w:val="21"/>
        </w:rPr>
        <w:t>or</w:t>
      </w:r>
      <w:r>
        <w:rPr>
          <w:spacing w:val="-12"/>
          <w:sz w:val="21"/>
        </w:rPr>
        <w:t xml:space="preserve"> </w:t>
      </w:r>
      <w:r>
        <w:rPr>
          <w:sz w:val="21"/>
        </w:rPr>
        <w:t>are</w:t>
      </w:r>
      <w:r>
        <w:rPr>
          <w:spacing w:val="-11"/>
          <w:sz w:val="21"/>
        </w:rPr>
        <w:t xml:space="preserve"> </w:t>
      </w:r>
      <w:r>
        <w:rPr>
          <w:sz w:val="21"/>
        </w:rPr>
        <w:t>not</w:t>
      </w:r>
      <w:r>
        <w:rPr>
          <w:spacing w:val="-12"/>
          <w:sz w:val="21"/>
        </w:rPr>
        <w:t xml:space="preserve"> </w:t>
      </w:r>
      <w:r>
        <w:rPr>
          <w:sz w:val="21"/>
        </w:rPr>
        <w:t>allowed</w:t>
      </w:r>
      <w:r>
        <w:rPr>
          <w:spacing w:val="-12"/>
          <w:sz w:val="21"/>
        </w:rPr>
        <w:t xml:space="preserve"> </w:t>
      </w:r>
      <w:r>
        <w:rPr>
          <w:sz w:val="21"/>
        </w:rPr>
        <w:t>to</w:t>
      </w:r>
      <w:r>
        <w:rPr>
          <w:spacing w:val="-12"/>
          <w:sz w:val="21"/>
        </w:rPr>
        <w:t xml:space="preserve"> </w:t>
      </w:r>
      <w:r>
        <w:rPr>
          <w:sz w:val="21"/>
        </w:rPr>
        <w:t>travel</w:t>
      </w:r>
      <w:r>
        <w:rPr>
          <w:spacing w:val="-12"/>
          <w:sz w:val="21"/>
        </w:rPr>
        <w:t xml:space="preserve"> </w:t>
      </w:r>
      <w:r>
        <w:rPr>
          <w:sz w:val="21"/>
        </w:rPr>
        <w:t>(such as those in juvenile justice systems). Finally, they are useful for providing affinity-based spaces for LGBTQ youth with specific identities or experiences</w:t>
      </w:r>
      <w:r>
        <w:rPr>
          <w:spacing w:val="-3"/>
          <w:sz w:val="21"/>
        </w:rPr>
        <w:t xml:space="preserve"> </w:t>
      </w:r>
      <w:r>
        <w:rPr>
          <w:sz w:val="21"/>
        </w:rPr>
        <w:t>across</w:t>
      </w:r>
      <w:r>
        <w:rPr>
          <w:spacing w:val="-3"/>
          <w:sz w:val="21"/>
        </w:rPr>
        <w:t xml:space="preserve"> </w:t>
      </w:r>
      <w:r>
        <w:rPr>
          <w:sz w:val="21"/>
        </w:rPr>
        <w:t>far</w:t>
      </w:r>
      <w:r>
        <w:rPr>
          <w:spacing w:val="-1"/>
          <w:sz w:val="21"/>
        </w:rPr>
        <w:t xml:space="preserve"> </w:t>
      </w:r>
      <w:r>
        <w:rPr>
          <w:sz w:val="21"/>
        </w:rPr>
        <w:t>distances,</w:t>
      </w:r>
      <w:r>
        <w:rPr>
          <w:spacing w:val="-2"/>
          <w:sz w:val="21"/>
        </w:rPr>
        <w:t xml:space="preserve"> </w:t>
      </w:r>
      <w:r>
        <w:rPr>
          <w:sz w:val="21"/>
        </w:rPr>
        <w:t>since</w:t>
      </w:r>
      <w:r>
        <w:rPr>
          <w:spacing w:val="-2"/>
          <w:sz w:val="21"/>
        </w:rPr>
        <w:t xml:space="preserve"> </w:t>
      </w:r>
      <w:r>
        <w:rPr>
          <w:sz w:val="21"/>
        </w:rPr>
        <w:t>youth</w:t>
      </w:r>
      <w:r>
        <w:rPr>
          <w:spacing w:val="-3"/>
          <w:sz w:val="21"/>
        </w:rPr>
        <w:t xml:space="preserve"> </w:t>
      </w:r>
      <w:r>
        <w:rPr>
          <w:sz w:val="21"/>
        </w:rPr>
        <w:t>may</w:t>
      </w:r>
      <w:r>
        <w:rPr>
          <w:spacing w:val="-2"/>
          <w:sz w:val="21"/>
        </w:rPr>
        <w:t xml:space="preserve"> </w:t>
      </w:r>
      <w:r>
        <w:rPr>
          <w:sz w:val="21"/>
        </w:rPr>
        <w:t>not</w:t>
      </w:r>
      <w:r>
        <w:rPr>
          <w:spacing w:val="-3"/>
          <w:sz w:val="21"/>
        </w:rPr>
        <w:t xml:space="preserve"> </w:t>
      </w:r>
      <w:r>
        <w:rPr>
          <w:sz w:val="21"/>
        </w:rPr>
        <w:t>find</w:t>
      </w:r>
      <w:r>
        <w:rPr>
          <w:spacing w:val="-3"/>
          <w:sz w:val="21"/>
        </w:rPr>
        <w:t xml:space="preserve"> </w:t>
      </w:r>
      <w:r>
        <w:rPr>
          <w:sz w:val="21"/>
        </w:rPr>
        <w:t>others</w:t>
      </w:r>
      <w:r>
        <w:rPr>
          <w:spacing w:val="-3"/>
          <w:sz w:val="21"/>
        </w:rPr>
        <w:t xml:space="preserve"> </w:t>
      </w:r>
      <w:r>
        <w:rPr>
          <w:sz w:val="21"/>
        </w:rPr>
        <w:t>with</w:t>
      </w:r>
      <w:r>
        <w:rPr>
          <w:spacing w:val="-3"/>
          <w:sz w:val="21"/>
        </w:rPr>
        <w:t xml:space="preserve"> </w:t>
      </w:r>
      <w:r>
        <w:rPr>
          <w:sz w:val="21"/>
        </w:rPr>
        <w:t>the</w:t>
      </w:r>
    </w:p>
    <w:p w:rsidR="00200FDA" w:rsidRDefault="00F76C4C">
      <w:pPr>
        <w:spacing w:line="276" w:lineRule="auto"/>
        <w:ind w:left="140" w:right="257" w:hanging="1"/>
        <w:jc w:val="both"/>
        <w:rPr>
          <w:sz w:val="21"/>
        </w:rPr>
      </w:pPr>
      <w:r>
        <w:rPr>
          <w:sz w:val="21"/>
        </w:rPr>
        <w:t>same intersectional identities in-person. The Trevor Project’s chat line and Q Chat Space, an adult-facilitated program that connects and supports youth, are two evidence-based models of online support.</w:t>
      </w:r>
    </w:p>
    <w:p w:rsidR="00200FDA" w:rsidRDefault="00200FDA">
      <w:pPr>
        <w:pStyle w:val="BodyText"/>
        <w:rPr>
          <w:sz w:val="20"/>
        </w:rPr>
      </w:pPr>
    </w:p>
    <w:p w:rsidR="00200FDA" w:rsidRDefault="00200FDA">
      <w:pPr>
        <w:pStyle w:val="BodyText"/>
        <w:spacing w:before="2"/>
        <w:rPr>
          <w:sz w:val="26"/>
        </w:rPr>
      </w:pPr>
    </w:p>
    <w:p w:rsidR="00200FDA" w:rsidRDefault="00F76C4C">
      <w:pPr>
        <w:pStyle w:val="Heading8"/>
      </w:pPr>
      <w:bookmarkStart w:id="365" w:name="In-Person_Peer_Programs_in_Schools_and_C"/>
      <w:bookmarkEnd w:id="365"/>
      <w:r>
        <w:rPr>
          <w:color w:val="0A5293"/>
        </w:rPr>
        <w:t>In-Person</w:t>
      </w:r>
      <w:r>
        <w:rPr>
          <w:color w:val="0A5293"/>
          <w:spacing w:val="-3"/>
        </w:rPr>
        <w:t xml:space="preserve"> </w:t>
      </w:r>
      <w:r>
        <w:rPr>
          <w:color w:val="0A5293"/>
        </w:rPr>
        <w:t>Peer</w:t>
      </w:r>
      <w:r>
        <w:rPr>
          <w:color w:val="0A5293"/>
          <w:spacing w:val="-4"/>
        </w:rPr>
        <w:t xml:space="preserve"> </w:t>
      </w:r>
      <w:r>
        <w:rPr>
          <w:color w:val="0A5293"/>
        </w:rPr>
        <w:t>Programs</w:t>
      </w:r>
      <w:r>
        <w:rPr>
          <w:color w:val="0A5293"/>
          <w:spacing w:val="-4"/>
        </w:rPr>
        <w:t xml:space="preserve"> </w:t>
      </w:r>
      <w:r>
        <w:rPr>
          <w:color w:val="0A5293"/>
        </w:rPr>
        <w:t>in Schools</w:t>
      </w:r>
      <w:r>
        <w:rPr>
          <w:color w:val="0A5293"/>
          <w:spacing w:val="-3"/>
        </w:rPr>
        <w:t xml:space="preserve"> </w:t>
      </w:r>
      <w:r>
        <w:rPr>
          <w:color w:val="0A5293"/>
        </w:rPr>
        <w:t>and</w:t>
      </w:r>
      <w:r>
        <w:rPr>
          <w:color w:val="0A5293"/>
          <w:spacing w:val="-2"/>
        </w:rPr>
        <w:t xml:space="preserve"> Communities</w:t>
      </w:r>
    </w:p>
    <w:p w:rsidR="00200FDA" w:rsidRDefault="00200FDA">
      <w:pPr>
        <w:pStyle w:val="BodyText"/>
        <w:rPr>
          <w:sz w:val="24"/>
        </w:rPr>
      </w:pPr>
    </w:p>
    <w:p w:rsidR="00200FDA" w:rsidRDefault="00F76C4C">
      <w:pPr>
        <w:spacing w:before="153" w:line="276" w:lineRule="auto"/>
        <w:ind w:left="139" w:right="253"/>
        <w:jc w:val="both"/>
        <w:rPr>
          <w:sz w:val="21"/>
        </w:rPr>
      </w:pPr>
      <w:r>
        <w:rPr>
          <w:sz w:val="21"/>
        </w:rPr>
        <w:t>Next, in-person peer programs have been popular for decades and have more evidence for improving</w:t>
      </w:r>
      <w:r>
        <w:rPr>
          <w:spacing w:val="-1"/>
          <w:sz w:val="21"/>
        </w:rPr>
        <w:t xml:space="preserve"> </w:t>
      </w:r>
      <w:r>
        <w:rPr>
          <w:sz w:val="21"/>
        </w:rPr>
        <w:t>mental health.</w:t>
      </w:r>
      <w:r>
        <w:rPr>
          <w:spacing w:val="-7"/>
          <w:sz w:val="21"/>
        </w:rPr>
        <w:t xml:space="preserve"> </w:t>
      </w:r>
      <w:r>
        <w:rPr>
          <w:sz w:val="21"/>
        </w:rPr>
        <w:t>GSAs</w:t>
      </w:r>
      <w:r>
        <w:rPr>
          <w:spacing w:val="-5"/>
          <w:sz w:val="21"/>
        </w:rPr>
        <w:t xml:space="preserve"> </w:t>
      </w:r>
      <w:r>
        <w:rPr>
          <w:sz w:val="21"/>
        </w:rPr>
        <w:t>are</w:t>
      </w:r>
      <w:r>
        <w:rPr>
          <w:spacing w:val="-6"/>
          <w:sz w:val="21"/>
        </w:rPr>
        <w:t xml:space="preserve"> </w:t>
      </w:r>
      <w:r>
        <w:rPr>
          <w:sz w:val="21"/>
        </w:rPr>
        <w:t>the</w:t>
      </w:r>
      <w:r>
        <w:rPr>
          <w:spacing w:val="-6"/>
          <w:sz w:val="21"/>
        </w:rPr>
        <w:t xml:space="preserve"> </w:t>
      </w:r>
      <w:r>
        <w:rPr>
          <w:sz w:val="21"/>
        </w:rPr>
        <w:t>quintessential</w:t>
      </w:r>
      <w:r>
        <w:rPr>
          <w:spacing w:val="-5"/>
          <w:sz w:val="21"/>
        </w:rPr>
        <w:t xml:space="preserve"> </w:t>
      </w:r>
      <w:r>
        <w:rPr>
          <w:sz w:val="21"/>
        </w:rPr>
        <w:t>example</w:t>
      </w:r>
      <w:r>
        <w:rPr>
          <w:spacing w:val="-4"/>
          <w:sz w:val="21"/>
        </w:rPr>
        <w:t xml:space="preserve"> </w:t>
      </w:r>
      <w:r>
        <w:rPr>
          <w:sz w:val="21"/>
        </w:rPr>
        <w:t>in</w:t>
      </w:r>
      <w:r>
        <w:rPr>
          <w:spacing w:val="-7"/>
          <w:sz w:val="21"/>
        </w:rPr>
        <w:t xml:space="preserve"> </w:t>
      </w:r>
      <w:r>
        <w:rPr>
          <w:sz w:val="21"/>
        </w:rPr>
        <w:t>schools</w:t>
      </w:r>
      <w:r>
        <w:rPr>
          <w:spacing w:val="-5"/>
          <w:sz w:val="21"/>
        </w:rPr>
        <w:t xml:space="preserve"> </w:t>
      </w:r>
      <w:r>
        <w:rPr>
          <w:sz w:val="21"/>
        </w:rPr>
        <w:t>–</w:t>
      </w:r>
      <w:r>
        <w:rPr>
          <w:spacing w:val="-8"/>
          <w:sz w:val="21"/>
        </w:rPr>
        <w:t xml:space="preserve"> </w:t>
      </w:r>
      <w:r>
        <w:rPr>
          <w:sz w:val="21"/>
        </w:rPr>
        <w:t>they</w:t>
      </w:r>
      <w:r>
        <w:rPr>
          <w:spacing w:val="-6"/>
          <w:sz w:val="21"/>
        </w:rPr>
        <w:t xml:space="preserve"> </w:t>
      </w:r>
      <w:r>
        <w:rPr>
          <w:sz w:val="21"/>
        </w:rPr>
        <w:t>empower</w:t>
      </w:r>
      <w:r>
        <w:rPr>
          <w:spacing w:val="-6"/>
          <w:sz w:val="21"/>
        </w:rPr>
        <w:t xml:space="preserve"> </w:t>
      </w:r>
      <w:r>
        <w:rPr>
          <w:sz w:val="21"/>
        </w:rPr>
        <w:t>LGBTQ</w:t>
      </w:r>
      <w:r>
        <w:rPr>
          <w:spacing w:val="-7"/>
          <w:sz w:val="21"/>
        </w:rPr>
        <w:t xml:space="preserve"> </w:t>
      </w:r>
      <w:r>
        <w:rPr>
          <w:sz w:val="21"/>
        </w:rPr>
        <w:t>youth</w:t>
      </w:r>
      <w:r>
        <w:rPr>
          <w:spacing w:val="-7"/>
          <w:sz w:val="21"/>
        </w:rPr>
        <w:t xml:space="preserve"> </w:t>
      </w:r>
      <w:r>
        <w:rPr>
          <w:sz w:val="21"/>
        </w:rPr>
        <w:t>to</w:t>
      </w:r>
      <w:r>
        <w:rPr>
          <w:spacing w:val="-5"/>
          <w:sz w:val="21"/>
        </w:rPr>
        <w:t xml:space="preserve"> </w:t>
      </w:r>
      <w:r>
        <w:rPr>
          <w:sz w:val="21"/>
        </w:rPr>
        <w:t>build</w:t>
      </w:r>
      <w:r>
        <w:rPr>
          <w:spacing w:val="-5"/>
          <w:sz w:val="21"/>
        </w:rPr>
        <w:t xml:space="preserve"> </w:t>
      </w:r>
      <w:r>
        <w:rPr>
          <w:sz w:val="21"/>
        </w:rPr>
        <w:t>resilience,</w:t>
      </w:r>
      <w:r>
        <w:rPr>
          <w:spacing w:val="-7"/>
          <w:sz w:val="21"/>
        </w:rPr>
        <w:t xml:space="preserve"> </w:t>
      </w:r>
      <w:r>
        <w:rPr>
          <w:sz w:val="21"/>
        </w:rPr>
        <w:t>hope, and</w:t>
      </w:r>
      <w:r>
        <w:rPr>
          <w:spacing w:val="-5"/>
          <w:sz w:val="21"/>
        </w:rPr>
        <w:t xml:space="preserve"> </w:t>
      </w:r>
      <w:r>
        <w:rPr>
          <w:sz w:val="21"/>
        </w:rPr>
        <w:t>positive</w:t>
      </w:r>
      <w:r>
        <w:rPr>
          <w:spacing w:val="-4"/>
          <w:sz w:val="21"/>
        </w:rPr>
        <w:t xml:space="preserve"> </w:t>
      </w:r>
      <w:r>
        <w:rPr>
          <w:sz w:val="21"/>
        </w:rPr>
        <w:t>support</w:t>
      </w:r>
      <w:r>
        <w:rPr>
          <w:spacing w:val="-5"/>
          <w:sz w:val="21"/>
        </w:rPr>
        <w:t xml:space="preserve"> </w:t>
      </w:r>
      <w:r>
        <w:rPr>
          <w:sz w:val="21"/>
        </w:rPr>
        <w:t>networks,</w:t>
      </w:r>
      <w:r>
        <w:rPr>
          <w:spacing w:val="-4"/>
          <w:sz w:val="21"/>
        </w:rPr>
        <w:t xml:space="preserve"> </w:t>
      </w:r>
      <w:r>
        <w:rPr>
          <w:sz w:val="21"/>
        </w:rPr>
        <w:t>and</w:t>
      </w:r>
      <w:r>
        <w:rPr>
          <w:spacing w:val="-7"/>
          <w:sz w:val="21"/>
        </w:rPr>
        <w:t xml:space="preserve"> </w:t>
      </w:r>
      <w:r>
        <w:rPr>
          <w:sz w:val="21"/>
        </w:rPr>
        <w:t>also</w:t>
      </w:r>
      <w:r>
        <w:rPr>
          <w:spacing w:val="-5"/>
          <w:sz w:val="21"/>
        </w:rPr>
        <w:t xml:space="preserve"> </w:t>
      </w:r>
      <w:r>
        <w:rPr>
          <w:sz w:val="21"/>
        </w:rPr>
        <w:t>tend</w:t>
      </w:r>
      <w:r>
        <w:rPr>
          <w:spacing w:val="-5"/>
          <w:sz w:val="21"/>
        </w:rPr>
        <w:t xml:space="preserve"> </w:t>
      </w:r>
      <w:r>
        <w:rPr>
          <w:sz w:val="21"/>
        </w:rPr>
        <w:t>to</w:t>
      </w:r>
      <w:r>
        <w:rPr>
          <w:spacing w:val="-8"/>
          <w:sz w:val="21"/>
        </w:rPr>
        <w:t xml:space="preserve"> </w:t>
      </w:r>
      <w:r>
        <w:rPr>
          <w:sz w:val="21"/>
        </w:rPr>
        <w:t>actively</w:t>
      </w:r>
      <w:r>
        <w:rPr>
          <w:spacing w:val="-4"/>
          <w:sz w:val="21"/>
        </w:rPr>
        <w:t xml:space="preserve"> </w:t>
      </w:r>
      <w:r>
        <w:rPr>
          <w:sz w:val="21"/>
        </w:rPr>
        <w:t>improve</w:t>
      </w:r>
      <w:r>
        <w:rPr>
          <w:spacing w:val="-6"/>
          <w:sz w:val="21"/>
        </w:rPr>
        <w:t xml:space="preserve"> </w:t>
      </w:r>
      <w:r>
        <w:rPr>
          <w:sz w:val="21"/>
        </w:rPr>
        <w:t>school</w:t>
      </w:r>
      <w:r>
        <w:rPr>
          <w:spacing w:val="-5"/>
          <w:sz w:val="21"/>
        </w:rPr>
        <w:t xml:space="preserve"> </w:t>
      </w:r>
      <w:r>
        <w:rPr>
          <w:sz w:val="21"/>
        </w:rPr>
        <w:t>culture.</w:t>
      </w:r>
      <w:r>
        <w:rPr>
          <w:spacing w:val="-5"/>
          <w:sz w:val="21"/>
        </w:rPr>
        <w:t xml:space="preserve"> </w:t>
      </w:r>
      <w:r>
        <w:rPr>
          <w:sz w:val="21"/>
        </w:rPr>
        <w:t>In</w:t>
      </w:r>
      <w:r>
        <w:rPr>
          <w:spacing w:val="-7"/>
          <w:sz w:val="21"/>
        </w:rPr>
        <w:t xml:space="preserve"> </w:t>
      </w:r>
      <w:r>
        <w:rPr>
          <w:sz w:val="21"/>
        </w:rPr>
        <w:t>2019,</w:t>
      </w:r>
      <w:r>
        <w:rPr>
          <w:spacing w:val="-7"/>
          <w:sz w:val="21"/>
        </w:rPr>
        <w:t xml:space="preserve"> </w:t>
      </w:r>
      <w:r>
        <w:rPr>
          <w:sz w:val="21"/>
        </w:rPr>
        <w:t>one</w:t>
      </w:r>
      <w:r>
        <w:rPr>
          <w:spacing w:val="-6"/>
          <w:sz w:val="21"/>
        </w:rPr>
        <w:t xml:space="preserve"> </w:t>
      </w:r>
      <w:r>
        <w:rPr>
          <w:sz w:val="21"/>
        </w:rPr>
        <w:t>study</w:t>
      </w:r>
      <w:r>
        <w:rPr>
          <w:spacing w:val="-6"/>
          <w:sz w:val="21"/>
        </w:rPr>
        <w:t xml:space="preserve"> </w:t>
      </w:r>
      <w:r>
        <w:rPr>
          <w:sz w:val="21"/>
        </w:rPr>
        <w:t>found</w:t>
      </w:r>
      <w:r>
        <w:rPr>
          <w:spacing w:val="-5"/>
          <w:sz w:val="21"/>
        </w:rPr>
        <w:t xml:space="preserve"> </w:t>
      </w:r>
      <w:r>
        <w:rPr>
          <w:sz w:val="21"/>
        </w:rPr>
        <w:t>that more frequent meetings and more mental health discussions in GSAs predicted less depressive and anxiety symptoms.</w:t>
      </w:r>
      <w:r>
        <w:rPr>
          <w:spacing w:val="-10"/>
          <w:sz w:val="21"/>
        </w:rPr>
        <w:t xml:space="preserve"> </w:t>
      </w:r>
      <w:r>
        <w:rPr>
          <w:sz w:val="21"/>
        </w:rPr>
        <w:t>Additionally,</w:t>
      </w:r>
      <w:r>
        <w:rPr>
          <w:spacing w:val="-9"/>
          <w:sz w:val="21"/>
        </w:rPr>
        <w:t xml:space="preserve"> </w:t>
      </w:r>
      <w:r>
        <w:rPr>
          <w:sz w:val="21"/>
        </w:rPr>
        <w:t>when</w:t>
      </w:r>
      <w:r>
        <w:rPr>
          <w:spacing w:val="-10"/>
          <w:sz w:val="21"/>
        </w:rPr>
        <w:t xml:space="preserve"> </w:t>
      </w:r>
      <w:r>
        <w:rPr>
          <w:sz w:val="21"/>
        </w:rPr>
        <w:t>students</w:t>
      </w:r>
      <w:r>
        <w:rPr>
          <w:spacing w:val="-10"/>
          <w:sz w:val="21"/>
        </w:rPr>
        <w:t xml:space="preserve"> </w:t>
      </w:r>
      <w:r>
        <w:rPr>
          <w:sz w:val="21"/>
        </w:rPr>
        <w:t>engaged</w:t>
      </w:r>
      <w:r>
        <w:rPr>
          <w:spacing w:val="-10"/>
          <w:sz w:val="21"/>
        </w:rPr>
        <w:t xml:space="preserve"> </w:t>
      </w:r>
      <w:r>
        <w:rPr>
          <w:sz w:val="21"/>
        </w:rPr>
        <w:t>more</w:t>
      </w:r>
      <w:r>
        <w:rPr>
          <w:spacing w:val="-11"/>
          <w:sz w:val="21"/>
        </w:rPr>
        <w:t xml:space="preserve"> </w:t>
      </w:r>
      <w:r>
        <w:rPr>
          <w:sz w:val="21"/>
        </w:rPr>
        <w:t>with</w:t>
      </w:r>
      <w:r>
        <w:rPr>
          <w:spacing w:val="-10"/>
          <w:sz w:val="21"/>
        </w:rPr>
        <w:t xml:space="preserve"> </w:t>
      </w:r>
      <w:r>
        <w:rPr>
          <w:sz w:val="21"/>
        </w:rPr>
        <w:t>the</w:t>
      </w:r>
      <w:r>
        <w:rPr>
          <w:spacing w:val="-9"/>
          <w:sz w:val="21"/>
        </w:rPr>
        <w:t xml:space="preserve"> </w:t>
      </w:r>
      <w:r>
        <w:rPr>
          <w:sz w:val="21"/>
        </w:rPr>
        <w:t>GSA</w:t>
      </w:r>
      <w:r>
        <w:rPr>
          <w:spacing w:val="-9"/>
          <w:sz w:val="21"/>
        </w:rPr>
        <w:t xml:space="preserve"> </w:t>
      </w:r>
      <w:r>
        <w:rPr>
          <w:sz w:val="21"/>
        </w:rPr>
        <w:t>over</w:t>
      </w:r>
      <w:r>
        <w:rPr>
          <w:spacing w:val="-8"/>
          <w:sz w:val="21"/>
        </w:rPr>
        <w:t xml:space="preserve"> </w:t>
      </w:r>
      <w:r>
        <w:rPr>
          <w:sz w:val="21"/>
        </w:rPr>
        <w:t>the</w:t>
      </w:r>
      <w:r>
        <w:rPr>
          <w:spacing w:val="-9"/>
          <w:sz w:val="21"/>
        </w:rPr>
        <w:t xml:space="preserve"> </w:t>
      </w:r>
      <w:r>
        <w:rPr>
          <w:sz w:val="21"/>
        </w:rPr>
        <w:t>school</w:t>
      </w:r>
      <w:r>
        <w:rPr>
          <w:spacing w:val="-10"/>
          <w:sz w:val="21"/>
        </w:rPr>
        <w:t xml:space="preserve"> </w:t>
      </w:r>
      <w:r>
        <w:rPr>
          <w:sz w:val="21"/>
        </w:rPr>
        <w:t>year,</w:t>
      </w:r>
      <w:r>
        <w:rPr>
          <w:spacing w:val="-9"/>
          <w:sz w:val="21"/>
        </w:rPr>
        <w:t xml:space="preserve"> </w:t>
      </w:r>
      <w:r>
        <w:rPr>
          <w:sz w:val="21"/>
        </w:rPr>
        <w:t>they</w:t>
      </w:r>
      <w:r>
        <w:rPr>
          <w:spacing w:val="-11"/>
          <w:sz w:val="21"/>
        </w:rPr>
        <w:t xml:space="preserve"> </w:t>
      </w:r>
      <w:r>
        <w:rPr>
          <w:sz w:val="21"/>
        </w:rPr>
        <w:t>reported</w:t>
      </w:r>
      <w:r>
        <w:rPr>
          <w:spacing w:val="-10"/>
          <w:sz w:val="21"/>
        </w:rPr>
        <w:t xml:space="preserve"> </w:t>
      </w:r>
      <w:r>
        <w:rPr>
          <w:sz w:val="21"/>
        </w:rPr>
        <w:t>higher perceived</w:t>
      </w:r>
      <w:r>
        <w:rPr>
          <w:spacing w:val="-4"/>
          <w:sz w:val="21"/>
        </w:rPr>
        <w:t xml:space="preserve"> </w:t>
      </w:r>
      <w:r>
        <w:rPr>
          <w:sz w:val="21"/>
        </w:rPr>
        <w:t>levels</w:t>
      </w:r>
      <w:r>
        <w:rPr>
          <w:spacing w:val="-2"/>
          <w:sz w:val="21"/>
        </w:rPr>
        <w:t xml:space="preserve"> </w:t>
      </w:r>
      <w:r>
        <w:rPr>
          <w:sz w:val="21"/>
        </w:rPr>
        <w:t>of</w:t>
      </w:r>
      <w:r>
        <w:rPr>
          <w:spacing w:val="-1"/>
          <w:sz w:val="21"/>
        </w:rPr>
        <w:t xml:space="preserve"> </w:t>
      </w:r>
      <w:r>
        <w:rPr>
          <w:sz w:val="21"/>
        </w:rPr>
        <w:t>peer validation</w:t>
      </w:r>
      <w:r>
        <w:rPr>
          <w:spacing w:val="-2"/>
          <w:sz w:val="21"/>
        </w:rPr>
        <w:t xml:space="preserve"> </w:t>
      </w:r>
      <w:r>
        <w:rPr>
          <w:sz w:val="21"/>
        </w:rPr>
        <w:t>and</w:t>
      </w:r>
      <w:r>
        <w:rPr>
          <w:spacing w:val="-1"/>
          <w:sz w:val="21"/>
        </w:rPr>
        <w:t xml:space="preserve"> </w:t>
      </w:r>
      <w:r>
        <w:rPr>
          <w:sz w:val="21"/>
        </w:rPr>
        <w:t>self-efficacy</w:t>
      </w:r>
      <w:r>
        <w:rPr>
          <w:spacing w:val="-3"/>
          <w:sz w:val="21"/>
        </w:rPr>
        <w:t xml:space="preserve"> </w:t>
      </w:r>
      <w:r>
        <w:rPr>
          <w:sz w:val="21"/>
        </w:rPr>
        <w:t>to</w:t>
      </w:r>
      <w:r>
        <w:rPr>
          <w:spacing w:val="-2"/>
          <w:sz w:val="21"/>
        </w:rPr>
        <w:t xml:space="preserve"> </w:t>
      </w:r>
      <w:r>
        <w:rPr>
          <w:sz w:val="21"/>
        </w:rPr>
        <w:t>promote</w:t>
      </w:r>
      <w:r>
        <w:rPr>
          <w:spacing w:val="-1"/>
          <w:sz w:val="21"/>
        </w:rPr>
        <w:t xml:space="preserve"> </w:t>
      </w:r>
      <w:r>
        <w:rPr>
          <w:sz w:val="21"/>
        </w:rPr>
        <w:t>social</w:t>
      </w:r>
      <w:r>
        <w:rPr>
          <w:spacing w:val="-2"/>
          <w:sz w:val="21"/>
        </w:rPr>
        <w:t xml:space="preserve"> </w:t>
      </w:r>
      <w:r>
        <w:rPr>
          <w:sz w:val="21"/>
        </w:rPr>
        <w:t>justice.</w:t>
      </w:r>
      <w:hyperlink w:anchor="_bookmark316" w:history="1">
        <w:r>
          <w:rPr>
            <w:sz w:val="21"/>
            <w:vertAlign w:val="superscript"/>
          </w:rPr>
          <w:t>62</w:t>
        </w:r>
      </w:hyperlink>
      <w:r>
        <w:rPr>
          <w:spacing w:val="-2"/>
          <w:sz w:val="21"/>
        </w:rPr>
        <w:t xml:space="preserve"> </w:t>
      </w:r>
      <w:r>
        <w:rPr>
          <w:sz w:val="21"/>
        </w:rPr>
        <w:t>Accordingly,</w:t>
      </w:r>
      <w:r>
        <w:rPr>
          <w:spacing w:val="-1"/>
          <w:sz w:val="21"/>
        </w:rPr>
        <w:t xml:space="preserve"> </w:t>
      </w:r>
      <w:r>
        <w:rPr>
          <w:sz w:val="21"/>
        </w:rPr>
        <w:t>GLSEN</w:t>
      </w:r>
      <w:r>
        <w:rPr>
          <w:spacing w:val="-3"/>
          <w:sz w:val="21"/>
        </w:rPr>
        <w:t xml:space="preserve"> </w:t>
      </w:r>
      <w:r>
        <w:rPr>
          <w:sz w:val="21"/>
        </w:rPr>
        <w:t>found</w:t>
      </w:r>
      <w:r>
        <w:rPr>
          <w:spacing w:val="-2"/>
          <w:sz w:val="21"/>
        </w:rPr>
        <w:t xml:space="preserve"> </w:t>
      </w:r>
      <w:r>
        <w:rPr>
          <w:sz w:val="21"/>
        </w:rPr>
        <w:t>that students</w:t>
      </w:r>
      <w:r>
        <w:rPr>
          <w:spacing w:val="-1"/>
          <w:sz w:val="21"/>
        </w:rPr>
        <w:t xml:space="preserve"> </w:t>
      </w:r>
      <w:r>
        <w:rPr>
          <w:sz w:val="21"/>
        </w:rPr>
        <w:t>with active</w:t>
      </w:r>
      <w:r>
        <w:rPr>
          <w:spacing w:val="-4"/>
          <w:sz w:val="21"/>
        </w:rPr>
        <w:t xml:space="preserve"> </w:t>
      </w:r>
      <w:r>
        <w:rPr>
          <w:sz w:val="21"/>
        </w:rPr>
        <w:t>GSAs</w:t>
      </w:r>
      <w:r>
        <w:rPr>
          <w:spacing w:val="-3"/>
          <w:sz w:val="21"/>
        </w:rPr>
        <w:t xml:space="preserve"> </w:t>
      </w:r>
      <w:r>
        <w:rPr>
          <w:sz w:val="21"/>
        </w:rPr>
        <w:t>experienced</w:t>
      </w:r>
      <w:r>
        <w:rPr>
          <w:spacing w:val="-2"/>
          <w:sz w:val="21"/>
        </w:rPr>
        <w:t xml:space="preserve"> </w:t>
      </w:r>
      <w:r>
        <w:rPr>
          <w:sz w:val="21"/>
        </w:rPr>
        <w:t>nearly</w:t>
      </w:r>
      <w:r>
        <w:rPr>
          <w:spacing w:val="-2"/>
          <w:sz w:val="21"/>
        </w:rPr>
        <w:t xml:space="preserve"> </w:t>
      </w:r>
      <w:r>
        <w:rPr>
          <w:sz w:val="21"/>
        </w:rPr>
        <w:t>half</w:t>
      </w:r>
      <w:r>
        <w:rPr>
          <w:spacing w:val="-2"/>
          <w:sz w:val="21"/>
        </w:rPr>
        <w:t xml:space="preserve"> </w:t>
      </w:r>
      <w:r>
        <w:rPr>
          <w:sz w:val="21"/>
        </w:rPr>
        <w:t>as</w:t>
      </w:r>
      <w:r>
        <w:rPr>
          <w:spacing w:val="-1"/>
          <w:sz w:val="21"/>
        </w:rPr>
        <w:t xml:space="preserve"> </w:t>
      </w:r>
      <w:r>
        <w:rPr>
          <w:sz w:val="21"/>
        </w:rPr>
        <w:t>much in-person</w:t>
      </w:r>
      <w:r>
        <w:rPr>
          <w:spacing w:val="-3"/>
          <w:sz w:val="21"/>
        </w:rPr>
        <w:t xml:space="preserve"> </w:t>
      </w:r>
      <w:r>
        <w:rPr>
          <w:sz w:val="21"/>
        </w:rPr>
        <w:t>victimization fo</w:t>
      </w:r>
      <w:r>
        <w:rPr>
          <w:sz w:val="21"/>
        </w:rPr>
        <w:t>r</w:t>
      </w:r>
      <w:r>
        <w:rPr>
          <w:spacing w:val="-1"/>
          <w:sz w:val="21"/>
        </w:rPr>
        <w:t xml:space="preserve"> </w:t>
      </w:r>
      <w:r>
        <w:rPr>
          <w:sz w:val="21"/>
        </w:rPr>
        <w:t>their</w:t>
      </w:r>
      <w:r>
        <w:rPr>
          <w:spacing w:val="-1"/>
          <w:sz w:val="21"/>
        </w:rPr>
        <w:t xml:space="preserve"> </w:t>
      </w:r>
      <w:r>
        <w:rPr>
          <w:sz w:val="21"/>
        </w:rPr>
        <w:t>sexual</w:t>
      </w:r>
      <w:r>
        <w:rPr>
          <w:spacing w:val="-2"/>
          <w:sz w:val="21"/>
        </w:rPr>
        <w:t xml:space="preserve"> </w:t>
      </w:r>
      <w:r>
        <w:rPr>
          <w:sz w:val="21"/>
        </w:rPr>
        <w:t>orientation or gender expression as their peers.</w:t>
      </w:r>
      <w:hyperlink w:anchor="_bookmark317" w:history="1">
        <w:r>
          <w:rPr>
            <w:sz w:val="21"/>
            <w:vertAlign w:val="superscript"/>
          </w:rPr>
          <w:t>63</w:t>
        </w:r>
      </w:hyperlink>
    </w:p>
    <w:p w:rsidR="00200FDA" w:rsidRDefault="00200FDA">
      <w:pPr>
        <w:pStyle w:val="BodyText"/>
        <w:spacing w:before="7"/>
        <w:rPr>
          <w:sz w:val="19"/>
        </w:rPr>
      </w:pPr>
    </w:p>
    <w:p w:rsidR="00200FDA" w:rsidRDefault="00F76C4C">
      <w:pPr>
        <w:spacing w:line="276" w:lineRule="auto"/>
        <w:ind w:left="3200" w:right="252"/>
        <w:jc w:val="both"/>
        <w:rPr>
          <w:sz w:val="21"/>
        </w:rPr>
      </w:pPr>
      <w:r>
        <w:rPr>
          <w:noProof/>
        </w:rPr>
        <w:drawing>
          <wp:anchor distT="0" distB="0" distL="0" distR="0" simplePos="0" relativeHeight="15763456" behindDoc="0" locked="0" layoutInCell="1" allowOverlap="1">
            <wp:simplePos x="0" y="0"/>
            <wp:positionH relativeFrom="page">
              <wp:posOffset>914400</wp:posOffset>
            </wp:positionH>
            <wp:positionV relativeFrom="paragraph">
              <wp:posOffset>-1568</wp:posOffset>
            </wp:positionV>
            <wp:extent cx="1840229" cy="1329689"/>
            <wp:effectExtent l="0" t="0" r="0" b="0"/>
            <wp:wrapNone/>
            <wp:docPr id="47"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8.jpeg"/>
                    <pic:cNvPicPr/>
                  </pic:nvPicPr>
                  <pic:blipFill>
                    <a:blip r:embed="rId239" cstate="print"/>
                    <a:stretch>
                      <a:fillRect/>
                    </a:stretch>
                  </pic:blipFill>
                  <pic:spPr>
                    <a:xfrm>
                      <a:off x="0" y="0"/>
                      <a:ext cx="1840229" cy="1329689"/>
                    </a:xfrm>
                    <a:prstGeom prst="rect">
                      <a:avLst/>
                    </a:prstGeom>
                  </pic:spPr>
                </pic:pic>
              </a:graphicData>
            </a:graphic>
          </wp:anchor>
        </w:drawing>
      </w:r>
      <w:r>
        <w:rPr>
          <w:sz w:val="21"/>
        </w:rPr>
        <w:t>Outside of school, in-person programs can be based in LGBTQ organizations</w:t>
      </w:r>
      <w:r>
        <w:rPr>
          <w:spacing w:val="-7"/>
          <w:sz w:val="21"/>
        </w:rPr>
        <w:t xml:space="preserve"> </w:t>
      </w:r>
      <w:r>
        <w:rPr>
          <w:sz w:val="21"/>
        </w:rPr>
        <w:t>or</w:t>
      </w:r>
      <w:r>
        <w:rPr>
          <w:spacing w:val="-6"/>
          <w:sz w:val="21"/>
        </w:rPr>
        <w:t xml:space="preserve"> </w:t>
      </w:r>
      <w:r>
        <w:rPr>
          <w:sz w:val="21"/>
        </w:rPr>
        <w:t>hubs</w:t>
      </w:r>
      <w:r>
        <w:rPr>
          <w:spacing w:val="-7"/>
          <w:sz w:val="21"/>
        </w:rPr>
        <w:t xml:space="preserve"> </w:t>
      </w:r>
      <w:r>
        <w:rPr>
          <w:sz w:val="21"/>
        </w:rPr>
        <w:t>such</w:t>
      </w:r>
      <w:r>
        <w:rPr>
          <w:spacing w:val="-7"/>
          <w:sz w:val="21"/>
        </w:rPr>
        <w:t xml:space="preserve"> </w:t>
      </w:r>
      <w:r>
        <w:rPr>
          <w:sz w:val="21"/>
        </w:rPr>
        <w:t>as</w:t>
      </w:r>
      <w:r>
        <w:rPr>
          <w:spacing w:val="-7"/>
          <w:sz w:val="21"/>
        </w:rPr>
        <w:t xml:space="preserve"> </w:t>
      </w:r>
      <w:r>
        <w:rPr>
          <w:sz w:val="21"/>
        </w:rPr>
        <w:t>religious</w:t>
      </w:r>
      <w:r>
        <w:rPr>
          <w:spacing w:val="-7"/>
          <w:sz w:val="21"/>
        </w:rPr>
        <w:t xml:space="preserve"> </w:t>
      </w:r>
      <w:r>
        <w:rPr>
          <w:sz w:val="21"/>
        </w:rPr>
        <w:t>buildings,</w:t>
      </w:r>
      <w:r>
        <w:rPr>
          <w:spacing w:val="-6"/>
          <w:sz w:val="21"/>
        </w:rPr>
        <w:t xml:space="preserve"> </w:t>
      </w:r>
      <w:r>
        <w:rPr>
          <w:sz w:val="21"/>
        </w:rPr>
        <w:t>libraries,</w:t>
      </w:r>
      <w:r>
        <w:rPr>
          <w:spacing w:val="-6"/>
          <w:sz w:val="21"/>
        </w:rPr>
        <w:t xml:space="preserve"> </w:t>
      </w:r>
      <w:r>
        <w:rPr>
          <w:sz w:val="21"/>
        </w:rPr>
        <w:t>and</w:t>
      </w:r>
      <w:r>
        <w:rPr>
          <w:spacing w:val="-7"/>
          <w:sz w:val="21"/>
        </w:rPr>
        <w:t xml:space="preserve"> </w:t>
      </w:r>
      <w:r>
        <w:rPr>
          <w:sz w:val="21"/>
        </w:rPr>
        <w:t>community health clinics, and often involve LGBTQ peers or families. Hatch Youth is one case: it provides free social time, consciousness-raising, and a youth- led peer support group four nights a week to 13 to 20 year-old LGBTQ youth. One study showed tha</w:t>
      </w:r>
      <w:r>
        <w:rPr>
          <w:sz w:val="21"/>
        </w:rPr>
        <w:t>t Hatch Youth increased perceived social support, leading to depressive symptoms, higher self-esteem, and better coping skills.</w:t>
      </w:r>
      <w:hyperlink w:anchor="_bookmark318" w:history="1">
        <w:r>
          <w:rPr>
            <w:sz w:val="21"/>
            <w:vertAlign w:val="superscript"/>
          </w:rPr>
          <w:t>64</w:t>
        </w:r>
      </w:hyperlink>
    </w:p>
    <w:p w:rsidR="00200FDA" w:rsidRDefault="00200FDA">
      <w:pPr>
        <w:pStyle w:val="BodyText"/>
      </w:pPr>
    </w:p>
    <w:p w:rsidR="00200FDA" w:rsidRDefault="00200FDA">
      <w:pPr>
        <w:pStyle w:val="BodyText"/>
        <w:spacing w:before="11"/>
        <w:rPr>
          <w:sz w:val="21"/>
        </w:rPr>
      </w:pPr>
    </w:p>
    <w:p w:rsidR="00200FDA" w:rsidRDefault="00F76C4C">
      <w:pPr>
        <w:pStyle w:val="Heading8"/>
      </w:pPr>
      <w:bookmarkStart w:id="366" w:name="Retreats_and_Summer_Camps"/>
      <w:bookmarkEnd w:id="366"/>
      <w:r>
        <w:rPr>
          <w:color w:val="0A5293"/>
        </w:rPr>
        <w:t>Retreats</w:t>
      </w:r>
      <w:r>
        <w:rPr>
          <w:color w:val="0A5293"/>
          <w:spacing w:val="-3"/>
        </w:rPr>
        <w:t xml:space="preserve"> </w:t>
      </w:r>
      <w:r>
        <w:rPr>
          <w:color w:val="0A5293"/>
        </w:rPr>
        <w:t>and Summer</w:t>
      </w:r>
      <w:r>
        <w:rPr>
          <w:color w:val="0A5293"/>
          <w:spacing w:val="-2"/>
        </w:rPr>
        <w:t xml:space="preserve"> Camps</w:t>
      </w:r>
    </w:p>
    <w:p w:rsidR="00200FDA" w:rsidRDefault="00200FDA">
      <w:pPr>
        <w:pStyle w:val="BodyText"/>
        <w:spacing w:before="8"/>
        <w:rPr>
          <w:sz w:val="27"/>
        </w:rPr>
      </w:pPr>
    </w:p>
    <w:p w:rsidR="00200FDA" w:rsidRDefault="00F76C4C">
      <w:pPr>
        <w:spacing w:before="1" w:line="276" w:lineRule="auto"/>
        <w:ind w:left="140" w:right="252"/>
        <w:jc w:val="both"/>
        <w:rPr>
          <w:sz w:val="21"/>
        </w:rPr>
      </w:pPr>
      <w:r>
        <w:rPr>
          <w:sz w:val="21"/>
        </w:rPr>
        <w:t>Time-limited programs, such as retreats, can also be potent boost</w:t>
      </w:r>
      <w:r>
        <w:rPr>
          <w:sz w:val="21"/>
        </w:rPr>
        <w:t>s for LGBTQ youth mental health. The CDC recognizes</w:t>
      </w:r>
      <w:r>
        <w:rPr>
          <w:spacing w:val="-2"/>
          <w:sz w:val="21"/>
        </w:rPr>
        <w:t xml:space="preserve"> </w:t>
      </w:r>
      <w:r>
        <w:rPr>
          <w:sz w:val="21"/>
        </w:rPr>
        <w:t>summer camps</w:t>
      </w:r>
      <w:r>
        <w:rPr>
          <w:spacing w:val="-2"/>
          <w:sz w:val="21"/>
        </w:rPr>
        <w:t xml:space="preserve"> </w:t>
      </w:r>
      <w:r>
        <w:rPr>
          <w:sz w:val="21"/>
        </w:rPr>
        <w:t>as</w:t>
      </w:r>
      <w:r>
        <w:rPr>
          <w:spacing w:val="-2"/>
          <w:sz w:val="21"/>
        </w:rPr>
        <w:t xml:space="preserve"> </w:t>
      </w:r>
      <w:r>
        <w:rPr>
          <w:sz w:val="21"/>
        </w:rPr>
        <w:t>one</w:t>
      </w:r>
      <w:r>
        <w:rPr>
          <w:spacing w:val="-1"/>
          <w:sz w:val="21"/>
        </w:rPr>
        <w:t xml:space="preserve"> </w:t>
      </w:r>
      <w:r>
        <w:rPr>
          <w:sz w:val="21"/>
        </w:rPr>
        <w:t>evidence-based</w:t>
      </w:r>
      <w:r>
        <w:rPr>
          <w:spacing w:val="-2"/>
          <w:sz w:val="21"/>
        </w:rPr>
        <w:t xml:space="preserve"> </w:t>
      </w:r>
      <w:r>
        <w:rPr>
          <w:sz w:val="21"/>
        </w:rPr>
        <w:t>intervention</w:t>
      </w:r>
      <w:r>
        <w:rPr>
          <w:spacing w:val="-2"/>
          <w:sz w:val="21"/>
        </w:rPr>
        <w:t xml:space="preserve"> </w:t>
      </w:r>
      <w:r>
        <w:rPr>
          <w:sz w:val="21"/>
        </w:rPr>
        <w:t>for helping</w:t>
      </w:r>
      <w:r>
        <w:rPr>
          <w:spacing w:val="-2"/>
          <w:sz w:val="21"/>
        </w:rPr>
        <w:t xml:space="preserve"> </w:t>
      </w:r>
      <w:r>
        <w:rPr>
          <w:sz w:val="21"/>
        </w:rPr>
        <w:t>youth</w:t>
      </w:r>
      <w:r>
        <w:rPr>
          <w:spacing w:val="-2"/>
          <w:sz w:val="21"/>
        </w:rPr>
        <w:t xml:space="preserve"> </w:t>
      </w:r>
      <w:r>
        <w:rPr>
          <w:sz w:val="21"/>
        </w:rPr>
        <w:t>build</w:t>
      </w:r>
      <w:r>
        <w:rPr>
          <w:spacing w:val="-2"/>
          <w:sz w:val="21"/>
        </w:rPr>
        <w:t xml:space="preserve"> </w:t>
      </w:r>
      <w:r>
        <w:rPr>
          <w:sz w:val="21"/>
        </w:rPr>
        <w:t>socioemotional</w:t>
      </w:r>
      <w:r>
        <w:rPr>
          <w:spacing w:val="-2"/>
          <w:sz w:val="21"/>
        </w:rPr>
        <w:t xml:space="preserve"> </w:t>
      </w:r>
      <w:r>
        <w:rPr>
          <w:sz w:val="21"/>
        </w:rPr>
        <w:t>skills.</w:t>
      </w:r>
      <w:hyperlink w:anchor="_bookmark319" w:history="1">
        <w:r>
          <w:rPr>
            <w:sz w:val="21"/>
            <w:vertAlign w:val="superscript"/>
          </w:rPr>
          <w:t>65</w:t>
        </w:r>
      </w:hyperlink>
      <w:r>
        <w:rPr>
          <w:sz w:val="21"/>
        </w:rPr>
        <w:t xml:space="preserve"> Brave</w:t>
      </w:r>
      <w:r>
        <w:rPr>
          <w:spacing w:val="13"/>
          <w:sz w:val="21"/>
        </w:rPr>
        <w:t xml:space="preserve"> </w:t>
      </w:r>
      <w:r>
        <w:rPr>
          <w:sz w:val="21"/>
        </w:rPr>
        <w:t>Trails,</w:t>
      </w:r>
      <w:r>
        <w:rPr>
          <w:spacing w:val="15"/>
          <w:sz w:val="21"/>
        </w:rPr>
        <w:t xml:space="preserve"> </w:t>
      </w:r>
      <w:r>
        <w:rPr>
          <w:sz w:val="21"/>
        </w:rPr>
        <w:t>a</w:t>
      </w:r>
      <w:r>
        <w:rPr>
          <w:spacing w:val="12"/>
          <w:sz w:val="21"/>
        </w:rPr>
        <w:t xml:space="preserve"> </w:t>
      </w:r>
      <w:r>
        <w:rPr>
          <w:sz w:val="21"/>
        </w:rPr>
        <w:t>one-to-two week</w:t>
      </w:r>
      <w:r>
        <w:rPr>
          <w:spacing w:val="15"/>
          <w:sz w:val="21"/>
        </w:rPr>
        <w:t xml:space="preserve"> </w:t>
      </w:r>
      <w:r>
        <w:rPr>
          <w:sz w:val="21"/>
        </w:rPr>
        <w:t>summer</w:t>
      </w:r>
      <w:r>
        <w:rPr>
          <w:spacing w:val="16"/>
          <w:sz w:val="21"/>
        </w:rPr>
        <w:t xml:space="preserve"> </w:t>
      </w:r>
      <w:r>
        <w:rPr>
          <w:sz w:val="21"/>
        </w:rPr>
        <w:t>camp</w:t>
      </w:r>
      <w:r>
        <w:rPr>
          <w:spacing w:val="12"/>
          <w:sz w:val="21"/>
        </w:rPr>
        <w:t xml:space="preserve"> </w:t>
      </w:r>
      <w:r>
        <w:rPr>
          <w:sz w:val="21"/>
        </w:rPr>
        <w:t>for</w:t>
      </w:r>
      <w:r>
        <w:rPr>
          <w:spacing w:val="13"/>
          <w:sz w:val="21"/>
        </w:rPr>
        <w:t xml:space="preserve"> </w:t>
      </w:r>
      <w:r>
        <w:rPr>
          <w:sz w:val="21"/>
        </w:rPr>
        <w:t>youth</w:t>
      </w:r>
      <w:r>
        <w:rPr>
          <w:spacing w:val="14"/>
          <w:sz w:val="21"/>
        </w:rPr>
        <w:t xml:space="preserve"> </w:t>
      </w:r>
      <w:r>
        <w:rPr>
          <w:sz w:val="21"/>
        </w:rPr>
        <w:t>ages</w:t>
      </w:r>
      <w:r>
        <w:rPr>
          <w:spacing w:val="14"/>
          <w:sz w:val="21"/>
        </w:rPr>
        <w:t xml:space="preserve"> </w:t>
      </w:r>
      <w:r>
        <w:rPr>
          <w:sz w:val="21"/>
        </w:rPr>
        <w:t>12-18</w:t>
      </w:r>
      <w:r>
        <w:rPr>
          <w:spacing w:val="16"/>
          <w:sz w:val="21"/>
        </w:rPr>
        <w:t xml:space="preserve"> </w:t>
      </w:r>
      <w:r>
        <w:rPr>
          <w:sz w:val="21"/>
        </w:rPr>
        <w:t>in</w:t>
      </w:r>
      <w:r>
        <w:rPr>
          <w:spacing w:val="12"/>
          <w:sz w:val="21"/>
        </w:rPr>
        <w:t xml:space="preserve"> </w:t>
      </w:r>
      <w:r>
        <w:rPr>
          <w:sz w:val="21"/>
        </w:rPr>
        <w:t>California</w:t>
      </w:r>
      <w:r>
        <w:rPr>
          <w:spacing w:val="15"/>
          <w:sz w:val="21"/>
        </w:rPr>
        <w:t xml:space="preserve"> </w:t>
      </w:r>
      <w:r>
        <w:rPr>
          <w:sz w:val="21"/>
        </w:rPr>
        <w:t>and</w:t>
      </w:r>
      <w:r>
        <w:rPr>
          <w:spacing w:val="14"/>
          <w:sz w:val="21"/>
        </w:rPr>
        <w:t xml:space="preserve"> </w:t>
      </w:r>
      <w:r>
        <w:rPr>
          <w:sz w:val="21"/>
        </w:rPr>
        <w:t>Maryland,</w:t>
      </w:r>
      <w:r>
        <w:rPr>
          <w:spacing w:val="15"/>
          <w:sz w:val="21"/>
        </w:rPr>
        <w:t xml:space="preserve"> </w:t>
      </w:r>
      <w:r>
        <w:rPr>
          <w:sz w:val="21"/>
        </w:rPr>
        <w:t>found</w:t>
      </w:r>
      <w:r>
        <w:rPr>
          <w:spacing w:val="14"/>
          <w:sz w:val="21"/>
        </w:rPr>
        <w:t xml:space="preserve"> </w:t>
      </w:r>
      <w:r>
        <w:rPr>
          <w:sz w:val="21"/>
        </w:rPr>
        <w:t>that</w:t>
      </w:r>
    </w:p>
    <w:p w:rsidR="00200FDA" w:rsidRDefault="00200FDA">
      <w:pPr>
        <w:spacing w:line="276" w:lineRule="auto"/>
        <w:jc w:val="both"/>
        <w:rPr>
          <w:sz w:val="21"/>
        </w:rPr>
        <w:sectPr w:rsidR="00200FDA">
          <w:pgSz w:w="12240" w:h="15840"/>
          <w:pgMar w:top="1360" w:right="1180" w:bottom="1480" w:left="1300" w:header="761" w:footer="1208" w:gutter="0"/>
          <w:cols w:space="720"/>
        </w:sectPr>
      </w:pPr>
    </w:p>
    <w:p w:rsidR="00200FDA" w:rsidRDefault="00F76C4C">
      <w:pPr>
        <w:spacing w:before="64" w:line="276" w:lineRule="auto"/>
        <w:ind w:left="140" w:right="257" w:hanging="1"/>
        <w:jc w:val="both"/>
        <w:rPr>
          <w:sz w:val="21"/>
        </w:rPr>
      </w:pPr>
      <w:r>
        <w:rPr>
          <w:sz w:val="21"/>
        </w:rPr>
        <w:lastRenderedPageBreak/>
        <w:t>campers experienced significant increases in self-esteem, hope, identity affirmation, and resilience,</w:t>
      </w:r>
      <w:hyperlink w:anchor="_bookmark320" w:history="1">
        <w:r>
          <w:rPr>
            <w:sz w:val="21"/>
            <w:vertAlign w:val="superscript"/>
          </w:rPr>
          <w:t>66</w:t>
        </w:r>
      </w:hyperlink>
      <w:r>
        <w:rPr>
          <w:spacing w:val="-3"/>
          <w:sz w:val="21"/>
        </w:rPr>
        <w:t xml:space="preserve"> </w:t>
      </w:r>
      <w:r>
        <w:rPr>
          <w:sz w:val="21"/>
        </w:rPr>
        <w:t>as well as</w:t>
      </w:r>
      <w:r>
        <w:rPr>
          <w:spacing w:val="-3"/>
          <w:sz w:val="21"/>
        </w:rPr>
        <w:t xml:space="preserve"> </w:t>
      </w:r>
      <w:r>
        <w:rPr>
          <w:sz w:val="21"/>
        </w:rPr>
        <w:t>drops in symptoms of depression and anxiety.</w:t>
      </w:r>
      <w:hyperlink w:anchor="_bookmark321" w:history="1">
        <w:r>
          <w:rPr>
            <w:sz w:val="21"/>
            <w:vertAlign w:val="superscript"/>
          </w:rPr>
          <w:t>67</w:t>
        </w:r>
      </w:hyperlink>
      <w:r>
        <w:rPr>
          <w:spacing w:val="-12"/>
          <w:sz w:val="21"/>
        </w:rPr>
        <w:t xml:space="preserve"> </w:t>
      </w:r>
      <w:r>
        <w:rPr>
          <w:sz w:val="21"/>
        </w:rPr>
        <w:t>Gender expansive youth in particular have reported being able to have social interactions they could not find otherwise.</w:t>
      </w:r>
      <w:hyperlink w:anchor="_bookmark322" w:history="1">
        <w:r>
          <w:rPr>
            <w:sz w:val="21"/>
            <w:vertAlign w:val="superscript"/>
          </w:rPr>
          <w:t>68</w:t>
        </w:r>
      </w:hyperlink>
    </w:p>
    <w:p w:rsidR="00200FDA" w:rsidRDefault="00F76C4C">
      <w:pPr>
        <w:pStyle w:val="Heading8"/>
        <w:spacing w:before="160"/>
      </w:pPr>
      <w:bookmarkStart w:id="367" w:name="Activism-Oriented,_Somatic,_and_Expressi"/>
      <w:bookmarkEnd w:id="367"/>
      <w:r>
        <w:rPr>
          <w:color w:val="0A5293"/>
        </w:rPr>
        <w:t>Activism-Oriented,</w:t>
      </w:r>
      <w:r>
        <w:rPr>
          <w:color w:val="0A5293"/>
          <w:spacing w:val="-5"/>
        </w:rPr>
        <w:t xml:space="preserve"> </w:t>
      </w:r>
      <w:r>
        <w:rPr>
          <w:color w:val="0A5293"/>
        </w:rPr>
        <w:t>Somatic,</w:t>
      </w:r>
      <w:r>
        <w:rPr>
          <w:color w:val="0A5293"/>
          <w:spacing w:val="-2"/>
        </w:rPr>
        <w:t xml:space="preserve"> </w:t>
      </w:r>
      <w:r>
        <w:rPr>
          <w:color w:val="0A5293"/>
        </w:rPr>
        <w:t>and</w:t>
      </w:r>
      <w:r>
        <w:rPr>
          <w:color w:val="0A5293"/>
          <w:spacing w:val="-2"/>
        </w:rPr>
        <w:t xml:space="preserve"> </w:t>
      </w:r>
      <w:r>
        <w:rPr>
          <w:color w:val="0A5293"/>
        </w:rPr>
        <w:t>Expressive</w:t>
      </w:r>
      <w:r>
        <w:rPr>
          <w:color w:val="0A5293"/>
          <w:spacing w:val="-2"/>
        </w:rPr>
        <w:t xml:space="preserve"> </w:t>
      </w:r>
      <w:r>
        <w:rPr>
          <w:color w:val="0A5293"/>
        </w:rPr>
        <w:t>Arts</w:t>
      </w:r>
      <w:r>
        <w:rPr>
          <w:color w:val="0A5293"/>
          <w:spacing w:val="-3"/>
        </w:rPr>
        <w:t xml:space="preserve"> </w:t>
      </w:r>
      <w:r>
        <w:rPr>
          <w:color w:val="0A5293"/>
          <w:spacing w:val="-2"/>
        </w:rPr>
        <w:t>Interventions</w:t>
      </w:r>
    </w:p>
    <w:p w:rsidR="00200FDA" w:rsidRDefault="00200FDA">
      <w:pPr>
        <w:pStyle w:val="BodyText"/>
        <w:spacing w:before="8"/>
        <w:rPr>
          <w:sz w:val="27"/>
        </w:rPr>
      </w:pPr>
    </w:p>
    <w:p w:rsidR="00200FDA" w:rsidRDefault="00F76C4C">
      <w:pPr>
        <w:spacing w:line="276" w:lineRule="auto"/>
        <w:ind w:left="139" w:right="252"/>
        <w:jc w:val="both"/>
        <w:rPr>
          <w:sz w:val="21"/>
        </w:rPr>
      </w:pPr>
      <w:r>
        <w:rPr>
          <w:sz w:val="21"/>
        </w:rPr>
        <w:t xml:space="preserve">Arts, body-based, and activist programs are leading mental health interventions for LGBTQ youth, especially trauma survivors. To begin, arts programs are engaging for many LGBTQ youth because self-expression is a celebrated value in US LGBTQ culture and a </w:t>
      </w:r>
      <w:r>
        <w:rPr>
          <w:sz w:val="21"/>
        </w:rPr>
        <w:t>key developmental goal for young people. They also build self- esteem and identity by helping youth connect, perform, redefine, and be who they are despite discrimination.</w:t>
      </w:r>
      <w:hyperlink w:anchor="_bookmark323" w:history="1">
        <w:r>
          <w:rPr>
            <w:sz w:val="21"/>
            <w:vertAlign w:val="superscript"/>
          </w:rPr>
          <w:t>69</w:t>
        </w:r>
      </w:hyperlink>
      <w:r>
        <w:rPr>
          <w:spacing w:val="-12"/>
          <w:sz w:val="21"/>
        </w:rPr>
        <w:t xml:space="preserve"> </w:t>
      </w:r>
      <w:r>
        <w:rPr>
          <w:sz w:val="21"/>
        </w:rPr>
        <w:t>Arts programs can be done anywhere – for instance,</w:t>
      </w:r>
      <w:r>
        <w:rPr>
          <w:sz w:val="21"/>
        </w:rPr>
        <w:t xml:space="preserve"> a community-based mural project or a Hip Hop Therapy group in a juvenile detention facility. Another example is ReScripted – a theater, play, and movement-based pilot program by the Center for Trauma and Embodiment that improves trauma survivors’ interoce</w:t>
      </w:r>
      <w:r>
        <w:rPr>
          <w:sz w:val="21"/>
        </w:rPr>
        <w:t>ption, active choice-making, and self-regulation of behavior.</w:t>
      </w:r>
      <w:hyperlink w:anchor="_bookmark324" w:history="1">
        <w:r>
          <w:rPr>
            <w:sz w:val="21"/>
            <w:vertAlign w:val="superscript"/>
          </w:rPr>
          <w:t>70</w:t>
        </w:r>
      </w:hyperlink>
    </w:p>
    <w:p w:rsidR="00200FDA" w:rsidRDefault="00200FDA">
      <w:pPr>
        <w:pStyle w:val="BodyText"/>
        <w:spacing w:before="9"/>
        <w:rPr>
          <w:sz w:val="19"/>
        </w:rPr>
      </w:pPr>
    </w:p>
    <w:p w:rsidR="00200FDA" w:rsidRDefault="00F76C4C">
      <w:pPr>
        <w:spacing w:line="276" w:lineRule="auto"/>
        <w:ind w:left="139" w:right="253"/>
        <w:jc w:val="both"/>
        <w:rPr>
          <w:sz w:val="21"/>
        </w:rPr>
      </w:pPr>
      <w:r>
        <w:rPr>
          <w:sz w:val="21"/>
        </w:rPr>
        <w:t>Next,</w:t>
      </w:r>
      <w:r>
        <w:rPr>
          <w:spacing w:val="-3"/>
          <w:sz w:val="21"/>
        </w:rPr>
        <w:t xml:space="preserve"> </w:t>
      </w:r>
      <w:r>
        <w:rPr>
          <w:sz w:val="21"/>
        </w:rPr>
        <w:t>somatic</w:t>
      </w:r>
      <w:r>
        <w:rPr>
          <w:spacing w:val="-6"/>
          <w:sz w:val="21"/>
        </w:rPr>
        <w:t xml:space="preserve"> </w:t>
      </w:r>
      <w:r>
        <w:rPr>
          <w:sz w:val="21"/>
        </w:rPr>
        <w:t>(body-based)</w:t>
      </w:r>
      <w:r>
        <w:rPr>
          <w:spacing w:val="-5"/>
          <w:sz w:val="21"/>
        </w:rPr>
        <w:t xml:space="preserve"> </w:t>
      </w:r>
      <w:r>
        <w:rPr>
          <w:sz w:val="21"/>
        </w:rPr>
        <w:t>interventions</w:t>
      </w:r>
      <w:r>
        <w:rPr>
          <w:spacing w:val="-4"/>
          <w:sz w:val="21"/>
        </w:rPr>
        <w:t xml:space="preserve"> </w:t>
      </w:r>
      <w:r>
        <w:rPr>
          <w:sz w:val="21"/>
        </w:rPr>
        <w:t>are</w:t>
      </w:r>
      <w:r>
        <w:rPr>
          <w:spacing w:val="-5"/>
          <w:sz w:val="21"/>
        </w:rPr>
        <w:t xml:space="preserve"> </w:t>
      </w:r>
      <w:r>
        <w:rPr>
          <w:sz w:val="21"/>
        </w:rPr>
        <w:t>increasingly</w:t>
      </w:r>
      <w:r>
        <w:rPr>
          <w:spacing w:val="-3"/>
          <w:sz w:val="21"/>
        </w:rPr>
        <w:t xml:space="preserve"> </w:t>
      </w:r>
      <w:r>
        <w:rPr>
          <w:sz w:val="21"/>
        </w:rPr>
        <w:t>popular</w:t>
      </w:r>
      <w:r>
        <w:rPr>
          <w:spacing w:val="-5"/>
          <w:sz w:val="21"/>
        </w:rPr>
        <w:t xml:space="preserve"> </w:t>
      </w:r>
      <w:r>
        <w:rPr>
          <w:sz w:val="21"/>
        </w:rPr>
        <w:t>among</w:t>
      </w:r>
      <w:r>
        <w:rPr>
          <w:spacing w:val="-4"/>
          <w:sz w:val="21"/>
        </w:rPr>
        <w:t xml:space="preserve"> </w:t>
      </w:r>
      <w:r>
        <w:rPr>
          <w:sz w:val="21"/>
        </w:rPr>
        <w:t>professionals</w:t>
      </w:r>
      <w:r>
        <w:rPr>
          <w:spacing w:val="-4"/>
          <w:sz w:val="21"/>
        </w:rPr>
        <w:t xml:space="preserve"> </w:t>
      </w:r>
      <w:r>
        <w:rPr>
          <w:sz w:val="21"/>
        </w:rPr>
        <w:t>and</w:t>
      </w:r>
      <w:r>
        <w:rPr>
          <w:spacing w:val="-3"/>
          <w:sz w:val="21"/>
        </w:rPr>
        <w:t xml:space="preserve"> </w:t>
      </w:r>
      <w:r>
        <w:rPr>
          <w:sz w:val="21"/>
        </w:rPr>
        <w:t>survivors</w:t>
      </w:r>
      <w:r>
        <w:rPr>
          <w:spacing w:val="-6"/>
          <w:sz w:val="21"/>
        </w:rPr>
        <w:t xml:space="preserve"> </w:t>
      </w:r>
      <w:r>
        <w:rPr>
          <w:sz w:val="21"/>
        </w:rPr>
        <w:t>because of mounting evidence that they are uniquely effecti</w:t>
      </w:r>
      <w:r>
        <w:rPr>
          <w:sz w:val="21"/>
        </w:rPr>
        <w:t>ve in treating trauma. One example is Trauma Center Trauma-Sensitive</w:t>
      </w:r>
      <w:r>
        <w:rPr>
          <w:spacing w:val="-2"/>
          <w:sz w:val="21"/>
        </w:rPr>
        <w:t xml:space="preserve"> </w:t>
      </w:r>
      <w:r>
        <w:rPr>
          <w:sz w:val="21"/>
        </w:rPr>
        <w:t>Yoga,</w:t>
      </w:r>
      <w:r>
        <w:rPr>
          <w:spacing w:val="-2"/>
          <w:sz w:val="21"/>
        </w:rPr>
        <w:t xml:space="preserve"> </w:t>
      </w:r>
      <w:r>
        <w:rPr>
          <w:sz w:val="21"/>
        </w:rPr>
        <w:t>the</w:t>
      </w:r>
      <w:r>
        <w:rPr>
          <w:spacing w:val="-2"/>
          <w:sz w:val="21"/>
        </w:rPr>
        <w:t xml:space="preserve"> </w:t>
      </w:r>
      <w:r>
        <w:rPr>
          <w:sz w:val="21"/>
        </w:rPr>
        <w:t>leading-edge</w:t>
      </w:r>
      <w:r>
        <w:rPr>
          <w:spacing w:val="-2"/>
          <w:sz w:val="21"/>
        </w:rPr>
        <w:t xml:space="preserve"> </w:t>
      </w:r>
      <w:r>
        <w:rPr>
          <w:sz w:val="21"/>
        </w:rPr>
        <w:t>program</w:t>
      </w:r>
      <w:r>
        <w:rPr>
          <w:spacing w:val="-3"/>
          <w:sz w:val="21"/>
        </w:rPr>
        <w:t xml:space="preserve"> </w:t>
      </w:r>
      <w:r>
        <w:rPr>
          <w:sz w:val="21"/>
        </w:rPr>
        <w:t>of</w:t>
      </w:r>
      <w:r>
        <w:rPr>
          <w:spacing w:val="-2"/>
          <w:sz w:val="21"/>
        </w:rPr>
        <w:t xml:space="preserve"> </w:t>
      </w:r>
      <w:r>
        <w:rPr>
          <w:sz w:val="21"/>
        </w:rPr>
        <w:t>its</w:t>
      </w:r>
      <w:r>
        <w:rPr>
          <w:spacing w:val="-3"/>
          <w:sz w:val="21"/>
        </w:rPr>
        <w:t xml:space="preserve"> </w:t>
      </w:r>
      <w:r>
        <w:rPr>
          <w:sz w:val="21"/>
        </w:rPr>
        <w:t>kind.</w:t>
      </w:r>
      <w:r>
        <w:rPr>
          <w:spacing w:val="-3"/>
          <w:sz w:val="21"/>
        </w:rPr>
        <w:t xml:space="preserve"> </w:t>
      </w:r>
      <w:r>
        <w:rPr>
          <w:sz w:val="21"/>
        </w:rPr>
        <w:t>A</w:t>
      </w:r>
      <w:r>
        <w:rPr>
          <w:spacing w:val="-2"/>
          <w:sz w:val="21"/>
        </w:rPr>
        <w:t xml:space="preserve"> </w:t>
      </w:r>
      <w:r>
        <w:rPr>
          <w:sz w:val="21"/>
        </w:rPr>
        <w:t>2022</w:t>
      </w:r>
      <w:r>
        <w:rPr>
          <w:spacing w:val="-1"/>
          <w:sz w:val="21"/>
        </w:rPr>
        <w:t xml:space="preserve"> </w:t>
      </w:r>
      <w:r>
        <w:rPr>
          <w:sz w:val="21"/>
        </w:rPr>
        <w:t>pilot</w:t>
      </w:r>
      <w:r>
        <w:rPr>
          <w:spacing w:val="-3"/>
          <w:sz w:val="21"/>
        </w:rPr>
        <w:t xml:space="preserve"> </w:t>
      </w:r>
      <w:r>
        <w:rPr>
          <w:sz w:val="21"/>
        </w:rPr>
        <w:t>study</w:t>
      </w:r>
      <w:r>
        <w:rPr>
          <w:spacing w:val="-2"/>
          <w:sz w:val="21"/>
        </w:rPr>
        <w:t xml:space="preserve"> </w:t>
      </w:r>
      <w:r>
        <w:rPr>
          <w:sz w:val="21"/>
        </w:rPr>
        <w:t>showed</w:t>
      </w:r>
      <w:r>
        <w:rPr>
          <w:spacing w:val="-3"/>
          <w:sz w:val="21"/>
        </w:rPr>
        <w:t xml:space="preserve"> </w:t>
      </w:r>
      <w:r>
        <w:rPr>
          <w:sz w:val="21"/>
        </w:rPr>
        <w:t>that</w:t>
      </w:r>
      <w:r>
        <w:rPr>
          <w:spacing w:val="-3"/>
          <w:sz w:val="21"/>
        </w:rPr>
        <w:t xml:space="preserve"> </w:t>
      </w:r>
      <w:r>
        <w:rPr>
          <w:sz w:val="21"/>
        </w:rPr>
        <w:t>female</w:t>
      </w:r>
      <w:r>
        <w:rPr>
          <w:spacing w:val="-2"/>
          <w:sz w:val="21"/>
        </w:rPr>
        <w:t xml:space="preserve"> </w:t>
      </w:r>
      <w:r>
        <w:rPr>
          <w:sz w:val="21"/>
        </w:rPr>
        <w:t>survivors of military sexual trauma who did TCTSY experienced benefits sooner and were more likely to com</w:t>
      </w:r>
      <w:r>
        <w:rPr>
          <w:sz w:val="21"/>
        </w:rPr>
        <w:t>plete treatment than peers who used Cognitive Processing Therapy.</w:t>
      </w:r>
      <w:r>
        <w:rPr>
          <w:spacing w:val="-4"/>
          <w:sz w:val="21"/>
        </w:rPr>
        <w:t xml:space="preserve"> </w:t>
      </w:r>
      <w:hyperlink w:anchor="_bookmark325" w:history="1">
        <w:r>
          <w:rPr>
            <w:sz w:val="21"/>
            <w:vertAlign w:val="superscript"/>
          </w:rPr>
          <w:t>71</w:t>
        </w:r>
      </w:hyperlink>
      <w:r>
        <w:rPr>
          <w:sz w:val="21"/>
        </w:rPr>
        <w:t xml:space="preserve"> The Trauma Center is also currently researching the effectiveness of trauma-informed weight lifting with gender expansive people.</w:t>
      </w:r>
      <w:hyperlink w:anchor="_bookmark326" w:history="1">
        <w:r>
          <w:rPr>
            <w:sz w:val="21"/>
            <w:vertAlign w:val="superscript"/>
          </w:rPr>
          <w:t>72</w:t>
        </w:r>
      </w:hyperlink>
      <w:r>
        <w:rPr>
          <w:spacing w:val="-3"/>
          <w:sz w:val="21"/>
        </w:rPr>
        <w:t xml:space="preserve"> </w:t>
      </w:r>
      <w:r>
        <w:rPr>
          <w:sz w:val="21"/>
        </w:rPr>
        <w:t>Due to the high rates of trauma and victimization among LGBTQ youth, these types of interventions should be given special attention when allocating resources and funding.</w:t>
      </w:r>
    </w:p>
    <w:p w:rsidR="00200FDA" w:rsidRDefault="00200FDA">
      <w:pPr>
        <w:pStyle w:val="BodyText"/>
        <w:spacing w:before="9"/>
        <w:rPr>
          <w:sz w:val="19"/>
        </w:rPr>
      </w:pPr>
    </w:p>
    <w:p w:rsidR="00200FDA" w:rsidRDefault="00F76C4C">
      <w:pPr>
        <w:spacing w:line="276" w:lineRule="auto"/>
        <w:ind w:left="139" w:right="255" w:hanging="1"/>
        <w:jc w:val="both"/>
        <w:rPr>
          <w:sz w:val="21"/>
        </w:rPr>
      </w:pPr>
      <w:r>
        <w:rPr>
          <w:sz w:val="21"/>
        </w:rPr>
        <w:t>Finally,</w:t>
      </w:r>
      <w:r>
        <w:rPr>
          <w:spacing w:val="-7"/>
          <w:sz w:val="21"/>
        </w:rPr>
        <w:t xml:space="preserve"> </w:t>
      </w:r>
      <w:r>
        <w:rPr>
          <w:sz w:val="21"/>
        </w:rPr>
        <w:t>research</w:t>
      </w:r>
      <w:r>
        <w:rPr>
          <w:spacing w:val="-10"/>
          <w:sz w:val="21"/>
        </w:rPr>
        <w:t xml:space="preserve"> </w:t>
      </w:r>
      <w:r>
        <w:rPr>
          <w:sz w:val="21"/>
        </w:rPr>
        <w:t>shows</w:t>
      </w:r>
      <w:r>
        <w:rPr>
          <w:spacing w:val="-8"/>
          <w:sz w:val="21"/>
        </w:rPr>
        <w:t xml:space="preserve"> </w:t>
      </w:r>
      <w:r>
        <w:rPr>
          <w:sz w:val="21"/>
        </w:rPr>
        <w:t>that</w:t>
      </w:r>
      <w:r>
        <w:rPr>
          <w:spacing w:val="-11"/>
          <w:sz w:val="21"/>
        </w:rPr>
        <w:t xml:space="preserve"> </w:t>
      </w:r>
      <w:r>
        <w:rPr>
          <w:sz w:val="21"/>
        </w:rPr>
        <w:t>activism-based</w:t>
      </w:r>
      <w:r>
        <w:rPr>
          <w:spacing w:val="-8"/>
          <w:sz w:val="21"/>
        </w:rPr>
        <w:t xml:space="preserve"> </w:t>
      </w:r>
      <w:r>
        <w:rPr>
          <w:sz w:val="21"/>
        </w:rPr>
        <w:t>program</w:t>
      </w:r>
      <w:r>
        <w:rPr>
          <w:sz w:val="21"/>
        </w:rPr>
        <w:t>ming</w:t>
      </w:r>
      <w:r>
        <w:rPr>
          <w:spacing w:val="-8"/>
          <w:sz w:val="21"/>
        </w:rPr>
        <w:t xml:space="preserve"> </w:t>
      </w:r>
      <w:r>
        <w:rPr>
          <w:sz w:val="21"/>
        </w:rPr>
        <w:t>connects</w:t>
      </w:r>
      <w:r>
        <w:rPr>
          <w:spacing w:val="-8"/>
          <w:sz w:val="21"/>
        </w:rPr>
        <w:t xml:space="preserve"> </w:t>
      </w:r>
      <w:r>
        <w:rPr>
          <w:sz w:val="21"/>
        </w:rPr>
        <w:t>LGBQ</w:t>
      </w:r>
      <w:hyperlink w:anchor="_bookmark327" w:history="1">
        <w:r>
          <w:rPr>
            <w:sz w:val="21"/>
            <w:vertAlign w:val="superscript"/>
          </w:rPr>
          <w:t>73</w:t>
        </w:r>
      </w:hyperlink>
      <w:r>
        <w:rPr>
          <w:spacing w:val="-1"/>
          <w:sz w:val="21"/>
        </w:rPr>
        <w:t xml:space="preserve"> </w:t>
      </w:r>
      <w:r>
        <w:rPr>
          <w:sz w:val="21"/>
        </w:rPr>
        <w:t>and</w:t>
      </w:r>
      <w:r>
        <w:rPr>
          <w:spacing w:val="-8"/>
          <w:sz w:val="21"/>
        </w:rPr>
        <w:t xml:space="preserve"> </w:t>
      </w:r>
      <w:r>
        <w:rPr>
          <w:sz w:val="21"/>
        </w:rPr>
        <w:t>transgender</w:t>
      </w:r>
      <w:r>
        <w:rPr>
          <w:spacing w:val="-9"/>
          <w:sz w:val="21"/>
        </w:rPr>
        <w:t xml:space="preserve"> </w:t>
      </w:r>
      <w:r>
        <w:rPr>
          <w:sz w:val="21"/>
        </w:rPr>
        <w:t>youth</w:t>
      </w:r>
      <w:hyperlink w:anchor="_bookmark328" w:history="1">
        <w:r>
          <w:rPr>
            <w:sz w:val="21"/>
            <w:vertAlign w:val="superscript"/>
          </w:rPr>
          <w:t>74</w:t>
        </w:r>
      </w:hyperlink>
      <w:r>
        <w:rPr>
          <w:spacing w:val="-1"/>
          <w:sz w:val="21"/>
        </w:rPr>
        <w:t xml:space="preserve"> </w:t>
      </w:r>
      <w:r>
        <w:rPr>
          <w:sz w:val="21"/>
        </w:rPr>
        <w:t>to</w:t>
      </w:r>
      <w:r>
        <w:rPr>
          <w:spacing w:val="-8"/>
          <w:sz w:val="21"/>
        </w:rPr>
        <w:t xml:space="preserve"> </w:t>
      </w:r>
      <w:r>
        <w:rPr>
          <w:sz w:val="21"/>
        </w:rPr>
        <w:t>a</w:t>
      </w:r>
      <w:r>
        <w:rPr>
          <w:spacing w:val="-8"/>
          <w:sz w:val="21"/>
        </w:rPr>
        <w:t xml:space="preserve"> </w:t>
      </w:r>
      <w:r>
        <w:rPr>
          <w:sz w:val="21"/>
        </w:rPr>
        <w:t xml:space="preserve">sense of community and purpose. Activism also directly meets three of SAMHSA’s principles of LGBTQ trauma- informed care – Empowerment, Voice </w:t>
      </w:r>
      <w:r>
        <w:rPr>
          <w:sz w:val="21"/>
        </w:rPr>
        <w:t>and Choice, and Cultural, Historical, and Gender Issues. Activism helps youth build personal resources for resilience, like self-pride and hope, as well as social resources, like community belonging.</w:t>
      </w:r>
      <w:hyperlink w:anchor="_bookmark329" w:history="1">
        <w:r>
          <w:rPr>
            <w:sz w:val="21"/>
            <w:vertAlign w:val="superscript"/>
          </w:rPr>
          <w:t>75</w:t>
        </w:r>
      </w:hyperlink>
      <w:r>
        <w:rPr>
          <w:spacing w:val="-3"/>
          <w:sz w:val="21"/>
        </w:rPr>
        <w:t xml:space="preserve"> </w:t>
      </w:r>
      <w:r>
        <w:rPr>
          <w:sz w:val="21"/>
        </w:rPr>
        <w:t>It is also cathartic a</w:t>
      </w:r>
      <w:r>
        <w:rPr>
          <w:sz w:val="21"/>
        </w:rPr>
        <w:t>nd can also be uniquely helpful for multiply-marginalized LGBTQ youth.</w:t>
      </w:r>
      <w:r>
        <w:rPr>
          <w:spacing w:val="-10"/>
          <w:sz w:val="21"/>
        </w:rPr>
        <w:t xml:space="preserve"> </w:t>
      </w:r>
      <w:r>
        <w:rPr>
          <w:sz w:val="21"/>
        </w:rPr>
        <w:t>For</w:t>
      </w:r>
      <w:r>
        <w:rPr>
          <w:spacing w:val="-8"/>
          <w:sz w:val="21"/>
        </w:rPr>
        <w:t xml:space="preserve"> </w:t>
      </w:r>
      <w:r>
        <w:rPr>
          <w:sz w:val="21"/>
        </w:rPr>
        <w:t>instance,</w:t>
      </w:r>
      <w:r>
        <w:rPr>
          <w:spacing w:val="-9"/>
          <w:sz w:val="21"/>
        </w:rPr>
        <w:t xml:space="preserve"> </w:t>
      </w:r>
      <w:r>
        <w:rPr>
          <w:sz w:val="21"/>
        </w:rPr>
        <w:t>research</w:t>
      </w:r>
      <w:r>
        <w:rPr>
          <w:spacing w:val="-10"/>
          <w:sz w:val="21"/>
        </w:rPr>
        <w:t xml:space="preserve"> </w:t>
      </w:r>
      <w:r>
        <w:rPr>
          <w:sz w:val="21"/>
        </w:rPr>
        <w:t>demonstrates</w:t>
      </w:r>
      <w:r>
        <w:rPr>
          <w:spacing w:val="-10"/>
          <w:sz w:val="21"/>
        </w:rPr>
        <w:t xml:space="preserve"> </w:t>
      </w:r>
      <w:r>
        <w:rPr>
          <w:sz w:val="21"/>
        </w:rPr>
        <w:t>that</w:t>
      </w:r>
      <w:r>
        <w:rPr>
          <w:spacing w:val="-10"/>
          <w:sz w:val="21"/>
        </w:rPr>
        <w:t xml:space="preserve"> </w:t>
      </w:r>
      <w:r>
        <w:rPr>
          <w:sz w:val="21"/>
        </w:rPr>
        <w:t>activism</w:t>
      </w:r>
      <w:r>
        <w:rPr>
          <w:spacing w:val="-10"/>
          <w:sz w:val="21"/>
        </w:rPr>
        <w:t xml:space="preserve"> </w:t>
      </w:r>
      <w:r>
        <w:rPr>
          <w:sz w:val="21"/>
        </w:rPr>
        <w:t>among</w:t>
      </w:r>
      <w:r>
        <w:rPr>
          <w:spacing w:val="-10"/>
          <w:sz w:val="21"/>
        </w:rPr>
        <w:t xml:space="preserve"> </w:t>
      </w:r>
      <w:r>
        <w:rPr>
          <w:sz w:val="21"/>
        </w:rPr>
        <w:t>LGBTQ</w:t>
      </w:r>
      <w:r>
        <w:rPr>
          <w:spacing w:val="-10"/>
          <w:sz w:val="21"/>
        </w:rPr>
        <w:t xml:space="preserve"> </w:t>
      </w:r>
      <w:r>
        <w:rPr>
          <w:sz w:val="21"/>
        </w:rPr>
        <w:t>women</w:t>
      </w:r>
      <w:r>
        <w:rPr>
          <w:spacing w:val="-10"/>
          <w:sz w:val="21"/>
        </w:rPr>
        <w:t xml:space="preserve"> </w:t>
      </w:r>
      <w:r>
        <w:rPr>
          <w:sz w:val="21"/>
        </w:rPr>
        <w:t>of</w:t>
      </w:r>
      <w:r>
        <w:rPr>
          <w:spacing w:val="-9"/>
          <w:sz w:val="21"/>
        </w:rPr>
        <w:t xml:space="preserve"> </w:t>
      </w:r>
      <w:r>
        <w:rPr>
          <w:sz w:val="21"/>
        </w:rPr>
        <w:t>color</w:t>
      </w:r>
      <w:r>
        <w:rPr>
          <w:spacing w:val="-8"/>
          <w:sz w:val="21"/>
        </w:rPr>
        <w:t xml:space="preserve"> </w:t>
      </w:r>
      <w:r>
        <w:rPr>
          <w:sz w:val="21"/>
        </w:rPr>
        <w:t>reduces</w:t>
      </w:r>
      <w:r>
        <w:rPr>
          <w:spacing w:val="-10"/>
          <w:sz w:val="21"/>
        </w:rPr>
        <w:t xml:space="preserve"> </w:t>
      </w:r>
      <w:r>
        <w:rPr>
          <w:sz w:val="21"/>
        </w:rPr>
        <w:t>the</w:t>
      </w:r>
      <w:r>
        <w:rPr>
          <w:spacing w:val="-9"/>
          <w:sz w:val="21"/>
        </w:rPr>
        <w:t xml:space="preserve"> </w:t>
      </w:r>
      <w:r>
        <w:rPr>
          <w:sz w:val="21"/>
        </w:rPr>
        <w:t>likelihood of feeling emotional distress about sexism.</w:t>
      </w:r>
      <w:hyperlink w:anchor="_bookmark330" w:history="1">
        <w:r>
          <w:rPr>
            <w:sz w:val="21"/>
            <w:vertAlign w:val="superscript"/>
          </w:rPr>
          <w:t>76</w:t>
        </w:r>
      </w:hyperlink>
      <w:r>
        <w:rPr>
          <w:spacing w:val="-2"/>
          <w:sz w:val="21"/>
        </w:rPr>
        <w:t xml:space="preserve"> </w:t>
      </w:r>
      <w:r>
        <w:rPr>
          <w:sz w:val="21"/>
        </w:rPr>
        <w:t xml:space="preserve">It has also been shown to be a useful coping mechanism and source of meaning after sexual assault – which many LGBTQ youth, especially gender expansive youth, </w:t>
      </w:r>
      <w:r>
        <w:rPr>
          <w:spacing w:val="-2"/>
          <w:sz w:val="21"/>
        </w:rPr>
        <w:t>experience.</w:t>
      </w:r>
      <w:hyperlink w:anchor="_bookmark331" w:history="1">
        <w:r>
          <w:rPr>
            <w:spacing w:val="-2"/>
            <w:sz w:val="21"/>
            <w:vertAlign w:val="superscript"/>
          </w:rPr>
          <w:t>77</w:t>
        </w:r>
      </w:hyperlink>
    </w:p>
    <w:p w:rsidR="00200FDA" w:rsidRDefault="00200FDA">
      <w:pPr>
        <w:pStyle w:val="BodyText"/>
        <w:spacing w:before="6"/>
        <w:rPr>
          <w:sz w:val="19"/>
        </w:rPr>
      </w:pPr>
    </w:p>
    <w:p w:rsidR="00200FDA" w:rsidRDefault="00F76C4C">
      <w:pPr>
        <w:spacing w:before="1" w:line="276" w:lineRule="auto"/>
        <w:ind w:left="139" w:right="252"/>
        <w:jc w:val="both"/>
        <w:rPr>
          <w:sz w:val="21"/>
        </w:rPr>
      </w:pPr>
      <w:r>
        <w:rPr>
          <w:sz w:val="21"/>
        </w:rPr>
        <w:t xml:space="preserve">At the same time, supporters should remember that </w:t>
      </w:r>
      <w:r>
        <w:rPr>
          <w:sz w:val="21"/>
        </w:rPr>
        <w:t>activism does not always decrease anxiety or depressive symptoms, especially when it leads youth to take on more responsibilities, burn out, or feel hyper-aware of issues facing the community.</w:t>
      </w:r>
      <w:hyperlink w:anchor="_bookmark332" w:history="1">
        <w:r>
          <w:rPr>
            <w:sz w:val="21"/>
            <w:vertAlign w:val="superscript"/>
          </w:rPr>
          <w:t>78</w:t>
        </w:r>
      </w:hyperlink>
      <w:r>
        <w:rPr>
          <w:spacing w:val="-3"/>
          <w:sz w:val="21"/>
        </w:rPr>
        <w:t xml:space="preserve"> </w:t>
      </w:r>
      <w:r>
        <w:rPr>
          <w:sz w:val="21"/>
        </w:rPr>
        <w:t>Thus, any activism-based prog</w:t>
      </w:r>
      <w:r>
        <w:rPr>
          <w:sz w:val="21"/>
        </w:rPr>
        <w:t>ramming for LGBTQ youth should avoid placing the burden of legislative, policy, and cultural change upon youth. Rather, adult decision-makers should keep primary</w:t>
      </w:r>
      <w:r>
        <w:rPr>
          <w:spacing w:val="-14"/>
          <w:sz w:val="21"/>
        </w:rPr>
        <w:t xml:space="preserve"> </w:t>
      </w:r>
      <w:r>
        <w:rPr>
          <w:sz w:val="21"/>
        </w:rPr>
        <w:t>responsibility</w:t>
      </w:r>
      <w:r>
        <w:rPr>
          <w:spacing w:val="-12"/>
          <w:sz w:val="21"/>
        </w:rPr>
        <w:t xml:space="preserve"> </w:t>
      </w:r>
      <w:r>
        <w:rPr>
          <w:sz w:val="21"/>
        </w:rPr>
        <w:t>for</w:t>
      </w:r>
      <w:r>
        <w:rPr>
          <w:spacing w:val="-12"/>
          <w:sz w:val="21"/>
        </w:rPr>
        <w:t xml:space="preserve"> </w:t>
      </w:r>
      <w:r>
        <w:rPr>
          <w:sz w:val="21"/>
        </w:rPr>
        <w:t>driving</w:t>
      </w:r>
      <w:r>
        <w:rPr>
          <w:spacing w:val="-13"/>
          <w:sz w:val="21"/>
        </w:rPr>
        <w:t xml:space="preserve"> </w:t>
      </w:r>
      <w:r>
        <w:rPr>
          <w:sz w:val="21"/>
        </w:rPr>
        <w:t>reform,</w:t>
      </w:r>
      <w:r>
        <w:rPr>
          <w:spacing w:val="-12"/>
          <w:sz w:val="21"/>
        </w:rPr>
        <w:t xml:space="preserve"> </w:t>
      </w:r>
      <w:r>
        <w:rPr>
          <w:sz w:val="21"/>
        </w:rPr>
        <w:t>tapping</w:t>
      </w:r>
      <w:r>
        <w:rPr>
          <w:spacing w:val="-13"/>
          <w:sz w:val="21"/>
        </w:rPr>
        <w:t xml:space="preserve"> </w:t>
      </w:r>
      <w:r>
        <w:rPr>
          <w:sz w:val="21"/>
        </w:rPr>
        <w:t>youth</w:t>
      </w:r>
      <w:r>
        <w:rPr>
          <w:spacing w:val="-13"/>
          <w:sz w:val="21"/>
        </w:rPr>
        <w:t xml:space="preserve"> </w:t>
      </w:r>
      <w:r>
        <w:rPr>
          <w:sz w:val="21"/>
        </w:rPr>
        <w:t>to</w:t>
      </w:r>
      <w:r>
        <w:rPr>
          <w:spacing w:val="-13"/>
          <w:sz w:val="21"/>
        </w:rPr>
        <w:t xml:space="preserve"> </w:t>
      </w:r>
      <w:r>
        <w:rPr>
          <w:sz w:val="21"/>
        </w:rPr>
        <w:t>be</w:t>
      </w:r>
      <w:r>
        <w:rPr>
          <w:spacing w:val="-12"/>
          <w:sz w:val="21"/>
        </w:rPr>
        <w:t xml:space="preserve"> </w:t>
      </w:r>
      <w:r>
        <w:rPr>
          <w:sz w:val="21"/>
        </w:rPr>
        <w:t>the</w:t>
      </w:r>
      <w:r>
        <w:rPr>
          <w:spacing w:val="-12"/>
          <w:sz w:val="21"/>
        </w:rPr>
        <w:t xml:space="preserve"> </w:t>
      </w:r>
      <w:r>
        <w:rPr>
          <w:sz w:val="21"/>
        </w:rPr>
        <w:t>guiding</w:t>
      </w:r>
      <w:r>
        <w:rPr>
          <w:spacing w:val="-13"/>
          <w:sz w:val="21"/>
        </w:rPr>
        <w:t xml:space="preserve"> </w:t>
      </w:r>
      <w:r>
        <w:rPr>
          <w:sz w:val="21"/>
        </w:rPr>
        <w:t>voices</w:t>
      </w:r>
      <w:r>
        <w:rPr>
          <w:spacing w:val="-13"/>
          <w:sz w:val="21"/>
        </w:rPr>
        <w:t xml:space="preserve"> </w:t>
      </w:r>
      <w:r>
        <w:rPr>
          <w:sz w:val="21"/>
        </w:rPr>
        <w:t>and</w:t>
      </w:r>
      <w:r>
        <w:rPr>
          <w:spacing w:val="-13"/>
          <w:sz w:val="21"/>
        </w:rPr>
        <w:t xml:space="preserve"> </w:t>
      </w:r>
      <w:r>
        <w:rPr>
          <w:sz w:val="21"/>
        </w:rPr>
        <w:t>supporters</w:t>
      </w:r>
      <w:r>
        <w:rPr>
          <w:spacing w:val="-13"/>
          <w:sz w:val="21"/>
        </w:rPr>
        <w:t xml:space="preserve"> </w:t>
      </w:r>
      <w:r>
        <w:rPr>
          <w:sz w:val="21"/>
        </w:rPr>
        <w:t>of</w:t>
      </w:r>
      <w:r>
        <w:rPr>
          <w:spacing w:val="-12"/>
          <w:sz w:val="21"/>
        </w:rPr>
        <w:t xml:space="preserve"> </w:t>
      </w:r>
      <w:r>
        <w:rPr>
          <w:sz w:val="21"/>
        </w:rPr>
        <w:t>th</w:t>
      </w:r>
      <w:r>
        <w:rPr>
          <w:sz w:val="21"/>
        </w:rPr>
        <w:t>ese</w:t>
      </w:r>
      <w:r>
        <w:rPr>
          <w:spacing w:val="-14"/>
          <w:sz w:val="21"/>
        </w:rPr>
        <w:t xml:space="preserve"> </w:t>
      </w:r>
      <w:r>
        <w:rPr>
          <w:sz w:val="21"/>
        </w:rPr>
        <w:t>causes.</w:t>
      </w:r>
    </w:p>
    <w:p w:rsidR="00200FDA" w:rsidRDefault="00200FDA">
      <w:pPr>
        <w:spacing w:line="276" w:lineRule="auto"/>
        <w:jc w:val="both"/>
        <w:rPr>
          <w:sz w:val="21"/>
        </w:rPr>
        <w:sectPr w:rsidR="00200FDA">
          <w:pgSz w:w="12240" w:h="15840"/>
          <w:pgMar w:top="1360" w:right="1180" w:bottom="1480" w:left="1300" w:header="761" w:footer="1208" w:gutter="0"/>
          <w:cols w:space="720"/>
        </w:sectPr>
      </w:pPr>
    </w:p>
    <w:p w:rsidR="00200FDA" w:rsidRDefault="00200FDA">
      <w:pPr>
        <w:pStyle w:val="BodyText"/>
        <w:spacing w:before="3"/>
        <w:rPr>
          <w:sz w:val="5"/>
        </w:rPr>
      </w:pPr>
    </w:p>
    <w:p w:rsidR="00200FDA" w:rsidRDefault="00F76C4C">
      <w:pPr>
        <w:pStyle w:val="BodyText"/>
        <w:ind w:left="873"/>
        <w:rPr>
          <w:sz w:val="20"/>
        </w:rPr>
      </w:pPr>
      <w:r>
        <w:rPr>
          <w:noProof/>
          <w:sz w:val="20"/>
        </w:rPr>
        <w:drawing>
          <wp:inline distT="0" distB="0" distL="0" distR="0">
            <wp:extent cx="5011483" cy="1181100"/>
            <wp:effectExtent l="0" t="0" r="0" b="0"/>
            <wp:docPr id="49"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9.png"/>
                    <pic:cNvPicPr/>
                  </pic:nvPicPr>
                  <pic:blipFill>
                    <a:blip r:embed="rId240" cstate="print"/>
                    <a:stretch>
                      <a:fillRect/>
                    </a:stretch>
                  </pic:blipFill>
                  <pic:spPr>
                    <a:xfrm>
                      <a:off x="0" y="0"/>
                      <a:ext cx="5011483" cy="1181100"/>
                    </a:xfrm>
                    <a:prstGeom prst="rect">
                      <a:avLst/>
                    </a:prstGeom>
                  </pic:spPr>
                </pic:pic>
              </a:graphicData>
            </a:graphic>
          </wp:inline>
        </w:drawing>
      </w:r>
    </w:p>
    <w:p w:rsidR="00200FDA" w:rsidRDefault="00200FDA">
      <w:pPr>
        <w:pStyle w:val="BodyText"/>
        <w:spacing w:before="1"/>
        <w:rPr>
          <w:sz w:val="12"/>
        </w:rPr>
      </w:pPr>
    </w:p>
    <w:p w:rsidR="00200FDA" w:rsidRDefault="00F76C4C">
      <w:pPr>
        <w:pStyle w:val="Heading8"/>
        <w:spacing w:before="52"/>
      </w:pPr>
      <w:bookmarkStart w:id="368" w:name="Systemic_Barriers_to_Care:_Mental_Health"/>
      <w:bookmarkEnd w:id="368"/>
      <w:r>
        <w:rPr>
          <w:color w:val="0A5293"/>
        </w:rPr>
        <w:t>Systemic</w:t>
      </w:r>
      <w:r>
        <w:rPr>
          <w:color w:val="0A5293"/>
          <w:spacing w:val="-4"/>
        </w:rPr>
        <w:t xml:space="preserve"> </w:t>
      </w:r>
      <w:r>
        <w:rPr>
          <w:color w:val="0A5293"/>
        </w:rPr>
        <w:t>Barriers</w:t>
      </w:r>
      <w:r>
        <w:rPr>
          <w:color w:val="0A5293"/>
          <w:spacing w:val="-4"/>
        </w:rPr>
        <w:t xml:space="preserve"> </w:t>
      </w:r>
      <w:r>
        <w:rPr>
          <w:color w:val="0A5293"/>
        </w:rPr>
        <w:t>to Care:</w:t>
      </w:r>
      <w:r>
        <w:rPr>
          <w:color w:val="0A5293"/>
          <w:spacing w:val="-1"/>
        </w:rPr>
        <w:t xml:space="preserve"> </w:t>
      </w:r>
      <w:r>
        <w:rPr>
          <w:color w:val="0A5293"/>
        </w:rPr>
        <w:t>Mental</w:t>
      </w:r>
      <w:r>
        <w:rPr>
          <w:color w:val="0A5293"/>
          <w:spacing w:val="-4"/>
        </w:rPr>
        <w:t xml:space="preserve"> </w:t>
      </w:r>
      <w:r>
        <w:rPr>
          <w:color w:val="0A5293"/>
        </w:rPr>
        <w:t>Health</w:t>
      </w:r>
      <w:r>
        <w:rPr>
          <w:color w:val="0A5293"/>
          <w:spacing w:val="1"/>
        </w:rPr>
        <w:t xml:space="preserve"> </w:t>
      </w:r>
      <w:r>
        <w:rPr>
          <w:color w:val="0A5293"/>
        </w:rPr>
        <w:t>Stigma,</w:t>
      </w:r>
      <w:r>
        <w:rPr>
          <w:color w:val="0A5293"/>
          <w:spacing w:val="-4"/>
        </w:rPr>
        <w:t xml:space="preserve"> </w:t>
      </w:r>
      <w:r>
        <w:rPr>
          <w:color w:val="0A5293"/>
        </w:rPr>
        <w:t>MHP</w:t>
      </w:r>
      <w:r>
        <w:rPr>
          <w:color w:val="0A5293"/>
          <w:spacing w:val="-1"/>
        </w:rPr>
        <w:t xml:space="preserve"> </w:t>
      </w:r>
      <w:r>
        <w:rPr>
          <w:color w:val="0A5293"/>
        </w:rPr>
        <w:t>Burnout,</w:t>
      </w:r>
      <w:r>
        <w:rPr>
          <w:color w:val="0A5293"/>
          <w:spacing w:val="-1"/>
        </w:rPr>
        <w:t xml:space="preserve"> </w:t>
      </w:r>
      <w:r>
        <w:rPr>
          <w:color w:val="0A5293"/>
        </w:rPr>
        <w:t>and</w:t>
      </w:r>
      <w:r>
        <w:rPr>
          <w:color w:val="0A5293"/>
          <w:spacing w:val="-3"/>
        </w:rPr>
        <w:t xml:space="preserve"> </w:t>
      </w:r>
      <w:r>
        <w:rPr>
          <w:color w:val="0A5293"/>
        </w:rPr>
        <w:t>Low</w:t>
      </w:r>
      <w:r>
        <w:rPr>
          <w:color w:val="0A5293"/>
          <w:spacing w:val="-2"/>
        </w:rPr>
        <w:t xml:space="preserve"> Compensation</w:t>
      </w:r>
    </w:p>
    <w:p w:rsidR="00200FDA" w:rsidRDefault="00200FDA">
      <w:pPr>
        <w:pStyle w:val="BodyText"/>
        <w:spacing w:before="8"/>
        <w:rPr>
          <w:sz w:val="27"/>
        </w:rPr>
      </w:pPr>
    </w:p>
    <w:p w:rsidR="00200FDA" w:rsidRDefault="00F76C4C">
      <w:pPr>
        <w:spacing w:line="276" w:lineRule="auto"/>
        <w:ind w:left="139" w:right="255"/>
        <w:jc w:val="both"/>
        <w:rPr>
          <w:sz w:val="21"/>
        </w:rPr>
      </w:pPr>
      <w:r>
        <w:rPr>
          <w:sz w:val="21"/>
        </w:rPr>
        <w:t>Lack</w:t>
      </w:r>
      <w:r>
        <w:rPr>
          <w:spacing w:val="-4"/>
          <w:sz w:val="21"/>
        </w:rPr>
        <w:t xml:space="preserve"> </w:t>
      </w:r>
      <w:r>
        <w:rPr>
          <w:sz w:val="21"/>
        </w:rPr>
        <w:t>of</w:t>
      </w:r>
      <w:r>
        <w:rPr>
          <w:spacing w:val="-4"/>
          <w:sz w:val="21"/>
        </w:rPr>
        <w:t xml:space="preserve"> </w:t>
      </w:r>
      <w:r>
        <w:rPr>
          <w:sz w:val="21"/>
        </w:rPr>
        <w:t>access</w:t>
      </w:r>
      <w:r>
        <w:rPr>
          <w:spacing w:val="-4"/>
          <w:sz w:val="21"/>
        </w:rPr>
        <w:t xml:space="preserve"> </w:t>
      </w:r>
      <w:r>
        <w:rPr>
          <w:sz w:val="21"/>
        </w:rPr>
        <w:t>to</w:t>
      </w:r>
      <w:r>
        <w:rPr>
          <w:spacing w:val="-4"/>
          <w:sz w:val="21"/>
        </w:rPr>
        <w:t xml:space="preserve"> </w:t>
      </w:r>
      <w:r>
        <w:rPr>
          <w:sz w:val="21"/>
        </w:rPr>
        <w:t>mental</w:t>
      </w:r>
      <w:r>
        <w:rPr>
          <w:spacing w:val="-5"/>
          <w:sz w:val="21"/>
        </w:rPr>
        <w:t xml:space="preserve"> </w:t>
      </w:r>
      <w:r>
        <w:rPr>
          <w:sz w:val="21"/>
        </w:rPr>
        <w:t>healthcare</w:t>
      </w:r>
      <w:r>
        <w:rPr>
          <w:spacing w:val="-4"/>
          <w:sz w:val="21"/>
        </w:rPr>
        <w:t xml:space="preserve"> </w:t>
      </w:r>
      <w:r>
        <w:rPr>
          <w:sz w:val="21"/>
        </w:rPr>
        <w:t>has</w:t>
      </w:r>
      <w:r>
        <w:rPr>
          <w:spacing w:val="-4"/>
          <w:sz w:val="21"/>
        </w:rPr>
        <w:t xml:space="preserve"> </w:t>
      </w:r>
      <w:r>
        <w:rPr>
          <w:sz w:val="21"/>
        </w:rPr>
        <w:t>reached</w:t>
      </w:r>
      <w:r>
        <w:rPr>
          <w:spacing w:val="-4"/>
          <w:sz w:val="21"/>
        </w:rPr>
        <w:t xml:space="preserve"> </w:t>
      </w:r>
      <w:r>
        <w:rPr>
          <w:sz w:val="21"/>
        </w:rPr>
        <w:t>a</w:t>
      </w:r>
      <w:r>
        <w:rPr>
          <w:spacing w:val="-5"/>
          <w:sz w:val="21"/>
        </w:rPr>
        <w:t xml:space="preserve"> </w:t>
      </w:r>
      <w:r>
        <w:rPr>
          <w:sz w:val="21"/>
        </w:rPr>
        <w:t>crisis</w:t>
      </w:r>
      <w:r>
        <w:rPr>
          <w:spacing w:val="-4"/>
          <w:sz w:val="21"/>
        </w:rPr>
        <w:t xml:space="preserve"> </w:t>
      </w:r>
      <w:r>
        <w:rPr>
          <w:sz w:val="21"/>
        </w:rPr>
        <w:t>point</w:t>
      </w:r>
      <w:r>
        <w:rPr>
          <w:spacing w:val="-4"/>
          <w:sz w:val="21"/>
        </w:rPr>
        <w:t xml:space="preserve"> </w:t>
      </w:r>
      <w:r>
        <w:rPr>
          <w:sz w:val="21"/>
        </w:rPr>
        <w:t>for</w:t>
      </w:r>
      <w:r>
        <w:rPr>
          <w:spacing w:val="-4"/>
          <w:sz w:val="21"/>
        </w:rPr>
        <w:t xml:space="preserve"> </w:t>
      </w:r>
      <w:r>
        <w:rPr>
          <w:sz w:val="21"/>
        </w:rPr>
        <w:t>youth</w:t>
      </w:r>
      <w:r>
        <w:rPr>
          <w:spacing w:val="-4"/>
          <w:sz w:val="21"/>
        </w:rPr>
        <w:t xml:space="preserve"> </w:t>
      </w:r>
      <w:r>
        <w:rPr>
          <w:sz w:val="21"/>
        </w:rPr>
        <w:t>across</w:t>
      </w:r>
      <w:r>
        <w:rPr>
          <w:spacing w:val="-4"/>
          <w:sz w:val="21"/>
        </w:rPr>
        <w:t xml:space="preserve"> </w:t>
      </w:r>
      <w:r>
        <w:rPr>
          <w:sz w:val="21"/>
        </w:rPr>
        <w:t>the</w:t>
      </w:r>
      <w:r>
        <w:rPr>
          <w:spacing w:val="-4"/>
          <w:sz w:val="21"/>
        </w:rPr>
        <w:t xml:space="preserve"> </w:t>
      </w:r>
      <w:r>
        <w:rPr>
          <w:sz w:val="21"/>
        </w:rPr>
        <w:t>US.</w:t>
      </w:r>
      <w:r>
        <w:rPr>
          <w:spacing w:val="-4"/>
          <w:sz w:val="21"/>
        </w:rPr>
        <w:t xml:space="preserve"> </w:t>
      </w:r>
      <w:r>
        <w:rPr>
          <w:sz w:val="21"/>
        </w:rPr>
        <w:t>In</w:t>
      </w:r>
      <w:r>
        <w:rPr>
          <w:spacing w:val="-4"/>
          <w:sz w:val="21"/>
        </w:rPr>
        <w:t xml:space="preserve"> </w:t>
      </w:r>
      <w:r>
        <w:rPr>
          <w:sz w:val="21"/>
        </w:rPr>
        <w:t>2021,</w:t>
      </w:r>
      <w:r>
        <w:rPr>
          <w:spacing w:val="-4"/>
          <w:sz w:val="21"/>
        </w:rPr>
        <w:t xml:space="preserve"> </w:t>
      </w:r>
      <w:r>
        <w:rPr>
          <w:sz w:val="21"/>
        </w:rPr>
        <w:t>SAMHSA</w:t>
      </w:r>
      <w:r>
        <w:rPr>
          <w:spacing w:val="-4"/>
          <w:sz w:val="21"/>
        </w:rPr>
        <w:t xml:space="preserve"> </w:t>
      </w:r>
      <w:r>
        <w:rPr>
          <w:sz w:val="21"/>
        </w:rPr>
        <w:t>found that around 60% of 12 to 17 year-olds who had a major depressive episode in the past year did not receive treatment.</w:t>
      </w:r>
      <w:r>
        <w:rPr>
          <w:spacing w:val="-9"/>
          <w:sz w:val="21"/>
        </w:rPr>
        <w:t xml:space="preserve"> </w:t>
      </w:r>
      <w:r>
        <w:rPr>
          <w:sz w:val="21"/>
        </w:rPr>
        <w:t>Meanwhile,</w:t>
      </w:r>
      <w:r>
        <w:rPr>
          <w:spacing w:val="-8"/>
          <w:sz w:val="21"/>
        </w:rPr>
        <w:t xml:space="preserve"> </w:t>
      </w:r>
      <w:r>
        <w:rPr>
          <w:sz w:val="21"/>
        </w:rPr>
        <w:t>in</w:t>
      </w:r>
      <w:r>
        <w:rPr>
          <w:spacing w:val="-9"/>
          <w:sz w:val="21"/>
        </w:rPr>
        <w:t xml:space="preserve"> </w:t>
      </w:r>
      <w:r>
        <w:rPr>
          <w:sz w:val="21"/>
        </w:rPr>
        <w:t>Massachusetts,</w:t>
      </w:r>
      <w:r>
        <w:rPr>
          <w:spacing w:val="-8"/>
          <w:sz w:val="21"/>
        </w:rPr>
        <w:t xml:space="preserve"> </w:t>
      </w:r>
      <w:r>
        <w:rPr>
          <w:sz w:val="21"/>
        </w:rPr>
        <w:t>in</w:t>
      </w:r>
      <w:r>
        <w:rPr>
          <w:spacing w:val="-9"/>
          <w:sz w:val="21"/>
        </w:rPr>
        <w:t xml:space="preserve"> </w:t>
      </w:r>
      <w:r>
        <w:rPr>
          <w:sz w:val="21"/>
        </w:rPr>
        <w:t>2021,</w:t>
      </w:r>
      <w:r>
        <w:rPr>
          <w:spacing w:val="-8"/>
          <w:sz w:val="21"/>
        </w:rPr>
        <w:t xml:space="preserve"> </w:t>
      </w:r>
      <w:r>
        <w:rPr>
          <w:sz w:val="21"/>
        </w:rPr>
        <w:t>the</w:t>
      </w:r>
      <w:r>
        <w:rPr>
          <w:spacing w:val="-8"/>
          <w:sz w:val="21"/>
        </w:rPr>
        <w:t xml:space="preserve"> </w:t>
      </w:r>
      <w:r>
        <w:rPr>
          <w:sz w:val="21"/>
        </w:rPr>
        <w:t>Trevor</w:t>
      </w:r>
      <w:r>
        <w:rPr>
          <w:spacing w:val="-7"/>
          <w:sz w:val="21"/>
        </w:rPr>
        <w:t xml:space="preserve"> </w:t>
      </w:r>
      <w:r>
        <w:rPr>
          <w:sz w:val="21"/>
        </w:rPr>
        <w:t>Project</w:t>
      </w:r>
      <w:r>
        <w:rPr>
          <w:spacing w:val="-9"/>
          <w:sz w:val="21"/>
        </w:rPr>
        <w:t xml:space="preserve"> </w:t>
      </w:r>
      <w:r>
        <w:rPr>
          <w:sz w:val="21"/>
        </w:rPr>
        <w:t>uncovered</w:t>
      </w:r>
      <w:r>
        <w:rPr>
          <w:spacing w:val="-9"/>
          <w:sz w:val="21"/>
        </w:rPr>
        <w:t xml:space="preserve"> </w:t>
      </w:r>
      <w:r>
        <w:rPr>
          <w:sz w:val="21"/>
        </w:rPr>
        <w:t>that</w:t>
      </w:r>
      <w:r>
        <w:rPr>
          <w:spacing w:val="-9"/>
          <w:sz w:val="21"/>
        </w:rPr>
        <w:t xml:space="preserve"> </w:t>
      </w:r>
      <w:r>
        <w:rPr>
          <w:sz w:val="21"/>
        </w:rPr>
        <w:t>53%</w:t>
      </w:r>
      <w:r>
        <w:rPr>
          <w:spacing w:val="-8"/>
          <w:sz w:val="21"/>
        </w:rPr>
        <w:t xml:space="preserve"> </w:t>
      </w:r>
      <w:r>
        <w:rPr>
          <w:sz w:val="21"/>
        </w:rPr>
        <w:t>of</w:t>
      </w:r>
      <w:r>
        <w:rPr>
          <w:spacing w:val="-8"/>
          <w:sz w:val="21"/>
        </w:rPr>
        <w:t xml:space="preserve"> </w:t>
      </w:r>
      <w:r>
        <w:rPr>
          <w:sz w:val="21"/>
        </w:rPr>
        <w:t>LGBTQ</w:t>
      </w:r>
      <w:r>
        <w:rPr>
          <w:spacing w:val="-9"/>
          <w:sz w:val="21"/>
        </w:rPr>
        <w:t xml:space="preserve"> </w:t>
      </w:r>
      <w:r>
        <w:rPr>
          <w:sz w:val="21"/>
        </w:rPr>
        <w:t>youth</w:t>
      </w:r>
      <w:r>
        <w:rPr>
          <w:spacing w:val="-9"/>
          <w:sz w:val="21"/>
        </w:rPr>
        <w:t xml:space="preserve"> </w:t>
      </w:r>
      <w:r>
        <w:rPr>
          <w:sz w:val="21"/>
        </w:rPr>
        <w:t>who wanted mental healthcare in the last year were not able to get it.</w:t>
      </w:r>
    </w:p>
    <w:p w:rsidR="00200FDA" w:rsidRDefault="00200FDA">
      <w:pPr>
        <w:pStyle w:val="BodyText"/>
        <w:spacing w:before="7"/>
        <w:rPr>
          <w:sz w:val="19"/>
        </w:rPr>
      </w:pPr>
    </w:p>
    <w:p w:rsidR="00200FDA" w:rsidRDefault="00F76C4C">
      <w:pPr>
        <w:spacing w:line="276" w:lineRule="auto"/>
        <w:ind w:left="140" w:right="255"/>
        <w:jc w:val="both"/>
        <w:rPr>
          <w:sz w:val="21"/>
        </w:rPr>
      </w:pPr>
      <w:r>
        <w:rPr>
          <w:sz w:val="21"/>
        </w:rPr>
        <w:t>Reasons for being unable to access care vary. In Massachusetts, LGBTQ youths’ top five reported barriers include being afraid to talk about mental health with another person (43%); not</w:t>
      </w:r>
      <w:r>
        <w:rPr>
          <w:sz w:val="21"/>
        </w:rPr>
        <w:t xml:space="preserve"> wanting to get guardians’ permission (40%); being afraid of not being taken seriously (32%); not being able to afford care (31%); and being</w:t>
      </w:r>
      <w:r>
        <w:rPr>
          <w:spacing w:val="-5"/>
          <w:sz w:val="21"/>
        </w:rPr>
        <w:t xml:space="preserve"> </w:t>
      </w:r>
      <w:r>
        <w:rPr>
          <w:sz w:val="21"/>
        </w:rPr>
        <w:t>afraid</w:t>
      </w:r>
      <w:r>
        <w:rPr>
          <w:spacing w:val="-5"/>
          <w:sz w:val="21"/>
        </w:rPr>
        <w:t xml:space="preserve"> </w:t>
      </w:r>
      <w:r>
        <w:rPr>
          <w:sz w:val="21"/>
        </w:rPr>
        <w:t>it</w:t>
      </w:r>
      <w:r>
        <w:rPr>
          <w:spacing w:val="-5"/>
          <w:sz w:val="21"/>
        </w:rPr>
        <w:t xml:space="preserve"> </w:t>
      </w:r>
      <w:r>
        <w:rPr>
          <w:sz w:val="21"/>
        </w:rPr>
        <w:t>wouldn’t</w:t>
      </w:r>
      <w:r>
        <w:rPr>
          <w:spacing w:val="-8"/>
          <w:sz w:val="21"/>
        </w:rPr>
        <w:t xml:space="preserve"> </w:t>
      </w:r>
      <w:r>
        <w:rPr>
          <w:sz w:val="21"/>
        </w:rPr>
        <w:t>work</w:t>
      </w:r>
      <w:r>
        <w:rPr>
          <w:spacing w:val="-4"/>
          <w:sz w:val="21"/>
        </w:rPr>
        <w:t xml:space="preserve"> </w:t>
      </w:r>
      <w:r>
        <w:rPr>
          <w:sz w:val="21"/>
        </w:rPr>
        <w:t>(30%).</w:t>
      </w:r>
      <w:r>
        <w:rPr>
          <w:spacing w:val="-7"/>
          <w:sz w:val="21"/>
        </w:rPr>
        <w:t xml:space="preserve"> </w:t>
      </w:r>
      <w:r>
        <w:rPr>
          <w:sz w:val="21"/>
        </w:rPr>
        <w:t>Since</w:t>
      </w:r>
      <w:r>
        <w:rPr>
          <w:spacing w:val="-4"/>
          <w:sz w:val="21"/>
        </w:rPr>
        <w:t xml:space="preserve"> </w:t>
      </w:r>
      <w:r>
        <w:rPr>
          <w:sz w:val="21"/>
        </w:rPr>
        <w:t>many</w:t>
      </w:r>
      <w:r>
        <w:rPr>
          <w:spacing w:val="-4"/>
          <w:sz w:val="21"/>
        </w:rPr>
        <w:t xml:space="preserve"> </w:t>
      </w:r>
      <w:r>
        <w:rPr>
          <w:sz w:val="21"/>
        </w:rPr>
        <w:t>of</w:t>
      </w:r>
      <w:r>
        <w:rPr>
          <w:spacing w:val="-6"/>
          <w:sz w:val="21"/>
        </w:rPr>
        <w:t xml:space="preserve"> </w:t>
      </w:r>
      <w:r>
        <w:rPr>
          <w:sz w:val="21"/>
        </w:rPr>
        <w:t>these</w:t>
      </w:r>
      <w:r>
        <w:rPr>
          <w:spacing w:val="-6"/>
          <w:sz w:val="21"/>
        </w:rPr>
        <w:t xml:space="preserve"> </w:t>
      </w:r>
      <w:r>
        <w:rPr>
          <w:sz w:val="21"/>
        </w:rPr>
        <w:t>reasons</w:t>
      </w:r>
      <w:r>
        <w:rPr>
          <w:spacing w:val="-8"/>
          <w:sz w:val="21"/>
        </w:rPr>
        <w:t xml:space="preserve"> </w:t>
      </w:r>
      <w:r>
        <w:rPr>
          <w:sz w:val="21"/>
        </w:rPr>
        <w:t>relate</w:t>
      </w:r>
      <w:r>
        <w:rPr>
          <w:spacing w:val="-6"/>
          <w:sz w:val="21"/>
        </w:rPr>
        <w:t xml:space="preserve"> </w:t>
      </w:r>
      <w:r>
        <w:rPr>
          <w:sz w:val="21"/>
        </w:rPr>
        <w:t>to</w:t>
      </w:r>
      <w:r>
        <w:rPr>
          <w:spacing w:val="-5"/>
          <w:sz w:val="21"/>
        </w:rPr>
        <w:t xml:space="preserve"> </w:t>
      </w:r>
      <w:r>
        <w:rPr>
          <w:sz w:val="21"/>
        </w:rPr>
        <w:t>stigma</w:t>
      </w:r>
      <w:r>
        <w:rPr>
          <w:spacing w:val="-5"/>
          <w:sz w:val="21"/>
        </w:rPr>
        <w:t xml:space="preserve"> </w:t>
      </w:r>
      <w:r>
        <w:rPr>
          <w:sz w:val="21"/>
        </w:rPr>
        <w:t>and</w:t>
      </w:r>
      <w:r>
        <w:rPr>
          <w:spacing w:val="-5"/>
          <w:sz w:val="21"/>
        </w:rPr>
        <w:t xml:space="preserve"> </w:t>
      </w:r>
      <w:r>
        <w:rPr>
          <w:sz w:val="21"/>
        </w:rPr>
        <w:t>fear</w:t>
      </w:r>
      <w:r>
        <w:rPr>
          <w:spacing w:val="-4"/>
          <w:sz w:val="21"/>
        </w:rPr>
        <w:t xml:space="preserve"> </w:t>
      </w:r>
      <w:r>
        <w:rPr>
          <w:sz w:val="21"/>
        </w:rPr>
        <w:t>about</w:t>
      </w:r>
      <w:r>
        <w:rPr>
          <w:spacing w:val="-5"/>
          <w:sz w:val="21"/>
        </w:rPr>
        <w:t xml:space="preserve"> </w:t>
      </w:r>
      <w:r>
        <w:rPr>
          <w:sz w:val="21"/>
        </w:rPr>
        <w:t>care-seeking, reforms su</w:t>
      </w:r>
      <w:r>
        <w:rPr>
          <w:sz w:val="21"/>
        </w:rPr>
        <w:t>ch as mental health literacy projects have high potential.</w:t>
      </w:r>
    </w:p>
    <w:p w:rsidR="00200FDA" w:rsidRDefault="00200FDA">
      <w:pPr>
        <w:pStyle w:val="BodyText"/>
        <w:spacing w:before="8"/>
        <w:rPr>
          <w:sz w:val="19"/>
        </w:rPr>
      </w:pPr>
    </w:p>
    <w:p w:rsidR="00200FDA" w:rsidRDefault="00F76C4C">
      <w:pPr>
        <w:spacing w:line="276" w:lineRule="auto"/>
        <w:ind w:left="140" w:right="252"/>
        <w:jc w:val="both"/>
        <w:rPr>
          <w:sz w:val="21"/>
        </w:rPr>
      </w:pPr>
      <w:r>
        <w:rPr>
          <w:sz w:val="21"/>
        </w:rPr>
        <w:t>The severe shortage of MHPs – especially those who are LGBTQ and culturally competent – is another significant</w:t>
      </w:r>
      <w:r>
        <w:rPr>
          <w:spacing w:val="-10"/>
          <w:sz w:val="21"/>
        </w:rPr>
        <w:t xml:space="preserve"> </w:t>
      </w:r>
      <w:r>
        <w:rPr>
          <w:sz w:val="21"/>
        </w:rPr>
        <w:t>barrier</w:t>
      </w:r>
      <w:r>
        <w:rPr>
          <w:spacing w:val="-8"/>
          <w:sz w:val="21"/>
        </w:rPr>
        <w:t xml:space="preserve"> </w:t>
      </w:r>
      <w:r>
        <w:rPr>
          <w:sz w:val="21"/>
        </w:rPr>
        <w:t>to</w:t>
      </w:r>
      <w:r>
        <w:rPr>
          <w:spacing w:val="-10"/>
          <w:sz w:val="21"/>
        </w:rPr>
        <w:t xml:space="preserve"> </w:t>
      </w:r>
      <w:r>
        <w:rPr>
          <w:sz w:val="21"/>
        </w:rPr>
        <w:t>care;</w:t>
      </w:r>
      <w:r>
        <w:rPr>
          <w:spacing w:val="-10"/>
          <w:sz w:val="21"/>
        </w:rPr>
        <w:t xml:space="preserve"> </w:t>
      </w:r>
      <w:r>
        <w:rPr>
          <w:sz w:val="21"/>
        </w:rPr>
        <w:t>MHP</w:t>
      </w:r>
      <w:r>
        <w:rPr>
          <w:spacing w:val="-10"/>
          <w:sz w:val="21"/>
        </w:rPr>
        <w:t xml:space="preserve"> </w:t>
      </w:r>
      <w:r>
        <w:rPr>
          <w:sz w:val="21"/>
        </w:rPr>
        <w:t>trainees</w:t>
      </w:r>
      <w:r>
        <w:rPr>
          <w:spacing w:val="-10"/>
          <w:sz w:val="21"/>
        </w:rPr>
        <w:t xml:space="preserve"> </w:t>
      </w:r>
      <w:r>
        <w:rPr>
          <w:sz w:val="21"/>
        </w:rPr>
        <w:t>such</w:t>
      </w:r>
      <w:r>
        <w:rPr>
          <w:spacing w:val="-10"/>
          <w:sz w:val="21"/>
        </w:rPr>
        <w:t xml:space="preserve"> </w:t>
      </w:r>
      <w:r>
        <w:rPr>
          <w:sz w:val="21"/>
        </w:rPr>
        <w:t>as</w:t>
      </w:r>
      <w:r>
        <w:rPr>
          <w:spacing w:val="-10"/>
          <w:sz w:val="21"/>
        </w:rPr>
        <w:t xml:space="preserve"> </w:t>
      </w:r>
      <w:r>
        <w:rPr>
          <w:sz w:val="21"/>
        </w:rPr>
        <w:t>social</w:t>
      </w:r>
      <w:r>
        <w:rPr>
          <w:spacing w:val="-10"/>
          <w:sz w:val="21"/>
        </w:rPr>
        <w:t xml:space="preserve"> </w:t>
      </w:r>
      <w:r>
        <w:rPr>
          <w:sz w:val="21"/>
        </w:rPr>
        <w:t>work</w:t>
      </w:r>
      <w:r>
        <w:rPr>
          <w:spacing w:val="-9"/>
          <w:sz w:val="21"/>
        </w:rPr>
        <w:t xml:space="preserve"> </w:t>
      </w:r>
      <w:r>
        <w:rPr>
          <w:sz w:val="21"/>
        </w:rPr>
        <w:t>students</w:t>
      </w:r>
      <w:r>
        <w:rPr>
          <w:spacing w:val="-10"/>
          <w:sz w:val="21"/>
        </w:rPr>
        <w:t xml:space="preserve"> </w:t>
      </w:r>
      <w:r>
        <w:rPr>
          <w:sz w:val="21"/>
        </w:rPr>
        <w:t>often</w:t>
      </w:r>
      <w:r>
        <w:rPr>
          <w:spacing w:val="-10"/>
          <w:sz w:val="21"/>
        </w:rPr>
        <w:t xml:space="preserve"> </w:t>
      </w:r>
      <w:r>
        <w:rPr>
          <w:sz w:val="21"/>
        </w:rPr>
        <w:t>provide</w:t>
      </w:r>
      <w:r>
        <w:rPr>
          <w:spacing w:val="-11"/>
          <w:sz w:val="21"/>
        </w:rPr>
        <w:t xml:space="preserve"> </w:t>
      </w:r>
      <w:r>
        <w:rPr>
          <w:sz w:val="21"/>
        </w:rPr>
        <w:t>life-affirming</w:t>
      </w:r>
      <w:r>
        <w:rPr>
          <w:spacing w:val="-10"/>
          <w:sz w:val="21"/>
        </w:rPr>
        <w:t xml:space="preserve"> </w:t>
      </w:r>
      <w:r>
        <w:rPr>
          <w:sz w:val="21"/>
        </w:rPr>
        <w:t>mental</w:t>
      </w:r>
      <w:r>
        <w:rPr>
          <w:spacing w:val="-10"/>
          <w:sz w:val="21"/>
        </w:rPr>
        <w:t xml:space="preserve"> </w:t>
      </w:r>
      <w:r>
        <w:rPr>
          <w:sz w:val="21"/>
        </w:rPr>
        <w:t>health support in internships across Massachusetts. However, many are required to provide this unpaid labor for roughly half of the work week over two years in order to graduate – and pay increased tuition for these placements. Combin</w:t>
      </w:r>
      <w:r>
        <w:rPr>
          <w:sz w:val="21"/>
        </w:rPr>
        <w:t>ed with already-high tuition, living costs, and loan interest rates, this financial burden mirrors the low wages and overwhelming caseloads that MHPs face after graduation. These conditions fuel high rates of burning out, turning over, and leaving the fiel</w:t>
      </w:r>
      <w:r>
        <w:rPr>
          <w:sz w:val="21"/>
        </w:rPr>
        <w:t>d entirely, as it is already difficult for MHPs to graduate,</w:t>
      </w:r>
      <w:r>
        <w:rPr>
          <w:spacing w:val="-7"/>
          <w:sz w:val="21"/>
        </w:rPr>
        <w:t xml:space="preserve"> </w:t>
      </w:r>
      <w:r>
        <w:rPr>
          <w:sz w:val="21"/>
        </w:rPr>
        <w:t>let</w:t>
      </w:r>
      <w:r>
        <w:rPr>
          <w:spacing w:val="-8"/>
          <w:sz w:val="21"/>
        </w:rPr>
        <w:t xml:space="preserve"> </w:t>
      </w:r>
      <w:r>
        <w:rPr>
          <w:sz w:val="21"/>
        </w:rPr>
        <w:t>alone</w:t>
      </w:r>
      <w:r>
        <w:rPr>
          <w:spacing w:val="-9"/>
          <w:sz w:val="21"/>
        </w:rPr>
        <w:t xml:space="preserve"> </w:t>
      </w:r>
      <w:r>
        <w:rPr>
          <w:sz w:val="21"/>
        </w:rPr>
        <w:t>find</w:t>
      </w:r>
      <w:r>
        <w:rPr>
          <w:spacing w:val="-7"/>
          <w:sz w:val="21"/>
        </w:rPr>
        <w:t xml:space="preserve"> </w:t>
      </w:r>
      <w:r>
        <w:rPr>
          <w:sz w:val="21"/>
        </w:rPr>
        <w:t>meaningfully-paid</w:t>
      </w:r>
      <w:r>
        <w:rPr>
          <w:spacing w:val="-7"/>
          <w:sz w:val="21"/>
        </w:rPr>
        <w:t xml:space="preserve"> </w:t>
      </w:r>
      <w:r>
        <w:rPr>
          <w:sz w:val="21"/>
        </w:rPr>
        <w:t>work.</w:t>
      </w:r>
      <w:r>
        <w:rPr>
          <w:spacing w:val="35"/>
          <w:sz w:val="21"/>
        </w:rPr>
        <w:t xml:space="preserve"> </w:t>
      </w:r>
      <w:r>
        <w:rPr>
          <w:sz w:val="21"/>
        </w:rPr>
        <w:t>This</w:t>
      </w:r>
      <w:r>
        <w:rPr>
          <w:spacing w:val="-8"/>
          <w:sz w:val="21"/>
        </w:rPr>
        <w:t xml:space="preserve"> </w:t>
      </w:r>
      <w:r>
        <w:rPr>
          <w:sz w:val="21"/>
        </w:rPr>
        <w:t>is</w:t>
      </w:r>
      <w:r>
        <w:rPr>
          <w:spacing w:val="-8"/>
          <w:sz w:val="21"/>
        </w:rPr>
        <w:t xml:space="preserve"> </w:t>
      </w:r>
      <w:r>
        <w:rPr>
          <w:sz w:val="21"/>
        </w:rPr>
        <w:t>why</w:t>
      </w:r>
      <w:r>
        <w:rPr>
          <w:spacing w:val="-6"/>
          <w:sz w:val="21"/>
        </w:rPr>
        <w:t xml:space="preserve"> </w:t>
      </w:r>
      <w:r>
        <w:rPr>
          <w:sz w:val="21"/>
        </w:rPr>
        <w:t>the</w:t>
      </w:r>
      <w:r>
        <w:rPr>
          <w:spacing w:val="-6"/>
          <w:sz w:val="21"/>
        </w:rPr>
        <w:t xml:space="preserve"> </w:t>
      </w:r>
      <w:r>
        <w:rPr>
          <w:sz w:val="21"/>
        </w:rPr>
        <w:t>Commission</w:t>
      </w:r>
      <w:r>
        <w:rPr>
          <w:spacing w:val="-7"/>
          <w:sz w:val="21"/>
        </w:rPr>
        <w:t xml:space="preserve"> </w:t>
      </w:r>
      <w:r>
        <w:rPr>
          <w:sz w:val="21"/>
        </w:rPr>
        <w:t>recommends</w:t>
      </w:r>
      <w:r>
        <w:rPr>
          <w:spacing w:val="-8"/>
          <w:sz w:val="21"/>
        </w:rPr>
        <w:t xml:space="preserve"> </w:t>
      </w:r>
      <w:r>
        <w:rPr>
          <w:sz w:val="21"/>
        </w:rPr>
        <w:t>that</w:t>
      </w:r>
      <w:r>
        <w:rPr>
          <w:spacing w:val="-8"/>
          <w:sz w:val="21"/>
        </w:rPr>
        <w:t xml:space="preserve"> </w:t>
      </w:r>
      <w:r>
        <w:rPr>
          <w:sz w:val="21"/>
        </w:rPr>
        <w:t>allies</w:t>
      </w:r>
      <w:r>
        <w:rPr>
          <w:spacing w:val="-8"/>
          <w:sz w:val="21"/>
        </w:rPr>
        <w:t xml:space="preserve"> </w:t>
      </w:r>
      <w:r>
        <w:rPr>
          <w:sz w:val="21"/>
        </w:rPr>
        <w:t>advocate for policies which support MHP students in every stage of the school-to-workforce pipeline.</w:t>
      </w:r>
    </w:p>
    <w:p w:rsidR="00200FDA" w:rsidRDefault="00200FDA">
      <w:pPr>
        <w:pStyle w:val="BodyText"/>
        <w:spacing w:before="10"/>
        <w:rPr>
          <w:sz w:val="19"/>
        </w:rPr>
      </w:pPr>
    </w:p>
    <w:p w:rsidR="00200FDA" w:rsidRDefault="00F76C4C">
      <w:pPr>
        <w:spacing w:line="276" w:lineRule="auto"/>
        <w:ind w:left="140" w:right="253"/>
        <w:jc w:val="both"/>
        <w:rPr>
          <w:sz w:val="21"/>
        </w:rPr>
      </w:pPr>
      <w:r>
        <w:rPr>
          <w:sz w:val="21"/>
        </w:rPr>
        <w:t>Fina</w:t>
      </w:r>
      <w:r>
        <w:rPr>
          <w:sz w:val="21"/>
        </w:rPr>
        <w:t>lly,</w:t>
      </w:r>
      <w:r>
        <w:rPr>
          <w:spacing w:val="-1"/>
          <w:sz w:val="21"/>
        </w:rPr>
        <w:t xml:space="preserve"> </w:t>
      </w:r>
      <w:r>
        <w:rPr>
          <w:sz w:val="21"/>
        </w:rPr>
        <w:t>the</w:t>
      </w:r>
      <w:r>
        <w:rPr>
          <w:spacing w:val="-1"/>
          <w:sz w:val="21"/>
        </w:rPr>
        <w:t xml:space="preserve"> </w:t>
      </w:r>
      <w:r>
        <w:rPr>
          <w:sz w:val="21"/>
        </w:rPr>
        <w:t>health</w:t>
      </w:r>
      <w:r>
        <w:rPr>
          <w:spacing w:val="-2"/>
          <w:sz w:val="21"/>
        </w:rPr>
        <w:t xml:space="preserve"> </w:t>
      </w:r>
      <w:r>
        <w:rPr>
          <w:sz w:val="21"/>
        </w:rPr>
        <w:t>insurance</w:t>
      </w:r>
      <w:r>
        <w:rPr>
          <w:spacing w:val="-3"/>
          <w:sz w:val="21"/>
        </w:rPr>
        <w:t xml:space="preserve"> </w:t>
      </w:r>
      <w:r>
        <w:rPr>
          <w:sz w:val="21"/>
        </w:rPr>
        <w:t>system</w:t>
      </w:r>
      <w:r>
        <w:rPr>
          <w:spacing w:val="-2"/>
          <w:sz w:val="21"/>
        </w:rPr>
        <w:t xml:space="preserve"> </w:t>
      </w:r>
      <w:r>
        <w:rPr>
          <w:sz w:val="21"/>
        </w:rPr>
        <w:t>creates</w:t>
      </w:r>
      <w:r>
        <w:rPr>
          <w:spacing w:val="-2"/>
          <w:sz w:val="21"/>
        </w:rPr>
        <w:t xml:space="preserve"> </w:t>
      </w:r>
      <w:r>
        <w:rPr>
          <w:sz w:val="21"/>
        </w:rPr>
        <w:t>many</w:t>
      </w:r>
      <w:r>
        <w:rPr>
          <w:spacing w:val="-1"/>
          <w:sz w:val="21"/>
        </w:rPr>
        <w:t xml:space="preserve"> </w:t>
      </w:r>
      <w:r>
        <w:rPr>
          <w:sz w:val="21"/>
        </w:rPr>
        <w:t>barriers</w:t>
      </w:r>
      <w:r>
        <w:rPr>
          <w:spacing w:val="-2"/>
          <w:sz w:val="21"/>
        </w:rPr>
        <w:t xml:space="preserve"> </w:t>
      </w:r>
      <w:r>
        <w:rPr>
          <w:sz w:val="21"/>
        </w:rPr>
        <w:t>to</w:t>
      </w:r>
      <w:r>
        <w:rPr>
          <w:spacing w:val="-2"/>
          <w:sz w:val="21"/>
        </w:rPr>
        <w:t xml:space="preserve"> </w:t>
      </w:r>
      <w:r>
        <w:rPr>
          <w:sz w:val="21"/>
        </w:rPr>
        <w:t>care.</w:t>
      </w:r>
      <w:r>
        <w:rPr>
          <w:spacing w:val="-2"/>
          <w:sz w:val="21"/>
        </w:rPr>
        <w:t xml:space="preserve"> </w:t>
      </w:r>
      <w:r>
        <w:rPr>
          <w:sz w:val="21"/>
        </w:rPr>
        <w:t>The</w:t>
      </w:r>
      <w:r>
        <w:rPr>
          <w:spacing w:val="-1"/>
          <w:sz w:val="21"/>
        </w:rPr>
        <w:t xml:space="preserve"> </w:t>
      </w:r>
      <w:r>
        <w:rPr>
          <w:sz w:val="21"/>
        </w:rPr>
        <w:t>Mental</w:t>
      </w:r>
      <w:r>
        <w:rPr>
          <w:spacing w:val="-1"/>
          <w:sz w:val="21"/>
        </w:rPr>
        <w:t xml:space="preserve"> </w:t>
      </w:r>
      <w:r>
        <w:rPr>
          <w:sz w:val="21"/>
        </w:rPr>
        <w:t>Health</w:t>
      </w:r>
      <w:r>
        <w:rPr>
          <w:spacing w:val="-2"/>
          <w:sz w:val="21"/>
        </w:rPr>
        <w:t xml:space="preserve"> </w:t>
      </w:r>
      <w:r>
        <w:rPr>
          <w:sz w:val="21"/>
        </w:rPr>
        <w:t>ABC</w:t>
      </w:r>
      <w:r>
        <w:rPr>
          <w:spacing w:val="-3"/>
          <w:sz w:val="21"/>
        </w:rPr>
        <w:t xml:space="preserve"> </w:t>
      </w:r>
      <w:r>
        <w:rPr>
          <w:sz w:val="21"/>
        </w:rPr>
        <w:t>Act</w:t>
      </w:r>
      <w:r>
        <w:rPr>
          <w:spacing w:val="-2"/>
          <w:sz w:val="21"/>
        </w:rPr>
        <w:t xml:space="preserve"> </w:t>
      </w:r>
      <w:r>
        <w:rPr>
          <w:sz w:val="21"/>
        </w:rPr>
        <w:t>took</w:t>
      </w:r>
      <w:r>
        <w:rPr>
          <w:spacing w:val="-1"/>
          <w:sz w:val="21"/>
        </w:rPr>
        <w:t xml:space="preserve"> </w:t>
      </w:r>
      <w:r>
        <w:rPr>
          <w:sz w:val="21"/>
        </w:rPr>
        <w:t>vital</w:t>
      </w:r>
      <w:r>
        <w:rPr>
          <w:spacing w:val="-1"/>
          <w:sz w:val="21"/>
        </w:rPr>
        <w:t xml:space="preserve"> </w:t>
      </w:r>
      <w:r>
        <w:rPr>
          <w:sz w:val="21"/>
        </w:rPr>
        <w:t>steps toward reform, such as by guaranteeing coverage of annual mental health wellness exams, raising reimbursement minimums to mirror those of primary healthcare providers, and expanding access to mental health</w:t>
      </w:r>
      <w:r>
        <w:rPr>
          <w:spacing w:val="-4"/>
          <w:sz w:val="21"/>
        </w:rPr>
        <w:t xml:space="preserve"> </w:t>
      </w:r>
      <w:r>
        <w:rPr>
          <w:sz w:val="21"/>
        </w:rPr>
        <w:t>support</w:t>
      </w:r>
      <w:r>
        <w:rPr>
          <w:spacing w:val="-4"/>
          <w:sz w:val="21"/>
        </w:rPr>
        <w:t xml:space="preserve"> </w:t>
      </w:r>
      <w:r>
        <w:rPr>
          <w:sz w:val="21"/>
        </w:rPr>
        <w:t>in</w:t>
      </w:r>
      <w:r>
        <w:rPr>
          <w:spacing w:val="-4"/>
          <w:sz w:val="21"/>
        </w:rPr>
        <w:t xml:space="preserve"> </w:t>
      </w:r>
      <w:r>
        <w:rPr>
          <w:sz w:val="21"/>
        </w:rPr>
        <w:t>schools</w:t>
      </w:r>
      <w:r>
        <w:rPr>
          <w:spacing w:val="-4"/>
          <w:sz w:val="21"/>
        </w:rPr>
        <w:t xml:space="preserve"> </w:t>
      </w:r>
      <w:r>
        <w:rPr>
          <w:sz w:val="21"/>
        </w:rPr>
        <w:t>and</w:t>
      </w:r>
      <w:r>
        <w:rPr>
          <w:spacing w:val="-4"/>
          <w:sz w:val="21"/>
        </w:rPr>
        <w:t xml:space="preserve"> </w:t>
      </w:r>
      <w:r>
        <w:rPr>
          <w:sz w:val="21"/>
        </w:rPr>
        <w:t>the</w:t>
      </w:r>
      <w:r>
        <w:rPr>
          <w:spacing w:val="-3"/>
          <w:sz w:val="21"/>
        </w:rPr>
        <w:t xml:space="preserve"> </w:t>
      </w:r>
      <w:r>
        <w:rPr>
          <w:sz w:val="21"/>
        </w:rPr>
        <w:t>foster</w:t>
      </w:r>
      <w:r>
        <w:rPr>
          <w:spacing w:val="-3"/>
          <w:sz w:val="21"/>
        </w:rPr>
        <w:t xml:space="preserve"> </w:t>
      </w:r>
      <w:r>
        <w:rPr>
          <w:sz w:val="21"/>
        </w:rPr>
        <w:t>care</w:t>
      </w:r>
      <w:r>
        <w:rPr>
          <w:spacing w:val="-3"/>
          <w:sz w:val="21"/>
        </w:rPr>
        <w:t xml:space="preserve"> </w:t>
      </w:r>
      <w:r>
        <w:rPr>
          <w:sz w:val="21"/>
        </w:rPr>
        <w:t>syste</w:t>
      </w:r>
      <w:r>
        <w:rPr>
          <w:sz w:val="21"/>
        </w:rPr>
        <w:t>m.</w:t>
      </w:r>
      <w:hyperlink w:anchor="_bookmark333" w:history="1">
        <w:r>
          <w:rPr>
            <w:sz w:val="21"/>
            <w:vertAlign w:val="superscript"/>
          </w:rPr>
          <w:t>79</w:t>
        </w:r>
      </w:hyperlink>
      <w:r>
        <w:rPr>
          <w:spacing w:val="-2"/>
          <w:sz w:val="21"/>
        </w:rPr>
        <w:t xml:space="preserve"> </w:t>
      </w:r>
      <w:r>
        <w:rPr>
          <w:sz w:val="21"/>
        </w:rPr>
        <w:t>However,</w:t>
      </w:r>
      <w:r>
        <w:rPr>
          <w:spacing w:val="-3"/>
          <w:sz w:val="21"/>
        </w:rPr>
        <w:t xml:space="preserve"> </w:t>
      </w:r>
      <w:r>
        <w:rPr>
          <w:sz w:val="21"/>
        </w:rPr>
        <w:t>there</w:t>
      </w:r>
      <w:r>
        <w:rPr>
          <w:spacing w:val="-3"/>
          <w:sz w:val="21"/>
        </w:rPr>
        <w:t xml:space="preserve"> </w:t>
      </w:r>
      <w:r>
        <w:rPr>
          <w:sz w:val="21"/>
        </w:rPr>
        <w:t>is</w:t>
      </w:r>
      <w:r>
        <w:rPr>
          <w:spacing w:val="-4"/>
          <w:sz w:val="21"/>
        </w:rPr>
        <w:t xml:space="preserve"> </w:t>
      </w:r>
      <w:r>
        <w:rPr>
          <w:sz w:val="21"/>
        </w:rPr>
        <w:t>still</w:t>
      </w:r>
      <w:r>
        <w:rPr>
          <w:spacing w:val="-4"/>
          <w:sz w:val="21"/>
        </w:rPr>
        <w:t xml:space="preserve"> </w:t>
      </w:r>
      <w:r>
        <w:rPr>
          <w:sz w:val="21"/>
        </w:rPr>
        <w:t>a</w:t>
      </w:r>
      <w:r>
        <w:rPr>
          <w:spacing w:val="-4"/>
          <w:sz w:val="21"/>
        </w:rPr>
        <w:t xml:space="preserve"> </w:t>
      </w:r>
      <w:r>
        <w:rPr>
          <w:sz w:val="21"/>
        </w:rPr>
        <w:t>growing</w:t>
      </w:r>
      <w:r>
        <w:rPr>
          <w:spacing w:val="-4"/>
          <w:sz w:val="21"/>
        </w:rPr>
        <w:t xml:space="preserve"> </w:t>
      </w:r>
      <w:r>
        <w:rPr>
          <w:sz w:val="21"/>
        </w:rPr>
        <w:t>trend</w:t>
      </w:r>
      <w:r>
        <w:rPr>
          <w:spacing w:val="-4"/>
          <w:sz w:val="21"/>
        </w:rPr>
        <w:t xml:space="preserve"> </w:t>
      </w:r>
      <w:r>
        <w:rPr>
          <w:sz w:val="21"/>
        </w:rPr>
        <w:t>among</w:t>
      </w:r>
      <w:r>
        <w:rPr>
          <w:spacing w:val="-4"/>
          <w:sz w:val="21"/>
        </w:rPr>
        <w:t xml:space="preserve"> </w:t>
      </w:r>
      <w:r>
        <w:rPr>
          <w:sz w:val="21"/>
        </w:rPr>
        <w:t>MHPs</w:t>
      </w:r>
      <w:r>
        <w:rPr>
          <w:spacing w:val="-4"/>
          <w:sz w:val="21"/>
        </w:rPr>
        <w:t xml:space="preserve"> </w:t>
      </w:r>
      <w:r>
        <w:rPr>
          <w:sz w:val="21"/>
        </w:rPr>
        <w:t>to stop</w:t>
      </w:r>
      <w:r>
        <w:rPr>
          <w:spacing w:val="-8"/>
          <w:sz w:val="21"/>
        </w:rPr>
        <w:t xml:space="preserve"> </w:t>
      </w:r>
      <w:r>
        <w:rPr>
          <w:sz w:val="21"/>
        </w:rPr>
        <w:t>accepting</w:t>
      </w:r>
      <w:r>
        <w:rPr>
          <w:spacing w:val="-8"/>
          <w:sz w:val="21"/>
        </w:rPr>
        <w:t xml:space="preserve"> </w:t>
      </w:r>
      <w:r>
        <w:rPr>
          <w:sz w:val="21"/>
        </w:rPr>
        <w:t>insurance</w:t>
      </w:r>
      <w:r>
        <w:rPr>
          <w:spacing w:val="-7"/>
          <w:sz w:val="21"/>
        </w:rPr>
        <w:t xml:space="preserve"> </w:t>
      </w:r>
      <w:r>
        <w:rPr>
          <w:sz w:val="21"/>
        </w:rPr>
        <w:t>due</w:t>
      </w:r>
      <w:r>
        <w:rPr>
          <w:spacing w:val="-7"/>
          <w:sz w:val="21"/>
        </w:rPr>
        <w:t xml:space="preserve"> </w:t>
      </w:r>
      <w:r>
        <w:rPr>
          <w:sz w:val="21"/>
        </w:rPr>
        <w:t>to</w:t>
      </w:r>
      <w:r>
        <w:rPr>
          <w:spacing w:val="-8"/>
          <w:sz w:val="21"/>
        </w:rPr>
        <w:t xml:space="preserve"> </w:t>
      </w:r>
      <w:r>
        <w:rPr>
          <w:sz w:val="21"/>
        </w:rPr>
        <w:t>clawbacks,</w:t>
      </w:r>
      <w:r>
        <w:rPr>
          <w:spacing w:val="-8"/>
          <w:sz w:val="21"/>
        </w:rPr>
        <w:t xml:space="preserve"> </w:t>
      </w:r>
      <w:r>
        <w:rPr>
          <w:sz w:val="21"/>
        </w:rPr>
        <w:t>audits,</w:t>
      </w:r>
      <w:r>
        <w:rPr>
          <w:spacing w:val="-8"/>
          <w:sz w:val="21"/>
        </w:rPr>
        <w:t xml:space="preserve"> </w:t>
      </w:r>
      <w:r>
        <w:rPr>
          <w:sz w:val="21"/>
        </w:rPr>
        <w:t>lack</w:t>
      </w:r>
      <w:r>
        <w:rPr>
          <w:spacing w:val="-9"/>
          <w:sz w:val="21"/>
        </w:rPr>
        <w:t xml:space="preserve"> </w:t>
      </w:r>
      <w:r>
        <w:rPr>
          <w:sz w:val="21"/>
        </w:rPr>
        <w:t>of</w:t>
      </w:r>
      <w:r>
        <w:rPr>
          <w:spacing w:val="-7"/>
          <w:sz w:val="21"/>
        </w:rPr>
        <w:t xml:space="preserve"> </w:t>
      </w:r>
      <w:r>
        <w:rPr>
          <w:sz w:val="21"/>
        </w:rPr>
        <w:t>control</w:t>
      </w:r>
      <w:r>
        <w:rPr>
          <w:spacing w:val="-8"/>
          <w:sz w:val="21"/>
        </w:rPr>
        <w:t xml:space="preserve"> </w:t>
      </w:r>
      <w:r>
        <w:rPr>
          <w:sz w:val="21"/>
        </w:rPr>
        <w:t>over</w:t>
      </w:r>
      <w:r>
        <w:rPr>
          <w:spacing w:val="-8"/>
          <w:sz w:val="21"/>
        </w:rPr>
        <w:t xml:space="preserve"> </w:t>
      </w:r>
      <w:r>
        <w:rPr>
          <w:sz w:val="21"/>
        </w:rPr>
        <w:t>session</w:t>
      </w:r>
      <w:r>
        <w:rPr>
          <w:spacing w:val="-8"/>
          <w:sz w:val="21"/>
        </w:rPr>
        <w:t xml:space="preserve"> </w:t>
      </w:r>
      <w:r>
        <w:rPr>
          <w:sz w:val="21"/>
        </w:rPr>
        <w:t>length</w:t>
      </w:r>
      <w:r>
        <w:rPr>
          <w:spacing w:val="-10"/>
          <w:sz w:val="21"/>
        </w:rPr>
        <w:t xml:space="preserve"> </w:t>
      </w:r>
      <w:r>
        <w:rPr>
          <w:sz w:val="21"/>
        </w:rPr>
        <w:t>and</w:t>
      </w:r>
      <w:r>
        <w:rPr>
          <w:spacing w:val="-8"/>
          <w:sz w:val="21"/>
        </w:rPr>
        <w:t xml:space="preserve"> </w:t>
      </w:r>
      <w:r>
        <w:rPr>
          <w:sz w:val="21"/>
        </w:rPr>
        <w:t>content,</w:t>
      </w:r>
      <w:r>
        <w:rPr>
          <w:spacing w:val="-8"/>
          <w:sz w:val="21"/>
        </w:rPr>
        <w:t xml:space="preserve"> </w:t>
      </w:r>
      <w:r>
        <w:rPr>
          <w:sz w:val="21"/>
        </w:rPr>
        <w:t>and</w:t>
      </w:r>
      <w:r>
        <w:rPr>
          <w:spacing w:val="-8"/>
          <w:sz w:val="21"/>
        </w:rPr>
        <w:t xml:space="preserve"> </w:t>
      </w:r>
      <w:r>
        <w:rPr>
          <w:sz w:val="21"/>
        </w:rPr>
        <w:t>lengthy wait</w:t>
      </w:r>
      <w:r>
        <w:rPr>
          <w:spacing w:val="-12"/>
          <w:sz w:val="21"/>
        </w:rPr>
        <w:t xml:space="preserve"> </w:t>
      </w:r>
      <w:r>
        <w:rPr>
          <w:sz w:val="21"/>
        </w:rPr>
        <w:t>times</w:t>
      </w:r>
      <w:r>
        <w:rPr>
          <w:spacing w:val="-12"/>
          <w:sz w:val="21"/>
        </w:rPr>
        <w:t xml:space="preserve"> </w:t>
      </w:r>
      <w:r>
        <w:rPr>
          <w:sz w:val="21"/>
        </w:rPr>
        <w:t>for</w:t>
      </w:r>
      <w:r>
        <w:rPr>
          <w:spacing w:val="-12"/>
          <w:sz w:val="21"/>
        </w:rPr>
        <w:t xml:space="preserve"> </w:t>
      </w:r>
      <w:r>
        <w:rPr>
          <w:sz w:val="21"/>
        </w:rPr>
        <w:t>low</w:t>
      </w:r>
      <w:r>
        <w:rPr>
          <w:spacing w:val="-12"/>
          <w:sz w:val="21"/>
        </w:rPr>
        <w:t xml:space="preserve"> </w:t>
      </w:r>
      <w:r>
        <w:rPr>
          <w:sz w:val="21"/>
        </w:rPr>
        <w:t>reimbursement.</w:t>
      </w:r>
      <w:hyperlink w:anchor="_bookmark334" w:history="1">
        <w:r>
          <w:rPr>
            <w:sz w:val="21"/>
            <w:vertAlign w:val="superscript"/>
          </w:rPr>
          <w:t>80</w:t>
        </w:r>
      </w:hyperlink>
      <w:r>
        <w:rPr>
          <w:spacing w:val="-12"/>
          <w:sz w:val="21"/>
        </w:rPr>
        <w:t xml:space="preserve"> </w:t>
      </w:r>
      <w:r>
        <w:rPr>
          <w:sz w:val="21"/>
        </w:rPr>
        <w:t>As</w:t>
      </w:r>
      <w:r>
        <w:rPr>
          <w:spacing w:val="-12"/>
          <w:sz w:val="21"/>
        </w:rPr>
        <w:t xml:space="preserve"> </w:t>
      </w:r>
      <w:r>
        <w:rPr>
          <w:sz w:val="21"/>
        </w:rPr>
        <w:t>a</w:t>
      </w:r>
      <w:r>
        <w:rPr>
          <w:spacing w:val="-12"/>
          <w:sz w:val="21"/>
        </w:rPr>
        <w:t xml:space="preserve"> </w:t>
      </w:r>
      <w:r>
        <w:rPr>
          <w:sz w:val="21"/>
        </w:rPr>
        <w:t>result,</w:t>
      </w:r>
      <w:r>
        <w:rPr>
          <w:spacing w:val="-11"/>
          <w:sz w:val="21"/>
        </w:rPr>
        <w:t xml:space="preserve"> </w:t>
      </w:r>
      <w:r>
        <w:rPr>
          <w:sz w:val="21"/>
        </w:rPr>
        <w:t>community</w:t>
      </w:r>
      <w:r>
        <w:rPr>
          <w:spacing w:val="-12"/>
          <w:sz w:val="21"/>
        </w:rPr>
        <w:t xml:space="preserve"> </w:t>
      </w:r>
      <w:r>
        <w:rPr>
          <w:sz w:val="21"/>
        </w:rPr>
        <w:t>mental</w:t>
      </w:r>
      <w:r>
        <w:rPr>
          <w:spacing w:val="-12"/>
          <w:sz w:val="21"/>
        </w:rPr>
        <w:t xml:space="preserve"> </w:t>
      </w:r>
      <w:r>
        <w:rPr>
          <w:sz w:val="21"/>
        </w:rPr>
        <w:t>health</w:t>
      </w:r>
      <w:r>
        <w:rPr>
          <w:spacing w:val="-12"/>
          <w:sz w:val="21"/>
        </w:rPr>
        <w:t xml:space="preserve"> </w:t>
      </w:r>
      <w:r>
        <w:rPr>
          <w:sz w:val="21"/>
        </w:rPr>
        <w:t>centers</w:t>
      </w:r>
      <w:r>
        <w:rPr>
          <w:spacing w:val="-12"/>
          <w:sz w:val="21"/>
        </w:rPr>
        <w:t xml:space="preserve"> </w:t>
      </w:r>
      <w:r>
        <w:rPr>
          <w:sz w:val="21"/>
        </w:rPr>
        <w:t>and</w:t>
      </w:r>
      <w:r>
        <w:rPr>
          <w:spacing w:val="-12"/>
          <w:sz w:val="21"/>
        </w:rPr>
        <w:t xml:space="preserve"> </w:t>
      </w:r>
      <w:r>
        <w:rPr>
          <w:sz w:val="21"/>
        </w:rPr>
        <w:t>clinicians</w:t>
      </w:r>
      <w:r>
        <w:rPr>
          <w:spacing w:val="-12"/>
          <w:sz w:val="21"/>
        </w:rPr>
        <w:t xml:space="preserve"> </w:t>
      </w:r>
      <w:r>
        <w:rPr>
          <w:sz w:val="21"/>
        </w:rPr>
        <w:t>who</w:t>
      </w:r>
      <w:r>
        <w:rPr>
          <w:spacing w:val="-12"/>
          <w:sz w:val="21"/>
        </w:rPr>
        <w:t xml:space="preserve"> </w:t>
      </w:r>
      <w:r>
        <w:rPr>
          <w:sz w:val="21"/>
        </w:rPr>
        <w:t>do</w:t>
      </w:r>
      <w:r>
        <w:rPr>
          <w:spacing w:val="-11"/>
          <w:sz w:val="21"/>
        </w:rPr>
        <w:t xml:space="preserve"> </w:t>
      </w:r>
      <w:r>
        <w:rPr>
          <w:sz w:val="21"/>
        </w:rPr>
        <w:t>accept insurance have increasingly long waitlists. Additionally, the traditional model of mental healthcare requires youth</w:t>
      </w:r>
      <w:r>
        <w:rPr>
          <w:spacing w:val="-8"/>
          <w:sz w:val="21"/>
        </w:rPr>
        <w:t xml:space="preserve"> </w:t>
      </w:r>
      <w:r>
        <w:rPr>
          <w:sz w:val="21"/>
        </w:rPr>
        <w:t>to</w:t>
      </w:r>
      <w:r>
        <w:rPr>
          <w:spacing w:val="-8"/>
          <w:sz w:val="21"/>
        </w:rPr>
        <w:t xml:space="preserve"> </w:t>
      </w:r>
      <w:r>
        <w:rPr>
          <w:sz w:val="21"/>
        </w:rPr>
        <w:t>commute</w:t>
      </w:r>
      <w:r>
        <w:rPr>
          <w:spacing w:val="-9"/>
          <w:sz w:val="21"/>
        </w:rPr>
        <w:t xml:space="preserve"> </w:t>
      </w:r>
      <w:r>
        <w:rPr>
          <w:sz w:val="21"/>
        </w:rPr>
        <w:t>to</w:t>
      </w:r>
      <w:r>
        <w:rPr>
          <w:spacing w:val="-8"/>
          <w:sz w:val="21"/>
        </w:rPr>
        <w:t xml:space="preserve"> </w:t>
      </w:r>
      <w:r>
        <w:rPr>
          <w:sz w:val="21"/>
        </w:rPr>
        <w:t>receive</w:t>
      </w:r>
      <w:r>
        <w:rPr>
          <w:spacing w:val="-7"/>
          <w:sz w:val="21"/>
        </w:rPr>
        <w:t xml:space="preserve"> </w:t>
      </w:r>
      <w:r>
        <w:rPr>
          <w:sz w:val="21"/>
        </w:rPr>
        <w:t>in-person,</w:t>
      </w:r>
      <w:r>
        <w:rPr>
          <w:spacing w:val="-9"/>
          <w:sz w:val="21"/>
        </w:rPr>
        <w:t xml:space="preserve"> </w:t>
      </w:r>
      <w:r>
        <w:rPr>
          <w:sz w:val="21"/>
        </w:rPr>
        <w:t>individual</w:t>
      </w:r>
      <w:r>
        <w:rPr>
          <w:spacing w:val="-10"/>
          <w:sz w:val="21"/>
        </w:rPr>
        <w:t xml:space="preserve"> </w:t>
      </w:r>
      <w:r>
        <w:rPr>
          <w:sz w:val="21"/>
        </w:rPr>
        <w:t>support</w:t>
      </w:r>
      <w:r>
        <w:rPr>
          <w:spacing w:val="-8"/>
          <w:sz w:val="21"/>
        </w:rPr>
        <w:t xml:space="preserve"> </w:t>
      </w:r>
      <w:r>
        <w:rPr>
          <w:sz w:val="21"/>
        </w:rPr>
        <w:t>from</w:t>
      </w:r>
      <w:r>
        <w:rPr>
          <w:spacing w:val="-8"/>
          <w:sz w:val="21"/>
        </w:rPr>
        <w:t xml:space="preserve"> </w:t>
      </w:r>
      <w:r>
        <w:rPr>
          <w:sz w:val="21"/>
        </w:rPr>
        <w:t>professionals</w:t>
      </w:r>
      <w:r>
        <w:rPr>
          <w:spacing w:val="-10"/>
          <w:sz w:val="21"/>
        </w:rPr>
        <w:t xml:space="preserve"> </w:t>
      </w:r>
      <w:r>
        <w:rPr>
          <w:sz w:val="21"/>
        </w:rPr>
        <w:t>with</w:t>
      </w:r>
      <w:r>
        <w:rPr>
          <w:spacing w:val="-8"/>
          <w:sz w:val="21"/>
        </w:rPr>
        <w:t xml:space="preserve"> </w:t>
      </w:r>
      <w:r>
        <w:rPr>
          <w:sz w:val="21"/>
        </w:rPr>
        <w:t>years</w:t>
      </w:r>
      <w:r>
        <w:rPr>
          <w:spacing w:val="-8"/>
          <w:sz w:val="21"/>
        </w:rPr>
        <w:t xml:space="preserve"> </w:t>
      </w:r>
      <w:r>
        <w:rPr>
          <w:sz w:val="21"/>
        </w:rPr>
        <w:t>of</w:t>
      </w:r>
      <w:r>
        <w:rPr>
          <w:spacing w:val="-9"/>
          <w:sz w:val="21"/>
        </w:rPr>
        <w:t xml:space="preserve"> </w:t>
      </w:r>
      <w:r>
        <w:rPr>
          <w:sz w:val="21"/>
        </w:rPr>
        <w:t>expensive</w:t>
      </w:r>
      <w:r>
        <w:rPr>
          <w:spacing w:val="-9"/>
          <w:sz w:val="21"/>
        </w:rPr>
        <w:t xml:space="preserve"> </w:t>
      </w:r>
      <w:r>
        <w:rPr>
          <w:sz w:val="21"/>
        </w:rPr>
        <w:t>training. This</w:t>
      </w:r>
      <w:r>
        <w:rPr>
          <w:spacing w:val="-10"/>
          <w:sz w:val="21"/>
        </w:rPr>
        <w:t xml:space="preserve"> </w:t>
      </w:r>
      <w:r>
        <w:rPr>
          <w:sz w:val="21"/>
        </w:rPr>
        <w:t>makes</w:t>
      </w:r>
      <w:r>
        <w:rPr>
          <w:spacing w:val="-10"/>
          <w:sz w:val="21"/>
        </w:rPr>
        <w:t xml:space="preserve"> </w:t>
      </w:r>
      <w:r>
        <w:rPr>
          <w:sz w:val="21"/>
        </w:rPr>
        <w:t>care</w:t>
      </w:r>
      <w:r>
        <w:rPr>
          <w:spacing w:val="-11"/>
          <w:sz w:val="21"/>
        </w:rPr>
        <w:t xml:space="preserve"> </w:t>
      </w:r>
      <w:r>
        <w:rPr>
          <w:sz w:val="21"/>
        </w:rPr>
        <w:t>inconvenient,</w:t>
      </w:r>
      <w:r>
        <w:rPr>
          <w:spacing w:val="-9"/>
          <w:sz w:val="21"/>
        </w:rPr>
        <w:t xml:space="preserve"> </w:t>
      </w:r>
      <w:r>
        <w:rPr>
          <w:sz w:val="21"/>
        </w:rPr>
        <w:t>slow,</w:t>
      </w:r>
      <w:r>
        <w:rPr>
          <w:spacing w:val="-9"/>
          <w:sz w:val="21"/>
        </w:rPr>
        <w:t xml:space="preserve"> </w:t>
      </w:r>
      <w:r>
        <w:rPr>
          <w:sz w:val="21"/>
        </w:rPr>
        <w:t>and</w:t>
      </w:r>
      <w:r>
        <w:rPr>
          <w:spacing w:val="-10"/>
          <w:sz w:val="21"/>
        </w:rPr>
        <w:t xml:space="preserve"> </w:t>
      </w:r>
      <w:r>
        <w:rPr>
          <w:sz w:val="21"/>
        </w:rPr>
        <w:t>harder</w:t>
      </w:r>
      <w:r>
        <w:rPr>
          <w:spacing w:val="-8"/>
          <w:sz w:val="21"/>
        </w:rPr>
        <w:t xml:space="preserve"> </w:t>
      </w:r>
      <w:r>
        <w:rPr>
          <w:sz w:val="21"/>
        </w:rPr>
        <w:t>to</w:t>
      </w:r>
      <w:r>
        <w:rPr>
          <w:spacing w:val="-10"/>
          <w:sz w:val="21"/>
        </w:rPr>
        <w:t xml:space="preserve"> </w:t>
      </w:r>
      <w:r>
        <w:rPr>
          <w:sz w:val="21"/>
        </w:rPr>
        <w:t>find</w:t>
      </w:r>
      <w:r>
        <w:rPr>
          <w:spacing w:val="-12"/>
          <w:sz w:val="21"/>
        </w:rPr>
        <w:t xml:space="preserve"> </w:t>
      </w:r>
      <w:r>
        <w:rPr>
          <w:sz w:val="21"/>
        </w:rPr>
        <w:t>–</w:t>
      </w:r>
      <w:r>
        <w:rPr>
          <w:spacing w:val="-10"/>
          <w:sz w:val="21"/>
        </w:rPr>
        <w:t xml:space="preserve"> </w:t>
      </w:r>
      <w:r>
        <w:rPr>
          <w:sz w:val="21"/>
        </w:rPr>
        <w:t>especially</w:t>
      </w:r>
      <w:r>
        <w:rPr>
          <w:spacing w:val="-11"/>
          <w:sz w:val="21"/>
        </w:rPr>
        <w:t xml:space="preserve"> </w:t>
      </w:r>
      <w:r>
        <w:rPr>
          <w:sz w:val="21"/>
        </w:rPr>
        <w:t>for</w:t>
      </w:r>
      <w:r>
        <w:rPr>
          <w:spacing w:val="-11"/>
          <w:sz w:val="21"/>
        </w:rPr>
        <w:t xml:space="preserve"> </w:t>
      </w:r>
      <w:r>
        <w:rPr>
          <w:sz w:val="21"/>
        </w:rPr>
        <w:t>youth</w:t>
      </w:r>
      <w:r>
        <w:rPr>
          <w:spacing w:val="-10"/>
          <w:sz w:val="21"/>
        </w:rPr>
        <w:t xml:space="preserve"> </w:t>
      </w:r>
      <w:r>
        <w:rPr>
          <w:sz w:val="21"/>
        </w:rPr>
        <w:t>with</w:t>
      </w:r>
      <w:r>
        <w:rPr>
          <w:spacing w:val="-10"/>
          <w:sz w:val="21"/>
        </w:rPr>
        <w:t xml:space="preserve"> </w:t>
      </w:r>
      <w:r>
        <w:rPr>
          <w:sz w:val="21"/>
        </w:rPr>
        <w:t>rural</w:t>
      </w:r>
      <w:r>
        <w:rPr>
          <w:spacing w:val="-10"/>
          <w:sz w:val="21"/>
        </w:rPr>
        <w:t xml:space="preserve"> </w:t>
      </w:r>
      <w:r>
        <w:rPr>
          <w:sz w:val="21"/>
        </w:rPr>
        <w:t>areas,</w:t>
      </w:r>
      <w:r>
        <w:rPr>
          <w:spacing w:val="-12"/>
          <w:sz w:val="21"/>
        </w:rPr>
        <w:t xml:space="preserve"> </w:t>
      </w:r>
      <w:r>
        <w:rPr>
          <w:sz w:val="21"/>
        </w:rPr>
        <w:t>childcare</w:t>
      </w:r>
      <w:r>
        <w:rPr>
          <w:spacing w:val="-8"/>
          <w:sz w:val="21"/>
        </w:rPr>
        <w:t xml:space="preserve"> </w:t>
      </w:r>
      <w:r>
        <w:rPr>
          <w:sz w:val="21"/>
        </w:rPr>
        <w:t>or</w:t>
      </w:r>
      <w:r>
        <w:rPr>
          <w:spacing w:val="-11"/>
          <w:sz w:val="21"/>
        </w:rPr>
        <w:t xml:space="preserve"> </w:t>
      </w:r>
      <w:r>
        <w:rPr>
          <w:sz w:val="21"/>
        </w:rPr>
        <w:t>work responsibilities, or non-affirming guardians. Supporters of LGBTQ youth should advocate for policies that support simplicity, patients’ rights, fair compensation of MHPs, and greater access to insurance.</w:t>
      </w:r>
    </w:p>
    <w:p w:rsidR="00200FDA" w:rsidRDefault="00200FDA">
      <w:pPr>
        <w:spacing w:line="276" w:lineRule="auto"/>
        <w:jc w:val="both"/>
        <w:rPr>
          <w:sz w:val="21"/>
        </w:rPr>
        <w:sectPr w:rsidR="00200FDA">
          <w:pgSz w:w="12240" w:h="15840"/>
          <w:pgMar w:top="1360" w:right="1180" w:bottom="1480" w:left="1300" w:header="761" w:footer="1208" w:gutter="0"/>
          <w:cols w:space="720"/>
        </w:sectPr>
      </w:pPr>
    </w:p>
    <w:p w:rsidR="00200FDA" w:rsidRDefault="00200FDA">
      <w:pPr>
        <w:pStyle w:val="BodyText"/>
        <w:spacing w:before="2"/>
        <w:rPr>
          <w:sz w:val="25"/>
        </w:rPr>
      </w:pPr>
    </w:p>
    <w:p w:rsidR="00200FDA" w:rsidRDefault="00F76C4C">
      <w:pPr>
        <w:pStyle w:val="Heading8"/>
        <w:spacing w:before="52" w:line="276" w:lineRule="auto"/>
        <w:ind w:right="4169"/>
        <w:jc w:val="left"/>
      </w:pPr>
      <w:r>
        <w:rPr>
          <w:noProof/>
        </w:rPr>
        <w:drawing>
          <wp:anchor distT="0" distB="0" distL="0" distR="0" simplePos="0" relativeHeight="15763968" behindDoc="0" locked="0" layoutInCell="1" allowOverlap="1">
            <wp:simplePos x="0" y="0"/>
            <wp:positionH relativeFrom="page">
              <wp:posOffset>4708104</wp:posOffset>
            </wp:positionH>
            <wp:positionV relativeFrom="paragraph">
              <wp:posOffset>414876</wp:posOffset>
            </wp:positionV>
            <wp:extent cx="2029316" cy="1359808"/>
            <wp:effectExtent l="0" t="0" r="0" b="0"/>
            <wp:wrapNone/>
            <wp:docPr id="51"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70.png"/>
                    <pic:cNvPicPr/>
                  </pic:nvPicPr>
                  <pic:blipFill>
                    <a:blip r:embed="rId241" cstate="print"/>
                    <a:stretch>
                      <a:fillRect/>
                    </a:stretch>
                  </pic:blipFill>
                  <pic:spPr>
                    <a:xfrm>
                      <a:off x="0" y="0"/>
                      <a:ext cx="2029316" cy="1359808"/>
                    </a:xfrm>
                    <a:prstGeom prst="rect">
                      <a:avLst/>
                    </a:prstGeom>
                  </pic:spPr>
                </pic:pic>
              </a:graphicData>
            </a:graphic>
          </wp:anchor>
        </w:drawing>
      </w:r>
      <w:bookmarkStart w:id="369" w:name="Fund_Direct_Mental_Healthcare_in_K-12/Hi"/>
      <w:bookmarkEnd w:id="369"/>
      <w:r>
        <w:rPr>
          <w:color w:val="0A5293"/>
        </w:rPr>
        <w:t>Fund</w:t>
      </w:r>
      <w:r>
        <w:rPr>
          <w:color w:val="0A5293"/>
          <w:spacing w:val="-8"/>
        </w:rPr>
        <w:t xml:space="preserve"> </w:t>
      </w:r>
      <w:r>
        <w:rPr>
          <w:color w:val="0A5293"/>
        </w:rPr>
        <w:t>Direct</w:t>
      </w:r>
      <w:r>
        <w:rPr>
          <w:color w:val="0A5293"/>
          <w:spacing w:val="-8"/>
        </w:rPr>
        <w:t xml:space="preserve"> </w:t>
      </w:r>
      <w:r>
        <w:rPr>
          <w:color w:val="0A5293"/>
        </w:rPr>
        <w:t>Mental</w:t>
      </w:r>
      <w:r>
        <w:rPr>
          <w:color w:val="0A5293"/>
          <w:spacing w:val="-9"/>
        </w:rPr>
        <w:t xml:space="preserve"> </w:t>
      </w:r>
      <w:r>
        <w:rPr>
          <w:color w:val="0A5293"/>
        </w:rPr>
        <w:t>Healthcare</w:t>
      </w:r>
      <w:r>
        <w:rPr>
          <w:color w:val="0A5293"/>
          <w:spacing w:val="-8"/>
        </w:rPr>
        <w:t xml:space="preserve"> </w:t>
      </w:r>
      <w:r>
        <w:rPr>
          <w:color w:val="0A5293"/>
        </w:rPr>
        <w:t>i</w:t>
      </w:r>
      <w:r>
        <w:rPr>
          <w:color w:val="0A5293"/>
        </w:rPr>
        <w:t>n</w:t>
      </w:r>
      <w:r>
        <w:rPr>
          <w:color w:val="0A5293"/>
          <w:spacing w:val="-6"/>
        </w:rPr>
        <w:t xml:space="preserve"> </w:t>
      </w:r>
      <w:r>
        <w:rPr>
          <w:color w:val="0A5293"/>
        </w:rPr>
        <w:t>K-12/Higher Education,</w:t>
      </w:r>
      <w:r>
        <w:rPr>
          <w:color w:val="0A5293"/>
          <w:spacing w:val="-3"/>
        </w:rPr>
        <w:t xml:space="preserve"> </w:t>
      </w:r>
      <w:r>
        <w:rPr>
          <w:color w:val="0A5293"/>
        </w:rPr>
        <w:t>Juvenile</w:t>
      </w:r>
      <w:r>
        <w:rPr>
          <w:color w:val="0A5293"/>
          <w:spacing w:val="-3"/>
        </w:rPr>
        <w:t xml:space="preserve"> </w:t>
      </w:r>
      <w:r>
        <w:rPr>
          <w:color w:val="0A5293"/>
        </w:rPr>
        <w:t>Justice,</w:t>
      </w:r>
      <w:r>
        <w:rPr>
          <w:color w:val="0A5293"/>
          <w:spacing w:val="1"/>
        </w:rPr>
        <w:t xml:space="preserve"> </w:t>
      </w:r>
      <w:r>
        <w:rPr>
          <w:color w:val="0A5293"/>
        </w:rPr>
        <w:t>and</w:t>
      </w:r>
      <w:r>
        <w:rPr>
          <w:color w:val="0A5293"/>
          <w:spacing w:val="-2"/>
        </w:rPr>
        <w:t xml:space="preserve"> </w:t>
      </w:r>
      <w:r>
        <w:rPr>
          <w:color w:val="0A5293"/>
        </w:rPr>
        <w:t>Child</w:t>
      </w:r>
      <w:r>
        <w:rPr>
          <w:color w:val="0A5293"/>
          <w:spacing w:val="-1"/>
        </w:rPr>
        <w:t xml:space="preserve"> </w:t>
      </w:r>
      <w:r>
        <w:rPr>
          <w:color w:val="0A5293"/>
          <w:spacing w:val="-2"/>
        </w:rPr>
        <w:t>Welfare</w:t>
      </w:r>
    </w:p>
    <w:p w:rsidR="00200FDA" w:rsidRDefault="00200FDA">
      <w:pPr>
        <w:pStyle w:val="BodyText"/>
        <w:spacing w:before="8"/>
        <w:rPr>
          <w:sz w:val="19"/>
        </w:rPr>
      </w:pPr>
    </w:p>
    <w:p w:rsidR="00200FDA" w:rsidRDefault="00F76C4C">
      <w:pPr>
        <w:pStyle w:val="BodyText"/>
        <w:spacing w:line="276" w:lineRule="auto"/>
        <w:ind w:left="140" w:right="4135"/>
        <w:jc w:val="both"/>
      </w:pPr>
      <w:r>
        <w:t>Although it is vital for all LGBTQ youth to have access to mental health support in schools, not all youth attend school or</w:t>
      </w:r>
      <w:r>
        <w:rPr>
          <w:spacing w:val="-1"/>
        </w:rPr>
        <w:t xml:space="preserve"> </w:t>
      </w:r>
      <w:r>
        <w:t>feel</w:t>
      </w:r>
      <w:r>
        <w:rPr>
          <w:spacing w:val="-1"/>
        </w:rPr>
        <w:t xml:space="preserve"> </w:t>
      </w:r>
      <w:r>
        <w:t>supported</w:t>
      </w:r>
      <w:r>
        <w:rPr>
          <w:spacing w:val="-1"/>
        </w:rPr>
        <w:t xml:space="preserve"> </w:t>
      </w:r>
      <w:r>
        <w:t>by</w:t>
      </w:r>
      <w:r>
        <w:rPr>
          <w:spacing w:val="-2"/>
        </w:rPr>
        <w:t xml:space="preserve"> </w:t>
      </w:r>
      <w:r>
        <w:t>MHPs</w:t>
      </w:r>
      <w:r>
        <w:rPr>
          <w:spacing w:val="-3"/>
        </w:rPr>
        <w:t xml:space="preserve"> </w:t>
      </w:r>
      <w:r>
        <w:t>in</w:t>
      </w:r>
      <w:r>
        <w:rPr>
          <w:spacing w:val="-1"/>
        </w:rPr>
        <w:t xml:space="preserve"> </w:t>
      </w:r>
      <w:r>
        <w:t>school.</w:t>
      </w:r>
      <w:r>
        <w:rPr>
          <w:spacing w:val="-1"/>
        </w:rPr>
        <w:t xml:space="preserve"> </w:t>
      </w:r>
      <w:r>
        <w:t>Youth</w:t>
      </w:r>
      <w:r>
        <w:rPr>
          <w:spacing w:val="-1"/>
        </w:rPr>
        <w:t xml:space="preserve"> </w:t>
      </w:r>
      <w:r>
        <w:t>who are</w:t>
      </w:r>
      <w:r>
        <w:rPr>
          <w:spacing w:val="-2"/>
        </w:rPr>
        <w:t xml:space="preserve"> </w:t>
      </w:r>
      <w:r>
        <w:t>involved in the juvenile justice and child welfare systems deserve specialized support.</w:t>
      </w:r>
    </w:p>
    <w:p w:rsidR="00200FDA" w:rsidRDefault="00200FDA">
      <w:pPr>
        <w:pStyle w:val="BodyText"/>
        <w:rPr>
          <w:sz w:val="20"/>
        </w:rPr>
      </w:pPr>
    </w:p>
    <w:p w:rsidR="00200FDA" w:rsidRDefault="00200FDA">
      <w:pPr>
        <w:pStyle w:val="BodyText"/>
        <w:rPr>
          <w:sz w:val="20"/>
        </w:rPr>
      </w:pPr>
    </w:p>
    <w:p w:rsidR="00200FDA" w:rsidRDefault="00200FDA">
      <w:pPr>
        <w:pStyle w:val="BodyText"/>
        <w:spacing w:before="8"/>
        <w:rPr>
          <w:sz w:val="20"/>
        </w:rPr>
      </w:pPr>
    </w:p>
    <w:p w:rsidR="00200FDA" w:rsidRDefault="00F76C4C">
      <w:pPr>
        <w:pStyle w:val="BodyText"/>
        <w:spacing w:before="56" w:line="276" w:lineRule="auto"/>
        <w:ind w:left="140" w:right="4133"/>
        <w:jc w:val="both"/>
      </w:pPr>
      <w:r>
        <w:t>Starting with foster care, current and former foster youth have</w:t>
      </w:r>
      <w:r>
        <w:rPr>
          <w:spacing w:val="-6"/>
        </w:rPr>
        <w:t xml:space="preserve"> </w:t>
      </w:r>
      <w:r>
        <w:t>been</w:t>
      </w:r>
      <w:r>
        <w:rPr>
          <w:spacing w:val="-7"/>
        </w:rPr>
        <w:t xml:space="preserve"> </w:t>
      </w:r>
      <w:r>
        <w:t>vocal</w:t>
      </w:r>
      <w:r>
        <w:rPr>
          <w:spacing w:val="-6"/>
        </w:rPr>
        <w:t xml:space="preserve"> </w:t>
      </w:r>
      <w:r>
        <w:t>for</w:t>
      </w:r>
      <w:r>
        <w:rPr>
          <w:spacing w:val="-5"/>
        </w:rPr>
        <w:t xml:space="preserve"> </w:t>
      </w:r>
      <w:r>
        <w:t>decades</w:t>
      </w:r>
      <w:r>
        <w:rPr>
          <w:spacing w:val="-6"/>
        </w:rPr>
        <w:t xml:space="preserve"> </w:t>
      </w:r>
      <w:r>
        <w:t>about</w:t>
      </w:r>
      <w:r>
        <w:rPr>
          <w:spacing w:val="-6"/>
        </w:rPr>
        <w:t xml:space="preserve"> </w:t>
      </w:r>
      <w:r>
        <w:t>what</w:t>
      </w:r>
      <w:r>
        <w:rPr>
          <w:spacing w:val="-7"/>
        </w:rPr>
        <w:t xml:space="preserve"> </w:t>
      </w:r>
      <w:r>
        <w:t>they</w:t>
      </w:r>
      <w:r>
        <w:rPr>
          <w:spacing w:val="-6"/>
        </w:rPr>
        <w:t xml:space="preserve"> </w:t>
      </w:r>
      <w:r>
        <w:t>want</w:t>
      </w:r>
      <w:r>
        <w:rPr>
          <w:spacing w:val="-5"/>
        </w:rPr>
        <w:t xml:space="preserve"> </w:t>
      </w:r>
      <w:r>
        <w:t>and</w:t>
      </w:r>
      <w:r>
        <w:rPr>
          <w:spacing w:val="-6"/>
        </w:rPr>
        <w:t xml:space="preserve"> </w:t>
      </w:r>
      <w:r>
        <w:rPr>
          <w:spacing w:val="-2"/>
        </w:rPr>
        <w:t>need.</w:t>
      </w:r>
    </w:p>
    <w:p w:rsidR="00200FDA" w:rsidRDefault="00F76C4C">
      <w:pPr>
        <w:pStyle w:val="BodyText"/>
        <w:spacing w:before="1" w:line="276" w:lineRule="auto"/>
        <w:ind w:left="139" w:right="255"/>
        <w:jc w:val="both"/>
      </w:pPr>
      <w:r>
        <w:t>First, foster youth have asked for foster families and child welfare professionals to be trained to be trauma-informed</w:t>
      </w:r>
      <w:r>
        <w:rPr>
          <w:spacing w:val="-7"/>
        </w:rPr>
        <w:t xml:space="preserve"> </w:t>
      </w:r>
      <w:r>
        <w:t>and</w:t>
      </w:r>
      <w:r>
        <w:rPr>
          <w:spacing w:val="-7"/>
        </w:rPr>
        <w:t xml:space="preserve"> </w:t>
      </w:r>
      <w:r>
        <w:t>LGBTQ-affirming.</w:t>
      </w:r>
      <w:r>
        <w:rPr>
          <w:spacing w:val="-7"/>
        </w:rPr>
        <w:t xml:space="preserve"> </w:t>
      </w:r>
      <w:r>
        <w:t>They</w:t>
      </w:r>
      <w:r>
        <w:rPr>
          <w:spacing w:val="-6"/>
        </w:rPr>
        <w:t xml:space="preserve"> </w:t>
      </w:r>
      <w:r>
        <w:t>have</w:t>
      </w:r>
      <w:r>
        <w:rPr>
          <w:spacing w:val="-6"/>
        </w:rPr>
        <w:t xml:space="preserve"> </w:t>
      </w:r>
      <w:r>
        <w:t>also</w:t>
      </w:r>
      <w:r>
        <w:rPr>
          <w:spacing w:val="-8"/>
        </w:rPr>
        <w:t xml:space="preserve"> </w:t>
      </w:r>
      <w:r>
        <w:t>advocated</w:t>
      </w:r>
      <w:r>
        <w:rPr>
          <w:spacing w:val="-7"/>
        </w:rPr>
        <w:t xml:space="preserve"> </w:t>
      </w:r>
      <w:r>
        <w:t>for</w:t>
      </w:r>
      <w:r>
        <w:rPr>
          <w:spacing w:val="-7"/>
        </w:rPr>
        <w:t xml:space="preserve"> </w:t>
      </w:r>
      <w:r>
        <w:t>agencies</w:t>
      </w:r>
      <w:r>
        <w:rPr>
          <w:spacing w:val="-6"/>
        </w:rPr>
        <w:t xml:space="preserve"> </w:t>
      </w:r>
      <w:r>
        <w:t>to</w:t>
      </w:r>
      <w:r>
        <w:rPr>
          <w:spacing w:val="-8"/>
        </w:rPr>
        <w:t xml:space="preserve"> </w:t>
      </w:r>
      <w:r>
        <w:t>adopt</w:t>
      </w:r>
      <w:r>
        <w:rPr>
          <w:spacing w:val="-6"/>
        </w:rPr>
        <w:t xml:space="preserve"> </w:t>
      </w:r>
      <w:r>
        <w:t>enforceable</w:t>
      </w:r>
      <w:r>
        <w:rPr>
          <w:spacing w:val="-6"/>
        </w:rPr>
        <w:t xml:space="preserve"> </w:t>
      </w:r>
      <w:r>
        <w:t>anti- discrimination policies and clearly communicate you</w:t>
      </w:r>
      <w:r>
        <w:t>ths’ rights and resources (such as DCF’s foster child bill</w:t>
      </w:r>
      <w:r>
        <w:rPr>
          <w:spacing w:val="-9"/>
        </w:rPr>
        <w:t xml:space="preserve"> </w:t>
      </w:r>
      <w:r>
        <w:t>of</w:t>
      </w:r>
      <w:r>
        <w:rPr>
          <w:spacing w:val="-9"/>
        </w:rPr>
        <w:t xml:space="preserve"> </w:t>
      </w:r>
      <w:r>
        <w:t>rights).</w:t>
      </w:r>
      <w:r>
        <w:rPr>
          <w:spacing w:val="-9"/>
        </w:rPr>
        <w:t xml:space="preserve"> </w:t>
      </w:r>
      <w:r>
        <w:t>Further,</w:t>
      </w:r>
      <w:r>
        <w:rPr>
          <w:spacing w:val="-9"/>
        </w:rPr>
        <w:t xml:space="preserve"> </w:t>
      </w:r>
      <w:r>
        <w:t>many</w:t>
      </w:r>
      <w:r>
        <w:rPr>
          <w:spacing w:val="-8"/>
        </w:rPr>
        <w:t xml:space="preserve"> </w:t>
      </w:r>
      <w:r>
        <w:t>youth</w:t>
      </w:r>
      <w:r>
        <w:rPr>
          <w:spacing w:val="-10"/>
        </w:rPr>
        <w:t xml:space="preserve"> </w:t>
      </w:r>
      <w:r>
        <w:t>have</w:t>
      </w:r>
      <w:r>
        <w:rPr>
          <w:spacing w:val="-8"/>
        </w:rPr>
        <w:t xml:space="preserve"> </w:t>
      </w:r>
      <w:r>
        <w:t>named</w:t>
      </w:r>
      <w:r>
        <w:rPr>
          <w:spacing w:val="-10"/>
        </w:rPr>
        <w:t xml:space="preserve"> </w:t>
      </w:r>
      <w:r>
        <w:t>the</w:t>
      </w:r>
      <w:r>
        <w:rPr>
          <w:spacing w:val="-8"/>
        </w:rPr>
        <w:t xml:space="preserve"> </w:t>
      </w:r>
      <w:r>
        <w:t>systemic</w:t>
      </w:r>
      <w:r>
        <w:rPr>
          <w:spacing w:val="-9"/>
        </w:rPr>
        <w:t xml:space="preserve"> </w:t>
      </w:r>
      <w:r>
        <w:t>issues</w:t>
      </w:r>
      <w:r>
        <w:rPr>
          <w:spacing w:val="-9"/>
        </w:rPr>
        <w:t xml:space="preserve"> </w:t>
      </w:r>
      <w:r>
        <w:t>with</w:t>
      </w:r>
      <w:r>
        <w:rPr>
          <w:spacing w:val="-10"/>
        </w:rPr>
        <w:t xml:space="preserve"> </w:t>
      </w:r>
      <w:r>
        <w:t>“aging</w:t>
      </w:r>
      <w:r>
        <w:rPr>
          <w:spacing w:val="-10"/>
        </w:rPr>
        <w:t xml:space="preserve"> </w:t>
      </w:r>
      <w:r>
        <w:t>out”</w:t>
      </w:r>
      <w:r>
        <w:rPr>
          <w:spacing w:val="-8"/>
        </w:rPr>
        <w:t xml:space="preserve"> </w:t>
      </w:r>
      <w:r>
        <w:t>of</w:t>
      </w:r>
      <w:r>
        <w:rPr>
          <w:spacing w:val="-9"/>
        </w:rPr>
        <w:t xml:space="preserve"> </w:t>
      </w:r>
      <w:r>
        <w:t>services.</w:t>
      </w:r>
      <w:r>
        <w:rPr>
          <w:spacing w:val="-9"/>
        </w:rPr>
        <w:t xml:space="preserve"> </w:t>
      </w:r>
      <w:r>
        <w:t>This</w:t>
      </w:r>
      <w:r>
        <w:rPr>
          <w:spacing w:val="-9"/>
        </w:rPr>
        <w:t xml:space="preserve"> </w:t>
      </w:r>
      <w:r>
        <w:t>leads to many youth becoming unhoused and unsafe or defaulting to living in restrictive, often dehumanizing, and potentially re-traumatizing residential care settings.</w:t>
      </w:r>
    </w:p>
    <w:p w:rsidR="00200FDA" w:rsidRDefault="00200FDA">
      <w:pPr>
        <w:pStyle w:val="BodyText"/>
        <w:spacing w:before="8"/>
        <w:rPr>
          <w:sz w:val="19"/>
        </w:rPr>
      </w:pPr>
    </w:p>
    <w:p w:rsidR="00200FDA" w:rsidRDefault="00F76C4C">
      <w:pPr>
        <w:pStyle w:val="BodyText"/>
        <w:spacing w:line="276" w:lineRule="auto"/>
        <w:ind w:left="139" w:right="252"/>
        <w:jc w:val="both"/>
      </w:pPr>
      <w:r>
        <w:t>The Commission’s 2021 report, “LGBTQ Youth in the Massachusetts Child Welfare System: A</w:t>
      </w:r>
      <w:r>
        <w:t xml:space="preserve"> Report on Pervasive Threats to Safety, Wellbeing, and Permanency,” laid out detailed evidence-based recommendations</w:t>
      </w:r>
      <w:r>
        <w:rPr>
          <w:spacing w:val="-4"/>
        </w:rPr>
        <w:t xml:space="preserve"> </w:t>
      </w:r>
      <w:r>
        <w:t>for</w:t>
      </w:r>
      <w:r>
        <w:rPr>
          <w:spacing w:val="-7"/>
        </w:rPr>
        <w:t xml:space="preserve"> </w:t>
      </w:r>
      <w:r>
        <w:t>DCF</w:t>
      </w:r>
      <w:r>
        <w:rPr>
          <w:spacing w:val="-10"/>
        </w:rPr>
        <w:t xml:space="preserve"> </w:t>
      </w:r>
      <w:r>
        <w:t>to</w:t>
      </w:r>
      <w:r>
        <w:rPr>
          <w:spacing w:val="-5"/>
        </w:rPr>
        <w:t xml:space="preserve"> </w:t>
      </w:r>
      <w:r>
        <w:t>respond</w:t>
      </w:r>
      <w:r>
        <w:rPr>
          <w:spacing w:val="-5"/>
        </w:rPr>
        <w:t xml:space="preserve"> </w:t>
      </w:r>
      <w:r>
        <w:t>to</w:t>
      </w:r>
      <w:r>
        <w:rPr>
          <w:spacing w:val="-3"/>
        </w:rPr>
        <w:t xml:space="preserve"> </w:t>
      </w:r>
      <w:r>
        <w:t>systemic</w:t>
      </w:r>
      <w:r>
        <w:rPr>
          <w:spacing w:val="-4"/>
        </w:rPr>
        <w:t xml:space="preserve"> </w:t>
      </w:r>
      <w:r>
        <w:t>crises</w:t>
      </w:r>
      <w:r>
        <w:rPr>
          <w:spacing w:val="-4"/>
        </w:rPr>
        <w:t xml:space="preserve"> </w:t>
      </w:r>
      <w:r>
        <w:t>among</w:t>
      </w:r>
      <w:r>
        <w:rPr>
          <w:spacing w:val="-5"/>
        </w:rPr>
        <w:t xml:space="preserve"> </w:t>
      </w:r>
      <w:r>
        <w:t>LGBTQ</w:t>
      </w:r>
      <w:r>
        <w:rPr>
          <w:spacing w:val="-7"/>
        </w:rPr>
        <w:t xml:space="preserve"> </w:t>
      </w:r>
      <w:r>
        <w:t>youth</w:t>
      </w:r>
      <w:r>
        <w:rPr>
          <w:spacing w:val="-5"/>
        </w:rPr>
        <w:t xml:space="preserve"> </w:t>
      </w:r>
      <w:r>
        <w:t>in</w:t>
      </w:r>
      <w:r>
        <w:rPr>
          <w:spacing w:val="-8"/>
        </w:rPr>
        <w:t xml:space="preserve"> </w:t>
      </w:r>
      <w:r>
        <w:t>its</w:t>
      </w:r>
      <w:r>
        <w:rPr>
          <w:spacing w:val="-4"/>
        </w:rPr>
        <w:t xml:space="preserve"> </w:t>
      </w:r>
      <w:r>
        <w:t>care.</w:t>
      </w:r>
      <w:r>
        <w:rPr>
          <w:spacing w:val="-5"/>
        </w:rPr>
        <w:t xml:space="preserve"> </w:t>
      </w:r>
      <w:r>
        <w:t>Since</w:t>
      </w:r>
      <w:r>
        <w:rPr>
          <w:spacing w:val="-6"/>
        </w:rPr>
        <w:t xml:space="preserve"> </w:t>
      </w:r>
      <w:r>
        <w:t>the</w:t>
      </w:r>
      <w:r>
        <w:rPr>
          <w:spacing w:val="-4"/>
        </w:rPr>
        <w:t xml:space="preserve"> </w:t>
      </w:r>
      <w:r>
        <w:t>release of this report, the Commission and DCF have actively</w:t>
      </w:r>
      <w:r>
        <w:t xml:space="preserve"> been working together to address the recommendations provided, with many of the recommendations since resolved, as detailed in the DCF- specific agency recommendations. In particular, DCF has been working to create a formal mechanism to identify</w:t>
      </w:r>
      <w:r>
        <w:rPr>
          <w:spacing w:val="-13"/>
        </w:rPr>
        <w:t xml:space="preserve"> </w:t>
      </w:r>
      <w:r>
        <w:t>affirming</w:t>
      </w:r>
      <w:r>
        <w:rPr>
          <w:spacing w:val="-12"/>
        </w:rPr>
        <w:t xml:space="preserve"> </w:t>
      </w:r>
      <w:r>
        <w:t>placements,</w:t>
      </w:r>
      <w:r>
        <w:rPr>
          <w:spacing w:val="-13"/>
        </w:rPr>
        <w:t xml:space="preserve"> </w:t>
      </w:r>
      <w:r>
        <w:t>since</w:t>
      </w:r>
      <w:r>
        <w:rPr>
          <w:spacing w:val="-12"/>
        </w:rPr>
        <w:t xml:space="preserve"> </w:t>
      </w:r>
      <w:r>
        <w:t>many</w:t>
      </w:r>
      <w:r>
        <w:rPr>
          <w:spacing w:val="-13"/>
        </w:rPr>
        <w:t xml:space="preserve"> </w:t>
      </w:r>
      <w:r>
        <w:t>gender</w:t>
      </w:r>
      <w:r>
        <w:rPr>
          <w:spacing w:val="-12"/>
        </w:rPr>
        <w:t xml:space="preserve"> </w:t>
      </w:r>
      <w:r>
        <w:t>expansive</w:t>
      </w:r>
      <w:r>
        <w:rPr>
          <w:spacing w:val="-13"/>
        </w:rPr>
        <w:t xml:space="preserve"> </w:t>
      </w:r>
      <w:r>
        <w:t>youth</w:t>
      </w:r>
      <w:r>
        <w:rPr>
          <w:spacing w:val="-12"/>
        </w:rPr>
        <w:t xml:space="preserve"> </w:t>
      </w:r>
      <w:r>
        <w:t>are</w:t>
      </w:r>
      <w:r>
        <w:rPr>
          <w:spacing w:val="-12"/>
        </w:rPr>
        <w:t xml:space="preserve"> </w:t>
      </w:r>
      <w:r>
        <w:t>only</w:t>
      </w:r>
      <w:r>
        <w:rPr>
          <w:spacing w:val="-13"/>
        </w:rPr>
        <w:t xml:space="preserve"> </w:t>
      </w:r>
      <w:r>
        <w:t>placed</w:t>
      </w:r>
      <w:r>
        <w:rPr>
          <w:spacing w:val="-12"/>
        </w:rPr>
        <w:t xml:space="preserve"> </w:t>
      </w:r>
      <w:r>
        <w:t>in</w:t>
      </w:r>
      <w:r>
        <w:rPr>
          <w:spacing w:val="-12"/>
        </w:rPr>
        <w:t xml:space="preserve"> </w:t>
      </w:r>
      <w:r>
        <w:t>homes</w:t>
      </w:r>
      <w:r>
        <w:rPr>
          <w:spacing w:val="-12"/>
        </w:rPr>
        <w:t xml:space="preserve"> </w:t>
      </w:r>
      <w:r>
        <w:t>after</w:t>
      </w:r>
      <w:r>
        <w:rPr>
          <w:spacing w:val="-13"/>
        </w:rPr>
        <w:t xml:space="preserve"> </w:t>
      </w:r>
      <w:r>
        <w:t>reaching their maximum length of stay in residential programs.</w:t>
      </w:r>
      <w:r>
        <w:rPr>
          <w:spacing w:val="-2"/>
        </w:rPr>
        <w:t xml:space="preserve"> </w:t>
      </w:r>
      <w:r>
        <w:t>Additionally, DCF has updated its congregate care contracts to ensure that their staff and policies are LGBTQ-compe</w:t>
      </w:r>
      <w:r>
        <w:t>tent and regularly ask youth how they can improve their services.</w:t>
      </w:r>
    </w:p>
    <w:p w:rsidR="00200FDA" w:rsidRDefault="00200FDA">
      <w:pPr>
        <w:pStyle w:val="BodyText"/>
        <w:spacing w:before="9"/>
        <w:rPr>
          <w:sz w:val="19"/>
        </w:rPr>
      </w:pPr>
    </w:p>
    <w:p w:rsidR="00200FDA" w:rsidRDefault="00F76C4C">
      <w:pPr>
        <w:pStyle w:val="BodyText"/>
        <w:spacing w:line="276" w:lineRule="auto"/>
        <w:ind w:left="139" w:right="253"/>
        <w:jc w:val="both"/>
      </w:pPr>
      <w:r>
        <w:t>As for LGBTQ youth in the criminal legal system, UCLA’s David Geffen School of Medicine recently put forth</w:t>
      </w:r>
      <w:r>
        <w:rPr>
          <w:spacing w:val="-5"/>
        </w:rPr>
        <w:t xml:space="preserve"> </w:t>
      </w:r>
      <w:r>
        <w:t>multiple</w:t>
      </w:r>
      <w:r>
        <w:rPr>
          <w:spacing w:val="-3"/>
        </w:rPr>
        <w:t xml:space="preserve"> </w:t>
      </w:r>
      <w:r>
        <w:t>recommendations</w:t>
      </w:r>
      <w:r>
        <w:rPr>
          <w:spacing w:val="-3"/>
        </w:rPr>
        <w:t xml:space="preserve"> </w:t>
      </w:r>
      <w:r>
        <w:t>that</w:t>
      </w:r>
      <w:r>
        <w:rPr>
          <w:spacing w:val="-2"/>
        </w:rPr>
        <w:t xml:space="preserve"> </w:t>
      </w:r>
      <w:r>
        <w:t>Massachusetts</w:t>
      </w:r>
      <w:r>
        <w:rPr>
          <w:spacing w:val="-4"/>
        </w:rPr>
        <w:t xml:space="preserve"> </w:t>
      </w:r>
      <w:r>
        <w:t>can</w:t>
      </w:r>
      <w:r>
        <w:rPr>
          <w:spacing w:val="-4"/>
        </w:rPr>
        <w:t xml:space="preserve"> </w:t>
      </w:r>
      <w:r>
        <w:t>follow.</w:t>
      </w:r>
      <w:r>
        <w:rPr>
          <w:spacing w:val="-3"/>
        </w:rPr>
        <w:t xml:space="preserve"> </w:t>
      </w:r>
      <w:r>
        <w:t>First,</w:t>
      </w:r>
      <w:r>
        <w:rPr>
          <w:spacing w:val="-3"/>
        </w:rPr>
        <w:t xml:space="preserve"> </w:t>
      </w:r>
      <w:r>
        <w:t>law</w:t>
      </w:r>
      <w:r>
        <w:rPr>
          <w:spacing w:val="-2"/>
        </w:rPr>
        <w:t xml:space="preserve"> </w:t>
      </w:r>
      <w:r>
        <w:t>enforcement</w:t>
      </w:r>
      <w:r>
        <w:rPr>
          <w:spacing w:val="-2"/>
        </w:rPr>
        <w:t xml:space="preserve"> </w:t>
      </w:r>
      <w:r>
        <w:t>agencies,</w:t>
      </w:r>
      <w:r>
        <w:rPr>
          <w:spacing w:val="-3"/>
        </w:rPr>
        <w:t xml:space="preserve"> </w:t>
      </w:r>
      <w:r>
        <w:t>courts, and</w:t>
      </w:r>
      <w:r>
        <w:rPr>
          <w:spacing w:val="-13"/>
        </w:rPr>
        <w:t xml:space="preserve"> </w:t>
      </w:r>
      <w:r>
        <w:t>detention</w:t>
      </w:r>
      <w:r>
        <w:rPr>
          <w:spacing w:val="-12"/>
        </w:rPr>
        <w:t xml:space="preserve"> </w:t>
      </w:r>
      <w:r>
        <w:t>facilities</w:t>
      </w:r>
      <w:r>
        <w:rPr>
          <w:spacing w:val="-13"/>
        </w:rPr>
        <w:t xml:space="preserve"> </w:t>
      </w:r>
      <w:r>
        <w:t>should</w:t>
      </w:r>
      <w:r>
        <w:rPr>
          <w:spacing w:val="-12"/>
        </w:rPr>
        <w:t xml:space="preserve"> </w:t>
      </w:r>
      <w:r>
        <w:t>all</w:t>
      </w:r>
      <w:r>
        <w:rPr>
          <w:spacing w:val="-13"/>
        </w:rPr>
        <w:t xml:space="preserve"> </w:t>
      </w:r>
      <w:r>
        <w:t>ensure</w:t>
      </w:r>
      <w:r>
        <w:rPr>
          <w:spacing w:val="-12"/>
        </w:rPr>
        <w:t xml:space="preserve"> </w:t>
      </w:r>
      <w:r>
        <w:t>that</w:t>
      </w:r>
      <w:r>
        <w:rPr>
          <w:spacing w:val="-13"/>
        </w:rPr>
        <w:t xml:space="preserve"> </w:t>
      </w:r>
      <w:r>
        <w:t>staff</w:t>
      </w:r>
      <w:r>
        <w:rPr>
          <w:spacing w:val="-12"/>
        </w:rPr>
        <w:t xml:space="preserve"> </w:t>
      </w:r>
      <w:r>
        <w:t>and</w:t>
      </w:r>
      <w:r>
        <w:rPr>
          <w:spacing w:val="-12"/>
        </w:rPr>
        <w:t xml:space="preserve"> </w:t>
      </w:r>
      <w:r>
        <w:t>policies</w:t>
      </w:r>
      <w:r>
        <w:rPr>
          <w:spacing w:val="-13"/>
        </w:rPr>
        <w:t xml:space="preserve"> </w:t>
      </w:r>
      <w:r>
        <w:t>are</w:t>
      </w:r>
      <w:r>
        <w:rPr>
          <w:spacing w:val="-12"/>
        </w:rPr>
        <w:t xml:space="preserve"> </w:t>
      </w:r>
      <w:r>
        <w:t>LGBTQ-affirming</w:t>
      </w:r>
      <w:r>
        <w:rPr>
          <w:spacing w:val="-13"/>
        </w:rPr>
        <w:t xml:space="preserve"> </w:t>
      </w:r>
      <w:r>
        <w:t>and</w:t>
      </w:r>
      <w:r>
        <w:rPr>
          <w:spacing w:val="-12"/>
        </w:rPr>
        <w:t xml:space="preserve"> </w:t>
      </w:r>
      <w:r>
        <w:t>trauma-informed, such</w:t>
      </w:r>
      <w:r>
        <w:rPr>
          <w:spacing w:val="-6"/>
        </w:rPr>
        <w:t xml:space="preserve"> </w:t>
      </w:r>
      <w:r>
        <w:t>as</w:t>
      </w:r>
      <w:r>
        <w:rPr>
          <w:spacing w:val="-6"/>
        </w:rPr>
        <w:t xml:space="preserve"> </w:t>
      </w:r>
      <w:r>
        <w:t>by</w:t>
      </w:r>
      <w:r>
        <w:rPr>
          <w:spacing w:val="-5"/>
        </w:rPr>
        <w:t xml:space="preserve"> </w:t>
      </w:r>
      <w:r>
        <w:t>ensuring</w:t>
      </w:r>
      <w:r>
        <w:rPr>
          <w:spacing w:val="-6"/>
        </w:rPr>
        <w:t xml:space="preserve"> </w:t>
      </w:r>
      <w:r>
        <w:t>youth</w:t>
      </w:r>
      <w:r>
        <w:rPr>
          <w:spacing w:val="-9"/>
        </w:rPr>
        <w:t xml:space="preserve"> </w:t>
      </w:r>
      <w:r>
        <w:t>of</w:t>
      </w:r>
      <w:r>
        <w:rPr>
          <w:spacing w:val="-6"/>
        </w:rPr>
        <w:t xml:space="preserve"> </w:t>
      </w:r>
      <w:r>
        <w:t>all</w:t>
      </w:r>
      <w:r>
        <w:rPr>
          <w:spacing w:val="-6"/>
        </w:rPr>
        <w:t xml:space="preserve"> </w:t>
      </w:r>
      <w:r>
        <w:t>ages</w:t>
      </w:r>
      <w:r>
        <w:rPr>
          <w:spacing w:val="-6"/>
        </w:rPr>
        <w:t xml:space="preserve"> </w:t>
      </w:r>
      <w:r>
        <w:t>can</w:t>
      </w:r>
      <w:r>
        <w:rPr>
          <w:spacing w:val="-6"/>
        </w:rPr>
        <w:t xml:space="preserve"> </w:t>
      </w:r>
      <w:r>
        <w:t>access</w:t>
      </w:r>
      <w:r>
        <w:rPr>
          <w:spacing w:val="-5"/>
        </w:rPr>
        <w:t xml:space="preserve"> </w:t>
      </w:r>
      <w:r>
        <w:t>gender-affirming</w:t>
      </w:r>
      <w:r>
        <w:rPr>
          <w:spacing w:val="-6"/>
        </w:rPr>
        <w:t xml:space="preserve"> </w:t>
      </w:r>
      <w:r>
        <w:t>clothing</w:t>
      </w:r>
      <w:r>
        <w:rPr>
          <w:spacing w:val="-6"/>
        </w:rPr>
        <w:t xml:space="preserve"> </w:t>
      </w:r>
      <w:r>
        <w:t>and</w:t>
      </w:r>
      <w:r>
        <w:rPr>
          <w:spacing w:val="-6"/>
        </w:rPr>
        <w:t xml:space="preserve"> </w:t>
      </w:r>
      <w:r>
        <w:t>care.</w:t>
      </w:r>
      <w:r>
        <w:rPr>
          <w:spacing w:val="-6"/>
        </w:rPr>
        <w:t xml:space="preserve"> </w:t>
      </w:r>
      <w:r>
        <w:t>Correctional</w:t>
      </w:r>
      <w:r>
        <w:rPr>
          <w:spacing w:val="-6"/>
        </w:rPr>
        <w:t xml:space="preserve"> </w:t>
      </w:r>
      <w:r>
        <w:t xml:space="preserve">agencies should seek funding to </w:t>
      </w:r>
      <w:r>
        <w:t>hire more affirming MHPs; communicate and implement policies for protecting LGBTQ youth from discrimination and harm; and provide virtual, trauma-relevant, and peer-based programs.</w:t>
      </w:r>
      <w:r>
        <w:rPr>
          <w:spacing w:val="-2"/>
        </w:rPr>
        <w:t xml:space="preserve"> </w:t>
      </w:r>
      <w:r>
        <w:t>Further,</w:t>
      </w:r>
      <w:r>
        <w:rPr>
          <w:spacing w:val="-1"/>
        </w:rPr>
        <w:t xml:space="preserve"> </w:t>
      </w:r>
      <w:r>
        <w:t>school</w:t>
      </w:r>
      <w:r>
        <w:rPr>
          <w:spacing w:val="-4"/>
        </w:rPr>
        <w:t xml:space="preserve"> </w:t>
      </w:r>
      <w:r>
        <w:t>districts</w:t>
      </w:r>
      <w:r>
        <w:rPr>
          <w:spacing w:val="-1"/>
        </w:rPr>
        <w:t xml:space="preserve"> </w:t>
      </w:r>
      <w:r>
        <w:t>should</w:t>
      </w:r>
      <w:r>
        <w:rPr>
          <w:spacing w:val="-2"/>
        </w:rPr>
        <w:t xml:space="preserve"> </w:t>
      </w:r>
      <w:r>
        <w:t>implement</w:t>
      </w:r>
      <w:r>
        <w:rPr>
          <w:spacing w:val="-3"/>
        </w:rPr>
        <w:t xml:space="preserve"> </w:t>
      </w:r>
      <w:r>
        <w:t>their</w:t>
      </w:r>
      <w:r>
        <w:rPr>
          <w:spacing w:val="-1"/>
        </w:rPr>
        <w:t xml:space="preserve"> </w:t>
      </w:r>
      <w:r>
        <w:t>own</w:t>
      </w:r>
      <w:r>
        <w:rPr>
          <w:spacing w:val="-2"/>
        </w:rPr>
        <w:t xml:space="preserve"> </w:t>
      </w:r>
      <w:r>
        <w:t>practices</w:t>
      </w:r>
      <w:r>
        <w:rPr>
          <w:spacing w:val="-1"/>
        </w:rPr>
        <w:t xml:space="preserve"> </w:t>
      </w:r>
      <w:r>
        <w:t>and</w:t>
      </w:r>
      <w:r>
        <w:rPr>
          <w:spacing w:val="-2"/>
        </w:rPr>
        <w:t xml:space="preserve"> </w:t>
      </w:r>
      <w:r>
        <w:t>policies</w:t>
      </w:r>
      <w:r>
        <w:rPr>
          <w:spacing w:val="-1"/>
        </w:rPr>
        <w:t xml:space="preserve"> </w:t>
      </w:r>
      <w:r>
        <w:t>to disassemble the school-to-prison pipeline, including crisis intervention protocol, training to recognize and respond to trauma, training and consequences for disciplining students according to (un)conscious bias, and resources for LGBTQ-affirming mento</w:t>
      </w:r>
      <w:r>
        <w:t>rs and peer spaces.</w:t>
      </w:r>
    </w:p>
    <w:p w:rsidR="00200FDA" w:rsidRDefault="00200FDA">
      <w:pPr>
        <w:spacing w:line="276" w:lineRule="auto"/>
        <w:jc w:val="both"/>
        <w:sectPr w:rsidR="00200FDA">
          <w:pgSz w:w="12240" w:h="15840"/>
          <w:pgMar w:top="1360" w:right="1180" w:bottom="1480" w:left="1300" w:header="761" w:footer="1208" w:gutter="0"/>
          <w:cols w:space="720"/>
        </w:sectPr>
      </w:pPr>
    </w:p>
    <w:p w:rsidR="00200FDA" w:rsidRDefault="00F76C4C">
      <w:pPr>
        <w:pStyle w:val="BodyText"/>
        <w:spacing w:before="64" w:line="276" w:lineRule="auto"/>
        <w:ind w:left="140" w:right="253"/>
        <w:jc w:val="both"/>
      </w:pPr>
      <w:r>
        <w:lastRenderedPageBreak/>
        <w:t>Allies must also invest</w:t>
      </w:r>
      <w:r>
        <w:rPr>
          <w:spacing w:val="-1"/>
        </w:rPr>
        <w:t xml:space="preserve"> </w:t>
      </w:r>
      <w:r>
        <w:t>more resources</w:t>
      </w:r>
      <w:r>
        <w:rPr>
          <w:spacing w:val="-2"/>
        </w:rPr>
        <w:t xml:space="preserve"> </w:t>
      </w:r>
      <w:r>
        <w:t>in support for</w:t>
      </w:r>
      <w:r>
        <w:rPr>
          <w:spacing w:val="-2"/>
        </w:rPr>
        <w:t xml:space="preserve"> </w:t>
      </w:r>
      <w:r>
        <w:t>LGBTQ</w:t>
      </w:r>
      <w:r>
        <w:rPr>
          <w:spacing w:val="-2"/>
        </w:rPr>
        <w:t xml:space="preserve"> </w:t>
      </w:r>
      <w:r>
        <w:t>youth who are dependent on</w:t>
      </w:r>
      <w:r>
        <w:rPr>
          <w:spacing w:val="-3"/>
        </w:rPr>
        <w:t xml:space="preserve"> </w:t>
      </w:r>
      <w:r>
        <w:t>substances. In 2021, the Trevor Project found that over half of all LGBTQ youth had used alcohol in the last year, while almost</w:t>
      </w:r>
      <w:r>
        <w:rPr>
          <w:spacing w:val="-6"/>
        </w:rPr>
        <w:t xml:space="preserve"> </w:t>
      </w:r>
      <w:r>
        <w:t>a</w:t>
      </w:r>
      <w:r>
        <w:rPr>
          <w:spacing w:val="-9"/>
        </w:rPr>
        <w:t xml:space="preserve"> </w:t>
      </w:r>
      <w:r>
        <w:t>third</w:t>
      </w:r>
      <w:r>
        <w:rPr>
          <w:spacing w:val="-7"/>
        </w:rPr>
        <w:t xml:space="preserve"> </w:t>
      </w:r>
      <w:r>
        <w:t>had</w:t>
      </w:r>
      <w:r>
        <w:rPr>
          <w:spacing w:val="-10"/>
        </w:rPr>
        <w:t xml:space="preserve"> </w:t>
      </w:r>
      <w:r>
        <w:t>used</w:t>
      </w:r>
      <w:r>
        <w:rPr>
          <w:spacing w:val="-10"/>
        </w:rPr>
        <w:t xml:space="preserve"> </w:t>
      </w:r>
      <w:r>
        <w:t>marijuana</w:t>
      </w:r>
      <w:r>
        <w:rPr>
          <w:spacing w:val="-7"/>
        </w:rPr>
        <w:t xml:space="preserve"> </w:t>
      </w:r>
      <w:r>
        <w:t>and</w:t>
      </w:r>
      <w:r>
        <w:rPr>
          <w:spacing w:val="-7"/>
        </w:rPr>
        <w:t xml:space="preserve"> </w:t>
      </w:r>
      <w:r>
        <w:t>one</w:t>
      </w:r>
      <w:r>
        <w:rPr>
          <w:spacing w:val="-6"/>
        </w:rPr>
        <w:t xml:space="preserve"> </w:t>
      </w:r>
      <w:r>
        <w:t>in</w:t>
      </w:r>
      <w:r>
        <w:rPr>
          <w:spacing w:val="-10"/>
        </w:rPr>
        <w:t xml:space="preserve"> </w:t>
      </w:r>
      <w:r>
        <w:t>ten</w:t>
      </w:r>
      <w:r>
        <w:rPr>
          <w:spacing w:val="-7"/>
        </w:rPr>
        <w:t xml:space="preserve"> </w:t>
      </w:r>
      <w:r>
        <w:t>used</w:t>
      </w:r>
      <w:r>
        <w:rPr>
          <w:spacing w:val="-7"/>
        </w:rPr>
        <w:t xml:space="preserve"> </w:t>
      </w:r>
      <w:r>
        <w:t>prescription</w:t>
      </w:r>
      <w:r>
        <w:rPr>
          <w:spacing w:val="-7"/>
        </w:rPr>
        <w:t xml:space="preserve"> </w:t>
      </w:r>
      <w:r>
        <w:t>drugs</w:t>
      </w:r>
      <w:r>
        <w:rPr>
          <w:spacing w:val="-9"/>
        </w:rPr>
        <w:t xml:space="preserve"> </w:t>
      </w:r>
      <w:r>
        <w:t>that</w:t>
      </w:r>
      <w:r>
        <w:rPr>
          <w:spacing w:val="-9"/>
        </w:rPr>
        <w:t xml:space="preserve"> </w:t>
      </w:r>
      <w:r>
        <w:t>were</w:t>
      </w:r>
      <w:r>
        <w:rPr>
          <w:spacing w:val="-6"/>
        </w:rPr>
        <w:t xml:space="preserve"> </w:t>
      </w:r>
      <w:r>
        <w:t>not</w:t>
      </w:r>
      <w:r>
        <w:rPr>
          <w:spacing w:val="-6"/>
        </w:rPr>
        <w:t xml:space="preserve"> </w:t>
      </w:r>
      <w:r>
        <w:t>their</w:t>
      </w:r>
      <w:r>
        <w:rPr>
          <w:spacing w:val="-9"/>
        </w:rPr>
        <w:t xml:space="preserve"> </w:t>
      </w:r>
      <w:r>
        <w:t>own.</w:t>
      </w:r>
      <w:r>
        <w:rPr>
          <w:spacing w:val="-10"/>
        </w:rPr>
        <w:t xml:space="preserve"> </w:t>
      </w:r>
      <w:r>
        <w:t>LGBTQ youth</w:t>
      </w:r>
      <w:r>
        <w:rPr>
          <w:spacing w:val="-10"/>
        </w:rPr>
        <w:t xml:space="preserve"> </w:t>
      </w:r>
      <w:r>
        <w:t>who</w:t>
      </w:r>
      <w:r>
        <w:rPr>
          <w:spacing w:val="-8"/>
        </w:rPr>
        <w:t xml:space="preserve"> </w:t>
      </w:r>
      <w:r>
        <w:t>use</w:t>
      </w:r>
      <w:r>
        <w:rPr>
          <w:spacing w:val="-8"/>
        </w:rPr>
        <w:t xml:space="preserve"> </w:t>
      </w:r>
      <w:r>
        <w:t>substances</w:t>
      </w:r>
      <w:r>
        <w:rPr>
          <w:spacing w:val="-9"/>
        </w:rPr>
        <w:t xml:space="preserve"> </w:t>
      </w:r>
      <w:r>
        <w:t>are</w:t>
      </w:r>
      <w:r>
        <w:rPr>
          <w:spacing w:val="-7"/>
        </w:rPr>
        <w:t xml:space="preserve"> </w:t>
      </w:r>
      <w:r>
        <w:t>also</w:t>
      </w:r>
      <w:r>
        <w:rPr>
          <w:spacing w:val="-6"/>
        </w:rPr>
        <w:t xml:space="preserve"> </w:t>
      </w:r>
      <w:r>
        <w:t>significantly</w:t>
      </w:r>
      <w:r>
        <w:rPr>
          <w:spacing w:val="-8"/>
        </w:rPr>
        <w:t xml:space="preserve"> </w:t>
      </w:r>
      <w:r>
        <w:t>more</w:t>
      </w:r>
      <w:r>
        <w:rPr>
          <w:spacing w:val="-8"/>
        </w:rPr>
        <w:t xml:space="preserve"> </w:t>
      </w:r>
      <w:r>
        <w:t>likely</w:t>
      </w:r>
      <w:r>
        <w:rPr>
          <w:spacing w:val="-8"/>
        </w:rPr>
        <w:t xml:space="preserve"> </w:t>
      </w:r>
      <w:r>
        <w:t>to</w:t>
      </w:r>
      <w:r>
        <w:rPr>
          <w:spacing w:val="-6"/>
        </w:rPr>
        <w:t xml:space="preserve"> </w:t>
      </w:r>
      <w:r>
        <w:t>attempt</w:t>
      </w:r>
      <w:r>
        <w:rPr>
          <w:spacing w:val="-7"/>
        </w:rPr>
        <w:t xml:space="preserve"> </w:t>
      </w:r>
      <w:r>
        <w:t>suicide,</w:t>
      </w:r>
      <w:r>
        <w:rPr>
          <w:spacing w:val="-9"/>
        </w:rPr>
        <w:t xml:space="preserve"> </w:t>
      </w:r>
      <w:r>
        <w:t>while</w:t>
      </w:r>
      <w:r>
        <w:rPr>
          <w:spacing w:val="-7"/>
        </w:rPr>
        <w:t xml:space="preserve"> </w:t>
      </w:r>
      <w:r>
        <w:t>adolescent</w:t>
      </w:r>
      <w:r>
        <w:rPr>
          <w:spacing w:val="-9"/>
        </w:rPr>
        <w:t xml:space="preserve"> </w:t>
      </w:r>
      <w:r>
        <w:t>overdose rates across the US doubled between 2019 and 2021. The prevalence of substance use among LGBTQ youth makes it even more important to fund affirming, affordable, trauma-informed, and culturally responsive treatment options.</w:t>
      </w:r>
    </w:p>
    <w:p w:rsidR="00200FDA" w:rsidRDefault="00200FDA">
      <w:pPr>
        <w:pStyle w:val="BodyText"/>
        <w:spacing w:before="8"/>
        <w:rPr>
          <w:sz w:val="19"/>
        </w:rPr>
      </w:pPr>
    </w:p>
    <w:p w:rsidR="00200FDA" w:rsidRDefault="00F76C4C">
      <w:pPr>
        <w:pStyle w:val="BodyText"/>
        <w:spacing w:line="276" w:lineRule="auto"/>
        <w:ind w:left="139" w:right="254"/>
        <w:jc w:val="both"/>
      </w:pPr>
      <w:r>
        <w:t>Yet when people in Mass</w:t>
      </w:r>
      <w:r>
        <w:t>achusetts need support for substance use disorders, they may be met with judgment and criminal charges instead. For instance, when defendants relapse and fail court-mandated drug testing, they are often incarcerated, where they experience further trauma an</w:t>
      </w:r>
      <w:r>
        <w:t>d receive non- evidence-based treatment.</w:t>
      </w:r>
    </w:p>
    <w:p w:rsidR="00200FDA" w:rsidRDefault="00200FDA">
      <w:pPr>
        <w:pStyle w:val="BodyText"/>
        <w:spacing w:before="9"/>
        <w:rPr>
          <w:sz w:val="19"/>
        </w:rPr>
      </w:pPr>
    </w:p>
    <w:p w:rsidR="00200FDA" w:rsidRDefault="00F76C4C">
      <w:pPr>
        <w:pStyle w:val="BodyText"/>
        <w:spacing w:line="276" w:lineRule="auto"/>
        <w:ind w:left="139" w:right="255"/>
        <w:jc w:val="both"/>
      </w:pPr>
      <w:r>
        <w:t xml:space="preserve">Finally, because LGBTQ youth face many risk factors that can push them into crisis, hospitalization, and suicidality, allies should strongly advocate for more care options that are LGBTQ-affirming, affordable, and </w:t>
      </w:r>
      <w:r>
        <w:t>do not cause further trauma. On this front, congregate mental health support services in particular lack</w:t>
      </w:r>
      <w:r>
        <w:rPr>
          <w:spacing w:val="-5"/>
        </w:rPr>
        <w:t xml:space="preserve"> </w:t>
      </w:r>
      <w:r>
        <w:t>crucial</w:t>
      </w:r>
      <w:r>
        <w:rPr>
          <w:spacing w:val="-6"/>
        </w:rPr>
        <w:t xml:space="preserve"> </w:t>
      </w:r>
      <w:r>
        <w:t>funding.</w:t>
      </w:r>
      <w:r>
        <w:rPr>
          <w:spacing w:val="-6"/>
        </w:rPr>
        <w:t xml:space="preserve"> </w:t>
      </w:r>
      <w:r>
        <w:t>At</w:t>
      </w:r>
      <w:r>
        <w:rPr>
          <w:spacing w:val="-5"/>
        </w:rPr>
        <w:t xml:space="preserve"> </w:t>
      </w:r>
      <w:r>
        <w:t>present,</w:t>
      </w:r>
      <w:r>
        <w:rPr>
          <w:spacing w:val="-5"/>
        </w:rPr>
        <w:t xml:space="preserve"> </w:t>
      </w:r>
      <w:r>
        <w:t>it</w:t>
      </w:r>
      <w:r>
        <w:rPr>
          <w:spacing w:val="-5"/>
        </w:rPr>
        <w:t xml:space="preserve"> </w:t>
      </w:r>
      <w:r>
        <w:t>appears</w:t>
      </w:r>
      <w:r>
        <w:rPr>
          <w:spacing w:val="-5"/>
        </w:rPr>
        <w:t xml:space="preserve"> </w:t>
      </w:r>
      <w:r>
        <w:t>that</w:t>
      </w:r>
      <w:r>
        <w:rPr>
          <w:spacing w:val="-6"/>
        </w:rPr>
        <w:t xml:space="preserve"> </w:t>
      </w:r>
      <w:r>
        <w:t>there</w:t>
      </w:r>
      <w:r>
        <w:rPr>
          <w:spacing w:val="-5"/>
        </w:rPr>
        <w:t xml:space="preserve"> </w:t>
      </w:r>
      <w:r>
        <w:t>are</w:t>
      </w:r>
      <w:r>
        <w:rPr>
          <w:spacing w:val="-5"/>
        </w:rPr>
        <w:t xml:space="preserve"> </w:t>
      </w:r>
      <w:r>
        <w:t>only</w:t>
      </w:r>
      <w:r>
        <w:rPr>
          <w:spacing w:val="-4"/>
        </w:rPr>
        <w:t xml:space="preserve"> </w:t>
      </w:r>
      <w:r>
        <w:t>a</w:t>
      </w:r>
      <w:r>
        <w:rPr>
          <w:spacing w:val="-6"/>
        </w:rPr>
        <w:t xml:space="preserve"> </w:t>
      </w:r>
      <w:r>
        <w:t>few</w:t>
      </w:r>
      <w:r>
        <w:rPr>
          <w:spacing w:val="-6"/>
        </w:rPr>
        <w:t xml:space="preserve"> </w:t>
      </w:r>
      <w:r>
        <w:t>LGBTQ-specific</w:t>
      </w:r>
      <w:r>
        <w:rPr>
          <w:spacing w:val="-5"/>
        </w:rPr>
        <w:t xml:space="preserve"> </w:t>
      </w:r>
      <w:r>
        <w:t>partial</w:t>
      </w:r>
      <w:r>
        <w:rPr>
          <w:spacing w:val="-6"/>
        </w:rPr>
        <w:t xml:space="preserve"> </w:t>
      </w:r>
      <w:r>
        <w:t xml:space="preserve">hospitalization programs in Massachusetts (including Walden’s </w:t>
      </w:r>
      <w:r>
        <w:t>virtual Rainbow Road Programs and HRI Hospital’s Triangle</w:t>
      </w:r>
      <w:r>
        <w:rPr>
          <w:spacing w:val="-1"/>
        </w:rPr>
        <w:t xml:space="preserve"> </w:t>
      </w:r>
      <w:r>
        <w:t>Program),</w:t>
      </w:r>
      <w:r>
        <w:rPr>
          <w:spacing w:val="-1"/>
        </w:rPr>
        <w:t xml:space="preserve"> </w:t>
      </w:r>
      <w:r>
        <w:t>as</w:t>
      </w:r>
      <w:r>
        <w:rPr>
          <w:spacing w:val="-1"/>
        </w:rPr>
        <w:t xml:space="preserve"> </w:t>
      </w:r>
      <w:r>
        <w:t>well</w:t>
      </w:r>
      <w:r>
        <w:rPr>
          <w:spacing w:val="-4"/>
        </w:rPr>
        <w:t xml:space="preserve"> </w:t>
      </w:r>
      <w:r>
        <w:t>as</w:t>
      </w:r>
      <w:r>
        <w:rPr>
          <w:spacing w:val="-1"/>
        </w:rPr>
        <w:t xml:space="preserve"> </w:t>
      </w:r>
      <w:r>
        <w:t>one group</w:t>
      </w:r>
      <w:r>
        <w:rPr>
          <w:spacing w:val="-2"/>
        </w:rPr>
        <w:t xml:space="preserve"> </w:t>
      </w:r>
      <w:r>
        <w:t>home in</w:t>
      </w:r>
      <w:r>
        <w:rPr>
          <w:spacing w:val="-2"/>
        </w:rPr>
        <w:t xml:space="preserve"> </w:t>
      </w:r>
      <w:r>
        <w:t>New</w:t>
      </w:r>
      <w:r>
        <w:rPr>
          <w:spacing w:val="-3"/>
        </w:rPr>
        <w:t xml:space="preserve"> </w:t>
      </w:r>
      <w:r>
        <w:t>England</w:t>
      </w:r>
      <w:r>
        <w:rPr>
          <w:spacing w:val="-2"/>
        </w:rPr>
        <w:t xml:space="preserve"> </w:t>
      </w:r>
      <w:r>
        <w:t>(The Home for</w:t>
      </w:r>
      <w:r>
        <w:rPr>
          <w:spacing w:val="-1"/>
        </w:rPr>
        <w:t xml:space="preserve"> </w:t>
      </w:r>
      <w:r>
        <w:t>Little</w:t>
      </w:r>
      <w:r>
        <w:rPr>
          <w:spacing w:val="-1"/>
        </w:rPr>
        <w:t xml:space="preserve"> </w:t>
      </w:r>
      <w:r>
        <w:t>Wanderers’</w:t>
      </w:r>
      <w:r>
        <w:rPr>
          <w:spacing w:val="-1"/>
        </w:rPr>
        <w:t xml:space="preserve"> </w:t>
      </w:r>
      <w:r>
        <w:t>Waltham House, with a capacity of 12 youth.)</w:t>
      </w:r>
    </w:p>
    <w:p w:rsidR="00200FDA" w:rsidRDefault="00200FDA">
      <w:pPr>
        <w:pStyle w:val="BodyText"/>
      </w:pPr>
    </w:p>
    <w:p w:rsidR="00200FDA" w:rsidRDefault="00F76C4C">
      <w:pPr>
        <w:pStyle w:val="Heading7"/>
        <w:spacing w:before="189"/>
        <w:ind w:left="140"/>
        <w:jc w:val="both"/>
      </w:pPr>
      <w:bookmarkStart w:id="370" w:name="Expanding_Youth_Access_to_Community-Base"/>
      <w:bookmarkEnd w:id="370"/>
      <w:r>
        <w:rPr>
          <w:color w:val="0A5293"/>
        </w:rPr>
        <w:t>Expanding</w:t>
      </w:r>
      <w:r>
        <w:rPr>
          <w:color w:val="0A5293"/>
          <w:spacing w:val="-10"/>
        </w:rPr>
        <w:t xml:space="preserve"> </w:t>
      </w:r>
      <w:r>
        <w:rPr>
          <w:color w:val="0A5293"/>
        </w:rPr>
        <w:t>Youth</w:t>
      </w:r>
      <w:r>
        <w:rPr>
          <w:color w:val="0A5293"/>
          <w:spacing w:val="-8"/>
        </w:rPr>
        <w:t xml:space="preserve"> </w:t>
      </w:r>
      <w:r>
        <w:rPr>
          <w:color w:val="0A5293"/>
        </w:rPr>
        <w:t>Access</w:t>
      </w:r>
      <w:r>
        <w:rPr>
          <w:color w:val="0A5293"/>
          <w:spacing w:val="-7"/>
        </w:rPr>
        <w:t xml:space="preserve"> </w:t>
      </w:r>
      <w:r>
        <w:rPr>
          <w:color w:val="0A5293"/>
        </w:rPr>
        <w:t>to</w:t>
      </w:r>
      <w:r>
        <w:rPr>
          <w:color w:val="0A5293"/>
          <w:spacing w:val="-6"/>
        </w:rPr>
        <w:t xml:space="preserve"> </w:t>
      </w:r>
      <w:r>
        <w:rPr>
          <w:color w:val="0A5293"/>
        </w:rPr>
        <w:t>Community-Based</w:t>
      </w:r>
      <w:r>
        <w:rPr>
          <w:color w:val="0A5293"/>
          <w:spacing w:val="-8"/>
        </w:rPr>
        <w:t xml:space="preserve"> </w:t>
      </w:r>
      <w:r>
        <w:rPr>
          <w:color w:val="0A5293"/>
        </w:rPr>
        <w:t>and</w:t>
      </w:r>
      <w:r>
        <w:rPr>
          <w:color w:val="0A5293"/>
          <w:spacing w:val="-6"/>
        </w:rPr>
        <w:t xml:space="preserve"> </w:t>
      </w:r>
      <w:r>
        <w:rPr>
          <w:color w:val="0A5293"/>
        </w:rPr>
        <w:t>Peer</w:t>
      </w:r>
      <w:r>
        <w:rPr>
          <w:color w:val="0A5293"/>
          <w:spacing w:val="-6"/>
        </w:rPr>
        <w:t xml:space="preserve"> </w:t>
      </w:r>
      <w:r>
        <w:rPr>
          <w:color w:val="0A5293"/>
          <w:spacing w:val="-2"/>
        </w:rPr>
        <w:t>Support</w:t>
      </w:r>
    </w:p>
    <w:p w:rsidR="00200FDA" w:rsidRDefault="00200FDA">
      <w:pPr>
        <w:pStyle w:val="BodyText"/>
        <w:spacing w:before="11"/>
        <w:rPr>
          <w:sz w:val="27"/>
        </w:rPr>
      </w:pPr>
    </w:p>
    <w:p w:rsidR="00200FDA" w:rsidRDefault="00F76C4C">
      <w:pPr>
        <w:spacing w:before="1" w:line="276" w:lineRule="auto"/>
        <w:ind w:left="139" w:right="253"/>
        <w:jc w:val="both"/>
        <w:rPr>
          <w:sz w:val="21"/>
        </w:rPr>
      </w:pPr>
      <w:r>
        <w:rPr>
          <w:sz w:val="21"/>
        </w:rPr>
        <w:t>Overall, while individual-based professional mental healthcare urgently deserves funding and reform, community-based</w:t>
      </w:r>
      <w:r>
        <w:rPr>
          <w:spacing w:val="-5"/>
          <w:sz w:val="21"/>
        </w:rPr>
        <w:t xml:space="preserve"> </w:t>
      </w:r>
      <w:r>
        <w:rPr>
          <w:sz w:val="21"/>
        </w:rPr>
        <w:t>programs</w:t>
      </w:r>
      <w:r>
        <w:rPr>
          <w:spacing w:val="-10"/>
          <w:sz w:val="21"/>
        </w:rPr>
        <w:t xml:space="preserve"> </w:t>
      </w:r>
      <w:r>
        <w:rPr>
          <w:sz w:val="21"/>
        </w:rPr>
        <w:t>can</w:t>
      </w:r>
      <w:r>
        <w:rPr>
          <w:spacing w:val="-5"/>
          <w:sz w:val="21"/>
        </w:rPr>
        <w:t xml:space="preserve"> </w:t>
      </w:r>
      <w:r>
        <w:rPr>
          <w:sz w:val="21"/>
        </w:rPr>
        <w:t>also</w:t>
      </w:r>
      <w:r>
        <w:rPr>
          <w:spacing w:val="-8"/>
          <w:sz w:val="21"/>
        </w:rPr>
        <w:t xml:space="preserve"> </w:t>
      </w:r>
      <w:r>
        <w:rPr>
          <w:sz w:val="21"/>
        </w:rPr>
        <w:t>significantly</w:t>
      </w:r>
      <w:r>
        <w:rPr>
          <w:spacing w:val="-4"/>
          <w:sz w:val="21"/>
        </w:rPr>
        <w:t xml:space="preserve"> </w:t>
      </w:r>
      <w:r>
        <w:rPr>
          <w:sz w:val="21"/>
        </w:rPr>
        <w:t>improve</w:t>
      </w:r>
      <w:r>
        <w:rPr>
          <w:spacing w:val="-6"/>
          <w:sz w:val="21"/>
        </w:rPr>
        <w:t xml:space="preserve"> </w:t>
      </w:r>
      <w:r>
        <w:rPr>
          <w:sz w:val="21"/>
        </w:rPr>
        <w:t>LGBTQ</w:t>
      </w:r>
      <w:r>
        <w:rPr>
          <w:spacing w:val="-7"/>
          <w:sz w:val="21"/>
        </w:rPr>
        <w:t xml:space="preserve"> </w:t>
      </w:r>
      <w:r>
        <w:rPr>
          <w:sz w:val="21"/>
        </w:rPr>
        <w:t>youth</w:t>
      </w:r>
      <w:r>
        <w:rPr>
          <w:spacing w:val="-7"/>
          <w:sz w:val="21"/>
        </w:rPr>
        <w:t xml:space="preserve"> </w:t>
      </w:r>
      <w:r>
        <w:rPr>
          <w:sz w:val="21"/>
        </w:rPr>
        <w:t>mental</w:t>
      </w:r>
      <w:r>
        <w:rPr>
          <w:spacing w:val="-6"/>
          <w:sz w:val="21"/>
        </w:rPr>
        <w:t xml:space="preserve"> </w:t>
      </w:r>
      <w:r>
        <w:rPr>
          <w:sz w:val="21"/>
        </w:rPr>
        <w:t>health.</w:t>
      </w:r>
      <w:r>
        <w:rPr>
          <w:spacing w:val="-5"/>
          <w:sz w:val="21"/>
        </w:rPr>
        <w:t xml:space="preserve"> </w:t>
      </w:r>
      <w:r>
        <w:rPr>
          <w:sz w:val="21"/>
        </w:rPr>
        <w:t>Given</w:t>
      </w:r>
      <w:r>
        <w:rPr>
          <w:spacing w:val="-7"/>
          <w:sz w:val="21"/>
        </w:rPr>
        <w:t xml:space="preserve"> </w:t>
      </w:r>
      <w:r>
        <w:rPr>
          <w:sz w:val="21"/>
        </w:rPr>
        <w:t>the</w:t>
      </w:r>
      <w:r>
        <w:rPr>
          <w:spacing w:val="-6"/>
          <w:sz w:val="21"/>
        </w:rPr>
        <w:t xml:space="preserve"> </w:t>
      </w:r>
      <w:r>
        <w:rPr>
          <w:sz w:val="21"/>
        </w:rPr>
        <w:t>high</w:t>
      </w:r>
      <w:r>
        <w:rPr>
          <w:spacing w:val="-7"/>
          <w:sz w:val="21"/>
        </w:rPr>
        <w:t xml:space="preserve"> </w:t>
      </w:r>
      <w:r>
        <w:rPr>
          <w:sz w:val="21"/>
        </w:rPr>
        <w:t>rates</w:t>
      </w:r>
      <w:r>
        <w:rPr>
          <w:spacing w:val="-8"/>
          <w:sz w:val="21"/>
        </w:rPr>
        <w:t xml:space="preserve"> </w:t>
      </w:r>
      <w:r>
        <w:rPr>
          <w:sz w:val="21"/>
        </w:rPr>
        <w:t>of lack of access to mental healthcare, decision-ma</w:t>
      </w:r>
      <w:r>
        <w:rPr>
          <w:sz w:val="21"/>
        </w:rPr>
        <w:t>kers should invest in task-shifting to help more LGBTQ youth get support from their own peers and communities; task-shifting circumvents common barriers to care, like cost and long waitlists, by training laypeople and paraprofessionals to provide emotional</w:t>
      </w:r>
      <w:r>
        <w:rPr>
          <w:sz w:val="21"/>
        </w:rPr>
        <w:t xml:space="preserve"> support and psychoeducation.</w:t>
      </w:r>
      <w:r>
        <w:rPr>
          <w:spacing w:val="-12"/>
          <w:sz w:val="21"/>
        </w:rPr>
        <w:t xml:space="preserve"> </w:t>
      </w:r>
      <w:r>
        <w:rPr>
          <w:sz w:val="21"/>
        </w:rPr>
        <w:t>This</w:t>
      </w:r>
      <w:r>
        <w:rPr>
          <w:spacing w:val="-12"/>
          <w:sz w:val="21"/>
        </w:rPr>
        <w:t xml:space="preserve"> </w:t>
      </w:r>
      <w:r>
        <w:rPr>
          <w:sz w:val="21"/>
        </w:rPr>
        <w:t>allows</w:t>
      </w:r>
      <w:r>
        <w:rPr>
          <w:spacing w:val="-12"/>
          <w:sz w:val="21"/>
        </w:rPr>
        <w:t xml:space="preserve"> </w:t>
      </w:r>
      <w:r>
        <w:rPr>
          <w:sz w:val="21"/>
        </w:rPr>
        <w:t>more</w:t>
      </w:r>
      <w:r>
        <w:rPr>
          <w:spacing w:val="-12"/>
          <w:sz w:val="21"/>
        </w:rPr>
        <w:t xml:space="preserve"> </w:t>
      </w:r>
      <w:r>
        <w:rPr>
          <w:sz w:val="21"/>
        </w:rPr>
        <w:t>people</w:t>
      </w:r>
      <w:r>
        <w:rPr>
          <w:spacing w:val="-12"/>
          <w:sz w:val="21"/>
        </w:rPr>
        <w:t xml:space="preserve"> </w:t>
      </w:r>
      <w:r>
        <w:rPr>
          <w:sz w:val="21"/>
        </w:rPr>
        <w:t>to</w:t>
      </w:r>
      <w:r>
        <w:rPr>
          <w:spacing w:val="-11"/>
          <w:sz w:val="21"/>
        </w:rPr>
        <w:t xml:space="preserve"> </w:t>
      </w:r>
      <w:r>
        <w:rPr>
          <w:sz w:val="21"/>
        </w:rPr>
        <w:t>address</w:t>
      </w:r>
      <w:r>
        <w:rPr>
          <w:spacing w:val="-12"/>
          <w:sz w:val="21"/>
        </w:rPr>
        <w:t xml:space="preserve"> </w:t>
      </w:r>
      <w:r>
        <w:rPr>
          <w:sz w:val="21"/>
        </w:rPr>
        <w:t>stress</w:t>
      </w:r>
      <w:r>
        <w:rPr>
          <w:spacing w:val="-12"/>
          <w:sz w:val="21"/>
        </w:rPr>
        <w:t xml:space="preserve"> </w:t>
      </w:r>
      <w:r>
        <w:rPr>
          <w:sz w:val="21"/>
        </w:rPr>
        <w:t>and</w:t>
      </w:r>
      <w:r>
        <w:rPr>
          <w:spacing w:val="-12"/>
          <w:sz w:val="21"/>
        </w:rPr>
        <w:t xml:space="preserve"> </w:t>
      </w:r>
      <w:r>
        <w:rPr>
          <w:sz w:val="21"/>
        </w:rPr>
        <w:t>mental</w:t>
      </w:r>
      <w:r>
        <w:rPr>
          <w:spacing w:val="-11"/>
          <w:sz w:val="21"/>
        </w:rPr>
        <w:t xml:space="preserve"> </w:t>
      </w:r>
      <w:r>
        <w:rPr>
          <w:sz w:val="21"/>
        </w:rPr>
        <w:t>health</w:t>
      </w:r>
      <w:r>
        <w:rPr>
          <w:spacing w:val="-12"/>
          <w:sz w:val="21"/>
        </w:rPr>
        <w:t xml:space="preserve"> </w:t>
      </w:r>
      <w:r>
        <w:rPr>
          <w:sz w:val="21"/>
        </w:rPr>
        <w:t>concerns</w:t>
      </w:r>
      <w:r>
        <w:rPr>
          <w:spacing w:val="-12"/>
          <w:sz w:val="21"/>
        </w:rPr>
        <w:t xml:space="preserve"> </w:t>
      </w:r>
      <w:r>
        <w:rPr>
          <w:sz w:val="21"/>
        </w:rPr>
        <w:t>without</w:t>
      </w:r>
      <w:r>
        <w:rPr>
          <w:spacing w:val="-12"/>
          <w:sz w:val="21"/>
        </w:rPr>
        <w:t xml:space="preserve"> </w:t>
      </w:r>
      <w:r>
        <w:rPr>
          <w:sz w:val="21"/>
        </w:rPr>
        <w:t>having</w:t>
      </w:r>
      <w:r>
        <w:rPr>
          <w:spacing w:val="-11"/>
          <w:sz w:val="21"/>
        </w:rPr>
        <w:t xml:space="preserve"> </w:t>
      </w:r>
      <w:r>
        <w:rPr>
          <w:sz w:val="21"/>
        </w:rPr>
        <w:t>to</w:t>
      </w:r>
      <w:r>
        <w:rPr>
          <w:spacing w:val="-12"/>
          <w:sz w:val="21"/>
        </w:rPr>
        <w:t xml:space="preserve"> </w:t>
      </w:r>
      <w:r>
        <w:rPr>
          <w:sz w:val="21"/>
        </w:rPr>
        <w:t>wait to</w:t>
      </w:r>
      <w:r>
        <w:rPr>
          <w:spacing w:val="-2"/>
          <w:sz w:val="21"/>
        </w:rPr>
        <w:t xml:space="preserve"> </w:t>
      </w:r>
      <w:r>
        <w:rPr>
          <w:sz w:val="21"/>
        </w:rPr>
        <w:t>find</w:t>
      </w:r>
      <w:r>
        <w:rPr>
          <w:spacing w:val="-2"/>
          <w:sz w:val="21"/>
        </w:rPr>
        <w:t xml:space="preserve"> </w:t>
      </w:r>
      <w:r>
        <w:rPr>
          <w:sz w:val="21"/>
        </w:rPr>
        <w:t>an</w:t>
      </w:r>
      <w:r>
        <w:rPr>
          <w:spacing w:val="-2"/>
          <w:sz w:val="21"/>
        </w:rPr>
        <w:t xml:space="preserve"> </w:t>
      </w:r>
      <w:r>
        <w:rPr>
          <w:sz w:val="21"/>
        </w:rPr>
        <w:t>affordable</w:t>
      </w:r>
      <w:r>
        <w:rPr>
          <w:spacing w:val="-1"/>
          <w:sz w:val="21"/>
        </w:rPr>
        <w:t xml:space="preserve"> </w:t>
      </w:r>
      <w:r>
        <w:rPr>
          <w:sz w:val="21"/>
        </w:rPr>
        <w:t>therapist,</w:t>
      </w:r>
      <w:r>
        <w:rPr>
          <w:spacing w:val="-1"/>
          <w:sz w:val="21"/>
        </w:rPr>
        <w:t xml:space="preserve"> </w:t>
      </w:r>
      <w:r>
        <w:rPr>
          <w:sz w:val="21"/>
        </w:rPr>
        <w:t>preventing</w:t>
      </w:r>
      <w:r>
        <w:rPr>
          <w:spacing w:val="-2"/>
          <w:sz w:val="21"/>
        </w:rPr>
        <w:t xml:space="preserve"> </w:t>
      </w:r>
      <w:r>
        <w:rPr>
          <w:sz w:val="21"/>
        </w:rPr>
        <w:t>them</w:t>
      </w:r>
      <w:r>
        <w:rPr>
          <w:spacing w:val="-2"/>
          <w:sz w:val="21"/>
        </w:rPr>
        <w:t xml:space="preserve"> </w:t>
      </w:r>
      <w:r>
        <w:rPr>
          <w:sz w:val="21"/>
        </w:rPr>
        <w:t>from</w:t>
      </w:r>
      <w:r>
        <w:rPr>
          <w:spacing w:val="-2"/>
          <w:sz w:val="21"/>
        </w:rPr>
        <w:t xml:space="preserve"> </w:t>
      </w:r>
      <w:r>
        <w:rPr>
          <w:sz w:val="21"/>
        </w:rPr>
        <w:t>reaching</w:t>
      </w:r>
      <w:r>
        <w:rPr>
          <w:spacing w:val="-2"/>
          <w:sz w:val="21"/>
        </w:rPr>
        <w:t xml:space="preserve"> </w:t>
      </w:r>
      <w:r>
        <w:rPr>
          <w:sz w:val="21"/>
        </w:rPr>
        <w:t>a</w:t>
      </w:r>
      <w:r>
        <w:rPr>
          <w:spacing w:val="-1"/>
          <w:sz w:val="21"/>
        </w:rPr>
        <w:t xml:space="preserve"> </w:t>
      </w:r>
      <w:r>
        <w:rPr>
          <w:sz w:val="21"/>
        </w:rPr>
        <w:t>crisis</w:t>
      </w:r>
      <w:r>
        <w:rPr>
          <w:spacing w:val="-2"/>
          <w:sz w:val="21"/>
        </w:rPr>
        <w:t xml:space="preserve"> </w:t>
      </w:r>
      <w:r>
        <w:rPr>
          <w:sz w:val="21"/>
        </w:rPr>
        <w:t>point. Task-shifting</w:t>
      </w:r>
      <w:r>
        <w:rPr>
          <w:spacing w:val="-2"/>
          <w:sz w:val="21"/>
        </w:rPr>
        <w:t xml:space="preserve"> </w:t>
      </w:r>
      <w:r>
        <w:rPr>
          <w:sz w:val="21"/>
        </w:rPr>
        <w:t>has</w:t>
      </w:r>
      <w:r>
        <w:rPr>
          <w:spacing w:val="-2"/>
          <w:sz w:val="21"/>
        </w:rPr>
        <w:t xml:space="preserve"> </w:t>
      </w:r>
      <w:r>
        <w:rPr>
          <w:sz w:val="21"/>
        </w:rPr>
        <w:t>been</w:t>
      </w:r>
      <w:r>
        <w:rPr>
          <w:spacing w:val="-2"/>
          <w:sz w:val="21"/>
        </w:rPr>
        <w:t xml:space="preserve"> </w:t>
      </w:r>
      <w:r>
        <w:rPr>
          <w:sz w:val="21"/>
        </w:rPr>
        <w:t xml:space="preserve">evaluated in controlled studies of lay treatment of depression, anxiety, eating disorders, trauma, and alcohol </w:t>
      </w:r>
      <w:r>
        <w:rPr>
          <w:spacing w:val="-2"/>
          <w:sz w:val="21"/>
        </w:rPr>
        <w:t>dependency.</w:t>
      </w:r>
      <w:hyperlink w:anchor="_bookmark335" w:history="1">
        <w:r>
          <w:rPr>
            <w:spacing w:val="-2"/>
            <w:sz w:val="21"/>
            <w:vertAlign w:val="superscript"/>
          </w:rPr>
          <w:t>81</w:t>
        </w:r>
      </w:hyperlink>
    </w:p>
    <w:p w:rsidR="00200FDA" w:rsidRDefault="00200FDA">
      <w:pPr>
        <w:pStyle w:val="BodyText"/>
        <w:spacing w:before="9"/>
        <w:rPr>
          <w:sz w:val="19"/>
        </w:rPr>
      </w:pPr>
    </w:p>
    <w:p w:rsidR="00200FDA" w:rsidRDefault="00F76C4C">
      <w:pPr>
        <w:spacing w:line="276" w:lineRule="auto"/>
        <w:ind w:left="139" w:right="254"/>
        <w:jc w:val="both"/>
        <w:rPr>
          <w:sz w:val="21"/>
        </w:rPr>
      </w:pPr>
      <w:r>
        <w:rPr>
          <w:sz w:val="21"/>
        </w:rPr>
        <w:t>One way that communities and decision-makers can begin task-shifting is to increase funding and re</w:t>
      </w:r>
      <w:r>
        <w:rPr>
          <w:sz w:val="21"/>
        </w:rPr>
        <w:t>sources for peer support work. Peer workers relieve the intense demand that mental health professionals face. It has been piloted with LGBTQ mental health peer advocates in rural areas.</w:t>
      </w:r>
      <w:r>
        <w:rPr>
          <w:spacing w:val="-12"/>
          <w:sz w:val="21"/>
        </w:rPr>
        <w:t xml:space="preserve"> </w:t>
      </w:r>
      <w:hyperlink w:anchor="_bookmark336" w:history="1">
        <w:r>
          <w:rPr>
            <w:sz w:val="21"/>
            <w:vertAlign w:val="superscript"/>
          </w:rPr>
          <w:t>82</w:t>
        </w:r>
      </w:hyperlink>
      <w:r>
        <w:rPr>
          <w:sz w:val="21"/>
        </w:rPr>
        <w:t xml:space="preserve"> The promotora model, where respecte</w:t>
      </w:r>
      <w:r>
        <w:rPr>
          <w:sz w:val="21"/>
        </w:rPr>
        <w:t>d laypeople become health advocates in their own communities, is another powerful strategy for reducing stigma in a culturally relevant way. They can collaborate with social workers, medical professionals, teachers, and more, and often come from more isola</w:t>
      </w:r>
      <w:r>
        <w:rPr>
          <w:sz w:val="21"/>
        </w:rPr>
        <w:t>ted or marginalized communities, like rural, immigrant, or BIPOC-majority neighborhoods.</w:t>
      </w:r>
      <w:hyperlink w:anchor="_bookmark337" w:history="1">
        <w:r>
          <w:rPr>
            <w:sz w:val="21"/>
            <w:vertAlign w:val="superscript"/>
          </w:rPr>
          <w:t>83</w:t>
        </w:r>
      </w:hyperlink>
    </w:p>
    <w:p w:rsidR="00200FDA" w:rsidRDefault="00200FDA">
      <w:pPr>
        <w:spacing w:line="276" w:lineRule="auto"/>
        <w:jc w:val="both"/>
        <w:rPr>
          <w:sz w:val="21"/>
        </w:rPr>
        <w:sectPr w:rsidR="00200FDA">
          <w:pgSz w:w="12240" w:h="15840"/>
          <w:pgMar w:top="1360" w:right="1180" w:bottom="1480" w:left="1300" w:header="761" w:footer="1208" w:gutter="0"/>
          <w:cols w:space="720"/>
        </w:sectPr>
      </w:pPr>
    </w:p>
    <w:p w:rsidR="00200FDA" w:rsidRDefault="00F76C4C">
      <w:pPr>
        <w:spacing w:before="64" w:line="276" w:lineRule="auto"/>
        <w:ind w:left="139" w:right="253"/>
        <w:jc w:val="both"/>
        <w:rPr>
          <w:sz w:val="21"/>
        </w:rPr>
      </w:pPr>
      <w:r>
        <w:rPr>
          <w:sz w:val="21"/>
        </w:rPr>
        <w:lastRenderedPageBreak/>
        <w:t>Proud and Empowered, a small-group program, is an example of peer work in schools. The program provided a 10-session pr</w:t>
      </w:r>
      <w:r>
        <w:rPr>
          <w:sz w:val="21"/>
        </w:rPr>
        <w:t>ogram for LGBTQ youth, but it also trained “popular” students to be allies in a 4-session leadership program, shifting the burden of changing school climate to students with privilege.</w:t>
      </w:r>
      <w:r>
        <w:rPr>
          <w:spacing w:val="-12"/>
          <w:sz w:val="21"/>
        </w:rPr>
        <w:t xml:space="preserve"> </w:t>
      </w:r>
      <w:hyperlink w:anchor="_bookmark338" w:history="1">
        <w:r>
          <w:rPr>
            <w:sz w:val="21"/>
            <w:vertAlign w:val="superscript"/>
          </w:rPr>
          <w:t>84</w:t>
        </w:r>
      </w:hyperlink>
      <w:r>
        <w:rPr>
          <w:sz w:val="21"/>
        </w:rPr>
        <w:t xml:space="preserve"> The first national</w:t>
      </w:r>
      <w:r>
        <w:rPr>
          <w:spacing w:val="-2"/>
          <w:sz w:val="21"/>
        </w:rPr>
        <w:t xml:space="preserve"> </w:t>
      </w:r>
      <w:r>
        <w:rPr>
          <w:sz w:val="21"/>
        </w:rPr>
        <w:t>review</w:t>
      </w:r>
      <w:r>
        <w:rPr>
          <w:spacing w:val="-4"/>
          <w:sz w:val="21"/>
        </w:rPr>
        <w:t xml:space="preserve"> </w:t>
      </w:r>
      <w:r>
        <w:rPr>
          <w:sz w:val="21"/>
        </w:rPr>
        <w:t>of</w:t>
      </w:r>
      <w:r>
        <w:rPr>
          <w:spacing w:val="-4"/>
          <w:sz w:val="21"/>
        </w:rPr>
        <w:t xml:space="preserve"> </w:t>
      </w:r>
      <w:r>
        <w:rPr>
          <w:sz w:val="21"/>
        </w:rPr>
        <w:t>peer</w:t>
      </w:r>
      <w:r>
        <w:rPr>
          <w:spacing w:val="-4"/>
          <w:sz w:val="21"/>
        </w:rPr>
        <w:t xml:space="preserve"> </w:t>
      </w:r>
      <w:r>
        <w:rPr>
          <w:sz w:val="21"/>
        </w:rPr>
        <w:t>an</w:t>
      </w:r>
      <w:r>
        <w:rPr>
          <w:sz w:val="21"/>
        </w:rPr>
        <w:t>d</w:t>
      </w:r>
      <w:r>
        <w:rPr>
          <w:spacing w:val="-5"/>
          <w:sz w:val="21"/>
        </w:rPr>
        <w:t xml:space="preserve"> </w:t>
      </w:r>
      <w:r>
        <w:rPr>
          <w:sz w:val="21"/>
        </w:rPr>
        <w:t>non-peer</w:t>
      </w:r>
      <w:r>
        <w:rPr>
          <w:spacing w:val="-1"/>
          <w:sz w:val="21"/>
        </w:rPr>
        <w:t xml:space="preserve"> </w:t>
      </w:r>
      <w:r>
        <w:rPr>
          <w:sz w:val="21"/>
        </w:rPr>
        <w:t>transition</w:t>
      </w:r>
      <w:r>
        <w:rPr>
          <w:spacing w:val="-3"/>
          <w:sz w:val="21"/>
        </w:rPr>
        <w:t xml:space="preserve"> </w:t>
      </w:r>
      <w:r>
        <w:rPr>
          <w:sz w:val="21"/>
        </w:rPr>
        <w:t>services</w:t>
      </w:r>
      <w:r>
        <w:rPr>
          <w:spacing w:val="-5"/>
          <w:sz w:val="21"/>
        </w:rPr>
        <w:t xml:space="preserve"> </w:t>
      </w:r>
      <w:r>
        <w:rPr>
          <w:sz w:val="21"/>
        </w:rPr>
        <w:t>makes</w:t>
      </w:r>
      <w:r>
        <w:rPr>
          <w:spacing w:val="-3"/>
          <w:sz w:val="21"/>
        </w:rPr>
        <w:t xml:space="preserve"> </w:t>
      </w:r>
      <w:r>
        <w:rPr>
          <w:sz w:val="21"/>
        </w:rPr>
        <w:t>useful</w:t>
      </w:r>
      <w:r>
        <w:rPr>
          <w:spacing w:val="-5"/>
          <w:sz w:val="21"/>
        </w:rPr>
        <w:t xml:space="preserve"> </w:t>
      </w:r>
      <w:r>
        <w:rPr>
          <w:sz w:val="21"/>
        </w:rPr>
        <w:t>recommendations</w:t>
      </w:r>
      <w:r>
        <w:rPr>
          <w:spacing w:val="-3"/>
          <w:sz w:val="21"/>
        </w:rPr>
        <w:t xml:space="preserve"> </w:t>
      </w:r>
      <w:r>
        <w:rPr>
          <w:sz w:val="21"/>
        </w:rPr>
        <w:t>about</w:t>
      </w:r>
      <w:r>
        <w:rPr>
          <w:spacing w:val="-3"/>
          <w:sz w:val="21"/>
        </w:rPr>
        <w:t xml:space="preserve"> </w:t>
      </w:r>
      <w:r>
        <w:rPr>
          <w:sz w:val="21"/>
        </w:rPr>
        <w:t>the</w:t>
      </w:r>
      <w:r>
        <w:rPr>
          <w:spacing w:val="-2"/>
          <w:sz w:val="21"/>
        </w:rPr>
        <w:t xml:space="preserve"> </w:t>
      </w:r>
      <w:r>
        <w:rPr>
          <w:sz w:val="21"/>
        </w:rPr>
        <w:t>needs</w:t>
      </w:r>
      <w:r>
        <w:rPr>
          <w:spacing w:val="-3"/>
          <w:sz w:val="21"/>
        </w:rPr>
        <w:t xml:space="preserve"> </w:t>
      </w:r>
      <w:r>
        <w:rPr>
          <w:sz w:val="21"/>
        </w:rPr>
        <w:t>and preferences of peer workers, including greater funding for coaching and training.</w:t>
      </w:r>
      <w:hyperlink w:anchor="_bookmark339" w:history="1">
        <w:r>
          <w:rPr>
            <w:sz w:val="21"/>
            <w:vertAlign w:val="superscript"/>
          </w:rPr>
          <w:t>85</w:t>
        </w:r>
      </w:hyperlink>
    </w:p>
    <w:p w:rsidR="00200FDA" w:rsidRDefault="00200FDA">
      <w:pPr>
        <w:pStyle w:val="BodyText"/>
        <w:spacing w:before="7"/>
        <w:rPr>
          <w:sz w:val="19"/>
        </w:rPr>
      </w:pPr>
    </w:p>
    <w:p w:rsidR="00200FDA" w:rsidRDefault="00F76C4C">
      <w:pPr>
        <w:spacing w:line="276" w:lineRule="auto"/>
        <w:ind w:left="139" w:right="255"/>
        <w:jc w:val="both"/>
        <w:rPr>
          <w:sz w:val="21"/>
        </w:rPr>
      </w:pPr>
      <w:r>
        <w:rPr>
          <w:sz w:val="21"/>
        </w:rPr>
        <w:t>Another</w:t>
      </w:r>
      <w:r>
        <w:rPr>
          <w:spacing w:val="-8"/>
          <w:sz w:val="21"/>
        </w:rPr>
        <w:t xml:space="preserve"> </w:t>
      </w:r>
      <w:r>
        <w:rPr>
          <w:sz w:val="21"/>
        </w:rPr>
        <w:t>way</w:t>
      </w:r>
      <w:r>
        <w:rPr>
          <w:spacing w:val="-9"/>
          <w:sz w:val="21"/>
        </w:rPr>
        <w:t xml:space="preserve"> </w:t>
      </w:r>
      <w:r>
        <w:rPr>
          <w:sz w:val="21"/>
        </w:rPr>
        <w:t>that</w:t>
      </w:r>
      <w:r>
        <w:rPr>
          <w:spacing w:val="-10"/>
          <w:sz w:val="21"/>
        </w:rPr>
        <w:t xml:space="preserve"> </w:t>
      </w:r>
      <w:r>
        <w:rPr>
          <w:sz w:val="21"/>
        </w:rPr>
        <w:t>schools</w:t>
      </w:r>
      <w:r>
        <w:rPr>
          <w:spacing w:val="-10"/>
          <w:sz w:val="21"/>
        </w:rPr>
        <w:t xml:space="preserve"> </w:t>
      </w:r>
      <w:r>
        <w:rPr>
          <w:sz w:val="21"/>
        </w:rPr>
        <w:t>and</w:t>
      </w:r>
      <w:r>
        <w:rPr>
          <w:spacing w:val="-10"/>
          <w:sz w:val="21"/>
        </w:rPr>
        <w:t xml:space="preserve"> </w:t>
      </w:r>
      <w:r>
        <w:rPr>
          <w:sz w:val="21"/>
        </w:rPr>
        <w:t>communities</w:t>
      </w:r>
      <w:r>
        <w:rPr>
          <w:spacing w:val="-10"/>
          <w:sz w:val="21"/>
        </w:rPr>
        <w:t xml:space="preserve"> </w:t>
      </w:r>
      <w:r>
        <w:rPr>
          <w:sz w:val="21"/>
        </w:rPr>
        <w:t>can</w:t>
      </w:r>
      <w:r>
        <w:rPr>
          <w:spacing w:val="-10"/>
          <w:sz w:val="21"/>
        </w:rPr>
        <w:t xml:space="preserve"> </w:t>
      </w:r>
      <w:r>
        <w:rPr>
          <w:sz w:val="21"/>
        </w:rPr>
        <w:t>task-shift</w:t>
      </w:r>
      <w:r>
        <w:rPr>
          <w:spacing w:val="-10"/>
          <w:sz w:val="21"/>
        </w:rPr>
        <w:t xml:space="preserve"> </w:t>
      </w:r>
      <w:r>
        <w:rPr>
          <w:sz w:val="21"/>
        </w:rPr>
        <w:t>is</w:t>
      </w:r>
      <w:r>
        <w:rPr>
          <w:spacing w:val="-10"/>
          <w:sz w:val="21"/>
        </w:rPr>
        <w:t xml:space="preserve"> </w:t>
      </w:r>
      <w:r>
        <w:rPr>
          <w:sz w:val="21"/>
        </w:rPr>
        <w:t>by</w:t>
      </w:r>
      <w:r>
        <w:rPr>
          <w:spacing w:val="-9"/>
          <w:sz w:val="21"/>
        </w:rPr>
        <w:t xml:space="preserve"> </w:t>
      </w:r>
      <w:r>
        <w:rPr>
          <w:sz w:val="21"/>
        </w:rPr>
        <w:t>hosting</w:t>
      </w:r>
      <w:r>
        <w:rPr>
          <w:spacing w:val="-10"/>
          <w:sz w:val="21"/>
        </w:rPr>
        <w:t xml:space="preserve"> </w:t>
      </w:r>
      <w:r>
        <w:rPr>
          <w:sz w:val="21"/>
        </w:rPr>
        <w:t>free</w:t>
      </w:r>
      <w:r>
        <w:rPr>
          <w:spacing w:val="-9"/>
          <w:sz w:val="21"/>
        </w:rPr>
        <w:t xml:space="preserve"> </w:t>
      </w:r>
      <w:r>
        <w:rPr>
          <w:sz w:val="21"/>
        </w:rPr>
        <w:t>mental</w:t>
      </w:r>
      <w:r>
        <w:rPr>
          <w:spacing w:val="-10"/>
          <w:sz w:val="21"/>
        </w:rPr>
        <w:t xml:space="preserve"> </w:t>
      </w:r>
      <w:r>
        <w:rPr>
          <w:sz w:val="21"/>
        </w:rPr>
        <w:t>health</w:t>
      </w:r>
      <w:r>
        <w:rPr>
          <w:spacing w:val="-10"/>
          <w:sz w:val="21"/>
        </w:rPr>
        <w:t xml:space="preserve"> </w:t>
      </w:r>
      <w:r>
        <w:rPr>
          <w:sz w:val="21"/>
        </w:rPr>
        <w:t>first</w:t>
      </w:r>
      <w:r>
        <w:rPr>
          <w:spacing w:val="-10"/>
          <w:sz w:val="21"/>
        </w:rPr>
        <w:t xml:space="preserve"> </w:t>
      </w:r>
      <w:r>
        <w:rPr>
          <w:sz w:val="21"/>
        </w:rPr>
        <w:t>aid</w:t>
      </w:r>
      <w:r>
        <w:rPr>
          <w:spacing w:val="-10"/>
          <w:sz w:val="21"/>
        </w:rPr>
        <w:t xml:space="preserve"> </w:t>
      </w:r>
      <w:r>
        <w:rPr>
          <w:sz w:val="21"/>
        </w:rPr>
        <w:t>trainings</w:t>
      </w:r>
      <w:r>
        <w:rPr>
          <w:spacing w:val="-10"/>
          <w:sz w:val="21"/>
        </w:rPr>
        <w:t xml:space="preserve"> </w:t>
      </w:r>
      <w:r>
        <w:rPr>
          <w:sz w:val="21"/>
        </w:rPr>
        <w:t>and mental health literacy campaigns. Mental health first aid teaches laypeople to recognize and intervene in mental health emergencies such as panic attacks and suicidal ideation; it has been shown to sign</w:t>
      </w:r>
      <w:r>
        <w:rPr>
          <w:sz w:val="21"/>
        </w:rPr>
        <w:t>ificantly decrease mental health stigma in parents.</w:t>
      </w:r>
      <w:hyperlink w:anchor="_bookmark340" w:history="1">
        <w:r>
          <w:rPr>
            <w:sz w:val="21"/>
            <w:vertAlign w:val="superscript"/>
          </w:rPr>
          <w:t>86</w:t>
        </w:r>
      </w:hyperlink>
      <w:r>
        <w:rPr>
          <w:sz w:val="21"/>
        </w:rPr>
        <w:t xml:space="preserve"> Since reluctance about getting parental permission is a major reason</w:t>
      </w:r>
      <w:r>
        <w:rPr>
          <w:spacing w:val="-7"/>
          <w:sz w:val="21"/>
        </w:rPr>
        <w:t xml:space="preserve"> </w:t>
      </w:r>
      <w:r>
        <w:rPr>
          <w:sz w:val="21"/>
        </w:rPr>
        <w:t>why</w:t>
      </w:r>
      <w:r>
        <w:rPr>
          <w:spacing w:val="-4"/>
          <w:sz w:val="21"/>
        </w:rPr>
        <w:t xml:space="preserve"> </w:t>
      </w:r>
      <w:r>
        <w:rPr>
          <w:sz w:val="21"/>
        </w:rPr>
        <w:t>LGBTQ</w:t>
      </w:r>
      <w:r>
        <w:rPr>
          <w:spacing w:val="-7"/>
          <w:sz w:val="21"/>
        </w:rPr>
        <w:t xml:space="preserve"> </w:t>
      </w:r>
      <w:r>
        <w:rPr>
          <w:sz w:val="21"/>
        </w:rPr>
        <w:t>youth</w:t>
      </w:r>
      <w:r>
        <w:rPr>
          <w:spacing w:val="-5"/>
          <w:sz w:val="21"/>
        </w:rPr>
        <w:t xml:space="preserve"> </w:t>
      </w:r>
      <w:r>
        <w:rPr>
          <w:sz w:val="21"/>
        </w:rPr>
        <w:t>do</w:t>
      </w:r>
      <w:r>
        <w:rPr>
          <w:spacing w:val="-8"/>
          <w:sz w:val="21"/>
        </w:rPr>
        <w:t xml:space="preserve"> </w:t>
      </w:r>
      <w:r>
        <w:rPr>
          <w:sz w:val="21"/>
        </w:rPr>
        <w:t>not</w:t>
      </w:r>
      <w:r>
        <w:rPr>
          <w:spacing w:val="-5"/>
          <w:sz w:val="21"/>
        </w:rPr>
        <w:t xml:space="preserve"> </w:t>
      </w:r>
      <w:r>
        <w:rPr>
          <w:sz w:val="21"/>
        </w:rPr>
        <w:t>seek</w:t>
      </w:r>
      <w:r>
        <w:rPr>
          <w:spacing w:val="-7"/>
          <w:sz w:val="21"/>
        </w:rPr>
        <w:t xml:space="preserve"> </w:t>
      </w:r>
      <w:r>
        <w:rPr>
          <w:sz w:val="21"/>
        </w:rPr>
        <w:t>mental</w:t>
      </w:r>
      <w:r>
        <w:rPr>
          <w:spacing w:val="-5"/>
          <w:sz w:val="21"/>
        </w:rPr>
        <w:t xml:space="preserve"> </w:t>
      </w:r>
      <w:r>
        <w:rPr>
          <w:sz w:val="21"/>
        </w:rPr>
        <w:t>health</w:t>
      </w:r>
      <w:r>
        <w:rPr>
          <w:spacing w:val="-5"/>
          <w:sz w:val="21"/>
        </w:rPr>
        <w:t xml:space="preserve"> </w:t>
      </w:r>
      <w:r>
        <w:rPr>
          <w:sz w:val="21"/>
        </w:rPr>
        <w:t>care,</w:t>
      </w:r>
      <w:r>
        <w:rPr>
          <w:spacing w:val="-4"/>
          <w:sz w:val="21"/>
        </w:rPr>
        <w:t xml:space="preserve"> </w:t>
      </w:r>
      <w:r>
        <w:rPr>
          <w:sz w:val="21"/>
        </w:rPr>
        <w:t>decreasing</w:t>
      </w:r>
      <w:r>
        <w:rPr>
          <w:spacing w:val="-5"/>
          <w:sz w:val="21"/>
        </w:rPr>
        <w:t xml:space="preserve"> </w:t>
      </w:r>
      <w:r>
        <w:rPr>
          <w:sz w:val="21"/>
        </w:rPr>
        <w:t>community-wide</w:t>
      </w:r>
      <w:r>
        <w:rPr>
          <w:spacing w:val="-4"/>
          <w:sz w:val="21"/>
        </w:rPr>
        <w:t xml:space="preserve"> </w:t>
      </w:r>
      <w:r>
        <w:rPr>
          <w:sz w:val="21"/>
        </w:rPr>
        <w:t>mental</w:t>
      </w:r>
      <w:r>
        <w:rPr>
          <w:spacing w:val="-5"/>
          <w:sz w:val="21"/>
        </w:rPr>
        <w:t xml:space="preserve"> </w:t>
      </w:r>
      <w:r>
        <w:rPr>
          <w:sz w:val="21"/>
        </w:rPr>
        <w:t>health</w:t>
      </w:r>
      <w:r>
        <w:rPr>
          <w:spacing w:val="-5"/>
          <w:sz w:val="21"/>
        </w:rPr>
        <w:t xml:space="preserve"> </w:t>
      </w:r>
      <w:r>
        <w:rPr>
          <w:sz w:val="21"/>
        </w:rPr>
        <w:t>stigma</w:t>
      </w:r>
      <w:r>
        <w:rPr>
          <w:spacing w:val="-5"/>
          <w:sz w:val="21"/>
        </w:rPr>
        <w:t xml:space="preserve"> </w:t>
      </w:r>
      <w:r>
        <w:rPr>
          <w:sz w:val="21"/>
        </w:rPr>
        <w:t xml:space="preserve">is </w:t>
      </w:r>
      <w:r>
        <w:rPr>
          <w:spacing w:val="-2"/>
          <w:sz w:val="21"/>
        </w:rPr>
        <w:t>important.</w:t>
      </w:r>
    </w:p>
    <w:p w:rsidR="00200FDA" w:rsidRDefault="00200FDA">
      <w:pPr>
        <w:pStyle w:val="BodyText"/>
        <w:rPr>
          <w:sz w:val="20"/>
        </w:rPr>
      </w:pPr>
    </w:p>
    <w:p w:rsidR="00200FDA" w:rsidRDefault="00200FDA">
      <w:pPr>
        <w:pStyle w:val="BodyText"/>
        <w:spacing w:before="5"/>
        <w:rPr>
          <w:sz w:val="17"/>
        </w:rPr>
      </w:pPr>
    </w:p>
    <w:p w:rsidR="00200FDA" w:rsidRDefault="00F76C4C">
      <w:pPr>
        <w:pStyle w:val="Heading8"/>
      </w:pPr>
      <w:bookmarkStart w:id="371" w:name="Optimize_LGBTQ_Youth_Programming_and_Pro"/>
      <w:bookmarkEnd w:id="371"/>
      <w:r>
        <w:rPr>
          <w:color w:val="0A5293"/>
        </w:rPr>
        <w:t>Optimize</w:t>
      </w:r>
      <w:r>
        <w:rPr>
          <w:color w:val="0A5293"/>
          <w:spacing w:val="-4"/>
        </w:rPr>
        <w:t xml:space="preserve"> </w:t>
      </w:r>
      <w:r>
        <w:rPr>
          <w:color w:val="0A5293"/>
        </w:rPr>
        <w:t>LGBTQ</w:t>
      </w:r>
      <w:r>
        <w:rPr>
          <w:color w:val="0A5293"/>
          <w:spacing w:val="-3"/>
        </w:rPr>
        <w:t xml:space="preserve"> </w:t>
      </w:r>
      <w:r>
        <w:rPr>
          <w:color w:val="0A5293"/>
        </w:rPr>
        <w:t>Youth</w:t>
      </w:r>
      <w:r>
        <w:rPr>
          <w:color w:val="0A5293"/>
          <w:spacing w:val="-4"/>
        </w:rPr>
        <w:t xml:space="preserve"> </w:t>
      </w:r>
      <w:r>
        <w:rPr>
          <w:color w:val="0A5293"/>
        </w:rPr>
        <w:t>Programming</w:t>
      </w:r>
      <w:r>
        <w:rPr>
          <w:color w:val="0A5293"/>
          <w:spacing w:val="-4"/>
        </w:rPr>
        <w:t xml:space="preserve"> </w:t>
      </w:r>
      <w:r>
        <w:rPr>
          <w:color w:val="0A5293"/>
        </w:rPr>
        <w:t>and</w:t>
      </w:r>
      <w:r>
        <w:rPr>
          <w:color w:val="0A5293"/>
          <w:spacing w:val="-1"/>
        </w:rPr>
        <w:t xml:space="preserve"> </w:t>
      </w:r>
      <w:r>
        <w:rPr>
          <w:color w:val="0A5293"/>
        </w:rPr>
        <w:t>Promoting</w:t>
      </w:r>
      <w:r>
        <w:rPr>
          <w:color w:val="0A5293"/>
          <w:spacing w:val="-3"/>
        </w:rPr>
        <w:t xml:space="preserve"> </w:t>
      </w:r>
      <w:r>
        <w:rPr>
          <w:color w:val="0A5293"/>
        </w:rPr>
        <w:t>Positive</w:t>
      </w:r>
      <w:r>
        <w:rPr>
          <w:color w:val="0A5293"/>
          <w:spacing w:val="-4"/>
        </w:rPr>
        <w:t xml:space="preserve"> </w:t>
      </w:r>
      <w:r>
        <w:rPr>
          <w:color w:val="0A5293"/>
        </w:rPr>
        <w:t>Youth</w:t>
      </w:r>
      <w:r>
        <w:rPr>
          <w:color w:val="0A5293"/>
          <w:spacing w:val="-3"/>
        </w:rPr>
        <w:t xml:space="preserve"> </w:t>
      </w:r>
      <w:r>
        <w:rPr>
          <w:color w:val="0A5293"/>
          <w:spacing w:val="-2"/>
        </w:rPr>
        <w:t>Development</w:t>
      </w:r>
    </w:p>
    <w:p w:rsidR="00200FDA" w:rsidRDefault="00200FDA">
      <w:pPr>
        <w:pStyle w:val="BodyText"/>
        <w:spacing w:before="8"/>
        <w:rPr>
          <w:sz w:val="27"/>
        </w:rPr>
      </w:pPr>
    </w:p>
    <w:p w:rsidR="00200FDA" w:rsidRDefault="00F76C4C">
      <w:pPr>
        <w:spacing w:line="276" w:lineRule="auto"/>
        <w:ind w:left="3007" w:right="254"/>
        <w:jc w:val="both"/>
        <w:rPr>
          <w:sz w:val="21"/>
        </w:rPr>
      </w:pPr>
      <w:r>
        <w:rPr>
          <w:noProof/>
        </w:rPr>
        <w:drawing>
          <wp:anchor distT="0" distB="0" distL="0" distR="0" simplePos="0" relativeHeight="15764992" behindDoc="0" locked="0" layoutInCell="1" allowOverlap="1">
            <wp:simplePos x="0" y="0"/>
            <wp:positionH relativeFrom="page">
              <wp:posOffset>1020589</wp:posOffset>
            </wp:positionH>
            <wp:positionV relativeFrom="paragraph">
              <wp:posOffset>18487</wp:posOffset>
            </wp:positionV>
            <wp:extent cx="1550726" cy="1547808"/>
            <wp:effectExtent l="0" t="0" r="0" b="0"/>
            <wp:wrapNone/>
            <wp:docPr id="53" name="image71.png" descr="Text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1.png"/>
                    <pic:cNvPicPr/>
                  </pic:nvPicPr>
                  <pic:blipFill>
                    <a:blip r:embed="rId242" cstate="print"/>
                    <a:stretch>
                      <a:fillRect/>
                    </a:stretch>
                  </pic:blipFill>
                  <pic:spPr>
                    <a:xfrm>
                      <a:off x="0" y="0"/>
                      <a:ext cx="1550726" cy="1547808"/>
                    </a:xfrm>
                    <a:prstGeom prst="rect">
                      <a:avLst/>
                    </a:prstGeom>
                  </pic:spPr>
                </pic:pic>
              </a:graphicData>
            </a:graphic>
          </wp:anchor>
        </w:drawing>
      </w:r>
      <w:r>
        <w:rPr>
          <w:sz w:val="21"/>
        </w:rPr>
        <w:t>Shifting focus from communities to organizations, the Commission urges decision-makers to allocate more funding to LGBTQ youth services. This includes funding LGBTQ-sp</w:t>
      </w:r>
      <w:r>
        <w:rPr>
          <w:sz w:val="21"/>
        </w:rPr>
        <w:t>ecific organizations as well as incentivizing community-serving</w:t>
      </w:r>
      <w:r>
        <w:rPr>
          <w:spacing w:val="-12"/>
          <w:sz w:val="21"/>
        </w:rPr>
        <w:t xml:space="preserve"> </w:t>
      </w:r>
      <w:r>
        <w:rPr>
          <w:sz w:val="21"/>
        </w:rPr>
        <w:t>organizations</w:t>
      </w:r>
      <w:r>
        <w:rPr>
          <w:spacing w:val="-12"/>
          <w:sz w:val="21"/>
        </w:rPr>
        <w:t xml:space="preserve"> </w:t>
      </w:r>
      <w:r>
        <w:rPr>
          <w:sz w:val="21"/>
        </w:rPr>
        <w:t>(such</w:t>
      </w:r>
      <w:r>
        <w:rPr>
          <w:spacing w:val="-12"/>
          <w:sz w:val="21"/>
        </w:rPr>
        <w:t xml:space="preserve"> </w:t>
      </w:r>
      <w:r>
        <w:rPr>
          <w:sz w:val="21"/>
        </w:rPr>
        <w:t>as</w:t>
      </w:r>
      <w:r>
        <w:rPr>
          <w:spacing w:val="-12"/>
          <w:sz w:val="21"/>
        </w:rPr>
        <w:t xml:space="preserve"> </w:t>
      </w:r>
      <w:r>
        <w:rPr>
          <w:sz w:val="21"/>
        </w:rPr>
        <w:t>places</w:t>
      </w:r>
      <w:r>
        <w:rPr>
          <w:spacing w:val="-12"/>
          <w:sz w:val="21"/>
        </w:rPr>
        <w:t xml:space="preserve"> </w:t>
      </w:r>
      <w:r>
        <w:rPr>
          <w:sz w:val="21"/>
        </w:rPr>
        <w:t>of</w:t>
      </w:r>
      <w:r>
        <w:rPr>
          <w:spacing w:val="-12"/>
          <w:sz w:val="21"/>
        </w:rPr>
        <w:t xml:space="preserve"> </w:t>
      </w:r>
      <w:r>
        <w:rPr>
          <w:sz w:val="21"/>
        </w:rPr>
        <w:t>worship,</w:t>
      </w:r>
      <w:r>
        <w:rPr>
          <w:spacing w:val="-12"/>
          <w:sz w:val="21"/>
        </w:rPr>
        <w:t xml:space="preserve"> </w:t>
      </w:r>
      <w:r>
        <w:rPr>
          <w:sz w:val="21"/>
        </w:rPr>
        <w:t>nonprofits,</w:t>
      </w:r>
      <w:r>
        <w:rPr>
          <w:spacing w:val="-11"/>
          <w:sz w:val="21"/>
        </w:rPr>
        <w:t xml:space="preserve"> </w:t>
      </w:r>
      <w:r>
        <w:rPr>
          <w:sz w:val="21"/>
        </w:rPr>
        <w:t>etc.) to host services and programs that improve the emotional well-being of LGBTQ</w:t>
      </w:r>
      <w:r>
        <w:rPr>
          <w:spacing w:val="-12"/>
          <w:sz w:val="21"/>
        </w:rPr>
        <w:t xml:space="preserve"> </w:t>
      </w:r>
      <w:r>
        <w:rPr>
          <w:sz w:val="21"/>
        </w:rPr>
        <w:t>youth</w:t>
      </w:r>
      <w:r>
        <w:rPr>
          <w:spacing w:val="-12"/>
          <w:sz w:val="21"/>
        </w:rPr>
        <w:t xml:space="preserve"> </w:t>
      </w:r>
      <w:r>
        <w:rPr>
          <w:sz w:val="21"/>
        </w:rPr>
        <w:t>and</w:t>
      </w:r>
      <w:r>
        <w:rPr>
          <w:spacing w:val="-12"/>
          <w:sz w:val="21"/>
        </w:rPr>
        <w:t xml:space="preserve"> </w:t>
      </w:r>
      <w:r>
        <w:rPr>
          <w:sz w:val="21"/>
        </w:rPr>
        <w:t>their</w:t>
      </w:r>
      <w:r>
        <w:rPr>
          <w:spacing w:val="-12"/>
          <w:sz w:val="21"/>
        </w:rPr>
        <w:t xml:space="preserve"> </w:t>
      </w:r>
      <w:r>
        <w:rPr>
          <w:sz w:val="21"/>
        </w:rPr>
        <w:t>families.</w:t>
      </w:r>
      <w:r>
        <w:rPr>
          <w:spacing w:val="-12"/>
          <w:sz w:val="21"/>
        </w:rPr>
        <w:t xml:space="preserve"> </w:t>
      </w:r>
      <w:r>
        <w:rPr>
          <w:sz w:val="21"/>
        </w:rPr>
        <w:t>Non-LGBTQ-specific</w:t>
      </w:r>
      <w:r>
        <w:rPr>
          <w:spacing w:val="-12"/>
          <w:sz w:val="21"/>
        </w:rPr>
        <w:t xml:space="preserve"> </w:t>
      </w:r>
      <w:r>
        <w:rPr>
          <w:sz w:val="21"/>
        </w:rPr>
        <w:t>youth</w:t>
      </w:r>
      <w:r>
        <w:rPr>
          <w:spacing w:val="-12"/>
          <w:sz w:val="21"/>
        </w:rPr>
        <w:t xml:space="preserve"> </w:t>
      </w:r>
      <w:r>
        <w:rPr>
          <w:sz w:val="21"/>
        </w:rPr>
        <w:t>programming</w:t>
      </w:r>
      <w:r>
        <w:rPr>
          <w:spacing w:val="-11"/>
          <w:sz w:val="21"/>
        </w:rPr>
        <w:t xml:space="preserve"> </w:t>
      </w:r>
      <w:r>
        <w:rPr>
          <w:sz w:val="21"/>
        </w:rPr>
        <w:t>can also be harnessed to provide support and early intervention for LGBTQ youth.</w:t>
      </w:r>
      <w:r>
        <w:rPr>
          <w:spacing w:val="-12"/>
          <w:sz w:val="21"/>
        </w:rPr>
        <w:t xml:space="preserve"> </w:t>
      </w:r>
      <w:r>
        <w:rPr>
          <w:sz w:val="21"/>
        </w:rPr>
        <w:t>Positive</w:t>
      </w:r>
      <w:r>
        <w:rPr>
          <w:spacing w:val="-12"/>
          <w:sz w:val="21"/>
        </w:rPr>
        <w:t xml:space="preserve"> </w:t>
      </w:r>
      <w:r>
        <w:rPr>
          <w:sz w:val="21"/>
        </w:rPr>
        <w:t>Youth</w:t>
      </w:r>
      <w:r>
        <w:rPr>
          <w:spacing w:val="-12"/>
          <w:sz w:val="21"/>
        </w:rPr>
        <w:t xml:space="preserve"> </w:t>
      </w:r>
      <w:r>
        <w:rPr>
          <w:sz w:val="21"/>
        </w:rPr>
        <w:t>Development</w:t>
      </w:r>
      <w:r>
        <w:rPr>
          <w:spacing w:val="-12"/>
          <w:sz w:val="21"/>
        </w:rPr>
        <w:t xml:space="preserve"> </w:t>
      </w:r>
      <w:r>
        <w:rPr>
          <w:sz w:val="21"/>
        </w:rPr>
        <w:t>(PYD)</w:t>
      </w:r>
      <w:r>
        <w:rPr>
          <w:spacing w:val="-12"/>
          <w:sz w:val="21"/>
        </w:rPr>
        <w:t xml:space="preserve"> </w:t>
      </w:r>
      <w:r>
        <w:rPr>
          <w:sz w:val="21"/>
        </w:rPr>
        <w:t>is</w:t>
      </w:r>
      <w:r>
        <w:rPr>
          <w:spacing w:val="-12"/>
          <w:sz w:val="21"/>
        </w:rPr>
        <w:t xml:space="preserve"> </w:t>
      </w:r>
      <w:r>
        <w:rPr>
          <w:sz w:val="21"/>
        </w:rPr>
        <w:t>one</w:t>
      </w:r>
      <w:r>
        <w:rPr>
          <w:spacing w:val="-12"/>
          <w:sz w:val="21"/>
        </w:rPr>
        <w:t xml:space="preserve"> </w:t>
      </w:r>
      <w:r>
        <w:rPr>
          <w:sz w:val="21"/>
        </w:rPr>
        <w:t>evidence-based</w:t>
      </w:r>
      <w:r>
        <w:rPr>
          <w:spacing w:val="-11"/>
          <w:sz w:val="21"/>
        </w:rPr>
        <w:t xml:space="preserve"> </w:t>
      </w:r>
      <w:r>
        <w:rPr>
          <w:sz w:val="21"/>
        </w:rPr>
        <w:t>intervention that taps into youths’ strengths, interests, and voices to improve emotional</w:t>
      </w:r>
    </w:p>
    <w:p w:rsidR="00200FDA" w:rsidRDefault="00F76C4C">
      <w:pPr>
        <w:spacing w:line="276" w:lineRule="auto"/>
        <w:ind w:left="140" w:right="254"/>
        <w:jc w:val="both"/>
        <w:rPr>
          <w:sz w:val="21"/>
        </w:rPr>
      </w:pPr>
      <w:r>
        <w:rPr>
          <w:sz w:val="21"/>
        </w:rPr>
        <w:t>well-being in family, school, and community contexts. Preexisting school and community-based youth programs could be adapted to be LGBTQ-inclusive, since many of them already adhere to PYD. Examples include 4-H and Scouting.</w:t>
      </w:r>
      <w:hyperlink w:anchor="_bookmark341" w:history="1">
        <w:r>
          <w:rPr>
            <w:sz w:val="21"/>
            <w:vertAlign w:val="superscript"/>
          </w:rPr>
          <w:t>87</w:t>
        </w:r>
      </w:hyperlink>
    </w:p>
    <w:p w:rsidR="00200FDA" w:rsidRDefault="00200FDA">
      <w:pPr>
        <w:pStyle w:val="BodyText"/>
      </w:pPr>
    </w:p>
    <w:p w:rsidR="00200FDA" w:rsidRDefault="00F76C4C">
      <w:pPr>
        <w:spacing w:before="147" w:line="276" w:lineRule="auto"/>
        <w:ind w:left="139" w:right="256"/>
        <w:jc w:val="both"/>
        <w:rPr>
          <w:sz w:val="21"/>
        </w:rPr>
      </w:pPr>
      <w:r>
        <w:rPr>
          <w:noProof/>
        </w:rPr>
        <w:drawing>
          <wp:anchor distT="0" distB="0" distL="0" distR="0" simplePos="0" relativeHeight="15764480" behindDoc="0" locked="0" layoutInCell="1" allowOverlap="1">
            <wp:simplePos x="0" y="0"/>
            <wp:positionH relativeFrom="page">
              <wp:posOffset>4536014</wp:posOffset>
            </wp:positionH>
            <wp:positionV relativeFrom="paragraph">
              <wp:posOffset>756401</wp:posOffset>
            </wp:positionV>
            <wp:extent cx="2325984" cy="1162581"/>
            <wp:effectExtent l="0" t="0" r="0" b="0"/>
            <wp:wrapNone/>
            <wp:docPr id="55" name="image72.jpeg" descr="Timeline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72.jpeg"/>
                    <pic:cNvPicPr/>
                  </pic:nvPicPr>
                  <pic:blipFill>
                    <a:blip r:embed="rId243" cstate="print"/>
                    <a:stretch>
                      <a:fillRect/>
                    </a:stretch>
                  </pic:blipFill>
                  <pic:spPr>
                    <a:xfrm>
                      <a:off x="0" y="0"/>
                      <a:ext cx="2325984" cy="1162581"/>
                    </a:xfrm>
                    <a:prstGeom prst="rect">
                      <a:avLst/>
                    </a:prstGeom>
                  </pic:spPr>
                </pic:pic>
              </a:graphicData>
            </a:graphic>
          </wp:anchor>
        </w:drawing>
      </w:r>
      <w:r>
        <w:rPr>
          <w:sz w:val="21"/>
        </w:rPr>
        <w:t>Elected officials in Massachusetts have a public health mandate to advance bills that defend LGBTQ youths’ rights</w:t>
      </w:r>
      <w:r>
        <w:rPr>
          <w:spacing w:val="-9"/>
          <w:sz w:val="21"/>
        </w:rPr>
        <w:t xml:space="preserve"> </w:t>
      </w:r>
      <w:r>
        <w:rPr>
          <w:sz w:val="21"/>
        </w:rPr>
        <w:t>and</w:t>
      </w:r>
      <w:r>
        <w:rPr>
          <w:spacing w:val="-9"/>
          <w:sz w:val="21"/>
        </w:rPr>
        <w:t xml:space="preserve"> </w:t>
      </w:r>
      <w:r>
        <w:rPr>
          <w:sz w:val="21"/>
        </w:rPr>
        <w:t>well-being.</w:t>
      </w:r>
      <w:r>
        <w:rPr>
          <w:spacing w:val="-9"/>
          <w:sz w:val="21"/>
        </w:rPr>
        <w:t xml:space="preserve"> </w:t>
      </w:r>
      <w:r>
        <w:rPr>
          <w:sz w:val="21"/>
        </w:rPr>
        <w:t>In</w:t>
      </w:r>
      <w:r>
        <w:rPr>
          <w:spacing w:val="-9"/>
          <w:sz w:val="21"/>
        </w:rPr>
        <w:t xml:space="preserve"> </w:t>
      </w:r>
      <w:r>
        <w:rPr>
          <w:sz w:val="21"/>
        </w:rPr>
        <w:t>their</w:t>
      </w:r>
      <w:r>
        <w:rPr>
          <w:spacing w:val="-7"/>
          <w:sz w:val="21"/>
        </w:rPr>
        <w:t xml:space="preserve"> </w:t>
      </w:r>
      <w:r>
        <w:rPr>
          <w:sz w:val="21"/>
        </w:rPr>
        <w:t>2021</w:t>
      </w:r>
      <w:r>
        <w:rPr>
          <w:spacing w:val="-7"/>
          <w:sz w:val="21"/>
        </w:rPr>
        <w:t xml:space="preserve"> </w:t>
      </w:r>
      <w:r>
        <w:rPr>
          <w:sz w:val="21"/>
        </w:rPr>
        <w:t>policy</w:t>
      </w:r>
      <w:r>
        <w:rPr>
          <w:spacing w:val="-8"/>
          <w:sz w:val="21"/>
        </w:rPr>
        <w:t xml:space="preserve"> </w:t>
      </w:r>
      <w:r>
        <w:rPr>
          <w:sz w:val="21"/>
        </w:rPr>
        <w:t>brief,</w:t>
      </w:r>
      <w:r>
        <w:rPr>
          <w:spacing w:val="-8"/>
          <w:sz w:val="21"/>
        </w:rPr>
        <w:t xml:space="preserve"> </w:t>
      </w:r>
      <w:r>
        <w:rPr>
          <w:sz w:val="21"/>
        </w:rPr>
        <w:t>Fenway</w:t>
      </w:r>
      <w:r>
        <w:rPr>
          <w:spacing w:val="-10"/>
          <w:sz w:val="21"/>
        </w:rPr>
        <w:t xml:space="preserve"> </w:t>
      </w:r>
      <w:r>
        <w:rPr>
          <w:sz w:val="21"/>
        </w:rPr>
        <w:t>Health</w:t>
      </w:r>
      <w:r>
        <w:rPr>
          <w:spacing w:val="-9"/>
          <w:sz w:val="21"/>
        </w:rPr>
        <w:t xml:space="preserve"> </w:t>
      </w:r>
      <w:r>
        <w:rPr>
          <w:sz w:val="21"/>
        </w:rPr>
        <w:t>urged</w:t>
      </w:r>
      <w:r>
        <w:rPr>
          <w:spacing w:val="-9"/>
          <w:sz w:val="21"/>
        </w:rPr>
        <w:t xml:space="preserve"> </w:t>
      </w:r>
      <w:r>
        <w:rPr>
          <w:sz w:val="21"/>
        </w:rPr>
        <w:t>candidates</w:t>
      </w:r>
      <w:r>
        <w:rPr>
          <w:spacing w:val="-9"/>
          <w:sz w:val="21"/>
        </w:rPr>
        <w:t xml:space="preserve"> </w:t>
      </w:r>
      <w:r>
        <w:rPr>
          <w:sz w:val="21"/>
        </w:rPr>
        <w:t>and</w:t>
      </w:r>
      <w:r>
        <w:rPr>
          <w:spacing w:val="-9"/>
          <w:sz w:val="21"/>
        </w:rPr>
        <w:t xml:space="preserve"> </w:t>
      </w:r>
      <w:r>
        <w:rPr>
          <w:sz w:val="21"/>
        </w:rPr>
        <w:t>officials</w:t>
      </w:r>
      <w:r>
        <w:rPr>
          <w:spacing w:val="-9"/>
          <w:sz w:val="21"/>
        </w:rPr>
        <w:t xml:space="preserve"> </w:t>
      </w:r>
      <w:r>
        <w:rPr>
          <w:sz w:val="21"/>
        </w:rPr>
        <w:t>not</w:t>
      </w:r>
      <w:r>
        <w:rPr>
          <w:spacing w:val="-9"/>
          <w:sz w:val="21"/>
        </w:rPr>
        <w:t xml:space="preserve"> </w:t>
      </w:r>
      <w:r>
        <w:rPr>
          <w:sz w:val="21"/>
        </w:rPr>
        <w:t>to</w:t>
      </w:r>
      <w:r>
        <w:rPr>
          <w:spacing w:val="-9"/>
          <w:sz w:val="21"/>
        </w:rPr>
        <w:t xml:space="preserve"> </w:t>
      </w:r>
      <w:r>
        <w:rPr>
          <w:sz w:val="21"/>
        </w:rPr>
        <w:t>forget</w:t>
      </w:r>
      <w:r>
        <w:rPr>
          <w:spacing w:val="-9"/>
          <w:sz w:val="21"/>
        </w:rPr>
        <w:t xml:space="preserve"> </w:t>
      </w:r>
      <w:r>
        <w:rPr>
          <w:sz w:val="21"/>
        </w:rPr>
        <w:t>that their actions have a life-changing impact on LGBTQ youth.</w:t>
      </w:r>
      <w:hyperlink w:anchor="_bookmark342" w:history="1">
        <w:r>
          <w:rPr>
            <w:sz w:val="21"/>
            <w:vertAlign w:val="superscript"/>
          </w:rPr>
          <w:t>88</w:t>
        </w:r>
      </w:hyperlink>
      <w:r>
        <w:rPr>
          <w:spacing w:val="-2"/>
          <w:sz w:val="21"/>
        </w:rPr>
        <w:t xml:space="preserve"> </w:t>
      </w:r>
      <w:r>
        <w:rPr>
          <w:sz w:val="21"/>
        </w:rPr>
        <w:t>In January 2021, the Trevor Project found that 3 in</w:t>
      </w:r>
      <w:r>
        <w:rPr>
          <w:spacing w:val="80"/>
          <w:sz w:val="21"/>
        </w:rPr>
        <w:t xml:space="preserve"> </w:t>
      </w:r>
      <w:r>
        <w:rPr>
          <w:sz w:val="21"/>
        </w:rPr>
        <w:t>4</w:t>
      </w:r>
      <w:r>
        <w:rPr>
          <w:spacing w:val="80"/>
          <w:sz w:val="21"/>
        </w:rPr>
        <w:t xml:space="preserve"> </w:t>
      </w:r>
      <w:r>
        <w:rPr>
          <w:sz w:val="21"/>
        </w:rPr>
        <w:t>LGBTQ</w:t>
      </w:r>
      <w:r>
        <w:rPr>
          <w:spacing w:val="80"/>
          <w:sz w:val="21"/>
        </w:rPr>
        <w:t xml:space="preserve"> </w:t>
      </w:r>
      <w:r>
        <w:rPr>
          <w:sz w:val="21"/>
        </w:rPr>
        <w:t>youth</w:t>
      </w:r>
      <w:r>
        <w:rPr>
          <w:spacing w:val="80"/>
          <w:sz w:val="21"/>
        </w:rPr>
        <w:t xml:space="preserve"> </w:t>
      </w:r>
      <w:r>
        <w:rPr>
          <w:sz w:val="21"/>
        </w:rPr>
        <w:t>follow</w:t>
      </w:r>
      <w:r>
        <w:rPr>
          <w:spacing w:val="80"/>
          <w:sz w:val="21"/>
        </w:rPr>
        <w:t xml:space="preserve"> </w:t>
      </w:r>
      <w:r>
        <w:rPr>
          <w:sz w:val="21"/>
        </w:rPr>
        <w:t>news</w:t>
      </w:r>
      <w:r>
        <w:rPr>
          <w:spacing w:val="80"/>
          <w:sz w:val="21"/>
        </w:rPr>
        <w:t xml:space="preserve"> </w:t>
      </w:r>
      <w:r>
        <w:rPr>
          <w:sz w:val="21"/>
        </w:rPr>
        <w:t>about</w:t>
      </w:r>
      <w:r>
        <w:rPr>
          <w:spacing w:val="80"/>
          <w:sz w:val="21"/>
        </w:rPr>
        <w:t xml:space="preserve"> </w:t>
      </w:r>
      <w:r>
        <w:rPr>
          <w:sz w:val="21"/>
        </w:rPr>
        <w:t>issues</w:t>
      </w:r>
      <w:r>
        <w:rPr>
          <w:spacing w:val="80"/>
          <w:sz w:val="21"/>
        </w:rPr>
        <w:t xml:space="preserve"> </w:t>
      </w:r>
      <w:r>
        <w:rPr>
          <w:sz w:val="21"/>
        </w:rPr>
        <w:t>that</w:t>
      </w:r>
      <w:r>
        <w:rPr>
          <w:spacing w:val="80"/>
          <w:sz w:val="21"/>
        </w:rPr>
        <w:t xml:space="preserve"> </w:t>
      </w:r>
      <w:r>
        <w:rPr>
          <w:sz w:val="21"/>
        </w:rPr>
        <w:t>affect</w:t>
      </w:r>
    </w:p>
    <w:p w:rsidR="00200FDA" w:rsidRDefault="00F76C4C">
      <w:pPr>
        <w:spacing w:line="276" w:lineRule="auto"/>
        <w:ind w:left="139" w:right="4143"/>
        <w:jc w:val="both"/>
        <w:rPr>
          <w:sz w:val="21"/>
        </w:rPr>
      </w:pPr>
      <w:r>
        <w:rPr>
          <w:sz w:val="21"/>
        </w:rPr>
        <w:t>transgender people, 2 in 3 stated that debates about ant</w:t>
      </w:r>
      <w:r>
        <w:rPr>
          <w:sz w:val="21"/>
        </w:rPr>
        <w:t>i- transgender legislation have negatively impacted their mental health, and 3 in 5 felt afraid about the future.</w:t>
      </w:r>
      <w:r>
        <w:rPr>
          <w:spacing w:val="-12"/>
          <w:sz w:val="21"/>
        </w:rPr>
        <w:t xml:space="preserve"> </w:t>
      </w:r>
      <w:hyperlink w:anchor="_bookmark343" w:history="1">
        <w:r>
          <w:rPr>
            <w:sz w:val="21"/>
            <w:vertAlign w:val="superscript"/>
          </w:rPr>
          <w:t>89</w:t>
        </w:r>
      </w:hyperlink>
      <w:r>
        <w:rPr>
          <w:sz w:val="21"/>
        </w:rPr>
        <w:t xml:space="preserve"> Meanwhile, affirming policy can promote LGBTQ youths’ mental health. School policy is one example: GLSEN fo</w:t>
      </w:r>
      <w:r>
        <w:rPr>
          <w:sz w:val="21"/>
        </w:rPr>
        <w:t>und that students in schools</w:t>
      </w:r>
      <w:r>
        <w:rPr>
          <w:spacing w:val="-12"/>
          <w:sz w:val="21"/>
        </w:rPr>
        <w:t xml:space="preserve"> </w:t>
      </w:r>
      <w:r>
        <w:rPr>
          <w:sz w:val="21"/>
        </w:rPr>
        <w:t>with</w:t>
      </w:r>
      <w:r>
        <w:rPr>
          <w:spacing w:val="-11"/>
          <w:sz w:val="21"/>
        </w:rPr>
        <w:t xml:space="preserve"> </w:t>
      </w:r>
      <w:r>
        <w:rPr>
          <w:sz w:val="21"/>
        </w:rPr>
        <w:t>GSAs,</w:t>
      </w:r>
      <w:r>
        <w:rPr>
          <w:spacing w:val="-11"/>
          <w:sz w:val="21"/>
        </w:rPr>
        <w:t xml:space="preserve"> </w:t>
      </w:r>
      <w:r>
        <w:rPr>
          <w:sz w:val="21"/>
        </w:rPr>
        <w:t>positive</w:t>
      </w:r>
      <w:r>
        <w:rPr>
          <w:spacing w:val="-10"/>
          <w:sz w:val="21"/>
        </w:rPr>
        <w:t xml:space="preserve"> </w:t>
      </w:r>
      <w:r>
        <w:rPr>
          <w:sz w:val="21"/>
        </w:rPr>
        <w:t>curriculum</w:t>
      </w:r>
      <w:r>
        <w:rPr>
          <w:spacing w:val="-10"/>
          <w:sz w:val="21"/>
        </w:rPr>
        <w:t xml:space="preserve"> </w:t>
      </w:r>
      <w:r>
        <w:rPr>
          <w:sz w:val="21"/>
        </w:rPr>
        <w:t>about</w:t>
      </w:r>
      <w:r>
        <w:rPr>
          <w:spacing w:val="-12"/>
          <w:sz w:val="21"/>
        </w:rPr>
        <w:t xml:space="preserve"> </w:t>
      </w:r>
      <w:r>
        <w:rPr>
          <w:sz w:val="21"/>
        </w:rPr>
        <w:t>LGBTQ</w:t>
      </w:r>
      <w:r>
        <w:rPr>
          <w:spacing w:val="-11"/>
          <w:sz w:val="21"/>
        </w:rPr>
        <w:t xml:space="preserve"> </w:t>
      </w:r>
      <w:r>
        <w:rPr>
          <w:sz w:val="21"/>
        </w:rPr>
        <w:t>people,</w:t>
      </w:r>
      <w:r>
        <w:rPr>
          <w:spacing w:val="-10"/>
          <w:sz w:val="21"/>
        </w:rPr>
        <w:t xml:space="preserve"> </w:t>
      </w:r>
      <w:r>
        <w:rPr>
          <w:spacing w:val="-5"/>
          <w:sz w:val="21"/>
        </w:rPr>
        <w:t>and</w:t>
      </w:r>
    </w:p>
    <w:p w:rsidR="00200FDA" w:rsidRDefault="00F76C4C">
      <w:pPr>
        <w:spacing w:line="276" w:lineRule="auto"/>
        <w:ind w:left="140" w:right="256" w:hanging="1"/>
        <w:jc w:val="both"/>
        <w:rPr>
          <w:sz w:val="21"/>
        </w:rPr>
      </w:pPr>
      <w:r>
        <w:rPr>
          <w:sz w:val="21"/>
        </w:rPr>
        <w:t>more supportive</w:t>
      </w:r>
      <w:r>
        <w:rPr>
          <w:spacing w:val="-2"/>
          <w:sz w:val="21"/>
        </w:rPr>
        <w:t xml:space="preserve"> </w:t>
      </w:r>
      <w:r>
        <w:rPr>
          <w:sz w:val="21"/>
        </w:rPr>
        <w:t>school</w:t>
      </w:r>
      <w:r>
        <w:rPr>
          <w:spacing w:val="-1"/>
          <w:sz w:val="21"/>
        </w:rPr>
        <w:t xml:space="preserve"> </w:t>
      </w:r>
      <w:r>
        <w:rPr>
          <w:sz w:val="21"/>
        </w:rPr>
        <w:t>staff</w:t>
      </w:r>
      <w:r>
        <w:rPr>
          <w:spacing w:val="-2"/>
          <w:sz w:val="21"/>
        </w:rPr>
        <w:t xml:space="preserve"> </w:t>
      </w:r>
      <w:r>
        <w:rPr>
          <w:sz w:val="21"/>
        </w:rPr>
        <w:t>had</w:t>
      </w:r>
      <w:r>
        <w:rPr>
          <w:spacing w:val="-1"/>
          <w:sz w:val="21"/>
        </w:rPr>
        <w:t xml:space="preserve"> </w:t>
      </w:r>
      <w:r>
        <w:rPr>
          <w:sz w:val="21"/>
        </w:rPr>
        <w:t>higher self-esteem</w:t>
      </w:r>
      <w:r>
        <w:rPr>
          <w:spacing w:val="-1"/>
          <w:sz w:val="21"/>
        </w:rPr>
        <w:t xml:space="preserve"> </w:t>
      </w:r>
      <w:r>
        <w:rPr>
          <w:sz w:val="21"/>
        </w:rPr>
        <w:t>and</w:t>
      </w:r>
      <w:r>
        <w:rPr>
          <w:spacing w:val="-3"/>
          <w:sz w:val="21"/>
        </w:rPr>
        <w:t xml:space="preserve"> </w:t>
      </w:r>
      <w:r>
        <w:rPr>
          <w:sz w:val="21"/>
        </w:rPr>
        <w:t>lower</w:t>
      </w:r>
      <w:r>
        <w:rPr>
          <w:spacing w:val="-2"/>
          <w:sz w:val="21"/>
        </w:rPr>
        <w:t xml:space="preserve"> </w:t>
      </w:r>
      <w:r>
        <w:rPr>
          <w:sz w:val="21"/>
        </w:rPr>
        <w:t>levels</w:t>
      </w:r>
      <w:r>
        <w:rPr>
          <w:spacing w:val="-2"/>
          <w:sz w:val="21"/>
        </w:rPr>
        <w:t xml:space="preserve"> </w:t>
      </w:r>
      <w:r>
        <w:rPr>
          <w:sz w:val="21"/>
        </w:rPr>
        <w:t>of</w:t>
      </w:r>
      <w:r>
        <w:rPr>
          <w:spacing w:val="-2"/>
          <w:sz w:val="21"/>
        </w:rPr>
        <w:t xml:space="preserve"> </w:t>
      </w:r>
      <w:r>
        <w:rPr>
          <w:sz w:val="21"/>
        </w:rPr>
        <w:t>depression</w:t>
      </w:r>
      <w:r>
        <w:rPr>
          <w:spacing w:val="-1"/>
          <w:sz w:val="21"/>
        </w:rPr>
        <w:t xml:space="preserve"> </w:t>
      </w:r>
      <w:r>
        <w:rPr>
          <w:sz w:val="21"/>
        </w:rPr>
        <w:t>and</w:t>
      </w:r>
      <w:r>
        <w:rPr>
          <w:spacing w:val="-1"/>
          <w:sz w:val="21"/>
        </w:rPr>
        <w:t xml:space="preserve"> </w:t>
      </w:r>
      <w:r>
        <w:rPr>
          <w:sz w:val="21"/>
        </w:rPr>
        <w:t>suicidal</w:t>
      </w:r>
      <w:r>
        <w:rPr>
          <w:spacing w:val="-1"/>
          <w:sz w:val="21"/>
        </w:rPr>
        <w:t xml:space="preserve"> </w:t>
      </w:r>
      <w:r>
        <w:rPr>
          <w:sz w:val="21"/>
        </w:rPr>
        <w:t>ideation</w:t>
      </w:r>
      <w:r>
        <w:rPr>
          <w:spacing w:val="-1"/>
          <w:sz w:val="21"/>
        </w:rPr>
        <w:t xml:space="preserve"> </w:t>
      </w:r>
      <w:r>
        <w:rPr>
          <w:sz w:val="21"/>
        </w:rPr>
        <w:t>than peers who lacked these key supports.</w:t>
      </w:r>
      <w:hyperlink w:anchor="_bookmark344" w:history="1">
        <w:r>
          <w:rPr>
            <w:sz w:val="21"/>
            <w:vertAlign w:val="superscript"/>
          </w:rPr>
          <w:t>90</w:t>
        </w:r>
      </w:hyperlink>
    </w:p>
    <w:p w:rsidR="00200FDA" w:rsidRDefault="00200FDA">
      <w:pPr>
        <w:spacing w:line="276" w:lineRule="auto"/>
        <w:jc w:val="both"/>
        <w:rPr>
          <w:sz w:val="21"/>
        </w:rPr>
        <w:sectPr w:rsidR="00200FDA">
          <w:pgSz w:w="12240" w:h="15840"/>
          <w:pgMar w:top="1360" w:right="1180" w:bottom="1480" w:left="1300" w:header="761" w:footer="1208" w:gutter="0"/>
          <w:cols w:space="720"/>
        </w:sectPr>
      </w:pPr>
    </w:p>
    <w:p w:rsidR="00200FDA" w:rsidRDefault="00F76C4C">
      <w:pPr>
        <w:pStyle w:val="Heading8"/>
        <w:spacing w:before="64"/>
      </w:pPr>
      <w:bookmarkStart w:id="372" w:name="Suicide_Prevention:_Uplifting_Queer_Futu"/>
      <w:bookmarkEnd w:id="372"/>
      <w:r>
        <w:rPr>
          <w:color w:val="0A5293"/>
        </w:rPr>
        <w:lastRenderedPageBreak/>
        <w:t>Suicide</w:t>
      </w:r>
      <w:r>
        <w:rPr>
          <w:color w:val="0A5293"/>
          <w:spacing w:val="-2"/>
        </w:rPr>
        <w:t xml:space="preserve"> </w:t>
      </w:r>
      <w:r>
        <w:rPr>
          <w:color w:val="0A5293"/>
        </w:rPr>
        <w:t>Prevention:</w:t>
      </w:r>
      <w:r>
        <w:rPr>
          <w:color w:val="0A5293"/>
          <w:spacing w:val="-2"/>
        </w:rPr>
        <w:t xml:space="preserve"> </w:t>
      </w:r>
      <w:r>
        <w:rPr>
          <w:color w:val="0A5293"/>
        </w:rPr>
        <w:t>Uplifting</w:t>
      </w:r>
      <w:r>
        <w:rPr>
          <w:color w:val="0A5293"/>
          <w:spacing w:val="-1"/>
        </w:rPr>
        <w:t xml:space="preserve"> </w:t>
      </w:r>
      <w:r>
        <w:rPr>
          <w:color w:val="0A5293"/>
        </w:rPr>
        <w:t>Queer</w:t>
      </w:r>
      <w:r>
        <w:rPr>
          <w:color w:val="0A5293"/>
          <w:spacing w:val="-3"/>
        </w:rPr>
        <w:t xml:space="preserve"> </w:t>
      </w:r>
      <w:r>
        <w:rPr>
          <w:color w:val="0A5293"/>
        </w:rPr>
        <w:t>Futures</w:t>
      </w:r>
      <w:r>
        <w:rPr>
          <w:color w:val="0A5293"/>
          <w:spacing w:val="-3"/>
        </w:rPr>
        <w:t xml:space="preserve"> </w:t>
      </w:r>
      <w:r>
        <w:rPr>
          <w:color w:val="0A5293"/>
        </w:rPr>
        <w:t>&amp;</w:t>
      </w:r>
      <w:r>
        <w:rPr>
          <w:color w:val="0A5293"/>
          <w:spacing w:val="-1"/>
        </w:rPr>
        <w:t xml:space="preserve"> </w:t>
      </w:r>
      <w:r>
        <w:rPr>
          <w:color w:val="0A5293"/>
        </w:rPr>
        <w:t xml:space="preserve">Queer </w:t>
      </w:r>
      <w:r>
        <w:rPr>
          <w:color w:val="0A5293"/>
          <w:spacing w:val="-5"/>
        </w:rPr>
        <w:t>Joy</w:t>
      </w:r>
    </w:p>
    <w:p w:rsidR="00200FDA" w:rsidRDefault="00200FDA">
      <w:pPr>
        <w:pStyle w:val="BodyText"/>
        <w:spacing w:before="8"/>
        <w:rPr>
          <w:sz w:val="27"/>
        </w:rPr>
      </w:pPr>
    </w:p>
    <w:p w:rsidR="00200FDA" w:rsidRDefault="00F76C4C">
      <w:pPr>
        <w:spacing w:line="276" w:lineRule="auto"/>
        <w:ind w:right="252"/>
        <w:jc w:val="right"/>
        <w:rPr>
          <w:sz w:val="21"/>
        </w:rPr>
      </w:pPr>
      <w:r>
        <w:rPr>
          <w:noProof/>
        </w:rPr>
        <w:drawing>
          <wp:anchor distT="0" distB="0" distL="0" distR="0" simplePos="0" relativeHeight="15766016" behindDoc="0" locked="0" layoutInCell="1" allowOverlap="1">
            <wp:simplePos x="0" y="0"/>
            <wp:positionH relativeFrom="page">
              <wp:posOffset>914400</wp:posOffset>
            </wp:positionH>
            <wp:positionV relativeFrom="paragraph">
              <wp:posOffset>367922</wp:posOffset>
            </wp:positionV>
            <wp:extent cx="1461857" cy="1466703"/>
            <wp:effectExtent l="0" t="0" r="0" b="0"/>
            <wp:wrapNone/>
            <wp:docPr id="57" name="image73.jpeg" descr="A picture containing timelin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3.jpeg"/>
                    <pic:cNvPicPr/>
                  </pic:nvPicPr>
                  <pic:blipFill>
                    <a:blip r:embed="rId244" cstate="print"/>
                    <a:stretch>
                      <a:fillRect/>
                    </a:stretch>
                  </pic:blipFill>
                  <pic:spPr>
                    <a:xfrm>
                      <a:off x="0" y="0"/>
                      <a:ext cx="1461857" cy="1466703"/>
                    </a:xfrm>
                    <a:prstGeom prst="rect">
                      <a:avLst/>
                    </a:prstGeom>
                  </pic:spPr>
                </pic:pic>
              </a:graphicData>
            </a:graphic>
          </wp:anchor>
        </w:drawing>
      </w:r>
      <w:r>
        <w:rPr>
          <w:sz w:val="21"/>
        </w:rPr>
        <w:t>Despite</w:t>
      </w:r>
      <w:r>
        <w:rPr>
          <w:spacing w:val="68"/>
          <w:sz w:val="21"/>
        </w:rPr>
        <w:t xml:space="preserve"> </w:t>
      </w:r>
      <w:r>
        <w:rPr>
          <w:sz w:val="21"/>
        </w:rPr>
        <w:t>the</w:t>
      </w:r>
      <w:r>
        <w:rPr>
          <w:spacing w:val="68"/>
          <w:sz w:val="21"/>
        </w:rPr>
        <w:t xml:space="preserve"> </w:t>
      </w:r>
      <w:r>
        <w:rPr>
          <w:sz w:val="21"/>
        </w:rPr>
        <w:t>alarming</w:t>
      </w:r>
      <w:r>
        <w:rPr>
          <w:spacing w:val="66"/>
          <w:sz w:val="21"/>
        </w:rPr>
        <w:t xml:space="preserve"> </w:t>
      </w:r>
      <w:r>
        <w:rPr>
          <w:sz w:val="21"/>
        </w:rPr>
        <w:t>suicidality</w:t>
      </w:r>
      <w:r>
        <w:rPr>
          <w:spacing w:val="68"/>
          <w:sz w:val="21"/>
        </w:rPr>
        <w:t xml:space="preserve"> </w:t>
      </w:r>
      <w:r>
        <w:rPr>
          <w:sz w:val="21"/>
        </w:rPr>
        <w:t>rates</w:t>
      </w:r>
      <w:r>
        <w:rPr>
          <w:spacing w:val="67"/>
          <w:sz w:val="21"/>
        </w:rPr>
        <w:t xml:space="preserve"> </w:t>
      </w:r>
      <w:r>
        <w:rPr>
          <w:sz w:val="21"/>
        </w:rPr>
        <w:t>among</w:t>
      </w:r>
      <w:r>
        <w:rPr>
          <w:spacing w:val="66"/>
          <w:sz w:val="21"/>
        </w:rPr>
        <w:t xml:space="preserve"> </w:t>
      </w:r>
      <w:r>
        <w:rPr>
          <w:sz w:val="21"/>
        </w:rPr>
        <w:t>LGBTQ</w:t>
      </w:r>
      <w:r>
        <w:rPr>
          <w:spacing w:val="64"/>
          <w:sz w:val="21"/>
        </w:rPr>
        <w:t xml:space="preserve"> </w:t>
      </w:r>
      <w:r>
        <w:rPr>
          <w:sz w:val="21"/>
        </w:rPr>
        <w:t>youth,</w:t>
      </w:r>
      <w:r>
        <w:rPr>
          <w:spacing w:val="67"/>
          <w:sz w:val="21"/>
        </w:rPr>
        <w:t xml:space="preserve"> </w:t>
      </w:r>
      <w:r>
        <w:rPr>
          <w:sz w:val="21"/>
        </w:rPr>
        <w:t>there</w:t>
      </w:r>
      <w:r>
        <w:rPr>
          <w:spacing w:val="68"/>
          <w:sz w:val="21"/>
        </w:rPr>
        <w:t xml:space="preserve"> </w:t>
      </w:r>
      <w:r>
        <w:rPr>
          <w:sz w:val="21"/>
        </w:rPr>
        <w:t>is</w:t>
      </w:r>
      <w:r>
        <w:rPr>
          <w:spacing w:val="66"/>
          <w:sz w:val="21"/>
        </w:rPr>
        <w:t xml:space="preserve"> </w:t>
      </w:r>
      <w:r>
        <w:rPr>
          <w:sz w:val="21"/>
        </w:rPr>
        <w:t>still</w:t>
      </w:r>
      <w:r>
        <w:rPr>
          <w:spacing w:val="67"/>
          <w:sz w:val="21"/>
        </w:rPr>
        <w:t xml:space="preserve"> </w:t>
      </w:r>
      <w:r>
        <w:rPr>
          <w:sz w:val="21"/>
        </w:rPr>
        <w:t>scarce</w:t>
      </w:r>
      <w:r>
        <w:rPr>
          <w:spacing w:val="68"/>
          <w:sz w:val="21"/>
        </w:rPr>
        <w:t xml:space="preserve"> </w:t>
      </w:r>
      <w:r>
        <w:rPr>
          <w:sz w:val="21"/>
        </w:rPr>
        <w:t>research</w:t>
      </w:r>
      <w:r>
        <w:rPr>
          <w:spacing w:val="64"/>
          <w:sz w:val="21"/>
        </w:rPr>
        <w:t xml:space="preserve"> </w:t>
      </w:r>
      <w:r>
        <w:rPr>
          <w:sz w:val="21"/>
        </w:rPr>
        <w:t>about</w:t>
      </w:r>
      <w:r>
        <w:rPr>
          <w:spacing w:val="66"/>
          <w:sz w:val="21"/>
        </w:rPr>
        <w:t xml:space="preserve"> </w:t>
      </w:r>
      <w:r>
        <w:rPr>
          <w:sz w:val="21"/>
        </w:rPr>
        <w:t>how professionals</w:t>
      </w:r>
      <w:r>
        <w:rPr>
          <w:spacing w:val="-6"/>
          <w:sz w:val="21"/>
        </w:rPr>
        <w:t xml:space="preserve"> </w:t>
      </w:r>
      <w:r>
        <w:rPr>
          <w:sz w:val="21"/>
        </w:rPr>
        <w:t>can</w:t>
      </w:r>
      <w:r>
        <w:rPr>
          <w:spacing w:val="-7"/>
          <w:sz w:val="21"/>
        </w:rPr>
        <w:t xml:space="preserve"> </w:t>
      </w:r>
      <w:r>
        <w:rPr>
          <w:sz w:val="21"/>
        </w:rPr>
        <w:t>effectively</w:t>
      </w:r>
      <w:r>
        <w:rPr>
          <w:spacing w:val="-7"/>
          <w:sz w:val="21"/>
        </w:rPr>
        <w:t xml:space="preserve"> </w:t>
      </w:r>
      <w:r>
        <w:rPr>
          <w:sz w:val="21"/>
        </w:rPr>
        <w:t>support</w:t>
      </w:r>
      <w:r>
        <w:rPr>
          <w:spacing w:val="-6"/>
          <w:sz w:val="21"/>
        </w:rPr>
        <w:t xml:space="preserve"> </w:t>
      </w:r>
      <w:r>
        <w:rPr>
          <w:sz w:val="21"/>
        </w:rPr>
        <w:t>suicidal</w:t>
      </w:r>
      <w:r>
        <w:rPr>
          <w:spacing w:val="-6"/>
          <w:sz w:val="21"/>
        </w:rPr>
        <w:t xml:space="preserve"> </w:t>
      </w:r>
      <w:r>
        <w:rPr>
          <w:sz w:val="21"/>
        </w:rPr>
        <w:t>LGBTQ</w:t>
      </w:r>
      <w:r>
        <w:rPr>
          <w:spacing w:val="-7"/>
          <w:sz w:val="21"/>
        </w:rPr>
        <w:t xml:space="preserve"> </w:t>
      </w:r>
      <w:r>
        <w:rPr>
          <w:sz w:val="21"/>
        </w:rPr>
        <w:t>youth.</w:t>
      </w:r>
      <w:r>
        <w:rPr>
          <w:spacing w:val="-6"/>
          <w:sz w:val="21"/>
        </w:rPr>
        <w:t xml:space="preserve"> </w:t>
      </w:r>
      <w:r>
        <w:rPr>
          <w:sz w:val="21"/>
        </w:rPr>
        <w:t>However,</w:t>
      </w:r>
      <w:r>
        <w:rPr>
          <w:spacing w:val="-7"/>
          <w:sz w:val="21"/>
        </w:rPr>
        <w:t xml:space="preserve"> </w:t>
      </w:r>
      <w:r>
        <w:rPr>
          <w:sz w:val="21"/>
        </w:rPr>
        <w:t>it</w:t>
      </w:r>
      <w:r>
        <w:rPr>
          <w:spacing w:val="-6"/>
          <w:sz w:val="21"/>
        </w:rPr>
        <w:t xml:space="preserve"> </w:t>
      </w:r>
      <w:r>
        <w:rPr>
          <w:sz w:val="21"/>
        </w:rPr>
        <w:t>is</w:t>
      </w:r>
      <w:r>
        <w:rPr>
          <w:spacing w:val="-6"/>
          <w:sz w:val="21"/>
        </w:rPr>
        <w:t xml:space="preserve"> </w:t>
      </w:r>
      <w:r>
        <w:rPr>
          <w:sz w:val="21"/>
        </w:rPr>
        <w:t>broadly</w:t>
      </w:r>
      <w:r>
        <w:rPr>
          <w:spacing w:val="-5"/>
          <w:sz w:val="21"/>
        </w:rPr>
        <w:t xml:space="preserve"> </w:t>
      </w:r>
      <w:r>
        <w:rPr>
          <w:sz w:val="21"/>
        </w:rPr>
        <w:t>understood</w:t>
      </w:r>
      <w:r>
        <w:rPr>
          <w:spacing w:val="-6"/>
          <w:sz w:val="21"/>
        </w:rPr>
        <w:t xml:space="preserve"> </w:t>
      </w:r>
      <w:r>
        <w:rPr>
          <w:sz w:val="21"/>
        </w:rPr>
        <w:t>that</w:t>
      </w:r>
      <w:r>
        <w:rPr>
          <w:spacing w:val="-6"/>
          <w:sz w:val="21"/>
        </w:rPr>
        <w:t xml:space="preserve"> </w:t>
      </w:r>
      <w:r>
        <w:rPr>
          <w:sz w:val="21"/>
        </w:rPr>
        <w:t>anti-LGBTQ minority</w:t>
      </w:r>
      <w:r>
        <w:rPr>
          <w:spacing w:val="40"/>
          <w:sz w:val="21"/>
        </w:rPr>
        <w:t xml:space="preserve"> </w:t>
      </w:r>
      <w:r>
        <w:rPr>
          <w:sz w:val="21"/>
        </w:rPr>
        <w:t>stress</w:t>
      </w:r>
      <w:r>
        <w:rPr>
          <w:spacing w:val="40"/>
          <w:sz w:val="21"/>
        </w:rPr>
        <w:t xml:space="preserve"> </w:t>
      </w:r>
      <w:r>
        <w:rPr>
          <w:sz w:val="21"/>
        </w:rPr>
        <w:t>and</w:t>
      </w:r>
      <w:r>
        <w:rPr>
          <w:spacing w:val="40"/>
          <w:sz w:val="21"/>
        </w:rPr>
        <w:t xml:space="preserve"> </w:t>
      </w:r>
      <w:r>
        <w:rPr>
          <w:sz w:val="21"/>
        </w:rPr>
        <w:t>trauma</w:t>
      </w:r>
      <w:r>
        <w:rPr>
          <w:spacing w:val="40"/>
          <w:sz w:val="21"/>
        </w:rPr>
        <w:t xml:space="preserve"> </w:t>
      </w:r>
      <w:r>
        <w:rPr>
          <w:sz w:val="21"/>
        </w:rPr>
        <w:t>are</w:t>
      </w:r>
      <w:r>
        <w:rPr>
          <w:spacing w:val="40"/>
          <w:sz w:val="21"/>
        </w:rPr>
        <w:t xml:space="preserve"> </w:t>
      </w:r>
      <w:r>
        <w:rPr>
          <w:sz w:val="21"/>
        </w:rPr>
        <w:t>linked</w:t>
      </w:r>
      <w:r>
        <w:rPr>
          <w:spacing w:val="40"/>
          <w:sz w:val="21"/>
        </w:rPr>
        <w:t xml:space="preserve"> </w:t>
      </w:r>
      <w:r>
        <w:rPr>
          <w:sz w:val="21"/>
        </w:rPr>
        <w:t>to</w:t>
      </w:r>
      <w:r>
        <w:rPr>
          <w:spacing w:val="40"/>
          <w:sz w:val="21"/>
        </w:rPr>
        <w:t xml:space="preserve"> </w:t>
      </w:r>
      <w:r>
        <w:rPr>
          <w:sz w:val="21"/>
        </w:rPr>
        <w:t>depression</w:t>
      </w:r>
      <w:r>
        <w:rPr>
          <w:spacing w:val="40"/>
          <w:sz w:val="21"/>
        </w:rPr>
        <w:t xml:space="preserve"> </w:t>
      </w:r>
      <w:r>
        <w:rPr>
          <w:sz w:val="21"/>
        </w:rPr>
        <w:t>and</w:t>
      </w:r>
      <w:r>
        <w:rPr>
          <w:spacing w:val="40"/>
          <w:sz w:val="21"/>
        </w:rPr>
        <w:t xml:space="preserve"> </w:t>
      </w:r>
      <w:r>
        <w:rPr>
          <w:sz w:val="21"/>
        </w:rPr>
        <w:t>PTSD,</w:t>
      </w:r>
      <w:r>
        <w:rPr>
          <w:spacing w:val="40"/>
          <w:sz w:val="21"/>
        </w:rPr>
        <w:t xml:space="preserve"> </w:t>
      </w:r>
      <w:r>
        <w:rPr>
          <w:sz w:val="21"/>
        </w:rPr>
        <w:t>and</w:t>
      </w:r>
      <w:r>
        <w:rPr>
          <w:spacing w:val="40"/>
          <w:sz w:val="21"/>
        </w:rPr>
        <w:t xml:space="preserve"> </w:t>
      </w:r>
      <w:r>
        <w:rPr>
          <w:sz w:val="21"/>
        </w:rPr>
        <w:t>these</w:t>
      </w:r>
    </w:p>
    <w:p w:rsidR="00200FDA" w:rsidRDefault="00F76C4C">
      <w:pPr>
        <w:spacing w:before="2" w:line="276" w:lineRule="auto"/>
        <w:ind w:left="2659" w:right="254"/>
        <w:jc w:val="both"/>
        <w:rPr>
          <w:sz w:val="21"/>
        </w:rPr>
      </w:pPr>
      <w:r>
        <w:rPr>
          <w:sz w:val="21"/>
        </w:rPr>
        <w:t>disorders are linked to suicidal ideation. In 2022, the Trevor Project found that more than</w:t>
      </w:r>
      <w:r>
        <w:rPr>
          <w:spacing w:val="-5"/>
          <w:sz w:val="21"/>
        </w:rPr>
        <w:t xml:space="preserve"> </w:t>
      </w:r>
      <w:r>
        <w:rPr>
          <w:sz w:val="21"/>
        </w:rPr>
        <w:t>1 in</w:t>
      </w:r>
      <w:r>
        <w:rPr>
          <w:spacing w:val="-2"/>
          <w:sz w:val="21"/>
        </w:rPr>
        <w:t xml:space="preserve"> </w:t>
      </w:r>
      <w:r>
        <w:rPr>
          <w:sz w:val="21"/>
        </w:rPr>
        <w:t>3</w:t>
      </w:r>
      <w:r>
        <w:rPr>
          <w:spacing w:val="-1"/>
          <w:sz w:val="21"/>
        </w:rPr>
        <w:t xml:space="preserve"> </w:t>
      </w:r>
      <w:r>
        <w:rPr>
          <w:sz w:val="21"/>
        </w:rPr>
        <w:t>youth had</w:t>
      </w:r>
      <w:r>
        <w:rPr>
          <w:spacing w:val="-3"/>
          <w:sz w:val="21"/>
        </w:rPr>
        <w:t xml:space="preserve"> </w:t>
      </w:r>
      <w:r>
        <w:rPr>
          <w:sz w:val="21"/>
        </w:rPr>
        <w:t>experienced</w:t>
      </w:r>
      <w:r>
        <w:rPr>
          <w:spacing w:val="-2"/>
          <w:sz w:val="21"/>
        </w:rPr>
        <w:t xml:space="preserve"> </w:t>
      </w:r>
      <w:r>
        <w:rPr>
          <w:sz w:val="21"/>
        </w:rPr>
        <w:t>physi</w:t>
      </w:r>
      <w:r>
        <w:rPr>
          <w:sz w:val="21"/>
        </w:rPr>
        <w:t>cal</w:t>
      </w:r>
      <w:r>
        <w:rPr>
          <w:spacing w:val="-2"/>
          <w:sz w:val="21"/>
        </w:rPr>
        <w:t xml:space="preserve"> </w:t>
      </w:r>
      <w:r>
        <w:rPr>
          <w:sz w:val="21"/>
        </w:rPr>
        <w:t>threats</w:t>
      </w:r>
      <w:r>
        <w:rPr>
          <w:spacing w:val="-3"/>
          <w:sz w:val="21"/>
        </w:rPr>
        <w:t xml:space="preserve"> </w:t>
      </w:r>
      <w:r>
        <w:rPr>
          <w:sz w:val="21"/>
        </w:rPr>
        <w:t>or</w:t>
      </w:r>
      <w:r>
        <w:rPr>
          <w:spacing w:val="-1"/>
          <w:sz w:val="21"/>
        </w:rPr>
        <w:t xml:space="preserve"> </w:t>
      </w:r>
      <w:r>
        <w:rPr>
          <w:sz w:val="21"/>
        </w:rPr>
        <w:t>harm</w:t>
      </w:r>
      <w:r>
        <w:rPr>
          <w:spacing w:val="-3"/>
          <w:sz w:val="21"/>
        </w:rPr>
        <w:t xml:space="preserve"> </w:t>
      </w:r>
      <w:r>
        <w:rPr>
          <w:sz w:val="21"/>
        </w:rPr>
        <w:t>based</w:t>
      </w:r>
      <w:r>
        <w:rPr>
          <w:spacing w:val="-2"/>
          <w:sz w:val="21"/>
        </w:rPr>
        <w:t xml:space="preserve"> </w:t>
      </w:r>
      <w:r>
        <w:rPr>
          <w:sz w:val="21"/>
        </w:rPr>
        <w:t>on their identities, and youth who were victimized attempted suicide at over twice as often</w:t>
      </w:r>
      <w:r>
        <w:rPr>
          <w:spacing w:val="-9"/>
          <w:sz w:val="21"/>
        </w:rPr>
        <w:t xml:space="preserve"> </w:t>
      </w:r>
      <w:r>
        <w:rPr>
          <w:sz w:val="21"/>
        </w:rPr>
        <w:t>as</w:t>
      </w:r>
      <w:r>
        <w:rPr>
          <w:spacing w:val="-9"/>
          <w:sz w:val="21"/>
        </w:rPr>
        <w:t xml:space="preserve"> </w:t>
      </w:r>
      <w:r>
        <w:rPr>
          <w:sz w:val="21"/>
        </w:rPr>
        <w:t>peers</w:t>
      </w:r>
      <w:r>
        <w:rPr>
          <w:spacing w:val="-9"/>
          <w:sz w:val="21"/>
        </w:rPr>
        <w:t xml:space="preserve"> </w:t>
      </w:r>
      <w:r>
        <w:rPr>
          <w:sz w:val="21"/>
        </w:rPr>
        <w:t>who</w:t>
      </w:r>
      <w:r>
        <w:rPr>
          <w:spacing w:val="-12"/>
          <w:sz w:val="21"/>
        </w:rPr>
        <w:t xml:space="preserve"> </w:t>
      </w:r>
      <w:r>
        <w:rPr>
          <w:sz w:val="21"/>
        </w:rPr>
        <w:t>were</w:t>
      </w:r>
      <w:r>
        <w:rPr>
          <w:spacing w:val="-10"/>
          <w:sz w:val="21"/>
        </w:rPr>
        <w:t xml:space="preserve"> </w:t>
      </w:r>
      <w:r>
        <w:rPr>
          <w:sz w:val="21"/>
        </w:rPr>
        <w:t>not.</w:t>
      </w:r>
      <w:hyperlink w:anchor="_bookmark345" w:history="1">
        <w:r>
          <w:rPr>
            <w:sz w:val="21"/>
            <w:vertAlign w:val="superscript"/>
          </w:rPr>
          <w:t>91</w:t>
        </w:r>
      </w:hyperlink>
      <w:r>
        <w:rPr>
          <w:spacing w:val="-2"/>
          <w:sz w:val="21"/>
        </w:rPr>
        <w:t xml:space="preserve"> </w:t>
      </w:r>
      <w:r>
        <w:rPr>
          <w:sz w:val="21"/>
        </w:rPr>
        <w:t>Furthermore,</w:t>
      </w:r>
      <w:r>
        <w:rPr>
          <w:spacing w:val="-8"/>
          <w:sz w:val="21"/>
        </w:rPr>
        <w:t xml:space="preserve"> </w:t>
      </w:r>
      <w:r>
        <w:rPr>
          <w:sz w:val="21"/>
        </w:rPr>
        <w:t>hopelessness</w:t>
      </w:r>
      <w:r>
        <w:rPr>
          <w:spacing w:val="-9"/>
          <w:sz w:val="21"/>
        </w:rPr>
        <w:t xml:space="preserve"> </w:t>
      </w:r>
      <w:r>
        <w:rPr>
          <w:sz w:val="21"/>
        </w:rPr>
        <w:t>is</w:t>
      </w:r>
      <w:r>
        <w:rPr>
          <w:spacing w:val="-9"/>
          <w:sz w:val="21"/>
        </w:rPr>
        <w:t xml:space="preserve"> </w:t>
      </w:r>
      <w:r>
        <w:rPr>
          <w:sz w:val="21"/>
        </w:rPr>
        <w:t>a</w:t>
      </w:r>
      <w:r>
        <w:rPr>
          <w:spacing w:val="-9"/>
          <w:sz w:val="21"/>
        </w:rPr>
        <w:t xml:space="preserve"> </w:t>
      </w:r>
      <w:r>
        <w:rPr>
          <w:sz w:val="21"/>
        </w:rPr>
        <w:t>key</w:t>
      </w:r>
      <w:r>
        <w:rPr>
          <w:spacing w:val="-10"/>
          <w:sz w:val="21"/>
        </w:rPr>
        <w:t xml:space="preserve"> </w:t>
      </w:r>
      <w:r>
        <w:rPr>
          <w:sz w:val="21"/>
        </w:rPr>
        <w:t>ingredient</w:t>
      </w:r>
      <w:r>
        <w:rPr>
          <w:spacing w:val="-9"/>
          <w:sz w:val="21"/>
        </w:rPr>
        <w:t xml:space="preserve"> </w:t>
      </w:r>
      <w:r>
        <w:rPr>
          <w:sz w:val="21"/>
        </w:rPr>
        <w:t>for suicidality.</w:t>
      </w:r>
      <w:r>
        <w:rPr>
          <w:spacing w:val="-12"/>
          <w:sz w:val="21"/>
        </w:rPr>
        <w:t xml:space="preserve"> </w:t>
      </w:r>
      <w:hyperlink w:anchor="_bookmark346" w:history="1">
        <w:r>
          <w:rPr>
            <w:sz w:val="21"/>
            <w:vertAlign w:val="superscript"/>
          </w:rPr>
          <w:t>92</w:t>
        </w:r>
      </w:hyperlink>
      <w:r>
        <w:rPr>
          <w:spacing w:val="-8"/>
          <w:sz w:val="21"/>
        </w:rPr>
        <w:t xml:space="preserve"> </w:t>
      </w:r>
      <w:r>
        <w:rPr>
          <w:sz w:val="21"/>
        </w:rPr>
        <w:t>This is important because many of the recommendations in this report, like GSAs, summer camps, and activist programs, have been shown to increase</w:t>
      </w:r>
      <w:r>
        <w:rPr>
          <w:spacing w:val="19"/>
          <w:sz w:val="21"/>
        </w:rPr>
        <w:t xml:space="preserve"> </w:t>
      </w:r>
      <w:r>
        <w:rPr>
          <w:sz w:val="21"/>
        </w:rPr>
        <w:t>hope.</w:t>
      </w:r>
      <w:r>
        <w:rPr>
          <w:spacing w:val="20"/>
          <w:sz w:val="21"/>
        </w:rPr>
        <w:t xml:space="preserve"> </w:t>
      </w:r>
      <w:r>
        <w:rPr>
          <w:sz w:val="21"/>
        </w:rPr>
        <w:t>For</w:t>
      </w:r>
      <w:r>
        <w:rPr>
          <w:spacing w:val="19"/>
          <w:sz w:val="21"/>
        </w:rPr>
        <w:t xml:space="preserve"> </w:t>
      </w:r>
      <w:r>
        <w:rPr>
          <w:sz w:val="21"/>
        </w:rPr>
        <w:t>instance,</w:t>
      </w:r>
      <w:r>
        <w:rPr>
          <w:spacing w:val="20"/>
          <w:sz w:val="21"/>
        </w:rPr>
        <w:t xml:space="preserve"> </w:t>
      </w:r>
      <w:r>
        <w:rPr>
          <w:sz w:val="21"/>
        </w:rPr>
        <w:t>a</w:t>
      </w:r>
      <w:r>
        <w:rPr>
          <w:spacing w:val="19"/>
          <w:sz w:val="21"/>
        </w:rPr>
        <w:t xml:space="preserve"> </w:t>
      </w:r>
      <w:r>
        <w:rPr>
          <w:sz w:val="21"/>
        </w:rPr>
        <w:t>recent</w:t>
      </w:r>
      <w:r>
        <w:rPr>
          <w:spacing w:val="20"/>
          <w:sz w:val="21"/>
        </w:rPr>
        <w:t xml:space="preserve"> </w:t>
      </w:r>
      <w:r>
        <w:rPr>
          <w:sz w:val="21"/>
        </w:rPr>
        <w:t>study</w:t>
      </w:r>
      <w:r>
        <w:rPr>
          <w:spacing w:val="19"/>
          <w:sz w:val="21"/>
        </w:rPr>
        <w:t xml:space="preserve"> </w:t>
      </w:r>
      <w:r>
        <w:rPr>
          <w:sz w:val="21"/>
        </w:rPr>
        <w:t>showed</w:t>
      </w:r>
      <w:r>
        <w:rPr>
          <w:spacing w:val="20"/>
          <w:sz w:val="21"/>
        </w:rPr>
        <w:t xml:space="preserve"> </w:t>
      </w:r>
      <w:r>
        <w:rPr>
          <w:sz w:val="21"/>
        </w:rPr>
        <w:t>that</w:t>
      </w:r>
      <w:r>
        <w:rPr>
          <w:spacing w:val="19"/>
          <w:sz w:val="21"/>
        </w:rPr>
        <w:t xml:space="preserve"> </w:t>
      </w:r>
      <w:r>
        <w:rPr>
          <w:sz w:val="21"/>
        </w:rPr>
        <w:t>GSAs</w:t>
      </w:r>
      <w:r>
        <w:rPr>
          <w:spacing w:val="19"/>
          <w:sz w:val="21"/>
        </w:rPr>
        <w:t xml:space="preserve"> </w:t>
      </w:r>
      <w:r>
        <w:rPr>
          <w:sz w:val="21"/>
        </w:rPr>
        <w:t>foster</w:t>
      </w:r>
      <w:r>
        <w:rPr>
          <w:spacing w:val="20"/>
          <w:sz w:val="21"/>
        </w:rPr>
        <w:t xml:space="preserve"> </w:t>
      </w:r>
      <w:r>
        <w:rPr>
          <w:sz w:val="21"/>
        </w:rPr>
        <w:t>hope</w:t>
      </w:r>
      <w:r>
        <w:rPr>
          <w:spacing w:val="20"/>
          <w:sz w:val="21"/>
        </w:rPr>
        <w:t xml:space="preserve"> </w:t>
      </w:r>
      <w:r>
        <w:rPr>
          <w:spacing w:val="-5"/>
          <w:sz w:val="21"/>
        </w:rPr>
        <w:t>by</w:t>
      </w:r>
    </w:p>
    <w:p w:rsidR="00200FDA" w:rsidRDefault="00F76C4C">
      <w:pPr>
        <w:spacing w:line="273" w:lineRule="auto"/>
        <w:ind w:left="139" w:right="255"/>
        <w:jc w:val="both"/>
        <w:rPr>
          <w:sz w:val="21"/>
        </w:rPr>
      </w:pPr>
      <w:r>
        <w:rPr>
          <w:sz w:val="21"/>
        </w:rPr>
        <w:t>helping</w:t>
      </w:r>
      <w:r>
        <w:rPr>
          <w:spacing w:val="-8"/>
          <w:sz w:val="21"/>
        </w:rPr>
        <w:t xml:space="preserve"> </w:t>
      </w:r>
      <w:r>
        <w:rPr>
          <w:sz w:val="21"/>
        </w:rPr>
        <w:t>yo</w:t>
      </w:r>
      <w:r>
        <w:rPr>
          <w:sz w:val="21"/>
        </w:rPr>
        <w:t>uth</w:t>
      </w:r>
      <w:r>
        <w:rPr>
          <w:spacing w:val="-10"/>
          <w:sz w:val="21"/>
        </w:rPr>
        <w:t xml:space="preserve"> </w:t>
      </w:r>
      <w:r>
        <w:rPr>
          <w:sz w:val="21"/>
        </w:rPr>
        <w:t>discover</w:t>
      </w:r>
      <w:r>
        <w:rPr>
          <w:spacing w:val="-6"/>
          <w:sz w:val="21"/>
        </w:rPr>
        <w:t xml:space="preserve"> </w:t>
      </w:r>
      <w:r>
        <w:rPr>
          <w:sz w:val="21"/>
        </w:rPr>
        <w:t>and</w:t>
      </w:r>
      <w:r>
        <w:rPr>
          <w:spacing w:val="-12"/>
          <w:sz w:val="21"/>
        </w:rPr>
        <w:t xml:space="preserve"> </w:t>
      </w:r>
      <w:r>
        <w:rPr>
          <w:sz w:val="21"/>
        </w:rPr>
        <w:t>work</w:t>
      </w:r>
      <w:r>
        <w:rPr>
          <w:spacing w:val="-9"/>
          <w:sz w:val="21"/>
        </w:rPr>
        <w:t xml:space="preserve"> </w:t>
      </w:r>
      <w:r>
        <w:rPr>
          <w:sz w:val="21"/>
        </w:rPr>
        <w:t>toward</w:t>
      </w:r>
      <w:r>
        <w:rPr>
          <w:spacing w:val="-10"/>
          <w:sz w:val="21"/>
        </w:rPr>
        <w:t xml:space="preserve"> </w:t>
      </w:r>
      <w:r>
        <w:rPr>
          <w:sz w:val="21"/>
        </w:rPr>
        <w:t>their</w:t>
      </w:r>
      <w:r>
        <w:rPr>
          <w:spacing w:val="-6"/>
          <w:sz w:val="21"/>
        </w:rPr>
        <w:t xml:space="preserve"> </w:t>
      </w:r>
      <w:r>
        <w:rPr>
          <w:sz w:val="21"/>
        </w:rPr>
        <w:t>goals,</w:t>
      </w:r>
      <w:r>
        <w:rPr>
          <w:spacing w:val="-9"/>
          <w:sz w:val="21"/>
        </w:rPr>
        <w:t xml:space="preserve"> </w:t>
      </w:r>
      <w:r>
        <w:rPr>
          <w:sz w:val="21"/>
        </w:rPr>
        <w:t>leading</w:t>
      </w:r>
      <w:r>
        <w:rPr>
          <w:spacing w:val="-8"/>
          <w:sz w:val="21"/>
        </w:rPr>
        <w:t xml:space="preserve"> </w:t>
      </w:r>
      <w:r>
        <w:rPr>
          <w:sz w:val="21"/>
        </w:rPr>
        <w:t>to</w:t>
      </w:r>
      <w:r>
        <w:rPr>
          <w:spacing w:val="-8"/>
          <w:sz w:val="21"/>
        </w:rPr>
        <w:t xml:space="preserve"> </w:t>
      </w:r>
      <w:r>
        <w:rPr>
          <w:sz w:val="21"/>
        </w:rPr>
        <w:t>less</w:t>
      </w:r>
      <w:r>
        <w:rPr>
          <w:spacing w:val="-8"/>
          <w:sz w:val="21"/>
        </w:rPr>
        <w:t xml:space="preserve"> </w:t>
      </w:r>
      <w:r>
        <w:rPr>
          <w:sz w:val="21"/>
        </w:rPr>
        <w:t>symptoms</w:t>
      </w:r>
      <w:r>
        <w:rPr>
          <w:spacing w:val="-8"/>
          <w:sz w:val="21"/>
        </w:rPr>
        <w:t xml:space="preserve"> </w:t>
      </w:r>
      <w:r>
        <w:rPr>
          <w:sz w:val="21"/>
        </w:rPr>
        <w:t>of</w:t>
      </w:r>
      <w:r>
        <w:rPr>
          <w:spacing w:val="-9"/>
          <w:sz w:val="21"/>
        </w:rPr>
        <w:t xml:space="preserve"> </w:t>
      </w:r>
      <w:r>
        <w:rPr>
          <w:sz w:val="21"/>
        </w:rPr>
        <w:t>depression</w:t>
      </w:r>
      <w:r>
        <w:rPr>
          <w:spacing w:val="-7"/>
          <w:sz w:val="21"/>
        </w:rPr>
        <w:t xml:space="preserve"> </w:t>
      </w:r>
      <w:r>
        <w:rPr>
          <w:sz w:val="21"/>
        </w:rPr>
        <w:t>and</w:t>
      </w:r>
      <w:r>
        <w:rPr>
          <w:spacing w:val="-10"/>
          <w:sz w:val="21"/>
        </w:rPr>
        <w:t xml:space="preserve"> </w:t>
      </w:r>
      <w:r>
        <w:rPr>
          <w:sz w:val="21"/>
        </w:rPr>
        <w:t>anxiety</w:t>
      </w:r>
      <w:r>
        <w:rPr>
          <w:spacing w:val="-6"/>
          <w:sz w:val="21"/>
        </w:rPr>
        <w:t xml:space="preserve"> </w:t>
      </w:r>
      <w:r>
        <w:rPr>
          <w:sz w:val="21"/>
        </w:rPr>
        <w:t>by</w:t>
      </w:r>
      <w:r>
        <w:rPr>
          <w:spacing w:val="-6"/>
          <w:sz w:val="21"/>
        </w:rPr>
        <w:t xml:space="preserve"> </w:t>
      </w:r>
      <w:r>
        <w:rPr>
          <w:sz w:val="21"/>
        </w:rPr>
        <w:t>the end of the year.</w:t>
      </w:r>
      <w:hyperlink w:anchor="_bookmark347" w:history="1">
        <w:r>
          <w:rPr>
            <w:sz w:val="21"/>
            <w:vertAlign w:val="superscript"/>
          </w:rPr>
          <w:t>93</w:t>
        </w:r>
      </w:hyperlink>
    </w:p>
    <w:p w:rsidR="00200FDA" w:rsidRDefault="00200FDA">
      <w:pPr>
        <w:pStyle w:val="BodyText"/>
        <w:spacing w:before="11"/>
        <w:rPr>
          <w:sz w:val="19"/>
        </w:rPr>
      </w:pPr>
    </w:p>
    <w:p w:rsidR="00200FDA" w:rsidRDefault="00F76C4C">
      <w:pPr>
        <w:spacing w:before="1" w:line="276" w:lineRule="auto"/>
        <w:ind w:left="139" w:right="254"/>
        <w:jc w:val="both"/>
        <w:rPr>
          <w:sz w:val="21"/>
        </w:rPr>
      </w:pPr>
      <w:r>
        <w:rPr>
          <w:sz w:val="21"/>
        </w:rPr>
        <w:t>How</w:t>
      </w:r>
      <w:r>
        <w:rPr>
          <w:spacing w:val="-9"/>
          <w:sz w:val="21"/>
        </w:rPr>
        <w:t xml:space="preserve"> </w:t>
      </w:r>
      <w:r>
        <w:rPr>
          <w:sz w:val="21"/>
        </w:rPr>
        <w:t>can</w:t>
      </w:r>
      <w:r>
        <w:rPr>
          <w:spacing w:val="-10"/>
          <w:sz w:val="21"/>
        </w:rPr>
        <w:t xml:space="preserve"> </w:t>
      </w:r>
      <w:r>
        <w:rPr>
          <w:sz w:val="21"/>
        </w:rPr>
        <w:t>service</w:t>
      </w:r>
      <w:r>
        <w:rPr>
          <w:spacing w:val="-9"/>
          <w:sz w:val="21"/>
        </w:rPr>
        <w:t xml:space="preserve"> </w:t>
      </w:r>
      <w:r>
        <w:rPr>
          <w:sz w:val="21"/>
        </w:rPr>
        <w:t>providers</w:t>
      </w:r>
      <w:r>
        <w:rPr>
          <w:spacing w:val="-10"/>
          <w:sz w:val="21"/>
        </w:rPr>
        <w:t xml:space="preserve"> </w:t>
      </w:r>
      <w:r>
        <w:rPr>
          <w:sz w:val="21"/>
        </w:rPr>
        <w:t>improve</w:t>
      </w:r>
      <w:r>
        <w:rPr>
          <w:spacing w:val="-9"/>
          <w:sz w:val="21"/>
        </w:rPr>
        <w:t xml:space="preserve"> </w:t>
      </w:r>
      <w:r>
        <w:rPr>
          <w:sz w:val="21"/>
        </w:rPr>
        <w:t>services</w:t>
      </w:r>
      <w:r>
        <w:rPr>
          <w:spacing w:val="-10"/>
          <w:sz w:val="21"/>
        </w:rPr>
        <w:t xml:space="preserve"> </w:t>
      </w:r>
      <w:r>
        <w:rPr>
          <w:sz w:val="21"/>
        </w:rPr>
        <w:t>for</w:t>
      </w:r>
      <w:r>
        <w:rPr>
          <w:spacing w:val="-8"/>
          <w:sz w:val="21"/>
        </w:rPr>
        <w:t xml:space="preserve"> </w:t>
      </w:r>
      <w:r>
        <w:rPr>
          <w:sz w:val="21"/>
        </w:rPr>
        <w:t>suicidal</w:t>
      </w:r>
      <w:r>
        <w:rPr>
          <w:spacing w:val="-10"/>
          <w:sz w:val="21"/>
        </w:rPr>
        <w:t xml:space="preserve"> </w:t>
      </w:r>
      <w:r>
        <w:rPr>
          <w:sz w:val="21"/>
        </w:rPr>
        <w:t>LGBTQ</w:t>
      </w:r>
      <w:r>
        <w:rPr>
          <w:spacing w:val="-10"/>
          <w:sz w:val="21"/>
        </w:rPr>
        <w:t xml:space="preserve"> </w:t>
      </w:r>
      <w:r>
        <w:rPr>
          <w:sz w:val="21"/>
        </w:rPr>
        <w:t>youth?</w:t>
      </w:r>
      <w:r>
        <w:rPr>
          <w:spacing w:val="-11"/>
          <w:sz w:val="21"/>
        </w:rPr>
        <w:t xml:space="preserve"> </w:t>
      </w:r>
      <w:r>
        <w:rPr>
          <w:sz w:val="21"/>
        </w:rPr>
        <w:t>One</w:t>
      </w:r>
      <w:r>
        <w:rPr>
          <w:spacing w:val="-9"/>
          <w:sz w:val="21"/>
        </w:rPr>
        <w:t xml:space="preserve"> </w:t>
      </w:r>
      <w:r>
        <w:rPr>
          <w:sz w:val="21"/>
        </w:rPr>
        <w:t>study</w:t>
      </w:r>
      <w:r>
        <w:rPr>
          <w:spacing w:val="-9"/>
          <w:sz w:val="21"/>
        </w:rPr>
        <w:t xml:space="preserve"> </w:t>
      </w:r>
      <w:r>
        <w:rPr>
          <w:sz w:val="21"/>
        </w:rPr>
        <w:t>from</w:t>
      </w:r>
      <w:r>
        <w:rPr>
          <w:spacing w:val="-10"/>
          <w:sz w:val="21"/>
        </w:rPr>
        <w:t xml:space="preserve"> </w:t>
      </w:r>
      <w:r>
        <w:rPr>
          <w:sz w:val="21"/>
        </w:rPr>
        <w:t>2021</w:t>
      </w:r>
      <w:r>
        <w:rPr>
          <w:spacing w:val="-8"/>
          <w:sz w:val="21"/>
        </w:rPr>
        <w:t xml:space="preserve"> </w:t>
      </w:r>
      <w:r>
        <w:rPr>
          <w:sz w:val="21"/>
        </w:rPr>
        <w:t>sought</w:t>
      </w:r>
      <w:r>
        <w:rPr>
          <w:spacing w:val="-10"/>
          <w:sz w:val="21"/>
        </w:rPr>
        <w:t xml:space="preserve"> </w:t>
      </w:r>
      <w:r>
        <w:rPr>
          <w:sz w:val="21"/>
        </w:rPr>
        <w:t>out</w:t>
      </w:r>
      <w:r>
        <w:rPr>
          <w:spacing w:val="-10"/>
          <w:sz w:val="21"/>
        </w:rPr>
        <w:t xml:space="preserve"> </w:t>
      </w:r>
      <w:r>
        <w:rPr>
          <w:sz w:val="21"/>
        </w:rPr>
        <w:t>youths’ insights. Participants shared that they were unaware that mental health resources already existed for them. They</w:t>
      </w:r>
      <w:r>
        <w:rPr>
          <w:spacing w:val="-6"/>
          <w:sz w:val="21"/>
        </w:rPr>
        <w:t xml:space="preserve"> </w:t>
      </w:r>
      <w:r>
        <w:rPr>
          <w:sz w:val="21"/>
        </w:rPr>
        <w:t>also</w:t>
      </w:r>
      <w:r>
        <w:rPr>
          <w:spacing w:val="-10"/>
          <w:sz w:val="21"/>
        </w:rPr>
        <w:t xml:space="preserve"> </w:t>
      </w:r>
      <w:r>
        <w:rPr>
          <w:sz w:val="21"/>
        </w:rPr>
        <w:t>wanted</w:t>
      </w:r>
      <w:r>
        <w:rPr>
          <w:spacing w:val="-7"/>
          <w:sz w:val="21"/>
        </w:rPr>
        <w:t xml:space="preserve"> </w:t>
      </w:r>
      <w:r>
        <w:rPr>
          <w:sz w:val="21"/>
        </w:rPr>
        <w:t>confidentiality</w:t>
      </w:r>
      <w:r>
        <w:rPr>
          <w:spacing w:val="-6"/>
          <w:sz w:val="21"/>
        </w:rPr>
        <w:t xml:space="preserve"> </w:t>
      </w:r>
      <w:r>
        <w:rPr>
          <w:sz w:val="21"/>
        </w:rPr>
        <w:t>for</w:t>
      </w:r>
      <w:r>
        <w:rPr>
          <w:spacing w:val="-6"/>
          <w:sz w:val="21"/>
        </w:rPr>
        <w:t xml:space="preserve"> </w:t>
      </w:r>
      <w:r>
        <w:rPr>
          <w:sz w:val="21"/>
        </w:rPr>
        <w:t>their</w:t>
      </w:r>
      <w:r>
        <w:rPr>
          <w:spacing w:val="-8"/>
          <w:sz w:val="21"/>
        </w:rPr>
        <w:t xml:space="preserve"> </w:t>
      </w:r>
      <w:r>
        <w:rPr>
          <w:sz w:val="21"/>
        </w:rPr>
        <w:t>suicidality</w:t>
      </w:r>
      <w:r>
        <w:rPr>
          <w:spacing w:val="-6"/>
          <w:sz w:val="21"/>
        </w:rPr>
        <w:t xml:space="preserve"> </w:t>
      </w:r>
      <w:r>
        <w:rPr>
          <w:sz w:val="21"/>
        </w:rPr>
        <w:t>and</w:t>
      </w:r>
      <w:r>
        <w:rPr>
          <w:spacing w:val="-7"/>
          <w:sz w:val="21"/>
        </w:rPr>
        <w:t xml:space="preserve"> </w:t>
      </w:r>
      <w:r>
        <w:rPr>
          <w:sz w:val="21"/>
        </w:rPr>
        <w:t>identities,</w:t>
      </w:r>
      <w:r>
        <w:rPr>
          <w:spacing w:val="-7"/>
          <w:sz w:val="21"/>
        </w:rPr>
        <w:t xml:space="preserve"> </w:t>
      </w:r>
      <w:r>
        <w:rPr>
          <w:sz w:val="21"/>
        </w:rPr>
        <w:t>clear</w:t>
      </w:r>
      <w:r>
        <w:rPr>
          <w:spacing w:val="-8"/>
          <w:sz w:val="21"/>
        </w:rPr>
        <w:t xml:space="preserve"> </w:t>
      </w:r>
      <w:r>
        <w:rPr>
          <w:sz w:val="21"/>
        </w:rPr>
        <w:t>visual</w:t>
      </w:r>
      <w:r>
        <w:rPr>
          <w:spacing w:val="-7"/>
          <w:sz w:val="21"/>
        </w:rPr>
        <w:t xml:space="preserve"> </w:t>
      </w:r>
      <w:r>
        <w:rPr>
          <w:sz w:val="21"/>
        </w:rPr>
        <w:t>signs</w:t>
      </w:r>
      <w:r>
        <w:rPr>
          <w:spacing w:val="-8"/>
          <w:sz w:val="21"/>
        </w:rPr>
        <w:t xml:space="preserve"> </w:t>
      </w:r>
      <w:r>
        <w:rPr>
          <w:sz w:val="21"/>
        </w:rPr>
        <w:t>of</w:t>
      </w:r>
      <w:r>
        <w:rPr>
          <w:spacing w:val="-6"/>
          <w:sz w:val="21"/>
        </w:rPr>
        <w:t xml:space="preserve"> </w:t>
      </w:r>
      <w:r>
        <w:rPr>
          <w:sz w:val="21"/>
        </w:rPr>
        <w:t>affirming</w:t>
      </w:r>
      <w:r>
        <w:rPr>
          <w:spacing w:val="-8"/>
          <w:sz w:val="21"/>
        </w:rPr>
        <w:t xml:space="preserve"> </w:t>
      </w:r>
      <w:r>
        <w:rPr>
          <w:sz w:val="21"/>
        </w:rPr>
        <w:t>attitudes,</w:t>
      </w:r>
      <w:r>
        <w:rPr>
          <w:spacing w:val="-7"/>
          <w:sz w:val="21"/>
        </w:rPr>
        <w:t xml:space="preserve"> </w:t>
      </w:r>
      <w:r>
        <w:rPr>
          <w:sz w:val="21"/>
        </w:rPr>
        <w:t>and emotional support from their caregivers about their identities.</w:t>
      </w:r>
      <w:hyperlink w:anchor="_bookmark348" w:history="1">
        <w:r>
          <w:rPr>
            <w:color w:val="585858"/>
            <w:sz w:val="21"/>
            <w:vertAlign w:val="superscript"/>
          </w:rPr>
          <w:t>94</w:t>
        </w:r>
      </w:hyperlink>
    </w:p>
    <w:p w:rsidR="00200FDA" w:rsidRDefault="00200FDA">
      <w:pPr>
        <w:pStyle w:val="BodyText"/>
        <w:spacing w:before="9"/>
        <w:rPr>
          <w:sz w:val="19"/>
        </w:rPr>
      </w:pPr>
    </w:p>
    <w:p w:rsidR="00200FDA" w:rsidRDefault="00F76C4C">
      <w:pPr>
        <w:spacing w:line="276" w:lineRule="auto"/>
        <w:ind w:left="139" w:right="254"/>
        <w:jc w:val="both"/>
        <w:rPr>
          <w:sz w:val="21"/>
        </w:rPr>
      </w:pPr>
      <w:r>
        <w:rPr>
          <w:sz w:val="21"/>
        </w:rPr>
        <w:t>Despite the lack of research about LGBTQ-specific professional mental health support, it is clear that LGBTQ youth</w:t>
      </w:r>
      <w:r>
        <w:rPr>
          <w:spacing w:val="-10"/>
          <w:sz w:val="21"/>
        </w:rPr>
        <w:t xml:space="preserve"> </w:t>
      </w:r>
      <w:r>
        <w:rPr>
          <w:sz w:val="21"/>
        </w:rPr>
        <w:t>suffer</w:t>
      </w:r>
      <w:r>
        <w:rPr>
          <w:spacing w:val="-11"/>
          <w:sz w:val="21"/>
        </w:rPr>
        <w:t xml:space="preserve"> </w:t>
      </w:r>
      <w:r>
        <w:rPr>
          <w:sz w:val="21"/>
        </w:rPr>
        <w:t>when</w:t>
      </w:r>
      <w:r>
        <w:rPr>
          <w:spacing w:val="-12"/>
          <w:sz w:val="21"/>
        </w:rPr>
        <w:t xml:space="preserve"> </w:t>
      </w:r>
      <w:r>
        <w:rPr>
          <w:sz w:val="21"/>
        </w:rPr>
        <w:t>they</w:t>
      </w:r>
      <w:r>
        <w:rPr>
          <w:spacing w:val="-9"/>
          <w:sz w:val="21"/>
        </w:rPr>
        <w:t xml:space="preserve"> </w:t>
      </w:r>
      <w:r>
        <w:rPr>
          <w:sz w:val="21"/>
        </w:rPr>
        <w:t>live</w:t>
      </w:r>
      <w:r>
        <w:rPr>
          <w:spacing w:val="-11"/>
          <w:sz w:val="21"/>
        </w:rPr>
        <w:t xml:space="preserve"> </w:t>
      </w:r>
      <w:r>
        <w:rPr>
          <w:sz w:val="21"/>
        </w:rPr>
        <w:t>in</w:t>
      </w:r>
      <w:r>
        <w:rPr>
          <w:spacing w:val="-10"/>
          <w:sz w:val="21"/>
        </w:rPr>
        <w:t xml:space="preserve"> </w:t>
      </w:r>
      <w:r>
        <w:rPr>
          <w:sz w:val="21"/>
        </w:rPr>
        <w:t>families,</w:t>
      </w:r>
      <w:r>
        <w:rPr>
          <w:spacing w:val="-9"/>
          <w:sz w:val="21"/>
        </w:rPr>
        <w:t xml:space="preserve"> </w:t>
      </w:r>
      <w:r>
        <w:rPr>
          <w:sz w:val="21"/>
        </w:rPr>
        <w:t>sch</w:t>
      </w:r>
      <w:r>
        <w:rPr>
          <w:sz w:val="21"/>
        </w:rPr>
        <w:t>ools,</w:t>
      </w:r>
      <w:r>
        <w:rPr>
          <w:spacing w:val="-9"/>
          <w:sz w:val="21"/>
        </w:rPr>
        <w:t xml:space="preserve"> </w:t>
      </w:r>
      <w:r>
        <w:rPr>
          <w:sz w:val="21"/>
        </w:rPr>
        <w:t>communities,</w:t>
      </w:r>
      <w:r>
        <w:rPr>
          <w:spacing w:val="-9"/>
          <w:sz w:val="21"/>
        </w:rPr>
        <w:t xml:space="preserve"> </w:t>
      </w:r>
      <w:r>
        <w:rPr>
          <w:sz w:val="21"/>
        </w:rPr>
        <w:t>and</w:t>
      </w:r>
      <w:r>
        <w:rPr>
          <w:spacing w:val="-10"/>
          <w:sz w:val="21"/>
        </w:rPr>
        <w:t xml:space="preserve"> </w:t>
      </w:r>
      <w:r>
        <w:rPr>
          <w:sz w:val="21"/>
        </w:rPr>
        <w:t>a</w:t>
      </w:r>
      <w:r>
        <w:rPr>
          <w:spacing w:val="-10"/>
          <w:sz w:val="21"/>
        </w:rPr>
        <w:t xml:space="preserve"> </w:t>
      </w:r>
      <w:r>
        <w:rPr>
          <w:sz w:val="21"/>
        </w:rPr>
        <w:t>society</w:t>
      </w:r>
      <w:r>
        <w:rPr>
          <w:spacing w:val="-9"/>
          <w:sz w:val="21"/>
        </w:rPr>
        <w:t xml:space="preserve"> </w:t>
      </w:r>
      <w:r>
        <w:rPr>
          <w:sz w:val="21"/>
        </w:rPr>
        <w:t>that</w:t>
      </w:r>
      <w:r>
        <w:rPr>
          <w:spacing w:val="-10"/>
          <w:sz w:val="21"/>
        </w:rPr>
        <w:t xml:space="preserve"> </w:t>
      </w:r>
      <w:r>
        <w:rPr>
          <w:sz w:val="21"/>
        </w:rPr>
        <w:t>erases,</w:t>
      </w:r>
      <w:r>
        <w:rPr>
          <w:spacing w:val="-9"/>
          <w:sz w:val="21"/>
        </w:rPr>
        <w:t xml:space="preserve"> </w:t>
      </w:r>
      <w:r>
        <w:rPr>
          <w:sz w:val="21"/>
        </w:rPr>
        <w:t>debates,</w:t>
      </w:r>
      <w:r>
        <w:rPr>
          <w:spacing w:val="-12"/>
          <w:sz w:val="21"/>
        </w:rPr>
        <w:t xml:space="preserve"> </w:t>
      </w:r>
      <w:r>
        <w:rPr>
          <w:sz w:val="21"/>
        </w:rPr>
        <w:t>and</w:t>
      </w:r>
      <w:r>
        <w:rPr>
          <w:spacing w:val="-10"/>
          <w:sz w:val="21"/>
        </w:rPr>
        <w:t xml:space="preserve"> </w:t>
      </w:r>
      <w:r>
        <w:rPr>
          <w:sz w:val="21"/>
        </w:rPr>
        <w:t>threatens them. Suicide prevention includes professional mental healthcare, but it is not limited to it. Protective legislation, supportive school policies, mental health literacy initiatives, comp</w:t>
      </w:r>
      <w:r>
        <w:rPr>
          <w:sz w:val="21"/>
        </w:rPr>
        <w:t>rehensively funded MHP and youth worker positions and programs, intersectional and trauma-informed services, and all of the other interdisciplinary recommendations made in this report – these, too, are suicide prevention.</w:t>
      </w:r>
    </w:p>
    <w:p w:rsidR="00200FDA" w:rsidRDefault="00F76C4C">
      <w:pPr>
        <w:pStyle w:val="BodyText"/>
        <w:spacing w:before="8"/>
        <w:rPr>
          <w:sz w:val="17"/>
        </w:rPr>
      </w:pPr>
      <w:r>
        <w:rPr>
          <w:noProof/>
        </w:rPr>
        <w:drawing>
          <wp:anchor distT="0" distB="0" distL="0" distR="0" simplePos="0" relativeHeight="72" behindDoc="0" locked="0" layoutInCell="1" allowOverlap="1">
            <wp:simplePos x="0" y="0"/>
            <wp:positionH relativeFrom="page">
              <wp:posOffset>914400</wp:posOffset>
            </wp:positionH>
            <wp:positionV relativeFrom="paragraph">
              <wp:posOffset>152536</wp:posOffset>
            </wp:positionV>
            <wp:extent cx="5945247" cy="633984"/>
            <wp:effectExtent l="0" t="0" r="0" b="0"/>
            <wp:wrapTopAndBottom/>
            <wp:docPr id="59"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4.jpeg"/>
                    <pic:cNvPicPr/>
                  </pic:nvPicPr>
                  <pic:blipFill>
                    <a:blip r:embed="rId245" cstate="print"/>
                    <a:stretch>
                      <a:fillRect/>
                    </a:stretch>
                  </pic:blipFill>
                  <pic:spPr>
                    <a:xfrm>
                      <a:off x="0" y="0"/>
                      <a:ext cx="5945247" cy="633984"/>
                    </a:xfrm>
                    <a:prstGeom prst="rect">
                      <a:avLst/>
                    </a:prstGeom>
                  </pic:spPr>
                </pic:pic>
              </a:graphicData>
            </a:graphic>
          </wp:anchor>
        </w:drawing>
      </w:r>
    </w:p>
    <w:p w:rsidR="00200FDA" w:rsidRDefault="00200FDA">
      <w:pPr>
        <w:pStyle w:val="BodyText"/>
        <w:spacing w:before="11"/>
        <w:rPr>
          <w:sz w:val="26"/>
        </w:rPr>
      </w:pPr>
    </w:p>
    <w:p w:rsidR="00200FDA" w:rsidRDefault="00F76C4C">
      <w:pPr>
        <w:spacing w:before="1" w:line="276" w:lineRule="auto"/>
        <w:ind w:left="140" w:right="254"/>
        <w:jc w:val="both"/>
        <w:rPr>
          <w:sz w:val="21"/>
        </w:rPr>
      </w:pPr>
      <w:r>
        <w:rPr>
          <w:sz w:val="21"/>
        </w:rPr>
        <w:t>The above statement, made durin</w:t>
      </w:r>
      <w:r>
        <w:rPr>
          <w:sz w:val="21"/>
        </w:rPr>
        <w:t>g the 2022 Massachusetts school walkout to protest anti-LGBTQ legislation in Florida and Texas, captures the spirit of resilience that LGBTQ youth cultivate in themselves and in one another.</w:t>
      </w:r>
      <w:r>
        <w:rPr>
          <w:spacing w:val="-5"/>
          <w:sz w:val="21"/>
        </w:rPr>
        <w:t xml:space="preserve"> </w:t>
      </w:r>
      <w:r>
        <w:rPr>
          <w:sz w:val="21"/>
        </w:rPr>
        <w:t>The</w:t>
      </w:r>
      <w:r>
        <w:rPr>
          <w:spacing w:val="-4"/>
          <w:sz w:val="21"/>
        </w:rPr>
        <w:t xml:space="preserve"> </w:t>
      </w:r>
      <w:r>
        <w:rPr>
          <w:sz w:val="21"/>
        </w:rPr>
        <w:t>power</w:t>
      </w:r>
      <w:r>
        <w:rPr>
          <w:spacing w:val="-4"/>
          <w:sz w:val="21"/>
        </w:rPr>
        <w:t xml:space="preserve"> </w:t>
      </w:r>
      <w:r>
        <w:rPr>
          <w:sz w:val="21"/>
        </w:rPr>
        <w:t>of</w:t>
      </w:r>
      <w:r>
        <w:rPr>
          <w:spacing w:val="-4"/>
          <w:sz w:val="21"/>
        </w:rPr>
        <w:t xml:space="preserve"> </w:t>
      </w:r>
      <w:r>
        <w:rPr>
          <w:sz w:val="21"/>
        </w:rPr>
        <w:t>youths’</w:t>
      </w:r>
      <w:r>
        <w:rPr>
          <w:spacing w:val="-4"/>
          <w:sz w:val="21"/>
        </w:rPr>
        <w:t xml:space="preserve"> </w:t>
      </w:r>
      <w:r>
        <w:rPr>
          <w:sz w:val="21"/>
        </w:rPr>
        <w:t>interests,</w:t>
      </w:r>
      <w:r>
        <w:rPr>
          <w:spacing w:val="-4"/>
          <w:sz w:val="21"/>
        </w:rPr>
        <w:t xml:space="preserve"> </w:t>
      </w:r>
      <w:r>
        <w:rPr>
          <w:sz w:val="21"/>
        </w:rPr>
        <w:t>energy,</w:t>
      </w:r>
      <w:r>
        <w:rPr>
          <w:spacing w:val="-4"/>
          <w:sz w:val="21"/>
        </w:rPr>
        <w:t xml:space="preserve"> </w:t>
      </w:r>
      <w:r>
        <w:rPr>
          <w:sz w:val="21"/>
        </w:rPr>
        <w:t>and</w:t>
      </w:r>
      <w:r>
        <w:rPr>
          <w:spacing w:val="-5"/>
          <w:sz w:val="21"/>
        </w:rPr>
        <w:t xml:space="preserve"> </w:t>
      </w:r>
      <w:r>
        <w:rPr>
          <w:sz w:val="21"/>
        </w:rPr>
        <w:t>lived</w:t>
      </w:r>
      <w:r>
        <w:rPr>
          <w:spacing w:val="-5"/>
          <w:sz w:val="21"/>
        </w:rPr>
        <w:t xml:space="preserve"> </w:t>
      </w:r>
      <w:r>
        <w:rPr>
          <w:sz w:val="21"/>
        </w:rPr>
        <w:t>wisdom</w:t>
      </w:r>
      <w:r>
        <w:rPr>
          <w:spacing w:val="-5"/>
          <w:sz w:val="21"/>
        </w:rPr>
        <w:t xml:space="preserve"> </w:t>
      </w:r>
      <w:r>
        <w:rPr>
          <w:sz w:val="21"/>
        </w:rPr>
        <w:t>should</w:t>
      </w:r>
      <w:r>
        <w:rPr>
          <w:spacing w:val="-5"/>
          <w:sz w:val="21"/>
        </w:rPr>
        <w:t xml:space="preserve"> </w:t>
      </w:r>
      <w:r>
        <w:rPr>
          <w:sz w:val="21"/>
        </w:rPr>
        <w:t>never</w:t>
      </w:r>
      <w:r>
        <w:rPr>
          <w:spacing w:val="-4"/>
          <w:sz w:val="21"/>
        </w:rPr>
        <w:t xml:space="preserve"> </w:t>
      </w:r>
      <w:r>
        <w:rPr>
          <w:sz w:val="21"/>
        </w:rPr>
        <w:t>be</w:t>
      </w:r>
      <w:r>
        <w:rPr>
          <w:spacing w:val="-4"/>
          <w:sz w:val="21"/>
        </w:rPr>
        <w:t xml:space="preserve"> </w:t>
      </w:r>
      <w:r>
        <w:rPr>
          <w:sz w:val="21"/>
        </w:rPr>
        <w:t>underestimated.</w:t>
      </w:r>
      <w:r>
        <w:rPr>
          <w:spacing w:val="-5"/>
          <w:sz w:val="21"/>
        </w:rPr>
        <w:t xml:space="preserve"> </w:t>
      </w:r>
      <w:r>
        <w:rPr>
          <w:sz w:val="21"/>
        </w:rPr>
        <w:t>Although the statistics, the news, and the issues in this report may feel overwhelming, we remember that uncounted generations</w:t>
      </w:r>
      <w:r>
        <w:rPr>
          <w:spacing w:val="-5"/>
          <w:sz w:val="21"/>
        </w:rPr>
        <w:t xml:space="preserve"> </w:t>
      </w:r>
      <w:r>
        <w:rPr>
          <w:sz w:val="21"/>
        </w:rPr>
        <w:t>of</w:t>
      </w:r>
      <w:r>
        <w:rPr>
          <w:spacing w:val="-4"/>
          <w:sz w:val="21"/>
        </w:rPr>
        <w:t xml:space="preserve"> </w:t>
      </w:r>
      <w:r>
        <w:rPr>
          <w:sz w:val="21"/>
        </w:rPr>
        <w:t>LGBTQ</w:t>
      </w:r>
      <w:r>
        <w:rPr>
          <w:spacing w:val="-5"/>
          <w:sz w:val="21"/>
        </w:rPr>
        <w:t xml:space="preserve"> </w:t>
      </w:r>
      <w:r>
        <w:rPr>
          <w:sz w:val="21"/>
        </w:rPr>
        <w:t>people</w:t>
      </w:r>
      <w:r>
        <w:rPr>
          <w:spacing w:val="-4"/>
          <w:sz w:val="21"/>
        </w:rPr>
        <w:t xml:space="preserve"> </w:t>
      </w:r>
      <w:r>
        <w:rPr>
          <w:sz w:val="21"/>
        </w:rPr>
        <w:t>have</w:t>
      </w:r>
      <w:r>
        <w:rPr>
          <w:spacing w:val="-4"/>
          <w:sz w:val="21"/>
        </w:rPr>
        <w:t xml:space="preserve"> </w:t>
      </w:r>
      <w:r>
        <w:rPr>
          <w:sz w:val="21"/>
        </w:rPr>
        <w:t>always</w:t>
      </w:r>
      <w:r>
        <w:rPr>
          <w:spacing w:val="-5"/>
          <w:sz w:val="21"/>
        </w:rPr>
        <w:t xml:space="preserve"> </w:t>
      </w:r>
      <w:r>
        <w:rPr>
          <w:sz w:val="21"/>
        </w:rPr>
        <w:t>found</w:t>
      </w:r>
      <w:r>
        <w:rPr>
          <w:spacing w:val="-7"/>
          <w:sz w:val="21"/>
        </w:rPr>
        <w:t xml:space="preserve"> </w:t>
      </w:r>
      <w:r>
        <w:rPr>
          <w:sz w:val="21"/>
        </w:rPr>
        <w:t>ways</w:t>
      </w:r>
      <w:r>
        <w:rPr>
          <w:spacing w:val="-5"/>
          <w:sz w:val="21"/>
        </w:rPr>
        <w:t xml:space="preserve"> </w:t>
      </w:r>
      <w:r>
        <w:rPr>
          <w:sz w:val="21"/>
        </w:rPr>
        <w:t>to</w:t>
      </w:r>
      <w:r>
        <w:rPr>
          <w:spacing w:val="-8"/>
          <w:sz w:val="21"/>
        </w:rPr>
        <w:t xml:space="preserve"> </w:t>
      </w:r>
      <w:r>
        <w:rPr>
          <w:sz w:val="21"/>
        </w:rPr>
        <w:t>survive</w:t>
      </w:r>
      <w:r>
        <w:rPr>
          <w:spacing w:val="-4"/>
          <w:sz w:val="21"/>
        </w:rPr>
        <w:t xml:space="preserve"> </w:t>
      </w:r>
      <w:r>
        <w:rPr>
          <w:sz w:val="21"/>
        </w:rPr>
        <w:t>and</w:t>
      </w:r>
      <w:r>
        <w:rPr>
          <w:spacing w:val="-5"/>
          <w:sz w:val="21"/>
        </w:rPr>
        <w:t xml:space="preserve"> </w:t>
      </w:r>
      <w:r>
        <w:rPr>
          <w:sz w:val="21"/>
        </w:rPr>
        <w:t>thrive.</w:t>
      </w:r>
      <w:r>
        <w:rPr>
          <w:spacing w:val="-5"/>
          <w:sz w:val="21"/>
        </w:rPr>
        <w:t xml:space="preserve"> </w:t>
      </w:r>
      <w:r>
        <w:rPr>
          <w:sz w:val="21"/>
        </w:rPr>
        <w:t>This</w:t>
      </w:r>
      <w:r>
        <w:rPr>
          <w:spacing w:val="-5"/>
          <w:sz w:val="21"/>
        </w:rPr>
        <w:t xml:space="preserve"> </w:t>
      </w:r>
      <w:r>
        <w:rPr>
          <w:sz w:val="21"/>
        </w:rPr>
        <w:t>heritage</w:t>
      </w:r>
      <w:r>
        <w:rPr>
          <w:spacing w:val="-4"/>
          <w:sz w:val="21"/>
        </w:rPr>
        <w:t xml:space="preserve"> </w:t>
      </w:r>
      <w:r>
        <w:rPr>
          <w:sz w:val="21"/>
        </w:rPr>
        <w:t>is</w:t>
      </w:r>
      <w:r>
        <w:rPr>
          <w:spacing w:val="-5"/>
          <w:sz w:val="21"/>
        </w:rPr>
        <w:t xml:space="preserve"> </w:t>
      </w:r>
      <w:r>
        <w:rPr>
          <w:sz w:val="21"/>
        </w:rPr>
        <w:t>a</w:t>
      </w:r>
      <w:r>
        <w:rPr>
          <w:spacing w:val="-5"/>
          <w:sz w:val="21"/>
        </w:rPr>
        <w:t xml:space="preserve"> </w:t>
      </w:r>
      <w:r>
        <w:rPr>
          <w:sz w:val="21"/>
        </w:rPr>
        <w:t>cultural</w:t>
      </w:r>
      <w:r>
        <w:rPr>
          <w:spacing w:val="-5"/>
          <w:sz w:val="21"/>
        </w:rPr>
        <w:t xml:space="preserve"> </w:t>
      </w:r>
      <w:r>
        <w:rPr>
          <w:sz w:val="21"/>
        </w:rPr>
        <w:t xml:space="preserve">treasure that </w:t>
      </w:r>
      <w:r>
        <w:rPr>
          <w:sz w:val="21"/>
        </w:rPr>
        <w:t>should be celebrated and drawn upon.</w:t>
      </w:r>
    </w:p>
    <w:p w:rsidR="00200FDA" w:rsidRDefault="00200FDA">
      <w:pPr>
        <w:pStyle w:val="BodyText"/>
        <w:spacing w:before="8"/>
        <w:rPr>
          <w:sz w:val="19"/>
        </w:rPr>
      </w:pPr>
    </w:p>
    <w:p w:rsidR="00200FDA" w:rsidRDefault="00F76C4C">
      <w:pPr>
        <w:spacing w:line="276" w:lineRule="auto"/>
        <w:ind w:left="139" w:right="253"/>
        <w:jc w:val="both"/>
        <w:rPr>
          <w:sz w:val="21"/>
        </w:rPr>
      </w:pPr>
      <w:r>
        <w:rPr>
          <w:sz w:val="21"/>
        </w:rPr>
        <w:t>LGBTQ</w:t>
      </w:r>
      <w:r>
        <w:rPr>
          <w:spacing w:val="-2"/>
          <w:sz w:val="21"/>
        </w:rPr>
        <w:t xml:space="preserve"> </w:t>
      </w:r>
      <w:r>
        <w:rPr>
          <w:sz w:val="21"/>
        </w:rPr>
        <w:t>youth</w:t>
      </w:r>
      <w:r>
        <w:rPr>
          <w:spacing w:val="-2"/>
          <w:sz w:val="21"/>
        </w:rPr>
        <w:t xml:space="preserve"> </w:t>
      </w:r>
      <w:r>
        <w:rPr>
          <w:sz w:val="21"/>
        </w:rPr>
        <w:t>survive,</w:t>
      </w:r>
      <w:r>
        <w:rPr>
          <w:spacing w:val="-1"/>
          <w:sz w:val="21"/>
        </w:rPr>
        <w:t xml:space="preserve"> </w:t>
      </w:r>
      <w:r>
        <w:rPr>
          <w:sz w:val="21"/>
        </w:rPr>
        <w:t>heal,</w:t>
      </w:r>
      <w:r>
        <w:rPr>
          <w:spacing w:val="-1"/>
          <w:sz w:val="21"/>
        </w:rPr>
        <w:t xml:space="preserve"> </w:t>
      </w:r>
      <w:r>
        <w:rPr>
          <w:sz w:val="21"/>
        </w:rPr>
        <w:t>and</w:t>
      </w:r>
      <w:r>
        <w:rPr>
          <w:spacing w:val="-2"/>
          <w:sz w:val="21"/>
        </w:rPr>
        <w:t xml:space="preserve"> </w:t>
      </w:r>
      <w:r>
        <w:rPr>
          <w:sz w:val="21"/>
        </w:rPr>
        <w:t>thrive</w:t>
      </w:r>
      <w:r>
        <w:rPr>
          <w:spacing w:val="-1"/>
          <w:sz w:val="21"/>
        </w:rPr>
        <w:t xml:space="preserve"> </w:t>
      </w:r>
      <w:r>
        <w:rPr>
          <w:sz w:val="21"/>
        </w:rPr>
        <w:t>when</w:t>
      </w:r>
      <w:r>
        <w:rPr>
          <w:spacing w:val="-2"/>
          <w:sz w:val="21"/>
        </w:rPr>
        <w:t xml:space="preserve"> </w:t>
      </w:r>
      <w:r>
        <w:rPr>
          <w:sz w:val="21"/>
        </w:rPr>
        <w:t>they</w:t>
      </w:r>
      <w:r>
        <w:rPr>
          <w:spacing w:val="-1"/>
          <w:sz w:val="21"/>
        </w:rPr>
        <w:t xml:space="preserve"> </w:t>
      </w:r>
      <w:r>
        <w:rPr>
          <w:sz w:val="21"/>
        </w:rPr>
        <w:t>have</w:t>
      </w:r>
      <w:r>
        <w:rPr>
          <w:spacing w:val="-1"/>
          <w:sz w:val="21"/>
        </w:rPr>
        <w:t xml:space="preserve"> </w:t>
      </w:r>
      <w:r>
        <w:rPr>
          <w:sz w:val="21"/>
        </w:rPr>
        <w:t>supportive</w:t>
      </w:r>
      <w:r>
        <w:rPr>
          <w:spacing w:val="-1"/>
          <w:sz w:val="21"/>
        </w:rPr>
        <w:t xml:space="preserve"> </w:t>
      </w:r>
      <w:r>
        <w:rPr>
          <w:sz w:val="21"/>
        </w:rPr>
        <w:t>people</w:t>
      </w:r>
      <w:r>
        <w:rPr>
          <w:spacing w:val="-1"/>
          <w:sz w:val="21"/>
        </w:rPr>
        <w:t xml:space="preserve"> </w:t>
      </w:r>
      <w:r>
        <w:rPr>
          <w:sz w:val="21"/>
        </w:rPr>
        <w:t>as</w:t>
      </w:r>
      <w:r>
        <w:rPr>
          <w:spacing w:val="-2"/>
          <w:sz w:val="21"/>
        </w:rPr>
        <w:t xml:space="preserve"> </w:t>
      </w:r>
      <w:r>
        <w:rPr>
          <w:sz w:val="21"/>
        </w:rPr>
        <w:t>well</w:t>
      </w:r>
      <w:r>
        <w:rPr>
          <w:spacing w:val="-1"/>
          <w:sz w:val="21"/>
        </w:rPr>
        <w:t xml:space="preserve"> </w:t>
      </w:r>
      <w:r>
        <w:rPr>
          <w:sz w:val="21"/>
        </w:rPr>
        <w:t>as</w:t>
      </w:r>
      <w:r>
        <w:rPr>
          <w:spacing w:val="-2"/>
          <w:sz w:val="21"/>
        </w:rPr>
        <w:t xml:space="preserve"> </w:t>
      </w:r>
      <w:r>
        <w:rPr>
          <w:sz w:val="21"/>
        </w:rPr>
        <w:t>each</w:t>
      </w:r>
      <w:r>
        <w:rPr>
          <w:spacing w:val="-1"/>
          <w:sz w:val="21"/>
        </w:rPr>
        <w:t xml:space="preserve"> </w:t>
      </w:r>
      <w:r>
        <w:rPr>
          <w:sz w:val="21"/>
        </w:rPr>
        <w:t>other.</w:t>
      </w:r>
      <w:r>
        <w:rPr>
          <w:spacing w:val="-2"/>
          <w:sz w:val="21"/>
        </w:rPr>
        <w:t xml:space="preserve"> </w:t>
      </w:r>
      <w:r>
        <w:rPr>
          <w:sz w:val="21"/>
        </w:rPr>
        <w:t>Chosen</w:t>
      </w:r>
      <w:r>
        <w:rPr>
          <w:spacing w:val="-2"/>
          <w:sz w:val="21"/>
        </w:rPr>
        <w:t xml:space="preserve"> </w:t>
      </w:r>
      <w:r>
        <w:rPr>
          <w:sz w:val="21"/>
        </w:rPr>
        <w:t>family and</w:t>
      </w:r>
      <w:r>
        <w:rPr>
          <w:spacing w:val="-3"/>
          <w:sz w:val="21"/>
        </w:rPr>
        <w:t xml:space="preserve"> </w:t>
      </w:r>
      <w:r>
        <w:rPr>
          <w:sz w:val="21"/>
        </w:rPr>
        <w:t>peer</w:t>
      </w:r>
      <w:r>
        <w:rPr>
          <w:spacing w:val="-1"/>
          <w:sz w:val="21"/>
        </w:rPr>
        <w:t xml:space="preserve"> </w:t>
      </w:r>
      <w:r>
        <w:rPr>
          <w:sz w:val="21"/>
        </w:rPr>
        <w:t>support</w:t>
      </w:r>
      <w:r>
        <w:rPr>
          <w:spacing w:val="-5"/>
          <w:sz w:val="21"/>
        </w:rPr>
        <w:t xml:space="preserve"> </w:t>
      </w:r>
      <w:r>
        <w:rPr>
          <w:sz w:val="21"/>
        </w:rPr>
        <w:t>are</w:t>
      </w:r>
      <w:r>
        <w:rPr>
          <w:spacing w:val="-2"/>
          <w:sz w:val="21"/>
        </w:rPr>
        <w:t xml:space="preserve"> </w:t>
      </w:r>
      <w:r>
        <w:rPr>
          <w:sz w:val="21"/>
        </w:rPr>
        <w:t>resources</w:t>
      </w:r>
      <w:r>
        <w:rPr>
          <w:spacing w:val="-3"/>
          <w:sz w:val="21"/>
        </w:rPr>
        <w:t xml:space="preserve"> </w:t>
      </w:r>
      <w:r>
        <w:rPr>
          <w:sz w:val="21"/>
        </w:rPr>
        <w:t>to</w:t>
      </w:r>
      <w:r>
        <w:rPr>
          <w:spacing w:val="-3"/>
          <w:sz w:val="21"/>
        </w:rPr>
        <w:t xml:space="preserve"> </w:t>
      </w:r>
      <w:r>
        <w:rPr>
          <w:sz w:val="21"/>
        </w:rPr>
        <w:t>which</w:t>
      </w:r>
      <w:r>
        <w:rPr>
          <w:spacing w:val="-2"/>
          <w:sz w:val="21"/>
        </w:rPr>
        <w:t xml:space="preserve"> </w:t>
      </w:r>
      <w:r>
        <w:rPr>
          <w:sz w:val="21"/>
        </w:rPr>
        <w:t>LGBTQ</w:t>
      </w:r>
      <w:r>
        <w:rPr>
          <w:spacing w:val="-3"/>
          <w:sz w:val="21"/>
        </w:rPr>
        <w:t xml:space="preserve"> </w:t>
      </w:r>
      <w:r>
        <w:rPr>
          <w:sz w:val="21"/>
        </w:rPr>
        <w:t>people</w:t>
      </w:r>
      <w:r>
        <w:rPr>
          <w:spacing w:val="-6"/>
          <w:sz w:val="21"/>
        </w:rPr>
        <w:t xml:space="preserve"> </w:t>
      </w:r>
      <w:r>
        <w:rPr>
          <w:sz w:val="21"/>
        </w:rPr>
        <w:t>have</w:t>
      </w:r>
      <w:r>
        <w:rPr>
          <w:spacing w:val="-1"/>
          <w:sz w:val="21"/>
        </w:rPr>
        <w:t xml:space="preserve"> </w:t>
      </w:r>
      <w:r>
        <w:rPr>
          <w:sz w:val="21"/>
        </w:rPr>
        <w:t>always</w:t>
      </w:r>
      <w:r>
        <w:rPr>
          <w:spacing w:val="-3"/>
          <w:sz w:val="21"/>
        </w:rPr>
        <w:t xml:space="preserve"> </w:t>
      </w:r>
      <w:r>
        <w:rPr>
          <w:sz w:val="21"/>
        </w:rPr>
        <w:t>turned,</w:t>
      </w:r>
      <w:r>
        <w:rPr>
          <w:spacing w:val="-4"/>
          <w:sz w:val="21"/>
        </w:rPr>
        <w:t xml:space="preserve"> </w:t>
      </w:r>
      <w:r>
        <w:rPr>
          <w:sz w:val="21"/>
        </w:rPr>
        <w:t>and</w:t>
      </w:r>
      <w:r>
        <w:rPr>
          <w:spacing w:val="-3"/>
          <w:sz w:val="21"/>
        </w:rPr>
        <w:t xml:space="preserve"> </w:t>
      </w:r>
      <w:r>
        <w:rPr>
          <w:sz w:val="21"/>
        </w:rPr>
        <w:t>they</w:t>
      </w:r>
      <w:r>
        <w:rPr>
          <w:spacing w:val="-2"/>
          <w:sz w:val="21"/>
        </w:rPr>
        <w:t xml:space="preserve"> </w:t>
      </w:r>
      <w:r>
        <w:rPr>
          <w:sz w:val="21"/>
        </w:rPr>
        <w:t>continue</w:t>
      </w:r>
      <w:r>
        <w:rPr>
          <w:spacing w:val="-2"/>
          <w:sz w:val="21"/>
        </w:rPr>
        <w:t xml:space="preserve"> </w:t>
      </w:r>
      <w:r>
        <w:rPr>
          <w:sz w:val="21"/>
        </w:rPr>
        <w:t>to</w:t>
      </w:r>
      <w:r>
        <w:rPr>
          <w:spacing w:val="-3"/>
          <w:sz w:val="21"/>
        </w:rPr>
        <w:t xml:space="preserve"> </w:t>
      </w:r>
      <w:r>
        <w:rPr>
          <w:sz w:val="21"/>
        </w:rPr>
        <w:t>be</w:t>
      </w:r>
      <w:r>
        <w:rPr>
          <w:spacing w:val="-4"/>
          <w:sz w:val="21"/>
        </w:rPr>
        <w:t xml:space="preserve"> </w:t>
      </w:r>
      <w:r>
        <w:rPr>
          <w:sz w:val="21"/>
        </w:rPr>
        <w:t>effective interventions for mental health. On that note, even though LGBTQ youth face high levels of trauma and fear about the future, a wealth of research shows that factors like family acceptance, peer support, and relationships with supportive school st</w:t>
      </w:r>
      <w:r>
        <w:rPr>
          <w:sz w:val="21"/>
        </w:rPr>
        <w:t>aff can uplift youth mental health.</w:t>
      </w:r>
      <w:hyperlink w:anchor="_bookmark349" w:history="1">
        <w:r>
          <w:rPr>
            <w:sz w:val="21"/>
            <w:vertAlign w:val="superscript"/>
          </w:rPr>
          <w:t>95</w:t>
        </w:r>
      </w:hyperlink>
      <w:r>
        <w:rPr>
          <w:sz w:val="21"/>
        </w:rPr>
        <w:t xml:space="preserve"> GLSEN found that when youth experienced discrimination or higher levels of in-person victimization, they were nearly twice as likely not to</w:t>
      </w:r>
    </w:p>
    <w:p w:rsidR="00200FDA" w:rsidRDefault="00200FDA">
      <w:pPr>
        <w:spacing w:line="276" w:lineRule="auto"/>
        <w:jc w:val="both"/>
        <w:rPr>
          <w:sz w:val="21"/>
        </w:rPr>
        <w:sectPr w:rsidR="00200FDA">
          <w:pgSz w:w="12240" w:h="15840"/>
          <w:pgMar w:top="1360" w:right="1180" w:bottom="1400" w:left="1300" w:header="761" w:footer="1208" w:gutter="0"/>
          <w:cols w:space="720"/>
        </w:sectPr>
      </w:pPr>
    </w:p>
    <w:p w:rsidR="00200FDA" w:rsidRDefault="00F76C4C">
      <w:pPr>
        <w:spacing w:before="64" w:line="276" w:lineRule="auto"/>
        <w:ind w:left="140" w:right="257" w:hanging="1"/>
        <w:jc w:val="both"/>
        <w:rPr>
          <w:sz w:val="21"/>
        </w:rPr>
      </w:pPr>
      <w:r>
        <w:rPr>
          <w:sz w:val="21"/>
        </w:rPr>
        <w:lastRenderedPageBreak/>
        <w:t>have</w:t>
      </w:r>
      <w:r>
        <w:rPr>
          <w:spacing w:val="-9"/>
          <w:sz w:val="21"/>
        </w:rPr>
        <w:t xml:space="preserve"> </w:t>
      </w:r>
      <w:r>
        <w:rPr>
          <w:sz w:val="21"/>
        </w:rPr>
        <w:t>plans</w:t>
      </w:r>
      <w:r>
        <w:rPr>
          <w:spacing w:val="-10"/>
          <w:sz w:val="21"/>
        </w:rPr>
        <w:t xml:space="preserve"> </w:t>
      </w:r>
      <w:r>
        <w:rPr>
          <w:sz w:val="21"/>
        </w:rPr>
        <w:t>to</w:t>
      </w:r>
      <w:r>
        <w:rPr>
          <w:spacing w:val="-10"/>
          <w:sz w:val="21"/>
        </w:rPr>
        <w:t xml:space="preserve"> </w:t>
      </w:r>
      <w:r>
        <w:rPr>
          <w:sz w:val="21"/>
        </w:rPr>
        <w:t>attend</w:t>
      </w:r>
      <w:r>
        <w:rPr>
          <w:spacing w:val="-10"/>
          <w:sz w:val="21"/>
        </w:rPr>
        <w:t xml:space="preserve"> </w:t>
      </w:r>
      <w:r>
        <w:rPr>
          <w:sz w:val="21"/>
        </w:rPr>
        <w:t>college</w:t>
      </w:r>
      <w:r>
        <w:rPr>
          <w:spacing w:val="-12"/>
          <w:sz w:val="21"/>
        </w:rPr>
        <w:t xml:space="preserve"> </w:t>
      </w:r>
      <w:r>
        <w:rPr>
          <w:sz w:val="21"/>
        </w:rPr>
        <w:t>or</w:t>
      </w:r>
      <w:r>
        <w:rPr>
          <w:spacing w:val="-8"/>
          <w:sz w:val="21"/>
        </w:rPr>
        <w:t xml:space="preserve"> </w:t>
      </w:r>
      <w:r>
        <w:rPr>
          <w:sz w:val="21"/>
        </w:rPr>
        <w:t>trade</w:t>
      </w:r>
      <w:r>
        <w:rPr>
          <w:spacing w:val="-9"/>
          <w:sz w:val="21"/>
        </w:rPr>
        <w:t xml:space="preserve"> </w:t>
      </w:r>
      <w:r>
        <w:rPr>
          <w:sz w:val="21"/>
        </w:rPr>
        <w:t>school.</w:t>
      </w:r>
      <w:hyperlink w:anchor="_bookmark350" w:history="1">
        <w:r>
          <w:rPr>
            <w:sz w:val="21"/>
            <w:vertAlign w:val="superscript"/>
          </w:rPr>
          <w:t>96</w:t>
        </w:r>
      </w:hyperlink>
      <w:r>
        <w:rPr>
          <w:spacing w:val="-3"/>
          <w:sz w:val="21"/>
        </w:rPr>
        <w:t xml:space="preserve"> </w:t>
      </w:r>
      <w:r>
        <w:rPr>
          <w:sz w:val="21"/>
        </w:rPr>
        <w:t>On</w:t>
      </w:r>
      <w:r>
        <w:rPr>
          <w:spacing w:val="-10"/>
          <w:sz w:val="21"/>
        </w:rPr>
        <w:t xml:space="preserve"> </w:t>
      </w:r>
      <w:r>
        <w:rPr>
          <w:sz w:val="21"/>
        </w:rPr>
        <w:t>the</w:t>
      </w:r>
      <w:r>
        <w:rPr>
          <w:spacing w:val="-9"/>
          <w:sz w:val="21"/>
        </w:rPr>
        <w:t xml:space="preserve"> </w:t>
      </w:r>
      <w:r>
        <w:rPr>
          <w:sz w:val="21"/>
        </w:rPr>
        <w:t>other</w:t>
      </w:r>
      <w:r>
        <w:rPr>
          <w:spacing w:val="-8"/>
          <w:sz w:val="21"/>
        </w:rPr>
        <w:t xml:space="preserve"> </w:t>
      </w:r>
      <w:r>
        <w:rPr>
          <w:sz w:val="21"/>
        </w:rPr>
        <w:t>hand,</w:t>
      </w:r>
      <w:r>
        <w:rPr>
          <w:spacing w:val="-12"/>
          <w:sz w:val="21"/>
        </w:rPr>
        <w:t xml:space="preserve"> </w:t>
      </w:r>
      <w:r>
        <w:rPr>
          <w:sz w:val="21"/>
        </w:rPr>
        <w:t>in</w:t>
      </w:r>
      <w:r>
        <w:rPr>
          <w:spacing w:val="-10"/>
          <w:sz w:val="21"/>
        </w:rPr>
        <w:t xml:space="preserve"> </w:t>
      </w:r>
      <w:r>
        <w:rPr>
          <w:sz w:val="21"/>
        </w:rPr>
        <w:t>schools</w:t>
      </w:r>
      <w:r>
        <w:rPr>
          <w:spacing w:val="-10"/>
          <w:sz w:val="21"/>
        </w:rPr>
        <w:t xml:space="preserve"> </w:t>
      </w:r>
      <w:r>
        <w:rPr>
          <w:sz w:val="21"/>
        </w:rPr>
        <w:t>with</w:t>
      </w:r>
      <w:r>
        <w:rPr>
          <w:spacing w:val="-10"/>
          <w:sz w:val="21"/>
        </w:rPr>
        <w:t xml:space="preserve"> </w:t>
      </w:r>
      <w:r>
        <w:rPr>
          <w:sz w:val="21"/>
        </w:rPr>
        <w:t>inclusive</w:t>
      </w:r>
      <w:r>
        <w:rPr>
          <w:spacing w:val="-9"/>
          <w:sz w:val="21"/>
        </w:rPr>
        <w:t xml:space="preserve"> </w:t>
      </w:r>
      <w:r>
        <w:rPr>
          <w:sz w:val="21"/>
        </w:rPr>
        <w:t>curricula,</w:t>
      </w:r>
      <w:r>
        <w:rPr>
          <w:spacing w:val="-12"/>
          <w:sz w:val="21"/>
        </w:rPr>
        <w:t xml:space="preserve"> </w:t>
      </w:r>
      <w:r>
        <w:rPr>
          <w:sz w:val="21"/>
        </w:rPr>
        <w:t>protective anti-discrimination policies, and GSAs, students had higher self-esteem, less depressive symptoms, and were more likely to aim to pursue higher education. Supportive people, especially adults, will always be vital members of support networks for</w:t>
      </w:r>
      <w:r>
        <w:rPr>
          <w:sz w:val="21"/>
        </w:rPr>
        <w:t xml:space="preserve"> LGBTQ youth.</w:t>
      </w:r>
    </w:p>
    <w:p w:rsidR="00200FDA" w:rsidRDefault="00200FDA">
      <w:pPr>
        <w:pStyle w:val="BodyText"/>
        <w:spacing w:before="7"/>
        <w:rPr>
          <w:sz w:val="19"/>
        </w:rPr>
      </w:pPr>
    </w:p>
    <w:p w:rsidR="00200FDA" w:rsidRDefault="00F76C4C">
      <w:pPr>
        <w:spacing w:line="276" w:lineRule="auto"/>
        <w:ind w:left="140" w:right="252"/>
        <w:jc w:val="both"/>
        <w:rPr>
          <w:sz w:val="21"/>
        </w:rPr>
      </w:pPr>
      <w:r>
        <w:rPr>
          <w:sz w:val="21"/>
        </w:rPr>
        <w:t>The</w:t>
      </w:r>
      <w:r>
        <w:rPr>
          <w:spacing w:val="-12"/>
          <w:sz w:val="21"/>
        </w:rPr>
        <w:t xml:space="preserve"> </w:t>
      </w:r>
      <w:r>
        <w:rPr>
          <w:sz w:val="21"/>
        </w:rPr>
        <w:t>Trevor</w:t>
      </w:r>
      <w:r>
        <w:rPr>
          <w:spacing w:val="-10"/>
          <w:sz w:val="21"/>
        </w:rPr>
        <w:t xml:space="preserve"> </w:t>
      </w:r>
      <w:r>
        <w:rPr>
          <w:sz w:val="21"/>
        </w:rPr>
        <w:t>Project’s</w:t>
      </w:r>
      <w:r>
        <w:rPr>
          <w:spacing w:val="-12"/>
          <w:sz w:val="21"/>
        </w:rPr>
        <w:t xml:space="preserve"> </w:t>
      </w:r>
      <w:r>
        <w:rPr>
          <w:sz w:val="21"/>
        </w:rPr>
        <w:t>2022</w:t>
      </w:r>
      <w:r>
        <w:rPr>
          <w:spacing w:val="-10"/>
          <w:sz w:val="21"/>
        </w:rPr>
        <w:t xml:space="preserve"> </w:t>
      </w:r>
      <w:r>
        <w:rPr>
          <w:sz w:val="21"/>
        </w:rPr>
        <w:t>National</w:t>
      </w:r>
      <w:r>
        <w:rPr>
          <w:spacing w:val="-11"/>
          <w:sz w:val="21"/>
        </w:rPr>
        <w:t xml:space="preserve"> </w:t>
      </w:r>
      <w:r>
        <w:rPr>
          <w:sz w:val="21"/>
        </w:rPr>
        <w:t>Survey</w:t>
      </w:r>
      <w:r>
        <w:rPr>
          <w:spacing w:val="-10"/>
          <w:sz w:val="21"/>
        </w:rPr>
        <w:t xml:space="preserve"> </w:t>
      </w:r>
      <w:r>
        <w:rPr>
          <w:sz w:val="21"/>
        </w:rPr>
        <w:t>concluded</w:t>
      </w:r>
      <w:r>
        <w:rPr>
          <w:spacing w:val="-12"/>
          <w:sz w:val="21"/>
        </w:rPr>
        <w:t xml:space="preserve"> </w:t>
      </w:r>
      <w:r>
        <w:rPr>
          <w:sz w:val="21"/>
        </w:rPr>
        <w:t>with</w:t>
      </w:r>
      <w:r>
        <w:rPr>
          <w:spacing w:val="-11"/>
          <w:sz w:val="21"/>
        </w:rPr>
        <w:t xml:space="preserve"> </w:t>
      </w:r>
      <w:r>
        <w:rPr>
          <w:sz w:val="21"/>
        </w:rPr>
        <w:t>a</w:t>
      </w:r>
      <w:r>
        <w:rPr>
          <w:spacing w:val="-11"/>
          <w:sz w:val="21"/>
        </w:rPr>
        <w:t xml:space="preserve"> </w:t>
      </w:r>
      <w:r>
        <w:rPr>
          <w:sz w:val="21"/>
        </w:rPr>
        <w:t>list</w:t>
      </w:r>
      <w:r>
        <w:rPr>
          <w:spacing w:val="-12"/>
          <w:sz w:val="21"/>
        </w:rPr>
        <w:t xml:space="preserve"> </w:t>
      </w:r>
      <w:r>
        <w:rPr>
          <w:sz w:val="21"/>
        </w:rPr>
        <w:t>of</w:t>
      </w:r>
      <w:r>
        <w:rPr>
          <w:spacing w:val="-10"/>
          <w:sz w:val="21"/>
        </w:rPr>
        <w:t xml:space="preserve"> </w:t>
      </w:r>
      <w:r>
        <w:rPr>
          <w:sz w:val="21"/>
        </w:rPr>
        <w:t>sources</w:t>
      </w:r>
      <w:r>
        <w:rPr>
          <w:spacing w:val="-12"/>
          <w:sz w:val="21"/>
        </w:rPr>
        <w:t xml:space="preserve"> </w:t>
      </w:r>
      <w:r>
        <w:rPr>
          <w:sz w:val="21"/>
        </w:rPr>
        <w:t>of</w:t>
      </w:r>
      <w:r>
        <w:rPr>
          <w:spacing w:val="-10"/>
          <w:sz w:val="21"/>
        </w:rPr>
        <w:t xml:space="preserve"> </w:t>
      </w:r>
      <w:r>
        <w:rPr>
          <w:sz w:val="21"/>
        </w:rPr>
        <w:t>joy</w:t>
      </w:r>
      <w:r>
        <w:rPr>
          <w:spacing w:val="-10"/>
          <w:sz w:val="21"/>
        </w:rPr>
        <w:t xml:space="preserve"> </w:t>
      </w:r>
      <w:r>
        <w:rPr>
          <w:sz w:val="21"/>
        </w:rPr>
        <w:t>for</w:t>
      </w:r>
      <w:r>
        <w:rPr>
          <w:spacing w:val="-10"/>
          <w:sz w:val="21"/>
        </w:rPr>
        <w:t xml:space="preserve"> </w:t>
      </w:r>
      <w:r>
        <w:rPr>
          <w:sz w:val="21"/>
        </w:rPr>
        <w:t>LGBTQ</w:t>
      </w:r>
      <w:r>
        <w:rPr>
          <w:spacing w:val="-11"/>
          <w:sz w:val="21"/>
        </w:rPr>
        <w:t xml:space="preserve"> </w:t>
      </w:r>
      <w:r>
        <w:rPr>
          <w:sz w:val="21"/>
        </w:rPr>
        <w:t>youth,</w:t>
      </w:r>
      <w:r>
        <w:rPr>
          <w:spacing w:val="-10"/>
          <w:sz w:val="21"/>
        </w:rPr>
        <w:t xml:space="preserve"> </w:t>
      </w:r>
      <w:r>
        <w:rPr>
          <w:sz w:val="21"/>
        </w:rPr>
        <w:t>from</w:t>
      </w:r>
      <w:r>
        <w:rPr>
          <w:spacing w:val="-11"/>
          <w:sz w:val="21"/>
        </w:rPr>
        <w:t xml:space="preserve"> </w:t>
      </w:r>
      <w:r>
        <w:rPr>
          <w:sz w:val="21"/>
        </w:rPr>
        <w:t>therapy and medication to laws that protect LGBTQ rights; from all-gender restrooms to hope and excitement for the future; from music and</w:t>
      </w:r>
      <w:r>
        <w:rPr>
          <w:sz w:val="21"/>
        </w:rPr>
        <w:t xml:space="preserve"> dance to video games and cooking. The personal and political are inextricably intertwined in mental health. As long as prejudice is traumatizing, LGBTQ joy is healing – and everyone has a part to play.</w:t>
      </w:r>
    </w:p>
    <w:p w:rsidR="00200FDA" w:rsidRDefault="00200FDA">
      <w:pPr>
        <w:pStyle w:val="BodyText"/>
        <w:rPr>
          <w:sz w:val="20"/>
        </w:rPr>
      </w:pPr>
    </w:p>
    <w:p w:rsidR="00200FDA" w:rsidRDefault="00F76C4C">
      <w:pPr>
        <w:pStyle w:val="Heading7"/>
        <w:spacing w:before="159"/>
        <w:ind w:left="140"/>
      </w:pPr>
      <w:r>
        <w:rPr>
          <w:color w:val="0A5293"/>
          <w:spacing w:val="-2"/>
        </w:rPr>
        <w:t>Conclusion</w:t>
      </w:r>
    </w:p>
    <w:p w:rsidR="00200FDA" w:rsidRDefault="00F76C4C">
      <w:pPr>
        <w:pStyle w:val="BodyText"/>
        <w:spacing w:before="8"/>
        <w:rPr>
          <w:sz w:val="3"/>
        </w:rPr>
      </w:pPr>
      <w:r>
        <w:pict>
          <v:rect id="docshape282" o:spid="_x0000_s1296" style="position:absolute;margin-left:70.55pt;margin-top:3.45pt;width:470.9pt;height:.5pt;z-index:-15690752;mso-wrap-distance-left:0;mso-wrap-distance-right:0;mso-position-horizontal-relative:page" fillcolor="#0f6ec5" stroked="f">
            <w10:wrap type="topAndBottom" anchorx="page"/>
          </v:rect>
        </w:pict>
      </w:r>
    </w:p>
    <w:p w:rsidR="00200FDA" w:rsidRDefault="00200FDA">
      <w:pPr>
        <w:pStyle w:val="BodyText"/>
        <w:rPr>
          <w:sz w:val="20"/>
        </w:rPr>
      </w:pPr>
    </w:p>
    <w:p w:rsidR="00200FDA" w:rsidRDefault="00200FDA">
      <w:pPr>
        <w:pStyle w:val="BodyText"/>
        <w:spacing w:before="3"/>
        <w:rPr>
          <w:sz w:val="17"/>
        </w:rPr>
      </w:pPr>
    </w:p>
    <w:p w:rsidR="00200FDA" w:rsidRDefault="00F76C4C">
      <w:pPr>
        <w:spacing w:line="276" w:lineRule="auto"/>
        <w:ind w:left="139" w:right="252"/>
        <w:jc w:val="both"/>
        <w:rPr>
          <w:sz w:val="21"/>
        </w:rPr>
      </w:pPr>
      <w:r>
        <w:rPr>
          <w:sz w:val="21"/>
        </w:rPr>
        <w:t>This report is a clarion call for supporters of LGBTQ youth across Massachusetts to collaborate on trauma- informed,</w:t>
      </w:r>
      <w:r>
        <w:rPr>
          <w:spacing w:val="-6"/>
          <w:sz w:val="21"/>
        </w:rPr>
        <w:t xml:space="preserve"> </w:t>
      </w:r>
      <w:r>
        <w:rPr>
          <w:sz w:val="21"/>
        </w:rPr>
        <w:t>anti-oppressive,</w:t>
      </w:r>
      <w:r>
        <w:rPr>
          <w:spacing w:val="-3"/>
          <w:sz w:val="21"/>
        </w:rPr>
        <w:t xml:space="preserve"> </w:t>
      </w:r>
      <w:r>
        <w:rPr>
          <w:sz w:val="21"/>
        </w:rPr>
        <w:t>and</w:t>
      </w:r>
      <w:r>
        <w:rPr>
          <w:spacing w:val="-4"/>
          <w:sz w:val="21"/>
        </w:rPr>
        <w:t xml:space="preserve"> </w:t>
      </w:r>
      <w:r>
        <w:rPr>
          <w:sz w:val="21"/>
        </w:rPr>
        <w:t>systemic</w:t>
      </w:r>
      <w:r>
        <w:rPr>
          <w:spacing w:val="-4"/>
          <w:sz w:val="21"/>
        </w:rPr>
        <w:t xml:space="preserve"> </w:t>
      </w:r>
      <w:r>
        <w:rPr>
          <w:sz w:val="21"/>
        </w:rPr>
        <w:t>ways</w:t>
      </w:r>
      <w:r>
        <w:rPr>
          <w:spacing w:val="-4"/>
          <w:sz w:val="21"/>
        </w:rPr>
        <w:t xml:space="preserve"> </w:t>
      </w:r>
      <w:r>
        <w:rPr>
          <w:sz w:val="21"/>
        </w:rPr>
        <w:t>to</w:t>
      </w:r>
      <w:r>
        <w:rPr>
          <w:spacing w:val="-4"/>
          <w:sz w:val="21"/>
        </w:rPr>
        <w:t xml:space="preserve"> </w:t>
      </w:r>
      <w:r>
        <w:rPr>
          <w:sz w:val="21"/>
        </w:rPr>
        <w:t>support</w:t>
      </w:r>
      <w:r>
        <w:rPr>
          <w:spacing w:val="-7"/>
          <w:sz w:val="21"/>
        </w:rPr>
        <w:t xml:space="preserve"> </w:t>
      </w:r>
      <w:r>
        <w:rPr>
          <w:sz w:val="21"/>
        </w:rPr>
        <w:t>LGBTQ</w:t>
      </w:r>
      <w:r>
        <w:rPr>
          <w:spacing w:val="-6"/>
          <w:sz w:val="21"/>
        </w:rPr>
        <w:t xml:space="preserve"> </w:t>
      </w:r>
      <w:r>
        <w:rPr>
          <w:sz w:val="21"/>
        </w:rPr>
        <w:t>youth</w:t>
      </w:r>
      <w:r>
        <w:rPr>
          <w:spacing w:val="-4"/>
          <w:sz w:val="21"/>
        </w:rPr>
        <w:t xml:space="preserve"> </w:t>
      </w:r>
      <w:r>
        <w:rPr>
          <w:sz w:val="21"/>
        </w:rPr>
        <w:t>mental</w:t>
      </w:r>
      <w:r>
        <w:rPr>
          <w:spacing w:val="-4"/>
          <w:sz w:val="21"/>
        </w:rPr>
        <w:t xml:space="preserve"> </w:t>
      </w:r>
      <w:r>
        <w:rPr>
          <w:sz w:val="21"/>
        </w:rPr>
        <w:t>health.</w:t>
      </w:r>
      <w:r>
        <w:rPr>
          <w:spacing w:val="-6"/>
          <w:sz w:val="21"/>
        </w:rPr>
        <w:t xml:space="preserve"> </w:t>
      </w:r>
      <w:r>
        <w:rPr>
          <w:sz w:val="21"/>
        </w:rPr>
        <w:t>The</w:t>
      </w:r>
      <w:r>
        <w:rPr>
          <w:spacing w:val="-3"/>
          <w:sz w:val="21"/>
        </w:rPr>
        <w:t xml:space="preserve"> </w:t>
      </w:r>
      <w:r>
        <w:rPr>
          <w:sz w:val="21"/>
        </w:rPr>
        <w:t>majority</w:t>
      </w:r>
      <w:r>
        <w:rPr>
          <w:spacing w:val="-3"/>
          <w:sz w:val="21"/>
        </w:rPr>
        <w:t xml:space="preserve"> </w:t>
      </w:r>
      <w:r>
        <w:rPr>
          <w:sz w:val="21"/>
        </w:rPr>
        <w:t>of</w:t>
      </w:r>
      <w:r>
        <w:rPr>
          <w:spacing w:val="-5"/>
          <w:sz w:val="21"/>
        </w:rPr>
        <w:t xml:space="preserve"> </w:t>
      </w:r>
      <w:r>
        <w:rPr>
          <w:sz w:val="21"/>
        </w:rPr>
        <w:t>youth</w:t>
      </w:r>
      <w:r>
        <w:rPr>
          <w:spacing w:val="-4"/>
          <w:sz w:val="21"/>
        </w:rPr>
        <w:t xml:space="preserve"> </w:t>
      </w:r>
      <w:r>
        <w:rPr>
          <w:sz w:val="21"/>
        </w:rPr>
        <w:t>in the Commonwealth are struggling with depr</w:t>
      </w:r>
      <w:r>
        <w:rPr>
          <w:sz w:val="21"/>
        </w:rPr>
        <w:t>ession and anxiety and are unable to receive mental healthcare when</w:t>
      </w:r>
      <w:r>
        <w:rPr>
          <w:spacing w:val="-4"/>
          <w:sz w:val="21"/>
        </w:rPr>
        <w:t xml:space="preserve"> </w:t>
      </w:r>
      <w:r>
        <w:rPr>
          <w:sz w:val="21"/>
        </w:rPr>
        <w:t>they</w:t>
      </w:r>
      <w:r>
        <w:rPr>
          <w:spacing w:val="-5"/>
          <w:sz w:val="21"/>
        </w:rPr>
        <w:t xml:space="preserve"> </w:t>
      </w:r>
      <w:r>
        <w:rPr>
          <w:sz w:val="21"/>
        </w:rPr>
        <w:t>want</w:t>
      </w:r>
      <w:r>
        <w:rPr>
          <w:spacing w:val="-4"/>
          <w:sz w:val="21"/>
        </w:rPr>
        <w:t xml:space="preserve"> </w:t>
      </w:r>
      <w:r>
        <w:rPr>
          <w:sz w:val="21"/>
        </w:rPr>
        <w:t>it.</w:t>
      </w:r>
      <w:r>
        <w:rPr>
          <w:spacing w:val="-4"/>
          <w:sz w:val="21"/>
        </w:rPr>
        <w:t xml:space="preserve"> </w:t>
      </w:r>
      <w:r>
        <w:rPr>
          <w:sz w:val="21"/>
        </w:rPr>
        <w:t>At</w:t>
      </w:r>
      <w:r>
        <w:rPr>
          <w:spacing w:val="-4"/>
          <w:sz w:val="21"/>
        </w:rPr>
        <w:t xml:space="preserve"> </w:t>
      </w:r>
      <w:r>
        <w:rPr>
          <w:sz w:val="21"/>
        </w:rPr>
        <w:t>the</w:t>
      </w:r>
      <w:r>
        <w:rPr>
          <w:spacing w:val="-3"/>
          <w:sz w:val="21"/>
        </w:rPr>
        <w:t xml:space="preserve"> </w:t>
      </w:r>
      <w:r>
        <w:rPr>
          <w:sz w:val="21"/>
        </w:rPr>
        <w:t>same</w:t>
      </w:r>
      <w:r>
        <w:rPr>
          <w:spacing w:val="-3"/>
          <w:sz w:val="21"/>
        </w:rPr>
        <w:t xml:space="preserve"> </w:t>
      </w:r>
      <w:r>
        <w:rPr>
          <w:sz w:val="21"/>
        </w:rPr>
        <w:t>time,</w:t>
      </w:r>
      <w:r>
        <w:rPr>
          <w:spacing w:val="-3"/>
          <w:sz w:val="21"/>
        </w:rPr>
        <w:t xml:space="preserve"> </w:t>
      </w:r>
      <w:r>
        <w:rPr>
          <w:sz w:val="21"/>
        </w:rPr>
        <w:t>we</w:t>
      </w:r>
      <w:r>
        <w:rPr>
          <w:spacing w:val="-3"/>
          <w:sz w:val="21"/>
        </w:rPr>
        <w:t xml:space="preserve"> </w:t>
      </w:r>
      <w:r>
        <w:rPr>
          <w:sz w:val="21"/>
        </w:rPr>
        <w:t>celebrate</w:t>
      </w:r>
      <w:r>
        <w:rPr>
          <w:spacing w:val="-3"/>
          <w:sz w:val="21"/>
        </w:rPr>
        <w:t xml:space="preserve"> </w:t>
      </w:r>
      <w:r>
        <w:rPr>
          <w:sz w:val="21"/>
        </w:rPr>
        <w:t>all</w:t>
      </w:r>
      <w:r>
        <w:rPr>
          <w:spacing w:val="-4"/>
          <w:sz w:val="21"/>
        </w:rPr>
        <w:t xml:space="preserve"> </w:t>
      </w:r>
      <w:r>
        <w:rPr>
          <w:sz w:val="21"/>
        </w:rPr>
        <w:t>youths’</w:t>
      </w:r>
      <w:r>
        <w:rPr>
          <w:spacing w:val="-3"/>
          <w:sz w:val="21"/>
        </w:rPr>
        <w:t xml:space="preserve"> </w:t>
      </w:r>
      <w:r>
        <w:rPr>
          <w:sz w:val="21"/>
        </w:rPr>
        <w:t>lived</w:t>
      </w:r>
      <w:r>
        <w:rPr>
          <w:spacing w:val="-4"/>
          <w:sz w:val="21"/>
        </w:rPr>
        <w:t xml:space="preserve"> </w:t>
      </w:r>
      <w:r>
        <w:rPr>
          <w:sz w:val="21"/>
        </w:rPr>
        <w:t>wisdom</w:t>
      </w:r>
      <w:r>
        <w:rPr>
          <w:spacing w:val="-4"/>
          <w:sz w:val="21"/>
        </w:rPr>
        <w:t xml:space="preserve"> </w:t>
      </w:r>
      <w:r>
        <w:rPr>
          <w:sz w:val="21"/>
        </w:rPr>
        <w:t>and</w:t>
      </w:r>
      <w:r>
        <w:rPr>
          <w:spacing w:val="-4"/>
          <w:sz w:val="21"/>
        </w:rPr>
        <w:t xml:space="preserve"> </w:t>
      </w:r>
      <w:r>
        <w:rPr>
          <w:sz w:val="21"/>
        </w:rPr>
        <w:t>intersectional</w:t>
      </w:r>
      <w:r>
        <w:rPr>
          <w:spacing w:val="-4"/>
          <w:sz w:val="21"/>
        </w:rPr>
        <w:t xml:space="preserve"> </w:t>
      </w:r>
      <w:r>
        <w:rPr>
          <w:sz w:val="21"/>
        </w:rPr>
        <w:t>strengths</w:t>
      </w:r>
      <w:r>
        <w:rPr>
          <w:spacing w:val="-4"/>
          <w:sz w:val="21"/>
        </w:rPr>
        <w:t xml:space="preserve"> </w:t>
      </w:r>
      <w:r>
        <w:rPr>
          <w:sz w:val="21"/>
        </w:rPr>
        <w:t>in</w:t>
      </w:r>
      <w:r>
        <w:rPr>
          <w:spacing w:val="-4"/>
          <w:sz w:val="21"/>
        </w:rPr>
        <w:t xml:space="preserve"> </w:t>
      </w:r>
      <w:r>
        <w:rPr>
          <w:sz w:val="21"/>
        </w:rPr>
        <w:t xml:space="preserve">the face of the everyday minority stressors they face, whether at home, in school, or </w:t>
      </w:r>
      <w:r>
        <w:rPr>
          <w:sz w:val="21"/>
        </w:rPr>
        <w:t>on the TV. From increasing funding</w:t>
      </w:r>
      <w:r>
        <w:rPr>
          <w:spacing w:val="-12"/>
          <w:sz w:val="21"/>
        </w:rPr>
        <w:t xml:space="preserve"> </w:t>
      </w:r>
      <w:r>
        <w:rPr>
          <w:sz w:val="21"/>
        </w:rPr>
        <w:t>for</w:t>
      </w:r>
      <w:r>
        <w:rPr>
          <w:spacing w:val="-12"/>
          <w:sz w:val="21"/>
        </w:rPr>
        <w:t xml:space="preserve"> </w:t>
      </w:r>
      <w:r>
        <w:rPr>
          <w:sz w:val="21"/>
        </w:rPr>
        <w:t>mental</w:t>
      </w:r>
      <w:r>
        <w:rPr>
          <w:spacing w:val="-12"/>
          <w:sz w:val="21"/>
        </w:rPr>
        <w:t xml:space="preserve"> </w:t>
      </w:r>
      <w:r>
        <w:rPr>
          <w:sz w:val="21"/>
        </w:rPr>
        <w:t>health</w:t>
      </w:r>
      <w:r>
        <w:rPr>
          <w:spacing w:val="-11"/>
          <w:sz w:val="21"/>
        </w:rPr>
        <w:t xml:space="preserve"> </w:t>
      </w:r>
      <w:r>
        <w:rPr>
          <w:sz w:val="21"/>
        </w:rPr>
        <w:t>professionals</w:t>
      </w:r>
      <w:r>
        <w:rPr>
          <w:spacing w:val="-12"/>
          <w:sz w:val="21"/>
        </w:rPr>
        <w:t xml:space="preserve"> </w:t>
      </w:r>
      <w:r>
        <w:rPr>
          <w:sz w:val="21"/>
        </w:rPr>
        <w:t>and</w:t>
      </w:r>
      <w:r>
        <w:rPr>
          <w:spacing w:val="-12"/>
          <w:sz w:val="21"/>
        </w:rPr>
        <w:t xml:space="preserve"> </w:t>
      </w:r>
      <w:r>
        <w:rPr>
          <w:sz w:val="21"/>
        </w:rPr>
        <w:t>peer</w:t>
      </w:r>
      <w:r>
        <w:rPr>
          <w:spacing w:val="-12"/>
          <w:sz w:val="21"/>
        </w:rPr>
        <w:t xml:space="preserve"> </w:t>
      </w:r>
      <w:r>
        <w:rPr>
          <w:sz w:val="21"/>
        </w:rPr>
        <w:t>support</w:t>
      </w:r>
      <w:r>
        <w:rPr>
          <w:spacing w:val="-12"/>
          <w:sz w:val="21"/>
        </w:rPr>
        <w:t xml:space="preserve"> </w:t>
      </w:r>
      <w:r>
        <w:rPr>
          <w:sz w:val="21"/>
        </w:rPr>
        <w:t>programs</w:t>
      </w:r>
      <w:r>
        <w:rPr>
          <w:spacing w:val="-12"/>
          <w:sz w:val="21"/>
        </w:rPr>
        <w:t xml:space="preserve"> </w:t>
      </w:r>
      <w:r>
        <w:rPr>
          <w:sz w:val="21"/>
        </w:rPr>
        <w:t>across</w:t>
      </w:r>
      <w:r>
        <w:rPr>
          <w:spacing w:val="-11"/>
          <w:sz w:val="21"/>
        </w:rPr>
        <w:t xml:space="preserve"> </w:t>
      </w:r>
      <w:r>
        <w:rPr>
          <w:sz w:val="21"/>
        </w:rPr>
        <w:t>every</w:t>
      </w:r>
      <w:r>
        <w:rPr>
          <w:spacing w:val="-11"/>
          <w:sz w:val="21"/>
        </w:rPr>
        <w:t xml:space="preserve"> </w:t>
      </w:r>
      <w:r>
        <w:rPr>
          <w:sz w:val="21"/>
        </w:rPr>
        <w:t>setting</w:t>
      </w:r>
      <w:r>
        <w:rPr>
          <w:spacing w:val="-11"/>
          <w:sz w:val="21"/>
        </w:rPr>
        <w:t xml:space="preserve"> </w:t>
      </w:r>
      <w:r>
        <w:rPr>
          <w:sz w:val="21"/>
        </w:rPr>
        <w:t>to</w:t>
      </w:r>
      <w:r>
        <w:rPr>
          <w:spacing w:val="-12"/>
          <w:sz w:val="21"/>
        </w:rPr>
        <w:t xml:space="preserve"> </w:t>
      </w:r>
      <w:r>
        <w:rPr>
          <w:sz w:val="21"/>
        </w:rPr>
        <w:t>reforming</w:t>
      </w:r>
      <w:r>
        <w:rPr>
          <w:spacing w:val="-11"/>
          <w:sz w:val="21"/>
        </w:rPr>
        <w:t xml:space="preserve"> </w:t>
      </w:r>
      <w:r>
        <w:rPr>
          <w:sz w:val="21"/>
        </w:rPr>
        <w:t>structural access to mental healthcare and empowering community members to support one another’s mental health, decision-makers of all kinds</w:t>
      </w:r>
      <w:r>
        <w:rPr>
          <w:spacing w:val="-1"/>
          <w:sz w:val="21"/>
        </w:rPr>
        <w:t xml:space="preserve"> </w:t>
      </w:r>
      <w:r>
        <w:rPr>
          <w:sz w:val="21"/>
        </w:rPr>
        <w:t>have the influence – and the public health mandate – to make life-affirming, life- saving change.</w:t>
      </w:r>
    </w:p>
    <w:p w:rsidR="00200FDA" w:rsidRDefault="00200FDA">
      <w:pPr>
        <w:pStyle w:val="BodyText"/>
        <w:rPr>
          <w:sz w:val="20"/>
        </w:rPr>
      </w:pPr>
    </w:p>
    <w:p w:rsidR="00200FDA" w:rsidRDefault="00F76C4C">
      <w:pPr>
        <w:pStyle w:val="Heading7"/>
        <w:spacing w:before="159"/>
        <w:ind w:left="140"/>
      </w:pPr>
      <w:bookmarkStart w:id="373" w:name="F._Acknowledgments_&amp;_Citations"/>
      <w:bookmarkEnd w:id="373"/>
      <w:r>
        <w:rPr>
          <w:color w:val="0A5293"/>
        </w:rPr>
        <w:t>F.</w:t>
      </w:r>
      <w:r>
        <w:rPr>
          <w:color w:val="0A5293"/>
          <w:spacing w:val="-6"/>
        </w:rPr>
        <w:t xml:space="preserve"> </w:t>
      </w:r>
      <w:r>
        <w:rPr>
          <w:color w:val="0A5293"/>
        </w:rPr>
        <w:t>Acknowledgmen</w:t>
      </w:r>
      <w:r>
        <w:rPr>
          <w:color w:val="0A5293"/>
        </w:rPr>
        <w:t>ts</w:t>
      </w:r>
      <w:r>
        <w:rPr>
          <w:color w:val="0A5293"/>
          <w:spacing w:val="-7"/>
        </w:rPr>
        <w:t xml:space="preserve"> </w:t>
      </w:r>
      <w:r>
        <w:rPr>
          <w:color w:val="0A5293"/>
        </w:rPr>
        <w:t>&amp;</w:t>
      </w:r>
      <w:r>
        <w:rPr>
          <w:color w:val="0A5293"/>
          <w:spacing w:val="-6"/>
        </w:rPr>
        <w:t xml:space="preserve"> </w:t>
      </w:r>
      <w:r>
        <w:rPr>
          <w:color w:val="0A5293"/>
          <w:spacing w:val="-2"/>
        </w:rPr>
        <w:t>Citations</w:t>
      </w:r>
    </w:p>
    <w:p w:rsidR="00200FDA" w:rsidRDefault="00F76C4C">
      <w:pPr>
        <w:pStyle w:val="BodyText"/>
        <w:spacing w:before="8"/>
        <w:rPr>
          <w:sz w:val="3"/>
        </w:rPr>
      </w:pPr>
      <w:r>
        <w:pict>
          <v:rect id="docshape283" o:spid="_x0000_s1295" style="position:absolute;margin-left:70.55pt;margin-top:3.45pt;width:470.9pt;height:.5pt;z-index:-15690240;mso-wrap-distance-left:0;mso-wrap-distance-right:0;mso-position-horizontal-relative:page" fillcolor="#0f6ec5" stroked="f">
            <w10:wrap type="topAndBottom" anchorx="page"/>
          </v:rect>
        </w:pict>
      </w:r>
    </w:p>
    <w:p w:rsidR="00200FDA" w:rsidRDefault="00200FDA">
      <w:pPr>
        <w:pStyle w:val="BodyText"/>
        <w:rPr>
          <w:sz w:val="20"/>
        </w:rPr>
      </w:pPr>
    </w:p>
    <w:p w:rsidR="00200FDA" w:rsidRDefault="00200FDA">
      <w:pPr>
        <w:pStyle w:val="BodyText"/>
        <w:spacing w:before="3"/>
        <w:rPr>
          <w:sz w:val="17"/>
        </w:rPr>
      </w:pPr>
    </w:p>
    <w:p w:rsidR="00200FDA" w:rsidRDefault="00F76C4C">
      <w:pPr>
        <w:ind w:left="140"/>
        <w:jc w:val="both"/>
        <w:rPr>
          <w:i/>
          <w:sz w:val="21"/>
        </w:rPr>
      </w:pPr>
      <w:r>
        <w:rPr>
          <w:i/>
          <w:sz w:val="21"/>
        </w:rPr>
        <w:t>Acknowledgments:</w:t>
      </w:r>
      <w:r>
        <w:rPr>
          <w:i/>
          <w:spacing w:val="-6"/>
          <w:sz w:val="21"/>
        </w:rPr>
        <w:t xml:space="preserve"> </w:t>
      </w:r>
      <w:r>
        <w:rPr>
          <w:i/>
          <w:sz w:val="21"/>
        </w:rPr>
        <w:t>Max</w:t>
      </w:r>
      <w:r>
        <w:rPr>
          <w:i/>
          <w:spacing w:val="-5"/>
          <w:sz w:val="21"/>
        </w:rPr>
        <w:t xml:space="preserve"> </w:t>
      </w:r>
      <w:r>
        <w:rPr>
          <w:i/>
          <w:sz w:val="21"/>
        </w:rPr>
        <w:t>Tang,</w:t>
      </w:r>
      <w:r>
        <w:rPr>
          <w:i/>
          <w:spacing w:val="-6"/>
          <w:sz w:val="21"/>
        </w:rPr>
        <w:t xml:space="preserve"> </w:t>
      </w:r>
      <w:r>
        <w:rPr>
          <w:i/>
          <w:sz w:val="21"/>
        </w:rPr>
        <w:t>Social</w:t>
      </w:r>
      <w:r>
        <w:rPr>
          <w:i/>
          <w:spacing w:val="-6"/>
          <w:sz w:val="21"/>
        </w:rPr>
        <w:t xml:space="preserve"> </w:t>
      </w:r>
      <w:r>
        <w:rPr>
          <w:i/>
          <w:sz w:val="21"/>
        </w:rPr>
        <w:t>Work</w:t>
      </w:r>
      <w:r>
        <w:rPr>
          <w:i/>
          <w:spacing w:val="-6"/>
          <w:sz w:val="21"/>
        </w:rPr>
        <w:t xml:space="preserve"> </w:t>
      </w:r>
      <w:r>
        <w:rPr>
          <w:i/>
          <w:sz w:val="21"/>
        </w:rPr>
        <w:t>Fellow,</w:t>
      </w:r>
      <w:r>
        <w:rPr>
          <w:i/>
          <w:spacing w:val="-6"/>
          <w:sz w:val="21"/>
        </w:rPr>
        <w:t xml:space="preserve"> </w:t>
      </w:r>
      <w:r>
        <w:rPr>
          <w:i/>
          <w:sz w:val="21"/>
        </w:rPr>
        <w:t>lead</w:t>
      </w:r>
      <w:r>
        <w:rPr>
          <w:i/>
          <w:spacing w:val="-7"/>
          <w:sz w:val="21"/>
        </w:rPr>
        <w:t xml:space="preserve"> </w:t>
      </w:r>
      <w:r>
        <w:rPr>
          <w:i/>
          <w:sz w:val="21"/>
        </w:rPr>
        <w:t>researcher</w:t>
      </w:r>
      <w:r>
        <w:rPr>
          <w:i/>
          <w:spacing w:val="-9"/>
          <w:sz w:val="21"/>
        </w:rPr>
        <w:t xml:space="preserve"> </w:t>
      </w:r>
      <w:r>
        <w:rPr>
          <w:i/>
          <w:sz w:val="21"/>
        </w:rPr>
        <w:t>&amp;</w:t>
      </w:r>
      <w:r>
        <w:rPr>
          <w:i/>
          <w:spacing w:val="-5"/>
          <w:sz w:val="21"/>
        </w:rPr>
        <w:t xml:space="preserve"> </w:t>
      </w:r>
      <w:r>
        <w:rPr>
          <w:i/>
          <w:spacing w:val="-2"/>
          <w:sz w:val="21"/>
        </w:rPr>
        <w:t>author</w:t>
      </w:r>
    </w:p>
    <w:p w:rsidR="00200FDA" w:rsidRDefault="00200FDA">
      <w:pPr>
        <w:pStyle w:val="BodyText"/>
        <w:rPr>
          <w:i/>
          <w:sz w:val="20"/>
        </w:rPr>
      </w:pPr>
    </w:p>
    <w:p w:rsidR="00200FDA" w:rsidRDefault="00F76C4C">
      <w:pPr>
        <w:spacing w:before="162"/>
        <w:ind w:left="140" w:right="296" w:hanging="1"/>
        <w:jc w:val="both"/>
        <w:rPr>
          <w:sz w:val="18"/>
        </w:rPr>
      </w:pPr>
      <w:bookmarkStart w:id="374" w:name="_bookmark255"/>
      <w:bookmarkEnd w:id="374"/>
      <w:r>
        <w:rPr>
          <w:position w:val="5"/>
          <w:sz w:val="12"/>
        </w:rPr>
        <w:t>1</w:t>
      </w:r>
      <w:r>
        <w:rPr>
          <w:spacing w:val="10"/>
          <w:position w:val="5"/>
          <w:sz w:val="12"/>
        </w:rPr>
        <w:t xml:space="preserve"> </w:t>
      </w:r>
      <w:r>
        <w:rPr>
          <w:sz w:val="18"/>
        </w:rPr>
        <w:t>Turban,</w:t>
      </w:r>
      <w:r>
        <w:rPr>
          <w:spacing w:val="-2"/>
          <w:sz w:val="18"/>
        </w:rPr>
        <w:t xml:space="preserve"> </w:t>
      </w:r>
      <w:r>
        <w:rPr>
          <w:sz w:val="18"/>
        </w:rPr>
        <w:t>Jack,</w:t>
      </w:r>
      <w:r>
        <w:rPr>
          <w:spacing w:val="-2"/>
          <w:sz w:val="18"/>
        </w:rPr>
        <w:t xml:space="preserve"> </w:t>
      </w:r>
      <w:r>
        <w:rPr>
          <w:sz w:val="18"/>
        </w:rPr>
        <w:t>Tony</w:t>
      </w:r>
      <w:r>
        <w:rPr>
          <w:spacing w:val="-2"/>
          <w:sz w:val="18"/>
        </w:rPr>
        <w:t xml:space="preserve"> </w:t>
      </w:r>
      <w:r>
        <w:rPr>
          <w:sz w:val="18"/>
        </w:rPr>
        <w:t>Ferraiolo,</w:t>
      </w:r>
      <w:r>
        <w:rPr>
          <w:spacing w:val="-2"/>
          <w:sz w:val="18"/>
        </w:rPr>
        <w:t xml:space="preserve"> </w:t>
      </w:r>
      <w:r>
        <w:rPr>
          <w:sz w:val="18"/>
        </w:rPr>
        <w:t>Andrés</w:t>
      </w:r>
      <w:r>
        <w:rPr>
          <w:spacing w:val="-3"/>
          <w:sz w:val="18"/>
        </w:rPr>
        <w:t xml:space="preserve"> </w:t>
      </w:r>
      <w:r>
        <w:rPr>
          <w:sz w:val="18"/>
        </w:rPr>
        <w:t>Martin,</w:t>
      </w:r>
      <w:r>
        <w:rPr>
          <w:spacing w:val="-2"/>
          <w:sz w:val="18"/>
        </w:rPr>
        <w:t xml:space="preserve"> </w:t>
      </w:r>
      <w:r>
        <w:rPr>
          <w:sz w:val="18"/>
        </w:rPr>
        <w:t>and</w:t>
      </w:r>
      <w:r>
        <w:rPr>
          <w:spacing w:val="-3"/>
          <w:sz w:val="18"/>
        </w:rPr>
        <w:t xml:space="preserve"> </w:t>
      </w:r>
      <w:r>
        <w:rPr>
          <w:sz w:val="18"/>
        </w:rPr>
        <w:t>Christy</w:t>
      </w:r>
      <w:r>
        <w:rPr>
          <w:spacing w:val="-2"/>
          <w:sz w:val="18"/>
        </w:rPr>
        <w:t xml:space="preserve"> </w:t>
      </w:r>
      <w:r>
        <w:rPr>
          <w:sz w:val="18"/>
        </w:rPr>
        <w:t>Olezeski. “Ten</w:t>
      </w:r>
      <w:r>
        <w:rPr>
          <w:spacing w:val="-3"/>
          <w:sz w:val="18"/>
        </w:rPr>
        <w:t xml:space="preserve"> </w:t>
      </w:r>
      <w:r>
        <w:rPr>
          <w:sz w:val="18"/>
        </w:rPr>
        <w:t>Things</w:t>
      </w:r>
      <w:r>
        <w:rPr>
          <w:spacing w:val="-3"/>
          <w:sz w:val="18"/>
        </w:rPr>
        <w:t xml:space="preserve"> </w:t>
      </w:r>
      <w:r>
        <w:rPr>
          <w:sz w:val="18"/>
        </w:rPr>
        <w:t>Transgender</w:t>
      </w:r>
      <w:r>
        <w:rPr>
          <w:spacing w:val="-3"/>
          <w:sz w:val="18"/>
        </w:rPr>
        <w:t xml:space="preserve"> </w:t>
      </w:r>
      <w:r>
        <w:rPr>
          <w:sz w:val="18"/>
        </w:rPr>
        <w:t>and</w:t>
      </w:r>
      <w:r>
        <w:rPr>
          <w:spacing w:val="-3"/>
          <w:sz w:val="18"/>
        </w:rPr>
        <w:t xml:space="preserve"> </w:t>
      </w:r>
      <w:r>
        <w:rPr>
          <w:sz w:val="18"/>
        </w:rPr>
        <w:t>Gender Nonconforming</w:t>
      </w:r>
      <w:r>
        <w:rPr>
          <w:spacing w:val="-3"/>
          <w:sz w:val="18"/>
        </w:rPr>
        <w:t xml:space="preserve"> </w:t>
      </w:r>
      <w:r>
        <w:rPr>
          <w:sz w:val="18"/>
        </w:rPr>
        <w:t>Youth Want</w:t>
      </w:r>
      <w:r>
        <w:rPr>
          <w:spacing w:val="-3"/>
          <w:sz w:val="18"/>
        </w:rPr>
        <w:t xml:space="preserve"> </w:t>
      </w:r>
      <w:r>
        <w:rPr>
          <w:sz w:val="18"/>
        </w:rPr>
        <w:t>Their</w:t>
      </w:r>
      <w:r>
        <w:rPr>
          <w:spacing w:val="-3"/>
          <w:sz w:val="18"/>
        </w:rPr>
        <w:t xml:space="preserve"> </w:t>
      </w:r>
      <w:r>
        <w:rPr>
          <w:sz w:val="18"/>
        </w:rPr>
        <w:t>Doctors</w:t>
      </w:r>
      <w:r>
        <w:rPr>
          <w:spacing w:val="-3"/>
          <w:sz w:val="18"/>
        </w:rPr>
        <w:t xml:space="preserve"> </w:t>
      </w:r>
      <w:r>
        <w:rPr>
          <w:sz w:val="18"/>
        </w:rPr>
        <w:t>to</w:t>
      </w:r>
      <w:r>
        <w:rPr>
          <w:spacing w:val="-1"/>
          <w:sz w:val="18"/>
        </w:rPr>
        <w:t xml:space="preserve"> </w:t>
      </w:r>
      <w:r>
        <w:rPr>
          <w:sz w:val="18"/>
        </w:rPr>
        <w:t>Know.”</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American</w:t>
      </w:r>
      <w:r>
        <w:rPr>
          <w:i/>
          <w:spacing w:val="-1"/>
          <w:sz w:val="18"/>
        </w:rPr>
        <w:t xml:space="preserve"> </w:t>
      </w:r>
      <w:r>
        <w:rPr>
          <w:i/>
          <w:sz w:val="18"/>
        </w:rPr>
        <w:t>Academy</w:t>
      </w:r>
      <w:r>
        <w:rPr>
          <w:i/>
          <w:spacing w:val="-1"/>
          <w:sz w:val="18"/>
        </w:rPr>
        <w:t xml:space="preserve"> </w:t>
      </w:r>
      <w:r>
        <w:rPr>
          <w:i/>
          <w:sz w:val="18"/>
        </w:rPr>
        <w:t>of</w:t>
      </w:r>
      <w:r>
        <w:rPr>
          <w:i/>
          <w:spacing w:val="-2"/>
          <w:sz w:val="18"/>
        </w:rPr>
        <w:t xml:space="preserve"> </w:t>
      </w:r>
      <w:r>
        <w:rPr>
          <w:i/>
          <w:sz w:val="18"/>
        </w:rPr>
        <w:t>Child</w:t>
      </w:r>
      <w:r>
        <w:rPr>
          <w:i/>
          <w:spacing w:val="-1"/>
          <w:sz w:val="18"/>
        </w:rPr>
        <w:t xml:space="preserve"> </w:t>
      </w:r>
      <w:r>
        <w:rPr>
          <w:i/>
          <w:sz w:val="18"/>
        </w:rPr>
        <w:t>&amp;</w:t>
      </w:r>
      <w:r>
        <w:rPr>
          <w:i/>
          <w:spacing w:val="-3"/>
          <w:sz w:val="18"/>
        </w:rPr>
        <w:t xml:space="preserve"> </w:t>
      </w:r>
      <w:r>
        <w:rPr>
          <w:i/>
          <w:sz w:val="18"/>
        </w:rPr>
        <w:t>Adolescent</w:t>
      </w:r>
      <w:r>
        <w:rPr>
          <w:i/>
          <w:spacing w:val="-3"/>
          <w:sz w:val="18"/>
        </w:rPr>
        <w:t xml:space="preserve"> </w:t>
      </w:r>
      <w:r>
        <w:rPr>
          <w:i/>
          <w:sz w:val="18"/>
        </w:rPr>
        <w:t>Psychiatry</w:t>
      </w:r>
      <w:r>
        <w:rPr>
          <w:i/>
          <w:spacing w:val="-1"/>
          <w:sz w:val="18"/>
        </w:rPr>
        <w:t xml:space="preserve"> </w:t>
      </w:r>
      <w:r>
        <w:rPr>
          <w:sz w:val="18"/>
        </w:rPr>
        <w:t>56,</w:t>
      </w:r>
      <w:r>
        <w:rPr>
          <w:spacing w:val="-2"/>
          <w:sz w:val="18"/>
        </w:rPr>
        <w:t xml:space="preserve"> </w:t>
      </w:r>
      <w:r>
        <w:rPr>
          <w:sz w:val="18"/>
        </w:rPr>
        <w:t>no.</w:t>
      </w:r>
      <w:r>
        <w:rPr>
          <w:spacing w:val="-2"/>
          <w:sz w:val="18"/>
        </w:rPr>
        <w:t xml:space="preserve"> </w:t>
      </w:r>
      <w:r>
        <w:rPr>
          <w:sz w:val="18"/>
        </w:rPr>
        <w:t>4</w:t>
      </w:r>
      <w:r>
        <w:rPr>
          <w:spacing w:val="-2"/>
          <w:sz w:val="18"/>
        </w:rPr>
        <w:t xml:space="preserve"> </w:t>
      </w:r>
      <w:r>
        <w:rPr>
          <w:sz w:val="18"/>
        </w:rPr>
        <w:t>(April</w:t>
      </w:r>
      <w:r>
        <w:rPr>
          <w:spacing w:val="-3"/>
          <w:sz w:val="18"/>
        </w:rPr>
        <w:t xml:space="preserve"> </w:t>
      </w:r>
      <w:r>
        <w:rPr>
          <w:sz w:val="18"/>
        </w:rPr>
        <w:t>2017):</w:t>
      </w:r>
      <w:r>
        <w:rPr>
          <w:spacing w:val="-2"/>
          <w:sz w:val="18"/>
        </w:rPr>
        <w:t xml:space="preserve"> </w:t>
      </w:r>
      <w:r>
        <w:rPr>
          <w:sz w:val="18"/>
        </w:rPr>
        <w:t xml:space="preserve">275–77. </w:t>
      </w:r>
      <w:hyperlink r:id="rId246">
        <w:r>
          <w:rPr>
            <w:color w:val="1154CC"/>
            <w:spacing w:val="-2"/>
            <w:sz w:val="18"/>
            <w:u w:val="single" w:color="1154CC"/>
          </w:rPr>
          <w:t>https://doi.org/10.1016/j.jaac.2016.12.015</w:t>
        </w:r>
        <w:r>
          <w:rPr>
            <w:spacing w:val="-2"/>
            <w:sz w:val="18"/>
          </w:rPr>
          <w:t>.</w:t>
        </w:r>
      </w:hyperlink>
    </w:p>
    <w:p w:rsidR="00200FDA" w:rsidRDefault="00F76C4C">
      <w:pPr>
        <w:spacing w:before="1"/>
        <w:ind w:left="140" w:right="394"/>
        <w:jc w:val="both"/>
        <w:rPr>
          <w:sz w:val="18"/>
        </w:rPr>
      </w:pPr>
      <w:bookmarkStart w:id="375" w:name="_bookmark256"/>
      <w:bookmarkEnd w:id="375"/>
      <w:r>
        <w:rPr>
          <w:position w:val="5"/>
          <w:sz w:val="12"/>
        </w:rPr>
        <w:t>2</w:t>
      </w:r>
      <w:r>
        <w:rPr>
          <w:spacing w:val="9"/>
          <w:position w:val="5"/>
          <w:sz w:val="12"/>
        </w:rPr>
        <w:t xml:space="preserve"> </w:t>
      </w:r>
      <w:r>
        <w:rPr>
          <w:sz w:val="18"/>
        </w:rPr>
        <w:t>The</w:t>
      </w:r>
      <w:r>
        <w:rPr>
          <w:spacing w:val="-4"/>
          <w:sz w:val="18"/>
        </w:rPr>
        <w:t xml:space="preserve"> </w:t>
      </w:r>
      <w:r>
        <w:rPr>
          <w:sz w:val="18"/>
        </w:rPr>
        <w:t>Trevor</w:t>
      </w:r>
      <w:r>
        <w:rPr>
          <w:spacing w:val="-4"/>
          <w:sz w:val="18"/>
        </w:rPr>
        <w:t xml:space="preserve"> </w:t>
      </w:r>
      <w:r>
        <w:rPr>
          <w:sz w:val="18"/>
        </w:rPr>
        <w:t>Project,</w:t>
      </w:r>
      <w:r>
        <w:rPr>
          <w:spacing w:val="-3"/>
          <w:sz w:val="18"/>
        </w:rPr>
        <w:t xml:space="preserve"> </w:t>
      </w:r>
      <w:r>
        <w:rPr>
          <w:sz w:val="18"/>
        </w:rPr>
        <w:t>“2022</w:t>
      </w:r>
      <w:r>
        <w:rPr>
          <w:spacing w:val="-3"/>
          <w:sz w:val="18"/>
        </w:rPr>
        <w:t xml:space="preserve"> </w:t>
      </w:r>
      <w:r>
        <w:rPr>
          <w:sz w:val="18"/>
        </w:rPr>
        <w:t>National</w:t>
      </w:r>
      <w:r>
        <w:rPr>
          <w:spacing w:val="-4"/>
          <w:sz w:val="18"/>
        </w:rPr>
        <w:t xml:space="preserve"> </w:t>
      </w:r>
      <w:r>
        <w:rPr>
          <w:sz w:val="18"/>
        </w:rPr>
        <w:t>Survey</w:t>
      </w:r>
      <w:r>
        <w:rPr>
          <w:spacing w:val="-3"/>
          <w:sz w:val="18"/>
        </w:rPr>
        <w:t xml:space="preserve"> </w:t>
      </w:r>
      <w:r>
        <w:rPr>
          <w:sz w:val="18"/>
        </w:rPr>
        <w:t>on</w:t>
      </w:r>
      <w:r>
        <w:rPr>
          <w:spacing w:val="-4"/>
          <w:sz w:val="18"/>
        </w:rPr>
        <w:t xml:space="preserve"> </w:t>
      </w:r>
      <w:r>
        <w:rPr>
          <w:sz w:val="18"/>
        </w:rPr>
        <w:t>LGBTQ</w:t>
      </w:r>
      <w:r>
        <w:rPr>
          <w:spacing w:val="-4"/>
          <w:sz w:val="18"/>
        </w:rPr>
        <w:t xml:space="preserve"> </w:t>
      </w:r>
      <w:r>
        <w:rPr>
          <w:sz w:val="18"/>
        </w:rPr>
        <w:t>Youth</w:t>
      </w:r>
      <w:r>
        <w:rPr>
          <w:spacing w:val="-4"/>
          <w:sz w:val="18"/>
        </w:rPr>
        <w:t xml:space="preserve"> </w:t>
      </w:r>
      <w:r>
        <w:rPr>
          <w:sz w:val="18"/>
        </w:rPr>
        <w:t>Mental</w:t>
      </w:r>
      <w:r>
        <w:rPr>
          <w:spacing w:val="-4"/>
          <w:sz w:val="18"/>
        </w:rPr>
        <w:t xml:space="preserve"> </w:t>
      </w:r>
      <w:r>
        <w:rPr>
          <w:sz w:val="18"/>
        </w:rPr>
        <w:t>Health,”</w:t>
      </w:r>
      <w:r>
        <w:rPr>
          <w:spacing w:val="-4"/>
          <w:sz w:val="18"/>
        </w:rPr>
        <w:t xml:space="preserve"> </w:t>
      </w:r>
      <w:r>
        <w:rPr>
          <w:sz w:val="18"/>
        </w:rPr>
        <w:t>2022,</w:t>
      </w:r>
      <w:r>
        <w:rPr>
          <w:spacing w:val="-2"/>
          <w:sz w:val="18"/>
        </w:rPr>
        <w:t xml:space="preserve"> </w:t>
      </w:r>
      <w:hyperlink r:id="rId247">
        <w:r>
          <w:rPr>
            <w:color w:val="1154CC"/>
            <w:sz w:val="18"/>
            <w:u w:val="single" w:color="1154CC"/>
          </w:rPr>
          <w:t>https://www.thetrevorproject.org/survey-</w:t>
        </w:r>
      </w:hyperlink>
      <w:r>
        <w:rPr>
          <w:color w:val="1154CC"/>
          <w:sz w:val="18"/>
        </w:rPr>
        <w:t xml:space="preserve"> </w:t>
      </w:r>
      <w:hyperlink r:id="rId248">
        <w:r>
          <w:rPr>
            <w:color w:val="1154CC"/>
            <w:spacing w:val="-2"/>
            <w:sz w:val="18"/>
            <w:u w:val="single" w:color="1154CC"/>
          </w:rPr>
          <w:t>2022/assets/static/trevor01_2022survey_final.pdf</w:t>
        </w:r>
        <w:r>
          <w:rPr>
            <w:spacing w:val="-2"/>
            <w:sz w:val="18"/>
          </w:rPr>
          <w:t>.</w:t>
        </w:r>
      </w:hyperlink>
    </w:p>
    <w:p w:rsidR="00200FDA" w:rsidRDefault="00F76C4C">
      <w:pPr>
        <w:ind w:left="140" w:right="432"/>
        <w:rPr>
          <w:sz w:val="18"/>
        </w:rPr>
      </w:pPr>
      <w:bookmarkStart w:id="376" w:name="_bookmark257"/>
      <w:bookmarkEnd w:id="376"/>
      <w:r>
        <w:rPr>
          <w:position w:val="5"/>
          <w:sz w:val="12"/>
        </w:rPr>
        <w:t>3</w:t>
      </w:r>
      <w:r>
        <w:rPr>
          <w:spacing w:val="40"/>
          <w:position w:val="5"/>
          <w:sz w:val="12"/>
        </w:rPr>
        <w:t xml:space="preserve"> </w:t>
      </w:r>
      <w:r>
        <w:rPr>
          <w:sz w:val="18"/>
        </w:rPr>
        <w:t xml:space="preserve">The Trevor Project, “2022 National Survey on LGBTQ Youth Mental Health: Massachusetts,” 2022, </w:t>
      </w:r>
      <w:hyperlink r:id="rId249">
        <w:r>
          <w:rPr>
            <w:color w:val="1154CC"/>
            <w:spacing w:val="-2"/>
            <w:sz w:val="18"/>
            <w:u w:val="single" w:color="1154CC"/>
          </w:rPr>
          <w:t>https://www.thetrevorproject.org/wp-content/uploads/2022/12/The-Trevor-Project-2022-National-Survey-on-LGBTQ-Youth-</w:t>
        </w:r>
      </w:hyperlink>
      <w:r>
        <w:rPr>
          <w:color w:val="1154CC"/>
          <w:sz w:val="18"/>
        </w:rPr>
        <w:t xml:space="preserve"> </w:t>
      </w:r>
      <w:hyperlink r:id="rId250">
        <w:r>
          <w:rPr>
            <w:color w:val="1154CC"/>
            <w:spacing w:val="-2"/>
            <w:sz w:val="18"/>
            <w:u w:val="single" w:color="1154CC"/>
          </w:rPr>
          <w:t>Mental-Health-by-State-Massachusetts.pdf</w:t>
        </w:r>
        <w:r>
          <w:rPr>
            <w:spacing w:val="-2"/>
            <w:sz w:val="18"/>
          </w:rPr>
          <w:t>.</w:t>
        </w:r>
      </w:hyperlink>
    </w:p>
    <w:p w:rsidR="00200FDA" w:rsidRDefault="00F76C4C">
      <w:pPr>
        <w:ind w:left="140" w:right="432"/>
        <w:rPr>
          <w:sz w:val="18"/>
        </w:rPr>
      </w:pPr>
      <w:bookmarkStart w:id="377" w:name="_bookmark258"/>
      <w:bookmarkEnd w:id="377"/>
      <w:r>
        <w:rPr>
          <w:position w:val="5"/>
          <w:sz w:val="12"/>
        </w:rPr>
        <w:t>4</w:t>
      </w:r>
      <w:r>
        <w:rPr>
          <w:spacing w:val="22"/>
          <w:position w:val="5"/>
          <w:sz w:val="12"/>
        </w:rPr>
        <w:t xml:space="preserve"> </w:t>
      </w:r>
      <w:r>
        <w:rPr>
          <w:sz w:val="18"/>
        </w:rPr>
        <w:t>The Trevor Project, “2022 National Survey on LGBTQ Youth Mental Health: Massachusetts,” 2</w:t>
      </w:r>
      <w:r>
        <w:rPr>
          <w:sz w:val="18"/>
        </w:rPr>
        <w:t xml:space="preserve">022, </w:t>
      </w:r>
      <w:hyperlink r:id="rId251">
        <w:r>
          <w:rPr>
            <w:color w:val="1154CC"/>
            <w:spacing w:val="-2"/>
            <w:sz w:val="18"/>
            <w:u w:val="single" w:color="1154CC"/>
          </w:rPr>
          <w:t>https://www.thetrevorproject.org/wp-content/uploads/2022/12/The-Trevor-Proje</w:t>
        </w:r>
        <w:r>
          <w:rPr>
            <w:color w:val="1154CC"/>
            <w:spacing w:val="-2"/>
            <w:sz w:val="18"/>
            <w:u w:val="single" w:color="1154CC"/>
          </w:rPr>
          <w:t>ct-2022-National-Survey-on-LGBTQ-Youth-</w:t>
        </w:r>
      </w:hyperlink>
      <w:r>
        <w:rPr>
          <w:color w:val="1154CC"/>
          <w:sz w:val="18"/>
        </w:rPr>
        <w:t xml:space="preserve"> </w:t>
      </w:r>
      <w:hyperlink r:id="rId252">
        <w:r>
          <w:rPr>
            <w:color w:val="1154CC"/>
            <w:spacing w:val="-2"/>
            <w:sz w:val="18"/>
            <w:u w:val="single" w:color="1154CC"/>
          </w:rPr>
          <w:t>Mental-Health-by-State-Massachusetts.pdf</w:t>
        </w:r>
        <w:r>
          <w:rPr>
            <w:spacing w:val="-2"/>
            <w:sz w:val="18"/>
          </w:rPr>
          <w:t>.</w:t>
        </w:r>
      </w:hyperlink>
    </w:p>
    <w:p w:rsidR="00200FDA" w:rsidRDefault="00F76C4C">
      <w:pPr>
        <w:ind w:left="140" w:right="1813" w:hanging="1"/>
        <w:rPr>
          <w:sz w:val="18"/>
        </w:rPr>
      </w:pPr>
      <w:bookmarkStart w:id="378" w:name="_bookmark259"/>
      <w:bookmarkEnd w:id="378"/>
      <w:r>
        <w:rPr>
          <w:position w:val="5"/>
          <w:sz w:val="12"/>
        </w:rPr>
        <w:t>5</w:t>
      </w:r>
      <w:r>
        <w:rPr>
          <w:spacing w:val="22"/>
          <w:position w:val="5"/>
          <w:sz w:val="12"/>
        </w:rPr>
        <w:t xml:space="preserve"> </w:t>
      </w:r>
      <w:r>
        <w:rPr>
          <w:sz w:val="18"/>
        </w:rPr>
        <w:t xml:space="preserve">The Trevor Project, “Trauma and Suicide Risk Among LGBTQ Youth,” July 28, 2022, </w:t>
      </w:r>
      <w:hyperlink r:id="rId253">
        <w:r>
          <w:rPr>
            <w:color w:val="1154CC"/>
            <w:spacing w:val="-2"/>
            <w:sz w:val="18"/>
            <w:u w:val="single" w:color="1154CC"/>
          </w:rPr>
          <w:t>https://www.thetrevorproject.org/research-briefs/tra</w:t>
        </w:r>
        <w:r>
          <w:rPr>
            <w:color w:val="1154CC"/>
            <w:spacing w:val="-2"/>
            <w:sz w:val="18"/>
            <w:u w:val="single" w:color="1154CC"/>
          </w:rPr>
          <w:t>uma-and-suicide-risk-among-lgbtq-youth-july-2022/</w:t>
        </w:r>
        <w:r>
          <w:rPr>
            <w:spacing w:val="-2"/>
            <w:sz w:val="18"/>
          </w:rPr>
          <w:t>.</w:t>
        </w:r>
      </w:hyperlink>
    </w:p>
    <w:p w:rsidR="00200FDA" w:rsidRDefault="00F76C4C">
      <w:pPr>
        <w:ind w:left="140" w:right="305"/>
        <w:rPr>
          <w:sz w:val="18"/>
        </w:rPr>
      </w:pPr>
      <w:bookmarkStart w:id="379" w:name="_bookmark260"/>
      <w:bookmarkEnd w:id="379"/>
      <w:r>
        <w:rPr>
          <w:position w:val="5"/>
          <w:sz w:val="12"/>
        </w:rPr>
        <w:t>6</w:t>
      </w:r>
      <w:r>
        <w:rPr>
          <w:spacing w:val="19"/>
          <w:position w:val="5"/>
          <w:sz w:val="12"/>
        </w:rPr>
        <w:t xml:space="preserve"> </w:t>
      </w:r>
      <w:r>
        <w:rPr>
          <w:sz w:val="18"/>
        </w:rPr>
        <w:t>US Census Bureau. “Mental Health Struggles Higher Among LGBT Adults Than Non-LGBT Adults in All Age Groups.” Census.gov.</w:t>
      </w:r>
      <w:r>
        <w:rPr>
          <w:spacing w:val="-8"/>
          <w:sz w:val="18"/>
        </w:rPr>
        <w:t xml:space="preserve"> </w:t>
      </w:r>
      <w:r>
        <w:rPr>
          <w:sz w:val="18"/>
        </w:rPr>
        <w:t>Accessed</w:t>
      </w:r>
      <w:r>
        <w:rPr>
          <w:spacing w:val="-9"/>
          <w:sz w:val="18"/>
        </w:rPr>
        <w:t xml:space="preserve"> </w:t>
      </w:r>
      <w:r>
        <w:rPr>
          <w:sz w:val="18"/>
        </w:rPr>
        <w:t>March</w:t>
      </w:r>
      <w:r>
        <w:rPr>
          <w:spacing w:val="-9"/>
          <w:sz w:val="18"/>
        </w:rPr>
        <w:t xml:space="preserve"> </w:t>
      </w:r>
      <w:r>
        <w:rPr>
          <w:sz w:val="18"/>
        </w:rPr>
        <w:t>20,</w:t>
      </w:r>
      <w:r>
        <w:rPr>
          <w:spacing w:val="-5"/>
          <w:sz w:val="18"/>
        </w:rPr>
        <w:t xml:space="preserve"> </w:t>
      </w:r>
      <w:r>
        <w:rPr>
          <w:sz w:val="18"/>
        </w:rPr>
        <w:t>2023.</w:t>
      </w:r>
      <w:r>
        <w:rPr>
          <w:spacing w:val="-9"/>
          <w:sz w:val="18"/>
        </w:rPr>
        <w:t xml:space="preserve"> </w:t>
      </w:r>
      <w:hyperlink r:id="rId254">
        <w:r>
          <w:rPr>
            <w:color w:val="1154CC"/>
            <w:sz w:val="18"/>
            <w:u w:val="single" w:color="1154CC"/>
          </w:rPr>
          <w:t>https://www.census.gov/library/stories/2022/12/lgbt-adults-report-anxiety-depression-</w:t>
        </w:r>
      </w:hyperlink>
      <w:r>
        <w:rPr>
          <w:color w:val="1154CC"/>
          <w:sz w:val="18"/>
        </w:rPr>
        <w:t xml:space="preserve"> </w:t>
      </w:r>
      <w:hyperlink r:id="rId255">
        <w:r>
          <w:rPr>
            <w:color w:val="1154CC"/>
            <w:spacing w:val="-2"/>
            <w:sz w:val="18"/>
            <w:u w:val="single" w:color="1154CC"/>
          </w:rPr>
          <w:t>at-all-ages.html</w:t>
        </w:r>
        <w:r>
          <w:rPr>
            <w:spacing w:val="-2"/>
            <w:sz w:val="18"/>
          </w:rPr>
          <w:t>.</w:t>
        </w:r>
      </w:hyperlink>
    </w:p>
    <w:p w:rsidR="00200FDA" w:rsidRDefault="00F76C4C">
      <w:pPr>
        <w:ind w:left="140" w:right="432" w:hanging="1"/>
        <w:rPr>
          <w:sz w:val="18"/>
        </w:rPr>
      </w:pPr>
      <w:bookmarkStart w:id="380" w:name="_bookmark261"/>
      <w:bookmarkEnd w:id="380"/>
      <w:r>
        <w:rPr>
          <w:position w:val="5"/>
          <w:sz w:val="12"/>
        </w:rPr>
        <w:t>7</w:t>
      </w:r>
      <w:r>
        <w:rPr>
          <w:spacing w:val="10"/>
          <w:position w:val="5"/>
          <w:sz w:val="12"/>
        </w:rPr>
        <w:t xml:space="preserve"> </w:t>
      </w:r>
      <w:r>
        <w:rPr>
          <w:sz w:val="18"/>
        </w:rPr>
        <w:t>Human</w:t>
      </w:r>
      <w:r>
        <w:rPr>
          <w:spacing w:val="-3"/>
          <w:sz w:val="18"/>
        </w:rPr>
        <w:t xml:space="preserve"> </w:t>
      </w:r>
      <w:r>
        <w:rPr>
          <w:sz w:val="18"/>
        </w:rPr>
        <w:t>Rights</w:t>
      </w:r>
      <w:r>
        <w:rPr>
          <w:spacing w:val="-3"/>
          <w:sz w:val="18"/>
        </w:rPr>
        <w:t xml:space="preserve"> </w:t>
      </w:r>
      <w:r>
        <w:rPr>
          <w:sz w:val="18"/>
        </w:rPr>
        <w:t>Campaign. “Human</w:t>
      </w:r>
      <w:r>
        <w:rPr>
          <w:spacing w:val="-3"/>
          <w:sz w:val="18"/>
        </w:rPr>
        <w:t xml:space="preserve"> </w:t>
      </w:r>
      <w:r>
        <w:rPr>
          <w:sz w:val="18"/>
        </w:rPr>
        <w:t>Rights</w:t>
      </w:r>
      <w:r>
        <w:rPr>
          <w:spacing w:val="-3"/>
          <w:sz w:val="18"/>
        </w:rPr>
        <w:t xml:space="preserve"> </w:t>
      </w:r>
      <w:r>
        <w:rPr>
          <w:sz w:val="18"/>
        </w:rPr>
        <w:t>Campaign</w:t>
      </w:r>
      <w:r>
        <w:rPr>
          <w:spacing w:val="-3"/>
          <w:sz w:val="18"/>
        </w:rPr>
        <w:t xml:space="preserve"> </w:t>
      </w:r>
      <w:r>
        <w:rPr>
          <w:sz w:val="18"/>
        </w:rPr>
        <w:t>Working</w:t>
      </w:r>
      <w:r>
        <w:rPr>
          <w:spacing w:val="-3"/>
          <w:sz w:val="18"/>
        </w:rPr>
        <w:t xml:space="preserve"> </w:t>
      </w:r>
      <w:r>
        <w:rPr>
          <w:sz w:val="18"/>
        </w:rPr>
        <w:t>to</w:t>
      </w:r>
      <w:r>
        <w:rPr>
          <w:spacing w:val="-1"/>
          <w:sz w:val="18"/>
        </w:rPr>
        <w:t xml:space="preserve"> </w:t>
      </w:r>
      <w:r>
        <w:rPr>
          <w:sz w:val="18"/>
        </w:rPr>
        <w:t>Defeat</w:t>
      </w:r>
      <w:r>
        <w:rPr>
          <w:spacing w:val="-3"/>
          <w:sz w:val="18"/>
        </w:rPr>
        <w:t xml:space="preserve"> </w:t>
      </w:r>
      <w:r>
        <w:rPr>
          <w:sz w:val="18"/>
        </w:rPr>
        <w:t>340</w:t>
      </w:r>
      <w:r>
        <w:rPr>
          <w:spacing w:val="-2"/>
          <w:sz w:val="18"/>
        </w:rPr>
        <w:t xml:space="preserve"> </w:t>
      </w:r>
      <w:r>
        <w:rPr>
          <w:sz w:val="18"/>
        </w:rPr>
        <w:t>Anti-LGBTQ+</w:t>
      </w:r>
      <w:r>
        <w:rPr>
          <w:spacing w:val="-3"/>
          <w:sz w:val="18"/>
        </w:rPr>
        <w:t xml:space="preserve"> </w:t>
      </w:r>
      <w:r>
        <w:rPr>
          <w:sz w:val="18"/>
        </w:rPr>
        <w:t>Bills</w:t>
      </w:r>
      <w:r>
        <w:rPr>
          <w:spacing w:val="-3"/>
          <w:sz w:val="18"/>
        </w:rPr>
        <w:t xml:space="preserve"> </w:t>
      </w:r>
      <w:r>
        <w:rPr>
          <w:sz w:val="18"/>
        </w:rPr>
        <w:t>at State</w:t>
      </w:r>
      <w:r>
        <w:rPr>
          <w:spacing w:val="-3"/>
          <w:sz w:val="18"/>
        </w:rPr>
        <w:t xml:space="preserve"> </w:t>
      </w:r>
      <w:r>
        <w:rPr>
          <w:sz w:val="18"/>
        </w:rPr>
        <w:t>Level</w:t>
      </w:r>
      <w:r>
        <w:rPr>
          <w:spacing w:val="-3"/>
          <w:sz w:val="18"/>
        </w:rPr>
        <w:t xml:space="preserve"> </w:t>
      </w:r>
      <w:r>
        <w:rPr>
          <w:sz w:val="18"/>
        </w:rPr>
        <w:t>Already,</w:t>
      </w:r>
      <w:r>
        <w:rPr>
          <w:spacing w:val="-2"/>
          <w:sz w:val="18"/>
        </w:rPr>
        <w:t xml:space="preserve"> </w:t>
      </w:r>
      <w:r>
        <w:rPr>
          <w:sz w:val="18"/>
        </w:rPr>
        <w:t>150</w:t>
      </w:r>
      <w:r>
        <w:rPr>
          <w:spacing w:val="-2"/>
          <w:sz w:val="18"/>
        </w:rPr>
        <w:t xml:space="preserve"> </w:t>
      </w:r>
      <w:r>
        <w:rPr>
          <w:sz w:val="18"/>
        </w:rPr>
        <w:t xml:space="preserve">of Which Target Transgender People – Highest Number on Record,” February 15, 2023. </w:t>
      </w:r>
      <w:hyperlink r:id="rId256">
        <w:r>
          <w:rPr>
            <w:color w:val="1154CC"/>
            <w:sz w:val="18"/>
            <w:u w:val="single" w:color="1154CC"/>
          </w:rPr>
          <w:t>https://www.hrc.org/press-</w:t>
        </w:r>
      </w:hyperlink>
    </w:p>
    <w:p w:rsidR="00200FDA" w:rsidRDefault="00200FDA">
      <w:pPr>
        <w:rPr>
          <w:sz w:val="18"/>
        </w:rPr>
        <w:sectPr w:rsidR="00200FDA">
          <w:pgSz w:w="12240" w:h="15840"/>
          <w:pgMar w:top="1360" w:right="1180" w:bottom="1480" w:left="1300" w:header="761" w:footer="1208" w:gutter="0"/>
          <w:cols w:space="720"/>
        </w:sectPr>
      </w:pPr>
    </w:p>
    <w:p w:rsidR="00200FDA" w:rsidRDefault="00200FDA">
      <w:pPr>
        <w:pStyle w:val="BodyText"/>
        <w:spacing w:before="3"/>
        <w:rPr>
          <w:sz w:val="20"/>
        </w:rPr>
      </w:pPr>
    </w:p>
    <w:p w:rsidR="00200FDA" w:rsidRDefault="00F76C4C">
      <w:pPr>
        <w:spacing w:before="64"/>
        <w:ind w:left="140" w:right="1181"/>
        <w:rPr>
          <w:sz w:val="18"/>
        </w:rPr>
      </w:pPr>
      <w:hyperlink r:id="rId257">
        <w:r>
          <w:rPr>
            <w:color w:val="1154CC"/>
            <w:spacing w:val="-2"/>
            <w:sz w:val="18"/>
            <w:u w:val="single" w:color="1154CC"/>
          </w:rPr>
          <w:t>releases/human-rights-campaign-working-to-defeat-340-anti-lgbtq-bills-at-state-level-already-150-of-which-target-</w:t>
        </w:r>
      </w:hyperlink>
      <w:r>
        <w:rPr>
          <w:color w:val="1154CC"/>
          <w:sz w:val="18"/>
        </w:rPr>
        <w:t xml:space="preserve"> </w:t>
      </w:r>
      <w:hyperlink r:id="rId258">
        <w:r>
          <w:rPr>
            <w:color w:val="1154CC"/>
            <w:spacing w:val="-2"/>
            <w:sz w:val="18"/>
            <w:u w:val="single" w:color="1154CC"/>
          </w:rPr>
          <w:t>transgender-people-highest-number-on-record</w:t>
        </w:r>
        <w:r>
          <w:rPr>
            <w:spacing w:val="-2"/>
            <w:sz w:val="18"/>
          </w:rPr>
          <w:t>.</w:t>
        </w:r>
      </w:hyperlink>
    </w:p>
    <w:p w:rsidR="00200FDA" w:rsidRDefault="00F76C4C">
      <w:pPr>
        <w:ind w:left="140" w:right="259"/>
        <w:rPr>
          <w:sz w:val="18"/>
        </w:rPr>
      </w:pPr>
      <w:bookmarkStart w:id="381" w:name="_bookmark262"/>
      <w:bookmarkEnd w:id="381"/>
      <w:r>
        <w:rPr>
          <w:position w:val="5"/>
          <w:sz w:val="12"/>
        </w:rPr>
        <w:t>8</w:t>
      </w:r>
      <w:r>
        <w:rPr>
          <w:spacing w:val="9"/>
          <w:position w:val="5"/>
          <w:sz w:val="12"/>
        </w:rPr>
        <w:t xml:space="preserve"> </w:t>
      </w:r>
      <w:r>
        <w:rPr>
          <w:sz w:val="18"/>
        </w:rPr>
        <w:t>The</w:t>
      </w:r>
      <w:r>
        <w:rPr>
          <w:spacing w:val="-4"/>
          <w:sz w:val="18"/>
        </w:rPr>
        <w:t xml:space="preserve"> </w:t>
      </w:r>
      <w:r>
        <w:rPr>
          <w:sz w:val="18"/>
        </w:rPr>
        <w:t>Trevor</w:t>
      </w:r>
      <w:r>
        <w:rPr>
          <w:spacing w:val="-4"/>
          <w:sz w:val="18"/>
        </w:rPr>
        <w:t xml:space="preserve"> </w:t>
      </w:r>
      <w:r>
        <w:rPr>
          <w:sz w:val="18"/>
        </w:rPr>
        <w:t>Project,</w:t>
      </w:r>
      <w:r>
        <w:rPr>
          <w:spacing w:val="-3"/>
          <w:sz w:val="18"/>
        </w:rPr>
        <w:t xml:space="preserve"> </w:t>
      </w:r>
      <w:r>
        <w:rPr>
          <w:sz w:val="18"/>
        </w:rPr>
        <w:t>“2022</w:t>
      </w:r>
      <w:r>
        <w:rPr>
          <w:spacing w:val="-3"/>
          <w:sz w:val="18"/>
        </w:rPr>
        <w:t xml:space="preserve"> </w:t>
      </w:r>
      <w:r>
        <w:rPr>
          <w:sz w:val="18"/>
        </w:rPr>
        <w:t>National</w:t>
      </w:r>
      <w:r>
        <w:rPr>
          <w:spacing w:val="-4"/>
          <w:sz w:val="18"/>
        </w:rPr>
        <w:t xml:space="preserve"> </w:t>
      </w:r>
      <w:r>
        <w:rPr>
          <w:sz w:val="18"/>
        </w:rPr>
        <w:t>Survey</w:t>
      </w:r>
      <w:r>
        <w:rPr>
          <w:spacing w:val="-3"/>
          <w:sz w:val="18"/>
        </w:rPr>
        <w:t xml:space="preserve"> </w:t>
      </w:r>
      <w:r>
        <w:rPr>
          <w:sz w:val="18"/>
        </w:rPr>
        <w:t>on</w:t>
      </w:r>
      <w:r>
        <w:rPr>
          <w:spacing w:val="-4"/>
          <w:sz w:val="18"/>
        </w:rPr>
        <w:t xml:space="preserve"> </w:t>
      </w:r>
      <w:r>
        <w:rPr>
          <w:sz w:val="18"/>
        </w:rPr>
        <w:t>LGBTQ</w:t>
      </w:r>
      <w:r>
        <w:rPr>
          <w:spacing w:val="-4"/>
          <w:sz w:val="18"/>
        </w:rPr>
        <w:t xml:space="preserve"> </w:t>
      </w:r>
      <w:r>
        <w:rPr>
          <w:sz w:val="18"/>
        </w:rPr>
        <w:t>Youth</w:t>
      </w:r>
      <w:r>
        <w:rPr>
          <w:spacing w:val="-4"/>
          <w:sz w:val="18"/>
        </w:rPr>
        <w:t xml:space="preserve"> </w:t>
      </w:r>
      <w:r>
        <w:rPr>
          <w:sz w:val="18"/>
        </w:rPr>
        <w:t>Mental</w:t>
      </w:r>
      <w:r>
        <w:rPr>
          <w:spacing w:val="-4"/>
          <w:sz w:val="18"/>
        </w:rPr>
        <w:t xml:space="preserve"> </w:t>
      </w:r>
      <w:r>
        <w:rPr>
          <w:sz w:val="18"/>
        </w:rPr>
        <w:t>Health,”</w:t>
      </w:r>
      <w:r>
        <w:rPr>
          <w:spacing w:val="-4"/>
          <w:sz w:val="18"/>
        </w:rPr>
        <w:t xml:space="preserve"> </w:t>
      </w:r>
      <w:r>
        <w:rPr>
          <w:sz w:val="18"/>
        </w:rPr>
        <w:t>2022,</w:t>
      </w:r>
      <w:r>
        <w:rPr>
          <w:spacing w:val="-2"/>
          <w:sz w:val="18"/>
        </w:rPr>
        <w:t xml:space="preserve"> </w:t>
      </w:r>
      <w:hyperlink r:id="rId259">
        <w:r>
          <w:rPr>
            <w:color w:val="1154CC"/>
            <w:sz w:val="18"/>
            <w:u w:val="single" w:color="1154CC"/>
          </w:rPr>
          <w:t>https://www.thetrevorproject.org/survey-</w:t>
        </w:r>
      </w:hyperlink>
      <w:r>
        <w:rPr>
          <w:color w:val="1154CC"/>
          <w:sz w:val="18"/>
        </w:rPr>
        <w:t xml:space="preserve"> </w:t>
      </w:r>
      <w:hyperlink r:id="rId260">
        <w:r>
          <w:rPr>
            <w:color w:val="1154CC"/>
            <w:spacing w:val="-2"/>
            <w:sz w:val="18"/>
            <w:u w:val="single" w:color="1154CC"/>
          </w:rPr>
          <w:t>2022/assets/static/trevor01_2022survey_final.pdf</w:t>
        </w:r>
        <w:r>
          <w:rPr>
            <w:spacing w:val="-2"/>
            <w:sz w:val="18"/>
          </w:rPr>
          <w:t>.</w:t>
        </w:r>
      </w:hyperlink>
    </w:p>
    <w:p w:rsidR="00200FDA" w:rsidRDefault="00F76C4C">
      <w:pPr>
        <w:ind w:left="140" w:right="432"/>
        <w:rPr>
          <w:sz w:val="18"/>
        </w:rPr>
      </w:pPr>
      <w:bookmarkStart w:id="382" w:name="_bookmark263"/>
      <w:bookmarkEnd w:id="382"/>
      <w:r>
        <w:rPr>
          <w:position w:val="5"/>
          <w:sz w:val="12"/>
        </w:rPr>
        <w:t>9</w:t>
      </w:r>
      <w:r>
        <w:rPr>
          <w:spacing w:val="22"/>
          <w:position w:val="5"/>
          <w:sz w:val="12"/>
        </w:rPr>
        <w:t xml:space="preserve"> </w:t>
      </w:r>
      <w:r>
        <w:rPr>
          <w:sz w:val="18"/>
        </w:rPr>
        <w:t xml:space="preserve">The Trevor Project, “2022 National Survey on LGBTQ Youth Mental Health: Massachusetts,” 2022, </w:t>
      </w:r>
      <w:hyperlink r:id="rId261">
        <w:r>
          <w:rPr>
            <w:color w:val="1154CC"/>
            <w:spacing w:val="-2"/>
            <w:sz w:val="18"/>
            <w:u w:val="single" w:color="1154CC"/>
          </w:rPr>
          <w:t>https://www.thetrevorproject.org/wp-content/uploads/2022/12/The-Trevor-Project-2022-National-Survey-on-LGBTQ-Youth-</w:t>
        </w:r>
      </w:hyperlink>
      <w:r>
        <w:rPr>
          <w:color w:val="1154CC"/>
          <w:sz w:val="18"/>
        </w:rPr>
        <w:t xml:space="preserve"> </w:t>
      </w:r>
      <w:bookmarkStart w:id="383" w:name="_bookmark264"/>
      <w:bookmarkEnd w:id="383"/>
      <w:r>
        <w:fldChar w:fldCharType="begin"/>
      </w:r>
      <w:r>
        <w:instrText xml:space="preserve"> HYPERLINK "https://www.thetrevorproject.org/wp-content/uploads/2022/12/The-Trevor-Project-2022-National-Survey-on-LGBTQ-Yout</w:instrText>
      </w:r>
      <w:r>
        <w:instrText xml:space="preserve">h-Mental-Health-by-State-Massachusetts.pdf" \h </w:instrText>
      </w:r>
      <w:r>
        <w:fldChar w:fldCharType="separate"/>
      </w:r>
      <w:r>
        <w:rPr>
          <w:color w:val="1154CC"/>
          <w:spacing w:val="-2"/>
          <w:sz w:val="18"/>
          <w:u w:val="single" w:color="1154CC"/>
        </w:rPr>
        <w:t>Mental-Health-by-State-Massachusetts.pdf</w:t>
      </w:r>
      <w:r>
        <w:rPr>
          <w:spacing w:val="-2"/>
          <w:sz w:val="18"/>
        </w:rPr>
        <w:t>.</w:t>
      </w:r>
      <w:r>
        <w:rPr>
          <w:spacing w:val="-2"/>
          <w:sz w:val="18"/>
        </w:rPr>
        <w:fldChar w:fldCharType="end"/>
      </w:r>
    </w:p>
    <w:p w:rsidR="00200FDA" w:rsidRDefault="00F76C4C">
      <w:pPr>
        <w:ind w:left="140"/>
        <w:rPr>
          <w:sz w:val="18"/>
        </w:rPr>
      </w:pPr>
      <w:r>
        <w:rPr>
          <w:position w:val="5"/>
          <w:sz w:val="12"/>
        </w:rPr>
        <w:t>10</w:t>
      </w:r>
      <w:r>
        <w:rPr>
          <w:spacing w:val="8"/>
          <w:position w:val="5"/>
          <w:sz w:val="12"/>
        </w:rPr>
        <w:t xml:space="preserve"> </w:t>
      </w:r>
      <w:r>
        <w:rPr>
          <w:sz w:val="18"/>
        </w:rPr>
        <w:t>Frost,</w:t>
      </w:r>
      <w:r>
        <w:rPr>
          <w:spacing w:val="-2"/>
          <w:sz w:val="18"/>
        </w:rPr>
        <w:t xml:space="preserve"> </w:t>
      </w:r>
      <w:r>
        <w:rPr>
          <w:sz w:val="18"/>
        </w:rPr>
        <w:t>David</w:t>
      </w:r>
      <w:r>
        <w:rPr>
          <w:spacing w:val="-2"/>
          <w:sz w:val="18"/>
        </w:rPr>
        <w:t xml:space="preserve"> </w:t>
      </w:r>
      <w:r>
        <w:rPr>
          <w:sz w:val="18"/>
        </w:rPr>
        <w:t>M.,</w:t>
      </w:r>
      <w:r>
        <w:rPr>
          <w:spacing w:val="-2"/>
          <w:sz w:val="18"/>
        </w:rPr>
        <w:t xml:space="preserve"> </w:t>
      </w:r>
      <w:r>
        <w:rPr>
          <w:sz w:val="18"/>
        </w:rPr>
        <w:t>Keren</w:t>
      </w:r>
      <w:r>
        <w:rPr>
          <w:spacing w:val="-2"/>
          <w:sz w:val="18"/>
        </w:rPr>
        <w:t xml:space="preserve"> </w:t>
      </w:r>
      <w:r>
        <w:rPr>
          <w:sz w:val="18"/>
        </w:rPr>
        <w:t>Lehavot,</w:t>
      </w:r>
      <w:r>
        <w:rPr>
          <w:spacing w:val="-2"/>
          <w:sz w:val="18"/>
        </w:rPr>
        <w:t xml:space="preserve"> </w:t>
      </w:r>
      <w:r>
        <w:rPr>
          <w:sz w:val="18"/>
        </w:rPr>
        <w:t>and</w:t>
      </w:r>
      <w:r>
        <w:rPr>
          <w:spacing w:val="-2"/>
          <w:sz w:val="18"/>
        </w:rPr>
        <w:t xml:space="preserve"> </w:t>
      </w:r>
      <w:r>
        <w:rPr>
          <w:sz w:val="18"/>
        </w:rPr>
        <w:t>Ilan</w:t>
      </w:r>
      <w:r>
        <w:rPr>
          <w:spacing w:val="-3"/>
          <w:sz w:val="18"/>
        </w:rPr>
        <w:t xml:space="preserve"> </w:t>
      </w:r>
      <w:r>
        <w:rPr>
          <w:sz w:val="18"/>
        </w:rPr>
        <w:t>H.</w:t>
      </w:r>
      <w:r>
        <w:rPr>
          <w:spacing w:val="-1"/>
          <w:sz w:val="18"/>
        </w:rPr>
        <w:t xml:space="preserve"> </w:t>
      </w:r>
      <w:r>
        <w:rPr>
          <w:sz w:val="18"/>
        </w:rPr>
        <w:t>Meyer.</w:t>
      </w:r>
      <w:r>
        <w:rPr>
          <w:spacing w:val="-2"/>
          <w:sz w:val="18"/>
        </w:rPr>
        <w:t xml:space="preserve"> </w:t>
      </w:r>
      <w:r>
        <w:rPr>
          <w:sz w:val="18"/>
        </w:rPr>
        <w:t>“Minority</w:t>
      </w:r>
      <w:r>
        <w:rPr>
          <w:spacing w:val="-2"/>
          <w:sz w:val="18"/>
        </w:rPr>
        <w:t xml:space="preserve"> </w:t>
      </w:r>
      <w:r>
        <w:rPr>
          <w:sz w:val="18"/>
        </w:rPr>
        <w:t>Stress</w:t>
      </w:r>
      <w:r>
        <w:rPr>
          <w:spacing w:val="-2"/>
          <w:sz w:val="18"/>
        </w:rPr>
        <w:t xml:space="preserve"> </w:t>
      </w:r>
      <w:r>
        <w:rPr>
          <w:sz w:val="18"/>
        </w:rPr>
        <w:t>and</w:t>
      </w:r>
      <w:r>
        <w:rPr>
          <w:spacing w:val="-3"/>
          <w:sz w:val="18"/>
        </w:rPr>
        <w:t xml:space="preserve"> </w:t>
      </w:r>
      <w:r>
        <w:rPr>
          <w:sz w:val="18"/>
        </w:rPr>
        <w:t>Physical</w:t>
      </w:r>
      <w:r>
        <w:rPr>
          <w:spacing w:val="-2"/>
          <w:sz w:val="18"/>
        </w:rPr>
        <w:t xml:space="preserve"> </w:t>
      </w:r>
      <w:r>
        <w:rPr>
          <w:sz w:val="18"/>
        </w:rPr>
        <w:t>Health</w:t>
      </w:r>
      <w:r>
        <w:rPr>
          <w:spacing w:val="-3"/>
          <w:sz w:val="18"/>
        </w:rPr>
        <w:t xml:space="preserve"> </w:t>
      </w:r>
      <w:r>
        <w:rPr>
          <w:sz w:val="18"/>
        </w:rPr>
        <w:t>among</w:t>
      </w:r>
      <w:r>
        <w:rPr>
          <w:spacing w:val="-2"/>
          <w:sz w:val="18"/>
        </w:rPr>
        <w:t xml:space="preserve"> </w:t>
      </w:r>
      <w:r>
        <w:rPr>
          <w:sz w:val="18"/>
        </w:rPr>
        <w:t>Sexual</w:t>
      </w:r>
      <w:r>
        <w:rPr>
          <w:spacing w:val="-3"/>
          <w:sz w:val="18"/>
        </w:rPr>
        <w:t xml:space="preserve"> </w:t>
      </w:r>
      <w:r>
        <w:rPr>
          <w:sz w:val="18"/>
        </w:rPr>
        <w:t>Minority</w:t>
      </w:r>
      <w:r>
        <w:rPr>
          <w:spacing w:val="-1"/>
          <w:sz w:val="18"/>
        </w:rPr>
        <w:t xml:space="preserve"> </w:t>
      </w:r>
      <w:r>
        <w:rPr>
          <w:spacing w:val="-2"/>
          <w:sz w:val="18"/>
        </w:rPr>
        <w:t>Individuals.”</w:t>
      </w:r>
    </w:p>
    <w:p w:rsidR="00200FDA" w:rsidRDefault="00F76C4C">
      <w:pPr>
        <w:spacing w:before="1" w:line="219" w:lineRule="exact"/>
        <w:ind w:left="140"/>
        <w:rPr>
          <w:sz w:val="18"/>
        </w:rPr>
      </w:pPr>
      <w:bookmarkStart w:id="384" w:name="_bookmark265"/>
      <w:bookmarkEnd w:id="384"/>
      <w:r>
        <w:rPr>
          <w:i/>
          <w:sz w:val="18"/>
        </w:rPr>
        <w:t>Journal</w:t>
      </w:r>
      <w:r>
        <w:rPr>
          <w:i/>
          <w:spacing w:val="-4"/>
          <w:sz w:val="18"/>
        </w:rPr>
        <w:t xml:space="preserve"> </w:t>
      </w:r>
      <w:r>
        <w:rPr>
          <w:i/>
          <w:sz w:val="18"/>
        </w:rPr>
        <w:t>of</w:t>
      </w:r>
      <w:r>
        <w:rPr>
          <w:i/>
          <w:spacing w:val="-3"/>
          <w:sz w:val="18"/>
        </w:rPr>
        <w:t xml:space="preserve"> </w:t>
      </w:r>
      <w:r>
        <w:rPr>
          <w:i/>
          <w:sz w:val="18"/>
        </w:rPr>
        <w:t>Behavioral</w:t>
      </w:r>
      <w:r>
        <w:rPr>
          <w:i/>
          <w:spacing w:val="-3"/>
          <w:sz w:val="18"/>
        </w:rPr>
        <w:t xml:space="preserve"> </w:t>
      </w:r>
      <w:r>
        <w:rPr>
          <w:i/>
          <w:sz w:val="18"/>
        </w:rPr>
        <w:t>Medicine</w:t>
      </w:r>
      <w:r>
        <w:rPr>
          <w:i/>
          <w:spacing w:val="-3"/>
          <w:sz w:val="18"/>
        </w:rPr>
        <w:t xml:space="preserve"> </w:t>
      </w:r>
      <w:r>
        <w:rPr>
          <w:sz w:val="18"/>
        </w:rPr>
        <w:t>38,</w:t>
      </w:r>
      <w:r>
        <w:rPr>
          <w:spacing w:val="-2"/>
          <w:sz w:val="18"/>
        </w:rPr>
        <w:t xml:space="preserve"> </w:t>
      </w:r>
      <w:r>
        <w:rPr>
          <w:sz w:val="18"/>
        </w:rPr>
        <w:t>no.</w:t>
      </w:r>
      <w:r>
        <w:rPr>
          <w:spacing w:val="-3"/>
          <w:sz w:val="18"/>
        </w:rPr>
        <w:t xml:space="preserve"> </w:t>
      </w:r>
      <w:r>
        <w:rPr>
          <w:sz w:val="18"/>
        </w:rPr>
        <w:t>1</w:t>
      </w:r>
      <w:r>
        <w:rPr>
          <w:spacing w:val="-3"/>
          <w:sz w:val="18"/>
        </w:rPr>
        <w:t xml:space="preserve"> </w:t>
      </w:r>
      <w:r>
        <w:rPr>
          <w:sz w:val="18"/>
        </w:rPr>
        <w:t>(February</w:t>
      </w:r>
      <w:r>
        <w:rPr>
          <w:spacing w:val="-2"/>
          <w:sz w:val="18"/>
        </w:rPr>
        <w:t xml:space="preserve"> </w:t>
      </w:r>
      <w:r>
        <w:rPr>
          <w:sz w:val="18"/>
        </w:rPr>
        <w:t>2015):</w:t>
      </w:r>
      <w:r>
        <w:rPr>
          <w:spacing w:val="-3"/>
          <w:sz w:val="18"/>
        </w:rPr>
        <w:t xml:space="preserve"> </w:t>
      </w:r>
      <w:r>
        <w:rPr>
          <w:sz w:val="18"/>
        </w:rPr>
        <w:t xml:space="preserve">1–8. </w:t>
      </w:r>
      <w:hyperlink r:id="rId262">
        <w:r>
          <w:rPr>
            <w:color w:val="1154CC"/>
            <w:sz w:val="18"/>
            <w:u w:val="single" w:color="1154CC"/>
          </w:rPr>
          <w:t>https://doi.org/10.1007/s10865-013-9523-</w:t>
        </w:r>
        <w:r>
          <w:rPr>
            <w:color w:val="1154CC"/>
            <w:spacing w:val="-5"/>
            <w:sz w:val="18"/>
            <w:u w:val="single" w:color="1154CC"/>
          </w:rPr>
          <w:t>8</w:t>
        </w:r>
        <w:r>
          <w:rPr>
            <w:spacing w:val="-5"/>
            <w:sz w:val="18"/>
          </w:rPr>
          <w:t>.</w:t>
        </w:r>
      </w:hyperlink>
    </w:p>
    <w:p w:rsidR="00200FDA" w:rsidRDefault="00F76C4C">
      <w:pPr>
        <w:ind w:left="140" w:right="432" w:hanging="1"/>
        <w:rPr>
          <w:sz w:val="18"/>
        </w:rPr>
      </w:pPr>
      <w:r>
        <w:rPr>
          <w:position w:val="5"/>
          <w:sz w:val="12"/>
        </w:rPr>
        <w:t>11</w:t>
      </w:r>
      <w:r>
        <w:rPr>
          <w:spacing w:val="19"/>
          <w:position w:val="5"/>
          <w:sz w:val="12"/>
        </w:rPr>
        <w:t xml:space="preserve"> </w:t>
      </w:r>
      <w:r>
        <w:rPr>
          <w:sz w:val="18"/>
        </w:rPr>
        <w:t>Hatzenbuehler, Mark L., Katie A. McLaughlin, Katherine M. Keyes, and Deborah S. Hasin. “The Impact of Institutional Discrimination</w:t>
      </w:r>
      <w:r>
        <w:rPr>
          <w:spacing w:val="-3"/>
          <w:sz w:val="18"/>
        </w:rPr>
        <w:t xml:space="preserve"> </w:t>
      </w:r>
      <w:r>
        <w:rPr>
          <w:sz w:val="18"/>
        </w:rPr>
        <w:t>on</w:t>
      </w:r>
      <w:r>
        <w:rPr>
          <w:spacing w:val="-3"/>
          <w:sz w:val="18"/>
        </w:rPr>
        <w:t xml:space="preserve"> </w:t>
      </w:r>
      <w:r>
        <w:rPr>
          <w:sz w:val="18"/>
        </w:rPr>
        <w:t>Psychiatric</w:t>
      </w:r>
      <w:r>
        <w:rPr>
          <w:spacing w:val="-2"/>
          <w:sz w:val="18"/>
        </w:rPr>
        <w:t xml:space="preserve"> </w:t>
      </w:r>
      <w:r>
        <w:rPr>
          <w:sz w:val="18"/>
        </w:rPr>
        <w:t>Disorders</w:t>
      </w:r>
      <w:r>
        <w:rPr>
          <w:spacing w:val="-3"/>
          <w:sz w:val="18"/>
        </w:rPr>
        <w:t xml:space="preserve"> </w:t>
      </w:r>
      <w:r>
        <w:rPr>
          <w:sz w:val="18"/>
        </w:rPr>
        <w:t>in</w:t>
      </w:r>
      <w:r>
        <w:rPr>
          <w:spacing w:val="-3"/>
          <w:sz w:val="18"/>
        </w:rPr>
        <w:t xml:space="preserve"> </w:t>
      </w:r>
      <w:r>
        <w:rPr>
          <w:sz w:val="18"/>
        </w:rPr>
        <w:t>Lesbian,</w:t>
      </w:r>
      <w:r>
        <w:rPr>
          <w:spacing w:val="-2"/>
          <w:sz w:val="18"/>
        </w:rPr>
        <w:t xml:space="preserve"> </w:t>
      </w:r>
      <w:r>
        <w:rPr>
          <w:sz w:val="18"/>
        </w:rPr>
        <w:t>Gay,</w:t>
      </w:r>
      <w:r>
        <w:rPr>
          <w:spacing w:val="-2"/>
          <w:sz w:val="18"/>
        </w:rPr>
        <w:t xml:space="preserve"> </w:t>
      </w:r>
      <w:r>
        <w:rPr>
          <w:sz w:val="18"/>
        </w:rPr>
        <w:t>and</w:t>
      </w:r>
      <w:r>
        <w:rPr>
          <w:spacing w:val="-3"/>
          <w:sz w:val="18"/>
        </w:rPr>
        <w:t xml:space="preserve"> </w:t>
      </w:r>
      <w:r>
        <w:rPr>
          <w:sz w:val="18"/>
        </w:rPr>
        <w:t>Bisexual</w:t>
      </w:r>
      <w:r>
        <w:rPr>
          <w:spacing w:val="-3"/>
          <w:sz w:val="18"/>
        </w:rPr>
        <w:t xml:space="preserve"> </w:t>
      </w:r>
      <w:r>
        <w:rPr>
          <w:sz w:val="18"/>
        </w:rPr>
        <w:t>Populations: A</w:t>
      </w:r>
      <w:r>
        <w:rPr>
          <w:spacing w:val="-3"/>
          <w:sz w:val="18"/>
        </w:rPr>
        <w:t xml:space="preserve"> </w:t>
      </w:r>
      <w:r>
        <w:rPr>
          <w:sz w:val="18"/>
        </w:rPr>
        <w:t>Prospective</w:t>
      </w:r>
      <w:r>
        <w:rPr>
          <w:spacing w:val="-3"/>
          <w:sz w:val="18"/>
        </w:rPr>
        <w:t xml:space="preserve"> </w:t>
      </w:r>
      <w:r>
        <w:rPr>
          <w:sz w:val="18"/>
        </w:rPr>
        <w:t>Study.”</w:t>
      </w:r>
      <w:r>
        <w:rPr>
          <w:spacing w:val="-3"/>
          <w:sz w:val="18"/>
        </w:rPr>
        <w:t xml:space="preserve"> </w:t>
      </w:r>
      <w:r>
        <w:rPr>
          <w:i/>
          <w:sz w:val="18"/>
        </w:rPr>
        <w:t>American</w:t>
      </w:r>
      <w:r>
        <w:rPr>
          <w:i/>
          <w:spacing w:val="-1"/>
          <w:sz w:val="18"/>
        </w:rPr>
        <w:t xml:space="preserve"> </w:t>
      </w:r>
      <w:r>
        <w:rPr>
          <w:i/>
          <w:sz w:val="18"/>
        </w:rPr>
        <w:t>Journal</w:t>
      </w:r>
      <w:r>
        <w:rPr>
          <w:i/>
          <w:spacing w:val="-3"/>
          <w:sz w:val="18"/>
        </w:rPr>
        <w:t xml:space="preserve"> </w:t>
      </w:r>
      <w:r>
        <w:rPr>
          <w:i/>
          <w:sz w:val="18"/>
        </w:rPr>
        <w:t xml:space="preserve">of Public Health </w:t>
      </w:r>
      <w:r>
        <w:rPr>
          <w:sz w:val="18"/>
        </w:rPr>
        <w:t>1</w:t>
      </w:r>
      <w:r>
        <w:rPr>
          <w:sz w:val="18"/>
        </w:rPr>
        <w:t xml:space="preserve">00, no. 3 (March 2010): 452–59. </w:t>
      </w:r>
      <w:hyperlink r:id="rId263">
        <w:r>
          <w:rPr>
            <w:color w:val="1154CC"/>
            <w:sz w:val="18"/>
            <w:u w:val="single" w:color="1154CC"/>
          </w:rPr>
          <w:t>https://doi.org/10.2105/AJPH.2009.168815</w:t>
        </w:r>
        <w:r>
          <w:rPr>
            <w:sz w:val="18"/>
          </w:rPr>
          <w:t>.</w:t>
        </w:r>
      </w:hyperlink>
    </w:p>
    <w:p w:rsidR="00200FDA" w:rsidRDefault="00F76C4C">
      <w:pPr>
        <w:ind w:left="139" w:right="259"/>
        <w:rPr>
          <w:sz w:val="18"/>
        </w:rPr>
      </w:pPr>
      <w:bookmarkStart w:id="385" w:name="_bookmark266"/>
      <w:bookmarkEnd w:id="385"/>
      <w:r>
        <w:rPr>
          <w:position w:val="5"/>
          <w:sz w:val="12"/>
        </w:rPr>
        <w:t>12</w:t>
      </w:r>
      <w:r>
        <w:rPr>
          <w:spacing w:val="10"/>
          <w:position w:val="5"/>
          <w:sz w:val="12"/>
        </w:rPr>
        <w:t xml:space="preserve"> </w:t>
      </w:r>
      <w:r>
        <w:rPr>
          <w:sz w:val="18"/>
        </w:rPr>
        <w:t>Hughto,</w:t>
      </w:r>
      <w:r>
        <w:rPr>
          <w:spacing w:val="-2"/>
          <w:sz w:val="18"/>
        </w:rPr>
        <w:t xml:space="preserve"> </w:t>
      </w:r>
      <w:r>
        <w:rPr>
          <w:sz w:val="18"/>
        </w:rPr>
        <w:t>Jaclyn</w:t>
      </w:r>
      <w:r>
        <w:rPr>
          <w:spacing w:val="-3"/>
          <w:sz w:val="18"/>
        </w:rPr>
        <w:t xml:space="preserve"> </w:t>
      </w:r>
      <w:r>
        <w:rPr>
          <w:sz w:val="18"/>
        </w:rPr>
        <w:t>M.W.,</w:t>
      </w:r>
      <w:r>
        <w:rPr>
          <w:spacing w:val="-2"/>
          <w:sz w:val="18"/>
        </w:rPr>
        <w:t xml:space="preserve"> </w:t>
      </w:r>
      <w:r>
        <w:rPr>
          <w:sz w:val="18"/>
        </w:rPr>
        <w:t>David</w:t>
      </w:r>
      <w:r>
        <w:rPr>
          <w:spacing w:val="-3"/>
          <w:sz w:val="18"/>
        </w:rPr>
        <w:t xml:space="preserve"> </w:t>
      </w:r>
      <w:r>
        <w:rPr>
          <w:sz w:val="18"/>
        </w:rPr>
        <w:t>Pletta,</w:t>
      </w:r>
      <w:r>
        <w:rPr>
          <w:spacing w:val="-2"/>
          <w:sz w:val="18"/>
        </w:rPr>
        <w:t xml:space="preserve"> </w:t>
      </w:r>
      <w:r>
        <w:rPr>
          <w:sz w:val="18"/>
        </w:rPr>
        <w:t>Lily</w:t>
      </w:r>
      <w:r>
        <w:rPr>
          <w:spacing w:val="-2"/>
          <w:sz w:val="18"/>
        </w:rPr>
        <w:t xml:space="preserve"> </w:t>
      </w:r>
      <w:r>
        <w:rPr>
          <w:sz w:val="18"/>
        </w:rPr>
        <w:t>Gordon,</w:t>
      </w:r>
      <w:r>
        <w:rPr>
          <w:spacing w:val="-2"/>
          <w:sz w:val="18"/>
        </w:rPr>
        <w:t xml:space="preserve"> </w:t>
      </w:r>
      <w:r>
        <w:rPr>
          <w:sz w:val="18"/>
        </w:rPr>
        <w:t>Sean</w:t>
      </w:r>
      <w:r>
        <w:rPr>
          <w:spacing w:val="-3"/>
          <w:sz w:val="18"/>
        </w:rPr>
        <w:t xml:space="preserve"> </w:t>
      </w:r>
      <w:r>
        <w:rPr>
          <w:sz w:val="18"/>
        </w:rPr>
        <w:t>Cahill,</w:t>
      </w:r>
      <w:r>
        <w:rPr>
          <w:spacing w:val="-2"/>
          <w:sz w:val="18"/>
        </w:rPr>
        <w:t xml:space="preserve"> </w:t>
      </w:r>
      <w:r>
        <w:rPr>
          <w:sz w:val="18"/>
        </w:rPr>
        <w:t>Matthew</w:t>
      </w:r>
      <w:r>
        <w:rPr>
          <w:spacing w:val="-1"/>
          <w:sz w:val="18"/>
        </w:rPr>
        <w:t xml:space="preserve"> </w:t>
      </w:r>
      <w:r>
        <w:rPr>
          <w:sz w:val="18"/>
        </w:rPr>
        <w:t>J.</w:t>
      </w:r>
      <w:r>
        <w:rPr>
          <w:spacing w:val="-2"/>
          <w:sz w:val="18"/>
        </w:rPr>
        <w:t xml:space="preserve"> </w:t>
      </w:r>
      <w:r>
        <w:rPr>
          <w:sz w:val="18"/>
        </w:rPr>
        <w:t>Mimiaga,</w:t>
      </w:r>
      <w:r>
        <w:rPr>
          <w:spacing w:val="-2"/>
          <w:sz w:val="18"/>
        </w:rPr>
        <w:t xml:space="preserve"> </w:t>
      </w:r>
      <w:r>
        <w:rPr>
          <w:sz w:val="18"/>
        </w:rPr>
        <w:t>and</w:t>
      </w:r>
      <w:r>
        <w:rPr>
          <w:spacing w:val="-3"/>
          <w:sz w:val="18"/>
        </w:rPr>
        <w:t xml:space="preserve"> </w:t>
      </w:r>
      <w:r>
        <w:rPr>
          <w:sz w:val="18"/>
        </w:rPr>
        <w:t>Sari</w:t>
      </w:r>
      <w:r>
        <w:rPr>
          <w:spacing w:val="-3"/>
          <w:sz w:val="18"/>
        </w:rPr>
        <w:t xml:space="preserve"> </w:t>
      </w:r>
      <w:r>
        <w:rPr>
          <w:sz w:val="18"/>
        </w:rPr>
        <w:t>L.</w:t>
      </w:r>
      <w:r>
        <w:rPr>
          <w:spacing w:val="-2"/>
          <w:sz w:val="18"/>
        </w:rPr>
        <w:t xml:space="preserve"> </w:t>
      </w:r>
      <w:r>
        <w:rPr>
          <w:sz w:val="18"/>
        </w:rPr>
        <w:t>Reisner.</w:t>
      </w:r>
      <w:r>
        <w:rPr>
          <w:spacing w:val="-2"/>
          <w:sz w:val="18"/>
        </w:rPr>
        <w:t xml:space="preserve"> </w:t>
      </w:r>
      <w:r>
        <w:rPr>
          <w:sz w:val="18"/>
        </w:rPr>
        <w:t>“Negative</w:t>
      </w:r>
      <w:r>
        <w:rPr>
          <w:spacing w:val="-3"/>
          <w:sz w:val="18"/>
        </w:rPr>
        <w:t xml:space="preserve"> </w:t>
      </w:r>
      <w:r>
        <w:rPr>
          <w:sz w:val="18"/>
        </w:rPr>
        <w:t xml:space="preserve">Transgender- Related Media Messages Are Associated with Adverse Mental Health Outcomes in a Multistate Study of Transgender Adults.” </w:t>
      </w:r>
      <w:r>
        <w:rPr>
          <w:i/>
          <w:sz w:val="18"/>
        </w:rPr>
        <w:t xml:space="preserve">LGBT Health </w:t>
      </w:r>
      <w:r>
        <w:rPr>
          <w:sz w:val="18"/>
        </w:rPr>
        <w:t xml:space="preserve">8, no. 1 (January 1, 2021): 32–41. </w:t>
      </w:r>
      <w:hyperlink r:id="rId264">
        <w:r>
          <w:rPr>
            <w:color w:val="1154CC"/>
            <w:sz w:val="18"/>
            <w:u w:val="single" w:color="1154CC"/>
          </w:rPr>
          <w:t>https://doi.org/10</w:t>
        </w:r>
        <w:r>
          <w:rPr>
            <w:color w:val="1154CC"/>
            <w:sz w:val="18"/>
            <w:u w:val="single" w:color="1154CC"/>
          </w:rPr>
          <w:t>.1089/lgbt.2020.0279</w:t>
        </w:r>
        <w:r>
          <w:rPr>
            <w:sz w:val="18"/>
          </w:rPr>
          <w:t>.</w:t>
        </w:r>
      </w:hyperlink>
    </w:p>
    <w:p w:rsidR="00200FDA" w:rsidRDefault="00F76C4C">
      <w:pPr>
        <w:ind w:left="140" w:right="305" w:hanging="1"/>
        <w:rPr>
          <w:sz w:val="18"/>
        </w:rPr>
      </w:pPr>
      <w:bookmarkStart w:id="386" w:name="_bookmark267"/>
      <w:bookmarkEnd w:id="386"/>
      <w:r>
        <w:rPr>
          <w:position w:val="5"/>
          <w:sz w:val="12"/>
        </w:rPr>
        <w:t>13</w:t>
      </w:r>
      <w:r>
        <w:rPr>
          <w:spacing w:val="9"/>
          <w:position w:val="5"/>
          <w:sz w:val="12"/>
        </w:rPr>
        <w:t xml:space="preserve"> </w:t>
      </w:r>
      <w:r>
        <w:rPr>
          <w:sz w:val="18"/>
        </w:rPr>
        <w:t>Fulginiti,</w:t>
      </w:r>
      <w:r>
        <w:rPr>
          <w:spacing w:val="-3"/>
          <w:sz w:val="18"/>
        </w:rPr>
        <w:t xml:space="preserve"> </w:t>
      </w:r>
      <w:r>
        <w:rPr>
          <w:sz w:val="18"/>
        </w:rPr>
        <w:t>Anthony,</w:t>
      </w:r>
      <w:r>
        <w:rPr>
          <w:spacing w:val="-3"/>
          <w:sz w:val="18"/>
        </w:rPr>
        <w:t xml:space="preserve"> </w:t>
      </w:r>
      <w:r>
        <w:rPr>
          <w:sz w:val="18"/>
        </w:rPr>
        <w:t>Harmony</w:t>
      </w:r>
      <w:r>
        <w:rPr>
          <w:spacing w:val="-3"/>
          <w:sz w:val="18"/>
        </w:rPr>
        <w:t xml:space="preserve"> </w:t>
      </w:r>
      <w:r>
        <w:rPr>
          <w:sz w:val="18"/>
        </w:rPr>
        <w:t>Rhoades,</w:t>
      </w:r>
      <w:r>
        <w:rPr>
          <w:spacing w:val="-3"/>
          <w:sz w:val="18"/>
        </w:rPr>
        <w:t xml:space="preserve"> </w:t>
      </w:r>
      <w:r>
        <w:rPr>
          <w:sz w:val="18"/>
        </w:rPr>
        <w:t>Mary</w:t>
      </w:r>
      <w:r>
        <w:rPr>
          <w:spacing w:val="-3"/>
          <w:sz w:val="18"/>
        </w:rPr>
        <w:t xml:space="preserve"> </w:t>
      </w:r>
      <w:r>
        <w:rPr>
          <w:sz w:val="18"/>
        </w:rPr>
        <w:t>Rose</w:t>
      </w:r>
      <w:r>
        <w:rPr>
          <w:spacing w:val="-4"/>
          <w:sz w:val="18"/>
        </w:rPr>
        <w:t xml:space="preserve"> </w:t>
      </w:r>
      <w:r>
        <w:rPr>
          <w:sz w:val="18"/>
        </w:rPr>
        <w:t>Mamey,</w:t>
      </w:r>
      <w:r>
        <w:rPr>
          <w:spacing w:val="-3"/>
          <w:sz w:val="18"/>
        </w:rPr>
        <w:t xml:space="preserve"> </w:t>
      </w:r>
      <w:r>
        <w:rPr>
          <w:sz w:val="18"/>
        </w:rPr>
        <w:t>Cary</w:t>
      </w:r>
      <w:r>
        <w:rPr>
          <w:spacing w:val="-3"/>
          <w:sz w:val="18"/>
        </w:rPr>
        <w:t xml:space="preserve"> </w:t>
      </w:r>
      <w:r>
        <w:rPr>
          <w:sz w:val="18"/>
        </w:rPr>
        <w:t>Klemmer,</w:t>
      </w:r>
      <w:r>
        <w:rPr>
          <w:spacing w:val="-3"/>
          <w:sz w:val="18"/>
        </w:rPr>
        <w:t xml:space="preserve"> </w:t>
      </w:r>
      <w:r>
        <w:rPr>
          <w:sz w:val="18"/>
        </w:rPr>
        <w:t>Ankur</w:t>
      </w:r>
      <w:r>
        <w:rPr>
          <w:spacing w:val="-4"/>
          <w:sz w:val="18"/>
        </w:rPr>
        <w:t xml:space="preserve"> </w:t>
      </w:r>
      <w:r>
        <w:rPr>
          <w:sz w:val="18"/>
        </w:rPr>
        <w:t>Srivastava,</w:t>
      </w:r>
      <w:r>
        <w:rPr>
          <w:spacing w:val="-3"/>
          <w:sz w:val="18"/>
        </w:rPr>
        <w:t xml:space="preserve"> </w:t>
      </w:r>
      <w:r>
        <w:rPr>
          <w:sz w:val="18"/>
        </w:rPr>
        <w:t>Garrett</w:t>
      </w:r>
      <w:r>
        <w:rPr>
          <w:spacing w:val="-1"/>
          <w:sz w:val="18"/>
        </w:rPr>
        <w:t xml:space="preserve"> </w:t>
      </w:r>
      <w:r>
        <w:rPr>
          <w:sz w:val="18"/>
        </w:rPr>
        <w:t>Weskamp,</w:t>
      </w:r>
      <w:r>
        <w:rPr>
          <w:spacing w:val="-3"/>
          <w:sz w:val="18"/>
        </w:rPr>
        <w:t xml:space="preserve"> </w:t>
      </w:r>
      <w:r>
        <w:rPr>
          <w:sz w:val="18"/>
        </w:rPr>
        <w:t>and</w:t>
      </w:r>
      <w:r>
        <w:rPr>
          <w:spacing w:val="-4"/>
          <w:sz w:val="18"/>
        </w:rPr>
        <w:t xml:space="preserve"> </w:t>
      </w:r>
      <w:r>
        <w:rPr>
          <w:sz w:val="18"/>
        </w:rPr>
        <w:t>Jeremy</w:t>
      </w:r>
      <w:r>
        <w:rPr>
          <w:spacing w:val="-3"/>
          <w:sz w:val="18"/>
        </w:rPr>
        <w:t xml:space="preserve"> </w:t>
      </w:r>
      <w:r>
        <w:rPr>
          <w:sz w:val="18"/>
        </w:rPr>
        <w:t>T. Goldbach. “Sexual Minority Stress, Mental Health Symptoms, and Suicidality among LGBTQ Youth Accessing Crisis Serv</w:t>
      </w:r>
      <w:r>
        <w:rPr>
          <w:sz w:val="18"/>
        </w:rPr>
        <w:t xml:space="preserve">ices.” </w:t>
      </w:r>
      <w:r>
        <w:rPr>
          <w:i/>
          <w:sz w:val="18"/>
        </w:rPr>
        <w:t xml:space="preserve">Journal of Youth and Adolescence </w:t>
      </w:r>
      <w:r>
        <w:rPr>
          <w:sz w:val="18"/>
        </w:rPr>
        <w:t xml:space="preserve">50, no. 5 (May 2021): 893–905. </w:t>
      </w:r>
      <w:hyperlink r:id="rId265">
        <w:r>
          <w:rPr>
            <w:color w:val="1154CC"/>
            <w:sz w:val="18"/>
            <w:u w:val="single" w:color="1154CC"/>
          </w:rPr>
          <w:t>https://doi.org/10.1007/s10964-020-01354-3</w:t>
        </w:r>
        <w:r>
          <w:rPr>
            <w:sz w:val="18"/>
          </w:rPr>
          <w:t>.</w:t>
        </w:r>
      </w:hyperlink>
    </w:p>
    <w:p w:rsidR="00200FDA" w:rsidRDefault="00F76C4C">
      <w:pPr>
        <w:ind w:left="140" w:right="259" w:hanging="1"/>
        <w:rPr>
          <w:sz w:val="18"/>
        </w:rPr>
      </w:pPr>
      <w:bookmarkStart w:id="387" w:name="_bookmark268"/>
      <w:bookmarkEnd w:id="387"/>
      <w:r>
        <w:rPr>
          <w:position w:val="5"/>
          <w:sz w:val="12"/>
        </w:rPr>
        <w:t>14</w:t>
      </w:r>
      <w:r>
        <w:rPr>
          <w:spacing w:val="10"/>
          <w:position w:val="5"/>
          <w:sz w:val="12"/>
        </w:rPr>
        <w:t xml:space="preserve"> </w:t>
      </w:r>
      <w:r>
        <w:rPr>
          <w:sz w:val="18"/>
        </w:rPr>
        <w:t>Hatzenbuehler,</w:t>
      </w:r>
      <w:r>
        <w:rPr>
          <w:spacing w:val="-2"/>
          <w:sz w:val="18"/>
        </w:rPr>
        <w:t xml:space="preserve"> </w:t>
      </w:r>
      <w:r>
        <w:rPr>
          <w:sz w:val="18"/>
        </w:rPr>
        <w:t>Mark</w:t>
      </w:r>
      <w:r>
        <w:rPr>
          <w:spacing w:val="-3"/>
          <w:sz w:val="18"/>
        </w:rPr>
        <w:t xml:space="preserve"> </w:t>
      </w:r>
      <w:r>
        <w:rPr>
          <w:sz w:val="18"/>
        </w:rPr>
        <w:t>L.,</w:t>
      </w:r>
      <w:r>
        <w:rPr>
          <w:spacing w:val="-2"/>
          <w:sz w:val="18"/>
        </w:rPr>
        <w:t xml:space="preserve"> </w:t>
      </w:r>
      <w:r>
        <w:rPr>
          <w:sz w:val="18"/>
        </w:rPr>
        <w:t>Conall</w:t>
      </w:r>
      <w:r>
        <w:rPr>
          <w:spacing w:val="-3"/>
          <w:sz w:val="18"/>
        </w:rPr>
        <w:t xml:space="preserve"> </w:t>
      </w:r>
      <w:r>
        <w:rPr>
          <w:sz w:val="18"/>
        </w:rPr>
        <w:t>O’Cleirigh,</w:t>
      </w:r>
      <w:r>
        <w:rPr>
          <w:spacing w:val="-2"/>
          <w:sz w:val="18"/>
        </w:rPr>
        <w:t xml:space="preserve"> </w:t>
      </w:r>
      <w:r>
        <w:rPr>
          <w:sz w:val="18"/>
        </w:rPr>
        <w:t>Chris</w:t>
      </w:r>
      <w:r>
        <w:rPr>
          <w:spacing w:val="-1"/>
          <w:sz w:val="18"/>
        </w:rPr>
        <w:t xml:space="preserve"> </w:t>
      </w:r>
      <w:r>
        <w:rPr>
          <w:sz w:val="18"/>
        </w:rPr>
        <w:t>Grasso,</w:t>
      </w:r>
      <w:r>
        <w:rPr>
          <w:spacing w:val="-2"/>
          <w:sz w:val="18"/>
        </w:rPr>
        <w:t xml:space="preserve"> </w:t>
      </w:r>
      <w:r>
        <w:rPr>
          <w:sz w:val="18"/>
        </w:rPr>
        <w:t>Kenneth</w:t>
      </w:r>
      <w:r>
        <w:rPr>
          <w:spacing w:val="-3"/>
          <w:sz w:val="18"/>
        </w:rPr>
        <w:t xml:space="preserve"> </w:t>
      </w:r>
      <w:r>
        <w:rPr>
          <w:sz w:val="18"/>
        </w:rPr>
        <w:t>Mayer,</w:t>
      </w:r>
      <w:r>
        <w:rPr>
          <w:spacing w:val="-2"/>
          <w:sz w:val="18"/>
        </w:rPr>
        <w:t xml:space="preserve"> </w:t>
      </w:r>
      <w:r>
        <w:rPr>
          <w:sz w:val="18"/>
        </w:rPr>
        <w:t>Steven</w:t>
      </w:r>
      <w:r>
        <w:rPr>
          <w:spacing w:val="-3"/>
          <w:sz w:val="18"/>
        </w:rPr>
        <w:t xml:space="preserve"> </w:t>
      </w:r>
      <w:r>
        <w:rPr>
          <w:sz w:val="18"/>
        </w:rPr>
        <w:t>Safren,</w:t>
      </w:r>
      <w:r>
        <w:rPr>
          <w:spacing w:val="-2"/>
          <w:sz w:val="18"/>
        </w:rPr>
        <w:t xml:space="preserve"> </w:t>
      </w:r>
      <w:r>
        <w:rPr>
          <w:sz w:val="18"/>
        </w:rPr>
        <w:t>and</w:t>
      </w:r>
      <w:r>
        <w:rPr>
          <w:spacing w:val="-3"/>
          <w:sz w:val="18"/>
        </w:rPr>
        <w:t xml:space="preserve"> </w:t>
      </w:r>
      <w:r>
        <w:rPr>
          <w:sz w:val="18"/>
        </w:rPr>
        <w:t>Judith</w:t>
      </w:r>
      <w:r>
        <w:rPr>
          <w:spacing w:val="-1"/>
          <w:sz w:val="18"/>
        </w:rPr>
        <w:t xml:space="preserve"> </w:t>
      </w:r>
      <w:r>
        <w:rPr>
          <w:sz w:val="18"/>
        </w:rPr>
        <w:t>Bradford.</w:t>
      </w:r>
      <w:r>
        <w:rPr>
          <w:spacing w:val="-2"/>
          <w:sz w:val="18"/>
        </w:rPr>
        <w:t xml:space="preserve"> </w:t>
      </w:r>
      <w:r>
        <w:rPr>
          <w:sz w:val="18"/>
        </w:rPr>
        <w:t>“Effect</w:t>
      </w:r>
      <w:r>
        <w:rPr>
          <w:spacing w:val="-3"/>
          <w:sz w:val="18"/>
        </w:rPr>
        <w:t xml:space="preserve"> </w:t>
      </w:r>
      <w:r>
        <w:rPr>
          <w:sz w:val="18"/>
        </w:rPr>
        <w:t>of</w:t>
      </w:r>
      <w:r>
        <w:rPr>
          <w:spacing w:val="-2"/>
          <w:sz w:val="18"/>
        </w:rPr>
        <w:t xml:space="preserve"> </w:t>
      </w:r>
      <w:r>
        <w:rPr>
          <w:sz w:val="18"/>
        </w:rPr>
        <w:t xml:space="preserve">Same- Sex Marriage Laws on Health Care Use and Expenditures in Sexual Minority Men: A Quasi-Natural Experiment.” </w:t>
      </w:r>
      <w:r>
        <w:rPr>
          <w:i/>
          <w:sz w:val="18"/>
        </w:rPr>
        <w:t xml:space="preserve">American Journal of Public Health </w:t>
      </w:r>
      <w:r>
        <w:rPr>
          <w:sz w:val="18"/>
        </w:rPr>
        <w:t xml:space="preserve">102, no. 2 (February 2012): 285–91. </w:t>
      </w:r>
      <w:hyperlink r:id="rId266">
        <w:r>
          <w:rPr>
            <w:color w:val="1154CC"/>
            <w:sz w:val="18"/>
            <w:u w:val="single" w:color="1154CC"/>
          </w:rPr>
          <w:t>https://doi.org/10.2105/AJPH.2011.300382</w:t>
        </w:r>
        <w:r>
          <w:rPr>
            <w:sz w:val="18"/>
          </w:rPr>
          <w:t>.</w:t>
        </w:r>
      </w:hyperlink>
    </w:p>
    <w:p w:rsidR="00200FDA" w:rsidRDefault="00F76C4C">
      <w:pPr>
        <w:ind w:left="140" w:right="305"/>
        <w:rPr>
          <w:sz w:val="18"/>
        </w:rPr>
      </w:pPr>
      <w:bookmarkStart w:id="388" w:name="_bookmark269"/>
      <w:bookmarkEnd w:id="388"/>
      <w:r>
        <w:rPr>
          <w:position w:val="5"/>
          <w:sz w:val="12"/>
        </w:rPr>
        <w:t>15</w:t>
      </w:r>
      <w:r>
        <w:rPr>
          <w:spacing w:val="19"/>
          <w:position w:val="5"/>
          <w:sz w:val="12"/>
        </w:rPr>
        <w:t xml:space="preserve"> </w:t>
      </w:r>
      <w:r>
        <w:rPr>
          <w:sz w:val="18"/>
        </w:rPr>
        <w:t>Levenson, Jill S., Shelley Craig, and Ashley Austin. 2021. “Trauma-Informed and Affirmative Mental Health Practices with LGBTQ+</w:t>
      </w:r>
      <w:r>
        <w:rPr>
          <w:spacing w:val="-11"/>
          <w:sz w:val="18"/>
        </w:rPr>
        <w:t xml:space="preserve"> </w:t>
      </w:r>
      <w:r>
        <w:rPr>
          <w:sz w:val="18"/>
        </w:rPr>
        <w:t>Clients.”</w:t>
      </w:r>
      <w:r>
        <w:rPr>
          <w:spacing w:val="-10"/>
          <w:sz w:val="18"/>
        </w:rPr>
        <w:t xml:space="preserve"> </w:t>
      </w:r>
      <w:r>
        <w:rPr>
          <w:i/>
          <w:sz w:val="18"/>
        </w:rPr>
        <w:t>Psychological</w:t>
      </w:r>
      <w:r>
        <w:rPr>
          <w:i/>
          <w:spacing w:val="-10"/>
          <w:sz w:val="18"/>
        </w:rPr>
        <w:t xml:space="preserve"> </w:t>
      </w:r>
      <w:r>
        <w:rPr>
          <w:i/>
          <w:sz w:val="18"/>
        </w:rPr>
        <w:t>Services.</w:t>
      </w:r>
      <w:r>
        <w:rPr>
          <w:i/>
          <w:spacing w:val="-10"/>
          <w:sz w:val="18"/>
        </w:rPr>
        <w:t xml:space="preserve"> </w:t>
      </w:r>
      <w:hyperlink r:id="rId267">
        <w:r>
          <w:rPr>
            <w:color w:val="1154CC"/>
            <w:sz w:val="18"/>
            <w:u w:val="single" w:color="1154CC"/>
          </w:rPr>
          <w:t>https://lgbtqequity.org/wp-content/uploads/2021/06/Trauma-InformedCare-Final.pdf</w:t>
        </w:r>
      </w:hyperlink>
      <w:r>
        <w:rPr>
          <w:color w:val="1154CC"/>
          <w:sz w:val="18"/>
        </w:rPr>
        <w:t xml:space="preserve"> </w:t>
      </w:r>
      <w:bookmarkStart w:id="389" w:name="_bookmark270"/>
      <w:bookmarkEnd w:id="389"/>
      <w:r>
        <w:rPr>
          <w:position w:val="5"/>
          <w:sz w:val="12"/>
        </w:rPr>
        <w:t>16</w:t>
      </w:r>
      <w:r>
        <w:rPr>
          <w:spacing w:val="20"/>
          <w:position w:val="5"/>
          <w:sz w:val="12"/>
        </w:rPr>
        <w:t xml:space="preserve"> </w:t>
      </w:r>
      <w:r>
        <w:rPr>
          <w:sz w:val="18"/>
        </w:rPr>
        <w:t>Mittleman, Joel. “Sexual Minority Bullying and Mental Health From Early Childhood Throu</w:t>
      </w:r>
      <w:r>
        <w:rPr>
          <w:sz w:val="18"/>
        </w:rPr>
        <w:t xml:space="preserve">gh Adolescence.” </w:t>
      </w:r>
      <w:r>
        <w:rPr>
          <w:i/>
          <w:sz w:val="18"/>
        </w:rPr>
        <w:t xml:space="preserve">Journal of Adolescent Health </w:t>
      </w:r>
      <w:r>
        <w:rPr>
          <w:sz w:val="18"/>
        </w:rPr>
        <w:t xml:space="preserve">64, no. 2 (February 2019): 172–78. </w:t>
      </w:r>
      <w:hyperlink r:id="rId268">
        <w:r>
          <w:rPr>
            <w:color w:val="1154CC"/>
            <w:sz w:val="18"/>
            <w:u w:val="single" w:color="1154CC"/>
          </w:rPr>
          <w:t>https://doi.org/10.1016/j.jadohealth.2018.08.020</w:t>
        </w:r>
        <w:r>
          <w:rPr>
            <w:sz w:val="18"/>
          </w:rPr>
          <w:t>.</w:t>
        </w:r>
      </w:hyperlink>
    </w:p>
    <w:p w:rsidR="00200FDA" w:rsidRDefault="00F76C4C">
      <w:pPr>
        <w:ind w:left="139"/>
        <w:rPr>
          <w:sz w:val="18"/>
        </w:rPr>
      </w:pPr>
      <w:bookmarkStart w:id="390" w:name="_bookmark271"/>
      <w:bookmarkEnd w:id="390"/>
      <w:r>
        <w:rPr>
          <w:position w:val="5"/>
          <w:sz w:val="12"/>
        </w:rPr>
        <w:t>17</w:t>
      </w:r>
      <w:r>
        <w:rPr>
          <w:spacing w:val="10"/>
          <w:position w:val="5"/>
          <w:sz w:val="12"/>
        </w:rPr>
        <w:t xml:space="preserve"> </w:t>
      </w:r>
      <w:r>
        <w:rPr>
          <w:sz w:val="18"/>
        </w:rPr>
        <w:t>Constance-Huggins,</w:t>
      </w:r>
      <w:r>
        <w:rPr>
          <w:spacing w:val="-2"/>
          <w:sz w:val="18"/>
        </w:rPr>
        <w:t xml:space="preserve"> </w:t>
      </w:r>
      <w:r>
        <w:rPr>
          <w:sz w:val="18"/>
        </w:rPr>
        <w:t>Monique.</w:t>
      </w:r>
      <w:r>
        <w:rPr>
          <w:spacing w:val="-2"/>
          <w:sz w:val="18"/>
        </w:rPr>
        <w:t xml:space="preserve"> </w:t>
      </w:r>
      <w:r>
        <w:rPr>
          <w:sz w:val="18"/>
        </w:rPr>
        <w:t>“Critical</w:t>
      </w:r>
      <w:r>
        <w:rPr>
          <w:spacing w:val="-3"/>
          <w:sz w:val="18"/>
        </w:rPr>
        <w:t xml:space="preserve"> </w:t>
      </w:r>
      <w:r>
        <w:rPr>
          <w:sz w:val="18"/>
        </w:rPr>
        <w:t>Race</w:t>
      </w:r>
      <w:r>
        <w:rPr>
          <w:spacing w:val="-3"/>
          <w:sz w:val="18"/>
        </w:rPr>
        <w:t xml:space="preserve"> </w:t>
      </w:r>
      <w:r>
        <w:rPr>
          <w:sz w:val="18"/>
        </w:rPr>
        <w:t>Theory</w:t>
      </w:r>
      <w:r>
        <w:rPr>
          <w:spacing w:val="-2"/>
          <w:sz w:val="18"/>
        </w:rPr>
        <w:t xml:space="preserve"> </w:t>
      </w:r>
      <w:r>
        <w:rPr>
          <w:sz w:val="18"/>
        </w:rPr>
        <w:t>in</w:t>
      </w:r>
      <w:r>
        <w:rPr>
          <w:spacing w:val="-3"/>
          <w:sz w:val="18"/>
        </w:rPr>
        <w:t xml:space="preserve"> </w:t>
      </w:r>
      <w:r>
        <w:rPr>
          <w:sz w:val="18"/>
        </w:rPr>
        <w:t>Social</w:t>
      </w:r>
      <w:r>
        <w:rPr>
          <w:spacing w:val="-3"/>
          <w:sz w:val="18"/>
        </w:rPr>
        <w:t xml:space="preserve"> </w:t>
      </w:r>
      <w:r>
        <w:rPr>
          <w:sz w:val="18"/>
        </w:rPr>
        <w:t>Work</w:t>
      </w:r>
      <w:r>
        <w:rPr>
          <w:spacing w:val="-3"/>
          <w:sz w:val="18"/>
        </w:rPr>
        <w:t xml:space="preserve"> </w:t>
      </w:r>
      <w:r>
        <w:rPr>
          <w:sz w:val="18"/>
        </w:rPr>
        <w:t>Education.”</w:t>
      </w:r>
      <w:r>
        <w:rPr>
          <w:spacing w:val="-3"/>
          <w:sz w:val="18"/>
        </w:rPr>
        <w:t xml:space="preserve"> </w:t>
      </w:r>
      <w:r>
        <w:rPr>
          <w:i/>
          <w:sz w:val="18"/>
        </w:rPr>
        <w:t>Critical</w:t>
      </w:r>
      <w:r>
        <w:rPr>
          <w:i/>
          <w:spacing w:val="-3"/>
          <w:sz w:val="18"/>
        </w:rPr>
        <w:t xml:space="preserve"> </w:t>
      </w:r>
      <w:r>
        <w:rPr>
          <w:i/>
          <w:sz w:val="18"/>
        </w:rPr>
        <w:t>Social</w:t>
      </w:r>
      <w:r>
        <w:rPr>
          <w:i/>
          <w:spacing w:val="-3"/>
          <w:sz w:val="18"/>
        </w:rPr>
        <w:t xml:space="preserve"> </w:t>
      </w:r>
      <w:r>
        <w:rPr>
          <w:i/>
          <w:sz w:val="18"/>
        </w:rPr>
        <w:t xml:space="preserve">Work </w:t>
      </w:r>
      <w:r>
        <w:rPr>
          <w:sz w:val="18"/>
        </w:rPr>
        <w:t>13,</w:t>
      </w:r>
      <w:r>
        <w:rPr>
          <w:spacing w:val="-2"/>
          <w:sz w:val="18"/>
        </w:rPr>
        <w:t xml:space="preserve"> </w:t>
      </w:r>
      <w:r>
        <w:rPr>
          <w:sz w:val="18"/>
        </w:rPr>
        <w:t>no.</w:t>
      </w:r>
      <w:r>
        <w:rPr>
          <w:spacing w:val="-2"/>
          <w:sz w:val="18"/>
        </w:rPr>
        <w:t xml:space="preserve"> </w:t>
      </w:r>
      <w:r>
        <w:rPr>
          <w:sz w:val="18"/>
        </w:rPr>
        <w:t>2</w:t>
      </w:r>
      <w:r>
        <w:rPr>
          <w:spacing w:val="-2"/>
          <w:sz w:val="18"/>
        </w:rPr>
        <w:t xml:space="preserve"> </w:t>
      </w:r>
      <w:r>
        <w:rPr>
          <w:sz w:val="18"/>
        </w:rPr>
        <w:t>(May</w:t>
      </w:r>
      <w:r>
        <w:rPr>
          <w:spacing w:val="-2"/>
          <w:sz w:val="18"/>
        </w:rPr>
        <w:t xml:space="preserve"> </w:t>
      </w:r>
      <w:r>
        <w:rPr>
          <w:sz w:val="18"/>
        </w:rPr>
        <w:t>29,</w:t>
      </w:r>
      <w:r>
        <w:rPr>
          <w:spacing w:val="-2"/>
          <w:sz w:val="18"/>
        </w:rPr>
        <w:t xml:space="preserve"> </w:t>
      </w:r>
      <w:r>
        <w:rPr>
          <w:sz w:val="18"/>
        </w:rPr>
        <w:t xml:space="preserve">2019). </w:t>
      </w:r>
      <w:hyperlink r:id="rId269">
        <w:r>
          <w:rPr>
            <w:color w:val="1154CC"/>
            <w:spacing w:val="-2"/>
            <w:sz w:val="18"/>
            <w:u w:val="single" w:color="1154CC"/>
          </w:rPr>
          <w:t>https://doi.org/10.22329/csw.v13i2.5861</w:t>
        </w:r>
        <w:r>
          <w:rPr>
            <w:spacing w:val="-2"/>
            <w:sz w:val="18"/>
          </w:rPr>
          <w:t>.</w:t>
        </w:r>
      </w:hyperlink>
    </w:p>
    <w:p w:rsidR="00200FDA" w:rsidRDefault="00F76C4C">
      <w:pPr>
        <w:ind w:left="140" w:right="714" w:hanging="1"/>
        <w:rPr>
          <w:sz w:val="18"/>
        </w:rPr>
      </w:pPr>
      <w:bookmarkStart w:id="391" w:name="_bookmark272"/>
      <w:bookmarkEnd w:id="391"/>
      <w:r>
        <w:rPr>
          <w:position w:val="5"/>
          <w:sz w:val="12"/>
        </w:rPr>
        <w:t>18</w:t>
      </w:r>
      <w:r>
        <w:rPr>
          <w:spacing w:val="10"/>
          <w:position w:val="5"/>
          <w:sz w:val="12"/>
        </w:rPr>
        <w:t xml:space="preserve"> </w:t>
      </w:r>
      <w:r>
        <w:rPr>
          <w:sz w:val="18"/>
        </w:rPr>
        <w:t>Kosciw,</w:t>
      </w:r>
      <w:r>
        <w:rPr>
          <w:spacing w:val="-2"/>
          <w:sz w:val="18"/>
        </w:rPr>
        <w:t xml:space="preserve"> </w:t>
      </w:r>
      <w:r>
        <w:rPr>
          <w:sz w:val="18"/>
        </w:rPr>
        <w:t>Joseph,</w:t>
      </w:r>
      <w:r>
        <w:rPr>
          <w:spacing w:val="-2"/>
          <w:sz w:val="18"/>
        </w:rPr>
        <w:t xml:space="preserve"> </w:t>
      </w:r>
      <w:r>
        <w:rPr>
          <w:sz w:val="18"/>
        </w:rPr>
        <w:t>Caitlin</w:t>
      </w:r>
      <w:r>
        <w:rPr>
          <w:spacing w:val="-3"/>
          <w:sz w:val="18"/>
        </w:rPr>
        <w:t xml:space="preserve"> </w:t>
      </w:r>
      <w:r>
        <w:rPr>
          <w:sz w:val="18"/>
        </w:rPr>
        <w:t>Clark,</w:t>
      </w:r>
      <w:r>
        <w:rPr>
          <w:spacing w:val="-2"/>
          <w:sz w:val="18"/>
        </w:rPr>
        <w:t xml:space="preserve"> </w:t>
      </w:r>
      <w:r>
        <w:rPr>
          <w:sz w:val="18"/>
        </w:rPr>
        <w:t>and</w:t>
      </w:r>
      <w:r>
        <w:rPr>
          <w:spacing w:val="-1"/>
          <w:sz w:val="18"/>
        </w:rPr>
        <w:t xml:space="preserve"> </w:t>
      </w:r>
      <w:r>
        <w:rPr>
          <w:sz w:val="18"/>
        </w:rPr>
        <w:t>Leesh</w:t>
      </w:r>
      <w:r>
        <w:rPr>
          <w:spacing w:val="-3"/>
          <w:sz w:val="18"/>
        </w:rPr>
        <w:t xml:space="preserve"> </w:t>
      </w:r>
      <w:r>
        <w:rPr>
          <w:sz w:val="18"/>
        </w:rPr>
        <w:t>Menard,</w:t>
      </w:r>
      <w:r>
        <w:rPr>
          <w:spacing w:val="-2"/>
          <w:sz w:val="18"/>
        </w:rPr>
        <w:t xml:space="preserve"> </w:t>
      </w:r>
      <w:r>
        <w:rPr>
          <w:sz w:val="18"/>
        </w:rPr>
        <w:t>“The</w:t>
      </w:r>
      <w:r>
        <w:rPr>
          <w:spacing w:val="-3"/>
          <w:sz w:val="18"/>
        </w:rPr>
        <w:t xml:space="preserve"> </w:t>
      </w:r>
      <w:r>
        <w:rPr>
          <w:sz w:val="18"/>
        </w:rPr>
        <w:t>2021</w:t>
      </w:r>
      <w:r>
        <w:rPr>
          <w:spacing w:val="-2"/>
          <w:sz w:val="18"/>
        </w:rPr>
        <w:t xml:space="preserve"> </w:t>
      </w:r>
      <w:r>
        <w:rPr>
          <w:sz w:val="18"/>
        </w:rPr>
        <w:t>National</w:t>
      </w:r>
      <w:r>
        <w:rPr>
          <w:spacing w:val="-3"/>
          <w:sz w:val="18"/>
        </w:rPr>
        <w:t xml:space="preserve"> </w:t>
      </w:r>
      <w:r>
        <w:rPr>
          <w:sz w:val="18"/>
        </w:rPr>
        <w:t>School</w:t>
      </w:r>
      <w:r>
        <w:rPr>
          <w:spacing w:val="-3"/>
          <w:sz w:val="18"/>
        </w:rPr>
        <w:t xml:space="preserve"> </w:t>
      </w:r>
      <w:r>
        <w:rPr>
          <w:sz w:val="18"/>
        </w:rPr>
        <w:t>Climate</w:t>
      </w:r>
      <w:r>
        <w:rPr>
          <w:spacing w:val="-3"/>
          <w:sz w:val="18"/>
        </w:rPr>
        <w:t xml:space="preserve"> </w:t>
      </w:r>
      <w:r>
        <w:rPr>
          <w:sz w:val="18"/>
        </w:rPr>
        <w:t>Survey:</w:t>
      </w:r>
      <w:r>
        <w:rPr>
          <w:spacing w:val="-2"/>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 xml:space="preserve">LGBTQ+ Youth in Our Nation’s Schools” (New York: Gay, Lesbian and Straight Education Network, 2022), </w:t>
      </w:r>
      <w:hyperlink r:id="rId270">
        <w:r>
          <w:rPr>
            <w:color w:val="1154CC"/>
            <w:spacing w:val="-2"/>
            <w:sz w:val="18"/>
            <w:u w:val="single" w:color="1154CC"/>
          </w:rPr>
          <w:t>https://www.glsen.org/sites/default/files/2022-10/NSCS-2021-Full-Report.pdf</w:t>
        </w:r>
        <w:r>
          <w:rPr>
            <w:spacing w:val="-2"/>
            <w:sz w:val="18"/>
          </w:rPr>
          <w:t>.</w:t>
        </w:r>
      </w:hyperlink>
    </w:p>
    <w:p w:rsidR="00200FDA" w:rsidRDefault="00F76C4C">
      <w:pPr>
        <w:ind w:left="140" w:right="354" w:hanging="1"/>
        <w:jc w:val="both"/>
        <w:rPr>
          <w:sz w:val="18"/>
        </w:rPr>
      </w:pPr>
      <w:bookmarkStart w:id="392" w:name="_bookmark273"/>
      <w:bookmarkEnd w:id="392"/>
      <w:r>
        <w:rPr>
          <w:position w:val="5"/>
          <w:sz w:val="12"/>
        </w:rPr>
        <w:t>19</w:t>
      </w:r>
      <w:r>
        <w:rPr>
          <w:spacing w:val="9"/>
          <w:position w:val="5"/>
          <w:sz w:val="12"/>
        </w:rPr>
        <w:t xml:space="preserve"> </w:t>
      </w:r>
      <w:r>
        <w:rPr>
          <w:sz w:val="18"/>
        </w:rPr>
        <w:t>Castro-Ramirez,</w:t>
      </w:r>
      <w:r>
        <w:rPr>
          <w:spacing w:val="-3"/>
          <w:sz w:val="18"/>
        </w:rPr>
        <w:t xml:space="preserve"> </w:t>
      </w:r>
      <w:r>
        <w:rPr>
          <w:sz w:val="18"/>
        </w:rPr>
        <w:t>Franckie,</w:t>
      </w:r>
      <w:r>
        <w:rPr>
          <w:spacing w:val="-3"/>
          <w:sz w:val="18"/>
        </w:rPr>
        <w:t xml:space="preserve"> </w:t>
      </w:r>
      <w:r>
        <w:rPr>
          <w:sz w:val="18"/>
        </w:rPr>
        <w:t>Maha</w:t>
      </w:r>
      <w:r>
        <w:rPr>
          <w:spacing w:val="-1"/>
          <w:sz w:val="18"/>
        </w:rPr>
        <w:t xml:space="preserve"> </w:t>
      </w:r>
      <w:r>
        <w:rPr>
          <w:sz w:val="18"/>
        </w:rPr>
        <w:t>Al-Suwaidi,</w:t>
      </w:r>
      <w:r>
        <w:rPr>
          <w:spacing w:val="-3"/>
          <w:sz w:val="18"/>
        </w:rPr>
        <w:t xml:space="preserve"> </w:t>
      </w:r>
      <w:r>
        <w:rPr>
          <w:sz w:val="18"/>
        </w:rPr>
        <w:t>Pedro</w:t>
      </w:r>
      <w:r>
        <w:rPr>
          <w:spacing w:val="-2"/>
          <w:sz w:val="18"/>
        </w:rPr>
        <w:t xml:space="preserve"> </w:t>
      </w:r>
      <w:r>
        <w:rPr>
          <w:sz w:val="18"/>
        </w:rPr>
        <w:t>Garcia,</w:t>
      </w:r>
      <w:r>
        <w:rPr>
          <w:spacing w:val="-3"/>
          <w:sz w:val="18"/>
        </w:rPr>
        <w:t xml:space="preserve"> </w:t>
      </w:r>
      <w:r>
        <w:rPr>
          <w:sz w:val="18"/>
        </w:rPr>
        <w:t>Osiris</w:t>
      </w:r>
      <w:r>
        <w:rPr>
          <w:spacing w:val="-4"/>
          <w:sz w:val="18"/>
        </w:rPr>
        <w:t xml:space="preserve"> </w:t>
      </w:r>
      <w:r>
        <w:rPr>
          <w:sz w:val="18"/>
        </w:rPr>
        <w:t>Rankin,</w:t>
      </w:r>
      <w:r>
        <w:rPr>
          <w:spacing w:val="-3"/>
          <w:sz w:val="18"/>
        </w:rPr>
        <w:t xml:space="preserve"> </w:t>
      </w:r>
      <w:r>
        <w:rPr>
          <w:sz w:val="18"/>
        </w:rPr>
        <w:t>Jordyn</w:t>
      </w:r>
      <w:r>
        <w:rPr>
          <w:spacing w:val="-4"/>
          <w:sz w:val="18"/>
        </w:rPr>
        <w:t xml:space="preserve"> </w:t>
      </w:r>
      <w:r>
        <w:rPr>
          <w:sz w:val="18"/>
        </w:rPr>
        <w:t>R.</w:t>
      </w:r>
      <w:r>
        <w:rPr>
          <w:spacing w:val="-3"/>
          <w:sz w:val="18"/>
        </w:rPr>
        <w:t xml:space="preserve"> </w:t>
      </w:r>
      <w:r>
        <w:rPr>
          <w:sz w:val="18"/>
        </w:rPr>
        <w:t>Ricard,</w:t>
      </w:r>
      <w:r>
        <w:rPr>
          <w:spacing w:val="-3"/>
          <w:sz w:val="18"/>
        </w:rPr>
        <w:t xml:space="preserve"> </w:t>
      </w:r>
      <w:r>
        <w:rPr>
          <w:sz w:val="18"/>
        </w:rPr>
        <w:t>and</w:t>
      </w:r>
      <w:r>
        <w:rPr>
          <w:spacing w:val="-4"/>
          <w:sz w:val="18"/>
        </w:rPr>
        <w:t xml:space="preserve"> </w:t>
      </w:r>
      <w:r>
        <w:rPr>
          <w:sz w:val="18"/>
        </w:rPr>
        <w:t>Matthew</w:t>
      </w:r>
      <w:r>
        <w:rPr>
          <w:spacing w:val="-2"/>
          <w:sz w:val="18"/>
        </w:rPr>
        <w:t xml:space="preserve"> </w:t>
      </w:r>
      <w:r>
        <w:rPr>
          <w:sz w:val="18"/>
        </w:rPr>
        <w:t>K.</w:t>
      </w:r>
      <w:r>
        <w:rPr>
          <w:spacing w:val="-3"/>
          <w:sz w:val="18"/>
        </w:rPr>
        <w:t xml:space="preserve"> </w:t>
      </w:r>
      <w:r>
        <w:rPr>
          <w:sz w:val="18"/>
        </w:rPr>
        <w:t>Nock.</w:t>
      </w:r>
      <w:r>
        <w:rPr>
          <w:spacing w:val="-3"/>
          <w:sz w:val="18"/>
        </w:rPr>
        <w:t xml:space="preserve"> </w:t>
      </w:r>
      <w:r>
        <w:rPr>
          <w:sz w:val="18"/>
        </w:rPr>
        <w:t>“Racism</w:t>
      </w:r>
      <w:r>
        <w:rPr>
          <w:spacing w:val="-3"/>
          <w:sz w:val="18"/>
        </w:rPr>
        <w:t xml:space="preserve"> </w:t>
      </w:r>
      <w:r>
        <w:rPr>
          <w:sz w:val="18"/>
        </w:rPr>
        <w:t>and Poverty Are Barriers to the Treatment of Youth Mental</w:t>
      </w:r>
      <w:r>
        <w:rPr>
          <w:sz w:val="18"/>
        </w:rPr>
        <w:t xml:space="preserve"> Health Concerns.”</w:t>
      </w:r>
      <w:r>
        <w:rPr>
          <w:spacing w:val="-1"/>
          <w:sz w:val="18"/>
        </w:rPr>
        <w:t xml:space="preserve"> </w:t>
      </w:r>
      <w:r>
        <w:rPr>
          <w:i/>
          <w:sz w:val="18"/>
        </w:rPr>
        <w:t xml:space="preserve">Journal of Clinical Child &amp; Adolescent Psychology </w:t>
      </w:r>
      <w:r>
        <w:rPr>
          <w:sz w:val="18"/>
        </w:rPr>
        <w:t xml:space="preserve">50, no. 4 (July 4, 2021): 534–46. </w:t>
      </w:r>
      <w:hyperlink r:id="rId271">
        <w:r>
          <w:rPr>
            <w:color w:val="1154CC"/>
            <w:sz w:val="18"/>
            <w:u w:val="single" w:color="1154CC"/>
          </w:rPr>
          <w:t>https://doi.org/10.1080/15374416.2021.1941058</w:t>
        </w:r>
        <w:r>
          <w:rPr>
            <w:sz w:val="18"/>
          </w:rPr>
          <w:t>.</w:t>
        </w:r>
      </w:hyperlink>
    </w:p>
    <w:p w:rsidR="00200FDA" w:rsidRDefault="00F76C4C">
      <w:pPr>
        <w:ind w:left="140" w:hanging="1"/>
        <w:rPr>
          <w:sz w:val="18"/>
        </w:rPr>
      </w:pPr>
      <w:bookmarkStart w:id="393" w:name="_bookmark274"/>
      <w:bookmarkEnd w:id="393"/>
      <w:r>
        <w:rPr>
          <w:position w:val="5"/>
          <w:sz w:val="12"/>
        </w:rPr>
        <w:t>20</w:t>
      </w:r>
      <w:r>
        <w:rPr>
          <w:spacing w:val="10"/>
          <w:position w:val="5"/>
          <w:sz w:val="12"/>
        </w:rPr>
        <w:t xml:space="preserve"> </w:t>
      </w:r>
      <w:r>
        <w:rPr>
          <w:sz w:val="18"/>
        </w:rPr>
        <w:t>Fadus,</w:t>
      </w:r>
      <w:r>
        <w:rPr>
          <w:spacing w:val="-2"/>
          <w:sz w:val="18"/>
        </w:rPr>
        <w:t xml:space="preserve"> </w:t>
      </w:r>
      <w:r>
        <w:rPr>
          <w:sz w:val="18"/>
        </w:rPr>
        <w:t>Matthew</w:t>
      </w:r>
      <w:r>
        <w:rPr>
          <w:spacing w:val="-1"/>
          <w:sz w:val="18"/>
        </w:rPr>
        <w:t xml:space="preserve"> </w:t>
      </w:r>
      <w:r>
        <w:rPr>
          <w:sz w:val="18"/>
        </w:rPr>
        <w:t>C.,</w:t>
      </w:r>
      <w:r>
        <w:rPr>
          <w:spacing w:val="-2"/>
          <w:sz w:val="18"/>
        </w:rPr>
        <w:t xml:space="preserve"> </w:t>
      </w:r>
      <w:r>
        <w:rPr>
          <w:sz w:val="18"/>
        </w:rPr>
        <w:t>Kenneth</w:t>
      </w:r>
      <w:r>
        <w:rPr>
          <w:spacing w:val="-3"/>
          <w:sz w:val="18"/>
        </w:rPr>
        <w:t xml:space="preserve"> </w:t>
      </w:r>
      <w:r>
        <w:rPr>
          <w:sz w:val="18"/>
        </w:rPr>
        <w:t>R.</w:t>
      </w:r>
      <w:r>
        <w:rPr>
          <w:spacing w:val="-2"/>
          <w:sz w:val="18"/>
        </w:rPr>
        <w:t xml:space="preserve"> </w:t>
      </w:r>
      <w:r>
        <w:rPr>
          <w:sz w:val="18"/>
        </w:rPr>
        <w:t>Ginsburg</w:t>
      </w:r>
      <w:r>
        <w:rPr>
          <w:sz w:val="18"/>
        </w:rPr>
        <w:t>,</w:t>
      </w:r>
      <w:r>
        <w:rPr>
          <w:spacing w:val="-2"/>
          <w:sz w:val="18"/>
        </w:rPr>
        <w:t xml:space="preserve"> </w:t>
      </w:r>
      <w:r>
        <w:rPr>
          <w:sz w:val="18"/>
        </w:rPr>
        <w:t>Kunmi</w:t>
      </w:r>
      <w:r>
        <w:rPr>
          <w:spacing w:val="-3"/>
          <w:sz w:val="18"/>
        </w:rPr>
        <w:t xml:space="preserve"> </w:t>
      </w:r>
      <w:r>
        <w:rPr>
          <w:sz w:val="18"/>
        </w:rPr>
        <w:t>Sobowale,</w:t>
      </w:r>
      <w:r>
        <w:rPr>
          <w:spacing w:val="-2"/>
          <w:sz w:val="18"/>
        </w:rPr>
        <w:t xml:space="preserve"> </w:t>
      </w:r>
      <w:r>
        <w:rPr>
          <w:sz w:val="18"/>
        </w:rPr>
        <w:t>Colleen</w:t>
      </w:r>
      <w:r>
        <w:rPr>
          <w:spacing w:val="-3"/>
          <w:sz w:val="18"/>
        </w:rPr>
        <w:t xml:space="preserve"> </w:t>
      </w:r>
      <w:r>
        <w:rPr>
          <w:sz w:val="18"/>
        </w:rPr>
        <w:t>A.</w:t>
      </w:r>
      <w:r>
        <w:rPr>
          <w:spacing w:val="-2"/>
          <w:sz w:val="18"/>
        </w:rPr>
        <w:t xml:space="preserve"> </w:t>
      </w:r>
      <w:r>
        <w:rPr>
          <w:sz w:val="18"/>
        </w:rPr>
        <w:t>Halliday-Boykins,</w:t>
      </w:r>
      <w:r>
        <w:rPr>
          <w:spacing w:val="-2"/>
          <w:sz w:val="18"/>
        </w:rPr>
        <w:t xml:space="preserve"> </w:t>
      </w:r>
      <w:r>
        <w:rPr>
          <w:sz w:val="18"/>
        </w:rPr>
        <w:t>Brittany</w:t>
      </w:r>
      <w:r>
        <w:rPr>
          <w:spacing w:val="-2"/>
          <w:sz w:val="18"/>
        </w:rPr>
        <w:t xml:space="preserve"> </w:t>
      </w:r>
      <w:r>
        <w:rPr>
          <w:sz w:val="18"/>
        </w:rPr>
        <w:t>E.</w:t>
      </w:r>
      <w:r>
        <w:rPr>
          <w:spacing w:val="-2"/>
          <w:sz w:val="18"/>
        </w:rPr>
        <w:t xml:space="preserve"> </w:t>
      </w:r>
      <w:r>
        <w:rPr>
          <w:sz w:val="18"/>
        </w:rPr>
        <w:t>Bryant,</w:t>
      </w:r>
      <w:r>
        <w:rPr>
          <w:spacing w:val="-2"/>
          <w:sz w:val="18"/>
        </w:rPr>
        <w:t xml:space="preserve"> </w:t>
      </w:r>
      <w:r>
        <w:rPr>
          <w:sz w:val="18"/>
        </w:rPr>
        <w:t>Kevin</w:t>
      </w:r>
      <w:r>
        <w:rPr>
          <w:spacing w:val="-3"/>
          <w:sz w:val="18"/>
        </w:rPr>
        <w:t xml:space="preserve"> </w:t>
      </w:r>
      <w:r>
        <w:rPr>
          <w:sz w:val="18"/>
        </w:rPr>
        <w:t>M.</w:t>
      </w:r>
      <w:r>
        <w:rPr>
          <w:spacing w:val="-2"/>
          <w:sz w:val="18"/>
        </w:rPr>
        <w:t xml:space="preserve"> </w:t>
      </w:r>
      <w:r>
        <w:rPr>
          <w:sz w:val="18"/>
        </w:rPr>
        <w:t>Gray,</w:t>
      </w:r>
      <w:r>
        <w:rPr>
          <w:spacing w:val="-2"/>
          <w:sz w:val="18"/>
        </w:rPr>
        <w:t xml:space="preserve"> </w:t>
      </w:r>
      <w:r>
        <w:rPr>
          <w:sz w:val="18"/>
        </w:rPr>
        <w:t xml:space="preserve">and Lindsay M. Squeglia. “Unconscious Bias and the Diagnosis of Disruptive Behavior Disorders and ADHD in African American and Hispanic Youth.” </w:t>
      </w:r>
      <w:r>
        <w:rPr>
          <w:i/>
          <w:sz w:val="18"/>
        </w:rPr>
        <w:t xml:space="preserve">Academic Psychiatry </w:t>
      </w:r>
      <w:r>
        <w:rPr>
          <w:sz w:val="18"/>
        </w:rPr>
        <w:t xml:space="preserve">44, no. 1 (February 2020): 95–102. </w:t>
      </w:r>
      <w:hyperlink r:id="rId272">
        <w:r>
          <w:rPr>
            <w:color w:val="1154CC"/>
            <w:sz w:val="18"/>
            <w:u w:val="single" w:color="1154CC"/>
          </w:rPr>
          <w:t>https://doi.org/10.1007/s40596-019-01127-6</w:t>
        </w:r>
        <w:r>
          <w:rPr>
            <w:sz w:val="18"/>
          </w:rPr>
          <w:t>.</w:t>
        </w:r>
      </w:hyperlink>
    </w:p>
    <w:p w:rsidR="00200FDA" w:rsidRDefault="00F76C4C">
      <w:pPr>
        <w:ind w:left="140" w:right="690"/>
        <w:rPr>
          <w:sz w:val="18"/>
        </w:rPr>
      </w:pPr>
      <w:bookmarkStart w:id="394" w:name="_bookmark275"/>
      <w:bookmarkEnd w:id="394"/>
      <w:r>
        <w:rPr>
          <w:position w:val="5"/>
          <w:sz w:val="12"/>
        </w:rPr>
        <w:t>21</w:t>
      </w:r>
      <w:r>
        <w:rPr>
          <w:spacing w:val="10"/>
          <w:position w:val="5"/>
          <w:sz w:val="12"/>
        </w:rPr>
        <w:t xml:space="preserve"> </w:t>
      </w:r>
      <w:r>
        <w:rPr>
          <w:sz w:val="18"/>
        </w:rPr>
        <w:t>Pattisapu,</w:t>
      </w:r>
      <w:r>
        <w:rPr>
          <w:spacing w:val="-2"/>
          <w:sz w:val="18"/>
        </w:rPr>
        <w:t xml:space="preserve"> </w:t>
      </w:r>
      <w:r>
        <w:rPr>
          <w:sz w:val="18"/>
        </w:rPr>
        <w:t>Krishna. “The</w:t>
      </w:r>
      <w:r>
        <w:rPr>
          <w:spacing w:val="-3"/>
          <w:sz w:val="18"/>
        </w:rPr>
        <w:t xml:space="preserve"> </w:t>
      </w:r>
      <w:r>
        <w:rPr>
          <w:sz w:val="18"/>
        </w:rPr>
        <w:t>Necessity</w:t>
      </w:r>
      <w:r>
        <w:rPr>
          <w:spacing w:val="-2"/>
          <w:sz w:val="18"/>
        </w:rPr>
        <w:t xml:space="preserve"> </w:t>
      </w:r>
      <w:r>
        <w:rPr>
          <w:sz w:val="18"/>
        </w:rPr>
        <w:t>of</w:t>
      </w:r>
      <w:r>
        <w:rPr>
          <w:spacing w:val="-2"/>
          <w:sz w:val="18"/>
        </w:rPr>
        <w:t xml:space="preserve"> </w:t>
      </w:r>
      <w:r>
        <w:rPr>
          <w:sz w:val="18"/>
        </w:rPr>
        <w:t>Intentionally</w:t>
      </w:r>
      <w:r>
        <w:rPr>
          <w:spacing w:val="-2"/>
          <w:sz w:val="18"/>
        </w:rPr>
        <w:t xml:space="preserve"> </w:t>
      </w:r>
      <w:r>
        <w:rPr>
          <w:sz w:val="18"/>
        </w:rPr>
        <w:t>Closed</w:t>
      </w:r>
      <w:r>
        <w:rPr>
          <w:spacing w:val="-3"/>
          <w:sz w:val="18"/>
        </w:rPr>
        <w:t xml:space="preserve"> </w:t>
      </w:r>
      <w:r>
        <w:rPr>
          <w:sz w:val="18"/>
        </w:rPr>
        <w:t>Spaces</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Youth</w:t>
      </w:r>
      <w:r>
        <w:rPr>
          <w:spacing w:val="-3"/>
          <w:sz w:val="18"/>
        </w:rPr>
        <w:t xml:space="preserve"> </w:t>
      </w:r>
      <w:r>
        <w:rPr>
          <w:sz w:val="18"/>
        </w:rPr>
        <w:t>of</w:t>
      </w:r>
      <w:r>
        <w:rPr>
          <w:spacing w:val="-2"/>
          <w:sz w:val="18"/>
        </w:rPr>
        <w:t xml:space="preserve"> </w:t>
      </w:r>
      <w:r>
        <w:rPr>
          <w:sz w:val="18"/>
        </w:rPr>
        <w:t>Color.”</w:t>
      </w:r>
      <w:r>
        <w:rPr>
          <w:spacing w:val="-3"/>
          <w:sz w:val="18"/>
        </w:rPr>
        <w:t xml:space="preserve"> </w:t>
      </w:r>
      <w:r>
        <w:rPr>
          <w:i/>
          <w:sz w:val="18"/>
        </w:rPr>
        <w:t>The</w:t>
      </w:r>
      <w:r>
        <w:rPr>
          <w:i/>
          <w:spacing w:val="-2"/>
          <w:sz w:val="18"/>
        </w:rPr>
        <w:t xml:space="preserve"> </w:t>
      </w:r>
      <w:r>
        <w:rPr>
          <w:i/>
          <w:sz w:val="18"/>
        </w:rPr>
        <w:t>Assembly:</w:t>
      </w:r>
      <w:r>
        <w:rPr>
          <w:i/>
          <w:spacing w:val="-3"/>
          <w:sz w:val="18"/>
        </w:rPr>
        <w:t xml:space="preserve"> </w:t>
      </w:r>
      <w:r>
        <w:rPr>
          <w:i/>
          <w:sz w:val="18"/>
        </w:rPr>
        <w:t>A</w:t>
      </w:r>
      <w:r>
        <w:rPr>
          <w:i/>
          <w:spacing w:val="-3"/>
          <w:sz w:val="18"/>
        </w:rPr>
        <w:t xml:space="preserve"> </w:t>
      </w:r>
      <w:r>
        <w:rPr>
          <w:i/>
          <w:sz w:val="18"/>
        </w:rPr>
        <w:t>Jou</w:t>
      </w:r>
      <w:r>
        <w:rPr>
          <w:i/>
          <w:sz w:val="18"/>
        </w:rPr>
        <w:t>rnal</w:t>
      </w:r>
      <w:r>
        <w:rPr>
          <w:i/>
          <w:spacing w:val="-3"/>
          <w:sz w:val="18"/>
        </w:rPr>
        <w:t xml:space="preserve"> </w:t>
      </w:r>
      <w:r>
        <w:rPr>
          <w:i/>
          <w:sz w:val="18"/>
        </w:rPr>
        <w:t xml:space="preserve">for Public Scholarship on Education </w:t>
      </w:r>
      <w:r>
        <w:rPr>
          <w:sz w:val="18"/>
        </w:rPr>
        <w:t xml:space="preserve">2. June 30, 2019. </w:t>
      </w:r>
      <w:hyperlink r:id="rId273">
        <w:r>
          <w:rPr>
            <w:color w:val="1154CC"/>
            <w:sz w:val="18"/>
            <w:u w:val="single" w:color="1154CC"/>
          </w:rPr>
          <w:t>http://www.colorado.edu/journal/assembly/2019/06/30/necessity-</w:t>
        </w:r>
      </w:hyperlink>
      <w:r>
        <w:rPr>
          <w:color w:val="1154CC"/>
          <w:sz w:val="18"/>
        </w:rPr>
        <w:t xml:space="preserve"> </w:t>
      </w:r>
      <w:hyperlink r:id="rId274">
        <w:r>
          <w:rPr>
            <w:color w:val="1154CC"/>
            <w:spacing w:val="-2"/>
            <w:sz w:val="18"/>
            <w:u w:val="single" w:color="1154CC"/>
          </w:rPr>
          <w:t>intentionally-closed-spaces-lgbtq-youth-color</w:t>
        </w:r>
        <w:r>
          <w:rPr>
            <w:spacing w:val="-2"/>
            <w:sz w:val="18"/>
          </w:rPr>
          <w:t>.</w:t>
        </w:r>
      </w:hyperlink>
    </w:p>
    <w:p w:rsidR="00200FDA" w:rsidRDefault="00F76C4C">
      <w:pPr>
        <w:ind w:left="140" w:hanging="1"/>
        <w:rPr>
          <w:sz w:val="18"/>
        </w:rPr>
      </w:pPr>
      <w:bookmarkStart w:id="395" w:name="_bookmark276"/>
      <w:bookmarkEnd w:id="395"/>
      <w:r>
        <w:rPr>
          <w:position w:val="5"/>
          <w:sz w:val="12"/>
        </w:rPr>
        <w:t>22</w:t>
      </w:r>
      <w:r>
        <w:rPr>
          <w:spacing w:val="10"/>
          <w:position w:val="5"/>
          <w:sz w:val="12"/>
        </w:rPr>
        <w:t xml:space="preserve"> </w:t>
      </w:r>
      <w:r>
        <w:rPr>
          <w:sz w:val="18"/>
        </w:rPr>
        <w:t>Ching,</w:t>
      </w:r>
      <w:r>
        <w:rPr>
          <w:spacing w:val="-2"/>
          <w:sz w:val="18"/>
        </w:rPr>
        <w:t xml:space="preserve"> </w:t>
      </w:r>
      <w:r>
        <w:rPr>
          <w:sz w:val="18"/>
        </w:rPr>
        <w:t>Terence</w:t>
      </w:r>
      <w:r>
        <w:rPr>
          <w:spacing w:val="-3"/>
          <w:sz w:val="18"/>
        </w:rPr>
        <w:t xml:space="preserve"> </w:t>
      </w:r>
      <w:r>
        <w:rPr>
          <w:sz w:val="18"/>
        </w:rPr>
        <w:t>H.</w:t>
      </w:r>
      <w:r>
        <w:rPr>
          <w:spacing w:val="-2"/>
          <w:sz w:val="18"/>
        </w:rPr>
        <w:t xml:space="preserve"> </w:t>
      </w:r>
      <w:r>
        <w:rPr>
          <w:sz w:val="18"/>
        </w:rPr>
        <w:t>W.,</w:t>
      </w:r>
      <w:r>
        <w:rPr>
          <w:spacing w:val="-2"/>
          <w:sz w:val="18"/>
        </w:rPr>
        <w:t xml:space="preserve"> </w:t>
      </w:r>
      <w:r>
        <w:rPr>
          <w:sz w:val="18"/>
        </w:rPr>
        <w:t>Sharon</w:t>
      </w:r>
      <w:r>
        <w:rPr>
          <w:spacing w:val="-3"/>
          <w:sz w:val="18"/>
        </w:rPr>
        <w:t xml:space="preserve"> </w:t>
      </w:r>
      <w:r>
        <w:rPr>
          <w:sz w:val="18"/>
        </w:rPr>
        <w:t>Y.</w:t>
      </w:r>
      <w:r>
        <w:rPr>
          <w:spacing w:val="-2"/>
          <w:sz w:val="18"/>
        </w:rPr>
        <w:t xml:space="preserve"> </w:t>
      </w:r>
      <w:r>
        <w:rPr>
          <w:sz w:val="18"/>
        </w:rPr>
        <w:t>Lee,</w:t>
      </w:r>
      <w:r>
        <w:rPr>
          <w:spacing w:val="-2"/>
          <w:sz w:val="18"/>
        </w:rPr>
        <w:t xml:space="preserve"> </w:t>
      </w:r>
      <w:r>
        <w:rPr>
          <w:sz w:val="18"/>
        </w:rPr>
        <w:t>Julia</w:t>
      </w:r>
      <w:r>
        <w:rPr>
          <w:spacing w:val="-2"/>
          <w:sz w:val="18"/>
        </w:rPr>
        <w:t xml:space="preserve"> </w:t>
      </w:r>
      <w:r>
        <w:rPr>
          <w:sz w:val="18"/>
        </w:rPr>
        <w:t>Chen,</w:t>
      </w:r>
      <w:r>
        <w:rPr>
          <w:spacing w:val="-2"/>
          <w:sz w:val="18"/>
        </w:rPr>
        <w:t xml:space="preserve"> </w:t>
      </w:r>
      <w:r>
        <w:rPr>
          <w:sz w:val="18"/>
        </w:rPr>
        <w:t>Rachel</w:t>
      </w:r>
      <w:r>
        <w:rPr>
          <w:spacing w:val="-3"/>
          <w:sz w:val="18"/>
        </w:rPr>
        <w:t xml:space="preserve"> </w:t>
      </w:r>
      <w:r>
        <w:rPr>
          <w:sz w:val="18"/>
        </w:rPr>
        <w:t>P.</w:t>
      </w:r>
      <w:r>
        <w:rPr>
          <w:spacing w:val="-2"/>
          <w:sz w:val="18"/>
        </w:rPr>
        <w:t xml:space="preserve"> </w:t>
      </w:r>
      <w:r>
        <w:rPr>
          <w:sz w:val="18"/>
        </w:rPr>
        <w:t>So,</w:t>
      </w:r>
      <w:r>
        <w:rPr>
          <w:spacing w:val="-2"/>
          <w:sz w:val="18"/>
        </w:rPr>
        <w:t xml:space="preserve"> </w:t>
      </w:r>
      <w:r>
        <w:rPr>
          <w:sz w:val="18"/>
        </w:rPr>
        <w:t>and</w:t>
      </w:r>
      <w:r>
        <w:rPr>
          <w:spacing w:val="-1"/>
          <w:sz w:val="18"/>
        </w:rPr>
        <w:t xml:space="preserve"> </w:t>
      </w:r>
      <w:r>
        <w:rPr>
          <w:sz w:val="18"/>
        </w:rPr>
        <w:t>Monnica</w:t>
      </w:r>
      <w:r>
        <w:rPr>
          <w:spacing w:val="-2"/>
          <w:sz w:val="18"/>
        </w:rPr>
        <w:t xml:space="preserve"> </w:t>
      </w:r>
      <w:r>
        <w:rPr>
          <w:sz w:val="18"/>
        </w:rPr>
        <w:t>T.</w:t>
      </w:r>
      <w:r>
        <w:rPr>
          <w:spacing w:val="-2"/>
          <w:sz w:val="18"/>
        </w:rPr>
        <w:t xml:space="preserve"> </w:t>
      </w:r>
      <w:r>
        <w:rPr>
          <w:sz w:val="18"/>
        </w:rPr>
        <w:t>Williams.</w:t>
      </w:r>
      <w:r>
        <w:rPr>
          <w:spacing w:val="-2"/>
          <w:sz w:val="18"/>
        </w:rPr>
        <w:t xml:space="preserve"> </w:t>
      </w:r>
      <w:r>
        <w:rPr>
          <w:sz w:val="18"/>
        </w:rPr>
        <w:t>“A</w:t>
      </w:r>
      <w:r>
        <w:rPr>
          <w:spacing w:val="-3"/>
          <w:sz w:val="18"/>
        </w:rPr>
        <w:t xml:space="preserve"> </w:t>
      </w:r>
      <w:r>
        <w:rPr>
          <w:sz w:val="18"/>
        </w:rPr>
        <w:t>Model</w:t>
      </w:r>
      <w:r>
        <w:rPr>
          <w:spacing w:val="-3"/>
          <w:sz w:val="18"/>
        </w:rPr>
        <w:t xml:space="preserve"> </w:t>
      </w:r>
      <w:r>
        <w:rPr>
          <w:sz w:val="18"/>
        </w:rPr>
        <w:t>of</w:t>
      </w:r>
      <w:r>
        <w:rPr>
          <w:spacing w:val="-2"/>
          <w:sz w:val="18"/>
        </w:rPr>
        <w:t xml:space="preserve"> </w:t>
      </w:r>
      <w:r>
        <w:rPr>
          <w:sz w:val="18"/>
        </w:rPr>
        <w:t>Intersectional</w:t>
      </w:r>
      <w:r>
        <w:rPr>
          <w:spacing w:val="-3"/>
          <w:sz w:val="18"/>
        </w:rPr>
        <w:t xml:space="preserve"> </w:t>
      </w:r>
      <w:r>
        <w:rPr>
          <w:sz w:val="18"/>
        </w:rPr>
        <w:t>Stress</w:t>
      </w:r>
      <w:r>
        <w:rPr>
          <w:spacing w:val="-3"/>
          <w:sz w:val="18"/>
        </w:rPr>
        <w:t xml:space="preserve"> </w:t>
      </w:r>
      <w:r>
        <w:rPr>
          <w:sz w:val="18"/>
        </w:rPr>
        <w:t xml:space="preserve">and Trauma in Asian American Sexual and Gender Minorities.” </w:t>
      </w:r>
      <w:r>
        <w:rPr>
          <w:i/>
          <w:sz w:val="18"/>
        </w:rPr>
        <w:t xml:space="preserve">Psychology of Violence </w:t>
      </w:r>
      <w:r>
        <w:rPr>
          <w:sz w:val="18"/>
        </w:rPr>
        <w:t xml:space="preserve">8, no. 6 (November 2018): 657–68. </w:t>
      </w:r>
      <w:hyperlink r:id="rId275">
        <w:r>
          <w:rPr>
            <w:color w:val="1154CC"/>
            <w:spacing w:val="-2"/>
            <w:sz w:val="18"/>
            <w:u w:val="single" w:color="1154CC"/>
          </w:rPr>
          <w:t>https://doi.org/10.1037/vio0000204</w:t>
        </w:r>
        <w:r>
          <w:rPr>
            <w:spacing w:val="-2"/>
            <w:sz w:val="18"/>
          </w:rPr>
          <w:t>.</w:t>
        </w:r>
      </w:hyperlink>
    </w:p>
    <w:p w:rsidR="00200FDA" w:rsidRDefault="00F76C4C">
      <w:pPr>
        <w:ind w:left="140" w:right="305" w:hanging="1"/>
        <w:rPr>
          <w:sz w:val="18"/>
        </w:rPr>
      </w:pPr>
      <w:bookmarkStart w:id="396" w:name="_bookmark277"/>
      <w:bookmarkEnd w:id="396"/>
      <w:r>
        <w:rPr>
          <w:position w:val="5"/>
          <w:sz w:val="12"/>
        </w:rPr>
        <w:t>23</w:t>
      </w:r>
      <w:r>
        <w:rPr>
          <w:spacing w:val="19"/>
          <w:position w:val="5"/>
          <w:sz w:val="12"/>
        </w:rPr>
        <w:t xml:space="preserve"> </w:t>
      </w:r>
      <w:r>
        <w:rPr>
          <w:sz w:val="18"/>
        </w:rPr>
        <w:t>Ha</w:t>
      </w:r>
      <w:r>
        <w:rPr>
          <w:sz w:val="18"/>
        </w:rPr>
        <w:t>iley, Jamal, Whitney Burton, and Joyell Arscott. “We Are Family: Chosen and Created Families as a Protective Factor Against</w:t>
      </w:r>
      <w:r>
        <w:rPr>
          <w:spacing w:val="-3"/>
          <w:sz w:val="18"/>
        </w:rPr>
        <w:t xml:space="preserve"> </w:t>
      </w:r>
      <w:r>
        <w:rPr>
          <w:sz w:val="18"/>
        </w:rPr>
        <w:t>Racialized</w:t>
      </w:r>
      <w:r>
        <w:rPr>
          <w:spacing w:val="-3"/>
          <w:sz w:val="18"/>
        </w:rPr>
        <w:t xml:space="preserve"> </w:t>
      </w:r>
      <w:r>
        <w:rPr>
          <w:sz w:val="18"/>
        </w:rPr>
        <w:t>Trauma</w:t>
      </w:r>
      <w:r>
        <w:rPr>
          <w:spacing w:val="-2"/>
          <w:sz w:val="18"/>
        </w:rPr>
        <w:t xml:space="preserve"> </w:t>
      </w:r>
      <w:r>
        <w:rPr>
          <w:sz w:val="18"/>
        </w:rPr>
        <w:t>and</w:t>
      </w:r>
      <w:r>
        <w:rPr>
          <w:spacing w:val="-3"/>
          <w:sz w:val="18"/>
        </w:rPr>
        <w:t xml:space="preserve"> </w:t>
      </w:r>
      <w:r>
        <w:rPr>
          <w:sz w:val="18"/>
        </w:rPr>
        <w:t>Anti-LGBTQ</w:t>
      </w:r>
      <w:r>
        <w:rPr>
          <w:spacing w:val="-3"/>
          <w:sz w:val="18"/>
        </w:rPr>
        <w:t xml:space="preserve"> </w:t>
      </w:r>
      <w:r>
        <w:rPr>
          <w:sz w:val="18"/>
        </w:rPr>
        <w:t>Oppression</w:t>
      </w:r>
      <w:r>
        <w:rPr>
          <w:spacing w:val="-3"/>
          <w:sz w:val="18"/>
        </w:rPr>
        <w:t xml:space="preserve"> </w:t>
      </w:r>
      <w:r>
        <w:rPr>
          <w:sz w:val="18"/>
        </w:rPr>
        <w:t>Among</w:t>
      </w:r>
      <w:r>
        <w:rPr>
          <w:spacing w:val="-3"/>
          <w:sz w:val="18"/>
        </w:rPr>
        <w:t xml:space="preserve"> </w:t>
      </w:r>
      <w:r>
        <w:rPr>
          <w:sz w:val="18"/>
        </w:rPr>
        <w:t>African</w:t>
      </w:r>
      <w:r>
        <w:rPr>
          <w:spacing w:val="-3"/>
          <w:sz w:val="18"/>
        </w:rPr>
        <w:t xml:space="preserve"> </w:t>
      </w:r>
      <w:r>
        <w:rPr>
          <w:sz w:val="18"/>
        </w:rPr>
        <w:t>American</w:t>
      </w:r>
      <w:r>
        <w:rPr>
          <w:spacing w:val="-1"/>
          <w:sz w:val="18"/>
        </w:rPr>
        <w:t xml:space="preserve"> </w:t>
      </w:r>
      <w:r>
        <w:rPr>
          <w:sz w:val="18"/>
        </w:rPr>
        <w:t>Sexual</w:t>
      </w:r>
      <w:r>
        <w:rPr>
          <w:spacing w:val="-3"/>
          <w:sz w:val="18"/>
        </w:rPr>
        <w:t xml:space="preserve"> </w:t>
      </w:r>
      <w:r>
        <w:rPr>
          <w:sz w:val="18"/>
        </w:rPr>
        <w:t>and</w:t>
      </w:r>
      <w:r>
        <w:rPr>
          <w:spacing w:val="-3"/>
          <w:sz w:val="18"/>
        </w:rPr>
        <w:t xml:space="preserve"> </w:t>
      </w:r>
      <w:r>
        <w:rPr>
          <w:sz w:val="18"/>
        </w:rPr>
        <w:t>Gender</w:t>
      </w:r>
      <w:r>
        <w:rPr>
          <w:spacing w:val="-1"/>
          <w:sz w:val="18"/>
        </w:rPr>
        <w:t xml:space="preserve"> </w:t>
      </w:r>
      <w:r>
        <w:rPr>
          <w:sz w:val="18"/>
        </w:rPr>
        <w:t>Minority</w:t>
      </w:r>
      <w:r>
        <w:rPr>
          <w:spacing w:val="-2"/>
          <w:sz w:val="18"/>
        </w:rPr>
        <w:t xml:space="preserve"> </w:t>
      </w:r>
      <w:r>
        <w:rPr>
          <w:sz w:val="18"/>
        </w:rPr>
        <w:t>Youth.”</w:t>
      </w:r>
      <w:r>
        <w:rPr>
          <w:spacing w:val="-3"/>
          <w:sz w:val="18"/>
        </w:rPr>
        <w:t xml:space="preserve"> </w:t>
      </w:r>
      <w:r>
        <w:rPr>
          <w:i/>
          <w:sz w:val="18"/>
        </w:rPr>
        <w:t>Journal</w:t>
      </w:r>
      <w:r>
        <w:rPr>
          <w:i/>
          <w:spacing w:val="-3"/>
          <w:sz w:val="18"/>
        </w:rPr>
        <w:t xml:space="preserve"> </w:t>
      </w:r>
      <w:r>
        <w:rPr>
          <w:i/>
          <w:sz w:val="18"/>
        </w:rPr>
        <w:t>of</w:t>
      </w:r>
      <w:r>
        <w:rPr>
          <w:i/>
          <w:sz w:val="18"/>
        </w:rPr>
        <w:t xml:space="preserve"> GLBT Family Studies </w:t>
      </w:r>
      <w:r>
        <w:rPr>
          <w:sz w:val="18"/>
        </w:rPr>
        <w:t xml:space="preserve">16, no. 2 (March 2, 2020): 176–91. </w:t>
      </w:r>
      <w:hyperlink r:id="rId276">
        <w:r>
          <w:rPr>
            <w:color w:val="1154CC"/>
            <w:sz w:val="18"/>
            <w:u w:val="single" w:color="1154CC"/>
          </w:rPr>
          <w:t>https://doi.org/10.1080/1550428X.2020.1724133</w:t>
        </w:r>
        <w:r>
          <w:rPr>
            <w:sz w:val="18"/>
          </w:rPr>
          <w:t>.</w:t>
        </w:r>
      </w:hyperlink>
    </w:p>
    <w:p w:rsidR="00200FDA" w:rsidRDefault="00F76C4C">
      <w:pPr>
        <w:ind w:left="140" w:right="592" w:hanging="1"/>
        <w:jc w:val="both"/>
        <w:rPr>
          <w:sz w:val="18"/>
        </w:rPr>
      </w:pPr>
      <w:bookmarkStart w:id="397" w:name="_bookmark278"/>
      <w:bookmarkEnd w:id="397"/>
      <w:r>
        <w:rPr>
          <w:position w:val="5"/>
          <w:sz w:val="12"/>
        </w:rPr>
        <w:t>24</w:t>
      </w:r>
      <w:r>
        <w:rPr>
          <w:spacing w:val="11"/>
          <w:position w:val="5"/>
          <w:sz w:val="12"/>
        </w:rPr>
        <w:t xml:space="preserve"> </w:t>
      </w:r>
      <w:r>
        <w:rPr>
          <w:sz w:val="18"/>
        </w:rPr>
        <w:t>Toomey,</w:t>
      </w:r>
      <w:r>
        <w:rPr>
          <w:spacing w:val="-3"/>
          <w:sz w:val="18"/>
        </w:rPr>
        <w:t xml:space="preserve"> </w:t>
      </w:r>
      <w:r>
        <w:rPr>
          <w:sz w:val="18"/>
        </w:rPr>
        <w:t>Russell</w:t>
      </w:r>
      <w:r>
        <w:rPr>
          <w:spacing w:val="-2"/>
          <w:sz w:val="18"/>
        </w:rPr>
        <w:t xml:space="preserve"> </w:t>
      </w:r>
      <w:r>
        <w:rPr>
          <w:sz w:val="18"/>
        </w:rPr>
        <w:t>B.,</w:t>
      </w:r>
      <w:r>
        <w:rPr>
          <w:spacing w:val="-1"/>
          <w:sz w:val="18"/>
        </w:rPr>
        <w:t xml:space="preserve"> </w:t>
      </w:r>
      <w:r>
        <w:rPr>
          <w:sz w:val="18"/>
        </w:rPr>
        <w:t>Maura</w:t>
      </w:r>
      <w:r>
        <w:rPr>
          <w:spacing w:val="-1"/>
          <w:sz w:val="18"/>
        </w:rPr>
        <w:t xml:space="preserve"> </w:t>
      </w:r>
      <w:r>
        <w:rPr>
          <w:sz w:val="18"/>
        </w:rPr>
        <w:t>Shramko,</w:t>
      </w:r>
      <w:r>
        <w:rPr>
          <w:spacing w:val="-1"/>
          <w:sz w:val="18"/>
        </w:rPr>
        <w:t xml:space="preserve"> </w:t>
      </w:r>
      <w:r>
        <w:rPr>
          <w:sz w:val="18"/>
        </w:rPr>
        <w:t>Melissa</w:t>
      </w:r>
      <w:r>
        <w:rPr>
          <w:spacing w:val="-1"/>
          <w:sz w:val="18"/>
        </w:rPr>
        <w:t xml:space="preserve"> </w:t>
      </w:r>
      <w:r>
        <w:rPr>
          <w:sz w:val="18"/>
        </w:rPr>
        <w:t>Flores,</w:t>
      </w:r>
      <w:r>
        <w:rPr>
          <w:spacing w:val="-1"/>
          <w:sz w:val="18"/>
        </w:rPr>
        <w:t xml:space="preserve"> </w:t>
      </w:r>
      <w:r>
        <w:rPr>
          <w:sz w:val="18"/>
        </w:rPr>
        <w:t>and</w:t>
      </w:r>
      <w:r>
        <w:rPr>
          <w:spacing w:val="-2"/>
          <w:sz w:val="18"/>
        </w:rPr>
        <w:t xml:space="preserve"> </w:t>
      </w:r>
      <w:r>
        <w:rPr>
          <w:sz w:val="18"/>
        </w:rPr>
        <w:t>Karla Anhalt.</w:t>
      </w:r>
      <w:r>
        <w:rPr>
          <w:spacing w:val="-1"/>
          <w:sz w:val="18"/>
        </w:rPr>
        <w:t xml:space="preserve"> </w:t>
      </w:r>
      <w:r>
        <w:rPr>
          <w:sz w:val="18"/>
        </w:rPr>
        <w:t>“Family</w:t>
      </w:r>
      <w:r>
        <w:rPr>
          <w:spacing w:val="-1"/>
          <w:sz w:val="18"/>
        </w:rPr>
        <w:t xml:space="preserve"> </w:t>
      </w:r>
      <w:r>
        <w:rPr>
          <w:sz w:val="18"/>
        </w:rPr>
        <w:t>Socializ</w:t>
      </w:r>
      <w:r>
        <w:rPr>
          <w:sz w:val="18"/>
        </w:rPr>
        <w:t>ation</w:t>
      </w:r>
      <w:r>
        <w:rPr>
          <w:spacing w:val="-2"/>
          <w:sz w:val="18"/>
        </w:rPr>
        <w:t xml:space="preserve"> </w:t>
      </w:r>
      <w:r>
        <w:rPr>
          <w:sz w:val="18"/>
        </w:rPr>
        <w:t>for</w:t>
      </w:r>
      <w:r>
        <w:rPr>
          <w:spacing w:val="-2"/>
          <w:sz w:val="18"/>
        </w:rPr>
        <w:t xml:space="preserve"> </w:t>
      </w:r>
      <w:r>
        <w:rPr>
          <w:sz w:val="18"/>
        </w:rPr>
        <w:t>Racism</w:t>
      </w:r>
      <w:r>
        <w:rPr>
          <w:spacing w:val="-1"/>
          <w:sz w:val="18"/>
        </w:rPr>
        <w:t xml:space="preserve"> </w:t>
      </w:r>
      <w:r>
        <w:rPr>
          <w:sz w:val="18"/>
        </w:rPr>
        <w:t>and</w:t>
      </w:r>
      <w:r>
        <w:rPr>
          <w:spacing w:val="-2"/>
          <w:sz w:val="18"/>
        </w:rPr>
        <w:t xml:space="preserve"> </w:t>
      </w:r>
      <w:r>
        <w:rPr>
          <w:sz w:val="18"/>
        </w:rPr>
        <w:t>Heterosexism: Experiences</w:t>
      </w:r>
      <w:r>
        <w:rPr>
          <w:spacing w:val="-3"/>
          <w:sz w:val="18"/>
        </w:rPr>
        <w:t xml:space="preserve"> </w:t>
      </w:r>
      <w:r>
        <w:rPr>
          <w:sz w:val="18"/>
        </w:rPr>
        <w:t>of</w:t>
      </w:r>
      <w:r>
        <w:rPr>
          <w:spacing w:val="-2"/>
          <w:sz w:val="18"/>
        </w:rPr>
        <w:t xml:space="preserve"> </w:t>
      </w:r>
      <w:r>
        <w:rPr>
          <w:sz w:val="18"/>
        </w:rPr>
        <w:t>Latinx</w:t>
      </w:r>
      <w:r>
        <w:rPr>
          <w:spacing w:val="-1"/>
          <w:sz w:val="18"/>
        </w:rPr>
        <w:t xml:space="preserve"> </w:t>
      </w:r>
      <w:r>
        <w:rPr>
          <w:sz w:val="18"/>
        </w:rPr>
        <w:t>Sexual</w:t>
      </w:r>
      <w:r>
        <w:rPr>
          <w:spacing w:val="-3"/>
          <w:sz w:val="18"/>
        </w:rPr>
        <w:t xml:space="preserve"> </w:t>
      </w:r>
      <w:r>
        <w:rPr>
          <w:sz w:val="18"/>
        </w:rPr>
        <w:t>Minority</w:t>
      </w:r>
      <w:r>
        <w:rPr>
          <w:spacing w:val="-2"/>
          <w:sz w:val="18"/>
        </w:rPr>
        <w:t xml:space="preserve"> </w:t>
      </w:r>
      <w:r>
        <w:rPr>
          <w:sz w:val="18"/>
        </w:rPr>
        <w:t>Adolescents</w:t>
      </w:r>
      <w:r>
        <w:rPr>
          <w:spacing w:val="-3"/>
          <w:sz w:val="18"/>
        </w:rPr>
        <w:t xml:space="preserve"> </w:t>
      </w:r>
      <w:r>
        <w:rPr>
          <w:sz w:val="18"/>
        </w:rPr>
        <w:t>and</w:t>
      </w:r>
      <w:r>
        <w:rPr>
          <w:spacing w:val="-3"/>
          <w:sz w:val="18"/>
        </w:rPr>
        <w:t xml:space="preserve"> </w:t>
      </w:r>
      <w:r>
        <w:rPr>
          <w:sz w:val="18"/>
        </w:rPr>
        <w:t>Young</w:t>
      </w:r>
      <w:r>
        <w:rPr>
          <w:spacing w:val="-3"/>
          <w:sz w:val="18"/>
        </w:rPr>
        <w:t xml:space="preserve"> </w:t>
      </w:r>
      <w:r>
        <w:rPr>
          <w:sz w:val="18"/>
        </w:rPr>
        <w:t>Adults.”</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Family</w:t>
      </w:r>
      <w:r>
        <w:rPr>
          <w:i/>
          <w:spacing w:val="-1"/>
          <w:sz w:val="18"/>
        </w:rPr>
        <w:t xml:space="preserve"> </w:t>
      </w:r>
      <w:r>
        <w:rPr>
          <w:i/>
          <w:sz w:val="18"/>
        </w:rPr>
        <w:t>Issues</w:t>
      </w:r>
      <w:r>
        <w:rPr>
          <w:i/>
          <w:spacing w:val="-2"/>
          <w:sz w:val="18"/>
        </w:rPr>
        <w:t xml:space="preserve"> </w:t>
      </w:r>
      <w:r>
        <w:rPr>
          <w:sz w:val="18"/>
        </w:rPr>
        <w:t>39,</w:t>
      </w:r>
      <w:r>
        <w:rPr>
          <w:spacing w:val="-2"/>
          <w:sz w:val="18"/>
        </w:rPr>
        <w:t xml:space="preserve"> </w:t>
      </w:r>
      <w:r>
        <w:rPr>
          <w:sz w:val="18"/>
        </w:rPr>
        <w:t>no.</w:t>
      </w:r>
      <w:r>
        <w:rPr>
          <w:spacing w:val="-2"/>
          <w:sz w:val="18"/>
        </w:rPr>
        <w:t xml:space="preserve"> </w:t>
      </w:r>
      <w:r>
        <w:rPr>
          <w:sz w:val="18"/>
        </w:rPr>
        <w:t>13</w:t>
      </w:r>
      <w:r>
        <w:rPr>
          <w:spacing w:val="-2"/>
          <w:sz w:val="18"/>
        </w:rPr>
        <w:t xml:space="preserve"> </w:t>
      </w:r>
      <w:r>
        <w:rPr>
          <w:sz w:val="18"/>
        </w:rPr>
        <w:t>(September</w:t>
      </w:r>
      <w:r>
        <w:rPr>
          <w:spacing w:val="-3"/>
          <w:sz w:val="18"/>
        </w:rPr>
        <w:t xml:space="preserve"> </w:t>
      </w:r>
      <w:r>
        <w:rPr>
          <w:sz w:val="18"/>
        </w:rPr>
        <w:t xml:space="preserve">2018): 3586–3611. </w:t>
      </w:r>
      <w:hyperlink r:id="rId277">
        <w:r>
          <w:rPr>
            <w:color w:val="1154CC"/>
            <w:sz w:val="18"/>
            <w:u w:val="single" w:color="1154CC"/>
          </w:rPr>
          <w:t>https://doi.org/10.1177/0192513X18783807</w:t>
        </w:r>
        <w:r>
          <w:rPr>
            <w:sz w:val="18"/>
          </w:rPr>
          <w:t>.</w:t>
        </w:r>
      </w:hyperlink>
    </w:p>
    <w:p w:rsidR="00200FDA" w:rsidRDefault="00F76C4C">
      <w:pPr>
        <w:ind w:left="140" w:right="715" w:hanging="1"/>
        <w:rPr>
          <w:sz w:val="18"/>
        </w:rPr>
      </w:pPr>
      <w:bookmarkStart w:id="398" w:name="_bookmark279"/>
      <w:bookmarkEnd w:id="398"/>
      <w:r>
        <w:rPr>
          <w:position w:val="5"/>
          <w:sz w:val="12"/>
        </w:rPr>
        <w:t>25</w:t>
      </w:r>
      <w:r>
        <w:rPr>
          <w:spacing w:val="10"/>
          <w:position w:val="5"/>
          <w:sz w:val="12"/>
        </w:rPr>
        <w:t xml:space="preserve"> </w:t>
      </w:r>
      <w:r>
        <w:rPr>
          <w:sz w:val="18"/>
        </w:rPr>
        <w:t>Kosciw,</w:t>
      </w:r>
      <w:r>
        <w:rPr>
          <w:spacing w:val="-2"/>
          <w:sz w:val="18"/>
        </w:rPr>
        <w:t xml:space="preserve"> </w:t>
      </w:r>
      <w:r>
        <w:rPr>
          <w:sz w:val="18"/>
        </w:rPr>
        <w:t>Joseph,</w:t>
      </w:r>
      <w:r>
        <w:rPr>
          <w:spacing w:val="-2"/>
          <w:sz w:val="18"/>
        </w:rPr>
        <w:t xml:space="preserve"> </w:t>
      </w:r>
      <w:r>
        <w:rPr>
          <w:sz w:val="18"/>
        </w:rPr>
        <w:t>Caitlin</w:t>
      </w:r>
      <w:r>
        <w:rPr>
          <w:spacing w:val="-3"/>
          <w:sz w:val="18"/>
        </w:rPr>
        <w:t xml:space="preserve"> </w:t>
      </w:r>
      <w:r>
        <w:rPr>
          <w:sz w:val="18"/>
        </w:rPr>
        <w:t>Clark,</w:t>
      </w:r>
      <w:r>
        <w:rPr>
          <w:spacing w:val="-2"/>
          <w:sz w:val="18"/>
        </w:rPr>
        <w:t xml:space="preserve"> </w:t>
      </w:r>
      <w:r>
        <w:rPr>
          <w:sz w:val="18"/>
        </w:rPr>
        <w:t>and</w:t>
      </w:r>
      <w:r>
        <w:rPr>
          <w:spacing w:val="-1"/>
          <w:sz w:val="18"/>
        </w:rPr>
        <w:t xml:space="preserve"> </w:t>
      </w:r>
      <w:r>
        <w:rPr>
          <w:sz w:val="18"/>
        </w:rPr>
        <w:t>Leesh</w:t>
      </w:r>
      <w:r>
        <w:rPr>
          <w:spacing w:val="-3"/>
          <w:sz w:val="18"/>
        </w:rPr>
        <w:t xml:space="preserve"> </w:t>
      </w:r>
      <w:r>
        <w:rPr>
          <w:sz w:val="18"/>
        </w:rPr>
        <w:t>Menard,</w:t>
      </w:r>
      <w:r>
        <w:rPr>
          <w:spacing w:val="-2"/>
          <w:sz w:val="18"/>
        </w:rPr>
        <w:t xml:space="preserve"> </w:t>
      </w:r>
      <w:r>
        <w:rPr>
          <w:sz w:val="18"/>
        </w:rPr>
        <w:t>“The</w:t>
      </w:r>
      <w:r>
        <w:rPr>
          <w:spacing w:val="-3"/>
          <w:sz w:val="18"/>
        </w:rPr>
        <w:t xml:space="preserve"> </w:t>
      </w:r>
      <w:r>
        <w:rPr>
          <w:sz w:val="18"/>
        </w:rPr>
        <w:t>2021</w:t>
      </w:r>
      <w:r>
        <w:rPr>
          <w:spacing w:val="-2"/>
          <w:sz w:val="18"/>
        </w:rPr>
        <w:t xml:space="preserve"> </w:t>
      </w:r>
      <w:r>
        <w:rPr>
          <w:sz w:val="18"/>
        </w:rPr>
        <w:t>National</w:t>
      </w:r>
      <w:r>
        <w:rPr>
          <w:spacing w:val="-3"/>
          <w:sz w:val="18"/>
        </w:rPr>
        <w:t xml:space="preserve"> </w:t>
      </w:r>
      <w:r>
        <w:rPr>
          <w:sz w:val="18"/>
        </w:rPr>
        <w:t>School</w:t>
      </w:r>
      <w:r>
        <w:rPr>
          <w:spacing w:val="-3"/>
          <w:sz w:val="18"/>
        </w:rPr>
        <w:t xml:space="preserve"> </w:t>
      </w:r>
      <w:r>
        <w:rPr>
          <w:sz w:val="18"/>
        </w:rPr>
        <w:t>Climate</w:t>
      </w:r>
      <w:r>
        <w:rPr>
          <w:spacing w:val="-3"/>
          <w:sz w:val="18"/>
        </w:rPr>
        <w:t xml:space="preserve"> </w:t>
      </w:r>
      <w:r>
        <w:rPr>
          <w:sz w:val="18"/>
        </w:rPr>
        <w:t>Survey:</w:t>
      </w:r>
      <w:r>
        <w:rPr>
          <w:spacing w:val="-2"/>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 xml:space="preserve">LGBTQ+ Youth in Our Nation’s Schools” (New York: Gay, Lesbian and Straight Education Network, 2022), </w:t>
      </w:r>
      <w:hyperlink r:id="rId278">
        <w:r>
          <w:rPr>
            <w:color w:val="1154CC"/>
            <w:spacing w:val="-2"/>
            <w:sz w:val="18"/>
            <w:u w:val="single" w:color="1154CC"/>
          </w:rPr>
          <w:t>https://www.glsen.org/sites/default/files/2022-10/NSCS-2021-Full-Report.pdf</w:t>
        </w:r>
        <w:r>
          <w:rPr>
            <w:spacing w:val="-2"/>
            <w:sz w:val="18"/>
          </w:rPr>
          <w:t>.</w:t>
        </w:r>
      </w:hyperlink>
    </w:p>
    <w:p w:rsidR="00200FDA" w:rsidRDefault="00F76C4C">
      <w:pPr>
        <w:ind w:left="139" w:right="714"/>
        <w:rPr>
          <w:sz w:val="18"/>
        </w:rPr>
      </w:pPr>
      <w:bookmarkStart w:id="399" w:name="_bookmark280"/>
      <w:bookmarkEnd w:id="399"/>
      <w:r>
        <w:rPr>
          <w:position w:val="5"/>
          <w:sz w:val="12"/>
        </w:rPr>
        <w:t>26</w:t>
      </w:r>
      <w:r>
        <w:rPr>
          <w:spacing w:val="10"/>
          <w:position w:val="5"/>
          <w:sz w:val="12"/>
        </w:rPr>
        <w:t xml:space="preserve"> </w:t>
      </w:r>
      <w:r>
        <w:rPr>
          <w:sz w:val="18"/>
        </w:rPr>
        <w:t>Prescott,</w:t>
      </w:r>
      <w:r>
        <w:rPr>
          <w:spacing w:val="-2"/>
          <w:sz w:val="18"/>
        </w:rPr>
        <w:t xml:space="preserve"> </w:t>
      </w:r>
      <w:r>
        <w:rPr>
          <w:sz w:val="18"/>
        </w:rPr>
        <w:t>Amy,</w:t>
      </w:r>
      <w:r>
        <w:rPr>
          <w:spacing w:val="-2"/>
          <w:sz w:val="18"/>
        </w:rPr>
        <w:t xml:space="preserve"> </w:t>
      </w:r>
      <w:r>
        <w:rPr>
          <w:sz w:val="18"/>
        </w:rPr>
        <w:t>Matthew</w:t>
      </w:r>
      <w:r>
        <w:rPr>
          <w:spacing w:val="-1"/>
          <w:sz w:val="18"/>
        </w:rPr>
        <w:t xml:space="preserve"> </w:t>
      </w:r>
      <w:r>
        <w:rPr>
          <w:sz w:val="18"/>
        </w:rPr>
        <w:t>Alcala,</w:t>
      </w:r>
      <w:r>
        <w:rPr>
          <w:spacing w:val="-2"/>
          <w:sz w:val="18"/>
        </w:rPr>
        <w:t xml:space="preserve"> </w:t>
      </w:r>
      <w:r>
        <w:rPr>
          <w:sz w:val="18"/>
        </w:rPr>
        <w:t>and</w:t>
      </w:r>
      <w:r>
        <w:rPr>
          <w:spacing w:val="-3"/>
          <w:sz w:val="18"/>
        </w:rPr>
        <w:t xml:space="preserve"> </w:t>
      </w:r>
      <w:r>
        <w:rPr>
          <w:sz w:val="18"/>
        </w:rPr>
        <w:t>Nadine</w:t>
      </w:r>
      <w:r>
        <w:rPr>
          <w:spacing w:val="-1"/>
          <w:sz w:val="18"/>
        </w:rPr>
        <w:t xml:space="preserve"> </w:t>
      </w:r>
      <w:r>
        <w:rPr>
          <w:sz w:val="18"/>
        </w:rPr>
        <w:t>Nakamura.</w:t>
      </w:r>
      <w:r>
        <w:rPr>
          <w:spacing w:val="-2"/>
          <w:sz w:val="18"/>
        </w:rPr>
        <w:t xml:space="preserve"> </w:t>
      </w:r>
      <w:r>
        <w:rPr>
          <w:sz w:val="18"/>
        </w:rPr>
        <w:t>“Structural</w:t>
      </w:r>
      <w:r>
        <w:rPr>
          <w:spacing w:val="-3"/>
          <w:sz w:val="18"/>
        </w:rPr>
        <w:t xml:space="preserve"> </w:t>
      </w:r>
      <w:r>
        <w:rPr>
          <w:sz w:val="18"/>
        </w:rPr>
        <w:t>Stigma</w:t>
      </w:r>
      <w:r>
        <w:rPr>
          <w:spacing w:val="-2"/>
          <w:sz w:val="18"/>
        </w:rPr>
        <w:t xml:space="preserve"> </w:t>
      </w:r>
      <w:r>
        <w:rPr>
          <w:sz w:val="18"/>
        </w:rPr>
        <w:t>and</w:t>
      </w:r>
      <w:r>
        <w:rPr>
          <w:spacing w:val="-3"/>
          <w:sz w:val="18"/>
        </w:rPr>
        <w:t xml:space="preserve"> </w:t>
      </w:r>
      <w:r>
        <w:rPr>
          <w:sz w:val="18"/>
        </w:rPr>
        <w:t>LGBTQ</w:t>
      </w:r>
      <w:r>
        <w:rPr>
          <w:spacing w:val="-3"/>
          <w:sz w:val="18"/>
        </w:rPr>
        <w:t xml:space="preserve"> </w:t>
      </w:r>
      <w:r>
        <w:rPr>
          <w:sz w:val="18"/>
        </w:rPr>
        <w:t>PoC</w:t>
      </w:r>
      <w:r>
        <w:rPr>
          <w:spacing w:val="-2"/>
          <w:sz w:val="18"/>
        </w:rPr>
        <w:t xml:space="preserve"> </w:t>
      </w:r>
      <w:r>
        <w:rPr>
          <w:sz w:val="18"/>
        </w:rPr>
        <w:t>Health.”</w:t>
      </w:r>
      <w:r>
        <w:rPr>
          <w:spacing w:val="-3"/>
          <w:sz w:val="18"/>
        </w:rPr>
        <w:t xml:space="preserve"> </w:t>
      </w:r>
      <w:r>
        <w:rPr>
          <w:sz w:val="18"/>
        </w:rPr>
        <w:t>In</w:t>
      </w:r>
      <w:r>
        <w:rPr>
          <w:spacing w:val="-3"/>
          <w:sz w:val="18"/>
        </w:rPr>
        <w:t xml:space="preserve"> </w:t>
      </w:r>
      <w:r>
        <w:rPr>
          <w:i/>
          <w:sz w:val="18"/>
        </w:rPr>
        <w:t>Heart,</w:t>
      </w:r>
      <w:r>
        <w:rPr>
          <w:i/>
          <w:spacing w:val="-2"/>
          <w:sz w:val="18"/>
        </w:rPr>
        <w:t xml:space="preserve"> </w:t>
      </w:r>
      <w:r>
        <w:rPr>
          <w:i/>
          <w:sz w:val="18"/>
        </w:rPr>
        <w:t>Brain</w:t>
      </w:r>
      <w:r>
        <w:rPr>
          <w:i/>
          <w:spacing w:val="-1"/>
          <w:sz w:val="18"/>
        </w:rPr>
        <w:t xml:space="preserve"> </w:t>
      </w:r>
      <w:r>
        <w:rPr>
          <w:i/>
          <w:sz w:val="18"/>
        </w:rPr>
        <w:t xml:space="preserve">and Mental Health Disparities for LGBTQ People of Color, </w:t>
      </w:r>
      <w:r>
        <w:rPr>
          <w:sz w:val="18"/>
        </w:rPr>
        <w:t xml:space="preserve">edited by James J. García, 149–60. Cham: Springer International Publishing, 2021. </w:t>
      </w:r>
      <w:hyperlink r:id="rId279">
        <w:r>
          <w:rPr>
            <w:color w:val="1154CC"/>
            <w:sz w:val="18"/>
            <w:u w:val="single" w:color="1154CC"/>
          </w:rPr>
          <w:t>https://doi.org/10.1007/</w:t>
        </w:r>
        <w:r>
          <w:rPr>
            <w:color w:val="1154CC"/>
            <w:sz w:val="18"/>
            <w:u w:val="single" w:color="1154CC"/>
          </w:rPr>
          <w:t>978-3-030-70060-7_12</w:t>
        </w:r>
        <w:r>
          <w:rPr>
            <w:sz w:val="18"/>
          </w:rPr>
          <w:t>.</w:t>
        </w:r>
      </w:hyperlink>
    </w:p>
    <w:p w:rsidR="00200FDA" w:rsidRDefault="00F76C4C">
      <w:pPr>
        <w:ind w:left="140" w:right="305" w:hanging="1"/>
        <w:rPr>
          <w:sz w:val="18"/>
        </w:rPr>
      </w:pPr>
      <w:bookmarkStart w:id="400" w:name="_bookmark281"/>
      <w:bookmarkEnd w:id="400"/>
      <w:r>
        <w:rPr>
          <w:position w:val="5"/>
          <w:sz w:val="12"/>
        </w:rPr>
        <w:t>27</w:t>
      </w:r>
      <w:r>
        <w:rPr>
          <w:spacing w:val="12"/>
          <w:position w:val="5"/>
          <w:sz w:val="12"/>
        </w:rPr>
        <w:t xml:space="preserve"> </w:t>
      </w:r>
      <w:r>
        <w:rPr>
          <w:sz w:val="18"/>
        </w:rPr>
        <w:t>Bacong, Adrian</w:t>
      </w:r>
      <w:r>
        <w:rPr>
          <w:spacing w:val="-1"/>
          <w:sz w:val="18"/>
        </w:rPr>
        <w:t xml:space="preserve"> </w:t>
      </w:r>
      <w:r>
        <w:rPr>
          <w:sz w:val="18"/>
        </w:rPr>
        <w:t>Matias, and</w:t>
      </w:r>
      <w:r>
        <w:rPr>
          <w:spacing w:val="-1"/>
          <w:sz w:val="18"/>
        </w:rPr>
        <w:t xml:space="preserve"> </w:t>
      </w:r>
      <w:r>
        <w:rPr>
          <w:sz w:val="18"/>
        </w:rPr>
        <w:t>Cecilia Menjívar. “Recasting the</w:t>
      </w:r>
      <w:r>
        <w:rPr>
          <w:spacing w:val="-1"/>
          <w:sz w:val="18"/>
        </w:rPr>
        <w:t xml:space="preserve"> </w:t>
      </w:r>
      <w:r>
        <w:rPr>
          <w:sz w:val="18"/>
        </w:rPr>
        <w:t>Immigrant</w:t>
      </w:r>
      <w:r>
        <w:rPr>
          <w:spacing w:val="-1"/>
          <w:sz w:val="18"/>
        </w:rPr>
        <w:t xml:space="preserve"> </w:t>
      </w:r>
      <w:r>
        <w:rPr>
          <w:sz w:val="18"/>
        </w:rPr>
        <w:t>Health</w:t>
      </w:r>
      <w:r>
        <w:rPr>
          <w:spacing w:val="-1"/>
          <w:sz w:val="18"/>
        </w:rPr>
        <w:t xml:space="preserve"> </w:t>
      </w:r>
      <w:r>
        <w:rPr>
          <w:sz w:val="18"/>
        </w:rPr>
        <w:t>Paradox</w:t>
      </w:r>
      <w:r>
        <w:rPr>
          <w:spacing w:val="-1"/>
          <w:sz w:val="18"/>
        </w:rPr>
        <w:t xml:space="preserve"> </w:t>
      </w:r>
      <w:r>
        <w:rPr>
          <w:sz w:val="18"/>
        </w:rPr>
        <w:t>Through</w:t>
      </w:r>
      <w:r>
        <w:rPr>
          <w:spacing w:val="-1"/>
          <w:sz w:val="18"/>
        </w:rPr>
        <w:t xml:space="preserve"> </w:t>
      </w:r>
      <w:r>
        <w:rPr>
          <w:sz w:val="18"/>
        </w:rPr>
        <w:t>Intersections</w:t>
      </w:r>
      <w:r>
        <w:rPr>
          <w:spacing w:val="-1"/>
          <w:sz w:val="18"/>
        </w:rPr>
        <w:t xml:space="preserve"> </w:t>
      </w:r>
      <w:r>
        <w:rPr>
          <w:sz w:val="18"/>
        </w:rPr>
        <w:t>of Legal Status and</w:t>
      </w:r>
      <w:r>
        <w:rPr>
          <w:spacing w:val="-4"/>
          <w:sz w:val="18"/>
        </w:rPr>
        <w:t xml:space="preserve"> </w:t>
      </w:r>
      <w:r>
        <w:rPr>
          <w:sz w:val="18"/>
        </w:rPr>
        <w:t>Race.”</w:t>
      </w:r>
      <w:r>
        <w:rPr>
          <w:spacing w:val="-4"/>
          <w:sz w:val="18"/>
        </w:rPr>
        <w:t xml:space="preserve"> </w:t>
      </w:r>
      <w:r>
        <w:rPr>
          <w:i/>
          <w:sz w:val="18"/>
        </w:rPr>
        <w:t>Journal</w:t>
      </w:r>
      <w:r>
        <w:rPr>
          <w:i/>
          <w:spacing w:val="-4"/>
          <w:sz w:val="18"/>
        </w:rPr>
        <w:t xml:space="preserve"> </w:t>
      </w:r>
      <w:r>
        <w:rPr>
          <w:i/>
          <w:sz w:val="18"/>
        </w:rPr>
        <w:t>of</w:t>
      </w:r>
      <w:r>
        <w:rPr>
          <w:i/>
          <w:spacing w:val="-3"/>
          <w:sz w:val="18"/>
        </w:rPr>
        <w:t xml:space="preserve"> </w:t>
      </w:r>
      <w:r>
        <w:rPr>
          <w:i/>
          <w:sz w:val="18"/>
        </w:rPr>
        <w:t>Immigrant</w:t>
      </w:r>
      <w:r>
        <w:rPr>
          <w:i/>
          <w:spacing w:val="-5"/>
          <w:sz w:val="18"/>
        </w:rPr>
        <w:t xml:space="preserve"> </w:t>
      </w:r>
      <w:r>
        <w:rPr>
          <w:i/>
          <w:sz w:val="18"/>
        </w:rPr>
        <w:t>and</w:t>
      </w:r>
      <w:r>
        <w:rPr>
          <w:i/>
          <w:spacing w:val="-2"/>
          <w:sz w:val="18"/>
        </w:rPr>
        <w:t xml:space="preserve"> </w:t>
      </w:r>
      <w:r>
        <w:rPr>
          <w:i/>
          <w:sz w:val="18"/>
        </w:rPr>
        <w:t>Minority</w:t>
      </w:r>
      <w:r>
        <w:rPr>
          <w:i/>
          <w:spacing w:val="-4"/>
          <w:sz w:val="18"/>
        </w:rPr>
        <w:t xml:space="preserve"> </w:t>
      </w:r>
      <w:r>
        <w:rPr>
          <w:i/>
          <w:sz w:val="18"/>
        </w:rPr>
        <w:t>Health</w:t>
      </w:r>
      <w:r>
        <w:rPr>
          <w:i/>
          <w:spacing w:val="-2"/>
          <w:sz w:val="18"/>
        </w:rPr>
        <w:t xml:space="preserve"> </w:t>
      </w:r>
      <w:r>
        <w:rPr>
          <w:sz w:val="18"/>
        </w:rPr>
        <w:t>23,</w:t>
      </w:r>
      <w:r>
        <w:rPr>
          <w:spacing w:val="-3"/>
          <w:sz w:val="18"/>
        </w:rPr>
        <w:t xml:space="preserve"> </w:t>
      </w:r>
      <w:r>
        <w:rPr>
          <w:sz w:val="18"/>
        </w:rPr>
        <w:t>no.</w:t>
      </w:r>
      <w:r>
        <w:rPr>
          <w:spacing w:val="-3"/>
          <w:sz w:val="18"/>
        </w:rPr>
        <w:t xml:space="preserve"> </w:t>
      </w:r>
      <w:r>
        <w:rPr>
          <w:sz w:val="18"/>
        </w:rPr>
        <w:t>5</w:t>
      </w:r>
      <w:r>
        <w:rPr>
          <w:spacing w:val="-3"/>
          <w:sz w:val="18"/>
        </w:rPr>
        <w:t xml:space="preserve"> </w:t>
      </w:r>
      <w:r>
        <w:rPr>
          <w:sz w:val="18"/>
        </w:rPr>
        <w:t>(October</w:t>
      </w:r>
      <w:r>
        <w:rPr>
          <w:spacing w:val="-4"/>
          <w:sz w:val="18"/>
        </w:rPr>
        <w:t xml:space="preserve"> </w:t>
      </w:r>
      <w:r>
        <w:rPr>
          <w:sz w:val="18"/>
        </w:rPr>
        <w:t>1,</w:t>
      </w:r>
      <w:r>
        <w:rPr>
          <w:spacing w:val="-3"/>
          <w:sz w:val="18"/>
        </w:rPr>
        <w:t xml:space="preserve"> </w:t>
      </w:r>
      <w:r>
        <w:rPr>
          <w:sz w:val="18"/>
        </w:rPr>
        <w:t>2021):</w:t>
      </w:r>
      <w:r>
        <w:rPr>
          <w:spacing w:val="-3"/>
          <w:sz w:val="18"/>
        </w:rPr>
        <w:t xml:space="preserve"> </w:t>
      </w:r>
      <w:r>
        <w:rPr>
          <w:sz w:val="18"/>
        </w:rPr>
        <w:t>1092–1104.</w:t>
      </w:r>
      <w:r>
        <w:rPr>
          <w:spacing w:val="-3"/>
          <w:sz w:val="18"/>
        </w:rPr>
        <w:t xml:space="preserve"> </w:t>
      </w:r>
      <w:hyperlink r:id="rId280">
        <w:r>
          <w:rPr>
            <w:color w:val="1154CC"/>
            <w:sz w:val="18"/>
            <w:u w:val="single" w:color="1154CC"/>
          </w:rPr>
          <w:t>https://doi.org/10.1007/s10903-</w:t>
        </w:r>
      </w:hyperlink>
    </w:p>
    <w:p w:rsidR="00200FDA" w:rsidRDefault="00F76C4C">
      <w:pPr>
        <w:spacing w:line="219" w:lineRule="exact"/>
        <w:ind w:left="140"/>
        <w:rPr>
          <w:sz w:val="18"/>
        </w:rPr>
      </w:pPr>
      <w:hyperlink r:id="rId281">
        <w:r>
          <w:rPr>
            <w:color w:val="1154CC"/>
            <w:spacing w:val="-2"/>
            <w:sz w:val="18"/>
            <w:u w:val="single" w:color="1154CC"/>
          </w:rPr>
          <w:t>021-01162-</w:t>
        </w:r>
        <w:r>
          <w:rPr>
            <w:color w:val="1154CC"/>
            <w:spacing w:val="-5"/>
            <w:sz w:val="18"/>
            <w:u w:val="single" w:color="1154CC"/>
          </w:rPr>
          <w:t>2</w:t>
        </w:r>
        <w:r>
          <w:rPr>
            <w:spacing w:val="-5"/>
            <w:sz w:val="18"/>
          </w:rPr>
          <w:t>.</w:t>
        </w:r>
      </w:hyperlink>
    </w:p>
    <w:p w:rsidR="00200FDA" w:rsidRDefault="00200FDA">
      <w:pPr>
        <w:spacing w:line="219" w:lineRule="exact"/>
        <w:rPr>
          <w:sz w:val="18"/>
        </w:rPr>
        <w:sectPr w:rsidR="00200FDA">
          <w:pgSz w:w="12240" w:h="15840"/>
          <w:pgMar w:top="1360" w:right="1180" w:bottom="1480" w:left="1300" w:header="761" w:footer="1208" w:gutter="0"/>
          <w:cols w:space="720"/>
        </w:sectPr>
      </w:pPr>
    </w:p>
    <w:p w:rsidR="00200FDA" w:rsidRDefault="00200FDA">
      <w:pPr>
        <w:pStyle w:val="BodyText"/>
        <w:spacing w:before="10"/>
        <w:rPr>
          <w:sz w:val="19"/>
        </w:rPr>
      </w:pPr>
    </w:p>
    <w:p w:rsidR="00200FDA" w:rsidRDefault="00F76C4C">
      <w:pPr>
        <w:spacing w:before="69"/>
        <w:ind w:left="140" w:right="1594" w:hanging="1"/>
        <w:rPr>
          <w:sz w:val="18"/>
        </w:rPr>
      </w:pPr>
      <w:bookmarkStart w:id="401" w:name="_bookmark282"/>
      <w:bookmarkEnd w:id="401"/>
      <w:r>
        <w:rPr>
          <w:position w:val="5"/>
          <w:sz w:val="12"/>
        </w:rPr>
        <w:t>28</w:t>
      </w:r>
      <w:r>
        <w:rPr>
          <w:spacing w:val="13"/>
          <w:position w:val="5"/>
          <w:sz w:val="12"/>
        </w:rPr>
        <w:t xml:space="preserve"> </w:t>
      </w:r>
      <w:r>
        <w:rPr>
          <w:sz w:val="18"/>
        </w:rPr>
        <w:t>The Trevor Project. “The Trevor</w:t>
      </w:r>
      <w:r>
        <w:rPr>
          <w:spacing w:val="-2"/>
          <w:sz w:val="18"/>
        </w:rPr>
        <w:t xml:space="preserve"> </w:t>
      </w:r>
      <w:r>
        <w:rPr>
          <w:sz w:val="18"/>
        </w:rPr>
        <w:t xml:space="preserve">Project Research Brief: LGBTQ Youth from Immigrant Families,” April 2021. </w:t>
      </w:r>
      <w:hyperlink r:id="rId282">
        <w:r>
          <w:rPr>
            <w:color w:val="1154CC"/>
            <w:spacing w:val="-2"/>
            <w:sz w:val="18"/>
            <w:u w:val="single" w:color="1154CC"/>
          </w:rPr>
          <w:t>www.thetrevorproject.org/wp-content/uploads/2021/07/</w:t>
        </w:r>
        <w:r>
          <w:rPr>
            <w:color w:val="1154CC"/>
            <w:spacing w:val="-2"/>
            <w:sz w:val="18"/>
            <w:u w:val="single" w:color="1154CC"/>
          </w:rPr>
          <w:t>Trevor-Project-First-Generation-Research-Brief.pdf</w:t>
        </w:r>
        <w:r>
          <w:rPr>
            <w:spacing w:val="-2"/>
            <w:sz w:val="18"/>
          </w:rPr>
          <w:t>.</w:t>
        </w:r>
      </w:hyperlink>
    </w:p>
    <w:p w:rsidR="00200FDA" w:rsidRDefault="00F76C4C">
      <w:pPr>
        <w:ind w:left="140" w:right="259" w:hanging="1"/>
        <w:rPr>
          <w:sz w:val="18"/>
        </w:rPr>
      </w:pPr>
      <w:bookmarkStart w:id="402" w:name="_bookmark283"/>
      <w:bookmarkEnd w:id="402"/>
      <w:r>
        <w:rPr>
          <w:position w:val="5"/>
          <w:sz w:val="12"/>
        </w:rPr>
        <w:t>29</w:t>
      </w:r>
      <w:r>
        <w:rPr>
          <w:spacing w:val="10"/>
          <w:position w:val="5"/>
          <w:sz w:val="12"/>
        </w:rPr>
        <w:t xml:space="preserve"> </w:t>
      </w:r>
      <w:r>
        <w:rPr>
          <w:sz w:val="18"/>
        </w:rPr>
        <w:t>Munro,</w:t>
      </w:r>
      <w:r>
        <w:rPr>
          <w:spacing w:val="-2"/>
          <w:sz w:val="18"/>
        </w:rPr>
        <w:t xml:space="preserve"> </w:t>
      </w:r>
      <w:r>
        <w:rPr>
          <w:sz w:val="18"/>
        </w:rPr>
        <w:t>Lauren,</w:t>
      </w:r>
      <w:r>
        <w:rPr>
          <w:spacing w:val="-2"/>
          <w:sz w:val="18"/>
        </w:rPr>
        <w:t xml:space="preserve"> </w:t>
      </w:r>
      <w:r>
        <w:rPr>
          <w:sz w:val="18"/>
        </w:rPr>
        <w:t>Robb</w:t>
      </w:r>
      <w:r>
        <w:rPr>
          <w:spacing w:val="-3"/>
          <w:sz w:val="18"/>
        </w:rPr>
        <w:t xml:space="preserve"> </w:t>
      </w:r>
      <w:r>
        <w:rPr>
          <w:sz w:val="18"/>
        </w:rPr>
        <w:t>Travers,</w:t>
      </w:r>
      <w:r>
        <w:rPr>
          <w:spacing w:val="-2"/>
          <w:sz w:val="18"/>
        </w:rPr>
        <w:t xml:space="preserve"> </w:t>
      </w:r>
      <w:r>
        <w:rPr>
          <w:sz w:val="18"/>
        </w:rPr>
        <w:t>Alex</w:t>
      </w:r>
      <w:r>
        <w:rPr>
          <w:spacing w:val="-3"/>
          <w:sz w:val="18"/>
        </w:rPr>
        <w:t xml:space="preserve"> </w:t>
      </w:r>
      <w:r>
        <w:rPr>
          <w:sz w:val="18"/>
        </w:rPr>
        <w:t>St.</w:t>
      </w:r>
      <w:r>
        <w:rPr>
          <w:spacing w:val="-2"/>
          <w:sz w:val="18"/>
        </w:rPr>
        <w:t xml:space="preserve"> </w:t>
      </w:r>
      <w:r>
        <w:rPr>
          <w:sz w:val="18"/>
        </w:rPr>
        <w:t>John,</w:t>
      </w:r>
      <w:r>
        <w:rPr>
          <w:spacing w:val="-2"/>
          <w:sz w:val="18"/>
        </w:rPr>
        <w:t xml:space="preserve"> </w:t>
      </w:r>
      <w:r>
        <w:rPr>
          <w:sz w:val="18"/>
        </w:rPr>
        <w:t>Kate</w:t>
      </w:r>
      <w:r>
        <w:rPr>
          <w:spacing w:val="-3"/>
          <w:sz w:val="18"/>
        </w:rPr>
        <w:t xml:space="preserve"> </w:t>
      </w:r>
      <w:r>
        <w:rPr>
          <w:sz w:val="18"/>
        </w:rPr>
        <w:t>Klein,</w:t>
      </w:r>
      <w:r>
        <w:rPr>
          <w:spacing w:val="-2"/>
          <w:sz w:val="18"/>
        </w:rPr>
        <w:t xml:space="preserve"> </w:t>
      </w:r>
      <w:r>
        <w:rPr>
          <w:sz w:val="18"/>
        </w:rPr>
        <w:t>Heather</w:t>
      </w:r>
      <w:r>
        <w:rPr>
          <w:spacing w:val="-3"/>
          <w:sz w:val="18"/>
        </w:rPr>
        <w:t xml:space="preserve"> </w:t>
      </w:r>
      <w:r>
        <w:rPr>
          <w:sz w:val="18"/>
        </w:rPr>
        <w:t>Hunter,</w:t>
      </w:r>
      <w:r>
        <w:rPr>
          <w:spacing w:val="-2"/>
          <w:sz w:val="18"/>
        </w:rPr>
        <w:t xml:space="preserve"> </w:t>
      </w:r>
      <w:r>
        <w:rPr>
          <w:sz w:val="18"/>
        </w:rPr>
        <w:t>David</w:t>
      </w:r>
      <w:r>
        <w:rPr>
          <w:spacing w:val="-3"/>
          <w:sz w:val="18"/>
        </w:rPr>
        <w:t xml:space="preserve"> </w:t>
      </w:r>
      <w:r>
        <w:rPr>
          <w:sz w:val="18"/>
        </w:rPr>
        <w:t>Brennan,</w:t>
      </w:r>
      <w:r>
        <w:rPr>
          <w:spacing w:val="-2"/>
          <w:sz w:val="18"/>
        </w:rPr>
        <w:t xml:space="preserve"> </w:t>
      </w:r>
      <w:r>
        <w:rPr>
          <w:sz w:val="18"/>
        </w:rPr>
        <w:t>and</w:t>
      </w:r>
      <w:r>
        <w:rPr>
          <w:spacing w:val="-3"/>
          <w:sz w:val="18"/>
        </w:rPr>
        <w:t xml:space="preserve"> </w:t>
      </w:r>
      <w:r>
        <w:rPr>
          <w:sz w:val="18"/>
        </w:rPr>
        <w:t>Chavisa</w:t>
      </w:r>
      <w:r>
        <w:rPr>
          <w:spacing w:val="-2"/>
          <w:sz w:val="18"/>
        </w:rPr>
        <w:t xml:space="preserve"> </w:t>
      </w:r>
      <w:r>
        <w:rPr>
          <w:sz w:val="18"/>
        </w:rPr>
        <w:t>Brett.</w:t>
      </w:r>
      <w:r>
        <w:rPr>
          <w:spacing w:val="-2"/>
          <w:sz w:val="18"/>
        </w:rPr>
        <w:t xml:space="preserve"> </w:t>
      </w:r>
      <w:r>
        <w:rPr>
          <w:sz w:val="18"/>
        </w:rPr>
        <w:t>“A</w:t>
      </w:r>
      <w:r>
        <w:rPr>
          <w:spacing w:val="-3"/>
          <w:sz w:val="18"/>
        </w:rPr>
        <w:t xml:space="preserve"> </w:t>
      </w:r>
      <w:r>
        <w:rPr>
          <w:sz w:val="18"/>
        </w:rPr>
        <w:t>Bed</w:t>
      </w:r>
      <w:r>
        <w:rPr>
          <w:spacing w:val="-3"/>
          <w:sz w:val="18"/>
        </w:rPr>
        <w:t xml:space="preserve"> </w:t>
      </w:r>
      <w:r>
        <w:rPr>
          <w:sz w:val="18"/>
        </w:rPr>
        <w:t>of</w:t>
      </w:r>
      <w:r>
        <w:rPr>
          <w:spacing w:val="-2"/>
          <w:sz w:val="18"/>
        </w:rPr>
        <w:t xml:space="preserve"> </w:t>
      </w:r>
      <w:r>
        <w:rPr>
          <w:sz w:val="18"/>
        </w:rPr>
        <w:t xml:space="preserve">Roses?: Exploring the Experiences of LGBT Newcomer Youth Who Migrate to Toronto.” Edited by Dr Carol Mutch And Dr Jay Marlowe. </w:t>
      </w:r>
      <w:r>
        <w:rPr>
          <w:i/>
          <w:sz w:val="18"/>
        </w:rPr>
        <w:t xml:space="preserve">Ethnicity and Inequalities in Health and Social Care </w:t>
      </w:r>
      <w:r>
        <w:rPr>
          <w:sz w:val="18"/>
        </w:rPr>
        <w:t xml:space="preserve">6, no. 4 (November 29, 2013): 137–50. </w:t>
      </w:r>
      <w:hyperlink r:id="rId283">
        <w:r>
          <w:rPr>
            <w:color w:val="1154CC"/>
            <w:sz w:val="18"/>
            <w:u w:val="single" w:color="1154CC"/>
          </w:rPr>
          <w:t>https://doi.org/10.1108/EIHSC-09-</w:t>
        </w:r>
      </w:hyperlink>
    </w:p>
    <w:bookmarkStart w:id="403" w:name="_bookmark284"/>
    <w:bookmarkEnd w:id="403"/>
    <w:p w:rsidR="00200FDA" w:rsidRDefault="00F76C4C">
      <w:pPr>
        <w:spacing w:line="219" w:lineRule="exact"/>
        <w:ind w:left="140"/>
        <w:rPr>
          <w:sz w:val="18"/>
        </w:rPr>
      </w:pPr>
      <w:r>
        <w:fldChar w:fldCharType="begin"/>
      </w:r>
      <w:r>
        <w:instrText xml:space="preserve"> HYPERLINK "https://doi.org/10.1108/EIHSC-09-2013-0018" \h </w:instrText>
      </w:r>
      <w:r>
        <w:fldChar w:fldCharType="separate"/>
      </w:r>
      <w:r>
        <w:rPr>
          <w:color w:val="1154CC"/>
          <w:spacing w:val="-2"/>
          <w:sz w:val="18"/>
          <w:u w:val="single" w:color="1154CC"/>
        </w:rPr>
        <w:t>2013-0018</w:t>
      </w:r>
      <w:r>
        <w:rPr>
          <w:spacing w:val="-2"/>
          <w:sz w:val="18"/>
        </w:rPr>
        <w:t>.</w:t>
      </w:r>
      <w:r>
        <w:rPr>
          <w:spacing w:val="-2"/>
          <w:sz w:val="18"/>
        </w:rPr>
        <w:fldChar w:fldCharType="end"/>
      </w:r>
    </w:p>
    <w:p w:rsidR="00200FDA" w:rsidRDefault="00F76C4C">
      <w:pPr>
        <w:ind w:left="140" w:right="432" w:hanging="1"/>
        <w:rPr>
          <w:sz w:val="18"/>
        </w:rPr>
      </w:pPr>
      <w:r>
        <w:rPr>
          <w:position w:val="5"/>
          <w:sz w:val="12"/>
        </w:rPr>
        <w:t>30</w:t>
      </w:r>
      <w:r>
        <w:rPr>
          <w:spacing w:val="9"/>
          <w:position w:val="5"/>
          <w:sz w:val="12"/>
        </w:rPr>
        <w:t xml:space="preserve"> </w:t>
      </w:r>
      <w:r>
        <w:rPr>
          <w:sz w:val="18"/>
        </w:rPr>
        <w:t>McMillan,</w:t>
      </w:r>
      <w:r>
        <w:rPr>
          <w:spacing w:val="-3"/>
          <w:sz w:val="18"/>
        </w:rPr>
        <w:t xml:space="preserve"> </w:t>
      </w:r>
      <w:r>
        <w:rPr>
          <w:sz w:val="18"/>
        </w:rPr>
        <w:t>Cassie.</w:t>
      </w:r>
      <w:r>
        <w:rPr>
          <w:spacing w:val="-3"/>
          <w:sz w:val="18"/>
        </w:rPr>
        <w:t xml:space="preserve"> </w:t>
      </w:r>
      <w:r>
        <w:rPr>
          <w:sz w:val="18"/>
        </w:rPr>
        <w:t>“Tied</w:t>
      </w:r>
      <w:r>
        <w:rPr>
          <w:spacing w:val="-4"/>
          <w:sz w:val="18"/>
        </w:rPr>
        <w:t xml:space="preserve"> </w:t>
      </w:r>
      <w:r>
        <w:rPr>
          <w:sz w:val="18"/>
        </w:rPr>
        <w:t>Together:</w:t>
      </w:r>
      <w:r>
        <w:rPr>
          <w:spacing w:val="-3"/>
          <w:sz w:val="18"/>
        </w:rPr>
        <w:t xml:space="preserve"> </w:t>
      </w:r>
      <w:r>
        <w:rPr>
          <w:sz w:val="18"/>
        </w:rPr>
        <w:t>Adolescent</w:t>
      </w:r>
      <w:r>
        <w:rPr>
          <w:spacing w:val="-4"/>
          <w:sz w:val="18"/>
        </w:rPr>
        <w:t xml:space="preserve"> </w:t>
      </w:r>
      <w:r>
        <w:rPr>
          <w:sz w:val="18"/>
        </w:rPr>
        <w:t>Friendship</w:t>
      </w:r>
      <w:r>
        <w:rPr>
          <w:spacing w:val="-4"/>
          <w:sz w:val="18"/>
        </w:rPr>
        <w:t xml:space="preserve"> </w:t>
      </w:r>
      <w:r>
        <w:rPr>
          <w:sz w:val="18"/>
        </w:rPr>
        <w:t>Networks,</w:t>
      </w:r>
      <w:r>
        <w:rPr>
          <w:spacing w:val="-3"/>
          <w:sz w:val="18"/>
        </w:rPr>
        <w:t xml:space="preserve"> </w:t>
      </w:r>
      <w:r>
        <w:rPr>
          <w:sz w:val="18"/>
        </w:rPr>
        <w:t>Immigrant</w:t>
      </w:r>
      <w:r>
        <w:rPr>
          <w:spacing w:val="-4"/>
          <w:sz w:val="18"/>
        </w:rPr>
        <w:t xml:space="preserve"> </w:t>
      </w:r>
      <w:r>
        <w:rPr>
          <w:sz w:val="18"/>
        </w:rPr>
        <w:t>Status,</w:t>
      </w:r>
      <w:r>
        <w:rPr>
          <w:spacing w:val="-3"/>
          <w:sz w:val="18"/>
        </w:rPr>
        <w:t xml:space="preserve"> </w:t>
      </w:r>
      <w:r>
        <w:rPr>
          <w:sz w:val="18"/>
        </w:rPr>
        <w:t>and</w:t>
      </w:r>
      <w:r>
        <w:rPr>
          <w:spacing w:val="-4"/>
          <w:sz w:val="18"/>
        </w:rPr>
        <w:t xml:space="preserve"> </w:t>
      </w:r>
      <w:r>
        <w:rPr>
          <w:sz w:val="18"/>
        </w:rPr>
        <w:t>Health</w:t>
      </w:r>
      <w:r>
        <w:rPr>
          <w:spacing w:val="-2"/>
          <w:sz w:val="18"/>
        </w:rPr>
        <w:t xml:space="preserve"> </w:t>
      </w:r>
      <w:r>
        <w:rPr>
          <w:sz w:val="18"/>
        </w:rPr>
        <w:t>Outcomes.”</w:t>
      </w:r>
      <w:r>
        <w:rPr>
          <w:spacing w:val="-4"/>
          <w:sz w:val="18"/>
        </w:rPr>
        <w:t xml:space="preserve"> </w:t>
      </w:r>
      <w:r>
        <w:rPr>
          <w:sz w:val="18"/>
        </w:rPr>
        <w:t xml:space="preserve">Demography </w:t>
      </w:r>
      <w:bookmarkStart w:id="404" w:name="_bookmark285"/>
      <w:bookmarkEnd w:id="404"/>
      <w:r>
        <w:rPr>
          <w:sz w:val="18"/>
        </w:rPr>
        <w:t>56, n</w:t>
      </w:r>
      <w:r>
        <w:rPr>
          <w:sz w:val="18"/>
        </w:rPr>
        <w:t xml:space="preserve">o. 3 (June 1, 2019): 1075–1103. </w:t>
      </w:r>
      <w:hyperlink r:id="rId284">
        <w:r>
          <w:rPr>
            <w:color w:val="1154CC"/>
            <w:sz w:val="18"/>
            <w:u w:val="single" w:color="1154CC"/>
          </w:rPr>
          <w:t>https://doi.org/10.1007/s13524-019-00770-w</w:t>
        </w:r>
        <w:r>
          <w:rPr>
            <w:sz w:val="18"/>
          </w:rPr>
          <w:t>.</w:t>
        </w:r>
      </w:hyperlink>
    </w:p>
    <w:p w:rsidR="00200FDA" w:rsidRDefault="00F76C4C">
      <w:pPr>
        <w:spacing w:before="2"/>
        <w:ind w:left="140" w:right="259"/>
        <w:rPr>
          <w:sz w:val="18"/>
        </w:rPr>
      </w:pPr>
      <w:r>
        <w:rPr>
          <w:position w:val="5"/>
          <w:sz w:val="12"/>
        </w:rPr>
        <w:t>31</w:t>
      </w:r>
      <w:r>
        <w:rPr>
          <w:spacing w:val="9"/>
          <w:position w:val="5"/>
          <w:sz w:val="12"/>
        </w:rPr>
        <w:t xml:space="preserve"> </w:t>
      </w:r>
      <w:r>
        <w:rPr>
          <w:sz w:val="18"/>
        </w:rPr>
        <w:t>The</w:t>
      </w:r>
      <w:r>
        <w:rPr>
          <w:spacing w:val="-4"/>
          <w:sz w:val="18"/>
        </w:rPr>
        <w:t xml:space="preserve"> </w:t>
      </w:r>
      <w:r>
        <w:rPr>
          <w:sz w:val="18"/>
        </w:rPr>
        <w:t>Trevor</w:t>
      </w:r>
      <w:r>
        <w:rPr>
          <w:spacing w:val="-4"/>
          <w:sz w:val="18"/>
        </w:rPr>
        <w:t xml:space="preserve"> </w:t>
      </w:r>
      <w:r>
        <w:rPr>
          <w:sz w:val="18"/>
        </w:rPr>
        <w:t>Project,</w:t>
      </w:r>
      <w:r>
        <w:rPr>
          <w:spacing w:val="-3"/>
          <w:sz w:val="18"/>
        </w:rPr>
        <w:t xml:space="preserve"> </w:t>
      </w:r>
      <w:r>
        <w:rPr>
          <w:sz w:val="18"/>
        </w:rPr>
        <w:t>“2022</w:t>
      </w:r>
      <w:r>
        <w:rPr>
          <w:spacing w:val="-3"/>
          <w:sz w:val="18"/>
        </w:rPr>
        <w:t xml:space="preserve"> </w:t>
      </w:r>
      <w:r>
        <w:rPr>
          <w:sz w:val="18"/>
        </w:rPr>
        <w:t>National</w:t>
      </w:r>
      <w:r>
        <w:rPr>
          <w:spacing w:val="-4"/>
          <w:sz w:val="18"/>
        </w:rPr>
        <w:t xml:space="preserve"> </w:t>
      </w:r>
      <w:r>
        <w:rPr>
          <w:sz w:val="18"/>
        </w:rPr>
        <w:t>Survey</w:t>
      </w:r>
      <w:r>
        <w:rPr>
          <w:spacing w:val="-3"/>
          <w:sz w:val="18"/>
        </w:rPr>
        <w:t xml:space="preserve"> </w:t>
      </w:r>
      <w:r>
        <w:rPr>
          <w:sz w:val="18"/>
        </w:rPr>
        <w:t>on</w:t>
      </w:r>
      <w:r>
        <w:rPr>
          <w:spacing w:val="-4"/>
          <w:sz w:val="18"/>
        </w:rPr>
        <w:t xml:space="preserve"> </w:t>
      </w:r>
      <w:r>
        <w:rPr>
          <w:sz w:val="18"/>
        </w:rPr>
        <w:t>LGBTQ</w:t>
      </w:r>
      <w:r>
        <w:rPr>
          <w:spacing w:val="-5"/>
          <w:sz w:val="18"/>
        </w:rPr>
        <w:t xml:space="preserve"> </w:t>
      </w:r>
      <w:r>
        <w:rPr>
          <w:sz w:val="18"/>
        </w:rPr>
        <w:t>Youth</w:t>
      </w:r>
      <w:r>
        <w:rPr>
          <w:spacing w:val="-4"/>
          <w:sz w:val="18"/>
        </w:rPr>
        <w:t xml:space="preserve"> </w:t>
      </w:r>
      <w:r>
        <w:rPr>
          <w:sz w:val="18"/>
        </w:rPr>
        <w:t>Mental</w:t>
      </w:r>
      <w:r>
        <w:rPr>
          <w:spacing w:val="-4"/>
          <w:sz w:val="18"/>
        </w:rPr>
        <w:t xml:space="preserve"> </w:t>
      </w:r>
      <w:r>
        <w:rPr>
          <w:sz w:val="18"/>
        </w:rPr>
        <w:t>Health,”</w:t>
      </w:r>
      <w:r>
        <w:rPr>
          <w:spacing w:val="-4"/>
          <w:sz w:val="18"/>
        </w:rPr>
        <w:t xml:space="preserve"> </w:t>
      </w:r>
      <w:r>
        <w:rPr>
          <w:sz w:val="18"/>
        </w:rPr>
        <w:t>2022,</w:t>
      </w:r>
      <w:r>
        <w:rPr>
          <w:spacing w:val="-3"/>
          <w:sz w:val="18"/>
        </w:rPr>
        <w:t xml:space="preserve"> </w:t>
      </w:r>
      <w:hyperlink r:id="rId285">
        <w:r>
          <w:rPr>
            <w:color w:val="1154CC"/>
            <w:sz w:val="18"/>
            <w:u w:val="single" w:color="1154CC"/>
          </w:rPr>
          <w:t>https://www.thetrevorproject.org/survey-</w:t>
        </w:r>
      </w:hyperlink>
      <w:r>
        <w:rPr>
          <w:color w:val="1154CC"/>
          <w:sz w:val="18"/>
        </w:rPr>
        <w:t xml:space="preserve"> </w:t>
      </w:r>
      <w:bookmarkStart w:id="405" w:name="_bookmark286"/>
      <w:bookmarkEnd w:id="405"/>
      <w:r>
        <w:fldChar w:fldCharType="begin"/>
      </w:r>
      <w:r>
        <w:instrText xml:space="preserve"> HYPERLINK "https://www.thetrevorproject.org/survey-2022/assets/static/trevor01_2022survey_final.pdf" \h </w:instrText>
      </w:r>
      <w:r>
        <w:fldChar w:fldCharType="separate"/>
      </w:r>
      <w:r>
        <w:rPr>
          <w:color w:val="1154CC"/>
          <w:spacing w:val="-2"/>
          <w:sz w:val="18"/>
          <w:u w:val="single" w:color="1154CC"/>
        </w:rPr>
        <w:t>2</w:t>
      </w:r>
      <w:r>
        <w:rPr>
          <w:color w:val="1154CC"/>
          <w:spacing w:val="-2"/>
          <w:sz w:val="18"/>
          <w:u w:val="single" w:color="1154CC"/>
        </w:rPr>
        <w:t>022/assets/static/trevor01_2022survey_final.pdf</w:t>
      </w:r>
      <w:r>
        <w:rPr>
          <w:spacing w:val="-2"/>
          <w:sz w:val="18"/>
        </w:rPr>
        <w:t>.</w:t>
      </w:r>
      <w:r>
        <w:rPr>
          <w:spacing w:val="-2"/>
          <w:sz w:val="18"/>
        </w:rPr>
        <w:fldChar w:fldCharType="end"/>
      </w:r>
    </w:p>
    <w:p w:rsidR="00200FDA" w:rsidRDefault="00F76C4C">
      <w:pPr>
        <w:ind w:left="140" w:right="1666" w:hanging="1"/>
        <w:rPr>
          <w:sz w:val="18"/>
        </w:rPr>
      </w:pPr>
      <w:r>
        <w:rPr>
          <w:position w:val="5"/>
          <w:sz w:val="12"/>
        </w:rPr>
        <w:t>32</w:t>
      </w:r>
      <w:r>
        <w:rPr>
          <w:spacing w:val="10"/>
          <w:position w:val="5"/>
          <w:sz w:val="12"/>
        </w:rPr>
        <w:t xml:space="preserve"> </w:t>
      </w:r>
      <w:r>
        <w:rPr>
          <w:sz w:val="18"/>
        </w:rPr>
        <w:t>Ariana.</w:t>
      </w:r>
      <w:r>
        <w:rPr>
          <w:spacing w:val="-2"/>
          <w:sz w:val="18"/>
        </w:rPr>
        <w:t xml:space="preserve"> </w:t>
      </w:r>
      <w:r>
        <w:rPr>
          <w:sz w:val="18"/>
        </w:rPr>
        <w:t>“Roots</w:t>
      </w:r>
      <w:r>
        <w:rPr>
          <w:spacing w:val="-3"/>
          <w:sz w:val="18"/>
        </w:rPr>
        <w:t xml:space="preserve"> </w:t>
      </w:r>
      <w:r>
        <w:rPr>
          <w:sz w:val="18"/>
        </w:rPr>
        <w:t>Run</w:t>
      </w:r>
      <w:r>
        <w:rPr>
          <w:spacing w:val="-3"/>
          <w:sz w:val="18"/>
        </w:rPr>
        <w:t xml:space="preserve"> </w:t>
      </w:r>
      <w:r>
        <w:rPr>
          <w:sz w:val="18"/>
        </w:rPr>
        <w:t>Deep:</w:t>
      </w:r>
      <w:r>
        <w:rPr>
          <w:spacing w:val="-2"/>
          <w:sz w:val="18"/>
        </w:rPr>
        <w:t xml:space="preserve"> </w:t>
      </w:r>
      <w:r>
        <w:rPr>
          <w:sz w:val="18"/>
        </w:rPr>
        <w:t>How</w:t>
      </w:r>
      <w:r>
        <w:rPr>
          <w:spacing w:val="-1"/>
          <w:sz w:val="18"/>
        </w:rPr>
        <w:t xml:space="preserve"> </w:t>
      </w:r>
      <w:r>
        <w:rPr>
          <w:sz w:val="18"/>
        </w:rPr>
        <w:t>History</w:t>
      </w:r>
      <w:r>
        <w:rPr>
          <w:spacing w:val="-2"/>
          <w:sz w:val="18"/>
        </w:rPr>
        <w:t xml:space="preserve"> </w:t>
      </w:r>
      <w:r>
        <w:rPr>
          <w:sz w:val="18"/>
        </w:rPr>
        <w:t>and</w:t>
      </w:r>
      <w:r>
        <w:rPr>
          <w:spacing w:val="-3"/>
          <w:sz w:val="18"/>
        </w:rPr>
        <w:t xml:space="preserve"> </w:t>
      </w:r>
      <w:r>
        <w:rPr>
          <w:sz w:val="18"/>
        </w:rPr>
        <w:t>Culture</w:t>
      </w:r>
      <w:r>
        <w:rPr>
          <w:spacing w:val="-3"/>
          <w:sz w:val="18"/>
        </w:rPr>
        <w:t xml:space="preserve"> </w:t>
      </w:r>
      <w:r>
        <w:rPr>
          <w:sz w:val="18"/>
        </w:rPr>
        <w:t>Impact</w:t>
      </w:r>
      <w:r>
        <w:rPr>
          <w:spacing w:val="-3"/>
          <w:sz w:val="18"/>
        </w:rPr>
        <w:t xml:space="preserve"> </w:t>
      </w:r>
      <w:r>
        <w:rPr>
          <w:sz w:val="18"/>
        </w:rPr>
        <w:t>LGBT+</w:t>
      </w:r>
      <w:r>
        <w:rPr>
          <w:spacing w:val="-3"/>
          <w:sz w:val="18"/>
        </w:rPr>
        <w:t xml:space="preserve"> </w:t>
      </w:r>
      <w:r>
        <w:rPr>
          <w:sz w:val="18"/>
        </w:rPr>
        <w:t>Acceptance</w:t>
      </w:r>
      <w:r>
        <w:rPr>
          <w:spacing w:val="-3"/>
          <w:sz w:val="18"/>
        </w:rPr>
        <w:t xml:space="preserve"> </w:t>
      </w:r>
      <w:r>
        <w:rPr>
          <w:sz w:val="18"/>
        </w:rPr>
        <w:t>in</w:t>
      </w:r>
      <w:r>
        <w:rPr>
          <w:spacing w:val="-3"/>
          <w:sz w:val="18"/>
        </w:rPr>
        <w:t xml:space="preserve"> </w:t>
      </w:r>
      <w:r>
        <w:rPr>
          <w:sz w:val="18"/>
        </w:rPr>
        <w:t>Asia,”</w:t>
      </w:r>
      <w:r>
        <w:rPr>
          <w:spacing w:val="-3"/>
          <w:sz w:val="18"/>
        </w:rPr>
        <w:t xml:space="preserve"> </w:t>
      </w:r>
      <w:r>
        <w:rPr>
          <w:sz w:val="18"/>
        </w:rPr>
        <w:t>December</w:t>
      </w:r>
      <w:r>
        <w:rPr>
          <w:spacing w:val="-3"/>
          <w:sz w:val="18"/>
        </w:rPr>
        <w:t xml:space="preserve"> </w:t>
      </w:r>
      <w:r>
        <w:rPr>
          <w:sz w:val="18"/>
        </w:rPr>
        <w:t>29,</w:t>
      </w:r>
      <w:r>
        <w:rPr>
          <w:spacing w:val="-2"/>
          <w:sz w:val="18"/>
        </w:rPr>
        <w:t xml:space="preserve"> </w:t>
      </w:r>
      <w:r>
        <w:rPr>
          <w:sz w:val="18"/>
        </w:rPr>
        <w:t xml:space="preserve">2020. </w:t>
      </w:r>
      <w:hyperlink r:id="rId286">
        <w:r>
          <w:rPr>
            <w:color w:val="1154CC"/>
            <w:spacing w:val="-2"/>
            <w:sz w:val="18"/>
            <w:u w:val="single" w:color="1154CC"/>
          </w:rPr>
          <w:t>www.arianalife.com/topics/lgbt/roots-run-deep-how-history-and-culture-impact-lgbt-acceptance-in-asia/</w:t>
        </w:r>
        <w:r>
          <w:rPr>
            <w:spacing w:val="-2"/>
            <w:sz w:val="18"/>
          </w:rPr>
          <w:t>.</w:t>
        </w:r>
      </w:hyperlink>
    </w:p>
    <w:p w:rsidR="00200FDA" w:rsidRDefault="00F76C4C">
      <w:pPr>
        <w:ind w:left="140" w:right="457"/>
        <w:rPr>
          <w:sz w:val="18"/>
        </w:rPr>
      </w:pPr>
      <w:bookmarkStart w:id="406" w:name="_bookmark287"/>
      <w:bookmarkEnd w:id="406"/>
      <w:r>
        <w:rPr>
          <w:position w:val="5"/>
          <w:sz w:val="12"/>
        </w:rPr>
        <w:t>33</w:t>
      </w:r>
      <w:r>
        <w:rPr>
          <w:spacing w:val="10"/>
          <w:position w:val="5"/>
          <w:sz w:val="12"/>
        </w:rPr>
        <w:t xml:space="preserve"> </w:t>
      </w:r>
      <w:r>
        <w:rPr>
          <w:sz w:val="18"/>
        </w:rPr>
        <w:t>Chau,</w:t>
      </w:r>
      <w:r>
        <w:rPr>
          <w:spacing w:val="-2"/>
          <w:sz w:val="18"/>
        </w:rPr>
        <w:t xml:space="preserve"> </w:t>
      </w:r>
      <w:r>
        <w:rPr>
          <w:sz w:val="18"/>
        </w:rPr>
        <w:t>Victoria,</w:t>
      </w:r>
      <w:r>
        <w:rPr>
          <w:spacing w:val="-2"/>
          <w:sz w:val="18"/>
        </w:rPr>
        <w:t xml:space="preserve"> </w:t>
      </w:r>
      <w:r>
        <w:rPr>
          <w:sz w:val="18"/>
        </w:rPr>
        <w:t>and</w:t>
      </w:r>
      <w:r>
        <w:rPr>
          <w:spacing w:val="-3"/>
          <w:sz w:val="18"/>
        </w:rPr>
        <w:t xml:space="preserve"> </w:t>
      </w:r>
      <w:r>
        <w:rPr>
          <w:sz w:val="18"/>
        </w:rPr>
        <w:t>Perr</w:t>
      </w:r>
      <w:r>
        <w:rPr>
          <w:sz w:val="18"/>
        </w:rPr>
        <w:t>y</w:t>
      </w:r>
      <w:r>
        <w:rPr>
          <w:spacing w:val="-2"/>
          <w:sz w:val="18"/>
        </w:rPr>
        <w:t xml:space="preserve"> </w:t>
      </w:r>
      <w:r>
        <w:rPr>
          <w:sz w:val="18"/>
        </w:rPr>
        <w:t>Chan.</w:t>
      </w:r>
      <w:r>
        <w:rPr>
          <w:spacing w:val="-2"/>
          <w:sz w:val="18"/>
        </w:rPr>
        <w:t xml:space="preserve"> </w:t>
      </w:r>
      <w:r>
        <w:rPr>
          <w:sz w:val="18"/>
        </w:rPr>
        <w:t>“One</w:t>
      </w:r>
      <w:r>
        <w:rPr>
          <w:spacing w:val="-3"/>
          <w:sz w:val="18"/>
        </w:rPr>
        <w:t xml:space="preserve"> </w:t>
      </w:r>
      <w:r>
        <w:rPr>
          <w:sz w:val="18"/>
        </w:rPr>
        <w:t>Size</w:t>
      </w:r>
      <w:r>
        <w:rPr>
          <w:spacing w:val="-3"/>
          <w:sz w:val="18"/>
        </w:rPr>
        <w:t xml:space="preserve"> </w:t>
      </w:r>
      <w:r>
        <w:rPr>
          <w:sz w:val="18"/>
        </w:rPr>
        <w:t>Does</w:t>
      </w:r>
      <w:r>
        <w:rPr>
          <w:spacing w:val="-1"/>
          <w:sz w:val="18"/>
        </w:rPr>
        <w:t xml:space="preserve"> </w:t>
      </w:r>
      <w:r>
        <w:rPr>
          <w:sz w:val="18"/>
        </w:rPr>
        <w:t>Not</w:t>
      </w:r>
      <w:r>
        <w:rPr>
          <w:spacing w:val="-3"/>
          <w:sz w:val="18"/>
        </w:rPr>
        <w:t xml:space="preserve"> </w:t>
      </w:r>
      <w:r>
        <w:rPr>
          <w:sz w:val="18"/>
        </w:rPr>
        <w:t>Fit</w:t>
      </w:r>
      <w:r>
        <w:rPr>
          <w:spacing w:val="-3"/>
          <w:sz w:val="18"/>
        </w:rPr>
        <w:t xml:space="preserve"> </w:t>
      </w:r>
      <w:r>
        <w:rPr>
          <w:sz w:val="18"/>
        </w:rPr>
        <w:t>All:</w:t>
      </w:r>
      <w:r>
        <w:rPr>
          <w:spacing w:val="-2"/>
          <w:sz w:val="18"/>
        </w:rPr>
        <w:t xml:space="preserve"> </w:t>
      </w:r>
      <w:r>
        <w:rPr>
          <w:sz w:val="18"/>
        </w:rPr>
        <w:t>Appreciating</w:t>
      </w:r>
      <w:r>
        <w:rPr>
          <w:spacing w:val="-3"/>
          <w:sz w:val="18"/>
        </w:rPr>
        <w:t xml:space="preserve"> </w:t>
      </w:r>
      <w:r>
        <w:rPr>
          <w:sz w:val="18"/>
        </w:rPr>
        <w:t>the</w:t>
      </w:r>
      <w:r>
        <w:rPr>
          <w:spacing w:val="-3"/>
          <w:sz w:val="18"/>
        </w:rPr>
        <w:t xml:space="preserve"> </w:t>
      </w:r>
      <w:r>
        <w:rPr>
          <w:sz w:val="18"/>
        </w:rPr>
        <w:t>Diversity</w:t>
      </w:r>
      <w:r>
        <w:rPr>
          <w:spacing w:val="-2"/>
          <w:sz w:val="18"/>
        </w:rPr>
        <w:t xml:space="preserve"> </w:t>
      </w:r>
      <w:r>
        <w:rPr>
          <w:sz w:val="18"/>
        </w:rPr>
        <w:t>of</w:t>
      </w:r>
      <w:r>
        <w:rPr>
          <w:spacing w:val="-2"/>
          <w:sz w:val="18"/>
        </w:rPr>
        <w:t xml:space="preserve"> </w:t>
      </w:r>
      <w:r>
        <w:rPr>
          <w:sz w:val="18"/>
        </w:rPr>
        <w:t>Asian</w:t>
      </w:r>
      <w:r>
        <w:rPr>
          <w:spacing w:val="-3"/>
          <w:sz w:val="18"/>
        </w:rPr>
        <w:t xml:space="preserve"> </w:t>
      </w:r>
      <w:r>
        <w:rPr>
          <w:sz w:val="18"/>
        </w:rPr>
        <w:t>Americans,</w:t>
      </w:r>
      <w:r>
        <w:rPr>
          <w:spacing w:val="-2"/>
          <w:sz w:val="18"/>
        </w:rPr>
        <w:t xml:space="preserve"> </w:t>
      </w:r>
      <w:r>
        <w:rPr>
          <w:sz w:val="18"/>
        </w:rPr>
        <w:t>Native</w:t>
      </w:r>
      <w:r>
        <w:rPr>
          <w:spacing w:val="-3"/>
          <w:sz w:val="18"/>
        </w:rPr>
        <w:t xml:space="preserve"> </w:t>
      </w:r>
      <w:r>
        <w:rPr>
          <w:sz w:val="18"/>
        </w:rPr>
        <w:t>Hawaiians, and Pacific Islanders (AANHPIs) and the Implications for Mental Health.” Substance Abuse and Mental Health Services Administration (SAMHSA) Blog (blog), Ma</w:t>
      </w:r>
      <w:r>
        <w:rPr>
          <w:sz w:val="18"/>
        </w:rPr>
        <w:t xml:space="preserve">y 25, 2021. </w:t>
      </w:r>
      <w:hyperlink r:id="rId287">
        <w:r>
          <w:rPr>
            <w:color w:val="1154CC"/>
            <w:sz w:val="18"/>
            <w:u w:val="single" w:color="1154CC"/>
          </w:rPr>
          <w:t>www.samhsa.gov/blog/one-size-does-not-fit-all-appreciating-diversity-</w:t>
        </w:r>
      </w:hyperlink>
      <w:r>
        <w:rPr>
          <w:color w:val="1154CC"/>
          <w:sz w:val="18"/>
        </w:rPr>
        <w:t xml:space="preserve"> </w:t>
      </w:r>
      <w:hyperlink r:id="rId288">
        <w:r>
          <w:rPr>
            <w:color w:val="1154CC"/>
            <w:spacing w:val="-2"/>
            <w:sz w:val="18"/>
            <w:u w:val="single" w:color="1154CC"/>
          </w:rPr>
          <w:t>asian-americans-native-hawaiians-pacific</w:t>
        </w:r>
        <w:r>
          <w:rPr>
            <w:spacing w:val="-2"/>
            <w:sz w:val="18"/>
          </w:rPr>
          <w:t>.</w:t>
        </w:r>
      </w:hyperlink>
    </w:p>
    <w:p w:rsidR="00200FDA" w:rsidRDefault="00F76C4C">
      <w:pPr>
        <w:ind w:left="140" w:right="432" w:hanging="1"/>
        <w:rPr>
          <w:sz w:val="18"/>
        </w:rPr>
      </w:pPr>
      <w:bookmarkStart w:id="407" w:name="_bookmark288"/>
      <w:bookmarkEnd w:id="407"/>
      <w:r>
        <w:rPr>
          <w:position w:val="5"/>
          <w:sz w:val="12"/>
        </w:rPr>
        <w:t>34</w:t>
      </w:r>
      <w:r>
        <w:rPr>
          <w:spacing w:val="10"/>
          <w:position w:val="5"/>
          <w:sz w:val="12"/>
        </w:rPr>
        <w:t xml:space="preserve"> </w:t>
      </w:r>
      <w:r>
        <w:rPr>
          <w:sz w:val="18"/>
        </w:rPr>
        <w:t>Green, A.E.,</w:t>
      </w:r>
      <w:r>
        <w:rPr>
          <w:spacing w:val="-2"/>
          <w:sz w:val="18"/>
        </w:rPr>
        <w:t xml:space="preserve"> </w:t>
      </w:r>
      <w:r>
        <w:rPr>
          <w:sz w:val="18"/>
        </w:rPr>
        <w:t>Price-Feeney,</w:t>
      </w:r>
      <w:r>
        <w:rPr>
          <w:spacing w:val="-2"/>
          <w:sz w:val="18"/>
        </w:rPr>
        <w:t xml:space="preserve"> </w:t>
      </w:r>
      <w:r>
        <w:rPr>
          <w:sz w:val="18"/>
        </w:rPr>
        <w:t>M.</w:t>
      </w:r>
      <w:r>
        <w:rPr>
          <w:spacing w:val="-2"/>
          <w:sz w:val="18"/>
        </w:rPr>
        <w:t xml:space="preserve"> </w:t>
      </w:r>
      <w:r>
        <w:rPr>
          <w:sz w:val="18"/>
        </w:rPr>
        <w:t>&amp;</w:t>
      </w:r>
      <w:r>
        <w:rPr>
          <w:spacing w:val="-3"/>
          <w:sz w:val="18"/>
        </w:rPr>
        <w:t xml:space="preserve"> </w:t>
      </w:r>
      <w:r>
        <w:rPr>
          <w:sz w:val="18"/>
        </w:rPr>
        <w:t>Dorison,</w:t>
      </w:r>
      <w:r>
        <w:rPr>
          <w:spacing w:val="-2"/>
          <w:sz w:val="18"/>
        </w:rPr>
        <w:t xml:space="preserve"> </w:t>
      </w:r>
      <w:r>
        <w:rPr>
          <w:sz w:val="18"/>
        </w:rPr>
        <w:t>S.</w:t>
      </w:r>
      <w:r>
        <w:rPr>
          <w:spacing w:val="-2"/>
          <w:sz w:val="18"/>
        </w:rPr>
        <w:t xml:space="preserve"> </w:t>
      </w:r>
      <w:r>
        <w:rPr>
          <w:sz w:val="18"/>
        </w:rPr>
        <w:t>(2020).</w:t>
      </w:r>
      <w:r>
        <w:rPr>
          <w:spacing w:val="-2"/>
          <w:sz w:val="18"/>
        </w:rPr>
        <w:t xml:space="preserve"> </w:t>
      </w:r>
      <w:r>
        <w:rPr>
          <w:sz w:val="18"/>
        </w:rPr>
        <w:t>Breaking</w:t>
      </w:r>
      <w:r>
        <w:rPr>
          <w:spacing w:val="-3"/>
          <w:sz w:val="18"/>
        </w:rPr>
        <w:t xml:space="preserve"> </w:t>
      </w:r>
      <w:r>
        <w:rPr>
          <w:sz w:val="18"/>
        </w:rPr>
        <w:t>barriers</w:t>
      </w:r>
      <w:r>
        <w:rPr>
          <w:spacing w:val="-3"/>
          <w:sz w:val="18"/>
        </w:rPr>
        <w:t xml:space="preserve"> </w:t>
      </w:r>
      <w:r>
        <w:rPr>
          <w:sz w:val="18"/>
        </w:rPr>
        <w:t>to</w:t>
      </w:r>
      <w:r>
        <w:rPr>
          <w:spacing w:val="-1"/>
          <w:sz w:val="18"/>
        </w:rPr>
        <w:t xml:space="preserve"> </w:t>
      </w:r>
      <w:r>
        <w:rPr>
          <w:sz w:val="18"/>
        </w:rPr>
        <w:t>quality</w:t>
      </w:r>
      <w:r>
        <w:rPr>
          <w:spacing w:val="-2"/>
          <w:sz w:val="18"/>
        </w:rPr>
        <w:t xml:space="preserve"> </w:t>
      </w:r>
      <w:r>
        <w:rPr>
          <w:sz w:val="18"/>
        </w:rPr>
        <w:t>mental</w:t>
      </w:r>
      <w:r>
        <w:rPr>
          <w:spacing w:val="-3"/>
          <w:sz w:val="18"/>
        </w:rPr>
        <w:t xml:space="preserve"> </w:t>
      </w:r>
      <w:r>
        <w:rPr>
          <w:sz w:val="18"/>
        </w:rPr>
        <w:t>health</w:t>
      </w:r>
      <w:r>
        <w:rPr>
          <w:spacing w:val="-3"/>
          <w:sz w:val="18"/>
        </w:rPr>
        <w:t xml:space="preserve"> </w:t>
      </w:r>
      <w:r>
        <w:rPr>
          <w:sz w:val="18"/>
        </w:rPr>
        <w:t>care</w:t>
      </w:r>
      <w:r>
        <w:rPr>
          <w:spacing w:val="-1"/>
          <w:sz w:val="18"/>
        </w:rPr>
        <w:t xml:space="preserve"> </w:t>
      </w:r>
      <w:r>
        <w:rPr>
          <w:sz w:val="18"/>
        </w:rPr>
        <w:t>for</w:t>
      </w:r>
      <w:r>
        <w:rPr>
          <w:spacing w:val="-3"/>
          <w:sz w:val="18"/>
        </w:rPr>
        <w:t xml:space="preserve"> </w:t>
      </w:r>
      <w:r>
        <w:rPr>
          <w:sz w:val="18"/>
        </w:rPr>
        <w:t>LGBTQ</w:t>
      </w:r>
      <w:r>
        <w:rPr>
          <w:spacing w:val="-3"/>
          <w:sz w:val="18"/>
        </w:rPr>
        <w:t xml:space="preserve"> </w:t>
      </w:r>
      <w:r>
        <w:rPr>
          <w:sz w:val="18"/>
        </w:rPr>
        <w:t>Youth.</w:t>
      </w:r>
      <w:r>
        <w:rPr>
          <w:spacing w:val="-2"/>
          <w:sz w:val="18"/>
        </w:rPr>
        <w:t xml:space="preserve"> </w:t>
      </w:r>
      <w:r>
        <w:rPr>
          <w:sz w:val="18"/>
        </w:rPr>
        <w:t>New York, New York: The Trevor Project.</w:t>
      </w:r>
    </w:p>
    <w:p w:rsidR="00200FDA" w:rsidRDefault="00F76C4C">
      <w:pPr>
        <w:ind w:left="140" w:right="421"/>
        <w:jc w:val="both"/>
        <w:rPr>
          <w:sz w:val="18"/>
        </w:rPr>
      </w:pPr>
      <w:bookmarkStart w:id="408" w:name="_bookmark289"/>
      <w:bookmarkEnd w:id="408"/>
      <w:r>
        <w:rPr>
          <w:position w:val="5"/>
          <w:sz w:val="12"/>
        </w:rPr>
        <w:t>35</w:t>
      </w:r>
      <w:r>
        <w:rPr>
          <w:spacing w:val="11"/>
          <w:position w:val="5"/>
          <w:sz w:val="12"/>
        </w:rPr>
        <w:t xml:space="preserve"> </w:t>
      </w:r>
      <w:r>
        <w:rPr>
          <w:sz w:val="18"/>
        </w:rPr>
        <w:t>Martin,</w:t>
      </w:r>
      <w:r>
        <w:rPr>
          <w:spacing w:val="-1"/>
          <w:sz w:val="18"/>
        </w:rPr>
        <w:t xml:space="preserve"> </w:t>
      </w:r>
      <w:r>
        <w:rPr>
          <w:sz w:val="18"/>
        </w:rPr>
        <w:t>Naomi.</w:t>
      </w:r>
      <w:r>
        <w:rPr>
          <w:spacing w:val="-1"/>
          <w:sz w:val="18"/>
        </w:rPr>
        <w:t xml:space="preserve"> </w:t>
      </w:r>
      <w:r>
        <w:rPr>
          <w:sz w:val="18"/>
        </w:rPr>
        <w:t>“Schools</w:t>
      </w:r>
      <w:r>
        <w:rPr>
          <w:spacing w:val="-2"/>
          <w:sz w:val="18"/>
        </w:rPr>
        <w:t xml:space="preserve"> </w:t>
      </w:r>
      <w:r>
        <w:rPr>
          <w:sz w:val="18"/>
        </w:rPr>
        <w:t>Are</w:t>
      </w:r>
      <w:r>
        <w:rPr>
          <w:spacing w:val="-2"/>
          <w:sz w:val="18"/>
        </w:rPr>
        <w:t xml:space="preserve"> </w:t>
      </w:r>
      <w:r>
        <w:rPr>
          <w:sz w:val="18"/>
        </w:rPr>
        <w:t>Increasing</w:t>
      </w:r>
      <w:r>
        <w:rPr>
          <w:spacing w:val="-2"/>
          <w:sz w:val="18"/>
        </w:rPr>
        <w:t xml:space="preserve"> </w:t>
      </w:r>
      <w:r>
        <w:rPr>
          <w:sz w:val="18"/>
        </w:rPr>
        <w:t>Mental</w:t>
      </w:r>
      <w:r>
        <w:rPr>
          <w:spacing w:val="-2"/>
          <w:sz w:val="18"/>
        </w:rPr>
        <w:t xml:space="preserve"> </w:t>
      </w:r>
      <w:r>
        <w:rPr>
          <w:sz w:val="18"/>
        </w:rPr>
        <w:t>Health Support</w:t>
      </w:r>
      <w:r>
        <w:rPr>
          <w:spacing w:val="-2"/>
          <w:sz w:val="18"/>
        </w:rPr>
        <w:t xml:space="preserve"> </w:t>
      </w:r>
      <w:r>
        <w:rPr>
          <w:sz w:val="18"/>
        </w:rPr>
        <w:t>This</w:t>
      </w:r>
      <w:r>
        <w:rPr>
          <w:spacing w:val="-2"/>
          <w:sz w:val="18"/>
        </w:rPr>
        <w:t xml:space="preserve"> </w:t>
      </w:r>
      <w:r>
        <w:rPr>
          <w:sz w:val="18"/>
        </w:rPr>
        <w:t>Year,</w:t>
      </w:r>
      <w:r>
        <w:rPr>
          <w:spacing w:val="-1"/>
          <w:sz w:val="18"/>
        </w:rPr>
        <w:t xml:space="preserve"> </w:t>
      </w:r>
      <w:r>
        <w:rPr>
          <w:sz w:val="18"/>
        </w:rPr>
        <w:t>but</w:t>
      </w:r>
      <w:r>
        <w:rPr>
          <w:spacing w:val="-2"/>
          <w:sz w:val="18"/>
        </w:rPr>
        <w:t xml:space="preserve"> </w:t>
      </w:r>
      <w:r>
        <w:rPr>
          <w:sz w:val="18"/>
        </w:rPr>
        <w:t>Experts Fear</w:t>
      </w:r>
      <w:r>
        <w:rPr>
          <w:spacing w:val="-2"/>
          <w:sz w:val="18"/>
        </w:rPr>
        <w:t xml:space="preserve"> </w:t>
      </w:r>
      <w:r>
        <w:rPr>
          <w:sz w:val="18"/>
        </w:rPr>
        <w:t>It’s Still Not</w:t>
      </w:r>
      <w:r>
        <w:rPr>
          <w:spacing w:val="-2"/>
          <w:sz w:val="18"/>
        </w:rPr>
        <w:t xml:space="preserve"> </w:t>
      </w:r>
      <w:r>
        <w:rPr>
          <w:sz w:val="18"/>
        </w:rPr>
        <w:t>Enough.”</w:t>
      </w:r>
      <w:r>
        <w:rPr>
          <w:spacing w:val="-2"/>
          <w:sz w:val="18"/>
        </w:rPr>
        <w:t xml:space="preserve"> </w:t>
      </w:r>
      <w:r>
        <w:rPr>
          <w:i/>
          <w:sz w:val="18"/>
        </w:rPr>
        <w:t>The</w:t>
      </w:r>
      <w:r>
        <w:rPr>
          <w:i/>
          <w:spacing w:val="-1"/>
          <w:sz w:val="18"/>
        </w:rPr>
        <w:t xml:space="preserve"> </w:t>
      </w:r>
      <w:r>
        <w:rPr>
          <w:i/>
          <w:sz w:val="18"/>
        </w:rPr>
        <w:t>Boston Globe,</w:t>
      </w:r>
      <w:r>
        <w:rPr>
          <w:i/>
          <w:spacing w:val="-10"/>
          <w:sz w:val="18"/>
        </w:rPr>
        <w:t xml:space="preserve"> </w:t>
      </w:r>
      <w:r>
        <w:rPr>
          <w:sz w:val="18"/>
        </w:rPr>
        <w:t>September</w:t>
      </w:r>
      <w:r>
        <w:rPr>
          <w:spacing w:val="-10"/>
          <w:sz w:val="18"/>
        </w:rPr>
        <w:t xml:space="preserve"> </w:t>
      </w:r>
      <w:r>
        <w:rPr>
          <w:sz w:val="18"/>
        </w:rPr>
        <w:t>6,</w:t>
      </w:r>
      <w:r>
        <w:rPr>
          <w:spacing w:val="-10"/>
          <w:sz w:val="18"/>
        </w:rPr>
        <w:t xml:space="preserve"> </w:t>
      </w:r>
      <w:r>
        <w:rPr>
          <w:sz w:val="18"/>
        </w:rPr>
        <w:t>2021.</w:t>
      </w:r>
      <w:r>
        <w:rPr>
          <w:spacing w:val="-10"/>
          <w:sz w:val="18"/>
        </w:rPr>
        <w:t xml:space="preserve"> </w:t>
      </w:r>
      <w:hyperlink r:id="rId289">
        <w:r>
          <w:rPr>
            <w:color w:val="1154CC"/>
            <w:sz w:val="18"/>
            <w:u w:val="single" w:color="1154CC"/>
          </w:rPr>
          <w:t>https://www.bostonglobe.com/2021/09/06/metro/schools-are-increasing-mental-health-support-</w:t>
        </w:r>
      </w:hyperlink>
      <w:r>
        <w:rPr>
          <w:color w:val="1154CC"/>
          <w:sz w:val="18"/>
        </w:rPr>
        <w:t xml:space="preserve"> </w:t>
      </w:r>
      <w:hyperlink r:id="rId290">
        <w:r>
          <w:rPr>
            <w:color w:val="1154CC"/>
            <w:spacing w:val="-2"/>
            <w:sz w:val="18"/>
            <w:u w:val="single" w:color="1154CC"/>
          </w:rPr>
          <w:t>this-year-experts-fear-its-still-not-enough/</w:t>
        </w:r>
        <w:r>
          <w:rPr>
            <w:spacing w:val="-2"/>
            <w:sz w:val="18"/>
          </w:rPr>
          <w:t>.</w:t>
        </w:r>
      </w:hyperlink>
    </w:p>
    <w:p w:rsidR="00200FDA" w:rsidRDefault="00F76C4C">
      <w:pPr>
        <w:ind w:left="140" w:right="432" w:hanging="1"/>
        <w:rPr>
          <w:sz w:val="18"/>
        </w:rPr>
      </w:pPr>
      <w:bookmarkStart w:id="409" w:name="_bookmark290"/>
      <w:bookmarkEnd w:id="409"/>
      <w:r>
        <w:rPr>
          <w:position w:val="5"/>
          <w:sz w:val="12"/>
        </w:rPr>
        <w:t>36</w:t>
      </w:r>
      <w:r>
        <w:rPr>
          <w:spacing w:val="9"/>
          <w:position w:val="5"/>
          <w:sz w:val="12"/>
        </w:rPr>
        <w:t xml:space="preserve"> </w:t>
      </w:r>
      <w:r>
        <w:rPr>
          <w:sz w:val="18"/>
        </w:rPr>
        <w:t>Ahmed, Sawssan</w:t>
      </w:r>
      <w:r>
        <w:rPr>
          <w:spacing w:val="-4"/>
          <w:sz w:val="18"/>
        </w:rPr>
        <w:t xml:space="preserve"> </w:t>
      </w:r>
      <w:r>
        <w:rPr>
          <w:sz w:val="18"/>
        </w:rPr>
        <w:t>R.,</w:t>
      </w:r>
      <w:r>
        <w:rPr>
          <w:spacing w:val="-3"/>
          <w:sz w:val="18"/>
        </w:rPr>
        <w:t xml:space="preserve"> </w:t>
      </w:r>
      <w:r>
        <w:rPr>
          <w:sz w:val="18"/>
        </w:rPr>
        <w:t>Maryam</w:t>
      </w:r>
      <w:r>
        <w:rPr>
          <w:spacing w:val="-3"/>
          <w:sz w:val="18"/>
        </w:rPr>
        <w:t xml:space="preserve"> </w:t>
      </w:r>
      <w:r>
        <w:rPr>
          <w:sz w:val="18"/>
        </w:rPr>
        <w:t>Kia-Keating,</w:t>
      </w:r>
      <w:r>
        <w:rPr>
          <w:spacing w:val="-3"/>
          <w:sz w:val="18"/>
        </w:rPr>
        <w:t xml:space="preserve"> </w:t>
      </w:r>
      <w:r>
        <w:rPr>
          <w:sz w:val="18"/>
        </w:rPr>
        <w:t>and</w:t>
      </w:r>
      <w:r>
        <w:rPr>
          <w:spacing w:val="-4"/>
          <w:sz w:val="18"/>
        </w:rPr>
        <w:t xml:space="preserve"> </w:t>
      </w:r>
      <w:r>
        <w:rPr>
          <w:sz w:val="18"/>
        </w:rPr>
        <w:t>Katherine</w:t>
      </w:r>
      <w:r>
        <w:rPr>
          <w:spacing w:val="-4"/>
          <w:sz w:val="18"/>
        </w:rPr>
        <w:t xml:space="preserve"> </w:t>
      </w:r>
      <w:r>
        <w:rPr>
          <w:sz w:val="18"/>
        </w:rPr>
        <w:t>H.</w:t>
      </w:r>
      <w:r>
        <w:rPr>
          <w:spacing w:val="-3"/>
          <w:sz w:val="18"/>
        </w:rPr>
        <w:t xml:space="preserve"> </w:t>
      </w:r>
      <w:r>
        <w:rPr>
          <w:sz w:val="18"/>
        </w:rPr>
        <w:t>Tsai.</w:t>
      </w:r>
      <w:r>
        <w:rPr>
          <w:spacing w:val="-3"/>
          <w:sz w:val="18"/>
        </w:rPr>
        <w:t xml:space="preserve"> </w:t>
      </w:r>
      <w:r>
        <w:rPr>
          <w:sz w:val="18"/>
        </w:rPr>
        <w:t>“A</w:t>
      </w:r>
      <w:r>
        <w:rPr>
          <w:spacing w:val="-4"/>
          <w:sz w:val="18"/>
        </w:rPr>
        <w:t xml:space="preserve"> </w:t>
      </w:r>
      <w:r>
        <w:rPr>
          <w:sz w:val="18"/>
        </w:rPr>
        <w:t>Structural</w:t>
      </w:r>
      <w:r>
        <w:rPr>
          <w:spacing w:val="-4"/>
          <w:sz w:val="18"/>
        </w:rPr>
        <w:t xml:space="preserve"> </w:t>
      </w:r>
      <w:r>
        <w:rPr>
          <w:sz w:val="18"/>
        </w:rPr>
        <w:t>Model</w:t>
      </w:r>
      <w:r>
        <w:rPr>
          <w:spacing w:val="-4"/>
          <w:sz w:val="18"/>
        </w:rPr>
        <w:t xml:space="preserve"> </w:t>
      </w:r>
      <w:r>
        <w:rPr>
          <w:sz w:val="18"/>
        </w:rPr>
        <w:t>of</w:t>
      </w:r>
      <w:r>
        <w:rPr>
          <w:spacing w:val="-3"/>
          <w:sz w:val="18"/>
        </w:rPr>
        <w:t xml:space="preserve"> </w:t>
      </w:r>
      <w:r>
        <w:rPr>
          <w:sz w:val="18"/>
        </w:rPr>
        <w:t>Racial</w:t>
      </w:r>
      <w:r>
        <w:rPr>
          <w:spacing w:val="-4"/>
          <w:sz w:val="18"/>
        </w:rPr>
        <w:t xml:space="preserve"> </w:t>
      </w:r>
      <w:r>
        <w:rPr>
          <w:sz w:val="18"/>
        </w:rPr>
        <w:t>Discrimination,</w:t>
      </w:r>
      <w:r>
        <w:rPr>
          <w:spacing w:val="-3"/>
          <w:sz w:val="18"/>
        </w:rPr>
        <w:t xml:space="preserve"> </w:t>
      </w:r>
      <w:r>
        <w:rPr>
          <w:sz w:val="18"/>
        </w:rPr>
        <w:t xml:space="preserve">Acculturative Stress, and Cultural Resources Among Arab American Adolescents.” </w:t>
      </w:r>
      <w:r>
        <w:rPr>
          <w:i/>
          <w:sz w:val="18"/>
        </w:rPr>
        <w:t xml:space="preserve">American Journal of Community Psychology </w:t>
      </w:r>
      <w:r>
        <w:rPr>
          <w:sz w:val="18"/>
        </w:rPr>
        <w:t xml:space="preserve">48, no. 3–4 (December 2011): 181–92. </w:t>
      </w:r>
      <w:hyperlink r:id="rId291">
        <w:r>
          <w:rPr>
            <w:color w:val="1154CC"/>
            <w:sz w:val="18"/>
            <w:u w:val="single" w:color="1154CC"/>
          </w:rPr>
          <w:t>https://doi.org/10.1007/s10464-011-9424-3</w:t>
        </w:r>
        <w:r>
          <w:rPr>
            <w:sz w:val="18"/>
          </w:rPr>
          <w:t>.</w:t>
        </w:r>
      </w:hyperlink>
    </w:p>
    <w:p w:rsidR="00200FDA" w:rsidRDefault="00F76C4C">
      <w:pPr>
        <w:ind w:left="140" w:right="1761" w:hanging="1"/>
        <w:rPr>
          <w:sz w:val="18"/>
        </w:rPr>
      </w:pPr>
      <w:bookmarkStart w:id="410" w:name="_bookmark291"/>
      <w:bookmarkEnd w:id="410"/>
      <w:r>
        <w:rPr>
          <w:position w:val="5"/>
          <w:sz w:val="12"/>
        </w:rPr>
        <w:t>37</w:t>
      </w:r>
      <w:r>
        <w:rPr>
          <w:spacing w:val="9"/>
          <w:position w:val="5"/>
          <w:sz w:val="12"/>
        </w:rPr>
        <w:t xml:space="preserve"> </w:t>
      </w:r>
      <w:r>
        <w:rPr>
          <w:sz w:val="18"/>
        </w:rPr>
        <w:t>Human</w:t>
      </w:r>
      <w:r>
        <w:rPr>
          <w:spacing w:val="-4"/>
          <w:sz w:val="18"/>
        </w:rPr>
        <w:t xml:space="preserve"> </w:t>
      </w:r>
      <w:r>
        <w:rPr>
          <w:sz w:val="18"/>
        </w:rPr>
        <w:t>Rights</w:t>
      </w:r>
      <w:r>
        <w:rPr>
          <w:spacing w:val="-4"/>
          <w:sz w:val="18"/>
        </w:rPr>
        <w:t xml:space="preserve"> </w:t>
      </w:r>
      <w:r>
        <w:rPr>
          <w:sz w:val="18"/>
        </w:rPr>
        <w:t>Campaign.</w:t>
      </w:r>
      <w:r>
        <w:rPr>
          <w:spacing w:val="-1"/>
          <w:sz w:val="18"/>
        </w:rPr>
        <w:t xml:space="preserve"> </w:t>
      </w:r>
      <w:r>
        <w:rPr>
          <w:sz w:val="18"/>
        </w:rPr>
        <w:t>“Understanding</w:t>
      </w:r>
      <w:r>
        <w:rPr>
          <w:spacing w:val="-4"/>
          <w:sz w:val="18"/>
        </w:rPr>
        <w:t xml:space="preserve"> </w:t>
      </w:r>
      <w:r>
        <w:rPr>
          <w:sz w:val="18"/>
        </w:rPr>
        <w:t>Disability</w:t>
      </w:r>
      <w:r>
        <w:rPr>
          <w:spacing w:val="-3"/>
          <w:sz w:val="18"/>
        </w:rPr>
        <w:t xml:space="preserve"> </w:t>
      </w:r>
      <w:r>
        <w:rPr>
          <w:sz w:val="18"/>
        </w:rPr>
        <w:t>in</w:t>
      </w:r>
      <w:r>
        <w:rPr>
          <w:spacing w:val="-4"/>
          <w:sz w:val="18"/>
        </w:rPr>
        <w:t xml:space="preserve"> </w:t>
      </w:r>
      <w:r>
        <w:rPr>
          <w:sz w:val="18"/>
        </w:rPr>
        <w:t>the</w:t>
      </w:r>
      <w:r>
        <w:rPr>
          <w:spacing w:val="-4"/>
          <w:sz w:val="18"/>
        </w:rPr>
        <w:t xml:space="preserve"> </w:t>
      </w:r>
      <w:r>
        <w:rPr>
          <w:sz w:val="18"/>
        </w:rPr>
        <w:t>LGBTQ+</w:t>
      </w:r>
      <w:r>
        <w:rPr>
          <w:spacing w:val="-2"/>
          <w:sz w:val="18"/>
        </w:rPr>
        <w:t xml:space="preserve"> </w:t>
      </w:r>
      <w:r>
        <w:rPr>
          <w:sz w:val="18"/>
        </w:rPr>
        <w:t>Community.”</w:t>
      </w:r>
      <w:r>
        <w:rPr>
          <w:spacing w:val="-4"/>
          <w:sz w:val="18"/>
        </w:rPr>
        <w:t xml:space="preserve"> </w:t>
      </w:r>
      <w:r>
        <w:rPr>
          <w:sz w:val="18"/>
        </w:rPr>
        <w:t>Accessed</w:t>
      </w:r>
      <w:r>
        <w:rPr>
          <w:spacing w:val="-4"/>
          <w:sz w:val="18"/>
        </w:rPr>
        <w:t xml:space="preserve"> </w:t>
      </w:r>
      <w:r>
        <w:rPr>
          <w:sz w:val="18"/>
        </w:rPr>
        <w:t>March</w:t>
      </w:r>
      <w:r>
        <w:rPr>
          <w:spacing w:val="-4"/>
          <w:sz w:val="18"/>
        </w:rPr>
        <w:t xml:space="preserve"> </w:t>
      </w:r>
      <w:r>
        <w:rPr>
          <w:sz w:val="18"/>
        </w:rPr>
        <w:t>5,</w:t>
      </w:r>
      <w:r>
        <w:rPr>
          <w:spacing w:val="-3"/>
          <w:sz w:val="18"/>
        </w:rPr>
        <w:t xml:space="preserve"> </w:t>
      </w:r>
      <w:r>
        <w:rPr>
          <w:sz w:val="18"/>
        </w:rPr>
        <w:t xml:space="preserve">2023. </w:t>
      </w:r>
      <w:hyperlink r:id="rId292">
        <w:r>
          <w:rPr>
            <w:color w:val="1154CC"/>
            <w:spacing w:val="-2"/>
            <w:sz w:val="18"/>
            <w:u w:val="single" w:color="1154CC"/>
          </w:rPr>
          <w:t>https://www.hrc.org/resources/understanding-disabled-lgbtq-people</w:t>
        </w:r>
        <w:r>
          <w:rPr>
            <w:spacing w:val="-2"/>
            <w:sz w:val="18"/>
          </w:rPr>
          <w:t>.</w:t>
        </w:r>
      </w:hyperlink>
    </w:p>
    <w:p w:rsidR="00200FDA" w:rsidRDefault="00F76C4C">
      <w:pPr>
        <w:ind w:left="140" w:right="366" w:hanging="1"/>
        <w:rPr>
          <w:sz w:val="18"/>
        </w:rPr>
      </w:pPr>
      <w:bookmarkStart w:id="411" w:name="_bookmark292"/>
      <w:bookmarkEnd w:id="411"/>
      <w:r>
        <w:rPr>
          <w:position w:val="5"/>
          <w:sz w:val="12"/>
        </w:rPr>
        <w:t>38</w:t>
      </w:r>
      <w:r>
        <w:rPr>
          <w:spacing w:val="9"/>
          <w:position w:val="5"/>
          <w:sz w:val="12"/>
        </w:rPr>
        <w:t xml:space="preserve"> </w:t>
      </w:r>
      <w:r>
        <w:rPr>
          <w:sz w:val="18"/>
        </w:rPr>
        <w:t>Kallitsounaki,</w:t>
      </w:r>
      <w:r>
        <w:rPr>
          <w:spacing w:val="-3"/>
          <w:sz w:val="18"/>
        </w:rPr>
        <w:t xml:space="preserve"> </w:t>
      </w:r>
      <w:r>
        <w:rPr>
          <w:sz w:val="18"/>
        </w:rPr>
        <w:t>Aimilia,</w:t>
      </w:r>
      <w:r>
        <w:rPr>
          <w:spacing w:val="-3"/>
          <w:sz w:val="18"/>
        </w:rPr>
        <w:t xml:space="preserve"> </w:t>
      </w:r>
      <w:r>
        <w:rPr>
          <w:sz w:val="18"/>
        </w:rPr>
        <w:t>and</w:t>
      </w:r>
      <w:r>
        <w:rPr>
          <w:spacing w:val="-4"/>
          <w:sz w:val="18"/>
        </w:rPr>
        <w:t xml:space="preserve"> </w:t>
      </w:r>
      <w:r>
        <w:rPr>
          <w:sz w:val="18"/>
        </w:rPr>
        <w:t>David</w:t>
      </w:r>
      <w:r>
        <w:rPr>
          <w:spacing w:val="-2"/>
          <w:sz w:val="18"/>
        </w:rPr>
        <w:t xml:space="preserve"> </w:t>
      </w:r>
      <w:r>
        <w:rPr>
          <w:sz w:val="18"/>
        </w:rPr>
        <w:t>M.</w:t>
      </w:r>
      <w:r>
        <w:rPr>
          <w:spacing w:val="-3"/>
          <w:sz w:val="18"/>
        </w:rPr>
        <w:t xml:space="preserve"> </w:t>
      </w:r>
      <w:r>
        <w:rPr>
          <w:sz w:val="18"/>
        </w:rPr>
        <w:t>Williams.</w:t>
      </w:r>
      <w:r>
        <w:rPr>
          <w:spacing w:val="-3"/>
          <w:sz w:val="18"/>
        </w:rPr>
        <w:t xml:space="preserve"> </w:t>
      </w:r>
      <w:r>
        <w:rPr>
          <w:sz w:val="18"/>
        </w:rPr>
        <w:t>“Autism</w:t>
      </w:r>
      <w:r>
        <w:rPr>
          <w:spacing w:val="-3"/>
          <w:sz w:val="18"/>
        </w:rPr>
        <w:t xml:space="preserve"> </w:t>
      </w:r>
      <w:r>
        <w:rPr>
          <w:sz w:val="18"/>
        </w:rPr>
        <w:t>Spectrum</w:t>
      </w:r>
      <w:r>
        <w:rPr>
          <w:spacing w:val="-3"/>
          <w:sz w:val="18"/>
        </w:rPr>
        <w:t xml:space="preserve"> </w:t>
      </w:r>
      <w:r>
        <w:rPr>
          <w:sz w:val="18"/>
        </w:rPr>
        <w:t>Disorder</w:t>
      </w:r>
      <w:r>
        <w:rPr>
          <w:spacing w:val="-4"/>
          <w:sz w:val="18"/>
        </w:rPr>
        <w:t xml:space="preserve"> </w:t>
      </w:r>
      <w:r>
        <w:rPr>
          <w:sz w:val="18"/>
        </w:rPr>
        <w:t>and</w:t>
      </w:r>
      <w:r>
        <w:rPr>
          <w:spacing w:val="-4"/>
          <w:sz w:val="18"/>
        </w:rPr>
        <w:t xml:space="preserve"> </w:t>
      </w:r>
      <w:r>
        <w:rPr>
          <w:sz w:val="18"/>
        </w:rPr>
        <w:t>Gender</w:t>
      </w:r>
      <w:r>
        <w:rPr>
          <w:spacing w:val="-4"/>
          <w:sz w:val="18"/>
        </w:rPr>
        <w:t xml:space="preserve"> </w:t>
      </w:r>
      <w:r>
        <w:rPr>
          <w:sz w:val="18"/>
        </w:rPr>
        <w:t>Dysphoria/Incongruence.</w:t>
      </w:r>
      <w:r>
        <w:rPr>
          <w:spacing w:val="-1"/>
          <w:sz w:val="18"/>
        </w:rPr>
        <w:t xml:space="preserve"> </w:t>
      </w:r>
      <w:r>
        <w:rPr>
          <w:sz w:val="18"/>
        </w:rPr>
        <w:t>A</w:t>
      </w:r>
      <w:r>
        <w:rPr>
          <w:spacing w:val="-4"/>
          <w:sz w:val="18"/>
        </w:rPr>
        <w:t xml:space="preserve"> </w:t>
      </w:r>
      <w:r>
        <w:rPr>
          <w:sz w:val="18"/>
        </w:rPr>
        <w:t xml:space="preserve">Systematic Literature Review and Meta-Analysis.” </w:t>
      </w:r>
      <w:r>
        <w:rPr>
          <w:i/>
          <w:sz w:val="18"/>
        </w:rPr>
        <w:t>Journal of Autism and Devel</w:t>
      </w:r>
      <w:r>
        <w:rPr>
          <w:i/>
          <w:sz w:val="18"/>
        </w:rPr>
        <w:t xml:space="preserve">opmental Disorders, </w:t>
      </w:r>
      <w:r>
        <w:rPr>
          <w:sz w:val="18"/>
        </w:rPr>
        <w:t xml:space="preserve">May 20, 2022. </w:t>
      </w:r>
      <w:hyperlink r:id="rId293">
        <w:r>
          <w:rPr>
            <w:color w:val="1154CC"/>
            <w:spacing w:val="-2"/>
            <w:sz w:val="18"/>
            <w:u w:val="single" w:color="1154CC"/>
          </w:rPr>
          <w:t>https://doi.org/10.1007/s10803-022-05517-y</w:t>
        </w:r>
        <w:r>
          <w:rPr>
            <w:spacing w:val="-2"/>
            <w:sz w:val="18"/>
          </w:rPr>
          <w:t>.</w:t>
        </w:r>
      </w:hyperlink>
    </w:p>
    <w:p w:rsidR="00200FDA" w:rsidRDefault="00F76C4C">
      <w:pPr>
        <w:ind w:left="140" w:right="714" w:hanging="1"/>
        <w:rPr>
          <w:sz w:val="18"/>
        </w:rPr>
      </w:pPr>
      <w:bookmarkStart w:id="412" w:name="_bookmark293"/>
      <w:bookmarkEnd w:id="412"/>
      <w:r>
        <w:rPr>
          <w:position w:val="5"/>
          <w:sz w:val="12"/>
        </w:rPr>
        <w:t>39</w:t>
      </w:r>
      <w:r>
        <w:rPr>
          <w:spacing w:val="10"/>
          <w:position w:val="5"/>
          <w:sz w:val="12"/>
        </w:rPr>
        <w:t xml:space="preserve"> </w:t>
      </w:r>
      <w:r>
        <w:rPr>
          <w:sz w:val="18"/>
        </w:rPr>
        <w:t>Kosciw,</w:t>
      </w:r>
      <w:r>
        <w:rPr>
          <w:spacing w:val="-2"/>
          <w:sz w:val="18"/>
        </w:rPr>
        <w:t xml:space="preserve"> </w:t>
      </w:r>
      <w:r>
        <w:rPr>
          <w:sz w:val="18"/>
        </w:rPr>
        <w:t>Joseph,</w:t>
      </w:r>
      <w:r>
        <w:rPr>
          <w:spacing w:val="-2"/>
          <w:sz w:val="18"/>
        </w:rPr>
        <w:t xml:space="preserve"> </w:t>
      </w:r>
      <w:r>
        <w:rPr>
          <w:sz w:val="18"/>
        </w:rPr>
        <w:t>Caitlin</w:t>
      </w:r>
      <w:r>
        <w:rPr>
          <w:spacing w:val="-3"/>
          <w:sz w:val="18"/>
        </w:rPr>
        <w:t xml:space="preserve"> </w:t>
      </w:r>
      <w:r>
        <w:rPr>
          <w:sz w:val="18"/>
        </w:rPr>
        <w:t>Clark,</w:t>
      </w:r>
      <w:r>
        <w:rPr>
          <w:spacing w:val="-2"/>
          <w:sz w:val="18"/>
        </w:rPr>
        <w:t xml:space="preserve"> </w:t>
      </w:r>
      <w:r>
        <w:rPr>
          <w:sz w:val="18"/>
        </w:rPr>
        <w:t>and</w:t>
      </w:r>
      <w:r>
        <w:rPr>
          <w:spacing w:val="-1"/>
          <w:sz w:val="18"/>
        </w:rPr>
        <w:t xml:space="preserve"> </w:t>
      </w:r>
      <w:r>
        <w:rPr>
          <w:sz w:val="18"/>
        </w:rPr>
        <w:t>Leesh</w:t>
      </w:r>
      <w:r>
        <w:rPr>
          <w:spacing w:val="-3"/>
          <w:sz w:val="18"/>
        </w:rPr>
        <w:t xml:space="preserve"> </w:t>
      </w:r>
      <w:r>
        <w:rPr>
          <w:sz w:val="18"/>
        </w:rPr>
        <w:t>Menard,</w:t>
      </w:r>
      <w:r>
        <w:rPr>
          <w:spacing w:val="-2"/>
          <w:sz w:val="18"/>
        </w:rPr>
        <w:t xml:space="preserve"> </w:t>
      </w:r>
      <w:r>
        <w:rPr>
          <w:sz w:val="18"/>
        </w:rPr>
        <w:t>“The</w:t>
      </w:r>
      <w:r>
        <w:rPr>
          <w:spacing w:val="-3"/>
          <w:sz w:val="18"/>
        </w:rPr>
        <w:t xml:space="preserve"> </w:t>
      </w:r>
      <w:r>
        <w:rPr>
          <w:sz w:val="18"/>
        </w:rPr>
        <w:t>2021</w:t>
      </w:r>
      <w:r>
        <w:rPr>
          <w:spacing w:val="-2"/>
          <w:sz w:val="18"/>
        </w:rPr>
        <w:t xml:space="preserve"> </w:t>
      </w:r>
      <w:r>
        <w:rPr>
          <w:sz w:val="18"/>
        </w:rPr>
        <w:t>National</w:t>
      </w:r>
      <w:r>
        <w:rPr>
          <w:spacing w:val="-3"/>
          <w:sz w:val="18"/>
        </w:rPr>
        <w:t xml:space="preserve"> </w:t>
      </w:r>
      <w:r>
        <w:rPr>
          <w:sz w:val="18"/>
        </w:rPr>
        <w:t>School</w:t>
      </w:r>
      <w:r>
        <w:rPr>
          <w:spacing w:val="-3"/>
          <w:sz w:val="18"/>
        </w:rPr>
        <w:t xml:space="preserve"> </w:t>
      </w:r>
      <w:r>
        <w:rPr>
          <w:sz w:val="18"/>
        </w:rPr>
        <w:t>Climate</w:t>
      </w:r>
      <w:r>
        <w:rPr>
          <w:spacing w:val="-3"/>
          <w:sz w:val="18"/>
        </w:rPr>
        <w:t xml:space="preserve"> </w:t>
      </w:r>
      <w:r>
        <w:rPr>
          <w:sz w:val="18"/>
        </w:rPr>
        <w:t>Survey:</w:t>
      </w:r>
      <w:r>
        <w:rPr>
          <w:spacing w:val="-2"/>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 xml:space="preserve">LGBTQ+ Youth in Our Nation’s Schools” (New York: Gay, Lesbian and Straight Education Network, 2022), </w:t>
      </w:r>
      <w:hyperlink r:id="rId294">
        <w:r>
          <w:rPr>
            <w:color w:val="1154CC"/>
            <w:spacing w:val="-2"/>
            <w:sz w:val="18"/>
            <w:u w:val="single" w:color="1154CC"/>
          </w:rPr>
          <w:t>https://www.glsen.org/sites/default/files/2022-10/NSCS-2021-</w:t>
        </w:r>
        <w:r>
          <w:rPr>
            <w:color w:val="1154CC"/>
            <w:spacing w:val="-2"/>
            <w:sz w:val="18"/>
            <w:u w:val="single" w:color="1154CC"/>
          </w:rPr>
          <w:t>Full-Report.pdf</w:t>
        </w:r>
        <w:r>
          <w:rPr>
            <w:spacing w:val="-2"/>
            <w:sz w:val="18"/>
          </w:rPr>
          <w:t>.</w:t>
        </w:r>
      </w:hyperlink>
    </w:p>
    <w:p w:rsidR="00200FDA" w:rsidRDefault="00F76C4C">
      <w:pPr>
        <w:ind w:left="140" w:right="668" w:hanging="1"/>
        <w:jc w:val="both"/>
        <w:rPr>
          <w:sz w:val="18"/>
        </w:rPr>
      </w:pPr>
      <w:bookmarkStart w:id="413" w:name="_bookmark294"/>
      <w:bookmarkEnd w:id="413"/>
      <w:r>
        <w:rPr>
          <w:position w:val="5"/>
          <w:sz w:val="12"/>
        </w:rPr>
        <w:t>40</w:t>
      </w:r>
      <w:r>
        <w:rPr>
          <w:spacing w:val="10"/>
          <w:position w:val="5"/>
          <w:sz w:val="12"/>
        </w:rPr>
        <w:t xml:space="preserve"> </w:t>
      </w:r>
      <w:r>
        <w:rPr>
          <w:sz w:val="18"/>
        </w:rPr>
        <w:t>Miller,</w:t>
      </w:r>
      <w:r>
        <w:rPr>
          <w:spacing w:val="-2"/>
          <w:sz w:val="18"/>
        </w:rPr>
        <w:t xml:space="preserve"> </w:t>
      </w:r>
      <w:r>
        <w:rPr>
          <w:sz w:val="18"/>
        </w:rPr>
        <w:t>Ryan</w:t>
      </w:r>
      <w:r>
        <w:rPr>
          <w:spacing w:val="-3"/>
          <w:sz w:val="18"/>
        </w:rPr>
        <w:t xml:space="preserve"> </w:t>
      </w:r>
      <w:r>
        <w:rPr>
          <w:sz w:val="18"/>
        </w:rPr>
        <w:t>A.,</w:t>
      </w:r>
      <w:r>
        <w:rPr>
          <w:spacing w:val="-2"/>
          <w:sz w:val="18"/>
        </w:rPr>
        <w:t xml:space="preserve"> </w:t>
      </w:r>
      <w:r>
        <w:rPr>
          <w:sz w:val="18"/>
        </w:rPr>
        <w:t>Sandra</w:t>
      </w:r>
      <w:r>
        <w:rPr>
          <w:spacing w:val="-2"/>
          <w:sz w:val="18"/>
        </w:rPr>
        <w:t xml:space="preserve"> </w:t>
      </w:r>
      <w:r>
        <w:rPr>
          <w:sz w:val="18"/>
        </w:rPr>
        <w:t>L.</w:t>
      </w:r>
      <w:r>
        <w:rPr>
          <w:spacing w:val="-2"/>
          <w:sz w:val="18"/>
        </w:rPr>
        <w:t xml:space="preserve"> </w:t>
      </w:r>
      <w:r>
        <w:rPr>
          <w:sz w:val="18"/>
        </w:rPr>
        <w:t>Dika,</w:t>
      </w:r>
      <w:r>
        <w:rPr>
          <w:spacing w:val="-2"/>
          <w:sz w:val="18"/>
        </w:rPr>
        <w:t xml:space="preserve"> </w:t>
      </w:r>
      <w:r>
        <w:rPr>
          <w:sz w:val="18"/>
        </w:rPr>
        <w:t>David</w:t>
      </w:r>
      <w:r>
        <w:rPr>
          <w:spacing w:val="-3"/>
          <w:sz w:val="18"/>
        </w:rPr>
        <w:t xml:space="preserve"> </w:t>
      </w:r>
      <w:r>
        <w:rPr>
          <w:sz w:val="18"/>
        </w:rPr>
        <w:t>J.</w:t>
      </w:r>
      <w:r>
        <w:rPr>
          <w:spacing w:val="-2"/>
          <w:sz w:val="18"/>
        </w:rPr>
        <w:t xml:space="preserve"> </w:t>
      </w:r>
      <w:r>
        <w:rPr>
          <w:sz w:val="18"/>
        </w:rPr>
        <w:t>Nguyen,</w:t>
      </w:r>
      <w:r>
        <w:rPr>
          <w:spacing w:val="-2"/>
          <w:sz w:val="18"/>
        </w:rPr>
        <w:t xml:space="preserve"> </w:t>
      </w:r>
      <w:r>
        <w:rPr>
          <w:sz w:val="18"/>
        </w:rPr>
        <w:t>Michael</w:t>
      </w:r>
      <w:r>
        <w:rPr>
          <w:spacing w:val="-3"/>
          <w:sz w:val="18"/>
        </w:rPr>
        <w:t xml:space="preserve"> </w:t>
      </w:r>
      <w:r>
        <w:rPr>
          <w:sz w:val="18"/>
        </w:rPr>
        <w:t>Woodford,</w:t>
      </w:r>
      <w:r>
        <w:rPr>
          <w:spacing w:val="-2"/>
          <w:sz w:val="18"/>
        </w:rPr>
        <w:t xml:space="preserve"> </w:t>
      </w:r>
      <w:r>
        <w:rPr>
          <w:sz w:val="18"/>
        </w:rPr>
        <w:t>and</w:t>
      </w:r>
      <w:r>
        <w:rPr>
          <w:spacing w:val="-3"/>
          <w:sz w:val="18"/>
        </w:rPr>
        <w:t xml:space="preserve"> </w:t>
      </w:r>
      <w:r>
        <w:rPr>
          <w:sz w:val="18"/>
        </w:rPr>
        <w:t>Kristen</w:t>
      </w:r>
      <w:r>
        <w:rPr>
          <w:spacing w:val="-1"/>
          <w:sz w:val="18"/>
        </w:rPr>
        <w:t xml:space="preserve"> </w:t>
      </w:r>
      <w:r>
        <w:rPr>
          <w:sz w:val="18"/>
        </w:rPr>
        <w:t>A.</w:t>
      </w:r>
      <w:r>
        <w:rPr>
          <w:spacing w:val="-2"/>
          <w:sz w:val="18"/>
        </w:rPr>
        <w:t xml:space="preserve"> </w:t>
      </w:r>
      <w:r>
        <w:rPr>
          <w:sz w:val="18"/>
        </w:rPr>
        <w:t>Renn. “LGBTQ+</w:t>
      </w:r>
      <w:r>
        <w:rPr>
          <w:spacing w:val="-1"/>
          <w:sz w:val="18"/>
        </w:rPr>
        <w:t xml:space="preserve"> </w:t>
      </w:r>
      <w:r>
        <w:rPr>
          <w:sz w:val="18"/>
        </w:rPr>
        <w:t>College</w:t>
      </w:r>
      <w:r>
        <w:rPr>
          <w:spacing w:val="-3"/>
          <w:sz w:val="18"/>
        </w:rPr>
        <w:t xml:space="preserve"> </w:t>
      </w:r>
      <w:r>
        <w:rPr>
          <w:sz w:val="18"/>
        </w:rPr>
        <w:t>Students</w:t>
      </w:r>
      <w:r>
        <w:rPr>
          <w:spacing w:val="-3"/>
          <w:sz w:val="18"/>
        </w:rPr>
        <w:t xml:space="preserve"> </w:t>
      </w:r>
      <w:r>
        <w:rPr>
          <w:sz w:val="18"/>
        </w:rPr>
        <w:t>with Disabilities:</w:t>
      </w:r>
      <w:r>
        <w:rPr>
          <w:spacing w:val="-3"/>
          <w:sz w:val="18"/>
        </w:rPr>
        <w:t xml:space="preserve"> </w:t>
      </w:r>
      <w:r>
        <w:rPr>
          <w:sz w:val="18"/>
        </w:rPr>
        <w:t>Demographic</w:t>
      </w:r>
      <w:r>
        <w:rPr>
          <w:spacing w:val="-2"/>
          <w:sz w:val="18"/>
        </w:rPr>
        <w:t xml:space="preserve"> </w:t>
      </w:r>
      <w:r>
        <w:rPr>
          <w:sz w:val="18"/>
        </w:rPr>
        <w:t>Profile</w:t>
      </w:r>
      <w:r>
        <w:rPr>
          <w:spacing w:val="-1"/>
          <w:sz w:val="18"/>
        </w:rPr>
        <w:t xml:space="preserve"> </w:t>
      </w:r>
      <w:r>
        <w:rPr>
          <w:sz w:val="18"/>
        </w:rPr>
        <w:t>and</w:t>
      </w:r>
      <w:r>
        <w:rPr>
          <w:spacing w:val="-3"/>
          <w:sz w:val="18"/>
        </w:rPr>
        <w:t xml:space="preserve"> </w:t>
      </w:r>
      <w:r>
        <w:rPr>
          <w:sz w:val="18"/>
        </w:rPr>
        <w:t>Perceptions</w:t>
      </w:r>
      <w:r>
        <w:rPr>
          <w:spacing w:val="-3"/>
          <w:sz w:val="18"/>
        </w:rPr>
        <w:t xml:space="preserve"> </w:t>
      </w:r>
      <w:r>
        <w:rPr>
          <w:sz w:val="18"/>
        </w:rPr>
        <w:t>of</w:t>
      </w:r>
      <w:r>
        <w:rPr>
          <w:spacing w:val="-2"/>
          <w:sz w:val="18"/>
        </w:rPr>
        <w:t xml:space="preserve"> </w:t>
      </w:r>
      <w:r>
        <w:rPr>
          <w:sz w:val="18"/>
        </w:rPr>
        <w:t>Well-Being.”</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LGBT</w:t>
      </w:r>
      <w:r>
        <w:rPr>
          <w:i/>
          <w:spacing w:val="-4"/>
          <w:sz w:val="18"/>
        </w:rPr>
        <w:t xml:space="preserve"> </w:t>
      </w:r>
      <w:r>
        <w:rPr>
          <w:i/>
          <w:sz w:val="18"/>
        </w:rPr>
        <w:t>Youth</w:t>
      </w:r>
      <w:r>
        <w:rPr>
          <w:i/>
          <w:spacing w:val="-1"/>
          <w:sz w:val="18"/>
        </w:rPr>
        <w:t xml:space="preserve"> </w:t>
      </w:r>
      <w:r>
        <w:rPr>
          <w:sz w:val="18"/>
        </w:rPr>
        <w:t>18,</w:t>
      </w:r>
      <w:r>
        <w:rPr>
          <w:spacing w:val="-2"/>
          <w:sz w:val="18"/>
        </w:rPr>
        <w:t xml:space="preserve"> </w:t>
      </w:r>
      <w:r>
        <w:rPr>
          <w:sz w:val="18"/>
        </w:rPr>
        <w:t>no.</w:t>
      </w:r>
      <w:r>
        <w:rPr>
          <w:spacing w:val="-2"/>
          <w:sz w:val="18"/>
        </w:rPr>
        <w:t xml:space="preserve"> </w:t>
      </w:r>
      <w:r>
        <w:rPr>
          <w:sz w:val="18"/>
        </w:rPr>
        <w:t>1</w:t>
      </w:r>
      <w:r>
        <w:rPr>
          <w:spacing w:val="-2"/>
          <w:sz w:val="18"/>
        </w:rPr>
        <w:t xml:space="preserve"> </w:t>
      </w:r>
      <w:r>
        <w:rPr>
          <w:sz w:val="18"/>
        </w:rPr>
        <w:t>(January</w:t>
      </w:r>
      <w:r>
        <w:rPr>
          <w:spacing w:val="-2"/>
          <w:sz w:val="18"/>
        </w:rPr>
        <w:t xml:space="preserve"> </w:t>
      </w:r>
      <w:r>
        <w:rPr>
          <w:sz w:val="18"/>
        </w:rPr>
        <w:t>2,</w:t>
      </w:r>
      <w:r>
        <w:rPr>
          <w:spacing w:val="-2"/>
          <w:sz w:val="18"/>
        </w:rPr>
        <w:t xml:space="preserve"> </w:t>
      </w:r>
      <w:r>
        <w:rPr>
          <w:sz w:val="18"/>
        </w:rPr>
        <w:t>2021):</w:t>
      </w:r>
      <w:r>
        <w:rPr>
          <w:spacing w:val="-2"/>
          <w:sz w:val="18"/>
        </w:rPr>
        <w:t xml:space="preserve"> </w:t>
      </w:r>
      <w:r>
        <w:rPr>
          <w:sz w:val="18"/>
        </w:rPr>
        <w:t xml:space="preserve">60–77. </w:t>
      </w:r>
      <w:hyperlink r:id="rId295">
        <w:r>
          <w:rPr>
            <w:color w:val="1154CC"/>
            <w:spacing w:val="-2"/>
            <w:sz w:val="18"/>
            <w:u w:val="single" w:color="1154CC"/>
          </w:rPr>
          <w:t>https://doi.org/10.1080/19361653.2019.1706686</w:t>
        </w:r>
        <w:r>
          <w:rPr>
            <w:spacing w:val="-2"/>
            <w:sz w:val="18"/>
          </w:rPr>
          <w:t>.</w:t>
        </w:r>
      </w:hyperlink>
    </w:p>
    <w:p w:rsidR="00200FDA" w:rsidRDefault="00F76C4C">
      <w:pPr>
        <w:ind w:left="140" w:right="475" w:hanging="1"/>
        <w:jc w:val="both"/>
        <w:rPr>
          <w:sz w:val="18"/>
        </w:rPr>
      </w:pPr>
      <w:bookmarkStart w:id="414" w:name="_bookmark295"/>
      <w:bookmarkEnd w:id="414"/>
      <w:r>
        <w:rPr>
          <w:position w:val="5"/>
          <w:sz w:val="12"/>
        </w:rPr>
        <w:t>41</w:t>
      </w:r>
      <w:r>
        <w:rPr>
          <w:spacing w:val="9"/>
          <w:position w:val="5"/>
          <w:sz w:val="12"/>
        </w:rPr>
        <w:t xml:space="preserve"> </w:t>
      </w:r>
      <w:r>
        <w:rPr>
          <w:sz w:val="18"/>
        </w:rPr>
        <w:t>Kattari,</w:t>
      </w:r>
      <w:r>
        <w:rPr>
          <w:spacing w:val="-3"/>
          <w:sz w:val="18"/>
        </w:rPr>
        <w:t xml:space="preserve"> </w:t>
      </w:r>
      <w:r>
        <w:rPr>
          <w:sz w:val="18"/>
        </w:rPr>
        <w:t>Shanna</w:t>
      </w:r>
      <w:r>
        <w:rPr>
          <w:spacing w:val="-3"/>
          <w:sz w:val="18"/>
        </w:rPr>
        <w:t xml:space="preserve"> </w:t>
      </w:r>
      <w:r>
        <w:rPr>
          <w:sz w:val="18"/>
        </w:rPr>
        <w:t>K.,</w:t>
      </w:r>
      <w:r>
        <w:rPr>
          <w:spacing w:val="-3"/>
          <w:sz w:val="18"/>
        </w:rPr>
        <w:t xml:space="preserve"> </w:t>
      </w:r>
      <w:r>
        <w:rPr>
          <w:sz w:val="18"/>
        </w:rPr>
        <w:t>N.</w:t>
      </w:r>
      <w:r>
        <w:rPr>
          <w:spacing w:val="-3"/>
          <w:sz w:val="18"/>
        </w:rPr>
        <w:t xml:space="preserve"> </w:t>
      </w:r>
      <w:r>
        <w:rPr>
          <w:sz w:val="18"/>
        </w:rPr>
        <w:t>Eugene</w:t>
      </w:r>
      <w:r>
        <w:rPr>
          <w:spacing w:val="-4"/>
          <w:sz w:val="18"/>
        </w:rPr>
        <w:t xml:space="preserve"> </w:t>
      </w:r>
      <w:r>
        <w:rPr>
          <w:sz w:val="18"/>
        </w:rPr>
        <w:t>Walls,</w:t>
      </w:r>
      <w:r>
        <w:rPr>
          <w:spacing w:val="-3"/>
          <w:sz w:val="18"/>
        </w:rPr>
        <w:t xml:space="preserve"> </w:t>
      </w:r>
      <w:r>
        <w:rPr>
          <w:sz w:val="18"/>
        </w:rPr>
        <w:t>and</w:t>
      </w:r>
      <w:r>
        <w:rPr>
          <w:spacing w:val="-2"/>
          <w:sz w:val="18"/>
        </w:rPr>
        <w:t xml:space="preserve"> </w:t>
      </w:r>
      <w:r>
        <w:rPr>
          <w:sz w:val="18"/>
        </w:rPr>
        <w:t>Stephanie</w:t>
      </w:r>
      <w:r>
        <w:rPr>
          <w:spacing w:val="-4"/>
          <w:sz w:val="18"/>
        </w:rPr>
        <w:t xml:space="preserve"> </w:t>
      </w:r>
      <w:r>
        <w:rPr>
          <w:sz w:val="18"/>
        </w:rPr>
        <w:t>Rachel</w:t>
      </w:r>
      <w:r>
        <w:rPr>
          <w:spacing w:val="-4"/>
          <w:sz w:val="18"/>
        </w:rPr>
        <w:t xml:space="preserve"> </w:t>
      </w:r>
      <w:r>
        <w:rPr>
          <w:sz w:val="18"/>
        </w:rPr>
        <w:t>Speer.</w:t>
      </w:r>
      <w:r>
        <w:rPr>
          <w:spacing w:val="-3"/>
          <w:sz w:val="18"/>
        </w:rPr>
        <w:t xml:space="preserve"> </w:t>
      </w:r>
      <w:r>
        <w:rPr>
          <w:sz w:val="18"/>
        </w:rPr>
        <w:t>“Differences</w:t>
      </w:r>
      <w:r>
        <w:rPr>
          <w:spacing w:val="-4"/>
          <w:sz w:val="18"/>
        </w:rPr>
        <w:t xml:space="preserve"> </w:t>
      </w:r>
      <w:r>
        <w:rPr>
          <w:sz w:val="18"/>
        </w:rPr>
        <w:t>in</w:t>
      </w:r>
      <w:r>
        <w:rPr>
          <w:spacing w:val="-4"/>
          <w:sz w:val="18"/>
        </w:rPr>
        <w:t xml:space="preserve"> </w:t>
      </w:r>
      <w:r>
        <w:rPr>
          <w:sz w:val="18"/>
        </w:rPr>
        <w:t>Experiences</w:t>
      </w:r>
      <w:r>
        <w:rPr>
          <w:spacing w:val="-4"/>
          <w:sz w:val="18"/>
        </w:rPr>
        <w:t xml:space="preserve"> </w:t>
      </w:r>
      <w:r>
        <w:rPr>
          <w:sz w:val="18"/>
        </w:rPr>
        <w:t>of</w:t>
      </w:r>
      <w:r>
        <w:rPr>
          <w:spacing w:val="-3"/>
          <w:sz w:val="18"/>
        </w:rPr>
        <w:t xml:space="preserve"> </w:t>
      </w:r>
      <w:r>
        <w:rPr>
          <w:sz w:val="18"/>
        </w:rPr>
        <w:t>Discrimination</w:t>
      </w:r>
      <w:r>
        <w:rPr>
          <w:spacing w:val="-4"/>
          <w:sz w:val="18"/>
        </w:rPr>
        <w:t xml:space="preserve"> </w:t>
      </w:r>
      <w:r>
        <w:rPr>
          <w:sz w:val="18"/>
        </w:rPr>
        <w:t>in</w:t>
      </w:r>
      <w:r>
        <w:rPr>
          <w:spacing w:val="-4"/>
          <w:sz w:val="18"/>
        </w:rPr>
        <w:t xml:space="preserve"> </w:t>
      </w:r>
      <w:r>
        <w:rPr>
          <w:sz w:val="18"/>
        </w:rPr>
        <w:t>Accessing Social</w:t>
      </w:r>
      <w:r>
        <w:rPr>
          <w:spacing w:val="-1"/>
          <w:sz w:val="18"/>
        </w:rPr>
        <w:t xml:space="preserve"> </w:t>
      </w:r>
      <w:r>
        <w:rPr>
          <w:sz w:val="18"/>
        </w:rPr>
        <w:t>Ser</w:t>
      </w:r>
      <w:r>
        <w:rPr>
          <w:sz w:val="18"/>
        </w:rPr>
        <w:t>vices Among</w:t>
      </w:r>
      <w:r>
        <w:rPr>
          <w:spacing w:val="-1"/>
          <w:sz w:val="18"/>
        </w:rPr>
        <w:t xml:space="preserve"> </w:t>
      </w:r>
      <w:r>
        <w:rPr>
          <w:sz w:val="18"/>
        </w:rPr>
        <w:t>Transgender/Gender Nonconforming</w:t>
      </w:r>
      <w:r>
        <w:rPr>
          <w:spacing w:val="-1"/>
          <w:sz w:val="18"/>
        </w:rPr>
        <w:t xml:space="preserve"> </w:t>
      </w:r>
      <w:r>
        <w:rPr>
          <w:sz w:val="18"/>
        </w:rPr>
        <w:t>Individuals by (Dis)Ability.”</w:t>
      </w:r>
      <w:r>
        <w:rPr>
          <w:spacing w:val="-1"/>
          <w:sz w:val="18"/>
        </w:rPr>
        <w:t xml:space="preserve"> </w:t>
      </w:r>
      <w:r>
        <w:rPr>
          <w:i/>
          <w:sz w:val="18"/>
        </w:rPr>
        <w:t>Journal</w:t>
      </w:r>
      <w:r>
        <w:rPr>
          <w:i/>
          <w:spacing w:val="-1"/>
          <w:sz w:val="18"/>
        </w:rPr>
        <w:t xml:space="preserve"> </w:t>
      </w:r>
      <w:r>
        <w:rPr>
          <w:i/>
          <w:sz w:val="18"/>
        </w:rPr>
        <w:t>of Social</w:t>
      </w:r>
      <w:r>
        <w:rPr>
          <w:i/>
          <w:spacing w:val="-1"/>
          <w:sz w:val="18"/>
        </w:rPr>
        <w:t xml:space="preserve"> </w:t>
      </w:r>
      <w:r>
        <w:rPr>
          <w:i/>
          <w:sz w:val="18"/>
        </w:rPr>
        <w:t>Work</w:t>
      </w:r>
      <w:r>
        <w:rPr>
          <w:i/>
          <w:spacing w:val="-1"/>
          <w:sz w:val="18"/>
        </w:rPr>
        <w:t xml:space="preserve"> </w:t>
      </w:r>
      <w:r>
        <w:rPr>
          <w:i/>
          <w:sz w:val="18"/>
        </w:rPr>
        <w:t xml:space="preserve">in Disability &amp; Rehabilitation </w:t>
      </w:r>
      <w:r>
        <w:rPr>
          <w:sz w:val="18"/>
        </w:rPr>
        <w:t xml:space="preserve">16, no. 2 (April 3, 2017): 116–40. </w:t>
      </w:r>
      <w:hyperlink r:id="rId296">
        <w:r>
          <w:rPr>
            <w:color w:val="1154CC"/>
            <w:sz w:val="18"/>
            <w:u w:val="single" w:color="1154CC"/>
          </w:rPr>
          <w:t>https://doi.org/10.1080/1536710X.2017.1299661</w:t>
        </w:r>
        <w:r>
          <w:rPr>
            <w:sz w:val="18"/>
          </w:rPr>
          <w:t>.</w:t>
        </w:r>
      </w:hyperlink>
    </w:p>
    <w:p w:rsidR="00200FDA" w:rsidRDefault="00F76C4C">
      <w:pPr>
        <w:ind w:left="140" w:right="419" w:hanging="1"/>
        <w:jc w:val="both"/>
        <w:rPr>
          <w:sz w:val="18"/>
        </w:rPr>
      </w:pPr>
      <w:bookmarkStart w:id="415" w:name="_bookmark296"/>
      <w:bookmarkEnd w:id="415"/>
      <w:r>
        <w:rPr>
          <w:position w:val="5"/>
          <w:sz w:val="12"/>
        </w:rPr>
        <w:t>42</w:t>
      </w:r>
      <w:r>
        <w:rPr>
          <w:spacing w:val="23"/>
          <w:position w:val="5"/>
          <w:sz w:val="12"/>
        </w:rPr>
        <w:t xml:space="preserve"> </w:t>
      </w:r>
      <w:r>
        <w:rPr>
          <w:sz w:val="18"/>
        </w:rPr>
        <w:t>Rand, Joseph J., and Megan S. Paceley. “Exploring the Lived Experiences of Rural LGBTQ + Youth: Navigating Identity and Authenticity</w:t>
      </w:r>
      <w:r>
        <w:rPr>
          <w:spacing w:val="-2"/>
          <w:sz w:val="18"/>
        </w:rPr>
        <w:t xml:space="preserve"> </w:t>
      </w:r>
      <w:r>
        <w:rPr>
          <w:sz w:val="18"/>
        </w:rPr>
        <w:t>within School</w:t>
      </w:r>
      <w:r>
        <w:rPr>
          <w:spacing w:val="-3"/>
          <w:sz w:val="18"/>
        </w:rPr>
        <w:t xml:space="preserve"> </w:t>
      </w:r>
      <w:r>
        <w:rPr>
          <w:sz w:val="18"/>
        </w:rPr>
        <w:t>and</w:t>
      </w:r>
      <w:r>
        <w:rPr>
          <w:spacing w:val="-2"/>
          <w:sz w:val="18"/>
        </w:rPr>
        <w:t xml:space="preserve"> </w:t>
      </w:r>
      <w:r>
        <w:rPr>
          <w:sz w:val="18"/>
        </w:rPr>
        <w:t>Community</w:t>
      </w:r>
      <w:r>
        <w:rPr>
          <w:spacing w:val="-2"/>
          <w:sz w:val="18"/>
        </w:rPr>
        <w:t xml:space="preserve"> </w:t>
      </w:r>
      <w:r>
        <w:rPr>
          <w:sz w:val="18"/>
        </w:rPr>
        <w:t>Contexts.”</w:t>
      </w:r>
      <w:r>
        <w:rPr>
          <w:spacing w:val="-2"/>
          <w:sz w:val="18"/>
        </w:rPr>
        <w:t xml:space="preserve"> </w:t>
      </w:r>
      <w:r>
        <w:rPr>
          <w:i/>
          <w:sz w:val="18"/>
        </w:rPr>
        <w:t>Journal</w:t>
      </w:r>
      <w:r>
        <w:rPr>
          <w:i/>
          <w:spacing w:val="-3"/>
          <w:sz w:val="18"/>
        </w:rPr>
        <w:t xml:space="preserve"> </w:t>
      </w:r>
      <w:r>
        <w:rPr>
          <w:i/>
          <w:sz w:val="18"/>
        </w:rPr>
        <w:t>of</w:t>
      </w:r>
      <w:r>
        <w:rPr>
          <w:i/>
          <w:spacing w:val="-1"/>
          <w:sz w:val="18"/>
        </w:rPr>
        <w:t xml:space="preserve"> </w:t>
      </w:r>
      <w:r>
        <w:rPr>
          <w:i/>
          <w:sz w:val="18"/>
        </w:rPr>
        <w:t>Gay</w:t>
      </w:r>
      <w:r>
        <w:rPr>
          <w:i/>
          <w:spacing w:val="-1"/>
          <w:sz w:val="18"/>
        </w:rPr>
        <w:t xml:space="preserve"> </w:t>
      </w:r>
      <w:r>
        <w:rPr>
          <w:i/>
          <w:sz w:val="18"/>
        </w:rPr>
        <w:t>&amp;</w:t>
      </w:r>
      <w:r>
        <w:rPr>
          <w:i/>
          <w:spacing w:val="-2"/>
          <w:sz w:val="18"/>
        </w:rPr>
        <w:t xml:space="preserve"> </w:t>
      </w:r>
      <w:r>
        <w:rPr>
          <w:i/>
          <w:sz w:val="18"/>
        </w:rPr>
        <w:t>Lesbian</w:t>
      </w:r>
      <w:r>
        <w:rPr>
          <w:i/>
          <w:spacing w:val="-1"/>
          <w:sz w:val="18"/>
        </w:rPr>
        <w:t xml:space="preserve"> </w:t>
      </w:r>
      <w:r>
        <w:rPr>
          <w:i/>
          <w:sz w:val="18"/>
        </w:rPr>
        <w:t>Social</w:t>
      </w:r>
      <w:r>
        <w:rPr>
          <w:i/>
          <w:spacing w:val="-2"/>
          <w:sz w:val="18"/>
        </w:rPr>
        <w:t xml:space="preserve"> </w:t>
      </w:r>
      <w:r>
        <w:rPr>
          <w:i/>
          <w:sz w:val="18"/>
        </w:rPr>
        <w:t>Se</w:t>
      </w:r>
      <w:r>
        <w:rPr>
          <w:i/>
          <w:sz w:val="18"/>
        </w:rPr>
        <w:t>rvices</w:t>
      </w:r>
      <w:r>
        <w:rPr>
          <w:i/>
          <w:spacing w:val="-3"/>
          <w:sz w:val="18"/>
        </w:rPr>
        <w:t xml:space="preserve"> </w:t>
      </w:r>
      <w:r>
        <w:rPr>
          <w:sz w:val="18"/>
        </w:rPr>
        <w:t>34,</w:t>
      </w:r>
      <w:r>
        <w:rPr>
          <w:spacing w:val="-3"/>
          <w:sz w:val="18"/>
        </w:rPr>
        <w:t xml:space="preserve"> </w:t>
      </w:r>
      <w:r>
        <w:rPr>
          <w:sz w:val="18"/>
        </w:rPr>
        <w:t>no.</w:t>
      </w:r>
      <w:r>
        <w:rPr>
          <w:spacing w:val="-2"/>
          <w:sz w:val="18"/>
        </w:rPr>
        <w:t xml:space="preserve"> </w:t>
      </w:r>
      <w:r>
        <w:rPr>
          <w:sz w:val="18"/>
        </w:rPr>
        <w:t>1</w:t>
      </w:r>
      <w:r>
        <w:rPr>
          <w:spacing w:val="-1"/>
          <w:sz w:val="18"/>
        </w:rPr>
        <w:t xml:space="preserve"> </w:t>
      </w:r>
      <w:r>
        <w:rPr>
          <w:sz w:val="18"/>
        </w:rPr>
        <w:t>(January</w:t>
      </w:r>
      <w:r>
        <w:rPr>
          <w:spacing w:val="-2"/>
          <w:sz w:val="18"/>
        </w:rPr>
        <w:t xml:space="preserve"> </w:t>
      </w:r>
      <w:r>
        <w:rPr>
          <w:sz w:val="18"/>
        </w:rPr>
        <w:t>2,</w:t>
      </w:r>
      <w:r>
        <w:rPr>
          <w:spacing w:val="-1"/>
          <w:sz w:val="18"/>
        </w:rPr>
        <w:t xml:space="preserve"> </w:t>
      </w:r>
      <w:r>
        <w:rPr>
          <w:sz w:val="18"/>
        </w:rPr>
        <w:t>2022):</w:t>
      </w:r>
      <w:r>
        <w:rPr>
          <w:spacing w:val="-1"/>
          <w:sz w:val="18"/>
        </w:rPr>
        <w:t xml:space="preserve"> </w:t>
      </w:r>
      <w:r>
        <w:rPr>
          <w:spacing w:val="-5"/>
          <w:sz w:val="18"/>
        </w:rPr>
        <w:t>21–</w:t>
      </w:r>
    </w:p>
    <w:p w:rsidR="00200FDA" w:rsidRDefault="00F76C4C">
      <w:pPr>
        <w:spacing w:line="219" w:lineRule="exact"/>
        <w:ind w:left="140"/>
        <w:jc w:val="both"/>
        <w:rPr>
          <w:sz w:val="18"/>
        </w:rPr>
      </w:pPr>
      <w:r>
        <w:rPr>
          <w:sz w:val="18"/>
        </w:rPr>
        <w:t xml:space="preserve">39. </w:t>
      </w:r>
      <w:hyperlink r:id="rId297">
        <w:r>
          <w:rPr>
            <w:color w:val="1154CC"/>
            <w:spacing w:val="-2"/>
            <w:sz w:val="18"/>
            <w:u w:val="single" w:color="1154CC"/>
          </w:rPr>
          <w:t>https://doi.org/10.1080/10538720.2021.1911902</w:t>
        </w:r>
        <w:r>
          <w:rPr>
            <w:spacing w:val="-2"/>
            <w:sz w:val="18"/>
          </w:rPr>
          <w:t>.</w:t>
        </w:r>
      </w:hyperlink>
    </w:p>
    <w:p w:rsidR="00200FDA" w:rsidRDefault="00F76C4C">
      <w:pPr>
        <w:ind w:left="140" w:right="1760" w:hanging="1"/>
        <w:rPr>
          <w:sz w:val="18"/>
        </w:rPr>
      </w:pPr>
      <w:bookmarkStart w:id="416" w:name="_bookmark297"/>
      <w:bookmarkEnd w:id="416"/>
      <w:r>
        <w:rPr>
          <w:position w:val="5"/>
          <w:sz w:val="12"/>
        </w:rPr>
        <w:t>43</w:t>
      </w:r>
      <w:r>
        <w:rPr>
          <w:spacing w:val="9"/>
          <w:position w:val="5"/>
          <w:sz w:val="12"/>
        </w:rPr>
        <w:t xml:space="preserve"> </w:t>
      </w:r>
      <w:r>
        <w:rPr>
          <w:sz w:val="18"/>
        </w:rPr>
        <w:t>Human</w:t>
      </w:r>
      <w:r>
        <w:rPr>
          <w:spacing w:val="-4"/>
          <w:sz w:val="18"/>
        </w:rPr>
        <w:t xml:space="preserve"> </w:t>
      </w:r>
      <w:r>
        <w:rPr>
          <w:sz w:val="18"/>
        </w:rPr>
        <w:t>Rights</w:t>
      </w:r>
      <w:r>
        <w:rPr>
          <w:spacing w:val="-4"/>
          <w:sz w:val="18"/>
        </w:rPr>
        <w:t xml:space="preserve"> </w:t>
      </w:r>
      <w:r>
        <w:rPr>
          <w:sz w:val="18"/>
        </w:rPr>
        <w:t>Campaign.</w:t>
      </w:r>
      <w:r>
        <w:rPr>
          <w:spacing w:val="-1"/>
          <w:sz w:val="18"/>
        </w:rPr>
        <w:t xml:space="preserve"> </w:t>
      </w:r>
      <w:r>
        <w:rPr>
          <w:sz w:val="18"/>
        </w:rPr>
        <w:t>“Understanding</w:t>
      </w:r>
      <w:r>
        <w:rPr>
          <w:spacing w:val="-4"/>
          <w:sz w:val="18"/>
        </w:rPr>
        <w:t xml:space="preserve"> </w:t>
      </w:r>
      <w:r>
        <w:rPr>
          <w:sz w:val="18"/>
        </w:rPr>
        <w:t>Disability</w:t>
      </w:r>
      <w:r>
        <w:rPr>
          <w:spacing w:val="-3"/>
          <w:sz w:val="18"/>
        </w:rPr>
        <w:t xml:space="preserve"> </w:t>
      </w:r>
      <w:r>
        <w:rPr>
          <w:sz w:val="18"/>
        </w:rPr>
        <w:t>in</w:t>
      </w:r>
      <w:r>
        <w:rPr>
          <w:spacing w:val="-4"/>
          <w:sz w:val="18"/>
        </w:rPr>
        <w:t xml:space="preserve"> </w:t>
      </w:r>
      <w:r>
        <w:rPr>
          <w:sz w:val="18"/>
        </w:rPr>
        <w:t>the</w:t>
      </w:r>
      <w:r>
        <w:rPr>
          <w:spacing w:val="-4"/>
          <w:sz w:val="18"/>
        </w:rPr>
        <w:t xml:space="preserve"> </w:t>
      </w:r>
      <w:r>
        <w:rPr>
          <w:sz w:val="18"/>
        </w:rPr>
        <w:t>LGBTQ+</w:t>
      </w:r>
      <w:r>
        <w:rPr>
          <w:spacing w:val="-2"/>
          <w:sz w:val="18"/>
        </w:rPr>
        <w:t xml:space="preserve"> </w:t>
      </w:r>
      <w:r>
        <w:rPr>
          <w:sz w:val="18"/>
        </w:rPr>
        <w:t>Community.”</w:t>
      </w:r>
      <w:r>
        <w:rPr>
          <w:spacing w:val="-4"/>
          <w:sz w:val="18"/>
        </w:rPr>
        <w:t xml:space="preserve"> </w:t>
      </w:r>
      <w:r>
        <w:rPr>
          <w:sz w:val="18"/>
        </w:rPr>
        <w:t>Accessed</w:t>
      </w:r>
      <w:r>
        <w:rPr>
          <w:spacing w:val="-4"/>
          <w:sz w:val="18"/>
        </w:rPr>
        <w:t xml:space="preserve"> </w:t>
      </w:r>
      <w:r>
        <w:rPr>
          <w:sz w:val="18"/>
        </w:rPr>
        <w:t>March</w:t>
      </w:r>
      <w:r>
        <w:rPr>
          <w:spacing w:val="-4"/>
          <w:sz w:val="18"/>
        </w:rPr>
        <w:t xml:space="preserve"> </w:t>
      </w:r>
      <w:r>
        <w:rPr>
          <w:sz w:val="18"/>
        </w:rPr>
        <w:t>5,</w:t>
      </w:r>
      <w:r>
        <w:rPr>
          <w:spacing w:val="-3"/>
          <w:sz w:val="18"/>
        </w:rPr>
        <w:t xml:space="preserve"> </w:t>
      </w:r>
      <w:r>
        <w:rPr>
          <w:sz w:val="18"/>
        </w:rPr>
        <w:t xml:space="preserve">2023. </w:t>
      </w:r>
      <w:hyperlink r:id="rId298">
        <w:r>
          <w:rPr>
            <w:color w:val="1154CC"/>
            <w:spacing w:val="-2"/>
            <w:sz w:val="18"/>
            <w:u w:val="single" w:color="1154CC"/>
          </w:rPr>
          <w:t>https://www.hrc.org/resources/understanding-disabled-lgbtq-people</w:t>
        </w:r>
        <w:r>
          <w:rPr>
            <w:spacing w:val="-2"/>
            <w:sz w:val="18"/>
          </w:rPr>
          <w:t>.</w:t>
        </w:r>
      </w:hyperlink>
    </w:p>
    <w:p w:rsidR="00200FDA" w:rsidRDefault="00F76C4C">
      <w:pPr>
        <w:ind w:left="140" w:hanging="1"/>
        <w:rPr>
          <w:sz w:val="18"/>
        </w:rPr>
      </w:pPr>
      <w:bookmarkStart w:id="417" w:name="_bookmark298"/>
      <w:bookmarkEnd w:id="417"/>
      <w:r>
        <w:rPr>
          <w:position w:val="5"/>
          <w:sz w:val="12"/>
        </w:rPr>
        <w:t>44</w:t>
      </w:r>
      <w:r>
        <w:rPr>
          <w:spacing w:val="9"/>
          <w:position w:val="5"/>
          <w:sz w:val="12"/>
        </w:rPr>
        <w:t xml:space="preserve"> </w:t>
      </w:r>
      <w:r>
        <w:rPr>
          <w:sz w:val="18"/>
        </w:rPr>
        <w:t>“DYS</w:t>
      </w:r>
      <w:r>
        <w:rPr>
          <w:spacing w:val="-5"/>
          <w:sz w:val="18"/>
        </w:rPr>
        <w:t xml:space="preserve"> </w:t>
      </w:r>
      <w:r>
        <w:rPr>
          <w:sz w:val="18"/>
        </w:rPr>
        <w:t>Reports</w:t>
      </w:r>
      <w:r>
        <w:rPr>
          <w:spacing w:val="-5"/>
          <w:sz w:val="18"/>
        </w:rPr>
        <w:t xml:space="preserve"> </w:t>
      </w:r>
      <w:r>
        <w:rPr>
          <w:sz w:val="18"/>
        </w:rPr>
        <w:t>and</w:t>
      </w:r>
      <w:r>
        <w:rPr>
          <w:spacing w:val="-5"/>
          <w:sz w:val="18"/>
        </w:rPr>
        <w:t xml:space="preserve"> </w:t>
      </w:r>
      <w:r>
        <w:rPr>
          <w:sz w:val="18"/>
        </w:rPr>
        <w:t>Resources</w:t>
      </w:r>
      <w:r>
        <w:rPr>
          <w:spacing w:val="-5"/>
          <w:sz w:val="18"/>
        </w:rPr>
        <w:t xml:space="preserve"> </w:t>
      </w:r>
      <w:r>
        <w:rPr>
          <w:sz w:val="18"/>
        </w:rPr>
        <w:t>|</w:t>
      </w:r>
      <w:r>
        <w:rPr>
          <w:spacing w:val="-3"/>
          <w:sz w:val="18"/>
        </w:rPr>
        <w:t xml:space="preserve"> </w:t>
      </w:r>
      <w:r>
        <w:rPr>
          <w:sz w:val="18"/>
        </w:rPr>
        <w:t>Mass.Gov,”</w:t>
      </w:r>
      <w:r>
        <w:rPr>
          <w:spacing w:val="-5"/>
          <w:sz w:val="18"/>
        </w:rPr>
        <w:t xml:space="preserve"> </w:t>
      </w:r>
      <w:r>
        <w:rPr>
          <w:sz w:val="18"/>
        </w:rPr>
        <w:t>accessed</w:t>
      </w:r>
      <w:r>
        <w:rPr>
          <w:spacing w:val="-3"/>
          <w:sz w:val="18"/>
        </w:rPr>
        <w:t xml:space="preserve"> </w:t>
      </w:r>
      <w:r>
        <w:rPr>
          <w:sz w:val="18"/>
        </w:rPr>
        <w:t>March</w:t>
      </w:r>
      <w:r>
        <w:rPr>
          <w:spacing w:val="-5"/>
          <w:sz w:val="18"/>
        </w:rPr>
        <w:t xml:space="preserve"> </w:t>
      </w:r>
      <w:r>
        <w:rPr>
          <w:sz w:val="18"/>
        </w:rPr>
        <w:t>1,</w:t>
      </w:r>
      <w:r>
        <w:rPr>
          <w:spacing w:val="-4"/>
          <w:sz w:val="18"/>
        </w:rPr>
        <w:t xml:space="preserve"> </w:t>
      </w:r>
      <w:r>
        <w:rPr>
          <w:sz w:val="18"/>
        </w:rPr>
        <w:t>2023,</w:t>
      </w:r>
      <w:r>
        <w:rPr>
          <w:spacing w:val="-4"/>
          <w:sz w:val="18"/>
        </w:rPr>
        <w:t xml:space="preserve"> </w:t>
      </w:r>
      <w:r>
        <w:rPr>
          <w:sz w:val="18"/>
        </w:rPr>
        <w:t>https://</w:t>
      </w:r>
      <w:hyperlink r:id="rId299">
        <w:r>
          <w:rPr>
            <w:sz w:val="18"/>
          </w:rPr>
          <w:t>www.mass.gov/service-details/dys-reports-and-</w:t>
        </w:r>
      </w:hyperlink>
      <w:r>
        <w:rPr>
          <w:sz w:val="18"/>
        </w:rPr>
        <w:t xml:space="preserve"> </w:t>
      </w:r>
      <w:r>
        <w:rPr>
          <w:spacing w:val="-2"/>
          <w:sz w:val="18"/>
        </w:rPr>
        <w:t>resources.</w:t>
      </w:r>
    </w:p>
    <w:p w:rsidR="00200FDA" w:rsidRDefault="00F76C4C">
      <w:pPr>
        <w:ind w:left="140" w:right="322" w:hanging="1"/>
        <w:rPr>
          <w:sz w:val="18"/>
        </w:rPr>
      </w:pPr>
      <w:bookmarkStart w:id="418" w:name="_bookmark299"/>
      <w:bookmarkEnd w:id="418"/>
      <w:r>
        <w:rPr>
          <w:position w:val="5"/>
          <w:sz w:val="12"/>
        </w:rPr>
        <w:t>45</w:t>
      </w:r>
      <w:r>
        <w:rPr>
          <w:spacing w:val="10"/>
          <w:position w:val="5"/>
          <w:sz w:val="12"/>
        </w:rPr>
        <w:t xml:space="preserve"> </w:t>
      </w:r>
      <w:r>
        <w:rPr>
          <w:sz w:val="18"/>
        </w:rPr>
        <w:t>Schaub,</w:t>
      </w:r>
      <w:r>
        <w:rPr>
          <w:spacing w:val="-2"/>
          <w:sz w:val="18"/>
        </w:rPr>
        <w:t xml:space="preserve"> </w:t>
      </w:r>
      <w:r>
        <w:rPr>
          <w:sz w:val="18"/>
        </w:rPr>
        <w:t>Jason,</w:t>
      </w:r>
      <w:r>
        <w:rPr>
          <w:spacing w:val="-2"/>
          <w:sz w:val="18"/>
        </w:rPr>
        <w:t xml:space="preserve"> </w:t>
      </w:r>
      <w:r>
        <w:rPr>
          <w:sz w:val="18"/>
        </w:rPr>
        <w:t>Willem</w:t>
      </w:r>
      <w:r>
        <w:rPr>
          <w:spacing w:val="-2"/>
          <w:sz w:val="18"/>
        </w:rPr>
        <w:t xml:space="preserve"> </w:t>
      </w:r>
      <w:r>
        <w:rPr>
          <w:sz w:val="18"/>
        </w:rPr>
        <w:t>J. Stander,</w:t>
      </w:r>
      <w:r>
        <w:rPr>
          <w:spacing w:val="-2"/>
          <w:sz w:val="18"/>
        </w:rPr>
        <w:t xml:space="preserve"> </w:t>
      </w:r>
      <w:r>
        <w:rPr>
          <w:sz w:val="18"/>
        </w:rPr>
        <w:t>and</w:t>
      </w:r>
      <w:r>
        <w:rPr>
          <w:spacing w:val="-3"/>
          <w:sz w:val="18"/>
        </w:rPr>
        <w:t xml:space="preserve"> </w:t>
      </w:r>
      <w:r>
        <w:rPr>
          <w:sz w:val="18"/>
        </w:rPr>
        <w:t>Paul</w:t>
      </w:r>
      <w:r>
        <w:rPr>
          <w:spacing w:val="-3"/>
          <w:sz w:val="18"/>
        </w:rPr>
        <w:t xml:space="preserve"> </w:t>
      </w:r>
      <w:r>
        <w:rPr>
          <w:sz w:val="18"/>
        </w:rPr>
        <w:t>Montgomery.</w:t>
      </w:r>
      <w:r>
        <w:rPr>
          <w:spacing w:val="-2"/>
          <w:sz w:val="18"/>
        </w:rPr>
        <w:t xml:space="preserve"> </w:t>
      </w:r>
      <w:r>
        <w:rPr>
          <w:sz w:val="18"/>
        </w:rPr>
        <w:t>“LGBTQ+</w:t>
      </w:r>
      <w:r>
        <w:rPr>
          <w:spacing w:val="-3"/>
          <w:sz w:val="18"/>
        </w:rPr>
        <w:t xml:space="preserve"> </w:t>
      </w:r>
      <w:r>
        <w:rPr>
          <w:sz w:val="18"/>
        </w:rPr>
        <w:t>Young</w:t>
      </w:r>
      <w:r>
        <w:rPr>
          <w:spacing w:val="-3"/>
          <w:sz w:val="18"/>
        </w:rPr>
        <w:t xml:space="preserve"> </w:t>
      </w:r>
      <w:r>
        <w:rPr>
          <w:sz w:val="18"/>
        </w:rPr>
        <w:t>People’s</w:t>
      </w:r>
      <w:r>
        <w:rPr>
          <w:spacing w:val="-3"/>
          <w:sz w:val="18"/>
        </w:rPr>
        <w:t xml:space="preserve"> </w:t>
      </w:r>
      <w:r>
        <w:rPr>
          <w:sz w:val="18"/>
        </w:rPr>
        <w:t>Health</w:t>
      </w:r>
      <w:r>
        <w:rPr>
          <w:spacing w:val="-3"/>
          <w:sz w:val="18"/>
        </w:rPr>
        <w:t xml:space="preserve"> </w:t>
      </w:r>
      <w:r>
        <w:rPr>
          <w:sz w:val="18"/>
        </w:rPr>
        <w:t>and</w:t>
      </w:r>
      <w:r>
        <w:rPr>
          <w:spacing w:val="-3"/>
          <w:sz w:val="18"/>
        </w:rPr>
        <w:t xml:space="preserve"> </w:t>
      </w:r>
      <w:r>
        <w:rPr>
          <w:sz w:val="18"/>
        </w:rPr>
        <w:t>Well-Being</w:t>
      </w:r>
      <w:r>
        <w:rPr>
          <w:spacing w:val="-3"/>
          <w:sz w:val="18"/>
        </w:rPr>
        <w:t xml:space="preserve"> </w:t>
      </w:r>
      <w:r>
        <w:rPr>
          <w:sz w:val="18"/>
        </w:rPr>
        <w:t>Experiences</w:t>
      </w:r>
      <w:r>
        <w:rPr>
          <w:spacing w:val="-1"/>
          <w:sz w:val="18"/>
        </w:rPr>
        <w:t xml:space="preserve"> </w:t>
      </w:r>
      <w:r>
        <w:rPr>
          <w:sz w:val="18"/>
        </w:rPr>
        <w:t>in</w:t>
      </w:r>
      <w:r>
        <w:rPr>
          <w:spacing w:val="-3"/>
          <w:sz w:val="18"/>
        </w:rPr>
        <w:t xml:space="preserve"> </w:t>
      </w:r>
      <w:r>
        <w:rPr>
          <w:sz w:val="18"/>
        </w:rPr>
        <w:t xml:space="preserve">Out- of-Home Social Care: A Scoping Review.” </w:t>
      </w:r>
      <w:r>
        <w:rPr>
          <w:i/>
          <w:sz w:val="18"/>
        </w:rPr>
        <w:t xml:space="preserve">Children and Youth Services Review </w:t>
      </w:r>
      <w:r>
        <w:rPr>
          <w:sz w:val="18"/>
        </w:rPr>
        <w:t xml:space="preserve">143 (December 2022): 106682. </w:t>
      </w:r>
      <w:hyperlink r:id="rId300">
        <w:r>
          <w:rPr>
            <w:color w:val="1154CC"/>
            <w:spacing w:val="-2"/>
            <w:sz w:val="18"/>
            <w:u w:val="single" w:color="1154CC"/>
          </w:rPr>
          <w:t>https://doi.org/10.1016/j.childyouth.2022.106682</w:t>
        </w:r>
        <w:r>
          <w:rPr>
            <w:spacing w:val="-2"/>
            <w:sz w:val="18"/>
          </w:rPr>
          <w:t>.</w:t>
        </w:r>
      </w:hyperlink>
    </w:p>
    <w:p w:rsidR="00200FDA" w:rsidRDefault="00F76C4C">
      <w:pPr>
        <w:ind w:left="139" w:right="432"/>
        <w:rPr>
          <w:sz w:val="18"/>
        </w:rPr>
      </w:pPr>
      <w:bookmarkStart w:id="419" w:name="_bookmark300"/>
      <w:bookmarkEnd w:id="419"/>
      <w:r>
        <w:rPr>
          <w:position w:val="5"/>
          <w:sz w:val="12"/>
        </w:rPr>
        <w:t>46</w:t>
      </w:r>
      <w:r>
        <w:rPr>
          <w:spacing w:val="10"/>
          <w:position w:val="5"/>
          <w:sz w:val="12"/>
        </w:rPr>
        <w:t xml:space="preserve"> </w:t>
      </w:r>
      <w:r>
        <w:rPr>
          <w:sz w:val="18"/>
        </w:rPr>
        <w:t>McCormick,</w:t>
      </w:r>
      <w:r>
        <w:rPr>
          <w:spacing w:val="-2"/>
          <w:sz w:val="18"/>
        </w:rPr>
        <w:t xml:space="preserve"> </w:t>
      </w:r>
      <w:r>
        <w:rPr>
          <w:sz w:val="18"/>
        </w:rPr>
        <w:t>Adam,</w:t>
      </w:r>
      <w:r>
        <w:rPr>
          <w:spacing w:val="-2"/>
          <w:sz w:val="18"/>
        </w:rPr>
        <w:t xml:space="preserve"> </w:t>
      </w:r>
      <w:r>
        <w:rPr>
          <w:sz w:val="18"/>
        </w:rPr>
        <w:t>Kathryn</w:t>
      </w:r>
      <w:r>
        <w:rPr>
          <w:spacing w:val="-3"/>
          <w:sz w:val="18"/>
        </w:rPr>
        <w:t xml:space="preserve"> </w:t>
      </w:r>
      <w:r>
        <w:rPr>
          <w:sz w:val="18"/>
        </w:rPr>
        <w:t>S</w:t>
      </w:r>
      <w:r>
        <w:rPr>
          <w:sz w:val="18"/>
        </w:rPr>
        <w:t>chmidt,</w:t>
      </w:r>
      <w:r>
        <w:rPr>
          <w:spacing w:val="-2"/>
          <w:sz w:val="18"/>
        </w:rPr>
        <w:t xml:space="preserve"> </w:t>
      </w:r>
      <w:r>
        <w:rPr>
          <w:sz w:val="18"/>
        </w:rPr>
        <w:t>and</w:t>
      </w:r>
      <w:r>
        <w:rPr>
          <w:spacing w:val="-3"/>
          <w:sz w:val="18"/>
        </w:rPr>
        <w:t xml:space="preserve"> </w:t>
      </w:r>
      <w:r>
        <w:rPr>
          <w:sz w:val="18"/>
        </w:rPr>
        <w:t>Samuel</w:t>
      </w:r>
      <w:r>
        <w:rPr>
          <w:spacing w:val="-3"/>
          <w:sz w:val="18"/>
        </w:rPr>
        <w:t xml:space="preserve"> </w:t>
      </w:r>
      <w:r>
        <w:rPr>
          <w:sz w:val="18"/>
        </w:rPr>
        <w:t>Terrazas. “LGBTQ</w:t>
      </w:r>
      <w:r>
        <w:rPr>
          <w:spacing w:val="-3"/>
          <w:sz w:val="18"/>
        </w:rPr>
        <w:t xml:space="preserve"> </w:t>
      </w:r>
      <w:r>
        <w:rPr>
          <w:sz w:val="18"/>
        </w:rPr>
        <w:t>Youth</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Child</w:t>
      </w:r>
      <w:r>
        <w:rPr>
          <w:spacing w:val="-3"/>
          <w:sz w:val="18"/>
        </w:rPr>
        <w:t xml:space="preserve"> </w:t>
      </w:r>
      <w:r>
        <w:rPr>
          <w:sz w:val="18"/>
        </w:rPr>
        <w:t>Welfare</w:t>
      </w:r>
      <w:r>
        <w:rPr>
          <w:spacing w:val="-1"/>
          <w:sz w:val="18"/>
        </w:rPr>
        <w:t xml:space="preserve"> </w:t>
      </w:r>
      <w:r>
        <w:rPr>
          <w:sz w:val="18"/>
        </w:rPr>
        <w:t>System:</w:t>
      </w:r>
      <w:r>
        <w:rPr>
          <w:spacing w:val="-2"/>
          <w:sz w:val="18"/>
        </w:rPr>
        <w:t xml:space="preserve"> </w:t>
      </w:r>
      <w:r>
        <w:rPr>
          <w:sz w:val="18"/>
        </w:rPr>
        <w:t>An</w:t>
      </w:r>
      <w:r>
        <w:rPr>
          <w:spacing w:val="-3"/>
          <w:sz w:val="18"/>
        </w:rPr>
        <w:t xml:space="preserve"> </w:t>
      </w:r>
      <w:r>
        <w:rPr>
          <w:sz w:val="18"/>
        </w:rPr>
        <w:t>Overview</w:t>
      </w:r>
      <w:r>
        <w:rPr>
          <w:spacing w:val="-1"/>
          <w:sz w:val="18"/>
        </w:rPr>
        <w:t xml:space="preserve"> </w:t>
      </w:r>
      <w:r>
        <w:rPr>
          <w:sz w:val="18"/>
        </w:rPr>
        <w:t xml:space="preserve">of Research, Practice, and Policy.” </w:t>
      </w:r>
      <w:r>
        <w:rPr>
          <w:i/>
          <w:sz w:val="18"/>
        </w:rPr>
        <w:t xml:space="preserve">Journal of Public Child Welfare </w:t>
      </w:r>
      <w:r>
        <w:rPr>
          <w:sz w:val="18"/>
        </w:rPr>
        <w:t xml:space="preserve">11, no. 1 (January 2017): 27–39. </w:t>
      </w:r>
      <w:hyperlink r:id="rId301">
        <w:r>
          <w:rPr>
            <w:color w:val="1154CC"/>
            <w:spacing w:val="-2"/>
            <w:sz w:val="18"/>
            <w:u w:val="single" w:color="1154CC"/>
          </w:rPr>
          <w:t>https:/</w:t>
        </w:r>
        <w:r>
          <w:rPr>
            <w:color w:val="1154CC"/>
            <w:spacing w:val="-2"/>
            <w:sz w:val="18"/>
            <w:u w:val="single" w:color="1154CC"/>
          </w:rPr>
          <w:t>/doi.org/10.1080/15548732.2016.1221368</w:t>
        </w:r>
        <w:r>
          <w:rPr>
            <w:spacing w:val="-2"/>
            <w:sz w:val="18"/>
          </w:rPr>
          <w:t>.</w:t>
        </w:r>
      </w:hyperlink>
    </w:p>
    <w:p w:rsidR="00200FDA" w:rsidRDefault="00F76C4C">
      <w:pPr>
        <w:ind w:left="140" w:right="305"/>
        <w:rPr>
          <w:sz w:val="18"/>
        </w:rPr>
      </w:pPr>
      <w:bookmarkStart w:id="420" w:name="_bookmark301"/>
      <w:bookmarkEnd w:id="420"/>
      <w:r>
        <w:rPr>
          <w:position w:val="5"/>
          <w:sz w:val="12"/>
        </w:rPr>
        <w:t>47</w:t>
      </w:r>
      <w:r>
        <w:rPr>
          <w:spacing w:val="9"/>
          <w:position w:val="5"/>
          <w:sz w:val="12"/>
        </w:rPr>
        <w:t xml:space="preserve"> </w:t>
      </w:r>
      <w:r>
        <w:rPr>
          <w:color w:val="000000"/>
          <w:sz w:val="18"/>
          <w:shd w:val="clear" w:color="auto" w:fill="FBE4CD"/>
        </w:rPr>
        <w:t>P.</w:t>
      </w:r>
      <w:r>
        <w:rPr>
          <w:color w:val="000000"/>
          <w:spacing w:val="-3"/>
          <w:sz w:val="18"/>
          <w:shd w:val="clear" w:color="auto" w:fill="FBE4CD"/>
        </w:rPr>
        <w:t xml:space="preserve"> </w:t>
      </w:r>
      <w:r>
        <w:rPr>
          <w:color w:val="000000"/>
          <w:sz w:val="18"/>
          <w:shd w:val="clear" w:color="auto" w:fill="FBE4CD"/>
        </w:rPr>
        <w:t>170.</w:t>
      </w:r>
      <w:r>
        <w:rPr>
          <w:color w:val="000000"/>
          <w:spacing w:val="-3"/>
          <w:sz w:val="18"/>
        </w:rPr>
        <w:t xml:space="preserve"> </w:t>
      </w:r>
      <w:r>
        <w:rPr>
          <w:color w:val="000000"/>
          <w:sz w:val="18"/>
        </w:rPr>
        <w:t>Bochicchio,</w:t>
      </w:r>
      <w:r>
        <w:rPr>
          <w:color w:val="000000"/>
          <w:spacing w:val="-5"/>
          <w:sz w:val="18"/>
        </w:rPr>
        <w:t xml:space="preserve"> </w:t>
      </w:r>
      <w:r>
        <w:rPr>
          <w:color w:val="000000"/>
          <w:sz w:val="18"/>
        </w:rPr>
        <w:t>Lauren,</w:t>
      </w:r>
      <w:r>
        <w:rPr>
          <w:color w:val="000000"/>
          <w:spacing w:val="-3"/>
          <w:sz w:val="18"/>
        </w:rPr>
        <w:t xml:space="preserve"> </w:t>
      </w:r>
      <w:r>
        <w:rPr>
          <w:color w:val="000000"/>
          <w:sz w:val="18"/>
        </w:rPr>
        <w:t>Kelsey</w:t>
      </w:r>
      <w:r>
        <w:rPr>
          <w:color w:val="000000"/>
          <w:spacing w:val="-3"/>
          <w:sz w:val="18"/>
        </w:rPr>
        <w:t xml:space="preserve"> </w:t>
      </w:r>
      <w:r>
        <w:rPr>
          <w:color w:val="000000"/>
          <w:sz w:val="18"/>
        </w:rPr>
        <w:t>Reeder,</w:t>
      </w:r>
      <w:r>
        <w:rPr>
          <w:color w:val="000000"/>
          <w:spacing w:val="-3"/>
          <w:sz w:val="18"/>
        </w:rPr>
        <w:t xml:space="preserve"> </w:t>
      </w:r>
      <w:r>
        <w:rPr>
          <w:color w:val="000000"/>
          <w:sz w:val="18"/>
        </w:rPr>
        <w:t>Andre</w:t>
      </w:r>
      <w:r>
        <w:rPr>
          <w:color w:val="000000"/>
          <w:spacing w:val="-4"/>
          <w:sz w:val="18"/>
        </w:rPr>
        <w:t xml:space="preserve"> </w:t>
      </w:r>
      <w:r>
        <w:rPr>
          <w:color w:val="000000"/>
          <w:sz w:val="18"/>
        </w:rPr>
        <w:t>Ivanoff,</w:t>
      </w:r>
      <w:r>
        <w:rPr>
          <w:color w:val="000000"/>
          <w:spacing w:val="-3"/>
          <w:sz w:val="18"/>
        </w:rPr>
        <w:t xml:space="preserve"> </w:t>
      </w:r>
      <w:r>
        <w:rPr>
          <w:color w:val="000000"/>
          <w:sz w:val="18"/>
        </w:rPr>
        <w:t>Hunter</w:t>
      </w:r>
      <w:r>
        <w:rPr>
          <w:color w:val="000000"/>
          <w:spacing w:val="-1"/>
          <w:sz w:val="18"/>
        </w:rPr>
        <w:t xml:space="preserve"> </w:t>
      </w:r>
      <w:r>
        <w:rPr>
          <w:color w:val="000000"/>
          <w:sz w:val="18"/>
        </w:rPr>
        <w:t>Pope,</w:t>
      </w:r>
      <w:r>
        <w:rPr>
          <w:color w:val="000000"/>
          <w:spacing w:val="-3"/>
          <w:sz w:val="18"/>
        </w:rPr>
        <w:t xml:space="preserve"> </w:t>
      </w:r>
      <w:r>
        <w:rPr>
          <w:color w:val="000000"/>
          <w:sz w:val="18"/>
        </w:rPr>
        <w:t>and</w:t>
      </w:r>
      <w:r>
        <w:rPr>
          <w:color w:val="000000"/>
          <w:spacing w:val="-4"/>
          <w:sz w:val="18"/>
        </w:rPr>
        <w:t xml:space="preserve"> </w:t>
      </w:r>
      <w:r>
        <w:rPr>
          <w:color w:val="000000"/>
          <w:sz w:val="18"/>
        </w:rPr>
        <w:t>Ana</w:t>
      </w:r>
      <w:r>
        <w:rPr>
          <w:color w:val="000000"/>
          <w:spacing w:val="-1"/>
          <w:sz w:val="18"/>
        </w:rPr>
        <w:t xml:space="preserve"> </w:t>
      </w:r>
      <w:r>
        <w:rPr>
          <w:color w:val="000000"/>
          <w:sz w:val="18"/>
        </w:rPr>
        <w:t>Stefancic.</w:t>
      </w:r>
      <w:r>
        <w:rPr>
          <w:color w:val="000000"/>
          <w:spacing w:val="-3"/>
          <w:sz w:val="18"/>
        </w:rPr>
        <w:t xml:space="preserve"> </w:t>
      </w:r>
      <w:r>
        <w:rPr>
          <w:color w:val="000000"/>
          <w:sz w:val="18"/>
        </w:rPr>
        <w:t>“Psychotherapeutic</w:t>
      </w:r>
      <w:r>
        <w:rPr>
          <w:color w:val="000000"/>
          <w:spacing w:val="-3"/>
          <w:sz w:val="18"/>
        </w:rPr>
        <w:t xml:space="preserve"> </w:t>
      </w:r>
      <w:r>
        <w:rPr>
          <w:color w:val="000000"/>
          <w:sz w:val="18"/>
        </w:rPr>
        <w:t xml:space="preserve">Interventions for LGBTQ + Youth: A Systematic Review.” </w:t>
      </w:r>
      <w:r>
        <w:rPr>
          <w:i/>
          <w:color w:val="000000"/>
          <w:sz w:val="18"/>
        </w:rPr>
        <w:t xml:space="preserve">Journal of LGBT Youth </w:t>
      </w:r>
      <w:r>
        <w:rPr>
          <w:color w:val="000000"/>
          <w:sz w:val="18"/>
        </w:rPr>
        <w:t xml:space="preserve">19, no. 2 (April 3, 2022): 152–79. </w:t>
      </w:r>
      <w:hyperlink r:id="rId302">
        <w:r>
          <w:rPr>
            <w:color w:val="1154CC"/>
            <w:spacing w:val="-2"/>
            <w:sz w:val="18"/>
            <w:u w:val="single" w:color="1154CC"/>
          </w:rPr>
          <w:t>https://doi.org/10.1080/19361653.2020.1766393</w:t>
        </w:r>
        <w:r>
          <w:rPr>
            <w:color w:val="000000"/>
            <w:spacing w:val="-2"/>
            <w:sz w:val="18"/>
          </w:rPr>
          <w:t>.</w:t>
        </w:r>
      </w:hyperlink>
    </w:p>
    <w:p w:rsidR="00200FDA" w:rsidRDefault="00F76C4C">
      <w:pPr>
        <w:ind w:left="140"/>
        <w:rPr>
          <w:sz w:val="18"/>
        </w:rPr>
      </w:pPr>
      <w:bookmarkStart w:id="421" w:name="_bookmark302"/>
      <w:bookmarkEnd w:id="421"/>
      <w:r>
        <w:rPr>
          <w:position w:val="5"/>
          <w:sz w:val="12"/>
        </w:rPr>
        <w:t>48</w:t>
      </w:r>
      <w:r>
        <w:rPr>
          <w:spacing w:val="9"/>
          <w:position w:val="5"/>
          <w:sz w:val="12"/>
        </w:rPr>
        <w:t xml:space="preserve"> </w:t>
      </w:r>
      <w:r>
        <w:rPr>
          <w:sz w:val="18"/>
        </w:rPr>
        <w:t>Coulter,</w:t>
      </w:r>
      <w:r>
        <w:rPr>
          <w:spacing w:val="-2"/>
          <w:sz w:val="18"/>
        </w:rPr>
        <w:t xml:space="preserve"> </w:t>
      </w:r>
      <w:r>
        <w:rPr>
          <w:sz w:val="18"/>
        </w:rPr>
        <w:t>Robert</w:t>
      </w:r>
      <w:r>
        <w:rPr>
          <w:spacing w:val="-3"/>
          <w:sz w:val="18"/>
        </w:rPr>
        <w:t xml:space="preserve"> </w:t>
      </w:r>
      <w:r>
        <w:rPr>
          <w:sz w:val="18"/>
        </w:rPr>
        <w:t>W.</w:t>
      </w:r>
      <w:r>
        <w:rPr>
          <w:spacing w:val="-3"/>
          <w:sz w:val="18"/>
        </w:rPr>
        <w:t xml:space="preserve"> </w:t>
      </w:r>
      <w:r>
        <w:rPr>
          <w:sz w:val="18"/>
        </w:rPr>
        <w:t>S.,</w:t>
      </w:r>
      <w:r>
        <w:rPr>
          <w:spacing w:val="-2"/>
          <w:sz w:val="18"/>
        </w:rPr>
        <w:t xml:space="preserve"> </w:t>
      </w:r>
      <w:r>
        <w:rPr>
          <w:sz w:val="18"/>
        </w:rPr>
        <w:t>James</w:t>
      </w:r>
      <w:r>
        <w:rPr>
          <w:spacing w:val="-3"/>
          <w:sz w:val="18"/>
        </w:rPr>
        <w:t xml:space="preserve"> </w:t>
      </w:r>
      <w:r>
        <w:rPr>
          <w:sz w:val="18"/>
        </w:rPr>
        <w:t>E.</w:t>
      </w:r>
      <w:r>
        <w:rPr>
          <w:spacing w:val="-2"/>
          <w:sz w:val="18"/>
        </w:rPr>
        <w:t xml:space="preserve"> </w:t>
      </w:r>
      <w:r>
        <w:rPr>
          <w:sz w:val="18"/>
        </w:rPr>
        <w:t>Egan,</w:t>
      </w:r>
      <w:r>
        <w:rPr>
          <w:spacing w:val="-3"/>
          <w:sz w:val="18"/>
        </w:rPr>
        <w:t xml:space="preserve"> </w:t>
      </w:r>
      <w:r>
        <w:rPr>
          <w:sz w:val="18"/>
        </w:rPr>
        <w:t>Suzanne</w:t>
      </w:r>
      <w:r>
        <w:rPr>
          <w:spacing w:val="-3"/>
          <w:sz w:val="18"/>
        </w:rPr>
        <w:t xml:space="preserve"> </w:t>
      </w:r>
      <w:r>
        <w:rPr>
          <w:sz w:val="18"/>
        </w:rPr>
        <w:t>Kinsky,</w:t>
      </w:r>
      <w:r>
        <w:rPr>
          <w:spacing w:val="-2"/>
          <w:sz w:val="18"/>
        </w:rPr>
        <w:t xml:space="preserve"> </w:t>
      </w:r>
      <w:r>
        <w:rPr>
          <w:sz w:val="18"/>
        </w:rPr>
        <w:t>M.</w:t>
      </w:r>
      <w:r>
        <w:rPr>
          <w:spacing w:val="-2"/>
          <w:sz w:val="18"/>
        </w:rPr>
        <w:t xml:space="preserve"> </w:t>
      </w:r>
      <w:r>
        <w:rPr>
          <w:sz w:val="18"/>
        </w:rPr>
        <w:t>Reuel</w:t>
      </w:r>
      <w:r>
        <w:rPr>
          <w:spacing w:val="-1"/>
          <w:sz w:val="18"/>
        </w:rPr>
        <w:t xml:space="preserve"> </w:t>
      </w:r>
      <w:r>
        <w:rPr>
          <w:sz w:val="18"/>
        </w:rPr>
        <w:t>Friedman,</w:t>
      </w:r>
      <w:r>
        <w:rPr>
          <w:spacing w:val="-2"/>
          <w:sz w:val="18"/>
        </w:rPr>
        <w:t xml:space="preserve"> </w:t>
      </w:r>
      <w:r>
        <w:rPr>
          <w:sz w:val="18"/>
        </w:rPr>
        <w:t>Kristen</w:t>
      </w:r>
      <w:r>
        <w:rPr>
          <w:spacing w:val="-3"/>
          <w:sz w:val="18"/>
        </w:rPr>
        <w:t xml:space="preserve"> </w:t>
      </w:r>
      <w:r>
        <w:rPr>
          <w:sz w:val="18"/>
        </w:rPr>
        <w:t>L.</w:t>
      </w:r>
      <w:r>
        <w:rPr>
          <w:spacing w:val="-3"/>
          <w:sz w:val="18"/>
        </w:rPr>
        <w:t xml:space="preserve"> </w:t>
      </w:r>
      <w:r>
        <w:rPr>
          <w:sz w:val="18"/>
        </w:rPr>
        <w:t>Eckstrand,</w:t>
      </w:r>
      <w:r>
        <w:rPr>
          <w:spacing w:val="-2"/>
          <w:sz w:val="18"/>
        </w:rPr>
        <w:t xml:space="preserve"> </w:t>
      </w:r>
      <w:r>
        <w:rPr>
          <w:sz w:val="18"/>
        </w:rPr>
        <w:t>Jessica</w:t>
      </w:r>
      <w:r>
        <w:rPr>
          <w:spacing w:val="-2"/>
          <w:sz w:val="18"/>
        </w:rPr>
        <w:t xml:space="preserve"> </w:t>
      </w:r>
      <w:r>
        <w:rPr>
          <w:sz w:val="18"/>
        </w:rPr>
        <w:t>Frankeberger,</w:t>
      </w:r>
      <w:r>
        <w:rPr>
          <w:spacing w:val="-2"/>
          <w:sz w:val="18"/>
        </w:rPr>
        <w:t xml:space="preserve"> Barbara</w:t>
      </w:r>
    </w:p>
    <w:p w:rsidR="00200FDA" w:rsidRDefault="00F76C4C">
      <w:pPr>
        <w:spacing w:line="219" w:lineRule="exact"/>
        <w:ind w:left="140"/>
        <w:rPr>
          <w:i/>
          <w:sz w:val="18"/>
        </w:rPr>
      </w:pPr>
      <w:r>
        <w:rPr>
          <w:sz w:val="18"/>
        </w:rPr>
        <w:t>L.</w:t>
      </w:r>
      <w:r>
        <w:rPr>
          <w:spacing w:val="-4"/>
          <w:sz w:val="18"/>
        </w:rPr>
        <w:t xml:space="preserve"> </w:t>
      </w:r>
      <w:r>
        <w:rPr>
          <w:sz w:val="18"/>
        </w:rPr>
        <w:t>Folb,</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“Mental</w:t>
      </w:r>
      <w:r>
        <w:rPr>
          <w:spacing w:val="-3"/>
          <w:sz w:val="18"/>
        </w:rPr>
        <w:t xml:space="preserve"> </w:t>
      </w:r>
      <w:r>
        <w:rPr>
          <w:sz w:val="18"/>
        </w:rPr>
        <w:t>Health,</w:t>
      </w:r>
      <w:r>
        <w:rPr>
          <w:spacing w:val="-2"/>
          <w:sz w:val="18"/>
        </w:rPr>
        <w:t xml:space="preserve"> </w:t>
      </w:r>
      <w:r>
        <w:rPr>
          <w:sz w:val="18"/>
        </w:rPr>
        <w:t>Drug,</w:t>
      </w:r>
      <w:r>
        <w:rPr>
          <w:spacing w:val="-2"/>
          <w:sz w:val="18"/>
        </w:rPr>
        <w:t xml:space="preserve"> </w:t>
      </w:r>
      <w:r>
        <w:rPr>
          <w:sz w:val="18"/>
        </w:rPr>
        <w:t>and</w:t>
      </w:r>
      <w:r>
        <w:rPr>
          <w:spacing w:val="-3"/>
          <w:sz w:val="18"/>
        </w:rPr>
        <w:t xml:space="preserve"> </w:t>
      </w:r>
      <w:r>
        <w:rPr>
          <w:sz w:val="18"/>
        </w:rPr>
        <w:t>Violence</w:t>
      </w:r>
      <w:r>
        <w:rPr>
          <w:spacing w:val="-3"/>
          <w:sz w:val="18"/>
        </w:rPr>
        <w:t xml:space="preserve"> </w:t>
      </w:r>
      <w:r>
        <w:rPr>
          <w:sz w:val="18"/>
        </w:rPr>
        <w:t>Interventions</w:t>
      </w:r>
      <w:r>
        <w:rPr>
          <w:spacing w:val="-3"/>
          <w:sz w:val="18"/>
        </w:rPr>
        <w:t xml:space="preserve"> </w:t>
      </w:r>
      <w:r>
        <w:rPr>
          <w:sz w:val="18"/>
        </w:rPr>
        <w:t>for Sexual/Gender</w:t>
      </w:r>
      <w:r>
        <w:rPr>
          <w:spacing w:val="-3"/>
          <w:sz w:val="18"/>
        </w:rPr>
        <w:t xml:space="preserve"> </w:t>
      </w:r>
      <w:r>
        <w:rPr>
          <w:sz w:val="18"/>
        </w:rPr>
        <w:t>Minorities: A</w:t>
      </w:r>
      <w:r>
        <w:rPr>
          <w:spacing w:val="-3"/>
          <w:sz w:val="18"/>
        </w:rPr>
        <w:t xml:space="preserve"> </w:t>
      </w:r>
      <w:r>
        <w:rPr>
          <w:sz w:val="18"/>
        </w:rPr>
        <w:t>Systematic</w:t>
      </w:r>
      <w:r>
        <w:rPr>
          <w:spacing w:val="-2"/>
          <w:sz w:val="18"/>
        </w:rPr>
        <w:t xml:space="preserve"> </w:t>
      </w:r>
      <w:r>
        <w:rPr>
          <w:sz w:val="18"/>
        </w:rPr>
        <w:t>Review.”</w:t>
      </w:r>
      <w:r>
        <w:rPr>
          <w:spacing w:val="-2"/>
          <w:sz w:val="18"/>
        </w:rPr>
        <w:t xml:space="preserve"> </w:t>
      </w:r>
      <w:r>
        <w:rPr>
          <w:i/>
          <w:spacing w:val="-2"/>
          <w:sz w:val="18"/>
        </w:rPr>
        <w:t>Pediatrics</w:t>
      </w:r>
    </w:p>
    <w:p w:rsidR="00200FDA" w:rsidRDefault="00F76C4C">
      <w:pPr>
        <w:spacing w:line="219" w:lineRule="exact"/>
        <w:ind w:left="140"/>
        <w:rPr>
          <w:sz w:val="18"/>
        </w:rPr>
      </w:pPr>
      <w:r>
        <w:rPr>
          <w:sz w:val="18"/>
        </w:rPr>
        <w:t>144,</w:t>
      </w:r>
      <w:r>
        <w:rPr>
          <w:spacing w:val="-5"/>
          <w:sz w:val="18"/>
        </w:rPr>
        <w:t xml:space="preserve"> </w:t>
      </w:r>
      <w:r>
        <w:rPr>
          <w:sz w:val="18"/>
        </w:rPr>
        <w:t>no.</w:t>
      </w:r>
      <w:r>
        <w:rPr>
          <w:spacing w:val="-2"/>
          <w:sz w:val="18"/>
        </w:rPr>
        <w:t xml:space="preserve"> </w:t>
      </w:r>
      <w:r>
        <w:rPr>
          <w:sz w:val="18"/>
        </w:rPr>
        <w:t>3</w:t>
      </w:r>
      <w:r>
        <w:rPr>
          <w:spacing w:val="-2"/>
          <w:sz w:val="18"/>
        </w:rPr>
        <w:t xml:space="preserve"> </w:t>
      </w:r>
      <w:r>
        <w:rPr>
          <w:sz w:val="18"/>
        </w:rPr>
        <w:t>(September</w:t>
      </w:r>
      <w:r>
        <w:rPr>
          <w:spacing w:val="-3"/>
          <w:sz w:val="18"/>
        </w:rPr>
        <w:t xml:space="preserve"> </w:t>
      </w:r>
      <w:r>
        <w:rPr>
          <w:sz w:val="18"/>
        </w:rPr>
        <w:t>1,</w:t>
      </w:r>
      <w:r>
        <w:rPr>
          <w:spacing w:val="-2"/>
          <w:sz w:val="18"/>
        </w:rPr>
        <w:t xml:space="preserve"> </w:t>
      </w:r>
      <w:r>
        <w:rPr>
          <w:sz w:val="18"/>
        </w:rPr>
        <w:t>2019):</w:t>
      </w:r>
      <w:r>
        <w:rPr>
          <w:spacing w:val="-2"/>
          <w:sz w:val="18"/>
        </w:rPr>
        <w:t xml:space="preserve"> </w:t>
      </w:r>
      <w:r>
        <w:rPr>
          <w:sz w:val="18"/>
        </w:rPr>
        <w:t>e20183367.</w:t>
      </w:r>
      <w:r>
        <w:rPr>
          <w:spacing w:val="-2"/>
          <w:sz w:val="18"/>
        </w:rPr>
        <w:t xml:space="preserve"> </w:t>
      </w:r>
      <w:hyperlink r:id="rId303">
        <w:r>
          <w:rPr>
            <w:color w:val="1154CC"/>
            <w:sz w:val="18"/>
            <w:u w:val="single" w:color="1154CC"/>
          </w:rPr>
          <w:t>https://doi.org/10.1542/peds.2018-</w:t>
        </w:r>
        <w:r>
          <w:rPr>
            <w:color w:val="1154CC"/>
            <w:spacing w:val="-2"/>
            <w:sz w:val="18"/>
            <w:u w:val="single" w:color="1154CC"/>
          </w:rPr>
          <w:t>3367</w:t>
        </w:r>
        <w:r>
          <w:rPr>
            <w:spacing w:val="-2"/>
            <w:sz w:val="18"/>
          </w:rPr>
          <w:t>.</w:t>
        </w:r>
      </w:hyperlink>
    </w:p>
    <w:p w:rsidR="00200FDA" w:rsidRDefault="00200FDA">
      <w:pPr>
        <w:spacing w:line="219" w:lineRule="exact"/>
        <w:rPr>
          <w:sz w:val="18"/>
        </w:rPr>
        <w:sectPr w:rsidR="00200FDA">
          <w:pgSz w:w="12240" w:h="15840"/>
          <w:pgMar w:top="1360" w:right="1180" w:bottom="1480" w:left="1300" w:header="761" w:footer="1208" w:gutter="0"/>
          <w:cols w:space="720"/>
        </w:sectPr>
      </w:pPr>
    </w:p>
    <w:p w:rsidR="00200FDA" w:rsidRDefault="00200FDA">
      <w:pPr>
        <w:pStyle w:val="BodyText"/>
        <w:spacing w:before="10"/>
        <w:rPr>
          <w:sz w:val="19"/>
        </w:rPr>
      </w:pPr>
    </w:p>
    <w:p w:rsidR="00200FDA" w:rsidRDefault="00F76C4C">
      <w:pPr>
        <w:spacing w:before="69"/>
        <w:ind w:left="140" w:right="305" w:hanging="1"/>
        <w:rPr>
          <w:sz w:val="18"/>
        </w:rPr>
      </w:pPr>
      <w:bookmarkStart w:id="422" w:name="_bookmark303"/>
      <w:bookmarkEnd w:id="422"/>
      <w:r>
        <w:rPr>
          <w:position w:val="5"/>
          <w:sz w:val="12"/>
        </w:rPr>
        <w:t>49</w:t>
      </w:r>
      <w:r>
        <w:rPr>
          <w:spacing w:val="21"/>
          <w:position w:val="5"/>
          <w:sz w:val="12"/>
        </w:rPr>
        <w:t xml:space="preserve"> </w:t>
      </w:r>
      <w:r>
        <w:rPr>
          <w:sz w:val="18"/>
        </w:rPr>
        <w:t>McCormick, Adam, Karey Scheyd, and Samuel Terrazas. “Trauma-Informed Care and LGBTQ Youth: Considerations for Advancing</w:t>
      </w:r>
      <w:r>
        <w:rPr>
          <w:spacing w:val="-3"/>
          <w:sz w:val="18"/>
        </w:rPr>
        <w:t xml:space="preserve"> </w:t>
      </w:r>
      <w:r>
        <w:rPr>
          <w:sz w:val="18"/>
        </w:rPr>
        <w:t>Practice</w:t>
      </w:r>
      <w:r>
        <w:rPr>
          <w:spacing w:val="-3"/>
          <w:sz w:val="18"/>
        </w:rPr>
        <w:t xml:space="preserve"> </w:t>
      </w:r>
      <w:r>
        <w:rPr>
          <w:sz w:val="18"/>
        </w:rPr>
        <w:t>With</w:t>
      </w:r>
      <w:r>
        <w:rPr>
          <w:spacing w:val="-3"/>
          <w:sz w:val="18"/>
        </w:rPr>
        <w:t xml:space="preserve"> </w:t>
      </w:r>
      <w:r>
        <w:rPr>
          <w:sz w:val="18"/>
        </w:rPr>
        <w:t>Youth</w:t>
      </w:r>
      <w:r>
        <w:rPr>
          <w:spacing w:val="-3"/>
          <w:sz w:val="18"/>
        </w:rPr>
        <w:t xml:space="preserve"> </w:t>
      </w:r>
      <w:r>
        <w:rPr>
          <w:sz w:val="18"/>
        </w:rPr>
        <w:t>With</w:t>
      </w:r>
      <w:r>
        <w:rPr>
          <w:spacing w:val="-3"/>
          <w:sz w:val="18"/>
        </w:rPr>
        <w:t xml:space="preserve"> </w:t>
      </w:r>
      <w:r>
        <w:rPr>
          <w:sz w:val="18"/>
        </w:rPr>
        <w:t>Trauma</w:t>
      </w:r>
      <w:r>
        <w:rPr>
          <w:spacing w:val="-2"/>
          <w:sz w:val="18"/>
        </w:rPr>
        <w:t xml:space="preserve"> </w:t>
      </w:r>
      <w:r>
        <w:rPr>
          <w:sz w:val="18"/>
        </w:rPr>
        <w:t>Experiences.”</w:t>
      </w:r>
      <w:r>
        <w:rPr>
          <w:spacing w:val="-1"/>
          <w:sz w:val="18"/>
        </w:rPr>
        <w:t xml:space="preserve"> </w:t>
      </w:r>
      <w:r>
        <w:rPr>
          <w:i/>
          <w:sz w:val="18"/>
        </w:rPr>
        <w:t>Families</w:t>
      </w:r>
      <w:r>
        <w:rPr>
          <w:i/>
          <w:spacing w:val="-3"/>
          <w:sz w:val="18"/>
        </w:rPr>
        <w:t xml:space="preserve"> </w:t>
      </w:r>
      <w:r>
        <w:rPr>
          <w:i/>
          <w:sz w:val="18"/>
        </w:rPr>
        <w:t>in</w:t>
      </w:r>
      <w:r>
        <w:rPr>
          <w:i/>
          <w:spacing w:val="-1"/>
          <w:sz w:val="18"/>
        </w:rPr>
        <w:t xml:space="preserve"> </w:t>
      </w:r>
      <w:r>
        <w:rPr>
          <w:i/>
          <w:sz w:val="18"/>
        </w:rPr>
        <w:t>Society:</w:t>
      </w:r>
      <w:r>
        <w:rPr>
          <w:i/>
          <w:spacing w:val="-3"/>
          <w:sz w:val="18"/>
        </w:rPr>
        <w:t xml:space="preserve"> </w:t>
      </w:r>
      <w:r>
        <w:rPr>
          <w:i/>
          <w:sz w:val="18"/>
        </w:rPr>
        <w:t>The</w:t>
      </w:r>
      <w:r>
        <w:rPr>
          <w:i/>
          <w:spacing w:val="-2"/>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Contemporary</w:t>
      </w:r>
      <w:r>
        <w:rPr>
          <w:i/>
          <w:spacing w:val="-1"/>
          <w:sz w:val="18"/>
        </w:rPr>
        <w:t xml:space="preserve"> </w:t>
      </w:r>
      <w:r>
        <w:rPr>
          <w:i/>
          <w:sz w:val="18"/>
        </w:rPr>
        <w:t>Social</w:t>
      </w:r>
      <w:r>
        <w:rPr>
          <w:i/>
          <w:spacing w:val="-3"/>
          <w:sz w:val="18"/>
        </w:rPr>
        <w:t xml:space="preserve"> </w:t>
      </w:r>
      <w:r>
        <w:rPr>
          <w:i/>
          <w:sz w:val="18"/>
        </w:rPr>
        <w:t>Services</w:t>
      </w:r>
      <w:r>
        <w:rPr>
          <w:i/>
          <w:spacing w:val="-3"/>
          <w:sz w:val="18"/>
        </w:rPr>
        <w:t xml:space="preserve"> </w:t>
      </w:r>
      <w:r>
        <w:rPr>
          <w:sz w:val="18"/>
        </w:rPr>
        <w:t xml:space="preserve">99, no. 2 (April 2018): 160–69. </w:t>
      </w:r>
      <w:hyperlink r:id="rId304">
        <w:r>
          <w:rPr>
            <w:color w:val="1154CC"/>
            <w:sz w:val="18"/>
            <w:u w:val="single" w:color="1154CC"/>
          </w:rPr>
          <w:t>https://doi.org/10.1177/1044389418768550</w:t>
        </w:r>
        <w:r>
          <w:rPr>
            <w:sz w:val="18"/>
          </w:rPr>
          <w:t>.</w:t>
        </w:r>
      </w:hyperlink>
    </w:p>
    <w:p w:rsidR="00200FDA" w:rsidRDefault="00F76C4C">
      <w:pPr>
        <w:spacing w:before="1"/>
        <w:ind w:left="140" w:right="432" w:hanging="1"/>
        <w:rPr>
          <w:sz w:val="18"/>
        </w:rPr>
      </w:pPr>
      <w:bookmarkStart w:id="423" w:name="_bookmark304"/>
      <w:bookmarkEnd w:id="423"/>
      <w:r>
        <w:rPr>
          <w:position w:val="5"/>
          <w:sz w:val="12"/>
        </w:rPr>
        <w:t>50</w:t>
      </w:r>
      <w:r>
        <w:rPr>
          <w:spacing w:val="10"/>
          <w:position w:val="5"/>
          <w:sz w:val="12"/>
        </w:rPr>
        <w:t xml:space="preserve"> </w:t>
      </w:r>
      <w:r>
        <w:rPr>
          <w:sz w:val="18"/>
        </w:rPr>
        <w:t>Fish,</w:t>
      </w:r>
      <w:r>
        <w:rPr>
          <w:spacing w:val="-2"/>
          <w:sz w:val="18"/>
        </w:rPr>
        <w:t xml:space="preserve"> </w:t>
      </w:r>
      <w:r>
        <w:rPr>
          <w:sz w:val="18"/>
        </w:rPr>
        <w:t>Jessica</w:t>
      </w:r>
      <w:r>
        <w:rPr>
          <w:spacing w:val="-2"/>
          <w:sz w:val="18"/>
        </w:rPr>
        <w:t xml:space="preserve"> </w:t>
      </w:r>
      <w:r>
        <w:rPr>
          <w:sz w:val="18"/>
        </w:rPr>
        <w:t>N.</w:t>
      </w:r>
      <w:r>
        <w:rPr>
          <w:spacing w:val="-2"/>
          <w:sz w:val="18"/>
        </w:rPr>
        <w:t xml:space="preserve"> </w:t>
      </w:r>
      <w:r>
        <w:rPr>
          <w:sz w:val="18"/>
        </w:rPr>
        <w:t>“Future</w:t>
      </w:r>
      <w:r>
        <w:rPr>
          <w:spacing w:val="-3"/>
          <w:sz w:val="18"/>
        </w:rPr>
        <w:t xml:space="preserve"> </w:t>
      </w:r>
      <w:r>
        <w:rPr>
          <w:sz w:val="18"/>
        </w:rPr>
        <w:t>Directions</w:t>
      </w:r>
      <w:r>
        <w:rPr>
          <w:spacing w:val="-3"/>
          <w:sz w:val="18"/>
        </w:rPr>
        <w:t xml:space="preserve"> </w:t>
      </w:r>
      <w:r>
        <w:rPr>
          <w:sz w:val="18"/>
        </w:rPr>
        <w:t>in</w:t>
      </w:r>
      <w:r>
        <w:rPr>
          <w:spacing w:val="-3"/>
          <w:sz w:val="18"/>
        </w:rPr>
        <w:t xml:space="preserve"> </w:t>
      </w:r>
      <w:r>
        <w:rPr>
          <w:sz w:val="18"/>
        </w:rPr>
        <w:t>Understanding</w:t>
      </w:r>
      <w:r>
        <w:rPr>
          <w:spacing w:val="-3"/>
          <w:sz w:val="18"/>
        </w:rPr>
        <w:t xml:space="preserve"> </w:t>
      </w:r>
      <w:r>
        <w:rPr>
          <w:sz w:val="18"/>
        </w:rPr>
        <w:t>and</w:t>
      </w:r>
      <w:r>
        <w:rPr>
          <w:spacing w:val="-3"/>
          <w:sz w:val="18"/>
        </w:rPr>
        <w:t xml:space="preserve"> </w:t>
      </w:r>
      <w:r>
        <w:rPr>
          <w:sz w:val="18"/>
        </w:rPr>
        <w:t>Addressing</w:t>
      </w:r>
      <w:r>
        <w:rPr>
          <w:spacing w:val="-3"/>
          <w:sz w:val="18"/>
        </w:rPr>
        <w:t xml:space="preserve"> </w:t>
      </w:r>
      <w:r>
        <w:rPr>
          <w:sz w:val="18"/>
        </w:rPr>
        <w:t>Mental</w:t>
      </w:r>
      <w:r>
        <w:rPr>
          <w:spacing w:val="-3"/>
          <w:sz w:val="18"/>
        </w:rPr>
        <w:t xml:space="preserve"> </w:t>
      </w:r>
      <w:r>
        <w:rPr>
          <w:sz w:val="18"/>
        </w:rPr>
        <w:t>Health</w:t>
      </w:r>
      <w:r>
        <w:rPr>
          <w:spacing w:val="-3"/>
          <w:sz w:val="18"/>
        </w:rPr>
        <w:t xml:space="preserve"> </w:t>
      </w:r>
      <w:r>
        <w:rPr>
          <w:sz w:val="18"/>
        </w:rPr>
        <w:t>among</w:t>
      </w:r>
      <w:r>
        <w:rPr>
          <w:spacing w:val="-3"/>
          <w:sz w:val="18"/>
        </w:rPr>
        <w:t xml:space="preserve"> </w:t>
      </w:r>
      <w:r>
        <w:rPr>
          <w:sz w:val="18"/>
        </w:rPr>
        <w:t>LGBTQ</w:t>
      </w:r>
      <w:r>
        <w:rPr>
          <w:spacing w:val="-3"/>
          <w:sz w:val="18"/>
        </w:rPr>
        <w:t xml:space="preserve"> </w:t>
      </w:r>
      <w:r>
        <w:rPr>
          <w:sz w:val="18"/>
        </w:rPr>
        <w:t>Youth.”</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 xml:space="preserve">Clinical </w:t>
      </w:r>
      <w:bookmarkStart w:id="424" w:name="_bookmark305"/>
      <w:bookmarkEnd w:id="424"/>
      <w:r>
        <w:rPr>
          <w:i/>
          <w:sz w:val="18"/>
        </w:rPr>
        <w:t xml:space="preserve">Child &amp; Adolescent Psychology </w:t>
      </w:r>
      <w:r>
        <w:rPr>
          <w:sz w:val="18"/>
        </w:rPr>
        <w:t xml:space="preserve">49, no. 6 (November 1, 2020): 943–56. </w:t>
      </w:r>
      <w:hyperlink r:id="rId305">
        <w:r>
          <w:rPr>
            <w:color w:val="1154CC"/>
            <w:sz w:val="18"/>
            <w:u w:val="single" w:color="1154CC"/>
          </w:rPr>
          <w:t>https://doi.org/10.1080/15374416.2020.1815207</w:t>
        </w:r>
        <w:r>
          <w:rPr>
            <w:sz w:val="18"/>
          </w:rPr>
          <w:t>.</w:t>
        </w:r>
      </w:hyperlink>
    </w:p>
    <w:p w:rsidR="00200FDA" w:rsidRDefault="00F76C4C">
      <w:pPr>
        <w:ind w:left="140" w:right="305" w:hanging="1"/>
        <w:rPr>
          <w:sz w:val="18"/>
        </w:rPr>
      </w:pPr>
      <w:r>
        <w:rPr>
          <w:position w:val="5"/>
          <w:sz w:val="12"/>
        </w:rPr>
        <w:t>51</w:t>
      </w:r>
      <w:r>
        <w:rPr>
          <w:spacing w:val="18"/>
          <w:position w:val="5"/>
          <w:sz w:val="12"/>
        </w:rPr>
        <w:t xml:space="preserve"> </w:t>
      </w:r>
      <w:r>
        <w:rPr>
          <w:sz w:val="18"/>
        </w:rPr>
        <w:t>Tasnim, Samia, Nusrat Fahmida Tri</w:t>
      </w:r>
      <w:r>
        <w:rPr>
          <w:sz w:val="18"/>
        </w:rPr>
        <w:t>sha, Qiping Fan, Abida Sultana, Shayla Haque Mishu, Nishat Tasnim Hasan, and Md Mahbub</w:t>
      </w:r>
      <w:r>
        <w:rPr>
          <w:spacing w:val="-4"/>
          <w:sz w:val="18"/>
        </w:rPr>
        <w:t xml:space="preserve"> </w:t>
      </w:r>
      <w:r>
        <w:rPr>
          <w:sz w:val="18"/>
        </w:rPr>
        <w:t>Hossain.</w:t>
      </w:r>
      <w:r>
        <w:rPr>
          <w:spacing w:val="-3"/>
          <w:sz w:val="18"/>
        </w:rPr>
        <w:t xml:space="preserve"> </w:t>
      </w:r>
      <w:r>
        <w:rPr>
          <w:sz w:val="18"/>
        </w:rPr>
        <w:t>“Improving</w:t>
      </w:r>
      <w:r>
        <w:rPr>
          <w:spacing w:val="-4"/>
          <w:sz w:val="18"/>
        </w:rPr>
        <w:t xml:space="preserve"> </w:t>
      </w:r>
      <w:r>
        <w:rPr>
          <w:sz w:val="18"/>
        </w:rPr>
        <w:t>Mental</w:t>
      </w:r>
      <w:r>
        <w:rPr>
          <w:spacing w:val="-4"/>
          <w:sz w:val="18"/>
        </w:rPr>
        <w:t xml:space="preserve"> </w:t>
      </w:r>
      <w:r>
        <w:rPr>
          <w:sz w:val="18"/>
        </w:rPr>
        <w:t>Health</w:t>
      </w:r>
      <w:r>
        <w:rPr>
          <w:spacing w:val="-4"/>
          <w:sz w:val="18"/>
        </w:rPr>
        <w:t xml:space="preserve"> </w:t>
      </w:r>
      <w:r>
        <w:rPr>
          <w:sz w:val="18"/>
        </w:rPr>
        <w:t>and</w:t>
      </w:r>
      <w:r>
        <w:rPr>
          <w:spacing w:val="-4"/>
          <w:sz w:val="18"/>
        </w:rPr>
        <w:t xml:space="preserve"> </w:t>
      </w:r>
      <w:r>
        <w:rPr>
          <w:sz w:val="18"/>
        </w:rPr>
        <w:t>Wellbeing</w:t>
      </w:r>
      <w:r>
        <w:rPr>
          <w:spacing w:val="-4"/>
          <w:sz w:val="18"/>
        </w:rPr>
        <w:t xml:space="preserve"> </w:t>
      </w:r>
      <w:r>
        <w:rPr>
          <w:sz w:val="18"/>
        </w:rPr>
        <w:t>among</w:t>
      </w:r>
      <w:r>
        <w:rPr>
          <w:spacing w:val="-2"/>
          <w:sz w:val="18"/>
        </w:rPr>
        <w:t xml:space="preserve"> </w:t>
      </w:r>
      <w:r>
        <w:rPr>
          <w:sz w:val="18"/>
        </w:rPr>
        <w:t>Sexual</w:t>
      </w:r>
      <w:r>
        <w:rPr>
          <w:spacing w:val="-4"/>
          <w:sz w:val="18"/>
        </w:rPr>
        <w:t xml:space="preserve"> </w:t>
      </w:r>
      <w:r>
        <w:rPr>
          <w:sz w:val="18"/>
        </w:rPr>
        <w:t>and</w:t>
      </w:r>
      <w:r>
        <w:rPr>
          <w:spacing w:val="-2"/>
          <w:sz w:val="18"/>
        </w:rPr>
        <w:t xml:space="preserve"> </w:t>
      </w:r>
      <w:r>
        <w:rPr>
          <w:sz w:val="18"/>
        </w:rPr>
        <w:t>Gender</w:t>
      </w:r>
      <w:r>
        <w:rPr>
          <w:spacing w:val="-4"/>
          <w:sz w:val="18"/>
        </w:rPr>
        <w:t xml:space="preserve"> </w:t>
      </w:r>
      <w:r>
        <w:rPr>
          <w:sz w:val="18"/>
        </w:rPr>
        <w:t>Minorities</w:t>
      </w:r>
      <w:r>
        <w:rPr>
          <w:spacing w:val="-4"/>
          <w:sz w:val="18"/>
        </w:rPr>
        <w:t xml:space="preserve"> </w:t>
      </w:r>
      <w:r>
        <w:rPr>
          <w:sz w:val="18"/>
        </w:rPr>
        <w:t>Using</w:t>
      </w:r>
      <w:r>
        <w:rPr>
          <w:spacing w:val="-4"/>
          <w:sz w:val="18"/>
        </w:rPr>
        <w:t xml:space="preserve"> </w:t>
      </w:r>
      <w:r>
        <w:rPr>
          <w:sz w:val="18"/>
        </w:rPr>
        <w:t>Digital</w:t>
      </w:r>
      <w:r>
        <w:rPr>
          <w:spacing w:val="-4"/>
          <w:sz w:val="18"/>
        </w:rPr>
        <w:t xml:space="preserve"> </w:t>
      </w:r>
      <w:r>
        <w:rPr>
          <w:sz w:val="18"/>
        </w:rPr>
        <w:t>Interventions:</w:t>
      </w:r>
      <w:r>
        <w:rPr>
          <w:spacing w:val="-1"/>
          <w:sz w:val="18"/>
        </w:rPr>
        <w:t xml:space="preserve"> </w:t>
      </w:r>
      <w:r>
        <w:rPr>
          <w:sz w:val="18"/>
        </w:rPr>
        <w:t xml:space="preserve">A </w:t>
      </w:r>
      <w:bookmarkStart w:id="425" w:name="_bookmark306"/>
      <w:bookmarkEnd w:id="425"/>
      <w:r>
        <w:rPr>
          <w:sz w:val="18"/>
        </w:rPr>
        <w:t>Systematic Review.” Preprint. PsyArXiv, February 5, 202</w:t>
      </w:r>
      <w:r>
        <w:rPr>
          <w:sz w:val="18"/>
        </w:rPr>
        <w:t xml:space="preserve">0. </w:t>
      </w:r>
      <w:hyperlink r:id="rId306">
        <w:r>
          <w:rPr>
            <w:color w:val="1154CC"/>
            <w:sz w:val="18"/>
            <w:u w:val="single" w:color="1154CC"/>
          </w:rPr>
          <w:t>https://doi.org/10.31234/osf.io/9wu42</w:t>
        </w:r>
        <w:r>
          <w:rPr>
            <w:sz w:val="18"/>
          </w:rPr>
          <w:t>.</w:t>
        </w:r>
      </w:hyperlink>
    </w:p>
    <w:p w:rsidR="00200FDA" w:rsidRDefault="00F76C4C">
      <w:pPr>
        <w:ind w:left="140" w:right="432" w:hanging="1"/>
        <w:rPr>
          <w:sz w:val="18"/>
        </w:rPr>
      </w:pPr>
      <w:r>
        <w:rPr>
          <w:position w:val="5"/>
          <w:sz w:val="12"/>
        </w:rPr>
        <w:t>52</w:t>
      </w:r>
      <w:r>
        <w:rPr>
          <w:spacing w:val="10"/>
          <w:position w:val="5"/>
          <w:sz w:val="12"/>
        </w:rPr>
        <w:t xml:space="preserve"> </w:t>
      </w:r>
      <w:r>
        <w:rPr>
          <w:sz w:val="18"/>
        </w:rPr>
        <w:t>Iacovides,</w:t>
      </w:r>
      <w:r>
        <w:rPr>
          <w:spacing w:val="-2"/>
          <w:sz w:val="18"/>
        </w:rPr>
        <w:t xml:space="preserve"> </w:t>
      </w:r>
      <w:r>
        <w:rPr>
          <w:sz w:val="18"/>
        </w:rPr>
        <w:t>I.,</w:t>
      </w:r>
      <w:r>
        <w:rPr>
          <w:spacing w:val="-2"/>
          <w:sz w:val="18"/>
        </w:rPr>
        <w:t xml:space="preserve"> </w:t>
      </w:r>
      <w:r>
        <w:rPr>
          <w:sz w:val="18"/>
        </w:rPr>
        <w:t>Samra,</w:t>
      </w:r>
      <w:r>
        <w:rPr>
          <w:spacing w:val="-2"/>
          <w:sz w:val="18"/>
        </w:rPr>
        <w:t xml:space="preserve"> </w:t>
      </w:r>
      <w:r>
        <w:rPr>
          <w:sz w:val="18"/>
        </w:rPr>
        <w:t>R.,</w:t>
      </w:r>
      <w:r>
        <w:rPr>
          <w:spacing w:val="-4"/>
          <w:sz w:val="18"/>
        </w:rPr>
        <w:t xml:space="preserve"> </w:t>
      </w:r>
      <w:r>
        <w:rPr>
          <w:sz w:val="18"/>
        </w:rPr>
        <w:t>Lucassen,</w:t>
      </w:r>
      <w:r>
        <w:rPr>
          <w:spacing w:val="-2"/>
          <w:sz w:val="18"/>
        </w:rPr>
        <w:t xml:space="preserve"> </w:t>
      </w:r>
      <w:r>
        <w:rPr>
          <w:sz w:val="18"/>
        </w:rPr>
        <w:t>M.,</w:t>
      </w:r>
      <w:r>
        <w:rPr>
          <w:spacing w:val="-2"/>
          <w:sz w:val="18"/>
        </w:rPr>
        <w:t xml:space="preserve"> </w:t>
      </w:r>
      <w:r>
        <w:rPr>
          <w:sz w:val="18"/>
        </w:rPr>
        <w:t>&amp;</w:t>
      </w:r>
      <w:r>
        <w:rPr>
          <w:spacing w:val="-3"/>
          <w:sz w:val="18"/>
        </w:rPr>
        <w:t xml:space="preserve"> </w:t>
      </w:r>
      <w:r>
        <w:rPr>
          <w:sz w:val="18"/>
        </w:rPr>
        <w:t>Wallace,</w:t>
      </w:r>
      <w:r>
        <w:rPr>
          <w:spacing w:val="-2"/>
          <w:sz w:val="18"/>
        </w:rPr>
        <w:t xml:space="preserve"> </w:t>
      </w:r>
      <w:r>
        <w:rPr>
          <w:sz w:val="18"/>
        </w:rPr>
        <w:t>L.</w:t>
      </w:r>
      <w:r>
        <w:rPr>
          <w:spacing w:val="-5"/>
          <w:sz w:val="18"/>
        </w:rPr>
        <w:t xml:space="preserve"> </w:t>
      </w:r>
      <w:r>
        <w:rPr>
          <w:sz w:val="18"/>
        </w:rPr>
        <w:t>(2017).</w:t>
      </w:r>
      <w:r>
        <w:rPr>
          <w:spacing w:val="-2"/>
          <w:sz w:val="18"/>
        </w:rPr>
        <w:t xml:space="preserve"> </w:t>
      </w:r>
      <w:r>
        <w:rPr>
          <w:sz w:val="18"/>
        </w:rPr>
        <w:t>Game-based</w:t>
      </w:r>
      <w:r>
        <w:rPr>
          <w:spacing w:val="-3"/>
          <w:sz w:val="18"/>
        </w:rPr>
        <w:t xml:space="preserve"> </w:t>
      </w:r>
      <w:r>
        <w:rPr>
          <w:sz w:val="18"/>
        </w:rPr>
        <w:t>cognitive</w:t>
      </w:r>
      <w:r>
        <w:rPr>
          <w:spacing w:val="-3"/>
          <w:sz w:val="18"/>
        </w:rPr>
        <w:t xml:space="preserve"> </w:t>
      </w:r>
      <w:r>
        <w:rPr>
          <w:sz w:val="18"/>
        </w:rPr>
        <w:t>behavioural</w:t>
      </w:r>
      <w:r>
        <w:rPr>
          <w:spacing w:val="-1"/>
          <w:sz w:val="18"/>
        </w:rPr>
        <w:t xml:space="preserve"> </w:t>
      </w:r>
      <w:r>
        <w:rPr>
          <w:sz w:val="18"/>
        </w:rPr>
        <w:t>therapy</w:t>
      </w:r>
      <w:r>
        <w:rPr>
          <w:spacing w:val="-2"/>
          <w:sz w:val="18"/>
        </w:rPr>
        <w:t xml:space="preserve"> </w:t>
      </w:r>
      <w:r>
        <w:rPr>
          <w:sz w:val="18"/>
        </w:rPr>
        <w:t>(CBT)</w:t>
      </w:r>
      <w:r>
        <w:rPr>
          <w:spacing w:val="-2"/>
          <w:sz w:val="18"/>
        </w:rPr>
        <w:t xml:space="preserve"> </w:t>
      </w:r>
      <w:r>
        <w:rPr>
          <w:sz w:val="18"/>
        </w:rPr>
        <w:t>for</w:t>
      </w:r>
      <w:r>
        <w:rPr>
          <w:spacing w:val="-3"/>
          <w:sz w:val="18"/>
        </w:rPr>
        <w:t xml:space="preserve"> </w:t>
      </w:r>
      <w:r>
        <w:rPr>
          <w:sz w:val="18"/>
        </w:rPr>
        <w:t xml:space="preserve">sexual </w:t>
      </w:r>
      <w:bookmarkStart w:id="426" w:name="_bookmark307"/>
      <w:bookmarkEnd w:id="426"/>
      <w:r>
        <w:rPr>
          <w:sz w:val="18"/>
        </w:rPr>
        <w:t>m</w:t>
      </w:r>
      <w:r>
        <w:rPr>
          <w:sz w:val="18"/>
        </w:rPr>
        <w:t>inority youth: Rainbow SPARX in the UK. Chi Play.</w:t>
      </w:r>
    </w:p>
    <w:p w:rsidR="00200FDA" w:rsidRDefault="00F76C4C">
      <w:pPr>
        <w:ind w:left="140" w:right="259" w:hanging="1"/>
        <w:rPr>
          <w:sz w:val="18"/>
        </w:rPr>
      </w:pPr>
      <w:r>
        <w:rPr>
          <w:position w:val="5"/>
          <w:sz w:val="12"/>
        </w:rPr>
        <w:t>53</w:t>
      </w:r>
      <w:r>
        <w:rPr>
          <w:spacing w:val="10"/>
          <w:position w:val="5"/>
          <w:sz w:val="12"/>
        </w:rPr>
        <w:t xml:space="preserve"> </w:t>
      </w:r>
      <w:r>
        <w:rPr>
          <w:sz w:val="18"/>
        </w:rPr>
        <w:t>Craig,</w:t>
      </w:r>
      <w:r>
        <w:rPr>
          <w:spacing w:val="-2"/>
          <w:sz w:val="18"/>
        </w:rPr>
        <w:t xml:space="preserve"> </w:t>
      </w:r>
      <w:r>
        <w:rPr>
          <w:sz w:val="18"/>
        </w:rPr>
        <w:t>Shelley</w:t>
      </w:r>
      <w:r>
        <w:rPr>
          <w:spacing w:val="-2"/>
          <w:sz w:val="18"/>
        </w:rPr>
        <w:t xml:space="preserve"> </w:t>
      </w:r>
      <w:r>
        <w:rPr>
          <w:sz w:val="18"/>
        </w:rPr>
        <w:t>L.,</w:t>
      </w:r>
      <w:r>
        <w:rPr>
          <w:spacing w:val="-2"/>
          <w:sz w:val="18"/>
        </w:rPr>
        <w:t xml:space="preserve"> </w:t>
      </w:r>
      <w:r>
        <w:rPr>
          <w:sz w:val="18"/>
        </w:rPr>
        <w:t>Gio</w:t>
      </w:r>
      <w:r>
        <w:rPr>
          <w:spacing w:val="-1"/>
          <w:sz w:val="18"/>
        </w:rPr>
        <w:t xml:space="preserve"> </w:t>
      </w:r>
      <w:r>
        <w:rPr>
          <w:sz w:val="18"/>
        </w:rPr>
        <w:t>Iacono,</w:t>
      </w:r>
      <w:r>
        <w:rPr>
          <w:spacing w:val="-2"/>
          <w:sz w:val="18"/>
        </w:rPr>
        <w:t xml:space="preserve"> </w:t>
      </w:r>
      <w:r>
        <w:rPr>
          <w:sz w:val="18"/>
        </w:rPr>
        <w:t>Ashley</w:t>
      </w:r>
      <w:r>
        <w:rPr>
          <w:spacing w:val="-2"/>
          <w:sz w:val="18"/>
        </w:rPr>
        <w:t xml:space="preserve"> </w:t>
      </w:r>
      <w:r>
        <w:rPr>
          <w:sz w:val="18"/>
        </w:rPr>
        <w:t>Austin,</w:t>
      </w:r>
      <w:r>
        <w:rPr>
          <w:spacing w:val="-2"/>
          <w:sz w:val="18"/>
        </w:rPr>
        <w:t xml:space="preserve"> </w:t>
      </w:r>
      <w:r>
        <w:rPr>
          <w:sz w:val="18"/>
        </w:rPr>
        <w:t>Andrew</w:t>
      </w:r>
      <w:r>
        <w:rPr>
          <w:spacing w:val="-1"/>
          <w:sz w:val="18"/>
        </w:rPr>
        <w:t xml:space="preserve"> </w:t>
      </w:r>
      <w:r>
        <w:rPr>
          <w:sz w:val="18"/>
        </w:rPr>
        <w:t>D.</w:t>
      </w:r>
      <w:r>
        <w:rPr>
          <w:spacing w:val="-2"/>
          <w:sz w:val="18"/>
        </w:rPr>
        <w:t xml:space="preserve"> </w:t>
      </w:r>
      <w:r>
        <w:rPr>
          <w:sz w:val="18"/>
        </w:rPr>
        <w:t>Eaton,</w:t>
      </w:r>
      <w:r>
        <w:rPr>
          <w:spacing w:val="-2"/>
          <w:sz w:val="18"/>
        </w:rPr>
        <w:t xml:space="preserve"> </w:t>
      </w:r>
      <w:r>
        <w:rPr>
          <w:sz w:val="18"/>
        </w:rPr>
        <w:t>Nelson</w:t>
      </w:r>
      <w:r>
        <w:rPr>
          <w:spacing w:val="-3"/>
          <w:sz w:val="18"/>
        </w:rPr>
        <w:t xml:space="preserve"> </w:t>
      </w:r>
      <w:r>
        <w:rPr>
          <w:sz w:val="18"/>
        </w:rPr>
        <w:t>Pang,</w:t>
      </w:r>
      <w:r>
        <w:rPr>
          <w:spacing w:val="-2"/>
          <w:sz w:val="18"/>
        </w:rPr>
        <w:t xml:space="preserve"> </w:t>
      </w:r>
      <w:r>
        <w:rPr>
          <w:sz w:val="18"/>
        </w:rPr>
        <w:t>Vivian</w:t>
      </w:r>
      <w:r>
        <w:rPr>
          <w:spacing w:val="-3"/>
          <w:sz w:val="18"/>
        </w:rPr>
        <w:t xml:space="preserve"> </w:t>
      </w:r>
      <w:r>
        <w:rPr>
          <w:sz w:val="18"/>
        </w:rPr>
        <w:t>W.</w:t>
      </w:r>
      <w:r>
        <w:rPr>
          <w:spacing w:val="-2"/>
          <w:sz w:val="18"/>
        </w:rPr>
        <w:t xml:space="preserve"> </w:t>
      </w:r>
      <w:r>
        <w:rPr>
          <w:sz w:val="18"/>
        </w:rPr>
        <w:t>Y.</w:t>
      </w:r>
      <w:r>
        <w:rPr>
          <w:spacing w:val="-2"/>
          <w:sz w:val="18"/>
        </w:rPr>
        <w:t xml:space="preserve"> </w:t>
      </w:r>
      <w:r>
        <w:rPr>
          <w:sz w:val="18"/>
        </w:rPr>
        <w:t>Leung,</w:t>
      </w:r>
      <w:r>
        <w:rPr>
          <w:spacing w:val="-2"/>
          <w:sz w:val="18"/>
        </w:rPr>
        <w:t xml:space="preserve"> </w:t>
      </w:r>
      <w:r>
        <w:rPr>
          <w:sz w:val="18"/>
        </w:rPr>
        <w:t>and</w:t>
      </w:r>
      <w:r>
        <w:rPr>
          <w:spacing w:val="-1"/>
          <w:sz w:val="18"/>
        </w:rPr>
        <w:t xml:space="preserve"> </w:t>
      </w:r>
      <w:r>
        <w:rPr>
          <w:sz w:val="18"/>
        </w:rPr>
        <w:t>Cressida</w:t>
      </w:r>
      <w:r>
        <w:rPr>
          <w:spacing w:val="-2"/>
          <w:sz w:val="18"/>
        </w:rPr>
        <w:t xml:space="preserve"> </w:t>
      </w:r>
      <w:r>
        <w:rPr>
          <w:sz w:val="18"/>
        </w:rPr>
        <w:t>J.</w:t>
      </w:r>
      <w:r>
        <w:rPr>
          <w:spacing w:val="-2"/>
          <w:sz w:val="18"/>
        </w:rPr>
        <w:t xml:space="preserve"> </w:t>
      </w:r>
      <w:r>
        <w:rPr>
          <w:sz w:val="18"/>
        </w:rPr>
        <w:t>Frey. “The</w:t>
      </w:r>
      <w:r>
        <w:rPr>
          <w:spacing w:val="-3"/>
          <w:sz w:val="18"/>
        </w:rPr>
        <w:t xml:space="preserve"> </w:t>
      </w:r>
      <w:r>
        <w:rPr>
          <w:sz w:val="18"/>
        </w:rPr>
        <w:t>Role of Facilitator Training in Intervention Delivery: Preparing Clinicians to D</w:t>
      </w:r>
      <w:r>
        <w:rPr>
          <w:sz w:val="18"/>
        </w:rPr>
        <w:t xml:space="preserve">eliver AFFIRMative Group Cognitive Behavioral Therapy to Sexual and Gender Minority Youth.” </w:t>
      </w:r>
      <w:r>
        <w:rPr>
          <w:i/>
          <w:sz w:val="18"/>
        </w:rPr>
        <w:t xml:space="preserve">Journal of Gay &amp; Lesbian Social Services </w:t>
      </w:r>
      <w:r>
        <w:rPr>
          <w:sz w:val="18"/>
        </w:rPr>
        <w:t xml:space="preserve">33, no. 1 (January 2, 2021): 56–77. </w:t>
      </w:r>
      <w:hyperlink r:id="rId307">
        <w:r>
          <w:rPr>
            <w:color w:val="1154CC"/>
            <w:spacing w:val="-2"/>
            <w:sz w:val="18"/>
            <w:u w:val="single" w:color="1154CC"/>
          </w:rPr>
          <w:t>https://doi.org/10.1080/10538720.2020.1836704</w:t>
        </w:r>
        <w:r>
          <w:rPr>
            <w:spacing w:val="-2"/>
            <w:sz w:val="18"/>
          </w:rPr>
          <w:t>.</w:t>
        </w:r>
      </w:hyperlink>
    </w:p>
    <w:p w:rsidR="00200FDA" w:rsidRDefault="00F76C4C">
      <w:pPr>
        <w:ind w:left="140" w:right="432" w:hanging="1"/>
        <w:rPr>
          <w:sz w:val="18"/>
        </w:rPr>
      </w:pPr>
      <w:bookmarkStart w:id="427" w:name="_bookmark308"/>
      <w:bookmarkEnd w:id="427"/>
      <w:r>
        <w:rPr>
          <w:position w:val="5"/>
          <w:sz w:val="12"/>
        </w:rPr>
        <w:t>54</w:t>
      </w:r>
      <w:r>
        <w:rPr>
          <w:spacing w:val="12"/>
          <w:position w:val="5"/>
          <w:sz w:val="12"/>
        </w:rPr>
        <w:t xml:space="preserve"> </w:t>
      </w:r>
      <w:r>
        <w:rPr>
          <w:sz w:val="18"/>
        </w:rPr>
        <w:t>Iacono, Gio, Shelley L. Craig, Rachael</w:t>
      </w:r>
      <w:r>
        <w:rPr>
          <w:spacing w:val="-1"/>
          <w:sz w:val="18"/>
        </w:rPr>
        <w:t xml:space="preserve"> </w:t>
      </w:r>
      <w:r>
        <w:rPr>
          <w:sz w:val="18"/>
        </w:rPr>
        <w:t>Crowder, David</w:t>
      </w:r>
      <w:r>
        <w:rPr>
          <w:spacing w:val="-1"/>
          <w:sz w:val="18"/>
        </w:rPr>
        <w:t xml:space="preserve"> </w:t>
      </w:r>
      <w:r>
        <w:rPr>
          <w:sz w:val="18"/>
        </w:rPr>
        <w:t>J. Brennan, and</w:t>
      </w:r>
      <w:r>
        <w:rPr>
          <w:spacing w:val="-1"/>
          <w:sz w:val="18"/>
        </w:rPr>
        <w:t xml:space="preserve"> </w:t>
      </w:r>
      <w:r>
        <w:rPr>
          <w:sz w:val="18"/>
        </w:rPr>
        <w:t>Emily K. Loveland. “A Qualitative</w:t>
      </w:r>
      <w:r>
        <w:rPr>
          <w:spacing w:val="-1"/>
          <w:sz w:val="18"/>
        </w:rPr>
        <w:t xml:space="preserve"> </w:t>
      </w:r>
      <w:r>
        <w:rPr>
          <w:sz w:val="18"/>
        </w:rPr>
        <w:t>Study of the</w:t>
      </w:r>
      <w:r>
        <w:rPr>
          <w:spacing w:val="-1"/>
          <w:sz w:val="18"/>
        </w:rPr>
        <w:t xml:space="preserve"> </w:t>
      </w:r>
      <w:r>
        <w:rPr>
          <w:sz w:val="18"/>
        </w:rPr>
        <w:t>LGBTQ+ Youth</w:t>
      </w:r>
      <w:r>
        <w:rPr>
          <w:spacing w:val="-3"/>
          <w:sz w:val="18"/>
        </w:rPr>
        <w:t xml:space="preserve"> </w:t>
      </w:r>
      <w:r>
        <w:rPr>
          <w:sz w:val="18"/>
        </w:rPr>
        <w:t>Affirmative</w:t>
      </w:r>
      <w:r>
        <w:rPr>
          <w:spacing w:val="-3"/>
          <w:sz w:val="18"/>
        </w:rPr>
        <w:t xml:space="preserve"> </w:t>
      </w:r>
      <w:r>
        <w:rPr>
          <w:sz w:val="18"/>
        </w:rPr>
        <w:t>Mindfulness</w:t>
      </w:r>
      <w:r>
        <w:rPr>
          <w:spacing w:val="-3"/>
          <w:sz w:val="18"/>
        </w:rPr>
        <w:t xml:space="preserve"> </w:t>
      </w:r>
      <w:r>
        <w:rPr>
          <w:sz w:val="18"/>
        </w:rPr>
        <w:t>Program</w:t>
      </w:r>
      <w:r>
        <w:rPr>
          <w:spacing w:val="-2"/>
          <w:sz w:val="18"/>
        </w:rPr>
        <w:t xml:space="preserve"> </w:t>
      </w:r>
      <w:r>
        <w:rPr>
          <w:sz w:val="18"/>
        </w:rPr>
        <w:t>for</w:t>
      </w:r>
      <w:r>
        <w:rPr>
          <w:spacing w:val="-3"/>
          <w:sz w:val="18"/>
        </w:rPr>
        <w:t xml:space="preserve"> </w:t>
      </w:r>
      <w:r>
        <w:rPr>
          <w:sz w:val="18"/>
        </w:rPr>
        <w:t>Sexual</w:t>
      </w:r>
      <w:r>
        <w:rPr>
          <w:spacing w:val="-3"/>
          <w:sz w:val="18"/>
        </w:rPr>
        <w:t xml:space="preserve"> </w:t>
      </w:r>
      <w:r>
        <w:rPr>
          <w:sz w:val="18"/>
        </w:rPr>
        <w:t>and</w:t>
      </w:r>
      <w:r>
        <w:rPr>
          <w:spacing w:val="-3"/>
          <w:sz w:val="18"/>
        </w:rPr>
        <w:t xml:space="preserve"> </w:t>
      </w:r>
      <w:r>
        <w:rPr>
          <w:sz w:val="18"/>
        </w:rPr>
        <w:t>Gender</w:t>
      </w:r>
      <w:r>
        <w:rPr>
          <w:spacing w:val="-3"/>
          <w:sz w:val="18"/>
        </w:rPr>
        <w:t xml:space="preserve"> </w:t>
      </w:r>
      <w:r>
        <w:rPr>
          <w:sz w:val="18"/>
        </w:rPr>
        <w:t>Minority</w:t>
      </w:r>
      <w:r>
        <w:rPr>
          <w:spacing w:val="-2"/>
          <w:sz w:val="18"/>
        </w:rPr>
        <w:t xml:space="preserve"> </w:t>
      </w:r>
      <w:r>
        <w:rPr>
          <w:sz w:val="18"/>
        </w:rPr>
        <w:t>Youth.”</w:t>
      </w:r>
      <w:r>
        <w:rPr>
          <w:spacing w:val="-3"/>
          <w:sz w:val="18"/>
        </w:rPr>
        <w:t xml:space="preserve"> </w:t>
      </w:r>
      <w:r>
        <w:rPr>
          <w:i/>
          <w:sz w:val="18"/>
        </w:rPr>
        <w:t>Mindf</w:t>
      </w:r>
      <w:r>
        <w:rPr>
          <w:i/>
          <w:sz w:val="18"/>
        </w:rPr>
        <w:t>ulness</w:t>
      </w:r>
      <w:r>
        <w:rPr>
          <w:i/>
          <w:spacing w:val="-3"/>
          <w:sz w:val="18"/>
        </w:rPr>
        <w:t xml:space="preserve"> </w:t>
      </w:r>
      <w:r>
        <w:rPr>
          <w:sz w:val="18"/>
        </w:rPr>
        <w:t>13,</w:t>
      </w:r>
      <w:r>
        <w:rPr>
          <w:spacing w:val="-2"/>
          <w:sz w:val="18"/>
        </w:rPr>
        <w:t xml:space="preserve"> </w:t>
      </w:r>
      <w:r>
        <w:rPr>
          <w:sz w:val="18"/>
        </w:rPr>
        <w:t>no.</w:t>
      </w:r>
      <w:r>
        <w:rPr>
          <w:spacing w:val="-2"/>
          <w:sz w:val="18"/>
        </w:rPr>
        <w:t xml:space="preserve"> </w:t>
      </w:r>
      <w:r>
        <w:rPr>
          <w:sz w:val="18"/>
        </w:rPr>
        <w:t>1</w:t>
      </w:r>
      <w:r>
        <w:rPr>
          <w:spacing w:val="-2"/>
          <w:sz w:val="18"/>
        </w:rPr>
        <w:t xml:space="preserve"> </w:t>
      </w:r>
      <w:r>
        <w:rPr>
          <w:sz w:val="18"/>
        </w:rPr>
        <w:t>(January</w:t>
      </w:r>
      <w:r>
        <w:rPr>
          <w:spacing w:val="-2"/>
          <w:sz w:val="18"/>
        </w:rPr>
        <w:t xml:space="preserve"> </w:t>
      </w:r>
      <w:r>
        <w:rPr>
          <w:sz w:val="18"/>
        </w:rPr>
        <w:t>1,</w:t>
      </w:r>
      <w:r>
        <w:rPr>
          <w:spacing w:val="-2"/>
          <w:sz w:val="18"/>
        </w:rPr>
        <w:t xml:space="preserve"> </w:t>
      </w:r>
      <w:r>
        <w:rPr>
          <w:sz w:val="18"/>
        </w:rPr>
        <w:t>2022):</w:t>
      </w:r>
      <w:r>
        <w:rPr>
          <w:spacing w:val="-2"/>
          <w:sz w:val="18"/>
        </w:rPr>
        <w:t xml:space="preserve"> </w:t>
      </w:r>
      <w:r>
        <w:rPr>
          <w:sz w:val="18"/>
        </w:rPr>
        <w:t>222–</w:t>
      </w:r>
    </w:p>
    <w:p w:rsidR="00200FDA" w:rsidRDefault="00F76C4C">
      <w:pPr>
        <w:spacing w:line="219" w:lineRule="exact"/>
        <w:ind w:left="140"/>
        <w:rPr>
          <w:sz w:val="18"/>
        </w:rPr>
      </w:pPr>
      <w:r>
        <w:rPr>
          <w:sz w:val="18"/>
        </w:rPr>
        <w:t>37.</w:t>
      </w:r>
      <w:r>
        <w:rPr>
          <w:spacing w:val="-9"/>
          <w:sz w:val="18"/>
        </w:rPr>
        <w:t xml:space="preserve"> </w:t>
      </w:r>
      <w:hyperlink r:id="rId308">
        <w:r>
          <w:rPr>
            <w:color w:val="1154CC"/>
            <w:sz w:val="18"/>
            <w:u w:val="single" w:color="1154CC"/>
          </w:rPr>
          <w:t>https://doi.org/10.1007/s12671-021-01787-</w:t>
        </w:r>
        <w:r>
          <w:rPr>
            <w:color w:val="1154CC"/>
            <w:spacing w:val="-5"/>
            <w:sz w:val="18"/>
            <w:u w:val="single" w:color="1154CC"/>
          </w:rPr>
          <w:t>2</w:t>
        </w:r>
        <w:r>
          <w:rPr>
            <w:spacing w:val="-5"/>
            <w:sz w:val="18"/>
          </w:rPr>
          <w:t>.</w:t>
        </w:r>
      </w:hyperlink>
    </w:p>
    <w:p w:rsidR="00200FDA" w:rsidRDefault="00F76C4C">
      <w:pPr>
        <w:ind w:left="140" w:hanging="1"/>
        <w:rPr>
          <w:sz w:val="18"/>
        </w:rPr>
      </w:pPr>
      <w:bookmarkStart w:id="428" w:name="_bookmark309"/>
      <w:bookmarkEnd w:id="428"/>
      <w:r>
        <w:rPr>
          <w:position w:val="5"/>
          <w:sz w:val="12"/>
        </w:rPr>
        <w:t>55</w:t>
      </w:r>
      <w:r>
        <w:rPr>
          <w:spacing w:val="9"/>
          <w:position w:val="5"/>
          <w:sz w:val="12"/>
        </w:rPr>
        <w:t xml:space="preserve"> </w:t>
      </w:r>
      <w:r>
        <w:rPr>
          <w:sz w:val="18"/>
        </w:rPr>
        <w:t>Rottnek,</w:t>
      </w:r>
      <w:r>
        <w:rPr>
          <w:spacing w:val="-3"/>
          <w:sz w:val="18"/>
        </w:rPr>
        <w:t xml:space="preserve"> </w:t>
      </w:r>
      <w:r>
        <w:rPr>
          <w:sz w:val="18"/>
        </w:rPr>
        <w:t>James</w:t>
      </w:r>
      <w:r>
        <w:rPr>
          <w:spacing w:val="-4"/>
          <w:sz w:val="18"/>
        </w:rPr>
        <w:t xml:space="preserve"> </w:t>
      </w:r>
      <w:r>
        <w:rPr>
          <w:sz w:val="18"/>
        </w:rPr>
        <w:t>P.</w:t>
      </w:r>
      <w:r>
        <w:rPr>
          <w:spacing w:val="-3"/>
          <w:sz w:val="18"/>
        </w:rPr>
        <w:t xml:space="preserve"> </w:t>
      </w:r>
      <w:r>
        <w:rPr>
          <w:sz w:val="18"/>
        </w:rPr>
        <w:t>“Affirming</w:t>
      </w:r>
      <w:r>
        <w:rPr>
          <w:spacing w:val="-4"/>
          <w:sz w:val="18"/>
        </w:rPr>
        <w:t xml:space="preserve"> </w:t>
      </w:r>
      <w:r>
        <w:rPr>
          <w:sz w:val="18"/>
        </w:rPr>
        <w:t>Solutions:</w:t>
      </w:r>
      <w:r>
        <w:rPr>
          <w:spacing w:val="-3"/>
          <w:sz w:val="18"/>
        </w:rPr>
        <w:t xml:space="preserve"> </w:t>
      </w:r>
      <w:r>
        <w:rPr>
          <w:sz w:val="18"/>
        </w:rPr>
        <w:t>Using</w:t>
      </w:r>
      <w:r>
        <w:rPr>
          <w:spacing w:val="-2"/>
          <w:sz w:val="18"/>
        </w:rPr>
        <w:t xml:space="preserve"> </w:t>
      </w:r>
      <w:r>
        <w:rPr>
          <w:sz w:val="18"/>
        </w:rPr>
        <w:t>Solution-Focused</w:t>
      </w:r>
      <w:r>
        <w:rPr>
          <w:spacing w:val="-4"/>
          <w:sz w:val="18"/>
        </w:rPr>
        <w:t xml:space="preserve"> </w:t>
      </w:r>
      <w:r>
        <w:rPr>
          <w:sz w:val="18"/>
        </w:rPr>
        <w:t>Brief</w:t>
      </w:r>
      <w:r>
        <w:rPr>
          <w:spacing w:val="-3"/>
          <w:sz w:val="18"/>
        </w:rPr>
        <w:t xml:space="preserve"> </w:t>
      </w:r>
      <w:r>
        <w:rPr>
          <w:sz w:val="18"/>
        </w:rPr>
        <w:t>Therapy</w:t>
      </w:r>
      <w:r>
        <w:rPr>
          <w:spacing w:val="-3"/>
          <w:sz w:val="18"/>
        </w:rPr>
        <w:t xml:space="preserve"> </w:t>
      </w:r>
      <w:r>
        <w:rPr>
          <w:sz w:val="18"/>
        </w:rPr>
        <w:t>With</w:t>
      </w:r>
      <w:r>
        <w:rPr>
          <w:spacing w:val="-4"/>
          <w:sz w:val="18"/>
        </w:rPr>
        <w:t xml:space="preserve"> </w:t>
      </w:r>
      <w:r>
        <w:rPr>
          <w:sz w:val="18"/>
        </w:rPr>
        <w:t>Transgender,</w:t>
      </w:r>
      <w:r>
        <w:rPr>
          <w:spacing w:val="-3"/>
          <w:sz w:val="18"/>
        </w:rPr>
        <w:t xml:space="preserve"> </w:t>
      </w:r>
      <w:r>
        <w:rPr>
          <w:sz w:val="18"/>
        </w:rPr>
        <w:t>Gender</w:t>
      </w:r>
      <w:r>
        <w:rPr>
          <w:spacing w:val="-4"/>
          <w:sz w:val="18"/>
        </w:rPr>
        <w:t xml:space="preserve"> </w:t>
      </w:r>
      <w:r>
        <w:rPr>
          <w:sz w:val="18"/>
        </w:rPr>
        <w:t>Nonconforming,</w:t>
      </w:r>
      <w:r>
        <w:rPr>
          <w:spacing w:val="-3"/>
          <w:sz w:val="18"/>
        </w:rPr>
        <w:t xml:space="preserve"> </w:t>
      </w:r>
      <w:r>
        <w:rPr>
          <w:sz w:val="18"/>
        </w:rPr>
        <w:t xml:space="preserve">and Gender Questioning Youth.” </w:t>
      </w:r>
      <w:r>
        <w:rPr>
          <w:i/>
          <w:sz w:val="18"/>
        </w:rPr>
        <w:t xml:space="preserve">Journal of Systemic Therapies </w:t>
      </w:r>
      <w:r>
        <w:rPr>
          <w:sz w:val="18"/>
        </w:rPr>
        <w:t xml:space="preserve">39, no. 4 (December 2020): 13–28. </w:t>
      </w:r>
      <w:hyperlink r:id="rId309">
        <w:r>
          <w:rPr>
            <w:color w:val="1154CC"/>
            <w:spacing w:val="-2"/>
            <w:sz w:val="18"/>
            <w:u w:val="single" w:color="1154CC"/>
          </w:rPr>
          <w:t>https://doi.org/10.1521/jsyt.2020.39.4.13</w:t>
        </w:r>
        <w:r>
          <w:rPr>
            <w:spacing w:val="-2"/>
            <w:sz w:val="18"/>
          </w:rPr>
          <w:t>.</w:t>
        </w:r>
      </w:hyperlink>
    </w:p>
    <w:p w:rsidR="00200FDA" w:rsidRDefault="00F76C4C">
      <w:pPr>
        <w:ind w:left="140" w:right="305" w:hanging="1"/>
        <w:rPr>
          <w:sz w:val="18"/>
        </w:rPr>
      </w:pPr>
      <w:bookmarkStart w:id="429" w:name="_bookmark310"/>
      <w:bookmarkEnd w:id="429"/>
      <w:r>
        <w:rPr>
          <w:position w:val="5"/>
          <w:sz w:val="12"/>
        </w:rPr>
        <w:t>56</w:t>
      </w:r>
      <w:r>
        <w:rPr>
          <w:spacing w:val="20"/>
          <w:position w:val="5"/>
          <w:sz w:val="12"/>
        </w:rPr>
        <w:t xml:space="preserve"> </w:t>
      </w:r>
      <w:r>
        <w:rPr>
          <w:sz w:val="18"/>
        </w:rPr>
        <w:t>Westmacott, Robin, and Christopher Edmo</w:t>
      </w:r>
      <w:r>
        <w:rPr>
          <w:sz w:val="18"/>
        </w:rPr>
        <w:t>ndstone. “Working with Transgender and Gender Diverse Clients in Emotion Focused</w:t>
      </w:r>
      <w:r>
        <w:rPr>
          <w:spacing w:val="-3"/>
          <w:sz w:val="18"/>
        </w:rPr>
        <w:t xml:space="preserve"> </w:t>
      </w:r>
      <w:r>
        <w:rPr>
          <w:sz w:val="18"/>
        </w:rPr>
        <w:t>Therapy:</w:t>
      </w:r>
      <w:r>
        <w:rPr>
          <w:spacing w:val="-2"/>
          <w:sz w:val="18"/>
        </w:rPr>
        <w:t xml:space="preserve"> </w:t>
      </w:r>
      <w:r>
        <w:rPr>
          <w:sz w:val="18"/>
        </w:rPr>
        <w:t>Targeting</w:t>
      </w:r>
      <w:r>
        <w:rPr>
          <w:spacing w:val="-3"/>
          <w:sz w:val="18"/>
        </w:rPr>
        <w:t xml:space="preserve"> </w:t>
      </w:r>
      <w:r>
        <w:rPr>
          <w:sz w:val="18"/>
        </w:rPr>
        <w:t>Minority</w:t>
      </w:r>
      <w:r>
        <w:rPr>
          <w:spacing w:val="-2"/>
          <w:sz w:val="18"/>
        </w:rPr>
        <w:t xml:space="preserve"> </w:t>
      </w:r>
      <w:r>
        <w:rPr>
          <w:sz w:val="18"/>
        </w:rPr>
        <w:t>Stress.”</w:t>
      </w:r>
      <w:r>
        <w:rPr>
          <w:spacing w:val="-3"/>
          <w:sz w:val="18"/>
        </w:rPr>
        <w:t xml:space="preserve"> </w:t>
      </w:r>
      <w:r>
        <w:rPr>
          <w:i/>
          <w:sz w:val="18"/>
        </w:rPr>
        <w:t>Person-Centered</w:t>
      </w:r>
      <w:r>
        <w:rPr>
          <w:i/>
          <w:spacing w:val="-2"/>
          <w:sz w:val="18"/>
        </w:rPr>
        <w:t xml:space="preserve"> </w:t>
      </w:r>
      <w:r>
        <w:rPr>
          <w:i/>
          <w:sz w:val="18"/>
        </w:rPr>
        <w:t>&amp;</w:t>
      </w:r>
      <w:r>
        <w:rPr>
          <w:i/>
          <w:spacing w:val="-3"/>
          <w:sz w:val="18"/>
        </w:rPr>
        <w:t xml:space="preserve"> </w:t>
      </w:r>
      <w:r>
        <w:rPr>
          <w:i/>
          <w:sz w:val="18"/>
        </w:rPr>
        <w:t>Experiential</w:t>
      </w:r>
      <w:r>
        <w:rPr>
          <w:i/>
          <w:spacing w:val="-3"/>
          <w:sz w:val="18"/>
        </w:rPr>
        <w:t xml:space="preserve"> </w:t>
      </w:r>
      <w:r>
        <w:rPr>
          <w:i/>
          <w:sz w:val="18"/>
        </w:rPr>
        <w:t>Psychotherapies</w:t>
      </w:r>
      <w:r>
        <w:rPr>
          <w:i/>
          <w:spacing w:val="-3"/>
          <w:sz w:val="18"/>
        </w:rPr>
        <w:t xml:space="preserve"> </w:t>
      </w:r>
      <w:r>
        <w:rPr>
          <w:sz w:val="18"/>
        </w:rPr>
        <w:t>19,</w:t>
      </w:r>
      <w:r>
        <w:rPr>
          <w:spacing w:val="-2"/>
          <w:sz w:val="18"/>
        </w:rPr>
        <w:t xml:space="preserve"> </w:t>
      </w:r>
      <w:r>
        <w:rPr>
          <w:sz w:val="18"/>
        </w:rPr>
        <w:t>no.</w:t>
      </w:r>
      <w:r>
        <w:rPr>
          <w:spacing w:val="-2"/>
          <w:sz w:val="18"/>
        </w:rPr>
        <w:t xml:space="preserve"> </w:t>
      </w:r>
      <w:r>
        <w:rPr>
          <w:sz w:val="18"/>
        </w:rPr>
        <w:t>4</w:t>
      </w:r>
      <w:r>
        <w:rPr>
          <w:spacing w:val="-2"/>
          <w:sz w:val="18"/>
        </w:rPr>
        <w:t xml:space="preserve"> </w:t>
      </w:r>
      <w:r>
        <w:rPr>
          <w:sz w:val="18"/>
        </w:rPr>
        <w:t>(October</w:t>
      </w:r>
      <w:r>
        <w:rPr>
          <w:spacing w:val="-3"/>
          <w:sz w:val="18"/>
        </w:rPr>
        <w:t xml:space="preserve"> </w:t>
      </w:r>
      <w:r>
        <w:rPr>
          <w:sz w:val="18"/>
        </w:rPr>
        <w:t>1,</w:t>
      </w:r>
      <w:r>
        <w:rPr>
          <w:spacing w:val="-2"/>
          <w:sz w:val="18"/>
        </w:rPr>
        <w:t xml:space="preserve"> </w:t>
      </w:r>
      <w:r>
        <w:rPr>
          <w:sz w:val="18"/>
        </w:rPr>
        <w:t>2020):</w:t>
      </w:r>
      <w:r>
        <w:rPr>
          <w:spacing w:val="-2"/>
          <w:sz w:val="18"/>
        </w:rPr>
        <w:t xml:space="preserve"> </w:t>
      </w:r>
      <w:r>
        <w:rPr>
          <w:sz w:val="18"/>
        </w:rPr>
        <w:t>331–</w:t>
      </w:r>
    </w:p>
    <w:p w:rsidR="00200FDA" w:rsidRDefault="00F76C4C">
      <w:pPr>
        <w:spacing w:line="219" w:lineRule="exact"/>
        <w:ind w:left="140"/>
        <w:rPr>
          <w:sz w:val="18"/>
        </w:rPr>
      </w:pPr>
      <w:r>
        <w:rPr>
          <w:sz w:val="18"/>
        </w:rPr>
        <w:t xml:space="preserve">49. </w:t>
      </w:r>
      <w:hyperlink r:id="rId310">
        <w:r>
          <w:rPr>
            <w:color w:val="1154CC"/>
            <w:spacing w:val="-2"/>
            <w:sz w:val="18"/>
            <w:u w:val="single" w:color="1154CC"/>
          </w:rPr>
          <w:t>https://doi.org/10.1080/14779757.2020.1717986</w:t>
        </w:r>
        <w:r>
          <w:rPr>
            <w:spacing w:val="-2"/>
            <w:sz w:val="18"/>
          </w:rPr>
          <w:t>.</w:t>
        </w:r>
      </w:hyperlink>
    </w:p>
    <w:p w:rsidR="00200FDA" w:rsidRDefault="00F76C4C">
      <w:pPr>
        <w:ind w:left="139" w:right="259"/>
        <w:rPr>
          <w:sz w:val="18"/>
        </w:rPr>
      </w:pPr>
      <w:bookmarkStart w:id="430" w:name="_bookmark311"/>
      <w:bookmarkEnd w:id="430"/>
      <w:r>
        <w:rPr>
          <w:position w:val="5"/>
          <w:sz w:val="12"/>
        </w:rPr>
        <w:t>57</w:t>
      </w:r>
      <w:r>
        <w:rPr>
          <w:spacing w:val="9"/>
          <w:position w:val="5"/>
          <w:sz w:val="12"/>
        </w:rPr>
        <w:t xml:space="preserve"> </w:t>
      </w:r>
      <w:r>
        <w:rPr>
          <w:sz w:val="18"/>
        </w:rPr>
        <w:t>Lange,</w:t>
      </w:r>
      <w:r>
        <w:rPr>
          <w:spacing w:val="-3"/>
          <w:sz w:val="18"/>
        </w:rPr>
        <w:t xml:space="preserve"> </w:t>
      </w:r>
      <w:r>
        <w:rPr>
          <w:sz w:val="18"/>
        </w:rPr>
        <w:t>Tiffany</w:t>
      </w:r>
      <w:r>
        <w:rPr>
          <w:spacing w:val="-3"/>
          <w:sz w:val="18"/>
        </w:rPr>
        <w:t xml:space="preserve"> </w:t>
      </w:r>
      <w:r>
        <w:rPr>
          <w:sz w:val="18"/>
        </w:rPr>
        <w:t>M.</w:t>
      </w:r>
      <w:r>
        <w:rPr>
          <w:spacing w:val="-3"/>
          <w:sz w:val="18"/>
        </w:rPr>
        <w:t xml:space="preserve"> </w:t>
      </w:r>
      <w:r>
        <w:rPr>
          <w:sz w:val="18"/>
        </w:rPr>
        <w:t>“Trans-Affirmative</w:t>
      </w:r>
      <w:r>
        <w:rPr>
          <w:spacing w:val="-4"/>
          <w:sz w:val="18"/>
        </w:rPr>
        <w:t xml:space="preserve"> </w:t>
      </w:r>
      <w:r>
        <w:rPr>
          <w:sz w:val="18"/>
        </w:rPr>
        <w:t>Narrative</w:t>
      </w:r>
      <w:r>
        <w:rPr>
          <w:spacing w:val="-4"/>
          <w:sz w:val="18"/>
        </w:rPr>
        <w:t xml:space="preserve"> </w:t>
      </w:r>
      <w:r>
        <w:rPr>
          <w:sz w:val="18"/>
        </w:rPr>
        <w:t>Exposure</w:t>
      </w:r>
      <w:r>
        <w:rPr>
          <w:spacing w:val="-4"/>
          <w:sz w:val="18"/>
        </w:rPr>
        <w:t xml:space="preserve"> </w:t>
      </w:r>
      <w:r>
        <w:rPr>
          <w:sz w:val="18"/>
        </w:rPr>
        <w:t>Therapy</w:t>
      </w:r>
      <w:r>
        <w:rPr>
          <w:spacing w:val="-3"/>
          <w:sz w:val="18"/>
        </w:rPr>
        <w:t xml:space="preserve"> </w:t>
      </w:r>
      <w:r>
        <w:rPr>
          <w:sz w:val="18"/>
        </w:rPr>
        <w:t>(TA-NET):</w:t>
      </w:r>
      <w:r>
        <w:rPr>
          <w:spacing w:val="-3"/>
          <w:sz w:val="18"/>
        </w:rPr>
        <w:t xml:space="preserve"> </w:t>
      </w:r>
      <w:r>
        <w:rPr>
          <w:sz w:val="18"/>
        </w:rPr>
        <w:t>A</w:t>
      </w:r>
      <w:r>
        <w:rPr>
          <w:spacing w:val="-4"/>
          <w:sz w:val="18"/>
        </w:rPr>
        <w:t xml:space="preserve"> </w:t>
      </w:r>
      <w:r>
        <w:rPr>
          <w:sz w:val="18"/>
        </w:rPr>
        <w:t>Therapeutic Approach</w:t>
      </w:r>
      <w:r>
        <w:rPr>
          <w:spacing w:val="-2"/>
          <w:sz w:val="18"/>
        </w:rPr>
        <w:t xml:space="preserve"> </w:t>
      </w:r>
      <w:r>
        <w:rPr>
          <w:sz w:val="18"/>
        </w:rPr>
        <w:t>for</w:t>
      </w:r>
      <w:r>
        <w:rPr>
          <w:spacing w:val="-4"/>
          <w:sz w:val="18"/>
        </w:rPr>
        <w:t xml:space="preserve"> </w:t>
      </w:r>
      <w:r>
        <w:rPr>
          <w:sz w:val="18"/>
        </w:rPr>
        <w:t>Targeting</w:t>
      </w:r>
      <w:r>
        <w:rPr>
          <w:spacing w:val="-4"/>
          <w:sz w:val="18"/>
        </w:rPr>
        <w:t xml:space="preserve"> </w:t>
      </w:r>
      <w:r>
        <w:rPr>
          <w:sz w:val="18"/>
        </w:rPr>
        <w:t>Minority Stress, Internalized St</w:t>
      </w:r>
      <w:r>
        <w:rPr>
          <w:sz w:val="18"/>
        </w:rPr>
        <w:t xml:space="preserve">igma, and Trauma Reactions among Gender Diverse Adults.” In </w:t>
      </w:r>
      <w:r>
        <w:rPr>
          <w:i/>
          <w:sz w:val="18"/>
        </w:rPr>
        <w:t xml:space="preserve">Practice Innovations, </w:t>
      </w:r>
      <w:r>
        <w:rPr>
          <w:sz w:val="18"/>
        </w:rPr>
        <w:t xml:space="preserve">5:230–45, 2020. </w:t>
      </w:r>
      <w:hyperlink r:id="rId311">
        <w:r>
          <w:rPr>
            <w:color w:val="1154CC"/>
            <w:spacing w:val="-2"/>
            <w:sz w:val="18"/>
            <w:u w:val="single" w:color="1154CC"/>
          </w:rPr>
          <w:t>https://doi.org/10.1037/pri0000126</w:t>
        </w:r>
        <w:r>
          <w:rPr>
            <w:spacing w:val="-2"/>
            <w:sz w:val="18"/>
          </w:rPr>
          <w:t>.</w:t>
        </w:r>
      </w:hyperlink>
    </w:p>
    <w:p w:rsidR="00200FDA" w:rsidRDefault="00F76C4C">
      <w:pPr>
        <w:spacing w:before="1"/>
        <w:ind w:left="139" w:right="223"/>
        <w:rPr>
          <w:sz w:val="18"/>
        </w:rPr>
      </w:pPr>
      <w:bookmarkStart w:id="431" w:name="_bookmark312"/>
      <w:bookmarkEnd w:id="431"/>
      <w:r>
        <w:rPr>
          <w:position w:val="5"/>
          <w:sz w:val="12"/>
        </w:rPr>
        <w:t>58</w:t>
      </w:r>
      <w:r>
        <w:rPr>
          <w:spacing w:val="19"/>
          <w:position w:val="5"/>
          <w:sz w:val="12"/>
        </w:rPr>
        <w:t xml:space="preserve"> </w:t>
      </w:r>
      <w:r>
        <w:rPr>
          <w:sz w:val="18"/>
        </w:rPr>
        <w:t>Diamond, Gary M., Rotem Boruchovitz-Zamir, Ofir Nir-Gotlieb, Inba</w:t>
      </w:r>
      <w:r>
        <w:rPr>
          <w:sz w:val="18"/>
        </w:rPr>
        <w:t>l Gat, Eran Bar-Kalifa, Priel-Yehoshua Fitoussi, and Shira Katz.</w:t>
      </w:r>
      <w:r>
        <w:rPr>
          <w:spacing w:val="-3"/>
          <w:sz w:val="18"/>
        </w:rPr>
        <w:t xml:space="preserve"> </w:t>
      </w:r>
      <w:r>
        <w:rPr>
          <w:sz w:val="18"/>
        </w:rPr>
        <w:t>“Attachment-based</w:t>
      </w:r>
      <w:r>
        <w:rPr>
          <w:spacing w:val="-4"/>
          <w:sz w:val="18"/>
        </w:rPr>
        <w:t xml:space="preserve"> </w:t>
      </w:r>
      <w:r>
        <w:rPr>
          <w:sz w:val="18"/>
        </w:rPr>
        <w:t>Family</w:t>
      </w:r>
      <w:r>
        <w:rPr>
          <w:spacing w:val="-1"/>
          <w:sz w:val="18"/>
        </w:rPr>
        <w:t xml:space="preserve"> </w:t>
      </w:r>
      <w:r>
        <w:rPr>
          <w:sz w:val="18"/>
        </w:rPr>
        <w:t>Therapy</w:t>
      </w:r>
      <w:r>
        <w:rPr>
          <w:spacing w:val="-3"/>
          <w:sz w:val="18"/>
        </w:rPr>
        <w:t xml:space="preserve"> </w:t>
      </w:r>
      <w:r>
        <w:rPr>
          <w:sz w:val="18"/>
        </w:rPr>
        <w:t>for</w:t>
      </w:r>
      <w:r>
        <w:rPr>
          <w:spacing w:val="-4"/>
          <w:sz w:val="18"/>
        </w:rPr>
        <w:t xml:space="preserve"> </w:t>
      </w:r>
      <w:r>
        <w:rPr>
          <w:sz w:val="18"/>
        </w:rPr>
        <w:t>Sexual</w:t>
      </w:r>
      <w:r>
        <w:rPr>
          <w:spacing w:val="-4"/>
          <w:sz w:val="18"/>
        </w:rPr>
        <w:t xml:space="preserve"> </w:t>
      </w:r>
      <w:r>
        <w:rPr>
          <w:sz w:val="18"/>
        </w:rPr>
        <w:t>and</w:t>
      </w:r>
      <w:r>
        <w:rPr>
          <w:spacing w:val="-4"/>
          <w:sz w:val="18"/>
        </w:rPr>
        <w:t xml:space="preserve"> </w:t>
      </w:r>
      <w:r>
        <w:rPr>
          <w:sz w:val="18"/>
        </w:rPr>
        <w:t>Gender</w:t>
      </w:r>
      <w:r>
        <w:rPr>
          <w:spacing w:val="-1"/>
          <w:sz w:val="18"/>
        </w:rPr>
        <w:t xml:space="preserve"> </w:t>
      </w:r>
      <w:r>
        <w:rPr>
          <w:sz w:val="18"/>
        </w:rPr>
        <w:t>Minority</w:t>
      </w:r>
      <w:r>
        <w:rPr>
          <w:spacing w:val="-3"/>
          <w:sz w:val="18"/>
        </w:rPr>
        <w:t xml:space="preserve"> </w:t>
      </w:r>
      <w:r>
        <w:rPr>
          <w:sz w:val="18"/>
        </w:rPr>
        <w:t>Young</w:t>
      </w:r>
      <w:r>
        <w:rPr>
          <w:spacing w:val="-4"/>
          <w:sz w:val="18"/>
        </w:rPr>
        <w:t xml:space="preserve"> </w:t>
      </w:r>
      <w:r>
        <w:rPr>
          <w:sz w:val="18"/>
        </w:rPr>
        <w:t>Adults</w:t>
      </w:r>
      <w:r>
        <w:rPr>
          <w:spacing w:val="-4"/>
          <w:sz w:val="18"/>
        </w:rPr>
        <w:t xml:space="preserve"> </w:t>
      </w:r>
      <w:r>
        <w:rPr>
          <w:sz w:val="18"/>
        </w:rPr>
        <w:t>and</w:t>
      </w:r>
      <w:r>
        <w:rPr>
          <w:spacing w:val="-4"/>
          <w:sz w:val="18"/>
        </w:rPr>
        <w:t xml:space="preserve"> </w:t>
      </w:r>
      <w:r>
        <w:rPr>
          <w:sz w:val="18"/>
        </w:rPr>
        <w:t>Their</w:t>
      </w:r>
      <w:r>
        <w:rPr>
          <w:spacing w:val="-1"/>
          <w:sz w:val="18"/>
        </w:rPr>
        <w:t xml:space="preserve"> </w:t>
      </w:r>
      <w:r>
        <w:rPr>
          <w:sz w:val="18"/>
        </w:rPr>
        <w:t>Nonaccepting</w:t>
      </w:r>
      <w:r>
        <w:rPr>
          <w:spacing w:val="-4"/>
          <w:sz w:val="18"/>
        </w:rPr>
        <w:t xml:space="preserve"> </w:t>
      </w:r>
      <w:r>
        <w:rPr>
          <w:sz w:val="18"/>
        </w:rPr>
        <w:t>Parents.”</w:t>
      </w:r>
      <w:r>
        <w:rPr>
          <w:spacing w:val="-4"/>
          <w:sz w:val="18"/>
        </w:rPr>
        <w:t xml:space="preserve"> </w:t>
      </w:r>
      <w:r>
        <w:rPr>
          <w:i/>
          <w:sz w:val="18"/>
        </w:rPr>
        <w:t xml:space="preserve">Family Process </w:t>
      </w:r>
      <w:r>
        <w:rPr>
          <w:sz w:val="18"/>
        </w:rPr>
        <w:t xml:space="preserve">61, no. 2 (June 2022): 530–48. </w:t>
      </w:r>
      <w:hyperlink r:id="rId312">
        <w:r>
          <w:rPr>
            <w:color w:val="1154CC"/>
            <w:sz w:val="18"/>
            <w:u w:val="single" w:color="1154CC"/>
          </w:rPr>
          <w:t>https://doi.org/10.1111/famp.12770</w:t>
        </w:r>
        <w:r>
          <w:rPr>
            <w:sz w:val="18"/>
          </w:rPr>
          <w:t>.</w:t>
        </w:r>
      </w:hyperlink>
    </w:p>
    <w:p w:rsidR="00200FDA" w:rsidRDefault="00F76C4C">
      <w:pPr>
        <w:ind w:left="139" w:right="329"/>
        <w:rPr>
          <w:sz w:val="18"/>
        </w:rPr>
      </w:pPr>
      <w:bookmarkStart w:id="432" w:name="_bookmark313"/>
      <w:bookmarkEnd w:id="432"/>
      <w:r>
        <w:rPr>
          <w:position w:val="5"/>
          <w:sz w:val="12"/>
        </w:rPr>
        <w:t>59</w:t>
      </w:r>
      <w:r>
        <w:rPr>
          <w:spacing w:val="10"/>
          <w:position w:val="5"/>
          <w:sz w:val="12"/>
        </w:rPr>
        <w:t xml:space="preserve"> </w:t>
      </w:r>
      <w:r>
        <w:rPr>
          <w:sz w:val="18"/>
        </w:rPr>
        <w:t>O’Neill,</w:t>
      </w:r>
      <w:r>
        <w:rPr>
          <w:spacing w:val="-2"/>
          <w:sz w:val="18"/>
        </w:rPr>
        <w:t xml:space="preserve"> </w:t>
      </w:r>
      <w:r>
        <w:rPr>
          <w:sz w:val="18"/>
        </w:rPr>
        <w:t>R.,</w:t>
      </w:r>
      <w:r>
        <w:rPr>
          <w:spacing w:val="-2"/>
          <w:sz w:val="18"/>
        </w:rPr>
        <w:t xml:space="preserve"> </w:t>
      </w:r>
      <w:r>
        <w:rPr>
          <w:sz w:val="18"/>
        </w:rPr>
        <w:t>B.</w:t>
      </w:r>
      <w:r>
        <w:rPr>
          <w:spacing w:val="-2"/>
          <w:sz w:val="18"/>
        </w:rPr>
        <w:t xml:space="preserve"> </w:t>
      </w:r>
      <w:r>
        <w:rPr>
          <w:sz w:val="18"/>
        </w:rPr>
        <w:t>Gilea,</w:t>
      </w:r>
      <w:r>
        <w:rPr>
          <w:spacing w:val="-2"/>
          <w:sz w:val="18"/>
        </w:rPr>
        <w:t xml:space="preserve"> </w:t>
      </w:r>
      <w:r>
        <w:rPr>
          <w:sz w:val="18"/>
        </w:rPr>
        <w:t>and</w:t>
      </w:r>
      <w:r>
        <w:rPr>
          <w:spacing w:val="-3"/>
          <w:sz w:val="18"/>
        </w:rPr>
        <w:t xml:space="preserve"> </w:t>
      </w:r>
      <w:r>
        <w:rPr>
          <w:sz w:val="18"/>
        </w:rPr>
        <w:t>S. Fellenger.</w:t>
      </w:r>
      <w:r>
        <w:rPr>
          <w:spacing w:val="-2"/>
          <w:sz w:val="18"/>
        </w:rPr>
        <w:t xml:space="preserve"> </w:t>
      </w:r>
      <w:r>
        <w:rPr>
          <w:sz w:val="18"/>
        </w:rPr>
        <w:t>“Motivational</w:t>
      </w:r>
      <w:r>
        <w:rPr>
          <w:spacing w:val="-3"/>
          <w:sz w:val="18"/>
        </w:rPr>
        <w:t xml:space="preserve"> </w:t>
      </w:r>
      <w:r>
        <w:rPr>
          <w:sz w:val="18"/>
        </w:rPr>
        <w:t>Interviewing</w:t>
      </w:r>
      <w:r>
        <w:rPr>
          <w:spacing w:val="-3"/>
          <w:sz w:val="18"/>
        </w:rPr>
        <w:t xml:space="preserve"> </w:t>
      </w:r>
      <w:r>
        <w:rPr>
          <w:sz w:val="18"/>
        </w:rPr>
        <w:t>for</w:t>
      </w:r>
      <w:r>
        <w:rPr>
          <w:spacing w:val="-3"/>
          <w:sz w:val="18"/>
        </w:rPr>
        <w:t xml:space="preserve"> </w:t>
      </w:r>
      <w:r>
        <w:rPr>
          <w:sz w:val="18"/>
        </w:rPr>
        <w:t>Caregivers</w:t>
      </w:r>
      <w:r>
        <w:rPr>
          <w:spacing w:val="-3"/>
          <w:sz w:val="18"/>
        </w:rPr>
        <w:t xml:space="preserve"> </w:t>
      </w:r>
      <w:r>
        <w:rPr>
          <w:sz w:val="18"/>
        </w:rPr>
        <w:t>of</w:t>
      </w:r>
      <w:r>
        <w:rPr>
          <w:spacing w:val="-2"/>
          <w:sz w:val="18"/>
        </w:rPr>
        <w:t xml:space="preserve"> </w:t>
      </w:r>
      <w:r>
        <w:rPr>
          <w:sz w:val="18"/>
        </w:rPr>
        <w:t>LGBT</w:t>
      </w:r>
      <w:r>
        <w:rPr>
          <w:spacing w:val="-1"/>
          <w:sz w:val="18"/>
        </w:rPr>
        <w:t xml:space="preserve"> </w:t>
      </w:r>
      <w:r>
        <w:rPr>
          <w:sz w:val="18"/>
        </w:rPr>
        <w:t>Youth.”</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LGBT</w:t>
      </w:r>
      <w:r>
        <w:rPr>
          <w:i/>
          <w:spacing w:val="-4"/>
          <w:sz w:val="18"/>
        </w:rPr>
        <w:t xml:space="preserve"> </w:t>
      </w:r>
      <w:r>
        <w:rPr>
          <w:i/>
          <w:sz w:val="18"/>
        </w:rPr>
        <w:t>Youth</w:t>
      </w:r>
      <w:r>
        <w:rPr>
          <w:i/>
          <w:spacing w:val="-1"/>
          <w:sz w:val="18"/>
        </w:rPr>
        <w:t xml:space="preserve"> </w:t>
      </w:r>
      <w:r>
        <w:rPr>
          <w:sz w:val="18"/>
        </w:rPr>
        <w:t>17,</w:t>
      </w:r>
      <w:r>
        <w:rPr>
          <w:spacing w:val="-4"/>
          <w:sz w:val="18"/>
        </w:rPr>
        <w:t xml:space="preserve"> </w:t>
      </w:r>
      <w:r>
        <w:rPr>
          <w:sz w:val="18"/>
        </w:rPr>
        <w:t xml:space="preserve">no. 3 (July 2, 2020): 315–30. </w:t>
      </w:r>
      <w:hyperlink r:id="rId313">
        <w:r>
          <w:rPr>
            <w:color w:val="1154CC"/>
            <w:sz w:val="18"/>
            <w:u w:val="single" w:color="1154CC"/>
          </w:rPr>
          <w:t>https://doi.org/10.1080/19361653.2019.1591322</w:t>
        </w:r>
        <w:r>
          <w:rPr>
            <w:sz w:val="18"/>
          </w:rPr>
          <w:t>.</w:t>
        </w:r>
      </w:hyperlink>
    </w:p>
    <w:p w:rsidR="00200FDA" w:rsidRDefault="00F76C4C">
      <w:pPr>
        <w:ind w:left="140" w:right="259"/>
        <w:rPr>
          <w:sz w:val="18"/>
        </w:rPr>
      </w:pPr>
      <w:bookmarkStart w:id="433" w:name="_bookmark314"/>
      <w:bookmarkEnd w:id="433"/>
      <w:r>
        <w:rPr>
          <w:position w:val="5"/>
          <w:sz w:val="12"/>
        </w:rPr>
        <w:t>60</w:t>
      </w:r>
      <w:r>
        <w:rPr>
          <w:spacing w:val="9"/>
          <w:position w:val="5"/>
          <w:sz w:val="12"/>
        </w:rPr>
        <w:t xml:space="preserve"> </w:t>
      </w:r>
      <w:r>
        <w:rPr>
          <w:sz w:val="18"/>
        </w:rPr>
        <w:t>The</w:t>
      </w:r>
      <w:r>
        <w:rPr>
          <w:spacing w:val="-4"/>
          <w:sz w:val="18"/>
        </w:rPr>
        <w:t xml:space="preserve"> </w:t>
      </w:r>
      <w:r>
        <w:rPr>
          <w:sz w:val="18"/>
        </w:rPr>
        <w:t>Trevor</w:t>
      </w:r>
      <w:r>
        <w:rPr>
          <w:spacing w:val="-4"/>
          <w:sz w:val="18"/>
        </w:rPr>
        <w:t xml:space="preserve"> </w:t>
      </w:r>
      <w:r>
        <w:rPr>
          <w:sz w:val="18"/>
        </w:rPr>
        <w:t>Project,</w:t>
      </w:r>
      <w:r>
        <w:rPr>
          <w:spacing w:val="-3"/>
          <w:sz w:val="18"/>
        </w:rPr>
        <w:t xml:space="preserve"> </w:t>
      </w:r>
      <w:r>
        <w:rPr>
          <w:sz w:val="18"/>
        </w:rPr>
        <w:t>“2022</w:t>
      </w:r>
      <w:r>
        <w:rPr>
          <w:spacing w:val="-3"/>
          <w:sz w:val="18"/>
        </w:rPr>
        <w:t xml:space="preserve"> </w:t>
      </w:r>
      <w:r>
        <w:rPr>
          <w:sz w:val="18"/>
        </w:rPr>
        <w:t>National</w:t>
      </w:r>
      <w:r>
        <w:rPr>
          <w:spacing w:val="-4"/>
          <w:sz w:val="18"/>
        </w:rPr>
        <w:t xml:space="preserve"> </w:t>
      </w:r>
      <w:r>
        <w:rPr>
          <w:sz w:val="18"/>
        </w:rPr>
        <w:t>Survey</w:t>
      </w:r>
      <w:r>
        <w:rPr>
          <w:spacing w:val="-3"/>
          <w:sz w:val="18"/>
        </w:rPr>
        <w:t xml:space="preserve"> </w:t>
      </w:r>
      <w:r>
        <w:rPr>
          <w:sz w:val="18"/>
        </w:rPr>
        <w:t>on</w:t>
      </w:r>
      <w:r>
        <w:rPr>
          <w:spacing w:val="-4"/>
          <w:sz w:val="18"/>
        </w:rPr>
        <w:t xml:space="preserve"> </w:t>
      </w:r>
      <w:r>
        <w:rPr>
          <w:sz w:val="18"/>
        </w:rPr>
        <w:t>LGBTQ</w:t>
      </w:r>
      <w:r>
        <w:rPr>
          <w:spacing w:val="-4"/>
          <w:sz w:val="18"/>
        </w:rPr>
        <w:t xml:space="preserve"> </w:t>
      </w:r>
      <w:r>
        <w:rPr>
          <w:sz w:val="18"/>
        </w:rPr>
        <w:t>Youth</w:t>
      </w:r>
      <w:r>
        <w:rPr>
          <w:spacing w:val="-4"/>
          <w:sz w:val="18"/>
        </w:rPr>
        <w:t xml:space="preserve"> </w:t>
      </w:r>
      <w:r>
        <w:rPr>
          <w:sz w:val="18"/>
        </w:rPr>
        <w:t>Mental</w:t>
      </w:r>
      <w:r>
        <w:rPr>
          <w:spacing w:val="-4"/>
          <w:sz w:val="18"/>
        </w:rPr>
        <w:t xml:space="preserve"> </w:t>
      </w:r>
      <w:r>
        <w:rPr>
          <w:sz w:val="18"/>
        </w:rPr>
        <w:t>Health,”</w:t>
      </w:r>
      <w:r>
        <w:rPr>
          <w:spacing w:val="-4"/>
          <w:sz w:val="18"/>
        </w:rPr>
        <w:t xml:space="preserve"> </w:t>
      </w:r>
      <w:r>
        <w:rPr>
          <w:sz w:val="18"/>
        </w:rPr>
        <w:t>2022,</w:t>
      </w:r>
      <w:r>
        <w:rPr>
          <w:spacing w:val="-2"/>
          <w:sz w:val="18"/>
        </w:rPr>
        <w:t xml:space="preserve"> </w:t>
      </w:r>
      <w:hyperlink r:id="rId314">
        <w:r>
          <w:rPr>
            <w:color w:val="1154CC"/>
            <w:sz w:val="18"/>
            <w:u w:val="single" w:color="1154CC"/>
          </w:rPr>
          <w:t>https://www.thetrevorproject.org/survey-</w:t>
        </w:r>
      </w:hyperlink>
      <w:r>
        <w:rPr>
          <w:color w:val="1154CC"/>
          <w:sz w:val="18"/>
        </w:rPr>
        <w:t xml:space="preserve"> </w:t>
      </w:r>
      <w:hyperlink r:id="rId315">
        <w:r>
          <w:rPr>
            <w:color w:val="1154CC"/>
            <w:spacing w:val="-2"/>
            <w:sz w:val="18"/>
            <w:u w:val="single" w:color="1154CC"/>
          </w:rPr>
          <w:t>2</w:t>
        </w:r>
        <w:r>
          <w:rPr>
            <w:color w:val="1154CC"/>
            <w:spacing w:val="-2"/>
            <w:sz w:val="18"/>
            <w:u w:val="single" w:color="1154CC"/>
          </w:rPr>
          <w:t>022/assets/static/trevor01_2022survey_final.pdf</w:t>
        </w:r>
        <w:r>
          <w:rPr>
            <w:spacing w:val="-2"/>
            <w:sz w:val="18"/>
          </w:rPr>
          <w:t>.</w:t>
        </w:r>
      </w:hyperlink>
    </w:p>
    <w:p w:rsidR="00200FDA" w:rsidRDefault="00F76C4C">
      <w:pPr>
        <w:ind w:left="140" w:right="223"/>
        <w:rPr>
          <w:sz w:val="18"/>
        </w:rPr>
      </w:pPr>
      <w:bookmarkStart w:id="434" w:name="_bookmark315"/>
      <w:bookmarkEnd w:id="434"/>
      <w:r>
        <w:rPr>
          <w:position w:val="5"/>
          <w:sz w:val="12"/>
        </w:rPr>
        <w:t>61</w:t>
      </w:r>
      <w:r>
        <w:rPr>
          <w:spacing w:val="17"/>
          <w:position w:val="5"/>
          <w:sz w:val="12"/>
        </w:rPr>
        <w:t xml:space="preserve"> </w:t>
      </w:r>
      <w:r>
        <w:rPr>
          <w:sz w:val="18"/>
        </w:rPr>
        <w:t>Fish, Jessica N., Natasha D. Williams, Lauren B. McInroy, Megan S. Paceley, Rachel N. Edsall, Jackson Devadas, Sara Birnel Henderson, and Deborah S. Levine. “Q Chat Space: Assessing the Feasibility and Ac</w:t>
      </w:r>
      <w:r>
        <w:rPr>
          <w:sz w:val="18"/>
        </w:rPr>
        <w:t>ceptability of an Internet-Based Support Program</w:t>
      </w:r>
      <w:r>
        <w:rPr>
          <w:spacing w:val="-3"/>
          <w:sz w:val="18"/>
        </w:rPr>
        <w:t xml:space="preserve"> </w:t>
      </w:r>
      <w:r>
        <w:rPr>
          <w:sz w:val="18"/>
        </w:rPr>
        <w:t>for</w:t>
      </w:r>
      <w:r>
        <w:rPr>
          <w:spacing w:val="-4"/>
          <w:sz w:val="18"/>
        </w:rPr>
        <w:t xml:space="preserve"> </w:t>
      </w:r>
      <w:r>
        <w:rPr>
          <w:sz w:val="18"/>
        </w:rPr>
        <w:t>LGBTQ</w:t>
      </w:r>
      <w:r>
        <w:rPr>
          <w:spacing w:val="-5"/>
          <w:sz w:val="18"/>
        </w:rPr>
        <w:t xml:space="preserve"> </w:t>
      </w:r>
      <w:r>
        <w:rPr>
          <w:sz w:val="18"/>
        </w:rPr>
        <w:t>Youth.”</w:t>
      </w:r>
      <w:r>
        <w:rPr>
          <w:spacing w:val="-4"/>
          <w:sz w:val="18"/>
        </w:rPr>
        <w:t xml:space="preserve"> </w:t>
      </w:r>
      <w:r>
        <w:rPr>
          <w:i/>
          <w:sz w:val="18"/>
        </w:rPr>
        <w:t>Prevention</w:t>
      </w:r>
      <w:r>
        <w:rPr>
          <w:i/>
          <w:spacing w:val="-2"/>
          <w:sz w:val="18"/>
        </w:rPr>
        <w:t xml:space="preserve"> </w:t>
      </w:r>
      <w:r>
        <w:rPr>
          <w:i/>
          <w:sz w:val="18"/>
        </w:rPr>
        <w:t>Science</w:t>
      </w:r>
      <w:r>
        <w:rPr>
          <w:i/>
          <w:spacing w:val="-3"/>
          <w:sz w:val="18"/>
        </w:rPr>
        <w:t xml:space="preserve"> </w:t>
      </w:r>
      <w:r>
        <w:rPr>
          <w:sz w:val="18"/>
        </w:rPr>
        <w:t>23,</w:t>
      </w:r>
      <w:r>
        <w:rPr>
          <w:spacing w:val="-3"/>
          <w:sz w:val="18"/>
        </w:rPr>
        <w:t xml:space="preserve"> </w:t>
      </w:r>
      <w:r>
        <w:rPr>
          <w:sz w:val="18"/>
        </w:rPr>
        <w:t>no.</w:t>
      </w:r>
      <w:r>
        <w:rPr>
          <w:spacing w:val="-3"/>
          <w:sz w:val="18"/>
        </w:rPr>
        <w:t xml:space="preserve"> </w:t>
      </w:r>
      <w:r>
        <w:rPr>
          <w:sz w:val="18"/>
        </w:rPr>
        <w:t>1</w:t>
      </w:r>
      <w:r>
        <w:rPr>
          <w:spacing w:val="-3"/>
          <w:sz w:val="18"/>
        </w:rPr>
        <w:t xml:space="preserve"> </w:t>
      </w:r>
      <w:r>
        <w:rPr>
          <w:sz w:val="18"/>
        </w:rPr>
        <w:t>(January</w:t>
      </w:r>
      <w:r>
        <w:rPr>
          <w:spacing w:val="-6"/>
          <w:sz w:val="18"/>
        </w:rPr>
        <w:t xml:space="preserve"> </w:t>
      </w:r>
      <w:r>
        <w:rPr>
          <w:sz w:val="18"/>
        </w:rPr>
        <w:t>1,</w:t>
      </w:r>
      <w:r>
        <w:rPr>
          <w:spacing w:val="-3"/>
          <w:sz w:val="18"/>
        </w:rPr>
        <w:t xml:space="preserve"> </w:t>
      </w:r>
      <w:r>
        <w:rPr>
          <w:sz w:val="18"/>
        </w:rPr>
        <w:t>2022):</w:t>
      </w:r>
      <w:r>
        <w:rPr>
          <w:spacing w:val="-3"/>
          <w:sz w:val="18"/>
        </w:rPr>
        <w:t xml:space="preserve"> </w:t>
      </w:r>
      <w:r>
        <w:rPr>
          <w:sz w:val="18"/>
        </w:rPr>
        <w:t>130–41.</w:t>
      </w:r>
      <w:r>
        <w:rPr>
          <w:spacing w:val="-4"/>
          <w:sz w:val="18"/>
        </w:rPr>
        <w:t xml:space="preserve"> </w:t>
      </w:r>
      <w:hyperlink r:id="rId316">
        <w:r>
          <w:rPr>
            <w:color w:val="1154CC"/>
            <w:sz w:val="18"/>
            <w:u w:val="single" w:color="1154CC"/>
          </w:rPr>
          <w:t>https://doi.org/10.1007/s11121-021-01291-</w:t>
        </w:r>
      </w:hyperlink>
      <w:r>
        <w:rPr>
          <w:color w:val="1154CC"/>
          <w:sz w:val="18"/>
        </w:rPr>
        <w:t xml:space="preserve"> </w:t>
      </w:r>
      <w:hyperlink r:id="rId317">
        <w:r>
          <w:rPr>
            <w:color w:val="1154CC"/>
            <w:spacing w:val="-6"/>
            <w:sz w:val="18"/>
            <w:u w:val="single" w:color="1154CC"/>
          </w:rPr>
          <w:t>y</w:t>
        </w:r>
        <w:r>
          <w:rPr>
            <w:spacing w:val="-6"/>
            <w:sz w:val="18"/>
          </w:rPr>
          <w:t>.</w:t>
        </w:r>
      </w:hyperlink>
    </w:p>
    <w:p w:rsidR="00200FDA" w:rsidRDefault="00F76C4C">
      <w:pPr>
        <w:ind w:left="140" w:right="259" w:hanging="1"/>
        <w:rPr>
          <w:sz w:val="18"/>
        </w:rPr>
      </w:pPr>
      <w:bookmarkStart w:id="435" w:name="_bookmark316"/>
      <w:bookmarkEnd w:id="435"/>
      <w:r>
        <w:rPr>
          <w:position w:val="5"/>
          <w:sz w:val="12"/>
        </w:rPr>
        <w:t>62</w:t>
      </w:r>
      <w:r>
        <w:rPr>
          <w:spacing w:val="17"/>
          <w:position w:val="5"/>
          <w:sz w:val="12"/>
        </w:rPr>
        <w:t xml:space="preserve"> </w:t>
      </w:r>
      <w:r>
        <w:rPr>
          <w:sz w:val="18"/>
        </w:rPr>
        <w:t>Poteat, V. Paul, Jerel P. Calzo, Hirokazu Yoshikawa, Arthur Lipkin, Christopher J. Ceccolini, Sarah B. Rosenbach, Michael D. O’Brien,</w:t>
      </w:r>
      <w:r>
        <w:rPr>
          <w:spacing w:val="-3"/>
          <w:sz w:val="18"/>
        </w:rPr>
        <w:t xml:space="preserve"> </w:t>
      </w:r>
      <w:r>
        <w:rPr>
          <w:sz w:val="18"/>
        </w:rPr>
        <w:t>Robert</w:t>
      </w:r>
      <w:r>
        <w:rPr>
          <w:spacing w:val="-4"/>
          <w:sz w:val="18"/>
        </w:rPr>
        <w:t xml:space="preserve"> </w:t>
      </w:r>
      <w:r>
        <w:rPr>
          <w:sz w:val="18"/>
        </w:rPr>
        <w:t>A.</w:t>
      </w:r>
      <w:r>
        <w:rPr>
          <w:spacing w:val="-3"/>
          <w:sz w:val="18"/>
        </w:rPr>
        <w:t xml:space="preserve"> </w:t>
      </w:r>
      <w:r>
        <w:rPr>
          <w:sz w:val="18"/>
        </w:rPr>
        <w:t>Marx,</w:t>
      </w:r>
      <w:r>
        <w:rPr>
          <w:spacing w:val="-3"/>
          <w:sz w:val="18"/>
        </w:rPr>
        <w:t xml:space="preserve"> </w:t>
      </w:r>
      <w:r>
        <w:rPr>
          <w:sz w:val="18"/>
        </w:rPr>
        <w:t>Gabriel</w:t>
      </w:r>
      <w:r>
        <w:rPr>
          <w:spacing w:val="-1"/>
          <w:sz w:val="18"/>
        </w:rPr>
        <w:t xml:space="preserve"> </w:t>
      </w:r>
      <w:r>
        <w:rPr>
          <w:sz w:val="18"/>
        </w:rPr>
        <w:t>R.</w:t>
      </w:r>
      <w:r>
        <w:rPr>
          <w:spacing w:val="-3"/>
          <w:sz w:val="18"/>
        </w:rPr>
        <w:t xml:space="preserve"> </w:t>
      </w:r>
      <w:r>
        <w:rPr>
          <w:sz w:val="18"/>
        </w:rPr>
        <w:t>Murchison,</w:t>
      </w:r>
      <w:r>
        <w:rPr>
          <w:spacing w:val="-3"/>
          <w:sz w:val="18"/>
        </w:rPr>
        <w:t xml:space="preserve"> </w:t>
      </w:r>
      <w:r>
        <w:rPr>
          <w:sz w:val="18"/>
        </w:rPr>
        <w:t>and</w:t>
      </w:r>
      <w:r>
        <w:rPr>
          <w:spacing w:val="-4"/>
          <w:sz w:val="18"/>
        </w:rPr>
        <w:t xml:space="preserve"> </w:t>
      </w:r>
      <w:r>
        <w:rPr>
          <w:sz w:val="18"/>
        </w:rPr>
        <w:t>Esther</w:t>
      </w:r>
      <w:r>
        <w:rPr>
          <w:spacing w:val="-4"/>
          <w:sz w:val="18"/>
        </w:rPr>
        <w:t xml:space="preserve"> </w:t>
      </w:r>
      <w:r>
        <w:rPr>
          <w:sz w:val="18"/>
        </w:rPr>
        <w:t>Burson.</w:t>
      </w:r>
      <w:r>
        <w:rPr>
          <w:spacing w:val="-1"/>
          <w:sz w:val="18"/>
        </w:rPr>
        <w:t xml:space="preserve"> </w:t>
      </w:r>
      <w:r>
        <w:rPr>
          <w:sz w:val="18"/>
        </w:rPr>
        <w:t>“Greater</w:t>
      </w:r>
      <w:r>
        <w:rPr>
          <w:spacing w:val="-4"/>
          <w:sz w:val="18"/>
        </w:rPr>
        <w:t xml:space="preserve"> </w:t>
      </w:r>
      <w:r>
        <w:rPr>
          <w:sz w:val="18"/>
        </w:rPr>
        <w:t>Engagement</w:t>
      </w:r>
      <w:r>
        <w:rPr>
          <w:spacing w:val="-4"/>
          <w:sz w:val="18"/>
        </w:rPr>
        <w:t xml:space="preserve"> </w:t>
      </w:r>
      <w:r>
        <w:rPr>
          <w:sz w:val="18"/>
        </w:rPr>
        <w:t>in</w:t>
      </w:r>
      <w:r>
        <w:rPr>
          <w:spacing w:val="-4"/>
          <w:sz w:val="18"/>
        </w:rPr>
        <w:t xml:space="preserve"> </w:t>
      </w:r>
      <w:r>
        <w:rPr>
          <w:sz w:val="18"/>
        </w:rPr>
        <w:t>Gender-Sexuality</w:t>
      </w:r>
      <w:r>
        <w:rPr>
          <w:spacing w:val="-3"/>
          <w:sz w:val="18"/>
        </w:rPr>
        <w:t xml:space="preserve"> </w:t>
      </w:r>
      <w:r>
        <w:rPr>
          <w:sz w:val="18"/>
        </w:rPr>
        <w:t>Alliances</w:t>
      </w:r>
      <w:r>
        <w:rPr>
          <w:spacing w:val="-4"/>
          <w:sz w:val="18"/>
        </w:rPr>
        <w:t xml:space="preserve"> </w:t>
      </w:r>
      <w:r>
        <w:rPr>
          <w:sz w:val="18"/>
        </w:rPr>
        <w:t xml:space="preserve">(GSAs) and GSA Characteristics Predict Youth Empowerment and Reduced Mental Health Concerns.” </w:t>
      </w:r>
      <w:r>
        <w:rPr>
          <w:i/>
          <w:sz w:val="18"/>
        </w:rPr>
        <w:t>Child Development 91</w:t>
      </w:r>
      <w:r>
        <w:rPr>
          <w:sz w:val="18"/>
        </w:rPr>
        <w:t xml:space="preserve">, no. 5 (September 2020): 1509–28. </w:t>
      </w:r>
      <w:hyperlink r:id="rId318">
        <w:r>
          <w:rPr>
            <w:color w:val="1154CC"/>
            <w:sz w:val="18"/>
            <w:u w:val="single" w:color="1154CC"/>
          </w:rPr>
          <w:t>ht</w:t>
        </w:r>
        <w:r>
          <w:rPr>
            <w:color w:val="1154CC"/>
            <w:sz w:val="18"/>
            <w:u w:val="single" w:color="1154CC"/>
          </w:rPr>
          <w:t>tps://doi.org/10.1111/cdev.13345</w:t>
        </w:r>
        <w:r>
          <w:rPr>
            <w:sz w:val="18"/>
          </w:rPr>
          <w:t>.</w:t>
        </w:r>
      </w:hyperlink>
    </w:p>
    <w:p w:rsidR="00200FDA" w:rsidRDefault="00F76C4C">
      <w:pPr>
        <w:ind w:left="140" w:right="432" w:hanging="1"/>
        <w:rPr>
          <w:sz w:val="18"/>
        </w:rPr>
      </w:pPr>
      <w:bookmarkStart w:id="436" w:name="_bookmark317"/>
      <w:bookmarkEnd w:id="436"/>
      <w:r>
        <w:rPr>
          <w:position w:val="5"/>
          <w:sz w:val="12"/>
        </w:rPr>
        <w:t>63</w:t>
      </w:r>
      <w:r>
        <w:rPr>
          <w:spacing w:val="19"/>
          <w:position w:val="5"/>
          <w:sz w:val="12"/>
        </w:rPr>
        <w:t xml:space="preserve"> </w:t>
      </w:r>
      <w:r>
        <w:rPr>
          <w:sz w:val="18"/>
        </w:rPr>
        <w:t>Truong, Nhan, Caitlin Clark, Sarah Rosenbach, and Joseph Kosciw. “The GSA Study: Results of National Surveys About Students’</w:t>
      </w:r>
      <w:r>
        <w:rPr>
          <w:spacing w:val="-2"/>
          <w:sz w:val="18"/>
        </w:rPr>
        <w:t xml:space="preserve"> </w:t>
      </w:r>
      <w:r>
        <w:rPr>
          <w:sz w:val="18"/>
        </w:rPr>
        <w:t>and</w:t>
      </w:r>
      <w:r>
        <w:rPr>
          <w:spacing w:val="-3"/>
          <w:sz w:val="18"/>
        </w:rPr>
        <w:t xml:space="preserve"> </w:t>
      </w:r>
      <w:r>
        <w:rPr>
          <w:sz w:val="18"/>
        </w:rPr>
        <w:t>Advisors’</w:t>
      </w:r>
      <w:r>
        <w:rPr>
          <w:spacing w:val="-2"/>
          <w:sz w:val="18"/>
        </w:rPr>
        <w:t xml:space="preserve"> </w:t>
      </w:r>
      <w:r>
        <w:rPr>
          <w:sz w:val="18"/>
        </w:rPr>
        <w:t>Experiences</w:t>
      </w:r>
      <w:r>
        <w:rPr>
          <w:spacing w:val="-3"/>
          <w:sz w:val="18"/>
        </w:rPr>
        <w:t xml:space="preserve"> </w:t>
      </w:r>
      <w:r>
        <w:rPr>
          <w:sz w:val="18"/>
        </w:rPr>
        <w:t>in</w:t>
      </w:r>
      <w:r>
        <w:rPr>
          <w:spacing w:val="-3"/>
          <w:sz w:val="18"/>
        </w:rPr>
        <w:t xml:space="preserve"> </w:t>
      </w:r>
      <w:r>
        <w:rPr>
          <w:sz w:val="18"/>
        </w:rPr>
        <w:t>Gender</w:t>
      </w:r>
      <w:r>
        <w:rPr>
          <w:spacing w:val="-3"/>
          <w:sz w:val="18"/>
        </w:rPr>
        <w:t xml:space="preserve"> </w:t>
      </w:r>
      <w:r>
        <w:rPr>
          <w:sz w:val="18"/>
        </w:rPr>
        <w:t>and</w:t>
      </w:r>
      <w:r>
        <w:rPr>
          <w:spacing w:val="-3"/>
          <w:sz w:val="18"/>
        </w:rPr>
        <w:t xml:space="preserve"> </w:t>
      </w:r>
      <w:r>
        <w:rPr>
          <w:sz w:val="18"/>
        </w:rPr>
        <w:t>Sexuality</w:t>
      </w:r>
      <w:r>
        <w:rPr>
          <w:spacing w:val="-2"/>
          <w:sz w:val="18"/>
        </w:rPr>
        <w:t xml:space="preserve"> </w:t>
      </w:r>
      <w:r>
        <w:rPr>
          <w:sz w:val="18"/>
        </w:rPr>
        <w:t>Alliance</w:t>
      </w:r>
      <w:r>
        <w:rPr>
          <w:spacing w:val="-3"/>
          <w:sz w:val="18"/>
        </w:rPr>
        <w:t xml:space="preserve"> </w:t>
      </w:r>
      <w:r>
        <w:rPr>
          <w:sz w:val="18"/>
        </w:rPr>
        <w:t>Clubs.”</w:t>
      </w:r>
      <w:r>
        <w:rPr>
          <w:spacing w:val="-3"/>
          <w:sz w:val="18"/>
        </w:rPr>
        <w:t xml:space="preserve"> </w:t>
      </w:r>
      <w:r>
        <w:rPr>
          <w:sz w:val="18"/>
        </w:rPr>
        <w:t>New</w:t>
      </w:r>
      <w:r>
        <w:rPr>
          <w:spacing w:val="-1"/>
          <w:sz w:val="18"/>
        </w:rPr>
        <w:t xml:space="preserve"> </w:t>
      </w:r>
      <w:r>
        <w:rPr>
          <w:sz w:val="18"/>
        </w:rPr>
        <w:t>York:</w:t>
      </w:r>
      <w:r>
        <w:rPr>
          <w:spacing w:val="-2"/>
          <w:sz w:val="18"/>
        </w:rPr>
        <w:t xml:space="preserve"> </w:t>
      </w:r>
      <w:r>
        <w:rPr>
          <w:sz w:val="18"/>
        </w:rPr>
        <w:t>Gay,</w:t>
      </w:r>
      <w:r>
        <w:rPr>
          <w:spacing w:val="-2"/>
          <w:sz w:val="18"/>
        </w:rPr>
        <w:t xml:space="preserve"> </w:t>
      </w:r>
      <w:r>
        <w:rPr>
          <w:sz w:val="18"/>
        </w:rPr>
        <w:t>Lesbian</w:t>
      </w:r>
      <w:r>
        <w:rPr>
          <w:spacing w:val="-3"/>
          <w:sz w:val="18"/>
        </w:rPr>
        <w:t xml:space="preserve"> </w:t>
      </w:r>
      <w:r>
        <w:rPr>
          <w:sz w:val="18"/>
        </w:rPr>
        <w:t>and</w:t>
      </w:r>
      <w:r>
        <w:rPr>
          <w:spacing w:val="-3"/>
          <w:sz w:val="18"/>
        </w:rPr>
        <w:t xml:space="preserve"> </w:t>
      </w:r>
      <w:r>
        <w:rPr>
          <w:sz w:val="18"/>
        </w:rPr>
        <w:t>Straight</w:t>
      </w:r>
      <w:r>
        <w:rPr>
          <w:spacing w:val="-3"/>
          <w:sz w:val="18"/>
        </w:rPr>
        <w:t xml:space="preserve"> </w:t>
      </w:r>
      <w:r>
        <w:rPr>
          <w:sz w:val="18"/>
        </w:rPr>
        <w:t xml:space="preserve">Education Network, 2021. </w:t>
      </w:r>
      <w:hyperlink r:id="rId319">
        <w:r>
          <w:rPr>
            <w:color w:val="1154CC"/>
            <w:sz w:val="18"/>
            <w:u w:val="single" w:color="1154CC"/>
          </w:rPr>
          <w:t>https://www.glsen.org/sites/default/files/2021-12/GLSEN_ResearchInstitute_GSAStudy_12012021.pdf</w:t>
        </w:r>
        <w:r>
          <w:rPr>
            <w:sz w:val="18"/>
          </w:rPr>
          <w:t>.</w:t>
        </w:r>
      </w:hyperlink>
    </w:p>
    <w:p w:rsidR="00200FDA" w:rsidRDefault="00F76C4C">
      <w:pPr>
        <w:ind w:left="140" w:right="432" w:hanging="1"/>
        <w:rPr>
          <w:sz w:val="18"/>
        </w:rPr>
      </w:pPr>
      <w:bookmarkStart w:id="437" w:name="_bookmark318"/>
      <w:bookmarkEnd w:id="437"/>
      <w:r>
        <w:rPr>
          <w:position w:val="5"/>
          <w:sz w:val="12"/>
        </w:rPr>
        <w:t>64</w:t>
      </w:r>
      <w:r>
        <w:rPr>
          <w:spacing w:val="10"/>
          <w:position w:val="5"/>
          <w:sz w:val="12"/>
        </w:rPr>
        <w:t xml:space="preserve"> </w:t>
      </w:r>
      <w:r>
        <w:rPr>
          <w:sz w:val="18"/>
        </w:rPr>
        <w:t>Wilkers</w:t>
      </w:r>
      <w:r>
        <w:rPr>
          <w:sz w:val="18"/>
        </w:rPr>
        <w:t>on,</w:t>
      </w:r>
      <w:r>
        <w:rPr>
          <w:spacing w:val="-2"/>
          <w:sz w:val="18"/>
        </w:rPr>
        <w:t xml:space="preserve"> </w:t>
      </w:r>
      <w:r>
        <w:rPr>
          <w:sz w:val="18"/>
        </w:rPr>
        <w:t>J.</w:t>
      </w:r>
      <w:r>
        <w:rPr>
          <w:spacing w:val="-3"/>
          <w:sz w:val="18"/>
        </w:rPr>
        <w:t xml:space="preserve"> </w:t>
      </w:r>
      <w:r>
        <w:rPr>
          <w:sz w:val="18"/>
        </w:rPr>
        <w:t>Michael,</w:t>
      </w:r>
      <w:r>
        <w:rPr>
          <w:spacing w:val="-2"/>
          <w:sz w:val="18"/>
        </w:rPr>
        <w:t xml:space="preserve"> </w:t>
      </w:r>
      <w:r>
        <w:rPr>
          <w:sz w:val="18"/>
        </w:rPr>
        <w:t>Vanessa</w:t>
      </w:r>
      <w:r>
        <w:rPr>
          <w:spacing w:val="-3"/>
          <w:sz w:val="18"/>
        </w:rPr>
        <w:t xml:space="preserve"> </w:t>
      </w:r>
      <w:r>
        <w:rPr>
          <w:sz w:val="18"/>
        </w:rPr>
        <w:t>R.</w:t>
      </w:r>
      <w:r>
        <w:rPr>
          <w:spacing w:val="-2"/>
          <w:sz w:val="18"/>
        </w:rPr>
        <w:t xml:space="preserve"> </w:t>
      </w:r>
      <w:r>
        <w:rPr>
          <w:sz w:val="18"/>
        </w:rPr>
        <w:t>Schick,</w:t>
      </w:r>
      <w:r>
        <w:rPr>
          <w:spacing w:val="-3"/>
          <w:sz w:val="18"/>
        </w:rPr>
        <w:t xml:space="preserve"> </w:t>
      </w:r>
      <w:r>
        <w:rPr>
          <w:sz w:val="18"/>
        </w:rPr>
        <w:t>Kim</w:t>
      </w:r>
      <w:r>
        <w:rPr>
          <w:spacing w:val="-2"/>
          <w:sz w:val="18"/>
        </w:rPr>
        <w:t xml:space="preserve"> </w:t>
      </w:r>
      <w:r>
        <w:rPr>
          <w:sz w:val="18"/>
        </w:rPr>
        <w:t>A.</w:t>
      </w:r>
      <w:r>
        <w:rPr>
          <w:spacing w:val="-3"/>
          <w:sz w:val="18"/>
        </w:rPr>
        <w:t xml:space="preserve"> </w:t>
      </w:r>
      <w:r>
        <w:rPr>
          <w:sz w:val="18"/>
        </w:rPr>
        <w:t>Romijnders,</w:t>
      </w:r>
      <w:r>
        <w:rPr>
          <w:spacing w:val="-2"/>
          <w:sz w:val="18"/>
        </w:rPr>
        <w:t xml:space="preserve"> </w:t>
      </w:r>
      <w:r>
        <w:rPr>
          <w:sz w:val="18"/>
        </w:rPr>
        <w:t>Jessica</w:t>
      </w:r>
      <w:r>
        <w:rPr>
          <w:spacing w:val="-3"/>
          <w:sz w:val="18"/>
        </w:rPr>
        <w:t xml:space="preserve"> </w:t>
      </w:r>
      <w:r>
        <w:rPr>
          <w:sz w:val="18"/>
        </w:rPr>
        <w:t>Bauldry,</w:t>
      </w:r>
      <w:r>
        <w:rPr>
          <w:spacing w:val="-2"/>
          <w:sz w:val="18"/>
        </w:rPr>
        <w:t xml:space="preserve"> </w:t>
      </w:r>
      <w:r>
        <w:rPr>
          <w:sz w:val="18"/>
        </w:rPr>
        <w:t>Seyram</w:t>
      </w:r>
      <w:r>
        <w:rPr>
          <w:spacing w:val="-3"/>
          <w:sz w:val="18"/>
        </w:rPr>
        <w:t xml:space="preserve"> </w:t>
      </w:r>
      <w:r>
        <w:rPr>
          <w:sz w:val="18"/>
        </w:rPr>
        <w:t>A.</w:t>
      </w:r>
      <w:r>
        <w:rPr>
          <w:spacing w:val="-2"/>
          <w:sz w:val="18"/>
        </w:rPr>
        <w:t xml:space="preserve"> </w:t>
      </w:r>
      <w:r>
        <w:rPr>
          <w:sz w:val="18"/>
        </w:rPr>
        <w:t>Butame,</w:t>
      </w:r>
      <w:r>
        <w:rPr>
          <w:spacing w:val="-3"/>
          <w:sz w:val="18"/>
        </w:rPr>
        <w:t xml:space="preserve"> </w:t>
      </w:r>
      <w:r>
        <w:rPr>
          <w:sz w:val="18"/>
        </w:rPr>
        <w:t>and</w:t>
      </w:r>
      <w:r>
        <w:rPr>
          <w:spacing w:val="-3"/>
          <w:sz w:val="18"/>
        </w:rPr>
        <w:t xml:space="preserve"> </w:t>
      </w:r>
      <w:r>
        <w:rPr>
          <w:sz w:val="18"/>
        </w:rPr>
        <w:t>the</w:t>
      </w:r>
      <w:r>
        <w:rPr>
          <w:spacing w:val="-3"/>
          <w:sz w:val="18"/>
        </w:rPr>
        <w:t xml:space="preserve"> </w:t>
      </w:r>
      <w:r>
        <w:rPr>
          <w:sz w:val="18"/>
        </w:rPr>
        <w:t>Montrose</w:t>
      </w:r>
      <w:r>
        <w:rPr>
          <w:spacing w:val="-3"/>
          <w:sz w:val="18"/>
        </w:rPr>
        <w:t xml:space="preserve"> </w:t>
      </w:r>
      <w:r>
        <w:rPr>
          <w:sz w:val="18"/>
        </w:rPr>
        <w:t xml:space="preserve">Center. “Social Support, Depression, Self-Esteem, and Coping Among LGBTQ Adolescents Participating in Hatch Youth.” </w:t>
      </w:r>
      <w:r>
        <w:rPr>
          <w:i/>
          <w:sz w:val="18"/>
        </w:rPr>
        <w:t xml:space="preserve">Health Promotion Practice </w:t>
      </w:r>
      <w:r>
        <w:rPr>
          <w:sz w:val="18"/>
        </w:rPr>
        <w:t xml:space="preserve">18, no. </w:t>
      </w:r>
      <w:r>
        <w:rPr>
          <w:sz w:val="18"/>
        </w:rPr>
        <w:t xml:space="preserve">3 (May 2017): 358–65. </w:t>
      </w:r>
      <w:hyperlink r:id="rId320">
        <w:r>
          <w:rPr>
            <w:color w:val="1154CC"/>
            <w:sz w:val="18"/>
            <w:u w:val="single" w:color="1154CC"/>
          </w:rPr>
          <w:t>https://doi.org/10.1177/1524839916654461</w:t>
        </w:r>
        <w:r>
          <w:rPr>
            <w:sz w:val="18"/>
          </w:rPr>
          <w:t>.</w:t>
        </w:r>
      </w:hyperlink>
    </w:p>
    <w:p w:rsidR="00200FDA" w:rsidRDefault="00F76C4C">
      <w:pPr>
        <w:ind w:left="140" w:right="432" w:hanging="1"/>
        <w:rPr>
          <w:sz w:val="18"/>
        </w:rPr>
      </w:pPr>
      <w:bookmarkStart w:id="438" w:name="_bookmark319"/>
      <w:bookmarkEnd w:id="438"/>
      <w:r>
        <w:rPr>
          <w:position w:val="5"/>
          <w:sz w:val="12"/>
        </w:rPr>
        <w:t>65</w:t>
      </w:r>
      <w:r>
        <w:rPr>
          <w:spacing w:val="10"/>
          <w:position w:val="5"/>
          <w:sz w:val="12"/>
        </w:rPr>
        <w:t xml:space="preserve"> </w:t>
      </w:r>
      <w:r>
        <w:rPr>
          <w:sz w:val="18"/>
        </w:rPr>
        <w:t>Centers</w:t>
      </w:r>
      <w:r>
        <w:rPr>
          <w:spacing w:val="-3"/>
          <w:sz w:val="18"/>
        </w:rPr>
        <w:t xml:space="preserve"> </w:t>
      </w:r>
      <w:r>
        <w:rPr>
          <w:sz w:val="18"/>
        </w:rPr>
        <w:t>for</w:t>
      </w:r>
      <w:r>
        <w:rPr>
          <w:spacing w:val="-3"/>
          <w:sz w:val="18"/>
        </w:rPr>
        <w:t xml:space="preserve"> </w:t>
      </w:r>
      <w:r>
        <w:rPr>
          <w:sz w:val="18"/>
        </w:rPr>
        <w:t>Disease</w:t>
      </w:r>
      <w:r>
        <w:rPr>
          <w:spacing w:val="-3"/>
          <w:sz w:val="18"/>
        </w:rPr>
        <w:t xml:space="preserve"> </w:t>
      </w:r>
      <w:r>
        <w:rPr>
          <w:sz w:val="18"/>
        </w:rPr>
        <w:t>Control</w:t>
      </w:r>
      <w:r>
        <w:rPr>
          <w:spacing w:val="-3"/>
          <w:sz w:val="18"/>
        </w:rPr>
        <w:t xml:space="preserve"> </w:t>
      </w:r>
      <w:r>
        <w:rPr>
          <w:sz w:val="18"/>
        </w:rPr>
        <w:t>and</w:t>
      </w:r>
      <w:r>
        <w:rPr>
          <w:spacing w:val="-2"/>
          <w:sz w:val="18"/>
        </w:rPr>
        <w:t xml:space="preserve"> </w:t>
      </w:r>
      <w:r>
        <w:rPr>
          <w:sz w:val="18"/>
        </w:rPr>
        <w:t>Prevention.</w:t>
      </w:r>
      <w:r>
        <w:rPr>
          <w:spacing w:val="-2"/>
          <w:sz w:val="18"/>
        </w:rPr>
        <w:t xml:space="preserve"> </w:t>
      </w:r>
      <w:r>
        <w:rPr>
          <w:sz w:val="18"/>
        </w:rPr>
        <w:t>“School</w:t>
      </w:r>
      <w:r>
        <w:rPr>
          <w:spacing w:val="-3"/>
          <w:sz w:val="18"/>
        </w:rPr>
        <w:t xml:space="preserve"> </w:t>
      </w:r>
      <w:r>
        <w:rPr>
          <w:sz w:val="18"/>
        </w:rPr>
        <w:t>Connectedness:</w:t>
      </w:r>
      <w:r>
        <w:rPr>
          <w:spacing w:val="-3"/>
          <w:sz w:val="18"/>
        </w:rPr>
        <w:t xml:space="preserve"> </w:t>
      </w:r>
      <w:r>
        <w:rPr>
          <w:sz w:val="18"/>
        </w:rPr>
        <w:t>Strategies</w:t>
      </w:r>
      <w:r>
        <w:rPr>
          <w:spacing w:val="-3"/>
          <w:sz w:val="18"/>
        </w:rPr>
        <w:t xml:space="preserve"> </w:t>
      </w:r>
      <w:r>
        <w:rPr>
          <w:sz w:val="18"/>
        </w:rPr>
        <w:t>for</w:t>
      </w:r>
      <w:r>
        <w:rPr>
          <w:spacing w:val="-3"/>
          <w:sz w:val="18"/>
        </w:rPr>
        <w:t xml:space="preserve"> </w:t>
      </w:r>
      <w:r>
        <w:rPr>
          <w:sz w:val="18"/>
        </w:rPr>
        <w:t>Increasing</w:t>
      </w:r>
      <w:r>
        <w:rPr>
          <w:spacing w:val="-3"/>
          <w:sz w:val="18"/>
        </w:rPr>
        <w:t xml:space="preserve"> </w:t>
      </w:r>
      <w:r>
        <w:rPr>
          <w:sz w:val="18"/>
        </w:rPr>
        <w:t>Protective</w:t>
      </w:r>
      <w:r>
        <w:rPr>
          <w:spacing w:val="-3"/>
          <w:sz w:val="18"/>
        </w:rPr>
        <w:t xml:space="preserve"> </w:t>
      </w:r>
      <w:r>
        <w:rPr>
          <w:sz w:val="18"/>
        </w:rPr>
        <w:t>Factors</w:t>
      </w:r>
      <w:r>
        <w:rPr>
          <w:spacing w:val="-3"/>
          <w:sz w:val="18"/>
        </w:rPr>
        <w:t xml:space="preserve"> </w:t>
      </w:r>
      <w:r>
        <w:rPr>
          <w:sz w:val="18"/>
        </w:rPr>
        <w:t xml:space="preserve">among Youth.” Atlanta: US Department of Health and Human Services, 2009. </w:t>
      </w:r>
      <w:hyperlink r:id="rId321">
        <w:r>
          <w:rPr>
            <w:color w:val="1154CC"/>
            <w:sz w:val="18"/>
            <w:u w:val="single" w:color="1154CC"/>
          </w:rPr>
          <w:t>https://files.eric.ed.gov/fulltext/ED511993.pdf</w:t>
        </w:r>
        <w:r>
          <w:rPr>
            <w:sz w:val="18"/>
          </w:rPr>
          <w:t>.</w:t>
        </w:r>
      </w:hyperlink>
    </w:p>
    <w:p w:rsidR="00200FDA" w:rsidRDefault="00F76C4C">
      <w:pPr>
        <w:ind w:left="140" w:right="432" w:hanging="1"/>
        <w:rPr>
          <w:sz w:val="18"/>
        </w:rPr>
      </w:pPr>
      <w:bookmarkStart w:id="439" w:name="_bookmark320"/>
      <w:bookmarkEnd w:id="439"/>
      <w:r>
        <w:rPr>
          <w:position w:val="5"/>
          <w:sz w:val="12"/>
        </w:rPr>
        <w:t>66</w:t>
      </w:r>
      <w:r>
        <w:rPr>
          <w:spacing w:val="17"/>
          <w:position w:val="5"/>
          <w:sz w:val="12"/>
        </w:rPr>
        <w:t xml:space="preserve"> </w:t>
      </w:r>
      <w:r>
        <w:rPr>
          <w:sz w:val="18"/>
        </w:rPr>
        <w:t>Gillig, Traci K., Lynn C. Miller, and Courtney M. Cox. “‘She Fin</w:t>
      </w:r>
      <w:r>
        <w:rPr>
          <w:sz w:val="18"/>
        </w:rPr>
        <w:t>ally Smiles … for Real’: Reducing Depressive Symptoms and Bolstering</w:t>
      </w:r>
      <w:r>
        <w:rPr>
          <w:spacing w:val="-3"/>
          <w:sz w:val="18"/>
        </w:rPr>
        <w:t xml:space="preserve"> </w:t>
      </w:r>
      <w:r>
        <w:rPr>
          <w:sz w:val="18"/>
        </w:rPr>
        <w:t>Resilience</w:t>
      </w:r>
      <w:r>
        <w:rPr>
          <w:spacing w:val="-3"/>
          <w:sz w:val="18"/>
        </w:rPr>
        <w:t xml:space="preserve"> </w:t>
      </w:r>
      <w:r>
        <w:rPr>
          <w:sz w:val="18"/>
        </w:rPr>
        <w:t>Through</w:t>
      </w:r>
      <w:r>
        <w:rPr>
          <w:spacing w:val="-3"/>
          <w:sz w:val="18"/>
        </w:rPr>
        <w:t xml:space="preserve"> </w:t>
      </w:r>
      <w:r>
        <w:rPr>
          <w:sz w:val="18"/>
        </w:rPr>
        <w:t>a</w:t>
      </w:r>
      <w:r>
        <w:rPr>
          <w:spacing w:val="-2"/>
          <w:sz w:val="18"/>
        </w:rPr>
        <w:t xml:space="preserve"> </w:t>
      </w:r>
      <w:r>
        <w:rPr>
          <w:sz w:val="18"/>
        </w:rPr>
        <w:t>Camp</w:t>
      </w:r>
      <w:r>
        <w:rPr>
          <w:spacing w:val="-3"/>
          <w:sz w:val="18"/>
        </w:rPr>
        <w:t xml:space="preserve"> </w:t>
      </w:r>
      <w:r>
        <w:rPr>
          <w:sz w:val="18"/>
        </w:rPr>
        <w:t>Intervention</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Youth.”</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Homosexuality</w:t>
      </w:r>
      <w:r>
        <w:rPr>
          <w:i/>
          <w:spacing w:val="-1"/>
          <w:sz w:val="18"/>
        </w:rPr>
        <w:t xml:space="preserve"> </w:t>
      </w:r>
      <w:r>
        <w:rPr>
          <w:sz w:val="18"/>
        </w:rPr>
        <w:t>66,</w:t>
      </w:r>
      <w:r>
        <w:rPr>
          <w:spacing w:val="-4"/>
          <w:sz w:val="18"/>
        </w:rPr>
        <w:t xml:space="preserve"> </w:t>
      </w:r>
      <w:r>
        <w:rPr>
          <w:sz w:val="18"/>
        </w:rPr>
        <w:t>no.</w:t>
      </w:r>
      <w:r>
        <w:rPr>
          <w:spacing w:val="-2"/>
          <w:sz w:val="18"/>
        </w:rPr>
        <w:t xml:space="preserve"> </w:t>
      </w:r>
      <w:r>
        <w:rPr>
          <w:sz w:val="18"/>
        </w:rPr>
        <w:t>3</w:t>
      </w:r>
      <w:r>
        <w:rPr>
          <w:spacing w:val="-2"/>
          <w:sz w:val="18"/>
        </w:rPr>
        <w:t xml:space="preserve"> </w:t>
      </w:r>
      <w:r>
        <w:rPr>
          <w:sz w:val="18"/>
        </w:rPr>
        <w:t>(February</w:t>
      </w:r>
      <w:r>
        <w:rPr>
          <w:spacing w:val="-2"/>
          <w:sz w:val="18"/>
        </w:rPr>
        <w:t xml:space="preserve"> </w:t>
      </w:r>
      <w:r>
        <w:rPr>
          <w:sz w:val="18"/>
        </w:rPr>
        <w:t>23,</w:t>
      </w:r>
      <w:r>
        <w:rPr>
          <w:spacing w:val="-2"/>
          <w:sz w:val="18"/>
        </w:rPr>
        <w:t xml:space="preserve"> </w:t>
      </w:r>
      <w:r>
        <w:rPr>
          <w:sz w:val="18"/>
        </w:rPr>
        <w:t xml:space="preserve">2019): 368–88. </w:t>
      </w:r>
      <w:hyperlink r:id="rId322">
        <w:r>
          <w:rPr>
            <w:color w:val="1154CC"/>
            <w:sz w:val="18"/>
            <w:u w:val="single" w:color="1154CC"/>
          </w:rPr>
          <w:t>h</w:t>
        </w:r>
        <w:r>
          <w:rPr>
            <w:color w:val="1154CC"/>
            <w:sz w:val="18"/>
            <w:u w:val="single" w:color="1154CC"/>
          </w:rPr>
          <w:t>ttps://doi.org/10.1080/00918369.2017.1411693</w:t>
        </w:r>
        <w:r>
          <w:rPr>
            <w:sz w:val="18"/>
          </w:rPr>
          <w:t>.</w:t>
        </w:r>
      </w:hyperlink>
    </w:p>
    <w:p w:rsidR="00200FDA" w:rsidRDefault="00F76C4C">
      <w:pPr>
        <w:ind w:left="140" w:right="482"/>
        <w:jc w:val="both"/>
        <w:rPr>
          <w:sz w:val="18"/>
        </w:rPr>
      </w:pPr>
      <w:bookmarkStart w:id="440" w:name="_bookmark321"/>
      <w:bookmarkEnd w:id="440"/>
      <w:r>
        <w:rPr>
          <w:position w:val="5"/>
          <w:sz w:val="12"/>
        </w:rPr>
        <w:t>67</w:t>
      </w:r>
      <w:r>
        <w:rPr>
          <w:spacing w:val="10"/>
          <w:position w:val="5"/>
          <w:sz w:val="12"/>
        </w:rPr>
        <w:t xml:space="preserve"> </w:t>
      </w:r>
      <w:r>
        <w:rPr>
          <w:sz w:val="18"/>
        </w:rPr>
        <w:t>Gillig,</w:t>
      </w:r>
      <w:r>
        <w:rPr>
          <w:spacing w:val="-2"/>
          <w:sz w:val="18"/>
        </w:rPr>
        <w:t xml:space="preserve"> </w:t>
      </w:r>
      <w:r>
        <w:rPr>
          <w:sz w:val="18"/>
        </w:rPr>
        <w:t>Traci</w:t>
      </w:r>
      <w:r>
        <w:rPr>
          <w:spacing w:val="-3"/>
          <w:sz w:val="18"/>
        </w:rPr>
        <w:t xml:space="preserve"> </w:t>
      </w:r>
      <w:r>
        <w:rPr>
          <w:sz w:val="18"/>
        </w:rPr>
        <w:t>K.,</w:t>
      </w:r>
      <w:r>
        <w:rPr>
          <w:spacing w:val="-2"/>
          <w:sz w:val="18"/>
        </w:rPr>
        <w:t xml:space="preserve"> </w:t>
      </w:r>
      <w:r>
        <w:rPr>
          <w:sz w:val="18"/>
        </w:rPr>
        <w:t>and</w:t>
      </w:r>
      <w:r>
        <w:rPr>
          <w:spacing w:val="-3"/>
          <w:sz w:val="18"/>
        </w:rPr>
        <w:t xml:space="preserve"> </w:t>
      </w:r>
      <w:r>
        <w:rPr>
          <w:sz w:val="18"/>
        </w:rPr>
        <w:t>Leila</w:t>
      </w:r>
      <w:r>
        <w:rPr>
          <w:spacing w:val="-2"/>
          <w:sz w:val="18"/>
        </w:rPr>
        <w:t xml:space="preserve"> </w:t>
      </w:r>
      <w:r>
        <w:rPr>
          <w:sz w:val="18"/>
        </w:rPr>
        <w:t>Bighash. “Network</w:t>
      </w:r>
      <w:r>
        <w:rPr>
          <w:spacing w:val="-3"/>
          <w:sz w:val="18"/>
        </w:rPr>
        <w:t xml:space="preserve"> </w:t>
      </w:r>
      <w:r>
        <w:rPr>
          <w:sz w:val="18"/>
        </w:rPr>
        <w:t>and</w:t>
      </w:r>
      <w:r>
        <w:rPr>
          <w:spacing w:val="-3"/>
          <w:sz w:val="18"/>
        </w:rPr>
        <w:t xml:space="preserve"> </w:t>
      </w:r>
      <w:r>
        <w:rPr>
          <w:sz w:val="18"/>
        </w:rPr>
        <w:t>Proximity</w:t>
      </w:r>
      <w:r>
        <w:rPr>
          <w:spacing w:val="-2"/>
          <w:sz w:val="18"/>
        </w:rPr>
        <w:t xml:space="preserve"> </w:t>
      </w:r>
      <w:r>
        <w:rPr>
          <w:sz w:val="18"/>
        </w:rPr>
        <w:t>Effects</w:t>
      </w:r>
      <w:r>
        <w:rPr>
          <w:spacing w:val="-3"/>
          <w:sz w:val="18"/>
        </w:rPr>
        <w:t xml:space="preserve"> </w:t>
      </w:r>
      <w:r>
        <w:rPr>
          <w:sz w:val="18"/>
        </w:rPr>
        <w:t>on</w:t>
      </w:r>
      <w:r>
        <w:rPr>
          <w:spacing w:val="-3"/>
          <w:sz w:val="18"/>
        </w:rPr>
        <w:t xml:space="preserve"> </w:t>
      </w:r>
      <w:r>
        <w:rPr>
          <w:sz w:val="18"/>
        </w:rPr>
        <w:t>LGBTQ</w:t>
      </w:r>
      <w:r>
        <w:rPr>
          <w:spacing w:val="-3"/>
          <w:sz w:val="18"/>
        </w:rPr>
        <w:t xml:space="preserve"> </w:t>
      </w:r>
      <w:r>
        <w:rPr>
          <w:sz w:val="18"/>
        </w:rPr>
        <w:t>Youth’s</w:t>
      </w:r>
      <w:r>
        <w:rPr>
          <w:spacing w:val="-3"/>
          <w:sz w:val="18"/>
        </w:rPr>
        <w:t xml:space="preserve"> </w:t>
      </w:r>
      <w:r>
        <w:rPr>
          <w:sz w:val="18"/>
        </w:rPr>
        <w:t>Psychological</w:t>
      </w:r>
      <w:r>
        <w:rPr>
          <w:spacing w:val="-3"/>
          <w:sz w:val="18"/>
        </w:rPr>
        <w:t xml:space="preserve"> </w:t>
      </w:r>
      <w:r>
        <w:rPr>
          <w:sz w:val="18"/>
        </w:rPr>
        <w:t>Outcomes</w:t>
      </w:r>
      <w:r>
        <w:rPr>
          <w:spacing w:val="-3"/>
          <w:sz w:val="18"/>
        </w:rPr>
        <w:t xml:space="preserve"> </w:t>
      </w:r>
      <w:r>
        <w:rPr>
          <w:sz w:val="18"/>
        </w:rPr>
        <w:t>during</w:t>
      </w:r>
      <w:r>
        <w:rPr>
          <w:spacing w:val="-3"/>
          <w:sz w:val="18"/>
        </w:rPr>
        <w:t xml:space="preserve"> </w:t>
      </w:r>
      <w:r>
        <w:rPr>
          <w:sz w:val="18"/>
        </w:rPr>
        <w:t>a</w:t>
      </w:r>
      <w:r>
        <w:rPr>
          <w:spacing w:val="-2"/>
          <w:sz w:val="18"/>
        </w:rPr>
        <w:t xml:space="preserve"> </w:t>
      </w:r>
      <w:r>
        <w:rPr>
          <w:sz w:val="18"/>
        </w:rPr>
        <w:t>Camp Intervention.”</w:t>
      </w:r>
      <w:r>
        <w:rPr>
          <w:spacing w:val="-4"/>
          <w:sz w:val="18"/>
        </w:rPr>
        <w:t xml:space="preserve"> </w:t>
      </w:r>
      <w:r>
        <w:rPr>
          <w:i/>
          <w:sz w:val="18"/>
        </w:rPr>
        <w:t>Health</w:t>
      </w:r>
      <w:r>
        <w:rPr>
          <w:i/>
          <w:spacing w:val="-2"/>
          <w:sz w:val="18"/>
        </w:rPr>
        <w:t xml:space="preserve"> </w:t>
      </w:r>
      <w:r>
        <w:rPr>
          <w:i/>
          <w:sz w:val="18"/>
        </w:rPr>
        <w:t>Communication</w:t>
      </w:r>
      <w:r>
        <w:rPr>
          <w:i/>
          <w:spacing w:val="-2"/>
          <w:sz w:val="18"/>
        </w:rPr>
        <w:t xml:space="preserve"> </w:t>
      </w:r>
      <w:r>
        <w:rPr>
          <w:sz w:val="18"/>
        </w:rPr>
        <w:t>38,</w:t>
      </w:r>
      <w:r>
        <w:rPr>
          <w:spacing w:val="-3"/>
          <w:sz w:val="18"/>
        </w:rPr>
        <w:t xml:space="preserve"> </w:t>
      </w:r>
      <w:r>
        <w:rPr>
          <w:sz w:val="18"/>
        </w:rPr>
        <w:t>no.</w:t>
      </w:r>
      <w:r>
        <w:rPr>
          <w:spacing w:val="-3"/>
          <w:sz w:val="18"/>
        </w:rPr>
        <w:t xml:space="preserve"> </w:t>
      </w:r>
      <w:r>
        <w:rPr>
          <w:sz w:val="18"/>
        </w:rPr>
        <w:t>4</w:t>
      </w:r>
      <w:r>
        <w:rPr>
          <w:spacing w:val="-3"/>
          <w:sz w:val="18"/>
        </w:rPr>
        <w:t xml:space="preserve"> </w:t>
      </w:r>
      <w:r>
        <w:rPr>
          <w:sz w:val="18"/>
        </w:rPr>
        <w:t>(March</w:t>
      </w:r>
      <w:r>
        <w:rPr>
          <w:spacing w:val="-4"/>
          <w:sz w:val="18"/>
        </w:rPr>
        <w:t xml:space="preserve"> </w:t>
      </w:r>
      <w:r>
        <w:rPr>
          <w:sz w:val="18"/>
        </w:rPr>
        <w:t>21,</w:t>
      </w:r>
      <w:r>
        <w:rPr>
          <w:spacing w:val="-3"/>
          <w:sz w:val="18"/>
        </w:rPr>
        <w:t xml:space="preserve"> </w:t>
      </w:r>
      <w:r>
        <w:rPr>
          <w:sz w:val="18"/>
        </w:rPr>
        <w:t>2023):</w:t>
      </w:r>
      <w:r>
        <w:rPr>
          <w:spacing w:val="-6"/>
          <w:sz w:val="18"/>
        </w:rPr>
        <w:t xml:space="preserve"> </w:t>
      </w:r>
      <w:r>
        <w:rPr>
          <w:sz w:val="18"/>
        </w:rPr>
        <w:t>641–47.</w:t>
      </w:r>
      <w:r>
        <w:rPr>
          <w:spacing w:val="-3"/>
          <w:sz w:val="18"/>
        </w:rPr>
        <w:t xml:space="preserve"> </w:t>
      </w:r>
      <w:hyperlink r:id="rId323">
        <w:r>
          <w:rPr>
            <w:color w:val="1154CC"/>
            <w:sz w:val="18"/>
            <w:u w:val="single" w:color="1154CC"/>
          </w:rPr>
          <w:t>https://doi.org/10.1080/10410236.2021.1958983</w:t>
        </w:r>
        <w:r>
          <w:rPr>
            <w:sz w:val="18"/>
          </w:rPr>
          <w:t>.</w:t>
        </w:r>
      </w:hyperlink>
      <w:r>
        <w:rPr>
          <w:sz w:val="18"/>
        </w:rPr>
        <w:t xml:space="preserve"> </w:t>
      </w:r>
      <w:bookmarkStart w:id="441" w:name="_bookmark322"/>
      <w:bookmarkEnd w:id="441"/>
      <w:r>
        <w:rPr>
          <w:position w:val="5"/>
          <w:sz w:val="12"/>
        </w:rPr>
        <w:t>68</w:t>
      </w:r>
      <w:r>
        <w:rPr>
          <w:spacing w:val="11"/>
          <w:position w:val="5"/>
          <w:sz w:val="12"/>
        </w:rPr>
        <w:t xml:space="preserve"> </w:t>
      </w:r>
      <w:r>
        <w:rPr>
          <w:sz w:val="18"/>
        </w:rPr>
        <w:t>Weinhardt,</w:t>
      </w:r>
      <w:r>
        <w:rPr>
          <w:spacing w:val="-1"/>
          <w:sz w:val="18"/>
        </w:rPr>
        <w:t xml:space="preserve"> </w:t>
      </w:r>
      <w:r>
        <w:rPr>
          <w:sz w:val="18"/>
        </w:rPr>
        <w:t>Lance</w:t>
      </w:r>
      <w:r>
        <w:rPr>
          <w:spacing w:val="-2"/>
          <w:sz w:val="18"/>
        </w:rPr>
        <w:t xml:space="preserve"> </w:t>
      </w:r>
      <w:r>
        <w:rPr>
          <w:sz w:val="18"/>
        </w:rPr>
        <w:t>S.,</w:t>
      </w:r>
      <w:r>
        <w:rPr>
          <w:spacing w:val="-1"/>
          <w:sz w:val="18"/>
        </w:rPr>
        <w:t xml:space="preserve"> </w:t>
      </w:r>
      <w:r>
        <w:rPr>
          <w:sz w:val="18"/>
        </w:rPr>
        <w:t>Linda</w:t>
      </w:r>
      <w:r>
        <w:rPr>
          <w:spacing w:val="-1"/>
          <w:sz w:val="18"/>
        </w:rPr>
        <w:t xml:space="preserve"> </w:t>
      </w:r>
      <w:r>
        <w:rPr>
          <w:sz w:val="18"/>
        </w:rPr>
        <w:t>M.</w:t>
      </w:r>
      <w:r>
        <w:rPr>
          <w:spacing w:val="-1"/>
          <w:sz w:val="18"/>
        </w:rPr>
        <w:t xml:space="preserve"> </w:t>
      </w:r>
      <w:r>
        <w:rPr>
          <w:sz w:val="18"/>
        </w:rPr>
        <w:t>Wesp,</w:t>
      </w:r>
      <w:r>
        <w:rPr>
          <w:spacing w:val="-1"/>
          <w:sz w:val="18"/>
        </w:rPr>
        <w:t xml:space="preserve"> </w:t>
      </w:r>
      <w:r>
        <w:rPr>
          <w:sz w:val="18"/>
        </w:rPr>
        <w:t>Hui</w:t>
      </w:r>
      <w:r>
        <w:rPr>
          <w:spacing w:val="-2"/>
          <w:sz w:val="18"/>
        </w:rPr>
        <w:t xml:space="preserve"> </w:t>
      </w:r>
      <w:r>
        <w:rPr>
          <w:sz w:val="18"/>
        </w:rPr>
        <w:t>Xie,</w:t>
      </w:r>
      <w:r>
        <w:rPr>
          <w:spacing w:val="-1"/>
          <w:sz w:val="18"/>
        </w:rPr>
        <w:t xml:space="preserve"> </w:t>
      </w:r>
      <w:r>
        <w:rPr>
          <w:sz w:val="18"/>
        </w:rPr>
        <w:t>Jennifer</w:t>
      </w:r>
      <w:r>
        <w:rPr>
          <w:spacing w:val="-2"/>
          <w:sz w:val="18"/>
        </w:rPr>
        <w:t xml:space="preserve"> </w:t>
      </w:r>
      <w:r>
        <w:rPr>
          <w:sz w:val="18"/>
        </w:rPr>
        <w:t>(Jen)</w:t>
      </w:r>
      <w:r>
        <w:rPr>
          <w:spacing w:val="-1"/>
          <w:sz w:val="18"/>
        </w:rPr>
        <w:t xml:space="preserve"> </w:t>
      </w:r>
      <w:r>
        <w:rPr>
          <w:sz w:val="18"/>
        </w:rPr>
        <w:t>Murray,</w:t>
      </w:r>
      <w:r>
        <w:rPr>
          <w:spacing w:val="-1"/>
          <w:sz w:val="18"/>
        </w:rPr>
        <w:t xml:space="preserve"> </w:t>
      </w:r>
      <w:r>
        <w:rPr>
          <w:sz w:val="18"/>
        </w:rPr>
        <w:t>Jeanette</w:t>
      </w:r>
      <w:r>
        <w:rPr>
          <w:spacing w:val="-2"/>
          <w:sz w:val="18"/>
        </w:rPr>
        <w:t xml:space="preserve"> </w:t>
      </w:r>
      <w:r>
        <w:rPr>
          <w:sz w:val="18"/>
        </w:rPr>
        <w:t>Martín,</w:t>
      </w:r>
      <w:r>
        <w:rPr>
          <w:spacing w:val="-1"/>
          <w:sz w:val="18"/>
        </w:rPr>
        <w:t xml:space="preserve"> </w:t>
      </w:r>
      <w:r>
        <w:rPr>
          <w:sz w:val="18"/>
        </w:rPr>
        <w:t>Sarah</w:t>
      </w:r>
      <w:r>
        <w:rPr>
          <w:spacing w:val="-2"/>
          <w:sz w:val="18"/>
        </w:rPr>
        <w:t xml:space="preserve"> </w:t>
      </w:r>
      <w:r>
        <w:rPr>
          <w:sz w:val="18"/>
        </w:rPr>
        <w:t>DeGeorge,</w:t>
      </w:r>
      <w:r>
        <w:rPr>
          <w:spacing w:val="-1"/>
          <w:sz w:val="18"/>
        </w:rPr>
        <w:t xml:space="preserve"> </w:t>
      </w:r>
      <w:r>
        <w:rPr>
          <w:sz w:val="18"/>
        </w:rPr>
        <w:t>Caleb</w:t>
      </w:r>
      <w:r>
        <w:rPr>
          <w:spacing w:val="-2"/>
          <w:sz w:val="18"/>
        </w:rPr>
        <w:t xml:space="preserve"> </w:t>
      </w:r>
      <w:r>
        <w:rPr>
          <w:sz w:val="18"/>
        </w:rPr>
        <w:t>B.</w:t>
      </w:r>
      <w:r>
        <w:rPr>
          <w:spacing w:val="-1"/>
          <w:sz w:val="18"/>
        </w:rPr>
        <w:t xml:space="preserve"> </w:t>
      </w:r>
      <w:r>
        <w:rPr>
          <w:sz w:val="18"/>
        </w:rPr>
        <w:t>Weinhardt,</w:t>
      </w:r>
    </w:p>
    <w:p w:rsidR="00200FDA" w:rsidRDefault="00F76C4C">
      <w:pPr>
        <w:ind w:left="140" w:right="301"/>
        <w:jc w:val="both"/>
        <w:rPr>
          <w:sz w:val="18"/>
        </w:rPr>
      </w:pPr>
      <w:r>
        <w:rPr>
          <w:sz w:val="18"/>
        </w:rPr>
        <w:t>Maren</w:t>
      </w:r>
      <w:r>
        <w:rPr>
          <w:spacing w:val="-3"/>
          <w:sz w:val="18"/>
        </w:rPr>
        <w:t xml:space="preserve"> </w:t>
      </w:r>
      <w:r>
        <w:rPr>
          <w:sz w:val="18"/>
        </w:rPr>
        <w:t>Hawkins,</w:t>
      </w:r>
      <w:r>
        <w:rPr>
          <w:spacing w:val="-2"/>
          <w:sz w:val="18"/>
        </w:rPr>
        <w:t xml:space="preserve"> </w:t>
      </w:r>
      <w:r>
        <w:rPr>
          <w:sz w:val="18"/>
        </w:rPr>
        <w:t>and</w:t>
      </w:r>
      <w:r>
        <w:rPr>
          <w:spacing w:val="-3"/>
          <w:sz w:val="18"/>
        </w:rPr>
        <w:t xml:space="preserve"> </w:t>
      </w:r>
      <w:r>
        <w:rPr>
          <w:sz w:val="18"/>
        </w:rPr>
        <w:t>Patricia</w:t>
      </w:r>
      <w:r>
        <w:rPr>
          <w:spacing w:val="-2"/>
          <w:sz w:val="18"/>
        </w:rPr>
        <w:t xml:space="preserve"> </w:t>
      </w:r>
      <w:r>
        <w:rPr>
          <w:sz w:val="18"/>
        </w:rPr>
        <w:t>Stevens.</w:t>
      </w:r>
      <w:r>
        <w:rPr>
          <w:spacing w:val="-2"/>
          <w:sz w:val="18"/>
        </w:rPr>
        <w:t xml:space="preserve"> </w:t>
      </w:r>
      <w:r>
        <w:rPr>
          <w:sz w:val="18"/>
        </w:rPr>
        <w:t>“Pride</w:t>
      </w:r>
      <w:r>
        <w:rPr>
          <w:spacing w:val="-3"/>
          <w:sz w:val="18"/>
        </w:rPr>
        <w:t xml:space="preserve"> </w:t>
      </w:r>
      <w:r>
        <w:rPr>
          <w:sz w:val="18"/>
        </w:rPr>
        <w:t>Camp:</w:t>
      </w:r>
      <w:r>
        <w:rPr>
          <w:spacing w:val="-3"/>
          <w:sz w:val="18"/>
        </w:rPr>
        <w:t xml:space="preserve"> </w:t>
      </w:r>
      <w:r>
        <w:rPr>
          <w:sz w:val="18"/>
        </w:rPr>
        <w:t>Pilot</w:t>
      </w:r>
      <w:r>
        <w:rPr>
          <w:spacing w:val="-3"/>
          <w:sz w:val="18"/>
        </w:rPr>
        <w:t xml:space="preserve"> </w:t>
      </w:r>
      <w:r>
        <w:rPr>
          <w:sz w:val="18"/>
        </w:rPr>
        <w:t>Study</w:t>
      </w:r>
      <w:r>
        <w:rPr>
          <w:spacing w:val="-2"/>
          <w:sz w:val="18"/>
        </w:rPr>
        <w:t xml:space="preserve"> </w:t>
      </w:r>
      <w:r>
        <w:rPr>
          <w:sz w:val="18"/>
        </w:rPr>
        <w:t>of</w:t>
      </w:r>
      <w:r>
        <w:rPr>
          <w:spacing w:val="-2"/>
          <w:sz w:val="18"/>
        </w:rPr>
        <w:t xml:space="preserve"> </w:t>
      </w:r>
      <w:r>
        <w:rPr>
          <w:sz w:val="18"/>
        </w:rPr>
        <w:t>an</w:t>
      </w:r>
      <w:r>
        <w:rPr>
          <w:spacing w:val="-3"/>
          <w:sz w:val="18"/>
        </w:rPr>
        <w:t xml:space="preserve"> </w:t>
      </w:r>
      <w:r>
        <w:rPr>
          <w:sz w:val="18"/>
        </w:rPr>
        <w:t>Intervention</w:t>
      </w:r>
      <w:r>
        <w:rPr>
          <w:spacing w:val="-3"/>
          <w:sz w:val="18"/>
        </w:rPr>
        <w:t xml:space="preserve"> </w:t>
      </w:r>
      <w:r>
        <w:rPr>
          <w:sz w:val="18"/>
        </w:rPr>
        <w:t>to</w:t>
      </w:r>
      <w:r>
        <w:rPr>
          <w:spacing w:val="-1"/>
          <w:sz w:val="18"/>
        </w:rPr>
        <w:t xml:space="preserve"> </w:t>
      </w:r>
      <w:r>
        <w:rPr>
          <w:sz w:val="18"/>
        </w:rPr>
        <w:t>Develop</w:t>
      </w:r>
      <w:r>
        <w:rPr>
          <w:spacing w:val="-3"/>
          <w:sz w:val="18"/>
        </w:rPr>
        <w:t xml:space="preserve"> </w:t>
      </w:r>
      <w:r>
        <w:rPr>
          <w:sz w:val="18"/>
        </w:rPr>
        <w:t>Resilience</w:t>
      </w:r>
      <w:r>
        <w:rPr>
          <w:spacing w:val="-3"/>
          <w:sz w:val="18"/>
        </w:rPr>
        <w:t xml:space="preserve"> </w:t>
      </w:r>
      <w:r>
        <w:rPr>
          <w:sz w:val="18"/>
        </w:rPr>
        <w:t>and</w:t>
      </w:r>
      <w:r>
        <w:rPr>
          <w:spacing w:val="-1"/>
          <w:sz w:val="18"/>
        </w:rPr>
        <w:t xml:space="preserve"> </w:t>
      </w:r>
      <w:r>
        <w:rPr>
          <w:sz w:val="18"/>
        </w:rPr>
        <w:t>Self-Esteem</w:t>
      </w:r>
      <w:r>
        <w:rPr>
          <w:spacing w:val="-2"/>
          <w:sz w:val="18"/>
        </w:rPr>
        <w:t xml:space="preserve"> </w:t>
      </w:r>
      <w:r>
        <w:rPr>
          <w:sz w:val="18"/>
        </w:rPr>
        <w:t xml:space="preserve">among LGBTQ Youth.” </w:t>
      </w:r>
      <w:r>
        <w:rPr>
          <w:i/>
          <w:sz w:val="18"/>
        </w:rPr>
        <w:t xml:space="preserve">International Journal for Equity in Health </w:t>
      </w:r>
      <w:r>
        <w:rPr>
          <w:sz w:val="18"/>
        </w:rPr>
        <w:t xml:space="preserve">20, no. 1 (June 29, 2021): 150. </w:t>
      </w:r>
      <w:hyperlink r:id="rId324">
        <w:r>
          <w:rPr>
            <w:color w:val="1154CC"/>
            <w:sz w:val="18"/>
            <w:u w:val="single" w:color="1154CC"/>
          </w:rPr>
          <w:t>https://doi.org/10.1186/s12939-021-</w:t>
        </w:r>
      </w:hyperlink>
    </w:p>
    <w:p w:rsidR="00200FDA" w:rsidRDefault="00F76C4C">
      <w:pPr>
        <w:tabs>
          <w:tab w:val="left" w:pos="9528"/>
        </w:tabs>
        <w:spacing w:line="196" w:lineRule="exact"/>
        <w:ind w:left="111"/>
        <w:jc w:val="both"/>
        <w:rPr>
          <w:sz w:val="18"/>
        </w:rPr>
      </w:pPr>
      <w:hyperlink r:id="rId325">
        <w:r>
          <w:rPr>
            <w:color w:val="1154CC"/>
            <w:spacing w:val="-1"/>
            <w:sz w:val="18"/>
            <w:u w:val="single" w:color="D9D9D9"/>
          </w:rPr>
          <w:t xml:space="preserve"> </w:t>
        </w:r>
        <w:r>
          <w:rPr>
            <w:color w:val="1154CC"/>
            <w:spacing w:val="-2"/>
            <w:sz w:val="18"/>
            <w:u w:val="single" w:color="D9D9D9"/>
          </w:rPr>
          <w:t>01488-</w:t>
        </w:r>
        <w:r>
          <w:rPr>
            <w:color w:val="1154CC"/>
            <w:spacing w:val="-5"/>
            <w:sz w:val="18"/>
            <w:u w:val="single" w:color="D9D9D9"/>
          </w:rPr>
          <w:t>1</w:t>
        </w:r>
      </w:hyperlink>
      <w:r>
        <w:rPr>
          <w:spacing w:val="-5"/>
          <w:sz w:val="18"/>
          <w:u w:val="single" w:color="D9D9D9"/>
        </w:rPr>
        <w:t>.</w:t>
      </w:r>
      <w:r>
        <w:rPr>
          <w:sz w:val="18"/>
          <w:u w:val="single" w:color="D9D9D9"/>
        </w:rPr>
        <w:tab/>
      </w:r>
    </w:p>
    <w:p w:rsidR="00200FDA" w:rsidRDefault="00F76C4C">
      <w:pPr>
        <w:spacing w:line="223" w:lineRule="exact"/>
        <w:ind w:right="255"/>
        <w:jc w:val="right"/>
        <w:rPr>
          <w:rFonts w:ascii="Cambria"/>
          <w:sz w:val="21"/>
        </w:rPr>
      </w:pPr>
      <w:r>
        <w:rPr>
          <w:rFonts w:ascii="Cambria"/>
          <w:sz w:val="21"/>
        </w:rPr>
        <w:t xml:space="preserve">79 </w:t>
      </w:r>
      <w:r>
        <w:rPr>
          <w:rFonts w:ascii="Cambria"/>
          <w:spacing w:val="-10"/>
          <w:sz w:val="21"/>
        </w:rPr>
        <w:t>|</w:t>
      </w:r>
    </w:p>
    <w:p w:rsidR="00200FDA" w:rsidRDefault="00200FDA">
      <w:pPr>
        <w:spacing w:line="223" w:lineRule="exact"/>
        <w:jc w:val="right"/>
        <w:rPr>
          <w:rFonts w:ascii="Cambria"/>
          <w:sz w:val="21"/>
        </w:rPr>
        <w:sectPr w:rsidR="00200FDA">
          <w:headerReference w:type="default" r:id="rId326"/>
          <w:footerReference w:type="default" r:id="rId327"/>
          <w:pgSz w:w="12240" w:h="15840"/>
          <w:pgMar w:top="1360" w:right="1180" w:bottom="280" w:left="1300" w:header="761" w:footer="0" w:gutter="0"/>
          <w:cols w:space="720"/>
        </w:sectPr>
      </w:pPr>
    </w:p>
    <w:p w:rsidR="00200FDA" w:rsidRDefault="00200FDA">
      <w:pPr>
        <w:pStyle w:val="BodyText"/>
        <w:spacing w:before="7"/>
        <w:rPr>
          <w:rFonts w:ascii="Cambria"/>
          <w:sz w:val="20"/>
        </w:rPr>
      </w:pPr>
    </w:p>
    <w:p w:rsidR="00200FDA" w:rsidRDefault="00F76C4C">
      <w:pPr>
        <w:spacing w:before="69"/>
        <w:ind w:left="140" w:right="259" w:hanging="1"/>
        <w:rPr>
          <w:sz w:val="18"/>
        </w:rPr>
      </w:pPr>
      <w:bookmarkStart w:id="442" w:name="_bookmark323"/>
      <w:bookmarkEnd w:id="442"/>
      <w:r>
        <w:rPr>
          <w:position w:val="5"/>
          <w:sz w:val="12"/>
        </w:rPr>
        <w:t>69</w:t>
      </w:r>
      <w:r>
        <w:rPr>
          <w:spacing w:val="18"/>
          <w:position w:val="5"/>
          <w:sz w:val="12"/>
        </w:rPr>
        <w:t xml:space="preserve"> </w:t>
      </w:r>
      <w:r>
        <w:rPr>
          <w:sz w:val="18"/>
        </w:rPr>
        <w:t>Craig, Shelley L., Andrew D. Eaton, Alexa Kirkland, Egag Egag, Rachael Pascoe, Kourteney King, and Sreedevi Krishnan. “Towards</w:t>
      </w:r>
      <w:r>
        <w:rPr>
          <w:spacing w:val="-3"/>
          <w:sz w:val="18"/>
        </w:rPr>
        <w:t xml:space="preserve"> </w:t>
      </w:r>
      <w:r>
        <w:rPr>
          <w:sz w:val="18"/>
        </w:rPr>
        <w:t>an</w:t>
      </w:r>
      <w:r>
        <w:rPr>
          <w:spacing w:val="-3"/>
          <w:sz w:val="18"/>
        </w:rPr>
        <w:t xml:space="preserve"> </w:t>
      </w:r>
      <w:r>
        <w:rPr>
          <w:sz w:val="18"/>
        </w:rPr>
        <w:t>Integrative</w:t>
      </w:r>
      <w:r>
        <w:rPr>
          <w:spacing w:val="-3"/>
          <w:sz w:val="18"/>
        </w:rPr>
        <w:t xml:space="preserve"> </w:t>
      </w:r>
      <w:r>
        <w:rPr>
          <w:sz w:val="18"/>
        </w:rPr>
        <w:t>Self:</w:t>
      </w:r>
      <w:r>
        <w:rPr>
          <w:spacing w:val="-2"/>
          <w:sz w:val="18"/>
        </w:rPr>
        <w:t xml:space="preserve"> </w:t>
      </w:r>
      <w:r>
        <w:rPr>
          <w:sz w:val="18"/>
        </w:rPr>
        <w:t>A</w:t>
      </w:r>
      <w:r>
        <w:rPr>
          <w:spacing w:val="-3"/>
          <w:sz w:val="18"/>
        </w:rPr>
        <w:t xml:space="preserve"> </w:t>
      </w:r>
      <w:r>
        <w:rPr>
          <w:sz w:val="18"/>
        </w:rPr>
        <w:t>Digital</w:t>
      </w:r>
      <w:r>
        <w:rPr>
          <w:spacing w:val="-3"/>
          <w:sz w:val="18"/>
        </w:rPr>
        <w:t xml:space="preserve"> </w:t>
      </w:r>
      <w:r>
        <w:rPr>
          <w:sz w:val="18"/>
        </w:rPr>
        <w:t>Photo</w:t>
      </w:r>
      <w:r>
        <w:rPr>
          <w:spacing w:val="-1"/>
          <w:sz w:val="18"/>
        </w:rPr>
        <w:t xml:space="preserve"> </w:t>
      </w:r>
      <w:r>
        <w:rPr>
          <w:sz w:val="18"/>
        </w:rPr>
        <w:t>Elicitation</w:t>
      </w:r>
      <w:r>
        <w:rPr>
          <w:spacing w:val="-3"/>
          <w:sz w:val="18"/>
        </w:rPr>
        <w:t xml:space="preserve"> </w:t>
      </w:r>
      <w:r>
        <w:rPr>
          <w:sz w:val="18"/>
        </w:rPr>
        <w:t>Study</w:t>
      </w:r>
      <w:r>
        <w:rPr>
          <w:spacing w:val="-2"/>
          <w:sz w:val="18"/>
        </w:rPr>
        <w:t xml:space="preserve"> </w:t>
      </w:r>
      <w:r>
        <w:rPr>
          <w:sz w:val="18"/>
        </w:rPr>
        <w:t>of</w:t>
      </w:r>
      <w:r>
        <w:rPr>
          <w:spacing w:val="-2"/>
          <w:sz w:val="18"/>
        </w:rPr>
        <w:t xml:space="preserve"> </w:t>
      </w:r>
      <w:r>
        <w:rPr>
          <w:sz w:val="18"/>
        </w:rPr>
        <w:t>Resilience</w:t>
      </w:r>
      <w:r>
        <w:rPr>
          <w:spacing w:val="-3"/>
          <w:sz w:val="18"/>
        </w:rPr>
        <w:t xml:space="preserve"> </w:t>
      </w:r>
      <w:r>
        <w:rPr>
          <w:sz w:val="18"/>
        </w:rPr>
        <w:t>among</w:t>
      </w:r>
      <w:r>
        <w:rPr>
          <w:spacing w:val="-3"/>
          <w:sz w:val="18"/>
        </w:rPr>
        <w:t xml:space="preserve"> </w:t>
      </w:r>
      <w:r>
        <w:rPr>
          <w:sz w:val="18"/>
        </w:rPr>
        <w:t>Key</w:t>
      </w:r>
      <w:r>
        <w:rPr>
          <w:spacing w:val="-2"/>
          <w:sz w:val="18"/>
        </w:rPr>
        <w:t xml:space="preserve"> </w:t>
      </w:r>
      <w:r>
        <w:rPr>
          <w:sz w:val="18"/>
        </w:rPr>
        <w:t>Marginalized</w:t>
      </w:r>
      <w:r>
        <w:rPr>
          <w:spacing w:val="-1"/>
          <w:sz w:val="18"/>
        </w:rPr>
        <w:t xml:space="preserve"> </w:t>
      </w:r>
      <w:r>
        <w:rPr>
          <w:sz w:val="18"/>
        </w:rPr>
        <w:t>Populations</w:t>
      </w:r>
      <w:r>
        <w:rPr>
          <w:spacing w:val="-3"/>
          <w:sz w:val="18"/>
        </w:rPr>
        <w:t xml:space="preserve"> </w:t>
      </w:r>
      <w:r>
        <w:rPr>
          <w:sz w:val="18"/>
        </w:rPr>
        <w:t>of</w:t>
      </w:r>
      <w:r>
        <w:rPr>
          <w:spacing w:val="-2"/>
          <w:sz w:val="18"/>
        </w:rPr>
        <w:t xml:space="preserve"> </w:t>
      </w:r>
      <w:r>
        <w:rPr>
          <w:sz w:val="18"/>
        </w:rPr>
        <w:t>Sexual</w:t>
      </w:r>
      <w:r>
        <w:rPr>
          <w:spacing w:val="-3"/>
          <w:sz w:val="18"/>
        </w:rPr>
        <w:t xml:space="preserve"> </w:t>
      </w:r>
      <w:r>
        <w:rPr>
          <w:sz w:val="18"/>
        </w:rPr>
        <w:t>and Gender Minority Youth.” International Journal of Qualitative Studies on Health and Well-Being 16, no. 1 (January 1, 2021): 1961572.</w:t>
      </w:r>
      <w:r>
        <w:rPr>
          <w:spacing w:val="-2"/>
          <w:sz w:val="18"/>
        </w:rPr>
        <w:t xml:space="preserve"> </w:t>
      </w:r>
      <w:hyperlink r:id="rId328">
        <w:r>
          <w:rPr>
            <w:color w:val="1154CC"/>
            <w:sz w:val="18"/>
            <w:u w:val="single" w:color="1154CC"/>
          </w:rPr>
          <w:t>https://doi.org/10.1080/17482631.2021.1961572</w:t>
        </w:r>
        <w:r>
          <w:rPr>
            <w:sz w:val="18"/>
          </w:rPr>
          <w:t>.</w:t>
        </w:r>
      </w:hyperlink>
    </w:p>
    <w:p w:rsidR="00200FDA" w:rsidRDefault="00F76C4C">
      <w:pPr>
        <w:ind w:left="139" w:right="432"/>
        <w:rPr>
          <w:sz w:val="18"/>
        </w:rPr>
      </w:pPr>
      <w:bookmarkStart w:id="443" w:name="_bookmark324"/>
      <w:bookmarkEnd w:id="443"/>
      <w:r>
        <w:rPr>
          <w:position w:val="5"/>
          <w:sz w:val="12"/>
        </w:rPr>
        <w:t>70</w:t>
      </w:r>
      <w:r>
        <w:rPr>
          <w:spacing w:val="40"/>
          <w:position w:val="5"/>
          <w:sz w:val="12"/>
        </w:rPr>
        <w:t xml:space="preserve"> </w:t>
      </w:r>
      <w:r>
        <w:rPr>
          <w:sz w:val="18"/>
        </w:rPr>
        <w:t>ReScr</w:t>
      </w:r>
      <w:r>
        <w:rPr>
          <w:sz w:val="18"/>
        </w:rPr>
        <w:t>ipted:</w:t>
      </w:r>
      <w:r>
        <w:rPr>
          <w:spacing w:val="-3"/>
          <w:sz w:val="18"/>
        </w:rPr>
        <w:t xml:space="preserve"> </w:t>
      </w:r>
      <w:r>
        <w:rPr>
          <w:sz w:val="18"/>
        </w:rPr>
        <w:t>A</w:t>
      </w:r>
      <w:r>
        <w:rPr>
          <w:spacing w:val="-3"/>
          <w:sz w:val="18"/>
        </w:rPr>
        <w:t xml:space="preserve"> </w:t>
      </w:r>
      <w:r>
        <w:rPr>
          <w:sz w:val="18"/>
        </w:rPr>
        <w:t>Program</w:t>
      </w:r>
      <w:r>
        <w:rPr>
          <w:spacing w:val="-2"/>
          <w:sz w:val="18"/>
        </w:rPr>
        <w:t xml:space="preserve"> </w:t>
      </w:r>
      <w:r>
        <w:rPr>
          <w:sz w:val="18"/>
        </w:rPr>
        <w:t>of</w:t>
      </w:r>
      <w:r>
        <w:rPr>
          <w:spacing w:val="-2"/>
          <w:sz w:val="18"/>
        </w:rPr>
        <w:t xml:space="preserve"> </w:t>
      </w:r>
      <w:r>
        <w:rPr>
          <w:sz w:val="18"/>
        </w:rPr>
        <w:t>the</w:t>
      </w:r>
      <w:r>
        <w:rPr>
          <w:spacing w:val="-3"/>
          <w:sz w:val="18"/>
        </w:rPr>
        <w:t xml:space="preserve"> </w:t>
      </w:r>
      <w:r>
        <w:rPr>
          <w:sz w:val="18"/>
        </w:rPr>
        <w:t>Center</w:t>
      </w:r>
      <w:r>
        <w:rPr>
          <w:spacing w:val="-3"/>
          <w:sz w:val="18"/>
        </w:rPr>
        <w:t xml:space="preserve"> </w:t>
      </w:r>
      <w:r>
        <w:rPr>
          <w:sz w:val="18"/>
        </w:rPr>
        <w:t>for</w:t>
      </w:r>
      <w:r>
        <w:rPr>
          <w:spacing w:val="-3"/>
          <w:sz w:val="18"/>
        </w:rPr>
        <w:t xml:space="preserve"> </w:t>
      </w:r>
      <w:r>
        <w:rPr>
          <w:sz w:val="18"/>
        </w:rPr>
        <w:t>Trauma</w:t>
      </w:r>
      <w:r>
        <w:rPr>
          <w:spacing w:val="-2"/>
          <w:sz w:val="18"/>
        </w:rPr>
        <w:t xml:space="preserve"> </w:t>
      </w:r>
      <w:r>
        <w:rPr>
          <w:sz w:val="18"/>
        </w:rPr>
        <w:t>&amp;</w:t>
      </w:r>
      <w:r>
        <w:rPr>
          <w:spacing w:val="-3"/>
          <w:sz w:val="18"/>
        </w:rPr>
        <w:t xml:space="preserve"> </w:t>
      </w:r>
      <w:r>
        <w:rPr>
          <w:sz w:val="18"/>
        </w:rPr>
        <w:t>Embodiment</w:t>
      </w:r>
      <w:r>
        <w:rPr>
          <w:spacing w:val="-3"/>
          <w:sz w:val="18"/>
        </w:rPr>
        <w:t xml:space="preserve"> </w:t>
      </w:r>
      <w:r>
        <w:rPr>
          <w:sz w:val="18"/>
        </w:rPr>
        <w:t>at</w:t>
      </w:r>
      <w:r>
        <w:rPr>
          <w:spacing w:val="-3"/>
          <w:sz w:val="18"/>
        </w:rPr>
        <w:t xml:space="preserve"> </w:t>
      </w:r>
      <w:r>
        <w:rPr>
          <w:sz w:val="18"/>
        </w:rPr>
        <w:t>JRI.</w:t>
      </w:r>
      <w:r>
        <w:rPr>
          <w:spacing w:val="-2"/>
          <w:sz w:val="18"/>
        </w:rPr>
        <w:t xml:space="preserve"> </w:t>
      </w:r>
      <w:r>
        <w:rPr>
          <w:sz w:val="18"/>
        </w:rPr>
        <w:t>“ReScripted:</w:t>
      </w:r>
      <w:r>
        <w:rPr>
          <w:spacing w:val="-3"/>
          <w:sz w:val="18"/>
        </w:rPr>
        <w:t xml:space="preserve"> </w:t>
      </w:r>
      <w:r>
        <w:rPr>
          <w:sz w:val="18"/>
        </w:rPr>
        <w:t>Act.</w:t>
      </w:r>
      <w:r>
        <w:rPr>
          <w:spacing w:val="-2"/>
          <w:sz w:val="18"/>
        </w:rPr>
        <w:t xml:space="preserve"> </w:t>
      </w:r>
      <w:r>
        <w:rPr>
          <w:sz w:val="18"/>
        </w:rPr>
        <w:t>Embody.</w:t>
      </w:r>
      <w:r>
        <w:rPr>
          <w:spacing w:val="-2"/>
          <w:sz w:val="18"/>
        </w:rPr>
        <w:t xml:space="preserve"> </w:t>
      </w:r>
      <w:r>
        <w:rPr>
          <w:sz w:val="18"/>
        </w:rPr>
        <w:t>Empower.”</w:t>
      </w:r>
      <w:r>
        <w:rPr>
          <w:spacing w:val="-3"/>
          <w:sz w:val="18"/>
        </w:rPr>
        <w:t xml:space="preserve"> </w:t>
      </w:r>
      <w:r>
        <w:rPr>
          <w:sz w:val="18"/>
        </w:rPr>
        <w:t xml:space="preserve">Accessed </w:t>
      </w:r>
      <w:bookmarkStart w:id="444" w:name="_bookmark325"/>
      <w:bookmarkEnd w:id="444"/>
      <w:r>
        <w:rPr>
          <w:sz w:val="18"/>
        </w:rPr>
        <w:t xml:space="preserve">January 16, 2023. </w:t>
      </w:r>
      <w:hyperlink r:id="rId329">
        <w:r>
          <w:rPr>
            <w:color w:val="1154CC"/>
            <w:sz w:val="18"/>
            <w:u w:val="single" w:color="1154CC"/>
          </w:rPr>
          <w:t>https://www.rescriptedjri.org</w:t>
        </w:r>
        <w:r>
          <w:rPr>
            <w:sz w:val="18"/>
          </w:rPr>
          <w:t>.</w:t>
        </w:r>
      </w:hyperlink>
    </w:p>
    <w:p w:rsidR="00200FDA" w:rsidRDefault="00F76C4C">
      <w:pPr>
        <w:ind w:left="140" w:hanging="1"/>
        <w:rPr>
          <w:sz w:val="18"/>
        </w:rPr>
      </w:pPr>
      <w:r>
        <w:rPr>
          <w:position w:val="5"/>
          <w:sz w:val="12"/>
        </w:rPr>
        <w:t>71</w:t>
      </w:r>
      <w:r>
        <w:rPr>
          <w:spacing w:val="10"/>
          <w:position w:val="5"/>
          <w:sz w:val="12"/>
        </w:rPr>
        <w:t xml:space="preserve"> </w:t>
      </w:r>
      <w:r>
        <w:rPr>
          <w:sz w:val="18"/>
        </w:rPr>
        <w:t>Zaccari,</w:t>
      </w:r>
      <w:r>
        <w:rPr>
          <w:spacing w:val="-2"/>
          <w:sz w:val="18"/>
        </w:rPr>
        <w:t xml:space="preserve"> </w:t>
      </w:r>
      <w:r>
        <w:rPr>
          <w:sz w:val="18"/>
        </w:rPr>
        <w:t>Belle,</w:t>
      </w:r>
      <w:r>
        <w:rPr>
          <w:spacing w:val="-2"/>
          <w:sz w:val="18"/>
        </w:rPr>
        <w:t xml:space="preserve"> </w:t>
      </w:r>
      <w:r>
        <w:rPr>
          <w:sz w:val="18"/>
        </w:rPr>
        <w:t>Athena</w:t>
      </w:r>
      <w:r>
        <w:rPr>
          <w:spacing w:val="-2"/>
          <w:sz w:val="18"/>
        </w:rPr>
        <w:t xml:space="preserve"> </w:t>
      </w:r>
      <w:r>
        <w:rPr>
          <w:sz w:val="18"/>
        </w:rPr>
        <w:t>D.</w:t>
      </w:r>
      <w:r>
        <w:rPr>
          <w:spacing w:val="-2"/>
          <w:sz w:val="18"/>
        </w:rPr>
        <w:t xml:space="preserve"> </w:t>
      </w:r>
      <w:r>
        <w:rPr>
          <w:sz w:val="18"/>
        </w:rPr>
        <w:t>F.</w:t>
      </w:r>
      <w:r>
        <w:rPr>
          <w:spacing w:val="-2"/>
          <w:sz w:val="18"/>
        </w:rPr>
        <w:t xml:space="preserve"> </w:t>
      </w:r>
      <w:r>
        <w:rPr>
          <w:sz w:val="18"/>
        </w:rPr>
        <w:t>Sherman,</w:t>
      </w:r>
      <w:r>
        <w:rPr>
          <w:spacing w:val="-2"/>
          <w:sz w:val="18"/>
        </w:rPr>
        <w:t xml:space="preserve"> </w:t>
      </w:r>
      <w:r>
        <w:rPr>
          <w:sz w:val="18"/>
        </w:rPr>
        <w:t>Sarah</w:t>
      </w:r>
      <w:r>
        <w:rPr>
          <w:spacing w:val="-3"/>
          <w:sz w:val="18"/>
        </w:rPr>
        <w:t xml:space="preserve"> </w:t>
      </w:r>
      <w:r>
        <w:rPr>
          <w:sz w:val="18"/>
        </w:rPr>
        <w:t>Febres-Cordero,</w:t>
      </w:r>
      <w:r>
        <w:rPr>
          <w:spacing w:val="-2"/>
          <w:sz w:val="18"/>
        </w:rPr>
        <w:t xml:space="preserve"> </w:t>
      </w:r>
      <w:r>
        <w:rPr>
          <w:sz w:val="18"/>
        </w:rPr>
        <w:t>Melinda</w:t>
      </w:r>
      <w:r>
        <w:rPr>
          <w:spacing w:val="-2"/>
          <w:sz w:val="18"/>
        </w:rPr>
        <w:t xml:space="preserve"> </w:t>
      </w:r>
      <w:r>
        <w:rPr>
          <w:sz w:val="18"/>
        </w:rPr>
        <w:t>Higgins,</w:t>
      </w:r>
      <w:r>
        <w:rPr>
          <w:spacing w:val="-2"/>
          <w:sz w:val="18"/>
        </w:rPr>
        <w:t xml:space="preserve"> </w:t>
      </w:r>
      <w:r>
        <w:rPr>
          <w:sz w:val="18"/>
        </w:rPr>
        <w:t>and</w:t>
      </w:r>
      <w:r>
        <w:rPr>
          <w:spacing w:val="-3"/>
          <w:sz w:val="18"/>
        </w:rPr>
        <w:t xml:space="preserve"> </w:t>
      </w:r>
      <w:r>
        <w:rPr>
          <w:sz w:val="18"/>
        </w:rPr>
        <w:t>Ursula</w:t>
      </w:r>
      <w:r>
        <w:rPr>
          <w:spacing w:val="-2"/>
          <w:sz w:val="18"/>
        </w:rPr>
        <w:t xml:space="preserve"> </w:t>
      </w:r>
      <w:r>
        <w:rPr>
          <w:sz w:val="18"/>
        </w:rPr>
        <w:t>Kelly. “Findings</w:t>
      </w:r>
      <w:r>
        <w:rPr>
          <w:spacing w:val="-3"/>
          <w:sz w:val="18"/>
        </w:rPr>
        <w:t xml:space="preserve"> </w:t>
      </w:r>
      <w:r>
        <w:rPr>
          <w:sz w:val="18"/>
        </w:rPr>
        <w:t>from</w:t>
      </w:r>
      <w:r>
        <w:rPr>
          <w:spacing w:val="-2"/>
          <w:sz w:val="18"/>
        </w:rPr>
        <w:t xml:space="preserve"> </w:t>
      </w:r>
      <w:r>
        <w:rPr>
          <w:sz w:val="18"/>
        </w:rPr>
        <w:t>a</w:t>
      </w:r>
      <w:r>
        <w:rPr>
          <w:spacing w:val="-2"/>
          <w:sz w:val="18"/>
        </w:rPr>
        <w:t xml:space="preserve"> </w:t>
      </w:r>
      <w:r>
        <w:rPr>
          <w:sz w:val="18"/>
        </w:rPr>
        <w:t>Pilot</w:t>
      </w:r>
      <w:r>
        <w:rPr>
          <w:spacing w:val="-3"/>
          <w:sz w:val="18"/>
        </w:rPr>
        <w:t xml:space="preserve"> </w:t>
      </w:r>
      <w:r>
        <w:rPr>
          <w:sz w:val="18"/>
        </w:rPr>
        <w:t>Study</w:t>
      </w:r>
      <w:r>
        <w:rPr>
          <w:spacing w:val="-2"/>
          <w:sz w:val="18"/>
        </w:rPr>
        <w:t xml:space="preserve"> </w:t>
      </w:r>
      <w:r>
        <w:rPr>
          <w:sz w:val="18"/>
        </w:rPr>
        <w:t xml:space="preserve">of Trauma Center Trauma-Sensitive Yoga versus Cognitive Processing Therapy for PTSD Related to Military Sexual Trauma among Women Veterans.” </w:t>
      </w:r>
      <w:r>
        <w:rPr>
          <w:i/>
          <w:sz w:val="18"/>
        </w:rPr>
        <w:t>Complementary Therapies in Medicine</w:t>
      </w:r>
      <w:r>
        <w:rPr>
          <w:i/>
          <w:sz w:val="18"/>
        </w:rPr>
        <w:t xml:space="preserve"> </w:t>
      </w:r>
      <w:r>
        <w:rPr>
          <w:sz w:val="18"/>
        </w:rPr>
        <w:t xml:space="preserve">70 (November 1, 2022): 102850. </w:t>
      </w:r>
      <w:bookmarkStart w:id="445" w:name="_bookmark326"/>
      <w:bookmarkEnd w:id="445"/>
      <w:r>
        <w:fldChar w:fldCharType="begin"/>
      </w:r>
      <w:r>
        <w:instrText xml:space="preserve"> HYPERLINK "https://doi.org/10.1016/j.ctim.2022.102850" \h </w:instrText>
      </w:r>
      <w:r>
        <w:fldChar w:fldCharType="separate"/>
      </w:r>
      <w:r>
        <w:rPr>
          <w:color w:val="1154CC"/>
          <w:spacing w:val="-2"/>
          <w:sz w:val="18"/>
          <w:u w:val="single" w:color="1154CC"/>
        </w:rPr>
        <w:t>https://doi.org/10.1016/j.ctim.2022.102850</w:t>
      </w:r>
      <w:r>
        <w:rPr>
          <w:spacing w:val="-2"/>
          <w:sz w:val="18"/>
        </w:rPr>
        <w:t>.</w:t>
      </w:r>
      <w:r>
        <w:rPr>
          <w:spacing w:val="-2"/>
          <w:sz w:val="18"/>
        </w:rPr>
        <w:fldChar w:fldCharType="end"/>
      </w:r>
    </w:p>
    <w:p w:rsidR="00200FDA" w:rsidRDefault="00F76C4C">
      <w:pPr>
        <w:spacing w:before="1"/>
        <w:ind w:left="140" w:right="305" w:hanging="1"/>
        <w:rPr>
          <w:sz w:val="18"/>
        </w:rPr>
      </w:pPr>
      <w:r>
        <w:rPr>
          <w:position w:val="5"/>
          <w:sz w:val="12"/>
        </w:rPr>
        <w:t>72</w:t>
      </w:r>
      <w:r>
        <w:rPr>
          <w:spacing w:val="10"/>
          <w:position w:val="5"/>
          <w:sz w:val="12"/>
        </w:rPr>
        <w:t xml:space="preserve"> </w:t>
      </w:r>
      <w:r>
        <w:rPr>
          <w:sz w:val="18"/>
        </w:rPr>
        <w:t>Trauma</w:t>
      </w:r>
      <w:r>
        <w:rPr>
          <w:spacing w:val="-2"/>
          <w:sz w:val="18"/>
        </w:rPr>
        <w:t xml:space="preserve"> </w:t>
      </w:r>
      <w:r>
        <w:rPr>
          <w:sz w:val="18"/>
        </w:rPr>
        <w:t>Informed</w:t>
      </w:r>
      <w:r>
        <w:rPr>
          <w:spacing w:val="-3"/>
          <w:sz w:val="18"/>
        </w:rPr>
        <w:t xml:space="preserve"> </w:t>
      </w:r>
      <w:r>
        <w:rPr>
          <w:sz w:val="18"/>
        </w:rPr>
        <w:t>Weight</w:t>
      </w:r>
      <w:r>
        <w:rPr>
          <w:spacing w:val="-3"/>
          <w:sz w:val="18"/>
        </w:rPr>
        <w:t xml:space="preserve"> </w:t>
      </w:r>
      <w:r>
        <w:rPr>
          <w:sz w:val="18"/>
        </w:rPr>
        <w:t>Lifting: A</w:t>
      </w:r>
      <w:r>
        <w:rPr>
          <w:spacing w:val="-3"/>
          <w:sz w:val="18"/>
        </w:rPr>
        <w:t xml:space="preserve"> </w:t>
      </w:r>
      <w:r>
        <w:rPr>
          <w:sz w:val="18"/>
        </w:rPr>
        <w:t>Project</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Center</w:t>
      </w:r>
      <w:r>
        <w:rPr>
          <w:spacing w:val="-3"/>
          <w:sz w:val="18"/>
        </w:rPr>
        <w:t xml:space="preserve"> </w:t>
      </w:r>
      <w:r>
        <w:rPr>
          <w:sz w:val="18"/>
        </w:rPr>
        <w:t>for</w:t>
      </w:r>
      <w:r>
        <w:rPr>
          <w:spacing w:val="-3"/>
          <w:sz w:val="18"/>
        </w:rPr>
        <w:t xml:space="preserve"> </w:t>
      </w:r>
      <w:r>
        <w:rPr>
          <w:sz w:val="18"/>
        </w:rPr>
        <w:t>Trauma</w:t>
      </w:r>
      <w:r>
        <w:rPr>
          <w:spacing w:val="-2"/>
          <w:sz w:val="18"/>
        </w:rPr>
        <w:t xml:space="preserve"> </w:t>
      </w:r>
      <w:r>
        <w:rPr>
          <w:sz w:val="18"/>
        </w:rPr>
        <w:t>&amp;</w:t>
      </w:r>
      <w:r>
        <w:rPr>
          <w:spacing w:val="-3"/>
          <w:sz w:val="18"/>
        </w:rPr>
        <w:t xml:space="preserve"> </w:t>
      </w:r>
      <w:r>
        <w:rPr>
          <w:sz w:val="18"/>
        </w:rPr>
        <w:t>Embodiment</w:t>
      </w:r>
      <w:r>
        <w:rPr>
          <w:spacing w:val="-3"/>
          <w:sz w:val="18"/>
        </w:rPr>
        <w:t xml:space="preserve"> </w:t>
      </w:r>
      <w:r>
        <w:rPr>
          <w:sz w:val="18"/>
        </w:rPr>
        <w:t>at</w:t>
      </w:r>
      <w:r>
        <w:rPr>
          <w:spacing w:val="-3"/>
          <w:sz w:val="18"/>
        </w:rPr>
        <w:t xml:space="preserve"> </w:t>
      </w:r>
      <w:r>
        <w:rPr>
          <w:sz w:val="18"/>
        </w:rPr>
        <w:t>JRI.</w:t>
      </w:r>
      <w:r>
        <w:rPr>
          <w:spacing w:val="-2"/>
          <w:sz w:val="18"/>
        </w:rPr>
        <w:t xml:space="preserve"> </w:t>
      </w:r>
      <w:r>
        <w:rPr>
          <w:sz w:val="18"/>
        </w:rPr>
        <w:t>“Research.”</w:t>
      </w:r>
      <w:r>
        <w:rPr>
          <w:spacing w:val="-3"/>
          <w:sz w:val="18"/>
        </w:rPr>
        <w:t xml:space="preserve"> </w:t>
      </w:r>
      <w:r>
        <w:rPr>
          <w:sz w:val="18"/>
        </w:rPr>
        <w:t>Accessed</w:t>
      </w:r>
      <w:r>
        <w:rPr>
          <w:spacing w:val="-3"/>
          <w:sz w:val="18"/>
        </w:rPr>
        <w:t xml:space="preserve"> </w:t>
      </w:r>
      <w:r>
        <w:rPr>
          <w:sz w:val="18"/>
        </w:rPr>
        <w:t>Januar</w:t>
      </w:r>
      <w:r>
        <w:rPr>
          <w:sz w:val="18"/>
        </w:rPr>
        <w:t>y</w:t>
      </w:r>
      <w:r>
        <w:rPr>
          <w:spacing w:val="-2"/>
          <w:sz w:val="18"/>
        </w:rPr>
        <w:t xml:space="preserve"> </w:t>
      </w:r>
      <w:r>
        <w:rPr>
          <w:sz w:val="18"/>
        </w:rPr>
        <w:t xml:space="preserve">16, 2023. </w:t>
      </w:r>
      <w:hyperlink r:id="rId330">
        <w:r>
          <w:rPr>
            <w:color w:val="1154CC"/>
            <w:sz w:val="18"/>
            <w:u w:val="single" w:color="1154CC"/>
          </w:rPr>
          <w:t>https://www.traumainformedweightlifting.com/research</w:t>
        </w:r>
        <w:r>
          <w:rPr>
            <w:sz w:val="18"/>
          </w:rPr>
          <w:t>.</w:t>
        </w:r>
      </w:hyperlink>
    </w:p>
    <w:p w:rsidR="00200FDA" w:rsidRDefault="00F76C4C">
      <w:pPr>
        <w:ind w:left="140" w:right="432" w:hanging="1"/>
        <w:rPr>
          <w:sz w:val="18"/>
        </w:rPr>
      </w:pPr>
      <w:bookmarkStart w:id="446" w:name="_bookmark327"/>
      <w:bookmarkEnd w:id="446"/>
      <w:r>
        <w:rPr>
          <w:position w:val="5"/>
          <w:sz w:val="12"/>
        </w:rPr>
        <w:t>73</w:t>
      </w:r>
      <w:r>
        <w:rPr>
          <w:spacing w:val="9"/>
          <w:position w:val="5"/>
          <w:sz w:val="12"/>
        </w:rPr>
        <w:t xml:space="preserve"> </w:t>
      </w:r>
      <w:r>
        <w:rPr>
          <w:sz w:val="18"/>
        </w:rPr>
        <w:t>Wagaman,</w:t>
      </w:r>
      <w:r>
        <w:rPr>
          <w:spacing w:val="-3"/>
          <w:sz w:val="18"/>
        </w:rPr>
        <w:t xml:space="preserve"> </w:t>
      </w:r>
      <w:r>
        <w:rPr>
          <w:sz w:val="18"/>
        </w:rPr>
        <w:t>M.</w:t>
      </w:r>
      <w:r>
        <w:rPr>
          <w:spacing w:val="-3"/>
          <w:sz w:val="18"/>
        </w:rPr>
        <w:t xml:space="preserve"> </w:t>
      </w:r>
      <w:r>
        <w:rPr>
          <w:sz w:val="18"/>
        </w:rPr>
        <w:t>Alex.</w:t>
      </w:r>
      <w:r>
        <w:rPr>
          <w:spacing w:val="-3"/>
          <w:sz w:val="18"/>
        </w:rPr>
        <w:t xml:space="preserve"> </w:t>
      </w:r>
      <w:r>
        <w:rPr>
          <w:sz w:val="18"/>
        </w:rPr>
        <w:t>“Promoting</w:t>
      </w:r>
      <w:r>
        <w:rPr>
          <w:spacing w:val="-2"/>
          <w:sz w:val="18"/>
        </w:rPr>
        <w:t xml:space="preserve"> </w:t>
      </w:r>
      <w:r>
        <w:rPr>
          <w:sz w:val="18"/>
        </w:rPr>
        <w:t>Empowerment</w:t>
      </w:r>
      <w:r>
        <w:rPr>
          <w:spacing w:val="-4"/>
          <w:sz w:val="18"/>
        </w:rPr>
        <w:t xml:space="preserve"> </w:t>
      </w:r>
      <w:r>
        <w:rPr>
          <w:sz w:val="18"/>
        </w:rPr>
        <w:t>Among</w:t>
      </w:r>
      <w:r>
        <w:rPr>
          <w:spacing w:val="-4"/>
          <w:sz w:val="18"/>
        </w:rPr>
        <w:t xml:space="preserve"> </w:t>
      </w:r>
      <w:r>
        <w:rPr>
          <w:sz w:val="18"/>
        </w:rPr>
        <w:t>LGBTQ</w:t>
      </w:r>
      <w:r>
        <w:rPr>
          <w:spacing w:val="-4"/>
          <w:sz w:val="18"/>
        </w:rPr>
        <w:t xml:space="preserve"> </w:t>
      </w:r>
      <w:r>
        <w:rPr>
          <w:sz w:val="18"/>
        </w:rPr>
        <w:t>Youth:</w:t>
      </w:r>
      <w:r>
        <w:rPr>
          <w:spacing w:val="-4"/>
          <w:sz w:val="18"/>
        </w:rPr>
        <w:t xml:space="preserve"> </w:t>
      </w:r>
      <w:r>
        <w:rPr>
          <w:sz w:val="18"/>
        </w:rPr>
        <w:t>A</w:t>
      </w:r>
      <w:r>
        <w:rPr>
          <w:spacing w:val="-2"/>
          <w:sz w:val="18"/>
        </w:rPr>
        <w:t xml:space="preserve"> </w:t>
      </w:r>
      <w:r>
        <w:rPr>
          <w:sz w:val="18"/>
        </w:rPr>
        <w:t>Social</w:t>
      </w:r>
      <w:r>
        <w:rPr>
          <w:spacing w:val="-4"/>
          <w:sz w:val="18"/>
        </w:rPr>
        <w:t xml:space="preserve"> </w:t>
      </w:r>
      <w:r>
        <w:rPr>
          <w:sz w:val="18"/>
        </w:rPr>
        <w:t>Justice</w:t>
      </w:r>
      <w:r>
        <w:rPr>
          <w:spacing w:val="-4"/>
          <w:sz w:val="18"/>
        </w:rPr>
        <w:t xml:space="preserve"> </w:t>
      </w:r>
      <w:r>
        <w:rPr>
          <w:sz w:val="18"/>
        </w:rPr>
        <w:t>Youth</w:t>
      </w:r>
      <w:r>
        <w:rPr>
          <w:spacing w:val="-2"/>
          <w:sz w:val="18"/>
        </w:rPr>
        <w:t xml:space="preserve"> </w:t>
      </w:r>
      <w:r>
        <w:rPr>
          <w:sz w:val="18"/>
        </w:rPr>
        <w:t>Development</w:t>
      </w:r>
      <w:r>
        <w:rPr>
          <w:spacing w:val="-4"/>
          <w:sz w:val="18"/>
        </w:rPr>
        <w:t xml:space="preserve"> </w:t>
      </w:r>
      <w:r>
        <w:rPr>
          <w:sz w:val="18"/>
        </w:rPr>
        <w:t>Approach.”</w:t>
      </w:r>
      <w:r>
        <w:rPr>
          <w:spacing w:val="-4"/>
          <w:sz w:val="18"/>
        </w:rPr>
        <w:t xml:space="preserve"> </w:t>
      </w:r>
      <w:r>
        <w:rPr>
          <w:i/>
          <w:sz w:val="18"/>
        </w:rPr>
        <w:t>Child</w:t>
      </w:r>
      <w:r>
        <w:rPr>
          <w:i/>
          <w:sz w:val="18"/>
        </w:rPr>
        <w:t xml:space="preserve"> and Adolescent Social Work Journal </w:t>
      </w:r>
      <w:r>
        <w:rPr>
          <w:sz w:val="18"/>
        </w:rPr>
        <w:t xml:space="preserve">33, no. 5 (October 1, 2016): 395–405. </w:t>
      </w:r>
      <w:hyperlink r:id="rId331">
        <w:r>
          <w:rPr>
            <w:color w:val="1154CC"/>
            <w:sz w:val="18"/>
            <w:u w:val="single" w:color="1154CC"/>
          </w:rPr>
          <w:t>https://doi.org/10.1007/s10560-016-0435-7</w:t>
        </w:r>
        <w:r>
          <w:rPr>
            <w:sz w:val="18"/>
          </w:rPr>
          <w:t>.</w:t>
        </w:r>
      </w:hyperlink>
    </w:p>
    <w:p w:rsidR="00200FDA" w:rsidRDefault="00F76C4C">
      <w:pPr>
        <w:ind w:left="139"/>
        <w:rPr>
          <w:sz w:val="18"/>
        </w:rPr>
      </w:pPr>
      <w:bookmarkStart w:id="447" w:name="_bookmark328"/>
      <w:bookmarkEnd w:id="447"/>
      <w:r>
        <w:rPr>
          <w:position w:val="5"/>
          <w:sz w:val="12"/>
        </w:rPr>
        <w:t>74</w:t>
      </w:r>
      <w:r>
        <w:rPr>
          <w:spacing w:val="9"/>
          <w:position w:val="5"/>
          <w:sz w:val="12"/>
        </w:rPr>
        <w:t xml:space="preserve"> </w:t>
      </w:r>
      <w:r>
        <w:rPr>
          <w:sz w:val="18"/>
        </w:rPr>
        <w:t>Matsuno,</w:t>
      </w:r>
      <w:r>
        <w:rPr>
          <w:spacing w:val="-3"/>
          <w:sz w:val="18"/>
        </w:rPr>
        <w:t xml:space="preserve"> </w:t>
      </w:r>
      <w:r>
        <w:rPr>
          <w:sz w:val="18"/>
        </w:rPr>
        <w:t>Emmie,</w:t>
      </w:r>
      <w:r>
        <w:rPr>
          <w:spacing w:val="-3"/>
          <w:sz w:val="18"/>
        </w:rPr>
        <w:t xml:space="preserve"> </w:t>
      </w:r>
      <w:r>
        <w:rPr>
          <w:sz w:val="18"/>
        </w:rPr>
        <w:t>and</w:t>
      </w:r>
      <w:r>
        <w:rPr>
          <w:spacing w:val="-4"/>
          <w:sz w:val="18"/>
        </w:rPr>
        <w:t xml:space="preserve"> </w:t>
      </w:r>
      <w:r>
        <w:rPr>
          <w:sz w:val="18"/>
        </w:rPr>
        <w:t>Tania</w:t>
      </w:r>
      <w:r>
        <w:rPr>
          <w:spacing w:val="-3"/>
          <w:sz w:val="18"/>
        </w:rPr>
        <w:t xml:space="preserve"> </w:t>
      </w:r>
      <w:r>
        <w:rPr>
          <w:sz w:val="18"/>
        </w:rPr>
        <w:t>Israel.</w:t>
      </w:r>
      <w:r>
        <w:rPr>
          <w:spacing w:val="-3"/>
          <w:sz w:val="18"/>
        </w:rPr>
        <w:t xml:space="preserve"> </w:t>
      </w:r>
      <w:r>
        <w:rPr>
          <w:sz w:val="18"/>
        </w:rPr>
        <w:t>“Psychological</w:t>
      </w:r>
      <w:r>
        <w:rPr>
          <w:spacing w:val="-4"/>
          <w:sz w:val="18"/>
        </w:rPr>
        <w:t xml:space="preserve"> </w:t>
      </w:r>
      <w:r>
        <w:rPr>
          <w:sz w:val="18"/>
        </w:rPr>
        <w:t>Interventions</w:t>
      </w:r>
      <w:r>
        <w:rPr>
          <w:spacing w:val="-4"/>
          <w:sz w:val="18"/>
        </w:rPr>
        <w:t xml:space="preserve"> </w:t>
      </w:r>
      <w:r>
        <w:rPr>
          <w:sz w:val="18"/>
        </w:rPr>
        <w:t>Promoting</w:t>
      </w:r>
      <w:r>
        <w:rPr>
          <w:spacing w:val="-4"/>
          <w:sz w:val="18"/>
        </w:rPr>
        <w:t xml:space="preserve"> </w:t>
      </w:r>
      <w:r>
        <w:rPr>
          <w:sz w:val="18"/>
        </w:rPr>
        <w:t>Re</w:t>
      </w:r>
      <w:r>
        <w:rPr>
          <w:sz w:val="18"/>
        </w:rPr>
        <w:t>silience</w:t>
      </w:r>
      <w:r>
        <w:rPr>
          <w:spacing w:val="-4"/>
          <w:sz w:val="18"/>
        </w:rPr>
        <w:t xml:space="preserve"> </w:t>
      </w:r>
      <w:r>
        <w:rPr>
          <w:sz w:val="18"/>
        </w:rPr>
        <w:t>Among</w:t>
      </w:r>
      <w:r>
        <w:rPr>
          <w:spacing w:val="-4"/>
          <w:sz w:val="18"/>
        </w:rPr>
        <w:t xml:space="preserve"> </w:t>
      </w:r>
      <w:r>
        <w:rPr>
          <w:sz w:val="18"/>
        </w:rPr>
        <w:t>Transgender</w:t>
      </w:r>
      <w:r>
        <w:rPr>
          <w:spacing w:val="-4"/>
          <w:sz w:val="18"/>
        </w:rPr>
        <w:t xml:space="preserve"> </w:t>
      </w:r>
      <w:r>
        <w:rPr>
          <w:sz w:val="18"/>
        </w:rPr>
        <w:t xml:space="preserve">Individuals: Transgender Resilience Intervention Model (TRIM).” </w:t>
      </w:r>
      <w:r>
        <w:rPr>
          <w:i/>
          <w:sz w:val="18"/>
        </w:rPr>
        <w:t xml:space="preserve">The Counseling Psychologist </w:t>
      </w:r>
      <w:r>
        <w:rPr>
          <w:sz w:val="18"/>
        </w:rPr>
        <w:t xml:space="preserve">46, no. 5 (July 2018): 632–55. </w:t>
      </w:r>
      <w:hyperlink r:id="rId332">
        <w:r>
          <w:rPr>
            <w:color w:val="1154CC"/>
            <w:spacing w:val="-2"/>
            <w:sz w:val="18"/>
            <w:u w:val="single" w:color="1154CC"/>
          </w:rPr>
          <w:t>https://doi.org/10.1177/0011000018787261</w:t>
        </w:r>
        <w:r>
          <w:rPr>
            <w:spacing w:val="-2"/>
            <w:sz w:val="18"/>
          </w:rPr>
          <w:t>.</w:t>
        </w:r>
      </w:hyperlink>
    </w:p>
    <w:p w:rsidR="00200FDA" w:rsidRDefault="00F76C4C">
      <w:pPr>
        <w:spacing w:before="1"/>
        <w:ind w:left="140" w:right="432" w:hanging="1"/>
        <w:rPr>
          <w:sz w:val="18"/>
        </w:rPr>
      </w:pPr>
      <w:bookmarkStart w:id="448" w:name="_bookmark329"/>
      <w:bookmarkEnd w:id="448"/>
      <w:r>
        <w:rPr>
          <w:position w:val="5"/>
          <w:sz w:val="12"/>
        </w:rPr>
        <w:t>75</w:t>
      </w:r>
      <w:r>
        <w:rPr>
          <w:spacing w:val="10"/>
          <w:position w:val="5"/>
          <w:sz w:val="12"/>
        </w:rPr>
        <w:t xml:space="preserve"> </w:t>
      </w:r>
      <w:r>
        <w:rPr>
          <w:sz w:val="18"/>
        </w:rPr>
        <w:t>Barcelos,</w:t>
      </w:r>
      <w:r>
        <w:rPr>
          <w:spacing w:val="-2"/>
          <w:sz w:val="18"/>
        </w:rPr>
        <w:t xml:space="preserve"> </w:t>
      </w:r>
      <w:r>
        <w:rPr>
          <w:sz w:val="18"/>
        </w:rPr>
        <w:t>Chris,</w:t>
      </w:r>
      <w:r>
        <w:rPr>
          <w:spacing w:val="-2"/>
          <w:sz w:val="18"/>
        </w:rPr>
        <w:t xml:space="preserve"> </w:t>
      </w:r>
      <w:r>
        <w:rPr>
          <w:sz w:val="18"/>
        </w:rPr>
        <w:t>j.</w:t>
      </w:r>
      <w:r>
        <w:rPr>
          <w:spacing w:val="-2"/>
          <w:sz w:val="18"/>
        </w:rPr>
        <w:t xml:space="preserve"> </w:t>
      </w:r>
      <w:r>
        <w:rPr>
          <w:sz w:val="18"/>
        </w:rPr>
        <w:t>nyla</w:t>
      </w:r>
      <w:r>
        <w:rPr>
          <w:spacing w:val="-2"/>
          <w:sz w:val="18"/>
        </w:rPr>
        <w:t xml:space="preserve"> </w:t>
      </w:r>
      <w:r>
        <w:rPr>
          <w:sz w:val="18"/>
        </w:rPr>
        <w:t>mcneil,</w:t>
      </w:r>
      <w:r>
        <w:rPr>
          <w:spacing w:val="-2"/>
          <w:sz w:val="18"/>
        </w:rPr>
        <w:t xml:space="preserve"> </w:t>
      </w:r>
      <w:r>
        <w:rPr>
          <w:sz w:val="18"/>
        </w:rPr>
        <w:t>Yanté</w:t>
      </w:r>
      <w:r>
        <w:rPr>
          <w:spacing w:val="-3"/>
          <w:sz w:val="18"/>
        </w:rPr>
        <w:t xml:space="preserve"> </w:t>
      </w:r>
      <w:r>
        <w:rPr>
          <w:sz w:val="18"/>
        </w:rPr>
        <w:t>Turner,</w:t>
      </w:r>
      <w:r>
        <w:rPr>
          <w:spacing w:val="-2"/>
          <w:sz w:val="18"/>
        </w:rPr>
        <w:t xml:space="preserve"> </w:t>
      </w:r>
      <w:r>
        <w:rPr>
          <w:sz w:val="18"/>
        </w:rPr>
        <w:t>and</w:t>
      </w:r>
      <w:r>
        <w:rPr>
          <w:spacing w:val="-3"/>
          <w:sz w:val="18"/>
        </w:rPr>
        <w:t xml:space="preserve"> </w:t>
      </w:r>
      <w:r>
        <w:rPr>
          <w:sz w:val="18"/>
        </w:rPr>
        <w:t>Edie</w:t>
      </w:r>
      <w:r>
        <w:rPr>
          <w:spacing w:val="-3"/>
          <w:sz w:val="18"/>
        </w:rPr>
        <w:t xml:space="preserve"> </w:t>
      </w:r>
      <w:r>
        <w:rPr>
          <w:sz w:val="18"/>
        </w:rPr>
        <w:t>Ma’iingan</w:t>
      </w:r>
      <w:r>
        <w:rPr>
          <w:spacing w:val="-3"/>
          <w:sz w:val="18"/>
        </w:rPr>
        <w:t xml:space="preserve"> </w:t>
      </w:r>
      <w:r>
        <w:rPr>
          <w:sz w:val="18"/>
        </w:rPr>
        <w:t>Redwine. “The</w:t>
      </w:r>
      <w:r>
        <w:rPr>
          <w:spacing w:val="-3"/>
          <w:sz w:val="18"/>
        </w:rPr>
        <w:t xml:space="preserve"> </w:t>
      </w:r>
      <w:r>
        <w:rPr>
          <w:sz w:val="18"/>
        </w:rPr>
        <w:t>Trans</w:t>
      </w:r>
      <w:r>
        <w:rPr>
          <w:spacing w:val="-3"/>
          <w:sz w:val="18"/>
        </w:rPr>
        <w:t xml:space="preserve"> </w:t>
      </w:r>
      <w:r>
        <w:rPr>
          <w:sz w:val="18"/>
        </w:rPr>
        <w:t>Youth</w:t>
      </w:r>
      <w:r>
        <w:rPr>
          <w:spacing w:val="-3"/>
          <w:sz w:val="18"/>
        </w:rPr>
        <w:t xml:space="preserve"> </w:t>
      </w:r>
      <w:r>
        <w:rPr>
          <w:sz w:val="18"/>
        </w:rPr>
        <w:t>Justice</w:t>
      </w:r>
      <w:r>
        <w:rPr>
          <w:spacing w:val="-1"/>
          <w:sz w:val="18"/>
        </w:rPr>
        <w:t xml:space="preserve"> </w:t>
      </w:r>
      <w:r>
        <w:rPr>
          <w:sz w:val="18"/>
        </w:rPr>
        <w:t>Project:</w:t>
      </w:r>
      <w:r>
        <w:rPr>
          <w:spacing w:val="-2"/>
          <w:sz w:val="18"/>
        </w:rPr>
        <w:t xml:space="preserve"> </w:t>
      </w:r>
      <w:r>
        <w:rPr>
          <w:sz w:val="18"/>
        </w:rPr>
        <w:t>A</w:t>
      </w:r>
      <w:r>
        <w:rPr>
          <w:spacing w:val="-3"/>
          <w:sz w:val="18"/>
        </w:rPr>
        <w:t xml:space="preserve"> </w:t>
      </w:r>
      <w:r>
        <w:rPr>
          <w:sz w:val="18"/>
        </w:rPr>
        <w:t xml:space="preserve">Political Education and Leadership Development Program.” </w:t>
      </w:r>
      <w:r>
        <w:rPr>
          <w:i/>
          <w:sz w:val="18"/>
        </w:rPr>
        <w:t xml:space="preserve">Journal of LGBT Youth </w:t>
      </w:r>
      <w:r>
        <w:rPr>
          <w:sz w:val="18"/>
        </w:rPr>
        <w:t xml:space="preserve">20, no. 2 (April 3, 2023): 265–81. </w:t>
      </w:r>
      <w:hyperlink r:id="rId333">
        <w:r>
          <w:rPr>
            <w:color w:val="1154CC"/>
            <w:spacing w:val="-2"/>
            <w:sz w:val="18"/>
            <w:u w:val="single" w:color="1154CC"/>
          </w:rPr>
          <w:t>https://doi.org/10.1080/19361653.2021.2020703</w:t>
        </w:r>
        <w:r>
          <w:rPr>
            <w:spacing w:val="-2"/>
            <w:sz w:val="18"/>
          </w:rPr>
          <w:t>.</w:t>
        </w:r>
      </w:hyperlink>
    </w:p>
    <w:p w:rsidR="00200FDA" w:rsidRDefault="00F76C4C">
      <w:pPr>
        <w:ind w:left="140" w:right="432"/>
        <w:rPr>
          <w:sz w:val="18"/>
        </w:rPr>
      </w:pPr>
      <w:bookmarkStart w:id="449" w:name="_bookmark330"/>
      <w:bookmarkEnd w:id="449"/>
      <w:r>
        <w:rPr>
          <w:position w:val="5"/>
          <w:sz w:val="12"/>
        </w:rPr>
        <w:t>76</w:t>
      </w:r>
      <w:r>
        <w:rPr>
          <w:spacing w:val="10"/>
          <w:position w:val="5"/>
          <w:sz w:val="12"/>
        </w:rPr>
        <w:t xml:space="preserve"> </w:t>
      </w:r>
      <w:r>
        <w:rPr>
          <w:color w:val="2D2C29"/>
          <w:sz w:val="18"/>
        </w:rPr>
        <w:t>DeBlaere,</w:t>
      </w:r>
      <w:r>
        <w:rPr>
          <w:color w:val="2D2C29"/>
          <w:spacing w:val="-2"/>
          <w:sz w:val="18"/>
        </w:rPr>
        <w:t xml:space="preserve"> </w:t>
      </w:r>
      <w:r>
        <w:rPr>
          <w:color w:val="2D2C29"/>
          <w:sz w:val="18"/>
        </w:rPr>
        <w:t>Cirleen,</w:t>
      </w:r>
      <w:r>
        <w:rPr>
          <w:color w:val="2D2C29"/>
          <w:spacing w:val="-2"/>
          <w:sz w:val="18"/>
        </w:rPr>
        <w:t xml:space="preserve"> </w:t>
      </w:r>
      <w:r>
        <w:rPr>
          <w:color w:val="2D2C29"/>
          <w:sz w:val="18"/>
        </w:rPr>
        <w:t>Melanie</w:t>
      </w:r>
      <w:r>
        <w:rPr>
          <w:color w:val="2D2C29"/>
          <w:spacing w:val="-3"/>
          <w:sz w:val="18"/>
        </w:rPr>
        <w:t xml:space="preserve"> </w:t>
      </w:r>
      <w:r>
        <w:rPr>
          <w:color w:val="2D2C29"/>
          <w:sz w:val="18"/>
        </w:rPr>
        <w:t>E.</w:t>
      </w:r>
      <w:r>
        <w:rPr>
          <w:color w:val="2D2C29"/>
          <w:spacing w:val="-2"/>
          <w:sz w:val="18"/>
        </w:rPr>
        <w:t xml:space="preserve"> </w:t>
      </w:r>
      <w:r>
        <w:rPr>
          <w:color w:val="2D2C29"/>
          <w:sz w:val="18"/>
        </w:rPr>
        <w:t>Brewster,</w:t>
      </w:r>
      <w:r>
        <w:rPr>
          <w:color w:val="2D2C29"/>
          <w:spacing w:val="-2"/>
          <w:sz w:val="18"/>
        </w:rPr>
        <w:t xml:space="preserve"> </w:t>
      </w:r>
      <w:r>
        <w:rPr>
          <w:color w:val="2D2C29"/>
          <w:sz w:val="18"/>
        </w:rPr>
        <w:t>Kristin</w:t>
      </w:r>
      <w:r>
        <w:rPr>
          <w:color w:val="2D2C29"/>
          <w:spacing w:val="-3"/>
          <w:sz w:val="18"/>
        </w:rPr>
        <w:t xml:space="preserve"> </w:t>
      </w:r>
      <w:r>
        <w:rPr>
          <w:color w:val="2D2C29"/>
          <w:sz w:val="18"/>
        </w:rPr>
        <w:t>N.</w:t>
      </w:r>
      <w:r>
        <w:rPr>
          <w:color w:val="2D2C29"/>
          <w:spacing w:val="-2"/>
          <w:sz w:val="18"/>
        </w:rPr>
        <w:t xml:space="preserve"> </w:t>
      </w:r>
      <w:r>
        <w:rPr>
          <w:color w:val="2D2C29"/>
          <w:sz w:val="18"/>
        </w:rPr>
        <w:t>Bertsch,</w:t>
      </w:r>
      <w:r>
        <w:rPr>
          <w:color w:val="2D2C29"/>
          <w:spacing w:val="-2"/>
          <w:sz w:val="18"/>
        </w:rPr>
        <w:t xml:space="preserve"> </w:t>
      </w:r>
      <w:r>
        <w:rPr>
          <w:color w:val="2D2C29"/>
          <w:sz w:val="18"/>
        </w:rPr>
        <w:t>Aubrey L.</w:t>
      </w:r>
      <w:r>
        <w:rPr>
          <w:color w:val="2D2C29"/>
          <w:spacing w:val="-2"/>
          <w:sz w:val="18"/>
        </w:rPr>
        <w:t xml:space="preserve"> </w:t>
      </w:r>
      <w:r>
        <w:rPr>
          <w:color w:val="2D2C29"/>
          <w:sz w:val="18"/>
        </w:rPr>
        <w:t>DeCarlo,</w:t>
      </w:r>
      <w:r>
        <w:rPr>
          <w:color w:val="2D2C29"/>
          <w:spacing w:val="-2"/>
          <w:sz w:val="18"/>
        </w:rPr>
        <w:t xml:space="preserve"> </w:t>
      </w:r>
      <w:r>
        <w:rPr>
          <w:color w:val="2D2C29"/>
          <w:sz w:val="18"/>
        </w:rPr>
        <w:t>Karen</w:t>
      </w:r>
      <w:r>
        <w:rPr>
          <w:color w:val="2D2C29"/>
          <w:spacing w:val="-3"/>
          <w:sz w:val="18"/>
        </w:rPr>
        <w:t xml:space="preserve"> </w:t>
      </w:r>
      <w:r>
        <w:rPr>
          <w:color w:val="2D2C29"/>
          <w:sz w:val="18"/>
        </w:rPr>
        <w:t>A.</w:t>
      </w:r>
      <w:r>
        <w:rPr>
          <w:color w:val="2D2C29"/>
          <w:spacing w:val="-2"/>
          <w:sz w:val="18"/>
        </w:rPr>
        <w:t xml:space="preserve"> </w:t>
      </w:r>
      <w:r>
        <w:rPr>
          <w:color w:val="2D2C29"/>
          <w:sz w:val="18"/>
        </w:rPr>
        <w:t>Kegel,</w:t>
      </w:r>
      <w:r>
        <w:rPr>
          <w:color w:val="2D2C29"/>
          <w:spacing w:val="-2"/>
          <w:sz w:val="18"/>
        </w:rPr>
        <w:t xml:space="preserve"> </w:t>
      </w:r>
      <w:r>
        <w:rPr>
          <w:color w:val="2D2C29"/>
          <w:sz w:val="18"/>
        </w:rPr>
        <w:t>and</w:t>
      </w:r>
      <w:r>
        <w:rPr>
          <w:color w:val="2D2C29"/>
          <w:spacing w:val="-3"/>
          <w:sz w:val="18"/>
        </w:rPr>
        <w:t xml:space="preserve"> </w:t>
      </w:r>
      <w:r>
        <w:rPr>
          <w:color w:val="2D2C29"/>
          <w:sz w:val="18"/>
        </w:rPr>
        <w:t>Candice</w:t>
      </w:r>
      <w:r>
        <w:rPr>
          <w:color w:val="2D2C29"/>
          <w:spacing w:val="-3"/>
          <w:sz w:val="18"/>
        </w:rPr>
        <w:t xml:space="preserve"> </w:t>
      </w:r>
      <w:r>
        <w:rPr>
          <w:color w:val="2D2C29"/>
          <w:sz w:val="18"/>
        </w:rPr>
        <w:t>D.</w:t>
      </w:r>
      <w:r>
        <w:rPr>
          <w:color w:val="2D2C29"/>
          <w:spacing w:val="-2"/>
          <w:sz w:val="18"/>
        </w:rPr>
        <w:t xml:space="preserve"> </w:t>
      </w:r>
      <w:r>
        <w:rPr>
          <w:color w:val="2D2C29"/>
          <w:sz w:val="18"/>
        </w:rPr>
        <w:t>Presseau.</w:t>
      </w:r>
      <w:r>
        <w:rPr>
          <w:color w:val="2D2C29"/>
          <w:spacing w:val="-2"/>
          <w:sz w:val="18"/>
        </w:rPr>
        <w:t xml:space="preserve"> </w:t>
      </w:r>
      <w:r>
        <w:rPr>
          <w:color w:val="2D2C29"/>
          <w:sz w:val="18"/>
        </w:rPr>
        <w:t xml:space="preserve">“The Protective Power of Collective Action for Sexual Minority Women of Color: An Investigation of Multiple Discrimination Experiences and Psychological Distress.” </w:t>
      </w:r>
      <w:r>
        <w:rPr>
          <w:i/>
          <w:color w:val="2D2C29"/>
          <w:sz w:val="18"/>
        </w:rPr>
        <w:t xml:space="preserve">Psychology of Women Quarterly </w:t>
      </w:r>
      <w:r>
        <w:rPr>
          <w:color w:val="2D2C29"/>
          <w:sz w:val="18"/>
        </w:rPr>
        <w:t xml:space="preserve">38, no. 1 (March 2014): 20–32. </w:t>
      </w:r>
      <w:hyperlink r:id="rId334">
        <w:r>
          <w:rPr>
            <w:color w:val="1154CC"/>
            <w:spacing w:val="-2"/>
            <w:sz w:val="18"/>
            <w:u w:val="single" w:color="1154CC"/>
          </w:rPr>
          <w:t>https://doi.org/10.1177/0361684313493252</w:t>
        </w:r>
        <w:r>
          <w:rPr>
            <w:color w:val="2D2C29"/>
            <w:spacing w:val="-2"/>
            <w:sz w:val="18"/>
          </w:rPr>
          <w:t>.</w:t>
        </w:r>
      </w:hyperlink>
    </w:p>
    <w:p w:rsidR="00200FDA" w:rsidRDefault="00F76C4C">
      <w:pPr>
        <w:ind w:left="140" w:right="305" w:hanging="1"/>
        <w:rPr>
          <w:sz w:val="18"/>
        </w:rPr>
      </w:pPr>
      <w:bookmarkStart w:id="450" w:name="_bookmark331"/>
      <w:bookmarkEnd w:id="450"/>
      <w:r>
        <w:rPr>
          <w:position w:val="5"/>
          <w:sz w:val="12"/>
        </w:rPr>
        <w:t>77</w:t>
      </w:r>
      <w:r>
        <w:rPr>
          <w:spacing w:val="19"/>
          <w:position w:val="5"/>
          <w:sz w:val="12"/>
        </w:rPr>
        <w:t xml:space="preserve"> </w:t>
      </w:r>
      <w:r>
        <w:rPr>
          <w:sz w:val="18"/>
        </w:rPr>
        <w:t>Strauss Swanson, Charlotte, and Dawn M Szymanski. “From Pain to Power: An Exploration of Activism, the #Metoo Movement,</w:t>
      </w:r>
      <w:r>
        <w:rPr>
          <w:spacing w:val="-2"/>
          <w:sz w:val="18"/>
        </w:rPr>
        <w:t xml:space="preserve"> </w:t>
      </w:r>
      <w:r>
        <w:rPr>
          <w:sz w:val="18"/>
        </w:rPr>
        <w:t>and</w:t>
      </w:r>
      <w:r>
        <w:rPr>
          <w:spacing w:val="-3"/>
          <w:sz w:val="18"/>
        </w:rPr>
        <w:t xml:space="preserve"> </w:t>
      </w:r>
      <w:r>
        <w:rPr>
          <w:sz w:val="18"/>
        </w:rPr>
        <w:t>Healing</w:t>
      </w:r>
      <w:r>
        <w:rPr>
          <w:spacing w:val="-3"/>
          <w:sz w:val="18"/>
        </w:rPr>
        <w:t xml:space="preserve"> </w:t>
      </w:r>
      <w:r>
        <w:rPr>
          <w:sz w:val="18"/>
        </w:rPr>
        <w:t>from</w:t>
      </w:r>
      <w:r>
        <w:rPr>
          <w:spacing w:val="-2"/>
          <w:sz w:val="18"/>
        </w:rPr>
        <w:t xml:space="preserve"> </w:t>
      </w:r>
      <w:r>
        <w:rPr>
          <w:sz w:val="18"/>
        </w:rPr>
        <w:t>Sexual</w:t>
      </w:r>
      <w:r>
        <w:rPr>
          <w:spacing w:val="-3"/>
          <w:sz w:val="18"/>
        </w:rPr>
        <w:t xml:space="preserve"> </w:t>
      </w:r>
      <w:r>
        <w:rPr>
          <w:sz w:val="18"/>
        </w:rPr>
        <w:t>Assault</w:t>
      </w:r>
      <w:r>
        <w:rPr>
          <w:spacing w:val="-3"/>
          <w:sz w:val="18"/>
        </w:rPr>
        <w:t xml:space="preserve"> </w:t>
      </w:r>
      <w:r>
        <w:rPr>
          <w:sz w:val="18"/>
        </w:rPr>
        <w:t>Trauma.”</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Counseling</w:t>
      </w:r>
      <w:r>
        <w:rPr>
          <w:i/>
          <w:spacing w:val="-1"/>
          <w:sz w:val="18"/>
        </w:rPr>
        <w:t xml:space="preserve"> </w:t>
      </w:r>
      <w:r>
        <w:rPr>
          <w:i/>
          <w:sz w:val="18"/>
        </w:rPr>
        <w:t>Psychology</w:t>
      </w:r>
      <w:r>
        <w:rPr>
          <w:i/>
          <w:spacing w:val="-2"/>
          <w:sz w:val="18"/>
        </w:rPr>
        <w:t xml:space="preserve"> </w:t>
      </w:r>
      <w:r>
        <w:rPr>
          <w:sz w:val="18"/>
        </w:rPr>
        <w:t>67,</w:t>
      </w:r>
      <w:r>
        <w:rPr>
          <w:spacing w:val="-2"/>
          <w:sz w:val="18"/>
        </w:rPr>
        <w:t xml:space="preserve"> </w:t>
      </w:r>
      <w:r>
        <w:rPr>
          <w:sz w:val="18"/>
        </w:rPr>
        <w:t>no.</w:t>
      </w:r>
      <w:r>
        <w:rPr>
          <w:spacing w:val="-2"/>
          <w:sz w:val="18"/>
        </w:rPr>
        <w:t xml:space="preserve"> </w:t>
      </w:r>
      <w:r>
        <w:rPr>
          <w:sz w:val="18"/>
        </w:rPr>
        <w:t>6</w:t>
      </w:r>
      <w:r>
        <w:rPr>
          <w:spacing w:val="-2"/>
          <w:sz w:val="18"/>
        </w:rPr>
        <w:t xml:space="preserve"> </w:t>
      </w:r>
      <w:r>
        <w:rPr>
          <w:sz w:val="18"/>
        </w:rPr>
        <w:t>(November</w:t>
      </w:r>
      <w:r>
        <w:rPr>
          <w:spacing w:val="-3"/>
          <w:sz w:val="18"/>
        </w:rPr>
        <w:t xml:space="preserve"> </w:t>
      </w:r>
      <w:r>
        <w:rPr>
          <w:sz w:val="18"/>
        </w:rPr>
        <w:t>1,</w:t>
      </w:r>
      <w:r>
        <w:rPr>
          <w:spacing w:val="-2"/>
          <w:sz w:val="18"/>
        </w:rPr>
        <w:t xml:space="preserve"> </w:t>
      </w:r>
      <w:r>
        <w:rPr>
          <w:sz w:val="18"/>
        </w:rPr>
        <w:t>2020):</w:t>
      </w:r>
      <w:r>
        <w:rPr>
          <w:spacing w:val="-2"/>
          <w:sz w:val="18"/>
        </w:rPr>
        <w:t xml:space="preserve"> </w:t>
      </w:r>
      <w:r>
        <w:rPr>
          <w:sz w:val="18"/>
        </w:rPr>
        <w:t xml:space="preserve">653–68. </w:t>
      </w:r>
      <w:hyperlink r:id="rId335">
        <w:r>
          <w:rPr>
            <w:color w:val="1154CC"/>
            <w:spacing w:val="-2"/>
            <w:sz w:val="18"/>
            <w:u w:val="single" w:color="1154CC"/>
          </w:rPr>
          <w:t>https://doi.org/10.1037/cou0000429</w:t>
        </w:r>
        <w:r>
          <w:rPr>
            <w:spacing w:val="-2"/>
            <w:sz w:val="18"/>
          </w:rPr>
          <w:t>.</w:t>
        </w:r>
      </w:hyperlink>
    </w:p>
    <w:p w:rsidR="00200FDA" w:rsidRDefault="00F76C4C">
      <w:pPr>
        <w:ind w:left="139" w:right="259"/>
        <w:rPr>
          <w:sz w:val="18"/>
        </w:rPr>
      </w:pPr>
      <w:bookmarkStart w:id="451" w:name="_bookmark332"/>
      <w:bookmarkEnd w:id="451"/>
      <w:r>
        <w:rPr>
          <w:position w:val="5"/>
          <w:sz w:val="12"/>
        </w:rPr>
        <w:t>78</w:t>
      </w:r>
      <w:r>
        <w:rPr>
          <w:spacing w:val="40"/>
          <w:position w:val="5"/>
          <w:sz w:val="12"/>
        </w:rPr>
        <w:t xml:space="preserve"> </w:t>
      </w:r>
      <w:r>
        <w:rPr>
          <w:sz w:val="18"/>
        </w:rPr>
        <w:t>Poteat, V. Paul, Jerel P. Calzo, Hirokazu Yoshikawa, Arthur Lipkin, Christopher J. Ceccolini, Sarah B. Rosenbach, Michael D. O’Brien,</w:t>
      </w:r>
      <w:r>
        <w:rPr>
          <w:spacing w:val="-3"/>
          <w:sz w:val="18"/>
        </w:rPr>
        <w:t xml:space="preserve"> </w:t>
      </w:r>
      <w:r>
        <w:rPr>
          <w:sz w:val="18"/>
        </w:rPr>
        <w:t>Robert</w:t>
      </w:r>
      <w:r>
        <w:rPr>
          <w:spacing w:val="-4"/>
          <w:sz w:val="18"/>
        </w:rPr>
        <w:t xml:space="preserve"> </w:t>
      </w:r>
      <w:r>
        <w:rPr>
          <w:sz w:val="18"/>
        </w:rPr>
        <w:t>A.</w:t>
      </w:r>
      <w:r>
        <w:rPr>
          <w:spacing w:val="-3"/>
          <w:sz w:val="18"/>
        </w:rPr>
        <w:t xml:space="preserve"> </w:t>
      </w:r>
      <w:r>
        <w:rPr>
          <w:sz w:val="18"/>
        </w:rPr>
        <w:t>Marx,</w:t>
      </w:r>
      <w:r>
        <w:rPr>
          <w:spacing w:val="-3"/>
          <w:sz w:val="18"/>
        </w:rPr>
        <w:t xml:space="preserve"> </w:t>
      </w:r>
      <w:r>
        <w:rPr>
          <w:sz w:val="18"/>
        </w:rPr>
        <w:t>Gabriel</w:t>
      </w:r>
      <w:r>
        <w:rPr>
          <w:spacing w:val="-1"/>
          <w:sz w:val="18"/>
        </w:rPr>
        <w:t xml:space="preserve"> </w:t>
      </w:r>
      <w:r>
        <w:rPr>
          <w:sz w:val="18"/>
        </w:rPr>
        <w:t>R.</w:t>
      </w:r>
      <w:r>
        <w:rPr>
          <w:spacing w:val="-3"/>
          <w:sz w:val="18"/>
        </w:rPr>
        <w:t xml:space="preserve"> </w:t>
      </w:r>
      <w:r>
        <w:rPr>
          <w:sz w:val="18"/>
        </w:rPr>
        <w:t>Murchison,</w:t>
      </w:r>
      <w:r>
        <w:rPr>
          <w:spacing w:val="-3"/>
          <w:sz w:val="18"/>
        </w:rPr>
        <w:t xml:space="preserve"> </w:t>
      </w:r>
      <w:r>
        <w:rPr>
          <w:sz w:val="18"/>
        </w:rPr>
        <w:t>and</w:t>
      </w:r>
      <w:r>
        <w:rPr>
          <w:spacing w:val="-4"/>
          <w:sz w:val="18"/>
        </w:rPr>
        <w:t xml:space="preserve"> </w:t>
      </w:r>
      <w:r>
        <w:rPr>
          <w:sz w:val="18"/>
        </w:rPr>
        <w:t>Esther</w:t>
      </w:r>
      <w:r>
        <w:rPr>
          <w:spacing w:val="-4"/>
          <w:sz w:val="18"/>
        </w:rPr>
        <w:t xml:space="preserve"> </w:t>
      </w:r>
      <w:r>
        <w:rPr>
          <w:sz w:val="18"/>
        </w:rPr>
        <w:t>Burson.</w:t>
      </w:r>
      <w:r>
        <w:rPr>
          <w:spacing w:val="-1"/>
          <w:sz w:val="18"/>
        </w:rPr>
        <w:t xml:space="preserve"> </w:t>
      </w:r>
      <w:r>
        <w:rPr>
          <w:sz w:val="18"/>
        </w:rPr>
        <w:t>“Greater</w:t>
      </w:r>
      <w:r>
        <w:rPr>
          <w:spacing w:val="-4"/>
          <w:sz w:val="18"/>
        </w:rPr>
        <w:t xml:space="preserve"> </w:t>
      </w:r>
      <w:r>
        <w:rPr>
          <w:sz w:val="18"/>
        </w:rPr>
        <w:t>Engagement</w:t>
      </w:r>
      <w:r>
        <w:rPr>
          <w:spacing w:val="-4"/>
          <w:sz w:val="18"/>
        </w:rPr>
        <w:t xml:space="preserve"> </w:t>
      </w:r>
      <w:r>
        <w:rPr>
          <w:sz w:val="18"/>
        </w:rPr>
        <w:t>in</w:t>
      </w:r>
      <w:r>
        <w:rPr>
          <w:spacing w:val="-4"/>
          <w:sz w:val="18"/>
        </w:rPr>
        <w:t xml:space="preserve"> </w:t>
      </w:r>
      <w:r>
        <w:rPr>
          <w:sz w:val="18"/>
        </w:rPr>
        <w:t>Gender-Sexuality</w:t>
      </w:r>
      <w:r>
        <w:rPr>
          <w:spacing w:val="-3"/>
          <w:sz w:val="18"/>
        </w:rPr>
        <w:t xml:space="preserve"> </w:t>
      </w:r>
      <w:r>
        <w:rPr>
          <w:sz w:val="18"/>
        </w:rPr>
        <w:t>Alliances</w:t>
      </w:r>
      <w:r>
        <w:rPr>
          <w:spacing w:val="-4"/>
          <w:sz w:val="18"/>
        </w:rPr>
        <w:t xml:space="preserve"> </w:t>
      </w:r>
      <w:r>
        <w:rPr>
          <w:sz w:val="18"/>
        </w:rPr>
        <w:t xml:space="preserve">(GSAs) and GSA </w:t>
      </w:r>
      <w:r>
        <w:rPr>
          <w:sz w:val="18"/>
        </w:rPr>
        <w:t xml:space="preserve">Characteristics Predict Youth Empowerment and Reduced Mental Health Concerns.” </w:t>
      </w:r>
      <w:r>
        <w:rPr>
          <w:i/>
          <w:sz w:val="18"/>
        </w:rPr>
        <w:t xml:space="preserve">Child Development </w:t>
      </w:r>
      <w:r>
        <w:rPr>
          <w:sz w:val="18"/>
        </w:rPr>
        <w:t xml:space="preserve">91, no. 5 (September 2020): 1509–28. </w:t>
      </w:r>
      <w:hyperlink r:id="rId336">
        <w:r>
          <w:rPr>
            <w:color w:val="1154CC"/>
            <w:sz w:val="18"/>
            <w:u w:val="single" w:color="1154CC"/>
          </w:rPr>
          <w:t>https://doi.org/10.1111/cdev.13345</w:t>
        </w:r>
        <w:r>
          <w:rPr>
            <w:sz w:val="18"/>
          </w:rPr>
          <w:t>.</w:t>
        </w:r>
      </w:hyperlink>
    </w:p>
    <w:p w:rsidR="00200FDA" w:rsidRDefault="00F76C4C">
      <w:pPr>
        <w:ind w:left="139" w:right="322"/>
        <w:rPr>
          <w:sz w:val="18"/>
        </w:rPr>
      </w:pPr>
      <w:bookmarkStart w:id="452" w:name="_bookmark333"/>
      <w:bookmarkEnd w:id="452"/>
      <w:r>
        <w:rPr>
          <w:position w:val="5"/>
          <w:sz w:val="12"/>
        </w:rPr>
        <w:t>79</w:t>
      </w:r>
      <w:r>
        <w:rPr>
          <w:spacing w:val="19"/>
          <w:position w:val="5"/>
          <w:sz w:val="12"/>
        </w:rPr>
        <w:t xml:space="preserve"> </w:t>
      </w:r>
      <w:r>
        <w:rPr>
          <w:sz w:val="18"/>
        </w:rPr>
        <w:t>Comerford, Jo. “Addressing Ba</w:t>
      </w:r>
      <w:r>
        <w:rPr>
          <w:sz w:val="18"/>
        </w:rPr>
        <w:t>rriers to Care: What’s in the Legislature’s Final Mental Health Bill.” The People’s Blog (blog), August</w:t>
      </w:r>
      <w:r>
        <w:rPr>
          <w:spacing w:val="-11"/>
          <w:sz w:val="18"/>
        </w:rPr>
        <w:t xml:space="preserve"> </w:t>
      </w:r>
      <w:r>
        <w:rPr>
          <w:sz w:val="18"/>
        </w:rPr>
        <w:t>3,</w:t>
      </w:r>
      <w:r>
        <w:rPr>
          <w:spacing w:val="-10"/>
          <w:sz w:val="18"/>
        </w:rPr>
        <w:t xml:space="preserve"> </w:t>
      </w:r>
      <w:r>
        <w:rPr>
          <w:sz w:val="18"/>
        </w:rPr>
        <w:t>2022.</w:t>
      </w:r>
      <w:r>
        <w:rPr>
          <w:spacing w:val="-10"/>
          <w:sz w:val="18"/>
        </w:rPr>
        <w:t xml:space="preserve"> </w:t>
      </w:r>
      <w:hyperlink r:id="rId337">
        <w:r>
          <w:rPr>
            <w:color w:val="1154CC"/>
            <w:sz w:val="18"/>
            <w:u w:val="single" w:color="1154CC"/>
          </w:rPr>
          <w:t>https://senat</w:t>
        </w:r>
        <w:r>
          <w:rPr>
            <w:color w:val="1154CC"/>
            <w:sz w:val="18"/>
            <w:u w:val="single" w:color="1154CC"/>
          </w:rPr>
          <w:t>orjocomerford.org/addressing-barriers-to-care-whats-in-the-legislatures-final-mental-health-bill/</w:t>
        </w:r>
        <w:r>
          <w:rPr>
            <w:sz w:val="18"/>
          </w:rPr>
          <w:t>.</w:t>
        </w:r>
      </w:hyperlink>
      <w:r>
        <w:rPr>
          <w:sz w:val="18"/>
        </w:rPr>
        <w:t xml:space="preserve"> </w:t>
      </w:r>
      <w:bookmarkStart w:id="453" w:name="_bookmark334"/>
      <w:bookmarkEnd w:id="453"/>
      <w:r>
        <w:rPr>
          <w:position w:val="5"/>
          <w:sz w:val="12"/>
        </w:rPr>
        <w:t>80</w:t>
      </w:r>
      <w:r>
        <w:rPr>
          <w:spacing w:val="18"/>
          <w:position w:val="5"/>
          <w:sz w:val="12"/>
        </w:rPr>
        <w:t xml:space="preserve"> </w:t>
      </w:r>
      <w:r>
        <w:rPr>
          <w:sz w:val="18"/>
        </w:rPr>
        <w:t xml:space="preserve">Mulqueen, Maggie. “Covid’s Mental Health Toll Makes Therapists Hard to Find. Insurance Companies Make It Harder.” </w:t>
      </w:r>
      <w:r>
        <w:rPr>
          <w:i/>
          <w:sz w:val="18"/>
        </w:rPr>
        <w:t xml:space="preserve">NBC News, </w:t>
      </w:r>
      <w:r>
        <w:rPr>
          <w:sz w:val="18"/>
        </w:rPr>
        <w:t xml:space="preserve">December 22, 2021, sec. Health &amp; Technology. </w:t>
      </w:r>
      <w:hyperlink r:id="rId338">
        <w:r>
          <w:rPr>
            <w:color w:val="1154CC"/>
            <w:sz w:val="18"/>
            <w:u w:val="single" w:color="1154CC"/>
          </w:rPr>
          <w:t>https://www.nbcnews.com/think/opinion/covid-s-mental-health-toll-</w:t>
        </w:r>
      </w:hyperlink>
      <w:r>
        <w:rPr>
          <w:color w:val="1154CC"/>
          <w:sz w:val="18"/>
        </w:rPr>
        <w:t xml:space="preserve"> </w:t>
      </w:r>
      <w:hyperlink r:id="rId339">
        <w:r>
          <w:rPr>
            <w:color w:val="1154CC"/>
            <w:spacing w:val="-2"/>
            <w:sz w:val="18"/>
            <w:u w:val="single" w:color="1154CC"/>
          </w:rPr>
          <w:t>makes-therapists-hard-find-insurance-ncna1286502</w:t>
        </w:r>
        <w:r>
          <w:rPr>
            <w:spacing w:val="-2"/>
            <w:sz w:val="18"/>
          </w:rPr>
          <w:t>.</w:t>
        </w:r>
      </w:hyperlink>
    </w:p>
    <w:p w:rsidR="00200FDA" w:rsidRDefault="00F76C4C">
      <w:pPr>
        <w:ind w:left="140"/>
        <w:rPr>
          <w:sz w:val="18"/>
        </w:rPr>
      </w:pPr>
      <w:bookmarkStart w:id="454" w:name="_bookmark335"/>
      <w:bookmarkEnd w:id="454"/>
      <w:r>
        <w:rPr>
          <w:position w:val="5"/>
          <w:sz w:val="12"/>
        </w:rPr>
        <w:t>81</w:t>
      </w:r>
      <w:r>
        <w:rPr>
          <w:spacing w:val="8"/>
          <w:position w:val="5"/>
          <w:sz w:val="12"/>
        </w:rPr>
        <w:t xml:space="preserve"> </w:t>
      </w:r>
      <w:r>
        <w:rPr>
          <w:sz w:val="18"/>
        </w:rPr>
        <w:t>Kazdin,</w:t>
      </w:r>
      <w:r>
        <w:rPr>
          <w:spacing w:val="-2"/>
          <w:sz w:val="18"/>
        </w:rPr>
        <w:t xml:space="preserve"> </w:t>
      </w:r>
      <w:r>
        <w:rPr>
          <w:sz w:val="18"/>
        </w:rPr>
        <w:t>Alan</w:t>
      </w:r>
      <w:r>
        <w:rPr>
          <w:spacing w:val="-3"/>
          <w:sz w:val="18"/>
        </w:rPr>
        <w:t xml:space="preserve"> </w:t>
      </w:r>
      <w:r>
        <w:rPr>
          <w:sz w:val="18"/>
        </w:rPr>
        <w:t>E.</w:t>
      </w:r>
      <w:r>
        <w:rPr>
          <w:spacing w:val="-2"/>
          <w:sz w:val="18"/>
        </w:rPr>
        <w:t xml:space="preserve"> </w:t>
      </w:r>
      <w:r>
        <w:rPr>
          <w:sz w:val="18"/>
        </w:rPr>
        <w:t>“Annual</w:t>
      </w:r>
      <w:r>
        <w:rPr>
          <w:spacing w:val="-3"/>
          <w:sz w:val="18"/>
        </w:rPr>
        <w:t xml:space="preserve"> </w:t>
      </w:r>
      <w:r>
        <w:rPr>
          <w:sz w:val="18"/>
        </w:rPr>
        <w:t>Research Review:</w:t>
      </w:r>
      <w:r>
        <w:rPr>
          <w:spacing w:val="-2"/>
          <w:sz w:val="18"/>
        </w:rPr>
        <w:t xml:space="preserve"> </w:t>
      </w:r>
      <w:r>
        <w:rPr>
          <w:sz w:val="18"/>
        </w:rPr>
        <w:t>Expanding</w:t>
      </w:r>
      <w:r>
        <w:rPr>
          <w:spacing w:val="-3"/>
          <w:sz w:val="18"/>
        </w:rPr>
        <w:t xml:space="preserve"> </w:t>
      </w:r>
      <w:r>
        <w:rPr>
          <w:sz w:val="18"/>
        </w:rPr>
        <w:t>Mental</w:t>
      </w:r>
      <w:r>
        <w:rPr>
          <w:spacing w:val="-3"/>
          <w:sz w:val="18"/>
        </w:rPr>
        <w:t xml:space="preserve"> </w:t>
      </w:r>
      <w:r>
        <w:rPr>
          <w:sz w:val="18"/>
        </w:rPr>
        <w:t>Health</w:t>
      </w:r>
      <w:r>
        <w:rPr>
          <w:spacing w:val="-3"/>
          <w:sz w:val="18"/>
        </w:rPr>
        <w:t xml:space="preserve"> </w:t>
      </w:r>
      <w:r>
        <w:rPr>
          <w:sz w:val="18"/>
        </w:rPr>
        <w:t>Services</w:t>
      </w:r>
      <w:r>
        <w:rPr>
          <w:spacing w:val="-2"/>
          <w:sz w:val="18"/>
        </w:rPr>
        <w:t xml:space="preserve"> </w:t>
      </w:r>
      <w:r>
        <w:rPr>
          <w:sz w:val="18"/>
        </w:rPr>
        <w:t>through</w:t>
      </w:r>
      <w:r>
        <w:rPr>
          <w:spacing w:val="-3"/>
          <w:sz w:val="18"/>
        </w:rPr>
        <w:t xml:space="preserve"> </w:t>
      </w:r>
      <w:r>
        <w:rPr>
          <w:sz w:val="18"/>
        </w:rPr>
        <w:t>Novel</w:t>
      </w:r>
      <w:r>
        <w:rPr>
          <w:spacing w:val="-3"/>
          <w:sz w:val="18"/>
        </w:rPr>
        <w:t xml:space="preserve"> </w:t>
      </w:r>
      <w:r>
        <w:rPr>
          <w:sz w:val="18"/>
        </w:rPr>
        <w:t>Models</w:t>
      </w:r>
      <w:r>
        <w:rPr>
          <w:spacing w:val="-1"/>
          <w:sz w:val="18"/>
        </w:rPr>
        <w:t xml:space="preserve"> </w:t>
      </w:r>
      <w:r>
        <w:rPr>
          <w:sz w:val="18"/>
        </w:rPr>
        <w:t>of</w:t>
      </w:r>
      <w:r>
        <w:rPr>
          <w:spacing w:val="-2"/>
          <w:sz w:val="18"/>
        </w:rPr>
        <w:t xml:space="preserve"> </w:t>
      </w:r>
      <w:r>
        <w:rPr>
          <w:sz w:val="18"/>
        </w:rPr>
        <w:t>Intervention</w:t>
      </w:r>
      <w:r>
        <w:rPr>
          <w:spacing w:val="-2"/>
          <w:sz w:val="18"/>
        </w:rPr>
        <w:t xml:space="preserve"> Delivery.”</w:t>
      </w:r>
    </w:p>
    <w:p w:rsidR="00200FDA" w:rsidRDefault="00F76C4C">
      <w:pPr>
        <w:spacing w:line="219" w:lineRule="exact"/>
        <w:ind w:left="140"/>
        <w:rPr>
          <w:sz w:val="18"/>
        </w:rPr>
      </w:pPr>
      <w:r>
        <w:rPr>
          <w:i/>
          <w:sz w:val="18"/>
        </w:rPr>
        <w:t>Journal</w:t>
      </w:r>
      <w:r>
        <w:rPr>
          <w:i/>
          <w:spacing w:val="-5"/>
          <w:sz w:val="18"/>
        </w:rPr>
        <w:t xml:space="preserve"> </w:t>
      </w:r>
      <w:r>
        <w:rPr>
          <w:i/>
          <w:sz w:val="18"/>
        </w:rPr>
        <w:t>of</w:t>
      </w:r>
      <w:r>
        <w:rPr>
          <w:i/>
          <w:spacing w:val="-2"/>
          <w:sz w:val="18"/>
        </w:rPr>
        <w:t xml:space="preserve"> </w:t>
      </w:r>
      <w:r>
        <w:rPr>
          <w:i/>
          <w:sz w:val="18"/>
        </w:rPr>
        <w:t>Child</w:t>
      </w:r>
      <w:r>
        <w:rPr>
          <w:i/>
          <w:spacing w:val="-1"/>
          <w:sz w:val="18"/>
        </w:rPr>
        <w:t xml:space="preserve"> </w:t>
      </w:r>
      <w:r>
        <w:rPr>
          <w:i/>
          <w:sz w:val="18"/>
        </w:rPr>
        <w:t>Psychology</w:t>
      </w:r>
      <w:r>
        <w:rPr>
          <w:i/>
          <w:spacing w:val="-1"/>
          <w:sz w:val="18"/>
        </w:rPr>
        <w:t xml:space="preserve"> </w:t>
      </w:r>
      <w:r>
        <w:rPr>
          <w:i/>
          <w:sz w:val="18"/>
        </w:rPr>
        <w:t>and</w:t>
      </w:r>
      <w:r>
        <w:rPr>
          <w:i/>
          <w:spacing w:val="-1"/>
          <w:sz w:val="18"/>
        </w:rPr>
        <w:t xml:space="preserve"> </w:t>
      </w:r>
      <w:r>
        <w:rPr>
          <w:i/>
          <w:sz w:val="18"/>
        </w:rPr>
        <w:t>Psychiatry</w:t>
      </w:r>
      <w:r>
        <w:rPr>
          <w:i/>
          <w:spacing w:val="-1"/>
          <w:sz w:val="18"/>
        </w:rPr>
        <w:t xml:space="preserve"> </w:t>
      </w:r>
      <w:r>
        <w:rPr>
          <w:sz w:val="18"/>
        </w:rPr>
        <w:t>60,</w:t>
      </w:r>
      <w:r>
        <w:rPr>
          <w:spacing w:val="-1"/>
          <w:sz w:val="18"/>
        </w:rPr>
        <w:t xml:space="preserve"> </w:t>
      </w:r>
      <w:r>
        <w:rPr>
          <w:sz w:val="18"/>
        </w:rPr>
        <w:t>no.</w:t>
      </w:r>
      <w:r>
        <w:rPr>
          <w:spacing w:val="-2"/>
          <w:sz w:val="18"/>
        </w:rPr>
        <w:t xml:space="preserve"> </w:t>
      </w:r>
      <w:r>
        <w:rPr>
          <w:sz w:val="18"/>
        </w:rPr>
        <w:t>4</w:t>
      </w:r>
      <w:r>
        <w:rPr>
          <w:spacing w:val="-2"/>
          <w:sz w:val="18"/>
        </w:rPr>
        <w:t xml:space="preserve"> </w:t>
      </w:r>
      <w:r>
        <w:rPr>
          <w:sz w:val="18"/>
        </w:rPr>
        <w:t>(April</w:t>
      </w:r>
      <w:r>
        <w:rPr>
          <w:spacing w:val="-3"/>
          <w:sz w:val="18"/>
        </w:rPr>
        <w:t xml:space="preserve"> </w:t>
      </w:r>
      <w:r>
        <w:rPr>
          <w:sz w:val="18"/>
        </w:rPr>
        <w:t>2019):</w:t>
      </w:r>
      <w:r>
        <w:rPr>
          <w:spacing w:val="-2"/>
          <w:sz w:val="18"/>
        </w:rPr>
        <w:t xml:space="preserve"> </w:t>
      </w:r>
      <w:r>
        <w:rPr>
          <w:sz w:val="18"/>
        </w:rPr>
        <w:t>455–72.</w:t>
      </w:r>
      <w:r>
        <w:rPr>
          <w:spacing w:val="-1"/>
          <w:sz w:val="18"/>
        </w:rPr>
        <w:t xml:space="preserve"> </w:t>
      </w:r>
      <w:hyperlink r:id="rId340">
        <w:r>
          <w:rPr>
            <w:color w:val="1154CC"/>
            <w:spacing w:val="-2"/>
            <w:sz w:val="18"/>
            <w:u w:val="single" w:color="1154CC"/>
          </w:rPr>
          <w:t>https://doi.org/10.1111/jcpp.12937</w:t>
        </w:r>
        <w:r>
          <w:rPr>
            <w:spacing w:val="-2"/>
            <w:sz w:val="18"/>
          </w:rPr>
          <w:t>.</w:t>
        </w:r>
      </w:hyperlink>
    </w:p>
    <w:p w:rsidR="00200FDA" w:rsidRDefault="00F76C4C">
      <w:pPr>
        <w:ind w:left="140" w:hanging="1"/>
        <w:rPr>
          <w:sz w:val="18"/>
        </w:rPr>
      </w:pPr>
      <w:bookmarkStart w:id="455" w:name="_bookmark336"/>
      <w:bookmarkEnd w:id="455"/>
      <w:r>
        <w:rPr>
          <w:position w:val="5"/>
          <w:sz w:val="12"/>
        </w:rPr>
        <w:t>82</w:t>
      </w:r>
      <w:r>
        <w:rPr>
          <w:spacing w:val="12"/>
          <w:position w:val="5"/>
          <w:sz w:val="12"/>
        </w:rPr>
        <w:t xml:space="preserve"> </w:t>
      </w:r>
      <w:r>
        <w:rPr>
          <w:sz w:val="18"/>
        </w:rPr>
        <w:t>Willging, Cathleen</w:t>
      </w:r>
      <w:r>
        <w:rPr>
          <w:spacing w:val="-1"/>
          <w:sz w:val="18"/>
        </w:rPr>
        <w:t xml:space="preserve"> </w:t>
      </w:r>
      <w:r>
        <w:rPr>
          <w:sz w:val="18"/>
        </w:rPr>
        <w:t>E., Tania Israel, David</w:t>
      </w:r>
      <w:r>
        <w:rPr>
          <w:spacing w:val="-1"/>
          <w:sz w:val="18"/>
        </w:rPr>
        <w:t xml:space="preserve"> </w:t>
      </w:r>
      <w:r>
        <w:rPr>
          <w:sz w:val="18"/>
        </w:rPr>
        <w:t>Ley, Elise</w:t>
      </w:r>
      <w:r>
        <w:rPr>
          <w:spacing w:val="-1"/>
          <w:sz w:val="18"/>
        </w:rPr>
        <w:t xml:space="preserve"> </w:t>
      </w:r>
      <w:r>
        <w:rPr>
          <w:sz w:val="18"/>
        </w:rPr>
        <w:t>M. Trott, Catherine</w:t>
      </w:r>
      <w:r>
        <w:rPr>
          <w:spacing w:val="-1"/>
          <w:sz w:val="18"/>
        </w:rPr>
        <w:t xml:space="preserve"> </w:t>
      </w:r>
      <w:r>
        <w:rPr>
          <w:sz w:val="18"/>
        </w:rPr>
        <w:t>DeMaria, Aaron</w:t>
      </w:r>
      <w:r>
        <w:rPr>
          <w:spacing w:val="-1"/>
          <w:sz w:val="18"/>
        </w:rPr>
        <w:t xml:space="preserve"> </w:t>
      </w:r>
      <w:r>
        <w:rPr>
          <w:sz w:val="18"/>
        </w:rPr>
        <w:t>Joplin, and Verida Smiley. “Coaching Mental</w:t>
      </w:r>
      <w:r>
        <w:rPr>
          <w:spacing w:val="-3"/>
          <w:sz w:val="18"/>
        </w:rPr>
        <w:t xml:space="preserve"> </w:t>
      </w:r>
      <w:r>
        <w:rPr>
          <w:sz w:val="18"/>
        </w:rPr>
        <w:t>Health</w:t>
      </w:r>
      <w:r>
        <w:rPr>
          <w:spacing w:val="-3"/>
          <w:sz w:val="18"/>
        </w:rPr>
        <w:t xml:space="preserve"> </w:t>
      </w:r>
      <w:r>
        <w:rPr>
          <w:sz w:val="18"/>
        </w:rPr>
        <w:t>Peer Advocates</w:t>
      </w:r>
      <w:r>
        <w:rPr>
          <w:spacing w:val="-3"/>
          <w:sz w:val="18"/>
        </w:rPr>
        <w:t xml:space="preserve"> </w:t>
      </w:r>
      <w:r>
        <w:rPr>
          <w:sz w:val="18"/>
        </w:rPr>
        <w:t>for</w:t>
      </w:r>
      <w:r>
        <w:rPr>
          <w:spacing w:val="-3"/>
          <w:sz w:val="18"/>
        </w:rPr>
        <w:t xml:space="preserve"> </w:t>
      </w:r>
      <w:r>
        <w:rPr>
          <w:sz w:val="18"/>
        </w:rPr>
        <w:t>Rural</w:t>
      </w:r>
      <w:r>
        <w:rPr>
          <w:spacing w:val="-3"/>
          <w:sz w:val="18"/>
        </w:rPr>
        <w:t xml:space="preserve"> </w:t>
      </w:r>
      <w:r>
        <w:rPr>
          <w:sz w:val="18"/>
        </w:rPr>
        <w:t>LGBTQ</w:t>
      </w:r>
      <w:r>
        <w:rPr>
          <w:spacing w:val="-3"/>
          <w:sz w:val="18"/>
        </w:rPr>
        <w:t xml:space="preserve"> </w:t>
      </w:r>
      <w:r>
        <w:rPr>
          <w:sz w:val="18"/>
        </w:rPr>
        <w:t>People.”</w:t>
      </w:r>
      <w:r>
        <w:rPr>
          <w:spacing w:val="-4"/>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Gay</w:t>
      </w:r>
      <w:r>
        <w:rPr>
          <w:i/>
          <w:spacing w:val="-1"/>
          <w:sz w:val="18"/>
        </w:rPr>
        <w:t xml:space="preserve"> </w:t>
      </w:r>
      <w:r>
        <w:rPr>
          <w:i/>
          <w:sz w:val="18"/>
        </w:rPr>
        <w:t>&amp;</w:t>
      </w:r>
      <w:r>
        <w:rPr>
          <w:i/>
          <w:spacing w:val="-3"/>
          <w:sz w:val="18"/>
        </w:rPr>
        <w:t xml:space="preserve"> </w:t>
      </w:r>
      <w:r>
        <w:rPr>
          <w:i/>
          <w:sz w:val="18"/>
        </w:rPr>
        <w:t>Lesbian</w:t>
      </w:r>
      <w:r>
        <w:rPr>
          <w:i/>
          <w:spacing w:val="-1"/>
          <w:sz w:val="18"/>
        </w:rPr>
        <w:t xml:space="preserve"> </w:t>
      </w:r>
      <w:r>
        <w:rPr>
          <w:i/>
          <w:sz w:val="18"/>
        </w:rPr>
        <w:t>Mental</w:t>
      </w:r>
      <w:r>
        <w:rPr>
          <w:i/>
          <w:spacing w:val="-3"/>
          <w:sz w:val="18"/>
        </w:rPr>
        <w:t xml:space="preserve"> </w:t>
      </w:r>
      <w:r>
        <w:rPr>
          <w:i/>
          <w:sz w:val="18"/>
        </w:rPr>
        <w:t>Health</w:t>
      </w:r>
      <w:r>
        <w:rPr>
          <w:i/>
          <w:spacing w:val="-1"/>
          <w:sz w:val="18"/>
        </w:rPr>
        <w:t xml:space="preserve"> </w:t>
      </w:r>
      <w:r>
        <w:rPr>
          <w:sz w:val="18"/>
        </w:rPr>
        <w:t>20,</w:t>
      </w:r>
      <w:r>
        <w:rPr>
          <w:spacing w:val="-4"/>
          <w:sz w:val="18"/>
        </w:rPr>
        <w:t xml:space="preserve"> </w:t>
      </w:r>
      <w:r>
        <w:rPr>
          <w:sz w:val="18"/>
        </w:rPr>
        <w:t>no.</w:t>
      </w:r>
      <w:r>
        <w:rPr>
          <w:spacing w:val="-2"/>
          <w:sz w:val="18"/>
        </w:rPr>
        <w:t xml:space="preserve"> </w:t>
      </w:r>
      <w:r>
        <w:rPr>
          <w:sz w:val="18"/>
        </w:rPr>
        <w:t>3</w:t>
      </w:r>
      <w:r>
        <w:rPr>
          <w:spacing w:val="-2"/>
          <w:sz w:val="18"/>
        </w:rPr>
        <w:t xml:space="preserve"> </w:t>
      </w:r>
      <w:r>
        <w:rPr>
          <w:sz w:val="18"/>
        </w:rPr>
        <w:t>(July</w:t>
      </w:r>
      <w:r>
        <w:rPr>
          <w:spacing w:val="-2"/>
          <w:sz w:val="18"/>
        </w:rPr>
        <w:t xml:space="preserve"> </w:t>
      </w:r>
      <w:r>
        <w:rPr>
          <w:sz w:val="18"/>
        </w:rPr>
        <w:t>2,</w:t>
      </w:r>
      <w:r>
        <w:rPr>
          <w:spacing w:val="-2"/>
          <w:sz w:val="18"/>
        </w:rPr>
        <w:t xml:space="preserve"> </w:t>
      </w:r>
      <w:r>
        <w:rPr>
          <w:sz w:val="18"/>
        </w:rPr>
        <w:t>2016):</w:t>
      </w:r>
      <w:r>
        <w:rPr>
          <w:spacing w:val="-2"/>
          <w:sz w:val="18"/>
        </w:rPr>
        <w:t xml:space="preserve"> </w:t>
      </w:r>
      <w:r>
        <w:rPr>
          <w:sz w:val="18"/>
        </w:rPr>
        <w:t>214–</w:t>
      </w:r>
    </w:p>
    <w:p w:rsidR="00200FDA" w:rsidRDefault="00F76C4C">
      <w:pPr>
        <w:spacing w:line="219" w:lineRule="exact"/>
        <w:ind w:left="140"/>
        <w:rPr>
          <w:sz w:val="18"/>
        </w:rPr>
      </w:pPr>
      <w:r>
        <w:rPr>
          <w:sz w:val="18"/>
        </w:rPr>
        <w:t xml:space="preserve">36. </w:t>
      </w:r>
      <w:hyperlink r:id="rId341">
        <w:r>
          <w:rPr>
            <w:color w:val="1154CC"/>
            <w:spacing w:val="-2"/>
            <w:sz w:val="18"/>
            <w:u w:val="single" w:color="1154CC"/>
          </w:rPr>
          <w:t>https://doi.org/10.1080/19359705.2016.1166469</w:t>
        </w:r>
        <w:r>
          <w:rPr>
            <w:spacing w:val="-2"/>
            <w:sz w:val="18"/>
          </w:rPr>
          <w:t>.</w:t>
        </w:r>
      </w:hyperlink>
    </w:p>
    <w:p w:rsidR="00200FDA" w:rsidRDefault="00F76C4C">
      <w:pPr>
        <w:ind w:left="140" w:right="305" w:hanging="1"/>
        <w:rPr>
          <w:sz w:val="18"/>
        </w:rPr>
      </w:pPr>
      <w:bookmarkStart w:id="456" w:name="_bookmark337"/>
      <w:bookmarkEnd w:id="456"/>
      <w:r>
        <w:rPr>
          <w:position w:val="5"/>
          <w:sz w:val="12"/>
        </w:rPr>
        <w:t>83</w:t>
      </w:r>
      <w:r>
        <w:rPr>
          <w:spacing w:val="17"/>
          <w:position w:val="5"/>
          <w:sz w:val="12"/>
        </w:rPr>
        <w:t xml:space="preserve"> </w:t>
      </w:r>
      <w:r>
        <w:rPr>
          <w:sz w:val="18"/>
        </w:rPr>
        <w:t>Noel, Lailea, Qi Chen, Liana J. Petruzzi, Farya Phillips, Ricardo Garay, Carmen Valdez, María P. Aranda, and Barbara Jones. “Interprofessional</w:t>
      </w:r>
      <w:r>
        <w:rPr>
          <w:spacing w:val="-4"/>
          <w:sz w:val="18"/>
        </w:rPr>
        <w:t xml:space="preserve"> </w:t>
      </w:r>
      <w:r>
        <w:rPr>
          <w:sz w:val="18"/>
        </w:rPr>
        <w:t>Collaboration</w:t>
      </w:r>
      <w:r>
        <w:rPr>
          <w:spacing w:val="-2"/>
          <w:sz w:val="18"/>
        </w:rPr>
        <w:t xml:space="preserve"> </w:t>
      </w:r>
      <w:r>
        <w:rPr>
          <w:sz w:val="18"/>
        </w:rPr>
        <w:t>between</w:t>
      </w:r>
      <w:r>
        <w:rPr>
          <w:spacing w:val="-4"/>
          <w:sz w:val="18"/>
        </w:rPr>
        <w:t xml:space="preserve"> </w:t>
      </w:r>
      <w:r>
        <w:rPr>
          <w:sz w:val="18"/>
        </w:rPr>
        <w:t>Social</w:t>
      </w:r>
      <w:r>
        <w:rPr>
          <w:spacing w:val="-4"/>
          <w:sz w:val="18"/>
        </w:rPr>
        <w:t xml:space="preserve"> </w:t>
      </w:r>
      <w:r>
        <w:rPr>
          <w:sz w:val="18"/>
        </w:rPr>
        <w:t>Workers</w:t>
      </w:r>
      <w:r>
        <w:rPr>
          <w:spacing w:val="-4"/>
          <w:sz w:val="18"/>
        </w:rPr>
        <w:t xml:space="preserve"> </w:t>
      </w:r>
      <w:r>
        <w:rPr>
          <w:sz w:val="18"/>
        </w:rPr>
        <w:t>and</w:t>
      </w:r>
      <w:r>
        <w:rPr>
          <w:spacing w:val="-4"/>
          <w:sz w:val="18"/>
        </w:rPr>
        <w:t xml:space="preserve"> </w:t>
      </w:r>
      <w:r>
        <w:rPr>
          <w:sz w:val="18"/>
        </w:rPr>
        <w:t>Community</w:t>
      </w:r>
      <w:r>
        <w:rPr>
          <w:spacing w:val="-3"/>
          <w:sz w:val="18"/>
        </w:rPr>
        <w:t xml:space="preserve"> </w:t>
      </w:r>
      <w:r>
        <w:rPr>
          <w:sz w:val="18"/>
        </w:rPr>
        <w:t>Health</w:t>
      </w:r>
      <w:r>
        <w:rPr>
          <w:spacing w:val="-4"/>
          <w:sz w:val="18"/>
        </w:rPr>
        <w:t xml:space="preserve"> </w:t>
      </w:r>
      <w:r>
        <w:rPr>
          <w:sz w:val="18"/>
        </w:rPr>
        <w:t>Workers</w:t>
      </w:r>
      <w:r>
        <w:rPr>
          <w:spacing w:val="-4"/>
          <w:sz w:val="18"/>
        </w:rPr>
        <w:t xml:space="preserve"> </w:t>
      </w:r>
      <w:r>
        <w:rPr>
          <w:sz w:val="18"/>
        </w:rPr>
        <w:t>to</w:t>
      </w:r>
      <w:r>
        <w:rPr>
          <w:spacing w:val="-2"/>
          <w:sz w:val="18"/>
        </w:rPr>
        <w:t xml:space="preserve"> </w:t>
      </w:r>
      <w:r>
        <w:rPr>
          <w:sz w:val="18"/>
        </w:rPr>
        <w:t>Address</w:t>
      </w:r>
      <w:r>
        <w:rPr>
          <w:spacing w:val="-4"/>
          <w:sz w:val="18"/>
        </w:rPr>
        <w:t xml:space="preserve"> </w:t>
      </w:r>
      <w:r>
        <w:rPr>
          <w:sz w:val="18"/>
        </w:rPr>
        <w:t>Health</w:t>
      </w:r>
      <w:r>
        <w:rPr>
          <w:spacing w:val="-4"/>
          <w:sz w:val="18"/>
        </w:rPr>
        <w:t xml:space="preserve"> </w:t>
      </w:r>
      <w:r>
        <w:rPr>
          <w:sz w:val="18"/>
        </w:rPr>
        <w:t>and</w:t>
      </w:r>
      <w:r>
        <w:rPr>
          <w:spacing w:val="-4"/>
          <w:sz w:val="18"/>
        </w:rPr>
        <w:t xml:space="preserve"> </w:t>
      </w:r>
      <w:r>
        <w:rPr>
          <w:sz w:val="18"/>
        </w:rPr>
        <w:t>Mental</w:t>
      </w:r>
      <w:r>
        <w:rPr>
          <w:spacing w:val="-4"/>
          <w:sz w:val="18"/>
        </w:rPr>
        <w:t xml:space="preserve"> </w:t>
      </w:r>
      <w:r>
        <w:rPr>
          <w:sz w:val="18"/>
        </w:rPr>
        <w:t xml:space="preserve">Health in the United States: A Systematised Review.” </w:t>
      </w:r>
      <w:r>
        <w:rPr>
          <w:i/>
          <w:sz w:val="18"/>
        </w:rPr>
        <w:t xml:space="preserve">Health &amp; Social Care in the Community </w:t>
      </w:r>
      <w:r>
        <w:rPr>
          <w:sz w:val="18"/>
        </w:rPr>
        <w:t xml:space="preserve">30, no. 6 (November 2022). </w:t>
      </w:r>
      <w:hyperlink r:id="rId342">
        <w:r>
          <w:rPr>
            <w:color w:val="1154CC"/>
            <w:spacing w:val="-2"/>
            <w:sz w:val="18"/>
            <w:u w:val="single" w:color="1154CC"/>
          </w:rPr>
          <w:t>https://doi.org/10.1111/hsc.14061</w:t>
        </w:r>
        <w:r>
          <w:rPr>
            <w:spacing w:val="-2"/>
            <w:sz w:val="18"/>
          </w:rPr>
          <w:t>.</w:t>
        </w:r>
      </w:hyperlink>
    </w:p>
    <w:p w:rsidR="00200FDA" w:rsidRDefault="00F76C4C">
      <w:pPr>
        <w:ind w:left="140" w:right="259" w:hanging="1"/>
        <w:rPr>
          <w:sz w:val="18"/>
        </w:rPr>
      </w:pPr>
      <w:bookmarkStart w:id="457" w:name="_bookmark338"/>
      <w:bookmarkEnd w:id="457"/>
      <w:r>
        <w:rPr>
          <w:position w:val="5"/>
          <w:sz w:val="12"/>
        </w:rPr>
        <w:t>84</w:t>
      </w:r>
      <w:r>
        <w:rPr>
          <w:spacing w:val="19"/>
          <w:position w:val="5"/>
          <w:sz w:val="12"/>
        </w:rPr>
        <w:t xml:space="preserve"> </w:t>
      </w:r>
      <w:r>
        <w:rPr>
          <w:sz w:val="18"/>
        </w:rPr>
        <w:t>Goldbach, Jeremy T., Harmony Rhoades, Joshua Rusow, and Peter Karys. “The Development of Proud &amp; Empowered: An Intervention</w:t>
      </w:r>
      <w:r>
        <w:rPr>
          <w:spacing w:val="-3"/>
          <w:sz w:val="18"/>
        </w:rPr>
        <w:t xml:space="preserve"> </w:t>
      </w:r>
      <w:r>
        <w:rPr>
          <w:sz w:val="18"/>
        </w:rPr>
        <w:t>for</w:t>
      </w:r>
      <w:r>
        <w:rPr>
          <w:spacing w:val="-3"/>
          <w:sz w:val="18"/>
        </w:rPr>
        <w:t xml:space="preserve"> </w:t>
      </w:r>
      <w:r>
        <w:rPr>
          <w:sz w:val="18"/>
        </w:rPr>
        <w:t>Promoting</w:t>
      </w:r>
      <w:r>
        <w:rPr>
          <w:spacing w:val="-3"/>
          <w:sz w:val="18"/>
        </w:rPr>
        <w:t xml:space="preserve"> </w:t>
      </w:r>
      <w:r>
        <w:rPr>
          <w:sz w:val="18"/>
        </w:rPr>
        <w:t>LGBTQ</w:t>
      </w:r>
      <w:r>
        <w:rPr>
          <w:spacing w:val="-3"/>
          <w:sz w:val="18"/>
        </w:rPr>
        <w:t xml:space="preserve"> </w:t>
      </w:r>
      <w:r>
        <w:rPr>
          <w:sz w:val="18"/>
        </w:rPr>
        <w:t>Adolescent</w:t>
      </w:r>
      <w:r>
        <w:rPr>
          <w:spacing w:val="-3"/>
          <w:sz w:val="18"/>
        </w:rPr>
        <w:t xml:space="preserve"> </w:t>
      </w:r>
      <w:r>
        <w:rPr>
          <w:sz w:val="18"/>
        </w:rPr>
        <w:t>Mental</w:t>
      </w:r>
      <w:r>
        <w:rPr>
          <w:spacing w:val="-3"/>
          <w:sz w:val="18"/>
        </w:rPr>
        <w:t xml:space="preserve"> </w:t>
      </w:r>
      <w:r>
        <w:rPr>
          <w:sz w:val="18"/>
        </w:rPr>
        <w:t>Health.”</w:t>
      </w:r>
      <w:r>
        <w:rPr>
          <w:spacing w:val="-3"/>
          <w:sz w:val="18"/>
        </w:rPr>
        <w:t xml:space="preserve"> </w:t>
      </w:r>
      <w:r>
        <w:rPr>
          <w:i/>
          <w:sz w:val="18"/>
        </w:rPr>
        <w:t>Child</w:t>
      </w:r>
      <w:r>
        <w:rPr>
          <w:i/>
          <w:spacing w:val="-1"/>
          <w:sz w:val="18"/>
        </w:rPr>
        <w:t xml:space="preserve"> </w:t>
      </w:r>
      <w:r>
        <w:rPr>
          <w:i/>
          <w:sz w:val="18"/>
        </w:rPr>
        <w:t>Psychiatry</w:t>
      </w:r>
      <w:r>
        <w:rPr>
          <w:i/>
          <w:spacing w:val="-1"/>
          <w:sz w:val="18"/>
        </w:rPr>
        <w:t xml:space="preserve"> </w:t>
      </w:r>
      <w:r>
        <w:rPr>
          <w:i/>
          <w:sz w:val="18"/>
        </w:rPr>
        <w:t>&amp;</w:t>
      </w:r>
      <w:r>
        <w:rPr>
          <w:i/>
          <w:spacing w:val="-3"/>
          <w:sz w:val="18"/>
        </w:rPr>
        <w:t xml:space="preserve"> </w:t>
      </w:r>
      <w:r>
        <w:rPr>
          <w:i/>
          <w:sz w:val="18"/>
        </w:rPr>
        <w:t>Human</w:t>
      </w:r>
      <w:r>
        <w:rPr>
          <w:i/>
          <w:spacing w:val="-1"/>
          <w:sz w:val="18"/>
        </w:rPr>
        <w:t xml:space="preserve"> </w:t>
      </w:r>
      <w:r>
        <w:rPr>
          <w:i/>
          <w:sz w:val="18"/>
        </w:rPr>
        <w:t>Development</w:t>
      </w:r>
      <w:r>
        <w:rPr>
          <w:i/>
          <w:spacing w:val="-3"/>
          <w:sz w:val="18"/>
        </w:rPr>
        <w:t xml:space="preserve"> </w:t>
      </w:r>
      <w:r>
        <w:rPr>
          <w:sz w:val="18"/>
        </w:rPr>
        <w:t>54,</w:t>
      </w:r>
      <w:r>
        <w:rPr>
          <w:spacing w:val="-2"/>
          <w:sz w:val="18"/>
        </w:rPr>
        <w:t xml:space="preserve"> </w:t>
      </w:r>
      <w:r>
        <w:rPr>
          <w:sz w:val="18"/>
        </w:rPr>
        <w:t>no.</w:t>
      </w:r>
      <w:r>
        <w:rPr>
          <w:spacing w:val="-2"/>
          <w:sz w:val="18"/>
        </w:rPr>
        <w:t xml:space="preserve"> </w:t>
      </w:r>
      <w:r>
        <w:rPr>
          <w:sz w:val="18"/>
        </w:rPr>
        <w:t>2</w:t>
      </w:r>
      <w:r>
        <w:rPr>
          <w:spacing w:val="-2"/>
          <w:sz w:val="18"/>
        </w:rPr>
        <w:t xml:space="preserve"> </w:t>
      </w:r>
      <w:r>
        <w:rPr>
          <w:sz w:val="18"/>
        </w:rPr>
        <w:t>(April</w:t>
      </w:r>
      <w:r>
        <w:rPr>
          <w:spacing w:val="-3"/>
          <w:sz w:val="18"/>
        </w:rPr>
        <w:t xml:space="preserve"> </w:t>
      </w:r>
      <w:r>
        <w:rPr>
          <w:sz w:val="18"/>
        </w:rPr>
        <w:t>1,</w:t>
      </w:r>
      <w:r>
        <w:rPr>
          <w:spacing w:val="-2"/>
          <w:sz w:val="18"/>
        </w:rPr>
        <w:t xml:space="preserve"> </w:t>
      </w:r>
      <w:r>
        <w:rPr>
          <w:sz w:val="18"/>
        </w:rPr>
        <w:t xml:space="preserve">2023): 481–92. </w:t>
      </w:r>
      <w:hyperlink r:id="rId343">
        <w:r>
          <w:rPr>
            <w:color w:val="1154CC"/>
            <w:sz w:val="18"/>
            <w:u w:val="single" w:color="1154CC"/>
          </w:rPr>
          <w:t>https://doi.org/10.1007/s10578-021-01250-2</w:t>
        </w:r>
        <w:r>
          <w:rPr>
            <w:sz w:val="18"/>
          </w:rPr>
          <w:t>.</w:t>
        </w:r>
      </w:hyperlink>
    </w:p>
    <w:p w:rsidR="00200FDA" w:rsidRDefault="00F76C4C">
      <w:pPr>
        <w:ind w:left="140" w:right="374" w:hanging="1"/>
        <w:jc w:val="both"/>
        <w:rPr>
          <w:sz w:val="18"/>
        </w:rPr>
      </w:pPr>
      <w:bookmarkStart w:id="458" w:name="_bookmark339"/>
      <w:bookmarkEnd w:id="458"/>
      <w:r>
        <w:rPr>
          <w:position w:val="5"/>
          <w:sz w:val="12"/>
        </w:rPr>
        <w:t>85</w:t>
      </w:r>
      <w:r>
        <w:rPr>
          <w:spacing w:val="10"/>
          <w:position w:val="5"/>
          <w:sz w:val="12"/>
        </w:rPr>
        <w:t xml:space="preserve"> </w:t>
      </w:r>
      <w:r>
        <w:rPr>
          <w:sz w:val="18"/>
        </w:rPr>
        <w:t>Jivanjee,</w:t>
      </w:r>
      <w:r>
        <w:rPr>
          <w:spacing w:val="-2"/>
          <w:sz w:val="18"/>
        </w:rPr>
        <w:t xml:space="preserve"> </w:t>
      </w:r>
      <w:r>
        <w:rPr>
          <w:sz w:val="18"/>
        </w:rPr>
        <w:t>Pauline,</w:t>
      </w:r>
      <w:r>
        <w:rPr>
          <w:spacing w:val="-2"/>
          <w:sz w:val="18"/>
        </w:rPr>
        <w:t xml:space="preserve"> </w:t>
      </w:r>
      <w:r>
        <w:rPr>
          <w:sz w:val="18"/>
        </w:rPr>
        <w:t>Leigh</w:t>
      </w:r>
      <w:r>
        <w:rPr>
          <w:spacing w:val="-1"/>
          <w:sz w:val="18"/>
        </w:rPr>
        <w:t xml:space="preserve"> </w:t>
      </w:r>
      <w:r>
        <w:rPr>
          <w:sz w:val="18"/>
        </w:rPr>
        <w:t>Grover,</w:t>
      </w:r>
      <w:r>
        <w:rPr>
          <w:spacing w:val="-2"/>
          <w:sz w:val="18"/>
        </w:rPr>
        <w:t xml:space="preserve"> </w:t>
      </w:r>
      <w:r>
        <w:rPr>
          <w:sz w:val="18"/>
        </w:rPr>
        <w:t>Kristin</w:t>
      </w:r>
      <w:r>
        <w:rPr>
          <w:spacing w:val="-3"/>
          <w:sz w:val="18"/>
        </w:rPr>
        <w:t xml:space="preserve"> </w:t>
      </w:r>
      <w:r>
        <w:rPr>
          <w:sz w:val="18"/>
        </w:rPr>
        <w:t>Thorp,</w:t>
      </w:r>
      <w:r>
        <w:rPr>
          <w:spacing w:val="-2"/>
          <w:sz w:val="18"/>
        </w:rPr>
        <w:t xml:space="preserve"> </w:t>
      </w:r>
      <w:r>
        <w:rPr>
          <w:sz w:val="18"/>
        </w:rPr>
        <w:t>Brie</w:t>
      </w:r>
      <w:r>
        <w:rPr>
          <w:spacing w:val="-3"/>
          <w:sz w:val="18"/>
        </w:rPr>
        <w:t xml:space="preserve"> </w:t>
      </w:r>
      <w:r>
        <w:rPr>
          <w:sz w:val="18"/>
        </w:rPr>
        <w:t>Masselli,</w:t>
      </w:r>
      <w:r>
        <w:rPr>
          <w:spacing w:val="-2"/>
          <w:sz w:val="18"/>
        </w:rPr>
        <w:t xml:space="preserve"> </w:t>
      </w:r>
      <w:r>
        <w:rPr>
          <w:sz w:val="18"/>
        </w:rPr>
        <w:t>Johanna</w:t>
      </w:r>
      <w:r>
        <w:rPr>
          <w:spacing w:val="-2"/>
          <w:sz w:val="18"/>
        </w:rPr>
        <w:t xml:space="preserve"> </w:t>
      </w:r>
      <w:r>
        <w:rPr>
          <w:sz w:val="18"/>
        </w:rPr>
        <w:t>Bergan,</w:t>
      </w:r>
      <w:r>
        <w:rPr>
          <w:spacing w:val="-2"/>
          <w:sz w:val="18"/>
        </w:rPr>
        <w:t xml:space="preserve"> </w:t>
      </w:r>
      <w:r>
        <w:rPr>
          <w:sz w:val="18"/>
        </w:rPr>
        <w:t>and</w:t>
      </w:r>
      <w:r>
        <w:rPr>
          <w:spacing w:val="-3"/>
          <w:sz w:val="18"/>
        </w:rPr>
        <w:t xml:space="preserve"> </w:t>
      </w:r>
      <w:r>
        <w:rPr>
          <w:sz w:val="18"/>
        </w:rPr>
        <w:t>Eileen</w:t>
      </w:r>
      <w:r>
        <w:rPr>
          <w:spacing w:val="-3"/>
          <w:sz w:val="18"/>
        </w:rPr>
        <w:t xml:space="preserve"> </w:t>
      </w:r>
      <w:r>
        <w:rPr>
          <w:sz w:val="18"/>
        </w:rPr>
        <w:t>M.</w:t>
      </w:r>
      <w:r>
        <w:rPr>
          <w:spacing w:val="-2"/>
          <w:sz w:val="18"/>
        </w:rPr>
        <w:t xml:space="preserve"> </w:t>
      </w:r>
      <w:r>
        <w:rPr>
          <w:sz w:val="18"/>
        </w:rPr>
        <w:t>Brennan.</w:t>
      </w:r>
      <w:r>
        <w:rPr>
          <w:spacing w:val="-2"/>
          <w:sz w:val="18"/>
        </w:rPr>
        <w:t xml:space="preserve"> </w:t>
      </w:r>
      <w:r>
        <w:rPr>
          <w:sz w:val="18"/>
        </w:rPr>
        <w:t>“Training</w:t>
      </w:r>
      <w:r>
        <w:rPr>
          <w:spacing w:val="-3"/>
          <w:sz w:val="18"/>
        </w:rPr>
        <w:t xml:space="preserve"> </w:t>
      </w:r>
      <w:r>
        <w:rPr>
          <w:sz w:val="18"/>
        </w:rPr>
        <w:t>Needs</w:t>
      </w:r>
      <w:r>
        <w:rPr>
          <w:spacing w:val="-3"/>
          <w:sz w:val="18"/>
        </w:rPr>
        <w:t xml:space="preserve"> </w:t>
      </w:r>
      <w:r>
        <w:rPr>
          <w:sz w:val="18"/>
        </w:rPr>
        <w:t>of</w:t>
      </w:r>
      <w:r>
        <w:rPr>
          <w:spacing w:val="-2"/>
          <w:sz w:val="18"/>
        </w:rPr>
        <w:t xml:space="preserve"> </w:t>
      </w:r>
      <w:r>
        <w:rPr>
          <w:sz w:val="18"/>
        </w:rPr>
        <w:t>Peer and</w:t>
      </w:r>
      <w:r>
        <w:rPr>
          <w:spacing w:val="-2"/>
          <w:sz w:val="18"/>
        </w:rPr>
        <w:t xml:space="preserve"> </w:t>
      </w:r>
      <w:r>
        <w:rPr>
          <w:sz w:val="18"/>
        </w:rPr>
        <w:t>Non-Peer</w:t>
      </w:r>
      <w:r>
        <w:rPr>
          <w:spacing w:val="-2"/>
          <w:sz w:val="18"/>
        </w:rPr>
        <w:t xml:space="preserve"> </w:t>
      </w:r>
      <w:r>
        <w:rPr>
          <w:sz w:val="18"/>
        </w:rPr>
        <w:t>Transition Service Providers:</w:t>
      </w:r>
      <w:r>
        <w:rPr>
          <w:spacing w:val="-2"/>
          <w:sz w:val="18"/>
        </w:rPr>
        <w:t xml:space="preserve"> </w:t>
      </w:r>
      <w:r>
        <w:rPr>
          <w:sz w:val="18"/>
        </w:rPr>
        <w:t>Results</w:t>
      </w:r>
      <w:r>
        <w:rPr>
          <w:spacing w:val="-2"/>
          <w:sz w:val="18"/>
        </w:rPr>
        <w:t xml:space="preserve"> </w:t>
      </w:r>
      <w:r>
        <w:rPr>
          <w:sz w:val="18"/>
        </w:rPr>
        <w:t>of</w:t>
      </w:r>
      <w:r>
        <w:rPr>
          <w:spacing w:val="-1"/>
          <w:sz w:val="18"/>
        </w:rPr>
        <w:t xml:space="preserve"> </w:t>
      </w:r>
      <w:r>
        <w:rPr>
          <w:sz w:val="18"/>
        </w:rPr>
        <w:t>a</w:t>
      </w:r>
      <w:r>
        <w:rPr>
          <w:spacing w:val="-1"/>
          <w:sz w:val="18"/>
        </w:rPr>
        <w:t xml:space="preserve"> </w:t>
      </w:r>
      <w:r>
        <w:rPr>
          <w:sz w:val="18"/>
        </w:rPr>
        <w:t>National Survey.”</w:t>
      </w:r>
      <w:r>
        <w:rPr>
          <w:spacing w:val="-3"/>
          <w:sz w:val="18"/>
        </w:rPr>
        <w:t xml:space="preserve"> </w:t>
      </w:r>
      <w:r>
        <w:rPr>
          <w:i/>
          <w:sz w:val="18"/>
        </w:rPr>
        <w:t>The</w:t>
      </w:r>
      <w:r>
        <w:rPr>
          <w:i/>
          <w:spacing w:val="-1"/>
          <w:sz w:val="18"/>
        </w:rPr>
        <w:t xml:space="preserve"> </w:t>
      </w:r>
      <w:r>
        <w:rPr>
          <w:i/>
          <w:sz w:val="18"/>
        </w:rPr>
        <w:t>Journal</w:t>
      </w:r>
      <w:r>
        <w:rPr>
          <w:i/>
          <w:spacing w:val="-2"/>
          <w:sz w:val="18"/>
        </w:rPr>
        <w:t xml:space="preserve"> </w:t>
      </w:r>
      <w:r>
        <w:rPr>
          <w:i/>
          <w:sz w:val="18"/>
        </w:rPr>
        <w:t>of</w:t>
      </w:r>
      <w:r>
        <w:rPr>
          <w:i/>
          <w:spacing w:val="-1"/>
          <w:sz w:val="18"/>
        </w:rPr>
        <w:t xml:space="preserve"> </w:t>
      </w:r>
      <w:r>
        <w:rPr>
          <w:i/>
          <w:sz w:val="18"/>
        </w:rPr>
        <w:t>Behavioral</w:t>
      </w:r>
      <w:r>
        <w:rPr>
          <w:i/>
          <w:spacing w:val="-2"/>
          <w:sz w:val="18"/>
        </w:rPr>
        <w:t xml:space="preserve"> </w:t>
      </w:r>
      <w:r>
        <w:rPr>
          <w:i/>
          <w:sz w:val="18"/>
        </w:rPr>
        <w:t>Health Services</w:t>
      </w:r>
      <w:r>
        <w:rPr>
          <w:i/>
          <w:spacing w:val="-2"/>
          <w:sz w:val="18"/>
        </w:rPr>
        <w:t xml:space="preserve"> </w:t>
      </w:r>
      <w:r>
        <w:rPr>
          <w:i/>
          <w:sz w:val="18"/>
        </w:rPr>
        <w:t>&amp;</w:t>
      </w:r>
      <w:r>
        <w:rPr>
          <w:i/>
          <w:spacing w:val="-2"/>
          <w:sz w:val="18"/>
        </w:rPr>
        <w:t xml:space="preserve"> </w:t>
      </w:r>
      <w:r>
        <w:rPr>
          <w:i/>
          <w:sz w:val="18"/>
        </w:rPr>
        <w:t xml:space="preserve">Research </w:t>
      </w:r>
      <w:r>
        <w:rPr>
          <w:sz w:val="18"/>
        </w:rPr>
        <w:t xml:space="preserve">47, no. 1 (January 1, 2020): 4–20. </w:t>
      </w:r>
      <w:hyperlink r:id="rId344">
        <w:r>
          <w:rPr>
            <w:color w:val="1154CC"/>
            <w:sz w:val="18"/>
            <w:u w:val="single" w:color="1154CC"/>
          </w:rPr>
          <w:t>https://doi.org/10.1007/s11414-019-09667-3</w:t>
        </w:r>
        <w:r>
          <w:rPr>
            <w:sz w:val="18"/>
          </w:rPr>
          <w:t>.</w:t>
        </w:r>
      </w:hyperlink>
    </w:p>
    <w:p w:rsidR="00200FDA" w:rsidRDefault="00F76C4C">
      <w:pPr>
        <w:spacing w:line="218" w:lineRule="exact"/>
        <w:ind w:left="140"/>
        <w:jc w:val="both"/>
        <w:rPr>
          <w:sz w:val="18"/>
        </w:rPr>
      </w:pPr>
      <w:bookmarkStart w:id="459" w:name="_bookmark340"/>
      <w:bookmarkEnd w:id="459"/>
      <w:r>
        <w:rPr>
          <w:position w:val="5"/>
          <w:sz w:val="12"/>
        </w:rPr>
        <w:t>86</w:t>
      </w:r>
      <w:r>
        <w:rPr>
          <w:spacing w:val="8"/>
          <w:position w:val="5"/>
          <w:sz w:val="12"/>
        </w:rPr>
        <w:t xml:space="preserve"> </w:t>
      </w:r>
      <w:r>
        <w:rPr>
          <w:sz w:val="18"/>
        </w:rPr>
        <w:t>Marsico,</w:t>
      </w:r>
      <w:r>
        <w:rPr>
          <w:spacing w:val="-2"/>
          <w:sz w:val="18"/>
        </w:rPr>
        <w:t xml:space="preserve"> </w:t>
      </w:r>
      <w:r>
        <w:rPr>
          <w:sz w:val="18"/>
        </w:rPr>
        <w:t>Kristen F.,</w:t>
      </w:r>
      <w:r>
        <w:rPr>
          <w:spacing w:val="-2"/>
          <w:sz w:val="18"/>
        </w:rPr>
        <w:t xml:space="preserve"> </w:t>
      </w:r>
      <w:r>
        <w:rPr>
          <w:sz w:val="18"/>
        </w:rPr>
        <w:t>Cixin</w:t>
      </w:r>
      <w:r>
        <w:rPr>
          <w:spacing w:val="-2"/>
          <w:sz w:val="18"/>
        </w:rPr>
        <w:t xml:space="preserve"> </w:t>
      </w:r>
      <w:r>
        <w:rPr>
          <w:sz w:val="18"/>
        </w:rPr>
        <w:t>Wang,</w:t>
      </w:r>
      <w:r>
        <w:rPr>
          <w:spacing w:val="1"/>
          <w:sz w:val="18"/>
        </w:rPr>
        <w:t xml:space="preserve"> </w:t>
      </w:r>
      <w:r>
        <w:rPr>
          <w:sz w:val="18"/>
        </w:rPr>
        <w:t>and</w:t>
      </w:r>
      <w:r>
        <w:rPr>
          <w:spacing w:val="-2"/>
          <w:sz w:val="18"/>
        </w:rPr>
        <w:t xml:space="preserve"> </w:t>
      </w:r>
      <w:r>
        <w:rPr>
          <w:sz w:val="18"/>
        </w:rPr>
        <w:t>Jia</w:t>
      </w:r>
      <w:r>
        <w:rPr>
          <w:spacing w:val="-2"/>
          <w:sz w:val="18"/>
        </w:rPr>
        <w:t xml:space="preserve"> </w:t>
      </w:r>
      <w:r>
        <w:rPr>
          <w:sz w:val="18"/>
        </w:rPr>
        <w:t>Li</w:t>
      </w:r>
      <w:r>
        <w:rPr>
          <w:spacing w:val="-2"/>
          <w:sz w:val="18"/>
        </w:rPr>
        <w:t xml:space="preserve"> </w:t>
      </w:r>
      <w:r>
        <w:rPr>
          <w:sz w:val="18"/>
        </w:rPr>
        <w:t>Liu.</w:t>
      </w:r>
      <w:r>
        <w:rPr>
          <w:spacing w:val="-2"/>
          <w:sz w:val="18"/>
        </w:rPr>
        <w:t xml:space="preserve"> </w:t>
      </w:r>
      <w:r>
        <w:rPr>
          <w:sz w:val="18"/>
        </w:rPr>
        <w:t>“Effectiveness</w:t>
      </w:r>
      <w:r>
        <w:rPr>
          <w:spacing w:val="-2"/>
          <w:sz w:val="18"/>
        </w:rPr>
        <w:t xml:space="preserve"> </w:t>
      </w:r>
      <w:r>
        <w:rPr>
          <w:sz w:val="18"/>
        </w:rPr>
        <w:t>of</w:t>
      </w:r>
      <w:r>
        <w:rPr>
          <w:spacing w:val="-2"/>
          <w:sz w:val="18"/>
        </w:rPr>
        <w:t xml:space="preserve"> </w:t>
      </w:r>
      <w:r>
        <w:rPr>
          <w:sz w:val="18"/>
        </w:rPr>
        <w:t>Youth</w:t>
      </w:r>
      <w:r>
        <w:rPr>
          <w:spacing w:val="-2"/>
          <w:sz w:val="18"/>
        </w:rPr>
        <w:t xml:space="preserve"> </w:t>
      </w:r>
      <w:r>
        <w:rPr>
          <w:sz w:val="18"/>
        </w:rPr>
        <w:t>Mental</w:t>
      </w:r>
      <w:r>
        <w:rPr>
          <w:spacing w:val="-3"/>
          <w:sz w:val="18"/>
        </w:rPr>
        <w:t xml:space="preserve"> </w:t>
      </w:r>
      <w:r>
        <w:rPr>
          <w:sz w:val="18"/>
        </w:rPr>
        <w:t>Health</w:t>
      </w:r>
      <w:r>
        <w:rPr>
          <w:spacing w:val="-2"/>
          <w:sz w:val="18"/>
        </w:rPr>
        <w:t xml:space="preserve"> </w:t>
      </w:r>
      <w:r>
        <w:rPr>
          <w:sz w:val="18"/>
        </w:rPr>
        <w:t>First</w:t>
      </w:r>
      <w:r>
        <w:rPr>
          <w:spacing w:val="-3"/>
          <w:sz w:val="18"/>
        </w:rPr>
        <w:t xml:space="preserve"> </w:t>
      </w:r>
      <w:r>
        <w:rPr>
          <w:sz w:val="18"/>
        </w:rPr>
        <w:t>Aid</w:t>
      </w:r>
      <w:r>
        <w:rPr>
          <w:spacing w:val="-2"/>
          <w:sz w:val="18"/>
        </w:rPr>
        <w:t xml:space="preserve"> </w:t>
      </w:r>
      <w:r>
        <w:rPr>
          <w:sz w:val="18"/>
        </w:rPr>
        <w:t>Training</w:t>
      </w:r>
      <w:r>
        <w:rPr>
          <w:spacing w:val="-3"/>
          <w:sz w:val="18"/>
        </w:rPr>
        <w:t xml:space="preserve"> </w:t>
      </w:r>
      <w:r>
        <w:rPr>
          <w:sz w:val="18"/>
        </w:rPr>
        <w:t>for</w:t>
      </w:r>
      <w:r>
        <w:rPr>
          <w:spacing w:val="-2"/>
          <w:sz w:val="18"/>
        </w:rPr>
        <w:t xml:space="preserve"> </w:t>
      </w:r>
      <w:r>
        <w:rPr>
          <w:sz w:val="18"/>
        </w:rPr>
        <w:t>Parents</w:t>
      </w:r>
      <w:r>
        <w:rPr>
          <w:spacing w:val="-3"/>
          <w:sz w:val="18"/>
        </w:rPr>
        <w:t xml:space="preserve"> </w:t>
      </w:r>
      <w:r>
        <w:rPr>
          <w:sz w:val="18"/>
        </w:rPr>
        <w:t>at</w:t>
      </w:r>
      <w:r>
        <w:rPr>
          <w:spacing w:val="1"/>
          <w:sz w:val="18"/>
        </w:rPr>
        <w:t xml:space="preserve"> </w:t>
      </w:r>
      <w:r>
        <w:rPr>
          <w:spacing w:val="-2"/>
          <w:sz w:val="18"/>
        </w:rPr>
        <w:t>School.”</w:t>
      </w:r>
    </w:p>
    <w:p w:rsidR="00200FDA" w:rsidRDefault="00F76C4C">
      <w:pPr>
        <w:spacing w:before="1" w:line="219" w:lineRule="exact"/>
        <w:ind w:left="140"/>
        <w:jc w:val="both"/>
        <w:rPr>
          <w:sz w:val="18"/>
        </w:rPr>
      </w:pPr>
      <w:r>
        <w:rPr>
          <w:i/>
          <w:sz w:val="18"/>
        </w:rPr>
        <w:t>Psychology</w:t>
      </w:r>
      <w:r>
        <w:rPr>
          <w:i/>
          <w:spacing w:val="-3"/>
          <w:sz w:val="18"/>
        </w:rPr>
        <w:t xml:space="preserve"> </w:t>
      </w:r>
      <w:r>
        <w:rPr>
          <w:i/>
          <w:sz w:val="18"/>
        </w:rPr>
        <w:t>in</w:t>
      </w:r>
      <w:r>
        <w:rPr>
          <w:i/>
          <w:spacing w:val="-1"/>
          <w:sz w:val="18"/>
        </w:rPr>
        <w:t xml:space="preserve"> </w:t>
      </w:r>
      <w:r>
        <w:rPr>
          <w:i/>
          <w:sz w:val="18"/>
        </w:rPr>
        <w:t>the</w:t>
      </w:r>
      <w:r>
        <w:rPr>
          <w:i/>
          <w:spacing w:val="-2"/>
          <w:sz w:val="18"/>
        </w:rPr>
        <w:t xml:space="preserve"> </w:t>
      </w:r>
      <w:r>
        <w:rPr>
          <w:i/>
          <w:sz w:val="18"/>
        </w:rPr>
        <w:t>Schools</w:t>
      </w:r>
      <w:r>
        <w:rPr>
          <w:i/>
          <w:spacing w:val="-2"/>
          <w:sz w:val="18"/>
        </w:rPr>
        <w:t xml:space="preserve"> </w:t>
      </w:r>
      <w:r>
        <w:rPr>
          <w:sz w:val="18"/>
        </w:rPr>
        <w:t>59,</w:t>
      </w:r>
      <w:r>
        <w:rPr>
          <w:spacing w:val="-2"/>
          <w:sz w:val="18"/>
        </w:rPr>
        <w:t xml:space="preserve"> </w:t>
      </w:r>
      <w:r>
        <w:rPr>
          <w:sz w:val="18"/>
        </w:rPr>
        <w:t>no.</w:t>
      </w:r>
      <w:r>
        <w:rPr>
          <w:spacing w:val="-2"/>
          <w:sz w:val="18"/>
        </w:rPr>
        <w:t xml:space="preserve"> </w:t>
      </w:r>
      <w:r>
        <w:rPr>
          <w:sz w:val="18"/>
        </w:rPr>
        <w:t>8</w:t>
      </w:r>
      <w:r>
        <w:rPr>
          <w:spacing w:val="-1"/>
          <w:sz w:val="18"/>
        </w:rPr>
        <w:t xml:space="preserve"> </w:t>
      </w:r>
      <w:r>
        <w:rPr>
          <w:sz w:val="18"/>
        </w:rPr>
        <w:t>(August</w:t>
      </w:r>
      <w:r>
        <w:rPr>
          <w:spacing w:val="-3"/>
          <w:sz w:val="18"/>
        </w:rPr>
        <w:t xml:space="preserve"> </w:t>
      </w:r>
      <w:r>
        <w:rPr>
          <w:sz w:val="18"/>
        </w:rPr>
        <w:t>2022):</w:t>
      </w:r>
      <w:r>
        <w:rPr>
          <w:spacing w:val="-2"/>
          <w:sz w:val="18"/>
        </w:rPr>
        <w:t xml:space="preserve"> </w:t>
      </w:r>
      <w:r>
        <w:rPr>
          <w:sz w:val="18"/>
        </w:rPr>
        <w:t>1701–16.</w:t>
      </w:r>
      <w:r>
        <w:rPr>
          <w:spacing w:val="-1"/>
          <w:sz w:val="18"/>
        </w:rPr>
        <w:t xml:space="preserve"> </w:t>
      </w:r>
      <w:hyperlink r:id="rId345">
        <w:r>
          <w:rPr>
            <w:color w:val="1154CC"/>
            <w:spacing w:val="-2"/>
            <w:sz w:val="18"/>
            <w:u w:val="single" w:color="1154CC"/>
          </w:rPr>
          <w:t>https://doi.org/10.1002/pits.22717</w:t>
        </w:r>
        <w:r>
          <w:rPr>
            <w:spacing w:val="-2"/>
            <w:sz w:val="18"/>
          </w:rPr>
          <w:t>.</w:t>
        </w:r>
      </w:hyperlink>
    </w:p>
    <w:p w:rsidR="00200FDA" w:rsidRDefault="00F76C4C">
      <w:pPr>
        <w:ind w:left="139" w:right="432"/>
        <w:rPr>
          <w:sz w:val="18"/>
        </w:rPr>
      </w:pPr>
      <w:bookmarkStart w:id="460" w:name="_bookmark341"/>
      <w:bookmarkEnd w:id="460"/>
      <w:r>
        <w:rPr>
          <w:position w:val="5"/>
          <w:sz w:val="12"/>
        </w:rPr>
        <w:t>87</w:t>
      </w:r>
      <w:r>
        <w:rPr>
          <w:spacing w:val="10"/>
          <w:position w:val="5"/>
          <w:sz w:val="12"/>
        </w:rPr>
        <w:t xml:space="preserve"> </w:t>
      </w:r>
      <w:r>
        <w:rPr>
          <w:sz w:val="18"/>
        </w:rPr>
        <w:t>Fish,</w:t>
      </w:r>
      <w:r>
        <w:rPr>
          <w:spacing w:val="-2"/>
          <w:sz w:val="18"/>
        </w:rPr>
        <w:t xml:space="preserve"> </w:t>
      </w:r>
      <w:r>
        <w:rPr>
          <w:sz w:val="18"/>
        </w:rPr>
        <w:t>Jessica</w:t>
      </w:r>
      <w:r>
        <w:rPr>
          <w:spacing w:val="-2"/>
          <w:sz w:val="18"/>
        </w:rPr>
        <w:t xml:space="preserve"> </w:t>
      </w:r>
      <w:r>
        <w:rPr>
          <w:sz w:val="18"/>
        </w:rPr>
        <w:t>N.</w:t>
      </w:r>
      <w:r>
        <w:rPr>
          <w:spacing w:val="-2"/>
          <w:sz w:val="18"/>
        </w:rPr>
        <w:t xml:space="preserve"> </w:t>
      </w:r>
      <w:r>
        <w:rPr>
          <w:sz w:val="18"/>
        </w:rPr>
        <w:t>“Future</w:t>
      </w:r>
      <w:r>
        <w:rPr>
          <w:spacing w:val="-3"/>
          <w:sz w:val="18"/>
        </w:rPr>
        <w:t xml:space="preserve"> </w:t>
      </w:r>
      <w:r>
        <w:rPr>
          <w:sz w:val="18"/>
        </w:rPr>
        <w:t>Directions</w:t>
      </w:r>
      <w:r>
        <w:rPr>
          <w:spacing w:val="-3"/>
          <w:sz w:val="18"/>
        </w:rPr>
        <w:t xml:space="preserve"> </w:t>
      </w:r>
      <w:r>
        <w:rPr>
          <w:sz w:val="18"/>
        </w:rPr>
        <w:t>in</w:t>
      </w:r>
      <w:r>
        <w:rPr>
          <w:spacing w:val="-3"/>
          <w:sz w:val="18"/>
        </w:rPr>
        <w:t xml:space="preserve"> </w:t>
      </w:r>
      <w:r>
        <w:rPr>
          <w:sz w:val="18"/>
        </w:rPr>
        <w:t>Understanding</w:t>
      </w:r>
      <w:r>
        <w:rPr>
          <w:spacing w:val="-3"/>
          <w:sz w:val="18"/>
        </w:rPr>
        <w:t xml:space="preserve"> </w:t>
      </w:r>
      <w:r>
        <w:rPr>
          <w:sz w:val="18"/>
        </w:rPr>
        <w:t>and</w:t>
      </w:r>
      <w:r>
        <w:rPr>
          <w:spacing w:val="-3"/>
          <w:sz w:val="18"/>
        </w:rPr>
        <w:t xml:space="preserve"> </w:t>
      </w:r>
      <w:r>
        <w:rPr>
          <w:sz w:val="18"/>
        </w:rPr>
        <w:t>Addressing</w:t>
      </w:r>
      <w:r>
        <w:rPr>
          <w:spacing w:val="-3"/>
          <w:sz w:val="18"/>
        </w:rPr>
        <w:t xml:space="preserve"> </w:t>
      </w:r>
      <w:r>
        <w:rPr>
          <w:sz w:val="18"/>
        </w:rPr>
        <w:t>Mental</w:t>
      </w:r>
      <w:r>
        <w:rPr>
          <w:spacing w:val="-3"/>
          <w:sz w:val="18"/>
        </w:rPr>
        <w:t xml:space="preserve"> </w:t>
      </w:r>
      <w:r>
        <w:rPr>
          <w:sz w:val="18"/>
        </w:rPr>
        <w:t>Health</w:t>
      </w:r>
      <w:r>
        <w:rPr>
          <w:spacing w:val="-3"/>
          <w:sz w:val="18"/>
        </w:rPr>
        <w:t xml:space="preserve"> </w:t>
      </w:r>
      <w:r>
        <w:rPr>
          <w:sz w:val="18"/>
        </w:rPr>
        <w:t>among</w:t>
      </w:r>
      <w:r>
        <w:rPr>
          <w:spacing w:val="-3"/>
          <w:sz w:val="18"/>
        </w:rPr>
        <w:t xml:space="preserve"> </w:t>
      </w:r>
      <w:r>
        <w:rPr>
          <w:sz w:val="18"/>
        </w:rPr>
        <w:t>LGBTQ</w:t>
      </w:r>
      <w:r>
        <w:rPr>
          <w:spacing w:val="-3"/>
          <w:sz w:val="18"/>
        </w:rPr>
        <w:t xml:space="preserve"> </w:t>
      </w:r>
      <w:r>
        <w:rPr>
          <w:sz w:val="18"/>
        </w:rPr>
        <w:t>Youth.”</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 xml:space="preserve">Clinical Child &amp; Adolescent Psychology </w:t>
      </w:r>
      <w:r>
        <w:rPr>
          <w:sz w:val="18"/>
        </w:rPr>
        <w:t>49, no. 6 (No</w:t>
      </w:r>
      <w:r>
        <w:rPr>
          <w:sz w:val="18"/>
        </w:rPr>
        <w:t xml:space="preserve">vember 1, 2020): 943–56. </w:t>
      </w:r>
      <w:hyperlink r:id="rId346">
        <w:r>
          <w:rPr>
            <w:color w:val="1154CC"/>
            <w:sz w:val="18"/>
            <w:u w:val="single" w:color="1154CC"/>
          </w:rPr>
          <w:t>https://doi.org/10.1080/15374416.2020.1815207</w:t>
        </w:r>
        <w:r>
          <w:rPr>
            <w:sz w:val="18"/>
          </w:rPr>
          <w:t>.</w:t>
        </w:r>
      </w:hyperlink>
    </w:p>
    <w:p w:rsidR="00200FDA" w:rsidRDefault="00F76C4C">
      <w:pPr>
        <w:spacing w:before="2"/>
        <w:ind w:left="140" w:right="305" w:hanging="1"/>
        <w:rPr>
          <w:sz w:val="18"/>
        </w:rPr>
      </w:pPr>
      <w:bookmarkStart w:id="461" w:name="_bookmark342"/>
      <w:bookmarkEnd w:id="461"/>
      <w:r>
        <w:rPr>
          <w:position w:val="5"/>
          <w:sz w:val="12"/>
        </w:rPr>
        <w:t>88</w:t>
      </w:r>
      <w:r>
        <w:rPr>
          <w:spacing w:val="10"/>
          <w:position w:val="5"/>
          <w:sz w:val="12"/>
        </w:rPr>
        <w:t xml:space="preserve"> </w:t>
      </w:r>
      <w:r>
        <w:rPr>
          <w:sz w:val="18"/>
        </w:rPr>
        <w:t>Richgels,</w:t>
      </w:r>
      <w:r>
        <w:rPr>
          <w:spacing w:val="-2"/>
          <w:sz w:val="18"/>
        </w:rPr>
        <w:t xml:space="preserve"> </w:t>
      </w:r>
      <w:r>
        <w:rPr>
          <w:sz w:val="18"/>
        </w:rPr>
        <w:t>Carrie,</w:t>
      </w:r>
      <w:r>
        <w:rPr>
          <w:spacing w:val="-2"/>
          <w:sz w:val="18"/>
        </w:rPr>
        <w:t xml:space="preserve"> </w:t>
      </w:r>
      <w:r>
        <w:rPr>
          <w:sz w:val="18"/>
        </w:rPr>
        <w:t>Sean</w:t>
      </w:r>
      <w:r>
        <w:rPr>
          <w:spacing w:val="-3"/>
          <w:sz w:val="18"/>
        </w:rPr>
        <w:t xml:space="preserve"> </w:t>
      </w:r>
      <w:r>
        <w:rPr>
          <w:sz w:val="18"/>
        </w:rPr>
        <w:t>Cahill,</w:t>
      </w:r>
      <w:r>
        <w:rPr>
          <w:spacing w:val="-2"/>
          <w:sz w:val="18"/>
        </w:rPr>
        <w:t xml:space="preserve"> </w:t>
      </w:r>
      <w:r>
        <w:rPr>
          <w:sz w:val="18"/>
        </w:rPr>
        <w:t>Julie</w:t>
      </w:r>
      <w:r>
        <w:rPr>
          <w:spacing w:val="-1"/>
          <w:sz w:val="18"/>
        </w:rPr>
        <w:t xml:space="preserve"> </w:t>
      </w:r>
      <w:r>
        <w:rPr>
          <w:sz w:val="18"/>
        </w:rPr>
        <w:t>Thompson,</w:t>
      </w:r>
      <w:r>
        <w:rPr>
          <w:spacing w:val="-2"/>
          <w:sz w:val="18"/>
        </w:rPr>
        <w:t xml:space="preserve"> </w:t>
      </w:r>
      <w:r>
        <w:rPr>
          <w:sz w:val="18"/>
        </w:rPr>
        <w:t>and</w:t>
      </w:r>
      <w:r>
        <w:rPr>
          <w:spacing w:val="-3"/>
          <w:sz w:val="18"/>
        </w:rPr>
        <w:t xml:space="preserve"> </w:t>
      </w:r>
      <w:r>
        <w:rPr>
          <w:sz w:val="18"/>
        </w:rPr>
        <w:t>Mason</w:t>
      </w:r>
      <w:r>
        <w:rPr>
          <w:spacing w:val="-3"/>
          <w:sz w:val="18"/>
        </w:rPr>
        <w:t xml:space="preserve"> </w:t>
      </w:r>
      <w:r>
        <w:rPr>
          <w:sz w:val="18"/>
        </w:rPr>
        <w:t>Dunn.</w:t>
      </w:r>
      <w:r>
        <w:rPr>
          <w:spacing w:val="-2"/>
          <w:sz w:val="18"/>
        </w:rPr>
        <w:t xml:space="preserve"> </w:t>
      </w:r>
      <w:r>
        <w:rPr>
          <w:sz w:val="18"/>
        </w:rPr>
        <w:t>“State</w:t>
      </w:r>
      <w:r>
        <w:rPr>
          <w:spacing w:val="-3"/>
          <w:sz w:val="18"/>
        </w:rPr>
        <w:t xml:space="preserve"> </w:t>
      </w:r>
      <w:r>
        <w:rPr>
          <w:sz w:val="18"/>
        </w:rPr>
        <w:t>Bills</w:t>
      </w:r>
      <w:r>
        <w:rPr>
          <w:spacing w:val="-3"/>
          <w:sz w:val="18"/>
        </w:rPr>
        <w:t xml:space="preserve"> </w:t>
      </w:r>
      <w:r>
        <w:rPr>
          <w:sz w:val="18"/>
        </w:rPr>
        <w:t>Restricting</w:t>
      </w:r>
      <w:r>
        <w:rPr>
          <w:spacing w:val="-3"/>
          <w:sz w:val="18"/>
        </w:rPr>
        <w:t xml:space="preserve"> </w:t>
      </w:r>
      <w:r>
        <w:rPr>
          <w:sz w:val="18"/>
        </w:rPr>
        <w:t>Access</w:t>
      </w:r>
      <w:r>
        <w:rPr>
          <w:spacing w:val="-3"/>
          <w:sz w:val="18"/>
        </w:rPr>
        <w:t xml:space="preserve"> </w:t>
      </w:r>
      <w:r>
        <w:rPr>
          <w:sz w:val="18"/>
        </w:rPr>
        <w:t>of</w:t>
      </w:r>
      <w:r>
        <w:rPr>
          <w:spacing w:val="-2"/>
          <w:sz w:val="18"/>
        </w:rPr>
        <w:t xml:space="preserve"> </w:t>
      </w:r>
      <w:r>
        <w:rPr>
          <w:sz w:val="18"/>
        </w:rPr>
        <w:t>Transgender</w:t>
      </w:r>
      <w:r>
        <w:rPr>
          <w:spacing w:val="-3"/>
          <w:sz w:val="18"/>
        </w:rPr>
        <w:t xml:space="preserve"> </w:t>
      </w:r>
      <w:r>
        <w:rPr>
          <w:sz w:val="18"/>
        </w:rPr>
        <w:t>Youth</w:t>
      </w:r>
      <w:r>
        <w:rPr>
          <w:spacing w:val="-3"/>
          <w:sz w:val="18"/>
        </w:rPr>
        <w:t xml:space="preserve"> </w:t>
      </w:r>
      <w:r>
        <w:rPr>
          <w:sz w:val="18"/>
        </w:rPr>
        <w:t>to</w:t>
      </w:r>
      <w:r>
        <w:rPr>
          <w:spacing w:val="-1"/>
          <w:sz w:val="18"/>
        </w:rPr>
        <w:t xml:space="preserve"> </w:t>
      </w:r>
      <w:r>
        <w:rPr>
          <w:sz w:val="18"/>
        </w:rPr>
        <w:t>Health Care, School Facilities, and School Athletics Threaten Health and Well-Being.” Fenway Health, 2021.</w:t>
      </w:r>
    </w:p>
    <w:p w:rsidR="00200FDA" w:rsidRDefault="00F76C4C">
      <w:pPr>
        <w:tabs>
          <w:tab w:val="left" w:pos="9528"/>
        </w:tabs>
        <w:spacing w:line="219" w:lineRule="exact"/>
        <w:ind w:left="111"/>
        <w:rPr>
          <w:sz w:val="18"/>
        </w:rPr>
      </w:pPr>
      <w:hyperlink r:id="rId347">
        <w:r>
          <w:rPr>
            <w:color w:val="1154CC"/>
            <w:spacing w:val="39"/>
            <w:sz w:val="18"/>
            <w:u w:val="single" w:color="D9D9D9"/>
          </w:rPr>
          <w:t xml:space="preserve">  </w:t>
        </w:r>
        <w:r>
          <w:rPr>
            <w:color w:val="1154CC"/>
            <w:spacing w:val="-2"/>
            <w:sz w:val="18"/>
            <w:u w:val="single" w:color="D9D9D9"/>
          </w:rPr>
          <w:t>https://fenwayhealth.org/wp-content/uploads/Anti-trans-legislation-policy-brief-FINAL.pdf</w:t>
        </w:r>
      </w:hyperlink>
      <w:r>
        <w:rPr>
          <w:spacing w:val="-2"/>
          <w:sz w:val="18"/>
          <w:u w:val="single" w:color="D9D9D9"/>
        </w:rPr>
        <w:t>.</w:t>
      </w:r>
      <w:r>
        <w:rPr>
          <w:sz w:val="18"/>
          <w:u w:val="single" w:color="D9D9D9"/>
        </w:rPr>
        <w:tab/>
      </w:r>
    </w:p>
    <w:p w:rsidR="00200FDA" w:rsidRDefault="00200FDA">
      <w:pPr>
        <w:spacing w:line="219" w:lineRule="exact"/>
        <w:rPr>
          <w:sz w:val="18"/>
        </w:rPr>
        <w:sectPr w:rsidR="00200FDA">
          <w:headerReference w:type="default" r:id="rId348"/>
          <w:footerReference w:type="default" r:id="rId349"/>
          <w:pgSz w:w="12240" w:h="15840"/>
          <w:pgMar w:top="1360" w:right="1180" w:bottom="1320" w:left="1300" w:header="761" w:footer="1132" w:gutter="0"/>
          <w:pgNumType w:start="80"/>
          <w:cols w:space="720"/>
        </w:sectPr>
      </w:pPr>
    </w:p>
    <w:p w:rsidR="00200FDA" w:rsidRDefault="00F76C4C">
      <w:pPr>
        <w:pStyle w:val="BodyText"/>
        <w:spacing w:before="10"/>
        <w:rPr>
          <w:sz w:val="19"/>
        </w:rPr>
      </w:pPr>
      <w:r>
        <w:lastRenderedPageBreak/>
        <w:pict>
          <v:rect id="docshape287" o:spid="_x0000_s1294" style="position:absolute;margin-left:70.55pt;margin-top:717.85pt;width:470.9pt;height:.5pt;z-index:15767552;mso-position-horizontal-relative:page;mso-position-vertical-relative:page" fillcolor="#d9d9d9" stroked="f">
            <w10:wrap anchorx="page" anchory="page"/>
          </v:rect>
        </w:pict>
      </w:r>
    </w:p>
    <w:p w:rsidR="00200FDA" w:rsidRDefault="00F76C4C">
      <w:pPr>
        <w:spacing w:before="69"/>
        <w:ind w:left="140"/>
        <w:rPr>
          <w:sz w:val="18"/>
        </w:rPr>
      </w:pPr>
      <w:bookmarkStart w:id="462" w:name="_bookmark343"/>
      <w:bookmarkEnd w:id="462"/>
      <w:r>
        <w:rPr>
          <w:position w:val="5"/>
          <w:sz w:val="12"/>
        </w:rPr>
        <w:t>89</w:t>
      </w:r>
      <w:r>
        <w:rPr>
          <w:spacing w:val="9"/>
          <w:position w:val="5"/>
          <w:sz w:val="12"/>
        </w:rPr>
        <w:t xml:space="preserve"> </w:t>
      </w:r>
      <w:r>
        <w:rPr>
          <w:sz w:val="18"/>
        </w:rPr>
        <w:t>“Issues</w:t>
      </w:r>
      <w:r>
        <w:rPr>
          <w:spacing w:val="-4"/>
          <w:sz w:val="18"/>
        </w:rPr>
        <w:t xml:space="preserve"> </w:t>
      </w:r>
      <w:r>
        <w:rPr>
          <w:sz w:val="18"/>
        </w:rPr>
        <w:t>Impacting</w:t>
      </w:r>
      <w:r>
        <w:rPr>
          <w:spacing w:val="-4"/>
          <w:sz w:val="18"/>
        </w:rPr>
        <w:t xml:space="preserve"> </w:t>
      </w:r>
      <w:r>
        <w:rPr>
          <w:sz w:val="18"/>
        </w:rPr>
        <w:t>LGBTQ</w:t>
      </w:r>
      <w:r>
        <w:rPr>
          <w:spacing w:val="-4"/>
          <w:sz w:val="18"/>
        </w:rPr>
        <w:t xml:space="preserve"> </w:t>
      </w:r>
      <w:r>
        <w:rPr>
          <w:sz w:val="18"/>
        </w:rPr>
        <w:t>Youth:</w:t>
      </w:r>
      <w:r>
        <w:rPr>
          <w:spacing w:val="-1"/>
          <w:sz w:val="18"/>
        </w:rPr>
        <w:t xml:space="preserve"> </w:t>
      </w:r>
      <w:r>
        <w:rPr>
          <w:sz w:val="18"/>
        </w:rPr>
        <w:t>Polling</w:t>
      </w:r>
      <w:r>
        <w:rPr>
          <w:spacing w:val="-4"/>
          <w:sz w:val="18"/>
        </w:rPr>
        <w:t xml:space="preserve"> </w:t>
      </w:r>
      <w:r>
        <w:rPr>
          <w:sz w:val="18"/>
        </w:rPr>
        <w:t>Analysis.”</w:t>
      </w:r>
      <w:r>
        <w:rPr>
          <w:spacing w:val="-4"/>
          <w:sz w:val="18"/>
        </w:rPr>
        <w:t xml:space="preserve"> </w:t>
      </w:r>
      <w:r>
        <w:rPr>
          <w:sz w:val="18"/>
        </w:rPr>
        <w:t>The</w:t>
      </w:r>
      <w:r>
        <w:rPr>
          <w:spacing w:val="-4"/>
          <w:sz w:val="18"/>
        </w:rPr>
        <w:t xml:space="preserve"> </w:t>
      </w:r>
      <w:r>
        <w:rPr>
          <w:sz w:val="18"/>
        </w:rPr>
        <w:t>Trevor</w:t>
      </w:r>
      <w:r>
        <w:rPr>
          <w:spacing w:val="-4"/>
          <w:sz w:val="18"/>
        </w:rPr>
        <w:t xml:space="preserve"> </w:t>
      </w:r>
      <w:r>
        <w:rPr>
          <w:sz w:val="18"/>
        </w:rPr>
        <w:t>Project,</w:t>
      </w:r>
      <w:r>
        <w:rPr>
          <w:spacing w:val="-3"/>
          <w:sz w:val="18"/>
        </w:rPr>
        <w:t xml:space="preserve"> </w:t>
      </w:r>
      <w:r>
        <w:rPr>
          <w:sz w:val="18"/>
        </w:rPr>
        <w:t>January</w:t>
      </w:r>
      <w:r>
        <w:rPr>
          <w:spacing w:val="-3"/>
          <w:sz w:val="18"/>
        </w:rPr>
        <w:t xml:space="preserve"> </w:t>
      </w:r>
      <w:r>
        <w:rPr>
          <w:sz w:val="18"/>
        </w:rPr>
        <w:t>2022.</w:t>
      </w:r>
      <w:r>
        <w:rPr>
          <w:spacing w:val="-3"/>
          <w:sz w:val="18"/>
        </w:rPr>
        <w:t xml:space="preserve"> </w:t>
      </w:r>
      <w:hyperlink r:id="rId350">
        <w:r>
          <w:rPr>
            <w:color w:val="1154CC"/>
            <w:sz w:val="18"/>
            <w:u w:val="single" w:color="1154CC"/>
          </w:rPr>
          <w:t>https://www.thetrevorproject.org/wp-</w:t>
        </w:r>
      </w:hyperlink>
      <w:r>
        <w:rPr>
          <w:color w:val="1154CC"/>
          <w:sz w:val="18"/>
        </w:rPr>
        <w:t xml:space="preserve"> </w:t>
      </w:r>
      <w:hyperlink r:id="rId351">
        <w:r>
          <w:rPr>
            <w:color w:val="1154CC"/>
            <w:spacing w:val="-2"/>
            <w:sz w:val="18"/>
            <w:u w:val="single" w:color="1154CC"/>
          </w:rPr>
          <w:t>content/upl</w:t>
        </w:r>
        <w:r>
          <w:rPr>
            <w:color w:val="1154CC"/>
            <w:spacing w:val="-2"/>
            <w:sz w:val="18"/>
            <w:u w:val="single" w:color="1154CC"/>
          </w:rPr>
          <w:t>oads/2022/01/TrevorProject_Public1.pdf</w:t>
        </w:r>
        <w:r>
          <w:rPr>
            <w:spacing w:val="-2"/>
            <w:sz w:val="18"/>
          </w:rPr>
          <w:t>.</w:t>
        </w:r>
      </w:hyperlink>
    </w:p>
    <w:p w:rsidR="00200FDA" w:rsidRDefault="00F76C4C">
      <w:pPr>
        <w:ind w:left="139" w:right="674"/>
        <w:rPr>
          <w:sz w:val="18"/>
        </w:rPr>
      </w:pPr>
      <w:bookmarkStart w:id="463" w:name="_bookmark344"/>
      <w:bookmarkEnd w:id="463"/>
      <w:r>
        <w:rPr>
          <w:position w:val="5"/>
          <w:sz w:val="12"/>
        </w:rPr>
        <w:t>90</w:t>
      </w:r>
      <w:r>
        <w:rPr>
          <w:spacing w:val="40"/>
          <w:position w:val="5"/>
          <w:sz w:val="12"/>
        </w:rPr>
        <w:t xml:space="preserve"> </w:t>
      </w:r>
      <w:r>
        <w:rPr>
          <w:sz w:val="18"/>
        </w:rPr>
        <w:t>Kosciw,</w:t>
      </w:r>
      <w:r>
        <w:rPr>
          <w:spacing w:val="-2"/>
          <w:sz w:val="18"/>
        </w:rPr>
        <w:t xml:space="preserve"> </w:t>
      </w:r>
      <w:r>
        <w:rPr>
          <w:sz w:val="18"/>
        </w:rPr>
        <w:t>Joseph,</w:t>
      </w:r>
      <w:r>
        <w:rPr>
          <w:spacing w:val="-2"/>
          <w:sz w:val="18"/>
        </w:rPr>
        <w:t xml:space="preserve"> </w:t>
      </w:r>
      <w:r>
        <w:rPr>
          <w:sz w:val="18"/>
        </w:rPr>
        <w:t>Caitlin</w:t>
      </w:r>
      <w:r>
        <w:rPr>
          <w:spacing w:val="-3"/>
          <w:sz w:val="18"/>
        </w:rPr>
        <w:t xml:space="preserve"> </w:t>
      </w:r>
      <w:r>
        <w:rPr>
          <w:sz w:val="18"/>
        </w:rPr>
        <w:t>Clark,</w:t>
      </w:r>
      <w:r>
        <w:rPr>
          <w:spacing w:val="-2"/>
          <w:sz w:val="18"/>
        </w:rPr>
        <w:t xml:space="preserve"> </w:t>
      </w:r>
      <w:r>
        <w:rPr>
          <w:sz w:val="18"/>
        </w:rPr>
        <w:t>and</w:t>
      </w:r>
      <w:r>
        <w:rPr>
          <w:spacing w:val="-3"/>
          <w:sz w:val="18"/>
        </w:rPr>
        <w:t xml:space="preserve"> </w:t>
      </w:r>
      <w:r>
        <w:rPr>
          <w:sz w:val="18"/>
        </w:rPr>
        <w:t>Leesh</w:t>
      </w:r>
      <w:r>
        <w:rPr>
          <w:spacing w:val="-3"/>
          <w:sz w:val="18"/>
        </w:rPr>
        <w:t xml:space="preserve"> </w:t>
      </w:r>
      <w:r>
        <w:rPr>
          <w:sz w:val="18"/>
        </w:rPr>
        <w:t>Menard,</w:t>
      </w:r>
      <w:r>
        <w:rPr>
          <w:spacing w:val="-2"/>
          <w:sz w:val="18"/>
        </w:rPr>
        <w:t xml:space="preserve"> </w:t>
      </w:r>
      <w:r>
        <w:rPr>
          <w:sz w:val="18"/>
        </w:rPr>
        <w:t>“The</w:t>
      </w:r>
      <w:r>
        <w:rPr>
          <w:spacing w:val="-3"/>
          <w:sz w:val="18"/>
        </w:rPr>
        <w:t xml:space="preserve"> </w:t>
      </w:r>
      <w:r>
        <w:rPr>
          <w:sz w:val="18"/>
        </w:rPr>
        <w:t>2021</w:t>
      </w:r>
      <w:r>
        <w:rPr>
          <w:spacing w:val="-2"/>
          <w:sz w:val="18"/>
        </w:rPr>
        <w:t xml:space="preserve"> </w:t>
      </w:r>
      <w:r>
        <w:rPr>
          <w:sz w:val="18"/>
        </w:rPr>
        <w:t>National</w:t>
      </w:r>
      <w:r>
        <w:rPr>
          <w:spacing w:val="-3"/>
          <w:sz w:val="18"/>
        </w:rPr>
        <w:t xml:space="preserve"> </w:t>
      </w:r>
      <w:r>
        <w:rPr>
          <w:sz w:val="18"/>
        </w:rPr>
        <w:t>School</w:t>
      </w:r>
      <w:r>
        <w:rPr>
          <w:spacing w:val="-3"/>
          <w:sz w:val="18"/>
        </w:rPr>
        <w:t xml:space="preserve"> </w:t>
      </w:r>
      <w:r>
        <w:rPr>
          <w:sz w:val="18"/>
        </w:rPr>
        <w:t>Climate</w:t>
      </w:r>
      <w:r>
        <w:rPr>
          <w:spacing w:val="-3"/>
          <w:sz w:val="18"/>
        </w:rPr>
        <w:t xml:space="preserve"> </w:t>
      </w:r>
      <w:r>
        <w:rPr>
          <w:sz w:val="18"/>
        </w:rPr>
        <w:t>Survey:</w:t>
      </w:r>
      <w:r>
        <w:rPr>
          <w:spacing w:val="-2"/>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 xml:space="preserve">LGBTQ+ Youth in Our Nation’s Schools” (New York: Gay, Lesbian and Straight Education Network, 2022), </w:t>
      </w:r>
      <w:bookmarkStart w:id="464" w:name="_bookmark345"/>
      <w:bookmarkEnd w:id="464"/>
      <w:r>
        <w:fldChar w:fldCharType="begin"/>
      </w:r>
      <w:r>
        <w:instrText xml:space="preserve"> HYPERLINK "https://www.glsen.org/sites/default/files/2022-10/NSCS-2021-Full-Report.pdf" \h </w:instrText>
      </w:r>
      <w:r>
        <w:fldChar w:fldCharType="separate"/>
      </w:r>
      <w:r>
        <w:rPr>
          <w:color w:val="1154CC"/>
          <w:spacing w:val="-2"/>
          <w:sz w:val="18"/>
          <w:u w:val="single" w:color="1154CC"/>
        </w:rPr>
        <w:t>https://www.glsen.org/sites/default/files/2022-10/NSCS-2021-Full-Report.pdf</w:t>
      </w:r>
      <w:r>
        <w:rPr>
          <w:spacing w:val="-2"/>
          <w:sz w:val="18"/>
        </w:rPr>
        <w:t>.</w:t>
      </w:r>
      <w:r>
        <w:rPr>
          <w:spacing w:val="-2"/>
          <w:sz w:val="18"/>
        </w:rPr>
        <w:fldChar w:fldCharType="end"/>
      </w:r>
    </w:p>
    <w:p w:rsidR="00200FDA" w:rsidRDefault="00F76C4C">
      <w:pPr>
        <w:ind w:left="140" w:right="1813" w:hanging="1"/>
        <w:rPr>
          <w:sz w:val="18"/>
        </w:rPr>
      </w:pPr>
      <w:r>
        <w:rPr>
          <w:position w:val="5"/>
          <w:sz w:val="12"/>
        </w:rPr>
        <w:t>91</w:t>
      </w:r>
      <w:r>
        <w:rPr>
          <w:spacing w:val="22"/>
          <w:position w:val="5"/>
          <w:sz w:val="12"/>
        </w:rPr>
        <w:t xml:space="preserve"> </w:t>
      </w:r>
      <w:r>
        <w:rPr>
          <w:sz w:val="18"/>
        </w:rPr>
        <w:t xml:space="preserve">The Trevor Project. “Trauma and Suicide Risk Among LGBTQ Youth,” July 28, 2022. </w:t>
      </w:r>
      <w:bookmarkStart w:id="465" w:name="_bookmark346"/>
      <w:bookmarkEnd w:id="465"/>
      <w:r>
        <w:fldChar w:fldCharType="begin"/>
      </w:r>
      <w:r>
        <w:instrText xml:space="preserve"> </w:instrText>
      </w:r>
      <w:r>
        <w:instrText xml:space="preserve">HYPERLINK "https://www.thetrevorproject.org/research-briefs/trauma-and-suicide-risk-among-lgbtq-youth-july-2022/" \h </w:instrText>
      </w:r>
      <w:r>
        <w:fldChar w:fldCharType="separate"/>
      </w:r>
      <w:r>
        <w:rPr>
          <w:color w:val="1154CC"/>
          <w:spacing w:val="-2"/>
          <w:sz w:val="18"/>
          <w:u w:val="single" w:color="1154CC"/>
        </w:rPr>
        <w:t>https://www.thetrevorproject.org/research-briefs/trauma-and-suicide-risk-among-lgbtq-youth-july-2022/</w:t>
      </w:r>
      <w:r>
        <w:rPr>
          <w:spacing w:val="-2"/>
          <w:sz w:val="18"/>
        </w:rPr>
        <w:t>.</w:t>
      </w:r>
      <w:r>
        <w:rPr>
          <w:spacing w:val="-2"/>
          <w:sz w:val="18"/>
        </w:rPr>
        <w:fldChar w:fldCharType="end"/>
      </w:r>
    </w:p>
    <w:p w:rsidR="00200FDA" w:rsidRDefault="00F76C4C">
      <w:pPr>
        <w:ind w:left="140" w:right="305" w:hanging="1"/>
        <w:rPr>
          <w:sz w:val="18"/>
        </w:rPr>
      </w:pPr>
      <w:r>
        <w:rPr>
          <w:position w:val="5"/>
          <w:sz w:val="12"/>
        </w:rPr>
        <w:t>92</w:t>
      </w:r>
      <w:r>
        <w:rPr>
          <w:spacing w:val="9"/>
          <w:position w:val="5"/>
          <w:sz w:val="12"/>
        </w:rPr>
        <w:t xml:space="preserve"> </w:t>
      </w:r>
      <w:r>
        <w:rPr>
          <w:sz w:val="18"/>
        </w:rPr>
        <w:t>Fulginiti,</w:t>
      </w:r>
      <w:r>
        <w:rPr>
          <w:spacing w:val="-3"/>
          <w:sz w:val="18"/>
        </w:rPr>
        <w:t xml:space="preserve"> </w:t>
      </w:r>
      <w:r>
        <w:rPr>
          <w:sz w:val="18"/>
        </w:rPr>
        <w:t>Anthony,</w:t>
      </w:r>
      <w:r>
        <w:rPr>
          <w:spacing w:val="-3"/>
          <w:sz w:val="18"/>
        </w:rPr>
        <w:t xml:space="preserve"> </w:t>
      </w:r>
      <w:r>
        <w:rPr>
          <w:sz w:val="18"/>
        </w:rPr>
        <w:t>Harmony</w:t>
      </w:r>
      <w:r>
        <w:rPr>
          <w:spacing w:val="-3"/>
          <w:sz w:val="18"/>
        </w:rPr>
        <w:t xml:space="preserve"> </w:t>
      </w:r>
      <w:r>
        <w:rPr>
          <w:sz w:val="18"/>
        </w:rPr>
        <w:t>Rhoa</w:t>
      </w:r>
      <w:r>
        <w:rPr>
          <w:sz w:val="18"/>
        </w:rPr>
        <w:t>des,</w:t>
      </w:r>
      <w:r>
        <w:rPr>
          <w:spacing w:val="-3"/>
          <w:sz w:val="18"/>
        </w:rPr>
        <w:t xml:space="preserve"> </w:t>
      </w:r>
      <w:r>
        <w:rPr>
          <w:sz w:val="18"/>
        </w:rPr>
        <w:t>Mary</w:t>
      </w:r>
      <w:r>
        <w:rPr>
          <w:spacing w:val="-3"/>
          <w:sz w:val="18"/>
        </w:rPr>
        <w:t xml:space="preserve"> </w:t>
      </w:r>
      <w:r>
        <w:rPr>
          <w:sz w:val="18"/>
        </w:rPr>
        <w:t>Rose</w:t>
      </w:r>
      <w:r>
        <w:rPr>
          <w:spacing w:val="-4"/>
          <w:sz w:val="18"/>
        </w:rPr>
        <w:t xml:space="preserve"> </w:t>
      </w:r>
      <w:r>
        <w:rPr>
          <w:sz w:val="18"/>
        </w:rPr>
        <w:t>Mamey,</w:t>
      </w:r>
      <w:r>
        <w:rPr>
          <w:spacing w:val="-3"/>
          <w:sz w:val="18"/>
        </w:rPr>
        <w:t xml:space="preserve"> </w:t>
      </w:r>
      <w:r>
        <w:rPr>
          <w:sz w:val="18"/>
        </w:rPr>
        <w:t>Cary</w:t>
      </w:r>
      <w:r>
        <w:rPr>
          <w:spacing w:val="-3"/>
          <w:sz w:val="18"/>
        </w:rPr>
        <w:t xml:space="preserve"> </w:t>
      </w:r>
      <w:r>
        <w:rPr>
          <w:sz w:val="18"/>
        </w:rPr>
        <w:t>Klemmer,</w:t>
      </w:r>
      <w:r>
        <w:rPr>
          <w:spacing w:val="-3"/>
          <w:sz w:val="18"/>
        </w:rPr>
        <w:t xml:space="preserve"> </w:t>
      </w:r>
      <w:r>
        <w:rPr>
          <w:sz w:val="18"/>
        </w:rPr>
        <w:t>Ankur</w:t>
      </w:r>
      <w:r>
        <w:rPr>
          <w:spacing w:val="-4"/>
          <w:sz w:val="18"/>
        </w:rPr>
        <w:t xml:space="preserve"> </w:t>
      </w:r>
      <w:r>
        <w:rPr>
          <w:sz w:val="18"/>
        </w:rPr>
        <w:t>Srivastava,</w:t>
      </w:r>
      <w:r>
        <w:rPr>
          <w:spacing w:val="-3"/>
          <w:sz w:val="18"/>
        </w:rPr>
        <w:t xml:space="preserve"> </w:t>
      </w:r>
      <w:r>
        <w:rPr>
          <w:sz w:val="18"/>
        </w:rPr>
        <w:t>Garrett</w:t>
      </w:r>
      <w:r>
        <w:rPr>
          <w:spacing w:val="-1"/>
          <w:sz w:val="18"/>
        </w:rPr>
        <w:t xml:space="preserve"> </w:t>
      </w:r>
      <w:r>
        <w:rPr>
          <w:sz w:val="18"/>
        </w:rPr>
        <w:t>Weskamp,</w:t>
      </w:r>
      <w:r>
        <w:rPr>
          <w:spacing w:val="-3"/>
          <w:sz w:val="18"/>
        </w:rPr>
        <w:t xml:space="preserve"> </w:t>
      </w:r>
      <w:r>
        <w:rPr>
          <w:sz w:val="18"/>
        </w:rPr>
        <w:t>and</w:t>
      </w:r>
      <w:r>
        <w:rPr>
          <w:spacing w:val="-4"/>
          <w:sz w:val="18"/>
        </w:rPr>
        <w:t xml:space="preserve"> </w:t>
      </w:r>
      <w:r>
        <w:rPr>
          <w:sz w:val="18"/>
        </w:rPr>
        <w:t>Jeremy</w:t>
      </w:r>
      <w:r>
        <w:rPr>
          <w:spacing w:val="-3"/>
          <w:sz w:val="18"/>
        </w:rPr>
        <w:t xml:space="preserve"> </w:t>
      </w:r>
      <w:r>
        <w:rPr>
          <w:sz w:val="18"/>
        </w:rPr>
        <w:t xml:space="preserve">T. Goldbach. “Sexual Minority Stress, Mental Health Symptoms, and Suicidality among LGBTQ Youth Accessing Crisis Services.” </w:t>
      </w:r>
      <w:bookmarkStart w:id="466" w:name="_bookmark347"/>
      <w:bookmarkEnd w:id="466"/>
      <w:r>
        <w:rPr>
          <w:i/>
          <w:sz w:val="18"/>
        </w:rPr>
        <w:t xml:space="preserve">Journal of Youth and Adolescence </w:t>
      </w:r>
      <w:r>
        <w:rPr>
          <w:sz w:val="18"/>
        </w:rPr>
        <w:t xml:space="preserve">50, no. 5 (May 1, 2021): 893–905. </w:t>
      </w:r>
      <w:hyperlink r:id="rId352">
        <w:r>
          <w:rPr>
            <w:color w:val="1154CC"/>
            <w:sz w:val="18"/>
            <w:u w:val="single" w:color="1154CC"/>
          </w:rPr>
          <w:t>https://doi.org/10.1007/s10964-020-01354-3</w:t>
        </w:r>
        <w:r>
          <w:rPr>
            <w:sz w:val="18"/>
          </w:rPr>
          <w:t>.</w:t>
        </w:r>
      </w:hyperlink>
    </w:p>
    <w:p w:rsidR="00200FDA" w:rsidRDefault="00F76C4C">
      <w:pPr>
        <w:spacing w:before="1"/>
        <w:ind w:left="139" w:right="259"/>
        <w:rPr>
          <w:sz w:val="18"/>
        </w:rPr>
      </w:pPr>
      <w:r>
        <w:rPr>
          <w:position w:val="5"/>
          <w:sz w:val="12"/>
        </w:rPr>
        <w:t>93</w:t>
      </w:r>
      <w:r>
        <w:rPr>
          <w:spacing w:val="80"/>
          <w:position w:val="5"/>
          <w:sz w:val="12"/>
        </w:rPr>
        <w:t xml:space="preserve"> </w:t>
      </w:r>
      <w:r>
        <w:rPr>
          <w:sz w:val="18"/>
        </w:rPr>
        <w:t>Poteat, V. Paul, Jerel P. Calzo, Hirokazu Yoshikawa, Arthur Lipkin, Christopher J. Ceccolini, Sarah B. Rosenbach,</w:t>
      </w:r>
      <w:r>
        <w:rPr>
          <w:sz w:val="18"/>
        </w:rPr>
        <w:t xml:space="preserve"> Michael D. O’Brien,</w:t>
      </w:r>
      <w:r>
        <w:rPr>
          <w:spacing w:val="-3"/>
          <w:sz w:val="18"/>
        </w:rPr>
        <w:t xml:space="preserve"> </w:t>
      </w:r>
      <w:r>
        <w:rPr>
          <w:sz w:val="18"/>
        </w:rPr>
        <w:t>Robert</w:t>
      </w:r>
      <w:r>
        <w:rPr>
          <w:spacing w:val="-4"/>
          <w:sz w:val="18"/>
        </w:rPr>
        <w:t xml:space="preserve"> </w:t>
      </w:r>
      <w:r>
        <w:rPr>
          <w:sz w:val="18"/>
        </w:rPr>
        <w:t>A.</w:t>
      </w:r>
      <w:r>
        <w:rPr>
          <w:spacing w:val="-3"/>
          <w:sz w:val="18"/>
        </w:rPr>
        <w:t xml:space="preserve"> </w:t>
      </w:r>
      <w:r>
        <w:rPr>
          <w:sz w:val="18"/>
        </w:rPr>
        <w:t>Marx,</w:t>
      </w:r>
      <w:r>
        <w:rPr>
          <w:spacing w:val="-3"/>
          <w:sz w:val="18"/>
        </w:rPr>
        <w:t xml:space="preserve"> </w:t>
      </w:r>
      <w:r>
        <w:rPr>
          <w:sz w:val="18"/>
        </w:rPr>
        <w:t>Gabriel</w:t>
      </w:r>
      <w:r>
        <w:rPr>
          <w:spacing w:val="-1"/>
          <w:sz w:val="18"/>
        </w:rPr>
        <w:t xml:space="preserve"> </w:t>
      </w:r>
      <w:r>
        <w:rPr>
          <w:sz w:val="18"/>
        </w:rPr>
        <w:t>R.</w:t>
      </w:r>
      <w:r>
        <w:rPr>
          <w:spacing w:val="-3"/>
          <w:sz w:val="18"/>
        </w:rPr>
        <w:t xml:space="preserve"> </w:t>
      </w:r>
      <w:r>
        <w:rPr>
          <w:sz w:val="18"/>
        </w:rPr>
        <w:t>Murchison,</w:t>
      </w:r>
      <w:r>
        <w:rPr>
          <w:spacing w:val="-3"/>
          <w:sz w:val="18"/>
        </w:rPr>
        <w:t xml:space="preserve"> </w:t>
      </w:r>
      <w:r>
        <w:rPr>
          <w:sz w:val="18"/>
        </w:rPr>
        <w:t>and</w:t>
      </w:r>
      <w:r>
        <w:rPr>
          <w:spacing w:val="-4"/>
          <w:sz w:val="18"/>
        </w:rPr>
        <w:t xml:space="preserve"> </w:t>
      </w:r>
      <w:r>
        <w:rPr>
          <w:sz w:val="18"/>
        </w:rPr>
        <w:t>Esther</w:t>
      </w:r>
      <w:r>
        <w:rPr>
          <w:spacing w:val="-4"/>
          <w:sz w:val="18"/>
        </w:rPr>
        <w:t xml:space="preserve"> </w:t>
      </w:r>
      <w:r>
        <w:rPr>
          <w:sz w:val="18"/>
        </w:rPr>
        <w:t>Burson.</w:t>
      </w:r>
      <w:r>
        <w:rPr>
          <w:spacing w:val="-1"/>
          <w:sz w:val="18"/>
        </w:rPr>
        <w:t xml:space="preserve"> </w:t>
      </w:r>
      <w:r>
        <w:rPr>
          <w:sz w:val="18"/>
        </w:rPr>
        <w:t>“Greater</w:t>
      </w:r>
      <w:r>
        <w:rPr>
          <w:spacing w:val="-4"/>
          <w:sz w:val="18"/>
        </w:rPr>
        <w:t xml:space="preserve"> </w:t>
      </w:r>
      <w:r>
        <w:rPr>
          <w:sz w:val="18"/>
        </w:rPr>
        <w:t>Engagement</w:t>
      </w:r>
      <w:r>
        <w:rPr>
          <w:spacing w:val="-4"/>
          <w:sz w:val="18"/>
        </w:rPr>
        <w:t xml:space="preserve"> </w:t>
      </w:r>
      <w:r>
        <w:rPr>
          <w:sz w:val="18"/>
        </w:rPr>
        <w:t>in</w:t>
      </w:r>
      <w:r>
        <w:rPr>
          <w:spacing w:val="-4"/>
          <w:sz w:val="18"/>
        </w:rPr>
        <w:t xml:space="preserve"> </w:t>
      </w:r>
      <w:r>
        <w:rPr>
          <w:sz w:val="18"/>
        </w:rPr>
        <w:t>Gender-Sexuality</w:t>
      </w:r>
      <w:r>
        <w:rPr>
          <w:spacing w:val="-3"/>
          <w:sz w:val="18"/>
        </w:rPr>
        <w:t xml:space="preserve"> </w:t>
      </w:r>
      <w:r>
        <w:rPr>
          <w:sz w:val="18"/>
        </w:rPr>
        <w:t>Alliances</w:t>
      </w:r>
      <w:r>
        <w:rPr>
          <w:spacing w:val="-4"/>
          <w:sz w:val="18"/>
        </w:rPr>
        <w:t xml:space="preserve"> </w:t>
      </w:r>
      <w:r>
        <w:rPr>
          <w:sz w:val="18"/>
        </w:rPr>
        <w:t xml:space="preserve">(GSAs) and GSA Characteristics Predict Youth Empowerment and Reduced Mental Health Concerns.” </w:t>
      </w:r>
      <w:r>
        <w:rPr>
          <w:i/>
          <w:sz w:val="18"/>
        </w:rPr>
        <w:t xml:space="preserve">Child Development </w:t>
      </w:r>
      <w:r>
        <w:rPr>
          <w:sz w:val="18"/>
        </w:rPr>
        <w:t>91, no. 5 (Septe</w:t>
      </w:r>
      <w:r>
        <w:rPr>
          <w:sz w:val="18"/>
        </w:rPr>
        <w:t xml:space="preserve">mber 2020): 1509–28. </w:t>
      </w:r>
      <w:hyperlink r:id="rId353">
        <w:r>
          <w:rPr>
            <w:color w:val="1154CC"/>
            <w:sz w:val="18"/>
            <w:u w:val="single" w:color="1154CC"/>
          </w:rPr>
          <w:t>https://doi.org/10.1111/cdev.13345</w:t>
        </w:r>
        <w:r>
          <w:rPr>
            <w:sz w:val="18"/>
          </w:rPr>
          <w:t>.</w:t>
        </w:r>
      </w:hyperlink>
    </w:p>
    <w:p w:rsidR="00200FDA" w:rsidRDefault="00F76C4C">
      <w:pPr>
        <w:ind w:left="140" w:right="432" w:hanging="1"/>
        <w:rPr>
          <w:sz w:val="18"/>
        </w:rPr>
      </w:pPr>
      <w:bookmarkStart w:id="467" w:name="_bookmark348"/>
      <w:bookmarkEnd w:id="467"/>
      <w:r>
        <w:rPr>
          <w:position w:val="5"/>
          <w:sz w:val="12"/>
        </w:rPr>
        <w:t>94</w:t>
      </w:r>
      <w:r>
        <w:rPr>
          <w:spacing w:val="19"/>
          <w:position w:val="5"/>
          <w:sz w:val="12"/>
        </w:rPr>
        <w:t xml:space="preserve"> </w:t>
      </w:r>
      <w:r>
        <w:rPr>
          <w:sz w:val="18"/>
        </w:rPr>
        <w:t>Zullo, Lucas, Ilana Seager van Dyk, Elizabeth Ollen, Natalie Ramos, Joan Asarnow, and Jeanne Miranda. “Treatment Recommendations</w:t>
      </w:r>
      <w:r>
        <w:rPr>
          <w:spacing w:val="-3"/>
          <w:sz w:val="18"/>
        </w:rPr>
        <w:t xml:space="preserve"> </w:t>
      </w:r>
      <w:r>
        <w:rPr>
          <w:sz w:val="18"/>
        </w:rPr>
        <w:t>and</w:t>
      </w:r>
      <w:r>
        <w:rPr>
          <w:spacing w:val="-3"/>
          <w:sz w:val="18"/>
        </w:rPr>
        <w:t xml:space="preserve"> </w:t>
      </w:r>
      <w:r>
        <w:rPr>
          <w:sz w:val="18"/>
        </w:rPr>
        <w:t>Barriers</w:t>
      </w:r>
      <w:r>
        <w:rPr>
          <w:spacing w:val="-3"/>
          <w:sz w:val="18"/>
        </w:rPr>
        <w:t xml:space="preserve"> </w:t>
      </w:r>
      <w:r>
        <w:rPr>
          <w:sz w:val="18"/>
        </w:rPr>
        <w:t>to</w:t>
      </w:r>
      <w:r>
        <w:rPr>
          <w:spacing w:val="-1"/>
          <w:sz w:val="18"/>
        </w:rPr>
        <w:t xml:space="preserve"> </w:t>
      </w:r>
      <w:r>
        <w:rPr>
          <w:sz w:val="18"/>
        </w:rPr>
        <w:t>Care</w:t>
      </w:r>
      <w:r>
        <w:rPr>
          <w:spacing w:val="-3"/>
          <w:sz w:val="18"/>
        </w:rPr>
        <w:t xml:space="preserve"> </w:t>
      </w:r>
      <w:r>
        <w:rPr>
          <w:sz w:val="18"/>
        </w:rPr>
        <w:t>for</w:t>
      </w:r>
      <w:r>
        <w:rPr>
          <w:spacing w:val="-3"/>
          <w:sz w:val="18"/>
        </w:rPr>
        <w:t xml:space="preserve"> </w:t>
      </w:r>
      <w:r>
        <w:rPr>
          <w:sz w:val="18"/>
        </w:rPr>
        <w:t>Suicidal</w:t>
      </w:r>
      <w:r>
        <w:rPr>
          <w:spacing w:val="-3"/>
          <w:sz w:val="18"/>
        </w:rPr>
        <w:t xml:space="preserve"> </w:t>
      </w:r>
      <w:r>
        <w:rPr>
          <w:sz w:val="18"/>
        </w:rPr>
        <w:t>LGBTQ</w:t>
      </w:r>
      <w:r>
        <w:rPr>
          <w:spacing w:val="-3"/>
          <w:sz w:val="18"/>
        </w:rPr>
        <w:t xml:space="preserve"> </w:t>
      </w:r>
      <w:r>
        <w:rPr>
          <w:sz w:val="18"/>
        </w:rPr>
        <w:t>Youth: A</w:t>
      </w:r>
      <w:r>
        <w:rPr>
          <w:spacing w:val="-3"/>
          <w:sz w:val="18"/>
        </w:rPr>
        <w:t xml:space="preserve"> </w:t>
      </w:r>
      <w:r>
        <w:rPr>
          <w:sz w:val="18"/>
        </w:rPr>
        <w:t>Quality</w:t>
      </w:r>
      <w:r>
        <w:rPr>
          <w:spacing w:val="-2"/>
          <w:sz w:val="18"/>
        </w:rPr>
        <w:t xml:space="preserve"> </w:t>
      </w:r>
      <w:r>
        <w:rPr>
          <w:sz w:val="18"/>
        </w:rPr>
        <w:t>Improvement</w:t>
      </w:r>
      <w:r>
        <w:rPr>
          <w:spacing w:val="-3"/>
          <w:sz w:val="18"/>
        </w:rPr>
        <w:t xml:space="preserve"> </w:t>
      </w:r>
      <w:r>
        <w:rPr>
          <w:sz w:val="18"/>
        </w:rPr>
        <w:t>Study.”</w:t>
      </w:r>
      <w:r>
        <w:rPr>
          <w:spacing w:val="-3"/>
          <w:sz w:val="18"/>
        </w:rPr>
        <w:t xml:space="preserve"> </w:t>
      </w:r>
      <w:r>
        <w:rPr>
          <w:i/>
          <w:sz w:val="18"/>
        </w:rPr>
        <w:t>Evidence-Based</w:t>
      </w:r>
      <w:r>
        <w:rPr>
          <w:i/>
          <w:spacing w:val="-4"/>
          <w:sz w:val="18"/>
        </w:rPr>
        <w:t xml:space="preserve"> </w:t>
      </w:r>
      <w:r>
        <w:rPr>
          <w:i/>
          <w:sz w:val="18"/>
        </w:rPr>
        <w:t>Practice</w:t>
      </w:r>
      <w:r>
        <w:rPr>
          <w:i/>
          <w:spacing w:val="-2"/>
          <w:sz w:val="18"/>
        </w:rPr>
        <w:t xml:space="preserve"> </w:t>
      </w:r>
      <w:r>
        <w:rPr>
          <w:i/>
          <w:sz w:val="18"/>
        </w:rPr>
        <w:t xml:space="preserve">in Child and Adolescent Mental Health </w:t>
      </w:r>
      <w:r>
        <w:rPr>
          <w:sz w:val="18"/>
        </w:rPr>
        <w:t xml:space="preserve">6, no. 3 (July 3, 2021): 393–409. </w:t>
      </w:r>
      <w:hyperlink r:id="rId354">
        <w:r>
          <w:rPr>
            <w:color w:val="1154CC"/>
            <w:sz w:val="18"/>
            <w:u w:val="single" w:color="1154CC"/>
          </w:rPr>
          <w:t>https://doi.org/10.1080/23794925.2021.1950079</w:t>
        </w:r>
        <w:r>
          <w:rPr>
            <w:sz w:val="18"/>
          </w:rPr>
          <w:t>.</w:t>
        </w:r>
      </w:hyperlink>
    </w:p>
    <w:p w:rsidR="00200FDA" w:rsidRDefault="00F76C4C">
      <w:pPr>
        <w:ind w:left="140" w:right="1813" w:hanging="1"/>
        <w:rPr>
          <w:sz w:val="18"/>
        </w:rPr>
      </w:pPr>
      <w:bookmarkStart w:id="468" w:name="_bookmark349"/>
      <w:bookmarkEnd w:id="468"/>
      <w:r>
        <w:rPr>
          <w:position w:val="5"/>
          <w:sz w:val="12"/>
        </w:rPr>
        <w:t>95</w:t>
      </w:r>
      <w:r>
        <w:rPr>
          <w:spacing w:val="22"/>
          <w:position w:val="5"/>
          <w:sz w:val="12"/>
        </w:rPr>
        <w:t xml:space="preserve"> </w:t>
      </w:r>
      <w:r>
        <w:rPr>
          <w:sz w:val="18"/>
        </w:rPr>
        <w:t xml:space="preserve">The Trevor Project. “Trauma and Suicide Risk Among LGBTQ Youth,” July 28, 2022. </w:t>
      </w:r>
      <w:hyperlink r:id="rId355">
        <w:r>
          <w:rPr>
            <w:color w:val="1154CC"/>
            <w:spacing w:val="-2"/>
            <w:sz w:val="18"/>
            <w:u w:val="single" w:color="1154CC"/>
          </w:rPr>
          <w:t>https</w:t>
        </w:r>
        <w:r>
          <w:rPr>
            <w:color w:val="1154CC"/>
            <w:spacing w:val="-2"/>
            <w:sz w:val="18"/>
            <w:u w:val="single" w:color="1154CC"/>
          </w:rPr>
          <w:t>://www.thetrevorproject.org/research-briefs/trauma-and-suicide-risk-among-lgbtq-youth-july-2022/</w:t>
        </w:r>
        <w:r>
          <w:rPr>
            <w:spacing w:val="-2"/>
            <w:sz w:val="18"/>
          </w:rPr>
          <w:t>.</w:t>
        </w:r>
      </w:hyperlink>
    </w:p>
    <w:p w:rsidR="00200FDA" w:rsidRDefault="00F76C4C">
      <w:pPr>
        <w:ind w:left="140" w:right="714" w:hanging="1"/>
        <w:rPr>
          <w:sz w:val="18"/>
        </w:rPr>
      </w:pPr>
      <w:bookmarkStart w:id="469" w:name="_bookmark350"/>
      <w:bookmarkEnd w:id="469"/>
      <w:r>
        <w:rPr>
          <w:position w:val="5"/>
          <w:sz w:val="12"/>
        </w:rPr>
        <w:t>96</w:t>
      </w:r>
      <w:r>
        <w:rPr>
          <w:spacing w:val="10"/>
          <w:position w:val="5"/>
          <w:sz w:val="12"/>
        </w:rPr>
        <w:t xml:space="preserve"> </w:t>
      </w:r>
      <w:r>
        <w:rPr>
          <w:sz w:val="18"/>
        </w:rPr>
        <w:t>Kosciw,</w:t>
      </w:r>
      <w:r>
        <w:rPr>
          <w:spacing w:val="-2"/>
          <w:sz w:val="18"/>
        </w:rPr>
        <w:t xml:space="preserve"> </w:t>
      </w:r>
      <w:r>
        <w:rPr>
          <w:sz w:val="18"/>
        </w:rPr>
        <w:t>Joseph,</w:t>
      </w:r>
      <w:r>
        <w:rPr>
          <w:spacing w:val="-2"/>
          <w:sz w:val="18"/>
        </w:rPr>
        <w:t xml:space="preserve"> </w:t>
      </w:r>
      <w:r>
        <w:rPr>
          <w:sz w:val="18"/>
        </w:rPr>
        <w:t>Caitlin</w:t>
      </w:r>
      <w:r>
        <w:rPr>
          <w:spacing w:val="-3"/>
          <w:sz w:val="18"/>
        </w:rPr>
        <w:t xml:space="preserve"> </w:t>
      </w:r>
      <w:r>
        <w:rPr>
          <w:sz w:val="18"/>
        </w:rPr>
        <w:t>Clark,</w:t>
      </w:r>
      <w:r>
        <w:rPr>
          <w:spacing w:val="-2"/>
          <w:sz w:val="18"/>
        </w:rPr>
        <w:t xml:space="preserve"> </w:t>
      </w:r>
      <w:r>
        <w:rPr>
          <w:sz w:val="18"/>
        </w:rPr>
        <w:t>and</w:t>
      </w:r>
      <w:r>
        <w:rPr>
          <w:spacing w:val="-1"/>
          <w:sz w:val="18"/>
        </w:rPr>
        <w:t xml:space="preserve"> </w:t>
      </w:r>
      <w:r>
        <w:rPr>
          <w:sz w:val="18"/>
        </w:rPr>
        <w:t>Leesh</w:t>
      </w:r>
      <w:r>
        <w:rPr>
          <w:spacing w:val="-3"/>
          <w:sz w:val="18"/>
        </w:rPr>
        <w:t xml:space="preserve"> </w:t>
      </w:r>
      <w:r>
        <w:rPr>
          <w:sz w:val="18"/>
        </w:rPr>
        <w:t>Menard,</w:t>
      </w:r>
      <w:r>
        <w:rPr>
          <w:spacing w:val="-2"/>
          <w:sz w:val="18"/>
        </w:rPr>
        <w:t xml:space="preserve"> </w:t>
      </w:r>
      <w:r>
        <w:rPr>
          <w:sz w:val="18"/>
        </w:rPr>
        <w:t>“The</w:t>
      </w:r>
      <w:r>
        <w:rPr>
          <w:spacing w:val="-3"/>
          <w:sz w:val="18"/>
        </w:rPr>
        <w:t xml:space="preserve"> </w:t>
      </w:r>
      <w:r>
        <w:rPr>
          <w:sz w:val="18"/>
        </w:rPr>
        <w:t>2021</w:t>
      </w:r>
      <w:r>
        <w:rPr>
          <w:spacing w:val="-2"/>
          <w:sz w:val="18"/>
        </w:rPr>
        <w:t xml:space="preserve"> </w:t>
      </w:r>
      <w:r>
        <w:rPr>
          <w:sz w:val="18"/>
        </w:rPr>
        <w:t>National</w:t>
      </w:r>
      <w:r>
        <w:rPr>
          <w:spacing w:val="-3"/>
          <w:sz w:val="18"/>
        </w:rPr>
        <w:t xml:space="preserve"> </w:t>
      </w:r>
      <w:r>
        <w:rPr>
          <w:sz w:val="18"/>
        </w:rPr>
        <w:t>School</w:t>
      </w:r>
      <w:r>
        <w:rPr>
          <w:spacing w:val="-3"/>
          <w:sz w:val="18"/>
        </w:rPr>
        <w:t xml:space="preserve"> </w:t>
      </w:r>
      <w:r>
        <w:rPr>
          <w:sz w:val="18"/>
        </w:rPr>
        <w:t>Climate</w:t>
      </w:r>
      <w:r>
        <w:rPr>
          <w:spacing w:val="-3"/>
          <w:sz w:val="18"/>
        </w:rPr>
        <w:t xml:space="preserve"> </w:t>
      </w:r>
      <w:r>
        <w:rPr>
          <w:sz w:val="18"/>
        </w:rPr>
        <w:t>Survey:</w:t>
      </w:r>
      <w:r>
        <w:rPr>
          <w:spacing w:val="-2"/>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LGBTQ+ Youth in Our Nation’s Schools” (New Yo</w:t>
      </w:r>
      <w:r>
        <w:rPr>
          <w:sz w:val="18"/>
        </w:rPr>
        <w:t xml:space="preserve">rk: Gay, Lesbian and Straight Education Network, 2022), </w:t>
      </w:r>
      <w:hyperlink r:id="rId356">
        <w:r>
          <w:rPr>
            <w:color w:val="1154CC"/>
            <w:spacing w:val="-2"/>
            <w:sz w:val="18"/>
            <w:u w:val="single" w:color="1154CC"/>
          </w:rPr>
          <w:t>https://www.glsen.org/sites/default/files/2022-10/NSCS-2021-Full-Report.pdf</w:t>
        </w:r>
        <w:r>
          <w:rPr>
            <w:spacing w:val="-2"/>
            <w:sz w:val="18"/>
          </w:rPr>
          <w:t>.</w:t>
        </w:r>
      </w:hyperlink>
    </w:p>
    <w:p w:rsidR="00200FDA" w:rsidRDefault="00200FDA">
      <w:pPr>
        <w:rPr>
          <w:sz w:val="18"/>
        </w:rPr>
        <w:sectPr w:rsidR="00200FDA">
          <w:pgSz w:w="12240" w:h="15840"/>
          <w:pgMar w:top="1360" w:right="1180" w:bottom="1440" w:left="1300" w:header="761" w:footer="1132" w:gutter="0"/>
          <w:cols w:space="720"/>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spacing w:before="5"/>
        <w:rPr>
          <w:sz w:val="25"/>
        </w:rPr>
      </w:pPr>
    </w:p>
    <w:p w:rsidR="00200FDA" w:rsidRDefault="00F76C4C">
      <w:pPr>
        <w:spacing w:before="107"/>
        <w:ind w:left="581"/>
        <w:rPr>
          <w:sz w:val="34"/>
        </w:rPr>
      </w:pPr>
      <w:bookmarkStart w:id="470" w:name="Mental_Health.pdf"/>
      <w:bookmarkEnd w:id="470"/>
      <w:r>
        <w:rPr>
          <w:color w:val="FFFFFF"/>
          <w:w w:val="120"/>
          <w:sz w:val="34"/>
        </w:rPr>
        <w:t>COMMISSION</w:t>
      </w:r>
      <w:r>
        <w:rPr>
          <w:color w:val="FFFFFF"/>
          <w:spacing w:val="17"/>
          <w:w w:val="120"/>
          <w:sz w:val="34"/>
        </w:rPr>
        <w:t xml:space="preserve"> </w:t>
      </w:r>
      <w:r>
        <w:rPr>
          <w:color w:val="FFFFFF"/>
          <w:w w:val="120"/>
          <w:sz w:val="34"/>
        </w:rPr>
        <w:t>ON</w:t>
      </w:r>
      <w:r>
        <w:rPr>
          <w:color w:val="FFFFFF"/>
          <w:spacing w:val="17"/>
          <w:w w:val="120"/>
          <w:sz w:val="34"/>
        </w:rPr>
        <w:t xml:space="preserve"> </w:t>
      </w:r>
      <w:r>
        <w:rPr>
          <w:color w:val="FFFFFF"/>
          <w:w w:val="120"/>
          <w:sz w:val="34"/>
        </w:rPr>
        <w:t>LGBTQ</w:t>
      </w:r>
      <w:r>
        <w:rPr>
          <w:color w:val="FFFFFF"/>
          <w:spacing w:val="17"/>
          <w:w w:val="120"/>
          <w:sz w:val="34"/>
        </w:rPr>
        <w:t xml:space="preserve"> </w:t>
      </w:r>
      <w:r>
        <w:rPr>
          <w:color w:val="FFFFFF"/>
          <w:spacing w:val="-2"/>
          <w:w w:val="120"/>
          <w:sz w:val="34"/>
        </w:rPr>
        <w:t>YOUTH</w:t>
      </w:r>
    </w:p>
    <w:p w:rsidR="00200FDA" w:rsidRDefault="00F76C4C">
      <w:pPr>
        <w:pStyle w:val="Heading5"/>
        <w:spacing w:before="67" w:line="213" w:lineRule="auto"/>
        <w:ind w:left="581" w:right="4381"/>
      </w:pPr>
      <w:r>
        <w:rPr>
          <w:color w:val="FFFFFF"/>
          <w:w w:val="120"/>
        </w:rPr>
        <w:t>MENTAL HEALTH: AN UPWARD TREND</w:t>
      </w: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spacing w:before="11"/>
        <w:rPr>
          <w:b/>
          <w:sz w:val="21"/>
        </w:rPr>
      </w:pPr>
    </w:p>
    <w:p w:rsidR="00200FDA" w:rsidRDefault="00200FDA">
      <w:pPr>
        <w:rPr>
          <w:sz w:val="21"/>
        </w:rPr>
        <w:sectPr w:rsidR="00200FDA">
          <w:headerReference w:type="default" r:id="rId357"/>
          <w:footerReference w:type="default" r:id="rId358"/>
          <w:pgSz w:w="12240" w:h="15840"/>
          <w:pgMar w:top="0" w:right="300" w:bottom="280" w:left="920" w:header="0" w:footer="0" w:gutter="0"/>
          <w:cols w:space="720"/>
        </w:sectPr>
      </w:pPr>
    </w:p>
    <w:p w:rsidR="00200FDA" w:rsidRDefault="00F76C4C">
      <w:pPr>
        <w:pStyle w:val="Heading6"/>
      </w:pPr>
      <w:r>
        <w:rPr>
          <w:spacing w:val="11"/>
          <w:w w:val="125"/>
        </w:rPr>
        <w:t>ABOUT</w:t>
      </w:r>
    </w:p>
    <w:p w:rsidR="00200FDA" w:rsidRDefault="00F76C4C">
      <w:pPr>
        <w:pStyle w:val="BodyText"/>
        <w:spacing w:before="50" w:line="266" w:lineRule="auto"/>
        <w:ind w:left="323" w:right="38"/>
        <w:jc w:val="both"/>
        <w:rPr>
          <w:rFonts w:ascii="Georgia" w:hAnsi="Georgia"/>
        </w:rPr>
      </w:pPr>
      <w:r>
        <w:rPr>
          <w:rFonts w:ascii="Georgia" w:hAnsi="Georgia"/>
        </w:rPr>
        <w:t xml:space="preserve">The personal is political – and that includes </w:t>
      </w:r>
      <w:r>
        <w:rPr>
          <w:rFonts w:ascii="Georgia" w:hAnsi="Georgia"/>
        </w:rPr>
        <w:t>mental health, too. Across the Commonwealth, LGBTQ youth mental health is in crisis. Last year, LGBTQ youth reported alarmingly high levels of</w:t>
      </w:r>
      <w:r>
        <w:rPr>
          <w:rFonts w:ascii="Georgia" w:hAnsi="Georgia"/>
          <w:spacing w:val="80"/>
        </w:rPr>
        <w:t xml:space="preserve"> </w:t>
      </w:r>
      <w:r>
        <w:rPr>
          <w:rFonts w:ascii="Georgia" w:hAnsi="Georgia"/>
        </w:rPr>
        <w:t>depression, anxiety, suicidality, and trauma, yet most</w:t>
      </w:r>
      <w:r>
        <w:rPr>
          <w:rFonts w:ascii="Georgia" w:hAnsi="Georgia"/>
          <w:spacing w:val="40"/>
        </w:rPr>
        <w:t xml:space="preserve"> </w:t>
      </w:r>
      <w:r>
        <w:rPr>
          <w:rFonts w:ascii="Georgia" w:hAnsi="Georgia"/>
        </w:rPr>
        <w:t>who</w:t>
      </w:r>
      <w:r>
        <w:rPr>
          <w:rFonts w:ascii="Georgia" w:hAnsi="Georgia"/>
          <w:spacing w:val="40"/>
        </w:rPr>
        <w:t xml:space="preserve"> </w:t>
      </w:r>
      <w:r>
        <w:rPr>
          <w:rFonts w:ascii="Georgia" w:hAnsi="Georgia"/>
        </w:rPr>
        <w:t>wanted</w:t>
      </w:r>
      <w:r>
        <w:rPr>
          <w:rFonts w:ascii="Georgia" w:hAnsi="Georgia"/>
          <w:spacing w:val="40"/>
        </w:rPr>
        <w:t xml:space="preserve"> </w:t>
      </w:r>
      <w:r>
        <w:rPr>
          <w:rFonts w:ascii="Georgia" w:hAnsi="Georgia"/>
        </w:rPr>
        <w:t>mental</w:t>
      </w:r>
      <w:r>
        <w:rPr>
          <w:rFonts w:ascii="Georgia" w:hAnsi="Georgia"/>
          <w:spacing w:val="40"/>
        </w:rPr>
        <w:t xml:space="preserve"> </w:t>
      </w:r>
      <w:r>
        <w:rPr>
          <w:rFonts w:ascii="Georgia" w:hAnsi="Georgia"/>
        </w:rPr>
        <w:t>healthcare</w:t>
      </w:r>
      <w:r>
        <w:rPr>
          <w:rFonts w:ascii="Georgia" w:hAnsi="Georgia"/>
          <w:spacing w:val="40"/>
        </w:rPr>
        <w:t xml:space="preserve"> </w:t>
      </w:r>
      <w:r>
        <w:rPr>
          <w:rFonts w:ascii="Georgia" w:hAnsi="Georgia"/>
        </w:rPr>
        <w:t>did</w:t>
      </w:r>
      <w:r>
        <w:rPr>
          <w:rFonts w:ascii="Georgia" w:hAnsi="Georgia"/>
          <w:spacing w:val="40"/>
        </w:rPr>
        <w:t xml:space="preserve"> </w:t>
      </w:r>
      <w:r>
        <w:rPr>
          <w:rFonts w:ascii="Georgia" w:hAnsi="Georgia"/>
        </w:rPr>
        <w:t>not receive it.</w:t>
      </w:r>
    </w:p>
    <w:p w:rsidR="00200FDA" w:rsidRDefault="00F76C4C">
      <w:pPr>
        <w:pStyle w:val="Heading2"/>
        <w:spacing w:before="343"/>
        <w:ind w:right="1478"/>
        <w:jc w:val="center"/>
      </w:pPr>
      <w:r>
        <w:rPr>
          <w:b w:val="0"/>
        </w:rPr>
        <w:br w:type="column"/>
      </w:r>
      <w:r>
        <w:rPr>
          <w:emboss/>
          <w:color w:val="1B6A4E"/>
        </w:rPr>
        <w:t>1</w:t>
      </w:r>
      <w:r>
        <w:rPr>
          <w:color w:val="1B6A4E"/>
          <w:spacing w:val="68"/>
        </w:rPr>
        <w:t xml:space="preserve"> </w:t>
      </w:r>
      <w:r>
        <w:rPr>
          <w:emboss/>
          <w:color w:val="1B6A4E"/>
          <w:spacing w:val="19"/>
          <w:w w:val="110"/>
        </w:rPr>
        <w:t>IN</w:t>
      </w:r>
      <w:r>
        <w:rPr>
          <w:color w:val="1B6A4E"/>
          <w:spacing w:val="51"/>
          <w:w w:val="110"/>
        </w:rPr>
        <w:t xml:space="preserve"> </w:t>
      </w:r>
      <w:r>
        <w:rPr>
          <w:emboss/>
          <w:color w:val="1B6A4E"/>
          <w:spacing w:val="-12"/>
          <w:w w:val="110"/>
        </w:rPr>
        <w:t>2</w:t>
      </w:r>
    </w:p>
    <w:p w:rsidR="00200FDA" w:rsidRDefault="00F76C4C">
      <w:pPr>
        <w:pStyle w:val="BodyText"/>
        <w:spacing w:before="35" w:line="266" w:lineRule="auto"/>
        <w:ind w:left="323" w:right="1478"/>
        <w:jc w:val="center"/>
        <w:rPr>
          <w:rFonts w:ascii="Georgia"/>
        </w:rPr>
      </w:pPr>
      <w:r>
        <w:rPr>
          <w:rFonts w:ascii="Georgia"/>
        </w:rPr>
        <w:t xml:space="preserve">Massachusetts LGBTQ youth </w:t>
      </w:r>
      <w:r>
        <w:rPr>
          <w:rFonts w:ascii="Georgia"/>
          <w:spacing w:val="-2"/>
          <w:w w:val="105"/>
        </w:rPr>
        <w:t>were</w:t>
      </w:r>
      <w:r>
        <w:rPr>
          <w:rFonts w:ascii="Georgia"/>
          <w:spacing w:val="-11"/>
          <w:w w:val="105"/>
        </w:rPr>
        <w:t xml:space="preserve"> </w:t>
      </w:r>
      <w:r>
        <w:rPr>
          <w:rFonts w:ascii="Georgia"/>
          <w:spacing w:val="-2"/>
          <w:w w:val="105"/>
        </w:rPr>
        <w:t>unable</w:t>
      </w:r>
      <w:r>
        <w:rPr>
          <w:rFonts w:ascii="Georgia"/>
          <w:spacing w:val="-11"/>
          <w:w w:val="105"/>
        </w:rPr>
        <w:t xml:space="preserve"> </w:t>
      </w:r>
      <w:r>
        <w:rPr>
          <w:rFonts w:ascii="Georgia"/>
          <w:spacing w:val="-2"/>
          <w:w w:val="105"/>
        </w:rPr>
        <w:t>to</w:t>
      </w:r>
      <w:r>
        <w:rPr>
          <w:rFonts w:ascii="Georgia"/>
          <w:spacing w:val="-11"/>
          <w:w w:val="105"/>
        </w:rPr>
        <w:t xml:space="preserve"> </w:t>
      </w:r>
      <w:r>
        <w:rPr>
          <w:rFonts w:ascii="Georgia"/>
          <w:spacing w:val="-2"/>
          <w:w w:val="105"/>
        </w:rPr>
        <w:t>access</w:t>
      </w:r>
      <w:r>
        <w:rPr>
          <w:rFonts w:ascii="Georgia"/>
          <w:spacing w:val="-11"/>
          <w:w w:val="105"/>
        </w:rPr>
        <w:t xml:space="preserve"> </w:t>
      </w:r>
      <w:r>
        <w:rPr>
          <w:rFonts w:ascii="Georgia"/>
          <w:spacing w:val="-2"/>
          <w:w w:val="105"/>
        </w:rPr>
        <w:t>mental healthcare</w:t>
      </w:r>
    </w:p>
    <w:p w:rsidR="00200FDA" w:rsidRDefault="00200FDA">
      <w:pPr>
        <w:pStyle w:val="BodyText"/>
        <w:spacing w:before="9"/>
        <w:rPr>
          <w:rFonts w:ascii="Georgia"/>
          <w:sz w:val="8"/>
        </w:rPr>
      </w:pPr>
    </w:p>
    <w:p w:rsidR="00200FDA" w:rsidRDefault="00F76C4C">
      <w:pPr>
        <w:pStyle w:val="BodyText"/>
        <w:spacing w:line="20" w:lineRule="exact"/>
        <w:ind w:left="-370"/>
        <w:rPr>
          <w:rFonts w:ascii="Georgia"/>
          <w:sz w:val="2"/>
        </w:rPr>
      </w:pPr>
      <w:r>
        <w:rPr>
          <w:rFonts w:ascii="Georgia"/>
          <w:sz w:val="2"/>
        </w:rPr>
      </w:r>
      <w:r>
        <w:rPr>
          <w:rFonts w:ascii="Georgia"/>
          <w:sz w:val="2"/>
        </w:rPr>
        <w:pict>
          <v:group id="docshapegroup288" o:spid="_x0000_s1292" style="width:218.3pt;height:2.25pt;mso-position-horizontal-relative:char;mso-position-vertical-relative:line" coordsize="4366,45">
            <v:line id="_x0000_s1293" style="position:absolute" from="0,23" to="4365,23" strokecolor="#1b6a4e" strokeweight="2.25pt">
              <v:stroke dashstyle="3 1"/>
            </v:line>
            <w10:anchorlock/>
          </v:group>
        </w:pict>
      </w:r>
    </w:p>
    <w:p w:rsidR="00200FDA" w:rsidRDefault="00200FDA">
      <w:pPr>
        <w:pStyle w:val="BodyText"/>
        <w:spacing w:before="10"/>
        <w:rPr>
          <w:rFonts w:ascii="Georgia"/>
          <w:sz w:val="30"/>
        </w:rPr>
      </w:pPr>
    </w:p>
    <w:p w:rsidR="00200FDA" w:rsidRDefault="00F76C4C">
      <w:pPr>
        <w:pStyle w:val="Heading3"/>
        <w:ind w:left="1151" w:right="2153"/>
        <w:jc w:val="center"/>
      </w:pPr>
      <w:r>
        <w:rPr>
          <w:emboss/>
          <w:color w:val="1B6A4E"/>
          <w:spacing w:val="19"/>
        </w:rPr>
        <w:t>71%</w:t>
      </w:r>
    </w:p>
    <w:p w:rsidR="00200FDA" w:rsidRDefault="00F76C4C">
      <w:pPr>
        <w:pStyle w:val="BodyText"/>
        <w:spacing w:before="115" w:line="266" w:lineRule="auto"/>
        <w:ind w:left="548" w:right="1627" w:hanging="1"/>
        <w:jc w:val="center"/>
        <w:rPr>
          <w:rFonts w:ascii="Georgia"/>
        </w:rPr>
      </w:pPr>
      <w:r>
        <w:pict>
          <v:group id="docshapegroup289" o:spid="_x0000_s1289" style="position:absolute;left:0;text-align:left;margin-left:51.6pt;margin-top:20.95pt;width:273.15pt;height:254.6pt;z-index:15769600;mso-position-horizontal-relative:page" coordorigin="1032,419" coordsize="5463,5092">
            <v:shape id="docshape290" o:spid="_x0000_s1291" type="#_x0000_t75" style="position:absolute;left:1031;top:418;width:5463;height:5092">
              <v:imagedata r:id="rId359" o:title=""/>
            </v:shape>
            <v:shape id="docshape291" o:spid="_x0000_s1290" type="#_x0000_t202" style="position:absolute;left:1031;top:418;width:5463;height:5092" filled="f" stroked="f">
              <v:textbox inset="0,0,0,0">
                <w:txbxContent>
                  <w:p w:rsidR="00200FDA" w:rsidRDefault="00F76C4C">
                    <w:pPr>
                      <w:spacing w:before="191"/>
                      <w:ind w:left="211"/>
                      <w:rPr>
                        <w:b/>
                        <w:i/>
                        <w:sz w:val="34"/>
                      </w:rPr>
                    </w:pPr>
                    <w:r>
                      <w:rPr>
                        <w:b/>
                        <w:i/>
                        <w:spacing w:val="13"/>
                        <w:w w:val="125"/>
                        <w:sz w:val="34"/>
                      </w:rPr>
                      <w:t>RECOMMENDATIONS</w:t>
                    </w:r>
                  </w:p>
                  <w:p w:rsidR="00200FDA" w:rsidRDefault="00200FDA">
                    <w:pPr>
                      <w:spacing w:before="2"/>
                      <w:rPr>
                        <w:b/>
                        <w:i/>
                        <w:sz w:val="33"/>
                      </w:rPr>
                    </w:pPr>
                  </w:p>
                  <w:p w:rsidR="00200FDA" w:rsidRDefault="00F76C4C">
                    <w:pPr>
                      <w:spacing w:line="271" w:lineRule="auto"/>
                      <w:ind w:left="1032"/>
                      <w:rPr>
                        <w:rFonts w:ascii="Georgia"/>
                        <w:sz w:val="21"/>
                      </w:rPr>
                    </w:pPr>
                    <w:r>
                      <w:rPr>
                        <w:rFonts w:ascii="Georgia"/>
                        <w:sz w:val="21"/>
                      </w:rPr>
                      <w:t>Fund more statewide research about mental health and suicide prevention treatment approaches for LGBTQ youth.</w:t>
                    </w:r>
                  </w:p>
                  <w:p w:rsidR="00200FDA" w:rsidRDefault="00200FDA">
                    <w:pPr>
                      <w:spacing w:before="10"/>
                      <w:rPr>
                        <w:rFonts w:ascii="Georgia"/>
                        <w:sz w:val="29"/>
                      </w:rPr>
                    </w:pPr>
                  </w:p>
                  <w:p w:rsidR="00200FDA" w:rsidRDefault="00F76C4C">
                    <w:pPr>
                      <w:spacing w:line="271" w:lineRule="auto"/>
                      <w:ind w:left="1030" w:right="265"/>
                      <w:rPr>
                        <w:rFonts w:ascii="Georgia" w:hAnsi="Georgia"/>
                        <w:sz w:val="21"/>
                      </w:rPr>
                    </w:pPr>
                    <w:r>
                      <w:rPr>
                        <w:rFonts w:ascii="Georgia" w:hAnsi="Georgia"/>
                        <w:w w:val="105"/>
                        <w:sz w:val="21"/>
                      </w:rPr>
                      <w:t xml:space="preserve">Promote services that address youths’ intersectional identities, including race, </w:t>
                    </w:r>
                    <w:r>
                      <w:rPr>
                        <w:rFonts w:ascii="Georgia" w:hAnsi="Georgia"/>
                        <w:sz w:val="21"/>
                      </w:rPr>
                      <w:t xml:space="preserve">ethnicity, immigration, ability, involvement </w:t>
                    </w:r>
                    <w:r>
                      <w:rPr>
                        <w:rFonts w:ascii="Georgia" w:hAnsi="Georgia"/>
                        <w:w w:val="105"/>
                        <w:sz w:val="21"/>
                      </w:rPr>
                      <w:t xml:space="preserve">in juvenile justice or foster care, and rural </w:t>
                    </w:r>
                    <w:r>
                      <w:rPr>
                        <w:rFonts w:ascii="Georgia" w:hAnsi="Georgia"/>
                        <w:spacing w:val="-2"/>
                        <w:w w:val="105"/>
                        <w:sz w:val="21"/>
                      </w:rPr>
                      <w:t>residence.</w:t>
                    </w:r>
                  </w:p>
                  <w:p w:rsidR="00200FDA" w:rsidRDefault="00200FDA">
                    <w:pPr>
                      <w:spacing w:before="8"/>
                      <w:rPr>
                        <w:rFonts w:ascii="Georgia"/>
                        <w:sz w:val="31"/>
                      </w:rPr>
                    </w:pPr>
                  </w:p>
                  <w:p w:rsidR="00200FDA" w:rsidRDefault="00F76C4C">
                    <w:pPr>
                      <w:spacing w:line="271" w:lineRule="auto"/>
                      <w:ind w:left="1013" w:right="544"/>
                      <w:rPr>
                        <w:rFonts w:ascii="Georgia"/>
                        <w:sz w:val="21"/>
                      </w:rPr>
                    </w:pPr>
                    <w:r>
                      <w:rPr>
                        <w:rFonts w:ascii="Georgia"/>
                        <w:w w:val="105"/>
                        <w:sz w:val="21"/>
                      </w:rPr>
                      <w:t xml:space="preserve">Support reforms of the mental </w:t>
                    </w:r>
                    <w:r>
                      <w:rPr>
                        <w:rFonts w:ascii="Georgia"/>
                        <w:sz w:val="21"/>
                      </w:rPr>
                      <w:t>healthcare and health insurance systems.</w:t>
                    </w:r>
                  </w:p>
                </w:txbxContent>
              </v:textbox>
            </v:shape>
            <w10:wrap anchorx="page"/>
          </v:group>
        </w:pict>
      </w:r>
      <w:r>
        <w:rPr>
          <w:rFonts w:ascii="Georgia"/>
          <w:w w:val="105"/>
        </w:rPr>
        <w:t>Massachusetts LGBTQ youth</w:t>
      </w:r>
      <w:r>
        <w:rPr>
          <w:rFonts w:ascii="Georgia"/>
          <w:spacing w:val="-14"/>
          <w:w w:val="105"/>
        </w:rPr>
        <w:t xml:space="preserve"> </w:t>
      </w:r>
      <w:r>
        <w:rPr>
          <w:rFonts w:ascii="Georgia"/>
          <w:w w:val="105"/>
        </w:rPr>
        <w:t>experience</w:t>
      </w:r>
      <w:r>
        <w:rPr>
          <w:rFonts w:ascii="Georgia"/>
          <w:spacing w:val="-14"/>
          <w:w w:val="105"/>
        </w:rPr>
        <w:t xml:space="preserve"> </w:t>
      </w:r>
      <w:r>
        <w:rPr>
          <w:rFonts w:ascii="Georgia"/>
          <w:w w:val="105"/>
        </w:rPr>
        <w:t>anxiety</w:t>
      </w: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spacing w:before="6"/>
        <w:rPr>
          <w:rFonts w:ascii="Georgia"/>
          <w:sz w:val="14"/>
        </w:rPr>
      </w:pPr>
    </w:p>
    <w:p w:rsidR="00200FDA" w:rsidRDefault="00F76C4C">
      <w:pPr>
        <w:pStyle w:val="BodyText"/>
        <w:spacing w:line="20" w:lineRule="exact"/>
        <w:ind w:left="-370"/>
        <w:rPr>
          <w:rFonts w:ascii="Georgia"/>
          <w:sz w:val="2"/>
        </w:rPr>
      </w:pPr>
      <w:r>
        <w:rPr>
          <w:rFonts w:ascii="Georgia"/>
          <w:sz w:val="2"/>
        </w:rPr>
      </w:r>
      <w:r>
        <w:rPr>
          <w:rFonts w:ascii="Georgia"/>
          <w:sz w:val="2"/>
        </w:rPr>
        <w:pict>
          <v:group id="docshapegroup292" o:spid="_x0000_s1287" style="width:218.3pt;height:2.25pt;mso-position-horizontal-relative:char;mso-position-vertical-relative:line" coordsize="4366,45">
            <v:line id="_x0000_s1288" style="position:absolute" from="0,23" to="4365,23" strokecolor="#1b6a4e" strokeweight="2.25pt">
              <v:stroke dashstyle="3 1"/>
            </v:line>
            <w10:anchorlock/>
          </v:group>
        </w:pict>
      </w:r>
    </w:p>
    <w:p w:rsidR="00200FDA" w:rsidRDefault="00F76C4C">
      <w:pPr>
        <w:pStyle w:val="Heading3"/>
        <w:spacing w:before="51"/>
        <w:ind w:left="323" w:right="1401"/>
        <w:jc w:val="center"/>
      </w:pPr>
      <w:r>
        <w:rPr>
          <w:emboss/>
          <w:color w:val="1B6A4E"/>
          <w:spacing w:val="19"/>
        </w:rPr>
        <w:t>11%</w:t>
      </w:r>
    </w:p>
    <w:p w:rsidR="00200FDA" w:rsidRDefault="00F76C4C">
      <w:pPr>
        <w:pStyle w:val="BodyText"/>
        <w:spacing w:before="50" w:line="266" w:lineRule="auto"/>
        <w:ind w:left="470" w:right="1548" w:hanging="1"/>
        <w:jc w:val="center"/>
        <w:rPr>
          <w:rFonts w:ascii="Georgia"/>
        </w:rPr>
      </w:pPr>
      <w:r>
        <w:rPr>
          <w:rFonts w:ascii="Georgia"/>
          <w:w w:val="105"/>
        </w:rPr>
        <w:t>of Massachusetts LGBTQ youth</w:t>
      </w:r>
      <w:r>
        <w:rPr>
          <w:rFonts w:ascii="Georgia"/>
          <w:spacing w:val="-14"/>
          <w:w w:val="105"/>
        </w:rPr>
        <w:t xml:space="preserve"> </w:t>
      </w:r>
      <w:r>
        <w:rPr>
          <w:rFonts w:ascii="Georgia"/>
          <w:w w:val="105"/>
        </w:rPr>
        <w:t>attempted</w:t>
      </w:r>
      <w:r>
        <w:rPr>
          <w:rFonts w:ascii="Georgia"/>
          <w:spacing w:val="-14"/>
          <w:w w:val="105"/>
        </w:rPr>
        <w:t xml:space="preserve"> </w:t>
      </w:r>
      <w:r>
        <w:rPr>
          <w:rFonts w:ascii="Georgia"/>
          <w:w w:val="105"/>
        </w:rPr>
        <w:t>suicide</w:t>
      </w:r>
      <w:r>
        <w:rPr>
          <w:rFonts w:ascii="Georgia"/>
          <w:spacing w:val="-14"/>
          <w:w w:val="105"/>
        </w:rPr>
        <w:t xml:space="preserve"> </w:t>
      </w:r>
      <w:r>
        <w:rPr>
          <w:rFonts w:ascii="Georgia"/>
          <w:w w:val="105"/>
        </w:rPr>
        <w:t>in the past year</w:t>
      </w:r>
    </w:p>
    <w:p w:rsidR="00200FDA" w:rsidRDefault="00200FDA">
      <w:pPr>
        <w:spacing w:line="266" w:lineRule="auto"/>
        <w:jc w:val="center"/>
        <w:rPr>
          <w:rFonts w:ascii="Georgia"/>
        </w:rPr>
        <w:sectPr w:rsidR="00200FDA">
          <w:type w:val="continuous"/>
          <w:pgSz w:w="12240" w:h="15840"/>
          <w:pgMar w:top="720" w:right="300" w:bottom="280" w:left="920" w:header="0" w:footer="0" w:gutter="0"/>
          <w:cols w:num="2" w:space="720" w:equalWidth="0">
            <w:col w:w="5432" w:space="879"/>
            <w:col w:w="4709"/>
          </w:cols>
        </w:sectPr>
      </w:pPr>
    </w:p>
    <w:p w:rsidR="00200FDA" w:rsidRDefault="00F76C4C">
      <w:pPr>
        <w:pStyle w:val="BodyText"/>
        <w:spacing w:before="4"/>
        <w:rPr>
          <w:rFonts w:ascii="Georgia"/>
          <w:sz w:val="3"/>
        </w:rPr>
      </w:pPr>
      <w:r>
        <w:pict>
          <v:group id="docshapegroup293" o:spid="_x0000_s1282" style="position:absolute;margin-left:0;margin-top:0;width:609.9pt;height:419.3pt;z-index:-21298176;mso-position-horizontal-relative:page;mso-position-vertical-relative:page" coordsize="12198,8386">
            <v:shape id="docshape294" o:spid="_x0000_s1286" type="#_x0000_t75" style="position:absolute;width:12198;height:4912">
              <v:imagedata r:id="rId360" o:title=""/>
            </v:shape>
            <v:shape id="docshape295" o:spid="_x0000_s1285" type="#_x0000_t75" style="position:absolute;left:7839;top:1158;width:2333;height:2332">
              <v:imagedata r:id="rId143" o:title=""/>
            </v:shape>
            <v:shape id="docshape296" o:spid="_x0000_s1284" style="position:absolute;left:7818;top:1136;width:2375;height:2375" coordorigin="7818,1136" coordsize="2375,2375" o:spt="100" adj="0,,0" path="m9006,3511r-75,-2l8857,3502r-72,-11l8714,3475r-69,-20l8577,3431r-66,-27l8448,3372r-61,-35l8328,3298r-57,-41l8218,3211r-51,-48l8118,3112r-45,-54l8031,3002r-38,-59l7958,2882r-32,-64l7898,2752r-24,-67l7855,2616r-16,-71l7828,2473r-7,-74l7818,2324r3,-75l7828,2175r11,-72l7855,2032r19,-69l7898,1895r28,-65l7958,1766r35,-61l8031,1646r42,-56l8118,1536r49,-51l8218,1437r53,-46l8328,1350r59,-39l8448,1276r64,-32l8577,1217r68,-24l8714,1173r71,-16l8857,1146r74,-7l9006,1136r75,3l9155,1146r72,11l9298,1173r24,7l9006,1180r-75,2l8857,1189r-73,12l8714,1218r-69,20l8577,1263r-65,29l8449,1325r-60,36l8330,1401r-55,43l8222,1491r-49,50l8126,1593r-43,56l8043,1707r-37,60l7974,1830r-29,66l7920,1963r-21,69l7883,2103r-12,72l7864,2249r-2,75l7864,2399r7,74l7883,2545r16,71l7920,2685r25,67l7974,2818r32,63l8043,2941r40,58l8126,3055r47,52l8222,3157r53,47l8330,3247r59,40l8449,3323r63,33l8577,3385r68,25l8714,3430r70,17l8857,3459r74,7l9006,3468r316,l9298,3475r-71,16l9155,3502r-74,7l9006,3511xm9322,3468r-316,l9081,3466r74,-7l9227,3447r71,-17l9367,3410r67,-25l9499,3356r63,-33l9623,3287r58,-40l9737,3204r52,-47l9839,3107r47,-52l9929,2999r40,-58l10005,2881r33,-63l10067,2752r25,-67l10112,2616r17,-71l10140,2473r8,-74l10150,2324r-2,-75l10140,2175r-11,-72l10112,2032r-20,-69l10067,1896r-29,-66l10005,1767r-36,-60l9929,1649r-43,-56l9839,1541r-50,-50l9737,1444r-56,-43l9623,1361r-61,-36l9499,1292r-65,-29l9367,1238r-69,-20l9227,1201r-72,-12l9081,1182r-75,-2l9322,1180r45,13l9435,1217r65,27l9564,1276r61,35l9684,1350r56,41l9794,1437r51,48l9893,1536r45,54l9980,1646r39,59l10054,1766r31,64l10113,1896r24,67l10157,2032r16,71l10184,2175r7,74l10193,2324r-2,75l10184,2473r-11,72l10157,2616r-20,69l10113,2753r-28,65l10054,2882r-35,61l9980,3002r-42,56l9893,3112r-48,51l9794,3211r-54,46l9684,3298r-59,39l9564,3372r-64,32l9435,3431r-68,24l9322,3468xe" stroked="f">
              <v:stroke joinstyle="round"/>
              <v:formulas/>
              <v:path arrowok="t" o:connecttype="segments"/>
            </v:shape>
            <v:shape id="docshape297" o:spid="_x0000_s1283" type="#_x0000_t75" style="position:absolute;left:1031;top:4619;width:5463;height:3766">
              <v:imagedata r:id="rId361" o:title=""/>
            </v:shape>
            <w10:wrap anchorx="page" anchory="page"/>
          </v:group>
        </w:pict>
      </w:r>
    </w:p>
    <w:p w:rsidR="00200FDA" w:rsidRDefault="00F76C4C">
      <w:pPr>
        <w:pStyle w:val="BodyText"/>
        <w:ind w:left="6559"/>
        <w:rPr>
          <w:rFonts w:ascii="Georgia"/>
          <w:sz w:val="20"/>
        </w:rPr>
      </w:pPr>
      <w:r>
        <w:rPr>
          <w:rFonts w:ascii="Georgia"/>
          <w:noProof/>
          <w:sz w:val="20"/>
        </w:rPr>
        <w:drawing>
          <wp:inline distT="0" distB="0" distL="0" distR="0">
            <wp:extent cx="2768615" cy="2438400"/>
            <wp:effectExtent l="0" t="0" r="0" b="0"/>
            <wp:docPr id="61"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8.png"/>
                    <pic:cNvPicPr/>
                  </pic:nvPicPr>
                  <pic:blipFill>
                    <a:blip r:embed="rId362" cstate="print"/>
                    <a:stretch>
                      <a:fillRect/>
                    </a:stretch>
                  </pic:blipFill>
                  <pic:spPr>
                    <a:xfrm>
                      <a:off x="0" y="0"/>
                      <a:ext cx="2768615" cy="2438400"/>
                    </a:xfrm>
                    <a:prstGeom prst="rect">
                      <a:avLst/>
                    </a:prstGeom>
                  </pic:spPr>
                </pic:pic>
              </a:graphicData>
            </a:graphic>
          </wp:inline>
        </w:drawing>
      </w:r>
    </w:p>
    <w:p w:rsidR="00200FDA" w:rsidRDefault="00200FDA">
      <w:pPr>
        <w:rPr>
          <w:rFonts w:ascii="Georgia"/>
          <w:sz w:val="20"/>
        </w:rPr>
        <w:sectPr w:rsidR="00200FDA">
          <w:type w:val="continuous"/>
          <w:pgSz w:w="12240" w:h="15840"/>
          <w:pgMar w:top="720" w:right="300" w:bottom="280" w:left="920" w:header="0" w:footer="0" w:gutter="0"/>
          <w:cols w:space="720"/>
        </w:sectPr>
      </w:pPr>
    </w:p>
    <w:p w:rsidR="00200FDA" w:rsidRDefault="00200FDA">
      <w:pPr>
        <w:pStyle w:val="BodyText"/>
        <w:rPr>
          <w:rFonts w:ascii="Georgia"/>
          <w:sz w:val="20"/>
        </w:rPr>
      </w:pPr>
    </w:p>
    <w:p w:rsidR="00200FDA" w:rsidRDefault="00200FDA">
      <w:pPr>
        <w:pStyle w:val="BodyText"/>
        <w:spacing w:before="10"/>
        <w:rPr>
          <w:rFonts w:ascii="Georgia"/>
          <w:sz w:val="17"/>
        </w:rPr>
      </w:pPr>
    </w:p>
    <w:p w:rsidR="00200FDA" w:rsidRDefault="00F76C4C">
      <w:pPr>
        <w:spacing w:before="35"/>
        <w:ind w:left="140"/>
        <w:rPr>
          <w:sz w:val="32"/>
        </w:rPr>
      </w:pPr>
      <w:r>
        <w:pict>
          <v:rect id="docshape301" o:spid="_x0000_s1281" style="position:absolute;left:0;text-align:left;margin-left:70.55pt;margin-top:22.25pt;width:470.9pt;height:.5pt;z-index:-15687168;mso-wrap-distance-left:0;mso-wrap-distance-right:0;mso-position-horizontal-relative:page" fillcolor="#0f6ec5" stroked="f">
            <w10:wrap type="topAndBottom" anchorx="page"/>
          </v:rect>
        </w:pict>
      </w:r>
      <w:bookmarkStart w:id="471" w:name="PEDH_-_Edited.pdf"/>
      <w:bookmarkStart w:id="472" w:name="Addressing_Pediatric_Health"/>
      <w:bookmarkStart w:id="473" w:name="_bookmark351"/>
      <w:bookmarkEnd w:id="471"/>
      <w:bookmarkEnd w:id="472"/>
      <w:bookmarkEnd w:id="473"/>
      <w:r>
        <w:fldChar w:fldCharType="begin"/>
      </w:r>
      <w:r>
        <w:instrText xml:space="preserve"> HYPERLINK \l "_bookmark2" </w:instrText>
      </w:r>
      <w:r>
        <w:fldChar w:fldCharType="separate"/>
      </w:r>
      <w:r>
        <w:rPr>
          <w:color w:val="0A5293"/>
          <w:sz w:val="32"/>
        </w:rPr>
        <w:t>Addressing</w:t>
      </w:r>
      <w:r>
        <w:rPr>
          <w:color w:val="0A5293"/>
          <w:spacing w:val="-13"/>
          <w:sz w:val="32"/>
        </w:rPr>
        <w:t xml:space="preserve"> </w:t>
      </w:r>
      <w:r>
        <w:rPr>
          <w:color w:val="0A5293"/>
          <w:sz w:val="32"/>
        </w:rPr>
        <w:t>Pediatric</w:t>
      </w:r>
      <w:r>
        <w:rPr>
          <w:color w:val="0A5293"/>
          <w:spacing w:val="-14"/>
          <w:sz w:val="32"/>
        </w:rPr>
        <w:t xml:space="preserve"> </w:t>
      </w:r>
      <w:r>
        <w:rPr>
          <w:color w:val="0A5293"/>
          <w:spacing w:val="-2"/>
          <w:sz w:val="32"/>
        </w:rPr>
        <w:t>Health</w:t>
      </w:r>
      <w:r>
        <w:rPr>
          <w:color w:val="0A5293"/>
          <w:spacing w:val="-2"/>
          <w:sz w:val="32"/>
        </w:rPr>
        <w:fldChar w:fldCharType="end"/>
      </w:r>
    </w:p>
    <w:p w:rsidR="00200FDA" w:rsidRDefault="00200FDA">
      <w:pPr>
        <w:pStyle w:val="BodyText"/>
        <w:rPr>
          <w:sz w:val="20"/>
        </w:rPr>
      </w:pPr>
    </w:p>
    <w:p w:rsidR="00200FDA" w:rsidRDefault="00F76C4C">
      <w:pPr>
        <w:pStyle w:val="Heading7"/>
        <w:spacing w:before="187"/>
        <w:ind w:left="140"/>
      </w:pPr>
      <w:r>
        <w:pict>
          <v:rect id="docshape302" o:spid="_x0000_s1280" style="position:absolute;left:0;text-align:left;margin-left:70.55pt;margin-top:27.25pt;width:470.9pt;height:.5pt;z-index:-15686656;mso-wrap-distance-left:0;mso-wrap-distance-right:0;mso-position-horizontal-relative:page" fillcolor="#0f6ec5" stroked="f">
            <w10:wrap type="topAndBottom" anchorx="page"/>
          </v:rect>
        </w:pict>
      </w:r>
      <w:r>
        <w:rPr>
          <w:color w:val="0A5293"/>
          <w:spacing w:val="-2"/>
        </w:rPr>
        <w:t>Introduction</w:t>
      </w:r>
    </w:p>
    <w:p w:rsidR="00200FDA" w:rsidRDefault="00200FDA">
      <w:pPr>
        <w:pStyle w:val="BodyText"/>
        <w:rPr>
          <w:sz w:val="15"/>
        </w:rPr>
      </w:pPr>
    </w:p>
    <w:p w:rsidR="00200FDA" w:rsidRDefault="00F76C4C">
      <w:pPr>
        <w:pStyle w:val="BodyText"/>
        <w:spacing w:before="56" w:line="276" w:lineRule="auto"/>
        <w:ind w:left="140" w:right="134"/>
        <w:jc w:val="both"/>
      </w:pPr>
      <w:r>
        <w:t>The</w:t>
      </w:r>
      <w:r>
        <w:rPr>
          <w:spacing w:val="-11"/>
        </w:rPr>
        <w:t xml:space="preserve"> </w:t>
      </w:r>
      <w:r>
        <w:t>history</w:t>
      </w:r>
      <w:r>
        <w:rPr>
          <w:spacing w:val="-13"/>
        </w:rPr>
        <w:t xml:space="preserve"> </w:t>
      </w:r>
      <w:r>
        <w:t>of</w:t>
      </w:r>
      <w:r>
        <w:rPr>
          <w:spacing w:val="-12"/>
        </w:rPr>
        <w:t xml:space="preserve"> </w:t>
      </w:r>
      <w:r>
        <w:t>LGBTQ</w:t>
      </w:r>
      <w:r>
        <w:rPr>
          <w:spacing w:val="-11"/>
        </w:rPr>
        <w:t xml:space="preserve"> </w:t>
      </w:r>
      <w:r>
        <w:t>pediatric</w:t>
      </w:r>
      <w:r>
        <w:rPr>
          <w:spacing w:val="-11"/>
        </w:rPr>
        <w:t xml:space="preserve"> </w:t>
      </w:r>
      <w:r>
        <w:t>health</w:t>
      </w:r>
      <w:r>
        <w:rPr>
          <w:spacing w:val="-12"/>
        </w:rPr>
        <w:t xml:space="preserve"> </w:t>
      </w:r>
      <w:r>
        <w:t>is</w:t>
      </w:r>
      <w:r>
        <w:rPr>
          <w:spacing w:val="-11"/>
        </w:rPr>
        <w:t xml:space="preserve"> </w:t>
      </w:r>
      <w:r>
        <w:t>plagued</w:t>
      </w:r>
      <w:r>
        <w:rPr>
          <w:spacing w:val="-12"/>
        </w:rPr>
        <w:t xml:space="preserve"> </w:t>
      </w:r>
      <w:r>
        <w:t>by</w:t>
      </w:r>
      <w:r>
        <w:rPr>
          <w:spacing w:val="-11"/>
        </w:rPr>
        <w:t xml:space="preserve"> </w:t>
      </w:r>
      <w:r>
        <w:t>stigma,</w:t>
      </w:r>
      <w:r>
        <w:rPr>
          <w:spacing w:val="-11"/>
        </w:rPr>
        <w:t xml:space="preserve"> </w:t>
      </w:r>
      <w:r>
        <w:t>discrimination,</w:t>
      </w:r>
      <w:r>
        <w:rPr>
          <w:spacing w:val="-11"/>
        </w:rPr>
        <w:t xml:space="preserve"> </w:t>
      </w:r>
      <w:r>
        <w:t>and</w:t>
      </w:r>
      <w:r>
        <w:rPr>
          <w:spacing w:val="-12"/>
        </w:rPr>
        <w:t xml:space="preserve"> </w:t>
      </w:r>
      <w:r>
        <w:t>violence,</w:t>
      </w:r>
      <w:r>
        <w:rPr>
          <w:spacing w:val="-11"/>
        </w:rPr>
        <w:t xml:space="preserve"> </w:t>
      </w:r>
      <w:r>
        <w:t>and</w:t>
      </w:r>
      <w:r>
        <w:rPr>
          <w:spacing w:val="-12"/>
        </w:rPr>
        <w:t xml:space="preserve"> </w:t>
      </w:r>
      <w:r>
        <w:t>LGBTQ</w:t>
      </w:r>
      <w:r>
        <w:rPr>
          <w:spacing w:val="-11"/>
        </w:rPr>
        <w:t xml:space="preserve"> </w:t>
      </w:r>
      <w:r>
        <w:t>youth in the Commonwealth continue to face numerous challenges in accessing quality, culturally competent healthcare. It is imperative that the Commonwealth continue to address priority needs identified in subsequent</w:t>
      </w:r>
      <w:r>
        <w:t xml:space="preserve"> sections of this report, while also taking on additional challenges identified in this section while</w:t>
      </w:r>
      <w:r>
        <w:rPr>
          <w:spacing w:val="-13"/>
        </w:rPr>
        <w:t xml:space="preserve"> </w:t>
      </w:r>
      <w:r>
        <w:t>prioritizing</w:t>
      </w:r>
      <w:r>
        <w:rPr>
          <w:spacing w:val="-12"/>
        </w:rPr>
        <w:t xml:space="preserve"> </w:t>
      </w:r>
      <w:r>
        <w:t>addressing</w:t>
      </w:r>
      <w:r>
        <w:rPr>
          <w:spacing w:val="-13"/>
        </w:rPr>
        <w:t xml:space="preserve"> </w:t>
      </w:r>
      <w:r>
        <w:t>the</w:t>
      </w:r>
      <w:r>
        <w:rPr>
          <w:spacing w:val="-12"/>
        </w:rPr>
        <w:t xml:space="preserve"> </w:t>
      </w:r>
      <w:r>
        <w:t>multiple</w:t>
      </w:r>
      <w:r>
        <w:rPr>
          <w:spacing w:val="-13"/>
        </w:rPr>
        <w:t xml:space="preserve"> </w:t>
      </w:r>
      <w:r>
        <w:t>forms</w:t>
      </w:r>
      <w:r>
        <w:rPr>
          <w:spacing w:val="-12"/>
        </w:rPr>
        <w:t xml:space="preserve"> </w:t>
      </w:r>
      <w:r>
        <w:t>of</w:t>
      </w:r>
      <w:r>
        <w:rPr>
          <w:spacing w:val="-13"/>
        </w:rPr>
        <w:t xml:space="preserve"> </w:t>
      </w:r>
      <w:r>
        <w:t>oppression</w:t>
      </w:r>
      <w:r>
        <w:rPr>
          <w:spacing w:val="-12"/>
        </w:rPr>
        <w:t xml:space="preserve"> </w:t>
      </w:r>
      <w:r>
        <w:t>often</w:t>
      </w:r>
      <w:r>
        <w:rPr>
          <w:spacing w:val="-12"/>
        </w:rPr>
        <w:t xml:space="preserve"> </w:t>
      </w:r>
      <w:r>
        <w:t>experienced</w:t>
      </w:r>
      <w:r>
        <w:rPr>
          <w:spacing w:val="-13"/>
        </w:rPr>
        <w:t xml:space="preserve"> </w:t>
      </w:r>
      <w:r>
        <w:t>by</w:t>
      </w:r>
      <w:r>
        <w:rPr>
          <w:spacing w:val="-12"/>
        </w:rPr>
        <w:t xml:space="preserve"> </w:t>
      </w:r>
      <w:r>
        <w:t>individuals</w:t>
      </w:r>
      <w:r>
        <w:rPr>
          <w:spacing w:val="-10"/>
        </w:rPr>
        <w:t xml:space="preserve"> </w:t>
      </w:r>
      <w:r>
        <w:t>in</w:t>
      </w:r>
      <w:r>
        <w:rPr>
          <w:spacing w:val="-12"/>
        </w:rPr>
        <w:t xml:space="preserve"> </w:t>
      </w:r>
      <w:r>
        <w:t>uniquely adverse situations.</w:t>
      </w:r>
      <w:hyperlink w:anchor="_bookmark352" w:history="1">
        <w:r>
          <w:rPr>
            <w:vertAlign w:val="superscript"/>
          </w:rPr>
          <w:t>1</w:t>
        </w:r>
      </w:hyperlink>
      <w:r>
        <w:rPr>
          <w:spacing w:val="-2"/>
        </w:rPr>
        <w:t xml:space="preserve"> </w:t>
      </w:r>
      <w:r>
        <w:t>The Commonwealth</w:t>
      </w:r>
      <w:r>
        <w:rPr>
          <w:spacing w:val="-2"/>
        </w:rPr>
        <w:t xml:space="preserve"> </w:t>
      </w:r>
      <w:r>
        <w:t xml:space="preserve">must address the social inequities that create health disparities amongst marginalized and underserved communities, focus on social determinants of health, and move away from an individualistic model of care. For the first time in recent </w:t>
      </w:r>
      <w:r>
        <w:t>years, the Commission dedicates this</w:t>
      </w:r>
      <w:r>
        <w:rPr>
          <w:spacing w:val="-1"/>
        </w:rPr>
        <w:t xml:space="preserve"> </w:t>
      </w:r>
      <w:r>
        <w:t>new health</w:t>
      </w:r>
      <w:r>
        <w:rPr>
          <w:spacing w:val="-2"/>
        </w:rPr>
        <w:t xml:space="preserve"> </w:t>
      </w:r>
      <w:r>
        <w:t>section</w:t>
      </w:r>
      <w:r>
        <w:rPr>
          <w:spacing w:val="-4"/>
        </w:rPr>
        <w:t xml:space="preserve"> </w:t>
      </w:r>
      <w:r>
        <w:t>to</w:t>
      </w:r>
      <w:r>
        <w:rPr>
          <w:spacing w:val="-2"/>
        </w:rPr>
        <w:t xml:space="preserve"> </w:t>
      </w:r>
      <w:r>
        <w:t>research</w:t>
      </w:r>
      <w:r>
        <w:rPr>
          <w:spacing w:val="-2"/>
        </w:rPr>
        <w:t xml:space="preserve"> </w:t>
      </w:r>
      <w:r>
        <w:t>and</w:t>
      </w:r>
      <w:r>
        <w:rPr>
          <w:spacing w:val="-2"/>
        </w:rPr>
        <w:t xml:space="preserve"> </w:t>
      </w:r>
      <w:r>
        <w:t>recommendations</w:t>
      </w:r>
      <w:r>
        <w:rPr>
          <w:spacing w:val="-1"/>
        </w:rPr>
        <w:t xml:space="preserve"> </w:t>
      </w:r>
      <w:r>
        <w:t>in</w:t>
      </w:r>
      <w:r>
        <w:rPr>
          <w:spacing w:val="-2"/>
        </w:rPr>
        <w:t xml:space="preserve"> </w:t>
      </w:r>
      <w:r>
        <w:t>the</w:t>
      </w:r>
      <w:r>
        <w:rPr>
          <w:spacing w:val="-2"/>
        </w:rPr>
        <w:t xml:space="preserve"> </w:t>
      </w:r>
      <w:r>
        <w:t>specific areas</w:t>
      </w:r>
      <w:r>
        <w:rPr>
          <w:spacing w:val="-3"/>
        </w:rPr>
        <w:t xml:space="preserve"> </w:t>
      </w:r>
      <w:r>
        <w:t>of</w:t>
      </w:r>
      <w:r>
        <w:rPr>
          <w:spacing w:val="-4"/>
        </w:rPr>
        <w:t xml:space="preserve"> </w:t>
      </w:r>
      <w:r>
        <w:t>pediatric</w:t>
      </w:r>
      <w:r>
        <w:rPr>
          <w:spacing w:val="-1"/>
        </w:rPr>
        <w:t xml:space="preserve"> </w:t>
      </w:r>
      <w:r>
        <w:t>health,</w:t>
      </w:r>
      <w:r>
        <w:rPr>
          <w:spacing w:val="-3"/>
        </w:rPr>
        <w:t xml:space="preserve"> </w:t>
      </w:r>
      <w:r>
        <w:t>or</w:t>
      </w:r>
      <w:r>
        <w:rPr>
          <w:spacing w:val="-3"/>
        </w:rPr>
        <w:t xml:space="preserve"> </w:t>
      </w:r>
      <w:r>
        <w:t>the health care of youth under 18.</w:t>
      </w:r>
    </w:p>
    <w:p w:rsidR="00200FDA" w:rsidRDefault="00200FDA">
      <w:pPr>
        <w:pStyle w:val="BodyText"/>
        <w:spacing w:before="11"/>
        <w:rPr>
          <w:sz w:val="32"/>
        </w:rPr>
      </w:pPr>
    </w:p>
    <w:p w:rsidR="00200FDA" w:rsidRDefault="00F76C4C">
      <w:pPr>
        <w:pStyle w:val="Heading7"/>
        <w:ind w:left="140"/>
        <w:jc w:val="both"/>
      </w:pPr>
      <w:r>
        <w:pict>
          <v:rect id="docshape303" o:spid="_x0000_s1279" style="position:absolute;left:0;text-align:left;margin-left:70.55pt;margin-top:18.15pt;width:470.9pt;height:.5pt;z-index:-15686144;mso-wrap-distance-left:0;mso-wrap-distance-right:0;mso-position-horizontal-relative:page" fillcolor="#0f6ec5" stroked="f">
            <w10:wrap type="topAndBottom" anchorx="page"/>
          </v:rect>
        </w:pict>
      </w:r>
      <w:r>
        <w:rPr>
          <w:color w:val="0A5293"/>
        </w:rPr>
        <w:t>FY</w:t>
      </w:r>
      <w:r>
        <w:rPr>
          <w:color w:val="0A5293"/>
          <w:spacing w:val="-7"/>
        </w:rPr>
        <w:t xml:space="preserve"> </w:t>
      </w:r>
      <w:r>
        <w:rPr>
          <w:color w:val="0A5293"/>
        </w:rPr>
        <w:t>2024</w:t>
      </w:r>
      <w:r>
        <w:rPr>
          <w:color w:val="0A5293"/>
          <w:spacing w:val="-6"/>
        </w:rPr>
        <w:t xml:space="preserve"> </w:t>
      </w:r>
      <w:r>
        <w:rPr>
          <w:color w:val="0A5293"/>
        </w:rPr>
        <w:t>Recommendations</w:t>
      </w:r>
      <w:r>
        <w:rPr>
          <w:color w:val="0A5293"/>
          <w:spacing w:val="-5"/>
        </w:rPr>
        <w:t xml:space="preserve"> </w:t>
      </w:r>
      <w:r>
        <w:rPr>
          <w:color w:val="0A5293"/>
        </w:rPr>
        <w:t>to</w:t>
      </w:r>
      <w:r>
        <w:rPr>
          <w:color w:val="0A5293"/>
          <w:spacing w:val="-5"/>
        </w:rPr>
        <w:t xml:space="preserve"> </w:t>
      </w:r>
      <w:r>
        <w:rPr>
          <w:color w:val="0A5293"/>
        </w:rPr>
        <w:t>the</w:t>
      </w:r>
      <w:r>
        <w:rPr>
          <w:color w:val="0A5293"/>
          <w:spacing w:val="-6"/>
        </w:rPr>
        <w:t xml:space="preserve"> </w:t>
      </w:r>
      <w:r>
        <w:rPr>
          <w:color w:val="0A5293"/>
        </w:rPr>
        <w:t>Governor</w:t>
      </w:r>
      <w:r>
        <w:rPr>
          <w:color w:val="0A5293"/>
          <w:spacing w:val="-5"/>
        </w:rPr>
        <w:t xml:space="preserve"> </w:t>
      </w:r>
      <w:r>
        <w:rPr>
          <w:color w:val="0A5293"/>
        </w:rPr>
        <w:t>and</w:t>
      </w:r>
      <w:r>
        <w:rPr>
          <w:color w:val="0A5293"/>
          <w:spacing w:val="-7"/>
        </w:rPr>
        <w:t xml:space="preserve"> </w:t>
      </w:r>
      <w:r>
        <w:rPr>
          <w:color w:val="0A5293"/>
        </w:rPr>
        <w:t>Legislature</w:t>
      </w:r>
      <w:r>
        <w:rPr>
          <w:color w:val="0A5293"/>
          <w:spacing w:val="-6"/>
        </w:rPr>
        <w:t xml:space="preserve"> </w:t>
      </w:r>
      <w:r>
        <w:rPr>
          <w:color w:val="0A5293"/>
        </w:rPr>
        <w:t>on</w:t>
      </w:r>
      <w:r>
        <w:rPr>
          <w:color w:val="0A5293"/>
          <w:spacing w:val="-7"/>
        </w:rPr>
        <w:t xml:space="preserve"> </w:t>
      </w:r>
      <w:r>
        <w:rPr>
          <w:color w:val="0A5293"/>
        </w:rPr>
        <w:t>Pediatric</w:t>
      </w:r>
      <w:r>
        <w:rPr>
          <w:color w:val="0A5293"/>
          <w:spacing w:val="-5"/>
        </w:rPr>
        <w:t xml:space="preserve"> </w:t>
      </w:r>
      <w:r>
        <w:rPr>
          <w:color w:val="0A5293"/>
          <w:spacing w:val="-2"/>
        </w:rPr>
        <w:t>Health</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32"/>
        </w:numPr>
        <w:tabs>
          <w:tab w:val="left" w:pos="361"/>
        </w:tabs>
        <w:spacing w:before="56"/>
        <w:jc w:val="both"/>
      </w:pPr>
      <w:r>
        <w:t>Invest</w:t>
      </w:r>
      <w:r>
        <w:rPr>
          <w:spacing w:val="-8"/>
        </w:rPr>
        <w:t xml:space="preserve"> </w:t>
      </w:r>
      <w:r>
        <w:t>in</w:t>
      </w:r>
      <w:r>
        <w:rPr>
          <w:spacing w:val="-4"/>
        </w:rPr>
        <w:t xml:space="preserve"> </w:t>
      </w:r>
      <w:r>
        <w:t>access</w:t>
      </w:r>
      <w:r>
        <w:rPr>
          <w:spacing w:val="-5"/>
        </w:rPr>
        <w:t xml:space="preserve"> </w:t>
      </w:r>
      <w:r>
        <w:t>to</w:t>
      </w:r>
      <w:r>
        <w:rPr>
          <w:spacing w:val="-7"/>
        </w:rPr>
        <w:t xml:space="preserve"> </w:t>
      </w:r>
      <w:r>
        <w:t>culturally</w:t>
      </w:r>
      <w:r>
        <w:rPr>
          <w:spacing w:val="-4"/>
        </w:rPr>
        <w:t xml:space="preserve"> </w:t>
      </w:r>
      <w:r>
        <w:t>competent</w:t>
      </w:r>
      <w:r>
        <w:rPr>
          <w:spacing w:val="-3"/>
        </w:rPr>
        <w:t xml:space="preserve"> </w:t>
      </w:r>
      <w:r>
        <w:t>LGBTQ</w:t>
      </w:r>
      <w:r>
        <w:rPr>
          <w:spacing w:val="-4"/>
        </w:rPr>
        <w:t xml:space="preserve"> </w:t>
      </w:r>
      <w:r>
        <w:t>healthcare</w:t>
      </w:r>
      <w:r>
        <w:rPr>
          <w:spacing w:val="-6"/>
        </w:rPr>
        <w:t xml:space="preserve"> </w:t>
      </w:r>
      <w:r>
        <w:t>in</w:t>
      </w:r>
      <w:r>
        <w:rPr>
          <w:spacing w:val="-4"/>
        </w:rPr>
        <w:t xml:space="preserve"> </w:t>
      </w:r>
      <w:r>
        <w:t>rural</w:t>
      </w:r>
      <w:r>
        <w:rPr>
          <w:spacing w:val="-3"/>
        </w:rPr>
        <w:t xml:space="preserve"> </w:t>
      </w:r>
      <w:r>
        <w:t>and</w:t>
      </w:r>
      <w:r>
        <w:rPr>
          <w:spacing w:val="-4"/>
        </w:rPr>
        <w:t xml:space="preserve"> </w:t>
      </w:r>
      <w:r>
        <w:t>underserved</w:t>
      </w:r>
      <w:r>
        <w:rPr>
          <w:spacing w:val="-6"/>
        </w:rPr>
        <w:t xml:space="preserve"> </w:t>
      </w:r>
      <w:r>
        <w:rPr>
          <w:spacing w:val="-2"/>
        </w:rPr>
        <w:t>communities.</w:t>
      </w:r>
    </w:p>
    <w:p w:rsidR="00200FDA" w:rsidRDefault="00F76C4C">
      <w:pPr>
        <w:pStyle w:val="BodyText"/>
        <w:spacing w:before="159" w:line="276" w:lineRule="auto"/>
        <w:ind w:left="139" w:right="135"/>
        <w:jc w:val="both"/>
      </w:pPr>
      <w:r>
        <w:t>The Commission recommends that the state continue to invest in and broaden access to affirming healthcare for LGBTQ youth across the state, particularly in rural and u</w:t>
      </w:r>
      <w:r>
        <w:t>nderserved communities. Given the national attacks against gender-affirming care, it is likely that Massachusetts will see a significant increase in out-of-state patients needing gender-affirming care services - with LGBTQ youth in Massachusetts</w:t>
      </w:r>
      <w:r>
        <w:rPr>
          <w:spacing w:val="-2"/>
        </w:rPr>
        <w:t xml:space="preserve"> </w:t>
      </w:r>
      <w:r>
        <w:t>already st</w:t>
      </w:r>
      <w:r>
        <w:t>ruggling to access</w:t>
      </w:r>
      <w:r>
        <w:rPr>
          <w:spacing w:val="-2"/>
        </w:rPr>
        <w:t xml:space="preserve"> </w:t>
      </w:r>
      <w:r>
        <w:t>facilities</w:t>
      </w:r>
      <w:r>
        <w:rPr>
          <w:spacing w:val="-2"/>
        </w:rPr>
        <w:t xml:space="preserve"> </w:t>
      </w:r>
      <w:r>
        <w:t>with long</w:t>
      </w:r>
      <w:r>
        <w:rPr>
          <w:spacing w:val="-2"/>
        </w:rPr>
        <w:t xml:space="preserve"> </w:t>
      </w:r>
      <w:r>
        <w:t>wait</w:t>
      </w:r>
      <w:r>
        <w:rPr>
          <w:spacing w:val="-1"/>
        </w:rPr>
        <w:t xml:space="preserve"> </w:t>
      </w:r>
      <w:r>
        <w:t>times</w:t>
      </w:r>
      <w:r>
        <w:rPr>
          <w:spacing w:val="-2"/>
        </w:rPr>
        <w:t xml:space="preserve"> </w:t>
      </w:r>
      <w:r>
        <w:t>or</w:t>
      </w:r>
      <w:r>
        <w:rPr>
          <w:spacing w:val="-2"/>
        </w:rPr>
        <w:t xml:space="preserve"> </w:t>
      </w:r>
      <w:r>
        <w:t>high costs,</w:t>
      </w:r>
      <w:r>
        <w:rPr>
          <w:spacing w:val="-2"/>
        </w:rPr>
        <w:t xml:space="preserve"> </w:t>
      </w:r>
      <w:r>
        <w:t>it</w:t>
      </w:r>
      <w:r>
        <w:rPr>
          <w:spacing w:val="-2"/>
        </w:rPr>
        <w:t xml:space="preserve"> </w:t>
      </w:r>
      <w:r>
        <w:t>is</w:t>
      </w:r>
      <w:r>
        <w:rPr>
          <w:spacing w:val="-2"/>
        </w:rPr>
        <w:t xml:space="preserve"> </w:t>
      </w:r>
      <w:r>
        <w:t>essential</w:t>
      </w:r>
      <w:r>
        <w:rPr>
          <w:spacing w:val="-2"/>
        </w:rPr>
        <w:t xml:space="preserve"> </w:t>
      </w:r>
      <w:r>
        <w:t>that Massachusetts invest in building capacity for LGBTQ healthcare across the state. Furthermore, the Commission</w:t>
      </w:r>
      <w:r>
        <w:rPr>
          <w:spacing w:val="-13"/>
        </w:rPr>
        <w:t xml:space="preserve"> </w:t>
      </w:r>
      <w:r>
        <w:t>recommends</w:t>
      </w:r>
      <w:r>
        <w:rPr>
          <w:spacing w:val="-12"/>
        </w:rPr>
        <w:t xml:space="preserve"> </w:t>
      </w:r>
      <w:r>
        <w:t>that</w:t>
      </w:r>
      <w:r>
        <w:rPr>
          <w:spacing w:val="-10"/>
        </w:rPr>
        <w:t xml:space="preserve"> </w:t>
      </w:r>
      <w:r>
        <w:t>the</w:t>
      </w:r>
      <w:r>
        <w:rPr>
          <w:spacing w:val="-9"/>
        </w:rPr>
        <w:t xml:space="preserve"> </w:t>
      </w:r>
      <w:r>
        <w:t>Commonwealth</w:t>
      </w:r>
      <w:r>
        <w:rPr>
          <w:spacing w:val="-13"/>
        </w:rPr>
        <w:t xml:space="preserve"> </w:t>
      </w:r>
      <w:r>
        <w:t>make</w:t>
      </w:r>
      <w:r>
        <w:rPr>
          <w:spacing w:val="-11"/>
        </w:rPr>
        <w:t xml:space="preserve"> </w:t>
      </w:r>
      <w:r>
        <w:t>a</w:t>
      </w:r>
      <w:r>
        <w:rPr>
          <w:spacing w:val="-10"/>
        </w:rPr>
        <w:t xml:space="preserve"> </w:t>
      </w:r>
      <w:r>
        <w:t>systemic</w:t>
      </w:r>
      <w:r>
        <w:rPr>
          <w:spacing w:val="-12"/>
        </w:rPr>
        <w:t xml:space="preserve"> </w:t>
      </w:r>
      <w:r>
        <w:t>investment</w:t>
      </w:r>
      <w:r>
        <w:rPr>
          <w:spacing w:val="-12"/>
        </w:rPr>
        <w:t xml:space="preserve"> </w:t>
      </w:r>
      <w:r>
        <w:t>in</w:t>
      </w:r>
      <w:r>
        <w:rPr>
          <w:spacing w:val="-13"/>
        </w:rPr>
        <w:t xml:space="preserve"> </w:t>
      </w:r>
      <w:r>
        <w:t>telehealth</w:t>
      </w:r>
      <w:r>
        <w:rPr>
          <w:spacing w:val="-12"/>
        </w:rPr>
        <w:t xml:space="preserve"> </w:t>
      </w:r>
      <w:r>
        <w:t>services</w:t>
      </w:r>
      <w:r>
        <w:rPr>
          <w:spacing w:val="-12"/>
        </w:rPr>
        <w:t xml:space="preserve"> </w:t>
      </w:r>
      <w:r>
        <w:t>and create parity in primary care telehealth insurance reimbursement.</w:t>
      </w:r>
    </w:p>
    <w:p w:rsidR="00200FDA" w:rsidRDefault="00200FDA">
      <w:pPr>
        <w:pStyle w:val="BodyText"/>
        <w:spacing w:before="11"/>
        <w:rPr>
          <w:sz w:val="31"/>
        </w:rPr>
      </w:pPr>
    </w:p>
    <w:p w:rsidR="00200FDA" w:rsidRDefault="00F76C4C">
      <w:pPr>
        <w:pStyle w:val="Heading9"/>
        <w:numPr>
          <w:ilvl w:val="0"/>
          <w:numId w:val="32"/>
        </w:numPr>
        <w:tabs>
          <w:tab w:val="left" w:pos="416"/>
        </w:tabs>
        <w:ind w:left="139" w:right="132" w:firstLine="0"/>
        <w:jc w:val="both"/>
      </w:pPr>
      <w:r>
        <w:t>Invest in substantial community-based, participatory, action-oriented research with non-white LGBTQ youth to better understand the needs of this population, and i</w:t>
      </w:r>
      <w:r>
        <w:t xml:space="preserve">mprove SOGIE data collection </w:t>
      </w:r>
      <w:r>
        <w:rPr>
          <w:spacing w:val="-2"/>
        </w:rPr>
        <w:t>standards.</w:t>
      </w:r>
    </w:p>
    <w:p w:rsidR="00200FDA" w:rsidRDefault="00F76C4C">
      <w:pPr>
        <w:pStyle w:val="BodyText"/>
        <w:spacing w:before="119" w:line="276" w:lineRule="auto"/>
        <w:ind w:left="139" w:right="135"/>
        <w:jc w:val="both"/>
      </w:pPr>
      <w:r>
        <w:t>Comprehensive</w:t>
      </w:r>
      <w:r>
        <w:rPr>
          <w:spacing w:val="-1"/>
        </w:rPr>
        <w:t xml:space="preserve"> </w:t>
      </w:r>
      <w:r>
        <w:t>research</w:t>
      </w:r>
      <w:r>
        <w:rPr>
          <w:spacing w:val="-3"/>
        </w:rPr>
        <w:t xml:space="preserve"> </w:t>
      </w:r>
      <w:r>
        <w:t>on</w:t>
      </w:r>
      <w:r>
        <w:rPr>
          <w:spacing w:val="-1"/>
        </w:rPr>
        <w:t xml:space="preserve"> </w:t>
      </w:r>
      <w:r>
        <w:t>the</w:t>
      </w:r>
      <w:r>
        <w:rPr>
          <w:spacing w:val="-1"/>
        </w:rPr>
        <w:t xml:space="preserve"> </w:t>
      </w:r>
      <w:r>
        <w:t>needs</w:t>
      </w:r>
      <w:r>
        <w:rPr>
          <w:spacing w:val="-4"/>
        </w:rPr>
        <w:t xml:space="preserve"> </w:t>
      </w:r>
      <w:r>
        <w:t>of</w:t>
      </w:r>
      <w:r>
        <w:rPr>
          <w:spacing w:val="-1"/>
        </w:rPr>
        <w:t xml:space="preserve"> </w:t>
      </w:r>
      <w:r>
        <w:t>underserved</w:t>
      </w:r>
      <w:r>
        <w:rPr>
          <w:spacing w:val="-1"/>
        </w:rPr>
        <w:t xml:space="preserve"> </w:t>
      </w:r>
      <w:r>
        <w:t>youth</w:t>
      </w:r>
      <w:r>
        <w:rPr>
          <w:spacing w:val="-1"/>
        </w:rPr>
        <w:t xml:space="preserve"> </w:t>
      </w:r>
      <w:r>
        <w:t>is</w:t>
      </w:r>
      <w:r>
        <w:rPr>
          <w:spacing w:val="-2"/>
        </w:rPr>
        <w:t xml:space="preserve"> </w:t>
      </w:r>
      <w:r>
        <w:t>essential</w:t>
      </w:r>
      <w:r>
        <w:rPr>
          <w:spacing w:val="-2"/>
        </w:rPr>
        <w:t xml:space="preserve"> </w:t>
      </w:r>
      <w:r>
        <w:t>to better</w:t>
      </w:r>
      <w:r>
        <w:rPr>
          <w:spacing w:val="-1"/>
        </w:rPr>
        <w:t xml:space="preserve"> </w:t>
      </w:r>
      <w:r>
        <w:t>understand</w:t>
      </w:r>
      <w:r>
        <w:rPr>
          <w:spacing w:val="-1"/>
        </w:rPr>
        <w:t xml:space="preserve"> </w:t>
      </w:r>
      <w:r>
        <w:t>needs</w:t>
      </w:r>
      <w:r>
        <w:rPr>
          <w:spacing w:val="-2"/>
        </w:rPr>
        <w:t xml:space="preserve"> </w:t>
      </w:r>
      <w:r>
        <w:t>and gaps in service provision. The Commission urges decision-makers to invest in new community-based research and needs</w:t>
      </w:r>
      <w:r>
        <w:t xml:space="preserve"> assessments that prioritizes the experiences of QTBIPOC youth, families, and providers across the state. Through this outreach, these partnerships can engage sustainable participation, and ultimately create long-lasting, community-driven interventions.</w:t>
      </w:r>
      <w:hyperlink w:anchor="_bookmark353" w:history="1">
        <w:r>
          <w:rPr>
            <w:vertAlign w:val="superscript"/>
          </w:rPr>
          <w:t>2</w:t>
        </w:r>
      </w:hyperlink>
    </w:p>
    <w:p w:rsidR="00200FDA" w:rsidRDefault="00F76C4C">
      <w:pPr>
        <w:pStyle w:val="BodyText"/>
        <w:spacing w:before="121" w:line="273" w:lineRule="auto"/>
        <w:ind w:left="140" w:right="134"/>
        <w:jc w:val="both"/>
      </w:pPr>
      <w:r>
        <w:t>The</w:t>
      </w:r>
      <w:r>
        <w:rPr>
          <w:spacing w:val="-1"/>
        </w:rPr>
        <w:t xml:space="preserve"> </w:t>
      </w:r>
      <w:r>
        <w:t>Commission</w:t>
      </w:r>
      <w:r>
        <w:rPr>
          <w:spacing w:val="-3"/>
        </w:rPr>
        <w:t xml:space="preserve"> </w:t>
      </w:r>
      <w:r>
        <w:t>further</w:t>
      </w:r>
      <w:r>
        <w:rPr>
          <w:spacing w:val="-2"/>
        </w:rPr>
        <w:t xml:space="preserve"> </w:t>
      </w:r>
      <w:r>
        <w:t>recommends</w:t>
      </w:r>
      <w:r>
        <w:rPr>
          <w:spacing w:val="-2"/>
        </w:rPr>
        <w:t xml:space="preserve"> </w:t>
      </w:r>
      <w:r>
        <w:t>that</w:t>
      </w:r>
      <w:r>
        <w:rPr>
          <w:spacing w:val="-1"/>
        </w:rPr>
        <w:t xml:space="preserve"> </w:t>
      </w:r>
      <w:r>
        <w:t>the</w:t>
      </w:r>
      <w:r>
        <w:rPr>
          <w:spacing w:val="-1"/>
        </w:rPr>
        <w:t xml:space="preserve"> </w:t>
      </w:r>
      <w:r>
        <w:t>state</w:t>
      </w:r>
      <w:r>
        <w:rPr>
          <w:spacing w:val="-1"/>
        </w:rPr>
        <w:t xml:space="preserve"> </w:t>
      </w:r>
      <w:r>
        <w:t>advance</w:t>
      </w:r>
      <w:r>
        <w:rPr>
          <w:spacing w:val="-1"/>
        </w:rPr>
        <w:t xml:space="preserve"> </w:t>
      </w:r>
      <w:r>
        <w:t>its</w:t>
      </w:r>
      <w:r>
        <w:rPr>
          <w:spacing w:val="-2"/>
        </w:rPr>
        <w:t xml:space="preserve"> </w:t>
      </w:r>
      <w:r>
        <w:t>SOGIE</w:t>
      </w:r>
      <w:r>
        <w:rPr>
          <w:spacing w:val="-2"/>
        </w:rPr>
        <w:t xml:space="preserve"> </w:t>
      </w:r>
      <w:r>
        <w:t>data</w:t>
      </w:r>
      <w:r>
        <w:rPr>
          <w:spacing w:val="-2"/>
        </w:rPr>
        <w:t xml:space="preserve"> </w:t>
      </w:r>
      <w:r>
        <w:t>collection</w:t>
      </w:r>
      <w:r>
        <w:rPr>
          <w:spacing w:val="-3"/>
        </w:rPr>
        <w:t xml:space="preserve"> </w:t>
      </w:r>
      <w:r>
        <w:t>practices</w:t>
      </w:r>
      <w:r>
        <w:rPr>
          <w:spacing w:val="-2"/>
        </w:rPr>
        <w:t xml:space="preserve"> </w:t>
      </w:r>
      <w:r>
        <w:t>to</w:t>
      </w:r>
      <w:r>
        <w:rPr>
          <w:spacing w:val="-1"/>
        </w:rPr>
        <w:t xml:space="preserve"> </w:t>
      </w:r>
      <w:r>
        <w:t>take</w:t>
      </w:r>
      <w:r>
        <w:rPr>
          <w:spacing w:val="-4"/>
        </w:rPr>
        <w:t xml:space="preserve"> </w:t>
      </w:r>
      <w:r>
        <w:t>a broader</w:t>
      </w:r>
      <w:r>
        <w:rPr>
          <w:spacing w:val="-1"/>
        </w:rPr>
        <w:t xml:space="preserve"> </w:t>
      </w:r>
      <w:r>
        <w:t>understanding</w:t>
      </w:r>
      <w:r>
        <w:rPr>
          <w:spacing w:val="-1"/>
        </w:rPr>
        <w:t xml:space="preserve"> </w:t>
      </w:r>
      <w:r>
        <w:t>of</w:t>
      </w:r>
      <w:r>
        <w:rPr>
          <w:spacing w:val="-3"/>
        </w:rPr>
        <w:t xml:space="preserve"> </w:t>
      </w:r>
      <w:r>
        <w:t>the disparities</w:t>
      </w:r>
      <w:r>
        <w:rPr>
          <w:spacing w:val="-3"/>
        </w:rPr>
        <w:t xml:space="preserve"> </w:t>
      </w:r>
      <w:r>
        <w:t>in</w:t>
      </w:r>
      <w:r>
        <w:rPr>
          <w:spacing w:val="-1"/>
        </w:rPr>
        <w:t xml:space="preserve"> </w:t>
      </w:r>
      <w:r>
        <w:t>healthcare.</w:t>
      </w:r>
      <w:r>
        <w:rPr>
          <w:spacing w:val="-1"/>
        </w:rPr>
        <w:t xml:space="preserve"> </w:t>
      </w:r>
      <w:r>
        <w:t>The lack</w:t>
      </w:r>
      <w:r>
        <w:rPr>
          <w:spacing w:val="-2"/>
        </w:rPr>
        <w:t xml:space="preserve"> </w:t>
      </w:r>
      <w:r>
        <w:t>of</w:t>
      </w:r>
      <w:r>
        <w:rPr>
          <w:spacing w:val="-1"/>
        </w:rPr>
        <w:t xml:space="preserve"> </w:t>
      </w:r>
      <w:r>
        <w:t>standardized</w:t>
      </w:r>
      <w:r>
        <w:rPr>
          <w:spacing w:val="-1"/>
        </w:rPr>
        <w:t xml:space="preserve"> </w:t>
      </w:r>
      <w:r>
        <w:t>data</w:t>
      </w:r>
      <w:r>
        <w:rPr>
          <w:spacing w:val="-1"/>
        </w:rPr>
        <w:t xml:space="preserve"> </w:t>
      </w:r>
      <w:r>
        <w:t>collection</w:t>
      </w:r>
      <w:r>
        <w:rPr>
          <w:spacing w:val="-1"/>
        </w:rPr>
        <w:t xml:space="preserve"> </w:t>
      </w:r>
      <w:r>
        <w:t>practices</w:t>
      </w:r>
    </w:p>
    <w:p w:rsidR="00200FDA" w:rsidRDefault="00200FDA">
      <w:pPr>
        <w:spacing w:line="273" w:lineRule="auto"/>
        <w:jc w:val="both"/>
        <w:sectPr w:rsidR="00200FDA">
          <w:headerReference w:type="default" r:id="rId363"/>
          <w:footerReference w:type="default" r:id="rId364"/>
          <w:pgSz w:w="12240" w:h="15840"/>
          <w:pgMar w:top="1360" w:right="1300" w:bottom="1320" w:left="1300" w:header="761" w:footer="1132" w:gutter="0"/>
          <w:pgNumType w:start="82"/>
          <w:cols w:space="720"/>
        </w:sectPr>
      </w:pPr>
    </w:p>
    <w:p w:rsidR="00200FDA" w:rsidRDefault="00F76C4C">
      <w:pPr>
        <w:pStyle w:val="BodyText"/>
        <w:spacing w:before="64" w:line="276" w:lineRule="auto"/>
        <w:ind w:left="139" w:right="134"/>
        <w:jc w:val="both"/>
        <w:rPr>
          <w:b/>
        </w:rPr>
      </w:pPr>
      <w:r>
        <w:lastRenderedPageBreak/>
        <w:t>has resulted in a failure to understand the impact of the pandemic among LGBTQ communities.</w:t>
      </w:r>
      <w:hyperlink w:anchor="_bookmark354" w:history="1">
        <w:r>
          <w:rPr>
            <w:vertAlign w:val="superscript"/>
          </w:rPr>
          <w:t>3</w:t>
        </w:r>
      </w:hyperlink>
      <w:r>
        <w:rPr>
          <w:spacing w:val="-2"/>
        </w:rPr>
        <w:t xml:space="preserve"> </w:t>
      </w:r>
      <w:r>
        <w:t>More inclusive data collection, including inclusive electronic health records (EHRs), can be life-saving.</w:t>
      </w:r>
      <w:r>
        <w:rPr>
          <w:spacing w:val="-13"/>
        </w:rPr>
        <w:t xml:space="preserve"> </w:t>
      </w:r>
      <w:hyperlink w:anchor="_bookmark355" w:history="1">
        <w:r>
          <w:rPr>
            <w:vertAlign w:val="superscript"/>
          </w:rPr>
          <w:t>4</w:t>
        </w:r>
      </w:hyperlink>
      <w:r>
        <w:t xml:space="preserve"> The Governor’s office can also learn from the recently released Federal Evidence Agenda on LGBTQ Equity that represe</w:t>
      </w:r>
      <w:r>
        <w:t>nts an important step forward in collecting SOGI data.</w:t>
      </w:r>
      <w:hyperlink w:anchor="_bookmark356" w:history="1">
        <w:r>
          <w:rPr>
            <w:b/>
            <w:vertAlign w:val="superscript"/>
          </w:rPr>
          <w:t>5</w:t>
        </w:r>
      </w:hyperlink>
    </w:p>
    <w:p w:rsidR="00200FDA" w:rsidRDefault="00200FDA">
      <w:pPr>
        <w:pStyle w:val="BodyText"/>
        <w:spacing w:before="11"/>
        <w:rPr>
          <w:b/>
          <w:sz w:val="31"/>
        </w:rPr>
      </w:pPr>
    </w:p>
    <w:p w:rsidR="00200FDA" w:rsidRDefault="00F76C4C">
      <w:pPr>
        <w:pStyle w:val="Heading9"/>
        <w:numPr>
          <w:ilvl w:val="0"/>
          <w:numId w:val="32"/>
        </w:numPr>
        <w:tabs>
          <w:tab w:val="left" w:pos="359"/>
        </w:tabs>
        <w:ind w:left="140" w:right="135" w:firstLine="0"/>
        <w:jc w:val="both"/>
      </w:pPr>
      <w:r>
        <w:t>Improve</w:t>
      </w:r>
      <w:r>
        <w:rPr>
          <w:spacing w:val="-6"/>
        </w:rPr>
        <w:t xml:space="preserve"> </w:t>
      </w:r>
      <w:r>
        <w:t>research</w:t>
      </w:r>
      <w:r>
        <w:rPr>
          <w:spacing w:val="-6"/>
        </w:rPr>
        <w:t xml:space="preserve"> </w:t>
      </w:r>
      <w:r>
        <w:t>on</w:t>
      </w:r>
      <w:r>
        <w:rPr>
          <w:spacing w:val="-8"/>
        </w:rPr>
        <w:t xml:space="preserve"> </w:t>
      </w:r>
      <w:r>
        <w:t>intersex</w:t>
      </w:r>
      <w:r>
        <w:rPr>
          <w:spacing w:val="-6"/>
        </w:rPr>
        <w:t xml:space="preserve"> </w:t>
      </w:r>
      <w:r>
        <w:t>youth</w:t>
      </w:r>
      <w:r>
        <w:rPr>
          <w:spacing w:val="-8"/>
        </w:rPr>
        <w:t xml:space="preserve"> </w:t>
      </w:r>
      <w:r>
        <w:t>communities,</w:t>
      </w:r>
      <w:r>
        <w:rPr>
          <w:spacing w:val="-7"/>
        </w:rPr>
        <w:t xml:space="preserve"> </w:t>
      </w:r>
      <w:r>
        <w:t>and</w:t>
      </w:r>
      <w:r>
        <w:rPr>
          <w:spacing w:val="-6"/>
        </w:rPr>
        <w:t xml:space="preserve"> </w:t>
      </w:r>
      <w:r>
        <w:t>prohibit</w:t>
      </w:r>
      <w:r>
        <w:rPr>
          <w:spacing w:val="-5"/>
        </w:rPr>
        <w:t xml:space="preserve"> </w:t>
      </w:r>
      <w:r>
        <w:t>non-consensual</w:t>
      </w:r>
      <w:r>
        <w:rPr>
          <w:spacing w:val="-4"/>
        </w:rPr>
        <w:t xml:space="preserve"> </w:t>
      </w:r>
      <w:r>
        <w:t>unnecessary</w:t>
      </w:r>
      <w:r>
        <w:rPr>
          <w:spacing w:val="-7"/>
        </w:rPr>
        <w:t xml:space="preserve"> </w:t>
      </w:r>
      <w:r>
        <w:t>medical interventions on minors.</w:t>
      </w:r>
    </w:p>
    <w:p w:rsidR="00200FDA" w:rsidRDefault="00F76C4C">
      <w:pPr>
        <w:pStyle w:val="BodyText"/>
        <w:spacing w:before="118" w:line="276" w:lineRule="auto"/>
        <w:ind w:left="139" w:right="132"/>
        <w:jc w:val="both"/>
      </w:pPr>
      <w:r>
        <w:t xml:space="preserve">There is a significant and concerning lack of </w:t>
      </w:r>
      <w:r>
        <w:t>information at the state level about the experiences of intersex youth in healthcare spaces. As some intersex youth identify with the LGBTQ community, the Commission urges the Commonwealth to increase its research efforts to better understand the unique ne</w:t>
      </w:r>
      <w:r>
        <w:t xml:space="preserve">eds of intersex youth. Additionally, the Commission strongly recommends that the state prohibit the non-consensual practices of performing medically unnecessary surgeries on intersex infants to reconstruct genitalia, except for when emergency intervention </w:t>
      </w:r>
      <w:r>
        <w:t>is necessary. By postponing non- consensual surgeries, minor patients are more able to fully participate in decision-making around their own bodies at a later date.</w:t>
      </w:r>
      <w:hyperlink w:anchor="_bookmark357" w:history="1">
        <w:r>
          <w:rPr>
            <w:vertAlign w:val="superscript"/>
          </w:rPr>
          <w:t>6</w:t>
        </w:r>
      </w:hyperlink>
    </w:p>
    <w:p w:rsidR="00200FDA" w:rsidRDefault="00200FDA">
      <w:pPr>
        <w:pStyle w:val="BodyText"/>
        <w:spacing w:before="3"/>
        <w:rPr>
          <w:sz w:val="35"/>
        </w:rPr>
      </w:pPr>
    </w:p>
    <w:p w:rsidR="00200FDA" w:rsidRDefault="00F76C4C">
      <w:pPr>
        <w:pStyle w:val="Heading9"/>
        <w:numPr>
          <w:ilvl w:val="0"/>
          <w:numId w:val="32"/>
        </w:numPr>
        <w:tabs>
          <w:tab w:val="left" w:pos="361"/>
        </w:tabs>
        <w:spacing w:before="1"/>
        <w:ind w:hanging="222"/>
        <w:jc w:val="both"/>
      </w:pPr>
      <w:r>
        <w:t>Expand</w:t>
      </w:r>
      <w:r>
        <w:rPr>
          <w:spacing w:val="-8"/>
        </w:rPr>
        <w:t xml:space="preserve"> </w:t>
      </w:r>
      <w:r>
        <w:t>coverage</w:t>
      </w:r>
      <w:r>
        <w:rPr>
          <w:spacing w:val="-7"/>
        </w:rPr>
        <w:t xml:space="preserve"> </w:t>
      </w:r>
      <w:r>
        <w:t>of</w:t>
      </w:r>
      <w:r>
        <w:rPr>
          <w:spacing w:val="-4"/>
        </w:rPr>
        <w:t xml:space="preserve"> </w:t>
      </w:r>
      <w:r>
        <w:t>gender-affirming</w:t>
      </w:r>
      <w:r>
        <w:rPr>
          <w:spacing w:val="-6"/>
        </w:rPr>
        <w:t xml:space="preserve"> </w:t>
      </w:r>
      <w:r>
        <w:t>care</w:t>
      </w:r>
      <w:r>
        <w:rPr>
          <w:spacing w:val="-5"/>
        </w:rPr>
        <w:t xml:space="preserve"> </w:t>
      </w:r>
      <w:r>
        <w:t>and</w:t>
      </w:r>
      <w:r>
        <w:rPr>
          <w:spacing w:val="-5"/>
        </w:rPr>
        <w:t xml:space="preserve"> </w:t>
      </w:r>
      <w:r>
        <w:t>increase</w:t>
      </w:r>
      <w:r>
        <w:rPr>
          <w:spacing w:val="-6"/>
        </w:rPr>
        <w:t xml:space="preserve"> </w:t>
      </w:r>
      <w:r>
        <w:t>reimbursement</w:t>
      </w:r>
      <w:r>
        <w:rPr>
          <w:spacing w:val="-4"/>
        </w:rPr>
        <w:t xml:space="preserve"> </w:t>
      </w:r>
      <w:r>
        <w:t>to</w:t>
      </w:r>
      <w:r>
        <w:rPr>
          <w:spacing w:val="-7"/>
        </w:rPr>
        <w:t xml:space="preserve"> </w:t>
      </w:r>
      <w:r>
        <w:t>incentivize</w:t>
      </w:r>
      <w:r>
        <w:rPr>
          <w:spacing w:val="-7"/>
        </w:rPr>
        <w:t xml:space="preserve"> </w:t>
      </w:r>
      <w:r>
        <w:rPr>
          <w:spacing w:val="-2"/>
        </w:rPr>
        <w:t>care.</w:t>
      </w:r>
    </w:p>
    <w:p w:rsidR="00200FDA" w:rsidRDefault="00F76C4C">
      <w:pPr>
        <w:pStyle w:val="BodyText"/>
        <w:spacing w:before="158" w:line="276" w:lineRule="auto"/>
        <w:ind w:left="139" w:right="133"/>
        <w:jc w:val="both"/>
      </w:pPr>
      <w:r>
        <w:t>There</w:t>
      </w:r>
      <w:r>
        <w:rPr>
          <w:spacing w:val="-4"/>
        </w:rPr>
        <w:t xml:space="preserve"> </w:t>
      </w:r>
      <w:r>
        <w:t>are</w:t>
      </w:r>
      <w:r>
        <w:rPr>
          <w:spacing w:val="-4"/>
        </w:rPr>
        <w:t xml:space="preserve"> </w:t>
      </w:r>
      <w:r>
        <w:t>multiple</w:t>
      </w:r>
      <w:r>
        <w:rPr>
          <w:spacing w:val="-4"/>
        </w:rPr>
        <w:t xml:space="preserve"> </w:t>
      </w:r>
      <w:r>
        <w:t>tenets</w:t>
      </w:r>
      <w:r>
        <w:rPr>
          <w:spacing w:val="-7"/>
        </w:rPr>
        <w:t xml:space="preserve"> </w:t>
      </w:r>
      <w:r>
        <w:t>of</w:t>
      </w:r>
      <w:r>
        <w:rPr>
          <w:spacing w:val="-5"/>
        </w:rPr>
        <w:t xml:space="preserve"> </w:t>
      </w:r>
      <w:r>
        <w:t>gender-affirming</w:t>
      </w:r>
      <w:r>
        <w:rPr>
          <w:spacing w:val="-5"/>
        </w:rPr>
        <w:t xml:space="preserve"> </w:t>
      </w:r>
      <w:r>
        <w:t>care;</w:t>
      </w:r>
      <w:r>
        <w:rPr>
          <w:spacing w:val="-3"/>
        </w:rPr>
        <w:t xml:space="preserve"> </w:t>
      </w:r>
      <w:r>
        <w:t>as</w:t>
      </w:r>
      <w:r>
        <w:rPr>
          <w:spacing w:val="-7"/>
        </w:rPr>
        <w:t xml:space="preserve"> </w:t>
      </w:r>
      <w:r>
        <w:t>defined</w:t>
      </w:r>
      <w:r>
        <w:rPr>
          <w:spacing w:val="-5"/>
        </w:rPr>
        <w:t xml:space="preserve"> </w:t>
      </w:r>
      <w:r>
        <w:t>by</w:t>
      </w:r>
      <w:r>
        <w:rPr>
          <w:spacing w:val="-3"/>
        </w:rPr>
        <w:t xml:space="preserve"> </w:t>
      </w:r>
      <w:r>
        <w:t>the</w:t>
      </w:r>
      <w:r>
        <w:rPr>
          <w:spacing w:val="-6"/>
        </w:rPr>
        <w:t xml:space="preserve"> </w:t>
      </w:r>
      <w:r>
        <w:t>World</w:t>
      </w:r>
      <w:r>
        <w:rPr>
          <w:spacing w:val="-5"/>
        </w:rPr>
        <w:t xml:space="preserve"> </w:t>
      </w:r>
      <w:r>
        <w:t>Health</w:t>
      </w:r>
      <w:r>
        <w:rPr>
          <w:spacing w:val="-5"/>
        </w:rPr>
        <w:t xml:space="preserve"> </w:t>
      </w:r>
      <w:r>
        <w:t>Organization,</w:t>
      </w:r>
      <w:r>
        <w:rPr>
          <w:spacing w:val="-4"/>
        </w:rPr>
        <w:t xml:space="preserve"> </w:t>
      </w:r>
      <w:r>
        <w:t>gender- affirming</w:t>
      </w:r>
      <w:r>
        <w:rPr>
          <w:spacing w:val="-4"/>
        </w:rPr>
        <w:t xml:space="preserve"> </w:t>
      </w:r>
      <w:r>
        <w:t>care</w:t>
      </w:r>
      <w:r>
        <w:rPr>
          <w:spacing w:val="-2"/>
        </w:rPr>
        <w:t xml:space="preserve"> </w:t>
      </w:r>
      <w:r>
        <w:t>includes</w:t>
      </w:r>
      <w:r>
        <w:rPr>
          <w:spacing w:val="-5"/>
        </w:rPr>
        <w:t xml:space="preserve"> </w:t>
      </w:r>
      <w:r>
        <w:t>social,</w:t>
      </w:r>
      <w:r>
        <w:rPr>
          <w:spacing w:val="-3"/>
        </w:rPr>
        <w:t xml:space="preserve"> </w:t>
      </w:r>
      <w:r>
        <w:t>psychological,</w:t>
      </w:r>
      <w:r>
        <w:rPr>
          <w:spacing w:val="-3"/>
        </w:rPr>
        <w:t xml:space="preserve"> </w:t>
      </w:r>
      <w:r>
        <w:t>behavioral,</w:t>
      </w:r>
      <w:r>
        <w:rPr>
          <w:spacing w:val="-3"/>
        </w:rPr>
        <w:t xml:space="preserve"> </w:t>
      </w:r>
      <w:r>
        <w:t>and</w:t>
      </w:r>
      <w:r>
        <w:rPr>
          <w:spacing w:val="-6"/>
        </w:rPr>
        <w:t xml:space="preserve"> </w:t>
      </w:r>
      <w:r>
        <w:t>medical</w:t>
      </w:r>
      <w:r>
        <w:rPr>
          <w:spacing w:val="-5"/>
        </w:rPr>
        <w:t xml:space="preserve"> </w:t>
      </w:r>
      <w:r>
        <w:t>interventions</w:t>
      </w:r>
      <w:r>
        <w:rPr>
          <w:spacing w:val="-3"/>
        </w:rPr>
        <w:t xml:space="preserve"> </w:t>
      </w:r>
      <w:r>
        <w:t>that</w:t>
      </w:r>
      <w:r>
        <w:rPr>
          <w:spacing w:val="-5"/>
        </w:rPr>
        <w:t xml:space="preserve"> </w:t>
      </w:r>
      <w:r>
        <w:t>affirm</w:t>
      </w:r>
      <w:r>
        <w:rPr>
          <w:spacing w:val="-2"/>
        </w:rPr>
        <w:t xml:space="preserve"> </w:t>
      </w:r>
      <w:r>
        <w:t>a</w:t>
      </w:r>
      <w:r>
        <w:rPr>
          <w:spacing w:val="-5"/>
        </w:rPr>
        <w:t xml:space="preserve"> </w:t>
      </w:r>
      <w:r>
        <w:t>patient’s gender</w:t>
      </w:r>
      <w:r>
        <w:rPr>
          <w:spacing w:val="-5"/>
        </w:rPr>
        <w:t xml:space="preserve"> </w:t>
      </w:r>
      <w:r>
        <w:t>identity</w:t>
      </w:r>
      <w:r>
        <w:rPr>
          <w:spacing w:val="-4"/>
        </w:rPr>
        <w:t xml:space="preserve"> </w:t>
      </w:r>
      <w:r>
        <w:t>and</w:t>
      </w:r>
      <w:r>
        <w:rPr>
          <w:spacing w:val="-8"/>
        </w:rPr>
        <w:t xml:space="preserve"> </w:t>
      </w:r>
      <w:r>
        <w:t>expression.</w:t>
      </w:r>
      <w:r>
        <w:rPr>
          <w:spacing w:val="-6"/>
        </w:rPr>
        <w:t xml:space="preserve"> </w:t>
      </w:r>
      <w:r>
        <w:t>Therefore,</w:t>
      </w:r>
      <w:r>
        <w:rPr>
          <w:spacing w:val="-8"/>
        </w:rPr>
        <w:t xml:space="preserve"> </w:t>
      </w:r>
      <w:r>
        <w:t>gender-affirming</w:t>
      </w:r>
      <w:r>
        <w:rPr>
          <w:spacing w:val="-6"/>
        </w:rPr>
        <w:t xml:space="preserve"> </w:t>
      </w:r>
      <w:r>
        <w:t>care</w:t>
      </w:r>
      <w:r>
        <w:rPr>
          <w:spacing w:val="-5"/>
        </w:rPr>
        <w:t xml:space="preserve"> </w:t>
      </w:r>
      <w:r>
        <w:t>coverage</w:t>
      </w:r>
      <w:r>
        <w:rPr>
          <w:spacing w:val="-7"/>
        </w:rPr>
        <w:t xml:space="preserve"> </w:t>
      </w:r>
      <w:r>
        <w:t>should</w:t>
      </w:r>
      <w:r>
        <w:rPr>
          <w:spacing w:val="-6"/>
        </w:rPr>
        <w:t xml:space="preserve"> </w:t>
      </w:r>
      <w:r>
        <w:t>include,</w:t>
      </w:r>
      <w:r>
        <w:rPr>
          <w:spacing w:val="-5"/>
        </w:rPr>
        <w:t xml:space="preserve"> </w:t>
      </w:r>
      <w:r>
        <w:t>though</w:t>
      </w:r>
      <w:r>
        <w:rPr>
          <w:spacing w:val="-6"/>
        </w:rPr>
        <w:t xml:space="preserve"> </w:t>
      </w:r>
      <w:r>
        <w:t>not</w:t>
      </w:r>
      <w:r>
        <w:rPr>
          <w:spacing w:val="-7"/>
        </w:rPr>
        <w:t xml:space="preserve"> </w:t>
      </w:r>
      <w:r>
        <w:t>be limited to, hair removal, voice therapy, and increased access to family-building services.</w:t>
      </w:r>
      <w:r>
        <w:rPr>
          <w:spacing w:val="40"/>
        </w:rPr>
        <w:t xml:space="preserve"> </w:t>
      </w:r>
      <w:r>
        <w:t>Furthermore, the</w:t>
      </w:r>
      <w:r>
        <w:rPr>
          <w:spacing w:val="-1"/>
        </w:rPr>
        <w:t xml:space="preserve"> </w:t>
      </w:r>
      <w:r>
        <w:t>Commission</w:t>
      </w:r>
      <w:r>
        <w:rPr>
          <w:spacing w:val="-3"/>
        </w:rPr>
        <w:t xml:space="preserve"> </w:t>
      </w:r>
      <w:r>
        <w:t>recommends</w:t>
      </w:r>
      <w:r>
        <w:rPr>
          <w:spacing w:val="-2"/>
        </w:rPr>
        <w:t xml:space="preserve"> </w:t>
      </w:r>
      <w:r>
        <w:t>that</w:t>
      </w:r>
      <w:r>
        <w:rPr>
          <w:spacing w:val="-1"/>
        </w:rPr>
        <w:t xml:space="preserve"> </w:t>
      </w:r>
      <w:r>
        <w:t>the</w:t>
      </w:r>
      <w:r>
        <w:rPr>
          <w:spacing w:val="-1"/>
        </w:rPr>
        <w:t xml:space="preserve"> </w:t>
      </w:r>
      <w:r>
        <w:t>Commonwealth</w:t>
      </w:r>
      <w:r>
        <w:rPr>
          <w:spacing w:val="-3"/>
        </w:rPr>
        <w:t xml:space="preserve"> </w:t>
      </w:r>
      <w:r>
        <w:t>conside</w:t>
      </w:r>
      <w:r>
        <w:t>r</w:t>
      </w:r>
      <w:r>
        <w:rPr>
          <w:spacing w:val="-2"/>
        </w:rPr>
        <w:t xml:space="preserve"> </w:t>
      </w:r>
      <w:r>
        <w:t>codifying</w:t>
      </w:r>
      <w:r>
        <w:rPr>
          <w:spacing w:val="-3"/>
        </w:rPr>
        <w:t xml:space="preserve"> </w:t>
      </w:r>
      <w:r>
        <w:t>the</w:t>
      </w:r>
      <w:r>
        <w:rPr>
          <w:spacing w:val="-4"/>
        </w:rPr>
        <w:t xml:space="preserve"> </w:t>
      </w:r>
      <w:r>
        <w:t>provisions</w:t>
      </w:r>
      <w:r>
        <w:rPr>
          <w:spacing w:val="-4"/>
        </w:rPr>
        <w:t xml:space="preserve"> </w:t>
      </w:r>
      <w:r>
        <w:t>of</w:t>
      </w:r>
      <w:r>
        <w:rPr>
          <w:spacing w:val="-2"/>
        </w:rPr>
        <w:t xml:space="preserve"> </w:t>
      </w:r>
      <w:r>
        <w:t>the</w:t>
      </w:r>
      <w:r>
        <w:rPr>
          <w:spacing w:val="-4"/>
        </w:rPr>
        <w:t xml:space="preserve"> </w:t>
      </w:r>
      <w:r>
        <w:t>2021</w:t>
      </w:r>
      <w:r>
        <w:rPr>
          <w:spacing w:val="-3"/>
        </w:rPr>
        <w:t xml:space="preserve"> </w:t>
      </w:r>
      <w:r>
        <w:t>DOI Bulletin</w:t>
      </w:r>
      <w:r>
        <w:rPr>
          <w:spacing w:val="-13"/>
        </w:rPr>
        <w:t xml:space="preserve"> </w:t>
      </w:r>
      <w:hyperlink w:anchor="_bookmark358" w:history="1">
        <w:r>
          <w:rPr>
            <w:vertAlign w:val="superscript"/>
          </w:rPr>
          <w:t>7</w:t>
        </w:r>
      </w:hyperlink>
      <w:r>
        <w:t xml:space="preserve"> prohibiting discrimination in health insurance on the basis of gender identity and gender dysphoria, with the addition of a private right of action.</w:t>
      </w:r>
    </w:p>
    <w:p w:rsidR="00200FDA" w:rsidRDefault="00200FDA">
      <w:pPr>
        <w:pStyle w:val="BodyText"/>
        <w:spacing w:before="11"/>
        <w:rPr>
          <w:sz w:val="31"/>
        </w:rPr>
      </w:pPr>
    </w:p>
    <w:p w:rsidR="00200FDA" w:rsidRDefault="00F76C4C">
      <w:pPr>
        <w:pStyle w:val="Heading9"/>
        <w:numPr>
          <w:ilvl w:val="0"/>
          <w:numId w:val="32"/>
        </w:numPr>
        <w:tabs>
          <w:tab w:val="left" w:pos="376"/>
        </w:tabs>
        <w:ind w:left="139" w:right="130" w:firstLine="0"/>
        <w:jc w:val="both"/>
      </w:pPr>
      <w:r>
        <w:t xml:space="preserve">Dedicate funding to address intimidation and violence towards healthcare workers and healthcare </w:t>
      </w:r>
      <w:r>
        <w:rPr>
          <w:spacing w:val="-2"/>
        </w:rPr>
        <w:t>centers.</w:t>
      </w:r>
    </w:p>
    <w:p w:rsidR="00200FDA" w:rsidRDefault="00F76C4C">
      <w:pPr>
        <w:pStyle w:val="BodyText"/>
        <w:spacing w:before="121" w:line="276" w:lineRule="auto"/>
        <w:ind w:left="139" w:right="135"/>
        <w:jc w:val="both"/>
      </w:pPr>
      <w:r>
        <w:t>Given</w:t>
      </w:r>
      <w:r>
        <w:rPr>
          <w:spacing w:val="-1"/>
        </w:rPr>
        <w:t xml:space="preserve"> </w:t>
      </w:r>
      <w:r>
        <w:t>the alarming rise in security threats against gender-affirming pediatric providers, including Boston Children’s Hospital, the Commission recommen</w:t>
      </w:r>
      <w:r>
        <w:t>ds that state agencies and organizations collaborate to establish</w:t>
      </w:r>
      <w:r>
        <w:rPr>
          <w:spacing w:val="-5"/>
        </w:rPr>
        <w:t xml:space="preserve"> </w:t>
      </w:r>
      <w:r>
        <w:t>clear</w:t>
      </w:r>
      <w:r>
        <w:rPr>
          <w:spacing w:val="-5"/>
        </w:rPr>
        <w:t xml:space="preserve"> </w:t>
      </w:r>
      <w:r>
        <w:t>and</w:t>
      </w:r>
      <w:r>
        <w:rPr>
          <w:spacing w:val="-8"/>
        </w:rPr>
        <w:t xml:space="preserve"> </w:t>
      </w:r>
      <w:r>
        <w:t>specific</w:t>
      </w:r>
      <w:r>
        <w:rPr>
          <w:spacing w:val="-9"/>
        </w:rPr>
        <w:t xml:space="preserve"> </w:t>
      </w:r>
      <w:r>
        <w:t>guidance</w:t>
      </w:r>
      <w:r>
        <w:rPr>
          <w:spacing w:val="-4"/>
        </w:rPr>
        <w:t xml:space="preserve"> </w:t>
      </w:r>
      <w:r>
        <w:t>for</w:t>
      </w:r>
      <w:r>
        <w:rPr>
          <w:spacing w:val="-7"/>
        </w:rPr>
        <w:t xml:space="preserve"> </w:t>
      </w:r>
      <w:r>
        <w:t>youth,</w:t>
      </w:r>
      <w:r>
        <w:rPr>
          <w:spacing w:val="-4"/>
        </w:rPr>
        <w:t xml:space="preserve"> </w:t>
      </w:r>
      <w:r>
        <w:t>families,</w:t>
      </w:r>
      <w:r>
        <w:rPr>
          <w:spacing w:val="-4"/>
        </w:rPr>
        <w:t xml:space="preserve"> </w:t>
      </w:r>
      <w:r>
        <w:t>and</w:t>
      </w:r>
      <w:r>
        <w:rPr>
          <w:spacing w:val="-5"/>
        </w:rPr>
        <w:t xml:space="preserve"> </w:t>
      </w:r>
      <w:r>
        <w:t>providers.</w:t>
      </w:r>
      <w:r>
        <w:rPr>
          <w:spacing w:val="-7"/>
        </w:rPr>
        <w:t xml:space="preserve"> </w:t>
      </w:r>
      <w:r>
        <w:t>The</w:t>
      </w:r>
      <w:r>
        <w:rPr>
          <w:spacing w:val="-6"/>
        </w:rPr>
        <w:t xml:space="preserve"> </w:t>
      </w:r>
      <w:r>
        <w:t>guidance</w:t>
      </w:r>
      <w:r>
        <w:rPr>
          <w:spacing w:val="-4"/>
        </w:rPr>
        <w:t xml:space="preserve"> </w:t>
      </w:r>
      <w:r>
        <w:t>should</w:t>
      </w:r>
      <w:r>
        <w:rPr>
          <w:spacing w:val="-5"/>
        </w:rPr>
        <w:t xml:space="preserve"> </w:t>
      </w:r>
      <w:r>
        <w:t>include</w:t>
      </w:r>
      <w:r>
        <w:rPr>
          <w:spacing w:val="-6"/>
        </w:rPr>
        <w:t xml:space="preserve"> </w:t>
      </w:r>
      <w:r>
        <w:t>what communities and facilities can do when threatened; a clear pathway for providers of LGBTQ hea</w:t>
      </w:r>
      <w:r>
        <w:t>lth care to</w:t>
      </w:r>
      <w:r>
        <w:rPr>
          <w:spacing w:val="-8"/>
        </w:rPr>
        <w:t xml:space="preserve"> </w:t>
      </w:r>
      <w:r>
        <w:t>be</w:t>
      </w:r>
      <w:r>
        <w:rPr>
          <w:spacing w:val="-8"/>
        </w:rPr>
        <w:t xml:space="preserve"> </w:t>
      </w:r>
      <w:r>
        <w:t>protected</w:t>
      </w:r>
      <w:r>
        <w:rPr>
          <w:spacing w:val="-10"/>
        </w:rPr>
        <w:t xml:space="preserve"> </w:t>
      </w:r>
      <w:r>
        <w:t>by</w:t>
      </w:r>
      <w:r>
        <w:rPr>
          <w:spacing w:val="-8"/>
        </w:rPr>
        <w:t xml:space="preserve"> </w:t>
      </w:r>
      <w:r>
        <w:t>the</w:t>
      </w:r>
      <w:r>
        <w:rPr>
          <w:spacing w:val="-8"/>
        </w:rPr>
        <w:t xml:space="preserve"> </w:t>
      </w:r>
      <w:r>
        <w:t>state;</w:t>
      </w:r>
      <w:r>
        <w:rPr>
          <w:spacing w:val="-8"/>
        </w:rPr>
        <w:t xml:space="preserve"> </w:t>
      </w:r>
      <w:r>
        <w:t>and</w:t>
      </w:r>
      <w:r>
        <w:rPr>
          <w:spacing w:val="-10"/>
        </w:rPr>
        <w:t xml:space="preserve"> </w:t>
      </w:r>
      <w:r>
        <w:t>investigation</w:t>
      </w:r>
      <w:r>
        <w:rPr>
          <w:spacing w:val="-10"/>
        </w:rPr>
        <w:t xml:space="preserve"> </w:t>
      </w:r>
      <w:r>
        <w:t>and</w:t>
      </w:r>
      <w:r>
        <w:rPr>
          <w:spacing w:val="-10"/>
        </w:rPr>
        <w:t xml:space="preserve"> </w:t>
      </w:r>
      <w:r>
        <w:t>prosecution</w:t>
      </w:r>
      <w:r>
        <w:rPr>
          <w:spacing w:val="-12"/>
        </w:rPr>
        <w:t xml:space="preserve"> </w:t>
      </w:r>
      <w:r>
        <w:t>of</w:t>
      </w:r>
      <w:r>
        <w:rPr>
          <w:spacing w:val="-9"/>
        </w:rPr>
        <w:t xml:space="preserve"> </w:t>
      </w:r>
      <w:r>
        <w:t>those</w:t>
      </w:r>
      <w:r>
        <w:rPr>
          <w:spacing w:val="-8"/>
        </w:rPr>
        <w:t xml:space="preserve"> </w:t>
      </w:r>
      <w:r>
        <w:t>who</w:t>
      </w:r>
      <w:r>
        <w:rPr>
          <w:spacing w:val="-8"/>
        </w:rPr>
        <w:t xml:space="preserve"> </w:t>
      </w:r>
      <w:r>
        <w:t>engage</w:t>
      </w:r>
      <w:r>
        <w:rPr>
          <w:spacing w:val="-8"/>
        </w:rPr>
        <w:t xml:space="preserve"> </w:t>
      </w:r>
      <w:r>
        <w:t>in</w:t>
      </w:r>
      <w:r>
        <w:rPr>
          <w:spacing w:val="-10"/>
        </w:rPr>
        <w:t xml:space="preserve"> </w:t>
      </w:r>
      <w:r>
        <w:t>cyber-harassment or cyberterrorism.</w:t>
      </w:r>
    </w:p>
    <w:p w:rsidR="00200FDA" w:rsidRDefault="00200FDA">
      <w:pPr>
        <w:pStyle w:val="BodyText"/>
        <w:spacing w:before="9"/>
        <w:rPr>
          <w:sz w:val="31"/>
        </w:rPr>
      </w:pPr>
    </w:p>
    <w:p w:rsidR="00200FDA" w:rsidRDefault="00F76C4C">
      <w:pPr>
        <w:pStyle w:val="Heading9"/>
        <w:numPr>
          <w:ilvl w:val="0"/>
          <w:numId w:val="32"/>
        </w:numPr>
        <w:tabs>
          <w:tab w:val="left" w:pos="364"/>
        </w:tabs>
        <w:ind w:left="139" w:right="132" w:firstLine="0"/>
        <w:jc w:val="both"/>
      </w:pPr>
      <w:r>
        <w:t>Integrate</w:t>
      </w:r>
      <w:r>
        <w:rPr>
          <w:spacing w:val="-3"/>
        </w:rPr>
        <w:t xml:space="preserve"> </w:t>
      </w:r>
      <w:r>
        <w:t>gender-affirming health</w:t>
      </w:r>
      <w:r>
        <w:rPr>
          <w:spacing w:val="-3"/>
        </w:rPr>
        <w:t xml:space="preserve"> </w:t>
      </w:r>
      <w:r>
        <w:t>care</w:t>
      </w:r>
      <w:r>
        <w:rPr>
          <w:spacing w:val="-3"/>
        </w:rPr>
        <w:t xml:space="preserve"> </w:t>
      </w:r>
      <w:r>
        <w:t>into</w:t>
      </w:r>
      <w:r>
        <w:rPr>
          <w:spacing w:val="-2"/>
        </w:rPr>
        <w:t xml:space="preserve"> </w:t>
      </w:r>
      <w:r>
        <w:t>the</w:t>
      </w:r>
      <w:r>
        <w:rPr>
          <w:spacing w:val="-3"/>
        </w:rPr>
        <w:t xml:space="preserve"> </w:t>
      </w:r>
      <w:r>
        <w:t>modern</w:t>
      </w:r>
      <w:r>
        <w:rPr>
          <w:spacing w:val="-1"/>
        </w:rPr>
        <w:t xml:space="preserve"> </w:t>
      </w:r>
      <w:r>
        <w:t>health</w:t>
      </w:r>
      <w:r>
        <w:rPr>
          <w:spacing w:val="-1"/>
        </w:rPr>
        <w:t xml:space="preserve"> </w:t>
      </w:r>
      <w:r>
        <w:t>care</w:t>
      </w:r>
      <w:r>
        <w:rPr>
          <w:spacing w:val="-1"/>
        </w:rPr>
        <w:t xml:space="preserve"> </w:t>
      </w:r>
      <w:r>
        <w:t>environment, and</w:t>
      </w:r>
      <w:r>
        <w:rPr>
          <w:spacing w:val="-1"/>
        </w:rPr>
        <w:t xml:space="preserve"> </w:t>
      </w:r>
      <w:r>
        <w:t>combine</w:t>
      </w:r>
      <w:r>
        <w:rPr>
          <w:spacing w:val="-3"/>
        </w:rPr>
        <w:t xml:space="preserve"> </w:t>
      </w:r>
      <w:r>
        <w:t>with primary care, mental health, and community services.</w:t>
      </w:r>
    </w:p>
    <w:p w:rsidR="00200FDA" w:rsidRDefault="00F76C4C">
      <w:pPr>
        <w:pStyle w:val="BodyText"/>
        <w:spacing w:before="121" w:line="276" w:lineRule="auto"/>
        <w:ind w:left="139" w:right="134"/>
        <w:jc w:val="both"/>
      </w:pPr>
      <w:r>
        <w:t>As</w:t>
      </w:r>
      <w:r>
        <w:rPr>
          <w:spacing w:val="-5"/>
        </w:rPr>
        <w:t xml:space="preserve"> </w:t>
      </w:r>
      <w:r>
        <w:t>discussed</w:t>
      </w:r>
      <w:r>
        <w:rPr>
          <w:spacing w:val="-8"/>
        </w:rPr>
        <w:t xml:space="preserve"> </w:t>
      </w:r>
      <w:r>
        <w:t>throughout</w:t>
      </w:r>
      <w:r>
        <w:rPr>
          <w:spacing w:val="-7"/>
        </w:rPr>
        <w:t xml:space="preserve"> </w:t>
      </w:r>
      <w:r>
        <w:t>this</w:t>
      </w:r>
      <w:r>
        <w:rPr>
          <w:spacing w:val="-5"/>
        </w:rPr>
        <w:t xml:space="preserve"> </w:t>
      </w:r>
      <w:r>
        <w:t>section</w:t>
      </w:r>
      <w:r>
        <w:rPr>
          <w:spacing w:val="-8"/>
        </w:rPr>
        <w:t xml:space="preserve"> </w:t>
      </w:r>
      <w:r>
        <w:t>on</w:t>
      </w:r>
      <w:r>
        <w:rPr>
          <w:spacing w:val="-6"/>
        </w:rPr>
        <w:t xml:space="preserve"> </w:t>
      </w:r>
      <w:r>
        <w:t>pediatric</w:t>
      </w:r>
      <w:r>
        <w:rPr>
          <w:spacing w:val="-5"/>
        </w:rPr>
        <w:t xml:space="preserve"> </w:t>
      </w:r>
      <w:r>
        <w:t>health,</w:t>
      </w:r>
      <w:r>
        <w:rPr>
          <w:spacing w:val="-5"/>
        </w:rPr>
        <w:t xml:space="preserve"> </w:t>
      </w:r>
      <w:r>
        <w:t>access</w:t>
      </w:r>
      <w:r>
        <w:rPr>
          <w:spacing w:val="-5"/>
        </w:rPr>
        <w:t xml:space="preserve"> </w:t>
      </w:r>
      <w:r>
        <w:t>to</w:t>
      </w:r>
      <w:r>
        <w:rPr>
          <w:spacing w:val="-4"/>
        </w:rPr>
        <w:t xml:space="preserve"> </w:t>
      </w:r>
      <w:r>
        <w:t>gender-affirming</w:t>
      </w:r>
      <w:r>
        <w:rPr>
          <w:spacing w:val="-6"/>
        </w:rPr>
        <w:t xml:space="preserve"> </w:t>
      </w:r>
      <w:r>
        <w:t>care</w:t>
      </w:r>
      <w:r>
        <w:rPr>
          <w:spacing w:val="-5"/>
        </w:rPr>
        <w:t xml:space="preserve"> </w:t>
      </w:r>
      <w:r>
        <w:t>and</w:t>
      </w:r>
      <w:r>
        <w:rPr>
          <w:spacing w:val="-8"/>
        </w:rPr>
        <w:t xml:space="preserve"> </w:t>
      </w:r>
      <w:r>
        <w:t>capacity</w:t>
      </w:r>
      <w:r>
        <w:rPr>
          <w:spacing w:val="-4"/>
        </w:rPr>
        <w:t xml:space="preserve"> </w:t>
      </w:r>
      <w:r>
        <w:t>for existing facilities is limited, thus the state must examine ways to integrate gender-affirm</w:t>
      </w:r>
      <w:r>
        <w:t>ing health care into the modern health environment. The Commission recommends that, instead of being relegated to specialty</w:t>
      </w:r>
      <w:r>
        <w:rPr>
          <w:spacing w:val="23"/>
        </w:rPr>
        <w:t xml:space="preserve"> </w:t>
      </w:r>
      <w:r>
        <w:t>clinics,</w:t>
      </w:r>
      <w:r>
        <w:rPr>
          <w:spacing w:val="23"/>
        </w:rPr>
        <w:t xml:space="preserve"> </w:t>
      </w:r>
      <w:r>
        <w:t>pediatric</w:t>
      </w:r>
      <w:r>
        <w:rPr>
          <w:spacing w:val="21"/>
        </w:rPr>
        <w:t xml:space="preserve"> </w:t>
      </w:r>
      <w:r>
        <w:t>providers</w:t>
      </w:r>
      <w:r>
        <w:rPr>
          <w:spacing w:val="23"/>
        </w:rPr>
        <w:t xml:space="preserve"> </w:t>
      </w:r>
      <w:r>
        <w:t>and</w:t>
      </w:r>
      <w:r>
        <w:rPr>
          <w:spacing w:val="22"/>
        </w:rPr>
        <w:t xml:space="preserve"> </w:t>
      </w:r>
      <w:r>
        <w:t>clinicians</w:t>
      </w:r>
      <w:r>
        <w:rPr>
          <w:spacing w:val="23"/>
        </w:rPr>
        <w:t xml:space="preserve"> </w:t>
      </w:r>
      <w:r>
        <w:t>in</w:t>
      </w:r>
      <w:r>
        <w:rPr>
          <w:spacing w:val="20"/>
        </w:rPr>
        <w:t xml:space="preserve"> </w:t>
      </w:r>
      <w:r>
        <w:t>all</w:t>
      </w:r>
      <w:r>
        <w:rPr>
          <w:spacing w:val="23"/>
        </w:rPr>
        <w:t xml:space="preserve"> </w:t>
      </w:r>
      <w:r>
        <w:t>facilities</w:t>
      </w:r>
      <w:r>
        <w:rPr>
          <w:spacing w:val="23"/>
        </w:rPr>
        <w:t xml:space="preserve"> </w:t>
      </w:r>
      <w:r>
        <w:t>should</w:t>
      </w:r>
      <w:r>
        <w:rPr>
          <w:spacing w:val="22"/>
        </w:rPr>
        <w:t xml:space="preserve"> </w:t>
      </w:r>
      <w:r>
        <w:t>be</w:t>
      </w:r>
      <w:r>
        <w:rPr>
          <w:spacing w:val="23"/>
        </w:rPr>
        <w:t xml:space="preserve"> </w:t>
      </w:r>
      <w:r>
        <w:t>trained</w:t>
      </w:r>
      <w:r>
        <w:rPr>
          <w:spacing w:val="22"/>
        </w:rPr>
        <w:t xml:space="preserve"> </w:t>
      </w:r>
      <w:r>
        <w:t>to</w:t>
      </w:r>
      <w:r>
        <w:rPr>
          <w:spacing w:val="24"/>
        </w:rPr>
        <w:t xml:space="preserve"> </w:t>
      </w:r>
      <w:r>
        <w:t>provide</w:t>
      </w:r>
      <w:r>
        <w:rPr>
          <w:spacing w:val="23"/>
        </w:rPr>
        <w:t xml:space="preserve"> </w:t>
      </w:r>
      <w:r>
        <w:t>gender-</w:t>
      </w:r>
    </w:p>
    <w:p w:rsidR="00200FDA" w:rsidRDefault="00200FDA">
      <w:pPr>
        <w:spacing w:line="276" w:lineRule="auto"/>
        <w:jc w:val="both"/>
        <w:sectPr w:rsidR="00200FDA">
          <w:pgSz w:w="12240" w:h="15840"/>
          <w:pgMar w:top="1360" w:right="1300" w:bottom="1380" w:left="1300" w:header="761" w:footer="1132" w:gutter="0"/>
          <w:cols w:space="720"/>
        </w:sectPr>
      </w:pPr>
    </w:p>
    <w:p w:rsidR="00200FDA" w:rsidRDefault="00F76C4C">
      <w:pPr>
        <w:pStyle w:val="BodyText"/>
        <w:spacing w:before="64" w:line="276" w:lineRule="auto"/>
        <w:ind w:left="140" w:right="134"/>
        <w:jc w:val="both"/>
      </w:pPr>
      <w:r>
        <w:lastRenderedPageBreak/>
        <w:t>affirming care. In tandem with this, there must be</w:t>
      </w:r>
      <w:r>
        <w:rPr>
          <w:spacing w:val="-1"/>
        </w:rPr>
        <w:t xml:space="preserve"> </w:t>
      </w:r>
      <w:r>
        <w:t>more resources and education devoted to the pursuit of better care for neurodiverse individuals who are more likely to identify as LGBTQ. Furthermore, the Commission</w:t>
      </w:r>
      <w:r>
        <w:rPr>
          <w:spacing w:val="-5"/>
        </w:rPr>
        <w:t xml:space="preserve"> </w:t>
      </w:r>
      <w:r>
        <w:t>recommends</w:t>
      </w:r>
      <w:r>
        <w:rPr>
          <w:spacing w:val="-4"/>
        </w:rPr>
        <w:t xml:space="preserve"> </w:t>
      </w:r>
      <w:r>
        <w:t>that</w:t>
      </w:r>
      <w:r>
        <w:rPr>
          <w:spacing w:val="-4"/>
        </w:rPr>
        <w:t xml:space="preserve"> </w:t>
      </w:r>
      <w:r>
        <w:t>primary</w:t>
      </w:r>
      <w:r>
        <w:rPr>
          <w:spacing w:val="-4"/>
        </w:rPr>
        <w:t xml:space="preserve"> </w:t>
      </w:r>
      <w:r>
        <w:t>care,</w:t>
      </w:r>
      <w:r>
        <w:rPr>
          <w:spacing w:val="-7"/>
        </w:rPr>
        <w:t xml:space="preserve"> </w:t>
      </w:r>
      <w:r>
        <w:t>mental</w:t>
      </w:r>
      <w:r>
        <w:rPr>
          <w:spacing w:val="-5"/>
        </w:rPr>
        <w:t xml:space="preserve"> </w:t>
      </w:r>
      <w:r>
        <w:t>he</w:t>
      </w:r>
      <w:r>
        <w:t>alth,</w:t>
      </w:r>
      <w:r>
        <w:rPr>
          <w:spacing w:val="-4"/>
        </w:rPr>
        <w:t xml:space="preserve"> </w:t>
      </w:r>
      <w:r>
        <w:t>and</w:t>
      </w:r>
      <w:r>
        <w:rPr>
          <w:spacing w:val="-5"/>
        </w:rPr>
        <w:t xml:space="preserve"> </w:t>
      </w:r>
      <w:r>
        <w:t>community</w:t>
      </w:r>
      <w:r>
        <w:rPr>
          <w:spacing w:val="-3"/>
        </w:rPr>
        <w:t xml:space="preserve"> </w:t>
      </w:r>
      <w:r>
        <w:t>services</w:t>
      </w:r>
      <w:r>
        <w:rPr>
          <w:spacing w:val="-4"/>
        </w:rPr>
        <w:t xml:space="preserve"> </w:t>
      </w:r>
      <w:r>
        <w:t>be</w:t>
      </w:r>
      <w:r>
        <w:rPr>
          <w:spacing w:val="-4"/>
        </w:rPr>
        <w:t xml:space="preserve"> </w:t>
      </w:r>
      <w:r>
        <w:t>integrated</w:t>
      </w:r>
      <w:r>
        <w:rPr>
          <w:spacing w:val="-5"/>
        </w:rPr>
        <w:t xml:space="preserve"> </w:t>
      </w:r>
      <w:r>
        <w:t>under one</w:t>
      </w:r>
      <w:r>
        <w:rPr>
          <w:spacing w:val="-4"/>
        </w:rPr>
        <w:t xml:space="preserve"> </w:t>
      </w:r>
      <w:r>
        <w:t>roof,</w:t>
      </w:r>
      <w:r>
        <w:rPr>
          <w:spacing w:val="-4"/>
        </w:rPr>
        <w:t xml:space="preserve"> </w:t>
      </w:r>
      <w:r>
        <w:t>in</w:t>
      </w:r>
      <w:r>
        <w:rPr>
          <w:spacing w:val="-5"/>
        </w:rPr>
        <w:t xml:space="preserve"> </w:t>
      </w:r>
      <w:r>
        <w:t>line</w:t>
      </w:r>
      <w:r>
        <w:rPr>
          <w:spacing w:val="-6"/>
        </w:rPr>
        <w:t xml:space="preserve"> </w:t>
      </w:r>
      <w:r>
        <w:t>with</w:t>
      </w:r>
      <w:r>
        <w:rPr>
          <w:spacing w:val="-5"/>
        </w:rPr>
        <w:t xml:space="preserve"> </w:t>
      </w:r>
      <w:r>
        <w:t>the</w:t>
      </w:r>
      <w:r>
        <w:rPr>
          <w:spacing w:val="-6"/>
        </w:rPr>
        <w:t xml:space="preserve"> </w:t>
      </w:r>
      <w:r>
        <w:t>medical</w:t>
      </w:r>
      <w:r>
        <w:rPr>
          <w:spacing w:val="-5"/>
        </w:rPr>
        <w:t xml:space="preserve"> </w:t>
      </w:r>
      <w:r>
        <w:t>home</w:t>
      </w:r>
      <w:r>
        <w:rPr>
          <w:spacing w:val="-6"/>
        </w:rPr>
        <w:t xml:space="preserve"> </w:t>
      </w:r>
      <w:r>
        <w:t>model</w:t>
      </w:r>
      <w:r>
        <w:rPr>
          <w:spacing w:val="-4"/>
        </w:rPr>
        <w:t xml:space="preserve"> </w:t>
      </w:r>
      <w:r>
        <w:t>that</w:t>
      </w:r>
      <w:r>
        <w:rPr>
          <w:spacing w:val="-6"/>
        </w:rPr>
        <w:t xml:space="preserve"> </w:t>
      </w:r>
      <w:r>
        <w:t>many</w:t>
      </w:r>
      <w:r>
        <w:rPr>
          <w:spacing w:val="-3"/>
        </w:rPr>
        <w:t xml:space="preserve"> </w:t>
      </w:r>
      <w:r>
        <w:t>integrated</w:t>
      </w:r>
      <w:r>
        <w:rPr>
          <w:spacing w:val="-7"/>
        </w:rPr>
        <w:t xml:space="preserve"> </w:t>
      </w:r>
      <w:r>
        <w:t>LGBTQ</w:t>
      </w:r>
      <w:r>
        <w:rPr>
          <w:spacing w:val="-4"/>
        </w:rPr>
        <w:t xml:space="preserve"> </w:t>
      </w:r>
      <w:r>
        <w:t>health</w:t>
      </w:r>
      <w:r>
        <w:rPr>
          <w:spacing w:val="-5"/>
        </w:rPr>
        <w:t xml:space="preserve"> </w:t>
      </w:r>
      <w:r>
        <w:t>centers</w:t>
      </w:r>
      <w:r>
        <w:rPr>
          <w:spacing w:val="-4"/>
        </w:rPr>
        <w:t xml:space="preserve"> </w:t>
      </w:r>
      <w:r>
        <w:t>have</w:t>
      </w:r>
      <w:r>
        <w:rPr>
          <w:spacing w:val="-4"/>
        </w:rPr>
        <w:t xml:space="preserve"> </w:t>
      </w:r>
      <w:r>
        <w:t>begun</w:t>
      </w:r>
      <w:r>
        <w:rPr>
          <w:spacing w:val="-5"/>
        </w:rPr>
        <w:t xml:space="preserve"> </w:t>
      </w:r>
      <w:r>
        <w:t>to adopt. While much of the funding for LGBTQ health has been focused on STI screening, prevention, and trea</w:t>
      </w:r>
      <w:r>
        <w:t>tment</w:t>
      </w:r>
      <w:r>
        <w:rPr>
          <w:spacing w:val="-6"/>
        </w:rPr>
        <w:t xml:space="preserve"> </w:t>
      </w:r>
      <w:r>
        <w:t>more</w:t>
      </w:r>
      <w:r>
        <w:rPr>
          <w:spacing w:val="-1"/>
        </w:rPr>
        <w:t xml:space="preserve"> </w:t>
      </w:r>
      <w:r>
        <w:t>can</w:t>
      </w:r>
      <w:r>
        <w:rPr>
          <w:spacing w:val="-3"/>
        </w:rPr>
        <w:t xml:space="preserve"> </w:t>
      </w:r>
      <w:r>
        <w:t>be</w:t>
      </w:r>
      <w:r>
        <w:rPr>
          <w:spacing w:val="-4"/>
        </w:rPr>
        <w:t xml:space="preserve"> </w:t>
      </w:r>
      <w:r>
        <w:t>done</w:t>
      </w:r>
      <w:r>
        <w:rPr>
          <w:spacing w:val="-1"/>
        </w:rPr>
        <w:t xml:space="preserve"> </w:t>
      </w:r>
      <w:r>
        <w:t>to</w:t>
      </w:r>
      <w:r>
        <w:rPr>
          <w:spacing w:val="-1"/>
        </w:rPr>
        <w:t xml:space="preserve"> </w:t>
      </w:r>
      <w:r>
        <w:t>focus</w:t>
      </w:r>
      <w:r>
        <w:rPr>
          <w:spacing w:val="-4"/>
        </w:rPr>
        <w:t xml:space="preserve"> </w:t>
      </w:r>
      <w:r>
        <w:t>on</w:t>
      </w:r>
      <w:r>
        <w:rPr>
          <w:spacing w:val="-5"/>
        </w:rPr>
        <w:t xml:space="preserve"> </w:t>
      </w:r>
      <w:r>
        <w:t>the</w:t>
      </w:r>
      <w:r>
        <w:rPr>
          <w:spacing w:val="-4"/>
        </w:rPr>
        <w:t xml:space="preserve"> </w:t>
      </w:r>
      <w:r>
        <w:t>holistic</w:t>
      </w:r>
      <w:r>
        <w:rPr>
          <w:spacing w:val="-4"/>
        </w:rPr>
        <w:t xml:space="preserve"> </w:t>
      </w:r>
      <w:r>
        <w:t>needs</w:t>
      </w:r>
      <w:r>
        <w:rPr>
          <w:spacing w:val="-4"/>
        </w:rPr>
        <w:t xml:space="preserve"> </w:t>
      </w:r>
      <w:r>
        <w:t>of</w:t>
      </w:r>
      <w:r>
        <w:rPr>
          <w:spacing w:val="-4"/>
        </w:rPr>
        <w:t xml:space="preserve"> </w:t>
      </w:r>
      <w:r>
        <w:t>the</w:t>
      </w:r>
      <w:r>
        <w:rPr>
          <w:spacing w:val="-4"/>
        </w:rPr>
        <w:t xml:space="preserve"> </w:t>
      </w:r>
      <w:r>
        <w:t>LGBTQ</w:t>
      </w:r>
      <w:r>
        <w:rPr>
          <w:spacing w:val="-2"/>
        </w:rPr>
        <w:t xml:space="preserve"> </w:t>
      </w:r>
      <w:r>
        <w:t>community.</w:t>
      </w:r>
      <w:r>
        <w:rPr>
          <w:spacing w:val="-2"/>
        </w:rPr>
        <w:t xml:space="preserve"> </w:t>
      </w:r>
      <w:r>
        <w:t>This</w:t>
      </w:r>
      <w:r>
        <w:rPr>
          <w:spacing w:val="-4"/>
        </w:rPr>
        <w:t xml:space="preserve"> </w:t>
      </w:r>
      <w:r>
        <w:t>includes</w:t>
      </w:r>
      <w:r>
        <w:rPr>
          <w:spacing w:val="-2"/>
        </w:rPr>
        <w:t xml:space="preserve"> </w:t>
      </w:r>
      <w:r>
        <w:t>hiring more diverse clinicians and investing in a trauma-informed work environment.</w:t>
      </w:r>
    </w:p>
    <w:p w:rsidR="00200FDA" w:rsidRDefault="00200FDA">
      <w:pPr>
        <w:pStyle w:val="BodyText"/>
        <w:rPr>
          <w:sz w:val="20"/>
        </w:rPr>
      </w:pPr>
    </w:p>
    <w:p w:rsidR="00200FDA" w:rsidRDefault="00F76C4C">
      <w:pPr>
        <w:pStyle w:val="BodyText"/>
        <w:spacing w:before="7"/>
        <w:rPr>
          <w:sz w:val="18"/>
        </w:rPr>
      </w:pPr>
      <w:r>
        <w:rPr>
          <w:noProof/>
        </w:rPr>
        <w:drawing>
          <wp:anchor distT="0" distB="0" distL="0" distR="0" simplePos="0" relativeHeight="84" behindDoc="0" locked="0" layoutInCell="1" allowOverlap="1">
            <wp:simplePos x="0" y="0"/>
            <wp:positionH relativeFrom="page">
              <wp:posOffset>1711642</wp:posOffset>
            </wp:positionH>
            <wp:positionV relativeFrom="paragraph">
              <wp:posOffset>159835</wp:posOffset>
            </wp:positionV>
            <wp:extent cx="4389575" cy="2846070"/>
            <wp:effectExtent l="0" t="0" r="0" b="0"/>
            <wp:wrapTopAndBottom/>
            <wp:docPr id="63"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79.jpeg"/>
                    <pic:cNvPicPr/>
                  </pic:nvPicPr>
                  <pic:blipFill>
                    <a:blip r:embed="rId365" cstate="print"/>
                    <a:stretch>
                      <a:fillRect/>
                    </a:stretch>
                  </pic:blipFill>
                  <pic:spPr>
                    <a:xfrm>
                      <a:off x="0" y="0"/>
                      <a:ext cx="4389575" cy="2846070"/>
                    </a:xfrm>
                    <a:prstGeom prst="rect">
                      <a:avLst/>
                    </a:prstGeom>
                  </pic:spPr>
                </pic:pic>
              </a:graphicData>
            </a:graphic>
          </wp:anchor>
        </w:drawing>
      </w:r>
    </w:p>
    <w:p w:rsidR="00200FDA" w:rsidRDefault="00200FDA">
      <w:pPr>
        <w:pStyle w:val="BodyText"/>
      </w:pPr>
    </w:p>
    <w:p w:rsidR="00200FDA" w:rsidRDefault="00200FDA">
      <w:pPr>
        <w:pStyle w:val="BodyText"/>
      </w:pPr>
    </w:p>
    <w:p w:rsidR="00200FDA" w:rsidRDefault="00F76C4C">
      <w:pPr>
        <w:pStyle w:val="Heading7"/>
        <w:spacing w:before="183"/>
        <w:ind w:left="140"/>
        <w:jc w:val="both"/>
      </w:pPr>
      <w:r>
        <w:pict>
          <v:rect id="docshape304" o:spid="_x0000_s1278" style="position:absolute;left:0;text-align:left;margin-left:70.55pt;margin-top:27.15pt;width:470.9pt;height:.5pt;z-index:-15685120;mso-wrap-distance-left:0;mso-wrap-distance-right:0;mso-position-horizontal-relative:page" fillcolor="#0f6ec5" stroked="f">
            <w10:wrap type="topAndBottom" anchorx="page"/>
          </v:rect>
        </w:pict>
      </w:r>
      <w:bookmarkStart w:id="474" w:name="Research:_Protecting_LGBTQ_Youth_Pediatr"/>
      <w:bookmarkEnd w:id="474"/>
      <w:r>
        <w:rPr>
          <w:color w:val="0A5293"/>
        </w:rPr>
        <w:t>Research:</w:t>
      </w:r>
      <w:r>
        <w:rPr>
          <w:color w:val="0A5293"/>
          <w:spacing w:val="-10"/>
        </w:rPr>
        <w:t xml:space="preserve"> </w:t>
      </w:r>
      <w:r>
        <w:rPr>
          <w:color w:val="0A5293"/>
        </w:rPr>
        <w:t>Protecting</w:t>
      </w:r>
      <w:r>
        <w:rPr>
          <w:color w:val="0A5293"/>
          <w:spacing w:val="-8"/>
        </w:rPr>
        <w:t xml:space="preserve"> </w:t>
      </w:r>
      <w:r>
        <w:rPr>
          <w:color w:val="0A5293"/>
        </w:rPr>
        <w:t>LGBTQ</w:t>
      </w:r>
      <w:r>
        <w:rPr>
          <w:color w:val="0A5293"/>
          <w:spacing w:val="-7"/>
        </w:rPr>
        <w:t xml:space="preserve"> </w:t>
      </w:r>
      <w:r>
        <w:rPr>
          <w:color w:val="0A5293"/>
        </w:rPr>
        <w:t>Youth</w:t>
      </w:r>
      <w:r>
        <w:rPr>
          <w:color w:val="0A5293"/>
          <w:spacing w:val="-9"/>
        </w:rPr>
        <w:t xml:space="preserve"> </w:t>
      </w:r>
      <w:r>
        <w:rPr>
          <w:color w:val="0A5293"/>
        </w:rPr>
        <w:t>Pediatric</w:t>
      </w:r>
      <w:r>
        <w:rPr>
          <w:color w:val="0A5293"/>
          <w:spacing w:val="-7"/>
        </w:rPr>
        <w:t xml:space="preserve"> </w:t>
      </w:r>
      <w:r>
        <w:rPr>
          <w:color w:val="0A5293"/>
          <w:spacing w:val="-2"/>
        </w:rPr>
        <w:t>Health</w:t>
      </w:r>
    </w:p>
    <w:p w:rsidR="00200FDA" w:rsidRDefault="00200FDA">
      <w:pPr>
        <w:pStyle w:val="BodyText"/>
        <w:rPr>
          <w:sz w:val="20"/>
        </w:rPr>
      </w:pPr>
    </w:p>
    <w:p w:rsidR="00200FDA" w:rsidRDefault="00200FDA">
      <w:pPr>
        <w:pStyle w:val="BodyText"/>
        <w:spacing w:before="5"/>
        <w:rPr>
          <w:sz w:val="18"/>
        </w:rPr>
      </w:pPr>
    </w:p>
    <w:p w:rsidR="00200FDA" w:rsidRDefault="00F76C4C">
      <w:pPr>
        <w:pStyle w:val="BodyText"/>
        <w:spacing w:before="1" w:line="276" w:lineRule="auto"/>
        <w:ind w:left="140" w:right="133"/>
        <w:jc w:val="both"/>
      </w:pPr>
      <w:r>
        <w:t>When strategizing and developing policies and programs to address health disparities for LGBTQ youth across</w:t>
      </w:r>
      <w:r>
        <w:rPr>
          <w:spacing w:val="-2"/>
        </w:rPr>
        <w:t xml:space="preserve"> </w:t>
      </w:r>
      <w:r>
        <w:t>the</w:t>
      </w:r>
      <w:r>
        <w:rPr>
          <w:spacing w:val="-1"/>
        </w:rPr>
        <w:t xml:space="preserve"> </w:t>
      </w:r>
      <w:r>
        <w:t>Commonwealth,</w:t>
      </w:r>
      <w:r>
        <w:rPr>
          <w:spacing w:val="-4"/>
        </w:rPr>
        <w:t xml:space="preserve"> </w:t>
      </w:r>
      <w:r>
        <w:t>it</w:t>
      </w:r>
      <w:r>
        <w:rPr>
          <w:spacing w:val="-1"/>
        </w:rPr>
        <w:t xml:space="preserve"> </w:t>
      </w:r>
      <w:r>
        <w:t>is</w:t>
      </w:r>
      <w:r>
        <w:rPr>
          <w:spacing w:val="-2"/>
        </w:rPr>
        <w:t xml:space="preserve"> </w:t>
      </w:r>
      <w:r>
        <w:t>essential</w:t>
      </w:r>
      <w:r>
        <w:rPr>
          <w:spacing w:val="-2"/>
        </w:rPr>
        <w:t xml:space="preserve"> </w:t>
      </w:r>
      <w:r>
        <w:t>to</w:t>
      </w:r>
      <w:r>
        <w:rPr>
          <w:spacing w:val="-1"/>
        </w:rPr>
        <w:t xml:space="preserve"> </w:t>
      </w:r>
      <w:r>
        <w:t>understand</w:t>
      </w:r>
      <w:r>
        <w:rPr>
          <w:spacing w:val="-3"/>
        </w:rPr>
        <w:t xml:space="preserve"> </w:t>
      </w:r>
      <w:r>
        <w:t>that</w:t>
      </w:r>
      <w:r>
        <w:rPr>
          <w:spacing w:val="-1"/>
        </w:rPr>
        <w:t xml:space="preserve"> </w:t>
      </w:r>
      <w:r>
        <w:t>the</w:t>
      </w:r>
      <w:r>
        <w:rPr>
          <w:spacing w:val="-1"/>
        </w:rPr>
        <w:t xml:space="preserve"> </w:t>
      </w:r>
      <w:r>
        <w:t>experiences</w:t>
      </w:r>
      <w:r>
        <w:rPr>
          <w:spacing w:val="-4"/>
        </w:rPr>
        <w:t xml:space="preserve"> </w:t>
      </w:r>
      <w:r>
        <w:t>of</w:t>
      </w:r>
      <w:r>
        <w:rPr>
          <w:spacing w:val="-2"/>
        </w:rPr>
        <w:t xml:space="preserve"> </w:t>
      </w:r>
      <w:r>
        <w:t>LGBTQ</w:t>
      </w:r>
      <w:r>
        <w:rPr>
          <w:spacing w:val="-2"/>
        </w:rPr>
        <w:t xml:space="preserve"> </w:t>
      </w:r>
      <w:r>
        <w:t>youth</w:t>
      </w:r>
      <w:r>
        <w:rPr>
          <w:spacing w:val="-3"/>
        </w:rPr>
        <w:t xml:space="preserve"> </w:t>
      </w:r>
      <w:r>
        <w:t>are</w:t>
      </w:r>
      <w:r>
        <w:rPr>
          <w:spacing w:val="-1"/>
        </w:rPr>
        <w:t xml:space="preserve"> </w:t>
      </w:r>
      <w:r>
        <w:t>shaped by the intersections of multiple aspects of their ide</w:t>
      </w:r>
      <w:r>
        <w:t>ntities, and that addressing the issues they face requires a holistic and intersectional approach.</w:t>
      </w:r>
    </w:p>
    <w:p w:rsidR="00200FDA" w:rsidRDefault="00F76C4C">
      <w:pPr>
        <w:pStyle w:val="BodyText"/>
        <w:spacing w:before="120" w:line="276" w:lineRule="auto"/>
        <w:ind w:left="139" w:right="131"/>
        <w:jc w:val="both"/>
      </w:pPr>
      <w:r>
        <w:t>In particular, the experiences of youth in health care spaces can vary; QTBIPOC youth, intersex youth, youth with disabilities, and undocumented youth can of</w:t>
      </w:r>
      <w:r>
        <w:t>ten have differing experiences than may be experienced</w:t>
      </w:r>
      <w:r>
        <w:rPr>
          <w:spacing w:val="-12"/>
        </w:rPr>
        <w:t xml:space="preserve"> </w:t>
      </w:r>
      <w:r>
        <w:t>by</w:t>
      </w:r>
      <w:r>
        <w:rPr>
          <w:spacing w:val="-11"/>
        </w:rPr>
        <w:t xml:space="preserve"> </w:t>
      </w:r>
      <w:r>
        <w:t>their</w:t>
      </w:r>
      <w:r>
        <w:rPr>
          <w:spacing w:val="-11"/>
        </w:rPr>
        <w:t xml:space="preserve"> </w:t>
      </w:r>
      <w:r>
        <w:t>peers,</w:t>
      </w:r>
      <w:r>
        <w:rPr>
          <w:spacing w:val="-13"/>
        </w:rPr>
        <w:t xml:space="preserve"> </w:t>
      </w:r>
      <w:r>
        <w:t>impacting</w:t>
      </w:r>
      <w:r>
        <w:rPr>
          <w:spacing w:val="-11"/>
        </w:rPr>
        <w:t xml:space="preserve"> </w:t>
      </w:r>
      <w:r>
        <w:t>their</w:t>
      </w:r>
      <w:r>
        <w:rPr>
          <w:spacing w:val="-11"/>
        </w:rPr>
        <w:t xml:space="preserve"> </w:t>
      </w:r>
      <w:r>
        <w:t>overall</w:t>
      </w:r>
      <w:r>
        <w:rPr>
          <w:spacing w:val="-11"/>
        </w:rPr>
        <w:t xml:space="preserve"> </w:t>
      </w:r>
      <w:r>
        <w:t>well-being</w:t>
      </w:r>
      <w:r>
        <w:rPr>
          <w:spacing w:val="-11"/>
        </w:rPr>
        <w:t xml:space="preserve"> </w:t>
      </w:r>
      <w:r>
        <w:t>in</w:t>
      </w:r>
      <w:r>
        <w:rPr>
          <w:spacing w:val="-12"/>
        </w:rPr>
        <w:t xml:space="preserve"> </w:t>
      </w:r>
      <w:r>
        <w:t>Massachusetts.</w:t>
      </w:r>
      <w:r>
        <w:rPr>
          <w:spacing w:val="-11"/>
        </w:rPr>
        <w:t xml:space="preserve"> </w:t>
      </w:r>
      <w:r>
        <w:t>In</w:t>
      </w:r>
      <w:r>
        <w:rPr>
          <w:spacing w:val="-12"/>
        </w:rPr>
        <w:t xml:space="preserve"> </w:t>
      </w:r>
      <w:r>
        <w:t>particular,</w:t>
      </w:r>
      <w:r>
        <w:rPr>
          <w:spacing w:val="-11"/>
        </w:rPr>
        <w:t xml:space="preserve"> </w:t>
      </w:r>
      <w:r>
        <w:t>as</w:t>
      </w:r>
      <w:r>
        <w:rPr>
          <w:spacing w:val="-11"/>
        </w:rPr>
        <w:t xml:space="preserve"> </w:t>
      </w:r>
      <w:r>
        <w:t>discussed in depth throughout this annual report, QTBIPOC</w:t>
      </w:r>
      <w:r>
        <w:rPr>
          <w:spacing w:val="-1"/>
        </w:rPr>
        <w:t xml:space="preserve"> </w:t>
      </w:r>
      <w:r>
        <w:t>youth often face additional barriers and discrimination due to the intersections of their sexual orientation or gender identity with their race or ethnicity. Additionally, QTBIPOC over the age of 18 report experiencing higher rates of healthcare discrimina</w:t>
      </w:r>
      <w:r>
        <w:t>tion and increased difficulty accessing care,</w:t>
      </w:r>
      <w:hyperlink w:anchor="_bookmark359" w:history="1">
        <w:r>
          <w:rPr>
            <w:vertAlign w:val="superscript"/>
          </w:rPr>
          <w:t>8</w:t>
        </w:r>
      </w:hyperlink>
      <w:r>
        <w:rPr>
          <w:spacing w:val="-2"/>
        </w:rPr>
        <w:t xml:space="preserve"> </w:t>
      </w:r>
      <w:r>
        <w:t>though there is little to no research examining this disparity in the pediatric populations.</w:t>
      </w:r>
    </w:p>
    <w:p w:rsidR="00200FDA" w:rsidRDefault="00200FDA">
      <w:pPr>
        <w:spacing w:line="276" w:lineRule="auto"/>
        <w:jc w:val="both"/>
        <w:sectPr w:rsidR="00200FDA">
          <w:pgSz w:w="12240" w:h="15840"/>
          <w:pgMar w:top="1360" w:right="1300" w:bottom="1380" w:left="1300" w:header="761" w:footer="1132" w:gutter="0"/>
          <w:cols w:space="720"/>
        </w:sectPr>
      </w:pPr>
    </w:p>
    <w:p w:rsidR="00200FDA" w:rsidRDefault="00F76C4C">
      <w:pPr>
        <w:pStyle w:val="BodyText"/>
        <w:spacing w:before="64" w:line="276" w:lineRule="auto"/>
        <w:ind w:left="139" w:right="135"/>
        <w:jc w:val="both"/>
      </w:pPr>
      <w:r>
        <w:lastRenderedPageBreak/>
        <w:t>LGBTQ</w:t>
      </w:r>
      <w:r>
        <w:rPr>
          <w:spacing w:val="-11"/>
        </w:rPr>
        <w:t xml:space="preserve"> </w:t>
      </w:r>
      <w:r>
        <w:t>youth</w:t>
      </w:r>
      <w:r>
        <w:rPr>
          <w:spacing w:val="-10"/>
        </w:rPr>
        <w:t xml:space="preserve"> </w:t>
      </w:r>
      <w:r>
        <w:t>with</w:t>
      </w:r>
      <w:r>
        <w:rPr>
          <w:spacing w:val="-8"/>
        </w:rPr>
        <w:t xml:space="preserve"> </w:t>
      </w:r>
      <w:r>
        <w:t>disabilities</w:t>
      </w:r>
      <w:r>
        <w:rPr>
          <w:spacing w:val="-9"/>
        </w:rPr>
        <w:t xml:space="preserve"> </w:t>
      </w:r>
      <w:r>
        <w:t>often</w:t>
      </w:r>
      <w:r>
        <w:rPr>
          <w:spacing w:val="-10"/>
        </w:rPr>
        <w:t xml:space="preserve"> </w:t>
      </w:r>
      <w:r>
        <w:t>experience</w:t>
      </w:r>
      <w:r>
        <w:rPr>
          <w:spacing w:val="-8"/>
        </w:rPr>
        <w:t xml:space="preserve"> </w:t>
      </w:r>
      <w:r>
        <w:t>greater</w:t>
      </w:r>
      <w:r>
        <w:rPr>
          <w:spacing w:val="-9"/>
        </w:rPr>
        <w:t xml:space="preserve"> </w:t>
      </w:r>
      <w:r>
        <w:t>health</w:t>
      </w:r>
      <w:r>
        <w:rPr>
          <w:spacing w:val="-10"/>
        </w:rPr>
        <w:t xml:space="preserve"> </w:t>
      </w:r>
      <w:r>
        <w:t>disparit</w:t>
      </w:r>
      <w:r>
        <w:t>ies</w:t>
      </w:r>
      <w:r>
        <w:rPr>
          <w:spacing w:val="-9"/>
        </w:rPr>
        <w:t xml:space="preserve"> </w:t>
      </w:r>
      <w:r>
        <w:t>than</w:t>
      </w:r>
      <w:r>
        <w:rPr>
          <w:spacing w:val="-8"/>
        </w:rPr>
        <w:t xml:space="preserve"> </w:t>
      </w:r>
      <w:r>
        <w:t>non-disabled</w:t>
      </w:r>
      <w:r>
        <w:rPr>
          <w:spacing w:val="-8"/>
        </w:rPr>
        <w:t xml:space="preserve"> </w:t>
      </w:r>
      <w:r>
        <w:t>LGBTQ</w:t>
      </w:r>
      <w:r>
        <w:rPr>
          <w:spacing w:val="-9"/>
        </w:rPr>
        <w:t xml:space="preserve"> </w:t>
      </w:r>
      <w:r>
        <w:t>youth, including higher rates of depressive symptoms and lowered self-esteem,</w:t>
      </w:r>
      <w:hyperlink w:anchor="_bookmark360" w:history="1">
        <w:r>
          <w:rPr>
            <w:vertAlign w:val="superscript"/>
          </w:rPr>
          <w:t>9</w:t>
        </w:r>
      </w:hyperlink>
      <w:r>
        <w:rPr>
          <w:spacing w:val="-2"/>
        </w:rPr>
        <w:t xml:space="preserve"> </w:t>
      </w:r>
      <w:r>
        <w:t>or may face communication difficulties,</w:t>
      </w:r>
      <w:r>
        <w:rPr>
          <w:spacing w:val="-2"/>
        </w:rPr>
        <w:t xml:space="preserve"> </w:t>
      </w:r>
      <w:r>
        <w:t>or</w:t>
      </w:r>
      <w:r>
        <w:rPr>
          <w:spacing w:val="-2"/>
        </w:rPr>
        <w:t xml:space="preserve"> </w:t>
      </w:r>
      <w:r>
        <w:t>increased</w:t>
      </w:r>
      <w:r>
        <w:rPr>
          <w:spacing w:val="-3"/>
        </w:rPr>
        <w:t xml:space="preserve"> </w:t>
      </w:r>
      <w:r>
        <w:t>stigmatization</w:t>
      </w:r>
      <w:r>
        <w:rPr>
          <w:spacing w:val="-3"/>
        </w:rPr>
        <w:t xml:space="preserve"> </w:t>
      </w:r>
      <w:r>
        <w:t>and</w:t>
      </w:r>
      <w:r>
        <w:rPr>
          <w:spacing w:val="-3"/>
        </w:rPr>
        <w:t xml:space="preserve"> </w:t>
      </w:r>
      <w:r>
        <w:t>discrimination.</w:t>
      </w:r>
      <w:r>
        <w:rPr>
          <w:spacing w:val="-2"/>
        </w:rPr>
        <w:t xml:space="preserve"> </w:t>
      </w:r>
      <w:r>
        <w:t>For</w:t>
      </w:r>
      <w:r>
        <w:rPr>
          <w:spacing w:val="-2"/>
        </w:rPr>
        <w:t xml:space="preserve"> </w:t>
      </w:r>
      <w:r>
        <w:t>example,</w:t>
      </w:r>
      <w:r>
        <w:rPr>
          <w:spacing w:val="-2"/>
        </w:rPr>
        <w:t xml:space="preserve"> </w:t>
      </w:r>
      <w:r>
        <w:t>research</w:t>
      </w:r>
      <w:r>
        <w:rPr>
          <w:spacing w:val="-5"/>
        </w:rPr>
        <w:t xml:space="preserve"> </w:t>
      </w:r>
      <w:r>
        <w:t>has</w:t>
      </w:r>
      <w:r>
        <w:rPr>
          <w:spacing w:val="-2"/>
        </w:rPr>
        <w:t xml:space="preserve"> </w:t>
      </w:r>
      <w:r>
        <w:t>sho</w:t>
      </w:r>
      <w:r>
        <w:t>wn</w:t>
      </w:r>
      <w:r>
        <w:rPr>
          <w:spacing w:val="-3"/>
        </w:rPr>
        <w:t xml:space="preserve"> </w:t>
      </w:r>
      <w:r>
        <w:t>that</w:t>
      </w:r>
      <w:r>
        <w:rPr>
          <w:spacing w:val="-1"/>
        </w:rPr>
        <w:t xml:space="preserve"> </w:t>
      </w:r>
      <w:r>
        <w:t>gender dysphoria</w:t>
      </w:r>
      <w:r>
        <w:rPr>
          <w:spacing w:val="-2"/>
        </w:rPr>
        <w:t xml:space="preserve"> </w:t>
      </w:r>
      <w:r>
        <w:t>is</w:t>
      </w:r>
      <w:r>
        <w:rPr>
          <w:spacing w:val="-2"/>
        </w:rPr>
        <w:t xml:space="preserve"> </w:t>
      </w:r>
      <w:r>
        <w:t>significantly</w:t>
      </w:r>
      <w:r>
        <w:rPr>
          <w:spacing w:val="-3"/>
        </w:rPr>
        <w:t xml:space="preserve"> </w:t>
      </w:r>
      <w:r>
        <w:t>more</w:t>
      </w:r>
      <w:r>
        <w:rPr>
          <w:spacing w:val="-4"/>
        </w:rPr>
        <w:t xml:space="preserve"> </w:t>
      </w:r>
      <w:r>
        <w:t>common</w:t>
      </w:r>
      <w:r>
        <w:rPr>
          <w:spacing w:val="-3"/>
        </w:rPr>
        <w:t xml:space="preserve"> </w:t>
      </w:r>
      <w:r>
        <w:t>in</w:t>
      </w:r>
      <w:r>
        <w:rPr>
          <w:spacing w:val="-5"/>
        </w:rPr>
        <w:t xml:space="preserve"> </w:t>
      </w:r>
      <w:r>
        <w:t>children</w:t>
      </w:r>
      <w:r>
        <w:rPr>
          <w:spacing w:val="-3"/>
        </w:rPr>
        <w:t xml:space="preserve"> </w:t>
      </w:r>
      <w:r>
        <w:t>with</w:t>
      </w:r>
      <w:r>
        <w:rPr>
          <w:spacing w:val="-3"/>
        </w:rPr>
        <w:t xml:space="preserve"> </w:t>
      </w:r>
      <w:r>
        <w:t>autism</w:t>
      </w:r>
      <w:r>
        <w:rPr>
          <w:spacing w:val="-1"/>
        </w:rPr>
        <w:t xml:space="preserve"> </w:t>
      </w:r>
      <w:r>
        <w:t>spectrum</w:t>
      </w:r>
      <w:r>
        <w:rPr>
          <w:spacing w:val="-1"/>
        </w:rPr>
        <w:t xml:space="preserve"> </w:t>
      </w:r>
      <w:r>
        <w:t>disorder,</w:t>
      </w:r>
      <w:hyperlink w:anchor="_bookmark361" w:history="1">
        <w:r>
          <w:rPr>
            <w:vertAlign w:val="superscript"/>
          </w:rPr>
          <w:t>10</w:t>
        </w:r>
      </w:hyperlink>
      <w:r>
        <w:rPr>
          <w:spacing w:val="-3"/>
        </w:rPr>
        <w:t xml:space="preserve"> </w:t>
      </w:r>
      <w:r>
        <w:t>and</w:t>
      </w:r>
      <w:r>
        <w:rPr>
          <w:spacing w:val="-3"/>
        </w:rPr>
        <w:t xml:space="preserve"> </w:t>
      </w:r>
      <w:r>
        <w:t>neurodivergent LGBTQ youth may experience difficulty in communicating with others, including their healthcare providers, about their gender identity.</w:t>
      </w:r>
      <w:hyperlink w:anchor="_bookmark362" w:history="1">
        <w:r>
          <w:rPr>
            <w:vertAlign w:val="superscript"/>
          </w:rPr>
          <w:t>11</w:t>
        </w:r>
      </w:hyperlink>
      <w:r>
        <w:t xml:space="preserve"> Many youth who are able to communicate about their gender identity repor</w:t>
      </w:r>
      <w:r>
        <w:t>t not being believed due to their autism.</w:t>
      </w:r>
      <w:hyperlink w:anchor="_bookmark363" w:history="1">
        <w:r>
          <w:rPr>
            <w:vertAlign w:val="superscript"/>
          </w:rPr>
          <w:t>12</w:t>
        </w:r>
      </w:hyperlink>
    </w:p>
    <w:p w:rsidR="00200FDA" w:rsidRDefault="00F76C4C">
      <w:pPr>
        <w:pStyle w:val="BodyText"/>
        <w:spacing w:before="120" w:line="276" w:lineRule="auto"/>
        <w:ind w:left="140" w:right="135"/>
        <w:jc w:val="both"/>
      </w:pPr>
      <w:r>
        <w:t>Immigration</w:t>
      </w:r>
      <w:r>
        <w:rPr>
          <w:spacing w:val="-9"/>
        </w:rPr>
        <w:t xml:space="preserve"> </w:t>
      </w:r>
      <w:r>
        <w:t>status</w:t>
      </w:r>
      <w:r>
        <w:rPr>
          <w:spacing w:val="-8"/>
        </w:rPr>
        <w:t xml:space="preserve"> </w:t>
      </w:r>
      <w:r>
        <w:t>can</w:t>
      </w:r>
      <w:r>
        <w:rPr>
          <w:spacing w:val="-9"/>
        </w:rPr>
        <w:t xml:space="preserve"> </w:t>
      </w:r>
      <w:r>
        <w:t>also</w:t>
      </w:r>
      <w:r>
        <w:rPr>
          <w:spacing w:val="-9"/>
        </w:rPr>
        <w:t xml:space="preserve"> </w:t>
      </w:r>
      <w:r>
        <w:t>be</w:t>
      </w:r>
      <w:r>
        <w:rPr>
          <w:spacing w:val="-7"/>
        </w:rPr>
        <w:t xml:space="preserve"> </w:t>
      </w:r>
      <w:r>
        <w:t>an</w:t>
      </w:r>
      <w:r>
        <w:rPr>
          <w:spacing w:val="-9"/>
        </w:rPr>
        <w:t xml:space="preserve"> </w:t>
      </w:r>
      <w:r>
        <w:t>important</w:t>
      </w:r>
      <w:r>
        <w:rPr>
          <w:spacing w:val="-7"/>
        </w:rPr>
        <w:t xml:space="preserve"> </w:t>
      </w:r>
      <w:r>
        <w:t>aspect</w:t>
      </w:r>
      <w:r>
        <w:rPr>
          <w:spacing w:val="-10"/>
        </w:rPr>
        <w:t xml:space="preserve"> </w:t>
      </w:r>
      <w:r>
        <w:t>of</w:t>
      </w:r>
      <w:r>
        <w:rPr>
          <w:spacing w:val="-8"/>
        </w:rPr>
        <w:t xml:space="preserve"> </w:t>
      </w:r>
      <w:r>
        <w:t>intersectionality</w:t>
      </w:r>
      <w:r>
        <w:rPr>
          <w:spacing w:val="-7"/>
        </w:rPr>
        <w:t xml:space="preserve"> </w:t>
      </w:r>
      <w:r>
        <w:t>for</w:t>
      </w:r>
      <w:r>
        <w:rPr>
          <w:spacing w:val="-10"/>
        </w:rPr>
        <w:t xml:space="preserve"> </w:t>
      </w:r>
      <w:r>
        <w:t>LGBTQ</w:t>
      </w:r>
      <w:r>
        <w:rPr>
          <w:spacing w:val="-10"/>
        </w:rPr>
        <w:t xml:space="preserve"> </w:t>
      </w:r>
      <w:r>
        <w:t>youth,</w:t>
      </w:r>
      <w:r>
        <w:rPr>
          <w:spacing w:val="-8"/>
        </w:rPr>
        <w:t xml:space="preserve"> </w:t>
      </w:r>
      <w:r>
        <w:t>as</w:t>
      </w:r>
      <w:r>
        <w:rPr>
          <w:spacing w:val="-8"/>
        </w:rPr>
        <w:t xml:space="preserve"> </w:t>
      </w:r>
      <w:r>
        <w:t>they</w:t>
      </w:r>
      <w:r>
        <w:rPr>
          <w:spacing w:val="-10"/>
        </w:rPr>
        <w:t xml:space="preserve"> </w:t>
      </w:r>
      <w:r>
        <w:t>may</w:t>
      </w:r>
      <w:r>
        <w:rPr>
          <w:spacing w:val="-7"/>
        </w:rPr>
        <w:t xml:space="preserve"> </w:t>
      </w:r>
      <w:r>
        <w:t>face additional barriers</w:t>
      </w:r>
      <w:r>
        <w:rPr>
          <w:spacing w:val="-2"/>
        </w:rPr>
        <w:t xml:space="preserve"> </w:t>
      </w:r>
      <w:r>
        <w:t>and discrimination due</w:t>
      </w:r>
      <w:r>
        <w:rPr>
          <w:spacing w:val="-1"/>
        </w:rPr>
        <w:t xml:space="preserve"> </w:t>
      </w:r>
      <w:r>
        <w:t>to</w:t>
      </w:r>
      <w:r>
        <w:rPr>
          <w:spacing w:val="-1"/>
        </w:rPr>
        <w:t xml:space="preserve"> </w:t>
      </w:r>
      <w:r>
        <w:t>their</w:t>
      </w:r>
      <w:r>
        <w:rPr>
          <w:spacing w:val="-2"/>
        </w:rPr>
        <w:t xml:space="preserve"> </w:t>
      </w:r>
      <w:r>
        <w:t>status as</w:t>
      </w:r>
      <w:r>
        <w:rPr>
          <w:spacing w:val="-2"/>
        </w:rPr>
        <w:t xml:space="preserve"> </w:t>
      </w:r>
      <w:r>
        <w:t>immigrants</w:t>
      </w:r>
      <w:r>
        <w:rPr>
          <w:spacing w:val="-4"/>
        </w:rPr>
        <w:t xml:space="preserve"> </w:t>
      </w:r>
      <w:r>
        <w:t>or</w:t>
      </w:r>
      <w:r>
        <w:rPr>
          <w:spacing w:val="-2"/>
        </w:rPr>
        <w:t xml:space="preserve"> </w:t>
      </w:r>
      <w:r>
        <w:t>the</w:t>
      </w:r>
      <w:r>
        <w:rPr>
          <w:spacing w:val="-1"/>
        </w:rPr>
        <w:t xml:space="preserve"> </w:t>
      </w:r>
      <w:r>
        <w:t>children of</w:t>
      </w:r>
      <w:r>
        <w:rPr>
          <w:spacing w:val="-2"/>
        </w:rPr>
        <w:t xml:space="preserve"> </w:t>
      </w:r>
      <w:r>
        <w:t>immigrants. As highlighted</w:t>
      </w:r>
      <w:r>
        <w:rPr>
          <w:spacing w:val="-1"/>
        </w:rPr>
        <w:t xml:space="preserve"> </w:t>
      </w:r>
      <w:r>
        <w:t>in</w:t>
      </w:r>
      <w:r>
        <w:rPr>
          <w:spacing w:val="-1"/>
        </w:rPr>
        <w:t xml:space="preserve"> </w:t>
      </w:r>
      <w:r>
        <w:t>a</w:t>
      </w:r>
      <w:r>
        <w:rPr>
          <w:spacing w:val="-1"/>
        </w:rPr>
        <w:t xml:space="preserve"> </w:t>
      </w:r>
      <w:r>
        <w:t>subsequent section, undocumented</w:t>
      </w:r>
      <w:r>
        <w:rPr>
          <w:spacing w:val="-4"/>
        </w:rPr>
        <w:t xml:space="preserve"> </w:t>
      </w:r>
      <w:r>
        <w:t>youth</w:t>
      </w:r>
      <w:r>
        <w:rPr>
          <w:spacing w:val="-1"/>
        </w:rPr>
        <w:t xml:space="preserve"> </w:t>
      </w:r>
      <w:r>
        <w:t>in</w:t>
      </w:r>
      <w:r>
        <w:rPr>
          <w:spacing w:val="-1"/>
        </w:rPr>
        <w:t xml:space="preserve"> </w:t>
      </w:r>
      <w:r>
        <w:t>particular</w:t>
      </w:r>
      <w:r>
        <w:rPr>
          <w:spacing w:val="-1"/>
        </w:rPr>
        <w:t xml:space="preserve"> </w:t>
      </w:r>
      <w:r>
        <w:t>lack appropriate</w:t>
      </w:r>
      <w:r>
        <w:rPr>
          <w:spacing w:val="-2"/>
        </w:rPr>
        <w:t xml:space="preserve"> </w:t>
      </w:r>
      <w:r>
        <w:t>access to health insurance</w:t>
      </w:r>
      <w:r>
        <w:rPr>
          <w:spacing w:val="-4"/>
        </w:rPr>
        <w:t xml:space="preserve"> </w:t>
      </w:r>
      <w:r>
        <w:t>coverage,</w:t>
      </w:r>
      <w:r>
        <w:rPr>
          <w:spacing w:val="-4"/>
        </w:rPr>
        <w:t xml:space="preserve"> </w:t>
      </w:r>
      <w:r>
        <w:t>and</w:t>
      </w:r>
      <w:r>
        <w:rPr>
          <w:spacing w:val="-7"/>
        </w:rPr>
        <w:t xml:space="preserve"> </w:t>
      </w:r>
      <w:r>
        <w:t>may</w:t>
      </w:r>
      <w:r>
        <w:rPr>
          <w:spacing w:val="-4"/>
        </w:rPr>
        <w:t xml:space="preserve"> </w:t>
      </w:r>
      <w:r>
        <w:t>avoid</w:t>
      </w:r>
      <w:r>
        <w:rPr>
          <w:spacing w:val="-5"/>
        </w:rPr>
        <w:t xml:space="preserve"> </w:t>
      </w:r>
      <w:r>
        <w:t>health</w:t>
      </w:r>
      <w:r>
        <w:rPr>
          <w:spacing w:val="-5"/>
        </w:rPr>
        <w:t xml:space="preserve"> </w:t>
      </w:r>
      <w:r>
        <w:t>care</w:t>
      </w:r>
      <w:r>
        <w:rPr>
          <w:spacing w:val="-4"/>
        </w:rPr>
        <w:t xml:space="preserve"> </w:t>
      </w:r>
      <w:r>
        <w:t>facilities</w:t>
      </w:r>
      <w:r>
        <w:rPr>
          <w:spacing w:val="-4"/>
        </w:rPr>
        <w:t xml:space="preserve"> </w:t>
      </w:r>
      <w:r>
        <w:t>even</w:t>
      </w:r>
      <w:r>
        <w:rPr>
          <w:spacing w:val="-5"/>
        </w:rPr>
        <w:t xml:space="preserve"> </w:t>
      </w:r>
      <w:r>
        <w:t>when</w:t>
      </w:r>
      <w:r>
        <w:rPr>
          <w:spacing w:val="-5"/>
        </w:rPr>
        <w:t xml:space="preserve"> </w:t>
      </w:r>
      <w:r>
        <w:t>needed.</w:t>
      </w:r>
      <w:r>
        <w:rPr>
          <w:spacing w:val="-5"/>
        </w:rPr>
        <w:t xml:space="preserve"> </w:t>
      </w:r>
      <w:r>
        <w:t>Additionally,</w:t>
      </w:r>
      <w:r>
        <w:rPr>
          <w:spacing w:val="-7"/>
        </w:rPr>
        <w:t xml:space="preserve"> </w:t>
      </w:r>
      <w:r>
        <w:t>sexual</w:t>
      </w:r>
      <w:r>
        <w:rPr>
          <w:spacing w:val="-7"/>
        </w:rPr>
        <w:t xml:space="preserve"> </w:t>
      </w:r>
      <w:r>
        <w:t>minority immigrants ar</w:t>
      </w:r>
      <w:r>
        <w:t>e more likely than their heterosexual counterparts to report financial-related barriers to care and unmet mental health needs.</w:t>
      </w:r>
      <w:hyperlink w:anchor="_bookmark364" w:history="1">
        <w:r>
          <w:rPr>
            <w:vertAlign w:val="superscript"/>
          </w:rPr>
          <w:t>13</w:t>
        </w:r>
      </w:hyperlink>
    </w:p>
    <w:p w:rsidR="00200FDA" w:rsidRDefault="00F76C4C">
      <w:pPr>
        <w:pStyle w:val="BodyText"/>
        <w:spacing w:before="120" w:line="276" w:lineRule="auto"/>
        <w:ind w:left="139" w:right="134"/>
        <w:jc w:val="both"/>
      </w:pPr>
      <w:r>
        <w:t>Furthermore,</w:t>
      </w:r>
      <w:r>
        <w:rPr>
          <w:spacing w:val="-10"/>
        </w:rPr>
        <w:t xml:space="preserve"> </w:t>
      </w:r>
      <w:r>
        <w:t>LGBTQ</w:t>
      </w:r>
      <w:r>
        <w:rPr>
          <w:spacing w:val="-10"/>
        </w:rPr>
        <w:t xml:space="preserve"> </w:t>
      </w:r>
      <w:r>
        <w:t>youth</w:t>
      </w:r>
      <w:r>
        <w:rPr>
          <w:spacing w:val="-10"/>
        </w:rPr>
        <w:t xml:space="preserve"> </w:t>
      </w:r>
      <w:r>
        <w:t>experience</w:t>
      </w:r>
      <w:r>
        <w:rPr>
          <w:spacing w:val="-9"/>
        </w:rPr>
        <w:t xml:space="preserve"> </w:t>
      </w:r>
      <w:r>
        <w:t>unique</w:t>
      </w:r>
      <w:r>
        <w:rPr>
          <w:spacing w:val="-9"/>
        </w:rPr>
        <w:t xml:space="preserve"> </w:t>
      </w:r>
      <w:r>
        <w:t>challenges</w:t>
      </w:r>
      <w:r>
        <w:rPr>
          <w:spacing w:val="-8"/>
        </w:rPr>
        <w:t xml:space="preserve"> </w:t>
      </w:r>
      <w:r>
        <w:t>within</w:t>
      </w:r>
      <w:r>
        <w:rPr>
          <w:spacing w:val="-8"/>
        </w:rPr>
        <w:t xml:space="preserve"> </w:t>
      </w:r>
      <w:r>
        <w:t>the</w:t>
      </w:r>
      <w:r>
        <w:rPr>
          <w:spacing w:val="-7"/>
        </w:rPr>
        <w:t xml:space="preserve"> </w:t>
      </w:r>
      <w:r>
        <w:t>child</w:t>
      </w:r>
      <w:r>
        <w:rPr>
          <w:spacing w:val="-10"/>
        </w:rPr>
        <w:t xml:space="preserve"> </w:t>
      </w:r>
      <w:r>
        <w:t>welfare</w:t>
      </w:r>
      <w:r>
        <w:rPr>
          <w:spacing w:val="-10"/>
        </w:rPr>
        <w:t xml:space="preserve"> </w:t>
      </w:r>
      <w:r>
        <w:t>system,</w:t>
      </w:r>
      <w:r>
        <w:rPr>
          <w:spacing w:val="-10"/>
        </w:rPr>
        <w:t xml:space="preserve"> </w:t>
      </w:r>
      <w:r>
        <w:t>includin</w:t>
      </w:r>
      <w:r>
        <w:t>g</w:t>
      </w:r>
      <w:r>
        <w:rPr>
          <w:spacing w:val="-8"/>
        </w:rPr>
        <w:t xml:space="preserve"> </w:t>
      </w:r>
      <w:r>
        <w:t>a</w:t>
      </w:r>
      <w:r>
        <w:rPr>
          <w:spacing w:val="-8"/>
        </w:rPr>
        <w:t xml:space="preserve"> </w:t>
      </w:r>
      <w:r>
        <w:t>lack of</w:t>
      </w:r>
      <w:r>
        <w:rPr>
          <w:spacing w:val="-10"/>
        </w:rPr>
        <w:t xml:space="preserve"> </w:t>
      </w:r>
      <w:r>
        <w:t>placement</w:t>
      </w:r>
      <w:r>
        <w:rPr>
          <w:spacing w:val="-11"/>
        </w:rPr>
        <w:t xml:space="preserve"> </w:t>
      </w:r>
      <w:r>
        <w:t>options.</w:t>
      </w:r>
      <w:hyperlink w:anchor="_bookmark365" w:history="1">
        <w:r>
          <w:rPr>
            <w:vertAlign w:val="superscript"/>
          </w:rPr>
          <w:t>14</w:t>
        </w:r>
      </w:hyperlink>
      <w:r>
        <w:rPr>
          <w:spacing w:val="-1"/>
        </w:rPr>
        <w:t xml:space="preserve"> </w:t>
      </w:r>
      <w:r>
        <w:t>Until</w:t>
      </w:r>
      <w:r>
        <w:rPr>
          <w:spacing w:val="-12"/>
        </w:rPr>
        <w:t xml:space="preserve"> </w:t>
      </w:r>
      <w:r>
        <w:t>2021,</w:t>
      </w:r>
      <w:r>
        <w:rPr>
          <w:spacing w:val="-9"/>
        </w:rPr>
        <w:t xml:space="preserve"> </w:t>
      </w:r>
      <w:r>
        <w:t>the</w:t>
      </w:r>
      <w:r>
        <w:rPr>
          <w:spacing w:val="-11"/>
        </w:rPr>
        <w:t xml:space="preserve"> </w:t>
      </w:r>
      <w:r>
        <w:t>Massachusetts</w:t>
      </w:r>
      <w:r>
        <w:rPr>
          <w:spacing w:val="-12"/>
        </w:rPr>
        <w:t xml:space="preserve"> </w:t>
      </w:r>
      <w:r>
        <w:t>Department</w:t>
      </w:r>
      <w:r>
        <w:rPr>
          <w:spacing w:val="-9"/>
        </w:rPr>
        <w:t xml:space="preserve"> </w:t>
      </w:r>
      <w:r>
        <w:t>of</w:t>
      </w:r>
      <w:r>
        <w:rPr>
          <w:spacing w:val="-10"/>
        </w:rPr>
        <w:t xml:space="preserve"> </w:t>
      </w:r>
      <w:r>
        <w:t>Children</w:t>
      </w:r>
      <w:r>
        <w:rPr>
          <w:spacing w:val="-10"/>
        </w:rPr>
        <w:t xml:space="preserve"> </w:t>
      </w:r>
      <w:r>
        <w:t>and</w:t>
      </w:r>
      <w:r>
        <w:rPr>
          <w:spacing w:val="-10"/>
        </w:rPr>
        <w:t xml:space="preserve"> </w:t>
      </w:r>
      <w:r>
        <w:t>Families</w:t>
      </w:r>
      <w:r>
        <w:rPr>
          <w:spacing w:val="-9"/>
        </w:rPr>
        <w:t xml:space="preserve"> </w:t>
      </w:r>
      <w:r>
        <w:t>lacked</w:t>
      </w:r>
      <w:r>
        <w:rPr>
          <w:spacing w:val="-10"/>
        </w:rPr>
        <w:t xml:space="preserve"> </w:t>
      </w:r>
      <w:r>
        <w:t>a</w:t>
      </w:r>
      <w:r>
        <w:rPr>
          <w:spacing w:val="-10"/>
        </w:rPr>
        <w:t xml:space="preserve"> </w:t>
      </w:r>
      <w:r>
        <w:t>clear policy</w:t>
      </w:r>
      <w:r>
        <w:rPr>
          <w:spacing w:val="-8"/>
        </w:rPr>
        <w:t xml:space="preserve"> </w:t>
      </w:r>
      <w:r>
        <w:t>on</w:t>
      </w:r>
      <w:r>
        <w:rPr>
          <w:spacing w:val="-7"/>
        </w:rPr>
        <w:t xml:space="preserve"> </w:t>
      </w:r>
      <w:r>
        <w:t>gender-affirming</w:t>
      </w:r>
      <w:r>
        <w:rPr>
          <w:spacing w:val="-7"/>
        </w:rPr>
        <w:t xml:space="preserve"> </w:t>
      </w:r>
      <w:r>
        <w:t>care.</w:t>
      </w:r>
      <w:r>
        <w:rPr>
          <w:spacing w:val="-7"/>
        </w:rPr>
        <w:t xml:space="preserve"> </w:t>
      </w:r>
      <w:r>
        <w:t>Prior</w:t>
      </w:r>
      <w:r>
        <w:rPr>
          <w:spacing w:val="-7"/>
        </w:rPr>
        <w:t xml:space="preserve"> </w:t>
      </w:r>
      <w:r>
        <w:t>to</w:t>
      </w:r>
      <w:r>
        <w:rPr>
          <w:spacing w:val="-5"/>
        </w:rPr>
        <w:t xml:space="preserve"> </w:t>
      </w:r>
      <w:r>
        <w:t>this</w:t>
      </w:r>
      <w:r>
        <w:rPr>
          <w:spacing w:val="-7"/>
        </w:rPr>
        <w:t xml:space="preserve"> </w:t>
      </w:r>
      <w:r>
        <w:t>policy,</w:t>
      </w:r>
      <w:r>
        <w:rPr>
          <w:spacing w:val="-9"/>
        </w:rPr>
        <w:t xml:space="preserve"> </w:t>
      </w:r>
      <w:r>
        <w:t>many</w:t>
      </w:r>
      <w:r>
        <w:rPr>
          <w:spacing w:val="-6"/>
        </w:rPr>
        <w:t xml:space="preserve"> </w:t>
      </w:r>
      <w:r>
        <w:t>transgender</w:t>
      </w:r>
      <w:r>
        <w:rPr>
          <w:spacing w:val="-9"/>
        </w:rPr>
        <w:t xml:space="preserve"> </w:t>
      </w:r>
      <w:r>
        <w:t>youth</w:t>
      </w:r>
      <w:r>
        <w:rPr>
          <w:spacing w:val="-7"/>
        </w:rPr>
        <w:t xml:space="preserve"> </w:t>
      </w:r>
      <w:r>
        <w:t>in</w:t>
      </w:r>
      <w:r>
        <w:rPr>
          <w:spacing w:val="-7"/>
        </w:rPr>
        <w:t xml:space="preserve"> </w:t>
      </w:r>
      <w:r>
        <w:t>DCF’s</w:t>
      </w:r>
      <w:r>
        <w:rPr>
          <w:spacing w:val="-7"/>
        </w:rPr>
        <w:t xml:space="preserve"> </w:t>
      </w:r>
      <w:r>
        <w:t>care</w:t>
      </w:r>
      <w:r>
        <w:rPr>
          <w:spacing w:val="-6"/>
        </w:rPr>
        <w:t xml:space="preserve"> </w:t>
      </w:r>
      <w:r>
        <w:t>reported</w:t>
      </w:r>
      <w:r>
        <w:rPr>
          <w:spacing w:val="-7"/>
        </w:rPr>
        <w:t xml:space="preserve"> </w:t>
      </w:r>
      <w:r>
        <w:t>being denied access to providers to diagnose gender dysphoria, and experiencing delays in accessing gender- affirming care.</w:t>
      </w:r>
      <w:hyperlink w:anchor="_bookmark366" w:history="1">
        <w:r>
          <w:rPr>
            <w:vertAlign w:val="superscript"/>
          </w:rPr>
          <w:t>15</w:t>
        </w:r>
      </w:hyperlink>
      <w:r>
        <w:rPr>
          <w:spacing w:val="-2"/>
        </w:rPr>
        <w:t xml:space="preserve"> </w:t>
      </w:r>
      <w:r>
        <w:t>It remains to be seen if these updated</w:t>
      </w:r>
      <w:r>
        <w:rPr>
          <w:spacing w:val="-2"/>
        </w:rPr>
        <w:t xml:space="preserve"> </w:t>
      </w:r>
      <w:r>
        <w:t>policies have succeeded in</w:t>
      </w:r>
      <w:r>
        <w:rPr>
          <w:spacing w:val="-2"/>
        </w:rPr>
        <w:t xml:space="preserve"> </w:t>
      </w:r>
      <w:r>
        <w:t>decreasing barriers</w:t>
      </w:r>
      <w:r>
        <w:rPr>
          <w:spacing w:val="-1"/>
        </w:rPr>
        <w:t xml:space="preserve"> </w:t>
      </w:r>
      <w:r>
        <w:t>to care in t</w:t>
      </w:r>
      <w:r>
        <w:t>his vulnerable population, but, as discussed in the agency recommendations below, the Commission</w:t>
      </w:r>
      <w:r>
        <w:rPr>
          <w:spacing w:val="-9"/>
        </w:rPr>
        <w:t xml:space="preserve"> </w:t>
      </w:r>
      <w:r>
        <w:t>continues</w:t>
      </w:r>
      <w:r>
        <w:rPr>
          <w:spacing w:val="-10"/>
        </w:rPr>
        <w:t xml:space="preserve"> </w:t>
      </w:r>
      <w:r>
        <w:t>to</w:t>
      </w:r>
      <w:r>
        <w:rPr>
          <w:spacing w:val="-9"/>
        </w:rPr>
        <w:t xml:space="preserve"> </w:t>
      </w:r>
      <w:r>
        <w:t>work</w:t>
      </w:r>
      <w:r>
        <w:rPr>
          <w:spacing w:val="-10"/>
        </w:rPr>
        <w:t xml:space="preserve"> </w:t>
      </w:r>
      <w:r>
        <w:t>with</w:t>
      </w:r>
      <w:r>
        <w:rPr>
          <w:spacing w:val="-9"/>
        </w:rPr>
        <w:t xml:space="preserve"> </w:t>
      </w:r>
      <w:r>
        <w:t>DCF</w:t>
      </w:r>
      <w:r>
        <w:rPr>
          <w:spacing w:val="-9"/>
        </w:rPr>
        <w:t xml:space="preserve"> </w:t>
      </w:r>
      <w:r>
        <w:t>and</w:t>
      </w:r>
      <w:r>
        <w:rPr>
          <w:spacing w:val="-9"/>
        </w:rPr>
        <w:t xml:space="preserve"> </w:t>
      </w:r>
      <w:r>
        <w:t>youth</w:t>
      </w:r>
      <w:r>
        <w:rPr>
          <w:spacing w:val="-9"/>
        </w:rPr>
        <w:t xml:space="preserve"> </w:t>
      </w:r>
      <w:r>
        <w:t>in</w:t>
      </w:r>
      <w:r>
        <w:rPr>
          <w:spacing w:val="-9"/>
        </w:rPr>
        <w:t xml:space="preserve"> </w:t>
      </w:r>
      <w:r>
        <w:t>the</w:t>
      </w:r>
      <w:r>
        <w:rPr>
          <w:spacing w:val="-7"/>
        </w:rPr>
        <w:t xml:space="preserve"> </w:t>
      </w:r>
      <w:r>
        <w:t>child</w:t>
      </w:r>
      <w:r>
        <w:rPr>
          <w:spacing w:val="-9"/>
        </w:rPr>
        <w:t xml:space="preserve"> </w:t>
      </w:r>
      <w:r>
        <w:t>welfare</w:t>
      </w:r>
      <w:r>
        <w:rPr>
          <w:spacing w:val="-10"/>
        </w:rPr>
        <w:t xml:space="preserve"> </w:t>
      </w:r>
      <w:r>
        <w:t>system</w:t>
      </w:r>
      <w:r>
        <w:rPr>
          <w:spacing w:val="-7"/>
        </w:rPr>
        <w:t xml:space="preserve"> </w:t>
      </w:r>
      <w:r>
        <w:t>to</w:t>
      </w:r>
      <w:r>
        <w:rPr>
          <w:spacing w:val="-9"/>
        </w:rPr>
        <w:t xml:space="preserve"> </w:t>
      </w:r>
      <w:r>
        <w:t>better</w:t>
      </w:r>
      <w:r>
        <w:rPr>
          <w:spacing w:val="-8"/>
        </w:rPr>
        <w:t xml:space="preserve"> </w:t>
      </w:r>
      <w:r>
        <w:t>understand</w:t>
      </w:r>
      <w:r>
        <w:rPr>
          <w:spacing w:val="-9"/>
        </w:rPr>
        <w:t xml:space="preserve"> </w:t>
      </w:r>
      <w:r>
        <w:t>areas of improvement and success.</w:t>
      </w:r>
    </w:p>
    <w:p w:rsidR="00200FDA" w:rsidRDefault="00F76C4C">
      <w:pPr>
        <w:pStyle w:val="BodyText"/>
        <w:spacing w:before="119" w:line="276" w:lineRule="auto"/>
        <w:ind w:left="139" w:right="133"/>
        <w:jc w:val="both"/>
      </w:pPr>
      <w:r>
        <w:t>As</w:t>
      </w:r>
      <w:r>
        <w:rPr>
          <w:spacing w:val="-6"/>
        </w:rPr>
        <w:t xml:space="preserve"> </w:t>
      </w:r>
      <w:r>
        <w:t>discussed</w:t>
      </w:r>
      <w:r>
        <w:rPr>
          <w:spacing w:val="-7"/>
        </w:rPr>
        <w:t xml:space="preserve"> </w:t>
      </w:r>
      <w:r>
        <w:t>throughout</w:t>
      </w:r>
      <w:r>
        <w:rPr>
          <w:spacing w:val="-6"/>
        </w:rPr>
        <w:t xml:space="preserve"> </w:t>
      </w:r>
      <w:r>
        <w:t>this</w:t>
      </w:r>
      <w:r>
        <w:rPr>
          <w:spacing w:val="-7"/>
        </w:rPr>
        <w:t xml:space="preserve"> </w:t>
      </w:r>
      <w:r>
        <w:t>annual</w:t>
      </w:r>
      <w:r>
        <w:rPr>
          <w:spacing w:val="-7"/>
        </w:rPr>
        <w:t xml:space="preserve"> </w:t>
      </w:r>
      <w:r>
        <w:t>report,</w:t>
      </w:r>
      <w:r>
        <w:rPr>
          <w:spacing w:val="-9"/>
        </w:rPr>
        <w:t xml:space="preserve"> </w:t>
      </w:r>
      <w:r>
        <w:t>once</w:t>
      </w:r>
      <w:r>
        <w:rPr>
          <w:spacing w:val="-6"/>
        </w:rPr>
        <w:t xml:space="preserve"> </w:t>
      </w:r>
      <w:r>
        <w:t>in</w:t>
      </w:r>
      <w:r>
        <w:rPr>
          <w:spacing w:val="-7"/>
        </w:rPr>
        <w:t xml:space="preserve"> </w:t>
      </w:r>
      <w:r>
        <w:t>the</w:t>
      </w:r>
      <w:r>
        <w:rPr>
          <w:spacing w:val="-6"/>
        </w:rPr>
        <w:t xml:space="preserve"> </w:t>
      </w:r>
      <w:r>
        <w:t>child</w:t>
      </w:r>
      <w:r>
        <w:rPr>
          <w:spacing w:val="-7"/>
        </w:rPr>
        <w:t xml:space="preserve"> </w:t>
      </w:r>
      <w:r>
        <w:t>welfare</w:t>
      </w:r>
      <w:r>
        <w:rPr>
          <w:spacing w:val="-6"/>
        </w:rPr>
        <w:t xml:space="preserve"> </w:t>
      </w:r>
      <w:r>
        <w:t>system,</w:t>
      </w:r>
      <w:r>
        <w:rPr>
          <w:spacing w:val="-7"/>
        </w:rPr>
        <w:t xml:space="preserve"> </w:t>
      </w:r>
      <w:r>
        <w:t>youth</w:t>
      </w:r>
      <w:r>
        <w:rPr>
          <w:spacing w:val="-7"/>
        </w:rPr>
        <w:t xml:space="preserve"> </w:t>
      </w:r>
      <w:r>
        <w:t>face</w:t>
      </w:r>
      <w:r>
        <w:rPr>
          <w:spacing w:val="-6"/>
        </w:rPr>
        <w:t xml:space="preserve"> </w:t>
      </w:r>
      <w:r>
        <w:t>an</w:t>
      </w:r>
      <w:r>
        <w:rPr>
          <w:spacing w:val="-7"/>
        </w:rPr>
        <w:t xml:space="preserve"> </w:t>
      </w:r>
      <w:r>
        <w:t>increased</w:t>
      </w:r>
      <w:r>
        <w:rPr>
          <w:spacing w:val="-7"/>
        </w:rPr>
        <w:t xml:space="preserve"> </w:t>
      </w:r>
      <w:r>
        <w:t>risk of entering the juvenile justice system, known as the foster-care-to-prison pipeline.</w:t>
      </w:r>
      <w:hyperlink w:anchor="_bookmark367" w:history="1">
        <w:r>
          <w:rPr>
            <w:vertAlign w:val="superscript"/>
          </w:rPr>
          <w:t>16</w:t>
        </w:r>
      </w:hyperlink>
      <w:r>
        <w:rPr>
          <w:spacing w:val="-2"/>
        </w:rPr>
        <w:t xml:space="preserve"> </w:t>
      </w:r>
      <w:r>
        <w:t>Nationally, a brief from the Center for American Progress found t</w:t>
      </w:r>
      <w:r>
        <w:t>hat gay and transgender youth are disproportionately represented in the juvenile justice system, and the majority of these youth are Black or Latino.</w:t>
      </w:r>
      <w:hyperlink w:anchor="_bookmark368" w:history="1">
        <w:r>
          <w:rPr>
            <w:vertAlign w:val="superscript"/>
          </w:rPr>
          <w:t>17</w:t>
        </w:r>
      </w:hyperlink>
      <w:r>
        <w:t xml:space="preserve"> This research showed that LGBTQ youth were more likely to experience fac</w:t>
      </w:r>
      <w:r>
        <w:t>tors that place youth at risk of entering</w:t>
      </w:r>
      <w:r>
        <w:rPr>
          <w:spacing w:val="-13"/>
        </w:rPr>
        <w:t xml:space="preserve"> </w:t>
      </w:r>
      <w:r>
        <w:t>the</w:t>
      </w:r>
      <w:r>
        <w:rPr>
          <w:spacing w:val="-12"/>
        </w:rPr>
        <w:t xml:space="preserve"> </w:t>
      </w:r>
      <w:r>
        <w:t>juvenile</w:t>
      </w:r>
      <w:r>
        <w:rPr>
          <w:spacing w:val="-11"/>
        </w:rPr>
        <w:t xml:space="preserve"> </w:t>
      </w:r>
      <w:r>
        <w:t>justice</w:t>
      </w:r>
      <w:r>
        <w:rPr>
          <w:spacing w:val="-12"/>
        </w:rPr>
        <w:t xml:space="preserve"> </w:t>
      </w:r>
      <w:r>
        <w:t>system,</w:t>
      </w:r>
      <w:r>
        <w:rPr>
          <w:spacing w:val="-11"/>
        </w:rPr>
        <w:t xml:space="preserve"> </w:t>
      </w:r>
      <w:r>
        <w:t>including</w:t>
      </w:r>
      <w:r>
        <w:rPr>
          <w:spacing w:val="-13"/>
        </w:rPr>
        <w:t xml:space="preserve"> </w:t>
      </w:r>
      <w:r>
        <w:t>family</w:t>
      </w:r>
      <w:r>
        <w:rPr>
          <w:spacing w:val="-11"/>
        </w:rPr>
        <w:t xml:space="preserve"> </w:t>
      </w:r>
      <w:r>
        <w:t>conflict,</w:t>
      </w:r>
      <w:r>
        <w:rPr>
          <w:spacing w:val="-12"/>
        </w:rPr>
        <w:t xml:space="preserve"> </w:t>
      </w:r>
      <w:r>
        <w:t>child</w:t>
      </w:r>
      <w:r>
        <w:rPr>
          <w:spacing w:val="-12"/>
        </w:rPr>
        <w:t xml:space="preserve"> </w:t>
      </w:r>
      <w:r>
        <w:t>abuse,</w:t>
      </w:r>
      <w:r>
        <w:rPr>
          <w:spacing w:val="-13"/>
        </w:rPr>
        <w:t xml:space="preserve"> </w:t>
      </w:r>
      <w:r>
        <w:t>and</w:t>
      </w:r>
      <w:r>
        <w:rPr>
          <w:spacing w:val="-12"/>
        </w:rPr>
        <w:t xml:space="preserve"> </w:t>
      </w:r>
      <w:r>
        <w:t>homelessness.</w:t>
      </w:r>
      <w:r>
        <w:rPr>
          <w:spacing w:val="-12"/>
        </w:rPr>
        <w:t xml:space="preserve"> </w:t>
      </w:r>
      <w:r>
        <w:t>Additionally, LGBTQ youth face the threat of being placed in restrictive settings due to their sexual orientation and gender identity. A 2009 study found that LGBTQ youth in the juvenile system experience difficulties accessing</w:t>
      </w:r>
      <w:r>
        <w:rPr>
          <w:spacing w:val="-2"/>
        </w:rPr>
        <w:t xml:space="preserve"> </w:t>
      </w:r>
      <w:r>
        <w:t xml:space="preserve">culturally competent mental </w:t>
      </w:r>
      <w:r>
        <w:t>healthcare,</w:t>
      </w:r>
      <w:hyperlink w:anchor="_bookmark369" w:history="1">
        <w:r>
          <w:rPr>
            <w:vertAlign w:val="superscript"/>
          </w:rPr>
          <w:t>18</w:t>
        </w:r>
      </w:hyperlink>
      <w:r>
        <w:rPr>
          <w:spacing w:val="-2"/>
        </w:rPr>
        <w:t xml:space="preserve"> </w:t>
      </w:r>
      <w:r>
        <w:t>but little research</w:t>
      </w:r>
      <w:r>
        <w:rPr>
          <w:spacing w:val="-2"/>
        </w:rPr>
        <w:t xml:space="preserve"> </w:t>
      </w:r>
      <w:r>
        <w:t>has been done on the topic</w:t>
      </w:r>
      <w:r>
        <w:rPr>
          <w:spacing w:val="-1"/>
        </w:rPr>
        <w:t xml:space="preserve"> </w:t>
      </w:r>
      <w:r>
        <w:t>since. In Massachusetts, LGBTQ youth are reported to make up approximately 6% of youth in the Department of Youth Services’ custody, and DYS has enacted several po</w:t>
      </w:r>
      <w:r>
        <w:t>licies over the years to better address and improve access to essential health care for youth in the juvenile justice system.</w:t>
      </w:r>
    </w:p>
    <w:p w:rsidR="00200FDA" w:rsidRDefault="00F76C4C">
      <w:pPr>
        <w:pStyle w:val="BodyText"/>
        <w:spacing w:before="122"/>
        <w:ind w:left="140"/>
        <w:jc w:val="both"/>
      </w:pPr>
      <w:r>
        <w:pict>
          <v:rect id="docshape305" o:spid="_x0000_s1277" style="position:absolute;left:0;text-align:left;margin-left:272.3pt;margin-top:14.3pt;width:261.6pt;height:3pt;z-index:15773184;mso-position-horizontal-relative:page" fillcolor="#0f6ec5" stroked="f">
            <w10:wrap anchorx="page"/>
          </v:rect>
        </w:pict>
      </w:r>
      <w:r>
        <w:t>Many</w:t>
      </w:r>
      <w:r>
        <w:rPr>
          <w:spacing w:val="66"/>
          <w:w w:val="150"/>
        </w:rPr>
        <w:t xml:space="preserve"> </w:t>
      </w:r>
      <w:r>
        <w:t>intersex</w:t>
      </w:r>
      <w:r>
        <w:rPr>
          <w:spacing w:val="64"/>
          <w:w w:val="150"/>
        </w:rPr>
        <w:t xml:space="preserve"> </w:t>
      </w:r>
      <w:r>
        <w:t>youth</w:t>
      </w:r>
      <w:r>
        <w:rPr>
          <w:spacing w:val="65"/>
          <w:w w:val="150"/>
        </w:rPr>
        <w:t xml:space="preserve"> </w:t>
      </w:r>
      <w:r>
        <w:t>also</w:t>
      </w:r>
      <w:r>
        <w:rPr>
          <w:spacing w:val="67"/>
          <w:w w:val="150"/>
        </w:rPr>
        <w:t xml:space="preserve"> </w:t>
      </w:r>
      <w:r>
        <w:t>identify</w:t>
      </w:r>
      <w:r>
        <w:rPr>
          <w:spacing w:val="67"/>
          <w:w w:val="150"/>
        </w:rPr>
        <w:t xml:space="preserve"> </w:t>
      </w:r>
      <w:r>
        <w:rPr>
          <w:spacing w:val="-5"/>
        </w:rPr>
        <w:t>as</w:t>
      </w:r>
    </w:p>
    <w:p w:rsidR="00200FDA" w:rsidRDefault="00200FDA">
      <w:pPr>
        <w:jc w:val="both"/>
        <w:sectPr w:rsidR="00200FDA">
          <w:pgSz w:w="12240" w:h="15840"/>
          <w:pgMar w:top="1360" w:right="1300" w:bottom="1380" w:left="1300" w:header="761" w:footer="1132" w:gutter="0"/>
          <w:cols w:space="720"/>
        </w:sectPr>
      </w:pPr>
    </w:p>
    <w:p w:rsidR="00200FDA" w:rsidRDefault="00F76C4C">
      <w:pPr>
        <w:pStyle w:val="BodyText"/>
        <w:spacing w:before="38" w:line="276" w:lineRule="auto"/>
        <w:ind w:left="139" w:right="38"/>
        <w:jc w:val="both"/>
      </w:pPr>
      <w:r>
        <w:t>LGBTQ;</w:t>
      </w:r>
      <w:r>
        <w:rPr>
          <w:spacing w:val="-13"/>
        </w:rPr>
        <w:t xml:space="preserve"> </w:t>
      </w:r>
      <w:hyperlink w:anchor="_bookmark370" w:history="1">
        <w:r>
          <w:rPr>
            <w:vertAlign w:val="superscript"/>
          </w:rPr>
          <w:t>19</w:t>
        </w:r>
      </w:hyperlink>
      <w:r>
        <w:t xml:space="preserve"> intersex refers to people who are born with a difference of sex development or variations of sex characteristics.</w:t>
      </w:r>
      <w:hyperlink w:anchor="_bookmark371" w:history="1">
        <w:r>
          <w:rPr>
            <w:vertAlign w:val="superscript"/>
          </w:rPr>
          <w:t>20</w:t>
        </w:r>
      </w:hyperlink>
      <w:r>
        <w:rPr>
          <w:spacing w:val="-10"/>
        </w:rPr>
        <w:t xml:space="preserve"> </w:t>
      </w:r>
      <w:r>
        <w:t>Unfortunately, research on</w:t>
      </w:r>
      <w:r>
        <w:rPr>
          <w:spacing w:val="-8"/>
        </w:rPr>
        <w:t xml:space="preserve"> </w:t>
      </w:r>
      <w:r>
        <w:t>intersex</w:t>
      </w:r>
      <w:r>
        <w:rPr>
          <w:spacing w:val="-7"/>
        </w:rPr>
        <w:t xml:space="preserve"> </w:t>
      </w:r>
      <w:r>
        <w:t>individuals</w:t>
      </w:r>
      <w:r>
        <w:rPr>
          <w:spacing w:val="-7"/>
        </w:rPr>
        <w:t xml:space="preserve"> </w:t>
      </w:r>
      <w:r>
        <w:t>is</w:t>
      </w:r>
      <w:r>
        <w:rPr>
          <w:spacing w:val="-8"/>
        </w:rPr>
        <w:t xml:space="preserve"> </w:t>
      </w:r>
      <w:r>
        <w:t>severely</w:t>
      </w:r>
      <w:r>
        <w:rPr>
          <w:spacing w:val="-6"/>
        </w:rPr>
        <w:t xml:space="preserve"> </w:t>
      </w:r>
      <w:r>
        <w:t>lacking, and</w:t>
      </w:r>
      <w:r>
        <w:rPr>
          <w:spacing w:val="44"/>
        </w:rPr>
        <w:t xml:space="preserve">  </w:t>
      </w:r>
      <w:r>
        <w:t>research</w:t>
      </w:r>
      <w:r>
        <w:rPr>
          <w:spacing w:val="43"/>
        </w:rPr>
        <w:t xml:space="preserve">  </w:t>
      </w:r>
      <w:r>
        <w:t>on</w:t>
      </w:r>
      <w:r>
        <w:rPr>
          <w:spacing w:val="44"/>
        </w:rPr>
        <w:t xml:space="preserve">  </w:t>
      </w:r>
      <w:r>
        <w:t>intersex</w:t>
      </w:r>
      <w:r>
        <w:rPr>
          <w:spacing w:val="45"/>
        </w:rPr>
        <w:t xml:space="preserve">  </w:t>
      </w:r>
      <w:r>
        <w:t>youth</w:t>
      </w:r>
      <w:r>
        <w:rPr>
          <w:spacing w:val="45"/>
        </w:rPr>
        <w:t xml:space="preserve">  </w:t>
      </w:r>
      <w:r>
        <w:rPr>
          <w:spacing w:val="-5"/>
        </w:rPr>
        <w:t>in</w:t>
      </w:r>
    </w:p>
    <w:p w:rsidR="00200FDA" w:rsidRDefault="00F76C4C">
      <w:pPr>
        <w:spacing w:before="116" w:line="264" w:lineRule="auto"/>
        <w:ind w:left="139" w:right="219"/>
        <w:rPr>
          <w:rFonts w:ascii="Cambria"/>
          <w:b/>
          <w:sz w:val="21"/>
        </w:rPr>
      </w:pPr>
      <w:r>
        <w:br w:type="column"/>
      </w:r>
      <w:r>
        <w:rPr>
          <w:rFonts w:ascii="Cambria"/>
          <w:b/>
          <w:color w:val="112E51"/>
          <w:sz w:val="21"/>
        </w:rPr>
        <w:t>Intersex</w:t>
      </w:r>
      <w:r>
        <w:rPr>
          <w:rFonts w:ascii="Cambria"/>
          <w:b/>
          <w:color w:val="112E51"/>
          <w:spacing w:val="-8"/>
          <w:sz w:val="21"/>
        </w:rPr>
        <w:t xml:space="preserve"> </w:t>
      </w:r>
      <w:r>
        <w:rPr>
          <w:rFonts w:ascii="Cambria"/>
          <w:b/>
          <w:color w:val="112E51"/>
          <w:sz w:val="21"/>
        </w:rPr>
        <w:t>youth</w:t>
      </w:r>
      <w:r>
        <w:rPr>
          <w:rFonts w:ascii="Cambria"/>
          <w:b/>
          <w:color w:val="112E51"/>
          <w:spacing w:val="-5"/>
          <w:sz w:val="21"/>
        </w:rPr>
        <w:t xml:space="preserve"> </w:t>
      </w:r>
      <w:r>
        <w:rPr>
          <w:rFonts w:ascii="Cambria"/>
          <w:b/>
          <w:color w:val="112E51"/>
          <w:sz w:val="21"/>
        </w:rPr>
        <w:t>are</w:t>
      </w:r>
      <w:r>
        <w:rPr>
          <w:rFonts w:ascii="Cambria"/>
          <w:b/>
          <w:color w:val="112E51"/>
          <w:spacing w:val="-5"/>
          <w:sz w:val="21"/>
        </w:rPr>
        <w:t xml:space="preserve"> </w:t>
      </w:r>
      <w:r>
        <w:rPr>
          <w:rFonts w:ascii="Cambria"/>
          <w:b/>
          <w:color w:val="112E51"/>
          <w:sz w:val="21"/>
        </w:rPr>
        <w:t>often</w:t>
      </w:r>
      <w:r>
        <w:rPr>
          <w:rFonts w:ascii="Cambria"/>
          <w:b/>
          <w:color w:val="112E51"/>
          <w:spacing w:val="-8"/>
          <w:sz w:val="21"/>
        </w:rPr>
        <w:t xml:space="preserve"> </w:t>
      </w:r>
      <w:r>
        <w:rPr>
          <w:rFonts w:ascii="Cambria"/>
          <w:b/>
          <w:color w:val="112E51"/>
          <w:sz w:val="21"/>
        </w:rPr>
        <w:t>subject</w:t>
      </w:r>
      <w:r>
        <w:rPr>
          <w:rFonts w:ascii="Cambria"/>
          <w:b/>
          <w:color w:val="112E51"/>
          <w:spacing w:val="-6"/>
          <w:sz w:val="21"/>
        </w:rPr>
        <w:t xml:space="preserve"> </w:t>
      </w:r>
      <w:r>
        <w:rPr>
          <w:rFonts w:ascii="Cambria"/>
          <w:b/>
          <w:color w:val="112E51"/>
          <w:sz w:val="21"/>
        </w:rPr>
        <w:t>to</w:t>
      </w:r>
      <w:r>
        <w:rPr>
          <w:rFonts w:ascii="Cambria"/>
          <w:b/>
          <w:color w:val="112E51"/>
          <w:spacing w:val="-6"/>
          <w:sz w:val="21"/>
        </w:rPr>
        <w:t xml:space="preserve"> </w:t>
      </w:r>
      <w:r>
        <w:rPr>
          <w:rFonts w:ascii="Cambria"/>
          <w:b/>
          <w:color w:val="112E51"/>
          <w:sz w:val="21"/>
        </w:rPr>
        <w:t>non-consensual medical interventions to alter their genitalia as infants,</w:t>
      </w:r>
      <w:r>
        <w:rPr>
          <w:rFonts w:ascii="Cambria"/>
          <w:b/>
          <w:color w:val="112E51"/>
          <w:spacing w:val="-5"/>
          <w:sz w:val="21"/>
        </w:rPr>
        <w:t xml:space="preserve"> </w:t>
      </w:r>
      <w:r>
        <w:rPr>
          <w:rFonts w:ascii="Cambria"/>
          <w:b/>
          <w:color w:val="112E51"/>
          <w:sz w:val="21"/>
        </w:rPr>
        <w:t>a</w:t>
      </w:r>
      <w:r>
        <w:rPr>
          <w:rFonts w:ascii="Cambria"/>
          <w:b/>
          <w:color w:val="112E51"/>
          <w:spacing w:val="-4"/>
          <w:sz w:val="21"/>
        </w:rPr>
        <w:t xml:space="preserve"> </w:t>
      </w:r>
      <w:r>
        <w:rPr>
          <w:rFonts w:ascii="Cambria"/>
          <w:b/>
          <w:color w:val="112E51"/>
          <w:sz w:val="21"/>
        </w:rPr>
        <w:t>practice</w:t>
      </w:r>
      <w:r>
        <w:rPr>
          <w:rFonts w:ascii="Cambria"/>
          <w:b/>
          <w:color w:val="112E51"/>
          <w:spacing w:val="-3"/>
          <w:sz w:val="21"/>
        </w:rPr>
        <w:t xml:space="preserve"> </w:t>
      </w:r>
      <w:r>
        <w:rPr>
          <w:rFonts w:ascii="Cambria"/>
          <w:b/>
          <w:color w:val="112E51"/>
          <w:sz w:val="21"/>
        </w:rPr>
        <w:t>that</w:t>
      </w:r>
      <w:r>
        <w:rPr>
          <w:rFonts w:ascii="Cambria"/>
          <w:b/>
          <w:color w:val="112E51"/>
          <w:spacing w:val="-4"/>
          <w:sz w:val="21"/>
        </w:rPr>
        <w:t xml:space="preserve"> </w:t>
      </w:r>
      <w:r>
        <w:rPr>
          <w:rFonts w:ascii="Cambria"/>
          <w:b/>
          <w:color w:val="112E51"/>
          <w:sz w:val="21"/>
        </w:rPr>
        <w:t>is</w:t>
      </w:r>
      <w:r>
        <w:rPr>
          <w:rFonts w:ascii="Cambria"/>
          <w:b/>
          <w:color w:val="112E51"/>
          <w:spacing w:val="-7"/>
          <w:sz w:val="21"/>
        </w:rPr>
        <w:t xml:space="preserve"> </w:t>
      </w:r>
      <w:r>
        <w:rPr>
          <w:rFonts w:ascii="Cambria"/>
          <w:b/>
          <w:color w:val="112E51"/>
          <w:sz w:val="21"/>
        </w:rPr>
        <w:t>condemned</w:t>
      </w:r>
      <w:r>
        <w:rPr>
          <w:rFonts w:ascii="Cambria"/>
          <w:b/>
          <w:color w:val="112E51"/>
          <w:spacing w:val="-3"/>
          <w:sz w:val="21"/>
        </w:rPr>
        <w:t xml:space="preserve"> </w:t>
      </w:r>
      <w:r>
        <w:rPr>
          <w:rFonts w:ascii="Cambria"/>
          <w:b/>
          <w:color w:val="112E51"/>
          <w:sz w:val="21"/>
        </w:rPr>
        <w:t>by</w:t>
      </w:r>
      <w:r>
        <w:rPr>
          <w:rFonts w:ascii="Cambria"/>
          <w:b/>
          <w:color w:val="112E51"/>
          <w:spacing w:val="-3"/>
          <w:sz w:val="21"/>
        </w:rPr>
        <w:t xml:space="preserve"> </w:t>
      </w:r>
      <w:r>
        <w:rPr>
          <w:rFonts w:ascii="Cambria"/>
          <w:b/>
          <w:color w:val="112E51"/>
          <w:sz w:val="21"/>
        </w:rPr>
        <w:t>the</w:t>
      </w:r>
      <w:r>
        <w:rPr>
          <w:rFonts w:ascii="Cambria"/>
          <w:b/>
          <w:color w:val="112E51"/>
          <w:spacing w:val="-3"/>
          <w:sz w:val="21"/>
        </w:rPr>
        <w:t xml:space="preserve"> </w:t>
      </w:r>
      <w:r>
        <w:rPr>
          <w:rFonts w:ascii="Cambria"/>
          <w:b/>
          <w:color w:val="112E51"/>
          <w:sz w:val="21"/>
        </w:rPr>
        <w:t>United Nations, and closer to home, by the Massachusetts Medical Society.</w:t>
      </w:r>
    </w:p>
    <w:p w:rsidR="00200FDA" w:rsidRDefault="00F76C4C">
      <w:pPr>
        <w:pStyle w:val="BodyText"/>
        <w:spacing w:before="7"/>
        <w:rPr>
          <w:rFonts w:ascii="Cambria"/>
          <w:b/>
          <w:sz w:val="11"/>
        </w:rPr>
      </w:pPr>
      <w:r>
        <w:pict>
          <v:rect id="docshape306" o:spid="_x0000_s1276" style="position:absolute;margin-left:272.3pt;margin-top:8.05pt;width:261.6pt;height:3pt;z-index:-15684608;mso-wrap-distance-left:0;mso-wrap-distance-right:0;mso-position-horizontal-relative:page" fillcolor="#0f6ec5" stroked="f">
            <w10:wrap type="topAndBottom" anchorx="page"/>
          </v:rect>
        </w:pict>
      </w:r>
    </w:p>
    <w:p w:rsidR="00200FDA" w:rsidRDefault="00200FDA">
      <w:pPr>
        <w:rPr>
          <w:rFonts w:ascii="Cambria"/>
          <w:sz w:val="11"/>
        </w:rPr>
        <w:sectPr w:rsidR="00200FDA">
          <w:type w:val="continuous"/>
          <w:pgSz w:w="12240" w:h="15840"/>
          <w:pgMar w:top="720" w:right="1300" w:bottom="280" w:left="1300" w:header="761" w:footer="1132" w:gutter="0"/>
          <w:cols w:num="2" w:space="720" w:equalWidth="0">
            <w:col w:w="3887" w:space="147"/>
            <w:col w:w="5606"/>
          </w:cols>
        </w:sectPr>
      </w:pPr>
    </w:p>
    <w:p w:rsidR="00200FDA" w:rsidRDefault="00F76C4C">
      <w:pPr>
        <w:pStyle w:val="BodyText"/>
        <w:spacing w:before="64" w:line="276" w:lineRule="auto"/>
        <w:ind w:left="139" w:right="132"/>
        <w:jc w:val="both"/>
      </w:pPr>
      <w:r>
        <w:lastRenderedPageBreak/>
        <w:t>pediatric spaces even more so. Existing research shows that many intersex youth face difficulty communicating with healthcare professionals about their specific needs</w:t>
      </w:r>
      <w:hyperlink w:anchor="_bookmark372" w:history="1">
        <w:r>
          <w:rPr>
            <w:vertAlign w:val="superscript"/>
          </w:rPr>
          <w:t>21</w:t>
        </w:r>
      </w:hyperlink>
      <w:r>
        <w:rPr>
          <w:spacing w:val="-2"/>
        </w:rPr>
        <w:t xml:space="preserve"> </w:t>
      </w:r>
      <w:r>
        <w:t>and are often kept in the dark about</w:t>
      </w:r>
      <w:r>
        <w:rPr>
          <w:spacing w:val="-10"/>
        </w:rPr>
        <w:t xml:space="preserve"> </w:t>
      </w:r>
      <w:r>
        <w:t>their</w:t>
      </w:r>
      <w:r>
        <w:rPr>
          <w:spacing w:val="-11"/>
        </w:rPr>
        <w:t xml:space="preserve"> </w:t>
      </w:r>
      <w:r>
        <w:t>intersex</w:t>
      </w:r>
      <w:r>
        <w:rPr>
          <w:spacing w:val="-10"/>
        </w:rPr>
        <w:t xml:space="preserve"> </w:t>
      </w:r>
      <w:r>
        <w:t>sta</w:t>
      </w:r>
      <w:r>
        <w:t>tus</w:t>
      </w:r>
      <w:r>
        <w:rPr>
          <w:spacing w:val="-13"/>
        </w:rPr>
        <w:t xml:space="preserve"> </w:t>
      </w:r>
      <w:r>
        <w:t>by</w:t>
      </w:r>
      <w:r>
        <w:rPr>
          <w:spacing w:val="-9"/>
        </w:rPr>
        <w:t xml:space="preserve"> </w:t>
      </w:r>
      <w:r>
        <w:t>providers</w:t>
      </w:r>
      <w:r>
        <w:rPr>
          <w:spacing w:val="-10"/>
        </w:rPr>
        <w:t xml:space="preserve"> </w:t>
      </w:r>
      <w:r>
        <w:t>and</w:t>
      </w:r>
      <w:r>
        <w:rPr>
          <w:spacing w:val="-11"/>
        </w:rPr>
        <w:t xml:space="preserve"> </w:t>
      </w:r>
      <w:r>
        <w:t>caregivers.</w:t>
      </w:r>
      <w:hyperlink w:anchor="_bookmark373" w:history="1">
        <w:r>
          <w:rPr>
            <w:vertAlign w:val="superscript"/>
          </w:rPr>
          <w:t>22</w:t>
        </w:r>
      </w:hyperlink>
      <w:r>
        <w:rPr>
          <w:spacing w:val="-2"/>
        </w:rPr>
        <w:t xml:space="preserve"> </w:t>
      </w:r>
      <w:r>
        <w:t>As</w:t>
      </w:r>
      <w:r>
        <w:rPr>
          <w:spacing w:val="-10"/>
        </w:rPr>
        <w:t xml:space="preserve"> </w:t>
      </w:r>
      <w:r>
        <w:t>a</w:t>
      </w:r>
      <w:r>
        <w:rPr>
          <w:spacing w:val="-11"/>
        </w:rPr>
        <w:t xml:space="preserve"> </w:t>
      </w:r>
      <w:r>
        <w:t>result,</w:t>
      </w:r>
      <w:r>
        <w:rPr>
          <w:spacing w:val="-10"/>
        </w:rPr>
        <w:t xml:space="preserve"> </w:t>
      </w:r>
      <w:r>
        <w:t>many</w:t>
      </w:r>
      <w:r>
        <w:rPr>
          <w:spacing w:val="-10"/>
        </w:rPr>
        <w:t xml:space="preserve"> </w:t>
      </w:r>
      <w:r>
        <w:t>intersex</w:t>
      </w:r>
      <w:r>
        <w:rPr>
          <w:spacing w:val="-10"/>
        </w:rPr>
        <w:t xml:space="preserve"> </w:t>
      </w:r>
      <w:r>
        <w:t>individuals</w:t>
      </w:r>
      <w:r>
        <w:rPr>
          <w:spacing w:val="-10"/>
        </w:rPr>
        <w:t xml:space="preserve"> </w:t>
      </w:r>
      <w:r>
        <w:t>report</w:t>
      </w:r>
      <w:r>
        <w:rPr>
          <w:spacing w:val="-10"/>
        </w:rPr>
        <w:t xml:space="preserve"> </w:t>
      </w:r>
      <w:r>
        <w:t>high rates of healthcare avoidance and thus poorer physical and mental health outcomes.</w:t>
      </w:r>
      <w:r>
        <w:rPr>
          <w:spacing w:val="-13"/>
        </w:rPr>
        <w:t xml:space="preserve"> </w:t>
      </w:r>
      <w:hyperlink w:anchor="_bookmark374" w:history="1">
        <w:r>
          <w:rPr>
            <w:vertAlign w:val="superscript"/>
          </w:rPr>
          <w:t>23</w:t>
        </w:r>
      </w:hyperlink>
      <w:r>
        <w:t xml:space="preserve"> As discussed above,</w:t>
      </w:r>
      <w:r>
        <w:rPr>
          <w:spacing w:val="-8"/>
        </w:rPr>
        <w:t xml:space="preserve"> </w:t>
      </w:r>
      <w:r>
        <w:t>intersex</w:t>
      </w:r>
      <w:r>
        <w:rPr>
          <w:spacing w:val="-9"/>
        </w:rPr>
        <w:t xml:space="preserve"> </w:t>
      </w:r>
      <w:r>
        <w:t>youth</w:t>
      </w:r>
      <w:r>
        <w:rPr>
          <w:spacing w:val="-8"/>
        </w:rPr>
        <w:t xml:space="preserve"> </w:t>
      </w:r>
      <w:r>
        <w:t>are</w:t>
      </w:r>
      <w:r>
        <w:rPr>
          <w:spacing w:val="-8"/>
        </w:rPr>
        <w:t xml:space="preserve"> </w:t>
      </w:r>
      <w:r>
        <w:t>often</w:t>
      </w:r>
      <w:r>
        <w:rPr>
          <w:spacing w:val="-8"/>
        </w:rPr>
        <w:t xml:space="preserve"> </w:t>
      </w:r>
      <w:r>
        <w:t>subject</w:t>
      </w:r>
      <w:r>
        <w:rPr>
          <w:spacing w:val="-7"/>
        </w:rPr>
        <w:t xml:space="preserve"> </w:t>
      </w:r>
      <w:r>
        <w:t>to</w:t>
      </w:r>
      <w:r>
        <w:rPr>
          <w:spacing w:val="-6"/>
        </w:rPr>
        <w:t xml:space="preserve"> </w:t>
      </w:r>
      <w:r>
        <w:t>non-consensual</w:t>
      </w:r>
      <w:r>
        <w:rPr>
          <w:spacing w:val="-8"/>
        </w:rPr>
        <w:t xml:space="preserve"> </w:t>
      </w:r>
      <w:r>
        <w:t>medical</w:t>
      </w:r>
      <w:r>
        <w:rPr>
          <w:spacing w:val="-8"/>
        </w:rPr>
        <w:t xml:space="preserve"> </w:t>
      </w:r>
      <w:r>
        <w:t>interventions</w:t>
      </w:r>
      <w:r>
        <w:rPr>
          <w:spacing w:val="-11"/>
        </w:rPr>
        <w:t xml:space="preserve"> </w:t>
      </w:r>
      <w:r>
        <w:t>to</w:t>
      </w:r>
      <w:r>
        <w:rPr>
          <w:spacing w:val="-6"/>
        </w:rPr>
        <w:t xml:space="preserve"> </w:t>
      </w:r>
      <w:r>
        <w:t>alter</w:t>
      </w:r>
      <w:r>
        <w:rPr>
          <w:spacing w:val="-9"/>
        </w:rPr>
        <w:t xml:space="preserve"> </w:t>
      </w:r>
      <w:r>
        <w:t>their</w:t>
      </w:r>
      <w:r>
        <w:rPr>
          <w:spacing w:val="-8"/>
        </w:rPr>
        <w:t xml:space="preserve"> </w:t>
      </w:r>
      <w:r>
        <w:t>genitalia</w:t>
      </w:r>
      <w:r>
        <w:rPr>
          <w:spacing w:val="-8"/>
        </w:rPr>
        <w:t xml:space="preserve"> </w:t>
      </w:r>
      <w:r>
        <w:t>as infants,</w:t>
      </w:r>
      <w:hyperlink w:anchor="_bookmark375" w:history="1">
        <w:r>
          <w:rPr>
            <w:vertAlign w:val="superscript"/>
          </w:rPr>
          <w:t>24</w:t>
        </w:r>
      </w:hyperlink>
      <w:r>
        <w:rPr>
          <w:spacing w:val="-2"/>
        </w:rPr>
        <w:t xml:space="preserve"> </w:t>
      </w:r>
      <w:r>
        <w:t>a</w:t>
      </w:r>
      <w:r>
        <w:rPr>
          <w:spacing w:val="-11"/>
        </w:rPr>
        <w:t xml:space="preserve"> </w:t>
      </w:r>
      <w:r>
        <w:t>practice</w:t>
      </w:r>
      <w:r>
        <w:rPr>
          <w:spacing w:val="-10"/>
        </w:rPr>
        <w:t xml:space="preserve"> </w:t>
      </w:r>
      <w:r>
        <w:t>that</w:t>
      </w:r>
      <w:r>
        <w:rPr>
          <w:spacing w:val="-10"/>
        </w:rPr>
        <w:t xml:space="preserve"> </w:t>
      </w:r>
      <w:r>
        <w:t>is</w:t>
      </w:r>
      <w:r>
        <w:rPr>
          <w:spacing w:val="-10"/>
        </w:rPr>
        <w:t xml:space="preserve"> </w:t>
      </w:r>
      <w:r>
        <w:t>condemned</w:t>
      </w:r>
      <w:r>
        <w:rPr>
          <w:spacing w:val="-11"/>
        </w:rPr>
        <w:t xml:space="preserve"> </w:t>
      </w:r>
      <w:r>
        <w:t>by</w:t>
      </w:r>
      <w:r>
        <w:rPr>
          <w:spacing w:val="-12"/>
        </w:rPr>
        <w:t xml:space="preserve"> </w:t>
      </w:r>
      <w:r>
        <w:t>the</w:t>
      </w:r>
      <w:r>
        <w:rPr>
          <w:spacing w:val="-12"/>
        </w:rPr>
        <w:t xml:space="preserve"> </w:t>
      </w:r>
      <w:r>
        <w:t>United</w:t>
      </w:r>
      <w:r>
        <w:rPr>
          <w:spacing w:val="-11"/>
        </w:rPr>
        <w:t xml:space="preserve"> </w:t>
      </w:r>
      <w:r>
        <w:t>Nations,</w:t>
      </w:r>
      <w:hyperlink w:anchor="_bookmark376" w:history="1">
        <w:r>
          <w:rPr>
            <w:vertAlign w:val="superscript"/>
          </w:rPr>
          <w:t>25</w:t>
        </w:r>
      </w:hyperlink>
      <w:r>
        <w:rPr>
          <w:spacing w:val="-2"/>
        </w:rPr>
        <w:t xml:space="preserve"> </w:t>
      </w:r>
      <w:r>
        <w:t>and</w:t>
      </w:r>
      <w:r>
        <w:rPr>
          <w:spacing w:val="-11"/>
        </w:rPr>
        <w:t xml:space="preserve"> </w:t>
      </w:r>
      <w:r>
        <w:t>closer</w:t>
      </w:r>
      <w:r>
        <w:rPr>
          <w:spacing w:val="-13"/>
        </w:rPr>
        <w:t xml:space="preserve"> </w:t>
      </w:r>
      <w:r>
        <w:t>to</w:t>
      </w:r>
      <w:r>
        <w:rPr>
          <w:spacing w:val="-8"/>
        </w:rPr>
        <w:t xml:space="preserve"> </w:t>
      </w:r>
      <w:r>
        <w:t>home,</w:t>
      </w:r>
      <w:r>
        <w:rPr>
          <w:spacing w:val="-13"/>
        </w:rPr>
        <w:t xml:space="preserve"> </w:t>
      </w:r>
      <w:r>
        <w:t>by</w:t>
      </w:r>
      <w:r>
        <w:rPr>
          <w:spacing w:val="-9"/>
        </w:rPr>
        <w:t xml:space="preserve"> </w:t>
      </w:r>
      <w:r>
        <w:t>the</w:t>
      </w:r>
      <w:r>
        <w:rPr>
          <w:spacing w:val="-12"/>
        </w:rPr>
        <w:t xml:space="preserve"> </w:t>
      </w:r>
      <w:r>
        <w:t>Massachusetts Medical Society.</w:t>
      </w:r>
      <w:r>
        <w:rPr>
          <w:spacing w:val="-1"/>
        </w:rPr>
        <w:t xml:space="preserve"> </w:t>
      </w:r>
      <w:hyperlink w:anchor="_bookmark377" w:history="1">
        <w:r>
          <w:rPr>
            <w:vertAlign w:val="superscript"/>
          </w:rPr>
          <w:t>26</w:t>
        </w:r>
      </w:hyperlink>
      <w:r>
        <w:t xml:space="preserve"> Intersex youth are also more likely than non-intersex LGBTQ youth to report experiencing suicide ideation, and are also more likely to have undergone conversion therapy.</w:t>
      </w:r>
      <w:r>
        <w:rPr>
          <w:spacing w:val="-4"/>
        </w:rPr>
        <w:t xml:space="preserve"> </w:t>
      </w:r>
      <w:hyperlink w:anchor="_bookmark378" w:history="1">
        <w:r>
          <w:rPr>
            <w:vertAlign w:val="superscript"/>
          </w:rPr>
          <w:t>27</w:t>
        </w:r>
      </w:hyperlink>
      <w:r>
        <w:t xml:space="preserve"> Significantly</w:t>
      </w:r>
      <w:r>
        <w:rPr>
          <w:spacing w:val="-13"/>
        </w:rPr>
        <w:t xml:space="preserve"> </w:t>
      </w:r>
      <w:r>
        <w:t>more</w:t>
      </w:r>
      <w:r>
        <w:rPr>
          <w:spacing w:val="-10"/>
        </w:rPr>
        <w:t xml:space="preserve"> </w:t>
      </w:r>
      <w:r>
        <w:t>research</w:t>
      </w:r>
      <w:r>
        <w:rPr>
          <w:spacing w:val="-13"/>
        </w:rPr>
        <w:t xml:space="preserve"> </w:t>
      </w:r>
      <w:r>
        <w:t>needs</w:t>
      </w:r>
      <w:r>
        <w:rPr>
          <w:spacing w:val="-10"/>
        </w:rPr>
        <w:t xml:space="preserve"> </w:t>
      </w:r>
      <w:r>
        <w:t>to</w:t>
      </w:r>
      <w:r>
        <w:rPr>
          <w:spacing w:val="-10"/>
        </w:rPr>
        <w:t xml:space="preserve"> </w:t>
      </w:r>
      <w:r>
        <w:t>be</w:t>
      </w:r>
      <w:r>
        <w:rPr>
          <w:spacing w:val="-10"/>
        </w:rPr>
        <w:t xml:space="preserve"> </w:t>
      </w:r>
      <w:r>
        <w:t>done</w:t>
      </w:r>
      <w:r>
        <w:rPr>
          <w:spacing w:val="-8"/>
        </w:rPr>
        <w:t xml:space="preserve"> </w:t>
      </w:r>
      <w:r>
        <w:t>in</w:t>
      </w:r>
      <w:r>
        <w:rPr>
          <w:spacing w:val="-12"/>
        </w:rPr>
        <w:t xml:space="preserve"> </w:t>
      </w:r>
      <w:r>
        <w:t>this</w:t>
      </w:r>
      <w:r>
        <w:rPr>
          <w:spacing w:val="-11"/>
        </w:rPr>
        <w:t xml:space="preserve"> </w:t>
      </w:r>
      <w:r>
        <w:t>area</w:t>
      </w:r>
      <w:r>
        <w:rPr>
          <w:spacing w:val="-9"/>
        </w:rPr>
        <w:t xml:space="preserve"> </w:t>
      </w:r>
      <w:r>
        <w:t>to</w:t>
      </w:r>
      <w:r>
        <w:rPr>
          <w:spacing w:val="-10"/>
        </w:rPr>
        <w:t xml:space="preserve"> </w:t>
      </w:r>
      <w:r>
        <w:t>better</w:t>
      </w:r>
      <w:r>
        <w:rPr>
          <w:spacing w:val="-9"/>
        </w:rPr>
        <w:t xml:space="preserve"> </w:t>
      </w:r>
      <w:r>
        <w:t>understand</w:t>
      </w:r>
      <w:r>
        <w:rPr>
          <w:spacing w:val="-12"/>
        </w:rPr>
        <w:t xml:space="preserve"> </w:t>
      </w:r>
      <w:r>
        <w:t>the</w:t>
      </w:r>
      <w:r>
        <w:rPr>
          <w:spacing w:val="-13"/>
        </w:rPr>
        <w:t xml:space="preserve"> </w:t>
      </w:r>
      <w:r>
        <w:t>challenges</w:t>
      </w:r>
      <w:r>
        <w:rPr>
          <w:spacing w:val="-10"/>
        </w:rPr>
        <w:t xml:space="preserve"> </w:t>
      </w:r>
      <w:r>
        <w:t>experienced by this subgroup of youth.</w:t>
      </w:r>
    </w:p>
    <w:p w:rsidR="00200FDA" w:rsidRDefault="00200FDA">
      <w:pPr>
        <w:pStyle w:val="BodyText"/>
      </w:pPr>
    </w:p>
    <w:p w:rsidR="00200FDA" w:rsidRDefault="00F76C4C">
      <w:pPr>
        <w:pStyle w:val="Heading8"/>
        <w:spacing w:before="161"/>
      </w:pPr>
      <w:bookmarkStart w:id="475" w:name="Social_Determinants_of_Health"/>
      <w:bookmarkEnd w:id="475"/>
      <w:r>
        <w:rPr>
          <w:color w:val="0A5293"/>
        </w:rPr>
        <w:t>Social</w:t>
      </w:r>
      <w:r>
        <w:rPr>
          <w:color w:val="0A5293"/>
          <w:spacing w:val="-4"/>
        </w:rPr>
        <w:t xml:space="preserve"> </w:t>
      </w:r>
      <w:r>
        <w:rPr>
          <w:color w:val="0A5293"/>
        </w:rPr>
        <w:t>Determinants</w:t>
      </w:r>
      <w:r>
        <w:rPr>
          <w:color w:val="0A5293"/>
          <w:spacing w:val="-2"/>
        </w:rPr>
        <w:t xml:space="preserve"> </w:t>
      </w:r>
      <w:r>
        <w:rPr>
          <w:color w:val="0A5293"/>
        </w:rPr>
        <w:t xml:space="preserve">of </w:t>
      </w:r>
      <w:r>
        <w:rPr>
          <w:color w:val="0A5293"/>
          <w:spacing w:val="-2"/>
        </w:rPr>
        <w:t>Health</w:t>
      </w:r>
    </w:p>
    <w:p w:rsidR="00200FDA" w:rsidRDefault="00200FDA">
      <w:pPr>
        <w:pStyle w:val="BodyText"/>
        <w:spacing w:before="10"/>
        <w:rPr>
          <w:sz w:val="31"/>
        </w:rPr>
      </w:pPr>
    </w:p>
    <w:p w:rsidR="00200FDA" w:rsidRDefault="00F76C4C">
      <w:pPr>
        <w:pStyle w:val="BodyText"/>
        <w:spacing w:before="1" w:line="276" w:lineRule="auto"/>
        <w:ind w:left="139" w:right="135"/>
        <w:jc w:val="both"/>
      </w:pPr>
      <w:r>
        <w:t>The</w:t>
      </w:r>
      <w:r>
        <w:rPr>
          <w:spacing w:val="-13"/>
        </w:rPr>
        <w:t xml:space="preserve"> </w:t>
      </w:r>
      <w:r>
        <w:t>World</w:t>
      </w:r>
      <w:r>
        <w:rPr>
          <w:spacing w:val="-12"/>
        </w:rPr>
        <w:t xml:space="preserve"> </w:t>
      </w:r>
      <w:r>
        <w:t>Health</w:t>
      </w:r>
      <w:r>
        <w:rPr>
          <w:spacing w:val="-13"/>
        </w:rPr>
        <w:t xml:space="preserve"> </w:t>
      </w:r>
      <w:r>
        <w:t>Organization</w:t>
      </w:r>
      <w:r>
        <w:rPr>
          <w:spacing w:val="-12"/>
        </w:rPr>
        <w:t xml:space="preserve"> </w:t>
      </w:r>
      <w:r>
        <w:t>defines</w:t>
      </w:r>
      <w:r>
        <w:rPr>
          <w:spacing w:val="-13"/>
        </w:rPr>
        <w:t xml:space="preserve"> </w:t>
      </w:r>
      <w:r>
        <w:t>social</w:t>
      </w:r>
      <w:r>
        <w:rPr>
          <w:spacing w:val="-12"/>
        </w:rPr>
        <w:t xml:space="preserve"> </w:t>
      </w:r>
      <w:r>
        <w:t>determinants</w:t>
      </w:r>
      <w:r>
        <w:rPr>
          <w:spacing w:val="-13"/>
        </w:rPr>
        <w:t xml:space="preserve"> </w:t>
      </w:r>
      <w:r>
        <w:t>of</w:t>
      </w:r>
      <w:r>
        <w:rPr>
          <w:spacing w:val="-12"/>
        </w:rPr>
        <w:t xml:space="preserve"> </w:t>
      </w:r>
      <w:r>
        <w:t>health</w:t>
      </w:r>
      <w:r>
        <w:rPr>
          <w:spacing w:val="-12"/>
        </w:rPr>
        <w:t xml:space="preserve"> </w:t>
      </w:r>
      <w:r>
        <w:t>as</w:t>
      </w:r>
      <w:r>
        <w:rPr>
          <w:spacing w:val="-13"/>
        </w:rPr>
        <w:t xml:space="preserve"> </w:t>
      </w:r>
      <w:r>
        <w:t>non-medical</w:t>
      </w:r>
      <w:r>
        <w:rPr>
          <w:spacing w:val="-12"/>
        </w:rPr>
        <w:t xml:space="preserve"> </w:t>
      </w:r>
      <w:r>
        <w:t>factors</w:t>
      </w:r>
      <w:r>
        <w:rPr>
          <w:spacing w:val="-13"/>
        </w:rPr>
        <w:t xml:space="preserve"> </w:t>
      </w:r>
      <w:r>
        <w:t>that</w:t>
      </w:r>
      <w:r>
        <w:rPr>
          <w:spacing w:val="-12"/>
        </w:rPr>
        <w:t xml:space="preserve"> </w:t>
      </w:r>
      <w:r>
        <w:t>influence health outcomes.</w:t>
      </w:r>
      <w:hyperlink w:anchor="_bookmark379" w:history="1">
        <w:r>
          <w:rPr>
            <w:vertAlign w:val="superscript"/>
          </w:rPr>
          <w:t>28</w:t>
        </w:r>
      </w:hyperlink>
      <w:r>
        <w:rPr>
          <w:spacing w:val="-2"/>
        </w:rPr>
        <w:t xml:space="preserve"> </w:t>
      </w:r>
      <w:r>
        <w:t>These factors can include economic stability, education, geographical location, and discrimination and trauma. As members of marginalized and underserved communities, LGB</w:t>
      </w:r>
      <w:r>
        <w:t>TQ youth, particularly</w:t>
      </w:r>
      <w:r>
        <w:rPr>
          <w:spacing w:val="-4"/>
        </w:rPr>
        <w:t xml:space="preserve"> </w:t>
      </w:r>
      <w:r>
        <w:t>QTBIPOC</w:t>
      </w:r>
      <w:r>
        <w:rPr>
          <w:spacing w:val="-7"/>
        </w:rPr>
        <w:t xml:space="preserve"> </w:t>
      </w:r>
      <w:r>
        <w:t>youth,</w:t>
      </w:r>
      <w:r>
        <w:rPr>
          <w:spacing w:val="-4"/>
        </w:rPr>
        <w:t xml:space="preserve"> </w:t>
      </w:r>
      <w:r>
        <w:t>are</w:t>
      </w:r>
      <w:r>
        <w:rPr>
          <w:spacing w:val="-4"/>
        </w:rPr>
        <w:t xml:space="preserve"> </w:t>
      </w:r>
      <w:r>
        <w:t>more</w:t>
      </w:r>
      <w:r>
        <w:rPr>
          <w:spacing w:val="-4"/>
        </w:rPr>
        <w:t xml:space="preserve"> </w:t>
      </w:r>
      <w:r>
        <w:t>likely</w:t>
      </w:r>
      <w:r>
        <w:rPr>
          <w:spacing w:val="-4"/>
        </w:rPr>
        <w:t xml:space="preserve"> </w:t>
      </w:r>
      <w:r>
        <w:t>to</w:t>
      </w:r>
      <w:r>
        <w:rPr>
          <w:spacing w:val="-3"/>
        </w:rPr>
        <w:t xml:space="preserve"> </w:t>
      </w:r>
      <w:r>
        <w:t>experience</w:t>
      </w:r>
      <w:r>
        <w:rPr>
          <w:spacing w:val="-4"/>
        </w:rPr>
        <w:t xml:space="preserve"> </w:t>
      </w:r>
      <w:r>
        <w:t>health</w:t>
      </w:r>
      <w:r>
        <w:rPr>
          <w:spacing w:val="-5"/>
        </w:rPr>
        <w:t xml:space="preserve"> </w:t>
      </w:r>
      <w:r>
        <w:t>disparities</w:t>
      </w:r>
      <w:r>
        <w:rPr>
          <w:spacing w:val="-4"/>
        </w:rPr>
        <w:t xml:space="preserve"> </w:t>
      </w:r>
      <w:r>
        <w:t>linked</w:t>
      </w:r>
      <w:r>
        <w:rPr>
          <w:spacing w:val="-2"/>
        </w:rPr>
        <w:t xml:space="preserve"> </w:t>
      </w:r>
      <w:r>
        <w:t>to</w:t>
      </w:r>
      <w:r>
        <w:rPr>
          <w:spacing w:val="-3"/>
        </w:rPr>
        <w:t xml:space="preserve"> </w:t>
      </w:r>
      <w:r>
        <w:t>social</w:t>
      </w:r>
      <w:r>
        <w:rPr>
          <w:spacing w:val="-5"/>
        </w:rPr>
        <w:t xml:space="preserve"> </w:t>
      </w:r>
      <w:r>
        <w:t>determinants of health. For example, LGBTQ individuals on average experience higher rates of poverty than their cisgender counterparts.</w:t>
      </w:r>
      <w:hyperlink w:anchor="_bookmark380" w:history="1">
        <w:r>
          <w:rPr>
            <w:vertAlign w:val="superscript"/>
          </w:rPr>
          <w:t>29</w:t>
        </w:r>
      </w:hyperlink>
      <w:r>
        <w:rPr>
          <w:spacing w:val="-2"/>
        </w:rPr>
        <w:t xml:space="preserve"> </w:t>
      </w:r>
      <w:r>
        <w:t>This economic instability may in part be linked to high rates of homelessness among LGBTQ youth, which is often caused by running away or being kicked out of their homes due to caregiver</w:t>
      </w:r>
      <w:r>
        <w:rPr>
          <w:spacing w:val="-13"/>
        </w:rPr>
        <w:t xml:space="preserve"> </w:t>
      </w:r>
      <w:r>
        <w:t>rejection.</w:t>
      </w:r>
      <w:hyperlink w:anchor="_bookmark381" w:history="1">
        <w:r>
          <w:rPr>
            <w:vertAlign w:val="superscript"/>
          </w:rPr>
          <w:t>30</w:t>
        </w:r>
      </w:hyperlink>
      <w:r>
        <w:rPr>
          <w:spacing w:val="-4"/>
        </w:rPr>
        <w:t xml:space="preserve"> </w:t>
      </w:r>
      <w:r>
        <w:t>LGBTQ</w:t>
      </w:r>
      <w:r>
        <w:rPr>
          <w:spacing w:val="-12"/>
        </w:rPr>
        <w:t xml:space="preserve"> </w:t>
      </w:r>
      <w:r>
        <w:t>youth</w:t>
      </w:r>
      <w:r>
        <w:rPr>
          <w:spacing w:val="-13"/>
        </w:rPr>
        <w:t xml:space="preserve"> </w:t>
      </w:r>
      <w:r>
        <w:t>also</w:t>
      </w:r>
      <w:r>
        <w:rPr>
          <w:spacing w:val="-11"/>
        </w:rPr>
        <w:t xml:space="preserve"> </w:t>
      </w:r>
      <w:r>
        <w:t>report</w:t>
      </w:r>
      <w:r>
        <w:rPr>
          <w:spacing w:val="-10"/>
        </w:rPr>
        <w:t xml:space="preserve"> </w:t>
      </w:r>
      <w:r>
        <w:t>high</w:t>
      </w:r>
      <w:r>
        <w:rPr>
          <w:spacing w:val="-11"/>
        </w:rPr>
        <w:t xml:space="preserve"> </w:t>
      </w:r>
      <w:r>
        <w:t>levels</w:t>
      </w:r>
      <w:r>
        <w:rPr>
          <w:spacing w:val="-10"/>
        </w:rPr>
        <w:t xml:space="preserve"> </w:t>
      </w:r>
      <w:r>
        <w:t>of</w:t>
      </w:r>
      <w:r>
        <w:rPr>
          <w:spacing w:val="-13"/>
        </w:rPr>
        <w:t xml:space="preserve"> </w:t>
      </w:r>
      <w:r>
        <w:t>trauma</w:t>
      </w:r>
      <w:r>
        <w:rPr>
          <w:spacing w:val="-12"/>
        </w:rPr>
        <w:t xml:space="preserve"> </w:t>
      </w:r>
      <w:r>
        <w:t>exposure;</w:t>
      </w:r>
      <w:r>
        <w:rPr>
          <w:spacing w:val="-12"/>
        </w:rPr>
        <w:t xml:space="preserve"> </w:t>
      </w:r>
      <w:r>
        <w:t>in</w:t>
      </w:r>
      <w:r>
        <w:rPr>
          <w:spacing w:val="-11"/>
        </w:rPr>
        <w:t xml:space="preserve"> </w:t>
      </w:r>
      <w:r>
        <w:t>one</w:t>
      </w:r>
      <w:r>
        <w:rPr>
          <w:spacing w:val="-10"/>
        </w:rPr>
        <w:t xml:space="preserve"> </w:t>
      </w:r>
      <w:r>
        <w:t>study,</w:t>
      </w:r>
      <w:r>
        <w:rPr>
          <w:spacing w:val="-10"/>
        </w:rPr>
        <w:t xml:space="preserve"> </w:t>
      </w:r>
      <w:r>
        <w:t>43%</w:t>
      </w:r>
      <w:r>
        <w:rPr>
          <w:spacing w:val="-13"/>
        </w:rPr>
        <w:t xml:space="preserve"> </w:t>
      </w:r>
      <w:r>
        <w:t>of</w:t>
      </w:r>
      <w:r>
        <w:rPr>
          <w:spacing w:val="-11"/>
        </w:rPr>
        <w:t xml:space="preserve"> </w:t>
      </w:r>
      <w:r>
        <w:t>LGBTQ youth</w:t>
      </w:r>
      <w:r>
        <w:rPr>
          <w:spacing w:val="-5"/>
        </w:rPr>
        <w:t xml:space="preserve"> </w:t>
      </w:r>
      <w:r>
        <w:t>reported</w:t>
      </w:r>
      <w:r>
        <w:rPr>
          <w:spacing w:val="-5"/>
        </w:rPr>
        <w:t xml:space="preserve"> </w:t>
      </w:r>
      <w:r>
        <w:t>experiencing</w:t>
      </w:r>
      <w:r>
        <w:rPr>
          <w:spacing w:val="-3"/>
        </w:rPr>
        <w:t xml:space="preserve"> </w:t>
      </w:r>
      <w:r>
        <w:t>multiple</w:t>
      </w:r>
      <w:r>
        <w:rPr>
          <w:spacing w:val="-4"/>
        </w:rPr>
        <w:t xml:space="preserve"> </w:t>
      </w:r>
      <w:r>
        <w:t>adverse</w:t>
      </w:r>
      <w:r>
        <w:rPr>
          <w:spacing w:val="-4"/>
        </w:rPr>
        <w:t xml:space="preserve"> </w:t>
      </w:r>
      <w:r>
        <w:t>childhood</w:t>
      </w:r>
      <w:r>
        <w:rPr>
          <w:spacing w:val="-3"/>
        </w:rPr>
        <w:t xml:space="preserve"> </w:t>
      </w:r>
      <w:r>
        <w:t>experiences</w:t>
      </w:r>
      <w:r>
        <w:rPr>
          <w:spacing w:val="-3"/>
        </w:rPr>
        <w:t xml:space="preserve"> </w:t>
      </w:r>
      <w:r>
        <w:t>(ACEs),</w:t>
      </w:r>
      <w:r>
        <w:rPr>
          <w:spacing w:val="-4"/>
        </w:rPr>
        <w:t xml:space="preserve"> </w:t>
      </w:r>
      <w:r>
        <w:t>and</w:t>
      </w:r>
      <w:r>
        <w:rPr>
          <w:spacing w:val="-3"/>
        </w:rPr>
        <w:t xml:space="preserve"> </w:t>
      </w:r>
      <w:r>
        <w:t>pansexual,</w:t>
      </w:r>
      <w:r>
        <w:rPr>
          <w:spacing w:val="-4"/>
        </w:rPr>
        <w:t xml:space="preserve"> </w:t>
      </w:r>
      <w:r>
        <w:t xml:space="preserve">transgender and gender nonconforming, American Indian/Native American, Latinx, and rural </w:t>
      </w:r>
      <w:r>
        <w:t>youth were more likely to report a higher number of ACEs.</w:t>
      </w:r>
      <w:hyperlink w:anchor="_bookmark382" w:history="1">
        <w:r>
          <w:rPr>
            <w:vertAlign w:val="superscript"/>
          </w:rPr>
          <w:t>31</w:t>
        </w:r>
      </w:hyperlink>
    </w:p>
    <w:p w:rsidR="00200FDA" w:rsidRDefault="00200FDA">
      <w:pPr>
        <w:pStyle w:val="BodyText"/>
        <w:spacing w:before="9"/>
        <w:rPr>
          <w:sz w:val="19"/>
        </w:rPr>
      </w:pPr>
    </w:p>
    <w:p w:rsidR="00200FDA" w:rsidRDefault="00F76C4C">
      <w:pPr>
        <w:pStyle w:val="BodyText"/>
        <w:spacing w:line="276" w:lineRule="auto"/>
        <w:ind w:left="139" w:right="134"/>
        <w:jc w:val="both"/>
      </w:pPr>
      <w:r>
        <w:t>LGBTQ youth also face social stressors outside of the home. As discussed throughout this report, and particularly</w:t>
      </w:r>
      <w:r>
        <w:rPr>
          <w:spacing w:val="-1"/>
        </w:rPr>
        <w:t xml:space="preserve"> </w:t>
      </w:r>
      <w:r>
        <w:t>in</w:t>
      </w:r>
      <w:r>
        <w:rPr>
          <w:spacing w:val="-5"/>
        </w:rPr>
        <w:t xml:space="preserve"> </w:t>
      </w:r>
      <w:r>
        <w:t>the</w:t>
      </w:r>
      <w:r>
        <w:rPr>
          <w:spacing w:val="-1"/>
        </w:rPr>
        <w:t xml:space="preserve"> </w:t>
      </w:r>
      <w:r>
        <w:t>education</w:t>
      </w:r>
      <w:r>
        <w:rPr>
          <w:spacing w:val="-3"/>
        </w:rPr>
        <w:t xml:space="preserve"> </w:t>
      </w:r>
      <w:r>
        <w:t>section,</w:t>
      </w:r>
      <w:r>
        <w:rPr>
          <w:spacing w:val="-4"/>
        </w:rPr>
        <w:t xml:space="preserve"> </w:t>
      </w:r>
      <w:r>
        <w:t>LGBTQ</w:t>
      </w:r>
      <w:r>
        <w:rPr>
          <w:spacing w:val="-4"/>
        </w:rPr>
        <w:t xml:space="preserve"> </w:t>
      </w:r>
      <w:r>
        <w:t>youth</w:t>
      </w:r>
      <w:r>
        <w:rPr>
          <w:spacing w:val="-5"/>
        </w:rPr>
        <w:t xml:space="preserve"> </w:t>
      </w:r>
      <w:r>
        <w:t>who</w:t>
      </w:r>
      <w:r>
        <w:rPr>
          <w:spacing w:val="-1"/>
        </w:rPr>
        <w:t xml:space="preserve"> </w:t>
      </w:r>
      <w:r>
        <w:t>experie</w:t>
      </w:r>
      <w:r>
        <w:t>nce</w:t>
      </w:r>
      <w:r>
        <w:rPr>
          <w:spacing w:val="-1"/>
        </w:rPr>
        <w:t xml:space="preserve"> </w:t>
      </w:r>
      <w:r>
        <w:t>discrimination</w:t>
      </w:r>
      <w:r>
        <w:rPr>
          <w:spacing w:val="-3"/>
        </w:rPr>
        <w:t xml:space="preserve"> </w:t>
      </w:r>
      <w:r>
        <w:t>and</w:t>
      </w:r>
      <w:r>
        <w:rPr>
          <w:spacing w:val="-3"/>
        </w:rPr>
        <w:t xml:space="preserve"> </w:t>
      </w:r>
      <w:r>
        <w:t>bullying</w:t>
      </w:r>
      <w:r>
        <w:rPr>
          <w:spacing w:val="-3"/>
        </w:rPr>
        <w:t xml:space="preserve"> </w:t>
      </w:r>
      <w:r>
        <w:t>in</w:t>
      </w:r>
      <w:r>
        <w:rPr>
          <w:spacing w:val="-3"/>
        </w:rPr>
        <w:t xml:space="preserve"> </w:t>
      </w:r>
      <w:r>
        <w:t>schools are more likely to experience suicidal ideation, and physical, mental, and emotional health disparities.</w:t>
      </w:r>
      <w:hyperlink w:anchor="_bookmark383" w:history="1">
        <w:r>
          <w:rPr>
            <w:vertAlign w:val="superscript"/>
          </w:rPr>
          <w:t>32</w:t>
        </w:r>
      </w:hyperlink>
      <w:r>
        <w:t xml:space="preserve"> This</w:t>
      </w:r>
      <w:r>
        <w:rPr>
          <w:spacing w:val="-13"/>
        </w:rPr>
        <w:t xml:space="preserve"> </w:t>
      </w:r>
      <w:r>
        <w:t>is</w:t>
      </w:r>
      <w:r>
        <w:rPr>
          <w:spacing w:val="-12"/>
        </w:rPr>
        <w:t xml:space="preserve"> </w:t>
      </w:r>
      <w:r>
        <w:t>consistent</w:t>
      </w:r>
      <w:r>
        <w:rPr>
          <w:spacing w:val="-13"/>
        </w:rPr>
        <w:t xml:space="preserve"> </w:t>
      </w:r>
      <w:r>
        <w:t>with</w:t>
      </w:r>
      <w:r>
        <w:rPr>
          <w:spacing w:val="-12"/>
        </w:rPr>
        <w:t xml:space="preserve"> </w:t>
      </w:r>
      <w:r>
        <w:t>the</w:t>
      </w:r>
      <w:r>
        <w:rPr>
          <w:spacing w:val="-13"/>
        </w:rPr>
        <w:t xml:space="preserve"> </w:t>
      </w:r>
      <w:r>
        <w:t>minority</w:t>
      </w:r>
      <w:r>
        <w:rPr>
          <w:spacing w:val="-12"/>
        </w:rPr>
        <w:t xml:space="preserve"> </w:t>
      </w:r>
      <w:r>
        <w:t>stress</w:t>
      </w:r>
      <w:r>
        <w:rPr>
          <w:spacing w:val="-13"/>
        </w:rPr>
        <w:t xml:space="preserve"> </w:t>
      </w:r>
      <w:r>
        <w:t>model,</w:t>
      </w:r>
      <w:r>
        <w:rPr>
          <w:spacing w:val="-12"/>
        </w:rPr>
        <w:t xml:space="preserve"> </w:t>
      </w:r>
      <w:r>
        <w:t>which</w:t>
      </w:r>
      <w:r>
        <w:rPr>
          <w:spacing w:val="-12"/>
        </w:rPr>
        <w:t xml:space="preserve"> </w:t>
      </w:r>
      <w:r>
        <w:t>explains</w:t>
      </w:r>
      <w:r>
        <w:rPr>
          <w:spacing w:val="-13"/>
        </w:rPr>
        <w:t xml:space="preserve"> </w:t>
      </w:r>
      <w:r>
        <w:t>that</w:t>
      </w:r>
      <w:r>
        <w:rPr>
          <w:spacing w:val="-12"/>
        </w:rPr>
        <w:t xml:space="preserve"> </w:t>
      </w:r>
      <w:r>
        <w:t>minorities</w:t>
      </w:r>
      <w:r>
        <w:rPr>
          <w:spacing w:val="-13"/>
        </w:rPr>
        <w:t xml:space="preserve"> </w:t>
      </w:r>
      <w:r>
        <w:t>experience</w:t>
      </w:r>
      <w:r>
        <w:rPr>
          <w:spacing w:val="-12"/>
        </w:rPr>
        <w:t xml:space="preserve"> </w:t>
      </w:r>
      <w:r>
        <w:t>social</w:t>
      </w:r>
      <w:r>
        <w:rPr>
          <w:spacing w:val="-13"/>
        </w:rPr>
        <w:t xml:space="preserve"> </w:t>
      </w:r>
      <w:r>
        <w:t>stressors which</w:t>
      </w:r>
      <w:r>
        <w:rPr>
          <w:spacing w:val="-13"/>
        </w:rPr>
        <w:t xml:space="preserve"> </w:t>
      </w:r>
      <w:r>
        <w:t>accumulate</w:t>
      </w:r>
      <w:r>
        <w:rPr>
          <w:spacing w:val="-12"/>
        </w:rPr>
        <w:t xml:space="preserve"> </w:t>
      </w:r>
      <w:r>
        <w:t>over</w:t>
      </w:r>
      <w:r>
        <w:rPr>
          <w:spacing w:val="-13"/>
        </w:rPr>
        <w:t xml:space="preserve"> </w:t>
      </w:r>
      <w:r>
        <w:t>time,</w:t>
      </w:r>
      <w:r>
        <w:rPr>
          <w:spacing w:val="-12"/>
        </w:rPr>
        <w:t xml:space="preserve"> </w:t>
      </w:r>
      <w:r>
        <w:t>leading</w:t>
      </w:r>
      <w:r>
        <w:rPr>
          <w:spacing w:val="-13"/>
        </w:rPr>
        <w:t xml:space="preserve"> </w:t>
      </w:r>
      <w:r>
        <w:t>to</w:t>
      </w:r>
      <w:r>
        <w:rPr>
          <w:spacing w:val="-11"/>
        </w:rPr>
        <w:t xml:space="preserve"> </w:t>
      </w:r>
      <w:r>
        <w:t>poorer</w:t>
      </w:r>
      <w:r>
        <w:rPr>
          <w:spacing w:val="-10"/>
        </w:rPr>
        <w:t xml:space="preserve"> </w:t>
      </w:r>
      <w:r>
        <w:t>health</w:t>
      </w:r>
      <w:r>
        <w:rPr>
          <w:spacing w:val="-13"/>
        </w:rPr>
        <w:t xml:space="preserve"> </w:t>
      </w:r>
      <w:r>
        <w:t>outcomes.</w:t>
      </w:r>
      <w:hyperlink w:anchor="_bookmark384" w:history="1">
        <w:r>
          <w:rPr>
            <w:vertAlign w:val="superscript"/>
          </w:rPr>
          <w:t>33</w:t>
        </w:r>
      </w:hyperlink>
      <w:r>
        <w:rPr>
          <w:spacing w:val="-3"/>
        </w:rPr>
        <w:t xml:space="preserve"> </w:t>
      </w:r>
      <w:r>
        <w:t>However,</w:t>
      </w:r>
      <w:r>
        <w:rPr>
          <w:spacing w:val="-13"/>
        </w:rPr>
        <w:t xml:space="preserve"> </w:t>
      </w:r>
      <w:r>
        <w:t>education</w:t>
      </w:r>
      <w:r>
        <w:rPr>
          <w:spacing w:val="-12"/>
        </w:rPr>
        <w:t xml:space="preserve"> </w:t>
      </w:r>
      <w:r>
        <w:t>can</w:t>
      </w:r>
      <w:r>
        <w:rPr>
          <w:spacing w:val="-12"/>
        </w:rPr>
        <w:t xml:space="preserve"> </w:t>
      </w:r>
      <w:r>
        <w:t>typically</w:t>
      </w:r>
      <w:r>
        <w:rPr>
          <w:spacing w:val="-13"/>
        </w:rPr>
        <w:t xml:space="preserve"> </w:t>
      </w:r>
      <w:r>
        <w:t>serve as either a source of stress or a protective factor. In a recent study of LGBTQ s</w:t>
      </w:r>
      <w:r>
        <w:t>tudents in Massachusetts, students reported experiencing verbal, social, and physical bullying, but school health professionals in turn reported a low awareness of this bullying.</w:t>
      </w:r>
      <w:hyperlink w:anchor="_bookmark385" w:history="1">
        <w:r>
          <w:rPr>
            <w:vertAlign w:val="superscript"/>
          </w:rPr>
          <w:t>34</w:t>
        </w:r>
      </w:hyperlink>
      <w:r>
        <w:rPr>
          <w:spacing w:val="-2"/>
        </w:rPr>
        <w:t xml:space="preserve"> </w:t>
      </w:r>
      <w:r>
        <w:t>In a separate study, LGBTQ students reporte</w:t>
      </w:r>
      <w:r>
        <w:t>d concerns related to the sexual violence against and harassment of transgender students, and racism directed towards</w:t>
      </w:r>
      <w:r>
        <w:rPr>
          <w:spacing w:val="-13"/>
        </w:rPr>
        <w:t xml:space="preserve"> </w:t>
      </w:r>
      <w:r>
        <w:t>students</w:t>
      </w:r>
      <w:r>
        <w:rPr>
          <w:spacing w:val="-12"/>
        </w:rPr>
        <w:t xml:space="preserve"> </w:t>
      </w:r>
      <w:r>
        <w:t>of</w:t>
      </w:r>
      <w:r>
        <w:rPr>
          <w:spacing w:val="-13"/>
        </w:rPr>
        <w:t xml:space="preserve"> </w:t>
      </w:r>
      <w:r>
        <w:t>color;</w:t>
      </w:r>
      <w:r>
        <w:rPr>
          <w:spacing w:val="-12"/>
        </w:rPr>
        <w:t xml:space="preserve"> </w:t>
      </w:r>
      <w:r>
        <w:t>students</w:t>
      </w:r>
      <w:r>
        <w:rPr>
          <w:spacing w:val="-13"/>
        </w:rPr>
        <w:t xml:space="preserve"> </w:t>
      </w:r>
      <w:r>
        <w:t>identified</w:t>
      </w:r>
      <w:r>
        <w:rPr>
          <w:spacing w:val="-12"/>
        </w:rPr>
        <w:t xml:space="preserve"> </w:t>
      </w:r>
      <w:r>
        <w:t>access</w:t>
      </w:r>
      <w:r>
        <w:rPr>
          <w:spacing w:val="-13"/>
        </w:rPr>
        <w:t xml:space="preserve"> </w:t>
      </w:r>
      <w:r>
        <w:t>to</w:t>
      </w:r>
      <w:r>
        <w:rPr>
          <w:spacing w:val="-12"/>
        </w:rPr>
        <w:t xml:space="preserve"> </w:t>
      </w:r>
      <w:r>
        <w:t>safe</w:t>
      </w:r>
      <w:r>
        <w:rPr>
          <w:spacing w:val="-12"/>
        </w:rPr>
        <w:t xml:space="preserve"> </w:t>
      </w:r>
      <w:r>
        <w:t>bathrooms,</w:t>
      </w:r>
      <w:r>
        <w:rPr>
          <w:spacing w:val="-13"/>
        </w:rPr>
        <w:t xml:space="preserve"> </w:t>
      </w:r>
      <w:r>
        <w:t>information</w:t>
      </w:r>
      <w:r>
        <w:rPr>
          <w:spacing w:val="-12"/>
        </w:rPr>
        <w:t xml:space="preserve"> </w:t>
      </w:r>
      <w:r>
        <w:t>on</w:t>
      </w:r>
      <w:r>
        <w:rPr>
          <w:spacing w:val="-13"/>
        </w:rPr>
        <w:t xml:space="preserve"> </w:t>
      </w:r>
      <w:r>
        <w:t>gender</w:t>
      </w:r>
      <w:r>
        <w:rPr>
          <w:spacing w:val="-12"/>
        </w:rPr>
        <w:t xml:space="preserve"> </w:t>
      </w:r>
      <w:r>
        <w:t>transition, and</w:t>
      </w:r>
      <w:r>
        <w:rPr>
          <w:spacing w:val="-7"/>
        </w:rPr>
        <w:t xml:space="preserve"> </w:t>
      </w:r>
      <w:r>
        <w:t>access</w:t>
      </w:r>
      <w:r>
        <w:rPr>
          <w:spacing w:val="-7"/>
        </w:rPr>
        <w:t xml:space="preserve"> </w:t>
      </w:r>
      <w:r>
        <w:t>to</w:t>
      </w:r>
      <w:r>
        <w:rPr>
          <w:spacing w:val="-8"/>
        </w:rPr>
        <w:t xml:space="preserve"> </w:t>
      </w:r>
      <w:r>
        <w:t>safe</w:t>
      </w:r>
      <w:r>
        <w:rPr>
          <w:spacing w:val="-8"/>
        </w:rPr>
        <w:t xml:space="preserve"> </w:t>
      </w:r>
      <w:r>
        <w:t>spaces</w:t>
      </w:r>
      <w:r>
        <w:rPr>
          <w:spacing w:val="-9"/>
        </w:rPr>
        <w:t xml:space="preserve"> </w:t>
      </w:r>
      <w:r>
        <w:t>as</w:t>
      </w:r>
      <w:r>
        <w:rPr>
          <w:spacing w:val="-7"/>
        </w:rPr>
        <w:t xml:space="preserve"> </w:t>
      </w:r>
      <w:r>
        <w:t>priorities.</w:t>
      </w:r>
      <w:r>
        <w:rPr>
          <w:spacing w:val="-10"/>
        </w:rPr>
        <w:t xml:space="preserve"> </w:t>
      </w:r>
      <w:r>
        <w:t>One</w:t>
      </w:r>
      <w:r>
        <w:rPr>
          <w:spacing w:val="-8"/>
        </w:rPr>
        <w:t xml:space="preserve"> </w:t>
      </w:r>
      <w:r>
        <w:t>example</w:t>
      </w:r>
      <w:r>
        <w:rPr>
          <w:spacing w:val="-9"/>
        </w:rPr>
        <w:t xml:space="preserve"> </w:t>
      </w:r>
      <w:r>
        <w:t>given</w:t>
      </w:r>
      <w:r>
        <w:rPr>
          <w:spacing w:val="-10"/>
        </w:rPr>
        <w:t xml:space="preserve"> </w:t>
      </w:r>
      <w:r>
        <w:t>of</w:t>
      </w:r>
      <w:r>
        <w:rPr>
          <w:spacing w:val="-9"/>
        </w:rPr>
        <w:t xml:space="preserve"> </w:t>
      </w:r>
      <w:r>
        <w:t>an</w:t>
      </w:r>
      <w:r>
        <w:rPr>
          <w:spacing w:val="-7"/>
        </w:rPr>
        <w:t xml:space="preserve"> </w:t>
      </w:r>
      <w:r>
        <w:t>existing</w:t>
      </w:r>
      <w:r>
        <w:rPr>
          <w:spacing w:val="-7"/>
        </w:rPr>
        <w:t xml:space="preserve"> </w:t>
      </w:r>
      <w:r>
        <w:t>safe</w:t>
      </w:r>
      <w:r>
        <w:rPr>
          <w:spacing w:val="-6"/>
        </w:rPr>
        <w:t xml:space="preserve"> </w:t>
      </w:r>
      <w:r>
        <w:t>space</w:t>
      </w:r>
      <w:r>
        <w:rPr>
          <w:spacing w:val="-6"/>
        </w:rPr>
        <w:t xml:space="preserve"> </w:t>
      </w:r>
      <w:r>
        <w:t>was</w:t>
      </w:r>
      <w:r>
        <w:rPr>
          <w:spacing w:val="-6"/>
        </w:rPr>
        <w:t xml:space="preserve"> </w:t>
      </w:r>
      <w:r>
        <w:t>the</w:t>
      </w:r>
      <w:r>
        <w:rPr>
          <w:spacing w:val="-6"/>
        </w:rPr>
        <w:t xml:space="preserve"> </w:t>
      </w:r>
      <w:r>
        <w:t>school</w:t>
      </w:r>
      <w:r>
        <w:rPr>
          <w:spacing w:val="-7"/>
        </w:rPr>
        <w:t xml:space="preserve"> </w:t>
      </w:r>
      <w:r>
        <w:t>nurse’s office, suggesting that school nurses may play a key role in addressing LGBTQ student health needs.</w:t>
      </w:r>
      <w:hyperlink w:anchor="_bookmark386" w:history="1">
        <w:r>
          <w:rPr>
            <w:vertAlign w:val="superscript"/>
          </w:rPr>
          <w:t>35</w:t>
        </w:r>
      </w:hyperlink>
    </w:p>
    <w:p w:rsidR="00200FDA" w:rsidRDefault="00200FDA">
      <w:pPr>
        <w:pStyle w:val="BodyText"/>
        <w:spacing w:before="7"/>
        <w:rPr>
          <w:sz w:val="19"/>
        </w:rPr>
      </w:pPr>
    </w:p>
    <w:p w:rsidR="00200FDA" w:rsidRDefault="00F76C4C">
      <w:pPr>
        <w:pStyle w:val="BodyText"/>
        <w:spacing w:line="276" w:lineRule="auto"/>
        <w:ind w:left="140" w:right="131"/>
        <w:jc w:val="both"/>
      </w:pPr>
      <w:r>
        <w:t>In addition to education, other socioeconomic factors can influence a child’s access to safe spaces and resources.</w:t>
      </w:r>
      <w:r>
        <w:rPr>
          <w:spacing w:val="-10"/>
        </w:rPr>
        <w:t xml:space="preserve"> </w:t>
      </w:r>
      <w:r>
        <w:t>Research</w:t>
      </w:r>
      <w:r>
        <w:rPr>
          <w:spacing w:val="-7"/>
        </w:rPr>
        <w:t xml:space="preserve"> </w:t>
      </w:r>
      <w:r>
        <w:t>has</w:t>
      </w:r>
      <w:r>
        <w:rPr>
          <w:spacing w:val="-9"/>
        </w:rPr>
        <w:t xml:space="preserve"> </w:t>
      </w:r>
      <w:r>
        <w:t>established</w:t>
      </w:r>
      <w:r>
        <w:rPr>
          <w:spacing w:val="-7"/>
        </w:rPr>
        <w:t xml:space="preserve"> </w:t>
      </w:r>
      <w:r>
        <w:t>an</w:t>
      </w:r>
      <w:r>
        <w:rPr>
          <w:spacing w:val="-7"/>
        </w:rPr>
        <w:t xml:space="preserve"> </w:t>
      </w:r>
      <w:r>
        <w:t>association</w:t>
      </w:r>
      <w:r>
        <w:rPr>
          <w:spacing w:val="-10"/>
        </w:rPr>
        <w:t xml:space="preserve"> </w:t>
      </w:r>
      <w:r>
        <w:t>between</w:t>
      </w:r>
      <w:r>
        <w:rPr>
          <w:spacing w:val="-10"/>
        </w:rPr>
        <w:t xml:space="preserve"> </w:t>
      </w:r>
      <w:r>
        <w:t>community</w:t>
      </w:r>
      <w:r>
        <w:rPr>
          <w:spacing w:val="-6"/>
        </w:rPr>
        <w:t xml:space="preserve"> </w:t>
      </w:r>
      <w:r>
        <w:t>size</w:t>
      </w:r>
      <w:r>
        <w:rPr>
          <w:spacing w:val="-8"/>
        </w:rPr>
        <w:t xml:space="preserve"> </w:t>
      </w:r>
      <w:r>
        <w:t>and</w:t>
      </w:r>
      <w:r>
        <w:rPr>
          <w:spacing w:val="-10"/>
        </w:rPr>
        <w:t xml:space="preserve"> </w:t>
      </w:r>
      <w:r>
        <w:t>resources</w:t>
      </w:r>
      <w:r>
        <w:rPr>
          <w:spacing w:val="-7"/>
        </w:rPr>
        <w:t xml:space="preserve"> </w:t>
      </w:r>
      <w:r>
        <w:t>for</w:t>
      </w:r>
      <w:r>
        <w:rPr>
          <w:spacing w:val="-9"/>
        </w:rPr>
        <w:t xml:space="preserve"> </w:t>
      </w:r>
      <w:r>
        <w:t>sexual</w:t>
      </w:r>
      <w:r>
        <w:rPr>
          <w:spacing w:val="-7"/>
        </w:rPr>
        <w:t xml:space="preserve"> </w:t>
      </w:r>
      <w:r>
        <w:t>and gender minority youth, with larger metropolitan areas having more resources. Conversely, LGBTQ youth</w:t>
      </w:r>
    </w:p>
    <w:p w:rsidR="00200FDA" w:rsidRDefault="00200FDA">
      <w:pPr>
        <w:spacing w:line="276" w:lineRule="auto"/>
        <w:jc w:val="both"/>
        <w:sectPr w:rsidR="00200FDA">
          <w:pgSz w:w="12240" w:h="15840"/>
          <w:pgMar w:top="1360" w:right="1300" w:bottom="1380" w:left="1300" w:header="761" w:footer="1132" w:gutter="0"/>
          <w:cols w:space="720"/>
        </w:sectPr>
      </w:pPr>
    </w:p>
    <w:p w:rsidR="00200FDA" w:rsidRDefault="00F76C4C">
      <w:pPr>
        <w:pStyle w:val="BodyText"/>
        <w:spacing w:before="64" w:line="276" w:lineRule="auto"/>
        <w:ind w:left="139" w:right="135"/>
        <w:jc w:val="both"/>
      </w:pPr>
      <w:r>
        <w:lastRenderedPageBreak/>
        <w:t>in suburban and rural areas expressed a need and desire for more spaces to socialize and meet other LGBTQ youth.</w:t>
      </w:r>
      <w:hyperlink w:anchor="_bookmark387" w:history="1">
        <w:r>
          <w:rPr>
            <w:vertAlign w:val="superscript"/>
          </w:rPr>
          <w:t>36</w:t>
        </w:r>
      </w:hyperlink>
      <w:r>
        <w:rPr>
          <w:spacing w:val="-13"/>
        </w:rPr>
        <w:t xml:space="preserve"> </w:t>
      </w:r>
      <w:r>
        <w:t>In particular, rural LGBTQ youth experience higher rates of depressive symptoms and PTSD</w:t>
      </w:r>
      <w:r>
        <w:rPr>
          <w:spacing w:val="-10"/>
        </w:rPr>
        <w:t xml:space="preserve"> </w:t>
      </w:r>
      <w:r>
        <w:t>compared</w:t>
      </w:r>
      <w:r>
        <w:rPr>
          <w:spacing w:val="-4"/>
        </w:rPr>
        <w:t xml:space="preserve"> </w:t>
      </w:r>
      <w:r>
        <w:t>to</w:t>
      </w:r>
      <w:r>
        <w:rPr>
          <w:spacing w:val="-2"/>
        </w:rPr>
        <w:t xml:space="preserve"> </w:t>
      </w:r>
      <w:r>
        <w:t>their</w:t>
      </w:r>
      <w:r>
        <w:rPr>
          <w:spacing w:val="-3"/>
        </w:rPr>
        <w:t xml:space="preserve"> </w:t>
      </w:r>
      <w:r>
        <w:t>urban</w:t>
      </w:r>
      <w:r>
        <w:rPr>
          <w:spacing w:val="-2"/>
        </w:rPr>
        <w:t xml:space="preserve"> </w:t>
      </w:r>
      <w:r>
        <w:t>peers</w:t>
      </w:r>
      <w:r>
        <w:rPr>
          <w:spacing w:val="-3"/>
        </w:rPr>
        <w:t xml:space="preserve"> </w:t>
      </w:r>
      <w:r>
        <w:t>due</w:t>
      </w:r>
      <w:r>
        <w:rPr>
          <w:spacing w:val="-3"/>
        </w:rPr>
        <w:t xml:space="preserve"> </w:t>
      </w:r>
      <w:r>
        <w:t>to</w:t>
      </w:r>
      <w:r>
        <w:rPr>
          <w:spacing w:val="-2"/>
        </w:rPr>
        <w:t xml:space="preserve"> </w:t>
      </w:r>
      <w:r>
        <w:t>heightened</w:t>
      </w:r>
      <w:r>
        <w:rPr>
          <w:spacing w:val="-2"/>
        </w:rPr>
        <w:t xml:space="preserve"> </w:t>
      </w:r>
      <w:r>
        <w:t>levels</w:t>
      </w:r>
      <w:r>
        <w:rPr>
          <w:spacing w:val="-3"/>
        </w:rPr>
        <w:t xml:space="preserve"> </w:t>
      </w:r>
      <w:r>
        <w:t>of</w:t>
      </w:r>
      <w:r>
        <w:rPr>
          <w:spacing w:val="-6"/>
        </w:rPr>
        <w:t xml:space="preserve"> </w:t>
      </w:r>
      <w:r>
        <w:t>minority</w:t>
      </w:r>
      <w:r>
        <w:rPr>
          <w:spacing w:val="-2"/>
        </w:rPr>
        <w:t xml:space="preserve"> </w:t>
      </w:r>
      <w:r>
        <w:t>stress.</w:t>
      </w:r>
      <w:hyperlink w:anchor="_bookmark388" w:history="1">
        <w:r>
          <w:rPr>
            <w:vertAlign w:val="superscript"/>
          </w:rPr>
          <w:t>37</w:t>
        </w:r>
      </w:hyperlink>
      <w:r>
        <w:rPr>
          <w:spacing w:val="-13"/>
        </w:rPr>
        <w:t xml:space="preserve"> </w:t>
      </w:r>
      <w:r>
        <w:t>Despite</w:t>
      </w:r>
      <w:r>
        <w:rPr>
          <w:spacing w:val="-2"/>
        </w:rPr>
        <w:t xml:space="preserve"> </w:t>
      </w:r>
      <w:r>
        <w:t>the</w:t>
      </w:r>
      <w:r>
        <w:rPr>
          <w:spacing w:val="-3"/>
        </w:rPr>
        <w:t xml:space="preserve"> </w:t>
      </w:r>
      <w:r>
        <w:t>clear</w:t>
      </w:r>
      <w:r>
        <w:rPr>
          <w:spacing w:val="-1"/>
        </w:rPr>
        <w:t xml:space="preserve"> </w:t>
      </w:r>
      <w:r>
        <w:t>need for competent health serv</w:t>
      </w:r>
      <w:r>
        <w:t>ices, rural youth typically lack access to competent and affirming health care because of the general shortage of healthcare professionals in rural areas. This shortage is particularly acute</w:t>
      </w:r>
      <w:r>
        <w:rPr>
          <w:spacing w:val="-6"/>
        </w:rPr>
        <w:t xml:space="preserve"> </w:t>
      </w:r>
      <w:r>
        <w:t>for</w:t>
      </w:r>
      <w:r>
        <w:rPr>
          <w:spacing w:val="-7"/>
        </w:rPr>
        <w:t xml:space="preserve"> </w:t>
      </w:r>
      <w:r>
        <w:t>LGBTQ</w:t>
      </w:r>
      <w:r>
        <w:rPr>
          <w:spacing w:val="-6"/>
        </w:rPr>
        <w:t xml:space="preserve"> </w:t>
      </w:r>
      <w:r>
        <w:t>specialty</w:t>
      </w:r>
      <w:r>
        <w:rPr>
          <w:spacing w:val="-6"/>
        </w:rPr>
        <w:t xml:space="preserve"> </w:t>
      </w:r>
      <w:r>
        <w:t>services,</w:t>
      </w:r>
      <w:r>
        <w:rPr>
          <w:spacing w:val="-7"/>
        </w:rPr>
        <w:t xml:space="preserve"> </w:t>
      </w:r>
      <w:r>
        <w:t>which</w:t>
      </w:r>
      <w:r>
        <w:rPr>
          <w:spacing w:val="-10"/>
        </w:rPr>
        <w:t xml:space="preserve"> </w:t>
      </w:r>
      <w:r>
        <w:t>are</w:t>
      </w:r>
      <w:r>
        <w:rPr>
          <w:spacing w:val="-9"/>
        </w:rPr>
        <w:t xml:space="preserve"> </w:t>
      </w:r>
      <w:r>
        <w:t>often</w:t>
      </w:r>
      <w:r>
        <w:rPr>
          <w:spacing w:val="-7"/>
        </w:rPr>
        <w:t xml:space="preserve"> </w:t>
      </w:r>
      <w:r>
        <w:t>located</w:t>
      </w:r>
      <w:r>
        <w:rPr>
          <w:spacing w:val="-7"/>
        </w:rPr>
        <w:t xml:space="preserve"> </w:t>
      </w:r>
      <w:r>
        <w:t>in</w:t>
      </w:r>
      <w:r>
        <w:rPr>
          <w:spacing w:val="-7"/>
        </w:rPr>
        <w:t xml:space="preserve"> </w:t>
      </w:r>
      <w:r>
        <w:t>larger</w:t>
      </w:r>
      <w:r>
        <w:rPr>
          <w:spacing w:val="-7"/>
        </w:rPr>
        <w:t xml:space="preserve"> </w:t>
      </w:r>
      <w:r>
        <w:t>cities,</w:t>
      </w:r>
      <w:r>
        <w:rPr>
          <w:spacing w:val="-6"/>
        </w:rPr>
        <w:t xml:space="preserve"> </w:t>
      </w:r>
      <w:r>
        <w:t>an</w:t>
      </w:r>
      <w:r>
        <w:rPr>
          <w:spacing w:val="-10"/>
        </w:rPr>
        <w:t xml:space="preserve"> </w:t>
      </w:r>
      <w:r>
        <w:t>example</w:t>
      </w:r>
      <w:r>
        <w:rPr>
          <w:spacing w:val="-6"/>
        </w:rPr>
        <w:t xml:space="preserve"> </w:t>
      </w:r>
      <w:r>
        <w:t>clearly</w:t>
      </w:r>
      <w:r>
        <w:rPr>
          <w:spacing w:val="-8"/>
        </w:rPr>
        <w:t xml:space="preserve"> </w:t>
      </w:r>
      <w:r>
        <w:t>seen</w:t>
      </w:r>
      <w:r>
        <w:rPr>
          <w:spacing w:val="-7"/>
        </w:rPr>
        <w:t xml:space="preserve"> </w:t>
      </w:r>
      <w:r>
        <w:t>by</w:t>
      </w:r>
      <w:r>
        <w:rPr>
          <w:spacing w:val="-6"/>
        </w:rPr>
        <w:t xml:space="preserve"> </w:t>
      </w:r>
      <w:r>
        <w:t>the locations of LGBTQ organizations, programs, and services in Massachusetts.</w:t>
      </w:r>
    </w:p>
    <w:p w:rsidR="00200FDA" w:rsidRDefault="00200FDA">
      <w:pPr>
        <w:pStyle w:val="BodyText"/>
        <w:spacing w:before="8"/>
        <w:rPr>
          <w:sz w:val="19"/>
        </w:rPr>
      </w:pPr>
    </w:p>
    <w:p w:rsidR="00200FDA" w:rsidRDefault="00F76C4C">
      <w:pPr>
        <w:pStyle w:val="BodyText"/>
        <w:spacing w:line="276" w:lineRule="auto"/>
        <w:ind w:left="139" w:right="133"/>
        <w:jc w:val="both"/>
      </w:pPr>
      <w:r>
        <w:t>One</w:t>
      </w:r>
      <w:r>
        <w:rPr>
          <w:spacing w:val="-1"/>
        </w:rPr>
        <w:t xml:space="preserve"> </w:t>
      </w:r>
      <w:r>
        <w:t>method</w:t>
      </w:r>
      <w:r>
        <w:rPr>
          <w:spacing w:val="-3"/>
        </w:rPr>
        <w:t xml:space="preserve"> </w:t>
      </w:r>
      <w:r>
        <w:t>for</w:t>
      </w:r>
      <w:r>
        <w:rPr>
          <w:spacing w:val="-2"/>
        </w:rPr>
        <w:t xml:space="preserve"> </w:t>
      </w:r>
      <w:r>
        <w:t>bridging this gap is</w:t>
      </w:r>
      <w:r>
        <w:rPr>
          <w:spacing w:val="-2"/>
        </w:rPr>
        <w:t xml:space="preserve"> </w:t>
      </w:r>
      <w:r>
        <w:t>telehealth,</w:t>
      </w:r>
      <w:r>
        <w:rPr>
          <w:spacing w:val="-2"/>
        </w:rPr>
        <w:t xml:space="preserve"> </w:t>
      </w:r>
      <w:r>
        <w:t>which</w:t>
      </w:r>
      <w:r>
        <w:rPr>
          <w:spacing w:val="-3"/>
        </w:rPr>
        <w:t xml:space="preserve"> </w:t>
      </w:r>
      <w:r>
        <w:t>has been</w:t>
      </w:r>
      <w:r>
        <w:rPr>
          <w:spacing w:val="-2"/>
        </w:rPr>
        <w:t xml:space="preserve"> </w:t>
      </w:r>
      <w:r>
        <w:t>shown to</w:t>
      </w:r>
      <w:r>
        <w:rPr>
          <w:spacing w:val="-1"/>
        </w:rPr>
        <w:t xml:space="preserve"> </w:t>
      </w:r>
      <w:r>
        <w:t>expand</w:t>
      </w:r>
      <w:r>
        <w:rPr>
          <w:spacing w:val="-3"/>
        </w:rPr>
        <w:t xml:space="preserve"> </w:t>
      </w:r>
      <w:r>
        <w:t>access</w:t>
      </w:r>
      <w:r>
        <w:rPr>
          <w:spacing w:val="-2"/>
        </w:rPr>
        <w:t xml:space="preserve"> </w:t>
      </w:r>
      <w:r>
        <w:t>to</w:t>
      </w:r>
      <w:r>
        <w:rPr>
          <w:spacing w:val="-3"/>
        </w:rPr>
        <w:t xml:space="preserve"> </w:t>
      </w:r>
      <w:r>
        <w:t>LGBTQ health in rural areas.</w:t>
      </w:r>
      <w:hyperlink w:anchor="_bookmark389" w:history="1">
        <w:r>
          <w:rPr>
            <w:vertAlign w:val="superscript"/>
          </w:rPr>
          <w:t>38</w:t>
        </w:r>
      </w:hyperlink>
      <w:r>
        <w:rPr>
          <w:spacing w:val="-2"/>
        </w:rPr>
        <w:t xml:space="preserve"> </w:t>
      </w:r>
      <w:r>
        <w:t>Telehealth has also proven to be a high-quality strategy for pediatric health access and can be delivered in nontraditional settings such as schools and community centers.</w:t>
      </w:r>
      <w:hyperlink w:anchor="_bookmark390" w:history="1">
        <w:r>
          <w:rPr>
            <w:vertAlign w:val="superscript"/>
          </w:rPr>
          <w:t>39</w:t>
        </w:r>
      </w:hyperlink>
      <w:r>
        <w:t xml:space="preserve"> A study of rural parents of children wi</w:t>
      </w:r>
      <w:r>
        <w:t>th special health needs found that parents using telehealth were less likely to experience</w:t>
      </w:r>
      <w:r>
        <w:rPr>
          <w:spacing w:val="-5"/>
        </w:rPr>
        <w:t xml:space="preserve"> </w:t>
      </w:r>
      <w:r>
        <w:t>common</w:t>
      </w:r>
      <w:r>
        <w:rPr>
          <w:spacing w:val="-4"/>
        </w:rPr>
        <w:t xml:space="preserve"> </w:t>
      </w:r>
      <w:r>
        <w:t>barriers</w:t>
      </w:r>
      <w:r>
        <w:rPr>
          <w:spacing w:val="-3"/>
        </w:rPr>
        <w:t xml:space="preserve"> </w:t>
      </w:r>
      <w:r>
        <w:t>to</w:t>
      </w:r>
      <w:r>
        <w:rPr>
          <w:spacing w:val="-5"/>
        </w:rPr>
        <w:t xml:space="preserve"> </w:t>
      </w:r>
      <w:r>
        <w:t>health</w:t>
      </w:r>
      <w:r>
        <w:rPr>
          <w:spacing w:val="-7"/>
        </w:rPr>
        <w:t xml:space="preserve"> </w:t>
      </w:r>
      <w:r>
        <w:t>access,</w:t>
      </w:r>
      <w:r>
        <w:rPr>
          <w:spacing w:val="-6"/>
        </w:rPr>
        <w:t xml:space="preserve"> </w:t>
      </w:r>
      <w:r>
        <w:t>such</w:t>
      </w:r>
      <w:r>
        <w:rPr>
          <w:spacing w:val="-7"/>
        </w:rPr>
        <w:t xml:space="preserve"> </w:t>
      </w:r>
      <w:r>
        <w:t>as</w:t>
      </w:r>
      <w:r>
        <w:rPr>
          <w:spacing w:val="-8"/>
        </w:rPr>
        <w:t xml:space="preserve"> </w:t>
      </w:r>
      <w:r>
        <w:t>traveling</w:t>
      </w:r>
      <w:r>
        <w:rPr>
          <w:spacing w:val="-6"/>
        </w:rPr>
        <w:t xml:space="preserve"> </w:t>
      </w:r>
      <w:r>
        <w:t>over</w:t>
      </w:r>
      <w:r>
        <w:rPr>
          <w:spacing w:val="-6"/>
        </w:rPr>
        <w:t xml:space="preserve"> </w:t>
      </w:r>
      <w:r>
        <w:t>an</w:t>
      </w:r>
      <w:r>
        <w:rPr>
          <w:spacing w:val="-6"/>
        </w:rPr>
        <w:t xml:space="preserve"> </w:t>
      </w:r>
      <w:r>
        <w:t>hour</w:t>
      </w:r>
      <w:r>
        <w:rPr>
          <w:spacing w:val="-6"/>
        </w:rPr>
        <w:t xml:space="preserve"> </w:t>
      </w:r>
      <w:r>
        <w:t>for</w:t>
      </w:r>
      <w:r>
        <w:rPr>
          <w:spacing w:val="-6"/>
        </w:rPr>
        <w:t xml:space="preserve"> </w:t>
      </w:r>
      <w:r>
        <w:t>appointments</w:t>
      </w:r>
      <w:r>
        <w:rPr>
          <w:spacing w:val="-6"/>
        </w:rPr>
        <w:t xml:space="preserve"> </w:t>
      </w:r>
      <w:r>
        <w:t>or</w:t>
      </w:r>
      <w:r>
        <w:rPr>
          <w:spacing w:val="-8"/>
        </w:rPr>
        <w:t xml:space="preserve"> </w:t>
      </w:r>
      <w:r>
        <w:t>missing work.</w:t>
      </w:r>
      <w:hyperlink w:anchor="_bookmark391" w:history="1">
        <w:r>
          <w:rPr>
            <w:vertAlign w:val="superscript"/>
          </w:rPr>
          <w:t>40</w:t>
        </w:r>
      </w:hyperlink>
      <w:r>
        <w:rPr>
          <w:spacing w:val="-2"/>
        </w:rPr>
        <w:t xml:space="preserve"> </w:t>
      </w:r>
      <w:r>
        <w:t>A pediatric gender-affirming clinic reported that telehealth increased access to care during the COVID-19 pandemic, and that many patients continued to request telehealth appointments even after social distancing guidelines</w:t>
      </w:r>
      <w:r>
        <w:rPr>
          <w:spacing w:val="-1"/>
        </w:rPr>
        <w:t xml:space="preserve"> </w:t>
      </w:r>
      <w:r>
        <w:t>were relaxed.</w:t>
      </w:r>
      <w:hyperlink w:anchor="_bookmark392" w:history="1">
        <w:r>
          <w:rPr>
            <w:vertAlign w:val="superscript"/>
          </w:rPr>
          <w:t>41</w:t>
        </w:r>
      </w:hyperlink>
      <w:r>
        <w:rPr>
          <w:spacing w:val="-2"/>
        </w:rPr>
        <w:t xml:space="preserve"> </w:t>
      </w:r>
      <w:r>
        <w:t>Despite concerns that telehealth</w:t>
      </w:r>
      <w:r>
        <w:rPr>
          <w:spacing w:val="-2"/>
        </w:rPr>
        <w:t xml:space="preserve"> </w:t>
      </w:r>
      <w:r>
        <w:t>could</w:t>
      </w:r>
      <w:r>
        <w:rPr>
          <w:spacing w:val="-2"/>
        </w:rPr>
        <w:t xml:space="preserve"> </w:t>
      </w:r>
      <w:r>
        <w:t>raise healthcare costs and claims by insurance companies that telehealth lowers costs, preliminary research shows that telehealth is cost-neutral in that it does not reduce operating costs.</w:t>
      </w:r>
      <w:hyperlink w:anchor="_bookmark393" w:history="1">
        <w:r>
          <w:rPr>
            <w:vertAlign w:val="superscript"/>
          </w:rPr>
          <w:t>42</w:t>
        </w:r>
      </w:hyperlink>
    </w:p>
    <w:p w:rsidR="00200FDA" w:rsidRDefault="00200FDA">
      <w:pPr>
        <w:pStyle w:val="BodyText"/>
        <w:spacing w:before="1"/>
        <w:rPr>
          <w:sz w:val="35"/>
        </w:rPr>
      </w:pPr>
    </w:p>
    <w:p w:rsidR="00200FDA" w:rsidRDefault="00F76C4C">
      <w:pPr>
        <w:pStyle w:val="Heading8"/>
      </w:pPr>
      <w:bookmarkStart w:id="476" w:name="Heath_Care_Access_and_Quality"/>
      <w:bookmarkEnd w:id="476"/>
      <w:r>
        <w:rPr>
          <w:color w:val="0A5293"/>
        </w:rPr>
        <w:t>Heath</w:t>
      </w:r>
      <w:r>
        <w:rPr>
          <w:color w:val="0A5293"/>
          <w:spacing w:val="-1"/>
        </w:rPr>
        <w:t xml:space="preserve"> </w:t>
      </w:r>
      <w:r>
        <w:rPr>
          <w:color w:val="0A5293"/>
        </w:rPr>
        <w:t>Care</w:t>
      </w:r>
      <w:r>
        <w:rPr>
          <w:color w:val="0A5293"/>
          <w:spacing w:val="-1"/>
        </w:rPr>
        <w:t xml:space="preserve"> </w:t>
      </w:r>
      <w:r>
        <w:rPr>
          <w:color w:val="0A5293"/>
        </w:rPr>
        <w:t>Access</w:t>
      </w:r>
      <w:r>
        <w:rPr>
          <w:color w:val="0A5293"/>
          <w:spacing w:val="-2"/>
        </w:rPr>
        <w:t xml:space="preserve"> </w:t>
      </w:r>
      <w:r>
        <w:rPr>
          <w:color w:val="0A5293"/>
        </w:rPr>
        <w:t xml:space="preserve">and </w:t>
      </w:r>
      <w:r>
        <w:rPr>
          <w:color w:val="0A5293"/>
          <w:spacing w:val="-2"/>
        </w:rPr>
        <w:t>Quality</w:t>
      </w:r>
    </w:p>
    <w:p w:rsidR="00200FDA" w:rsidRDefault="00200FDA">
      <w:pPr>
        <w:pStyle w:val="BodyText"/>
        <w:spacing w:before="1"/>
        <w:rPr>
          <w:sz w:val="28"/>
        </w:rPr>
      </w:pPr>
    </w:p>
    <w:p w:rsidR="00200FDA" w:rsidRDefault="00F76C4C">
      <w:pPr>
        <w:pStyle w:val="BodyText"/>
        <w:spacing w:line="276" w:lineRule="auto"/>
        <w:ind w:left="139" w:right="135"/>
        <w:jc w:val="both"/>
      </w:pPr>
      <w:r>
        <w:t>Access</w:t>
      </w:r>
      <w:r>
        <w:rPr>
          <w:spacing w:val="-1"/>
        </w:rPr>
        <w:t xml:space="preserve"> </w:t>
      </w:r>
      <w:r>
        <w:t>to competent,</w:t>
      </w:r>
      <w:r>
        <w:rPr>
          <w:spacing w:val="-1"/>
        </w:rPr>
        <w:t xml:space="preserve"> </w:t>
      </w:r>
      <w:r>
        <w:t>culturally sensitive healthcare remains</w:t>
      </w:r>
      <w:r>
        <w:rPr>
          <w:spacing w:val="-1"/>
        </w:rPr>
        <w:t xml:space="preserve"> </w:t>
      </w:r>
      <w:r>
        <w:t>a pressing issue for</w:t>
      </w:r>
      <w:r>
        <w:rPr>
          <w:spacing w:val="-3"/>
        </w:rPr>
        <w:t xml:space="preserve"> </w:t>
      </w:r>
      <w:r>
        <w:t>LGBTQ</w:t>
      </w:r>
      <w:r>
        <w:rPr>
          <w:spacing w:val="-3"/>
        </w:rPr>
        <w:t xml:space="preserve"> </w:t>
      </w:r>
      <w:r>
        <w:t>youth.</w:t>
      </w:r>
      <w:hyperlink w:anchor="_bookmark394" w:history="1">
        <w:r>
          <w:rPr>
            <w:vertAlign w:val="superscript"/>
          </w:rPr>
          <w:t>43</w:t>
        </w:r>
      </w:hyperlink>
      <w:r>
        <w:rPr>
          <w:vertAlign w:val="superscript"/>
        </w:rPr>
        <w:t>,</w:t>
      </w:r>
      <w:hyperlink w:anchor="_bookmark395" w:history="1">
        <w:r>
          <w:rPr>
            <w:vertAlign w:val="superscript"/>
          </w:rPr>
          <w:t>44</w:t>
        </w:r>
      </w:hyperlink>
      <w:r>
        <w:rPr>
          <w:spacing w:val="-2"/>
        </w:rPr>
        <w:t xml:space="preserve"> </w:t>
      </w:r>
      <w:r>
        <w:t>Many healthcare providers do not feel</w:t>
      </w:r>
      <w:r>
        <w:t xml:space="preserve"> informed about the specific health needs of the LGBTQ community,</w:t>
      </w:r>
      <w:hyperlink w:anchor="_bookmark396" w:history="1">
        <w:r>
          <w:rPr>
            <w:vertAlign w:val="superscript"/>
          </w:rPr>
          <w:t>45</w:t>
        </w:r>
      </w:hyperlink>
      <w:r>
        <w:t xml:space="preserve"> and report receiving little to no training on the topic of LGBTQ youth.</w:t>
      </w:r>
      <w:hyperlink w:anchor="_bookmark397" w:history="1">
        <w:r>
          <w:rPr>
            <w:vertAlign w:val="superscript"/>
          </w:rPr>
          <w:t>46</w:t>
        </w:r>
      </w:hyperlink>
      <w:r>
        <w:t xml:space="preserve"> A 2021 from the Center for American Progress noted</w:t>
      </w:r>
      <w:r>
        <w:t xml:space="preserve"> that, in the last year, one-third of transgender respondents reported having to teach their doctor about transgender people in order to receive adequate care.</w:t>
      </w:r>
      <w:hyperlink w:anchor="_bookmark398" w:history="1">
        <w:r>
          <w:rPr>
            <w:vertAlign w:val="superscript"/>
          </w:rPr>
          <w:t>47</w:t>
        </w:r>
      </w:hyperlink>
    </w:p>
    <w:p w:rsidR="00200FDA" w:rsidRDefault="00F76C4C">
      <w:pPr>
        <w:pStyle w:val="BodyText"/>
        <w:spacing w:before="119" w:line="276" w:lineRule="auto"/>
        <w:ind w:left="139" w:right="132"/>
        <w:jc w:val="both"/>
      </w:pPr>
      <w:r>
        <w:t>In addition to primary care, LGBTQ youth also struggle to acce</w:t>
      </w:r>
      <w:r>
        <w:t>ss critical mental health care. In 2016, the American</w:t>
      </w:r>
      <w:r>
        <w:rPr>
          <w:spacing w:val="-7"/>
        </w:rPr>
        <w:t xml:space="preserve"> </w:t>
      </w:r>
      <w:r>
        <w:t>Psychological</w:t>
      </w:r>
      <w:r>
        <w:rPr>
          <w:spacing w:val="-5"/>
        </w:rPr>
        <w:t xml:space="preserve"> </w:t>
      </w:r>
      <w:r>
        <w:t>Association</w:t>
      </w:r>
      <w:r>
        <w:rPr>
          <w:spacing w:val="-5"/>
        </w:rPr>
        <w:t xml:space="preserve"> </w:t>
      </w:r>
      <w:r>
        <w:t>reported</w:t>
      </w:r>
      <w:r>
        <w:rPr>
          <w:spacing w:val="-5"/>
        </w:rPr>
        <w:t xml:space="preserve"> </w:t>
      </w:r>
      <w:r>
        <w:t>that</w:t>
      </w:r>
      <w:r>
        <w:rPr>
          <w:spacing w:val="-6"/>
        </w:rPr>
        <w:t xml:space="preserve"> </w:t>
      </w:r>
      <w:r>
        <w:t>most</w:t>
      </w:r>
      <w:r>
        <w:rPr>
          <w:spacing w:val="-4"/>
        </w:rPr>
        <w:t xml:space="preserve"> </w:t>
      </w:r>
      <w:r>
        <w:t>states</w:t>
      </w:r>
      <w:r>
        <w:rPr>
          <w:spacing w:val="-7"/>
        </w:rPr>
        <w:t xml:space="preserve"> </w:t>
      </w:r>
      <w:r>
        <w:t>had</w:t>
      </w:r>
      <w:r>
        <w:rPr>
          <w:spacing w:val="-5"/>
        </w:rPr>
        <w:t xml:space="preserve"> </w:t>
      </w:r>
      <w:r>
        <w:t>less</w:t>
      </w:r>
      <w:r>
        <w:rPr>
          <w:spacing w:val="-7"/>
        </w:rPr>
        <w:t xml:space="preserve"> </w:t>
      </w:r>
      <w:r>
        <w:t>than</w:t>
      </w:r>
      <w:r>
        <w:rPr>
          <w:spacing w:val="-5"/>
        </w:rPr>
        <w:t xml:space="preserve"> </w:t>
      </w:r>
      <w:r>
        <w:t>half</w:t>
      </w:r>
      <w:r>
        <w:rPr>
          <w:spacing w:val="-7"/>
        </w:rPr>
        <w:t xml:space="preserve"> </w:t>
      </w:r>
      <w:r>
        <w:t>the</w:t>
      </w:r>
      <w:r>
        <w:rPr>
          <w:spacing w:val="-4"/>
        </w:rPr>
        <w:t xml:space="preserve"> </w:t>
      </w:r>
      <w:r>
        <w:t>necessary</w:t>
      </w:r>
      <w:r>
        <w:rPr>
          <w:spacing w:val="-6"/>
        </w:rPr>
        <w:t xml:space="preserve"> </w:t>
      </w:r>
      <w:r>
        <w:t>number</w:t>
      </w:r>
      <w:r>
        <w:rPr>
          <w:spacing w:val="-7"/>
        </w:rPr>
        <w:t xml:space="preserve"> </w:t>
      </w:r>
      <w:r>
        <w:t>of public psychiatry beds, and that only 21% of children and adolescents received necessary mental health care</w:t>
      </w:r>
      <w:r>
        <w:rPr>
          <w:spacing w:val="-8"/>
        </w:rPr>
        <w:t xml:space="preserve"> </w:t>
      </w:r>
      <w:r>
        <w:t>due</w:t>
      </w:r>
      <w:r>
        <w:rPr>
          <w:spacing w:val="-10"/>
        </w:rPr>
        <w:t xml:space="preserve"> </w:t>
      </w:r>
      <w:r>
        <w:t>to</w:t>
      </w:r>
      <w:r>
        <w:rPr>
          <w:spacing w:val="-7"/>
        </w:rPr>
        <w:t xml:space="preserve"> </w:t>
      </w:r>
      <w:r>
        <w:t>a</w:t>
      </w:r>
      <w:r>
        <w:rPr>
          <w:spacing w:val="-11"/>
        </w:rPr>
        <w:t xml:space="preserve"> </w:t>
      </w:r>
      <w:r>
        <w:t>lack</w:t>
      </w:r>
      <w:r>
        <w:rPr>
          <w:spacing w:val="-10"/>
        </w:rPr>
        <w:t xml:space="preserve"> </w:t>
      </w:r>
      <w:r>
        <w:t>of</w:t>
      </w:r>
      <w:r>
        <w:rPr>
          <w:spacing w:val="-11"/>
        </w:rPr>
        <w:t xml:space="preserve"> </w:t>
      </w:r>
      <w:r>
        <w:t>mental</w:t>
      </w:r>
      <w:r>
        <w:rPr>
          <w:spacing w:val="-11"/>
        </w:rPr>
        <w:t xml:space="preserve"> </w:t>
      </w:r>
      <w:r>
        <w:t>health</w:t>
      </w:r>
      <w:r>
        <w:rPr>
          <w:spacing w:val="-9"/>
        </w:rPr>
        <w:t xml:space="preserve"> </w:t>
      </w:r>
      <w:r>
        <w:t>facilities.</w:t>
      </w:r>
      <w:hyperlink w:anchor="_bookmark399" w:history="1">
        <w:r>
          <w:rPr>
            <w:vertAlign w:val="superscript"/>
          </w:rPr>
          <w:t>48</w:t>
        </w:r>
      </w:hyperlink>
      <w:r>
        <w:rPr>
          <w:spacing w:val="-2"/>
        </w:rPr>
        <w:t xml:space="preserve"> </w:t>
      </w:r>
      <w:r>
        <w:t>The</w:t>
      </w:r>
      <w:r>
        <w:rPr>
          <w:spacing w:val="-7"/>
        </w:rPr>
        <w:t xml:space="preserve"> </w:t>
      </w:r>
      <w:r>
        <w:t>report</w:t>
      </w:r>
      <w:r>
        <w:rPr>
          <w:spacing w:val="-10"/>
        </w:rPr>
        <w:t xml:space="preserve"> </w:t>
      </w:r>
      <w:r>
        <w:t>detailed</w:t>
      </w:r>
      <w:r>
        <w:rPr>
          <w:spacing w:val="-11"/>
        </w:rPr>
        <w:t xml:space="preserve"> </w:t>
      </w:r>
      <w:r>
        <w:t>youth</w:t>
      </w:r>
      <w:r>
        <w:rPr>
          <w:spacing w:val="-11"/>
        </w:rPr>
        <w:t xml:space="preserve"> </w:t>
      </w:r>
      <w:r>
        <w:t>waiting</w:t>
      </w:r>
      <w:r>
        <w:rPr>
          <w:spacing w:val="-9"/>
        </w:rPr>
        <w:t xml:space="preserve"> </w:t>
      </w:r>
      <w:r>
        <w:t>in</w:t>
      </w:r>
      <w:r>
        <w:rPr>
          <w:spacing w:val="-11"/>
        </w:rPr>
        <w:t xml:space="preserve"> </w:t>
      </w:r>
      <w:r>
        <w:t>emergency</w:t>
      </w:r>
      <w:r>
        <w:rPr>
          <w:spacing w:val="-9"/>
        </w:rPr>
        <w:t xml:space="preserve"> </w:t>
      </w:r>
      <w:r>
        <w:t>rooms</w:t>
      </w:r>
      <w:r>
        <w:rPr>
          <w:spacing w:val="-8"/>
        </w:rPr>
        <w:t xml:space="preserve"> </w:t>
      </w:r>
      <w:r>
        <w:t>until inpatient psychiatric beds become available, the shortage of psychiatric care for youth in general, and how these syste</w:t>
      </w:r>
      <w:r>
        <w:t>m deficits leave many youths untreated and families without help. Adding to the crisis, the demand for psychiatric beds increased sharply during the COVID-19 pandemic.</w:t>
      </w:r>
      <w:r>
        <w:rPr>
          <w:spacing w:val="-11"/>
        </w:rPr>
        <w:t xml:space="preserve"> </w:t>
      </w:r>
      <w:hyperlink w:anchor="_bookmark400" w:history="1">
        <w:r>
          <w:rPr>
            <w:vertAlign w:val="superscript"/>
          </w:rPr>
          <w:t>49</w:t>
        </w:r>
      </w:hyperlink>
      <w:r>
        <w:t xml:space="preserve"> This issue is especially pressing for LGBTQ youth, wh</w:t>
      </w:r>
      <w:r>
        <w:t>o are significantly more likely to attempt suicide than their heterosexual</w:t>
      </w:r>
      <w:r>
        <w:rPr>
          <w:spacing w:val="-1"/>
        </w:rPr>
        <w:t xml:space="preserve"> </w:t>
      </w:r>
      <w:r>
        <w:t>peers,</w:t>
      </w:r>
      <w:hyperlink w:anchor="_bookmark401" w:history="1">
        <w:r>
          <w:rPr>
            <w:vertAlign w:val="superscript"/>
          </w:rPr>
          <w:t>50</w:t>
        </w:r>
      </w:hyperlink>
      <w:r>
        <w:rPr>
          <w:spacing w:val="-2"/>
        </w:rPr>
        <w:t xml:space="preserve"> </w:t>
      </w:r>
      <w:r>
        <w:t>and transgender and intersex youth in particular,</w:t>
      </w:r>
      <w:r>
        <w:rPr>
          <w:spacing w:val="-1"/>
        </w:rPr>
        <w:t xml:space="preserve"> </w:t>
      </w:r>
      <w:r>
        <w:t>who face</w:t>
      </w:r>
      <w:r>
        <w:rPr>
          <w:spacing w:val="-3"/>
        </w:rPr>
        <w:t xml:space="preserve"> </w:t>
      </w:r>
      <w:r>
        <w:t>unique risk factors</w:t>
      </w:r>
      <w:r>
        <w:rPr>
          <w:spacing w:val="-1"/>
        </w:rPr>
        <w:t xml:space="preserve"> </w:t>
      </w:r>
      <w:r>
        <w:t>that lead to an increased risk of suicide.</w:t>
      </w:r>
      <w:hyperlink w:anchor="_bookmark402" w:history="1">
        <w:r>
          <w:rPr>
            <w:vertAlign w:val="superscript"/>
          </w:rPr>
          <w:t>51</w:t>
        </w:r>
      </w:hyperlink>
    </w:p>
    <w:p w:rsidR="00200FDA" w:rsidRDefault="00F76C4C">
      <w:pPr>
        <w:pStyle w:val="BodyText"/>
        <w:spacing w:before="121" w:line="276" w:lineRule="auto"/>
        <w:ind w:left="139" w:right="136"/>
        <w:jc w:val="both"/>
      </w:pPr>
      <w:r>
        <w:t>Despite the illegality of automatic, categorical exclusions of transgender care,</w:t>
      </w:r>
      <w:hyperlink w:anchor="_bookmark403" w:history="1">
        <w:r>
          <w:rPr>
            <w:vertAlign w:val="superscript"/>
          </w:rPr>
          <w:t>52</w:t>
        </w:r>
      </w:hyperlink>
      <w:r>
        <w:rPr>
          <w:spacing w:val="-3"/>
        </w:rPr>
        <w:t xml:space="preserve"> </w:t>
      </w:r>
      <w:r>
        <w:t>many LGBTQ youth and caregivers report experiencing insurance exclusions when accessing care.</w:t>
      </w:r>
      <w:hyperlink w:anchor="_bookmark404" w:history="1">
        <w:r>
          <w:rPr>
            <w:vertAlign w:val="superscript"/>
          </w:rPr>
          <w:t>53</w:t>
        </w:r>
      </w:hyperlink>
      <w:r>
        <w:rPr>
          <w:spacing w:val="-2"/>
        </w:rPr>
        <w:t xml:space="preserve"> </w:t>
      </w:r>
      <w:r>
        <w:t>A 2019 Pennsylvania study found</w:t>
      </w:r>
      <w:r>
        <w:rPr>
          <w:spacing w:val="-1"/>
        </w:rPr>
        <w:t xml:space="preserve"> </w:t>
      </w:r>
      <w:r>
        <w:t>that</w:t>
      </w:r>
      <w:r>
        <w:rPr>
          <w:spacing w:val="-2"/>
        </w:rPr>
        <w:t xml:space="preserve"> </w:t>
      </w:r>
      <w:r>
        <w:t>47%</w:t>
      </w:r>
      <w:r>
        <w:rPr>
          <w:spacing w:val="-2"/>
        </w:rPr>
        <w:t xml:space="preserve"> </w:t>
      </w:r>
      <w:r>
        <w:t>of</w:t>
      </w:r>
      <w:r>
        <w:rPr>
          <w:spacing w:val="-2"/>
        </w:rPr>
        <w:t xml:space="preserve"> </w:t>
      </w:r>
      <w:r>
        <w:t>surveyed</w:t>
      </w:r>
      <w:r>
        <w:rPr>
          <w:spacing w:val="-1"/>
        </w:rPr>
        <w:t xml:space="preserve"> </w:t>
      </w:r>
      <w:r>
        <w:t>insurance plans</w:t>
      </w:r>
      <w:r>
        <w:rPr>
          <w:spacing w:val="-2"/>
        </w:rPr>
        <w:t xml:space="preserve"> </w:t>
      </w:r>
      <w:r>
        <w:t>contained</w:t>
      </w:r>
      <w:r>
        <w:rPr>
          <w:spacing w:val="-1"/>
        </w:rPr>
        <w:t xml:space="preserve"> </w:t>
      </w:r>
      <w:r>
        <w:t>at least</w:t>
      </w:r>
      <w:r>
        <w:rPr>
          <w:spacing w:val="-2"/>
        </w:rPr>
        <w:t xml:space="preserve"> </w:t>
      </w:r>
      <w:r>
        <w:t>one</w:t>
      </w:r>
      <w:r>
        <w:rPr>
          <w:spacing w:val="-2"/>
        </w:rPr>
        <w:t xml:space="preserve"> </w:t>
      </w:r>
      <w:r>
        <w:t>transgender-specific</w:t>
      </w:r>
      <w:r>
        <w:rPr>
          <w:spacing w:val="-2"/>
        </w:rPr>
        <w:t xml:space="preserve"> </w:t>
      </w:r>
      <w:r>
        <w:t>exclusion</w:t>
      </w:r>
      <w:r>
        <w:rPr>
          <w:spacing w:val="-1"/>
        </w:rPr>
        <w:t xml:space="preserve"> </w:t>
      </w:r>
      <w:r>
        <w:t>policy, and</w:t>
      </w:r>
      <w:r>
        <w:rPr>
          <w:spacing w:val="18"/>
        </w:rPr>
        <w:t xml:space="preserve"> </w:t>
      </w:r>
      <w:r>
        <w:t>33%</w:t>
      </w:r>
      <w:r>
        <w:rPr>
          <w:spacing w:val="19"/>
        </w:rPr>
        <w:t xml:space="preserve"> </w:t>
      </w:r>
      <w:r>
        <w:t>flagged</w:t>
      </w:r>
      <w:r>
        <w:rPr>
          <w:spacing w:val="17"/>
        </w:rPr>
        <w:t xml:space="preserve"> </w:t>
      </w:r>
      <w:r>
        <w:t>or</w:t>
      </w:r>
      <w:r>
        <w:rPr>
          <w:spacing w:val="19"/>
        </w:rPr>
        <w:t xml:space="preserve"> </w:t>
      </w:r>
      <w:r>
        <w:t>denied</w:t>
      </w:r>
      <w:r>
        <w:rPr>
          <w:spacing w:val="18"/>
        </w:rPr>
        <w:t xml:space="preserve"> </w:t>
      </w:r>
      <w:r>
        <w:t>coverage</w:t>
      </w:r>
      <w:r>
        <w:rPr>
          <w:spacing w:val="18"/>
        </w:rPr>
        <w:t xml:space="preserve"> </w:t>
      </w:r>
      <w:r>
        <w:t>based</w:t>
      </w:r>
      <w:r>
        <w:rPr>
          <w:spacing w:val="16"/>
        </w:rPr>
        <w:t xml:space="preserve"> </w:t>
      </w:r>
      <w:r>
        <w:t>on</w:t>
      </w:r>
      <w:r>
        <w:rPr>
          <w:spacing w:val="19"/>
        </w:rPr>
        <w:t xml:space="preserve"> </w:t>
      </w:r>
      <w:r>
        <w:t>gender</w:t>
      </w:r>
      <w:r>
        <w:rPr>
          <w:spacing w:val="19"/>
        </w:rPr>
        <w:t xml:space="preserve"> </w:t>
      </w:r>
      <w:r>
        <w:t>markers.</w:t>
      </w:r>
      <w:hyperlink w:anchor="_bookmark405" w:history="1">
        <w:r>
          <w:rPr>
            <w:vertAlign w:val="superscript"/>
          </w:rPr>
          <w:t>54</w:t>
        </w:r>
      </w:hyperlink>
      <w:r>
        <w:rPr>
          <w:spacing w:val="47"/>
        </w:rPr>
        <w:t xml:space="preserve"> </w:t>
      </w:r>
      <w:r>
        <w:t>More</w:t>
      </w:r>
      <w:r>
        <w:rPr>
          <w:spacing w:val="20"/>
        </w:rPr>
        <w:t xml:space="preserve"> </w:t>
      </w:r>
      <w:r>
        <w:t>resear</w:t>
      </w:r>
      <w:r>
        <w:t>ch</w:t>
      </w:r>
      <w:r>
        <w:rPr>
          <w:spacing w:val="18"/>
        </w:rPr>
        <w:t xml:space="preserve"> </w:t>
      </w:r>
      <w:r>
        <w:t>needs</w:t>
      </w:r>
      <w:r>
        <w:rPr>
          <w:spacing w:val="19"/>
        </w:rPr>
        <w:t xml:space="preserve"> </w:t>
      </w:r>
      <w:r>
        <w:t>to</w:t>
      </w:r>
      <w:r>
        <w:rPr>
          <w:spacing w:val="21"/>
        </w:rPr>
        <w:t xml:space="preserve"> </w:t>
      </w:r>
      <w:r>
        <w:t>be</w:t>
      </w:r>
      <w:r>
        <w:rPr>
          <w:spacing w:val="17"/>
        </w:rPr>
        <w:t xml:space="preserve"> </w:t>
      </w:r>
      <w:r>
        <w:t>done</w:t>
      </w:r>
      <w:r>
        <w:rPr>
          <w:spacing w:val="18"/>
        </w:rPr>
        <w:t xml:space="preserve"> </w:t>
      </w:r>
      <w:r>
        <w:rPr>
          <w:spacing w:val="-5"/>
        </w:rPr>
        <w:t>to</w:t>
      </w:r>
    </w:p>
    <w:p w:rsidR="00200FDA" w:rsidRDefault="00200FDA">
      <w:pPr>
        <w:spacing w:line="276" w:lineRule="auto"/>
        <w:jc w:val="both"/>
        <w:sectPr w:rsidR="00200FDA">
          <w:pgSz w:w="12240" w:h="15840"/>
          <w:pgMar w:top="1360" w:right="1300" w:bottom="1380" w:left="1300" w:header="761" w:footer="1132" w:gutter="0"/>
          <w:cols w:space="720"/>
        </w:sectPr>
      </w:pPr>
    </w:p>
    <w:p w:rsidR="00200FDA" w:rsidRDefault="00F76C4C">
      <w:pPr>
        <w:pStyle w:val="BodyText"/>
        <w:spacing w:before="64" w:line="276" w:lineRule="auto"/>
        <w:ind w:left="140" w:right="137"/>
        <w:jc w:val="both"/>
      </w:pPr>
      <w:r>
        <w:lastRenderedPageBreak/>
        <w:t>examine</w:t>
      </w:r>
      <w:r>
        <w:rPr>
          <w:spacing w:val="-1"/>
        </w:rPr>
        <w:t xml:space="preserve"> </w:t>
      </w:r>
      <w:r>
        <w:t>how</w:t>
      </w:r>
      <w:r>
        <w:rPr>
          <w:spacing w:val="-1"/>
        </w:rPr>
        <w:t xml:space="preserve"> </w:t>
      </w:r>
      <w:r>
        <w:t>LGBTQ</w:t>
      </w:r>
      <w:r>
        <w:rPr>
          <w:spacing w:val="-2"/>
        </w:rPr>
        <w:t xml:space="preserve"> </w:t>
      </w:r>
      <w:r>
        <w:t>youth</w:t>
      </w:r>
      <w:r>
        <w:rPr>
          <w:spacing w:val="-5"/>
        </w:rPr>
        <w:t xml:space="preserve"> </w:t>
      </w:r>
      <w:r>
        <w:t>in</w:t>
      </w:r>
      <w:r>
        <w:rPr>
          <w:spacing w:val="-3"/>
        </w:rPr>
        <w:t xml:space="preserve"> </w:t>
      </w:r>
      <w:r>
        <w:t>Massachusetts</w:t>
      </w:r>
      <w:r>
        <w:rPr>
          <w:spacing w:val="-2"/>
        </w:rPr>
        <w:t xml:space="preserve"> </w:t>
      </w:r>
      <w:r>
        <w:t>are</w:t>
      </w:r>
      <w:r>
        <w:rPr>
          <w:spacing w:val="-1"/>
        </w:rPr>
        <w:t xml:space="preserve"> </w:t>
      </w:r>
      <w:r>
        <w:t>being</w:t>
      </w:r>
      <w:r>
        <w:rPr>
          <w:spacing w:val="-3"/>
        </w:rPr>
        <w:t xml:space="preserve"> </w:t>
      </w:r>
      <w:r>
        <w:t>impacted,</w:t>
      </w:r>
      <w:r>
        <w:rPr>
          <w:spacing w:val="-2"/>
        </w:rPr>
        <w:t xml:space="preserve"> </w:t>
      </w:r>
      <w:r>
        <w:t>and</w:t>
      </w:r>
      <w:r>
        <w:rPr>
          <w:spacing w:val="-3"/>
        </w:rPr>
        <w:t xml:space="preserve"> </w:t>
      </w:r>
      <w:r>
        <w:t>what</w:t>
      </w:r>
      <w:r>
        <w:rPr>
          <w:spacing w:val="-1"/>
        </w:rPr>
        <w:t xml:space="preserve"> </w:t>
      </w:r>
      <w:r>
        <w:t>additional</w:t>
      </w:r>
      <w:r>
        <w:rPr>
          <w:spacing w:val="-2"/>
        </w:rPr>
        <w:t xml:space="preserve"> </w:t>
      </w:r>
      <w:r>
        <w:t>insurance</w:t>
      </w:r>
      <w:r>
        <w:rPr>
          <w:spacing w:val="-1"/>
        </w:rPr>
        <w:t xml:space="preserve"> </w:t>
      </w:r>
      <w:r>
        <w:t>barriers exist beyond exclusions, such as prior authorizations and denials.</w:t>
      </w:r>
    </w:p>
    <w:p w:rsidR="00200FDA" w:rsidRDefault="00F76C4C">
      <w:pPr>
        <w:pStyle w:val="BodyText"/>
        <w:spacing w:before="119" w:line="276" w:lineRule="auto"/>
        <w:ind w:left="139" w:right="4245"/>
        <w:jc w:val="both"/>
      </w:pPr>
      <w:r>
        <w:rPr>
          <w:noProof/>
        </w:rPr>
        <w:drawing>
          <wp:anchor distT="0" distB="0" distL="0" distR="0" simplePos="0" relativeHeight="15773696" behindDoc="0" locked="0" layoutInCell="1" allowOverlap="1">
            <wp:simplePos x="0" y="0"/>
            <wp:positionH relativeFrom="page">
              <wp:posOffset>4361813</wp:posOffset>
            </wp:positionH>
            <wp:positionV relativeFrom="paragraph">
              <wp:posOffset>112306</wp:posOffset>
            </wp:positionV>
            <wp:extent cx="2496185" cy="2496185"/>
            <wp:effectExtent l="0" t="0" r="0" b="0"/>
            <wp:wrapNone/>
            <wp:docPr id="65"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0.jpeg"/>
                    <pic:cNvPicPr/>
                  </pic:nvPicPr>
                  <pic:blipFill>
                    <a:blip r:embed="rId366" cstate="print"/>
                    <a:stretch>
                      <a:fillRect/>
                    </a:stretch>
                  </pic:blipFill>
                  <pic:spPr>
                    <a:xfrm>
                      <a:off x="0" y="0"/>
                      <a:ext cx="2496185" cy="2496185"/>
                    </a:xfrm>
                    <a:prstGeom prst="rect">
                      <a:avLst/>
                    </a:prstGeom>
                  </pic:spPr>
                </pic:pic>
              </a:graphicData>
            </a:graphic>
          </wp:anchor>
        </w:drawing>
      </w:r>
      <w:r>
        <w:t>Further barriers in Massachusetts include safety in healthcare facilities. In the last year, security has emerged as a serious threat to pediatric gender-affirming care spaces.</w:t>
      </w:r>
      <w:r>
        <w:rPr>
          <w:spacing w:val="-13"/>
        </w:rPr>
        <w:t xml:space="preserve"> </w:t>
      </w:r>
      <w:r>
        <w:t>In</w:t>
      </w:r>
      <w:r>
        <w:rPr>
          <w:spacing w:val="-12"/>
        </w:rPr>
        <w:t xml:space="preserve"> </w:t>
      </w:r>
      <w:r>
        <w:t>August</w:t>
      </w:r>
      <w:r>
        <w:rPr>
          <w:spacing w:val="-13"/>
        </w:rPr>
        <w:t xml:space="preserve"> </w:t>
      </w:r>
      <w:r>
        <w:t>of</w:t>
      </w:r>
      <w:r>
        <w:rPr>
          <w:spacing w:val="-12"/>
        </w:rPr>
        <w:t xml:space="preserve"> </w:t>
      </w:r>
      <w:r>
        <w:t>2022,</w:t>
      </w:r>
      <w:r>
        <w:rPr>
          <w:spacing w:val="-13"/>
        </w:rPr>
        <w:t xml:space="preserve"> </w:t>
      </w:r>
      <w:r>
        <w:t>Boston</w:t>
      </w:r>
      <w:r>
        <w:rPr>
          <w:spacing w:val="-12"/>
        </w:rPr>
        <w:t xml:space="preserve"> </w:t>
      </w:r>
      <w:r>
        <w:t>Children’s</w:t>
      </w:r>
      <w:r>
        <w:rPr>
          <w:spacing w:val="-13"/>
        </w:rPr>
        <w:t xml:space="preserve"> </w:t>
      </w:r>
      <w:r>
        <w:t>Hospital</w:t>
      </w:r>
      <w:r>
        <w:rPr>
          <w:spacing w:val="-12"/>
        </w:rPr>
        <w:t xml:space="preserve"> </w:t>
      </w:r>
      <w:r>
        <w:t>began receiving daily death threa</w:t>
      </w:r>
      <w:r>
        <w:t>ts, bomb threats, and hate mail as a result of a right-wing Twitter account that falsely accused the hospital of performing hysterectomies on children.</w:t>
      </w:r>
      <w:r>
        <w:rPr>
          <w:spacing w:val="-13"/>
        </w:rPr>
        <w:t xml:space="preserve"> </w:t>
      </w:r>
      <w:hyperlink w:anchor="_bookmark406" w:history="1">
        <w:r>
          <w:rPr>
            <w:vertAlign w:val="superscript"/>
          </w:rPr>
          <w:t>55</w:t>
        </w:r>
      </w:hyperlink>
      <w:r>
        <w:rPr>
          <w:spacing w:val="-5"/>
        </w:rPr>
        <w:t xml:space="preserve"> </w:t>
      </w:r>
      <w:r>
        <w:t xml:space="preserve">Staff have reported feeling afraid to come to work and several staff </w:t>
      </w:r>
      <w:r>
        <w:t>members expressed concern that the</w:t>
      </w:r>
      <w:r>
        <w:rPr>
          <w:spacing w:val="-6"/>
        </w:rPr>
        <w:t xml:space="preserve"> </w:t>
      </w:r>
      <w:r>
        <w:t>threat</w:t>
      </w:r>
      <w:r>
        <w:rPr>
          <w:spacing w:val="-8"/>
        </w:rPr>
        <w:t xml:space="preserve"> </w:t>
      </w:r>
      <w:r>
        <w:t>of</w:t>
      </w:r>
      <w:r>
        <w:rPr>
          <w:spacing w:val="-7"/>
        </w:rPr>
        <w:t xml:space="preserve"> </w:t>
      </w:r>
      <w:r>
        <w:t>violence</w:t>
      </w:r>
      <w:r>
        <w:rPr>
          <w:spacing w:val="-6"/>
        </w:rPr>
        <w:t xml:space="preserve"> </w:t>
      </w:r>
      <w:r>
        <w:t>would</w:t>
      </w:r>
      <w:r>
        <w:rPr>
          <w:spacing w:val="-7"/>
        </w:rPr>
        <w:t xml:space="preserve"> </w:t>
      </w:r>
      <w:r>
        <w:t>deter</w:t>
      </w:r>
      <w:r>
        <w:rPr>
          <w:spacing w:val="-6"/>
        </w:rPr>
        <w:t xml:space="preserve"> </w:t>
      </w:r>
      <w:r>
        <w:t>clinicians</w:t>
      </w:r>
      <w:r>
        <w:rPr>
          <w:spacing w:val="-6"/>
        </w:rPr>
        <w:t xml:space="preserve"> </w:t>
      </w:r>
      <w:r>
        <w:t>from</w:t>
      </w:r>
      <w:r>
        <w:rPr>
          <w:spacing w:val="-5"/>
        </w:rPr>
        <w:t xml:space="preserve"> </w:t>
      </w:r>
      <w:r>
        <w:t>choosing to work in the field; despite the lack of continued media attention, the Commission understands from its own conversations with providers and advocates that the secu</w:t>
      </w:r>
      <w:r>
        <w:t>rity threats have continued into 2023.</w:t>
      </w:r>
    </w:p>
    <w:p w:rsidR="00200FDA" w:rsidRDefault="00F76C4C">
      <w:pPr>
        <w:pStyle w:val="BodyText"/>
        <w:spacing w:before="121" w:line="276" w:lineRule="auto"/>
        <w:ind w:left="139" w:right="133"/>
        <w:jc w:val="both"/>
      </w:pPr>
      <w:r>
        <w:t>At every level - local, state, and federal - youth, families, educators, and providers have continued to endure</w:t>
      </w:r>
      <w:r>
        <w:rPr>
          <w:spacing w:val="-4"/>
        </w:rPr>
        <w:t xml:space="preserve"> </w:t>
      </w:r>
      <w:r>
        <w:t>online</w:t>
      </w:r>
      <w:r>
        <w:rPr>
          <w:spacing w:val="-4"/>
        </w:rPr>
        <w:t xml:space="preserve"> </w:t>
      </w:r>
      <w:r>
        <w:t>harassment</w:t>
      </w:r>
      <w:r>
        <w:rPr>
          <w:spacing w:val="-6"/>
        </w:rPr>
        <w:t xml:space="preserve"> </w:t>
      </w:r>
      <w:r>
        <w:t>and</w:t>
      </w:r>
      <w:r>
        <w:rPr>
          <w:spacing w:val="-5"/>
        </w:rPr>
        <w:t xml:space="preserve"> </w:t>
      </w:r>
      <w:r>
        <w:t>threats</w:t>
      </w:r>
      <w:r>
        <w:rPr>
          <w:spacing w:val="-4"/>
        </w:rPr>
        <w:t xml:space="preserve"> </w:t>
      </w:r>
      <w:r>
        <w:t>into</w:t>
      </w:r>
      <w:r>
        <w:rPr>
          <w:spacing w:val="-5"/>
        </w:rPr>
        <w:t xml:space="preserve"> </w:t>
      </w:r>
      <w:r>
        <w:t>2023.</w:t>
      </w:r>
      <w:r>
        <w:rPr>
          <w:spacing w:val="-5"/>
        </w:rPr>
        <w:t xml:space="preserve"> </w:t>
      </w:r>
      <w:r>
        <w:t>As</w:t>
      </w:r>
      <w:r>
        <w:rPr>
          <w:spacing w:val="-4"/>
        </w:rPr>
        <w:t xml:space="preserve"> </w:t>
      </w:r>
      <w:r>
        <w:t>highlighted</w:t>
      </w:r>
      <w:r>
        <w:rPr>
          <w:spacing w:val="-5"/>
        </w:rPr>
        <w:t xml:space="preserve"> </w:t>
      </w:r>
      <w:r>
        <w:t>throughout</w:t>
      </w:r>
      <w:r>
        <w:rPr>
          <w:spacing w:val="-4"/>
        </w:rPr>
        <w:t xml:space="preserve"> </w:t>
      </w:r>
      <w:r>
        <w:t>this</w:t>
      </w:r>
      <w:r>
        <w:rPr>
          <w:spacing w:val="-4"/>
        </w:rPr>
        <w:t xml:space="preserve"> </w:t>
      </w:r>
      <w:r>
        <w:t>annual</w:t>
      </w:r>
      <w:r>
        <w:rPr>
          <w:spacing w:val="-5"/>
        </w:rPr>
        <w:t xml:space="preserve"> </w:t>
      </w:r>
      <w:r>
        <w:t>report,</w:t>
      </w:r>
      <w:r>
        <w:rPr>
          <w:spacing w:val="-4"/>
        </w:rPr>
        <w:t xml:space="preserve"> </w:t>
      </w:r>
      <w:r>
        <w:t>the</w:t>
      </w:r>
      <w:r>
        <w:rPr>
          <w:spacing w:val="-4"/>
        </w:rPr>
        <w:t xml:space="preserve"> </w:t>
      </w:r>
      <w:r>
        <w:t>rights of</w:t>
      </w:r>
      <w:r>
        <w:rPr>
          <w:spacing w:val="-1"/>
        </w:rPr>
        <w:t xml:space="preserve"> </w:t>
      </w:r>
      <w:r>
        <w:t>LGBTQ</w:t>
      </w:r>
      <w:r>
        <w:rPr>
          <w:spacing w:val="-1"/>
        </w:rPr>
        <w:t xml:space="preserve"> </w:t>
      </w:r>
      <w:r>
        <w:t>youth</w:t>
      </w:r>
      <w:r>
        <w:rPr>
          <w:spacing w:val="-2"/>
        </w:rPr>
        <w:t xml:space="preserve"> </w:t>
      </w:r>
      <w:r>
        <w:t>-</w:t>
      </w:r>
      <w:r>
        <w:rPr>
          <w:spacing w:val="-1"/>
        </w:rPr>
        <w:t xml:space="preserve"> </w:t>
      </w:r>
      <w:r>
        <w:t>particularly</w:t>
      </w:r>
      <w:r>
        <w:rPr>
          <w:spacing w:val="-1"/>
        </w:rPr>
        <w:t xml:space="preserve"> </w:t>
      </w:r>
      <w:r>
        <w:t>those</w:t>
      </w:r>
      <w:r>
        <w:rPr>
          <w:spacing w:val="-1"/>
        </w:rPr>
        <w:t xml:space="preserve"> </w:t>
      </w:r>
      <w:r>
        <w:t>who</w:t>
      </w:r>
      <w:r>
        <w:rPr>
          <w:spacing w:val="-1"/>
        </w:rPr>
        <w:t xml:space="preserve"> </w:t>
      </w:r>
      <w:r>
        <w:t>are</w:t>
      </w:r>
      <w:r>
        <w:rPr>
          <w:spacing w:val="-1"/>
        </w:rPr>
        <w:t xml:space="preserve"> </w:t>
      </w:r>
      <w:r>
        <w:t>BIPOC,</w:t>
      </w:r>
      <w:r>
        <w:rPr>
          <w:spacing w:val="-1"/>
        </w:rPr>
        <w:t xml:space="preserve"> </w:t>
      </w:r>
      <w:r>
        <w:t>trans</w:t>
      </w:r>
      <w:r>
        <w:rPr>
          <w:spacing w:val="-1"/>
        </w:rPr>
        <w:t xml:space="preserve"> </w:t>
      </w:r>
      <w:r>
        <w:t>and</w:t>
      </w:r>
      <w:r>
        <w:rPr>
          <w:spacing w:val="-2"/>
        </w:rPr>
        <w:t xml:space="preserve"> </w:t>
      </w:r>
      <w:r>
        <w:t>gender</w:t>
      </w:r>
      <w:r>
        <w:rPr>
          <w:spacing w:val="-1"/>
        </w:rPr>
        <w:t xml:space="preserve"> </w:t>
      </w:r>
      <w:r>
        <w:t>expansive</w:t>
      </w:r>
      <w:r>
        <w:rPr>
          <w:spacing w:val="-1"/>
        </w:rPr>
        <w:t xml:space="preserve"> </w:t>
      </w:r>
      <w:r>
        <w:t>-</w:t>
      </w:r>
      <w:r>
        <w:rPr>
          <w:spacing w:val="-2"/>
        </w:rPr>
        <w:t xml:space="preserve"> </w:t>
      </w:r>
      <w:r>
        <w:t>are</w:t>
      </w:r>
      <w:r>
        <w:rPr>
          <w:spacing w:val="-1"/>
        </w:rPr>
        <w:t xml:space="preserve"> </w:t>
      </w:r>
      <w:r>
        <w:t>under</w:t>
      </w:r>
      <w:r>
        <w:rPr>
          <w:spacing w:val="-1"/>
        </w:rPr>
        <w:t xml:space="preserve"> </w:t>
      </w:r>
      <w:r>
        <w:t>attack</w:t>
      </w:r>
      <w:r>
        <w:rPr>
          <w:spacing w:val="-1"/>
        </w:rPr>
        <w:t xml:space="preserve"> </w:t>
      </w:r>
      <w:r>
        <w:t>across the country, and even in Massachusetts. In 2022, at least 18 states considered or passed legislation banning gender-affirming care,</w:t>
      </w:r>
      <w:hyperlink w:anchor="_bookmark407" w:history="1">
        <w:r>
          <w:rPr>
            <w:vertAlign w:val="superscript"/>
          </w:rPr>
          <w:t>56</w:t>
        </w:r>
      </w:hyperlink>
      <w:r>
        <w:rPr>
          <w:spacing w:val="-3"/>
        </w:rPr>
        <w:t xml:space="preserve"> </w:t>
      </w:r>
      <w:r>
        <w:t>and lawmakers introduced 306 bills specifically targeting transgender communities, 86% of which focused on trans youth - 15% of those bills became law.</w:t>
      </w:r>
      <w:hyperlink w:anchor="_bookmark408" w:history="1">
        <w:r>
          <w:rPr>
            <w:vertAlign w:val="superscript"/>
          </w:rPr>
          <w:t>57</w:t>
        </w:r>
      </w:hyperlink>
      <w:r>
        <w:t xml:space="preserve"> This trend has exploded into 2023; as of the end of April, </w:t>
      </w:r>
      <w:r>
        <w:t>469 have been introduced targeting LGBTQ youth from prohibiting gender-affirming care to preventing teachings of gender, sexuality, and race in schools.</w:t>
      </w:r>
      <w:hyperlink w:anchor="_bookmark409" w:history="1">
        <w:r>
          <w:rPr>
            <w:vertAlign w:val="superscript"/>
          </w:rPr>
          <w:t>58</w:t>
        </w:r>
      </w:hyperlink>
    </w:p>
    <w:p w:rsidR="00200FDA" w:rsidRDefault="00F76C4C">
      <w:pPr>
        <w:pStyle w:val="BodyText"/>
        <w:spacing w:before="119" w:line="276" w:lineRule="auto"/>
        <w:ind w:left="139" w:right="133"/>
        <w:jc w:val="both"/>
      </w:pPr>
      <w:r>
        <w:t>The constant barrage of attacks and anti-trans and anti-Black rhetori</w:t>
      </w:r>
      <w:r>
        <w:t>c has had profound implications for transgender and gender expansive youth and youth of color who are coming of age in an atmosphere of fear,</w:t>
      </w:r>
      <w:r>
        <w:rPr>
          <w:spacing w:val="-11"/>
        </w:rPr>
        <w:t xml:space="preserve"> </w:t>
      </w:r>
      <w:r>
        <w:t>anxiety,</w:t>
      </w:r>
      <w:r>
        <w:rPr>
          <w:spacing w:val="-11"/>
        </w:rPr>
        <w:t xml:space="preserve"> </w:t>
      </w:r>
      <w:r>
        <w:t>and</w:t>
      </w:r>
      <w:r>
        <w:rPr>
          <w:spacing w:val="-12"/>
        </w:rPr>
        <w:t xml:space="preserve"> </w:t>
      </w:r>
      <w:r>
        <w:t>violence.</w:t>
      </w:r>
      <w:r>
        <w:rPr>
          <w:spacing w:val="-12"/>
        </w:rPr>
        <w:t xml:space="preserve"> </w:t>
      </w:r>
      <w:r>
        <w:t>Many</w:t>
      </w:r>
      <w:r>
        <w:rPr>
          <w:spacing w:val="-11"/>
        </w:rPr>
        <w:t xml:space="preserve"> </w:t>
      </w:r>
      <w:r>
        <w:t>transgender</w:t>
      </w:r>
      <w:r>
        <w:rPr>
          <w:spacing w:val="-11"/>
        </w:rPr>
        <w:t xml:space="preserve"> </w:t>
      </w:r>
      <w:r>
        <w:t>and</w:t>
      </w:r>
      <w:r>
        <w:rPr>
          <w:spacing w:val="-12"/>
        </w:rPr>
        <w:t xml:space="preserve"> </w:t>
      </w:r>
      <w:r>
        <w:t>gender</w:t>
      </w:r>
      <w:r>
        <w:rPr>
          <w:spacing w:val="-12"/>
        </w:rPr>
        <w:t xml:space="preserve"> </w:t>
      </w:r>
      <w:r>
        <w:t>expansive</w:t>
      </w:r>
      <w:r>
        <w:rPr>
          <w:spacing w:val="-11"/>
        </w:rPr>
        <w:t xml:space="preserve"> </w:t>
      </w:r>
      <w:r>
        <w:t>youth,</w:t>
      </w:r>
      <w:r>
        <w:rPr>
          <w:spacing w:val="-11"/>
        </w:rPr>
        <w:t xml:space="preserve"> </w:t>
      </w:r>
      <w:r>
        <w:t>even</w:t>
      </w:r>
      <w:r>
        <w:rPr>
          <w:spacing w:val="-12"/>
        </w:rPr>
        <w:t xml:space="preserve"> </w:t>
      </w:r>
      <w:r>
        <w:t>in</w:t>
      </w:r>
      <w:r>
        <w:rPr>
          <w:spacing w:val="-12"/>
        </w:rPr>
        <w:t xml:space="preserve"> </w:t>
      </w:r>
      <w:r>
        <w:t>Massachusetts,</w:t>
      </w:r>
      <w:r>
        <w:rPr>
          <w:spacing w:val="-11"/>
        </w:rPr>
        <w:t xml:space="preserve"> </w:t>
      </w:r>
      <w:r>
        <w:t>report feeling</w:t>
      </w:r>
      <w:r>
        <w:rPr>
          <w:spacing w:val="-13"/>
        </w:rPr>
        <w:t xml:space="preserve"> </w:t>
      </w:r>
      <w:r>
        <w:t>concerned</w:t>
      </w:r>
      <w:r>
        <w:rPr>
          <w:spacing w:val="-12"/>
        </w:rPr>
        <w:t xml:space="preserve"> </w:t>
      </w:r>
      <w:r>
        <w:t>that</w:t>
      </w:r>
      <w:r>
        <w:rPr>
          <w:spacing w:val="-13"/>
        </w:rPr>
        <w:t xml:space="preserve"> </w:t>
      </w:r>
      <w:r>
        <w:t>their</w:t>
      </w:r>
      <w:r>
        <w:rPr>
          <w:spacing w:val="-12"/>
        </w:rPr>
        <w:t xml:space="preserve"> </w:t>
      </w:r>
      <w:r>
        <w:t>state</w:t>
      </w:r>
      <w:r>
        <w:rPr>
          <w:spacing w:val="-13"/>
        </w:rPr>
        <w:t xml:space="preserve"> </w:t>
      </w:r>
      <w:r>
        <w:t>or</w:t>
      </w:r>
      <w:r>
        <w:rPr>
          <w:spacing w:val="-12"/>
        </w:rPr>
        <w:t xml:space="preserve"> </w:t>
      </w:r>
      <w:r>
        <w:t>local</w:t>
      </w:r>
      <w:r>
        <w:rPr>
          <w:spacing w:val="-13"/>
        </w:rPr>
        <w:t xml:space="preserve"> </w:t>
      </w:r>
      <w:r>
        <w:t>areas</w:t>
      </w:r>
      <w:r>
        <w:rPr>
          <w:spacing w:val="-12"/>
        </w:rPr>
        <w:t xml:space="preserve"> </w:t>
      </w:r>
      <w:r>
        <w:t>will</w:t>
      </w:r>
      <w:r>
        <w:rPr>
          <w:spacing w:val="-12"/>
        </w:rPr>
        <w:t xml:space="preserve"> </w:t>
      </w:r>
      <w:r>
        <w:t>pass</w:t>
      </w:r>
      <w:r>
        <w:rPr>
          <w:spacing w:val="-13"/>
        </w:rPr>
        <w:t xml:space="preserve"> </w:t>
      </w:r>
      <w:r>
        <w:t>anti-transgender</w:t>
      </w:r>
      <w:r>
        <w:rPr>
          <w:spacing w:val="-12"/>
        </w:rPr>
        <w:t xml:space="preserve"> </w:t>
      </w:r>
      <w:r>
        <w:t>legislation,</w:t>
      </w:r>
      <w:r>
        <w:rPr>
          <w:spacing w:val="-13"/>
        </w:rPr>
        <w:t xml:space="preserve"> </w:t>
      </w:r>
      <w:r>
        <w:t>and</w:t>
      </w:r>
      <w:r>
        <w:rPr>
          <w:spacing w:val="-12"/>
        </w:rPr>
        <w:t xml:space="preserve"> </w:t>
      </w:r>
      <w:r>
        <w:t>this</w:t>
      </w:r>
      <w:r>
        <w:rPr>
          <w:spacing w:val="-13"/>
        </w:rPr>
        <w:t xml:space="preserve"> </w:t>
      </w:r>
      <w:r>
        <w:t>fear</w:t>
      </w:r>
      <w:r>
        <w:rPr>
          <w:spacing w:val="-12"/>
        </w:rPr>
        <w:t xml:space="preserve"> </w:t>
      </w:r>
      <w:r>
        <w:t>is</w:t>
      </w:r>
      <w:r>
        <w:rPr>
          <w:spacing w:val="-12"/>
        </w:rPr>
        <w:t xml:space="preserve"> </w:t>
      </w:r>
      <w:r>
        <w:t>linked to</w:t>
      </w:r>
      <w:r>
        <w:rPr>
          <w:spacing w:val="-3"/>
        </w:rPr>
        <w:t xml:space="preserve"> </w:t>
      </w:r>
      <w:r>
        <w:t>higher</w:t>
      </w:r>
      <w:r>
        <w:rPr>
          <w:spacing w:val="-4"/>
        </w:rPr>
        <w:t xml:space="preserve"> </w:t>
      </w:r>
      <w:r>
        <w:t>rates</w:t>
      </w:r>
      <w:r>
        <w:rPr>
          <w:spacing w:val="-4"/>
        </w:rPr>
        <w:t xml:space="preserve"> </w:t>
      </w:r>
      <w:r>
        <w:t>of</w:t>
      </w:r>
      <w:r>
        <w:rPr>
          <w:spacing w:val="-5"/>
        </w:rPr>
        <w:t xml:space="preserve"> </w:t>
      </w:r>
      <w:r>
        <w:t>depression,</w:t>
      </w:r>
      <w:r>
        <w:rPr>
          <w:spacing w:val="-4"/>
        </w:rPr>
        <w:t xml:space="preserve"> </w:t>
      </w:r>
      <w:r>
        <w:t>anxiety,</w:t>
      </w:r>
      <w:r>
        <w:rPr>
          <w:spacing w:val="-4"/>
        </w:rPr>
        <w:t xml:space="preserve"> </w:t>
      </w:r>
      <w:r>
        <w:t>and</w:t>
      </w:r>
      <w:r>
        <w:rPr>
          <w:spacing w:val="-6"/>
        </w:rPr>
        <w:t xml:space="preserve"> </w:t>
      </w:r>
      <w:r>
        <w:t>PTSD.</w:t>
      </w:r>
      <w:hyperlink w:anchor="_bookmark410" w:history="1">
        <w:r>
          <w:rPr>
            <w:vertAlign w:val="superscript"/>
          </w:rPr>
          <w:t>59</w:t>
        </w:r>
      </w:hyperlink>
      <w:r>
        <w:rPr>
          <w:spacing w:val="-3"/>
        </w:rPr>
        <w:t xml:space="preserve"> </w:t>
      </w:r>
      <w:r>
        <w:t>Exposure</w:t>
      </w:r>
      <w:r>
        <w:rPr>
          <w:spacing w:val="-4"/>
        </w:rPr>
        <w:t xml:space="preserve"> </w:t>
      </w:r>
      <w:r>
        <w:t>to</w:t>
      </w:r>
      <w:r>
        <w:rPr>
          <w:spacing w:val="-3"/>
        </w:rPr>
        <w:t xml:space="preserve"> </w:t>
      </w:r>
      <w:r>
        <w:t>debates</w:t>
      </w:r>
      <w:r>
        <w:rPr>
          <w:spacing w:val="-4"/>
        </w:rPr>
        <w:t xml:space="preserve"> </w:t>
      </w:r>
      <w:r>
        <w:t>surrounding</w:t>
      </w:r>
      <w:r>
        <w:rPr>
          <w:spacing w:val="-5"/>
        </w:rPr>
        <w:t xml:space="preserve"> </w:t>
      </w:r>
      <w:r>
        <w:t>anti-trans</w:t>
      </w:r>
      <w:r>
        <w:rPr>
          <w:spacing w:val="-4"/>
        </w:rPr>
        <w:t xml:space="preserve"> </w:t>
      </w:r>
      <w:r>
        <w:t>legislation has been li</w:t>
      </w:r>
      <w:r>
        <w:t>nked to poor mental health in trans youth and crisis hotlines, like the Trevor Project, have reported a 150% increase in calls over the last year.</w:t>
      </w:r>
      <w:hyperlink w:anchor="_bookmark411" w:history="1">
        <w:r>
          <w:rPr>
            <w:vertAlign w:val="superscript"/>
          </w:rPr>
          <w:t>60</w:t>
        </w:r>
      </w:hyperlink>
    </w:p>
    <w:p w:rsidR="00200FDA" w:rsidRDefault="00F76C4C">
      <w:pPr>
        <w:pStyle w:val="BodyText"/>
        <w:spacing w:before="121" w:line="276" w:lineRule="auto"/>
        <w:ind w:left="139" w:right="133"/>
        <w:jc w:val="both"/>
      </w:pPr>
      <w:r>
        <w:t>In 2022, Massachusetts Governor Charlie Baker signed a law defining the legality of and protections for gender-affirming care in Massachusetts; the law also protected providers and patients from legal action from other states.</w:t>
      </w:r>
      <w:hyperlink w:anchor="_bookmark412" w:history="1">
        <w:r>
          <w:rPr>
            <w:vertAlign w:val="superscript"/>
          </w:rPr>
          <w:t>61</w:t>
        </w:r>
      </w:hyperlink>
      <w:r>
        <w:rPr>
          <w:spacing w:val="-1"/>
        </w:rPr>
        <w:t xml:space="preserve"> </w:t>
      </w:r>
      <w:r>
        <w:t>This is one of the most robust LGBTQ laws Massachusetts has passed to date, as it declares that gender-affirming care is legally protected healthcare, regardless of the patient's location. Certain</w:t>
      </w:r>
      <w:r>
        <w:rPr>
          <w:spacing w:val="-10"/>
        </w:rPr>
        <w:t xml:space="preserve"> </w:t>
      </w:r>
      <w:r>
        <w:t>states,</w:t>
      </w:r>
      <w:r>
        <w:rPr>
          <w:spacing w:val="-9"/>
        </w:rPr>
        <w:t xml:space="preserve"> </w:t>
      </w:r>
      <w:r>
        <w:t>like</w:t>
      </w:r>
      <w:r>
        <w:rPr>
          <w:spacing w:val="-8"/>
        </w:rPr>
        <w:t xml:space="preserve"> </w:t>
      </w:r>
      <w:r>
        <w:t>California,</w:t>
      </w:r>
      <w:r>
        <w:rPr>
          <w:spacing w:val="-9"/>
        </w:rPr>
        <w:t xml:space="preserve"> </w:t>
      </w:r>
      <w:r>
        <w:t>have</w:t>
      </w:r>
      <w:r>
        <w:rPr>
          <w:spacing w:val="-8"/>
        </w:rPr>
        <w:t xml:space="preserve"> </w:t>
      </w:r>
      <w:r>
        <w:t>gone</w:t>
      </w:r>
      <w:r>
        <w:rPr>
          <w:spacing w:val="-8"/>
        </w:rPr>
        <w:t xml:space="preserve"> </w:t>
      </w:r>
      <w:r>
        <w:t>further,</w:t>
      </w:r>
      <w:r>
        <w:rPr>
          <w:spacing w:val="-9"/>
        </w:rPr>
        <w:t xml:space="preserve"> </w:t>
      </w:r>
      <w:r>
        <w:t>introducin</w:t>
      </w:r>
      <w:r>
        <w:t>g</w:t>
      </w:r>
      <w:r>
        <w:rPr>
          <w:spacing w:val="-10"/>
        </w:rPr>
        <w:t xml:space="preserve"> </w:t>
      </w:r>
      <w:r>
        <w:t>legislation</w:t>
      </w:r>
      <w:r>
        <w:rPr>
          <w:spacing w:val="-10"/>
        </w:rPr>
        <w:t xml:space="preserve"> </w:t>
      </w:r>
      <w:r>
        <w:t>to</w:t>
      </w:r>
      <w:r>
        <w:rPr>
          <w:spacing w:val="-8"/>
        </w:rPr>
        <w:t xml:space="preserve"> </w:t>
      </w:r>
      <w:r>
        <w:t>support</w:t>
      </w:r>
      <w:r>
        <w:rPr>
          <w:spacing w:val="-11"/>
        </w:rPr>
        <w:t xml:space="preserve"> </w:t>
      </w:r>
      <w:r>
        <w:t>transgender</w:t>
      </w:r>
      <w:r>
        <w:rPr>
          <w:spacing w:val="-9"/>
        </w:rPr>
        <w:t xml:space="preserve"> </w:t>
      </w:r>
      <w:r>
        <w:t>youth</w:t>
      </w:r>
      <w:r>
        <w:rPr>
          <w:spacing w:val="-10"/>
        </w:rPr>
        <w:t xml:space="preserve"> </w:t>
      </w:r>
      <w:r>
        <w:t>and families fleeing states with anti-transgender policies, laws, and pending legislation.</w:t>
      </w:r>
      <w:hyperlink w:anchor="_bookmark413" w:history="1">
        <w:r>
          <w:rPr>
            <w:vertAlign w:val="superscript"/>
          </w:rPr>
          <w:t>62</w:t>
        </w:r>
      </w:hyperlink>
      <w:r>
        <w:t xml:space="preserve"> The Commission strongly recommends that the Massachusetts legislature explore further le</w:t>
      </w:r>
      <w:r>
        <w:t>gislation to protect LGBTQ youth and their families fleeing to Massachusetts, which has already begun to occur.</w:t>
      </w:r>
    </w:p>
    <w:p w:rsidR="00200FDA" w:rsidRDefault="00200FDA">
      <w:pPr>
        <w:spacing w:line="276" w:lineRule="auto"/>
        <w:jc w:val="both"/>
        <w:sectPr w:rsidR="00200FDA">
          <w:pgSz w:w="12240" w:h="15840"/>
          <w:pgMar w:top="1360" w:right="1300" w:bottom="1380" w:left="1300" w:header="761" w:footer="1132" w:gutter="0"/>
          <w:cols w:space="720"/>
        </w:sectPr>
      </w:pPr>
    </w:p>
    <w:p w:rsidR="00200FDA" w:rsidRDefault="00F76C4C">
      <w:pPr>
        <w:pStyle w:val="BodyText"/>
        <w:spacing w:before="64" w:line="276" w:lineRule="auto"/>
        <w:ind w:left="139" w:right="135"/>
        <w:jc w:val="both"/>
      </w:pPr>
      <w:r>
        <w:lastRenderedPageBreak/>
        <w:t>As highlighted above, despite gender-affirming care being a right in Massachusetts, patients continue to face barriers that includ</w:t>
      </w:r>
      <w:r>
        <w:t>e insurance exclusions, inconsistent coverage, wrongful denials of care, burdensome prior authorization processes, and low reimbursement rates leading to less economic incentive to provide this care.</w:t>
      </w:r>
      <w:hyperlink w:anchor="_bookmark414" w:history="1">
        <w:r>
          <w:rPr>
            <w:vertAlign w:val="superscript"/>
          </w:rPr>
          <w:t>63</w:t>
        </w:r>
      </w:hyperlink>
      <w:r>
        <w:rPr>
          <w:spacing w:val="-2"/>
        </w:rPr>
        <w:t xml:space="preserve"> </w:t>
      </w:r>
      <w:r>
        <w:t xml:space="preserve">Barriers for patients </w:t>
      </w:r>
      <w:r>
        <w:t>enrolled in MassHealth include many specific areas related to hair removal, surgery, and voice therapy - with many policies out of step with World Professional Association for Transgender Health (WPATH) Standards of Care.</w:t>
      </w:r>
      <w:hyperlink w:anchor="_bookmark415" w:history="1">
        <w:r>
          <w:rPr>
            <w:vertAlign w:val="superscript"/>
          </w:rPr>
          <w:t>64</w:t>
        </w:r>
      </w:hyperlink>
    </w:p>
    <w:p w:rsidR="00200FDA" w:rsidRDefault="00200FDA">
      <w:pPr>
        <w:pStyle w:val="BodyText"/>
        <w:spacing w:before="2"/>
        <w:rPr>
          <w:sz w:val="35"/>
        </w:rPr>
      </w:pPr>
    </w:p>
    <w:p w:rsidR="00200FDA" w:rsidRDefault="00F76C4C">
      <w:pPr>
        <w:pStyle w:val="Heading8"/>
      </w:pPr>
      <w:bookmarkStart w:id="477" w:name="Affirming_Care_Model"/>
      <w:bookmarkEnd w:id="477"/>
      <w:r>
        <w:rPr>
          <w:color w:val="0A5293"/>
        </w:rPr>
        <w:t>Affirming</w:t>
      </w:r>
      <w:r>
        <w:rPr>
          <w:color w:val="0A5293"/>
          <w:spacing w:val="-3"/>
        </w:rPr>
        <w:t xml:space="preserve"> </w:t>
      </w:r>
      <w:r>
        <w:rPr>
          <w:color w:val="0A5293"/>
        </w:rPr>
        <w:t>Care</w:t>
      </w:r>
      <w:r>
        <w:rPr>
          <w:color w:val="0A5293"/>
          <w:spacing w:val="-1"/>
        </w:rPr>
        <w:t xml:space="preserve"> </w:t>
      </w:r>
      <w:r>
        <w:rPr>
          <w:color w:val="0A5293"/>
          <w:spacing w:val="-4"/>
        </w:rPr>
        <w:t>Model</w:t>
      </w:r>
    </w:p>
    <w:p w:rsidR="00200FDA" w:rsidRDefault="00200FDA">
      <w:pPr>
        <w:pStyle w:val="BodyText"/>
        <w:spacing w:before="2"/>
        <w:rPr>
          <w:sz w:val="35"/>
        </w:rPr>
      </w:pPr>
    </w:p>
    <w:p w:rsidR="00200FDA" w:rsidRDefault="00F76C4C">
      <w:pPr>
        <w:pStyle w:val="BodyText"/>
        <w:spacing w:line="276" w:lineRule="auto"/>
        <w:ind w:left="139" w:right="133"/>
        <w:jc w:val="both"/>
      </w:pPr>
      <w:r>
        <w:t>Gender-affirming</w:t>
      </w:r>
      <w:r>
        <w:rPr>
          <w:spacing w:val="-3"/>
        </w:rPr>
        <w:t xml:space="preserve"> </w:t>
      </w:r>
      <w:r>
        <w:t>care has</w:t>
      </w:r>
      <w:r>
        <w:rPr>
          <w:spacing w:val="-4"/>
        </w:rPr>
        <w:t xml:space="preserve"> </w:t>
      </w:r>
      <w:r>
        <w:t>been shown</w:t>
      </w:r>
      <w:r>
        <w:rPr>
          <w:spacing w:val="-3"/>
        </w:rPr>
        <w:t xml:space="preserve"> </w:t>
      </w:r>
      <w:r>
        <w:t>to be life-saving for</w:t>
      </w:r>
      <w:r>
        <w:rPr>
          <w:spacing w:val="-2"/>
        </w:rPr>
        <w:t xml:space="preserve"> </w:t>
      </w:r>
      <w:r>
        <w:t>children,</w:t>
      </w:r>
      <w:r>
        <w:rPr>
          <w:spacing w:val="-2"/>
        </w:rPr>
        <w:t xml:space="preserve"> </w:t>
      </w:r>
      <w:r>
        <w:t>reducing</w:t>
      </w:r>
      <w:r>
        <w:rPr>
          <w:spacing w:val="-3"/>
        </w:rPr>
        <w:t xml:space="preserve"> </w:t>
      </w:r>
      <w:r>
        <w:t>the incidence</w:t>
      </w:r>
      <w:r>
        <w:rPr>
          <w:spacing w:val="-1"/>
        </w:rPr>
        <w:t xml:space="preserve"> </w:t>
      </w:r>
      <w:r>
        <w:t>of</w:t>
      </w:r>
      <w:r>
        <w:rPr>
          <w:spacing w:val="-2"/>
        </w:rPr>
        <w:t xml:space="preserve"> </w:t>
      </w:r>
      <w:r>
        <w:t>suicidality and increasing access to healthcare services. Just as diabetes clinics were once separate and specialized clinics,</w:t>
      </w:r>
      <w:r>
        <w:rPr>
          <w:spacing w:val="-7"/>
        </w:rPr>
        <w:t xml:space="preserve"> </w:t>
      </w:r>
      <w:r>
        <w:t>so</w:t>
      </w:r>
      <w:r>
        <w:rPr>
          <w:spacing w:val="-8"/>
        </w:rPr>
        <w:t xml:space="preserve"> </w:t>
      </w:r>
      <w:r>
        <w:t>too</w:t>
      </w:r>
      <w:r>
        <w:rPr>
          <w:spacing w:val="-8"/>
        </w:rPr>
        <w:t xml:space="preserve"> </w:t>
      </w:r>
      <w:r>
        <w:t>does</w:t>
      </w:r>
      <w:r>
        <w:rPr>
          <w:spacing w:val="-9"/>
        </w:rPr>
        <w:t xml:space="preserve"> </w:t>
      </w:r>
      <w:r>
        <w:t>gender-affirming</w:t>
      </w:r>
      <w:r>
        <w:rPr>
          <w:spacing w:val="-7"/>
        </w:rPr>
        <w:t xml:space="preserve"> </w:t>
      </w:r>
      <w:r>
        <w:t>care</w:t>
      </w:r>
      <w:r>
        <w:rPr>
          <w:spacing w:val="-9"/>
        </w:rPr>
        <w:t xml:space="preserve"> </w:t>
      </w:r>
      <w:r>
        <w:t>remain</w:t>
      </w:r>
      <w:r>
        <w:rPr>
          <w:spacing w:val="-7"/>
        </w:rPr>
        <w:t xml:space="preserve"> </w:t>
      </w:r>
      <w:r>
        <w:t>largely</w:t>
      </w:r>
      <w:r>
        <w:rPr>
          <w:spacing w:val="-6"/>
        </w:rPr>
        <w:t xml:space="preserve"> </w:t>
      </w:r>
      <w:r>
        <w:t>isolated</w:t>
      </w:r>
      <w:r>
        <w:rPr>
          <w:spacing w:val="-7"/>
        </w:rPr>
        <w:t xml:space="preserve"> </w:t>
      </w:r>
      <w:r>
        <w:t>to</w:t>
      </w:r>
      <w:r>
        <w:rPr>
          <w:spacing w:val="-8"/>
        </w:rPr>
        <w:t xml:space="preserve"> </w:t>
      </w:r>
      <w:r>
        <w:t>specific</w:t>
      </w:r>
      <w:r>
        <w:rPr>
          <w:spacing w:val="-6"/>
        </w:rPr>
        <w:t xml:space="preserve"> </w:t>
      </w:r>
      <w:r>
        <w:t>clinics.</w:t>
      </w:r>
      <w:hyperlink w:anchor="_bookmark416" w:history="1">
        <w:r>
          <w:rPr>
            <w:vertAlign w:val="superscript"/>
          </w:rPr>
          <w:t>65</w:t>
        </w:r>
      </w:hyperlink>
      <w:r>
        <w:rPr>
          <w:spacing w:val="-3"/>
        </w:rPr>
        <w:t xml:space="preserve"> </w:t>
      </w:r>
      <w:r>
        <w:t>However,</w:t>
      </w:r>
      <w:r>
        <w:rPr>
          <w:spacing w:val="-9"/>
        </w:rPr>
        <w:t xml:space="preserve"> </w:t>
      </w:r>
      <w:r>
        <w:t>the</w:t>
      </w:r>
      <w:r>
        <w:rPr>
          <w:spacing w:val="-6"/>
        </w:rPr>
        <w:t xml:space="preserve"> </w:t>
      </w:r>
      <w:r>
        <w:t>history of gender-affirming care is one that is increasingly moving from urban academic institutions to mainstream primary care and medical h</w:t>
      </w:r>
      <w:r>
        <w:t>ome settings. Numbers of trans-competent or gender-affirming providers have been slowly but steadily increasing over time, particularly in states like Massachusetts.</w:t>
      </w:r>
      <w:hyperlink w:anchor="_bookmark417" w:history="1">
        <w:r>
          <w:rPr>
            <w:vertAlign w:val="superscript"/>
          </w:rPr>
          <w:t>66</w:t>
        </w:r>
      </w:hyperlink>
      <w:r>
        <w:t xml:space="preserve"> Moreover, the vast majority of trans and gender expansiv</w:t>
      </w:r>
      <w:r>
        <w:t>e youth who socially transition do continue to identify in their affirmed gender.</w:t>
      </w:r>
      <w:hyperlink w:anchor="_bookmark418" w:history="1">
        <w:r>
          <w:rPr>
            <w:vertAlign w:val="superscript"/>
          </w:rPr>
          <w:t>67</w:t>
        </w:r>
      </w:hyperlink>
      <w:r>
        <w:rPr>
          <w:spacing w:val="-2"/>
        </w:rPr>
        <w:t xml:space="preserve"> </w:t>
      </w:r>
      <w:r>
        <w:t>Unfortunately, despite this increase in access, many barriers to care remain including financial access, insurance coverage, lack of availab</w:t>
      </w:r>
      <w:r>
        <w:t xml:space="preserve">ility, and individuals' fears. Many youth and caregivers also report systemic barriers including bias, discrimination, and lack of provider </w:t>
      </w:r>
      <w:r>
        <w:rPr>
          <w:spacing w:val="-2"/>
        </w:rPr>
        <w:t>education.</w:t>
      </w:r>
      <w:hyperlink w:anchor="_bookmark419" w:history="1">
        <w:r>
          <w:rPr>
            <w:spacing w:val="-2"/>
            <w:vertAlign w:val="superscript"/>
          </w:rPr>
          <w:t>68</w:t>
        </w:r>
      </w:hyperlink>
    </w:p>
    <w:p w:rsidR="00200FDA" w:rsidRDefault="00F76C4C">
      <w:pPr>
        <w:pStyle w:val="BodyText"/>
        <w:spacing w:before="119" w:line="276" w:lineRule="auto"/>
        <w:ind w:left="139" w:right="135"/>
        <w:jc w:val="both"/>
      </w:pPr>
      <w:r>
        <w:t>An affirming-care-model is one that affirms the child and their identit</w:t>
      </w:r>
      <w:r>
        <w:t>y, leading with listening to the patients’ and the family’s needs, and creating a team of support and guidance to provide information, options and clinical expertise. Importantly, an affirming model removes judgment and barriers to culturally sensitive car</w:t>
      </w:r>
      <w:r>
        <w:t>e, meeting the individual where they are and delivering basic clinical competencies.</w:t>
      </w:r>
      <w:hyperlink w:anchor="_bookmark420" w:history="1">
        <w:r>
          <w:rPr>
            <w:vertAlign w:val="superscript"/>
          </w:rPr>
          <w:t>69</w:t>
        </w:r>
      </w:hyperlink>
      <w:r>
        <w:rPr>
          <w:spacing w:val="-3"/>
        </w:rPr>
        <w:t xml:space="preserve"> </w:t>
      </w:r>
      <w:r>
        <w:t>A</w:t>
      </w:r>
      <w:r>
        <w:rPr>
          <w:spacing w:val="-10"/>
        </w:rPr>
        <w:t xml:space="preserve"> </w:t>
      </w:r>
      <w:r>
        <w:t>2021</w:t>
      </w:r>
      <w:r>
        <w:rPr>
          <w:spacing w:val="-8"/>
        </w:rPr>
        <w:t xml:space="preserve"> </w:t>
      </w:r>
      <w:r>
        <w:t>study</w:t>
      </w:r>
      <w:r>
        <w:rPr>
          <w:spacing w:val="-8"/>
        </w:rPr>
        <w:t xml:space="preserve"> </w:t>
      </w:r>
      <w:r>
        <w:t>in</w:t>
      </w:r>
      <w:r>
        <w:rPr>
          <w:spacing w:val="-10"/>
        </w:rPr>
        <w:t xml:space="preserve"> </w:t>
      </w:r>
      <w:r>
        <w:t>New</w:t>
      </w:r>
      <w:r>
        <w:rPr>
          <w:spacing w:val="-8"/>
        </w:rPr>
        <w:t xml:space="preserve"> </w:t>
      </w:r>
      <w:r>
        <w:t>England</w:t>
      </w:r>
      <w:r>
        <w:rPr>
          <w:spacing w:val="-10"/>
        </w:rPr>
        <w:t xml:space="preserve"> </w:t>
      </w:r>
      <w:r>
        <w:t>conducted</w:t>
      </w:r>
      <w:r>
        <w:rPr>
          <w:spacing w:val="-10"/>
        </w:rPr>
        <w:t xml:space="preserve"> </w:t>
      </w:r>
      <w:r>
        <w:t>qualitative</w:t>
      </w:r>
      <w:r>
        <w:rPr>
          <w:spacing w:val="-8"/>
        </w:rPr>
        <w:t xml:space="preserve"> </w:t>
      </w:r>
      <w:r>
        <w:t>interviews</w:t>
      </w:r>
      <w:r>
        <w:rPr>
          <w:spacing w:val="-9"/>
        </w:rPr>
        <w:t xml:space="preserve"> </w:t>
      </w:r>
      <w:r>
        <w:t>with</w:t>
      </w:r>
      <w:r>
        <w:rPr>
          <w:spacing w:val="-10"/>
        </w:rPr>
        <w:t xml:space="preserve"> </w:t>
      </w:r>
      <w:r>
        <w:t>healthcare</w:t>
      </w:r>
      <w:r>
        <w:rPr>
          <w:spacing w:val="-9"/>
        </w:rPr>
        <w:t xml:space="preserve"> </w:t>
      </w:r>
      <w:r>
        <w:t>providers and transgender and gender nonconforming adults where community members emphasized the importance of integrated mental and physical health.</w:t>
      </w:r>
      <w:hyperlink w:anchor="_bookmark421" w:history="1">
        <w:r>
          <w:rPr>
            <w:vertAlign w:val="superscript"/>
          </w:rPr>
          <w:t>70</w:t>
        </w:r>
      </w:hyperlink>
    </w:p>
    <w:p w:rsidR="00200FDA" w:rsidRDefault="00200FDA">
      <w:pPr>
        <w:pStyle w:val="BodyText"/>
        <w:spacing w:before="1"/>
        <w:rPr>
          <w:sz w:val="23"/>
        </w:rPr>
      </w:pPr>
    </w:p>
    <w:p w:rsidR="00200FDA" w:rsidRDefault="00F76C4C">
      <w:pPr>
        <w:ind w:left="982" w:right="982"/>
        <w:jc w:val="center"/>
        <w:rPr>
          <w:i/>
          <w:sz w:val="28"/>
        </w:rPr>
      </w:pPr>
      <w:r>
        <w:rPr>
          <w:i/>
          <w:color w:val="0F6EC5"/>
          <w:sz w:val="28"/>
        </w:rPr>
        <w:t>Moreover,</w:t>
      </w:r>
      <w:r>
        <w:rPr>
          <w:i/>
          <w:color w:val="0F6EC5"/>
          <w:spacing w:val="-7"/>
          <w:sz w:val="28"/>
        </w:rPr>
        <w:t xml:space="preserve"> </w:t>
      </w:r>
      <w:r>
        <w:rPr>
          <w:i/>
          <w:color w:val="0F6EC5"/>
          <w:sz w:val="28"/>
        </w:rPr>
        <w:t>if</w:t>
      </w:r>
      <w:r>
        <w:rPr>
          <w:i/>
          <w:color w:val="0F6EC5"/>
          <w:spacing w:val="-3"/>
          <w:sz w:val="28"/>
        </w:rPr>
        <w:t xml:space="preserve"> </w:t>
      </w:r>
      <w:r>
        <w:rPr>
          <w:i/>
          <w:color w:val="0F6EC5"/>
          <w:sz w:val="28"/>
        </w:rPr>
        <w:t>you</w:t>
      </w:r>
      <w:r>
        <w:rPr>
          <w:i/>
          <w:color w:val="0F6EC5"/>
          <w:spacing w:val="-4"/>
          <w:sz w:val="28"/>
        </w:rPr>
        <w:t xml:space="preserve"> </w:t>
      </w:r>
      <w:r>
        <w:rPr>
          <w:i/>
          <w:color w:val="0F6EC5"/>
          <w:sz w:val="28"/>
        </w:rPr>
        <w:t>are</w:t>
      </w:r>
      <w:r>
        <w:rPr>
          <w:i/>
          <w:color w:val="0F6EC5"/>
          <w:spacing w:val="-3"/>
          <w:sz w:val="28"/>
        </w:rPr>
        <w:t xml:space="preserve"> </w:t>
      </w:r>
      <w:r>
        <w:rPr>
          <w:i/>
          <w:color w:val="0F6EC5"/>
          <w:sz w:val="28"/>
        </w:rPr>
        <w:t>not</w:t>
      </w:r>
      <w:r>
        <w:rPr>
          <w:i/>
          <w:color w:val="0F6EC5"/>
          <w:spacing w:val="-5"/>
          <w:sz w:val="28"/>
        </w:rPr>
        <w:t xml:space="preserve"> </w:t>
      </w:r>
      <w:r>
        <w:rPr>
          <w:i/>
          <w:color w:val="0F6EC5"/>
          <w:sz w:val="28"/>
        </w:rPr>
        <w:t>counted,</w:t>
      </w:r>
      <w:r>
        <w:rPr>
          <w:i/>
          <w:color w:val="0F6EC5"/>
          <w:spacing w:val="-4"/>
          <w:sz w:val="28"/>
        </w:rPr>
        <w:t xml:space="preserve"> </w:t>
      </w:r>
      <w:r>
        <w:rPr>
          <w:i/>
          <w:color w:val="0F6EC5"/>
          <w:sz w:val="28"/>
        </w:rPr>
        <w:t>you</w:t>
      </w:r>
      <w:r>
        <w:rPr>
          <w:i/>
          <w:color w:val="0F6EC5"/>
          <w:spacing w:val="-4"/>
          <w:sz w:val="28"/>
        </w:rPr>
        <w:t xml:space="preserve"> </w:t>
      </w:r>
      <w:r>
        <w:rPr>
          <w:i/>
          <w:color w:val="0F6EC5"/>
          <w:sz w:val="28"/>
        </w:rPr>
        <w:t>will</w:t>
      </w:r>
      <w:r>
        <w:rPr>
          <w:i/>
          <w:color w:val="0F6EC5"/>
          <w:spacing w:val="-3"/>
          <w:sz w:val="28"/>
        </w:rPr>
        <w:t xml:space="preserve"> </w:t>
      </w:r>
      <w:r>
        <w:rPr>
          <w:i/>
          <w:color w:val="0F6EC5"/>
          <w:sz w:val="28"/>
        </w:rPr>
        <w:t>not</w:t>
      </w:r>
      <w:r>
        <w:rPr>
          <w:i/>
          <w:color w:val="0F6EC5"/>
          <w:spacing w:val="-4"/>
          <w:sz w:val="28"/>
        </w:rPr>
        <w:t xml:space="preserve"> </w:t>
      </w:r>
      <w:r>
        <w:rPr>
          <w:i/>
          <w:color w:val="0F6EC5"/>
          <w:spacing w:val="-2"/>
          <w:sz w:val="28"/>
        </w:rPr>
        <w:t>count.</w:t>
      </w:r>
    </w:p>
    <w:p w:rsidR="00200FDA" w:rsidRDefault="00200FDA">
      <w:pPr>
        <w:pStyle w:val="BodyText"/>
        <w:spacing w:before="3"/>
        <w:rPr>
          <w:i/>
        </w:rPr>
      </w:pPr>
    </w:p>
    <w:p w:rsidR="00200FDA" w:rsidRDefault="00F76C4C">
      <w:pPr>
        <w:pStyle w:val="BodyText"/>
        <w:spacing w:before="1" w:line="276" w:lineRule="auto"/>
        <w:ind w:left="140" w:right="133"/>
        <w:jc w:val="both"/>
      </w:pPr>
      <w:r>
        <w:t>The lack of existing guidelines for collecting sexual orientation and gender identity (SOGI) data in the pediatric population remains a profound issue. Additionally, there are currently no standardized guidelines</w:t>
      </w:r>
      <w:r>
        <w:rPr>
          <w:spacing w:val="-4"/>
        </w:rPr>
        <w:t xml:space="preserve"> </w:t>
      </w:r>
      <w:r>
        <w:t>for</w:t>
      </w:r>
      <w:r>
        <w:rPr>
          <w:spacing w:val="-7"/>
        </w:rPr>
        <w:t xml:space="preserve"> </w:t>
      </w:r>
      <w:r>
        <w:t>the</w:t>
      </w:r>
      <w:r>
        <w:rPr>
          <w:spacing w:val="-4"/>
        </w:rPr>
        <w:t xml:space="preserve"> </w:t>
      </w:r>
      <w:r>
        <w:t>collection</w:t>
      </w:r>
      <w:r>
        <w:rPr>
          <w:spacing w:val="-5"/>
        </w:rPr>
        <w:t xml:space="preserve"> </w:t>
      </w:r>
      <w:r>
        <w:t>of</w:t>
      </w:r>
      <w:r>
        <w:rPr>
          <w:spacing w:val="-7"/>
        </w:rPr>
        <w:t xml:space="preserve"> </w:t>
      </w:r>
      <w:r>
        <w:t>intersex</w:t>
      </w:r>
      <w:r>
        <w:rPr>
          <w:spacing w:val="-6"/>
        </w:rPr>
        <w:t xml:space="preserve"> </w:t>
      </w:r>
      <w:r>
        <w:t>data.</w:t>
      </w:r>
      <w:r>
        <w:rPr>
          <w:spacing w:val="-7"/>
        </w:rPr>
        <w:t xml:space="preserve"> </w:t>
      </w:r>
      <w:r>
        <w:t>When</w:t>
      </w:r>
      <w:r>
        <w:rPr>
          <w:spacing w:val="-5"/>
        </w:rPr>
        <w:t xml:space="preserve"> </w:t>
      </w:r>
      <w:r>
        <w:t>SOGI</w:t>
      </w:r>
      <w:r>
        <w:rPr>
          <w:spacing w:val="-5"/>
        </w:rPr>
        <w:t xml:space="preserve"> </w:t>
      </w:r>
      <w:r>
        <w:t>and</w:t>
      </w:r>
      <w:r>
        <w:rPr>
          <w:spacing w:val="-5"/>
        </w:rPr>
        <w:t xml:space="preserve"> </w:t>
      </w:r>
      <w:r>
        <w:t>intersex</w:t>
      </w:r>
      <w:r>
        <w:rPr>
          <w:spacing w:val="-4"/>
        </w:rPr>
        <w:t xml:space="preserve"> </w:t>
      </w:r>
      <w:r>
        <w:t>data</w:t>
      </w:r>
      <w:r>
        <w:rPr>
          <w:spacing w:val="-5"/>
        </w:rPr>
        <w:t xml:space="preserve"> </w:t>
      </w:r>
      <w:r>
        <w:t>is</w:t>
      </w:r>
      <w:r>
        <w:rPr>
          <w:spacing w:val="-7"/>
        </w:rPr>
        <w:t xml:space="preserve"> </w:t>
      </w:r>
      <w:r>
        <w:t>not</w:t>
      </w:r>
      <w:r>
        <w:rPr>
          <w:spacing w:val="-4"/>
        </w:rPr>
        <w:t xml:space="preserve"> </w:t>
      </w:r>
      <w:r>
        <w:t>collected,</w:t>
      </w:r>
      <w:r>
        <w:rPr>
          <w:spacing w:val="-7"/>
        </w:rPr>
        <w:t xml:space="preserve"> </w:t>
      </w:r>
      <w:r>
        <w:t>policymakers, agencies,</w:t>
      </w:r>
      <w:r>
        <w:rPr>
          <w:spacing w:val="-7"/>
        </w:rPr>
        <w:t xml:space="preserve"> </w:t>
      </w:r>
      <w:r>
        <w:t>and</w:t>
      </w:r>
      <w:r>
        <w:rPr>
          <w:spacing w:val="-5"/>
        </w:rPr>
        <w:t xml:space="preserve"> </w:t>
      </w:r>
      <w:r>
        <w:t>organizations</w:t>
      </w:r>
      <w:r>
        <w:rPr>
          <w:spacing w:val="-4"/>
        </w:rPr>
        <w:t xml:space="preserve"> </w:t>
      </w:r>
      <w:r>
        <w:t>do</w:t>
      </w:r>
      <w:r>
        <w:rPr>
          <w:spacing w:val="-6"/>
        </w:rPr>
        <w:t xml:space="preserve"> </w:t>
      </w:r>
      <w:r>
        <w:t>not</w:t>
      </w:r>
      <w:r>
        <w:rPr>
          <w:spacing w:val="-6"/>
        </w:rPr>
        <w:t xml:space="preserve"> </w:t>
      </w:r>
      <w:r>
        <w:t>have</w:t>
      </w:r>
      <w:r>
        <w:rPr>
          <w:spacing w:val="-4"/>
        </w:rPr>
        <w:t xml:space="preserve"> </w:t>
      </w:r>
      <w:r>
        <w:t>a</w:t>
      </w:r>
      <w:r>
        <w:rPr>
          <w:spacing w:val="-7"/>
        </w:rPr>
        <w:t xml:space="preserve"> </w:t>
      </w:r>
      <w:r>
        <w:t>complete</w:t>
      </w:r>
      <w:r>
        <w:rPr>
          <w:spacing w:val="-6"/>
        </w:rPr>
        <w:t xml:space="preserve"> </w:t>
      </w:r>
      <w:r>
        <w:t>understanding</w:t>
      </w:r>
      <w:r>
        <w:rPr>
          <w:spacing w:val="-5"/>
        </w:rPr>
        <w:t xml:space="preserve"> </w:t>
      </w:r>
      <w:r>
        <w:t>of</w:t>
      </w:r>
      <w:r>
        <w:rPr>
          <w:spacing w:val="-7"/>
        </w:rPr>
        <w:t xml:space="preserve"> </w:t>
      </w:r>
      <w:r>
        <w:t>the</w:t>
      </w:r>
      <w:r>
        <w:rPr>
          <w:spacing w:val="-6"/>
        </w:rPr>
        <w:t xml:space="preserve"> </w:t>
      </w:r>
      <w:r>
        <w:t>patient</w:t>
      </w:r>
      <w:r>
        <w:rPr>
          <w:spacing w:val="-6"/>
        </w:rPr>
        <w:t xml:space="preserve"> </w:t>
      </w:r>
      <w:r>
        <w:t>population,</w:t>
      </w:r>
      <w:r>
        <w:rPr>
          <w:spacing w:val="-4"/>
        </w:rPr>
        <w:t xml:space="preserve"> </w:t>
      </w:r>
      <w:r>
        <w:t>limiting</w:t>
      </w:r>
      <w:r>
        <w:rPr>
          <w:spacing w:val="-5"/>
        </w:rPr>
        <w:t xml:space="preserve"> </w:t>
      </w:r>
      <w:r>
        <w:t>the ability of providers to deliver specialized care to LGBTQ individuals. Recent recommendations fo</w:t>
      </w:r>
      <w:r>
        <w:t>r collecting SOGI data published in New England take into consideration children’s developmental stages, the role of caregivers, and the need to protect the privacy of this information.</w:t>
      </w:r>
      <w:hyperlink w:anchor="_bookmark422" w:history="1">
        <w:r>
          <w:rPr>
            <w:vertAlign w:val="superscript"/>
          </w:rPr>
          <w:t>71</w:t>
        </w:r>
      </w:hyperlink>
    </w:p>
    <w:p w:rsidR="00200FDA" w:rsidRDefault="00200FDA">
      <w:pPr>
        <w:spacing w:line="276" w:lineRule="auto"/>
        <w:jc w:val="both"/>
        <w:sectPr w:rsidR="00200FDA">
          <w:pgSz w:w="12240" w:h="15840"/>
          <w:pgMar w:top="1360" w:right="1300" w:bottom="1380" w:left="1300" w:header="761" w:footer="1132" w:gutter="0"/>
          <w:cols w:space="720"/>
        </w:sectPr>
      </w:pPr>
    </w:p>
    <w:p w:rsidR="00200FDA" w:rsidRDefault="00F76C4C">
      <w:pPr>
        <w:pStyle w:val="Heading8"/>
        <w:spacing w:before="64"/>
      </w:pPr>
      <w:bookmarkStart w:id="478" w:name="Reproductive_Health"/>
      <w:bookmarkEnd w:id="478"/>
      <w:r>
        <w:rPr>
          <w:color w:val="0A5293"/>
        </w:rPr>
        <w:lastRenderedPageBreak/>
        <w:t>Reproductive</w:t>
      </w:r>
      <w:r>
        <w:rPr>
          <w:color w:val="0A5293"/>
          <w:spacing w:val="-1"/>
        </w:rPr>
        <w:t xml:space="preserve"> </w:t>
      </w:r>
      <w:r>
        <w:rPr>
          <w:color w:val="0A5293"/>
          <w:spacing w:val="-2"/>
        </w:rPr>
        <w:t>Health</w:t>
      </w:r>
    </w:p>
    <w:p w:rsidR="00200FDA" w:rsidRDefault="00200FDA">
      <w:pPr>
        <w:pStyle w:val="BodyText"/>
        <w:spacing w:before="4"/>
        <w:rPr>
          <w:sz w:val="25"/>
        </w:rPr>
      </w:pPr>
    </w:p>
    <w:p w:rsidR="00200FDA" w:rsidRDefault="00F76C4C">
      <w:pPr>
        <w:pStyle w:val="BodyText"/>
        <w:spacing w:line="276" w:lineRule="auto"/>
        <w:ind w:left="139" w:right="134"/>
        <w:jc w:val="both"/>
      </w:pPr>
      <w:r>
        <w:t>F</w:t>
      </w:r>
      <w:r>
        <w:t>ertility</w:t>
      </w:r>
      <w:r>
        <w:rPr>
          <w:spacing w:val="-6"/>
        </w:rPr>
        <w:t xml:space="preserve"> </w:t>
      </w:r>
      <w:r>
        <w:t>preservation</w:t>
      </w:r>
      <w:r>
        <w:rPr>
          <w:spacing w:val="-8"/>
        </w:rPr>
        <w:t xml:space="preserve"> </w:t>
      </w:r>
      <w:r>
        <w:t>and</w:t>
      </w:r>
      <w:r>
        <w:rPr>
          <w:spacing w:val="-5"/>
        </w:rPr>
        <w:t xml:space="preserve"> </w:t>
      </w:r>
      <w:r>
        <w:t>family-building</w:t>
      </w:r>
      <w:r>
        <w:rPr>
          <w:spacing w:val="-5"/>
        </w:rPr>
        <w:t xml:space="preserve"> </w:t>
      </w:r>
      <w:r>
        <w:t>remain</w:t>
      </w:r>
      <w:r>
        <w:rPr>
          <w:spacing w:val="-7"/>
        </w:rPr>
        <w:t xml:space="preserve"> </w:t>
      </w:r>
      <w:r>
        <w:t>priority</w:t>
      </w:r>
      <w:r>
        <w:rPr>
          <w:spacing w:val="-3"/>
        </w:rPr>
        <w:t xml:space="preserve"> </w:t>
      </w:r>
      <w:r>
        <w:t>issues</w:t>
      </w:r>
      <w:r>
        <w:rPr>
          <w:spacing w:val="-7"/>
        </w:rPr>
        <w:t xml:space="preserve"> </w:t>
      </w:r>
      <w:r>
        <w:t>in</w:t>
      </w:r>
      <w:r>
        <w:rPr>
          <w:spacing w:val="-5"/>
        </w:rPr>
        <w:t xml:space="preserve"> </w:t>
      </w:r>
      <w:r>
        <w:t>the</w:t>
      </w:r>
      <w:r>
        <w:rPr>
          <w:spacing w:val="-6"/>
        </w:rPr>
        <w:t xml:space="preserve"> </w:t>
      </w:r>
      <w:r>
        <w:t>care</w:t>
      </w:r>
      <w:r>
        <w:rPr>
          <w:spacing w:val="-6"/>
        </w:rPr>
        <w:t xml:space="preserve"> </w:t>
      </w:r>
      <w:r>
        <w:t>of</w:t>
      </w:r>
      <w:r>
        <w:rPr>
          <w:spacing w:val="-9"/>
        </w:rPr>
        <w:t xml:space="preserve"> </w:t>
      </w:r>
      <w:r>
        <w:t>LGBTQ</w:t>
      </w:r>
      <w:r>
        <w:rPr>
          <w:spacing w:val="-4"/>
        </w:rPr>
        <w:t xml:space="preserve"> </w:t>
      </w:r>
      <w:r>
        <w:t>adolescents.</w:t>
      </w:r>
      <w:r>
        <w:rPr>
          <w:spacing w:val="-7"/>
        </w:rPr>
        <w:t xml:space="preserve"> </w:t>
      </w:r>
      <w:r>
        <w:t>Current guidelines for the care of transgender and gender-diverse adolescents and young adults recommend discussing</w:t>
      </w:r>
      <w:r>
        <w:rPr>
          <w:spacing w:val="-6"/>
        </w:rPr>
        <w:t xml:space="preserve"> </w:t>
      </w:r>
      <w:r>
        <w:t>potential</w:t>
      </w:r>
      <w:r>
        <w:rPr>
          <w:spacing w:val="-6"/>
        </w:rPr>
        <w:t xml:space="preserve"> </w:t>
      </w:r>
      <w:r>
        <w:t>fertility</w:t>
      </w:r>
      <w:r>
        <w:rPr>
          <w:spacing w:val="-4"/>
        </w:rPr>
        <w:t xml:space="preserve"> </w:t>
      </w:r>
      <w:r>
        <w:t>impairment</w:t>
      </w:r>
      <w:r>
        <w:rPr>
          <w:spacing w:val="-7"/>
        </w:rPr>
        <w:t xml:space="preserve"> </w:t>
      </w:r>
      <w:r>
        <w:t>and</w:t>
      </w:r>
      <w:r>
        <w:rPr>
          <w:spacing w:val="-6"/>
        </w:rPr>
        <w:t xml:space="preserve"> </w:t>
      </w:r>
      <w:r>
        <w:t>fertility</w:t>
      </w:r>
      <w:r>
        <w:rPr>
          <w:spacing w:val="-7"/>
        </w:rPr>
        <w:t xml:space="preserve"> </w:t>
      </w:r>
      <w:r>
        <w:t>preservation</w:t>
      </w:r>
      <w:r>
        <w:rPr>
          <w:spacing w:val="-8"/>
        </w:rPr>
        <w:t xml:space="preserve"> </w:t>
      </w:r>
      <w:r>
        <w:t>options</w:t>
      </w:r>
      <w:r>
        <w:rPr>
          <w:spacing w:val="-8"/>
        </w:rPr>
        <w:t xml:space="preserve"> </w:t>
      </w:r>
      <w:r>
        <w:t>with</w:t>
      </w:r>
      <w:r>
        <w:rPr>
          <w:spacing w:val="-8"/>
        </w:rPr>
        <w:t xml:space="preserve"> </w:t>
      </w:r>
      <w:r>
        <w:t>youth</w:t>
      </w:r>
      <w:r>
        <w:rPr>
          <w:spacing w:val="-6"/>
        </w:rPr>
        <w:t xml:space="preserve"> </w:t>
      </w:r>
      <w:r>
        <w:t>and</w:t>
      </w:r>
      <w:r>
        <w:rPr>
          <w:spacing w:val="-6"/>
        </w:rPr>
        <w:t xml:space="preserve"> </w:t>
      </w:r>
      <w:r>
        <w:t>their</w:t>
      </w:r>
      <w:r>
        <w:rPr>
          <w:spacing w:val="-8"/>
        </w:rPr>
        <w:t xml:space="preserve"> </w:t>
      </w:r>
      <w:r>
        <w:t>caregivers prior to the initiation of certain gender-affirming treatments.</w:t>
      </w:r>
      <w:r>
        <w:rPr>
          <w:spacing w:val="-8"/>
        </w:rPr>
        <w:t xml:space="preserve"> </w:t>
      </w:r>
      <w:hyperlink w:anchor="_bookmark423" w:history="1">
        <w:r>
          <w:rPr>
            <w:vertAlign w:val="superscript"/>
          </w:rPr>
          <w:t>72</w:t>
        </w:r>
      </w:hyperlink>
      <w:r>
        <w:rPr>
          <w:spacing w:val="-13"/>
        </w:rPr>
        <w:t xml:space="preserve"> </w:t>
      </w:r>
      <w:r>
        <w:rPr>
          <w:vertAlign w:val="superscript"/>
        </w:rPr>
        <w:t>,</w:t>
      </w:r>
      <w:r>
        <w:rPr>
          <w:spacing w:val="-6"/>
        </w:rPr>
        <w:t xml:space="preserve"> </w:t>
      </w:r>
      <w:hyperlink w:anchor="_bookmark424" w:history="1">
        <w:r>
          <w:rPr>
            <w:vertAlign w:val="superscript"/>
          </w:rPr>
          <w:t>73</w:t>
        </w:r>
      </w:hyperlink>
      <w:r>
        <w:t xml:space="preserve"> Despite this guidance, provider knowledge and referral pr</w:t>
      </w:r>
      <w:r>
        <w:t>actices vary widely, resulting in inconsistent experiences in fertility counseling.</w:t>
      </w:r>
      <w:hyperlink w:anchor="_bookmark425" w:history="1">
        <w:r>
          <w:rPr>
            <w:vertAlign w:val="superscript"/>
          </w:rPr>
          <w:t>74</w:t>
        </w:r>
      </w:hyperlink>
      <w:r>
        <w:rPr>
          <w:vertAlign w:val="superscript"/>
        </w:rPr>
        <w:t>,</w:t>
      </w:r>
      <w:hyperlink w:anchor="_bookmark426" w:history="1">
        <w:r>
          <w:rPr>
            <w:vertAlign w:val="superscript"/>
          </w:rPr>
          <w:t>75</w:t>
        </w:r>
      </w:hyperlink>
      <w:r>
        <w:rPr>
          <w:spacing w:val="-2"/>
        </w:rPr>
        <w:t xml:space="preserve"> </w:t>
      </w:r>
      <w:r>
        <w:t>However, research has demonstrated that many transgender adults express a desire to have</w:t>
      </w:r>
      <w:r>
        <w:rPr>
          <w:spacing w:val="-6"/>
        </w:rPr>
        <w:t xml:space="preserve"> </w:t>
      </w:r>
      <w:r>
        <w:t>a</w:t>
      </w:r>
      <w:r>
        <w:rPr>
          <w:spacing w:val="-9"/>
        </w:rPr>
        <w:t xml:space="preserve"> </w:t>
      </w:r>
      <w:r>
        <w:t>child</w:t>
      </w:r>
      <w:r>
        <w:rPr>
          <w:spacing w:val="-7"/>
        </w:rPr>
        <w:t xml:space="preserve"> </w:t>
      </w:r>
      <w:r>
        <w:t>and</w:t>
      </w:r>
      <w:r>
        <w:rPr>
          <w:spacing w:val="-7"/>
        </w:rPr>
        <w:t xml:space="preserve"> </w:t>
      </w:r>
      <w:r>
        <w:t>ar</w:t>
      </w:r>
      <w:r>
        <w:t>e</w:t>
      </w:r>
      <w:r>
        <w:rPr>
          <w:spacing w:val="-6"/>
        </w:rPr>
        <w:t xml:space="preserve"> </w:t>
      </w:r>
      <w:r>
        <w:t>interested</w:t>
      </w:r>
      <w:r>
        <w:rPr>
          <w:spacing w:val="-7"/>
        </w:rPr>
        <w:t xml:space="preserve"> </w:t>
      </w:r>
      <w:r>
        <w:t>in</w:t>
      </w:r>
      <w:r>
        <w:rPr>
          <w:spacing w:val="-7"/>
        </w:rPr>
        <w:t xml:space="preserve"> </w:t>
      </w:r>
      <w:r>
        <w:t>biological</w:t>
      </w:r>
      <w:r>
        <w:rPr>
          <w:spacing w:val="-7"/>
        </w:rPr>
        <w:t xml:space="preserve"> </w:t>
      </w:r>
      <w:r>
        <w:t>parenthood.</w:t>
      </w:r>
      <w:hyperlink w:anchor="_bookmark427" w:history="1">
        <w:r>
          <w:rPr>
            <w:vertAlign w:val="superscript"/>
          </w:rPr>
          <w:t>76</w:t>
        </w:r>
      </w:hyperlink>
      <w:r>
        <w:rPr>
          <w:spacing w:val="-3"/>
        </w:rPr>
        <w:t xml:space="preserve"> </w:t>
      </w:r>
      <w:r>
        <w:t>Despite</w:t>
      </w:r>
      <w:r>
        <w:rPr>
          <w:spacing w:val="-8"/>
        </w:rPr>
        <w:t xml:space="preserve"> </w:t>
      </w:r>
      <w:r>
        <w:t>this,</w:t>
      </w:r>
      <w:r>
        <w:rPr>
          <w:spacing w:val="-7"/>
        </w:rPr>
        <w:t xml:space="preserve"> </w:t>
      </w:r>
      <w:r>
        <w:t>fertility</w:t>
      </w:r>
      <w:r>
        <w:rPr>
          <w:spacing w:val="-6"/>
        </w:rPr>
        <w:t xml:space="preserve"> </w:t>
      </w:r>
      <w:r>
        <w:t>preservation</w:t>
      </w:r>
      <w:r>
        <w:rPr>
          <w:spacing w:val="-7"/>
        </w:rPr>
        <w:t xml:space="preserve"> </w:t>
      </w:r>
      <w:r>
        <w:t>rates</w:t>
      </w:r>
      <w:r>
        <w:rPr>
          <w:spacing w:val="-7"/>
        </w:rPr>
        <w:t xml:space="preserve"> </w:t>
      </w:r>
      <w:r>
        <w:t>remain low among transgender youth; a 2017 review of medical records at a pediatric academic center found that only 2 out of 72 patients eng</w:t>
      </w:r>
      <w:r>
        <w:t>aged in fertility preservation, even when counseling was offered.</w:t>
      </w:r>
      <w:hyperlink w:anchor="_bookmark428" w:history="1">
        <w:r>
          <w:rPr>
            <w:vertAlign w:val="superscript"/>
          </w:rPr>
          <w:t>77</w:t>
        </w:r>
      </w:hyperlink>
    </w:p>
    <w:p w:rsidR="00200FDA" w:rsidRDefault="00F76C4C">
      <w:pPr>
        <w:pStyle w:val="BodyText"/>
        <w:spacing w:before="120" w:line="276" w:lineRule="auto"/>
        <w:ind w:left="140" w:right="136"/>
        <w:jc w:val="both"/>
      </w:pPr>
      <w:r>
        <w:t>Many barriers exist for transgender individuals who desire fertility preservation, including the cost of treatment,</w:t>
      </w:r>
      <w:r>
        <w:rPr>
          <w:spacing w:val="-9"/>
        </w:rPr>
        <w:t xml:space="preserve"> </w:t>
      </w:r>
      <w:r>
        <w:t>having</w:t>
      </w:r>
      <w:r>
        <w:rPr>
          <w:spacing w:val="-7"/>
        </w:rPr>
        <w:t xml:space="preserve"> </w:t>
      </w:r>
      <w:r>
        <w:t>to</w:t>
      </w:r>
      <w:r>
        <w:rPr>
          <w:spacing w:val="-8"/>
        </w:rPr>
        <w:t xml:space="preserve"> </w:t>
      </w:r>
      <w:r>
        <w:t>delay</w:t>
      </w:r>
      <w:r>
        <w:rPr>
          <w:spacing w:val="-10"/>
        </w:rPr>
        <w:t xml:space="preserve"> </w:t>
      </w:r>
      <w:r>
        <w:t>hormonal</w:t>
      </w:r>
      <w:r>
        <w:rPr>
          <w:spacing w:val="-10"/>
        </w:rPr>
        <w:t xml:space="preserve"> </w:t>
      </w:r>
      <w:r>
        <w:t>therapy,</w:t>
      </w:r>
      <w:r>
        <w:rPr>
          <w:spacing w:val="-6"/>
        </w:rPr>
        <w:t xml:space="preserve"> </w:t>
      </w:r>
      <w:r>
        <w:t>fear</w:t>
      </w:r>
      <w:r>
        <w:rPr>
          <w:spacing w:val="-9"/>
        </w:rPr>
        <w:t xml:space="preserve"> </w:t>
      </w:r>
      <w:r>
        <w:t>of</w:t>
      </w:r>
      <w:r>
        <w:rPr>
          <w:spacing w:val="-9"/>
        </w:rPr>
        <w:t xml:space="preserve"> </w:t>
      </w:r>
      <w:r>
        <w:t>invasive</w:t>
      </w:r>
      <w:r>
        <w:rPr>
          <w:spacing w:val="-7"/>
        </w:rPr>
        <w:t xml:space="preserve"> </w:t>
      </w:r>
      <w:r>
        <w:t>procedures,</w:t>
      </w:r>
      <w:r>
        <w:rPr>
          <w:spacing w:val="-9"/>
        </w:rPr>
        <w:t xml:space="preserve"> </w:t>
      </w:r>
      <w:r>
        <w:t>concern</w:t>
      </w:r>
      <w:r>
        <w:rPr>
          <w:spacing w:val="-7"/>
        </w:rPr>
        <w:t xml:space="preserve"> </w:t>
      </w:r>
      <w:r>
        <w:t>about</w:t>
      </w:r>
      <w:r>
        <w:rPr>
          <w:spacing w:val="-8"/>
        </w:rPr>
        <w:t xml:space="preserve"> </w:t>
      </w:r>
      <w:r>
        <w:t>the</w:t>
      </w:r>
      <w:r>
        <w:rPr>
          <w:spacing w:val="-8"/>
        </w:rPr>
        <w:t xml:space="preserve"> </w:t>
      </w:r>
      <w:r>
        <w:t>attitudes</w:t>
      </w:r>
      <w:r>
        <w:rPr>
          <w:spacing w:val="-9"/>
        </w:rPr>
        <w:t xml:space="preserve"> </w:t>
      </w:r>
      <w:r>
        <w:rPr>
          <w:spacing w:val="-5"/>
        </w:rPr>
        <w:t>of</w:t>
      </w:r>
    </w:p>
    <w:p w:rsidR="00200FDA" w:rsidRDefault="00F76C4C">
      <w:pPr>
        <w:pStyle w:val="BodyText"/>
        <w:spacing w:line="276" w:lineRule="auto"/>
        <w:ind w:left="6380" w:right="135"/>
        <w:jc w:val="both"/>
      </w:pPr>
      <w:r>
        <w:rPr>
          <w:noProof/>
        </w:rPr>
        <w:drawing>
          <wp:anchor distT="0" distB="0" distL="0" distR="0" simplePos="0" relativeHeight="15774208" behindDoc="0" locked="0" layoutInCell="1" allowOverlap="1">
            <wp:simplePos x="0" y="0"/>
            <wp:positionH relativeFrom="page">
              <wp:posOffset>1191934</wp:posOffset>
            </wp:positionH>
            <wp:positionV relativeFrom="paragraph">
              <wp:posOffset>315182</wp:posOffset>
            </wp:positionV>
            <wp:extent cx="3289161" cy="2265274"/>
            <wp:effectExtent l="0" t="0" r="0" b="0"/>
            <wp:wrapNone/>
            <wp:docPr id="67"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1.jpeg"/>
                    <pic:cNvPicPr/>
                  </pic:nvPicPr>
                  <pic:blipFill>
                    <a:blip r:embed="rId367" cstate="print"/>
                    <a:stretch>
                      <a:fillRect/>
                    </a:stretch>
                  </pic:blipFill>
                  <pic:spPr>
                    <a:xfrm>
                      <a:off x="0" y="0"/>
                      <a:ext cx="3289161" cy="2265274"/>
                    </a:xfrm>
                    <a:prstGeom prst="rect">
                      <a:avLst/>
                    </a:prstGeom>
                  </pic:spPr>
                </pic:pic>
              </a:graphicData>
            </a:graphic>
          </wp:anchor>
        </w:drawing>
      </w:r>
      <w:r>
        <w:t>medical staff, and the unavailability of procedures locally.</w:t>
      </w:r>
      <w:hyperlink w:anchor="_bookmark429" w:history="1">
        <w:r>
          <w:rPr>
            <w:vertAlign w:val="superscript"/>
          </w:rPr>
          <w:t>78</w:t>
        </w:r>
      </w:hyperlink>
      <w:r>
        <w:rPr>
          <w:vertAlign w:val="superscript"/>
        </w:rPr>
        <w:t>,</w:t>
      </w:r>
      <w:hyperlink w:anchor="_bookmark430" w:history="1">
        <w:r>
          <w:rPr>
            <w:vertAlign w:val="superscript"/>
          </w:rPr>
          <w:t>79</w:t>
        </w:r>
      </w:hyperlink>
      <w:r>
        <w:rPr>
          <w:vertAlign w:val="superscript"/>
        </w:rPr>
        <w:t>,</w:t>
      </w:r>
      <w:hyperlink w:anchor="_bookmark431" w:history="1">
        <w:r>
          <w:rPr>
            <w:vertAlign w:val="superscript"/>
          </w:rPr>
          <w:t>80</w:t>
        </w:r>
      </w:hyperlink>
      <w:r>
        <w:rPr>
          <w:spacing w:val="-1"/>
        </w:rPr>
        <w:t xml:space="preserve"> </w:t>
      </w:r>
      <w:r>
        <w:t>Additionally, the lack of insurance</w:t>
      </w:r>
      <w:r>
        <w:t xml:space="preserve"> coverage for fertility preservation remains a major </w:t>
      </w:r>
      <w:r>
        <w:rPr>
          <w:spacing w:val="-2"/>
        </w:rPr>
        <w:t>barrier.</w:t>
      </w:r>
    </w:p>
    <w:p w:rsidR="00200FDA" w:rsidRDefault="00F76C4C">
      <w:pPr>
        <w:pStyle w:val="BodyText"/>
        <w:spacing w:before="119" w:line="276" w:lineRule="auto"/>
        <w:ind w:left="6380" w:right="134"/>
        <w:jc w:val="both"/>
      </w:pPr>
      <w:r>
        <w:t>LGBTQ young adults may not immediately see the possibility of building</w:t>
      </w:r>
      <w:r>
        <w:rPr>
          <w:spacing w:val="-4"/>
        </w:rPr>
        <w:t xml:space="preserve"> </w:t>
      </w:r>
      <w:r>
        <w:t>a</w:t>
      </w:r>
      <w:r>
        <w:rPr>
          <w:spacing w:val="-4"/>
        </w:rPr>
        <w:t xml:space="preserve"> </w:t>
      </w:r>
      <w:r>
        <w:t>family</w:t>
      </w:r>
      <w:r>
        <w:rPr>
          <w:spacing w:val="-3"/>
        </w:rPr>
        <w:t xml:space="preserve"> </w:t>
      </w:r>
      <w:r>
        <w:t>when</w:t>
      </w:r>
      <w:r>
        <w:rPr>
          <w:spacing w:val="-6"/>
        </w:rPr>
        <w:t xml:space="preserve"> </w:t>
      </w:r>
      <w:r>
        <w:t>they</w:t>
      </w:r>
      <w:r>
        <w:rPr>
          <w:spacing w:val="-3"/>
        </w:rPr>
        <w:t xml:space="preserve"> </w:t>
      </w:r>
      <w:r>
        <w:t>do</w:t>
      </w:r>
      <w:r>
        <w:rPr>
          <w:spacing w:val="-2"/>
        </w:rPr>
        <w:t xml:space="preserve"> </w:t>
      </w:r>
      <w:r>
        <w:t>not see themselves reflected in adults and</w:t>
      </w:r>
      <w:r>
        <w:rPr>
          <w:spacing w:val="-13"/>
        </w:rPr>
        <w:t xml:space="preserve"> </w:t>
      </w:r>
      <w:r>
        <w:t>family</w:t>
      </w:r>
      <w:r>
        <w:rPr>
          <w:spacing w:val="-12"/>
        </w:rPr>
        <w:t xml:space="preserve"> </w:t>
      </w:r>
      <w:r>
        <w:t>structures</w:t>
      </w:r>
      <w:r>
        <w:rPr>
          <w:spacing w:val="-13"/>
        </w:rPr>
        <w:t xml:space="preserve"> </w:t>
      </w:r>
      <w:r>
        <w:t>around</w:t>
      </w:r>
      <w:r>
        <w:rPr>
          <w:spacing w:val="-12"/>
        </w:rPr>
        <w:t xml:space="preserve"> </w:t>
      </w:r>
      <w:r>
        <w:t>them. When discussing family plan</w:t>
      </w:r>
      <w:r>
        <w:t>ning with LGBTQ youth and their caregivers, providers should discuss</w:t>
      </w:r>
      <w:r>
        <w:rPr>
          <w:spacing w:val="67"/>
          <w:w w:val="150"/>
        </w:rPr>
        <w:t xml:space="preserve">  </w:t>
      </w:r>
      <w:r>
        <w:t>the</w:t>
      </w:r>
      <w:r>
        <w:rPr>
          <w:spacing w:val="68"/>
          <w:w w:val="150"/>
        </w:rPr>
        <w:t xml:space="preserve">  </w:t>
      </w:r>
      <w:r>
        <w:t>various</w:t>
      </w:r>
      <w:r>
        <w:rPr>
          <w:spacing w:val="66"/>
          <w:w w:val="150"/>
        </w:rPr>
        <w:t xml:space="preserve">  </w:t>
      </w:r>
      <w:r>
        <w:rPr>
          <w:spacing w:val="-2"/>
        </w:rPr>
        <w:t>options</w:t>
      </w:r>
    </w:p>
    <w:p w:rsidR="00200FDA" w:rsidRDefault="00F76C4C">
      <w:pPr>
        <w:pStyle w:val="BodyText"/>
        <w:spacing w:line="276" w:lineRule="auto"/>
        <w:ind w:left="139" w:right="133"/>
        <w:jc w:val="both"/>
      </w:pPr>
      <w:r>
        <w:t>available, such as surrogacy, adoption, assisted reproduction, or co-parenting. Providers should also ensure that</w:t>
      </w:r>
      <w:r>
        <w:rPr>
          <w:spacing w:val="-1"/>
        </w:rPr>
        <w:t xml:space="preserve"> </w:t>
      </w:r>
      <w:r>
        <w:t>youth</w:t>
      </w:r>
      <w:r>
        <w:rPr>
          <w:spacing w:val="-3"/>
        </w:rPr>
        <w:t xml:space="preserve"> </w:t>
      </w:r>
      <w:r>
        <w:t>understand that testosterone is</w:t>
      </w:r>
      <w:r>
        <w:rPr>
          <w:spacing w:val="-2"/>
        </w:rPr>
        <w:t xml:space="preserve"> </w:t>
      </w:r>
      <w:r>
        <w:t>not</w:t>
      </w:r>
      <w:r>
        <w:rPr>
          <w:spacing w:val="-4"/>
        </w:rPr>
        <w:t xml:space="preserve"> </w:t>
      </w:r>
      <w:r>
        <w:t>a form</w:t>
      </w:r>
      <w:r>
        <w:rPr>
          <w:spacing w:val="-1"/>
        </w:rPr>
        <w:t xml:space="preserve"> </w:t>
      </w:r>
      <w:r>
        <w:t>of</w:t>
      </w:r>
      <w:r>
        <w:rPr>
          <w:spacing w:val="-2"/>
        </w:rPr>
        <w:t xml:space="preserve"> </w:t>
      </w:r>
      <w:r>
        <w:t>birth control, and</w:t>
      </w:r>
      <w:r>
        <w:rPr>
          <w:spacing w:val="-3"/>
        </w:rPr>
        <w:t xml:space="preserve"> </w:t>
      </w:r>
      <w:r>
        <w:t>that</w:t>
      </w:r>
      <w:r>
        <w:rPr>
          <w:spacing w:val="-1"/>
        </w:rPr>
        <w:t xml:space="preserve"> </w:t>
      </w:r>
      <w:r>
        <w:t>transgender</w:t>
      </w:r>
      <w:r>
        <w:rPr>
          <w:spacing w:val="-2"/>
        </w:rPr>
        <w:t xml:space="preserve"> </w:t>
      </w:r>
      <w:r>
        <w:t>men and nonbinary individuals may still become pregnant while on testosterone. This</w:t>
      </w:r>
      <w:r>
        <w:rPr>
          <w:spacing w:val="-2"/>
        </w:rPr>
        <w:t xml:space="preserve"> </w:t>
      </w:r>
      <w:r>
        <w:t>counseling is especially important since LGBTQ youth may be at an increased risk for teenage pregnancy.</w:t>
      </w:r>
      <w:hyperlink w:anchor="_bookmark432" w:history="1">
        <w:r>
          <w:rPr>
            <w:vertAlign w:val="superscript"/>
          </w:rPr>
          <w:t>81</w:t>
        </w:r>
      </w:hyperlink>
    </w:p>
    <w:p w:rsidR="00200FDA" w:rsidRDefault="00200FDA">
      <w:pPr>
        <w:pStyle w:val="BodyText"/>
        <w:rPr>
          <w:sz w:val="24"/>
        </w:rPr>
      </w:pPr>
    </w:p>
    <w:p w:rsidR="00200FDA" w:rsidRDefault="00200FDA">
      <w:pPr>
        <w:pStyle w:val="BodyText"/>
        <w:rPr>
          <w:sz w:val="21"/>
        </w:rPr>
      </w:pPr>
    </w:p>
    <w:p w:rsidR="00200FDA" w:rsidRDefault="00F76C4C">
      <w:pPr>
        <w:pStyle w:val="Heading8"/>
      </w:pPr>
      <w:bookmarkStart w:id="479" w:name="Sexually_Transmitted_Infections_(STIs)"/>
      <w:bookmarkEnd w:id="479"/>
      <w:r>
        <w:rPr>
          <w:color w:val="0A5293"/>
        </w:rPr>
        <w:t>Sexually</w:t>
      </w:r>
      <w:r>
        <w:rPr>
          <w:color w:val="0A5293"/>
          <w:spacing w:val="-3"/>
        </w:rPr>
        <w:t xml:space="preserve"> </w:t>
      </w:r>
      <w:r>
        <w:rPr>
          <w:color w:val="0A5293"/>
        </w:rPr>
        <w:t>Transmitted</w:t>
      </w:r>
      <w:r>
        <w:rPr>
          <w:color w:val="0A5293"/>
          <w:spacing w:val="-4"/>
        </w:rPr>
        <w:t xml:space="preserve"> </w:t>
      </w:r>
      <w:r>
        <w:rPr>
          <w:color w:val="0A5293"/>
        </w:rPr>
        <w:t>Infections</w:t>
      </w:r>
      <w:r>
        <w:rPr>
          <w:color w:val="0A5293"/>
          <w:spacing w:val="-2"/>
        </w:rPr>
        <w:t xml:space="preserve"> (STIs)</w:t>
      </w:r>
    </w:p>
    <w:p w:rsidR="00200FDA" w:rsidRDefault="00200FDA">
      <w:pPr>
        <w:pStyle w:val="BodyText"/>
        <w:spacing w:before="4"/>
        <w:rPr>
          <w:sz w:val="25"/>
        </w:rPr>
      </w:pPr>
    </w:p>
    <w:p w:rsidR="00200FDA" w:rsidRDefault="00F76C4C">
      <w:pPr>
        <w:pStyle w:val="BodyText"/>
        <w:spacing w:line="276" w:lineRule="auto"/>
        <w:ind w:left="140" w:right="135"/>
        <w:jc w:val="both"/>
      </w:pPr>
      <w:r>
        <w:t>In</w:t>
      </w:r>
      <w:r>
        <w:rPr>
          <w:spacing w:val="-2"/>
        </w:rPr>
        <w:t xml:space="preserve"> </w:t>
      </w:r>
      <w:r>
        <w:t>a</w:t>
      </w:r>
      <w:r>
        <w:rPr>
          <w:spacing w:val="-1"/>
        </w:rPr>
        <w:t xml:space="preserve"> </w:t>
      </w:r>
      <w:r>
        <w:t>recent</w:t>
      </w:r>
      <w:r>
        <w:rPr>
          <w:spacing w:val="-3"/>
        </w:rPr>
        <w:t xml:space="preserve"> </w:t>
      </w:r>
      <w:r>
        <w:t>national</w:t>
      </w:r>
      <w:r>
        <w:rPr>
          <w:spacing w:val="-3"/>
        </w:rPr>
        <w:t xml:space="preserve"> </w:t>
      </w:r>
      <w:r>
        <w:t>2021</w:t>
      </w:r>
      <w:r>
        <w:rPr>
          <w:spacing w:val="-2"/>
        </w:rPr>
        <w:t xml:space="preserve"> </w:t>
      </w:r>
      <w:r>
        <w:t>HIV</w:t>
      </w:r>
      <w:r>
        <w:rPr>
          <w:spacing w:val="-1"/>
        </w:rPr>
        <w:t xml:space="preserve"> </w:t>
      </w:r>
      <w:r>
        <w:t>study</w:t>
      </w:r>
      <w:r>
        <w:rPr>
          <w:spacing w:val="-2"/>
        </w:rPr>
        <w:t xml:space="preserve"> </w:t>
      </w:r>
      <w:r>
        <w:t>of</w:t>
      </w:r>
      <w:r>
        <w:rPr>
          <w:spacing w:val="-6"/>
        </w:rPr>
        <w:t xml:space="preserve"> </w:t>
      </w:r>
      <w:r>
        <w:t>youth</w:t>
      </w:r>
      <w:r>
        <w:rPr>
          <w:spacing w:val="-4"/>
        </w:rPr>
        <w:t xml:space="preserve"> </w:t>
      </w:r>
      <w:r>
        <w:t>over</w:t>
      </w:r>
      <w:r>
        <w:rPr>
          <w:spacing w:val="-6"/>
        </w:rPr>
        <w:t xml:space="preserve"> </w:t>
      </w:r>
      <w:r>
        <w:t>18,</w:t>
      </w:r>
      <w:r>
        <w:rPr>
          <w:spacing w:val="-3"/>
        </w:rPr>
        <w:t xml:space="preserve"> </w:t>
      </w:r>
      <w:r>
        <w:t>it is</w:t>
      </w:r>
      <w:r>
        <w:rPr>
          <w:spacing w:val="-3"/>
        </w:rPr>
        <w:t xml:space="preserve"> </w:t>
      </w:r>
      <w:r>
        <w:t>clear</w:t>
      </w:r>
      <w:r>
        <w:rPr>
          <w:spacing w:val="-4"/>
        </w:rPr>
        <w:t xml:space="preserve"> </w:t>
      </w:r>
      <w:r>
        <w:t>that</w:t>
      </w:r>
      <w:r>
        <w:rPr>
          <w:spacing w:val="-3"/>
        </w:rPr>
        <w:t xml:space="preserve"> </w:t>
      </w:r>
      <w:r>
        <w:t>the risk</w:t>
      </w:r>
      <w:r>
        <w:rPr>
          <w:spacing w:val="-3"/>
        </w:rPr>
        <w:t xml:space="preserve"> </w:t>
      </w:r>
      <w:r>
        <w:t>of</w:t>
      </w:r>
      <w:r>
        <w:rPr>
          <w:spacing w:val="-3"/>
        </w:rPr>
        <w:t xml:space="preserve"> </w:t>
      </w:r>
      <w:r>
        <w:t>HIV</w:t>
      </w:r>
      <w:r>
        <w:rPr>
          <w:spacing w:val="-1"/>
        </w:rPr>
        <w:t xml:space="preserve"> </w:t>
      </w:r>
      <w:r>
        <w:t>for</w:t>
      </w:r>
      <w:r>
        <w:rPr>
          <w:spacing w:val="-3"/>
        </w:rPr>
        <w:t xml:space="preserve"> </w:t>
      </w:r>
      <w:r>
        <w:t>LGBTQ</w:t>
      </w:r>
      <w:r>
        <w:rPr>
          <w:spacing w:val="-3"/>
        </w:rPr>
        <w:t xml:space="preserve"> </w:t>
      </w:r>
      <w:r>
        <w:t>youth</w:t>
      </w:r>
      <w:r>
        <w:rPr>
          <w:spacing w:val="-4"/>
        </w:rPr>
        <w:t xml:space="preserve"> </w:t>
      </w:r>
      <w:r>
        <w:t>is</w:t>
      </w:r>
      <w:r>
        <w:rPr>
          <w:spacing w:val="-3"/>
        </w:rPr>
        <w:t xml:space="preserve"> </w:t>
      </w:r>
      <w:r>
        <w:t>still much higher compared to their non-LGBTQ peers, especially among young gay and bisexual cisgender men</w:t>
      </w:r>
      <w:r>
        <w:rPr>
          <w:spacing w:val="-4"/>
        </w:rPr>
        <w:t xml:space="preserve"> </w:t>
      </w:r>
      <w:r>
        <w:t>and</w:t>
      </w:r>
      <w:r>
        <w:rPr>
          <w:spacing w:val="-4"/>
        </w:rPr>
        <w:t xml:space="preserve"> </w:t>
      </w:r>
      <w:r>
        <w:t>transgender</w:t>
      </w:r>
      <w:r>
        <w:rPr>
          <w:spacing w:val="-6"/>
        </w:rPr>
        <w:t xml:space="preserve"> </w:t>
      </w:r>
      <w:r>
        <w:t>women.</w:t>
      </w:r>
      <w:hyperlink w:anchor="_bookmark433" w:history="1">
        <w:r>
          <w:rPr>
            <w:vertAlign w:val="superscript"/>
          </w:rPr>
          <w:t>82</w:t>
        </w:r>
      </w:hyperlink>
      <w:r>
        <w:rPr>
          <w:spacing w:val="-2"/>
        </w:rPr>
        <w:t xml:space="preserve"> </w:t>
      </w:r>
      <w:r>
        <w:t>Furthermore,</w:t>
      </w:r>
      <w:r>
        <w:rPr>
          <w:spacing w:val="-6"/>
        </w:rPr>
        <w:t xml:space="preserve"> </w:t>
      </w:r>
      <w:r>
        <w:t>trans</w:t>
      </w:r>
      <w:r>
        <w:rPr>
          <w:spacing w:val="-3"/>
        </w:rPr>
        <w:t xml:space="preserve"> </w:t>
      </w:r>
      <w:r>
        <w:t>women</w:t>
      </w:r>
      <w:r>
        <w:rPr>
          <w:spacing w:val="-6"/>
        </w:rPr>
        <w:t xml:space="preserve"> </w:t>
      </w:r>
      <w:r>
        <w:t>may</w:t>
      </w:r>
      <w:r>
        <w:rPr>
          <w:spacing w:val="-3"/>
        </w:rPr>
        <w:t xml:space="preserve"> </w:t>
      </w:r>
      <w:r>
        <w:t>be</w:t>
      </w:r>
      <w:r>
        <w:rPr>
          <w:spacing w:val="-5"/>
        </w:rPr>
        <w:t xml:space="preserve"> </w:t>
      </w:r>
      <w:r>
        <w:t>66</w:t>
      </w:r>
      <w:r>
        <w:rPr>
          <w:spacing w:val="-5"/>
        </w:rPr>
        <w:t xml:space="preserve"> </w:t>
      </w:r>
      <w:r>
        <w:t>times</w:t>
      </w:r>
      <w:r>
        <w:rPr>
          <w:spacing w:val="-3"/>
        </w:rPr>
        <w:t xml:space="preserve"> </w:t>
      </w:r>
      <w:r>
        <w:t>more</w:t>
      </w:r>
      <w:r>
        <w:rPr>
          <w:spacing w:val="-5"/>
        </w:rPr>
        <w:t xml:space="preserve"> </w:t>
      </w:r>
      <w:r>
        <w:t>likely</w:t>
      </w:r>
      <w:r>
        <w:rPr>
          <w:spacing w:val="-3"/>
        </w:rPr>
        <w:t xml:space="preserve"> </w:t>
      </w:r>
      <w:r>
        <w:t>to</w:t>
      </w:r>
      <w:r>
        <w:rPr>
          <w:spacing w:val="-2"/>
        </w:rPr>
        <w:t xml:space="preserve"> </w:t>
      </w:r>
      <w:r>
        <w:t>be</w:t>
      </w:r>
      <w:r>
        <w:rPr>
          <w:spacing w:val="-3"/>
        </w:rPr>
        <w:t xml:space="preserve"> </w:t>
      </w:r>
      <w:r>
        <w:t>diagnosed with</w:t>
      </w:r>
      <w:r>
        <w:rPr>
          <w:spacing w:val="-4"/>
        </w:rPr>
        <w:t xml:space="preserve"> </w:t>
      </w:r>
      <w:r>
        <w:t>HIV,</w:t>
      </w:r>
      <w:r>
        <w:rPr>
          <w:spacing w:val="-3"/>
        </w:rPr>
        <w:t xml:space="preserve"> </w:t>
      </w:r>
      <w:r>
        <w:t>and</w:t>
      </w:r>
      <w:r>
        <w:rPr>
          <w:spacing w:val="-4"/>
        </w:rPr>
        <w:t xml:space="preserve"> </w:t>
      </w:r>
      <w:r>
        <w:t>trans</w:t>
      </w:r>
      <w:r>
        <w:rPr>
          <w:spacing w:val="-3"/>
        </w:rPr>
        <w:t xml:space="preserve"> </w:t>
      </w:r>
      <w:r>
        <w:t>men</w:t>
      </w:r>
      <w:r>
        <w:rPr>
          <w:spacing w:val="-4"/>
        </w:rPr>
        <w:t xml:space="preserve"> </w:t>
      </w:r>
      <w:r>
        <w:t>7</w:t>
      </w:r>
      <w:r>
        <w:rPr>
          <w:spacing w:val="-5"/>
        </w:rPr>
        <w:t xml:space="preserve"> </w:t>
      </w:r>
      <w:r>
        <w:t>times</w:t>
      </w:r>
      <w:r>
        <w:rPr>
          <w:spacing w:val="-6"/>
        </w:rPr>
        <w:t xml:space="preserve"> </w:t>
      </w:r>
      <w:r>
        <w:t>more</w:t>
      </w:r>
      <w:r>
        <w:rPr>
          <w:spacing w:val="-3"/>
        </w:rPr>
        <w:t xml:space="preserve"> </w:t>
      </w:r>
      <w:r>
        <w:t>likely</w:t>
      </w:r>
      <w:r>
        <w:rPr>
          <w:spacing w:val="-2"/>
        </w:rPr>
        <w:t xml:space="preserve"> </w:t>
      </w:r>
      <w:r>
        <w:t>to</w:t>
      </w:r>
      <w:r>
        <w:rPr>
          <w:spacing w:val="-2"/>
        </w:rPr>
        <w:t xml:space="preserve"> </w:t>
      </w:r>
      <w:r>
        <w:t>be</w:t>
      </w:r>
      <w:r>
        <w:rPr>
          <w:spacing w:val="-3"/>
        </w:rPr>
        <w:t xml:space="preserve"> </w:t>
      </w:r>
      <w:r>
        <w:t>diagnosed.</w:t>
      </w:r>
      <w:r>
        <w:rPr>
          <w:spacing w:val="-4"/>
        </w:rPr>
        <w:t xml:space="preserve"> </w:t>
      </w:r>
      <w:r>
        <w:t>These</w:t>
      </w:r>
      <w:r>
        <w:rPr>
          <w:spacing w:val="-3"/>
        </w:rPr>
        <w:t xml:space="preserve"> </w:t>
      </w:r>
      <w:r>
        <w:t>disparities</w:t>
      </w:r>
      <w:r>
        <w:rPr>
          <w:spacing w:val="-3"/>
        </w:rPr>
        <w:t xml:space="preserve"> </w:t>
      </w:r>
      <w:r>
        <w:t>are</w:t>
      </w:r>
      <w:r>
        <w:rPr>
          <w:spacing w:val="-3"/>
        </w:rPr>
        <w:t xml:space="preserve"> </w:t>
      </w:r>
      <w:r>
        <w:t>likely</w:t>
      </w:r>
      <w:r>
        <w:rPr>
          <w:spacing w:val="-3"/>
        </w:rPr>
        <w:t xml:space="preserve"> </w:t>
      </w:r>
      <w:r>
        <w:t>due</w:t>
      </w:r>
      <w:r>
        <w:rPr>
          <w:spacing w:val="-3"/>
        </w:rPr>
        <w:t xml:space="preserve"> </w:t>
      </w:r>
      <w:r>
        <w:t>to</w:t>
      </w:r>
      <w:r>
        <w:rPr>
          <w:spacing w:val="-2"/>
        </w:rPr>
        <w:t xml:space="preserve"> </w:t>
      </w:r>
      <w:r>
        <w:t>a</w:t>
      </w:r>
      <w:r>
        <w:rPr>
          <w:spacing w:val="-4"/>
        </w:rPr>
        <w:t xml:space="preserve"> </w:t>
      </w:r>
      <w:r>
        <w:t>number of factors, including stigma and discrimination, lack of access to comprehensive sexual health education</w:t>
      </w:r>
    </w:p>
    <w:p w:rsidR="00200FDA" w:rsidRDefault="00200FDA">
      <w:pPr>
        <w:spacing w:line="276" w:lineRule="auto"/>
        <w:jc w:val="both"/>
        <w:sectPr w:rsidR="00200FDA">
          <w:pgSz w:w="12240" w:h="15840"/>
          <w:pgMar w:top="1360" w:right="1300" w:bottom="1380" w:left="1300" w:header="761" w:footer="1132" w:gutter="0"/>
          <w:cols w:space="720"/>
        </w:sectPr>
      </w:pPr>
    </w:p>
    <w:p w:rsidR="00200FDA" w:rsidRDefault="00F76C4C">
      <w:pPr>
        <w:pStyle w:val="BodyText"/>
        <w:spacing w:before="64" w:line="276" w:lineRule="auto"/>
        <w:ind w:left="140" w:right="135"/>
        <w:jc w:val="both"/>
      </w:pPr>
      <w:r>
        <w:lastRenderedPageBreak/>
        <w:t>and resources, and higher rates of risky behaviors such as unprotected sex and injection drug use. Fortunately,</w:t>
      </w:r>
      <w:r>
        <w:rPr>
          <w:spacing w:val="-4"/>
        </w:rPr>
        <w:t xml:space="preserve"> </w:t>
      </w:r>
      <w:r>
        <w:t>in</w:t>
      </w:r>
      <w:r>
        <w:rPr>
          <w:spacing w:val="-7"/>
        </w:rPr>
        <w:t xml:space="preserve"> </w:t>
      </w:r>
      <w:r>
        <w:t>Massachusetts,</w:t>
      </w:r>
      <w:r>
        <w:rPr>
          <w:spacing w:val="-4"/>
        </w:rPr>
        <w:t xml:space="preserve"> </w:t>
      </w:r>
      <w:r>
        <w:t>HIV</w:t>
      </w:r>
      <w:r>
        <w:rPr>
          <w:spacing w:val="-5"/>
        </w:rPr>
        <w:t xml:space="preserve"> </w:t>
      </w:r>
      <w:r>
        <w:t>transmission</w:t>
      </w:r>
      <w:r>
        <w:rPr>
          <w:spacing w:val="-5"/>
        </w:rPr>
        <w:t xml:space="preserve"> </w:t>
      </w:r>
      <w:r>
        <w:t>rates</w:t>
      </w:r>
      <w:r>
        <w:rPr>
          <w:spacing w:val="-7"/>
        </w:rPr>
        <w:t xml:space="preserve"> </w:t>
      </w:r>
      <w:r>
        <w:t>in</w:t>
      </w:r>
      <w:r>
        <w:rPr>
          <w:spacing w:val="-5"/>
        </w:rPr>
        <w:t xml:space="preserve"> </w:t>
      </w:r>
      <w:r>
        <w:t>youth</w:t>
      </w:r>
      <w:r>
        <w:rPr>
          <w:spacing w:val="-7"/>
        </w:rPr>
        <w:t xml:space="preserve"> </w:t>
      </w:r>
      <w:r>
        <w:t>aged</w:t>
      </w:r>
      <w:r>
        <w:rPr>
          <w:spacing w:val="-5"/>
        </w:rPr>
        <w:t xml:space="preserve"> </w:t>
      </w:r>
      <w:r>
        <w:t>0-19</w:t>
      </w:r>
      <w:r>
        <w:rPr>
          <w:spacing w:val="-6"/>
        </w:rPr>
        <w:t xml:space="preserve"> </w:t>
      </w:r>
      <w:r>
        <w:t>have</w:t>
      </w:r>
      <w:r>
        <w:rPr>
          <w:spacing w:val="-4"/>
        </w:rPr>
        <w:t xml:space="preserve"> </w:t>
      </w:r>
      <w:r>
        <w:t>lowered</w:t>
      </w:r>
      <w:r>
        <w:rPr>
          <w:spacing w:val="-7"/>
        </w:rPr>
        <w:t xml:space="preserve"> </w:t>
      </w:r>
      <w:r>
        <w:t>significantly,</w:t>
      </w:r>
      <w:r>
        <w:rPr>
          <w:spacing w:val="-6"/>
        </w:rPr>
        <w:t xml:space="preserve"> </w:t>
      </w:r>
      <w:r>
        <w:t>with youth aged 0-19 making up only 2% of recent HIV inf</w:t>
      </w:r>
      <w:r>
        <w:t>ection diagnoses in 2020.</w:t>
      </w:r>
      <w:hyperlink w:anchor="_bookmark434" w:history="1">
        <w:r>
          <w:rPr>
            <w:vertAlign w:val="superscript"/>
          </w:rPr>
          <w:t>83</w:t>
        </w:r>
      </w:hyperlink>
    </w:p>
    <w:p w:rsidR="00200FDA" w:rsidRDefault="00F76C4C">
      <w:pPr>
        <w:pStyle w:val="BodyText"/>
        <w:spacing w:before="120" w:line="276" w:lineRule="auto"/>
        <w:ind w:left="139" w:right="134"/>
        <w:jc w:val="both"/>
      </w:pPr>
      <w:r>
        <w:t>Unfortunately, it is still important</w:t>
      </w:r>
      <w:r>
        <w:rPr>
          <w:spacing w:val="-1"/>
        </w:rPr>
        <w:t xml:space="preserve"> </w:t>
      </w:r>
      <w:r>
        <w:t>to</w:t>
      </w:r>
      <w:r>
        <w:rPr>
          <w:spacing w:val="-1"/>
        </w:rPr>
        <w:t xml:space="preserve"> </w:t>
      </w:r>
      <w:r>
        <w:t>note that societal</w:t>
      </w:r>
      <w:r>
        <w:rPr>
          <w:spacing w:val="-2"/>
        </w:rPr>
        <w:t xml:space="preserve"> </w:t>
      </w:r>
      <w:r>
        <w:t>stigma</w:t>
      </w:r>
      <w:r>
        <w:rPr>
          <w:spacing w:val="-2"/>
        </w:rPr>
        <w:t xml:space="preserve"> </w:t>
      </w:r>
      <w:r>
        <w:t>and discrimination</w:t>
      </w:r>
      <w:r>
        <w:rPr>
          <w:spacing w:val="-5"/>
        </w:rPr>
        <w:t xml:space="preserve"> </w:t>
      </w:r>
      <w:r>
        <w:t>can make it difficult for LGBTQ youth in general to seek out testing, prevention, and treatment services, leadi</w:t>
      </w:r>
      <w:r>
        <w:t>ng to a higher risk of HIV transmission and poorer health outcomes. Many LGBTQ youth do not ask for sexual health information</w:t>
      </w:r>
      <w:r>
        <w:rPr>
          <w:spacing w:val="-6"/>
        </w:rPr>
        <w:t xml:space="preserve"> </w:t>
      </w:r>
      <w:r>
        <w:t>or</w:t>
      </w:r>
      <w:r>
        <w:rPr>
          <w:spacing w:val="-3"/>
        </w:rPr>
        <w:t xml:space="preserve"> </w:t>
      </w:r>
      <w:r>
        <w:t>discuss</w:t>
      </w:r>
      <w:r>
        <w:rPr>
          <w:spacing w:val="-3"/>
        </w:rPr>
        <w:t xml:space="preserve"> </w:t>
      </w:r>
      <w:r>
        <w:t>their</w:t>
      </w:r>
      <w:r>
        <w:rPr>
          <w:spacing w:val="-3"/>
        </w:rPr>
        <w:t xml:space="preserve"> </w:t>
      </w:r>
      <w:r>
        <w:t>sexual</w:t>
      </w:r>
      <w:r>
        <w:rPr>
          <w:spacing w:val="-4"/>
        </w:rPr>
        <w:t xml:space="preserve"> </w:t>
      </w:r>
      <w:r>
        <w:t>orientation</w:t>
      </w:r>
      <w:r>
        <w:rPr>
          <w:spacing w:val="-6"/>
        </w:rPr>
        <w:t xml:space="preserve"> </w:t>
      </w:r>
      <w:r>
        <w:t>with</w:t>
      </w:r>
      <w:r>
        <w:rPr>
          <w:spacing w:val="-4"/>
        </w:rPr>
        <w:t xml:space="preserve"> </w:t>
      </w:r>
      <w:r>
        <w:t>their</w:t>
      </w:r>
      <w:r>
        <w:rPr>
          <w:spacing w:val="-4"/>
        </w:rPr>
        <w:t xml:space="preserve"> </w:t>
      </w:r>
      <w:r>
        <w:t>provider</w:t>
      </w:r>
      <w:r>
        <w:rPr>
          <w:spacing w:val="-3"/>
        </w:rPr>
        <w:t xml:space="preserve"> </w:t>
      </w:r>
      <w:r>
        <w:t>because</w:t>
      </w:r>
      <w:r>
        <w:rPr>
          <w:spacing w:val="-5"/>
        </w:rPr>
        <w:t xml:space="preserve"> </w:t>
      </w:r>
      <w:r>
        <w:t>of</w:t>
      </w:r>
      <w:r>
        <w:rPr>
          <w:spacing w:val="-4"/>
        </w:rPr>
        <w:t xml:space="preserve"> </w:t>
      </w:r>
      <w:r>
        <w:t>a</w:t>
      </w:r>
      <w:r>
        <w:rPr>
          <w:spacing w:val="-4"/>
        </w:rPr>
        <w:t xml:space="preserve"> </w:t>
      </w:r>
      <w:r>
        <w:t>concern</w:t>
      </w:r>
      <w:r>
        <w:rPr>
          <w:spacing w:val="-4"/>
        </w:rPr>
        <w:t xml:space="preserve"> </w:t>
      </w:r>
      <w:r>
        <w:t>that</w:t>
      </w:r>
      <w:r>
        <w:rPr>
          <w:spacing w:val="-3"/>
        </w:rPr>
        <w:t xml:space="preserve"> </w:t>
      </w:r>
      <w:r>
        <w:t>the</w:t>
      </w:r>
      <w:r>
        <w:rPr>
          <w:spacing w:val="-3"/>
        </w:rPr>
        <w:t xml:space="preserve"> </w:t>
      </w:r>
      <w:r>
        <w:t xml:space="preserve">provider would disclose this information to </w:t>
      </w:r>
      <w:r>
        <w:t>their caregiver.</w:t>
      </w:r>
      <w:hyperlink w:anchor="_bookmark435" w:history="1">
        <w:r>
          <w:rPr>
            <w:vertAlign w:val="superscript"/>
          </w:rPr>
          <w:t>84</w:t>
        </w:r>
      </w:hyperlink>
      <w:r>
        <w:rPr>
          <w:spacing w:val="-2"/>
        </w:rPr>
        <w:t xml:space="preserve"> </w:t>
      </w:r>
      <w:r>
        <w:t>Privacy concerns also affect access to pre-exposure prophylaxis (PrEP) and post-exposure prophylaxis (PEP), which are HIV medications that reduce the risk of HIV transmission. LGBTQ youth face privacy risks when accessing PrEP, such as having an explanatio</w:t>
      </w:r>
      <w:r>
        <w:t>n of benefits sent to their caregiver, which could potentially out them before they are ready.</w:t>
      </w:r>
      <w:hyperlink w:anchor="_bookmark436" w:history="1">
        <w:r>
          <w:rPr>
            <w:vertAlign w:val="superscript"/>
          </w:rPr>
          <w:t>85</w:t>
        </w:r>
      </w:hyperlink>
    </w:p>
    <w:p w:rsidR="00200FDA" w:rsidRDefault="00F76C4C">
      <w:pPr>
        <w:pStyle w:val="BodyText"/>
        <w:spacing w:before="121" w:line="276" w:lineRule="auto"/>
        <w:ind w:left="139" w:right="132"/>
        <w:jc w:val="both"/>
      </w:pPr>
      <w:r>
        <w:t xml:space="preserve">In 2022, Massachusetts passed legislation, fulfilling a previous recommendation from the Commission, which allowed individuals </w:t>
      </w:r>
      <w:r>
        <w:t>under the age of 18 to access PrEP without caregiver consent and prohibited the</w:t>
      </w:r>
      <w:r>
        <w:rPr>
          <w:spacing w:val="-11"/>
        </w:rPr>
        <w:t xml:space="preserve"> </w:t>
      </w:r>
      <w:r>
        <w:t>release</w:t>
      </w:r>
      <w:r>
        <w:rPr>
          <w:spacing w:val="-12"/>
        </w:rPr>
        <w:t xml:space="preserve"> </w:t>
      </w:r>
      <w:r>
        <w:t>of</w:t>
      </w:r>
      <w:r>
        <w:rPr>
          <w:spacing w:val="-13"/>
        </w:rPr>
        <w:t xml:space="preserve"> </w:t>
      </w:r>
      <w:r>
        <w:t>medical</w:t>
      </w:r>
      <w:r>
        <w:rPr>
          <w:spacing w:val="-10"/>
        </w:rPr>
        <w:t xml:space="preserve"> </w:t>
      </w:r>
      <w:r>
        <w:t>records</w:t>
      </w:r>
      <w:r>
        <w:rPr>
          <w:spacing w:val="-10"/>
        </w:rPr>
        <w:t xml:space="preserve"> </w:t>
      </w:r>
      <w:r>
        <w:t>related</w:t>
      </w:r>
      <w:r>
        <w:rPr>
          <w:spacing w:val="-13"/>
        </w:rPr>
        <w:t xml:space="preserve"> </w:t>
      </w:r>
      <w:r>
        <w:t>to</w:t>
      </w:r>
      <w:r>
        <w:rPr>
          <w:spacing w:val="-11"/>
        </w:rPr>
        <w:t xml:space="preserve"> </w:t>
      </w:r>
      <w:r>
        <w:t>PrEP</w:t>
      </w:r>
      <w:r>
        <w:rPr>
          <w:spacing w:val="-12"/>
        </w:rPr>
        <w:t xml:space="preserve"> </w:t>
      </w:r>
      <w:r>
        <w:t>without</w:t>
      </w:r>
      <w:r>
        <w:rPr>
          <w:spacing w:val="-12"/>
        </w:rPr>
        <w:t xml:space="preserve"> </w:t>
      </w:r>
      <w:r>
        <w:t>the</w:t>
      </w:r>
      <w:r>
        <w:rPr>
          <w:spacing w:val="-12"/>
        </w:rPr>
        <w:t xml:space="preserve"> </w:t>
      </w:r>
      <w:r>
        <w:t>minor’s</w:t>
      </w:r>
      <w:r>
        <w:rPr>
          <w:spacing w:val="-13"/>
        </w:rPr>
        <w:t xml:space="preserve"> </w:t>
      </w:r>
      <w:r>
        <w:t>written</w:t>
      </w:r>
      <w:r>
        <w:rPr>
          <w:spacing w:val="-10"/>
        </w:rPr>
        <w:t xml:space="preserve"> </w:t>
      </w:r>
      <w:r>
        <w:t>consent.</w:t>
      </w:r>
      <w:hyperlink w:anchor="_bookmark437" w:history="1">
        <w:r>
          <w:rPr>
            <w:vertAlign w:val="superscript"/>
          </w:rPr>
          <w:t>86</w:t>
        </w:r>
      </w:hyperlink>
      <w:r>
        <w:rPr>
          <w:spacing w:val="-2"/>
        </w:rPr>
        <w:t xml:space="preserve"> </w:t>
      </w:r>
      <w:r>
        <w:t>Despite</w:t>
      </w:r>
      <w:r>
        <w:rPr>
          <w:spacing w:val="-10"/>
        </w:rPr>
        <w:t xml:space="preserve"> </w:t>
      </w:r>
      <w:r>
        <w:t>this</w:t>
      </w:r>
      <w:r>
        <w:rPr>
          <w:spacing w:val="-10"/>
        </w:rPr>
        <w:t xml:space="preserve"> </w:t>
      </w:r>
      <w:r>
        <w:t>increase in access, there remains the risk of low</w:t>
      </w:r>
      <w:r>
        <w:t xml:space="preserve"> adherence demonstrating the need for culturally tailored follow- up efforts and assistance with the structural barriers to health experienced by LGBTQ youth, especially young transgender women.</w:t>
      </w:r>
      <w:hyperlink w:anchor="_bookmark438" w:history="1">
        <w:r>
          <w:rPr>
            <w:vertAlign w:val="superscript"/>
          </w:rPr>
          <w:t>87</w:t>
        </w:r>
      </w:hyperlink>
      <w:r>
        <w:rPr>
          <w:spacing w:val="-2"/>
        </w:rPr>
        <w:t xml:space="preserve"> </w:t>
      </w:r>
      <w:r>
        <w:t xml:space="preserve">Moreover, providers in New </w:t>
      </w:r>
      <w:r>
        <w:t>England continue to struggle with low PrEP knowledge, limited time for visits, and competing clinical priorities.</w:t>
      </w:r>
      <w:hyperlink w:anchor="_bookmark439" w:history="1">
        <w:r>
          <w:rPr>
            <w:vertAlign w:val="superscript"/>
          </w:rPr>
          <w:t>88</w:t>
        </w:r>
      </w:hyperlink>
    </w:p>
    <w:p w:rsidR="00200FDA" w:rsidRDefault="00200FDA">
      <w:pPr>
        <w:pStyle w:val="BodyText"/>
        <w:rPr>
          <w:sz w:val="28"/>
        </w:rPr>
      </w:pPr>
    </w:p>
    <w:p w:rsidR="00200FDA" w:rsidRDefault="00F76C4C">
      <w:pPr>
        <w:pStyle w:val="Heading7"/>
        <w:ind w:left="140"/>
        <w:jc w:val="both"/>
      </w:pPr>
      <w:bookmarkStart w:id="480" w:name="COVID_Pandemic"/>
      <w:bookmarkEnd w:id="480"/>
      <w:r>
        <w:rPr>
          <w:color w:val="0A5293"/>
        </w:rPr>
        <w:t>COVID</w:t>
      </w:r>
      <w:r>
        <w:rPr>
          <w:color w:val="0A5293"/>
          <w:spacing w:val="-7"/>
        </w:rPr>
        <w:t xml:space="preserve"> </w:t>
      </w:r>
      <w:r>
        <w:rPr>
          <w:color w:val="0A5293"/>
          <w:spacing w:val="-2"/>
        </w:rPr>
        <w:t>Pandemic</w:t>
      </w:r>
    </w:p>
    <w:p w:rsidR="00200FDA" w:rsidRDefault="00200FDA">
      <w:pPr>
        <w:pStyle w:val="BodyText"/>
        <w:rPr>
          <w:sz w:val="28"/>
        </w:rPr>
      </w:pPr>
    </w:p>
    <w:p w:rsidR="00200FDA" w:rsidRDefault="00F76C4C">
      <w:pPr>
        <w:pStyle w:val="BodyText"/>
        <w:spacing w:line="276" w:lineRule="auto"/>
        <w:ind w:left="139" w:right="133"/>
        <w:jc w:val="both"/>
      </w:pPr>
      <w:r>
        <w:t>The ongoing COVID pandemic and containment measures, such as stay-at-home orders and remote</w:t>
      </w:r>
      <w:r>
        <w:t xml:space="preserve"> learning, have exacerbated existing mental health disparities in the LGBTQ community. According to the Trevor</w:t>
      </w:r>
      <w:r>
        <w:rPr>
          <w:spacing w:val="-8"/>
        </w:rPr>
        <w:t xml:space="preserve"> </w:t>
      </w:r>
      <w:r>
        <w:t>Project,</w:t>
      </w:r>
      <w:r>
        <w:rPr>
          <w:spacing w:val="-8"/>
        </w:rPr>
        <w:t xml:space="preserve"> </w:t>
      </w:r>
      <w:r>
        <w:t>70%</w:t>
      </w:r>
      <w:r>
        <w:rPr>
          <w:spacing w:val="-5"/>
        </w:rPr>
        <w:t xml:space="preserve"> </w:t>
      </w:r>
      <w:r>
        <w:t>of</w:t>
      </w:r>
      <w:r>
        <w:rPr>
          <w:spacing w:val="-8"/>
        </w:rPr>
        <w:t xml:space="preserve"> </w:t>
      </w:r>
      <w:r>
        <w:t>LGBTQ</w:t>
      </w:r>
      <w:r>
        <w:rPr>
          <w:spacing w:val="-5"/>
        </w:rPr>
        <w:t xml:space="preserve"> </w:t>
      </w:r>
      <w:r>
        <w:t>youth</w:t>
      </w:r>
      <w:r>
        <w:rPr>
          <w:spacing w:val="-6"/>
        </w:rPr>
        <w:t xml:space="preserve"> </w:t>
      </w:r>
      <w:r>
        <w:t>stated</w:t>
      </w:r>
      <w:r>
        <w:rPr>
          <w:spacing w:val="-6"/>
        </w:rPr>
        <w:t xml:space="preserve"> </w:t>
      </w:r>
      <w:r>
        <w:t>that</w:t>
      </w:r>
      <w:r>
        <w:rPr>
          <w:spacing w:val="-5"/>
        </w:rPr>
        <w:t xml:space="preserve"> </w:t>
      </w:r>
      <w:r>
        <w:t>their</w:t>
      </w:r>
      <w:r>
        <w:rPr>
          <w:spacing w:val="-8"/>
        </w:rPr>
        <w:t xml:space="preserve"> </w:t>
      </w:r>
      <w:r>
        <w:t>mental</w:t>
      </w:r>
      <w:r>
        <w:rPr>
          <w:spacing w:val="-6"/>
        </w:rPr>
        <w:t xml:space="preserve"> </w:t>
      </w:r>
      <w:r>
        <w:t>health</w:t>
      </w:r>
      <w:r>
        <w:rPr>
          <w:spacing w:val="-6"/>
        </w:rPr>
        <w:t xml:space="preserve"> </w:t>
      </w:r>
      <w:r>
        <w:t>was</w:t>
      </w:r>
      <w:r>
        <w:rPr>
          <w:spacing w:val="-5"/>
        </w:rPr>
        <w:t xml:space="preserve"> </w:t>
      </w:r>
      <w:r>
        <w:t>poor</w:t>
      </w:r>
      <w:r>
        <w:rPr>
          <w:spacing w:val="-6"/>
        </w:rPr>
        <w:t xml:space="preserve"> </w:t>
      </w:r>
      <w:r>
        <w:t>during</w:t>
      </w:r>
      <w:r>
        <w:rPr>
          <w:spacing w:val="-6"/>
        </w:rPr>
        <w:t xml:space="preserve"> </w:t>
      </w:r>
      <w:r>
        <w:t>the</w:t>
      </w:r>
      <w:r>
        <w:rPr>
          <w:spacing w:val="-5"/>
        </w:rPr>
        <w:t xml:space="preserve"> </w:t>
      </w:r>
      <w:r>
        <w:t>pandemic.</w:t>
      </w:r>
      <w:hyperlink w:anchor="_bookmark440" w:history="1">
        <w:r>
          <w:rPr>
            <w:u w:val="single"/>
            <w:vertAlign w:val="superscript"/>
          </w:rPr>
          <w:t>89</w:t>
        </w:r>
      </w:hyperlink>
      <w:r>
        <w:rPr>
          <w:spacing w:val="-1"/>
        </w:rPr>
        <w:t xml:space="preserve"> </w:t>
      </w:r>
      <w:r>
        <w:t>This was partially attributed to being confined in homes with families who were not aware or supportive of their gender identity.</w:t>
      </w:r>
      <w:r>
        <w:rPr>
          <w:spacing w:val="40"/>
        </w:rPr>
        <w:t xml:space="preserve"> </w:t>
      </w:r>
      <w:r>
        <w:t>Research has shown that suicide and depression rates for LGBTQ youth with unsupportive family members are much higher than pee</w:t>
      </w:r>
      <w:r>
        <w:t>rs with supportive families.</w:t>
      </w:r>
      <w:hyperlink w:anchor="_bookmark441" w:history="1">
        <w:r>
          <w:rPr>
            <w:vertAlign w:val="superscript"/>
          </w:rPr>
          <w:t>90</w:t>
        </w:r>
      </w:hyperlink>
    </w:p>
    <w:p w:rsidR="00200FDA" w:rsidRDefault="00F76C4C">
      <w:pPr>
        <w:pStyle w:val="BodyText"/>
        <w:spacing w:before="120" w:line="276" w:lineRule="auto"/>
        <w:ind w:left="139" w:right="135"/>
        <w:jc w:val="both"/>
      </w:pPr>
      <w:r>
        <w:t>COVID-19 also</w:t>
      </w:r>
      <w:r>
        <w:rPr>
          <w:spacing w:val="-1"/>
        </w:rPr>
        <w:t xml:space="preserve"> </w:t>
      </w:r>
      <w:r>
        <w:t>worsened</w:t>
      </w:r>
      <w:r>
        <w:rPr>
          <w:spacing w:val="-3"/>
        </w:rPr>
        <w:t xml:space="preserve"> </w:t>
      </w:r>
      <w:r>
        <w:t>existing socioeconomic</w:t>
      </w:r>
      <w:r>
        <w:rPr>
          <w:spacing w:val="-2"/>
        </w:rPr>
        <w:t xml:space="preserve"> </w:t>
      </w:r>
      <w:r>
        <w:t>stressors and</w:t>
      </w:r>
      <w:r>
        <w:rPr>
          <w:spacing w:val="-3"/>
        </w:rPr>
        <w:t xml:space="preserve"> </w:t>
      </w:r>
      <w:r>
        <w:t>caused disruptions in physical</w:t>
      </w:r>
      <w:r>
        <w:rPr>
          <w:spacing w:val="-2"/>
        </w:rPr>
        <w:t xml:space="preserve"> </w:t>
      </w:r>
      <w:r>
        <w:t>and</w:t>
      </w:r>
      <w:r>
        <w:rPr>
          <w:spacing w:val="-3"/>
        </w:rPr>
        <w:t xml:space="preserve"> </w:t>
      </w:r>
      <w:r>
        <w:t>mental health services.</w:t>
      </w:r>
      <w:hyperlink w:anchor="_bookmark442" w:history="1">
        <w:r>
          <w:rPr>
            <w:vertAlign w:val="superscript"/>
          </w:rPr>
          <w:t>91</w:t>
        </w:r>
      </w:hyperlink>
      <w:r>
        <w:rPr>
          <w:spacing w:val="-3"/>
        </w:rPr>
        <w:t xml:space="preserve"> </w:t>
      </w:r>
      <w:r>
        <w:t>LGBTQ people, in general, are more likel</w:t>
      </w:r>
      <w:r>
        <w:t>y to suffer from chronic conditions, substance abuse disorders, breast cancer, certain sexually transmitted diseases, and certain cancers.</w:t>
      </w:r>
      <w:hyperlink w:anchor="_bookmark443" w:history="1">
        <w:r>
          <w:rPr>
            <w:vertAlign w:val="superscript"/>
          </w:rPr>
          <w:t>92</w:t>
        </w:r>
      </w:hyperlink>
      <w:r>
        <w:t xml:space="preserve"> Many of these</w:t>
      </w:r>
      <w:r>
        <w:rPr>
          <w:spacing w:val="-4"/>
        </w:rPr>
        <w:t xml:space="preserve"> </w:t>
      </w:r>
      <w:r>
        <w:t>underlying</w:t>
      </w:r>
      <w:r>
        <w:rPr>
          <w:spacing w:val="-5"/>
        </w:rPr>
        <w:t xml:space="preserve"> </w:t>
      </w:r>
      <w:r>
        <w:t>conditions</w:t>
      </w:r>
      <w:r>
        <w:rPr>
          <w:spacing w:val="-2"/>
        </w:rPr>
        <w:t xml:space="preserve"> </w:t>
      </w:r>
      <w:r>
        <w:t>are</w:t>
      </w:r>
      <w:r>
        <w:rPr>
          <w:spacing w:val="-4"/>
        </w:rPr>
        <w:t xml:space="preserve"> </w:t>
      </w:r>
      <w:r>
        <w:t>associated</w:t>
      </w:r>
      <w:r>
        <w:rPr>
          <w:spacing w:val="-5"/>
        </w:rPr>
        <w:t xml:space="preserve"> </w:t>
      </w:r>
      <w:r>
        <w:t>with</w:t>
      </w:r>
      <w:r>
        <w:rPr>
          <w:spacing w:val="-5"/>
        </w:rPr>
        <w:t xml:space="preserve"> </w:t>
      </w:r>
      <w:r>
        <w:t>a</w:t>
      </w:r>
      <w:r>
        <w:rPr>
          <w:spacing w:val="-2"/>
        </w:rPr>
        <w:t xml:space="preserve"> </w:t>
      </w:r>
      <w:r>
        <w:t>high</w:t>
      </w:r>
      <w:r>
        <w:rPr>
          <w:spacing w:val="-5"/>
        </w:rPr>
        <w:t xml:space="preserve"> </w:t>
      </w:r>
      <w:r>
        <w:t>risk</w:t>
      </w:r>
      <w:r>
        <w:rPr>
          <w:spacing w:val="-4"/>
        </w:rPr>
        <w:t xml:space="preserve"> </w:t>
      </w:r>
      <w:r>
        <w:t>for</w:t>
      </w:r>
      <w:r>
        <w:rPr>
          <w:spacing w:val="-4"/>
        </w:rPr>
        <w:t xml:space="preserve"> </w:t>
      </w:r>
      <w:r>
        <w:t>severe</w:t>
      </w:r>
      <w:r>
        <w:rPr>
          <w:spacing w:val="-4"/>
        </w:rPr>
        <w:t xml:space="preserve"> </w:t>
      </w:r>
      <w:r>
        <w:t>COVI</w:t>
      </w:r>
      <w:r>
        <w:t>D-19,</w:t>
      </w:r>
      <w:r>
        <w:rPr>
          <w:spacing w:val="-4"/>
        </w:rPr>
        <w:t xml:space="preserve"> </w:t>
      </w:r>
      <w:r>
        <w:t>which</w:t>
      </w:r>
      <w:r>
        <w:rPr>
          <w:spacing w:val="-3"/>
        </w:rPr>
        <w:t xml:space="preserve"> </w:t>
      </w:r>
      <w:r>
        <w:t>could</w:t>
      </w:r>
      <w:r>
        <w:rPr>
          <w:spacing w:val="-3"/>
        </w:rPr>
        <w:t xml:space="preserve"> </w:t>
      </w:r>
      <w:r>
        <w:t>further</w:t>
      </w:r>
      <w:r>
        <w:rPr>
          <w:spacing w:val="-2"/>
        </w:rPr>
        <w:t xml:space="preserve"> </w:t>
      </w:r>
      <w:r>
        <w:t>lead to hospitalization, intensive care, ventilation, or even death.</w:t>
      </w:r>
      <w:hyperlink w:anchor="_bookmark444" w:history="1">
        <w:r>
          <w:rPr>
            <w:vertAlign w:val="superscript"/>
          </w:rPr>
          <w:t>93</w:t>
        </w:r>
      </w:hyperlink>
      <w:r>
        <w:t xml:space="preserve"> While the COVID vaccination mitigates some</w:t>
      </w:r>
      <w:r>
        <w:rPr>
          <w:spacing w:val="-8"/>
        </w:rPr>
        <w:t xml:space="preserve"> </w:t>
      </w:r>
      <w:r>
        <w:t>of</w:t>
      </w:r>
      <w:r>
        <w:rPr>
          <w:spacing w:val="-7"/>
        </w:rPr>
        <w:t xml:space="preserve"> </w:t>
      </w:r>
      <w:r>
        <w:t>the</w:t>
      </w:r>
      <w:r>
        <w:rPr>
          <w:spacing w:val="-7"/>
        </w:rPr>
        <w:t xml:space="preserve"> </w:t>
      </w:r>
      <w:r>
        <w:t>health-related</w:t>
      </w:r>
      <w:r>
        <w:rPr>
          <w:spacing w:val="-12"/>
        </w:rPr>
        <w:t xml:space="preserve"> </w:t>
      </w:r>
      <w:r>
        <w:t>risks,</w:t>
      </w:r>
      <w:r>
        <w:rPr>
          <w:spacing w:val="-7"/>
        </w:rPr>
        <w:t xml:space="preserve"> </w:t>
      </w:r>
      <w:r>
        <w:t>COVID</w:t>
      </w:r>
      <w:r>
        <w:rPr>
          <w:spacing w:val="-7"/>
        </w:rPr>
        <w:t xml:space="preserve"> </w:t>
      </w:r>
      <w:r>
        <w:t>has</w:t>
      </w:r>
      <w:r>
        <w:rPr>
          <w:spacing w:val="-9"/>
        </w:rPr>
        <w:t xml:space="preserve"> </w:t>
      </w:r>
      <w:r>
        <w:t>likely</w:t>
      </w:r>
      <w:r>
        <w:rPr>
          <w:spacing w:val="-7"/>
        </w:rPr>
        <w:t xml:space="preserve"> </w:t>
      </w:r>
      <w:r>
        <w:t>worsened</w:t>
      </w:r>
      <w:r>
        <w:rPr>
          <w:spacing w:val="-7"/>
        </w:rPr>
        <w:t xml:space="preserve"> </w:t>
      </w:r>
      <w:r>
        <w:t>pre-existing</w:t>
      </w:r>
      <w:r>
        <w:rPr>
          <w:spacing w:val="-7"/>
        </w:rPr>
        <w:t xml:space="preserve"> </w:t>
      </w:r>
      <w:r>
        <w:t>health</w:t>
      </w:r>
      <w:r>
        <w:rPr>
          <w:spacing w:val="-10"/>
        </w:rPr>
        <w:t xml:space="preserve"> </w:t>
      </w:r>
      <w:r>
        <w:t>disparities,</w:t>
      </w:r>
      <w:r>
        <w:rPr>
          <w:spacing w:val="-7"/>
        </w:rPr>
        <w:t xml:space="preserve"> </w:t>
      </w:r>
      <w:r>
        <w:t>identity-based discrimination, and inequitable access to care.</w:t>
      </w:r>
      <w:hyperlink w:anchor="_bookmark445" w:history="1">
        <w:r>
          <w:rPr>
            <w:vertAlign w:val="superscript"/>
          </w:rPr>
          <w:t>94</w:t>
        </w:r>
      </w:hyperlink>
    </w:p>
    <w:p w:rsidR="00200FDA" w:rsidRDefault="00200FDA">
      <w:pPr>
        <w:pStyle w:val="BodyText"/>
        <w:spacing w:before="11"/>
        <w:rPr>
          <w:sz w:val="32"/>
        </w:rPr>
      </w:pPr>
    </w:p>
    <w:p w:rsidR="00200FDA" w:rsidRDefault="00F76C4C">
      <w:pPr>
        <w:pStyle w:val="Heading7"/>
        <w:ind w:left="140"/>
        <w:jc w:val="both"/>
      </w:pPr>
      <w:r>
        <w:pict>
          <v:rect id="docshape307" o:spid="_x0000_s1275" style="position:absolute;left:0;text-align:left;margin-left:70.55pt;margin-top:18pt;width:470.9pt;height:.5pt;z-index:-15682560;mso-wrap-distance-left:0;mso-wrap-distance-right:0;mso-position-horizontal-relative:page" fillcolor="#0f6ec5" stroked="f">
            <w10:wrap type="topAndBottom" anchorx="page"/>
          </v:rect>
        </w:pict>
      </w:r>
      <w:r>
        <w:rPr>
          <w:color w:val="0A5293"/>
        </w:rPr>
        <w:t>Acknowledgments</w:t>
      </w:r>
      <w:r>
        <w:rPr>
          <w:color w:val="0A5293"/>
          <w:spacing w:val="-9"/>
        </w:rPr>
        <w:t xml:space="preserve"> </w:t>
      </w:r>
      <w:r>
        <w:rPr>
          <w:color w:val="0A5293"/>
        </w:rPr>
        <w:t>&amp;</w:t>
      </w:r>
      <w:r>
        <w:rPr>
          <w:color w:val="0A5293"/>
          <w:spacing w:val="-8"/>
        </w:rPr>
        <w:t xml:space="preserve"> </w:t>
      </w:r>
      <w:r>
        <w:rPr>
          <w:color w:val="0A5293"/>
          <w:spacing w:val="-2"/>
        </w:rPr>
        <w:t>Citations</w:t>
      </w:r>
    </w:p>
    <w:p w:rsidR="00200FDA" w:rsidRDefault="00200FDA">
      <w:pPr>
        <w:pStyle w:val="BodyText"/>
        <w:rPr>
          <w:sz w:val="20"/>
        </w:rPr>
      </w:pPr>
    </w:p>
    <w:p w:rsidR="00200FDA" w:rsidRDefault="00F76C4C">
      <w:pPr>
        <w:spacing w:before="185" w:line="273" w:lineRule="auto"/>
        <w:ind w:left="140" w:right="161"/>
        <w:rPr>
          <w:i/>
        </w:rPr>
      </w:pPr>
      <w:r>
        <w:rPr>
          <w:i/>
        </w:rPr>
        <w:t>Acknowledgments: Dallas Ducar, lead researcher and author, Shannon Collins &amp; Mel DeSilva, co-authors &amp; researchers</w:t>
      </w:r>
    </w:p>
    <w:p w:rsidR="00200FDA" w:rsidRDefault="00200FDA">
      <w:pPr>
        <w:spacing w:line="273" w:lineRule="auto"/>
        <w:sectPr w:rsidR="00200FDA">
          <w:pgSz w:w="12240" w:h="15840"/>
          <w:pgMar w:top="1360" w:right="1300" w:bottom="1380" w:left="1300" w:header="761" w:footer="1132" w:gutter="0"/>
          <w:cols w:space="720"/>
        </w:sectPr>
      </w:pPr>
    </w:p>
    <w:p w:rsidR="00200FDA" w:rsidRDefault="00200FDA">
      <w:pPr>
        <w:pStyle w:val="BodyText"/>
        <w:spacing w:before="10"/>
        <w:rPr>
          <w:i/>
          <w:sz w:val="19"/>
        </w:rPr>
      </w:pPr>
    </w:p>
    <w:p w:rsidR="00200FDA" w:rsidRDefault="00F76C4C">
      <w:pPr>
        <w:spacing w:before="69"/>
        <w:ind w:left="140"/>
        <w:rPr>
          <w:sz w:val="18"/>
        </w:rPr>
      </w:pPr>
      <w:bookmarkStart w:id="481" w:name="_bookmark352"/>
      <w:bookmarkEnd w:id="481"/>
      <w:r>
        <w:rPr>
          <w:position w:val="5"/>
          <w:sz w:val="12"/>
        </w:rPr>
        <w:t>1</w:t>
      </w:r>
      <w:r>
        <w:rPr>
          <w:spacing w:val="9"/>
          <w:position w:val="5"/>
          <w:sz w:val="12"/>
        </w:rPr>
        <w:t xml:space="preserve"> </w:t>
      </w:r>
      <w:r>
        <w:rPr>
          <w:sz w:val="18"/>
        </w:rPr>
        <w:t>Crenshaw,</w:t>
      </w:r>
      <w:r>
        <w:rPr>
          <w:spacing w:val="-2"/>
          <w:sz w:val="18"/>
        </w:rPr>
        <w:t xml:space="preserve"> </w:t>
      </w:r>
      <w:r>
        <w:rPr>
          <w:sz w:val="18"/>
        </w:rPr>
        <w:t>Kimberlé</w:t>
      </w:r>
      <w:r>
        <w:rPr>
          <w:spacing w:val="-3"/>
          <w:sz w:val="18"/>
        </w:rPr>
        <w:t xml:space="preserve"> </w:t>
      </w:r>
      <w:r>
        <w:rPr>
          <w:sz w:val="18"/>
        </w:rPr>
        <w:t>W.</w:t>
      </w:r>
      <w:r>
        <w:rPr>
          <w:spacing w:val="-3"/>
          <w:sz w:val="18"/>
        </w:rPr>
        <w:t xml:space="preserve"> </w:t>
      </w:r>
      <w:r>
        <w:rPr>
          <w:i/>
          <w:sz w:val="18"/>
        </w:rPr>
        <w:t>On</w:t>
      </w:r>
      <w:r>
        <w:rPr>
          <w:i/>
          <w:spacing w:val="-1"/>
          <w:sz w:val="18"/>
        </w:rPr>
        <w:t xml:space="preserve"> </w:t>
      </w:r>
      <w:r>
        <w:rPr>
          <w:i/>
          <w:sz w:val="18"/>
        </w:rPr>
        <w:t>Intersectionality:</w:t>
      </w:r>
      <w:r>
        <w:rPr>
          <w:i/>
          <w:spacing w:val="-3"/>
          <w:sz w:val="18"/>
        </w:rPr>
        <w:t xml:space="preserve"> </w:t>
      </w:r>
      <w:r>
        <w:rPr>
          <w:i/>
          <w:sz w:val="18"/>
        </w:rPr>
        <w:t>Essential</w:t>
      </w:r>
      <w:r>
        <w:rPr>
          <w:i/>
          <w:spacing w:val="-3"/>
          <w:sz w:val="18"/>
        </w:rPr>
        <w:t xml:space="preserve"> </w:t>
      </w:r>
      <w:r>
        <w:rPr>
          <w:i/>
          <w:sz w:val="18"/>
        </w:rPr>
        <w:t>Writings.</w:t>
      </w:r>
      <w:r>
        <w:rPr>
          <w:i/>
          <w:spacing w:val="-2"/>
          <w:sz w:val="18"/>
        </w:rPr>
        <w:t xml:space="preserve"> </w:t>
      </w:r>
      <w:r>
        <w:rPr>
          <w:sz w:val="18"/>
        </w:rPr>
        <w:t>The</w:t>
      </w:r>
      <w:r>
        <w:rPr>
          <w:spacing w:val="-4"/>
          <w:sz w:val="18"/>
        </w:rPr>
        <w:t xml:space="preserve"> </w:t>
      </w:r>
      <w:r>
        <w:rPr>
          <w:sz w:val="18"/>
        </w:rPr>
        <w:t>New</w:t>
      </w:r>
      <w:r>
        <w:rPr>
          <w:spacing w:val="-1"/>
          <w:sz w:val="18"/>
        </w:rPr>
        <w:t xml:space="preserve"> </w:t>
      </w:r>
      <w:r>
        <w:rPr>
          <w:sz w:val="18"/>
        </w:rPr>
        <w:t>Press,</w:t>
      </w:r>
      <w:r>
        <w:rPr>
          <w:spacing w:val="-2"/>
          <w:sz w:val="18"/>
        </w:rPr>
        <w:t xml:space="preserve"> 2017.</w:t>
      </w:r>
    </w:p>
    <w:p w:rsidR="00200FDA" w:rsidRDefault="00F76C4C">
      <w:pPr>
        <w:spacing w:before="1"/>
        <w:ind w:left="140" w:right="218" w:hanging="1"/>
        <w:rPr>
          <w:sz w:val="18"/>
        </w:rPr>
      </w:pPr>
      <w:bookmarkStart w:id="482" w:name="_bookmark353"/>
      <w:bookmarkEnd w:id="482"/>
      <w:r>
        <w:rPr>
          <w:position w:val="5"/>
          <w:sz w:val="12"/>
        </w:rPr>
        <w:t>2</w:t>
      </w:r>
      <w:r>
        <w:rPr>
          <w:spacing w:val="20"/>
          <w:position w:val="5"/>
          <w:sz w:val="12"/>
        </w:rPr>
        <w:t xml:space="preserve"> </w:t>
      </w:r>
      <w:r>
        <w:rPr>
          <w:color w:val="212121"/>
          <w:sz w:val="18"/>
        </w:rPr>
        <w:t>Oaks, Laury, Tania Israel, Kristin J. Conover, Alise Cogger, and Todd Raymond Avellar. "Community-based participatory research</w:t>
      </w:r>
      <w:r>
        <w:rPr>
          <w:color w:val="212121"/>
          <w:spacing w:val="-4"/>
          <w:sz w:val="18"/>
        </w:rPr>
        <w:t xml:space="preserve"> </w:t>
      </w:r>
      <w:r>
        <w:rPr>
          <w:color w:val="212121"/>
          <w:sz w:val="18"/>
        </w:rPr>
        <w:t>with</w:t>
      </w:r>
      <w:r>
        <w:rPr>
          <w:color w:val="212121"/>
          <w:spacing w:val="-4"/>
          <w:sz w:val="18"/>
        </w:rPr>
        <w:t xml:space="preserve"> </w:t>
      </w:r>
      <w:r>
        <w:rPr>
          <w:color w:val="212121"/>
          <w:sz w:val="18"/>
        </w:rPr>
        <w:t>invisible,</w:t>
      </w:r>
      <w:r>
        <w:rPr>
          <w:color w:val="212121"/>
          <w:spacing w:val="-3"/>
          <w:sz w:val="18"/>
        </w:rPr>
        <w:t xml:space="preserve"> </w:t>
      </w:r>
      <w:r>
        <w:rPr>
          <w:color w:val="212121"/>
          <w:sz w:val="18"/>
        </w:rPr>
        <w:t>geographically-dispersed</w:t>
      </w:r>
      <w:r>
        <w:rPr>
          <w:color w:val="212121"/>
          <w:spacing w:val="-4"/>
          <w:sz w:val="18"/>
        </w:rPr>
        <w:t xml:space="preserve"> </w:t>
      </w:r>
      <w:r>
        <w:rPr>
          <w:color w:val="212121"/>
          <w:sz w:val="18"/>
        </w:rPr>
        <w:t>communities:</w:t>
      </w:r>
      <w:r>
        <w:rPr>
          <w:color w:val="212121"/>
          <w:spacing w:val="-4"/>
          <w:sz w:val="18"/>
        </w:rPr>
        <w:t xml:space="preserve"> </w:t>
      </w:r>
      <w:r>
        <w:rPr>
          <w:color w:val="212121"/>
          <w:sz w:val="18"/>
        </w:rPr>
        <w:t>Partnering</w:t>
      </w:r>
      <w:r>
        <w:rPr>
          <w:color w:val="212121"/>
          <w:spacing w:val="-4"/>
          <w:sz w:val="18"/>
        </w:rPr>
        <w:t xml:space="preserve"> </w:t>
      </w:r>
      <w:r>
        <w:rPr>
          <w:color w:val="212121"/>
          <w:sz w:val="18"/>
        </w:rPr>
        <w:t>with</w:t>
      </w:r>
      <w:r>
        <w:rPr>
          <w:color w:val="212121"/>
          <w:spacing w:val="-4"/>
          <w:sz w:val="18"/>
        </w:rPr>
        <w:t xml:space="preserve"> </w:t>
      </w:r>
      <w:r>
        <w:rPr>
          <w:color w:val="212121"/>
          <w:sz w:val="18"/>
        </w:rPr>
        <w:t>lesbian,</w:t>
      </w:r>
      <w:r>
        <w:rPr>
          <w:color w:val="212121"/>
          <w:spacing w:val="-3"/>
          <w:sz w:val="18"/>
        </w:rPr>
        <w:t xml:space="preserve"> </w:t>
      </w:r>
      <w:r>
        <w:rPr>
          <w:color w:val="212121"/>
          <w:sz w:val="18"/>
        </w:rPr>
        <w:t>gay,</w:t>
      </w:r>
      <w:r>
        <w:rPr>
          <w:color w:val="212121"/>
          <w:spacing w:val="-3"/>
          <w:sz w:val="18"/>
        </w:rPr>
        <w:t xml:space="preserve"> </w:t>
      </w:r>
      <w:r>
        <w:rPr>
          <w:color w:val="212121"/>
          <w:sz w:val="18"/>
        </w:rPr>
        <w:t>bisexual,</w:t>
      </w:r>
      <w:r>
        <w:rPr>
          <w:color w:val="212121"/>
          <w:spacing w:val="-3"/>
          <w:sz w:val="18"/>
        </w:rPr>
        <w:t xml:space="preserve"> </w:t>
      </w:r>
      <w:r>
        <w:rPr>
          <w:color w:val="212121"/>
          <w:sz w:val="18"/>
        </w:rPr>
        <w:t>transgender</w:t>
      </w:r>
      <w:r>
        <w:rPr>
          <w:color w:val="212121"/>
          <w:spacing w:val="-4"/>
          <w:sz w:val="18"/>
        </w:rPr>
        <w:t xml:space="preserve"> </w:t>
      </w:r>
      <w:r>
        <w:rPr>
          <w:color w:val="212121"/>
          <w:sz w:val="18"/>
        </w:rPr>
        <w:t>and</w:t>
      </w:r>
      <w:r>
        <w:rPr>
          <w:color w:val="212121"/>
          <w:spacing w:val="-2"/>
          <w:sz w:val="18"/>
        </w:rPr>
        <w:t xml:space="preserve"> </w:t>
      </w:r>
      <w:r>
        <w:rPr>
          <w:color w:val="212121"/>
          <w:sz w:val="18"/>
        </w:rPr>
        <w:t xml:space="preserve">queer communities on the California central coast." </w:t>
      </w:r>
      <w:r>
        <w:rPr>
          <w:i/>
          <w:color w:val="212121"/>
          <w:sz w:val="18"/>
        </w:rPr>
        <w:t xml:space="preserve">Journal for Social Action in Counseling &amp; Psychology </w:t>
      </w:r>
      <w:r>
        <w:rPr>
          <w:color w:val="212121"/>
          <w:sz w:val="18"/>
        </w:rPr>
        <w:t>11, no. 1 (2019): 14-32.</w:t>
      </w:r>
    </w:p>
    <w:p w:rsidR="00200FDA" w:rsidRDefault="00F76C4C">
      <w:pPr>
        <w:ind w:left="140" w:right="636" w:hanging="1"/>
        <w:rPr>
          <w:sz w:val="18"/>
        </w:rPr>
      </w:pPr>
      <w:bookmarkStart w:id="483" w:name="_bookmark354"/>
      <w:bookmarkEnd w:id="483"/>
      <w:r>
        <w:rPr>
          <w:position w:val="5"/>
          <w:sz w:val="12"/>
        </w:rPr>
        <w:t>3</w:t>
      </w:r>
      <w:r>
        <w:rPr>
          <w:spacing w:val="9"/>
          <w:position w:val="5"/>
          <w:sz w:val="12"/>
        </w:rPr>
        <w:t xml:space="preserve"> </w:t>
      </w:r>
      <w:r>
        <w:rPr>
          <w:sz w:val="18"/>
        </w:rPr>
        <w:t>Sage,</w:t>
      </w:r>
      <w:r>
        <w:rPr>
          <w:spacing w:val="-3"/>
          <w:sz w:val="18"/>
        </w:rPr>
        <w:t xml:space="preserve"> </w:t>
      </w:r>
      <w:r>
        <w:rPr>
          <w:sz w:val="18"/>
        </w:rPr>
        <w:t>2021,</w:t>
      </w:r>
      <w:r>
        <w:rPr>
          <w:spacing w:val="-3"/>
          <w:sz w:val="18"/>
        </w:rPr>
        <w:t xml:space="preserve"> </w:t>
      </w:r>
      <w:r>
        <w:rPr>
          <w:sz w:val="18"/>
        </w:rPr>
        <w:t>“A</w:t>
      </w:r>
      <w:r>
        <w:rPr>
          <w:spacing w:val="-4"/>
          <w:sz w:val="18"/>
        </w:rPr>
        <w:t xml:space="preserve"> </w:t>
      </w:r>
      <w:r>
        <w:rPr>
          <w:sz w:val="18"/>
        </w:rPr>
        <w:t>year</w:t>
      </w:r>
      <w:r>
        <w:rPr>
          <w:spacing w:val="-1"/>
          <w:sz w:val="18"/>
        </w:rPr>
        <w:t xml:space="preserve"> </w:t>
      </w:r>
      <w:r>
        <w:rPr>
          <w:sz w:val="18"/>
        </w:rPr>
        <w:t>into</w:t>
      </w:r>
      <w:r>
        <w:rPr>
          <w:spacing w:val="-2"/>
          <w:sz w:val="18"/>
        </w:rPr>
        <w:t xml:space="preserve"> </w:t>
      </w:r>
      <w:r>
        <w:rPr>
          <w:sz w:val="18"/>
        </w:rPr>
        <w:t>the</w:t>
      </w:r>
      <w:r>
        <w:rPr>
          <w:spacing w:val="-4"/>
          <w:sz w:val="18"/>
        </w:rPr>
        <w:t xml:space="preserve"> </w:t>
      </w:r>
      <w:r>
        <w:rPr>
          <w:sz w:val="18"/>
        </w:rPr>
        <w:t>pandemic,</w:t>
      </w:r>
      <w:r>
        <w:rPr>
          <w:spacing w:val="-3"/>
          <w:sz w:val="18"/>
        </w:rPr>
        <w:t xml:space="preserve"> </w:t>
      </w:r>
      <w:r>
        <w:rPr>
          <w:sz w:val="18"/>
        </w:rPr>
        <w:t>LGBTQ</w:t>
      </w:r>
      <w:r>
        <w:rPr>
          <w:spacing w:val="-4"/>
          <w:sz w:val="18"/>
        </w:rPr>
        <w:t xml:space="preserve"> </w:t>
      </w:r>
      <w:r>
        <w:rPr>
          <w:sz w:val="18"/>
        </w:rPr>
        <w:t>life</w:t>
      </w:r>
      <w:r>
        <w:rPr>
          <w:spacing w:val="-4"/>
          <w:sz w:val="18"/>
        </w:rPr>
        <w:t xml:space="preserve"> </w:t>
      </w:r>
      <w:r>
        <w:rPr>
          <w:sz w:val="18"/>
        </w:rPr>
        <w:t>and</w:t>
      </w:r>
      <w:r>
        <w:rPr>
          <w:spacing w:val="-2"/>
          <w:sz w:val="18"/>
        </w:rPr>
        <w:t xml:space="preserve"> </w:t>
      </w:r>
      <w:r>
        <w:rPr>
          <w:sz w:val="18"/>
        </w:rPr>
        <w:t>death</w:t>
      </w:r>
      <w:r>
        <w:rPr>
          <w:spacing w:val="-4"/>
          <w:sz w:val="18"/>
        </w:rPr>
        <w:t xml:space="preserve"> </w:t>
      </w:r>
      <w:r>
        <w:rPr>
          <w:sz w:val="18"/>
        </w:rPr>
        <w:t>remains</w:t>
      </w:r>
      <w:r>
        <w:rPr>
          <w:spacing w:val="-4"/>
          <w:sz w:val="18"/>
        </w:rPr>
        <w:t xml:space="preserve"> </w:t>
      </w:r>
      <w:r>
        <w:rPr>
          <w:sz w:val="18"/>
        </w:rPr>
        <w:t>largely</w:t>
      </w:r>
      <w:r>
        <w:rPr>
          <w:spacing w:val="-3"/>
          <w:sz w:val="18"/>
        </w:rPr>
        <w:t xml:space="preserve"> </w:t>
      </w:r>
      <w:r>
        <w:rPr>
          <w:sz w:val="18"/>
        </w:rPr>
        <w:t>invisible,”</w:t>
      </w:r>
      <w:r>
        <w:rPr>
          <w:spacing w:val="-2"/>
          <w:sz w:val="18"/>
        </w:rPr>
        <w:t xml:space="preserve"> </w:t>
      </w:r>
      <w:r>
        <w:rPr>
          <w:sz w:val="18"/>
        </w:rPr>
        <w:t>https://</w:t>
      </w:r>
      <w:hyperlink r:id="rId368">
        <w:r>
          <w:rPr>
            <w:sz w:val="18"/>
          </w:rPr>
          <w:t>www.sageusa.org/news-</w:t>
        </w:r>
      </w:hyperlink>
      <w:r>
        <w:rPr>
          <w:sz w:val="18"/>
        </w:rPr>
        <w:t xml:space="preserve"> </w:t>
      </w:r>
      <w:bookmarkStart w:id="484" w:name="_bookmark355"/>
      <w:bookmarkEnd w:id="484"/>
      <w:r>
        <w:rPr>
          <w:spacing w:val="-2"/>
          <w:sz w:val="18"/>
        </w:rPr>
        <w:t>posts/a-year-into-the-pandemic-lgbtq-life-and-death-remains-largely-invisible/</w:t>
      </w:r>
    </w:p>
    <w:p w:rsidR="00200FDA" w:rsidRDefault="00F76C4C">
      <w:pPr>
        <w:ind w:left="140" w:right="1228" w:hanging="1"/>
        <w:rPr>
          <w:sz w:val="18"/>
        </w:rPr>
      </w:pPr>
      <w:r>
        <w:rPr>
          <w:position w:val="5"/>
          <w:sz w:val="12"/>
        </w:rPr>
        <w:t>4</w:t>
      </w:r>
      <w:r>
        <w:rPr>
          <w:spacing w:val="22"/>
          <w:position w:val="5"/>
          <w:sz w:val="12"/>
        </w:rPr>
        <w:t xml:space="preserve"> </w:t>
      </w:r>
      <w:r>
        <w:rPr>
          <w:sz w:val="18"/>
        </w:rPr>
        <w:t>Comstock, 2019, “More inclusive EHRs c</w:t>
      </w:r>
      <w:r>
        <w:rPr>
          <w:sz w:val="18"/>
        </w:rPr>
        <w:t xml:space="preserve">an help extend welcome, save transgender lives,” </w:t>
      </w:r>
      <w:bookmarkStart w:id="485" w:name="_bookmark356"/>
      <w:bookmarkEnd w:id="485"/>
      <w:r>
        <w:fldChar w:fldCharType="begin"/>
      </w:r>
      <w:r>
        <w:instrText xml:space="preserve"> HYPERLINK "https://www.healthcareitnews.com/news/more-inclusive-ehrs-can-help-extend-welcome-save-transgender-lives" \h </w:instrText>
      </w:r>
      <w:r>
        <w:fldChar w:fldCharType="separate"/>
      </w:r>
      <w:r>
        <w:rPr>
          <w:color w:val="1154CC"/>
          <w:spacing w:val="-2"/>
          <w:sz w:val="18"/>
          <w:u w:val="single" w:color="1154CC"/>
        </w:rPr>
        <w:t>https://www.healthcareitnews.com/news/more-inclusive-ehrs-can-help-extend-welcome-s</w:t>
      </w:r>
      <w:r>
        <w:rPr>
          <w:color w:val="1154CC"/>
          <w:spacing w:val="-2"/>
          <w:sz w:val="18"/>
          <w:u w:val="single" w:color="1154CC"/>
        </w:rPr>
        <w:t>ave-transgender-lives</w:t>
      </w:r>
      <w:r>
        <w:rPr>
          <w:color w:val="1154CC"/>
          <w:spacing w:val="-2"/>
          <w:sz w:val="18"/>
          <w:u w:val="single" w:color="1154CC"/>
        </w:rPr>
        <w:fldChar w:fldCharType="end"/>
      </w:r>
    </w:p>
    <w:p w:rsidR="00200FDA" w:rsidRDefault="00F76C4C">
      <w:pPr>
        <w:spacing w:before="7"/>
        <w:ind w:left="140" w:right="342"/>
        <w:rPr>
          <w:sz w:val="18"/>
        </w:rPr>
      </w:pPr>
      <w:r>
        <w:rPr>
          <w:position w:val="5"/>
          <w:sz w:val="12"/>
        </w:rPr>
        <w:t>5</w:t>
      </w:r>
      <w:r>
        <w:rPr>
          <w:spacing w:val="9"/>
          <w:position w:val="5"/>
          <w:sz w:val="12"/>
        </w:rPr>
        <w:t xml:space="preserve"> </w:t>
      </w:r>
      <w:r>
        <w:rPr>
          <w:sz w:val="18"/>
        </w:rPr>
        <w:t>FACT</w:t>
      </w:r>
      <w:r>
        <w:rPr>
          <w:spacing w:val="-2"/>
          <w:sz w:val="18"/>
        </w:rPr>
        <w:t xml:space="preserve"> </w:t>
      </w:r>
      <w:r>
        <w:rPr>
          <w:sz w:val="18"/>
        </w:rPr>
        <w:t>SHEET:</w:t>
      </w:r>
      <w:r>
        <w:rPr>
          <w:spacing w:val="-3"/>
          <w:sz w:val="18"/>
        </w:rPr>
        <w:t xml:space="preserve"> </w:t>
      </w:r>
      <w:r>
        <w:rPr>
          <w:sz w:val="18"/>
        </w:rPr>
        <w:t>Biden-Harris</w:t>
      </w:r>
      <w:r>
        <w:rPr>
          <w:spacing w:val="-4"/>
          <w:sz w:val="18"/>
        </w:rPr>
        <w:t xml:space="preserve"> </w:t>
      </w:r>
      <w:r>
        <w:rPr>
          <w:sz w:val="18"/>
        </w:rPr>
        <w:t>Administration</w:t>
      </w:r>
      <w:r>
        <w:rPr>
          <w:spacing w:val="-4"/>
          <w:sz w:val="18"/>
        </w:rPr>
        <w:t xml:space="preserve"> </w:t>
      </w:r>
      <w:r>
        <w:rPr>
          <w:sz w:val="18"/>
        </w:rPr>
        <w:t>Releases</w:t>
      </w:r>
      <w:r>
        <w:rPr>
          <w:spacing w:val="-4"/>
          <w:sz w:val="18"/>
        </w:rPr>
        <w:t xml:space="preserve"> </w:t>
      </w:r>
      <w:r>
        <w:rPr>
          <w:sz w:val="18"/>
        </w:rPr>
        <w:t>First-Ever</w:t>
      </w:r>
      <w:r>
        <w:rPr>
          <w:spacing w:val="-4"/>
          <w:sz w:val="18"/>
        </w:rPr>
        <w:t xml:space="preserve"> </w:t>
      </w:r>
      <w:r>
        <w:rPr>
          <w:sz w:val="18"/>
        </w:rPr>
        <w:t>Federal</w:t>
      </w:r>
      <w:r>
        <w:rPr>
          <w:spacing w:val="-4"/>
          <w:sz w:val="18"/>
        </w:rPr>
        <w:t xml:space="preserve"> </w:t>
      </w:r>
      <w:r>
        <w:rPr>
          <w:sz w:val="18"/>
        </w:rPr>
        <w:t>Evidence</w:t>
      </w:r>
      <w:r>
        <w:rPr>
          <w:spacing w:val="-4"/>
          <w:sz w:val="18"/>
        </w:rPr>
        <w:t xml:space="preserve"> </w:t>
      </w:r>
      <w:r>
        <w:rPr>
          <w:sz w:val="18"/>
        </w:rPr>
        <w:t>Agenda</w:t>
      </w:r>
      <w:r>
        <w:rPr>
          <w:spacing w:val="-3"/>
          <w:sz w:val="18"/>
        </w:rPr>
        <w:t xml:space="preserve"> </w:t>
      </w:r>
      <w:r>
        <w:rPr>
          <w:sz w:val="18"/>
        </w:rPr>
        <w:t>on</w:t>
      </w:r>
      <w:r>
        <w:rPr>
          <w:spacing w:val="-4"/>
          <w:sz w:val="18"/>
        </w:rPr>
        <w:t xml:space="preserve"> </w:t>
      </w:r>
      <w:r>
        <w:rPr>
          <w:sz w:val="18"/>
        </w:rPr>
        <w:t>LGBTQI+</w:t>
      </w:r>
      <w:r>
        <w:rPr>
          <w:spacing w:val="-2"/>
          <w:sz w:val="18"/>
        </w:rPr>
        <w:t xml:space="preserve"> </w:t>
      </w:r>
      <w:r>
        <w:rPr>
          <w:sz w:val="18"/>
        </w:rPr>
        <w:t>Equity,</w:t>
      </w:r>
      <w:r>
        <w:rPr>
          <w:spacing w:val="-3"/>
          <w:sz w:val="18"/>
        </w:rPr>
        <w:t xml:space="preserve"> </w:t>
      </w:r>
      <w:r>
        <w:rPr>
          <w:sz w:val="18"/>
        </w:rPr>
        <w:t>January</w:t>
      </w:r>
      <w:r>
        <w:rPr>
          <w:spacing w:val="-3"/>
          <w:sz w:val="18"/>
        </w:rPr>
        <w:t xml:space="preserve"> </w:t>
      </w:r>
      <w:r>
        <w:rPr>
          <w:sz w:val="18"/>
        </w:rPr>
        <w:t>24,</w:t>
      </w:r>
      <w:r>
        <w:rPr>
          <w:spacing w:val="-3"/>
          <w:sz w:val="18"/>
        </w:rPr>
        <w:t xml:space="preserve"> </w:t>
      </w:r>
      <w:r>
        <w:rPr>
          <w:sz w:val="18"/>
        </w:rPr>
        <w:t xml:space="preserve">2023. </w:t>
      </w:r>
      <w:hyperlink r:id="rId369">
        <w:r>
          <w:rPr>
            <w:color w:val="1154CC"/>
            <w:spacing w:val="-2"/>
            <w:sz w:val="18"/>
            <w:u w:val="single" w:color="1154CC"/>
          </w:rPr>
          <w:t>https://www.whitehouse.gov/ostp/news-updates/2023/01/24/fact-sheet-biden-harris-administration-releases-first-ever-</w:t>
        </w:r>
      </w:hyperlink>
      <w:r>
        <w:rPr>
          <w:color w:val="1154CC"/>
          <w:sz w:val="18"/>
        </w:rPr>
        <w:t xml:space="preserve"> </w:t>
      </w:r>
      <w:hyperlink r:id="rId370">
        <w:r>
          <w:rPr>
            <w:color w:val="1154CC"/>
            <w:spacing w:val="-2"/>
            <w:sz w:val="18"/>
            <w:u w:val="single" w:color="1154CC"/>
          </w:rPr>
          <w:t>federal-evidence-agenda-on-lgbtqi-equity/</w:t>
        </w:r>
      </w:hyperlink>
    </w:p>
    <w:p w:rsidR="00200FDA" w:rsidRDefault="00F76C4C">
      <w:pPr>
        <w:spacing w:before="1"/>
        <w:ind w:left="140" w:right="322" w:hanging="1"/>
        <w:rPr>
          <w:sz w:val="18"/>
        </w:rPr>
      </w:pPr>
      <w:bookmarkStart w:id="486" w:name="_bookmark357"/>
      <w:bookmarkEnd w:id="486"/>
      <w:r>
        <w:rPr>
          <w:position w:val="5"/>
          <w:sz w:val="12"/>
        </w:rPr>
        <w:t>6</w:t>
      </w:r>
      <w:r>
        <w:rPr>
          <w:spacing w:val="23"/>
          <w:position w:val="5"/>
          <w:sz w:val="12"/>
        </w:rPr>
        <w:t xml:space="preserve"> </w:t>
      </w:r>
      <w:r>
        <w:rPr>
          <w:sz w:val="18"/>
        </w:rPr>
        <w:t>“Gender Incongruence and Transgender H</w:t>
      </w:r>
      <w:r>
        <w:rPr>
          <w:sz w:val="18"/>
        </w:rPr>
        <w:t xml:space="preserve">ealth in the ICD,” accessed April 24, 2023, </w:t>
      </w:r>
      <w:r>
        <w:rPr>
          <w:spacing w:val="-2"/>
          <w:sz w:val="18"/>
        </w:rPr>
        <w:t>https://</w:t>
      </w:r>
      <w:hyperlink r:id="rId371">
        <w:r>
          <w:rPr>
            <w:spacing w:val="-2"/>
            <w:sz w:val="18"/>
          </w:rPr>
          <w:t>www.who.int/standards/classifications/frequently-asked-questions/g</w:t>
        </w:r>
        <w:r>
          <w:rPr>
            <w:spacing w:val="-2"/>
            <w:sz w:val="18"/>
          </w:rPr>
          <w:t>ender-incongruence-and-transgender-health-in-</w:t>
        </w:r>
      </w:hyperlink>
      <w:r>
        <w:rPr>
          <w:sz w:val="18"/>
        </w:rPr>
        <w:t xml:space="preserve"> </w:t>
      </w:r>
      <w:r>
        <w:rPr>
          <w:spacing w:val="-2"/>
          <w:sz w:val="18"/>
        </w:rPr>
        <w:t>the-icd.</w:t>
      </w:r>
    </w:p>
    <w:p w:rsidR="00200FDA" w:rsidRDefault="00F76C4C">
      <w:pPr>
        <w:ind w:left="140" w:hanging="1"/>
        <w:rPr>
          <w:sz w:val="18"/>
        </w:rPr>
      </w:pPr>
      <w:bookmarkStart w:id="487" w:name="_bookmark358"/>
      <w:bookmarkEnd w:id="487"/>
      <w:r>
        <w:rPr>
          <w:position w:val="5"/>
          <w:sz w:val="12"/>
        </w:rPr>
        <w:t>7</w:t>
      </w:r>
      <w:r>
        <w:rPr>
          <w:spacing w:val="10"/>
          <w:position w:val="5"/>
          <w:sz w:val="12"/>
        </w:rPr>
        <w:t xml:space="preserve"> </w:t>
      </w:r>
      <w:r>
        <w:rPr>
          <w:sz w:val="18"/>
        </w:rPr>
        <w:t>Commonwealth</w:t>
      </w:r>
      <w:r>
        <w:rPr>
          <w:spacing w:val="-3"/>
          <w:sz w:val="18"/>
        </w:rPr>
        <w:t xml:space="preserve"> </w:t>
      </w:r>
      <w:r>
        <w:rPr>
          <w:sz w:val="18"/>
        </w:rPr>
        <w:t>of</w:t>
      </w:r>
      <w:r>
        <w:rPr>
          <w:spacing w:val="-3"/>
          <w:sz w:val="18"/>
        </w:rPr>
        <w:t xml:space="preserve"> </w:t>
      </w:r>
      <w:r>
        <w:rPr>
          <w:sz w:val="18"/>
        </w:rPr>
        <w:t>Massachusetts.</w:t>
      </w:r>
      <w:r>
        <w:rPr>
          <w:spacing w:val="-3"/>
          <w:sz w:val="18"/>
        </w:rPr>
        <w:t xml:space="preserve"> </w:t>
      </w:r>
      <w:r>
        <w:rPr>
          <w:sz w:val="18"/>
        </w:rPr>
        <w:t>“Continuing</w:t>
      </w:r>
      <w:r>
        <w:rPr>
          <w:spacing w:val="-3"/>
          <w:sz w:val="18"/>
        </w:rPr>
        <w:t xml:space="preserve"> </w:t>
      </w:r>
      <w:r>
        <w:rPr>
          <w:sz w:val="18"/>
        </w:rPr>
        <w:t>Applicability</w:t>
      </w:r>
      <w:r>
        <w:rPr>
          <w:spacing w:val="-3"/>
          <w:sz w:val="18"/>
        </w:rPr>
        <w:t xml:space="preserve"> </w:t>
      </w:r>
      <w:r>
        <w:rPr>
          <w:sz w:val="18"/>
        </w:rPr>
        <w:t>of</w:t>
      </w:r>
      <w:r>
        <w:rPr>
          <w:spacing w:val="-3"/>
          <w:sz w:val="18"/>
        </w:rPr>
        <w:t xml:space="preserve"> </w:t>
      </w:r>
      <w:r>
        <w:rPr>
          <w:sz w:val="18"/>
        </w:rPr>
        <w:t>Guidance</w:t>
      </w:r>
      <w:r>
        <w:rPr>
          <w:spacing w:val="-3"/>
          <w:sz w:val="18"/>
        </w:rPr>
        <w:t xml:space="preserve"> </w:t>
      </w:r>
      <w:r>
        <w:rPr>
          <w:sz w:val="18"/>
        </w:rPr>
        <w:t>Regarding</w:t>
      </w:r>
      <w:r>
        <w:rPr>
          <w:spacing w:val="-3"/>
          <w:sz w:val="18"/>
        </w:rPr>
        <w:t xml:space="preserve"> </w:t>
      </w:r>
      <w:r>
        <w:rPr>
          <w:sz w:val="18"/>
        </w:rPr>
        <w:t>Prohibited</w:t>
      </w:r>
      <w:r>
        <w:rPr>
          <w:spacing w:val="-3"/>
          <w:sz w:val="18"/>
        </w:rPr>
        <w:t xml:space="preserve"> </w:t>
      </w:r>
      <w:r>
        <w:rPr>
          <w:sz w:val="18"/>
        </w:rPr>
        <w:t>Discrimination</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Basis</w:t>
      </w:r>
      <w:r>
        <w:rPr>
          <w:spacing w:val="-3"/>
          <w:sz w:val="18"/>
        </w:rPr>
        <w:t xml:space="preserve"> </w:t>
      </w:r>
      <w:r>
        <w:rPr>
          <w:sz w:val="18"/>
        </w:rPr>
        <w:t>of Gender Identity or Gender Dysphoria Including Medically Necessary Gender-Affir</w:t>
      </w:r>
      <w:r>
        <w:rPr>
          <w:sz w:val="18"/>
        </w:rPr>
        <w:t>ming Care and Related Services.” 2021.</w:t>
      </w:r>
    </w:p>
    <w:p w:rsidR="00200FDA" w:rsidRDefault="00F76C4C">
      <w:pPr>
        <w:spacing w:before="1"/>
        <w:ind w:left="140" w:right="161" w:hanging="1"/>
        <w:rPr>
          <w:sz w:val="18"/>
        </w:rPr>
      </w:pPr>
      <w:bookmarkStart w:id="488" w:name="_bookmark359"/>
      <w:bookmarkEnd w:id="488"/>
      <w:r>
        <w:rPr>
          <w:position w:val="5"/>
          <w:sz w:val="12"/>
        </w:rPr>
        <w:t>8</w:t>
      </w:r>
      <w:r>
        <w:rPr>
          <w:spacing w:val="9"/>
          <w:position w:val="5"/>
          <w:sz w:val="12"/>
        </w:rPr>
        <w:t xml:space="preserve"> </w:t>
      </w:r>
      <w:r>
        <w:rPr>
          <w:sz w:val="18"/>
        </w:rPr>
        <w:t>Kattari,</w:t>
      </w:r>
      <w:r>
        <w:rPr>
          <w:spacing w:val="-3"/>
          <w:sz w:val="18"/>
        </w:rPr>
        <w:t xml:space="preserve"> </w:t>
      </w:r>
      <w:r>
        <w:rPr>
          <w:sz w:val="18"/>
        </w:rPr>
        <w:t>Shanna</w:t>
      </w:r>
      <w:r>
        <w:rPr>
          <w:spacing w:val="-3"/>
          <w:sz w:val="18"/>
        </w:rPr>
        <w:t xml:space="preserve"> </w:t>
      </w:r>
      <w:r>
        <w:rPr>
          <w:sz w:val="18"/>
        </w:rPr>
        <w:t>K.,</w:t>
      </w:r>
      <w:r>
        <w:rPr>
          <w:spacing w:val="-3"/>
          <w:sz w:val="18"/>
        </w:rPr>
        <w:t xml:space="preserve"> </w:t>
      </w:r>
      <w:r>
        <w:rPr>
          <w:sz w:val="18"/>
        </w:rPr>
        <w:t>N.</w:t>
      </w:r>
      <w:r>
        <w:rPr>
          <w:spacing w:val="-3"/>
          <w:sz w:val="18"/>
        </w:rPr>
        <w:t xml:space="preserve"> </w:t>
      </w:r>
      <w:r>
        <w:rPr>
          <w:sz w:val="18"/>
        </w:rPr>
        <w:t>Eugene</w:t>
      </w:r>
      <w:r>
        <w:rPr>
          <w:spacing w:val="-4"/>
          <w:sz w:val="18"/>
        </w:rPr>
        <w:t xml:space="preserve"> </w:t>
      </w:r>
      <w:r>
        <w:rPr>
          <w:sz w:val="18"/>
        </w:rPr>
        <w:t>Walls,</w:t>
      </w:r>
      <w:r>
        <w:rPr>
          <w:spacing w:val="-3"/>
          <w:sz w:val="18"/>
        </w:rPr>
        <w:t xml:space="preserve"> </w:t>
      </w:r>
      <w:r>
        <w:rPr>
          <w:sz w:val="18"/>
        </w:rPr>
        <w:t>Darren</w:t>
      </w:r>
      <w:r>
        <w:rPr>
          <w:spacing w:val="-4"/>
          <w:sz w:val="18"/>
        </w:rPr>
        <w:t xml:space="preserve"> </w:t>
      </w:r>
      <w:r>
        <w:rPr>
          <w:sz w:val="18"/>
        </w:rPr>
        <w:t>L.</w:t>
      </w:r>
      <w:r>
        <w:rPr>
          <w:spacing w:val="-3"/>
          <w:sz w:val="18"/>
        </w:rPr>
        <w:t xml:space="preserve"> </w:t>
      </w:r>
      <w:r>
        <w:rPr>
          <w:sz w:val="18"/>
        </w:rPr>
        <w:t>Whitfield,</w:t>
      </w:r>
      <w:r>
        <w:rPr>
          <w:spacing w:val="-3"/>
          <w:sz w:val="18"/>
        </w:rPr>
        <w:t xml:space="preserve"> </w:t>
      </w:r>
      <w:r>
        <w:rPr>
          <w:sz w:val="18"/>
        </w:rPr>
        <w:t>and</w:t>
      </w:r>
      <w:r>
        <w:rPr>
          <w:spacing w:val="-4"/>
          <w:sz w:val="18"/>
        </w:rPr>
        <w:t xml:space="preserve"> </w:t>
      </w:r>
      <w:r>
        <w:rPr>
          <w:sz w:val="18"/>
        </w:rPr>
        <w:t>Lisa</w:t>
      </w:r>
      <w:r>
        <w:rPr>
          <w:spacing w:val="-3"/>
          <w:sz w:val="18"/>
        </w:rPr>
        <w:t xml:space="preserve"> </w:t>
      </w:r>
      <w:r>
        <w:rPr>
          <w:sz w:val="18"/>
        </w:rPr>
        <w:t>Langenderfer-Magruder.</w:t>
      </w:r>
      <w:r>
        <w:rPr>
          <w:spacing w:val="-3"/>
          <w:sz w:val="18"/>
        </w:rPr>
        <w:t xml:space="preserve"> </w:t>
      </w:r>
      <w:r>
        <w:rPr>
          <w:sz w:val="18"/>
        </w:rPr>
        <w:t>2015.</w:t>
      </w:r>
      <w:r>
        <w:rPr>
          <w:spacing w:val="-1"/>
          <w:sz w:val="18"/>
        </w:rPr>
        <w:t xml:space="preserve"> </w:t>
      </w:r>
      <w:r>
        <w:rPr>
          <w:sz w:val="18"/>
        </w:rPr>
        <w:t>“Racial</w:t>
      </w:r>
      <w:r>
        <w:rPr>
          <w:spacing w:val="-4"/>
          <w:sz w:val="18"/>
        </w:rPr>
        <w:t xml:space="preserve"> </w:t>
      </w:r>
      <w:r>
        <w:rPr>
          <w:sz w:val="18"/>
        </w:rPr>
        <w:t>and</w:t>
      </w:r>
      <w:r>
        <w:rPr>
          <w:spacing w:val="-4"/>
          <w:sz w:val="18"/>
        </w:rPr>
        <w:t xml:space="preserve"> </w:t>
      </w:r>
      <w:r>
        <w:rPr>
          <w:sz w:val="18"/>
        </w:rPr>
        <w:t>Ethnic</w:t>
      </w:r>
      <w:r>
        <w:rPr>
          <w:spacing w:val="-3"/>
          <w:sz w:val="18"/>
        </w:rPr>
        <w:t xml:space="preserve"> </w:t>
      </w:r>
      <w:r>
        <w:rPr>
          <w:sz w:val="18"/>
        </w:rPr>
        <w:t xml:space="preserve">Differences in Experiences of Discrimination in Accessing Health Services among Transgender People in the United States.” </w:t>
      </w:r>
      <w:r>
        <w:rPr>
          <w:i/>
          <w:sz w:val="18"/>
        </w:rPr>
        <w:t xml:space="preserve">International Journal of Transgenderism </w:t>
      </w:r>
      <w:r>
        <w:rPr>
          <w:sz w:val="18"/>
        </w:rPr>
        <w:t>16 (2): 68–79. https://doi.org/10.1080/15532739.2015.1064336.</w:t>
      </w:r>
    </w:p>
    <w:p w:rsidR="00200FDA" w:rsidRDefault="00F76C4C">
      <w:pPr>
        <w:ind w:left="140" w:right="139" w:hanging="1"/>
        <w:rPr>
          <w:sz w:val="18"/>
        </w:rPr>
      </w:pPr>
      <w:bookmarkStart w:id="489" w:name="_bookmark360"/>
      <w:bookmarkEnd w:id="489"/>
      <w:r>
        <w:rPr>
          <w:position w:val="5"/>
          <w:sz w:val="12"/>
        </w:rPr>
        <w:t>9</w:t>
      </w:r>
      <w:r>
        <w:rPr>
          <w:spacing w:val="10"/>
          <w:position w:val="5"/>
          <w:sz w:val="12"/>
        </w:rPr>
        <w:t xml:space="preserve"> </w:t>
      </w:r>
      <w:r>
        <w:rPr>
          <w:color w:val="202020"/>
          <w:sz w:val="18"/>
        </w:rPr>
        <w:t>Argenyi</w:t>
      </w:r>
      <w:r>
        <w:rPr>
          <w:color w:val="202020"/>
          <w:spacing w:val="-3"/>
          <w:sz w:val="18"/>
        </w:rPr>
        <w:t xml:space="preserve"> </w:t>
      </w:r>
      <w:r>
        <w:rPr>
          <w:color w:val="202020"/>
          <w:sz w:val="18"/>
        </w:rPr>
        <w:t>MS,</w:t>
      </w:r>
      <w:r>
        <w:rPr>
          <w:color w:val="202020"/>
          <w:spacing w:val="-2"/>
          <w:sz w:val="18"/>
        </w:rPr>
        <w:t xml:space="preserve"> </w:t>
      </w:r>
      <w:r>
        <w:rPr>
          <w:color w:val="202020"/>
          <w:sz w:val="18"/>
        </w:rPr>
        <w:t>Mereish</w:t>
      </w:r>
      <w:r>
        <w:rPr>
          <w:color w:val="202020"/>
          <w:spacing w:val="-3"/>
          <w:sz w:val="18"/>
        </w:rPr>
        <w:t xml:space="preserve"> </w:t>
      </w:r>
      <w:r>
        <w:rPr>
          <w:color w:val="202020"/>
          <w:sz w:val="18"/>
        </w:rPr>
        <w:t>EH,</w:t>
      </w:r>
      <w:r>
        <w:rPr>
          <w:color w:val="202020"/>
          <w:spacing w:val="-2"/>
          <w:sz w:val="18"/>
        </w:rPr>
        <w:t xml:space="preserve"> </w:t>
      </w:r>
      <w:r>
        <w:rPr>
          <w:color w:val="202020"/>
          <w:sz w:val="18"/>
        </w:rPr>
        <w:t>Watson</w:t>
      </w:r>
      <w:r>
        <w:rPr>
          <w:color w:val="202020"/>
          <w:spacing w:val="-3"/>
          <w:sz w:val="18"/>
        </w:rPr>
        <w:t xml:space="preserve"> </w:t>
      </w:r>
      <w:r>
        <w:rPr>
          <w:color w:val="202020"/>
          <w:sz w:val="18"/>
        </w:rPr>
        <w:t>RJ.</w:t>
      </w:r>
      <w:r>
        <w:rPr>
          <w:color w:val="202020"/>
          <w:spacing w:val="-2"/>
          <w:sz w:val="18"/>
        </w:rPr>
        <w:t xml:space="preserve"> </w:t>
      </w:r>
      <w:r>
        <w:rPr>
          <w:color w:val="202020"/>
          <w:sz w:val="18"/>
        </w:rPr>
        <w:t>Mental</w:t>
      </w:r>
      <w:r>
        <w:rPr>
          <w:color w:val="202020"/>
          <w:spacing w:val="-3"/>
          <w:sz w:val="18"/>
        </w:rPr>
        <w:t xml:space="preserve"> </w:t>
      </w:r>
      <w:r>
        <w:rPr>
          <w:color w:val="202020"/>
          <w:sz w:val="18"/>
        </w:rPr>
        <w:t>and</w:t>
      </w:r>
      <w:r>
        <w:rPr>
          <w:color w:val="202020"/>
          <w:spacing w:val="-3"/>
          <w:sz w:val="18"/>
        </w:rPr>
        <w:t xml:space="preserve"> </w:t>
      </w:r>
      <w:r>
        <w:rPr>
          <w:color w:val="202020"/>
          <w:sz w:val="18"/>
        </w:rPr>
        <w:t>Physical</w:t>
      </w:r>
      <w:r>
        <w:rPr>
          <w:color w:val="202020"/>
          <w:spacing w:val="-3"/>
          <w:sz w:val="18"/>
        </w:rPr>
        <w:t xml:space="preserve"> </w:t>
      </w:r>
      <w:r>
        <w:rPr>
          <w:color w:val="202020"/>
          <w:sz w:val="18"/>
        </w:rPr>
        <w:t>Health</w:t>
      </w:r>
      <w:r>
        <w:rPr>
          <w:color w:val="202020"/>
          <w:spacing w:val="-1"/>
          <w:sz w:val="18"/>
        </w:rPr>
        <w:t xml:space="preserve"> </w:t>
      </w:r>
      <w:r>
        <w:rPr>
          <w:color w:val="202020"/>
          <w:sz w:val="18"/>
        </w:rPr>
        <w:t>Disparities</w:t>
      </w:r>
      <w:r>
        <w:rPr>
          <w:color w:val="202020"/>
          <w:spacing w:val="-1"/>
          <w:sz w:val="18"/>
        </w:rPr>
        <w:t xml:space="preserve"> </w:t>
      </w:r>
      <w:r>
        <w:rPr>
          <w:color w:val="202020"/>
          <w:sz w:val="18"/>
        </w:rPr>
        <w:t>Among</w:t>
      </w:r>
      <w:r>
        <w:rPr>
          <w:color w:val="202020"/>
          <w:spacing w:val="-3"/>
          <w:sz w:val="18"/>
        </w:rPr>
        <w:t xml:space="preserve"> </w:t>
      </w:r>
      <w:r>
        <w:rPr>
          <w:color w:val="202020"/>
          <w:sz w:val="18"/>
        </w:rPr>
        <w:t>Sexual</w:t>
      </w:r>
      <w:r>
        <w:rPr>
          <w:color w:val="202020"/>
          <w:spacing w:val="-3"/>
          <w:sz w:val="18"/>
        </w:rPr>
        <w:t xml:space="preserve"> </w:t>
      </w:r>
      <w:r>
        <w:rPr>
          <w:color w:val="202020"/>
          <w:sz w:val="18"/>
        </w:rPr>
        <w:t>and</w:t>
      </w:r>
      <w:r>
        <w:rPr>
          <w:color w:val="202020"/>
          <w:spacing w:val="-1"/>
          <w:sz w:val="18"/>
        </w:rPr>
        <w:t xml:space="preserve"> </w:t>
      </w:r>
      <w:r>
        <w:rPr>
          <w:color w:val="202020"/>
          <w:sz w:val="18"/>
        </w:rPr>
        <w:t>Gender</w:t>
      </w:r>
      <w:r>
        <w:rPr>
          <w:color w:val="202020"/>
          <w:spacing w:val="-3"/>
          <w:sz w:val="18"/>
        </w:rPr>
        <w:t xml:space="preserve"> </w:t>
      </w:r>
      <w:r>
        <w:rPr>
          <w:color w:val="202020"/>
          <w:sz w:val="18"/>
        </w:rPr>
        <w:t>Minority</w:t>
      </w:r>
      <w:r>
        <w:rPr>
          <w:color w:val="202020"/>
          <w:spacing w:val="-2"/>
          <w:sz w:val="18"/>
        </w:rPr>
        <w:t xml:space="preserve"> </w:t>
      </w:r>
      <w:r>
        <w:rPr>
          <w:color w:val="202020"/>
          <w:sz w:val="18"/>
        </w:rPr>
        <w:t>Adolescents Based on Disability Status. LGBT Health. 2022 Oct 26. doi: 10.1089/lgbt.2022.0032. Epub ahead of print. PMID: 36301253.</w:t>
      </w:r>
    </w:p>
    <w:p w:rsidR="00200FDA" w:rsidRDefault="00F76C4C">
      <w:pPr>
        <w:ind w:left="140" w:right="139" w:hanging="1"/>
        <w:rPr>
          <w:sz w:val="18"/>
        </w:rPr>
      </w:pPr>
      <w:bookmarkStart w:id="490" w:name="_bookmark361"/>
      <w:bookmarkEnd w:id="490"/>
      <w:r>
        <w:rPr>
          <w:position w:val="5"/>
          <w:sz w:val="12"/>
        </w:rPr>
        <w:t>10</w:t>
      </w:r>
      <w:r>
        <w:rPr>
          <w:spacing w:val="10"/>
          <w:position w:val="5"/>
          <w:sz w:val="12"/>
        </w:rPr>
        <w:t xml:space="preserve"> </w:t>
      </w:r>
      <w:r>
        <w:rPr>
          <w:color w:val="202020"/>
          <w:sz w:val="18"/>
        </w:rPr>
        <w:t>Hisle-Gorman</w:t>
      </w:r>
      <w:r>
        <w:rPr>
          <w:color w:val="202020"/>
          <w:spacing w:val="-3"/>
          <w:sz w:val="18"/>
        </w:rPr>
        <w:t xml:space="preserve"> </w:t>
      </w:r>
      <w:r>
        <w:rPr>
          <w:color w:val="202020"/>
          <w:sz w:val="18"/>
        </w:rPr>
        <w:t>E,</w:t>
      </w:r>
      <w:r>
        <w:rPr>
          <w:color w:val="202020"/>
          <w:spacing w:val="-2"/>
          <w:sz w:val="18"/>
        </w:rPr>
        <w:t xml:space="preserve"> </w:t>
      </w:r>
      <w:r>
        <w:rPr>
          <w:color w:val="202020"/>
          <w:sz w:val="18"/>
        </w:rPr>
        <w:t>Landis</w:t>
      </w:r>
      <w:r>
        <w:rPr>
          <w:color w:val="202020"/>
          <w:spacing w:val="-3"/>
          <w:sz w:val="18"/>
        </w:rPr>
        <w:t xml:space="preserve"> </w:t>
      </w:r>
      <w:r>
        <w:rPr>
          <w:color w:val="202020"/>
          <w:sz w:val="18"/>
        </w:rPr>
        <w:t>CA, Susi</w:t>
      </w:r>
      <w:r>
        <w:rPr>
          <w:color w:val="202020"/>
          <w:spacing w:val="-3"/>
          <w:sz w:val="18"/>
        </w:rPr>
        <w:t xml:space="preserve"> </w:t>
      </w:r>
      <w:r>
        <w:rPr>
          <w:color w:val="202020"/>
          <w:sz w:val="18"/>
        </w:rPr>
        <w:t>A,</w:t>
      </w:r>
      <w:r>
        <w:rPr>
          <w:color w:val="202020"/>
          <w:spacing w:val="-2"/>
          <w:sz w:val="18"/>
        </w:rPr>
        <w:t xml:space="preserve"> </w:t>
      </w:r>
      <w:r>
        <w:rPr>
          <w:color w:val="202020"/>
          <w:sz w:val="18"/>
        </w:rPr>
        <w:t>Schvey</w:t>
      </w:r>
      <w:r>
        <w:rPr>
          <w:color w:val="202020"/>
          <w:spacing w:val="-2"/>
          <w:sz w:val="18"/>
        </w:rPr>
        <w:t xml:space="preserve"> </w:t>
      </w:r>
      <w:r>
        <w:rPr>
          <w:color w:val="202020"/>
          <w:sz w:val="18"/>
        </w:rPr>
        <w:t>NA,</w:t>
      </w:r>
      <w:r>
        <w:rPr>
          <w:color w:val="202020"/>
          <w:spacing w:val="-2"/>
          <w:sz w:val="18"/>
        </w:rPr>
        <w:t xml:space="preserve"> </w:t>
      </w:r>
      <w:r>
        <w:rPr>
          <w:color w:val="202020"/>
          <w:sz w:val="18"/>
        </w:rPr>
        <w:t>Gorman</w:t>
      </w:r>
      <w:r>
        <w:rPr>
          <w:color w:val="202020"/>
          <w:spacing w:val="-3"/>
          <w:sz w:val="18"/>
        </w:rPr>
        <w:t xml:space="preserve"> </w:t>
      </w:r>
      <w:r>
        <w:rPr>
          <w:color w:val="202020"/>
          <w:sz w:val="18"/>
        </w:rPr>
        <w:t>GH,</w:t>
      </w:r>
      <w:r>
        <w:rPr>
          <w:color w:val="202020"/>
          <w:spacing w:val="-2"/>
          <w:sz w:val="18"/>
        </w:rPr>
        <w:t xml:space="preserve"> </w:t>
      </w:r>
      <w:r>
        <w:rPr>
          <w:color w:val="202020"/>
          <w:sz w:val="18"/>
        </w:rPr>
        <w:t>Nylund</w:t>
      </w:r>
      <w:r>
        <w:rPr>
          <w:color w:val="202020"/>
          <w:spacing w:val="-3"/>
          <w:sz w:val="18"/>
        </w:rPr>
        <w:t xml:space="preserve"> </w:t>
      </w:r>
      <w:r>
        <w:rPr>
          <w:color w:val="202020"/>
          <w:sz w:val="18"/>
        </w:rPr>
        <w:t>CM,</w:t>
      </w:r>
      <w:r>
        <w:rPr>
          <w:color w:val="202020"/>
          <w:spacing w:val="-2"/>
          <w:sz w:val="18"/>
        </w:rPr>
        <w:t xml:space="preserve"> </w:t>
      </w:r>
      <w:r>
        <w:rPr>
          <w:color w:val="202020"/>
          <w:sz w:val="18"/>
        </w:rPr>
        <w:t>Klein</w:t>
      </w:r>
      <w:r>
        <w:rPr>
          <w:color w:val="202020"/>
          <w:spacing w:val="-3"/>
          <w:sz w:val="18"/>
        </w:rPr>
        <w:t xml:space="preserve"> </w:t>
      </w:r>
      <w:r>
        <w:rPr>
          <w:color w:val="202020"/>
          <w:sz w:val="18"/>
        </w:rPr>
        <w:t>DA.</w:t>
      </w:r>
      <w:r>
        <w:rPr>
          <w:color w:val="202020"/>
          <w:spacing w:val="-2"/>
          <w:sz w:val="18"/>
        </w:rPr>
        <w:t xml:space="preserve"> </w:t>
      </w:r>
      <w:r>
        <w:rPr>
          <w:color w:val="202020"/>
          <w:sz w:val="18"/>
        </w:rPr>
        <w:t>Gender</w:t>
      </w:r>
      <w:r>
        <w:rPr>
          <w:color w:val="202020"/>
          <w:spacing w:val="-3"/>
          <w:sz w:val="18"/>
        </w:rPr>
        <w:t xml:space="preserve"> </w:t>
      </w:r>
      <w:r>
        <w:rPr>
          <w:color w:val="202020"/>
          <w:sz w:val="18"/>
        </w:rPr>
        <w:t>Dysphoria</w:t>
      </w:r>
      <w:r>
        <w:rPr>
          <w:color w:val="202020"/>
          <w:spacing w:val="-2"/>
          <w:sz w:val="18"/>
        </w:rPr>
        <w:t xml:space="preserve"> </w:t>
      </w:r>
      <w:r>
        <w:rPr>
          <w:color w:val="202020"/>
          <w:sz w:val="18"/>
        </w:rPr>
        <w:t>in</w:t>
      </w:r>
      <w:r>
        <w:rPr>
          <w:color w:val="202020"/>
          <w:spacing w:val="-3"/>
          <w:sz w:val="18"/>
        </w:rPr>
        <w:t xml:space="preserve"> </w:t>
      </w:r>
      <w:r>
        <w:rPr>
          <w:color w:val="202020"/>
          <w:sz w:val="18"/>
        </w:rPr>
        <w:t>Children</w:t>
      </w:r>
      <w:r>
        <w:rPr>
          <w:color w:val="202020"/>
          <w:spacing w:val="-3"/>
          <w:sz w:val="18"/>
        </w:rPr>
        <w:t xml:space="preserve"> </w:t>
      </w:r>
      <w:r>
        <w:rPr>
          <w:color w:val="202020"/>
          <w:sz w:val="18"/>
        </w:rPr>
        <w:t>with</w:t>
      </w:r>
      <w:r>
        <w:rPr>
          <w:color w:val="202020"/>
          <w:spacing w:val="-3"/>
          <w:sz w:val="18"/>
        </w:rPr>
        <w:t xml:space="preserve"> </w:t>
      </w:r>
      <w:r>
        <w:rPr>
          <w:color w:val="202020"/>
          <w:sz w:val="18"/>
        </w:rPr>
        <w:t>Autism Spectrum Disorder. LGBT Health. 2019 Apr;6(3):95-100. doi: 10.1089/lgbt.2018.0252. Epub 2019 Apr 2. PMID: 30920347.</w:t>
      </w:r>
    </w:p>
    <w:p w:rsidR="00200FDA" w:rsidRDefault="00F76C4C">
      <w:pPr>
        <w:ind w:left="140" w:right="139" w:hanging="1"/>
        <w:rPr>
          <w:sz w:val="18"/>
        </w:rPr>
      </w:pPr>
      <w:bookmarkStart w:id="491" w:name="_bookmark362"/>
      <w:bookmarkEnd w:id="491"/>
      <w:r>
        <w:rPr>
          <w:position w:val="5"/>
          <w:sz w:val="12"/>
        </w:rPr>
        <w:t>11</w:t>
      </w:r>
      <w:r>
        <w:rPr>
          <w:spacing w:val="10"/>
          <w:position w:val="5"/>
          <w:sz w:val="12"/>
        </w:rPr>
        <w:t xml:space="preserve"> </w:t>
      </w:r>
      <w:r>
        <w:rPr>
          <w:color w:val="333333"/>
          <w:sz w:val="18"/>
        </w:rPr>
        <w:t>Scott</w:t>
      </w:r>
      <w:r>
        <w:rPr>
          <w:color w:val="333333"/>
          <w:spacing w:val="-3"/>
          <w:sz w:val="18"/>
        </w:rPr>
        <w:t xml:space="preserve"> </w:t>
      </w:r>
      <w:r>
        <w:rPr>
          <w:color w:val="333333"/>
          <w:sz w:val="18"/>
        </w:rPr>
        <w:t>B.</w:t>
      </w:r>
      <w:r>
        <w:rPr>
          <w:color w:val="333333"/>
          <w:spacing w:val="-2"/>
          <w:sz w:val="18"/>
        </w:rPr>
        <w:t xml:space="preserve"> </w:t>
      </w:r>
      <w:r>
        <w:rPr>
          <w:color w:val="333333"/>
          <w:sz w:val="18"/>
        </w:rPr>
        <w:t>Greenspan,</w:t>
      </w:r>
      <w:r>
        <w:rPr>
          <w:color w:val="333333"/>
          <w:spacing w:val="-2"/>
          <w:sz w:val="18"/>
        </w:rPr>
        <w:t xml:space="preserve"> </w:t>
      </w:r>
      <w:r>
        <w:rPr>
          <w:color w:val="333333"/>
          <w:sz w:val="18"/>
        </w:rPr>
        <w:t>Samuel</w:t>
      </w:r>
      <w:r>
        <w:rPr>
          <w:color w:val="333333"/>
          <w:spacing w:val="-3"/>
          <w:sz w:val="18"/>
        </w:rPr>
        <w:t xml:space="preserve"> </w:t>
      </w:r>
      <w:r>
        <w:rPr>
          <w:color w:val="333333"/>
          <w:sz w:val="18"/>
        </w:rPr>
        <w:t>Carr, Ashley</w:t>
      </w:r>
      <w:r>
        <w:rPr>
          <w:color w:val="333333"/>
          <w:spacing w:val="-2"/>
          <w:sz w:val="18"/>
        </w:rPr>
        <w:t xml:space="preserve"> </w:t>
      </w:r>
      <w:r>
        <w:rPr>
          <w:color w:val="333333"/>
          <w:sz w:val="18"/>
        </w:rPr>
        <w:t>C.</w:t>
      </w:r>
      <w:r>
        <w:rPr>
          <w:color w:val="333333"/>
          <w:spacing w:val="-2"/>
          <w:sz w:val="18"/>
        </w:rPr>
        <w:t xml:space="preserve"> </w:t>
      </w:r>
      <w:r>
        <w:rPr>
          <w:color w:val="333333"/>
          <w:sz w:val="18"/>
        </w:rPr>
        <w:t>Woodman,</w:t>
      </w:r>
      <w:r>
        <w:rPr>
          <w:color w:val="333333"/>
          <w:spacing w:val="-2"/>
          <w:sz w:val="18"/>
        </w:rPr>
        <w:t xml:space="preserve"> </w:t>
      </w:r>
      <w:r>
        <w:rPr>
          <w:color w:val="333333"/>
          <w:sz w:val="18"/>
        </w:rPr>
        <w:t>Amy</w:t>
      </w:r>
      <w:r>
        <w:rPr>
          <w:color w:val="333333"/>
          <w:spacing w:val="-2"/>
          <w:sz w:val="18"/>
        </w:rPr>
        <w:t xml:space="preserve"> </w:t>
      </w:r>
      <w:r>
        <w:rPr>
          <w:color w:val="333333"/>
          <w:sz w:val="18"/>
        </w:rPr>
        <w:t>Cannava</w:t>
      </w:r>
      <w:r>
        <w:rPr>
          <w:color w:val="333333"/>
          <w:spacing w:val="-2"/>
          <w:sz w:val="18"/>
        </w:rPr>
        <w:t xml:space="preserve"> </w:t>
      </w:r>
      <w:r>
        <w:rPr>
          <w:color w:val="333333"/>
          <w:sz w:val="18"/>
        </w:rPr>
        <w:t>&amp;</w:t>
      </w:r>
      <w:r>
        <w:rPr>
          <w:color w:val="333333"/>
          <w:spacing w:val="-3"/>
          <w:sz w:val="18"/>
        </w:rPr>
        <w:t xml:space="preserve"> </w:t>
      </w:r>
      <w:r>
        <w:rPr>
          <w:color w:val="333333"/>
          <w:sz w:val="18"/>
        </w:rPr>
        <w:t>Yena</w:t>
      </w:r>
      <w:r>
        <w:rPr>
          <w:color w:val="333333"/>
          <w:spacing w:val="-2"/>
          <w:sz w:val="18"/>
        </w:rPr>
        <w:t xml:space="preserve"> </w:t>
      </w:r>
      <w:r>
        <w:rPr>
          <w:color w:val="333333"/>
          <w:sz w:val="18"/>
        </w:rPr>
        <w:t>Li</w:t>
      </w:r>
      <w:r>
        <w:rPr>
          <w:color w:val="333333"/>
          <w:spacing w:val="-3"/>
          <w:sz w:val="18"/>
        </w:rPr>
        <w:t xml:space="preserve"> </w:t>
      </w:r>
      <w:r>
        <w:rPr>
          <w:color w:val="333333"/>
          <w:sz w:val="18"/>
        </w:rPr>
        <w:t>(2022)</w:t>
      </w:r>
      <w:r>
        <w:rPr>
          <w:color w:val="333333"/>
          <w:spacing w:val="-2"/>
          <w:sz w:val="18"/>
        </w:rPr>
        <w:t xml:space="preserve"> </w:t>
      </w:r>
      <w:r>
        <w:rPr>
          <w:color w:val="333333"/>
          <w:sz w:val="18"/>
        </w:rPr>
        <w:t>Identified</w:t>
      </w:r>
      <w:r>
        <w:rPr>
          <w:color w:val="333333"/>
          <w:spacing w:val="-2"/>
          <w:sz w:val="18"/>
        </w:rPr>
        <w:t xml:space="preserve"> </w:t>
      </w:r>
      <w:r>
        <w:rPr>
          <w:color w:val="333333"/>
          <w:sz w:val="18"/>
        </w:rPr>
        <w:t>protective</w:t>
      </w:r>
      <w:r>
        <w:rPr>
          <w:color w:val="333333"/>
          <w:spacing w:val="-3"/>
          <w:sz w:val="18"/>
        </w:rPr>
        <w:t xml:space="preserve"> </w:t>
      </w:r>
      <w:r>
        <w:rPr>
          <w:color w:val="333333"/>
          <w:sz w:val="18"/>
        </w:rPr>
        <w:t>factors</w:t>
      </w:r>
      <w:r>
        <w:rPr>
          <w:color w:val="333333"/>
          <w:spacing w:val="-3"/>
          <w:sz w:val="18"/>
        </w:rPr>
        <w:t xml:space="preserve"> </w:t>
      </w:r>
      <w:r>
        <w:rPr>
          <w:color w:val="333333"/>
          <w:sz w:val="18"/>
        </w:rPr>
        <w:t>to</w:t>
      </w:r>
      <w:r>
        <w:rPr>
          <w:color w:val="333333"/>
          <w:spacing w:val="-2"/>
          <w:sz w:val="18"/>
        </w:rPr>
        <w:t xml:space="preserve"> </w:t>
      </w:r>
      <w:r>
        <w:rPr>
          <w:color w:val="333333"/>
          <w:sz w:val="18"/>
        </w:rPr>
        <w:t xml:space="preserve">support psychological well-being among gender diverse autistic youth, Journal of LGBT Youth, DOI: </w:t>
      </w:r>
      <w:hyperlink r:id="rId372">
        <w:r>
          <w:rPr>
            <w:color w:val="333333"/>
            <w:sz w:val="18"/>
            <w:u w:val="single" w:color="333333"/>
          </w:rPr>
          <w:t>10.1080/19361653.2022.2119188</w:t>
        </w:r>
      </w:hyperlink>
    </w:p>
    <w:p w:rsidR="00200FDA" w:rsidRDefault="00F76C4C">
      <w:pPr>
        <w:ind w:left="140" w:right="322"/>
        <w:rPr>
          <w:sz w:val="18"/>
        </w:rPr>
      </w:pPr>
      <w:bookmarkStart w:id="492" w:name="_bookmark363"/>
      <w:bookmarkEnd w:id="492"/>
      <w:r>
        <w:rPr>
          <w:position w:val="5"/>
          <w:sz w:val="12"/>
        </w:rPr>
        <w:t>12</w:t>
      </w:r>
      <w:r>
        <w:rPr>
          <w:spacing w:val="9"/>
          <w:position w:val="5"/>
          <w:sz w:val="12"/>
        </w:rPr>
        <w:t xml:space="preserve"> </w:t>
      </w:r>
      <w:r>
        <w:rPr>
          <w:sz w:val="18"/>
        </w:rPr>
        <w:t>Strang,</w:t>
      </w:r>
      <w:r>
        <w:rPr>
          <w:spacing w:val="-3"/>
          <w:sz w:val="18"/>
        </w:rPr>
        <w:t xml:space="preserve"> </w:t>
      </w:r>
      <w:r>
        <w:rPr>
          <w:sz w:val="18"/>
        </w:rPr>
        <w:t>John</w:t>
      </w:r>
      <w:r>
        <w:rPr>
          <w:spacing w:val="-2"/>
          <w:sz w:val="18"/>
        </w:rPr>
        <w:t xml:space="preserve"> </w:t>
      </w:r>
      <w:r>
        <w:rPr>
          <w:sz w:val="18"/>
        </w:rPr>
        <w:t>F.,</w:t>
      </w:r>
      <w:r>
        <w:rPr>
          <w:spacing w:val="-3"/>
          <w:sz w:val="18"/>
        </w:rPr>
        <w:t xml:space="preserve"> </w:t>
      </w:r>
      <w:r>
        <w:rPr>
          <w:sz w:val="18"/>
        </w:rPr>
        <w:t>Meredith</w:t>
      </w:r>
      <w:r>
        <w:rPr>
          <w:spacing w:val="-4"/>
          <w:sz w:val="18"/>
        </w:rPr>
        <w:t xml:space="preserve"> </w:t>
      </w:r>
      <w:r>
        <w:rPr>
          <w:sz w:val="18"/>
        </w:rPr>
        <w:t>D.</w:t>
      </w:r>
      <w:r>
        <w:rPr>
          <w:spacing w:val="-3"/>
          <w:sz w:val="18"/>
        </w:rPr>
        <w:t xml:space="preserve"> </w:t>
      </w:r>
      <w:r>
        <w:rPr>
          <w:sz w:val="18"/>
        </w:rPr>
        <w:t>Powers,</w:t>
      </w:r>
      <w:r>
        <w:rPr>
          <w:spacing w:val="-3"/>
          <w:sz w:val="18"/>
        </w:rPr>
        <w:t xml:space="preserve"> </w:t>
      </w:r>
      <w:r>
        <w:rPr>
          <w:sz w:val="18"/>
        </w:rPr>
        <w:t>Megan</w:t>
      </w:r>
      <w:r>
        <w:rPr>
          <w:spacing w:val="-4"/>
          <w:sz w:val="18"/>
        </w:rPr>
        <w:t xml:space="preserve"> </w:t>
      </w:r>
      <w:r>
        <w:rPr>
          <w:sz w:val="18"/>
        </w:rPr>
        <w:t>Knauss,</w:t>
      </w:r>
      <w:r>
        <w:rPr>
          <w:spacing w:val="-3"/>
          <w:sz w:val="18"/>
        </w:rPr>
        <w:t xml:space="preserve"> </w:t>
      </w:r>
      <w:r>
        <w:rPr>
          <w:sz w:val="18"/>
        </w:rPr>
        <w:t>Ely</w:t>
      </w:r>
      <w:r>
        <w:rPr>
          <w:spacing w:val="-3"/>
          <w:sz w:val="18"/>
        </w:rPr>
        <w:t xml:space="preserve"> </w:t>
      </w:r>
      <w:r>
        <w:rPr>
          <w:sz w:val="18"/>
        </w:rPr>
        <w:t>Sibarium, Scott</w:t>
      </w:r>
      <w:r>
        <w:rPr>
          <w:spacing w:val="-4"/>
          <w:sz w:val="18"/>
        </w:rPr>
        <w:t xml:space="preserve"> </w:t>
      </w:r>
      <w:r>
        <w:rPr>
          <w:sz w:val="18"/>
        </w:rPr>
        <w:t>F.</w:t>
      </w:r>
      <w:r>
        <w:rPr>
          <w:spacing w:val="-3"/>
          <w:sz w:val="18"/>
        </w:rPr>
        <w:t xml:space="preserve"> </w:t>
      </w:r>
      <w:r>
        <w:rPr>
          <w:sz w:val="18"/>
        </w:rPr>
        <w:t>Leibowitz,</w:t>
      </w:r>
      <w:r>
        <w:rPr>
          <w:spacing w:val="-3"/>
          <w:sz w:val="18"/>
        </w:rPr>
        <w:t xml:space="preserve"> </w:t>
      </w:r>
      <w:r>
        <w:rPr>
          <w:sz w:val="18"/>
        </w:rPr>
        <w:t>Lauren</w:t>
      </w:r>
      <w:r>
        <w:rPr>
          <w:spacing w:val="-4"/>
          <w:sz w:val="18"/>
        </w:rPr>
        <w:t xml:space="preserve"> </w:t>
      </w:r>
      <w:r>
        <w:rPr>
          <w:sz w:val="18"/>
        </w:rPr>
        <w:t>Kenworthy,</w:t>
      </w:r>
      <w:r>
        <w:rPr>
          <w:spacing w:val="-3"/>
          <w:sz w:val="18"/>
        </w:rPr>
        <w:t xml:space="preserve"> </w:t>
      </w:r>
      <w:r>
        <w:rPr>
          <w:sz w:val="18"/>
        </w:rPr>
        <w:t>Eleonora</w:t>
      </w:r>
      <w:r>
        <w:rPr>
          <w:spacing w:val="-3"/>
          <w:sz w:val="18"/>
        </w:rPr>
        <w:t xml:space="preserve"> </w:t>
      </w:r>
      <w:r>
        <w:rPr>
          <w:sz w:val="18"/>
        </w:rPr>
        <w:t>Sadikova, et al. 2018. “‘They Thought It Was an Obsession’: Trajectories and Perspectives of Autistic Transgender and Gender-Diverse Adolescents</w:t>
      </w:r>
      <w:r>
        <w:rPr>
          <w:sz w:val="18"/>
        </w:rPr>
        <w:t>.”</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Autism</w:t>
      </w:r>
      <w:r>
        <w:rPr>
          <w:i/>
          <w:spacing w:val="-3"/>
          <w:sz w:val="18"/>
        </w:rPr>
        <w:t xml:space="preserve"> </w:t>
      </w:r>
      <w:r>
        <w:rPr>
          <w:i/>
          <w:sz w:val="18"/>
        </w:rPr>
        <w:t>and</w:t>
      </w:r>
      <w:r>
        <w:rPr>
          <w:i/>
          <w:spacing w:val="-1"/>
          <w:sz w:val="18"/>
        </w:rPr>
        <w:t xml:space="preserve"> </w:t>
      </w:r>
      <w:r>
        <w:rPr>
          <w:i/>
          <w:sz w:val="18"/>
        </w:rPr>
        <w:t>Developmental</w:t>
      </w:r>
      <w:r>
        <w:rPr>
          <w:i/>
          <w:spacing w:val="-3"/>
          <w:sz w:val="18"/>
        </w:rPr>
        <w:t xml:space="preserve"> </w:t>
      </w:r>
      <w:r>
        <w:rPr>
          <w:i/>
          <w:sz w:val="18"/>
        </w:rPr>
        <w:t>Disorders</w:t>
      </w:r>
      <w:r>
        <w:rPr>
          <w:i/>
          <w:spacing w:val="-3"/>
          <w:sz w:val="18"/>
        </w:rPr>
        <w:t xml:space="preserve"> </w:t>
      </w:r>
      <w:r>
        <w:rPr>
          <w:sz w:val="18"/>
        </w:rPr>
        <w:t>48</w:t>
      </w:r>
      <w:r>
        <w:rPr>
          <w:spacing w:val="-2"/>
          <w:sz w:val="18"/>
        </w:rPr>
        <w:t xml:space="preserve"> </w:t>
      </w:r>
      <w:r>
        <w:rPr>
          <w:sz w:val="18"/>
        </w:rPr>
        <w:t>(12):</w:t>
      </w:r>
      <w:r>
        <w:rPr>
          <w:spacing w:val="-2"/>
          <w:sz w:val="18"/>
        </w:rPr>
        <w:t xml:space="preserve"> </w:t>
      </w:r>
      <w:r>
        <w:rPr>
          <w:sz w:val="18"/>
        </w:rPr>
        <w:t>4039–55.</w:t>
      </w:r>
      <w:r>
        <w:rPr>
          <w:spacing w:val="-2"/>
          <w:sz w:val="18"/>
        </w:rPr>
        <w:t xml:space="preserve"> </w:t>
      </w:r>
      <w:r>
        <w:rPr>
          <w:sz w:val="18"/>
        </w:rPr>
        <w:t xml:space="preserve">https://doi.org/10.1007/s10803-018-3723-6. </w:t>
      </w:r>
      <w:bookmarkStart w:id="493" w:name="_bookmark364"/>
      <w:bookmarkEnd w:id="493"/>
      <w:r>
        <w:rPr>
          <w:position w:val="5"/>
          <w:sz w:val="12"/>
        </w:rPr>
        <w:t>13</w:t>
      </w:r>
      <w:r>
        <w:rPr>
          <w:spacing w:val="10"/>
          <w:position w:val="5"/>
          <w:sz w:val="12"/>
        </w:rPr>
        <w:t xml:space="preserve"> </w:t>
      </w:r>
      <w:r>
        <w:rPr>
          <w:sz w:val="18"/>
        </w:rPr>
        <w:t>Gonzales,</w:t>
      </w:r>
      <w:r>
        <w:rPr>
          <w:spacing w:val="-2"/>
          <w:sz w:val="18"/>
        </w:rPr>
        <w:t xml:space="preserve"> </w:t>
      </w:r>
      <w:r>
        <w:rPr>
          <w:sz w:val="18"/>
        </w:rPr>
        <w:t>Gilbert,</w:t>
      </w:r>
      <w:r>
        <w:rPr>
          <w:spacing w:val="-2"/>
          <w:sz w:val="18"/>
        </w:rPr>
        <w:t xml:space="preserve"> </w:t>
      </w:r>
      <w:r>
        <w:rPr>
          <w:sz w:val="18"/>
        </w:rPr>
        <w:t>Reema</w:t>
      </w:r>
      <w:r>
        <w:rPr>
          <w:spacing w:val="-2"/>
          <w:sz w:val="18"/>
        </w:rPr>
        <w:t xml:space="preserve"> </w:t>
      </w:r>
      <w:r>
        <w:rPr>
          <w:sz w:val="18"/>
        </w:rPr>
        <w:t>Dedania,</w:t>
      </w:r>
      <w:r>
        <w:rPr>
          <w:spacing w:val="-2"/>
          <w:sz w:val="18"/>
        </w:rPr>
        <w:t xml:space="preserve"> </w:t>
      </w:r>
      <w:r>
        <w:rPr>
          <w:sz w:val="18"/>
        </w:rPr>
        <w:t>and</w:t>
      </w:r>
      <w:r>
        <w:rPr>
          <w:spacing w:val="-3"/>
          <w:sz w:val="18"/>
        </w:rPr>
        <w:t xml:space="preserve"> </w:t>
      </w:r>
      <w:r>
        <w:rPr>
          <w:sz w:val="18"/>
        </w:rPr>
        <w:t>Ryan</w:t>
      </w:r>
      <w:r>
        <w:rPr>
          <w:spacing w:val="-3"/>
          <w:sz w:val="18"/>
        </w:rPr>
        <w:t xml:space="preserve"> </w:t>
      </w:r>
      <w:r>
        <w:rPr>
          <w:sz w:val="18"/>
        </w:rPr>
        <w:t>Driscoll.</w:t>
      </w:r>
      <w:r>
        <w:rPr>
          <w:spacing w:val="-2"/>
          <w:sz w:val="18"/>
        </w:rPr>
        <w:t xml:space="preserve"> </w:t>
      </w:r>
      <w:r>
        <w:rPr>
          <w:sz w:val="18"/>
        </w:rPr>
        <w:t>2018.</w:t>
      </w:r>
      <w:r>
        <w:rPr>
          <w:spacing w:val="-2"/>
          <w:sz w:val="18"/>
        </w:rPr>
        <w:t xml:space="preserve"> </w:t>
      </w:r>
      <w:r>
        <w:rPr>
          <w:sz w:val="18"/>
        </w:rPr>
        <w:t>“Health</w:t>
      </w:r>
      <w:r>
        <w:rPr>
          <w:spacing w:val="-3"/>
          <w:sz w:val="18"/>
        </w:rPr>
        <w:t xml:space="preserve"> </w:t>
      </w:r>
      <w:r>
        <w:rPr>
          <w:sz w:val="18"/>
        </w:rPr>
        <w:t>Insurance</w:t>
      </w:r>
      <w:r>
        <w:rPr>
          <w:spacing w:val="-3"/>
          <w:sz w:val="18"/>
        </w:rPr>
        <w:t xml:space="preserve"> </w:t>
      </w:r>
      <w:r>
        <w:rPr>
          <w:sz w:val="18"/>
        </w:rPr>
        <w:t>Coverage</w:t>
      </w:r>
      <w:r>
        <w:rPr>
          <w:spacing w:val="-3"/>
          <w:sz w:val="18"/>
        </w:rPr>
        <w:t xml:space="preserve"> </w:t>
      </w:r>
      <w:r>
        <w:rPr>
          <w:sz w:val="18"/>
        </w:rPr>
        <w:t>and</w:t>
      </w:r>
      <w:r>
        <w:rPr>
          <w:spacing w:val="-3"/>
          <w:sz w:val="18"/>
        </w:rPr>
        <w:t xml:space="preserve"> </w:t>
      </w:r>
      <w:r>
        <w:rPr>
          <w:sz w:val="18"/>
        </w:rPr>
        <w:t>Access</w:t>
      </w:r>
      <w:r>
        <w:rPr>
          <w:spacing w:val="-1"/>
          <w:sz w:val="18"/>
        </w:rPr>
        <w:t xml:space="preserve"> </w:t>
      </w:r>
      <w:r>
        <w:rPr>
          <w:sz w:val="18"/>
        </w:rPr>
        <w:t>to</w:t>
      </w:r>
      <w:r>
        <w:rPr>
          <w:spacing w:val="-1"/>
          <w:sz w:val="18"/>
        </w:rPr>
        <w:t xml:space="preserve"> </w:t>
      </w:r>
      <w:r>
        <w:rPr>
          <w:sz w:val="18"/>
        </w:rPr>
        <w:t>Care</w:t>
      </w:r>
      <w:r>
        <w:rPr>
          <w:spacing w:val="-3"/>
          <w:sz w:val="18"/>
        </w:rPr>
        <w:t xml:space="preserve"> </w:t>
      </w:r>
      <w:r>
        <w:rPr>
          <w:sz w:val="18"/>
        </w:rPr>
        <w:t>among</w:t>
      </w:r>
      <w:r>
        <w:rPr>
          <w:spacing w:val="-3"/>
          <w:sz w:val="18"/>
        </w:rPr>
        <w:t xml:space="preserve"> </w:t>
      </w:r>
      <w:r>
        <w:rPr>
          <w:sz w:val="18"/>
        </w:rPr>
        <w:t xml:space="preserve">US-Born and Foreign-Born Sexual Minorities.” </w:t>
      </w:r>
      <w:r>
        <w:rPr>
          <w:i/>
          <w:sz w:val="18"/>
        </w:rPr>
        <w:t xml:space="preserve">Journal of Immigrant and Minority Health </w:t>
      </w:r>
      <w:r>
        <w:rPr>
          <w:sz w:val="18"/>
        </w:rPr>
        <w:t xml:space="preserve">21 (3): 540–48. </w:t>
      </w:r>
      <w:r>
        <w:rPr>
          <w:spacing w:val="-2"/>
          <w:sz w:val="18"/>
        </w:rPr>
        <w:t>https://doi.org/10.1007/s10903-018-0774-x.</w:t>
      </w:r>
    </w:p>
    <w:p w:rsidR="00200FDA" w:rsidRDefault="00F76C4C">
      <w:pPr>
        <w:ind w:left="140" w:hanging="1"/>
        <w:rPr>
          <w:sz w:val="18"/>
        </w:rPr>
      </w:pPr>
      <w:bookmarkStart w:id="494" w:name="_bookmark365"/>
      <w:bookmarkEnd w:id="494"/>
      <w:r>
        <w:rPr>
          <w:position w:val="5"/>
          <w:sz w:val="12"/>
        </w:rPr>
        <w:t>14</w:t>
      </w:r>
      <w:r>
        <w:rPr>
          <w:spacing w:val="10"/>
          <w:position w:val="5"/>
          <w:sz w:val="12"/>
        </w:rPr>
        <w:t xml:space="preserve"> </w:t>
      </w:r>
      <w:r>
        <w:rPr>
          <w:color w:val="333333"/>
          <w:sz w:val="18"/>
        </w:rPr>
        <w:t>Adam</w:t>
      </w:r>
      <w:r>
        <w:rPr>
          <w:color w:val="333333"/>
          <w:spacing w:val="-2"/>
          <w:sz w:val="18"/>
        </w:rPr>
        <w:t xml:space="preserve"> </w:t>
      </w:r>
      <w:r>
        <w:rPr>
          <w:color w:val="333333"/>
          <w:sz w:val="18"/>
        </w:rPr>
        <w:t>McCormick,</w:t>
      </w:r>
      <w:r>
        <w:rPr>
          <w:color w:val="333333"/>
          <w:spacing w:val="-2"/>
          <w:sz w:val="18"/>
        </w:rPr>
        <w:t xml:space="preserve"> </w:t>
      </w:r>
      <w:r>
        <w:rPr>
          <w:color w:val="333333"/>
          <w:sz w:val="18"/>
        </w:rPr>
        <w:t>Kathryn</w:t>
      </w:r>
      <w:r>
        <w:rPr>
          <w:color w:val="333333"/>
          <w:spacing w:val="-3"/>
          <w:sz w:val="18"/>
        </w:rPr>
        <w:t xml:space="preserve"> </w:t>
      </w:r>
      <w:r>
        <w:rPr>
          <w:color w:val="333333"/>
          <w:sz w:val="18"/>
        </w:rPr>
        <w:t>Schmidt</w:t>
      </w:r>
      <w:r>
        <w:rPr>
          <w:color w:val="333333"/>
          <w:spacing w:val="-3"/>
          <w:sz w:val="18"/>
        </w:rPr>
        <w:t xml:space="preserve"> </w:t>
      </w:r>
      <w:r>
        <w:rPr>
          <w:color w:val="333333"/>
          <w:sz w:val="18"/>
        </w:rPr>
        <w:t>&amp;</w:t>
      </w:r>
      <w:r>
        <w:rPr>
          <w:color w:val="333333"/>
          <w:spacing w:val="-3"/>
          <w:sz w:val="18"/>
        </w:rPr>
        <w:t xml:space="preserve"> </w:t>
      </w:r>
      <w:r>
        <w:rPr>
          <w:color w:val="333333"/>
          <w:sz w:val="18"/>
        </w:rPr>
        <w:t>Samuel</w:t>
      </w:r>
      <w:r>
        <w:rPr>
          <w:color w:val="333333"/>
          <w:spacing w:val="-3"/>
          <w:sz w:val="18"/>
        </w:rPr>
        <w:t xml:space="preserve"> </w:t>
      </w:r>
      <w:r>
        <w:rPr>
          <w:color w:val="333333"/>
          <w:sz w:val="18"/>
        </w:rPr>
        <w:t>Terrazas</w:t>
      </w:r>
      <w:r>
        <w:rPr>
          <w:color w:val="333333"/>
          <w:spacing w:val="-3"/>
          <w:sz w:val="18"/>
        </w:rPr>
        <w:t xml:space="preserve"> </w:t>
      </w:r>
      <w:r>
        <w:rPr>
          <w:color w:val="333333"/>
          <w:sz w:val="18"/>
        </w:rPr>
        <w:t>(2017)</w:t>
      </w:r>
      <w:r>
        <w:rPr>
          <w:color w:val="333333"/>
          <w:spacing w:val="-2"/>
          <w:sz w:val="18"/>
        </w:rPr>
        <w:t xml:space="preserve"> </w:t>
      </w:r>
      <w:r>
        <w:rPr>
          <w:color w:val="333333"/>
          <w:sz w:val="18"/>
        </w:rPr>
        <w:t>LGBTQ</w:t>
      </w:r>
      <w:r>
        <w:rPr>
          <w:color w:val="333333"/>
          <w:spacing w:val="-3"/>
          <w:sz w:val="18"/>
        </w:rPr>
        <w:t xml:space="preserve"> </w:t>
      </w:r>
      <w:r>
        <w:rPr>
          <w:color w:val="333333"/>
          <w:sz w:val="18"/>
        </w:rPr>
        <w:t>Youth</w:t>
      </w:r>
      <w:r>
        <w:rPr>
          <w:color w:val="333333"/>
          <w:spacing w:val="-3"/>
          <w:sz w:val="18"/>
        </w:rPr>
        <w:t xml:space="preserve"> </w:t>
      </w:r>
      <w:r>
        <w:rPr>
          <w:color w:val="333333"/>
          <w:sz w:val="18"/>
        </w:rPr>
        <w:t>in</w:t>
      </w:r>
      <w:r>
        <w:rPr>
          <w:color w:val="333333"/>
          <w:spacing w:val="-3"/>
          <w:sz w:val="18"/>
        </w:rPr>
        <w:t xml:space="preserve"> </w:t>
      </w:r>
      <w:r>
        <w:rPr>
          <w:color w:val="333333"/>
          <w:sz w:val="18"/>
        </w:rPr>
        <w:t>the</w:t>
      </w:r>
      <w:r>
        <w:rPr>
          <w:color w:val="333333"/>
          <w:spacing w:val="-3"/>
          <w:sz w:val="18"/>
        </w:rPr>
        <w:t xml:space="preserve"> </w:t>
      </w:r>
      <w:r>
        <w:rPr>
          <w:color w:val="333333"/>
          <w:sz w:val="18"/>
        </w:rPr>
        <w:t>Child</w:t>
      </w:r>
      <w:r>
        <w:rPr>
          <w:color w:val="333333"/>
          <w:spacing w:val="-3"/>
          <w:sz w:val="18"/>
        </w:rPr>
        <w:t xml:space="preserve"> </w:t>
      </w:r>
      <w:r>
        <w:rPr>
          <w:color w:val="333333"/>
          <w:sz w:val="18"/>
        </w:rPr>
        <w:t>Welfare</w:t>
      </w:r>
      <w:r>
        <w:rPr>
          <w:color w:val="333333"/>
          <w:spacing w:val="-1"/>
          <w:sz w:val="18"/>
        </w:rPr>
        <w:t xml:space="preserve"> </w:t>
      </w:r>
      <w:r>
        <w:rPr>
          <w:color w:val="333333"/>
          <w:sz w:val="18"/>
        </w:rPr>
        <w:t>System:</w:t>
      </w:r>
      <w:r>
        <w:rPr>
          <w:color w:val="333333"/>
          <w:spacing w:val="-2"/>
          <w:sz w:val="18"/>
        </w:rPr>
        <w:t xml:space="preserve"> </w:t>
      </w:r>
      <w:r>
        <w:rPr>
          <w:color w:val="333333"/>
          <w:sz w:val="18"/>
        </w:rPr>
        <w:t>An</w:t>
      </w:r>
      <w:r>
        <w:rPr>
          <w:color w:val="333333"/>
          <w:spacing w:val="-3"/>
          <w:sz w:val="18"/>
        </w:rPr>
        <w:t xml:space="preserve"> </w:t>
      </w:r>
      <w:r>
        <w:rPr>
          <w:color w:val="333333"/>
          <w:sz w:val="18"/>
        </w:rPr>
        <w:t>Overvie</w:t>
      </w:r>
      <w:r>
        <w:rPr>
          <w:color w:val="333333"/>
          <w:sz w:val="18"/>
        </w:rPr>
        <w:t>w</w:t>
      </w:r>
      <w:r>
        <w:rPr>
          <w:color w:val="333333"/>
          <w:spacing w:val="-1"/>
          <w:sz w:val="18"/>
        </w:rPr>
        <w:t xml:space="preserve"> </w:t>
      </w:r>
      <w:r>
        <w:rPr>
          <w:color w:val="333333"/>
          <w:sz w:val="18"/>
        </w:rPr>
        <w:t xml:space="preserve">of Research, Practice, and Policy, Journal of Public Child Welfare, 11:1, 27-39, DOI: </w:t>
      </w:r>
      <w:hyperlink r:id="rId373">
        <w:r>
          <w:rPr>
            <w:color w:val="333333"/>
            <w:sz w:val="18"/>
            <w:u w:val="single" w:color="333333"/>
          </w:rPr>
          <w:t>10.1080/15548732.2016.1221368</w:t>
        </w:r>
      </w:hyperlink>
    </w:p>
    <w:p w:rsidR="00200FDA" w:rsidRDefault="00F76C4C">
      <w:pPr>
        <w:ind w:left="140" w:right="161" w:hanging="1"/>
        <w:rPr>
          <w:sz w:val="18"/>
        </w:rPr>
      </w:pPr>
      <w:bookmarkStart w:id="495" w:name="_bookmark366"/>
      <w:bookmarkEnd w:id="495"/>
      <w:r>
        <w:rPr>
          <w:position w:val="5"/>
          <w:sz w:val="12"/>
        </w:rPr>
        <w:t>15</w:t>
      </w:r>
      <w:r>
        <w:rPr>
          <w:spacing w:val="19"/>
          <w:position w:val="5"/>
          <w:sz w:val="12"/>
        </w:rPr>
        <w:t xml:space="preserve"> </w:t>
      </w:r>
      <w:r>
        <w:rPr>
          <w:sz w:val="18"/>
        </w:rPr>
        <w:t>“LGBTQ Youth in the Massachusetts Child Welfare System a Report on Per</w:t>
      </w:r>
      <w:r>
        <w:rPr>
          <w:sz w:val="18"/>
        </w:rPr>
        <w:t>vasive Threats to Safety, Wellbeing, and Permanency</w:t>
      </w:r>
      <w:r>
        <w:rPr>
          <w:spacing w:val="-3"/>
          <w:sz w:val="18"/>
        </w:rPr>
        <w:t xml:space="preserve"> </w:t>
      </w:r>
      <w:r>
        <w:rPr>
          <w:sz w:val="18"/>
        </w:rPr>
        <w:t>Massachusetts</w:t>
      </w:r>
      <w:r>
        <w:rPr>
          <w:spacing w:val="-4"/>
          <w:sz w:val="18"/>
        </w:rPr>
        <w:t xml:space="preserve"> </w:t>
      </w:r>
      <w:r>
        <w:rPr>
          <w:sz w:val="18"/>
        </w:rPr>
        <w:t>Commission</w:t>
      </w:r>
      <w:r>
        <w:rPr>
          <w:spacing w:val="-4"/>
          <w:sz w:val="18"/>
        </w:rPr>
        <w:t xml:space="preserve"> </w:t>
      </w:r>
      <w:r>
        <w:rPr>
          <w:sz w:val="18"/>
        </w:rPr>
        <w:t>on</w:t>
      </w:r>
      <w:r>
        <w:rPr>
          <w:spacing w:val="-4"/>
          <w:sz w:val="18"/>
        </w:rPr>
        <w:t xml:space="preserve"> </w:t>
      </w:r>
      <w:r>
        <w:rPr>
          <w:sz w:val="18"/>
        </w:rPr>
        <w:t>Lesbian,</w:t>
      </w:r>
      <w:r>
        <w:rPr>
          <w:spacing w:val="-3"/>
          <w:sz w:val="18"/>
        </w:rPr>
        <w:t xml:space="preserve"> </w:t>
      </w:r>
      <w:r>
        <w:rPr>
          <w:sz w:val="18"/>
        </w:rPr>
        <w:t>Gay,</w:t>
      </w:r>
      <w:r>
        <w:rPr>
          <w:spacing w:val="-3"/>
          <w:sz w:val="18"/>
        </w:rPr>
        <w:t xml:space="preserve"> </w:t>
      </w:r>
      <w:r>
        <w:rPr>
          <w:sz w:val="18"/>
        </w:rPr>
        <w:t>Bisexual,</w:t>
      </w:r>
      <w:r>
        <w:rPr>
          <w:spacing w:val="-3"/>
          <w:sz w:val="18"/>
        </w:rPr>
        <w:t xml:space="preserve"> </w:t>
      </w:r>
      <w:r>
        <w:rPr>
          <w:sz w:val="18"/>
        </w:rPr>
        <w:t>Transgender,</w:t>
      </w:r>
      <w:r>
        <w:rPr>
          <w:spacing w:val="-3"/>
          <w:sz w:val="18"/>
        </w:rPr>
        <w:t xml:space="preserve"> </w:t>
      </w:r>
      <w:r>
        <w:rPr>
          <w:sz w:val="18"/>
        </w:rPr>
        <w:t>Queer,</w:t>
      </w:r>
      <w:r>
        <w:rPr>
          <w:spacing w:val="-3"/>
          <w:sz w:val="18"/>
        </w:rPr>
        <w:t xml:space="preserve"> </w:t>
      </w:r>
      <w:r>
        <w:rPr>
          <w:sz w:val="18"/>
        </w:rPr>
        <w:t>and</w:t>
      </w:r>
      <w:r>
        <w:rPr>
          <w:spacing w:val="-4"/>
          <w:sz w:val="18"/>
        </w:rPr>
        <w:t xml:space="preserve"> </w:t>
      </w:r>
      <w:r>
        <w:rPr>
          <w:sz w:val="18"/>
        </w:rPr>
        <w:t>Questioning</w:t>
      </w:r>
      <w:r>
        <w:rPr>
          <w:spacing w:val="-4"/>
          <w:sz w:val="18"/>
        </w:rPr>
        <w:t xml:space="preserve"> </w:t>
      </w:r>
      <w:r>
        <w:rPr>
          <w:sz w:val="18"/>
        </w:rPr>
        <w:t>Youth.”</w:t>
      </w:r>
      <w:r>
        <w:rPr>
          <w:spacing w:val="-2"/>
          <w:sz w:val="18"/>
        </w:rPr>
        <w:t xml:space="preserve"> </w:t>
      </w:r>
      <w:r>
        <w:rPr>
          <w:sz w:val="18"/>
        </w:rPr>
        <w:t>n.d.</w:t>
      </w:r>
      <w:r>
        <w:rPr>
          <w:spacing w:val="-3"/>
          <w:sz w:val="18"/>
        </w:rPr>
        <w:t xml:space="preserve"> </w:t>
      </w:r>
      <w:r>
        <w:rPr>
          <w:sz w:val="18"/>
        </w:rPr>
        <w:t>Accessed February 15, 2023. https://</w:t>
      </w:r>
      <w:hyperlink r:id="rId374">
        <w:r>
          <w:rPr>
            <w:sz w:val="18"/>
          </w:rPr>
          <w:t>www.mass.gov/doc/commission-report-on-dcf/download.</w:t>
        </w:r>
      </w:hyperlink>
    </w:p>
    <w:p w:rsidR="00200FDA" w:rsidRDefault="00F76C4C">
      <w:pPr>
        <w:ind w:left="140" w:right="218" w:hanging="1"/>
        <w:rPr>
          <w:sz w:val="18"/>
        </w:rPr>
      </w:pPr>
      <w:bookmarkStart w:id="496" w:name="_bookmark367"/>
      <w:bookmarkEnd w:id="496"/>
      <w:r>
        <w:rPr>
          <w:position w:val="5"/>
          <w:sz w:val="12"/>
        </w:rPr>
        <w:t>16</w:t>
      </w:r>
      <w:r>
        <w:rPr>
          <w:spacing w:val="18"/>
          <w:position w:val="5"/>
          <w:sz w:val="12"/>
        </w:rPr>
        <w:t xml:space="preserve"> </w:t>
      </w:r>
      <w:r>
        <w:rPr>
          <w:sz w:val="18"/>
        </w:rPr>
        <w:t>Maschi, Tina, Schnavia Smith Hatcher, Craig S. Schwalbe, and Nancy Scotto Rosato. 2008. “Mapping the Social Service Pathways</w:t>
      </w:r>
      <w:r>
        <w:rPr>
          <w:spacing w:val="-3"/>
          <w:sz w:val="18"/>
        </w:rPr>
        <w:t xml:space="preserve"> </w:t>
      </w:r>
      <w:r>
        <w:rPr>
          <w:sz w:val="18"/>
        </w:rPr>
        <w:t>o</w:t>
      </w:r>
      <w:r>
        <w:rPr>
          <w:sz w:val="18"/>
        </w:rPr>
        <w:t>f</w:t>
      </w:r>
      <w:r>
        <w:rPr>
          <w:spacing w:val="-2"/>
          <w:sz w:val="18"/>
        </w:rPr>
        <w:t xml:space="preserve"> </w:t>
      </w:r>
      <w:r>
        <w:rPr>
          <w:sz w:val="18"/>
        </w:rPr>
        <w:t>Youth</w:t>
      </w:r>
      <w:r>
        <w:rPr>
          <w:spacing w:val="-3"/>
          <w:sz w:val="18"/>
        </w:rPr>
        <w:t xml:space="preserve"> </w:t>
      </w:r>
      <w:r>
        <w:rPr>
          <w:sz w:val="18"/>
        </w:rPr>
        <w:t>to</w:t>
      </w:r>
      <w:r>
        <w:rPr>
          <w:spacing w:val="-1"/>
          <w:sz w:val="18"/>
        </w:rPr>
        <w:t xml:space="preserve"> </w:t>
      </w:r>
      <w:r>
        <w:rPr>
          <w:sz w:val="18"/>
        </w:rPr>
        <w:t>and</w:t>
      </w:r>
      <w:r>
        <w:rPr>
          <w:spacing w:val="-3"/>
          <w:sz w:val="18"/>
        </w:rPr>
        <w:t xml:space="preserve"> </w:t>
      </w:r>
      <w:r>
        <w:rPr>
          <w:sz w:val="18"/>
        </w:rPr>
        <w:t>through</w:t>
      </w:r>
      <w:r>
        <w:rPr>
          <w:spacing w:val="-3"/>
          <w:sz w:val="18"/>
        </w:rPr>
        <w:t xml:space="preserve"> </w:t>
      </w:r>
      <w:r>
        <w:rPr>
          <w:sz w:val="18"/>
        </w:rPr>
        <w:t>the</w:t>
      </w:r>
      <w:r>
        <w:rPr>
          <w:spacing w:val="-3"/>
          <w:sz w:val="18"/>
        </w:rPr>
        <w:t xml:space="preserve"> </w:t>
      </w:r>
      <w:r>
        <w:rPr>
          <w:sz w:val="18"/>
        </w:rPr>
        <w:t>Juvenile</w:t>
      </w:r>
      <w:r>
        <w:rPr>
          <w:spacing w:val="-3"/>
          <w:sz w:val="18"/>
        </w:rPr>
        <w:t xml:space="preserve"> </w:t>
      </w:r>
      <w:r>
        <w:rPr>
          <w:sz w:val="18"/>
        </w:rPr>
        <w:t>Justice</w:t>
      </w:r>
      <w:r>
        <w:rPr>
          <w:spacing w:val="-3"/>
          <w:sz w:val="18"/>
        </w:rPr>
        <w:t xml:space="preserve"> </w:t>
      </w:r>
      <w:r>
        <w:rPr>
          <w:sz w:val="18"/>
        </w:rPr>
        <w:t>System:</w:t>
      </w:r>
      <w:r>
        <w:rPr>
          <w:spacing w:val="-2"/>
          <w:sz w:val="18"/>
        </w:rPr>
        <w:t xml:space="preserve"> </w:t>
      </w:r>
      <w:r>
        <w:rPr>
          <w:sz w:val="18"/>
        </w:rPr>
        <w:t>A</w:t>
      </w:r>
      <w:r>
        <w:rPr>
          <w:spacing w:val="-3"/>
          <w:sz w:val="18"/>
        </w:rPr>
        <w:t xml:space="preserve"> </w:t>
      </w:r>
      <w:r>
        <w:rPr>
          <w:sz w:val="18"/>
        </w:rPr>
        <w:t>Comprehensive</w:t>
      </w:r>
      <w:r>
        <w:rPr>
          <w:spacing w:val="-3"/>
          <w:sz w:val="18"/>
        </w:rPr>
        <w:t xml:space="preserve"> </w:t>
      </w:r>
      <w:r>
        <w:rPr>
          <w:sz w:val="18"/>
        </w:rPr>
        <w:t>Review.”</w:t>
      </w:r>
      <w:r>
        <w:rPr>
          <w:spacing w:val="-3"/>
          <w:sz w:val="18"/>
        </w:rPr>
        <w:t xml:space="preserve"> </w:t>
      </w:r>
      <w:r>
        <w:rPr>
          <w:i/>
          <w:sz w:val="18"/>
        </w:rPr>
        <w:t>Children</w:t>
      </w:r>
      <w:r>
        <w:rPr>
          <w:i/>
          <w:spacing w:val="-4"/>
          <w:sz w:val="18"/>
        </w:rPr>
        <w:t xml:space="preserve"> </w:t>
      </w:r>
      <w:r>
        <w:rPr>
          <w:i/>
          <w:sz w:val="18"/>
        </w:rPr>
        <w:t>and</w:t>
      </w:r>
      <w:r>
        <w:rPr>
          <w:i/>
          <w:spacing w:val="-4"/>
          <w:sz w:val="18"/>
        </w:rPr>
        <w:t xml:space="preserve"> </w:t>
      </w:r>
      <w:r>
        <w:rPr>
          <w:i/>
          <w:sz w:val="18"/>
        </w:rPr>
        <w:t>Youth</w:t>
      </w:r>
      <w:r>
        <w:rPr>
          <w:i/>
          <w:spacing w:val="-1"/>
          <w:sz w:val="18"/>
        </w:rPr>
        <w:t xml:space="preserve"> </w:t>
      </w:r>
      <w:r>
        <w:rPr>
          <w:i/>
          <w:sz w:val="18"/>
        </w:rPr>
        <w:t>Services</w:t>
      </w:r>
      <w:r>
        <w:rPr>
          <w:i/>
          <w:spacing w:val="-3"/>
          <w:sz w:val="18"/>
        </w:rPr>
        <w:t xml:space="preserve"> </w:t>
      </w:r>
      <w:r>
        <w:rPr>
          <w:i/>
          <w:sz w:val="18"/>
        </w:rPr>
        <w:t xml:space="preserve">Review </w:t>
      </w:r>
      <w:bookmarkStart w:id="497" w:name="_bookmark368"/>
      <w:bookmarkEnd w:id="497"/>
      <w:r>
        <w:rPr>
          <w:sz w:val="18"/>
        </w:rPr>
        <w:t>30 (12): 1376–85. https://doi.org/10.1016/j.childyouth.2008.04.006.</w:t>
      </w:r>
    </w:p>
    <w:p w:rsidR="00200FDA" w:rsidRDefault="00F76C4C">
      <w:pPr>
        <w:ind w:left="139"/>
        <w:rPr>
          <w:sz w:val="18"/>
        </w:rPr>
      </w:pPr>
      <w:r>
        <w:rPr>
          <w:position w:val="5"/>
          <w:sz w:val="12"/>
        </w:rPr>
        <w:t>17</w:t>
      </w:r>
      <w:r>
        <w:rPr>
          <w:sz w:val="18"/>
        </w:rPr>
        <w:t>Wilber,</w:t>
      </w:r>
      <w:r>
        <w:rPr>
          <w:spacing w:val="-2"/>
          <w:sz w:val="18"/>
        </w:rPr>
        <w:t xml:space="preserve"> </w:t>
      </w:r>
      <w:r>
        <w:rPr>
          <w:sz w:val="18"/>
        </w:rPr>
        <w:t>Shannaen.</w:t>
      </w:r>
      <w:r>
        <w:rPr>
          <w:spacing w:val="-2"/>
          <w:sz w:val="18"/>
        </w:rPr>
        <w:t xml:space="preserve"> </w:t>
      </w:r>
      <w:r>
        <w:rPr>
          <w:sz w:val="18"/>
        </w:rPr>
        <w:t>Lesbian,</w:t>
      </w:r>
      <w:r>
        <w:rPr>
          <w:spacing w:val="-2"/>
          <w:sz w:val="18"/>
        </w:rPr>
        <w:t xml:space="preserve"> </w:t>
      </w:r>
      <w:r>
        <w:rPr>
          <w:sz w:val="18"/>
        </w:rPr>
        <w:t>Gay, Bisexual</w:t>
      </w:r>
      <w:r>
        <w:rPr>
          <w:spacing w:val="-3"/>
          <w:sz w:val="18"/>
        </w:rPr>
        <w:t xml:space="preserve"> </w:t>
      </w:r>
      <w:r>
        <w:rPr>
          <w:sz w:val="18"/>
        </w:rPr>
        <w:t>and</w:t>
      </w:r>
      <w:r>
        <w:rPr>
          <w:spacing w:val="-3"/>
          <w:sz w:val="18"/>
        </w:rPr>
        <w:t xml:space="preserve"> </w:t>
      </w:r>
      <w:r>
        <w:rPr>
          <w:sz w:val="18"/>
        </w:rPr>
        <w:t>Transgender</w:t>
      </w:r>
      <w:r>
        <w:rPr>
          <w:spacing w:val="-3"/>
          <w:sz w:val="18"/>
        </w:rPr>
        <w:t xml:space="preserve"> </w:t>
      </w:r>
      <w:r>
        <w:rPr>
          <w:sz w:val="18"/>
        </w:rPr>
        <w:t>Youth</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Juvenile</w:t>
      </w:r>
      <w:r>
        <w:rPr>
          <w:spacing w:val="-3"/>
          <w:sz w:val="18"/>
        </w:rPr>
        <w:t xml:space="preserve"> </w:t>
      </w:r>
      <w:r>
        <w:rPr>
          <w:sz w:val="18"/>
        </w:rPr>
        <w:t>Justice</w:t>
      </w:r>
      <w:r>
        <w:rPr>
          <w:spacing w:val="-3"/>
          <w:sz w:val="18"/>
        </w:rPr>
        <w:t xml:space="preserve"> </w:t>
      </w:r>
      <w:r>
        <w:rPr>
          <w:sz w:val="18"/>
        </w:rPr>
        <w:t>System</w:t>
      </w:r>
      <w:r>
        <w:rPr>
          <w:spacing w:val="-2"/>
          <w:sz w:val="18"/>
        </w:rPr>
        <w:t xml:space="preserve"> </w:t>
      </w:r>
      <w:r>
        <w:rPr>
          <w:sz w:val="18"/>
        </w:rPr>
        <w:t>11</w:t>
      </w:r>
      <w:r>
        <w:rPr>
          <w:spacing w:val="-2"/>
          <w:sz w:val="18"/>
        </w:rPr>
        <w:t xml:space="preserve"> </w:t>
      </w:r>
      <w:r>
        <w:rPr>
          <w:sz w:val="18"/>
        </w:rPr>
        <w:t>(Annie</w:t>
      </w:r>
      <w:r>
        <w:rPr>
          <w:spacing w:val="-3"/>
          <w:sz w:val="18"/>
        </w:rPr>
        <w:t xml:space="preserve"> </w:t>
      </w:r>
      <w:r>
        <w:rPr>
          <w:sz w:val="18"/>
        </w:rPr>
        <w:t>E.</w:t>
      </w:r>
      <w:r>
        <w:rPr>
          <w:spacing w:val="-2"/>
          <w:sz w:val="18"/>
        </w:rPr>
        <w:t xml:space="preserve"> </w:t>
      </w:r>
      <w:r>
        <w:rPr>
          <w:sz w:val="18"/>
        </w:rPr>
        <w:t>Casey</w:t>
      </w:r>
      <w:r>
        <w:rPr>
          <w:spacing w:val="-2"/>
          <w:sz w:val="18"/>
        </w:rPr>
        <w:t xml:space="preserve"> </w:t>
      </w:r>
      <w:r>
        <w:rPr>
          <w:sz w:val="18"/>
        </w:rPr>
        <w:t xml:space="preserve">Foundation </w:t>
      </w:r>
      <w:r>
        <w:rPr>
          <w:spacing w:val="-2"/>
          <w:sz w:val="18"/>
        </w:rPr>
        <w:t>2015)</w:t>
      </w:r>
    </w:p>
    <w:p w:rsidR="00200FDA" w:rsidRDefault="00F76C4C">
      <w:pPr>
        <w:spacing w:line="219" w:lineRule="exact"/>
        <w:ind w:left="139"/>
        <w:rPr>
          <w:sz w:val="18"/>
        </w:rPr>
      </w:pPr>
      <w:r>
        <w:rPr>
          <w:spacing w:val="-2"/>
          <w:sz w:val="18"/>
        </w:rPr>
        <w:t>https://assets.aecf.org/m/resourcedoc/AECF-lesbiangaybisexualandtransgenderyouthinjj-2015.pdf</w:t>
      </w:r>
    </w:p>
    <w:p w:rsidR="00200FDA" w:rsidRDefault="00F76C4C">
      <w:pPr>
        <w:ind w:left="140" w:right="218" w:hanging="1"/>
        <w:rPr>
          <w:sz w:val="18"/>
        </w:rPr>
      </w:pPr>
      <w:bookmarkStart w:id="498" w:name="_bookmark369"/>
      <w:bookmarkEnd w:id="498"/>
      <w:r>
        <w:rPr>
          <w:position w:val="5"/>
          <w:sz w:val="12"/>
        </w:rPr>
        <w:t>18</w:t>
      </w:r>
      <w:r>
        <w:rPr>
          <w:spacing w:val="10"/>
          <w:position w:val="5"/>
          <w:sz w:val="12"/>
        </w:rPr>
        <w:t xml:space="preserve"> </w:t>
      </w:r>
      <w:r>
        <w:rPr>
          <w:color w:val="212121"/>
          <w:sz w:val="18"/>
        </w:rPr>
        <w:t>Majd,</w:t>
      </w:r>
      <w:r>
        <w:rPr>
          <w:color w:val="212121"/>
          <w:spacing w:val="-2"/>
          <w:sz w:val="18"/>
        </w:rPr>
        <w:t xml:space="preserve"> </w:t>
      </w:r>
      <w:r>
        <w:rPr>
          <w:color w:val="212121"/>
          <w:sz w:val="18"/>
        </w:rPr>
        <w:t>Katayoon,</w:t>
      </w:r>
      <w:r>
        <w:rPr>
          <w:color w:val="212121"/>
          <w:spacing w:val="-2"/>
          <w:sz w:val="18"/>
        </w:rPr>
        <w:t xml:space="preserve"> </w:t>
      </w:r>
      <w:r>
        <w:rPr>
          <w:color w:val="212121"/>
          <w:sz w:val="18"/>
        </w:rPr>
        <w:t>Jody</w:t>
      </w:r>
      <w:r>
        <w:rPr>
          <w:color w:val="212121"/>
          <w:spacing w:val="-2"/>
          <w:sz w:val="18"/>
        </w:rPr>
        <w:t xml:space="preserve"> </w:t>
      </w:r>
      <w:r>
        <w:rPr>
          <w:color w:val="212121"/>
          <w:sz w:val="18"/>
        </w:rPr>
        <w:t>Marksamer,</w:t>
      </w:r>
      <w:r>
        <w:rPr>
          <w:color w:val="212121"/>
          <w:spacing w:val="-2"/>
          <w:sz w:val="18"/>
        </w:rPr>
        <w:t xml:space="preserve"> </w:t>
      </w:r>
      <w:r>
        <w:rPr>
          <w:color w:val="212121"/>
          <w:sz w:val="18"/>
        </w:rPr>
        <w:t>and</w:t>
      </w:r>
      <w:r>
        <w:rPr>
          <w:color w:val="212121"/>
          <w:spacing w:val="-3"/>
          <w:sz w:val="18"/>
        </w:rPr>
        <w:t xml:space="preserve"> </w:t>
      </w:r>
      <w:r>
        <w:rPr>
          <w:color w:val="212121"/>
          <w:sz w:val="18"/>
        </w:rPr>
        <w:t>Carolyn</w:t>
      </w:r>
      <w:r>
        <w:rPr>
          <w:color w:val="212121"/>
          <w:spacing w:val="-3"/>
          <w:sz w:val="18"/>
        </w:rPr>
        <w:t xml:space="preserve"> </w:t>
      </w:r>
      <w:r>
        <w:rPr>
          <w:color w:val="212121"/>
          <w:sz w:val="18"/>
        </w:rPr>
        <w:t>Reyes.</w:t>
      </w:r>
      <w:r>
        <w:rPr>
          <w:color w:val="212121"/>
          <w:spacing w:val="-2"/>
          <w:sz w:val="18"/>
        </w:rPr>
        <w:t xml:space="preserve"> </w:t>
      </w:r>
      <w:r>
        <w:rPr>
          <w:color w:val="212121"/>
          <w:sz w:val="18"/>
        </w:rPr>
        <w:t>"Hidden</w:t>
      </w:r>
      <w:r>
        <w:rPr>
          <w:color w:val="212121"/>
          <w:spacing w:val="-3"/>
          <w:sz w:val="18"/>
        </w:rPr>
        <w:t xml:space="preserve"> </w:t>
      </w:r>
      <w:r>
        <w:rPr>
          <w:color w:val="212121"/>
          <w:sz w:val="18"/>
        </w:rPr>
        <w:t>injustice:</w:t>
      </w:r>
      <w:r>
        <w:rPr>
          <w:color w:val="212121"/>
          <w:spacing w:val="-2"/>
          <w:sz w:val="18"/>
        </w:rPr>
        <w:t xml:space="preserve"> </w:t>
      </w:r>
      <w:r>
        <w:rPr>
          <w:color w:val="212121"/>
          <w:sz w:val="18"/>
        </w:rPr>
        <w:t>Lesbian,</w:t>
      </w:r>
      <w:r>
        <w:rPr>
          <w:color w:val="212121"/>
          <w:spacing w:val="-2"/>
          <w:sz w:val="18"/>
        </w:rPr>
        <w:t xml:space="preserve"> </w:t>
      </w:r>
      <w:r>
        <w:rPr>
          <w:color w:val="212121"/>
          <w:sz w:val="18"/>
        </w:rPr>
        <w:t>gay,</w:t>
      </w:r>
      <w:r>
        <w:rPr>
          <w:color w:val="212121"/>
          <w:spacing w:val="-2"/>
          <w:sz w:val="18"/>
        </w:rPr>
        <w:t xml:space="preserve"> </w:t>
      </w:r>
      <w:r>
        <w:rPr>
          <w:color w:val="212121"/>
          <w:sz w:val="18"/>
        </w:rPr>
        <w:t>bisexual</w:t>
      </w:r>
      <w:r>
        <w:rPr>
          <w:color w:val="212121"/>
          <w:spacing w:val="-3"/>
          <w:sz w:val="18"/>
        </w:rPr>
        <w:t xml:space="preserve"> </w:t>
      </w:r>
      <w:r>
        <w:rPr>
          <w:color w:val="212121"/>
          <w:sz w:val="18"/>
        </w:rPr>
        <w:t>and</w:t>
      </w:r>
      <w:r>
        <w:rPr>
          <w:color w:val="212121"/>
          <w:spacing w:val="-2"/>
          <w:sz w:val="18"/>
        </w:rPr>
        <w:t xml:space="preserve"> </w:t>
      </w:r>
      <w:r>
        <w:rPr>
          <w:color w:val="212121"/>
          <w:sz w:val="18"/>
        </w:rPr>
        <w:t>tr</w:t>
      </w:r>
      <w:r>
        <w:rPr>
          <w:color w:val="212121"/>
          <w:sz w:val="18"/>
        </w:rPr>
        <w:t>ansgender</w:t>
      </w:r>
      <w:r>
        <w:rPr>
          <w:color w:val="212121"/>
          <w:spacing w:val="-3"/>
          <w:sz w:val="18"/>
        </w:rPr>
        <w:t xml:space="preserve"> </w:t>
      </w:r>
      <w:r>
        <w:rPr>
          <w:color w:val="212121"/>
          <w:sz w:val="18"/>
        </w:rPr>
        <w:t>youth</w:t>
      </w:r>
      <w:r>
        <w:rPr>
          <w:color w:val="212121"/>
          <w:spacing w:val="-3"/>
          <w:sz w:val="18"/>
        </w:rPr>
        <w:t xml:space="preserve"> </w:t>
      </w:r>
      <w:r>
        <w:rPr>
          <w:color w:val="212121"/>
          <w:sz w:val="18"/>
        </w:rPr>
        <w:t xml:space="preserve">in </w:t>
      </w:r>
      <w:bookmarkStart w:id="499" w:name="_bookmark370"/>
      <w:bookmarkEnd w:id="499"/>
      <w:r>
        <w:rPr>
          <w:color w:val="212121"/>
          <w:sz w:val="18"/>
        </w:rPr>
        <w:t>juvenile courts." (2016).</w:t>
      </w:r>
    </w:p>
    <w:p w:rsidR="00200FDA" w:rsidRDefault="00F76C4C">
      <w:pPr>
        <w:ind w:left="140" w:right="894" w:hanging="1"/>
        <w:rPr>
          <w:sz w:val="18"/>
        </w:rPr>
      </w:pPr>
      <w:r>
        <w:rPr>
          <w:position w:val="5"/>
          <w:sz w:val="12"/>
        </w:rPr>
        <w:t>19</w:t>
      </w:r>
      <w:r>
        <w:rPr>
          <w:spacing w:val="9"/>
          <w:position w:val="5"/>
          <w:sz w:val="12"/>
        </w:rPr>
        <w:t xml:space="preserve"> </w:t>
      </w:r>
      <w:r>
        <w:rPr>
          <w:sz w:val="18"/>
        </w:rPr>
        <w:t>“The</w:t>
      </w:r>
      <w:r>
        <w:rPr>
          <w:spacing w:val="-4"/>
          <w:sz w:val="18"/>
        </w:rPr>
        <w:t xml:space="preserve"> </w:t>
      </w:r>
      <w:r>
        <w:rPr>
          <w:sz w:val="18"/>
        </w:rPr>
        <w:t>Mental</w:t>
      </w:r>
      <w:r>
        <w:rPr>
          <w:spacing w:val="-4"/>
          <w:sz w:val="18"/>
        </w:rPr>
        <w:t xml:space="preserve"> </w:t>
      </w:r>
      <w:r>
        <w:rPr>
          <w:sz w:val="18"/>
        </w:rPr>
        <w:t>Health</w:t>
      </w:r>
      <w:r>
        <w:rPr>
          <w:spacing w:val="-4"/>
          <w:sz w:val="18"/>
        </w:rPr>
        <w:t xml:space="preserve"> </w:t>
      </w:r>
      <w:r>
        <w:rPr>
          <w:sz w:val="18"/>
        </w:rPr>
        <w:t>and</w:t>
      </w:r>
      <w:r>
        <w:rPr>
          <w:spacing w:val="-4"/>
          <w:sz w:val="18"/>
        </w:rPr>
        <w:t xml:space="preserve"> </w:t>
      </w:r>
      <w:r>
        <w:rPr>
          <w:sz w:val="18"/>
        </w:rPr>
        <w:t>Well-Being</w:t>
      </w:r>
      <w:r>
        <w:rPr>
          <w:spacing w:val="-4"/>
          <w:sz w:val="18"/>
        </w:rPr>
        <w:t xml:space="preserve"> </w:t>
      </w:r>
      <w:r>
        <w:rPr>
          <w:sz w:val="18"/>
        </w:rPr>
        <w:t>of</w:t>
      </w:r>
      <w:r>
        <w:rPr>
          <w:spacing w:val="-3"/>
          <w:sz w:val="18"/>
        </w:rPr>
        <w:t xml:space="preserve"> </w:t>
      </w:r>
      <w:r>
        <w:rPr>
          <w:sz w:val="18"/>
        </w:rPr>
        <w:t>LGBTQ</w:t>
      </w:r>
      <w:r>
        <w:rPr>
          <w:spacing w:val="-4"/>
          <w:sz w:val="18"/>
        </w:rPr>
        <w:t xml:space="preserve"> </w:t>
      </w:r>
      <w:r>
        <w:rPr>
          <w:sz w:val="18"/>
        </w:rPr>
        <w:t>Youth</w:t>
      </w:r>
      <w:r>
        <w:rPr>
          <w:spacing w:val="-4"/>
          <w:sz w:val="18"/>
        </w:rPr>
        <w:t xml:space="preserve"> </w:t>
      </w:r>
      <w:r>
        <w:rPr>
          <w:sz w:val="18"/>
        </w:rPr>
        <w:t>Who</w:t>
      </w:r>
      <w:r>
        <w:rPr>
          <w:spacing w:val="-2"/>
          <w:sz w:val="18"/>
        </w:rPr>
        <w:t xml:space="preserve"> </w:t>
      </w:r>
      <w:r>
        <w:rPr>
          <w:sz w:val="18"/>
        </w:rPr>
        <w:t>Are</w:t>
      </w:r>
      <w:r>
        <w:rPr>
          <w:spacing w:val="-4"/>
          <w:sz w:val="18"/>
        </w:rPr>
        <w:t xml:space="preserve"> </w:t>
      </w:r>
      <w:r>
        <w:rPr>
          <w:sz w:val="18"/>
        </w:rPr>
        <w:t>Intersex.”</w:t>
      </w:r>
      <w:r>
        <w:rPr>
          <w:spacing w:val="-4"/>
          <w:sz w:val="18"/>
        </w:rPr>
        <w:t xml:space="preserve"> </w:t>
      </w:r>
      <w:r>
        <w:rPr>
          <w:sz w:val="18"/>
        </w:rPr>
        <w:t>n.d.</w:t>
      </w:r>
      <w:r>
        <w:rPr>
          <w:spacing w:val="-1"/>
          <w:sz w:val="18"/>
        </w:rPr>
        <w:t xml:space="preserve"> </w:t>
      </w:r>
      <w:r>
        <w:rPr>
          <w:sz w:val="18"/>
        </w:rPr>
        <w:t>https://</w:t>
      </w:r>
      <w:hyperlink r:id="rId375">
        <w:r>
          <w:rPr>
            <w:sz w:val="18"/>
          </w:rPr>
          <w:t>www.thetrevorproject.org/wp-</w:t>
        </w:r>
      </w:hyperlink>
      <w:r>
        <w:rPr>
          <w:sz w:val="18"/>
        </w:rPr>
        <w:t xml:space="preserve"> </w:t>
      </w:r>
      <w:bookmarkStart w:id="500" w:name="_bookmark371"/>
      <w:bookmarkEnd w:id="500"/>
      <w:r>
        <w:rPr>
          <w:spacing w:val="-2"/>
          <w:sz w:val="18"/>
        </w:rPr>
        <w:t>c</w:t>
      </w:r>
      <w:r>
        <w:rPr>
          <w:spacing w:val="-2"/>
          <w:sz w:val="18"/>
        </w:rPr>
        <w:t>ontent/uploads/2021/12/Intersex-Youth-Mental-Health-Report.pdf.</w:t>
      </w:r>
    </w:p>
    <w:p w:rsidR="00200FDA" w:rsidRDefault="00F76C4C">
      <w:pPr>
        <w:ind w:left="140" w:right="139" w:hanging="1"/>
        <w:rPr>
          <w:sz w:val="18"/>
        </w:rPr>
      </w:pPr>
      <w:r>
        <w:rPr>
          <w:position w:val="5"/>
          <w:sz w:val="12"/>
        </w:rPr>
        <w:t>20</w:t>
      </w:r>
      <w:r>
        <w:rPr>
          <w:spacing w:val="10"/>
          <w:position w:val="5"/>
          <w:sz w:val="12"/>
        </w:rPr>
        <w:t xml:space="preserve"> </w:t>
      </w:r>
      <w:r>
        <w:rPr>
          <w:sz w:val="18"/>
        </w:rPr>
        <w:t>Carpenter,</w:t>
      </w:r>
      <w:r>
        <w:rPr>
          <w:spacing w:val="-3"/>
          <w:sz w:val="18"/>
        </w:rPr>
        <w:t xml:space="preserve"> </w:t>
      </w:r>
      <w:r>
        <w:rPr>
          <w:sz w:val="18"/>
        </w:rPr>
        <w:t>Morgan.</w:t>
      </w:r>
      <w:r>
        <w:rPr>
          <w:spacing w:val="-3"/>
          <w:sz w:val="18"/>
        </w:rPr>
        <w:t xml:space="preserve"> </w:t>
      </w:r>
      <w:r>
        <w:rPr>
          <w:sz w:val="18"/>
        </w:rPr>
        <w:t>2020.</w:t>
      </w:r>
      <w:r>
        <w:rPr>
          <w:spacing w:val="-3"/>
          <w:sz w:val="18"/>
        </w:rPr>
        <w:t xml:space="preserve"> </w:t>
      </w:r>
      <w:r>
        <w:rPr>
          <w:sz w:val="18"/>
        </w:rPr>
        <w:t>“The</w:t>
      </w:r>
      <w:r>
        <w:rPr>
          <w:spacing w:val="-2"/>
          <w:sz w:val="18"/>
        </w:rPr>
        <w:t xml:space="preserve"> </w:t>
      </w:r>
      <w:r>
        <w:rPr>
          <w:sz w:val="18"/>
        </w:rPr>
        <w:t>OHCHR</w:t>
      </w:r>
      <w:r>
        <w:rPr>
          <w:spacing w:val="-3"/>
          <w:sz w:val="18"/>
        </w:rPr>
        <w:t xml:space="preserve"> </w:t>
      </w:r>
      <w:r>
        <w:rPr>
          <w:sz w:val="18"/>
        </w:rPr>
        <w:t>Background</w:t>
      </w:r>
      <w:r>
        <w:rPr>
          <w:spacing w:val="-4"/>
          <w:sz w:val="18"/>
        </w:rPr>
        <w:t xml:space="preserve"> </w:t>
      </w:r>
      <w:r>
        <w:rPr>
          <w:sz w:val="18"/>
        </w:rPr>
        <w:t>Note</w:t>
      </w:r>
      <w:r>
        <w:rPr>
          <w:spacing w:val="-4"/>
          <w:sz w:val="18"/>
        </w:rPr>
        <w:t xml:space="preserve"> </w:t>
      </w:r>
      <w:r>
        <w:rPr>
          <w:sz w:val="18"/>
        </w:rPr>
        <w:t>on</w:t>
      </w:r>
      <w:r>
        <w:rPr>
          <w:spacing w:val="-4"/>
          <w:sz w:val="18"/>
        </w:rPr>
        <w:t xml:space="preserve"> </w:t>
      </w:r>
      <w:r>
        <w:rPr>
          <w:sz w:val="18"/>
        </w:rPr>
        <w:t>Human</w:t>
      </w:r>
      <w:r>
        <w:rPr>
          <w:spacing w:val="-4"/>
          <w:sz w:val="18"/>
        </w:rPr>
        <w:t xml:space="preserve"> </w:t>
      </w:r>
      <w:r>
        <w:rPr>
          <w:sz w:val="18"/>
        </w:rPr>
        <w:t>Rights</w:t>
      </w:r>
      <w:r>
        <w:rPr>
          <w:spacing w:val="-4"/>
          <w:sz w:val="18"/>
        </w:rPr>
        <w:t xml:space="preserve"> </w:t>
      </w:r>
      <w:r>
        <w:rPr>
          <w:sz w:val="18"/>
        </w:rPr>
        <w:t>Violations</w:t>
      </w:r>
      <w:r>
        <w:rPr>
          <w:spacing w:val="-4"/>
          <w:sz w:val="18"/>
        </w:rPr>
        <w:t xml:space="preserve"> </w:t>
      </w:r>
      <w:r>
        <w:rPr>
          <w:sz w:val="18"/>
        </w:rPr>
        <w:t>against</w:t>
      </w:r>
      <w:r>
        <w:rPr>
          <w:spacing w:val="-4"/>
          <w:sz w:val="18"/>
        </w:rPr>
        <w:t xml:space="preserve"> </w:t>
      </w:r>
      <w:r>
        <w:rPr>
          <w:sz w:val="18"/>
        </w:rPr>
        <w:t>Intersex</w:t>
      </w:r>
      <w:r>
        <w:rPr>
          <w:spacing w:val="-4"/>
          <w:sz w:val="18"/>
        </w:rPr>
        <w:t xml:space="preserve"> </w:t>
      </w:r>
      <w:r>
        <w:rPr>
          <w:sz w:val="18"/>
        </w:rPr>
        <w:t>People.”</w:t>
      </w:r>
      <w:r>
        <w:rPr>
          <w:spacing w:val="-2"/>
          <w:sz w:val="18"/>
        </w:rPr>
        <w:t xml:space="preserve"> </w:t>
      </w:r>
      <w:r>
        <w:rPr>
          <w:sz w:val="18"/>
        </w:rPr>
        <w:t>Sexual</w:t>
      </w:r>
      <w:r>
        <w:rPr>
          <w:spacing w:val="-4"/>
          <w:sz w:val="18"/>
        </w:rPr>
        <w:t xml:space="preserve"> </w:t>
      </w:r>
      <w:r>
        <w:rPr>
          <w:sz w:val="18"/>
        </w:rPr>
        <w:t xml:space="preserve">and Reproductive Health Matters 28 (1): 1731298. </w:t>
      </w:r>
      <w:hyperlink r:id="rId376">
        <w:r>
          <w:rPr>
            <w:color w:val="1154CC"/>
            <w:sz w:val="18"/>
            <w:u w:val="single" w:color="1154CC"/>
          </w:rPr>
          <w:t>https://doi.org/10.1080/26410397.2020.1731298</w:t>
        </w:r>
        <w:r>
          <w:rPr>
            <w:sz w:val="18"/>
          </w:rPr>
          <w:t>.</w:t>
        </w:r>
      </w:hyperlink>
    </w:p>
    <w:p w:rsidR="00200FDA" w:rsidRDefault="00F76C4C">
      <w:pPr>
        <w:ind w:left="140" w:right="218" w:hanging="1"/>
        <w:rPr>
          <w:sz w:val="18"/>
        </w:rPr>
      </w:pPr>
      <w:bookmarkStart w:id="501" w:name="_bookmark372"/>
      <w:bookmarkEnd w:id="501"/>
      <w:r>
        <w:rPr>
          <w:position w:val="5"/>
          <w:sz w:val="12"/>
        </w:rPr>
        <w:t>21</w:t>
      </w:r>
      <w:r>
        <w:rPr>
          <w:spacing w:val="10"/>
          <w:position w:val="5"/>
          <w:sz w:val="12"/>
        </w:rPr>
        <w:t xml:space="preserve"> </w:t>
      </w:r>
      <w:r>
        <w:rPr>
          <w:sz w:val="18"/>
        </w:rPr>
        <w:t>Callens,</w:t>
      </w:r>
      <w:r>
        <w:rPr>
          <w:spacing w:val="-2"/>
          <w:sz w:val="18"/>
        </w:rPr>
        <w:t xml:space="preserve"> </w:t>
      </w:r>
      <w:r>
        <w:rPr>
          <w:sz w:val="18"/>
        </w:rPr>
        <w:t>Nina,</w:t>
      </w:r>
      <w:r>
        <w:rPr>
          <w:spacing w:val="-2"/>
          <w:sz w:val="18"/>
        </w:rPr>
        <w:t xml:space="preserve"> </w:t>
      </w:r>
      <w:r>
        <w:rPr>
          <w:sz w:val="18"/>
        </w:rPr>
        <w:t>Baudewijntje</w:t>
      </w:r>
      <w:r>
        <w:rPr>
          <w:spacing w:val="-3"/>
          <w:sz w:val="18"/>
        </w:rPr>
        <w:t xml:space="preserve"> </w:t>
      </w:r>
      <w:r>
        <w:rPr>
          <w:sz w:val="18"/>
        </w:rPr>
        <w:t>P.C. Kreukels,</w:t>
      </w:r>
      <w:r>
        <w:rPr>
          <w:spacing w:val="-2"/>
          <w:sz w:val="18"/>
        </w:rPr>
        <w:t xml:space="preserve"> </w:t>
      </w:r>
      <w:r>
        <w:rPr>
          <w:sz w:val="18"/>
        </w:rPr>
        <w:t>and</w:t>
      </w:r>
      <w:r>
        <w:rPr>
          <w:spacing w:val="-3"/>
          <w:sz w:val="18"/>
        </w:rPr>
        <w:t xml:space="preserve"> </w:t>
      </w:r>
      <w:r>
        <w:rPr>
          <w:sz w:val="18"/>
        </w:rPr>
        <w:t>Tim</w:t>
      </w:r>
      <w:r>
        <w:rPr>
          <w:spacing w:val="-2"/>
          <w:sz w:val="18"/>
        </w:rPr>
        <w:t xml:space="preserve"> </w:t>
      </w:r>
      <w:r>
        <w:rPr>
          <w:sz w:val="18"/>
        </w:rPr>
        <w:t>C.</w:t>
      </w:r>
      <w:r>
        <w:rPr>
          <w:spacing w:val="-2"/>
          <w:sz w:val="18"/>
        </w:rPr>
        <w:t xml:space="preserve"> </w:t>
      </w:r>
      <w:r>
        <w:rPr>
          <w:sz w:val="18"/>
        </w:rPr>
        <w:t>van</w:t>
      </w:r>
      <w:r>
        <w:rPr>
          <w:spacing w:val="-3"/>
          <w:sz w:val="18"/>
        </w:rPr>
        <w:t xml:space="preserve"> </w:t>
      </w:r>
      <w:r>
        <w:rPr>
          <w:sz w:val="18"/>
        </w:rPr>
        <w:t>de</w:t>
      </w:r>
      <w:r>
        <w:rPr>
          <w:spacing w:val="-3"/>
          <w:sz w:val="18"/>
        </w:rPr>
        <w:t xml:space="preserve"> </w:t>
      </w:r>
      <w:r>
        <w:rPr>
          <w:sz w:val="18"/>
        </w:rPr>
        <w:t>Grift. 2021.</w:t>
      </w:r>
      <w:r>
        <w:rPr>
          <w:spacing w:val="-2"/>
          <w:sz w:val="18"/>
        </w:rPr>
        <w:t xml:space="preserve"> </w:t>
      </w:r>
      <w:r>
        <w:rPr>
          <w:sz w:val="18"/>
        </w:rPr>
        <w:t>“Young</w:t>
      </w:r>
      <w:r>
        <w:rPr>
          <w:spacing w:val="-3"/>
          <w:sz w:val="18"/>
        </w:rPr>
        <w:t xml:space="preserve"> </w:t>
      </w:r>
      <w:r>
        <w:rPr>
          <w:sz w:val="18"/>
        </w:rPr>
        <w:t>Voices:</w:t>
      </w:r>
      <w:r>
        <w:rPr>
          <w:spacing w:val="-2"/>
          <w:sz w:val="18"/>
        </w:rPr>
        <w:t xml:space="preserve"> </w:t>
      </w:r>
      <w:r>
        <w:rPr>
          <w:sz w:val="18"/>
        </w:rPr>
        <w:t>Sexual</w:t>
      </w:r>
      <w:r>
        <w:rPr>
          <w:spacing w:val="-3"/>
          <w:sz w:val="18"/>
        </w:rPr>
        <w:t xml:space="preserve"> </w:t>
      </w:r>
      <w:r>
        <w:rPr>
          <w:sz w:val="18"/>
        </w:rPr>
        <w:t>Health</w:t>
      </w:r>
      <w:r>
        <w:rPr>
          <w:spacing w:val="-3"/>
          <w:sz w:val="18"/>
        </w:rPr>
        <w:t xml:space="preserve"> </w:t>
      </w:r>
      <w:r>
        <w:rPr>
          <w:sz w:val="18"/>
        </w:rPr>
        <w:t>and</w:t>
      </w:r>
      <w:r>
        <w:rPr>
          <w:spacing w:val="-3"/>
          <w:sz w:val="18"/>
        </w:rPr>
        <w:t xml:space="preserve"> </w:t>
      </w:r>
      <w:r>
        <w:rPr>
          <w:sz w:val="18"/>
        </w:rPr>
        <w:t>Transition</w:t>
      </w:r>
      <w:r>
        <w:rPr>
          <w:spacing w:val="-3"/>
          <w:sz w:val="18"/>
        </w:rPr>
        <w:t xml:space="preserve"> </w:t>
      </w:r>
      <w:r>
        <w:rPr>
          <w:sz w:val="18"/>
        </w:rPr>
        <w:t xml:space="preserve">Care Needs in Adolescents with Intersex/Differences of Sex Development—a Pilot Study.” </w:t>
      </w:r>
      <w:r>
        <w:rPr>
          <w:i/>
          <w:sz w:val="18"/>
        </w:rPr>
        <w:t xml:space="preserve">Journal of Pediatric and Adolescent Gynecology </w:t>
      </w:r>
      <w:r>
        <w:rPr>
          <w:sz w:val="18"/>
        </w:rPr>
        <w:t>34 (2): 176-189.e2.</w:t>
      </w:r>
    </w:p>
    <w:p w:rsidR="00200FDA" w:rsidRDefault="00F76C4C">
      <w:pPr>
        <w:ind w:left="140" w:right="139" w:hanging="1"/>
        <w:rPr>
          <w:sz w:val="18"/>
        </w:rPr>
      </w:pPr>
      <w:bookmarkStart w:id="502" w:name="_bookmark373"/>
      <w:bookmarkEnd w:id="502"/>
      <w:r>
        <w:rPr>
          <w:position w:val="5"/>
          <w:sz w:val="12"/>
        </w:rPr>
        <w:t>22</w:t>
      </w:r>
      <w:r>
        <w:rPr>
          <w:spacing w:val="9"/>
          <w:position w:val="5"/>
          <w:sz w:val="12"/>
        </w:rPr>
        <w:t xml:space="preserve"> </w:t>
      </w:r>
      <w:r>
        <w:rPr>
          <w:sz w:val="18"/>
        </w:rPr>
        <w:t>Rosenwohl-Mack,</w:t>
      </w:r>
      <w:r>
        <w:rPr>
          <w:spacing w:val="-3"/>
          <w:sz w:val="18"/>
        </w:rPr>
        <w:t xml:space="preserve"> </w:t>
      </w:r>
      <w:r>
        <w:rPr>
          <w:sz w:val="18"/>
        </w:rPr>
        <w:t>Amy,</w:t>
      </w:r>
      <w:r>
        <w:rPr>
          <w:spacing w:val="-3"/>
          <w:sz w:val="18"/>
        </w:rPr>
        <w:t xml:space="preserve"> </w:t>
      </w:r>
      <w:r>
        <w:rPr>
          <w:sz w:val="18"/>
        </w:rPr>
        <w:t>Suegee</w:t>
      </w:r>
      <w:r>
        <w:rPr>
          <w:spacing w:val="-2"/>
          <w:sz w:val="18"/>
        </w:rPr>
        <w:t xml:space="preserve"> </w:t>
      </w:r>
      <w:r>
        <w:rPr>
          <w:sz w:val="18"/>
        </w:rPr>
        <w:t>Tamar-Mattis,</w:t>
      </w:r>
      <w:r>
        <w:rPr>
          <w:spacing w:val="-3"/>
          <w:sz w:val="18"/>
        </w:rPr>
        <w:t xml:space="preserve"> </w:t>
      </w:r>
      <w:r>
        <w:rPr>
          <w:sz w:val="18"/>
        </w:rPr>
        <w:t>Arlene</w:t>
      </w:r>
      <w:r>
        <w:rPr>
          <w:spacing w:val="-4"/>
          <w:sz w:val="18"/>
        </w:rPr>
        <w:t xml:space="preserve"> </w:t>
      </w:r>
      <w:r>
        <w:rPr>
          <w:sz w:val="18"/>
        </w:rPr>
        <w:t>B.</w:t>
      </w:r>
      <w:r>
        <w:rPr>
          <w:spacing w:val="-3"/>
          <w:sz w:val="18"/>
        </w:rPr>
        <w:t xml:space="preserve"> </w:t>
      </w:r>
      <w:r>
        <w:rPr>
          <w:sz w:val="18"/>
        </w:rPr>
        <w:t>Baratz,</w:t>
      </w:r>
      <w:r>
        <w:rPr>
          <w:spacing w:val="-3"/>
          <w:sz w:val="18"/>
        </w:rPr>
        <w:t xml:space="preserve"> </w:t>
      </w:r>
      <w:r>
        <w:rPr>
          <w:sz w:val="18"/>
        </w:rPr>
        <w:t>Katharine</w:t>
      </w:r>
      <w:r>
        <w:rPr>
          <w:spacing w:val="-4"/>
          <w:sz w:val="18"/>
        </w:rPr>
        <w:t xml:space="preserve"> </w:t>
      </w:r>
      <w:r>
        <w:rPr>
          <w:sz w:val="18"/>
        </w:rPr>
        <w:t>B.</w:t>
      </w:r>
      <w:r>
        <w:rPr>
          <w:spacing w:val="-3"/>
          <w:sz w:val="18"/>
        </w:rPr>
        <w:t xml:space="preserve"> </w:t>
      </w:r>
      <w:r>
        <w:rPr>
          <w:sz w:val="18"/>
        </w:rPr>
        <w:t>Dalke,</w:t>
      </w:r>
      <w:r>
        <w:rPr>
          <w:spacing w:val="-3"/>
          <w:sz w:val="18"/>
        </w:rPr>
        <w:t xml:space="preserve"> </w:t>
      </w:r>
      <w:r>
        <w:rPr>
          <w:sz w:val="18"/>
        </w:rPr>
        <w:t>Alesdair</w:t>
      </w:r>
      <w:r>
        <w:rPr>
          <w:spacing w:val="-4"/>
          <w:sz w:val="18"/>
        </w:rPr>
        <w:t xml:space="preserve"> </w:t>
      </w:r>
      <w:r>
        <w:rPr>
          <w:sz w:val="18"/>
        </w:rPr>
        <w:t>Ittelson,</w:t>
      </w:r>
      <w:r>
        <w:rPr>
          <w:spacing w:val="-3"/>
          <w:sz w:val="18"/>
        </w:rPr>
        <w:t xml:space="preserve"> </w:t>
      </w:r>
      <w:r>
        <w:rPr>
          <w:sz w:val="18"/>
        </w:rPr>
        <w:t>Kimberly</w:t>
      </w:r>
      <w:r>
        <w:rPr>
          <w:spacing w:val="-3"/>
          <w:sz w:val="18"/>
        </w:rPr>
        <w:t xml:space="preserve"> </w:t>
      </w:r>
      <w:r>
        <w:rPr>
          <w:sz w:val="18"/>
        </w:rPr>
        <w:t>Zieselman,</w:t>
      </w:r>
      <w:r>
        <w:rPr>
          <w:spacing w:val="-3"/>
          <w:sz w:val="18"/>
        </w:rPr>
        <w:t xml:space="preserve"> </w:t>
      </w:r>
      <w:r>
        <w:rPr>
          <w:sz w:val="18"/>
        </w:rPr>
        <w:t xml:space="preserve">and Jason D. Flatt. 2020. “A National Study on the Physical and Mental Health of Intersex Adults in the U.S.” Edited by Sergio A. Useche. </w:t>
      </w:r>
      <w:r>
        <w:rPr>
          <w:i/>
          <w:sz w:val="18"/>
        </w:rPr>
        <w:t xml:space="preserve">PLOS ONE </w:t>
      </w:r>
      <w:r>
        <w:rPr>
          <w:sz w:val="18"/>
        </w:rPr>
        <w:t xml:space="preserve">15 (10): e0240088. </w:t>
      </w:r>
      <w:hyperlink r:id="rId377">
        <w:r>
          <w:rPr>
            <w:color w:val="1154CC"/>
            <w:sz w:val="18"/>
            <w:u w:val="single" w:color="1154CC"/>
          </w:rPr>
          <w:t>https:</w:t>
        </w:r>
        <w:r>
          <w:rPr>
            <w:color w:val="1154CC"/>
            <w:sz w:val="18"/>
            <w:u w:val="single" w:color="1154CC"/>
          </w:rPr>
          <w:t>//doi.org/10.1371/journal.pone.0240088</w:t>
        </w:r>
        <w:r>
          <w:rPr>
            <w:sz w:val="18"/>
          </w:rPr>
          <w:t>.</w:t>
        </w:r>
      </w:hyperlink>
    </w:p>
    <w:p w:rsidR="00200FDA" w:rsidRDefault="00F76C4C">
      <w:pPr>
        <w:ind w:left="139" w:right="818"/>
        <w:rPr>
          <w:sz w:val="18"/>
        </w:rPr>
      </w:pPr>
      <w:bookmarkStart w:id="503" w:name="_bookmark374"/>
      <w:bookmarkEnd w:id="503"/>
      <w:r>
        <w:rPr>
          <w:position w:val="5"/>
          <w:sz w:val="12"/>
        </w:rPr>
        <w:t>23</w:t>
      </w:r>
      <w:r>
        <w:rPr>
          <w:spacing w:val="10"/>
          <w:position w:val="5"/>
          <w:sz w:val="12"/>
        </w:rPr>
        <w:t xml:space="preserve"> </w:t>
      </w:r>
      <w:r>
        <w:rPr>
          <w:sz w:val="18"/>
        </w:rPr>
        <w:t>Medina,</w:t>
      </w:r>
      <w:r>
        <w:rPr>
          <w:spacing w:val="-2"/>
          <w:sz w:val="18"/>
        </w:rPr>
        <w:t xml:space="preserve"> </w:t>
      </w:r>
      <w:r>
        <w:rPr>
          <w:sz w:val="18"/>
        </w:rPr>
        <w:t>Caroline,</w:t>
      </w:r>
      <w:r>
        <w:rPr>
          <w:spacing w:val="-2"/>
          <w:sz w:val="18"/>
        </w:rPr>
        <w:t xml:space="preserve"> </w:t>
      </w:r>
      <w:r>
        <w:rPr>
          <w:sz w:val="18"/>
        </w:rPr>
        <w:t>and</w:t>
      </w:r>
      <w:r>
        <w:rPr>
          <w:spacing w:val="-3"/>
          <w:sz w:val="18"/>
        </w:rPr>
        <w:t xml:space="preserve"> </w:t>
      </w:r>
      <w:r>
        <w:rPr>
          <w:sz w:val="18"/>
        </w:rPr>
        <w:t>Lindsay</w:t>
      </w:r>
      <w:r>
        <w:rPr>
          <w:spacing w:val="-2"/>
          <w:sz w:val="18"/>
        </w:rPr>
        <w:t xml:space="preserve"> </w:t>
      </w:r>
      <w:r>
        <w:rPr>
          <w:sz w:val="18"/>
        </w:rPr>
        <w:t>Mahowald.</w:t>
      </w:r>
      <w:r>
        <w:rPr>
          <w:spacing w:val="-2"/>
          <w:sz w:val="18"/>
        </w:rPr>
        <w:t xml:space="preserve"> </w:t>
      </w:r>
      <w:r>
        <w:rPr>
          <w:sz w:val="18"/>
        </w:rPr>
        <w:t>2021.</w:t>
      </w:r>
      <w:r>
        <w:rPr>
          <w:spacing w:val="-2"/>
          <w:sz w:val="18"/>
        </w:rPr>
        <w:t xml:space="preserve"> </w:t>
      </w:r>
      <w:r>
        <w:rPr>
          <w:sz w:val="18"/>
        </w:rPr>
        <w:t>“Key</w:t>
      </w:r>
      <w:r>
        <w:rPr>
          <w:spacing w:val="-2"/>
          <w:sz w:val="18"/>
        </w:rPr>
        <w:t xml:space="preserve"> </w:t>
      </w:r>
      <w:r>
        <w:rPr>
          <w:sz w:val="18"/>
        </w:rPr>
        <w:t>Issues</w:t>
      </w:r>
      <w:r>
        <w:rPr>
          <w:spacing w:val="-1"/>
          <w:sz w:val="18"/>
        </w:rPr>
        <w:t xml:space="preserve"> </w:t>
      </w:r>
      <w:r>
        <w:rPr>
          <w:sz w:val="18"/>
        </w:rPr>
        <w:t>Facing</w:t>
      </w:r>
      <w:r>
        <w:rPr>
          <w:spacing w:val="-3"/>
          <w:sz w:val="18"/>
        </w:rPr>
        <w:t xml:space="preserve"> </w:t>
      </w:r>
      <w:r>
        <w:rPr>
          <w:sz w:val="18"/>
        </w:rPr>
        <w:t>People</w:t>
      </w:r>
      <w:r>
        <w:rPr>
          <w:spacing w:val="-3"/>
          <w:sz w:val="18"/>
        </w:rPr>
        <w:t xml:space="preserve"> </w:t>
      </w:r>
      <w:r>
        <w:rPr>
          <w:sz w:val="18"/>
        </w:rPr>
        <w:t>with</w:t>
      </w:r>
      <w:r>
        <w:rPr>
          <w:spacing w:val="-3"/>
          <w:sz w:val="18"/>
        </w:rPr>
        <w:t xml:space="preserve"> </w:t>
      </w:r>
      <w:r>
        <w:rPr>
          <w:sz w:val="18"/>
        </w:rPr>
        <w:t>Intersex</w:t>
      </w:r>
      <w:r>
        <w:rPr>
          <w:spacing w:val="-3"/>
          <w:sz w:val="18"/>
        </w:rPr>
        <w:t xml:space="preserve"> </w:t>
      </w:r>
      <w:r>
        <w:rPr>
          <w:sz w:val="18"/>
        </w:rPr>
        <w:t>Traits.”</w:t>
      </w:r>
      <w:r>
        <w:rPr>
          <w:spacing w:val="-3"/>
          <w:sz w:val="18"/>
        </w:rPr>
        <w:t xml:space="preserve"> </w:t>
      </w:r>
      <w:r>
        <w:rPr>
          <w:sz w:val="18"/>
        </w:rPr>
        <w:t>Center</w:t>
      </w:r>
      <w:r>
        <w:rPr>
          <w:spacing w:val="-3"/>
          <w:sz w:val="18"/>
        </w:rPr>
        <w:t xml:space="preserve"> </w:t>
      </w:r>
      <w:r>
        <w:rPr>
          <w:sz w:val="18"/>
        </w:rPr>
        <w:t>for</w:t>
      </w:r>
      <w:r>
        <w:rPr>
          <w:spacing w:val="-3"/>
          <w:sz w:val="18"/>
        </w:rPr>
        <w:t xml:space="preserve"> </w:t>
      </w:r>
      <w:r>
        <w:rPr>
          <w:sz w:val="18"/>
        </w:rPr>
        <w:t>American Progress. October 26, 2021. https://</w:t>
      </w:r>
      <w:hyperlink r:id="rId378">
        <w:r>
          <w:rPr>
            <w:sz w:val="18"/>
          </w:rPr>
          <w:t>www.americanprogress.org/article/key-issues-facing-people-intersex-traits/.</w:t>
        </w:r>
      </w:hyperlink>
    </w:p>
    <w:p w:rsidR="00200FDA" w:rsidRDefault="00F76C4C">
      <w:pPr>
        <w:spacing w:line="219" w:lineRule="exact"/>
        <w:ind w:left="140"/>
        <w:rPr>
          <w:sz w:val="18"/>
        </w:rPr>
      </w:pPr>
      <w:bookmarkStart w:id="504" w:name="_bookmark375"/>
      <w:bookmarkEnd w:id="504"/>
      <w:r>
        <w:rPr>
          <w:position w:val="5"/>
          <w:sz w:val="12"/>
        </w:rPr>
        <w:t>24</w:t>
      </w:r>
      <w:r>
        <w:rPr>
          <w:spacing w:val="11"/>
          <w:position w:val="5"/>
          <w:sz w:val="12"/>
        </w:rPr>
        <w:t xml:space="preserve"> </w:t>
      </w:r>
      <w:r>
        <w:rPr>
          <w:spacing w:val="-2"/>
          <w:sz w:val="18"/>
        </w:rPr>
        <w:t>Ibid.</w:t>
      </w:r>
    </w:p>
    <w:p w:rsidR="00200FDA" w:rsidRDefault="00200FDA">
      <w:pPr>
        <w:spacing w:line="219" w:lineRule="exact"/>
        <w:rPr>
          <w:sz w:val="18"/>
        </w:rPr>
        <w:sectPr w:rsidR="00200FDA">
          <w:pgSz w:w="12240" w:h="15840"/>
          <w:pgMar w:top="1360" w:right="1300" w:bottom="1380" w:left="1300" w:header="761" w:footer="1132" w:gutter="0"/>
          <w:cols w:space="720"/>
        </w:sectPr>
      </w:pPr>
    </w:p>
    <w:p w:rsidR="00200FDA" w:rsidRDefault="00200FDA">
      <w:pPr>
        <w:pStyle w:val="BodyText"/>
        <w:spacing w:before="10"/>
        <w:rPr>
          <w:sz w:val="19"/>
        </w:rPr>
      </w:pPr>
    </w:p>
    <w:p w:rsidR="00200FDA" w:rsidRDefault="00F76C4C">
      <w:pPr>
        <w:spacing w:before="69"/>
        <w:ind w:left="140" w:hanging="1"/>
        <w:rPr>
          <w:sz w:val="18"/>
        </w:rPr>
      </w:pPr>
      <w:bookmarkStart w:id="505" w:name="_bookmark376"/>
      <w:bookmarkEnd w:id="505"/>
      <w:r>
        <w:rPr>
          <w:position w:val="5"/>
          <w:sz w:val="12"/>
        </w:rPr>
        <w:t>25</w:t>
      </w:r>
      <w:r>
        <w:rPr>
          <w:spacing w:val="10"/>
          <w:position w:val="5"/>
          <w:sz w:val="12"/>
        </w:rPr>
        <w:t xml:space="preserve"> </w:t>
      </w:r>
      <w:r>
        <w:rPr>
          <w:sz w:val="18"/>
        </w:rPr>
        <w:t>Carpenter,</w:t>
      </w:r>
      <w:r>
        <w:rPr>
          <w:spacing w:val="-2"/>
          <w:sz w:val="18"/>
        </w:rPr>
        <w:t xml:space="preserve"> </w:t>
      </w:r>
      <w:r>
        <w:rPr>
          <w:sz w:val="18"/>
        </w:rPr>
        <w:t>Morgan.</w:t>
      </w:r>
      <w:r>
        <w:rPr>
          <w:spacing w:val="-2"/>
          <w:sz w:val="18"/>
        </w:rPr>
        <w:t xml:space="preserve"> </w:t>
      </w:r>
      <w:r>
        <w:rPr>
          <w:sz w:val="18"/>
        </w:rPr>
        <w:t>2020.</w:t>
      </w:r>
      <w:r>
        <w:rPr>
          <w:spacing w:val="-2"/>
          <w:sz w:val="18"/>
        </w:rPr>
        <w:t xml:space="preserve"> </w:t>
      </w:r>
      <w:r>
        <w:rPr>
          <w:sz w:val="18"/>
        </w:rPr>
        <w:t>“The</w:t>
      </w:r>
      <w:r>
        <w:rPr>
          <w:spacing w:val="-1"/>
          <w:sz w:val="18"/>
        </w:rPr>
        <w:t xml:space="preserve"> </w:t>
      </w:r>
      <w:r>
        <w:rPr>
          <w:sz w:val="18"/>
        </w:rPr>
        <w:t>OHCHR</w:t>
      </w:r>
      <w:r>
        <w:rPr>
          <w:spacing w:val="-2"/>
          <w:sz w:val="18"/>
        </w:rPr>
        <w:t xml:space="preserve"> </w:t>
      </w:r>
      <w:r>
        <w:rPr>
          <w:sz w:val="18"/>
        </w:rPr>
        <w:t>Background</w:t>
      </w:r>
      <w:r>
        <w:rPr>
          <w:spacing w:val="-3"/>
          <w:sz w:val="18"/>
        </w:rPr>
        <w:t xml:space="preserve"> </w:t>
      </w:r>
      <w:r>
        <w:rPr>
          <w:sz w:val="18"/>
        </w:rPr>
        <w:t>Note</w:t>
      </w:r>
      <w:r>
        <w:rPr>
          <w:spacing w:val="-3"/>
          <w:sz w:val="18"/>
        </w:rPr>
        <w:t xml:space="preserve"> </w:t>
      </w:r>
      <w:r>
        <w:rPr>
          <w:sz w:val="18"/>
        </w:rPr>
        <w:t>on</w:t>
      </w:r>
      <w:r>
        <w:rPr>
          <w:spacing w:val="-3"/>
          <w:sz w:val="18"/>
        </w:rPr>
        <w:t xml:space="preserve"> </w:t>
      </w:r>
      <w:r>
        <w:rPr>
          <w:sz w:val="18"/>
        </w:rPr>
        <w:t>Human</w:t>
      </w:r>
      <w:r>
        <w:rPr>
          <w:spacing w:val="-3"/>
          <w:sz w:val="18"/>
        </w:rPr>
        <w:t xml:space="preserve"> </w:t>
      </w:r>
      <w:r>
        <w:rPr>
          <w:sz w:val="18"/>
        </w:rPr>
        <w:t>Rights</w:t>
      </w:r>
      <w:r>
        <w:rPr>
          <w:spacing w:val="-3"/>
          <w:sz w:val="18"/>
        </w:rPr>
        <w:t xml:space="preserve"> </w:t>
      </w:r>
      <w:r>
        <w:rPr>
          <w:sz w:val="18"/>
        </w:rPr>
        <w:t>Violations</w:t>
      </w:r>
      <w:r>
        <w:rPr>
          <w:spacing w:val="-3"/>
          <w:sz w:val="18"/>
        </w:rPr>
        <w:t xml:space="preserve"> </w:t>
      </w:r>
      <w:r>
        <w:rPr>
          <w:sz w:val="18"/>
        </w:rPr>
        <w:t>against</w:t>
      </w:r>
      <w:r>
        <w:rPr>
          <w:spacing w:val="-3"/>
          <w:sz w:val="18"/>
        </w:rPr>
        <w:t xml:space="preserve"> </w:t>
      </w:r>
      <w:r>
        <w:rPr>
          <w:sz w:val="18"/>
        </w:rPr>
        <w:t>Intersex</w:t>
      </w:r>
      <w:r>
        <w:rPr>
          <w:spacing w:val="-3"/>
          <w:sz w:val="18"/>
        </w:rPr>
        <w:t xml:space="preserve"> </w:t>
      </w:r>
      <w:r>
        <w:rPr>
          <w:sz w:val="18"/>
        </w:rPr>
        <w:t>People.”</w:t>
      </w:r>
      <w:r>
        <w:rPr>
          <w:spacing w:val="-3"/>
          <w:sz w:val="18"/>
        </w:rPr>
        <w:t xml:space="preserve"> </w:t>
      </w:r>
      <w:r>
        <w:rPr>
          <w:i/>
          <w:sz w:val="18"/>
        </w:rPr>
        <w:t>Sexual</w:t>
      </w:r>
      <w:r>
        <w:rPr>
          <w:i/>
          <w:spacing w:val="-3"/>
          <w:sz w:val="18"/>
        </w:rPr>
        <w:t xml:space="preserve"> </w:t>
      </w:r>
      <w:r>
        <w:rPr>
          <w:i/>
          <w:sz w:val="18"/>
        </w:rPr>
        <w:t xml:space="preserve">and Reproductive Health Matters </w:t>
      </w:r>
      <w:r>
        <w:rPr>
          <w:sz w:val="18"/>
        </w:rPr>
        <w:t xml:space="preserve">28 (1): 1731298. </w:t>
      </w:r>
      <w:hyperlink r:id="rId379">
        <w:r>
          <w:rPr>
            <w:color w:val="1154CC"/>
            <w:sz w:val="18"/>
            <w:u w:val="single" w:color="1154CC"/>
          </w:rPr>
          <w:t>https://doi.org/10.1080/26410397.2020.1731298</w:t>
        </w:r>
        <w:r>
          <w:rPr>
            <w:sz w:val="18"/>
          </w:rPr>
          <w:t>.</w:t>
        </w:r>
      </w:hyperlink>
    </w:p>
    <w:p w:rsidR="00200FDA" w:rsidRDefault="00F76C4C">
      <w:pPr>
        <w:ind w:left="140" w:right="281"/>
        <w:rPr>
          <w:sz w:val="18"/>
        </w:rPr>
      </w:pPr>
      <w:bookmarkStart w:id="506" w:name="_bookmark377"/>
      <w:bookmarkEnd w:id="506"/>
      <w:r>
        <w:rPr>
          <w:position w:val="5"/>
          <w:sz w:val="12"/>
        </w:rPr>
        <w:t>26</w:t>
      </w:r>
      <w:r>
        <w:rPr>
          <w:spacing w:val="24"/>
          <w:position w:val="5"/>
          <w:sz w:val="12"/>
        </w:rPr>
        <w:t xml:space="preserve"> </w:t>
      </w:r>
      <w:r>
        <w:rPr>
          <w:sz w:val="18"/>
        </w:rPr>
        <w:t xml:space="preserve">“Massachusetts Medical Society: Oops!” n.d. Www.massmed.org. Accessed March 2, 2023. </w:t>
      </w:r>
      <w:r>
        <w:rPr>
          <w:spacing w:val="-2"/>
          <w:sz w:val="18"/>
        </w:rPr>
        <w:t>https://</w:t>
      </w:r>
      <w:hyperlink r:id="rId380">
        <w:r>
          <w:rPr>
            <w:spacing w:val="-2"/>
            <w:sz w:val="18"/>
          </w:rPr>
          <w:t>www.massmed.org/News/Press-Re</w:t>
        </w:r>
        <w:r>
          <w:rPr>
            <w:spacing w:val="-2"/>
            <w:sz w:val="18"/>
          </w:rPr>
          <w:t>leases/Massachusetts-Medical-Society-announces-policies-on-opioid-use-disorder.</w:t>
        </w:r>
      </w:hyperlink>
      <w:r>
        <w:rPr>
          <w:spacing w:val="40"/>
          <w:sz w:val="18"/>
        </w:rPr>
        <w:t xml:space="preserve">  </w:t>
      </w:r>
      <w:bookmarkStart w:id="507" w:name="_bookmark378"/>
      <w:bookmarkEnd w:id="507"/>
      <w:r>
        <w:rPr>
          <w:position w:val="5"/>
          <w:sz w:val="12"/>
        </w:rPr>
        <w:t>27</w:t>
      </w:r>
      <w:r>
        <w:rPr>
          <w:spacing w:val="21"/>
          <w:position w:val="5"/>
          <w:sz w:val="12"/>
        </w:rPr>
        <w:t xml:space="preserve"> </w:t>
      </w:r>
      <w:r>
        <w:rPr>
          <w:sz w:val="18"/>
        </w:rPr>
        <w:t>“The Mental Health and Well-Being of LGBTQ Youth Who Are Intersex.” n.d. https://</w:t>
      </w:r>
      <w:hyperlink r:id="rId381">
        <w:r>
          <w:rPr>
            <w:sz w:val="18"/>
          </w:rPr>
          <w:t>www.thetrevorproject.org/wp-</w:t>
        </w:r>
      </w:hyperlink>
      <w:r>
        <w:rPr>
          <w:sz w:val="18"/>
        </w:rPr>
        <w:t xml:space="preserve"> </w:t>
      </w:r>
      <w:bookmarkStart w:id="508" w:name="_bookmark379"/>
      <w:bookmarkEnd w:id="508"/>
      <w:r>
        <w:rPr>
          <w:spacing w:val="-2"/>
          <w:sz w:val="18"/>
        </w:rPr>
        <w:t>content</w:t>
      </w:r>
      <w:r>
        <w:rPr>
          <w:spacing w:val="-2"/>
          <w:sz w:val="18"/>
        </w:rPr>
        <w:t>/uploads/2021/12/Intersex-Youth-Mental-Health-Report.pdf.</w:t>
      </w:r>
    </w:p>
    <w:p w:rsidR="00200FDA" w:rsidRDefault="00F76C4C">
      <w:pPr>
        <w:ind w:left="140" w:right="1971" w:hanging="1"/>
        <w:rPr>
          <w:sz w:val="18"/>
        </w:rPr>
      </w:pPr>
      <w:r>
        <w:rPr>
          <w:position w:val="5"/>
          <w:sz w:val="12"/>
        </w:rPr>
        <w:t>28</w:t>
      </w:r>
      <w:r>
        <w:rPr>
          <w:spacing w:val="9"/>
          <w:position w:val="5"/>
          <w:sz w:val="12"/>
        </w:rPr>
        <w:t xml:space="preserve"> </w:t>
      </w:r>
      <w:r>
        <w:rPr>
          <w:sz w:val="18"/>
        </w:rPr>
        <w:t>World</w:t>
      </w:r>
      <w:r>
        <w:rPr>
          <w:spacing w:val="-4"/>
          <w:sz w:val="18"/>
        </w:rPr>
        <w:t xml:space="preserve"> </w:t>
      </w:r>
      <w:r>
        <w:rPr>
          <w:sz w:val="18"/>
        </w:rPr>
        <w:t>Health</w:t>
      </w:r>
      <w:r>
        <w:rPr>
          <w:spacing w:val="-4"/>
          <w:sz w:val="18"/>
        </w:rPr>
        <w:t xml:space="preserve"> </w:t>
      </w:r>
      <w:r>
        <w:rPr>
          <w:sz w:val="18"/>
        </w:rPr>
        <w:t>Organization.</w:t>
      </w:r>
      <w:r>
        <w:rPr>
          <w:spacing w:val="-3"/>
          <w:sz w:val="18"/>
        </w:rPr>
        <w:t xml:space="preserve"> </w:t>
      </w:r>
      <w:r>
        <w:rPr>
          <w:sz w:val="18"/>
        </w:rPr>
        <w:t>2022.</w:t>
      </w:r>
      <w:r>
        <w:rPr>
          <w:spacing w:val="-3"/>
          <w:sz w:val="18"/>
        </w:rPr>
        <w:t xml:space="preserve"> </w:t>
      </w:r>
      <w:r>
        <w:rPr>
          <w:sz w:val="18"/>
        </w:rPr>
        <w:t>“Social</w:t>
      </w:r>
      <w:r>
        <w:rPr>
          <w:spacing w:val="-4"/>
          <w:sz w:val="18"/>
        </w:rPr>
        <w:t xml:space="preserve"> </w:t>
      </w:r>
      <w:r>
        <w:rPr>
          <w:sz w:val="18"/>
        </w:rPr>
        <w:t>Determinants</w:t>
      </w:r>
      <w:r>
        <w:rPr>
          <w:spacing w:val="-4"/>
          <w:sz w:val="18"/>
        </w:rPr>
        <w:t xml:space="preserve"> </w:t>
      </w:r>
      <w:r>
        <w:rPr>
          <w:sz w:val="18"/>
        </w:rPr>
        <w:t>of</w:t>
      </w:r>
      <w:r>
        <w:rPr>
          <w:spacing w:val="-3"/>
          <w:sz w:val="18"/>
        </w:rPr>
        <w:t xml:space="preserve"> </w:t>
      </w:r>
      <w:r>
        <w:rPr>
          <w:sz w:val="18"/>
        </w:rPr>
        <w:t>Health.”</w:t>
      </w:r>
      <w:r>
        <w:rPr>
          <w:spacing w:val="-4"/>
          <w:sz w:val="18"/>
        </w:rPr>
        <w:t xml:space="preserve"> </w:t>
      </w:r>
      <w:r>
        <w:rPr>
          <w:sz w:val="18"/>
        </w:rPr>
        <w:t>World</w:t>
      </w:r>
      <w:r>
        <w:rPr>
          <w:spacing w:val="-4"/>
          <w:sz w:val="18"/>
        </w:rPr>
        <w:t xml:space="preserve"> </w:t>
      </w:r>
      <w:r>
        <w:rPr>
          <w:sz w:val="18"/>
        </w:rPr>
        <w:t>Health</w:t>
      </w:r>
      <w:r>
        <w:rPr>
          <w:spacing w:val="-4"/>
          <w:sz w:val="18"/>
        </w:rPr>
        <w:t xml:space="preserve"> </w:t>
      </w:r>
      <w:r>
        <w:rPr>
          <w:sz w:val="18"/>
        </w:rPr>
        <w:t>Organisation.</w:t>
      </w:r>
      <w:r>
        <w:rPr>
          <w:spacing w:val="-3"/>
          <w:sz w:val="18"/>
        </w:rPr>
        <w:t xml:space="preserve"> </w:t>
      </w:r>
      <w:r>
        <w:rPr>
          <w:sz w:val="18"/>
        </w:rPr>
        <w:t xml:space="preserve">2022. </w:t>
      </w:r>
      <w:bookmarkStart w:id="509" w:name="_bookmark380"/>
      <w:bookmarkEnd w:id="509"/>
      <w:r>
        <w:rPr>
          <w:spacing w:val="-2"/>
          <w:sz w:val="18"/>
        </w:rPr>
        <w:t>https://</w:t>
      </w:r>
      <w:hyperlink r:id="rId382" w:anchor="tab%3Dtab_1">
        <w:r>
          <w:rPr>
            <w:spacing w:val="-2"/>
            <w:sz w:val="18"/>
          </w:rPr>
          <w:t>www.who.int/health-topics/social-determinants-of-health#tab=tab_1.</w:t>
        </w:r>
      </w:hyperlink>
    </w:p>
    <w:p w:rsidR="00200FDA" w:rsidRDefault="00F76C4C">
      <w:pPr>
        <w:spacing w:before="1"/>
        <w:ind w:left="140" w:hanging="1"/>
        <w:rPr>
          <w:sz w:val="18"/>
        </w:rPr>
      </w:pPr>
      <w:r>
        <w:rPr>
          <w:position w:val="5"/>
          <w:sz w:val="12"/>
        </w:rPr>
        <w:t>29</w:t>
      </w:r>
      <w:r>
        <w:rPr>
          <w:spacing w:val="10"/>
          <w:position w:val="5"/>
          <w:sz w:val="12"/>
        </w:rPr>
        <w:t xml:space="preserve"> </w:t>
      </w:r>
      <w:r>
        <w:rPr>
          <w:sz w:val="18"/>
        </w:rPr>
        <w:t>Badgett,</w:t>
      </w:r>
      <w:r>
        <w:rPr>
          <w:spacing w:val="-2"/>
          <w:sz w:val="18"/>
        </w:rPr>
        <w:t xml:space="preserve"> </w:t>
      </w:r>
      <w:r>
        <w:rPr>
          <w:sz w:val="18"/>
        </w:rPr>
        <w:t>M.V.</w:t>
      </w:r>
      <w:r>
        <w:rPr>
          <w:spacing w:val="-2"/>
          <w:sz w:val="18"/>
        </w:rPr>
        <w:t xml:space="preserve"> </w:t>
      </w:r>
      <w:r>
        <w:rPr>
          <w:sz w:val="18"/>
        </w:rPr>
        <w:t>Lee,</w:t>
      </w:r>
      <w:r>
        <w:rPr>
          <w:spacing w:val="-2"/>
          <w:sz w:val="18"/>
        </w:rPr>
        <w:t xml:space="preserve"> </w:t>
      </w:r>
      <w:r>
        <w:rPr>
          <w:sz w:val="18"/>
        </w:rPr>
        <w:t>Soon</w:t>
      </w:r>
      <w:r>
        <w:rPr>
          <w:spacing w:val="-3"/>
          <w:sz w:val="18"/>
        </w:rPr>
        <w:t xml:space="preserve"> </w:t>
      </w:r>
      <w:r>
        <w:rPr>
          <w:sz w:val="18"/>
        </w:rPr>
        <w:t>Kyu</w:t>
      </w:r>
      <w:r>
        <w:rPr>
          <w:spacing w:val="-3"/>
          <w:sz w:val="18"/>
        </w:rPr>
        <w:t xml:space="preserve"> </w:t>
      </w:r>
      <w:r>
        <w:rPr>
          <w:sz w:val="18"/>
        </w:rPr>
        <w:t>Choi,</w:t>
      </w:r>
      <w:r>
        <w:rPr>
          <w:spacing w:val="-2"/>
          <w:sz w:val="18"/>
        </w:rPr>
        <w:t xml:space="preserve"> </w:t>
      </w:r>
      <w:r>
        <w:rPr>
          <w:sz w:val="18"/>
        </w:rPr>
        <w:t>and</w:t>
      </w:r>
      <w:r>
        <w:rPr>
          <w:spacing w:val="-3"/>
          <w:sz w:val="18"/>
        </w:rPr>
        <w:t xml:space="preserve"> </w:t>
      </w:r>
      <w:r>
        <w:rPr>
          <w:sz w:val="18"/>
        </w:rPr>
        <w:t>Bianca</w:t>
      </w:r>
      <w:r>
        <w:rPr>
          <w:spacing w:val="-2"/>
          <w:sz w:val="18"/>
        </w:rPr>
        <w:t xml:space="preserve"> </w:t>
      </w:r>
      <w:r>
        <w:rPr>
          <w:sz w:val="18"/>
        </w:rPr>
        <w:t>D.M.</w:t>
      </w:r>
      <w:r>
        <w:rPr>
          <w:spacing w:val="-2"/>
          <w:sz w:val="18"/>
        </w:rPr>
        <w:t xml:space="preserve"> </w:t>
      </w:r>
      <w:r>
        <w:rPr>
          <w:sz w:val="18"/>
        </w:rPr>
        <w:t>Wilson.</w:t>
      </w:r>
      <w:r>
        <w:rPr>
          <w:spacing w:val="-2"/>
          <w:sz w:val="18"/>
        </w:rPr>
        <w:t xml:space="preserve"> </w:t>
      </w:r>
      <w:r>
        <w:rPr>
          <w:sz w:val="18"/>
        </w:rPr>
        <w:t>2019. “LGBT</w:t>
      </w:r>
      <w:r>
        <w:rPr>
          <w:spacing w:val="-1"/>
          <w:sz w:val="18"/>
        </w:rPr>
        <w:t xml:space="preserve"> </w:t>
      </w:r>
      <w:r>
        <w:rPr>
          <w:sz w:val="18"/>
        </w:rPr>
        <w:t>Poverty</w:t>
      </w:r>
      <w:r>
        <w:rPr>
          <w:spacing w:val="-2"/>
          <w:sz w:val="18"/>
        </w:rPr>
        <w:t xml:space="preserve"> </w:t>
      </w:r>
      <w:r>
        <w:rPr>
          <w:sz w:val="18"/>
        </w:rPr>
        <w:t>in</w:t>
      </w:r>
      <w:r>
        <w:rPr>
          <w:spacing w:val="-3"/>
          <w:sz w:val="18"/>
        </w:rPr>
        <w:t xml:space="preserve"> </w:t>
      </w:r>
      <w:r>
        <w:rPr>
          <w:sz w:val="18"/>
        </w:rPr>
        <w:t>the</w:t>
      </w:r>
      <w:r>
        <w:rPr>
          <w:spacing w:val="-3"/>
          <w:sz w:val="18"/>
        </w:rPr>
        <w:t xml:space="preserve"> </w:t>
      </w:r>
      <w:r>
        <w:rPr>
          <w:sz w:val="18"/>
        </w:rPr>
        <w:t>United</w:t>
      </w:r>
      <w:r>
        <w:rPr>
          <w:spacing w:val="-1"/>
          <w:sz w:val="18"/>
        </w:rPr>
        <w:t xml:space="preserve"> </w:t>
      </w:r>
      <w:r>
        <w:rPr>
          <w:sz w:val="18"/>
        </w:rPr>
        <w:t>States.”</w:t>
      </w:r>
      <w:r>
        <w:rPr>
          <w:spacing w:val="-3"/>
          <w:sz w:val="18"/>
        </w:rPr>
        <w:t xml:space="preserve"> </w:t>
      </w:r>
      <w:r>
        <w:rPr>
          <w:sz w:val="18"/>
        </w:rPr>
        <w:t>Williams</w:t>
      </w:r>
      <w:r>
        <w:rPr>
          <w:spacing w:val="-3"/>
          <w:sz w:val="18"/>
        </w:rPr>
        <w:t xml:space="preserve"> </w:t>
      </w:r>
      <w:r>
        <w:rPr>
          <w:sz w:val="18"/>
        </w:rPr>
        <w:t xml:space="preserve">Institute. </w:t>
      </w:r>
      <w:bookmarkStart w:id="510" w:name="_bookmark381"/>
      <w:bookmarkEnd w:id="510"/>
      <w:r>
        <w:rPr>
          <w:sz w:val="18"/>
        </w:rPr>
        <w:t>Oc</w:t>
      </w:r>
      <w:r>
        <w:rPr>
          <w:sz w:val="18"/>
        </w:rPr>
        <w:t>tober 2019. https://williamsinstitute.law.ucla.edu/publications/lgbt-poverty-us/.</w:t>
      </w:r>
    </w:p>
    <w:p w:rsidR="00200FDA" w:rsidRDefault="00F76C4C">
      <w:pPr>
        <w:ind w:left="140" w:right="218" w:hanging="1"/>
        <w:rPr>
          <w:sz w:val="18"/>
        </w:rPr>
      </w:pPr>
      <w:r>
        <w:rPr>
          <w:position w:val="5"/>
          <w:sz w:val="12"/>
        </w:rPr>
        <w:t>30</w:t>
      </w:r>
      <w:r>
        <w:rPr>
          <w:spacing w:val="9"/>
          <w:position w:val="5"/>
          <w:sz w:val="12"/>
        </w:rPr>
        <w:t xml:space="preserve"> </w:t>
      </w:r>
      <w:r>
        <w:rPr>
          <w:color w:val="202020"/>
          <w:sz w:val="18"/>
        </w:rPr>
        <w:t>Corliss</w:t>
      </w:r>
      <w:r>
        <w:rPr>
          <w:color w:val="202020"/>
          <w:spacing w:val="-4"/>
          <w:sz w:val="18"/>
        </w:rPr>
        <w:t xml:space="preserve"> </w:t>
      </w:r>
      <w:r>
        <w:rPr>
          <w:color w:val="202020"/>
          <w:sz w:val="18"/>
        </w:rPr>
        <w:t>HL,</w:t>
      </w:r>
      <w:r>
        <w:rPr>
          <w:color w:val="202020"/>
          <w:spacing w:val="-3"/>
          <w:sz w:val="18"/>
        </w:rPr>
        <w:t xml:space="preserve"> </w:t>
      </w:r>
      <w:r>
        <w:rPr>
          <w:color w:val="202020"/>
          <w:sz w:val="18"/>
        </w:rPr>
        <w:t>Goodenow</w:t>
      </w:r>
      <w:r>
        <w:rPr>
          <w:color w:val="202020"/>
          <w:spacing w:val="-2"/>
          <w:sz w:val="18"/>
        </w:rPr>
        <w:t xml:space="preserve"> </w:t>
      </w:r>
      <w:r>
        <w:rPr>
          <w:color w:val="202020"/>
          <w:sz w:val="18"/>
        </w:rPr>
        <w:t>CS,</w:t>
      </w:r>
      <w:r>
        <w:rPr>
          <w:color w:val="202020"/>
          <w:spacing w:val="-3"/>
          <w:sz w:val="18"/>
        </w:rPr>
        <w:t xml:space="preserve"> </w:t>
      </w:r>
      <w:r>
        <w:rPr>
          <w:color w:val="202020"/>
          <w:sz w:val="18"/>
        </w:rPr>
        <w:t>Nichols</w:t>
      </w:r>
      <w:r>
        <w:rPr>
          <w:color w:val="202020"/>
          <w:spacing w:val="-4"/>
          <w:sz w:val="18"/>
        </w:rPr>
        <w:t xml:space="preserve"> </w:t>
      </w:r>
      <w:r>
        <w:rPr>
          <w:color w:val="202020"/>
          <w:sz w:val="18"/>
        </w:rPr>
        <w:t>L,</w:t>
      </w:r>
      <w:r>
        <w:rPr>
          <w:color w:val="202020"/>
          <w:spacing w:val="-3"/>
          <w:sz w:val="18"/>
        </w:rPr>
        <w:t xml:space="preserve"> </w:t>
      </w:r>
      <w:r>
        <w:rPr>
          <w:color w:val="202020"/>
          <w:sz w:val="18"/>
        </w:rPr>
        <w:t>Austin</w:t>
      </w:r>
      <w:r>
        <w:rPr>
          <w:color w:val="202020"/>
          <w:spacing w:val="-2"/>
          <w:sz w:val="18"/>
        </w:rPr>
        <w:t xml:space="preserve"> </w:t>
      </w:r>
      <w:r>
        <w:rPr>
          <w:color w:val="202020"/>
          <w:sz w:val="18"/>
        </w:rPr>
        <w:t>SB.</w:t>
      </w:r>
      <w:r>
        <w:rPr>
          <w:color w:val="202020"/>
          <w:spacing w:val="-3"/>
          <w:sz w:val="18"/>
        </w:rPr>
        <w:t xml:space="preserve"> </w:t>
      </w:r>
      <w:r>
        <w:rPr>
          <w:color w:val="202020"/>
          <w:sz w:val="18"/>
        </w:rPr>
        <w:t>High</w:t>
      </w:r>
      <w:r>
        <w:rPr>
          <w:color w:val="202020"/>
          <w:spacing w:val="-2"/>
          <w:sz w:val="18"/>
        </w:rPr>
        <w:t xml:space="preserve"> </w:t>
      </w:r>
      <w:r>
        <w:rPr>
          <w:color w:val="202020"/>
          <w:sz w:val="18"/>
        </w:rPr>
        <w:t>burden</w:t>
      </w:r>
      <w:r>
        <w:rPr>
          <w:color w:val="202020"/>
          <w:spacing w:val="-4"/>
          <w:sz w:val="18"/>
        </w:rPr>
        <w:t xml:space="preserve"> </w:t>
      </w:r>
      <w:r>
        <w:rPr>
          <w:color w:val="202020"/>
          <w:sz w:val="18"/>
        </w:rPr>
        <w:t>of</w:t>
      </w:r>
      <w:r>
        <w:rPr>
          <w:color w:val="202020"/>
          <w:spacing w:val="-3"/>
          <w:sz w:val="18"/>
        </w:rPr>
        <w:t xml:space="preserve"> </w:t>
      </w:r>
      <w:r>
        <w:rPr>
          <w:color w:val="202020"/>
          <w:sz w:val="18"/>
        </w:rPr>
        <w:t>homelessness</w:t>
      </w:r>
      <w:r>
        <w:rPr>
          <w:color w:val="202020"/>
          <w:spacing w:val="-4"/>
          <w:sz w:val="18"/>
        </w:rPr>
        <w:t xml:space="preserve"> </w:t>
      </w:r>
      <w:r>
        <w:rPr>
          <w:color w:val="202020"/>
          <w:sz w:val="18"/>
        </w:rPr>
        <w:t>among</w:t>
      </w:r>
      <w:r>
        <w:rPr>
          <w:color w:val="202020"/>
          <w:spacing w:val="-4"/>
          <w:sz w:val="18"/>
        </w:rPr>
        <w:t xml:space="preserve"> </w:t>
      </w:r>
      <w:r>
        <w:rPr>
          <w:color w:val="202020"/>
          <w:sz w:val="18"/>
        </w:rPr>
        <w:t>sexual-minority</w:t>
      </w:r>
      <w:r>
        <w:rPr>
          <w:color w:val="202020"/>
          <w:spacing w:val="-3"/>
          <w:sz w:val="18"/>
        </w:rPr>
        <w:t xml:space="preserve"> </w:t>
      </w:r>
      <w:r>
        <w:rPr>
          <w:color w:val="202020"/>
          <w:sz w:val="18"/>
        </w:rPr>
        <w:t>adolescents:</w:t>
      </w:r>
      <w:r>
        <w:rPr>
          <w:color w:val="202020"/>
          <w:spacing w:val="-4"/>
          <w:sz w:val="18"/>
        </w:rPr>
        <w:t xml:space="preserve"> </w:t>
      </w:r>
      <w:r>
        <w:rPr>
          <w:color w:val="202020"/>
          <w:sz w:val="18"/>
        </w:rPr>
        <w:t>findings from a representative Massachusetts high school samp</w:t>
      </w:r>
      <w:r>
        <w:rPr>
          <w:color w:val="202020"/>
          <w:sz w:val="18"/>
        </w:rPr>
        <w:t xml:space="preserve">le. Am J Public Health. 2011 Sep;101(9):1683-9. doi: </w:t>
      </w:r>
      <w:bookmarkStart w:id="511" w:name="_bookmark382"/>
      <w:bookmarkEnd w:id="511"/>
      <w:r>
        <w:rPr>
          <w:color w:val="202020"/>
          <w:sz w:val="18"/>
        </w:rPr>
        <w:t>10.2105/AJPH.2011.300155. Epub 2011 Jul 21. PMID: 21778481; PMCID: PMC3154237.</w:t>
      </w:r>
    </w:p>
    <w:p w:rsidR="00200FDA" w:rsidRDefault="00F76C4C">
      <w:pPr>
        <w:ind w:left="139" w:right="213"/>
        <w:rPr>
          <w:sz w:val="18"/>
        </w:rPr>
      </w:pPr>
      <w:r>
        <w:rPr>
          <w:position w:val="5"/>
          <w:sz w:val="12"/>
        </w:rPr>
        <w:t>31</w:t>
      </w:r>
      <w:r>
        <w:rPr>
          <w:spacing w:val="18"/>
          <w:position w:val="5"/>
          <w:sz w:val="12"/>
        </w:rPr>
        <w:t xml:space="preserve"> </w:t>
      </w:r>
      <w:r>
        <w:rPr>
          <w:color w:val="202020"/>
          <w:sz w:val="18"/>
        </w:rPr>
        <w:t xml:space="preserve">Craig SL, Austin A, Levenson J, Leung VWY, Eaton AD, D'Souza SA. Frequencies and patterns of adverse childhood events in </w:t>
      </w:r>
      <w:r>
        <w:rPr>
          <w:color w:val="202020"/>
          <w:sz w:val="18"/>
        </w:rPr>
        <w:t>LGBTQ</w:t>
      </w:r>
      <w:r>
        <w:rPr>
          <w:color w:val="202020"/>
          <w:spacing w:val="-4"/>
          <w:sz w:val="18"/>
        </w:rPr>
        <w:t xml:space="preserve"> </w:t>
      </w:r>
      <w:r>
        <w:rPr>
          <w:color w:val="202020"/>
          <w:sz w:val="18"/>
        </w:rPr>
        <w:t>youth.</w:t>
      </w:r>
      <w:r>
        <w:rPr>
          <w:color w:val="202020"/>
          <w:spacing w:val="-3"/>
          <w:sz w:val="18"/>
        </w:rPr>
        <w:t xml:space="preserve"> </w:t>
      </w:r>
      <w:r>
        <w:rPr>
          <w:color w:val="202020"/>
          <w:sz w:val="18"/>
        </w:rPr>
        <w:t>Child</w:t>
      </w:r>
      <w:r>
        <w:rPr>
          <w:color w:val="202020"/>
          <w:spacing w:val="-2"/>
          <w:sz w:val="18"/>
        </w:rPr>
        <w:t xml:space="preserve"> </w:t>
      </w:r>
      <w:r>
        <w:rPr>
          <w:color w:val="202020"/>
          <w:sz w:val="18"/>
        </w:rPr>
        <w:t>Abuse</w:t>
      </w:r>
      <w:r>
        <w:rPr>
          <w:color w:val="202020"/>
          <w:spacing w:val="-4"/>
          <w:sz w:val="18"/>
        </w:rPr>
        <w:t xml:space="preserve"> </w:t>
      </w:r>
      <w:r>
        <w:rPr>
          <w:color w:val="202020"/>
          <w:sz w:val="18"/>
        </w:rPr>
        <w:t>Negl.</w:t>
      </w:r>
      <w:r>
        <w:rPr>
          <w:color w:val="202020"/>
          <w:spacing w:val="-1"/>
          <w:sz w:val="18"/>
        </w:rPr>
        <w:t xml:space="preserve"> </w:t>
      </w:r>
      <w:r>
        <w:rPr>
          <w:color w:val="202020"/>
          <w:sz w:val="18"/>
        </w:rPr>
        <w:t>2020</w:t>
      </w:r>
      <w:r>
        <w:rPr>
          <w:color w:val="202020"/>
          <w:spacing w:val="-3"/>
          <w:sz w:val="18"/>
        </w:rPr>
        <w:t xml:space="preserve"> </w:t>
      </w:r>
      <w:r>
        <w:rPr>
          <w:color w:val="202020"/>
          <w:sz w:val="18"/>
        </w:rPr>
        <w:t>Sep;107:104623.</w:t>
      </w:r>
      <w:r>
        <w:rPr>
          <w:color w:val="202020"/>
          <w:spacing w:val="-1"/>
          <w:sz w:val="18"/>
        </w:rPr>
        <w:t xml:space="preserve"> </w:t>
      </w:r>
      <w:r>
        <w:rPr>
          <w:color w:val="202020"/>
          <w:sz w:val="18"/>
        </w:rPr>
        <w:t>doi:</w:t>
      </w:r>
      <w:r>
        <w:rPr>
          <w:color w:val="202020"/>
          <w:spacing w:val="-3"/>
          <w:sz w:val="18"/>
        </w:rPr>
        <w:t xml:space="preserve"> </w:t>
      </w:r>
      <w:r>
        <w:rPr>
          <w:color w:val="202020"/>
          <w:sz w:val="18"/>
        </w:rPr>
        <w:t>10.1016/j.chiabu.2020.104623.</w:t>
      </w:r>
      <w:r>
        <w:rPr>
          <w:color w:val="202020"/>
          <w:spacing w:val="-3"/>
          <w:sz w:val="18"/>
        </w:rPr>
        <w:t xml:space="preserve"> </w:t>
      </w:r>
      <w:r>
        <w:rPr>
          <w:color w:val="202020"/>
          <w:sz w:val="18"/>
        </w:rPr>
        <w:t>Epub</w:t>
      </w:r>
      <w:r>
        <w:rPr>
          <w:color w:val="202020"/>
          <w:spacing w:val="-4"/>
          <w:sz w:val="18"/>
        </w:rPr>
        <w:t xml:space="preserve"> </w:t>
      </w:r>
      <w:r>
        <w:rPr>
          <w:color w:val="202020"/>
          <w:sz w:val="18"/>
        </w:rPr>
        <w:t>2020</w:t>
      </w:r>
      <w:r>
        <w:rPr>
          <w:color w:val="202020"/>
          <w:spacing w:val="-3"/>
          <w:sz w:val="18"/>
        </w:rPr>
        <w:t xml:space="preserve"> </w:t>
      </w:r>
      <w:r>
        <w:rPr>
          <w:color w:val="202020"/>
          <w:sz w:val="18"/>
        </w:rPr>
        <w:t>Jul</w:t>
      </w:r>
      <w:r>
        <w:rPr>
          <w:color w:val="202020"/>
          <w:spacing w:val="-4"/>
          <w:sz w:val="18"/>
        </w:rPr>
        <w:t xml:space="preserve"> </w:t>
      </w:r>
      <w:r>
        <w:rPr>
          <w:color w:val="202020"/>
          <w:sz w:val="18"/>
        </w:rPr>
        <w:t>16.</w:t>
      </w:r>
      <w:r>
        <w:rPr>
          <w:color w:val="202020"/>
          <w:spacing w:val="-3"/>
          <w:sz w:val="18"/>
        </w:rPr>
        <w:t xml:space="preserve"> </w:t>
      </w:r>
      <w:r>
        <w:rPr>
          <w:color w:val="202020"/>
          <w:sz w:val="18"/>
        </w:rPr>
        <w:t>PMID:</w:t>
      </w:r>
      <w:r>
        <w:rPr>
          <w:color w:val="202020"/>
          <w:spacing w:val="-3"/>
          <w:sz w:val="18"/>
        </w:rPr>
        <w:t xml:space="preserve"> </w:t>
      </w:r>
      <w:r>
        <w:rPr>
          <w:color w:val="202020"/>
          <w:sz w:val="18"/>
        </w:rPr>
        <w:t xml:space="preserve">32682145. </w:t>
      </w:r>
      <w:bookmarkStart w:id="512" w:name="_bookmark383"/>
      <w:bookmarkEnd w:id="512"/>
      <w:r>
        <w:rPr>
          <w:position w:val="5"/>
          <w:sz w:val="12"/>
        </w:rPr>
        <w:t>32</w:t>
      </w:r>
      <w:r>
        <w:rPr>
          <w:spacing w:val="19"/>
          <w:position w:val="5"/>
          <w:sz w:val="12"/>
        </w:rPr>
        <w:t xml:space="preserve"> </w:t>
      </w:r>
      <w:r>
        <w:rPr>
          <w:color w:val="333333"/>
          <w:sz w:val="18"/>
        </w:rPr>
        <w:t xml:space="preserve">Almeida, J., Johnson, R.M., Corliss, H.L. </w:t>
      </w:r>
      <w:r>
        <w:rPr>
          <w:i/>
          <w:color w:val="333333"/>
          <w:sz w:val="18"/>
        </w:rPr>
        <w:t xml:space="preserve">et al. </w:t>
      </w:r>
      <w:r>
        <w:rPr>
          <w:color w:val="333333"/>
          <w:sz w:val="18"/>
        </w:rPr>
        <w:t xml:space="preserve">Emotional Distress Among LGBT Youth: The Influence of Perceived Discrimination Based on Sexual Orientation. </w:t>
      </w:r>
      <w:r>
        <w:rPr>
          <w:i/>
          <w:color w:val="333333"/>
          <w:sz w:val="18"/>
        </w:rPr>
        <w:t xml:space="preserve">J Youth Adolescence </w:t>
      </w:r>
      <w:r>
        <w:rPr>
          <w:color w:val="333333"/>
          <w:sz w:val="18"/>
        </w:rPr>
        <w:t xml:space="preserve">38, 1001–1014 (2009). https://doi.org/10.1007/s10964-009- </w:t>
      </w:r>
      <w:r>
        <w:rPr>
          <w:color w:val="333333"/>
          <w:spacing w:val="-2"/>
          <w:sz w:val="18"/>
        </w:rPr>
        <w:t>9397-9</w:t>
      </w:r>
    </w:p>
    <w:p w:rsidR="00200FDA" w:rsidRDefault="00F76C4C">
      <w:pPr>
        <w:ind w:left="140" w:hanging="1"/>
        <w:rPr>
          <w:sz w:val="18"/>
        </w:rPr>
      </w:pPr>
      <w:bookmarkStart w:id="513" w:name="_bookmark384"/>
      <w:bookmarkEnd w:id="513"/>
      <w:r>
        <w:rPr>
          <w:position w:val="5"/>
          <w:sz w:val="12"/>
        </w:rPr>
        <w:t>33</w:t>
      </w:r>
      <w:r>
        <w:rPr>
          <w:spacing w:val="10"/>
          <w:position w:val="5"/>
          <w:sz w:val="12"/>
        </w:rPr>
        <w:t xml:space="preserve"> </w:t>
      </w:r>
      <w:r>
        <w:rPr>
          <w:sz w:val="18"/>
        </w:rPr>
        <w:t>Meyer,</w:t>
      </w:r>
      <w:r>
        <w:rPr>
          <w:spacing w:val="-2"/>
          <w:sz w:val="18"/>
        </w:rPr>
        <w:t xml:space="preserve"> </w:t>
      </w:r>
      <w:r>
        <w:rPr>
          <w:sz w:val="18"/>
        </w:rPr>
        <w:t>Ilan</w:t>
      </w:r>
      <w:r>
        <w:rPr>
          <w:spacing w:val="-3"/>
          <w:sz w:val="18"/>
        </w:rPr>
        <w:t xml:space="preserve"> </w:t>
      </w:r>
      <w:r>
        <w:rPr>
          <w:sz w:val="18"/>
        </w:rPr>
        <w:t>H.</w:t>
      </w:r>
      <w:r>
        <w:rPr>
          <w:spacing w:val="-2"/>
          <w:sz w:val="18"/>
        </w:rPr>
        <w:t xml:space="preserve"> </w:t>
      </w:r>
      <w:r>
        <w:rPr>
          <w:sz w:val="18"/>
        </w:rPr>
        <w:t>2003.</w:t>
      </w:r>
      <w:r>
        <w:rPr>
          <w:spacing w:val="-2"/>
          <w:sz w:val="18"/>
        </w:rPr>
        <w:t xml:space="preserve"> </w:t>
      </w:r>
      <w:r>
        <w:rPr>
          <w:sz w:val="18"/>
        </w:rPr>
        <w:t>“Prejudice, Social</w:t>
      </w:r>
      <w:r>
        <w:rPr>
          <w:spacing w:val="-3"/>
          <w:sz w:val="18"/>
        </w:rPr>
        <w:t xml:space="preserve"> </w:t>
      </w:r>
      <w:r>
        <w:rPr>
          <w:sz w:val="18"/>
        </w:rPr>
        <w:t>Stress,</w:t>
      </w:r>
      <w:r>
        <w:rPr>
          <w:spacing w:val="-2"/>
          <w:sz w:val="18"/>
        </w:rPr>
        <w:t xml:space="preserve"> </w:t>
      </w:r>
      <w:r>
        <w:rPr>
          <w:sz w:val="18"/>
        </w:rPr>
        <w:t>and</w:t>
      </w:r>
      <w:r>
        <w:rPr>
          <w:spacing w:val="-3"/>
          <w:sz w:val="18"/>
        </w:rPr>
        <w:t xml:space="preserve"> </w:t>
      </w:r>
      <w:r>
        <w:rPr>
          <w:sz w:val="18"/>
        </w:rPr>
        <w:t>Mental</w:t>
      </w:r>
      <w:r>
        <w:rPr>
          <w:spacing w:val="-3"/>
          <w:sz w:val="18"/>
        </w:rPr>
        <w:t xml:space="preserve"> </w:t>
      </w:r>
      <w:r>
        <w:rPr>
          <w:sz w:val="18"/>
        </w:rPr>
        <w:t>H</w:t>
      </w:r>
      <w:r>
        <w:rPr>
          <w:sz w:val="18"/>
        </w:rPr>
        <w:t>ealth</w:t>
      </w:r>
      <w:r>
        <w:rPr>
          <w:spacing w:val="-3"/>
          <w:sz w:val="18"/>
        </w:rPr>
        <w:t xml:space="preserve"> </w:t>
      </w:r>
      <w:r>
        <w:rPr>
          <w:sz w:val="18"/>
        </w:rPr>
        <w:t>in</w:t>
      </w:r>
      <w:r>
        <w:rPr>
          <w:spacing w:val="-3"/>
          <w:sz w:val="18"/>
        </w:rPr>
        <w:t xml:space="preserve"> </w:t>
      </w:r>
      <w:r>
        <w:rPr>
          <w:sz w:val="18"/>
        </w:rPr>
        <w:t>Lesbian,</w:t>
      </w:r>
      <w:r>
        <w:rPr>
          <w:spacing w:val="-2"/>
          <w:sz w:val="18"/>
        </w:rPr>
        <w:t xml:space="preserve"> </w:t>
      </w:r>
      <w:r>
        <w:rPr>
          <w:sz w:val="18"/>
        </w:rPr>
        <w:t>Gay,</w:t>
      </w:r>
      <w:r>
        <w:rPr>
          <w:spacing w:val="-2"/>
          <w:sz w:val="18"/>
        </w:rPr>
        <w:t xml:space="preserve"> </w:t>
      </w:r>
      <w:r>
        <w:rPr>
          <w:sz w:val="18"/>
        </w:rPr>
        <w:t>and</w:t>
      </w:r>
      <w:r>
        <w:rPr>
          <w:spacing w:val="-3"/>
          <w:sz w:val="18"/>
        </w:rPr>
        <w:t xml:space="preserve"> </w:t>
      </w:r>
      <w:r>
        <w:rPr>
          <w:sz w:val="18"/>
        </w:rPr>
        <w:t>Bisexual</w:t>
      </w:r>
      <w:r>
        <w:rPr>
          <w:spacing w:val="-3"/>
          <w:sz w:val="18"/>
        </w:rPr>
        <w:t xml:space="preserve"> </w:t>
      </w:r>
      <w:r>
        <w:rPr>
          <w:sz w:val="18"/>
        </w:rPr>
        <w:t>Populations:</w:t>
      </w:r>
      <w:r>
        <w:rPr>
          <w:spacing w:val="-2"/>
          <w:sz w:val="18"/>
        </w:rPr>
        <w:t xml:space="preserve"> </w:t>
      </w:r>
      <w:r>
        <w:rPr>
          <w:sz w:val="18"/>
        </w:rPr>
        <w:t>Conceptual</w:t>
      </w:r>
      <w:r>
        <w:rPr>
          <w:spacing w:val="-3"/>
          <w:sz w:val="18"/>
        </w:rPr>
        <w:t xml:space="preserve"> </w:t>
      </w:r>
      <w:r>
        <w:rPr>
          <w:sz w:val="18"/>
        </w:rPr>
        <w:t xml:space="preserve">Issues and Research Evidence.” </w:t>
      </w:r>
      <w:r>
        <w:rPr>
          <w:i/>
          <w:sz w:val="18"/>
        </w:rPr>
        <w:t xml:space="preserve">Psychological Bulletin </w:t>
      </w:r>
      <w:r>
        <w:rPr>
          <w:sz w:val="18"/>
        </w:rPr>
        <w:t>129 (5): 674–97. https://doi.org/10.1037/0033-2909.129.5.674.</w:t>
      </w:r>
    </w:p>
    <w:p w:rsidR="00200FDA" w:rsidRDefault="00F76C4C">
      <w:pPr>
        <w:ind w:left="140" w:hanging="1"/>
        <w:rPr>
          <w:sz w:val="18"/>
        </w:rPr>
      </w:pPr>
      <w:bookmarkStart w:id="514" w:name="_bookmark385"/>
      <w:bookmarkEnd w:id="514"/>
      <w:r>
        <w:rPr>
          <w:position w:val="5"/>
          <w:sz w:val="12"/>
        </w:rPr>
        <w:t>34</w:t>
      </w:r>
      <w:r>
        <w:rPr>
          <w:spacing w:val="16"/>
          <w:position w:val="5"/>
          <w:sz w:val="12"/>
        </w:rPr>
        <w:t xml:space="preserve"> </w:t>
      </w:r>
      <w:r>
        <w:rPr>
          <w:sz w:val="18"/>
        </w:rPr>
        <w:t>Earnshaw, V. A., D. D. Menino, L. M. Sava, J. Perrotti, T. N. Barnes, D. L. Humphrey, and S. L. Reisner. “LGBTQ Bullying: A Qualitative</w:t>
      </w:r>
      <w:r>
        <w:rPr>
          <w:spacing w:val="-3"/>
          <w:sz w:val="18"/>
        </w:rPr>
        <w:t xml:space="preserve"> </w:t>
      </w:r>
      <w:r>
        <w:rPr>
          <w:sz w:val="18"/>
        </w:rPr>
        <w:t>Investigation</w:t>
      </w:r>
      <w:r>
        <w:rPr>
          <w:spacing w:val="-3"/>
          <w:sz w:val="18"/>
        </w:rPr>
        <w:t xml:space="preserve"> </w:t>
      </w:r>
      <w:r>
        <w:rPr>
          <w:sz w:val="18"/>
        </w:rPr>
        <w:t>of</w:t>
      </w:r>
      <w:r>
        <w:rPr>
          <w:spacing w:val="-2"/>
          <w:sz w:val="18"/>
        </w:rPr>
        <w:t xml:space="preserve"> </w:t>
      </w:r>
      <w:r>
        <w:rPr>
          <w:sz w:val="18"/>
        </w:rPr>
        <w:t>Student</w:t>
      </w:r>
      <w:r>
        <w:rPr>
          <w:spacing w:val="-3"/>
          <w:sz w:val="18"/>
        </w:rPr>
        <w:t xml:space="preserve"> </w:t>
      </w:r>
      <w:r>
        <w:rPr>
          <w:sz w:val="18"/>
        </w:rPr>
        <w:t>and</w:t>
      </w:r>
      <w:r>
        <w:rPr>
          <w:spacing w:val="-1"/>
          <w:sz w:val="18"/>
        </w:rPr>
        <w:t xml:space="preserve"> </w:t>
      </w:r>
      <w:r>
        <w:rPr>
          <w:sz w:val="18"/>
        </w:rPr>
        <w:t>School</w:t>
      </w:r>
      <w:r>
        <w:rPr>
          <w:spacing w:val="-3"/>
          <w:sz w:val="18"/>
        </w:rPr>
        <w:t xml:space="preserve"> </w:t>
      </w:r>
      <w:r>
        <w:rPr>
          <w:sz w:val="18"/>
        </w:rPr>
        <w:t>Health</w:t>
      </w:r>
      <w:r>
        <w:rPr>
          <w:spacing w:val="-3"/>
          <w:sz w:val="18"/>
        </w:rPr>
        <w:t xml:space="preserve"> </w:t>
      </w:r>
      <w:r>
        <w:rPr>
          <w:sz w:val="18"/>
        </w:rPr>
        <w:t>Professional Perspectives.”</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LGBT</w:t>
      </w:r>
      <w:r>
        <w:rPr>
          <w:i/>
          <w:spacing w:val="-4"/>
          <w:sz w:val="18"/>
        </w:rPr>
        <w:t xml:space="preserve"> </w:t>
      </w:r>
      <w:r>
        <w:rPr>
          <w:i/>
          <w:sz w:val="18"/>
        </w:rPr>
        <w:t>Youth</w:t>
      </w:r>
      <w:r>
        <w:rPr>
          <w:i/>
          <w:spacing w:val="-1"/>
          <w:sz w:val="18"/>
        </w:rPr>
        <w:t xml:space="preserve"> </w:t>
      </w:r>
      <w:r>
        <w:rPr>
          <w:sz w:val="18"/>
        </w:rPr>
        <w:t>17,</w:t>
      </w:r>
      <w:r>
        <w:rPr>
          <w:spacing w:val="-2"/>
          <w:sz w:val="18"/>
        </w:rPr>
        <w:t xml:space="preserve"> </w:t>
      </w:r>
      <w:r>
        <w:rPr>
          <w:sz w:val="18"/>
        </w:rPr>
        <w:t>no.</w:t>
      </w:r>
      <w:r>
        <w:rPr>
          <w:spacing w:val="-2"/>
          <w:sz w:val="18"/>
        </w:rPr>
        <w:t xml:space="preserve"> </w:t>
      </w:r>
      <w:r>
        <w:rPr>
          <w:sz w:val="18"/>
        </w:rPr>
        <w:t>3</w:t>
      </w:r>
      <w:r>
        <w:rPr>
          <w:spacing w:val="-2"/>
          <w:sz w:val="18"/>
        </w:rPr>
        <w:t xml:space="preserve"> </w:t>
      </w:r>
      <w:r>
        <w:rPr>
          <w:sz w:val="18"/>
        </w:rPr>
        <w:t>(2019):</w:t>
      </w:r>
      <w:r>
        <w:rPr>
          <w:spacing w:val="-2"/>
          <w:sz w:val="18"/>
        </w:rPr>
        <w:t xml:space="preserve"> </w:t>
      </w:r>
      <w:r>
        <w:rPr>
          <w:sz w:val="18"/>
        </w:rPr>
        <w:t>280–</w:t>
      </w:r>
    </w:p>
    <w:p w:rsidR="00200FDA" w:rsidRDefault="00F76C4C">
      <w:pPr>
        <w:spacing w:line="219" w:lineRule="exact"/>
        <w:ind w:left="140"/>
        <w:rPr>
          <w:sz w:val="18"/>
        </w:rPr>
      </w:pPr>
      <w:r>
        <w:rPr>
          <w:sz w:val="18"/>
        </w:rPr>
        <w:t xml:space="preserve">97. </w:t>
      </w:r>
      <w:r>
        <w:rPr>
          <w:spacing w:val="-2"/>
          <w:sz w:val="18"/>
        </w:rPr>
        <w:t>https://doi.org/10.1080/19361653.2019.1653808.</w:t>
      </w:r>
    </w:p>
    <w:p w:rsidR="00200FDA" w:rsidRDefault="00F76C4C">
      <w:pPr>
        <w:ind w:left="140" w:right="195"/>
        <w:rPr>
          <w:sz w:val="18"/>
        </w:rPr>
      </w:pPr>
      <w:bookmarkStart w:id="515" w:name="_bookmark386"/>
      <w:bookmarkEnd w:id="515"/>
      <w:r>
        <w:rPr>
          <w:position w:val="5"/>
          <w:sz w:val="12"/>
        </w:rPr>
        <w:t>35</w:t>
      </w:r>
      <w:r>
        <w:rPr>
          <w:spacing w:val="10"/>
          <w:position w:val="5"/>
          <w:sz w:val="12"/>
        </w:rPr>
        <w:t xml:space="preserve"> </w:t>
      </w:r>
      <w:r>
        <w:rPr>
          <w:color w:val="202020"/>
          <w:sz w:val="18"/>
        </w:rPr>
        <w:t>Sava</w:t>
      </w:r>
      <w:r>
        <w:rPr>
          <w:color w:val="202020"/>
          <w:spacing w:val="-2"/>
          <w:sz w:val="18"/>
        </w:rPr>
        <w:t xml:space="preserve"> </w:t>
      </w:r>
      <w:r>
        <w:rPr>
          <w:color w:val="202020"/>
          <w:sz w:val="18"/>
        </w:rPr>
        <w:t>LM,</w:t>
      </w:r>
      <w:r>
        <w:rPr>
          <w:color w:val="202020"/>
          <w:spacing w:val="-2"/>
          <w:sz w:val="18"/>
        </w:rPr>
        <w:t xml:space="preserve"> </w:t>
      </w:r>
      <w:r>
        <w:rPr>
          <w:color w:val="202020"/>
          <w:sz w:val="18"/>
        </w:rPr>
        <w:t>Earnshaw</w:t>
      </w:r>
      <w:r>
        <w:rPr>
          <w:color w:val="202020"/>
          <w:spacing w:val="-1"/>
          <w:sz w:val="18"/>
        </w:rPr>
        <w:t xml:space="preserve"> </w:t>
      </w:r>
      <w:r>
        <w:rPr>
          <w:color w:val="202020"/>
          <w:sz w:val="18"/>
        </w:rPr>
        <w:t>VA,</w:t>
      </w:r>
      <w:r>
        <w:rPr>
          <w:color w:val="202020"/>
          <w:spacing w:val="-2"/>
          <w:sz w:val="18"/>
        </w:rPr>
        <w:t xml:space="preserve"> </w:t>
      </w:r>
      <w:r>
        <w:rPr>
          <w:color w:val="202020"/>
          <w:sz w:val="18"/>
        </w:rPr>
        <w:t>Menino</w:t>
      </w:r>
      <w:r>
        <w:rPr>
          <w:color w:val="202020"/>
          <w:spacing w:val="-1"/>
          <w:sz w:val="18"/>
        </w:rPr>
        <w:t xml:space="preserve"> </w:t>
      </w:r>
      <w:r>
        <w:rPr>
          <w:color w:val="202020"/>
          <w:sz w:val="18"/>
        </w:rPr>
        <w:t>DD,</w:t>
      </w:r>
      <w:r>
        <w:rPr>
          <w:color w:val="202020"/>
          <w:spacing w:val="-2"/>
          <w:sz w:val="18"/>
        </w:rPr>
        <w:t xml:space="preserve"> </w:t>
      </w:r>
      <w:r>
        <w:rPr>
          <w:color w:val="202020"/>
          <w:sz w:val="18"/>
        </w:rPr>
        <w:t>Perrotti</w:t>
      </w:r>
      <w:r>
        <w:rPr>
          <w:color w:val="202020"/>
          <w:spacing w:val="-3"/>
          <w:sz w:val="18"/>
        </w:rPr>
        <w:t xml:space="preserve"> </w:t>
      </w:r>
      <w:r>
        <w:rPr>
          <w:color w:val="202020"/>
          <w:sz w:val="18"/>
        </w:rPr>
        <w:t>J,</w:t>
      </w:r>
      <w:r>
        <w:rPr>
          <w:color w:val="202020"/>
          <w:spacing w:val="-2"/>
          <w:sz w:val="18"/>
        </w:rPr>
        <w:t xml:space="preserve"> </w:t>
      </w:r>
      <w:r>
        <w:rPr>
          <w:color w:val="202020"/>
          <w:sz w:val="18"/>
        </w:rPr>
        <w:t>Reisner SL.</w:t>
      </w:r>
      <w:r>
        <w:rPr>
          <w:color w:val="202020"/>
          <w:spacing w:val="-2"/>
          <w:sz w:val="18"/>
        </w:rPr>
        <w:t xml:space="preserve"> </w:t>
      </w:r>
      <w:r>
        <w:rPr>
          <w:color w:val="202020"/>
          <w:sz w:val="18"/>
        </w:rPr>
        <w:t>LGBTQ</w:t>
      </w:r>
      <w:r>
        <w:rPr>
          <w:color w:val="202020"/>
          <w:spacing w:val="-3"/>
          <w:sz w:val="18"/>
        </w:rPr>
        <w:t xml:space="preserve"> </w:t>
      </w:r>
      <w:r>
        <w:rPr>
          <w:color w:val="202020"/>
          <w:sz w:val="18"/>
        </w:rPr>
        <w:t>Student</w:t>
      </w:r>
      <w:r>
        <w:rPr>
          <w:color w:val="202020"/>
          <w:spacing w:val="-3"/>
          <w:sz w:val="18"/>
        </w:rPr>
        <w:t xml:space="preserve"> </w:t>
      </w:r>
      <w:r>
        <w:rPr>
          <w:color w:val="202020"/>
          <w:sz w:val="18"/>
        </w:rPr>
        <w:t>Health:</w:t>
      </w:r>
      <w:r>
        <w:rPr>
          <w:color w:val="202020"/>
          <w:spacing w:val="-2"/>
          <w:sz w:val="18"/>
        </w:rPr>
        <w:t xml:space="preserve"> </w:t>
      </w:r>
      <w:r>
        <w:rPr>
          <w:color w:val="202020"/>
          <w:sz w:val="18"/>
        </w:rPr>
        <w:t>A</w:t>
      </w:r>
      <w:r>
        <w:rPr>
          <w:color w:val="202020"/>
          <w:spacing w:val="-3"/>
          <w:sz w:val="18"/>
        </w:rPr>
        <w:t xml:space="preserve"> </w:t>
      </w:r>
      <w:r>
        <w:rPr>
          <w:color w:val="202020"/>
          <w:sz w:val="18"/>
        </w:rPr>
        <w:t>Mixed-Methods</w:t>
      </w:r>
      <w:r>
        <w:rPr>
          <w:color w:val="202020"/>
          <w:spacing w:val="-3"/>
          <w:sz w:val="18"/>
        </w:rPr>
        <w:t xml:space="preserve"> </w:t>
      </w:r>
      <w:r>
        <w:rPr>
          <w:color w:val="202020"/>
          <w:sz w:val="18"/>
        </w:rPr>
        <w:t>Study</w:t>
      </w:r>
      <w:r>
        <w:rPr>
          <w:color w:val="202020"/>
          <w:spacing w:val="-2"/>
          <w:sz w:val="18"/>
        </w:rPr>
        <w:t xml:space="preserve"> </w:t>
      </w:r>
      <w:r>
        <w:rPr>
          <w:color w:val="202020"/>
          <w:sz w:val="18"/>
        </w:rPr>
        <w:t>of</w:t>
      </w:r>
      <w:r>
        <w:rPr>
          <w:color w:val="202020"/>
          <w:spacing w:val="-2"/>
          <w:sz w:val="18"/>
        </w:rPr>
        <w:t xml:space="preserve"> </w:t>
      </w:r>
      <w:r>
        <w:rPr>
          <w:color w:val="202020"/>
          <w:sz w:val="18"/>
        </w:rPr>
        <w:t>Unmet</w:t>
      </w:r>
      <w:r>
        <w:rPr>
          <w:color w:val="202020"/>
          <w:spacing w:val="-3"/>
          <w:sz w:val="18"/>
        </w:rPr>
        <w:t xml:space="preserve"> </w:t>
      </w:r>
      <w:r>
        <w:rPr>
          <w:color w:val="202020"/>
          <w:sz w:val="18"/>
        </w:rPr>
        <w:t>Needs</w:t>
      </w:r>
      <w:r>
        <w:rPr>
          <w:color w:val="202020"/>
          <w:spacing w:val="-3"/>
          <w:sz w:val="18"/>
        </w:rPr>
        <w:t xml:space="preserve"> </w:t>
      </w:r>
      <w:r>
        <w:rPr>
          <w:color w:val="202020"/>
          <w:sz w:val="18"/>
        </w:rPr>
        <w:t xml:space="preserve">in Massachusetts Schools. J Sch Health. 2021 Nov;91(11):894-905. doi: 10.1111/josh.13082. Epub 2021 Sep 22. PMID: 34553384. </w:t>
      </w:r>
      <w:bookmarkStart w:id="516" w:name="_bookmark387"/>
      <w:bookmarkEnd w:id="516"/>
      <w:r>
        <w:rPr>
          <w:position w:val="5"/>
          <w:sz w:val="12"/>
        </w:rPr>
        <w:t>36</w:t>
      </w:r>
      <w:r>
        <w:rPr>
          <w:spacing w:val="11"/>
          <w:position w:val="5"/>
          <w:sz w:val="12"/>
        </w:rPr>
        <w:t xml:space="preserve"> </w:t>
      </w:r>
      <w:r>
        <w:rPr>
          <w:sz w:val="18"/>
        </w:rPr>
        <w:t>Paceley,</w:t>
      </w:r>
      <w:r>
        <w:rPr>
          <w:spacing w:val="-1"/>
          <w:sz w:val="18"/>
        </w:rPr>
        <w:t xml:space="preserve"> </w:t>
      </w:r>
      <w:r>
        <w:rPr>
          <w:sz w:val="18"/>
        </w:rPr>
        <w:t>Megan</w:t>
      </w:r>
      <w:r>
        <w:rPr>
          <w:spacing w:val="-2"/>
          <w:sz w:val="18"/>
        </w:rPr>
        <w:t xml:space="preserve"> </w:t>
      </w:r>
      <w:r>
        <w:rPr>
          <w:sz w:val="18"/>
        </w:rPr>
        <w:t>S.,</w:t>
      </w:r>
      <w:r>
        <w:rPr>
          <w:spacing w:val="-1"/>
          <w:sz w:val="18"/>
        </w:rPr>
        <w:t xml:space="preserve"> </w:t>
      </w:r>
      <w:r>
        <w:rPr>
          <w:sz w:val="18"/>
        </w:rPr>
        <w:t>Jessica</w:t>
      </w:r>
      <w:r>
        <w:rPr>
          <w:spacing w:val="-1"/>
          <w:sz w:val="18"/>
        </w:rPr>
        <w:t xml:space="preserve"> </w:t>
      </w:r>
      <w:r>
        <w:rPr>
          <w:sz w:val="18"/>
        </w:rPr>
        <w:t>N.</w:t>
      </w:r>
      <w:r>
        <w:rPr>
          <w:spacing w:val="-1"/>
          <w:sz w:val="18"/>
        </w:rPr>
        <w:t xml:space="preserve"> </w:t>
      </w:r>
      <w:r>
        <w:rPr>
          <w:sz w:val="18"/>
        </w:rPr>
        <w:t>Fish,</w:t>
      </w:r>
      <w:r>
        <w:rPr>
          <w:spacing w:val="-1"/>
          <w:sz w:val="18"/>
        </w:rPr>
        <w:t xml:space="preserve"> </w:t>
      </w:r>
      <w:r>
        <w:rPr>
          <w:sz w:val="18"/>
        </w:rPr>
        <w:t>Aaron</w:t>
      </w:r>
      <w:r>
        <w:rPr>
          <w:spacing w:val="-2"/>
          <w:sz w:val="18"/>
        </w:rPr>
        <w:t xml:space="preserve"> </w:t>
      </w:r>
      <w:r>
        <w:rPr>
          <w:sz w:val="18"/>
        </w:rPr>
        <w:t>Conrad,</w:t>
      </w:r>
      <w:r>
        <w:rPr>
          <w:spacing w:val="-1"/>
          <w:sz w:val="18"/>
        </w:rPr>
        <w:t xml:space="preserve"> </w:t>
      </w:r>
      <w:r>
        <w:rPr>
          <w:sz w:val="18"/>
        </w:rPr>
        <w:t>and Nikolaus Schuetz.</w:t>
      </w:r>
      <w:r>
        <w:rPr>
          <w:spacing w:val="-1"/>
          <w:sz w:val="18"/>
        </w:rPr>
        <w:t xml:space="preserve"> </w:t>
      </w:r>
      <w:r>
        <w:rPr>
          <w:sz w:val="18"/>
        </w:rPr>
        <w:t>2019.</w:t>
      </w:r>
      <w:r>
        <w:rPr>
          <w:spacing w:val="-1"/>
          <w:sz w:val="18"/>
        </w:rPr>
        <w:t xml:space="preserve"> </w:t>
      </w:r>
      <w:r>
        <w:rPr>
          <w:sz w:val="18"/>
        </w:rPr>
        <w:t>“Diverse</w:t>
      </w:r>
      <w:r>
        <w:rPr>
          <w:spacing w:val="-2"/>
          <w:sz w:val="18"/>
        </w:rPr>
        <w:t xml:space="preserve"> </w:t>
      </w:r>
      <w:r>
        <w:rPr>
          <w:sz w:val="18"/>
        </w:rPr>
        <w:t>Community</w:t>
      </w:r>
      <w:r>
        <w:rPr>
          <w:spacing w:val="-1"/>
          <w:sz w:val="18"/>
        </w:rPr>
        <w:t xml:space="preserve"> </w:t>
      </w:r>
      <w:r>
        <w:rPr>
          <w:sz w:val="18"/>
        </w:rPr>
        <w:t>Contexts</w:t>
      </w:r>
      <w:r>
        <w:rPr>
          <w:spacing w:val="-2"/>
          <w:sz w:val="18"/>
        </w:rPr>
        <w:t xml:space="preserve"> </w:t>
      </w:r>
      <w:r>
        <w:rPr>
          <w:sz w:val="18"/>
        </w:rPr>
        <w:t>and</w:t>
      </w:r>
      <w:r>
        <w:rPr>
          <w:spacing w:val="-2"/>
          <w:sz w:val="18"/>
        </w:rPr>
        <w:t xml:space="preserve"> </w:t>
      </w:r>
      <w:r>
        <w:rPr>
          <w:sz w:val="18"/>
        </w:rPr>
        <w:t>Community Resources</w:t>
      </w:r>
      <w:r>
        <w:rPr>
          <w:sz w:val="18"/>
        </w:rPr>
        <w:t xml:space="preserve"> for Sexual and Gender Minority Youth: A Mixed-Methods Study.” </w:t>
      </w:r>
      <w:r>
        <w:rPr>
          <w:i/>
          <w:sz w:val="18"/>
        </w:rPr>
        <w:t xml:space="preserve">Journal of Community &amp; Applied Social Psychology </w:t>
      </w:r>
      <w:r>
        <w:rPr>
          <w:sz w:val="18"/>
        </w:rPr>
        <w:t>29 (6): 445–60. https://doi.org/10.1002/casp.2417.</w:t>
      </w:r>
    </w:p>
    <w:p w:rsidR="00200FDA" w:rsidRDefault="00F76C4C">
      <w:pPr>
        <w:ind w:left="140" w:right="164" w:hanging="1"/>
        <w:rPr>
          <w:sz w:val="18"/>
        </w:rPr>
      </w:pPr>
      <w:bookmarkStart w:id="517" w:name="_bookmark388"/>
      <w:bookmarkEnd w:id="517"/>
      <w:r>
        <w:rPr>
          <w:position w:val="5"/>
          <w:sz w:val="12"/>
        </w:rPr>
        <w:t>37</w:t>
      </w:r>
      <w:r>
        <w:rPr>
          <w:spacing w:val="10"/>
          <w:position w:val="5"/>
          <w:sz w:val="12"/>
        </w:rPr>
        <w:t xml:space="preserve"> </w:t>
      </w:r>
      <w:r>
        <w:rPr>
          <w:color w:val="202020"/>
          <w:sz w:val="18"/>
        </w:rPr>
        <w:t>Goldbach</w:t>
      </w:r>
      <w:r>
        <w:rPr>
          <w:color w:val="202020"/>
          <w:spacing w:val="-3"/>
          <w:sz w:val="18"/>
        </w:rPr>
        <w:t xml:space="preserve"> </w:t>
      </w:r>
      <w:r>
        <w:rPr>
          <w:color w:val="202020"/>
          <w:sz w:val="18"/>
        </w:rPr>
        <w:t>JT,</w:t>
      </w:r>
      <w:r>
        <w:rPr>
          <w:color w:val="202020"/>
          <w:spacing w:val="-2"/>
          <w:sz w:val="18"/>
        </w:rPr>
        <w:t xml:space="preserve"> </w:t>
      </w:r>
      <w:r>
        <w:rPr>
          <w:color w:val="202020"/>
          <w:sz w:val="18"/>
        </w:rPr>
        <w:t>Parra</w:t>
      </w:r>
      <w:r>
        <w:rPr>
          <w:color w:val="202020"/>
          <w:spacing w:val="-2"/>
          <w:sz w:val="18"/>
        </w:rPr>
        <w:t xml:space="preserve"> </w:t>
      </w:r>
      <w:r>
        <w:rPr>
          <w:color w:val="202020"/>
          <w:sz w:val="18"/>
        </w:rPr>
        <w:t>LA,</w:t>
      </w:r>
      <w:r>
        <w:rPr>
          <w:color w:val="202020"/>
          <w:spacing w:val="-2"/>
          <w:sz w:val="18"/>
        </w:rPr>
        <w:t xml:space="preserve"> </w:t>
      </w:r>
      <w:r>
        <w:rPr>
          <w:color w:val="202020"/>
          <w:sz w:val="18"/>
        </w:rPr>
        <w:t>O'Brien</w:t>
      </w:r>
      <w:r>
        <w:rPr>
          <w:color w:val="202020"/>
          <w:spacing w:val="-3"/>
          <w:sz w:val="18"/>
        </w:rPr>
        <w:t xml:space="preserve"> </w:t>
      </w:r>
      <w:r>
        <w:rPr>
          <w:color w:val="202020"/>
          <w:sz w:val="18"/>
        </w:rPr>
        <w:t>RP,</w:t>
      </w:r>
      <w:r>
        <w:rPr>
          <w:color w:val="202020"/>
          <w:spacing w:val="-2"/>
          <w:sz w:val="18"/>
        </w:rPr>
        <w:t xml:space="preserve"> </w:t>
      </w:r>
      <w:r>
        <w:rPr>
          <w:color w:val="202020"/>
          <w:sz w:val="18"/>
        </w:rPr>
        <w:t>Rhoades</w:t>
      </w:r>
      <w:r>
        <w:rPr>
          <w:color w:val="202020"/>
          <w:spacing w:val="-3"/>
          <w:sz w:val="18"/>
        </w:rPr>
        <w:t xml:space="preserve"> </w:t>
      </w:r>
      <w:r>
        <w:rPr>
          <w:color w:val="202020"/>
          <w:sz w:val="18"/>
        </w:rPr>
        <w:t>H,</w:t>
      </w:r>
      <w:r>
        <w:rPr>
          <w:color w:val="202020"/>
          <w:spacing w:val="-2"/>
          <w:sz w:val="18"/>
        </w:rPr>
        <w:t xml:space="preserve"> </w:t>
      </w:r>
      <w:r>
        <w:rPr>
          <w:color w:val="202020"/>
          <w:sz w:val="18"/>
        </w:rPr>
        <w:t>Schrager</w:t>
      </w:r>
      <w:r>
        <w:rPr>
          <w:color w:val="202020"/>
          <w:spacing w:val="-3"/>
          <w:sz w:val="18"/>
        </w:rPr>
        <w:t xml:space="preserve"> </w:t>
      </w:r>
      <w:r>
        <w:rPr>
          <w:color w:val="202020"/>
          <w:sz w:val="18"/>
        </w:rPr>
        <w:t>SM.</w:t>
      </w:r>
      <w:r>
        <w:rPr>
          <w:color w:val="202020"/>
          <w:spacing w:val="-2"/>
          <w:sz w:val="18"/>
        </w:rPr>
        <w:t xml:space="preserve"> </w:t>
      </w:r>
      <w:r>
        <w:rPr>
          <w:color w:val="202020"/>
          <w:sz w:val="18"/>
        </w:rPr>
        <w:t>Explaining</w:t>
      </w:r>
      <w:r>
        <w:rPr>
          <w:color w:val="202020"/>
          <w:spacing w:val="-3"/>
          <w:sz w:val="18"/>
        </w:rPr>
        <w:t xml:space="preserve"> </w:t>
      </w:r>
      <w:r>
        <w:rPr>
          <w:color w:val="202020"/>
          <w:sz w:val="18"/>
        </w:rPr>
        <w:t>behavioral</w:t>
      </w:r>
      <w:r>
        <w:rPr>
          <w:color w:val="202020"/>
          <w:spacing w:val="-3"/>
          <w:sz w:val="18"/>
        </w:rPr>
        <w:t xml:space="preserve"> </w:t>
      </w:r>
      <w:r>
        <w:rPr>
          <w:color w:val="202020"/>
          <w:sz w:val="18"/>
        </w:rPr>
        <w:t>health</w:t>
      </w:r>
      <w:r>
        <w:rPr>
          <w:color w:val="202020"/>
          <w:spacing w:val="-3"/>
          <w:sz w:val="18"/>
        </w:rPr>
        <w:t xml:space="preserve"> </w:t>
      </w:r>
      <w:r>
        <w:rPr>
          <w:color w:val="202020"/>
          <w:sz w:val="18"/>
        </w:rPr>
        <w:t>differences</w:t>
      </w:r>
      <w:r>
        <w:rPr>
          <w:color w:val="202020"/>
          <w:spacing w:val="-3"/>
          <w:sz w:val="18"/>
        </w:rPr>
        <w:t xml:space="preserve"> </w:t>
      </w:r>
      <w:r>
        <w:rPr>
          <w:color w:val="202020"/>
          <w:sz w:val="18"/>
        </w:rPr>
        <w:t>in</w:t>
      </w:r>
      <w:r>
        <w:rPr>
          <w:color w:val="202020"/>
          <w:spacing w:val="-1"/>
          <w:sz w:val="18"/>
        </w:rPr>
        <w:t xml:space="preserve"> </w:t>
      </w:r>
      <w:r>
        <w:rPr>
          <w:color w:val="202020"/>
          <w:sz w:val="18"/>
        </w:rPr>
        <w:t>urban</w:t>
      </w:r>
      <w:r>
        <w:rPr>
          <w:color w:val="202020"/>
          <w:spacing w:val="-3"/>
          <w:sz w:val="18"/>
        </w:rPr>
        <w:t xml:space="preserve"> </w:t>
      </w:r>
      <w:r>
        <w:rPr>
          <w:color w:val="202020"/>
          <w:sz w:val="18"/>
        </w:rPr>
        <w:t>and</w:t>
      </w:r>
      <w:r>
        <w:rPr>
          <w:color w:val="202020"/>
          <w:spacing w:val="-3"/>
          <w:sz w:val="18"/>
        </w:rPr>
        <w:t xml:space="preserve"> </w:t>
      </w:r>
      <w:r>
        <w:rPr>
          <w:color w:val="202020"/>
          <w:sz w:val="18"/>
        </w:rPr>
        <w:t>rural</w:t>
      </w:r>
      <w:r>
        <w:rPr>
          <w:color w:val="202020"/>
          <w:spacing w:val="-3"/>
          <w:sz w:val="18"/>
        </w:rPr>
        <w:t xml:space="preserve"> </w:t>
      </w:r>
      <w:r>
        <w:rPr>
          <w:color w:val="202020"/>
          <w:sz w:val="18"/>
        </w:rPr>
        <w:t>sexual minority</w:t>
      </w:r>
      <w:r>
        <w:rPr>
          <w:color w:val="202020"/>
          <w:spacing w:val="-2"/>
          <w:sz w:val="18"/>
        </w:rPr>
        <w:t xml:space="preserve"> </w:t>
      </w:r>
      <w:r>
        <w:rPr>
          <w:color w:val="202020"/>
          <w:sz w:val="18"/>
        </w:rPr>
        <w:t>adolescents: A</w:t>
      </w:r>
      <w:r>
        <w:rPr>
          <w:color w:val="202020"/>
          <w:spacing w:val="-3"/>
          <w:sz w:val="18"/>
        </w:rPr>
        <w:t xml:space="preserve"> </w:t>
      </w:r>
      <w:r>
        <w:rPr>
          <w:color w:val="202020"/>
          <w:sz w:val="18"/>
        </w:rPr>
        <w:t>longitudinal</w:t>
      </w:r>
      <w:r>
        <w:rPr>
          <w:color w:val="202020"/>
          <w:spacing w:val="-3"/>
          <w:sz w:val="18"/>
        </w:rPr>
        <w:t xml:space="preserve"> </w:t>
      </w:r>
      <w:r>
        <w:rPr>
          <w:color w:val="202020"/>
          <w:sz w:val="18"/>
        </w:rPr>
        <w:t>investigation</w:t>
      </w:r>
      <w:r>
        <w:rPr>
          <w:color w:val="202020"/>
          <w:spacing w:val="-3"/>
          <w:sz w:val="18"/>
        </w:rPr>
        <w:t xml:space="preserve"> </w:t>
      </w:r>
      <w:r>
        <w:rPr>
          <w:color w:val="202020"/>
          <w:sz w:val="18"/>
        </w:rPr>
        <w:t>of</w:t>
      </w:r>
      <w:r>
        <w:rPr>
          <w:color w:val="202020"/>
          <w:spacing w:val="-2"/>
          <w:sz w:val="18"/>
        </w:rPr>
        <w:t xml:space="preserve"> </w:t>
      </w:r>
      <w:r>
        <w:rPr>
          <w:color w:val="202020"/>
          <w:sz w:val="18"/>
        </w:rPr>
        <w:t>minority</w:t>
      </w:r>
      <w:r>
        <w:rPr>
          <w:color w:val="202020"/>
          <w:spacing w:val="-2"/>
          <w:sz w:val="18"/>
        </w:rPr>
        <w:t xml:space="preserve"> </w:t>
      </w:r>
      <w:r>
        <w:rPr>
          <w:color w:val="202020"/>
          <w:sz w:val="18"/>
        </w:rPr>
        <w:t>stress</w:t>
      </w:r>
      <w:r>
        <w:rPr>
          <w:color w:val="202020"/>
          <w:spacing w:val="-3"/>
          <w:sz w:val="18"/>
        </w:rPr>
        <w:t xml:space="preserve"> </w:t>
      </w:r>
      <w:r>
        <w:rPr>
          <w:color w:val="202020"/>
          <w:sz w:val="18"/>
        </w:rPr>
        <w:t>in</w:t>
      </w:r>
      <w:r>
        <w:rPr>
          <w:color w:val="202020"/>
          <w:spacing w:val="-3"/>
          <w:sz w:val="18"/>
        </w:rPr>
        <w:t xml:space="preserve"> </w:t>
      </w:r>
      <w:r>
        <w:rPr>
          <w:color w:val="202020"/>
          <w:sz w:val="18"/>
        </w:rPr>
        <w:t>a</w:t>
      </w:r>
      <w:r>
        <w:rPr>
          <w:color w:val="202020"/>
          <w:spacing w:val="-2"/>
          <w:sz w:val="18"/>
        </w:rPr>
        <w:t xml:space="preserve"> </w:t>
      </w:r>
      <w:r>
        <w:rPr>
          <w:color w:val="202020"/>
          <w:sz w:val="18"/>
        </w:rPr>
        <w:t>diverse</w:t>
      </w:r>
      <w:r>
        <w:rPr>
          <w:color w:val="202020"/>
          <w:spacing w:val="-1"/>
          <w:sz w:val="18"/>
        </w:rPr>
        <w:t xml:space="preserve"> </w:t>
      </w:r>
      <w:r>
        <w:rPr>
          <w:color w:val="202020"/>
          <w:sz w:val="18"/>
        </w:rPr>
        <w:t>national</w:t>
      </w:r>
      <w:r>
        <w:rPr>
          <w:color w:val="202020"/>
          <w:spacing w:val="-3"/>
          <w:sz w:val="18"/>
        </w:rPr>
        <w:t xml:space="preserve"> </w:t>
      </w:r>
      <w:r>
        <w:rPr>
          <w:color w:val="202020"/>
          <w:sz w:val="18"/>
        </w:rPr>
        <w:t>sample</w:t>
      </w:r>
      <w:r>
        <w:rPr>
          <w:color w:val="202020"/>
          <w:spacing w:val="-3"/>
          <w:sz w:val="18"/>
        </w:rPr>
        <w:t xml:space="preserve"> </w:t>
      </w:r>
      <w:r>
        <w:rPr>
          <w:color w:val="202020"/>
          <w:sz w:val="18"/>
        </w:rPr>
        <w:t>of</w:t>
      </w:r>
      <w:r>
        <w:rPr>
          <w:color w:val="202020"/>
          <w:spacing w:val="-2"/>
          <w:sz w:val="18"/>
        </w:rPr>
        <w:t xml:space="preserve"> </w:t>
      </w:r>
      <w:r>
        <w:rPr>
          <w:color w:val="202020"/>
          <w:sz w:val="18"/>
        </w:rPr>
        <w:t>sexual</w:t>
      </w:r>
      <w:r>
        <w:rPr>
          <w:color w:val="202020"/>
          <w:spacing w:val="-3"/>
          <w:sz w:val="18"/>
        </w:rPr>
        <w:t xml:space="preserve"> </w:t>
      </w:r>
      <w:r>
        <w:rPr>
          <w:color w:val="202020"/>
          <w:sz w:val="18"/>
        </w:rPr>
        <w:t>minority</w:t>
      </w:r>
      <w:r>
        <w:rPr>
          <w:color w:val="202020"/>
          <w:spacing w:val="-2"/>
          <w:sz w:val="18"/>
        </w:rPr>
        <w:t xml:space="preserve"> </w:t>
      </w:r>
      <w:r>
        <w:rPr>
          <w:color w:val="202020"/>
          <w:sz w:val="18"/>
        </w:rPr>
        <w:t xml:space="preserve">adolescents: A longitudinal investigation of minority stress in a diverse national sample of sexual </w:t>
      </w:r>
      <w:r>
        <w:rPr>
          <w:color w:val="202020"/>
          <w:sz w:val="18"/>
        </w:rPr>
        <w:t>minority adolescents. J Rural Health. 2023 Jan;39(1):262-271. doi: 10.1111/jrh.12706. Epub 2022 Aug 17. PMID: 35977886; PMCID: PMC9771913.</w:t>
      </w:r>
    </w:p>
    <w:p w:rsidR="00200FDA" w:rsidRDefault="00F76C4C">
      <w:pPr>
        <w:ind w:left="140" w:right="139" w:hanging="1"/>
        <w:rPr>
          <w:sz w:val="18"/>
        </w:rPr>
      </w:pPr>
      <w:bookmarkStart w:id="518" w:name="_bookmark389"/>
      <w:bookmarkEnd w:id="518"/>
      <w:r>
        <w:rPr>
          <w:position w:val="5"/>
          <w:sz w:val="12"/>
        </w:rPr>
        <w:t>38</w:t>
      </w:r>
      <w:r>
        <w:rPr>
          <w:spacing w:val="10"/>
          <w:position w:val="5"/>
          <w:sz w:val="12"/>
        </w:rPr>
        <w:t xml:space="preserve"> </w:t>
      </w:r>
      <w:r>
        <w:rPr>
          <w:color w:val="212121"/>
          <w:sz w:val="18"/>
        </w:rPr>
        <w:t>Whaibeh,</w:t>
      </w:r>
      <w:r>
        <w:rPr>
          <w:color w:val="212121"/>
          <w:spacing w:val="-2"/>
          <w:sz w:val="18"/>
        </w:rPr>
        <w:t xml:space="preserve"> </w:t>
      </w:r>
      <w:r>
        <w:rPr>
          <w:color w:val="212121"/>
          <w:sz w:val="18"/>
        </w:rPr>
        <w:t>Emile,</w:t>
      </w:r>
      <w:r>
        <w:rPr>
          <w:color w:val="212121"/>
          <w:spacing w:val="-2"/>
          <w:sz w:val="18"/>
        </w:rPr>
        <w:t xml:space="preserve"> </w:t>
      </w:r>
      <w:r>
        <w:rPr>
          <w:color w:val="212121"/>
          <w:sz w:val="18"/>
        </w:rPr>
        <w:t>Hossam</w:t>
      </w:r>
      <w:r>
        <w:rPr>
          <w:color w:val="212121"/>
          <w:spacing w:val="-2"/>
          <w:sz w:val="18"/>
        </w:rPr>
        <w:t xml:space="preserve"> </w:t>
      </w:r>
      <w:r>
        <w:rPr>
          <w:color w:val="212121"/>
          <w:sz w:val="18"/>
        </w:rPr>
        <w:t>Mahmoud,</w:t>
      </w:r>
      <w:r>
        <w:rPr>
          <w:color w:val="212121"/>
          <w:spacing w:val="-2"/>
          <w:sz w:val="18"/>
        </w:rPr>
        <w:t xml:space="preserve"> </w:t>
      </w:r>
      <w:r>
        <w:rPr>
          <w:color w:val="212121"/>
          <w:sz w:val="18"/>
        </w:rPr>
        <w:t>and</w:t>
      </w:r>
      <w:r>
        <w:rPr>
          <w:color w:val="212121"/>
          <w:spacing w:val="-3"/>
          <w:sz w:val="18"/>
        </w:rPr>
        <w:t xml:space="preserve"> </w:t>
      </w:r>
      <w:r>
        <w:rPr>
          <w:color w:val="212121"/>
          <w:sz w:val="18"/>
        </w:rPr>
        <w:t>Emily</w:t>
      </w:r>
      <w:r>
        <w:rPr>
          <w:color w:val="212121"/>
          <w:spacing w:val="-2"/>
          <w:sz w:val="18"/>
        </w:rPr>
        <w:t xml:space="preserve"> </w:t>
      </w:r>
      <w:r>
        <w:rPr>
          <w:color w:val="212121"/>
          <w:sz w:val="18"/>
        </w:rPr>
        <w:t>L.</w:t>
      </w:r>
      <w:r>
        <w:rPr>
          <w:color w:val="212121"/>
          <w:spacing w:val="-2"/>
          <w:sz w:val="18"/>
        </w:rPr>
        <w:t xml:space="preserve"> </w:t>
      </w:r>
      <w:r>
        <w:rPr>
          <w:color w:val="212121"/>
          <w:sz w:val="18"/>
        </w:rPr>
        <w:t>Vogt.</w:t>
      </w:r>
      <w:r>
        <w:rPr>
          <w:color w:val="212121"/>
          <w:spacing w:val="-2"/>
          <w:sz w:val="18"/>
        </w:rPr>
        <w:t xml:space="preserve"> </w:t>
      </w:r>
      <w:r>
        <w:rPr>
          <w:color w:val="212121"/>
          <w:sz w:val="18"/>
        </w:rPr>
        <w:t>"Reducing</w:t>
      </w:r>
      <w:r>
        <w:rPr>
          <w:color w:val="212121"/>
          <w:spacing w:val="-3"/>
          <w:sz w:val="18"/>
        </w:rPr>
        <w:t xml:space="preserve"> </w:t>
      </w:r>
      <w:r>
        <w:rPr>
          <w:color w:val="212121"/>
          <w:sz w:val="18"/>
        </w:rPr>
        <w:t>the</w:t>
      </w:r>
      <w:r>
        <w:rPr>
          <w:color w:val="212121"/>
          <w:spacing w:val="-3"/>
          <w:sz w:val="18"/>
        </w:rPr>
        <w:t xml:space="preserve"> </w:t>
      </w:r>
      <w:r>
        <w:rPr>
          <w:color w:val="212121"/>
          <w:sz w:val="18"/>
        </w:rPr>
        <w:t>treatment gap</w:t>
      </w:r>
      <w:r>
        <w:rPr>
          <w:color w:val="212121"/>
          <w:spacing w:val="-3"/>
          <w:sz w:val="18"/>
        </w:rPr>
        <w:t xml:space="preserve"> </w:t>
      </w:r>
      <w:r>
        <w:rPr>
          <w:color w:val="212121"/>
          <w:sz w:val="18"/>
        </w:rPr>
        <w:t>for</w:t>
      </w:r>
      <w:r>
        <w:rPr>
          <w:color w:val="212121"/>
          <w:spacing w:val="-3"/>
          <w:sz w:val="18"/>
        </w:rPr>
        <w:t xml:space="preserve"> </w:t>
      </w:r>
      <w:r>
        <w:rPr>
          <w:color w:val="212121"/>
          <w:sz w:val="18"/>
        </w:rPr>
        <w:t>LGBT</w:t>
      </w:r>
      <w:r>
        <w:rPr>
          <w:color w:val="212121"/>
          <w:spacing w:val="-1"/>
          <w:sz w:val="18"/>
        </w:rPr>
        <w:t xml:space="preserve"> </w:t>
      </w:r>
      <w:r>
        <w:rPr>
          <w:color w:val="212121"/>
          <w:sz w:val="18"/>
        </w:rPr>
        <w:t>mental</w:t>
      </w:r>
      <w:r>
        <w:rPr>
          <w:color w:val="212121"/>
          <w:spacing w:val="-3"/>
          <w:sz w:val="18"/>
        </w:rPr>
        <w:t xml:space="preserve"> </w:t>
      </w:r>
      <w:r>
        <w:rPr>
          <w:color w:val="212121"/>
          <w:sz w:val="18"/>
        </w:rPr>
        <w:t>health</w:t>
      </w:r>
      <w:r>
        <w:rPr>
          <w:color w:val="212121"/>
          <w:spacing w:val="-3"/>
          <w:sz w:val="18"/>
        </w:rPr>
        <w:t xml:space="preserve"> </w:t>
      </w:r>
      <w:r>
        <w:rPr>
          <w:color w:val="212121"/>
          <w:sz w:val="18"/>
        </w:rPr>
        <w:t>needs:</w:t>
      </w:r>
      <w:r>
        <w:rPr>
          <w:color w:val="212121"/>
          <w:spacing w:val="-3"/>
          <w:sz w:val="18"/>
        </w:rPr>
        <w:t xml:space="preserve"> </w:t>
      </w:r>
      <w:r>
        <w:rPr>
          <w:color w:val="212121"/>
          <w:sz w:val="18"/>
        </w:rPr>
        <w:t xml:space="preserve">The potential of telepsychiatry." </w:t>
      </w:r>
      <w:r>
        <w:rPr>
          <w:i/>
          <w:color w:val="212121"/>
          <w:sz w:val="18"/>
        </w:rPr>
        <w:t xml:space="preserve">The journal of behavioral health services &amp; research </w:t>
      </w:r>
      <w:r>
        <w:rPr>
          <w:color w:val="212121"/>
          <w:sz w:val="18"/>
        </w:rPr>
        <w:t>47, no. 3 (2020): 424-431.</w:t>
      </w:r>
    </w:p>
    <w:p w:rsidR="00200FDA" w:rsidRDefault="00F76C4C">
      <w:pPr>
        <w:ind w:left="140" w:hanging="1"/>
        <w:rPr>
          <w:sz w:val="18"/>
        </w:rPr>
      </w:pPr>
      <w:bookmarkStart w:id="519" w:name="_bookmark390"/>
      <w:bookmarkEnd w:id="519"/>
      <w:r>
        <w:rPr>
          <w:position w:val="5"/>
          <w:sz w:val="12"/>
        </w:rPr>
        <w:t>39</w:t>
      </w:r>
      <w:r>
        <w:rPr>
          <w:spacing w:val="10"/>
          <w:position w:val="5"/>
          <w:sz w:val="12"/>
        </w:rPr>
        <w:t xml:space="preserve"> </w:t>
      </w:r>
      <w:r>
        <w:rPr>
          <w:sz w:val="18"/>
        </w:rPr>
        <w:t>Marcin,</w:t>
      </w:r>
      <w:r>
        <w:rPr>
          <w:spacing w:val="-2"/>
          <w:sz w:val="18"/>
        </w:rPr>
        <w:t xml:space="preserve"> </w:t>
      </w:r>
      <w:r>
        <w:rPr>
          <w:sz w:val="18"/>
        </w:rPr>
        <w:t>James</w:t>
      </w:r>
      <w:r>
        <w:rPr>
          <w:spacing w:val="-3"/>
          <w:sz w:val="18"/>
        </w:rPr>
        <w:t xml:space="preserve"> </w:t>
      </w:r>
      <w:r>
        <w:rPr>
          <w:sz w:val="18"/>
        </w:rPr>
        <w:t>P.,</w:t>
      </w:r>
      <w:r>
        <w:rPr>
          <w:spacing w:val="-2"/>
          <w:sz w:val="18"/>
        </w:rPr>
        <w:t xml:space="preserve"> </w:t>
      </w:r>
      <w:r>
        <w:rPr>
          <w:sz w:val="18"/>
        </w:rPr>
        <w:t>Ulfat</w:t>
      </w:r>
      <w:r>
        <w:rPr>
          <w:spacing w:val="-3"/>
          <w:sz w:val="18"/>
        </w:rPr>
        <w:t xml:space="preserve"> </w:t>
      </w:r>
      <w:r>
        <w:rPr>
          <w:sz w:val="18"/>
        </w:rPr>
        <w:t>Shaikh,</w:t>
      </w:r>
      <w:r>
        <w:rPr>
          <w:spacing w:val="-2"/>
          <w:sz w:val="18"/>
        </w:rPr>
        <w:t xml:space="preserve"> </w:t>
      </w:r>
      <w:r>
        <w:rPr>
          <w:sz w:val="18"/>
        </w:rPr>
        <w:t>and</w:t>
      </w:r>
      <w:r>
        <w:rPr>
          <w:spacing w:val="-3"/>
          <w:sz w:val="18"/>
        </w:rPr>
        <w:t xml:space="preserve"> </w:t>
      </w:r>
      <w:r>
        <w:rPr>
          <w:sz w:val="18"/>
        </w:rPr>
        <w:t>Robin</w:t>
      </w:r>
      <w:r>
        <w:rPr>
          <w:spacing w:val="-3"/>
          <w:sz w:val="18"/>
        </w:rPr>
        <w:t xml:space="preserve"> </w:t>
      </w:r>
      <w:r>
        <w:rPr>
          <w:sz w:val="18"/>
        </w:rPr>
        <w:t>H.</w:t>
      </w:r>
      <w:r>
        <w:rPr>
          <w:spacing w:val="-2"/>
          <w:sz w:val="18"/>
        </w:rPr>
        <w:t xml:space="preserve"> </w:t>
      </w:r>
      <w:r>
        <w:rPr>
          <w:sz w:val="18"/>
        </w:rPr>
        <w:t>Steinhorn.</w:t>
      </w:r>
      <w:r>
        <w:rPr>
          <w:spacing w:val="-2"/>
          <w:sz w:val="18"/>
        </w:rPr>
        <w:t xml:space="preserve"> </w:t>
      </w:r>
      <w:r>
        <w:rPr>
          <w:sz w:val="18"/>
        </w:rPr>
        <w:t>2015.</w:t>
      </w:r>
      <w:r>
        <w:rPr>
          <w:spacing w:val="-2"/>
          <w:sz w:val="18"/>
        </w:rPr>
        <w:t xml:space="preserve"> </w:t>
      </w:r>
      <w:r>
        <w:rPr>
          <w:sz w:val="18"/>
        </w:rPr>
        <w:t>“Addressing</w:t>
      </w:r>
      <w:r>
        <w:rPr>
          <w:spacing w:val="-3"/>
          <w:sz w:val="18"/>
        </w:rPr>
        <w:t xml:space="preserve"> </w:t>
      </w:r>
      <w:r>
        <w:rPr>
          <w:sz w:val="18"/>
        </w:rPr>
        <w:t>Health</w:t>
      </w:r>
      <w:r>
        <w:rPr>
          <w:spacing w:val="-3"/>
          <w:sz w:val="18"/>
        </w:rPr>
        <w:t xml:space="preserve"> </w:t>
      </w:r>
      <w:r>
        <w:rPr>
          <w:sz w:val="18"/>
        </w:rPr>
        <w:t>Disparities</w:t>
      </w:r>
      <w:r>
        <w:rPr>
          <w:spacing w:val="-1"/>
          <w:sz w:val="18"/>
        </w:rPr>
        <w:t xml:space="preserve"> </w:t>
      </w:r>
      <w:r>
        <w:rPr>
          <w:sz w:val="18"/>
        </w:rPr>
        <w:t>in</w:t>
      </w:r>
      <w:r>
        <w:rPr>
          <w:spacing w:val="-3"/>
          <w:sz w:val="18"/>
        </w:rPr>
        <w:t xml:space="preserve"> </w:t>
      </w:r>
      <w:r>
        <w:rPr>
          <w:sz w:val="18"/>
        </w:rPr>
        <w:t>Rural</w:t>
      </w:r>
      <w:r>
        <w:rPr>
          <w:spacing w:val="-3"/>
          <w:sz w:val="18"/>
        </w:rPr>
        <w:t xml:space="preserve"> </w:t>
      </w:r>
      <w:r>
        <w:rPr>
          <w:sz w:val="18"/>
        </w:rPr>
        <w:t>Communities</w:t>
      </w:r>
      <w:r>
        <w:rPr>
          <w:spacing w:val="-1"/>
          <w:sz w:val="18"/>
        </w:rPr>
        <w:t xml:space="preserve"> </w:t>
      </w:r>
      <w:r>
        <w:rPr>
          <w:sz w:val="18"/>
        </w:rPr>
        <w:t xml:space="preserve">Using Telehealth.” </w:t>
      </w:r>
      <w:r>
        <w:rPr>
          <w:i/>
          <w:sz w:val="18"/>
        </w:rPr>
        <w:t>Pediat</w:t>
      </w:r>
      <w:r>
        <w:rPr>
          <w:i/>
          <w:sz w:val="18"/>
        </w:rPr>
        <w:t xml:space="preserve">ric Research </w:t>
      </w:r>
      <w:r>
        <w:rPr>
          <w:sz w:val="18"/>
        </w:rPr>
        <w:t>79 (1-2): 169–76. https://doi.org/10.1038/pr.2015.192.</w:t>
      </w:r>
    </w:p>
    <w:p w:rsidR="00200FDA" w:rsidRDefault="00F76C4C">
      <w:pPr>
        <w:ind w:left="140" w:right="368" w:hanging="1"/>
        <w:jc w:val="both"/>
        <w:rPr>
          <w:sz w:val="18"/>
        </w:rPr>
      </w:pPr>
      <w:bookmarkStart w:id="520" w:name="_bookmark391"/>
      <w:bookmarkEnd w:id="520"/>
      <w:r>
        <w:rPr>
          <w:position w:val="5"/>
          <w:sz w:val="12"/>
        </w:rPr>
        <w:t>40</w:t>
      </w:r>
      <w:r>
        <w:rPr>
          <w:spacing w:val="11"/>
          <w:position w:val="5"/>
          <w:sz w:val="12"/>
        </w:rPr>
        <w:t xml:space="preserve"> </w:t>
      </w:r>
      <w:r>
        <w:rPr>
          <w:sz w:val="18"/>
        </w:rPr>
        <w:t>Marcin,</w:t>
      </w:r>
      <w:r>
        <w:rPr>
          <w:spacing w:val="-1"/>
          <w:sz w:val="18"/>
        </w:rPr>
        <w:t xml:space="preserve"> </w:t>
      </w:r>
      <w:r>
        <w:rPr>
          <w:sz w:val="18"/>
        </w:rPr>
        <w:t>J.</w:t>
      </w:r>
      <w:r>
        <w:rPr>
          <w:spacing w:val="-1"/>
          <w:sz w:val="18"/>
        </w:rPr>
        <w:t xml:space="preserve"> </w:t>
      </w:r>
      <w:r>
        <w:rPr>
          <w:sz w:val="18"/>
        </w:rPr>
        <w:t>P.,</w:t>
      </w:r>
      <w:r>
        <w:rPr>
          <w:spacing w:val="-1"/>
          <w:sz w:val="18"/>
        </w:rPr>
        <w:t xml:space="preserve"> </w:t>
      </w:r>
      <w:r>
        <w:rPr>
          <w:sz w:val="18"/>
        </w:rPr>
        <w:t>J.</w:t>
      </w:r>
      <w:r>
        <w:rPr>
          <w:spacing w:val="-1"/>
          <w:sz w:val="18"/>
        </w:rPr>
        <w:t xml:space="preserve"> </w:t>
      </w:r>
      <w:r>
        <w:rPr>
          <w:sz w:val="18"/>
        </w:rPr>
        <w:t>Ellis,</w:t>
      </w:r>
      <w:r>
        <w:rPr>
          <w:spacing w:val="-1"/>
          <w:sz w:val="18"/>
        </w:rPr>
        <w:t xml:space="preserve"> </w:t>
      </w:r>
      <w:r>
        <w:rPr>
          <w:sz w:val="18"/>
        </w:rPr>
        <w:t>R.</w:t>
      </w:r>
      <w:r>
        <w:rPr>
          <w:spacing w:val="-1"/>
          <w:sz w:val="18"/>
        </w:rPr>
        <w:t xml:space="preserve"> </w:t>
      </w:r>
      <w:r>
        <w:rPr>
          <w:sz w:val="18"/>
        </w:rPr>
        <w:t>Mawis,</w:t>
      </w:r>
      <w:r>
        <w:rPr>
          <w:spacing w:val="-1"/>
          <w:sz w:val="18"/>
        </w:rPr>
        <w:t xml:space="preserve"> </w:t>
      </w:r>
      <w:r>
        <w:rPr>
          <w:sz w:val="18"/>
        </w:rPr>
        <w:t>E.</w:t>
      </w:r>
      <w:r>
        <w:rPr>
          <w:spacing w:val="-4"/>
          <w:sz w:val="18"/>
        </w:rPr>
        <w:t xml:space="preserve"> </w:t>
      </w:r>
      <w:r>
        <w:rPr>
          <w:sz w:val="18"/>
        </w:rPr>
        <w:t>Nagrampa,</w:t>
      </w:r>
      <w:r>
        <w:rPr>
          <w:spacing w:val="-1"/>
          <w:sz w:val="18"/>
        </w:rPr>
        <w:t xml:space="preserve"> </w:t>
      </w:r>
      <w:r>
        <w:rPr>
          <w:sz w:val="18"/>
        </w:rPr>
        <w:t>T.</w:t>
      </w:r>
      <w:r>
        <w:rPr>
          <w:spacing w:val="-1"/>
          <w:sz w:val="18"/>
        </w:rPr>
        <w:t xml:space="preserve"> </w:t>
      </w:r>
      <w:r>
        <w:rPr>
          <w:sz w:val="18"/>
        </w:rPr>
        <w:t>S.</w:t>
      </w:r>
      <w:r>
        <w:rPr>
          <w:spacing w:val="-1"/>
          <w:sz w:val="18"/>
        </w:rPr>
        <w:t xml:space="preserve"> </w:t>
      </w:r>
      <w:r>
        <w:rPr>
          <w:sz w:val="18"/>
        </w:rPr>
        <w:t>Nesbitt,</w:t>
      </w:r>
      <w:r>
        <w:rPr>
          <w:spacing w:val="-1"/>
          <w:sz w:val="18"/>
        </w:rPr>
        <w:t xml:space="preserve"> </w:t>
      </w:r>
      <w:r>
        <w:rPr>
          <w:sz w:val="18"/>
        </w:rPr>
        <w:t>and</w:t>
      </w:r>
      <w:r>
        <w:rPr>
          <w:spacing w:val="-2"/>
          <w:sz w:val="18"/>
        </w:rPr>
        <w:t xml:space="preserve"> </w:t>
      </w:r>
      <w:r>
        <w:rPr>
          <w:sz w:val="18"/>
        </w:rPr>
        <w:t>R.</w:t>
      </w:r>
      <w:r>
        <w:rPr>
          <w:spacing w:val="-1"/>
          <w:sz w:val="18"/>
        </w:rPr>
        <w:t xml:space="preserve"> </w:t>
      </w:r>
      <w:r>
        <w:rPr>
          <w:sz w:val="18"/>
        </w:rPr>
        <w:t>J.</w:t>
      </w:r>
      <w:r>
        <w:rPr>
          <w:spacing w:val="-1"/>
          <w:sz w:val="18"/>
        </w:rPr>
        <w:t xml:space="preserve"> </w:t>
      </w:r>
      <w:r>
        <w:rPr>
          <w:sz w:val="18"/>
        </w:rPr>
        <w:t>Dimand.</w:t>
      </w:r>
      <w:r>
        <w:rPr>
          <w:spacing w:val="-1"/>
          <w:sz w:val="18"/>
        </w:rPr>
        <w:t xml:space="preserve"> </w:t>
      </w:r>
      <w:r>
        <w:rPr>
          <w:sz w:val="18"/>
        </w:rPr>
        <w:t>2003.</w:t>
      </w:r>
      <w:r>
        <w:rPr>
          <w:spacing w:val="-1"/>
          <w:sz w:val="18"/>
        </w:rPr>
        <w:t xml:space="preserve"> </w:t>
      </w:r>
      <w:r>
        <w:rPr>
          <w:sz w:val="18"/>
        </w:rPr>
        <w:t>“Using</w:t>
      </w:r>
      <w:r>
        <w:rPr>
          <w:spacing w:val="-2"/>
          <w:sz w:val="18"/>
        </w:rPr>
        <w:t xml:space="preserve"> </w:t>
      </w:r>
      <w:r>
        <w:rPr>
          <w:sz w:val="18"/>
        </w:rPr>
        <w:t>Telemedicine</w:t>
      </w:r>
      <w:r>
        <w:rPr>
          <w:spacing w:val="-2"/>
          <w:sz w:val="18"/>
        </w:rPr>
        <w:t xml:space="preserve"> </w:t>
      </w:r>
      <w:r>
        <w:rPr>
          <w:sz w:val="18"/>
        </w:rPr>
        <w:t>to Provide</w:t>
      </w:r>
      <w:r>
        <w:rPr>
          <w:spacing w:val="-2"/>
          <w:sz w:val="18"/>
        </w:rPr>
        <w:t xml:space="preserve"> </w:t>
      </w:r>
      <w:r>
        <w:rPr>
          <w:sz w:val="18"/>
        </w:rPr>
        <w:t>Pediatric Subspecialty</w:t>
      </w:r>
      <w:r>
        <w:rPr>
          <w:spacing w:val="-2"/>
          <w:sz w:val="18"/>
        </w:rPr>
        <w:t xml:space="preserve"> </w:t>
      </w:r>
      <w:r>
        <w:rPr>
          <w:sz w:val="18"/>
        </w:rPr>
        <w:t>Care</w:t>
      </w:r>
      <w:r>
        <w:rPr>
          <w:spacing w:val="-3"/>
          <w:sz w:val="18"/>
        </w:rPr>
        <w:t xml:space="preserve"> </w:t>
      </w:r>
      <w:r>
        <w:rPr>
          <w:sz w:val="18"/>
        </w:rPr>
        <w:t>to</w:t>
      </w:r>
      <w:r>
        <w:rPr>
          <w:spacing w:val="-1"/>
          <w:sz w:val="18"/>
        </w:rPr>
        <w:t xml:space="preserve"> </w:t>
      </w:r>
      <w:r>
        <w:rPr>
          <w:sz w:val="18"/>
        </w:rPr>
        <w:t>Children</w:t>
      </w:r>
      <w:r>
        <w:rPr>
          <w:spacing w:val="-3"/>
          <w:sz w:val="18"/>
        </w:rPr>
        <w:t xml:space="preserve"> </w:t>
      </w:r>
      <w:r>
        <w:rPr>
          <w:sz w:val="18"/>
        </w:rPr>
        <w:t>with</w:t>
      </w:r>
      <w:r>
        <w:rPr>
          <w:spacing w:val="-3"/>
          <w:sz w:val="18"/>
        </w:rPr>
        <w:t xml:space="preserve"> </w:t>
      </w:r>
      <w:r>
        <w:rPr>
          <w:sz w:val="18"/>
        </w:rPr>
        <w:t>Special</w:t>
      </w:r>
      <w:r>
        <w:rPr>
          <w:spacing w:val="-3"/>
          <w:sz w:val="18"/>
        </w:rPr>
        <w:t xml:space="preserve"> </w:t>
      </w:r>
      <w:r>
        <w:rPr>
          <w:sz w:val="18"/>
        </w:rPr>
        <w:t>Health</w:t>
      </w:r>
      <w:r>
        <w:rPr>
          <w:spacing w:val="-3"/>
          <w:sz w:val="18"/>
        </w:rPr>
        <w:t xml:space="preserve"> </w:t>
      </w:r>
      <w:r>
        <w:rPr>
          <w:sz w:val="18"/>
        </w:rPr>
        <w:t>Care</w:t>
      </w:r>
      <w:r>
        <w:rPr>
          <w:spacing w:val="-3"/>
          <w:sz w:val="18"/>
        </w:rPr>
        <w:t xml:space="preserve"> </w:t>
      </w:r>
      <w:r>
        <w:rPr>
          <w:sz w:val="18"/>
        </w:rPr>
        <w:t>Needs</w:t>
      </w:r>
      <w:r>
        <w:rPr>
          <w:spacing w:val="-1"/>
          <w:sz w:val="18"/>
        </w:rPr>
        <w:t xml:space="preserve"> </w:t>
      </w:r>
      <w:r>
        <w:rPr>
          <w:sz w:val="18"/>
        </w:rPr>
        <w:t>in</w:t>
      </w:r>
      <w:r>
        <w:rPr>
          <w:spacing w:val="-3"/>
          <w:sz w:val="18"/>
        </w:rPr>
        <w:t xml:space="preserve"> </w:t>
      </w:r>
      <w:r>
        <w:rPr>
          <w:sz w:val="18"/>
        </w:rPr>
        <w:t>an</w:t>
      </w:r>
      <w:r>
        <w:rPr>
          <w:spacing w:val="-1"/>
          <w:sz w:val="18"/>
        </w:rPr>
        <w:t xml:space="preserve"> </w:t>
      </w:r>
      <w:r>
        <w:rPr>
          <w:sz w:val="18"/>
        </w:rPr>
        <w:t>Underserved</w:t>
      </w:r>
      <w:r>
        <w:rPr>
          <w:spacing w:val="-3"/>
          <w:sz w:val="18"/>
        </w:rPr>
        <w:t xml:space="preserve"> </w:t>
      </w:r>
      <w:r>
        <w:rPr>
          <w:sz w:val="18"/>
        </w:rPr>
        <w:t>Rural</w:t>
      </w:r>
      <w:r>
        <w:rPr>
          <w:spacing w:val="-3"/>
          <w:sz w:val="18"/>
        </w:rPr>
        <w:t xml:space="preserve"> </w:t>
      </w:r>
      <w:r>
        <w:rPr>
          <w:sz w:val="18"/>
        </w:rPr>
        <w:t>Community.”</w:t>
      </w:r>
      <w:r>
        <w:rPr>
          <w:spacing w:val="-1"/>
          <w:sz w:val="18"/>
        </w:rPr>
        <w:t xml:space="preserve"> </w:t>
      </w:r>
      <w:r>
        <w:rPr>
          <w:i/>
          <w:sz w:val="18"/>
        </w:rPr>
        <w:t>PEDIATRICS</w:t>
      </w:r>
      <w:r>
        <w:rPr>
          <w:i/>
          <w:spacing w:val="-2"/>
          <w:sz w:val="18"/>
        </w:rPr>
        <w:t xml:space="preserve"> </w:t>
      </w:r>
      <w:r>
        <w:rPr>
          <w:sz w:val="18"/>
        </w:rPr>
        <w:t>113</w:t>
      </w:r>
      <w:r>
        <w:rPr>
          <w:spacing w:val="-2"/>
          <w:sz w:val="18"/>
        </w:rPr>
        <w:t xml:space="preserve"> </w:t>
      </w:r>
      <w:r>
        <w:rPr>
          <w:sz w:val="18"/>
        </w:rPr>
        <w:t>(1):</w:t>
      </w:r>
      <w:r>
        <w:rPr>
          <w:spacing w:val="-2"/>
          <w:sz w:val="18"/>
        </w:rPr>
        <w:t xml:space="preserve"> </w:t>
      </w:r>
      <w:r>
        <w:rPr>
          <w:sz w:val="18"/>
        </w:rPr>
        <w:t xml:space="preserve">1–6. </w:t>
      </w:r>
      <w:r>
        <w:rPr>
          <w:spacing w:val="-2"/>
          <w:sz w:val="18"/>
        </w:rPr>
        <w:t>https://doi.org/10.1542/peds.113.1.1.</w:t>
      </w:r>
    </w:p>
    <w:p w:rsidR="00200FDA" w:rsidRDefault="00F76C4C">
      <w:pPr>
        <w:ind w:left="140" w:hanging="1"/>
        <w:rPr>
          <w:sz w:val="18"/>
        </w:rPr>
      </w:pPr>
      <w:bookmarkStart w:id="521" w:name="_bookmark392"/>
      <w:bookmarkEnd w:id="521"/>
      <w:r>
        <w:rPr>
          <w:position w:val="5"/>
          <w:sz w:val="12"/>
        </w:rPr>
        <w:t>41</w:t>
      </w:r>
      <w:r>
        <w:rPr>
          <w:spacing w:val="9"/>
          <w:position w:val="5"/>
          <w:sz w:val="12"/>
        </w:rPr>
        <w:t xml:space="preserve"> </w:t>
      </w:r>
      <w:r>
        <w:rPr>
          <w:sz w:val="18"/>
        </w:rPr>
        <w:t>McGregor,</w:t>
      </w:r>
      <w:r>
        <w:rPr>
          <w:spacing w:val="-3"/>
          <w:sz w:val="18"/>
        </w:rPr>
        <w:t xml:space="preserve"> </w:t>
      </w:r>
      <w:r>
        <w:rPr>
          <w:sz w:val="18"/>
        </w:rPr>
        <w:t>Kerry,</w:t>
      </w:r>
      <w:r>
        <w:rPr>
          <w:spacing w:val="-3"/>
          <w:sz w:val="18"/>
        </w:rPr>
        <w:t xml:space="preserve"> </w:t>
      </w:r>
      <w:r>
        <w:rPr>
          <w:sz w:val="18"/>
        </w:rPr>
        <w:t>Coleen</w:t>
      </w:r>
      <w:r>
        <w:rPr>
          <w:spacing w:val="-4"/>
          <w:sz w:val="18"/>
        </w:rPr>
        <w:t xml:space="preserve"> </w:t>
      </w:r>
      <w:r>
        <w:rPr>
          <w:sz w:val="18"/>
        </w:rPr>
        <w:t>R</w:t>
      </w:r>
      <w:r>
        <w:rPr>
          <w:spacing w:val="-3"/>
          <w:sz w:val="18"/>
        </w:rPr>
        <w:t xml:space="preserve"> </w:t>
      </w:r>
      <w:r>
        <w:rPr>
          <w:sz w:val="18"/>
        </w:rPr>
        <w:t>Williams,</w:t>
      </w:r>
      <w:r>
        <w:rPr>
          <w:spacing w:val="-3"/>
          <w:sz w:val="18"/>
        </w:rPr>
        <w:t xml:space="preserve"> </w:t>
      </w:r>
      <w:r>
        <w:rPr>
          <w:sz w:val="18"/>
        </w:rPr>
        <w:t>Ariel</w:t>
      </w:r>
      <w:r>
        <w:rPr>
          <w:spacing w:val="-4"/>
          <w:sz w:val="18"/>
        </w:rPr>
        <w:t xml:space="preserve"> </w:t>
      </w:r>
      <w:r>
        <w:rPr>
          <w:sz w:val="18"/>
        </w:rPr>
        <w:t>Botta,</w:t>
      </w:r>
      <w:r>
        <w:rPr>
          <w:spacing w:val="-3"/>
          <w:sz w:val="18"/>
        </w:rPr>
        <w:t xml:space="preserve"> </w:t>
      </w:r>
      <w:r>
        <w:rPr>
          <w:sz w:val="18"/>
        </w:rPr>
        <w:t>Francie</w:t>
      </w:r>
      <w:r>
        <w:rPr>
          <w:spacing w:val="-4"/>
          <w:sz w:val="18"/>
        </w:rPr>
        <w:t xml:space="preserve"> </w:t>
      </w:r>
      <w:r>
        <w:rPr>
          <w:sz w:val="18"/>
        </w:rPr>
        <w:t>Mandel, and</w:t>
      </w:r>
      <w:r>
        <w:rPr>
          <w:spacing w:val="-4"/>
          <w:sz w:val="18"/>
        </w:rPr>
        <w:t xml:space="preserve"> </w:t>
      </w:r>
      <w:r>
        <w:rPr>
          <w:sz w:val="18"/>
        </w:rPr>
        <w:t>Jennifer</w:t>
      </w:r>
      <w:r>
        <w:rPr>
          <w:spacing w:val="-1"/>
          <w:sz w:val="18"/>
        </w:rPr>
        <w:t xml:space="preserve"> </w:t>
      </w:r>
      <w:r>
        <w:rPr>
          <w:sz w:val="18"/>
        </w:rPr>
        <w:t>Gentile.</w:t>
      </w:r>
      <w:r>
        <w:rPr>
          <w:spacing w:val="-3"/>
          <w:sz w:val="18"/>
        </w:rPr>
        <w:t xml:space="preserve"> </w:t>
      </w:r>
      <w:r>
        <w:rPr>
          <w:sz w:val="18"/>
        </w:rPr>
        <w:t>“Providing</w:t>
      </w:r>
      <w:r>
        <w:rPr>
          <w:spacing w:val="-4"/>
          <w:sz w:val="18"/>
        </w:rPr>
        <w:t xml:space="preserve"> </w:t>
      </w:r>
      <w:r>
        <w:rPr>
          <w:sz w:val="18"/>
        </w:rPr>
        <w:t>Essential</w:t>
      </w:r>
      <w:r>
        <w:rPr>
          <w:spacing w:val="-4"/>
          <w:sz w:val="18"/>
        </w:rPr>
        <w:t xml:space="preserve"> </w:t>
      </w:r>
      <w:r>
        <w:rPr>
          <w:sz w:val="18"/>
        </w:rPr>
        <w:t xml:space="preserve">Gender-Affirming Telehealth Services to Transgender Youth during COVID-19: A Service Review.” </w:t>
      </w:r>
      <w:r>
        <w:rPr>
          <w:i/>
          <w:sz w:val="18"/>
        </w:rPr>
        <w:t xml:space="preserve">Journal of Telemedicine and Telecare </w:t>
      </w:r>
      <w:r>
        <w:rPr>
          <w:sz w:val="18"/>
        </w:rPr>
        <w:t>29, no. 2 (2022): 147–52. https://doi.org/10.1177/1357633x221095785.</w:t>
      </w:r>
    </w:p>
    <w:p w:rsidR="00200FDA" w:rsidRDefault="00F76C4C">
      <w:pPr>
        <w:ind w:left="140" w:right="238" w:hanging="1"/>
        <w:rPr>
          <w:sz w:val="18"/>
        </w:rPr>
      </w:pPr>
      <w:bookmarkStart w:id="522" w:name="_bookmark393"/>
      <w:bookmarkEnd w:id="522"/>
      <w:r>
        <w:rPr>
          <w:position w:val="5"/>
          <w:sz w:val="12"/>
        </w:rPr>
        <w:t>42</w:t>
      </w:r>
      <w:r>
        <w:rPr>
          <w:spacing w:val="10"/>
          <w:position w:val="5"/>
          <w:sz w:val="12"/>
        </w:rPr>
        <w:t xml:space="preserve"> </w:t>
      </w:r>
      <w:r>
        <w:rPr>
          <w:sz w:val="18"/>
        </w:rPr>
        <w:t>Schoenberg,</w:t>
      </w:r>
      <w:r>
        <w:rPr>
          <w:spacing w:val="-2"/>
          <w:sz w:val="18"/>
        </w:rPr>
        <w:t xml:space="preserve"> </w:t>
      </w:r>
      <w:r>
        <w:rPr>
          <w:sz w:val="18"/>
        </w:rPr>
        <w:t>Shira.</w:t>
      </w:r>
      <w:r>
        <w:rPr>
          <w:spacing w:val="-2"/>
          <w:sz w:val="18"/>
        </w:rPr>
        <w:t xml:space="preserve"> </w:t>
      </w:r>
      <w:r>
        <w:rPr>
          <w:sz w:val="18"/>
        </w:rPr>
        <w:t>2022.</w:t>
      </w:r>
      <w:r>
        <w:rPr>
          <w:spacing w:val="-2"/>
          <w:sz w:val="18"/>
        </w:rPr>
        <w:t xml:space="preserve"> </w:t>
      </w:r>
      <w:r>
        <w:rPr>
          <w:sz w:val="18"/>
        </w:rPr>
        <w:t>“Early</w:t>
      </w:r>
      <w:r>
        <w:rPr>
          <w:spacing w:val="-1"/>
          <w:sz w:val="18"/>
        </w:rPr>
        <w:t xml:space="preserve"> </w:t>
      </w:r>
      <w:r>
        <w:rPr>
          <w:sz w:val="18"/>
        </w:rPr>
        <w:t>Data</w:t>
      </w:r>
      <w:r>
        <w:rPr>
          <w:spacing w:val="-2"/>
          <w:sz w:val="18"/>
        </w:rPr>
        <w:t xml:space="preserve"> </w:t>
      </w:r>
      <w:r>
        <w:rPr>
          <w:sz w:val="18"/>
        </w:rPr>
        <w:t>Finds</w:t>
      </w:r>
      <w:r>
        <w:rPr>
          <w:spacing w:val="-3"/>
          <w:sz w:val="18"/>
        </w:rPr>
        <w:t xml:space="preserve"> </w:t>
      </w:r>
      <w:r>
        <w:rPr>
          <w:sz w:val="18"/>
        </w:rPr>
        <w:t>Telehealth</w:t>
      </w:r>
      <w:r>
        <w:rPr>
          <w:spacing w:val="-3"/>
          <w:sz w:val="18"/>
        </w:rPr>
        <w:t xml:space="preserve"> </w:t>
      </w:r>
      <w:r>
        <w:rPr>
          <w:sz w:val="18"/>
        </w:rPr>
        <w:t>Is</w:t>
      </w:r>
      <w:r>
        <w:rPr>
          <w:spacing w:val="-3"/>
          <w:sz w:val="18"/>
        </w:rPr>
        <w:t xml:space="preserve"> </w:t>
      </w:r>
      <w:r>
        <w:rPr>
          <w:sz w:val="18"/>
        </w:rPr>
        <w:t>Largely</w:t>
      </w:r>
      <w:r>
        <w:rPr>
          <w:spacing w:val="-2"/>
          <w:sz w:val="18"/>
        </w:rPr>
        <w:t xml:space="preserve"> </w:t>
      </w:r>
      <w:r>
        <w:rPr>
          <w:sz w:val="18"/>
        </w:rPr>
        <w:t>Cost</w:t>
      </w:r>
      <w:r>
        <w:rPr>
          <w:spacing w:val="-3"/>
          <w:sz w:val="18"/>
        </w:rPr>
        <w:t xml:space="preserve"> </w:t>
      </w:r>
      <w:r>
        <w:rPr>
          <w:sz w:val="18"/>
        </w:rPr>
        <w:t>Neutral.”</w:t>
      </w:r>
      <w:r>
        <w:rPr>
          <w:spacing w:val="-3"/>
          <w:sz w:val="18"/>
        </w:rPr>
        <w:t xml:space="preserve"> </w:t>
      </w:r>
      <w:r>
        <w:rPr>
          <w:sz w:val="18"/>
        </w:rPr>
        <w:t>CommonWealth</w:t>
      </w:r>
      <w:r>
        <w:rPr>
          <w:spacing w:val="-3"/>
          <w:sz w:val="18"/>
        </w:rPr>
        <w:t xml:space="preserve"> </w:t>
      </w:r>
      <w:r>
        <w:rPr>
          <w:sz w:val="18"/>
        </w:rPr>
        <w:t>Magazine.</w:t>
      </w:r>
      <w:r>
        <w:rPr>
          <w:spacing w:val="-2"/>
          <w:sz w:val="18"/>
        </w:rPr>
        <w:t xml:space="preserve"> </w:t>
      </w:r>
      <w:r>
        <w:rPr>
          <w:sz w:val="18"/>
        </w:rPr>
        <w:t>October</w:t>
      </w:r>
      <w:r>
        <w:rPr>
          <w:spacing w:val="-3"/>
          <w:sz w:val="18"/>
        </w:rPr>
        <w:t xml:space="preserve"> </w:t>
      </w:r>
      <w:r>
        <w:rPr>
          <w:sz w:val="18"/>
        </w:rPr>
        <w:t>12,</w:t>
      </w:r>
      <w:r>
        <w:rPr>
          <w:spacing w:val="-2"/>
          <w:sz w:val="18"/>
        </w:rPr>
        <w:t xml:space="preserve"> </w:t>
      </w:r>
      <w:r>
        <w:rPr>
          <w:sz w:val="18"/>
        </w:rPr>
        <w:t xml:space="preserve">2022. </w:t>
      </w:r>
      <w:r>
        <w:rPr>
          <w:spacing w:val="-2"/>
          <w:sz w:val="18"/>
        </w:rPr>
        <w:t>https://commonwealthmagazine.org/health-care/early-data-finds-telehealth-is-largely-cost-neutral/.</w:t>
      </w:r>
    </w:p>
    <w:p w:rsidR="00200FDA" w:rsidRDefault="00F76C4C">
      <w:pPr>
        <w:ind w:left="140" w:right="144"/>
        <w:rPr>
          <w:sz w:val="18"/>
        </w:rPr>
      </w:pPr>
      <w:bookmarkStart w:id="523" w:name="_bookmark394"/>
      <w:bookmarkEnd w:id="523"/>
      <w:r>
        <w:rPr>
          <w:position w:val="5"/>
          <w:sz w:val="12"/>
        </w:rPr>
        <w:t>43</w:t>
      </w:r>
      <w:r>
        <w:rPr>
          <w:spacing w:val="18"/>
          <w:position w:val="5"/>
          <w:sz w:val="12"/>
        </w:rPr>
        <w:t xml:space="preserve"> </w:t>
      </w:r>
      <w:r>
        <w:rPr>
          <w:sz w:val="18"/>
        </w:rPr>
        <w:t>Gridley SJ, Crouch JM, Evans Y, Eng W, Antoon E, Lyapustina M, Schimmel-Bristow A, Woo</w:t>
      </w:r>
      <w:r>
        <w:rPr>
          <w:sz w:val="18"/>
        </w:rPr>
        <w:t>dward J, Dundon K, Schaff R, McCarty</w:t>
      </w:r>
      <w:r>
        <w:rPr>
          <w:spacing w:val="-2"/>
          <w:sz w:val="18"/>
        </w:rPr>
        <w:t xml:space="preserve"> </w:t>
      </w:r>
      <w:r>
        <w:rPr>
          <w:sz w:val="18"/>
        </w:rPr>
        <w:t>C,</w:t>
      </w:r>
      <w:r>
        <w:rPr>
          <w:spacing w:val="-2"/>
          <w:sz w:val="18"/>
        </w:rPr>
        <w:t xml:space="preserve"> </w:t>
      </w:r>
      <w:r>
        <w:rPr>
          <w:sz w:val="18"/>
        </w:rPr>
        <w:t>Ahrens</w:t>
      </w:r>
      <w:r>
        <w:rPr>
          <w:spacing w:val="-3"/>
          <w:sz w:val="18"/>
        </w:rPr>
        <w:t xml:space="preserve"> </w:t>
      </w:r>
      <w:r>
        <w:rPr>
          <w:sz w:val="18"/>
        </w:rPr>
        <w:t>K,</w:t>
      </w:r>
      <w:r>
        <w:rPr>
          <w:spacing w:val="-2"/>
          <w:sz w:val="18"/>
        </w:rPr>
        <w:t xml:space="preserve"> </w:t>
      </w:r>
      <w:r>
        <w:rPr>
          <w:sz w:val="18"/>
        </w:rPr>
        <w:t>Breland</w:t>
      </w:r>
      <w:r>
        <w:rPr>
          <w:spacing w:val="-1"/>
          <w:sz w:val="18"/>
        </w:rPr>
        <w:t xml:space="preserve"> </w:t>
      </w:r>
      <w:r>
        <w:rPr>
          <w:sz w:val="18"/>
        </w:rPr>
        <w:t>DJ.</w:t>
      </w:r>
      <w:r>
        <w:rPr>
          <w:spacing w:val="-2"/>
          <w:sz w:val="18"/>
        </w:rPr>
        <w:t xml:space="preserve"> </w:t>
      </w:r>
      <w:r>
        <w:rPr>
          <w:sz w:val="18"/>
        </w:rPr>
        <w:t>Youth</w:t>
      </w:r>
      <w:r>
        <w:rPr>
          <w:spacing w:val="-3"/>
          <w:sz w:val="18"/>
        </w:rPr>
        <w:t xml:space="preserve"> </w:t>
      </w:r>
      <w:r>
        <w:rPr>
          <w:sz w:val="18"/>
        </w:rPr>
        <w:t>and</w:t>
      </w:r>
      <w:r>
        <w:rPr>
          <w:spacing w:val="-3"/>
          <w:sz w:val="18"/>
        </w:rPr>
        <w:t xml:space="preserve"> </w:t>
      </w:r>
      <w:r>
        <w:rPr>
          <w:sz w:val="18"/>
        </w:rPr>
        <w:t>Caregiver</w:t>
      </w:r>
      <w:r>
        <w:rPr>
          <w:spacing w:val="-3"/>
          <w:sz w:val="18"/>
        </w:rPr>
        <w:t xml:space="preserve"> </w:t>
      </w:r>
      <w:r>
        <w:rPr>
          <w:sz w:val="18"/>
        </w:rPr>
        <w:t>Perspectives</w:t>
      </w:r>
      <w:r>
        <w:rPr>
          <w:spacing w:val="-1"/>
          <w:sz w:val="18"/>
        </w:rPr>
        <w:t xml:space="preserve"> </w:t>
      </w:r>
      <w:r>
        <w:rPr>
          <w:sz w:val="18"/>
        </w:rPr>
        <w:t>on</w:t>
      </w:r>
      <w:r>
        <w:rPr>
          <w:spacing w:val="-3"/>
          <w:sz w:val="18"/>
        </w:rPr>
        <w:t xml:space="preserve"> </w:t>
      </w:r>
      <w:r>
        <w:rPr>
          <w:sz w:val="18"/>
        </w:rPr>
        <w:t>Barriers</w:t>
      </w:r>
      <w:r>
        <w:rPr>
          <w:spacing w:val="-3"/>
          <w:sz w:val="18"/>
        </w:rPr>
        <w:t xml:space="preserve"> </w:t>
      </w:r>
      <w:r>
        <w:rPr>
          <w:sz w:val="18"/>
        </w:rPr>
        <w:t>to</w:t>
      </w:r>
      <w:r>
        <w:rPr>
          <w:spacing w:val="-1"/>
          <w:sz w:val="18"/>
        </w:rPr>
        <w:t xml:space="preserve"> </w:t>
      </w:r>
      <w:r>
        <w:rPr>
          <w:sz w:val="18"/>
        </w:rPr>
        <w:t>Gender-Affirming</w:t>
      </w:r>
      <w:r>
        <w:rPr>
          <w:spacing w:val="-2"/>
          <w:sz w:val="18"/>
        </w:rPr>
        <w:t xml:space="preserve"> </w:t>
      </w:r>
      <w:r>
        <w:rPr>
          <w:sz w:val="18"/>
        </w:rPr>
        <w:t>Health</w:t>
      </w:r>
      <w:r>
        <w:rPr>
          <w:spacing w:val="-3"/>
          <w:sz w:val="18"/>
        </w:rPr>
        <w:t xml:space="preserve"> </w:t>
      </w:r>
      <w:r>
        <w:rPr>
          <w:sz w:val="18"/>
        </w:rPr>
        <w:t>Care</w:t>
      </w:r>
      <w:r>
        <w:rPr>
          <w:spacing w:val="-3"/>
          <w:sz w:val="18"/>
        </w:rPr>
        <w:t xml:space="preserve"> </w:t>
      </w:r>
      <w:r>
        <w:rPr>
          <w:sz w:val="18"/>
        </w:rPr>
        <w:t>for</w:t>
      </w:r>
      <w:r>
        <w:rPr>
          <w:spacing w:val="-3"/>
          <w:sz w:val="18"/>
        </w:rPr>
        <w:t xml:space="preserve"> </w:t>
      </w:r>
      <w:r>
        <w:rPr>
          <w:sz w:val="18"/>
        </w:rPr>
        <w:t xml:space="preserve">Transgender Youth. J Adolesc Health. 2016 Sep;59(3):254-261. doi: 10.1016/j.jadohealth.2016.03.017. Epub 2016 May 24. PMID: 27235374. </w:t>
      </w:r>
      <w:bookmarkStart w:id="524" w:name="_bookmark395"/>
      <w:bookmarkEnd w:id="524"/>
      <w:r>
        <w:rPr>
          <w:position w:val="5"/>
          <w:sz w:val="12"/>
        </w:rPr>
        <w:t>44</w:t>
      </w:r>
      <w:r>
        <w:rPr>
          <w:spacing w:val="18"/>
          <w:position w:val="5"/>
          <w:sz w:val="12"/>
        </w:rPr>
        <w:t xml:space="preserve"> </w:t>
      </w:r>
      <w:r>
        <w:rPr>
          <w:sz w:val="18"/>
        </w:rPr>
        <w:t>Reisner, Sari &amp; Benyishay, Matan &amp; Stott, Brooke &amp; Vedilago, Virginia &amp; Almazan, Anthony &amp; Keuroghlian, Alex. (2021).</w:t>
      </w:r>
    </w:p>
    <w:p w:rsidR="00200FDA" w:rsidRDefault="00F76C4C">
      <w:pPr>
        <w:ind w:left="140"/>
        <w:rPr>
          <w:sz w:val="18"/>
        </w:rPr>
      </w:pPr>
      <w:r>
        <w:rPr>
          <w:sz w:val="18"/>
        </w:rPr>
        <w:t>G</w:t>
      </w:r>
      <w:r>
        <w:rPr>
          <w:sz w:val="18"/>
        </w:rPr>
        <w:t>ender-Affirming</w:t>
      </w:r>
      <w:r>
        <w:rPr>
          <w:spacing w:val="-3"/>
          <w:sz w:val="18"/>
        </w:rPr>
        <w:t xml:space="preserve"> </w:t>
      </w:r>
      <w:r>
        <w:rPr>
          <w:sz w:val="18"/>
        </w:rPr>
        <w:t>Mental</w:t>
      </w:r>
      <w:r>
        <w:rPr>
          <w:spacing w:val="-3"/>
          <w:sz w:val="18"/>
        </w:rPr>
        <w:t xml:space="preserve"> </w:t>
      </w:r>
      <w:r>
        <w:rPr>
          <w:sz w:val="18"/>
        </w:rPr>
        <w:t>Health</w:t>
      </w:r>
      <w:r>
        <w:rPr>
          <w:spacing w:val="-1"/>
          <w:sz w:val="18"/>
        </w:rPr>
        <w:t xml:space="preserve"> </w:t>
      </w:r>
      <w:r>
        <w:rPr>
          <w:sz w:val="18"/>
        </w:rPr>
        <w:t>Care</w:t>
      </w:r>
      <w:r>
        <w:rPr>
          <w:spacing w:val="-3"/>
          <w:sz w:val="18"/>
        </w:rPr>
        <w:t xml:space="preserve"> </w:t>
      </w:r>
      <w:r>
        <w:rPr>
          <w:sz w:val="18"/>
        </w:rPr>
        <w:t>Access</w:t>
      </w:r>
      <w:r>
        <w:rPr>
          <w:spacing w:val="-3"/>
          <w:sz w:val="18"/>
        </w:rPr>
        <w:t xml:space="preserve"> </w:t>
      </w:r>
      <w:r>
        <w:rPr>
          <w:sz w:val="18"/>
        </w:rPr>
        <w:t>and</w:t>
      </w:r>
      <w:r>
        <w:rPr>
          <w:spacing w:val="-3"/>
          <w:sz w:val="18"/>
        </w:rPr>
        <w:t xml:space="preserve"> </w:t>
      </w:r>
      <w:r>
        <w:rPr>
          <w:sz w:val="18"/>
        </w:rPr>
        <w:t>Utilization</w:t>
      </w:r>
      <w:r>
        <w:rPr>
          <w:spacing w:val="-3"/>
          <w:sz w:val="18"/>
        </w:rPr>
        <w:t xml:space="preserve"> </w:t>
      </w:r>
      <w:r>
        <w:rPr>
          <w:sz w:val="18"/>
        </w:rPr>
        <w:t>Among</w:t>
      </w:r>
      <w:r>
        <w:rPr>
          <w:spacing w:val="-3"/>
          <w:sz w:val="18"/>
        </w:rPr>
        <w:t xml:space="preserve"> </w:t>
      </w:r>
      <w:r>
        <w:rPr>
          <w:sz w:val="18"/>
        </w:rPr>
        <w:t>Rural</w:t>
      </w:r>
      <w:r>
        <w:rPr>
          <w:spacing w:val="-3"/>
          <w:sz w:val="18"/>
        </w:rPr>
        <w:t xml:space="preserve"> </w:t>
      </w:r>
      <w:r>
        <w:rPr>
          <w:sz w:val="18"/>
        </w:rPr>
        <w:t>Transgender</w:t>
      </w:r>
      <w:r>
        <w:rPr>
          <w:spacing w:val="-3"/>
          <w:sz w:val="18"/>
        </w:rPr>
        <w:t xml:space="preserve"> </w:t>
      </w:r>
      <w:r>
        <w:rPr>
          <w:sz w:val="18"/>
        </w:rPr>
        <w:t>and</w:t>
      </w:r>
      <w:r>
        <w:rPr>
          <w:spacing w:val="-3"/>
          <w:sz w:val="18"/>
        </w:rPr>
        <w:t xml:space="preserve"> </w:t>
      </w:r>
      <w:r>
        <w:rPr>
          <w:sz w:val="18"/>
        </w:rPr>
        <w:t>Gender</w:t>
      </w:r>
      <w:r>
        <w:rPr>
          <w:spacing w:val="-3"/>
          <w:sz w:val="18"/>
        </w:rPr>
        <w:t xml:space="preserve"> </w:t>
      </w:r>
      <w:r>
        <w:rPr>
          <w:sz w:val="18"/>
        </w:rPr>
        <w:t>Diverse</w:t>
      </w:r>
      <w:r>
        <w:rPr>
          <w:spacing w:val="-1"/>
          <w:sz w:val="18"/>
        </w:rPr>
        <w:t xml:space="preserve"> </w:t>
      </w:r>
      <w:r>
        <w:rPr>
          <w:sz w:val="18"/>
        </w:rPr>
        <w:t>Adults</w:t>
      </w:r>
      <w:r>
        <w:rPr>
          <w:spacing w:val="-3"/>
          <w:sz w:val="18"/>
        </w:rPr>
        <w:t xml:space="preserve"> </w:t>
      </w:r>
      <w:r>
        <w:rPr>
          <w:sz w:val="18"/>
        </w:rPr>
        <w:t>in</w:t>
      </w:r>
      <w:r>
        <w:rPr>
          <w:spacing w:val="-3"/>
          <w:sz w:val="18"/>
        </w:rPr>
        <w:t xml:space="preserve"> </w:t>
      </w:r>
      <w:r>
        <w:rPr>
          <w:sz w:val="18"/>
        </w:rPr>
        <w:t>Five Northeastern U.S. States. Transgender Health. 7. 10.1089/trgh.2021.0010.</w:t>
      </w:r>
    </w:p>
    <w:p w:rsidR="00200FDA" w:rsidRDefault="00F76C4C">
      <w:pPr>
        <w:ind w:left="140" w:right="218" w:hanging="1"/>
        <w:rPr>
          <w:sz w:val="18"/>
        </w:rPr>
      </w:pPr>
      <w:bookmarkStart w:id="525" w:name="_bookmark396"/>
      <w:bookmarkEnd w:id="525"/>
      <w:r>
        <w:rPr>
          <w:position w:val="5"/>
          <w:sz w:val="12"/>
        </w:rPr>
        <w:t>45</w:t>
      </w:r>
      <w:r>
        <w:rPr>
          <w:spacing w:val="9"/>
          <w:position w:val="5"/>
          <w:sz w:val="12"/>
        </w:rPr>
        <w:t xml:space="preserve"> </w:t>
      </w:r>
      <w:r>
        <w:rPr>
          <w:sz w:val="18"/>
        </w:rPr>
        <w:t>Nowaskie,</w:t>
      </w:r>
      <w:r>
        <w:rPr>
          <w:spacing w:val="-3"/>
          <w:sz w:val="18"/>
        </w:rPr>
        <w:t xml:space="preserve"> </w:t>
      </w:r>
      <w:r>
        <w:rPr>
          <w:sz w:val="18"/>
        </w:rPr>
        <w:t>Dustin</w:t>
      </w:r>
      <w:r>
        <w:rPr>
          <w:spacing w:val="-4"/>
          <w:sz w:val="18"/>
        </w:rPr>
        <w:t xml:space="preserve"> </w:t>
      </w:r>
      <w:r>
        <w:rPr>
          <w:sz w:val="18"/>
        </w:rPr>
        <w:t>Z.,</w:t>
      </w:r>
      <w:r>
        <w:rPr>
          <w:spacing w:val="-3"/>
          <w:sz w:val="18"/>
        </w:rPr>
        <w:t xml:space="preserve"> </w:t>
      </w:r>
      <w:r>
        <w:rPr>
          <w:sz w:val="18"/>
        </w:rPr>
        <w:t>and</w:t>
      </w:r>
      <w:r>
        <w:rPr>
          <w:spacing w:val="-4"/>
          <w:sz w:val="18"/>
        </w:rPr>
        <w:t xml:space="preserve"> </w:t>
      </w:r>
      <w:r>
        <w:rPr>
          <w:sz w:val="18"/>
        </w:rPr>
        <w:t>John</w:t>
      </w:r>
      <w:r>
        <w:rPr>
          <w:spacing w:val="-2"/>
          <w:sz w:val="18"/>
        </w:rPr>
        <w:t xml:space="preserve"> </w:t>
      </w:r>
      <w:r>
        <w:rPr>
          <w:sz w:val="18"/>
        </w:rPr>
        <w:t>S.</w:t>
      </w:r>
      <w:r>
        <w:rPr>
          <w:spacing w:val="-1"/>
          <w:sz w:val="18"/>
        </w:rPr>
        <w:t xml:space="preserve"> </w:t>
      </w:r>
      <w:r>
        <w:rPr>
          <w:sz w:val="18"/>
        </w:rPr>
        <w:t>Sowinski.</w:t>
      </w:r>
      <w:r>
        <w:rPr>
          <w:spacing w:val="-3"/>
          <w:sz w:val="18"/>
        </w:rPr>
        <w:t xml:space="preserve"> </w:t>
      </w:r>
      <w:r>
        <w:rPr>
          <w:sz w:val="18"/>
        </w:rPr>
        <w:t>2018.</w:t>
      </w:r>
      <w:r>
        <w:rPr>
          <w:spacing w:val="-3"/>
          <w:sz w:val="18"/>
        </w:rPr>
        <w:t xml:space="preserve"> </w:t>
      </w:r>
      <w:r>
        <w:rPr>
          <w:sz w:val="18"/>
        </w:rPr>
        <w:t>“Primary</w:t>
      </w:r>
      <w:r>
        <w:rPr>
          <w:spacing w:val="-3"/>
          <w:sz w:val="18"/>
        </w:rPr>
        <w:t xml:space="preserve"> </w:t>
      </w:r>
      <w:r>
        <w:rPr>
          <w:sz w:val="18"/>
        </w:rPr>
        <w:t>Care</w:t>
      </w:r>
      <w:r>
        <w:rPr>
          <w:spacing w:val="-4"/>
          <w:sz w:val="18"/>
        </w:rPr>
        <w:t xml:space="preserve"> </w:t>
      </w:r>
      <w:r>
        <w:rPr>
          <w:sz w:val="18"/>
        </w:rPr>
        <w:t>P</w:t>
      </w:r>
      <w:r>
        <w:rPr>
          <w:sz w:val="18"/>
        </w:rPr>
        <w:t>roviders’</w:t>
      </w:r>
      <w:r>
        <w:rPr>
          <w:spacing w:val="-3"/>
          <w:sz w:val="18"/>
        </w:rPr>
        <w:t xml:space="preserve"> </w:t>
      </w:r>
      <w:r>
        <w:rPr>
          <w:sz w:val="18"/>
        </w:rPr>
        <w:t>Attitudes,</w:t>
      </w:r>
      <w:r>
        <w:rPr>
          <w:spacing w:val="-3"/>
          <w:sz w:val="18"/>
        </w:rPr>
        <w:t xml:space="preserve"> </w:t>
      </w:r>
      <w:r>
        <w:rPr>
          <w:sz w:val="18"/>
        </w:rPr>
        <w:t>Practices,</w:t>
      </w:r>
      <w:r>
        <w:rPr>
          <w:spacing w:val="-3"/>
          <w:sz w:val="18"/>
        </w:rPr>
        <w:t xml:space="preserve"> </w:t>
      </w:r>
      <w:r>
        <w:rPr>
          <w:sz w:val="18"/>
        </w:rPr>
        <w:t>and</w:t>
      </w:r>
      <w:r>
        <w:rPr>
          <w:spacing w:val="-2"/>
          <w:sz w:val="18"/>
        </w:rPr>
        <w:t xml:space="preserve"> </w:t>
      </w:r>
      <w:r>
        <w:rPr>
          <w:sz w:val="18"/>
        </w:rPr>
        <w:t>Knowledge</w:t>
      </w:r>
      <w:r>
        <w:rPr>
          <w:spacing w:val="-4"/>
          <w:sz w:val="18"/>
        </w:rPr>
        <w:t xml:space="preserve"> </w:t>
      </w:r>
      <w:r>
        <w:rPr>
          <w:sz w:val="18"/>
        </w:rPr>
        <w:t>in</w:t>
      </w:r>
      <w:r>
        <w:rPr>
          <w:spacing w:val="-4"/>
          <w:sz w:val="18"/>
        </w:rPr>
        <w:t xml:space="preserve"> </w:t>
      </w:r>
      <w:r>
        <w:rPr>
          <w:sz w:val="18"/>
        </w:rPr>
        <w:t>Treating LGBTQ Communities.” Journal of Homosexuality 66 (13): 1927–47. https://doi.org/10.1080/00918369.2018.1519304.</w:t>
      </w:r>
    </w:p>
    <w:p w:rsidR="00200FDA" w:rsidRDefault="00F76C4C">
      <w:pPr>
        <w:ind w:left="140" w:right="139" w:hanging="1"/>
        <w:rPr>
          <w:sz w:val="18"/>
        </w:rPr>
      </w:pPr>
      <w:bookmarkStart w:id="526" w:name="_bookmark397"/>
      <w:bookmarkEnd w:id="526"/>
      <w:r>
        <w:rPr>
          <w:position w:val="5"/>
          <w:sz w:val="12"/>
        </w:rPr>
        <w:t>46</w:t>
      </w:r>
      <w:r>
        <w:rPr>
          <w:spacing w:val="10"/>
          <w:position w:val="5"/>
          <w:sz w:val="12"/>
        </w:rPr>
        <w:t xml:space="preserve"> </w:t>
      </w:r>
      <w:r>
        <w:rPr>
          <w:sz w:val="18"/>
        </w:rPr>
        <w:t>Vance,</w:t>
      </w:r>
      <w:r>
        <w:rPr>
          <w:spacing w:val="-2"/>
          <w:sz w:val="18"/>
        </w:rPr>
        <w:t xml:space="preserve"> </w:t>
      </w:r>
      <w:r>
        <w:rPr>
          <w:sz w:val="18"/>
        </w:rPr>
        <w:t>Stanley</w:t>
      </w:r>
      <w:r>
        <w:rPr>
          <w:spacing w:val="-3"/>
          <w:sz w:val="18"/>
        </w:rPr>
        <w:t xml:space="preserve"> </w:t>
      </w:r>
      <w:r>
        <w:rPr>
          <w:sz w:val="18"/>
        </w:rPr>
        <w:t>R.,</w:t>
      </w:r>
      <w:r>
        <w:rPr>
          <w:spacing w:val="-2"/>
          <w:sz w:val="18"/>
        </w:rPr>
        <w:t xml:space="preserve"> </w:t>
      </w:r>
      <w:r>
        <w:rPr>
          <w:sz w:val="18"/>
        </w:rPr>
        <w:t>Bonnie</w:t>
      </w:r>
      <w:r>
        <w:rPr>
          <w:spacing w:val="-3"/>
          <w:sz w:val="18"/>
        </w:rPr>
        <w:t xml:space="preserve"> </w:t>
      </w:r>
      <w:r>
        <w:rPr>
          <w:sz w:val="18"/>
        </w:rPr>
        <w:t>L.</w:t>
      </w:r>
      <w:r>
        <w:rPr>
          <w:spacing w:val="-2"/>
          <w:sz w:val="18"/>
        </w:rPr>
        <w:t xml:space="preserve"> </w:t>
      </w:r>
      <w:r>
        <w:rPr>
          <w:sz w:val="18"/>
        </w:rPr>
        <w:t>Halpern-Felsher,</w:t>
      </w:r>
      <w:r>
        <w:rPr>
          <w:spacing w:val="-3"/>
          <w:sz w:val="18"/>
        </w:rPr>
        <w:t xml:space="preserve"> </w:t>
      </w:r>
      <w:r>
        <w:rPr>
          <w:sz w:val="18"/>
        </w:rPr>
        <w:t>and</w:t>
      </w:r>
      <w:r>
        <w:rPr>
          <w:spacing w:val="-2"/>
          <w:sz w:val="18"/>
        </w:rPr>
        <w:t xml:space="preserve"> </w:t>
      </w:r>
      <w:r>
        <w:rPr>
          <w:sz w:val="18"/>
        </w:rPr>
        <w:t>Stephen</w:t>
      </w:r>
      <w:r>
        <w:rPr>
          <w:spacing w:val="-3"/>
          <w:sz w:val="18"/>
        </w:rPr>
        <w:t xml:space="preserve"> </w:t>
      </w:r>
      <w:r>
        <w:rPr>
          <w:sz w:val="18"/>
        </w:rPr>
        <w:t>M.</w:t>
      </w:r>
      <w:r>
        <w:rPr>
          <w:spacing w:val="-2"/>
          <w:sz w:val="18"/>
        </w:rPr>
        <w:t xml:space="preserve"> </w:t>
      </w:r>
      <w:r>
        <w:rPr>
          <w:sz w:val="18"/>
        </w:rPr>
        <w:t>Rosenthal.</w:t>
      </w:r>
      <w:r>
        <w:rPr>
          <w:spacing w:val="-3"/>
          <w:sz w:val="18"/>
        </w:rPr>
        <w:t xml:space="preserve"> </w:t>
      </w:r>
      <w:r>
        <w:rPr>
          <w:sz w:val="18"/>
        </w:rPr>
        <w:t>2015.</w:t>
      </w:r>
      <w:r>
        <w:rPr>
          <w:spacing w:val="-1"/>
          <w:sz w:val="18"/>
        </w:rPr>
        <w:t xml:space="preserve"> </w:t>
      </w:r>
      <w:r>
        <w:rPr>
          <w:sz w:val="18"/>
        </w:rPr>
        <w:t>“Health</w:t>
      </w:r>
      <w:r>
        <w:rPr>
          <w:spacing w:val="-3"/>
          <w:sz w:val="18"/>
        </w:rPr>
        <w:t xml:space="preserve"> </w:t>
      </w:r>
      <w:r>
        <w:rPr>
          <w:sz w:val="18"/>
        </w:rPr>
        <w:t>Care</w:t>
      </w:r>
      <w:r>
        <w:rPr>
          <w:spacing w:val="-3"/>
          <w:sz w:val="18"/>
        </w:rPr>
        <w:t xml:space="preserve"> </w:t>
      </w:r>
      <w:r>
        <w:rPr>
          <w:sz w:val="18"/>
        </w:rPr>
        <w:t>Providers’</w:t>
      </w:r>
      <w:r>
        <w:rPr>
          <w:spacing w:val="-2"/>
          <w:sz w:val="18"/>
        </w:rPr>
        <w:t xml:space="preserve"> </w:t>
      </w:r>
      <w:r>
        <w:rPr>
          <w:sz w:val="18"/>
        </w:rPr>
        <w:t>Comfort</w:t>
      </w:r>
      <w:r>
        <w:rPr>
          <w:spacing w:val="-3"/>
          <w:sz w:val="18"/>
        </w:rPr>
        <w:t xml:space="preserve"> </w:t>
      </w:r>
      <w:r>
        <w:rPr>
          <w:sz w:val="18"/>
        </w:rPr>
        <w:t>with</w:t>
      </w:r>
      <w:r>
        <w:rPr>
          <w:spacing w:val="-3"/>
          <w:sz w:val="18"/>
        </w:rPr>
        <w:t xml:space="preserve"> </w:t>
      </w:r>
      <w:r>
        <w:rPr>
          <w:sz w:val="18"/>
        </w:rPr>
        <w:t xml:space="preserve">and Barriers to Care of Transgender Youth.” </w:t>
      </w:r>
      <w:r>
        <w:rPr>
          <w:i/>
          <w:sz w:val="18"/>
        </w:rPr>
        <w:t xml:space="preserve">Journal of Adolescent Health </w:t>
      </w:r>
      <w:r>
        <w:rPr>
          <w:sz w:val="18"/>
        </w:rPr>
        <w:t xml:space="preserve">56 (2): 251–53. </w:t>
      </w:r>
      <w:r>
        <w:rPr>
          <w:spacing w:val="-2"/>
          <w:sz w:val="18"/>
        </w:rPr>
        <w:t>https://doi.org/10.1016/j.jadohealth.2014.11.002.</w:t>
      </w:r>
    </w:p>
    <w:p w:rsidR="00200FDA" w:rsidRDefault="00F76C4C">
      <w:pPr>
        <w:ind w:left="140" w:right="461" w:hanging="1"/>
        <w:rPr>
          <w:sz w:val="18"/>
        </w:rPr>
      </w:pPr>
      <w:bookmarkStart w:id="527" w:name="_bookmark398"/>
      <w:bookmarkEnd w:id="527"/>
      <w:r>
        <w:rPr>
          <w:position w:val="5"/>
          <w:sz w:val="12"/>
        </w:rPr>
        <w:t>47</w:t>
      </w:r>
      <w:r>
        <w:rPr>
          <w:spacing w:val="10"/>
          <w:position w:val="5"/>
          <w:sz w:val="12"/>
        </w:rPr>
        <w:t xml:space="preserve"> </w:t>
      </w:r>
      <w:r>
        <w:rPr>
          <w:sz w:val="18"/>
        </w:rPr>
        <w:t>Medina,</w:t>
      </w:r>
      <w:r>
        <w:rPr>
          <w:spacing w:val="-3"/>
          <w:sz w:val="18"/>
        </w:rPr>
        <w:t xml:space="preserve"> </w:t>
      </w:r>
      <w:r>
        <w:rPr>
          <w:sz w:val="18"/>
        </w:rPr>
        <w:t>Caroline,</w:t>
      </w:r>
      <w:r>
        <w:rPr>
          <w:spacing w:val="-3"/>
          <w:sz w:val="18"/>
        </w:rPr>
        <w:t xml:space="preserve"> </w:t>
      </w:r>
      <w:r>
        <w:rPr>
          <w:sz w:val="18"/>
        </w:rPr>
        <w:t>Lindsay</w:t>
      </w:r>
      <w:r>
        <w:rPr>
          <w:spacing w:val="-3"/>
          <w:sz w:val="18"/>
        </w:rPr>
        <w:t xml:space="preserve"> </w:t>
      </w:r>
      <w:r>
        <w:rPr>
          <w:sz w:val="18"/>
        </w:rPr>
        <w:t>Mahowald,</w:t>
      </w:r>
      <w:r>
        <w:rPr>
          <w:spacing w:val="-3"/>
          <w:sz w:val="18"/>
        </w:rPr>
        <w:t xml:space="preserve"> </w:t>
      </w:r>
      <w:r>
        <w:rPr>
          <w:sz w:val="18"/>
        </w:rPr>
        <w:t>Thee</w:t>
      </w:r>
      <w:r>
        <w:rPr>
          <w:spacing w:val="-3"/>
          <w:sz w:val="18"/>
        </w:rPr>
        <w:t xml:space="preserve"> </w:t>
      </w:r>
      <w:r>
        <w:rPr>
          <w:sz w:val="18"/>
        </w:rPr>
        <w:t>Santos,</w:t>
      </w:r>
      <w:r>
        <w:rPr>
          <w:spacing w:val="-3"/>
          <w:sz w:val="18"/>
        </w:rPr>
        <w:t xml:space="preserve"> </w:t>
      </w:r>
      <w:r>
        <w:rPr>
          <w:sz w:val="18"/>
        </w:rPr>
        <w:t>and</w:t>
      </w:r>
      <w:r>
        <w:rPr>
          <w:spacing w:val="-3"/>
          <w:sz w:val="18"/>
        </w:rPr>
        <w:t xml:space="preserve"> </w:t>
      </w:r>
      <w:r>
        <w:rPr>
          <w:sz w:val="18"/>
        </w:rPr>
        <w:t>Sharita</w:t>
      </w:r>
      <w:r>
        <w:rPr>
          <w:spacing w:val="-3"/>
          <w:sz w:val="18"/>
        </w:rPr>
        <w:t xml:space="preserve"> </w:t>
      </w:r>
      <w:r>
        <w:rPr>
          <w:sz w:val="18"/>
        </w:rPr>
        <w:t>Gruberg.</w:t>
      </w:r>
      <w:r>
        <w:rPr>
          <w:spacing w:val="-3"/>
          <w:sz w:val="18"/>
        </w:rPr>
        <w:t xml:space="preserve"> </w:t>
      </w:r>
      <w:r>
        <w:rPr>
          <w:sz w:val="18"/>
        </w:rPr>
        <w:t>2021.</w:t>
      </w:r>
      <w:r>
        <w:rPr>
          <w:spacing w:val="-3"/>
          <w:sz w:val="18"/>
        </w:rPr>
        <w:t xml:space="preserve"> </w:t>
      </w:r>
      <w:r>
        <w:rPr>
          <w:sz w:val="18"/>
        </w:rPr>
        <w:t>“Protect</w:t>
      </w:r>
      <w:r>
        <w:rPr>
          <w:sz w:val="18"/>
        </w:rPr>
        <w:t>ing</w:t>
      </w:r>
      <w:r>
        <w:rPr>
          <w:spacing w:val="-3"/>
          <w:sz w:val="18"/>
        </w:rPr>
        <w:t xml:space="preserve"> </w:t>
      </w:r>
      <w:r>
        <w:rPr>
          <w:sz w:val="18"/>
        </w:rPr>
        <w:t>and</w:t>
      </w:r>
      <w:r>
        <w:rPr>
          <w:spacing w:val="-2"/>
          <w:sz w:val="18"/>
        </w:rPr>
        <w:t xml:space="preserve"> </w:t>
      </w:r>
      <w:r>
        <w:rPr>
          <w:sz w:val="18"/>
        </w:rPr>
        <w:t>Advancing</w:t>
      </w:r>
      <w:r>
        <w:rPr>
          <w:spacing w:val="-3"/>
          <w:sz w:val="18"/>
        </w:rPr>
        <w:t xml:space="preserve"> </w:t>
      </w:r>
      <w:r>
        <w:rPr>
          <w:sz w:val="18"/>
        </w:rPr>
        <w:t>Health</w:t>
      </w:r>
      <w:r>
        <w:rPr>
          <w:spacing w:val="-4"/>
          <w:sz w:val="18"/>
        </w:rPr>
        <w:t xml:space="preserve"> </w:t>
      </w:r>
      <w:r>
        <w:rPr>
          <w:sz w:val="18"/>
        </w:rPr>
        <w:t>Care</w:t>
      </w:r>
      <w:r>
        <w:rPr>
          <w:spacing w:val="-3"/>
          <w:sz w:val="18"/>
        </w:rPr>
        <w:t xml:space="preserve"> </w:t>
      </w:r>
      <w:r>
        <w:rPr>
          <w:sz w:val="18"/>
        </w:rPr>
        <w:t xml:space="preserve">for Transgender Adult Communities.” Center for American Progress. August 18, 2021. </w:t>
      </w:r>
      <w:r>
        <w:rPr>
          <w:spacing w:val="-2"/>
          <w:sz w:val="18"/>
        </w:rPr>
        <w:t>https://</w:t>
      </w:r>
      <w:hyperlink r:id="rId383">
        <w:r>
          <w:rPr>
            <w:spacing w:val="-2"/>
            <w:sz w:val="18"/>
          </w:rPr>
          <w:t>www.american</w:t>
        </w:r>
        <w:r>
          <w:rPr>
            <w:spacing w:val="-2"/>
            <w:sz w:val="18"/>
          </w:rPr>
          <w:t>progress.org/article/protecting-advancing-health-care-transgender-adult-communities/.</w:t>
        </w:r>
      </w:hyperlink>
    </w:p>
    <w:p w:rsidR="00200FDA" w:rsidRDefault="00200FDA">
      <w:pPr>
        <w:rPr>
          <w:sz w:val="18"/>
        </w:rPr>
        <w:sectPr w:rsidR="00200FDA">
          <w:pgSz w:w="12240" w:h="15840"/>
          <w:pgMar w:top="1360" w:right="1300" w:bottom="1320" w:left="1300" w:header="761" w:footer="1132" w:gutter="0"/>
          <w:cols w:space="720"/>
        </w:sectPr>
      </w:pPr>
    </w:p>
    <w:p w:rsidR="00200FDA" w:rsidRDefault="00200FDA">
      <w:pPr>
        <w:pStyle w:val="BodyText"/>
        <w:spacing w:before="10"/>
        <w:rPr>
          <w:sz w:val="19"/>
        </w:rPr>
      </w:pPr>
    </w:p>
    <w:p w:rsidR="00200FDA" w:rsidRDefault="00F76C4C">
      <w:pPr>
        <w:spacing w:before="69"/>
        <w:ind w:left="140" w:right="246" w:hanging="1"/>
        <w:rPr>
          <w:sz w:val="18"/>
        </w:rPr>
      </w:pPr>
      <w:bookmarkStart w:id="528" w:name="_bookmark399"/>
      <w:bookmarkEnd w:id="528"/>
      <w:r>
        <w:rPr>
          <w:position w:val="5"/>
          <w:sz w:val="12"/>
        </w:rPr>
        <w:t>48</w:t>
      </w:r>
      <w:r>
        <w:rPr>
          <w:spacing w:val="10"/>
          <w:position w:val="5"/>
          <w:sz w:val="12"/>
        </w:rPr>
        <w:t xml:space="preserve"> </w:t>
      </w:r>
      <w:r>
        <w:rPr>
          <w:sz w:val="18"/>
        </w:rPr>
        <w:t>American</w:t>
      </w:r>
      <w:r>
        <w:rPr>
          <w:spacing w:val="-3"/>
          <w:sz w:val="18"/>
        </w:rPr>
        <w:t xml:space="preserve"> </w:t>
      </w:r>
      <w:r>
        <w:rPr>
          <w:sz w:val="18"/>
        </w:rPr>
        <w:t>Psychological</w:t>
      </w:r>
      <w:r>
        <w:rPr>
          <w:spacing w:val="-3"/>
          <w:sz w:val="18"/>
        </w:rPr>
        <w:t xml:space="preserve"> </w:t>
      </w:r>
      <w:r>
        <w:rPr>
          <w:sz w:val="18"/>
        </w:rPr>
        <w:t>Association,</w:t>
      </w:r>
      <w:r>
        <w:rPr>
          <w:spacing w:val="-3"/>
          <w:sz w:val="18"/>
        </w:rPr>
        <w:t xml:space="preserve"> </w:t>
      </w:r>
      <w:r>
        <w:rPr>
          <w:sz w:val="18"/>
        </w:rPr>
        <w:t>Position</w:t>
      </w:r>
      <w:r>
        <w:rPr>
          <w:spacing w:val="-3"/>
          <w:sz w:val="18"/>
        </w:rPr>
        <w:t xml:space="preserve"> </w:t>
      </w:r>
      <w:r>
        <w:rPr>
          <w:sz w:val="18"/>
        </w:rPr>
        <w:t>Statement</w:t>
      </w:r>
      <w:r>
        <w:rPr>
          <w:spacing w:val="-3"/>
          <w:sz w:val="18"/>
        </w:rPr>
        <w:t xml:space="preserve"> </w:t>
      </w:r>
      <w:r>
        <w:rPr>
          <w:sz w:val="18"/>
        </w:rPr>
        <w:t>on</w:t>
      </w:r>
      <w:r>
        <w:rPr>
          <w:spacing w:val="-3"/>
          <w:sz w:val="18"/>
        </w:rPr>
        <w:t xml:space="preserve"> </w:t>
      </w:r>
      <w:r>
        <w:rPr>
          <w:sz w:val="18"/>
        </w:rPr>
        <w:t>Psychiatric</w:t>
      </w:r>
      <w:r>
        <w:rPr>
          <w:spacing w:val="-3"/>
          <w:sz w:val="18"/>
        </w:rPr>
        <w:t xml:space="preserve"> </w:t>
      </w:r>
      <w:r>
        <w:rPr>
          <w:sz w:val="18"/>
        </w:rPr>
        <w:t>Hospitalization</w:t>
      </w:r>
      <w:r>
        <w:rPr>
          <w:spacing w:val="-3"/>
          <w:sz w:val="18"/>
        </w:rPr>
        <w:t xml:space="preserve"> </w:t>
      </w:r>
      <w:r>
        <w:rPr>
          <w:sz w:val="18"/>
        </w:rPr>
        <w:t>of</w:t>
      </w:r>
      <w:r>
        <w:rPr>
          <w:spacing w:val="-3"/>
          <w:sz w:val="18"/>
        </w:rPr>
        <w:t xml:space="preserve"> </w:t>
      </w:r>
      <w:r>
        <w:rPr>
          <w:sz w:val="18"/>
        </w:rPr>
        <w:t>Children</w:t>
      </w:r>
      <w:r>
        <w:rPr>
          <w:spacing w:val="-3"/>
          <w:sz w:val="18"/>
        </w:rPr>
        <w:t xml:space="preserve"> </w:t>
      </w:r>
      <w:r>
        <w:rPr>
          <w:sz w:val="18"/>
        </w:rPr>
        <w:t>and</w:t>
      </w:r>
      <w:r>
        <w:rPr>
          <w:spacing w:val="-3"/>
          <w:sz w:val="18"/>
        </w:rPr>
        <w:t xml:space="preserve"> </w:t>
      </w:r>
      <w:r>
        <w:rPr>
          <w:sz w:val="18"/>
        </w:rPr>
        <w:t>Adolescents,</w:t>
      </w:r>
      <w:r>
        <w:rPr>
          <w:spacing w:val="-3"/>
          <w:sz w:val="18"/>
        </w:rPr>
        <w:t xml:space="preserve"> </w:t>
      </w:r>
      <w:r>
        <w:rPr>
          <w:sz w:val="18"/>
        </w:rPr>
        <w:t>accessed January 10 2023, https://</w:t>
      </w:r>
      <w:hyperlink r:id="rId384">
        <w:r>
          <w:rPr>
            <w:sz w:val="18"/>
          </w:rPr>
          <w:t>www.psychiatry.org/File%20Library/About-APA/Organization-Documents-Policies/Policies/Position-</w:t>
        </w:r>
      </w:hyperlink>
      <w:r>
        <w:rPr>
          <w:sz w:val="18"/>
        </w:rPr>
        <w:t xml:space="preserve"> </w:t>
      </w:r>
      <w:r>
        <w:rPr>
          <w:spacing w:val="-2"/>
          <w:sz w:val="18"/>
        </w:rPr>
        <w:t>2016-Psychiatric-Hospitalization-of-Childr</w:t>
      </w:r>
      <w:r>
        <w:rPr>
          <w:spacing w:val="-2"/>
          <w:sz w:val="18"/>
        </w:rPr>
        <w:t>en-and-Adolescents.pdf</w:t>
      </w:r>
    </w:p>
    <w:p w:rsidR="00200FDA" w:rsidRDefault="00F76C4C">
      <w:pPr>
        <w:spacing w:before="1"/>
        <w:ind w:left="140" w:right="243" w:hanging="1"/>
        <w:rPr>
          <w:sz w:val="18"/>
        </w:rPr>
      </w:pPr>
      <w:bookmarkStart w:id="529" w:name="_bookmark400"/>
      <w:bookmarkEnd w:id="529"/>
      <w:r>
        <w:rPr>
          <w:position w:val="5"/>
          <w:sz w:val="12"/>
        </w:rPr>
        <w:t>49</w:t>
      </w:r>
      <w:r>
        <w:rPr>
          <w:spacing w:val="19"/>
          <w:position w:val="5"/>
          <w:sz w:val="12"/>
        </w:rPr>
        <w:t xml:space="preserve"> </w:t>
      </w:r>
      <w:r>
        <w:rPr>
          <w:sz w:val="18"/>
        </w:rPr>
        <w:t>The Psychiatric Bed Crisis in the US: Understanding the Problem and Moving Towards Solutions. American Psychological Association,</w:t>
      </w:r>
      <w:r>
        <w:rPr>
          <w:spacing w:val="-11"/>
          <w:sz w:val="18"/>
        </w:rPr>
        <w:t xml:space="preserve"> </w:t>
      </w:r>
      <w:r>
        <w:rPr>
          <w:sz w:val="18"/>
        </w:rPr>
        <w:t>2022.</w:t>
      </w:r>
      <w:r>
        <w:rPr>
          <w:spacing w:val="-10"/>
          <w:sz w:val="18"/>
        </w:rPr>
        <w:t xml:space="preserve"> </w:t>
      </w:r>
      <w:r>
        <w:rPr>
          <w:sz w:val="18"/>
        </w:rPr>
        <w:t>https:</w:t>
      </w:r>
      <w:hyperlink r:id="rId385">
        <w:r>
          <w:rPr>
            <w:sz w:val="18"/>
          </w:rPr>
          <w:t>//w</w:t>
        </w:r>
      </w:hyperlink>
      <w:r>
        <w:rPr>
          <w:sz w:val="18"/>
        </w:rPr>
        <w:t>ww</w:t>
      </w:r>
      <w:hyperlink r:id="rId386">
        <w:r>
          <w:rPr>
            <w:sz w:val="18"/>
          </w:rPr>
          <w:t>.psychiatry.org/File%20Library/About-APA/Organization-Documents-Policies/Policies/Position-</w:t>
        </w:r>
      </w:hyperlink>
      <w:r>
        <w:rPr>
          <w:sz w:val="18"/>
        </w:rPr>
        <w:t xml:space="preserve"> </w:t>
      </w:r>
      <w:bookmarkStart w:id="530" w:name="_bookmark401"/>
      <w:bookmarkEnd w:id="530"/>
      <w:r>
        <w:rPr>
          <w:spacing w:val="-2"/>
          <w:sz w:val="18"/>
        </w:rPr>
        <w:t>2016-</w:t>
      </w:r>
      <w:r>
        <w:rPr>
          <w:spacing w:val="-2"/>
          <w:sz w:val="18"/>
        </w:rPr>
        <w:t>Psychiatric-Hospitalization-of-Children-and-Adolescents.pdf</w:t>
      </w:r>
    </w:p>
    <w:p w:rsidR="00200FDA" w:rsidRDefault="00F76C4C">
      <w:pPr>
        <w:spacing w:line="218" w:lineRule="exact"/>
        <w:ind w:left="140"/>
        <w:rPr>
          <w:sz w:val="18"/>
        </w:rPr>
      </w:pPr>
      <w:r>
        <w:rPr>
          <w:position w:val="5"/>
          <w:sz w:val="12"/>
        </w:rPr>
        <w:t>50</w:t>
      </w:r>
      <w:r>
        <w:rPr>
          <w:spacing w:val="8"/>
          <w:position w:val="5"/>
          <w:sz w:val="12"/>
        </w:rPr>
        <w:t xml:space="preserve"> </w:t>
      </w:r>
      <w:r>
        <w:rPr>
          <w:color w:val="212121"/>
          <w:sz w:val="18"/>
        </w:rPr>
        <w:t>Aranmolate,</w:t>
      </w:r>
      <w:r>
        <w:rPr>
          <w:color w:val="212121"/>
          <w:spacing w:val="-2"/>
          <w:sz w:val="18"/>
        </w:rPr>
        <w:t xml:space="preserve"> </w:t>
      </w:r>
      <w:r>
        <w:rPr>
          <w:color w:val="212121"/>
          <w:sz w:val="18"/>
        </w:rPr>
        <w:t>Rasaki,</w:t>
      </w:r>
      <w:r>
        <w:rPr>
          <w:color w:val="212121"/>
          <w:spacing w:val="-2"/>
          <w:sz w:val="18"/>
        </w:rPr>
        <w:t xml:space="preserve"> </w:t>
      </w:r>
      <w:r>
        <w:rPr>
          <w:color w:val="212121"/>
          <w:sz w:val="18"/>
        </w:rPr>
        <w:t>Danielle</w:t>
      </w:r>
      <w:r>
        <w:rPr>
          <w:color w:val="212121"/>
          <w:spacing w:val="-2"/>
          <w:sz w:val="18"/>
        </w:rPr>
        <w:t xml:space="preserve"> </w:t>
      </w:r>
      <w:r>
        <w:rPr>
          <w:color w:val="212121"/>
          <w:sz w:val="18"/>
        </w:rPr>
        <w:t>R. Bogan,</w:t>
      </w:r>
      <w:r>
        <w:rPr>
          <w:color w:val="212121"/>
          <w:spacing w:val="-2"/>
          <w:sz w:val="18"/>
        </w:rPr>
        <w:t xml:space="preserve"> </w:t>
      </w:r>
      <w:r>
        <w:rPr>
          <w:color w:val="212121"/>
          <w:sz w:val="18"/>
        </w:rPr>
        <w:t>Tiffany</w:t>
      </w:r>
      <w:r>
        <w:rPr>
          <w:color w:val="212121"/>
          <w:spacing w:val="-2"/>
          <w:sz w:val="18"/>
        </w:rPr>
        <w:t xml:space="preserve"> </w:t>
      </w:r>
      <w:r>
        <w:rPr>
          <w:color w:val="212121"/>
          <w:sz w:val="18"/>
        </w:rPr>
        <w:t>Hoard,</w:t>
      </w:r>
      <w:r>
        <w:rPr>
          <w:color w:val="212121"/>
          <w:spacing w:val="-1"/>
          <w:sz w:val="18"/>
        </w:rPr>
        <w:t xml:space="preserve"> </w:t>
      </w:r>
      <w:r>
        <w:rPr>
          <w:color w:val="212121"/>
          <w:sz w:val="18"/>
        </w:rPr>
        <w:t>and</w:t>
      </w:r>
      <w:r>
        <w:rPr>
          <w:color w:val="212121"/>
          <w:spacing w:val="-3"/>
          <w:sz w:val="18"/>
        </w:rPr>
        <w:t xml:space="preserve"> </w:t>
      </w:r>
      <w:r>
        <w:rPr>
          <w:color w:val="212121"/>
          <w:sz w:val="18"/>
        </w:rPr>
        <w:t>Anthony</w:t>
      </w:r>
      <w:r>
        <w:rPr>
          <w:color w:val="212121"/>
          <w:spacing w:val="-2"/>
          <w:sz w:val="18"/>
        </w:rPr>
        <w:t xml:space="preserve"> </w:t>
      </w:r>
      <w:r>
        <w:rPr>
          <w:color w:val="212121"/>
          <w:sz w:val="18"/>
        </w:rPr>
        <w:t>R.</w:t>
      </w:r>
      <w:r>
        <w:rPr>
          <w:color w:val="212121"/>
          <w:spacing w:val="-1"/>
          <w:sz w:val="18"/>
        </w:rPr>
        <w:t xml:space="preserve"> </w:t>
      </w:r>
      <w:r>
        <w:rPr>
          <w:color w:val="212121"/>
          <w:sz w:val="18"/>
        </w:rPr>
        <w:t>Mawson.</w:t>
      </w:r>
      <w:r>
        <w:rPr>
          <w:color w:val="212121"/>
          <w:spacing w:val="-2"/>
          <w:sz w:val="18"/>
        </w:rPr>
        <w:t xml:space="preserve"> </w:t>
      </w:r>
      <w:r>
        <w:rPr>
          <w:color w:val="212121"/>
          <w:sz w:val="18"/>
        </w:rPr>
        <w:t>"Suicide</w:t>
      </w:r>
      <w:r>
        <w:rPr>
          <w:color w:val="212121"/>
          <w:spacing w:val="-3"/>
          <w:sz w:val="18"/>
        </w:rPr>
        <w:t xml:space="preserve"> </w:t>
      </w:r>
      <w:r>
        <w:rPr>
          <w:color w:val="212121"/>
          <w:sz w:val="18"/>
        </w:rPr>
        <w:t>risk</w:t>
      </w:r>
      <w:r>
        <w:rPr>
          <w:color w:val="212121"/>
          <w:spacing w:val="-2"/>
          <w:sz w:val="18"/>
        </w:rPr>
        <w:t xml:space="preserve"> </w:t>
      </w:r>
      <w:r>
        <w:rPr>
          <w:color w:val="212121"/>
          <w:sz w:val="18"/>
        </w:rPr>
        <w:t>factors</w:t>
      </w:r>
      <w:r>
        <w:rPr>
          <w:color w:val="212121"/>
          <w:spacing w:val="-3"/>
          <w:sz w:val="18"/>
        </w:rPr>
        <w:t xml:space="preserve"> </w:t>
      </w:r>
      <w:r>
        <w:rPr>
          <w:color w:val="212121"/>
          <w:sz w:val="18"/>
        </w:rPr>
        <w:t>among</w:t>
      </w:r>
      <w:r>
        <w:rPr>
          <w:color w:val="212121"/>
          <w:spacing w:val="-3"/>
          <w:sz w:val="18"/>
        </w:rPr>
        <w:t xml:space="preserve"> </w:t>
      </w:r>
      <w:r>
        <w:rPr>
          <w:color w:val="212121"/>
          <w:sz w:val="18"/>
        </w:rPr>
        <w:t>LGBTQ</w:t>
      </w:r>
      <w:r>
        <w:rPr>
          <w:color w:val="212121"/>
          <w:spacing w:val="-2"/>
          <w:sz w:val="18"/>
        </w:rPr>
        <w:t xml:space="preserve"> youth."</w:t>
      </w:r>
    </w:p>
    <w:p w:rsidR="00200FDA" w:rsidRDefault="00F76C4C">
      <w:pPr>
        <w:spacing w:before="1"/>
        <w:ind w:left="140"/>
        <w:rPr>
          <w:sz w:val="18"/>
        </w:rPr>
      </w:pPr>
      <w:bookmarkStart w:id="531" w:name="_bookmark402"/>
      <w:bookmarkEnd w:id="531"/>
      <w:r>
        <w:rPr>
          <w:i/>
          <w:color w:val="212121"/>
          <w:sz w:val="18"/>
        </w:rPr>
        <w:t>JSM</w:t>
      </w:r>
      <w:r>
        <w:rPr>
          <w:i/>
          <w:color w:val="212121"/>
          <w:spacing w:val="-3"/>
          <w:sz w:val="18"/>
        </w:rPr>
        <w:t xml:space="preserve"> </w:t>
      </w:r>
      <w:r>
        <w:rPr>
          <w:i/>
          <w:color w:val="212121"/>
          <w:sz w:val="18"/>
        </w:rPr>
        <w:t xml:space="preserve">Schizophrenia </w:t>
      </w:r>
      <w:r>
        <w:rPr>
          <w:color w:val="212121"/>
          <w:sz w:val="18"/>
        </w:rPr>
        <w:t>2,</w:t>
      </w:r>
      <w:r>
        <w:rPr>
          <w:color w:val="212121"/>
          <w:spacing w:val="-2"/>
          <w:sz w:val="18"/>
        </w:rPr>
        <w:t xml:space="preserve"> </w:t>
      </w:r>
      <w:r>
        <w:rPr>
          <w:color w:val="212121"/>
          <w:sz w:val="18"/>
        </w:rPr>
        <w:t>no.</w:t>
      </w:r>
      <w:r>
        <w:rPr>
          <w:color w:val="212121"/>
          <w:spacing w:val="-1"/>
          <w:sz w:val="18"/>
        </w:rPr>
        <w:t xml:space="preserve"> </w:t>
      </w:r>
      <w:r>
        <w:rPr>
          <w:color w:val="212121"/>
          <w:sz w:val="18"/>
        </w:rPr>
        <w:t>2</w:t>
      </w:r>
      <w:r>
        <w:rPr>
          <w:color w:val="212121"/>
          <w:spacing w:val="-2"/>
          <w:sz w:val="18"/>
        </w:rPr>
        <w:t xml:space="preserve"> </w:t>
      </w:r>
      <w:r>
        <w:rPr>
          <w:color w:val="212121"/>
          <w:sz w:val="18"/>
        </w:rPr>
        <w:t>(2017):</w:t>
      </w:r>
      <w:r>
        <w:rPr>
          <w:color w:val="212121"/>
          <w:spacing w:val="-1"/>
          <w:sz w:val="18"/>
        </w:rPr>
        <w:t xml:space="preserve"> </w:t>
      </w:r>
      <w:r>
        <w:rPr>
          <w:color w:val="212121"/>
          <w:spacing w:val="-2"/>
          <w:sz w:val="18"/>
        </w:rPr>
        <w:t>1011.</w:t>
      </w:r>
    </w:p>
    <w:p w:rsidR="00200FDA" w:rsidRDefault="00F76C4C">
      <w:pPr>
        <w:spacing w:before="1"/>
        <w:ind w:left="140" w:right="161" w:hanging="1"/>
        <w:rPr>
          <w:sz w:val="18"/>
        </w:rPr>
      </w:pPr>
      <w:r>
        <w:rPr>
          <w:position w:val="5"/>
          <w:sz w:val="12"/>
        </w:rPr>
        <w:t>51</w:t>
      </w:r>
      <w:r>
        <w:rPr>
          <w:spacing w:val="10"/>
          <w:position w:val="5"/>
          <w:sz w:val="12"/>
        </w:rPr>
        <w:t xml:space="preserve"> </w:t>
      </w:r>
      <w:r>
        <w:rPr>
          <w:sz w:val="18"/>
        </w:rPr>
        <w:t>Haas,</w:t>
      </w:r>
      <w:r>
        <w:rPr>
          <w:spacing w:val="-2"/>
          <w:sz w:val="18"/>
        </w:rPr>
        <w:t xml:space="preserve"> </w:t>
      </w:r>
      <w:r>
        <w:rPr>
          <w:sz w:val="18"/>
        </w:rPr>
        <w:t>Ann</w:t>
      </w:r>
      <w:r>
        <w:rPr>
          <w:spacing w:val="-3"/>
          <w:sz w:val="18"/>
        </w:rPr>
        <w:t xml:space="preserve"> </w:t>
      </w:r>
      <w:r>
        <w:rPr>
          <w:sz w:val="18"/>
        </w:rPr>
        <w:t>P.,</w:t>
      </w:r>
      <w:r>
        <w:rPr>
          <w:spacing w:val="-2"/>
          <w:sz w:val="18"/>
        </w:rPr>
        <w:t xml:space="preserve"> </w:t>
      </w:r>
      <w:r>
        <w:rPr>
          <w:sz w:val="18"/>
        </w:rPr>
        <w:t>Mickey</w:t>
      </w:r>
      <w:r>
        <w:rPr>
          <w:spacing w:val="-2"/>
          <w:sz w:val="18"/>
        </w:rPr>
        <w:t xml:space="preserve"> </w:t>
      </w:r>
      <w:r>
        <w:rPr>
          <w:sz w:val="18"/>
        </w:rPr>
        <w:t>Eliason,</w:t>
      </w:r>
      <w:r>
        <w:rPr>
          <w:spacing w:val="-2"/>
          <w:sz w:val="18"/>
        </w:rPr>
        <w:t xml:space="preserve"> </w:t>
      </w:r>
      <w:r>
        <w:rPr>
          <w:sz w:val="18"/>
        </w:rPr>
        <w:t>Vickie</w:t>
      </w:r>
      <w:r>
        <w:rPr>
          <w:spacing w:val="-3"/>
          <w:sz w:val="18"/>
        </w:rPr>
        <w:t xml:space="preserve"> </w:t>
      </w:r>
      <w:r>
        <w:rPr>
          <w:sz w:val="18"/>
        </w:rPr>
        <w:t>M.</w:t>
      </w:r>
      <w:r>
        <w:rPr>
          <w:spacing w:val="-2"/>
          <w:sz w:val="18"/>
        </w:rPr>
        <w:t xml:space="preserve"> </w:t>
      </w:r>
      <w:r>
        <w:rPr>
          <w:sz w:val="18"/>
        </w:rPr>
        <w:t>Mays,</w:t>
      </w:r>
      <w:r>
        <w:rPr>
          <w:spacing w:val="-2"/>
          <w:sz w:val="18"/>
        </w:rPr>
        <w:t xml:space="preserve"> </w:t>
      </w:r>
      <w:r>
        <w:rPr>
          <w:sz w:val="18"/>
        </w:rPr>
        <w:t>Robin</w:t>
      </w:r>
      <w:r>
        <w:rPr>
          <w:spacing w:val="-3"/>
          <w:sz w:val="18"/>
        </w:rPr>
        <w:t xml:space="preserve"> </w:t>
      </w:r>
      <w:r>
        <w:rPr>
          <w:sz w:val="18"/>
        </w:rPr>
        <w:t>M.</w:t>
      </w:r>
      <w:r>
        <w:rPr>
          <w:spacing w:val="-2"/>
          <w:sz w:val="18"/>
        </w:rPr>
        <w:t xml:space="preserve"> </w:t>
      </w:r>
      <w:r>
        <w:rPr>
          <w:sz w:val="18"/>
        </w:rPr>
        <w:t>Mathy, Susan</w:t>
      </w:r>
      <w:r>
        <w:rPr>
          <w:spacing w:val="-3"/>
          <w:sz w:val="18"/>
        </w:rPr>
        <w:t xml:space="preserve"> </w:t>
      </w:r>
      <w:r>
        <w:rPr>
          <w:sz w:val="18"/>
        </w:rPr>
        <w:t>D.</w:t>
      </w:r>
      <w:r>
        <w:rPr>
          <w:spacing w:val="-2"/>
          <w:sz w:val="18"/>
        </w:rPr>
        <w:t xml:space="preserve"> </w:t>
      </w:r>
      <w:r>
        <w:rPr>
          <w:sz w:val="18"/>
        </w:rPr>
        <w:t>Cochran,</w:t>
      </w:r>
      <w:r>
        <w:rPr>
          <w:spacing w:val="-2"/>
          <w:sz w:val="18"/>
        </w:rPr>
        <w:t xml:space="preserve"> </w:t>
      </w:r>
      <w:r>
        <w:rPr>
          <w:sz w:val="18"/>
        </w:rPr>
        <w:t>Anthony</w:t>
      </w:r>
      <w:r>
        <w:rPr>
          <w:spacing w:val="-2"/>
          <w:sz w:val="18"/>
        </w:rPr>
        <w:t xml:space="preserve"> </w:t>
      </w:r>
      <w:r>
        <w:rPr>
          <w:sz w:val="18"/>
        </w:rPr>
        <w:t>R.</w:t>
      </w:r>
      <w:r>
        <w:rPr>
          <w:spacing w:val="-2"/>
          <w:sz w:val="18"/>
        </w:rPr>
        <w:t xml:space="preserve"> </w:t>
      </w:r>
      <w:r>
        <w:rPr>
          <w:sz w:val="18"/>
        </w:rPr>
        <w:t>D’Augelli,</w:t>
      </w:r>
      <w:r>
        <w:rPr>
          <w:spacing w:val="-2"/>
          <w:sz w:val="18"/>
        </w:rPr>
        <w:t xml:space="preserve"> </w:t>
      </w:r>
      <w:r>
        <w:rPr>
          <w:sz w:val="18"/>
        </w:rPr>
        <w:t>Morton</w:t>
      </w:r>
      <w:r>
        <w:rPr>
          <w:spacing w:val="-3"/>
          <w:sz w:val="18"/>
        </w:rPr>
        <w:t xml:space="preserve"> </w:t>
      </w:r>
      <w:r>
        <w:rPr>
          <w:sz w:val="18"/>
        </w:rPr>
        <w:t>M.</w:t>
      </w:r>
      <w:r>
        <w:rPr>
          <w:spacing w:val="-2"/>
          <w:sz w:val="18"/>
        </w:rPr>
        <w:t xml:space="preserve"> </w:t>
      </w:r>
      <w:r>
        <w:rPr>
          <w:sz w:val="18"/>
        </w:rPr>
        <w:t xml:space="preserve">Silverman, et al. 2010. “Suicide and Suicide Risk in Lesbian, Gay, Bisexual, and Transgender Populations: Review and Recommendations.” </w:t>
      </w:r>
      <w:bookmarkStart w:id="532" w:name="_bookmark403"/>
      <w:bookmarkEnd w:id="532"/>
      <w:r>
        <w:rPr>
          <w:i/>
          <w:sz w:val="18"/>
        </w:rPr>
        <w:t xml:space="preserve">Journal of Homosexuality </w:t>
      </w:r>
      <w:r>
        <w:rPr>
          <w:sz w:val="18"/>
        </w:rPr>
        <w:t>58 (1): 10–51. https://doi.org/10.1080/00918369.2011.534038.</w:t>
      </w:r>
    </w:p>
    <w:p w:rsidR="00200FDA" w:rsidRDefault="00F76C4C">
      <w:pPr>
        <w:ind w:left="140" w:right="154" w:hanging="1"/>
        <w:rPr>
          <w:sz w:val="18"/>
        </w:rPr>
      </w:pPr>
      <w:r>
        <w:rPr>
          <w:position w:val="5"/>
          <w:sz w:val="12"/>
        </w:rPr>
        <w:t>52</w:t>
      </w:r>
      <w:r>
        <w:rPr>
          <w:spacing w:val="9"/>
          <w:position w:val="5"/>
          <w:sz w:val="12"/>
        </w:rPr>
        <w:t xml:space="preserve"> </w:t>
      </w:r>
      <w:r>
        <w:rPr>
          <w:sz w:val="18"/>
        </w:rPr>
        <w:t>“Know</w:t>
      </w:r>
      <w:r>
        <w:rPr>
          <w:spacing w:val="-2"/>
          <w:sz w:val="18"/>
        </w:rPr>
        <w:t xml:space="preserve"> </w:t>
      </w:r>
      <w:r>
        <w:rPr>
          <w:sz w:val="18"/>
        </w:rPr>
        <w:t>Your</w:t>
      </w:r>
      <w:r>
        <w:rPr>
          <w:spacing w:val="-4"/>
          <w:sz w:val="18"/>
        </w:rPr>
        <w:t xml:space="preserve"> </w:t>
      </w:r>
      <w:r>
        <w:rPr>
          <w:sz w:val="18"/>
        </w:rPr>
        <w:t>Rights:</w:t>
      </w:r>
      <w:r>
        <w:rPr>
          <w:spacing w:val="-3"/>
          <w:sz w:val="18"/>
        </w:rPr>
        <w:t xml:space="preserve"> </w:t>
      </w:r>
      <w:r>
        <w:rPr>
          <w:sz w:val="18"/>
        </w:rPr>
        <w:t>Health</w:t>
      </w:r>
      <w:r>
        <w:rPr>
          <w:spacing w:val="-4"/>
          <w:sz w:val="18"/>
        </w:rPr>
        <w:t xml:space="preserve"> </w:t>
      </w:r>
      <w:r>
        <w:rPr>
          <w:sz w:val="18"/>
        </w:rPr>
        <w:t>Care.”</w:t>
      </w:r>
      <w:r>
        <w:rPr>
          <w:spacing w:val="-4"/>
          <w:sz w:val="18"/>
        </w:rPr>
        <w:t xml:space="preserve"> </w:t>
      </w:r>
      <w:r>
        <w:rPr>
          <w:sz w:val="18"/>
        </w:rPr>
        <w:t>2014.</w:t>
      </w:r>
      <w:r>
        <w:rPr>
          <w:spacing w:val="-3"/>
          <w:sz w:val="18"/>
        </w:rPr>
        <w:t xml:space="preserve"> </w:t>
      </w:r>
      <w:r>
        <w:rPr>
          <w:sz w:val="18"/>
        </w:rPr>
        <w:t>National</w:t>
      </w:r>
      <w:r>
        <w:rPr>
          <w:spacing w:val="-4"/>
          <w:sz w:val="18"/>
        </w:rPr>
        <w:t xml:space="preserve"> </w:t>
      </w:r>
      <w:r>
        <w:rPr>
          <w:sz w:val="18"/>
        </w:rPr>
        <w:t>Center</w:t>
      </w:r>
      <w:r>
        <w:rPr>
          <w:spacing w:val="-4"/>
          <w:sz w:val="18"/>
        </w:rPr>
        <w:t xml:space="preserve"> </w:t>
      </w:r>
      <w:r>
        <w:rPr>
          <w:sz w:val="18"/>
        </w:rPr>
        <w:t>for</w:t>
      </w:r>
      <w:r>
        <w:rPr>
          <w:spacing w:val="-4"/>
          <w:sz w:val="18"/>
        </w:rPr>
        <w:t xml:space="preserve"> </w:t>
      </w:r>
      <w:r>
        <w:rPr>
          <w:sz w:val="18"/>
        </w:rPr>
        <w:t>Transgender</w:t>
      </w:r>
      <w:r>
        <w:rPr>
          <w:spacing w:val="-4"/>
          <w:sz w:val="18"/>
        </w:rPr>
        <w:t xml:space="preserve"> </w:t>
      </w:r>
      <w:r>
        <w:rPr>
          <w:sz w:val="18"/>
        </w:rPr>
        <w:t>Equality.</w:t>
      </w:r>
      <w:r>
        <w:rPr>
          <w:spacing w:val="-3"/>
          <w:sz w:val="18"/>
        </w:rPr>
        <w:t xml:space="preserve"> </w:t>
      </w:r>
      <w:r>
        <w:rPr>
          <w:sz w:val="18"/>
        </w:rPr>
        <w:t>2014.</w:t>
      </w:r>
      <w:r>
        <w:rPr>
          <w:spacing w:val="-3"/>
          <w:sz w:val="18"/>
        </w:rPr>
        <w:t xml:space="preserve"> </w:t>
      </w:r>
      <w:r>
        <w:rPr>
          <w:sz w:val="18"/>
        </w:rPr>
        <w:t xml:space="preserve">https://transequality.org/know-your- </w:t>
      </w:r>
      <w:bookmarkStart w:id="533" w:name="_bookmark404"/>
      <w:bookmarkEnd w:id="533"/>
      <w:r>
        <w:rPr>
          <w:spacing w:val="-2"/>
          <w:sz w:val="18"/>
        </w:rPr>
        <w:t>rights/health-care.</w:t>
      </w:r>
    </w:p>
    <w:p w:rsidR="00200FDA" w:rsidRDefault="00F76C4C">
      <w:pPr>
        <w:ind w:left="140" w:right="144"/>
        <w:rPr>
          <w:sz w:val="18"/>
        </w:rPr>
      </w:pPr>
      <w:r>
        <w:rPr>
          <w:position w:val="5"/>
          <w:sz w:val="12"/>
        </w:rPr>
        <w:t>53</w:t>
      </w:r>
      <w:r>
        <w:rPr>
          <w:spacing w:val="18"/>
          <w:position w:val="5"/>
          <w:sz w:val="12"/>
        </w:rPr>
        <w:t xml:space="preserve"> </w:t>
      </w:r>
      <w:r>
        <w:rPr>
          <w:color w:val="202020"/>
          <w:sz w:val="18"/>
        </w:rPr>
        <w:t>Gridley SJ, Crouch JM, Evans Y, Eng W, Antoon</w:t>
      </w:r>
      <w:r>
        <w:rPr>
          <w:color w:val="202020"/>
          <w:sz w:val="18"/>
        </w:rPr>
        <w:t xml:space="preserve"> E, Lyapustina M, Schimmel-Bristow A, Woodward J, Dundon K, Schaff R, McCarty</w:t>
      </w:r>
      <w:r>
        <w:rPr>
          <w:color w:val="202020"/>
          <w:spacing w:val="-2"/>
          <w:sz w:val="18"/>
        </w:rPr>
        <w:t xml:space="preserve"> </w:t>
      </w:r>
      <w:r>
        <w:rPr>
          <w:color w:val="202020"/>
          <w:sz w:val="18"/>
        </w:rPr>
        <w:t>C,</w:t>
      </w:r>
      <w:r>
        <w:rPr>
          <w:color w:val="202020"/>
          <w:spacing w:val="-2"/>
          <w:sz w:val="18"/>
        </w:rPr>
        <w:t xml:space="preserve"> </w:t>
      </w:r>
      <w:r>
        <w:rPr>
          <w:color w:val="202020"/>
          <w:sz w:val="18"/>
        </w:rPr>
        <w:t>Ahrens</w:t>
      </w:r>
      <w:r>
        <w:rPr>
          <w:color w:val="202020"/>
          <w:spacing w:val="-3"/>
          <w:sz w:val="18"/>
        </w:rPr>
        <w:t xml:space="preserve"> </w:t>
      </w:r>
      <w:r>
        <w:rPr>
          <w:color w:val="202020"/>
          <w:sz w:val="18"/>
        </w:rPr>
        <w:t>K,</w:t>
      </w:r>
      <w:r>
        <w:rPr>
          <w:color w:val="202020"/>
          <w:spacing w:val="-2"/>
          <w:sz w:val="18"/>
        </w:rPr>
        <w:t xml:space="preserve"> </w:t>
      </w:r>
      <w:r>
        <w:rPr>
          <w:color w:val="202020"/>
          <w:sz w:val="18"/>
        </w:rPr>
        <w:t>Breland</w:t>
      </w:r>
      <w:r>
        <w:rPr>
          <w:color w:val="202020"/>
          <w:spacing w:val="-1"/>
          <w:sz w:val="18"/>
        </w:rPr>
        <w:t xml:space="preserve"> </w:t>
      </w:r>
      <w:r>
        <w:rPr>
          <w:color w:val="202020"/>
          <w:sz w:val="18"/>
        </w:rPr>
        <w:t>DJ.</w:t>
      </w:r>
      <w:r>
        <w:rPr>
          <w:color w:val="202020"/>
          <w:spacing w:val="-2"/>
          <w:sz w:val="18"/>
        </w:rPr>
        <w:t xml:space="preserve"> </w:t>
      </w:r>
      <w:r>
        <w:rPr>
          <w:color w:val="202020"/>
          <w:sz w:val="18"/>
        </w:rPr>
        <w:t>Youth</w:t>
      </w:r>
      <w:r>
        <w:rPr>
          <w:color w:val="202020"/>
          <w:spacing w:val="-3"/>
          <w:sz w:val="18"/>
        </w:rPr>
        <w:t xml:space="preserve"> </w:t>
      </w:r>
      <w:r>
        <w:rPr>
          <w:color w:val="202020"/>
          <w:sz w:val="18"/>
        </w:rPr>
        <w:t>and</w:t>
      </w:r>
      <w:r>
        <w:rPr>
          <w:color w:val="202020"/>
          <w:spacing w:val="-3"/>
          <w:sz w:val="18"/>
        </w:rPr>
        <w:t xml:space="preserve"> </w:t>
      </w:r>
      <w:r>
        <w:rPr>
          <w:color w:val="202020"/>
          <w:sz w:val="18"/>
        </w:rPr>
        <w:t>Caregiver</w:t>
      </w:r>
      <w:r>
        <w:rPr>
          <w:color w:val="202020"/>
          <w:spacing w:val="-3"/>
          <w:sz w:val="18"/>
        </w:rPr>
        <w:t xml:space="preserve"> </w:t>
      </w:r>
      <w:r>
        <w:rPr>
          <w:color w:val="202020"/>
          <w:sz w:val="18"/>
        </w:rPr>
        <w:t>Perspectives</w:t>
      </w:r>
      <w:r>
        <w:rPr>
          <w:color w:val="202020"/>
          <w:spacing w:val="-1"/>
          <w:sz w:val="18"/>
        </w:rPr>
        <w:t xml:space="preserve"> </w:t>
      </w:r>
      <w:r>
        <w:rPr>
          <w:color w:val="202020"/>
          <w:sz w:val="18"/>
        </w:rPr>
        <w:t>on</w:t>
      </w:r>
      <w:r>
        <w:rPr>
          <w:color w:val="202020"/>
          <w:spacing w:val="-3"/>
          <w:sz w:val="18"/>
        </w:rPr>
        <w:t xml:space="preserve"> </w:t>
      </w:r>
      <w:r>
        <w:rPr>
          <w:color w:val="202020"/>
          <w:sz w:val="18"/>
        </w:rPr>
        <w:t>Barriers</w:t>
      </w:r>
      <w:r>
        <w:rPr>
          <w:color w:val="202020"/>
          <w:spacing w:val="-3"/>
          <w:sz w:val="18"/>
        </w:rPr>
        <w:t xml:space="preserve"> </w:t>
      </w:r>
      <w:r>
        <w:rPr>
          <w:color w:val="202020"/>
          <w:sz w:val="18"/>
        </w:rPr>
        <w:t>to</w:t>
      </w:r>
      <w:r>
        <w:rPr>
          <w:color w:val="202020"/>
          <w:spacing w:val="-1"/>
          <w:sz w:val="18"/>
        </w:rPr>
        <w:t xml:space="preserve"> </w:t>
      </w:r>
      <w:r>
        <w:rPr>
          <w:color w:val="202020"/>
          <w:sz w:val="18"/>
        </w:rPr>
        <w:t>Gender-Affirming</w:t>
      </w:r>
      <w:r>
        <w:rPr>
          <w:color w:val="202020"/>
          <w:spacing w:val="-2"/>
          <w:sz w:val="18"/>
        </w:rPr>
        <w:t xml:space="preserve"> </w:t>
      </w:r>
      <w:r>
        <w:rPr>
          <w:color w:val="202020"/>
          <w:sz w:val="18"/>
        </w:rPr>
        <w:t>Health</w:t>
      </w:r>
      <w:r>
        <w:rPr>
          <w:color w:val="202020"/>
          <w:spacing w:val="-3"/>
          <w:sz w:val="18"/>
        </w:rPr>
        <w:t xml:space="preserve"> </w:t>
      </w:r>
      <w:r>
        <w:rPr>
          <w:color w:val="202020"/>
          <w:sz w:val="18"/>
        </w:rPr>
        <w:t>Care</w:t>
      </w:r>
      <w:r>
        <w:rPr>
          <w:color w:val="202020"/>
          <w:spacing w:val="-3"/>
          <w:sz w:val="18"/>
        </w:rPr>
        <w:t xml:space="preserve"> </w:t>
      </w:r>
      <w:r>
        <w:rPr>
          <w:color w:val="202020"/>
          <w:sz w:val="18"/>
        </w:rPr>
        <w:t>for</w:t>
      </w:r>
      <w:r>
        <w:rPr>
          <w:color w:val="202020"/>
          <w:spacing w:val="-3"/>
          <w:sz w:val="18"/>
        </w:rPr>
        <w:t xml:space="preserve"> </w:t>
      </w:r>
      <w:r>
        <w:rPr>
          <w:color w:val="202020"/>
          <w:sz w:val="18"/>
        </w:rPr>
        <w:t xml:space="preserve">Transgender Youth. J Adolesc Health. 2016 Sep;59(3):254-261. doi: 10.1016/j.jadohealth.2016.03.017. Epub 2016 May 24. PMID: 27235374. </w:t>
      </w:r>
      <w:bookmarkStart w:id="534" w:name="_bookmark405"/>
      <w:bookmarkEnd w:id="534"/>
      <w:r>
        <w:rPr>
          <w:position w:val="5"/>
          <w:sz w:val="12"/>
        </w:rPr>
        <w:t>54</w:t>
      </w:r>
      <w:r>
        <w:rPr>
          <w:spacing w:val="20"/>
          <w:position w:val="5"/>
          <w:sz w:val="12"/>
        </w:rPr>
        <w:t xml:space="preserve"> </w:t>
      </w:r>
      <w:r>
        <w:rPr>
          <w:sz w:val="18"/>
        </w:rPr>
        <w:t>Dowshen, Nadia L., Julie Christensen, and Siobhan M. Gruschow. 2019. “Health Insurance Coverage of Recommended</w:t>
      </w:r>
    </w:p>
    <w:p w:rsidR="00200FDA" w:rsidRDefault="00F76C4C">
      <w:pPr>
        <w:ind w:left="140" w:right="213"/>
        <w:rPr>
          <w:sz w:val="18"/>
        </w:rPr>
      </w:pPr>
      <w:r>
        <w:rPr>
          <w:sz w:val="18"/>
        </w:rPr>
        <w:t>Gender-A</w:t>
      </w:r>
      <w:r>
        <w:rPr>
          <w:sz w:val="18"/>
        </w:rPr>
        <w:t>ffirming</w:t>
      </w:r>
      <w:r>
        <w:rPr>
          <w:spacing w:val="-4"/>
          <w:sz w:val="18"/>
        </w:rPr>
        <w:t xml:space="preserve"> </w:t>
      </w:r>
      <w:r>
        <w:rPr>
          <w:sz w:val="18"/>
        </w:rPr>
        <w:t>Health</w:t>
      </w:r>
      <w:r>
        <w:rPr>
          <w:spacing w:val="-4"/>
          <w:sz w:val="18"/>
        </w:rPr>
        <w:t xml:space="preserve"> </w:t>
      </w:r>
      <w:r>
        <w:rPr>
          <w:sz w:val="18"/>
        </w:rPr>
        <w:t>Care</w:t>
      </w:r>
      <w:r>
        <w:rPr>
          <w:spacing w:val="-2"/>
          <w:sz w:val="18"/>
        </w:rPr>
        <w:t xml:space="preserve"> </w:t>
      </w:r>
      <w:r>
        <w:rPr>
          <w:sz w:val="18"/>
        </w:rPr>
        <w:t>Services</w:t>
      </w:r>
      <w:r>
        <w:rPr>
          <w:spacing w:val="-4"/>
          <w:sz w:val="18"/>
        </w:rPr>
        <w:t xml:space="preserve"> </w:t>
      </w:r>
      <w:r>
        <w:rPr>
          <w:sz w:val="18"/>
        </w:rPr>
        <w:t>for</w:t>
      </w:r>
      <w:r>
        <w:rPr>
          <w:spacing w:val="-4"/>
          <w:sz w:val="18"/>
        </w:rPr>
        <w:t xml:space="preserve"> </w:t>
      </w:r>
      <w:r>
        <w:rPr>
          <w:sz w:val="18"/>
        </w:rPr>
        <w:t>Transgender</w:t>
      </w:r>
      <w:r>
        <w:rPr>
          <w:spacing w:val="-4"/>
          <w:sz w:val="18"/>
        </w:rPr>
        <w:t xml:space="preserve"> </w:t>
      </w:r>
      <w:r>
        <w:rPr>
          <w:sz w:val="18"/>
        </w:rPr>
        <w:t>Youth:</w:t>
      </w:r>
      <w:r>
        <w:rPr>
          <w:spacing w:val="-1"/>
          <w:sz w:val="18"/>
        </w:rPr>
        <w:t xml:space="preserve"> </w:t>
      </w:r>
      <w:r>
        <w:rPr>
          <w:sz w:val="18"/>
        </w:rPr>
        <w:t>Shopping</w:t>
      </w:r>
      <w:r>
        <w:rPr>
          <w:spacing w:val="-4"/>
          <w:sz w:val="18"/>
        </w:rPr>
        <w:t xml:space="preserve"> </w:t>
      </w:r>
      <w:r>
        <w:rPr>
          <w:sz w:val="18"/>
        </w:rPr>
        <w:t>Online</w:t>
      </w:r>
      <w:r>
        <w:rPr>
          <w:spacing w:val="-4"/>
          <w:sz w:val="18"/>
        </w:rPr>
        <w:t xml:space="preserve"> </w:t>
      </w:r>
      <w:r>
        <w:rPr>
          <w:sz w:val="18"/>
        </w:rPr>
        <w:t>for</w:t>
      </w:r>
      <w:r>
        <w:rPr>
          <w:spacing w:val="-4"/>
          <w:sz w:val="18"/>
        </w:rPr>
        <w:t xml:space="preserve"> </w:t>
      </w:r>
      <w:r>
        <w:rPr>
          <w:sz w:val="18"/>
        </w:rPr>
        <w:t>Coverage</w:t>
      </w:r>
      <w:r>
        <w:rPr>
          <w:spacing w:val="-4"/>
          <w:sz w:val="18"/>
        </w:rPr>
        <w:t xml:space="preserve"> </w:t>
      </w:r>
      <w:r>
        <w:rPr>
          <w:sz w:val="18"/>
        </w:rPr>
        <w:t>Information.”</w:t>
      </w:r>
      <w:r>
        <w:rPr>
          <w:spacing w:val="-4"/>
          <w:sz w:val="18"/>
        </w:rPr>
        <w:t xml:space="preserve"> </w:t>
      </w:r>
      <w:r>
        <w:rPr>
          <w:sz w:val="18"/>
        </w:rPr>
        <w:t>Transgender</w:t>
      </w:r>
      <w:r>
        <w:rPr>
          <w:spacing w:val="-4"/>
          <w:sz w:val="18"/>
        </w:rPr>
        <w:t xml:space="preserve"> </w:t>
      </w:r>
      <w:r>
        <w:rPr>
          <w:sz w:val="18"/>
        </w:rPr>
        <w:t>Health 4 (1): 131–35. https://doi.org/10.1089/trgh.2018.0055.</w:t>
      </w:r>
    </w:p>
    <w:p w:rsidR="00200FDA" w:rsidRDefault="00F76C4C">
      <w:pPr>
        <w:ind w:left="140" w:right="368" w:hanging="1"/>
        <w:rPr>
          <w:sz w:val="18"/>
        </w:rPr>
      </w:pPr>
      <w:bookmarkStart w:id="535" w:name="_bookmark406"/>
      <w:bookmarkEnd w:id="535"/>
      <w:r>
        <w:rPr>
          <w:position w:val="5"/>
          <w:sz w:val="12"/>
        </w:rPr>
        <w:t>55</w:t>
      </w:r>
      <w:r>
        <w:rPr>
          <w:spacing w:val="10"/>
          <w:position w:val="5"/>
          <w:sz w:val="12"/>
        </w:rPr>
        <w:t xml:space="preserve"> </w:t>
      </w:r>
      <w:r>
        <w:rPr>
          <w:sz w:val="18"/>
        </w:rPr>
        <w:t>Jessica</w:t>
      </w:r>
      <w:r>
        <w:rPr>
          <w:spacing w:val="-2"/>
          <w:sz w:val="18"/>
        </w:rPr>
        <w:t xml:space="preserve"> </w:t>
      </w:r>
      <w:r>
        <w:rPr>
          <w:sz w:val="18"/>
        </w:rPr>
        <w:t>Bartlett. “Boston</w:t>
      </w:r>
      <w:r>
        <w:rPr>
          <w:spacing w:val="-3"/>
          <w:sz w:val="18"/>
        </w:rPr>
        <w:t xml:space="preserve"> </w:t>
      </w:r>
      <w:r>
        <w:rPr>
          <w:sz w:val="18"/>
        </w:rPr>
        <w:t>Children’s</w:t>
      </w:r>
      <w:r>
        <w:rPr>
          <w:spacing w:val="-3"/>
          <w:sz w:val="18"/>
        </w:rPr>
        <w:t xml:space="preserve"> </w:t>
      </w:r>
      <w:r>
        <w:rPr>
          <w:sz w:val="18"/>
        </w:rPr>
        <w:t>Faced</w:t>
      </w:r>
      <w:r>
        <w:rPr>
          <w:spacing w:val="-3"/>
          <w:sz w:val="18"/>
        </w:rPr>
        <w:t xml:space="preserve"> </w:t>
      </w:r>
      <w:r>
        <w:rPr>
          <w:sz w:val="18"/>
        </w:rPr>
        <w:t>Months</w:t>
      </w:r>
      <w:r>
        <w:rPr>
          <w:spacing w:val="-3"/>
          <w:sz w:val="18"/>
        </w:rPr>
        <w:t xml:space="preserve"> </w:t>
      </w:r>
      <w:r>
        <w:rPr>
          <w:sz w:val="18"/>
        </w:rPr>
        <w:t>of</w:t>
      </w:r>
      <w:r>
        <w:rPr>
          <w:spacing w:val="-2"/>
          <w:sz w:val="18"/>
        </w:rPr>
        <w:t xml:space="preserve"> </w:t>
      </w:r>
      <w:r>
        <w:rPr>
          <w:sz w:val="18"/>
        </w:rPr>
        <w:t>Death</w:t>
      </w:r>
      <w:r>
        <w:rPr>
          <w:spacing w:val="-3"/>
          <w:sz w:val="18"/>
        </w:rPr>
        <w:t xml:space="preserve"> </w:t>
      </w:r>
      <w:r>
        <w:rPr>
          <w:sz w:val="18"/>
        </w:rPr>
        <w:t>Threats</w:t>
      </w:r>
      <w:r>
        <w:rPr>
          <w:spacing w:val="-3"/>
          <w:sz w:val="18"/>
        </w:rPr>
        <w:t xml:space="preserve"> </w:t>
      </w:r>
      <w:r>
        <w:rPr>
          <w:sz w:val="18"/>
        </w:rPr>
        <w:t>and</w:t>
      </w:r>
      <w:r>
        <w:rPr>
          <w:spacing w:val="-3"/>
          <w:sz w:val="18"/>
        </w:rPr>
        <w:t xml:space="preserve"> </w:t>
      </w:r>
      <w:r>
        <w:rPr>
          <w:sz w:val="18"/>
        </w:rPr>
        <w:t>Hate</w:t>
      </w:r>
      <w:r>
        <w:rPr>
          <w:spacing w:val="-3"/>
          <w:sz w:val="18"/>
        </w:rPr>
        <w:t xml:space="preserve"> </w:t>
      </w:r>
      <w:r>
        <w:rPr>
          <w:sz w:val="18"/>
        </w:rPr>
        <w:t>Mail.</w:t>
      </w:r>
      <w:r>
        <w:rPr>
          <w:spacing w:val="-2"/>
          <w:sz w:val="18"/>
        </w:rPr>
        <w:t xml:space="preserve"> </w:t>
      </w:r>
      <w:r>
        <w:rPr>
          <w:sz w:val="18"/>
        </w:rPr>
        <w:t>H</w:t>
      </w:r>
      <w:r>
        <w:rPr>
          <w:sz w:val="18"/>
        </w:rPr>
        <w:t>ere’s</w:t>
      </w:r>
      <w:r>
        <w:rPr>
          <w:spacing w:val="-3"/>
          <w:sz w:val="18"/>
        </w:rPr>
        <w:t xml:space="preserve"> </w:t>
      </w:r>
      <w:r>
        <w:rPr>
          <w:sz w:val="18"/>
        </w:rPr>
        <w:t>How</w:t>
      </w:r>
      <w:r>
        <w:rPr>
          <w:spacing w:val="-1"/>
          <w:sz w:val="18"/>
        </w:rPr>
        <w:t xml:space="preserve"> </w:t>
      </w:r>
      <w:r>
        <w:rPr>
          <w:sz w:val="18"/>
        </w:rPr>
        <w:t>Staff</w:t>
      </w:r>
      <w:r>
        <w:rPr>
          <w:spacing w:val="-2"/>
          <w:sz w:val="18"/>
        </w:rPr>
        <w:t xml:space="preserve"> </w:t>
      </w:r>
      <w:r>
        <w:rPr>
          <w:sz w:val="18"/>
        </w:rPr>
        <w:t>Members</w:t>
      </w:r>
      <w:r>
        <w:rPr>
          <w:spacing w:val="-1"/>
          <w:sz w:val="18"/>
        </w:rPr>
        <w:t xml:space="preserve"> </w:t>
      </w:r>
      <w:r>
        <w:rPr>
          <w:sz w:val="18"/>
        </w:rPr>
        <w:t>Are</w:t>
      </w:r>
      <w:r>
        <w:rPr>
          <w:spacing w:val="-3"/>
          <w:sz w:val="18"/>
        </w:rPr>
        <w:t xml:space="preserve"> </w:t>
      </w:r>
      <w:r>
        <w:rPr>
          <w:sz w:val="18"/>
        </w:rPr>
        <w:t>Coping.” BostonGlobe.com. Accessed February 22, 2023. https://</w:t>
      </w:r>
      <w:hyperlink r:id="rId387">
        <w:r>
          <w:rPr>
            <w:sz w:val="18"/>
          </w:rPr>
          <w:t>www.bostonglobe.com/2022/12/03/metro/boston-childrens-faced-</w:t>
        </w:r>
      </w:hyperlink>
      <w:r>
        <w:rPr>
          <w:sz w:val="18"/>
        </w:rPr>
        <w:t xml:space="preserve"> </w:t>
      </w:r>
      <w:r>
        <w:rPr>
          <w:spacing w:val="-2"/>
          <w:sz w:val="18"/>
        </w:rPr>
        <w:t>months-death-threats-hate-mail-heres-how-staff-are-coping/?event=event12.</w:t>
      </w:r>
    </w:p>
    <w:p w:rsidR="00200FDA" w:rsidRDefault="00F76C4C">
      <w:pPr>
        <w:ind w:left="140" w:right="628" w:hanging="1"/>
        <w:rPr>
          <w:sz w:val="18"/>
        </w:rPr>
      </w:pPr>
      <w:bookmarkStart w:id="536" w:name="_bookmark407"/>
      <w:bookmarkEnd w:id="536"/>
      <w:r>
        <w:rPr>
          <w:position w:val="5"/>
          <w:sz w:val="12"/>
        </w:rPr>
        <w:t>56</w:t>
      </w:r>
      <w:r>
        <w:rPr>
          <w:spacing w:val="17"/>
          <w:position w:val="5"/>
          <w:sz w:val="12"/>
        </w:rPr>
        <w:t xml:space="preserve"> </w:t>
      </w:r>
      <w:r>
        <w:rPr>
          <w:sz w:val="18"/>
        </w:rPr>
        <w:t xml:space="preserve">Stanton, Cady. n.d. “11 States Have Already Introduced Bills Targeting Transgender Health Care in 2023.” USA TODAY. </w:t>
      </w:r>
      <w:r>
        <w:rPr>
          <w:spacing w:val="-2"/>
          <w:sz w:val="18"/>
        </w:rPr>
        <w:t>https://</w:t>
      </w:r>
      <w:hyperlink r:id="rId388">
        <w:r>
          <w:rPr>
            <w:spacing w:val="-2"/>
            <w:sz w:val="18"/>
          </w:rPr>
          <w:t>www.usatoday.com/story/news/nation/2023/01/09/bills-targeting-transgender-healthcare-2023/11012864002/.</w:t>
        </w:r>
      </w:hyperlink>
    </w:p>
    <w:p w:rsidR="00200FDA" w:rsidRDefault="00F76C4C">
      <w:pPr>
        <w:ind w:left="140" w:right="277" w:hanging="1"/>
        <w:rPr>
          <w:sz w:val="18"/>
        </w:rPr>
      </w:pPr>
      <w:bookmarkStart w:id="537" w:name="_bookmark408"/>
      <w:bookmarkEnd w:id="537"/>
      <w:r>
        <w:rPr>
          <w:position w:val="5"/>
          <w:sz w:val="12"/>
        </w:rPr>
        <w:t>57</w:t>
      </w:r>
      <w:r>
        <w:rPr>
          <w:spacing w:val="18"/>
          <w:position w:val="5"/>
          <w:sz w:val="12"/>
        </w:rPr>
        <w:t xml:space="preserve"> </w:t>
      </w:r>
      <w:r>
        <w:rPr>
          <w:sz w:val="18"/>
        </w:rPr>
        <w:t>Nakajima, Koko, and Connie Hanzhang Jin. 2022. “Bills Targeting Trans Youth</w:t>
      </w:r>
      <w:r>
        <w:rPr>
          <w:sz w:val="18"/>
        </w:rPr>
        <w:t xml:space="preserve"> Are Growing More Common — and Radically Reshaping</w:t>
      </w:r>
      <w:r>
        <w:rPr>
          <w:spacing w:val="-6"/>
          <w:sz w:val="18"/>
        </w:rPr>
        <w:t xml:space="preserve"> </w:t>
      </w:r>
      <w:r>
        <w:rPr>
          <w:sz w:val="18"/>
        </w:rPr>
        <w:t>Lives.”</w:t>
      </w:r>
      <w:r>
        <w:rPr>
          <w:spacing w:val="-6"/>
          <w:sz w:val="18"/>
        </w:rPr>
        <w:t xml:space="preserve"> </w:t>
      </w:r>
      <w:r>
        <w:rPr>
          <w:sz w:val="18"/>
        </w:rPr>
        <w:t>NPR,</w:t>
      </w:r>
      <w:r>
        <w:rPr>
          <w:spacing w:val="-5"/>
          <w:sz w:val="18"/>
        </w:rPr>
        <w:t xml:space="preserve"> </w:t>
      </w:r>
      <w:r>
        <w:rPr>
          <w:sz w:val="18"/>
        </w:rPr>
        <w:t>November</w:t>
      </w:r>
      <w:r>
        <w:rPr>
          <w:spacing w:val="-6"/>
          <w:sz w:val="18"/>
        </w:rPr>
        <w:t xml:space="preserve"> </w:t>
      </w:r>
      <w:r>
        <w:rPr>
          <w:sz w:val="18"/>
        </w:rPr>
        <w:t>28,</w:t>
      </w:r>
      <w:r>
        <w:rPr>
          <w:spacing w:val="-5"/>
          <w:sz w:val="18"/>
        </w:rPr>
        <w:t xml:space="preserve"> </w:t>
      </w:r>
      <w:r>
        <w:rPr>
          <w:sz w:val="18"/>
        </w:rPr>
        <w:t>2022,</w:t>
      </w:r>
      <w:r>
        <w:rPr>
          <w:spacing w:val="-5"/>
          <w:sz w:val="18"/>
        </w:rPr>
        <w:t xml:space="preserve"> </w:t>
      </w:r>
      <w:r>
        <w:rPr>
          <w:sz w:val="18"/>
        </w:rPr>
        <w:t>sec.</w:t>
      </w:r>
      <w:r>
        <w:rPr>
          <w:spacing w:val="-5"/>
          <w:sz w:val="18"/>
        </w:rPr>
        <w:t xml:space="preserve"> </w:t>
      </w:r>
      <w:r>
        <w:rPr>
          <w:sz w:val="18"/>
        </w:rPr>
        <w:t>National.</w:t>
      </w:r>
      <w:r>
        <w:rPr>
          <w:spacing w:val="-5"/>
          <w:sz w:val="18"/>
        </w:rPr>
        <w:t xml:space="preserve"> </w:t>
      </w:r>
      <w:r>
        <w:rPr>
          <w:sz w:val="18"/>
        </w:rPr>
        <w:t>https://</w:t>
      </w:r>
      <w:hyperlink r:id="rId389">
        <w:r>
          <w:rPr>
            <w:sz w:val="18"/>
          </w:rPr>
          <w:t>www.npr.org/2022/11/28/1138396067/transgender-youth-</w:t>
        </w:r>
      </w:hyperlink>
      <w:r>
        <w:rPr>
          <w:sz w:val="18"/>
        </w:rPr>
        <w:t xml:space="preserve"> </w:t>
      </w:r>
      <w:r>
        <w:rPr>
          <w:spacing w:val="-2"/>
          <w:sz w:val="18"/>
        </w:rPr>
        <w:t>bills-trans-sports</w:t>
      </w:r>
      <w:r>
        <w:rPr>
          <w:spacing w:val="-2"/>
          <w:sz w:val="18"/>
        </w:rPr>
        <w:t>.</w:t>
      </w:r>
    </w:p>
    <w:p w:rsidR="00200FDA" w:rsidRDefault="00F76C4C">
      <w:pPr>
        <w:ind w:left="140" w:right="308" w:hanging="1"/>
        <w:rPr>
          <w:sz w:val="18"/>
        </w:rPr>
      </w:pPr>
      <w:bookmarkStart w:id="538" w:name="_bookmark409"/>
      <w:bookmarkEnd w:id="538"/>
      <w:r>
        <w:rPr>
          <w:position w:val="5"/>
          <w:sz w:val="12"/>
        </w:rPr>
        <w:t>58</w:t>
      </w:r>
      <w:r>
        <w:rPr>
          <w:spacing w:val="10"/>
          <w:position w:val="5"/>
          <w:sz w:val="12"/>
        </w:rPr>
        <w:t xml:space="preserve"> </w:t>
      </w:r>
      <w:r>
        <w:rPr>
          <w:sz w:val="18"/>
        </w:rPr>
        <w:t>“Mapping</w:t>
      </w:r>
      <w:r>
        <w:rPr>
          <w:spacing w:val="-3"/>
          <w:sz w:val="18"/>
        </w:rPr>
        <w:t xml:space="preserve"> </w:t>
      </w:r>
      <w:r>
        <w:rPr>
          <w:sz w:val="18"/>
        </w:rPr>
        <w:t>Attacks</w:t>
      </w:r>
      <w:r>
        <w:rPr>
          <w:spacing w:val="-3"/>
          <w:sz w:val="18"/>
        </w:rPr>
        <w:t xml:space="preserve"> </w:t>
      </w:r>
      <w:r>
        <w:rPr>
          <w:sz w:val="18"/>
        </w:rPr>
        <w:t>on</w:t>
      </w:r>
      <w:r>
        <w:rPr>
          <w:spacing w:val="-3"/>
          <w:sz w:val="18"/>
        </w:rPr>
        <w:t xml:space="preserve"> </w:t>
      </w:r>
      <w:r>
        <w:rPr>
          <w:sz w:val="18"/>
        </w:rPr>
        <w:t>LGBTQ</w:t>
      </w:r>
      <w:r>
        <w:rPr>
          <w:spacing w:val="-3"/>
          <w:sz w:val="18"/>
        </w:rPr>
        <w:t xml:space="preserve"> </w:t>
      </w:r>
      <w:r>
        <w:rPr>
          <w:sz w:val="18"/>
        </w:rPr>
        <w:t>Rights</w:t>
      </w:r>
      <w:r>
        <w:rPr>
          <w:spacing w:val="-3"/>
          <w:sz w:val="18"/>
        </w:rPr>
        <w:t xml:space="preserve"> </w:t>
      </w:r>
      <w:r>
        <w:rPr>
          <w:sz w:val="18"/>
        </w:rPr>
        <w:t>in</w:t>
      </w:r>
      <w:r>
        <w:rPr>
          <w:spacing w:val="-1"/>
          <w:sz w:val="18"/>
        </w:rPr>
        <w:t xml:space="preserve"> </w:t>
      </w:r>
      <w:r>
        <w:rPr>
          <w:sz w:val="18"/>
        </w:rPr>
        <w:t>U.S.</w:t>
      </w:r>
      <w:r>
        <w:rPr>
          <w:spacing w:val="-2"/>
          <w:sz w:val="18"/>
        </w:rPr>
        <w:t xml:space="preserve"> </w:t>
      </w:r>
      <w:r>
        <w:rPr>
          <w:sz w:val="18"/>
        </w:rPr>
        <w:t>State</w:t>
      </w:r>
      <w:r>
        <w:rPr>
          <w:spacing w:val="-3"/>
          <w:sz w:val="18"/>
        </w:rPr>
        <w:t xml:space="preserve"> </w:t>
      </w:r>
      <w:r>
        <w:rPr>
          <w:sz w:val="18"/>
        </w:rPr>
        <w:t>Legislatures,”</w:t>
      </w:r>
      <w:r>
        <w:rPr>
          <w:spacing w:val="-3"/>
          <w:sz w:val="18"/>
        </w:rPr>
        <w:t xml:space="preserve"> </w:t>
      </w:r>
      <w:r>
        <w:rPr>
          <w:i/>
          <w:sz w:val="18"/>
        </w:rPr>
        <w:t>American</w:t>
      </w:r>
      <w:r>
        <w:rPr>
          <w:i/>
          <w:spacing w:val="-1"/>
          <w:sz w:val="18"/>
        </w:rPr>
        <w:t xml:space="preserve"> </w:t>
      </w:r>
      <w:r>
        <w:rPr>
          <w:i/>
          <w:sz w:val="18"/>
        </w:rPr>
        <w:t>Civil</w:t>
      </w:r>
      <w:r>
        <w:rPr>
          <w:i/>
          <w:spacing w:val="-3"/>
          <w:sz w:val="18"/>
        </w:rPr>
        <w:t xml:space="preserve"> </w:t>
      </w:r>
      <w:r>
        <w:rPr>
          <w:i/>
          <w:sz w:val="18"/>
        </w:rPr>
        <w:t>Liberties</w:t>
      </w:r>
      <w:r>
        <w:rPr>
          <w:i/>
          <w:spacing w:val="-3"/>
          <w:sz w:val="18"/>
        </w:rPr>
        <w:t xml:space="preserve"> </w:t>
      </w:r>
      <w:r>
        <w:rPr>
          <w:i/>
          <w:sz w:val="18"/>
        </w:rPr>
        <w:t>Union</w:t>
      </w:r>
      <w:r>
        <w:rPr>
          <w:i/>
          <w:spacing w:val="-1"/>
          <w:sz w:val="18"/>
        </w:rPr>
        <w:t xml:space="preserve"> </w:t>
      </w:r>
      <w:r>
        <w:rPr>
          <w:sz w:val="18"/>
        </w:rPr>
        <w:t>(blog),</w:t>
      </w:r>
      <w:r>
        <w:rPr>
          <w:spacing w:val="-2"/>
          <w:sz w:val="18"/>
        </w:rPr>
        <w:t xml:space="preserve"> </w:t>
      </w:r>
      <w:r>
        <w:rPr>
          <w:sz w:val="18"/>
        </w:rPr>
        <w:t>accessed</w:t>
      </w:r>
      <w:r>
        <w:rPr>
          <w:spacing w:val="-3"/>
          <w:sz w:val="18"/>
        </w:rPr>
        <w:t xml:space="preserve"> </w:t>
      </w:r>
      <w:r>
        <w:rPr>
          <w:sz w:val="18"/>
        </w:rPr>
        <w:t>April</w:t>
      </w:r>
      <w:r>
        <w:rPr>
          <w:spacing w:val="-3"/>
          <w:sz w:val="18"/>
        </w:rPr>
        <w:t xml:space="preserve"> </w:t>
      </w:r>
      <w:r>
        <w:rPr>
          <w:sz w:val="18"/>
        </w:rPr>
        <w:t>24,</w:t>
      </w:r>
      <w:r>
        <w:rPr>
          <w:spacing w:val="-2"/>
          <w:sz w:val="18"/>
        </w:rPr>
        <w:t xml:space="preserve"> </w:t>
      </w:r>
      <w:r>
        <w:rPr>
          <w:sz w:val="18"/>
        </w:rPr>
        <w:t xml:space="preserve">2023, </w:t>
      </w:r>
      <w:r>
        <w:rPr>
          <w:spacing w:val="-2"/>
          <w:sz w:val="18"/>
        </w:rPr>
        <w:t>https://</w:t>
      </w:r>
      <w:hyperlink r:id="rId390">
        <w:r>
          <w:rPr>
            <w:spacing w:val="-2"/>
            <w:sz w:val="18"/>
          </w:rPr>
          <w:t>www.aclu.org/legislative-attacks-on-lgbtq-rights.</w:t>
        </w:r>
      </w:hyperlink>
    </w:p>
    <w:p w:rsidR="00200FDA" w:rsidRDefault="00F76C4C">
      <w:pPr>
        <w:ind w:left="139" w:right="218"/>
        <w:rPr>
          <w:sz w:val="18"/>
        </w:rPr>
      </w:pPr>
      <w:bookmarkStart w:id="539" w:name="_bookmark410"/>
      <w:bookmarkEnd w:id="539"/>
      <w:r>
        <w:rPr>
          <w:position w:val="5"/>
          <w:sz w:val="12"/>
        </w:rPr>
        <w:t>59</w:t>
      </w:r>
      <w:r>
        <w:rPr>
          <w:spacing w:val="18"/>
          <w:position w:val="5"/>
          <w:sz w:val="12"/>
        </w:rPr>
        <w:t xml:space="preserve"> </w:t>
      </w:r>
      <w:r>
        <w:rPr>
          <w:sz w:val="18"/>
        </w:rPr>
        <w:t>Hughto, Jaclyn M. W., David J. Meyers, Matthew J. Mimiaga, Sari L. Reisner, and Sean Cahill. 2021. “Uncertainty and Confusion</w:t>
      </w:r>
      <w:r>
        <w:rPr>
          <w:spacing w:val="-4"/>
          <w:sz w:val="18"/>
        </w:rPr>
        <w:t xml:space="preserve"> </w:t>
      </w:r>
      <w:r>
        <w:rPr>
          <w:sz w:val="18"/>
        </w:rPr>
        <w:t>Regarding</w:t>
      </w:r>
      <w:r>
        <w:rPr>
          <w:spacing w:val="-4"/>
          <w:sz w:val="18"/>
        </w:rPr>
        <w:t xml:space="preserve"> </w:t>
      </w:r>
      <w:r>
        <w:rPr>
          <w:sz w:val="18"/>
        </w:rPr>
        <w:t>Transgender</w:t>
      </w:r>
      <w:r>
        <w:rPr>
          <w:spacing w:val="-4"/>
          <w:sz w:val="18"/>
        </w:rPr>
        <w:t xml:space="preserve"> </w:t>
      </w:r>
      <w:r>
        <w:rPr>
          <w:sz w:val="18"/>
        </w:rPr>
        <w:t>Non-Discrimination</w:t>
      </w:r>
      <w:r>
        <w:rPr>
          <w:spacing w:val="-4"/>
          <w:sz w:val="18"/>
        </w:rPr>
        <w:t xml:space="preserve"> </w:t>
      </w:r>
      <w:r>
        <w:rPr>
          <w:sz w:val="18"/>
        </w:rPr>
        <w:t>Policies:</w:t>
      </w:r>
      <w:r>
        <w:rPr>
          <w:spacing w:val="-4"/>
          <w:sz w:val="18"/>
        </w:rPr>
        <w:t xml:space="preserve"> </w:t>
      </w:r>
      <w:r>
        <w:rPr>
          <w:sz w:val="18"/>
        </w:rPr>
        <w:t>Implications</w:t>
      </w:r>
      <w:r>
        <w:rPr>
          <w:spacing w:val="-4"/>
          <w:sz w:val="18"/>
        </w:rPr>
        <w:t xml:space="preserve"> </w:t>
      </w:r>
      <w:r>
        <w:rPr>
          <w:sz w:val="18"/>
        </w:rPr>
        <w:t>for</w:t>
      </w:r>
      <w:r>
        <w:rPr>
          <w:spacing w:val="-4"/>
          <w:sz w:val="18"/>
        </w:rPr>
        <w:t xml:space="preserve"> </w:t>
      </w:r>
      <w:r>
        <w:rPr>
          <w:sz w:val="18"/>
        </w:rPr>
        <w:t>the</w:t>
      </w:r>
      <w:r>
        <w:rPr>
          <w:spacing w:val="-2"/>
          <w:sz w:val="18"/>
        </w:rPr>
        <w:t xml:space="preserve"> </w:t>
      </w:r>
      <w:r>
        <w:rPr>
          <w:sz w:val="18"/>
        </w:rPr>
        <w:t>Menta</w:t>
      </w:r>
      <w:r>
        <w:rPr>
          <w:sz w:val="18"/>
        </w:rPr>
        <w:t>l</w:t>
      </w:r>
      <w:r>
        <w:rPr>
          <w:spacing w:val="-4"/>
          <w:sz w:val="18"/>
        </w:rPr>
        <w:t xml:space="preserve"> </w:t>
      </w:r>
      <w:r>
        <w:rPr>
          <w:sz w:val="18"/>
        </w:rPr>
        <w:t>Health</w:t>
      </w:r>
      <w:r>
        <w:rPr>
          <w:spacing w:val="-2"/>
          <w:sz w:val="18"/>
        </w:rPr>
        <w:t xml:space="preserve"> </w:t>
      </w:r>
      <w:r>
        <w:rPr>
          <w:sz w:val="18"/>
        </w:rPr>
        <w:t>of</w:t>
      </w:r>
      <w:r>
        <w:rPr>
          <w:spacing w:val="-3"/>
          <w:sz w:val="18"/>
        </w:rPr>
        <w:t xml:space="preserve"> </w:t>
      </w:r>
      <w:r>
        <w:rPr>
          <w:sz w:val="18"/>
        </w:rPr>
        <w:t>Transgender</w:t>
      </w:r>
      <w:r>
        <w:rPr>
          <w:spacing w:val="-4"/>
          <w:sz w:val="18"/>
        </w:rPr>
        <w:t xml:space="preserve"> </w:t>
      </w:r>
      <w:r>
        <w:rPr>
          <w:sz w:val="18"/>
        </w:rPr>
        <w:t>Americans.” Sexuality Research and Social Policy, June. https://doi.org/10.1007/s13178-021-00602-w.</w:t>
      </w:r>
    </w:p>
    <w:p w:rsidR="00200FDA" w:rsidRDefault="00F76C4C">
      <w:pPr>
        <w:ind w:left="139"/>
        <w:rPr>
          <w:sz w:val="18"/>
        </w:rPr>
      </w:pPr>
      <w:bookmarkStart w:id="540" w:name="_bookmark411"/>
      <w:bookmarkEnd w:id="540"/>
      <w:r>
        <w:rPr>
          <w:position w:val="5"/>
          <w:sz w:val="12"/>
        </w:rPr>
        <w:t>60</w:t>
      </w:r>
      <w:r>
        <w:rPr>
          <w:spacing w:val="10"/>
          <w:position w:val="5"/>
          <w:sz w:val="12"/>
        </w:rPr>
        <w:t xml:space="preserve"> </w:t>
      </w:r>
      <w:r>
        <w:rPr>
          <w:sz w:val="18"/>
        </w:rPr>
        <w:t>Weaver,</w:t>
      </w:r>
      <w:r>
        <w:rPr>
          <w:spacing w:val="-2"/>
          <w:sz w:val="18"/>
        </w:rPr>
        <w:t xml:space="preserve"> </w:t>
      </w:r>
      <w:r>
        <w:rPr>
          <w:sz w:val="18"/>
        </w:rPr>
        <w:t>Josh.</w:t>
      </w:r>
      <w:r>
        <w:rPr>
          <w:spacing w:val="-2"/>
          <w:sz w:val="18"/>
        </w:rPr>
        <w:t xml:space="preserve"> </w:t>
      </w:r>
      <w:r>
        <w:rPr>
          <w:sz w:val="18"/>
        </w:rPr>
        <w:t>“New</w:t>
      </w:r>
      <w:r>
        <w:rPr>
          <w:spacing w:val="-1"/>
          <w:sz w:val="18"/>
        </w:rPr>
        <w:t xml:space="preserve"> </w:t>
      </w:r>
      <w:r>
        <w:rPr>
          <w:sz w:val="18"/>
        </w:rPr>
        <w:t>Poll</w:t>
      </w:r>
      <w:r>
        <w:rPr>
          <w:spacing w:val="-3"/>
          <w:sz w:val="18"/>
        </w:rPr>
        <w:t xml:space="preserve"> </w:t>
      </w:r>
      <w:r>
        <w:rPr>
          <w:sz w:val="18"/>
        </w:rPr>
        <w:t>Illustrates</w:t>
      </w:r>
      <w:r>
        <w:rPr>
          <w:spacing w:val="-3"/>
          <w:sz w:val="18"/>
        </w:rPr>
        <w:t xml:space="preserve"> </w:t>
      </w:r>
      <w:r>
        <w:rPr>
          <w:sz w:val="18"/>
        </w:rPr>
        <w:t>the</w:t>
      </w:r>
      <w:r>
        <w:rPr>
          <w:spacing w:val="-3"/>
          <w:sz w:val="18"/>
        </w:rPr>
        <w:t xml:space="preserve"> </w:t>
      </w:r>
      <w:r>
        <w:rPr>
          <w:sz w:val="18"/>
        </w:rPr>
        <w:t>Impacts</w:t>
      </w:r>
      <w:r>
        <w:rPr>
          <w:spacing w:val="-3"/>
          <w:sz w:val="18"/>
        </w:rPr>
        <w:t xml:space="preserve"> </w:t>
      </w:r>
      <w:r>
        <w:rPr>
          <w:sz w:val="18"/>
        </w:rPr>
        <w:t>of</w:t>
      </w:r>
      <w:r>
        <w:rPr>
          <w:spacing w:val="-2"/>
          <w:sz w:val="18"/>
        </w:rPr>
        <w:t xml:space="preserve"> </w:t>
      </w:r>
      <w:r>
        <w:rPr>
          <w:sz w:val="18"/>
        </w:rPr>
        <w:t>Social</w:t>
      </w:r>
      <w:r>
        <w:rPr>
          <w:spacing w:val="-3"/>
          <w:sz w:val="18"/>
        </w:rPr>
        <w:t xml:space="preserve"> </w:t>
      </w:r>
      <w:r>
        <w:rPr>
          <w:sz w:val="18"/>
        </w:rPr>
        <w:t>&amp;</w:t>
      </w:r>
      <w:r>
        <w:rPr>
          <w:spacing w:val="-3"/>
          <w:sz w:val="18"/>
        </w:rPr>
        <w:t xml:space="preserve"> </w:t>
      </w:r>
      <w:r>
        <w:rPr>
          <w:sz w:val="18"/>
        </w:rPr>
        <w:t>Political</w:t>
      </w:r>
      <w:r>
        <w:rPr>
          <w:spacing w:val="-3"/>
          <w:sz w:val="18"/>
        </w:rPr>
        <w:t xml:space="preserve"> </w:t>
      </w:r>
      <w:r>
        <w:rPr>
          <w:sz w:val="18"/>
        </w:rPr>
        <w:t>Issues</w:t>
      </w:r>
      <w:r>
        <w:rPr>
          <w:spacing w:val="-3"/>
          <w:sz w:val="18"/>
        </w:rPr>
        <w:t xml:space="preserve"> </w:t>
      </w:r>
      <w:r>
        <w:rPr>
          <w:sz w:val="18"/>
        </w:rPr>
        <w:t>on</w:t>
      </w:r>
      <w:r>
        <w:rPr>
          <w:spacing w:val="-3"/>
          <w:sz w:val="18"/>
        </w:rPr>
        <w:t xml:space="preserve"> </w:t>
      </w:r>
      <w:r>
        <w:rPr>
          <w:sz w:val="18"/>
        </w:rPr>
        <w:t>LGBTQ</w:t>
      </w:r>
      <w:r>
        <w:rPr>
          <w:spacing w:val="-3"/>
          <w:sz w:val="18"/>
        </w:rPr>
        <w:t xml:space="preserve"> </w:t>
      </w:r>
      <w:r>
        <w:rPr>
          <w:sz w:val="18"/>
        </w:rPr>
        <w:t>Youth,”</w:t>
      </w:r>
      <w:r>
        <w:rPr>
          <w:spacing w:val="-3"/>
          <w:sz w:val="18"/>
        </w:rPr>
        <w:t xml:space="preserve"> </w:t>
      </w:r>
      <w:r>
        <w:rPr>
          <w:sz w:val="18"/>
        </w:rPr>
        <w:t>The</w:t>
      </w:r>
      <w:r>
        <w:rPr>
          <w:spacing w:val="-3"/>
          <w:sz w:val="18"/>
        </w:rPr>
        <w:t xml:space="preserve"> </w:t>
      </w:r>
      <w:r>
        <w:rPr>
          <w:sz w:val="18"/>
        </w:rPr>
        <w:t>Trevor</w:t>
      </w:r>
      <w:r>
        <w:rPr>
          <w:spacing w:val="-3"/>
          <w:sz w:val="18"/>
        </w:rPr>
        <w:t xml:space="preserve"> </w:t>
      </w:r>
      <w:r>
        <w:rPr>
          <w:sz w:val="18"/>
        </w:rPr>
        <w:t>Project,</w:t>
      </w:r>
      <w:r>
        <w:rPr>
          <w:spacing w:val="-2"/>
          <w:sz w:val="18"/>
        </w:rPr>
        <w:t xml:space="preserve"> </w:t>
      </w:r>
      <w:r>
        <w:rPr>
          <w:sz w:val="18"/>
        </w:rPr>
        <w:t>January</w:t>
      </w:r>
      <w:r>
        <w:rPr>
          <w:spacing w:val="-2"/>
          <w:sz w:val="18"/>
        </w:rPr>
        <w:t xml:space="preserve"> </w:t>
      </w:r>
      <w:r>
        <w:rPr>
          <w:sz w:val="18"/>
        </w:rPr>
        <w:t xml:space="preserve">10, </w:t>
      </w:r>
      <w:r>
        <w:rPr>
          <w:spacing w:val="-2"/>
          <w:sz w:val="18"/>
        </w:rPr>
        <w:t>202</w:t>
      </w:r>
      <w:r>
        <w:rPr>
          <w:spacing w:val="-2"/>
          <w:sz w:val="18"/>
        </w:rPr>
        <w:t>2.</w:t>
      </w:r>
    </w:p>
    <w:p w:rsidR="00200FDA" w:rsidRDefault="00F76C4C">
      <w:pPr>
        <w:ind w:left="140" w:right="1498" w:hanging="1"/>
        <w:rPr>
          <w:sz w:val="18"/>
        </w:rPr>
      </w:pPr>
      <w:bookmarkStart w:id="541" w:name="_bookmark412"/>
      <w:bookmarkEnd w:id="541"/>
      <w:r>
        <w:rPr>
          <w:position w:val="5"/>
          <w:sz w:val="12"/>
        </w:rPr>
        <w:t>61</w:t>
      </w:r>
      <w:r>
        <w:rPr>
          <w:spacing w:val="9"/>
          <w:position w:val="5"/>
          <w:sz w:val="12"/>
        </w:rPr>
        <w:t xml:space="preserve"> </w:t>
      </w:r>
      <w:r>
        <w:rPr>
          <w:sz w:val="18"/>
        </w:rPr>
        <w:t>GLAD.</w:t>
      </w:r>
      <w:r>
        <w:rPr>
          <w:spacing w:val="-3"/>
          <w:sz w:val="18"/>
        </w:rPr>
        <w:t xml:space="preserve"> </w:t>
      </w:r>
      <w:r>
        <w:rPr>
          <w:sz w:val="18"/>
        </w:rPr>
        <w:t>2022.</w:t>
      </w:r>
      <w:r>
        <w:rPr>
          <w:spacing w:val="-3"/>
          <w:sz w:val="18"/>
        </w:rPr>
        <w:t xml:space="preserve"> </w:t>
      </w:r>
      <w:r>
        <w:rPr>
          <w:sz w:val="18"/>
        </w:rPr>
        <w:t>“Advocates</w:t>
      </w:r>
      <w:r>
        <w:rPr>
          <w:spacing w:val="-4"/>
          <w:sz w:val="18"/>
        </w:rPr>
        <w:t xml:space="preserve"> </w:t>
      </w:r>
      <w:r>
        <w:rPr>
          <w:sz w:val="18"/>
        </w:rPr>
        <w:t>Praise</w:t>
      </w:r>
      <w:r>
        <w:rPr>
          <w:spacing w:val="-2"/>
          <w:sz w:val="18"/>
        </w:rPr>
        <w:t xml:space="preserve"> </w:t>
      </w:r>
      <w:r>
        <w:rPr>
          <w:sz w:val="18"/>
        </w:rPr>
        <w:t>MA</w:t>
      </w:r>
      <w:r>
        <w:rPr>
          <w:spacing w:val="-4"/>
          <w:sz w:val="18"/>
        </w:rPr>
        <w:t xml:space="preserve"> </w:t>
      </w:r>
      <w:r>
        <w:rPr>
          <w:sz w:val="18"/>
        </w:rPr>
        <w:t>Protection</w:t>
      </w:r>
      <w:r>
        <w:rPr>
          <w:spacing w:val="-4"/>
          <w:sz w:val="18"/>
        </w:rPr>
        <w:t xml:space="preserve"> </w:t>
      </w:r>
      <w:r>
        <w:rPr>
          <w:sz w:val="18"/>
        </w:rPr>
        <w:t>for</w:t>
      </w:r>
      <w:r>
        <w:rPr>
          <w:spacing w:val="-4"/>
          <w:sz w:val="18"/>
        </w:rPr>
        <w:t xml:space="preserve"> </w:t>
      </w:r>
      <w:r>
        <w:rPr>
          <w:sz w:val="18"/>
        </w:rPr>
        <w:t>Abortion,</w:t>
      </w:r>
      <w:r>
        <w:rPr>
          <w:spacing w:val="-3"/>
          <w:sz w:val="18"/>
        </w:rPr>
        <w:t xml:space="preserve"> </w:t>
      </w:r>
      <w:r>
        <w:rPr>
          <w:sz w:val="18"/>
        </w:rPr>
        <w:t>Gender-Affirming</w:t>
      </w:r>
      <w:r>
        <w:rPr>
          <w:spacing w:val="-4"/>
          <w:sz w:val="18"/>
        </w:rPr>
        <w:t xml:space="preserve"> </w:t>
      </w:r>
      <w:r>
        <w:rPr>
          <w:sz w:val="18"/>
        </w:rPr>
        <w:t>Care.”</w:t>
      </w:r>
      <w:r>
        <w:rPr>
          <w:spacing w:val="-4"/>
          <w:sz w:val="18"/>
        </w:rPr>
        <w:t xml:space="preserve"> </w:t>
      </w:r>
      <w:r>
        <w:rPr>
          <w:sz w:val="18"/>
        </w:rPr>
        <w:t>GLAD.</w:t>
      </w:r>
      <w:r>
        <w:rPr>
          <w:spacing w:val="-1"/>
          <w:sz w:val="18"/>
        </w:rPr>
        <w:t xml:space="preserve"> </w:t>
      </w:r>
      <w:r>
        <w:rPr>
          <w:sz w:val="18"/>
        </w:rPr>
        <w:t>August</w:t>
      </w:r>
      <w:r>
        <w:rPr>
          <w:spacing w:val="-4"/>
          <w:sz w:val="18"/>
        </w:rPr>
        <w:t xml:space="preserve"> </w:t>
      </w:r>
      <w:r>
        <w:rPr>
          <w:sz w:val="18"/>
        </w:rPr>
        <w:t>1,</w:t>
      </w:r>
      <w:r>
        <w:rPr>
          <w:spacing w:val="-3"/>
          <w:sz w:val="18"/>
        </w:rPr>
        <w:t xml:space="preserve"> </w:t>
      </w:r>
      <w:r>
        <w:rPr>
          <w:sz w:val="18"/>
        </w:rPr>
        <w:t xml:space="preserve">2022. </w:t>
      </w:r>
      <w:r>
        <w:rPr>
          <w:spacing w:val="-2"/>
          <w:sz w:val="18"/>
        </w:rPr>
        <w:t>https://</w:t>
      </w:r>
      <w:hyperlink r:id="rId391">
        <w:r>
          <w:rPr>
            <w:spacing w:val="-2"/>
            <w:sz w:val="18"/>
          </w:rPr>
          <w:t>www.glad.org/post/advocates-praise-ma-protection-for-abortion-gender-affirming-care/.</w:t>
        </w:r>
      </w:hyperlink>
    </w:p>
    <w:p w:rsidR="00200FDA" w:rsidRDefault="00F76C4C">
      <w:pPr>
        <w:ind w:left="139" w:right="267"/>
        <w:jc w:val="both"/>
        <w:rPr>
          <w:sz w:val="18"/>
        </w:rPr>
      </w:pPr>
      <w:bookmarkStart w:id="542" w:name="_bookmark413"/>
      <w:bookmarkEnd w:id="542"/>
      <w:r>
        <w:rPr>
          <w:position w:val="5"/>
          <w:sz w:val="12"/>
        </w:rPr>
        <w:t>62</w:t>
      </w:r>
      <w:r>
        <w:rPr>
          <w:spacing w:val="10"/>
          <w:position w:val="5"/>
          <w:sz w:val="12"/>
        </w:rPr>
        <w:t xml:space="preserve"> </w:t>
      </w:r>
      <w:r>
        <w:rPr>
          <w:sz w:val="18"/>
        </w:rPr>
        <w:t>Twitter,</w:t>
      </w:r>
      <w:r>
        <w:rPr>
          <w:spacing w:val="-2"/>
          <w:sz w:val="18"/>
        </w:rPr>
        <w:t xml:space="preserve"> </w:t>
      </w:r>
      <w:r>
        <w:rPr>
          <w:sz w:val="18"/>
        </w:rPr>
        <w:t>Instagram,</w:t>
      </w:r>
      <w:r>
        <w:rPr>
          <w:spacing w:val="-2"/>
          <w:sz w:val="18"/>
        </w:rPr>
        <w:t xml:space="preserve"> </w:t>
      </w:r>
      <w:r>
        <w:rPr>
          <w:sz w:val="18"/>
        </w:rPr>
        <w:t>Email,</w:t>
      </w:r>
      <w:r>
        <w:rPr>
          <w:spacing w:val="-2"/>
          <w:sz w:val="18"/>
        </w:rPr>
        <w:t xml:space="preserve"> </w:t>
      </w:r>
      <w:r>
        <w:rPr>
          <w:sz w:val="18"/>
        </w:rPr>
        <w:t>and</w:t>
      </w:r>
      <w:r>
        <w:rPr>
          <w:spacing w:val="-3"/>
          <w:sz w:val="18"/>
        </w:rPr>
        <w:t xml:space="preserve"> </w:t>
      </w:r>
      <w:r>
        <w:rPr>
          <w:sz w:val="18"/>
        </w:rPr>
        <w:t>Facebook.</w:t>
      </w:r>
      <w:r>
        <w:rPr>
          <w:spacing w:val="-2"/>
          <w:sz w:val="18"/>
        </w:rPr>
        <w:t xml:space="preserve"> </w:t>
      </w:r>
      <w:r>
        <w:rPr>
          <w:sz w:val="18"/>
        </w:rPr>
        <w:t>2022.</w:t>
      </w:r>
      <w:r>
        <w:rPr>
          <w:spacing w:val="-2"/>
          <w:sz w:val="18"/>
        </w:rPr>
        <w:t xml:space="preserve"> </w:t>
      </w:r>
      <w:r>
        <w:rPr>
          <w:sz w:val="18"/>
        </w:rPr>
        <w:t>“Newsom</w:t>
      </w:r>
      <w:r>
        <w:rPr>
          <w:spacing w:val="-2"/>
          <w:sz w:val="18"/>
        </w:rPr>
        <w:t xml:space="preserve"> </w:t>
      </w:r>
      <w:r>
        <w:rPr>
          <w:sz w:val="18"/>
        </w:rPr>
        <w:t>Signs</w:t>
      </w:r>
      <w:r>
        <w:rPr>
          <w:spacing w:val="-3"/>
          <w:sz w:val="18"/>
        </w:rPr>
        <w:t xml:space="preserve"> </w:t>
      </w:r>
      <w:r>
        <w:rPr>
          <w:sz w:val="18"/>
        </w:rPr>
        <w:t>Bill</w:t>
      </w:r>
      <w:r>
        <w:rPr>
          <w:spacing w:val="-3"/>
          <w:sz w:val="18"/>
        </w:rPr>
        <w:t xml:space="preserve"> </w:t>
      </w:r>
      <w:r>
        <w:rPr>
          <w:sz w:val="18"/>
        </w:rPr>
        <w:t>Protecting</w:t>
      </w:r>
      <w:r>
        <w:rPr>
          <w:spacing w:val="-3"/>
          <w:sz w:val="18"/>
        </w:rPr>
        <w:t xml:space="preserve"> </w:t>
      </w:r>
      <w:r>
        <w:rPr>
          <w:sz w:val="18"/>
        </w:rPr>
        <w:t>Transgender</w:t>
      </w:r>
      <w:r>
        <w:rPr>
          <w:spacing w:val="-3"/>
          <w:sz w:val="18"/>
        </w:rPr>
        <w:t xml:space="preserve"> </w:t>
      </w:r>
      <w:r>
        <w:rPr>
          <w:sz w:val="18"/>
        </w:rPr>
        <w:t>Youths</w:t>
      </w:r>
      <w:r>
        <w:rPr>
          <w:spacing w:val="-1"/>
          <w:sz w:val="18"/>
        </w:rPr>
        <w:t xml:space="preserve"> </w:t>
      </w:r>
      <w:r>
        <w:rPr>
          <w:sz w:val="18"/>
        </w:rPr>
        <w:t>and</w:t>
      </w:r>
      <w:r>
        <w:rPr>
          <w:spacing w:val="-3"/>
          <w:sz w:val="18"/>
        </w:rPr>
        <w:t xml:space="preserve"> </w:t>
      </w:r>
      <w:r>
        <w:rPr>
          <w:sz w:val="18"/>
        </w:rPr>
        <w:t>Families</w:t>
      </w:r>
      <w:r>
        <w:rPr>
          <w:spacing w:val="-1"/>
          <w:sz w:val="18"/>
        </w:rPr>
        <w:t xml:space="preserve"> </w:t>
      </w:r>
      <w:r>
        <w:rPr>
          <w:sz w:val="18"/>
        </w:rPr>
        <w:t>Fleeing</w:t>
      </w:r>
      <w:r>
        <w:rPr>
          <w:spacing w:val="-3"/>
          <w:sz w:val="18"/>
        </w:rPr>
        <w:t xml:space="preserve"> </w:t>
      </w:r>
      <w:r>
        <w:rPr>
          <w:sz w:val="18"/>
        </w:rPr>
        <w:t>Red- State</w:t>
      </w:r>
      <w:r>
        <w:rPr>
          <w:spacing w:val="-5"/>
          <w:sz w:val="18"/>
        </w:rPr>
        <w:t xml:space="preserve"> </w:t>
      </w:r>
      <w:r>
        <w:rPr>
          <w:sz w:val="18"/>
        </w:rPr>
        <w:t>Policies.”</w:t>
      </w:r>
      <w:r>
        <w:rPr>
          <w:spacing w:val="-5"/>
          <w:sz w:val="18"/>
        </w:rPr>
        <w:t xml:space="preserve"> </w:t>
      </w:r>
      <w:r>
        <w:rPr>
          <w:sz w:val="18"/>
        </w:rPr>
        <w:t>Los</w:t>
      </w:r>
      <w:r>
        <w:rPr>
          <w:spacing w:val="-5"/>
          <w:sz w:val="18"/>
        </w:rPr>
        <w:t xml:space="preserve"> </w:t>
      </w:r>
      <w:r>
        <w:rPr>
          <w:sz w:val="18"/>
        </w:rPr>
        <w:t>Angeles</w:t>
      </w:r>
      <w:r>
        <w:rPr>
          <w:spacing w:val="-5"/>
          <w:sz w:val="18"/>
        </w:rPr>
        <w:t xml:space="preserve"> </w:t>
      </w:r>
      <w:r>
        <w:rPr>
          <w:sz w:val="18"/>
        </w:rPr>
        <w:t>Times.</w:t>
      </w:r>
      <w:r>
        <w:rPr>
          <w:spacing w:val="-5"/>
          <w:sz w:val="18"/>
        </w:rPr>
        <w:t xml:space="preserve"> </w:t>
      </w:r>
      <w:r>
        <w:rPr>
          <w:sz w:val="18"/>
        </w:rPr>
        <w:t>September</w:t>
      </w:r>
      <w:r>
        <w:rPr>
          <w:spacing w:val="-5"/>
          <w:sz w:val="18"/>
        </w:rPr>
        <w:t xml:space="preserve"> </w:t>
      </w:r>
      <w:r>
        <w:rPr>
          <w:sz w:val="18"/>
        </w:rPr>
        <w:t>30,</w:t>
      </w:r>
      <w:r>
        <w:rPr>
          <w:spacing w:val="-5"/>
          <w:sz w:val="18"/>
        </w:rPr>
        <w:t xml:space="preserve"> </w:t>
      </w:r>
      <w:r>
        <w:rPr>
          <w:sz w:val="18"/>
        </w:rPr>
        <w:t>2022.</w:t>
      </w:r>
      <w:r>
        <w:rPr>
          <w:spacing w:val="-5"/>
          <w:sz w:val="18"/>
        </w:rPr>
        <w:t xml:space="preserve"> </w:t>
      </w:r>
      <w:r>
        <w:rPr>
          <w:sz w:val="18"/>
        </w:rPr>
        <w:t>https://</w:t>
      </w:r>
      <w:hyperlink r:id="rId392">
        <w:r>
          <w:rPr>
            <w:sz w:val="18"/>
          </w:rPr>
          <w:t>www.latimes.com/california/story/2022-09-29/with-new-law-</w:t>
        </w:r>
      </w:hyperlink>
      <w:r>
        <w:rPr>
          <w:sz w:val="18"/>
        </w:rPr>
        <w:t xml:space="preserve"> </w:t>
      </w:r>
      <w:r>
        <w:rPr>
          <w:spacing w:val="-2"/>
          <w:sz w:val="18"/>
        </w:rPr>
        <w:t>california-welcomes-out-of-state-transgender-youth.</w:t>
      </w:r>
    </w:p>
    <w:p w:rsidR="00200FDA" w:rsidRDefault="00F76C4C">
      <w:pPr>
        <w:ind w:left="140" w:right="234" w:hanging="1"/>
        <w:rPr>
          <w:sz w:val="18"/>
        </w:rPr>
      </w:pPr>
      <w:bookmarkStart w:id="543" w:name="_bookmark414"/>
      <w:bookmarkEnd w:id="543"/>
      <w:r>
        <w:rPr>
          <w:position w:val="5"/>
          <w:sz w:val="12"/>
        </w:rPr>
        <w:t>63</w:t>
      </w:r>
      <w:r>
        <w:rPr>
          <w:spacing w:val="10"/>
          <w:position w:val="5"/>
          <w:sz w:val="12"/>
        </w:rPr>
        <w:t xml:space="preserve"> </w:t>
      </w:r>
      <w:r>
        <w:rPr>
          <w:sz w:val="18"/>
        </w:rPr>
        <w:t>Sl,</w:t>
      </w:r>
      <w:r>
        <w:rPr>
          <w:spacing w:val="-2"/>
          <w:sz w:val="18"/>
        </w:rPr>
        <w:t xml:space="preserve"> </w:t>
      </w:r>
      <w:r>
        <w:rPr>
          <w:sz w:val="18"/>
        </w:rPr>
        <w:t>Reisner,</w:t>
      </w:r>
      <w:r>
        <w:rPr>
          <w:spacing w:val="-2"/>
          <w:sz w:val="18"/>
        </w:rPr>
        <w:t xml:space="preserve"> </w:t>
      </w:r>
      <w:r>
        <w:rPr>
          <w:sz w:val="18"/>
        </w:rPr>
        <w:t>White</w:t>
      </w:r>
      <w:r>
        <w:rPr>
          <w:spacing w:val="-3"/>
          <w:sz w:val="18"/>
        </w:rPr>
        <w:t xml:space="preserve"> </w:t>
      </w:r>
      <w:r>
        <w:rPr>
          <w:sz w:val="18"/>
        </w:rPr>
        <w:t>Jm,</w:t>
      </w:r>
      <w:r>
        <w:rPr>
          <w:spacing w:val="-2"/>
          <w:sz w:val="18"/>
        </w:rPr>
        <w:t xml:space="preserve"> </w:t>
      </w:r>
      <w:r>
        <w:rPr>
          <w:sz w:val="18"/>
        </w:rPr>
        <w:t>and</w:t>
      </w:r>
      <w:r>
        <w:rPr>
          <w:spacing w:val="-1"/>
          <w:sz w:val="18"/>
        </w:rPr>
        <w:t xml:space="preserve"> </w:t>
      </w:r>
      <w:r>
        <w:rPr>
          <w:sz w:val="18"/>
        </w:rPr>
        <w:t>Dunham</w:t>
      </w:r>
      <w:r>
        <w:rPr>
          <w:spacing w:val="-2"/>
          <w:sz w:val="18"/>
        </w:rPr>
        <w:t xml:space="preserve"> </w:t>
      </w:r>
      <w:r>
        <w:rPr>
          <w:sz w:val="18"/>
        </w:rPr>
        <w:t>Ee.</w:t>
      </w:r>
      <w:r>
        <w:rPr>
          <w:spacing w:val="-2"/>
          <w:sz w:val="18"/>
        </w:rPr>
        <w:t xml:space="preserve"> </w:t>
      </w:r>
      <w:r>
        <w:rPr>
          <w:sz w:val="18"/>
        </w:rPr>
        <w:t>n.</w:t>
      </w:r>
      <w:r>
        <w:rPr>
          <w:sz w:val="18"/>
        </w:rPr>
        <w:t>d.</w:t>
      </w:r>
      <w:r>
        <w:rPr>
          <w:spacing w:val="-2"/>
          <w:sz w:val="18"/>
        </w:rPr>
        <w:t xml:space="preserve"> </w:t>
      </w:r>
      <w:r>
        <w:rPr>
          <w:sz w:val="18"/>
        </w:rPr>
        <w:t>“Discrimination</w:t>
      </w:r>
      <w:r>
        <w:rPr>
          <w:spacing w:val="-3"/>
          <w:sz w:val="18"/>
        </w:rPr>
        <w:t xml:space="preserve"> </w:t>
      </w:r>
      <w:r>
        <w:rPr>
          <w:sz w:val="18"/>
        </w:rPr>
        <w:t>and</w:t>
      </w:r>
      <w:r>
        <w:rPr>
          <w:spacing w:val="-3"/>
          <w:sz w:val="18"/>
        </w:rPr>
        <w:t xml:space="preserve"> </w:t>
      </w:r>
      <w:r>
        <w:rPr>
          <w:sz w:val="18"/>
        </w:rPr>
        <w:t>Health</w:t>
      </w:r>
      <w:r>
        <w:rPr>
          <w:spacing w:val="-3"/>
          <w:sz w:val="18"/>
        </w:rPr>
        <w:t xml:space="preserve"> </w:t>
      </w:r>
      <w:r>
        <w:rPr>
          <w:sz w:val="18"/>
        </w:rPr>
        <w:t>in</w:t>
      </w:r>
      <w:r>
        <w:rPr>
          <w:spacing w:val="-3"/>
          <w:sz w:val="18"/>
        </w:rPr>
        <w:t xml:space="preserve"> </w:t>
      </w:r>
      <w:r>
        <w:rPr>
          <w:sz w:val="18"/>
        </w:rPr>
        <w:t>Massachusetts:</w:t>
      </w:r>
      <w:r>
        <w:rPr>
          <w:spacing w:val="-2"/>
          <w:sz w:val="18"/>
        </w:rPr>
        <w:t xml:space="preserve"> </w:t>
      </w:r>
      <w:r>
        <w:rPr>
          <w:sz w:val="18"/>
        </w:rPr>
        <w:t>A</w:t>
      </w:r>
      <w:r>
        <w:rPr>
          <w:spacing w:val="-1"/>
          <w:sz w:val="18"/>
        </w:rPr>
        <w:t xml:space="preserve"> </w:t>
      </w:r>
      <w:r>
        <w:rPr>
          <w:sz w:val="18"/>
        </w:rPr>
        <w:t>Statewide</w:t>
      </w:r>
      <w:r>
        <w:rPr>
          <w:spacing w:val="-3"/>
          <w:sz w:val="18"/>
        </w:rPr>
        <w:t xml:space="preserve"> </w:t>
      </w:r>
      <w:r>
        <w:rPr>
          <w:sz w:val="18"/>
        </w:rPr>
        <w:t>Survey</w:t>
      </w:r>
      <w:r>
        <w:rPr>
          <w:spacing w:val="-2"/>
          <w:sz w:val="18"/>
        </w:rPr>
        <w:t xml:space="preserve"> </w:t>
      </w:r>
      <w:r>
        <w:rPr>
          <w:sz w:val="18"/>
        </w:rPr>
        <w:t>of</w:t>
      </w:r>
      <w:r>
        <w:rPr>
          <w:spacing w:val="-2"/>
          <w:sz w:val="18"/>
        </w:rPr>
        <w:t xml:space="preserve"> </w:t>
      </w:r>
      <w:r>
        <w:rPr>
          <w:sz w:val="18"/>
        </w:rPr>
        <w:t xml:space="preserve">Transgender and Gender Nonconforming Adults.” https://fenwayhealth.org/documents/the-fenway-institute/policy-briefs/The-Fenway- </w:t>
      </w:r>
      <w:r>
        <w:rPr>
          <w:spacing w:val="-2"/>
          <w:sz w:val="18"/>
        </w:rPr>
        <w:t>Institute-MTPC-Project-VOICE-Report-July-2014.pdf.</w:t>
      </w:r>
    </w:p>
    <w:p w:rsidR="00200FDA" w:rsidRDefault="00F76C4C">
      <w:pPr>
        <w:spacing w:line="218" w:lineRule="exact"/>
        <w:ind w:left="140"/>
        <w:rPr>
          <w:sz w:val="18"/>
        </w:rPr>
      </w:pPr>
      <w:bookmarkStart w:id="544" w:name="_bookmark415"/>
      <w:bookmarkEnd w:id="544"/>
      <w:r>
        <w:rPr>
          <w:position w:val="5"/>
          <w:sz w:val="12"/>
        </w:rPr>
        <w:t>64</w:t>
      </w:r>
      <w:r>
        <w:rPr>
          <w:spacing w:val="11"/>
          <w:position w:val="5"/>
          <w:sz w:val="12"/>
        </w:rPr>
        <w:t xml:space="preserve"> </w:t>
      </w:r>
      <w:r>
        <w:rPr>
          <w:spacing w:val="-2"/>
          <w:sz w:val="18"/>
        </w:rPr>
        <w:t>Ibid</w:t>
      </w:r>
      <w:r>
        <w:rPr>
          <w:spacing w:val="-2"/>
          <w:sz w:val="18"/>
        </w:rPr>
        <w:t>.</w:t>
      </w:r>
    </w:p>
    <w:p w:rsidR="00200FDA" w:rsidRDefault="00F76C4C">
      <w:pPr>
        <w:ind w:left="140" w:right="234" w:hanging="1"/>
        <w:rPr>
          <w:sz w:val="18"/>
        </w:rPr>
      </w:pPr>
      <w:bookmarkStart w:id="545" w:name="_bookmark416"/>
      <w:bookmarkEnd w:id="545"/>
      <w:r>
        <w:rPr>
          <w:position w:val="5"/>
          <w:sz w:val="12"/>
        </w:rPr>
        <w:t>65</w:t>
      </w:r>
      <w:r>
        <w:rPr>
          <w:spacing w:val="10"/>
          <w:position w:val="5"/>
          <w:sz w:val="12"/>
        </w:rPr>
        <w:t xml:space="preserve"> </w:t>
      </w:r>
      <w:r>
        <w:rPr>
          <w:sz w:val="18"/>
        </w:rPr>
        <w:t>Zajac,</w:t>
      </w:r>
      <w:r>
        <w:rPr>
          <w:spacing w:val="-2"/>
          <w:sz w:val="18"/>
        </w:rPr>
        <w:t xml:space="preserve"> </w:t>
      </w:r>
      <w:r>
        <w:rPr>
          <w:sz w:val="18"/>
        </w:rPr>
        <w:t>Jacek,</w:t>
      </w:r>
      <w:r>
        <w:rPr>
          <w:spacing w:val="-2"/>
          <w:sz w:val="18"/>
        </w:rPr>
        <w:t xml:space="preserve"> </w:t>
      </w:r>
      <w:r>
        <w:rPr>
          <w:sz w:val="18"/>
        </w:rPr>
        <w:t>Anil</w:t>
      </w:r>
      <w:r>
        <w:rPr>
          <w:spacing w:val="-3"/>
          <w:sz w:val="18"/>
        </w:rPr>
        <w:t xml:space="preserve"> </w:t>
      </w:r>
      <w:r>
        <w:rPr>
          <w:sz w:val="18"/>
        </w:rPr>
        <w:t>Shrestha,</w:t>
      </w:r>
      <w:r>
        <w:rPr>
          <w:spacing w:val="-2"/>
          <w:sz w:val="18"/>
        </w:rPr>
        <w:t xml:space="preserve"> </w:t>
      </w:r>
      <w:r>
        <w:rPr>
          <w:sz w:val="18"/>
        </w:rPr>
        <w:t>Parini Patel,</w:t>
      </w:r>
      <w:r>
        <w:rPr>
          <w:spacing w:val="-2"/>
          <w:sz w:val="18"/>
        </w:rPr>
        <w:t xml:space="preserve"> </w:t>
      </w:r>
      <w:r>
        <w:rPr>
          <w:sz w:val="18"/>
        </w:rPr>
        <w:t>and</w:t>
      </w:r>
      <w:r>
        <w:rPr>
          <w:spacing w:val="-3"/>
          <w:sz w:val="18"/>
        </w:rPr>
        <w:t xml:space="preserve"> </w:t>
      </w:r>
      <w:r>
        <w:rPr>
          <w:sz w:val="18"/>
        </w:rPr>
        <w:t>Leonid</w:t>
      </w:r>
      <w:r>
        <w:rPr>
          <w:spacing w:val="-3"/>
          <w:sz w:val="18"/>
        </w:rPr>
        <w:t xml:space="preserve"> </w:t>
      </w:r>
      <w:r>
        <w:rPr>
          <w:sz w:val="18"/>
        </w:rPr>
        <w:t>Poretsky.</w:t>
      </w:r>
      <w:r>
        <w:rPr>
          <w:spacing w:val="-2"/>
          <w:sz w:val="18"/>
        </w:rPr>
        <w:t xml:space="preserve"> </w:t>
      </w:r>
      <w:r>
        <w:rPr>
          <w:sz w:val="18"/>
        </w:rPr>
        <w:t>"The</w:t>
      </w:r>
      <w:r>
        <w:rPr>
          <w:spacing w:val="-1"/>
          <w:sz w:val="18"/>
        </w:rPr>
        <w:t xml:space="preserve"> </w:t>
      </w:r>
      <w:r>
        <w:rPr>
          <w:sz w:val="18"/>
        </w:rPr>
        <w:t>main</w:t>
      </w:r>
      <w:r>
        <w:rPr>
          <w:spacing w:val="-3"/>
          <w:sz w:val="18"/>
        </w:rPr>
        <w:t xml:space="preserve"> </w:t>
      </w:r>
      <w:r>
        <w:rPr>
          <w:sz w:val="18"/>
        </w:rPr>
        <w:t>events</w:t>
      </w:r>
      <w:r>
        <w:rPr>
          <w:spacing w:val="-3"/>
          <w:sz w:val="18"/>
        </w:rPr>
        <w:t xml:space="preserve"> </w:t>
      </w:r>
      <w:r>
        <w:rPr>
          <w:sz w:val="18"/>
        </w:rPr>
        <w:t>in</w:t>
      </w:r>
      <w:r>
        <w:rPr>
          <w:spacing w:val="-3"/>
          <w:sz w:val="18"/>
        </w:rPr>
        <w:t xml:space="preserve"> </w:t>
      </w:r>
      <w:r>
        <w:rPr>
          <w:sz w:val="18"/>
        </w:rPr>
        <w:t>the</w:t>
      </w:r>
      <w:r>
        <w:rPr>
          <w:spacing w:val="-1"/>
          <w:sz w:val="18"/>
        </w:rPr>
        <w:t xml:space="preserve"> </w:t>
      </w:r>
      <w:r>
        <w:rPr>
          <w:sz w:val="18"/>
        </w:rPr>
        <w:t>history</w:t>
      </w:r>
      <w:r>
        <w:rPr>
          <w:spacing w:val="-2"/>
          <w:sz w:val="18"/>
        </w:rPr>
        <w:t xml:space="preserve"> </w:t>
      </w:r>
      <w:r>
        <w:rPr>
          <w:sz w:val="18"/>
        </w:rPr>
        <w:t>of</w:t>
      </w:r>
      <w:r>
        <w:rPr>
          <w:spacing w:val="-2"/>
          <w:sz w:val="18"/>
        </w:rPr>
        <w:t xml:space="preserve"> </w:t>
      </w:r>
      <w:r>
        <w:rPr>
          <w:sz w:val="18"/>
        </w:rPr>
        <w:t>diabetes</w:t>
      </w:r>
      <w:r>
        <w:rPr>
          <w:spacing w:val="-3"/>
          <w:sz w:val="18"/>
        </w:rPr>
        <w:t xml:space="preserve"> </w:t>
      </w:r>
      <w:r>
        <w:rPr>
          <w:sz w:val="18"/>
        </w:rPr>
        <w:t>mellitus."</w:t>
      </w:r>
      <w:r>
        <w:rPr>
          <w:spacing w:val="-3"/>
          <w:sz w:val="18"/>
        </w:rPr>
        <w:t xml:space="preserve"> </w:t>
      </w:r>
      <w:r>
        <w:rPr>
          <w:i/>
          <w:sz w:val="18"/>
        </w:rPr>
        <w:t xml:space="preserve">Principles of diabetes mellitus </w:t>
      </w:r>
      <w:r>
        <w:rPr>
          <w:sz w:val="18"/>
        </w:rPr>
        <w:t>(2010): 3-16.</w:t>
      </w:r>
    </w:p>
    <w:p w:rsidR="00200FDA" w:rsidRDefault="00F76C4C">
      <w:pPr>
        <w:ind w:left="140" w:right="139" w:hanging="1"/>
        <w:rPr>
          <w:sz w:val="18"/>
        </w:rPr>
      </w:pPr>
      <w:bookmarkStart w:id="546" w:name="_bookmark417"/>
      <w:bookmarkEnd w:id="546"/>
      <w:r>
        <w:rPr>
          <w:position w:val="5"/>
          <w:sz w:val="12"/>
        </w:rPr>
        <w:t>66</w:t>
      </w:r>
      <w:r>
        <w:rPr>
          <w:spacing w:val="10"/>
          <w:position w:val="5"/>
          <w:sz w:val="12"/>
        </w:rPr>
        <w:t xml:space="preserve"> </w:t>
      </w:r>
      <w:r>
        <w:rPr>
          <w:sz w:val="18"/>
        </w:rPr>
        <w:t>Turban,</w:t>
      </w:r>
      <w:r>
        <w:rPr>
          <w:spacing w:val="-2"/>
          <w:sz w:val="18"/>
        </w:rPr>
        <w:t xml:space="preserve"> </w:t>
      </w:r>
      <w:r>
        <w:rPr>
          <w:sz w:val="18"/>
        </w:rPr>
        <w:t>Jack</w:t>
      </w:r>
      <w:r>
        <w:rPr>
          <w:spacing w:val="-3"/>
          <w:sz w:val="18"/>
        </w:rPr>
        <w:t xml:space="preserve"> </w:t>
      </w:r>
      <w:r>
        <w:rPr>
          <w:sz w:val="18"/>
        </w:rPr>
        <w:t>L.,</w:t>
      </w:r>
      <w:r>
        <w:rPr>
          <w:spacing w:val="-2"/>
          <w:sz w:val="18"/>
        </w:rPr>
        <w:t xml:space="preserve"> </w:t>
      </w:r>
      <w:r>
        <w:rPr>
          <w:sz w:val="18"/>
        </w:rPr>
        <w:t>Dana</w:t>
      </w:r>
      <w:r>
        <w:rPr>
          <w:spacing w:val="-2"/>
          <w:sz w:val="18"/>
        </w:rPr>
        <w:t xml:space="preserve"> </w:t>
      </w:r>
      <w:r>
        <w:rPr>
          <w:sz w:val="18"/>
        </w:rPr>
        <w:t>King,</w:t>
      </w:r>
      <w:r>
        <w:rPr>
          <w:spacing w:val="-2"/>
          <w:sz w:val="18"/>
        </w:rPr>
        <w:t xml:space="preserve"> </w:t>
      </w:r>
      <w:r>
        <w:rPr>
          <w:sz w:val="18"/>
        </w:rPr>
        <w:t>Jeremi</w:t>
      </w:r>
      <w:r>
        <w:rPr>
          <w:spacing w:val="-3"/>
          <w:sz w:val="18"/>
        </w:rPr>
        <w:t xml:space="preserve"> </w:t>
      </w:r>
      <w:r>
        <w:rPr>
          <w:sz w:val="18"/>
        </w:rPr>
        <w:t>M.</w:t>
      </w:r>
      <w:r>
        <w:rPr>
          <w:spacing w:val="-2"/>
          <w:sz w:val="18"/>
        </w:rPr>
        <w:t xml:space="preserve"> </w:t>
      </w:r>
      <w:r>
        <w:rPr>
          <w:sz w:val="18"/>
        </w:rPr>
        <w:t>Carswell,</w:t>
      </w:r>
      <w:r>
        <w:rPr>
          <w:spacing w:val="-2"/>
          <w:sz w:val="18"/>
        </w:rPr>
        <w:t xml:space="preserve"> </w:t>
      </w:r>
      <w:r>
        <w:rPr>
          <w:sz w:val="18"/>
        </w:rPr>
        <w:t>and</w:t>
      </w:r>
      <w:r>
        <w:rPr>
          <w:spacing w:val="-1"/>
          <w:sz w:val="18"/>
        </w:rPr>
        <w:t xml:space="preserve"> </w:t>
      </w:r>
      <w:r>
        <w:rPr>
          <w:sz w:val="18"/>
        </w:rPr>
        <w:t>Alex</w:t>
      </w:r>
      <w:r>
        <w:rPr>
          <w:spacing w:val="-3"/>
          <w:sz w:val="18"/>
        </w:rPr>
        <w:t xml:space="preserve"> </w:t>
      </w:r>
      <w:r>
        <w:rPr>
          <w:sz w:val="18"/>
        </w:rPr>
        <w:t>S.</w:t>
      </w:r>
      <w:r>
        <w:rPr>
          <w:spacing w:val="-2"/>
          <w:sz w:val="18"/>
        </w:rPr>
        <w:t xml:space="preserve"> </w:t>
      </w:r>
      <w:r>
        <w:rPr>
          <w:sz w:val="18"/>
        </w:rPr>
        <w:t>Keuroghlian.</w:t>
      </w:r>
      <w:r>
        <w:rPr>
          <w:spacing w:val="-2"/>
          <w:sz w:val="18"/>
        </w:rPr>
        <w:t xml:space="preserve"> </w:t>
      </w:r>
      <w:r>
        <w:rPr>
          <w:sz w:val="18"/>
        </w:rPr>
        <w:t>"Pubertal</w:t>
      </w:r>
      <w:r>
        <w:rPr>
          <w:spacing w:val="-3"/>
          <w:sz w:val="18"/>
        </w:rPr>
        <w:t xml:space="preserve"> </w:t>
      </w:r>
      <w:r>
        <w:rPr>
          <w:sz w:val="18"/>
        </w:rPr>
        <w:t>suppression</w:t>
      </w:r>
      <w:r>
        <w:rPr>
          <w:spacing w:val="-3"/>
          <w:sz w:val="18"/>
        </w:rPr>
        <w:t xml:space="preserve"> </w:t>
      </w:r>
      <w:r>
        <w:rPr>
          <w:sz w:val="18"/>
        </w:rPr>
        <w:t>for</w:t>
      </w:r>
      <w:r>
        <w:rPr>
          <w:spacing w:val="-3"/>
          <w:sz w:val="18"/>
        </w:rPr>
        <w:t xml:space="preserve"> </w:t>
      </w:r>
      <w:r>
        <w:rPr>
          <w:sz w:val="18"/>
        </w:rPr>
        <w:t>transgender</w:t>
      </w:r>
      <w:r>
        <w:rPr>
          <w:spacing w:val="-3"/>
          <w:sz w:val="18"/>
        </w:rPr>
        <w:t xml:space="preserve"> </w:t>
      </w:r>
      <w:r>
        <w:rPr>
          <w:sz w:val="18"/>
        </w:rPr>
        <w:t>youth</w:t>
      </w:r>
      <w:r>
        <w:rPr>
          <w:spacing w:val="-3"/>
          <w:sz w:val="18"/>
        </w:rPr>
        <w:t xml:space="preserve"> </w:t>
      </w:r>
      <w:r>
        <w:rPr>
          <w:sz w:val="18"/>
        </w:rPr>
        <w:t>and</w:t>
      </w:r>
      <w:r>
        <w:rPr>
          <w:spacing w:val="-3"/>
          <w:sz w:val="18"/>
        </w:rPr>
        <w:t xml:space="preserve"> </w:t>
      </w:r>
      <w:r>
        <w:rPr>
          <w:sz w:val="18"/>
        </w:rPr>
        <w:t xml:space="preserve">risk of suicidal ideation." </w:t>
      </w:r>
      <w:r>
        <w:rPr>
          <w:i/>
          <w:sz w:val="18"/>
        </w:rPr>
        <w:t xml:space="preserve">Pediatrics </w:t>
      </w:r>
      <w:r>
        <w:rPr>
          <w:sz w:val="18"/>
        </w:rPr>
        <w:t>145, no. 2 (2020).</w:t>
      </w:r>
    </w:p>
    <w:p w:rsidR="00200FDA" w:rsidRDefault="00F76C4C">
      <w:pPr>
        <w:ind w:left="140" w:hanging="1"/>
        <w:rPr>
          <w:sz w:val="18"/>
        </w:rPr>
      </w:pPr>
      <w:bookmarkStart w:id="547" w:name="_bookmark418"/>
      <w:bookmarkEnd w:id="547"/>
      <w:r>
        <w:rPr>
          <w:position w:val="5"/>
          <w:sz w:val="12"/>
        </w:rPr>
        <w:t>67</w:t>
      </w:r>
      <w:r>
        <w:rPr>
          <w:spacing w:val="10"/>
          <w:position w:val="5"/>
          <w:sz w:val="12"/>
        </w:rPr>
        <w:t xml:space="preserve"> </w:t>
      </w:r>
      <w:r>
        <w:rPr>
          <w:color w:val="212121"/>
          <w:sz w:val="18"/>
        </w:rPr>
        <w:t>Olson,</w:t>
      </w:r>
      <w:r>
        <w:rPr>
          <w:color w:val="212121"/>
          <w:spacing w:val="-2"/>
          <w:sz w:val="18"/>
        </w:rPr>
        <w:t xml:space="preserve"> </w:t>
      </w:r>
      <w:r>
        <w:rPr>
          <w:color w:val="212121"/>
          <w:sz w:val="18"/>
        </w:rPr>
        <w:t>Kristina</w:t>
      </w:r>
      <w:r>
        <w:rPr>
          <w:color w:val="212121"/>
          <w:spacing w:val="-2"/>
          <w:sz w:val="18"/>
        </w:rPr>
        <w:t xml:space="preserve"> </w:t>
      </w:r>
      <w:r>
        <w:rPr>
          <w:color w:val="212121"/>
          <w:sz w:val="18"/>
        </w:rPr>
        <w:t>R.,</w:t>
      </w:r>
      <w:r>
        <w:rPr>
          <w:color w:val="212121"/>
          <w:spacing w:val="-2"/>
          <w:sz w:val="18"/>
        </w:rPr>
        <w:t xml:space="preserve"> </w:t>
      </w:r>
      <w:r>
        <w:rPr>
          <w:color w:val="212121"/>
          <w:sz w:val="18"/>
        </w:rPr>
        <w:t>Lily</w:t>
      </w:r>
      <w:r>
        <w:rPr>
          <w:color w:val="212121"/>
          <w:spacing w:val="-2"/>
          <w:sz w:val="18"/>
        </w:rPr>
        <w:t xml:space="preserve"> </w:t>
      </w:r>
      <w:r>
        <w:rPr>
          <w:color w:val="212121"/>
          <w:sz w:val="18"/>
        </w:rPr>
        <w:t>Durwood,</w:t>
      </w:r>
      <w:r>
        <w:rPr>
          <w:color w:val="212121"/>
          <w:spacing w:val="-2"/>
          <w:sz w:val="18"/>
        </w:rPr>
        <w:t xml:space="preserve"> </w:t>
      </w:r>
      <w:r>
        <w:rPr>
          <w:color w:val="212121"/>
          <w:sz w:val="18"/>
        </w:rPr>
        <w:t>Rachel</w:t>
      </w:r>
      <w:r>
        <w:rPr>
          <w:color w:val="212121"/>
          <w:spacing w:val="-3"/>
          <w:sz w:val="18"/>
        </w:rPr>
        <w:t xml:space="preserve"> </w:t>
      </w:r>
      <w:r>
        <w:rPr>
          <w:color w:val="212121"/>
          <w:sz w:val="18"/>
        </w:rPr>
        <w:t>Horton,</w:t>
      </w:r>
      <w:r>
        <w:rPr>
          <w:color w:val="212121"/>
          <w:spacing w:val="-2"/>
          <w:sz w:val="18"/>
        </w:rPr>
        <w:t xml:space="preserve"> </w:t>
      </w:r>
      <w:r>
        <w:rPr>
          <w:color w:val="212121"/>
          <w:sz w:val="18"/>
        </w:rPr>
        <w:t>Natalie</w:t>
      </w:r>
      <w:r>
        <w:rPr>
          <w:color w:val="212121"/>
          <w:spacing w:val="-3"/>
          <w:sz w:val="18"/>
        </w:rPr>
        <w:t xml:space="preserve"> </w:t>
      </w:r>
      <w:r>
        <w:rPr>
          <w:color w:val="212121"/>
          <w:sz w:val="18"/>
        </w:rPr>
        <w:t>M.</w:t>
      </w:r>
      <w:r>
        <w:rPr>
          <w:color w:val="212121"/>
          <w:spacing w:val="-2"/>
          <w:sz w:val="18"/>
        </w:rPr>
        <w:t xml:space="preserve"> </w:t>
      </w:r>
      <w:r>
        <w:rPr>
          <w:color w:val="212121"/>
          <w:sz w:val="18"/>
        </w:rPr>
        <w:t>Gallagher,</w:t>
      </w:r>
      <w:r>
        <w:rPr>
          <w:color w:val="212121"/>
          <w:spacing w:val="-2"/>
          <w:sz w:val="18"/>
        </w:rPr>
        <w:t xml:space="preserve"> </w:t>
      </w:r>
      <w:r>
        <w:rPr>
          <w:color w:val="212121"/>
          <w:sz w:val="18"/>
        </w:rPr>
        <w:t>and</w:t>
      </w:r>
      <w:r>
        <w:rPr>
          <w:color w:val="212121"/>
          <w:spacing w:val="-1"/>
          <w:sz w:val="18"/>
        </w:rPr>
        <w:t xml:space="preserve"> </w:t>
      </w:r>
      <w:r>
        <w:rPr>
          <w:color w:val="212121"/>
          <w:sz w:val="18"/>
        </w:rPr>
        <w:t>Aaron</w:t>
      </w:r>
      <w:r>
        <w:rPr>
          <w:color w:val="212121"/>
          <w:spacing w:val="-3"/>
          <w:sz w:val="18"/>
        </w:rPr>
        <w:t xml:space="preserve"> </w:t>
      </w:r>
      <w:r>
        <w:rPr>
          <w:color w:val="212121"/>
          <w:sz w:val="18"/>
        </w:rPr>
        <w:t>Devor.</w:t>
      </w:r>
      <w:r>
        <w:rPr>
          <w:color w:val="212121"/>
          <w:spacing w:val="-2"/>
          <w:sz w:val="18"/>
        </w:rPr>
        <w:t xml:space="preserve"> </w:t>
      </w:r>
      <w:r>
        <w:rPr>
          <w:color w:val="212121"/>
          <w:sz w:val="18"/>
        </w:rPr>
        <w:t>"Gender</w:t>
      </w:r>
      <w:r>
        <w:rPr>
          <w:color w:val="212121"/>
          <w:spacing w:val="-3"/>
          <w:sz w:val="18"/>
        </w:rPr>
        <w:t xml:space="preserve"> </w:t>
      </w:r>
      <w:r>
        <w:rPr>
          <w:color w:val="212121"/>
          <w:sz w:val="18"/>
        </w:rPr>
        <w:t>identity</w:t>
      </w:r>
      <w:r>
        <w:rPr>
          <w:color w:val="212121"/>
          <w:spacing w:val="-2"/>
          <w:sz w:val="18"/>
        </w:rPr>
        <w:t xml:space="preserve"> </w:t>
      </w:r>
      <w:r>
        <w:rPr>
          <w:color w:val="212121"/>
          <w:sz w:val="18"/>
        </w:rPr>
        <w:t>5</w:t>
      </w:r>
      <w:r>
        <w:rPr>
          <w:color w:val="212121"/>
          <w:spacing w:val="-2"/>
          <w:sz w:val="18"/>
        </w:rPr>
        <w:t xml:space="preserve"> </w:t>
      </w:r>
      <w:r>
        <w:rPr>
          <w:color w:val="212121"/>
          <w:sz w:val="18"/>
        </w:rPr>
        <w:t>years</w:t>
      </w:r>
      <w:r>
        <w:rPr>
          <w:color w:val="212121"/>
          <w:spacing w:val="-3"/>
          <w:sz w:val="18"/>
        </w:rPr>
        <w:t xml:space="preserve"> </w:t>
      </w:r>
      <w:r>
        <w:rPr>
          <w:color w:val="212121"/>
          <w:sz w:val="18"/>
        </w:rPr>
        <w:t>after</w:t>
      </w:r>
      <w:r>
        <w:rPr>
          <w:color w:val="212121"/>
          <w:spacing w:val="-3"/>
          <w:sz w:val="18"/>
        </w:rPr>
        <w:t xml:space="preserve"> </w:t>
      </w:r>
      <w:r>
        <w:rPr>
          <w:color w:val="212121"/>
          <w:sz w:val="18"/>
        </w:rPr>
        <w:t xml:space="preserve">social transition." </w:t>
      </w:r>
      <w:r>
        <w:rPr>
          <w:i/>
          <w:color w:val="212121"/>
          <w:sz w:val="18"/>
        </w:rPr>
        <w:t xml:space="preserve">Pediatrics </w:t>
      </w:r>
      <w:r>
        <w:rPr>
          <w:color w:val="212121"/>
          <w:sz w:val="18"/>
        </w:rPr>
        <w:t>150, no. 2 (2022).</w:t>
      </w:r>
    </w:p>
    <w:p w:rsidR="00200FDA" w:rsidRDefault="00F76C4C">
      <w:pPr>
        <w:ind w:left="140" w:right="218" w:hanging="1"/>
        <w:rPr>
          <w:sz w:val="18"/>
        </w:rPr>
      </w:pPr>
      <w:bookmarkStart w:id="548" w:name="_bookmark419"/>
      <w:bookmarkEnd w:id="548"/>
      <w:r>
        <w:rPr>
          <w:position w:val="5"/>
          <w:sz w:val="12"/>
        </w:rPr>
        <w:t>68</w:t>
      </w:r>
      <w:r>
        <w:rPr>
          <w:spacing w:val="10"/>
          <w:position w:val="5"/>
          <w:sz w:val="12"/>
        </w:rPr>
        <w:t xml:space="preserve"> </w:t>
      </w:r>
      <w:r>
        <w:rPr>
          <w:color w:val="212121"/>
          <w:sz w:val="18"/>
        </w:rPr>
        <w:t>Puckett,</w:t>
      </w:r>
      <w:r>
        <w:rPr>
          <w:color w:val="212121"/>
          <w:spacing w:val="-2"/>
          <w:sz w:val="18"/>
        </w:rPr>
        <w:t xml:space="preserve"> </w:t>
      </w:r>
      <w:r>
        <w:rPr>
          <w:color w:val="212121"/>
          <w:sz w:val="18"/>
        </w:rPr>
        <w:t>Jae</w:t>
      </w:r>
      <w:r>
        <w:rPr>
          <w:color w:val="212121"/>
          <w:spacing w:val="-3"/>
          <w:sz w:val="18"/>
        </w:rPr>
        <w:t xml:space="preserve"> </w:t>
      </w:r>
      <w:r>
        <w:rPr>
          <w:color w:val="212121"/>
          <w:sz w:val="18"/>
        </w:rPr>
        <w:t>A.,</w:t>
      </w:r>
      <w:r>
        <w:rPr>
          <w:color w:val="212121"/>
          <w:spacing w:val="-2"/>
          <w:sz w:val="18"/>
        </w:rPr>
        <w:t xml:space="preserve"> </w:t>
      </w:r>
      <w:r>
        <w:rPr>
          <w:color w:val="212121"/>
          <w:sz w:val="18"/>
        </w:rPr>
        <w:t>Peter</w:t>
      </w:r>
      <w:r>
        <w:rPr>
          <w:color w:val="212121"/>
          <w:spacing w:val="-3"/>
          <w:sz w:val="18"/>
        </w:rPr>
        <w:t xml:space="preserve"> </w:t>
      </w:r>
      <w:r>
        <w:rPr>
          <w:color w:val="212121"/>
          <w:sz w:val="18"/>
        </w:rPr>
        <w:t>Cleary,</w:t>
      </w:r>
      <w:r>
        <w:rPr>
          <w:color w:val="212121"/>
          <w:spacing w:val="-2"/>
          <w:sz w:val="18"/>
        </w:rPr>
        <w:t xml:space="preserve"> </w:t>
      </w:r>
      <w:r>
        <w:rPr>
          <w:color w:val="212121"/>
          <w:sz w:val="18"/>
        </w:rPr>
        <w:t>Kinton</w:t>
      </w:r>
      <w:r>
        <w:rPr>
          <w:color w:val="212121"/>
          <w:spacing w:val="-3"/>
          <w:sz w:val="18"/>
        </w:rPr>
        <w:t xml:space="preserve"> </w:t>
      </w:r>
      <w:r>
        <w:rPr>
          <w:color w:val="212121"/>
          <w:sz w:val="18"/>
        </w:rPr>
        <w:t>Rossman,</w:t>
      </w:r>
      <w:r>
        <w:rPr>
          <w:color w:val="212121"/>
          <w:spacing w:val="-2"/>
          <w:sz w:val="18"/>
        </w:rPr>
        <w:t xml:space="preserve"> </w:t>
      </w:r>
      <w:r>
        <w:rPr>
          <w:color w:val="212121"/>
          <w:sz w:val="18"/>
        </w:rPr>
        <w:t>Brian</w:t>
      </w:r>
      <w:r>
        <w:rPr>
          <w:color w:val="212121"/>
          <w:spacing w:val="-3"/>
          <w:sz w:val="18"/>
        </w:rPr>
        <w:t xml:space="preserve"> </w:t>
      </w:r>
      <w:r>
        <w:rPr>
          <w:color w:val="212121"/>
          <w:sz w:val="18"/>
        </w:rPr>
        <w:t>Mustanski,</w:t>
      </w:r>
      <w:r>
        <w:rPr>
          <w:color w:val="212121"/>
          <w:spacing w:val="-2"/>
          <w:sz w:val="18"/>
        </w:rPr>
        <w:t xml:space="preserve"> </w:t>
      </w:r>
      <w:r>
        <w:rPr>
          <w:color w:val="212121"/>
          <w:sz w:val="18"/>
        </w:rPr>
        <w:t>and</w:t>
      </w:r>
      <w:r>
        <w:rPr>
          <w:color w:val="212121"/>
          <w:spacing w:val="-3"/>
          <w:sz w:val="18"/>
        </w:rPr>
        <w:t xml:space="preserve"> </w:t>
      </w:r>
      <w:r>
        <w:rPr>
          <w:color w:val="212121"/>
          <w:sz w:val="18"/>
        </w:rPr>
        <w:t>Michael</w:t>
      </w:r>
      <w:r>
        <w:rPr>
          <w:color w:val="212121"/>
          <w:spacing w:val="-3"/>
          <w:sz w:val="18"/>
        </w:rPr>
        <w:t xml:space="preserve"> </w:t>
      </w:r>
      <w:r>
        <w:rPr>
          <w:color w:val="212121"/>
          <w:sz w:val="18"/>
        </w:rPr>
        <w:t>E.</w:t>
      </w:r>
      <w:r>
        <w:rPr>
          <w:color w:val="212121"/>
          <w:spacing w:val="-2"/>
          <w:sz w:val="18"/>
        </w:rPr>
        <w:t xml:space="preserve"> </w:t>
      </w:r>
      <w:r>
        <w:rPr>
          <w:color w:val="212121"/>
          <w:sz w:val="18"/>
        </w:rPr>
        <w:t>Newcomb.</w:t>
      </w:r>
      <w:r>
        <w:rPr>
          <w:color w:val="212121"/>
          <w:spacing w:val="-2"/>
          <w:sz w:val="18"/>
        </w:rPr>
        <w:t xml:space="preserve"> </w:t>
      </w:r>
      <w:r>
        <w:rPr>
          <w:color w:val="212121"/>
          <w:sz w:val="18"/>
        </w:rPr>
        <w:t>"Barriers</w:t>
      </w:r>
      <w:r>
        <w:rPr>
          <w:color w:val="212121"/>
          <w:spacing w:val="-3"/>
          <w:sz w:val="18"/>
        </w:rPr>
        <w:t xml:space="preserve"> </w:t>
      </w:r>
      <w:r>
        <w:rPr>
          <w:color w:val="212121"/>
          <w:sz w:val="18"/>
        </w:rPr>
        <w:t>to</w:t>
      </w:r>
      <w:r>
        <w:rPr>
          <w:color w:val="212121"/>
          <w:spacing w:val="-1"/>
          <w:sz w:val="18"/>
        </w:rPr>
        <w:t xml:space="preserve"> </w:t>
      </w:r>
      <w:r>
        <w:rPr>
          <w:color w:val="212121"/>
          <w:sz w:val="18"/>
        </w:rPr>
        <w:t>Gender-affirming</w:t>
      </w:r>
      <w:r>
        <w:rPr>
          <w:color w:val="212121"/>
          <w:spacing w:val="-3"/>
          <w:sz w:val="18"/>
        </w:rPr>
        <w:t xml:space="preserve"> </w:t>
      </w:r>
      <w:r>
        <w:rPr>
          <w:color w:val="212121"/>
          <w:sz w:val="18"/>
        </w:rPr>
        <w:t xml:space="preserve">care for transgender and gender nonconforming individuals." </w:t>
      </w:r>
      <w:r>
        <w:rPr>
          <w:i/>
          <w:color w:val="212121"/>
          <w:sz w:val="18"/>
        </w:rPr>
        <w:t xml:space="preserve">Sexuality Research and Social Policy </w:t>
      </w:r>
      <w:r>
        <w:rPr>
          <w:color w:val="212121"/>
          <w:sz w:val="18"/>
        </w:rPr>
        <w:t>15 (2018): 48-59.</w:t>
      </w:r>
    </w:p>
    <w:p w:rsidR="00200FDA" w:rsidRDefault="00F76C4C">
      <w:pPr>
        <w:ind w:left="140" w:right="1385" w:hanging="1"/>
        <w:rPr>
          <w:sz w:val="18"/>
        </w:rPr>
      </w:pPr>
      <w:bookmarkStart w:id="549" w:name="_bookmark420"/>
      <w:bookmarkEnd w:id="549"/>
      <w:r>
        <w:rPr>
          <w:position w:val="5"/>
          <w:sz w:val="12"/>
        </w:rPr>
        <w:t>6</w:t>
      </w:r>
      <w:r>
        <w:rPr>
          <w:position w:val="5"/>
          <w:sz w:val="12"/>
        </w:rPr>
        <w:t>9</w:t>
      </w:r>
      <w:r>
        <w:rPr>
          <w:spacing w:val="20"/>
          <w:position w:val="5"/>
          <w:sz w:val="12"/>
        </w:rPr>
        <w:t xml:space="preserve"> </w:t>
      </w:r>
      <w:r>
        <w:rPr>
          <w:sz w:val="18"/>
        </w:rPr>
        <w:t xml:space="preserve">Ducar, Dallas. “Gender-affirming health care is simply good health care. The Boston Globe, July, 2022. </w:t>
      </w:r>
      <w:r>
        <w:rPr>
          <w:spacing w:val="-2"/>
          <w:sz w:val="18"/>
        </w:rPr>
        <w:t>https://</w:t>
      </w:r>
      <w:hyperlink r:id="rId393">
        <w:r>
          <w:rPr>
            <w:spacing w:val="-2"/>
            <w:sz w:val="18"/>
          </w:rPr>
          <w:t>www.bostonglobe.com/2022/07/04/opinion/gender-affirming-health-care-is-simply-good-health-care/</w:t>
        </w:r>
      </w:hyperlink>
    </w:p>
    <w:p w:rsidR="00200FDA" w:rsidRDefault="00F76C4C">
      <w:pPr>
        <w:ind w:left="139" w:right="218"/>
        <w:rPr>
          <w:sz w:val="18"/>
        </w:rPr>
      </w:pPr>
      <w:bookmarkStart w:id="550" w:name="_bookmark421"/>
      <w:bookmarkEnd w:id="550"/>
      <w:r>
        <w:rPr>
          <w:position w:val="5"/>
          <w:sz w:val="12"/>
        </w:rPr>
        <w:t>70</w:t>
      </w:r>
      <w:r>
        <w:rPr>
          <w:spacing w:val="18"/>
          <w:position w:val="5"/>
          <w:sz w:val="12"/>
        </w:rPr>
        <w:t xml:space="preserve"> </w:t>
      </w:r>
      <w:r>
        <w:rPr>
          <w:sz w:val="18"/>
        </w:rPr>
        <w:t>Loo, Stephanie, Anthony N. Almazan, Virginia Vedilago, Brooke Stott, Sari L. Reisner, and Alex S. Keuroghlian. 2021. “Understanding</w:t>
      </w:r>
      <w:r>
        <w:rPr>
          <w:spacing w:val="-4"/>
          <w:sz w:val="18"/>
        </w:rPr>
        <w:t xml:space="preserve"> </w:t>
      </w:r>
      <w:r>
        <w:rPr>
          <w:sz w:val="18"/>
        </w:rPr>
        <w:t>Community</w:t>
      </w:r>
      <w:r>
        <w:rPr>
          <w:spacing w:val="-3"/>
          <w:sz w:val="18"/>
        </w:rPr>
        <w:t xml:space="preserve"> </w:t>
      </w:r>
      <w:r>
        <w:rPr>
          <w:sz w:val="18"/>
        </w:rPr>
        <w:t>Member</w:t>
      </w:r>
      <w:r>
        <w:rPr>
          <w:spacing w:val="-4"/>
          <w:sz w:val="18"/>
        </w:rPr>
        <w:t xml:space="preserve"> </w:t>
      </w:r>
      <w:r>
        <w:rPr>
          <w:sz w:val="18"/>
        </w:rPr>
        <w:t>and</w:t>
      </w:r>
      <w:r>
        <w:rPr>
          <w:spacing w:val="-4"/>
          <w:sz w:val="18"/>
        </w:rPr>
        <w:t xml:space="preserve"> </w:t>
      </w:r>
      <w:r>
        <w:rPr>
          <w:sz w:val="18"/>
        </w:rPr>
        <w:t>Heal</w:t>
      </w:r>
      <w:r>
        <w:rPr>
          <w:sz w:val="18"/>
        </w:rPr>
        <w:t>th</w:t>
      </w:r>
      <w:r>
        <w:rPr>
          <w:spacing w:val="-4"/>
          <w:sz w:val="18"/>
        </w:rPr>
        <w:t xml:space="preserve"> </w:t>
      </w:r>
      <w:r>
        <w:rPr>
          <w:sz w:val="18"/>
        </w:rPr>
        <w:t>Care</w:t>
      </w:r>
      <w:r>
        <w:rPr>
          <w:spacing w:val="-4"/>
          <w:sz w:val="18"/>
        </w:rPr>
        <w:t xml:space="preserve"> </w:t>
      </w:r>
      <w:r>
        <w:rPr>
          <w:sz w:val="18"/>
        </w:rPr>
        <w:t>Professional</w:t>
      </w:r>
      <w:r>
        <w:rPr>
          <w:spacing w:val="-4"/>
          <w:sz w:val="18"/>
        </w:rPr>
        <w:t xml:space="preserve"> </w:t>
      </w:r>
      <w:r>
        <w:rPr>
          <w:sz w:val="18"/>
        </w:rPr>
        <w:t>Perspectives</w:t>
      </w:r>
      <w:r>
        <w:rPr>
          <w:spacing w:val="-4"/>
          <w:sz w:val="18"/>
        </w:rPr>
        <w:t xml:space="preserve"> </w:t>
      </w:r>
      <w:r>
        <w:rPr>
          <w:sz w:val="18"/>
        </w:rPr>
        <w:t>on</w:t>
      </w:r>
      <w:r>
        <w:rPr>
          <w:spacing w:val="-4"/>
          <w:sz w:val="18"/>
        </w:rPr>
        <w:t xml:space="preserve"> </w:t>
      </w:r>
      <w:r>
        <w:rPr>
          <w:sz w:val="18"/>
        </w:rPr>
        <w:t>Gender-Affirming</w:t>
      </w:r>
      <w:r>
        <w:rPr>
          <w:spacing w:val="-4"/>
          <w:sz w:val="18"/>
        </w:rPr>
        <w:t xml:space="preserve"> </w:t>
      </w:r>
      <w:r>
        <w:rPr>
          <w:sz w:val="18"/>
        </w:rPr>
        <w:t>Care—a</w:t>
      </w:r>
      <w:r>
        <w:rPr>
          <w:spacing w:val="-1"/>
          <w:sz w:val="18"/>
        </w:rPr>
        <w:t xml:space="preserve"> </w:t>
      </w:r>
      <w:r>
        <w:rPr>
          <w:sz w:val="18"/>
        </w:rPr>
        <w:t xml:space="preserve">Qualitative Study.” Edited by Stefano Federici. </w:t>
      </w:r>
      <w:r>
        <w:rPr>
          <w:i/>
          <w:sz w:val="18"/>
        </w:rPr>
        <w:t xml:space="preserve">PLOS ONE </w:t>
      </w:r>
      <w:r>
        <w:rPr>
          <w:sz w:val="18"/>
        </w:rPr>
        <w:t>16 (8): e0255568. https://doi.org/10.1371/journal.pone.0255568.</w:t>
      </w:r>
    </w:p>
    <w:p w:rsidR="00200FDA" w:rsidRDefault="00200FDA">
      <w:pPr>
        <w:rPr>
          <w:sz w:val="18"/>
        </w:rPr>
        <w:sectPr w:rsidR="00200FDA">
          <w:pgSz w:w="12240" w:h="15840"/>
          <w:pgMar w:top="1360" w:right="1300" w:bottom="1380" w:left="1300" w:header="761" w:footer="1132" w:gutter="0"/>
          <w:cols w:space="720"/>
        </w:sectPr>
      </w:pPr>
    </w:p>
    <w:p w:rsidR="00200FDA" w:rsidRDefault="00200FDA">
      <w:pPr>
        <w:pStyle w:val="BodyText"/>
        <w:spacing w:before="10"/>
        <w:rPr>
          <w:sz w:val="19"/>
        </w:rPr>
      </w:pPr>
    </w:p>
    <w:p w:rsidR="00200FDA" w:rsidRDefault="00F76C4C">
      <w:pPr>
        <w:spacing w:before="69"/>
        <w:ind w:left="140" w:right="139" w:hanging="1"/>
        <w:rPr>
          <w:sz w:val="18"/>
        </w:rPr>
      </w:pPr>
      <w:bookmarkStart w:id="551" w:name="_bookmark422"/>
      <w:bookmarkEnd w:id="551"/>
      <w:r>
        <w:rPr>
          <w:position w:val="5"/>
          <w:sz w:val="12"/>
        </w:rPr>
        <w:t>71</w:t>
      </w:r>
      <w:r>
        <w:rPr>
          <w:spacing w:val="10"/>
          <w:position w:val="5"/>
          <w:sz w:val="12"/>
        </w:rPr>
        <w:t xml:space="preserve"> </w:t>
      </w:r>
      <w:r>
        <w:rPr>
          <w:color w:val="202020"/>
          <w:sz w:val="18"/>
        </w:rPr>
        <w:t>Goldhammer</w:t>
      </w:r>
      <w:r>
        <w:rPr>
          <w:color w:val="202020"/>
          <w:spacing w:val="-3"/>
          <w:sz w:val="18"/>
        </w:rPr>
        <w:t xml:space="preserve"> </w:t>
      </w:r>
      <w:r>
        <w:rPr>
          <w:color w:val="202020"/>
          <w:sz w:val="18"/>
        </w:rPr>
        <w:t>H,</w:t>
      </w:r>
      <w:r>
        <w:rPr>
          <w:color w:val="202020"/>
          <w:spacing w:val="-2"/>
          <w:sz w:val="18"/>
        </w:rPr>
        <w:t xml:space="preserve"> </w:t>
      </w:r>
      <w:r>
        <w:rPr>
          <w:color w:val="202020"/>
          <w:sz w:val="18"/>
        </w:rPr>
        <w:t>Grasso</w:t>
      </w:r>
      <w:r>
        <w:rPr>
          <w:color w:val="202020"/>
          <w:spacing w:val="-1"/>
          <w:sz w:val="18"/>
        </w:rPr>
        <w:t xml:space="preserve"> </w:t>
      </w:r>
      <w:r>
        <w:rPr>
          <w:color w:val="202020"/>
          <w:sz w:val="18"/>
        </w:rPr>
        <w:t>C,</w:t>
      </w:r>
      <w:r>
        <w:rPr>
          <w:color w:val="202020"/>
          <w:spacing w:val="-2"/>
          <w:sz w:val="18"/>
        </w:rPr>
        <w:t xml:space="preserve"> </w:t>
      </w:r>
      <w:r>
        <w:rPr>
          <w:color w:val="202020"/>
          <w:sz w:val="18"/>
        </w:rPr>
        <w:t>Katz-Wise</w:t>
      </w:r>
      <w:r>
        <w:rPr>
          <w:color w:val="202020"/>
          <w:spacing w:val="-3"/>
          <w:sz w:val="18"/>
        </w:rPr>
        <w:t xml:space="preserve"> </w:t>
      </w:r>
      <w:r>
        <w:rPr>
          <w:color w:val="202020"/>
          <w:sz w:val="18"/>
        </w:rPr>
        <w:t>SL,</w:t>
      </w:r>
      <w:r>
        <w:rPr>
          <w:color w:val="202020"/>
          <w:spacing w:val="-2"/>
          <w:sz w:val="18"/>
        </w:rPr>
        <w:t xml:space="preserve"> </w:t>
      </w:r>
      <w:r>
        <w:rPr>
          <w:color w:val="202020"/>
          <w:sz w:val="18"/>
        </w:rPr>
        <w:t>Thomson</w:t>
      </w:r>
      <w:r>
        <w:rPr>
          <w:color w:val="202020"/>
          <w:spacing w:val="-3"/>
          <w:sz w:val="18"/>
        </w:rPr>
        <w:t xml:space="preserve"> </w:t>
      </w:r>
      <w:r>
        <w:rPr>
          <w:color w:val="202020"/>
          <w:sz w:val="18"/>
        </w:rPr>
        <w:t>K,</w:t>
      </w:r>
      <w:r>
        <w:rPr>
          <w:color w:val="202020"/>
          <w:spacing w:val="-2"/>
          <w:sz w:val="18"/>
        </w:rPr>
        <w:t xml:space="preserve"> </w:t>
      </w:r>
      <w:r>
        <w:rPr>
          <w:color w:val="202020"/>
          <w:sz w:val="18"/>
        </w:rPr>
        <w:t>Gordon</w:t>
      </w:r>
      <w:r>
        <w:rPr>
          <w:color w:val="202020"/>
          <w:spacing w:val="-3"/>
          <w:sz w:val="18"/>
        </w:rPr>
        <w:t xml:space="preserve"> </w:t>
      </w:r>
      <w:r>
        <w:rPr>
          <w:color w:val="202020"/>
          <w:sz w:val="18"/>
        </w:rPr>
        <w:t>AR,</w:t>
      </w:r>
      <w:r>
        <w:rPr>
          <w:color w:val="202020"/>
          <w:spacing w:val="-2"/>
          <w:sz w:val="18"/>
        </w:rPr>
        <w:t xml:space="preserve"> </w:t>
      </w:r>
      <w:r>
        <w:rPr>
          <w:color w:val="202020"/>
          <w:sz w:val="18"/>
        </w:rPr>
        <w:t>Keuroghlian</w:t>
      </w:r>
      <w:r>
        <w:rPr>
          <w:color w:val="202020"/>
          <w:spacing w:val="-3"/>
          <w:sz w:val="18"/>
        </w:rPr>
        <w:t xml:space="preserve"> </w:t>
      </w:r>
      <w:r>
        <w:rPr>
          <w:color w:val="202020"/>
          <w:sz w:val="18"/>
        </w:rPr>
        <w:t>AS.</w:t>
      </w:r>
      <w:r>
        <w:rPr>
          <w:color w:val="202020"/>
          <w:spacing w:val="-2"/>
          <w:sz w:val="18"/>
        </w:rPr>
        <w:t xml:space="preserve"> </w:t>
      </w:r>
      <w:r>
        <w:rPr>
          <w:color w:val="202020"/>
          <w:sz w:val="18"/>
        </w:rPr>
        <w:t>Pediatric</w:t>
      </w:r>
      <w:r>
        <w:rPr>
          <w:color w:val="202020"/>
          <w:spacing w:val="-2"/>
          <w:sz w:val="18"/>
        </w:rPr>
        <w:t xml:space="preserve"> </w:t>
      </w:r>
      <w:r>
        <w:rPr>
          <w:color w:val="202020"/>
          <w:sz w:val="18"/>
        </w:rPr>
        <w:t>sexual</w:t>
      </w:r>
      <w:r>
        <w:rPr>
          <w:color w:val="202020"/>
          <w:spacing w:val="-1"/>
          <w:sz w:val="18"/>
        </w:rPr>
        <w:t xml:space="preserve"> </w:t>
      </w:r>
      <w:r>
        <w:rPr>
          <w:color w:val="202020"/>
          <w:sz w:val="18"/>
        </w:rPr>
        <w:t>orientation</w:t>
      </w:r>
      <w:r>
        <w:rPr>
          <w:color w:val="202020"/>
          <w:spacing w:val="-3"/>
          <w:sz w:val="18"/>
        </w:rPr>
        <w:t xml:space="preserve"> </w:t>
      </w:r>
      <w:r>
        <w:rPr>
          <w:color w:val="202020"/>
          <w:sz w:val="18"/>
        </w:rPr>
        <w:t>and</w:t>
      </w:r>
      <w:r>
        <w:rPr>
          <w:color w:val="202020"/>
          <w:spacing w:val="-3"/>
          <w:sz w:val="18"/>
        </w:rPr>
        <w:t xml:space="preserve"> </w:t>
      </w:r>
      <w:r>
        <w:rPr>
          <w:color w:val="202020"/>
          <w:sz w:val="18"/>
        </w:rPr>
        <w:t>gender identity data collection in the electronic health record. J Am Med Inform Assoc. 2022 Jun 14;29(7):1303-1309. doi: 10.1093/jamia/ocac048. PMID: 35396995; PMCID: PMC9196694.</w:t>
      </w:r>
    </w:p>
    <w:p w:rsidR="00200FDA" w:rsidRDefault="00F76C4C">
      <w:pPr>
        <w:spacing w:before="1" w:line="219" w:lineRule="exact"/>
        <w:ind w:left="140"/>
        <w:rPr>
          <w:sz w:val="18"/>
        </w:rPr>
      </w:pPr>
      <w:bookmarkStart w:id="552" w:name="_bookmark423"/>
      <w:bookmarkEnd w:id="552"/>
      <w:r>
        <w:rPr>
          <w:position w:val="5"/>
          <w:sz w:val="12"/>
        </w:rPr>
        <w:t>72</w:t>
      </w:r>
      <w:r>
        <w:rPr>
          <w:spacing w:val="8"/>
          <w:position w:val="5"/>
          <w:sz w:val="12"/>
        </w:rPr>
        <w:t xml:space="preserve"> </w:t>
      </w:r>
      <w:r>
        <w:rPr>
          <w:color w:val="212121"/>
          <w:sz w:val="18"/>
        </w:rPr>
        <w:t>Hembree,</w:t>
      </w:r>
      <w:r>
        <w:rPr>
          <w:color w:val="212121"/>
          <w:spacing w:val="-2"/>
          <w:sz w:val="18"/>
        </w:rPr>
        <w:t xml:space="preserve"> </w:t>
      </w:r>
      <w:r>
        <w:rPr>
          <w:color w:val="212121"/>
          <w:sz w:val="18"/>
        </w:rPr>
        <w:t>Wylie</w:t>
      </w:r>
      <w:r>
        <w:rPr>
          <w:color w:val="212121"/>
          <w:spacing w:val="-3"/>
          <w:sz w:val="18"/>
        </w:rPr>
        <w:t xml:space="preserve"> </w:t>
      </w:r>
      <w:r>
        <w:rPr>
          <w:color w:val="212121"/>
          <w:sz w:val="18"/>
        </w:rPr>
        <w:t>C.,</w:t>
      </w:r>
      <w:r>
        <w:rPr>
          <w:color w:val="212121"/>
          <w:spacing w:val="-1"/>
          <w:sz w:val="18"/>
        </w:rPr>
        <w:t xml:space="preserve"> </w:t>
      </w:r>
      <w:r>
        <w:rPr>
          <w:color w:val="212121"/>
          <w:sz w:val="18"/>
        </w:rPr>
        <w:t>Peggy</w:t>
      </w:r>
      <w:r>
        <w:rPr>
          <w:color w:val="212121"/>
          <w:spacing w:val="-2"/>
          <w:sz w:val="18"/>
        </w:rPr>
        <w:t xml:space="preserve"> </w:t>
      </w:r>
      <w:r>
        <w:rPr>
          <w:color w:val="212121"/>
          <w:sz w:val="18"/>
        </w:rPr>
        <w:t>T.</w:t>
      </w:r>
      <w:r>
        <w:rPr>
          <w:color w:val="212121"/>
          <w:spacing w:val="-2"/>
          <w:sz w:val="18"/>
        </w:rPr>
        <w:t xml:space="preserve"> </w:t>
      </w:r>
      <w:r>
        <w:rPr>
          <w:color w:val="212121"/>
          <w:sz w:val="18"/>
        </w:rPr>
        <w:t>Cohen-Kettenis,</w:t>
      </w:r>
      <w:r>
        <w:rPr>
          <w:color w:val="212121"/>
          <w:spacing w:val="-1"/>
          <w:sz w:val="18"/>
        </w:rPr>
        <w:t xml:space="preserve"> </w:t>
      </w:r>
      <w:r>
        <w:rPr>
          <w:color w:val="212121"/>
          <w:sz w:val="18"/>
        </w:rPr>
        <w:t>Louis</w:t>
      </w:r>
      <w:r>
        <w:rPr>
          <w:color w:val="212121"/>
          <w:spacing w:val="-3"/>
          <w:sz w:val="18"/>
        </w:rPr>
        <w:t xml:space="preserve"> </w:t>
      </w:r>
      <w:r>
        <w:rPr>
          <w:color w:val="212121"/>
          <w:sz w:val="18"/>
        </w:rPr>
        <w:t>Gooren,</w:t>
      </w:r>
      <w:r>
        <w:rPr>
          <w:color w:val="212121"/>
          <w:spacing w:val="-2"/>
          <w:sz w:val="18"/>
        </w:rPr>
        <w:t xml:space="preserve"> </w:t>
      </w:r>
      <w:r>
        <w:rPr>
          <w:color w:val="212121"/>
          <w:sz w:val="18"/>
        </w:rPr>
        <w:t>Sabine</w:t>
      </w:r>
      <w:r>
        <w:rPr>
          <w:color w:val="212121"/>
          <w:spacing w:val="-3"/>
          <w:sz w:val="18"/>
        </w:rPr>
        <w:t xml:space="preserve"> </w:t>
      </w:r>
      <w:r>
        <w:rPr>
          <w:color w:val="212121"/>
          <w:sz w:val="18"/>
        </w:rPr>
        <w:t>E.</w:t>
      </w:r>
      <w:r>
        <w:rPr>
          <w:color w:val="212121"/>
          <w:spacing w:val="-1"/>
          <w:sz w:val="18"/>
        </w:rPr>
        <w:t xml:space="preserve"> </w:t>
      </w:r>
      <w:r>
        <w:rPr>
          <w:color w:val="212121"/>
          <w:sz w:val="18"/>
        </w:rPr>
        <w:t>Hannema,</w:t>
      </w:r>
      <w:r>
        <w:rPr>
          <w:color w:val="212121"/>
          <w:spacing w:val="-2"/>
          <w:sz w:val="18"/>
        </w:rPr>
        <w:t xml:space="preserve"> </w:t>
      </w:r>
      <w:r>
        <w:rPr>
          <w:color w:val="212121"/>
          <w:sz w:val="18"/>
        </w:rPr>
        <w:t>Walter</w:t>
      </w:r>
      <w:r>
        <w:rPr>
          <w:color w:val="212121"/>
          <w:spacing w:val="-3"/>
          <w:sz w:val="18"/>
        </w:rPr>
        <w:t xml:space="preserve"> </w:t>
      </w:r>
      <w:r>
        <w:rPr>
          <w:color w:val="212121"/>
          <w:sz w:val="18"/>
        </w:rPr>
        <w:t>J.</w:t>
      </w:r>
      <w:r>
        <w:rPr>
          <w:color w:val="212121"/>
          <w:spacing w:val="-1"/>
          <w:sz w:val="18"/>
        </w:rPr>
        <w:t xml:space="preserve"> </w:t>
      </w:r>
      <w:r>
        <w:rPr>
          <w:color w:val="212121"/>
          <w:sz w:val="18"/>
        </w:rPr>
        <w:t>Meyer,</w:t>
      </w:r>
      <w:r>
        <w:rPr>
          <w:color w:val="212121"/>
          <w:spacing w:val="1"/>
          <w:sz w:val="18"/>
        </w:rPr>
        <w:t xml:space="preserve"> </w:t>
      </w:r>
      <w:r>
        <w:rPr>
          <w:color w:val="212121"/>
          <w:sz w:val="18"/>
        </w:rPr>
        <w:t>M.</w:t>
      </w:r>
      <w:r>
        <w:rPr>
          <w:color w:val="212121"/>
          <w:spacing w:val="-2"/>
          <w:sz w:val="18"/>
        </w:rPr>
        <w:t xml:space="preserve"> </w:t>
      </w:r>
      <w:r>
        <w:rPr>
          <w:color w:val="212121"/>
          <w:sz w:val="18"/>
        </w:rPr>
        <w:t>Hassan</w:t>
      </w:r>
      <w:r>
        <w:rPr>
          <w:color w:val="212121"/>
          <w:spacing w:val="-3"/>
          <w:sz w:val="18"/>
        </w:rPr>
        <w:t xml:space="preserve"> </w:t>
      </w:r>
      <w:r>
        <w:rPr>
          <w:color w:val="212121"/>
          <w:sz w:val="18"/>
        </w:rPr>
        <w:t>Murad,</w:t>
      </w:r>
      <w:r>
        <w:rPr>
          <w:color w:val="212121"/>
          <w:spacing w:val="-1"/>
          <w:sz w:val="18"/>
        </w:rPr>
        <w:t xml:space="preserve"> </w:t>
      </w:r>
      <w:r>
        <w:rPr>
          <w:color w:val="212121"/>
          <w:spacing w:val="-2"/>
          <w:sz w:val="18"/>
        </w:rPr>
        <w:t>Stephen</w:t>
      </w:r>
    </w:p>
    <w:p w:rsidR="00200FDA" w:rsidRDefault="00F76C4C">
      <w:pPr>
        <w:ind w:left="140" w:right="218" w:hanging="1"/>
        <w:rPr>
          <w:sz w:val="18"/>
        </w:rPr>
      </w:pPr>
      <w:r>
        <w:rPr>
          <w:color w:val="212121"/>
          <w:sz w:val="18"/>
        </w:rPr>
        <w:t>M. Rosenthal, Joshua D. Safer, Vin Tangpricha, and Guy G. T’Sjoen. "Endocrine treatment of gender-dysphoric/gender- incongruent</w:t>
      </w:r>
      <w:r>
        <w:rPr>
          <w:color w:val="212121"/>
          <w:spacing w:val="-3"/>
          <w:sz w:val="18"/>
        </w:rPr>
        <w:t xml:space="preserve"> </w:t>
      </w:r>
      <w:r>
        <w:rPr>
          <w:color w:val="212121"/>
          <w:sz w:val="18"/>
        </w:rPr>
        <w:t>persons:</w:t>
      </w:r>
      <w:r>
        <w:rPr>
          <w:color w:val="212121"/>
          <w:spacing w:val="-2"/>
          <w:sz w:val="18"/>
        </w:rPr>
        <w:t xml:space="preserve"> </w:t>
      </w:r>
      <w:r>
        <w:rPr>
          <w:color w:val="212121"/>
          <w:sz w:val="18"/>
        </w:rPr>
        <w:t>an</w:t>
      </w:r>
      <w:r>
        <w:rPr>
          <w:color w:val="212121"/>
          <w:spacing w:val="-3"/>
          <w:sz w:val="18"/>
        </w:rPr>
        <w:t xml:space="preserve"> </w:t>
      </w:r>
      <w:r>
        <w:rPr>
          <w:color w:val="212121"/>
          <w:sz w:val="18"/>
        </w:rPr>
        <w:t>endocrine</w:t>
      </w:r>
      <w:r>
        <w:rPr>
          <w:color w:val="212121"/>
          <w:spacing w:val="-3"/>
          <w:sz w:val="18"/>
        </w:rPr>
        <w:t xml:space="preserve"> </w:t>
      </w:r>
      <w:r>
        <w:rPr>
          <w:color w:val="212121"/>
          <w:sz w:val="18"/>
        </w:rPr>
        <w:t>societ</w:t>
      </w:r>
      <w:r>
        <w:rPr>
          <w:color w:val="212121"/>
          <w:sz w:val="18"/>
        </w:rPr>
        <w:t>y</w:t>
      </w:r>
      <w:r>
        <w:rPr>
          <w:color w:val="212121"/>
          <w:spacing w:val="-2"/>
          <w:sz w:val="18"/>
        </w:rPr>
        <w:t xml:space="preserve"> </w:t>
      </w:r>
      <w:r>
        <w:rPr>
          <w:color w:val="212121"/>
          <w:sz w:val="18"/>
        </w:rPr>
        <w:t>clinical</w:t>
      </w:r>
      <w:r>
        <w:rPr>
          <w:color w:val="212121"/>
          <w:spacing w:val="-3"/>
          <w:sz w:val="18"/>
        </w:rPr>
        <w:t xml:space="preserve"> </w:t>
      </w:r>
      <w:r>
        <w:rPr>
          <w:color w:val="212121"/>
          <w:sz w:val="18"/>
        </w:rPr>
        <w:t>practice</w:t>
      </w:r>
      <w:r>
        <w:rPr>
          <w:color w:val="212121"/>
          <w:spacing w:val="-3"/>
          <w:sz w:val="18"/>
        </w:rPr>
        <w:t xml:space="preserve"> </w:t>
      </w:r>
      <w:r>
        <w:rPr>
          <w:color w:val="212121"/>
          <w:sz w:val="18"/>
        </w:rPr>
        <w:t>guideline."</w:t>
      </w:r>
      <w:r>
        <w:rPr>
          <w:color w:val="212121"/>
          <w:spacing w:val="-2"/>
          <w:sz w:val="18"/>
        </w:rPr>
        <w:t xml:space="preserve"> </w:t>
      </w:r>
      <w:r>
        <w:rPr>
          <w:i/>
          <w:color w:val="212121"/>
          <w:sz w:val="18"/>
        </w:rPr>
        <w:t>The</w:t>
      </w:r>
      <w:r>
        <w:rPr>
          <w:i/>
          <w:color w:val="212121"/>
          <w:spacing w:val="-2"/>
          <w:sz w:val="18"/>
        </w:rPr>
        <w:t xml:space="preserve"> </w:t>
      </w:r>
      <w:r>
        <w:rPr>
          <w:i/>
          <w:color w:val="212121"/>
          <w:sz w:val="18"/>
        </w:rPr>
        <w:t>Journal</w:t>
      </w:r>
      <w:r>
        <w:rPr>
          <w:i/>
          <w:color w:val="212121"/>
          <w:spacing w:val="-3"/>
          <w:sz w:val="18"/>
        </w:rPr>
        <w:t xml:space="preserve"> </w:t>
      </w:r>
      <w:r>
        <w:rPr>
          <w:i/>
          <w:color w:val="212121"/>
          <w:sz w:val="18"/>
        </w:rPr>
        <w:t>of</w:t>
      </w:r>
      <w:r>
        <w:rPr>
          <w:i/>
          <w:color w:val="212121"/>
          <w:spacing w:val="-2"/>
          <w:sz w:val="18"/>
        </w:rPr>
        <w:t xml:space="preserve"> </w:t>
      </w:r>
      <w:r>
        <w:rPr>
          <w:i/>
          <w:color w:val="212121"/>
          <w:sz w:val="18"/>
        </w:rPr>
        <w:t>Clinical</w:t>
      </w:r>
      <w:r>
        <w:rPr>
          <w:i/>
          <w:color w:val="212121"/>
          <w:spacing w:val="-3"/>
          <w:sz w:val="18"/>
        </w:rPr>
        <w:t xml:space="preserve"> </w:t>
      </w:r>
      <w:r>
        <w:rPr>
          <w:i/>
          <w:color w:val="212121"/>
          <w:sz w:val="18"/>
        </w:rPr>
        <w:t>Endocrinology</w:t>
      </w:r>
      <w:r>
        <w:rPr>
          <w:i/>
          <w:color w:val="212121"/>
          <w:spacing w:val="-1"/>
          <w:sz w:val="18"/>
        </w:rPr>
        <w:t xml:space="preserve"> </w:t>
      </w:r>
      <w:r>
        <w:rPr>
          <w:i/>
          <w:color w:val="212121"/>
          <w:sz w:val="18"/>
        </w:rPr>
        <w:t>&amp;</w:t>
      </w:r>
      <w:r>
        <w:rPr>
          <w:i/>
          <w:color w:val="212121"/>
          <w:spacing w:val="-3"/>
          <w:sz w:val="18"/>
        </w:rPr>
        <w:t xml:space="preserve"> </w:t>
      </w:r>
      <w:r>
        <w:rPr>
          <w:i/>
          <w:color w:val="212121"/>
          <w:sz w:val="18"/>
        </w:rPr>
        <w:t>Metabolism</w:t>
      </w:r>
      <w:r>
        <w:rPr>
          <w:i/>
          <w:color w:val="212121"/>
          <w:spacing w:val="-3"/>
          <w:sz w:val="18"/>
        </w:rPr>
        <w:t xml:space="preserve"> </w:t>
      </w:r>
      <w:r>
        <w:rPr>
          <w:color w:val="212121"/>
          <w:sz w:val="18"/>
        </w:rPr>
        <w:t xml:space="preserve">102, </w:t>
      </w:r>
      <w:bookmarkStart w:id="553" w:name="_bookmark424"/>
      <w:bookmarkEnd w:id="553"/>
      <w:r>
        <w:rPr>
          <w:color w:val="212121"/>
          <w:sz w:val="18"/>
        </w:rPr>
        <w:t>no. 11 (2017): 3869-3903.</w:t>
      </w:r>
    </w:p>
    <w:p w:rsidR="00200FDA" w:rsidRDefault="00F76C4C">
      <w:pPr>
        <w:ind w:left="140" w:hanging="1"/>
        <w:rPr>
          <w:sz w:val="18"/>
        </w:rPr>
      </w:pPr>
      <w:r>
        <w:rPr>
          <w:position w:val="5"/>
          <w:sz w:val="12"/>
        </w:rPr>
        <w:t>73</w:t>
      </w:r>
      <w:r>
        <w:rPr>
          <w:spacing w:val="10"/>
          <w:position w:val="5"/>
          <w:sz w:val="12"/>
        </w:rPr>
        <w:t xml:space="preserve"> </w:t>
      </w:r>
      <w:r>
        <w:rPr>
          <w:color w:val="212121"/>
          <w:sz w:val="18"/>
        </w:rPr>
        <w:t>Ethics</w:t>
      </w:r>
      <w:r>
        <w:rPr>
          <w:color w:val="212121"/>
          <w:spacing w:val="-3"/>
          <w:sz w:val="18"/>
        </w:rPr>
        <w:t xml:space="preserve"> </w:t>
      </w:r>
      <w:r>
        <w:rPr>
          <w:color w:val="212121"/>
          <w:sz w:val="18"/>
        </w:rPr>
        <w:t>Committee</w:t>
      </w:r>
      <w:r>
        <w:rPr>
          <w:color w:val="212121"/>
          <w:spacing w:val="-3"/>
          <w:sz w:val="18"/>
        </w:rPr>
        <w:t xml:space="preserve"> </w:t>
      </w:r>
      <w:r>
        <w:rPr>
          <w:color w:val="212121"/>
          <w:sz w:val="18"/>
        </w:rPr>
        <w:t>of</w:t>
      </w:r>
      <w:r>
        <w:rPr>
          <w:color w:val="212121"/>
          <w:spacing w:val="-2"/>
          <w:sz w:val="18"/>
        </w:rPr>
        <w:t xml:space="preserve"> </w:t>
      </w:r>
      <w:r>
        <w:rPr>
          <w:color w:val="212121"/>
          <w:sz w:val="18"/>
        </w:rPr>
        <w:t>the</w:t>
      </w:r>
      <w:r>
        <w:rPr>
          <w:color w:val="212121"/>
          <w:spacing w:val="-3"/>
          <w:sz w:val="18"/>
        </w:rPr>
        <w:t xml:space="preserve"> </w:t>
      </w:r>
      <w:r>
        <w:rPr>
          <w:color w:val="212121"/>
          <w:sz w:val="18"/>
        </w:rPr>
        <w:t>American</w:t>
      </w:r>
      <w:r>
        <w:rPr>
          <w:color w:val="212121"/>
          <w:spacing w:val="-3"/>
          <w:sz w:val="18"/>
        </w:rPr>
        <w:t xml:space="preserve"> </w:t>
      </w:r>
      <w:r>
        <w:rPr>
          <w:color w:val="212121"/>
          <w:sz w:val="18"/>
        </w:rPr>
        <w:t>Society</w:t>
      </w:r>
      <w:r>
        <w:rPr>
          <w:color w:val="212121"/>
          <w:spacing w:val="-2"/>
          <w:sz w:val="18"/>
        </w:rPr>
        <w:t xml:space="preserve"> </w:t>
      </w:r>
      <w:r>
        <w:rPr>
          <w:color w:val="212121"/>
          <w:sz w:val="18"/>
        </w:rPr>
        <w:t>for</w:t>
      </w:r>
      <w:r>
        <w:rPr>
          <w:color w:val="212121"/>
          <w:spacing w:val="-3"/>
          <w:sz w:val="18"/>
        </w:rPr>
        <w:t xml:space="preserve"> </w:t>
      </w:r>
      <w:r>
        <w:rPr>
          <w:color w:val="212121"/>
          <w:sz w:val="18"/>
        </w:rPr>
        <w:t>Reproductive</w:t>
      </w:r>
      <w:r>
        <w:rPr>
          <w:color w:val="212121"/>
          <w:spacing w:val="-1"/>
          <w:sz w:val="18"/>
        </w:rPr>
        <w:t xml:space="preserve"> </w:t>
      </w:r>
      <w:r>
        <w:rPr>
          <w:color w:val="212121"/>
          <w:sz w:val="18"/>
        </w:rPr>
        <w:t>Medicine.</w:t>
      </w:r>
      <w:r>
        <w:rPr>
          <w:color w:val="212121"/>
          <w:spacing w:val="-2"/>
          <w:sz w:val="18"/>
        </w:rPr>
        <w:t xml:space="preserve"> </w:t>
      </w:r>
      <w:r>
        <w:rPr>
          <w:color w:val="212121"/>
          <w:sz w:val="18"/>
        </w:rPr>
        <w:t>"Access</w:t>
      </w:r>
      <w:r>
        <w:rPr>
          <w:color w:val="212121"/>
          <w:spacing w:val="-3"/>
          <w:sz w:val="18"/>
        </w:rPr>
        <w:t xml:space="preserve"> </w:t>
      </w:r>
      <w:r>
        <w:rPr>
          <w:color w:val="212121"/>
          <w:sz w:val="18"/>
        </w:rPr>
        <w:t>to</w:t>
      </w:r>
      <w:r>
        <w:rPr>
          <w:color w:val="212121"/>
          <w:spacing w:val="-1"/>
          <w:sz w:val="18"/>
        </w:rPr>
        <w:t xml:space="preserve"> </w:t>
      </w:r>
      <w:r>
        <w:rPr>
          <w:color w:val="212121"/>
          <w:sz w:val="18"/>
        </w:rPr>
        <w:t>fertility</w:t>
      </w:r>
      <w:r>
        <w:rPr>
          <w:color w:val="212121"/>
          <w:spacing w:val="-2"/>
          <w:sz w:val="18"/>
        </w:rPr>
        <w:t xml:space="preserve"> </w:t>
      </w:r>
      <w:r>
        <w:rPr>
          <w:color w:val="212121"/>
          <w:sz w:val="18"/>
        </w:rPr>
        <w:t>services</w:t>
      </w:r>
      <w:r>
        <w:rPr>
          <w:color w:val="212121"/>
          <w:spacing w:val="-3"/>
          <w:sz w:val="18"/>
        </w:rPr>
        <w:t xml:space="preserve"> </w:t>
      </w:r>
      <w:r>
        <w:rPr>
          <w:color w:val="212121"/>
          <w:sz w:val="18"/>
        </w:rPr>
        <w:t>by</w:t>
      </w:r>
      <w:r>
        <w:rPr>
          <w:color w:val="212121"/>
          <w:spacing w:val="-2"/>
          <w:sz w:val="18"/>
        </w:rPr>
        <w:t xml:space="preserve"> </w:t>
      </w:r>
      <w:r>
        <w:rPr>
          <w:color w:val="212121"/>
          <w:sz w:val="18"/>
        </w:rPr>
        <w:t>transgender</w:t>
      </w:r>
      <w:r>
        <w:rPr>
          <w:color w:val="212121"/>
          <w:spacing w:val="-3"/>
          <w:sz w:val="18"/>
        </w:rPr>
        <w:t xml:space="preserve"> </w:t>
      </w:r>
      <w:r>
        <w:rPr>
          <w:color w:val="212121"/>
          <w:sz w:val="18"/>
        </w:rPr>
        <w:t>persons:</w:t>
      </w:r>
      <w:r>
        <w:rPr>
          <w:color w:val="212121"/>
          <w:spacing w:val="-3"/>
          <w:sz w:val="18"/>
        </w:rPr>
        <w:t xml:space="preserve"> </w:t>
      </w:r>
      <w:r>
        <w:rPr>
          <w:color w:val="212121"/>
          <w:sz w:val="18"/>
        </w:rPr>
        <w:t xml:space="preserve">an </w:t>
      </w:r>
      <w:bookmarkStart w:id="554" w:name="_bookmark425"/>
      <w:bookmarkEnd w:id="554"/>
      <w:r>
        <w:rPr>
          <w:color w:val="212121"/>
          <w:sz w:val="18"/>
        </w:rPr>
        <w:t>E</w:t>
      </w:r>
      <w:r>
        <w:rPr>
          <w:color w:val="212121"/>
          <w:sz w:val="18"/>
        </w:rPr>
        <w:t xml:space="preserve">thics Committee opinion." </w:t>
      </w:r>
      <w:r>
        <w:rPr>
          <w:i/>
          <w:color w:val="212121"/>
          <w:sz w:val="18"/>
        </w:rPr>
        <w:t xml:space="preserve">Fertility and Sterility </w:t>
      </w:r>
      <w:r>
        <w:rPr>
          <w:color w:val="212121"/>
          <w:sz w:val="18"/>
        </w:rPr>
        <w:t>104, no. 5 (2015): 1111-1115.</w:t>
      </w:r>
    </w:p>
    <w:p w:rsidR="00200FDA" w:rsidRDefault="00F76C4C">
      <w:pPr>
        <w:ind w:left="140" w:right="338" w:hanging="1"/>
        <w:jc w:val="both"/>
        <w:rPr>
          <w:sz w:val="18"/>
        </w:rPr>
      </w:pPr>
      <w:r>
        <w:rPr>
          <w:position w:val="5"/>
          <w:sz w:val="12"/>
        </w:rPr>
        <w:t>74</w:t>
      </w:r>
      <w:r>
        <w:rPr>
          <w:spacing w:val="10"/>
          <w:position w:val="5"/>
          <w:sz w:val="12"/>
        </w:rPr>
        <w:t xml:space="preserve"> </w:t>
      </w:r>
      <w:r>
        <w:rPr>
          <w:color w:val="212121"/>
          <w:sz w:val="18"/>
        </w:rPr>
        <w:t>Chen,</w:t>
      </w:r>
      <w:r>
        <w:rPr>
          <w:color w:val="212121"/>
          <w:spacing w:val="-3"/>
          <w:sz w:val="18"/>
        </w:rPr>
        <w:t xml:space="preserve"> </w:t>
      </w:r>
      <w:r>
        <w:rPr>
          <w:color w:val="212121"/>
          <w:sz w:val="18"/>
        </w:rPr>
        <w:t>Diane,</w:t>
      </w:r>
      <w:r>
        <w:rPr>
          <w:color w:val="212121"/>
          <w:spacing w:val="-3"/>
          <w:sz w:val="18"/>
        </w:rPr>
        <w:t xml:space="preserve"> </w:t>
      </w:r>
      <w:r>
        <w:rPr>
          <w:color w:val="212121"/>
          <w:sz w:val="18"/>
        </w:rPr>
        <w:t>Victoria</w:t>
      </w:r>
      <w:r>
        <w:rPr>
          <w:color w:val="212121"/>
          <w:spacing w:val="-3"/>
          <w:sz w:val="18"/>
        </w:rPr>
        <w:t xml:space="preserve"> </w:t>
      </w:r>
      <w:r>
        <w:rPr>
          <w:color w:val="212121"/>
          <w:sz w:val="18"/>
        </w:rPr>
        <w:t>D.</w:t>
      </w:r>
      <w:r>
        <w:rPr>
          <w:color w:val="212121"/>
          <w:spacing w:val="-3"/>
          <w:sz w:val="18"/>
        </w:rPr>
        <w:t xml:space="preserve"> </w:t>
      </w:r>
      <w:r>
        <w:rPr>
          <w:color w:val="212121"/>
          <w:sz w:val="18"/>
        </w:rPr>
        <w:t>Kolbuck,</w:t>
      </w:r>
      <w:r>
        <w:rPr>
          <w:color w:val="212121"/>
          <w:spacing w:val="-3"/>
          <w:sz w:val="18"/>
        </w:rPr>
        <w:t xml:space="preserve"> </w:t>
      </w:r>
      <w:r>
        <w:rPr>
          <w:color w:val="212121"/>
          <w:sz w:val="18"/>
        </w:rPr>
        <w:t>Megan</w:t>
      </w:r>
      <w:r>
        <w:rPr>
          <w:color w:val="212121"/>
          <w:spacing w:val="-3"/>
          <w:sz w:val="18"/>
        </w:rPr>
        <w:t xml:space="preserve"> </w:t>
      </w:r>
      <w:r>
        <w:rPr>
          <w:color w:val="212121"/>
          <w:sz w:val="18"/>
        </w:rPr>
        <w:t>E.</w:t>
      </w:r>
      <w:r>
        <w:rPr>
          <w:color w:val="212121"/>
          <w:spacing w:val="-3"/>
          <w:sz w:val="18"/>
        </w:rPr>
        <w:t xml:space="preserve"> </w:t>
      </w:r>
      <w:r>
        <w:rPr>
          <w:color w:val="212121"/>
          <w:sz w:val="18"/>
        </w:rPr>
        <w:t>Sutter,</w:t>
      </w:r>
      <w:r>
        <w:rPr>
          <w:color w:val="212121"/>
          <w:spacing w:val="-3"/>
          <w:sz w:val="18"/>
        </w:rPr>
        <w:t xml:space="preserve"> </w:t>
      </w:r>
      <w:r>
        <w:rPr>
          <w:color w:val="212121"/>
          <w:sz w:val="18"/>
        </w:rPr>
        <w:t>Amy</w:t>
      </w:r>
      <w:r>
        <w:rPr>
          <w:color w:val="212121"/>
          <w:spacing w:val="-3"/>
          <w:sz w:val="18"/>
        </w:rPr>
        <w:t xml:space="preserve"> </w:t>
      </w:r>
      <w:r>
        <w:rPr>
          <w:color w:val="212121"/>
          <w:sz w:val="18"/>
        </w:rPr>
        <w:t>C.</w:t>
      </w:r>
      <w:r>
        <w:rPr>
          <w:color w:val="212121"/>
          <w:spacing w:val="-3"/>
          <w:sz w:val="18"/>
        </w:rPr>
        <w:t xml:space="preserve"> </w:t>
      </w:r>
      <w:r>
        <w:rPr>
          <w:color w:val="212121"/>
          <w:sz w:val="18"/>
        </w:rPr>
        <w:t>Tishelman,</w:t>
      </w:r>
      <w:r>
        <w:rPr>
          <w:color w:val="212121"/>
          <w:spacing w:val="-3"/>
          <w:sz w:val="18"/>
        </w:rPr>
        <w:t xml:space="preserve"> </w:t>
      </w:r>
      <w:r>
        <w:rPr>
          <w:color w:val="212121"/>
          <w:sz w:val="18"/>
        </w:rPr>
        <w:t>Gwendolyn</w:t>
      </w:r>
      <w:r>
        <w:rPr>
          <w:color w:val="212121"/>
          <w:spacing w:val="-3"/>
          <w:sz w:val="18"/>
        </w:rPr>
        <w:t xml:space="preserve"> </w:t>
      </w:r>
      <w:r>
        <w:rPr>
          <w:color w:val="212121"/>
          <w:sz w:val="18"/>
        </w:rPr>
        <w:t>P.</w:t>
      </w:r>
      <w:r>
        <w:rPr>
          <w:color w:val="212121"/>
          <w:spacing w:val="-3"/>
          <w:sz w:val="18"/>
        </w:rPr>
        <w:t xml:space="preserve"> </w:t>
      </w:r>
      <w:r>
        <w:rPr>
          <w:color w:val="212121"/>
          <w:sz w:val="18"/>
        </w:rPr>
        <w:t>Quinn,</w:t>
      </w:r>
      <w:r>
        <w:rPr>
          <w:color w:val="212121"/>
          <w:spacing w:val="-3"/>
          <w:sz w:val="18"/>
        </w:rPr>
        <w:t xml:space="preserve"> </w:t>
      </w:r>
      <w:r>
        <w:rPr>
          <w:color w:val="212121"/>
          <w:sz w:val="18"/>
        </w:rPr>
        <w:t>and</w:t>
      </w:r>
      <w:r>
        <w:rPr>
          <w:color w:val="212121"/>
          <w:spacing w:val="-3"/>
          <w:sz w:val="18"/>
        </w:rPr>
        <w:t xml:space="preserve"> </w:t>
      </w:r>
      <w:r>
        <w:rPr>
          <w:color w:val="212121"/>
          <w:sz w:val="18"/>
        </w:rPr>
        <w:t>Leena</w:t>
      </w:r>
      <w:r>
        <w:rPr>
          <w:color w:val="212121"/>
          <w:spacing w:val="-3"/>
          <w:sz w:val="18"/>
        </w:rPr>
        <w:t xml:space="preserve"> </w:t>
      </w:r>
      <w:r>
        <w:rPr>
          <w:color w:val="212121"/>
          <w:sz w:val="18"/>
        </w:rPr>
        <w:t>Nahata.</w:t>
      </w:r>
      <w:r>
        <w:rPr>
          <w:color w:val="212121"/>
          <w:spacing w:val="-3"/>
          <w:sz w:val="18"/>
        </w:rPr>
        <w:t xml:space="preserve"> </w:t>
      </w:r>
      <w:r>
        <w:rPr>
          <w:color w:val="212121"/>
          <w:sz w:val="18"/>
        </w:rPr>
        <w:t>"Knowledge, practice</w:t>
      </w:r>
      <w:r>
        <w:rPr>
          <w:color w:val="212121"/>
          <w:spacing w:val="-2"/>
          <w:sz w:val="18"/>
        </w:rPr>
        <w:t xml:space="preserve"> </w:t>
      </w:r>
      <w:r>
        <w:rPr>
          <w:color w:val="212121"/>
          <w:sz w:val="18"/>
        </w:rPr>
        <w:t>behaviors,</w:t>
      </w:r>
      <w:r>
        <w:rPr>
          <w:color w:val="212121"/>
          <w:spacing w:val="-1"/>
          <w:sz w:val="18"/>
        </w:rPr>
        <w:t xml:space="preserve"> </w:t>
      </w:r>
      <w:r>
        <w:rPr>
          <w:color w:val="212121"/>
          <w:sz w:val="18"/>
        </w:rPr>
        <w:t>and perceived</w:t>
      </w:r>
      <w:r>
        <w:rPr>
          <w:color w:val="212121"/>
          <w:spacing w:val="-2"/>
          <w:sz w:val="18"/>
        </w:rPr>
        <w:t xml:space="preserve"> </w:t>
      </w:r>
      <w:r>
        <w:rPr>
          <w:color w:val="212121"/>
          <w:sz w:val="18"/>
        </w:rPr>
        <w:t>barriers</w:t>
      </w:r>
      <w:r>
        <w:rPr>
          <w:color w:val="212121"/>
          <w:spacing w:val="-2"/>
          <w:sz w:val="18"/>
        </w:rPr>
        <w:t xml:space="preserve"> </w:t>
      </w:r>
      <w:r>
        <w:rPr>
          <w:color w:val="212121"/>
          <w:sz w:val="18"/>
        </w:rPr>
        <w:t>to fertility</w:t>
      </w:r>
      <w:r>
        <w:rPr>
          <w:color w:val="212121"/>
          <w:spacing w:val="-1"/>
          <w:sz w:val="18"/>
        </w:rPr>
        <w:t xml:space="preserve"> </w:t>
      </w:r>
      <w:r>
        <w:rPr>
          <w:color w:val="212121"/>
          <w:sz w:val="18"/>
        </w:rPr>
        <w:t>care</w:t>
      </w:r>
      <w:r>
        <w:rPr>
          <w:color w:val="212121"/>
          <w:spacing w:val="-2"/>
          <w:sz w:val="18"/>
        </w:rPr>
        <w:t xml:space="preserve"> </w:t>
      </w:r>
      <w:r>
        <w:rPr>
          <w:color w:val="212121"/>
          <w:sz w:val="18"/>
        </w:rPr>
        <w:t>among providers</w:t>
      </w:r>
      <w:r>
        <w:rPr>
          <w:color w:val="212121"/>
          <w:spacing w:val="-2"/>
          <w:sz w:val="18"/>
        </w:rPr>
        <w:t xml:space="preserve"> </w:t>
      </w:r>
      <w:r>
        <w:rPr>
          <w:color w:val="212121"/>
          <w:sz w:val="18"/>
        </w:rPr>
        <w:t>of</w:t>
      </w:r>
      <w:r>
        <w:rPr>
          <w:color w:val="212121"/>
          <w:spacing w:val="-1"/>
          <w:sz w:val="18"/>
        </w:rPr>
        <w:t xml:space="preserve"> </w:t>
      </w:r>
      <w:r>
        <w:rPr>
          <w:color w:val="212121"/>
          <w:sz w:val="18"/>
        </w:rPr>
        <w:t>transgender</w:t>
      </w:r>
      <w:r>
        <w:rPr>
          <w:color w:val="212121"/>
          <w:spacing w:val="-2"/>
          <w:sz w:val="18"/>
        </w:rPr>
        <w:t xml:space="preserve"> </w:t>
      </w:r>
      <w:r>
        <w:rPr>
          <w:color w:val="212121"/>
          <w:sz w:val="18"/>
        </w:rPr>
        <w:t>healthcare."</w:t>
      </w:r>
      <w:r>
        <w:rPr>
          <w:color w:val="212121"/>
          <w:spacing w:val="-1"/>
          <w:sz w:val="18"/>
        </w:rPr>
        <w:t xml:space="preserve"> </w:t>
      </w:r>
      <w:r>
        <w:rPr>
          <w:i/>
          <w:color w:val="212121"/>
          <w:sz w:val="18"/>
        </w:rPr>
        <w:t>Journal</w:t>
      </w:r>
      <w:r>
        <w:rPr>
          <w:i/>
          <w:color w:val="212121"/>
          <w:spacing w:val="-2"/>
          <w:sz w:val="18"/>
        </w:rPr>
        <w:t xml:space="preserve"> </w:t>
      </w:r>
      <w:r>
        <w:rPr>
          <w:i/>
          <w:color w:val="212121"/>
          <w:sz w:val="18"/>
        </w:rPr>
        <w:t>of</w:t>
      </w:r>
      <w:r>
        <w:rPr>
          <w:i/>
          <w:color w:val="212121"/>
          <w:spacing w:val="-1"/>
          <w:sz w:val="18"/>
        </w:rPr>
        <w:t xml:space="preserve"> </w:t>
      </w:r>
      <w:r>
        <w:rPr>
          <w:i/>
          <w:color w:val="212121"/>
          <w:sz w:val="18"/>
        </w:rPr>
        <w:t xml:space="preserve">Adolescent Health </w:t>
      </w:r>
      <w:r>
        <w:rPr>
          <w:color w:val="212121"/>
          <w:sz w:val="18"/>
        </w:rPr>
        <w:t>64, no. 2 (2019): 226-234.</w:t>
      </w:r>
    </w:p>
    <w:p w:rsidR="00200FDA" w:rsidRDefault="00F76C4C">
      <w:pPr>
        <w:ind w:left="140" w:right="218" w:hanging="1"/>
        <w:rPr>
          <w:sz w:val="18"/>
        </w:rPr>
      </w:pPr>
      <w:bookmarkStart w:id="555" w:name="_bookmark426"/>
      <w:bookmarkEnd w:id="555"/>
      <w:r>
        <w:rPr>
          <w:position w:val="5"/>
          <w:sz w:val="12"/>
        </w:rPr>
        <w:t>75</w:t>
      </w:r>
      <w:r>
        <w:rPr>
          <w:spacing w:val="18"/>
          <w:position w:val="5"/>
          <w:sz w:val="12"/>
        </w:rPr>
        <w:t xml:space="preserve"> </w:t>
      </w:r>
      <w:r>
        <w:rPr>
          <w:color w:val="212121"/>
          <w:sz w:val="18"/>
        </w:rPr>
        <w:t>Chen, Diane, Moira A. Kyweluk, Afiya Sajwani, Elisa J. Gordon, Emilie K. Johnson, Courtney A. Finlayson, and Teresa K. Woodruff.</w:t>
      </w:r>
      <w:r>
        <w:rPr>
          <w:color w:val="212121"/>
          <w:spacing w:val="-2"/>
          <w:sz w:val="18"/>
        </w:rPr>
        <w:t xml:space="preserve"> </w:t>
      </w:r>
      <w:r>
        <w:rPr>
          <w:color w:val="212121"/>
          <w:sz w:val="18"/>
        </w:rPr>
        <w:t>"Facto</w:t>
      </w:r>
      <w:r>
        <w:rPr>
          <w:color w:val="212121"/>
          <w:sz w:val="18"/>
        </w:rPr>
        <w:t>rs</w:t>
      </w:r>
      <w:r>
        <w:rPr>
          <w:color w:val="212121"/>
          <w:spacing w:val="-3"/>
          <w:sz w:val="18"/>
        </w:rPr>
        <w:t xml:space="preserve"> </w:t>
      </w:r>
      <w:r>
        <w:rPr>
          <w:color w:val="212121"/>
          <w:sz w:val="18"/>
        </w:rPr>
        <w:t>affecting</w:t>
      </w:r>
      <w:r>
        <w:rPr>
          <w:color w:val="212121"/>
          <w:spacing w:val="-3"/>
          <w:sz w:val="18"/>
        </w:rPr>
        <w:t xml:space="preserve"> </w:t>
      </w:r>
      <w:r>
        <w:rPr>
          <w:color w:val="212121"/>
          <w:sz w:val="18"/>
        </w:rPr>
        <w:t>fertility</w:t>
      </w:r>
      <w:r>
        <w:rPr>
          <w:color w:val="212121"/>
          <w:spacing w:val="-2"/>
          <w:sz w:val="18"/>
        </w:rPr>
        <w:t xml:space="preserve"> </w:t>
      </w:r>
      <w:r>
        <w:rPr>
          <w:color w:val="212121"/>
          <w:sz w:val="18"/>
        </w:rPr>
        <w:t>decision-making</w:t>
      </w:r>
      <w:r>
        <w:rPr>
          <w:color w:val="212121"/>
          <w:spacing w:val="-3"/>
          <w:sz w:val="18"/>
        </w:rPr>
        <w:t xml:space="preserve"> </w:t>
      </w:r>
      <w:r>
        <w:rPr>
          <w:color w:val="212121"/>
          <w:sz w:val="18"/>
        </w:rPr>
        <w:t>among</w:t>
      </w:r>
      <w:r>
        <w:rPr>
          <w:color w:val="212121"/>
          <w:spacing w:val="-3"/>
          <w:sz w:val="18"/>
        </w:rPr>
        <w:t xml:space="preserve"> </w:t>
      </w:r>
      <w:r>
        <w:rPr>
          <w:color w:val="212121"/>
          <w:sz w:val="18"/>
        </w:rPr>
        <w:t>transgender</w:t>
      </w:r>
      <w:r>
        <w:rPr>
          <w:color w:val="212121"/>
          <w:spacing w:val="-3"/>
          <w:sz w:val="18"/>
        </w:rPr>
        <w:t xml:space="preserve"> </w:t>
      </w:r>
      <w:r>
        <w:rPr>
          <w:color w:val="212121"/>
          <w:sz w:val="18"/>
        </w:rPr>
        <w:t>adolescents</w:t>
      </w:r>
      <w:r>
        <w:rPr>
          <w:color w:val="212121"/>
          <w:spacing w:val="-3"/>
          <w:sz w:val="18"/>
        </w:rPr>
        <w:t xml:space="preserve"> </w:t>
      </w:r>
      <w:r>
        <w:rPr>
          <w:color w:val="212121"/>
          <w:sz w:val="18"/>
        </w:rPr>
        <w:t>and</w:t>
      </w:r>
      <w:r>
        <w:rPr>
          <w:color w:val="212121"/>
          <w:spacing w:val="-3"/>
          <w:sz w:val="18"/>
        </w:rPr>
        <w:t xml:space="preserve"> </w:t>
      </w:r>
      <w:r>
        <w:rPr>
          <w:color w:val="212121"/>
          <w:sz w:val="18"/>
        </w:rPr>
        <w:t>young</w:t>
      </w:r>
      <w:r>
        <w:rPr>
          <w:color w:val="212121"/>
          <w:spacing w:val="-3"/>
          <w:sz w:val="18"/>
        </w:rPr>
        <w:t xml:space="preserve"> </w:t>
      </w:r>
      <w:r>
        <w:rPr>
          <w:color w:val="212121"/>
          <w:sz w:val="18"/>
        </w:rPr>
        <w:t>adults."</w:t>
      </w:r>
      <w:r>
        <w:rPr>
          <w:color w:val="212121"/>
          <w:spacing w:val="-2"/>
          <w:sz w:val="18"/>
        </w:rPr>
        <w:t xml:space="preserve"> </w:t>
      </w:r>
      <w:r>
        <w:rPr>
          <w:i/>
          <w:color w:val="212121"/>
          <w:sz w:val="18"/>
        </w:rPr>
        <w:t>LGBT</w:t>
      </w:r>
      <w:r>
        <w:rPr>
          <w:i/>
          <w:color w:val="212121"/>
          <w:spacing w:val="-1"/>
          <w:sz w:val="18"/>
        </w:rPr>
        <w:t xml:space="preserve"> </w:t>
      </w:r>
      <w:r>
        <w:rPr>
          <w:i/>
          <w:color w:val="212121"/>
          <w:sz w:val="18"/>
        </w:rPr>
        <w:t>health</w:t>
      </w:r>
      <w:r>
        <w:rPr>
          <w:i/>
          <w:color w:val="212121"/>
          <w:spacing w:val="-2"/>
          <w:sz w:val="18"/>
        </w:rPr>
        <w:t xml:space="preserve"> </w:t>
      </w:r>
      <w:r>
        <w:rPr>
          <w:color w:val="212121"/>
          <w:sz w:val="18"/>
        </w:rPr>
        <w:t>6,</w:t>
      </w:r>
      <w:r>
        <w:rPr>
          <w:color w:val="212121"/>
          <w:spacing w:val="-2"/>
          <w:sz w:val="18"/>
        </w:rPr>
        <w:t xml:space="preserve"> </w:t>
      </w:r>
      <w:r>
        <w:rPr>
          <w:color w:val="212121"/>
          <w:sz w:val="18"/>
        </w:rPr>
        <w:t>no.</w:t>
      </w:r>
      <w:r>
        <w:rPr>
          <w:color w:val="212121"/>
          <w:spacing w:val="-2"/>
          <w:sz w:val="18"/>
        </w:rPr>
        <w:t xml:space="preserve"> </w:t>
      </w:r>
      <w:r>
        <w:rPr>
          <w:color w:val="212121"/>
          <w:sz w:val="18"/>
        </w:rPr>
        <w:t>3 (2019): 107-115.</w:t>
      </w:r>
    </w:p>
    <w:p w:rsidR="00200FDA" w:rsidRDefault="00F76C4C">
      <w:pPr>
        <w:ind w:left="140" w:right="218" w:hanging="1"/>
        <w:rPr>
          <w:sz w:val="18"/>
        </w:rPr>
      </w:pPr>
      <w:bookmarkStart w:id="556" w:name="_bookmark427"/>
      <w:bookmarkEnd w:id="556"/>
      <w:r>
        <w:rPr>
          <w:position w:val="5"/>
          <w:sz w:val="12"/>
        </w:rPr>
        <w:t>76</w:t>
      </w:r>
      <w:r>
        <w:rPr>
          <w:spacing w:val="18"/>
          <w:position w:val="5"/>
          <w:sz w:val="12"/>
        </w:rPr>
        <w:t xml:space="preserve"> </w:t>
      </w:r>
      <w:r>
        <w:rPr>
          <w:sz w:val="18"/>
        </w:rPr>
        <w:t>Nahata, Leena, Diane Chen, Molly B. Moravek, Gwendolyn P. Quinn, Megan E. Sutter, Julia Taylor, Amy C. Tishelman, and Veronica</w:t>
      </w:r>
      <w:r>
        <w:rPr>
          <w:spacing w:val="-4"/>
          <w:sz w:val="18"/>
        </w:rPr>
        <w:t xml:space="preserve"> </w:t>
      </w:r>
      <w:r>
        <w:rPr>
          <w:sz w:val="18"/>
        </w:rPr>
        <w:t>Gomez-Lobo.</w:t>
      </w:r>
      <w:r>
        <w:rPr>
          <w:spacing w:val="-4"/>
          <w:sz w:val="18"/>
        </w:rPr>
        <w:t xml:space="preserve"> </w:t>
      </w:r>
      <w:r>
        <w:rPr>
          <w:sz w:val="18"/>
        </w:rPr>
        <w:t>2019.</w:t>
      </w:r>
      <w:r>
        <w:rPr>
          <w:spacing w:val="-4"/>
          <w:sz w:val="18"/>
        </w:rPr>
        <w:t xml:space="preserve"> </w:t>
      </w:r>
      <w:r>
        <w:rPr>
          <w:sz w:val="18"/>
        </w:rPr>
        <w:t>“Understudied</w:t>
      </w:r>
      <w:r>
        <w:rPr>
          <w:spacing w:val="-5"/>
          <w:sz w:val="18"/>
        </w:rPr>
        <w:t xml:space="preserve"> </w:t>
      </w:r>
      <w:r>
        <w:rPr>
          <w:sz w:val="18"/>
        </w:rPr>
        <w:t>and</w:t>
      </w:r>
      <w:r>
        <w:rPr>
          <w:spacing w:val="-5"/>
          <w:sz w:val="18"/>
        </w:rPr>
        <w:t xml:space="preserve"> </w:t>
      </w:r>
      <w:r>
        <w:rPr>
          <w:sz w:val="18"/>
        </w:rPr>
        <w:t>Under-Reported:</w:t>
      </w:r>
      <w:r>
        <w:rPr>
          <w:spacing w:val="-2"/>
          <w:sz w:val="18"/>
        </w:rPr>
        <w:t xml:space="preserve"> </w:t>
      </w:r>
      <w:r>
        <w:rPr>
          <w:sz w:val="18"/>
        </w:rPr>
        <w:t>Fertility</w:t>
      </w:r>
      <w:r>
        <w:rPr>
          <w:spacing w:val="-4"/>
          <w:sz w:val="18"/>
        </w:rPr>
        <w:t xml:space="preserve"> </w:t>
      </w:r>
      <w:r>
        <w:rPr>
          <w:sz w:val="18"/>
        </w:rPr>
        <w:t>Issues</w:t>
      </w:r>
      <w:r>
        <w:rPr>
          <w:spacing w:val="-3"/>
          <w:sz w:val="18"/>
        </w:rPr>
        <w:t xml:space="preserve"> </w:t>
      </w:r>
      <w:r>
        <w:rPr>
          <w:sz w:val="18"/>
        </w:rPr>
        <w:t>in</w:t>
      </w:r>
      <w:r>
        <w:rPr>
          <w:spacing w:val="-5"/>
          <w:sz w:val="18"/>
        </w:rPr>
        <w:t xml:space="preserve"> </w:t>
      </w:r>
      <w:r>
        <w:rPr>
          <w:sz w:val="18"/>
        </w:rPr>
        <w:t>Transgender</w:t>
      </w:r>
      <w:r>
        <w:rPr>
          <w:spacing w:val="-5"/>
          <w:sz w:val="18"/>
        </w:rPr>
        <w:t xml:space="preserve"> </w:t>
      </w:r>
      <w:r>
        <w:rPr>
          <w:sz w:val="18"/>
        </w:rPr>
        <w:t>Youth—a</w:t>
      </w:r>
      <w:r>
        <w:rPr>
          <w:spacing w:val="-4"/>
          <w:sz w:val="18"/>
        </w:rPr>
        <w:t xml:space="preserve"> </w:t>
      </w:r>
      <w:r>
        <w:rPr>
          <w:sz w:val="18"/>
        </w:rPr>
        <w:t>Narrative</w:t>
      </w:r>
      <w:r>
        <w:rPr>
          <w:spacing w:val="-5"/>
          <w:sz w:val="18"/>
        </w:rPr>
        <w:t xml:space="preserve"> </w:t>
      </w:r>
      <w:r>
        <w:rPr>
          <w:sz w:val="18"/>
        </w:rPr>
        <w:t>Review.” The Journal of Pediatrics 205 (February): 265–71. https://doi.org/10.1016/j.jpeds.2018.09.009.</w:t>
      </w:r>
    </w:p>
    <w:p w:rsidR="00200FDA" w:rsidRDefault="00F76C4C">
      <w:pPr>
        <w:ind w:left="140" w:right="218" w:hanging="1"/>
        <w:rPr>
          <w:sz w:val="18"/>
        </w:rPr>
      </w:pPr>
      <w:bookmarkStart w:id="557" w:name="_bookmark428"/>
      <w:bookmarkEnd w:id="557"/>
      <w:r>
        <w:rPr>
          <w:position w:val="5"/>
          <w:sz w:val="12"/>
        </w:rPr>
        <w:t>77</w:t>
      </w:r>
      <w:r>
        <w:rPr>
          <w:spacing w:val="9"/>
          <w:position w:val="5"/>
          <w:sz w:val="12"/>
        </w:rPr>
        <w:t xml:space="preserve"> </w:t>
      </w:r>
      <w:r>
        <w:rPr>
          <w:sz w:val="18"/>
        </w:rPr>
        <w:t>Nahata,</w:t>
      </w:r>
      <w:r>
        <w:rPr>
          <w:spacing w:val="-3"/>
          <w:sz w:val="18"/>
        </w:rPr>
        <w:t xml:space="preserve"> </w:t>
      </w:r>
      <w:r>
        <w:rPr>
          <w:sz w:val="18"/>
        </w:rPr>
        <w:t>Leena,</w:t>
      </w:r>
      <w:r>
        <w:rPr>
          <w:spacing w:val="-3"/>
          <w:sz w:val="18"/>
        </w:rPr>
        <w:t xml:space="preserve"> </w:t>
      </w:r>
      <w:r>
        <w:rPr>
          <w:sz w:val="18"/>
        </w:rPr>
        <w:t>Amy</w:t>
      </w:r>
      <w:r>
        <w:rPr>
          <w:spacing w:val="-3"/>
          <w:sz w:val="18"/>
        </w:rPr>
        <w:t xml:space="preserve"> </w:t>
      </w:r>
      <w:r>
        <w:rPr>
          <w:sz w:val="18"/>
        </w:rPr>
        <w:t>C.</w:t>
      </w:r>
      <w:r>
        <w:rPr>
          <w:spacing w:val="-3"/>
          <w:sz w:val="18"/>
        </w:rPr>
        <w:t xml:space="preserve"> </w:t>
      </w:r>
      <w:r>
        <w:rPr>
          <w:sz w:val="18"/>
        </w:rPr>
        <w:t>Tishelman,</w:t>
      </w:r>
      <w:r>
        <w:rPr>
          <w:spacing w:val="-3"/>
          <w:sz w:val="18"/>
        </w:rPr>
        <w:t xml:space="preserve"> </w:t>
      </w:r>
      <w:r>
        <w:rPr>
          <w:sz w:val="18"/>
        </w:rPr>
        <w:t>Nicole</w:t>
      </w:r>
      <w:r>
        <w:rPr>
          <w:spacing w:val="-4"/>
          <w:sz w:val="18"/>
        </w:rPr>
        <w:t xml:space="preserve"> </w:t>
      </w:r>
      <w:r>
        <w:rPr>
          <w:sz w:val="18"/>
        </w:rPr>
        <w:t>M.</w:t>
      </w:r>
      <w:r>
        <w:rPr>
          <w:spacing w:val="-3"/>
          <w:sz w:val="18"/>
        </w:rPr>
        <w:t xml:space="preserve"> </w:t>
      </w:r>
      <w:r>
        <w:rPr>
          <w:sz w:val="18"/>
        </w:rPr>
        <w:t>Caltabellotta,</w:t>
      </w:r>
      <w:r>
        <w:rPr>
          <w:spacing w:val="-3"/>
          <w:sz w:val="18"/>
        </w:rPr>
        <w:t xml:space="preserve"> </w:t>
      </w:r>
      <w:r>
        <w:rPr>
          <w:sz w:val="18"/>
        </w:rPr>
        <w:t>and</w:t>
      </w:r>
      <w:r>
        <w:rPr>
          <w:spacing w:val="-4"/>
          <w:sz w:val="18"/>
        </w:rPr>
        <w:t xml:space="preserve"> </w:t>
      </w:r>
      <w:r>
        <w:rPr>
          <w:sz w:val="18"/>
        </w:rPr>
        <w:t>Gwendolyn</w:t>
      </w:r>
      <w:r>
        <w:rPr>
          <w:spacing w:val="-4"/>
          <w:sz w:val="18"/>
        </w:rPr>
        <w:t xml:space="preserve"> </w:t>
      </w:r>
      <w:r>
        <w:rPr>
          <w:sz w:val="18"/>
        </w:rPr>
        <w:t>P.</w:t>
      </w:r>
      <w:r>
        <w:rPr>
          <w:spacing w:val="-3"/>
          <w:sz w:val="18"/>
        </w:rPr>
        <w:t xml:space="preserve"> </w:t>
      </w:r>
      <w:r>
        <w:rPr>
          <w:sz w:val="18"/>
        </w:rPr>
        <w:t>Quinn.</w:t>
      </w:r>
      <w:r>
        <w:rPr>
          <w:spacing w:val="-3"/>
          <w:sz w:val="18"/>
        </w:rPr>
        <w:t xml:space="preserve"> </w:t>
      </w:r>
      <w:r>
        <w:rPr>
          <w:sz w:val="18"/>
        </w:rPr>
        <w:t>2017.</w:t>
      </w:r>
      <w:r>
        <w:rPr>
          <w:spacing w:val="-1"/>
          <w:sz w:val="18"/>
        </w:rPr>
        <w:t xml:space="preserve"> </w:t>
      </w:r>
      <w:r>
        <w:rPr>
          <w:sz w:val="18"/>
        </w:rPr>
        <w:t>“Low</w:t>
      </w:r>
      <w:r>
        <w:rPr>
          <w:spacing w:val="-2"/>
          <w:sz w:val="18"/>
        </w:rPr>
        <w:t xml:space="preserve"> </w:t>
      </w:r>
      <w:r>
        <w:rPr>
          <w:sz w:val="18"/>
        </w:rPr>
        <w:t>Fertility</w:t>
      </w:r>
      <w:r>
        <w:rPr>
          <w:spacing w:val="-3"/>
          <w:sz w:val="18"/>
        </w:rPr>
        <w:t xml:space="preserve"> </w:t>
      </w:r>
      <w:r>
        <w:rPr>
          <w:sz w:val="18"/>
        </w:rPr>
        <w:t xml:space="preserve">Preservation Utilization among Transgender Youth.” Journal of Adolescent Health 61 (1): 40–44. </w:t>
      </w:r>
      <w:r>
        <w:rPr>
          <w:spacing w:val="-2"/>
          <w:sz w:val="18"/>
        </w:rPr>
        <w:t>https://doi.org/10.1016/j.jadohealth.2016.12.012.</w:t>
      </w:r>
    </w:p>
    <w:p w:rsidR="00200FDA" w:rsidRDefault="00F76C4C">
      <w:pPr>
        <w:ind w:left="140" w:right="139" w:hanging="1"/>
        <w:rPr>
          <w:sz w:val="18"/>
        </w:rPr>
      </w:pPr>
      <w:bookmarkStart w:id="558" w:name="_bookmark429"/>
      <w:bookmarkEnd w:id="558"/>
      <w:r>
        <w:rPr>
          <w:position w:val="5"/>
          <w:sz w:val="12"/>
        </w:rPr>
        <w:t>78</w:t>
      </w:r>
      <w:r>
        <w:rPr>
          <w:spacing w:val="18"/>
          <w:position w:val="5"/>
          <w:sz w:val="12"/>
        </w:rPr>
        <w:t xml:space="preserve"> </w:t>
      </w:r>
      <w:r>
        <w:rPr>
          <w:sz w:val="18"/>
        </w:rPr>
        <w:t xml:space="preserve">Vyas, Nina, Christopher R. Douglas, Christopher </w:t>
      </w:r>
      <w:r>
        <w:rPr>
          <w:sz w:val="18"/>
        </w:rPr>
        <w:t>Mann, Amy K. Weimer, and Molly M. Quinn. 2020. “Access, Barriers, and Decisional</w:t>
      </w:r>
      <w:r>
        <w:rPr>
          <w:spacing w:val="-4"/>
          <w:sz w:val="18"/>
        </w:rPr>
        <w:t xml:space="preserve"> </w:t>
      </w:r>
      <w:r>
        <w:rPr>
          <w:sz w:val="18"/>
        </w:rPr>
        <w:t>Regret</w:t>
      </w:r>
      <w:r>
        <w:rPr>
          <w:spacing w:val="-4"/>
          <w:sz w:val="18"/>
        </w:rPr>
        <w:t xml:space="preserve"> </w:t>
      </w:r>
      <w:r>
        <w:rPr>
          <w:sz w:val="18"/>
        </w:rPr>
        <w:t>in</w:t>
      </w:r>
      <w:r>
        <w:rPr>
          <w:spacing w:val="-4"/>
          <w:sz w:val="18"/>
        </w:rPr>
        <w:t xml:space="preserve"> </w:t>
      </w:r>
      <w:r>
        <w:rPr>
          <w:sz w:val="18"/>
        </w:rPr>
        <w:t>Pursuit</w:t>
      </w:r>
      <w:r>
        <w:rPr>
          <w:spacing w:val="-4"/>
          <w:sz w:val="18"/>
        </w:rPr>
        <w:t xml:space="preserve"> </w:t>
      </w:r>
      <w:r>
        <w:rPr>
          <w:sz w:val="18"/>
        </w:rPr>
        <w:t>of</w:t>
      </w:r>
      <w:r>
        <w:rPr>
          <w:spacing w:val="-3"/>
          <w:sz w:val="18"/>
        </w:rPr>
        <w:t xml:space="preserve"> </w:t>
      </w:r>
      <w:r>
        <w:rPr>
          <w:sz w:val="18"/>
        </w:rPr>
        <w:t>Fertility</w:t>
      </w:r>
      <w:r>
        <w:rPr>
          <w:spacing w:val="-3"/>
          <w:sz w:val="18"/>
        </w:rPr>
        <w:t xml:space="preserve"> </w:t>
      </w:r>
      <w:r>
        <w:rPr>
          <w:sz w:val="18"/>
        </w:rPr>
        <w:t>Preservation</w:t>
      </w:r>
      <w:r>
        <w:rPr>
          <w:spacing w:val="-4"/>
          <w:sz w:val="18"/>
        </w:rPr>
        <w:t xml:space="preserve"> </w:t>
      </w:r>
      <w:r>
        <w:rPr>
          <w:sz w:val="18"/>
        </w:rPr>
        <w:t>among</w:t>
      </w:r>
      <w:r>
        <w:rPr>
          <w:spacing w:val="-4"/>
          <w:sz w:val="18"/>
        </w:rPr>
        <w:t xml:space="preserve"> </w:t>
      </w:r>
      <w:r>
        <w:rPr>
          <w:sz w:val="18"/>
        </w:rPr>
        <w:t>Transgender</w:t>
      </w:r>
      <w:r>
        <w:rPr>
          <w:spacing w:val="-4"/>
          <w:sz w:val="18"/>
        </w:rPr>
        <w:t xml:space="preserve"> </w:t>
      </w:r>
      <w:r>
        <w:rPr>
          <w:sz w:val="18"/>
        </w:rPr>
        <w:t>and</w:t>
      </w:r>
      <w:r>
        <w:rPr>
          <w:spacing w:val="-2"/>
          <w:sz w:val="18"/>
        </w:rPr>
        <w:t xml:space="preserve"> </w:t>
      </w:r>
      <w:r>
        <w:rPr>
          <w:sz w:val="18"/>
        </w:rPr>
        <w:t>Gender-Diverse</w:t>
      </w:r>
      <w:r>
        <w:rPr>
          <w:spacing w:val="-4"/>
          <w:sz w:val="18"/>
        </w:rPr>
        <w:t xml:space="preserve"> </w:t>
      </w:r>
      <w:r>
        <w:rPr>
          <w:sz w:val="18"/>
        </w:rPr>
        <w:t>Individuals.”</w:t>
      </w:r>
      <w:r>
        <w:rPr>
          <w:spacing w:val="-4"/>
          <w:sz w:val="18"/>
        </w:rPr>
        <w:t xml:space="preserve"> </w:t>
      </w:r>
      <w:r>
        <w:rPr>
          <w:i/>
          <w:sz w:val="18"/>
        </w:rPr>
        <w:t>Fertility</w:t>
      </w:r>
      <w:r>
        <w:rPr>
          <w:i/>
          <w:spacing w:val="-2"/>
          <w:sz w:val="18"/>
        </w:rPr>
        <w:t xml:space="preserve"> </w:t>
      </w:r>
      <w:r>
        <w:rPr>
          <w:i/>
          <w:sz w:val="18"/>
        </w:rPr>
        <w:t>and</w:t>
      </w:r>
      <w:r>
        <w:rPr>
          <w:i/>
          <w:spacing w:val="-2"/>
          <w:sz w:val="18"/>
        </w:rPr>
        <w:t xml:space="preserve"> </w:t>
      </w:r>
      <w:r>
        <w:rPr>
          <w:i/>
          <w:sz w:val="18"/>
        </w:rPr>
        <w:t>Sterility</w:t>
      </w:r>
      <w:r>
        <w:rPr>
          <w:sz w:val="18"/>
        </w:rPr>
        <w:t>, December. https://doi.org/10.1016/j.fertnstert.2020.09.</w:t>
      </w:r>
      <w:r>
        <w:rPr>
          <w:sz w:val="18"/>
        </w:rPr>
        <w:t>007.</w:t>
      </w:r>
    </w:p>
    <w:p w:rsidR="00200FDA" w:rsidRDefault="00F76C4C">
      <w:pPr>
        <w:ind w:left="140" w:right="286" w:hanging="1"/>
        <w:jc w:val="both"/>
        <w:rPr>
          <w:sz w:val="18"/>
        </w:rPr>
      </w:pPr>
      <w:bookmarkStart w:id="559" w:name="_bookmark430"/>
      <w:bookmarkEnd w:id="559"/>
      <w:r>
        <w:rPr>
          <w:position w:val="5"/>
          <w:sz w:val="12"/>
        </w:rPr>
        <w:t>79</w:t>
      </w:r>
      <w:r>
        <w:rPr>
          <w:spacing w:val="10"/>
          <w:position w:val="5"/>
          <w:sz w:val="12"/>
        </w:rPr>
        <w:t xml:space="preserve"> </w:t>
      </w:r>
      <w:r>
        <w:rPr>
          <w:sz w:val="18"/>
        </w:rPr>
        <w:t>Stolk,</w:t>
      </w:r>
      <w:r>
        <w:rPr>
          <w:spacing w:val="-2"/>
          <w:sz w:val="18"/>
        </w:rPr>
        <w:t xml:space="preserve"> </w:t>
      </w:r>
      <w:r>
        <w:rPr>
          <w:sz w:val="18"/>
        </w:rPr>
        <w:t>T.</w:t>
      </w:r>
      <w:r>
        <w:rPr>
          <w:spacing w:val="-2"/>
          <w:sz w:val="18"/>
        </w:rPr>
        <w:t xml:space="preserve"> </w:t>
      </w:r>
      <w:r>
        <w:rPr>
          <w:sz w:val="18"/>
        </w:rPr>
        <w:t>H.</w:t>
      </w:r>
      <w:r>
        <w:rPr>
          <w:spacing w:val="-2"/>
          <w:sz w:val="18"/>
        </w:rPr>
        <w:t xml:space="preserve"> </w:t>
      </w:r>
      <w:r>
        <w:rPr>
          <w:sz w:val="18"/>
        </w:rPr>
        <w:t>R.,</w:t>
      </w:r>
      <w:r>
        <w:rPr>
          <w:spacing w:val="-4"/>
          <w:sz w:val="18"/>
        </w:rPr>
        <w:t xml:space="preserve"> </w:t>
      </w:r>
      <w:r>
        <w:rPr>
          <w:sz w:val="18"/>
        </w:rPr>
        <w:t>J.</w:t>
      </w:r>
      <w:r>
        <w:rPr>
          <w:spacing w:val="-2"/>
          <w:sz w:val="18"/>
        </w:rPr>
        <w:t xml:space="preserve"> </w:t>
      </w:r>
      <w:r>
        <w:rPr>
          <w:sz w:val="18"/>
        </w:rPr>
        <w:t>D.</w:t>
      </w:r>
      <w:r>
        <w:rPr>
          <w:spacing w:val="-2"/>
          <w:sz w:val="18"/>
        </w:rPr>
        <w:t xml:space="preserve"> </w:t>
      </w:r>
      <w:r>
        <w:rPr>
          <w:sz w:val="18"/>
        </w:rPr>
        <w:t>Asseler,</w:t>
      </w:r>
      <w:r>
        <w:rPr>
          <w:spacing w:val="-2"/>
          <w:sz w:val="18"/>
        </w:rPr>
        <w:t xml:space="preserve"> </w:t>
      </w:r>
      <w:r>
        <w:rPr>
          <w:sz w:val="18"/>
        </w:rPr>
        <w:t>J.</w:t>
      </w:r>
      <w:r>
        <w:rPr>
          <w:spacing w:val="-2"/>
          <w:sz w:val="18"/>
        </w:rPr>
        <w:t xml:space="preserve"> </w:t>
      </w:r>
      <w:r>
        <w:rPr>
          <w:sz w:val="18"/>
        </w:rPr>
        <w:t>A. F.</w:t>
      </w:r>
      <w:r>
        <w:rPr>
          <w:spacing w:val="-2"/>
          <w:sz w:val="18"/>
        </w:rPr>
        <w:t xml:space="preserve"> </w:t>
      </w:r>
      <w:r>
        <w:rPr>
          <w:sz w:val="18"/>
        </w:rPr>
        <w:t>Huirne,</w:t>
      </w:r>
      <w:r>
        <w:rPr>
          <w:spacing w:val="-2"/>
          <w:sz w:val="18"/>
        </w:rPr>
        <w:t xml:space="preserve"> </w:t>
      </w:r>
      <w:r>
        <w:rPr>
          <w:sz w:val="18"/>
        </w:rPr>
        <w:t>E.</w:t>
      </w:r>
      <w:r>
        <w:rPr>
          <w:spacing w:val="-2"/>
          <w:sz w:val="18"/>
        </w:rPr>
        <w:t xml:space="preserve"> </w:t>
      </w:r>
      <w:r>
        <w:rPr>
          <w:sz w:val="18"/>
        </w:rPr>
        <w:t>van</w:t>
      </w:r>
      <w:r>
        <w:rPr>
          <w:spacing w:val="-3"/>
          <w:sz w:val="18"/>
        </w:rPr>
        <w:t xml:space="preserve"> </w:t>
      </w:r>
      <w:r>
        <w:rPr>
          <w:sz w:val="18"/>
        </w:rPr>
        <w:t>den</w:t>
      </w:r>
      <w:r>
        <w:rPr>
          <w:spacing w:val="-3"/>
          <w:sz w:val="18"/>
        </w:rPr>
        <w:t xml:space="preserve"> </w:t>
      </w:r>
      <w:r>
        <w:rPr>
          <w:sz w:val="18"/>
        </w:rPr>
        <w:t>Boogaard,</w:t>
      </w:r>
      <w:r>
        <w:rPr>
          <w:spacing w:val="-2"/>
          <w:sz w:val="18"/>
        </w:rPr>
        <w:t xml:space="preserve"> </w:t>
      </w:r>
      <w:r>
        <w:rPr>
          <w:sz w:val="18"/>
        </w:rPr>
        <w:t>and</w:t>
      </w:r>
      <w:r>
        <w:rPr>
          <w:spacing w:val="-3"/>
          <w:sz w:val="18"/>
        </w:rPr>
        <w:t xml:space="preserve"> </w:t>
      </w:r>
      <w:r>
        <w:rPr>
          <w:sz w:val="18"/>
        </w:rPr>
        <w:t>N.</w:t>
      </w:r>
      <w:r>
        <w:rPr>
          <w:spacing w:val="-2"/>
          <w:sz w:val="18"/>
        </w:rPr>
        <w:t xml:space="preserve"> </w:t>
      </w:r>
      <w:r>
        <w:rPr>
          <w:sz w:val="18"/>
        </w:rPr>
        <w:t>M.</w:t>
      </w:r>
      <w:r>
        <w:rPr>
          <w:spacing w:val="-2"/>
          <w:sz w:val="18"/>
        </w:rPr>
        <w:t xml:space="preserve"> </w:t>
      </w:r>
      <w:r>
        <w:rPr>
          <w:sz w:val="18"/>
        </w:rPr>
        <w:t>van</w:t>
      </w:r>
      <w:r>
        <w:rPr>
          <w:spacing w:val="-3"/>
          <w:sz w:val="18"/>
        </w:rPr>
        <w:t xml:space="preserve"> </w:t>
      </w:r>
      <w:r>
        <w:rPr>
          <w:sz w:val="18"/>
        </w:rPr>
        <w:t>Mello.</w:t>
      </w:r>
      <w:r>
        <w:rPr>
          <w:spacing w:val="-2"/>
          <w:sz w:val="18"/>
        </w:rPr>
        <w:t xml:space="preserve"> </w:t>
      </w:r>
      <w:r>
        <w:rPr>
          <w:sz w:val="18"/>
        </w:rPr>
        <w:t>2023.</w:t>
      </w:r>
      <w:r>
        <w:rPr>
          <w:spacing w:val="-2"/>
          <w:sz w:val="18"/>
        </w:rPr>
        <w:t xml:space="preserve"> </w:t>
      </w:r>
      <w:r>
        <w:rPr>
          <w:sz w:val="18"/>
        </w:rPr>
        <w:t>“Desire</w:t>
      </w:r>
      <w:r>
        <w:rPr>
          <w:spacing w:val="-3"/>
          <w:sz w:val="18"/>
        </w:rPr>
        <w:t xml:space="preserve"> </w:t>
      </w:r>
      <w:r>
        <w:rPr>
          <w:sz w:val="18"/>
        </w:rPr>
        <w:t>for</w:t>
      </w:r>
      <w:r>
        <w:rPr>
          <w:spacing w:val="-3"/>
          <w:sz w:val="18"/>
        </w:rPr>
        <w:t xml:space="preserve"> </w:t>
      </w:r>
      <w:r>
        <w:rPr>
          <w:sz w:val="18"/>
        </w:rPr>
        <w:t>Children</w:t>
      </w:r>
      <w:r>
        <w:rPr>
          <w:spacing w:val="-3"/>
          <w:sz w:val="18"/>
        </w:rPr>
        <w:t xml:space="preserve"> </w:t>
      </w:r>
      <w:r>
        <w:rPr>
          <w:sz w:val="18"/>
        </w:rPr>
        <w:t>and</w:t>
      </w:r>
      <w:r>
        <w:rPr>
          <w:spacing w:val="-3"/>
          <w:sz w:val="18"/>
        </w:rPr>
        <w:t xml:space="preserve"> </w:t>
      </w:r>
      <w:r>
        <w:rPr>
          <w:sz w:val="18"/>
        </w:rPr>
        <w:t>Fertility Preservation</w:t>
      </w:r>
      <w:r>
        <w:rPr>
          <w:spacing w:val="-1"/>
          <w:sz w:val="18"/>
        </w:rPr>
        <w:t xml:space="preserve"> </w:t>
      </w:r>
      <w:r>
        <w:rPr>
          <w:sz w:val="18"/>
        </w:rPr>
        <w:t>in</w:t>
      </w:r>
      <w:r>
        <w:rPr>
          <w:spacing w:val="-1"/>
          <w:sz w:val="18"/>
        </w:rPr>
        <w:t xml:space="preserve"> </w:t>
      </w:r>
      <w:r>
        <w:rPr>
          <w:sz w:val="18"/>
        </w:rPr>
        <w:t>Transgender</w:t>
      </w:r>
      <w:r>
        <w:rPr>
          <w:spacing w:val="-1"/>
          <w:sz w:val="18"/>
        </w:rPr>
        <w:t xml:space="preserve"> </w:t>
      </w:r>
      <w:r>
        <w:rPr>
          <w:sz w:val="18"/>
        </w:rPr>
        <w:t>and Gender-Diverse</w:t>
      </w:r>
      <w:r>
        <w:rPr>
          <w:spacing w:val="-1"/>
          <w:sz w:val="18"/>
        </w:rPr>
        <w:t xml:space="preserve"> </w:t>
      </w:r>
      <w:r>
        <w:rPr>
          <w:sz w:val="18"/>
        </w:rPr>
        <w:t>People: A Systematic Review.”</w:t>
      </w:r>
      <w:r>
        <w:rPr>
          <w:spacing w:val="-1"/>
          <w:sz w:val="18"/>
        </w:rPr>
        <w:t xml:space="preserve"> </w:t>
      </w:r>
      <w:r>
        <w:rPr>
          <w:i/>
          <w:sz w:val="18"/>
        </w:rPr>
        <w:t>Best</w:t>
      </w:r>
      <w:r>
        <w:rPr>
          <w:i/>
          <w:spacing w:val="-1"/>
          <w:sz w:val="18"/>
        </w:rPr>
        <w:t xml:space="preserve"> </w:t>
      </w:r>
      <w:r>
        <w:rPr>
          <w:i/>
          <w:sz w:val="18"/>
        </w:rPr>
        <w:t>Practice &amp;</w:t>
      </w:r>
      <w:r>
        <w:rPr>
          <w:i/>
          <w:spacing w:val="-1"/>
          <w:sz w:val="18"/>
        </w:rPr>
        <w:t xml:space="preserve"> </w:t>
      </w:r>
      <w:r>
        <w:rPr>
          <w:i/>
          <w:sz w:val="18"/>
        </w:rPr>
        <w:t>Research Clinical</w:t>
      </w:r>
      <w:r>
        <w:rPr>
          <w:i/>
          <w:spacing w:val="-1"/>
          <w:sz w:val="18"/>
        </w:rPr>
        <w:t xml:space="preserve"> </w:t>
      </w:r>
      <w:r>
        <w:rPr>
          <w:i/>
          <w:sz w:val="18"/>
        </w:rPr>
        <w:t>Obstetrics</w:t>
      </w:r>
      <w:r>
        <w:rPr>
          <w:i/>
          <w:spacing w:val="-1"/>
          <w:sz w:val="18"/>
        </w:rPr>
        <w:t xml:space="preserve"> </w:t>
      </w:r>
      <w:r>
        <w:rPr>
          <w:i/>
          <w:sz w:val="18"/>
        </w:rPr>
        <w:t xml:space="preserve">&amp; Gynaecology </w:t>
      </w:r>
      <w:r>
        <w:rPr>
          <w:sz w:val="18"/>
        </w:rPr>
        <w:t>87 (March): 102312. https://doi.org/10.1016/j.bpobgyn.2023.102312.</w:t>
      </w:r>
    </w:p>
    <w:p w:rsidR="00200FDA" w:rsidRDefault="00F76C4C">
      <w:pPr>
        <w:ind w:left="139" w:right="430"/>
        <w:rPr>
          <w:sz w:val="18"/>
        </w:rPr>
      </w:pPr>
      <w:bookmarkStart w:id="560" w:name="_bookmark431"/>
      <w:bookmarkEnd w:id="560"/>
      <w:r>
        <w:rPr>
          <w:position w:val="5"/>
          <w:sz w:val="12"/>
        </w:rPr>
        <w:t>80</w:t>
      </w:r>
      <w:r>
        <w:rPr>
          <w:spacing w:val="12"/>
          <w:position w:val="5"/>
          <w:sz w:val="12"/>
        </w:rPr>
        <w:t xml:space="preserve"> </w:t>
      </w:r>
      <w:r>
        <w:rPr>
          <w:sz w:val="18"/>
        </w:rPr>
        <w:t>Rogers, Chloë, Mike</w:t>
      </w:r>
      <w:r>
        <w:rPr>
          <w:spacing w:val="-1"/>
          <w:sz w:val="18"/>
        </w:rPr>
        <w:t xml:space="preserve"> </w:t>
      </w:r>
      <w:r>
        <w:rPr>
          <w:sz w:val="18"/>
        </w:rPr>
        <w:t>Webberley, Roxana Mateescu, Yasmeen</w:t>
      </w:r>
      <w:r>
        <w:rPr>
          <w:spacing w:val="-1"/>
          <w:sz w:val="18"/>
        </w:rPr>
        <w:t xml:space="preserve"> </w:t>
      </w:r>
      <w:r>
        <w:rPr>
          <w:sz w:val="18"/>
        </w:rPr>
        <w:t>El</w:t>
      </w:r>
      <w:r>
        <w:rPr>
          <w:spacing w:val="-1"/>
          <w:sz w:val="18"/>
        </w:rPr>
        <w:t xml:space="preserve"> </w:t>
      </w:r>
      <w:r>
        <w:rPr>
          <w:sz w:val="18"/>
        </w:rPr>
        <w:t>Rakhawy, Anaïs</w:t>
      </w:r>
      <w:r>
        <w:rPr>
          <w:spacing w:val="-1"/>
          <w:sz w:val="18"/>
        </w:rPr>
        <w:t xml:space="preserve"> </w:t>
      </w:r>
      <w:r>
        <w:rPr>
          <w:sz w:val="18"/>
        </w:rPr>
        <w:t>Daly-Gourdialsing, and</w:t>
      </w:r>
      <w:r>
        <w:rPr>
          <w:spacing w:val="-1"/>
          <w:sz w:val="18"/>
        </w:rPr>
        <w:t xml:space="preserve"> </w:t>
      </w:r>
      <w:r>
        <w:rPr>
          <w:sz w:val="18"/>
        </w:rPr>
        <w:t>Helen</w:t>
      </w:r>
      <w:r>
        <w:rPr>
          <w:spacing w:val="-1"/>
          <w:sz w:val="18"/>
        </w:rPr>
        <w:t xml:space="preserve"> </w:t>
      </w:r>
      <w:r>
        <w:rPr>
          <w:sz w:val="18"/>
        </w:rPr>
        <w:t>Webberley. 2020.</w:t>
      </w:r>
      <w:r>
        <w:rPr>
          <w:spacing w:val="-3"/>
          <w:sz w:val="18"/>
        </w:rPr>
        <w:t xml:space="preserve"> </w:t>
      </w:r>
      <w:r>
        <w:rPr>
          <w:sz w:val="18"/>
        </w:rPr>
        <w:t>“A</w:t>
      </w:r>
      <w:r>
        <w:rPr>
          <w:spacing w:val="-4"/>
          <w:sz w:val="18"/>
        </w:rPr>
        <w:t xml:space="preserve"> </w:t>
      </w:r>
      <w:r>
        <w:rPr>
          <w:sz w:val="18"/>
        </w:rPr>
        <w:t>Retrospective</w:t>
      </w:r>
      <w:r>
        <w:rPr>
          <w:spacing w:val="-4"/>
          <w:sz w:val="18"/>
        </w:rPr>
        <w:t xml:space="preserve"> </w:t>
      </w:r>
      <w:r>
        <w:rPr>
          <w:sz w:val="18"/>
        </w:rPr>
        <w:t>Study</w:t>
      </w:r>
      <w:r>
        <w:rPr>
          <w:spacing w:val="-3"/>
          <w:sz w:val="18"/>
        </w:rPr>
        <w:t xml:space="preserve"> </w:t>
      </w:r>
      <w:r>
        <w:rPr>
          <w:sz w:val="18"/>
        </w:rPr>
        <w:t>of</w:t>
      </w:r>
      <w:r>
        <w:rPr>
          <w:spacing w:val="-1"/>
          <w:sz w:val="18"/>
        </w:rPr>
        <w:t xml:space="preserve"> </w:t>
      </w:r>
      <w:r>
        <w:rPr>
          <w:sz w:val="18"/>
        </w:rPr>
        <w:t>Positive</w:t>
      </w:r>
      <w:r>
        <w:rPr>
          <w:spacing w:val="-4"/>
          <w:sz w:val="18"/>
        </w:rPr>
        <w:t xml:space="preserve"> </w:t>
      </w:r>
      <w:r>
        <w:rPr>
          <w:sz w:val="18"/>
        </w:rPr>
        <w:t>and</w:t>
      </w:r>
      <w:r>
        <w:rPr>
          <w:spacing w:val="-4"/>
          <w:sz w:val="18"/>
        </w:rPr>
        <w:t xml:space="preserve"> </w:t>
      </w:r>
      <w:r>
        <w:rPr>
          <w:sz w:val="18"/>
        </w:rPr>
        <w:t>Ne</w:t>
      </w:r>
      <w:r>
        <w:rPr>
          <w:sz w:val="18"/>
        </w:rPr>
        <w:t>gative</w:t>
      </w:r>
      <w:r>
        <w:rPr>
          <w:spacing w:val="-4"/>
          <w:sz w:val="18"/>
        </w:rPr>
        <w:t xml:space="preserve"> </w:t>
      </w:r>
      <w:r>
        <w:rPr>
          <w:sz w:val="18"/>
        </w:rPr>
        <w:t>Determinants</w:t>
      </w:r>
      <w:r>
        <w:rPr>
          <w:spacing w:val="-4"/>
          <w:sz w:val="18"/>
        </w:rPr>
        <w:t xml:space="preserve"> </w:t>
      </w:r>
      <w:r>
        <w:rPr>
          <w:sz w:val="18"/>
        </w:rPr>
        <w:t>of</w:t>
      </w:r>
      <w:r>
        <w:rPr>
          <w:spacing w:val="-3"/>
          <w:sz w:val="18"/>
        </w:rPr>
        <w:t xml:space="preserve"> </w:t>
      </w:r>
      <w:r>
        <w:rPr>
          <w:sz w:val="18"/>
        </w:rPr>
        <w:t>Gamete</w:t>
      </w:r>
      <w:r>
        <w:rPr>
          <w:spacing w:val="-2"/>
          <w:sz w:val="18"/>
        </w:rPr>
        <w:t xml:space="preserve"> </w:t>
      </w:r>
      <w:r>
        <w:rPr>
          <w:sz w:val="18"/>
        </w:rPr>
        <w:t>Storage</w:t>
      </w:r>
      <w:r>
        <w:rPr>
          <w:spacing w:val="-4"/>
          <w:sz w:val="18"/>
        </w:rPr>
        <w:t xml:space="preserve"> </w:t>
      </w:r>
      <w:r>
        <w:rPr>
          <w:sz w:val="18"/>
        </w:rPr>
        <w:t>in</w:t>
      </w:r>
      <w:r>
        <w:rPr>
          <w:spacing w:val="-4"/>
          <w:sz w:val="18"/>
        </w:rPr>
        <w:t xml:space="preserve"> </w:t>
      </w:r>
      <w:r>
        <w:rPr>
          <w:sz w:val="18"/>
        </w:rPr>
        <w:t>Transgender</w:t>
      </w:r>
      <w:r>
        <w:rPr>
          <w:spacing w:val="-4"/>
          <w:sz w:val="18"/>
        </w:rPr>
        <w:t xml:space="preserve"> </w:t>
      </w:r>
      <w:r>
        <w:rPr>
          <w:sz w:val="18"/>
        </w:rPr>
        <w:t>and</w:t>
      </w:r>
      <w:r>
        <w:rPr>
          <w:spacing w:val="-4"/>
          <w:sz w:val="18"/>
        </w:rPr>
        <w:t xml:space="preserve"> </w:t>
      </w:r>
      <w:r>
        <w:rPr>
          <w:sz w:val="18"/>
        </w:rPr>
        <w:t xml:space="preserve">Gender-Diverse Patients.” </w:t>
      </w:r>
      <w:r>
        <w:rPr>
          <w:i/>
          <w:sz w:val="18"/>
        </w:rPr>
        <w:t xml:space="preserve">International Journal of Transgender Health </w:t>
      </w:r>
      <w:r>
        <w:rPr>
          <w:sz w:val="18"/>
        </w:rPr>
        <w:t xml:space="preserve">22 (1-2): 167–78. https://doi.org/10.1080/26895269.2020.1848693. </w:t>
      </w:r>
      <w:bookmarkStart w:id="561" w:name="_bookmark432"/>
      <w:bookmarkEnd w:id="561"/>
      <w:r>
        <w:rPr>
          <w:position w:val="5"/>
          <w:sz w:val="12"/>
        </w:rPr>
        <w:t>81</w:t>
      </w:r>
      <w:r>
        <w:rPr>
          <w:spacing w:val="16"/>
          <w:position w:val="5"/>
          <w:sz w:val="12"/>
        </w:rPr>
        <w:t xml:space="preserve"> </w:t>
      </w:r>
      <w:r>
        <w:rPr>
          <w:sz w:val="18"/>
        </w:rPr>
        <w:t xml:space="preserve">Lindley, Lisa L., and Katrina M. Walsemann. 2015. “Sexual Orientation and Risk of Pregnancy among New York City High- School Students.” </w:t>
      </w:r>
      <w:r>
        <w:rPr>
          <w:i/>
          <w:sz w:val="18"/>
        </w:rPr>
        <w:t xml:space="preserve">American Journal of Public Health </w:t>
      </w:r>
      <w:r>
        <w:rPr>
          <w:sz w:val="18"/>
        </w:rPr>
        <w:t>105 (7): 1379–86. https://doi.org/10.2105/ajph.2015.302553.</w:t>
      </w:r>
    </w:p>
    <w:p w:rsidR="00200FDA" w:rsidRDefault="00F76C4C">
      <w:pPr>
        <w:ind w:left="140" w:right="218" w:hanging="1"/>
        <w:rPr>
          <w:sz w:val="18"/>
        </w:rPr>
      </w:pPr>
      <w:bookmarkStart w:id="562" w:name="_bookmark433"/>
      <w:bookmarkEnd w:id="562"/>
      <w:r>
        <w:rPr>
          <w:position w:val="5"/>
          <w:sz w:val="12"/>
        </w:rPr>
        <w:t>82</w:t>
      </w:r>
      <w:r>
        <w:rPr>
          <w:spacing w:val="10"/>
          <w:position w:val="5"/>
          <w:sz w:val="12"/>
        </w:rPr>
        <w:t xml:space="preserve"> </w:t>
      </w:r>
      <w:r>
        <w:rPr>
          <w:color w:val="212121"/>
          <w:sz w:val="18"/>
        </w:rPr>
        <w:t>Stutterheim,</w:t>
      </w:r>
      <w:r>
        <w:rPr>
          <w:color w:val="212121"/>
          <w:spacing w:val="-2"/>
          <w:sz w:val="18"/>
        </w:rPr>
        <w:t xml:space="preserve"> </w:t>
      </w:r>
      <w:r>
        <w:rPr>
          <w:color w:val="212121"/>
          <w:sz w:val="18"/>
        </w:rPr>
        <w:t>Sarah</w:t>
      </w:r>
      <w:r>
        <w:rPr>
          <w:color w:val="212121"/>
          <w:spacing w:val="-3"/>
          <w:sz w:val="18"/>
        </w:rPr>
        <w:t xml:space="preserve"> </w:t>
      </w:r>
      <w:r>
        <w:rPr>
          <w:color w:val="212121"/>
          <w:sz w:val="18"/>
        </w:rPr>
        <w:t>E.,</w:t>
      </w:r>
      <w:r>
        <w:rPr>
          <w:color w:val="212121"/>
          <w:spacing w:val="-2"/>
          <w:sz w:val="18"/>
        </w:rPr>
        <w:t xml:space="preserve"> </w:t>
      </w:r>
      <w:r>
        <w:rPr>
          <w:color w:val="212121"/>
          <w:sz w:val="18"/>
        </w:rPr>
        <w:t>Mart</w:t>
      </w:r>
      <w:r>
        <w:rPr>
          <w:color w:val="212121"/>
          <w:spacing w:val="-3"/>
          <w:sz w:val="18"/>
        </w:rPr>
        <w:t xml:space="preserve"> </w:t>
      </w:r>
      <w:r>
        <w:rPr>
          <w:color w:val="212121"/>
          <w:sz w:val="18"/>
        </w:rPr>
        <w:t>van</w:t>
      </w:r>
      <w:r>
        <w:rPr>
          <w:color w:val="212121"/>
          <w:spacing w:val="-1"/>
          <w:sz w:val="18"/>
        </w:rPr>
        <w:t xml:space="preserve"> </w:t>
      </w:r>
      <w:r>
        <w:rPr>
          <w:color w:val="212121"/>
          <w:sz w:val="18"/>
        </w:rPr>
        <w:t>Dijk,</w:t>
      </w:r>
      <w:r>
        <w:rPr>
          <w:color w:val="212121"/>
          <w:spacing w:val="-2"/>
          <w:sz w:val="18"/>
        </w:rPr>
        <w:t xml:space="preserve"> </w:t>
      </w:r>
      <w:r>
        <w:rPr>
          <w:color w:val="212121"/>
          <w:sz w:val="18"/>
        </w:rPr>
        <w:t>Haoyi</w:t>
      </w:r>
      <w:r>
        <w:rPr>
          <w:color w:val="212121"/>
          <w:spacing w:val="-3"/>
          <w:sz w:val="18"/>
        </w:rPr>
        <w:t xml:space="preserve"> </w:t>
      </w:r>
      <w:r>
        <w:rPr>
          <w:color w:val="212121"/>
          <w:sz w:val="18"/>
        </w:rPr>
        <w:t>Wang,</w:t>
      </w:r>
      <w:r>
        <w:rPr>
          <w:color w:val="212121"/>
          <w:spacing w:val="-2"/>
          <w:sz w:val="18"/>
        </w:rPr>
        <w:t xml:space="preserve"> </w:t>
      </w:r>
      <w:r>
        <w:rPr>
          <w:color w:val="212121"/>
          <w:sz w:val="18"/>
        </w:rPr>
        <w:t>and</w:t>
      </w:r>
      <w:r>
        <w:rPr>
          <w:color w:val="212121"/>
          <w:spacing w:val="-3"/>
          <w:sz w:val="18"/>
        </w:rPr>
        <w:t xml:space="preserve"> </w:t>
      </w:r>
      <w:r>
        <w:rPr>
          <w:color w:val="212121"/>
          <w:sz w:val="18"/>
        </w:rPr>
        <w:t>Kai</w:t>
      </w:r>
      <w:r>
        <w:rPr>
          <w:color w:val="212121"/>
          <w:spacing w:val="-3"/>
          <w:sz w:val="18"/>
        </w:rPr>
        <w:t xml:space="preserve"> </w:t>
      </w:r>
      <w:r>
        <w:rPr>
          <w:color w:val="212121"/>
          <w:sz w:val="18"/>
        </w:rPr>
        <w:t>J.</w:t>
      </w:r>
      <w:r>
        <w:rPr>
          <w:color w:val="212121"/>
          <w:spacing w:val="-2"/>
          <w:sz w:val="18"/>
        </w:rPr>
        <w:t xml:space="preserve"> </w:t>
      </w:r>
      <w:r>
        <w:rPr>
          <w:color w:val="212121"/>
          <w:sz w:val="18"/>
        </w:rPr>
        <w:t>Jonas.</w:t>
      </w:r>
      <w:r>
        <w:rPr>
          <w:color w:val="212121"/>
          <w:spacing w:val="-2"/>
          <w:sz w:val="18"/>
        </w:rPr>
        <w:t xml:space="preserve"> </w:t>
      </w:r>
      <w:r>
        <w:rPr>
          <w:color w:val="212121"/>
          <w:sz w:val="18"/>
        </w:rPr>
        <w:t>"The</w:t>
      </w:r>
      <w:r>
        <w:rPr>
          <w:color w:val="212121"/>
          <w:spacing w:val="-3"/>
          <w:sz w:val="18"/>
        </w:rPr>
        <w:t xml:space="preserve"> </w:t>
      </w:r>
      <w:r>
        <w:rPr>
          <w:color w:val="212121"/>
          <w:sz w:val="18"/>
        </w:rPr>
        <w:t>worldwide</w:t>
      </w:r>
      <w:r>
        <w:rPr>
          <w:color w:val="212121"/>
          <w:spacing w:val="-3"/>
          <w:sz w:val="18"/>
        </w:rPr>
        <w:t xml:space="preserve"> </w:t>
      </w:r>
      <w:r>
        <w:rPr>
          <w:color w:val="212121"/>
          <w:sz w:val="18"/>
        </w:rPr>
        <w:t>burden</w:t>
      </w:r>
      <w:r>
        <w:rPr>
          <w:color w:val="212121"/>
          <w:spacing w:val="-3"/>
          <w:sz w:val="18"/>
        </w:rPr>
        <w:t xml:space="preserve"> </w:t>
      </w:r>
      <w:r>
        <w:rPr>
          <w:color w:val="212121"/>
          <w:sz w:val="18"/>
        </w:rPr>
        <w:t>of</w:t>
      </w:r>
      <w:r>
        <w:rPr>
          <w:color w:val="212121"/>
          <w:spacing w:val="-2"/>
          <w:sz w:val="18"/>
        </w:rPr>
        <w:t xml:space="preserve"> </w:t>
      </w:r>
      <w:r>
        <w:rPr>
          <w:color w:val="212121"/>
          <w:sz w:val="18"/>
        </w:rPr>
        <w:t>HIV</w:t>
      </w:r>
      <w:r>
        <w:rPr>
          <w:color w:val="212121"/>
          <w:spacing w:val="-1"/>
          <w:sz w:val="18"/>
        </w:rPr>
        <w:t xml:space="preserve"> </w:t>
      </w:r>
      <w:r>
        <w:rPr>
          <w:color w:val="212121"/>
          <w:sz w:val="18"/>
        </w:rPr>
        <w:t>in</w:t>
      </w:r>
      <w:r>
        <w:rPr>
          <w:color w:val="212121"/>
          <w:spacing w:val="-3"/>
          <w:sz w:val="18"/>
        </w:rPr>
        <w:t xml:space="preserve"> </w:t>
      </w:r>
      <w:r>
        <w:rPr>
          <w:color w:val="212121"/>
          <w:sz w:val="18"/>
        </w:rPr>
        <w:t>transgender</w:t>
      </w:r>
      <w:r>
        <w:rPr>
          <w:color w:val="212121"/>
          <w:spacing w:val="-3"/>
          <w:sz w:val="18"/>
        </w:rPr>
        <w:t xml:space="preserve"> </w:t>
      </w:r>
      <w:r>
        <w:rPr>
          <w:color w:val="212121"/>
          <w:sz w:val="18"/>
        </w:rPr>
        <w:t xml:space="preserve">individuals: an updated systematic review and meta-analysis." </w:t>
      </w:r>
      <w:r>
        <w:rPr>
          <w:i/>
          <w:color w:val="212121"/>
          <w:sz w:val="18"/>
        </w:rPr>
        <w:t xml:space="preserve">PLoS One </w:t>
      </w:r>
      <w:r>
        <w:rPr>
          <w:color w:val="212121"/>
          <w:sz w:val="18"/>
        </w:rPr>
        <w:t>16, no. 12 (2021): e0260063.</w:t>
      </w:r>
    </w:p>
    <w:p w:rsidR="00200FDA" w:rsidRDefault="00F76C4C">
      <w:pPr>
        <w:ind w:left="140" w:hanging="1"/>
        <w:rPr>
          <w:sz w:val="18"/>
        </w:rPr>
      </w:pPr>
      <w:bookmarkStart w:id="563" w:name="_bookmark434"/>
      <w:bookmarkEnd w:id="563"/>
      <w:r>
        <w:rPr>
          <w:position w:val="5"/>
          <w:sz w:val="12"/>
        </w:rPr>
        <w:t>83</w:t>
      </w:r>
      <w:r>
        <w:rPr>
          <w:spacing w:val="15"/>
          <w:position w:val="5"/>
          <w:sz w:val="12"/>
        </w:rPr>
        <w:t xml:space="preserve"> </w:t>
      </w:r>
      <w:r>
        <w:rPr>
          <w:sz w:val="18"/>
        </w:rPr>
        <w:t>Massachusetts Department of Public Health, Bureau of Infectious Disease and Laboratory Sciences. Massachusetts HIV Epidemiologic</w:t>
      </w:r>
      <w:r>
        <w:rPr>
          <w:spacing w:val="-5"/>
          <w:sz w:val="18"/>
        </w:rPr>
        <w:t xml:space="preserve"> </w:t>
      </w:r>
      <w:r>
        <w:rPr>
          <w:sz w:val="18"/>
        </w:rPr>
        <w:t>Profile,</w:t>
      </w:r>
      <w:r>
        <w:rPr>
          <w:spacing w:val="-5"/>
          <w:sz w:val="18"/>
        </w:rPr>
        <w:t xml:space="preserve"> </w:t>
      </w:r>
      <w:r>
        <w:rPr>
          <w:sz w:val="18"/>
        </w:rPr>
        <w:t>Statewide</w:t>
      </w:r>
      <w:r>
        <w:rPr>
          <w:spacing w:val="-4"/>
          <w:sz w:val="18"/>
        </w:rPr>
        <w:t xml:space="preserve"> </w:t>
      </w:r>
      <w:r>
        <w:rPr>
          <w:sz w:val="18"/>
        </w:rPr>
        <w:t>Report</w:t>
      </w:r>
      <w:r>
        <w:rPr>
          <w:spacing w:val="-6"/>
          <w:sz w:val="18"/>
        </w:rPr>
        <w:t xml:space="preserve"> </w:t>
      </w:r>
      <w:r>
        <w:rPr>
          <w:sz w:val="18"/>
        </w:rPr>
        <w:t>–</w:t>
      </w:r>
      <w:r>
        <w:rPr>
          <w:spacing w:val="-7"/>
          <w:sz w:val="18"/>
        </w:rPr>
        <w:t xml:space="preserve"> </w:t>
      </w:r>
      <w:r>
        <w:rPr>
          <w:sz w:val="18"/>
        </w:rPr>
        <w:t>Data</w:t>
      </w:r>
      <w:r>
        <w:rPr>
          <w:spacing w:val="-5"/>
          <w:sz w:val="18"/>
        </w:rPr>
        <w:t xml:space="preserve"> </w:t>
      </w:r>
      <w:r>
        <w:rPr>
          <w:sz w:val="18"/>
        </w:rPr>
        <w:t>as</w:t>
      </w:r>
      <w:r>
        <w:rPr>
          <w:spacing w:val="-6"/>
          <w:sz w:val="18"/>
        </w:rPr>
        <w:t xml:space="preserve"> </w:t>
      </w:r>
      <w:r>
        <w:rPr>
          <w:sz w:val="18"/>
        </w:rPr>
        <w:t>of</w:t>
      </w:r>
      <w:r>
        <w:rPr>
          <w:spacing w:val="-5"/>
          <w:sz w:val="18"/>
        </w:rPr>
        <w:t xml:space="preserve"> </w:t>
      </w:r>
      <w:r>
        <w:rPr>
          <w:sz w:val="18"/>
        </w:rPr>
        <w:t>1/1/2022</w:t>
      </w:r>
      <w:r>
        <w:rPr>
          <w:spacing w:val="-5"/>
          <w:sz w:val="18"/>
        </w:rPr>
        <w:t xml:space="preserve"> </w:t>
      </w:r>
      <w:r>
        <w:rPr>
          <w:sz w:val="18"/>
        </w:rPr>
        <w:t>https://</w:t>
      </w:r>
      <w:hyperlink r:id="rId394">
        <w:r>
          <w:rPr>
            <w:sz w:val="18"/>
          </w:rPr>
          <w:t>www.mass.gov/lists/hivaids-epidemiologic-profiles.</w:t>
        </w:r>
      </w:hyperlink>
      <w:r>
        <w:rPr>
          <w:sz w:val="18"/>
        </w:rPr>
        <w:t xml:space="preserve"> Published February 2022. Accessed March 2 2023.</w:t>
      </w:r>
    </w:p>
    <w:p w:rsidR="00200FDA" w:rsidRDefault="00F76C4C">
      <w:pPr>
        <w:spacing w:before="1"/>
        <w:ind w:left="140" w:hanging="1"/>
        <w:rPr>
          <w:sz w:val="18"/>
        </w:rPr>
      </w:pPr>
      <w:bookmarkStart w:id="564" w:name="_bookmark435"/>
      <w:bookmarkEnd w:id="564"/>
      <w:r>
        <w:rPr>
          <w:position w:val="5"/>
          <w:sz w:val="12"/>
        </w:rPr>
        <w:t>84</w:t>
      </w:r>
      <w:r>
        <w:rPr>
          <w:spacing w:val="10"/>
          <w:position w:val="5"/>
          <w:sz w:val="12"/>
        </w:rPr>
        <w:t xml:space="preserve"> </w:t>
      </w:r>
      <w:r>
        <w:rPr>
          <w:sz w:val="18"/>
        </w:rPr>
        <w:t>Fisher,</w:t>
      </w:r>
      <w:r>
        <w:rPr>
          <w:spacing w:val="-2"/>
          <w:sz w:val="18"/>
        </w:rPr>
        <w:t xml:space="preserve"> </w:t>
      </w:r>
      <w:r>
        <w:rPr>
          <w:sz w:val="18"/>
        </w:rPr>
        <w:t>Celia</w:t>
      </w:r>
      <w:r>
        <w:rPr>
          <w:spacing w:val="-2"/>
          <w:sz w:val="18"/>
        </w:rPr>
        <w:t xml:space="preserve"> </w:t>
      </w:r>
      <w:r>
        <w:rPr>
          <w:sz w:val="18"/>
        </w:rPr>
        <w:t>B.,</w:t>
      </w:r>
      <w:r>
        <w:rPr>
          <w:spacing w:val="-2"/>
          <w:sz w:val="18"/>
        </w:rPr>
        <w:t xml:space="preserve"> </w:t>
      </w:r>
      <w:r>
        <w:rPr>
          <w:sz w:val="18"/>
        </w:rPr>
        <w:t>Adam</w:t>
      </w:r>
      <w:r>
        <w:rPr>
          <w:spacing w:val="-2"/>
          <w:sz w:val="18"/>
        </w:rPr>
        <w:t xml:space="preserve"> </w:t>
      </w:r>
      <w:r>
        <w:rPr>
          <w:sz w:val="18"/>
        </w:rPr>
        <w:t>L.</w:t>
      </w:r>
      <w:r>
        <w:rPr>
          <w:spacing w:val="-2"/>
          <w:sz w:val="18"/>
        </w:rPr>
        <w:t xml:space="preserve"> </w:t>
      </w:r>
      <w:r>
        <w:rPr>
          <w:sz w:val="18"/>
        </w:rPr>
        <w:t>Fried,</w:t>
      </w:r>
      <w:r>
        <w:rPr>
          <w:spacing w:val="-2"/>
          <w:sz w:val="18"/>
        </w:rPr>
        <w:t xml:space="preserve"> </w:t>
      </w:r>
      <w:r>
        <w:rPr>
          <w:sz w:val="18"/>
        </w:rPr>
        <w:t>Margaret</w:t>
      </w:r>
      <w:r>
        <w:rPr>
          <w:spacing w:val="-3"/>
          <w:sz w:val="18"/>
        </w:rPr>
        <w:t xml:space="preserve"> </w:t>
      </w:r>
      <w:r>
        <w:rPr>
          <w:sz w:val="18"/>
        </w:rPr>
        <w:t>Desmond,</w:t>
      </w:r>
      <w:r>
        <w:rPr>
          <w:spacing w:val="-2"/>
          <w:sz w:val="18"/>
        </w:rPr>
        <w:t xml:space="preserve"> </w:t>
      </w:r>
      <w:r>
        <w:rPr>
          <w:sz w:val="18"/>
        </w:rPr>
        <w:t>Kathryn</w:t>
      </w:r>
      <w:r>
        <w:rPr>
          <w:spacing w:val="-3"/>
          <w:sz w:val="18"/>
        </w:rPr>
        <w:t xml:space="preserve"> </w:t>
      </w:r>
      <w:r>
        <w:rPr>
          <w:sz w:val="18"/>
        </w:rPr>
        <w:t>Macapagal,</w:t>
      </w:r>
      <w:r>
        <w:rPr>
          <w:spacing w:val="-2"/>
          <w:sz w:val="18"/>
        </w:rPr>
        <w:t xml:space="preserve"> </w:t>
      </w:r>
      <w:r>
        <w:rPr>
          <w:sz w:val="18"/>
        </w:rPr>
        <w:t>and</w:t>
      </w:r>
      <w:r>
        <w:rPr>
          <w:spacing w:val="-3"/>
          <w:sz w:val="18"/>
        </w:rPr>
        <w:t xml:space="preserve"> </w:t>
      </w:r>
      <w:r>
        <w:rPr>
          <w:sz w:val="18"/>
        </w:rPr>
        <w:t>Brian</w:t>
      </w:r>
      <w:r>
        <w:rPr>
          <w:spacing w:val="-3"/>
          <w:sz w:val="18"/>
        </w:rPr>
        <w:t xml:space="preserve"> </w:t>
      </w:r>
      <w:r>
        <w:rPr>
          <w:sz w:val="18"/>
        </w:rPr>
        <w:t>Mustanski.</w:t>
      </w:r>
      <w:r>
        <w:rPr>
          <w:spacing w:val="-2"/>
          <w:sz w:val="18"/>
        </w:rPr>
        <w:t xml:space="preserve"> </w:t>
      </w:r>
      <w:r>
        <w:rPr>
          <w:sz w:val="18"/>
        </w:rPr>
        <w:t>2018.</w:t>
      </w:r>
      <w:r>
        <w:rPr>
          <w:spacing w:val="-2"/>
          <w:sz w:val="18"/>
        </w:rPr>
        <w:t xml:space="preserve"> </w:t>
      </w:r>
      <w:r>
        <w:rPr>
          <w:sz w:val="18"/>
        </w:rPr>
        <w:t>“Perceived</w:t>
      </w:r>
      <w:r>
        <w:rPr>
          <w:spacing w:val="-3"/>
          <w:sz w:val="18"/>
        </w:rPr>
        <w:t xml:space="preserve"> </w:t>
      </w:r>
      <w:r>
        <w:rPr>
          <w:sz w:val="18"/>
        </w:rPr>
        <w:t>Barriers</w:t>
      </w:r>
      <w:r>
        <w:rPr>
          <w:spacing w:val="-3"/>
          <w:sz w:val="18"/>
        </w:rPr>
        <w:t xml:space="preserve"> </w:t>
      </w:r>
      <w:r>
        <w:rPr>
          <w:sz w:val="18"/>
        </w:rPr>
        <w:t>to</w:t>
      </w:r>
      <w:r>
        <w:rPr>
          <w:spacing w:val="-1"/>
          <w:sz w:val="18"/>
        </w:rPr>
        <w:t xml:space="preserve"> </w:t>
      </w:r>
      <w:r>
        <w:rPr>
          <w:sz w:val="18"/>
        </w:rPr>
        <w:t>HIV Prevention Services for T</w:t>
      </w:r>
      <w:r>
        <w:rPr>
          <w:sz w:val="18"/>
        </w:rPr>
        <w:t>ransgender Youth.” LGBT Health 5 (6): 350–58. https://doi.org/10.1089/lgbt.2017.0098.</w:t>
      </w:r>
    </w:p>
    <w:p w:rsidR="00200FDA" w:rsidRDefault="00F76C4C">
      <w:pPr>
        <w:ind w:left="140" w:right="818" w:hanging="1"/>
        <w:rPr>
          <w:sz w:val="18"/>
        </w:rPr>
      </w:pPr>
      <w:bookmarkStart w:id="565" w:name="_bookmark436"/>
      <w:bookmarkEnd w:id="565"/>
      <w:r>
        <w:rPr>
          <w:position w:val="5"/>
          <w:sz w:val="12"/>
        </w:rPr>
        <w:t>85</w:t>
      </w:r>
      <w:r>
        <w:rPr>
          <w:spacing w:val="9"/>
          <w:position w:val="5"/>
          <w:sz w:val="12"/>
        </w:rPr>
        <w:t xml:space="preserve"> </w:t>
      </w:r>
      <w:r>
        <w:rPr>
          <w:sz w:val="18"/>
        </w:rPr>
        <w:t>Seiler,</w:t>
      </w:r>
      <w:r>
        <w:rPr>
          <w:spacing w:val="-3"/>
          <w:sz w:val="18"/>
        </w:rPr>
        <w:t xml:space="preserve"> </w:t>
      </w:r>
      <w:r>
        <w:rPr>
          <w:sz w:val="18"/>
        </w:rPr>
        <w:t>Naomi.</w:t>
      </w:r>
      <w:r>
        <w:rPr>
          <w:spacing w:val="-3"/>
          <w:sz w:val="18"/>
        </w:rPr>
        <w:t xml:space="preserve"> </w:t>
      </w:r>
      <w:r>
        <w:rPr>
          <w:sz w:val="18"/>
        </w:rPr>
        <w:t>n.d.</w:t>
      </w:r>
      <w:r>
        <w:rPr>
          <w:spacing w:val="-3"/>
          <w:sz w:val="18"/>
        </w:rPr>
        <w:t xml:space="preserve"> </w:t>
      </w:r>
      <w:r>
        <w:rPr>
          <w:sz w:val="18"/>
        </w:rPr>
        <w:t>Review</w:t>
      </w:r>
      <w:r>
        <w:rPr>
          <w:spacing w:val="-2"/>
          <w:sz w:val="18"/>
        </w:rPr>
        <w:t xml:space="preserve"> </w:t>
      </w:r>
      <w:r>
        <w:rPr>
          <w:sz w:val="18"/>
        </w:rPr>
        <w:t>of</w:t>
      </w:r>
      <w:r>
        <w:rPr>
          <w:spacing w:val="-3"/>
          <w:sz w:val="18"/>
        </w:rPr>
        <w:t xml:space="preserve"> </w:t>
      </w:r>
      <w:r>
        <w:rPr>
          <w:sz w:val="18"/>
        </w:rPr>
        <w:t>Enhancing</w:t>
      </w:r>
      <w:r>
        <w:rPr>
          <w:spacing w:val="-4"/>
          <w:sz w:val="18"/>
        </w:rPr>
        <w:t xml:space="preserve"> </w:t>
      </w:r>
      <w:r>
        <w:rPr>
          <w:sz w:val="18"/>
        </w:rPr>
        <w:t>Medicaid</w:t>
      </w:r>
      <w:r>
        <w:rPr>
          <w:spacing w:val="-4"/>
          <w:sz w:val="18"/>
        </w:rPr>
        <w:t xml:space="preserve"> </w:t>
      </w:r>
      <w:r>
        <w:rPr>
          <w:sz w:val="18"/>
        </w:rPr>
        <w:t>Provider</w:t>
      </w:r>
      <w:r>
        <w:rPr>
          <w:spacing w:val="-4"/>
          <w:sz w:val="18"/>
        </w:rPr>
        <w:t xml:space="preserve"> </w:t>
      </w:r>
      <w:r>
        <w:rPr>
          <w:sz w:val="18"/>
        </w:rPr>
        <w:t>and</w:t>
      </w:r>
      <w:r>
        <w:rPr>
          <w:spacing w:val="-4"/>
          <w:sz w:val="18"/>
        </w:rPr>
        <w:t xml:space="preserve"> </w:t>
      </w:r>
      <w:r>
        <w:rPr>
          <w:sz w:val="18"/>
        </w:rPr>
        <w:t>Patient</w:t>
      </w:r>
      <w:r>
        <w:rPr>
          <w:spacing w:val="-4"/>
          <w:sz w:val="18"/>
        </w:rPr>
        <w:t xml:space="preserve"> </w:t>
      </w:r>
      <w:r>
        <w:rPr>
          <w:sz w:val="18"/>
        </w:rPr>
        <w:t>Engagement</w:t>
      </w:r>
      <w:r>
        <w:rPr>
          <w:spacing w:val="-4"/>
          <w:sz w:val="18"/>
        </w:rPr>
        <w:t xml:space="preserve"> </w:t>
      </w:r>
      <w:r>
        <w:rPr>
          <w:sz w:val="18"/>
        </w:rPr>
        <w:t>and</w:t>
      </w:r>
      <w:r>
        <w:rPr>
          <w:spacing w:val="-4"/>
          <w:sz w:val="18"/>
        </w:rPr>
        <w:t xml:space="preserve"> </w:t>
      </w:r>
      <w:r>
        <w:rPr>
          <w:sz w:val="18"/>
        </w:rPr>
        <w:t>Education</w:t>
      </w:r>
      <w:r>
        <w:rPr>
          <w:spacing w:val="-4"/>
          <w:sz w:val="18"/>
        </w:rPr>
        <w:t xml:space="preserve"> </w:t>
      </w:r>
      <w:r>
        <w:rPr>
          <w:sz w:val="18"/>
        </w:rPr>
        <w:t>to</w:t>
      </w:r>
      <w:r>
        <w:rPr>
          <w:spacing w:val="-2"/>
          <w:sz w:val="18"/>
        </w:rPr>
        <w:t xml:space="preserve"> </w:t>
      </w:r>
      <w:r>
        <w:rPr>
          <w:sz w:val="18"/>
        </w:rPr>
        <w:t>Deliver</w:t>
      </w:r>
      <w:r>
        <w:rPr>
          <w:spacing w:val="-4"/>
          <w:sz w:val="18"/>
        </w:rPr>
        <w:t xml:space="preserve"> </w:t>
      </w:r>
      <w:r>
        <w:rPr>
          <w:sz w:val="18"/>
        </w:rPr>
        <w:t xml:space="preserve">PrEP Intervention Services. AcademyHealth. Accessed January 10, 2023. </w:t>
      </w:r>
      <w:r>
        <w:rPr>
          <w:spacing w:val="-2"/>
          <w:sz w:val="18"/>
        </w:rPr>
        <w:t>https://academyhealth.org/sites/default/files/engagementmedicaidprep_issuebrief_may2019.pdf.</w:t>
      </w:r>
    </w:p>
    <w:p w:rsidR="00200FDA" w:rsidRDefault="00F76C4C">
      <w:pPr>
        <w:ind w:left="140" w:hanging="1"/>
        <w:rPr>
          <w:sz w:val="18"/>
        </w:rPr>
      </w:pPr>
      <w:bookmarkStart w:id="566" w:name="_bookmark437"/>
      <w:bookmarkEnd w:id="566"/>
      <w:r>
        <w:rPr>
          <w:position w:val="5"/>
          <w:sz w:val="12"/>
        </w:rPr>
        <w:t>86</w:t>
      </w:r>
      <w:r>
        <w:rPr>
          <w:spacing w:val="7"/>
          <w:position w:val="5"/>
          <w:sz w:val="12"/>
        </w:rPr>
        <w:t xml:space="preserve"> </w:t>
      </w:r>
      <w:r>
        <w:rPr>
          <w:sz w:val="18"/>
        </w:rPr>
        <w:t>“PrEP</w:t>
      </w:r>
      <w:r>
        <w:rPr>
          <w:spacing w:val="-5"/>
          <w:sz w:val="18"/>
        </w:rPr>
        <w:t xml:space="preserve"> </w:t>
      </w:r>
      <w:r>
        <w:rPr>
          <w:sz w:val="18"/>
        </w:rPr>
        <w:t>for</w:t>
      </w:r>
      <w:r>
        <w:rPr>
          <w:spacing w:val="-6"/>
          <w:sz w:val="18"/>
        </w:rPr>
        <w:t xml:space="preserve"> </w:t>
      </w:r>
      <w:r>
        <w:rPr>
          <w:sz w:val="18"/>
        </w:rPr>
        <w:t>Minors</w:t>
      </w:r>
      <w:r>
        <w:rPr>
          <w:spacing w:val="-6"/>
          <w:sz w:val="18"/>
        </w:rPr>
        <w:t xml:space="preserve"> </w:t>
      </w:r>
      <w:r>
        <w:rPr>
          <w:sz w:val="18"/>
        </w:rPr>
        <w:t>in</w:t>
      </w:r>
      <w:r>
        <w:rPr>
          <w:spacing w:val="-6"/>
          <w:sz w:val="18"/>
        </w:rPr>
        <w:t xml:space="preserve"> </w:t>
      </w:r>
      <w:r>
        <w:rPr>
          <w:sz w:val="18"/>
        </w:rPr>
        <w:t>Massachusetts.”</w:t>
      </w:r>
      <w:r>
        <w:rPr>
          <w:spacing w:val="-6"/>
          <w:sz w:val="18"/>
        </w:rPr>
        <w:t xml:space="preserve"> </w:t>
      </w:r>
      <w:r>
        <w:rPr>
          <w:sz w:val="18"/>
        </w:rPr>
        <w:t>n.d.</w:t>
      </w:r>
      <w:r>
        <w:rPr>
          <w:spacing w:val="-3"/>
          <w:sz w:val="18"/>
        </w:rPr>
        <w:t xml:space="preserve"> </w:t>
      </w:r>
      <w:r>
        <w:rPr>
          <w:sz w:val="18"/>
        </w:rPr>
        <w:t>GLAD.</w:t>
      </w:r>
      <w:r>
        <w:rPr>
          <w:spacing w:val="-5"/>
          <w:sz w:val="18"/>
        </w:rPr>
        <w:t xml:space="preserve"> </w:t>
      </w:r>
      <w:r>
        <w:rPr>
          <w:sz w:val="18"/>
        </w:rPr>
        <w:t>https://</w:t>
      </w:r>
      <w:hyperlink r:id="rId395">
        <w:r>
          <w:rPr>
            <w:sz w:val="18"/>
          </w:rPr>
          <w:t>www.glad.org/prep-for-minors-in-</w:t>
        </w:r>
      </w:hyperlink>
      <w:r>
        <w:rPr>
          <w:sz w:val="18"/>
        </w:rPr>
        <w:t xml:space="preserve"> </w:t>
      </w:r>
      <w:r>
        <w:rPr>
          <w:spacing w:val="-2"/>
          <w:sz w:val="18"/>
        </w:rPr>
        <w:t>massachusetts/#:~:text=Massachusetts%20has%20a%20new%20law.</w:t>
      </w:r>
    </w:p>
    <w:p w:rsidR="00200FDA" w:rsidRDefault="00F76C4C">
      <w:pPr>
        <w:ind w:left="139"/>
        <w:rPr>
          <w:sz w:val="18"/>
        </w:rPr>
      </w:pPr>
      <w:bookmarkStart w:id="567" w:name="_bookmark438"/>
      <w:bookmarkEnd w:id="567"/>
      <w:r>
        <w:rPr>
          <w:position w:val="5"/>
          <w:sz w:val="12"/>
        </w:rPr>
        <w:t>87</w:t>
      </w:r>
      <w:r>
        <w:rPr>
          <w:spacing w:val="13"/>
          <w:position w:val="5"/>
          <w:sz w:val="12"/>
        </w:rPr>
        <w:t xml:space="preserve"> </w:t>
      </w:r>
      <w:r>
        <w:rPr>
          <w:color w:val="212121"/>
          <w:sz w:val="18"/>
        </w:rPr>
        <w:t>Connolly, Maureen D., Doreen N. Dankerlui, Tony Eljallad, Isadore Dodard-Friedman, Amy Tang, and Christine LM Joseph. "Outcomes</w:t>
      </w:r>
      <w:r>
        <w:rPr>
          <w:color w:val="212121"/>
          <w:spacing w:val="-3"/>
          <w:sz w:val="18"/>
        </w:rPr>
        <w:t xml:space="preserve"> </w:t>
      </w:r>
      <w:r>
        <w:rPr>
          <w:color w:val="212121"/>
          <w:sz w:val="18"/>
        </w:rPr>
        <w:t>of</w:t>
      </w:r>
      <w:r>
        <w:rPr>
          <w:color w:val="212121"/>
          <w:spacing w:val="-2"/>
          <w:sz w:val="18"/>
        </w:rPr>
        <w:t xml:space="preserve"> </w:t>
      </w:r>
      <w:r>
        <w:rPr>
          <w:color w:val="212121"/>
          <w:sz w:val="18"/>
        </w:rPr>
        <w:t>a</w:t>
      </w:r>
      <w:r>
        <w:rPr>
          <w:color w:val="212121"/>
          <w:spacing w:val="-2"/>
          <w:sz w:val="18"/>
        </w:rPr>
        <w:t xml:space="preserve"> </w:t>
      </w:r>
      <w:r>
        <w:rPr>
          <w:color w:val="212121"/>
          <w:sz w:val="18"/>
        </w:rPr>
        <w:t>PrEP</w:t>
      </w:r>
      <w:r>
        <w:rPr>
          <w:color w:val="212121"/>
          <w:spacing w:val="-2"/>
          <w:sz w:val="18"/>
        </w:rPr>
        <w:t xml:space="preserve"> </w:t>
      </w:r>
      <w:r>
        <w:rPr>
          <w:color w:val="212121"/>
          <w:sz w:val="18"/>
        </w:rPr>
        <w:t>Demonstration</w:t>
      </w:r>
      <w:r>
        <w:rPr>
          <w:color w:val="212121"/>
          <w:spacing w:val="-3"/>
          <w:sz w:val="18"/>
        </w:rPr>
        <w:t xml:space="preserve"> </w:t>
      </w:r>
      <w:r>
        <w:rPr>
          <w:color w:val="212121"/>
          <w:sz w:val="18"/>
        </w:rPr>
        <w:t>Project</w:t>
      </w:r>
      <w:r>
        <w:rPr>
          <w:color w:val="212121"/>
          <w:spacing w:val="-3"/>
          <w:sz w:val="18"/>
        </w:rPr>
        <w:t xml:space="preserve"> </w:t>
      </w:r>
      <w:r>
        <w:rPr>
          <w:color w:val="212121"/>
          <w:sz w:val="18"/>
        </w:rPr>
        <w:t>with</w:t>
      </w:r>
      <w:r>
        <w:rPr>
          <w:color w:val="212121"/>
          <w:spacing w:val="-3"/>
          <w:sz w:val="18"/>
        </w:rPr>
        <w:t xml:space="preserve"> </w:t>
      </w:r>
      <w:r>
        <w:rPr>
          <w:color w:val="212121"/>
          <w:sz w:val="18"/>
        </w:rPr>
        <w:t>LGBTQ</w:t>
      </w:r>
      <w:r>
        <w:rPr>
          <w:color w:val="212121"/>
          <w:spacing w:val="-3"/>
          <w:sz w:val="18"/>
        </w:rPr>
        <w:t xml:space="preserve"> </w:t>
      </w:r>
      <w:r>
        <w:rPr>
          <w:color w:val="212121"/>
          <w:sz w:val="18"/>
        </w:rPr>
        <w:t>Youth</w:t>
      </w:r>
      <w:r>
        <w:rPr>
          <w:color w:val="212121"/>
          <w:spacing w:val="-3"/>
          <w:sz w:val="18"/>
        </w:rPr>
        <w:t xml:space="preserve"> </w:t>
      </w:r>
      <w:r>
        <w:rPr>
          <w:color w:val="212121"/>
          <w:sz w:val="18"/>
        </w:rPr>
        <w:t>in</w:t>
      </w:r>
      <w:r>
        <w:rPr>
          <w:color w:val="212121"/>
          <w:spacing w:val="-3"/>
          <w:sz w:val="18"/>
        </w:rPr>
        <w:t xml:space="preserve"> </w:t>
      </w:r>
      <w:r>
        <w:rPr>
          <w:color w:val="212121"/>
          <w:sz w:val="18"/>
        </w:rPr>
        <w:t>a</w:t>
      </w:r>
      <w:r>
        <w:rPr>
          <w:color w:val="212121"/>
          <w:spacing w:val="-2"/>
          <w:sz w:val="18"/>
        </w:rPr>
        <w:t xml:space="preserve"> </w:t>
      </w:r>
      <w:r>
        <w:rPr>
          <w:color w:val="212121"/>
          <w:sz w:val="18"/>
        </w:rPr>
        <w:t>Community-Based</w:t>
      </w:r>
      <w:r>
        <w:rPr>
          <w:color w:val="212121"/>
          <w:spacing w:val="-3"/>
          <w:sz w:val="18"/>
        </w:rPr>
        <w:t xml:space="preserve"> </w:t>
      </w:r>
      <w:r>
        <w:rPr>
          <w:color w:val="212121"/>
          <w:sz w:val="18"/>
        </w:rPr>
        <w:t>Clinic</w:t>
      </w:r>
      <w:r>
        <w:rPr>
          <w:color w:val="212121"/>
          <w:spacing w:val="-2"/>
          <w:sz w:val="18"/>
        </w:rPr>
        <w:t xml:space="preserve"> </w:t>
      </w:r>
      <w:r>
        <w:rPr>
          <w:color w:val="212121"/>
          <w:sz w:val="18"/>
        </w:rPr>
        <w:t>Setting</w:t>
      </w:r>
      <w:r>
        <w:rPr>
          <w:color w:val="212121"/>
          <w:spacing w:val="-3"/>
          <w:sz w:val="18"/>
        </w:rPr>
        <w:t xml:space="preserve"> </w:t>
      </w:r>
      <w:r>
        <w:rPr>
          <w:color w:val="212121"/>
          <w:sz w:val="18"/>
        </w:rPr>
        <w:t>with</w:t>
      </w:r>
      <w:r>
        <w:rPr>
          <w:color w:val="212121"/>
          <w:spacing w:val="-3"/>
          <w:sz w:val="18"/>
        </w:rPr>
        <w:t xml:space="preserve"> </w:t>
      </w:r>
      <w:r>
        <w:rPr>
          <w:color w:val="212121"/>
          <w:sz w:val="18"/>
        </w:rPr>
        <w:t>Integrated</w:t>
      </w:r>
      <w:r>
        <w:rPr>
          <w:color w:val="212121"/>
          <w:spacing w:val="-3"/>
          <w:sz w:val="18"/>
        </w:rPr>
        <w:t xml:space="preserve"> </w:t>
      </w:r>
      <w:r>
        <w:rPr>
          <w:color w:val="212121"/>
          <w:sz w:val="18"/>
        </w:rPr>
        <w:t xml:space="preserve">Gender- Affirming Care." </w:t>
      </w:r>
      <w:r>
        <w:rPr>
          <w:i/>
          <w:color w:val="212121"/>
          <w:sz w:val="18"/>
        </w:rPr>
        <w:t xml:space="preserve">Transgender Health </w:t>
      </w:r>
      <w:r>
        <w:rPr>
          <w:color w:val="212121"/>
          <w:sz w:val="18"/>
        </w:rPr>
        <w:t>5, no. 2 (2020): 75-79.</w:t>
      </w:r>
    </w:p>
    <w:p w:rsidR="00200FDA" w:rsidRDefault="00F76C4C">
      <w:pPr>
        <w:ind w:left="140" w:right="217"/>
        <w:jc w:val="both"/>
        <w:rPr>
          <w:sz w:val="18"/>
        </w:rPr>
      </w:pPr>
      <w:bookmarkStart w:id="568" w:name="_bookmark439"/>
      <w:bookmarkEnd w:id="568"/>
      <w:r>
        <w:rPr>
          <w:position w:val="5"/>
          <w:sz w:val="12"/>
        </w:rPr>
        <w:t>88</w:t>
      </w:r>
      <w:r>
        <w:rPr>
          <w:spacing w:val="13"/>
          <w:position w:val="5"/>
          <w:sz w:val="12"/>
        </w:rPr>
        <w:t xml:space="preserve"> </w:t>
      </w:r>
      <w:r>
        <w:rPr>
          <w:color w:val="212121"/>
          <w:sz w:val="18"/>
        </w:rPr>
        <w:t>Valente, Pablo K., Jack C. Rusley, Don Operario, and Katie B. Biello. "Readiness to Provide Oral and Injectable PrEP for Sexual and</w:t>
      </w:r>
      <w:r>
        <w:rPr>
          <w:color w:val="212121"/>
          <w:spacing w:val="-1"/>
          <w:sz w:val="18"/>
        </w:rPr>
        <w:t xml:space="preserve"> </w:t>
      </w:r>
      <w:r>
        <w:rPr>
          <w:color w:val="212121"/>
          <w:sz w:val="18"/>
        </w:rPr>
        <w:t>Gender</w:t>
      </w:r>
      <w:r>
        <w:rPr>
          <w:color w:val="212121"/>
          <w:spacing w:val="-1"/>
          <w:sz w:val="18"/>
        </w:rPr>
        <w:t xml:space="preserve"> </w:t>
      </w:r>
      <w:r>
        <w:rPr>
          <w:color w:val="212121"/>
          <w:sz w:val="18"/>
        </w:rPr>
        <w:t>Minority Youth Among</w:t>
      </w:r>
      <w:r>
        <w:rPr>
          <w:color w:val="212121"/>
          <w:spacing w:val="-1"/>
          <w:sz w:val="18"/>
        </w:rPr>
        <w:t xml:space="preserve"> </w:t>
      </w:r>
      <w:r>
        <w:rPr>
          <w:color w:val="212121"/>
          <w:sz w:val="18"/>
        </w:rPr>
        <w:t>Healthcare</w:t>
      </w:r>
      <w:r>
        <w:rPr>
          <w:color w:val="212121"/>
          <w:spacing w:val="-1"/>
          <w:sz w:val="18"/>
        </w:rPr>
        <w:t xml:space="preserve"> </w:t>
      </w:r>
      <w:r>
        <w:rPr>
          <w:color w:val="212121"/>
          <w:sz w:val="18"/>
        </w:rPr>
        <w:t>Providers</w:t>
      </w:r>
      <w:r>
        <w:rPr>
          <w:color w:val="212121"/>
          <w:spacing w:val="-1"/>
          <w:sz w:val="18"/>
        </w:rPr>
        <w:t xml:space="preserve"> </w:t>
      </w:r>
      <w:r>
        <w:rPr>
          <w:color w:val="212121"/>
          <w:sz w:val="18"/>
        </w:rPr>
        <w:t>and</w:t>
      </w:r>
      <w:r>
        <w:rPr>
          <w:color w:val="212121"/>
          <w:spacing w:val="-1"/>
          <w:sz w:val="18"/>
        </w:rPr>
        <w:t xml:space="preserve"> </w:t>
      </w:r>
      <w:r>
        <w:rPr>
          <w:color w:val="212121"/>
          <w:sz w:val="18"/>
        </w:rPr>
        <w:t>Clinics</w:t>
      </w:r>
      <w:r>
        <w:rPr>
          <w:color w:val="212121"/>
          <w:spacing w:val="-1"/>
          <w:sz w:val="18"/>
        </w:rPr>
        <w:t xml:space="preserve"> </w:t>
      </w:r>
      <w:r>
        <w:rPr>
          <w:color w:val="212121"/>
          <w:sz w:val="18"/>
        </w:rPr>
        <w:t>in</w:t>
      </w:r>
      <w:r>
        <w:rPr>
          <w:color w:val="212121"/>
          <w:spacing w:val="-1"/>
          <w:sz w:val="18"/>
        </w:rPr>
        <w:t xml:space="preserve"> </w:t>
      </w:r>
      <w:r>
        <w:rPr>
          <w:color w:val="212121"/>
          <w:sz w:val="18"/>
        </w:rPr>
        <w:t>the US</w:t>
      </w:r>
      <w:r>
        <w:rPr>
          <w:color w:val="212121"/>
          <w:spacing w:val="-1"/>
          <w:sz w:val="18"/>
        </w:rPr>
        <w:t xml:space="preserve"> </w:t>
      </w:r>
      <w:r>
        <w:rPr>
          <w:color w:val="212121"/>
          <w:sz w:val="18"/>
        </w:rPr>
        <w:t xml:space="preserve">Northeast." </w:t>
      </w:r>
      <w:r>
        <w:rPr>
          <w:i/>
          <w:color w:val="212121"/>
          <w:sz w:val="18"/>
        </w:rPr>
        <w:t>Journal</w:t>
      </w:r>
      <w:r>
        <w:rPr>
          <w:i/>
          <w:color w:val="212121"/>
          <w:spacing w:val="-1"/>
          <w:sz w:val="18"/>
        </w:rPr>
        <w:t xml:space="preserve"> </w:t>
      </w:r>
      <w:r>
        <w:rPr>
          <w:i/>
          <w:color w:val="212121"/>
          <w:sz w:val="18"/>
        </w:rPr>
        <w:t>of Adolescent</w:t>
      </w:r>
      <w:r>
        <w:rPr>
          <w:i/>
          <w:color w:val="212121"/>
          <w:spacing w:val="-1"/>
          <w:sz w:val="18"/>
        </w:rPr>
        <w:t xml:space="preserve"> </w:t>
      </w:r>
      <w:r>
        <w:rPr>
          <w:i/>
          <w:color w:val="212121"/>
          <w:sz w:val="18"/>
        </w:rPr>
        <w:t xml:space="preserve">Health </w:t>
      </w:r>
      <w:r>
        <w:rPr>
          <w:color w:val="212121"/>
          <w:sz w:val="18"/>
        </w:rPr>
        <w:t xml:space="preserve">(2023). </w:t>
      </w:r>
      <w:bookmarkStart w:id="569" w:name="_bookmark440"/>
      <w:bookmarkEnd w:id="569"/>
      <w:r>
        <w:rPr>
          <w:position w:val="5"/>
          <w:sz w:val="12"/>
        </w:rPr>
        <w:t>89</w:t>
      </w:r>
      <w:r>
        <w:rPr>
          <w:spacing w:val="9"/>
          <w:position w:val="5"/>
          <w:sz w:val="12"/>
        </w:rPr>
        <w:t xml:space="preserve"> </w:t>
      </w:r>
      <w:r>
        <w:rPr>
          <w:sz w:val="18"/>
        </w:rPr>
        <w:t>T</w:t>
      </w:r>
      <w:r>
        <w:rPr>
          <w:sz w:val="18"/>
        </w:rPr>
        <w:t>he</w:t>
      </w:r>
      <w:r>
        <w:rPr>
          <w:spacing w:val="-4"/>
          <w:sz w:val="18"/>
        </w:rPr>
        <w:t xml:space="preserve"> </w:t>
      </w:r>
      <w:r>
        <w:rPr>
          <w:sz w:val="18"/>
        </w:rPr>
        <w:t>Trevor</w:t>
      </w:r>
      <w:r>
        <w:rPr>
          <w:spacing w:val="-4"/>
          <w:sz w:val="18"/>
        </w:rPr>
        <w:t xml:space="preserve"> </w:t>
      </w:r>
      <w:r>
        <w:rPr>
          <w:sz w:val="18"/>
        </w:rPr>
        <w:t>Project,</w:t>
      </w:r>
      <w:r>
        <w:rPr>
          <w:spacing w:val="-3"/>
          <w:sz w:val="18"/>
        </w:rPr>
        <w:t xml:space="preserve"> </w:t>
      </w:r>
      <w:r>
        <w:rPr>
          <w:sz w:val="18"/>
        </w:rPr>
        <w:t>“National</w:t>
      </w:r>
      <w:r>
        <w:rPr>
          <w:spacing w:val="-4"/>
          <w:sz w:val="18"/>
        </w:rPr>
        <w:t xml:space="preserve"> </w:t>
      </w:r>
      <w:r>
        <w:rPr>
          <w:sz w:val="18"/>
        </w:rPr>
        <w:t>Survey</w:t>
      </w:r>
      <w:r>
        <w:rPr>
          <w:spacing w:val="-3"/>
          <w:sz w:val="18"/>
        </w:rPr>
        <w:t xml:space="preserve"> </w:t>
      </w:r>
      <w:r>
        <w:rPr>
          <w:sz w:val="18"/>
        </w:rPr>
        <w:t>on</w:t>
      </w:r>
      <w:r>
        <w:rPr>
          <w:spacing w:val="-4"/>
          <w:sz w:val="18"/>
        </w:rPr>
        <w:t xml:space="preserve"> </w:t>
      </w:r>
      <w:r>
        <w:rPr>
          <w:sz w:val="18"/>
        </w:rPr>
        <w:t>LGBTQ</w:t>
      </w:r>
      <w:r>
        <w:rPr>
          <w:spacing w:val="-4"/>
          <w:sz w:val="18"/>
        </w:rPr>
        <w:t xml:space="preserve"> </w:t>
      </w:r>
      <w:r>
        <w:rPr>
          <w:sz w:val="18"/>
        </w:rPr>
        <w:t>Youth</w:t>
      </w:r>
      <w:r>
        <w:rPr>
          <w:spacing w:val="-4"/>
          <w:sz w:val="18"/>
        </w:rPr>
        <w:t xml:space="preserve"> </w:t>
      </w:r>
      <w:r>
        <w:rPr>
          <w:sz w:val="18"/>
        </w:rPr>
        <w:t>Mental</w:t>
      </w:r>
      <w:r>
        <w:rPr>
          <w:spacing w:val="-4"/>
          <w:sz w:val="18"/>
        </w:rPr>
        <w:t xml:space="preserve"> </w:t>
      </w:r>
      <w:r>
        <w:rPr>
          <w:sz w:val="18"/>
        </w:rPr>
        <w:t>Health</w:t>
      </w:r>
      <w:r>
        <w:rPr>
          <w:spacing w:val="-4"/>
          <w:sz w:val="18"/>
        </w:rPr>
        <w:t xml:space="preserve"> </w:t>
      </w:r>
      <w:r>
        <w:rPr>
          <w:sz w:val="18"/>
        </w:rPr>
        <w:t>2021,”</w:t>
      </w:r>
      <w:r>
        <w:rPr>
          <w:spacing w:val="-4"/>
          <w:sz w:val="18"/>
        </w:rPr>
        <w:t xml:space="preserve"> </w:t>
      </w:r>
      <w:r>
        <w:rPr>
          <w:sz w:val="18"/>
        </w:rPr>
        <w:t>2021,</w:t>
      </w:r>
      <w:r>
        <w:rPr>
          <w:spacing w:val="-3"/>
          <w:sz w:val="18"/>
        </w:rPr>
        <w:t xml:space="preserve"> </w:t>
      </w:r>
      <w:r>
        <w:rPr>
          <w:sz w:val="18"/>
        </w:rPr>
        <w:t>https://</w:t>
      </w:r>
      <w:hyperlink r:id="rId396">
        <w:r>
          <w:rPr>
            <w:sz w:val="18"/>
          </w:rPr>
          <w:t>www.thetrevorproject.org/survey-</w:t>
        </w:r>
      </w:hyperlink>
      <w:r>
        <w:rPr>
          <w:sz w:val="18"/>
        </w:rPr>
        <w:t xml:space="preserve"> </w:t>
      </w:r>
      <w:hyperlink r:id="rId397">
        <w:r>
          <w:rPr>
            <w:spacing w:val="-2"/>
            <w:sz w:val="18"/>
          </w:rPr>
          <w:t>2021/?section=Introduction.</w:t>
        </w:r>
      </w:hyperlink>
    </w:p>
    <w:p w:rsidR="00200FDA" w:rsidRDefault="00F76C4C">
      <w:pPr>
        <w:ind w:left="140" w:right="139" w:hanging="1"/>
        <w:rPr>
          <w:sz w:val="18"/>
        </w:rPr>
      </w:pPr>
      <w:bookmarkStart w:id="570" w:name="_bookmark441"/>
      <w:bookmarkEnd w:id="570"/>
      <w:r>
        <w:rPr>
          <w:position w:val="5"/>
          <w:sz w:val="12"/>
        </w:rPr>
        <w:t>90</w:t>
      </w:r>
      <w:r>
        <w:rPr>
          <w:spacing w:val="9"/>
          <w:position w:val="5"/>
          <w:sz w:val="12"/>
        </w:rPr>
        <w:t xml:space="preserve"> </w:t>
      </w:r>
      <w:r>
        <w:rPr>
          <w:sz w:val="18"/>
        </w:rPr>
        <w:t>Andraska,</w:t>
      </w:r>
      <w:r>
        <w:rPr>
          <w:spacing w:val="-3"/>
          <w:sz w:val="18"/>
        </w:rPr>
        <w:t xml:space="preserve"> </w:t>
      </w:r>
      <w:r>
        <w:rPr>
          <w:sz w:val="18"/>
        </w:rPr>
        <w:t>Elizabeth</w:t>
      </w:r>
      <w:r>
        <w:rPr>
          <w:spacing w:val="-2"/>
          <w:sz w:val="18"/>
        </w:rPr>
        <w:t xml:space="preserve"> </w:t>
      </w:r>
      <w:r>
        <w:rPr>
          <w:sz w:val="18"/>
        </w:rPr>
        <w:t>Ann,</w:t>
      </w:r>
      <w:r>
        <w:rPr>
          <w:spacing w:val="-3"/>
          <w:sz w:val="18"/>
        </w:rPr>
        <w:t xml:space="preserve"> </w:t>
      </w:r>
      <w:r>
        <w:rPr>
          <w:sz w:val="18"/>
        </w:rPr>
        <w:t>Olamide</w:t>
      </w:r>
      <w:r>
        <w:rPr>
          <w:spacing w:val="-4"/>
          <w:sz w:val="18"/>
        </w:rPr>
        <w:t xml:space="preserve"> </w:t>
      </w:r>
      <w:r>
        <w:rPr>
          <w:sz w:val="18"/>
        </w:rPr>
        <w:t>Alabi,</w:t>
      </w:r>
      <w:r>
        <w:rPr>
          <w:spacing w:val="-3"/>
          <w:sz w:val="18"/>
        </w:rPr>
        <w:t xml:space="preserve"> </w:t>
      </w:r>
      <w:r>
        <w:rPr>
          <w:sz w:val="18"/>
        </w:rPr>
        <w:t>Chelsea</w:t>
      </w:r>
      <w:r>
        <w:rPr>
          <w:spacing w:val="-3"/>
          <w:sz w:val="18"/>
        </w:rPr>
        <w:t xml:space="preserve"> </w:t>
      </w:r>
      <w:r>
        <w:rPr>
          <w:sz w:val="18"/>
        </w:rPr>
        <w:t>Dorsey,</w:t>
      </w:r>
      <w:r>
        <w:rPr>
          <w:spacing w:val="-3"/>
          <w:sz w:val="18"/>
        </w:rPr>
        <w:t xml:space="preserve"> </w:t>
      </w:r>
      <w:r>
        <w:rPr>
          <w:sz w:val="18"/>
        </w:rPr>
        <w:t>Young</w:t>
      </w:r>
      <w:r>
        <w:rPr>
          <w:spacing w:val="-4"/>
          <w:sz w:val="18"/>
        </w:rPr>
        <w:t xml:space="preserve"> </w:t>
      </w:r>
      <w:r>
        <w:rPr>
          <w:sz w:val="18"/>
        </w:rPr>
        <w:t>Erben,</w:t>
      </w:r>
      <w:r>
        <w:rPr>
          <w:spacing w:val="-3"/>
          <w:sz w:val="18"/>
        </w:rPr>
        <w:t xml:space="preserve"> </w:t>
      </w:r>
      <w:r>
        <w:rPr>
          <w:sz w:val="18"/>
        </w:rPr>
        <w:t>Gabriela</w:t>
      </w:r>
      <w:r>
        <w:rPr>
          <w:spacing w:val="-3"/>
          <w:sz w:val="18"/>
        </w:rPr>
        <w:t xml:space="preserve"> </w:t>
      </w:r>
      <w:r>
        <w:rPr>
          <w:sz w:val="18"/>
        </w:rPr>
        <w:t>Velazquez,</w:t>
      </w:r>
      <w:r>
        <w:rPr>
          <w:spacing w:val="-3"/>
          <w:sz w:val="18"/>
        </w:rPr>
        <w:t xml:space="preserve"> </w:t>
      </w:r>
      <w:r>
        <w:rPr>
          <w:sz w:val="18"/>
        </w:rPr>
        <w:t>Camila</w:t>
      </w:r>
      <w:r>
        <w:rPr>
          <w:spacing w:val="-3"/>
          <w:sz w:val="18"/>
        </w:rPr>
        <w:t xml:space="preserve"> </w:t>
      </w:r>
      <w:r>
        <w:rPr>
          <w:sz w:val="18"/>
        </w:rPr>
        <w:t>Franco-Mesa,</w:t>
      </w:r>
      <w:r>
        <w:rPr>
          <w:spacing w:val="-3"/>
          <w:sz w:val="18"/>
        </w:rPr>
        <w:t xml:space="preserve"> </w:t>
      </w:r>
      <w:r>
        <w:rPr>
          <w:sz w:val="18"/>
        </w:rPr>
        <w:t>and</w:t>
      </w:r>
      <w:r>
        <w:rPr>
          <w:spacing w:val="-4"/>
          <w:sz w:val="18"/>
        </w:rPr>
        <w:t xml:space="preserve"> </w:t>
      </w:r>
      <w:r>
        <w:rPr>
          <w:sz w:val="18"/>
        </w:rPr>
        <w:t>Ulka Sachdev. 2021. “Health C</w:t>
      </w:r>
      <w:r>
        <w:rPr>
          <w:sz w:val="18"/>
        </w:rPr>
        <w:t xml:space="preserve">are Disparities during the COVID-19 Pandemic.” Seminars in Vascular Surgery 34 (3). </w:t>
      </w:r>
      <w:r>
        <w:rPr>
          <w:spacing w:val="-2"/>
          <w:sz w:val="18"/>
        </w:rPr>
        <w:t>https://doi.org/10.1053/j.semvascsurg.2021.08.002.</w:t>
      </w:r>
    </w:p>
    <w:p w:rsidR="00200FDA" w:rsidRDefault="00F76C4C">
      <w:pPr>
        <w:ind w:left="140" w:right="364" w:hanging="1"/>
        <w:rPr>
          <w:sz w:val="18"/>
        </w:rPr>
      </w:pPr>
      <w:bookmarkStart w:id="571" w:name="_bookmark442"/>
      <w:bookmarkEnd w:id="571"/>
      <w:r>
        <w:rPr>
          <w:position w:val="5"/>
          <w:sz w:val="12"/>
        </w:rPr>
        <w:t>91</w:t>
      </w:r>
      <w:r>
        <w:rPr>
          <w:spacing w:val="10"/>
          <w:position w:val="5"/>
          <w:sz w:val="12"/>
        </w:rPr>
        <w:t xml:space="preserve"> </w:t>
      </w:r>
      <w:r>
        <w:rPr>
          <w:sz w:val="18"/>
        </w:rPr>
        <w:t>Cameron</w:t>
      </w:r>
      <w:r>
        <w:rPr>
          <w:spacing w:val="-3"/>
          <w:sz w:val="18"/>
        </w:rPr>
        <w:t xml:space="preserve"> </w:t>
      </w:r>
      <w:r>
        <w:rPr>
          <w:sz w:val="18"/>
        </w:rPr>
        <w:t>K.</w:t>
      </w:r>
      <w:r>
        <w:rPr>
          <w:spacing w:val="-2"/>
          <w:sz w:val="18"/>
        </w:rPr>
        <w:t xml:space="preserve"> </w:t>
      </w:r>
      <w:r>
        <w:rPr>
          <w:sz w:val="18"/>
        </w:rPr>
        <w:t>Ormiston</w:t>
      </w:r>
      <w:r>
        <w:rPr>
          <w:spacing w:val="-3"/>
          <w:sz w:val="18"/>
        </w:rPr>
        <w:t xml:space="preserve"> </w:t>
      </w:r>
      <w:r>
        <w:rPr>
          <w:sz w:val="18"/>
        </w:rPr>
        <w:t>and</w:t>
      </w:r>
      <w:r>
        <w:rPr>
          <w:spacing w:val="-1"/>
          <w:sz w:val="18"/>
        </w:rPr>
        <w:t xml:space="preserve"> </w:t>
      </w:r>
      <w:r>
        <w:rPr>
          <w:sz w:val="18"/>
        </w:rPr>
        <w:t>Faustine</w:t>
      </w:r>
      <w:r>
        <w:rPr>
          <w:spacing w:val="-3"/>
          <w:sz w:val="18"/>
        </w:rPr>
        <w:t xml:space="preserve"> </w:t>
      </w:r>
      <w:r>
        <w:rPr>
          <w:sz w:val="18"/>
        </w:rPr>
        <w:t>Williams, “LGBTQ</w:t>
      </w:r>
      <w:r>
        <w:rPr>
          <w:spacing w:val="-3"/>
          <w:sz w:val="18"/>
        </w:rPr>
        <w:t xml:space="preserve"> </w:t>
      </w:r>
      <w:r>
        <w:rPr>
          <w:sz w:val="18"/>
        </w:rPr>
        <w:t>Youth</w:t>
      </w:r>
      <w:r>
        <w:rPr>
          <w:spacing w:val="-3"/>
          <w:sz w:val="18"/>
        </w:rPr>
        <w:t xml:space="preserve"> </w:t>
      </w:r>
      <w:r>
        <w:rPr>
          <w:sz w:val="18"/>
        </w:rPr>
        <w:t>Mental</w:t>
      </w:r>
      <w:r>
        <w:rPr>
          <w:spacing w:val="-3"/>
          <w:sz w:val="18"/>
        </w:rPr>
        <w:t xml:space="preserve"> </w:t>
      </w:r>
      <w:r>
        <w:rPr>
          <w:sz w:val="18"/>
        </w:rPr>
        <w:t>Health</w:t>
      </w:r>
      <w:r>
        <w:rPr>
          <w:spacing w:val="-3"/>
          <w:sz w:val="18"/>
        </w:rPr>
        <w:t xml:space="preserve"> </w:t>
      </w:r>
      <w:r>
        <w:rPr>
          <w:sz w:val="18"/>
        </w:rPr>
        <w:t>during</w:t>
      </w:r>
      <w:r>
        <w:rPr>
          <w:spacing w:val="-3"/>
          <w:sz w:val="18"/>
        </w:rPr>
        <w:t xml:space="preserve"> </w:t>
      </w:r>
      <w:r>
        <w:rPr>
          <w:sz w:val="18"/>
        </w:rPr>
        <w:t>COVID-19:</w:t>
      </w:r>
      <w:r>
        <w:rPr>
          <w:spacing w:val="-2"/>
          <w:sz w:val="18"/>
        </w:rPr>
        <w:t xml:space="preserve"> </w:t>
      </w:r>
      <w:r>
        <w:rPr>
          <w:sz w:val="18"/>
        </w:rPr>
        <w:t>Unmet</w:t>
      </w:r>
      <w:r>
        <w:rPr>
          <w:spacing w:val="-3"/>
          <w:sz w:val="18"/>
        </w:rPr>
        <w:t xml:space="preserve"> </w:t>
      </w:r>
      <w:r>
        <w:rPr>
          <w:sz w:val="18"/>
        </w:rPr>
        <w:t>Needs</w:t>
      </w:r>
      <w:r>
        <w:rPr>
          <w:spacing w:val="-3"/>
          <w:sz w:val="18"/>
        </w:rPr>
        <w:t xml:space="preserve"> </w:t>
      </w:r>
      <w:r>
        <w:rPr>
          <w:sz w:val="18"/>
        </w:rPr>
        <w:t>in</w:t>
      </w:r>
      <w:r>
        <w:rPr>
          <w:spacing w:val="-3"/>
          <w:sz w:val="18"/>
        </w:rPr>
        <w:t xml:space="preserve"> </w:t>
      </w:r>
      <w:r>
        <w:rPr>
          <w:sz w:val="18"/>
        </w:rPr>
        <w:t>Public</w:t>
      </w:r>
      <w:r>
        <w:rPr>
          <w:spacing w:val="-2"/>
          <w:sz w:val="18"/>
        </w:rPr>
        <w:t xml:space="preserve"> </w:t>
      </w:r>
      <w:r>
        <w:rPr>
          <w:sz w:val="18"/>
        </w:rPr>
        <w:t>health and Policy,” The Lancet 399 (2022): 501-503. https://doi.org/10.1016/S0140-6736(21)02872-5.</w:t>
      </w:r>
    </w:p>
    <w:p w:rsidR="00200FDA" w:rsidRDefault="00F76C4C">
      <w:pPr>
        <w:ind w:left="140" w:right="218"/>
        <w:rPr>
          <w:sz w:val="18"/>
        </w:rPr>
      </w:pPr>
      <w:bookmarkStart w:id="572" w:name="_bookmark443"/>
      <w:bookmarkEnd w:id="572"/>
      <w:r>
        <w:rPr>
          <w:position w:val="5"/>
          <w:sz w:val="12"/>
        </w:rPr>
        <w:t>92</w:t>
      </w:r>
      <w:r>
        <w:rPr>
          <w:spacing w:val="7"/>
          <w:position w:val="5"/>
          <w:sz w:val="12"/>
        </w:rPr>
        <w:t xml:space="preserve"> </w:t>
      </w:r>
      <w:r>
        <w:rPr>
          <w:sz w:val="18"/>
        </w:rPr>
        <w:t>“LGBTQ</w:t>
      </w:r>
      <w:r>
        <w:rPr>
          <w:spacing w:val="-6"/>
          <w:sz w:val="18"/>
        </w:rPr>
        <w:t xml:space="preserve"> </w:t>
      </w:r>
      <w:r>
        <w:rPr>
          <w:sz w:val="18"/>
        </w:rPr>
        <w:t>Health</w:t>
      </w:r>
      <w:r>
        <w:rPr>
          <w:spacing w:val="-6"/>
          <w:sz w:val="18"/>
        </w:rPr>
        <w:t xml:space="preserve"> </w:t>
      </w:r>
      <w:r>
        <w:rPr>
          <w:sz w:val="18"/>
        </w:rPr>
        <w:t>Disparities,”</w:t>
      </w:r>
      <w:r>
        <w:rPr>
          <w:spacing w:val="-6"/>
          <w:sz w:val="18"/>
        </w:rPr>
        <w:t xml:space="preserve"> </w:t>
      </w:r>
      <w:r>
        <w:rPr>
          <w:sz w:val="18"/>
        </w:rPr>
        <w:t>Cigna,</w:t>
      </w:r>
      <w:r>
        <w:rPr>
          <w:spacing w:val="-5"/>
          <w:sz w:val="18"/>
        </w:rPr>
        <w:t xml:space="preserve"> </w:t>
      </w:r>
      <w:r>
        <w:rPr>
          <w:sz w:val="18"/>
        </w:rPr>
        <w:t>February</w:t>
      </w:r>
      <w:r>
        <w:rPr>
          <w:spacing w:val="-5"/>
          <w:sz w:val="18"/>
        </w:rPr>
        <w:t xml:space="preserve"> </w:t>
      </w:r>
      <w:r>
        <w:rPr>
          <w:sz w:val="18"/>
        </w:rPr>
        <w:t>2017,</w:t>
      </w:r>
      <w:r>
        <w:rPr>
          <w:spacing w:val="-5"/>
          <w:sz w:val="18"/>
        </w:rPr>
        <w:t xml:space="preserve"> </w:t>
      </w:r>
      <w:r>
        <w:rPr>
          <w:sz w:val="18"/>
        </w:rPr>
        <w:t>https://</w:t>
      </w:r>
      <w:hyperlink r:id="rId398">
        <w:r>
          <w:rPr>
            <w:color w:val="0000FF"/>
            <w:sz w:val="18"/>
            <w:u w:val="single" w:color="0000FF"/>
          </w:rPr>
          <w:t>www.cigna.com/individuals-f</w:t>
        </w:r>
        <w:r>
          <w:rPr>
            <w:color w:val="0000FF"/>
            <w:sz w:val="18"/>
            <w:u w:val="single" w:color="0000FF"/>
          </w:rPr>
          <w:t>amilies/health-</w:t>
        </w:r>
      </w:hyperlink>
      <w:r>
        <w:rPr>
          <w:color w:val="0000FF"/>
          <w:spacing w:val="-5"/>
          <w:sz w:val="18"/>
        </w:rPr>
        <w:t xml:space="preserve"> </w:t>
      </w:r>
      <w:r>
        <w:rPr>
          <w:sz w:val="18"/>
        </w:rPr>
        <w:t xml:space="preserve">wellness/lgbt- </w:t>
      </w:r>
      <w:r>
        <w:rPr>
          <w:spacing w:val="-2"/>
          <w:sz w:val="18"/>
        </w:rPr>
        <w:t>disparities.</w:t>
      </w:r>
    </w:p>
    <w:p w:rsidR="00200FDA" w:rsidRDefault="00200FDA">
      <w:pPr>
        <w:rPr>
          <w:sz w:val="18"/>
        </w:rPr>
        <w:sectPr w:rsidR="00200FDA">
          <w:pgSz w:w="12240" w:h="15840"/>
          <w:pgMar w:top="1360" w:right="1300" w:bottom="1320" w:left="1300" w:header="761" w:footer="1132" w:gutter="0"/>
          <w:cols w:space="720"/>
        </w:sectPr>
      </w:pPr>
    </w:p>
    <w:p w:rsidR="00200FDA" w:rsidRDefault="00200FDA">
      <w:pPr>
        <w:pStyle w:val="BodyText"/>
        <w:spacing w:before="10"/>
        <w:rPr>
          <w:sz w:val="19"/>
        </w:rPr>
      </w:pPr>
    </w:p>
    <w:p w:rsidR="00200FDA" w:rsidRDefault="00F76C4C">
      <w:pPr>
        <w:spacing w:before="69"/>
        <w:ind w:left="139" w:right="1559"/>
        <w:rPr>
          <w:i/>
          <w:sz w:val="18"/>
        </w:rPr>
      </w:pPr>
      <w:bookmarkStart w:id="573" w:name="_bookmark444"/>
      <w:bookmarkEnd w:id="573"/>
      <w:r>
        <w:rPr>
          <w:position w:val="5"/>
          <w:sz w:val="12"/>
        </w:rPr>
        <w:t>93</w:t>
      </w:r>
      <w:r>
        <w:rPr>
          <w:spacing w:val="21"/>
          <w:position w:val="5"/>
          <w:sz w:val="12"/>
        </w:rPr>
        <w:t xml:space="preserve"> </w:t>
      </w:r>
      <w:r>
        <w:rPr>
          <w:sz w:val="18"/>
        </w:rPr>
        <w:t xml:space="preserve">“People with Certain Medical Conditions,” Center for Disease Control and Prevention, April 29, 2021, </w:t>
      </w:r>
      <w:r>
        <w:rPr>
          <w:spacing w:val="-2"/>
          <w:sz w:val="18"/>
        </w:rPr>
        <w:t>https://</w:t>
      </w:r>
      <w:hyperlink r:id="rId399">
        <w:r>
          <w:rPr>
            <w:color w:val="0000FF"/>
            <w:spacing w:val="-2"/>
            <w:sz w:val="18"/>
            <w:u w:val="single" w:color="0000FF"/>
          </w:rPr>
          <w:t>www.cdc.gov/coronavirus/2019-ncov/need-extra-precautions/people-with-medical-conditions.html.</w:t>
        </w:r>
      </w:hyperlink>
      <w:r>
        <w:rPr>
          <w:color w:val="0000FF"/>
          <w:spacing w:val="80"/>
          <w:w w:val="150"/>
          <w:sz w:val="18"/>
        </w:rPr>
        <w:t xml:space="preserve"> </w:t>
      </w:r>
      <w:bookmarkStart w:id="574" w:name="_bookmark445"/>
      <w:bookmarkEnd w:id="574"/>
      <w:r>
        <w:rPr>
          <w:position w:val="5"/>
          <w:sz w:val="12"/>
        </w:rPr>
        <w:t>94</w:t>
      </w:r>
      <w:r>
        <w:rPr>
          <w:spacing w:val="18"/>
          <w:position w:val="5"/>
          <w:sz w:val="12"/>
        </w:rPr>
        <w:t xml:space="preserve"> </w:t>
      </w:r>
      <w:r>
        <w:rPr>
          <w:sz w:val="18"/>
        </w:rPr>
        <w:t xml:space="preserve">M.V. Lee Badgett, Soon Kyu Choi, and Bianca D.M. Wilson, </w:t>
      </w:r>
      <w:r>
        <w:rPr>
          <w:i/>
          <w:sz w:val="18"/>
        </w:rPr>
        <w:t>LGBT Poverty in the United States: A Study of</w:t>
      </w:r>
    </w:p>
    <w:p w:rsidR="00200FDA" w:rsidRDefault="00F76C4C">
      <w:pPr>
        <w:spacing w:before="1"/>
        <w:ind w:left="140" w:right="139"/>
        <w:rPr>
          <w:sz w:val="18"/>
        </w:rPr>
      </w:pPr>
      <w:r>
        <w:rPr>
          <w:i/>
          <w:sz w:val="18"/>
        </w:rPr>
        <w:t>Differences</w:t>
      </w:r>
      <w:r>
        <w:rPr>
          <w:i/>
          <w:spacing w:val="-3"/>
          <w:sz w:val="18"/>
        </w:rPr>
        <w:t xml:space="preserve"> </w:t>
      </w:r>
      <w:r>
        <w:rPr>
          <w:i/>
          <w:sz w:val="18"/>
        </w:rPr>
        <w:t>between</w:t>
      </w:r>
      <w:r>
        <w:rPr>
          <w:i/>
          <w:spacing w:val="-4"/>
          <w:sz w:val="18"/>
        </w:rPr>
        <w:t xml:space="preserve"> </w:t>
      </w:r>
      <w:r>
        <w:rPr>
          <w:i/>
          <w:sz w:val="18"/>
        </w:rPr>
        <w:t>Sexual</w:t>
      </w:r>
      <w:r>
        <w:rPr>
          <w:i/>
          <w:spacing w:val="-3"/>
          <w:sz w:val="18"/>
        </w:rPr>
        <w:t xml:space="preserve"> </w:t>
      </w:r>
      <w:r>
        <w:rPr>
          <w:i/>
          <w:sz w:val="18"/>
        </w:rPr>
        <w:t>Orientation</w:t>
      </w:r>
      <w:r>
        <w:rPr>
          <w:i/>
          <w:spacing w:val="-1"/>
          <w:sz w:val="18"/>
        </w:rPr>
        <w:t xml:space="preserve"> </w:t>
      </w:r>
      <w:r>
        <w:rPr>
          <w:i/>
          <w:sz w:val="18"/>
        </w:rPr>
        <w:t>and</w:t>
      </w:r>
      <w:r>
        <w:rPr>
          <w:i/>
          <w:spacing w:val="-1"/>
          <w:sz w:val="18"/>
        </w:rPr>
        <w:t xml:space="preserve"> </w:t>
      </w:r>
      <w:r>
        <w:rPr>
          <w:i/>
          <w:sz w:val="18"/>
        </w:rPr>
        <w:t>Gender</w:t>
      </w:r>
      <w:r>
        <w:rPr>
          <w:i/>
          <w:spacing w:val="-2"/>
          <w:sz w:val="18"/>
        </w:rPr>
        <w:t xml:space="preserve"> </w:t>
      </w:r>
      <w:r>
        <w:rPr>
          <w:i/>
          <w:sz w:val="18"/>
        </w:rPr>
        <w:t>Identify</w:t>
      </w:r>
      <w:r>
        <w:rPr>
          <w:i/>
          <w:spacing w:val="-1"/>
          <w:sz w:val="18"/>
        </w:rPr>
        <w:t xml:space="preserve"> </w:t>
      </w:r>
      <w:r>
        <w:rPr>
          <w:i/>
          <w:sz w:val="18"/>
        </w:rPr>
        <w:t>Groups</w:t>
      </w:r>
      <w:r>
        <w:rPr>
          <w:i/>
          <w:spacing w:val="-3"/>
          <w:sz w:val="18"/>
        </w:rPr>
        <w:t xml:space="preserve"> </w:t>
      </w:r>
      <w:r>
        <w:rPr>
          <w:sz w:val="18"/>
        </w:rPr>
        <w:t>(Los</w:t>
      </w:r>
      <w:r>
        <w:rPr>
          <w:spacing w:val="-3"/>
          <w:sz w:val="18"/>
        </w:rPr>
        <w:t xml:space="preserve"> </w:t>
      </w:r>
      <w:r>
        <w:rPr>
          <w:sz w:val="18"/>
        </w:rPr>
        <w:t>Angeles:</w:t>
      </w:r>
      <w:r>
        <w:rPr>
          <w:spacing w:val="-3"/>
          <w:sz w:val="18"/>
        </w:rPr>
        <w:t xml:space="preserve"> </w:t>
      </w:r>
      <w:r>
        <w:rPr>
          <w:sz w:val="18"/>
        </w:rPr>
        <w:t>Williams</w:t>
      </w:r>
      <w:r>
        <w:rPr>
          <w:spacing w:val="-3"/>
          <w:sz w:val="18"/>
        </w:rPr>
        <w:t xml:space="preserve"> </w:t>
      </w:r>
      <w:r>
        <w:rPr>
          <w:sz w:val="18"/>
        </w:rPr>
        <w:t>Institute</w:t>
      </w:r>
      <w:r>
        <w:rPr>
          <w:spacing w:val="-1"/>
          <w:sz w:val="18"/>
        </w:rPr>
        <w:t xml:space="preserve"> </w:t>
      </w:r>
      <w:r>
        <w:rPr>
          <w:sz w:val="18"/>
        </w:rPr>
        <w:t>at</w:t>
      </w:r>
      <w:r>
        <w:rPr>
          <w:spacing w:val="-3"/>
          <w:sz w:val="18"/>
        </w:rPr>
        <w:t xml:space="preserve"> </w:t>
      </w:r>
      <w:r>
        <w:rPr>
          <w:sz w:val="18"/>
        </w:rPr>
        <w:t>UCLA</w:t>
      </w:r>
      <w:r>
        <w:rPr>
          <w:spacing w:val="-3"/>
          <w:sz w:val="18"/>
        </w:rPr>
        <w:t xml:space="preserve"> </w:t>
      </w:r>
      <w:r>
        <w:rPr>
          <w:sz w:val="18"/>
        </w:rPr>
        <w:t>School</w:t>
      </w:r>
      <w:r>
        <w:rPr>
          <w:spacing w:val="-3"/>
          <w:sz w:val="18"/>
        </w:rPr>
        <w:t xml:space="preserve"> </w:t>
      </w:r>
      <w:r>
        <w:rPr>
          <w:sz w:val="18"/>
        </w:rPr>
        <w:t>of</w:t>
      </w:r>
      <w:r>
        <w:rPr>
          <w:spacing w:val="-2"/>
          <w:sz w:val="18"/>
        </w:rPr>
        <w:t xml:space="preserve"> </w:t>
      </w:r>
      <w:r>
        <w:rPr>
          <w:sz w:val="18"/>
        </w:rPr>
        <w:t xml:space="preserve">Law, 2019), </w:t>
      </w:r>
      <w:hyperlink r:id="rId400">
        <w:r>
          <w:rPr>
            <w:color w:val="0000FF"/>
            <w:sz w:val="18"/>
            <w:u w:val="single" w:color="0000FF"/>
          </w:rPr>
          <w:t>https://williamsinstitute.law.ucla.</w:t>
        </w:r>
        <w:r>
          <w:rPr>
            <w:color w:val="0000FF"/>
            <w:sz w:val="18"/>
            <w:u w:val="single" w:color="0000FF"/>
          </w:rPr>
          <w:t>edu/wp-content/uploads/National-LGBT-Poverty-Oct-2019.pdf</w:t>
        </w:r>
        <w:r>
          <w:rPr>
            <w:sz w:val="18"/>
          </w:rPr>
          <w:t>.</w:t>
        </w:r>
      </w:hyperlink>
    </w:p>
    <w:p w:rsidR="00200FDA" w:rsidRDefault="00200FDA">
      <w:pPr>
        <w:rPr>
          <w:sz w:val="18"/>
        </w:rPr>
        <w:sectPr w:rsidR="00200FDA">
          <w:pgSz w:w="12240" w:h="15840"/>
          <w:pgMar w:top="1360" w:right="1300" w:bottom="1380" w:left="1300" w:header="761" w:footer="1132" w:gutter="0"/>
          <w:cols w:space="720"/>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spacing w:before="2"/>
        <w:rPr>
          <w:sz w:val="19"/>
        </w:rPr>
      </w:pPr>
    </w:p>
    <w:p w:rsidR="00200FDA" w:rsidRDefault="00F76C4C">
      <w:pPr>
        <w:spacing w:before="107"/>
        <w:ind w:left="474"/>
        <w:rPr>
          <w:sz w:val="34"/>
        </w:rPr>
      </w:pPr>
      <w:bookmarkStart w:id="575" w:name="Pediatric_Health.pdf"/>
      <w:bookmarkEnd w:id="575"/>
      <w:r>
        <w:rPr>
          <w:color w:val="FFFFFF"/>
          <w:w w:val="120"/>
          <w:sz w:val="34"/>
        </w:rPr>
        <w:t>COMMISSION</w:t>
      </w:r>
      <w:r>
        <w:rPr>
          <w:color w:val="FFFFFF"/>
          <w:spacing w:val="17"/>
          <w:w w:val="120"/>
          <w:sz w:val="34"/>
        </w:rPr>
        <w:t xml:space="preserve"> </w:t>
      </w:r>
      <w:r>
        <w:rPr>
          <w:color w:val="FFFFFF"/>
          <w:w w:val="120"/>
          <w:sz w:val="34"/>
        </w:rPr>
        <w:t>ON</w:t>
      </w:r>
      <w:r>
        <w:rPr>
          <w:color w:val="FFFFFF"/>
          <w:spacing w:val="17"/>
          <w:w w:val="120"/>
          <w:sz w:val="34"/>
        </w:rPr>
        <w:t xml:space="preserve"> </w:t>
      </w:r>
      <w:r>
        <w:rPr>
          <w:color w:val="FFFFFF"/>
          <w:w w:val="120"/>
          <w:sz w:val="34"/>
        </w:rPr>
        <w:t>LGBTQ</w:t>
      </w:r>
      <w:r>
        <w:rPr>
          <w:color w:val="FFFFFF"/>
          <w:spacing w:val="17"/>
          <w:w w:val="120"/>
          <w:sz w:val="34"/>
        </w:rPr>
        <w:t xml:space="preserve"> </w:t>
      </w:r>
      <w:r>
        <w:rPr>
          <w:color w:val="FFFFFF"/>
          <w:spacing w:val="-2"/>
          <w:w w:val="120"/>
          <w:sz w:val="34"/>
        </w:rPr>
        <w:t>YOUTH</w:t>
      </w:r>
    </w:p>
    <w:p w:rsidR="00200FDA" w:rsidRDefault="00F76C4C">
      <w:pPr>
        <w:pStyle w:val="Heading1"/>
        <w:spacing w:line="216" w:lineRule="auto"/>
        <w:ind w:right="2418"/>
      </w:pPr>
      <w:r>
        <w:rPr>
          <w:color w:val="FFFFFF"/>
          <w:spacing w:val="-2"/>
          <w:w w:val="125"/>
        </w:rPr>
        <w:t>PEDIATRIC HEALTH</w:t>
      </w: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spacing w:before="11"/>
        <w:rPr>
          <w:b/>
          <w:sz w:val="21"/>
        </w:rPr>
      </w:pPr>
    </w:p>
    <w:p w:rsidR="00200FDA" w:rsidRDefault="00200FDA">
      <w:pPr>
        <w:rPr>
          <w:sz w:val="21"/>
        </w:rPr>
        <w:sectPr w:rsidR="00200FDA">
          <w:headerReference w:type="default" r:id="rId401"/>
          <w:footerReference w:type="default" r:id="rId402"/>
          <w:pgSz w:w="12240" w:h="15840"/>
          <w:pgMar w:top="0" w:right="340" w:bottom="280" w:left="1120" w:header="0" w:footer="0" w:gutter="0"/>
          <w:cols w:space="720"/>
        </w:sectPr>
      </w:pPr>
    </w:p>
    <w:p w:rsidR="00200FDA" w:rsidRDefault="00F76C4C">
      <w:pPr>
        <w:pStyle w:val="Heading6"/>
        <w:ind w:left="123"/>
      </w:pPr>
      <w:r>
        <w:rPr>
          <w:spacing w:val="11"/>
          <w:w w:val="125"/>
        </w:rPr>
        <w:t>ABOUT</w:t>
      </w:r>
    </w:p>
    <w:p w:rsidR="00200FDA" w:rsidRDefault="00F76C4C">
      <w:pPr>
        <w:spacing w:before="40" w:line="271" w:lineRule="auto"/>
        <w:ind w:left="131" w:right="38"/>
        <w:jc w:val="both"/>
        <w:rPr>
          <w:rFonts w:ascii="Georgia"/>
          <w:sz w:val="20"/>
        </w:rPr>
      </w:pPr>
      <w:r>
        <w:rPr>
          <w:rFonts w:ascii="Georgia"/>
          <w:sz w:val="20"/>
        </w:rPr>
        <w:t>The history of LGBTQ pediatric health is plagued by stigma, harm, and discrimination. Across the Commonwealth, LGBTQ youth continue to face numerous challenges in accessing quality, culturally competent healthcare, including a lack of affordable</w:t>
      </w:r>
      <w:r>
        <w:rPr>
          <w:rFonts w:ascii="Georgia"/>
          <w:spacing w:val="40"/>
          <w:sz w:val="20"/>
        </w:rPr>
        <w:t xml:space="preserve"> </w:t>
      </w:r>
      <w:r>
        <w:rPr>
          <w:rFonts w:ascii="Georgia"/>
          <w:sz w:val="20"/>
        </w:rPr>
        <w:t>and inclus</w:t>
      </w:r>
      <w:r>
        <w:rPr>
          <w:rFonts w:ascii="Georgia"/>
          <w:sz w:val="20"/>
        </w:rPr>
        <w:t>ive services.</w:t>
      </w:r>
    </w:p>
    <w:p w:rsidR="00200FDA" w:rsidRDefault="00200FDA">
      <w:pPr>
        <w:pStyle w:val="BodyText"/>
        <w:spacing w:before="6"/>
        <w:rPr>
          <w:rFonts w:ascii="Georgia"/>
        </w:rPr>
      </w:pPr>
    </w:p>
    <w:p w:rsidR="00200FDA" w:rsidRDefault="00F76C4C">
      <w:pPr>
        <w:spacing w:before="1" w:line="271" w:lineRule="auto"/>
        <w:ind w:left="131" w:right="39"/>
        <w:jc w:val="both"/>
        <w:rPr>
          <w:rFonts w:ascii="Georgia"/>
          <w:sz w:val="20"/>
        </w:rPr>
      </w:pPr>
      <w:r>
        <w:pict>
          <v:group id="docshapegroup308" o:spid="_x0000_s1271" style="position:absolute;left:0;text-align:left;margin-left:51.6pt;margin-top:116.45pt;width:279.9pt;height:244.75pt;z-index:15775744;mso-position-horizontal-relative:page" coordorigin="1032,2329" coordsize="5598,4895">
            <v:shape id="docshape309" o:spid="_x0000_s1274" type="#_x0000_t75" style="position:absolute;left:1031;top:2328;width:5598;height:4895">
              <v:imagedata r:id="rId403" o:title=""/>
            </v:shape>
            <v:shape id="docshape310" o:spid="_x0000_s1273" type="#_x0000_t202" style="position:absolute;left:1243;top:2484;width:4891;height:2574" filled="f" stroked="f">
              <v:textbox inset="0,0,0,0">
                <w:txbxContent>
                  <w:p w:rsidR="00200FDA" w:rsidRDefault="00F76C4C">
                    <w:pPr>
                      <w:spacing w:before="6"/>
                      <w:rPr>
                        <w:b/>
                        <w:i/>
                        <w:sz w:val="34"/>
                      </w:rPr>
                    </w:pPr>
                    <w:r>
                      <w:rPr>
                        <w:b/>
                        <w:i/>
                        <w:spacing w:val="13"/>
                        <w:w w:val="125"/>
                        <w:sz w:val="34"/>
                      </w:rPr>
                      <w:t>RECOMMENDATIONS</w:t>
                    </w:r>
                  </w:p>
                  <w:p w:rsidR="00200FDA" w:rsidRDefault="00F76C4C">
                    <w:pPr>
                      <w:spacing w:before="128" w:line="276" w:lineRule="auto"/>
                      <w:ind w:left="703" w:right="21"/>
                      <w:jc w:val="both"/>
                      <w:rPr>
                        <w:rFonts w:ascii="Georgia"/>
                        <w:sz w:val="18"/>
                      </w:rPr>
                    </w:pPr>
                    <w:r>
                      <w:rPr>
                        <w:rFonts w:ascii="Georgia"/>
                        <w:w w:val="105"/>
                        <w:sz w:val="18"/>
                      </w:rPr>
                      <w:t>Invest in access to culturally competent LGBTQ healthcare</w:t>
                    </w:r>
                    <w:r>
                      <w:rPr>
                        <w:rFonts w:ascii="Georgia"/>
                        <w:spacing w:val="-12"/>
                        <w:w w:val="105"/>
                        <w:sz w:val="18"/>
                      </w:rPr>
                      <w:t xml:space="preserve"> </w:t>
                    </w:r>
                    <w:r>
                      <w:rPr>
                        <w:rFonts w:ascii="Georgia"/>
                        <w:w w:val="105"/>
                        <w:sz w:val="18"/>
                      </w:rPr>
                      <w:t>in</w:t>
                    </w:r>
                    <w:r>
                      <w:rPr>
                        <w:rFonts w:ascii="Georgia"/>
                        <w:spacing w:val="-11"/>
                        <w:w w:val="105"/>
                        <w:sz w:val="18"/>
                      </w:rPr>
                      <w:t xml:space="preserve"> </w:t>
                    </w:r>
                    <w:r>
                      <w:rPr>
                        <w:rFonts w:ascii="Georgia"/>
                        <w:w w:val="105"/>
                        <w:sz w:val="18"/>
                      </w:rPr>
                      <w:t>rural</w:t>
                    </w:r>
                    <w:r>
                      <w:rPr>
                        <w:rFonts w:ascii="Georgia"/>
                        <w:spacing w:val="-11"/>
                        <w:w w:val="105"/>
                        <w:sz w:val="18"/>
                      </w:rPr>
                      <w:t xml:space="preserve"> </w:t>
                    </w:r>
                    <w:r>
                      <w:rPr>
                        <w:rFonts w:ascii="Georgia"/>
                        <w:w w:val="105"/>
                        <w:sz w:val="18"/>
                      </w:rPr>
                      <w:t>and</w:t>
                    </w:r>
                    <w:r>
                      <w:rPr>
                        <w:rFonts w:ascii="Georgia"/>
                        <w:spacing w:val="-12"/>
                        <w:w w:val="105"/>
                        <w:sz w:val="18"/>
                      </w:rPr>
                      <w:t xml:space="preserve"> </w:t>
                    </w:r>
                    <w:r>
                      <w:rPr>
                        <w:rFonts w:ascii="Georgia"/>
                        <w:w w:val="105"/>
                        <w:sz w:val="18"/>
                      </w:rPr>
                      <w:t>underserved</w:t>
                    </w:r>
                    <w:r>
                      <w:rPr>
                        <w:rFonts w:ascii="Georgia"/>
                        <w:spacing w:val="-11"/>
                        <w:w w:val="105"/>
                        <w:sz w:val="18"/>
                      </w:rPr>
                      <w:t xml:space="preserve"> </w:t>
                    </w:r>
                    <w:r>
                      <w:rPr>
                        <w:rFonts w:ascii="Georgia"/>
                        <w:w w:val="105"/>
                        <w:sz w:val="18"/>
                      </w:rPr>
                      <w:t>communities.</w:t>
                    </w:r>
                  </w:p>
                  <w:p w:rsidR="00200FDA" w:rsidRDefault="00200FDA">
                    <w:pPr>
                      <w:spacing w:before="10"/>
                      <w:rPr>
                        <w:rFonts w:ascii="Georgia"/>
                        <w:sz w:val="18"/>
                      </w:rPr>
                    </w:pPr>
                  </w:p>
                  <w:p w:rsidR="00200FDA" w:rsidRDefault="00F76C4C">
                    <w:pPr>
                      <w:spacing w:line="276" w:lineRule="auto"/>
                      <w:ind w:left="703" w:right="18"/>
                      <w:jc w:val="both"/>
                      <w:rPr>
                        <w:rFonts w:ascii="Georgia"/>
                        <w:sz w:val="18"/>
                      </w:rPr>
                    </w:pPr>
                    <w:r>
                      <w:rPr>
                        <w:rFonts w:ascii="Georgia"/>
                        <w:w w:val="105"/>
                        <w:sz w:val="18"/>
                      </w:rPr>
                      <w:t>Improve</w:t>
                    </w:r>
                    <w:r>
                      <w:rPr>
                        <w:rFonts w:ascii="Georgia"/>
                        <w:spacing w:val="-5"/>
                        <w:w w:val="105"/>
                        <w:sz w:val="18"/>
                      </w:rPr>
                      <w:t xml:space="preserve"> </w:t>
                    </w:r>
                    <w:r>
                      <w:rPr>
                        <w:rFonts w:ascii="Georgia"/>
                        <w:w w:val="105"/>
                        <w:sz w:val="18"/>
                      </w:rPr>
                      <w:t>research</w:t>
                    </w:r>
                    <w:r>
                      <w:rPr>
                        <w:rFonts w:ascii="Georgia"/>
                        <w:spacing w:val="-5"/>
                        <w:w w:val="105"/>
                        <w:sz w:val="18"/>
                      </w:rPr>
                      <w:t xml:space="preserve"> </w:t>
                    </w:r>
                    <w:r>
                      <w:rPr>
                        <w:rFonts w:ascii="Georgia"/>
                        <w:w w:val="105"/>
                        <w:sz w:val="18"/>
                      </w:rPr>
                      <w:t>on</w:t>
                    </w:r>
                    <w:r>
                      <w:rPr>
                        <w:rFonts w:ascii="Georgia"/>
                        <w:spacing w:val="-5"/>
                        <w:w w:val="105"/>
                        <w:sz w:val="18"/>
                      </w:rPr>
                      <w:t xml:space="preserve"> </w:t>
                    </w:r>
                    <w:r>
                      <w:rPr>
                        <w:rFonts w:ascii="Georgia"/>
                        <w:w w:val="105"/>
                        <w:sz w:val="18"/>
                      </w:rPr>
                      <w:t>intersex</w:t>
                    </w:r>
                    <w:r>
                      <w:rPr>
                        <w:rFonts w:ascii="Georgia"/>
                        <w:spacing w:val="-5"/>
                        <w:w w:val="105"/>
                        <w:sz w:val="18"/>
                      </w:rPr>
                      <w:t xml:space="preserve"> </w:t>
                    </w:r>
                    <w:r>
                      <w:rPr>
                        <w:rFonts w:ascii="Georgia"/>
                        <w:w w:val="105"/>
                        <w:sz w:val="18"/>
                      </w:rPr>
                      <w:t>youth</w:t>
                    </w:r>
                    <w:r>
                      <w:rPr>
                        <w:rFonts w:ascii="Georgia"/>
                        <w:spacing w:val="-5"/>
                        <w:w w:val="105"/>
                        <w:sz w:val="18"/>
                      </w:rPr>
                      <w:t xml:space="preserve"> </w:t>
                    </w:r>
                    <w:r>
                      <w:rPr>
                        <w:rFonts w:ascii="Georgia"/>
                        <w:w w:val="105"/>
                        <w:sz w:val="18"/>
                      </w:rPr>
                      <w:t>communities, and</w:t>
                    </w:r>
                    <w:r>
                      <w:rPr>
                        <w:rFonts w:ascii="Georgia"/>
                        <w:spacing w:val="-12"/>
                        <w:w w:val="105"/>
                        <w:sz w:val="18"/>
                      </w:rPr>
                      <w:t xml:space="preserve"> </w:t>
                    </w:r>
                    <w:r>
                      <w:rPr>
                        <w:rFonts w:ascii="Georgia"/>
                        <w:w w:val="105"/>
                        <w:sz w:val="18"/>
                      </w:rPr>
                      <w:t>prohibit</w:t>
                    </w:r>
                    <w:r>
                      <w:rPr>
                        <w:rFonts w:ascii="Georgia"/>
                        <w:spacing w:val="-11"/>
                        <w:w w:val="105"/>
                        <w:sz w:val="18"/>
                      </w:rPr>
                      <w:t xml:space="preserve"> </w:t>
                    </w:r>
                    <w:r>
                      <w:rPr>
                        <w:rFonts w:ascii="Georgia"/>
                        <w:w w:val="105"/>
                        <w:sz w:val="18"/>
                      </w:rPr>
                      <w:t>non-consensual</w:t>
                    </w:r>
                    <w:r>
                      <w:rPr>
                        <w:rFonts w:ascii="Georgia"/>
                        <w:spacing w:val="-12"/>
                        <w:w w:val="105"/>
                        <w:sz w:val="18"/>
                      </w:rPr>
                      <w:t xml:space="preserve"> </w:t>
                    </w:r>
                    <w:r>
                      <w:rPr>
                        <w:rFonts w:ascii="Georgia"/>
                        <w:w w:val="105"/>
                        <w:sz w:val="18"/>
                      </w:rPr>
                      <w:t>unnecessary</w:t>
                    </w:r>
                    <w:r>
                      <w:rPr>
                        <w:rFonts w:ascii="Georgia"/>
                        <w:spacing w:val="-11"/>
                        <w:w w:val="105"/>
                        <w:sz w:val="18"/>
                      </w:rPr>
                      <w:t xml:space="preserve"> </w:t>
                    </w:r>
                    <w:r>
                      <w:rPr>
                        <w:rFonts w:ascii="Georgia"/>
                        <w:w w:val="105"/>
                        <w:sz w:val="18"/>
                      </w:rPr>
                      <w:t>medical interventions on minors.</w:t>
                    </w:r>
                  </w:p>
                  <w:p w:rsidR="00200FDA" w:rsidRDefault="00200FDA">
                    <w:pPr>
                      <w:spacing w:before="3"/>
                      <w:rPr>
                        <w:rFonts w:ascii="Georgia"/>
                        <w:sz w:val="16"/>
                      </w:rPr>
                    </w:pPr>
                  </w:p>
                  <w:p w:rsidR="00200FDA" w:rsidRDefault="00F76C4C">
                    <w:pPr>
                      <w:spacing w:before="1" w:line="276" w:lineRule="auto"/>
                      <w:ind w:left="703"/>
                      <w:rPr>
                        <w:rFonts w:ascii="Georgia"/>
                        <w:sz w:val="18"/>
                      </w:rPr>
                    </w:pPr>
                    <w:r>
                      <w:rPr>
                        <w:rFonts w:ascii="Georgia"/>
                        <w:w w:val="105"/>
                        <w:sz w:val="18"/>
                      </w:rPr>
                      <w:t>Expand</w:t>
                    </w:r>
                    <w:r>
                      <w:rPr>
                        <w:rFonts w:ascii="Georgia"/>
                        <w:spacing w:val="-12"/>
                        <w:w w:val="105"/>
                        <w:sz w:val="18"/>
                      </w:rPr>
                      <w:t xml:space="preserve"> </w:t>
                    </w:r>
                    <w:r>
                      <w:rPr>
                        <w:rFonts w:ascii="Georgia"/>
                        <w:w w:val="105"/>
                        <w:sz w:val="18"/>
                      </w:rPr>
                      <w:t>coverage</w:t>
                    </w:r>
                    <w:r>
                      <w:rPr>
                        <w:rFonts w:ascii="Georgia"/>
                        <w:spacing w:val="-11"/>
                        <w:w w:val="105"/>
                        <w:sz w:val="18"/>
                      </w:rPr>
                      <w:t xml:space="preserve"> </w:t>
                    </w:r>
                    <w:r>
                      <w:rPr>
                        <w:rFonts w:ascii="Georgia"/>
                        <w:w w:val="105"/>
                        <w:sz w:val="18"/>
                      </w:rPr>
                      <w:t>of</w:t>
                    </w:r>
                    <w:r>
                      <w:rPr>
                        <w:rFonts w:ascii="Georgia"/>
                        <w:spacing w:val="-12"/>
                        <w:w w:val="105"/>
                        <w:sz w:val="18"/>
                      </w:rPr>
                      <w:t xml:space="preserve"> </w:t>
                    </w:r>
                    <w:r>
                      <w:rPr>
                        <w:rFonts w:ascii="Georgia"/>
                        <w:w w:val="105"/>
                        <w:sz w:val="18"/>
                      </w:rPr>
                      <w:t>gender-affirming</w:t>
                    </w:r>
                    <w:r>
                      <w:rPr>
                        <w:rFonts w:ascii="Georgia"/>
                        <w:spacing w:val="-11"/>
                        <w:w w:val="105"/>
                        <w:sz w:val="18"/>
                      </w:rPr>
                      <w:t xml:space="preserve"> </w:t>
                    </w:r>
                    <w:r>
                      <w:rPr>
                        <w:rFonts w:ascii="Georgia"/>
                        <w:w w:val="105"/>
                        <w:sz w:val="18"/>
                      </w:rPr>
                      <w:t>care</w:t>
                    </w:r>
                    <w:r>
                      <w:rPr>
                        <w:rFonts w:ascii="Georgia"/>
                        <w:spacing w:val="-11"/>
                        <w:w w:val="105"/>
                        <w:sz w:val="18"/>
                      </w:rPr>
                      <w:t xml:space="preserve"> </w:t>
                    </w:r>
                    <w:r>
                      <w:rPr>
                        <w:rFonts w:ascii="Georgia"/>
                        <w:w w:val="105"/>
                        <w:sz w:val="18"/>
                      </w:rPr>
                      <w:t>and increase reimbursement to incentivize care.</w:t>
                    </w:r>
                  </w:p>
                </w:txbxContent>
              </v:textbox>
            </v:shape>
            <v:shape id="docshape311" o:spid="_x0000_s1272" type="#_x0000_t202" style="position:absolute;left:1233;top:5660;width:4936;height:967" filled="f" stroked="f">
              <v:textbox inset="0,0,0,0">
                <w:txbxContent>
                  <w:p w:rsidR="00200FDA" w:rsidRDefault="00F76C4C">
                    <w:pPr>
                      <w:spacing w:before="6"/>
                      <w:rPr>
                        <w:b/>
                        <w:i/>
                        <w:sz w:val="34"/>
                      </w:rPr>
                    </w:pPr>
                    <w:r>
                      <w:rPr>
                        <w:b/>
                        <w:i/>
                        <w:spacing w:val="13"/>
                        <w:w w:val="130"/>
                        <w:sz w:val="34"/>
                      </w:rPr>
                      <w:t>LEGISLATION</w:t>
                    </w:r>
                  </w:p>
                  <w:p w:rsidR="00200FDA" w:rsidRDefault="00F76C4C">
                    <w:pPr>
                      <w:spacing w:before="292"/>
                      <w:ind w:left="10"/>
                      <w:rPr>
                        <w:rFonts w:ascii="Georgia"/>
                      </w:rPr>
                    </w:pPr>
                    <w:r>
                      <w:rPr>
                        <w:rFonts w:ascii="Georgia"/>
                        <w:spacing w:val="-2"/>
                      </w:rPr>
                      <w:t>S.</w:t>
                    </w:r>
                    <w:r>
                      <w:rPr>
                        <w:rFonts w:ascii="Georgia"/>
                        <w:spacing w:val="-5"/>
                      </w:rPr>
                      <w:t xml:space="preserve"> </w:t>
                    </w:r>
                    <w:r>
                      <w:rPr>
                        <w:rFonts w:ascii="Georgia"/>
                        <w:spacing w:val="-2"/>
                      </w:rPr>
                      <w:t>596/H.1037:</w:t>
                    </w:r>
                    <w:r>
                      <w:rPr>
                        <w:rFonts w:ascii="Georgia"/>
                        <w:spacing w:val="-5"/>
                      </w:rPr>
                      <w:t xml:space="preserve"> </w:t>
                    </w:r>
                    <w:r>
                      <w:rPr>
                        <w:rFonts w:ascii="Georgia"/>
                        <w:spacing w:val="-2"/>
                      </w:rPr>
                      <w:t>Trans-Inclusive</w:t>
                    </w:r>
                    <w:r>
                      <w:rPr>
                        <w:rFonts w:ascii="Georgia"/>
                        <w:spacing w:val="-5"/>
                      </w:rPr>
                      <w:t xml:space="preserve"> </w:t>
                    </w:r>
                    <w:r>
                      <w:rPr>
                        <w:rFonts w:ascii="Georgia"/>
                        <w:spacing w:val="-2"/>
                      </w:rPr>
                      <w:t>Health</w:t>
                    </w:r>
                    <w:r>
                      <w:rPr>
                        <w:rFonts w:ascii="Georgia"/>
                        <w:spacing w:val="-5"/>
                      </w:rPr>
                      <w:t xml:space="preserve"> </w:t>
                    </w:r>
                    <w:r>
                      <w:rPr>
                        <w:rFonts w:ascii="Georgia"/>
                        <w:spacing w:val="-2"/>
                      </w:rPr>
                      <w:t>Care</w:t>
                    </w:r>
                    <w:r>
                      <w:rPr>
                        <w:rFonts w:ascii="Georgia"/>
                        <w:spacing w:val="-5"/>
                      </w:rPr>
                      <w:t xml:space="preserve"> </w:t>
                    </w:r>
                    <w:r>
                      <w:rPr>
                        <w:rFonts w:ascii="Georgia"/>
                        <w:spacing w:val="-2"/>
                      </w:rPr>
                      <w:t>Access</w:t>
                    </w:r>
                  </w:p>
                </w:txbxContent>
              </v:textbox>
            </v:shape>
            <w10:wrap anchorx="page"/>
          </v:group>
        </w:pict>
      </w:r>
      <w:r>
        <w:rPr>
          <w:rFonts w:ascii="Georgia"/>
          <w:sz w:val="20"/>
        </w:rPr>
        <w:t>It is imperative that the Commonwealth continue to address priority needs and work on centering inter</w:t>
      </w:r>
      <w:r>
        <w:rPr>
          <w:rFonts w:ascii="Georgia"/>
          <w:sz w:val="20"/>
        </w:rPr>
        <w:t>sectionality with an eye on the multiple forms of oppression often experienced by individuals in</w:t>
      </w:r>
      <w:r>
        <w:rPr>
          <w:rFonts w:ascii="Georgia"/>
          <w:spacing w:val="80"/>
          <w:sz w:val="20"/>
        </w:rPr>
        <w:t xml:space="preserve"> </w:t>
      </w:r>
      <w:r>
        <w:rPr>
          <w:rFonts w:ascii="Georgia"/>
          <w:sz w:val="20"/>
        </w:rPr>
        <w:t>uniquely adverse situations. Importantly, intersectionality recognizes the intertwined,</w:t>
      </w:r>
      <w:r>
        <w:rPr>
          <w:rFonts w:ascii="Georgia"/>
          <w:spacing w:val="80"/>
          <w:sz w:val="20"/>
        </w:rPr>
        <w:t xml:space="preserve"> </w:t>
      </w:r>
      <w:r>
        <w:rPr>
          <w:rFonts w:ascii="Georgia"/>
          <w:sz w:val="20"/>
        </w:rPr>
        <w:t xml:space="preserve">inequitable social systems that create disease and </w:t>
      </w:r>
      <w:r>
        <w:rPr>
          <w:rFonts w:ascii="Georgia"/>
          <w:spacing w:val="-2"/>
          <w:sz w:val="20"/>
        </w:rPr>
        <w:t>disparities.</w:t>
      </w:r>
    </w:p>
    <w:p w:rsidR="00200FDA" w:rsidRDefault="00F76C4C">
      <w:pPr>
        <w:spacing w:before="447"/>
        <w:ind w:left="1148"/>
        <w:rPr>
          <w:b/>
          <w:sz w:val="77"/>
        </w:rPr>
      </w:pPr>
      <w:r>
        <w:br w:type="column"/>
      </w:r>
      <w:r>
        <w:rPr>
          <w:b/>
          <w:emboss/>
          <w:color w:val="F46E16"/>
          <w:spacing w:val="20"/>
          <w:w w:val="115"/>
          <w:sz w:val="77"/>
        </w:rPr>
        <w:t>33%</w:t>
      </w:r>
    </w:p>
    <w:p w:rsidR="00200FDA" w:rsidRDefault="00F76C4C">
      <w:pPr>
        <w:pStyle w:val="BodyText"/>
        <w:spacing w:before="21" w:line="266" w:lineRule="auto"/>
        <w:ind w:left="123" w:right="1063"/>
        <w:jc w:val="center"/>
        <w:rPr>
          <w:rFonts w:ascii="Georgia"/>
        </w:rPr>
      </w:pPr>
      <w:r>
        <w:rPr>
          <w:rFonts w:ascii="Georgia"/>
          <w:w w:val="105"/>
        </w:rPr>
        <w:t>of</w:t>
      </w:r>
      <w:r>
        <w:rPr>
          <w:rFonts w:ascii="Georgia"/>
          <w:w w:val="105"/>
        </w:rPr>
        <w:t xml:space="preserve"> insurance plans flag or deny </w:t>
      </w:r>
      <w:r>
        <w:rPr>
          <w:rFonts w:ascii="Georgia"/>
          <w:spacing w:val="-2"/>
          <w:w w:val="105"/>
        </w:rPr>
        <w:t>converage</w:t>
      </w:r>
      <w:r>
        <w:rPr>
          <w:rFonts w:ascii="Georgia"/>
          <w:spacing w:val="-12"/>
          <w:w w:val="105"/>
        </w:rPr>
        <w:t xml:space="preserve"> </w:t>
      </w:r>
      <w:r>
        <w:rPr>
          <w:rFonts w:ascii="Georgia"/>
          <w:spacing w:val="-2"/>
          <w:w w:val="105"/>
        </w:rPr>
        <w:t>based</w:t>
      </w:r>
      <w:r>
        <w:rPr>
          <w:rFonts w:ascii="Georgia"/>
          <w:spacing w:val="-12"/>
          <w:w w:val="105"/>
        </w:rPr>
        <w:t xml:space="preserve"> </w:t>
      </w:r>
      <w:r>
        <w:rPr>
          <w:rFonts w:ascii="Georgia"/>
          <w:spacing w:val="-2"/>
          <w:w w:val="105"/>
        </w:rPr>
        <w:t>on</w:t>
      </w:r>
      <w:r>
        <w:rPr>
          <w:rFonts w:ascii="Georgia"/>
          <w:spacing w:val="-12"/>
          <w:w w:val="105"/>
        </w:rPr>
        <w:t xml:space="preserve"> </w:t>
      </w:r>
      <w:r>
        <w:rPr>
          <w:rFonts w:ascii="Georgia"/>
          <w:spacing w:val="-2"/>
          <w:w w:val="105"/>
        </w:rPr>
        <w:t>gender</w:t>
      </w:r>
      <w:r>
        <w:rPr>
          <w:rFonts w:ascii="Georgia"/>
          <w:spacing w:val="-12"/>
          <w:w w:val="105"/>
        </w:rPr>
        <w:t xml:space="preserve"> </w:t>
      </w:r>
      <w:r>
        <w:rPr>
          <w:rFonts w:ascii="Georgia"/>
          <w:spacing w:val="-2"/>
          <w:w w:val="105"/>
        </w:rPr>
        <w:t>markers</w:t>
      </w:r>
    </w:p>
    <w:p w:rsidR="00200FDA" w:rsidRDefault="00200FDA">
      <w:pPr>
        <w:pStyle w:val="BodyText"/>
        <w:rPr>
          <w:rFonts w:ascii="Georgia"/>
          <w:sz w:val="24"/>
        </w:rPr>
      </w:pPr>
    </w:p>
    <w:p w:rsidR="00200FDA" w:rsidRDefault="00200FDA">
      <w:pPr>
        <w:pStyle w:val="BodyText"/>
        <w:spacing w:before="7"/>
        <w:rPr>
          <w:rFonts w:ascii="Georgia"/>
          <w:sz w:val="24"/>
        </w:rPr>
      </w:pPr>
    </w:p>
    <w:p w:rsidR="00200FDA" w:rsidRDefault="00F76C4C">
      <w:pPr>
        <w:pStyle w:val="Heading3"/>
        <w:ind w:left="1177"/>
      </w:pPr>
      <w:r>
        <w:rPr>
          <w:emboss/>
          <w:color w:val="F46E16"/>
          <w:spacing w:val="19"/>
          <w:w w:val="120"/>
        </w:rPr>
        <w:t>70%</w:t>
      </w:r>
    </w:p>
    <w:p w:rsidR="00200FDA" w:rsidRDefault="00F76C4C">
      <w:pPr>
        <w:pStyle w:val="BodyText"/>
        <w:spacing w:before="25" w:line="266" w:lineRule="auto"/>
        <w:ind w:left="424" w:right="1289" w:hanging="1"/>
        <w:jc w:val="center"/>
        <w:rPr>
          <w:rFonts w:ascii="Georgia"/>
        </w:rPr>
      </w:pPr>
      <w:r>
        <w:rPr>
          <w:rFonts w:ascii="Georgia"/>
        </w:rPr>
        <w:t>of LGBTQ youth say their mental health was poor during the COVID-19 pandemic</w:t>
      </w:r>
    </w:p>
    <w:p w:rsidR="00200FDA" w:rsidRDefault="00200FDA">
      <w:pPr>
        <w:pStyle w:val="BodyText"/>
        <w:rPr>
          <w:rFonts w:ascii="Georgia"/>
          <w:sz w:val="32"/>
        </w:rPr>
      </w:pPr>
    </w:p>
    <w:p w:rsidR="00200FDA" w:rsidRDefault="00F76C4C">
      <w:pPr>
        <w:pStyle w:val="Heading3"/>
        <w:spacing w:line="899" w:lineRule="exact"/>
        <w:ind w:left="1188"/>
      </w:pPr>
      <w:r>
        <w:rPr>
          <w:emboss/>
          <w:color w:val="F46E16"/>
          <w:spacing w:val="19"/>
          <w:w w:val="120"/>
        </w:rPr>
        <w:t>469</w:t>
      </w:r>
    </w:p>
    <w:p w:rsidR="00200FDA" w:rsidRDefault="00F76C4C">
      <w:pPr>
        <w:pStyle w:val="BodyText"/>
        <w:spacing w:line="234" w:lineRule="exact"/>
        <w:ind w:left="646" w:right="1510"/>
        <w:jc w:val="center"/>
        <w:rPr>
          <w:rFonts w:ascii="Georgia"/>
        </w:rPr>
      </w:pPr>
      <w:r>
        <w:rPr>
          <w:rFonts w:ascii="Georgia"/>
          <w:spacing w:val="-2"/>
        </w:rPr>
        <w:t>Bills</w:t>
      </w:r>
      <w:r>
        <w:rPr>
          <w:rFonts w:ascii="Georgia"/>
          <w:spacing w:val="-8"/>
        </w:rPr>
        <w:t xml:space="preserve"> </w:t>
      </w:r>
      <w:r>
        <w:rPr>
          <w:rFonts w:ascii="Georgia"/>
          <w:spacing w:val="-2"/>
        </w:rPr>
        <w:t>as</w:t>
      </w:r>
      <w:r>
        <w:rPr>
          <w:rFonts w:ascii="Georgia"/>
          <w:spacing w:val="-7"/>
        </w:rPr>
        <w:t xml:space="preserve"> </w:t>
      </w:r>
      <w:r>
        <w:rPr>
          <w:rFonts w:ascii="Georgia"/>
          <w:spacing w:val="-2"/>
        </w:rPr>
        <w:t>of</w:t>
      </w:r>
      <w:r>
        <w:rPr>
          <w:rFonts w:ascii="Georgia"/>
          <w:spacing w:val="-7"/>
        </w:rPr>
        <w:t xml:space="preserve"> </w:t>
      </w:r>
      <w:r>
        <w:rPr>
          <w:rFonts w:ascii="Georgia"/>
          <w:spacing w:val="-2"/>
        </w:rPr>
        <w:t>April</w:t>
      </w:r>
      <w:r>
        <w:rPr>
          <w:rFonts w:ascii="Georgia"/>
          <w:spacing w:val="-7"/>
        </w:rPr>
        <w:t xml:space="preserve"> </w:t>
      </w:r>
      <w:r>
        <w:rPr>
          <w:rFonts w:ascii="Georgia"/>
          <w:spacing w:val="-2"/>
        </w:rPr>
        <w:t>2023</w:t>
      </w:r>
      <w:r>
        <w:rPr>
          <w:rFonts w:ascii="Georgia"/>
          <w:spacing w:val="-7"/>
        </w:rPr>
        <w:t xml:space="preserve"> </w:t>
      </w:r>
      <w:r>
        <w:rPr>
          <w:rFonts w:ascii="Georgia"/>
          <w:spacing w:val="-2"/>
        </w:rPr>
        <w:t>target</w:t>
      </w:r>
    </w:p>
    <w:p w:rsidR="00200FDA" w:rsidRDefault="00F76C4C">
      <w:pPr>
        <w:pStyle w:val="BodyText"/>
        <w:spacing w:before="28" w:line="266" w:lineRule="auto"/>
        <w:ind w:left="374" w:right="1238"/>
        <w:jc w:val="center"/>
        <w:rPr>
          <w:rFonts w:ascii="Georgia"/>
        </w:rPr>
      </w:pPr>
      <w:r>
        <w:rPr>
          <w:rFonts w:ascii="Georgia"/>
        </w:rPr>
        <w:t>LGBTQ youth across the nation, including banning gender- affirming health care</w:t>
      </w:r>
    </w:p>
    <w:p w:rsidR="00200FDA" w:rsidRDefault="00200FDA">
      <w:pPr>
        <w:spacing w:line="266" w:lineRule="auto"/>
        <w:jc w:val="center"/>
        <w:rPr>
          <w:rFonts w:ascii="Georgia"/>
        </w:rPr>
        <w:sectPr w:rsidR="00200FDA">
          <w:type w:val="continuous"/>
          <w:pgSz w:w="12240" w:h="15840"/>
          <w:pgMar w:top="720" w:right="340" w:bottom="280" w:left="1120" w:header="0" w:footer="0" w:gutter="0"/>
          <w:cols w:num="2" w:space="720" w:equalWidth="0">
            <w:col w:w="5112" w:space="901"/>
            <w:col w:w="4767"/>
          </w:cols>
        </w:sectPr>
      </w:pPr>
    </w:p>
    <w:p w:rsidR="00200FDA" w:rsidRDefault="00F76C4C">
      <w:pPr>
        <w:pStyle w:val="BodyText"/>
        <w:ind w:left="5935"/>
        <w:rPr>
          <w:rFonts w:ascii="Georgia"/>
          <w:sz w:val="20"/>
        </w:rPr>
      </w:pPr>
      <w:r>
        <w:pict>
          <v:group id="docshapegroup312" o:spid="_x0000_s1263" style="position:absolute;left:0;text-align:left;margin-left:0;margin-top:0;width:609.9pt;height:463.2pt;z-index:-21292032;mso-position-horizontal-relative:page;mso-position-vertical-relative:page" coordsize="12198,9264">
            <v:shape id="docshape313" o:spid="_x0000_s1270" type="#_x0000_t75" style="position:absolute;width:12198;height:4912">
              <v:imagedata r:id="rId404" o:title=""/>
            </v:shape>
            <v:shape id="docshape314" o:spid="_x0000_s1269" type="#_x0000_t75" style="position:absolute;left:7839;top:1158;width:2333;height:2332">
              <v:imagedata r:id="rId143" o:title=""/>
            </v:shape>
            <v:shape id="docshape315" o:spid="_x0000_s1268" style="position:absolute;left:7818;top:1136;width:2375;height:2375" coordorigin="7818,1136" coordsize="2375,2375" o:spt="100" adj="0,,0" path="m9006,3511r-75,-2l8857,3502r-72,-11l8714,3475r-69,-20l8577,3431r-66,-27l8448,3372r-61,-35l8328,3298r-57,-41l8218,3211r-51,-48l8118,3112r-45,-54l8031,3002r-38,-59l7958,2882r-32,-64l7898,2752r-24,-67l7855,2616r-16,-71l7828,2473r-7,-74l7818,2324r3,-75l7828,2175r11,-72l7855,2032r19,-69l7898,1895r28,-65l7958,1766r35,-61l8031,1646r42,-56l8118,1536r49,-51l8218,1437r53,-46l8328,1350r59,-39l8448,1276r64,-32l8577,1217r68,-24l8714,1173r71,-16l8857,1146r74,-7l9006,1136r75,3l9155,1146r72,11l9298,1173r24,7l9006,1180r-75,2l8857,1189r-73,12l8714,1218r-69,20l8577,1263r-65,29l8449,1324r-60,37l8330,1401r-55,43l8222,1491r-49,50l8126,1593r-43,56l8043,1707r-37,60l7974,1830r-29,66l7920,1963r-21,69l7883,2103r-12,72l7864,2249r-2,75l7864,2399r7,74l7883,2545r16,71l7920,2685r25,67l7974,2818r32,63l8043,2941r40,58l8126,3055r47,52l8222,3157r53,47l8330,3247r59,40l8449,3323r63,33l8577,3385r68,25l8714,3430r70,17l8857,3459r74,7l9006,3468r316,l9298,3475r-71,16l9155,3502r-74,7l9006,3511xm9322,3468r-316,l9081,3466r74,-7l9227,3447r71,-17l9367,3410r67,-25l9499,3356r63,-33l9623,3287r58,-40l9737,3204r52,-47l9839,3107r47,-52l9929,2999r40,-58l10005,2881r33,-63l10067,2752r25,-67l10112,2616r17,-71l10140,2473r8,-74l10150,2324r-2,-75l10140,2175r-11,-72l10112,2032r-20,-69l10067,1896r-29,-66l10005,1767r-36,-60l9929,1649r-43,-56l9839,1541r-50,-50l9737,1444r-56,-43l9623,1361r-61,-37l9499,1292r-65,-29l9367,1238r-69,-20l9227,1201r-72,-12l9081,1182r-75,-2l9322,1180r45,13l9435,1217r65,27l9564,1276r61,35l9684,1350r56,41l9794,1437r51,48l9893,1536r45,54l9980,1646r39,59l10054,1766r31,64l10113,1896r24,67l10157,2032r16,71l10184,2175r7,74l10193,2324r-2,75l10184,2473r-11,72l10157,2616r-20,69l10113,2753r-28,65l10054,2882r-35,61l9980,3002r-42,56l9893,3112r-48,51l9794,3211r-54,46l9684,3298r-59,39l9564,3372r-64,32l9435,3431r-68,24l9322,3468xe" stroked="f">
              <v:stroke joinstyle="round"/>
              <v:formulas/>
              <v:path arrowok="t" o:connecttype="segments"/>
            </v:shape>
            <v:shape id="docshape316" o:spid="_x0000_s1267" style="position:absolute;left:1031;top:4619;width:5463;height:4544" coordorigin="1032,4620" coordsize="5463,4544" path="m5935,9163r-4333,l1524,9158r-74,-15l1380,9118r-66,-33l1254,9045r-55,-49l1151,8942r-41,-61l1077,8815r-25,-70l1037,8671r-5,-78l1032,5190r5,-78l1052,5038r25,-70l1110,4902r41,-61l1199,4787r55,-48l1314,4698r66,-33l1450,4640r74,-15l1602,4620r4333,l6013,4625r74,15l6157,4665r66,33l6284,4739r54,48l6387,4841r41,61l6461,4968r24,70l6495,5085r,3614l6461,8815r-33,66l6387,8942r-49,54l6284,9045r-61,40l6157,9118r-70,25l6013,9158r-78,5xe" fillcolor="#f2ab97" stroked="f">
              <v:fill opacity="36497f"/>
              <v:path arrowok="t"/>
            </v:shape>
            <v:line id="_x0000_s1266" style="position:absolute" from="6861,6915" to="11226,6915" strokecolor="#f46e16" strokeweight="2.25pt">
              <v:stroke dashstyle="3 1"/>
            </v:line>
            <v:line id="_x0000_s1265" style="position:absolute" from="6861,9241" to="11226,9241" strokecolor="#f46e16" strokeweight="2.25pt">
              <v:stroke dashstyle="3 1"/>
            </v:line>
            <v:shape id="docshape317" o:spid="_x0000_s1264" style="position:absolute;left:5761;top:2563;width:1482;height:1408" coordorigin="5762,2564" coordsize="1482,1408" o:spt="100" adj="0,,0" path="m6952,3495r-270,l6576,3699r-8,11l6558,3718r-12,5l6533,3725r-5,l6526,3724r-14,-4l6500,3711r-9,-12l6486,3685r-84,-462l6342,3458r-7,15l6325,3485r-14,7l6295,3495r-241,l6477,3965r13,6l6517,3971r13,-6l6952,3495xm7243,2993r-6,-75l7217,2847r-31,-65l7145,2722r-50,-51l7038,2629r-64,-32l6905,2577r-73,-7l6754,2578r-74,20l6613,2632r-60,45l6503,2733r-52,-58l6391,2628r-68,-35l6250,2571r-77,-7l6100,2571r-69,20l5967,2623r-57,43l5860,2718r-41,61l5788,2846r-20,72l5762,2994r7,74l5788,3136r30,67l5857,3271r2,5l5861,3281r106,117l6258,3398r106,-413l6371,2970r11,-13l6396,2950r16,-1l6428,2952r14,9l6452,2973r6,15l6555,3529r55,-105l6617,3413r11,-8l6639,3400r14,-2l7038,3398r105,-117l7146,3277r2,-5l7186,3204r30,-67l7236,3068r7,-75xe" stroked="f">
              <v:stroke joinstyle="round"/>
              <v:formulas/>
              <v:path arrowok="t" o:connecttype="segments"/>
            </v:shape>
            <w10:wrap anchorx="page" anchory="page"/>
          </v:group>
        </w:pict>
      </w:r>
      <w:r>
        <w:rPr>
          <w:rFonts w:ascii="Georgia"/>
          <w:noProof/>
          <w:sz w:val="20"/>
        </w:rPr>
        <w:drawing>
          <wp:inline distT="0" distB="0" distL="0" distR="0">
            <wp:extent cx="2951298" cy="2599658"/>
            <wp:effectExtent l="0" t="0" r="0" b="0"/>
            <wp:docPr id="69"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4.png"/>
                    <pic:cNvPicPr/>
                  </pic:nvPicPr>
                  <pic:blipFill>
                    <a:blip r:embed="rId405" cstate="print"/>
                    <a:stretch>
                      <a:fillRect/>
                    </a:stretch>
                  </pic:blipFill>
                  <pic:spPr>
                    <a:xfrm>
                      <a:off x="0" y="0"/>
                      <a:ext cx="2951298" cy="2599658"/>
                    </a:xfrm>
                    <a:prstGeom prst="rect">
                      <a:avLst/>
                    </a:prstGeom>
                  </pic:spPr>
                </pic:pic>
              </a:graphicData>
            </a:graphic>
          </wp:inline>
        </w:drawing>
      </w:r>
    </w:p>
    <w:p w:rsidR="00200FDA" w:rsidRDefault="00200FDA">
      <w:pPr>
        <w:rPr>
          <w:rFonts w:ascii="Georgia"/>
          <w:sz w:val="20"/>
        </w:rPr>
        <w:sectPr w:rsidR="00200FDA">
          <w:type w:val="continuous"/>
          <w:pgSz w:w="12240" w:h="15840"/>
          <w:pgMar w:top="720" w:right="340" w:bottom="280" w:left="1120" w:header="0" w:footer="0" w:gutter="0"/>
          <w:cols w:space="720"/>
        </w:sectPr>
      </w:pPr>
    </w:p>
    <w:p w:rsidR="00200FDA" w:rsidRDefault="00200FDA">
      <w:pPr>
        <w:pStyle w:val="BodyText"/>
        <w:spacing w:before="8"/>
        <w:rPr>
          <w:rFonts w:ascii="Georgia"/>
          <w:sz w:val="23"/>
        </w:rPr>
      </w:pPr>
    </w:p>
    <w:p w:rsidR="00200FDA" w:rsidRDefault="00F76C4C">
      <w:pPr>
        <w:spacing w:before="35"/>
        <w:ind w:left="140"/>
        <w:rPr>
          <w:sz w:val="32"/>
        </w:rPr>
      </w:pPr>
      <w:r>
        <w:pict>
          <v:rect id="docshape321" o:spid="_x0000_s1262" style="position:absolute;left:0;text-align:left;margin-left:70.55pt;margin-top:22.25pt;width:470.9pt;height:.5pt;z-index:-15681024;mso-wrap-distance-left:0;mso-wrap-distance-right:0;mso-position-horizontal-relative:page" fillcolor="#4471c4" stroked="f">
            <w10:wrap type="topAndBottom" anchorx="page"/>
          </v:rect>
        </w:pict>
      </w:r>
      <w:bookmarkStart w:id="576" w:name="PGH_Report_-_Edited.pdf"/>
      <w:bookmarkStart w:id="577" w:name="Broadening_Pregnancy_and_Gynecological_H"/>
      <w:bookmarkStart w:id="578" w:name="_bookmark446"/>
      <w:bookmarkEnd w:id="576"/>
      <w:bookmarkEnd w:id="577"/>
      <w:bookmarkEnd w:id="578"/>
      <w:r>
        <w:fldChar w:fldCharType="begin"/>
      </w:r>
      <w:r>
        <w:instrText xml:space="preserve"> HYPERLINK \l "_bookmark2" </w:instrText>
      </w:r>
      <w:r>
        <w:fldChar w:fldCharType="separate"/>
      </w:r>
      <w:r>
        <w:rPr>
          <w:color w:val="2E5395"/>
          <w:sz w:val="32"/>
        </w:rPr>
        <w:t>Broadening</w:t>
      </w:r>
      <w:r>
        <w:rPr>
          <w:color w:val="2E5395"/>
          <w:spacing w:val="-14"/>
          <w:sz w:val="32"/>
        </w:rPr>
        <w:t xml:space="preserve"> </w:t>
      </w:r>
      <w:r>
        <w:rPr>
          <w:color w:val="2E5395"/>
          <w:sz w:val="32"/>
        </w:rPr>
        <w:t>Pregnancy</w:t>
      </w:r>
      <w:r>
        <w:rPr>
          <w:color w:val="2E5395"/>
          <w:spacing w:val="-14"/>
          <w:sz w:val="32"/>
        </w:rPr>
        <w:t xml:space="preserve"> </w:t>
      </w:r>
      <w:r>
        <w:rPr>
          <w:color w:val="2E5395"/>
          <w:sz w:val="32"/>
        </w:rPr>
        <w:t>and</w:t>
      </w:r>
      <w:r>
        <w:rPr>
          <w:color w:val="2E5395"/>
          <w:spacing w:val="-14"/>
          <w:sz w:val="32"/>
        </w:rPr>
        <w:t xml:space="preserve"> </w:t>
      </w:r>
      <w:r>
        <w:rPr>
          <w:color w:val="2E5395"/>
          <w:sz w:val="32"/>
        </w:rPr>
        <w:t>Gynecological</w:t>
      </w:r>
      <w:r>
        <w:rPr>
          <w:color w:val="2E5395"/>
          <w:spacing w:val="-13"/>
          <w:sz w:val="32"/>
        </w:rPr>
        <w:t xml:space="preserve"> </w:t>
      </w:r>
      <w:r>
        <w:rPr>
          <w:color w:val="2E5395"/>
          <w:spacing w:val="-2"/>
          <w:sz w:val="32"/>
        </w:rPr>
        <w:t>Health</w:t>
      </w:r>
      <w:r>
        <w:rPr>
          <w:color w:val="2E5395"/>
          <w:spacing w:val="-2"/>
          <w:sz w:val="32"/>
        </w:rPr>
        <w:fldChar w:fldCharType="end"/>
      </w:r>
    </w:p>
    <w:p w:rsidR="00200FDA" w:rsidRDefault="00200FDA">
      <w:pPr>
        <w:pStyle w:val="BodyText"/>
        <w:rPr>
          <w:sz w:val="20"/>
        </w:rPr>
      </w:pPr>
    </w:p>
    <w:p w:rsidR="00200FDA" w:rsidRDefault="00200FDA">
      <w:pPr>
        <w:pStyle w:val="BodyText"/>
        <w:spacing w:before="3"/>
        <w:rPr>
          <w:sz w:val="18"/>
        </w:rPr>
      </w:pPr>
    </w:p>
    <w:p w:rsidR="00200FDA" w:rsidRDefault="00F76C4C">
      <w:pPr>
        <w:pStyle w:val="Heading7"/>
        <w:spacing w:before="44"/>
        <w:ind w:left="140"/>
      </w:pPr>
      <w:r>
        <w:pict>
          <v:rect id="docshape322" o:spid="_x0000_s1261" style="position:absolute;left:0;text-align:left;margin-left:70.55pt;margin-top:20.2pt;width:470.9pt;height:.5pt;z-index:-15680512;mso-wrap-distance-left:0;mso-wrap-distance-right:0;mso-position-horizontal-relative:page" fillcolor="#4471c4" stroked="f">
            <w10:wrap type="topAndBottom" anchorx="page"/>
          </v:rect>
        </w:pict>
      </w:r>
      <w:r>
        <w:rPr>
          <w:color w:val="2E5395"/>
          <w:spacing w:val="-2"/>
        </w:rPr>
        <w:t>Introduction</w:t>
      </w:r>
    </w:p>
    <w:p w:rsidR="00200FDA" w:rsidRDefault="00200FDA">
      <w:pPr>
        <w:pStyle w:val="BodyText"/>
        <w:rPr>
          <w:sz w:val="20"/>
        </w:rPr>
      </w:pPr>
    </w:p>
    <w:p w:rsidR="00200FDA" w:rsidRDefault="00200FDA">
      <w:pPr>
        <w:pStyle w:val="BodyText"/>
        <w:spacing w:before="9"/>
        <w:rPr>
          <w:sz w:val="16"/>
        </w:rPr>
      </w:pPr>
    </w:p>
    <w:p w:rsidR="00200FDA" w:rsidRDefault="00F76C4C">
      <w:pPr>
        <w:spacing w:before="59" w:line="264" w:lineRule="auto"/>
        <w:ind w:left="139" w:right="338"/>
        <w:jc w:val="both"/>
        <w:rPr>
          <w:sz w:val="20"/>
        </w:rPr>
      </w:pPr>
      <w:r>
        <w:rPr>
          <w:sz w:val="20"/>
        </w:rPr>
        <w:t>This report provides background information and literature regarding issues that fall under the umbrella of pregnancy and gynecological health related to LGBTQ youth. The information details healthcare services such as gender-affirming care, contraceptives</w:t>
      </w:r>
      <w:r>
        <w:rPr>
          <w:sz w:val="20"/>
        </w:rPr>
        <w:t>, fertility treatments, and abortion discussed in relation to LGBTQ youth and the general LGBTQ population. Background on menstruation and pregnancy is detailed below to capture the inequities</w:t>
      </w:r>
      <w:r>
        <w:rPr>
          <w:spacing w:val="-9"/>
          <w:sz w:val="20"/>
        </w:rPr>
        <w:t xml:space="preserve"> </w:t>
      </w:r>
      <w:r>
        <w:rPr>
          <w:sz w:val="20"/>
        </w:rPr>
        <w:t>LGBTQ</w:t>
      </w:r>
      <w:r>
        <w:rPr>
          <w:spacing w:val="-8"/>
          <w:sz w:val="20"/>
        </w:rPr>
        <w:t xml:space="preserve"> </w:t>
      </w:r>
      <w:r>
        <w:rPr>
          <w:sz w:val="20"/>
        </w:rPr>
        <w:t>youth</w:t>
      </w:r>
      <w:r>
        <w:rPr>
          <w:spacing w:val="-7"/>
          <w:sz w:val="20"/>
        </w:rPr>
        <w:t xml:space="preserve"> </w:t>
      </w:r>
      <w:r>
        <w:rPr>
          <w:sz w:val="20"/>
        </w:rPr>
        <w:t>and</w:t>
      </w:r>
      <w:r>
        <w:rPr>
          <w:spacing w:val="-9"/>
          <w:sz w:val="20"/>
        </w:rPr>
        <w:t xml:space="preserve"> </w:t>
      </w:r>
      <w:r>
        <w:rPr>
          <w:sz w:val="20"/>
        </w:rPr>
        <w:t>the</w:t>
      </w:r>
      <w:r>
        <w:rPr>
          <w:spacing w:val="-9"/>
          <w:sz w:val="20"/>
        </w:rPr>
        <w:t xml:space="preserve"> </w:t>
      </w:r>
      <w:r>
        <w:rPr>
          <w:sz w:val="20"/>
        </w:rPr>
        <w:t>general</w:t>
      </w:r>
      <w:r>
        <w:rPr>
          <w:spacing w:val="-8"/>
          <w:sz w:val="20"/>
        </w:rPr>
        <w:t xml:space="preserve"> </w:t>
      </w:r>
      <w:r>
        <w:rPr>
          <w:sz w:val="20"/>
        </w:rPr>
        <w:t>LGBTQ</w:t>
      </w:r>
      <w:r>
        <w:rPr>
          <w:spacing w:val="-8"/>
          <w:sz w:val="20"/>
        </w:rPr>
        <w:t xml:space="preserve"> </w:t>
      </w:r>
      <w:r>
        <w:rPr>
          <w:sz w:val="20"/>
        </w:rPr>
        <w:t>population</w:t>
      </w:r>
      <w:r>
        <w:rPr>
          <w:spacing w:val="-7"/>
          <w:sz w:val="20"/>
        </w:rPr>
        <w:t xml:space="preserve"> </w:t>
      </w:r>
      <w:r>
        <w:rPr>
          <w:sz w:val="20"/>
        </w:rPr>
        <w:t>experience</w:t>
      </w:r>
      <w:r>
        <w:rPr>
          <w:spacing w:val="-9"/>
          <w:sz w:val="20"/>
        </w:rPr>
        <w:t xml:space="preserve"> </w:t>
      </w:r>
      <w:r>
        <w:rPr>
          <w:sz w:val="20"/>
        </w:rPr>
        <w:t>with</w:t>
      </w:r>
      <w:r>
        <w:rPr>
          <w:spacing w:val="-7"/>
          <w:sz w:val="20"/>
        </w:rPr>
        <w:t xml:space="preserve"> </w:t>
      </w:r>
      <w:r>
        <w:rPr>
          <w:sz w:val="20"/>
        </w:rPr>
        <w:t>th</w:t>
      </w:r>
      <w:r>
        <w:rPr>
          <w:sz w:val="20"/>
        </w:rPr>
        <w:t>ese</w:t>
      </w:r>
      <w:r>
        <w:rPr>
          <w:spacing w:val="-9"/>
          <w:sz w:val="20"/>
        </w:rPr>
        <w:t xml:space="preserve"> </w:t>
      </w:r>
      <w:r>
        <w:rPr>
          <w:sz w:val="20"/>
        </w:rPr>
        <w:t>two</w:t>
      </w:r>
      <w:r>
        <w:rPr>
          <w:spacing w:val="-7"/>
          <w:sz w:val="20"/>
        </w:rPr>
        <w:t xml:space="preserve"> </w:t>
      </w:r>
      <w:r>
        <w:rPr>
          <w:sz w:val="20"/>
        </w:rPr>
        <w:t>biological</w:t>
      </w:r>
      <w:r>
        <w:rPr>
          <w:spacing w:val="-8"/>
          <w:sz w:val="20"/>
        </w:rPr>
        <w:t xml:space="preserve"> </w:t>
      </w:r>
      <w:r>
        <w:rPr>
          <w:sz w:val="20"/>
        </w:rPr>
        <w:t>functions.</w:t>
      </w:r>
      <w:r>
        <w:rPr>
          <w:spacing w:val="-8"/>
          <w:sz w:val="20"/>
        </w:rPr>
        <w:t xml:space="preserve"> </w:t>
      </w:r>
      <w:r>
        <w:rPr>
          <w:sz w:val="20"/>
        </w:rPr>
        <w:t>Maternal mortality is also a topic of discussion as there is a lack of universal data collection on maternal deaths for LGBTQ birthing people.</w:t>
      </w:r>
    </w:p>
    <w:p w:rsidR="00200FDA" w:rsidRDefault="00200FDA">
      <w:pPr>
        <w:pStyle w:val="BodyText"/>
        <w:spacing w:before="9"/>
        <w:rPr>
          <w:sz w:val="19"/>
        </w:rPr>
      </w:pPr>
    </w:p>
    <w:p w:rsidR="00200FDA" w:rsidRDefault="00F76C4C">
      <w:pPr>
        <w:spacing w:line="264" w:lineRule="auto"/>
        <w:ind w:left="139" w:right="336"/>
        <w:jc w:val="both"/>
        <w:rPr>
          <w:sz w:val="20"/>
        </w:rPr>
      </w:pPr>
      <w:r>
        <w:rPr>
          <w:sz w:val="20"/>
        </w:rPr>
        <w:t>The</w:t>
      </w:r>
      <w:r>
        <w:rPr>
          <w:spacing w:val="-12"/>
          <w:sz w:val="20"/>
        </w:rPr>
        <w:t xml:space="preserve"> </w:t>
      </w:r>
      <w:r>
        <w:rPr>
          <w:sz w:val="20"/>
        </w:rPr>
        <w:t>second</w:t>
      </w:r>
      <w:r>
        <w:rPr>
          <w:spacing w:val="-11"/>
          <w:sz w:val="20"/>
        </w:rPr>
        <w:t xml:space="preserve"> </w:t>
      </w:r>
      <w:r>
        <w:rPr>
          <w:sz w:val="20"/>
        </w:rPr>
        <w:t>part</w:t>
      </w:r>
      <w:r>
        <w:rPr>
          <w:spacing w:val="-11"/>
          <w:sz w:val="20"/>
        </w:rPr>
        <w:t xml:space="preserve"> </w:t>
      </w:r>
      <w:r>
        <w:rPr>
          <w:sz w:val="20"/>
        </w:rPr>
        <w:t>of</w:t>
      </w:r>
      <w:r>
        <w:rPr>
          <w:spacing w:val="-12"/>
          <w:sz w:val="20"/>
        </w:rPr>
        <w:t xml:space="preserve"> </w:t>
      </w:r>
      <w:r>
        <w:rPr>
          <w:sz w:val="20"/>
        </w:rPr>
        <w:t>this</w:t>
      </w:r>
      <w:r>
        <w:rPr>
          <w:spacing w:val="-11"/>
          <w:sz w:val="20"/>
        </w:rPr>
        <w:t xml:space="preserve"> </w:t>
      </w:r>
      <w:r>
        <w:rPr>
          <w:sz w:val="20"/>
        </w:rPr>
        <w:t>report</w:t>
      </w:r>
      <w:r>
        <w:rPr>
          <w:spacing w:val="-11"/>
          <w:sz w:val="20"/>
        </w:rPr>
        <w:t xml:space="preserve"> </w:t>
      </w:r>
      <w:r>
        <w:rPr>
          <w:sz w:val="20"/>
        </w:rPr>
        <w:t>demonstrates</w:t>
      </w:r>
      <w:r>
        <w:rPr>
          <w:spacing w:val="-12"/>
          <w:sz w:val="20"/>
        </w:rPr>
        <w:t xml:space="preserve"> </w:t>
      </w:r>
      <w:r>
        <w:rPr>
          <w:sz w:val="20"/>
        </w:rPr>
        <w:t>Massachusetts’</w:t>
      </w:r>
      <w:r>
        <w:rPr>
          <w:spacing w:val="-10"/>
          <w:sz w:val="20"/>
        </w:rPr>
        <w:t xml:space="preserve"> </w:t>
      </w:r>
      <w:r>
        <w:rPr>
          <w:sz w:val="20"/>
        </w:rPr>
        <w:t>efforts</w:t>
      </w:r>
      <w:r>
        <w:rPr>
          <w:spacing w:val="-12"/>
          <w:sz w:val="20"/>
        </w:rPr>
        <w:t xml:space="preserve"> </w:t>
      </w:r>
      <w:r>
        <w:rPr>
          <w:sz w:val="20"/>
        </w:rPr>
        <w:t>in</w:t>
      </w:r>
      <w:r>
        <w:rPr>
          <w:spacing w:val="-8"/>
          <w:sz w:val="20"/>
        </w:rPr>
        <w:t xml:space="preserve"> </w:t>
      </w:r>
      <w:r>
        <w:rPr>
          <w:sz w:val="20"/>
        </w:rPr>
        <w:t>expanding</w:t>
      </w:r>
      <w:r>
        <w:rPr>
          <w:spacing w:val="-12"/>
          <w:sz w:val="20"/>
        </w:rPr>
        <w:t xml:space="preserve"> </w:t>
      </w:r>
      <w:r>
        <w:rPr>
          <w:sz w:val="20"/>
        </w:rPr>
        <w:t>reproductive</w:t>
      </w:r>
      <w:r>
        <w:rPr>
          <w:spacing w:val="-11"/>
          <w:sz w:val="20"/>
        </w:rPr>
        <w:t xml:space="preserve"> </w:t>
      </w:r>
      <w:r>
        <w:rPr>
          <w:sz w:val="20"/>
        </w:rPr>
        <w:t>health</w:t>
      </w:r>
      <w:r>
        <w:rPr>
          <w:spacing w:val="-11"/>
          <w:sz w:val="20"/>
        </w:rPr>
        <w:t xml:space="preserve"> </w:t>
      </w:r>
      <w:r>
        <w:rPr>
          <w:sz w:val="20"/>
        </w:rPr>
        <w:t>care</w:t>
      </w:r>
      <w:r>
        <w:rPr>
          <w:spacing w:val="-11"/>
          <w:sz w:val="20"/>
        </w:rPr>
        <w:t xml:space="preserve"> </w:t>
      </w:r>
      <w:r>
        <w:rPr>
          <w:sz w:val="20"/>
        </w:rPr>
        <w:t>that</w:t>
      </w:r>
      <w:r>
        <w:rPr>
          <w:spacing w:val="-11"/>
          <w:sz w:val="20"/>
        </w:rPr>
        <w:t xml:space="preserve"> </w:t>
      </w:r>
      <w:r>
        <w:rPr>
          <w:sz w:val="20"/>
        </w:rPr>
        <w:t>could improve pregnancy and gynecological outcomes for LGBTQ youth and where some policies fall short. Healthcare coverage is an essential component that can provide LGBTQ youth patients access to healthcare providers and faci</w:t>
      </w:r>
      <w:r>
        <w:rPr>
          <w:sz w:val="20"/>
        </w:rPr>
        <w:t>lities. This is crucial for LGBTQ birthing people who need healthcare access during pregnancy and post-partum. LGBTQ</w:t>
      </w:r>
      <w:r>
        <w:rPr>
          <w:spacing w:val="-4"/>
          <w:sz w:val="20"/>
        </w:rPr>
        <w:t xml:space="preserve"> </w:t>
      </w:r>
      <w:r>
        <w:rPr>
          <w:sz w:val="20"/>
        </w:rPr>
        <w:t>youth</w:t>
      </w:r>
      <w:r>
        <w:rPr>
          <w:spacing w:val="-4"/>
          <w:sz w:val="20"/>
        </w:rPr>
        <w:t xml:space="preserve"> </w:t>
      </w:r>
      <w:r>
        <w:rPr>
          <w:sz w:val="20"/>
        </w:rPr>
        <w:t>may</w:t>
      </w:r>
      <w:r>
        <w:rPr>
          <w:spacing w:val="-3"/>
          <w:sz w:val="20"/>
        </w:rPr>
        <w:t xml:space="preserve"> </w:t>
      </w:r>
      <w:r>
        <w:rPr>
          <w:sz w:val="20"/>
        </w:rPr>
        <w:t>experience infertility</w:t>
      </w:r>
      <w:r>
        <w:rPr>
          <w:spacing w:val="-3"/>
          <w:sz w:val="20"/>
        </w:rPr>
        <w:t xml:space="preserve"> </w:t>
      </w:r>
      <w:r>
        <w:rPr>
          <w:sz w:val="20"/>
        </w:rPr>
        <w:t>due</w:t>
      </w:r>
      <w:r>
        <w:rPr>
          <w:spacing w:val="-5"/>
          <w:sz w:val="20"/>
        </w:rPr>
        <w:t xml:space="preserve"> </w:t>
      </w:r>
      <w:r>
        <w:rPr>
          <w:sz w:val="20"/>
        </w:rPr>
        <w:t>to</w:t>
      </w:r>
      <w:r>
        <w:rPr>
          <w:spacing w:val="-4"/>
          <w:sz w:val="20"/>
        </w:rPr>
        <w:t xml:space="preserve"> </w:t>
      </w:r>
      <w:r>
        <w:rPr>
          <w:sz w:val="20"/>
        </w:rPr>
        <w:t>hormone</w:t>
      </w:r>
      <w:r>
        <w:rPr>
          <w:spacing w:val="-5"/>
          <w:sz w:val="20"/>
        </w:rPr>
        <w:t xml:space="preserve"> </w:t>
      </w:r>
      <w:r>
        <w:rPr>
          <w:sz w:val="20"/>
        </w:rPr>
        <w:t>therapy</w:t>
      </w:r>
      <w:r>
        <w:rPr>
          <w:spacing w:val="-4"/>
          <w:sz w:val="20"/>
        </w:rPr>
        <w:t xml:space="preserve"> </w:t>
      </w:r>
      <w:r>
        <w:rPr>
          <w:sz w:val="20"/>
        </w:rPr>
        <w:t>or</w:t>
      </w:r>
      <w:r>
        <w:rPr>
          <w:spacing w:val="-4"/>
          <w:sz w:val="20"/>
        </w:rPr>
        <w:t xml:space="preserve"> </w:t>
      </w:r>
      <w:r>
        <w:rPr>
          <w:sz w:val="20"/>
        </w:rPr>
        <w:t>may</w:t>
      </w:r>
      <w:r>
        <w:rPr>
          <w:spacing w:val="-3"/>
          <w:sz w:val="20"/>
        </w:rPr>
        <w:t xml:space="preserve"> </w:t>
      </w:r>
      <w:r>
        <w:rPr>
          <w:sz w:val="20"/>
        </w:rPr>
        <w:t>not</w:t>
      </w:r>
      <w:r>
        <w:rPr>
          <w:spacing w:val="-4"/>
          <w:sz w:val="20"/>
        </w:rPr>
        <w:t xml:space="preserve"> </w:t>
      </w:r>
      <w:r>
        <w:rPr>
          <w:sz w:val="20"/>
        </w:rPr>
        <w:t>be</w:t>
      </w:r>
      <w:r>
        <w:rPr>
          <w:spacing w:val="-5"/>
          <w:sz w:val="20"/>
        </w:rPr>
        <w:t xml:space="preserve"> </w:t>
      </w:r>
      <w:r>
        <w:rPr>
          <w:sz w:val="20"/>
        </w:rPr>
        <w:t>able</w:t>
      </w:r>
      <w:r>
        <w:rPr>
          <w:spacing w:val="-5"/>
          <w:sz w:val="20"/>
        </w:rPr>
        <w:t xml:space="preserve"> </w:t>
      </w:r>
      <w:r>
        <w:rPr>
          <w:sz w:val="20"/>
        </w:rPr>
        <w:t>to</w:t>
      </w:r>
      <w:r>
        <w:rPr>
          <w:spacing w:val="-4"/>
          <w:sz w:val="20"/>
        </w:rPr>
        <w:t xml:space="preserve"> </w:t>
      </w:r>
      <w:r>
        <w:rPr>
          <w:sz w:val="20"/>
        </w:rPr>
        <w:t>conceive</w:t>
      </w:r>
      <w:r>
        <w:rPr>
          <w:spacing w:val="-5"/>
          <w:sz w:val="20"/>
        </w:rPr>
        <w:t xml:space="preserve"> </w:t>
      </w:r>
      <w:r>
        <w:rPr>
          <w:sz w:val="20"/>
        </w:rPr>
        <w:t>with</w:t>
      </w:r>
      <w:r>
        <w:rPr>
          <w:spacing w:val="-4"/>
          <w:sz w:val="20"/>
        </w:rPr>
        <w:t xml:space="preserve"> </w:t>
      </w:r>
      <w:r>
        <w:rPr>
          <w:sz w:val="20"/>
        </w:rPr>
        <w:t>a</w:t>
      </w:r>
      <w:r>
        <w:rPr>
          <w:spacing w:val="-4"/>
          <w:sz w:val="20"/>
        </w:rPr>
        <w:t xml:space="preserve"> </w:t>
      </w:r>
      <w:r>
        <w:rPr>
          <w:sz w:val="20"/>
        </w:rPr>
        <w:t>partner</w:t>
      </w:r>
      <w:r>
        <w:rPr>
          <w:spacing w:val="-4"/>
          <w:sz w:val="20"/>
        </w:rPr>
        <w:t xml:space="preserve"> </w:t>
      </w:r>
      <w:r>
        <w:rPr>
          <w:sz w:val="20"/>
        </w:rPr>
        <w:t>who is</w:t>
      </w:r>
      <w:r>
        <w:rPr>
          <w:spacing w:val="-12"/>
          <w:sz w:val="20"/>
        </w:rPr>
        <w:t xml:space="preserve"> </w:t>
      </w:r>
      <w:r>
        <w:rPr>
          <w:sz w:val="20"/>
        </w:rPr>
        <w:t>the</w:t>
      </w:r>
      <w:r>
        <w:rPr>
          <w:spacing w:val="-11"/>
          <w:sz w:val="20"/>
        </w:rPr>
        <w:t xml:space="preserve"> </w:t>
      </w:r>
      <w:r>
        <w:rPr>
          <w:sz w:val="20"/>
        </w:rPr>
        <w:t>same</w:t>
      </w:r>
      <w:r>
        <w:rPr>
          <w:spacing w:val="-11"/>
          <w:sz w:val="20"/>
        </w:rPr>
        <w:t xml:space="preserve"> </w:t>
      </w:r>
      <w:r>
        <w:rPr>
          <w:sz w:val="20"/>
        </w:rPr>
        <w:t>sex</w:t>
      </w:r>
      <w:r>
        <w:rPr>
          <w:spacing w:val="-12"/>
          <w:sz w:val="20"/>
        </w:rPr>
        <w:t xml:space="preserve"> </w:t>
      </w:r>
      <w:r>
        <w:rPr>
          <w:sz w:val="20"/>
        </w:rPr>
        <w:t>or</w:t>
      </w:r>
      <w:r>
        <w:rPr>
          <w:spacing w:val="-11"/>
          <w:sz w:val="20"/>
        </w:rPr>
        <w:t xml:space="preserve"> </w:t>
      </w:r>
      <w:r>
        <w:rPr>
          <w:sz w:val="20"/>
        </w:rPr>
        <w:t>has</w:t>
      </w:r>
      <w:r>
        <w:rPr>
          <w:spacing w:val="-11"/>
          <w:sz w:val="20"/>
        </w:rPr>
        <w:t xml:space="preserve"> </w:t>
      </w:r>
      <w:r>
        <w:rPr>
          <w:sz w:val="20"/>
        </w:rPr>
        <w:t>the</w:t>
      </w:r>
      <w:r>
        <w:rPr>
          <w:spacing w:val="-12"/>
          <w:sz w:val="20"/>
        </w:rPr>
        <w:t xml:space="preserve"> </w:t>
      </w:r>
      <w:r>
        <w:rPr>
          <w:sz w:val="20"/>
        </w:rPr>
        <w:t>same</w:t>
      </w:r>
      <w:r>
        <w:rPr>
          <w:spacing w:val="-11"/>
          <w:sz w:val="20"/>
        </w:rPr>
        <w:t xml:space="preserve"> </w:t>
      </w:r>
      <w:r>
        <w:rPr>
          <w:sz w:val="20"/>
        </w:rPr>
        <w:t>r</w:t>
      </w:r>
      <w:r>
        <w:rPr>
          <w:sz w:val="20"/>
        </w:rPr>
        <w:t>eproductive</w:t>
      </w:r>
      <w:r>
        <w:rPr>
          <w:spacing w:val="-11"/>
          <w:sz w:val="20"/>
        </w:rPr>
        <w:t xml:space="preserve"> </w:t>
      </w:r>
      <w:r>
        <w:rPr>
          <w:sz w:val="20"/>
        </w:rPr>
        <w:t>anatomy.</w:t>
      </w:r>
      <w:r>
        <w:rPr>
          <w:spacing w:val="-12"/>
          <w:sz w:val="20"/>
        </w:rPr>
        <w:t xml:space="preserve"> </w:t>
      </w:r>
      <w:r>
        <w:rPr>
          <w:sz w:val="20"/>
        </w:rPr>
        <w:t>Expanding</w:t>
      </w:r>
      <w:r>
        <w:rPr>
          <w:spacing w:val="-11"/>
          <w:sz w:val="20"/>
        </w:rPr>
        <w:t xml:space="preserve"> </w:t>
      </w:r>
      <w:r>
        <w:rPr>
          <w:sz w:val="20"/>
        </w:rPr>
        <w:t>access</w:t>
      </w:r>
      <w:r>
        <w:rPr>
          <w:spacing w:val="-11"/>
          <w:sz w:val="20"/>
        </w:rPr>
        <w:t xml:space="preserve"> </w:t>
      </w:r>
      <w:r>
        <w:rPr>
          <w:sz w:val="20"/>
        </w:rPr>
        <w:t>to</w:t>
      </w:r>
      <w:r>
        <w:rPr>
          <w:spacing w:val="-11"/>
          <w:sz w:val="20"/>
        </w:rPr>
        <w:t xml:space="preserve"> </w:t>
      </w:r>
      <w:r>
        <w:rPr>
          <w:sz w:val="20"/>
        </w:rPr>
        <w:t>fertility</w:t>
      </w:r>
      <w:r>
        <w:rPr>
          <w:spacing w:val="-12"/>
          <w:sz w:val="20"/>
        </w:rPr>
        <w:t xml:space="preserve"> </w:t>
      </w:r>
      <w:r>
        <w:rPr>
          <w:sz w:val="20"/>
        </w:rPr>
        <w:t>treatments</w:t>
      </w:r>
      <w:r>
        <w:rPr>
          <w:spacing w:val="-11"/>
          <w:sz w:val="20"/>
        </w:rPr>
        <w:t xml:space="preserve"> </w:t>
      </w:r>
      <w:r>
        <w:rPr>
          <w:sz w:val="20"/>
        </w:rPr>
        <w:t>for</w:t>
      </w:r>
      <w:r>
        <w:rPr>
          <w:spacing w:val="-11"/>
          <w:sz w:val="20"/>
        </w:rPr>
        <w:t xml:space="preserve"> </w:t>
      </w:r>
      <w:r>
        <w:rPr>
          <w:sz w:val="20"/>
        </w:rPr>
        <w:t>LGBTQ</w:t>
      </w:r>
      <w:r>
        <w:rPr>
          <w:spacing w:val="-12"/>
          <w:sz w:val="20"/>
        </w:rPr>
        <w:t xml:space="preserve"> </w:t>
      </w:r>
      <w:r>
        <w:rPr>
          <w:sz w:val="20"/>
        </w:rPr>
        <w:t>individuals assigned female at birth furthers</w:t>
      </w:r>
      <w:r>
        <w:rPr>
          <w:spacing w:val="-1"/>
          <w:sz w:val="20"/>
        </w:rPr>
        <w:t xml:space="preserve"> </w:t>
      </w:r>
      <w:r>
        <w:rPr>
          <w:sz w:val="20"/>
        </w:rPr>
        <w:t>reproductive rights for those who do not fall under the heteronormative ideals</w:t>
      </w:r>
      <w:r>
        <w:rPr>
          <w:spacing w:val="-1"/>
          <w:sz w:val="20"/>
        </w:rPr>
        <w:t xml:space="preserve"> </w:t>
      </w:r>
      <w:r>
        <w:rPr>
          <w:sz w:val="20"/>
        </w:rPr>
        <w:t>of what</w:t>
      </w:r>
      <w:r>
        <w:rPr>
          <w:spacing w:val="-7"/>
          <w:sz w:val="20"/>
        </w:rPr>
        <w:t xml:space="preserve"> </w:t>
      </w:r>
      <w:r>
        <w:rPr>
          <w:sz w:val="20"/>
        </w:rPr>
        <w:t>a</w:t>
      </w:r>
      <w:r>
        <w:rPr>
          <w:spacing w:val="-7"/>
          <w:sz w:val="20"/>
        </w:rPr>
        <w:t xml:space="preserve"> </w:t>
      </w:r>
      <w:r>
        <w:rPr>
          <w:sz w:val="20"/>
        </w:rPr>
        <w:t>“mother”</w:t>
      </w:r>
      <w:r>
        <w:rPr>
          <w:spacing w:val="-7"/>
          <w:sz w:val="20"/>
        </w:rPr>
        <w:t xml:space="preserve"> </w:t>
      </w:r>
      <w:r>
        <w:rPr>
          <w:sz w:val="20"/>
        </w:rPr>
        <w:t>or</w:t>
      </w:r>
      <w:r>
        <w:rPr>
          <w:spacing w:val="-7"/>
          <w:sz w:val="20"/>
        </w:rPr>
        <w:t xml:space="preserve"> </w:t>
      </w:r>
      <w:r>
        <w:rPr>
          <w:sz w:val="20"/>
        </w:rPr>
        <w:t>parent</w:t>
      </w:r>
      <w:r>
        <w:rPr>
          <w:spacing w:val="-7"/>
          <w:sz w:val="20"/>
        </w:rPr>
        <w:t xml:space="preserve"> </w:t>
      </w:r>
      <w:r>
        <w:rPr>
          <w:sz w:val="20"/>
        </w:rPr>
        <w:t>should</w:t>
      </w:r>
      <w:r>
        <w:rPr>
          <w:spacing w:val="-7"/>
          <w:sz w:val="20"/>
        </w:rPr>
        <w:t xml:space="preserve"> </w:t>
      </w:r>
      <w:r>
        <w:rPr>
          <w:sz w:val="20"/>
        </w:rPr>
        <w:t>be.</w:t>
      </w:r>
      <w:r>
        <w:rPr>
          <w:spacing w:val="-7"/>
          <w:sz w:val="20"/>
        </w:rPr>
        <w:t xml:space="preserve"> </w:t>
      </w:r>
      <w:r>
        <w:rPr>
          <w:sz w:val="20"/>
        </w:rPr>
        <w:t>For</w:t>
      </w:r>
      <w:r>
        <w:rPr>
          <w:spacing w:val="-7"/>
          <w:sz w:val="20"/>
        </w:rPr>
        <w:t xml:space="preserve"> </w:t>
      </w:r>
      <w:r>
        <w:rPr>
          <w:sz w:val="20"/>
        </w:rPr>
        <w:t>LGBTQ</w:t>
      </w:r>
      <w:r>
        <w:rPr>
          <w:spacing w:val="-7"/>
          <w:sz w:val="20"/>
        </w:rPr>
        <w:t xml:space="preserve"> </w:t>
      </w:r>
      <w:r>
        <w:rPr>
          <w:sz w:val="20"/>
        </w:rPr>
        <w:t>youth,</w:t>
      </w:r>
      <w:r>
        <w:rPr>
          <w:spacing w:val="-7"/>
          <w:sz w:val="20"/>
        </w:rPr>
        <w:t xml:space="preserve"> </w:t>
      </w:r>
      <w:r>
        <w:rPr>
          <w:sz w:val="20"/>
        </w:rPr>
        <w:t>doula</w:t>
      </w:r>
      <w:r>
        <w:rPr>
          <w:spacing w:val="-7"/>
          <w:sz w:val="20"/>
        </w:rPr>
        <w:t xml:space="preserve"> </w:t>
      </w:r>
      <w:r>
        <w:rPr>
          <w:sz w:val="20"/>
        </w:rPr>
        <w:t>services</w:t>
      </w:r>
      <w:r>
        <w:rPr>
          <w:spacing w:val="-8"/>
          <w:sz w:val="20"/>
        </w:rPr>
        <w:t xml:space="preserve"> </w:t>
      </w:r>
      <w:r>
        <w:rPr>
          <w:sz w:val="20"/>
        </w:rPr>
        <w:t>can</w:t>
      </w:r>
      <w:r>
        <w:rPr>
          <w:spacing w:val="-7"/>
          <w:sz w:val="20"/>
        </w:rPr>
        <w:t xml:space="preserve"> </w:t>
      </w:r>
      <w:r>
        <w:rPr>
          <w:sz w:val="20"/>
        </w:rPr>
        <w:t>provide</w:t>
      </w:r>
      <w:r>
        <w:rPr>
          <w:spacing w:val="-8"/>
          <w:sz w:val="20"/>
        </w:rPr>
        <w:t xml:space="preserve"> </w:t>
      </w:r>
      <w:r>
        <w:rPr>
          <w:sz w:val="20"/>
        </w:rPr>
        <w:t>a</w:t>
      </w:r>
      <w:r>
        <w:rPr>
          <w:spacing w:val="-7"/>
          <w:sz w:val="20"/>
        </w:rPr>
        <w:t xml:space="preserve"> </w:t>
      </w:r>
      <w:r>
        <w:rPr>
          <w:sz w:val="20"/>
        </w:rPr>
        <w:t>wide</w:t>
      </w:r>
      <w:r>
        <w:rPr>
          <w:spacing w:val="-8"/>
          <w:sz w:val="20"/>
        </w:rPr>
        <w:t xml:space="preserve"> </w:t>
      </w:r>
      <w:r>
        <w:rPr>
          <w:sz w:val="20"/>
        </w:rPr>
        <w:t>range</w:t>
      </w:r>
      <w:r>
        <w:rPr>
          <w:spacing w:val="-8"/>
          <w:sz w:val="20"/>
        </w:rPr>
        <w:t xml:space="preserve"> </w:t>
      </w:r>
      <w:r>
        <w:rPr>
          <w:sz w:val="20"/>
        </w:rPr>
        <w:t>of</w:t>
      </w:r>
      <w:r>
        <w:rPr>
          <w:spacing w:val="-8"/>
          <w:sz w:val="20"/>
        </w:rPr>
        <w:t xml:space="preserve"> </w:t>
      </w:r>
      <w:r>
        <w:rPr>
          <w:sz w:val="20"/>
        </w:rPr>
        <w:t>support</w:t>
      </w:r>
      <w:r>
        <w:rPr>
          <w:spacing w:val="-7"/>
          <w:sz w:val="20"/>
        </w:rPr>
        <w:t xml:space="preserve"> </w:t>
      </w:r>
      <w:r>
        <w:rPr>
          <w:sz w:val="20"/>
        </w:rPr>
        <w:t>whether it</w:t>
      </w:r>
      <w:r>
        <w:rPr>
          <w:spacing w:val="-3"/>
          <w:sz w:val="20"/>
        </w:rPr>
        <w:t xml:space="preserve"> </w:t>
      </w:r>
      <w:r>
        <w:rPr>
          <w:sz w:val="20"/>
        </w:rPr>
        <w:t>be</w:t>
      </w:r>
      <w:r>
        <w:rPr>
          <w:spacing w:val="-4"/>
          <w:sz w:val="20"/>
        </w:rPr>
        <w:t xml:space="preserve"> </w:t>
      </w:r>
      <w:r>
        <w:rPr>
          <w:sz w:val="20"/>
        </w:rPr>
        <w:t>for</w:t>
      </w:r>
      <w:r>
        <w:rPr>
          <w:spacing w:val="-3"/>
          <w:sz w:val="20"/>
        </w:rPr>
        <w:t xml:space="preserve"> </w:t>
      </w:r>
      <w:r>
        <w:rPr>
          <w:sz w:val="20"/>
        </w:rPr>
        <w:t>pregnancy-related</w:t>
      </w:r>
      <w:r>
        <w:rPr>
          <w:spacing w:val="-2"/>
          <w:sz w:val="20"/>
        </w:rPr>
        <w:t xml:space="preserve"> </w:t>
      </w:r>
      <w:r>
        <w:rPr>
          <w:sz w:val="20"/>
        </w:rPr>
        <w:t>reasons,</w:t>
      </w:r>
      <w:r>
        <w:rPr>
          <w:spacing w:val="-2"/>
          <w:sz w:val="20"/>
        </w:rPr>
        <w:t xml:space="preserve"> </w:t>
      </w:r>
      <w:r>
        <w:rPr>
          <w:sz w:val="20"/>
        </w:rPr>
        <w:t>abortion</w:t>
      </w:r>
      <w:r>
        <w:rPr>
          <w:spacing w:val="-2"/>
          <w:sz w:val="20"/>
        </w:rPr>
        <w:t xml:space="preserve"> </w:t>
      </w:r>
      <w:r>
        <w:rPr>
          <w:sz w:val="20"/>
        </w:rPr>
        <w:t>support,</w:t>
      </w:r>
      <w:r>
        <w:rPr>
          <w:spacing w:val="-2"/>
          <w:sz w:val="20"/>
        </w:rPr>
        <w:t xml:space="preserve"> </w:t>
      </w:r>
      <w:r>
        <w:rPr>
          <w:sz w:val="20"/>
        </w:rPr>
        <w:t>and</w:t>
      </w:r>
      <w:r>
        <w:rPr>
          <w:spacing w:val="-2"/>
          <w:sz w:val="20"/>
        </w:rPr>
        <w:t xml:space="preserve"> </w:t>
      </w:r>
      <w:r>
        <w:rPr>
          <w:sz w:val="20"/>
        </w:rPr>
        <w:t>even</w:t>
      </w:r>
      <w:r>
        <w:rPr>
          <w:spacing w:val="-2"/>
          <w:sz w:val="20"/>
        </w:rPr>
        <w:t xml:space="preserve"> </w:t>
      </w:r>
      <w:r>
        <w:rPr>
          <w:sz w:val="20"/>
        </w:rPr>
        <w:t>gender-affirming</w:t>
      </w:r>
      <w:r>
        <w:rPr>
          <w:spacing w:val="-3"/>
          <w:sz w:val="20"/>
        </w:rPr>
        <w:t xml:space="preserve"> </w:t>
      </w:r>
      <w:r>
        <w:rPr>
          <w:sz w:val="20"/>
        </w:rPr>
        <w:t>healthcare</w:t>
      </w:r>
      <w:r>
        <w:rPr>
          <w:spacing w:val="-4"/>
          <w:sz w:val="20"/>
        </w:rPr>
        <w:t xml:space="preserve"> </w:t>
      </w:r>
      <w:r>
        <w:rPr>
          <w:sz w:val="20"/>
        </w:rPr>
        <w:t>support.</w:t>
      </w:r>
      <w:r>
        <w:rPr>
          <w:spacing w:val="-3"/>
          <w:sz w:val="20"/>
        </w:rPr>
        <w:t xml:space="preserve"> </w:t>
      </w:r>
      <w:r>
        <w:rPr>
          <w:sz w:val="20"/>
        </w:rPr>
        <w:t>LGBTQ</w:t>
      </w:r>
      <w:r>
        <w:rPr>
          <w:spacing w:val="-3"/>
          <w:sz w:val="20"/>
        </w:rPr>
        <w:t xml:space="preserve"> </w:t>
      </w:r>
      <w:r>
        <w:rPr>
          <w:sz w:val="20"/>
        </w:rPr>
        <w:t>youth also</w:t>
      </w:r>
      <w:r>
        <w:rPr>
          <w:spacing w:val="-8"/>
          <w:sz w:val="20"/>
        </w:rPr>
        <w:t xml:space="preserve"> </w:t>
      </w:r>
      <w:r>
        <w:rPr>
          <w:sz w:val="20"/>
        </w:rPr>
        <w:t>deserve</w:t>
      </w:r>
      <w:r>
        <w:rPr>
          <w:spacing w:val="-9"/>
          <w:sz w:val="20"/>
        </w:rPr>
        <w:t xml:space="preserve"> </w:t>
      </w:r>
      <w:r>
        <w:rPr>
          <w:sz w:val="20"/>
        </w:rPr>
        <w:t>access</w:t>
      </w:r>
      <w:r>
        <w:rPr>
          <w:spacing w:val="-9"/>
          <w:sz w:val="20"/>
        </w:rPr>
        <w:t xml:space="preserve"> </w:t>
      </w:r>
      <w:r>
        <w:rPr>
          <w:sz w:val="20"/>
        </w:rPr>
        <w:t>to</w:t>
      </w:r>
      <w:r>
        <w:rPr>
          <w:spacing w:val="-8"/>
          <w:sz w:val="20"/>
        </w:rPr>
        <w:t xml:space="preserve"> </w:t>
      </w:r>
      <w:r>
        <w:rPr>
          <w:sz w:val="20"/>
        </w:rPr>
        <w:t>abortion</w:t>
      </w:r>
      <w:r>
        <w:rPr>
          <w:spacing w:val="-8"/>
          <w:sz w:val="20"/>
        </w:rPr>
        <w:t xml:space="preserve"> </w:t>
      </w:r>
      <w:r>
        <w:rPr>
          <w:sz w:val="20"/>
        </w:rPr>
        <w:t>care,</w:t>
      </w:r>
      <w:r>
        <w:rPr>
          <w:spacing w:val="-8"/>
          <w:sz w:val="20"/>
        </w:rPr>
        <w:t xml:space="preserve"> </w:t>
      </w:r>
      <w:r>
        <w:rPr>
          <w:sz w:val="20"/>
        </w:rPr>
        <w:t>birth</w:t>
      </w:r>
      <w:r>
        <w:rPr>
          <w:spacing w:val="-9"/>
          <w:sz w:val="20"/>
        </w:rPr>
        <w:t xml:space="preserve"> </w:t>
      </w:r>
      <w:r>
        <w:rPr>
          <w:sz w:val="20"/>
        </w:rPr>
        <w:t>control</w:t>
      </w:r>
      <w:r>
        <w:rPr>
          <w:spacing w:val="-9"/>
          <w:sz w:val="20"/>
        </w:rPr>
        <w:t xml:space="preserve"> </w:t>
      </w:r>
      <w:r>
        <w:rPr>
          <w:sz w:val="20"/>
        </w:rPr>
        <w:t>access,</w:t>
      </w:r>
      <w:r>
        <w:rPr>
          <w:spacing w:val="-8"/>
          <w:sz w:val="20"/>
        </w:rPr>
        <w:t xml:space="preserve"> </w:t>
      </w:r>
      <w:r>
        <w:rPr>
          <w:sz w:val="20"/>
        </w:rPr>
        <w:t>and</w:t>
      </w:r>
      <w:r>
        <w:rPr>
          <w:spacing w:val="-8"/>
          <w:sz w:val="20"/>
        </w:rPr>
        <w:t xml:space="preserve"> </w:t>
      </w:r>
      <w:r>
        <w:rPr>
          <w:sz w:val="20"/>
        </w:rPr>
        <w:t>access</w:t>
      </w:r>
      <w:r>
        <w:rPr>
          <w:spacing w:val="-9"/>
          <w:sz w:val="20"/>
        </w:rPr>
        <w:t xml:space="preserve"> </w:t>
      </w:r>
      <w:r>
        <w:rPr>
          <w:sz w:val="20"/>
        </w:rPr>
        <w:t>to</w:t>
      </w:r>
      <w:r>
        <w:rPr>
          <w:spacing w:val="-8"/>
          <w:sz w:val="20"/>
        </w:rPr>
        <w:t xml:space="preserve"> </w:t>
      </w:r>
      <w:r>
        <w:rPr>
          <w:sz w:val="20"/>
        </w:rPr>
        <w:t>menstrual</w:t>
      </w:r>
      <w:r>
        <w:rPr>
          <w:spacing w:val="-9"/>
          <w:sz w:val="20"/>
        </w:rPr>
        <w:t xml:space="preserve"> </w:t>
      </w:r>
      <w:r>
        <w:rPr>
          <w:sz w:val="20"/>
        </w:rPr>
        <w:t>products</w:t>
      </w:r>
      <w:r>
        <w:rPr>
          <w:spacing w:val="-9"/>
          <w:sz w:val="20"/>
        </w:rPr>
        <w:t xml:space="preserve"> </w:t>
      </w:r>
      <w:r>
        <w:rPr>
          <w:sz w:val="20"/>
        </w:rPr>
        <w:t>and</w:t>
      </w:r>
      <w:r>
        <w:rPr>
          <w:spacing w:val="-8"/>
          <w:sz w:val="20"/>
        </w:rPr>
        <w:t xml:space="preserve"> </w:t>
      </w:r>
      <w:r>
        <w:rPr>
          <w:sz w:val="20"/>
        </w:rPr>
        <w:t>the</w:t>
      </w:r>
      <w:r>
        <w:rPr>
          <w:spacing w:val="-9"/>
          <w:sz w:val="20"/>
        </w:rPr>
        <w:t xml:space="preserve"> </w:t>
      </w:r>
      <w:r>
        <w:rPr>
          <w:sz w:val="20"/>
        </w:rPr>
        <w:t>Commonwealth has the opportunity to further expand access through legislation.</w:t>
      </w:r>
    </w:p>
    <w:p w:rsidR="00200FDA" w:rsidRDefault="00200FDA">
      <w:pPr>
        <w:pStyle w:val="BodyText"/>
        <w:rPr>
          <w:sz w:val="20"/>
        </w:rPr>
      </w:pPr>
    </w:p>
    <w:p w:rsidR="00200FDA" w:rsidRDefault="00F76C4C">
      <w:pPr>
        <w:pStyle w:val="Heading7"/>
        <w:spacing w:before="156"/>
        <w:ind w:left="140"/>
      </w:pPr>
      <w:r>
        <w:pict>
          <v:rect id="docshape323" o:spid="_x0000_s1260" style="position:absolute;left:0;text-align:left;margin-left:70.55pt;margin-top:42.95pt;width:470.9pt;height:.5pt;z-index:-15680000;mso-wrap-distance-left:0;mso-wrap-distance-right:0;mso-position-horizontal-relative:page" fillcolor="#4471c4" stroked="f">
            <w10:wrap type="topAndBottom" anchorx="page"/>
          </v:rect>
        </w:pict>
      </w:r>
      <w:r>
        <w:rPr>
          <w:color w:val="2E5395"/>
        </w:rPr>
        <w:t>FY</w:t>
      </w:r>
      <w:r>
        <w:rPr>
          <w:color w:val="2E5395"/>
          <w:spacing w:val="-4"/>
        </w:rPr>
        <w:t xml:space="preserve"> </w:t>
      </w:r>
      <w:r>
        <w:rPr>
          <w:color w:val="2E5395"/>
        </w:rPr>
        <w:t>2024</w:t>
      </w:r>
      <w:r>
        <w:rPr>
          <w:color w:val="2E5395"/>
          <w:spacing w:val="-5"/>
        </w:rPr>
        <w:t xml:space="preserve"> </w:t>
      </w:r>
      <w:r>
        <w:rPr>
          <w:color w:val="2E5395"/>
        </w:rPr>
        <w:t>Recommendations</w:t>
      </w:r>
      <w:r>
        <w:rPr>
          <w:color w:val="2E5395"/>
          <w:spacing w:val="-3"/>
        </w:rPr>
        <w:t xml:space="preserve"> </w:t>
      </w:r>
      <w:r>
        <w:rPr>
          <w:color w:val="2E5395"/>
        </w:rPr>
        <w:t>to</w:t>
      </w:r>
      <w:r>
        <w:rPr>
          <w:color w:val="2E5395"/>
          <w:spacing w:val="-4"/>
        </w:rPr>
        <w:t xml:space="preserve"> </w:t>
      </w:r>
      <w:r>
        <w:rPr>
          <w:color w:val="2E5395"/>
        </w:rPr>
        <w:t>the</w:t>
      </w:r>
      <w:r>
        <w:rPr>
          <w:color w:val="2E5395"/>
          <w:spacing w:val="-5"/>
        </w:rPr>
        <w:t xml:space="preserve"> </w:t>
      </w:r>
      <w:r>
        <w:rPr>
          <w:color w:val="2E5395"/>
        </w:rPr>
        <w:t>Governor</w:t>
      </w:r>
      <w:r>
        <w:rPr>
          <w:color w:val="2E5395"/>
          <w:spacing w:val="-4"/>
        </w:rPr>
        <w:t xml:space="preserve"> </w:t>
      </w:r>
      <w:r>
        <w:rPr>
          <w:color w:val="2E5395"/>
        </w:rPr>
        <w:t>and</w:t>
      </w:r>
      <w:r>
        <w:rPr>
          <w:color w:val="2E5395"/>
          <w:spacing w:val="-6"/>
        </w:rPr>
        <w:t xml:space="preserve"> </w:t>
      </w:r>
      <w:r>
        <w:rPr>
          <w:color w:val="2E5395"/>
        </w:rPr>
        <w:t>Legislature</w:t>
      </w:r>
      <w:r>
        <w:rPr>
          <w:color w:val="2E5395"/>
          <w:spacing w:val="-5"/>
        </w:rPr>
        <w:t xml:space="preserve"> </w:t>
      </w:r>
      <w:r>
        <w:rPr>
          <w:color w:val="2E5395"/>
        </w:rPr>
        <w:t>on</w:t>
      </w:r>
      <w:r>
        <w:rPr>
          <w:color w:val="2E5395"/>
          <w:spacing w:val="-6"/>
        </w:rPr>
        <w:t xml:space="preserve"> </w:t>
      </w:r>
      <w:r>
        <w:rPr>
          <w:color w:val="2E5395"/>
        </w:rPr>
        <w:t>Pregnancy</w:t>
      </w:r>
      <w:r>
        <w:rPr>
          <w:color w:val="2E5395"/>
          <w:spacing w:val="-5"/>
        </w:rPr>
        <w:t xml:space="preserve"> </w:t>
      </w:r>
      <w:r>
        <w:rPr>
          <w:color w:val="2E5395"/>
        </w:rPr>
        <w:t>&amp; Gynecological Health</w:t>
      </w:r>
    </w:p>
    <w:p w:rsidR="00200FDA" w:rsidRDefault="00200FDA">
      <w:pPr>
        <w:pStyle w:val="BodyText"/>
        <w:rPr>
          <w:sz w:val="15"/>
        </w:rPr>
      </w:pPr>
    </w:p>
    <w:p w:rsidR="00200FDA" w:rsidRDefault="00F76C4C">
      <w:pPr>
        <w:pStyle w:val="Heading9"/>
        <w:numPr>
          <w:ilvl w:val="0"/>
          <w:numId w:val="31"/>
        </w:numPr>
        <w:tabs>
          <w:tab w:val="left" w:pos="354"/>
        </w:tabs>
        <w:spacing w:before="56" w:line="264" w:lineRule="auto"/>
        <w:ind w:right="335" w:firstLine="0"/>
      </w:pPr>
      <w:r>
        <w:t>Improve</w:t>
      </w:r>
      <w:r>
        <w:rPr>
          <w:spacing w:val="-11"/>
        </w:rPr>
        <w:t xml:space="preserve"> </w:t>
      </w:r>
      <w:r>
        <w:t>SOGI</w:t>
      </w:r>
      <w:r>
        <w:rPr>
          <w:spacing w:val="-9"/>
        </w:rPr>
        <w:t xml:space="preserve"> </w:t>
      </w:r>
      <w:r>
        <w:t>data</w:t>
      </w:r>
      <w:r>
        <w:rPr>
          <w:spacing w:val="-12"/>
        </w:rPr>
        <w:t xml:space="preserve"> </w:t>
      </w:r>
      <w:r>
        <w:t>collection</w:t>
      </w:r>
      <w:r>
        <w:rPr>
          <w:spacing w:val="-11"/>
        </w:rPr>
        <w:t xml:space="preserve"> </w:t>
      </w:r>
      <w:r>
        <w:t>efforts</w:t>
      </w:r>
      <w:r>
        <w:rPr>
          <w:spacing w:val="-9"/>
        </w:rPr>
        <w:t xml:space="preserve"> </w:t>
      </w:r>
      <w:r>
        <w:t>across</w:t>
      </w:r>
      <w:r>
        <w:rPr>
          <w:spacing w:val="-9"/>
        </w:rPr>
        <w:t xml:space="preserve"> </w:t>
      </w:r>
      <w:r>
        <w:t>state</w:t>
      </w:r>
      <w:r>
        <w:rPr>
          <w:spacing w:val="-11"/>
        </w:rPr>
        <w:t xml:space="preserve"> </w:t>
      </w:r>
      <w:r>
        <w:t>services</w:t>
      </w:r>
      <w:r>
        <w:rPr>
          <w:spacing w:val="-12"/>
        </w:rPr>
        <w:t xml:space="preserve"> </w:t>
      </w:r>
      <w:r>
        <w:t>as</w:t>
      </w:r>
      <w:r>
        <w:rPr>
          <w:spacing w:val="-12"/>
        </w:rPr>
        <w:t xml:space="preserve"> </w:t>
      </w:r>
      <w:r>
        <w:t>it</w:t>
      </w:r>
      <w:r>
        <w:rPr>
          <w:spacing w:val="-12"/>
        </w:rPr>
        <w:t xml:space="preserve"> </w:t>
      </w:r>
      <w:r>
        <w:t>relates</w:t>
      </w:r>
      <w:r>
        <w:rPr>
          <w:spacing w:val="-12"/>
        </w:rPr>
        <w:t xml:space="preserve"> </w:t>
      </w:r>
      <w:r>
        <w:t>to</w:t>
      </w:r>
      <w:r>
        <w:rPr>
          <w:spacing w:val="-11"/>
        </w:rPr>
        <w:t xml:space="preserve"> </w:t>
      </w:r>
      <w:r>
        <w:t>pregnancy</w:t>
      </w:r>
      <w:r>
        <w:rPr>
          <w:spacing w:val="-9"/>
        </w:rPr>
        <w:t xml:space="preserve"> </w:t>
      </w:r>
      <w:r>
        <w:t>service</w:t>
      </w:r>
      <w:r>
        <w:rPr>
          <w:spacing w:val="-12"/>
        </w:rPr>
        <w:t xml:space="preserve"> </w:t>
      </w:r>
      <w:r>
        <w:t>needs</w:t>
      </w:r>
      <w:r>
        <w:rPr>
          <w:spacing w:val="-9"/>
        </w:rPr>
        <w:t xml:space="preserve"> </w:t>
      </w:r>
      <w:r>
        <w:t>and mortality rates.</w:t>
      </w:r>
    </w:p>
    <w:p w:rsidR="00200FDA" w:rsidRDefault="00200FDA">
      <w:pPr>
        <w:pStyle w:val="BodyText"/>
        <w:spacing w:before="7"/>
        <w:rPr>
          <w:b/>
          <w:sz w:val="19"/>
        </w:rPr>
      </w:pPr>
    </w:p>
    <w:p w:rsidR="00200FDA" w:rsidRDefault="00F76C4C">
      <w:pPr>
        <w:pStyle w:val="BodyText"/>
        <w:spacing w:before="1" w:line="264" w:lineRule="auto"/>
        <w:ind w:left="139" w:right="335"/>
        <w:jc w:val="both"/>
      </w:pPr>
      <w:r>
        <w:t>As discussed throughout this section, there remains a critical lack of SOGI data collection as it relates to pregnancy</w:t>
      </w:r>
      <w:r>
        <w:rPr>
          <w:spacing w:val="-1"/>
        </w:rPr>
        <w:t xml:space="preserve"> </w:t>
      </w:r>
      <w:r>
        <w:t>and</w:t>
      </w:r>
      <w:r>
        <w:rPr>
          <w:spacing w:val="-2"/>
        </w:rPr>
        <w:t xml:space="preserve"> </w:t>
      </w:r>
      <w:r>
        <w:t>abortion</w:t>
      </w:r>
      <w:r>
        <w:rPr>
          <w:spacing w:val="-2"/>
        </w:rPr>
        <w:t xml:space="preserve"> </w:t>
      </w:r>
      <w:r>
        <w:t>services,</w:t>
      </w:r>
      <w:r>
        <w:rPr>
          <w:spacing w:val="-2"/>
        </w:rPr>
        <w:t xml:space="preserve"> </w:t>
      </w:r>
      <w:r>
        <w:t>as</w:t>
      </w:r>
      <w:r>
        <w:rPr>
          <w:spacing w:val="-2"/>
        </w:rPr>
        <w:t xml:space="preserve"> </w:t>
      </w:r>
      <w:r>
        <w:t>well</w:t>
      </w:r>
      <w:r>
        <w:rPr>
          <w:spacing w:val="-2"/>
        </w:rPr>
        <w:t xml:space="preserve"> </w:t>
      </w:r>
      <w:r>
        <w:t>as</w:t>
      </w:r>
      <w:r>
        <w:rPr>
          <w:spacing w:val="-3"/>
        </w:rPr>
        <w:t xml:space="preserve"> </w:t>
      </w:r>
      <w:r>
        <w:t>mortality</w:t>
      </w:r>
      <w:r>
        <w:rPr>
          <w:spacing w:val="-2"/>
        </w:rPr>
        <w:t xml:space="preserve"> </w:t>
      </w:r>
      <w:r>
        <w:t>rates</w:t>
      </w:r>
      <w:r>
        <w:rPr>
          <w:spacing w:val="-2"/>
        </w:rPr>
        <w:t xml:space="preserve"> </w:t>
      </w:r>
      <w:r>
        <w:t>for</w:t>
      </w:r>
      <w:r>
        <w:rPr>
          <w:spacing w:val="-2"/>
        </w:rPr>
        <w:t xml:space="preserve"> </w:t>
      </w:r>
      <w:r>
        <w:t>birthing</w:t>
      </w:r>
      <w:r>
        <w:rPr>
          <w:spacing w:val="-2"/>
        </w:rPr>
        <w:t xml:space="preserve"> </w:t>
      </w:r>
      <w:r>
        <w:t>people.</w:t>
      </w:r>
      <w:r>
        <w:rPr>
          <w:spacing w:val="-2"/>
        </w:rPr>
        <w:t xml:space="preserve"> </w:t>
      </w:r>
      <w:r>
        <w:t>Without</w:t>
      </w:r>
      <w:r>
        <w:rPr>
          <w:spacing w:val="-1"/>
        </w:rPr>
        <w:t xml:space="preserve"> </w:t>
      </w:r>
      <w:r>
        <w:t>this</w:t>
      </w:r>
      <w:r>
        <w:rPr>
          <w:spacing w:val="-2"/>
        </w:rPr>
        <w:t xml:space="preserve"> </w:t>
      </w:r>
      <w:r>
        <w:t>information, it is difficult to accurately capture the experiences of LGBTQ individuals across the state who seek reproductive</w:t>
      </w:r>
      <w:r>
        <w:rPr>
          <w:spacing w:val="-1"/>
        </w:rPr>
        <w:t xml:space="preserve"> </w:t>
      </w:r>
      <w:r>
        <w:t>health</w:t>
      </w:r>
      <w:r>
        <w:rPr>
          <w:spacing w:val="-3"/>
        </w:rPr>
        <w:t xml:space="preserve"> </w:t>
      </w:r>
      <w:r>
        <w:t>care.</w:t>
      </w:r>
      <w:r>
        <w:rPr>
          <w:spacing w:val="-2"/>
        </w:rPr>
        <w:t xml:space="preserve"> </w:t>
      </w:r>
      <w:r>
        <w:t>The</w:t>
      </w:r>
      <w:r>
        <w:rPr>
          <w:spacing w:val="-1"/>
        </w:rPr>
        <w:t xml:space="preserve"> </w:t>
      </w:r>
      <w:r>
        <w:t>Commission</w:t>
      </w:r>
      <w:r>
        <w:rPr>
          <w:spacing w:val="-3"/>
        </w:rPr>
        <w:t xml:space="preserve"> </w:t>
      </w:r>
      <w:r>
        <w:t>recommends</w:t>
      </w:r>
      <w:r>
        <w:rPr>
          <w:spacing w:val="-2"/>
        </w:rPr>
        <w:t xml:space="preserve"> </w:t>
      </w:r>
      <w:r>
        <w:t>that</w:t>
      </w:r>
      <w:r>
        <w:rPr>
          <w:spacing w:val="-1"/>
        </w:rPr>
        <w:t xml:space="preserve"> </w:t>
      </w:r>
      <w:r>
        <w:t>agencies</w:t>
      </w:r>
      <w:r>
        <w:rPr>
          <w:spacing w:val="-2"/>
        </w:rPr>
        <w:t xml:space="preserve"> </w:t>
      </w:r>
      <w:r>
        <w:t>explore</w:t>
      </w:r>
      <w:r>
        <w:rPr>
          <w:spacing w:val="-1"/>
        </w:rPr>
        <w:t xml:space="preserve"> </w:t>
      </w:r>
      <w:r>
        <w:t>ways</w:t>
      </w:r>
      <w:r>
        <w:rPr>
          <w:spacing w:val="-2"/>
        </w:rPr>
        <w:t xml:space="preserve"> </w:t>
      </w:r>
      <w:r>
        <w:t>to</w:t>
      </w:r>
      <w:r>
        <w:rPr>
          <w:spacing w:val="-1"/>
        </w:rPr>
        <w:t xml:space="preserve"> </w:t>
      </w:r>
      <w:r>
        <w:t>include</w:t>
      </w:r>
      <w:r>
        <w:rPr>
          <w:spacing w:val="-1"/>
        </w:rPr>
        <w:t xml:space="preserve"> </w:t>
      </w:r>
      <w:r>
        <w:t>SOGI</w:t>
      </w:r>
      <w:r>
        <w:rPr>
          <w:spacing w:val="-2"/>
        </w:rPr>
        <w:t xml:space="preserve"> </w:t>
      </w:r>
      <w:r>
        <w:t>data collection where appropriate to bette</w:t>
      </w:r>
      <w:r>
        <w:t>r understand the need for LGBTQ-inclusive health care in all areas.</w:t>
      </w:r>
    </w:p>
    <w:p w:rsidR="00200FDA" w:rsidRDefault="00200FDA">
      <w:pPr>
        <w:pStyle w:val="BodyText"/>
        <w:spacing w:before="6"/>
        <w:rPr>
          <w:sz w:val="19"/>
        </w:rPr>
      </w:pPr>
    </w:p>
    <w:p w:rsidR="00200FDA" w:rsidRDefault="00F76C4C">
      <w:pPr>
        <w:pStyle w:val="Heading9"/>
        <w:numPr>
          <w:ilvl w:val="0"/>
          <w:numId w:val="31"/>
        </w:numPr>
        <w:tabs>
          <w:tab w:val="left" w:pos="397"/>
        </w:tabs>
        <w:spacing w:before="1" w:line="264" w:lineRule="auto"/>
        <w:ind w:left="139" w:right="333" w:firstLine="0"/>
      </w:pPr>
      <w:r>
        <w:t>Create</w:t>
      </w:r>
      <w:r>
        <w:rPr>
          <w:spacing w:val="33"/>
        </w:rPr>
        <w:t xml:space="preserve"> </w:t>
      </w:r>
      <w:r>
        <w:t>and</w:t>
      </w:r>
      <w:r>
        <w:rPr>
          <w:spacing w:val="32"/>
        </w:rPr>
        <w:t xml:space="preserve"> </w:t>
      </w:r>
      <w:r>
        <w:t>fund</w:t>
      </w:r>
      <w:r>
        <w:rPr>
          <w:spacing w:val="33"/>
        </w:rPr>
        <w:t xml:space="preserve"> </w:t>
      </w:r>
      <w:r>
        <w:t>community</w:t>
      </w:r>
      <w:r>
        <w:rPr>
          <w:spacing w:val="34"/>
        </w:rPr>
        <w:t xml:space="preserve"> </w:t>
      </w:r>
      <w:r>
        <w:t>birthing</w:t>
      </w:r>
      <w:r>
        <w:rPr>
          <w:spacing w:val="32"/>
        </w:rPr>
        <w:t xml:space="preserve"> </w:t>
      </w:r>
      <w:r>
        <w:t>centers</w:t>
      </w:r>
      <w:r>
        <w:rPr>
          <w:spacing w:val="32"/>
        </w:rPr>
        <w:t xml:space="preserve"> </w:t>
      </w:r>
      <w:r>
        <w:t>across</w:t>
      </w:r>
      <w:r>
        <w:rPr>
          <w:spacing w:val="34"/>
        </w:rPr>
        <w:t xml:space="preserve"> </w:t>
      </w:r>
      <w:r>
        <w:t>the</w:t>
      </w:r>
      <w:r>
        <w:rPr>
          <w:spacing w:val="30"/>
        </w:rPr>
        <w:t xml:space="preserve"> </w:t>
      </w:r>
      <w:r>
        <w:t>Commonwealth,</w:t>
      </w:r>
      <w:r>
        <w:rPr>
          <w:spacing w:val="32"/>
        </w:rPr>
        <w:t xml:space="preserve"> </w:t>
      </w:r>
      <w:r>
        <w:t>and</w:t>
      </w:r>
      <w:r>
        <w:rPr>
          <w:spacing w:val="33"/>
        </w:rPr>
        <w:t xml:space="preserve"> </w:t>
      </w:r>
      <w:r>
        <w:t>increase</w:t>
      </w:r>
      <w:r>
        <w:rPr>
          <w:spacing w:val="33"/>
        </w:rPr>
        <w:t xml:space="preserve"> </w:t>
      </w:r>
      <w:r>
        <w:t>access</w:t>
      </w:r>
      <w:r>
        <w:rPr>
          <w:spacing w:val="32"/>
        </w:rPr>
        <w:t xml:space="preserve"> </w:t>
      </w:r>
      <w:r>
        <w:t>to culturally competent doula services.</w:t>
      </w:r>
    </w:p>
    <w:p w:rsidR="00200FDA" w:rsidRDefault="00200FDA">
      <w:pPr>
        <w:pStyle w:val="BodyText"/>
        <w:spacing w:before="7"/>
        <w:rPr>
          <w:b/>
          <w:sz w:val="19"/>
        </w:rPr>
      </w:pPr>
    </w:p>
    <w:p w:rsidR="00200FDA" w:rsidRDefault="00F76C4C">
      <w:pPr>
        <w:pStyle w:val="BodyText"/>
        <w:spacing w:line="266" w:lineRule="auto"/>
        <w:ind w:left="139" w:right="337"/>
        <w:jc w:val="both"/>
      </w:pPr>
      <w:r>
        <w:t>In</w:t>
      </w:r>
      <w:r>
        <w:rPr>
          <w:spacing w:val="-3"/>
        </w:rPr>
        <w:t xml:space="preserve"> </w:t>
      </w:r>
      <w:r>
        <w:t>a</w:t>
      </w:r>
      <w:r>
        <w:rPr>
          <w:spacing w:val="-4"/>
        </w:rPr>
        <w:t xml:space="preserve"> </w:t>
      </w:r>
      <w:r>
        <w:t>2022</w:t>
      </w:r>
      <w:r>
        <w:rPr>
          <w:spacing w:val="-3"/>
        </w:rPr>
        <w:t xml:space="preserve"> </w:t>
      </w:r>
      <w:r>
        <w:t>national</w:t>
      </w:r>
      <w:r>
        <w:rPr>
          <w:spacing w:val="-2"/>
        </w:rPr>
        <w:t xml:space="preserve"> </w:t>
      </w:r>
      <w:r>
        <w:t>poll</w:t>
      </w:r>
      <w:r>
        <w:rPr>
          <w:spacing w:val="-2"/>
        </w:rPr>
        <w:t xml:space="preserve"> </w:t>
      </w:r>
      <w:r>
        <w:t>from</w:t>
      </w:r>
      <w:r>
        <w:rPr>
          <w:spacing w:val="-3"/>
        </w:rPr>
        <w:t xml:space="preserve"> </w:t>
      </w:r>
      <w:r>
        <w:t>the</w:t>
      </w:r>
      <w:r>
        <w:rPr>
          <w:spacing w:val="-1"/>
        </w:rPr>
        <w:t xml:space="preserve"> </w:t>
      </w:r>
      <w:r>
        <w:t>American</w:t>
      </w:r>
      <w:r>
        <w:rPr>
          <w:spacing w:val="-3"/>
        </w:rPr>
        <w:t xml:space="preserve"> </w:t>
      </w:r>
      <w:r>
        <w:t>Association</w:t>
      </w:r>
      <w:r>
        <w:rPr>
          <w:spacing w:val="-3"/>
        </w:rPr>
        <w:t xml:space="preserve"> </w:t>
      </w:r>
      <w:r>
        <w:t>of</w:t>
      </w:r>
      <w:r>
        <w:rPr>
          <w:spacing w:val="-4"/>
        </w:rPr>
        <w:t xml:space="preserve"> </w:t>
      </w:r>
      <w:r>
        <w:t>Medical</w:t>
      </w:r>
      <w:r>
        <w:rPr>
          <w:spacing w:val="-4"/>
        </w:rPr>
        <w:t xml:space="preserve"> </w:t>
      </w:r>
      <w:r>
        <w:t>Colleges,</w:t>
      </w:r>
      <w:r>
        <w:rPr>
          <w:spacing w:val="-4"/>
        </w:rPr>
        <w:t xml:space="preserve"> </w:t>
      </w:r>
      <w:r>
        <w:t>51%</w:t>
      </w:r>
      <w:r>
        <w:rPr>
          <w:spacing w:val="-6"/>
        </w:rPr>
        <w:t xml:space="preserve"> </w:t>
      </w:r>
      <w:r>
        <w:t>of</w:t>
      </w:r>
      <w:r>
        <w:rPr>
          <w:spacing w:val="-5"/>
        </w:rPr>
        <w:t xml:space="preserve"> </w:t>
      </w:r>
      <w:r>
        <w:t>LGBTQ</w:t>
      </w:r>
      <w:r>
        <w:rPr>
          <w:spacing w:val="-2"/>
        </w:rPr>
        <w:t xml:space="preserve"> </w:t>
      </w:r>
      <w:r>
        <w:t>birthing</w:t>
      </w:r>
      <w:r>
        <w:rPr>
          <w:spacing w:val="-5"/>
        </w:rPr>
        <w:t xml:space="preserve"> </w:t>
      </w:r>
      <w:r>
        <w:t>people reported</w:t>
      </w:r>
      <w:r>
        <w:rPr>
          <w:spacing w:val="-6"/>
        </w:rPr>
        <w:t xml:space="preserve"> </w:t>
      </w:r>
      <w:r>
        <w:t>that</w:t>
      </w:r>
      <w:r>
        <w:rPr>
          <w:spacing w:val="-8"/>
        </w:rPr>
        <w:t xml:space="preserve"> </w:t>
      </w:r>
      <w:r>
        <w:t>the</w:t>
      </w:r>
      <w:r>
        <w:rPr>
          <w:spacing w:val="-7"/>
        </w:rPr>
        <w:t xml:space="preserve"> </w:t>
      </w:r>
      <w:r>
        <w:t>quality</w:t>
      </w:r>
      <w:r>
        <w:rPr>
          <w:spacing w:val="-7"/>
        </w:rPr>
        <w:t xml:space="preserve"> </w:t>
      </w:r>
      <w:r>
        <w:t>of</w:t>
      </w:r>
      <w:r>
        <w:rPr>
          <w:spacing w:val="-8"/>
        </w:rPr>
        <w:t xml:space="preserve"> </w:t>
      </w:r>
      <w:r>
        <w:t>their</w:t>
      </w:r>
      <w:r>
        <w:rPr>
          <w:spacing w:val="-6"/>
        </w:rPr>
        <w:t xml:space="preserve"> </w:t>
      </w:r>
      <w:r>
        <w:t>birthing</w:t>
      </w:r>
      <w:r>
        <w:rPr>
          <w:spacing w:val="-9"/>
        </w:rPr>
        <w:t xml:space="preserve"> </w:t>
      </w:r>
      <w:r>
        <w:t>experiences</w:t>
      </w:r>
      <w:r>
        <w:rPr>
          <w:spacing w:val="-10"/>
        </w:rPr>
        <w:t xml:space="preserve"> </w:t>
      </w:r>
      <w:r>
        <w:t>was</w:t>
      </w:r>
      <w:r>
        <w:rPr>
          <w:spacing w:val="-6"/>
        </w:rPr>
        <w:t xml:space="preserve"> </w:t>
      </w:r>
      <w:r>
        <w:t>negatively</w:t>
      </w:r>
      <w:r>
        <w:rPr>
          <w:spacing w:val="-5"/>
        </w:rPr>
        <w:t xml:space="preserve"> </w:t>
      </w:r>
      <w:r>
        <w:t>impacted</w:t>
      </w:r>
      <w:r>
        <w:rPr>
          <w:spacing w:val="-6"/>
        </w:rPr>
        <w:t xml:space="preserve"> </w:t>
      </w:r>
      <w:r>
        <w:t>by</w:t>
      </w:r>
      <w:r>
        <w:rPr>
          <w:spacing w:val="-7"/>
        </w:rPr>
        <w:t xml:space="preserve"> </w:t>
      </w:r>
      <w:r>
        <w:t>bias</w:t>
      </w:r>
      <w:r>
        <w:rPr>
          <w:spacing w:val="-6"/>
        </w:rPr>
        <w:t xml:space="preserve"> </w:t>
      </w:r>
      <w:r>
        <w:t>or</w:t>
      </w:r>
      <w:r>
        <w:rPr>
          <w:spacing w:val="-8"/>
        </w:rPr>
        <w:t xml:space="preserve"> </w:t>
      </w:r>
      <w:r>
        <w:t>discrimination.</w:t>
      </w:r>
      <w:hyperlink w:anchor="_bookmark447" w:history="1">
        <w:r>
          <w:rPr>
            <w:vertAlign w:val="superscript"/>
          </w:rPr>
          <w:t>1</w:t>
        </w:r>
      </w:hyperlink>
    </w:p>
    <w:p w:rsidR="00200FDA" w:rsidRDefault="00200FDA">
      <w:pPr>
        <w:spacing w:line="266" w:lineRule="auto"/>
        <w:jc w:val="both"/>
        <w:sectPr w:rsidR="00200FDA">
          <w:headerReference w:type="default" r:id="rId406"/>
          <w:footerReference w:type="default" r:id="rId407"/>
          <w:pgSz w:w="12240" w:h="15840"/>
          <w:pgMar w:top="1140" w:right="1100" w:bottom="1540" w:left="1300" w:header="758" w:footer="1353" w:gutter="0"/>
          <w:pgNumType w:start="97"/>
          <w:cols w:space="720"/>
        </w:sectPr>
      </w:pPr>
    </w:p>
    <w:p w:rsidR="00200FDA" w:rsidRDefault="00F76C4C">
      <w:pPr>
        <w:pStyle w:val="BodyText"/>
        <w:spacing w:before="64" w:line="264" w:lineRule="auto"/>
        <w:ind w:left="140" w:right="336"/>
        <w:jc w:val="both"/>
      </w:pPr>
      <w:r>
        <w:lastRenderedPageBreak/>
        <w:t>For</w:t>
      </w:r>
      <w:r>
        <w:rPr>
          <w:spacing w:val="-11"/>
        </w:rPr>
        <w:t xml:space="preserve"> </w:t>
      </w:r>
      <w:r>
        <w:t>many</w:t>
      </w:r>
      <w:r>
        <w:rPr>
          <w:spacing w:val="-9"/>
        </w:rPr>
        <w:t xml:space="preserve"> </w:t>
      </w:r>
      <w:r>
        <w:t>people,</w:t>
      </w:r>
      <w:r>
        <w:rPr>
          <w:spacing w:val="-10"/>
        </w:rPr>
        <w:t xml:space="preserve"> </w:t>
      </w:r>
      <w:r>
        <w:t>birthing</w:t>
      </w:r>
      <w:r>
        <w:rPr>
          <w:spacing w:val="-11"/>
        </w:rPr>
        <w:t xml:space="preserve"> </w:t>
      </w:r>
      <w:r>
        <w:t>centers</w:t>
      </w:r>
      <w:r>
        <w:rPr>
          <w:spacing w:val="-10"/>
        </w:rPr>
        <w:t xml:space="preserve"> </w:t>
      </w:r>
      <w:r>
        <w:t>provide</w:t>
      </w:r>
      <w:r>
        <w:rPr>
          <w:spacing w:val="-9"/>
        </w:rPr>
        <w:t xml:space="preserve"> </w:t>
      </w:r>
      <w:r>
        <w:t>a</w:t>
      </w:r>
      <w:r>
        <w:rPr>
          <w:spacing w:val="-12"/>
        </w:rPr>
        <w:t xml:space="preserve"> </w:t>
      </w:r>
      <w:r>
        <w:t>more</w:t>
      </w:r>
      <w:r>
        <w:rPr>
          <w:spacing w:val="-9"/>
        </w:rPr>
        <w:t xml:space="preserve"> </w:t>
      </w:r>
      <w:r>
        <w:t>comfortable</w:t>
      </w:r>
      <w:r>
        <w:rPr>
          <w:spacing w:val="-11"/>
        </w:rPr>
        <w:t xml:space="preserve"> </w:t>
      </w:r>
      <w:r>
        <w:t>space</w:t>
      </w:r>
      <w:r>
        <w:rPr>
          <w:spacing w:val="-9"/>
        </w:rPr>
        <w:t xml:space="preserve"> </w:t>
      </w:r>
      <w:r>
        <w:t>for</w:t>
      </w:r>
      <w:r>
        <w:rPr>
          <w:spacing w:val="-10"/>
        </w:rPr>
        <w:t xml:space="preserve"> </w:t>
      </w:r>
      <w:r>
        <w:t>people</w:t>
      </w:r>
      <w:r>
        <w:rPr>
          <w:spacing w:val="-11"/>
        </w:rPr>
        <w:t xml:space="preserve"> </w:t>
      </w:r>
      <w:r>
        <w:t>with</w:t>
      </w:r>
      <w:r>
        <w:rPr>
          <w:spacing w:val="-11"/>
        </w:rPr>
        <w:t xml:space="preserve"> </w:t>
      </w:r>
      <w:r>
        <w:t>low-risk</w:t>
      </w:r>
      <w:r>
        <w:rPr>
          <w:spacing w:val="-10"/>
        </w:rPr>
        <w:t xml:space="preserve"> </w:t>
      </w:r>
      <w:r>
        <w:t>pregnancies to give birth, especially for transgender or gender expansive people who may be more likely to face discrimination</w:t>
      </w:r>
      <w:r>
        <w:rPr>
          <w:spacing w:val="-11"/>
        </w:rPr>
        <w:t xml:space="preserve"> </w:t>
      </w:r>
      <w:r>
        <w:t>in</w:t>
      </w:r>
      <w:r>
        <w:rPr>
          <w:spacing w:val="-10"/>
        </w:rPr>
        <w:t xml:space="preserve"> </w:t>
      </w:r>
      <w:r>
        <w:t>a</w:t>
      </w:r>
      <w:r>
        <w:rPr>
          <w:spacing w:val="-9"/>
        </w:rPr>
        <w:t xml:space="preserve"> </w:t>
      </w:r>
      <w:r>
        <w:t>hospital</w:t>
      </w:r>
      <w:r>
        <w:rPr>
          <w:spacing w:val="-12"/>
        </w:rPr>
        <w:t xml:space="preserve"> </w:t>
      </w:r>
      <w:r>
        <w:t>s</w:t>
      </w:r>
      <w:r>
        <w:t>etting.</w:t>
      </w:r>
      <w:r>
        <w:rPr>
          <w:spacing w:val="-9"/>
        </w:rPr>
        <w:t xml:space="preserve"> </w:t>
      </w:r>
      <w:r>
        <w:t>In</w:t>
      </w:r>
      <w:r>
        <w:rPr>
          <w:spacing w:val="-12"/>
        </w:rPr>
        <w:t xml:space="preserve"> </w:t>
      </w:r>
      <w:r>
        <w:t>Massachusetts,</w:t>
      </w:r>
      <w:r>
        <w:rPr>
          <w:spacing w:val="-13"/>
        </w:rPr>
        <w:t xml:space="preserve"> </w:t>
      </w:r>
      <w:r>
        <w:t>only</w:t>
      </w:r>
      <w:r>
        <w:rPr>
          <w:spacing w:val="-10"/>
        </w:rPr>
        <w:t xml:space="preserve"> </w:t>
      </w:r>
      <w:r>
        <w:t>one</w:t>
      </w:r>
      <w:r>
        <w:rPr>
          <w:spacing w:val="-11"/>
        </w:rPr>
        <w:t xml:space="preserve"> </w:t>
      </w:r>
      <w:r>
        <w:t>community</w:t>
      </w:r>
      <w:r>
        <w:rPr>
          <w:spacing w:val="-10"/>
        </w:rPr>
        <w:t xml:space="preserve"> </w:t>
      </w:r>
      <w:r>
        <w:t>birthing</w:t>
      </w:r>
      <w:r>
        <w:rPr>
          <w:spacing w:val="-10"/>
        </w:rPr>
        <w:t xml:space="preserve"> </w:t>
      </w:r>
      <w:r>
        <w:t>center</w:t>
      </w:r>
      <w:r>
        <w:rPr>
          <w:spacing w:val="-11"/>
        </w:rPr>
        <w:t xml:space="preserve"> </w:t>
      </w:r>
      <w:r>
        <w:t>currently</w:t>
      </w:r>
      <w:r>
        <w:rPr>
          <w:spacing w:val="-8"/>
        </w:rPr>
        <w:t xml:space="preserve"> </w:t>
      </w:r>
      <w:r>
        <w:t>exists</w:t>
      </w:r>
    </w:p>
    <w:p w:rsidR="00200FDA" w:rsidRDefault="00F76C4C">
      <w:pPr>
        <w:pStyle w:val="BodyText"/>
        <w:spacing w:line="264" w:lineRule="auto"/>
        <w:ind w:left="140" w:right="333"/>
        <w:jc w:val="both"/>
      </w:pPr>
      <w:r>
        <w:t>-</w:t>
      </w:r>
      <w:r>
        <w:rPr>
          <w:spacing w:val="-8"/>
        </w:rPr>
        <w:t xml:space="preserve"> </w:t>
      </w:r>
      <w:hyperlink r:id="rId408">
        <w:r>
          <w:rPr>
            <w:color w:val="1154CC"/>
            <w:u w:val="single" w:color="1154CC"/>
          </w:rPr>
          <w:t>Seven</w:t>
        </w:r>
        <w:r>
          <w:rPr>
            <w:color w:val="1154CC"/>
            <w:spacing w:val="-9"/>
            <w:u w:val="single" w:color="1154CC"/>
          </w:rPr>
          <w:t xml:space="preserve"> </w:t>
        </w:r>
        <w:r>
          <w:rPr>
            <w:color w:val="1154CC"/>
            <w:u w:val="single" w:color="1154CC"/>
          </w:rPr>
          <w:t>Sisters</w:t>
        </w:r>
        <w:r>
          <w:rPr>
            <w:color w:val="1154CC"/>
            <w:spacing w:val="-10"/>
            <w:u w:val="single" w:color="1154CC"/>
          </w:rPr>
          <w:t xml:space="preserve"> </w:t>
        </w:r>
        <w:r>
          <w:rPr>
            <w:color w:val="1154CC"/>
            <w:u w:val="single" w:color="1154CC"/>
          </w:rPr>
          <w:t>Midwifery</w:t>
        </w:r>
        <w:r>
          <w:rPr>
            <w:color w:val="1154CC"/>
            <w:spacing w:val="-7"/>
            <w:u w:val="single" w:color="1154CC"/>
          </w:rPr>
          <w:t xml:space="preserve"> </w:t>
        </w:r>
        <w:r>
          <w:rPr>
            <w:color w:val="1154CC"/>
            <w:u w:val="single" w:color="1154CC"/>
          </w:rPr>
          <w:t>&amp;</w:t>
        </w:r>
        <w:r>
          <w:rPr>
            <w:color w:val="1154CC"/>
            <w:spacing w:val="-10"/>
            <w:u w:val="single" w:color="1154CC"/>
          </w:rPr>
          <w:t xml:space="preserve"> </w:t>
        </w:r>
        <w:r>
          <w:rPr>
            <w:color w:val="1154CC"/>
            <w:u w:val="single" w:color="1154CC"/>
          </w:rPr>
          <w:t>Community</w:t>
        </w:r>
        <w:r>
          <w:rPr>
            <w:color w:val="1154CC"/>
            <w:spacing w:val="-7"/>
            <w:u w:val="single" w:color="1154CC"/>
          </w:rPr>
          <w:t xml:space="preserve"> </w:t>
        </w:r>
        <w:r>
          <w:rPr>
            <w:color w:val="1154CC"/>
            <w:u w:val="single" w:color="1154CC"/>
          </w:rPr>
          <w:t>Birth</w:t>
        </w:r>
        <w:r>
          <w:rPr>
            <w:color w:val="1154CC"/>
            <w:spacing w:val="-9"/>
            <w:u w:val="single" w:color="1154CC"/>
          </w:rPr>
          <w:t xml:space="preserve"> </w:t>
        </w:r>
        <w:r>
          <w:rPr>
            <w:color w:val="1154CC"/>
            <w:u w:val="single" w:color="1154CC"/>
          </w:rPr>
          <w:t>Center</w:t>
        </w:r>
      </w:hyperlink>
      <w:r>
        <w:rPr>
          <w:color w:val="1154CC"/>
          <w:spacing w:val="-8"/>
        </w:rPr>
        <w:t xml:space="preserve"> </w:t>
      </w:r>
      <w:r>
        <w:t>-</w:t>
      </w:r>
      <w:r>
        <w:rPr>
          <w:spacing w:val="-11"/>
        </w:rPr>
        <w:t xml:space="preserve"> </w:t>
      </w:r>
      <w:r>
        <w:t>and,</w:t>
      </w:r>
      <w:r>
        <w:rPr>
          <w:spacing w:val="-8"/>
        </w:rPr>
        <w:t xml:space="preserve"> </w:t>
      </w:r>
      <w:r>
        <w:t>though</w:t>
      </w:r>
      <w:r>
        <w:rPr>
          <w:spacing w:val="-9"/>
        </w:rPr>
        <w:t xml:space="preserve"> </w:t>
      </w:r>
      <w:r>
        <w:t>the</w:t>
      </w:r>
      <w:r>
        <w:rPr>
          <w:spacing w:val="-7"/>
        </w:rPr>
        <w:t xml:space="preserve"> </w:t>
      </w:r>
      <w:r>
        <w:t>Commission</w:t>
      </w:r>
      <w:r>
        <w:rPr>
          <w:spacing w:val="-9"/>
        </w:rPr>
        <w:t xml:space="preserve"> </w:t>
      </w:r>
      <w:r>
        <w:t>is</w:t>
      </w:r>
      <w:r>
        <w:rPr>
          <w:spacing w:val="-8"/>
        </w:rPr>
        <w:t xml:space="preserve"> </w:t>
      </w:r>
      <w:r>
        <w:t>pleased</w:t>
      </w:r>
      <w:r>
        <w:rPr>
          <w:spacing w:val="-9"/>
        </w:rPr>
        <w:t xml:space="preserve"> </w:t>
      </w:r>
      <w:r>
        <w:t>to</w:t>
      </w:r>
      <w:r>
        <w:rPr>
          <w:spacing w:val="-7"/>
        </w:rPr>
        <w:t xml:space="preserve"> </w:t>
      </w:r>
      <w:r>
        <w:t>note</w:t>
      </w:r>
      <w:r>
        <w:rPr>
          <w:spacing w:val="-7"/>
        </w:rPr>
        <w:t xml:space="preserve"> </w:t>
      </w:r>
      <w:r>
        <w:t>that the</w:t>
      </w:r>
      <w:r>
        <w:rPr>
          <w:spacing w:val="-4"/>
        </w:rPr>
        <w:t xml:space="preserve"> </w:t>
      </w:r>
      <w:r>
        <w:t>center</w:t>
      </w:r>
      <w:r>
        <w:rPr>
          <w:spacing w:val="-7"/>
        </w:rPr>
        <w:t xml:space="preserve"> </w:t>
      </w:r>
      <w:r>
        <w:t>offers</w:t>
      </w:r>
      <w:r>
        <w:rPr>
          <w:spacing w:val="-7"/>
        </w:rPr>
        <w:t xml:space="preserve"> </w:t>
      </w:r>
      <w:r>
        <w:t>gender-affirming</w:t>
      </w:r>
      <w:r>
        <w:rPr>
          <w:spacing w:val="-5"/>
        </w:rPr>
        <w:t xml:space="preserve"> </w:t>
      </w:r>
      <w:r>
        <w:t>care,</w:t>
      </w:r>
      <w:r>
        <w:rPr>
          <w:spacing w:val="-4"/>
        </w:rPr>
        <w:t xml:space="preserve"> </w:t>
      </w:r>
      <w:r>
        <w:t>there</w:t>
      </w:r>
      <w:r>
        <w:rPr>
          <w:spacing w:val="-4"/>
        </w:rPr>
        <w:t xml:space="preserve"> </w:t>
      </w:r>
      <w:r>
        <w:t>remains</w:t>
      </w:r>
      <w:r>
        <w:rPr>
          <w:spacing w:val="-7"/>
        </w:rPr>
        <w:t xml:space="preserve"> </w:t>
      </w:r>
      <w:r>
        <w:t>a</w:t>
      </w:r>
      <w:r>
        <w:rPr>
          <w:spacing w:val="-5"/>
        </w:rPr>
        <w:t xml:space="preserve"> </w:t>
      </w:r>
      <w:r>
        <w:t>great</w:t>
      </w:r>
      <w:r>
        <w:rPr>
          <w:spacing w:val="-4"/>
        </w:rPr>
        <w:t xml:space="preserve"> </w:t>
      </w:r>
      <w:r>
        <w:t>need</w:t>
      </w:r>
      <w:r>
        <w:rPr>
          <w:spacing w:val="-5"/>
        </w:rPr>
        <w:t xml:space="preserve"> </w:t>
      </w:r>
      <w:r>
        <w:t>for</w:t>
      </w:r>
      <w:r>
        <w:rPr>
          <w:spacing w:val="-7"/>
        </w:rPr>
        <w:t xml:space="preserve"> </w:t>
      </w:r>
      <w:r>
        <w:t>more</w:t>
      </w:r>
      <w:r>
        <w:rPr>
          <w:spacing w:val="-4"/>
        </w:rPr>
        <w:t xml:space="preserve"> </w:t>
      </w:r>
      <w:r>
        <w:t>community</w:t>
      </w:r>
      <w:r>
        <w:rPr>
          <w:spacing w:val="-3"/>
        </w:rPr>
        <w:t xml:space="preserve"> </w:t>
      </w:r>
      <w:r>
        <w:t>birthing</w:t>
      </w:r>
      <w:r>
        <w:rPr>
          <w:spacing w:val="-5"/>
        </w:rPr>
        <w:t xml:space="preserve"> </w:t>
      </w:r>
      <w:r>
        <w:t>centers across the state. The Commission recommends that the Commonwealth invest in community birthing centers across the state to</w:t>
      </w:r>
      <w:r>
        <w:rPr>
          <w:spacing w:val="-1"/>
        </w:rPr>
        <w:t xml:space="preserve"> </w:t>
      </w:r>
      <w:r>
        <w:t xml:space="preserve">alleviate medical costs and health inequities for all birthing people across the state. The Commission urges the legislature to pass </w:t>
      </w:r>
      <w:r>
        <w:rPr>
          <w:i/>
        </w:rPr>
        <w:t xml:space="preserve">An Act Relative to Birthing Justice in the Commonwealth </w:t>
      </w:r>
      <w:r>
        <w:t>(</w:t>
      </w:r>
      <w:hyperlink r:id="rId409">
        <w:r>
          <w:rPr>
            <w:color w:val="1154CC"/>
            <w:u w:val="single" w:color="1154CC"/>
          </w:rPr>
          <w:t>S.14</w:t>
        </w:r>
        <w:r>
          <w:rPr>
            <w:color w:val="1154CC"/>
            <w:u w:val="single" w:color="1154CC"/>
          </w:rPr>
          <w:t>15</w:t>
        </w:r>
      </w:hyperlink>
      <w:r>
        <w:t>), which would introduce a framework to better address health inequities faced by birthing people across the state.</w:t>
      </w:r>
    </w:p>
    <w:p w:rsidR="00200FDA" w:rsidRDefault="00200FDA">
      <w:pPr>
        <w:pStyle w:val="BodyText"/>
        <w:spacing w:before="6"/>
        <w:rPr>
          <w:sz w:val="19"/>
        </w:rPr>
      </w:pPr>
    </w:p>
    <w:p w:rsidR="00200FDA" w:rsidRDefault="00F76C4C">
      <w:pPr>
        <w:pStyle w:val="BodyText"/>
        <w:spacing w:line="264" w:lineRule="auto"/>
        <w:ind w:left="140" w:right="332"/>
        <w:jc w:val="both"/>
      </w:pPr>
      <w:r>
        <w:t>Furthermore,</w:t>
      </w:r>
      <w:r>
        <w:rPr>
          <w:spacing w:val="-7"/>
        </w:rPr>
        <w:t xml:space="preserve"> </w:t>
      </w:r>
      <w:r>
        <w:t>the</w:t>
      </w:r>
      <w:r>
        <w:rPr>
          <w:spacing w:val="-4"/>
        </w:rPr>
        <w:t xml:space="preserve"> </w:t>
      </w:r>
      <w:r>
        <w:t>Commission</w:t>
      </w:r>
      <w:r>
        <w:rPr>
          <w:spacing w:val="-5"/>
        </w:rPr>
        <w:t xml:space="preserve"> </w:t>
      </w:r>
      <w:r>
        <w:t>urges</w:t>
      </w:r>
      <w:r>
        <w:rPr>
          <w:spacing w:val="-4"/>
        </w:rPr>
        <w:t xml:space="preserve"> </w:t>
      </w:r>
      <w:r>
        <w:t>legislators</w:t>
      </w:r>
      <w:r>
        <w:rPr>
          <w:spacing w:val="-4"/>
        </w:rPr>
        <w:t xml:space="preserve"> </w:t>
      </w:r>
      <w:r>
        <w:t>and</w:t>
      </w:r>
      <w:r>
        <w:rPr>
          <w:spacing w:val="-5"/>
        </w:rPr>
        <w:t xml:space="preserve"> </w:t>
      </w:r>
      <w:r>
        <w:t>agencies</w:t>
      </w:r>
      <w:r>
        <w:rPr>
          <w:spacing w:val="-4"/>
        </w:rPr>
        <w:t xml:space="preserve"> </w:t>
      </w:r>
      <w:r>
        <w:t>to</w:t>
      </w:r>
      <w:r>
        <w:rPr>
          <w:spacing w:val="-3"/>
        </w:rPr>
        <w:t xml:space="preserve"> </w:t>
      </w:r>
      <w:r>
        <w:t>expand</w:t>
      </w:r>
      <w:r>
        <w:rPr>
          <w:spacing w:val="-5"/>
        </w:rPr>
        <w:t xml:space="preserve"> </w:t>
      </w:r>
      <w:r>
        <w:t>access</w:t>
      </w:r>
      <w:r>
        <w:rPr>
          <w:spacing w:val="-4"/>
        </w:rPr>
        <w:t xml:space="preserve"> </w:t>
      </w:r>
      <w:r>
        <w:t>to</w:t>
      </w:r>
      <w:r>
        <w:rPr>
          <w:spacing w:val="-5"/>
        </w:rPr>
        <w:t xml:space="preserve"> </w:t>
      </w:r>
      <w:r>
        <w:t>affirming</w:t>
      </w:r>
      <w:r>
        <w:rPr>
          <w:spacing w:val="-5"/>
        </w:rPr>
        <w:t xml:space="preserve"> </w:t>
      </w:r>
      <w:r>
        <w:t>doula</w:t>
      </w:r>
      <w:r>
        <w:rPr>
          <w:spacing w:val="-5"/>
        </w:rPr>
        <w:t xml:space="preserve"> </w:t>
      </w:r>
      <w:r>
        <w:t>services across the Commonwealth. As discu</w:t>
      </w:r>
      <w:r>
        <w:t>ssed later in this section, doulas can alleviate health inequities and provide greater physical, emotional, and informational support for birthing people, particularly for Black LGBTQ birthing communities who face greater health risks, bias, or discriminat</w:t>
      </w:r>
      <w:r>
        <w:t>ion when birthing in hospital</w:t>
      </w:r>
      <w:r>
        <w:rPr>
          <w:spacing w:val="-8"/>
        </w:rPr>
        <w:t xml:space="preserve"> </w:t>
      </w:r>
      <w:r>
        <w:t>spaces.</w:t>
      </w:r>
      <w:r>
        <w:rPr>
          <w:spacing w:val="-8"/>
        </w:rPr>
        <w:t xml:space="preserve"> </w:t>
      </w:r>
      <w:r>
        <w:t>Additionally,</w:t>
      </w:r>
      <w:r>
        <w:rPr>
          <w:spacing w:val="-8"/>
        </w:rPr>
        <w:t xml:space="preserve"> </w:t>
      </w:r>
      <w:r>
        <w:t>the</w:t>
      </w:r>
      <w:r>
        <w:rPr>
          <w:spacing w:val="-7"/>
        </w:rPr>
        <w:t xml:space="preserve"> </w:t>
      </w:r>
      <w:r>
        <w:t>Commission</w:t>
      </w:r>
      <w:r>
        <w:rPr>
          <w:spacing w:val="-8"/>
        </w:rPr>
        <w:t xml:space="preserve"> </w:t>
      </w:r>
      <w:r>
        <w:t>recommends</w:t>
      </w:r>
      <w:r>
        <w:rPr>
          <w:spacing w:val="-8"/>
        </w:rPr>
        <w:t xml:space="preserve"> </w:t>
      </w:r>
      <w:r>
        <w:t>that</w:t>
      </w:r>
      <w:r>
        <w:rPr>
          <w:spacing w:val="-7"/>
        </w:rPr>
        <w:t xml:space="preserve"> </w:t>
      </w:r>
      <w:r>
        <w:t>the</w:t>
      </w:r>
      <w:r>
        <w:rPr>
          <w:spacing w:val="-7"/>
        </w:rPr>
        <w:t xml:space="preserve"> </w:t>
      </w:r>
      <w:r>
        <w:t>Commonwealth</w:t>
      </w:r>
      <w:r>
        <w:rPr>
          <w:spacing w:val="-8"/>
        </w:rPr>
        <w:t xml:space="preserve"> </w:t>
      </w:r>
      <w:r>
        <w:t>expand</w:t>
      </w:r>
      <w:r>
        <w:rPr>
          <w:spacing w:val="-8"/>
        </w:rPr>
        <w:t xml:space="preserve"> </w:t>
      </w:r>
      <w:r>
        <w:t>its</w:t>
      </w:r>
      <w:r>
        <w:rPr>
          <w:spacing w:val="-8"/>
        </w:rPr>
        <w:t xml:space="preserve"> </w:t>
      </w:r>
      <w:r>
        <w:t>approach to doula services, and consider investing in gender doulas to provide transition support for trans and gender expansive communities.</w:t>
      </w:r>
    </w:p>
    <w:p w:rsidR="00200FDA" w:rsidRDefault="00200FDA">
      <w:pPr>
        <w:pStyle w:val="BodyText"/>
        <w:spacing w:before="9"/>
        <w:rPr>
          <w:sz w:val="19"/>
        </w:rPr>
      </w:pPr>
    </w:p>
    <w:p w:rsidR="00200FDA" w:rsidRDefault="00F76C4C">
      <w:pPr>
        <w:pStyle w:val="Heading9"/>
        <w:numPr>
          <w:ilvl w:val="0"/>
          <w:numId w:val="31"/>
        </w:numPr>
        <w:tabs>
          <w:tab w:val="left" w:pos="364"/>
        </w:tabs>
        <w:spacing w:line="264" w:lineRule="auto"/>
        <w:ind w:right="334" w:firstLine="0"/>
      </w:pPr>
      <w:r>
        <w:t>Ex</w:t>
      </w:r>
      <w:r>
        <w:t>pand</w:t>
      </w:r>
      <w:r>
        <w:rPr>
          <w:spacing w:val="-1"/>
        </w:rPr>
        <w:t xml:space="preserve"> </w:t>
      </w:r>
      <w:r>
        <w:t>LGBTQ</w:t>
      </w:r>
      <w:r>
        <w:rPr>
          <w:spacing w:val="-3"/>
        </w:rPr>
        <w:t xml:space="preserve"> </w:t>
      </w:r>
      <w:r>
        <w:t>cultural</w:t>
      </w:r>
      <w:r>
        <w:rPr>
          <w:spacing w:val="-2"/>
        </w:rPr>
        <w:t xml:space="preserve"> </w:t>
      </w:r>
      <w:r>
        <w:t>awareness,</w:t>
      </w:r>
      <w:r>
        <w:rPr>
          <w:spacing w:val="-2"/>
        </w:rPr>
        <w:t xml:space="preserve"> </w:t>
      </w:r>
      <w:r>
        <w:t>anti-bias, and</w:t>
      </w:r>
      <w:r>
        <w:rPr>
          <w:spacing w:val="-1"/>
        </w:rPr>
        <w:t xml:space="preserve"> </w:t>
      </w:r>
      <w:r>
        <w:t>racial equity trainings for</w:t>
      </w:r>
      <w:r>
        <w:rPr>
          <w:spacing w:val="-2"/>
        </w:rPr>
        <w:t xml:space="preserve"> </w:t>
      </w:r>
      <w:r>
        <w:t>public hospital providers and staff.</w:t>
      </w:r>
    </w:p>
    <w:p w:rsidR="00200FDA" w:rsidRDefault="00200FDA">
      <w:pPr>
        <w:pStyle w:val="BodyText"/>
        <w:spacing w:before="7"/>
        <w:rPr>
          <w:b/>
          <w:sz w:val="19"/>
        </w:rPr>
      </w:pPr>
    </w:p>
    <w:p w:rsidR="00200FDA" w:rsidRDefault="00F76C4C">
      <w:pPr>
        <w:pStyle w:val="BodyText"/>
        <w:spacing w:before="1" w:line="264" w:lineRule="auto"/>
        <w:ind w:left="140" w:right="334"/>
        <w:jc w:val="both"/>
      </w:pPr>
      <w:r>
        <w:t>Given</w:t>
      </w:r>
      <w:r>
        <w:rPr>
          <w:spacing w:val="-3"/>
        </w:rPr>
        <w:t xml:space="preserve"> </w:t>
      </w:r>
      <w:r>
        <w:t>the</w:t>
      </w:r>
      <w:r>
        <w:rPr>
          <w:spacing w:val="-1"/>
        </w:rPr>
        <w:t xml:space="preserve"> </w:t>
      </w:r>
      <w:r>
        <w:t>alarming disparities and</w:t>
      </w:r>
      <w:r>
        <w:rPr>
          <w:spacing w:val="-3"/>
        </w:rPr>
        <w:t xml:space="preserve"> </w:t>
      </w:r>
      <w:r>
        <w:t>structural</w:t>
      </w:r>
      <w:r>
        <w:rPr>
          <w:spacing w:val="-2"/>
        </w:rPr>
        <w:t xml:space="preserve"> </w:t>
      </w:r>
      <w:r>
        <w:t>racism</w:t>
      </w:r>
      <w:r>
        <w:rPr>
          <w:spacing w:val="-1"/>
        </w:rPr>
        <w:t xml:space="preserve"> </w:t>
      </w:r>
      <w:r>
        <w:t>faced by</w:t>
      </w:r>
      <w:r>
        <w:rPr>
          <w:spacing w:val="-1"/>
        </w:rPr>
        <w:t xml:space="preserve"> </w:t>
      </w:r>
      <w:r>
        <w:t>Black</w:t>
      </w:r>
      <w:r>
        <w:rPr>
          <w:spacing w:val="-1"/>
        </w:rPr>
        <w:t xml:space="preserve"> </w:t>
      </w:r>
      <w:r>
        <w:t>birthing people in</w:t>
      </w:r>
      <w:r>
        <w:rPr>
          <w:spacing w:val="-3"/>
        </w:rPr>
        <w:t xml:space="preserve"> </w:t>
      </w:r>
      <w:r>
        <w:t>Massachusetts,</w:t>
      </w:r>
      <w:r>
        <w:rPr>
          <w:spacing w:val="-2"/>
        </w:rPr>
        <w:t xml:space="preserve"> </w:t>
      </w:r>
      <w:r>
        <w:t>the Commission</w:t>
      </w:r>
      <w:r>
        <w:rPr>
          <w:spacing w:val="-6"/>
        </w:rPr>
        <w:t xml:space="preserve"> </w:t>
      </w:r>
      <w:r>
        <w:t>strongly</w:t>
      </w:r>
      <w:r>
        <w:rPr>
          <w:spacing w:val="-4"/>
        </w:rPr>
        <w:t xml:space="preserve"> </w:t>
      </w:r>
      <w:r>
        <w:t>recommends</w:t>
      </w:r>
      <w:r>
        <w:rPr>
          <w:spacing w:val="-5"/>
        </w:rPr>
        <w:t xml:space="preserve"> </w:t>
      </w:r>
      <w:r>
        <w:t>that</w:t>
      </w:r>
      <w:r>
        <w:rPr>
          <w:spacing w:val="-7"/>
        </w:rPr>
        <w:t xml:space="preserve"> </w:t>
      </w:r>
      <w:r>
        <w:t>the</w:t>
      </w:r>
      <w:r>
        <w:rPr>
          <w:spacing w:val="-7"/>
        </w:rPr>
        <w:t xml:space="preserve"> </w:t>
      </w:r>
      <w:r>
        <w:t>Commonwealth</w:t>
      </w:r>
      <w:r>
        <w:rPr>
          <w:spacing w:val="-8"/>
        </w:rPr>
        <w:t xml:space="preserve"> </w:t>
      </w:r>
      <w:r>
        <w:t>explore</w:t>
      </w:r>
      <w:r>
        <w:rPr>
          <w:spacing w:val="-5"/>
        </w:rPr>
        <w:t xml:space="preserve"> </w:t>
      </w:r>
      <w:r>
        <w:t>the</w:t>
      </w:r>
      <w:r>
        <w:rPr>
          <w:spacing w:val="-5"/>
        </w:rPr>
        <w:t xml:space="preserve"> </w:t>
      </w:r>
      <w:r>
        <w:t>expansion</w:t>
      </w:r>
      <w:r>
        <w:rPr>
          <w:spacing w:val="-6"/>
        </w:rPr>
        <w:t xml:space="preserve"> </w:t>
      </w:r>
      <w:r>
        <w:t>of</w:t>
      </w:r>
      <w:r>
        <w:rPr>
          <w:spacing w:val="-8"/>
        </w:rPr>
        <w:t xml:space="preserve"> </w:t>
      </w:r>
      <w:r>
        <w:t>mandated</w:t>
      </w:r>
      <w:r>
        <w:rPr>
          <w:spacing w:val="-6"/>
        </w:rPr>
        <w:t xml:space="preserve"> </w:t>
      </w:r>
      <w:r>
        <w:t xml:space="preserve">trainings to reduce incidents of discrimination, bias, and racism faced by LGBTQ and BIPOC individuals across the state. Agencies should examine professional development practices where relevant in public </w:t>
      </w:r>
      <w:r>
        <w:t>hospitals and facilities to ensure that medical providers and staff are receiving frequent and mandatory opportunities for LGBTQ cultural awareness, anti-bias, and racial equity trainings.</w:t>
      </w:r>
    </w:p>
    <w:p w:rsidR="00200FDA" w:rsidRDefault="00200FDA">
      <w:pPr>
        <w:pStyle w:val="BodyText"/>
        <w:spacing w:before="11"/>
        <w:rPr>
          <w:sz w:val="32"/>
        </w:rPr>
      </w:pPr>
    </w:p>
    <w:p w:rsidR="00200FDA" w:rsidRDefault="00F76C4C">
      <w:pPr>
        <w:pStyle w:val="Heading7"/>
        <w:ind w:left="140"/>
        <w:jc w:val="both"/>
      </w:pPr>
      <w:r>
        <w:pict>
          <v:rect id="docshape324" o:spid="_x0000_s1259" style="position:absolute;left:0;text-align:left;margin-left:70.55pt;margin-top:18pt;width:470.9pt;height:.5pt;z-index:-15679488;mso-wrap-distance-left:0;mso-wrap-distance-right:0;mso-position-horizontal-relative:page" fillcolor="#4471c4" stroked="f">
            <w10:wrap type="topAndBottom" anchorx="page"/>
          </v:rect>
        </w:pict>
      </w:r>
      <w:bookmarkStart w:id="579" w:name="Research:_LGBTQ_Youth_and_Healthcare_Acc"/>
      <w:bookmarkEnd w:id="579"/>
      <w:r>
        <w:rPr>
          <w:color w:val="2E5395"/>
        </w:rPr>
        <w:t>Research:</w:t>
      </w:r>
      <w:r>
        <w:rPr>
          <w:color w:val="2E5395"/>
          <w:spacing w:val="-7"/>
        </w:rPr>
        <w:t xml:space="preserve"> </w:t>
      </w:r>
      <w:r>
        <w:rPr>
          <w:color w:val="2E5395"/>
        </w:rPr>
        <w:t>LGBTQ</w:t>
      </w:r>
      <w:r>
        <w:rPr>
          <w:color w:val="2E5395"/>
          <w:spacing w:val="-6"/>
        </w:rPr>
        <w:t xml:space="preserve"> </w:t>
      </w:r>
      <w:r>
        <w:rPr>
          <w:color w:val="2E5395"/>
        </w:rPr>
        <w:t>Youth</w:t>
      </w:r>
      <w:r>
        <w:rPr>
          <w:color w:val="2E5395"/>
          <w:spacing w:val="-7"/>
        </w:rPr>
        <w:t xml:space="preserve"> </w:t>
      </w:r>
      <w:r>
        <w:rPr>
          <w:color w:val="2E5395"/>
        </w:rPr>
        <w:t>and</w:t>
      </w:r>
      <w:r>
        <w:rPr>
          <w:color w:val="2E5395"/>
          <w:spacing w:val="-6"/>
        </w:rPr>
        <w:t xml:space="preserve"> </w:t>
      </w:r>
      <w:r>
        <w:rPr>
          <w:color w:val="2E5395"/>
        </w:rPr>
        <w:t>Healthcare</w:t>
      </w:r>
      <w:r>
        <w:rPr>
          <w:color w:val="2E5395"/>
          <w:spacing w:val="-6"/>
        </w:rPr>
        <w:t xml:space="preserve"> </w:t>
      </w:r>
      <w:r>
        <w:rPr>
          <w:color w:val="2E5395"/>
          <w:spacing w:val="-2"/>
        </w:rPr>
        <w:t>Access</w:t>
      </w:r>
    </w:p>
    <w:p w:rsidR="00200FDA" w:rsidRDefault="00200FDA">
      <w:pPr>
        <w:pStyle w:val="BodyText"/>
        <w:spacing w:before="11"/>
        <w:rPr>
          <w:sz w:val="14"/>
        </w:rPr>
      </w:pPr>
    </w:p>
    <w:p w:rsidR="00200FDA" w:rsidRDefault="00F76C4C">
      <w:pPr>
        <w:spacing w:before="59" w:line="264" w:lineRule="auto"/>
        <w:ind w:left="140" w:right="338"/>
        <w:jc w:val="both"/>
        <w:rPr>
          <w:sz w:val="20"/>
        </w:rPr>
      </w:pPr>
      <w:r>
        <w:rPr>
          <w:sz w:val="20"/>
        </w:rPr>
        <w:t>Pregnancy and gynecological healthcare have typically been framed as a heterosexual cisgender “women’s rights” issue, but many LGBTQ people</w:t>
      </w:r>
      <w:r>
        <w:rPr>
          <w:spacing w:val="-1"/>
          <w:sz w:val="20"/>
        </w:rPr>
        <w:t xml:space="preserve"> </w:t>
      </w:r>
      <w:r>
        <w:rPr>
          <w:sz w:val="20"/>
        </w:rPr>
        <w:t>such as lesbians, bisexual</w:t>
      </w:r>
      <w:r>
        <w:rPr>
          <w:spacing w:val="-1"/>
          <w:sz w:val="20"/>
        </w:rPr>
        <w:t xml:space="preserve"> </w:t>
      </w:r>
      <w:r>
        <w:rPr>
          <w:sz w:val="20"/>
        </w:rPr>
        <w:t>women, transgender</w:t>
      </w:r>
      <w:r>
        <w:rPr>
          <w:spacing w:val="-1"/>
          <w:sz w:val="20"/>
        </w:rPr>
        <w:t xml:space="preserve"> </w:t>
      </w:r>
      <w:r>
        <w:rPr>
          <w:sz w:val="20"/>
        </w:rPr>
        <w:t>men, Two-Spirit, intersex, nonbinary and gender nonconforming individuals use contraception, have the capacity to carry pregnancy, experience miscarriages, and choose to get abortions. While LGBTQ people often explore numerous paths to parenthood, this rep</w:t>
      </w:r>
      <w:r>
        <w:rPr>
          <w:sz w:val="20"/>
        </w:rPr>
        <w:t>ort focuses on the experiences of people with the capacity for pregnancy and need for affirming-gynecological care in the Massachusetts healthcare system.</w:t>
      </w:r>
    </w:p>
    <w:p w:rsidR="00200FDA" w:rsidRDefault="00200FDA">
      <w:pPr>
        <w:pStyle w:val="BodyText"/>
        <w:spacing w:before="10"/>
        <w:rPr>
          <w:sz w:val="19"/>
        </w:rPr>
      </w:pPr>
    </w:p>
    <w:p w:rsidR="00200FDA" w:rsidRDefault="00F76C4C">
      <w:pPr>
        <w:spacing w:line="264" w:lineRule="auto"/>
        <w:ind w:left="139" w:right="338"/>
        <w:jc w:val="both"/>
        <w:rPr>
          <w:sz w:val="20"/>
        </w:rPr>
      </w:pPr>
      <w:r>
        <w:rPr>
          <w:sz w:val="20"/>
        </w:rPr>
        <w:t>Research has shown that LGBTQ people face systemic and individual barriers to accessing health care.</w:t>
      </w:r>
      <w:r>
        <w:rPr>
          <w:spacing w:val="-12"/>
          <w:sz w:val="20"/>
        </w:rPr>
        <w:t xml:space="preserve"> </w:t>
      </w:r>
      <w:hyperlink w:anchor="_bookmark448" w:history="1">
        <w:r>
          <w:rPr>
            <w:sz w:val="20"/>
            <w:vertAlign w:val="superscript"/>
          </w:rPr>
          <w:t>2</w:t>
        </w:r>
      </w:hyperlink>
      <w:r>
        <w:rPr>
          <w:sz w:val="20"/>
        </w:rPr>
        <w:t xml:space="preserve"> LGBTQ individuals</w:t>
      </w:r>
      <w:r>
        <w:rPr>
          <w:spacing w:val="-2"/>
          <w:sz w:val="20"/>
        </w:rPr>
        <w:t xml:space="preserve"> </w:t>
      </w:r>
      <w:r>
        <w:rPr>
          <w:sz w:val="20"/>
        </w:rPr>
        <w:t>are more</w:t>
      </w:r>
      <w:r>
        <w:rPr>
          <w:spacing w:val="-1"/>
          <w:sz w:val="20"/>
        </w:rPr>
        <w:t xml:space="preserve"> </w:t>
      </w:r>
      <w:r>
        <w:rPr>
          <w:sz w:val="20"/>
        </w:rPr>
        <w:t>likely to be</w:t>
      </w:r>
      <w:r>
        <w:rPr>
          <w:spacing w:val="-2"/>
          <w:sz w:val="20"/>
        </w:rPr>
        <w:t xml:space="preserve"> </w:t>
      </w:r>
      <w:r>
        <w:rPr>
          <w:sz w:val="20"/>
        </w:rPr>
        <w:t>underinsured and uninsured, making</w:t>
      </w:r>
      <w:r>
        <w:rPr>
          <w:spacing w:val="-1"/>
          <w:sz w:val="20"/>
        </w:rPr>
        <w:t xml:space="preserve"> </w:t>
      </w:r>
      <w:r>
        <w:rPr>
          <w:sz w:val="20"/>
        </w:rPr>
        <w:t>cost a major</w:t>
      </w:r>
      <w:r>
        <w:rPr>
          <w:spacing w:val="-1"/>
          <w:sz w:val="20"/>
        </w:rPr>
        <w:t xml:space="preserve"> </w:t>
      </w:r>
      <w:r>
        <w:rPr>
          <w:sz w:val="20"/>
        </w:rPr>
        <w:t>barrier</w:t>
      </w:r>
      <w:r>
        <w:rPr>
          <w:spacing w:val="-1"/>
          <w:sz w:val="20"/>
        </w:rPr>
        <w:t xml:space="preserve"> </w:t>
      </w:r>
      <w:r>
        <w:rPr>
          <w:sz w:val="20"/>
        </w:rPr>
        <w:t>to accessing</w:t>
      </w:r>
      <w:r>
        <w:rPr>
          <w:spacing w:val="-1"/>
          <w:sz w:val="20"/>
        </w:rPr>
        <w:t xml:space="preserve"> </w:t>
      </w:r>
      <w:r>
        <w:rPr>
          <w:sz w:val="20"/>
        </w:rPr>
        <w:t>health care. This is especially true for transgender and nonbinary individuals. According to the 2015 U.S. Trans</w:t>
      </w:r>
      <w:r>
        <w:rPr>
          <w:sz w:val="20"/>
        </w:rPr>
        <w:t>gender Survey, a third of respondents could not afford healthcare services when they needed them; transgender people of color, including</w:t>
      </w:r>
      <w:r>
        <w:rPr>
          <w:spacing w:val="-8"/>
          <w:sz w:val="20"/>
        </w:rPr>
        <w:t xml:space="preserve"> </w:t>
      </w:r>
      <w:r>
        <w:rPr>
          <w:sz w:val="20"/>
        </w:rPr>
        <w:t>multiracial,</w:t>
      </w:r>
      <w:r>
        <w:rPr>
          <w:spacing w:val="-7"/>
          <w:sz w:val="20"/>
        </w:rPr>
        <w:t xml:space="preserve"> </w:t>
      </w:r>
      <w:r>
        <w:rPr>
          <w:sz w:val="20"/>
        </w:rPr>
        <w:t>American</w:t>
      </w:r>
      <w:r>
        <w:rPr>
          <w:spacing w:val="-7"/>
          <w:sz w:val="20"/>
        </w:rPr>
        <w:t xml:space="preserve"> </w:t>
      </w:r>
      <w:r>
        <w:rPr>
          <w:sz w:val="20"/>
        </w:rPr>
        <w:t>Indian,</w:t>
      </w:r>
      <w:r>
        <w:rPr>
          <w:spacing w:val="-10"/>
          <w:sz w:val="20"/>
        </w:rPr>
        <w:t xml:space="preserve"> </w:t>
      </w:r>
      <w:r>
        <w:rPr>
          <w:sz w:val="20"/>
        </w:rPr>
        <w:t>Black,</w:t>
      </w:r>
      <w:r>
        <w:rPr>
          <w:spacing w:val="-7"/>
          <w:sz w:val="20"/>
        </w:rPr>
        <w:t xml:space="preserve"> </w:t>
      </w:r>
      <w:r>
        <w:rPr>
          <w:sz w:val="20"/>
        </w:rPr>
        <w:t>and</w:t>
      </w:r>
      <w:r>
        <w:rPr>
          <w:spacing w:val="-7"/>
          <w:sz w:val="20"/>
        </w:rPr>
        <w:t xml:space="preserve"> </w:t>
      </w:r>
      <w:r>
        <w:rPr>
          <w:sz w:val="20"/>
        </w:rPr>
        <w:t>Latinx</w:t>
      </w:r>
      <w:r>
        <w:rPr>
          <w:spacing w:val="-10"/>
          <w:sz w:val="20"/>
        </w:rPr>
        <w:t xml:space="preserve"> </w:t>
      </w:r>
      <w:r>
        <w:rPr>
          <w:sz w:val="20"/>
        </w:rPr>
        <w:t>respondents</w:t>
      </w:r>
      <w:r>
        <w:rPr>
          <w:spacing w:val="-9"/>
          <w:sz w:val="20"/>
        </w:rPr>
        <w:t xml:space="preserve"> </w:t>
      </w:r>
      <w:r>
        <w:rPr>
          <w:sz w:val="20"/>
        </w:rPr>
        <w:t>were</w:t>
      </w:r>
      <w:r>
        <w:rPr>
          <w:spacing w:val="-6"/>
          <w:sz w:val="20"/>
        </w:rPr>
        <w:t xml:space="preserve"> </w:t>
      </w:r>
      <w:r>
        <w:rPr>
          <w:sz w:val="20"/>
        </w:rPr>
        <w:t>more</w:t>
      </w:r>
      <w:r>
        <w:rPr>
          <w:spacing w:val="-9"/>
          <w:sz w:val="20"/>
        </w:rPr>
        <w:t xml:space="preserve"> </w:t>
      </w:r>
      <w:r>
        <w:rPr>
          <w:sz w:val="20"/>
        </w:rPr>
        <w:t>likely</w:t>
      </w:r>
      <w:r>
        <w:rPr>
          <w:spacing w:val="-7"/>
          <w:sz w:val="20"/>
        </w:rPr>
        <w:t xml:space="preserve"> </w:t>
      </w:r>
      <w:r>
        <w:rPr>
          <w:sz w:val="20"/>
        </w:rPr>
        <w:t>to</w:t>
      </w:r>
      <w:r>
        <w:rPr>
          <w:spacing w:val="-7"/>
          <w:sz w:val="20"/>
        </w:rPr>
        <w:t xml:space="preserve"> </w:t>
      </w:r>
      <w:r>
        <w:rPr>
          <w:sz w:val="20"/>
        </w:rPr>
        <w:t>not</w:t>
      </w:r>
      <w:r>
        <w:rPr>
          <w:spacing w:val="-7"/>
          <w:sz w:val="20"/>
        </w:rPr>
        <w:t xml:space="preserve"> </w:t>
      </w:r>
      <w:r>
        <w:rPr>
          <w:sz w:val="20"/>
        </w:rPr>
        <w:t>have</w:t>
      </w:r>
      <w:r>
        <w:rPr>
          <w:spacing w:val="-9"/>
          <w:sz w:val="20"/>
        </w:rPr>
        <w:t xml:space="preserve"> </w:t>
      </w:r>
      <w:r>
        <w:rPr>
          <w:sz w:val="20"/>
        </w:rPr>
        <w:t>seen</w:t>
      </w:r>
      <w:r>
        <w:rPr>
          <w:spacing w:val="-7"/>
          <w:sz w:val="20"/>
        </w:rPr>
        <w:t xml:space="preserve"> </w:t>
      </w:r>
      <w:r>
        <w:rPr>
          <w:sz w:val="20"/>
        </w:rPr>
        <w:t>a</w:t>
      </w:r>
      <w:r>
        <w:rPr>
          <w:spacing w:val="-7"/>
          <w:sz w:val="20"/>
        </w:rPr>
        <w:t xml:space="preserve"> </w:t>
      </w:r>
      <w:r>
        <w:rPr>
          <w:sz w:val="20"/>
        </w:rPr>
        <w:t>healthcare provider in</w:t>
      </w:r>
      <w:r>
        <w:rPr>
          <w:spacing w:val="13"/>
          <w:sz w:val="20"/>
        </w:rPr>
        <w:t xml:space="preserve"> </w:t>
      </w:r>
      <w:r>
        <w:rPr>
          <w:sz w:val="20"/>
        </w:rPr>
        <w:t>the past</w:t>
      </w:r>
      <w:r>
        <w:rPr>
          <w:spacing w:val="13"/>
          <w:sz w:val="20"/>
        </w:rPr>
        <w:t xml:space="preserve"> </w:t>
      </w:r>
      <w:r>
        <w:rPr>
          <w:sz w:val="20"/>
        </w:rPr>
        <w:t>year due to</w:t>
      </w:r>
      <w:r>
        <w:rPr>
          <w:spacing w:val="13"/>
          <w:sz w:val="20"/>
        </w:rPr>
        <w:t xml:space="preserve"> </w:t>
      </w:r>
      <w:r>
        <w:rPr>
          <w:sz w:val="20"/>
        </w:rPr>
        <w:t>cost.</w:t>
      </w:r>
      <w:hyperlink w:anchor="_bookmark449" w:history="1">
        <w:r>
          <w:rPr>
            <w:sz w:val="20"/>
            <w:vertAlign w:val="superscript"/>
          </w:rPr>
          <w:t>3</w:t>
        </w:r>
      </w:hyperlink>
      <w:r>
        <w:rPr>
          <w:spacing w:val="-3"/>
          <w:sz w:val="20"/>
        </w:rPr>
        <w:t xml:space="preserve"> </w:t>
      </w:r>
      <w:r>
        <w:rPr>
          <w:sz w:val="20"/>
        </w:rPr>
        <w:t>LGBTQ</w:t>
      </w:r>
      <w:r>
        <w:rPr>
          <w:spacing w:val="13"/>
          <w:sz w:val="20"/>
        </w:rPr>
        <w:t xml:space="preserve"> </w:t>
      </w:r>
      <w:r>
        <w:rPr>
          <w:sz w:val="20"/>
        </w:rPr>
        <w:t>immigrants face multiple barriers to</w:t>
      </w:r>
      <w:r>
        <w:rPr>
          <w:spacing w:val="13"/>
          <w:sz w:val="20"/>
        </w:rPr>
        <w:t xml:space="preserve"> </w:t>
      </w:r>
      <w:r>
        <w:rPr>
          <w:sz w:val="20"/>
        </w:rPr>
        <w:t>healthcare access due to</w:t>
      </w:r>
      <w:r>
        <w:rPr>
          <w:spacing w:val="13"/>
          <w:sz w:val="20"/>
        </w:rPr>
        <w:t xml:space="preserve"> </w:t>
      </w:r>
      <w:r>
        <w:rPr>
          <w:sz w:val="20"/>
        </w:rPr>
        <w:t>their</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spacing w:before="66" w:line="264" w:lineRule="auto"/>
        <w:ind w:left="140" w:right="334"/>
        <w:jc w:val="both"/>
        <w:rPr>
          <w:sz w:val="20"/>
        </w:rPr>
      </w:pPr>
      <w:r>
        <w:rPr>
          <w:sz w:val="20"/>
        </w:rPr>
        <w:lastRenderedPageBreak/>
        <w:t>citizenship status and sexual orientation or gender identity. In the U.S. it is estimated that 22% of the LGBTQ population</w:t>
      </w:r>
      <w:r>
        <w:rPr>
          <w:spacing w:val="-12"/>
          <w:sz w:val="20"/>
        </w:rPr>
        <w:t xml:space="preserve"> </w:t>
      </w:r>
      <w:r>
        <w:rPr>
          <w:sz w:val="20"/>
        </w:rPr>
        <w:t>is</w:t>
      </w:r>
      <w:r>
        <w:rPr>
          <w:spacing w:val="-11"/>
          <w:sz w:val="20"/>
        </w:rPr>
        <w:t xml:space="preserve"> </w:t>
      </w:r>
      <w:r>
        <w:rPr>
          <w:sz w:val="20"/>
        </w:rPr>
        <w:t>undocumented,</w:t>
      </w:r>
      <w:hyperlink w:anchor="_bookmark450" w:history="1">
        <w:r>
          <w:rPr>
            <w:sz w:val="20"/>
            <w:vertAlign w:val="superscript"/>
          </w:rPr>
          <w:t>4</w:t>
        </w:r>
      </w:hyperlink>
      <w:r>
        <w:rPr>
          <w:spacing w:val="-10"/>
          <w:sz w:val="20"/>
        </w:rPr>
        <w:t xml:space="preserve"> </w:t>
      </w:r>
      <w:r>
        <w:rPr>
          <w:sz w:val="20"/>
        </w:rPr>
        <w:t>though</w:t>
      </w:r>
      <w:r>
        <w:rPr>
          <w:spacing w:val="-10"/>
          <w:sz w:val="20"/>
        </w:rPr>
        <w:t xml:space="preserve"> </w:t>
      </w:r>
      <w:r>
        <w:rPr>
          <w:sz w:val="20"/>
        </w:rPr>
        <w:t>there</w:t>
      </w:r>
      <w:r>
        <w:rPr>
          <w:spacing w:val="-12"/>
          <w:sz w:val="20"/>
        </w:rPr>
        <w:t xml:space="preserve"> </w:t>
      </w:r>
      <w:r>
        <w:rPr>
          <w:sz w:val="20"/>
        </w:rPr>
        <w:t>is</w:t>
      </w:r>
      <w:r>
        <w:rPr>
          <w:spacing w:val="-11"/>
          <w:sz w:val="20"/>
        </w:rPr>
        <w:t xml:space="preserve"> </w:t>
      </w:r>
      <w:r>
        <w:rPr>
          <w:sz w:val="20"/>
        </w:rPr>
        <w:t>no</w:t>
      </w:r>
      <w:r>
        <w:rPr>
          <w:spacing w:val="-11"/>
          <w:sz w:val="20"/>
        </w:rPr>
        <w:t xml:space="preserve"> </w:t>
      </w:r>
      <w:r>
        <w:rPr>
          <w:sz w:val="20"/>
        </w:rPr>
        <w:t>current</w:t>
      </w:r>
      <w:r>
        <w:rPr>
          <w:spacing w:val="-11"/>
          <w:sz w:val="20"/>
        </w:rPr>
        <w:t xml:space="preserve"> </w:t>
      </w:r>
      <w:r>
        <w:rPr>
          <w:sz w:val="20"/>
        </w:rPr>
        <w:t>empirical</w:t>
      </w:r>
      <w:r>
        <w:rPr>
          <w:spacing w:val="-12"/>
          <w:sz w:val="20"/>
        </w:rPr>
        <w:t xml:space="preserve"> </w:t>
      </w:r>
      <w:r>
        <w:rPr>
          <w:sz w:val="20"/>
        </w:rPr>
        <w:t>data</w:t>
      </w:r>
      <w:r>
        <w:rPr>
          <w:spacing w:val="-10"/>
          <w:sz w:val="20"/>
        </w:rPr>
        <w:t xml:space="preserve"> </w:t>
      </w:r>
      <w:r>
        <w:rPr>
          <w:sz w:val="20"/>
        </w:rPr>
        <w:t>on</w:t>
      </w:r>
      <w:r>
        <w:rPr>
          <w:spacing w:val="-11"/>
          <w:sz w:val="20"/>
        </w:rPr>
        <w:t xml:space="preserve"> </w:t>
      </w:r>
      <w:r>
        <w:rPr>
          <w:sz w:val="20"/>
        </w:rPr>
        <w:t>the</w:t>
      </w:r>
      <w:r>
        <w:rPr>
          <w:spacing w:val="-12"/>
          <w:sz w:val="20"/>
        </w:rPr>
        <w:t xml:space="preserve"> </w:t>
      </w:r>
      <w:r>
        <w:rPr>
          <w:sz w:val="20"/>
        </w:rPr>
        <w:t>percentage</w:t>
      </w:r>
      <w:r>
        <w:rPr>
          <w:spacing w:val="-11"/>
          <w:sz w:val="20"/>
        </w:rPr>
        <w:t xml:space="preserve"> </w:t>
      </w:r>
      <w:r>
        <w:rPr>
          <w:sz w:val="20"/>
        </w:rPr>
        <w:t>of</w:t>
      </w:r>
      <w:r>
        <w:rPr>
          <w:spacing w:val="-11"/>
          <w:sz w:val="20"/>
        </w:rPr>
        <w:t xml:space="preserve"> </w:t>
      </w:r>
      <w:r>
        <w:rPr>
          <w:sz w:val="20"/>
        </w:rPr>
        <w:t>undocumented</w:t>
      </w:r>
      <w:r>
        <w:rPr>
          <w:spacing w:val="-11"/>
          <w:sz w:val="20"/>
        </w:rPr>
        <w:t xml:space="preserve"> </w:t>
      </w:r>
      <w:r>
        <w:rPr>
          <w:sz w:val="20"/>
        </w:rPr>
        <w:t>LGBTQ i</w:t>
      </w:r>
      <w:r>
        <w:rPr>
          <w:sz w:val="20"/>
        </w:rPr>
        <w:t>ndividuals in Massachusetts. Undocumented LGBTQ individuals may have an additional layer of difficulty when trying to access healthcare through Medicaid and other public programs, leading to not having unmet healthcare needs. Transgender adolescents and yo</w:t>
      </w:r>
      <w:r>
        <w:rPr>
          <w:sz w:val="20"/>
        </w:rPr>
        <w:t>uth are further disadvantaged, as they might rely on their parents for insurance coverage. This could be problematic if their parents or guardians lack health care coverage due to economic</w:t>
      </w:r>
      <w:r>
        <w:rPr>
          <w:spacing w:val="-6"/>
          <w:sz w:val="20"/>
        </w:rPr>
        <w:t xml:space="preserve"> </w:t>
      </w:r>
      <w:r>
        <w:rPr>
          <w:sz w:val="20"/>
        </w:rPr>
        <w:t>reasons,</w:t>
      </w:r>
      <w:r>
        <w:rPr>
          <w:spacing w:val="-5"/>
          <w:sz w:val="20"/>
        </w:rPr>
        <w:t xml:space="preserve"> </w:t>
      </w:r>
      <w:r>
        <w:rPr>
          <w:sz w:val="20"/>
        </w:rPr>
        <w:t>or</w:t>
      </w:r>
      <w:r>
        <w:rPr>
          <w:spacing w:val="-5"/>
          <w:sz w:val="20"/>
        </w:rPr>
        <w:t xml:space="preserve"> </w:t>
      </w:r>
      <w:r>
        <w:rPr>
          <w:sz w:val="20"/>
        </w:rPr>
        <w:t>if</w:t>
      </w:r>
      <w:r>
        <w:rPr>
          <w:spacing w:val="-6"/>
          <w:sz w:val="20"/>
        </w:rPr>
        <w:t xml:space="preserve"> </w:t>
      </w:r>
      <w:r>
        <w:rPr>
          <w:sz w:val="20"/>
        </w:rPr>
        <w:t>their</w:t>
      </w:r>
      <w:r>
        <w:rPr>
          <w:spacing w:val="-3"/>
          <w:sz w:val="20"/>
        </w:rPr>
        <w:t xml:space="preserve"> </w:t>
      </w:r>
      <w:r>
        <w:rPr>
          <w:sz w:val="20"/>
        </w:rPr>
        <w:t>parents</w:t>
      </w:r>
      <w:r>
        <w:rPr>
          <w:spacing w:val="-7"/>
          <w:sz w:val="20"/>
        </w:rPr>
        <w:t xml:space="preserve"> </w:t>
      </w:r>
      <w:r>
        <w:rPr>
          <w:sz w:val="20"/>
        </w:rPr>
        <w:t>are</w:t>
      </w:r>
      <w:r>
        <w:rPr>
          <w:spacing w:val="-6"/>
          <w:sz w:val="20"/>
        </w:rPr>
        <w:t xml:space="preserve"> </w:t>
      </w:r>
      <w:r>
        <w:rPr>
          <w:sz w:val="20"/>
        </w:rPr>
        <w:t>unsupportive</w:t>
      </w:r>
      <w:r>
        <w:rPr>
          <w:spacing w:val="-6"/>
          <w:sz w:val="20"/>
        </w:rPr>
        <w:t xml:space="preserve"> </w:t>
      </w:r>
      <w:r>
        <w:rPr>
          <w:sz w:val="20"/>
        </w:rPr>
        <w:t>of</w:t>
      </w:r>
      <w:r>
        <w:rPr>
          <w:spacing w:val="-6"/>
          <w:sz w:val="20"/>
        </w:rPr>
        <w:t xml:space="preserve"> </w:t>
      </w:r>
      <w:r>
        <w:rPr>
          <w:sz w:val="20"/>
        </w:rPr>
        <w:t>their</w:t>
      </w:r>
      <w:r>
        <w:rPr>
          <w:spacing w:val="-5"/>
          <w:sz w:val="20"/>
        </w:rPr>
        <w:t xml:space="preserve"> </w:t>
      </w:r>
      <w:r>
        <w:rPr>
          <w:sz w:val="20"/>
        </w:rPr>
        <w:t>sexuality</w:t>
      </w:r>
      <w:r>
        <w:rPr>
          <w:spacing w:val="-4"/>
          <w:sz w:val="20"/>
        </w:rPr>
        <w:t xml:space="preserve"> </w:t>
      </w:r>
      <w:r>
        <w:rPr>
          <w:sz w:val="20"/>
        </w:rPr>
        <w:t>and</w:t>
      </w:r>
      <w:r>
        <w:rPr>
          <w:spacing w:val="-5"/>
          <w:sz w:val="20"/>
        </w:rPr>
        <w:t xml:space="preserve"> </w:t>
      </w:r>
      <w:r>
        <w:rPr>
          <w:sz w:val="20"/>
        </w:rPr>
        <w:t>gender</w:t>
      </w:r>
      <w:r>
        <w:rPr>
          <w:spacing w:val="-5"/>
          <w:sz w:val="20"/>
        </w:rPr>
        <w:t xml:space="preserve"> </w:t>
      </w:r>
      <w:r>
        <w:rPr>
          <w:sz w:val="20"/>
        </w:rPr>
        <w:t>identity,</w:t>
      </w:r>
      <w:r>
        <w:rPr>
          <w:spacing w:val="-5"/>
          <w:sz w:val="20"/>
        </w:rPr>
        <w:t xml:space="preserve"> </w:t>
      </w:r>
      <w:r>
        <w:rPr>
          <w:sz w:val="20"/>
        </w:rPr>
        <w:t>thus</w:t>
      </w:r>
      <w:r>
        <w:rPr>
          <w:spacing w:val="-7"/>
          <w:sz w:val="20"/>
        </w:rPr>
        <w:t xml:space="preserve"> </w:t>
      </w:r>
      <w:r>
        <w:rPr>
          <w:sz w:val="20"/>
        </w:rPr>
        <w:t>cutting</w:t>
      </w:r>
      <w:r>
        <w:rPr>
          <w:spacing w:val="-6"/>
          <w:sz w:val="20"/>
        </w:rPr>
        <w:t xml:space="preserve"> </w:t>
      </w:r>
      <w:r>
        <w:rPr>
          <w:sz w:val="20"/>
        </w:rPr>
        <w:t>off</w:t>
      </w:r>
      <w:r>
        <w:rPr>
          <w:spacing w:val="-6"/>
          <w:sz w:val="20"/>
        </w:rPr>
        <w:t xml:space="preserve"> </w:t>
      </w:r>
      <w:r>
        <w:rPr>
          <w:sz w:val="20"/>
        </w:rPr>
        <w:t>a</w:t>
      </w:r>
      <w:r>
        <w:rPr>
          <w:spacing w:val="-5"/>
          <w:sz w:val="20"/>
        </w:rPr>
        <w:t xml:space="preserve"> </w:t>
      </w:r>
      <w:r>
        <w:rPr>
          <w:sz w:val="20"/>
        </w:rPr>
        <w:t>trans youth’s access to insurance coverage.</w:t>
      </w:r>
    </w:p>
    <w:p w:rsidR="00200FDA" w:rsidRDefault="00200FDA">
      <w:pPr>
        <w:pStyle w:val="BodyText"/>
        <w:spacing w:before="7"/>
        <w:rPr>
          <w:sz w:val="19"/>
        </w:rPr>
      </w:pPr>
    </w:p>
    <w:p w:rsidR="00200FDA" w:rsidRDefault="00F76C4C">
      <w:pPr>
        <w:spacing w:line="264" w:lineRule="auto"/>
        <w:ind w:left="139" w:right="335"/>
        <w:jc w:val="both"/>
        <w:rPr>
          <w:sz w:val="20"/>
        </w:rPr>
      </w:pPr>
      <w:r>
        <w:rPr>
          <w:sz w:val="20"/>
        </w:rPr>
        <w:t>Although</w:t>
      </w:r>
      <w:r>
        <w:rPr>
          <w:spacing w:val="-1"/>
          <w:sz w:val="20"/>
        </w:rPr>
        <w:t xml:space="preserve"> </w:t>
      </w:r>
      <w:r>
        <w:rPr>
          <w:sz w:val="20"/>
        </w:rPr>
        <w:t>the</w:t>
      </w:r>
      <w:r>
        <w:rPr>
          <w:spacing w:val="-3"/>
          <w:sz w:val="20"/>
        </w:rPr>
        <w:t xml:space="preserve"> </w:t>
      </w:r>
      <w:r>
        <w:rPr>
          <w:sz w:val="20"/>
        </w:rPr>
        <w:t>reproductive</w:t>
      </w:r>
      <w:r>
        <w:rPr>
          <w:spacing w:val="-3"/>
          <w:sz w:val="20"/>
        </w:rPr>
        <w:t xml:space="preserve"> </w:t>
      </w:r>
      <w:r>
        <w:rPr>
          <w:sz w:val="20"/>
        </w:rPr>
        <w:t>health</w:t>
      </w:r>
      <w:r>
        <w:rPr>
          <w:spacing w:val="-1"/>
          <w:sz w:val="20"/>
        </w:rPr>
        <w:t xml:space="preserve"> </w:t>
      </w:r>
      <w:r>
        <w:rPr>
          <w:sz w:val="20"/>
        </w:rPr>
        <w:t>care</w:t>
      </w:r>
      <w:r>
        <w:rPr>
          <w:spacing w:val="-3"/>
          <w:sz w:val="20"/>
        </w:rPr>
        <w:t xml:space="preserve"> </w:t>
      </w:r>
      <w:r>
        <w:rPr>
          <w:sz w:val="20"/>
        </w:rPr>
        <w:t>needs</w:t>
      </w:r>
      <w:r>
        <w:rPr>
          <w:spacing w:val="-3"/>
          <w:sz w:val="20"/>
        </w:rPr>
        <w:t xml:space="preserve"> </w:t>
      </w:r>
      <w:r>
        <w:rPr>
          <w:sz w:val="20"/>
        </w:rPr>
        <w:t>of</w:t>
      </w:r>
      <w:r>
        <w:rPr>
          <w:spacing w:val="-3"/>
          <w:sz w:val="20"/>
        </w:rPr>
        <w:t xml:space="preserve"> </w:t>
      </w:r>
      <w:r>
        <w:rPr>
          <w:sz w:val="20"/>
        </w:rPr>
        <w:t>LGBTQ</w:t>
      </w:r>
      <w:r>
        <w:rPr>
          <w:spacing w:val="-2"/>
          <w:sz w:val="20"/>
        </w:rPr>
        <w:t xml:space="preserve"> </w:t>
      </w:r>
      <w:r>
        <w:rPr>
          <w:sz w:val="20"/>
        </w:rPr>
        <w:t>individuals</w:t>
      </w:r>
      <w:r>
        <w:rPr>
          <w:spacing w:val="-3"/>
          <w:sz w:val="20"/>
        </w:rPr>
        <w:t xml:space="preserve"> </w:t>
      </w:r>
      <w:r>
        <w:rPr>
          <w:sz w:val="20"/>
        </w:rPr>
        <w:t>assigned</w:t>
      </w:r>
      <w:r>
        <w:rPr>
          <w:spacing w:val="-1"/>
          <w:sz w:val="20"/>
        </w:rPr>
        <w:t xml:space="preserve"> </w:t>
      </w:r>
      <w:r>
        <w:rPr>
          <w:sz w:val="20"/>
        </w:rPr>
        <w:t>female</w:t>
      </w:r>
      <w:r>
        <w:rPr>
          <w:spacing w:val="-3"/>
          <w:sz w:val="20"/>
        </w:rPr>
        <w:t xml:space="preserve"> </w:t>
      </w:r>
      <w:r>
        <w:rPr>
          <w:sz w:val="20"/>
        </w:rPr>
        <w:t>at</w:t>
      </w:r>
      <w:r>
        <w:rPr>
          <w:spacing w:val="-2"/>
          <w:sz w:val="20"/>
        </w:rPr>
        <w:t xml:space="preserve"> </w:t>
      </w:r>
      <w:r>
        <w:rPr>
          <w:sz w:val="20"/>
        </w:rPr>
        <w:t>birth</w:t>
      </w:r>
      <w:r>
        <w:rPr>
          <w:spacing w:val="-1"/>
          <w:sz w:val="20"/>
        </w:rPr>
        <w:t xml:space="preserve"> </w:t>
      </w:r>
      <w:r>
        <w:rPr>
          <w:sz w:val="20"/>
        </w:rPr>
        <w:t>are</w:t>
      </w:r>
      <w:r>
        <w:rPr>
          <w:spacing w:val="-3"/>
          <w:sz w:val="20"/>
        </w:rPr>
        <w:t xml:space="preserve"> </w:t>
      </w:r>
      <w:r>
        <w:rPr>
          <w:sz w:val="20"/>
        </w:rPr>
        <w:t>similar</w:t>
      </w:r>
      <w:r>
        <w:rPr>
          <w:spacing w:val="-2"/>
          <w:sz w:val="20"/>
        </w:rPr>
        <w:t xml:space="preserve"> </w:t>
      </w:r>
      <w:r>
        <w:rPr>
          <w:sz w:val="20"/>
        </w:rPr>
        <w:t>to</w:t>
      </w:r>
      <w:r>
        <w:rPr>
          <w:spacing w:val="-2"/>
          <w:sz w:val="20"/>
        </w:rPr>
        <w:t xml:space="preserve"> </w:t>
      </w:r>
      <w:r>
        <w:rPr>
          <w:sz w:val="20"/>
        </w:rPr>
        <w:t>cisgender, heterosexual individuals, LGBTQ people still have uniqu</w:t>
      </w:r>
      <w:r>
        <w:rPr>
          <w:sz w:val="20"/>
        </w:rPr>
        <w:t>e needs in regards to reproductive health care and face barriers when pursuing care.</w:t>
      </w:r>
      <w:hyperlink w:anchor="_bookmark451" w:history="1">
        <w:r>
          <w:rPr>
            <w:sz w:val="20"/>
            <w:vertAlign w:val="superscript"/>
          </w:rPr>
          <w:t>5</w:t>
        </w:r>
      </w:hyperlink>
      <w:r>
        <w:rPr>
          <w:spacing w:val="-3"/>
          <w:sz w:val="20"/>
        </w:rPr>
        <w:t xml:space="preserve"> </w:t>
      </w:r>
      <w:r>
        <w:rPr>
          <w:sz w:val="20"/>
        </w:rPr>
        <w:t xml:space="preserve">When actually attempting to access health care services, studies have shown that LGBTQ youth had negative experiences with primary health </w:t>
      </w:r>
      <w:r>
        <w:rPr>
          <w:sz w:val="20"/>
        </w:rPr>
        <w:t>care providers.</w:t>
      </w:r>
      <w:hyperlink w:anchor="_bookmark452" w:history="1">
        <w:r>
          <w:rPr>
            <w:sz w:val="20"/>
            <w:vertAlign w:val="superscript"/>
          </w:rPr>
          <w:t>6</w:t>
        </w:r>
      </w:hyperlink>
      <w:r>
        <w:rPr>
          <w:sz w:val="20"/>
        </w:rPr>
        <w:t xml:space="preserve"> Discrimination, or the potential for discrimination</w:t>
      </w:r>
      <w:r>
        <w:rPr>
          <w:spacing w:val="-10"/>
          <w:sz w:val="20"/>
        </w:rPr>
        <w:t xml:space="preserve"> </w:t>
      </w:r>
      <w:r>
        <w:rPr>
          <w:sz w:val="20"/>
        </w:rPr>
        <w:t>in</w:t>
      </w:r>
      <w:r>
        <w:rPr>
          <w:spacing w:val="-10"/>
          <w:sz w:val="20"/>
        </w:rPr>
        <w:t xml:space="preserve"> </w:t>
      </w:r>
      <w:r>
        <w:rPr>
          <w:sz w:val="20"/>
        </w:rPr>
        <w:t>healthcare</w:t>
      </w:r>
      <w:r>
        <w:rPr>
          <w:spacing w:val="-12"/>
          <w:sz w:val="20"/>
        </w:rPr>
        <w:t xml:space="preserve"> </w:t>
      </w:r>
      <w:r>
        <w:rPr>
          <w:sz w:val="20"/>
        </w:rPr>
        <w:t>settings,</w:t>
      </w:r>
      <w:r>
        <w:rPr>
          <w:spacing w:val="-10"/>
          <w:sz w:val="20"/>
        </w:rPr>
        <w:t xml:space="preserve"> </w:t>
      </w:r>
      <w:r>
        <w:rPr>
          <w:sz w:val="20"/>
        </w:rPr>
        <w:t>deters</w:t>
      </w:r>
      <w:r>
        <w:rPr>
          <w:spacing w:val="-12"/>
          <w:sz w:val="20"/>
        </w:rPr>
        <w:t xml:space="preserve"> </w:t>
      </w:r>
      <w:r>
        <w:rPr>
          <w:sz w:val="20"/>
        </w:rPr>
        <w:t>LGBTQ</w:t>
      </w:r>
      <w:r>
        <w:rPr>
          <w:spacing w:val="-10"/>
          <w:sz w:val="20"/>
        </w:rPr>
        <w:t xml:space="preserve"> </w:t>
      </w:r>
      <w:r>
        <w:rPr>
          <w:sz w:val="20"/>
        </w:rPr>
        <w:t>individuals</w:t>
      </w:r>
      <w:r>
        <w:rPr>
          <w:spacing w:val="-12"/>
          <w:sz w:val="20"/>
        </w:rPr>
        <w:t xml:space="preserve"> </w:t>
      </w:r>
      <w:r>
        <w:rPr>
          <w:sz w:val="20"/>
        </w:rPr>
        <w:t>from</w:t>
      </w:r>
      <w:r>
        <w:rPr>
          <w:spacing w:val="-11"/>
          <w:sz w:val="20"/>
        </w:rPr>
        <w:t xml:space="preserve"> </w:t>
      </w:r>
      <w:r>
        <w:rPr>
          <w:sz w:val="20"/>
        </w:rPr>
        <w:t>seeking</w:t>
      </w:r>
      <w:r>
        <w:rPr>
          <w:spacing w:val="-11"/>
          <w:sz w:val="20"/>
        </w:rPr>
        <w:t xml:space="preserve"> </w:t>
      </w:r>
      <w:r>
        <w:rPr>
          <w:sz w:val="20"/>
        </w:rPr>
        <w:t>healthcare</w:t>
      </w:r>
      <w:r>
        <w:rPr>
          <w:spacing w:val="-12"/>
          <w:sz w:val="20"/>
        </w:rPr>
        <w:t xml:space="preserve"> </w:t>
      </w:r>
      <w:r>
        <w:rPr>
          <w:sz w:val="20"/>
        </w:rPr>
        <w:t>due</w:t>
      </w:r>
      <w:r>
        <w:rPr>
          <w:spacing w:val="-11"/>
          <w:sz w:val="20"/>
        </w:rPr>
        <w:t xml:space="preserve"> </w:t>
      </w:r>
      <w:r>
        <w:rPr>
          <w:sz w:val="20"/>
        </w:rPr>
        <w:t>to</w:t>
      </w:r>
      <w:r>
        <w:rPr>
          <w:spacing w:val="-10"/>
          <w:sz w:val="20"/>
        </w:rPr>
        <w:t xml:space="preserve"> </w:t>
      </w:r>
      <w:r>
        <w:rPr>
          <w:sz w:val="20"/>
        </w:rPr>
        <w:t>past</w:t>
      </w:r>
      <w:r>
        <w:rPr>
          <w:spacing w:val="-11"/>
          <w:sz w:val="20"/>
        </w:rPr>
        <w:t xml:space="preserve"> </w:t>
      </w:r>
      <w:r>
        <w:rPr>
          <w:sz w:val="20"/>
        </w:rPr>
        <w:t>experiences</w:t>
      </w:r>
      <w:r>
        <w:rPr>
          <w:spacing w:val="-12"/>
          <w:sz w:val="20"/>
        </w:rPr>
        <w:t xml:space="preserve"> </w:t>
      </w:r>
      <w:r>
        <w:rPr>
          <w:sz w:val="20"/>
        </w:rPr>
        <w:t xml:space="preserve">with being misgendered, mistreated for their sexuality or gender identity, or being denied healthcare services that are related to their gender transition. </w:t>
      </w:r>
      <w:hyperlink w:anchor="_bookmark453" w:history="1">
        <w:r>
          <w:rPr>
            <w:sz w:val="20"/>
            <w:vertAlign w:val="superscript"/>
          </w:rPr>
          <w:t>7</w:t>
        </w:r>
      </w:hyperlink>
      <w:r>
        <w:rPr>
          <w:sz w:val="20"/>
        </w:rPr>
        <w:t xml:space="preserve"> Transmasculine youth of color have reported experiencing cissexism</w:t>
      </w:r>
      <w:r>
        <w:rPr>
          <w:sz w:val="20"/>
        </w:rPr>
        <w:t>, heterosexism,</w:t>
      </w:r>
      <w:r>
        <w:rPr>
          <w:spacing w:val="-12"/>
          <w:sz w:val="20"/>
        </w:rPr>
        <w:t xml:space="preserve"> </w:t>
      </w:r>
      <w:r>
        <w:rPr>
          <w:sz w:val="20"/>
        </w:rPr>
        <w:t>and</w:t>
      </w:r>
      <w:r>
        <w:rPr>
          <w:spacing w:val="-11"/>
          <w:sz w:val="20"/>
        </w:rPr>
        <w:t xml:space="preserve"> </w:t>
      </w:r>
      <w:r>
        <w:rPr>
          <w:sz w:val="20"/>
        </w:rPr>
        <w:t>racism</w:t>
      </w:r>
      <w:r>
        <w:rPr>
          <w:spacing w:val="-11"/>
          <w:sz w:val="20"/>
        </w:rPr>
        <w:t xml:space="preserve"> </w:t>
      </w:r>
      <w:r>
        <w:rPr>
          <w:sz w:val="20"/>
        </w:rPr>
        <w:t>when</w:t>
      </w:r>
      <w:r>
        <w:rPr>
          <w:spacing w:val="-12"/>
          <w:sz w:val="20"/>
        </w:rPr>
        <w:t xml:space="preserve"> </w:t>
      </w:r>
      <w:r>
        <w:rPr>
          <w:sz w:val="20"/>
        </w:rPr>
        <w:t>accessing</w:t>
      </w:r>
      <w:r>
        <w:rPr>
          <w:spacing w:val="-11"/>
          <w:sz w:val="20"/>
        </w:rPr>
        <w:t xml:space="preserve"> </w:t>
      </w:r>
      <w:r>
        <w:rPr>
          <w:sz w:val="20"/>
        </w:rPr>
        <w:t>and</w:t>
      </w:r>
      <w:r>
        <w:rPr>
          <w:spacing w:val="-11"/>
          <w:sz w:val="20"/>
        </w:rPr>
        <w:t xml:space="preserve"> </w:t>
      </w:r>
      <w:r>
        <w:rPr>
          <w:sz w:val="20"/>
        </w:rPr>
        <w:t>utilizing</w:t>
      </w:r>
      <w:r>
        <w:rPr>
          <w:spacing w:val="-12"/>
          <w:sz w:val="20"/>
        </w:rPr>
        <w:t xml:space="preserve"> </w:t>
      </w:r>
      <w:r>
        <w:rPr>
          <w:sz w:val="20"/>
        </w:rPr>
        <w:t>reproductive</w:t>
      </w:r>
      <w:r>
        <w:rPr>
          <w:spacing w:val="-11"/>
          <w:sz w:val="20"/>
        </w:rPr>
        <w:t xml:space="preserve"> </w:t>
      </w:r>
      <w:r>
        <w:rPr>
          <w:sz w:val="20"/>
        </w:rPr>
        <w:t>health</w:t>
      </w:r>
      <w:r>
        <w:rPr>
          <w:spacing w:val="-11"/>
          <w:sz w:val="20"/>
        </w:rPr>
        <w:t xml:space="preserve"> </w:t>
      </w:r>
      <w:r>
        <w:rPr>
          <w:sz w:val="20"/>
        </w:rPr>
        <w:t>services,</w:t>
      </w:r>
      <w:r>
        <w:rPr>
          <w:spacing w:val="-12"/>
          <w:sz w:val="20"/>
        </w:rPr>
        <w:t xml:space="preserve"> </w:t>
      </w:r>
      <w:r>
        <w:rPr>
          <w:sz w:val="20"/>
        </w:rPr>
        <w:t>particularly</w:t>
      </w:r>
      <w:r>
        <w:rPr>
          <w:spacing w:val="-11"/>
          <w:sz w:val="20"/>
        </w:rPr>
        <w:t xml:space="preserve"> </w:t>
      </w:r>
      <w:r>
        <w:rPr>
          <w:sz w:val="20"/>
        </w:rPr>
        <w:t>gynecological</w:t>
      </w:r>
      <w:r>
        <w:rPr>
          <w:spacing w:val="-11"/>
          <w:sz w:val="20"/>
        </w:rPr>
        <w:t xml:space="preserve"> </w:t>
      </w:r>
      <w:r>
        <w:rPr>
          <w:sz w:val="20"/>
        </w:rPr>
        <w:t>health care.</w:t>
      </w:r>
      <w:hyperlink w:anchor="_bookmark454" w:history="1">
        <w:r>
          <w:rPr>
            <w:sz w:val="20"/>
            <w:vertAlign w:val="superscript"/>
          </w:rPr>
          <w:t>8</w:t>
        </w:r>
      </w:hyperlink>
      <w:r>
        <w:rPr>
          <w:sz w:val="20"/>
        </w:rPr>
        <w:t xml:space="preserve"> Studies have shown that primary care providers are less likely to discuss birth control with LGBT</w:t>
      </w:r>
      <w:r>
        <w:rPr>
          <w:sz w:val="20"/>
        </w:rPr>
        <w:t>Q youth patients,</w:t>
      </w:r>
      <w:hyperlink w:anchor="_bookmark455" w:history="1">
        <w:r>
          <w:rPr>
            <w:sz w:val="20"/>
            <w:vertAlign w:val="superscript"/>
          </w:rPr>
          <w:t>9</w:t>
        </w:r>
      </w:hyperlink>
      <w:r>
        <w:rPr>
          <w:spacing w:val="-2"/>
          <w:sz w:val="20"/>
        </w:rPr>
        <w:t xml:space="preserve"> </w:t>
      </w:r>
      <w:r>
        <w:rPr>
          <w:sz w:val="20"/>
        </w:rPr>
        <w:t>thus showing how healthcare providers approach LGBTQ patients through a heteronormative lens and assuming that contraceptives are only necessary for people who engage in primarily heterosexual relations.</w:t>
      </w:r>
    </w:p>
    <w:p w:rsidR="00200FDA" w:rsidRDefault="00200FDA">
      <w:pPr>
        <w:pStyle w:val="BodyText"/>
        <w:rPr>
          <w:sz w:val="20"/>
        </w:rPr>
      </w:pPr>
    </w:p>
    <w:p w:rsidR="00200FDA" w:rsidRDefault="00200FDA">
      <w:pPr>
        <w:pStyle w:val="BodyText"/>
        <w:spacing w:before="10"/>
        <w:rPr>
          <w:sz w:val="16"/>
        </w:rPr>
      </w:pPr>
    </w:p>
    <w:p w:rsidR="00200FDA" w:rsidRDefault="00F76C4C">
      <w:pPr>
        <w:pStyle w:val="Heading8"/>
        <w:spacing w:before="1"/>
      </w:pPr>
      <w:bookmarkStart w:id="580" w:name="Gender-Affirming_Health_Care"/>
      <w:bookmarkEnd w:id="580"/>
      <w:r>
        <w:rPr>
          <w:color w:val="2E5395"/>
        </w:rPr>
        <w:t>Gender-Affirming</w:t>
      </w:r>
      <w:r>
        <w:rPr>
          <w:color w:val="2E5395"/>
          <w:spacing w:val="-5"/>
        </w:rPr>
        <w:t xml:space="preserve"> </w:t>
      </w:r>
      <w:r>
        <w:rPr>
          <w:color w:val="2E5395"/>
        </w:rPr>
        <w:t>Health</w:t>
      </w:r>
      <w:r>
        <w:rPr>
          <w:color w:val="2E5395"/>
          <w:spacing w:val="-4"/>
        </w:rPr>
        <w:t xml:space="preserve"> Care</w:t>
      </w:r>
    </w:p>
    <w:p w:rsidR="00200FDA" w:rsidRDefault="00200FDA">
      <w:pPr>
        <w:pStyle w:val="BodyText"/>
        <w:spacing w:before="9"/>
        <w:rPr>
          <w:sz w:val="19"/>
        </w:rPr>
      </w:pPr>
    </w:p>
    <w:p w:rsidR="00200FDA" w:rsidRDefault="00F76C4C">
      <w:pPr>
        <w:spacing w:before="1" w:line="264" w:lineRule="auto"/>
        <w:ind w:left="140" w:right="336"/>
        <w:jc w:val="both"/>
        <w:rPr>
          <w:sz w:val="20"/>
        </w:rPr>
      </w:pPr>
      <w:r>
        <w:rPr>
          <w:sz w:val="20"/>
        </w:rPr>
        <w:t>Transgender,</w:t>
      </w:r>
      <w:r>
        <w:rPr>
          <w:spacing w:val="-12"/>
          <w:sz w:val="20"/>
        </w:rPr>
        <w:t xml:space="preserve"> </w:t>
      </w:r>
      <w:r>
        <w:rPr>
          <w:sz w:val="20"/>
        </w:rPr>
        <w:t>nonbinary,</w:t>
      </w:r>
      <w:r>
        <w:rPr>
          <w:spacing w:val="-11"/>
          <w:sz w:val="20"/>
        </w:rPr>
        <w:t xml:space="preserve"> </w:t>
      </w:r>
      <w:r>
        <w:rPr>
          <w:sz w:val="20"/>
        </w:rPr>
        <w:t>and</w:t>
      </w:r>
      <w:r>
        <w:rPr>
          <w:spacing w:val="-11"/>
          <w:sz w:val="20"/>
        </w:rPr>
        <w:t xml:space="preserve"> </w:t>
      </w:r>
      <w:r>
        <w:rPr>
          <w:sz w:val="20"/>
        </w:rPr>
        <w:t>gender-nonconforming</w:t>
      </w:r>
      <w:r>
        <w:rPr>
          <w:spacing w:val="-12"/>
          <w:sz w:val="20"/>
        </w:rPr>
        <w:t xml:space="preserve"> </w:t>
      </w:r>
      <w:r>
        <w:rPr>
          <w:sz w:val="20"/>
        </w:rPr>
        <w:t>patients</w:t>
      </w:r>
      <w:r>
        <w:rPr>
          <w:spacing w:val="-11"/>
          <w:sz w:val="20"/>
        </w:rPr>
        <w:t xml:space="preserve"> </w:t>
      </w:r>
      <w:r>
        <w:rPr>
          <w:sz w:val="20"/>
        </w:rPr>
        <w:t>who</w:t>
      </w:r>
      <w:r>
        <w:rPr>
          <w:spacing w:val="-11"/>
          <w:sz w:val="20"/>
        </w:rPr>
        <w:t xml:space="preserve"> </w:t>
      </w:r>
      <w:r>
        <w:rPr>
          <w:sz w:val="20"/>
        </w:rPr>
        <w:t>have</w:t>
      </w:r>
      <w:r>
        <w:rPr>
          <w:spacing w:val="-12"/>
          <w:sz w:val="20"/>
        </w:rPr>
        <w:t xml:space="preserve"> </w:t>
      </w:r>
      <w:r>
        <w:rPr>
          <w:sz w:val="20"/>
        </w:rPr>
        <w:t>retained</w:t>
      </w:r>
      <w:r>
        <w:rPr>
          <w:spacing w:val="-11"/>
          <w:sz w:val="20"/>
        </w:rPr>
        <w:t xml:space="preserve"> </w:t>
      </w:r>
      <w:r>
        <w:rPr>
          <w:sz w:val="20"/>
        </w:rPr>
        <w:t>their</w:t>
      </w:r>
      <w:r>
        <w:rPr>
          <w:spacing w:val="-11"/>
          <w:sz w:val="20"/>
        </w:rPr>
        <w:t xml:space="preserve"> </w:t>
      </w:r>
      <w:r>
        <w:rPr>
          <w:sz w:val="20"/>
        </w:rPr>
        <w:t>reproductive</w:t>
      </w:r>
      <w:r>
        <w:rPr>
          <w:spacing w:val="-12"/>
          <w:sz w:val="20"/>
        </w:rPr>
        <w:t xml:space="preserve"> </w:t>
      </w:r>
      <w:r>
        <w:rPr>
          <w:sz w:val="20"/>
        </w:rPr>
        <w:t>organs</w:t>
      </w:r>
      <w:r>
        <w:rPr>
          <w:spacing w:val="-11"/>
          <w:sz w:val="20"/>
        </w:rPr>
        <w:t xml:space="preserve"> </w:t>
      </w:r>
      <w:r>
        <w:rPr>
          <w:sz w:val="20"/>
        </w:rPr>
        <w:t>including the cervix, uterus, one or both fallopian tubes and/or ovaries require routine gynecological care. This includes standard sexual reproductive care such as contraception counseling, reproductive health education, breast, and gynecological cancer s</w:t>
      </w:r>
      <w:r>
        <w:rPr>
          <w:sz w:val="20"/>
        </w:rPr>
        <w:t>creenings, STI testing, and menstruation management. Breast exams are also part of gynecological care. For transmen and gender diverse patients</w:t>
      </w:r>
      <w:r>
        <w:rPr>
          <w:spacing w:val="-1"/>
          <w:sz w:val="20"/>
        </w:rPr>
        <w:t xml:space="preserve"> </w:t>
      </w:r>
      <w:r>
        <w:rPr>
          <w:sz w:val="20"/>
        </w:rPr>
        <w:t>who underwent top surgery to remove their breasts, they may still need chest exams as they could still be at ris</w:t>
      </w:r>
      <w:r>
        <w:rPr>
          <w:sz w:val="20"/>
        </w:rPr>
        <w:t>k for breast cancer. The LGBTQ community is not a monolithic population and youth within this community have different needs and experiences with accessing reproductive and sexual healthcare. All people who are capable of becoming pregnant, including queer</w:t>
      </w:r>
      <w:r>
        <w:rPr>
          <w:sz w:val="20"/>
        </w:rPr>
        <w:t xml:space="preserve"> women, transmasculine</w:t>
      </w:r>
      <w:r>
        <w:rPr>
          <w:spacing w:val="-11"/>
          <w:sz w:val="20"/>
        </w:rPr>
        <w:t xml:space="preserve"> </w:t>
      </w:r>
      <w:r>
        <w:rPr>
          <w:sz w:val="20"/>
        </w:rPr>
        <w:t>people,</w:t>
      </w:r>
      <w:r>
        <w:rPr>
          <w:spacing w:val="-11"/>
          <w:sz w:val="20"/>
        </w:rPr>
        <w:t xml:space="preserve"> </w:t>
      </w:r>
      <w:r>
        <w:rPr>
          <w:sz w:val="20"/>
        </w:rPr>
        <w:t>and</w:t>
      </w:r>
      <w:r>
        <w:rPr>
          <w:spacing w:val="-10"/>
          <w:sz w:val="20"/>
        </w:rPr>
        <w:t xml:space="preserve"> </w:t>
      </w:r>
      <w:r>
        <w:rPr>
          <w:sz w:val="20"/>
        </w:rPr>
        <w:t>nonbinary</w:t>
      </w:r>
      <w:r>
        <w:rPr>
          <w:spacing w:val="-10"/>
          <w:sz w:val="20"/>
        </w:rPr>
        <w:t xml:space="preserve"> </w:t>
      </w:r>
      <w:r>
        <w:rPr>
          <w:sz w:val="20"/>
        </w:rPr>
        <w:t>people</w:t>
      </w:r>
      <w:r>
        <w:rPr>
          <w:spacing w:val="-11"/>
          <w:sz w:val="20"/>
        </w:rPr>
        <w:t xml:space="preserve"> </w:t>
      </w:r>
      <w:r>
        <w:rPr>
          <w:sz w:val="20"/>
        </w:rPr>
        <w:t>may</w:t>
      </w:r>
      <w:r>
        <w:rPr>
          <w:spacing w:val="-10"/>
          <w:sz w:val="20"/>
        </w:rPr>
        <w:t xml:space="preserve"> </w:t>
      </w:r>
      <w:r>
        <w:rPr>
          <w:sz w:val="20"/>
        </w:rPr>
        <w:t>need</w:t>
      </w:r>
      <w:r>
        <w:rPr>
          <w:spacing w:val="-10"/>
          <w:sz w:val="20"/>
        </w:rPr>
        <w:t xml:space="preserve"> </w:t>
      </w:r>
      <w:r>
        <w:rPr>
          <w:sz w:val="20"/>
        </w:rPr>
        <w:t>full</w:t>
      </w:r>
      <w:r>
        <w:rPr>
          <w:spacing w:val="-11"/>
          <w:sz w:val="20"/>
        </w:rPr>
        <w:t xml:space="preserve"> </w:t>
      </w:r>
      <w:r>
        <w:rPr>
          <w:sz w:val="20"/>
        </w:rPr>
        <w:t>spectrum</w:t>
      </w:r>
      <w:r>
        <w:rPr>
          <w:spacing w:val="-11"/>
          <w:sz w:val="20"/>
        </w:rPr>
        <w:t xml:space="preserve"> </w:t>
      </w:r>
      <w:r>
        <w:rPr>
          <w:sz w:val="20"/>
        </w:rPr>
        <w:t>pregnancy</w:t>
      </w:r>
      <w:r>
        <w:rPr>
          <w:spacing w:val="-10"/>
          <w:sz w:val="20"/>
        </w:rPr>
        <w:t xml:space="preserve"> </w:t>
      </w:r>
      <w:r>
        <w:rPr>
          <w:sz w:val="20"/>
        </w:rPr>
        <w:t>care,</w:t>
      </w:r>
      <w:r>
        <w:rPr>
          <w:spacing w:val="-11"/>
          <w:sz w:val="20"/>
        </w:rPr>
        <w:t xml:space="preserve"> </w:t>
      </w:r>
      <w:r>
        <w:rPr>
          <w:sz w:val="20"/>
        </w:rPr>
        <w:t>family</w:t>
      </w:r>
      <w:r>
        <w:rPr>
          <w:spacing w:val="-10"/>
          <w:sz w:val="20"/>
        </w:rPr>
        <w:t xml:space="preserve"> </w:t>
      </w:r>
      <w:r>
        <w:rPr>
          <w:sz w:val="20"/>
        </w:rPr>
        <w:t>planning,</w:t>
      </w:r>
      <w:r>
        <w:rPr>
          <w:spacing w:val="-11"/>
          <w:sz w:val="20"/>
        </w:rPr>
        <w:t xml:space="preserve"> </w:t>
      </w:r>
      <w:r>
        <w:rPr>
          <w:sz w:val="20"/>
        </w:rPr>
        <w:t>and</w:t>
      </w:r>
      <w:r>
        <w:rPr>
          <w:spacing w:val="-10"/>
          <w:sz w:val="20"/>
        </w:rPr>
        <w:t xml:space="preserve"> </w:t>
      </w:r>
      <w:r>
        <w:rPr>
          <w:sz w:val="20"/>
        </w:rPr>
        <w:t xml:space="preserve">abortion </w:t>
      </w:r>
      <w:r>
        <w:rPr>
          <w:spacing w:val="-2"/>
          <w:sz w:val="20"/>
        </w:rPr>
        <w:t>care.</w:t>
      </w:r>
    </w:p>
    <w:p w:rsidR="00200FDA" w:rsidRDefault="00200FDA">
      <w:pPr>
        <w:pStyle w:val="BodyText"/>
        <w:spacing w:before="7"/>
        <w:rPr>
          <w:sz w:val="19"/>
        </w:rPr>
      </w:pPr>
    </w:p>
    <w:p w:rsidR="00200FDA" w:rsidRDefault="00F76C4C">
      <w:pPr>
        <w:spacing w:line="264" w:lineRule="auto"/>
        <w:ind w:left="140" w:right="337"/>
        <w:jc w:val="both"/>
        <w:rPr>
          <w:sz w:val="20"/>
        </w:rPr>
      </w:pPr>
      <w:r>
        <w:rPr>
          <w:sz w:val="20"/>
        </w:rPr>
        <w:t>Intersex people also need gender-affirming health care. It is important to note that people born with variations in their sex ch</w:t>
      </w:r>
      <w:r>
        <w:rPr>
          <w:sz w:val="20"/>
        </w:rPr>
        <w:t xml:space="preserve">aracteristics may or may not identify as intersex or as part of the LGBTQ community, but their </w:t>
      </w:r>
      <w:r>
        <w:rPr>
          <w:spacing w:val="-2"/>
          <w:sz w:val="20"/>
        </w:rPr>
        <w:t xml:space="preserve">reproductive and gynecological healthcare needs may be similar to transgender and gender non-conforming patients </w:t>
      </w:r>
      <w:r>
        <w:rPr>
          <w:sz w:val="20"/>
        </w:rPr>
        <w:t>in</w:t>
      </w:r>
      <w:r>
        <w:rPr>
          <w:spacing w:val="-12"/>
          <w:sz w:val="20"/>
        </w:rPr>
        <w:t xml:space="preserve"> </w:t>
      </w:r>
      <w:r>
        <w:rPr>
          <w:sz w:val="20"/>
        </w:rPr>
        <w:t>that</w:t>
      </w:r>
      <w:r>
        <w:rPr>
          <w:spacing w:val="-11"/>
          <w:sz w:val="20"/>
        </w:rPr>
        <w:t xml:space="preserve"> </w:t>
      </w:r>
      <w:r>
        <w:rPr>
          <w:sz w:val="20"/>
        </w:rPr>
        <w:t>they</w:t>
      </w:r>
      <w:r>
        <w:rPr>
          <w:spacing w:val="-11"/>
          <w:sz w:val="20"/>
        </w:rPr>
        <w:t xml:space="preserve"> </w:t>
      </w:r>
      <w:r>
        <w:rPr>
          <w:sz w:val="20"/>
        </w:rPr>
        <w:t>may</w:t>
      </w:r>
      <w:r>
        <w:rPr>
          <w:spacing w:val="-12"/>
          <w:sz w:val="20"/>
        </w:rPr>
        <w:t xml:space="preserve"> </w:t>
      </w:r>
      <w:r>
        <w:rPr>
          <w:sz w:val="20"/>
        </w:rPr>
        <w:t>have</w:t>
      </w:r>
      <w:r>
        <w:rPr>
          <w:spacing w:val="-11"/>
          <w:sz w:val="20"/>
        </w:rPr>
        <w:t xml:space="preserve"> </w:t>
      </w:r>
      <w:r>
        <w:rPr>
          <w:sz w:val="20"/>
        </w:rPr>
        <w:t>a</w:t>
      </w:r>
      <w:r>
        <w:rPr>
          <w:spacing w:val="-11"/>
          <w:sz w:val="20"/>
        </w:rPr>
        <w:t xml:space="preserve"> </w:t>
      </w:r>
      <w:r>
        <w:rPr>
          <w:sz w:val="20"/>
        </w:rPr>
        <w:t>gender</w:t>
      </w:r>
      <w:r>
        <w:rPr>
          <w:spacing w:val="-12"/>
          <w:sz w:val="20"/>
        </w:rPr>
        <w:t xml:space="preserve"> </w:t>
      </w:r>
      <w:r>
        <w:rPr>
          <w:sz w:val="20"/>
        </w:rPr>
        <w:t>identity</w:t>
      </w:r>
      <w:r>
        <w:rPr>
          <w:spacing w:val="-11"/>
          <w:sz w:val="20"/>
        </w:rPr>
        <w:t xml:space="preserve"> </w:t>
      </w:r>
      <w:r>
        <w:rPr>
          <w:sz w:val="20"/>
        </w:rPr>
        <w:t>that</w:t>
      </w:r>
      <w:r>
        <w:rPr>
          <w:spacing w:val="-11"/>
          <w:sz w:val="20"/>
        </w:rPr>
        <w:t xml:space="preserve"> </w:t>
      </w:r>
      <w:r>
        <w:rPr>
          <w:sz w:val="20"/>
        </w:rPr>
        <w:t>doe</w:t>
      </w:r>
      <w:r>
        <w:rPr>
          <w:sz w:val="20"/>
        </w:rPr>
        <w:t>s</w:t>
      </w:r>
      <w:r>
        <w:rPr>
          <w:spacing w:val="-12"/>
          <w:sz w:val="20"/>
        </w:rPr>
        <w:t xml:space="preserve"> </w:t>
      </w:r>
      <w:r>
        <w:rPr>
          <w:sz w:val="20"/>
        </w:rPr>
        <w:t>not</w:t>
      </w:r>
      <w:r>
        <w:rPr>
          <w:spacing w:val="-11"/>
          <w:sz w:val="20"/>
        </w:rPr>
        <w:t xml:space="preserve"> </w:t>
      </w:r>
      <w:r>
        <w:rPr>
          <w:sz w:val="20"/>
        </w:rPr>
        <w:t>corresponded</w:t>
      </w:r>
      <w:r>
        <w:rPr>
          <w:spacing w:val="-11"/>
          <w:sz w:val="20"/>
        </w:rPr>
        <w:t xml:space="preserve"> </w:t>
      </w:r>
      <w:r>
        <w:rPr>
          <w:sz w:val="20"/>
        </w:rPr>
        <w:t>with</w:t>
      </w:r>
      <w:r>
        <w:rPr>
          <w:spacing w:val="-11"/>
          <w:sz w:val="20"/>
        </w:rPr>
        <w:t xml:space="preserve"> </w:t>
      </w:r>
      <w:r>
        <w:rPr>
          <w:sz w:val="20"/>
        </w:rPr>
        <w:t>the</w:t>
      </w:r>
      <w:r>
        <w:rPr>
          <w:spacing w:val="-12"/>
          <w:sz w:val="20"/>
        </w:rPr>
        <w:t xml:space="preserve"> </w:t>
      </w:r>
      <w:r>
        <w:rPr>
          <w:sz w:val="20"/>
        </w:rPr>
        <w:t>sex</w:t>
      </w:r>
      <w:r>
        <w:rPr>
          <w:spacing w:val="-11"/>
          <w:sz w:val="20"/>
        </w:rPr>
        <w:t xml:space="preserve"> </w:t>
      </w:r>
      <w:r>
        <w:rPr>
          <w:sz w:val="20"/>
        </w:rPr>
        <w:t>they</w:t>
      </w:r>
      <w:r>
        <w:rPr>
          <w:spacing w:val="-11"/>
          <w:sz w:val="20"/>
        </w:rPr>
        <w:t xml:space="preserve"> </w:t>
      </w:r>
      <w:r>
        <w:rPr>
          <w:sz w:val="20"/>
        </w:rPr>
        <w:t>were</w:t>
      </w:r>
      <w:r>
        <w:rPr>
          <w:spacing w:val="-12"/>
          <w:sz w:val="20"/>
        </w:rPr>
        <w:t xml:space="preserve"> </w:t>
      </w:r>
      <w:r>
        <w:rPr>
          <w:sz w:val="20"/>
        </w:rPr>
        <w:t>assigned</w:t>
      </w:r>
      <w:r>
        <w:rPr>
          <w:spacing w:val="-11"/>
          <w:sz w:val="20"/>
        </w:rPr>
        <w:t xml:space="preserve"> </w:t>
      </w:r>
      <w:r>
        <w:rPr>
          <w:sz w:val="20"/>
        </w:rPr>
        <w:t>at</w:t>
      </w:r>
      <w:r>
        <w:rPr>
          <w:spacing w:val="-11"/>
          <w:sz w:val="20"/>
        </w:rPr>
        <w:t xml:space="preserve"> </w:t>
      </w:r>
      <w:r>
        <w:rPr>
          <w:sz w:val="20"/>
        </w:rPr>
        <w:t>birth.</w:t>
      </w:r>
      <w:r>
        <w:rPr>
          <w:spacing w:val="-12"/>
          <w:sz w:val="20"/>
        </w:rPr>
        <w:t xml:space="preserve"> </w:t>
      </w:r>
      <w:r>
        <w:rPr>
          <w:sz w:val="20"/>
        </w:rPr>
        <w:t>Intersex patients</w:t>
      </w:r>
      <w:r>
        <w:rPr>
          <w:spacing w:val="-9"/>
          <w:sz w:val="20"/>
        </w:rPr>
        <w:t xml:space="preserve"> </w:t>
      </w:r>
      <w:r>
        <w:rPr>
          <w:sz w:val="20"/>
        </w:rPr>
        <w:t>also</w:t>
      </w:r>
      <w:r>
        <w:rPr>
          <w:spacing w:val="-7"/>
          <w:sz w:val="20"/>
        </w:rPr>
        <w:t xml:space="preserve"> </w:t>
      </w:r>
      <w:r>
        <w:rPr>
          <w:sz w:val="20"/>
        </w:rPr>
        <w:t>experience</w:t>
      </w:r>
      <w:r>
        <w:rPr>
          <w:spacing w:val="-8"/>
          <w:sz w:val="20"/>
        </w:rPr>
        <w:t xml:space="preserve"> </w:t>
      </w:r>
      <w:r>
        <w:rPr>
          <w:sz w:val="20"/>
        </w:rPr>
        <w:t>barriers</w:t>
      </w:r>
      <w:r>
        <w:rPr>
          <w:spacing w:val="-7"/>
          <w:sz w:val="20"/>
        </w:rPr>
        <w:t xml:space="preserve"> </w:t>
      </w:r>
      <w:r>
        <w:rPr>
          <w:sz w:val="20"/>
        </w:rPr>
        <w:t>when</w:t>
      </w:r>
      <w:r>
        <w:rPr>
          <w:spacing w:val="-7"/>
          <w:sz w:val="20"/>
        </w:rPr>
        <w:t xml:space="preserve"> </w:t>
      </w:r>
      <w:r>
        <w:rPr>
          <w:sz w:val="20"/>
        </w:rPr>
        <w:t>accessing</w:t>
      </w:r>
      <w:r>
        <w:rPr>
          <w:spacing w:val="-8"/>
          <w:sz w:val="20"/>
        </w:rPr>
        <w:t xml:space="preserve"> </w:t>
      </w:r>
      <w:r>
        <w:rPr>
          <w:sz w:val="20"/>
        </w:rPr>
        <w:t>gender</w:t>
      </w:r>
      <w:r>
        <w:rPr>
          <w:spacing w:val="-8"/>
          <w:sz w:val="20"/>
        </w:rPr>
        <w:t xml:space="preserve"> </w:t>
      </w:r>
      <w:r>
        <w:rPr>
          <w:sz w:val="20"/>
        </w:rPr>
        <w:t>affirming</w:t>
      </w:r>
      <w:r>
        <w:rPr>
          <w:spacing w:val="-8"/>
          <w:sz w:val="20"/>
        </w:rPr>
        <w:t xml:space="preserve"> </w:t>
      </w:r>
      <w:r>
        <w:rPr>
          <w:sz w:val="20"/>
        </w:rPr>
        <w:t>healthcare</w:t>
      </w:r>
      <w:r>
        <w:rPr>
          <w:spacing w:val="-9"/>
          <w:sz w:val="20"/>
        </w:rPr>
        <w:t xml:space="preserve"> </w:t>
      </w:r>
      <w:r>
        <w:rPr>
          <w:sz w:val="20"/>
        </w:rPr>
        <w:t>and</w:t>
      </w:r>
      <w:r>
        <w:rPr>
          <w:spacing w:val="-7"/>
          <w:sz w:val="20"/>
        </w:rPr>
        <w:t xml:space="preserve"> </w:t>
      </w:r>
      <w:r>
        <w:rPr>
          <w:sz w:val="20"/>
        </w:rPr>
        <w:t>reproductive</w:t>
      </w:r>
      <w:r>
        <w:rPr>
          <w:spacing w:val="-9"/>
          <w:sz w:val="20"/>
        </w:rPr>
        <w:t xml:space="preserve"> </w:t>
      </w:r>
      <w:r>
        <w:rPr>
          <w:sz w:val="20"/>
        </w:rPr>
        <w:t>healthcare</w:t>
      </w:r>
      <w:r>
        <w:rPr>
          <w:spacing w:val="-9"/>
          <w:sz w:val="20"/>
        </w:rPr>
        <w:t xml:space="preserve"> </w:t>
      </w:r>
      <w:r>
        <w:rPr>
          <w:sz w:val="20"/>
        </w:rPr>
        <w:t>based</w:t>
      </w:r>
      <w:r>
        <w:rPr>
          <w:spacing w:val="-7"/>
          <w:sz w:val="20"/>
        </w:rPr>
        <w:t xml:space="preserve"> </w:t>
      </w:r>
      <w:r>
        <w:rPr>
          <w:sz w:val="20"/>
        </w:rPr>
        <w:t>on the fact that they</w:t>
      </w:r>
      <w:r>
        <w:rPr>
          <w:spacing w:val="-1"/>
          <w:sz w:val="20"/>
        </w:rPr>
        <w:t xml:space="preserve"> </w:t>
      </w:r>
      <w:r>
        <w:rPr>
          <w:sz w:val="20"/>
        </w:rPr>
        <w:t>have sex characteristic variations</w:t>
      </w:r>
      <w:r>
        <w:rPr>
          <w:spacing w:val="-1"/>
          <w:sz w:val="20"/>
        </w:rPr>
        <w:t xml:space="preserve"> </w:t>
      </w:r>
      <w:r>
        <w:rPr>
          <w:sz w:val="20"/>
        </w:rPr>
        <w:t>that transcend typical notions</w:t>
      </w:r>
      <w:r>
        <w:rPr>
          <w:spacing w:val="-1"/>
          <w:sz w:val="20"/>
        </w:rPr>
        <w:t xml:space="preserve"> </w:t>
      </w:r>
      <w:r>
        <w:rPr>
          <w:sz w:val="20"/>
        </w:rPr>
        <w:t>of</w:t>
      </w:r>
      <w:r>
        <w:rPr>
          <w:spacing w:val="-1"/>
          <w:sz w:val="20"/>
        </w:rPr>
        <w:t xml:space="preserve"> </w:t>
      </w:r>
      <w:r>
        <w:rPr>
          <w:sz w:val="20"/>
        </w:rPr>
        <w:t>female and male bodies.</w:t>
      </w:r>
      <w:hyperlink w:anchor="_bookmark456" w:history="1">
        <w:r>
          <w:rPr>
            <w:sz w:val="20"/>
            <w:vertAlign w:val="superscript"/>
          </w:rPr>
          <w:t>10</w:t>
        </w:r>
      </w:hyperlink>
      <w:r>
        <w:rPr>
          <w:spacing w:val="-3"/>
          <w:sz w:val="20"/>
        </w:rPr>
        <w:t xml:space="preserve"> </w:t>
      </w:r>
      <w:r>
        <w:rPr>
          <w:sz w:val="20"/>
        </w:rPr>
        <w:t>Sex characteristic</w:t>
      </w:r>
      <w:r>
        <w:rPr>
          <w:spacing w:val="-3"/>
          <w:sz w:val="20"/>
        </w:rPr>
        <w:t xml:space="preserve"> </w:t>
      </w:r>
      <w:r>
        <w:rPr>
          <w:sz w:val="20"/>
        </w:rPr>
        <w:t>variations</w:t>
      </w:r>
      <w:r>
        <w:rPr>
          <w:spacing w:val="-2"/>
          <w:sz w:val="20"/>
        </w:rPr>
        <w:t xml:space="preserve"> </w:t>
      </w:r>
      <w:r>
        <w:rPr>
          <w:sz w:val="20"/>
        </w:rPr>
        <w:t>may</w:t>
      </w:r>
      <w:r>
        <w:rPr>
          <w:spacing w:val="-2"/>
          <w:sz w:val="20"/>
        </w:rPr>
        <w:t xml:space="preserve"> </w:t>
      </w:r>
      <w:r>
        <w:rPr>
          <w:sz w:val="20"/>
        </w:rPr>
        <w:t>occur</w:t>
      </w:r>
      <w:r>
        <w:rPr>
          <w:spacing w:val="-3"/>
          <w:sz w:val="20"/>
        </w:rPr>
        <w:t xml:space="preserve"> </w:t>
      </w:r>
      <w:r>
        <w:rPr>
          <w:sz w:val="20"/>
        </w:rPr>
        <w:t>in</w:t>
      </w:r>
      <w:r>
        <w:rPr>
          <w:spacing w:val="-2"/>
          <w:sz w:val="20"/>
        </w:rPr>
        <w:t xml:space="preserve"> </w:t>
      </w:r>
      <w:r>
        <w:rPr>
          <w:sz w:val="20"/>
        </w:rPr>
        <w:t>the</w:t>
      </w:r>
      <w:r>
        <w:rPr>
          <w:spacing w:val="-4"/>
          <w:sz w:val="20"/>
        </w:rPr>
        <w:t xml:space="preserve"> </w:t>
      </w:r>
      <w:r>
        <w:rPr>
          <w:sz w:val="20"/>
        </w:rPr>
        <w:t>chromosomes,</w:t>
      </w:r>
      <w:r>
        <w:rPr>
          <w:spacing w:val="-2"/>
          <w:sz w:val="20"/>
        </w:rPr>
        <w:t xml:space="preserve"> </w:t>
      </w:r>
      <w:r>
        <w:rPr>
          <w:sz w:val="20"/>
        </w:rPr>
        <w:t>external</w:t>
      </w:r>
      <w:r>
        <w:rPr>
          <w:spacing w:val="-3"/>
          <w:sz w:val="20"/>
        </w:rPr>
        <w:t xml:space="preserve"> </w:t>
      </w:r>
      <w:r>
        <w:rPr>
          <w:sz w:val="20"/>
        </w:rPr>
        <w:t>genitalia,</w:t>
      </w:r>
      <w:r>
        <w:rPr>
          <w:spacing w:val="-2"/>
          <w:sz w:val="20"/>
        </w:rPr>
        <w:t xml:space="preserve"> </w:t>
      </w:r>
      <w:r>
        <w:rPr>
          <w:sz w:val="20"/>
        </w:rPr>
        <w:t>gonads,</w:t>
      </w:r>
      <w:r>
        <w:rPr>
          <w:spacing w:val="-2"/>
          <w:sz w:val="20"/>
        </w:rPr>
        <w:t xml:space="preserve"> </w:t>
      </w:r>
      <w:r>
        <w:rPr>
          <w:sz w:val="20"/>
        </w:rPr>
        <w:t>hormone</w:t>
      </w:r>
      <w:r>
        <w:rPr>
          <w:spacing w:val="-4"/>
          <w:sz w:val="20"/>
        </w:rPr>
        <w:t xml:space="preserve"> </w:t>
      </w:r>
      <w:r>
        <w:rPr>
          <w:sz w:val="20"/>
        </w:rPr>
        <w:t>production,</w:t>
      </w:r>
      <w:r>
        <w:rPr>
          <w:spacing w:val="-3"/>
          <w:sz w:val="20"/>
        </w:rPr>
        <w:t xml:space="preserve"> </w:t>
      </w:r>
      <w:r>
        <w:rPr>
          <w:sz w:val="20"/>
        </w:rPr>
        <w:t>hormone responsiveness, internal reproductive organs, or any combination of these, among others. People born with variations of sex characteristics that do not fit the gender binary may be subjected to unnecessary medical procedures and surgeries without t</w:t>
      </w:r>
      <w:r>
        <w:rPr>
          <w:sz w:val="20"/>
        </w:rPr>
        <w:t>heir consent, usually when they are children thus not being able to consent to these procedures. There is no evidence demonstrating the benefits of cosmetic surgeries and genital surgeries on intersex children.</w:t>
      </w:r>
      <w:hyperlink w:anchor="_bookmark457" w:history="1">
        <w:r>
          <w:rPr>
            <w:sz w:val="20"/>
            <w:vertAlign w:val="superscript"/>
          </w:rPr>
          <w:t>11</w:t>
        </w:r>
      </w:hyperlink>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spacing w:before="66" w:line="264" w:lineRule="auto"/>
        <w:ind w:left="139" w:right="338"/>
        <w:jc w:val="both"/>
        <w:rPr>
          <w:sz w:val="20"/>
        </w:rPr>
      </w:pPr>
      <w:r>
        <w:rPr>
          <w:sz w:val="20"/>
        </w:rPr>
        <w:lastRenderedPageBreak/>
        <w:t>A</w:t>
      </w:r>
      <w:r>
        <w:rPr>
          <w:spacing w:val="-10"/>
          <w:sz w:val="20"/>
        </w:rPr>
        <w:t xml:space="preserve"> </w:t>
      </w:r>
      <w:r>
        <w:rPr>
          <w:sz w:val="20"/>
        </w:rPr>
        <w:t>survey</w:t>
      </w:r>
      <w:r>
        <w:rPr>
          <w:spacing w:val="-9"/>
          <w:sz w:val="20"/>
        </w:rPr>
        <w:t xml:space="preserve"> </w:t>
      </w:r>
      <w:r>
        <w:rPr>
          <w:sz w:val="20"/>
        </w:rPr>
        <w:t>found</w:t>
      </w:r>
      <w:r>
        <w:rPr>
          <w:spacing w:val="-9"/>
          <w:sz w:val="20"/>
        </w:rPr>
        <w:t xml:space="preserve"> </w:t>
      </w:r>
      <w:r>
        <w:rPr>
          <w:sz w:val="20"/>
        </w:rPr>
        <w:t>that</w:t>
      </w:r>
      <w:r>
        <w:rPr>
          <w:spacing w:val="-9"/>
          <w:sz w:val="20"/>
        </w:rPr>
        <w:t xml:space="preserve"> </w:t>
      </w:r>
      <w:r>
        <w:rPr>
          <w:sz w:val="20"/>
        </w:rPr>
        <w:t>6%</w:t>
      </w:r>
      <w:r>
        <w:rPr>
          <w:spacing w:val="-11"/>
          <w:sz w:val="20"/>
        </w:rPr>
        <w:t xml:space="preserve"> </w:t>
      </w:r>
      <w:r>
        <w:rPr>
          <w:sz w:val="20"/>
        </w:rPr>
        <w:t>of</w:t>
      </w:r>
      <w:r>
        <w:rPr>
          <w:spacing w:val="-11"/>
          <w:sz w:val="20"/>
        </w:rPr>
        <w:t xml:space="preserve"> </w:t>
      </w:r>
      <w:r>
        <w:rPr>
          <w:sz w:val="20"/>
        </w:rPr>
        <w:t>transgender</w:t>
      </w:r>
      <w:r>
        <w:rPr>
          <w:spacing w:val="-10"/>
          <w:sz w:val="20"/>
        </w:rPr>
        <w:t xml:space="preserve"> </w:t>
      </w:r>
      <w:r>
        <w:rPr>
          <w:sz w:val="20"/>
        </w:rPr>
        <w:t>and</w:t>
      </w:r>
      <w:r>
        <w:rPr>
          <w:spacing w:val="-9"/>
          <w:sz w:val="20"/>
        </w:rPr>
        <w:t xml:space="preserve"> </w:t>
      </w:r>
      <w:r>
        <w:rPr>
          <w:sz w:val="20"/>
        </w:rPr>
        <w:t>gender-diverse</w:t>
      </w:r>
      <w:r>
        <w:rPr>
          <w:spacing w:val="-11"/>
          <w:sz w:val="20"/>
        </w:rPr>
        <w:t xml:space="preserve"> </w:t>
      </w:r>
      <w:r>
        <w:rPr>
          <w:sz w:val="20"/>
        </w:rPr>
        <w:t>individuals</w:t>
      </w:r>
      <w:r>
        <w:rPr>
          <w:spacing w:val="-11"/>
          <w:sz w:val="20"/>
        </w:rPr>
        <w:t xml:space="preserve"> </w:t>
      </w:r>
      <w:r>
        <w:rPr>
          <w:sz w:val="20"/>
        </w:rPr>
        <w:t>residing</w:t>
      </w:r>
      <w:r>
        <w:rPr>
          <w:spacing w:val="-11"/>
          <w:sz w:val="20"/>
        </w:rPr>
        <w:t xml:space="preserve"> </w:t>
      </w:r>
      <w:r>
        <w:rPr>
          <w:sz w:val="20"/>
        </w:rPr>
        <w:t>in</w:t>
      </w:r>
      <w:r>
        <w:rPr>
          <w:spacing w:val="-9"/>
          <w:sz w:val="20"/>
        </w:rPr>
        <w:t xml:space="preserve"> </w:t>
      </w:r>
      <w:r>
        <w:rPr>
          <w:sz w:val="20"/>
        </w:rPr>
        <w:t>rural</w:t>
      </w:r>
      <w:r>
        <w:rPr>
          <w:spacing w:val="-10"/>
          <w:sz w:val="20"/>
        </w:rPr>
        <w:t xml:space="preserve"> </w:t>
      </w:r>
      <w:r>
        <w:rPr>
          <w:sz w:val="20"/>
        </w:rPr>
        <w:t>areas</w:t>
      </w:r>
      <w:r>
        <w:rPr>
          <w:spacing w:val="-11"/>
          <w:sz w:val="20"/>
        </w:rPr>
        <w:t xml:space="preserve"> </w:t>
      </w:r>
      <w:r>
        <w:rPr>
          <w:sz w:val="20"/>
        </w:rPr>
        <w:t>across</w:t>
      </w:r>
      <w:r>
        <w:rPr>
          <w:spacing w:val="-11"/>
          <w:sz w:val="20"/>
        </w:rPr>
        <w:t xml:space="preserve"> </w:t>
      </w:r>
      <w:r>
        <w:rPr>
          <w:sz w:val="20"/>
        </w:rPr>
        <w:t>five</w:t>
      </w:r>
      <w:r>
        <w:rPr>
          <w:spacing w:val="-11"/>
          <w:sz w:val="20"/>
        </w:rPr>
        <w:t xml:space="preserve"> </w:t>
      </w:r>
      <w:r>
        <w:rPr>
          <w:sz w:val="20"/>
        </w:rPr>
        <w:t xml:space="preserve">northeastern states, such as Connecticut, Massachusetts, New Hampshire, New York, and Vermont reported that there were no gender-affirming clinicians available where they accessed primary care. They also reported that they had to travel at least two hours </w:t>
      </w:r>
      <w:r>
        <w:rPr>
          <w:sz w:val="20"/>
        </w:rPr>
        <w:t>for gender-affirming primary care.</w:t>
      </w:r>
      <w:hyperlink w:anchor="_bookmark458" w:history="1">
        <w:r>
          <w:rPr>
            <w:sz w:val="20"/>
            <w:vertAlign w:val="superscript"/>
          </w:rPr>
          <w:t>12</w:t>
        </w:r>
      </w:hyperlink>
    </w:p>
    <w:p w:rsidR="00200FDA" w:rsidRDefault="00200FDA">
      <w:pPr>
        <w:pStyle w:val="BodyText"/>
      </w:pPr>
    </w:p>
    <w:p w:rsidR="00200FDA" w:rsidRDefault="00F76C4C">
      <w:pPr>
        <w:pStyle w:val="Heading8"/>
        <w:spacing w:before="182"/>
        <w:jc w:val="left"/>
      </w:pPr>
      <w:bookmarkStart w:id="581" w:name="Menstruation"/>
      <w:bookmarkEnd w:id="581"/>
      <w:r>
        <w:rPr>
          <w:color w:val="2E5395"/>
          <w:spacing w:val="-2"/>
        </w:rPr>
        <w:t>Menstruation</w:t>
      </w:r>
    </w:p>
    <w:p w:rsidR="00200FDA" w:rsidRDefault="00200FDA">
      <w:pPr>
        <w:pStyle w:val="BodyText"/>
        <w:spacing w:before="9"/>
        <w:rPr>
          <w:sz w:val="19"/>
        </w:rPr>
      </w:pPr>
    </w:p>
    <w:p w:rsidR="00200FDA" w:rsidRDefault="00F76C4C">
      <w:pPr>
        <w:spacing w:before="1" w:line="264" w:lineRule="auto"/>
        <w:ind w:left="139" w:right="4404"/>
        <w:jc w:val="both"/>
        <w:rPr>
          <w:sz w:val="20"/>
        </w:rPr>
      </w:pPr>
      <w:r>
        <w:rPr>
          <w:noProof/>
        </w:rPr>
        <w:drawing>
          <wp:anchor distT="0" distB="0" distL="0" distR="0" simplePos="0" relativeHeight="15778304" behindDoc="0" locked="0" layoutInCell="1" allowOverlap="1">
            <wp:simplePos x="0" y="0"/>
            <wp:positionH relativeFrom="page">
              <wp:posOffset>4522328</wp:posOffset>
            </wp:positionH>
            <wp:positionV relativeFrom="paragraph">
              <wp:posOffset>473393</wp:posOffset>
            </wp:positionV>
            <wp:extent cx="2270069" cy="947286"/>
            <wp:effectExtent l="0" t="0" r="0" b="0"/>
            <wp:wrapNone/>
            <wp:docPr id="71"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5.jpeg"/>
                    <pic:cNvPicPr/>
                  </pic:nvPicPr>
                  <pic:blipFill>
                    <a:blip r:embed="rId410" cstate="print"/>
                    <a:stretch>
                      <a:fillRect/>
                    </a:stretch>
                  </pic:blipFill>
                  <pic:spPr>
                    <a:xfrm>
                      <a:off x="0" y="0"/>
                      <a:ext cx="2270069" cy="947286"/>
                    </a:xfrm>
                    <a:prstGeom prst="rect">
                      <a:avLst/>
                    </a:prstGeom>
                  </pic:spPr>
                </pic:pic>
              </a:graphicData>
            </a:graphic>
          </wp:anchor>
        </w:drawing>
      </w:r>
      <w:r>
        <w:rPr>
          <w:sz w:val="20"/>
        </w:rPr>
        <w:t>Transgender, non-binary and gender non-conforming individuals with</w:t>
      </w:r>
      <w:r>
        <w:rPr>
          <w:spacing w:val="-11"/>
          <w:sz w:val="20"/>
        </w:rPr>
        <w:t xml:space="preserve"> </w:t>
      </w:r>
      <w:r>
        <w:rPr>
          <w:sz w:val="20"/>
        </w:rPr>
        <w:t>female</w:t>
      </w:r>
      <w:r>
        <w:rPr>
          <w:spacing w:val="-11"/>
          <w:sz w:val="20"/>
        </w:rPr>
        <w:t xml:space="preserve"> </w:t>
      </w:r>
      <w:r>
        <w:rPr>
          <w:sz w:val="20"/>
        </w:rPr>
        <w:t>reproductive</w:t>
      </w:r>
      <w:r>
        <w:rPr>
          <w:spacing w:val="-11"/>
          <w:sz w:val="20"/>
        </w:rPr>
        <w:t xml:space="preserve"> </w:t>
      </w:r>
      <w:r>
        <w:rPr>
          <w:sz w:val="20"/>
        </w:rPr>
        <w:t>organs</w:t>
      </w:r>
      <w:r>
        <w:rPr>
          <w:spacing w:val="-12"/>
          <w:sz w:val="20"/>
        </w:rPr>
        <w:t xml:space="preserve"> </w:t>
      </w:r>
      <w:r>
        <w:rPr>
          <w:sz w:val="20"/>
        </w:rPr>
        <w:t>experience</w:t>
      </w:r>
      <w:r>
        <w:rPr>
          <w:spacing w:val="-11"/>
          <w:sz w:val="20"/>
        </w:rPr>
        <w:t xml:space="preserve"> </w:t>
      </w:r>
      <w:r>
        <w:rPr>
          <w:sz w:val="20"/>
        </w:rPr>
        <w:t>menstruation,</w:t>
      </w:r>
      <w:r>
        <w:rPr>
          <w:spacing w:val="-10"/>
          <w:sz w:val="20"/>
        </w:rPr>
        <w:t xml:space="preserve"> </w:t>
      </w:r>
      <w:r>
        <w:rPr>
          <w:sz w:val="20"/>
        </w:rPr>
        <w:t>which may lead to dysphoria for some transgender and</w:t>
      </w:r>
      <w:r>
        <w:rPr>
          <w:sz w:val="20"/>
        </w:rPr>
        <w:t xml:space="preserve"> non-binary folks.</w:t>
      </w:r>
      <w:hyperlink w:anchor="_bookmark459" w:history="1">
        <w:r>
          <w:rPr>
            <w:sz w:val="20"/>
            <w:vertAlign w:val="superscript"/>
          </w:rPr>
          <w:t>13</w:t>
        </w:r>
      </w:hyperlink>
      <w:r>
        <w:rPr>
          <w:spacing w:val="-4"/>
          <w:sz w:val="20"/>
        </w:rPr>
        <w:t xml:space="preserve"> </w:t>
      </w:r>
      <w:r>
        <w:rPr>
          <w:sz w:val="20"/>
        </w:rPr>
        <w:t>A</w:t>
      </w:r>
      <w:r>
        <w:rPr>
          <w:spacing w:val="-10"/>
          <w:sz w:val="20"/>
        </w:rPr>
        <w:t xml:space="preserve"> </w:t>
      </w:r>
      <w:r>
        <w:rPr>
          <w:sz w:val="20"/>
        </w:rPr>
        <w:t>recent</w:t>
      </w:r>
      <w:r>
        <w:rPr>
          <w:spacing w:val="-10"/>
          <w:sz w:val="20"/>
        </w:rPr>
        <w:t xml:space="preserve"> </w:t>
      </w:r>
      <w:r>
        <w:rPr>
          <w:sz w:val="20"/>
        </w:rPr>
        <w:t>study</w:t>
      </w:r>
      <w:r>
        <w:rPr>
          <w:spacing w:val="-9"/>
          <w:sz w:val="20"/>
        </w:rPr>
        <w:t xml:space="preserve"> </w:t>
      </w:r>
      <w:r>
        <w:rPr>
          <w:sz w:val="20"/>
        </w:rPr>
        <w:t>has</w:t>
      </w:r>
      <w:r>
        <w:rPr>
          <w:spacing w:val="-11"/>
          <w:sz w:val="20"/>
        </w:rPr>
        <w:t xml:space="preserve"> </w:t>
      </w:r>
      <w:r>
        <w:rPr>
          <w:sz w:val="20"/>
        </w:rPr>
        <w:t>shown</w:t>
      </w:r>
      <w:r>
        <w:rPr>
          <w:spacing w:val="-9"/>
          <w:sz w:val="20"/>
        </w:rPr>
        <w:t xml:space="preserve"> </w:t>
      </w:r>
      <w:r>
        <w:rPr>
          <w:sz w:val="20"/>
        </w:rPr>
        <w:t>that</w:t>
      </w:r>
      <w:r>
        <w:rPr>
          <w:spacing w:val="-12"/>
          <w:sz w:val="20"/>
        </w:rPr>
        <w:t xml:space="preserve"> </w:t>
      </w:r>
      <w:r>
        <w:rPr>
          <w:sz w:val="20"/>
        </w:rPr>
        <w:t>93%</w:t>
      </w:r>
      <w:r>
        <w:rPr>
          <w:spacing w:val="-10"/>
          <w:sz w:val="20"/>
        </w:rPr>
        <w:t xml:space="preserve"> </w:t>
      </w:r>
      <w:r>
        <w:rPr>
          <w:sz w:val="20"/>
        </w:rPr>
        <w:t>of</w:t>
      </w:r>
      <w:r>
        <w:rPr>
          <w:spacing w:val="-11"/>
          <w:sz w:val="20"/>
        </w:rPr>
        <w:t xml:space="preserve"> </w:t>
      </w:r>
      <w:r>
        <w:rPr>
          <w:sz w:val="20"/>
        </w:rPr>
        <w:t>trans</w:t>
      </w:r>
      <w:r>
        <w:rPr>
          <w:spacing w:val="-11"/>
          <w:sz w:val="20"/>
        </w:rPr>
        <w:t xml:space="preserve"> </w:t>
      </w:r>
      <w:r>
        <w:rPr>
          <w:sz w:val="20"/>
        </w:rPr>
        <w:t>and</w:t>
      </w:r>
      <w:r>
        <w:rPr>
          <w:spacing w:val="-12"/>
          <w:sz w:val="20"/>
        </w:rPr>
        <w:t xml:space="preserve"> </w:t>
      </w:r>
      <w:r>
        <w:rPr>
          <w:sz w:val="20"/>
        </w:rPr>
        <w:t>nonbinary youth experience distress related to having their periods, and reported a desire for medical assistance to reduce or eliminate their periods.</w:t>
      </w:r>
      <w:r>
        <w:rPr>
          <w:spacing w:val="-12"/>
          <w:sz w:val="20"/>
        </w:rPr>
        <w:t xml:space="preserve"> </w:t>
      </w:r>
      <w:hyperlink w:anchor="_bookmark460" w:history="1">
        <w:r>
          <w:rPr>
            <w:sz w:val="20"/>
            <w:vertAlign w:val="superscript"/>
          </w:rPr>
          <w:t>14</w:t>
        </w:r>
      </w:hyperlink>
      <w:r>
        <w:rPr>
          <w:sz w:val="20"/>
        </w:rPr>
        <w:t xml:space="preserve"> Gender-affirming hormone therapy is a viable option</w:t>
      </w:r>
      <w:r>
        <w:rPr>
          <w:spacing w:val="-9"/>
          <w:sz w:val="20"/>
        </w:rPr>
        <w:t xml:space="preserve"> </w:t>
      </w:r>
      <w:r>
        <w:rPr>
          <w:sz w:val="20"/>
        </w:rPr>
        <w:t>for</w:t>
      </w:r>
      <w:r>
        <w:rPr>
          <w:spacing w:val="-10"/>
          <w:sz w:val="20"/>
        </w:rPr>
        <w:t xml:space="preserve"> </w:t>
      </w:r>
      <w:r>
        <w:rPr>
          <w:sz w:val="20"/>
        </w:rPr>
        <w:t>transgender</w:t>
      </w:r>
      <w:r>
        <w:rPr>
          <w:spacing w:val="-10"/>
          <w:sz w:val="20"/>
        </w:rPr>
        <w:t xml:space="preserve"> </w:t>
      </w:r>
      <w:r>
        <w:rPr>
          <w:sz w:val="20"/>
        </w:rPr>
        <w:t>youths</w:t>
      </w:r>
      <w:r>
        <w:rPr>
          <w:spacing w:val="-11"/>
          <w:sz w:val="20"/>
        </w:rPr>
        <w:t xml:space="preserve"> </w:t>
      </w:r>
      <w:r>
        <w:rPr>
          <w:sz w:val="20"/>
        </w:rPr>
        <w:t>who</w:t>
      </w:r>
      <w:r>
        <w:rPr>
          <w:spacing w:val="-9"/>
          <w:sz w:val="20"/>
        </w:rPr>
        <w:t xml:space="preserve"> </w:t>
      </w:r>
      <w:r>
        <w:rPr>
          <w:sz w:val="20"/>
        </w:rPr>
        <w:t>are</w:t>
      </w:r>
      <w:r>
        <w:rPr>
          <w:spacing w:val="-11"/>
          <w:sz w:val="20"/>
        </w:rPr>
        <w:t xml:space="preserve"> </w:t>
      </w:r>
      <w:r>
        <w:rPr>
          <w:sz w:val="20"/>
        </w:rPr>
        <w:t>interested</w:t>
      </w:r>
      <w:r>
        <w:rPr>
          <w:spacing w:val="-9"/>
          <w:sz w:val="20"/>
        </w:rPr>
        <w:t xml:space="preserve"> </w:t>
      </w:r>
      <w:r>
        <w:rPr>
          <w:sz w:val="20"/>
        </w:rPr>
        <w:t>in</w:t>
      </w:r>
      <w:r>
        <w:rPr>
          <w:spacing w:val="-9"/>
          <w:sz w:val="20"/>
        </w:rPr>
        <w:t xml:space="preserve"> </w:t>
      </w:r>
      <w:r>
        <w:rPr>
          <w:sz w:val="20"/>
        </w:rPr>
        <w:t>amenorrhea, or</w:t>
      </w:r>
      <w:r>
        <w:rPr>
          <w:spacing w:val="-2"/>
          <w:sz w:val="20"/>
        </w:rPr>
        <w:t xml:space="preserve"> </w:t>
      </w:r>
      <w:r>
        <w:rPr>
          <w:sz w:val="20"/>
        </w:rPr>
        <w:t>the</w:t>
      </w:r>
      <w:r>
        <w:rPr>
          <w:spacing w:val="-2"/>
          <w:sz w:val="20"/>
        </w:rPr>
        <w:t xml:space="preserve"> </w:t>
      </w:r>
      <w:r>
        <w:rPr>
          <w:sz w:val="20"/>
        </w:rPr>
        <w:t>cessation</w:t>
      </w:r>
      <w:r>
        <w:rPr>
          <w:spacing w:val="-1"/>
          <w:sz w:val="20"/>
        </w:rPr>
        <w:t xml:space="preserve"> </w:t>
      </w:r>
      <w:r>
        <w:rPr>
          <w:sz w:val="20"/>
        </w:rPr>
        <w:t>of</w:t>
      </w:r>
      <w:r>
        <w:rPr>
          <w:spacing w:val="-3"/>
          <w:sz w:val="20"/>
        </w:rPr>
        <w:t xml:space="preserve"> </w:t>
      </w:r>
      <w:r>
        <w:rPr>
          <w:sz w:val="20"/>
        </w:rPr>
        <w:t>menstruation.</w:t>
      </w:r>
      <w:hyperlink w:anchor="_bookmark461" w:history="1">
        <w:r>
          <w:rPr>
            <w:sz w:val="20"/>
            <w:vertAlign w:val="superscript"/>
          </w:rPr>
          <w:t>15</w:t>
        </w:r>
      </w:hyperlink>
      <w:r>
        <w:rPr>
          <w:spacing w:val="-5"/>
          <w:sz w:val="20"/>
        </w:rPr>
        <w:t xml:space="preserve"> </w:t>
      </w:r>
      <w:r>
        <w:rPr>
          <w:sz w:val="20"/>
        </w:rPr>
        <w:t>Although</w:t>
      </w:r>
      <w:r>
        <w:rPr>
          <w:spacing w:val="-1"/>
          <w:sz w:val="20"/>
        </w:rPr>
        <w:t xml:space="preserve"> </w:t>
      </w:r>
      <w:r>
        <w:rPr>
          <w:sz w:val="20"/>
        </w:rPr>
        <w:t>hormone</w:t>
      </w:r>
      <w:r>
        <w:rPr>
          <w:spacing w:val="-3"/>
          <w:sz w:val="20"/>
        </w:rPr>
        <w:t xml:space="preserve"> </w:t>
      </w:r>
      <w:r>
        <w:rPr>
          <w:sz w:val="20"/>
        </w:rPr>
        <w:t>therapy</w:t>
      </w:r>
      <w:r>
        <w:rPr>
          <w:spacing w:val="-1"/>
          <w:sz w:val="20"/>
        </w:rPr>
        <w:t xml:space="preserve"> </w:t>
      </w:r>
      <w:r>
        <w:rPr>
          <w:sz w:val="20"/>
        </w:rPr>
        <w:t>is an</w:t>
      </w:r>
      <w:r>
        <w:rPr>
          <w:spacing w:val="-1"/>
          <w:sz w:val="20"/>
        </w:rPr>
        <w:t xml:space="preserve"> </w:t>
      </w:r>
      <w:r>
        <w:rPr>
          <w:sz w:val="20"/>
        </w:rPr>
        <w:t>option,</w:t>
      </w:r>
      <w:r>
        <w:rPr>
          <w:spacing w:val="-1"/>
          <w:sz w:val="20"/>
        </w:rPr>
        <w:t xml:space="preserve"> </w:t>
      </w:r>
      <w:r>
        <w:rPr>
          <w:sz w:val="20"/>
        </w:rPr>
        <w:t>many</w:t>
      </w:r>
      <w:r>
        <w:rPr>
          <w:spacing w:val="-1"/>
          <w:sz w:val="20"/>
        </w:rPr>
        <w:t xml:space="preserve"> </w:t>
      </w:r>
      <w:r>
        <w:rPr>
          <w:sz w:val="20"/>
        </w:rPr>
        <w:t>LG</w:t>
      </w:r>
      <w:r>
        <w:rPr>
          <w:sz w:val="20"/>
        </w:rPr>
        <w:t>BTQ</w:t>
      </w:r>
      <w:r>
        <w:rPr>
          <w:spacing w:val="-1"/>
          <w:sz w:val="20"/>
        </w:rPr>
        <w:t xml:space="preserve"> </w:t>
      </w:r>
      <w:r>
        <w:rPr>
          <w:sz w:val="20"/>
        </w:rPr>
        <w:t>youth</w:t>
      </w:r>
      <w:r>
        <w:rPr>
          <w:spacing w:val="-1"/>
          <w:sz w:val="20"/>
        </w:rPr>
        <w:t xml:space="preserve"> </w:t>
      </w:r>
      <w:r>
        <w:rPr>
          <w:sz w:val="20"/>
        </w:rPr>
        <w:t>may</w:t>
      </w:r>
      <w:r>
        <w:rPr>
          <w:spacing w:val="-1"/>
          <w:sz w:val="20"/>
        </w:rPr>
        <w:t xml:space="preserve"> </w:t>
      </w:r>
      <w:r>
        <w:rPr>
          <w:sz w:val="20"/>
        </w:rPr>
        <w:t>be</w:t>
      </w:r>
      <w:r>
        <w:rPr>
          <w:spacing w:val="-3"/>
          <w:sz w:val="20"/>
        </w:rPr>
        <w:t xml:space="preserve"> </w:t>
      </w:r>
      <w:r>
        <w:rPr>
          <w:sz w:val="20"/>
        </w:rPr>
        <w:t>too</w:t>
      </w:r>
      <w:r>
        <w:rPr>
          <w:spacing w:val="-1"/>
          <w:sz w:val="20"/>
        </w:rPr>
        <w:t xml:space="preserve"> </w:t>
      </w:r>
      <w:r>
        <w:rPr>
          <w:sz w:val="20"/>
        </w:rPr>
        <w:t>young</w:t>
      </w:r>
      <w:r>
        <w:rPr>
          <w:spacing w:val="-2"/>
          <w:sz w:val="20"/>
        </w:rPr>
        <w:t xml:space="preserve"> </w:t>
      </w:r>
      <w:r>
        <w:rPr>
          <w:sz w:val="20"/>
        </w:rPr>
        <w:t>or</w:t>
      </w:r>
      <w:r>
        <w:rPr>
          <w:spacing w:val="-2"/>
          <w:sz w:val="20"/>
        </w:rPr>
        <w:t xml:space="preserve"> </w:t>
      </w:r>
      <w:r>
        <w:rPr>
          <w:sz w:val="20"/>
        </w:rPr>
        <w:t>uninterested in</w:t>
      </w:r>
      <w:r>
        <w:rPr>
          <w:spacing w:val="-7"/>
          <w:sz w:val="20"/>
        </w:rPr>
        <w:t xml:space="preserve"> </w:t>
      </w:r>
      <w:r>
        <w:rPr>
          <w:sz w:val="20"/>
        </w:rPr>
        <w:t>taking</w:t>
      </w:r>
      <w:r>
        <w:rPr>
          <w:spacing w:val="-7"/>
          <w:sz w:val="20"/>
        </w:rPr>
        <w:t xml:space="preserve"> </w:t>
      </w:r>
      <w:r>
        <w:rPr>
          <w:sz w:val="20"/>
        </w:rPr>
        <w:t>testosterone,</w:t>
      </w:r>
      <w:r>
        <w:rPr>
          <w:spacing w:val="-7"/>
          <w:sz w:val="20"/>
        </w:rPr>
        <w:t xml:space="preserve"> </w:t>
      </w:r>
      <w:r>
        <w:rPr>
          <w:sz w:val="20"/>
        </w:rPr>
        <w:t>leaving</w:t>
      </w:r>
      <w:r>
        <w:rPr>
          <w:spacing w:val="-5"/>
          <w:sz w:val="20"/>
        </w:rPr>
        <w:t xml:space="preserve"> </w:t>
      </w:r>
      <w:r>
        <w:rPr>
          <w:sz w:val="20"/>
        </w:rPr>
        <w:t>the</w:t>
      </w:r>
      <w:r>
        <w:rPr>
          <w:spacing w:val="-7"/>
          <w:sz w:val="20"/>
        </w:rPr>
        <w:t xml:space="preserve"> </w:t>
      </w:r>
      <w:r>
        <w:rPr>
          <w:sz w:val="20"/>
        </w:rPr>
        <w:t>best</w:t>
      </w:r>
      <w:r>
        <w:rPr>
          <w:spacing w:val="-7"/>
          <w:sz w:val="20"/>
        </w:rPr>
        <w:t xml:space="preserve"> </w:t>
      </w:r>
      <w:r>
        <w:rPr>
          <w:sz w:val="20"/>
        </w:rPr>
        <w:t>menstrual</w:t>
      </w:r>
      <w:r>
        <w:rPr>
          <w:spacing w:val="-7"/>
          <w:sz w:val="20"/>
        </w:rPr>
        <w:t xml:space="preserve"> </w:t>
      </w:r>
      <w:r>
        <w:rPr>
          <w:sz w:val="20"/>
        </w:rPr>
        <w:t>care</w:t>
      </w:r>
      <w:r>
        <w:rPr>
          <w:spacing w:val="-7"/>
          <w:sz w:val="20"/>
        </w:rPr>
        <w:t xml:space="preserve"> </w:t>
      </w:r>
      <w:r>
        <w:rPr>
          <w:sz w:val="20"/>
        </w:rPr>
        <w:t xml:space="preserve">treatment for LGBTQ youth unclear. In the meantime, LGBTQ youth with menstrual cycles still need gynecological and sexual health </w:t>
      </w:r>
      <w:r>
        <w:rPr>
          <w:spacing w:val="-2"/>
          <w:sz w:val="20"/>
        </w:rPr>
        <w:t>treatment.</w:t>
      </w:r>
    </w:p>
    <w:p w:rsidR="00200FDA" w:rsidRDefault="00200FDA">
      <w:pPr>
        <w:pStyle w:val="BodyText"/>
        <w:spacing w:before="6"/>
        <w:rPr>
          <w:sz w:val="19"/>
        </w:rPr>
      </w:pPr>
    </w:p>
    <w:p w:rsidR="00200FDA" w:rsidRDefault="00F76C4C">
      <w:pPr>
        <w:spacing w:line="264" w:lineRule="auto"/>
        <w:ind w:left="139" w:right="334"/>
        <w:jc w:val="both"/>
        <w:rPr>
          <w:sz w:val="20"/>
        </w:rPr>
      </w:pPr>
      <w:r>
        <w:rPr>
          <w:sz w:val="20"/>
        </w:rPr>
        <w:t>Along with healthcare access, LGBTQ youth need access to menstrual products. Period poverty refers to the phenomena of not being able to afford menstrual products such as</w:t>
      </w:r>
      <w:r>
        <w:rPr>
          <w:spacing w:val="-1"/>
          <w:sz w:val="20"/>
        </w:rPr>
        <w:t xml:space="preserve"> </w:t>
      </w:r>
      <w:r>
        <w:rPr>
          <w:sz w:val="20"/>
        </w:rPr>
        <w:t>pads, tampons, or liners</w:t>
      </w:r>
      <w:r>
        <w:rPr>
          <w:spacing w:val="-1"/>
          <w:sz w:val="20"/>
        </w:rPr>
        <w:t xml:space="preserve"> </w:t>
      </w:r>
      <w:r>
        <w:rPr>
          <w:sz w:val="20"/>
        </w:rPr>
        <w:t>to manage bleeding. It has been reported that 1 in 5 girls h</w:t>
      </w:r>
      <w:r>
        <w:rPr>
          <w:sz w:val="20"/>
        </w:rPr>
        <w:t>ave stayed home from school while on their period and many youth in New Bedford</w:t>
      </w:r>
      <w:r>
        <w:rPr>
          <w:spacing w:val="-5"/>
          <w:sz w:val="20"/>
        </w:rPr>
        <w:t xml:space="preserve"> </w:t>
      </w:r>
      <w:r>
        <w:rPr>
          <w:sz w:val="20"/>
        </w:rPr>
        <w:t>and</w:t>
      </w:r>
      <w:r>
        <w:rPr>
          <w:spacing w:val="-5"/>
          <w:sz w:val="20"/>
        </w:rPr>
        <w:t xml:space="preserve"> </w:t>
      </w:r>
      <w:r>
        <w:rPr>
          <w:sz w:val="20"/>
        </w:rPr>
        <w:t>Southeastern</w:t>
      </w:r>
      <w:r>
        <w:rPr>
          <w:spacing w:val="-5"/>
          <w:sz w:val="20"/>
        </w:rPr>
        <w:t xml:space="preserve"> </w:t>
      </w:r>
      <w:r>
        <w:rPr>
          <w:sz w:val="20"/>
        </w:rPr>
        <w:t>Massachusetts</w:t>
      </w:r>
      <w:r>
        <w:rPr>
          <w:spacing w:val="-7"/>
          <w:sz w:val="20"/>
        </w:rPr>
        <w:t xml:space="preserve"> </w:t>
      </w:r>
      <w:r>
        <w:rPr>
          <w:sz w:val="20"/>
        </w:rPr>
        <w:t>are</w:t>
      </w:r>
      <w:r>
        <w:rPr>
          <w:spacing w:val="-6"/>
          <w:sz w:val="20"/>
        </w:rPr>
        <w:t xml:space="preserve"> </w:t>
      </w:r>
      <w:r>
        <w:rPr>
          <w:sz w:val="20"/>
        </w:rPr>
        <w:t>currently</w:t>
      </w:r>
      <w:r>
        <w:rPr>
          <w:spacing w:val="-4"/>
          <w:sz w:val="20"/>
        </w:rPr>
        <w:t xml:space="preserve"> </w:t>
      </w:r>
      <w:r>
        <w:rPr>
          <w:sz w:val="20"/>
        </w:rPr>
        <w:t>experiencing</w:t>
      </w:r>
      <w:r>
        <w:rPr>
          <w:spacing w:val="-6"/>
          <w:sz w:val="20"/>
        </w:rPr>
        <w:t xml:space="preserve"> </w:t>
      </w:r>
      <w:r>
        <w:rPr>
          <w:sz w:val="20"/>
        </w:rPr>
        <w:t>period</w:t>
      </w:r>
      <w:r>
        <w:rPr>
          <w:spacing w:val="-5"/>
          <w:sz w:val="20"/>
        </w:rPr>
        <w:t xml:space="preserve"> </w:t>
      </w:r>
      <w:r>
        <w:rPr>
          <w:sz w:val="20"/>
        </w:rPr>
        <w:t>poverty.</w:t>
      </w:r>
      <w:hyperlink w:anchor="_bookmark462" w:history="1">
        <w:r>
          <w:rPr>
            <w:sz w:val="20"/>
            <w:vertAlign w:val="superscript"/>
          </w:rPr>
          <w:t>16</w:t>
        </w:r>
      </w:hyperlink>
      <w:r>
        <w:rPr>
          <w:spacing w:val="-4"/>
          <w:sz w:val="20"/>
        </w:rPr>
        <w:t xml:space="preserve"> </w:t>
      </w:r>
      <w:r>
        <w:rPr>
          <w:sz w:val="20"/>
        </w:rPr>
        <w:t>Transgender</w:t>
      </w:r>
      <w:r>
        <w:rPr>
          <w:spacing w:val="-5"/>
          <w:sz w:val="20"/>
        </w:rPr>
        <w:t xml:space="preserve"> </w:t>
      </w:r>
      <w:r>
        <w:rPr>
          <w:sz w:val="20"/>
        </w:rPr>
        <w:t>populations</w:t>
      </w:r>
      <w:r>
        <w:rPr>
          <w:spacing w:val="-7"/>
          <w:sz w:val="20"/>
        </w:rPr>
        <w:t xml:space="preserve"> </w:t>
      </w:r>
      <w:r>
        <w:rPr>
          <w:sz w:val="20"/>
        </w:rPr>
        <w:t>are three times more likely to be unemployed</w:t>
      </w:r>
      <w:r>
        <w:rPr>
          <w:sz w:val="20"/>
        </w:rPr>
        <w:t xml:space="preserve"> and more than twice as</w:t>
      </w:r>
      <w:r>
        <w:rPr>
          <w:spacing w:val="-1"/>
          <w:sz w:val="20"/>
        </w:rPr>
        <w:t xml:space="preserve"> </w:t>
      </w:r>
      <w:r>
        <w:rPr>
          <w:sz w:val="20"/>
        </w:rPr>
        <w:t>likely to live in poverty compared to the general population, thus making transgender youth more likely to experience period poverty. Those who are disabled, people of color, or undocumented immigrants are especially likely to be un</w:t>
      </w:r>
      <w:r>
        <w:rPr>
          <w:sz w:val="20"/>
        </w:rPr>
        <w:t>employed and living in poverty.</w:t>
      </w:r>
      <w:hyperlink w:anchor="_bookmark463" w:history="1">
        <w:r>
          <w:rPr>
            <w:sz w:val="20"/>
            <w:vertAlign w:val="superscript"/>
          </w:rPr>
          <w:t>17</w:t>
        </w:r>
      </w:hyperlink>
      <w:r>
        <w:rPr>
          <w:spacing w:val="-3"/>
          <w:sz w:val="20"/>
        </w:rPr>
        <w:t xml:space="preserve"> </w:t>
      </w:r>
      <w:r>
        <w:rPr>
          <w:sz w:val="20"/>
        </w:rPr>
        <w:t>Even when menstrual products are free, transgender individuals may not be able to access them still. While menstrual products are sometimes available in women’s restrooms, they may not be available in men’s restrooms, making them inaccessible for menstruat</w:t>
      </w:r>
      <w:r>
        <w:rPr>
          <w:sz w:val="20"/>
        </w:rPr>
        <w:t>ing individuals who feel comfortable using a men’s restroom. Homeless transmasculine individuals face similar barriers in men’s homeless shelters where virtually no menstrual products are</w:t>
      </w:r>
      <w:r>
        <w:rPr>
          <w:spacing w:val="-3"/>
          <w:sz w:val="20"/>
        </w:rPr>
        <w:t xml:space="preserve"> </w:t>
      </w:r>
      <w:r>
        <w:rPr>
          <w:sz w:val="20"/>
        </w:rPr>
        <w:t>provided.</w:t>
      </w:r>
      <w:hyperlink w:anchor="_bookmark464" w:history="1">
        <w:r>
          <w:rPr>
            <w:sz w:val="20"/>
            <w:vertAlign w:val="superscript"/>
          </w:rPr>
          <w:t>18</w:t>
        </w:r>
      </w:hyperlink>
      <w:r>
        <w:rPr>
          <w:spacing w:val="-3"/>
          <w:sz w:val="20"/>
        </w:rPr>
        <w:t xml:space="preserve"> </w:t>
      </w:r>
      <w:r>
        <w:rPr>
          <w:sz w:val="20"/>
        </w:rPr>
        <w:t>Access</w:t>
      </w:r>
      <w:r>
        <w:rPr>
          <w:spacing w:val="-3"/>
          <w:sz w:val="20"/>
        </w:rPr>
        <w:t xml:space="preserve"> </w:t>
      </w:r>
      <w:r>
        <w:rPr>
          <w:sz w:val="20"/>
        </w:rPr>
        <w:t>to menstrual</w:t>
      </w:r>
      <w:r>
        <w:rPr>
          <w:spacing w:val="-2"/>
          <w:sz w:val="20"/>
        </w:rPr>
        <w:t xml:space="preserve"> </w:t>
      </w:r>
      <w:r>
        <w:rPr>
          <w:sz w:val="20"/>
        </w:rPr>
        <w:t>prod</w:t>
      </w:r>
      <w:r>
        <w:rPr>
          <w:sz w:val="20"/>
        </w:rPr>
        <w:t>ucts</w:t>
      </w:r>
      <w:r>
        <w:rPr>
          <w:spacing w:val="-3"/>
          <w:sz w:val="20"/>
        </w:rPr>
        <w:t xml:space="preserve"> </w:t>
      </w:r>
      <w:r>
        <w:rPr>
          <w:sz w:val="20"/>
        </w:rPr>
        <w:t>is</w:t>
      </w:r>
      <w:r>
        <w:rPr>
          <w:spacing w:val="-3"/>
          <w:sz w:val="20"/>
        </w:rPr>
        <w:t xml:space="preserve"> </w:t>
      </w:r>
      <w:r>
        <w:rPr>
          <w:sz w:val="20"/>
        </w:rPr>
        <w:t>also</w:t>
      </w:r>
      <w:r>
        <w:rPr>
          <w:spacing w:val="-2"/>
          <w:sz w:val="20"/>
        </w:rPr>
        <w:t xml:space="preserve"> </w:t>
      </w:r>
      <w:r>
        <w:rPr>
          <w:sz w:val="20"/>
        </w:rPr>
        <w:t>an</w:t>
      </w:r>
      <w:r>
        <w:rPr>
          <w:spacing w:val="-1"/>
          <w:sz w:val="20"/>
        </w:rPr>
        <w:t xml:space="preserve"> </w:t>
      </w:r>
      <w:r>
        <w:rPr>
          <w:sz w:val="20"/>
        </w:rPr>
        <w:t>issue</w:t>
      </w:r>
      <w:r>
        <w:rPr>
          <w:spacing w:val="-3"/>
          <w:sz w:val="20"/>
        </w:rPr>
        <w:t xml:space="preserve"> </w:t>
      </w:r>
      <w:r>
        <w:rPr>
          <w:sz w:val="20"/>
        </w:rPr>
        <w:t>in</w:t>
      </w:r>
      <w:r>
        <w:rPr>
          <w:spacing w:val="-1"/>
          <w:sz w:val="20"/>
        </w:rPr>
        <w:t xml:space="preserve"> </w:t>
      </w:r>
      <w:r>
        <w:rPr>
          <w:sz w:val="20"/>
        </w:rPr>
        <w:t>both</w:t>
      </w:r>
      <w:r>
        <w:rPr>
          <w:spacing w:val="-1"/>
          <w:sz w:val="20"/>
        </w:rPr>
        <w:t xml:space="preserve"> </w:t>
      </w:r>
      <w:r>
        <w:rPr>
          <w:sz w:val="20"/>
        </w:rPr>
        <w:t>women</w:t>
      </w:r>
      <w:r>
        <w:rPr>
          <w:spacing w:val="-1"/>
          <w:sz w:val="20"/>
        </w:rPr>
        <w:t xml:space="preserve"> </w:t>
      </w:r>
      <w:r>
        <w:rPr>
          <w:sz w:val="20"/>
        </w:rPr>
        <w:t>and</w:t>
      </w:r>
      <w:r>
        <w:rPr>
          <w:spacing w:val="-1"/>
          <w:sz w:val="20"/>
        </w:rPr>
        <w:t xml:space="preserve"> </w:t>
      </w:r>
      <w:r>
        <w:rPr>
          <w:sz w:val="20"/>
        </w:rPr>
        <w:t>men’s</w:t>
      </w:r>
      <w:r>
        <w:rPr>
          <w:spacing w:val="-3"/>
          <w:sz w:val="20"/>
        </w:rPr>
        <w:t xml:space="preserve"> </w:t>
      </w:r>
      <w:r>
        <w:rPr>
          <w:sz w:val="20"/>
        </w:rPr>
        <w:t>prisons,</w:t>
      </w:r>
      <w:r>
        <w:rPr>
          <w:spacing w:val="-1"/>
          <w:sz w:val="20"/>
        </w:rPr>
        <w:t xml:space="preserve"> </w:t>
      </w:r>
      <w:r>
        <w:rPr>
          <w:sz w:val="20"/>
        </w:rPr>
        <w:t>where</w:t>
      </w:r>
      <w:r>
        <w:rPr>
          <w:spacing w:val="-3"/>
          <w:sz w:val="20"/>
        </w:rPr>
        <w:t xml:space="preserve"> </w:t>
      </w:r>
      <w:r>
        <w:rPr>
          <w:sz w:val="20"/>
        </w:rPr>
        <w:t>transgender and nonbinary individuals might be incarcerated in either.</w:t>
      </w:r>
    </w:p>
    <w:p w:rsidR="00200FDA" w:rsidRDefault="00200FDA">
      <w:pPr>
        <w:pStyle w:val="BodyText"/>
        <w:rPr>
          <w:sz w:val="20"/>
        </w:rPr>
      </w:pPr>
    </w:p>
    <w:p w:rsidR="00200FDA" w:rsidRDefault="00F76C4C">
      <w:pPr>
        <w:pStyle w:val="Heading8"/>
        <w:spacing w:before="160"/>
        <w:jc w:val="left"/>
      </w:pPr>
      <w:bookmarkStart w:id="582" w:name="Contraceptives"/>
      <w:bookmarkEnd w:id="582"/>
      <w:r>
        <w:rPr>
          <w:color w:val="2E5395"/>
          <w:spacing w:val="-2"/>
        </w:rPr>
        <w:t>Contraceptives</w:t>
      </w:r>
    </w:p>
    <w:p w:rsidR="00200FDA" w:rsidRDefault="00200FDA">
      <w:pPr>
        <w:pStyle w:val="BodyText"/>
        <w:spacing w:before="10"/>
        <w:rPr>
          <w:sz w:val="19"/>
        </w:rPr>
      </w:pPr>
    </w:p>
    <w:p w:rsidR="00200FDA" w:rsidRDefault="00F76C4C">
      <w:pPr>
        <w:spacing w:line="264" w:lineRule="auto"/>
        <w:ind w:left="140" w:right="334"/>
        <w:jc w:val="both"/>
        <w:rPr>
          <w:sz w:val="20"/>
        </w:rPr>
      </w:pPr>
      <w:r>
        <w:rPr>
          <w:sz w:val="20"/>
        </w:rPr>
        <w:t>Due</w:t>
      </w:r>
      <w:r>
        <w:rPr>
          <w:spacing w:val="-10"/>
          <w:sz w:val="20"/>
        </w:rPr>
        <w:t xml:space="preserve"> </w:t>
      </w:r>
      <w:r>
        <w:rPr>
          <w:sz w:val="20"/>
        </w:rPr>
        <w:t>to</w:t>
      </w:r>
      <w:r>
        <w:rPr>
          <w:spacing w:val="-9"/>
          <w:sz w:val="20"/>
        </w:rPr>
        <w:t xml:space="preserve"> </w:t>
      </w:r>
      <w:r>
        <w:rPr>
          <w:sz w:val="20"/>
        </w:rPr>
        <w:t>heteronormative</w:t>
      </w:r>
      <w:r>
        <w:rPr>
          <w:spacing w:val="-8"/>
          <w:sz w:val="20"/>
        </w:rPr>
        <w:t xml:space="preserve"> </w:t>
      </w:r>
      <w:r>
        <w:rPr>
          <w:sz w:val="20"/>
        </w:rPr>
        <w:t>social</w:t>
      </w:r>
      <w:r>
        <w:rPr>
          <w:spacing w:val="-9"/>
          <w:sz w:val="20"/>
        </w:rPr>
        <w:t xml:space="preserve"> </w:t>
      </w:r>
      <w:r>
        <w:rPr>
          <w:sz w:val="20"/>
        </w:rPr>
        <w:t>structures,</w:t>
      </w:r>
      <w:r>
        <w:rPr>
          <w:spacing w:val="-9"/>
          <w:sz w:val="20"/>
        </w:rPr>
        <w:t xml:space="preserve"> </w:t>
      </w:r>
      <w:r>
        <w:rPr>
          <w:sz w:val="20"/>
        </w:rPr>
        <w:t>the</w:t>
      </w:r>
      <w:r>
        <w:rPr>
          <w:spacing w:val="-10"/>
          <w:sz w:val="20"/>
        </w:rPr>
        <w:t xml:space="preserve"> </w:t>
      </w:r>
      <w:r>
        <w:rPr>
          <w:sz w:val="20"/>
        </w:rPr>
        <w:t>use</w:t>
      </w:r>
      <w:r>
        <w:rPr>
          <w:spacing w:val="-10"/>
          <w:sz w:val="20"/>
        </w:rPr>
        <w:t xml:space="preserve"> </w:t>
      </w:r>
      <w:r>
        <w:rPr>
          <w:sz w:val="20"/>
        </w:rPr>
        <w:t>of</w:t>
      </w:r>
      <w:r>
        <w:rPr>
          <w:spacing w:val="-10"/>
          <w:sz w:val="20"/>
        </w:rPr>
        <w:t xml:space="preserve"> </w:t>
      </w:r>
      <w:r>
        <w:rPr>
          <w:sz w:val="20"/>
        </w:rPr>
        <w:t>contraceptives,</w:t>
      </w:r>
      <w:r>
        <w:rPr>
          <w:spacing w:val="-9"/>
          <w:sz w:val="20"/>
        </w:rPr>
        <w:t xml:space="preserve"> </w:t>
      </w:r>
      <w:r>
        <w:rPr>
          <w:sz w:val="20"/>
        </w:rPr>
        <w:t>or</w:t>
      </w:r>
      <w:r>
        <w:rPr>
          <w:spacing w:val="-9"/>
          <w:sz w:val="20"/>
        </w:rPr>
        <w:t xml:space="preserve"> </w:t>
      </w:r>
      <w:r>
        <w:rPr>
          <w:sz w:val="20"/>
        </w:rPr>
        <w:t>birth</w:t>
      </w:r>
      <w:r>
        <w:rPr>
          <w:spacing w:val="-6"/>
          <w:sz w:val="20"/>
        </w:rPr>
        <w:t xml:space="preserve"> </w:t>
      </w:r>
      <w:r>
        <w:rPr>
          <w:sz w:val="20"/>
        </w:rPr>
        <w:t>control,</w:t>
      </w:r>
      <w:r>
        <w:rPr>
          <w:spacing w:val="-9"/>
          <w:sz w:val="20"/>
        </w:rPr>
        <w:t xml:space="preserve"> </w:t>
      </w:r>
      <w:r>
        <w:rPr>
          <w:sz w:val="20"/>
        </w:rPr>
        <w:t>has</w:t>
      </w:r>
      <w:r>
        <w:rPr>
          <w:spacing w:val="-10"/>
          <w:sz w:val="20"/>
        </w:rPr>
        <w:t xml:space="preserve"> </w:t>
      </w:r>
      <w:r>
        <w:rPr>
          <w:sz w:val="20"/>
        </w:rPr>
        <w:t>been</w:t>
      </w:r>
      <w:r>
        <w:rPr>
          <w:spacing w:val="-8"/>
          <w:sz w:val="20"/>
        </w:rPr>
        <w:t xml:space="preserve"> </w:t>
      </w:r>
      <w:r>
        <w:rPr>
          <w:sz w:val="20"/>
        </w:rPr>
        <w:t>culturally</w:t>
      </w:r>
      <w:r>
        <w:rPr>
          <w:spacing w:val="-8"/>
          <w:sz w:val="20"/>
        </w:rPr>
        <w:t xml:space="preserve"> </w:t>
      </w:r>
      <w:r>
        <w:rPr>
          <w:sz w:val="20"/>
        </w:rPr>
        <w:t>understood to be exclusively by cisgender women who have heterosexual relations with cisgender men to prevent pregnancy, despite</w:t>
      </w:r>
      <w:r>
        <w:rPr>
          <w:spacing w:val="-4"/>
          <w:sz w:val="20"/>
        </w:rPr>
        <w:t xml:space="preserve"> </w:t>
      </w:r>
      <w:r>
        <w:rPr>
          <w:sz w:val="20"/>
        </w:rPr>
        <w:t>the</w:t>
      </w:r>
      <w:r>
        <w:rPr>
          <w:spacing w:val="-4"/>
          <w:sz w:val="20"/>
        </w:rPr>
        <w:t xml:space="preserve"> </w:t>
      </w:r>
      <w:r>
        <w:rPr>
          <w:sz w:val="20"/>
        </w:rPr>
        <w:t>fact</w:t>
      </w:r>
      <w:r>
        <w:rPr>
          <w:spacing w:val="-3"/>
          <w:sz w:val="20"/>
        </w:rPr>
        <w:t xml:space="preserve"> </w:t>
      </w:r>
      <w:r>
        <w:rPr>
          <w:sz w:val="20"/>
        </w:rPr>
        <w:t>that</w:t>
      </w:r>
      <w:r>
        <w:rPr>
          <w:spacing w:val="-3"/>
          <w:sz w:val="20"/>
        </w:rPr>
        <w:t xml:space="preserve"> </w:t>
      </w:r>
      <w:r>
        <w:rPr>
          <w:sz w:val="20"/>
        </w:rPr>
        <w:t>there</w:t>
      </w:r>
      <w:r>
        <w:rPr>
          <w:spacing w:val="-4"/>
          <w:sz w:val="20"/>
        </w:rPr>
        <w:t xml:space="preserve"> </w:t>
      </w:r>
      <w:r>
        <w:rPr>
          <w:sz w:val="20"/>
        </w:rPr>
        <w:t>are</w:t>
      </w:r>
      <w:r>
        <w:rPr>
          <w:spacing w:val="-4"/>
          <w:sz w:val="20"/>
        </w:rPr>
        <w:t xml:space="preserve"> </w:t>
      </w:r>
      <w:r>
        <w:rPr>
          <w:sz w:val="20"/>
        </w:rPr>
        <w:t>a</w:t>
      </w:r>
      <w:r>
        <w:rPr>
          <w:spacing w:val="-3"/>
          <w:sz w:val="20"/>
        </w:rPr>
        <w:t xml:space="preserve"> </w:t>
      </w:r>
      <w:r>
        <w:rPr>
          <w:sz w:val="20"/>
        </w:rPr>
        <w:t>variety</w:t>
      </w:r>
      <w:r>
        <w:rPr>
          <w:spacing w:val="-2"/>
          <w:sz w:val="20"/>
        </w:rPr>
        <w:t xml:space="preserve"> </w:t>
      </w:r>
      <w:r>
        <w:rPr>
          <w:sz w:val="20"/>
        </w:rPr>
        <w:t>of</w:t>
      </w:r>
      <w:r>
        <w:rPr>
          <w:spacing w:val="-4"/>
          <w:sz w:val="20"/>
        </w:rPr>
        <w:t xml:space="preserve"> </w:t>
      </w:r>
      <w:r>
        <w:rPr>
          <w:sz w:val="20"/>
        </w:rPr>
        <w:t>health</w:t>
      </w:r>
      <w:r>
        <w:rPr>
          <w:spacing w:val="-2"/>
          <w:sz w:val="20"/>
        </w:rPr>
        <w:t xml:space="preserve"> </w:t>
      </w:r>
      <w:r>
        <w:rPr>
          <w:sz w:val="20"/>
        </w:rPr>
        <w:t>reasons</w:t>
      </w:r>
      <w:r>
        <w:rPr>
          <w:spacing w:val="-4"/>
          <w:sz w:val="20"/>
        </w:rPr>
        <w:t xml:space="preserve"> </w:t>
      </w:r>
      <w:r>
        <w:rPr>
          <w:sz w:val="20"/>
        </w:rPr>
        <w:t>why</w:t>
      </w:r>
      <w:r>
        <w:rPr>
          <w:spacing w:val="-2"/>
          <w:sz w:val="20"/>
        </w:rPr>
        <w:t xml:space="preserve"> </w:t>
      </w:r>
      <w:r>
        <w:rPr>
          <w:sz w:val="20"/>
        </w:rPr>
        <w:t>women</w:t>
      </w:r>
      <w:r>
        <w:rPr>
          <w:spacing w:val="-2"/>
          <w:sz w:val="20"/>
        </w:rPr>
        <w:t xml:space="preserve"> </w:t>
      </w:r>
      <w:r>
        <w:rPr>
          <w:sz w:val="20"/>
        </w:rPr>
        <w:t>would</w:t>
      </w:r>
      <w:r>
        <w:rPr>
          <w:spacing w:val="-2"/>
          <w:sz w:val="20"/>
        </w:rPr>
        <w:t xml:space="preserve"> </w:t>
      </w:r>
      <w:r>
        <w:rPr>
          <w:sz w:val="20"/>
        </w:rPr>
        <w:t>choose</w:t>
      </w:r>
      <w:r>
        <w:rPr>
          <w:spacing w:val="-4"/>
          <w:sz w:val="20"/>
        </w:rPr>
        <w:t xml:space="preserve"> </w:t>
      </w:r>
      <w:r>
        <w:rPr>
          <w:sz w:val="20"/>
        </w:rPr>
        <w:t>or</w:t>
      </w:r>
      <w:r>
        <w:rPr>
          <w:spacing w:val="-3"/>
          <w:sz w:val="20"/>
        </w:rPr>
        <w:t xml:space="preserve"> </w:t>
      </w:r>
      <w:r>
        <w:rPr>
          <w:sz w:val="20"/>
        </w:rPr>
        <w:t>need</w:t>
      </w:r>
      <w:r>
        <w:rPr>
          <w:spacing w:val="-2"/>
          <w:sz w:val="20"/>
        </w:rPr>
        <w:t xml:space="preserve"> </w:t>
      </w:r>
      <w:r>
        <w:rPr>
          <w:sz w:val="20"/>
        </w:rPr>
        <w:t>to</w:t>
      </w:r>
      <w:r>
        <w:rPr>
          <w:spacing w:val="-3"/>
          <w:sz w:val="20"/>
        </w:rPr>
        <w:t xml:space="preserve"> </w:t>
      </w:r>
      <w:r>
        <w:rPr>
          <w:sz w:val="20"/>
        </w:rPr>
        <w:t>be</w:t>
      </w:r>
      <w:r>
        <w:rPr>
          <w:spacing w:val="-4"/>
          <w:sz w:val="20"/>
        </w:rPr>
        <w:t xml:space="preserve"> </w:t>
      </w:r>
      <w:r>
        <w:rPr>
          <w:sz w:val="20"/>
        </w:rPr>
        <w:t>on</w:t>
      </w:r>
      <w:r>
        <w:rPr>
          <w:spacing w:val="-2"/>
          <w:sz w:val="20"/>
        </w:rPr>
        <w:t xml:space="preserve"> </w:t>
      </w:r>
      <w:r>
        <w:rPr>
          <w:sz w:val="20"/>
        </w:rPr>
        <w:t>birth</w:t>
      </w:r>
      <w:r>
        <w:rPr>
          <w:spacing w:val="-2"/>
          <w:sz w:val="20"/>
        </w:rPr>
        <w:t xml:space="preserve"> </w:t>
      </w:r>
      <w:r>
        <w:rPr>
          <w:sz w:val="20"/>
        </w:rPr>
        <w:t>control. These heteronormativ</w:t>
      </w:r>
      <w:r>
        <w:rPr>
          <w:sz w:val="20"/>
        </w:rPr>
        <w:t>e cultural understandings of birth control exclude LGBTQ youth from discourse around contraceptives, which takes root in the medical system. Healthcare providers are less likely to discuss birth control options with LGBTQ youth patients.</w:t>
      </w:r>
      <w:r>
        <w:rPr>
          <w:spacing w:val="-12"/>
          <w:sz w:val="20"/>
        </w:rPr>
        <w:t xml:space="preserve"> </w:t>
      </w:r>
      <w:hyperlink w:anchor="_bookmark465" w:history="1">
        <w:r>
          <w:rPr>
            <w:sz w:val="20"/>
            <w:vertAlign w:val="superscript"/>
          </w:rPr>
          <w:t>19</w:t>
        </w:r>
      </w:hyperlink>
      <w:r>
        <w:rPr>
          <w:sz w:val="20"/>
        </w:rPr>
        <w:t xml:space="preserve"> LGBTQ youth patients deserve access to contraceptives and health care providers need to inform them of their options whether it be for pregnancy prevention, menstrual suppression or both;</w:t>
      </w:r>
      <w:r>
        <w:rPr>
          <w:spacing w:val="-2"/>
          <w:sz w:val="20"/>
        </w:rPr>
        <w:t xml:space="preserve"> </w:t>
      </w:r>
      <w:r>
        <w:rPr>
          <w:sz w:val="20"/>
        </w:rPr>
        <w:t>oral</w:t>
      </w:r>
      <w:r>
        <w:rPr>
          <w:spacing w:val="-2"/>
          <w:sz w:val="20"/>
        </w:rPr>
        <w:t xml:space="preserve"> </w:t>
      </w:r>
      <w:r>
        <w:rPr>
          <w:sz w:val="20"/>
        </w:rPr>
        <w:t>contraceptives,</w:t>
      </w:r>
      <w:r>
        <w:rPr>
          <w:spacing w:val="-1"/>
          <w:sz w:val="20"/>
        </w:rPr>
        <w:t xml:space="preserve"> </w:t>
      </w:r>
      <w:r>
        <w:rPr>
          <w:sz w:val="20"/>
        </w:rPr>
        <w:t>IUDs,</w:t>
      </w:r>
      <w:r>
        <w:rPr>
          <w:spacing w:val="-1"/>
          <w:sz w:val="20"/>
        </w:rPr>
        <w:t xml:space="preserve"> </w:t>
      </w:r>
      <w:r>
        <w:rPr>
          <w:sz w:val="20"/>
        </w:rPr>
        <w:t>contraceptive</w:t>
      </w:r>
      <w:r>
        <w:rPr>
          <w:spacing w:val="-2"/>
          <w:sz w:val="20"/>
        </w:rPr>
        <w:t xml:space="preserve"> </w:t>
      </w:r>
      <w:r>
        <w:rPr>
          <w:sz w:val="20"/>
        </w:rPr>
        <w:t>patches,</w:t>
      </w:r>
      <w:r>
        <w:rPr>
          <w:spacing w:val="-1"/>
          <w:sz w:val="20"/>
        </w:rPr>
        <w:t xml:space="preserve"> </w:t>
      </w:r>
      <w:r>
        <w:rPr>
          <w:sz w:val="20"/>
        </w:rPr>
        <w:t>v</w:t>
      </w:r>
      <w:r>
        <w:rPr>
          <w:sz w:val="20"/>
        </w:rPr>
        <w:t>aginal</w:t>
      </w:r>
      <w:r>
        <w:rPr>
          <w:spacing w:val="-2"/>
          <w:sz w:val="20"/>
        </w:rPr>
        <w:t xml:space="preserve"> </w:t>
      </w:r>
      <w:r>
        <w:rPr>
          <w:sz w:val="20"/>
        </w:rPr>
        <w:t>rings,</w:t>
      </w:r>
      <w:r>
        <w:rPr>
          <w:spacing w:val="-1"/>
          <w:sz w:val="20"/>
        </w:rPr>
        <w:t xml:space="preserve"> </w:t>
      </w:r>
      <w:r>
        <w:rPr>
          <w:sz w:val="20"/>
        </w:rPr>
        <w:t>Depo</w:t>
      </w:r>
      <w:r>
        <w:rPr>
          <w:spacing w:val="-1"/>
          <w:sz w:val="20"/>
        </w:rPr>
        <w:t xml:space="preserve"> </w:t>
      </w:r>
      <w:r>
        <w:rPr>
          <w:sz w:val="20"/>
        </w:rPr>
        <w:t>injections,</w:t>
      </w:r>
      <w:r>
        <w:rPr>
          <w:spacing w:val="-1"/>
          <w:sz w:val="20"/>
        </w:rPr>
        <w:t xml:space="preserve"> </w:t>
      </w:r>
      <w:r>
        <w:rPr>
          <w:sz w:val="20"/>
        </w:rPr>
        <w:t>implants,</w:t>
      </w:r>
      <w:r>
        <w:rPr>
          <w:spacing w:val="-1"/>
          <w:sz w:val="20"/>
        </w:rPr>
        <w:t xml:space="preserve"> </w:t>
      </w:r>
      <w:r>
        <w:rPr>
          <w:sz w:val="20"/>
        </w:rPr>
        <w:t>and</w:t>
      </w:r>
      <w:r>
        <w:rPr>
          <w:spacing w:val="-1"/>
          <w:sz w:val="20"/>
        </w:rPr>
        <w:t xml:space="preserve"> </w:t>
      </w:r>
      <w:r>
        <w:rPr>
          <w:sz w:val="20"/>
        </w:rPr>
        <w:t>the</w:t>
      </w:r>
      <w:r>
        <w:rPr>
          <w:spacing w:val="-3"/>
          <w:sz w:val="20"/>
        </w:rPr>
        <w:t xml:space="preserve"> </w:t>
      </w:r>
      <w:r>
        <w:rPr>
          <w:sz w:val="20"/>
        </w:rPr>
        <w:t>emergency</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spacing w:before="66" w:line="264" w:lineRule="auto"/>
        <w:ind w:left="139" w:right="337"/>
        <w:jc w:val="both"/>
        <w:rPr>
          <w:sz w:val="20"/>
        </w:rPr>
      </w:pPr>
      <w:r>
        <w:rPr>
          <w:sz w:val="20"/>
        </w:rPr>
        <w:lastRenderedPageBreak/>
        <w:t>contraceptive pills are viable options for LGBTQ youth, especially for transgender and gender diverse patients who were assigned female at birth.</w:t>
      </w:r>
      <w:r>
        <w:rPr>
          <w:spacing w:val="-12"/>
          <w:sz w:val="20"/>
        </w:rPr>
        <w:t xml:space="preserve"> </w:t>
      </w:r>
      <w:hyperlink w:anchor="_bookmark466" w:history="1">
        <w:r>
          <w:rPr>
            <w:sz w:val="20"/>
            <w:vertAlign w:val="superscript"/>
          </w:rPr>
          <w:t>20</w:t>
        </w:r>
      </w:hyperlink>
      <w:r>
        <w:rPr>
          <w:sz w:val="20"/>
        </w:rPr>
        <w:t xml:space="preserve"> Access to contraceptives helps LGBTQ youth prevent pregnancy and manage menstruation, two biological functions that might cause distress and gender dysmorphia, as noted above.</w:t>
      </w:r>
    </w:p>
    <w:p w:rsidR="00200FDA" w:rsidRDefault="00200FDA">
      <w:pPr>
        <w:pStyle w:val="BodyText"/>
        <w:spacing w:before="6"/>
        <w:rPr>
          <w:sz w:val="19"/>
        </w:rPr>
      </w:pPr>
    </w:p>
    <w:p w:rsidR="00200FDA" w:rsidRDefault="00F76C4C">
      <w:pPr>
        <w:spacing w:line="264" w:lineRule="auto"/>
        <w:ind w:left="139" w:right="337"/>
        <w:jc w:val="both"/>
        <w:rPr>
          <w:sz w:val="20"/>
        </w:rPr>
      </w:pPr>
      <w:r>
        <w:rPr>
          <w:sz w:val="20"/>
        </w:rPr>
        <w:t>Some transgender men and genderqueer youths assigned female at birth may lack sufficient knowledge around contraceptives and their reproductive capacity when undergoing testosterone therapy, which is why it is essential for LGBTQ youth to have access to LG</w:t>
      </w:r>
      <w:r>
        <w:rPr>
          <w:sz w:val="20"/>
        </w:rPr>
        <w:t>BTQ-competent healthcare providers and facilities. Although testosterone reduces fertility, it is still possible for transgender individuals with female reproductive capacity on testosterone therapy to become pregnant. Existing misconceptions about testost</w:t>
      </w:r>
      <w:r>
        <w:rPr>
          <w:sz w:val="20"/>
        </w:rPr>
        <w:t>erone as an effective contraceptive may lead transgender</w:t>
      </w:r>
      <w:r>
        <w:rPr>
          <w:spacing w:val="-2"/>
          <w:sz w:val="20"/>
        </w:rPr>
        <w:t xml:space="preserve"> </w:t>
      </w:r>
      <w:r>
        <w:rPr>
          <w:sz w:val="20"/>
        </w:rPr>
        <w:t>men</w:t>
      </w:r>
      <w:r>
        <w:rPr>
          <w:spacing w:val="-4"/>
          <w:sz w:val="20"/>
        </w:rPr>
        <w:t xml:space="preserve"> </w:t>
      </w:r>
      <w:r>
        <w:rPr>
          <w:sz w:val="20"/>
        </w:rPr>
        <w:t>and</w:t>
      </w:r>
      <w:r>
        <w:rPr>
          <w:spacing w:val="-4"/>
          <w:sz w:val="20"/>
        </w:rPr>
        <w:t xml:space="preserve"> </w:t>
      </w:r>
      <w:r>
        <w:rPr>
          <w:sz w:val="20"/>
        </w:rPr>
        <w:t>other</w:t>
      </w:r>
      <w:r>
        <w:rPr>
          <w:spacing w:val="-4"/>
          <w:sz w:val="20"/>
        </w:rPr>
        <w:t xml:space="preserve"> </w:t>
      </w:r>
      <w:r>
        <w:rPr>
          <w:sz w:val="20"/>
        </w:rPr>
        <w:t>individuals</w:t>
      </w:r>
      <w:r>
        <w:rPr>
          <w:spacing w:val="-6"/>
          <w:sz w:val="20"/>
        </w:rPr>
        <w:t xml:space="preserve"> </w:t>
      </w:r>
      <w:r>
        <w:rPr>
          <w:sz w:val="20"/>
        </w:rPr>
        <w:t>assigned</w:t>
      </w:r>
      <w:r>
        <w:rPr>
          <w:spacing w:val="-4"/>
          <w:sz w:val="20"/>
        </w:rPr>
        <w:t xml:space="preserve"> </w:t>
      </w:r>
      <w:r>
        <w:rPr>
          <w:sz w:val="20"/>
        </w:rPr>
        <w:t>female</w:t>
      </w:r>
      <w:r>
        <w:rPr>
          <w:spacing w:val="-5"/>
          <w:sz w:val="20"/>
        </w:rPr>
        <w:t xml:space="preserve"> </w:t>
      </w:r>
      <w:r>
        <w:rPr>
          <w:sz w:val="20"/>
        </w:rPr>
        <w:t>at</w:t>
      </w:r>
      <w:r>
        <w:rPr>
          <w:spacing w:val="-4"/>
          <w:sz w:val="20"/>
        </w:rPr>
        <w:t xml:space="preserve"> </w:t>
      </w:r>
      <w:r>
        <w:rPr>
          <w:sz w:val="20"/>
        </w:rPr>
        <w:t>birth</w:t>
      </w:r>
      <w:r>
        <w:rPr>
          <w:spacing w:val="-4"/>
          <w:sz w:val="20"/>
        </w:rPr>
        <w:t xml:space="preserve"> </w:t>
      </w:r>
      <w:r>
        <w:rPr>
          <w:sz w:val="20"/>
        </w:rPr>
        <w:t>to</w:t>
      </w:r>
      <w:r>
        <w:rPr>
          <w:spacing w:val="-4"/>
          <w:sz w:val="20"/>
        </w:rPr>
        <w:t xml:space="preserve"> </w:t>
      </w:r>
      <w:r>
        <w:rPr>
          <w:sz w:val="20"/>
        </w:rPr>
        <w:t>believe</w:t>
      </w:r>
      <w:r>
        <w:rPr>
          <w:spacing w:val="-5"/>
          <w:sz w:val="20"/>
        </w:rPr>
        <w:t xml:space="preserve"> </w:t>
      </w:r>
      <w:r>
        <w:rPr>
          <w:sz w:val="20"/>
        </w:rPr>
        <w:t>that</w:t>
      </w:r>
      <w:r>
        <w:rPr>
          <w:spacing w:val="-4"/>
          <w:sz w:val="20"/>
        </w:rPr>
        <w:t xml:space="preserve"> </w:t>
      </w:r>
      <w:r>
        <w:rPr>
          <w:sz w:val="20"/>
        </w:rPr>
        <w:t>they</w:t>
      </w:r>
      <w:r>
        <w:rPr>
          <w:spacing w:val="-3"/>
          <w:sz w:val="20"/>
        </w:rPr>
        <w:t xml:space="preserve"> </w:t>
      </w:r>
      <w:r>
        <w:rPr>
          <w:sz w:val="20"/>
        </w:rPr>
        <w:t>are</w:t>
      </w:r>
      <w:r>
        <w:rPr>
          <w:spacing w:val="-3"/>
          <w:sz w:val="20"/>
        </w:rPr>
        <w:t xml:space="preserve"> </w:t>
      </w:r>
      <w:r>
        <w:rPr>
          <w:sz w:val="20"/>
        </w:rPr>
        <w:t>infertile.</w:t>
      </w:r>
      <w:r>
        <w:rPr>
          <w:spacing w:val="-4"/>
          <w:sz w:val="20"/>
        </w:rPr>
        <w:t xml:space="preserve"> </w:t>
      </w:r>
      <w:r>
        <w:rPr>
          <w:sz w:val="20"/>
        </w:rPr>
        <w:t>Consequently,</w:t>
      </w:r>
      <w:r>
        <w:rPr>
          <w:spacing w:val="-4"/>
          <w:sz w:val="20"/>
        </w:rPr>
        <w:t xml:space="preserve"> </w:t>
      </w:r>
      <w:r>
        <w:rPr>
          <w:sz w:val="20"/>
        </w:rPr>
        <w:t>this can lead to unintended pregnancies</w:t>
      </w:r>
      <w:r>
        <w:rPr>
          <w:spacing w:val="-2"/>
          <w:sz w:val="20"/>
        </w:rPr>
        <w:t xml:space="preserve"> </w:t>
      </w:r>
      <w:r>
        <w:rPr>
          <w:sz w:val="20"/>
        </w:rPr>
        <w:t>in transgender men undergoing</w:t>
      </w:r>
      <w:r>
        <w:rPr>
          <w:spacing w:val="-1"/>
          <w:sz w:val="20"/>
        </w:rPr>
        <w:t xml:space="preserve"> </w:t>
      </w:r>
      <w:r>
        <w:rPr>
          <w:sz w:val="20"/>
        </w:rPr>
        <w:t>testosterone</w:t>
      </w:r>
      <w:r>
        <w:rPr>
          <w:spacing w:val="-2"/>
          <w:sz w:val="20"/>
        </w:rPr>
        <w:t xml:space="preserve"> </w:t>
      </w:r>
      <w:r>
        <w:rPr>
          <w:sz w:val="20"/>
        </w:rPr>
        <w:t>therapy. A</w:t>
      </w:r>
      <w:r>
        <w:rPr>
          <w:spacing w:val="-1"/>
          <w:sz w:val="20"/>
        </w:rPr>
        <w:t xml:space="preserve"> </w:t>
      </w:r>
      <w:r>
        <w:rPr>
          <w:sz w:val="20"/>
        </w:rPr>
        <w:t>stud</w:t>
      </w:r>
      <w:r>
        <w:rPr>
          <w:sz w:val="20"/>
        </w:rPr>
        <w:t>y found that one- third of pregnancies for trans men were unplanned and that usage of contraceptives prior to pregnancy was lower for</w:t>
      </w:r>
      <w:r>
        <w:rPr>
          <w:spacing w:val="-2"/>
          <w:sz w:val="20"/>
        </w:rPr>
        <w:t xml:space="preserve"> </w:t>
      </w:r>
      <w:r>
        <w:rPr>
          <w:sz w:val="20"/>
        </w:rPr>
        <w:t>transgender</w:t>
      </w:r>
      <w:r>
        <w:rPr>
          <w:spacing w:val="-2"/>
          <w:sz w:val="20"/>
        </w:rPr>
        <w:t xml:space="preserve"> </w:t>
      </w:r>
      <w:r>
        <w:rPr>
          <w:sz w:val="20"/>
        </w:rPr>
        <w:t>individuals</w:t>
      </w:r>
      <w:r>
        <w:rPr>
          <w:spacing w:val="-3"/>
          <w:sz w:val="20"/>
        </w:rPr>
        <w:t xml:space="preserve"> </w:t>
      </w:r>
      <w:r>
        <w:rPr>
          <w:sz w:val="20"/>
        </w:rPr>
        <w:t>who</w:t>
      </w:r>
      <w:r>
        <w:rPr>
          <w:spacing w:val="-1"/>
          <w:sz w:val="20"/>
        </w:rPr>
        <w:t xml:space="preserve"> </w:t>
      </w:r>
      <w:r>
        <w:rPr>
          <w:sz w:val="20"/>
        </w:rPr>
        <w:t>were</w:t>
      </w:r>
      <w:r>
        <w:rPr>
          <w:spacing w:val="-2"/>
          <w:sz w:val="20"/>
        </w:rPr>
        <w:t xml:space="preserve"> </w:t>
      </w:r>
      <w:r>
        <w:rPr>
          <w:sz w:val="20"/>
        </w:rPr>
        <w:t>using</w:t>
      </w:r>
      <w:r>
        <w:rPr>
          <w:spacing w:val="-2"/>
          <w:sz w:val="20"/>
        </w:rPr>
        <w:t xml:space="preserve"> </w:t>
      </w:r>
      <w:r>
        <w:rPr>
          <w:sz w:val="20"/>
        </w:rPr>
        <w:t>testosterone</w:t>
      </w:r>
      <w:r>
        <w:rPr>
          <w:spacing w:val="-3"/>
          <w:sz w:val="20"/>
        </w:rPr>
        <w:t xml:space="preserve"> </w:t>
      </w:r>
      <w:r>
        <w:rPr>
          <w:sz w:val="20"/>
        </w:rPr>
        <w:t>gender</w:t>
      </w:r>
      <w:r>
        <w:rPr>
          <w:spacing w:val="-2"/>
          <w:sz w:val="20"/>
        </w:rPr>
        <w:t xml:space="preserve"> </w:t>
      </w:r>
      <w:r>
        <w:rPr>
          <w:sz w:val="20"/>
        </w:rPr>
        <w:t>affirming</w:t>
      </w:r>
      <w:r>
        <w:rPr>
          <w:spacing w:val="-2"/>
          <w:sz w:val="20"/>
        </w:rPr>
        <w:t xml:space="preserve"> </w:t>
      </w:r>
      <w:r>
        <w:rPr>
          <w:sz w:val="20"/>
        </w:rPr>
        <w:t>therapy</w:t>
      </w:r>
      <w:r>
        <w:rPr>
          <w:spacing w:val="-1"/>
          <w:sz w:val="20"/>
        </w:rPr>
        <w:t xml:space="preserve"> </w:t>
      </w:r>
      <w:r>
        <w:rPr>
          <w:sz w:val="20"/>
        </w:rPr>
        <w:t>compared</w:t>
      </w:r>
      <w:r>
        <w:rPr>
          <w:spacing w:val="-1"/>
          <w:sz w:val="20"/>
        </w:rPr>
        <w:t xml:space="preserve"> </w:t>
      </w:r>
      <w:r>
        <w:rPr>
          <w:sz w:val="20"/>
        </w:rPr>
        <w:t>to</w:t>
      </w:r>
      <w:r>
        <w:rPr>
          <w:spacing w:val="-1"/>
          <w:sz w:val="20"/>
        </w:rPr>
        <w:t xml:space="preserve"> </w:t>
      </w:r>
      <w:r>
        <w:rPr>
          <w:sz w:val="20"/>
        </w:rPr>
        <w:t>those</w:t>
      </w:r>
      <w:r>
        <w:rPr>
          <w:spacing w:val="-2"/>
          <w:sz w:val="20"/>
        </w:rPr>
        <w:t xml:space="preserve"> </w:t>
      </w:r>
      <w:r>
        <w:rPr>
          <w:sz w:val="20"/>
        </w:rPr>
        <w:t>who</w:t>
      </w:r>
      <w:r>
        <w:rPr>
          <w:spacing w:val="-1"/>
          <w:sz w:val="20"/>
        </w:rPr>
        <w:t xml:space="preserve"> </w:t>
      </w:r>
      <w:r>
        <w:rPr>
          <w:sz w:val="20"/>
        </w:rPr>
        <w:t>had</w:t>
      </w:r>
      <w:r>
        <w:rPr>
          <w:spacing w:val="-3"/>
          <w:sz w:val="20"/>
        </w:rPr>
        <w:t xml:space="preserve"> </w:t>
      </w:r>
      <w:r>
        <w:rPr>
          <w:sz w:val="20"/>
        </w:rPr>
        <w:t>not had testosterone.</w:t>
      </w:r>
      <w:hyperlink w:anchor="_bookmark467" w:history="1">
        <w:r>
          <w:rPr>
            <w:sz w:val="20"/>
            <w:vertAlign w:val="superscript"/>
          </w:rPr>
          <w:t>21</w:t>
        </w:r>
      </w:hyperlink>
    </w:p>
    <w:p w:rsidR="00200FDA" w:rsidRDefault="00200FDA">
      <w:pPr>
        <w:pStyle w:val="BodyText"/>
        <w:spacing w:before="8"/>
        <w:rPr>
          <w:sz w:val="19"/>
        </w:rPr>
      </w:pPr>
    </w:p>
    <w:p w:rsidR="00200FDA" w:rsidRDefault="00F76C4C">
      <w:pPr>
        <w:spacing w:before="1" w:line="264" w:lineRule="auto"/>
        <w:ind w:left="5751" w:right="336"/>
        <w:jc w:val="both"/>
        <w:rPr>
          <w:sz w:val="20"/>
        </w:rPr>
      </w:pPr>
      <w:r>
        <w:rPr>
          <w:noProof/>
        </w:rPr>
        <w:drawing>
          <wp:anchor distT="0" distB="0" distL="0" distR="0" simplePos="0" relativeHeight="15778816" behindDoc="0" locked="0" layoutInCell="1" allowOverlap="1">
            <wp:simplePos x="0" y="0"/>
            <wp:positionH relativeFrom="page">
              <wp:posOffset>931236</wp:posOffset>
            </wp:positionH>
            <wp:positionV relativeFrom="paragraph">
              <wp:posOffset>325848</wp:posOffset>
            </wp:positionV>
            <wp:extent cx="3387439" cy="2465202"/>
            <wp:effectExtent l="0" t="0" r="0" b="0"/>
            <wp:wrapNone/>
            <wp:docPr id="73"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86.jpeg"/>
                    <pic:cNvPicPr/>
                  </pic:nvPicPr>
                  <pic:blipFill>
                    <a:blip r:embed="rId411" cstate="print"/>
                    <a:stretch>
                      <a:fillRect/>
                    </a:stretch>
                  </pic:blipFill>
                  <pic:spPr>
                    <a:xfrm>
                      <a:off x="0" y="0"/>
                      <a:ext cx="3387439" cy="2465202"/>
                    </a:xfrm>
                    <a:prstGeom prst="rect">
                      <a:avLst/>
                    </a:prstGeom>
                  </pic:spPr>
                </pic:pic>
              </a:graphicData>
            </a:graphic>
          </wp:anchor>
        </w:drawing>
      </w:r>
      <w:r>
        <w:rPr>
          <w:sz w:val="20"/>
        </w:rPr>
        <w:t>For transmen and other gender diverse patients assigned female at birth who desire birth</w:t>
      </w:r>
      <w:r>
        <w:rPr>
          <w:spacing w:val="-11"/>
          <w:sz w:val="20"/>
        </w:rPr>
        <w:t xml:space="preserve"> </w:t>
      </w:r>
      <w:r>
        <w:rPr>
          <w:sz w:val="20"/>
        </w:rPr>
        <w:t>control</w:t>
      </w:r>
      <w:r>
        <w:rPr>
          <w:spacing w:val="-12"/>
          <w:sz w:val="20"/>
        </w:rPr>
        <w:t xml:space="preserve"> </w:t>
      </w:r>
      <w:r>
        <w:rPr>
          <w:sz w:val="20"/>
        </w:rPr>
        <w:t>to</w:t>
      </w:r>
      <w:r>
        <w:rPr>
          <w:spacing w:val="-10"/>
          <w:sz w:val="20"/>
        </w:rPr>
        <w:t xml:space="preserve"> </w:t>
      </w:r>
      <w:r>
        <w:rPr>
          <w:sz w:val="20"/>
        </w:rPr>
        <w:t>either</w:t>
      </w:r>
      <w:r>
        <w:rPr>
          <w:spacing w:val="-12"/>
          <w:sz w:val="20"/>
        </w:rPr>
        <w:t xml:space="preserve"> </w:t>
      </w:r>
      <w:r>
        <w:rPr>
          <w:sz w:val="20"/>
        </w:rPr>
        <w:t>prevent</w:t>
      </w:r>
      <w:r>
        <w:rPr>
          <w:spacing w:val="-8"/>
          <w:sz w:val="20"/>
        </w:rPr>
        <w:t xml:space="preserve"> </w:t>
      </w:r>
      <w:r>
        <w:rPr>
          <w:sz w:val="20"/>
        </w:rPr>
        <w:t>pregnancy</w:t>
      </w:r>
      <w:r>
        <w:rPr>
          <w:spacing w:val="-11"/>
          <w:sz w:val="20"/>
        </w:rPr>
        <w:t xml:space="preserve"> </w:t>
      </w:r>
      <w:r>
        <w:rPr>
          <w:sz w:val="20"/>
        </w:rPr>
        <w:t>or</w:t>
      </w:r>
      <w:r>
        <w:rPr>
          <w:spacing w:val="-12"/>
          <w:sz w:val="20"/>
        </w:rPr>
        <w:t xml:space="preserve"> </w:t>
      </w:r>
      <w:r>
        <w:rPr>
          <w:sz w:val="20"/>
        </w:rPr>
        <w:t>to prompt the cessation of menstruation, it is important that they hav</w:t>
      </w:r>
      <w:r>
        <w:rPr>
          <w:sz w:val="20"/>
        </w:rPr>
        <w:t>e access to contraceptive resources and consult with a healthcare provider on which forms of contraceptives are right for them, especially during</w:t>
      </w:r>
      <w:r>
        <w:rPr>
          <w:spacing w:val="-8"/>
          <w:sz w:val="20"/>
        </w:rPr>
        <w:t xml:space="preserve"> </w:t>
      </w:r>
      <w:r>
        <w:rPr>
          <w:sz w:val="20"/>
        </w:rPr>
        <w:t>testosterone</w:t>
      </w:r>
      <w:r>
        <w:rPr>
          <w:spacing w:val="-8"/>
          <w:sz w:val="20"/>
        </w:rPr>
        <w:t xml:space="preserve"> </w:t>
      </w:r>
      <w:r>
        <w:rPr>
          <w:sz w:val="20"/>
        </w:rPr>
        <w:t>gender</w:t>
      </w:r>
      <w:r>
        <w:rPr>
          <w:spacing w:val="-8"/>
          <w:sz w:val="20"/>
        </w:rPr>
        <w:t xml:space="preserve"> </w:t>
      </w:r>
      <w:r>
        <w:rPr>
          <w:sz w:val="20"/>
        </w:rPr>
        <w:t>affirming</w:t>
      </w:r>
      <w:r>
        <w:rPr>
          <w:spacing w:val="-8"/>
          <w:sz w:val="20"/>
        </w:rPr>
        <w:t xml:space="preserve"> </w:t>
      </w:r>
      <w:r>
        <w:rPr>
          <w:sz w:val="20"/>
        </w:rPr>
        <w:t xml:space="preserve">therapy. </w:t>
      </w:r>
      <w:r>
        <w:rPr>
          <w:spacing w:val="-2"/>
          <w:sz w:val="20"/>
        </w:rPr>
        <w:t xml:space="preserve">Progestin-only contraceptive methods, such as </w:t>
      </w:r>
      <w:r>
        <w:rPr>
          <w:sz w:val="20"/>
        </w:rPr>
        <w:t>pills, IUDs, and implants</w:t>
      </w:r>
      <w:r>
        <w:rPr>
          <w:sz w:val="20"/>
        </w:rPr>
        <w:t xml:space="preserve"> do not interfere with testosterone. This may be a preferable method for patients due to progestin’s high rates of amenorrhea and potential for masculinizing effects. </w:t>
      </w:r>
      <w:hyperlink w:anchor="_bookmark468" w:history="1">
        <w:r>
          <w:rPr>
            <w:sz w:val="20"/>
            <w:vertAlign w:val="superscript"/>
          </w:rPr>
          <w:t>22</w:t>
        </w:r>
      </w:hyperlink>
      <w:r>
        <w:rPr>
          <w:sz w:val="20"/>
        </w:rPr>
        <w:t xml:space="preserve"> Another type of hormonal</w:t>
      </w:r>
      <w:r>
        <w:rPr>
          <w:spacing w:val="-3"/>
          <w:sz w:val="20"/>
        </w:rPr>
        <w:t xml:space="preserve"> </w:t>
      </w:r>
      <w:r>
        <w:rPr>
          <w:sz w:val="20"/>
        </w:rPr>
        <w:t>birth</w:t>
      </w:r>
      <w:r>
        <w:rPr>
          <w:spacing w:val="-2"/>
          <w:sz w:val="20"/>
        </w:rPr>
        <w:t xml:space="preserve"> </w:t>
      </w:r>
      <w:r>
        <w:rPr>
          <w:sz w:val="20"/>
        </w:rPr>
        <w:t>control</w:t>
      </w:r>
      <w:r>
        <w:rPr>
          <w:spacing w:val="-3"/>
          <w:sz w:val="20"/>
        </w:rPr>
        <w:t xml:space="preserve"> </w:t>
      </w:r>
      <w:r>
        <w:rPr>
          <w:sz w:val="20"/>
        </w:rPr>
        <w:t>is</w:t>
      </w:r>
      <w:r>
        <w:rPr>
          <w:spacing w:val="-2"/>
          <w:sz w:val="20"/>
        </w:rPr>
        <w:t xml:space="preserve"> </w:t>
      </w:r>
      <w:r>
        <w:rPr>
          <w:sz w:val="20"/>
        </w:rPr>
        <w:t>combined</w:t>
      </w:r>
      <w:r>
        <w:rPr>
          <w:spacing w:val="-2"/>
          <w:sz w:val="20"/>
        </w:rPr>
        <w:t xml:space="preserve"> </w:t>
      </w:r>
      <w:r>
        <w:rPr>
          <w:sz w:val="20"/>
        </w:rPr>
        <w:t>hor</w:t>
      </w:r>
      <w:r>
        <w:rPr>
          <w:sz w:val="20"/>
        </w:rPr>
        <w:t>monal contraceptives (CHC), which includes pills, patches,</w:t>
      </w:r>
      <w:r>
        <w:rPr>
          <w:spacing w:val="-9"/>
          <w:sz w:val="20"/>
        </w:rPr>
        <w:t xml:space="preserve"> </w:t>
      </w:r>
      <w:r>
        <w:rPr>
          <w:sz w:val="20"/>
        </w:rPr>
        <w:t>and</w:t>
      </w:r>
      <w:r>
        <w:rPr>
          <w:spacing w:val="-8"/>
          <w:sz w:val="20"/>
        </w:rPr>
        <w:t xml:space="preserve"> </w:t>
      </w:r>
      <w:r>
        <w:rPr>
          <w:sz w:val="20"/>
        </w:rPr>
        <w:t>vaginal</w:t>
      </w:r>
      <w:r>
        <w:rPr>
          <w:spacing w:val="-10"/>
          <w:sz w:val="20"/>
        </w:rPr>
        <w:t xml:space="preserve"> </w:t>
      </w:r>
      <w:r>
        <w:rPr>
          <w:sz w:val="20"/>
        </w:rPr>
        <w:t>rings.</w:t>
      </w:r>
      <w:r>
        <w:rPr>
          <w:spacing w:val="-8"/>
          <w:sz w:val="20"/>
        </w:rPr>
        <w:t xml:space="preserve"> </w:t>
      </w:r>
      <w:r>
        <w:rPr>
          <w:sz w:val="20"/>
        </w:rPr>
        <w:t>However,</w:t>
      </w:r>
      <w:r>
        <w:rPr>
          <w:spacing w:val="-9"/>
          <w:sz w:val="20"/>
        </w:rPr>
        <w:t xml:space="preserve"> </w:t>
      </w:r>
      <w:r>
        <w:rPr>
          <w:sz w:val="20"/>
        </w:rPr>
        <w:t>there</w:t>
      </w:r>
      <w:r>
        <w:rPr>
          <w:spacing w:val="-9"/>
          <w:sz w:val="20"/>
        </w:rPr>
        <w:t xml:space="preserve"> </w:t>
      </w:r>
      <w:r>
        <w:rPr>
          <w:sz w:val="20"/>
        </w:rPr>
        <w:t>is</w:t>
      </w:r>
      <w:r>
        <w:rPr>
          <w:spacing w:val="-10"/>
          <w:sz w:val="20"/>
        </w:rPr>
        <w:t xml:space="preserve"> a</w:t>
      </w:r>
    </w:p>
    <w:p w:rsidR="00200FDA" w:rsidRDefault="00F76C4C">
      <w:pPr>
        <w:spacing w:line="264" w:lineRule="auto"/>
        <w:ind w:left="139" w:right="335"/>
        <w:jc w:val="both"/>
        <w:rPr>
          <w:sz w:val="20"/>
        </w:rPr>
      </w:pPr>
      <w:r>
        <w:rPr>
          <w:sz w:val="20"/>
        </w:rPr>
        <w:t>lack</w:t>
      </w:r>
      <w:r>
        <w:rPr>
          <w:spacing w:val="-4"/>
          <w:sz w:val="20"/>
        </w:rPr>
        <w:t xml:space="preserve"> </w:t>
      </w:r>
      <w:r>
        <w:rPr>
          <w:sz w:val="20"/>
        </w:rPr>
        <w:t>of</w:t>
      </w:r>
      <w:r>
        <w:rPr>
          <w:spacing w:val="-5"/>
          <w:sz w:val="20"/>
        </w:rPr>
        <w:t xml:space="preserve"> </w:t>
      </w:r>
      <w:r>
        <w:rPr>
          <w:sz w:val="20"/>
        </w:rPr>
        <w:t>evidence</w:t>
      </w:r>
      <w:r>
        <w:rPr>
          <w:spacing w:val="-5"/>
          <w:sz w:val="20"/>
        </w:rPr>
        <w:t xml:space="preserve"> </w:t>
      </w:r>
      <w:r>
        <w:rPr>
          <w:sz w:val="20"/>
        </w:rPr>
        <w:t>on</w:t>
      </w:r>
      <w:r>
        <w:rPr>
          <w:spacing w:val="-2"/>
          <w:sz w:val="20"/>
        </w:rPr>
        <w:t xml:space="preserve"> </w:t>
      </w:r>
      <w:r>
        <w:rPr>
          <w:sz w:val="20"/>
        </w:rPr>
        <w:t>whether</w:t>
      </w:r>
      <w:r>
        <w:rPr>
          <w:spacing w:val="-4"/>
          <w:sz w:val="20"/>
        </w:rPr>
        <w:t xml:space="preserve"> </w:t>
      </w:r>
      <w:r>
        <w:rPr>
          <w:sz w:val="20"/>
        </w:rPr>
        <w:t>the</w:t>
      </w:r>
      <w:r>
        <w:rPr>
          <w:spacing w:val="-5"/>
          <w:sz w:val="20"/>
        </w:rPr>
        <w:t xml:space="preserve"> </w:t>
      </w:r>
      <w:r>
        <w:rPr>
          <w:sz w:val="20"/>
        </w:rPr>
        <w:t>estrogen</w:t>
      </w:r>
      <w:r>
        <w:rPr>
          <w:spacing w:val="-3"/>
          <w:sz w:val="20"/>
        </w:rPr>
        <w:t xml:space="preserve"> </w:t>
      </w:r>
      <w:r>
        <w:rPr>
          <w:sz w:val="20"/>
        </w:rPr>
        <w:t>in</w:t>
      </w:r>
      <w:r>
        <w:rPr>
          <w:spacing w:val="-2"/>
          <w:sz w:val="20"/>
        </w:rPr>
        <w:t xml:space="preserve"> </w:t>
      </w:r>
      <w:r>
        <w:rPr>
          <w:sz w:val="20"/>
        </w:rPr>
        <w:t>CHCs</w:t>
      </w:r>
      <w:r>
        <w:rPr>
          <w:spacing w:val="-6"/>
          <w:sz w:val="20"/>
        </w:rPr>
        <w:t xml:space="preserve"> </w:t>
      </w:r>
      <w:r>
        <w:rPr>
          <w:sz w:val="20"/>
        </w:rPr>
        <w:t>may</w:t>
      </w:r>
      <w:r>
        <w:rPr>
          <w:spacing w:val="-3"/>
          <w:sz w:val="20"/>
        </w:rPr>
        <w:t xml:space="preserve"> </w:t>
      </w:r>
      <w:r>
        <w:rPr>
          <w:sz w:val="20"/>
        </w:rPr>
        <w:t>or</w:t>
      </w:r>
      <w:r>
        <w:rPr>
          <w:spacing w:val="-2"/>
          <w:sz w:val="20"/>
        </w:rPr>
        <w:t xml:space="preserve"> </w:t>
      </w:r>
      <w:r>
        <w:rPr>
          <w:sz w:val="20"/>
        </w:rPr>
        <w:t>may</w:t>
      </w:r>
      <w:r>
        <w:rPr>
          <w:spacing w:val="-3"/>
          <w:sz w:val="20"/>
        </w:rPr>
        <w:t xml:space="preserve"> </w:t>
      </w:r>
      <w:r>
        <w:rPr>
          <w:sz w:val="20"/>
        </w:rPr>
        <w:t>not</w:t>
      </w:r>
      <w:r>
        <w:rPr>
          <w:spacing w:val="-4"/>
          <w:sz w:val="20"/>
        </w:rPr>
        <w:t xml:space="preserve"> </w:t>
      </w:r>
      <w:r>
        <w:rPr>
          <w:sz w:val="20"/>
        </w:rPr>
        <w:t>interfere</w:t>
      </w:r>
      <w:r>
        <w:rPr>
          <w:spacing w:val="-3"/>
          <w:sz w:val="20"/>
        </w:rPr>
        <w:t xml:space="preserve"> </w:t>
      </w:r>
      <w:r>
        <w:rPr>
          <w:sz w:val="20"/>
        </w:rPr>
        <w:t>with</w:t>
      </w:r>
      <w:r>
        <w:rPr>
          <w:spacing w:val="-4"/>
          <w:sz w:val="20"/>
        </w:rPr>
        <w:t xml:space="preserve"> </w:t>
      </w:r>
      <w:r>
        <w:rPr>
          <w:sz w:val="20"/>
        </w:rPr>
        <w:t>testosterone</w:t>
      </w:r>
      <w:r>
        <w:rPr>
          <w:spacing w:val="-5"/>
          <w:sz w:val="20"/>
        </w:rPr>
        <w:t xml:space="preserve"> </w:t>
      </w:r>
      <w:r>
        <w:rPr>
          <w:sz w:val="20"/>
        </w:rPr>
        <w:t>for</w:t>
      </w:r>
      <w:r>
        <w:rPr>
          <w:spacing w:val="-4"/>
          <w:sz w:val="20"/>
        </w:rPr>
        <w:t xml:space="preserve"> </w:t>
      </w:r>
      <w:r>
        <w:rPr>
          <w:sz w:val="20"/>
        </w:rPr>
        <w:t>transgender</w:t>
      </w:r>
      <w:r>
        <w:rPr>
          <w:spacing w:val="-2"/>
          <w:sz w:val="20"/>
        </w:rPr>
        <w:t xml:space="preserve"> </w:t>
      </w:r>
      <w:r>
        <w:rPr>
          <w:sz w:val="20"/>
        </w:rPr>
        <w:t>men. Though</w:t>
      </w:r>
      <w:r>
        <w:rPr>
          <w:spacing w:val="-11"/>
          <w:sz w:val="20"/>
        </w:rPr>
        <w:t xml:space="preserve"> </w:t>
      </w:r>
      <w:r>
        <w:rPr>
          <w:sz w:val="20"/>
        </w:rPr>
        <w:t>transgender</w:t>
      </w:r>
      <w:r>
        <w:rPr>
          <w:spacing w:val="-10"/>
          <w:sz w:val="20"/>
        </w:rPr>
        <w:t xml:space="preserve"> </w:t>
      </w:r>
      <w:r>
        <w:rPr>
          <w:sz w:val="20"/>
        </w:rPr>
        <w:t>male</w:t>
      </w:r>
      <w:r>
        <w:rPr>
          <w:spacing w:val="-11"/>
          <w:sz w:val="20"/>
        </w:rPr>
        <w:t xml:space="preserve"> </w:t>
      </w:r>
      <w:r>
        <w:rPr>
          <w:sz w:val="20"/>
        </w:rPr>
        <w:t>patients</w:t>
      </w:r>
      <w:r>
        <w:rPr>
          <w:spacing w:val="-11"/>
          <w:sz w:val="20"/>
        </w:rPr>
        <w:t xml:space="preserve"> </w:t>
      </w:r>
      <w:r>
        <w:rPr>
          <w:sz w:val="20"/>
        </w:rPr>
        <w:t>can</w:t>
      </w:r>
      <w:r>
        <w:rPr>
          <w:spacing w:val="-10"/>
          <w:sz w:val="20"/>
        </w:rPr>
        <w:t xml:space="preserve"> </w:t>
      </w:r>
      <w:r>
        <w:rPr>
          <w:sz w:val="20"/>
        </w:rPr>
        <w:t>choose</w:t>
      </w:r>
      <w:r>
        <w:rPr>
          <w:spacing w:val="-11"/>
          <w:sz w:val="20"/>
        </w:rPr>
        <w:t xml:space="preserve"> </w:t>
      </w:r>
      <w:r>
        <w:rPr>
          <w:sz w:val="20"/>
        </w:rPr>
        <w:t>CHCs,</w:t>
      </w:r>
      <w:r>
        <w:rPr>
          <w:spacing w:val="-11"/>
          <w:sz w:val="20"/>
        </w:rPr>
        <w:t xml:space="preserve"> </w:t>
      </w:r>
      <w:r>
        <w:rPr>
          <w:sz w:val="20"/>
        </w:rPr>
        <w:t>some</w:t>
      </w:r>
      <w:r>
        <w:rPr>
          <w:spacing w:val="-11"/>
          <w:sz w:val="20"/>
        </w:rPr>
        <w:t xml:space="preserve"> </w:t>
      </w:r>
      <w:r>
        <w:rPr>
          <w:sz w:val="20"/>
        </w:rPr>
        <w:t>may</w:t>
      </w:r>
      <w:r>
        <w:rPr>
          <w:spacing w:val="-10"/>
          <w:sz w:val="20"/>
        </w:rPr>
        <w:t xml:space="preserve"> </w:t>
      </w:r>
      <w:r>
        <w:rPr>
          <w:sz w:val="20"/>
        </w:rPr>
        <w:t>not</w:t>
      </w:r>
      <w:r>
        <w:rPr>
          <w:spacing w:val="-12"/>
          <w:sz w:val="20"/>
        </w:rPr>
        <w:t xml:space="preserve"> </w:t>
      </w:r>
      <w:r>
        <w:rPr>
          <w:sz w:val="20"/>
        </w:rPr>
        <w:t>prefer</w:t>
      </w:r>
      <w:r>
        <w:rPr>
          <w:spacing w:val="-10"/>
          <w:sz w:val="20"/>
        </w:rPr>
        <w:t xml:space="preserve"> </w:t>
      </w:r>
      <w:r>
        <w:rPr>
          <w:sz w:val="20"/>
        </w:rPr>
        <w:t>this</w:t>
      </w:r>
      <w:r>
        <w:rPr>
          <w:spacing w:val="-11"/>
          <w:sz w:val="20"/>
        </w:rPr>
        <w:t xml:space="preserve"> </w:t>
      </w:r>
      <w:r>
        <w:rPr>
          <w:sz w:val="20"/>
        </w:rPr>
        <w:t>method</w:t>
      </w:r>
      <w:r>
        <w:rPr>
          <w:spacing w:val="-10"/>
          <w:sz w:val="20"/>
        </w:rPr>
        <w:t xml:space="preserve"> </w:t>
      </w:r>
      <w:r>
        <w:rPr>
          <w:sz w:val="20"/>
        </w:rPr>
        <w:t>due</w:t>
      </w:r>
      <w:r>
        <w:rPr>
          <w:spacing w:val="-11"/>
          <w:sz w:val="20"/>
        </w:rPr>
        <w:t xml:space="preserve"> </w:t>
      </w:r>
      <w:r>
        <w:rPr>
          <w:sz w:val="20"/>
        </w:rPr>
        <w:t>to</w:t>
      </w:r>
      <w:r>
        <w:rPr>
          <w:spacing w:val="-11"/>
          <w:sz w:val="20"/>
        </w:rPr>
        <w:t xml:space="preserve"> </w:t>
      </w:r>
      <w:r>
        <w:rPr>
          <w:sz w:val="20"/>
        </w:rPr>
        <w:t>concerns</w:t>
      </w:r>
      <w:r>
        <w:rPr>
          <w:spacing w:val="-11"/>
          <w:sz w:val="20"/>
        </w:rPr>
        <w:t xml:space="preserve"> </w:t>
      </w:r>
      <w:r>
        <w:rPr>
          <w:sz w:val="20"/>
        </w:rPr>
        <w:t>about</w:t>
      </w:r>
      <w:r>
        <w:rPr>
          <w:spacing w:val="-12"/>
          <w:sz w:val="20"/>
        </w:rPr>
        <w:t xml:space="preserve"> </w:t>
      </w:r>
      <w:r>
        <w:rPr>
          <w:sz w:val="20"/>
        </w:rPr>
        <w:t>having estrogen in their system and for potential feminizing traits to appear.</w:t>
      </w:r>
      <w:hyperlink w:anchor="_bookmark469" w:history="1">
        <w:r>
          <w:rPr>
            <w:sz w:val="20"/>
            <w:vertAlign w:val="superscript"/>
          </w:rPr>
          <w:t>23</w:t>
        </w:r>
      </w:hyperlink>
    </w:p>
    <w:p w:rsidR="00200FDA" w:rsidRDefault="00200FDA">
      <w:pPr>
        <w:pStyle w:val="BodyText"/>
        <w:spacing w:before="8"/>
        <w:rPr>
          <w:sz w:val="19"/>
        </w:rPr>
      </w:pPr>
    </w:p>
    <w:p w:rsidR="00200FDA" w:rsidRDefault="00F76C4C">
      <w:pPr>
        <w:spacing w:line="264" w:lineRule="auto"/>
        <w:ind w:left="139" w:right="336"/>
        <w:jc w:val="both"/>
        <w:rPr>
          <w:sz w:val="20"/>
        </w:rPr>
      </w:pPr>
      <w:r>
        <w:rPr>
          <w:sz w:val="20"/>
        </w:rPr>
        <w:t>Non-hormonal contraceptives, such as the copper IUD, does not interfere with testosterone, but there are risks of bleeding, both insertion and menstrual bleeding, which may not be ideal for transgender men and nonbinary patients experiencing gender dysmorp</w:t>
      </w:r>
      <w:r>
        <w:rPr>
          <w:sz w:val="20"/>
        </w:rPr>
        <w:t>hia.</w:t>
      </w:r>
      <w:hyperlink w:anchor="_bookmark470" w:history="1">
        <w:r>
          <w:rPr>
            <w:sz w:val="20"/>
            <w:vertAlign w:val="superscript"/>
          </w:rPr>
          <w:t>24</w:t>
        </w:r>
      </w:hyperlink>
      <w:r>
        <w:rPr>
          <w:spacing w:val="-3"/>
          <w:sz w:val="20"/>
        </w:rPr>
        <w:t xml:space="preserve"> </w:t>
      </w:r>
      <w:r>
        <w:rPr>
          <w:sz w:val="20"/>
        </w:rPr>
        <w:t>However, some transmasculine patients elect to have an IUD because they may prefer not to take birth control pills daily as this task can be associated with cisgender women.</w:t>
      </w:r>
      <w:hyperlink w:anchor="_bookmark471" w:history="1">
        <w:r>
          <w:rPr>
            <w:sz w:val="20"/>
            <w:vertAlign w:val="superscript"/>
          </w:rPr>
          <w:t>25</w:t>
        </w:r>
      </w:hyperlink>
      <w:r>
        <w:rPr>
          <w:spacing w:val="-2"/>
          <w:sz w:val="20"/>
        </w:rPr>
        <w:t xml:space="preserve"> </w:t>
      </w:r>
      <w:r>
        <w:rPr>
          <w:sz w:val="20"/>
        </w:rPr>
        <w:t>LGBTQ- fo</w:t>
      </w:r>
      <w:r>
        <w:rPr>
          <w:sz w:val="20"/>
        </w:rPr>
        <w:t>cused</w:t>
      </w:r>
      <w:r>
        <w:rPr>
          <w:spacing w:val="-5"/>
          <w:sz w:val="20"/>
        </w:rPr>
        <w:t xml:space="preserve"> </w:t>
      </w:r>
      <w:r>
        <w:rPr>
          <w:sz w:val="20"/>
        </w:rPr>
        <w:t>healthcare</w:t>
      </w:r>
      <w:r>
        <w:rPr>
          <w:spacing w:val="-6"/>
          <w:sz w:val="20"/>
        </w:rPr>
        <w:t xml:space="preserve"> </w:t>
      </w:r>
      <w:r>
        <w:rPr>
          <w:sz w:val="20"/>
        </w:rPr>
        <w:t>providers</w:t>
      </w:r>
      <w:r>
        <w:rPr>
          <w:spacing w:val="-4"/>
          <w:sz w:val="20"/>
        </w:rPr>
        <w:t xml:space="preserve"> </w:t>
      </w:r>
      <w:r>
        <w:rPr>
          <w:sz w:val="20"/>
        </w:rPr>
        <w:t>should</w:t>
      </w:r>
      <w:r>
        <w:rPr>
          <w:spacing w:val="-5"/>
          <w:sz w:val="20"/>
        </w:rPr>
        <w:t xml:space="preserve"> </w:t>
      </w:r>
      <w:r>
        <w:rPr>
          <w:sz w:val="20"/>
        </w:rPr>
        <w:t>be</w:t>
      </w:r>
      <w:r>
        <w:rPr>
          <w:spacing w:val="-6"/>
          <w:sz w:val="20"/>
        </w:rPr>
        <w:t xml:space="preserve"> </w:t>
      </w:r>
      <w:r>
        <w:rPr>
          <w:sz w:val="20"/>
        </w:rPr>
        <w:t>equipped</w:t>
      </w:r>
      <w:r>
        <w:rPr>
          <w:spacing w:val="-5"/>
          <w:sz w:val="20"/>
        </w:rPr>
        <w:t xml:space="preserve"> </w:t>
      </w:r>
      <w:r>
        <w:rPr>
          <w:sz w:val="20"/>
        </w:rPr>
        <w:t>with</w:t>
      </w:r>
      <w:r>
        <w:rPr>
          <w:spacing w:val="-5"/>
          <w:sz w:val="20"/>
        </w:rPr>
        <w:t xml:space="preserve"> </w:t>
      </w:r>
      <w:r>
        <w:rPr>
          <w:sz w:val="20"/>
        </w:rPr>
        <w:t>this</w:t>
      </w:r>
      <w:r>
        <w:rPr>
          <w:spacing w:val="-7"/>
          <w:sz w:val="20"/>
        </w:rPr>
        <w:t xml:space="preserve"> </w:t>
      </w:r>
      <w:r>
        <w:rPr>
          <w:sz w:val="20"/>
        </w:rPr>
        <w:t>medical</w:t>
      </w:r>
      <w:r>
        <w:rPr>
          <w:spacing w:val="-6"/>
          <w:sz w:val="20"/>
        </w:rPr>
        <w:t xml:space="preserve"> </w:t>
      </w:r>
      <w:r>
        <w:rPr>
          <w:sz w:val="20"/>
        </w:rPr>
        <w:t>information</w:t>
      </w:r>
      <w:r>
        <w:rPr>
          <w:spacing w:val="-5"/>
          <w:sz w:val="20"/>
        </w:rPr>
        <w:t xml:space="preserve"> </w:t>
      </w:r>
      <w:r>
        <w:rPr>
          <w:sz w:val="20"/>
        </w:rPr>
        <w:t>and</w:t>
      </w:r>
      <w:r>
        <w:rPr>
          <w:spacing w:val="-5"/>
          <w:sz w:val="20"/>
        </w:rPr>
        <w:t xml:space="preserve"> </w:t>
      </w:r>
      <w:r>
        <w:rPr>
          <w:sz w:val="20"/>
        </w:rPr>
        <w:t>familiarize</w:t>
      </w:r>
      <w:r>
        <w:rPr>
          <w:spacing w:val="-6"/>
          <w:sz w:val="20"/>
        </w:rPr>
        <w:t xml:space="preserve"> </w:t>
      </w:r>
      <w:r>
        <w:rPr>
          <w:sz w:val="20"/>
        </w:rPr>
        <w:t>themselves</w:t>
      </w:r>
      <w:r>
        <w:rPr>
          <w:spacing w:val="-7"/>
          <w:sz w:val="20"/>
        </w:rPr>
        <w:t xml:space="preserve"> </w:t>
      </w:r>
      <w:r>
        <w:rPr>
          <w:sz w:val="20"/>
        </w:rPr>
        <w:t>with</w:t>
      </w:r>
      <w:r>
        <w:rPr>
          <w:spacing w:val="-5"/>
          <w:sz w:val="20"/>
        </w:rPr>
        <w:t xml:space="preserve"> </w:t>
      </w:r>
      <w:r>
        <w:rPr>
          <w:sz w:val="20"/>
        </w:rPr>
        <w:t>the nuances</w:t>
      </w:r>
      <w:r>
        <w:rPr>
          <w:spacing w:val="-12"/>
          <w:sz w:val="20"/>
        </w:rPr>
        <w:t xml:space="preserve"> </w:t>
      </w:r>
      <w:r>
        <w:rPr>
          <w:sz w:val="20"/>
        </w:rPr>
        <w:t>of</w:t>
      </w:r>
      <w:r>
        <w:rPr>
          <w:spacing w:val="-11"/>
          <w:sz w:val="20"/>
        </w:rPr>
        <w:t xml:space="preserve"> </w:t>
      </w:r>
      <w:r>
        <w:rPr>
          <w:sz w:val="20"/>
        </w:rPr>
        <w:t>the</w:t>
      </w:r>
      <w:r>
        <w:rPr>
          <w:spacing w:val="-11"/>
          <w:sz w:val="20"/>
        </w:rPr>
        <w:t xml:space="preserve"> </w:t>
      </w:r>
      <w:r>
        <w:rPr>
          <w:sz w:val="20"/>
        </w:rPr>
        <w:t>reproductive</w:t>
      </w:r>
      <w:r>
        <w:rPr>
          <w:spacing w:val="-11"/>
          <w:sz w:val="20"/>
        </w:rPr>
        <w:t xml:space="preserve"> </w:t>
      </w:r>
      <w:r>
        <w:rPr>
          <w:sz w:val="20"/>
        </w:rPr>
        <w:t>healthcare</w:t>
      </w:r>
      <w:r>
        <w:rPr>
          <w:spacing w:val="-11"/>
          <w:sz w:val="20"/>
        </w:rPr>
        <w:t xml:space="preserve"> </w:t>
      </w:r>
      <w:r>
        <w:rPr>
          <w:sz w:val="20"/>
        </w:rPr>
        <w:t>needs</w:t>
      </w:r>
      <w:r>
        <w:rPr>
          <w:spacing w:val="-11"/>
          <w:sz w:val="20"/>
        </w:rPr>
        <w:t xml:space="preserve"> </w:t>
      </w:r>
      <w:r>
        <w:rPr>
          <w:sz w:val="20"/>
        </w:rPr>
        <w:t>of</w:t>
      </w:r>
      <w:r>
        <w:rPr>
          <w:spacing w:val="-11"/>
          <w:sz w:val="20"/>
        </w:rPr>
        <w:t xml:space="preserve"> </w:t>
      </w:r>
      <w:r>
        <w:rPr>
          <w:sz w:val="20"/>
        </w:rPr>
        <w:t>LGBTQ</w:t>
      </w:r>
      <w:r>
        <w:rPr>
          <w:spacing w:val="-10"/>
          <w:sz w:val="20"/>
        </w:rPr>
        <w:t xml:space="preserve"> </w:t>
      </w:r>
      <w:r>
        <w:rPr>
          <w:sz w:val="20"/>
        </w:rPr>
        <w:t>youth</w:t>
      </w:r>
      <w:r>
        <w:rPr>
          <w:spacing w:val="-10"/>
          <w:sz w:val="20"/>
        </w:rPr>
        <w:t xml:space="preserve"> </w:t>
      </w:r>
      <w:r>
        <w:rPr>
          <w:sz w:val="20"/>
        </w:rPr>
        <w:t>in</w:t>
      </w:r>
      <w:r>
        <w:rPr>
          <w:spacing w:val="-12"/>
          <w:sz w:val="20"/>
        </w:rPr>
        <w:t xml:space="preserve"> </w:t>
      </w:r>
      <w:r>
        <w:rPr>
          <w:sz w:val="20"/>
        </w:rPr>
        <w:t>order</w:t>
      </w:r>
      <w:r>
        <w:rPr>
          <w:spacing w:val="-10"/>
          <w:sz w:val="20"/>
        </w:rPr>
        <w:t xml:space="preserve"> </w:t>
      </w:r>
      <w:r>
        <w:rPr>
          <w:sz w:val="20"/>
        </w:rPr>
        <w:t>to</w:t>
      </w:r>
      <w:r>
        <w:rPr>
          <w:spacing w:val="-12"/>
          <w:sz w:val="20"/>
        </w:rPr>
        <w:t xml:space="preserve"> </w:t>
      </w:r>
      <w:r>
        <w:rPr>
          <w:sz w:val="20"/>
        </w:rPr>
        <w:t>empower</w:t>
      </w:r>
      <w:r>
        <w:rPr>
          <w:spacing w:val="-10"/>
          <w:sz w:val="20"/>
        </w:rPr>
        <w:t xml:space="preserve"> </w:t>
      </w:r>
      <w:r>
        <w:rPr>
          <w:sz w:val="20"/>
        </w:rPr>
        <w:t>their</w:t>
      </w:r>
      <w:r>
        <w:rPr>
          <w:spacing w:val="-10"/>
          <w:sz w:val="20"/>
        </w:rPr>
        <w:t xml:space="preserve"> </w:t>
      </w:r>
      <w:r>
        <w:rPr>
          <w:sz w:val="20"/>
        </w:rPr>
        <w:t>transgender</w:t>
      </w:r>
      <w:r>
        <w:rPr>
          <w:spacing w:val="-10"/>
          <w:sz w:val="20"/>
        </w:rPr>
        <w:t xml:space="preserve"> </w:t>
      </w:r>
      <w:r>
        <w:rPr>
          <w:sz w:val="20"/>
        </w:rPr>
        <w:t>and</w:t>
      </w:r>
      <w:r>
        <w:rPr>
          <w:spacing w:val="-10"/>
          <w:sz w:val="20"/>
        </w:rPr>
        <w:t xml:space="preserve"> </w:t>
      </w:r>
      <w:r>
        <w:rPr>
          <w:sz w:val="20"/>
        </w:rPr>
        <w:t>nonbinary patients when considering birth control options while going through gender-affirming hormone therapy. There is currently no evidence-based guidelines to draw from in offering contraception to transmasculine individuals who are on hormone-based th</w:t>
      </w:r>
      <w:r>
        <w:rPr>
          <w:sz w:val="20"/>
        </w:rPr>
        <w:t>erapy and typically, empirical assumptions have been that all contraception available to</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spacing w:before="66" w:line="261" w:lineRule="auto"/>
        <w:ind w:left="140" w:right="339" w:hanging="1"/>
        <w:jc w:val="both"/>
        <w:rPr>
          <w:sz w:val="20"/>
        </w:rPr>
      </w:pPr>
      <w:r>
        <w:rPr>
          <w:sz w:val="20"/>
        </w:rPr>
        <w:lastRenderedPageBreak/>
        <w:t>cisgender women are all viable options for transgender and nonbinary patients.</w:t>
      </w:r>
      <w:hyperlink w:anchor="_bookmark472" w:history="1">
        <w:r>
          <w:rPr>
            <w:sz w:val="20"/>
            <w:vertAlign w:val="superscript"/>
          </w:rPr>
          <w:t>26</w:t>
        </w:r>
      </w:hyperlink>
      <w:r>
        <w:rPr>
          <w:spacing w:val="-3"/>
          <w:sz w:val="20"/>
        </w:rPr>
        <w:t xml:space="preserve"> </w:t>
      </w:r>
      <w:r>
        <w:rPr>
          <w:sz w:val="20"/>
        </w:rPr>
        <w:t>More research is needed on the interacti</w:t>
      </w:r>
      <w:r>
        <w:rPr>
          <w:sz w:val="20"/>
        </w:rPr>
        <w:t>ons and effects between contraceptives containing estrogen and testosterone therapy.</w:t>
      </w:r>
    </w:p>
    <w:p w:rsidR="00200FDA" w:rsidRDefault="00200FDA">
      <w:pPr>
        <w:pStyle w:val="BodyText"/>
        <w:rPr>
          <w:sz w:val="20"/>
        </w:rPr>
      </w:pPr>
    </w:p>
    <w:p w:rsidR="00200FDA" w:rsidRDefault="00200FDA">
      <w:pPr>
        <w:pStyle w:val="BodyText"/>
        <w:spacing w:before="2"/>
        <w:rPr>
          <w:sz w:val="21"/>
        </w:rPr>
      </w:pPr>
    </w:p>
    <w:p w:rsidR="00200FDA" w:rsidRDefault="00F76C4C">
      <w:pPr>
        <w:pStyle w:val="Heading8"/>
        <w:jc w:val="left"/>
      </w:pPr>
      <w:bookmarkStart w:id="583" w:name="Fertility_Preservation"/>
      <w:bookmarkEnd w:id="583"/>
      <w:r>
        <w:rPr>
          <w:color w:val="2E5395"/>
        </w:rPr>
        <w:t>Fertility</w:t>
      </w:r>
      <w:r>
        <w:rPr>
          <w:color w:val="2E5395"/>
          <w:spacing w:val="-1"/>
        </w:rPr>
        <w:t xml:space="preserve"> </w:t>
      </w:r>
      <w:r>
        <w:rPr>
          <w:color w:val="2E5395"/>
          <w:spacing w:val="-2"/>
        </w:rPr>
        <w:t>Preservation</w:t>
      </w:r>
    </w:p>
    <w:p w:rsidR="00200FDA" w:rsidRDefault="00200FDA">
      <w:pPr>
        <w:pStyle w:val="BodyText"/>
        <w:spacing w:before="10"/>
        <w:rPr>
          <w:sz w:val="19"/>
        </w:rPr>
      </w:pPr>
    </w:p>
    <w:p w:rsidR="00200FDA" w:rsidRDefault="00F76C4C">
      <w:pPr>
        <w:spacing w:line="264" w:lineRule="auto"/>
        <w:ind w:left="139" w:right="337"/>
        <w:jc w:val="both"/>
        <w:rPr>
          <w:sz w:val="20"/>
        </w:rPr>
      </w:pPr>
      <w:r>
        <w:rPr>
          <w:sz w:val="20"/>
        </w:rPr>
        <w:t>Counseling on fertility and reproductive options is recommended prior to the initiation of puberty blockers or gender-affirming hormones for tran</w:t>
      </w:r>
      <w:r>
        <w:rPr>
          <w:sz w:val="20"/>
        </w:rPr>
        <w:t>sgender youth. Studies have shown that around half of transgender adults wished</w:t>
      </w:r>
      <w:r>
        <w:rPr>
          <w:spacing w:val="-7"/>
          <w:sz w:val="20"/>
        </w:rPr>
        <w:t xml:space="preserve"> </w:t>
      </w:r>
      <w:r>
        <w:rPr>
          <w:sz w:val="20"/>
        </w:rPr>
        <w:t>to</w:t>
      </w:r>
      <w:r>
        <w:rPr>
          <w:spacing w:val="-7"/>
          <w:sz w:val="20"/>
        </w:rPr>
        <w:t xml:space="preserve"> </w:t>
      </w:r>
      <w:r>
        <w:rPr>
          <w:sz w:val="20"/>
        </w:rPr>
        <w:t>have</w:t>
      </w:r>
      <w:r>
        <w:rPr>
          <w:spacing w:val="-9"/>
          <w:sz w:val="20"/>
        </w:rPr>
        <w:t xml:space="preserve"> </w:t>
      </w:r>
      <w:r>
        <w:rPr>
          <w:sz w:val="20"/>
        </w:rPr>
        <w:t>children,</w:t>
      </w:r>
      <w:r>
        <w:rPr>
          <w:spacing w:val="-7"/>
          <w:sz w:val="20"/>
        </w:rPr>
        <w:t xml:space="preserve"> </w:t>
      </w:r>
      <w:r>
        <w:rPr>
          <w:sz w:val="20"/>
        </w:rPr>
        <w:t>and</w:t>
      </w:r>
      <w:r>
        <w:rPr>
          <w:spacing w:val="-11"/>
          <w:sz w:val="20"/>
        </w:rPr>
        <w:t xml:space="preserve"> </w:t>
      </w:r>
      <w:r>
        <w:rPr>
          <w:sz w:val="20"/>
        </w:rPr>
        <w:t>more</w:t>
      </w:r>
      <w:r>
        <w:rPr>
          <w:spacing w:val="-9"/>
          <w:sz w:val="20"/>
        </w:rPr>
        <w:t xml:space="preserve"> </w:t>
      </w:r>
      <w:r>
        <w:rPr>
          <w:sz w:val="20"/>
        </w:rPr>
        <w:t>than</w:t>
      </w:r>
      <w:r>
        <w:rPr>
          <w:spacing w:val="-7"/>
          <w:sz w:val="20"/>
        </w:rPr>
        <w:t xml:space="preserve"> </w:t>
      </w:r>
      <w:r>
        <w:rPr>
          <w:sz w:val="20"/>
        </w:rPr>
        <w:t>a</w:t>
      </w:r>
      <w:r>
        <w:rPr>
          <w:spacing w:val="-7"/>
          <w:sz w:val="20"/>
        </w:rPr>
        <w:t xml:space="preserve"> </w:t>
      </w:r>
      <w:r>
        <w:rPr>
          <w:sz w:val="20"/>
        </w:rPr>
        <w:t>third</w:t>
      </w:r>
      <w:r>
        <w:rPr>
          <w:spacing w:val="-9"/>
          <w:sz w:val="20"/>
        </w:rPr>
        <w:t xml:space="preserve"> </w:t>
      </w:r>
      <w:r>
        <w:rPr>
          <w:sz w:val="20"/>
        </w:rPr>
        <w:t>of</w:t>
      </w:r>
      <w:r>
        <w:rPr>
          <w:spacing w:val="-9"/>
          <w:sz w:val="20"/>
        </w:rPr>
        <w:t xml:space="preserve"> </w:t>
      </w:r>
      <w:r>
        <w:rPr>
          <w:sz w:val="20"/>
        </w:rPr>
        <w:t>transmasculine</w:t>
      </w:r>
      <w:r>
        <w:rPr>
          <w:spacing w:val="-9"/>
          <w:sz w:val="20"/>
        </w:rPr>
        <w:t xml:space="preserve"> </w:t>
      </w:r>
      <w:r>
        <w:rPr>
          <w:sz w:val="20"/>
        </w:rPr>
        <w:t>adults</w:t>
      </w:r>
      <w:r>
        <w:rPr>
          <w:spacing w:val="-9"/>
          <w:sz w:val="20"/>
        </w:rPr>
        <w:t xml:space="preserve"> </w:t>
      </w:r>
      <w:r>
        <w:rPr>
          <w:sz w:val="20"/>
        </w:rPr>
        <w:t>and</w:t>
      </w:r>
      <w:r>
        <w:rPr>
          <w:spacing w:val="-7"/>
          <w:sz w:val="20"/>
        </w:rPr>
        <w:t xml:space="preserve"> </w:t>
      </w:r>
      <w:r>
        <w:rPr>
          <w:sz w:val="20"/>
        </w:rPr>
        <w:t>half</w:t>
      </w:r>
      <w:r>
        <w:rPr>
          <w:spacing w:val="-9"/>
          <w:sz w:val="20"/>
        </w:rPr>
        <w:t xml:space="preserve"> </w:t>
      </w:r>
      <w:r>
        <w:rPr>
          <w:sz w:val="20"/>
        </w:rPr>
        <w:t>of</w:t>
      </w:r>
      <w:r>
        <w:rPr>
          <w:spacing w:val="-9"/>
          <w:sz w:val="20"/>
        </w:rPr>
        <w:t xml:space="preserve"> </w:t>
      </w:r>
      <w:r>
        <w:rPr>
          <w:sz w:val="20"/>
        </w:rPr>
        <w:t>transfeminine</w:t>
      </w:r>
      <w:r>
        <w:rPr>
          <w:spacing w:val="-9"/>
          <w:sz w:val="20"/>
        </w:rPr>
        <w:t xml:space="preserve"> </w:t>
      </w:r>
      <w:r>
        <w:rPr>
          <w:sz w:val="20"/>
        </w:rPr>
        <w:t>adults</w:t>
      </w:r>
      <w:r>
        <w:rPr>
          <w:spacing w:val="-9"/>
          <w:sz w:val="20"/>
        </w:rPr>
        <w:t xml:space="preserve"> </w:t>
      </w:r>
      <w:r>
        <w:rPr>
          <w:sz w:val="20"/>
        </w:rPr>
        <w:t>report</w:t>
      </w:r>
      <w:r>
        <w:rPr>
          <w:spacing w:val="-7"/>
          <w:sz w:val="20"/>
        </w:rPr>
        <w:t xml:space="preserve"> </w:t>
      </w:r>
      <w:r>
        <w:rPr>
          <w:sz w:val="20"/>
        </w:rPr>
        <w:t>they would have considered preserving reproductive gametes had this been an available option for them.</w:t>
      </w:r>
      <w:hyperlink w:anchor="_bookmark473" w:history="1">
        <w:r>
          <w:rPr>
            <w:sz w:val="20"/>
            <w:vertAlign w:val="superscript"/>
          </w:rPr>
          <w:t>27</w:t>
        </w:r>
      </w:hyperlink>
      <w:r>
        <w:rPr>
          <w:spacing w:val="-3"/>
          <w:sz w:val="20"/>
        </w:rPr>
        <w:t xml:space="preserve"> </w:t>
      </w:r>
      <w:r>
        <w:rPr>
          <w:sz w:val="20"/>
        </w:rPr>
        <w:t>Although fertility</w:t>
      </w:r>
      <w:r>
        <w:rPr>
          <w:spacing w:val="-8"/>
          <w:sz w:val="20"/>
        </w:rPr>
        <w:t xml:space="preserve"> </w:t>
      </w:r>
      <w:r>
        <w:rPr>
          <w:sz w:val="20"/>
        </w:rPr>
        <w:t>preservation</w:t>
      </w:r>
      <w:r>
        <w:rPr>
          <w:spacing w:val="-8"/>
          <w:sz w:val="20"/>
        </w:rPr>
        <w:t xml:space="preserve"> </w:t>
      </w:r>
      <w:r>
        <w:rPr>
          <w:sz w:val="20"/>
        </w:rPr>
        <w:t>services</w:t>
      </w:r>
      <w:r>
        <w:rPr>
          <w:spacing w:val="-8"/>
          <w:sz w:val="20"/>
        </w:rPr>
        <w:t xml:space="preserve"> </w:t>
      </w:r>
      <w:r>
        <w:rPr>
          <w:sz w:val="20"/>
        </w:rPr>
        <w:t>are</w:t>
      </w:r>
      <w:r>
        <w:rPr>
          <w:spacing w:val="-8"/>
          <w:sz w:val="20"/>
        </w:rPr>
        <w:t xml:space="preserve"> </w:t>
      </w:r>
      <w:r>
        <w:rPr>
          <w:sz w:val="20"/>
        </w:rPr>
        <w:t>routinely</w:t>
      </w:r>
      <w:r>
        <w:rPr>
          <w:spacing w:val="-8"/>
          <w:sz w:val="20"/>
        </w:rPr>
        <w:t xml:space="preserve"> </w:t>
      </w:r>
      <w:r>
        <w:rPr>
          <w:sz w:val="20"/>
        </w:rPr>
        <w:t>offered,</w:t>
      </w:r>
      <w:r>
        <w:rPr>
          <w:spacing w:val="-8"/>
          <w:sz w:val="20"/>
        </w:rPr>
        <w:t xml:space="preserve"> </w:t>
      </w:r>
      <w:r>
        <w:rPr>
          <w:sz w:val="20"/>
        </w:rPr>
        <w:t>reports</w:t>
      </w:r>
      <w:r>
        <w:rPr>
          <w:spacing w:val="-8"/>
          <w:sz w:val="20"/>
        </w:rPr>
        <w:t xml:space="preserve"> </w:t>
      </w:r>
      <w:r>
        <w:rPr>
          <w:sz w:val="20"/>
        </w:rPr>
        <w:t>have</w:t>
      </w:r>
      <w:r>
        <w:rPr>
          <w:spacing w:val="-8"/>
          <w:sz w:val="20"/>
        </w:rPr>
        <w:t xml:space="preserve"> </w:t>
      </w:r>
      <w:r>
        <w:rPr>
          <w:sz w:val="20"/>
        </w:rPr>
        <w:t>shown</w:t>
      </w:r>
      <w:r>
        <w:rPr>
          <w:spacing w:val="-8"/>
          <w:sz w:val="20"/>
        </w:rPr>
        <w:t xml:space="preserve"> </w:t>
      </w:r>
      <w:r>
        <w:rPr>
          <w:sz w:val="20"/>
        </w:rPr>
        <w:t>that</w:t>
      </w:r>
      <w:r>
        <w:rPr>
          <w:spacing w:val="-8"/>
          <w:sz w:val="20"/>
        </w:rPr>
        <w:t xml:space="preserve"> </w:t>
      </w:r>
      <w:r>
        <w:rPr>
          <w:sz w:val="20"/>
        </w:rPr>
        <w:t>only</w:t>
      </w:r>
      <w:r>
        <w:rPr>
          <w:spacing w:val="-8"/>
          <w:sz w:val="20"/>
        </w:rPr>
        <w:t xml:space="preserve"> </w:t>
      </w:r>
      <w:r>
        <w:rPr>
          <w:sz w:val="20"/>
        </w:rPr>
        <w:t>between</w:t>
      </w:r>
      <w:r>
        <w:rPr>
          <w:spacing w:val="-8"/>
          <w:sz w:val="20"/>
        </w:rPr>
        <w:t xml:space="preserve"> </w:t>
      </w:r>
      <w:r>
        <w:rPr>
          <w:sz w:val="20"/>
        </w:rPr>
        <w:t>0%-2%</w:t>
      </w:r>
      <w:r>
        <w:rPr>
          <w:spacing w:val="-9"/>
          <w:sz w:val="20"/>
        </w:rPr>
        <w:t xml:space="preserve"> </w:t>
      </w:r>
      <w:r>
        <w:rPr>
          <w:sz w:val="20"/>
        </w:rPr>
        <w:t>of</w:t>
      </w:r>
      <w:r>
        <w:rPr>
          <w:spacing w:val="-9"/>
          <w:sz w:val="20"/>
        </w:rPr>
        <w:t xml:space="preserve"> </w:t>
      </w:r>
      <w:r>
        <w:rPr>
          <w:sz w:val="20"/>
        </w:rPr>
        <w:t>transmasc</w:t>
      </w:r>
      <w:r>
        <w:rPr>
          <w:sz w:val="20"/>
        </w:rPr>
        <w:t>uline youth</w:t>
      </w:r>
      <w:r>
        <w:rPr>
          <w:spacing w:val="-12"/>
          <w:sz w:val="20"/>
        </w:rPr>
        <w:t xml:space="preserve"> </w:t>
      </w:r>
      <w:r>
        <w:rPr>
          <w:sz w:val="20"/>
        </w:rPr>
        <w:t>and</w:t>
      </w:r>
      <w:r>
        <w:rPr>
          <w:spacing w:val="-10"/>
          <w:sz w:val="20"/>
        </w:rPr>
        <w:t xml:space="preserve"> </w:t>
      </w:r>
      <w:r>
        <w:rPr>
          <w:sz w:val="20"/>
        </w:rPr>
        <w:t>8%-14%</w:t>
      </w:r>
      <w:r>
        <w:rPr>
          <w:spacing w:val="-11"/>
          <w:sz w:val="20"/>
        </w:rPr>
        <w:t xml:space="preserve"> </w:t>
      </w:r>
      <w:r>
        <w:rPr>
          <w:sz w:val="20"/>
        </w:rPr>
        <w:t>of</w:t>
      </w:r>
      <w:r>
        <w:rPr>
          <w:spacing w:val="-12"/>
          <w:sz w:val="20"/>
        </w:rPr>
        <w:t xml:space="preserve"> </w:t>
      </w:r>
      <w:r>
        <w:rPr>
          <w:sz w:val="20"/>
        </w:rPr>
        <w:t>transfeminine</w:t>
      </w:r>
      <w:r>
        <w:rPr>
          <w:spacing w:val="-11"/>
          <w:sz w:val="20"/>
        </w:rPr>
        <w:t xml:space="preserve"> </w:t>
      </w:r>
      <w:r>
        <w:rPr>
          <w:sz w:val="20"/>
        </w:rPr>
        <w:t>youth</w:t>
      </w:r>
      <w:r>
        <w:rPr>
          <w:spacing w:val="-10"/>
          <w:sz w:val="20"/>
        </w:rPr>
        <w:t xml:space="preserve"> </w:t>
      </w:r>
      <w:r>
        <w:rPr>
          <w:sz w:val="20"/>
        </w:rPr>
        <w:t>complete</w:t>
      </w:r>
      <w:r>
        <w:rPr>
          <w:spacing w:val="-12"/>
          <w:sz w:val="20"/>
        </w:rPr>
        <w:t xml:space="preserve"> </w:t>
      </w:r>
      <w:r>
        <w:rPr>
          <w:sz w:val="20"/>
        </w:rPr>
        <w:t>fertility</w:t>
      </w:r>
      <w:r>
        <w:rPr>
          <w:spacing w:val="-10"/>
          <w:sz w:val="20"/>
        </w:rPr>
        <w:t xml:space="preserve"> </w:t>
      </w:r>
      <w:r>
        <w:rPr>
          <w:sz w:val="20"/>
        </w:rPr>
        <w:t>preservations</w:t>
      </w:r>
      <w:r>
        <w:rPr>
          <w:spacing w:val="-11"/>
          <w:sz w:val="20"/>
        </w:rPr>
        <w:t xml:space="preserve"> </w:t>
      </w:r>
      <w:r>
        <w:rPr>
          <w:sz w:val="20"/>
        </w:rPr>
        <w:t>prior</w:t>
      </w:r>
      <w:r>
        <w:rPr>
          <w:spacing w:val="-11"/>
          <w:sz w:val="20"/>
        </w:rPr>
        <w:t xml:space="preserve"> </w:t>
      </w:r>
      <w:r>
        <w:rPr>
          <w:sz w:val="20"/>
        </w:rPr>
        <w:t>to</w:t>
      </w:r>
      <w:r>
        <w:rPr>
          <w:spacing w:val="-11"/>
          <w:sz w:val="20"/>
        </w:rPr>
        <w:t xml:space="preserve"> </w:t>
      </w:r>
      <w:r>
        <w:rPr>
          <w:sz w:val="20"/>
        </w:rPr>
        <w:t>starting</w:t>
      </w:r>
      <w:r>
        <w:rPr>
          <w:spacing w:val="-11"/>
          <w:sz w:val="20"/>
        </w:rPr>
        <w:t xml:space="preserve"> </w:t>
      </w:r>
      <w:r>
        <w:rPr>
          <w:sz w:val="20"/>
        </w:rPr>
        <w:t>gender-affirming</w:t>
      </w:r>
      <w:r>
        <w:rPr>
          <w:spacing w:val="-11"/>
          <w:sz w:val="20"/>
        </w:rPr>
        <w:t xml:space="preserve"> </w:t>
      </w:r>
      <w:r>
        <w:rPr>
          <w:sz w:val="20"/>
        </w:rPr>
        <w:t>medical treatment.</w:t>
      </w:r>
      <w:hyperlink w:anchor="_bookmark474" w:history="1">
        <w:r>
          <w:rPr>
            <w:sz w:val="20"/>
            <w:vertAlign w:val="superscript"/>
          </w:rPr>
          <w:t>28</w:t>
        </w:r>
      </w:hyperlink>
      <w:r>
        <w:rPr>
          <w:sz w:val="20"/>
        </w:rPr>
        <w:t xml:space="preserve"> There are numerous factors that pose barriers to transgender youth receiving fertility pr</w:t>
      </w:r>
      <w:r>
        <w:rPr>
          <w:sz w:val="20"/>
        </w:rPr>
        <w:t>eservation services, including dysphoria related to fertility preservation procedures, invasiveness of procedures, cost, lack of coverage of these services by insurance, concerns about delaying or pausing gender-affirming care to undergo fertility preserva</w:t>
      </w:r>
      <w:r>
        <w:rPr>
          <w:sz w:val="20"/>
        </w:rPr>
        <w:t>tion, and lack of affirming providers and facilities that offer fertility preservation.</w:t>
      </w:r>
      <w:hyperlink w:anchor="_bookmark475" w:history="1">
        <w:r>
          <w:rPr>
            <w:sz w:val="20"/>
            <w:vertAlign w:val="superscript"/>
          </w:rPr>
          <w:t>29</w:t>
        </w:r>
      </w:hyperlink>
    </w:p>
    <w:p w:rsidR="00200FDA" w:rsidRDefault="00200FDA">
      <w:pPr>
        <w:pStyle w:val="BodyText"/>
      </w:pPr>
    </w:p>
    <w:p w:rsidR="00200FDA" w:rsidRDefault="00F76C4C">
      <w:pPr>
        <w:pStyle w:val="Heading8"/>
        <w:spacing w:before="183"/>
        <w:jc w:val="left"/>
      </w:pPr>
      <w:bookmarkStart w:id="584" w:name="Pregnancy"/>
      <w:bookmarkEnd w:id="584"/>
      <w:r>
        <w:rPr>
          <w:color w:val="2E5395"/>
          <w:spacing w:val="-2"/>
        </w:rPr>
        <w:t>Pregnancy</w:t>
      </w:r>
    </w:p>
    <w:p w:rsidR="00200FDA" w:rsidRDefault="00200FDA">
      <w:pPr>
        <w:pStyle w:val="BodyText"/>
        <w:spacing w:before="10"/>
        <w:rPr>
          <w:sz w:val="19"/>
        </w:rPr>
      </w:pPr>
    </w:p>
    <w:p w:rsidR="00200FDA" w:rsidRDefault="00F76C4C">
      <w:pPr>
        <w:spacing w:line="264" w:lineRule="auto"/>
        <w:ind w:left="139" w:right="4130"/>
        <w:jc w:val="both"/>
        <w:rPr>
          <w:sz w:val="20"/>
        </w:rPr>
      </w:pPr>
      <w:r>
        <w:rPr>
          <w:noProof/>
        </w:rPr>
        <w:drawing>
          <wp:anchor distT="0" distB="0" distL="0" distR="0" simplePos="0" relativeHeight="15779328" behindDoc="0" locked="0" layoutInCell="1" allowOverlap="1">
            <wp:simplePos x="0" y="0"/>
            <wp:positionH relativeFrom="page">
              <wp:posOffset>4562475</wp:posOffset>
            </wp:positionH>
            <wp:positionV relativeFrom="paragraph">
              <wp:posOffset>56508</wp:posOffset>
            </wp:positionV>
            <wp:extent cx="2442845" cy="2442845"/>
            <wp:effectExtent l="0" t="0" r="0" b="0"/>
            <wp:wrapNone/>
            <wp:docPr id="75"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87.jpeg"/>
                    <pic:cNvPicPr/>
                  </pic:nvPicPr>
                  <pic:blipFill>
                    <a:blip r:embed="rId412" cstate="print"/>
                    <a:stretch>
                      <a:fillRect/>
                    </a:stretch>
                  </pic:blipFill>
                  <pic:spPr>
                    <a:xfrm>
                      <a:off x="0" y="0"/>
                      <a:ext cx="2442845" cy="2442845"/>
                    </a:xfrm>
                    <a:prstGeom prst="rect">
                      <a:avLst/>
                    </a:prstGeom>
                  </pic:spPr>
                </pic:pic>
              </a:graphicData>
            </a:graphic>
          </wp:anchor>
        </w:drawing>
      </w:r>
      <w:r>
        <w:rPr>
          <w:sz w:val="20"/>
        </w:rPr>
        <w:t>Due to heteronormative societal structures, LGBTQ youth may feel pressured</w:t>
      </w:r>
      <w:r>
        <w:rPr>
          <w:spacing w:val="-8"/>
          <w:sz w:val="20"/>
        </w:rPr>
        <w:t xml:space="preserve"> </w:t>
      </w:r>
      <w:r>
        <w:rPr>
          <w:sz w:val="20"/>
        </w:rPr>
        <w:t>to</w:t>
      </w:r>
      <w:r>
        <w:rPr>
          <w:spacing w:val="-8"/>
          <w:sz w:val="20"/>
        </w:rPr>
        <w:t xml:space="preserve"> </w:t>
      </w:r>
      <w:r>
        <w:rPr>
          <w:sz w:val="20"/>
        </w:rPr>
        <w:t>conform</w:t>
      </w:r>
      <w:r>
        <w:rPr>
          <w:spacing w:val="-10"/>
          <w:sz w:val="20"/>
        </w:rPr>
        <w:t xml:space="preserve"> </w:t>
      </w:r>
      <w:r>
        <w:rPr>
          <w:sz w:val="20"/>
        </w:rPr>
        <w:t>to</w:t>
      </w:r>
      <w:r>
        <w:rPr>
          <w:spacing w:val="-6"/>
          <w:sz w:val="20"/>
        </w:rPr>
        <w:t xml:space="preserve"> </w:t>
      </w:r>
      <w:r>
        <w:rPr>
          <w:sz w:val="20"/>
        </w:rPr>
        <w:t>such</w:t>
      </w:r>
      <w:r>
        <w:rPr>
          <w:spacing w:val="-6"/>
          <w:sz w:val="20"/>
        </w:rPr>
        <w:t xml:space="preserve"> </w:t>
      </w:r>
      <w:r>
        <w:rPr>
          <w:sz w:val="20"/>
        </w:rPr>
        <w:t>standards</w:t>
      </w:r>
      <w:r>
        <w:rPr>
          <w:spacing w:val="-10"/>
          <w:sz w:val="20"/>
        </w:rPr>
        <w:t xml:space="preserve"> </w:t>
      </w:r>
      <w:r>
        <w:rPr>
          <w:sz w:val="20"/>
        </w:rPr>
        <w:t>by</w:t>
      </w:r>
      <w:r>
        <w:rPr>
          <w:spacing w:val="-8"/>
          <w:sz w:val="20"/>
        </w:rPr>
        <w:t xml:space="preserve"> </w:t>
      </w:r>
      <w:r>
        <w:rPr>
          <w:sz w:val="20"/>
        </w:rPr>
        <w:t>having</w:t>
      </w:r>
      <w:r>
        <w:rPr>
          <w:spacing w:val="-7"/>
          <w:sz w:val="20"/>
        </w:rPr>
        <w:t xml:space="preserve"> </w:t>
      </w:r>
      <w:r>
        <w:rPr>
          <w:sz w:val="20"/>
        </w:rPr>
        <w:t>sexual</w:t>
      </w:r>
      <w:r>
        <w:rPr>
          <w:spacing w:val="-7"/>
          <w:sz w:val="20"/>
        </w:rPr>
        <w:t xml:space="preserve"> </w:t>
      </w:r>
      <w:r>
        <w:rPr>
          <w:sz w:val="20"/>
        </w:rPr>
        <w:t>intercourse to</w:t>
      </w:r>
      <w:r>
        <w:rPr>
          <w:spacing w:val="-10"/>
          <w:sz w:val="20"/>
        </w:rPr>
        <w:t xml:space="preserve"> </w:t>
      </w:r>
      <w:r>
        <w:rPr>
          <w:sz w:val="20"/>
        </w:rPr>
        <w:t>prove</w:t>
      </w:r>
      <w:r>
        <w:rPr>
          <w:spacing w:val="-11"/>
          <w:sz w:val="20"/>
        </w:rPr>
        <w:t xml:space="preserve"> </w:t>
      </w:r>
      <w:r>
        <w:rPr>
          <w:sz w:val="20"/>
        </w:rPr>
        <w:t>they</w:t>
      </w:r>
      <w:r>
        <w:rPr>
          <w:spacing w:val="-9"/>
          <w:sz w:val="20"/>
        </w:rPr>
        <w:t xml:space="preserve"> </w:t>
      </w:r>
      <w:r>
        <w:rPr>
          <w:sz w:val="20"/>
        </w:rPr>
        <w:t>are</w:t>
      </w:r>
      <w:r>
        <w:rPr>
          <w:spacing w:val="-11"/>
          <w:sz w:val="20"/>
        </w:rPr>
        <w:t xml:space="preserve"> </w:t>
      </w:r>
      <w:r>
        <w:rPr>
          <w:sz w:val="20"/>
        </w:rPr>
        <w:t>heterosexual,</w:t>
      </w:r>
      <w:r>
        <w:rPr>
          <w:spacing w:val="-10"/>
          <w:sz w:val="20"/>
        </w:rPr>
        <w:t xml:space="preserve"> </w:t>
      </w:r>
      <w:r>
        <w:rPr>
          <w:sz w:val="20"/>
        </w:rPr>
        <w:t>thus</w:t>
      </w:r>
      <w:r>
        <w:rPr>
          <w:spacing w:val="-11"/>
          <w:sz w:val="20"/>
        </w:rPr>
        <w:t xml:space="preserve"> </w:t>
      </w:r>
      <w:r>
        <w:rPr>
          <w:sz w:val="20"/>
        </w:rPr>
        <w:t>increasing</w:t>
      </w:r>
      <w:r>
        <w:rPr>
          <w:spacing w:val="-9"/>
          <w:sz w:val="20"/>
        </w:rPr>
        <w:t xml:space="preserve"> </w:t>
      </w:r>
      <w:r>
        <w:rPr>
          <w:sz w:val="20"/>
        </w:rPr>
        <w:t>the</w:t>
      </w:r>
      <w:r>
        <w:rPr>
          <w:spacing w:val="-11"/>
          <w:sz w:val="20"/>
        </w:rPr>
        <w:t xml:space="preserve"> </w:t>
      </w:r>
      <w:r>
        <w:rPr>
          <w:sz w:val="20"/>
        </w:rPr>
        <w:t>risk</w:t>
      </w:r>
      <w:r>
        <w:rPr>
          <w:spacing w:val="-10"/>
          <w:sz w:val="20"/>
        </w:rPr>
        <w:t xml:space="preserve"> </w:t>
      </w:r>
      <w:r>
        <w:rPr>
          <w:sz w:val="20"/>
        </w:rPr>
        <w:t>of</w:t>
      </w:r>
      <w:r>
        <w:rPr>
          <w:spacing w:val="-11"/>
          <w:sz w:val="20"/>
        </w:rPr>
        <w:t xml:space="preserve"> </w:t>
      </w:r>
      <w:r>
        <w:rPr>
          <w:sz w:val="20"/>
        </w:rPr>
        <w:t>pregnancy. LGBTQ individuals under the age of 20 are more likely to experience an</w:t>
      </w:r>
      <w:r>
        <w:rPr>
          <w:spacing w:val="-4"/>
          <w:sz w:val="20"/>
        </w:rPr>
        <w:t xml:space="preserve"> </w:t>
      </w:r>
      <w:r>
        <w:rPr>
          <w:sz w:val="20"/>
        </w:rPr>
        <w:t>unintended</w:t>
      </w:r>
      <w:r>
        <w:rPr>
          <w:spacing w:val="-4"/>
          <w:sz w:val="20"/>
        </w:rPr>
        <w:t xml:space="preserve"> </w:t>
      </w:r>
      <w:r>
        <w:rPr>
          <w:sz w:val="20"/>
        </w:rPr>
        <w:t>pregnancy,</w:t>
      </w:r>
      <w:r>
        <w:rPr>
          <w:spacing w:val="-4"/>
          <w:sz w:val="20"/>
        </w:rPr>
        <w:t xml:space="preserve"> </w:t>
      </w:r>
      <w:r>
        <w:rPr>
          <w:sz w:val="20"/>
        </w:rPr>
        <w:t>especially</w:t>
      </w:r>
      <w:r>
        <w:rPr>
          <w:spacing w:val="-4"/>
          <w:sz w:val="20"/>
        </w:rPr>
        <w:t xml:space="preserve"> </w:t>
      </w:r>
      <w:r>
        <w:rPr>
          <w:sz w:val="20"/>
        </w:rPr>
        <w:t>a</w:t>
      </w:r>
      <w:r>
        <w:rPr>
          <w:spacing w:val="-5"/>
          <w:sz w:val="20"/>
        </w:rPr>
        <w:t xml:space="preserve"> </w:t>
      </w:r>
      <w:r>
        <w:rPr>
          <w:sz w:val="20"/>
        </w:rPr>
        <w:t>teen</w:t>
      </w:r>
      <w:r>
        <w:rPr>
          <w:spacing w:val="-4"/>
          <w:sz w:val="20"/>
        </w:rPr>
        <w:t xml:space="preserve"> </w:t>
      </w:r>
      <w:r>
        <w:rPr>
          <w:sz w:val="20"/>
        </w:rPr>
        <w:t>pregnancy,</w:t>
      </w:r>
      <w:r>
        <w:rPr>
          <w:spacing w:val="-4"/>
          <w:sz w:val="20"/>
        </w:rPr>
        <w:t xml:space="preserve"> </w:t>
      </w:r>
      <w:r>
        <w:rPr>
          <w:sz w:val="20"/>
        </w:rPr>
        <w:t>compared</w:t>
      </w:r>
      <w:r>
        <w:rPr>
          <w:spacing w:val="-4"/>
          <w:sz w:val="20"/>
        </w:rPr>
        <w:t xml:space="preserve"> </w:t>
      </w:r>
      <w:r>
        <w:rPr>
          <w:sz w:val="20"/>
        </w:rPr>
        <w:t>to their heterosexual counterparts.</w:t>
      </w:r>
      <w:r>
        <w:rPr>
          <w:spacing w:val="-12"/>
          <w:sz w:val="20"/>
        </w:rPr>
        <w:t xml:space="preserve"> </w:t>
      </w:r>
      <w:hyperlink w:anchor="_bookmark476" w:history="1">
        <w:r>
          <w:rPr>
            <w:sz w:val="20"/>
            <w:vertAlign w:val="superscript"/>
          </w:rPr>
          <w:t>30</w:t>
        </w:r>
      </w:hyperlink>
      <w:r>
        <w:rPr>
          <w:sz w:val="20"/>
        </w:rPr>
        <w:t xml:space="preserve"> This is alarming, especially for LGBTQ youth in Massachusetts high schools who have a higher percentage of experiencing sexual assault compared to their non- LGBTQ</w:t>
      </w:r>
      <w:r>
        <w:rPr>
          <w:spacing w:val="-5"/>
          <w:sz w:val="20"/>
        </w:rPr>
        <w:t xml:space="preserve"> </w:t>
      </w:r>
      <w:r>
        <w:rPr>
          <w:sz w:val="20"/>
        </w:rPr>
        <w:t>peers.</w:t>
      </w:r>
      <w:hyperlink w:anchor="_bookmark477" w:history="1">
        <w:r>
          <w:rPr>
            <w:sz w:val="20"/>
            <w:vertAlign w:val="superscript"/>
          </w:rPr>
          <w:t>31</w:t>
        </w:r>
      </w:hyperlink>
      <w:r>
        <w:rPr>
          <w:spacing w:val="-4"/>
          <w:sz w:val="20"/>
        </w:rPr>
        <w:t xml:space="preserve"> </w:t>
      </w:r>
      <w:r>
        <w:rPr>
          <w:sz w:val="20"/>
        </w:rPr>
        <w:t>Furthermore,</w:t>
      </w:r>
      <w:r>
        <w:rPr>
          <w:spacing w:val="-5"/>
          <w:sz w:val="20"/>
        </w:rPr>
        <w:t xml:space="preserve"> </w:t>
      </w:r>
      <w:r>
        <w:rPr>
          <w:sz w:val="20"/>
        </w:rPr>
        <w:t>one</w:t>
      </w:r>
      <w:r>
        <w:rPr>
          <w:spacing w:val="-6"/>
          <w:sz w:val="20"/>
        </w:rPr>
        <w:t xml:space="preserve"> </w:t>
      </w:r>
      <w:r>
        <w:rPr>
          <w:sz w:val="20"/>
        </w:rPr>
        <w:t>study</w:t>
      </w:r>
      <w:r>
        <w:rPr>
          <w:spacing w:val="-5"/>
          <w:sz w:val="20"/>
        </w:rPr>
        <w:t xml:space="preserve"> </w:t>
      </w:r>
      <w:r>
        <w:rPr>
          <w:sz w:val="20"/>
        </w:rPr>
        <w:t>showed</w:t>
      </w:r>
      <w:r>
        <w:rPr>
          <w:spacing w:val="-5"/>
          <w:sz w:val="20"/>
        </w:rPr>
        <w:t xml:space="preserve"> </w:t>
      </w:r>
      <w:r>
        <w:rPr>
          <w:sz w:val="20"/>
        </w:rPr>
        <w:t>that</w:t>
      </w:r>
      <w:r>
        <w:rPr>
          <w:spacing w:val="-5"/>
          <w:sz w:val="20"/>
        </w:rPr>
        <w:t xml:space="preserve"> </w:t>
      </w:r>
      <w:r>
        <w:rPr>
          <w:sz w:val="20"/>
        </w:rPr>
        <w:t>sexual</w:t>
      </w:r>
      <w:r>
        <w:rPr>
          <w:spacing w:val="-3"/>
          <w:sz w:val="20"/>
        </w:rPr>
        <w:t xml:space="preserve"> </w:t>
      </w:r>
      <w:r>
        <w:rPr>
          <w:sz w:val="20"/>
        </w:rPr>
        <w:t>minority (lesbian</w:t>
      </w:r>
      <w:r>
        <w:rPr>
          <w:spacing w:val="-2"/>
          <w:sz w:val="20"/>
        </w:rPr>
        <w:t xml:space="preserve"> </w:t>
      </w:r>
      <w:r>
        <w:rPr>
          <w:sz w:val="20"/>
        </w:rPr>
        <w:t>and</w:t>
      </w:r>
      <w:r>
        <w:rPr>
          <w:spacing w:val="-2"/>
          <w:sz w:val="20"/>
        </w:rPr>
        <w:t xml:space="preserve"> </w:t>
      </w:r>
      <w:r>
        <w:rPr>
          <w:sz w:val="20"/>
        </w:rPr>
        <w:t>bisexual</w:t>
      </w:r>
      <w:r>
        <w:rPr>
          <w:spacing w:val="-2"/>
          <w:sz w:val="20"/>
        </w:rPr>
        <w:t xml:space="preserve"> </w:t>
      </w:r>
      <w:r>
        <w:rPr>
          <w:sz w:val="20"/>
        </w:rPr>
        <w:t>women)</w:t>
      </w:r>
      <w:r>
        <w:rPr>
          <w:spacing w:val="-1"/>
          <w:sz w:val="20"/>
        </w:rPr>
        <w:t xml:space="preserve"> </w:t>
      </w:r>
      <w:r>
        <w:rPr>
          <w:sz w:val="20"/>
        </w:rPr>
        <w:t>individuals</w:t>
      </w:r>
      <w:r>
        <w:rPr>
          <w:spacing w:val="-3"/>
          <w:sz w:val="20"/>
        </w:rPr>
        <w:t xml:space="preserve"> </w:t>
      </w:r>
      <w:r>
        <w:rPr>
          <w:sz w:val="20"/>
        </w:rPr>
        <w:t>between</w:t>
      </w:r>
      <w:r>
        <w:rPr>
          <w:spacing w:val="-2"/>
          <w:sz w:val="20"/>
        </w:rPr>
        <w:t xml:space="preserve"> </w:t>
      </w:r>
      <w:r>
        <w:rPr>
          <w:sz w:val="20"/>
        </w:rPr>
        <w:t>the</w:t>
      </w:r>
      <w:r>
        <w:rPr>
          <w:spacing w:val="-3"/>
          <w:sz w:val="20"/>
        </w:rPr>
        <w:t xml:space="preserve"> </w:t>
      </w:r>
      <w:r>
        <w:rPr>
          <w:sz w:val="20"/>
        </w:rPr>
        <w:t>ages</w:t>
      </w:r>
      <w:r>
        <w:rPr>
          <w:spacing w:val="-1"/>
          <w:sz w:val="20"/>
        </w:rPr>
        <w:t xml:space="preserve"> </w:t>
      </w:r>
      <w:r>
        <w:rPr>
          <w:sz w:val="20"/>
        </w:rPr>
        <w:t>of</w:t>
      </w:r>
      <w:r>
        <w:rPr>
          <w:spacing w:val="-2"/>
          <w:sz w:val="20"/>
        </w:rPr>
        <w:t xml:space="preserve"> </w:t>
      </w:r>
      <w:r>
        <w:rPr>
          <w:sz w:val="20"/>
        </w:rPr>
        <w:t>16-45 experience worse pregnancy outcomes, such as miscarriages, stillbirths, low birth weights, and premature births compared to heterosexual patients.</w:t>
      </w:r>
      <w:r>
        <w:rPr>
          <w:spacing w:val="-12"/>
          <w:sz w:val="20"/>
        </w:rPr>
        <w:t xml:space="preserve"> </w:t>
      </w:r>
      <w:hyperlink w:anchor="_bookmark478" w:history="1">
        <w:r>
          <w:rPr>
            <w:sz w:val="20"/>
            <w:vertAlign w:val="superscript"/>
          </w:rPr>
          <w:t>32</w:t>
        </w:r>
      </w:hyperlink>
      <w:r>
        <w:rPr>
          <w:sz w:val="20"/>
        </w:rPr>
        <w:t xml:space="preserve"> At the intersection of race, ethnicity, and sexual</w:t>
      </w:r>
      <w:r>
        <w:rPr>
          <w:spacing w:val="-9"/>
          <w:sz w:val="20"/>
        </w:rPr>
        <w:t xml:space="preserve"> </w:t>
      </w:r>
      <w:r>
        <w:rPr>
          <w:sz w:val="20"/>
        </w:rPr>
        <w:t>identity,</w:t>
      </w:r>
      <w:r>
        <w:rPr>
          <w:spacing w:val="-8"/>
          <w:sz w:val="20"/>
        </w:rPr>
        <w:t xml:space="preserve"> </w:t>
      </w:r>
      <w:r>
        <w:rPr>
          <w:sz w:val="20"/>
        </w:rPr>
        <w:t>Black</w:t>
      </w:r>
      <w:r>
        <w:rPr>
          <w:spacing w:val="-8"/>
          <w:sz w:val="20"/>
        </w:rPr>
        <w:t xml:space="preserve"> </w:t>
      </w:r>
      <w:r>
        <w:rPr>
          <w:sz w:val="20"/>
        </w:rPr>
        <w:t>and</w:t>
      </w:r>
      <w:r>
        <w:rPr>
          <w:spacing w:val="-8"/>
          <w:sz w:val="20"/>
        </w:rPr>
        <w:t xml:space="preserve"> </w:t>
      </w:r>
      <w:r>
        <w:rPr>
          <w:sz w:val="20"/>
        </w:rPr>
        <w:t>Latina</w:t>
      </w:r>
      <w:r>
        <w:rPr>
          <w:spacing w:val="-8"/>
          <w:sz w:val="20"/>
        </w:rPr>
        <w:t xml:space="preserve"> </w:t>
      </w:r>
      <w:r>
        <w:rPr>
          <w:sz w:val="20"/>
        </w:rPr>
        <w:t>lesbian</w:t>
      </w:r>
      <w:r>
        <w:rPr>
          <w:spacing w:val="-8"/>
          <w:sz w:val="20"/>
        </w:rPr>
        <w:t xml:space="preserve"> </w:t>
      </w:r>
      <w:r>
        <w:rPr>
          <w:sz w:val="20"/>
        </w:rPr>
        <w:t>and</w:t>
      </w:r>
      <w:r>
        <w:rPr>
          <w:spacing w:val="-8"/>
          <w:sz w:val="20"/>
        </w:rPr>
        <w:t xml:space="preserve"> </w:t>
      </w:r>
      <w:r>
        <w:rPr>
          <w:sz w:val="20"/>
        </w:rPr>
        <w:t>bisexual</w:t>
      </w:r>
      <w:r>
        <w:rPr>
          <w:spacing w:val="-9"/>
          <w:sz w:val="20"/>
        </w:rPr>
        <w:t xml:space="preserve"> </w:t>
      </w:r>
      <w:r>
        <w:rPr>
          <w:sz w:val="20"/>
        </w:rPr>
        <w:t>women</w:t>
      </w:r>
      <w:r>
        <w:rPr>
          <w:spacing w:val="-8"/>
          <w:sz w:val="20"/>
        </w:rPr>
        <w:t xml:space="preserve"> </w:t>
      </w:r>
      <w:r>
        <w:rPr>
          <w:sz w:val="20"/>
        </w:rPr>
        <w:t>have</w:t>
      </w:r>
      <w:r>
        <w:rPr>
          <w:spacing w:val="-10"/>
          <w:sz w:val="20"/>
        </w:rPr>
        <w:t xml:space="preserve"> </w:t>
      </w:r>
      <w:r>
        <w:rPr>
          <w:sz w:val="20"/>
        </w:rPr>
        <w:t>an additional</w:t>
      </w:r>
      <w:r>
        <w:rPr>
          <w:spacing w:val="-5"/>
          <w:sz w:val="20"/>
        </w:rPr>
        <w:t xml:space="preserve"> </w:t>
      </w:r>
      <w:r>
        <w:rPr>
          <w:sz w:val="20"/>
        </w:rPr>
        <w:t>risk</w:t>
      </w:r>
      <w:r>
        <w:rPr>
          <w:spacing w:val="-5"/>
          <w:sz w:val="20"/>
        </w:rPr>
        <w:t xml:space="preserve"> </w:t>
      </w:r>
      <w:r>
        <w:rPr>
          <w:sz w:val="20"/>
        </w:rPr>
        <w:t>for</w:t>
      </w:r>
      <w:r>
        <w:rPr>
          <w:spacing w:val="-5"/>
          <w:sz w:val="20"/>
        </w:rPr>
        <w:t xml:space="preserve"> </w:t>
      </w:r>
      <w:r>
        <w:rPr>
          <w:sz w:val="20"/>
        </w:rPr>
        <w:t>adverse</w:t>
      </w:r>
      <w:r>
        <w:rPr>
          <w:spacing w:val="-6"/>
          <w:sz w:val="20"/>
        </w:rPr>
        <w:t xml:space="preserve"> </w:t>
      </w:r>
      <w:r>
        <w:rPr>
          <w:sz w:val="20"/>
        </w:rPr>
        <w:t>birth</w:t>
      </w:r>
      <w:r>
        <w:rPr>
          <w:spacing w:val="-5"/>
          <w:sz w:val="20"/>
        </w:rPr>
        <w:t xml:space="preserve"> </w:t>
      </w:r>
      <w:r>
        <w:rPr>
          <w:sz w:val="20"/>
        </w:rPr>
        <w:t>outcomes.</w:t>
      </w:r>
      <w:hyperlink w:anchor="_bookmark479" w:history="1">
        <w:r>
          <w:rPr>
            <w:sz w:val="20"/>
            <w:vertAlign w:val="superscript"/>
          </w:rPr>
          <w:t>33</w:t>
        </w:r>
      </w:hyperlink>
      <w:r>
        <w:rPr>
          <w:spacing w:val="-4"/>
          <w:sz w:val="20"/>
        </w:rPr>
        <w:t xml:space="preserve"> </w:t>
      </w:r>
      <w:r>
        <w:rPr>
          <w:sz w:val="20"/>
        </w:rPr>
        <w:t>Data</w:t>
      </w:r>
      <w:r>
        <w:rPr>
          <w:spacing w:val="-5"/>
          <w:sz w:val="20"/>
        </w:rPr>
        <w:t xml:space="preserve"> </w:t>
      </w:r>
      <w:r>
        <w:rPr>
          <w:sz w:val="20"/>
        </w:rPr>
        <w:t>is</w:t>
      </w:r>
      <w:r>
        <w:rPr>
          <w:spacing w:val="-7"/>
          <w:sz w:val="20"/>
        </w:rPr>
        <w:t xml:space="preserve"> </w:t>
      </w:r>
      <w:r>
        <w:rPr>
          <w:sz w:val="20"/>
        </w:rPr>
        <w:t>currently</w:t>
      </w:r>
      <w:r>
        <w:rPr>
          <w:spacing w:val="-4"/>
          <w:sz w:val="20"/>
        </w:rPr>
        <w:t xml:space="preserve"> </w:t>
      </w:r>
      <w:r>
        <w:rPr>
          <w:sz w:val="20"/>
        </w:rPr>
        <w:t>limited regarding the pregnancy outcomes of transgender birthing people.</w:t>
      </w:r>
    </w:p>
    <w:p w:rsidR="00200FDA" w:rsidRDefault="00200FDA">
      <w:pPr>
        <w:pStyle w:val="BodyText"/>
        <w:spacing w:before="9"/>
        <w:rPr>
          <w:sz w:val="19"/>
        </w:rPr>
      </w:pPr>
    </w:p>
    <w:p w:rsidR="00200FDA" w:rsidRDefault="00F76C4C">
      <w:pPr>
        <w:spacing w:before="1" w:line="264" w:lineRule="auto"/>
        <w:ind w:left="139" w:right="338"/>
        <w:jc w:val="both"/>
        <w:rPr>
          <w:sz w:val="20"/>
        </w:rPr>
      </w:pPr>
      <w:r>
        <w:rPr>
          <w:sz w:val="20"/>
        </w:rPr>
        <w:t>Transgender men and nonbinary individuals who have transitioned hormonally and are taking testosterone but retain their female reproductive organs have the potential to become pregna</w:t>
      </w:r>
      <w:r>
        <w:rPr>
          <w:sz w:val="20"/>
        </w:rPr>
        <w:t>nt. Since the United States has been tracking pregnant people as female, there is a lack of data on how many transgender men and nonbinary people give</w:t>
      </w:r>
      <w:r>
        <w:rPr>
          <w:spacing w:val="-9"/>
          <w:sz w:val="20"/>
        </w:rPr>
        <w:t xml:space="preserve"> </w:t>
      </w:r>
      <w:r>
        <w:rPr>
          <w:sz w:val="20"/>
        </w:rPr>
        <w:t>birth</w:t>
      </w:r>
      <w:r>
        <w:rPr>
          <w:spacing w:val="-7"/>
          <w:sz w:val="20"/>
        </w:rPr>
        <w:t xml:space="preserve"> </w:t>
      </w:r>
      <w:r>
        <w:rPr>
          <w:sz w:val="20"/>
        </w:rPr>
        <w:t>each</w:t>
      </w:r>
      <w:r>
        <w:rPr>
          <w:spacing w:val="-7"/>
          <w:sz w:val="20"/>
        </w:rPr>
        <w:t xml:space="preserve"> </w:t>
      </w:r>
      <w:r>
        <w:rPr>
          <w:sz w:val="20"/>
        </w:rPr>
        <w:t>year.</w:t>
      </w:r>
      <w:r>
        <w:rPr>
          <w:spacing w:val="-8"/>
          <w:sz w:val="20"/>
        </w:rPr>
        <w:t xml:space="preserve"> </w:t>
      </w:r>
      <w:r>
        <w:rPr>
          <w:sz w:val="20"/>
        </w:rPr>
        <w:t>A</w:t>
      </w:r>
      <w:r>
        <w:rPr>
          <w:spacing w:val="-8"/>
          <w:sz w:val="20"/>
        </w:rPr>
        <w:t xml:space="preserve"> </w:t>
      </w:r>
      <w:r>
        <w:rPr>
          <w:sz w:val="20"/>
        </w:rPr>
        <w:t>report</w:t>
      </w:r>
      <w:r>
        <w:rPr>
          <w:spacing w:val="-10"/>
          <w:sz w:val="20"/>
        </w:rPr>
        <w:t xml:space="preserve"> </w:t>
      </w:r>
      <w:r>
        <w:rPr>
          <w:sz w:val="20"/>
        </w:rPr>
        <w:t>on</w:t>
      </w:r>
      <w:r>
        <w:rPr>
          <w:spacing w:val="-7"/>
          <w:sz w:val="20"/>
        </w:rPr>
        <w:t xml:space="preserve"> </w:t>
      </w:r>
      <w:r>
        <w:rPr>
          <w:sz w:val="20"/>
        </w:rPr>
        <w:t>pregnancy</w:t>
      </w:r>
      <w:r>
        <w:rPr>
          <w:spacing w:val="-7"/>
          <w:sz w:val="20"/>
        </w:rPr>
        <w:t xml:space="preserve"> </w:t>
      </w:r>
      <w:r>
        <w:rPr>
          <w:sz w:val="20"/>
        </w:rPr>
        <w:t>in</w:t>
      </w:r>
      <w:r>
        <w:rPr>
          <w:spacing w:val="-9"/>
          <w:sz w:val="20"/>
        </w:rPr>
        <w:t xml:space="preserve"> </w:t>
      </w:r>
      <w:r>
        <w:rPr>
          <w:sz w:val="20"/>
        </w:rPr>
        <w:t>transgender</w:t>
      </w:r>
      <w:r>
        <w:rPr>
          <w:spacing w:val="-8"/>
          <w:sz w:val="20"/>
        </w:rPr>
        <w:t xml:space="preserve"> </w:t>
      </w:r>
      <w:r>
        <w:rPr>
          <w:sz w:val="20"/>
        </w:rPr>
        <w:t>men</w:t>
      </w:r>
      <w:r>
        <w:rPr>
          <w:spacing w:val="-7"/>
          <w:sz w:val="20"/>
        </w:rPr>
        <w:t xml:space="preserve"> </w:t>
      </w:r>
      <w:r>
        <w:rPr>
          <w:sz w:val="20"/>
        </w:rPr>
        <w:t>found</w:t>
      </w:r>
      <w:r>
        <w:rPr>
          <w:spacing w:val="-7"/>
          <w:sz w:val="20"/>
        </w:rPr>
        <w:t xml:space="preserve"> </w:t>
      </w:r>
      <w:r>
        <w:rPr>
          <w:sz w:val="20"/>
        </w:rPr>
        <w:t>that</w:t>
      </w:r>
      <w:r>
        <w:rPr>
          <w:spacing w:val="-10"/>
          <w:sz w:val="20"/>
        </w:rPr>
        <w:t xml:space="preserve"> </w:t>
      </w:r>
      <w:r>
        <w:rPr>
          <w:sz w:val="20"/>
        </w:rPr>
        <w:t>pregnant</w:t>
      </w:r>
      <w:r>
        <w:rPr>
          <w:spacing w:val="-7"/>
          <w:sz w:val="20"/>
        </w:rPr>
        <w:t xml:space="preserve"> </w:t>
      </w:r>
      <w:r>
        <w:rPr>
          <w:sz w:val="20"/>
        </w:rPr>
        <w:t>transmasculine</w:t>
      </w:r>
      <w:r>
        <w:rPr>
          <w:spacing w:val="-9"/>
          <w:sz w:val="20"/>
        </w:rPr>
        <w:t xml:space="preserve"> </w:t>
      </w:r>
      <w:r>
        <w:rPr>
          <w:sz w:val="20"/>
        </w:rPr>
        <w:t>individuals</w:t>
      </w:r>
      <w:r>
        <w:rPr>
          <w:spacing w:val="-9"/>
          <w:sz w:val="20"/>
        </w:rPr>
        <w:t xml:space="preserve"> </w:t>
      </w:r>
      <w:r>
        <w:rPr>
          <w:sz w:val="20"/>
        </w:rPr>
        <w:t>who were previously on testosterone therapy preferred to have elective cesarean as the mode of delivery to lessen dysphoria.</w:t>
      </w:r>
      <w:hyperlink w:anchor="_bookmark480" w:history="1">
        <w:r>
          <w:rPr>
            <w:sz w:val="20"/>
            <w:vertAlign w:val="superscript"/>
          </w:rPr>
          <w:t>34</w:t>
        </w:r>
      </w:hyperlink>
      <w:r>
        <w:rPr>
          <w:sz w:val="20"/>
        </w:rPr>
        <w:t>A Rutgers University study shows that pregnant transgender men are at risk for depression.</w:t>
      </w:r>
      <w:hyperlink w:anchor="_bookmark481" w:history="1">
        <w:r>
          <w:rPr>
            <w:sz w:val="20"/>
            <w:vertAlign w:val="superscript"/>
          </w:rPr>
          <w:t>35</w:t>
        </w:r>
      </w:hyperlink>
      <w:r>
        <w:rPr>
          <w:spacing w:val="-3"/>
          <w:sz w:val="20"/>
        </w:rPr>
        <w:t xml:space="preserve"> </w:t>
      </w:r>
      <w:r>
        <w:rPr>
          <w:sz w:val="20"/>
        </w:rPr>
        <w:t>This is alarming</w:t>
      </w:r>
      <w:r>
        <w:rPr>
          <w:spacing w:val="-12"/>
          <w:sz w:val="20"/>
        </w:rPr>
        <w:t xml:space="preserve"> </w:t>
      </w:r>
      <w:r>
        <w:rPr>
          <w:sz w:val="20"/>
        </w:rPr>
        <w:t>since</w:t>
      </w:r>
      <w:r>
        <w:rPr>
          <w:spacing w:val="-11"/>
          <w:sz w:val="20"/>
        </w:rPr>
        <w:t xml:space="preserve"> </w:t>
      </w:r>
      <w:r>
        <w:rPr>
          <w:sz w:val="20"/>
        </w:rPr>
        <w:t>transgender</w:t>
      </w:r>
      <w:r>
        <w:rPr>
          <w:spacing w:val="-11"/>
          <w:sz w:val="20"/>
        </w:rPr>
        <w:t xml:space="preserve"> </w:t>
      </w:r>
      <w:r>
        <w:rPr>
          <w:sz w:val="20"/>
        </w:rPr>
        <w:t>individuals</w:t>
      </w:r>
      <w:r>
        <w:rPr>
          <w:spacing w:val="-12"/>
          <w:sz w:val="20"/>
        </w:rPr>
        <w:t xml:space="preserve"> </w:t>
      </w:r>
      <w:r>
        <w:rPr>
          <w:sz w:val="20"/>
        </w:rPr>
        <w:t>are</w:t>
      </w:r>
      <w:r>
        <w:rPr>
          <w:spacing w:val="-11"/>
          <w:sz w:val="20"/>
        </w:rPr>
        <w:t xml:space="preserve"> </w:t>
      </w:r>
      <w:r>
        <w:rPr>
          <w:sz w:val="20"/>
        </w:rPr>
        <w:t>at</w:t>
      </w:r>
      <w:r>
        <w:rPr>
          <w:spacing w:val="-11"/>
          <w:sz w:val="20"/>
        </w:rPr>
        <w:t xml:space="preserve"> </w:t>
      </w:r>
      <w:r>
        <w:rPr>
          <w:sz w:val="20"/>
        </w:rPr>
        <w:t>higher</w:t>
      </w:r>
      <w:r>
        <w:rPr>
          <w:spacing w:val="-12"/>
          <w:sz w:val="20"/>
        </w:rPr>
        <w:t xml:space="preserve"> </w:t>
      </w:r>
      <w:r>
        <w:rPr>
          <w:sz w:val="20"/>
        </w:rPr>
        <w:t>risk</w:t>
      </w:r>
      <w:r>
        <w:rPr>
          <w:spacing w:val="-11"/>
          <w:sz w:val="20"/>
        </w:rPr>
        <w:t xml:space="preserve"> </w:t>
      </w:r>
      <w:r>
        <w:rPr>
          <w:sz w:val="20"/>
        </w:rPr>
        <w:t>for</w:t>
      </w:r>
      <w:r>
        <w:rPr>
          <w:spacing w:val="-11"/>
          <w:sz w:val="20"/>
        </w:rPr>
        <w:t xml:space="preserve"> </w:t>
      </w:r>
      <w:r>
        <w:rPr>
          <w:sz w:val="20"/>
        </w:rPr>
        <w:t>suicide</w:t>
      </w:r>
      <w:r>
        <w:rPr>
          <w:spacing w:val="-12"/>
          <w:sz w:val="20"/>
        </w:rPr>
        <w:t xml:space="preserve"> </w:t>
      </w:r>
      <w:r>
        <w:rPr>
          <w:sz w:val="20"/>
        </w:rPr>
        <w:t>compared</w:t>
      </w:r>
      <w:r>
        <w:rPr>
          <w:spacing w:val="-11"/>
          <w:sz w:val="20"/>
        </w:rPr>
        <w:t xml:space="preserve"> </w:t>
      </w:r>
      <w:r>
        <w:rPr>
          <w:sz w:val="20"/>
        </w:rPr>
        <w:t>to</w:t>
      </w:r>
      <w:r>
        <w:rPr>
          <w:spacing w:val="-11"/>
          <w:sz w:val="20"/>
        </w:rPr>
        <w:t xml:space="preserve"> </w:t>
      </w:r>
      <w:r>
        <w:rPr>
          <w:sz w:val="20"/>
        </w:rPr>
        <w:t>the</w:t>
      </w:r>
      <w:r>
        <w:rPr>
          <w:spacing w:val="-11"/>
          <w:sz w:val="20"/>
        </w:rPr>
        <w:t xml:space="preserve"> </w:t>
      </w:r>
      <w:r>
        <w:rPr>
          <w:sz w:val="20"/>
        </w:rPr>
        <w:t>general</w:t>
      </w:r>
      <w:r>
        <w:rPr>
          <w:spacing w:val="-12"/>
          <w:sz w:val="20"/>
        </w:rPr>
        <w:t xml:space="preserve"> </w:t>
      </w:r>
      <w:r>
        <w:rPr>
          <w:sz w:val="20"/>
        </w:rPr>
        <w:t>population</w:t>
      </w:r>
      <w:r>
        <w:rPr>
          <w:spacing w:val="-11"/>
          <w:sz w:val="20"/>
        </w:rPr>
        <w:t xml:space="preserve"> </w:t>
      </w:r>
      <w:r>
        <w:rPr>
          <w:sz w:val="20"/>
        </w:rPr>
        <w:t>in</w:t>
      </w:r>
      <w:r>
        <w:rPr>
          <w:spacing w:val="-11"/>
          <w:sz w:val="20"/>
        </w:rPr>
        <w:t xml:space="preserve"> </w:t>
      </w:r>
      <w:r>
        <w:rPr>
          <w:sz w:val="20"/>
        </w:rPr>
        <w:t>the</w:t>
      </w:r>
      <w:r>
        <w:rPr>
          <w:spacing w:val="-12"/>
          <w:sz w:val="20"/>
        </w:rPr>
        <w:t xml:space="preserve"> </w:t>
      </w:r>
      <w:r>
        <w:rPr>
          <w:sz w:val="20"/>
        </w:rPr>
        <w:t>United States.</w:t>
      </w:r>
      <w:hyperlink w:anchor="_bookmark482" w:history="1">
        <w:r>
          <w:rPr>
            <w:sz w:val="20"/>
            <w:vertAlign w:val="superscript"/>
          </w:rPr>
          <w:t>36</w:t>
        </w:r>
      </w:hyperlink>
      <w:r>
        <w:rPr>
          <w:spacing w:val="-3"/>
          <w:sz w:val="20"/>
        </w:rPr>
        <w:t xml:space="preserve"> </w:t>
      </w:r>
      <w:r>
        <w:rPr>
          <w:sz w:val="20"/>
        </w:rPr>
        <w:t>Just</w:t>
      </w:r>
      <w:r>
        <w:rPr>
          <w:spacing w:val="-4"/>
          <w:sz w:val="20"/>
        </w:rPr>
        <w:t xml:space="preserve"> </w:t>
      </w:r>
      <w:r>
        <w:rPr>
          <w:sz w:val="20"/>
        </w:rPr>
        <w:t>as</w:t>
      </w:r>
      <w:r>
        <w:rPr>
          <w:spacing w:val="-6"/>
          <w:sz w:val="20"/>
        </w:rPr>
        <w:t xml:space="preserve"> </w:t>
      </w:r>
      <w:r>
        <w:rPr>
          <w:sz w:val="20"/>
        </w:rPr>
        <w:t>a</w:t>
      </w:r>
      <w:r>
        <w:rPr>
          <w:spacing w:val="-4"/>
          <w:sz w:val="20"/>
        </w:rPr>
        <w:t xml:space="preserve"> </w:t>
      </w:r>
      <w:r>
        <w:rPr>
          <w:sz w:val="20"/>
        </w:rPr>
        <w:t>cisgender</w:t>
      </w:r>
      <w:r>
        <w:rPr>
          <w:spacing w:val="-2"/>
          <w:sz w:val="20"/>
        </w:rPr>
        <w:t xml:space="preserve"> </w:t>
      </w:r>
      <w:r>
        <w:rPr>
          <w:sz w:val="20"/>
        </w:rPr>
        <w:t>woman</w:t>
      </w:r>
      <w:r>
        <w:rPr>
          <w:spacing w:val="-4"/>
          <w:sz w:val="20"/>
        </w:rPr>
        <w:t xml:space="preserve"> </w:t>
      </w:r>
      <w:r>
        <w:rPr>
          <w:sz w:val="20"/>
        </w:rPr>
        <w:t>is</w:t>
      </w:r>
      <w:r>
        <w:rPr>
          <w:spacing w:val="-6"/>
          <w:sz w:val="20"/>
        </w:rPr>
        <w:t xml:space="preserve"> </w:t>
      </w:r>
      <w:r>
        <w:rPr>
          <w:sz w:val="20"/>
        </w:rPr>
        <w:t>at</w:t>
      </w:r>
      <w:r>
        <w:rPr>
          <w:spacing w:val="-2"/>
          <w:sz w:val="20"/>
        </w:rPr>
        <w:t xml:space="preserve"> </w:t>
      </w:r>
      <w:r>
        <w:rPr>
          <w:sz w:val="20"/>
        </w:rPr>
        <w:t>risk</w:t>
      </w:r>
      <w:r>
        <w:rPr>
          <w:spacing w:val="-1"/>
          <w:sz w:val="20"/>
        </w:rPr>
        <w:t xml:space="preserve"> </w:t>
      </w:r>
      <w:r>
        <w:rPr>
          <w:sz w:val="20"/>
        </w:rPr>
        <w:t>for</w:t>
      </w:r>
      <w:r>
        <w:rPr>
          <w:spacing w:val="-4"/>
          <w:sz w:val="20"/>
        </w:rPr>
        <w:t xml:space="preserve"> </w:t>
      </w:r>
      <w:r>
        <w:rPr>
          <w:sz w:val="20"/>
        </w:rPr>
        <w:t>postpartum</w:t>
      </w:r>
      <w:r>
        <w:rPr>
          <w:spacing w:val="-1"/>
          <w:sz w:val="20"/>
        </w:rPr>
        <w:t xml:space="preserve"> </w:t>
      </w:r>
      <w:r>
        <w:rPr>
          <w:sz w:val="20"/>
        </w:rPr>
        <w:t>depression,</w:t>
      </w:r>
      <w:r>
        <w:rPr>
          <w:spacing w:val="-4"/>
          <w:sz w:val="20"/>
        </w:rPr>
        <w:t xml:space="preserve"> </w:t>
      </w:r>
      <w:r>
        <w:rPr>
          <w:sz w:val="20"/>
        </w:rPr>
        <w:t>transmasculine</w:t>
      </w:r>
      <w:r>
        <w:rPr>
          <w:spacing w:val="-5"/>
          <w:sz w:val="20"/>
        </w:rPr>
        <w:t xml:space="preserve"> </w:t>
      </w:r>
      <w:r>
        <w:rPr>
          <w:sz w:val="20"/>
        </w:rPr>
        <w:t>patients</w:t>
      </w:r>
      <w:r>
        <w:rPr>
          <w:spacing w:val="-3"/>
          <w:sz w:val="20"/>
        </w:rPr>
        <w:t xml:space="preserve"> </w:t>
      </w:r>
      <w:r>
        <w:rPr>
          <w:sz w:val="20"/>
        </w:rPr>
        <w:t>who</w:t>
      </w:r>
      <w:r>
        <w:rPr>
          <w:spacing w:val="-4"/>
          <w:sz w:val="20"/>
        </w:rPr>
        <w:t xml:space="preserve"> </w:t>
      </w:r>
      <w:r>
        <w:rPr>
          <w:sz w:val="20"/>
        </w:rPr>
        <w:t>give</w:t>
      </w:r>
      <w:r>
        <w:rPr>
          <w:spacing w:val="-5"/>
          <w:sz w:val="20"/>
        </w:rPr>
        <w:t xml:space="preserve"> </w:t>
      </w:r>
      <w:r>
        <w:rPr>
          <w:sz w:val="20"/>
        </w:rPr>
        <w:t>birth</w:t>
      </w:r>
      <w:r>
        <w:rPr>
          <w:spacing w:val="-4"/>
          <w:sz w:val="20"/>
        </w:rPr>
        <w:t xml:space="preserve"> </w:t>
      </w:r>
      <w:r>
        <w:rPr>
          <w:sz w:val="20"/>
        </w:rPr>
        <w:t>are also at risk for postpartum depression.</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spacing w:before="66" w:line="264" w:lineRule="auto"/>
        <w:ind w:left="139" w:right="336"/>
        <w:jc w:val="both"/>
        <w:rPr>
          <w:sz w:val="20"/>
        </w:rPr>
      </w:pPr>
      <w:r>
        <w:rPr>
          <w:noProof/>
        </w:rPr>
        <w:lastRenderedPageBreak/>
        <w:drawing>
          <wp:anchor distT="0" distB="0" distL="0" distR="0" simplePos="0" relativeHeight="15779840" behindDoc="0" locked="0" layoutInCell="1" allowOverlap="1">
            <wp:simplePos x="0" y="0"/>
            <wp:positionH relativeFrom="page">
              <wp:posOffset>3507564</wp:posOffset>
            </wp:positionH>
            <wp:positionV relativeFrom="paragraph">
              <wp:posOffset>2049290</wp:posOffset>
            </wp:positionV>
            <wp:extent cx="3386629" cy="2372989"/>
            <wp:effectExtent l="0" t="0" r="0" b="0"/>
            <wp:wrapNone/>
            <wp:docPr id="77"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88.jpeg"/>
                    <pic:cNvPicPr/>
                  </pic:nvPicPr>
                  <pic:blipFill>
                    <a:blip r:embed="rId413" cstate="print"/>
                    <a:stretch>
                      <a:fillRect/>
                    </a:stretch>
                  </pic:blipFill>
                  <pic:spPr>
                    <a:xfrm>
                      <a:off x="0" y="0"/>
                      <a:ext cx="3386629" cy="2372989"/>
                    </a:xfrm>
                    <a:prstGeom prst="rect">
                      <a:avLst/>
                    </a:prstGeom>
                  </pic:spPr>
                </pic:pic>
              </a:graphicData>
            </a:graphic>
          </wp:anchor>
        </w:drawing>
      </w:r>
      <w:r>
        <w:rPr>
          <w:sz w:val="20"/>
        </w:rPr>
        <w:t>A study that interviewed 22 healthcare providers</w:t>
      </w:r>
      <w:r>
        <w:rPr>
          <w:spacing w:val="-1"/>
          <w:sz w:val="20"/>
        </w:rPr>
        <w:t xml:space="preserve"> </w:t>
      </w:r>
      <w:r>
        <w:rPr>
          <w:sz w:val="20"/>
        </w:rPr>
        <w:t>demonstrated that they typically advised transgender patients</w:t>
      </w:r>
      <w:r>
        <w:rPr>
          <w:spacing w:val="-1"/>
          <w:sz w:val="20"/>
        </w:rPr>
        <w:t xml:space="preserve"> </w:t>
      </w:r>
      <w:r>
        <w:rPr>
          <w:sz w:val="20"/>
        </w:rPr>
        <w:t>to discontinue testosterone therapy either six months before trying to get pregnant or immediately after finding out about the pregnancy; they also advised withholding hormone therapy during chestfeeding. These guidelines are advised to pregnant transmen a</w:t>
      </w:r>
      <w:r>
        <w:rPr>
          <w:sz w:val="20"/>
        </w:rPr>
        <w:t>nd nonbinary patients</w:t>
      </w:r>
      <w:r>
        <w:rPr>
          <w:spacing w:val="-1"/>
          <w:sz w:val="20"/>
        </w:rPr>
        <w:t xml:space="preserve"> </w:t>
      </w:r>
      <w:r>
        <w:rPr>
          <w:sz w:val="20"/>
        </w:rPr>
        <w:t>out of</w:t>
      </w:r>
      <w:r>
        <w:rPr>
          <w:spacing w:val="-1"/>
          <w:sz w:val="20"/>
        </w:rPr>
        <w:t xml:space="preserve"> </w:t>
      </w:r>
      <w:r>
        <w:rPr>
          <w:sz w:val="20"/>
        </w:rPr>
        <w:t>concern that testosterone will</w:t>
      </w:r>
      <w:r>
        <w:rPr>
          <w:spacing w:val="-1"/>
          <w:sz w:val="20"/>
        </w:rPr>
        <w:t xml:space="preserve"> </w:t>
      </w:r>
      <w:r>
        <w:rPr>
          <w:sz w:val="20"/>
        </w:rPr>
        <w:t>cause excess</w:t>
      </w:r>
      <w:r>
        <w:rPr>
          <w:spacing w:val="-1"/>
          <w:sz w:val="20"/>
        </w:rPr>
        <w:t xml:space="preserve"> </w:t>
      </w:r>
      <w:r>
        <w:rPr>
          <w:sz w:val="20"/>
        </w:rPr>
        <w:t>androgen exposure to the fetus. The same study interviewed 70 transgender and nonbinary people who were pregnant or were</w:t>
      </w:r>
      <w:r>
        <w:rPr>
          <w:spacing w:val="-3"/>
          <w:sz w:val="20"/>
        </w:rPr>
        <w:t xml:space="preserve"> </w:t>
      </w:r>
      <w:r>
        <w:rPr>
          <w:sz w:val="20"/>
        </w:rPr>
        <w:t>intending</w:t>
      </w:r>
      <w:r>
        <w:rPr>
          <w:spacing w:val="-2"/>
          <w:sz w:val="20"/>
        </w:rPr>
        <w:t xml:space="preserve"> </w:t>
      </w:r>
      <w:r>
        <w:rPr>
          <w:sz w:val="20"/>
        </w:rPr>
        <w:t>to</w:t>
      </w:r>
      <w:r>
        <w:rPr>
          <w:spacing w:val="-2"/>
          <w:sz w:val="20"/>
        </w:rPr>
        <w:t xml:space="preserve"> </w:t>
      </w:r>
      <w:r>
        <w:rPr>
          <w:sz w:val="20"/>
        </w:rPr>
        <w:t>be</w:t>
      </w:r>
      <w:r>
        <w:rPr>
          <w:spacing w:val="-1"/>
          <w:sz w:val="20"/>
        </w:rPr>
        <w:t xml:space="preserve"> </w:t>
      </w:r>
      <w:r>
        <w:rPr>
          <w:sz w:val="20"/>
        </w:rPr>
        <w:t>pregnant;</w:t>
      </w:r>
      <w:r>
        <w:rPr>
          <w:spacing w:val="-3"/>
          <w:sz w:val="20"/>
        </w:rPr>
        <w:t xml:space="preserve"> </w:t>
      </w:r>
      <w:r>
        <w:rPr>
          <w:sz w:val="20"/>
        </w:rPr>
        <w:t>they</w:t>
      </w:r>
      <w:r>
        <w:rPr>
          <w:spacing w:val="-1"/>
          <w:sz w:val="20"/>
        </w:rPr>
        <w:t xml:space="preserve"> </w:t>
      </w:r>
      <w:r>
        <w:rPr>
          <w:sz w:val="20"/>
        </w:rPr>
        <w:t>reported</w:t>
      </w:r>
      <w:r>
        <w:rPr>
          <w:spacing w:val="-1"/>
          <w:sz w:val="20"/>
        </w:rPr>
        <w:t xml:space="preserve"> </w:t>
      </w:r>
      <w:r>
        <w:rPr>
          <w:sz w:val="20"/>
        </w:rPr>
        <w:t>that</w:t>
      </w:r>
      <w:r>
        <w:rPr>
          <w:spacing w:val="-2"/>
          <w:sz w:val="20"/>
        </w:rPr>
        <w:t xml:space="preserve"> </w:t>
      </w:r>
      <w:r>
        <w:rPr>
          <w:sz w:val="20"/>
        </w:rPr>
        <w:t>they felt like</w:t>
      </w:r>
      <w:r>
        <w:rPr>
          <w:spacing w:val="-3"/>
          <w:sz w:val="20"/>
        </w:rPr>
        <w:t xml:space="preserve"> </w:t>
      </w:r>
      <w:r>
        <w:rPr>
          <w:sz w:val="20"/>
        </w:rPr>
        <w:t>th</w:t>
      </w:r>
      <w:r>
        <w:rPr>
          <w:sz w:val="20"/>
        </w:rPr>
        <w:t>ey</w:t>
      </w:r>
      <w:r>
        <w:rPr>
          <w:spacing w:val="-1"/>
          <w:sz w:val="20"/>
        </w:rPr>
        <w:t xml:space="preserve"> </w:t>
      </w:r>
      <w:r>
        <w:rPr>
          <w:sz w:val="20"/>
        </w:rPr>
        <w:t>had</w:t>
      </w:r>
      <w:r>
        <w:rPr>
          <w:spacing w:val="-1"/>
          <w:sz w:val="20"/>
        </w:rPr>
        <w:t xml:space="preserve"> </w:t>
      </w:r>
      <w:r>
        <w:rPr>
          <w:sz w:val="20"/>
        </w:rPr>
        <w:t>to</w:t>
      </w:r>
      <w:r>
        <w:rPr>
          <w:spacing w:val="-2"/>
          <w:sz w:val="20"/>
        </w:rPr>
        <w:t xml:space="preserve"> </w:t>
      </w:r>
      <w:r>
        <w:rPr>
          <w:sz w:val="20"/>
        </w:rPr>
        <w:t>choose</w:t>
      </w:r>
      <w:r>
        <w:rPr>
          <w:spacing w:val="-3"/>
          <w:sz w:val="20"/>
        </w:rPr>
        <w:t xml:space="preserve"> </w:t>
      </w:r>
      <w:r>
        <w:rPr>
          <w:sz w:val="20"/>
        </w:rPr>
        <w:t>between</w:t>
      </w:r>
      <w:r>
        <w:rPr>
          <w:spacing w:val="-1"/>
          <w:sz w:val="20"/>
        </w:rPr>
        <w:t xml:space="preserve"> </w:t>
      </w:r>
      <w:r>
        <w:rPr>
          <w:sz w:val="20"/>
        </w:rPr>
        <w:t>their mental</w:t>
      </w:r>
      <w:r>
        <w:rPr>
          <w:spacing w:val="-2"/>
          <w:sz w:val="20"/>
        </w:rPr>
        <w:t xml:space="preserve"> </w:t>
      </w:r>
      <w:r>
        <w:rPr>
          <w:sz w:val="20"/>
        </w:rPr>
        <w:t>health</w:t>
      </w:r>
      <w:r>
        <w:rPr>
          <w:spacing w:val="-1"/>
          <w:sz w:val="20"/>
        </w:rPr>
        <w:t xml:space="preserve"> </w:t>
      </w:r>
      <w:r>
        <w:rPr>
          <w:sz w:val="20"/>
        </w:rPr>
        <w:t>or the well-being of their child when making decisions about pausing hormone therapy during pregnancy. There is inadequate empirical evidence guiding the practice of pausing testosterone therapy for pregnant tra</w:t>
      </w:r>
      <w:r>
        <w:rPr>
          <w:sz w:val="20"/>
        </w:rPr>
        <w:t>nsmen and gender-diverse patients. Most of the existing medical research on the effects of excess androgen exposure to the fetus focuses on pregnant people with polycystic ovary syndrome whose testosterone levels fall between those of cisgender women and c</w:t>
      </w:r>
      <w:r>
        <w:rPr>
          <w:sz w:val="20"/>
        </w:rPr>
        <w:t>isgender men.</w:t>
      </w:r>
      <w:hyperlink w:anchor="_bookmark483" w:history="1">
        <w:r>
          <w:rPr>
            <w:sz w:val="20"/>
            <w:vertAlign w:val="superscript"/>
          </w:rPr>
          <w:t>37</w:t>
        </w:r>
      </w:hyperlink>
      <w:r>
        <w:rPr>
          <w:spacing w:val="-3"/>
          <w:sz w:val="20"/>
        </w:rPr>
        <w:t xml:space="preserve"> </w:t>
      </w:r>
      <w:r>
        <w:rPr>
          <w:sz w:val="20"/>
        </w:rPr>
        <w:t>More research on various dosages of testosterone may affect all stages of pregnancy and chestfeeding and is needed</w:t>
      </w:r>
    </w:p>
    <w:p w:rsidR="00200FDA" w:rsidRDefault="00F76C4C">
      <w:pPr>
        <w:tabs>
          <w:tab w:val="left" w:pos="1634"/>
          <w:tab w:val="left" w:pos="3391"/>
        </w:tabs>
        <w:spacing w:line="264" w:lineRule="auto"/>
        <w:ind w:left="140" w:right="6137"/>
        <w:jc w:val="both"/>
        <w:rPr>
          <w:sz w:val="20"/>
        </w:rPr>
      </w:pPr>
      <w:r>
        <w:rPr>
          <w:sz w:val="20"/>
        </w:rPr>
        <w:t>to further expand better pregnancy and birthing outcomes for transgender and nonbinary</w:t>
      </w:r>
      <w:r>
        <w:rPr>
          <w:spacing w:val="-12"/>
          <w:sz w:val="20"/>
        </w:rPr>
        <w:t xml:space="preserve"> </w:t>
      </w:r>
      <w:r>
        <w:rPr>
          <w:sz w:val="20"/>
        </w:rPr>
        <w:t>birthi</w:t>
      </w:r>
      <w:r>
        <w:rPr>
          <w:sz w:val="20"/>
        </w:rPr>
        <w:t>ng</w:t>
      </w:r>
      <w:r>
        <w:rPr>
          <w:spacing w:val="-11"/>
          <w:sz w:val="20"/>
        </w:rPr>
        <w:t xml:space="preserve"> </w:t>
      </w:r>
      <w:r>
        <w:rPr>
          <w:sz w:val="20"/>
        </w:rPr>
        <w:t>people.</w:t>
      </w:r>
      <w:r>
        <w:rPr>
          <w:spacing w:val="-11"/>
          <w:sz w:val="20"/>
        </w:rPr>
        <w:t xml:space="preserve"> </w:t>
      </w:r>
      <w:r>
        <w:rPr>
          <w:sz w:val="20"/>
        </w:rPr>
        <w:t>It’s</w:t>
      </w:r>
      <w:r>
        <w:rPr>
          <w:spacing w:val="-12"/>
          <w:sz w:val="20"/>
        </w:rPr>
        <w:t xml:space="preserve"> </w:t>
      </w:r>
      <w:r>
        <w:rPr>
          <w:sz w:val="20"/>
        </w:rPr>
        <w:t>important</w:t>
      </w:r>
      <w:r>
        <w:rPr>
          <w:spacing w:val="-11"/>
          <w:sz w:val="20"/>
        </w:rPr>
        <w:t xml:space="preserve"> </w:t>
      </w:r>
      <w:r>
        <w:rPr>
          <w:sz w:val="20"/>
        </w:rPr>
        <w:t xml:space="preserve">for healthcare providers to understand how </w:t>
      </w:r>
      <w:r>
        <w:rPr>
          <w:spacing w:val="-2"/>
          <w:sz w:val="20"/>
        </w:rPr>
        <w:t>gendered</w:t>
      </w:r>
      <w:r>
        <w:rPr>
          <w:sz w:val="20"/>
        </w:rPr>
        <w:tab/>
      </w:r>
      <w:r>
        <w:rPr>
          <w:spacing w:val="-2"/>
          <w:sz w:val="20"/>
        </w:rPr>
        <w:t>expectations</w:t>
      </w:r>
      <w:r>
        <w:rPr>
          <w:sz w:val="20"/>
        </w:rPr>
        <w:tab/>
      </w:r>
      <w:r>
        <w:rPr>
          <w:spacing w:val="-4"/>
          <w:sz w:val="20"/>
        </w:rPr>
        <w:t xml:space="preserve">and </w:t>
      </w:r>
      <w:r>
        <w:rPr>
          <w:sz w:val="20"/>
        </w:rPr>
        <w:t>heteronormative ideals of birthing could elicit gender dysmorphia, depression, and distress for birthing transgender people even if they desired pregnancy from t</w:t>
      </w:r>
      <w:r>
        <w:rPr>
          <w:sz w:val="20"/>
        </w:rPr>
        <w:t xml:space="preserve">he </w:t>
      </w:r>
      <w:r>
        <w:rPr>
          <w:spacing w:val="-2"/>
          <w:sz w:val="20"/>
        </w:rPr>
        <w:t>beginning.</w:t>
      </w:r>
    </w:p>
    <w:p w:rsidR="00200FDA" w:rsidRDefault="00200FDA">
      <w:pPr>
        <w:pStyle w:val="BodyText"/>
        <w:rPr>
          <w:sz w:val="20"/>
        </w:rPr>
      </w:pPr>
    </w:p>
    <w:p w:rsidR="00200FDA" w:rsidRDefault="00F76C4C">
      <w:pPr>
        <w:pStyle w:val="Heading8"/>
        <w:spacing w:before="158"/>
      </w:pPr>
      <w:bookmarkStart w:id="585" w:name="Fertility_Treatments"/>
      <w:bookmarkEnd w:id="585"/>
      <w:r>
        <w:rPr>
          <w:color w:val="2E5395"/>
        </w:rPr>
        <w:t>Fertility</w:t>
      </w:r>
      <w:r>
        <w:rPr>
          <w:color w:val="2E5395"/>
          <w:spacing w:val="-1"/>
        </w:rPr>
        <w:t xml:space="preserve"> </w:t>
      </w:r>
      <w:r>
        <w:rPr>
          <w:color w:val="2E5395"/>
          <w:spacing w:val="-2"/>
        </w:rPr>
        <w:t>Treatments</w:t>
      </w:r>
    </w:p>
    <w:p w:rsidR="00200FDA" w:rsidRDefault="00200FDA">
      <w:pPr>
        <w:pStyle w:val="BodyText"/>
        <w:spacing w:before="9"/>
        <w:rPr>
          <w:sz w:val="19"/>
        </w:rPr>
      </w:pPr>
    </w:p>
    <w:p w:rsidR="00200FDA" w:rsidRDefault="00F76C4C">
      <w:pPr>
        <w:spacing w:before="1" w:line="264" w:lineRule="auto"/>
        <w:ind w:left="140" w:right="6137"/>
        <w:jc w:val="both"/>
        <w:rPr>
          <w:sz w:val="20"/>
        </w:rPr>
      </w:pPr>
      <w:r>
        <w:rPr>
          <w:sz w:val="20"/>
        </w:rPr>
        <w:t>The World Health Organization defines “infertility” as a disease of the male and female</w:t>
      </w:r>
      <w:r>
        <w:rPr>
          <w:spacing w:val="3"/>
          <w:sz w:val="20"/>
        </w:rPr>
        <w:t xml:space="preserve"> </w:t>
      </w:r>
      <w:r>
        <w:rPr>
          <w:sz w:val="20"/>
        </w:rPr>
        <w:t>reproductive</w:t>
      </w:r>
      <w:r>
        <w:rPr>
          <w:spacing w:val="6"/>
          <w:sz w:val="20"/>
        </w:rPr>
        <w:t xml:space="preserve"> </w:t>
      </w:r>
      <w:r>
        <w:rPr>
          <w:sz w:val="20"/>
        </w:rPr>
        <w:t>system</w:t>
      </w:r>
      <w:r>
        <w:rPr>
          <w:spacing w:val="8"/>
          <w:sz w:val="20"/>
        </w:rPr>
        <w:t xml:space="preserve"> </w:t>
      </w:r>
      <w:r>
        <w:rPr>
          <w:sz w:val="20"/>
        </w:rPr>
        <w:t>defined</w:t>
      </w:r>
      <w:r>
        <w:rPr>
          <w:spacing w:val="5"/>
          <w:sz w:val="20"/>
        </w:rPr>
        <w:t xml:space="preserve"> </w:t>
      </w:r>
      <w:r>
        <w:rPr>
          <w:sz w:val="20"/>
        </w:rPr>
        <w:t>by</w:t>
      </w:r>
      <w:r>
        <w:rPr>
          <w:spacing w:val="6"/>
          <w:sz w:val="20"/>
        </w:rPr>
        <w:t xml:space="preserve"> </w:t>
      </w:r>
      <w:r>
        <w:rPr>
          <w:spacing w:val="-5"/>
          <w:sz w:val="20"/>
        </w:rPr>
        <w:t>the</w:t>
      </w:r>
    </w:p>
    <w:p w:rsidR="00200FDA" w:rsidRDefault="00F76C4C">
      <w:pPr>
        <w:spacing w:line="264" w:lineRule="auto"/>
        <w:ind w:left="139" w:right="337"/>
        <w:jc w:val="both"/>
        <w:rPr>
          <w:sz w:val="20"/>
        </w:rPr>
      </w:pPr>
      <w:r>
        <w:rPr>
          <w:sz w:val="20"/>
        </w:rPr>
        <w:t>failure to achieve pregnancy after 12 months of or more of regular unprotected sexual intercourse.</w:t>
      </w:r>
      <w:hyperlink w:anchor="_bookmark484" w:history="1">
        <w:r>
          <w:rPr>
            <w:sz w:val="20"/>
            <w:vertAlign w:val="superscript"/>
          </w:rPr>
          <w:t>38</w:t>
        </w:r>
      </w:hyperlink>
      <w:r>
        <w:rPr>
          <w:spacing w:val="-3"/>
          <w:sz w:val="20"/>
        </w:rPr>
        <w:t xml:space="preserve"> </w:t>
      </w:r>
      <w:r>
        <w:rPr>
          <w:sz w:val="20"/>
        </w:rPr>
        <w:t>This physical understanding of “infertility” does not capture the experience of most LGBTQ individuals; for some LGBTQ indi</w:t>
      </w:r>
      <w:r>
        <w:rPr>
          <w:sz w:val="20"/>
        </w:rPr>
        <w:t>viduals, they are not biologically infertile yet cannot become pregnant. For example, a lesbian assigned female at</w:t>
      </w:r>
      <w:r>
        <w:rPr>
          <w:spacing w:val="-10"/>
          <w:sz w:val="20"/>
        </w:rPr>
        <w:t xml:space="preserve"> </w:t>
      </w:r>
      <w:r>
        <w:rPr>
          <w:sz w:val="20"/>
        </w:rPr>
        <w:t>birth</w:t>
      </w:r>
      <w:r>
        <w:rPr>
          <w:spacing w:val="-12"/>
          <w:sz w:val="20"/>
        </w:rPr>
        <w:t xml:space="preserve"> </w:t>
      </w:r>
      <w:r>
        <w:rPr>
          <w:sz w:val="20"/>
        </w:rPr>
        <w:t>could</w:t>
      </w:r>
      <w:r>
        <w:rPr>
          <w:spacing w:val="-11"/>
          <w:sz w:val="20"/>
        </w:rPr>
        <w:t xml:space="preserve"> </w:t>
      </w:r>
      <w:r>
        <w:rPr>
          <w:sz w:val="20"/>
        </w:rPr>
        <w:t>have</w:t>
      </w:r>
      <w:r>
        <w:rPr>
          <w:spacing w:val="-11"/>
          <w:sz w:val="20"/>
        </w:rPr>
        <w:t xml:space="preserve"> </w:t>
      </w:r>
      <w:r>
        <w:rPr>
          <w:sz w:val="20"/>
        </w:rPr>
        <w:t>the</w:t>
      </w:r>
      <w:r>
        <w:rPr>
          <w:spacing w:val="-11"/>
          <w:sz w:val="20"/>
        </w:rPr>
        <w:t xml:space="preserve"> </w:t>
      </w:r>
      <w:r>
        <w:rPr>
          <w:sz w:val="20"/>
        </w:rPr>
        <w:t>reproductive</w:t>
      </w:r>
      <w:r>
        <w:rPr>
          <w:spacing w:val="-11"/>
          <w:sz w:val="20"/>
        </w:rPr>
        <w:t xml:space="preserve"> </w:t>
      </w:r>
      <w:r>
        <w:rPr>
          <w:sz w:val="20"/>
        </w:rPr>
        <w:t>capabilities</w:t>
      </w:r>
      <w:r>
        <w:rPr>
          <w:spacing w:val="-11"/>
          <w:sz w:val="20"/>
        </w:rPr>
        <w:t xml:space="preserve"> </w:t>
      </w:r>
      <w:r>
        <w:rPr>
          <w:sz w:val="20"/>
        </w:rPr>
        <w:t>of</w:t>
      </w:r>
      <w:r>
        <w:rPr>
          <w:spacing w:val="-11"/>
          <w:sz w:val="20"/>
        </w:rPr>
        <w:t xml:space="preserve"> </w:t>
      </w:r>
      <w:r>
        <w:rPr>
          <w:sz w:val="20"/>
        </w:rPr>
        <w:t>becoming</w:t>
      </w:r>
      <w:r>
        <w:rPr>
          <w:spacing w:val="-10"/>
          <w:sz w:val="20"/>
        </w:rPr>
        <w:t xml:space="preserve"> </w:t>
      </w:r>
      <w:r>
        <w:rPr>
          <w:sz w:val="20"/>
        </w:rPr>
        <w:t>pregnant</w:t>
      </w:r>
      <w:r>
        <w:rPr>
          <w:spacing w:val="-10"/>
          <w:sz w:val="20"/>
        </w:rPr>
        <w:t xml:space="preserve"> </w:t>
      </w:r>
      <w:r>
        <w:rPr>
          <w:sz w:val="20"/>
        </w:rPr>
        <w:t>but</w:t>
      </w:r>
      <w:r>
        <w:rPr>
          <w:spacing w:val="-10"/>
          <w:sz w:val="20"/>
        </w:rPr>
        <w:t xml:space="preserve"> </w:t>
      </w:r>
      <w:r>
        <w:rPr>
          <w:sz w:val="20"/>
        </w:rPr>
        <w:t>they</w:t>
      </w:r>
      <w:r>
        <w:rPr>
          <w:spacing w:val="-12"/>
          <w:sz w:val="20"/>
        </w:rPr>
        <w:t xml:space="preserve"> </w:t>
      </w:r>
      <w:r>
        <w:rPr>
          <w:sz w:val="20"/>
        </w:rPr>
        <w:t>cannot</w:t>
      </w:r>
      <w:r>
        <w:rPr>
          <w:spacing w:val="-11"/>
          <w:sz w:val="20"/>
        </w:rPr>
        <w:t xml:space="preserve"> </w:t>
      </w:r>
      <w:r>
        <w:rPr>
          <w:sz w:val="20"/>
        </w:rPr>
        <w:t>get</w:t>
      </w:r>
      <w:r>
        <w:rPr>
          <w:spacing w:val="-10"/>
          <w:sz w:val="20"/>
        </w:rPr>
        <w:t xml:space="preserve"> </w:t>
      </w:r>
      <w:r>
        <w:rPr>
          <w:sz w:val="20"/>
        </w:rPr>
        <w:t>pregnant</w:t>
      </w:r>
      <w:r>
        <w:rPr>
          <w:spacing w:val="-12"/>
          <w:sz w:val="20"/>
        </w:rPr>
        <w:t xml:space="preserve"> </w:t>
      </w:r>
      <w:r>
        <w:rPr>
          <w:sz w:val="20"/>
        </w:rPr>
        <w:t>by</w:t>
      </w:r>
      <w:r>
        <w:rPr>
          <w:spacing w:val="-11"/>
          <w:sz w:val="20"/>
        </w:rPr>
        <w:t xml:space="preserve"> </w:t>
      </w:r>
      <w:r>
        <w:rPr>
          <w:sz w:val="20"/>
        </w:rPr>
        <w:t>their</w:t>
      </w:r>
      <w:r>
        <w:rPr>
          <w:spacing w:val="-10"/>
          <w:sz w:val="20"/>
        </w:rPr>
        <w:t xml:space="preserve"> </w:t>
      </w:r>
      <w:r>
        <w:rPr>
          <w:sz w:val="20"/>
        </w:rPr>
        <w:t>partner who is also female assigned</w:t>
      </w:r>
      <w:r>
        <w:rPr>
          <w:sz w:val="20"/>
        </w:rPr>
        <w:t xml:space="preserve"> at birth. Biologically, this couple cannot conceive together through sexual intercourse. Medically,</w:t>
      </w:r>
      <w:r>
        <w:rPr>
          <w:spacing w:val="-6"/>
          <w:sz w:val="20"/>
        </w:rPr>
        <w:t xml:space="preserve"> </w:t>
      </w:r>
      <w:r>
        <w:rPr>
          <w:sz w:val="20"/>
        </w:rPr>
        <w:t>the</w:t>
      </w:r>
      <w:r>
        <w:rPr>
          <w:spacing w:val="-7"/>
          <w:sz w:val="20"/>
        </w:rPr>
        <w:t xml:space="preserve"> </w:t>
      </w:r>
      <w:r>
        <w:rPr>
          <w:sz w:val="20"/>
        </w:rPr>
        <w:t>language</w:t>
      </w:r>
      <w:r>
        <w:rPr>
          <w:spacing w:val="-7"/>
          <w:sz w:val="20"/>
        </w:rPr>
        <w:t xml:space="preserve"> </w:t>
      </w:r>
      <w:r>
        <w:rPr>
          <w:sz w:val="20"/>
        </w:rPr>
        <w:t>around</w:t>
      </w:r>
      <w:r>
        <w:rPr>
          <w:spacing w:val="-6"/>
          <w:sz w:val="20"/>
        </w:rPr>
        <w:t xml:space="preserve"> </w:t>
      </w:r>
      <w:r>
        <w:rPr>
          <w:sz w:val="20"/>
        </w:rPr>
        <w:t>fertility</w:t>
      </w:r>
      <w:r>
        <w:rPr>
          <w:spacing w:val="-5"/>
          <w:sz w:val="20"/>
        </w:rPr>
        <w:t xml:space="preserve"> </w:t>
      </w:r>
      <w:r>
        <w:rPr>
          <w:sz w:val="20"/>
        </w:rPr>
        <w:t>assumes</w:t>
      </w:r>
      <w:r>
        <w:rPr>
          <w:spacing w:val="-8"/>
          <w:sz w:val="20"/>
        </w:rPr>
        <w:t xml:space="preserve"> </w:t>
      </w:r>
      <w:r>
        <w:rPr>
          <w:sz w:val="20"/>
        </w:rPr>
        <w:t>heterosexuality.</w:t>
      </w:r>
      <w:r>
        <w:rPr>
          <w:spacing w:val="-6"/>
          <w:sz w:val="20"/>
        </w:rPr>
        <w:t xml:space="preserve"> </w:t>
      </w:r>
      <w:r>
        <w:rPr>
          <w:sz w:val="20"/>
        </w:rPr>
        <w:t>Many</w:t>
      </w:r>
      <w:r>
        <w:rPr>
          <w:spacing w:val="-6"/>
          <w:sz w:val="20"/>
        </w:rPr>
        <w:t xml:space="preserve"> </w:t>
      </w:r>
      <w:r>
        <w:rPr>
          <w:sz w:val="20"/>
        </w:rPr>
        <w:t>LGBTQ</w:t>
      </w:r>
      <w:r>
        <w:rPr>
          <w:spacing w:val="-6"/>
          <w:sz w:val="20"/>
        </w:rPr>
        <w:t xml:space="preserve"> </w:t>
      </w:r>
      <w:r>
        <w:rPr>
          <w:sz w:val="20"/>
        </w:rPr>
        <w:t>individuals</w:t>
      </w:r>
      <w:r>
        <w:rPr>
          <w:spacing w:val="-8"/>
          <w:sz w:val="20"/>
        </w:rPr>
        <w:t xml:space="preserve"> </w:t>
      </w:r>
      <w:r>
        <w:rPr>
          <w:sz w:val="20"/>
        </w:rPr>
        <w:t>make</w:t>
      </w:r>
      <w:r>
        <w:rPr>
          <w:spacing w:val="-7"/>
          <w:sz w:val="20"/>
        </w:rPr>
        <w:t xml:space="preserve"> </w:t>
      </w:r>
      <w:r>
        <w:rPr>
          <w:sz w:val="20"/>
        </w:rPr>
        <w:t>their</w:t>
      </w:r>
      <w:r>
        <w:rPr>
          <w:spacing w:val="-6"/>
          <w:sz w:val="20"/>
        </w:rPr>
        <w:t xml:space="preserve"> </w:t>
      </w:r>
      <w:r>
        <w:rPr>
          <w:sz w:val="20"/>
        </w:rPr>
        <w:t>own</w:t>
      </w:r>
      <w:r>
        <w:rPr>
          <w:spacing w:val="-6"/>
          <w:sz w:val="20"/>
        </w:rPr>
        <w:t xml:space="preserve"> </w:t>
      </w:r>
      <w:r>
        <w:rPr>
          <w:sz w:val="20"/>
        </w:rPr>
        <w:t>choice</w:t>
      </w:r>
      <w:r>
        <w:rPr>
          <w:spacing w:val="-7"/>
          <w:sz w:val="20"/>
        </w:rPr>
        <w:t xml:space="preserve"> </w:t>
      </w:r>
      <w:r>
        <w:rPr>
          <w:sz w:val="20"/>
        </w:rPr>
        <w:t>in going</w:t>
      </w:r>
      <w:r>
        <w:rPr>
          <w:spacing w:val="-7"/>
          <w:sz w:val="20"/>
        </w:rPr>
        <w:t xml:space="preserve"> </w:t>
      </w:r>
      <w:r>
        <w:rPr>
          <w:sz w:val="20"/>
        </w:rPr>
        <w:t>through</w:t>
      </w:r>
      <w:r>
        <w:rPr>
          <w:spacing w:val="-6"/>
          <w:sz w:val="20"/>
        </w:rPr>
        <w:t xml:space="preserve"> </w:t>
      </w:r>
      <w:r>
        <w:rPr>
          <w:sz w:val="20"/>
        </w:rPr>
        <w:t>pregnancy,</w:t>
      </w:r>
      <w:r>
        <w:rPr>
          <w:spacing w:val="-6"/>
          <w:sz w:val="20"/>
        </w:rPr>
        <w:t xml:space="preserve"> </w:t>
      </w:r>
      <w:r>
        <w:rPr>
          <w:sz w:val="20"/>
        </w:rPr>
        <w:t>often</w:t>
      </w:r>
      <w:r>
        <w:rPr>
          <w:spacing w:val="-6"/>
          <w:sz w:val="20"/>
        </w:rPr>
        <w:t xml:space="preserve"> </w:t>
      </w:r>
      <w:r>
        <w:rPr>
          <w:sz w:val="20"/>
        </w:rPr>
        <w:t>seeking</w:t>
      </w:r>
      <w:r>
        <w:rPr>
          <w:spacing w:val="-5"/>
          <w:sz w:val="20"/>
        </w:rPr>
        <w:t xml:space="preserve"> </w:t>
      </w:r>
      <w:r>
        <w:rPr>
          <w:sz w:val="20"/>
        </w:rPr>
        <w:t>fertility</w:t>
      </w:r>
      <w:r>
        <w:rPr>
          <w:spacing w:val="-6"/>
          <w:sz w:val="20"/>
        </w:rPr>
        <w:t xml:space="preserve"> </w:t>
      </w:r>
      <w:r>
        <w:rPr>
          <w:sz w:val="20"/>
        </w:rPr>
        <w:t>treatments</w:t>
      </w:r>
      <w:r>
        <w:rPr>
          <w:spacing w:val="-8"/>
          <w:sz w:val="20"/>
        </w:rPr>
        <w:t xml:space="preserve"> </w:t>
      </w:r>
      <w:r>
        <w:rPr>
          <w:sz w:val="20"/>
        </w:rPr>
        <w:t>to</w:t>
      </w:r>
      <w:r>
        <w:rPr>
          <w:spacing w:val="-6"/>
          <w:sz w:val="20"/>
        </w:rPr>
        <w:t xml:space="preserve"> </w:t>
      </w:r>
      <w:r>
        <w:rPr>
          <w:sz w:val="20"/>
        </w:rPr>
        <w:t>achieve</w:t>
      </w:r>
      <w:r>
        <w:rPr>
          <w:spacing w:val="-8"/>
          <w:sz w:val="20"/>
        </w:rPr>
        <w:t xml:space="preserve"> </w:t>
      </w:r>
      <w:r>
        <w:rPr>
          <w:sz w:val="20"/>
        </w:rPr>
        <w:t>pregnancy,</w:t>
      </w:r>
      <w:hyperlink w:anchor="_bookmark485" w:history="1">
        <w:r>
          <w:rPr>
            <w:sz w:val="20"/>
            <w:vertAlign w:val="superscript"/>
          </w:rPr>
          <w:t>39</w:t>
        </w:r>
      </w:hyperlink>
      <w:r>
        <w:rPr>
          <w:spacing w:val="-3"/>
          <w:sz w:val="20"/>
        </w:rPr>
        <w:t xml:space="preserve"> </w:t>
      </w:r>
      <w:r>
        <w:rPr>
          <w:sz w:val="20"/>
        </w:rPr>
        <w:t>although</w:t>
      </w:r>
      <w:r>
        <w:rPr>
          <w:spacing w:val="-6"/>
          <w:sz w:val="20"/>
        </w:rPr>
        <w:t xml:space="preserve"> </w:t>
      </w:r>
      <w:r>
        <w:rPr>
          <w:sz w:val="20"/>
        </w:rPr>
        <w:t>disparities</w:t>
      </w:r>
      <w:r>
        <w:rPr>
          <w:spacing w:val="-8"/>
          <w:sz w:val="20"/>
        </w:rPr>
        <w:t xml:space="preserve"> </w:t>
      </w:r>
      <w:r>
        <w:rPr>
          <w:sz w:val="20"/>
        </w:rPr>
        <w:t>in</w:t>
      </w:r>
      <w:r>
        <w:rPr>
          <w:spacing w:val="-6"/>
          <w:sz w:val="20"/>
        </w:rPr>
        <w:t xml:space="preserve"> </w:t>
      </w:r>
      <w:r>
        <w:rPr>
          <w:sz w:val="20"/>
        </w:rPr>
        <w:t>access</w:t>
      </w:r>
      <w:r>
        <w:rPr>
          <w:spacing w:val="-8"/>
          <w:sz w:val="20"/>
        </w:rPr>
        <w:t xml:space="preserve"> </w:t>
      </w:r>
      <w:r>
        <w:rPr>
          <w:sz w:val="20"/>
        </w:rPr>
        <w:t>to fertility</w:t>
      </w:r>
      <w:r>
        <w:rPr>
          <w:spacing w:val="-9"/>
          <w:sz w:val="20"/>
        </w:rPr>
        <w:t xml:space="preserve"> </w:t>
      </w:r>
      <w:r>
        <w:rPr>
          <w:sz w:val="20"/>
        </w:rPr>
        <w:t>treatments</w:t>
      </w:r>
      <w:r>
        <w:rPr>
          <w:spacing w:val="25"/>
          <w:sz w:val="20"/>
        </w:rPr>
        <w:t xml:space="preserve"> </w:t>
      </w:r>
      <w:r>
        <w:rPr>
          <w:sz w:val="20"/>
        </w:rPr>
        <w:t>exist</w:t>
      </w:r>
      <w:r>
        <w:rPr>
          <w:spacing w:val="-10"/>
          <w:sz w:val="20"/>
        </w:rPr>
        <w:t xml:space="preserve"> </w:t>
      </w:r>
      <w:r>
        <w:rPr>
          <w:sz w:val="20"/>
        </w:rPr>
        <w:t>along</w:t>
      </w:r>
      <w:r>
        <w:rPr>
          <w:spacing w:val="-10"/>
          <w:sz w:val="20"/>
        </w:rPr>
        <w:t xml:space="preserve"> </w:t>
      </w:r>
      <w:r>
        <w:rPr>
          <w:sz w:val="20"/>
        </w:rPr>
        <w:t>the</w:t>
      </w:r>
      <w:r>
        <w:rPr>
          <w:spacing w:val="-11"/>
          <w:sz w:val="20"/>
        </w:rPr>
        <w:t xml:space="preserve"> </w:t>
      </w:r>
      <w:r>
        <w:rPr>
          <w:sz w:val="20"/>
        </w:rPr>
        <w:t>lines</w:t>
      </w:r>
      <w:r>
        <w:rPr>
          <w:spacing w:val="-11"/>
          <w:sz w:val="20"/>
        </w:rPr>
        <w:t xml:space="preserve"> </w:t>
      </w:r>
      <w:r>
        <w:rPr>
          <w:sz w:val="20"/>
        </w:rPr>
        <w:t>of</w:t>
      </w:r>
      <w:r>
        <w:rPr>
          <w:spacing w:val="-11"/>
          <w:sz w:val="20"/>
        </w:rPr>
        <w:t xml:space="preserve"> </w:t>
      </w:r>
      <w:r>
        <w:rPr>
          <w:sz w:val="20"/>
        </w:rPr>
        <w:t>race,</w:t>
      </w:r>
      <w:r>
        <w:rPr>
          <w:spacing w:val="-10"/>
          <w:sz w:val="20"/>
        </w:rPr>
        <w:t xml:space="preserve"> </w:t>
      </w:r>
      <w:r>
        <w:rPr>
          <w:sz w:val="20"/>
        </w:rPr>
        <w:t>ethnicity,</w:t>
      </w:r>
      <w:r>
        <w:rPr>
          <w:spacing w:val="-10"/>
          <w:sz w:val="20"/>
        </w:rPr>
        <w:t xml:space="preserve"> </w:t>
      </w:r>
      <w:r>
        <w:rPr>
          <w:sz w:val="20"/>
        </w:rPr>
        <w:t>education,</w:t>
      </w:r>
      <w:r>
        <w:rPr>
          <w:spacing w:val="-10"/>
          <w:sz w:val="20"/>
        </w:rPr>
        <w:t xml:space="preserve"> </w:t>
      </w:r>
      <w:r>
        <w:rPr>
          <w:sz w:val="20"/>
        </w:rPr>
        <w:t>class,</w:t>
      </w:r>
      <w:r>
        <w:rPr>
          <w:spacing w:val="-10"/>
          <w:sz w:val="20"/>
        </w:rPr>
        <w:t xml:space="preserve"> </w:t>
      </w:r>
      <w:r>
        <w:rPr>
          <w:sz w:val="20"/>
        </w:rPr>
        <w:t>gender</w:t>
      </w:r>
      <w:r>
        <w:rPr>
          <w:spacing w:val="-10"/>
          <w:sz w:val="20"/>
        </w:rPr>
        <w:t xml:space="preserve"> </w:t>
      </w:r>
      <w:r>
        <w:rPr>
          <w:sz w:val="20"/>
        </w:rPr>
        <w:t>identity,</w:t>
      </w:r>
      <w:r>
        <w:rPr>
          <w:spacing w:val="-10"/>
          <w:sz w:val="20"/>
        </w:rPr>
        <w:t xml:space="preserve"> </w:t>
      </w:r>
      <w:r>
        <w:rPr>
          <w:sz w:val="20"/>
        </w:rPr>
        <w:t>and</w:t>
      </w:r>
      <w:r>
        <w:rPr>
          <w:spacing w:val="-12"/>
          <w:sz w:val="20"/>
        </w:rPr>
        <w:t xml:space="preserve"> </w:t>
      </w:r>
      <w:r>
        <w:rPr>
          <w:sz w:val="20"/>
        </w:rPr>
        <w:t>sexual</w:t>
      </w:r>
      <w:r>
        <w:rPr>
          <w:spacing w:val="-9"/>
          <w:sz w:val="20"/>
        </w:rPr>
        <w:t xml:space="preserve"> </w:t>
      </w:r>
      <w:r>
        <w:rPr>
          <w:sz w:val="20"/>
        </w:rPr>
        <w:t>orientation.</w:t>
      </w:r>
      <w:hyperlink w:anchor="_bookmark486" w:history="1">
        <w:r>
          <w:rPr>
            <w:sz w:val="20"/>
            <w:vertAlign w:val="superscript"/>
          </w:rPr>
          <w:t>40</w:t>
        </w:r>
      </w:hyperlink>
      <w:r>
        <w:rPr>
          <w:sz w:val="20"/>
        </w:rPr>
        <w:t xml:space="preserve"> Even when living in states with mandated insurance coverage for fertility treatments, racial and socioeconomic disparities exist among fertility patients accessing care.</w:t>
      </w:r>
      <w:r>
        <w:rPr>
          <w:spacing w:val="-12"/>
          <w:sz w:val="20"/>
        </w:rPr>
        <w:t xml:space="preserve"> </w:t>
      </w:r>
      <w:hyperlink w:anchor="_bookmark487" w:history="1">
        <w:r>
          <w:rPr>
            <w:sz w:val="20"/>
            <w:vertAlign w:val="superscript"/>
          </w:rPr>
          <w:t>41</w:t>
        </w:r>
      </w:hyperlink>
      <w:r>
        <w:rPr>
          <w:sz w:val="20"/>
        </w:rPr>
        <w:t xml:space="preserve"> As discussed further below, infertility for the LG</w:t>
      </w:r>
      <w:r>
        <w:rPr>
          <w:sz w:val="20"/>
        </w:rPr>
        <w:t>BTQ community is usually the inability to be able to afford fertility treatments to get pregnant, whereas heterosexual families are more likely to afford fertility treatments through tax loopholes.</w:t>
      </w:r>
    </w:p>
    <w:p w:rsidR="00200FDA" w:rsidRDefault="00F76C4C">
      <w:pPr>
        <w:pStyle w:val="Heading8"/>
        <w:spacing w:before="157"/>
      </w:pPr>
      <w:bookmarkStart w:id="586" w:name="Maternal_Mortality"/>
      <w:bookmarkEnd w:id="586"/>
      <w:r>
        <w:rPr>
          <w:color w:val="2E5395"/>
        </w:rPr>
        <w:t>Maternal</w:t>
      </w:r>
      <w:r>
        <w:rPr>
          <w:color w:val="2E5395"/>
          <w:spacing w:val="-2"/>
        </w:rPr>
        <w:t xml:space="preserve"> Mortality</w:t>
      </w:r>
    </w:p>
    <w:p w:rsidR="00200FDA" w:rsidRDefault="00200FDA">
      <w:pPr>
        <w:pStyle w:val="BodyText"/>
        <w:spacing w:before="10"/>
        <w:rPr>
          <w:sz w:val="19"/>
        </w:rPr>
      </w:pPr>
    </w:p>
    <w:p w:rsidR="00200FDA" w:rsidRDefault="00F76C4C">
      <w:pPr>
        <w:spacing w:line="264" w:lineRule="auto"/>
        <w:ind w:left="139" w:right="337"/>
        <w:jc w:val="both"/>
        <w:rPr>
          <w:sz w:val="20"/>
        </w:rPr>
      </w:pPr>
      <w:r>
        <w:rPr>
          <w:sz w:val="20"/>
        </w:rPr>
        <w:t>In</w:t>
      </w:r>
      <w:r>
        <w:rPr>
          <w:spacing w:val="-1"/>
          <w:sz w:val="20"/>
        </w:rPr>
        <w:t xml:space="preserve"> </w:t>
      </w:r>
      <w:r>
        <w:rPr>
          <w:sz w:val="20"/>
        </w:rPr>
        <w:t>recent</w:t>
      </w:r>
      <w:r>
        <w:rPr>
          <w:spacing w:val="-2"/>
          <w:sz w:val="20"/>
        </w:rPr>
        <w:t xml:space="preserve"> </w:t>
      </w:r>
      <w:r>
        <w:rPr>
          <w:sz w:val="20"/>
        </w:rPr>
        <w:t>years,</w:t>
      </w:r>
      <w:r>
        <w:rPr>
          <w:spacing w:val="-1"/>
          <w:sz w:val="20"/>
        </w:rPr>
        <w:t xml:space="preserve"> </w:t>
      </w:r>
      <w:r>
        <w:rPr>
          <w:sz w:val="20"/>
        </w:rPr>
        <w:t>the United</w:t>
      </w:r>
      <w:r>
        <w:rPr>
          <w:spacing w:val="-1"/>
          <w:sz w:val="20"/>
        </w:rPr>
        <w:t xml:space="preserve"> </w:t>
      </w:r>
      <w:r>
        <w:rPr>
          <w:sz w:val="20"/>
        </w:rPr>
        <w:t>States</w:t>
      </w:r>
      <w:r>
        <w:rPr>
          <w:spacing w:val="-3"/>
          <w:sz w:val="20"/>
        </w:rPr>
        <w:t xml:space="preserve"> </w:t>
      </w:r>
      <w:r>
        <w:rPr>
          <w:sz w:val="20"/>
        </w:rPr>
        <w:t>has</w:t>
      </w:r>
      <w:r>
        <w:rPr>
          <w:spacing w:val="-1"/>
          <w:sz w:val="20"/>
        </w:rPr>
        <w:t xml:space="preserve"> </w:t>
      </w:r>
      <w:r>
        <w:rPr>
          <w:sz w:val="20"/>
        </w:rPr>
        <w:t>seen</w:t>
      </w:r>
      <w:r>
        <w:rPr>
          <w:spacing w:val="-1"/>
          <w:sz w:val="20"/>
        </w:rPr>
        <w:t xml:space="preserve"> </w:t>
      </w:r>
      <w:r>
        <w:rPr>
          <w:sz w:val="20"/>
        </w:rPr>
        <w:t>an</w:t>
      </w:r>
      <w:r>
        <w:rPr>
          <w:spacing w:val="-1"/>
          <w:sz w:val="20"/>
        </w:rPr>
        <w:t xml:space="preserve"> </w:t>
      </w:r>
      <w:r>
        <w:rPr>
          <w:sz w:val="20"/>
        </w:rPr>
        <w:t>increase</w:t>
      </w:r>
      <w:r>
        <w:rPr>
          <w:spacing w:val="-3"/>
          <w:sz w:val="20"/>
        </w:rPr>
        <w:t xml:space="preserve"> </w:t>
      </w:r>
      <w:r>
        <w:rPr>
          <w:sz w:val="20"/>
        </w:rPr>
        <w:t>in maternal mortality</w:t>
      </w:r>
      <w:r>
        <w:rPr>
          <w:spacing w:val="-1"/>
          <w:sz w:val="20"/>
        </w:rPr>
        <w:t xml:space="preserve"> </w:t>
      </w:r>
      <w:r>
        <w:rPr>
          <w:sz w:val="20"/>
        </w:rPr>
        <w:t>by</w:t>
      </w:r>
      <w:r>
        <w:rPr>
          <w:spacing w:val="-1"/>
          <w:sz w:val="20"/>
        </w:rPr>
        <w:t xml:space="preserve"> </w:t>
      </w:r>
      <w:r>
        <w:rPr>
          <w:sz w:val="20"/>
        </w:rPr>
        <w:t>26.6%, from</w:t>
      </w:r>
      <w:r>
        <w:rPr>
          <w:spacing w:val="-3"/>
          <w:sz w:val="20"/>
        </w:rPr>
        <w:t xml:space="preserve"> </w:t>
      </w:r>
      <w:r>
        <w:rPr>
          <w:sz w:val="20"/>
        </w:rPr>
        <w:t>18.8</w:t>
      </w:r>
      <w:r>
        <w:rPr>
          <w:spacing w:val="-2"/>
          <w:sz w:val="20"/>
        </w:rPr>
        <w:t xml:space="preserve"> </w:t>
      </w:r>
      <w:r>
        <w:rPr>
          <w:sz w:val="20"/>
        </w:rPr>
        <w:t>in 2000</w:t>
      </w:r>
      <w:r>
        <w:rPr>
          <w:spacing w:val="-2"/>
          <w:sz w:val="20"/>
        </w:rPr>
        <w:t xml:space="preserve"> </w:t>
      </w:r>
      <w:r>
        <w:rPr>
          <w:sz w:val="20"/>
        </w:rPr>
        <w:t>to 23.8 in 2014.</w:t>
      </w:r>
      <w:hyperlink w:anchor="_bookmark488" w:history="1">
        <w:r>
          <w:rPr>
            <w:sz w:val="20"/>
            <w:vertAlign w:val="superscript"/>
          </w:rPr>
          <w:t>42</w:t>
        </w:r>
      </w:hyperlink>
      <w:r>
        <w:rPr>
          <w:spacing w:val="-2"/>
          <w:sz w:val="20"/>
        </w:rPr>
        <w:t xml:space="preserve"> </w:t>
      </w:r>
      <w:r>
        <w:rPr>
          <w:sz w:val="20"/>
        </w:rPr>
        <w:t>States vary in degrees of disparity due to the availability of programs and policies for pregnant people. For Massachusetts, the maternal</w:t>
      </w:r>
      <w:r>
        <w:rPr>
          <w:sz w:val="20"/>
        </w:rPr>
        <w:t xml:space="preserve"> mortality rate is 8.4 per 100,000 births, making it the state with the second lowest maternal</w:t>
      </w:r>
      <w:r>
        <w:rPr>
          <w:spacing w:val="22"/>
          <w:sz w:val="20"/>
        </w:rPr>
        <w:t xml:space="preserve"> </w:t>
      </w:r>
      <w:r>
        <w:rPr>
          <w:sz w:val="20"/>
        </w:rPr>
        <w:t>mortality</w:t>
      </w:r>
      <w:r>
        <w:rPr>
          <w:spacing w:val="20"/>
          <w:sz w:val="20"/>
        </w:rPr>
        <w:t xml:space="preserve"> </w:t>
      </w:r>
      <w:r>
        <w:rPr>
          <w:sz w:val="20"/>
        </w:rPr>
        <w:t>rate.</w:t>
      </w:r>
      <w:hyperlink w:anchor="_bookmark489" w:history="1">
        <w:r>
          <w:rPr>
            <w:sz w:val="20"/>
            <w:vertAlign w:val="superscript"/>
          </w:rPr>
          <w:t>43</w:t>
        </w:r>
      </w:hyperlink>
      <w:r>
        <w:rPr>
          <w:spacing w:val="-2"/>
          <w:sz w:val="20"/>
        </w:rPr>
        <w:t xml:space="preserve"> </w:t>
      </w:r>
      <w:r>
        <w:rPr>
          <w:sz w:val="20"/>
        </w:rPr>
        <w:t>Although</w:t>
      </w:r>
      <w:r>
        <w:rPr>
          <w:spacing w:val="20"/>
          <w:sz w:val="20"/>
        </w:rPr>
        <w:t xml:space="preserve"> </w:t>
      </w:r>
      <w:r>
        <w:rPr>
          <w:sz w:val="20"/>
        </w:rPr>
        <w:t>maternal</w:t>
      </w:r>
      <w:r>
        <w:rPr>
          <w:spacing w:val="19"/>
          <w:sz w:val="20"/>
        </w:rPr>
        <w:t xml:space="preserve"> </w:t>
      </w:r>
      <w:r>
        <w:rPr>
          <w:sz w:val="20"/>
        </w:rPr>
        <w:t>deaths</w:t>
      </w:r>
      <w:r>
        <w:rPr>
          <w:spacing w:val="20"/>
          <w:sz w:val="20"/>
        </w:rPr>
        <w:t xml:space="preserve"> </w:t>
      </w:r>
      <w:r>
        <w:rPr>
          <w:sz w:val="20"/>
        </w:rPr>
        <w:t>are</w:t>
      </w:r>
      <w:r>
        <w:rPr>
          <w:spacing w:val="19"/>
          <w:sz w:val="20"/>
        </w:rPr>
        <w:t xml:space="preserve"> </w:t>
      </w:r>
      <w:r>
        <w:rPr>
          <w:sz w:val="20"/>
        </w:rPr>
        <w:t>low</w:t>
      </w:r>
      <w:r>
        <w:rPr>
          <w:spacing w:val="19"/>
          <w:sz w:val="20"/>
        </w:rPr>
        <w:t xml:space="preserve"> </w:t>
      </w:r>
      <w:r>
        <w:rPr>
          <w:sz w:val="20"/>
        </w:rPr>
        <w:t>in</w:t>
      </w:r>
      <w:r>
        <w:rPr>
          <w:spacing w:val="20"/>
          <w:sz w:val="20"/>
        </w:rPr>
        <w:t xml:space="preserve"> </w:t>
      </w:r>
      <w:r>
        <w:rPr>
          <w:sz w:val="20"/>
        </w:rPr>
        <w:t>Massachusetts,</w:t>
      </w:r>
      <w:r>
        <w:rPr>
          <w:spacing w:val="20"/>
          <w:sz w:val="20"/>
        </w:rPr>
        <w:t xml:space="preserve"> </w:t>
      </w:r>
      <w:r>
        <w:rPr>
          <w:sz w:val="20"/>
        </w:rPr>
        <w:t>racial,</w:t>
      </w:r>
      <w:r>
        <w:rPr>
          <w:spacing w:val="20"/>
          <w:sz w:val="20"/>
        </w:rPr>
        <w:t xml:space="preserve"> </w:t>
      </w:r>
      <w:r>
        <w:rPr>
          <w:sz w:val="20"/>
        </w:rPr>
        <w:t>ethnic,</w:t>
      </w:r>
      <w:r>
        <w:rPr>
          <w:spacing w:val="20"/>
          <w:sz w:val="20"/>
        </w:rPr>
        <w:t xml:space="preserve"> </w:t>
      </w:r>
      <w:r>
        <w:rPr>
          <w:sz w:val="20"/>
        </w:rPr>
        <w:t>age</w:t>
      </w:r>
      <w:r>
        <w:rPr>
          <w:spacing w:val="19"/>
          <w:sz w:val="20"/>
        </w:rPr>
        <w:t xml:space="preserve"> </w:t>
      </w:r>
      <w:r>
        <w:rPr>
          <w:sz w:val="20"/>
        </w:rPr>
        <w:t>and</w:t>
      </w:r>
      <w:r>
        <w:rPr>
          <w:spacing w:val="20"/>
          <w:sz w:val="20"/>
        </w:rPr>
        <w:t xml:space="preserve"> </w:t>
      </w:r>
      <w:r>
        <w:rPr>
          <w:sz w:val="20"/>
        </w:rPr>
        <w:t>insurance</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spacing w:before="66" w:line="264" w:lineRule="auto"/>
        <w:ind w:left="139" w:right="336"/>
        <w:jc w:val="both"/>
        <w:rPr>
          <w:sz w:val="20"/>
        </w:rPr>
      </w:pPr>
      <w:r>
        <w:rPr>
          <w:sz w:val="20"/>
        </w:rPr>
        <w:lastRenderedPageBreak/>
        <w:t>disparities remain. A report from the Massachusetts Department of Public Health showed that Black women were approximately</w:t>
      </w:r>
      <w:r>
        <w:rPr>
          <w:spacing w:val="-12"/>
          <w:sz w:val="20"/>
        </w:rPr>
        <w:t xml:space="preserve"> </w:t>
      </w:r>
      <w:r>
        <w:rPr>
          <w:sz w:val="20"/>
        </w:rPr>
        <w:t>twice</w:t>
      </w:r>
      <w:r>
        <w:rPr>
          <w:spacing w:val="-11"/>
          <w:sz w:val="20"/>
        </w:rPr>
        <w:t xml:space="preserve"> </w:t>
      </w:r>
      <w:r>
        <w:rPr>
          <w:sz w:val="20"/>
        </w:rPr>
        <w:t>as</w:t>
      </w:r>
      <w:r>
        <w:rPr>
          <w:spacing w:val="-11"/>
          <w:sz w:val="20"/>
        </w:rPr>
        <w:t xml:space="preserve"> </w:t>
      </w:r>
      <w:r>
        <w:rPr>
          <w:sz w:val="20"/>
        </w:rPr>
        <w:t>likely</w:t>
      </w:r>
      <w:r>
        <w:rPr>
          <w:spacing w:val="-12"/>
          <w:sz w:val="20"/>
        </w:rPr>
        <w:t xml:space="preserve"> </w:t>
      </w:r>
      <w:r>
        <w:rPr>
          <w:sz w:val="20"/>
        </w:rPr>
        <w:t>as</w:t>
      </w:r>
      <w:r>
        <w:rPr>
          <w:spacing w:val="-11"/>
          <w:sz w:val="20"/>
        </w:rPr>
        <w:t xml:space="preserve"> </w:t>
      </w:r>
      <w:r>
        <w:rPr>
          <w:sz w:val="20"/>
        </w:rPr>
        <w:t>white</w:t>
      </w:r>
      <w:r>
        <w:rPr>
          <w:spacing w:val="-11"/>
          <w:sz w:val="20"/>
        </w:rPr>
        <w:t xml:space="preserve"> </w:t>
      </w:r>
      <w:r>
        <w:rPr>
          <w:sz w:val="20"/>
        </w:rPr>
        <w:t>women</w:t>
      </w:r>
      <w:r>
        <w:rPr>
          <w:spacing w:val="-12"/>
          <w:sz w:val="20"/>
        </w:rPr>
        <w:t xml:space="preserve"> </w:t>
      </w:r>
      <w:r>
        <w:rPr>
          <w:sz w:val="20"/>
        </w:rPr>
        <w:t>to</w:t>
      </w:r>
      <w:r>
        <w:rPr>
          <w:spacing w:val="-11"/>
          <w:sz w:val="20"/>
        </w:rPr>
        <w:t xml:space="preserve"> </w:t>
      </w:r>
      <w:r>
        <w:rPr>
          <w:sz w:val="20"/>
        </w:rPr>
        <w:t>experience</w:t>
      </w:r>
      <w:r>
        <w:rPr>
          <w:spacing w:val="-11"/>
          <w:sz w:val="20"/>
        </w:rPr>
        <w:t xml:space="preserve"> </w:t>
      </w:r>
      <w:r>
        <w:rPr>
          <w:sz w:val="20"/>
        </w:rPr>
        <w:t>pregnancy-associated</w:t>
      </w:r>
      <w:r>
        <w:rPr>
          <w:spacing w:val="-12"/>
          <w:sz w:val="20"/>
        </w:rPr>
        <w:t xml:space="preserve"> </w:t>
      </w:r>
      <w:r>
        <w:rPr>
          <w:sz w:val="20"/>
        </w:rPr>
        <w:t>mortality,</w:t>
      </w:r>
      <w:r>
        <w:rPr>
          <w:spacing w:val="-11"/>
          <w:sz w:val="20"/>
        </w:rPr>
        <w:t xml:space="preserve"> </w:t>
      </w:r>
      <w:r>
        <w:rPr>
          <w:sz w:val="20"/>
        </w:rPr>
        <w:t>with</w:t>
      </w:r>
      <w:r>
        <w:rPr>
          <w:spacing w:val="-11"/>
          <w:sz w:val="20"/>
        </w:rPr>
        <w:t xml:space="preserve"> </w:t>
      </w:r>
      <w:r>
        <w:rPr>
          <w:sz w:val="20"/>
        </w:rPr>
        <w:t>a</w:t>
      </w:r>
      <w:r>
        <w:rPr>
          <w:spacing w:val="-11"/>
          <w:sz w:val="20"/>
        </w:rPr>
        <w:t xml:space="preserve"> </w:t>
      </w:r>
      <w:r>
        <w:rPr>
          <w:sz w:val="20"/>
        </w:rPr>
        <w:t>large</w:t>
      </w:r>
      <w:r>
        <w:rPr>
          <w:spacing w:val="-12"/>
          <w:sz w:val="20"/>
        </w:rPr>
        <w:t xml:space="preserve"> </w:t>
      </w:r>
      <w:r>
        <w:rPr>
          <w:sz w:val="20"/>
        </w:rPr>
        <w:t>percentage of these deaths reported to be p</w:t>
      </w:r>
      <w:r>
        <w:rPr>
          <w:sz w:val="20"/>
        </w:rPr>
        <w:t>reventable.</w:t>
      </w:r>
      <w:hyperlink w:anchor="_bookmark490" w:history="1">
        <w:r>
          <w:rPr>
            <w:sz w:val="20"/>
            <w:vertAlign w:val="superscript"/>
          </w:rPr>
          <w:t>44</w:t>
        </w:r>
      </w:hyperlink>
      <w:r>
        <w:rPr>
          <w:sz w:val="20"/>
        </w:rPr>
        <w:t xml:space="preserve"> At the intersection of race, Black women with pregnancy-related conditions</w:t>
      </w:r>
      <w:r>
        <w:rPr>
          <w:spacing w:val="-12"/>
          <w:sz w:val="20"/>
        </w:rPr>
        <w:t xml:space="preserve"> </w:t>
      </w:r>
      <w:r>
        <w:rPr>
          <w:sz w:val="20"/>
        </w:rPr>
        <w:t>such</w:t>
      </w:r>
      <w:r>
        <w:rPr>
          <w:spacing w:val="-11"/>
          <w:sz w:val="20"/>
        </w:rPr>
        <w:t xml:space="preserve"> </w:t>
      </w:r>
      <w:r>
        <w:rPr>
          <w:sz w:val="20"/>
        </w:rPr>
        <w:t>as</w:t>
      </w:r>
      <w:r>
        <w:rPr>
          <w:spacing w:val="-11"/>
          <w:sz w:val="20"/>
        </w:rPr>
        <w:t xml:space="preserve"> </w:t>
      </w:r>
      <w:r>
        <w:rPr>
          <w:sz w:val="20"/>
        </w:rPr>
        <w:t>preeclampsia,</w:t>
      </w:r>
      <w:r>
        <w:rPr>
          <w:spacing w:val="-12"/>
          <w:sz w:val="20"/>
        </w:rPr>
        <w:t xml:space="preserve"> </w:t>
      </w:r>
      <w:r>
        <w:rPr>
          <w:sz w:val="20"/>
        </w:rPr>
        <w:t>eclampsia,</w:t>
      </w:r>
      <w:r>
        <w:rPr>
          <w:spacing w:val="-11"/>
          <w:sz w:val="20"/>
        </w:rPr>
        <w:t xml:space="preserve"> </w:t>
      </w:r>
      <w:r>
        <w:rPr>
          <w:sz w:val="20"/>
        </w:rPr>
        <w:t>placental</w:t>
      </w:r>
      <w:r>
        <w:rPr>
          <w:spacing w:val="-11"/>
          <w:sz w:val="20"/>
        </w:rPr>
        <w:t xml:space="preserve"> </w:t>
      </w:r>
      <w:r>
        <w:rPr>
          <w:sz w:val="20"/>
        </w:rPr>
        <w:t>abruption,</w:t>
      </w:r>
      <w:r>
        <w:rPr>
          <w:spacing w:val="-11"/>
          <w:sz w:val="20"/>
        </w:rPr>
        <w:t xml:space="preserve"> </w:t>
      </w:r>
      <w:r>
        <w:rPr>
          <w:sz w:val="20"/>
        </w:rPr>
        <w:t>placenta</w:t>
      </w:r>
      <w:r>
        <w:rPr>
          <w:spacing w:val="-11"/>
          <w:sz w:val="20"/>
        </w:rPr>
        <w:t xml:space="preserve"> </w:t>
      </w:r>
      <w:r>
        <w:rPr>
          <w:sz w:val="20"/>
        </w:rPr>
        <w:t>previa,</w:t>
      </w:r>
      <w:r>
        <w:rPr>
          <w:spacing w:val="-11"/>
          <w:sz w:val="20"/>
        </w:rPr>
        <w:t xml:space="preserve"> </w:t>
      </w:r>
      <w:r>
        <w:rPr>
          <w:sz w:val="20"/>
        </w:rPr>
        <w:t>and</w:t>
      </w:r>
      <w:r>
        <w:rPr>
          <w:spacing w:val="-11"/>
          <w:sz w:val="20"/>
        </w:rPr>
        <w:t xml:space="preserve"> </w:t>
      </w:r>
      <w:r>
        <w:rPr>
          <w:sz w:val="20"/>
        </w:rPr>
        <w:t>postpartum</w:t>
      </w:r>
      <w:r>
        <w:rPr>
          <w:spacing w:val="-11"/>
          <w:sz w:val="20"/>
        </w:rPr>
        <w:t xml:space="preserve"> </w:t>
      </w:r>
      <w:r>
        <w:rPr>
          <w:sz w:val="20"/>
        </w:rPr>
        <w:t>hemorrhage,</w:t>
      </w:r>
      <w:r>
        <w:rPr>
          <w:spacing w:val="-11"/>
          <w:sz w:val="20"/>
        </w:rPr>
        <w:t xml:space="preserve"> </w:t>
      </w:r>
      <w:r>
        <w:rPr>
          <w:sz w:val="20"/>
        </w:rPr>
        <w:t>who gave</w:t>
      </w:r>
      <w:r>
        <w:rPr>
          <w:spacing w:val="-8"/>
          <w:sz w:val="20"/>
        </w:rPr>
        <w:t xml:space="preserve"> </w:t>
      </w:r>
      <w:r>
        <w:rPr>
          <w:sz w:val="20"/>
        </w:rPr>
        <w:t>birth</w:t>
      </w:r>
      <w:r>
        <w:rPr>
          <w:spacing w:val="-6"/>
          <w:sz w:val="20"/>
        </w:rPr>
        <w:t xml:space="preserve"> </w:t>
      </w:r>
      <w:r>
        <w:rPr>
          <w:sz w:val="20"/>
        </w:rPr>
        <w:t>are</w:t>
      </w:r>
      <w:r>
        <w:rPr>
          <w:spacing w:val="-5"/>
          <w:sz w:val="20"/>
        </w:rPr>
        <w:t xml:space="preserve"> </w:t>
      </w:r>
      <w:r>
        <w:rPr>
          <w:sz w:val="20"/>
        </w:rPr>
        <w:t>four</w:t>
      </w:r>
      <w:r>
        <w:rPr>
          <w:spacing w:val="-7"/>
          <w:sz w:val="20"/>
        </w:rPr>
        <w:t xml:space="preserve"> </w:t>
      </w:r>
      <w:r>
        <w:rPr>
          <w:sz w:val="20"/>
        </w:rPr>
        <w:t>times</w:t>
      </w:r>
      <w:r>
        <w:rPr>
          <w:spacing w:val="-6"/>
          <w:sz w:val="20"/>
        </w:rPr>
        <w:t xml:space="preserve"> </w:t>
      </w:r>
      <w:r>
        <w:rPr>
          <w:sz w:val="20"/>
        </w:rPr>
        <w:t>more</w:t>
      </w:r>
      <w:r>
        <w:rPr>
          <w:spacing w:val="-8"/>
          <w:sz w:val="20"/>
        </w:rPr>
        <w:t xml:space="preserve"> </w:t>
      </w:r>
      <w:r>
        <w:rPr>
          <w:sz w:val="20"/>
        </w:rPr>
        <w:t>likely</w:t>
      </w:r>
      <w:r>
        <w:rPr>
          <w:spacing w:val="-6"/>
          <w:sz w:val="20"/>
        </w:rPr>
        <w:t xml:space="preserve"> </w:t>
      </w:r>
      <w:r>
        <w:rPr>
          <w:sz w:val="20"/>
        </w:rPr>
        <w:t>to</w:t>
      </w:r>
      <w:r>
        <w:rPr>
          <w:spacing w:val="-6"/>
          <w:sz w:val="20"/>
        </w:rPr>
        <w:t xml:space="preserve"> </w:t>
      </w:r>
      <w:r>
        <w:rPr>
          <w:sz w:val="20"/>
        </w:rPr>
        <w:t>die</w:t>
      </w:r>
      <w:r>
        <w:rPr>
          <w:spacing w:val="-8"/>
          <w:sz w:val="20"/>
        </w:rPr>
        <w:t xml:space="preserve"> </w:t>
      </w:r>
      <w:r>
        <w:rPr>
          <w:sz w:val="20"/>
        </w:rPr>
        <w:t>than</w:t>
      </w:r>
      <w:r>
        <w:rPr>
          <w:spacing w:val="-6"/>
          <w:sz w:val="20"/>
        </w:rPr>
        <w:t xml:space="preserve"> </w:t>
      </w:r>
      <w:r>
        <w:rPr>
          <w:sz w:val="20"/>
        </w:rPr>
        <w:t>white</w:t>
      </w:r>
      <w:r>
        <w:rPr>
          <w:spacing w:val="-5"/>
          <w:sz w:val="20"/>
        </w:rPr>
        <w:t xml:space="preserve"> </w:t>
      </w:r>
      <w:r>
        <w:rPr>
          <w:sz w:val="20"/>
        </w:rPr>
        <w:t>women</w:t>
      </w:r>
      <w:r>
        <w:rPr>
          <w:spacing w:val="-6"/>
          <w:sz w:val="20"/>
        </w:rPr>
        <w:t xml:space="preserve"> </w:t>
      </w:r>
      <w:r>
        <w:rPr>
          <w:sz w:val="20"/>
        </w:rPr>
        <w:t>who</w:t>
      </w:r>
      <w:r>
        <w:rPr>
          <w:spacing w:val="-6"/>
          <w:sz w:val="20"/>
        </w:rPr>
        <w:t xml:space="preserve"> </w:t>
      </w:r>
      <w:r>
        <w:rPr>
          <w:sz w:val="20"/>
        </w:rPr>
        <w:t>gave</w:t>
      </w:r>
      <w:r>
        <w:rPr>
          <w:spacing w:val="-8"/>
          <w:sz w:val="20"/>
        </w:rPr>
        <w:t xml:space="preserve"> </w:t>
      </w:r>
      <w:r>
        <w:rPr>
          <w:sz w:val="20"/>
        </w:rPr>
        <w:t>birth.</w:t>
      </w:r>
      <w:r>
        <w:rPr>
          <w:spacing w:val="-7"/>
          <w:sz w:val="20"/>
        </w:rPr>
        <w:t xml:space="preserve"> </w:t>
      </w:r>
      <w:r>
        <w:rPr>
          <w:sz w:val="20"/>
        </w:rPr>
        <w:t>Alarmingly,</w:t>
      </w:r>
      <w:r>
        <w:rPr>
          <w:spacing w:val="-6"/>
          <w:sz w:val="20"/>
        </w:rPr>
        <w:t xml:space="preserve"> </w:t>
      </w:r>
      <w:r>
        <w:rPr>
          <w:sz w:val="20"/>
        </w:rPr>
        <w:t>Black</w:t>
      </w:r>
      <w:r>
        <w:rPr>
          <w:spacing w:val="-6"/>
          <w:sz w:val="20"/>
        </w:rPr>
        <w:t xml:space="preserve"> </w:t>
      </w:r>
      <w:r>
        <w:rPr>
          <w:sz w:val="20"/>
        </w:rPr>
        <w:t>pregnant</w:t>
      </w:r>
      <w:r>
        <w:rPr>
          <w:spacing w:val="-6"/>
          <w:sz w:val="20"/>
        </w:rPr>
        <w:t xml:space="preserve"> </w:t>
      </w:r>
      <w:r>
        <w:rPr>
          <w:sz w:val="20"/>
        </w:rPr>
        <w:t>people</w:t>
      </w:r>
      <w:r>
        <w:rPr>
          <w:spacing w:val="-8"/>
          <w:sz w:val="20"/>
        </w:rPr>
        <w:t xml:space="preserve"> </w:t>
      </w:r>
      <w:r>
        <w:rPr>
          <w:sz w:val="20"/>
        </w:rPr>
        <w:t>do not show a higher significance of pregnancy-related medical conditions but were more likely to die from these conditions than white pregnant people with the same pregnancy-</w:t>
      </w:r>
      <w:r>
        <w:rPr>
          <w:sz w:val="20"/>
        </w:rPr>
        <w:t>related conditions.</w:t>
      </w:r>
      <w:hyperlink w:anchor="_bookmark491" w:history="1">
        <w:r>
          <w:rPr>
            <w:sz w:val="20"/>
            <w:vertAlign w:val="superscript"/>
          </w:rPr>
          <w:t>45</w:t>
        </w:r>
      </w:hyperlink>
      <w:r>
        <w:rPr>
          <w:spacing w:val="-2"/>
          <w:sz w:val="20"/>
        </w:rPr>
        <w:t xml:space="preserve"> </w:t>
      </w:r>
      <w:r>
        <w:rPr>
          <w:sz w:val="20"/>
        </w:rPr>
        <w:t>The lack of universal data collection</w:t>
      </w:r>
      <w:r>
        <w:rPr>
          <w:spacing w:val="-7"/>
          <w:sz w:val="20"/>
        </w:rPr>
        <w:t xml:space="preserve"> </w:t>
      </w:r>
      <w:r>
        <w:rPr>
          <w:sz w:val="20"/>
        </w:rPr>
        <w:t>on</w:t>
      </w:r>
      <w:r>
        <w:rPr>
          <w:spacing w:val="-7"/>
          <w:sz w:val="20"/>
        </w:rPr>
        <w:t xml:space="preserve"> </w:t>
      </w:r>
      <w:r>
        <w:rPr>
          <w:sz w:val="20"/>
        </w:rPr>
        <w:t>the</w:t>
      </w:r>
      <w:r>
        <w:rPr>
          <w:spacing w:val="-9"/>
          <w:sz w:val="20"/>
        </w:rPr>
        <w:t xml:space="preserve"> </w:t>
      </w:r>
      <w:r>
        <w:rPr>
          <w:sz w:val="20"/>
        </w:rPr>
        <w:t>gender</w:t>
      </w:r>
      <w:r>
        <w:rPr>
          <w:spacing w:val="-8"/>
          <w:sz w:val="20"/>
        </w:rPr>
        <w:t xml:space="preserve"> </w:t>
      </w:r>
      <w:r>
        <w:rPr>
          <w:sz w:val="20"/>
        </w:rPr>
        <w:t>identity</w:t>
      </w:r>
      <w:r>
        <w:rPr>
          <w:spacing w:val="-7"/>
          <w:sz w:val="20"/>
        </w:rPr>
        <w:t xml:space="preserve"> </w:t>
      </w:r>
      <w:r>
        <w:rPr>
          <w:sz w:val="20"/>
        </w:rPr>
        <w:t>and</w:t>
      </w:r>
      <w:r>
        <w:rPr>
          <w:spacing w:val="-9"/>
          <w:sz w:val="20"/>
        </w:rPr>
        <w:t xml:space="preserve"> </w:t>
      </w:r>
      <w:r>
        <w:rPr>
          <w:sz w:val="20"/>
        </w:rPr>
        <w:t>sexuality</w:t>
      </w:r>
      <w:r>
        <w:rPr>
          <w:spacing w:val="-7"/>
          <w:sz w:val="20"/>
        </w:rPr>
        <w:t xml:space="preserve"> </w:t>
      </w:r>
      <w:r>
        <w:rPr>
          <w:sz w:val="20"/>
        </w:rPr>
        <w:t>of</w:t>
      </w:r>
      <w:r>
        <w:rPr>
          <w:spacing w:val="-9"/>
          <w:sz w:val="20"/>
        </w:rPr>
        <w:t xml:space="preserve"> </w:t>
      </w:r>
      <w:r>
        <w:rPr>
          <w:sz w:val="20"/>
        </w:rPr>
        <w:t>pregnant</w:t>
      </w:r>
      <w:r>
        <w:rPr>
          <w:spacing w:val="-7"/>
          <w:sz w:val="20"/>
        </w:rPr>
        <w:t xml:space="preserve"> </w:t>
      </w:r>
      <w:r>
        <w:rPr>
          <w:sz w:val="20"/>
        </w:rPr>
        <w:t>people</w:t>
      </w:r>
      <w:r>
        <w:rPr>
          <w:spacing w:val="-8"/>
          <w:sz w:val="20"/>
        </w:rPr>
        <w:t xml:space="preserve"> </w:t>
      </w:r>
      <w:r>
        <w:rPr>
          <w:sz w:val="20"/>
        </w:rPr>
        <w:t>makes</w:t>
      </w:r>
      <w:r>
        <w:rPr>
          <w:spacing w:val="-9"/>
          <w:sz w:val="20"/>
        </w:rPr>
        <w:t xml:space="preserve"> </w:t>
      </w:r>
      <w:r>
        <w:rPr>
          <w:sz w:val="20"/>
        </w:rPr>
        <w:t>it</w:t>
      </w:r>
      <w:r>
        <w:rPr>
          <w:spacing w:val="-7"/>
          <w:sz w:val="20"/>
        </w:rPr>
        <w:t xml:space="preserve"> </w:t>
      </w:r>
      <w:r>
        <w:rPr>
          <w:sz w:val="20"/>
        </w:rPr>
        <w:t>difficult</w:t>
      </w:r>
      <w:r>
        <w:rPr>
          <w:spacing w:val="-7"/>
          <w:sz w:val="20"/>
        </w:rPr>
        <w:t xml:space="preserve"> </w:t>
      </w:r>
      <w:r>
        <w:rPr>
          <w:sz w:val="20"/>
        </w:rPr>
        <w:t>to</w:t>
      </w:r>
      <w:r>
        <w:rPr>
          <w:spacing w:val="-7"/>
          <w:sz w:val="20"/>
        </w:rPr>
        <w:t xml:space="preserve"> </w:t>
      </w:r>
      <w:r>
        <w:rPr>
          <w:sz w:val="20"/>
        </w:rPr>
        <w:t>know</w:t>
      </w:r>
      <w:r>
        <w:rPr>
          <w:spacing w:val="-9"/>
          <w:sz w:val="20"/>
        </w:rPr>
        <w:t xml:space="preserve"> </w:t>
      </w:r>
      <w:r>
        <w:rPr>
          <w:sz w:val="20"/>
        </w:rPr>
        <w:t>the</w:t>
      </w:r>
      <w:r>
        <w:rPr>
          <w:spacing w:val="-8"/>
          <w:sz w:val="20"/>
        </w:rPr>
        <w:t xml:space="preserve"> </w:t>
      </w:r>
      <w:r>
        <w:rPr>
          <w:sz w:val="20"/>
        </w:rPr>
        <w:t>extent</w:t>
      </w:r>
      <w:r>
        <w:rPr>
          <w:spacing w:val="-7"/>
          <w:sz w:val="20"/>
        </w:rPr>
        <w:t xml:space="preserve"> </w:t>
      </w:r>
      <w:r>
        <w:rPr>
          <w:sz w:val="20"/>
        </w:rPr>
        <w:t>of</w:t>
      </w:r>
      <w:r>
        <w:rPr>
          <w:spacing w:val="-9"/>
          <w:sz w:val="20"/>
        </w:rPr>
        <w:t xml:space="preserve"> </w:t>
      </w:r>
      <w:r>
        <w:rPr>
          <w:sz w:val="20"/>
        </w:rPr>
        <w:t>pregnancy associated-deaths in LGBTQ populations.</w:t>
      </w:r>
    </w:p>
    <w:p w:rsidR="00200FDA" w:rsidRDefault="00200FDA">
      <w:pPr>
        <w:pStyle w:val="BodyText"/>
        <w:rPr>
          <w:sz w:val="20"/>
        </w:rPr>
      </w:pPr>
    </w:p>
    <w:p w:rsidR="00200FDA" w:rsidRDefault="00F76C4C">
      <w:pPr>
        <w:pStyle w:val="Heading8"/>
        <w:spacing w:before="157"/>
        <w:jc w:val="left"/>
      </w:pPr>
      <w:bookmarkStart w:id="587" w:name="Abortion"/>
      <w:bookmarkEnd w:id="587"/>
      <w:r>
        <w:rPr>
          <w:color w:val="2E5395"/>
          <w:spacing w:val="-2"/>
        </w:rPr>
        <w:t>Abortion</w:t>
      </w:r>
    </w:p>
    <w:p w:rsidR="00200FDA" w:rsidRDefault="00200FDA">
      <w:pPr>
        <w:pStyle w:val="BodyText"/>
        <w:spacing w:before="10"/>
        <w:rPr>
          <w:sz w:val="19"/>
        </w:rPr>
      </w:pPr>
    </w:p>
    <w:p w:rsidR="00200FDA" w:rsidRDefault="00F76C4C">
      <w:pPr>
        <w:spacing w:line="264" w:lineRule="auto"/>
        <w:ind w:left="139" w:right="334"/>
        <w:jc w:val="both"/>
        <w:rPr>
          <w:sz w:val="20"/>
        </w:rPr>
      </w:pPr>
      <w:r>
        <w:rPr>
          <w:sz w:val="20"/>
        </w:rPr>
        <w:t xml:space="preserve">In 1973, the Supreme Court had constitutionally ruled the right to an abortion in </w:t>
      </w:r>
      <w:r>
        <w:rPr>
          <w:i/>
          <w:sz w:val="20"/>
        </w:rPr>
        <w:t>Roe v. Wade</w:t>
      </w:r>
      <w:r>
        <w:rPr>
          <w:sz w:val="20"/>
        </w:rPr>
        <w:t>, until the ruling was reversed</w:t>
      </w:r>
      <w:r>
        <w:rPr>
          <w:spacing w:val="-7"/>
          <w:sz w:val="20"/>
        </w:rPr>
        <w:t xml:space="preserve"> </w:t>
      </w:r>
      <w:r>
        <w:rPr>
          <w:sz w:val="20"/>
        </w:rPr>
        <w:t>in</w:t>
      </w:r>
      <w:r>
        <w:rPr>
          <w:spacing w:val="-7"/>
          <w:sz w:val="20"/>
        </w:rPr>
        <w:t xml:space="preserve"> </w:t>
      </w:r>
      <w:r>
        <w:rPr>
          <w:sz w:val="20"/>
        </w:rPr>
        <w:t>the</w:t>
      </w:r>
      <w:r>
        <w:rPr>
          <w:spacing w:val="-8"/>
          <w:sz w:val="20"/>
        </w:rPr>
        <w:t xml:space="preserve"> </w:t>
      </w:r>
      <w:r>
        <w:rPr>
          <w:sz w:val="20"/>
        </w:rPr>
        <w:t>summer</w:t>
      </w:r>
      <w:r>
        <w:rPr>
          <w:spacing w:val="-8"/>
          <w:sz w:val="20"/>
        </w:rPr>
        <w:t xml:space="preserve"> </w:t>
      </w:r>
      <w:r>
        <w:rPr>
          <w:sz w:val="20"/>
        </w:rPr>
        <w:t>of</w:t>
      </w:r>
      <w:r>
        <w:rPr>
          <w:spacing w:val="-9"/>
          <w:sz w:val="20"/>
        </w:rPr>
        <w:t xml:space="preserve"> </w:t>
      </w:r>
      <w:r>
        <w:rPr>
          <w:sz w:val="20"/>
        </w:rPr>
        <w:t>2022.</w:t>
      </w:r>
      <w:r>
        <w:rPr>
          <w:spacing w:val="-8"/>
          <w:sz w:val="20"/>
        </w:rPr>
        <w:t xml:space="preserve"> </w:t>
      </w:r>
      <w:r>
        <w:rPr>
          <w:sz w:val="20"/>
        </w:rPr>
        <w:t>At</w:t>
      </w:r>
      <w:r>
        <w:rPr>
          <w:spacing w:val="-7"/>
          <w:sz w:val="20"/>
        </w:rPr>
        <w:t xml:space="preserve"> </w:t>
      </w:r>
      <w:r>
        <w:rPr>
          <w:sz w:val="20"/>
        </w:rPr>
        <w:t>the</w:t>
      </w:r>
      <w:r>
        <w:rPr>
          <w:spacing w:val="-8"/>
          <w:sz w:val="20"/>
        </w:rPr>
        <w:t xml:space="preserve"> </w:t>
      </w:r>
      <w:r>
        <w:rPr>
          <w:sz w:val="20"/>
        </w:rPr>
        <w:t>time</w:t>
      </w:r>
      <w:r>
        <w:rPr>
          <w:spacing w:val="-9"/>
          <w:sz w:val="20"/>
        </w:rPr>
        <w:t xml:space="preserve"> </w:t>
      </w:r>
      <w:r>
        <w:rPr>
          <w:sz w:val="20"/>
        </w:rPr>
        <w:t>before</w:t>
      </w:r>
      <w:r>
        <w:rPr>
          <w:spacing w:val="-8"/>
          <w:sz w:val="20"/>
        </w:rPr>
        <w:t xml:space="preserve"> </w:t>
      </w:r>
      <w:r>
        <w:rPr>
          <w:sz w:val="20"/>
        </w:rPr>
        <w:t>the</w:t>
      </w:r>
      <w:r>
        <w:rPr>
          <w:spacing w:val="-8"/>
          <w:sz w:val="20"/>
        </w:rPr>
        <w:t xml:space="preserve"> </w:t>
      </w:r>
      <w:r>
        <w:rPr>
          <w:sz w:val="20"/>
        </w:rPr>
        <w:t>overturning,</w:t>
      </w:r>
      <w:r>
        <w:rPr>
          <w:spacing w:val="-7"/>
          <w:sz w:val="20"/>
        </w:rPr>
        <w:t xml:space="preserve"> </w:t>
      </w:r>
      <w:r>
        <w:rPr>
          <w:sz w:val="20"/>
        </w:rPr>
        <w:t>the</w:t>
      </w:r>
      <w:r>
        <w:rPr>
          <w:spacing w:val="-8"/>
          <w:sz w:val="20"/>
        </w:rPr>
        <w:t xml:space="preserve"> </w:t>
      </w:r>
      <w:r>
        <w:rPr>
          <w:sz w:val="20"/>
        </w:rPr>
        <w:t>federal</w:t>
      </w:r>
      <w:r>
        <w:rPr>
          <w:spacing w:val="-8"/>
          <w:sz w:val="20"/>
        </w:rPr>
        <w:t xml:space="preserve"> </w:t>
      </w:r>
      <w:r>
        <w:rPr>
          <w:sz w:val="20"/>
        </w:rPr>
        <w:t>Medicaid</w:t>
      </w:r>
      <w:r>
        <w:rPr>
          <w:spacing w:val="-5"/>
          <w:sz w:val="20"/>
        </w:rPr>
        <w:t xml:space="preserve"> </w:t>
      </w:r>
      <w:r>
        <w:rPr>
          <w:sz w:val="20"/>
        </w:rPr>
        <w:t>program</w:t>
      </w:r>
      <w:r>
        <w:rPr>
          <w:spacing w:val="-9"/>
          <w:sz w:val="20"/>
        </w:rPr>
        <w:t xml:space="preserve"> </w:t>
      </w:r>
      <w:r>
        <w:rPr>
          <w:sz w:val="20"/>
        </w:rPr>
        <w:t>covered</w:t>
      </w:r>
      <w:r>
        <w:rPr>
          <w:spacing w:val="-7"/>
          <w:sz w:val="20"/>
        </w:rPr>
        <w:t xml:space="preserve"> </w:t>
      </w:r>
      <w:r>
        <w:rPr>
          <w:sz w:val="20"/>
        </w:rPr>
        <w:t>the</w:t>
      </w:r>
      <w:r>
        <w:rPr>
          <w:spacing w:val="-8"/>
          <w:sz w:val="20"/>
        </w:rPr>
        <w:t xml:space="preserve"> </w:t>
      </w:r>
      <w:r>
        <w:rPr>
          <w:sz w:val="20"/>
        </w:rPr>
        <w:t>cost of an abortion. The Hyde A</w:t>
      </w:r>
      <w:r>
        <w:rPr>
          <w:sz w:val="20"/>
        </w:rPr>
        <w:t>mendment, which prohibits Medicaid funding for abortion services, was passed and implemented</w:t>
      </w:r>
      <w:r>
        <w:rPr>
          <w:spacing w:val="-7"/>
          <w:sz w:val="20"/>
        </w:rPr>
        <w:t xml:space="preserve"> </w:t>
      </w:r>
      <w:r>
        <w:rPr>
          <w:sz w:val="20"/>
        </w:rPr>
        <w:t>in</w:t>
      </w:r>
      <w:r>
        <w:rPr>
          <w:spacing w:val="-7"/>
          <w:sz w:val="20"/>
        </w:rPr>
        <w:t xml:space="preserve"> </w:t>
      </w:r>
      <w:r>
        <w:rPr>
          <w:sz w:val="20"/>
        </w:rPr>
        <w:t>the</w:t>
      </w:r>
      <w:r>
        <w:rPr>
          <w:spacing w:val="-9"/>
          <w:sz w:val="20"/>
        </w:rPr>
        <w:t xml:space="preserve"> </w:t>
      </w:r>
      <w:r>
        <w:rPr>
          <w:sz w:val="20"/>
        </w:rPr>
        <w:t>Medicare</w:t>
      </w:r>
      <w:r>
        <w:rPr>
          <w:spacing w:val="-6"/>
          <w:sz w:val="20"/>
        </w:rPr>
        <w:t xml:space="preserve"> </w:t>
      </w:r>
      <w:r>
        <w:rPr>
          <w:sz w:val="20"/>
        </w:rPr>
        <w:t>funding</w:t>
      </w:r>
      <w:r>
        <w:rPr>
          <w:spacing w:val="-8"/>
          <w:sz w:val="20"/>
        </w:rPr>
        <w:t xml:space="preserve"> </w:t>
      </w:r>
      <w:r>
        <w:rPr>
          <w:sz w:val="20"/>
        </w:rPr>
        <w:t>bill</w:t>
      </w:r>
      <w:r>
        <w:rPr>
          <w:spacing w:val="-8"/>
          <w:sz w:val="20"/>
        </w:rPr>
        <w:t xml:space="preserve"> </w:t>
      </w:r>
      <w:r>
        <w:rPr>
          <w:sz w:val="20"/>
        </w:rPr>
        <w:t>in</w:t>
      </w:r>
      <w:r>
        <w:rPr>
          <w:spacing w:val="-7"/>
          <w:sz w:val="20"/>
        </w:rPr>
        <w:t xml:space="preserve"> </w:t>
      </w:r>
      <w:r>
        <w:rPr>
          <w:sz w:val="20"/>
        </w:rPr>
        <w:t>1976.</w:t>
      </w:r>
      <w:r>
        <w:rPr>
          <w:spacing w:val="-8"/>
          <w:sz w:val="20"/>
        </w:rPr>
        <w:t xml:space="preserve"> </w:t>
      </w:r>
      <w:r>
        <w:rPr>
          <w:sz w:val="20"/>
        </w:rPr>
        <w:t>As</w:t>
      </w:r>
      <w:r>
        <w:rPr>
          <w:spacing w:val="-9"/>
          <w:sz w:val="20"/>
        </w:rPr>
        <w:t xml:space="preserve"> </w:t>
      </w:r>
      <w:r>
        <w:rPr>
          <w:sz w:val="20"/>
        </w:rPr>
        <w:t>a</w:t>
      </w:r>
      <w:r>
        <w:rPr>
          <w:spacing w:val="-7"/>
          <w:sz w:val="20"/>
        </w:rPr>
        <w:t xml:space="preserve"> </w:t>
      </w:r>
      <w:r>
        <w:rPr>
          <w:sz w:val="20"/>
        </w:rPr>
        <w:t>result,</w:t>
      </w:r>
      <w:r>
        <w:rPr>
          <w:spacing w:val="-7"/>
          <w:sz w:val="20"/>
        </w:rPr>
        <w:t xml:space="preserve"> </w:t>
      </w:r>
      <w:r>
        <w:rPr>
          <w:sz w:val="20"/>
        </w:rPr>
        <w:t>this</w:t>
      </w:r>
      <w:r>
        <w:rPr>
          <w:spacing w:val="-9"/>
          <w:sz w:val="20"/>
        </w:rPr>
        <w:t xml:space="preserve"> </w:t>
      </w:r>
      <w:r>
        <w:rPr>
          <w:sz w:val="20"/>
        </w:rPr>
        <w:t>affects</w:t>
      </w:r>
      <w:r>
        <w:rPr>
          <w:spacing w:val="-9"/>
          <w:sz w:val="20"/>
        </w:rPr>
        <w:t xml:space="preserve"> </w:t>
      </w:r>
      <w:r>
        <w:rPr>
          <w:sz w:val="20"/>
        </w:rPr>
        <w:t>LGBTQ</w:t>
      </w:r>
      <w:r>
        <w:rPr>
          <w:spacing w:val="-8"/>
          <w:sz w:val="20"/>
        </w:rPr>
        <w:t xml:space="preserve"> </w:t>
      </w:r>
      <w:r>
        <w:rPr>
          <w:sz w:val="20"/>
        </w:rPr>
        <w:t>individuals</w:t>
      </w:r>
      <w:r>
        <w:rPr>
          <w:spacing w:val="-9"/>
          <w:sz w:val="20"/>
        </w:rPr>
        <w:t xml:space="preserve"> </w:t>
      </w:r>
      <w:r>
        <w:rPr>
          <w:sz w:val="20"/>
        </w:rPr>
        <w:t>who</w:t>
      </w:r>
      <w:r>
        <w:rPr>
          <w:spacing w:val="-7"/>
          <w:sz w:val="20"/>
        </w:rPr>
        <w:t xml:space="preserve"> </w:t>
      </w:r>
      <w:r>
        <w:rPr>
          <w:sz w:val="20"/>
        </w:rPr>
        <w:t>already</w:t>
      </w:r>
      <w:r>
        <w:rPr>
          <w:spacing w:val="-7"/>
          <w:sz w:val="20"/>
        </w:rPr>
        <w:t xml:space="preserve"> </w:t>
      </w:r>
      <w:r>
        <w:rPr>
          <w:sz w:val="20"/>
        </w:rPr>
        <w:t>experience access disparities for healthcare services due to a lack of insurance coverage or being underinsured. A 2018 survey by the Center for American Progress found that 20% of LGBTQ people reported receiving Medicaid benefits compared to 12.9% of non-</w:t>
      </w:r>
      <w:r>
        <w:rPr>
          <w:sz w:val="20"/>
        </w:rPr>
        <w:t>LGBTQ people. LGBTQ people of color reported receiving Medicaid benefits at the rate of 24% compared to 18.8% of white LGBTQ people; and 21.4% of transgender people reported that they or their family received Medicaid benefits, compared to 13.4% of cisgend</w:t>
      </w:r>
      <w:r>
        <w:rPr>
          <w:sz w:val="20"/>
        </w:rPr>
        <w:t xml:space="preserve">er people. Additionally, LGBTQ individuals with disabilities reported receiving Medicaid benefits at a rate of 44.4%, as compared to 11.8% of non-disabled LGBTQ </w:t>
      </w:r>
      <w:r>
        <w:rPr>
          <w:spacing w:val="-2"/>
          <w:sz w:val="20"/>
        </w:rPr>
        <w:t>people.</w:t>
      </w:r>
      <w:hyperlink w:anchor="_bookmark492" w:history="1">
        <w:r>
          <w:rPr>
            <w:spacing w:val="-2"/>
            <w:sz w:val="20"/>
            <w:vertAlign w:val="superscript"/>
          </w:rPr>
          <w:t>46</w:t>
        </w:r>
      </w:hyperlink>
    </w:p>
    <w:p w:rsidR="00200FDA" w:rsidRDefault="00200FDA">
      <w:pPr>
        <w:pStyle w:val="BodyText"/>
        <w:spacing w:before="8"/>
        <w:rPr>
          <w:sz w:val="19"/>
        </w:rPr>
      </w:pPr>
    </w:p>
    <w:p w:rsidR="00200FDA" w:rsidRDefault="00F76C4C">
      <w:pPr>
        <w:spacing w:line="264" w:lineRule="auto"/>
        <w:ind w:left="139" w:right="337"/>
        <w:jc w:val="both"/>
        <w:rPr>
          <w:sz w:val="20"/>
        </w:rPr>
      </w:pPr>
      <w:r>
        <w:rPr>
          <w:sz w:val="20"/>
        </w:rPr>
        <w:t>LGBTQ people who receive Medicaid may experience</w:t>
      </w:r>
      <w:r>
        <w:rPr>
          <w:spacing w:val="-1"/>
          <w:sz w:val="20"/>
        </w:rPr>
        <w:t xml:space="preserve"> </w:t>
      </w:r>
      <w:r>
        <w:rPr>
          <w:sz w:val="20"/>
        </w:rPr>
        <w:t>cos</w:t>
      </w:r>
      <w:r>
        <w:rPr>
          <w:sz w:val="20"/>
        </w:rPr>
        <w:t>t barriers when seeking</w:t>
      </w:r>
      <w:r>
        <w:rPr>
          <w:spacing w:val="-1"/>
          <w:sz w:val="20"/>
        </w:rPr>
        <w:t xml:space="preserve"> </w:t>
      </w:r>
      <w:r>
        <w:rPr>
          <w:sz w:val="20"/>
        </w:rPr>
        <w:t>abortion services, especially since LGBTQ individuals under the age of 20 are more likely to have an abortion compared to their heterosexual counterparts.</w:t>
      </w:r>
      <w:hyperlink w:anchor="_bookmark493" w:history="1">
        <w:r>
          <w:rPr>
            <w:sz w:val="20"/>
            <w:vertAlign w:val="superscript"/>
          </w:rPr>
          <w:t>47</w:t>
        </w:r>
      </w:hyperlink>
      <w:r>
        <w:rPr>
          <w:spacing w:val="-7"/>
          <w:sz w:val="20"/>
        </w:rPr>
        <w:t xml:space="preserve"> </w:t>
      </w:r>
      <w:r>
        <w:rPr>
          <w:sz w:val="20"/>
        </w:rPr>
        <w:t>A</w:t>
      </w:r>
      <w:r>
        <w:rPr>
          <w:spacing w:val="-12"/>
          <w:sz w:val="20"/>
        </w:rPr>
        <w:t xml:space="preserve"> </w:t>
      </w:r>
      <w:r>
        <w:rPr>
          <w:sz w:val="20"/>
        </w:rPr>
        <w:t>2017</w:t>
      </w:r>
      <w:r>
        <w:rPr>
          <w:spacing w:val="-11"/>
          <w:sz w:val="20"/>
        </w:rPr>
        <w:t xml:space="preserve"> </w:t>
      </w:r>
      <w:r>
        <w:rPr>
          <w:sz w:val="20"/>
        </w:rPr>
        <w:t>study</w:t>
      </w:r>
      <w:r>
        <w:rPr>
          <w:spacing w:val="-11"/>
          <w:sz w:val="20"/>
        </w:rPr>
        <w:t xml:space="preserve"> </w:t>
      </w:r>
      <w:r>
        <w:rPr>
          <w:sz w:val="20"/>
        </w:rPr>
        <w:t>showed</w:t>
      </w:r>
      <w:r>
        <w:rPr>
          <w:spacing w:val="-11"/>
          <w:sz w:val="20"/>
        </w:rPr>
        <w:t xml:space="preserve"> </w:t>
      </w:r>
      <w:r>
        <w:rPr>
          <w:sz w:val="20"/>
        </w:rPr>
        <w:t>that</w:t>
      </w:r>
      <w:r>
        <w:rPr>
          <w:spacing w:val="-11"/>
          <w:sz w:val="20"/>
        </w:rPr>
        <w:t xml:space="preserve"> </w:t>
      </w:r>
      <w:r>
        <w:rPr>
          <w:sz w:val="20"/>
        </w:rPr>
        <w:t>an</w:t>
      </w:r>
      <w:r>
        <w:rPr>
          <w:spacing w:val="-11"/>
          <w:sz w:val="20"/>
        </w:rPr>
        <w:t xml:space="preserve"> </w:t>
      </w:r>
      <w:r>
        <w:rPr>
          <w:sz w:val="20"/>
        </w:rPr>
        <w:t>estimated</w:t>
      </w:r>
      <w:r>
        <w:rPr>
          <w:spacing w:val="-11"/>
          <w:sz w:val="20"/>
        </w:rPr>
        <w:t xml:space="preserve"> </w:t>
      </w:r>
      <w:r>
        <w:rPr>
          <w:sz w:val="20"/>
        </w:rPr>
        <w:t>numbe</w:t>
      </w:r>
      <w:r>
        <w:rPr>
          <w:sz w:val="20"/>
        </w:rPr>
        <w:t>r</w:t>
      </w:r>
      <w:r>
        <w:rPr>
          <w:spacing w:val="-11"/>
          <w:sz w:val="20"/>
        </w:rPr>
        <w:t xml:space="preserve"> </w:t>
      </w:r>
      <w:r>
        <w:rPr>
          <w:sz w:val="20"/>
        </w:rPr>
        <w:t>of</w:t>
      </w:r>
      <w:r>
        <w:rPr>
          <w:spacing w:val="-12"/>
          <w:sz w:val="20"/>
        </w:rPr>
        <w:t xml:space="preserve"> </w:t>
      </w:r>
      <w:r>
        <w:rPr>
          <w:sz w:val="20"/>
        </w:rPr>
        <w:t>462</w:t>
      </w:r>
      <w:r>
        <w:rPr>
          <w:spacing w:val="-11"/>
          <w:sz w:val="20"/>
        </w:rPr>
        <w:t xml:space="preserve"> </w:t>
      </w:r>
      <w:r>
        <w:rPr>
          <w:sz w:val="20"/>
        </w:rPr>
        <w:t>to</w:t>
      </w:r>
      <w:r>
        <w:rPr>
          <w:spacing w:val="-11"/>
          <w:sz w:val="20"/>
        </w:rPr>
        <w:t xml:space="preserve"> </w:t>
      </w:r>
      <w:r>
        <w:rPr>
          <w:sz w:val="20"/>
        </w:rPr>
        <w:t>530</w:t>
      </w:r>
      <w:r>
        <w:rPr>
          <w:spacing w:val="-12"/>
          <w:sz w:val="20"/>
        </w:rPr>
        <w:t xml:space="preserve"> </w:t>
      </w:r>
      <w:r>
        <w:rPr>
          <w:sz w:val="20"/>
        </w:rPr>
        <w:t>transgender</w:t>
      </w:r>
      <w:r>
        <w:rPr>
          <w:spacing w:val="-11"/>
          <w:sz w:val="20"/>
        </w:rPr>
        <w:t xml:space="preserve"> </w:t>
      </w:r>
      <w:r>
        <w:rPr>
          <w:sz w:val="20"/>
        </w:rPr>
        <w:t>and</w:t>
      </w:r>
      <w:r>
        <w:rPr>
          <w:spacing w:val="-11"/>
          <w:sz w:val="20"/>
        </w:rPr>
        <w:t xml:space="preserve"> </w:t>
      </w:r>
      <w:r>
        <w:rPr>
          <w:sz w:val="20"/>
        </w:rPr>
        <w:t>nonbinary</w:t>
      </w:r>
      <w:r>
        <w:rPr>
          <w:spacing w:val="-11"/>
          <w:sz w:val="20"/>
        </w:rPr>
        <w:t xml:space="preserve"> </w:t>
      </w:r>
      <w:r>
        <w:rPr>
          <w:sz w:val="20"/>
        </w:rPr>
        <w:t>individuals obtained abortion care services, but only 23% of those clinics provided transgender-specific care.</w:t>
      </w:r>
      <w:r>
        <w:rPr>
          <w:spacing w:val="-12"/>
          <w:sz w:val="20"/>
        </w:rPr>
        <w:t xml:space="preserve"> </w:t>
      </w:r>
      <w:hyperlink w:anchor="_bookmark494" w:history="1">
        <w:r>
          <w:rPr>
            <w:sz w:val="20"/>
            <w:vertAlign w:val="superscript"/>
          </w:rPr>
          <w:t>48</w:t>
        </w:r>
      </w:hyperlink>
      <w:r>
        <w:rPr>
          <w:sz w:val="20"/>
        </w:rPr>
        <w:t xml:space="preserve"> The recent overturn of </w:t>
      </w:r>
      <w:r>
        <w:rPr>
          <w:i/>
          <w:sz w:val="20"/>
        </w:rPr>
        <w:t xml:space="preserve">Roe v. Wade </w:t>
      </w:r>
      <w:r>
        <w:rPr>
          <w:sz w:val="20"/>
        </w:rPr>
        <w:t>may add another layer of inaccessibility to abortion care services for LGBTQ youth, particularly</w:t>
      </w:r>
      <w:r>
        <w:rPr>
          <w:spacing w:val="-9"/>
          <w:sz w:val="20"/>
        </w:rPr>
        <w:t xml:space="preserve"> </w:t>
      </w:r>
      <w:r>
        <w:rPr>
          <w:sz w:val="20"/>
        </w:rPr>
        <w:t>in</w:t>
      </w:r>
      <w:r>
        <w:rPr>
          <w:spacing w:val="-9"/>
          <w:sz w:val="20"/>
        </w:rPr>
        <w:t xml:space="preserve"> </w:t>
      </w:r>
      <w:r>
        <w:rPr>
          <w:sz w:val="20"/>
        </w:rPr>
        <w:t>more</w:t>
      </w:r>
      <w:r>
        <w:rPr>
          <w:spacing w:val="-11"/>
          <w:sz w:val="20"/>
        </w:rPr>
        <w:t xml:space="preserve"> </w:t>
      </w:r>
      <w:r>
        <w:rPr>
          <w:sz w:val="20"/>
        </w:rPr>
        <w:t>conservative</w:t>
      </w:r>
      <w:r>
        <w:rPr>
          <w:spacing w:val="-9"/>
          <w:sz w:val="20"/>
        </w:rPr>
        <w:t xml:space="preserve"> </w:t>
      </w:r>
      <w:r>
        <w:rPr>
          <w:sz w:val="20"/>
        </w:rPr>
        <w:t>states</w:t>
      </w:r>
      <w:r>
        <w:rPr>
          <w:spacing w:val="-11"/>
          <w:sz w:val="20"/>
        </w:rPr>
        <w:t xml:space="preserve"> </w:t>
      </w:r>
      <w:r>
        <w:rPr>
          <w:sz w:val="20"/>
        </w:rPr>
        <w:t>and</w:t>
      </w:r>
      <w:r>
        <w:rPr>
          <w:spacing w:val="-9"/>
          <w:sz w:val="20"/>
        </w:rPr>
        <w:t xml:space="preserve"> </w:t>
      </w:r>
      <w:r>
        <w:rPr>
          <w:sz w:val="20"/>
        </w:rPr>
        <w:t>rural</w:t>
      </w:r>
      <w:r>
        <w:rPr>
          <w:spacing w:val="-10"/>
          <w:sz w:val="20"/>
        </w:rPr>
        <w:t xml:space="preserve"> </w:t>
      </w:r>
      <w:r>
        <w:rPr>
          <w:sz w:val="20"/>
        </w:rPr>
        <w:t>areas.</w:t>
      </w:r>
      <w:r>
        <w:rPr>
          <w:spacing w:val="-10"/>
          <w:sz w:val="20"/>
        </w:rPr>
        <w:t xml:space="preserve"> </w:t>
      </w:r>
      <w:r>
        <w:rPr>
          <w:sz w:val="20"/>
        </w:rPr>
        <w:t>According</w:t>
      </w:r>
      <w:r>
        <w:rPr>
          <w:spacing w:val="-10"/>
          <w:sz w:val="20"/>
        </w:rPr>
        <w:t xml:space="preserve"> </w:t>
      </w:r>
      <w:r>
        <w:rPr>
          <w:sz w:val="20"/>
        </w:rPr>
        <w:t>to</w:t>
      </w:r>
      <w:r>
        <w:rPr>
          <w:spacing w:val="-10"/>
          <w:sz w:val="20"/>
        </w:rPr>
        <w:t xml:space="preserve"> </w:t>
      </w:r>
      <w:r>
        <w:rPr>
          <w:sz w:val="20"/>
        </w:rPr>
        <w:t>a</w:t>
      </w:r>
      <w:r>
        <w:rPr>
          <w:spacing w:val="-10"/>
          <w:sz w:val="20"/>
        </w:rPr>
        <w:t xml:space="preserve"> </w:t>
      </w:r>
      <w:r>
        <w:rPr>
          <w:sz w:val="20"/>
        </w:rPr>
        <w:t>recent</w:t>
      </w:r>
      <w:r>
        <w:rPr>
          <w:spacing w:val="-10"/>
          <w:sz w:val="20"/>
        </w:rPr>
        <w:t xml:space="preserve"> </w:t>
      </w:r>
      <w:r>
        <w:rPr>
          <w:sz w:val="20"/>
        </w:rPr>
        <w:t>survey</w:t>
      </w:r>
      <w:r>
        <w:rPr>
          <w:spacing w:val="-9"/>
          <w:sz w:val="20"/>
        </w:rPr>
        <w:t xml:space="preserve"> </w:t>
      </w:r>
      <w:r>
        <w:rPr>
          <w:sz w:val="20"/>
        </w:rPr>
        <w:t>by</w:t>
      </w:r>
      <w:r>
        <w:rPr>
          <w:spacing w:val="-9"/>
          <w:sz w:val="20"/>
        </w:rPr>
        <w:t xml:space="preserve"> </w:t>
      </w:r>
      <w:r>
        <w:rPr>
          <w:sz w:val="20"/>
        </w:rPr>
        <w:t>the</w:t>
      </w:r>
      <w:r>
        <w:rPr>
          <w:spacing w:val="-11"/>
          <w:sz w:val="20"/>
        </w:rPr>
        <w:t xml:space="preserve"> </w:t>
      </w:r>
      <w:r>
        <w:rPr>
          <w:sz w:val="20"/>
        </w:rPr>
        <w:t>Trevor</w:t>
      </w:r>
      <w:r>
        <w:rPr>
          <w:spacing w:val="-10"/>
          <w:sz w:val="20"/>
        </w:rPr>
        <w:t xml:space="preserve"> </w:t>
      </w:r>
      <w:r>
        <w:rPr>
          <w:sz w:val="20"/>
        </w:rPr>
        <w:t>Project,</w:t>
      </w:r>
      <w:r>
        <w:rPr>
          <w:spacing w:val="-9"/>
          <w:sz w:val="20"/>
        </w:rPr>
        <w:t xml:space="preserve"> </w:t>
      </w:r>
      <w:r>
        <w:rPr>
          <w:sz w:val="20"/>
        </w:rPr>
        <w:t>over</w:t>
      </w:r>
      <w:r>
        <w:rPr>
          <w:spacing w:val="-10"/>
          <w:sz w:val="20"/>
        </w:rPr>
        <w:t xml:space="preserve"> </w:t>
      </w:r>
      <w:r>
        <w:rPr>
          <w:sz w:val="20"/>
        </w:rPr>
        <w:t>65% of LGBTQ youth expressed that abortion restrictions a</w:t>
      </w:r>
      <w:r>
        <w:rPr>
          <w:sz w:val="20"/>
        </w:rPr>
        <w:t>nd bans heighten their feelings of stress and anxiety.</w:t>
      </w:r>
      <w:hyperlink w:anchor="_bookmark495" w:history="1">
        <w:r>
          <w:rPr>
            <w:sz w:val="20"/>
            <w:vertAlign w:val="superscript"/>
          </w:rPr>
          <w:t>49</w:t>
        </w:r>
      </w:hyperlink>
    </w:p>
    <w:p w:rsidR="00200FDA" w:rsidRDefault="00200FDA">
      <w:pPr>
        <w:pStyle w:val="BodyText"/>
        <w:spacing w:before="7"/>
        <w:rPr>
          <w:sz w:val="19"/>
        </w:rPr>
      </w:pPr>
    </w:p>
    <w:p w:rsidR="00200FDA" w:rsidRDefault="00F76C4C">
      <w:pPr>
        <w:spacing w:before="1" w:line="264" w:lineRule="auto"/>
        <w:ind w:left="139" w:right="336"/>
        <w:jc w:val="both"/>
        <w:rPr>
          <w:sz w:val="20"/>
        </w:rPr>
      </w:pPr>
      <w:r>
        <w:rPr>
          <w:sz w:val="20"/>
        </w:rPr>
        <w:t>Although</w:t>
      </w:r>
      <w:r>
        <w:rPr>
          <w:spacing w:val="-5"/>
          <w:sz w:val="20"/>
        </w:rPr>
        <w:t xml:space="preserve"> </w:t>
      </w:r>
      <w:r>
        <w:rPr>
          <w:sz w:val="20"/>
        </w:rPr>
        <w:t>Massachusetts</w:t>
      </w:r>
      <w:r>
        <w:rPr>
          <w:spacing w:val="-7"/>
          <w:sz w:val="20"/>
        </w:rPr>
        <w:t xml:space="preserve"> </w:t>
      </w:r>
      <w:r>
        <w:rPr>
          <w:sz w:val="20"/>
        </w:rPr>
        <w:t>tends</w:t>
      </w:r>
      <w:r>
        <w:rPr>
          <w:spacing w:val="-7"/>
          <w:sz w:val="20"/>
        </w:rPr>
        <w:t xml:space="preserve"> </w:t>
      </w:r>
      <w:r>
        <w:rPr>
          <w:sz w:val="20"/>
        </w:rPr>
        <w:t>to</w:t>
      </w:r>
      <w:r>
        <w:rPr>
          <w:spacing w:val="-5"/>
          <w:sz w:val="20"/>
        </w:rPr>
        <w:t xml:space="preserve"> </w:t>
      </w:r>
      <w:r>
        <w:rPr>
          <w:sz w:val="20"/>
        </w:rPr>
        <w:t>have</w:t>
      </w:r>
      <w:r>
        <w:rPr>
          <w:spacing w:val="-6"/>
          <w:sz w:val="20"/>
        </w:rPr>
        <w:t xml:space="preserve"> </w:t>
      </w:r>
      <w:r>
        <w:rPr>
          <w:sz w:val="20"/>
        </w:rPr>
        <w:t>progressive</w:t>
      </w:r>
      <w:r>
        <w:rPr>
          <w:spacing w:val="-6"/>
          <w:sz w:val="20"/>
        </w:rPr>
        <w:t xml:space="preserve"> </w:t>
      </w:r>
      <w:r>
        <w:rPr>
          <w:sz w:val="20"/>
        </w:rPr>
        <w:t>views</w:t>
      </w:r>
      <w:r>
        <w:rPr>
          <w:spacing w:val="-7"/>
          <w:sz w:val="20"/>
        </w:rPr>
        <w:t xml:space="preserve"> </w:t>
      </w:r>
      <w:r>
        <w:rPr>
          <w:sz w:val="20"/>
        </w:rPr>
        <w:t>and</w:t>
      </w:r>
      <w:r>
        <w:rPr>
          <w:spacing w:val="-5"/>
          <w:sz w:val="20"/>
        </w:rPr>
        <w:t xml:space="preserve"> </w:t>
      </w:r>
      <w:r>
        <w:rPr>
          <w:sz w:val="20"/>
        </w:rPr>
        <w:t>policies</w:t>
      </w:r>
      <w:r>
        <w:rPr>
          <w:spacing w:val="-7"/>
          <w:sz w:val="20"/>
        </w:rPr>
        <w:t xml:space="preserve"> </w:t>
      </w:r>
      <w:r>
        <w:rPr>
          <w:sz w:val="20"/>
        </w:rPr>
        <w:t>on</w:t>
      </w:r>
      <w:r>
        <w:rPr>
          <w:spacing w:val="-5"/>
          <w:sz w:val="20"/>
        </w:rPr>
        <w:t xml:space="preserve"> </w:t>
      </w:r>
      <w:r>
        <w:rPr>
          <w:sz w:val="20"/>
        </w:rPr>
        <w:t>abortion</w:t>
      </w:r>
      <w:r>
        <w:rPr>
          <w:spacing w:val="-7"/>
          <w:sz w:val="20"/>
        </w:rPr>
        <w:t xml:space="preserve"> </w:t>
      </w:r>
      <w:r>
        <w:rPr>
          <w:sz w:val="20"/>
        </w:rPr>
        <w:t>rights,</w:t>
      </w:r>
      <w:r>
        <w:rPr>
          <w:spacing w:val="-5"/>
          <w:sz w:val="20"/>
        </w:rPr>
        <w:t xml:space="preserve"> </w:t>
      </w:r>
      <w:r>
        <w:rPr>
          <w:sz w:val="20"/>
        </w:rPr>
        <w:t>certain</w:t>
      </w:r>
      <w:r>
        <w:rPr>
          <w:spacing w:val="-5"/>
          <w:sz w:val="20"/>
        </w:rPr>
        <w:t xml:space="preserve"> </w:t>
      </w:r>
      <w:r>
        <w:rPr>
          <w:sz w:val="20"/>
        </w:rPr>
        <w:t>regions</w:t>
      </w:r>
      <w:r>
        <w:rPr>
          <w:spacing w:val="-7"/>
          <w:sz w:val="20"/>
        </w:rPr>
        <w:t xml:space="preserve"> </w:t>
      </w:r>
      <w:r>
        <w:rPr>
          <w:sz w:val="20"/>
        </w:rPr>
        <w:t>in</w:t>
      </w:r>
      <w:r>
        <w:rPr>
          <w:spacing w:val="-5"/>
          <w:sz w:val="20"/>
        </w:rPr>
        <w:t xml:space="preserve"> </w:t>
      </w:r>
      <w:r>
        <w:rPr>
          <w:sz w:val="20"/>
        </w:rPr>
        <w:t>the</w:t>
      </w:r>
      <w:r>
        <w:rPr>
          <w:spacing w:val="-6"/>
          <w:sz w:val="20"/>
        </w:rPr>
        <w:t xml:space="preserve"> </w:t>
      </w:r>
      <w:r>
        <w:rPr>
          <w:sz w:val="20"/>
        </w:rPr>
        <w:t>state lack</w:t>
      </w:r>
      <w:r>
        <w:rPr>
          <w:spacing w:val="-2"/>
          <w:sz w:val="20"/>
        </w:rPr>
        <w:t xml:space="preserve"> </w:t>
      </w:r>
      <w:r>
        <w:rPr>
          <w:sz w:val="20"/>
        </w:rPr>
        <w:t>access</w:t>
      </w:r>
      <w:r>
        <w:rPr>
          <w:spacing w:val="-4"/>
          <w:sz w:val="20"/>
        </w:rPr>
        <w:t xml:space="preserve"> </w:t>
      </w:r>
      <w:r>
        <w:rPr>
          <w:sz w:val="20"/>
        </w:rPr>
        <w:t>to</w:t>
      </w:r>
      <w:r>
        <w:rPr>
          <w:spacing w:val="-3"/>
          <w:sz w:val="20"/>
        </w:rPr>
        <w:t xml:space="preserve"> </w:t>
      </w:r>
      <w:r>
        <w:rPr>
          <w:sz w:val="20"/>
        </w:rPr>
        <w:t>routine</w:t>
      </w:r>
      <w:r>
        <w:rPr>
          <w:spacing w:val="-4"/>
          <w:sz w:val="20"/>
        </w:rPr>
        <w:t xml:space="preserve"> </w:t>
      </w:r>
      <w:r>
        <w:rPr>
          <w:sz w:val="20"/>
        </w:rPr>
        <w:t>abortion</w:t>
      </w:r>
      <w:r>
        <w:rPr>
          <w:spacing w:val="-2"/>
          <w:sz w:val="20"/>
        </w:rPr>
        <w:t xml:space="preserve"> </w:t>
      </w:r>
      <w:r>
        <w:rPr>
          <w:sz w:val="20"/>
        </w:rPr>
        <w:t>care</w:t>
      </w:r>
      <w:r>
        <w:rPr>
          <w:spacing w:val="-4"/>
          <w:sz w:val="20"/>
        </w:rPr>
        <w:t xml:space="preserve"> </w:t>
      </w:r>
      <w:r>
        <w:rPr>
          <w:sz w:val="20"/>
        </w:rPr>
        <w:t>providers,</w:t>
      </w:r>
      <w:r>
        <w:rPr>
          <w:spacing w:val="-2"/>
          <w:sz w:val="20"/>
        </w:rPr>
        <w:t xml:space="preserve"> </w:t>
      </w:r>
      <w:r>
        <w:rPr>
          <w:sz w:val="20"/>
        </w:rPr>
        <w:t>making</w:t>
      </w:r>
      <w:r>
        <w:rPr>
          <w:spacing w:val="-3"/>
          <w:sz w:val="20"/>
        </w:rPr>
        <w:t xml:space="preserve"> </w:t>
      </w:r>
      <w:r>
        <w:rPr>
          <w:sz w:val="20"/>
        </w:rPr>
        <w:t>it</w:t>
      </w:r>
      <w:r>
        <w:rPr>
          <w:spacing w:val="-3"/>
          <w:sz w:val="20"/>
        </w:rPr>
        <w:t xml:space="preserve"> </w:t>
      </w:r>
      <w:r>
        <w:rPr>
          <w:sz w:val="20"/>
        </w:rPr>
        <w:t>difficult</w:t>
      </w:r>
      <w:r>
        <w:rPr>
          <w:spacing w:val="-3"/>
          <w:sz w:val="20"/>
        </w:rPr>
        <w:t xml:space="preserve"> </w:t>
      </w:r>
      <w:r>
        <w:rPr>
          <w:sz w:val="20"/>
        </w:rPr>
        <w:t>to</w:t>
      </w:r>
      <w:r>
        <w:rPr>
          <w:spacing w:val="-3"/>
          <w:sz w:val="20"/>
        </w:rPr>
        <w:t xml:space="preserve"> </w:t>
      </w:r>
      <w:r>
        <w:rPr>
          <w:sz w:val="20"/>
        </w:rPr>
        <w:t>schedule</w:t>
      </w:r>
      <w:r>
        <w:rPr>
          <w:spacing w:val="-4"/>
          <w:sz w:val="20"/>
        </w:rPr>
        <w:t xml:space="preserve"> </w:t>
      </w:r>
      <w:r>
        <w:rPr>
          <w:sz w:val="20"/>
        </w:rPr>
        <w:t>an</w:t>
      </w:r>
      <w:r>
        <w:rPr>
          <w:spacing w:val="-2"/>
          <w:sz w:val="20"/>
        </w:rPr>
        <w:t xml:space="preserve"> </w:t>
      </w:r>
      <w:r>
        <w:rPr>
          <w:sz w:val="20"/>
        </w:rPr>
        <w:t>appointment</w:t>
      </w:r>
      <w:r>
        <w:rPr>
          <w:spacing w:val="-3"/>
          <w:sz w:val="20"/>
        </w:rPr>
        <w:t xml:space="preserve"> </w:t>
      </w:r>
      <w:r>
        <w:rPr>
          <w:sz w:val="20"/>
        </w:rPr>
        <w:t>for</w:t>
      </w:r>
      <w:r>
        <w:rPr>
          <w:spacing w:val="-3"/>
          <w:sz w:val="20"/>
        </w:rPr>
        <w:t xml:space="preserve"> </w:t>
      </w:r>
      <w:r>
        <w:rPr>
          <w:sz w:val="20"/>
        </w:rPr>
        <w:t>an</w:t>
      </w:r>
      <w:r>
        <w:rPr>
          <w:spacing w:val="-2"/>
          <w:sz w:val="20"/>
        </w:rPr>
        <w:t xml:space="preserve"> </w:t>
      </w:r>
      <w:r>
        <w:rPr>
          <w:sz w:val="20"/>
        </w:rPr>
        <w:t>abortion;</w:t>
      </w:r>
      <w:r>
        <w:rPr>
          <w:spacing w:val="-4"/>
          <w:sz w:val="20"/>
        </w:rPr>
        <w:t xml:space="preserve"> </w:t>
      </w:r>
      <w:r>
        <w:rPr>
          <w:sz w:val="20"/>
        </w:rPr>
        <w:t>these areas</w:t>
      </w:r>
      <w:r>
        <w:rPr>
          <w:spacing w:val="-9"/>
          <w:sz w:val="20"/>
        </w:rPr>
        <w:t xml:space="preserve"> </w:t>
      </w:r>
      <w:r>
        <w:rPr>
          <w:sz w:val="20"/>
        </w:rPr>
        <w:t>include</w:t>
      </w:r>
      <w:r>
        <w:rPr>
          <w:spacing w:val="-9"/>
          <w:sz w:val="20"/>
        </w:rPr>
        <w:t xml:space="preserve"> </w:t>
      </w:r>
      <w:r>
        <w:rPr>
          <w:sz w:val="20"/>
        </w:rPr>
        <w:t>Cape</w:t>
      </w:r>
      <w:r>
        <w:rPr>
          <w:spacing w:val="-9"/>
          <w:sz w:val="20"/>
        </w:rPr>
        <w:t xml:space="preserve"> </w:t>
      </w:r>
      <w:r>
        <w:rPr>
          <w:sz w:val="20"/>
        </w:rPr>
        <w:t>Cod,</w:t>
      </w:r>
      <w:r>
        <w:rPr>
          <w:spacing w:val="-7"/>
          <w:sz w:val="20"/>
        </w:rPr>
        <w:t xml:space="preserve"> </w:t>
      </w:r>
      <w:r>
        <w:rPr>
          <w:sz w:val="20"/>
        </w:rPr>
        <w:t>Martha’s</w:t>
      </w:r>
      <w:r>
        <w:rPr>
          <w:spacing w:val="-9"/>
          <w:sz w:val="20"/>
        </w:rPr>
        <w:t xml:space="preserve"> </w:t>
      </w:r>
      <w:r>
        <w:rPr>
          <w:sz w:val="20"/>
        </w:rPr>
        <w:t>Vineyard,</w:t>
      </w:r>
      <w:r>
        <w:rPr>
          <w:spacing w:val="-7"/>
          <w:sz w:val="20"/>
        </w:rPr>
        <w:t xml:space="preserve"> </w:t>
      </w:r>
      <w:r>
        <w:rPr>
          <w:sz w:val="20"/>
        </w:rPr>
        <w:t>Plymouth</w:t>
      </w:r>
      <w:r>
        <w:rPr>
          <w:spacing w:val="-7"/>
          <w:sz w:val="20"/>
        </w:rPr>
        <w:t xml:space="preserve"> </w:t>
      </w:r>
      <w:r>
        <w:rPr>
          <w:sz w:val="20"/>
        </w:rPr>
        <w:t>County,</w:t>
      </w:r>
      <w:r>
        <w:rPr>
          <w:spacing w:val="-7"/>
          <w:sz w:val="20"/>
        </w:rPr>
        <w:t xml:space="preserve"> </w:t>
      </w:r>
      <w:r>
        <w:rPr>
          <w:sz w:val="20"/>
        </w:rPr>
        <w:t>and</w:t>
      </w:r>
      <w:r>
        <w:rPr>
          <w:spacing w:val="-7"/>
          <w:sz w:val="20"/>
        </w:rPr>
        <w:t xml:space="preserve"> </w:t>
      </w:r>
      <w:r>
        <w:rPr>
          <w:sz w:val="20"/>
        </w:rPr>
        <w:t>the</w:t>
      </w:r>
      <w:r>
        <w:rPr>
          <w:spacing w:val="-9"/>
          <w:sz w:val="20"/>
        </w:rPr>
        <w:t xml:space="preserve"> </w:t>
      </w:r>
      <w:r>
        <w:rPr>
          <w:sz w:val="20"/>
        </w:rPr>
        <w:t>entire</w:t>
      </w:r>
      <w:r>
        <w:rPr>
          <w:spacing w:val="-9"/>
          <w:sz w:val="20"/>
        </w:rPr>
        <w:t xml:space="preserve"> </w:t>
      </w:r>
      <w:r>
        <w:rPr>
          <w:sz w:val="20"/>
        </w:rPr>
        <w:t>South</w:t>
      </w:r>
      <w:r>
        <w:rPr>
          <w:spacing w:val="-7"/>
          <w:sz w:val="20"/>
        </w:rPr>
        <w:t xml:space="preserve"> </w:t>
      </w:r>
      <w:r>
        <w:rPr>
          <w:sz w:val="20"/>
        </w:rPr>
        <w:t>Coast,</w:t>
      </w:r>
      <w:r>
        <w:rPr>
          <w:spacing w:val="-5"/>
          <w:sz w:val="20"/>
        </w:rPr>
        <w:t xml:space="preserve"> </w:t>
      </w:r>
      <w:r>
        <w:rPr>
          <w:sz w:val="20"/>
        </w:rPr>
        <w:t>which</w:t>
      </w:r>
      <w:r>
        <w:rPr>
          <w:spacing w:val="-7"/>
          <w:sz w:val="20"/>
        </w:rPr>
        <w:t xml:space="preserve"> </w:t>
      </w:r>
      <w:r>
        <w:rPr>
          <w:sz w:val="20"/>
        </w:rPr>
        <w:t>includes</w:t>
      </w:r>
      <w:r>
        <w:rPr>
          <w:spacing w:val="-9"/>
          <w:sz w:val="20"/>
        </w:rPr>
        <w:t xml:space="preserve"> </w:t>
      </w:r>
      <w:r>
        <w:rPr>
          <w:sz w:val="20"/>
        </w:rPr>
        <w:t>two</w:t>
      </w:r>
      <w:r>
        <w:rPr>
          <w:spacing w:val="-7"/>
          <w:sz w:val="20"/>
        </w:rPr>
        <w:t xml:space="preserve"> </w:t>
      </w:r>
      <w:r>
        <w:rPr>
          <w:sz w:val="20"/>
        </w:rPr>
        <w:t>major gateway</w:t>
      </w:r>
      <w:r>
        <w:rPr>
          <w:spacing w:val="-10"/>
          <w:sz w:val="20"/>
        </w:rPr>
        <w:t xml:space="preserve"> </w:t>
      </w:r>
      <w:r>
        <w:rPr>
          <w:sz w:val="20"/>
        </w:rPr>
        <w:t>cities,</w:t>
      </w:r>
      <w:r>
        <w:rPr>
          <w:spacing w:val="-11"/>
          <w:sz w:val="20"/>
        </w:rPr>
        <w:t xml:space="preserve"> </w:t>
      </w:r>
      <w:r>
        <w:rPr>
          <w:sz w:val="20"/>
        </w:rPr>
        <w:t>New</w:t>
      </w:r>
      <w:r>
        <w:rPr>
          <w:spacing w:val="-12"/>
          <w:sz w:val="20"/>
        </w:rPr>
        <w:t xml:space="preserve"> </w:t>
      </w:r>
      <w:r>
        <w:rPr>
          <w:sz w:val="20"/>
        </w:rPr>
        <w:t>Bedford</w:t>
      </w:r>
      <w:r>
        <w:rPr>
          <w:spacing w:val="-9"/>
          <w:sz w:val="20"/>
        </w:rPr>
        <w:t xml:space="preserve"> </w:t>
      </w:r>
      <w:r>
        <w:rPr>
          <w:sz w:val="20"/>
        </w:rPr>
        <w:t>and</w:t>
      </w:r>
      <w:r>
        <w:rPr>
          <w:spacing w:val="-10"/>
          <w:sz w:val="20"/>
        </w:rPr>
        <w:t xml:space="preserve"> </w:t>
      </w:r>
      <w:r>
        <w:rPr>
          <w:sz w:val="20"/>
        </w:rPr>
        <w:t>Fall</w:t>
      </w:r>
      <w:r>
        <w:rPr>
          <w:spacing w:val="-11"/>
          <w:sz w:val="20"/>
        </w:rPr>
        <w:t xml:space="preserve"> </w:t>
      </w:r>
      <w:r>
        <w:rPr>
          <w:sz w:val="20"/>
        </w:rPr>
        <w:t>River,</w:t>
      </w:r>
      <w:r>
        <w:rPr>
          <w:spacing w:val="-11"/>
          <w:sz w:val="20"/>
        </w:rPr>
        <w:t xml:space="preserve"> </w:t>
      </w:r>
      <w:r>
        <w:rPr>
          <w:sz w:val="20"/>
        </w:rPr>
        <w:t>home</w:t>
      </w:r>
      <w:r>
        <w:rPr>
          <w:spacing w:val="-12"/>
          <w:sz w:val="20"/>
        </w:rPr>
        <w:t xml:space="preserve"> </w:t>
      </w:r>
      <w:r>
        <w:rPr>
          <w:sz w:val="20"/>
        </w:rPr>
        <w:t>to</w:t>
      </w:r>
      <w:r>
        <w:rPr>
          <w:spacing w:val="-10"/>
          <w:sz w:val="20"/>
        </w:rPr>
        <w:t xml:space="preserve"> </w:t>
      </w:r>
      <w:r>
        <w:rPr>
          <w:sz w:val="20"/>
        </w:rPr>
        <w:t>a</w:t>
      </w:r>
      <w:r>
        <w:rPr>
          <w:spacing w:val="-11"/>
          <w:sz w:val="20"/>
        </w:rPr>
        <w:t xml:space="preserve"> </w:t>
      </w:r>
      <w:r>
        <w:rPr>
          <w:sz w:val="20"/>
        </w:rPr>
        <w:t>million</w:t>
      </w:r>
      <w:r>
        <w:rPr>
          <w:spacing w:val="-10"/>
          <w:sz w:val="20"/>
        </w:rPr>
        <w:t xml:space="preserve"> </w:t>
      </w:r>
      <w:r>
        <w:rPr>
          <w:sz w:val="20"/>
        </w:rPr>
        <w:t>residents</w:t>
      </w:r>
      <w:r>
        <w:rPr>
          <w:spacing w:val="-12"/>
          <w:sz w:val="20"/>
        </w:rPr>
        <w:t xml:space="preserve"> </w:t>
      </w:r>
      <w:r>
        <w:rPr>
          <w:sz w:val="20"/>
        </w:rPr>
        <w:t>and</w:t>
      </w:r>
      <w:r>
        <w:rPr>
          <w:spacing w:val="-9"/>
          <w:sz w:val="20"/>
        </w:rPr>
        <w:t xml:space="preserve"> </w:t>
      </w:r>
      <w:r>
        <w:rPr>
          <w:sz w:val="20"/>
        </w:rPr>
        <w:t>numerous</w:t>
      </w:r>
      <w:r>
        <w:rPr>
          <w:spacing w:val="-12"/>
          <w:sz w:val="20"/>
        </w:rPr>
        <w:t xml:space="preserve"> </w:t>
      </w:r>
      <w:r>
        <w:rPr>
          <w:sz w:val="20"/>
        </w:rPr>
        <w:t>hospitals</w:t>
      </w:r>
      <w:r>
        <w:rPr>
          <w:spacing w:val="-11"/>
          <w:sz w:val="20"/>
        </w:rPr>
        <w:t xml:space="preserve"> </w:t>
      </w:r>
      <w:r>
        <w:rPr>
          <w:sz w:val="20"/>
        </w:rPr>
        <w:t>and</w:t>
      </w:r>
      <w:r>
        <w:rPr>
          <w:spacing w:val="-9"/>
          <w:sz w:val="20"/>
        </w:rPr>
        <w:t xml:space="preserve"> </w:t>
      </w:r>
      <w:r>
        <w:rPr>
          <w:sz w:val="20"/>
        </w:rPr>
        <w:t>medical</w:t>
      </w:r>
      <w:r>
        <w:rPr>
          <w:spacing w:val="-11"/>
          <w:sz w:val="20"/>
        </w:rPr>
        <w:t xml:space="preserve"> </w:t>
      </w:r>
      <w:r>
        <w:rPr>
          <w:sz w:val="20"/>
        </w:rPr>
        <w:t>centers. There</w:t>
      </w:r>
      <w:r>
        <w:rPr>
          <w:spacing w:val="-12"/>
          <w:sz w:val="20"/>
        </w:rPr>
        <w:t xml:space="preserve"> </w:t>
      </w:r>
      <w:r>
        <w:rPr>
          <w:sz w:val="20"/>
        </w:rPr>
        <w:t>are</w:t>
      </w:r>
      <w:r>
        <w:rPr>
          <w:spacing w:val="-11"/>
          <w:sz w:val="20"/>
        </w:rPr>
        <w:t xml:space="preserve"> </w:t>
      </w:r>
      <w:r>
        <w:rPr>
          <w:sz w:val="20"/>
        </w:rPr>
        <w:t>also</w:t>
      </w:r>
      <w:r>
        <w:rPr>
          <w:spacing w:val="-11"/>
          <w:sz w:val="20"/>
        </w:rPr>
        <w:t xml:space="preserve"> </w:t>
      </w:r>
      <w:r>
        <w:rPr>
          <w:sz w:val="20"/>
        </w:rPr>
        <w:t>limited</w:t>
      </w:r>
      <w:r>
        <w:rPr>
          <w:spacing w:val="-12"/>
          <w:sz w:val="20"/>
        </w:rPr>
        <w:t xml:space="preserve"> </w:t>
      </w:r>
      <w:r>
        <w:rPr>
          <w:sz w:val="20"/>
        </w:rPr>
        <w:t>abortion</w:t>
      </w:r>
      <w:r>
        <w:rPr>
          <w:spacing w:val="-11"/>
          <w:sz w:val="20"/>
        </w:rPr>
        <w:t xml:space="preserve"> </w:t>
      </w:r>
      <w:r>
        <w:rPr>
          <w:sz w:val="20"/>
        </w:rPr>
        <w:t>providers</w:t>
      </w:r>
      <w:r>
        <w:rPr>
          <w:spacing w:val="-11"/>
          <w:sz w:val="20"/>
        </w:rPr>
        <w:t xml:space="preserve"> </w:t>
      </w:r>
      <w:r>
        <w:rPr>
          <w:sz w:val="20"/>
        </w:rPr>
        <w:t>in</w:t>
      </w:r>
      <w:r>
        <w:rPr>
          <w:spacing w:val="-12"/>
          <w:sz w:val="20"/>
        </w:rPr>
        <w:t xml:space="preserve"> </w:t>
      </w:r>
      <w:r>
        <w:rPr>
          <w:sz w:val="20"/>
        </w:rPr>
        <w:t>Western</w:t>
      </w:r>
      <w:r>
        <w:rPr>
          <w:spacing w:val="-11"/>
          <w:sz w:val="20"/>
        </w:rPr>
        <w:t xml:space="preserve"> </w:t>
      </w:r>
      <w:r>
        <w:rPr>
          <w:sz w:val="20"/>
        </w:rPr>
        <w:t>Massachusetts</w:t>
      </w:r>
      <w:r>
        <w:rPr>
          <w:spacing w:val="-11"/>
          <w:sz w:val="20"/>
        </w:rPr>
        <w:t xml:space="preserve"> </w:t>
      </w:r>
      <w:r>
        <w:rPr>
          <w:sz w:val="20"/>
        </w:rPr>
        <w:t>and</w:t>
      </w:r>
      <w:r>
        <w:rPr>
          <w:spacing w:val="-12"/>
          <w:sz w:val="20"/>
        </w:rPr>
        <w:t xml:space="preserve"> </w:t>
      </w:r>
      <w:r>
        <w:rPr>
          <w:sz w:val="20"/>
        </w:rPr>
        <w:t>although</w:t>
      </w:r>
      <w:r>
        <w:rPr>
          <w:spacing w:val="-11"/>
          <w:sz w:val="20"/>
        </w:rPr>
        <w:t xml:space="preserve"> </w:t>
      </w:r>
      <w:r>
        <w:rPr>
          <w:sz w:val="20"/>
        </w:rPr>
        <w:t>populations</w:t>
      </w:r>
      <w:r>
        <w:rPr>
          <w:spacing w:val="-11"/>
          <w:sz w:val="20"/>
        </w:rPr>
        <w:t xml:space="preserve"> </w:t>
      </w:r>
      <w:r>
        <w:rPr>
          <w:sz w:val="20"/>
        </w:rPr>
        <w:t>are</w:t>
      </w:r>
      <w:r>
        <w:rPr>
          <w:spacing w:val="-11"/>
          <w:sz w:val="20"/>
        </w:rPr>
        <w:t xml:space="preserve"> </w:t>
      </w:r>
      <w:r>
        <w:rPr>
          <w:sz w:val="20"/>
        </w:rPr>
        <w:t>low</w:t>
      </w:r>
      <w:r>
        <w:rPr>
          <w:spacing w:val="-12"/>
          <w:sz w:val="20"/>
        </w:rPr>
        <w:t xml:space="preserve"> </w:t>
      </w:r>
      <w:r>
        <w:rPr>
          <w:sz w:val="20"/>
        </w:rPr>
        <w:t>and</w:t>
      </w:r>
      <w:r>
        <w:rPr>
          <w:spacing w:val="-11"/>
          <w:sz w:val="20"/>
        </w:rPr>
        <w:t xml:space="preserve"> </w:t>
      </w:r>
      <w:r>
        <w:rPr>
          <w:sz w:val="20"/>
        </w:rPr>
        <w:t>dispersed, there</w:t>
      </w:r>
      <w:r>
        <w:rPr>
          <w:spacing w:val="-10"/>
          <w:sz w:val="20"/>
        </w:rPr>
        <w:t xml:space="preserve"> </w:t>
      </w:r>
      <w:r>
        <w:rPr>
          <w:sz w:val="20"/>
        </w:rPr>
        <w:t>is</w:t>
      </w:r>
      <w:r>
        <w:rPr>
          <w:spacing w:val="-8"/>
          <w:sz w:val="20"/>
        </w:rPr>
        <w:t xml:space="preserve"> </w:t>
      </w:r>
      <w:r>
        <w:rPr>
          <w:sz w:val="20"/>
        </w:rPr>
        <w:t>still</w:t>
      </w:r>
      <w:r>
        <w:rPr>
          <w:spacing w:val="-9"/>
          <w:sz w:val="20"/>
        </w:rPr>
        <w:t xml:space="preserve"> </w:t>
      </w:r>
      <w:r>
        <w:rPr>
          <w:sz w:val="20"/>
        </w:rPr>
        <w:t>a</w:t>
      </w:r>
      <w:r>
        <w:rPr>
          <w:spacing w:val="-9"/>
          <w:sz w:val="20"/>
        </w:rPr>
        <w:t xml:space="preserve"> </w:t>
      </w:r>
      <w:r>
        <w:rPr>
          <w:sz w:val="20"/>
        </w:rPr>
        <w:t>huge</w:t>
      </w:r>
      <w:r>
        <w:rPr>
          <w:spacing w:val="-10"/>
          <w:sz w:val="20"/>
        </w:rPr>
        <w:t xml:space="preserve"> </w:t>
      </w:r>
      <w:r>
        <w:rPr>
          <w:sz w:val="20"/>
        </w:rPr>
        <w:t>travel</w:t>
      </w:r>
      <w:r>
        <w:rPr>
          <w:spacing w:val="-9"/>
          <w:sz w:val="20"/>
        </w:rPr>
        <w:t xml:space="preserve"> </w:t>
      </w:r>
      <w:r>
        <w:rPr>
          <w:sz w:val="20"/>
        </w:rPr>
        <w:t>distance</w:t>
      </w:r>
      <w:r>
        <w:rPr>
          <w:spacing w:val="-10"/>
          <w:sz w:val="20"/>
        </w:rPr>
        <w:t xml:space="preserve"> </w:t>
      </w:r>
      <w:r>
        <w:rPr>
          <w:sz w:val="20"/>
        </w:rPr>
        <w:t>between</w:t>
      </w:r>
      <w:r>
        <w:rPr>
          <w:spacing w:val="-8"/>
          <w:sz w:val="20"/>
        </w:rPr>
        <w:t xml:space="preserve"> </w:t>
      </w:r>
      <w:r>
        <w:rPr>
          <w:sz w:val="20"/>
        </w:rPr>
        <w:t>residents</w:t>
      </w:r>
      <w:r>
        <w:rPr>
          <w:spacing w:val="-10"/>
          <w:sz w:val="20"/>
        </w:rPr>
        <w:t xml:space="preserve"> </w:t>
      </w:r>
      <w:r>
        <w:rPr>
          <w:sz w:val="20"/>
        </w:rPr>
        <w:t>and</w:t>
      </w:r>
      <w:r>
        <w:rPr>
          <w:spacing w:val="-8"/>
          <w:sz w:val="20"/>
        </w:rPr>
        <w:t xml:space="preserve"> </w:t>
      </w:r>
      <w:r>
        <w:rPr>
          <w:sz w:val="20"/>
        </w:rPr>
        <w:t>abortion</w:t>
      </w:r>
      <w:r>
        <w:rPr>
          <w:spacing w:val="-8"/>
          <w:sz w:val="20"/>
        </w:rPr>
        <w:t xml:space="preserve"> </w:t>
      </w:r>
      <w:r>
        <w:rPr>
          <w:sz w:val="20"/>
        </w:rPr>
        <w:t>services.</w:t>
      </w:r>
      <w:hyperlink w:anchor="_bookmark496" w:history="1">
        <w:r>
          <w:rPr>
            <w:sz w:val="20"/>
            <w:vertAlign w:val="superscript"/>
          </w:rPr>
          <w:t>50</w:t>
        </w:r>
      </w:hyperlink>
      <w:r>
        <w:rPr>
          <w:spacing w:val="-3"/>
          <w:sz w:val="20"/>
        </w:rPr>
        <w:t xml:space="preserve"> </w:t>
      </w:r>
      <w:r>
        <w:rPr>
          <w:sz w:val="20"/>
        </w:rPr>
        <w:t>Abortions</w:t>
      </w:r>
      <w:r>
        <w:rPr>
          <w:spacing w:val="-10"/>
          <w:sz w:val="20"/>
        </w:rPr>
        <w:t xml:space="preserve"> </w:t>
      </w:r>
      <w:r>
        <w:rPr>
          <w:sz w:val="20"/>
        </w:rPr>
        <w:t>are</w:t>
      </w:r>
      <w:r>
        <w:rPr>
          <w:spacing w:val="-8"/>
          <w:sz w:val="20"/>
        </w:rPr>
        <w:t xml:space="preserve"> </w:t>
      </w:r>
      <w:r>
        <w:rPr>
          <w:sz w:val="20"/>
        </w:rPr>
        <w:t>not</w:t>
      </w:r>
      <w:r>
        <w:rPr>
          <w:spacing w:val="-9"/>
          <w:sz w:val="20"/>
        </w:rPr>
        <w:t xml:space="preserve"> </w:t>
      </w:r>
      <w:r>
        <w:rPr>
          <w:sz w:val="20"/>
        </w:rPr>
        <w:t>illegal</w:t>
      </w:r>
      <w:r>
        <w:rPr>
          <w:spacing w:val="-9"/>
          <w:sz w:val="20"/>
        </w:rPr>
        <w:t xml:space="preserve"> </w:t>
      </w:r>
      <w:r>
        <w:rPr>
          <w:sz w:val="20"/>
        </w:rPr>
        <w:t>in</w:t>
      </w:r>
      <w:r>
        <w:rPr>
          <w:spacing w:val="-8"/>
          <w:sz w:val="20"/>
        </w:rPr>
        <w:t xml:space="preserve"> </w:t>
      </w:r>
      <w:r>
        <w:rPr>
          <w:sz w:val="20"/>
        </w:rPr>
        <w:t>these</w:t>
      </w:r>
      <w:r>
        <w:rPr>
          <w:spacing w:val="-10"/>
          <w:sz w:val="20"/>
        </w:rPr>
        <w:t xml:space="preserve"> </w:t>
      </w:r>
      <w:r>
        <w:rPr>
          <w:sz w:val="20"/>
        </w:rPr>
        <w:t>areas but many hospitals and medical providers are not required to provide routine abortion services. Instead they are expected</w:t>
      </w:r>
      <w:r>
        <w:rPr>
          <w:spacing w:val="-2"/>
          <w:sz w:val="20"/>
        </w:rPr>
        <w:t xml:space="preserve"> </w:t>
      </w:r>
      <w:r>
        <w:rPr>
          <w:sz w:val="20"/>
        </w:rPr>
        <w:t>to</w:t>
      </w:r>
      <w:r>
        <w:rPr>
          <w:spacing w:val="-3"/>
          <w:sz w:val="20"/>
        </w:rPr>
        <w:t xml:space="preserve"> </w:t>
      </w:r>
      <w:r>
        <w:rPr>
          <w:sz w:val="20"/>
        </w:rPr>
        <w:t>perform</w:t>
      </w:r>
      <w:r>
        <w:rPr>
          <w:spacing w:val="-4"/>
          <w:sz w:val="20"/>
        </w:rPr>
        <w:t xml:space="preserve"> </w:t>
      </w:r>
      <w:r>
        <w:rPr>
          <w:sz w:val="20"/>
        </w:rPr>
        <w:t>an</w:t>
      </w:r>
      <w:r>
        <w:rPr>
          <w:spacing w:val="-2"/>
          <w:sz w:val="20"/>
        </w:rPr>
        <w:t xml:space="preserve"> </w:t>
      </w:r>
      <w:r>
        <w:rPr>
          <w:sz w:val="20"/>
        </w:rPr>
        <w:t>abortion</w:t>
      </w:r>
      <w:r>
        <w:rPr>
          <w:spacing w:val="-2"/>
          <w:sz w:val="20"/>
        </w:rPr>
        <w:t xml:space="preserve"> </w:t>
      </w:r>
      <w:r>
        <w:rPr>
          <w:sz w:val="20"/>
        </w:rPr>
        <w:t>if</w:t>
      </w:r>
      <w:r>
        <w:rPr>
          <w:spacing w:val="-4"/>
          <w:sz w:val="20"/>
        </w:rPr>
        <w:t xml:space="preserve"> </w:t>
      </w:r>
      <w:r>
        <w:rPr>
          <w:sz w:val="20"/>
        </w:rPr>
        <w:t>necessary,</w:t>
      </w:r>
      <w:r>
        <w:rPr>
          <w:spacing w:val="-2"/>
          <w:sz w:val="20"/>
        </w:rPr>
        <w:t xml:space="preserve"> </w:t>
      </w:r>
      <w:r>
        <w:rPr>
          <w:sz w:val="20"/>
        </w:rPr>
        <w:t>such</w:t>
      </w:r>
      <w:r>
        <w:rPr>
          <w:spacing w:val="-2"/>
          <w:sz w:val="20"/>
        </w:rPr>
        <w:t xml:space="preserve"> </w:t>
      </w:r>
      <w:r>
        <w:rPr>
          <w:sz w:val="20"/>
        </w:rPr>
        <w:t>as</w:t>
      </w:r>
      <w:r>
        <w:rPr>
          <w:spacing w:val="-4"/>
          <w:sz w:val="20"/>
        </w:rPr>
        <w:t xml:space="preserve"> </w:t>
      </w:r>
      <w:r>
        <w:rPr>
          <w:sz w:val="20"/>
        </w:rPr>
        <w:t>when the</w:t>
      </w:r>
      <w:r>
        <w:rPr>
          <w:spacing w:val="-4"/>
          <w:sz w:val="20"/>
        </w:rPr>
        <w:t xml:space="preserve"> </w:t>
      </w:r>
      <w:r>
        <w:rPr>
          <w:sz w:val="20"/>
        </w:rPr>
        <w:t>pregnant</w:t>
      </w:r>
      <w:r>
        <w:rPr>
          <w:spacing w:val="-3"/>
          <w:sz w:val="20"/>
        </w:rPr>
        <w:t xml:space="preserve"> </w:t>
      </w:r>
      <w:r>
        <w:rPr>
          <w:sz w:val="20"/>
        </w:rPr>
        <w:t>person</w:t>
      </w:r>
      <w:r>
        <w:rPr>
          <w:spacing w:val="-2"/>
          <w:sz w:val="20"/>
        </w:rPr>
        <w:t xml:space="preserve"> </w:t>
      </w:r>
      <w:r>
        <w:rPr>
          <w:sz w:val="20"/>
        </w:rPr>
        <w:t>is</w:t>
      </w:r>
      <w:r>
        <w:rPr>
          <w:spacing w:val="-4"/>
          <w:sz w:val="20"/>
        </w:rPr>
        <w:t xml:space="preserve"> </w:t>
      </w:r>
      <w:r>
        <w:rPr>
          <w:sz w:val="20"/>
        </w:rPr>
        <w:t>in</w:t>
      </w:r>
      <w:r>
        <w:rPr>
          <w:spacing w:val="-2"/>
          <w:sz w:val="20"/>
        </w:rPr>
        <w:t xml:space="preserve"> </w:t>
      </w:r>
      <w:r>
        <w:rPr>
          <w:sz w:val="20"/>
        </w:rPr>
        <w:t>a</w:t>
      </w:r>
      <w:r>
        <w:rPr>
          <w:spacing w:val="-3"/>
          <w:sz w:val="20"/>
        </w:rPr>
        <w:t xml:space="preserve"> </w:t>
      </w:r>
      <w:r>
        <w:rPr>
          <w:sz w:val="20"/>
        </w:rPr>
        <w:t>medical</w:t>
      </w:r>
      <w:r>
        <w:rPr>
          <w:spacing w:val="-3"/>
          <w:sz w:val="20"/>
        </w:rPr>
        <w:t xml:space="preserve"> </w:t>
      </w:r>
      <w:r>
        <w:rPr>
          <w:sz w:val="20"/>
        </w:rPr>
        <w:t>emergency</w:t>
      </w:r>
      <w:r>
        <w:rPr>
          <w:spacing w:val="-2"/>
          <w:sz w:val="20"/>
        </w:rPr>
        <w:t xml:space="preserve"> </w:t>
      </w:r>
      <w:r>
        <w:rPr>
          <w:sz w:val="20"/>
        </w:rPr>
        <w:t>and</w:t>
      </w:r>
      <w:r>
        <w:rPr>
          <w:spacing w:val="-2"/>
          <w:sz w:val="20"/>
        </w:rPr>
        <w:t xml:space="preserve"> </w:t>
      </w:r>
      <w:r>
        <w:rPr>
          <w:sz w:val="20"/>
        </w:rPr>
        <w:t>the medical</w:t>
      </w:r>
      <w:r>
        <w:rPr>
          <w:spacing w:val="-10"/>
          <w:sz w:val="20"/>
        </w:rPr>
        <w:t xml:space="preserve"> </w:t>
      </w:r>
      <w:r>
        <w:rPr>
          <w:sz w:val="20"/>
        </w:rPr>
        <w:t>provider</w:t>
      </w:r>
      <w:r>
        <w:rPr>
          <w:spacing w:val="-10"/>
          <w:sz w:val="20"/>
        </w:rPr>
        <w:t xml:space="preserve"> </w:t>
      </w:r>
      <w:r>
        <w:rPr>
          <w:sz w:val="20"/>
        </w:rPr>
        <w:t>needs</w:t>
      </w:r>
      <w:r>
        <w:rPr>
          <w:spacing w:val="-11"/>
          <w:sz w:val="20"/>
        </w:rPr>
        <w:t xml:space="preserve"> </w:t>
      </w:r>
      <w:r>
        <w:rPr>
          <w:sz w:val="20"/>
        </w:rPr>
        <w:t>to</w:t>
      </w:r>
      <w:r>
        <w:rPr>
          <w:spacing w:val="-10"/>
          <w:sz w:val="20"/>
        </w:rPr>
        <w:t xml:space="preserve"> </w:t>
      </w:r>
      <w:r>
        <w:rPr>
          <w:sz w:val="20"/>
        </w:rPr>
        <w:t>perform</w:t>
      </w:r>
      <w:r>
        <w:rPr>
          <w:spacing w:val="-11"/>
          <w:sz w:val="20"/>
        </w:rPr>
        <w:t xml:space="preserve"> </w:t>
      </w:r>
      <w:r>
        <w:rPr>
          <w:sz w:val="20"/>
        </w:rPr>
        <w:t>an</w:t>
      </w:r>
      <w:r>
        <w:rPr>
          <w:spacing w:val="-9"/>
          <w:sz w:val="20"/>
        </w:rPr>
        <w:t xml:space="preserve"> </w:t>
      </w:r>
      <w:r>
        <w:rPr>
          <w:sz w:val="20"/>
        </w:rPr>
        <w:t>abortion</w:t>
      </w:r>
      <w:r>
        <w:rPr>
          <w:spacing w:val="-9"/>
          <w:sz w:val="20"/>
        </w:rPr>
        <w:t xml:space="preserve"> </w:t>
      </w:r>
      <w:r>
        <w:rPr>
          <w:sz w:val="20"/>
        </w:rPr>
        <w:t>to</w:t>
      </w:r>
      <w:r>
        <w:rPr>
          <w:spacing w:val="-12"/>
          <w:sz w:val="20"/>
        </w:rPr>
        <w:t xml:space="preserve"> </w:t>
      </w:r>
      <w:r>
        <w:rPr>
          <w:sz w:val="20"/>
        </w:rPr>
        <w:t>stabilize</w:t>
      </w:r>
      <w:r>
        <w:rPr>
          <w:spacing w:val="-10"/>
          <w:sz w:val="20"/>
        </w:rPr>
        <w:t xml:space="preserve"> </w:t>
      </w:r>
      <w:r>
        <w:rPr>
          <w:sz w:val="20"/>
        </w:rPr>
        <w:t>the</w:t>
      </w:r>
      <w:r>
        <w:rPr>
          <w:spacing w:val="-11"/>
          <w:sz w:val="20"/>
        </w:rPr>
        <w:t xml:space="preserve"> </w:t>
      </w:r>
      <w:r>
        <w:rPr>
          <w:sz w:val="20"/>
        </w:rPr>
        <w:t>patient.</w:t>
      </w:r>
      <w:r>
        <w:rPr>
          <w:spacing w:val="-10"/>
          <w:sz w:val="20"/>
        </w:rPr>
        <w:t xml:space="preserve"> </w:t>
      </w:r>
      <w:r>
        <w:rPr>
          <w:sz w:val="20"/>
        </w:rPr>
        <w:t>In</w:t>
      </w:r>
      <w:r>
        <w:rPr>
          <w:spacing w:val="-9"/>
          <w:sz w:val="20"/>
        </w:rPr>
        <w:t xml:space="preserve"> </w:t>
      </w:r>
      <w:r>
        <w:rPr>
          <w:sz w:val="20"/>
        </w:rPr>
        <w:t>compliance</w:t>
      </w:r>
      <w:r>
        <w:rPr>
          <w:spacing w:val="-11"/>
          <w:sz w:val="20"/>
        </w:rPr>
        <w:t xml:space="preserve"> </w:t>
      </w:r>
      <w:r>
        <w:rPr>
          <w:sz w:val="20"/>
        </w:rPr>
        <w:t>with</w:t>
      </w:r>
      <w:r>
        <w:rPr>
          <w:spacing w:val="-9"/>
          <w:sz w:val="20"/>
        </w:rPr>
        <w:t xml:space="preserve"> </w:t>
      </w:r>
      <w:r>
        <w:rPr>
          <w:sz w:val="20"/>
        </w:rPr>
        <w:t>the</w:t>
      </w:r>
      <w:r>
        <w:rPr>
          <w:spacing w:val="-11"/>
          <w:sz w:val="20"/>
        </w:rPr>
        <w:t xml:space="preserve"> </w:t>
      </w:r>
      <w:r>
        <w:rPr>
          <w:sz w:val="20"/>
        </w:rPr>
        <w:t>Massachusetts</w:t>
      </w:r>
      <w:r>
        <w:rPr>
          <w:spacing w:val="-11"/>
          <w:sz w:val="20"/>
        </w:rPr>
        <w:t xml:space="preserve"> </w:t>
      </w:r>
      <w:r>
        <w:rPr>
          <w:sz w:val="20"/>
        </w:rPr>
        <w:t>Health and Hospital Association, all hospitals are expected to perform an abortion if necessary to stabilize the pregnant patient.</w:t>
      </w:r>
      <w:r>
        <w:rPr>
          <w:spacing w:val="-2"/>
          <w:sz w:val="20"/>
        </w:rPr>
        <w:t xml:space="preserve"> </w:t>
      </w:r>
      <w:r>
        <w:rPr>
          <w:sz w:val="20"/>
        </w:rPr>
        <w:t>However,</w:t>
      </w:r>
      <w:r>
        <w:rPr>
          <w:spacing w:val="-1"/>
          <w:sz w:val="20"/>
        </w:rPr>
        <w:t xml:space="preserve"> </w:t>
      </w:r>
      <w:r>
        <w:rPr>
          <w:sz w:val="20"/>
        </w:rPr>
        <w:t>hospitals</w:t>
      </w:r>
      <w:r>
        <w:rPr>
          <w:spacing w:val="-1"/>
          <w:sz w:val="20"/>
        </w:rPr>
        <w:t xml:space="preserve"> </w:t>
      </w:r>
      <w:r>
        <w:rPr>
          <w:sz w:val="20"/>
        </w:rPr>
        <w:t>and</w:t>
      </w:r>
      <w:r>
        <w:rPr>
          <w:spacing w:val="-1"/>
          <w:sz w:val="20"/>
        </w:rPr>
        <w:t xml:space="preserve"> </w:t>
      </w:r>
      <w:r>
        <w:rPr>
          <w:sz w:val="20"/>
        </w:rPr>
        <w:t>medical</w:t>
      </w:r>
      <w:r>
        <w:rPr>
          <w:spacing w:val="-2"/>
          <w:sz w:val="20"/>
        </w:rPr>
        <w:t xml:space="preserve"> </w:t>
      </w:r>
      <w:r>
        <w:rPr>
          <w:sz w:val="20"/>
        </w:rPr>
        <w:t>providers</w:t>
      </w:r>
      <w:r>
        <w:rPr>
          <w:spacing w:val="-3"/>
          <w:sz w:val="20"/>
        </w:rPr>
        <w:t xml:space="preserve"> </w:t>
      </w:r>
      <w:r>
        <w:rPr>
          <w:sz w:val="20"/>
        </w:rPr>
        <w:t>are</w:t>
      </w:r>
      <w:r>
        <w:rPr>
          <w:spacing w:val="-3"/>
          <w:sz w:val="20"/>
        </w:rPr>
        <w:t xml:space="preserve"> </w:t>
      </w:r>
      <w:r>
        <w:rPr>
          <w:sz w:val="20"/>
        </w:rPr>
        <w:t>not required</w:t>
      </w:r>
      <w:r>
        <w:rPr>
          <w:spacing w:val="-1"/>
          <w:sz w:val="20"/>
        </w:rPr>
        <w:t xml:space="preserve"> </w:t>
      </w:r>
      <w:r>
        <w:rPr>
          <w:sz w:val="20"/>
        </w:rPr>
        <w:t>to</w:t>
      </w:r>
      <w:r>
        <w:rPr>
          <w:spacing w:val="-2"/>
          <w:sz w:val="20"/>
        </w:rPr>
        <w:t xml:space="preserve"> </w:t>
      </w:r>
      <w:r>
        <w:rPr>
          <w:sz w:val="20"/>
        </w:rPr>
        <w:t>provide</w:t>
      </w:r>
      <w:r>
        <w:rPr>
          <w:spacing w:val="-3"/>
          <w:sz w:val="20"/>
        </w:rPr>
        <w:t xml:space="preserve"> </w:t>
      </w:r>
      <w:r>
        <w:rPr>
          <w:sz w:val="20"/>
        </w:rPr>
        <w:t>abortion as</w:t>
      </w:r>
      <w:r>
        <w:rPr>
          <w:spacing w:val="-3"/>
          <w:sz w:val="20"/>
        </w:rPr>
        <w:t xml:space="preserve"> </w:t>
      </w:r>
      <w:r>
        <w:rPr>
          <w:sz w:val="20"/>
        </w:rPr>
        <w:t>a</w:t>
      </w:r>
      <w:r>
        <w:rPr>
          <w:spacing w:val="-2"/>
          <w:sz w:val="20"/>
        </w:rPr>
        <w:t xml:space="preserve"> </w:t>
      </w:r>
      <w:r>
        <w:rPr>
          <w:sz w:val="20"/>
        </w:rPr>
        <w:t>regular service</w:t>
      </w:r>
      <w:r>
        <w:rPr>
          <w:spacing w:val="-3"/>
          <w:sz w:val="20"/>
        </w:rPr>
        <w:t xml:space="preserve"> </w:t>
      </w:r>
      <w:r>
        <w:rPr>
          <w:sz w:val="20"/>
        </w:rPr>
        <w:t>but</w:t>
      </w:r>
      <w:r>
        <w:rPr>
          <w:spacing w:val="-2"/>
          <w:sz w:val="20"/>
        </w:rPr>
        <w:t xml:space="preserve"> </w:t>
      </w:r>
      <w:r>
        <w:rPr>
          <w:sz w:val="20"/>
        </w:rPr>
        <w:t>can refer</w:t>
      </w:r>
      <w:r>
        <w:rPr>
          <w:spacing w:val="-1"/>
          <w:sz w:val="20"/>
        </w:rPr>
        <w:t xml:space="preserve"> </w:t>
      </w:r>
      <w:r>
        <w:rPr>
          <w:sz w:val="20"/>
        </w:rPr>
        <w:t>pregnant peo</w:t>
      </w:r>
      <w:r>
        <w:rPr>
          <w:sz w:val="20"/>
        </w:rPr>
        <w:t>ple</w:t>
      </w:r>
      <w:r>
        <w:rPr>
          <w:spacing w:val="-1"/>
          <w:sz w:val="20"/>
        </w:rPr>
        <w:t xml:space="preserve"> </w:t>
      </w:r>
      <w:r>
        <w:rPr>
          <w:sz w:val="20"/>
        </w:rPr>
        <w:t>with unintended pregnancies</w:t>
      </w:r>
      <w:r>
        <w:rPr>
          <w:spacing w:val="-2"/>
          <w:sz w:val="20"/>
        </w:rPr>
        <w:t xml:space="preserve"> </w:t>
      </w:r>
      <w:r>
        <w:rPr>
          <w:sz w:val="20"/>
        </w:rPr>
        <w:t>to other</w:t>
      </w:r>
      <w:r>
        <w:rPr>
          <w:spacing w:val="-1"/>
          <w:sz w:val="20"/>
        </w:rPr>
        <w:t xml:space="preserve"> </w:t>
      </w:r>
      <w:r>
        <w:rPr>
          <w:sz w:val="20"/>
        </w:rPr>
        <w:t>medical</w:t>
      </w:r>
      <w:r>
        <w:rPr>
          <w:spacing w:val="-1"/>
          <w:sz w:val="20"/>
        </w:rPr>
        <w:t xml:space="preserve"> </w:t>
      </w:r>
      <w:r>
        <w:rPr>
          <w:sz w:val="20"/>
        </w:rPr>
        <w:t>centers</w:t>
      </w:r>
      <w:r>
        <w:rPr>
          <w:spacing w:val="-2"/>
          <w:sz w:val="20"/>
        </w:rPr>
        <w:t xml:space="preserve"> </w:t>
      </w:r>
      <w:r>
        <w:rPr>
          <w:sz w:val="20"/>
        </w:rPr>
        <w:t>or</w:t>
      </w:r>
      <w:r>
        <w:rPr>
          <w:spacing w:val="-1"/>
          <w:sz w:val="20"/>
        </w:rPr>
        <w:t xml:space="preserve"> </w:t>
      </w:r>
      <w:r>
        <w:rPr>
          <w:sz w:val="20"/>
        </w:rPr>
        <w:t>providers</w:t>
      </w:r>
      <w:r>
        <w:rPr>
          <w:spacing w:val="-2"/>
          <w:sz w:val="20"/>
        </w:rPr>
        <w:t xml:space="preserve"> </w:t>
      </w:r>
      <w:r>
        <w:rPr>
          <w:sz w:val="20"/>
        </w:rPr>
        <w:t>who can provide</w:t>
      </w:r>
      <w:r>
        <w:rPr>
          <w:spacing w:val="-2"/>
          <w:sz w:val="20"/>
        </w:rPr>
        <w:t xml:space="preserve"> </w:t>
      </w:r>
      <w:r>
        <w:rPr>
          <w:sz w:val="20"/>
        </w:rPr>
        <w:t>routine abortion services. Statewide, only nine hospitals provide routine abortion services with seven of them being in Boston and Cambridge. Fortunately, those nine hosp</w:t>
      </w:r>
      <w:r>
        <w:rPr>
          <w:sz w:val="20"/>
        </w:rPr>
        <w:t>itals that provide routine abortion services appear to also provide gender-affirming care or are trained in LGBTQ healthcare.</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spacing w:before="66" w:line="264" w:lineRule="auto"/>
        <w:ind w:left="139" w:right="334"/>
        <w:jc w:val="both"/>
        <w:rPr>
          <w:sz w:val="20"/>
        </w:rPr>
      </w:pPr>
      <w:r>
        <w:rPr>
          <w:sz w:val="20"/>
        </w:rPr>
        <w:lastRenderedPageBreak/>
        <w:t>According to a directory designed by a New England-based abortion rights group, Reproductive Equity Now, the nearest</w:t>
      </w:r>
      <w:r>
        <w:rPr>
          <w:sz w:val="20"/>
        </w:rPr>
        <w:t xml:space="preserve"> abortion service providers in New Bedford are 43 miles away – Four Women's Health Services in Attleboro and</w:t>
      </w:r>
      <w:r>
        <w:rPr>
          <w:spacing w:val="-6"/>
          <w:sz w:val="20"/>
        </w:rPr>
        <w:t xml:space="preserve"> </w:t>
      </w:r>
      <w:r>
        <w:rPr>
          <w:sz w:val="20"/>
        </w:rPr>
        <w:t>the</w:t>
      </w:r>
      <w:r>
        <w:rPr>
          <w:spacing w:val="-8"/>
          <w:sz w:val="20"/>
        </w:rPr>
        <w:t xml:space="preserve"> </w:t>
      </w:r>
      <w:r>
        <w:rPr>
          <w:sz w:val="20"/>
        </w:rPr>
        <w:t>Women</w:t>
      </w:r>
      <w:r>
        <w:rPr>
          <w:spacing w:val="-6"/>
          <w:sz w:val="20"/>
        </w:rPr>
        <w:t xml:space="preserve"> </w:t>
      </w:r>
      <w:r>
        <w:rPr>
          <w:sz w:val="20"/>
        </w:rPr>
        <w:t>and</w:t>
      </w:r>
      <w:r>
        <w:rPr>
          <w:spacing w:val="-7"/>
          <w:sz w:val="20"/>
        </w:rPr>
        <w:t xml:space="preserve"> </w:t>
      </w:r>
      <w:r>
        <w:rPr>
          <w:sz w:val="20"/>
        </w:rPr>
        <w:t>Infant</w:t>
      </w:r>
      <w:r>
        <w:rPr>
          <w:spacing w:val="-6"/>
          <w:sz w:val="20"/>
        </w:rPr>
        <w:t xml:space="preserve"> </w:t>
      </w:r>
      <w:r>
        <w:rPr>
          <w:sz w:val="20"/>
        </w:rPr>
        <w:t>Hospital</w:t>
      </w:r>
      <w:r>
        <w:rPr>
          <w:spacing w:val="-7"/>
          <w:sz w:val="20"/>
        </w:rPr>
        <w:t xml:space="preserve"> </w:t>
      </w:r>
      <w:r>
        <w:rPr>
          <w:sz w:val="20"/>
        </w:rPr>
        <w:t>in</w:t>
      </w:r>
      <w:r>
        <w:rPr>
          <w:spacing w:val="-6"/>
          <w:sz w:val="20"/>
        </w:rPr>
        <w:t xml:space="preserve"> </w:t>
      </w:r>
      <w:r>
        <w:rPr>
          <w:sz w:val="20"/>
        </w:rPr>
        <w:t>Providence,</w:t>
      </w:r>
      <w:r>
        <w:rPr>
          <w:spacing w:val="-7"/>
          <w:sz w:val="20"/>
        </w:rPr>
        <w:t xml:space="preserve"> </w:t>
      </w:r>
      <w:r>
        <w:rPr>
          <w:sz w:val="20"/>
        </w:rPr>
        <w:t>RI.</w:t>
      </w:r>
      <w:r>
        <w:rPr>
          <w:spacing w:val="-7"/>
          <w:sz w:val="20"/>
        </w:rPr>
        <w:t xml:space="preserve"> </w:t>
      </w:r>
      <w:r>
        <w:rPr>
          <w:sz w:val="20"/>
        </w:rPr>
        <w:t>Pregnant</w:t>
      </w:r>
      <w:r>
        <w:rPr>
          <w:spacing w:val="-6"/>
          <w:sz w:val="20"/>
        </w:rPr>
        <w:t xml:space="preserve"> </w:t>
      </w:r>
      <w:r>
        <w:rPr>
          <w:sz w:val="20"/>
        </w:rPr>
        <w:t>people</w:t>
      </w:r>
      <w:r>
        <w:rPr>
          <w:spacing w:val="-8"/>
          <w:sz w:val="20"/>
        </w:rPr>
        <w:t xml:space="preserve"> </w:t>
      </w:r>
      <w:r>
        <w:rPr>
          <w:sz w:val="20"/>
        </w:rPr>
        <w:t>in</w:t>
      </w:r>
      <w:r>
        <w:rPr>
          <w:spacing w:val="-6"/>
          <w:sz w:val="20"/>
        </w:rPr>
        <w:t xml:space="preserve"> </w:t>
      </w:r>
      <w:r>
        <w:rPr>
          <w:sz w:val="20"/>
        </w:rPr>
        <w:t>Cape</w:t>
      </w:r>
      <w:r>
        <w:rPr>
          <w:spacing w:val="-8"/>
          <w:sz w:val="20"/>
        </w:rPr>
        <w:t xml:space="preserve"> </w:t>
      </w:r>
      <w:r>
        <w:rPr>
          <w:sz w:val="20"/>
        </w:rPr>
        <w:t>Cod</w:t>
      </w:r>
      <w:r>
        <w:rPr>
          <w:spacing w:val="-6"/>
          <w:sz w:val="20"/>
        </w:rPr>
        <w:t xml:space="preserve"> </w:t>
      </w:r>
      <w:r>
        <w:rPr>
          <w:sz w:val="20"/>
        </w:rPr>
        <w:t>would</w:t>
      </w:r>
      <w:r>
        <w:rPr>
          <w:spacing w:val="-5"/>
          <w:sz w:val="20"/>
        </w:rPr>
        <w:t xml:space="preserve"> </w:t>
      </w:r>
      <w:r>
        <w:rPr>
          <w:sz w:val="20"/>
        </w:rPr>
        <w:t>need</w:t>
      </w:r>
      <w:r>
        <w:rPr>
          <w:spacing w:val="-6"/>
          <w:sz w:val="20"/>
        </w:rPr>
        <w:t xml:space="preserve"> </w:t>
      </w:r>
      <w:r>
        <w:rPr>
          <w:sz w:val="20"/>
        </w:rPr>
        <w:t>to</w:t>
      </w:r>
      <w:r>
        <w:rPr>
          <w:spacing w:val="-7"/>
          <w:sz w:val="20"/>
        </w:rPr>
        <w:t xml:space="preserve"> </w:t>
      </w:r>
      <w:r>
        <w:rPr>
          <w:sz w:val="20"/>
        </w:rPr>
        <w:t>travel</w:t>
      </w:r>
      <w:r>
        <w:rPr>
          <w:spacing w:val="-7"/>
          <w:sz w:val="20"/>
        </w:rPr>
        <w:t xml:space="preserve"> </w:t>
      </w:r>
      <w:r>
        <w:rPr>
          <w:sz w:val="20"/>
        </w:rPr>
        <w:t>almost</w:t>
      </w:r>
      <w:r>
        <w:rPr>
          <w:spacing w:val="-6"/>
          <w:sz w:val="20"/>
        </w:rPr>
        <w:t xml:space="preserve"> </w:t>
      </w:r>
      <w:r>
        <w:rPr>
          <w:sz w:val="20"/>
        </w:rPr>
        <w:t>100 miles to access routine abortion service providers in the greater Boston area.</w:t>
      </w:r>
      <w:hyperlink w:anchor="_bookmark497" w:history="1">
        <w:r>
          <w:rPr>
            <w:sz w:val="20"/>
            <w:vertAlign w:val="superscript"/>
          </w:rPr>
          <w:t>51</w:t>
        </w:r>
      </w:hyperlink>
      <w:r>
        <w:rPr>
          <w:spacing w:val="-3"/>
          <w:sz w:val="20"/>
        </w:rPr>
        <w:t xml:space="preserve"> </w:t>
      </w:r>
      <w:r>
        <w:rPr>
          <w:sz w:val="20"/>
        </w:rPr>
        <w:t>This becomes a barrier to abortion access for LGBTQ youth who cannot afford to cover travel expenses, such as gas, especially if the lack o</w:t>
      </w:r>
      <w:r>
        <w:rPr>
          <w:sz w:val="20"/>
        </w:rPr>
        <w:t>f accessible public</w:t>
      </w:r>
      <w:r>
        <w:rPr>
          <w:spacing w:val="-5"/>
          <w:sz w:val="20"/>
        </w:rPr>
        <w:t xml:space="preserve"> </w:t>
      </w:r>
      <w:r>
        <w:rPr>
          <w:sz w:val="20"/>
        </w:rPr>
        <w:t>transportation</w:t>
      </w:r>
      <w:r>
        <w:rPr>
          <w:spacing w:val="-4"/>
          <w:sz w:val="20"/>
        </w:rPr>
        <w:t xml:space="preserve"> </w:t>
      </w:r>
      <w:r>
        <w:rPr>
          <w:sz w:val="20"/>
        </w:rPr>
        <w:t>is</w:t>
      </w:r>
      <w:r>
        <w:rPr>
          <w:spacing w:val="-6"/>
          <w:sz w:val="20"/>
        </w:rPr>
        <w:t xml:space="preserve"> </w:t>
      </w:r>
      <w:r>
        <w:rPr>
          <w:sz w:val="20"/>
        </w:rPr>
        <w:t>an</w:t>
      </w:r>
      <w:r>
        <w:rPr>
          <w:spacing w:val="-4"/>
          <w:sz w:val="20"/>
        </w:rPr>
        <w:t xml:space="preserve"> </w:t>
      </w:r>
      <w:r>
        <w:rPr>
          <w:sz w:val="20"/>
        </w:rPr>
        <w:t>existing</w:t>
      </w:r>
      <w:r>
        <w:rPr>
          <w:spacing w:val="-5"/>
          <w:sz w:val="20"/>
        </w:rPr>
        <w:t xml:space="preserve"> </w:t>
      </w:r>
      <w:r>
        <w:rPr>
          <w:sz w:val="20"/>
        </w:rPr>
        <w:t>problem</w:t>
      </w:r>
      <w:r>
        <w:rPr>
          <w:spacing w:val="-5"/>
          <w:sz w:val="20"/>
        </w:rPr>
        <w:t xml:space="preserve"> </w:t>
      </w:r>
      <w:r>
        <w:rPr>
          <w:sz w:val="20"/>
        </w:rPr>
        <w:t>as</w:t>
      </w:r>
      <w:r>
        <w:rPr>
          <w:spacing w:val="-6"/>
          <w:sz w:val="20"/>
        </w:rPr>
        <w:t xml:space="preserve"> </w:t>
      </w:r>
      <w:r>
        <w:rPr>
          <w:sz w:val="20"/>
        </w:rPr>
        <w:t>well.</w:t>
      </w:r>
      <w:r>
        <w:rPr>
          <w:spacing w:val="-4"/>
          <w:sz w:val="20"/>
        </w:rPr>
        <w:t xml:space="preserve"> </w:t>
      </w:r>
      <w:r>
        <w:rPr>
          <w:sz w:val="20"/>
        </w:rPr>
        <w:t>They</w:t>
      </w:r>
      <w:r>
        <w:rPr>
          <w:spacing w:val="-3"/>
          <w:sz w:val="20"/>
        </w:rPr>
        <w:t xml:space="preserve"> </w:t>
      </w:r>
      <w:r>
        <w:rPr>
          <w:sz w:val="20"/>
        </w:rPr>
        <w:t>also</w:t>
      </w:r>
      <w:r>
        <w:rPr>
          <w:spacing w:val="-4"/>
          <w:sz w:val="20"/>
        </w:rPr>
        <w:t xml:space="preserve"> </w:t>
      </w:r>
      <w:r>
        <w:rPr>
          <w:sz w:val="20"/>
        </w:rPr>
        <w:t>might</w:t>
      </w:r>
      <w:r>
        <w:rPr>
          <w:spacing w:val="-4"/>
          <w:sz w:val="20"/>
        </w:rPr>
        <w:t xml:space="preserve"> </w:t>
      </w:r>
      <w:r>
        <w:rPr>
          <w:sz w:val="20"/>
        </w:rPr>
        <w:t>not</w:t>
      </w:r>
      <w:r>
        <w:rPr>
          <w:spacing w:val="-4"/>
          <w:sz w:val="20"/>
        </w:rPr>
        <w:t xml:space="preserve"> </w:t>
      </w:r>
      <w:r>
        <w:rPr>
          <w:sz w:val="20"/>
        </w:rPr>
        <w:t>be</w:t>
      </w:r>
      <w:r>
        <w:rPr>
          <w:spacing w:val="-5"/>
          <w:sz w:val="20"/>
        </w:rPr>
        <w:t xml:space="preserve"> </w:t>
      </w:r>
      <w:r>
        <w:rPr>
          <w:sz w:val="20"/>
        </w:rPr>
        <w:t>able</w:t>
      </w:r>
      <w:r>
        <w:rPr>
          <w:spacing w:val="-5"/>
          <w:sz w:val="20"/>
        </w:rPr>
        <w:t xml:space="preserve"> </w:t>
      </w:r>
      <w:r>
        <w:rPr>
          <w:sz w:val="20"/>
        </w:rPr>
        <w:t>to</w:t>
      </w:r>
      <w:r>
        <w:rPr>
          <w:spacing w:val="-4"/>
          <w:sz w:val="20"/>
        </w:rPr>
        <w:t xml:space="preserve"> </w:t>
      </w:r>
      <w:r>
        <w:rPr>
          <w:sz w:val="20"/>
        </w:rPr>
        <w:t>take</w:t>
      </w:r>
      <w:r>
        <w:rPr>
          <w:spacing w:val="-5"/>
          <w:sz w:val="20"/>
        </w:rPr>
        <w:t xml:space="preserve"> </w:t>
      </w:r>
      <w:r>
        <w:rPr>
          <w:sz w:val="20"/>
        </w:rPr>
        <w:t>time</w:t>
      </w:r>
      <w:r>
        <w:rPr>
          <w:spacing w:val="-5"/>
          <w:sz w:val="20"/>
        </w:rPr>
        <w:t xml:space="preserve"> </w:t>
      </w:r>
      <w:r>
        <w:rPr>
          <w:sz w:val="20"/>
        </w:rPr>
        <w:t>off</w:t>
      </w:r>
      <w:r>
        <w:rPr>
          <w:spacing w:val="-5"/>
          <w:sz w:val="20"/>
        </w:rPr>
        <w:t xml:space="preserve"> </w:t>
      </w:r>
      <w:r>
        <w:rPr>
          <w:sz w:val="20"/>
        </w:rPr>
        <w:t>from</w:t>
      </w:r>
      <w:r>
        <w:rPr>
          <w:spacing w:val="-5"/>
          <w:sz w:val="20"/>
        </w:rPr>
        <w:t xml:space="preserve"> </w:t>
      </w:r>
      <w:r>
        <w:rPr>
          <w:sz w:val="20"/>
        </w:rPr>
        <w:t>work</w:t>
      </w:r>
      <w:r>
        <w:rPr>
          <w:spacing w:val="-4"/>
          <w:sz w:val="20"/>
        </w:rPr>
        <w:t xml:space="preserve"> </w:t>
      </w:r>
      <w:r>
        <w:rPr>
          <w:sz w:val="20"/>
        </w:rPr>
        <w:t>to</w:t>
      </w:r>
      <w:r>
        <w:rPr>
          <w:spacing w:val="-4"/>
          <w:sz w:val="20"/>
        </w:rPr>
        <w:t xml:space="preserve"> </w:t>
      </w:r>
      <w:r>
        <w:rPr>
          <w:sz w:val="20"/>
        </w:rPr>
        <w:t>travel for</w:t>
      </w:r>
      <w:r>
        <w:rPr>
          <w:spacing w:val="-12"/>
          <w:sz w:val="20"/>
        </w:rPr>
        <w:t xml:space="preserve"> </w:t>
      </w:r>
      <w:r>
        <w:rPr>
          <w:sz w:val="20"/>
        </w:rPr>
        <w:t>an</w:t>
      </w:r>
      <w:r>
        <w:rPr>
          <w:spacing w:val="-11"/>
          <w:sz w:val="20"/>
        </w:rPr>
        <w:t xml:space="preserve"> </w:t>
      </w:r>
      <w:r>
        <w:rPr>
          <w:sz w:val="20"/>
        </w:rPr>
        <w:t>abortion</w:t>
      </w:r>
      <w:r>
        <w:rPr>
          <w:spacing w:val="-11"/>
          <w:sz w:val="20"/>
        </w:rPr>
        <w:t xml:space="preserve"> </w:t>
      </w:r>
      <w:r>
        <w:rPr>
          <w:sz w:val="20"/>
        </w:rPr>
        <w:t>appointment</w:t>
      </w:r>
      <w:r>
        <w:rPr>
          <w:spacing w:val="-12"/>
          <w:sz w:val="20"/>
        </w:rPr>
        <w:t xml:space="preserve"> </w:t>
      </w:r>
      <w:r>
        <w:rPr>
          <w:sz w:val="20"/>
        </w:rPr>
        <w:t>or</w:t>
      </w:r>
      <w:r>
        <w:rPr>
          <w:spacing w:val="-11"/>
          <w:sz w:val="20"/>
        </w:rPr>
        <w:t xml:space="preserve"> </w:t>
      </w:r>
      <w:r>
        <w:rPr>
          <w:sz w:val="20"/>
        </w:rPr>
        <w:t>miss</w:t>
      </w:r>
      <w:r>
        <w:rPr>
          <w:spacing w:val="-11"/>
          <w:sz w:val="20"/>
        </w:rPr>
        <w:t xml:space="preserve"> </w:t>
      </w:r>
      <w:r>
        <w:rPr>
          <w:sz w:val="20"/>
        </w:rPr>
        <w:t>classes</w:t>
      </w:r>
      <w:r>
        <w:rPr>
          <w:spacing w:val="-12"/>
          <w:sz w:val="20"/>
        </w:rPr>
        <w:t xml:space="preserve"> </w:t>
      </w:r>
      <w:r>
        <w:rPr>
          <w:sz w:val="20"/>
        </w:rPr>
        <w:t>if</w:t>
      </w:r>
      <w:r>
        <w:rPr>
          <w:spacing w:val="-11"/>
          <w:sz w:val="20"/>
        </w:rPr>
        <w:t xml:space="preserve"> </w:t>
      </w:r>
      <w:r>
        <w:rPr>
          <w:sz w:val="20"/>
        </w:rPr>
        <w:t>they</w:t>
      </w:r>
      <w:r>
        <w:rPr>
          <w:spacing w:val="-11"/>
          <w:sz w:val="20"/>
        </w:rPr>
        <w:t xml:space="preserve"> </w:t>
      </w:r>
      <w:r>
        <w:rPr>
          <w:sz w:val="20"/>
        </w:rPr>
        <w:t>attend</w:t>
      </w:r>
      <w:r>
        <w:rPr>
          <w:spacing w:val="-12"/>
          <w:sz w:val="20"/>
        </w:rPr>
        <w:t xml:space="preserve"> </w:t>
      </w:r>
      <w:r>
        <w:rPr>
          <w:sz w:val="20"/>
        </w:rPr>
        <w:t>a</w:t>
      </w:r>
      <w:r>
        <w:rPr>
          <w:spacing w:val="-11"/>
          <w:sz w:val="20"/>
        </w:rPr>
        <w:t xml:space="preserve"> </w:t>
      </w:r>
      <w:r>
        <w:rPr>
          <w:sz w:val="20"/>
        </w:rPr>
        <w:t>state</w:t>
      </w:r>
      <w:r>
        <w:rPr>
          <w:spacing w:val="-11"/>
          <w:sz w:val="20"/>
        </w:rPr>
        <w:t xml:space="preserve"> </w:t>
      </w:r>
      <w:r>
        <w:rPr>
          <w:sz w:val="20"/>
        </w:rPr>
        <w:t>college</w:t>
      </w:r>
      <w:r>
        <w:rPr>
          <w:spacing w:val="-11"/>
          <w:sz w:val="20"/>
        </w:rPr>
        <w:t xml:space="preserve"> </w:t>
      </w:r>
      <w:r>
        <w:rPr>
          <w:sz w:val="20"/>
        </w:rPr>
        <w:t>or</w:t>
      </w:r>
      <w:r>
        <w:rPr>
          <w:spacing w:val="-12"/>
          <w:sz w:val="20"/>
        </w:rPr>
        <w:t xml:space="preserve"> </w:t>
      </w:r>
      <w:r>
        <w:rPr>
          <w:sz w:val="20"/>
        </w:rPr>
        <w:t>university</w:t>
      </w:r>
      <w:r>
        <w:rPr>
          <w:spacing w:val="-11"/>
          <w:sz w:val="20"/>
        </w:rPr>
        <w:t xml:space="preserve"> </w:t>
      </w:r>
      <w:r>
        <w:rPr>
          <w:sz w:val="20"/>
        </w:rPr>
        <w:t>in</w:t>
      </w:r>
      <w:r>
        <w:rPr>
          <w:spacing w:val="-11"/>
          <w:sz w:val="20"/>
        </w:rPr>
        <w:t xml:space="preserve"> </w:t>
      </w:r>
      <w:r>
        <w:rPr>
          <w:sz w:val="20"/>
        </w:rPr>
        <w:t>those</w:t>
      </w:r>
      <w:r>
        <w:rPr>
          <w:spacing w:val="-12"/>
          <w:sz w:val="20"/>
        </w:rPr>
        <w:t xml:space="preserve"> </w:t>
      </w:r>
      <w:r>
        <w:rPr>
          <w:sz w:val="20"/>
        </w:rPr>
        <w:t>areas</w:t>
      </w:r>
      <w:r>
        <w:rPr>
          <w:spacing w:val="-11"/>
          <w:sz w:val="20"/>
        </w:rPr>
        <w:t xml:space="preserve"> </w:t>
      </w:r>
      <w:r>
        <w:rPr>
          <w:sz w:val="20"/>
        </w:rPr>
        <w:t>that</w:t>
      </w:r>
      <w:r>
        <w:rPr>
          <w:spacing w:val="-11"/>
          <w:sz w:val="20"/>
        </w:rPr>
        <w:t xml:space="preserve"> </w:t>
      </w:r>
      <w:r>
        <w:rPr>
          <w:sz w:val="20"/>
        </w:rPr>
        <w:t>lack</w:t>
      </w:r>
      <w:r>
        <w:rPr>
          <w:spacing w:val="-12"/>
          <w:sz w:val="20"/>
        </w:rPr>
        <w:t xml:space="preserve"> </w:t>
      </w:r>
      <w:r>
        <w:rPr>
          <w:sz w:val="20"/>
        </w:rPr>
        <w:t>routine abortion</w:t>
      </w:r>
      <w:r>
        <w:rPr>
          <w:spacing w:val="-5"/>
          <w:sz w:val="20"/>
        </w:rPr>
        <w:t xml:space="preserve"> </w:t>
      </w:r>
      <w:r>
        <w:rPr>
          <w:sz w:val="20"/>
        </w:rPr>
        <w:t>providers</w:t>
      </w:r>
      <w:r>
        <w:rPr>
          <w:spacing w:val="-7"/>
          <w:sz w:val="20"/>
        </w:rPr>
        <w:t xml:space="preserve"> </w:t>
      </w:r>
      <w:r>
        <w:rPr>
          <w:sz w:val="20"/>
        </w:rPr>
        <w:t>nearby.</w:t>
      </w:r>
      <w:r>
        <w:rPr>
          <w:spacing w:val="-6"/>
          <w:sz w:val="20"/>
        </w:rPr>
        <w:t xml:space="preserve"> </w:t>
      </w:r>
      <w:r>
        <w:rPr>
          <w:sz w:val="20"/>
        </w:rPr>
        <w:t>Some</w:t>
      </w:r>
      <w:r>
        <w:rPr>
          <w:spacing w:val="-7"/>
          <w:sz w:val="20"/>
        </w:rPr>
        <w:t xml:space="preserve"> </w:t>
      </w:r>
      <w:r>
        <w:rPr>
          <w:sz w:val="20"/>
        </w:rPr>
        <w:t>LGBTQ</w:t>
      </w:r>
      <w:r>
        <w:rPr>
          <w:spacing w:val="-6"/>
          <w:sz w:val="20"/>
        </w:rPr>
        <w:t xml:space="preserve"> </w:t>
      </w:r>
      <w:r>
        <w:rPr>
          <w:sz w:val="20"/>
        </w:rPr>
        <w:t>youth</w:t>
      </w:r>
      <w:r>
        <w:rPr>
          <w:spacing w:val="-5"/>
          <w:sz w:val="20"/>
        </w:rPr>
        <w:t xml:space="preserve"> </w:t>
      </w:r>
      <w:r>
        <w:rPr>
          <w:sz w:val="20"/>
        </w:rPr>
        <w:t>may</w:t>
      </w:r>
      <w:r>
        <w:rPr>
          <w:spacing w:val="-5"/>
          <w:sz w:val="20"/>
        </w:rPr>
        <w:t xml:space="preserve"> </w:t>
      </w:r>
      <w:r>
        <w:rPr>
          <w:sz w:val="20"/>
        </w:rPr>
        <w:t>not</w:t>
      </w:r>
      <w:r>
        <w:rPr>
          <w:spacing w:val="-5"/>
          <w:sz w:val="20"/>
        </w:rPr>
        <w:t xml:space="preserve"> </w:t>
      </w:r>
      <w:r>
        <w:rPr>
          <w:sz w:val="20"/>
        </w:rPr>
        <w:t>be</w:t>
      </w:r>
      <w:r>
        <w:rPr>
          <w:spacing w:val="-7"/>
          <w:sz w:val="20"/>
        </w:rPr>
        <w:t xml:space="preserve"> </w:t>
      </w:r>
      <w:r>
        <w:rPr>
          <w:sz w:val="20"/>
        </w:rPr>
        <w:t>able</w:t>
      </w:r>
      <w:r>
        <w:rPr>
          <w:spacing w:val="-7"/>
          <w:sz w:val="20"/>
        </w:rPr>
        <w:t xml:space="preserve"> </w:t>
      </w:r>
      <w:r>
        <w:rPr>
          <w:sz w:val="20"/>
        </w:rPr>
        <w:t>to</w:t>
      </w:r>
      <w:r>
        <w:rPr>
          <w:spacing w:val="-5"/>
          <w:sz w:val="20"/>
        </w:rPr>
        <w:t xml:space="preserve"> </w:t>
      </w:r>
      <w:r>
        <w:rPr>
          <w:sz w:val="20"/>
        </w:rPr>
        <w:t>travel</w:t>
      </w:r>
      <w:r>
        <w:rPr>
          <w:spacing w:val="-4"/>
          <w:sz w:val="20"/>
        </w:rPr>
        <w:t xml:space="preserve"> </w:t>
      </w:r>
      <w:r>
        <w:rPr>
          <w:sz w:val="20"/>
        </w:rPr>
        <w:t>freely</w:t>
      </w:r>
      <w:r>
        <w:rPr>
          <w:spacing w:val="-5"/>
          <w:sz w:val="20"/>
        </w:rPr>
        <w:t xml:space="preserve"> </w:t>
      </w:r>
      <w:r>
        <w:rPr>
          <w:sz w:val="20"/>
        </w:rPr>
        <w:t>if</w:t>
      </w:r>
      <w:r>
        <w:rPr>
          <w:spacing w:val="-7"/>
          <w:sz w:val="20"/>
        </w:rPr>
        <w:t xml:space="preserve"> </w:t>
      </w:r>
      <w:r>
        <w:rPr>
          <w:sz w:val="20"/>
        </w:rPr>
        <w:t>they</w:t>
      </w:r>
      <w:r>
        <w:rPr>
          <w:spacing w:val="-5"/>
          <w:sz w:val="20"/>
        </w:rPr>
        <w:t xml:space="preserve"> </w:t>
      </w:r>
      <w:r>
        <w:rPr>
          <w:sz w:val="20"/>
        </w:rPr>
        <w:t>are</w:t>
      </w:r>
      <w:r>
        <w:rPr>
          <w:spacing w:val="-4"/>
          <w:sz w:val="20"/>
        </w:rPr>
        <w:t xml:space="preserve"> </w:t>
      </w:r>
      <w:r>
        <w:rPr>
          <w:sz w:val="20"/>
        </w:rPr>
        <w:t>under</w:t>
      </w:r>
      <w:r>
        <w:rPr>
          <w:spacing w:val="-6"/>
          <w:sz w:val="20"/>
        </w:rPr>
        <w:t xml:space="preserve"> </w:t>
      </w:r>
      <w:r>
        <w:rPr>
          <w:sz w:val="20"/>
        </w:rPr>
        <w:t>the</w:t>
      </w:r>
      <w:r>
        <w:rPr>
          <w:spacing w:val="-7"/>
          <w:sz w:val="20"/>
        </w:rPr>
        <w:t xml:space="preserve"> </w:t>
      </w:r>
      <w:r>
        <w:rPr>
          <w:sz w:val="20"/>
        </w:rPr>
        <w:t>care</w:t>
      </w:r>
      <w:r>
        <w:rPr>
          <w:spacing w:val="-7"/>
          <w:sz w:val="20"/>
        </w:rPr>
        <w:t xml:space="preserve"> </w:t>
      </w:r>
      <w:r>
        <w:rPr>
          <w:sz w:val="20"/>
        </w:rPr>
        <w:t>of</w:t>
      </w:r>
      <w:r>
        <w:rPr>
          <w:spacing w:val="-7"/>
          <w:sz w:val="20"/>
        </w:rPr>
        <w:t xml:space="preserve"> </w:t>
      </w:r>
      <w:r>
        <w:rPr>
          <w:sz w:val="20"/>
        </w:rPr>
        <w:t>a</w:t>
      </w:r>
      <w:r>
        <w:rPr>
          <w:spacing w:val="-5"/>
          <w:sz w:val="20"/>
        </w:rPr>
        <w:t xml:space="preserve"> </w:t>
      </w:r>
      <w:r>
        <w:rPr>
          <w:sz w:val="20"/>
        </w:rPr>
        <w:t>parent or guardian and may not feel comfortable disclosing their pregnancy to them.</w:t>
      </w:r>
    </w:p>
    <w:p w:rsidR="00200FDA" w:rsidRDefault="00200FDA">
      <w:pPr>
        <w:pStyle w:val="BodyText"/>
        <w:rPr>
          <w:sz w:val="20"/>
        </w:rPr>
      </w:pPr>
    </w:p>
    <w:p w:rsidR="00200FDA" w:rsidRDefault="00200FDA">
      <w:pPr>
        <w:pStyle w:val="BodyText"/>
        <w:spacing w:before="9"/>
        <w:rPr>
          <w:sz w:val="16"/>
        </w:rPr>
      </w:pPr>
    </w:p>
    <w:p w:rsidR="00200FDA" w:rsidRDefault="00F76C4C">
      <w:pPr>
        <w:pStyle w:val="Heading8"/>
        <w:spacing w:before="1"/>
        <w:jc w:val="left"/>
      </w:pPr>
      <w:bookmarkStart w:id="588" w:name="Policy"/>
      <w:bookmarkEnd w:id="588"/>
      <w:r>
        <w:rPr>
          <w:color w:val="2E5395"/>
          <w:spacing w:val="-2"/>
        </w:rPr>
        <w:t>Policy</w:t>
      </w:r>
    </w:p>
    <w:p w:rsidR="00200FDA" w:rsidRDefault="00200FDA">
      <w:pPr>
        <w:pStyle w:val="BodyText"/>
        <w:spacing w:before="9"/>
        <w:rPr>
          <w:sz w:val="19"/>
        </w:rPr>
      </w:pPr>
    </w:p>
    <w:p w:rsidR="00200FDA" w:rsidRDefault="00F76C4C">
      <w:pPr>
        <w:spacing w:before="1" w:line="264" w:lineRule="auto"/>
        <w:ind w:left="139" w:right="5878"/>
        <w:jc w:val="both"/>
        <w:rPr>
          <w:sz w:val="20"/>
        </w:rPr>
      </w:pPr>
      <w:r>
        <w:rPr>
          <w:noProof/>
        </w:rPr>
        <w:drawing>
          <wp:anchor distT="0" distB="0" distL="0" distR="0" simplePos="0" relativeHeight="15780352" behindDoc="0" locked="0" layoutInCell="1" allowOverlap="1">
            <wp:simplePos x="0" y="0"/>
            <wp:positionH relativeFrom="page">
              <wp:posOffset>3451225</wp:posOffset>
            </wp:positionH>
            <wp:positionV relativeFrom="paragraph">
              <wp:posOffset>273061</wp:posOffset>
            </wp:positionV>
            <wp:extent cx="3311135" cy="2042558"/>
            <wp:effectExtent l="0" t="0" r="0" b="0"/>
            <wp:wrapNone/>
            <wp:docPr id="79"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89.jpeg"/>
                    <pic:cNvPicPr/>
                  </pic:nvPicPr>
                  <pic:blipFill>
                    <a:blip r:embed="rId414" cstate="print"/>
                    <a:stretch>
                      <a:fillRect/>
                    </a:stretch>
                  </pic:blipFill>
                  <pic:spPr>
                    <a:xfrm>
                      <a:off x="0" y="0"/>
                      <a:ext cx="3311135" cy="2042558"/>
                    </a:xfrm>
                    <a:prstGeom prst="rect">
                      <a:avLst/>
                    </a:prstGeom>
                  </pic:spPr>
                </pic:pic>
              </a:graphicData>
            </a:graphic>
          </wp:anchor>
        </w:drawing>
      </w:r>
      <w:r>
        <w:rPr>
          <w:sz w:val="20"/>
        </w:rPr>
        <w:t>A systemic policy review of maternal health- related policies and legislations addressing racial disparities proposed federally and at the state-level</w:t>
      </w:r>
      <w:r>
        <w:rPr>
          <w:spacing w:val="-12"/>
          <w:sz w:val="20"/>
        </w:rPr>
        <w:t xml:space="preserve"> </w:t>
      </w:r>
      <w:r>
        <w:rPr>
          <w:sz w:val="20"/>
        </w:rPr>
        <w:t>in</w:t>
      </w:r>
      <w:r>
        <w:rPr>
          <w:spacing w:val="-11"/>
          <w:sz w:val="20"/>
        </w:rPr>
        <w:t xml:space="preserve"> </w:t>
      </w:r>
      <w:r>
        <w:rPr>
          <w:sz w:val="20"/>
        </w:rPr>
        <w:t>Massachusetts</w:t>
      </w:r>
      <w:r>
        <w:rPr>
          <w:spacing w:val="-11"/>
          <w:sz w:val="20"/>
        </w:rPr>
        <w:t xml:space="preserve"> </w:t>
      </w:r>
      <w:r>
        <w:rPr>
          <w:sz w:val="20"/>
        </w:rPr>
        <w:t>between</w:t>
      </w:r>
      <w:r>
        <w:rPr>
          <w:spacing w:val="-12"/>
          <w:sz w:val="20"/>
        </w:rPr>
        <w:t xml:space="preserve"> </w:t>
      </w:r>
      <w:r>
        <w:rPr>
          <w:sz w:val="20"/>
        </w:rPr>
        <w:t>2010</w:t>
      </w:r>
      <w:r>
        <w:rPr>
          <w:spacing w:val="-11"/>
          <w:sz w:val="20"/>
        </w:rPr>
        <w:t xml:space="preserve"> </w:t>
      </w:r>
      <w:r>
        <w:rPr>
          <w:sz w:val="20"/>
        </w:rPr>
        <w:t>and 2020 showed that 16-state level bills were proposed.</w:t>
      </w:r>
      <w:r>
        <w:rPr>
          <w:spacing w:val="-10"/>
          <w:sz w:val="20"/>
        </w:rPr>
        <w:t xml:space="preserve"> </w:t>
      </w:r>
      <w:r>
        <w:rPr>
          <w:sz w:val="20"/>
        </w:rPr>
        <w:t>Of</w:t>
      </w:r>
      <w:r>
        <w:rPr>
          <w:spacing w:val="-11"/>
          <w:sz w:val="20"/>
        </w:rPr>
        <w:t xml:space="preserve"> </w:t>
      </w:r>
      <w:r>
        <w:rPr>
          <w:sz w:val="20"/>
        </w:rPr>
        <w:t>those</w:t>
      </w:r>
      <w:r>
        <w:rPr>
          <w:spacing w:val="-11"/>
          <w:sz w:val="20"/>
        </w:rPr>
        <w:t xml:space="preserve"> </w:t>
      </w:r>
      <w:r>
        <w:rPr>
          <w:sz w:val="20"/>
        </w:rPr>
        <w:t>16</w:t>
      </w:r>
      <w:r>
        <w:rPr>
          <w:spacing w:val="-10"/>
          <w:sz w:val="20"/>
        </w:rPr>
        <w:t xml:space="preserve"> </w:t>
      </w:r>
      <w:r>
        <w:rPr>
          <w:sz w:val="20"/>
        </w:rPr>
        <w:t>propos</w:t>
      </w:r>
      <w:r>
        <w:rPr>
          <w:sz w:val="20"/>
        </w:rPr>
        <w:t>ed</w:t>
      </w:r>
      <w:r>
        <w:rPr>
          <w:spacing w:val="-9"/>
          <w:sz w:val="20"/>
        </w:rPr>
        <w:t xml:space="preserve"> </w:t>
      </w:r>
      <w:r>
        <w:rPr>
          <w:sz w:val="20"/>
        </w:rPr>
        <w:t>only</w:t>
      </w:r>
      <w:r>
        <w:rPr>
          <w:spacing w:val="-9"/>
          <w:sz w:val="20"/>
        </w:rPr>
        <w:t xml:space="preserve"> </w:t>
      </w:r>
      <w:r>
        <w:rPr>
          <w:sz w:val="20"/>
        </w:rPr>
        <w:t>2</w:t>
      </w:r>
      <w:r>
        <w:rPr>
          <w:spacing w:val="-10"/>
          <w:sz w:val="20"/>
        </w:rPr>
        <w:t xml:space="preserve"> </w:t>
      </w:r>
      <w:r>
        <w:rPr>
          <w:sz w:val="20"/>
        </w:rPr>
        <w:t>of</w:t>
      </w:r>
      <w:r>
        <w:rPr>
          <w:spacing w:val="-11"/>
          <w:sz w:val="20"/>
        </w:rPr>
        <w:t xml:space="preserve"> </w:t>
      </w:r>
      <w:r>
        <w:rPr>
          <w:sz w:val="20"/>
        </w:rPr>
        <w:t>them were signed into law. Interestingly, a majority of the bills proposed were centered around expanding healthcare coverage that would cover prenatal, pregnancy, and postpartum services, and would allow for care beyond the current coverage o</w:t>
      </w:r>
      <w:r>
        <w:rPr>
          <w:sz w:val="20"/>
        </w:rPr>
        <w:t>f 60 days postpartum through Medicaid for low-income people who had just given birth. It is clear that expanding healthcare</w:t>
      </w:r>
      <w:r>
        <w:rPr>
          <w:spacing w:val="4"/>
          <w:sz w:val="20"/>
        </w:rPr>
        <w:t xml:space="preserve"> </w:t>
      </w:r>
      <w:r>
        <w:rPr>
          <w:sz w:val="20"/>
        </w:rPr>
        <w:t>coverage</w:t>
      </w:r>
      <w:r>
        <w:rPr>
          <w:spacing w:val="5"/>
          <w:sz w:val="20"/>
        </w:rPr>
        <w:t xml:space="preserve"> </w:t>
      </w:r>
      <w:r>
        <w:rPr>
          <w:sz w:val="20"/>
        </w:rPr>
        <w:t>is</w:t>
      </w:r>
      <w:r>
        <w:rPr>
          <w:spacing w:val="5"/>
          <w:sz w:val="20"/>
        </w:rPr>
        <w:t xml:space="preserve"> </w:t>
      </w:r>
      <w:r>
        <w:rPr>
          <w:sz w:val="20"/>
        </w:rPr>
        <w:t>essential</w:t>
      </w:r>
      <w:r>
        <w:rPr>
          <w:spacing w:val="5"/>
          <w:sz w:val="20"/>
        </w:rPr>
        <w:t xml:space="preserve"> </w:t>
      </w:r>
      <w:r>
        <w:rPr>
          <w:sz w:val="20"/>
        </w:rPr>
        <w:t>for</w:t>
      </w:r>
      <w:r>
        <w:rPr>
          <w:spacing w:val="6"/>
          <w:sz w:val="20"/>
        </w:rPr>
        <w:t xml:space="preserve"> </w:t>
      </w:r>
      <w:r>
        <w:rPr>
          <w:spacing w:val="-2"/>
          <w:sz w:val="20"/>
        </w:rPr>
        <w:t>pregnancy</w:t>
      </w:r>
    </w:p>
    <w:p w:rsidR="00200FDA" w:rsidRDefault="00F76C4C">
      <w:pPr>
        <w:spacing w:line="264" w:lineRule="auto"/>
        <w:ind w:left="139" w:right="338"/>
        <w:jc w:val="both"/>
        <w:rPr>
          <w:sz w:val="20"/>
        </w:rPr>
      </w:pPr>
      <w:r>
        <w:rPr>
          <w:sz w:val="20"/>
        </w:rPr>
        <w:t>and gynecological health needs, especially after giving birth. Under federal law, Medicaid can o</w:t>
      </w:r>
      <w:r>
        <w:rPr>
          <w:sz w:val="20"/>
        </w:rPr>
        <w:t>nly cover 60 days postpartum. This policy design does not take into consideration the fact that pregnant people are more likely to experience postpartum complications after 60 days of giving birth.</w:t>
      </w:r>
    </w:p>
    <w:p w:rsidR="00200FDA" w:rsidRDefault="00200FDA">
      <w:pPr>
        <w:pStyle w:val="BodyText"/>
        <w:spacing w:before="8"/>
        <w:rPr>
          <w:sz w:val="19"/>
        </w:rPr>
      </w:pPr>
    </w:p>
    <w:p w:rsidR="00200FDA" w:rsidRDefault="00F76C4C">
      <w:pPr>
        <w:spacing w:line="264" w:lineRule="auto"/>
        <w:ind w:left="139" w:right="335"/>
        <w:jc w:val="both"/>
        <w:rPr>
          <w:sz w:val="20"/>
        </w:rPr>
      </w:pPr>
      <w:r>
        <w:rPr>
          <w:sz w:val="20"/>
        </w:rPr>
        <w:t>In</w:t>
      </w:r>
      <w:r>
        <w:rPr>
          <w:spacing w:val="-3"/>
          <w:sz w:val="20"/>
        </w:rPr>
        <w:t xml:space="preserve"> </w:t>
      </w:r>
      <w:r>
        <w:rPr>
          <w:sz w:val="20"/>
        </w:rPr>
        <w:t>April</w:t>
      </w:r>
      <w:r>
        <w:rPr>
          <w:spacing w:val="-4"/>
          <w:sz w:val="20"/>
        </w:rPr>
        <w:t xml:space="preserve"> </w:t>
      </w:r>
      <w:r>
        <w:rPr>
          <w:sz w:val="20"/>
        </w:rPr>
        <w:t>2022,</w:t>
      </w:r>
      <w:r>
        <w:rPr>
          <w:spacing w:val="-3"/>
          <w:sz w:val="20"/>
        </w:rPr>
        <w:t xml:space="preserve"> </w:t>
      </w:r>
      <w:r>
        <w:rPr>
          <w:sz w:val="20"/>
        </w:rPr>
        <w:t>the</w:t>
      </w:r>
      <w:r>
        <w:rPr>
          <w:spacing w:val="-5"/>
          <w:sz w:val="20"/>
        </w:rPr>
        <w:t xml:space="preserve"> </w:t>
      </w:r>
      <w:r>
        <w:rPr>
          <w:sz w:val="20"/>
        </w:rPr>
        <w:t>Biden-Harris</w:t>
      </w:r>
      <w:r>
        <w:rPr>
          <w:spacing w:val="-3"/>
          <w:sz w:val="20"/>
        </w:rPr>
        <w:t xml:space="preserve"> </w:t>
      </w:r>
      <w:r>
        <w:rPr>
          <w:sz w:val="20"/>
        </w:rPr>
        <w:t>Administration</w:t>
      </w:r>
      <w:r>
        <w:rPr>
          <w:spacing w:val="-3"/>
          <w:sz w:val="20"/>
        </w:rPr>
        <w:t xml:space="preserve"> </w:t>
      </w:r>
      <w:r>
        <w:rPr>
          <w:sz w:val="20"/>
        </w:rPr>
        <w:t>announced</w:t>
      </w:r>
      <w:r>
        <w:rPr>
          <w:spacing w:val="-3"/>
          <w:sz w:val="20"/>
        </w:rPr>
        <w:t xml:space="preserve"> </w:t>
      </w:r>
      <w:r>
        <w:rPr>
          <w:sz w:val="20"/>
        </w:rPr>
        <w:t>that</w:t>
      </w:r>
      <w:r>
        <w:rPr>
          <w:spacing w:val="-4"/>
          <w:sz w:val="20"/>
        </w:rPr>
        <w:t xml:space="preserve"> </w:t>
      </w:r>
      <w:r>
        <w:rPr>
          <w:sz w:val="20"/>
        </w:rPr>
        <w:t>720,000</w:t>
      </w:r>
      <w:r>
        <w:rPr>
          <w:spacing w:val="-4"/>
          <w:sz w:val="20"/>
        </w:rPr>
        <w:t xml:space="preserve"> </w:t>
      </w:r>
      <w:r>
        <w:rPr>
          <w:sz w:val="20"/>
        </w:rPr>
        <w:t>pregnant</w:t>
      </w:r>
      <w:r>
        <w:rPr>
          <w:spacing w:val="-4"/>
          <w:sz w:val="20"/>
        </w:rPr>
        <w:t xml:space="preserve"> </w:t>
      </w:r>
      <w:r>
        <w:rPr>
          <w:sz w:val="20"/>
        </w:rPr>
        <w:t>and</w:t>
      </w:r>
      <w:r>
        <w:rPr>
          <w:spacing w:val="-6"/>
          <w:sz w:val="20"/>
        </w:rPr>
        <w:t xml:space="preserve"> </w:t>
      </w:r>
      <w:r>
        <w:rPr>
          <w:sz w:val="20"/>
        </w:rPr>
        <w:t>postpartum</w:t>
      </w:r>
      <w:r>
        <w:rPr>
          <w:spacing w:val="-5"/>
          <w:sz w:val="20"/>
        </w:rPr>
        <w:t xml:space="preserve"> </w:t>
      </w:r>
      <w:r>
        <w:rPr>
          <w:sz w:val="20"/>
        </w:rPr>
        <w:t>people</w:t>
      </w:r>
      <w:r>
        <w:rPr>
          <w:spacing w:val="-5"/>
          <w:sz w:val="20"/>
        </w:rPr>
        <w:t xml:space="preserve"> </w:t>
      </w:r>
      <w:r>
        <w:rPr>
          <w:sz w:val="20"/>
        </w:rPr>
        <w:t>across</w:t>
      </w:r>
      <w:r>
        <w:rPr>
          <w:spacing w:val="-5"/>
          <w:sz w:val="20"/>
        </w:rPr>
        <w:t xml:space="preserve"> </w:t>
      </w:r>
      <w:r>
        <w:rPr>
          <w:sz w:val="20"/>
        </w:rPr>
        <w:t>the United States</w:t>
      </w:r>
      <w:r>
        <w:rPr>
          <w:spacing w:val="-2"/>
          <w:sz w:val="20"/>
        </w:rPr>
        <w:t xml:space="preserve"> </w:t>
      </w:r>
      <w:r>
        <w:rPr>
          <w:sz w:val="20"/>
        </w:rPr>
        <w:t>could be</w:t>
      </w:r>
      <w:r>
        <w:rPr>
          <w:spacing w:val="-1"/>
          <w:sz w:val="20"/>
        </w:rPr>
        <w:t xml:space="preserve"> </w:t>
      </w:r>
      <w:r>
        <w:rPr>
          <w:sz w:val="20"/>
        </w:rPr>
        <w:t>eligible</w:t>
      </w:r>
      <w:r>
        <w:rPr>
          <w:spacing w:val="-1"/>
          <w:sz w:val="20"/>
        </w:rPr>
        <w:t xml:space="preserve"> </w:t>
      </w:r>
      <w:r>
        <w:rPr>
          <w:sz w:val="20"/>
        </w:rPr>
        <w:t>for</w:t>
      </w:r>
      <w:r>
        <w:rPr>
          <w:spacing w:val="-1"/>
          <w:sz w:val="20"/>
        </w:rPr>
        <w:t xml:space="preserve"> </w:t>
      </w:r>
      <w:r>
        <w:rPr>
          <w:sz w:val="20"/>
        </w:rPr>
        <w:t>Medicaid and Children’s</w:t>
      </w:r>
      <w:r>
        <w:rPr>
          <w:spacing w:val="-4"/>
          <w:sz w:val="20"/>
        </w:rPr>
        <w:t xml:space="preserve"> </w:t>
      </w:r>
      <w:r>
        <w:rPr>
          <w:sz w:val="20"/>
        </w:rPr>
        <w:t>Health Insurance</w:t>
      </w:r>
      <w:r>
        <w:rPr>
          <w:spacing w:val="-1"/>
          <w:sz w:val="20"/>
        </w:rPr>
        <w:t xml:space="preserve"> </w:t>
      </w:r>
      <w:r>
        <w:rPr>
          <w:sz w:val="20"/>
        </w:rPr>
        <w:t>Program</w:t>
      </w:r>
      <w:r>
        <w:rPr>
          <w:spacing w:val="-1"/>
          <w:sz w:val="20"/>
        </w:rPr>
        <w:t xml:space="preserve"> </w:t>
      </w:r>
      <w:r>
        <w:rPr>
          <w:sz w:val="20"/>
        </w:rPr>
        <w:t>coverage</w:t>
      </w:r>
      <w:r>
        <w:rPr>
          <w:spacing w:val="-1"/>
          <w:sz w:val="20"/>
        </w:rPr>
        <w:t xml:space="preserve"> </w:t>
      </w:r>
      <w:r>
        <w:rPr>
          <w:sz w:val="20"/>
        </w:rPr>
        <w:t>for</w:t>
      </w:r>
      <w:r>
        <w:rPr>
          <w:spacing w:val="-1"/>
          <w:sz w:val="20"/>
        </w:rPr>
        <w:t xml:space="preserve"> </w:t>
      </w:r>
      <w:r>
        <w:rPr>
          <w:sz w:val="20"/>
        </w:rPr>
        <w:t>a full</w:t>
      </w:r>
      <w:r>
        <w:rPr>
          <w:spacing w:val="-1"/>
          <w:sz w:val="20"/>
        </w:rPr>
        <w:t xml:space="preserve"> </w:t>
      </w:r>
      <w:r>
        <w:rPr>
          <w:sz w:val="20"/>
        </w:rPr>
        <w:t>12</w:t>
      </w:r>
      <w:r>
        <w:rPr>
          <w:spacing w:val="-1"/>
          <w:sz w:val="20"/>
        </w:rPr>
        <w:t xml:space="preserve"> </w:t>
      </w:r>
      <w:r>
        <w:rPr>
          <w:sz w:val="20"/>
        </w:rPr>
        <w:t>months rather</w:t>
      </w:r>
      <w:r>
        <w:rPr>
          <w:spacing w:val="-7"/>
          <w:sz w:val="20"/>
        </w:rPr>
        <w:t xml:space="preserve"> </w:t>
      </w:r>
      <w:r>
        <w:rPr>
          <w:sz w:val="20"/>
        </w:rPr>
        <w:t>than</w:t>
      </w:r>
      <w:r>
        <w:rPr>
          <w:spacing w:val="-6"/>
          <w:sz w:val="20"/>
        </w:rPr>
        <w:t xml:space="preserve"> </w:t>
      </w:r>
      <w:r>
        <w:rPr>
          <w:sz w:val="20"/>
        </w:rPr>
        <w:t>60</w:t>
      </w:r>
      <w:r>
        <w:rPr>
          <w:spacing w:val="-7"/>
          <w:sz w:val="20"/>
        </w:rPr>
        <w:t xml:space="preserve"> </w:t>
      </w:r>
      <w:r>
        <w:rPr>
          <w:sz w:val="20"/>
        </w:rPr>
        <w:t>days.</w:t>
      </w:r>
      <w:r>
        <w:rPr>
          <w:spacing w:val="-7"/>
          <w:sz w:val="20"/>
        </w:rPr>
        <w:t xml:space="preserve"> </w:t>
      </w:r>
      <w:r>
        <w:rPr>
          <w:sz w:val="20"/>
        </w:rPr>
        <w:t>Under</w:t>
      </w:r>
      <w:r>
        <w:rPr>
          <w:spacing w:val="-7"/>
          <w:sz w:val="20"/>
        </w:rPr>
        <w:t xml:space="preserve"> </w:t>
      </w:r>
      <w:r>
        <w:rPr>
          <w:sz w:val="20"/>
        </w:rPr>
        <w:t>the</w:t>
      </w:r>
      <w:r>
        <w:rPr>
          <w:spacing w:val="-8"/>
          <w:sz w:val="20"/>
        </w:rPr>
        <w:t xml:space="preserve"> </w:t>
      </w:r>
      <w:r>
        <w:rPr>
          <w:sz w:val="20"/>
        </w:rPr>
        <w:t>American</w:t>
      </w:r>
      <w:r>
        <w:rPr>
          <w:spacing w:val="-6"/>
          <w:sz w:val="20"/>
        </w:rPr>
        <w:t xml:space="preserve"> </w:t>
      </w:r>
      <w:r>
        <w:rPr>
          <w:sz w:val="20"/>
        </w:rPr>
        <w:t>Rescue</w:t>
      </w:r>
      <w:r>
        <w:rPr>
          <w:spacing w:val="-8"/>
          <w:sz w:val="20"/>
        </w:rPr>
        <w:t xml:space="preserve"> </w:t>
      </w:r>
      <w:r>
        <w:rPr>
          <w:sz w:val="20"/>
        </w:rPr>
        <w:t>Plan</w:t>
      </w:r>
      <w:r>
        <w:rPr>
          <w:spacing w:val="-6"/>
          <w:sz w:val="20"/>
        </w:rPr>
        <w:t xml:space="preserve"> </w:t>
      </w:r>
      <w:r>
        <w:rPr>
          <w:sz w:val="20"/>
        </w:rPr>
        <w:t>Act</w:t>
      </w:r>
      <w:r>
        <w:rPr>
          <w:spacing w:val="-6"/>
          <w:sz w:val="20"/>
        </w:rPr>
        <w:t xml:space="preserve"> </w:t>
      </w:r>
      <w:r>
        <w:rPr>
          <w:sz w:val="20"/>
        </w:rPr>
        <w:t>of</w:t>
      </w:r>
      <w:r>
        <w:rPr>
          <w:spacing w:val="-5"/>
          <w:sz w:val="20"/>
        </w:rPr>
        <w:t xml:space="preserve"> </w:t>
      </w:r>
      <w:r>
        <w:rPr>
          <w:sz w:val="20"/>
        </w:rPr>
        <w:t>2021</w:t>
      </w:r>
      <w:r>
        <w:rPr>
          <w:spacing w:val="-7"/>
          <w:sz w:val="20"/>
        </w:rPr>
        <w:t xml:space="preserve"> </w:t>
      </w:r>
      <w:r>
        <w:rPr>
          <w:sz w:val="20"/>
        </w:rPr>
        <w:t>(ARP),</w:t>
      </w:r>
      <w:r>
        <w:rPr>
          <w:spacing w:val="-6"/>
          <w:sz w:val="20"/>
        </w:rPr>
        <w:t xml:space="preserve"> </w:t>
      </w:r>
      <w:r>
        <w:rPr>
          <w:sz w:val="20"/>
        </w:rPr>
        <w:t>states</w:t>
      </w:r>
      <w:r>
        <w:rPr>
          <w:spacing w:val="-6"/>
          <w:sz w:val="20"/>
        </w:rPr>
        <w:t xml:space="preserve"> </w:t>
      </w:r>
      <w:r>
        <w:rPr>
          <w:sz w:val="20"/>
        </w:rPr>
        <w:t>were</w:t>
      </w:r>
      <w:r>
        <w:rPr>
          <w:spacing w:val="-8"/>
          <w:sz w:val="20"/>
        </w:rPr>
        <w:t xml:space="preserve"> </w:t>
      </w:r>
      <w:r>
        <w:rPr>
          <w:sz w:val="20"/>
        </w:rPr>
        <w:t>given</w:t>
      </w:r>
      <w:r>
        <w:rPr>
          <w:spacing w:val="-4"/>
          <w:sz w:val="20"/>
        </w:rPr>
        <w:t xml:space="preserve"> </w:t>
      </w:r>
      <w:r>
        <w:rPr>
          <w:sz w:val="20"/>
        </w:rPr>
        <w:t>the</w:t>
      </w:r>
      <w:r>
        <w:rPr>
          <w:spacing w:val="-8"/>
          <w:sz w:val="20"/>
        </w:rPr>
        <w:t xml:space="preserve"> </w:t>
      </w:r>
      <w:r>
        <w:rPr>
          <w:sz w:val="20"/>
        </w:rPr>
        <w:t>incentives</w:t>
      </w:r>
      <w:r>
        <w:rPr>
          <w:spacing w:val="-8"/>
          <w:sz w:val="20"/>
        </w:rPr>
        <w:t xml:space="preserve"> </w:t>
      </w:r>
      <w:r>
        <w:rPr>
          <w:sz w:val="20"/>
        </w:rPr>
        <w:t>and</w:t>
      </w:r>
      <w:r>
        <w:rPr>
          <w:spacing w:val="-6"/>
          <w:sz w:val="20"/>
        </w:rPr>
        <w:t xml:space="preserve"> </w:t>
      </w:r>
      <w:r>
        <w:rPr>
          <w:sz w:val="20"/>
        </w:rPr>
        <w:t>option to</w:t>
      </w:r>
      <w:r>
        <w:rPr>
          <w:spacing w:val="-4"/>
          <w:sz w:val="20"/>
        </w:rPr>
        <w:t xml:space="preserve"> </w:t>
      </w:r>
      <w:r>
        <w:rPr>
          <w:sz w:val="20"/>
        </w:rPr>
        <w:t>expand</w:t>
      </w:r>
      <w:r>
        <w:rPr>
          <w:spacing w:val="-4"/>
          <w:sz w:val="20"/>
        </w:rPr>
        <w:t xml:space="preserve"> </w:t>
      </w:r>
      <w:r>
        <w:rPr>
          <w:sz w:val="20"/>
        </w:rPr>
        <w:t>Medicaid</w:t>
      </w:r>
      <w:r>
        <w:rPr>
          <w:spacing w:val="-1"/>
          <w:sz w:val="20"/>
        </w:rPr>
        <w:t xml:space="preserve"> </w:t>
      </w:r>
      <w:r>
        <w:rPr>
          <w:sz w:val="20"/>
        </w:rPr>
        <w:t>services</w:t>
      </w:r>
      <w:r>
        <w:rPr>
          <w:spacing w:val="-6"/>
          <w:sz w:val="20"/>
        </w:rPr>
        <w:t xml:space="preserve"> </w:t>
      </w:r>
      <w:r>
        <w:rPr>
          <w:sz w:val="20"/>
        </w:rPr>
        <w:t>for</w:t>
      </w:r>
      <w:r>
        <w:rPr>
          <w:spacing w:val="-4"/>
          <w:sz w:val="20"/>
        </w:rPr>
        <w:t xml:space="preserve"> </w:t>
      </w:r>
      <w:r>
        <w:rPr>
          <w:sz w:val="20"/>
        </w:rPr>
        <w:t>postpartum</w:t>
      </w:r>
      <w:r>
        <w:rPr>
          <w:spacing w:val="-3"/>
          <w:sz w:val="20"/>
        </w:rPr>
        <w:t xml:space="preserve"> </w:t>
      </w:r>
      <w:r>
        <w:rPr>
          <w:sz w:val="20"/>
        </w:rPr>
        <w:t>services</w:t>
      </w:r>
      <w:r>
        <w:rPr>
          <w:spacing w:val="-3"/>
          <w:sz w:val="20"/>
        </w:rPr>
        <w:t xml:space="preserve"> </w:t>
      </w:r>
      <w:r>
        <w:rPr>
          <w:sz w:val="20"/>
        </w:rPr>
        <w:t>from</w:t>
      </w:r>
      <w:r>
        <w:rPr>
          <w:spacing w:val="-3"/>
          <w:sz w:val="20"/>
        </w:rPr>
        <w:t xml:space="preserve"> </w:t>
      </w:r>
      <w:r>
        <w:rPr>
          <w:sz w:val="20"/>
        </w:rPr>
        <w:t>60</w:t>
      </w:r>
      <w:r>
        <w:rPr>
          <w:spacing w:val="-5"/>
          <w:sz w:val="20"/>
        </w:rPr>
        <w:t xml:space="preserve"> </w:t>
      </w:r>
      <w:r>
        <w:rPr>
          <w:sz w:val="20"/>
        </w:rPr>
        <w:t>days</w:t>
      </w:r>
      <w:r>
        <w:rPr>
          <w:spacing w:val="-6"/>
          <w:sz w:val="20"/>
        </w:rPr>
        <w:t xml:space="preserve"> </w:t>
      </w:r>
      <w:r>
        <w:rPr>
          <w:sz w:val="20"/>
        </w:rPr>
        <w:t>to</w:t>
      </w:r>
      <w:r>
        <w:rPr>
          <w:spacing w:val="-4"/>
          <w:sz w:val="20"/>
        </w:rPr>
        <w:t xml:space="preserve"> </w:t>
      </w:r>
      <w:r>
        <w:rPr>
          <w:sz w:val="20"/>
        </w:rPr>
        <w:t>12</w:t>
      </w:r>
      <w:r>
        <w:rPr>
          <w:spacing w:val="-2"/>
          <w:sz w:val="20"/>
        </w:rPr>
        <w:t xml:space="preserve"> </w:t>
      </w:r>
      <w:r>
        <w:rPr>
          <w:sz w:val="20"/>
        </w:rPr>
        <w:t>months.</w:t>
      </w:r>
      <w:r>
        <w:rPr>
          <w:spacing w:val="38"/>
          <w:sz w:val="20"/>
        </w:rPr>
        <w:t xml:space="preserve"> </w:t>
      </w:r>
      <w:r>
        <w:rPr>
          <w:sz w:val="20"/>
        </w:rPr>
        <w:t>In</w:t>
      </w:r>
      <w:r>
        <w:rPr>
          <w:spacing w:val="-1"/>
          <w:sz w:val="20"/>
        </w:rPr>
        <w:t xml:space="preserve"> </w:t>
      </w:r>
      <w:r>
        <w:rPr>
          <w:sz w:val="20"/>
        </w:rPr>
        <w:t>July</w:t>
      </w:r>
      <w:r>
        <w:rPr>
          <w:spacing w:val="-3"/>
          <w:sz w:val="20"/>
        </w:rPr>
        <w:t xml:space="preserve"> </w:t>
      </w:r>
      <w:r>
        <w:rPr>
          <w:sz w:val="20"/>
        </w:rPr>
        <w:t>2022,</w:t>
      </w:r>
      <w:r>
        <w:rPr>
          <w:spacing w:val="-4"/>
          <w:sz w:val="20"/>
        </w:rPr>
        <w:t xml:space="preserve"> </w:t>
      </w:r>
      <w:r>
        <w:rPr>
          <w:sz w:val="20"/>
        </w:rPr>
        <w:t>the</w:t>
      </w:r>
      <w:r>
        <w:rPr>
          <w:spacing w:val="-3"/>
          <w:sz w:val="20"/>
        </w:rPr>
        <w:t xml:space="preserve"> </w:t>
      </w:r>
      <w:r>
        <w:rPr>
          <w:sz w:val="20"/>
        </w:rPr>
        <w:t>U.S.</w:t>
      </w:r>
      <w:r>
        <w:rPr>
          <w:spacing w:val="-2"/>
          <w:sz w:val="20"/>
        </w:rPr>
        <w:t xml:space="preserve"> </w:t>
      </w:r>
      <w:r>
        <w:rPr>
          <w:sz w:val="20"/>
        </w:rPr>
        <w:t>Department of Health and Human Services (HHS), through the Federal Centers for Medicare and Medicaid Services, approved Massachusetts’ request to extend MassHealth coverage</w:t>
      </w:r>
      <w:r>
        <w:rPr>
          <w:spacing w:val="-1"/>
          <w:sz w:val="20"/>
        </w:rPr>
        <w:t xml:space="preserve"> </w:t>
      </w:r>
      <w:r>
        <w:rPr>
          <w:sz w:val="20"/>
        </w:rPr>
        <w:t>from</w:t>
      </w:r>
      <w:r>
        <w:rPr>
          <w:spacing w:val="-1"/>
          <w:sz w:val="20"/>
        </w:rPr>
        <w:t xml:space="preserve"> </w:t>
      </w:r>
      <w:r>
        <w:rPr>
          <w:sz w:val="20"/>
        </w:rPr>
        <w:t>60</w:t>
      </w:r>
      <w:r>
        <w:rPr>
          <w:spacing w:val="-1"/>
          <w:sz w:val="20"/>
        </w:rPr>
        <w:t xml:space="preserve"> </w:t>
      </w:r>
      <w:r>
        <w:rPr>
          <w:sz w:val="20"/>
        </w:rPr>
        <w:t>days</w:t>
      </w:r>
      <w:r>
        <w:rPr>
          <w:spacing w:val="-2"/>
          <w:sz w:val="20"/>
        </w:rPr>
        <w:t xml:space="preserve"> </w:t>
      </w:r>
      <w:r>
        <w:rPr>
          <w:sz w:val="20"/>
        </w:rPr>
        <w:t>to 12 months</w:t>
      </w:r>
      <w:r>
        <w:rPr>
          <w:spacing w:val="-2"/>
          <w:sz w:val="20"/>
        </w:rPr>
        <w:t xml:space="preserve"> </w:t>
      </w:r>
      <w:r>
        <w:rPr>
          <w:sz w:val="20"/>
        </w:rPr>
        <w:t>after pregnancy. This coverage expansion will allow an ad</w:t>
      </w:r>
      <w:r>
        <w:rPr>
          <w:sz w:val="20"/>
        </w:rPr>
        <w:t>ditional 8,000 individuals annually to access MassHealth services.</w:t>
      </w:r>
      <w:hyperlink w:anchor="_bookmark498" w:history="1">
        <w:r>
          <w:rPr>
            <w:sz w:val="20"/>
            <w:vertAlign w:val="superscript"/>
          </w:rPr>
          <w:t>52</w:t>
        </w:r>
      </w:hyperlink>
      <w:r>
        <w:rPr>
          <w:spacing w:val="-3"/>
          <w:sz w:val="20"/>
        </w:rPr>
        <w:t xml:space="preserve"> </w:t>
      </w:r>
      <w:r>
        <w:rPr>
          <w:sz w:val="20"/>
        </w:rPr>
        <w:t>The ARP’s state plan option</w:t>
      </w:r>
      <w:r>
        <w:rPr>
          <w:spacing w:val="-12"/>
          <w:sz w:val="20"/>
        </w:rPr>
        <w:t xml:space="preserve"> </w:t>
      </w:r>
      <w:r>
        <w:rPr>
          <w:sz w:val="20"/>
        </w:rPr>
        <w:t>is</w:t>
      </w:r>
      <w:r>
        <w:rPr>
          <w:spacing w:val="-11"/>
          <w:sz w:val="20"/>
        </w:rPr>
        <w:t xml:space="preserve"> </w:t>
      </w:r>
      <w:r>
        <w:rPr>
          <w:sz w:val="20"/>
        </w:rPr>
        <w:t>currently</w:t>
      </w:r>
      <w:r>
        <w:rPr>
          <w:spacing w:val="-11"/>
          <w:sz w:val="20"/>
        </w:rPr>
        <w:t xml:space="preserve"> </w:t>
      </w:r>
      <w:r>
        <w:rPr>
          <w:sz w:val="20"/>
        </w:rPr>
        <w:t>limited</w:t>
      </w:r>
      <w:r>
        <w:rPr>
          <w:spacing w:val="-12"/>
          <w:sz w:val="20"/>
        </w:rPr>
        <w:t xml:space="preserve"> </w:t>
      </w:r>
      <w:r>
        <w:rPr>
          <w:sz w:val="20"/>
        </w:rPr>
        <w:t>to</w:t>
      </w:r>
      <w:r>
        <w:rPr>
          <w:spacing w:val="-11"/>
          <w:sz w:val="20"/>
        </w:rPr>
        <w:t xml:space="preserve"> </w:t>
      </w:r>
      <w:r>
        <w:rPr>
          <w:sz w:val="20"/>
        </w:rPr>
        <w:t>a</w:t>
      </w:r>
      <w:r>
        <w:rPr>
          <w:spacing w:val="-11"/>
          <w:sz w:val="20"/>
        </w:rPr>
        <w:t xml:space="preserve"> </w:t>
      </w:r>
      <w:r>
        <w:rPr>
          <w:sz w:val="20"/>
        </w:rPr>
        <w:t>five-year</w:t>
      </w:r>
      <w:r>
        <w:rPr>
          <w:spacing w:val="-12"/>
          <w:sz w:val="20"/>
        </w:rPr>
        <w:t xml:space="preserve"> </w:t>
      </w:r>
      <w:r>
        <w:rPr>
          <w:sz w:val="20"/>
        </w:rPr>
        <w:t>period</w:t>
      </w:r>
      <w:r>
        <w:rPr>
          <w:spacing w:val="-11"/>
          <w:sz w:val="20"/>
        </w:rPr>
        <w:t xml:space="preserve"> </w:t>
      </w:r>
      <w:r>
        <w:rPr>
          <w:sz w:val="20"/>
        </w:rPr>
        <w:t>that</w:t>
      </w:r>
      <w:r>
        <w:rPr>
          <w:spacing w:val="-11"/>
          <w:sz w:val="20"/>
        </w:rPr>
        <w:t xml:space="preserve"> </w:t>
      </w:r>
      <w:r>
        <w:rPr>
          <w:sz w:val="20"/>
        </w:rPr>
        <w:t>ends</w:t>
      </w:r>
      <w:r>
        <w:rPr>
          <w:spacing w:val="-12"/>
          <w:sz w:val="20"/>
        </w:rPr>
        <w:t xml:space="preserve"> </w:t>
      </w:r>
      <w:r>
        <w:rPr>
          <w:sz w:val="20"/>
        </w:rPr>
        <w:t>March</w:t>
      </w:r>
      <w:r>
        <w:rPr>
          <w:spacing w:val="-11"/>
          <w:sz w:val="20"/>
        </w:rPr>
        <w:t xml:space="preserve"> </w:t>
      </w:r>
      <w:r>
        <w:rPr>
          <w:sz w:val="20"/>
        </w:rPr>
        <w:t>31,</w:t>
      </w:r>
      <w:r>
        <w:rPr>
          <w:spacing w:val="-11"/>
          <w:sz w:val="20"/>
        </w:rPr>
        <w:t xml:space="preserve"> </w:t>
      </w:r>
      <w:r>
        <w:rPr>
          <w:sz w:val="20"/>
        </w:rPr>
        <w:t>2027,</w:t>
      </w:r>
      <w:r>
        <w:rPr>
          <w:spacing w:val="-11"/>
          <w:sz w:val="20"/>
        </w:rPr>
        <w:t xml:space="preserve"> </w:t>
      </w:r>
      <w:r>
        <w:rPr>
          <w:sz w:val="20"/>
        </w:rPr>
        <w:t>meaning</w:t>
      </w:r>
      <w:r>
        <w:rPr>
          <w:spacing w:val="-12"/>
          <w:sz w:val="20"/>
        </w:rPr>
        <w:t xml:space="preserve"> </w:t>
      </w:r>
      <w:r>
        <w:rPr>
          <w:sz w:val="20"/>
        </w:rPr>
        <w:t>that</w:t>
      </w:r>
      <w:r>
        <w:rPr>
          <w:spacing w:val="-11"/>
          <w:sz w:val="20"/>
        </w:rPr>
        <w:t xml:space="preserve"> </w:t>
      </w:r>
      <w:r>
        <w:rPr>
          <w:sz w:val="20"/>
        </w:rPr>
        <w:t>this</w:t>
      </w:r>
      <w:r>
        <w:rPr>
          <w:spacing w:val="-11"/>
          <w:sz w:val="20"/>
        </w:rPr>
        <w:t xml:space="preserve"> </w:t>
      </w:r>
      <w:r>
        <w:rPr>
          <w:sz w:val="20"/>
        </w:rPr>
        <w:t>state</w:t>
      </w:r>
      <w:r>
        <w:rPr>
          <w:spacing w:val="-12"/>
          <w:sz w:val="20"/>
        </w:rPr>
        <w:t xml:space="preserve"> </w:t>
      </w:r>
      <w:r>
        <w:rPr>
          <w:sz w:val="20"/>
        </w:rPr>
        <w:t>coverage</w:t>
      </w:r>
      <w:r>
        <w:rPr>
          <w:spacing w:val="-11"/>
          <w:sz w:val="20"/>
        </w:rPr>
        <w:t xml:space="preserve"> </w:t>
      </w:r>
      <w:r>
        <w:rPr>
          <w:sz w:val="20"/>
        </w:rPr>
        <w:t>expansion will expire.</w:t>
      </w:r>
    </w:p>
    <w:p w:rsidR="00200FDA" w:rsidRDefault="00200FDA">
      <w:pPr>
        <w:pStyle w:val="BodyText"/>
        <w:spacing w:before="9"/>
        <w:rPr>
          <w:sz w:val="19"/>
        </w:rPr>
      </w:pPr>
    </w:p>
    <w:p w:rsidR="00200FDA" w:rsidRDefault="00F76C4C">
      <w:pPr>
        <w:spacing w:line="264" w:lineRule="auto"/>
        <w:ind w:left="140" w:right="335"/>
        <w:jc w:val="both"/>
        <w:rPr>
          <w:sz w:val="20"/>
        </w:rPr>
      </w:pPr>
      <w:r>
        <w:rPr>
          <w:sz w:val="20"/>
        </w:rPr>
        <w:t>A</w:t>
      </w:r>
      <w:r>
        <w:rPr>
          <w:sz w:val="20"/>
        </w:rPr>
        <w:t>lthough</w:t>
      </w:r>
      <w:r>
        <w:rPr>
          <w:spacing w:val="-5"/>
          <w:sz w:val="20"/>
        </w:rPr>
        <w:t xml:space="preserve"> </w:t>
      </w:r>
      <w:r>
        <w:rPr>
          <w:sz w:val="20"/>
        </w:rPr>
        <w:t>the</w:t>
      </w:r>
      <w:r>
        <w:rPr>
          <w:spacing w:val="-5"/>
          <w:sz w:val="20"/>
        </w:rPr>
        <w:t xml:space="preserve"> </w:t>
      </w:r>
      <w:r>
        <w:rPr>
          <w:sz w:val="20"/>
        </w:rPr>
        <w:t>APR’s</w:t>
      </w:r>
      <w:r>
        <w:rPr>
          <w:spacing w:val="-6"/>
          <w:sz w:val="20"/>
        </w:rPr>
        <w:t xml:space="preserve"> </w:t>
      </w:r>
      <w:r>
        <w:rPr>
          <w:sz w:val="20"/>
        </w:rPr>
        <w:t>state</w:t>
      </w:r>
      <w:r>
        <w:rPr>
          <w:spacing w:val="-5"/>
          <w:sz w:val="20"/>
        </w:rPr>
        <w:t xml:space="preserve"> </w:t>
      </w:r>
      <w:r>
        <w:rPr>
          <w:sz w:val="20"/>
        </w:rPr>
        <w:t>plan</w:t>
      </w:r>
      <w:r>
        <w:rPr>
          <w:spacing w:val="-5"/>
          <w:sz w:val="20"/>
        </w:rPr>
        <w:t xml:space="preserve"> </w:t>
      </w:r>
      <w:r>
        <w:rPr>
          <w:sz w:val="20"/>
        </w:rPr>
        <w:t>has</w:t>
      </w:r>
      <w:r>
        <w:rPr>
          <w:spacing w:val="-6"/>
          <w:sz w:val="20"/>
        </w:rPr>
        <w:t xml:space="preserve"> </w:t>
      </w:r>
      <w:r>
        <w:rPr>
          <w:sz w:val="20"/>
        </w:rPr>
        <w:t>a</w:t>
      </w:r>
      <w:r>
        <w:rPr>
          <w:spacing w:val="-5"/>
          <w:sz w:val="20"/>
        </w:rPr>
        <w:t xml:space="preserve"> </w:t>
      </w:r>
      <w:r>
        <w:rPr>
          <w:sz w:val="20"/>
        </w:rPr>
        <w:t>lengthy</w:t>
      </w:r>
      <w:r>
        <w:rPr>
          <w:spacing w:val="-5"/>
          <w:sz w:val="20"/>
        </w:rPr>
        <w:t xml:space="preserve"> </w:t>
      </w:r>
      <w:r>
        <w:rPr>
          <w:sz w:val="20"/>
        </w:rPr>
        <w:t>expansion</w:t>
      </w:r>
      <w:r>
        <w:rPr>
          <w:spacing w:val="-5"/>
          <w:sz w:val="20"/>
        </w:rPr>
        <w:t xml:space="preserve"> </w:t>
      </w:r>
      <w:r>
        <w:rPr>
          <w:sz w:val="20"/>
        </w:rPr>
        <w:t>period,</w:t>
      </w:r>
      <w:r>
        <w:rPr>
          <w:spacing w:val="-5"/>
          <w:sz w:val="20"/>
        </w:rPr>
        <w:t xml:space="preserve"> </w:t>
      </w:r>
      <w:r>
        <w:rPr>
          <w:sz w:val="20"/>
        </w:rPr>
        <w:t>Massachusetts</w:t>
      </w:r>
      <w:r>
        <w:rPr>
          <w:spacing w:val="-6"/>
          <w:sz w:val="20"/>
        </w:rPr>
        <w:t xml:space="preserve"> </w:t>
      </w:r>
      <w:r>
        <w:rPr>
          <w:sz w:val="20"/>
        </w:rPr>
        <w:t>needs</w:t>
      </w:r>
      <w:r>
        <w:rPr>
          <w:spacing w:val="-6"/>
          <w:sz w:val="20"/>
        </w:rPr>
        <w:t xml:space="preserve"> </w:t>
      </w:r>
      <w:r>
        <w:rPr>
          <w:sz w:val="20"/>
        </w:rPr>
        <w:t>to</w:t>
      </w:r>
      <w:r>
        <w:rPr>
          <w:spacing w:val="-5"/>
          <w:sz w:val="20"/>
        </w:rPr>
        <w:t xml:space="preserve"> </w:t>
      </w:r>
      <w:r>
        <w:rPr>
          <w:sz w:val="20"/>
        </w:rPr>
        <w:t>pass</w:t>
      </w:r>
      <w:r>
        <w:rPr>
          <w:spacing w:val="-6"/>
          <w:sz w:val="20"/>
        </w:rPr>
        <w:t xml:space="preserve"> </w:t>
      </w:r>
      <w:r>
        <w:rPr>
          <w:sz w:val="20"/>
        </w:rPr>
        <w:t>legislation</w:t>
      </w:r>
      <w:r>
        <w:rPr>
          <w:spacing w:val="-5"/>
          <w:sz w:val="20"/>
        </w:rPr>
        <w:t xml:space="preserve"> </w:t>
      </w:r>
      <w:r>
        <w:rPr>
          <w:sz w:val="20"/>
        </w:rPr>
        <w:t>that</w:t>
      </w:r>
      <w:r>
        <w:rPr>
          <w:spacing w:val="-5"/>
          <w:sz w:val="20"/>
        </w:rPr>
        <w:t xml:space="preserve"> </w:t>
      </w:r>
      <w:r>
        <w:rPr>
          <w:sz w:val="20"/>
        </w:rPr>
        <w:t>requires MassHealth to grant recipients a 12-month expansion of postpartum care services under their Medicaid benefits after</w:t>
      </w:r>
      <w:r>
        <w:rPr>
          <w:spacing w:val="-12"/>
          <w:sz w:val="20"/>
        </w:rPr>
        <w:t xml:space="preserve"> </w:t>
      </w:r>
      <w:r>
        <w:rPr>
          <w:sz w:val="20"/>
        </w:rPr>
        <w:t>the</w:t>
      </w:r>
      <w:r>
        <w:rPr>
          <w:spacing w:val="-10"/>
          <w:sz w:val="20"/>
        </w:rPr>
        <w:t xml:space="preserve"> </w:t>
      </w:r>
      <w:r>
        <w:rPr>
          <w:sz w:val="20"/>
        </w:rPr>
        <w:t>ARP’s</w:t>
      </w:r>
      <w:r>
        <w:rPr>
          <w:spacing w:val="-11"/>
          <w:sz w:val="20"/>
        </w:rPr>
        <w:t xml:space="preserve"> </w:t>
      </w:r>
      <w:r>
        <w:rPr>
          <w:sz w:val="20"/>
        </w:rPr>
        <w:t>state</w:t>
      </w:r>
      <w:r>
        <w:rPr>
          <w:spacing w:val="-11"/>
          <w:sz w:val="20"/>
        </w:rPr>
        <w:t xml:space="preserve"> </w:t>
      </w:r>
      <w:r>
        <w:rPr>
          <w:sz w:val="20"/>
        </w:rPr>
        <w:t>plan</w:t>
      </w:r>
      <w:r>
        <w:rPr>
          <w:spacing w:val="-9"/>
          <w:sz w:val="20"/>
        </w:rPr>
        <w:t xml:space="preserve"> </w:t>
      </w:r>
      <w:r>
        <w:rPr>
          <w:sz w:val="20"/>
        </w:rPr>
        <w:t>expires</w:t>
      </w:r>
      <w:r>
        <w:rPr>
          <w:spacing w:val="-11"/>
          <w:sz w:val="20"/>
        </w:rPr>
        <w:t xml:space="preserve"> </w:t>
      </w:r>
      <w:r>
        <w:rPr>
          <w:sz w:val="20"/>
        </w:rPr>
        <w:t>in</w:t>
      </w:r>
      <w:r>
        <w:rPr>
          <w:spacing w:val="-9"/>
          <w:sz w:val="20"/>
        </w:rPr>
        <w:t xml:space="preserve"> </w:t>
      </w:r>
      <w:r>
        <w:rPr>
          <w:sz w:val="20"/>
        </w:rPr>
        <w:t>2027,</w:t>
      </w:r>
      <w:r>
        <w:rPr>
          <w:spacing w:val="-10"/>
          <w:sz w:val="20"/>
        </w:rPr>
        <w:t xml:space="preserve"> </w:t>
      </w:r>
      <w:r>
        <w:rPr>
          <w:sz w:val="20"/>
        </w:rPr>
        <w:t>assuming</w:t>
      </w:r>
      <w:r>
        <w:rPr>
          <w:spacing w:val="-10"/>
          <w:sz w:val="20"/>
        </w:rPr>
        <w:t xml:space="preserve"> </w:t>
      </w:r>
      <w:r>
        <w:rPr>
          <w:sz w:val="20"/>
        </w:rPr>
        <w:t>that</w:t>
      </w:r>
      <w:r>
        <w:rPr>
          <w:spacing w:val="-10"/>
          <w:sz w:val="20"/>
        </w:rPr>
        <w:t xml:space="preserve"> </w:t>
      </w:r>
      <w:r>
        <w:rPr>
          <w:sz w:val="20"/>
        </w:rPr>
        <w:t>the</w:t>
      </w:r>
      <w:r>
        <w:rPr>
          <w:spacing w:val="-12"/>
          <w:sz w:val="20"/>
        </w:rPr>
        <w:t xml:space="preserve"> </w:t>
      </w:r>
      <w:r>
        <w:rPr>
          <w:sz w:val="20"/>
        </w:rPr>
        <w:t>presidential</w:t>
      </w:r>
      <w:r>
        <w:rPr>
          <w:spacing w:val="-9"/>
          <w:sz w:val="20"/>
        </w:rPr>
        <w:t xml:space="preserve"> </w:t>
      </w:r>
      <w:r>
        <w:rPr>
          <w:sz w:val="20"/>
        </w:rPr>
        <w:t>administration</w:t>
      </w:r>
      <w:r>
        <w:rPr>
          <w:spacing w:val="-9"/>
          <w:sz w:val="20"/>
        </w:rPr>
        <w:t xml:space="preserve"> </w:t>
      </w:r>
      <w:r>
        <w:rPr>
          <w:sz w:val="20"/>
        </w:rPr>
        <w:t>at</w:t>
      </w:r>
      <w:r>
        <w:rPr>
          <w:spacing w:val="-12"/>
          <w:sz w:val="20"/>
        </w:rPr>
        <w:t xml:space="preserve"> </w:t>
      </w:r>
      <w:r>
        <w:rPr>
          <w:sz w:val="20"/>
        </w:rPr>
        <w:t>that</w:t>
      </w:r>
      <w:r>
        <w:rPr>
          <w:spacing w:val="-9"/>
          <w:sz w:val="20"/>
        </w:rPr>
        <w:t xml:space="preserve"> </w:t>
      </w:r>
      <w:r>
        <w:rPr>
          <w:sz w:val="20"/>
        </w:rPr>
        <w:t>time</w:t>
      </w:r>
      <w:r>
        <w:rPr>
          <w:spacing w:val="-11"/>
          <w:sz w:val="20"/>
        </w:rPr>
        <w:t xml:space="preserve"> </w:t>
      </w:r>
      <w:r>
        <w:rPr>
          <w:sz w:val="20"/>
        </w:rPr>
        <w:t>does</w:t>
      </w:r>
      <w:r>
        <w:rPr>
          <w:spacing w:val="-11"/>
          <w:sz w:val="20"/>
        </w:rPr>
        <w:t xml:space="preserve"> </w:t>
      </w:r>
      <w:r>
        <w:rPr>
          <w:sz w:val="20"/>
        </w:rPr>
        <w:t>not</w:t>
      </w:r>
      <w:r>
        <w:rPr>
          <w:spacing w:val="-10"/>
          <w:sz w:val="20"/>
        </w:rPr>
        <w:t xml:space="preserve"> </w:t>
      </w:r>
      <w:r>
        <w:rPr>
          <w:sz w:val="20"/>
        </w:rPr>
        <w:t xml:space="preserve">extend </w:t>
      </w:r>
      <w:r>
        <w:rPr>
          <w:spacing w:val="-4"/>
          <w:sz w:val="20"/>
        </w:rPr>
        <w:t>it.</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pStyle w:val="Heading8"/>
        <w:spacing w:before="64"/>
      </w:pPr>
      <w:bookmarkStart w:id="589" w:name="Access_to_Fertility_Treatments"/>
      <w:bookmarkEnd w:id="589"/>
      <w:r>
        <w:rPr>
          <w:color w:val="2E5395"/>
        </w:rPr>
        <w:lastRenderedPageBreak/>
        <w:t>Access</w:t>
      </w:r>
      <w:r>
        <w:rPr>
          <w:color w:val="2E5395"/>
          <w:spacing w:val="-2"/>
        </w:rPr>
        <w:t xml:space="preserve"> </w:t>
      </w:r>
      <w:r>
        <w:rPr>
          <w:color w:val="2E5395"/>
        </w:rPr>
        <w:t>to</w:t>
      </w:r>
      <w:r>
        <w:rPr>
          <w:color w:val="2E5395"/>
          <w:spacing w:val="-2"/>
        </w:rPr>
        <w:t xml:space="preserve"> </w:t>
      </w:r>
      <w:r>
        <w:rPr>
          <w:color w:val="2E5395"/>
        </w:rPr>
        <w:t>Fertility</w:t>
      </w:r>
      <w:r>
        <w:rPr>
          <w:color w:val="2E5395"/>
          <w:spacing w:val="-1"/>
        </w:rPr>
        <w:t xml:space="preserve"> </w:t>
      </w:r>
      <w:r>
        <w:rPr>
          <w:color w:val="2E5395"/>
          <w:spacing w:val="-2"/>
        </w:rPr>
        <w:t>Treatments</w:t>
      </w:r>
    </w:p>
    <w:p w:rsidR="00200FDA" w:rsidRDefault="00200FDA">
      <w:pPr>
        <w:pStyle w:val="BodyText"/>
        <w:spacing w:before="10"/>
        <w:rPr>
          <w:sz w:val="19"/>
        </w:rPr>
      </w:pPr>
    </w:p>
    <w:p w:rsidR="00200FDA" w:rsidRDefault="00F76C4C">
      <w:pPr>
        <w:spacing w:line="264" w:lineRule="auto"/>
        <w:ind w:left="140" w:right="336"/>
        <w:jc w:val="both"/>
        <w:rPr>
          <w:sz w:val="20"/>
        </w:rPr>
      </w:pPr>
      <w:r>
        <w:rPr>
          <w:sz w:val="20"/>
        </w:rPr>
        <w:t>Heteronormative ideals of pregnancy and parenting typically frame fertility treatments as a service that cisgender women struggling with infertility seek. LGBTQ individuals who desire to become pregnant and parent a child seek out fertility treatments if t</w:t>
      </w:r>
      <w:r>
        <w:rPr>
          <w:sz w:val="20"/>
        </w:rPr>
        <w:t>hey cannot conceive a pregnancy if they do not desire sex with someone with a penis, particularly a cisgender male. LGBTQ patients might also look to fertility treatments due to infertility caused by hormone therapy. As mentioned earlier in this section, L</w:t>
      </w:r>
      <w:r>
        <w:rPr>
          <w:sz w:val="20"/>
        </w:rPr>
        <w:t>GBTQ folks who desire to become pregnant often cannot afford fertility treatments. In June 2022, The Equal Access to Reproductive Care Act (H.R.8190) was introduced in the</w:t>
      </w:r>
      <w:r>
        <w:rPr>
          <w:spacing w:val="-4"/>
          <w:sz w:val="20"/>
        </w:rPr>
        <w:t xml:space="preserve"> </w:t>
      </w:r>
      <w:r>
        <w:rPr>
          <w:sz w:val="20"/>
        </w:rPr>
        <w:t>United</w:t>
      </w:r>
      <w:r>
        <w:rPr>
          <w:spacing w:val="-2"/>
          <w:sz w:val="20"/>
        </w:rPr>
        <w:t xml:space="preserve"> </w:t>
      </w:r>
      <w:r>
        <w:rPr>
          <w:sz w:val="20"/>
        </w:rPr>
        <w:t>States</w:t>
      </w:r>
      <w:r>
        <w:rPr>
          <w:spacing w:val="-4"/>
          <w:sz w:val="20"/>
        </w:rPr>
        <w:t xml:space="preserve"> </w:t>
      </w:r>
      <w:r>
        <w:rPr>
          <w:sz w:val="20"/>
        </w:rPr>
        <w:t>Congress,</w:t>
      </w:r>
      <w:r>
        <w:rPr>
          <w:spacing w:val="-2"/>
          <w:sz w:val="20"/>
        </w:rPr>
        <w:t xml:space="preserve"> </w:t>
      </w:r>
      <w:r>
        <w:rPr>
          <w:sz w:val="20"/>
        </w:rPr>
        <w:t>though</w:t>
      </w:r>
      <w:r>
        <w:rPr>
          <w:spacing w:val="-2"/>
          <w:sz w:val="20"/>
        </w:rPr>
        <w:t xml:space="preserve"> </w:t>
      </w:r>
      <w:r>
        <w:rPr>
          <w:sz w:val="20"/>
        </w:rPr>
        <w:t>this</w:t>
      </w:r>
      <w:r>
        <w:rPr>
          <w:spacing w:val="-4"/>
          <w:sz w:val="20"/>
        </w:rPr>
        <w:t xml:space="preserve"> </w:t>
      </w:r>
      <w:r>
        <w:rPr>
          <w:sz w:val="20"/>
        </w:rPr>
        <w:t>bill</w:t>
      </w:r>
      <w:r>
        <w:rPr>
          <w:spacing w:val="-3"/>
          <w:sz w:val="20"/>
        </w:rPr>
        <w:t xml:space="preserve"> </w:t>
      </w:r>
      <w:r>
        <w:rPr>
          <w:sz w:val="20"/>
        </w:rPr>
        <w:t>did</w:t>
      </w:r>
      <w:r>
        <w:rPr>
          <w:spacing w:val="-5"/>
          <w:sz w:val="20"/>
        </w:rPr>
        <w:t xml:space="preserve"> </w:t>
      </w:r>
      <w:r>
        <w:rPr>
          <w:sz w:val="20"/>
        </w:rPr>
        <w:t>not</w:t>
      </w:r>
      <w:r>
        <w:rPr>
          <w:spacing w:val="-3"/>
          <w:sz w:val="20"/>
        </w:rPr>
        <w:t xml:space="preserve"> </w:t>
      </w:r>
      <w:r>
        <w:rPr>
          <w:sz w:val="20"/>
        </w:rPr>
        <w:t>progress,</w:t>
      </w:r>
      <w:r>
        <w:rPr>
          <w:spacing w:val="-2"/>
          <w:sz w:val="20"/>
        </w:rPr>
        <w:t xml:space="preserve"> </w:t>
      </w:r>
      <w:r>
        <w:rPr>
          <w:sz w:val="20"/>
        </w:rPr>
        <w:t>which</w:t>
      </w:r>
      <w:r>
        <w:rPr>
          <w:spacing w:val="-2"/>
          <w:sz w:val="20"/>
        </w:rPr>
        <w:t xml:space="preserve"> </w:t>
      </w:r>
      <w:r>
        <w:rPr>
          <w:sz w:val="20"/>
        </w:rPr>
        <w:t>would</w:t>
      </w:r>
      <w:r>
        <w:rPr>
          <w:spacing w:val="-2"/>
          <w:sz w:val="20"/>
        </w:rPr>
        <w:t xml:space="preserve"> </w:t>
      </w:r>
      <w:r>
        <w:rPr>
          <w:sz w:val="20"/>
        </w:rPr>
        <w:t>have</w:t>
      </w:r>
      <w:r>
        <w:rPr>
          <w:spacing w:val="-4"/>
          <w:sz w:val="20"/>
        </w:rPr>
        <w:t xml:space="preserve"> </w:t>
      </w:r>
      <w:r>
        <w:rPr>
          <w:sz w:val="20"/>
        </w:rPr>
        <w:t>closed</w:t>
      </w:r>
      <w:r>
        <w:rPr>
          <w:spacing w:val="-2"/>
          <w:sz w:val="20"/>
        </w:rPr>
        <w:t xml:space="preserve"> </w:t>
      </w:r>
      <w:r>
        <w:rPr>
          <w:sz w:val="20"/>
        </w:rPr>
        <w:t>a</w:t>
      </w:r>
      <w:r>
        <w:rPr>
          <w:spacing w:val="-3"/>
          <w:sz w:val="20"/>
        </w:rPr>
        <w:t xml:space="preserve"> </w:t>
      </w:r>
      <w:r>
        <w:rPr>
          <w:sz w:val="20"/>
        </w:rPr>
        <w:t>loophole</w:t>
      </w:r>
      <w:r>
        <w:rPr>
          <w:spacing w:val="-4"/>
          <w:sz w:val="20"/>
        </w:rPr>
        <w:t xml:space="preserve"> </w:t>
      </w:r>
      <w:r>
        <w:rPr>
          <w:sz w:val="20"/>
        </w:rPr>
        <w:t>in</w:t>
      </w:r>
      <w:r>
        <w:rPr>
          <w:spacing w:val="-2"/>
          <w:sz w:val="20"/>
        </w:rPr>
        <w:t xml:space="preserve"> </w:t>
      </w:r>
      <w:r>
        <w:rPr>
          <w:sz w:val="20"/>
        </w:rPr>
        <w:t>the</w:t>
      </w:r>
      <w:r>
        <w:rPr>
          <w:spacing w:val="-4"/>
          <w:sz w:val="20"/>
        </w:rPr>
        <w:t xml:space="preserve"> </w:t>
      </w:r>
      <w:r>
        <w:rPr>
          <w:sz w:val="20"/>
        </w:rPr>
        <w:t>tax</w:t>
      </w:r>
      <w:r>
        <w:rPr>
          <w:spacing w:val="-3"/>
          <w:sz w:val="20"/>
        </w:rPr>
        <w:t xml:space="preserve"> </w:t>
      </w:r>
      <w:r>
        <w:rPr>
          <w:sz w:val="20"/>
        </w:rPr>
        <w:t>code</w:t>
      </w:r>
      <w:r>
        <w:rPr>
          <w:spacing w:val="-4"/>
          <w:sz w:val="20"/>
        </w:rPr>
        <w:t xml:space="preserve"> </w:t>
      </w:r>
      <w:r>
        <w:rPr>
          <w:sz w:val="20"/>
        </w:rPr>
        <w:t>to cover fertility treatments as “medical care.” Heterosexual couples can usually cover the cost of fertility by claiming the expenses associated with surrogacy or IVF treatments in their income tax. The legislation would then cla</w:t>
      </w:r>
      <w:r>
        <w:rPr>
          <w:sz w:val="20"/>
        </w:rPr>
        <w:t>ssify assisted reproduction as a tax deductible medical expense, which would expand access to fertility treatments for LGBTQ families.</w:t>
      </w:r>
    </w:p>
    <w:p w:rsidR="00200FDA" w:rsidRDefault="00200FDA">
      <w:pPr>
        <w:pStyle w:val="BodyText"/>
        <w:rPr>
          <w:sz w:val="20"/>
        </w:rPr>
      </w:pPr>
    </w:p>
    <w:p w:rsidR="00200FDA" w:rsidRDefault="00F76C4C">
      <w:pPr>
        <w:pStyle w:val="Heading8"/>
        <w:spacing w:before="157"/>
      </w:pPr>
      <w:bookmarkStart w:id="590" w:name="Doula_Services"/>
      <w:bookmarkEnd w:id="590"/>
      <w:r>
        <w:rPr>
          <w:color w:val="2E5395"/>
        </w:rPr>
        <w:t xml:space="preserve">Doula </w:t>
      </w:r>
      <w:r>
        <w:rPr>
          <w:color w:val="2E5395"/>
          <w:spacing w:val="-2"/>
        </w:rPr>
        <w:t>Services</w:t>
      </w:r>
    </w:p>
    <w:p w:rsidR="00200FDA" w:rsidRDefault="00200FDA">
      <w:pPr>
        <w:pStyle w:val="BodyText"/>
        <w:spacing w:before="10"/>
        <w:rPr>
          <w:sz w:val="19"/>
        </w:rPr>
      </w:pPr>
    </w:p>
    <w:p w:rsidR="00200FDA" w:rsidRDefault="00F76C4C">
      <w:pPr>
        <w:spacing w:line="264" w:lineRule="auto"/>
        <w:ind w:left="139" w:right="336"/>
        <w:jc w:val="both"/>
        <w:rPr>
          <w:sz w:val="20"/>
        </w:rPr>
      </w:pPr>
      <w:r>
        <w:rPr>
          <w:sz w:val="20"/>
        </w:rPr>
        <w:t>A systemic policy review study on Massachusetts bills related to maternal health and racial equity has shown that the</w:t>
      </w:r>
      <w:r>
        <w:rPr>
          <w:spacing w:val="-7"/>
          <w:sz w:val="20"/>
        </w:rPr>
        <w:t xml:space="preserve"> </w:t>
      </w:r>
      <w:r>
        <w:rPr>
          <w:sz w:val="20"/>
        </w:rPr>
        <w:t>common</w:t>
      </w:r>
      <w:r>
        <w:rPr>
          <w:spacing w:val="-6"/>
          <w:sz w:val="20"/>
        </w:rPr>
        <w:t xml:space="preserve"> </w:t>
      </w:r>
      <w:r>
        <w:rPr>
          <w:sz w:val="20"/>
        </w:rPr>
        <w:t>theme</w:t>
      </w:r>
      <w:r>
        <w:rPr>
          <w:spacing w:val="-7"/>
          <w:sz w:val="20"/>
        </w:rPr>
        <w:t xml:space="preserve"> </w:t>
      </w:r>
      <w:r>
        <w:rPr>
          <w:sz w:val="20"/>
        </w:rPr>
        <w:t>among</w:t>
      </w:r>
      <w:r>
        <w:rPr>
          <w:spacing w:val="-7"/>
          <w:sz w:val="20"/>
        </w:rPr>
        <w:t xml:space="preserve"> </w:t>
      </w:r>
      <w:r>
        <w:rPr>
          <w:sz w:val="20"/>
        </w:rPr>
        <w:t>legislative</w:t>
      </w:r>
      <w:r>
        <w:rPr>
          <w:spacing w:val="-7"/>
          <w:sz w:val="20"/>
        </w:rPr>
        <w:t xml:space="preserve"> </w:t>
      </w:r>
      <w:r>
        <w:rPr>
          <w:sz w:val="20"/>
        </w:rPr>
        <w:t>bills</w:t>
      </w:r>
      <w:r>
        <w:rPr>
          <w:spacing w:val="-8"/>
          <w:sz w:val="20"/>
        </w:rPr>
        <w:t xml:space="preserve"> </w:t>
      </w:r>
      <w:r>
        <w:rPr>
          <w:sz w:val="20"/>
        </w:rPr>
        <w:t>relates</w:t>
      </w:r>
      <w:r>
        <w:rPr>
          <w:spacing w:val="-8"/>
          <w:sz w:val="20"/>
        </w:rPr>
        <w:t xml:space="preserve"> </w:t>
      </w:r>
      <w:r>
        <w:rPr>
          <w:sz w:val="20"/>
        </w:rPr>
        <w:t>to</w:t>
      </w:r>
      <w:r>
        <w:rPr>
          <w:spacing w:val="-6"/>
          <w:sz w:val="20"/>
        </w:rPr>
        <w:t xml:space="preserve"> </w:t>
      </w:r>
      <w:r>
        <w:rPr>
          <w:sz w:val="20"/>
        </w:rPr>
        <w:t>the</w:t>
      </w:r>
      <w:r>
        <w:rPr>
          <w:spacing w:val="-7"/>
          <w:sz w:val="20"/>
        </w:rPr>
        <w:t xml:space="preserve"> </w:t>
      </w:r>
      <w:r>
        <w:rPr>
          <w:sz w:val="20"/>
        </w:rPr>
        <w:t>need</w:t>
      </w:r>
      <w:r>
        <w:rPr>
          <w:spacing w:val="-6"/>
          <w:sz w:val="20"/>
        </w:rPr>
        <w:t xml:space="preserve"> </w:t>
      </w:r>
      <w:r>
        <w:rPr>
          <w:sz w:val="20"/>
        </w:rPr>
        <w:t>for</w:t>
      </w:r>
      <w:r>
        <w:rPr>
          <w:spacing w:val="-7"/>
          <w:sz w:val="20"/>
        </w:rPr>
        <w:t xml:space="preserve"> </w:t>
      </w:r>
      <w:r>
        <w:rPr>
          <w:sz w:val="20"/>
        </w:rPr>
        <w:t>doula</w:t>
      </w:r>
      <w:r>
        <w:rPr>
          <w:spacing w:val="-9"/>
          <w:sz w:val="20"/>
        </w:rPr>
        <w:t xml:space="preserve"> </w:t>
      </w:r>
      <w:r>
        <w:rPr>
          <w:sz w:val="20"/>
        </w:rPr>
        <w:t>and</w:t>
      </w:r>
      <w:r>
        <w:rPr>
          <w:spacing w:val="-8"/>
          <w:sz w:val="20"/>
        </w:rPr>
        <w:t xml:space="preserve"> </w:t>
      </w:r>
      <w:r>
        <w:rPr>
          <w:sz w:val="20"/>
        </w:rPr>
        <w:t>midwives</w:t>
      </w:r>
      <w:r>
        <w:rPr>
          <w:spacing w:val="-8"/>
          <w:sz w:val="20"/>
        </w:rPr>
        <w:t xml:space="preserve"> </w:t>
      </w:r>
      <w:r>
        <w:rPr>
          <w:sz w:val="20"/>
        </w:rPr>
        <w:t>services.</w:t>
      </w:r>
      <w:hyperlink w:anchor="_bookmark499" w:history="1">
        <w:r>
          <w:rPr>
            <w:sz w:val="20"/>
            <w:vertAlign w:val="superscript"/>
          </w:rPr>
          <w:t>53</w:t>
        </w:r>
      </w:hyperlink>
      <w:r>
        <w:rPr>
          <w:spacing w:val="-4"/>
          <w:sz w:val="20"/>
        </w:rPr>
        <w:t xml:space="preserve"> </w:t>
      </w:r>
      <w:r>
        <w:rPr>
          <w:sz w:val="20"/>
        </w:rPr>
        <w:t>A</w:t>
      </w:r>
      <w:r>
        <w:rPr>
          <w:spacing w:val="-7"/>
          <w:sz w:val="20"/>
        </w:rPr>
        <w:t xml:space="preserve"> </w:t>
      </w:r>
      <w:r>
        <w:rPr>
          <w:sz w:val="20"/>
        </w:rPr>
        <w:t>doula</w:t>
      </w:r>
      <w:r>
        <w:rPr>
          <w:spacing w:val="-6"/>
          <w:sz w:val="20"/>
        </w:rPr>
        <w:t xml:space="preserve"> </w:t>
      </w:r>
      <w:r>
        <w:rPr>
          <w:sz w:val="20"/>
        </w:rPr>
        <w:t>is</w:t>
      </w:r>
      <w:r>
        <w:rPr>
          <w:spacing w:val="-8"/>
          <w:sz w:val="20"/>
        </w:rPr>
        <w:t xml:space="preserve"> </w:t>
      </w:r>
      <w:r>
        <w:rPr>
          <w:sz w:val="20"/>
        </w:rPr>
        <w:t>a</w:t>
      </w:r>
      <w:r>
        <w:rPr>
          <w:spacing w:val="-9"/>
          <w:sz w:val="20"/>
        </w:rPr>
        <w:t xml:space="preserve"> </w:t>
      </w:r>
      <w:r>
        <w:rPr>
          <w:sz w:val="20"/>
        </w:rPr>
        <w:t>trained professional</w:t>
      </w:r>
      <w:r>
        <w:rPr>
          <w:spacing w:val="-2"/>
          <w:sz w:val="20"/>
        </w:rPr>
        <w:t xml:space="preserve"> </w:t>
      </w:r>
      <w:r>
        <w:rPr>
          <w:sz w:val="20"/>
        </w:rPr>
        <w:t>who</w:t>
      </w:r>
      <w:r>
        <w:rPr>
          <w:spacing w:val="-1"/>
          <w:sz w:val="20"/>
        </w:rPr>
        <w:t xml:space="preserve"> </w:t>
      </w:r>
      <w:r>
        <w:rPr>
          <w:sz w:val="20"/>
        </w:rPr>
        <w:t>provides</w:t>
      </w:r>
      <w:r>
        <w:rPr>
          <w:spacing w:val="-3"/>
          <w:sz w:val="20"/>
        </w:rPr>
        <w:t xml:space="preserve"> </w:t>
      </w:r>
      <w:r>
        <w:rPr>
          <w:sz w:val="20"/>
        </w:rPr>
        <w:t>continuous</w:t>
      </w:r>
      <w:r>
        <w:rPr>
          <w:spacing w:val="-3"/>
          <w:sz w:val="20"/>
        </w:rPr>
        <w:t xml:space="preserve"> </w:t>
      </w:r>
      <w:r>
        <w:rPr>
          <w:sz w:val="20"/>
        </w:rPr>
        <w:t>physical,</w:t>
      </w:r>
      <w:r>
        <w:rPr>
          <w:spacing w:val="-1"/>
          <w:sz w:val="20"/>
        </w:rPr>
        <w:t xml:space="preserve"> </w:t>
      </w:r>
      <w:r>
        <w:rPr>
          <w:sz w:val="20"/>
        </w:rPr>
        <w:t>emotional,</w:t>
      </w:r>
      <w:r>
        <w:rPr>
          <w:spacing w:val="-1"/>
          <w:sz w:val="20"/>
        </w:rPr>
        <w:t xml:space="preserve"> </w:t>
      </w:r>
      <w:r>
        <w:rPr>
          <w:sz w:val="20"/>
        </w:rPr>
        <w:t>and</w:t>
      </w:r>
      <w:r>
        <w:rPr>
          <w:spacing w:val="-1"/>
          <w:sz w:val="20"/>
        </w:rPr>
        <w:t xml:space="preserve"> </w:t>
      </w:r>
      <w:r>
        <w:rPr>
          <w:sz w:val="20"/>
        </w:rPr>
        <w:t>informational</w:t>
      </w:r>
      <w:r>
        <w:rPr>
          <w:spacing w:val="-2"/>
          <w:sz w:val="20"/>
        </w:rPr>
        <w:t xml:space="preserve"> </w:t>
      </w:r>
      <w:r>
        <w:rPr>
          <w:sz w:val="20"/>
        </w:rPr>
        <w:t>support</w:t>
      </w:r>
      <w:r>
        <w:rPr>
          <w:spacing w:val="-4"/>
          <w:sz w:val="20"/>
        </w:rPr>
        <w:t xml:space="preserve"> </w:t>
      </w:r>
      <w:r>
        <w:rPr>
          <w:sz w:val="20"/>
        </w:rPr>
        <w:t>to</w:t>
      </w:r>
      <w:r>
        <w:rPr>
          <w:spacing w:val="-5"/>
          <w:sz w:val="20"/>
        </w:rPr>
        <w:t xml:space="preserve"> </w:t>
      </w:r>
      <w:r>
        <w:rPr>
          <w:sz w:val="20"/>
        </w:rPr>
        <w:t>clients</w:t>
      </w:r>
      <w:r>
        <w:rPr>
          <w:spacing w:val="-3"/>
          <w:sz w:val="20"/>
        </w:rPr>
        <w:t xml:space="preserve"> </w:t>
      </w:r>
      <w:r>
        <w:rPr>
          <w:sz w:val="20"/>
        </w:rPr>
        <w:t>before,</w:t>
      </w:r>
      <w:r>
        <w:rPr>
          <w:spacing w:val="-1"/>
          <w:sz w:val="20"/>
        </w:rPr>
        <w:t xml:space="preserve"> </w:t>
      </w:r>
      <w:r>
        <w:rPr>
          <w:sz w:val="20"/>
        </w:rPr>
        <w:t>during,</w:t>
      </w:r>
      <w:r>
        <w:rPr>
          <w:spacing w:val="-1"/>
          <w:sz w:val="20"/>
        </w:rPr>
        <w:t xml:space="preserve"> </w:t>
      </w:r>
      <w:r>
        <w:rPr>
          <w:sz w:val="20"/>
        </w:rPr>
        <w:t>and after childbirth.</w:t>
      </w:r>
      <w:hyperlink w:anchor="_bookmark500" w:history="1">
        <w:r>
          <w:rPr>
            <w:sz w:val="20"/>
            <w:vertAlign w:val="superscript"/>
          </w:rPr>
          <w:t>54</w:t>
        </w:r>
      </w:hyperlink>
      <w:r>
        <w:rPr>
          <w:spacing w:val="-2"/>
          <w:sz w:val="20"/>
        </w:rPr>
        <w:t xml:space="preserve"> </w:t>
      </w:r>
      <w:r>
        <w:rPr>
          <w:sz w:val="20"/>
        </w:rPr>
        <w:t xml:space="preserve">Unlike midwives, they do not provide medical care and cannot assist in delivery. </w:t>
      </w:r>
      <w:r>
        <w:rPr>
          <w:sz w:val="20"/>
        </w:rPr>
        <w:t>Rather, they are a companion who supports their client with reproductive health related experiences. According to DONA International,</w:t>
      </w:r>
      <w:r>
        <w:rPr>
          <w:spacing w:val="-7"/>
          <w:sz w:val="20"/>
        </w:rPr>
        <w:t xml:space="preserve"> </w:t>
      </w:r>
      <w:r>
        <w:rPr>
          <w:sz w:val="20"/>
        </w:rPr>
        <w:t>birthing</w:t>
      </w:r>
      <w:r>
        <w:rPr>
          <w:spacing w:val="-8"/>
          <w:sz w:val="20"/>
        </w:rPr>
        <w:t xml:space="preserve"> </w:t>
      </w:r>
      <w:r>
        <w:rPr>
          <w:sz w:val="20"/>
        </w:rPr>
        <w:t>people</w:t>
      </w:r>
      <w:r>
        <w:rPr>
          <w:spacing w:val="-10"/>
          <w:sz w:val="20"/>
        </w:rPr>
        <w:t xml:space="preserve"> </w:t>
      </w:r>
      <w:r>
        <w:rPr>
          <w:sz w:val="20"/>
        </w:rPr>
        <w:t>who</w:t>
      </w:r>
      <w:r>
        <w:rPr>
          <w:spacing w:val="-7"/>
          <w:sz w:val="20"/>
        </w:rPr>
        <w:t xml:space="preserve"> </w:t>
      </w:r>
      <w:r>
        <w:rPr>
          <w:sz w:val="20"/>
        </w:rPr>
        <w:t>use</w:t>
      </w:r>
      <w:r>
        <w:rPr>
          <w:spacing w:val="-8"/>
          <w:sz w:val="20"/>
        </w:rPr>
        <w:t xml:space="preserve"> </w:t>
      </w:r>
      <w:r>
        <w:rPr>
          <w:sz w:val="20"/>
        </w:rPr>
        <w:t>doulas</w:t>
      </w:r>
      <w:r>
        <w:rPr>
          <w:spacing w:val="-8"/>
          <w:sz w:val="20"/>
        </w:rPr>
        <w:t xml:space="preserve"> </w:t>
      </w:r>
      <w:r>
        <w:rPr>
          <w:sz w:val="20"/>
        </w:rPr>
        <w:t>are</w:t>
      </w:r>
      <w:r>
        <w:rPr>
          <w:spacing w:val="-8"/>
          <w:sz w:val="20"/>
        </w:rPr>
        <w:t xml:space="preserve"> </w:t>
      </w:r>
      <w:r>
        <w:rPr>
          <w:sz w:val="20"/>
        </w:rPr>
        <w:t>less</w:t>
      </w:r>
      <w:r>
        <w:rPr>
          <w:spacing w:val="-8"/>
          <w:sz w:val="20"/>
        </w:rPr>
        <w:t xml:space="preserve"> </w:t>
      </w:r>
      <w:r>
        <w:rPr>
          <w:sz w:val="20"/>
        </w:rPr>
        <w:t>likely</w:t>
      </w:r>
      <w:r>
        <w:rPr>
          <w:spacing w:val="-7"/>
          <w:sz w:val="20"/>
        </w:rPr>
        <w:t xml:space="preserve"> </w:t>
      </w:r>
      <w:r>
        <w:rPr>
          <w:sz w:val="20"/>
        </w:rPr>
        <w:t>to</w:t>
      </w:r>
      <w:r>
        <w:rPr>
          <w:spacing w:val="-7"/>
          <w:sz w:val="20"/>
        </w:rPr>
        <w:t xml:space="preserve"> </w:t>
      </w:r>
      <w:r>
        <w:rPr>
          <w:sz w:val="20"/>
        </w:rPr>
        <w:t>have</w:t>
      </w:r>
      <w:r>
        <w:rPr>
          <w:spacing w:val="-8"/>
          <w:sz w:val="20"/>
        </w:rPr>
        <w:t xml:space="preserve"> </w:t>
      </w:r>
      <w:r>
        <w:rPr>
          <w:sz w:val="20"/>
        </w:rPr>
        <w:t>cesarean</w:t>
      </w:r>
      <w:r>
        <w:rPr>
          <w:spacing w:val="-7"/>
          <w:sz w:val="20"/>
        </w:rPr>
        <w:t xml:space="preserve"> </w:t>
      </w:r>
      <w:r>
        <w:rPr>
          <w:sz w:val="20"/>
        </w:rPr>
        <w:t>sections,</w:t>
      </w:r>
      <w:r>
        <w:rPr>
          <w:spacing w:val="-7"/>
          <w:sz w:val="20"/>
        </w:rPr>
        <w:t xml:space="preserve"> </w:t>
      </w:r>
      <w:r>
        <w:rPr>
          <w:sz w:val="20"/>
        </w:rPr>
        <w:t>make</w:t>
      </w:r>
      <w:r>
        <w:rPr>
          <w:spacing w:val="-8"/>
          <w:sz w:val="20"/>
        </w:rPr>
        <w:t xml:space="preserve"> </w:t>
      </w:r>
      <w:r>
        <w:rPr>
          <w:sz w:val="20"/>
        </w:rPr>
        <w:t>fewer</w:t>
      </w:r>
      <w:r>
        <w:rPr>
          <w:spacing w:val="-8"/>
          <w:sz w:val="20"/>
        </w:rPr>
        <w:t xml:space="preserve"> </w:t>
      </w:r>
      <w:r>
        <w:rPr>
          <w:sz w:val="20"/>
        </w:rPr>
        <w:t>requests</w:t>
      </w:r>
      <w:r>
        <w:rPr>
          <w:spacing w:val="-7"/>
          <w:sz w:val="20"/>
        </w:rPr>
        <w:t xml:space="preserve"> </w:t>
      </w:r>
      <w:r>
        <w:rPr>
          <w:sz w:val="20"/>
        </w:rPr>
        <w:t>for</w:t>
      </w:r>
      <w:r>
        <w:rPr>
          <w:spacing w:val="-8"/>
          <w:sz w:val="20"/>
        </w:rPr>
        <w:t xml:space="preserve"> </w:t>
      </w:r>
      <w:r>
        <w:rPr>
          <w:sz w:val="20"/>
        </w:rPr>
        <w:t>pain medications, report less anxiety, and overall have greater salinification with their birth experiences.</w:t>
      </w:r>
      <w:hyperlink w:anchor="_bookmark501" w:history="1">
        <w:r>
          <w:rPr>
            <w:sz w:val="20"/>
            <w:vertAlign w:val="superscript"/>
          </w:rPr>
          <w:t>55</w:t>
        </w:r>
      </w:hyperlink>
      <w:r>
        <w:rPr>
          <w:spacing w:val="-3"/>
          <w:sz w:val="20"/>
        </w:rPr>
        <w:t xml:space="preserve"> </w:t>
      </w:r>
      <w:r>
        <w:rPr>
          <w:sz w:val="20"/>
        </w:rPr>
        <w:t xml:space="preserve">Doulas that specialize in LGBTQ issues can be helpful for LGBTQ individuals who need support navigating a health </w:t>
      </w:r>
      <w:r>
        <w:rPr>
          <w:sz w:val="20"/>
        </w:rPr>
        <w:t>care system that oftentimes may discriminate against them, mistreat them, and misgender them based on heteronormative societal ideals around birthing and parenting.</w:t>
      </w:r>
      <w:r>
        <w:rPr>
          <w:spacing w:val="-12"/>
          <w:sz w:val="20"/>
        </w:rPr>
        <w:t xml:space="preserve"> </w:t>
      </w:r>
      <w:hyperlink w:anchor="_bookmark502" w:history="1">
        <w:r>
          <w:rPr>
            <w:sz w:val="20"/>
            <w:vertAlign w:val="superscript"/>
          </w:rPr>
          <w:t>56</w:t>
        </w:r>
      </w:hyperlink>
      <w:r>
        <w:rPr>
          <w:sz w:val="20"/>
        </w:rPr>
        <w:t xml:space="preserve"> Doulas can also help reduce racial, gender, and other he</w:t>
      </w:r>
      <w:r>
        <w:rPr>
          <w:sz w:val="20"/>
        </w:rPr>
        <w:t>alth inequities in health care settings.</w:t>
      </w:r>
    </w:p>
    <w:p w:rsidR="00200FDA" w:rsidRDefault="00200FDA">
      <w:pPr>
        <w:pStyle w:val="BodyText"/>
        <w:spacing w:before="8"/>
        <w:rPr>
          <w:sz w:val="19"/>
        </w:rPr>
      </w:pPr>
    </w:p>
    <w:p w:rsidR="00200FDA" w:rsidRDefault="00F76C4C">
      <w:pPr>
        <w:spacing w:line="264" w:lineRule="auto"/>
        <w:ind w:left="139" w:right="339"/>
        <w:jc w:val="both"/>
        <w:rPr>
          <w:sz w:val="20"/>
        </w:rPr>
      </w:pPr>
      <w:r>
        <w:rPr>
          <w:sz w:val="20"/>
        </w:rPr>
        <w:t>Birth</w:t>
      </w:r>
      <w:r>
        <w:rPr>
          <w:spacing w:val="-6"/>
          <w:sz w:val="20"/>
        </w:rPr>
        <w:t xml:space="preserve"> </w:t>
      </w:r>
      <w:r>
        <w:rPr>
          <w:sz w:val="20"/>
        </w:rPr>
        <w:t>doulas</w:t>
      </w:r>
      <w:r>
        <w:rPr>
          <w:spacing w:val="-8"/>
          <w:sz w:val="20"/>
        </w:rPr>
        <w:t xml:space="preserve"> </w:t>
      </w:r>
      <w:r>
        <w:rPr>
          <w:sz w:val="20"/>
        </w:rPr>
        <w:t>are</w:t>
      </w:r>
      <w:r>
        <w:rPr>
          <w:spacing w:val="-8"/>
          <w:sz w:val="20"/>
        </w:rPr>
        <w:t xml:space="preserve"> </w:t>
      </w:r>
      <w:r>
        <w:rPr>
          <w:sz w:val="20"/>
        </w:rPr>
        <w:t>the</w:t>
      </w:r>
      <w:r>
        <w:rPr>
          <w:spacing w:val="-8"/>
          <w:sz w:val="20"/>
        </w:rPr>
        <w:t xml:space="preserve"> </w:t>
      </w:r>
      <w:r>
        <w:rPr>
          <w:sz w:val="20"/>
        </w:rPr>
        <w:t>most</w:t>
      </w:r>
      <w:r>
        <w:rPr>
          <w:spacing w:val="-6"/>
          <w:sz w:val="20"/>
        </w:rPr>
        <w:t xml:space="preserve"> </w:t>
      </w:r>
      <w:r>
        <w:rPr>
          <w:sz w:val="20"/>
        </w:rPr>
        <w:t>commonly</w:t>
      </w:r>
      <w:r>
        <w:rPr>
          <w:spacing w:val="-6"/>
          <w:sz w:val="20"/>
        </w:rPr>
        <w:t xml:space="preserve"> </w:t>
      </w:r>
      <w:r>
        <w:rPr>
          <w:sz w:val="20"/>
        </w:rPr>
        <w:t>known</w:t>
      </w:r>
      <w:r>
        <w:rPr>
          <w:spacing w:val="-6"/>
          <w:sz w:val="20"/>
        </w:rPr>
        <w:t xml:space="preserve"> </w:t>
      </w:r>
      <w:r>
        <w:rPr>
          <w:sz w:val="20"/>
        </w:rPr>
        <w:t>type</w:t>
      </w:r>
      <w:r>
        <w:rPr>
          <w:spacing w:val="-8"/>
          <w:sz w:val="20"/>
        </w:rPr>
        <w:t xml:space="preserve"> </w:t>
      </w:r>
      <w:r>
        <w:rPr>
          <w:sz w:val="20"/>
        </w:rPr>
        <w:t>of</w:t>
      </w:r>
      <w:r>
        <w:rPr>
          <w:spacing w:val="-8"/>
          <w:sz w:val="20"/>
        </w:rPr>
        <w:t xml:space="preserve"> </w:t>
      </w:r>
      <w:r>
        <w:rPr>
          <w:sz w:val="20"/>
        </w:rPr>
        <w:t>doula</w:t>
      </w:r>
      <w:r>
        <w:rPr>
          <w:spacing w:val="-6"/>
          <w:sz w:val="20"/>
        </w:rPr>
        <w:t xml:space="preserve"> </w:t>
      </w:r>
      <w:r>
        <w:rPr>
          <w:sz w:val="20"/>
        </w:rPr>
        <w:t>but</w:t>
      </w:r>
      <w:r>
        <w:rPr>
          <w:spacing w:val="-6"/>
          <w:sz w:val="20"/>
        </w:rPr>
        <w:t xml:space="preserve"> </w:t>
      </w:r>
      <w:r>
        <w:rPr>
          <w:sz w:val="20"/>
        </w:rPr>
        <w:t>there</w:t>
      </w:r>
      <w:r>
        <w:rPr>
          <w:spacing w:val="-8"/>
          <w:sz w:val="20"/>
        </w:rPr>
        <w:t xml:space="preserve"> </w:t>
      </w:r>
      <w:r>
        <w:rPr>
          <w:sz w:val="20"/>
        </w:rPr>
        <w:t>are</w:t>
      </w:r>
      <w:r>
        <w:rPr>
          <w:spacing w:val="-8"/>
          <w:sz w:val="20"/>
        </w:rPr>
        <w:t xml:space="preserve"> </w:t>
      </w:r>
      <w:r>
        <w:rPr>
          <w:sz w:val="20"/>
        </w:rPr>
        <w:t>different</w:t>
      </w:r>
      <w:r>
        <w:rPr>
          <w:spacing w:val="-6"/>
          <w:sz w:val="20"/>
        </w:rPr>
        <w:t xml:space="preserve"> </w:t>
      </w:r>
      <w:r>
        <w:rPr>
          <w:sz w:val="20"/>
        </w:rPr>
        <w:t>types</w:t>
      </w:r>
      <w:r>
        <w:rPr>
          <w:spacing w:val="-8"/>
          <w:sz w:val="20"/>
        </w:rPr>
        <w:t xml:space="preserve"> </w:t>
      </w:r>
      <w:r>
        <w:rPr>
          <w:sz w:val="20"/>
        </w:rPr>
        <w:t>of</w:t>
      </w:r>
      <w:r>
        <w:rPr>
          <w:spacing w:val="-8"/>
          <w:sz w:val="20"/>
        </w:rPr>
        <w:t xml:space="preserve"> </w:t>
      </w:r>
      <w:r>
        <w:rPr>
          <w:sz w:val="20"/>
        </w:rPr>
        <w:t>doulas,</w:t>
      </w:r>
      <w:r>
        <w:rPr>
          <w:spacing w:val="-6"/>
          <w:sz w:val="20"/>
        </w:rPr>
        <w:t xml:space="preserve"> </w:t>
      </w:r>
      <w:r>
        <w:rPr>
          <w:sz w:val="20"/>
        </w:rPr>
        <w:t>many</w:t>
      </w:r>
      <w:r>
        <w:rPr>
          <w:spacing w:val="-6"/>
          <w:sz w:val="20"/>
        </w:rPr>
        <w:t xml:space="preserve"> </w:t>
      </w:r>
      <w:r>
        <w:rPr>
          <w:sz w:val="20"/>
        </w:rPr>
        <w:t>of</w:t>
      </w:r>
      <w:r>
        <w:rPr>
          <w:spacing w:val="-8"/>
          <w:sz w:val="20"/>
        </w:rPr>
        <w:t xml:space="preserve"> </w:t>
      </w:r>
      <w:r>
        <w:rPr>
          <w:sz w:val="20"/>
        </w:rPr>
        <w:t>which</w:t>
      </w:r>
      <w:r>
        <w:rPr>
          <w:spacing w:val="-6"/>
          <w:sz w:val="20"/>
        </w:rPr>
        <w:t xml:space="preserve"> </w:t>
      </w:r>
      <w:r>
        <w:rPr>
          <w:sz w:val="20"/>
        </w:rPr>
        <w:t>can be</w:t>
      </w:r>
      <w:r>
        <w:rPr>
          <w:spacing w:val="-11"/>
          <w:sz w:val="20"/>
        </w:rPr>
        <w:t xml:space="preserve"> </w:t>
      </w:r>
      <w:r>
        <w:rPr>
          <w:sz w:val="20"/>
        </w:rPr>
        <w:t>helpful</w:t>
      </w:r>
      <w:r>
        <w:rPr>
          <w:spacing w:val="-10"/>
          <w:sz w:val="20"/>
        </w:rPr>
        <w:t xml:space="preserve"> </w:t>
      </w:r>
      <w:r>
        <w:rPr>
          <w:sz w:val="20"/>
        </w:rPr>
        <w:t>for</w:t>
      </w:r>
      <w:r>
        <w:rPr>
          <w:spacing w:val="-10"/>
          <w:sz w:val="20"/>
        </w:rPr>
        <w:t xml:space="preserve"> </w:t>
      </w:r>
      <w:r>
        <w:rPr>
          <w:sz w:val="20"/>
        </w:rPr>
        <w:t>LGBTQ</w:t>
      </w:r>
      <w:r>
        <w:rPr>
          <w:spacing w:val="-10"/>
          <w:sz w:val="20"/>
        </w:rPr>
        <w:t xml:space="preserve"> </w:t>
      </w:r>
      <w:r>
        <w:rPr>
          <w:sz w:val="20"/>
        </w:rPr>
        <w:t>populations</w:t>
      </w:r>
      <w:r>
        <w:rPr>
          <w:spacing w:val="-11"/>
          <w:sz w:val="20"/>
        </w:rPr>
        <w:t xml:space="preserve"> </w:t>
      </w:r>
      <w:r>
        <w:rPr>
          <w:sz w:val="20"/>
        </w:rPr>
        <w:t>and</w:t>
      </w:r>
      <w:r>
        <w:rPr>
          <w:spacing w:val="-9"/>
          <w:sz w:val="20"/>
        </w:rPr>
        <w:t xml:space="preserve"> </w:t>
      </w:r>
      <w:r>
        <w:rPr>
          <w:sz w:val="20"/>
        </w:rPr>
        <w:t>youth</w:t>
      </w:r>
      <w:r>
        <w:rPr>
          <w:spacing w:val="-9"/>
          <w:sz w:val="20"/>
        </w:rPr>
        <w:t xml:space="preserve"> </w:t>
      </w:r>
      <w:r>
        <w:rPr>
          <w:sz w:val="20"/>
        </w:rPr>
        <w:t>who</w:t>
      </w:r>
      <w:r>
        <w:rPr>
          <w:spacing w:val="-10"/>
          <w:sz w:val="20"/>
        </w:rPr>
        <w:t xml:space="preserve"> </w:t>
      </w:r>
      <w:r>
        <w:rPr>
          <w:sz w:val="20"/>
        </w:rPr>
        <w:t>need</w:t>
      </w:r>
      <w:r>
        <w:rPr>
          <w:spacing w:val="-9"/>
          <w:sz w:val="20"/>
        </w:rPr>
        <w:t xml:space="preserve"> </w:t>
      </w:r>
      <w:r>
        <w:rPr>
          <w:sz w:val="20"/>
        </w:rPr>
        <w:t>support</w:t>
      </w:r>
      <w:r>
        <w:rPr>
          <w:spacing w:val="-10"/>
          <w:sz w:val="20"/>
        </w:rPr>
        <w:t xml:space="preserve"> </w:t>
      </w:r>
      <w:r>
        <w:rPr>
          <w:sz w:val="20"/>
        </w:rPr>
        <w:t>navigating</w:t>
      </w:r>
      <w:r>
        <w:rPr>
          <w:spacing w:val="-10"/>
          <w:sz w:val="20"/>
        </w:rPr>
        <w:t xml:space="preserve"> </w:t>
      </w:r>
      <w:r>
        <w:rPr>
          <w:sz w:val="20"/>
        </w:rPr>
        <w:t>the</w:t>
      </w:r>
      <w:r>
        <w:rPr>
          <w:spacing w:val="-9"/>
          <w:sz w:val="20"/>
        </w:rPr>
        <w:t xml:space="preserve"> </w:t>
      </w:r>
      <w:r>
        <w:rPr>
          <w:sz w:val="20"/>
        </w:rPr>
        <w:t>various</w:t>
      </w:r>
      <w:r>
        <w:rPr>
          <w:spacing w:val="-9"/>
          <w:sz w:val="20"/>
        </w:rPr>
        <w:t xml:space="preserve"> </w:t>
      </w:r>
      <w:r>
        <w:rPr>
          <w:sz w:val="20"/>
        </w:rPr>
        <w:t>stages</w:t>
      </w:r>
      <w:r>
        <w:rPr>
          <w:spacing w:val="-11"/>
          <w:sz w:val="20"/>
        </w:rPr>
        <w:t xml:space="preserve"> </w:t>
      </w:r>
      <w:r>
        <w:rPr>
          <w:sz w:val="20"/>
        </w:rPr>
        <w:t>of</w:t>
      </w:r>
      <w:r>
        <w:rPr>
          <w:spacing w:val="-11"/>
          <w:sz w:val="20"/>
        </w:rPr>
        <w:t xml:space="preserve"> </w:t>
      </w:r>
      <w:r>
        <w:rPr>
          <w:sz w:val="20"/>
        </w:rPr>
        <w:t>birthing</w:t>
      </w:r>
      <w:r>
        <w:rPr>
          <w:spacing w:val="-10"/>
          <w:sz w:val="20"/>
        </w:rPr>
        <w:t xml:space="preserve"> </w:t>
      </w:r>
      <w:r>
        <w:rPr>
          <w:sz w:val="20"/>
        </w:rPr>
        <w:t>experiences. Transition doulas are caregivers for clients experiencing the wide spectrum of gender-affirming transitions. They may provide resources and referrals centered around LGBTQ healthcare, support clients receiving hormone shots, and provi</w:t>
      </w:r>
      <w:r>
        <w:rPr>
          <w:sz w:val="20"/>
        </w:rPr>
        <w:t>de compassionate trauma-informed wellness and support. Abortion</w:t>
      </w:r>
      <w:r>
        <w:rPr>
          <w:spacing w:val="-1"/>
          <w:sz w:val="20"/>
        </w:rPr>
        <w:t xml:space="preserve"> </w:t>
      </w:r>
      <w:r>
        <w:rPr>
          <w:sz w:val="20"/>
        </w:rPr>
        <w:t>doulas can</w:t>
      </w:r>
      <w:r>
        <w:rPr>
          <w:spacing w:val="-1"/>
          <w:sz w:val="20"/>
        </w:rPr>
        <w:t xml:space="preserve"> </w:t>
      </w:r>
      <w:r>
        <w:rPr>
          <w:sz w:val="20"/>
        </w:rPr>
        <w:t>also be helpful for LGBTQ youth who need support navigating the experience of getting an abortion.</w:t>
      </w:r>
    </w:p>
    <w:p w:rsidR="00200FDA" w:rsidRDefault="00200FDA">
      <w:pPr>
        <w:pStyle w:val="BodyText"/>
        <w:spacing w:before="8"/>
        <w:rPr>
          <w:sz w:val="19"/>
        </w:rPr>
      </w:pPr>
    </w:p>
    <w:p w:rsidR="00200FDA" w:rsidRDefault="00F76C4C">
      <w:pPr>
        <w:spacing w:line="264" w:lineRule="auto"/>
        <w:ind w:left="139" w:right="335"/>
        <w:jc w:val="both"/>
        <w:rPr>
          <w:sz w:val="20"/>
        </w:rPr>
      </w:pPr>
      <w:r>
        <w:rPr>
          <w:i/>
          <w:sz w:val="20"/>
        </w:rPr>
        <w:t xml:space="preserve">An Act Relative to Medicaid Coverage for Doula Services </w:t>
      </w:r>
      <w:hyperlink r:id="rId415">
        <w:r>
          <w:rPr>
            <w:sz w:val="20"/>
          </w:rPr>
          <w:t>(</w:t>
        </w:r>
        <w:r>
          <w:rPr>
            <w:b/>
            <w:color w:val="1154CC"/>
            <w:sz w:val="20"/>
            <w:u w:val="single" w:color="1154CC"/>
          </w:rPr>
          <w:t>S.782</w:t>
        </w:r>
      </w:hyperlink>
      <w:r>
        <w:rPr>
          <w:b/>
          <w:sz w:val="20"/>
        </w:rPr>
        <w:t>/</w:t>
      </w:r>
      <w:hyperlink r:id="rId416">
        <w:r>
          <w:rPr>
            <w:b/>
            <w:color w:val="1154CC"/>
            <w:sz w:val="20"/>
            <w:u w:val="single" w:color="1154CC"/>
          </w:rPr>
          <w:t>H.1240</w:t>
        </w:r>
      </w:hyperlink>
      <w:r>
        <w:rPr>
          <w:sz w:val="20"/>
        </w:rPr>
        <w:t xml:space="preserve">) was initially proposed in 2019, and during the 2023-2024 Massachusetts legislative session was re-introduced; this bill would require MassHealth </w:t>
      </w:r>
      <w:r>
        <w:rPr>
          <w:sz w:val="20"/>
        </w:rPr>
        <w:t>to provide coverage for doula services, which are services typically paid for out-of-pocket. Additionally, the bill would also produce a Doula Care Advisory Commission which would handle many of the administrative aspects of implementation. If Massachusett</w:t>
      </w:r>
      <w:r>
        <w:rPr>
          <w:sz w:val="20"/>
        </w:rPr>
        <w:t>s accomplishes implementing MassHealth coverage for doula services, the state would join alongside other states who have their state Medicaid services cover doula services, such as California, whose Medicaid program made doula services free for Medi-Cal re</w:t>
      </w:r>
      <w:r>
        <w:rPr>
          <w:sz w:val="20"/>
        </w:rPr>
        <w:t>cipients in January 2023,</w:t>
      </w:r>
      <w:r>
        <w:rPr>
          <w:spacing w:val="-12"/>
          <w:sz w:val="20"/>
        </w:rPr>
        <w:t xml:space="preserve"> </w:t>
      </w:r>
      <w:hyperlink w:anchor="_bookmark503" w:history="1">
        <w:r>
          <w:rPr>
            <w:sz w:val="20"/>
            <w:vertAlign w:val="superscript"/>
          </w:rPr>
          <w:t>57</w:t>
        </w:r>
      </w:hyperlink>
      <w:r>
        <w:rPr>
          <w:sz w:val="20"/>
        </w:rPr>
        <w:t xml:space="preserve"> and Oregon and Minnesota which both have legislation that require their Medicaid programs to cover doula services.</w:t>
      </w:r>
      <w:hyperlink w:anchor="_bookmark504" w:history="1">
        <w:r>
          <w:rPr>
            <w:sz w:val="20"/>
            <w:vertAlign w:val="superscript"/>
          </w:rPr>
          <w:t>58</w:t>
        </w:r>
      </w:hyperlink>
    </w:p>
    <w:p w:rsidR="00200FDA" w:rsidRDefault="00200FDA">
      <w:pPr>
        <w:pStyle w:val="BodyText"/>
        <w:spacing w:before="7"/>
        <w:rPr>
          <w:sz w:val="19"/>
        </w:rPr>
      </w:pPr>
    </w:p>
    <w:p w:rsidR="00200FDA" w:rsidRDefault="00F76C4C">
      <w:pPr>
        <w:spacing w:line="264" w:lineRule="auto"/>
        <w:ind w:left="140" w:right="337"/>
        <w:jc w:val="both"/>
        <w:rPr>
          <w:sz w:val="20"/>
        </w:rPr>
      </w:pPr>
      <w:r>
        <w:rPr>
          <w:sz w:val="20"/>
        </w:rPr>
        <w:t>Although legislation requiring Medicaid-provi</w:t>
      </w:r>
      <w:r>
        <w:rPr>
          <w:sz w:val="20"/>
        </w:rPr>
        <w:t>ded doulas services has not passed into law yet, Massachusetts is making</w:t>
      </w:r>
      <w:r>
        <w:rPr>
          <w:spacing w:val="-2"/>
          <w:sz w:val="20"/>
        </w:rPr>
        <w:t xml:space="preserve"> </w:t>
      </w:r>
      <w:r>
        <w:rPr>
          <w:sz w:val="20"/>
        </w:rPr>
        <w:t>the</w:t>
      </w:r>
      <w:r>
        <w:rPr>
          <w:spacing w:val="-2"/>
          <w:sz w:val="20"/>
        </w:rPr>
        <w:t xml:space="preserve"> </w:t>
      </w:r>
      <w:r>
        <w:rPr>
          <w:sz w:val="20"/>
        </w:rPr>
        <w:t>effort</w:t>
      </w:r>
      <w:r>
        <w:rPr>
          <w:spacing w:val="-1"/>
          <w:sz w:val="20"/>
        </w:rPr>
        <w:t xml:space="preserve"> </w:t>
      </w:r>
      <w:r>
        <w:rPr>
          <w:sz w:val="20"/>
        </w:rPr>
        <w:t>to</w:t>
      </w:r>
      <w:r>
        <w:rPr>
          <w:spacing w:val="-1"/>
          <w:sz w:val="20"/>
        </w:rPr>
        <w:t xml:space="preserve"> </w:t>
      </w:r>
      <w:r>
        <w:rPr>
          <w:sz w:val="20"/>
        </w:rPr>
        <w:t>build</w:t>
      </w:r>
      <w:r>
        <w:rPr>
          <w:spacing w:val="-2"/>
          <w:sz w:val="20"/>
        </w:rPr>
        <w:t xml:space="preserve"> </w:t>
      </w:r>
      <w:r>
        <w:rPr>
          <w:sz w:val="20"/>
        </w:rPr>
        <w:t>awareness</w:t>
      </w:r>
      <w:r>
        <w:rPr>
          <w:spacing w:val="-2"/>
          <w:sz w:val="20"/>
        </w:rPr>
        <w:t xml:space="preserve"> </w:t>
      </w:r>
      <w:r>
        <w:rPr>
          <w:sz w:val="20"/>
        </w:rPr>
        <w:t>for</w:t>
      </w:r>
      <w:r>
        <w:rPr>
          <w:spacing w:val="-2"/>
          <w:sz w:val="20"/>
        </w:rPr>
        <w:t xml:space="preserve"> </w:t>
      </w:r>
      <w:r>
        <w:rPr>
          <w:sz w:val="20"/>
        </w:rPr>
        <w:t>doula</w:t>
      </w:r>
      <w:r>
        <w:rPr>
          <w:spacing w:val="-1"/>
          <w:sz w:val="20"/>
        </w:rPr>
        <w:t xml:space="preserve"> </w:t>
      </w:r>
      <w:r>
        <w:rPr>
          <w:sz w:val="20"/>
        </w:rPr>
        <w:t>services</w:t>
      </w:r>
      <w:r>
        <w:rPr>
          <w:spacing w:val="-2"/>
          <w:sz w:val="20"/>
        </w:rPr>
        <w:t xml:space="preserve"> </w:t>
      </w:r>
      <w:r>
        <w:rPr>
          <w:sz w:val="20"/>
        </w:rPr>
        <w:t>and</w:t>
      </w:r>
      <w:r>
        <w:rPr>
          <w:spacing w:val="-1"/>
          <w:sz w:val="20"/>
        </w:rPr>
        <w:t xml:space="preserve"> </w:t>
      </w:r>
      <w:r>
        <w:rPr>
          <w:sz w:val="20"/>
        </w:rPr>
        <w:t>how</w:t>
      </w:r>
      <w:r>
        <w:rPr>
          <w:spacing w:val="-2"/>
          <w:sz w:val="20"/>
        </w:rPr>
        <w:t xml:space="preserve"> </w:t>
      </w:r>
      <w:r>
        <w:rPr>
          <w:sz w:val="20"/>
        </w:rPr>
        <w:t>they</w:t>
      </w:r>
      <w:r>
        <w:rPr>
          <w:spacing w:val="-2"/>
          <w:sz w:val="20"/>
        </w:rPr>
        <w:t xml:space="preserve"> </w:t>
      </w:r>
      <w:r>
        <w:rPr>
          <w:sz w:val="20"/>
        </w:rPr>
        <w:t>can</w:t>
      </w:r>
      <w:r>
        <w:rPr>
          <w:spacing w:val="-2"/>
          <w:sz w:val="20"/>
        </w:rPr>
        <w:t xml:space="preserve"> </w:t>
      </w:r>
      <w:r>
        <w:rPr>
          <w:sz w:val="20"/>
        </w:rPr>
        <w:t>benefit</w:t>
      </w:r>
      <w:r>
        <w:rPr>
          <w:spacing w:val="-1"/>
          <w:sz w:val="20"/>
        </w:rPr>
        <w:t xml:space="preserve"> </w:t>
      </w:r>
      <w:r>
        <w:rPr>
          <w:sz w:val="20"/>
        </w:rPr>
        <w:t>low-income,</w:t>
      </w:r>
      <w:r>
        <w:rPr>
          <w:spacing w:val="-1"/>
          <w:sz w:val="20"/>
        </w:rPr>
        <w:t xml:space="preserve"> </w:t>
      </w:r>
      <w:r>
        <w:rPr>
          <w:sz w:val="20"/>
        </w:rPr>
        <w:t>BIPOC</w:t>
      </w:r>
      <w:r>
        <w:rPr>
          <w:spacing w:val="-2"/>
          <w:sz w:val="20"/>
        </w:rPr>
        <w:t xml:space="preserve"> </w:t>
      </w:r>
      <w:r>
        <w:rPr>
          <w:sz w:val="20"/>
        </w:rPr>
        <w:t>communities. The</w:t>
      </w:r>
      <w:r>
        <w:rPr>
          <w:spacing w:val="-4"/>
          <w:sz w:val="20"/>
        </w:rPr>
        <w:t xml:space="preserve"> </w:t>
      </w:r>
      <w:r>
        <w:rPr>
          <w:sz w:val="20"/>
        </w:rPr>
        <w:t>Birth</w:t>
      </w:r>
      <w:r>
        <w:rPr>
          <w:spacing w:val="-2"/>
          <w:sz w:val="20"/>
        </w:rPr>
        <w:t xml:space="preserve"> </w:t>
      </w:r>
      <w:r>
        <w:rPr>
          <w:sz w:val="20"/>
        </w:rPr>
        <w:t>Equity</w:t>
      </w:r>
      <w:r>
        <w:rPr>
          <w:spacing w:val="-2"/>
          <w:sz w:val="20"/>
        </w:rPr>
        <w:t xml:space="preserve"> </w:t>
      </w:r>
      <w:r>
        <w:rPr>
          <w:sz w:val="20"/>
        </w:rPr>
        <w:t>and</w:t>
      </w:r>
      <w:r>
        <w:rPr>
          <w:spacing w:val="-2"/>
          <w:sz w:val="20"/>
        </w:rPr>
        <w:t xml:space="preserve"> </w:t>
      </w:r>
      <w:r>
        <w:rPr>
          <w:sz w:val="20"/>
        </w:rPr>
        <w:t>Support</w:t>
      </w:r>
      <w:r>
        <w:rPr>
          <w:spacing w:val="-5"/>
          <w:sz w:val="20"/>
        </w:rPr>
        <w:t xml:space="preserve"> </w:t>
      </w:r>
      <w:r>
        <w:rPr>
          <w:sz w:val="20"/>
        </w:rPr>
        <w:t>through</w:t>
      </w:r>
      <w:r>
        <w:rPr>
          <w:spacing w:val="-2"/>
          <w:sz w:val="20"/>
        </w:rPr>
        <w:t xml:space="preserve"> </w:t>
      </w:r>
      <w:r>
        <w:rPr>
          <w:sz w:val="20"/>
        </w:rPr>
        <w:t>the</w:t>
      </w:r>
      <w:r>
        <w:rPr>
          <w:spacing w:val="-4"/>
          <w:sz w:val="20"/>
        </w:rPr>
        <w:t xml:space="preserve"> </w:t>
      </w:r>
      <w:r>
        <w:rPr>
          <w:sz w:val="20"/>
        </w:rPr>
        <w:t>Inclusion</w:t>
      </w:r>
      <w:r>
        <w:rPr>
          <w:spacing w:val="-2"/>
          <w:sz w:val="20"/>
        </w:rPr>
        <w:t xml:space="preserve"> </w:t>
      </w:r>
      <w:r>
        <w:rPr>
          <w:sz w:val="20"/>
        </w:rPr>
        <w:t>of</w:t>
      </w:r>
      <w:r>
        <w:rPr>
          <w:spacing w:val="-4"/>
          <w:sz w:val="20"/>
        </w:rPr>
        <w:t xml:space="preserve"> </w:t>
      </w:r>
      <w:r>
        <w:rPr>
          <w:sz w:val="20"/>
        </w:rPr>
        <w:t>Doula</w:t>
      </w:r>
      <w:r>
        <w:rPr>
          <w:spacing w:val="-3"/>
          <w:sz w:val="20"/>
        </w:rPr>
        <w:t xml:space="preserve"> </w:t>
      </w:r>
      <w:r>
        <w:rPr>
          <w:sz w:val="20"/>
        </w:rPr>
        <w:t>Expertise</w:t>
      </w:r>
      <w:r>
        <w:rPr>
          <w:spacing w:val="-4"/>
          <w:sz w:val="20"/>
        </w:rPr>
        <w:t xml:space="preserve"> </w:t>
      </w:r>
      <w:r>
        <w:rPr>
          <w:sz w:val="20"/>
        </w:rPr>
        <w:t>(BESIDE)</w:t>
      </w:r>
      <w:r>
        <w:rPr>
          <w:spacing w:val="-3"/>
          <w:sz w:val="20"/>
        </w:rPr>
        <w:t xml:space="preserve"> </w:t>
      </w:r>
      <w:r>
        <w:rPr>
          <w:sz w:val="20"/>
        </w:rPr>
        <w:t>Investment</w:t>
      </w:r>
      <w:r>
        <w:rPr>
          <w:spacing w:val="-3"/>
          <w:sz w:val="20"/>
        </w:rPr>
        <w:t xml:space="preserve"> </w:t>
      </w:r>
      <w:r>
        <w:rPr>
          <w:sz w:val="20"/>
        </w:rPr>
        <w:t>Program,</w:t>
      </w:r>
      <w:r>
        <w:rPr>
          <w:spacing w:val="-2"/>
          <w:sz w:val="20"/>
        </w:rPr>
        <w:t xml:space="preserve"> </w:t>
      </w:r>
      <w:r>
        <w:rPr>
          <w:sz w:val="20"/>
        </w:rPr>
        <w:t>offered</w:t>
      </w:r>
      <w:r>
        <w:rPr>
          <w:spacing w:val="-2"/>
          <w:sz w:val="20"/>
        </w:rPr>
        <w:t xml:space="preserve"> </w:t>
      </w:r>
      <w:r>
        <w:rPr>
          <w:sz w:val="20"/>
        </w:rPr>
        <w:t>by</w:t>
      </w:r>
      <w:r>
        <w:rPr>
          <w:spacing w:val="-2"/>
          <w:sz w:val="20"/>
        </w:rPr>
        <w:t xml:space="preserve"> </w:t>
      </w:r>
      <w:r>
        <w:rPr>
          <w:sz w:val="20"/>
        </w:rPr>
        <w:t>the</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spacing w:before="66" w:line="264" w:lineRule="auto"/>
        <w:ind w:left="5127" w:right="336"/>
        <w:jc w:val="both"/>
        <w:rPr>
          <w:sz w:val="20"/>
        </w:rPr>
      </w:pPr>
      <w:r>
        <w:rPr>
          <w:noProof/>
        </w:rPr>
        <w:lastRenderedPageBreak/>
        <w:drawing>
          <wp:anchor distT="0" distB="0" distL="0" distR="0" simplePos="0" relativeHeight="15780864" behindDoc="0" locked="0" layoutInCell="1" allowOverlap="1">
            <wp:simplePos x="0" y="0"/>
            <wp:positionH relativeFrom="page">
              <wp:posOffset>970294</wp:posOffset>
            </wp:positionH>
            <wp:positionV relativeFrom="paragraph">
              <wp:posOffset>270284</wp:posOffset>
            </wp:positionV>
            <wp:extent cx="2974814" cy="1883385"/>
            <wp:effectExtent l="0" t="0" r="0" b="0"/>
            <wp:wrapNone/>
            <wp:docPr id="81"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90.jpeg"/>
                    <pic:cNvPicPr/>
                  </pic:nvPicPr>
                  <pic:blipFill>
                    <a:blip r:embed="rId417" cstate="print"/>
                    <a:stretch>
                      <a:fillRect/>
                    </a:stretch>
                  </pic:blipFill>
                  <pic:spPr>
                    <a:xfrm>
                      <a:off x="0" y="0"/>
                      <a:ext cx="2974814" cy="1883385"/>
                    </a:xfrm>
                    <a:prstGeom prst="rect">
                      <a:avLst/>
                    </a:prstGeom>
                  </pic:spPr>
                </pic:pic>
              </a:graphicData>
            </a:graphic>
          </wp:anchor>
        </w:drawing>
      </w:r>
      <w:r>
        <w:rPr>
          <w:sz w:val="20"/>
        </w:rPr>
        <w:t xml:space="preserve">Massachusetts Health Policy Commission, seeks to address inequities in maternal health outcomes and improve the care and patient experience of Black birthing people by increasing access to doula </w:t>
      </w:r>
      <w:r>
        <w:rPr>
          <w:spacing w:val="-2"/>
          <w:sz w:val="20"/>
        </w:rPr>
        <w:t>services.</w:t>
      </w:r>
      <w:hyperlink w:anchor="_bookmark505" w:history="1">
        <w:r>
          <w:rPr>
            <w:spacing w:val="-2"/>
            <w:sz w:val="20"/>
            <w:vertAlign w:val="superscript"/>
          </w:rPr>
          <w:t>59</w:t>
        </w:r>
      </w:hyperlink>
    </w:p>
    <w:p w:rsidR="00200FDA" w:rsidRDefault="00200FDA">
      <w:pPr>
        <w:pStyle w:val="BodyText"/>
        <w:spacing w:before="9"/>
        <w:rPr>
          <w:sz w:val="14"/>
        </w:rPr>
      </w:pPr>
    </w:p>
    <w:p w:rsidR="00200FDA" w:rsidRDefault="00F76C4C">
      <w:pPr>
        <w:spacing w:before="59" w:line="264" w:lineRule="auto"/>
        <w:ind w:left="5127" w:right="336"/>
        <w:jc w:val="both"/>
        <w:rPr>
          <w:sz w:val="20"/>
        </w:rPr>
      </w:pPr>
      <w:r>
        <w:rPr>
          <w:sz w:val="20"/>
        </w:rPr>
        <w:t xml:space="preserve">Of the over 400 birth centers in the United States, there is only one community birthing center in Massachusetts. The Commonwealth and the Department of Public Health should work to invest and grant funding for community </w:t>
      </w:r>
      <w:r>
        <w:rPr>
          <w:sz w:val="20"/>
        </w:rPr>
        <w:t>birthing centers, especially LGBTQ-friendly and gender affirming birthing</w:t>
      </w:r>
      <w:r>
        <w:rPr>
          <w:spacing w:val="-7"/>
          <w:sz w:val="20"/>
        </w:rPr>
        <w:t xml:space="preserve"> </w:t>
      </w:r>
      <w:r>
        <w:rPr>
          <w:sz w:val="20"/>
        </w:rPr>
        <w:t>centers.</w:t>
      </w:r>
      <w:r>
        <w:rPr>
          <w:spacing w:val="-7"/>
          <w:sz w:val="20"/>
        </w:rPr>
        <w:t xml:space="preserve"> </w:t>
      </w:r>
      <w:r>
        <w:rPr>
          <w:sz w:val="20"/>
        </w:rPr>
        <w:t>Birthing</w:t>
      </w:r>
      <w:r>
        <w:rPr>
          <w:spacing w:val="-7"/>
          <w:sz w:val="20"/>
        </w:rPr>
        <w:t xml:space="preserve"> </w:t>
      </w:r>
      <w:r>
        <w:rPr>
          <w:sz w:val="20"/>
        </w:rPr>
        <w:t>centers</w:t>
      </w:r>
      <w:r>
        <w:rPr>
          <w:spacing w:val="-6"/>
          <w:sz w:val="20"/>
        </w:rPr>
        <w:t xml:space="preserve"> </w:t>
      </w:r>
      <w:r>
        <w:rPr>
          <w:sz w:val="20"/>
        </w:rPr>
        <w:t>with</w:t>
      </w:r>
      <w:r>
        <w:rPr>
          <w:spacing w:val="-6"/>
          <w:sz w:val="20"/>
        </w:rPr>
        <w:t xml:space="preserve"> </w:t>
      </w:r>
      <w:r>
        <w:rPr>
          <w:sz w:val="20"/>
        </w:rPr>
        <w:t>both</w:t>
      </w:r>
      <w:r>
        <w:rPr>
          <w:spacing w:val="-6"/>
          <w:sz w:val="20"/>
        </w:rPr>
        <w:t xml:space="preserve"> </w:t>
      </w:r>
      <w:r>
        <w:rPr>
          <w:sz w:val="20"/>
        </w:rPr>
        <w:t>midwifery services</w:t>
      </w:r>
      <w:r>
        <w:rPr>
          <w:spacing w:val="64"/>
          <w:w w:val="150"/>
          <w:sz w:val="20"/>
        </w:rPr>
        <w:t xml:space="preserve"> </w:t>
      </w:r>
      <w:r>
        <w:rPr>
          <w:sz w:val="20"/>
        </w:rPr>
        <w:t>and</w:t>
      </w:r>
      <w:r>
        <w:rPr>
          <w:spacing w:val="66"/>
          <w:w w:val="150"/>
          <w:sz w:val="20"/>
        </w:rPr>
        <w:t xml:space="preserve"> </w:t>
      </w:r>
      <w:r>
        <w:rPr>
          <w:sz w:val="20"/>
        </w:rPr>
        <w:t>doula</w:t>
      </w:r>
      <w:r>
        <w:rPr>
          <w:spacing w:val="67"/>
          <w:w w:val="150"/>
          <w:sz w:val="20"/>
        </w:rPr>
        <w:t xml:space="preserve"> </w:t>
      </w:r>
      <w:r>
        <w:rPr>
          <w:sz w:val="20"/>
        </w:rPr>
        <w:t>services</w:t>
      </w:r>
      <w:r>
        <w:rPr>
          <w:spacing w:val="64"/>
          <w:w w:val="150"/>
          <w:sz w:val="20"/>
        </w:rPr>
        <w:t xml:space="preserve"> </w:t>
      </w:r>
      <w:r>
        <w:rPr>
          <w:sz w:val="20"/>
        </w:rPr>
        <w:t>could</w:t>
      </w:r>
      <w:r>
        <w:rPr>
          <w:spacing w:val="66"/>
          <w:w w:val="150"/>
          <w:sz w:val="20"/>
        </w:rPr>
        <w:t xml:space="preserve"> </w:t>
      </w:r>
      <w:r>
        <w:rPr>
          <w:sz w:val="20"/>
        </w:rPr>
        <w:t>create</w:t>
      </w:r>
      <w:r>
        <w:rPr>
          <w:spacing w:val="66"/>
          <w:w w:val="150"/>
          <w:sz w:val="20"/>
        </w:rPr>
        <w:t xml:space="preserve"> </w:t>
      </w:r>
      <w:r>
        <w:rPr>
          <w:spacing w:val="-2"/>
          <w:sz w:val="20"/>
        </w:rPr>
        <w:t>better</w:t>
      </w:r>
    </w:p>
    <w:p w:rsidR="00200FDA" w:rsidRDefault="00F76C4C">
      <w:pPr>
        <w:spacing w:line="264" w:lineRule="auto"/>
        <w:ind w:left="139" w:right="336"/>
        <w:jc w:val="both"/>
        <w:rPr>
          <w:sz w:val="20"/>
        </w:rPr>
      </w:pPr>
      <w:r>
        <w:rPr>
          <w:sz w:val="20"/>
        </w:rPr>
        <w:t>pregnancy outcomes and birthing experiences for LGBTQ youth, especially transgender birthing people who are more</w:t>
      </w:r>
      <w:r>
        <w:rPr>
          <w:spacing w:val="-7"/>
          <w:sz w:val="20"/>
        </w:rPr>
        <w:t xml:space="preserve"> </w:t>
      </w:r>
      <w:r>
        <w:rPr>
          <w:sz w:val="20"/>
        </w:rPr>
        <w:t>likely</w:t>
      </w:r>
      <w:r>
        <w:rPr>
          <w:spacing w:val="-5"/>
          <w:sz w:val="20"/>
        </w:rPr>
        <w:t xml:space="preserve"> </w:t>
      </w:r>
      <w:r>
        <w:rPr>
          <w:sz w:val="20"/>
        </w:rPr>
        <w:t>to</w:t>
      </w:r>
      <w:r>
        <w:rPr>
          <w:spacing w:val="-6"/>
          <w:sz w:val="20"/>
        </w:rPr>
        <w:t xml:space="preserve"> </w:t>
      </w:r>
      <w:r>
        <w:rPr>
          <w:sz w:val="20"/>
        </w:rPr>
        <w:t>choose</w:t>
      </w:r>
      <w:r>
        <w:rPr>
          <w:spacing w:val="-7"/>
          <w:sz w:val="20"/>
        </w:rPr>
        <w:t xml:space="preserve"> </w:t>
      </w:r>
      <w:r>
        <w:rPr>
          <w:sz w:val="20"/>
        </w:rPr>
        <w:t>alternative</w:t>
      </w:r>
      <w:r>
        <w:rPr>
          <w:spacing w:val="-7"/>
          <w:sz w:val="20"/>
        </w:rPr>
        <w:t xml:space="preserve"> </w:t>
      </w:r>
      <w:r>
        <w:rPr>
          <w:sz w:val="20"/>
        </w:rPr>
        <w:t>settings</w:t>
      </w:r>
      <w:r>
        <w:rPr>
          <w:spacing w:val="-7"/>
          <w:sz w:val="20"/>
        </w:rPr>
        <w:t xml:space="preserve"> </w:t>
      </w:r>
      <w:r>
        <w:rPr>
          <w:sz w:val="20"/>
        </w:rPr>
        <w:t>for</w:t>
      </w:r>
      <w:r>
        <w:rPr>
          <w:spacing w:val="-6"/>
          <w:sz w:val="20"/>
        </w:rPr>
        <w:t xml:space="preserve"> </w:t>
      </w:r>
      <w:r>
        <w:rPr>
          <w:sz w:val="20"/>
        </w:rPr>
        <w:t>birthing</w:t>
      </w:r>
      <w:r>
        <w:rPr>
          <w:spacing w:val="-7"/>
          <w:sz w:val="20"/>
        </w:rPr>
        <w:t xml:space="preserve"> </w:t>
      </w:r>
      <w:r>
        <w:rPr>
          <w:sz w:val="20"/>
        </w:rPr>
        <w:t>to</w:t>
      </w:r>
      <w:r>
        <w:rPr>
          <w:spacing w:val="-6"/>
          <w:sz w:val="20"/>
        </w:rPr>
        <w:t xml:space="preserve"> </w:t>
      </w:r>
      <w:r>
        <w:rPr>
          <w:sz w:val="20"/>
        </w:rPr>
        <w:t>avoid</w:t>
      </w:r>
      <w:r>
        <w:rPr>
          <w:spacing w:val="-6"/>
          <w:sz w:val="20"/>
        </w:rPr>
        <w:t xml:space="preserve"> </w:t>
      </w:r>
      <w:r>
        <w:rPr>
          <w:sz w:val="20"/>
        </w:rPr>
        <w:t>harassment</w:t>
      </w:r>
      <w:r>
        <w:rPr>
          <w:spacing w:val="-6"/>
          <w:sz w:val="20"/>
        </w:rPr>
        <w:t xml:space="preserve"> </w:t>
      </w:r>
      <w:r>
        <w:rPr>
          <w:sz w:val="20"/>
        </w:rPr>
        <w:t>and</w:t>
      </w:r>
      <w:r>
        <w:rPr>
          <w:spacing w:val="-6"/>
          <w:sz w:val="20"/>
        </w:rPr>
        <w:t xml:space="preserve"> </w:t>
      </w:r>
      <w:r>
        <w:rPr>
          <w:sz w:val="20"/>
        </w:rPr>
        <w:t>discrimination</w:t>
      </w:r>
      <w:r>
        <w:rPr>
          <w:spacing w:val="-6"/>
          <w:sz w:val="20"/>
        </w:rPr>
        <w:t xml:space="preserve"> </w:t>
      </w:r>
      <w:r>
        <w:rPr>
          <w:sz w:val="20"/>
        </w:rPr>
        <w:t>from</w:t>
      </w:r>
      <w:r>
        <w:rPr>
          <w:spacing w:val="-7"/>
          <w:sz w:val="20"/>
        </w:rPr>
        <w:t xml:space="preserve"> </w:t>
      </w:r>
      <w:r>
        <w:rPr>
          <w:sz w:val="20"/>
        </w:rPr>
        <w:t>medical</w:t>
      </w:r>
      <w:r>
        <w:rPr>
          <w:spacing w:val="-7"/>
          <w:sz w:val="20"/>
        </w:rPr>
        <w:t xml:space="preserve"> </w:t>
      </w:r>
      <w:r>
        <w:rPr>
          <w:sz w:val="20"/>
        </w:rPr>
        <w:t>facilities who may not have effective LG</w:t>
      </w:r>
      <w:r>
        <w:rPr>
          <w:sz w:val="20"/>
        </w:rPr>
        <w:t>BTQ training for healthcare providers.</w:t>
      </w:r>
      <w:hyperlink w:anchor="_bookmark506" w:history="1">
        <w:r>
          <w:rPr>
            <w:sz w:val="20"/>
            <w:vertAlign w:val="superscript"/>
          </w:rPr>
          <w:t>60</w:t>
        </w:r>
      </w:hyperlink>
      <w:r>
        <w:rPr>
          <w:spacing w:val="-3"/>
          <w:sz w:val="20"/>
        </w:rPr>
        <w:t xml:space="preserve"> </w:t>
      </w:r>
      <w:r>
        <w:rPr>
          <w:sz w:val="20"/>
        </w:rPr>
        <w:t>Aside from birthing doulas, abortion doulas and gender doulas can alleviate health inequity outcomes and aid LGBTQ youth with navigating the healthcare system</w:t>
      </w:r>
      <w:r>
        <w:rPr>
          <w:spacing w:val="-11"/>
          <w:sz w:val="20"/>
        </w:rPr>
        <w:t xml:space="preserve"> </w:t>
      </w:r>
      <w:r>
        <w:rPr>
          <w:sz w:val="20"/>
        </w:rPr>
        <w:t>when</w:t>
      </w:r>
      <w:r>
        <w:rPr>
          <w:spacing w:val="-9"/>
          <w:sz w:val="20"/>
        </w:rPr>
        <w:t xml:space="preserve"> </w:t>
      </w:r>
      <w:r>
        <w:rPr>
          <w:sz w:val="20"/>
        </w:rPr>
        <w:t>seeking</w:t>
      </w:r>
      <w:r>
        <w:rPr>
          <w:spacing w:val="-11"/>
          <w:sz w:val="20"/>
        </w:rPr>
        <w:t xml:space="preserve"> </w:t>
      </w:r>
      <w:r>
        <w:rPr>
          <w:sz w:val="20"/>
        </w:rPr>
        <w:t>pregnancy</w:t>
      </w:r>
      <w:r>
        <w:rPr>
          <w:spacing w:val="-9"/>
          <w:sz w:val="20"/>
        </w:rPr>
        <w:t xml:space="preserve"> </w:t>
      </w:r>
      <w:r>
        <w:rPr>
          <w:sz w:val="20"/>
        </w:rPr>
        <w:t>a</w:t>
      </w:r>
      <w:r>
        <w:rPr>
          <w:sz w:val="20"/>
        </w:rPr>
        <w:t>nd</w:t>
      </w:r>
      <w:r>
        <w:rPr>
          <w:spacing w:val="-9"/>
          <w:sz w:val="20"/>
        </w:rPr>
        <w:t xml:space="preserve"> </w:t>
      </w:r>
      <w:r>
        <w:rPr>
          <w:sz w:val="20"/>
        </w:rPr>
        <w:t>gynecological</w:t>
      </w:r>
      <w:r>
        <w:rPr>
          <w:spacing w:val="-10"/>
          <w:sz w:val="20"/>
        </w:rPr>
        <w:t xml:space="preserve"> </w:t>
      </w:r>
      <w:r>
        <w:rPr>
          <w:sz w:val="20"/>
        </w:rPr>
        <w:t>healthcare.</w:t>
      </w:r>
      <w:r>
        <w:rPr>
          <w:spacing w:val="-10"/>
          <w:sz w:val="20"/>
        </w:rPr>
        <w:t xml:space="preserve"> </w:t>
      </w:r>
      <w:r>
        <w:rPr>
          <w:sz w:val="20"/>
        </w:rPr>
        <w:t>The</w:t>
      </w:r>
      <w:r>
        <w:rPr>
          <w:spacing w:val="-9"/>
          <w:sz w:val="20"/>
        </w:rPr>
        <w:t xml:space="preserve"> </w:t>
      </w:r>
      <w:r>
        <w:rPr>
          <w:sz w:val="20"/>
        </w:rPr>
        <w:t>MA</w:t>
      </w:r>
      <w:r>
        <w:rPr>
          <w:spacing w:val="-10"/>
          <w:sz w:val="20"/>
        </w:rPr>
        <w:t xml:space="preserve"> </w:t>
      </w:r>
      <w:r>
        <w:rPr>
          <w:sz w:val="20"/>
        </w:rPr>
        <w:t>Department</w:t>
      </w:r>
      <w:r>
        <w:rPr>
          <w:spacing w:val="-10"/>
          <w:sz w:val="20"/>
        </w:rPr>
        <w:t xml:space="preserve"> </w:t>
      </w:r>
      <w:r>
        <w:rPr>
          <w:sz w:val="20"/>
        </w:rPr>
        <w:t>of</w:t>
      </w:r>
      <w:r>
        <w:rPr>
          <w:spacing w:val="-11"/>
          <w:sz w:val="20"/>
        </w:rPr>
        <w:t xml:space="preserve"> </w:t>
      </w:r>
      <w:r>
        <w:rPr>
          <w:sz w:val="20"/>
        </w:rPr>
        <w:t>Public</w:t>
      </w:r>
      <w:r>
        <w:rPr>
          <w:spacing w:val="-10"/>
          <w:sz w:val="20"/>
        </w:rPr>
        <w:t xml:space="preserve"> </w:t>
      </w:r>
      <w:r>
        <w:rPr>
          <w:sz w:val="20"/>
        </w:rPr>
        <w:t>Health</w:t>
      </w:r>
      <w:r>
        <w:rPr>
          <w:spacing w:val="-9"/>
          <w:sz w:val="20"/>
        </w:rPr>
        <w:t xml:space="preserve"> </w:t>
      </w:r>
      <w:r>
        <w:rPr>
          <w:sz w:val="20"/>
        </w:rPr>
        <w:t>should</w:t>
      </w:r>
      <w:r>
        <w:rPr>
          <w:spacing w:val="-9"/>
          <w:sz w:val="20"/>
        </w:rPr>
        <w:t xml:space="preserve"> </w:t>
      </w:r>
      <w:r>
        <w:rPr>
          <w:sz w:val="20"/>
        </w:rPr>
        <w:t>consider implementing pilot programs for gender doulas that can provide guidance and support for LGBTQ youth seeking gynecological healthcare, thus reducing gender dysphoria.</w:t>
      </w:r>
    </w:p>
    <w:p w:rsidR="00200FDA" w:rsidRDefault="00200FDA">
      <w:pPr>
        <w:pStyle w:val="BodyText"/>
        <w:rPr>
          <w:sz w:val="20"/>
        </w:rPr>
      </w:pPr>
    </w:p>
    <w:p w:rsidR="00200FDA" w:rsidRDefault="00F76C4C">
      <w:pPr>
        <w:pStyle w:val="Heading8"/>
        <w:spacing w:before="158"/>
      </w:pPr>
      <w:bookmarkStart w:id="591" w:name="Maternity_Leave"/>
      <w:bookmarkEnd w:id="591"/>
      <w:r>
        <w:rPr>
          <w:color w:val="2E5395"/>
        </w:rPr>
        <w:t>Maternity</w:t>
      </w:r>
      <w:r>
        <w:rPr>
          <w:color w:val="2E5395"/>
          <w:spacing w:val="-2"/>
        </w:rPr>
        <w:t xml:space="preserve"> Leave</w:t>
      </w:r>
    </w:p>
    <w:p w:rsidR="00200FDA" w:rsidRDefault="00200FDA">
      <w:pPr>
        <w:pStyle w:val="BodyText"/>
        <w:spacing w:before="10"/>
        <w:rPr>
          <w:sz w:val="19"/>
        </w:rPr>
      </w:pPr>
    </w:p>
    <w:p w:rsidR="00200FDA" w:rsidRDefault="00F76C4C">
      <w:pPr>
        <w:spacing w:line="264" w:lineRule="auto"/>
        <w:ind w:left="140" w:right="339"/>
        <w:jc w:val="both"/>
        <w:rPr>
          <w:sz w:val="20"/>
        </w:rPr>
      </w:pPr>
      <w:r>
        <w:rPr>
          <w:sz w:val="20"/>
        </w:rPr>
        <w:t>The</w:t>
      </w:r>
      <w:r>
        <w:rPr>
          <w:spacing w:val="-11"/>
          <w:sz w:val="20"/>
        </w:rPr>
        <w:t xml:space="preserve"> </w:t>
      </w:r>
      <w:r>
        <w:rPr>
          <w:sz w:val="20"/>
        </w:rPr>
        <w:t>United</w:t>
      </w:r>
      <w:r>
        <w:rPr>
          <w:spacing w:val="-9"/>
          <w:sz w:val="20"/>
        </w:rPr>
        <w:t xml:space="preserve"> </w:t>
      </w:r>
      <w:r>
        <w:rPr>
          <w:sz w:val="20"/>
        </w:rPr>
        <w:t>States</w:t>
      </w:r>
      <w:r>
        <w:rPr>
          <w:spacing w:val="-11"/>
          <w:sz w:val="20"/>
        </w:rPr>
        <w:t xml:space="preserve"> </w:t>
      </w:r>
      <w:r>
        <w:rPr>
          <w:sz w:val="20"/>
        </w:rPr>
        <w:t>is</w:t>
      </w:r>
      <w:r>
        <w:rPr>
          <w:spacing w:val="-11"/>
          <w:sz w:val="20"/>
        </w:rPr>
        <w:t xml:space="preserve"> </w:t>
      </w:r>
      <w:r>
        <w:rPr>
          <w:sz w:val="20"/>
        </w:rPr>
        <w:t>one</w:t>
      </w:r>
      <w:r>
        <w:rPr>
          <w:spacing w:val="-11"/>
          <w:sz w:val="20"/>
        </w:rPr>
        <w:t xml:space="preserve"> </w:t>
      </w:r>
      <w:r>
        <w:rPr>
          <w:sz w:val="20"/>
        </w:rPr>
        <w:t>of</w:t>
      </w:r>
      <w:r>
        <w:rPr>
          <w:spacing w:val="-11"/>
          <w:sz w:val="20"/>
        </w:rPr>
        <w:t xml:space="preserve"> </w:t>
      </w:r>
      <w:r>
        <w:rPr>
          <w:sz w:val="20"/>
        </w:rPr>
        <w:t>the</w:t>
      </w:r>
      <w:r>
        <w:rPr>
          <w:spacing w:val="-9"/>
          <w:sz w:val="20"/>
        </w:rPr>
        <w:t xml:space="preserve"> </w:t>
      </w:r>
      <w:r>
        <w:rPr>
          <w:sz w:val="20"/>
        </w:rPr>
        <w:t>only</w:t>
      </w:r>
      <w:r>
        <w:rPr>
          <w:spacing w:val="-9"/>
          <w:sz w:val="20"/>
        </w:rPr>
        <w:t xml:space="preserve"> </w:t>
      </w:r>
      <w:r>
        <w:rPr>
          <w:sz w:val="20"/>
        </w:rPr>
        <w:t>industrialized</w:t>
      </w:r>
      <w:r>
        <w:rPr>
          <w:spacing w:val="-9"/>
          <w:sz w:val="20"/>
        </w:rPr>
        <w:t xml:space="preserve"> </w:t>
      </w:r>
      <w:r>
        <w:rPr>
          <w:sz w:val="20"/>
        </w:rPr>
        <w:t>nations</w:t>
      </w:r>
      <w:r>
        <w:rPr>
          <w:spacing w:val="-11"/>
          <w:sz w:val="20"/>
        </w:rPr>
        <w:t xml:space="preserve"> </w:t>
      </w:r>
      <w:r>
        <w:rPr>
          <w:sz w:val="20"/>
        </w:rPr>
        <w:t>without</w:t>
      </w:r>
      <w:r>
        <w:rPr>
          <w:spacing w:val="-10"/>
          <w:sz w:val="20"/>
        </w:rPr>
        <w:t xml:space="preserve"> </w:t>
      </w:r>
      <w:r>
        <w:rPr>
          <w:sz w:val="20"/>
        </w:rPr>
        <w:t>federally</w:t>
      </w:r>
      <w:r>
        <w:rPr>
          <w:spacing w:val="-9"/>
          <w:sz w:val="20"/>
        </w:rPr>
        <w:t xml:space="preserve"> </w:t>
      </w:r>
      <w:r>
        <w:rPr>
          <w:sz w:val="20"/>
        </w:rPr>
        <w:t>paid</w:t>
      </w:r>
      <w:r>
        <w:rPr>
          <w:spacing w:val="-9"/>
          <w:sz w:val="20"/>
        </w:rPr>
        <w:t xml:space="preserve"> </w:t>
      </w:r>
      <w:r>
        <w:rPr>
          <w:sz w:val="20"/>
        </w:rPr>
        <w:t>maternity</w:t>
      </w:r>
      <w:r>
        <w:rPr>
          <w:spacing w:val="-9"/>
          <w:sz w:val="20"/>
        </w:rPr>
        <w:t xml:space="preserve"> </w:t>
      </w:r>
      <w:r>
        <w:rPr>
          <w:sz w:val="20"/>
        </w:rPr>
        <w:t>leave.</w:t>
      </w:r>
      <w:r>
        <w:rPr>
          <w:spacing w:val="-10"/>
          <w:sz w:val="20"/>
        </w:rPr>
        <w:t xml:space="preserve"> </w:t>
      </w:r>
      <w:r>
        <w:rPr>
          <w:sz w:val="20"/>
        </w:rPr>
        <w:t>Compared</w:t>
      </w:r>
      <w:r>
        <w:rPr>
          <w:spacing w:val="-9"/>
          <w:sz w:val="20"/>
        </w:rPr>
        <w:t xml:space="preserve"> </w:t>
      </w:r>
      <w:r>
        <w:rPr>
          <w:sz w:val="20"/>
        </w:rPr>
        <w:t>to</w:t>
      </w:r>
      <w:r>
        <w:rPr>
          <w:spacing w:val="-10"/>
          <w:sz w:val="20"/>
        </w:rPr>
        <w:t xml:space="preserve"> </w:t>
      </w:r>
      <w:r>
        <w:rPr>
          <w:sz w:val="20"/>
        </w:rPr>
        <w:t>other countries, the U.S. offers unpaid, job-protected leave for only 12 weeks</w:t>
      </w:r>
      <w:r>
        <w:rPr>
          <w:spacing w:val="-1"/>
          <w:sz w:val="20"/>
        </w:rPr>
        <w:t xml:space="preserve"> </w:t>
      </w:r>
      <w:r>
        <w:rPr>
          <w:sz w:val="20"/>
        </w:rPr>
        <w:t>through the</w:t>
      </w:r>
      <w:r>
        <w:rPr>
          <w:spacing w:val="-1"/>
          <w:sz w:val="20"/>
        </w:rPr>
        <w:t xml:space="preserve"> </w:t>
      </w:r>
      <w:r>
        <w:rPr>
          <w:sz w:val="20"/>
        </w:rPr>
        <w:t>Family and Medical Leave Act. A number of states, including Massachusetts, have their own paid family and parental leave programs. The Paid Family and Medical Leave (PFML) program in Massachusetts is a program different from the Family and Medical Leave</w:t>
      </w:r>
      <w:r>
        <w:rPr>
          <w:spacing w:val="-9"/>
          <w:sz w:val="20"/>
        </w:rPr>
        <w:t xml:space="preserve"> </w:t>
      </w:r>
      <w:r>
        <w:rPr>
          <w:sz w:val="20"/>
        </w:rPr>
        <w:t>Ac</w:t>
      </w:r>
      <w:r>
        <w:rPr>
          <w:sz w:val="20"/>
        </w:rPr>
        <w:t>t</w:t>
      </w:r>
      <w:r>
        <w:rPr>
          <w:spacing w:val="-7"/>
          <w:sz w:val="20"/>
        </w:rPr>
        <w:t xml:space="preserve"> </w:t>
      </w:r>
      <w:r>
        <w:rPr>
          <w:sz w:val="20"/>
        </w:rPr>
        <w:t>and</w:t>
      </w:r>
      <w:r>
        <w:rPr>
          <w:spacing w:val="-7"/>
          <w:sz w:val="20"/>
        </w:rPr>
        <w:t xml:space="preserve"> </w:t>
      </w:r>
      <w:r>
        <w:rPr>
          <w:sz w:val="20"/>
        </w:rPr>
        <w:t>is</w:t>
      </w:r>
      <w:r>
        <w:rPr>
          <w:spacing w:val="-9"/>
          <w:sz w:val="20"/>
        </w:rPr>
        <w:t xml:space="preserve"> </w:t>
      </w:r>
      <w:r>
        <w:rPr>
          <w:sz w:val="20"/>
        </w:rPr>
        <w:t>funded</w:t>
      </w:r>
      <w:r>
        <w:rPr>
          <w:spacing w:val="-7"/>
          <w:sz w:val="20"/>
        </w:rPr>
        <w:t xml:space="preserve"> </w:t>
      </w:r>
      <w:r>
        <w:rPr>
          <w:sz w:val="20"/>
        </w:rPr>
        <w:t>through</w:t>
      </w:r>
      <w:r>
        <w:rPr>
          <w:spacing w:val="-7"/>
          <w:sz w:val="20"/>
        </w:rPr>
        <w:t xml:space="preserve"> </w:t>
      </w:r>
      <w:r>
        <w:rPr>
          <w:sz w:val="20"/>
        </w:rPr>
        <w:t>employer</w:t>
      </w:r>
      <w:r>
        <w:rPr>
          <w:spacing w:val="-5"/>
          <w:sz w:val="20"/>
        </w:rPr>
        <w:t xml:space="preserve"> </w:t>
      </w:r>
      <w:r>
        <w:rPr>
          <w:sz w:val="20"/>
        </w:rPr>
        <w:t>and</w:t>
      </w:r>
      <w:r>
        <w:rPr>
          <w:spacing w:val="-7"/>
          <w:sz w:val="20"/>
        </w:rPr>
        <w:t xml:space="preserve"> </w:t>
      </w:r>
      <w:r>
        <w:rPr>
          <w:sz w:val="20"/>
        </w:rPr>
        <w:t>employee</w:t>
      </w:r>
      <w:r>
        <w:rPr>
          <w:spacing w:val="-9"/>
          <w:sz w:val="20"/>
        </w:rPr>
        <w:t xml:space="preserve"> </w:t>
      </w:r>
      <w:r>
        <w:rPr>
          <w:sz w:val="20"/>
        </w:rPr>
        <w:t>contributions.</w:t>
      </w:r>
      <w:r>
        <w:rPr>
          <w:spacing w:val="-8"/>
          <w:sz w:val="20"/>
        </w:rPr>
        <w:t xml:space="preserve"> </w:t>
      </w:r>
      <w:r>
        <w:rPr>
          <w:sz w:val="20"/>
        </w:rPr>
        <w:t>Most</w:t>
      </w:r>
      <w:r>
        <w:rPr>
          <w:spacing w:val="-7"/>
          <w:sz w:val="20"/>
        </w:rPr>
        <w:t xml:space="preserve"> </w:t>
      </w:r>
      <w:r>
        <w:rPr>
          <w:sz w:val="20"/>
        </w:rPr>
        <w:t>Massachusetts</w:t>
      </w:r>
      <w:r>
        <w:rPr>
          <w:spacing w:val="-9"/>
          <w:sz w:val="20"/>
        </w:rPr>
        <w:t xml:space="preserve"> </w:t>
      </w:r>
      <w:r>
        <w:rPr>
          <w:sz w:val="20"/>
        </w:rPr>
        <w:t>employees</w:t>
      </w:r>
      <w:r>
        <w:rPr>
          <w:spacing w:val="-9"/>
          <w:sz w:val="20"/>
        </w:rPr>
        <w:t xml:space="preserve"> </w:t>
      </w:r>
      <w:r>
        <w:rPr>
          <w:sz w:val="20"/>
        </w:rPr>
        <w:t>are</w:t>
      </w:r>
      <w:r>
        <w:rPr>
          <w:spacing w:val="-6"/>
          <w:sz w:val="20"/>
        </w:rPr>
        <w:t xml:space="preserve"> </w:t>
      </w:r>
      <w:r>
        <w:rPr>
          <w:sz w:val="20"/>
        </w:rPr>
        <w:t>eligible for up to 26 weeks of combined family and medical leave per benefit year.</w:t>
      </w:r>
    </w:p>
    <w:p w:rsidR="00200FDA" w:rsidRDefault="00200FDA">
      <w:pPr>
        <w:pStyle w:val="BodyText"/>
        <w:rPr>
          <w:sz w:val="20"/>
        </w:rPr>
      </w:pPr>
    </w:p>
    <w:p w:rsidR="00200FDA" w:rsidRDefault="00200FDA">
      <w:pPr>
        <w:pStyle w:val="BodyText"/>
        <w:spacing w:before="10"/>
        <w:rPr>
          <w:sz w:val="20"/>
        </w:rPr>
      </w:pPr>
    </w:p>
    <w:p w:rsidR="00200FDA" w:rsidRDefault="00F76C4C">
      <w:pPr>
        <w:pStyle w:val="Heading8"/>
        <w:spacing w:before="1"/>
      </w:pPr>
      <w:bookmarkStart w:id="592" w:name="Abortion_Access"/>
      <w:bookmarkEnd w:id="592"/>
      <w:r>
        <w:rPr>
          <w:color w:val="2E5395"/>
        </w:rPr>
        <w:t>Abortion</w:t>
      </w:r>
      <w:r>
        <w:rPr>
          <w:color w:val="2E5395"/>
          <w:spacing w:val="-2"/>
        </w:rPr>
        <w:t xml:space="preserve"> Access</w:t>
      </w:r>
    </w:p>
    <w:p w:rsidR="00200FDA" w:rsidRDefault="00200FDA">
      <w:pPr>
        <w:pStyle w:val="BodyText"/>
        <w:spacing w:before="9"/>
        <w:rPr>
          <w:sz w:val="19"/>
        </w:rPr>
      </w:pPr>
    </w:p>
    <w:p w:rsidR="00200FDA" w:rsidRDefault="00F76C4C">
      <w:pPr>
        <w:spacing w:before="1" w:line="264" w:lineRule="auto"/>
        <w:ind w:left="139" w:right="335"/>
        <w:jc w:val="both"/>
        <w:rPr>
          <w:sz w:val="20"/>
        </w:rPr>
      </w:pPr>
      <w:r>
        <w:rPr>
          <w:sz w:val="20"/>
        </w:rPr>
        <w:t>In the United States alone, there are over 600,000 abortions performed annually.</w:t>
      </w:r>
      <w:hyperlink w:anchor="_bookmark507" w:history="1">
        <w:r>
          <w:rPr>
            <w:sz w:val="20"/>
            <w:vertAlign w:val="superscript"/>
          </w:rPr>
          <w:t>61</w:t>
        </w:r>
      </w:hyperlink>
      <w:r>
        <w:rPr>
          <w:spacing w:val="-2"/>
          <w:sz w:val="20"/>
        </w:rPr>
        <w:t xml:space="preserve"> </w:t>
      </w:r>
      <w:r>
        <w:rPr>
          <w:sz w:val="20"/>
        </w:rPr>
        <w:t>Despite the fact that abortions are quite common and a necessary healthcare procedure, abortion inaccessibility in the United States</w:t>
      </w:r>
      <w:r>
        <w:rPr>
          <w:spacing w:val="-1"/>
          <w:sz w:val="20"/>
        </w:rPr>
        <w:t xml:space="preserve"> </w:t>
      </w:r>
      <w:r>
        <w:rPr>
          <w:sz w:val="20"/>
        </w:rPr>
        <w:t>continue</w:t>
      </w:r>
      <w:r>
        <w:rPr>
          <w:sz w:val="20"/>
        </w:rPr>
        <w:t>s</w:t>
      </w:r>
      <w:r>
        <w:rPr>
          <w:spacing w:val="-1"/>
          <w:sz w:val="20"/>
        </w:rPr>
        <w:t xml:space="preserve"> </w:t>
      </w:r>
      <w:r>
        <w:rPr>
          <w:sz w:val="20"/>
        </w:rPr>
        <w:t xml:space="preserve">to grow. The recent overturn of </w:t>
      </w:r>
      <w:r>
        <w:rPr>
          <w:i/>
          <w:sz w:val="20"/>
        </w:rPr>
        <w:t xml:space="preserve">Roe v. Wade </w:t>
      </w:r>
      <w:r>
        <w:rPr>
          <w:sz w:val="20"/>
        </w:rPr>
        <w:t>has</w:t>
      </w:r>
      <w:r>
        <w:rPr>
          <w:spacing w:val="-1"/>
          <w:sz w:val="20"/>
        </w:rPr>
        <w:t xml:space="preserve"> </w:t>
      </w:r>
      <w:r>
        <w:rPr>
          <w:sz w:val="20"/>
        </w:rPr>
        <w:t>sparked uncertainty around the</w:t>
      </w:r>
      <w:r>
        <w:rPr>
          <w:spacing w:val="-1"/>
          <w:sz w:val="20"/>
        </w:rPr>
        <w:t xml:space="preserve"> </w:t>
      </w:r>
      <w:r>
        <w:rPr>
          <w:sz w:val="20"/>
        </w:rPr>
        <w:t>future of abortion access</w:t>
      </w:r>
      <w:r>
        <w:rPr>
          <w:spacing w:val="-1"/>
          <w:sz w:val="20"/>
        </w:rPr>
        <w:t xml:space="preserve"> </w:t>
      </w:r>
      <w:r>
        <w:rPr>
          <w:sz w:val="20"/>
        </w:rPr>
        <w:t>across</w:t>
      </w:r>
      <w:r>
        <w:rPr>
          <w:spacing w:val="-1"/>
          <w:sz w:val="20"/>
        </w:rPr>
        <w:t xml:space="preserve"> </w:t>
      </w:r>
      <w:r>
        <w:rPr>
          <w:sz w:val="20"/>
        </w:rPr>
        <w:t>the country, particularly in states with strong anti-abortion views. In the United States, 13 states – Arkansas, Idaho, Kentucky, Louisiana, M</w:t>
      </w:r>
      <w:r>
        <w:rPr>
          <w:sz w:val="20"/>
        </w:rPr>
        <w:t xml:space="preserve">ississippi, Missouri, North Dakota, Oklahoma, South Dakota, Tennessee, Texas, Utah, and Wyoming-- have implemented trigger bans, which are laws that would automatically ban abortion after a </w:t>
      </w:r>
      <w:r>
        <w:rPr>
          <w:i/>
          <w:sz w:val="20"/>
        </w:rPr>
        <w:t xml:space="preserve">Roe v. Wade </w:t>
      </w:r>
      <w:r>
        <w:rPr>
          <w:sz w:val="20"/>
        </w:rPr>
        <w:t>overturn.</w:t>
      </w:r>
      <w:hyperlink w:anchor="_bookmark508" w:history="1">
        <w:r>
          <w:rPr>
            <w:sz w:val="20"/>
            <w:vertAlign w:val="superscript"/>
          </w:rPr>
          <w:t>62</w:t>
        </w:r>
      </w:hyperlink>
    </w:p>
    <w:p w:rsidR="00200FDA" w:rsidRDefault="00200FDA">
      <w:pPr>
        <w:pStyle w:val="BodyText"/>
        <w:spacing w:before="9"/>
        <w:rPr>
          <w:sz w:val="19"/>
        </w:rPr>
      </w:pPr>
    </w:p>
    <w:p w:rsidR="00200FDA" w:rsidRDefault="00F76C4C">
      <w:pPr>
        <w:spacing w:line="264" w:lineRule="auto"/>
        <w:ind w:left="139" w:right="338"/>
        <w:jc w:val="both"/>
        <w:rPr>
          <w:sz w:val="20"/>
        </w:rPr>
      </w:pPr>
      <w:r>
        <w:rPr>
          <w:sz w:val="20"/>
        </w:rPr>
        <w:t xml:space="preserve">In 2017, </w:t>
      </w:r>
      <w:r>
        <w:rPr>
          <w:sz w:val="20"/>
        </w:rPr>
        <w:t>18,850 abortions were provided in Massachusetts, though some of the abortions were not performed for Massachusetts residents but for out-of-state individuals. It’s possible that some people in Massachusetts traveled to</w:t>
      </w:r>
      <w:r>
        <w:rPr>
          <w:spacing w:val="-12"/>
          <w:sz w:val="20"/>
        </w:rPr>
        <w:t xml:space="preserve"> </w:t>
      </w:r>
      <w:r>
        <w:rPr>
          <w:sz w:val="20"/>
        </w:rPr>
        <w:t>other</w:t>
      </w:r>
      <w:r>
        <w:rPr>
          <w:spacing w:val="-11"/>
          <w:sz w:val="20"/>
        </w:rPr>
        <w:t xml:space="preserve"> </w:t>
      </w:r>
      <w:r>
        <w:rPr>
          <w:sz w:val="20"/>
        </w:rPr>
        <w:t>states</w:t>
      </w:r>
      <w:r>
        <w:rPr>
          <w:spacing w:val="-11"/>
          <w:sz w:val="20"/>
        </w:rPr>
        <w:t xml:space="preserve"> </w:t>
      </w:r>
      <w:r>
        <w:rPr>
          <w:sz w:val="20"/>
        </w:rPr>
        <w:t>to</w:t>
      </w:r>
      <w:r>
        <w:rPr>
          <w:spacing w:val="-9"/>
          <w:sz w:val="20"/>
        </w:rPr>
        <w:t xml:space="preserve"> </w:t>
      </w:r>
      <w:r>
        <w:rPr>
          <w:sz w:val="20"/>
        </w:rPr>
        <w:t>get</w:t>
      </w:r>
      <w:r>
        <w:rPr>
          <w:spacing w:val="-9"/>
          <w:sz w:val="20"/>
        </w:rPr>
        <w:t xml:space="preserve"> </w:t>
      </w:r>
      <w:r>
        <w:rPr>
          <w:sz w:val="20"/>
        </w:rPr>
        <w:t>an</w:t>
      </w:r>
      <w:r>
        <w:rPr>
          <w:spacing w:val="-11"/>
          <w:sz w:val="20"/>
        </w:rPr>
        <w:t xml:space="preserve"> </w:t>
      </w:r>
      <w:r>
        <w:rPr>
          <w:sz w:val="20"/>
        </w:rPr>
        <w:t>abortion.</w:t>
      </w:r>
      <w:r>
        <w:rPr>
          <w:spacing w:val="-12"/>
          <w:sz w:val="20"/>
        </w:rPr>
        <w:t xml:space="preserve"> </w:t>
      </w:r>
      <w:r>
        <w:rPr>
          <w:sz w:val="20"/>
        </w:rPr>
        <w:t>In</w:t>
      </w:r>
      <w:r>
        <w:rPr>
          <w:spacing w:val="-10"/>
          <w:sz w:val="20"/>
        </w:rPr>
        <w:t xml:space="preserve"> </w:t>
      </w:r>
      <w:r>
        <w:rPr>
          <w:sz w:val="20"/>
        </w:rPr>
        <w:t>2017,</w:t>
      </w:r>
      <w:r>
        <w:rPr>
          <w:spacing w:val="-9"/>
          <w:sz w:val="20"/>
        </w:rPr>
        <w:t xml:space="preserve"> </w:t>
      </w:r>
      <w:r>
        <w:rPr>
          <w:sz w:val="20"/>
        </w:rPr>
        <w:t>some</w:t>
      </w:r>
      <w:r>
        <w:rPr>
          <w:spacing w:val="-12"/>
          <w:sz w:val="20"/>
        </w:rPr>
        <w:t xml:space="preserve"> </w:t>
      </w:r>
      <w:r>
        <w:rPr>
          <w:sz w:val="20"/>
        </w:rPr>
        <w:t>43%</w:t>
      </w:r>
      <w:r>
        <w:rPr>
          <w:spacing w:val="-9"/>
          <w:sz w:val="20"/>
        </w:rPr>
        <w:t xml:space="preserve"> </w:t>
      </w:r>
      <w:r>
        <w:rPr>
          <w:sz w:val="20"/>
        </w:rPr>
        <w:t>of</w:t>
      </w:r>
      <w:r>
        <w:rPr>
          <w:spacing w:val="-12"/>
          <w:sz w:val="20"/>
        </w:rPr>
        <w:t xml:space="preserve"> </w:t>
      </w:r>
      <w:r>
        <w:rPr>
          <w:sz w:val="20"/>
        </w:rPr>
        <w:t>Massachusetts</w:t>
      </w:r>
      <w:r>
        <w:rPr>
          <w:spacing w:val="-11"/>
          <w:sz w:val="20"/>
        </w:rPr>
        <w:t xml:space="preserve"> </w:t>
      </w:r>
      <w:r>
        <w:rPr>
          <w:sz w:val="20"/>
        </w:rPr>
        <w:t>counties</w:t>
      </w:r>
      <w:r>
        <w:rPr>
          <w:spacing w:val="-11"/>
          <w:sz w:val="20"/>
        </w:rPr>
        <w:t xml:space="preserve"> </w:t>
      </w:r>
      <w:r>
        <w:rPr>
          <w:sz w:val="20"/>
        </w:rPr>
        <w:t>had</w:t>
      </w:r>
      <w:r>
        <w:rPr>
          <w:spacing w:val="-11"/>
          <w:sz w:val="20"/>
        </w:rPr>
        <w:t xml:space="preserve"> </w:t>
      </w:r>
      <w:r>
        <w:rPr>
          <w:sz w:val="20"/>
        </w:rPr>
        <w:t>no</w:t>
      </w:r>
      <w:r>
        <w:rPr>
          <w:spacing w:val="-11"/>
          <w:sz w:val="20"/>
        </w:rPr>
        <w:t xml:space="preserve"> </w:t>
      </w:r>
      <w:r>
        <w:rPr>
          <w:sz w:val="20"/>
        </w:rPr>
        <w:t>clinics</w:t>
      </w:r>
      <w:r>
        <w:rPr>
          <w:spacing w:val="-12"/>
          <w:sz w:val="20"/>
        </w:rPr>
        <w:t xml:space="preserve"> </w:t>
      </w:r>
      <w:r>
        <w:rPr>
          <w:sz w:val="20"/>
        </w:rPr>
        <w:t>that</w:t>
      </w:r>
      <w:r>
        <w:rPr>
          <w:spacing w:val="-10"/>
          <w:sz w:val="20"/>
        </w:rPr>
        <w:t xml:space="preserve"> </w:t>
      </w:r>
      <w:r>
        <w:rPr>
          <w:sz w:val="20"/>
        </w:rPr>
        <w:t>provide</w:t>
      </w:r>
      <w:r>
        <w:rPr>
          <w:spacing w:val="-12"/>
          <w:sz w:val="20"/>
        </w:rPr>
        <w:t xml:space="preserve"> </w:t>
      </w:r>
      <w:r>
        <w:rPr>
          <w:sz w:val="20"/>
        </w:rPr>
        <w:t>abortion, and 13% of Massachusetts women live in those counties. It should be noted that the statistics mentioned may not cover birthing people across the gender spectrum.</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spacing w:before="66" w:line="264" w:lineRule="auto"/>
        <w:ind w:left="140" w:right="335"/>
        <w:jc w:val="both"/>
        <w:rPr>
          <w:sz w:val="20"/>
        </w:rPr>
      </w:pPr>
      <w:r>
        <w:rPr>
          <w:sz w:val="20"/>
        </w:rPr>
        <w:lastRenderedPageBreak/>
        <w:t>I</w:t>
      </w:r>
      <w:r>
        <w:rPr>
          <w:sz w:val="20"/>
        </w:rPr>
        <w:t xml:space="preserve">n Massachusetts, abortion is legal at 24 weeks but may be performed past 24 weeks or more in cases where the pregnant person’s life is determined to be endangered or there is a lethal fetal anomaly. Although the Hyde Amendment prevents Medicaid from using </w:t>
      </w:r>
      <w:r>
        <w:rPr>
          <w:sz w:val="20"/>
        </w:rPr>
        <w:t>federal funding to cover abortion services, Massachusetts is one of the 33 states that use state funding to cover abortion services for MassHealth beneficiaries.</w:t>
      </w:r>
      <w:hyperlink w:anchor="_bookmark509" w:history="1">
        <w:r>
          <w:rPr>
            <w:sz w:val="20"/>
            <w:vertAlign w:val="superscript"/>
          </w:rPr>
          <w:t>63</w:t>
        </w:r>
      </w:hyperlink>
    </w:p>
    <w:p w:rsidR="00200FDA" w:rsidRDefault="00200FDA">
      <w:pPr>
        <w:pStyle w:val="BodyText"/>
        <w:spacing w:before="6"/>
        <w:rPr>
          <w:sz w:val="19"/>
        </w:rPr>
      </w:pPr>
    </w:p>
    <w:p w:rsidR="00200FDA" w:rsidRDefault="00F76C4C">
      <w:pPr>
        <w:spacing w:before="1" w:line="264" w:lineRule="auto"/>
        <w:ind w:left="139" w:right="336"/>
        <w:jc w:val="both"/>
        <w:rPr>
          <w:sz w:val="20"/>
        </w:rPr>
      </w:pPr>
      <w:r>
        <w:rPr>
          <w:sz w:val="20"/>
        </w:rPr>
        <w:t>The ROE Act (S.1209) was codified into law by the Massachus</w:t>
      </w:r>
      <w:r>
        <w:rPr>
          <w:sz w:val="20"/>
        </w:rPr>
        <w:t xml:space="preserve">etts legislature, expanding abortion access in the Commonwealth after the Senate overrode Governor Baker’s veto. Despite Governor Baker’s veto of the ROE Act, Baker had signed an executive order after </w:t>
      </w:r>
      <w:r>
        <w:rPr>
          <w:i/>
          <w:sz w:val="20"/>
        </w:rPr>
        <w:t xml:space="preserve">Roe v. Wade </w:t>
      </w:r>
      <w:r>
        <w:rPr>
          <w:sz w:val="20"/>
        </w:rPr>
        <w:t xml:space="preserve">was overturned, preventing criminal action </w:t>
      </w:r>
      <w:r>
        <w:rPr>
          <w:sz w:val="20"/>
        </w:rPr>
        <w:t>against out-of- state individuals seeking abortion care in Massachusetts.</w:t>
      </w:r>
    </w:p>
    <w:p w:rsidR="00200FDA" w:rsidRDefault="00200FDA">
      <w:pPr>
        <w:pStyle w:val="BodyText"/>
        <w:spacing w:before="9"/>
        <w:rPr>
          <w:sz w:val="19"/>
        </w:rPr>
      </w:pPr>
    </w:p>
    <w:p w:rsidR="00200FDA" w:rsidRDefault="00F76C4C">
      <w:pPr>
        <w:spacing w:line="264" w:lineRule="auto"/>
        <w:ind w:left="139" w:right="335" w:hanging="1"/>
        <w:jc w:val="both"/>
        <w:rPr>
          <w:sz w:val="20"/>
        </w:rPr>
      </w:pPr>
      <w:r>
        <w:rPr>
          <w:noProof/>
        </w:rPr>
        <w:drawing>
          <wp:anchor distT="0" distB="0" distL="0" distR="0" simplePos="0" relativeHeight="15781376" behindDoc="0" locked="0" layoutInCell="1" allowOverlap="1">
            <wp:simplePos x="0" y="0"/>
            <wp:positionH relativeFrom="page">
              <wp:posOffset>4483100</wp:posOffset>
            </wp:positionH>
            <wp:positionV relativeFrom="paragraph">
              <wp:posOffset>442385</wp:posOffset>
            </wp:positionV>
            <wp:extent cx="2347594" cy="2247887"/>
            <wp:effectExtent l="0" t="0" r="0" b="0"/>
            <wp:wrapNone/>
            <wp:docPr id="83"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7.jpeg"/>
                    <pic:cNvPicPr/>
                  </pic:nvPicPr>
                  <pic:blipFill>
                    <a:blip r:embed="rId412" cstate="print"/>
                    <a:stretch>
                      <a:fillRect/>
                    </a:stretch>
                  </pic:blipFill>
                  <pic:spPr>
                    <a:xfrm>
                      <a:off x="0" y="0"/>
                      <a:ext cx="2347594" cy="2247887"/>
                    </a:xfrm>
                    <a:prstGeom prst="rect">
                      <a:avLst/>
                    </a:prstGeom>
                  </pic:spPr>
                </pic:pic>
              </a:graphicData>
            </a:graphic>
          </wp:anchor>
        </w:drawing>
      </w:r>
      <w:r>
        <w:rPr>
          <w:sz w:val="20"/>
        </w:rPr>
        <w:t>The</w:t>
      </w:r>
      <w:r>
        <w:rPr>
          <w:spacing w:val="-8"/>
          <w:sz w:val="20"/>
        </w:rPr>
        <w:t xml:space="preserve"> </w:t>
      </w:r>
      <w:r>
        <w:rPr>
          <w:sz w:val="20"/>
        </w:rPr>
        <w:t>parent</w:t>
      </w:r>
      <w:r>
        <w:rPr>
          <w:spacing w:val="-6"/>
          <w:sz w:val="20"/>
        </w:rPr>
        <w:t xml:space="preserve"> </w:t>
      </w:r>
      <w:r>
        <w:rPr>
          <w:sz w:val="20"/>
        </w:rPr>
        <w:t>or</w:t>
      </w:r>
      <w:r>
        <w:rPr>
          <w:spacing w:val="-7"/>
          <w:sz w:val="20"/>
        </w:rPr>
        <w:t xml:space="preserve"> </w:t>
      </w:r>
      <w:r>
        <w:rPr>
          <w:sz w:val="20"/>
        </w:rPr>
        <w:t>guardian</w:t>
      </w:r>
      <w:r>
        <w:rPr>
          <w:spacing w:val="-6"/>
          <w:sz w:val="20"/>
        </w:rPr>
        <w:t xml:space="preserve"> </w:t>
      </w:r>
      <w:r>
        <w:rPr>
          <w:sz w:val="20"/>
        </w:rPr>
        <w:t>of</w:t>
      </w:r>
      <w:r>
        <w:rPr>
          <w:spacing w:val="-8"/>
          <w:sz w:val="20"/>
        </w:rPr>
        <w:t xml:space="preserve"> </w:t>
      </w:r>
      <w:r>
        <w:rPr>
          <w:sz w:val="20"/>
        </w:rPr>
        <w:t>a</w:t>
      </w:r>
      <w:r>
        <w:rPr>
          <w:spacing w:val="-9"/>
          <w:sz w:val="20"/>
        </w:rPr>
        <w:t xml:space="preserve"> </w:t>
      </w:r>
      <w:r>
        <w:rPr>
          <w:sz w:val="20"/>
        </w:rPr>
        <w:t>minor</w:t>
      </w:r>
      <w:r>
        <w:rPr>
          <w:spacing w:val="-7"/>
          <w:sz w:val="20"/>
        </w:rPr>
        <w:t xml:space="preserve"> </w:t>
      </w:r>
      <w:r>
        <w:rPr>
          <w:sz w:val="20"/>
        </w:rPr>
        <w:t>younger</w:t>
      </w:r>
      <w:r>
        <w:rPr>
          <w:spacing w:val="-7"/>
          <w:sz w:val="20"/>
        </w:rPr>
        <w:t xml:space="preserve"> </w:t>
      </w:r>
      <w:r>
        <w:rPr>
          <w:sz w:val="20"/>
        </w:rPr>
        <w:t>than</w:t>
      </w:r>
      <w:r>
        <w:rPr>
          <w:spacing w:val="-6"/>
          <w:sz w:val="20"/>
        </w:rPr>
        <w:t xml:space="preserve"> </w:t>
      </w:r>
      <w:r>
        <w:rPr>
          <w:sz w:val="20"/>
        </w:rPr>
        <w:t>16</w:t>
      </w:r>
      <w:r>
        <w:rPr>
          <w:spacing w:val="-7"/>
          <w:sz w:val="20"/>
        </w:rPr>
        <w:t xml:space="preserve"> </w:t>
      </w:r>
      <w:r>
        <w:rPr>
          <w:sz w:val="20"/>
        </w:rPr>
        <w:t>must</w:t>
      </w:r>
      <w:r>
        <w:rPr>
          <w:spacing w:val="-6"/>
          <w:sz w:val="20"/>
        </w:rPr>
        <w:t xml:space="preserve"> </w:t>
      </w:r>
      <w:r>
        <w:rPr>
          <w:sz w:val="20"/>
        </w:rPr>
        <w:t>consent</w:t>
      </w:r>
      <w:r>
        <w:rPr>
          <w:spacing w:val="-6"/>
          <w:sz w:val="20"/>
        </w:rPr>
        <w:t xml:space="preserve"> </w:t>
      </w:r>
      <w:r>
        <w:rPr>
          <w:sz w:val="20"/>
        </w:rPr>
        <w:t>before</w:t>
      </w:r>
      <w:r>
        <w:rPr>
          <w:spacing w:val="-8"/>
          <w:sz w:val="20"/>
        </w:rPr>
        <w:t xml:space="preserve"> </w:t>
      </w:r>
      <w:r>
        <w:rPr>
          <w:sz w:val="20"/>
        </w:rPr>
        <w:t>an</w:t>
      </w:r>
      <w:r>
        <w:rPr>
          <w:spacing w:val="-6"/>
          <w:sz w:val="20"/>
        </w:rPr>
        <w:t xml:space="preserve"> </w:t>
      </w:r>
      <w:r>
        <w:rPr>
          <w:sz w:val="20"/>
        </w:rPr>
        <w:t>abortion</w:t>
      </w:r>
      <w:r>
        <w:rPr>
          <w:spacing w:val="-8"/>
          <w:sz w:val="20"/>
        </w:rPr>
        <w:t xml:space="preserve"> </w:t>
      </w:r>
      <w:r>
        <w:rPr>
          <w:sz w:val="20"/>
        </w:rPr>
        <w:t>is</w:t>
      </w:r>
      <w:r>
        <w:rPr>
          <w:spacing w:val="-8"/>
          <w:sz w:val="20"/>
        </w:rPr>
        <w:t xml:space="preserve"> </w:t>
      </w:r>
      <w:r>
        <w:rPr>
          <w:sz w:val="20"/>
        </w:rPr>
        <w:t>provided.</w:t>
      </w:r>
      <w:hyperlink w:anchor="_bookmark510" w:history="1">
        <w:r>
          <w:rPr>
            <w:sz w:val="20"/>
            <w:vertAlign w:val="superscript"/>
          </w:rPr>
          <w:t>64</w:t>
        </w:r>
      </w:hyperlink>
      <w:r>
        <w:rPr>
          <w:spacing w:val="-3"/>
          <w:sz w:val="20"/>
        </w:rPr>
        <w:t xml:space="preserve"> </w:t>
      </w:r>
      <w:r>
        <w:rPr>
          <w:sz w:val="20"/>
        </w:rPr>
        <w:t>After</w:t>
      </w:r>
      <w:r>
        <w:rPr>
          <w:spacing w:val="-7"/>
          <w:sz w:val="20"/>
        </w:rPr>
        <w:t xml:space="preserve"> </w:t>
      </w:r>
      <w:r>
        <w:rPr>
          <w:sz w:val="20"/>
        </w:rPr>
        <w:t>the</w:t>
      </w:r>
      <w:r>
        <w:rPr>
          <w:spacing w:val="-7"/>
          <w:sz w:val="20"/>
        </w:rPr>
        <w:t xml:space="preserve"> </w:t>
      </w:r>
      <w:r>
        <w:rPr>
          <w:sz w:val="20"/>
        </w:rPr>
        <w:t>ROE</w:t>
      </w:r>
      <w:r>
        <w:rPr>
          <w:spacing w:val="-6"/>
          <w:sz w:val="20"/>
        </w:rPr>
        <w:t xml:space="preserve"> </w:t>
      </w:r>
      <w:r>
        <w:rPr>
          <w:sz w:val="20"/>
        </w:rPr>
        <w:t>Act became law, it repealed the parental consent provision for older teens aged 16 and 17 years old. It also made it official for judicial bypass</w:t>
      </w:r>
      <w:r>
        <w:rPr>
          <w:spacing w:val="-1"/>
          <w:sz w:val="20"/>
        </w:rPr>
        <w:t xml:space="preserve"> </w:t>
      </w:r>
      <w:r>
        <w:rPr>
          <w:sz w:val="20"/>
        </w:rPr>
        <w:t>hearings</w:t>
      </w:r>
      <w:r>
        <w:rPr>
          <w:spacing w:val="-1"/>
          <w:sz w:val="20"/>
        </w:rPr>
        <w:t xml:space="preserve"> </w:t>
      </w:r>
      <w:r>
        <w:rPr>
          <w:sz w:val="20"/>
        </w:rPr>
        <w:t>to take place virtually rather than</w:t>
      </w:r>
    </w:p>
    <w:p w:rsidR="00200FDA" w:rsidRDefault="00F76C4C">
      <w:pPr>
        <w:spacing w:line="264" w:lineRule="auto"/>
        <w:ind w:left="139" w:right="4253"/>
        <w:jc w:val="both"/>
        <w:rPr>
          <w:sz w:val="20"/>
        </w:rPr>
      </w:pPr>
      <w:r>
        <w:rPr>
          <w:sz w:val="20"/>
        </w:rPr>
        <w:t>in person. The Massachusetts Judicial Bypass Process law requires</w:t>
      </w:r>
      <w:r>
        <w:rPr>
          <w:sz w:val="20"/>
        </w:rPr>
        <w:t xml:space="preserve"> minors under the age of 16 to obtain parental consent or</w:t>
      </w:r>
      <w:r>
        <w:rPr>
          <w:spacing w:val="-1"/>
          <w:sz w:val="20"/>
        </w:rPr>
        <w:t xml:space="preserve"> </w:t>
      </w:r>
      <w:r>
        <w:rPr>
          <w:sz w:val="20"/>
        </w:rPr>
        <w:t>navigate the court system to obtain a judge’s permission to move forward with</w:t>
      </w:r>
      <w:r>
        <w:rPr>
          <w:spacing w:val="-5"/>
          <w:sz w:val="20"/>
        </w:rPr>
        <w:t xml:space="preserve"> </w:t>
      </w:r>
      <w:r>
        <w:rPr>
          <w:sz w:val="20"/>
        </w:rPr>
        <w:t>an</w:t>
      </w:r>
      <w:r>
        <w:rPr>
          <w:spacing w:val="-4"/>
          <w:sz w:val="20"/>
        </w:rPr>
        <w:t xml:space="preserve"> </w:t>
      </w:r>
      <w:r>
        <w:rPr>
          <w:sz w:val="20"/>
        </w:rPr>
        <w:t>abortion.</w:t>
      </w:r>
      <w:hyperlink w:anchor="_bookmark511" w:history="1">
        <w:r>
          <w:rPr>
            <w:sz w:val="20"/>
            <w:vertAlign w:val="superscript"/>
          </w:rPr>
          <w:t>65</w:t>
        </w:r>
      </w:hyperlink>
      <w:r>
        <w:rPr>
          <w:spacing w:val="-4"/>
          <w:sz w:val="20"/>
        </w:rPr>
        <w:t xml:space="preserve"> </w:t>
      </w:r>
      <w:r>
        <w:rPr>
          <w:sz w:val="20"/>
        </w:rPr>
        <w:t>Although</w:t>
      </w:r>
      <w:r>
        <w:rPr>
          <w:spacing w:val="-5"/>
          <w:sz w:val="20"/>
        </w:rPr>
        <w:t xml:space="preserve"> </w:t>
      </w:r>
      <w:r>
        <w:rPr>
          <w:sz w:val="20"/>
        </w:rPr>
        <w:t>the</w:t>
      </w:r>
      <w:r>
        <w:rPr>
          <w:spacing w:val="-6"/>
          <w:sz w:val="20"/>
        </w:rPr>
        <w:t xml:space="preserve"> </w:t>
      </w:r>
      <w:r>
        <w:rPr>
          <w:sz w:val="20"/>
        </w:rPr>
        <w:t>judicial</w:t>
      </w:r>
      <w:r>
        <w:rPr>
          <w:spacing w:val="-6"/>
          <w:sz w:val="20"/>
        </w:rPr>
        <w:t xml:space="preserve"> </w:t>
      </w:r>
      <w:r>
        <w:rPr>
          <w:sz w:val="20"/>
        </w:rPr>
        <w:t>bypass</w:t>
      </w:r>
      <w:r>
        <w:rPr>
          <w:spacing w:val="-7"/>
          <w:sz w:val="20"/>
        </w:rPr>
        <w:t xml:space="preserve"> </w:t>
      </w:r>
      <w:r>
        <w:rPr>
          <w:sz w:val="20"/>
        </w:rPr>
        <w:t>law</w:t>
      </w:r>
      <w:r>
        <w:rPr>
          <w:spacing w:val="-6"/>
          <w:sz w:val="20"/>
        </w:rPr>
        <w:t xml:space="preserve"> </w:t>
      </w:r>
      <w:r>
        <w:rPr>
          <w:sz w:val="20"/>
        </w:rPr>
        <w:t>is</w:t>
      </w:r>
      <w:r>
        <w:rPr>
          <w:spacing w:val="-7"/>
          <w:sz w:val="20"/>
        </w:rPr>
        <w:t xml:space="preserve"> </w:t>
      </w:r>
      <w:r>
        <w:rPr>
          <w:sz w:val="20"/>
        </w:rPr>
        <w:t>an</w:t>
      </w:r>
      <w:r>
        <w:rPr>
          <w:spacing w:val="-5"/>
          <w:sz w:val="20"/>
        </w:rPr>
        <w:t xml:space="preserve"> </w:t>
      </w:r>
      <w:r>
        <w:rPr>
          <w:sz w:val="20"/>
        </w:rPr>
        <w:t>option</w:t>
      </w:r>
      <w:r>
        <w:rPr>
          <w:spacing w:val="-5"/>
          <w:sz w:val="20"/>
        </w:rPr>
        <w:t xml:space="preserve"> </w:t>
      </w:r>
      <w:r>
        <w:rPr>
          <w:sz w:val="20"/>
        </w:rPr>
        <w:t>for youths to access an abo</w:t>
      </w:r>
      <w:r>
        <w:rPr>
          <w:sz w:val="20"/>
        </w:rPr>
        <w:t>rtion without parental permission, the implementation of parental consent laws for youths under 16 makes</w:t>
      </w:r>
      <w:r>
        <w:rPr>
          <w:spacing w:val="-8"/>
          <w:sz w:val="20"/>
        </w:rPr>
        <w:t xml:space="preserve"> </w:t>
      </w:r>
      <w:r>
        <w:rPr>
          <w:sz w:val="20"/>
        </w:rPr>
        <w:t>it</w:t>
      </w:r>
      <w:r>
        <w:rPr>
          <w:spacing w:val="-7"/>
          <w:sz w:val="20"/>
        </w:rPr>
        <w:t xml:space="preserve"> </w:t>
      </w:r>
      <w:r>
        <w:rPr>
          <w:sz w:val="20"/>
        </w:rPr>
        <w:t>difficult</w:t>
      </w:r>
      <w:r>
        <w:rPr>
          <w:spacing w:val="-7"/>
          <w:sz w:val="20"/>
        </w:rPr>
        <w:t xml:space="preserve"> </w:t>
      </w:r>
      <w:r>
        <w:rPr>
          <w:sz w:val="20"/>
        </w:rPr>
        <w:t>for</w:t>
      </w:r>
      <w:r>
        <w:rPr>
          <w:spacing w:val="-7"/>
          <w:sz w:val="20"/>
        </w:rPr>
        <w:t xml:space="preserve"> </w:t>
      </w:r>
      <w:r>
        <w:rPr>
          <w:sz w:val="20"/>
        </w:rPr>
        <w:t>those</w:t>
      </w:r>
      <w:r>
        <w:rPr>
          <w:spacing w:val="-7"/>
          <w:sz w:val="20"/>
        </w:rPr>
        <w:t xml:space="preserve"> </w:t>
      </w:r>
      <w:r>
        <w:rPr>
          <w:sz w:val="20"/>
        </w:rPr>
        <w:t>with</w:t>
      </w:r>
      <w:r>
        <w:rPr>
          <w:spacing w:val="-7"/>
          <w:sz w:val="20"/>
        </w:rPr>
        <w:t xml:space="preserve"> </w:t>
      </w:r>
      <w:r>
        <w:rPr>
          <w:sz w:val="20"/>
        </w:rPr>
        <w:t>unintended</w:t>
      </w:r>
      <w:r>
        <w:rPr>
          <w:spacing w:val="-8"/>
          <w:sz w:val="20"/>
        </w:rPr>
        <w:t xml:space="preserve"> </w:t>
      </w:r>
      <w:r>
        <w:rPr>
          <w:sz w:val="20"/>
        </w:rPr>
        <w:t>pregnancies</w:t>
      </w:r>
      <w:r>
        <w:rPr>
          <w:spacing w:val="-8"/>
          <w:sz w:val="20"/>
        </w:rPr>
        <w:t xml:space="preserve"> </w:t>
      </w:r>
      <w:r>
        <w:rPr>
          <w:sz w:val="20"/>
        </w:rPr>
        <w:t>who</w:t>
      </w:r>
      <w:r>
        <w:rPr>
          <w:spacing w:val="-7"/>
          <w:sz w:val="20"/>
        </w:rPr>
        <w:t xml:space="preserve"> </w:t>
      </w:r>
      <w:r>
        <w:rPr>
          <w:sz w:val="20"/>
        </w:rPr>
        <w:t>might not</w:t>
      </w:r>
      <w:r>
        <w:rPr>
          <w:spacing w:val="-11"/>
          <w:sz w:val="20"/>
        </w:rPr>
        <w:t xml:space="preserve"> </w:t>
      </w:r>
      <w:r>
        <w:rPr>
          <w:sz w:val="20"/>
        </w:rPr>
        <w:t>feel</w:t>
      </w:r>
      <w:r>
        <w:rPr>
          <w:spacing w:val="-11"/>
          <w:sz w:val="20"/>
        </w:rPr>
        <w:t xml:space="preserve"> </w:t>
      </w:r>
      <w:r>
        <w:rPr>
          <w:sz w:val="20"/>
        </w:rPr>
        <w:t>comfortable</w:t>
      </w:r>
      <w:r>
        <w:rPr>
          <w:spacing w:val="-12"/>
          <w:sz w:val="20"/>
        </w:rPr>
        <w:t xml:space="preserve"> </w:t>
      </w:r>
      <w:r>
        <w:rPr>
          <w:sz w:val="20"/>
        </w:rPr>
        <w:t>disclosing</w:t>
      </w:r>
      <w:r>
        <w:rPr>
          <w:spacing w:val="-10"/>
          <w:sz w:val="20"/>
        </w:rPr>
        <w:t xml:space="preserve"> </w:t>
      </w:r>
      <w:r>
        <w:rPr>
          <w:sz w:val="20"/>
        </w:rPr>
        <w:t>their</w:t>
      </w:r>
      <w:r>
        <w:rPr>
          <w:spacing w:val="-11"/>
          <w:sz w:val="20"/>
        </w:rPr>
        <w:t xml:space="preserve"> </w:t>
      </w:r>
      <w:r>
        <w:rPr>
          <w:sz w:val="20"/>
        </w:rPr>
        <w:t>pregnancies</w:t>
      </w:r>
      <w:r>
        <w:rPr>
          <w:spacing w:val="-12"/>
          <w:sz w:val="20"/>
        </w:rPr>
        <w:t xml:space="preserve"> </w:t>
      </w:r>
      <w:r>
        <w:rPr>
          <w:sz w:val="20"/>
        </w:rPr>
        <w:t>to</w:t>
      </w:r>
      <w:r>
        <w:rPr>
          <w:spacing w:val="-10"/>
          <w:sz w:val="20"/>
        </w:rPr>
        <w:t xml:space="preserve"> </w:t>
      </w:r>
      <w:r>
        <w:rPr>
          <w:sz w:val="20"/>
        </w:rPr>
        <w:t>their</w:t>
      </w:r>
      <w:r>
        <w:rPr>
          <w:spacing w:val="-11"/>
          <w:sz w:val="20"/>
        </w:rPr>
        <w:t xml:space="preserve"> </w:t>
      </w:r>
      <w:r>
        <w:rPr>
          <w:sz w:val="20"/>
        </w:rPr>
        <w:t>parents</w:t>
      </w:r>
      <w:r>
        <w:rPr>
          <w:spacing w:val="-12"/>
          <w:sz w:val="20"/>
        </w:rPr>
        <w:t xml:space="preserve"> </w:t>
      </w:r>
      <w:r>
        <w:rPr>
          <w:sz w:val="20"/>
        </w:rPr>
        <w:t xml:space="preserve">or </w:t>
      </w:r>
      <w:r>
        <w:rPr>
          <w:spacing w:val="-2"/>
          <w:sz w:val="20"/>
        </w:rPr>
        <w:t>guardians.</w:t>
      </w:r>
    </w:p>
    <w:p w:rsidR="00200FDA" w:rsidRDefault="00200FDA">
      <w:pPr>
        <w:pStyle w:val="BodyText"/>
        <w:spacing w:before="5"/>
        <w:rPr>
          <w:sz w:val="19"/>
        </w:rPr>
      </w:pPr>
    </w:p>
    <w:p w:rsidR="00200FDA" w:rsidRDefault="00F76C4C">
      <w:pPr>
        <w:spacing w:before="1" w:line="264" w:lineRule="auto"/>
        <w:ind w:left="139" w:right="4258"/>
        <w:jc w:val="both"/>
        <w:rPr>
          <w:sz w:val="20"/>
        </w:rPr>
      </w:pPr>
      <w:r>
        <w:rPr>
          <w:sz w:val="20"/>
        </w:rPr>
        <w:t>A study found that the Massachusetts Judicial Bypass Process Law delays youth’s access to abortion by 14.8 days, which is 6.1 days longer</w:t>
      </w:r>
      <w:r>
        <w:rPr>
          <w:spacing w:val="-12"/>
          <w:sz w:val="20"/>
        </w:rPr>
        <w:t xml:space="preserve"> </w:t>
      </w:r>
      <w:r>
        <w:rPr>
          <w:sz w:val="20"/>
        </w:rPr>
        <w:t>than</w:t>
      </w:r>
      <w:r>
        <w:rPr>
          <w:spacing w:val="-11"/>
          <w:sz w:val="20"/>
        </w:rPr>
        <w:t xml:space="preserve"> </w:t>
      </w:r>
      <w:r>
        <w:rPr>
          <w:sz w:val="20"/>
        </w:rPr>
        <w:t>youth</w:t>
      </w:r>
      <w:r>
        <w:rPr>
          <w:spacing w:val="-11"/>
          <w:sz w:val="20"/>
        </w:rPr>
        <w:t xml:space="preserve"> </w:t>
      </w:r>
      <w:r>
        <w:rPr>
          <w:sz w:val="20"/>
        </w:rPr>
        <w:t>who</w:t>
      </w:r>
      <w:r>
        <w:rPr>
          <w:spacing w:val="-12"/>
          <w:sz w:val="20"/>
        </w:rPr>
        <w:t xml:space="preserve"> </w:t>
      </w:r>
      <w:r>
        <w:rPr>
          <w:sz w:val="20"/>
        </w:rPr>
        <w:t>had</w:t>
      </w:r>
      <w:r>
        <w:rPr>
          <w:spacing w:val="-11"/>
          <w:sz w:val="20"/>
        </w:rPr>
        <w:t xml:space="preserve"> </w:t>
      </w:r>
      <w:r>
        <w:rPr>
          <w:sz w:val="20"/>
        </w:rPr>
        <w:t>parental</w:t>
      </w:r>
      <w:r>
        <w:rPr>
          <w:spacing w:val="-11"/>
          <w:sz w:val="20"/>
        </w:rPr>
        <w:t xml:space="preserve"> </w:t>
      </w:r>
      <w:r>
        <w:rPr>
          <w:sz w:val="20"/>
        </w:rPr>
        <w:t>permission.</w:t>
      </w:r>
      <w:r>
        <w:rPr>
          <w:spacing w:val="-12"/>
          <w:sz w:val="20"/>
        </w:rPr>
        <w:t xml:space="preserve"> </w:t>
      </w:r>
      <w:r>
        <w:rPr>
          <w:sz w:val="20"/>
        </w:rPr>
        <w:t>It</w:t>
      </w:r>
      <w:r>
        <w:rPr>
          <w:spacing w:val="-11"/>
          <w:sz w:val="20"/>
        </w:rPr>
        <w:t xml:space="preserve"> </w:t>
      </w:r>
      <w:r>
        <w:rPr>
          <w:sz w:val="20"/>
        </w:rPr>
        <w:t>is</w:t>
      </w:r>
      <w:r>
        <w:rPr>
          <w:spacing w:val="-11"/>
          <w:sz w:val="20"/>
        </w:rPr>
        <w:t xml:space="preserve"> </w:t>
      </w:r>
      <w:r>
        <w:rPr>
          <w:sz w:val="20"/>
        </w:rPr>
        <w:t>also</w:t>
      </w:r>
      <w:r>
        <w:rPr>
          <w:spacing w:val="-12"/>
          <w:sz w:val="20"/>
        </w:rPr>
        <w:t xml:space="preserve"> </w:t>
      </w:r>
      <w:r>
        <w:rPr>
          <w:sz w:val="20"/>
        </w:rPr>
        <w:t>noted</w:t>
      </w:r>
      <w:r>
        <w:rPr>
          <w:spacing w:val="-11"/>
          <w:sz w:val="20"/>
        </w:rPr>
        <w:t xml:space="preserve"> </w:t>
      </w:r>
      <w:r>
        <w:rPr>
          <w:sz w:val="20"/>
        </w:rPr>
        <w:t>that the</w:t>
      </w:r>
      <w:r>
        <w:rPr>
          <w:spacing w:val="37"/>
          <w:sz w:val="20"/>
        </w:rPr>
        <w:t xml:space="preserve"> </w:t>
      </w:r>
      <w:r>
        <w:rPr>
          <w:sz w:val="20"/>
        </w:rPr>
        <w:t>majority</w:t>
      </w:r>
      <w:r>
        <w:rPr>
          <w:spacing w:val="40"/>
          <w:sz w:val="20"/>
        </w:rPr>
        <w:t xml:space="preserve"> </w:t>
      </w:r>
      <w:r>
        <w:rPr>
          <w:sz w:val="20"/>
        </w:rPr>
        <w:t>of</w:t>
      </w:r>
      <w:r>
        <w:rPr>
          <w:spacing w:val="41"/>
          <w:sz w:val="20"/>
        </w:rPr>
        <w:t xml:space="preserve"> </w:t>
      </w:r>
      <w:r>
        <w:rPr>
          <w:sz w:val="20"/>
        </w:rPr>
        <w:t>young</w:t>
      </w:r>
      <w:r>
        <w:rPr>
          <w:spacing w:val="39"/>
          <w:sz w:val="20"/>
        </w:rPr>
        <w:t xml:space="preserve"> </w:t>
      </w:r>
      <w:r>
        <w:rPr>
          <w:sz w:val="20"/>
        </w:rPr>
        <w:t>people</w:t>
      </w:r>
      <w:r>
        <w:rPr>
          <w:spacing w:val="39"/>
          <w:sz w:val="20"/>
        </w:rPr>
        <w:t xml:space="preserve"> </w:t>
      </w:r>
      <w:r>
        <w:rPr>
          <w:sz w:val="20"/>
        </w:rPr>
        <w:t>navigating</w:t>
      </w:r>
      <w:r>
        <w:rPr>
          <w:spacing w:val="40"/>
          <w:sz w:val="20"/>
        </w:rPr>
        <w:t xml:space="preserve"> </w:t>
      </w:r>
      <w:r>
        <w:rPr>
          <w:sz w:val="20"/>
        </w:rPr>
        <w:t>the</w:t>
      </w:r>
      <w:r>
        <w:rPr>
          <w:spacing w:val="38"/>
          <w:sz w:val="20"/>
        </w:rPr>
        <w:t xml:space="preserve"> </w:t>
      </w:r>
      <w:r>
        <w:rPr>
          <w:sz w:val="20"/>
        </w:rPr>
        <w:t>judicial</w:t>
      </w:r>
      <w:r>
        <w:rPr>
          <w:spacing w:val="42"/>
          <w:sz w:val="20"/>
        </w:rPr>
        <w:t xml:space="preserve"> </w:t>
      </w:r>
      <w:r>
        <w:rPr>
          <w:sz w:val="20"/>
        </w:rPr>
        <w:t>system</w:t>
      </w:r>
      <w:r>
        <w:rPr>
          <w:spacing w:val="39"/>
          <w:sz w:val="20"/>
        </w:rPr>
        <w:t xml:space="preserve"> </w:t>
      </w:r>
      <w:r>
        <w:rPr>
          <w:spacing w:val="-5"/>
          <w:sz w:val="20"/>
        </w:rPr>
        <w:t>to</w:t>
      </w:r>
    </w:p>
    <w:p w:rsidR="00200FDA" w:rsidRDefault="00F76C4C">
      <w:pPr>
        <w:spacing w:before="1" w:line="264" w:lineRule="auto"/>
        <w:ind w:left="140" w:right="338" w:hanging="1"/>
        <w:jc w:val="both"/>
        <w:rPr>
          <w:sz w:val="20"/>
        </w:rPr>
      </w:pPr>
      <w:r>
        <w:rPr>
          <w:sz w:val="20"/>
        </w:rPr>
        <w:t>obtain</w:t>
      </w:r>
      <w:r>
        <w:rPr>
          <w:spacing w:val="-4"/>
          <w:sz w:val="20"/>
        </w:rPr>
        <w:t xml:space="preserve"> </w:t>
      </w:r>
      <w:r>
        <w:rPr>
          <w:sz w:val="20"/>
        </w:rPr>
        <w:t>a</w:t>
      </w:r>
      <w:r>
        <w:rPr>
          <w:spacing w:val="-4"/>
          <w:sz w:val="20"/>
        </w:rPr>
        <w:t xml:space="preserve"> </w:t>
      </w:r>
      <w:r>
        <w:rPr>
          <w:sz w:val="20"/>
        </w:rPr>
        <w:t>judge’s</w:t>
      </w:r>
      <w:r>
        <w:rPr>
          <w:spacing w:val="-6"/>
          <w:sz w:val="20"/>
        </w:rPr>
        <w:t xml:space="preserve"> </w:t>
      </w:r>
      <w:r>
        <w:rPr>
          <w:sz w:val="20"/>
        </w:rPr>
        <w:t>permission</w:t>
      </w:r>
      <w:r>
        <w:rPr>
          <w:spacing w:val="-4"/>
          <w:sz w:val="20"/>
        </w:rPr>
        <w:t xml:space="preserve"> </w:t>
      </w:r>
      <w:r>
        <w:rPr>
          <w:sz w:val="20"/>
        </w:rPr>
        <w:t>were</w:t>
      </w:r>
      <w:r>
        <w:rPr>
          <w:spacing w:val="-5"/>
          <w:sz w:val="20"/>
        </w:rPr>
        <w:t xml:space="preserve"> </w:t>
      </w:r>
      <w:r>
        <w:rPr>
          <w:sz w:val="20"/>
        </w:rPr>
        <w:t>disproportionately</w:t>
      </w:r>
      <w:r>
        <w:rPr>
          <w:spacing w:val="-3"/>
          <w:sz w:val="20"/>
        </w:rPr>
        <w:t xml:space="preserve"> </w:t>
      </w:r>
      <w:r>
        <w:rPr>
          <w:sz w:val="20"/>
        </w:rPr>
        <w:t>low-income,</w:t>
      </w:r>
      <w:r>
        <w:rPr>
          <w:spacing w:val="-4"/>
          <w:sz w:val="20"/>
        </w:rPr>
        <w:t xml:space="preserve"> </w:t>
      </w:r>
      <w:r>
        <w:rPr>
          <w:sz w:val="20"/>
        </w:rPr>
        <w:t>people</w:t>
      </w:r>
      <w:r>
        <w:rPr>
          <w:spacing w:val="-5"/>
          <w:sz w:val="20"/>
        </w:rPr>
        <w:t xml:space="preserve"> </w:t>
      </w:r>
      <w:r>
        <w:rPr>
          <w:sz w:val="20"/>
        </w:rPr>
        <w:t>of</w:t>
      </w:r>
      <w:r>
        <w:rPr>
          <w:spacing w:val="-5"/>
          <w:sz w:val="20"/>
        </w:rPr>
        <w:t xml:space="preserve"> </w:t>
      </w:r>
      <w:r>
        <w:rPr>
          <w:sz w:val="20"/>
        </w:rPr>
        <w:t>color.</w:t>
      </w:r>
      <w:hyperlink w:anchor="_bookmark512" w:history="1">
        <w:r>
          <w:rPr>
            <w:sz w:val="20"/>
            <w:vertAlign w:val="superscript"/>
          </w:rPr>
          <w:t>66</w:t>
        </w:r>
      </w:hyperlink>
      <w:r>
        <w:rPr>
          <w:spacing w:val="-3"/>
          <w:sz w:val="20"/>
        </w:rPr>
        <w:t xml:space="preserve"> </w:t>
      </w:r>
      <w:r>
        <w:rPr>
          <w:sz w:val="20"/>
        </w:rPr>
        <w:t>Going</w:t>
      </w:r>
      <w:r>
        <w:rPr>
          <w:spacing w:val="-2"/>
          <w:sz w:val="20"/>
        </w:rPr>
        <w:t xml:space="preserve"> </w:t>
      </w:r>
      <w:r>
        <w:rPr>
          <w:sz w:val="20"/>
        </w:rPr>
        <w:t>through</w:t>
      </w:r>
      <w:r>
        <w:rPr>
          <w:spacing w:val="-3"/>
          <w:sz w:val="20"/>
        </w:rPr>
        <w:t xml:space="preserve"> </w:t>
      </w:r>
      <w:r>
        <w:rPr>
          <w:sz w:val="20"/>
        </w:rPr>
        <w:t>the</w:t>
      </w:r>
      <w:r>
        <w:rPr>
          <w:spacing w:val="-5"/>
          <w:sz w:val="20"/>
        </w:rPr>
        <w:t xml:space="preserve"> </w:t>
      </w:r>
      <w:r>
        <w:rPr>
          <w:sz w:val="20"/>
        </w:rPr>
        <w:t>legal</w:t>
      </w:r>
      <w:r>
        <w:rPr>
          <w:spacing w:val="-5"/>
          <w:sz w:val="20"/>
        </w:rPr>
        <w:t xml:space="preserve"> </w:t>
      </w:r>
      <w:r>
        <w:rPr>
          <w:sz w:val="20"/>
        </w:rPr>
        <w:t>process may also be time-consuming, especially if the pregnant person does not have the privilege of taking</w:t>
      </w:r>
      <w:r>
        <w:rPr>
          <w:sz w:val="20"/>
        </w:rPr>
        <w:t xml:space="preserve"> time off from work to navigate the legal system, which can be a distressing situation. The judicial bypass process not only delays access</w:t>
      </w:r>
      <w:r>
        <w:rPr>
          <w:spacing w:val="-2"/>
          <w:sz w:val="20"/>
        </w:rPr>
        <w:t xml:space="preserve"> </w:t>
      </w:r>
      <w:r>
        <w:rPr>
          <w:sz w:val="20"/>
        </w:rPr>
        <w:t>to surgical</w:t>
      </w:r>
      <w:r>
        <w:rPr>
          <w:spacing w:val="-1"/>
          <w:sz w:val="20"/>
        </w:rPr>
        <w:t xml:space="preserve"> </w:t>
      </w:r>
      <w:r>
        <w:rPr>
          <w:sz w:val="20"/>
        </w:rPr>
        <w:t>abortions</w:t>
      </w:r>
      <w:r>
        <w:rPr>
          <w:spacing w:val="-2"/>
          <w:sz w:val="20"/>
        </w:rPr>
        <w:t xml:space="preserve"> </w:t>
      </w:r>
      <w:r>
        <w:rPr>
          <w:sz w:val="20"/>
        </w:rPr>
        <w:t>but also delays</w:t>
      </w:r>
      <w:r>
        <w:rPr>
          <w:spacing w:val="-2"/>
          <w:sz w:val="20"/>
        </w:rPr>
        <w:t xml:space="preserve"> </w:t>
      </w:r>
      <w:r>
        <w:rPr>
          <w:sz w:val="20"/>
        </w:rPr>
        <w:t>youths'</w:t>
      </w:r>
      <w:r>
        <w:rPr>
          <w:spacing w:val="-1"/>
          <w:sz w:val="20"/>
        </w:rPr>
        <w:t xml:space="preserve"> </w:t>
      </w:r>
      <w:r>
        <w:rPr>
          <w:sz w:val="20"/>
        </w:rPr>
        <w:t>eligibility for</w:t>
      </w:r>
      <w:r>
        <w:rPr>
          <w:spacing w:val="-1"/>
          <w:sz w:val="20"/>
        </w:rPr>
        <w:t xml:space="preserve"> </w:t>
      </w:r>
      <w:r>
        <w:rPr>
          <w:sz w:val="20"/>
        </w:rPr>
        <w:t>medication abortions.</w:t>
      </w:r>
      <w:r>
        <w:rPr>
          <w:spacing w:val="-1"/>
          <w:sz w:val="20"/>
        </w:rPr>
        <w:t xml:space="preserve"> </w:t>
      </w:r>
      <w:r>
        <w:rPr>
          <w:sz w:val="20"/>
        </w:rPr>
        <w:t>Medication abortions</w:t>
      </w:r>
      <w:r>
        <w:rPr>
          <w:spacing w:val="-2"/>
          <w:sz w:val="20"/>
        </w:rPr>
        <w:t xml:space="preserve"> </w:t>
      </w:r>
      <w:r>
        <w:rPr>
          <w:sz w:val="20"/>
        </w:rPr>
        <w:t>might be the</w:t>
      </w:r>
      <w:r>
        <w:rPr>
          <w:sz w:val="20"/>
        </w:rPr>
        <w:t xml:space="preserve"> only safe and private way for youths to terminate their unintended pregnancies.</w:t>
      </w:r>
    </w:p>
    <w:p w:rsidR="00200FDA" w:rsidRDefault="00200FDA">
      <w:pPr>
        <w:pStyle w:val="BodyText"/>
        <w:spacing w:before="9"/>
        <w:rPr>
          <w:sz w:val="19"/>
        </w:rPr>
      </w:pPr>
    </w:p>
    <w:p w:rsidR="00200FDA" w:rsidRDefault="00F76C4C">
      <w:pPr>
        <w:spacing w:line="264" w:lineRule="auto"/>
        <w:ind w:left="140" w:right="338"/>
        <w:jc w:val="both"/>
        <w:rPr>
          <w:sz w:val="20"/>
        </w:rPr>
      </w:pPr>
      <w:r>
        <w:rPr>
          <w:sz w:val="20"/>
        </w:rPr>
        <w:t>In July 2022, former Governor Charlie Baker signed An Act Expanding Protections For Reproductive and Gender- affirming Care which expanded reproductive healthcare and gender-</w:t>
      </w:r>
      <w:r>
        <w:rPr>
          <w:sz w:val="20"/>
        </w:rPr>
        <w:t>affirming services in the Commonwealth. The bill,</w:t>
      </w:r>
      <w:r>
        <w:rPr>
          <w:spacing w:val="-5"/>
          <w:sz w:val="20"/>
        </w:rPr>
        <w:t xml:space="preserve"> </w:t>
      </w:r>
      <w:r>
        <w:rPr>
          <w:sz w:val="20"/>
        </w:rPr>
        <w:t>now</w:t>
      </w:r>
      <w:r>
        <w:rPr>
          <w:spacing w:val="-6"/>
          <w:sz w:val="20"/>
        </w:rPr>
        <w:t xml:space="preserve"> </w:t>
      </w:r>
      <w:r>
        <w:rPr>
          <w:sz w:val="20"/>
        </w:rPr>
        <w:t>law,</w:t>
      </w:r>
      <w:r>
        <w:rPr>
          <w:spacing w:val="-5"/>
          <w:sz w:val="20"/>
        </w:rPr>
        <w:t xml:space="preserve"> </w:t>
      </w:r>
      <w:r>
        <w:rPr>
          <w:sz w:val="20"/>
        </w:rPr>
        <w:t>included</w:t>
      </w:r>
      <w:r>
        <w:rPr>
          <w:spacing w:val="-5"/>
          <w:sz w:val="20"/>
        </w:rPr>
        <w:t xml:space="preserve"> </w:t>
      </w:r>
      <w:r>
        <w:rPr>
          <w:sz w:val="20"/>
        </w:rPr>
        <w:t>a</w:t>
      </w:r>
      <w:r>
        <w:rPr>
          <w:spacing w:val="-5"/>
          <w:sz w:val="20"/>
        </w:rPr>
        <w:t xml:space="preserve"> </w:t>
      </w:r>
      <w:r>
        <w:rPr>
          <w:sz w:val="20"/>
        </w:rPr>
        <w:t>section</w:t>
      </w:r>
      <w:r>
        <w:rPr>
          <w:spacing w:val="-5"/>
          <w:sz w:val="20"/>
        </w:rPr>
        <w:t xml:space="preserve"> </w:t>
      </w:r>
      <w:r>
        <w:rPr>
          <w:sz w:val="20"/>
        </w:rPr>
        <w:t>that</w:t>
      </w:r>
      <w:r>
        <w:rPr>
          <w:spacing w:val="-5"/>
          <w:sz w:val="20"/>
        </w:rPr>
        <w:t xml:space="preserve"> </w:t>
      </w:r>
      <w:r>
        <w:rPr>
          <w:sz w:val="20"/>
        </w:rPr>
        <w:t>ensures</w:t>
      </w:r>
      <w:r>
        <w:rPr>
          <w:spacing w:val="-7"/>
          <w:sz w:val="20"/>
        </w:rPr>
        <w:t xml:space="preserve"> </w:t>
      </w:r>
      <w:r>
        <w:rPr>
          <w:sz w:val="20"/>
        </w:rPr>
        <w:t>public</w:t>
      </w:r>
      <w:r>
        <w:rPr>
          <w:spacing w:val="-6"/>
          <w:sz w:val="20"/>
        </w:rPr>
        <w:t xml:space="preserve"> </w:t>
      </w:r>
      <w:r>
        <w:rPr>
          <w:sz w:val="20"/>
        </w:rPr>
        <w:t>university</w:t>
      </w:r>
      <w:r>
        <w:rPr>
          <w:spacing w:val="-4"/>
          <w:sz w:val="20"/>
        </w:rPr>
        <w:t xml:space="preserve"> </w:t>
      </w:r>
      <w:r>
        <w:rPr>
          <w:sz w:val="20"/>
        </w:rPr>
        <w:t>students</w:t>
      </w:r>
      <w:r>
        <w:rPr>
          <w:spacing w:val="-7"/>
          <w:sz w:val="20"/>
        </w:rPr>
        <w:t xml:space="preserve"> </w:t>
      </w:r>
      <w:r>
        <w:rPr>
          <w:sz w:val="20"/>
        </w:rPr>
        <w:t>have</w:t>
      </w:r>
      <w:r>
        <w:rPr>
          <w:spacing w:val="-6"/>
          <w:sz w:val="20"/>
        </w:rPr>
        <w:t xml:space="preserve"> </w:t>
      </w:r>
      <w:r>
        <w:rPr>
          <w:sz w:val="20"/>
        </w:rPr>
        <w:t>access</w:t>
      </w:r>
      <w:r>
        <w:rPr>
          <w:spacing w:val="-7"/>
          <w:sz w:val="20"/>
        </w:rPr>
        <w:t xml:space="preserve"> </w:t>
      </w:r>
      <w:r>
        <w:rPr>
          <w:sz w:val="20"/>
        </w:rPr>
        <w:t>to</w:t>
      </w:r>
      <w:r>
        <w:rPr>
          <w:spacing w:val="-3"/>
          <w:sz w:val="20"/>
        </w:rPr>
        <w:t xml:space="preserve"> </w:t>
      </w:r>
      <w:r>
        <w:rPr>
          <w:sz w:val="20"/>
        </w:rPr>
        <w:t>medication</w:t>
      </w:r>
      <w:r>
        <w:rPr>
          <w:spacing w:val="-5"/>
          <w:sz w:val="20"/>
        </w:rPr>
        <w:t xml:space="preserve"> </w:t>
      </w:r>
      <w:r>
        <w:rPr>
          <w:sz w:val="20"/>
        </w:rPr>
        <w:t>abortion</w:t>
      </w:r>
      <w:r>
        <w:rPr>
          <w:spacing w:val="-5"/>
          <w:sz w:val="20"/>
        </w:rPr>
        <w:t xml:space="preserve"> </w:t>
      </w:r>
      <w:r>
        <w:rPr>
          <w:sz w:val="20"/>
        </w:rPr>
        <w:t>through their</w:t>
      </w:r>
      <w:r>
        <w:rPr>
          <w:spacing w:val="-3"/>
          <w:sz w:val="20"/>
        </w:rPr>
        <w:t xml:space="preserve"> </w:t>
      </w:r>
      <w:r>
        <w:rPr>
          <w:sz w:val="20"/>
        </w:rPr>
        <w:t>university’s</w:t>
      </w:r>
      <w:r>
        <w:rPr>
          <w:spacing w:val="-4"/>
          <w:sz w:val="20"/>
        </w:rPr>
        <w:t xml:space="preserve"> </w:t>
      </w:r>
      <w:r>
        <w:rPr>
          <w:sz w:val="20"/>
        </w:rPr>
        <w:t>health</w:t>
      </w:r>
      <w:r>
        <w:rPr>
          <w:spacing w:val="-2"/>
          <w:sz w:val="20"/>
        </w:rPr>
        <w:t xml:space="preserve"> </w:t>
      </w:r>
      <w:r>
        <w:rPr>
          <w:sz w:val="20"/>
        </w:rPr>
        <w:t>services</w:t>
      </w:r>
      <w:r>
        <w:rPr>
          <w:spacing w:val="-4"/>
          <w:sz w:val="20"/>
        </w:rPr>
        <w:t xml:space="preserve"> </w:t>
      </w:r>
      <w:r>
        <w:rPr>
          <w:sz w:val="20"/>
        </w:rPr>
        <w:t>or</w:t>
      </w:r>
      <w:r>
        <w:rPr>
          <w:spacing w:val="-3"/>
          <w:sz w:val="20"/>
        </w:rPr>
        <w:t xml:space="preserve"> </w:t>
      </w:r>
      <w:r>
        <w:rPr>
          <w:sz w:val="20"/>
        </w:rPr>
        <w:t>by</w:t>
      </w:r>
      <w:r>
        <w:rPr>
          <w:spacing w:val="-2"/>
          <w:sz w:val="20"/>
        </w:rPr>
        <w:t xml:space="preserve"> </w:t>
      </w:r>
      <w:r>
        <w:rPr>
          <w:sz w:val="20"/>
        </w:rPr>
        <w:t>being</w:t>
      </w:r>
      <w:r>
        <w:rPr>
          <w:spacing w:val="-3"/>
          <w:sz w:val="20"/>
        </w:rPr>
        <w:t xml:space="preserve"> </w:t>
      </w:r>
      <w:r>
        <w:rPr>
          <w:sz w:val="20"/>
        </w:rPr>
        <w:t>connected</w:t>
      </w:r>
      <w:r>
        <w:rPr>
          <w:spacing w:val="-2"/>
          <w:sz w:val="20"/>
        </w:rPr>
        <w:t xml:space="preserve"> </w:t>
      </w:r>
      <w:r>
        <w:rPr>
          <w:sz w:val="20"/>
        </w:rPr>
        <w:t>to</w:t>
      </w:r>
      <w:r>
        <w:rPr>
          <w:spacing w:val="-3"/>
          <w:sz w:val="20"/>
        </w:rPr>
        <w:t xml:space="preserve"> </w:t>
      </w:r>
      <w:r>
        <w:rPr>
          <w:sz w:val="20"/>
        </w:rPr>
        <w:t>outside</w:t>
      </w:r>
      <w:r>
        <w:rPr>
          <w:spacing w:val="-4"/>
          <w:sz w:val="20"/>
        </w:rPr>
        <w:t xml:space="preserve"> </w:t>
      </w:r>
      <w:r>
        <w:rPr>
          <w:sz w:val="20"/>
        </w:rPr>
        <w:t>resources.</w:t>
      </w:r>
      <w:r>
        <w:rPr>
          <w:spacing w:val="-3"/>
          <w:sz w:val="20"/>
        </w:rPr>
        <w:t xml:space="preserve"> </w:t>
      </w:r>
      <w:r>
        <w:rPr>
          <w:sz w:val="20"/>
        </w:rPr>
        <w:t>This</w:t>
      </w:r>
      <w:r>
        <w:rPr>
          <w:spacing w:val="-4"/>
          <w:sz w:val="20"/>
        </w:rPr>
        <w:t xml:space="preserve"> </w:t>
      </w:r>
      <w:r>
        <w:rPr>
          <w:sz w:val="20"/>
        </w:rPr>
        <w:t>legislation</w:t>
      </w:r>
      <w:r>
        <w:rPr>
          <w:spacing w:val="-2"/>
          <w:sz w:val="20"/>
        </w:rPr>
        <w:t xml:space="preserve"> </w:t>
      </w:r>
      <w:r>
        <w:rPr>
          <w:sz w:val="20"/>
        </w:rPr>
        <w:t>also</w:t>
      </w:r>
      <w:r>
        <w:rPr>
          <w:spacing w:val="-3"/>
          <w:sz w:val="20"/>
        </w:rPr>
        <w:t xml:space="preserve"> </w:t>
      </w:r>
      <w:r>
        <w:rPr>
          <w:sz w:val="20"/>
        </w:rPr>
        <w:t>created</w:t>
      </w:r>
      <w:r>
        <w:rPr>
          <w:spacing w:val="-2"/>
          <w:sz w:val="20"/>
        </w:rPr>
        <w:t xml:space="preserve"> </w:t>
      </w:r>
      <w:r>
        <w:rPr>
          <w:sz w:val="20"/>
        </w:rPr>
        <w:t>the</w:t>
      </w:r>
      <w:r>
        <w:rPr>
          <w:spacing w:val="-4"/>
          <w:sz w:val="20"/>
        </w:rPr>
        <w:t xml:space="preserve"> </w:t>
      </w:r>
      <w:r>
        <w:rPr>
          <w:sz w:val="20"/>
        </w:rPr>
        <w:t>Public University</w:t>
      </w:r>
      <w:r>
        <w:rPr>
          <w:spacing w:val="-10"/>
          <w:sz w:val="20"/>
        </w:rPr>
        <w:t xml:space="preserve"> </w:t>
      </w:r>
      <w:r>
        <w:rPr>
          <w:sz w:val="20"/>
        </w:rPr>
        <w:t>Health</w:t>
      </w:r>
      <w:r>
        <w:rPr>
          <w:spacing w:val="-10"/>
          <w:sz w:val="20"/>
        </w:rPr>
        <w:t xml:space="preserve"> </w:t>
      </w:r>
      <w:r>
        <w:rPr>
          <w:sz w:val="20"/>
        </w:rPr>
        <w:t>Center</w:t>
      </w:r>
      <w:r>
        <w:rPr>
          <w:spacing w:val="-11"/>
          <w:sz w:val="20"/>
        </w:rPr>
        <w:t xml:space="preserve"> </w:t>
      </w:r>
      <w:r>
        <w:rPr>
          <w:sz w:val="20"/>
        </w:rPr>
        <w:t>Sexual</w:t>
      </w:r>
      <w:r>
        <w:rPr>
          <w:spacing w:val="-11"/>
          <w:sz w:val="20"/>
        </w:rPr>
        <w:t xml:space="preserve"> </w:t>
      </w:r>
      <w:r>
        <w:rPr>
          <w:sz w:val="20"/>
        </w:rPr>
        <w:t>and</w:t>
      </w:r>
      <w:r>
        <w:rPr>
          <w:spacing w:val="-10"/>
          <w:sz w:val="20"/>
        </w:rPr>
        <w:t xml:space="preserve"> </w:t>
      </w:r>
      <w:r>
        <w:rPr>
          <w:sz w:val="20"/>
        </w:rPr>
        <w:t>Reproductive</w:t>
      </w:r>
      <w:r>
        <w:rPr>
          <w:spacing w:val="-12"/>
          <w:sz w:val="20"/>
        </w:rPr>
        <w:t xml:space="preserve"> </w:t>
      </w:r>
      <w:r>
        <w:rPr>
          <w:sz w:val="20"/>
        </w:rPr>
        <w:t>Health</w:t>
      </w:r>
      <w:r>
        <w:rPr>
          <w:spacing w:val="-9"/>
          <w:sz w:val="20"/>
        </w:rPr>
        <w:t xml:space="preserve"> </w:t>
      </w:r>
      <w:r>
        <w:rPr>
          <w:sz w:val="20"/>
        </w:rPr>
        <w:t>Preparation</w:t>
      </w:r>
      <w:r>
        <w:rPr>
          <w:spacing w:val="-10"/>
          <w:sz w:val="20"/>
        </w:rPr>
        <w:t xml:space="preserve"> </w:t>
      </w:r>
      <w:r>
        <w:rPr>
          <w:sz w:val="20"/>
        </w:rPr>
        <w:t>Fund</w:t>
      </w:r>
      <w:r>
        <w:rPr>
          <w:spacing w:val="-10"/>
          <w:sz w:val="20"/>
        </w:rPr>
        <w:t xml:space="preserve"> </w:t>
      </w:r>
      <w:r>
        <w:rPr>
          <w:sz w:val="20"/>
        </w:rPr>
        <w:t>to</w:t>
      </w:r>
      <w:r>
        <w:rPr>
          <w:spacing w:val="-11"/>
          <w:sz w:val="20"/>
        </w:rPr>
        <w:t xml:space="preserve"> </w:t>
      </w:r>
      <w:r>
        <w:rPr>
          <w:sz w:val="20"/>
        </w:rPr>
        <w:t>help</w:t>
      </w:r>
      <w:r>
        <w:rPr>
          <w:spacing w:val="-10"/>
          <w:sz w:val="20"/>
        </w:rPr>
        <w:t xml:space="preserve"> </w:t>
      </w:r>
      <w:r>
        <w:rPr>
          <w:sz w:val="20"/>
        </w:rPr>
        <w:t>cover</w:t>
      </w:r>
      <w:r>
        <w:rPr>
          <w:spacing w:val="-11"/>
          <w:sz w:val="20"/>
        </w:rPr>
        <w:t xml:space="preserve"> </w:t>
      </w:r>
      <w:r>
        <w:rPr>
          <w:sz w:val="20"/>
        </w:rPr>
        <w:t>expenses</w:t>
      </w:r>
      <w:r>
        <w:rPr>
          <w:spacing w:val="-10"/>
          <w:sz w:val="20"/>
        </w:rPr>
        <w:t xml:space="preserve"> </w:t>
      </w:r>
      <w:r>
        <w:rPr>
          <w:sz w:val="20"/>
        </w:rPr>
        <w:t>for</w:t>
      </w:r>
      <w:r>
        <w:rPr>
          <w:spacing w:val="-11"/>
          <w:sz w:val="20"/>
        </w:rPr>
        <w:t xml:space="preserve"> </w:t>
      </w:r>
      <w:r>
        <w:rPr>
          <w:sz w:val="20"/>
        </w:rPr>
        <w:t>implementing new programs.</w:t>
      </w:r>
      <w:hyperlink w:anchor="_bookmark513" w:history="1">
        <w:r>
          <w:rPr>
            <w:sz w:val="20"/>
            <w:vertAlign w:val="superscript"/>
          </w:rPr>
          <w:t>67</w:t>
        </w:r>
      </w:hyperlink>
    </w:p>
    <w:p w:rsidR="00200FDA" w:rsidRDefault="00200FDA">
      <w:pPr>
        <w:pStyle w:val="BodyText"/>
        <w:spacing w:before="7"/>
        <w:rPr>
          <w:sz w:val="19"/>
        </w:rPr>
      </w:pPr>
    </w:p>
    <w:p w:rsidR="00200FDA" w:rsidRDefault="00F76C4C">
      <w:pPr>
        <w:spacing w:line="266" w:lineRule="auto"/>
        <w:ind w:left="140" w:right="336"/>
        <w:jc w:val="both"/>
        <w:rPr>
          <w:sz w:val="20"/>
        </w:rPr>
      </w:pPr>
      <w:r>
        <w:rPr>
          <w:sz w:val="20"/>
        </w:rPr>
        <w:t>Additionally, in April of 2023, after a federal court ruling from Texas that blocked further distribution of the medication abortion pill mifepristone, Governor Maura Healey issued an Executive Order affirming protections for abortion access in Massachuset</w:t>
      </w:r>
      <w:r>
        <w:rPr>
          <w:sz w:val="20"/>
        </w:rPr>
        <w:t>ts, and directing the state to begin stockpiling more than 15,000 doses of mifepristone to ensure access to the medication for over one year.</w:t>
      </w:r>
      <w:hyperlink w:anchor="_bookmark514" w:history="1">
        <w:r>
          <w:rPr>
            <w:sz w:val="20"/>
            <w:vertAlign w:val="superscript"/>
          </w:rPr>
          <w:t>68</w:t>
        </w:r>
      </w:hyperlink>
    </w:p>
    <w:p w:rsidR="00200FDA" w:rsidRDefault="00200FDA">
      <w:pPr>
        <w:pStyle w:val="BodyText"/>
        <w:spacing w:before="11"/>
        <w:rPr>
          <w:sz w:val="19"/>
        </w:rPr>
      </w:pPr>
    </w:p>
    <w:p w:rsidR="00200FDA" w:rsidRDefault="00F76C4C">
      <w:pPr>
        <w:spacing w:before="1" w:line="264" w:lineRule="auto"/>
        <w:ind w:left="139" w:right="336"/>
        <w:jc w:val="both"/>
        <w:rPr>
          <w:sz w:val="20"/>
        </w:rPr>
      </w:pPr>
      <w:r>
        <w:rPr>
          <w:sz w:val="20"/>
        </w:rPr>
        <w:t>However, though Massachusetts leans progressively toward abortion rights, the M</w:t>
      </w:r>
      <w:r>
        <w:rPr>
          <w:sz w:val="20"/>
        </w:rPr>
        <w:t>assachusetts Department of Public</w:t>
      </w:r>
      <w:r>
        <w:rPr>
          <w:spacing w:val="-3"/>
          <w:sz w:val="20"/>
        </w:rPr>
        <w:t xml:space="preserve"> </w:t>
      </w:r>
      <w:r>
        <w:rPr>
          <w:sz w:val="20"/>
        </w:rPr>
        <w:t>Health's</w:t>
      </w:r>
      <w:r>
        <w:rPr>
          <w:spacing w:val="-4"/>
          <w:sz w:val="20"/>
        </w:rPr>
        <w:t xml:space="preserve"> </w:t>
      </w:r>
      <w:r>
        <w:rPr>
          <w:sz w:val="20"/>
        </w:rPr>
        <w:t>lack</w:t>
      </w:r>
      <w:r>
        <w:rPr>
          <w:spacing w:val="-3"/>
          <w:sz w:val="20"/>
        </w:rPr>
        <w:t xml:space="preserve"> </w:t>
      </w:r>
      <w:r>
        <w:rPr>
          <w:sz w:val="20"/>
        </w:rPr>
        <w:t>of</w:t>
      </w:r>
      <w:r>
        <w:rPr>
          <w:spacing w:val="-4"/>
          <w:sz w:val="20"/>
        </w:rPr>
        <w:t xml:space="preserve"> </w:t>
      </w:r>
      <w:r>
        <w:rPr>
          <w:sz w:val="20"/>
        </w:rPr>
        <w:t>requiring</w:t>
      </w:r>
      <w:r>
        <w:rPr>
          <w:spacing w:val="-3"/>
          <w:sz w:val="20"/>
        </w:rPr>
        <w:t xml:space="preserve"> </w:t>
      </w:r>
      <w:r>
        <w:rPr>
          <w:sz w:val="20"/>
        </w:rPr>
        <w:t>medical</w:t>
      </w:r>
      <w:r>
        <w:rPr>
          <w:spacing w:val="-3"/>
          <w:sz w:val="20"/>
        </w:rPr>
        <w:t xml:space="preserve"> </w:t>
      </w:r>
      <w:r>
        <w:rPr>
          <w:sz w:val="20"/>
        </w:rPr>
        <w:t>providers</w:t>
      </w:r>
      <w:r>
        <w:rPr>
          <w:spacing w:val="-4"/>
          <w:sz w:val="20"/>
        </w:rPr>
        <w:t xml:space="preserve"> </w:t>
      </w:r>
      <w:r>
        <w:rPr>
          <w:sz w:val="20"/>
        </w:rPr>
        <w:t>and</w:t>
      </w:r>
      <w:r>
        <w:rPr>
          <w:spacing w:val="-3"/>
          <w:sz w:val="20"/>
        </w:rPr>
        <w:t xml:space="preserve"> </w:t>
      </w:r>
      <w:r>
        <w:rPr>
          <w:sz w:val="20"/>
        </w:rPr>
        <w:t>facilities</w:t>
      </w:r>
      <w:r>
        <w:rPr>
          <w:spacing w:val="-4"/>
          <w:sz w:val="20"/>
        </w:rPr>
        <w:t xml:space="preserve"> </w:t>
      </w:r>
      <w:r>
        <w:rPr>
          <w:sz w:val="20"/>
        </w:rPr>
        <w:t>it</w:t>
      </w:r>
      <w:r>
        <w:rPr>
          <w:spacing w:val="-3"/>
          <w:sz w:val="20"/>
        </w:rPr>
        <w:t xml:space="preserve"> </w:t>
      </w:r>
      <w:r>
        <w:rPr>
          <w:sz w:val="20"/>
        </w:rPr>
        <w:t>funds</w:t>
      </w:r>
      <w:r>
        <w:rPr>
          <w:spacing w:val="-4"/>
          <w:sz w:val="20"/>
        </w:rPr>
        <w:t xml:space="preserve"> </w:t>
      </w:r>
      <w:r>
        <w:rPr>
          <w:sz w:val="20"/>
        </w:rPr>
        <w:t>to</w:t>
      </w:r>
      <w:r>
        <w:rPr>
          <w:spacing w:val="-3"/>
          <w:sz w:val="20"/>
        </w:rPr>
        <w:t xml:space="preserve"> </w:t>
      </w:r>
      <w:r>
        <w:rPr>
          <w:sz w:val="20"/>
        </w:rPr>
        <w:t>provide</w:t>
      </w:r>
      <w:r>
        <w:rPr>
          <w:spacing w:val="-4"/>
          <w:sz w:val="20"/>
        </w:rPr>
        <w:t xml:space="preserve"> </w:t>
      </w:r>
      <w:r>
        <w:rPr>
          <w:sz w:val="20"/>
        </w:rPr>
        <w:t>routine</w:t>
      </w:r>
      <w:r>
        <w:rPr>
          <w:spacing w:val="-4"/>
          <w:sz w:val="20"/>
        </w:rPr>
        <w:t xml:space="preserve"> </w:t>
      </w:r>
      <w:r>
        <w:rPr>
          <w:sz w:val="20"/>
        </w:rPr>
        <w:t>abortion</w:t>
      </w:r>
      <w:r>
        <w:rPr>
          <w:spacing w:val="-3"/>
          <w:sz w:val="20"/>
        </w:rPr>
        <w:t xml:space="preserve"> </w:t>
      </w:r>
      <w:r>
        <w:rPr>
          <w:sz w:val="20"/>
        </w:rPr>
        <w:t>services</w:t>
      </w:r>
      <w:r>
        <w:rPr>
          <w:spacing w:val="-4"/>
          <w:sz w:val="20"/>
        </w:rPr>
        <w:t xml:space="preserve"> </w:t>
      </w:r>
      <w:r>
        <w:rPr>
          <w:sz w:val="20"/>
        </w:rPr>
        <w:t>creates</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spacing w:before="66" w:line="264" w:lineRule="auto"/>
        <w:ind w:left="139" w:right="337"/>
        <w:jc w:val="both"/>
        <w:rPr>
          <w:sz w:val="20"/>
        </w:rPr>
      </w:pPr>
      <w:r>
        <w:rPr>
          <w:sz w:val="20"/>
        </w:rPr>
        <w:lastRenderedPageBreak/>
        <w:t>a</w:t>
      </w:r>
      <w:r>
        <w:rPr>
          <w:spacing w:val="-12"/>
          <w:sz w:val="20"/>
        </w:rPr>
        <w:t xml:space="preserve"> </w:t>
      </w:r>
      <w:r>
        <w:rPr>
          <w:sz w:val="20"/>
        </w:rPr>
        <w:t>barrier</w:t>
      </w:r>
      <w:r>
        <w:rPr>
          <w:spacing w:val="-11"/>
          <w:sz w:val="20"/>
        </w:rPr>
        <w:t xml:space="preserve"> </w:t>
      </w:r>
      <w:r>
        <w:rPr>
          <w:sz w:val="20"/>
        </w:rPr>
        <w:t>for</w:t>
      </w:r>
      <w:r>
        <w:rPr>
          <w:spacing w:val="-11"/>
          <w:sz w:val="20"/>
        </w:rPr>
        <w:t xml:space="preserve"> </w:t>
      </w:r>
      <w:r>
        <w:rPr>
          <w:sz w:val="20"/>
        </w:rPr>
        <w:t>Massachusetts</w:t>
      </w:r>
      <w:r>
        <w:rPr>
          <w:spacing w:val="-12"/>
          <w:sz w:val="20"/>
        </w:rPr>
        <w:t xml:space="preserve"> </w:t>
      </w:r>
      <w:r>
        <w:rPr>
          <w:sz w:val="20"/>
        </w:rPr>
        <w:t>residents</w:t>
      </w:r>
      <w:r>
        <w:rPr>
          <w:spacing w:val="-11"/>
          <w:sz w:val="20"/>
        </w:rPr>
        <w:t xml:space="preserve"> </w:t>
      </w:r>
      <w:r>
        <w:rPr>
          <w:sz w:val="20"/>
        </w:rPr>
        <w:t>to</w:t>
      </w:r>
      <w:r>
        <w:rPr>
          <w:spacing w:val="-11"/>
          <w:sz w:val="20"/>
        </w:rPr>
        <w:t xml:space="preserve"> </w:t>
      </w:r>
      <w:r>
        <w:rPr>
          <w:sz w:val="20"/>
        </w:rPr>
        <w:t>access</w:t>
      </w:r>
      <w:r>
        <w:rPr>
          <w:spacing w:val="-12"/>
          <w:sz w:val="20"/>
        </w:rPr>
        <w:t xml:space="preserve"> </w:t>
      </w:r>
      <w:r>
        <w:rPr>
          <w:sz w:val="20"/>
        </w:rPr>
        <w:t>abortion</w:t>
      </w:r>
      <w:r>
        <w:rPr>
          <w:spacing w:val="-11"/>
          <w:sz w:val="20"/>
        </w:rPr>
        <w:t xml:space="preserve"> </w:t>
      </w:r>
      <w:r>
        <w:rPr>
          <w:sz w:val="20"/>
        </w:rPr>
        <w:t>services</w:t>
      </w:r>
      <w:r>
        <w:rPr>
          <w:spacing w:val="-11"/>
          <w:sz w:val="20"/>
        </w:rPr>
        <w:t xml:space="preserve"> </w:t>
      </w:r>
      <w:r>
        <w:rPr>
          <w:sz w:val="20"/>
        </w:rPr>
        <w:t>at</w:t>
      </w:r>
      <w:r>
        <w:rPr>
          <w:spacing w:val="-12"/>
          <w:sz w:val="20"/>
        </w:rPr>
        <w:t xml:space="preserve"> </w:t>
      </w:r>
      <w:r>
        <w:rPr>
          <w:sz w:val="20"/>
        </w:rPr>
        <w:t>certain</w:t>
      </w:r>
      <w:r>
        <w:rPr>
          <w:spacing w:val="-11"/>
          <w:sz w:val="20"/>
        </w:rPr>
        <w:t xml:space="preserve"> </w:t>
      </w:r>
      <w:r>
        <w:rPr>
          <w:sz w:val="20"/>
        </w:rPr>
        <w:t>medical</w:t>
      </w:r>
      <w:r>
        <w:rPr>
          <w:spacing w:val="-11"/>
          <w:sz w:val="20"/>
        </w:rPr>
        <w:t xml:space="preserve"> </w:t>
      </w:r>
      <w:r>
        <w:rPr>
          <w:sz w:val="20"/>
        </w:rPr>
        <w:t>facilities</w:t>
      </w:r>
      <w:r>
        <w:rPr>
          <w:spacing w:val="-11"/>
          <w:sz w:val="20"/>
        </w:rPr>
        <w:t xml:space="preserve"> </w:t>
      </w:r>
      <w:r>
        <w:rPr>
          <w:sz w:val="20"/>
        </w:rPr>
        <w:t>in</w:t>
      </w:r>
      <w:r>
        <w:rPr>
          <w:spacing w:val="-12"/>
          <w:sz w:val="20"/>
        </w:rPr>
        <w:t xml:space="preserve"> </w:t>
      </w:r>
      <w:r>
        <w:rPr>
          <w:sz w:val="20"/>
        </w:rPr>
        <w:t>the</w:t>
      </w:r>
      <w:r>
        <w:rPr>
          <w:spacing w:val="-11"/>
          <w:sz w:val="20"/>
        </w:rPr>
        <w:t xml:space="preserve"> </w:t>
      </w:r>
      <w:r>
        <w:rPr>
          <w:sz w:val="20"/>
        </w:rPr>
        <w:t>state,</w:t>
      </w:r>
      <w:r>
        <w:rPr>
          <w:spacing w:val="-11"/>
          <w:sz w:val="20"/>
        </w:rPr>
        <w:t xml:space="preserve"> </w:t>
      </w:r>
      <w:r>
        <w:rPr>
          <w:sz w:val="20"/>
        </w:rPr>
        <w:t>thus</w:t>
      </w:r>
      <w:r>
        <w:rPr>
          <w:spacing w:val="-12"/>
          <w:sz w:val="20"/>
        </w:rPr>
        <w:t xml:space="preserve"> </w:t>
      </w:r>
      <w:r>
        <w:rPr>
          <w:sz w:val="20"/>
        </w:rPr>
        <w:t>causing pregnant people to travel far distances for abortion services. Fortunately, the Commonwealth has ensured that medical providers and facilities perform emergency abortions to stabilize the pregnant person in the event o</w:t>
      </w:r>
      <w:r>
        <w:rPr>
          <w:sz w:val="20"/>
        </w:rPr>
        <w:t>f a medical emergency. However, lack of access to routine abortion services can negatively impact LGBTQ youth with unintended</w:t>
      </w:r>
      <w:r>
        <w:rPr>
          <w:spacing w:val="-12"/>
          <w:sz w:val="20"/>
        </w:rPr>
        <w:t xml:space="preserve"> </w:t>
      </w:r>
      <w:r>
        <w:rPr>
          <w:sz w:val="20"/>
        </w:rPr>
        <w:t>pregnancies.</w:t>
      </w:r>
      <w:r>
        <w:rPr>
          <w:spacing w:val="-11"/>
          <w:sz w:val="20"/>
        </w:rPr>
        <w:t xml:space="preserve"> </w:t>
      </w:r>
      <w:r>
        <w:rPr>
          <w:sz w:val="20"/>
        </w:rPr>
        <w:t>Although</w:t>
      </w:r>
      <w:r>
        <w:rPr>
          <w:spacing w:val="-11"/>
          <w:sz w:val="20"/>
        </w:rPr>
        <w:t xml:space="preserve"> </w:t>
      </w:r>
      <w:r>
        <w:rPr>
          <w:sz w:val="20"/>
        </w:rPr>
        <w:t>unintended</w:t>
      </w:r>
      <w:r>
        <w:rPr>
          <w:spacing w:val="-12"/>
          <w:sz w:val="20"/>
        </w:rPr>
        <w:t xml:space="preserve"> </w:t>
      </w:r>
      <w:r>
        <w:rPr>
          <w:sz w:val="20"/>
        </w:rPr>
        <w:t>pregnancies</w:t>
      </w:r>
      <w:r>
        <w:rPr>
          <w:spacing w:val="-11"/>
          <w:sz w:val="20"/>
        </w:rPr>
        <w:t xml:space="preserve"> </w:t>
      </w:r>
      <w:r>
        <w:rPr>
          <w:sz w:val="20"/>
        </w:rPr>
        <w:t>are</w:t>
      </w:r>
      <w:r>
        <w:rPr>
          <w:spacing w:val="-11"/>
          <w:sz w:val="20"/>
        </w:rPr>
        <w:t xml:space="preserve"> </w:t>
      </w:r>
      <w:r>
        <w:rPr>
          <w:sz w:val="20"/>
        </w:rPr>
        <w:t>not</w:t>
      </w:r>
      <w:r>
        <w:rPr>
          <w:spacing w:val="-12"/>
          <w:sz w:val="20"/>
        </w:rPr>
        <w:t xml:space="preserve"> </w:t>
      </w:r>
      <w:r>
        <w:rPr>
          <w:sz w:val="20"/>
        </w:rPr>
        <w:t>classified</w:t>
      </w:r>
      <w:r>
        <w:rPr>
          <w:spacing w:val="-11"/>
          <w:sz w:val="20"/>
        </w:rPr>
        <w:t xml:space="preserve"> </w:t>
      </w:r>
      <w:r>
        <w:rPr>
          <w:sz w:val="20"/>
        </w:rPr>
        <w:t>as</w:t>
      </w:r>
      <w:r>
        <w:rPr>
          <w:spacing w:val="-11"/>
          <w:sz w:val="20"/>
        </w:rPr>
        <w:t xml:space="preserve"> </w:t>
      </w:r>
      <w:r>
        <w:rPr>
          <w:sz w:val="20"/>
        </w:rPr>
        <w:t>“emergencies”</w:t>
      </w:r>
      <w:r>
        <w:rPr>
          <w:spacing w:val="-12"/>
          <w:sz w:val="20"/>
        </w:rPr>
        <w:t xml:space="preserve"> </w:t>
      </w:r>
      <w:r>
        <w:rPr>
          <w:sz w:val="20"/>
        </w:rPr>
        <w:t>or</w:t>
      </w:r>
      <w:r>
        <w:rPr>
          <w:spacing w:val="-11"/>
          <w:sz w:val="20"/>
        </w:rPr>
        <w:t xml:space="preserve"> </w:t>
      </w:r>
      <w:r>
        <w:rPr>
          <w:sz w:val="20"/>
        </w:rPr>
        <w:t>“life-threatening,” unwanted pregnancies are still distressing to LGBTQ youth who do not want to be pregnant, especially if the pregnancy</w:t>
      </w:r>
      <w:r>
        <w:rPr>
          <w:spacing w:val="-6"/>
          <w:sz w:val="20"/>
        </w:rPr>
        <w:t xml:space="preserve"> </w:t>
      </w:r>
      <w:r>
        <w:rPr>
          <w:sz w:val="20"/>
        </w:rPr>
        <w:t>amplifies</w:t>
      </w:r>
      <w:r>
        <w:rPr>
          <w:spacing w:val="-6"/>
          <w:sz w:val="20"/>
        </w:rPr>
        <w:t xml:space="preserve"> </w:t>
      </w:r>
      <w:r>
        <w:rPr>
          <w:sz w:val="20"/>
        </w:rPr>
        <w:t>feelings</w:t>
      </w:r>
      <w:r>
        <w:rPr>
          <w:spacing w:val="-8"/>
          <w:sz w:val="20"/>
        </w:rPr>
        <w:t xml:space="preserve"> </w:t>
      </w:r>
      <w:r>
        <w:rPr>
          <w:sz w:val="20"/>
        </w:rPr>
        <w:t>of</w:t>
      </w:r>
      <w:r>
        <w:rPr>
          <w:spacing w:val="-8"/>
          <w:sz w:val="20"/>
        </w:rPr>
        <w:t xml:space="preserve"> </w:t>
      </w:r>
      <w:r>
        <w:rPr>
          <w:sz w:val="20"/>
        </w:rPr>
        <w:t>gender</w:t>
      </w:r>
      <w:r>
        <w:rPr>
          <w:spacing w:val="-7"/>
          <w:sz w:val="20"/>
        </w:rPr>
        <w:t xml:space="preserve"> </w:t>
      </w:r>
      <w:r>
        <w:rPr>
          <w:sz w:val="20"/>
        </w:rPr>
        <w:t>dysphoria.</w:t>
      </w:r>
      <w:r>
        <w:rPr>
          <w:spacing w:val="-5"/>
          <w:sz w:val="20"/>
        </w:rPr>
        <w:t xml:space="preserve"> </w:t>
      </w:r>
      <w:r>
        <w:rPr>
          <w:sz w:val="20"/>
        </w:rPr>
        <w:t>The</w:t>
      </w:r>
      <w:r>
        <w:rPr>
          <w:spacing w:val="-5"/>
          <w:sz w:val="20"/>
        </w:rPr>
        <w:t xml:space="preserve"> </w:t>
      </w:r>
      <w:r>
        <w:rPr>
          <w:sz w:val="20"/>
        </w:rPr>
        <w:t>Commonwealth</w:t>
      </w:r>
      <w:r>
        <w:rPr>
          <w:spacing w:val="-5"/>
          <w:sz w:val="20"/>
        </w:rPr>
        <w:t xml:space="preserve"> </w:t>
      </w:r>
      <w:r>
        <w:rPr>
          <w:sz w:val="20"/>
        </w:rPr>
        <w:t>should</w:t>
      </w:r>
      <w:r>
        <w:rPr>
          <w:spacing w:val="-6"/>
          <w:sz w:val="20"/>
        </w:rPr>
        <w:t xml:space="preserve"> </w:t>
      </w:r>
      <w:r>
        <w:rPr>
          <w:sz w:val="20"/>
        </w:rPr>
        <w:t>urge</w:t>
      </w:r>
      <w:r>
        <w:rPr>
          <w:spacing w:val="-5"/>
          <w:sz w:val="20"/>
        </w:rPr>
        <w:t xml:space="preserve"> </w:t>
      </w:r>
      <w:r>
        <w:rPr>
          <w:sz w:val="20"/>
        </w:rPr>
        <w:t>the</w:t>
      </w:r>
      <w:r>
        <w:rPr>
          <w:spacing w:val="-8"/>
          <w:sz w:val="20"/>
        </w:rPr>
        <w:t xml:space="preserve"> </w:t>
      </w:r>
      <w:r>
        <w:rPr>
          <w:sz w:val="20"/>
        </w:rPr>
        <w:t>Department</w:t>
      </w:r>
      <w:r>
        <w:rPr>
          <w:spacing w:val="-6"/>
          <w:sz w:val="20"/>
        </w:rPr>
        <w:t xml:space="preserve"> </w:t>
      </w:r>
      <w:r>
        <w:rPr>
          <w:sz w:val="20"/>
        </w:rPr>
        <w:t>of</w:t>
      </w:r>
      <w:r>
        <w:rPr>
          <w:spacing w:val="-8"/>
          <w:sz w:val="20"/>
        </w:rPr>
        <w:t xml:space="preserve"> </w:t>
      </w:r>
      <w:r>
        <w:rPr>
          <w:sz w:val="20"/>
        </w:rPr>
        <w:t>Public</w:t>
      </w:r>
      <w:r>
        <w:rPr>
          <w:spacing w:val="-7"/>
          <w:sz w:val="20"/>
        </w:rPr>
        <w:t xml:space="preserve"> </w:t>
      </w:r>
      <w:r>
        <w:rPr>
          <w:sz w:val="20"/>
        </w:rPr>
        <w:t>Health to revise its pro</w:t>
      </w:r>
      <w:r>
        <w:rPr>
          <w:sz w:val="20"/>
        </w:rPr>
        <w:t>vision of abortion requirements for medical facilities and programs it funds. The state should also work with the Department of Public Health to expand funding to invest in abortion-competent medical providers and</w:t>
      </w:r>
      <w:r>
        <w:rPr>
          <w:spacing w:val="-2"/>
          <w:sz w:val="20"/>
        </w:rPr>
        <w:t xml:space="preserve"> </w:t>
      </w:r>
      <w:r>
        <w:rPr>
          <w:sz w:val="20"/>
        </w:rPr>
        <w:t>resources</w:t>
      </w:r>
      <w:r>
        <w:rPr>
          <w:spacing w:val="-4"/>
          <w:sz w:val="20"/>
        </w:rPr>
        <w:t xml:space="preserve"> </w:t>
      </w:r>
      <w:r>
        <w:rPr>
          <w:sz w:val="20"/>
        </w:rPr>
        <w:t>in</w:t>
      </w:r>
      <w:r>
        <w:rPr>
          <w:spacing w:val="-2"/>
          <w:sz w:val="20"/>
        </w:rPr>
        <w:t xml:space="preserve"> </w:t>
      </w:r>
      <w:r>
        <w:rPr>
          <w:sz w:val="20"/>
        </w:rPr>
        <w:t>order</w:t>
      </w:r>
      <w:r>
        <w:rPr>
          <w:spacing w:val="-3"/>
          <w:sz w:val="20"/>
        </w:rPr>
        <w:t xml:space="preserve"> </w:t>
      </w:r>
      <w:r>
        <w:rPr>
          <w:sz w:val="20"/>
        </w:rPr>
        <w:t>to</w:t>
      </w:r>
      <w:r>
        <w:rPr>
          <w:spacing w:val="-3"/>
          <w:sz w:val="20"/>
        </w:rPr>
        <w:t xml:space="preserve"> </w:t>
      </w:r>
      <w:r>
        <w:rPr>
          <w:sz w:val="20"/>
        </w:rPr>
        <w:t>expand</w:t>
      </w:r>
      <w:r>
        <w:rPr>
          <w:spacing w:val="-2"/>
          <w:sz w:val="20"/>
        </w:rPr>
        <w:t xml:space="preserve"> </w:t>
      </w:r>
      <w:r>
        <w:rPr>
          <w:sz w:val="20"/>
        </w:rPr>
        <w:t>routine</w:t>
      </w:r>
      <w:r>
        <w:rPr>
          <w:spacing w:val="-4"/>
          <w:sz w:val="20"/>
        </w:rPr>
        <w:t xml:space="preserve"> </w:t>
      </w:r>
      <w:r>
        <w:rPr>
          <w:sz w:val="20"/>
        </w:rPr>
        <w:t>abort</w:t>
      </w:r>
      <w:r>
        <w:rPr>
          <w:sz w:val="20"/>
        </w:rPr>
        <w:t>ion</w:t>
      </w:r>
      <w:r>
        <w:rPr>
          <w:spacing w:val="-2"/>
          <w:sz w:val="20"/>
        </w:rPr>
        <w:t xml:space="preserve"> </w:t>
      </w:r>
      <w:r>
        <w:rPr>
          <w:sz w:val="20"/>
        </w:rPr>
        <w:t>service</w:t>
      </w:r>
      <w:r>
        <w:rPr>
          <w:spacing w:val="-4"/>
          <w:sz w:val="20"/>
        </w:rPr>
        <w:t xml:space="preserve"> </w:t>
      </w:r>
      <w:r>
        <w:rPr>
          <w:sz w:val="20"/>
        </w:rPr>
        <w:t>access</w:t>
      </w:r>
      <w:r>
        <w:rPr>
          <w:spacing w:val="-4"/>
          <w:sz w:val="20"/>
        </w:rPr>
        <w:t xml:space="preserve"> </w:t>
      </w:r>
      <w:r>
        <w:rPr>
          <w:sz w:val="20"/>
        </w:rPr>
        <w:t>to</w:t>
      </w:r>
      <w:r>
        <w:rPr>
          <w:spacing w:val="-3"/>
          <w:sz w:val="20"/>
        </w:rPr>
        <w:t xml:space="preserve"> </w:t>
      </w:r>
      <w:r>
        <w:rPr>
          <w:sz w:val="20"/>
        </w:rPr>
        <w:t>Massachusetts</w:t>
      </w:r>
      <w:r>
        <w:rPr>
          <w:spacing w:val="-4"/>
          <w:sz w:val="20"/>
        </w:rPr>
        <w:t xml:space="preserve"> </w:t>
      </w:r>
      <w:r>
        <w:rPr>
          <w:sz w:val="20"/>
        </w:rPr>
        <w:t>residents.</w:t>
      </w:r>
      <w:r>
        <w:rPr>
          <w:spacing w:val="-3"/>
          <w:sz w:val="20"/>
        </w:rPr>
        <w:t xml:space="preserve"> </w:t>
      </w:r>
      <w:r>
        <w:rPr>
          <w:sz w:val="20"/>
        </w:rPr>
        <w:t>Pregnant</w:t>
      </w:r>
      <w:r>
        <w:rPr>
          <w:spacing w:val="-3"/>
          <w:sz w:val="20"/>
        </w:rPr>
        <w:t xml:space="preserve"> </w:t>
      </w:r>
      <w:r>
        <w:rPr>
          <w:sz w:val="20"/>
        </w:rPr>
        <w:t>people</w:t>
      </w:r>
      <w:r>
        <w:rPr>
          <w:spacing w:val="-4"/>
          <w:sz w:val="20"/>
        </w:rPr>
        <w:t xml:space="preserve"> </w:t>
      </w:r>
      <w:r>
        <w:rPr>
          <w:sz w:val="20"/>
        </w:rPr>
        <w:t>with unintended pregnancies would not have to travel long distances within the state for an abortion.</w:t>
      </w:r>
    </w:p>
    <w:p w:rsidR="00200FDA" w:rsidRDefault="00200FDA">
      <w:pPr>
        <w:pStyle w:val="BodyText"/>
        <w:rPr>
          <w:sz w:val="20"/>
        </w:rPr>
      </w:pPr>
    </w:p>
    <w:p w:rsidR="00200FDA" w:rsidRDefault="00F76C4C">
      <w:pPr>
        <w:pStyle w:val="Heading8"/>
        <w:spacing w:before="157"/>
      </w:pPr>
      <w:bookmarkStart w:id="593" w:name="Birth_Control_Access"/>
      <w:bookmarkEnd w:id="593"/>
      <w:r>
        <w:rPr>
          <w:color w:val="2E5395"/>
        </w:rPr>
        <w:t>Birth</w:t>
      </w:r>
      <w:r>
        <w:rPr>
          <w:color w:val="2E5395"/>
          <w:spacing w:val="1"/>
        </w:rPr>
        <w:t xml:space="preserve"> </w:t>
      </w:r>
      <w:r>
        <w:rPr>
          <w:color w:val="2E5395"/>
        </w:rPr>
        <w:t>Control</w:t>
      </w:r>
      <w:r>
        <w:rPr>
          <w:color w:val="2E5395"/>
          <w:spacing w:val="-2"/>
        </w:rPr>
        <w:t xml:space="preserve"> Access</w:t>
      </w:r>
    </w:p>
    <w:p w:rsidR="00200FDA" w:rsidRDefault="00200FDA">
      <w:pPr>
        <w:pStyle w:val="BodyText"/>
        <w:spacing w:before="10"/>
        <w:rPr>
          <w:sz w:val="19"/>
        </w:rPr>
      </w:pPr>
    </w:p>
    <w:p w:rsidR="00200FDA" w:rsidRDefault="00F76C4C">
      <w:pPr>
        <w:spacing w:line="264" w:lineRule="auto"/>
        <w:ind w:left="139" w:right="334"/>
        <w:jc w:val="both"/>
        <w:rPr>
          <w:sz w:val="20"/>
        </w:rPr>
      </w:pPr>
      <w:r>
        <w:rPr>
          <w:sz w:val="20"/>
        </w:rPr>
        <w:t>In November 2017, Governor Charlie Baker signed An Act Relative to Advancing Contraceptive Coverage and Economic Security (ACCESS), which further expanded access to birth control. This law allows (1) eligible people to get</w:t>
      </w:r>
      <w:r>
        <w:rPr>
          <w:spacing w:val="-12"/>
          <w:sz w:val="20"/>
        </w:rPr>
        <w:t xml:space="preserve"> </w:t>
      </w:r>
      <w:r>
        <w:rPr>
          <w:sz w:val="20"/>
        </w:rPr>
        <w:t>a</w:t>
      </w:r>
      <w:r>
        <w:rPr>
          <w:spacing w:val="-10"/>
          <w:sz w:val="20"/>
        </w:rPr>
        <w:t xml:space="preserve"> </w:t>
      </w:r>
      <w:r>
        <w:rPr>
          <w:sz w:val="20"/>
        </w:rPr>
        <w:t>year’s</w:t>
      </w:r>
      <w:r>
        <w:rPr>
          <w:spacing w:val="-11"/>
          <w:sz w:val="20"/>
        </w:rPr>
        <w:t xml:space="preserve"> </w:t>
      </w:r>
      <w:r>
        <w:rPr>
          <w:sz w:val="20"/>
        </w:rPr>
        <w:t>supply</w:t>
      </w:r>
      <w:r>
        <w:rPr>
          <w:spacing w:val="-12"/>
          <w:sz w:val="20"/>
        </w:rPr>
        <w:t xml:space="preserve"> </w:t>
      </w:r>
      <w:r>
        <w:rPr>
          <w:sz w:val="20"/>
        </w:rPr>
        <w:t>of</w:t>
      </w:r>
      <w:r>
        <w:rPr>
          <w:spacing w:val="-10"/>
          <w:sz w:val="20"/>
        </w:rPr>
        <w:t xml:space="preserve"> </w:t>
      </w:r>
      <w:r>
        <w:rPr>
          <w:sz w:val="20"/>
        </w:rPr>
        <w:t>no-cost</w:t>
      </w:r>
      <w:r>
        <w:rPr>
          <w:spacing w:val="-10"/>
          <w:sz w:val="20"/>
        </w:rPr>
        <w:t xml:space="preserve"> </w:t>
      </w:r>
      <w:r>
        <w:rPr>
          <w:sz w:val="20"/>
        </w:rPr>
        <w:t>birth</w:t>
      </w:r>
      <w:r>
        <w:rPr>
          <w:spacing w:val="-9"/>
          <w:sz w:val="20"/>
        </w:rPr>
        <w:t xml:space="preserve"> </w:t>
      </w:r>
      <w:r>
        <w:rPr>
          <w:sz w:val="20"/>
        </w:rPr>
        <w:t>control</w:t>
      </w:r>
      <w:r>
        <w:rPr>
          <w:spacing w:val="-12"/>
          <w:sz w:val="20"/>
        </w:rPr>
        <w:t xml:space="preserve"> </w:t>
      </w:r>
      <w:r>
        <w:rPr>
          <w:sz w:val="20"/>
        </w:rPr>
        <w:t>and</w:t>
      </w:r>
      <w:r>
        <w:rPr>
          <w:spacing w:val="-11"/>
          <w:sz w:val="20"/>
        </w:rPr>
        <w:t xml:space="preserve"> </w:t>
      </w:r>
      <w:r>
        <w:rPr>
          <w:sz w:val="20"/>
        </w:rPr>
        <w:t>(2)</w:t>
      </w:r>
      <w:r>
        <w:rPr>
          <w:spacing w:val="-11"/>
          <w:sz w:val="20"/>
        </w:rPr>
        <w:t xml:space="preserve"> </w:t>
      </w:r>
      <w:r>
        <w:rPr>
          <w:sz w:val="20"/>
        </w:rPr>
        <w:t>emergency</w:t>
      </w:r>
      <w:r>
        <w:rPr>
          <w:spacing w:val="-9"/>
          <w:sz w:val="20"/>
        </w:rPr>
        <w:t xml:space="preserve"> </w:t>
      </w:r>
      <w:r>
        <w:rPr>
          <w:sz w:val="20"/>
        </w:rPr>
        <w:t>contraceptives,</w:t>
      </w:r>
      <w:r>
        <w:rPr>
          <w:spacing w:val="-10"/>
          <w:sz w:val="20"/>
        </w:rPr>
        <w:t xml:space="preserve"> </w:t>
      </w:r>
      <w:r>
        <w:rPr>
          <w:sz w:val="20"/>
        </w:rPr>
        <w:t>such</w:t>
      </w:r>
      <w:r>
        <w:rPr>
          <w:spacing w:val="-9"/>
          <w:sz w:val="20"/>
        </w:rPr>
        <w:t xml:space="preserve"> </w:t>
      </w:r>
      <w:r>
        <w:rPr>
          <w:sz w:val="20"/>
        </w:rPr>
        <w:t>as</w:t>
      </w:r>
      <w:r>
        <w:rPr>
          <w:spacing w:val="-11"/>
          <w:sz w:val="20"/>
        </w:rPr>
        <w:t xml:space="preserve"> </w:t>
      </w:r>
      <w:r>
        <w:rPr>
          <w:sz w:val="20"/>
        </w:rPr>
        <w:t>Plan</w:t>
      </w:r>
      <w:r>
        <w:rPr>
          <w:spacing w:val="-9"/>
          <w:sz w:val="20"/>
        </w:rPr>
        <w:t xml:space="preserve"> </w:t>
      </w:r>
      <w:r>
        <w:rPr>
          <w:sz w:val="20"/>
        </w:rPr>
        <w:t>B</w:t>
      </w:r>
      <w:r>
        <w:rPr>
          <w:spacing w:val="-11"/>
          <w:sz w:val="20"/>
        </w:rPr>
        <w:t xml:space="preserve"> </w:t>
      </w:r>
      <w:r>
        <w:rPr>
          <w:sz w:val="20"/>
        </w:rPr>
        <w:t>One-Step</w:t>
      </w:r>
      <w:r>
        <w:rPr>
          <w:spacing w:val="-9"/>
          <w:sz w:val="20"/>
        </w:rPr>
        <w:t xml:space="preserve"> </w:t>
      </w:r>
      <w:r>
        <w:rPr>
          <w:sz w:val="20"/>
        </w:rPr>
        <w:t>or</w:t>
      </w:r>
      <w:r>
        <w:rPr>
          <w:spacing w:val="-10"/>
          <w:sz w:val="20"/>
        </w:rPr>
        <w:t xml:space="preserve"> </w:t>
      </w:r>
      <w:r>
        <w:rPr>
          <w:sz w:val="20"/>
        </w:rPr>
        <w:t>ella.</w:t>
      </w:r>
      <w:r>
        <w:rPr>
          <w:spacing w:val="-10"/>
          <w:sz w:val="20"/>
        </w:rPr>
        <w:t xml:space="preserve"> </w:t>
      </w:r>
      <w:r>
        <w:rPr>
          <w:sz w:val="20"/>
        </w:rPr>
        <w:t>Eligible patients</w:t>
      </w:r>
      <w:r>
        <w:rPr>
          <w:spacing w:val="-9"/>
          <w:sz w:val="20"/>
        </w:rPr>
        <w:t xml:space="preserve"> </w:t>
      </w:r>
      <w:r>
        <w:rPr>
          <w:sz w:val="20"/>
        </w:rPr>
        <w:t>can</w:t>
      </w:r>
      <w:r>
        <w:rPr>
          <w:spacing w:val="-7"/>
          <w:sz w:val="20"/>
        </w:rPr>
        <w:t xml:space="preserve"> </w:t>
      </w:r>
      <w:r>
        <w:rPr>
          <w:sz w:val="20"/>
        </w:rPr>
        <w:t>get</w:t>
      </w:r>
      <w:r>
        <w:rPr>
          <w:spacing w:val="-7"/>
          <w:sz w:val="20"/>
        </w:rPr>
        <w:t xml:space="preserve"> </w:t>
      </w:r>
      <w:r>
        <w:rPr>
          <w:sz w:val="20"/>
        </w:rPr>
        <w:t>birth</w:t>
      </w:r>
      <w:r>
        <w:rPr>
          <w:spacing w:val="-7"/>
          <w:sz w:val="20"/>
        </w:rPr>
        <w:t xml:space="preserve"> </w:t>
      </w:r>
      <w:r>
        <w:rPr>
          <w:sz w:val="20"/>
        </w:rPr>
        <w:t>control</w:t>
      </w:r>
      <w:r>
        <w:rPr>
          <w:spacing w:val="-10"/>
          <w:sz w:val="20"/>
        </w:rPr>
        <w:t xml:space="preserve"> </w:t>
      </w:r>
      <w:r>
        <w:rPr>
          <w:sz w:val="20"/>
        </w:rPr>
        <w:t>pills,</w:t>
      </w:r>
      <w:r>
        <w:rPr>
          <w:spacing w:val="-7"/>
          <w:sz w:val="20"/>
        </w:rPr>
        <w:t xml:space="preserve"> </w:t>
      </w:r>
      <w:r>
        <w:rPr>
          <w:sz w:val="20"/>
        </w:rPr>
        <w:t>patches,</w:t>
      </w:r>
      <w:r>
        <w:rPr>
          <w:spacing w:val="-7"/>
          <w:sz w:val="20"/>
        </w:rPr>
        <w:t xml:space="preserve"> </w:t>
      </w:r>
      <w:r>
        <w:rPr>
          <w:sz w:val="20"/>
        </w:rPr>
        <w:t>rings,</w:t>
      </w:r>
      <w:r>
        <w:rPr>
          <w:spacing w:val="-7"/>
          <w:sz w:val="20"/>
        </w:rPr>
        <w:t xml:space="preserve"> </w:t>
      </w:r>
      <w:r>
        <w:rPr>
          <w:sz w:val="20"/>
        </w:rPr>
        <w:t>or</w:t>
      </w:r>
      <w:r>
        <w:rPr>
          <w:spacing w:val="-8"/>
          <w:sz w:val="20"/>
        </w:rPr>
        <w:t xml:space="preserve"> </w:t>
      </w:r>
      <w:r>
        <w:rPr>
          <w:sz w:val="20"/>
        </w:rPr>
        <w:t>injectable</w:t>
      </w:r>
      <w:r>
        <w:rPr>
          <w:spacing w:val="-9"/>
          <w:sz w:val="20"/>
        </w:rPr>
        <w:t xml:space="preserve"> </w:t>
      </w:r>
      <w:r>
        <w:rPr>
          <w:sz w:val="20"/>
        </w:rPr>
        <w:t>birth</w:t>
      </w:r>
      <w:r>
        <w:rPr>
          <w:spacing w:val="-7"/>
          <w:sz w:val="20"/>
        </w:rPr>
        <w:t xml:space="preserve"> </w:t>
      </w:r>
      <w:r>
        <w:rPr>
          <w:sz w:val="20"/>
        </w:rPr>
        <w:t>control.</w:t>
      </w:r>
      <w:r>
        <w:rPr>
          <w:spacing w:val="-8"/>
          <w:sz w:val="20"/>
        </w:rPr>
        <w:t xml:space="preserve"> </w:t>
      </w:r>
      <w:r>
        <w:rPr>
          <w:sz w:val="20"/>
        </w:rPr>
        <w:t>To</w:t>
      </w:r>
      <w:r>
        <w:rPr>
          <w:spacing w:val="-7"/>
          <w:sz w:val="20"/>
        </w:rPr>
        <w:t xml:space="preserve"> </w:t>
      </w:r>
      <w:r>
        <w:rPr>
          <w:sz w:val="20"/>
        </w:rPr>
        <w:t>be</w:t>
      </w:r>
      <w:r>
        <w:rPr>
          <w:spacing w:val="-9"/>
          <w:sz w:val="20"/>
        </w:rPr>
        <w:t xml:space="preserve"> </w:t>
      </w:r>
      <w:r>
        <w:rPr>
          <w:sz w:val="20"/>
        </w:rPr>
        <w:t>eligible,</w:t>
      </w:r>
      <w:r>
        <w:rPr>
          <w:spacing w:val="-7"/>
          <w:sz w:val="20"/>
        </w:rPr>
        <w:t xml:space="preserve"> </w:t>
      </w:r>
      <w:r>
        <w:rPr>
          <w:sz w:val="20"/>
        </w:rPr>
        <w:t>one</w:t>
      </w:r>
      <w:r>
        <w:rPr>
          <w:spacing w:val="-9"/>
          <w:sz w:val="20"/>
        </w:rPr>
        <w:t xml:space="preserve"> </w:t>
      </w:r>
      <w:r>
        <w:rPr>
          <w:sz w:val="20"/>
        </w:rPr>
        <w:t>must</w:t>
      </w:r>
      <w:r>
        <w:rPr>
          <w:spacing w:val="-7"/>
          <w:sz w:val="20"/>
        </w:rPr>
        <w:t xml:space="preserve"> </w:t>
      </w:r>
      <w:r>
        <w:rPr>
          <w:sz w:val="20"/>
        </w:rPr>
        <w:t>be</w:t>
      </w:r>
      <w:r>
        <w:rPr>
          <w:spacing w:val="-9"/>
          <w:sz w:val="20"/>
        </w:rPr>
        <w:t xml:space="preserve"> </w:t>
      </w:r>
      <w:r>
        <w:rPr>
          <w:sz w:val="20"/>
        </w:rPr>
        <w:t>fully</w:t>
      </w:r>
      <w:r>
        <w:rPr>
          <w:spacing w:val="-7"/>
          <w:sz w:val="20"/>
        </w:rPr>
        <w:t xml:space="preserve"> </w:t>
      </w:r>
      <w:r>
        <w:rPr>
          <w:sz w:val="20"/>
        </w:rPr>
        <w:t>insured by a health insurance plan subject to Massachusetts law, including health plans from MassHealth and plans purchased</w:t>
      </w:r>
      <w:r>
        <w:rPr>
          <w:spacing w:val="-5"/>
          <w:sz w:val="20"/>
        </w:rPr>
        <w:t xml:space="preserve"> </w:t>
      </w:r>
      <w:r>
        <w:rPr>
          <w:sz w:val="20"/>
        </w:rPr>
        <w:t>on</w:t>
      </w:r>
      <w:r>
        <w:rPr>
          <w:spacing w:val="-5"/>
          <w:sz w:val="20"/>
        </w:rPr>
        <w:t xml:space="preserve"> </w:t>
      </w:r>
      <w:r>
        <w:rPr>
          <w:sz w:val="20"/>
        </w:rPr>
        <w:t>the</w:t>
      </w:r>
      <w:r>
        <w:rPr>
          <w:spacing w:val="-6"/>
          <w:sz w:val="20"/>
        </w:rPr>
        <w:t xml:space="preserve"> </w:t>
      </w:r>
      <w:r>
        <w:rPr>
          <w:sz w:val="20"/>
        </w:rPr>
        <w:t>MA</w:t>
      </w:r>
      <w:r>
        <w:rPr>
          <w:spacing w:val="-6"/>
          <w:sz w:val="20"/>
        </w:rPr>
        <w:t xml:space="preserve"> </w:t>
      </w:r>
      <w:r>
        <w:rPr>
          <w:sz w:val="20"/>
        </w:rPr>
        <w:t>Health</w:t>
      </w:r>
      <w:r>
        <w:rPr>
          <w:spacing w:val="-7"/>
          <w:sz w:val="20"/>
        </w:rPr>
        <w:t xml:space="preserve"> </w:t>
      </w:r>
      <w:r>
        <w:rPr>
          <w:sz w:val="20"/>
        </w:rPr>
        <w:t>Connector.</w:t>
      </w:r>
      <w:r>
        <w:rPr>
          <w:spacing w:val="-5"/>
          <w:sz w:val="20"/>
        </w:rPr>
        <w:t xml:space="preserve"> </w:t>
      </w:r>
      <w:r>
        <w:rPr>
          <w:sz w:val="20"/>
        </w:rPr>
        <w:t>Insurances</w:t>
      </w:r>
      <w:r>
        <w:rPr>
          <w:spacing w:val="-7"/>
          <w:sz w:val="20"/>
        </w:rPr>
        <w:t xml:space="preserve"> </w:t>
      </w:r>
      <w:r>
        <w:rPr>
          <w:sz w:val="20"/>
        </w:rPr>
        <w:t>through</w:t>
      </w:r>
      <w:r>
        <w:rPr>
          <w:spacing w:val="-5"/>
          <w:sz w:val="20"/>
        </w:rPr>
        <w:t xml:space="preserve"> </w:t>
      </w:r>
      <w:r>
        <w:rPr>
          <w:sz w:val="20"/>
        </w:rPr>
        <w:t>the</w:t>
      </w:r>
      <w:r>
        <w:rPr>
          <w:spacing w:val="-6"/>
          <w:sz w:val="20"/>
        </w:rPr>
        <w:t xml:space="preserve"> </w:t>
      </w:r>
      <w:r>
        <w:rPr>
          <w:sz w:val="20"/>
        </w:rPr>
        <w:t>MA</w:t>
      </w:r>
      <w:r>
        <w:rPr>
          <w:spacing w:val="-6"/>
          <w:sz w:val="20"/>
        </w:rPr>
        <w:t xml:space="preserve"> </w:t>
      </w:r>
      <w:r>
        <w:rPr>
          <w:sz w:val="20"/>
        </w:rPr>
        <w:t>Group</w:t>
      </w:r>
      <w:r>
        <w:rPr>
          <w:spacing w:val="-5"/>
          <w:sz w:val="20"/>
        </w:rPr>
        <w:t xml:space="preserve"> </w:t>
      </w:r>
      <w:r>
        <w:rPr>
          <w:sz w:val="20"/>
        </w:rPr>
        <w:t>Insurance</w:t>
      </w:r>
      <w:r>
        <w:rPr>
          <w:spacing w:val="-6"/>
          <w:sz w:val="20"/>
        </w:rPr>
        <w:t xml:space="preserve"> </w:t>
      </w:r>
      <w:r>
        <w:rPr>
          <w:sz w:val="20"/>
        </w:rPr>
        <w:t>Commission</w:t>
      </w:r>
      <w:r>
        <w:rPr>
          <w:spacing w:val="-5"/>
          <w:sz w:val="20"/>
        </w:rPr>
        <w:t xml:space="preserve"> </w:t>
      </w:r>
      <w:r>
        <w:rPr>
          <w:sz w:val="20"/>
        </w:rPr>
        <w:t>are</w:t>
      </w:r>
      <w:r>
        <w:rPr>
          <w:spacing w:val="-6"/>
          <w:sz w:val="20"/>
        </w:rPr>
        <w:t xml:space="preserve"> </w:t>
      </w:r>
      <w:r>
        <w:rPr>
          <w:sz w:val="20"/>
        </w:rPr>
        <w:t>also</w:t>
      </w:r>
      <w:r>
        <w:rPr>
          <w:spacing w:val="-5"/>
          <w:sz w:val="20"/>
        </w:rPr>
        <w:t xml:space="preserve"> </w:t>
      </w:r>
      <w:r>
        <w:rPr>
          <w:sz w:val="20"/>
        </w:rPr>
        <w:t>covered. This is an essential component th</w:t>
      </w:r>
      <w:r>
        <w:rPr>
          <w:sz w:val="20"/>
        </w:rPr>
        <w:t>at furthers reproductive rights.</w:t>
      </w:r>
    </w:p>
    <w:p w:rsidR="00200FDA" w:rsidRDefault="00200FDA">
      <w:pPr>
        <w:pStyle w:val="BodyText"/>
        <w:spacing w:before="7"/>
        <w:rPr>
          <w:sz w:val="19"/>
        </w:rPr>
      </w:pPr>
    </w:p>
    <w:p w:rsidR="00200FDA" w:rsidRDefault="00F76C4C">
      <w:pPr>
        <w:spacing w:line="264" w:lineRule="auto"/>
        <w:ind w:left="139" w:right="333"/>
        <w:jc w:val="both"/>
        <w:rPr>
          <w:sz w:val="20"/>
        </w:rPr>
      </w:pPr>
      <w:r>
        <w:rPr>
          <w:sz w:val="20"/>
        </w:rPr>
        <w:t>Unfortunately, this provision may not have been effectively implemented; only about 300 eligible AFAB people obtained a 12-month supply of birth control in 2020 through the state’s largest insurers. Patients and healthcare</w:t>
      </w:r>
      <w:r>
        <w:rPr>
          <w:sz w:val="20"/>
        </w:rPr>
        <w:t xml:space="preserve"> providers</w:t>
      </w:r>
      <w:r>
        <w:rPr>
          <w:spacing w:val="-6"/>
          <w:sz w:val="20"/>
        </w:rPr>
        <w:t xml:space="preserve"> </w:t>
      </w:r>
      <w:r>
        <w:rPr>
          <w:sz w:val="20"/>
        </w:rPr>
        <w:t>have</w:t>
      </w:r>
      <w:r>
        <w:rPr>
          <w:spacing w:val="-5"/>
          <w:sz w:val="20"/>
        </w:rPr>
        <w:t xml:space="preserve"> </w:t>
      </w:r>
      <w:r>
        <w:rPr>
          <w:sz w:val="20"/>
        </w:rPr>
        <w:t>reported</w:t>
      </w:r>
      <w:r>
        <w:rPr>
          <w:spacing w:val="-4"/>
          <w:sz w:val="20"/>
        </w:rPr>
        <w:t xml:space="preserve"> </w:t>
      </w:r>
      <w:r>
        <w:rPr>
          <w:sz w:val="20"/>
        </w:rPr>
        <w:t>poor</w:t>
      </w:r>
      <w:r>
        <w:rPr>
          <w:spacing w:val="-4"/>
          <w:sz w:val="20"/>
        </w:rPr>
        <w:t xml:space="preserve"> </w:t>
      </w:r>
      <w:r>
        <w:rPr>
          <w:sz w:val="20"/>
        </w:rPr>
        <w:t>experiences</w:t>
      </w:r>
      <w:r>
        <w:rPr>
          <w:spacing w:val="-6"/>
          <w:sz w:val="20"/>
        </w:rPr>
        <w:t xml:space="preserve"> </w:t>
      </w:r>
      <w:r>
        <w:rPr>
          <w:sz w:val="20"/>
        </w:rPr>
        <w:t>with</w:t>
      </w:r>
      <w:r>
        <w:rPr>
          <w:spacing w:val="-4"/>
          <w:sz w:val="20"/>
        </w:rPr>
        <w:t xml:space="preserve"> </w:t>
      </w:r>
      <w:r>
        <w:rPr>
          <w:sz w:val="20"/>
        </w:rPr>
        <w:t>trying</w:t>
      </w:r>
      <w:r>
        <w:rPr>
          <w:spacing w:val="-5"/>
          <w:sz w:val="20"/>
        </w:rPr>
        <w:t xml:space="preserve"> </w:t>
      </w:r>
      <w:r>
        <w:rPr>
          <w:sz w:val="20"/>
        </w:rPr>
        <w:t>to</w:t>
      </w:r>
      <w:r>
        <w:rPr>
          <w:spacing w:val="-4"/>
          <w:sz w:val="20"/>
        </w:rPr>
        <w:t xml:space="preserve"> </w:t>
      </w:r>
      <w:r>
        <w:rPr>
          <w:sz w:val="20"/>
        </w:rPr>
        <w:t>obtain</w:t>
      </w:r>
      <w:r>
        <w:rPr>
          <w:spacing w:val="-4"/>
          <w:sz w:val="20"/>
        </w:rPr>
        <w:t xml:space="preserve"> </w:t>
      </w:r>
      <w:r>
        <w:rPr>
          <w:sz w:val="20"/>
        </w:rPr>
        <w:t>or</w:t>
      </w:r>
      <w:r>
        <w:rPr>
          <w:spacing w:val="-4"/>
          <w:sz w:val="20"/>
        </w:rPr>
        <w:t xml:space="preserve"> </w:t>
      </w:r>
      <w:r>
        <w:rPr>
          <w:sz w:val="20"/>
        </w:rPr>
        <w:t>prescribe</w:t>
      </w:r>
      <w:r>
        <w:rPr>
          <w:spacing w:val="-5"/>
          <w:sz w:val="20"/>
        </w:rPr>
        <w:t xml:space="preserve"> </w:t>
      </w:r>
      <w:r>
        <w:rPr>
          <w:sz w:val="20"/>
        </w:rPr>
        <w:t>a</w:t>
      </w:r>
      <w:r>
        <w:rPr>
          <w:spacing w:val="-4"/>
          <w:sz w:val="20"/>
        </w:rPr>
        <w:t xml:space="preserve"> </w:t>
      </w:r>
      <w:r>
        <w:rPr>
          <w:sz w:val="20"/>
        </w:rPr>
        <w:t>12-month</w:t>
      </w:r>
      <w:r>
        <w:rPr>
          <w:spacing w:val="-4"/>
          <w:sz w:val="20"/>
        </w:rPr>
        <w:t xml:space="preserve"> </w:t>
      </w:r>
      <w:r>
        <w:rPr>
          <w:sz w:val="20"/>
        </w:rPr>
        <w:t>supply</w:t>
      </w:r>
      <w:r>
        <w:rPr>
          <w:spacing w:val="-3"/>
          <w:sz w:val="20"/>
        </w:rPr>
        <w:t xml:space="preserve"> </w:t>
      </w:r>
      <w:r>
        <w:rPr>
          <w:sz w:val="20"/>
        </w:rPr>
        <w:t>of</w:t>
      </w:r>
      <w:r>
        <w:rPr>
          <w:spacing w:val="-5"/>
          <w:sz w:val="20"/>
        </w:rPr>
        <w:t xml:space="preserve"> </w:t>
      </w:r>
      <w:r>
        <w:rPr>
          <w:sz w:val="20"/>
        </w:rPr>
        <w:t>birth</w:t>
      </w:r>
      <w:r>
        <w:rPr>
          <w:spacing w:val="-4"/>
          <w:sz w:val="20"/>
        </w:rPr>
        <w:t xml:space="preserve"> </w:t>
      </w:r>
      <w:r>
        <w:rPr>
          <w:sz w:val="20"/>
        </w:rPr>
        <w:t>control.</w:t>
      </w:r>
      <w:r>
        <w:rPr>
          <w:spacing w:val="-4"/>
          <w:sz w:val="20"/>
        </w:rPr>
        <w:t xml:space="preserve"> </w:t>
      </w:r>
      <w:r>
        <w:rPr>
          <w:sz w:val="20"/>
        </w:rPr>
        <w:t>Not many eligible patients, healthcare providers, and pharmacies are even aware of this provision and there has been confusion on whether MassH</w:t>
      </w:r>
      <w:r>
        <w:rPr>
          <w:sz w:val="20"/>
        </w:rPr>
        <w:t xml:space="preserve">ealth beneficiaries are eligible due to poor awareness of the law and roll-out of the </w:t>
      </w:r>
      <w:r>
        <w:rPr>
          <w:spacing w:val="-2"/>
          <w:sz w:val="20"/>
        </w:rPr>
        <w:t>provision.</w:t>
      </w:r>
      <w:hyperlink w:anchor="_bookmark515" w:history="1">
        <w:r>
          <w:rPr>
            <w:spacing w:val="-2"/>
            <w:sz w:val="20"/>
            <w:vertAlign w:val="superscript"/>
          </w:rPr>
          <w:t>69</w:t>
        </w:r>
      </w:hyperlink>
    </w:p>
    <w:p w:rsidR="00200FDA" w:rsidRDefault="00200FDA">
      <w:pPr>
        <w:pStyle w:val="BodyText"/>
        <w:spacing w:before="10"/>
        <w:rPr>
          <w:sz w:val="19"/>
        </w:rPr>
      </w:pPr>
    </w:p>
    <w:p w:rsidR="00200FDA" w:rsidRDefault="00F76C4C">
      <w:pPr>
        <w:spacing w:line="264" w:lineRule="auto"/>
        <w:ind w:left="139" w:right="337"/>
        <w:jc w:val="both"/>
        <w:rPr>
          <w:sz w:val="20"/>
        </w:rPr>
      </w:pPr>
      <w:r>
        <w:rPr>
          <w:sz w:val="20"/>
        </w:rPr>
        <w:t>However,</w:t>
      </w:r>
      <w:r>
        <w:rPr>
          <w:spacing w:val="-6"/>
          <w:sz w:val="20"/>
        </w:rPr>
        <w:t xml:space="preserve"> </w:t>
      </w:r>
      <w:r>
        <w:rPr>
          <w:sz w:val="20"/>
        </w:rPr>
        <w:t>information</w:t>
      </w:r>
      <w:r>
        <w:rPr>
          <w:spacing w:val="-6"/>
          <w:sz w:val="20"/>
        </w:rPr>
        <w:t xml:space="preserve"> </w:t>
      </w:r>
      <w:r>
        <w:rPr>
          <w:sz w:val="20"/>
        </w:rPr>
        <w:t>about</w:t>
      </w:r>
      <w:r>
        <w:rPr>
          <w:spacing w:val="-6"/>
          <w:sz w:val="20"/>
        </w:rPr>
        <w:t xml:space="preserve"> </w:t>
      </w:r>
      <w:r>
        <w:rPr>
          <w:sz w:val="20"/>
        </w:rPr>
        <w:t>the</w:t>
      </w:r>
      <w:r>
        <w:rPr>
          <w:spacing w:val="-8"/>
          <w:sz w:val="20"/>
        </w:rPr>
        <w:t xml:space="preserve"> </w:t>
      </w:r>
      <w:r>
        <w:rPr>
          <w:sz w:val="20"/>
        </w:rPr>
        <w:t>ACCESS</w:t>
      </w:r>
      <w:r>
        <w:rPr>
          <w:spacing w:val="-7"/>
          <w:sz w:val="20"/>
        </w:rPr>
        <w:t xml:space="preserve"> </w:t>
      </w:r>
      <w:r>
        <w:rPr>
          <w:sz w:val="20"/>
        </w:rPr>
        <w:t>law</w:t>
      </w:r>
      <w:r>
        <w:rPr>
          <w:spacing w:val="-8"/>
          <w:sz w:val="20"/>
        </w:rPr>
        <w:t xml:space="preserve"> </w:t>
      </w:r>
      <w:r>
        <w:rPr>
          <w:sz w:val="20"/>
        </w:rPr>
        <w:t>is</w:t>
      </w:r>
      <w:r>
        <w:rPr>
          <w:spacing w:val="-8"/>
          <w:sz w:val="20"/>
        </w:rPr>
        <w:t xml:space="preserve"> </w:t>
      </w:r>
      <w:r>
        <w:rPr>
          <w:sz w:val="20"/>
        </w:rPr>
        <w:t>housed</w:t>
      </w:r>
      <w:r>
        <w:rPr>
          <w:spacing w:val="-6"/>
          <w:sz w:val="20"/>
        </w:rPr>
        <w:t xml:space="preserve"> </w:t>
      </w:r>
      <w:r>
        <w:rPr>
          <w:sz w:val="20"/>
        </w:rPr>
        <w:t>in</w:t>
      </w:r>
      <w:r>
        <w:rPr>
          <w:spacing w:val="-6"/>
          <w:sz w:val="20"/>
        </w:rPr>
        <w:t xml:space="preserve"> </w:t>
      </w:r>
      <w:r>
        <w:rPr>
          <w:sz w:val="20"/>
        </w:rPr>
        <w:t>the</w:t>
      </w:r>
      <w:r>
        <w:rPr>
          <w:spacing w:val="-8"/>
          <w:sz w:val="20"/>
        </w:rPr>
        <w:t xml:space="preserve"> </w:t>
      </w:r>
      <w:r>
        <w:rPr>
          <w:sz w:val="20"/>
        </w:rPr>
        <w:t>Mass.gov</w:t>
      </w:r>
      <w:r>
        <w:rPr>
          <w:spacing w:val="-6"/>
          <w:sz w:val="20"/>
        </w:rPr>
        <w:t xml:space="preserve"> </w:t>
      </w:r>
      <w:r>
        <w:rPr>
          <w:sz w:val="20"/>
        </w:rPr>
        <w:t>web</w:t>
      </w:r>
      <w:r>
        <w:rPr>
          <w:spacing w:val="-6"/>
          <w:sz w:val="20"/>
        </w:rPr>
        <w:t xml:space="preserve"> </w:t>
      </w:r>
      <w:r>
        <w:rPr>
          <w:sz w:val="20"/>
        </w:rPr>
        <w:t>services,</w:t>
      </w:r>
      <w:hyperlink w:anchor="_bookmark516" w:history="1">
        <w:r>
          <w:rPr>
            <w:sz w:val="20"/>
            <w:vertAlign w:val="superscript"/>
          </w:rPr>
          <w:t>70</w:t>
        </w:r>
      </w:hyperlink>
      <w:r>
        <w:rPr>
          <w:spacing w:val="-3"/>
          <w:sz w:val="20"/>
        </w:rPr>
        <w:t xml:space="preserve"> </w:t>
      </w:r>
      <w:r>
        <w:rPr>
          <w:sz w:val="20"/>
        </w:rPr>
        <w:t>where</w:t>
      </w:r>
      <w:r>
        <w:rPr>
          <w:spacing w:val="-7"/>
          <w:sz w:val="20"/>
        </w:rPr>
        <w:t xml:space="preserve"> </w:t>
      </w:r>
      <w:r>
        <w:rPr>
          <w:sz w:val="20"/>
        </w:rPr>
        <w:t>there</w:t>
      </w:r>
      <w:r>
        <w:rPr>
          <w:spacing w:val="-7"/>
          <w:sz w:val="20"/>
        </w:rPr>
        <w:t xml:space="preserve"> </w:t>
      </w:r>
      <w:r>
        <w:rPr>
          <w:sz w:val="20"/>
        </w:rPr>
        <w:t>is</w:t>
      </w:r>
      <w:r>
        <w:rPr>
          <w:spacing w:val="-8"/>
          <w:sz w:val="20"/>
        </w:rPr>
        <w:t xml:space="preserve"> </w:t>
      </w:r>
      <w:r>
        <w:rPr>
          <w:sz w:val="20"/>
        </w:rPr>
        <w:t>some</w:t>
      </w:r>
      <w:r>
        <w:rPr>
          <w:spacing w:val="-8"/>
          <w:sz w:val="20"/>
        </w:rPr>
        <w:t xml:space="preserve"> </w:t>
      </w:r>
      <w:r>
        <w:rPr>
          <w:sz w:val="20"/>
        </w:rPr>
        <w:t>detailed advice on how to find out if you are eligible for a one-year supply of prescription birth control, which includes speaking with your health insurance provider, employee benefits administrator, or human resources. In the event that</w:t>
      </w:r>
      <w:r>
        <w:rPr>
          <w:spacing w:val="-2"/>
          <w:sz w:val="20"/>
        </w:rPr>
        <w:t xml:space="preserve"> </w:t>
      </w:r>
      <w:r>
        <w:rPr>
          <w:sz w:val="20"/>
        </w:rPr>
        <w:t>a</w:t>
      </w:r>
      <w:r>
        <w:rPr>
          <w:spacing w:val="-1"/>
          <w:sz w:val="20"/>
        </w:rPr>
        <w:t xml:space="preserve"> </w:t>
      </w:r>
      <w:r>
        <w:rPr>
          <w:sz w:val="20"/>
        </w:rPr>
        <w:t>patient’s</w:t>
      </w:r>
      <w:r>
        <w:rPr>
          <w:spacing w:val="-3"/>
          <w:sz w:val="20"/>
        </w:rPr>
        <w:t xml:space="preserve"> </w:t>
      </w:r>
      <w:r>
        <w:rPr>
          <w:sz w:val="20"/>
        </w:rPr>
        <w:t>clinician</w:t>
      </w:r>
      <w:r>
        <w:rPr>
          <w:spacing w:val="-1"/>
          <w:sz w:val="20"/>
        </w:rPr>
        <w:t xml:space="preserve"> </w:t>
      </w:r>
      <w:r>
        <w:rPr>
          <w:sz w:val="20"/>
        </w:rPr>
        <w:t>or</w:t>
      </w:r>
      <w:r>
        <w:rPr>
          <w:spacing w:val="-2"/>
          <w:sz w:val="20"/>
        </w:rPr>
        <w:t xml:space="preserve"> </w:t>
      </w:r>
      <w:r>
        <w:rPr>
          <w:sz w:val="20"/>
        </w:rPr>
        <w:t>pharmacist claims</w:t>
      </w:r>
      <w:r>
        <w:rPr>
          <w:spacing w:val="-3"/>
          <w:sz w:val="20"/>
        </w:rPr>
        <w:t xml:space="preserve"> </w:t>
      </w:r>
      <w:r>
        <w:rPr>
          <w:sz w:val="20"/>
        </w:rPr>
        <w:t>to</w:t>
      </w:r>
      <w:r>
        <w:rPr>
          <w:spacing w:val="-2"/>
          <w:sz w:val="20"/>
        </w:rPr>
        <w:t xml:space="preserve"> </w:t>
      </w:r>
      <w:r>
        <w:rPr>
          <w:sz w:val="20"/>
        </w:rPr>
        <w:t>be unaware</w:t>
      </w:r>
      <w:r>
        <w:rPr>
          <w:spacing w:val="-3"/>
          <w:sz w:val="20"/>
        </w:rPr>
        <w:t xml:space="preserve"> </w:t>
      </w:r>
      <w:r>
        <w:rPr>
          <w:sz w:val="20"/>
        </w:rPr>
        <w:t>of</w:t>
      </w:r>
      <w:r>
        <w:rPr>
          <w:spacing w:val="-3"/>
          <w:sz w:val="20"/>
        </w:rPr>
        <w:t xml:space="preserve"> </w:t>
      </w:r>
      <w:r>
        <w:rPr>
          <w:sz w:val="20"/>
        </w:rPr>
        <w:t>the ACCESS</w:t>
      </w:r>
      <w:r>
        <w:rPr>
          <w:spacing w:val="-2"/>
          <w:sz w:val="20"/>
        </w:rPr>
        <w:t xml:space="preserve"> </w:t>
      </w:r>
      <w:r>
        <w:rPr>
          <w:sz w:val="20"/>
        </w:rPr>
        <w:t>provisions,</w:t>
      </w:r>
      <w:r>
        <w:rPr>
          <w:spacing w:val="-1"/>
          <w:sz w:val="20"/>
        </w:rPr>
        <w:t xml:space="preserve"> </w:t>
      </w:r>
      <w:r>
        <w:rPr>
          <w:sz w:val="20"/>
        </w:rPr>
        <w:t>there</w:t>
      </w:r>
      <w:r>
        <w:rPr>
          <w:spacing w:val="-3"/>
          <w:sz w:val="20"/>
        </w:rPr>
        <w:t xml:space="preserve"> </w:t>
      </w:r>
      <w:r>
        <w:rPr>
          <w:sz w:val="20"/>
        </w:rPr>
        <w:t>is</w:t>
      </w:r>
      <w:r>
        <w:rPr>
          <w:spacing w:val="-3"/>
          <w:sz w:val="20"/>
        </w:rPr>
        <w:t xml:space="preserve"> </w:t>
      </w:r>
      <w:r>
        <w:rPr>
          <w:sz w:val="20"/>
        </w:rPr>
        <w:t>a script</w:t>
      </w:r>
      <w:r>
        <w:rPr>
          <w:spacing w:val="-2"/>
          <w:sz w:val="20"/>
        </w:rPr>
        <w:t xml:space="preserve"> </w:t>
      </w:r>
      <w:r>
        <w:rPr>
          <w:sz w:val="20"/>
        </w:rPr>
        <w:t>provided</w:t>
      </w:r>
      <w:r>
        <w:rPr>
          <w:spacing w:val="-1"/>
          <w:sz w:val="20"/>
        </w:rPr>
        <w:t xml:space="preserve"> </w:t>
      </w:r>
      <w:r>
        <w:rPr>
          <w:sz w:val="20"/>
        </w:rPr>
        <w:t>for patients to utilize when discussing their desire for birth control.</w:t>
      </w:r>
      <w:hyperlink w:anchor="_bookmark517" w:history="1">
        <w:r>
          <w:rPr>
            <w:sz w:val="20"/>
            <w:vertAlign w:val="superscript"/>
          </w:rPr>
          <w:t>71</w:t>
        </w:r>
      </w:hyperlink>
      <w:r>
        <w:rPr>
          <w:spacing w:val="-3"/>
          <w:sz w:val="20"/>
        </w:rPr>
        <w:t xml:space="preserve"> </w:t>
      </w:r>
      <w:r>
        <w:rPr>
          <w:sz w:val="20"/>
        </w:rPr>
        <w:t>Providing advice and conversational starter tips on accessing a one-year supply of birth control are helpful at the individual level. Despite this, instead of the issue of</w:t>
      </w:r>
      <w:r>
        <w:rPr>
          <w:spacing w:val="-4"/>
          <w:sz w:val="20"/>
        </w:rPr>
        <w:t xml:space="preserve"> </w:t>
      </w:r>
      <w:r>
        <w:rPr>
          <w:sz w:val="20"/>
        </w:rPr>
        <w:t>access</w:t>
      </w:r>
      <w:r>
        <w:rPr>
          <w:spacing w:val="-4"/>
          <w:sz w:val="20"/>
        </w:rPr>
        <w:t xml:space="preserve"> </w:t>
      </w:r>
      <w:r>
        <w:rPr>
          <w:sz w:val="20"/>
        </w:rPr>
        <w:t>falling</w:t>
      </w:r>
      <w:r>
        <w:rPr>
          <w:spacing w:val="-3"/>
          <w:sz w:val="20"/>
        </w:rPr>
        <w:t xml:space="preserve"> </w:t>
      </w:r>
      <w:r>
        <w:rPr>
          <w:sz w:val="20"/>
        </w:rPr>
        <w:t>on</w:t>
      </w:r>
      <w:r>
        <w:rPr>
          <w:spacing w:val="-2"/>
          <w:sz w:val="20"/>
        </w:rPr>
        <w:t xml:space="preserve"> </w:t>
      </w:r>
      <w:r>
        <w:rPr>
          <w:sz w:val="20"/>
        </w:rPr>
        <w:t>the</w:t>
      </w:r>
      <w:r>
        <w:rPr>
          <w:spacing w:val="-4"/>
          <w:sz w:val="20"/>
        </w:rPr>
        <w:t xml:space="preserve"> </w:t>
      </w:r>
      <w:r>
        <w:rPr>
          <w:sz w:val="20"/>
        </w:rPr>
        <w:t>legislature</w:t>
      </w:r>
      <w:r>
        <w:rPr>
          <w:spacing w:val="-4"/>
          <w:sz w:val="20"/>
        </w:rPr>
        <w:t xml:space="preserve"> </w:t>
      </w:r>
      <w:r>
        <w:rPr>
          <w:sz w:val="20"/>
        </w:rPr>
        <w:t>or</w:t>
      </w:r>
      <w:r>
        <w:rPr>
          <w:spacing w:val="-3"/>
          <w:sz w:val="20"/>
        </w:rPr>
        <w:t xml:space="preserve"> </w:t>
      </w:r>
      <w:r>
        <w:rPr>
          <w:sz w:val="20"/>
        </w:rPr>
        <w:t>agencies,</w:t>
      </w:r>
      <w:r>
        <w:rPr>
          <w:spacing w:val="-2"/>
          <w:sz w:val="20"/>
        </w:rPr>
        <w:t xml:space="preserve"> </w:t>
      </w:r>
      <w:r>
        <w:rPr>
          <w:sz w:val="20"/>
        </w:rPr>
        <w:t>it</w:t>
      </w:r>
      <w:r>
        <w:rPr>
          <w:spacing w:val="-3"/>
          <w:sz w:val="20"/>
        </w:rPr>
        <w:t xml:space="preserve"> </w:t>
      </w:r>
      <w:r>
        <w:rPr>
          <w:sz w:val="20"/>
        </w:rPr>
        <w:t>becomes</w:t>
      </w:r>
      <w:r>
        <w:rPr>
          <w:spacing w:val="-4"/>
          <w:sz w:val="20"/>
        </w:rPr>
        <w:t xml:space="preserve"> </w:t>
      </w:r>
      <w:r>
        <w:rPr>
          <w:sz w:val="20"/>
        </w:rPr>
        <w:t>an</w:t>
      </w:r>
      <w:r>
        <w:rPr>
          <w:spacing w:val="-2"/>
          <w:sz w:val="20"/>
        </w:rPr>
        <w:t xml:space="preserve"> </w:t>
      </w:r>
      <w:r>
        <w:rPr>
          <w:sz w:val="20"/>
        </w:rPr>
        <w:t>individualized</w:t>
      </w:r>
      <w:r>
        <w:rPr>
          <w:spacing w:val="-2"/>
          <w:sz w:val="20"/>
        </w:rPr>
        <w:t xml:space="preserve"> </w:t>
      </w:r>
      <w:r>
        <w:rPr>
          <w:sz w:val="20"/>
        </w:rPr>
        <w:t>problem</w:t>
      </w:r>
      <w:r>
        <w:rPr>
          <w:spacing w:val="-4"/>
          <w:sz w:val="20"/>
        </w:rPr>
        <w:t xml:space="preserve"> </w:t>
      </w:r>
      <w:r>
        <w:rPr>
          <w:sz w:val="20"/>
        </w:rPr>
        <w:t>that</w:t>
      </w:r>
      <w:r>
        <w:rPr>
          <w:spacing w:val="-3"/>
          <w:sz w:val="20"/>
        </w:rPr>
        <w:t xml:space="preserve"> </w:t>
      </w:r>
      <w:r>
        <w:rPr>
          <w:sz w:val="20"/>
        </w:rPr>
        <w:t>shifts</w:t>
      </w:r>
      <w:r>
        <w:rPr>
          <w:spacing w:val="-4"/>
          <w:sz w:val="20"/>
        </w:rPr>
        <w:t xml:space="preserve"> </w:t>
      </w:r>
      <w:r>
        <w:rPr>
          <w:sz w:val="20"/>
        </w:rPr>
        <w:t>the</w:t>
      </w:r>
      <w:r>
        <w:rPr>
          <w:spacing w:val="-4"/>
          <w:sz w:val="20"/>
        </w:rPr>
        <w:t xml:space="preserve"> </w:t>
      </w:r>
      <w:r>
        <w:rPr>
          <w:sz w:val="20"/>
        </w:rPr>
        <w:t>responsibility</w:t>
      </w:r>
      <w:r>
        <w:rPr>
          <w:spacing w:val="-2"/>
          <w:sz w:val="20"/>
        </w:rPr>
        <w:t xml:space="preserve"> </w:t>
      </w:r>
      <w:r>
        <w:rPr>
          <w:sz w:val="20"/>
        </w:rPr>
        <w:t>to the patient rather than the state.</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spacing w:before="66" w:line="264" w:lineRule="auto"/>
        <w:ind w:left="139" w:right="336"/>
        <w:jc w:val="both"/>
        <w:rPr>
          <w:sz w:val="20"/>
        </w:rPr>
      </w:pPr>
      <w:r>
        <w:rPr>
          <w:sz w:val="20"/>
        </w:rPr>
        <w:lastRenderedPageBreak/>
        <w:t xml:space="preserve">At the national level, groups of reproductive justice and youth activists, advocacy groups, and healthcare professionals have formed the Free the Pill coalition to push for </w:t>
      </w:r>
      <w:r>
        <w:rPr>
          <w:sz w:val="20"/>
        </w:rPr>
        <w:t>over-the-counter birth control pills. Over-the- counter</w:t>
      </w:r>
      <w:r>
        <w:rPr>
          <w:spacing w:val="-4"/>
          <w:sz w:val="20"/>
        </w:rPr>
        <w:t xml:space="preserve"> </w:t>
      </w:r>
      <w:r>
        <w:rPr>
          <w:sz w:val="20"/>
        </w:rPr>
        <w:t>birth</w:t>
      </w:r>
      <w:r>
        <w:rPr>
          <w:spacing w:val="-4"/>
          <w:sz w:val="20"/>
        </w:rPr>
        <w:t xml:space="preserve"> </w:t>
      </w:r>
      <w:r>
        <w:rPr>
          <w:sz w:val="20"/>
        </w:rPr>
        <w:t>control</w:t>
      </w:r>
      <w:r>
        <w:rPr>
          <w:spacing w:val="-5"/>
          <w:sz w:val="20"/>
        </w:rPr>
        <w:t xml:space="preserve"> </w:t>
      </w:r>
      <w:r>
        <w:rPr>
          <w:sz w:val="20"/>
        </w:rPr>
        <w:t>pills</w:t>
      </w:r>
      <w:r>
        <w:rPr>
          <w:spacing w:val="-6"/>
          <w:sz w:val="20"/>
        </w:rPr>
        <w:t xml:space="preserve"> </w:t>
      </w:r>
      <w:r>
        <w:rPr>
          <w:sz w:val="20"/>
        </w:rPr>
        <w:t>would</w:t>
      </w:r>
      <w:r>
        <w:rPr>
          <w:spacing w:val="-4"/>
          <w:sz w:val="20"/>
        </w:rPr>
        <w:t xml:space="preserve"> </w:t>
      </w:r>
      <w:r>
        <w:rPr>
          <w:sz w:val="20"/>
        </w:rPr>
        <w:t>be</w:t>
      </w:r>
      <w:r>
        <w:rPr>
          <w:spacing w:val="-5"/>
          <w:sz w:val="20"/>
        </w:rPr>
        <w:t xml:space="preserve"> </w:t>
      </w:r>
      <w:r>
        <w:rPr>
          <w:sz w:val="20"/>
        </w:rPr>
        <w:t>a</w:t>
      </w:r>
      <w:r>
        <w:rPr>
          <w:spacing w:val="-4"/>
          <w:sz w:val="20"/>
        </w:rPr>
        <w:t xml:space="preserve"> </w:t>
      </w:r>
      <w:r>
        <w:rPr>
          <w:sz w:val="20"/>
        </w:rPr>
        <w:t>major</w:t>
      </w:r>
      <w:r>
        <w:rPr>
          <w:spacing w:val="-4"/>
          <w:sz w:val="20"/>
        </w:rPr>
        <w:t xml:space="preserve"> </w:t>
      </w:r>
      <w:r>
        <w:rPr>
          <w:sz w:val="20"/>
        </w:rPr>
        <w:t>step</w:t>
      </w:r>
      <w:r>
        <w:rPr>
          <w:spacing w:val="-4"/>
          <w:sz w:val="20"/>
        </w:rPr>
        <w:t xml:space="preserve"> </w:t>
      </w:r>
      <w:r>
        <w:rPr>
          <w:sz w:val="20"/>
        </w:rPr>
        <w:t>in</w:t>
      </w:r>
      <w:r>
        <w:rPr>
          <w:spacing w:val="-4"/>
          <w:sz w:val="20"/>
        </w:rPr>
        <w:t xml:space="preserve"> </w:t>
      </w:r>
      <w:r>
        <w:rPr>
          <w:sz w:val="20"/>
        </w:rPr>
        <w:t>advancing</w:t>
      </w:r>
      <w:r>
        <w:rPr>
          <w:spacing w:val="-5"/>
          <w:sz w:val="20"/>
        </w:rPr>
        <w:t xml:space="preserve"> </w:t>
      </w:r>
      <w:r>
        <w:rPr>
          <w:sz w:val="20"/>
        </w:rPr>
        <w:t>reproductive</w:t>
      </w:r>
      <w:r>
        <w:rPr>
          <w:spacing w:val="-5"/>
          <w:sz w:val="20"/>
        </w:rPr>
        <w:t xml:space="preserve"> </w:t>
      </w:r>
      <w:r>
        <w:rPr>
          <w:sz w:val="20"/>
        </w:rPr>
        <w:t>rights</w:t>
      </w:r>
      <w:r>
        <w:rPr>
          <w:spacing w:val="-6"/>
          <w:sz w:val="20"/>
        </w:rPr>
        <w:t xml:space="preserve"> </w:t>
      </w:r>
      <w:r>
        <w:rPr>
          <w:sz w:val="20"/>
        </w:rPr>
        <w:t>and</w:t>
      </w:r>
      <w:r>
        <w:rPr>
          <w:spacing w:val="-4"/>
          <w:sz w:val="20"/>
        </w:rPr>
        <w:t xml:space="preserve"> </w:t>
      </w:r>
      <w:r>
        <w:rPr>
          <w:sz w:val="20"/>
        </w:rPr>
        <w:t>access.</w:t>
      </w:r>
      <w:r>
        <w:rPr>
          <w:spacing w:val="-4"/>
          <w:sz w:val="20"/>
        </w:rPr>
        <w:t xml:space="preserve"> </w:t>
      </w:r>
      <w:r>
        <w:rPr>
          <w:sz w:val="20"/>
        </w:rPr>
        <w:t>However,</w:t>
      </w:r>
      <w:r>
        <w:rPr>
          <w:spacing w:val="-4"/>
          <w:sz w:val="20"/>
        </w:rPr>
        <w:t xml:space="preserve"> </w:t>
      </w:r>
      <w:r>
        <w:rPr>
          <w:sz w:val="20"/>
        </w:rPr>
        <w:t>this</w:t>
      </w:r>
      <w:r>
        <w:rPr>
          <w:spacing w:val="-6"/>
          <w:sz w:val="20"/>
        </w:rPr>
        <w:t xml:space="preserve"> </w:t>
      </w:r>
      <w:r>
        <w:rPr>
          <w:sz w:val="20"/>
        </w:rPr>
        <w:t>process requires</w:t>
      </w:r>
      <w:r>
        <w:rPr>
          <w:spacing w:val="-3"/>
          <w:sz w:val="20"/>
        </w:rPr>
        <w:t xml:space="preserve"> </w:t>
      </w:r>
      <w:r>
        <w:rPr>
          <w:sz w:val="20"/>
        </w:rPr>
        <w:t>a</w:t>
      </w:r>
      <w:r>
        <w:rPr>
          <w:spacing w:val="-4"/>
          <w:sz w:val="20"/>
        </w:rPr>
        <w:t xml:space="preserve"> </w:t>
      </w:r>
      <w:r>
        <w:rPr>
          <w:sz w:val="20"/>
        </w:rPr>
        <w:t>pharmaceutical</w:t>
      </w:r>
      <w:r>
        <w:rPr>
          <w:spacing w:val="-5"/>
          <w:sz w:val="20"/>
        </w:rPr>
        <w:t xml:space="preserve"> </w:t>
      </w:r>
      <w:r>
        <w:rPr>
          <w:sz w:val="20"/>
        </w:rPr>
        <w:t>company</w:t>
      </w:r>
      <w:r>
        <w:rPr>
          <w:spacing w:val="-4"/>
          <w:sz w:val="20"/>
        </w:rPr>
        <w:t xml:space="preserve"> </w:t>
      </w:r>
      <w:r>
        <w:rPr>
          <w:sz w:val="20"/>
        </w:rPr>
        <w:t>to</w:t>
      </w:r>
      <w:r>
        <w:rPr>
          <w:spacing w:val="-4"/>
          <w:sz w:val="20"/>
        </w:rPr>
        <w:t xml:space="preserve"> </w:t>
      </w:r>
      <w:r>
        <w:rPr>
          <w:sz w:val="20"/>
        </w:rPr>
        <w:t>submit</w:t>
      </w:r>
      <w:r>
        <w:rPr>
          <w:spacing w:val="-4"/>
          <w:sz w:val="20"/>
        </w:rPr>
        <w:t xml:space="preserve"> </w:t>
      </w:r>
      <w:r>
        <w:rPr>
          <w:sz w:val="20"/>
        </w:rPr>
        <w:t>an Rx-to-OTC</w:t>
      </w:r>
      <w:r>
        <w:rPr>
          <w:spacing w:val="-5"/>
          <w:sz w:val="20"/>
        </w:rPr>
        <w:t xml:space="preserve"> </w:t>
      </w:r>
      <w:r>
        <w:rPr>
          <w:sz w:val="20"/>
        </w:rPr>
        <w:t>switch</w:t>
      </w:r>
      <w:r>
        <w:rPr>
          <w:spacing w:val="-3"/>
          <w:sz w:val="20"/>
        </w:rPr>
        <w:t xml:space="preserve"> </w:t>
      </w:r>
      <w:r>
        <w:rPr>
          <w:sz w:val="20"/>
        </w:rPr>
        <w:t>application</w:t>
      </w:r>
      <w:r>
        <w:rPr>
          <w:spacing w:val="-4"/>
          <w:sz w:val="20"/>
        </w:rPr>
        <w:t xml:space="preserve"> </w:t>
      </w:r>
      <w:r>
        <w:rPr>
          <w:sz w:val="20"/>
        </w:rPr>
        <w:t>to</w:t>
      </w:r>
      <w:r>
        <w:rPr>
          <w:spacing w:val="-4"/>
          <w:sz w:val="20"/>
        </w:rPr>
        <w:t xml:space="preserve"> </w:t>
      </w:r>
      <w:r>
        <w:rPr>
          <w:sz w:val="20"/>
        </w:rPr>
        <w:t>the</w:t>
      </w:r>
      <w:r>
        <w:rPr>
          <w:spacing w:val="-5"/>
          <w:sz w:val="20"/>
        </w:rPr>
        <w:t xml:space="preserve"> </w:t>
      </w:r>
      <w:r>
        <w:rPr>
          <w:sz w:val="20"/>
        </w:rPr>
        <w:t>FDA,</w:t>
      </w:r>
      <w:r>
        <w:rPr>
          <w:spacing w:val="-4"/>
          <w:sz w:val="20"/>
        </w:rPr>
        <w:t xml:space="preserve"> </w:t>
      </w:r>
      <w:r>
        <w:rPr>
          <w:sz w:val="20"/>
        </w:rPr>
        <w:t>which</w:t>
      </w:r>
      <w:r>
        <w:rPr>
          <w:spacing w:val="-3"/>
          <w:sz w:val="20"/>
        </w:rPr>
        <w:t xml:space="preserve"> </w:t>
      </w:r>
      <w:r>
        <w:rPr>
          <w:sz w:val="20"/>
        </w:rPr>
        <w:t>could</w:t>
      </w:r>
      <w:r>
        <w:rPr>
          <w:spacing w:val="-4"/>
          <w:sz w:val="20"/>
        </w:rPr>
        <w:t xml:space="preserve"> </w:t>
      </w:r>
      <w:r>
        <w:rPr>
          <w:sz w:val="20"/>
        </w:rPr>
        <w:t>take</w:t>
      </w:r>
      <w:r>
        <w:rPr>
          <w:spacing w:val="-5"/>
          <w:sz w:val="20"/>
        </w:rPr>
        <w:t xml:space="preserve"> </w:t>
      </w:r>
      <w:r>
        <w:rPr>
          <w:sz w:val="20"/>
        </w:rPr>
        <w:t>time</w:t>
      </w:r>
      <w:r>
        <w:rPr>
          <w:spacing w:val="-5"/>
          <w:sz w:val="20"/>
        </w:rPr>
        <w:t xml:space="preserve"> </w:t>
      </w:r>
      <w:r>
        <w:rPr>
          <w:sz w:val="20"/>
        </w:rPr>
        <w:t>to process</w:t>
      </w:r>
      <w:r>
        <w:rPr>
          <w:spacing w:val="-4"/>
          <w:sz w:val="20"/>
        </w:rPr>
        <w:t xml:space="preserve"> </w:t>
      </w:r>
      <w:r>
        <w:rPr>
          <w:sz w:val="20"/>
        </w:rPr>
        <w:t>and</w:t>
      </w:r>
      <w:r>
        <w:rPr>
          <w:spacing w:val="-2"/>
          <w:sz w:val="20"/>
        </w:rPr>
        <w:t xml:space="preserve"> </w:t>
      </w:r>
      <w:r>
        <w:rPr>
          <w:sz w:val="20"/>
        </w:rPr>
        <w:t>pass.</w:t>
      </w:r>
      <w:r>
        <w:rPr>
          <w:spacing w:val="-3"/>
          <w:sz w:val="20"/>
        </w:rPr>
        <w:t xml:space="preserve"> </w:t>
      </w:r>
      <w:r>
        <w:rPr>
          <w:sz w:val="20"/>
        </w:rPr>
        <w:t>OTC</w:t>
      </w:r>
      <w:r>
        <w:rPr>
          <w:spacing w:val="-4"/>
          <w:sz w:val="20"/>
        </w:rPr>
        <w:t xml:space="preserve"> </w:t>
      </w:r>
      <w:r>
        <w:rPr>
          <w:sz w:val="20"/>
        </w:rPr>
        <w:t>birth</w:t>
      </w:r>
      <w:r>
        <w:rPr>
          <w:spacing w:val="-2"/>
          <w:sz w:val="20"/>
        </w:rPr>
        <w:t xml:space="preserve"> </w:t>
      </w:r>
      <w:r>
        <w:rPr>
          <w:sz w:val="20"/>
        </w:rPr>
        <w:t>control</w:t>
      </w:r>
      <w:r>
        <w:rPr>
          <w:spacing w:val="-3"/>
          <w:sz w:val="20"/>
        </w:rPr>
        <w:t xml:space="preserve"> </w:t>
      </w:r>
      <w:r>
        <w:rPr>
          <w:sz w:val="20"/>
        </w:rPr>
        <w:t>would</w:t>
      </w:r>
      <w:r>
        <w:rPr>
          <w:spacing w:val="-2"/>
          <w:sz w:val="20"/>
        </w:rPr>
        <w:t xml:space="preserve"> </w:t>
      </w:r>
      <w:r>
        <w:rPr>
          <w:sz w:val="20"/>
        </w:rPr>
        <w:t>remove</w:t>
      </w:r>
      <w:r>
        <w:rPr>
          <w:spacing w:val="-4"/>
          <w:sz w:val="20"/>
        </w:rPr>
        <w:t xml:space="preserve"> </w:t>
      </w:r>
      <w:r>
        <w:rPr>
          <w:sz w:val="20"/>
        </w:rPr>
        <w:t>an</w:t>
      </w:r>
      <w:r>
        <w:rPr>
          <w:spacing w:val="-2"/>
          <w:sz w:val="20"/>
        </w:rPr>
        <w:t xml:space="preserve"> </w:t>
      </w:r>
      <w:r>
        <w:rPr>
          <w:sz w:val="20"/>
        </w:rPr>
        <w:t>access</w:t>
      </w:r>
      <w:r>
        <w:rPr>
          <w:spacing w:val="-4"/>
          <w:sz w:val="20"/>
        </w:rPr>
        <w:t xml:space="preserve"> </w:t>
      </w:r>
      <w:r>
        <w:rPr>
          <w:sz w:val="20"/>
        </w:rPr>
        <w:t>barrier</w:t>
      </w:r>
      <w:r>
        <w:rPr>
          <w:spacing w:val="-3"/>
          <w:sz w:val="20"/>
        </w:rPr>
        <w:t xml:space="preserve"> </w:t>
      </w:r>
      <w:r>
        <w:rPr>
          <w:sz w:val="20"/>
        </w:rPr>
        <w:t>for</w:t>
      </w:r>
      <w:r>
        <w:rPr>
          <w:spacing w:val="-3"/>
          <w:sz w:val="20"/>
        </w:rPr>
        <w:t xml:space="preserve"> </w:t>
      </w:r>
      <w:r>
        <w:rPr>
          <w:sz w:val="20"/>
        </w:rPr>
        <w:t>people</w:t>
      </w:r>
      <w:r>
        <w:rPr>
          <w:spacing w:val="-4"/>
          <w:sz w:val="20"/>
        </w:rPr>
        <w:t xml:space="preserve"> </w:t>
      </w:r>
      <w:r>
        <w:rPr>
          <w:sz w:val="20"/>
        </w:rPr>
        <w:t>assigned</w:t>
      </w:r>
      <w:r>
        <w:rPr>
          <w:spacing w:val="-2"/>
          <w:sz w:val="20"/>
        </w:rPr>
        <w:t xml:space="preserve"> </w:t>
      </w:r>
      <w:r>
        <w:rPr>
          <w:sz w:val="20"/>
        </w:rPr>
        <w:t>female</w:t>
      </w:r>
      <w:r>
        <w:rPr>
          <w:spacing w:val="-4"/>
          <w:sz w:val="20"/>
        </w:rPr>
        <w:t xml:space="preserve"> </w:t>
      </w:r>
      <w:r>
        <w:rPr>
          <w:sz w:val="20"/>
        </w:rPr>
        <w:t>at</w:t>
      </w:r>
      <w:r>
        <w:rPr>
          <w:spacing w:val="-3"/>
          <w:sz w:val="20"/>
        </w:rPr>
        <w:t xml:space="preserve"> </w:t>
      </w:r>
      <w:r>
        <w:rPr>
          <w:sz w:val="20"/>
        </w:rPr>
        <w:t>birth.</w:t>
      </w:r>
      <w:r>
        <w:rPr>
          <w:spacing w:val="-3"/>
          <w:sz w:val="20"/>
        </w:rPr>
        <w:t xml:space="preserve"> </w:t>
      </w:r>
      <w:r>
        <w:rPr>
          <w:sz w:val="20"/>
        </w:rPr>
        <w:t>This</w:t>
      </w:r>
      <w:r>
        <w:rPr>
          <w:spacing w:val="-4"/>
          <w:sz w:val="20"/>
        </w:rPr>
        <w:t xml:space="preserve"> </w:t>
      </w:r>
      <w:r>
        <w:rPr>
          <w:sz w:val="20"/>
        </w:rPr>
        <w:t>would make</w:t>
      </w:r>
      <w:r>
        <w:rPr>
          <w:spacing w:val="-8"/>
          <w:sz w:val="20"/>
        </w:rPr>
        <w:t xml:space="preserve"> </w:t>
      </w:r>
      <w:r>
        <w:rPr>
          <w:sz w:val="20"/>
        </w:rPr>
        <w:t>it</w:t>
      </w:r>
      <w:r>
        <w:rPr>
          <w:spacing w:val="-7"/>
          <w:sz w:val="20"/>
        </w:rPr>
        <w:t xml:space="preserve"> </w:t>
      </w:r>
      <w:r>
        <w:rPr>
          <w:sz w:val="20"/>
        </w:rPr>
        <w:t>so</w:t>
      </w:r>
      <w:r>
        <w:rPr>
          <w:spacing w:val="-7"/>
          <w:sz w:val="20"/>
        </w:rPr>
        <w:t xml:space="preserve"> </w:t>
      </w:r>
      <w:r>
        <w:rPr>
          <w:sz w:val="20"/>
        </w:rPr>
        <w:t>they</w:t>
      </w:r>
      <w:r>
        <w:rPr>
          <w:spacing w:val="-7"/>
          <w:sz w:val="20"/>
        </w:rPr>
        <w:t xml:space="preserve"> </w:t>
      </w:r>
      <w:r>
        <w:rPr>
          <w:sz w:val="20"/>
        </w:rPr>
        <w:t>would</w:t>
      </w:r>
      <w:r>
        <w:rPr>
          <w:spacing w:val="-7"/>
          <w:sz w:val="20"/>
        </w:rPr>
        <w:t xml:space="preserve"> </w:t>
      </w:r>
      <w:r>
        <w:rPr>
          <w:sz w:val="20"/>
        </w:rPr>
        <w:t>not</w:t>
      </w:r>
      <w:r>
        <w:rPr>
          <w:spacing w:val="-7"/>
          <w:sz w:val="20"/>
        </w:rPr>
        <w:t xml:space="preserve"> </w:t>
      </w:r>
      <w:r>
        <w:rPr>
          <w:sz w:val="20"/>
        </w:rPr>
        <w:t>need</w:t>
      </w:r>
      <w:r>
        <w:rPr>
          <w:spacing w:val="-7"/>
          <w:sz w:val="20"/>
        </w:rPr>
        <w:t xml:space="preserve"> </w:t>
      </w:r>
      <w:r>
        <w:rPr>
          <w:sz w:val="20"/>
        </w:rPr>
        <w:t>to</w:t>
      </w:r>
      <w:r>
        <w:rPr>
          <w:spacing w:val="-7"/>
          <w:sz w:val="20"/>
        </w:rPr>
        <w:t xml:space="preserve"> </w:t>
      </w:r>
      <w:r>
        <w:rPr>
          <w:sz w:val="20"/>
        </w:rPr>
        <w:t>acquire</w:t>
      </w:r>
      <w:r>
        <w:rPr>
          <w:spacing w:val="-8"/>
          <w:sz w:val="20"/>
        </w:rPr>
        <w:t xml:space="preserve"> </w:t>
      </w:r>
      <w:r>
        <w:rPr>
          <w:sz w:val="20"/>
        </w:rPr>
        <w:t>a</w:t>
      </w:r>
      <w:r>
        <w:rPr>
          <w:spacing w:val="-7"/>
          <w:sz w:val="20"/>
        </w:rPr>
        <w:t xml:space="preserve"> </w:t>
      </w:r>
      <w:r>
        <w:rPr>
          <w:sz w:val="20"/>
        </w:rPr>
        <w:t>prescription,</w:t>
      </w:r>
      <w:r>
        <w:rPr>
          <w:spacing w:val="-7"/>
          <w:sz w:val="20"/>
        </w:rPr>
        <w:t xml:space="preserve"> </w:t>
      </w:r>
      <w:r>
        <w:rPr>
          <w:sz w:val="20"/>
        </w:rPr>
        <w:t>thus</w:t>
      </w:r>
      <w:r>
        <w:rPr>
          <w:spacing w:val="-8"/>
          <w:sz w:val="20"/>
        </w:rPr>
        <w:t xml:space="preserve"> </w:t>
      </w:r>
      <w:r>
        <w:rPr>
          <w:sz w:val="20"/>
        </w:rPr>
        <w:t>making</w:t>
      </w:r>
      <w:r>
        <w:rPr>
          <w:spacing w:val="-8"/>
          <w:sz w:val="20"/>
        </w:rPr>
        <w:t xml:space="preserve"> </w:t>
      </w:r>
      <w:r>
        <w:rPr>
          <w:sz w:val="20"/>
        </w:rPr>
        <w:t>it</w:t>
      </w:r>
      <w:r>
        <w:rPr>
          <w:spacing w:val="-7"/>
          <w:sz w:val="20"/>
        </w:rPr>
        <w:t xml:space="preserve"> </w:t>
      </w:r>
      <w:r>
        <w:rPr>
          <w:sz w:val="20"/>
        </w:rPr>
        <w:t>easier</w:t>
      </w:r>
      <w:r>
        <w:rPr>
          <w:spacing w:val="-8"/>
          <w:sz w:val="20"/>
        </w:rPr>
        <w:t xml:space="preserve"> </w:t>
      </w:r>
      <w:r>
        <w:rPr>
          <w:sz w:val="20"/>
        </w:rPr>
        <w:t>for</w:t>
      </w:r>
      <w:r>
        <w:rPr>
          <w:spacing w:val="-8"/>
          <w:sz w:val="20"/>
        </w:rPr>
        <w:t xml:space="preserve"> </w:t>
      </w:r>
      <w:r>
        <w:rPr>
          <w:sz w:val="20"/>
        </w:rPr>
        <w:t>LGBTQ</w:t>
      </w:r>
      <w:r>
        <w:rPr>
          <w:spacing w:val="-8"/>
          <w:sz w:val="20"/>
        </w:rPr>
        <w:t xml:space="preserve"> </w:t>
      </w:r>
      <w:r>
        <w:rPr>
          <w:sz w:val="20"/>
        </w:rPr>
        <w:t>youth</w:t>
      </w:r>
      <w:r>
        <w:rPr>
          <w:spacing w:val="-7"/>
          <w:sz w:val="20"/>
        </w:rPr>
        <w:t xml:space="preserve"> </w:t>
      </w:r>
      <w:r>
        <w:rPr>
          <w:sz w:val="20"/>
        </w:rPr>
        <w:t>who</w:t>
      </w:r>
      <w:r>
        <w:rPr>
          <w:spacing w:val="-7"/>
          <w:sz w:val="20"/>
        </w:rPr>
        <w:t xml:space="preserve"> </w:t>
      </w:r>
      <w:r>
        <w:rPr>
          <w:sz w:val="20"/>
        </w:rPr>
        <w:t>need</w:t>
      </w:r>
      <w:r>
        <w:rPr>
          <w:spacing w:val="-7"/>
          <w:sz w:val="20"/>
        </w:rPr>
        <w:t xml:space="preserve"> </w:t>
      </w:r>
      <w:r>
        <w:rPr>
          <w:sz w:val="20"/>
        </w:rPr>
        <w:t>to</w:t>
      </w:r>
      <w:r>
        <w:rPr>
          <w:spacing w:val="-7"/>
          <w:sz w:val="20"/>
        </w:rPr>
        <w:t xml:space="preserve"> </w:t>
      </w:r>
      <w:r>
        <w:rPr>
          <w:sz w:val="20"/>
        </w:rPr>
        <w:t>quickly get birth control and would not need a prescription from a clinician or primary care doctor. Aside from shielding LGBTQ youth from the possibility of experiencing trauma, discrimination, and mistreatment from primary care doctors, it can already be</w:t>
      </w:r>
      <w:r>
        <w:rPr>
          <w:sz w:val="20"/>
        </w:rPr>
        <w:t xml:space="preserve"> difficult to schedule an appointment with a healthcare provider for a birth control prescription since appointments tend to get scheduled 2-3 months out. Since there does not seem to be any legislative push for over-the-counter birth control at the state </w:t>
      </w:r>
      <w:r>
        <w:rPr>
          <w:sz w:val="20"/>
        </w:rPr>
        <w:t>level, in the meantime, it’s recommended that the Commonwealth</w:t>
      </w:r>
      <w:r>
        <w:rPr>
          <w:spacing w:val="-1"/>
          <w:sz w:val="20"/>
        </w:rPr>
        <w:t xml:space="preserve"> </w:t>
      </w:r>
      <w:r>
        <w:rPr>
          <w:sz w:val="20"/>
        </w:rPr>
        <w:t>invests</w:t>
      </w:r>
      <w:r>
        <w:rPr>
          <w:spacing w:val="-3"/>
          <w:sz w:val="20"/>
        </w:rPr>
        <w:t xml:space="preserve"> </w:t>
      </w:r>
      <w:r>
        <w:rPr>
          <w:sz w:val="20"/>
        </w:rPr>
        <w:t>in</w:t>
      </w:r>
      <w:r>
        <w:rPr>
          <w:spacing w:val="-1"/>
          <w:sz w:val="20"/>
        </w:rPr>
        <w:t xml:space="preserve"> </w:t>
      </w:r>
      <w:r>
        <w:rPr>
          <w:sz w:val="20"/>
        </w:rPr>
        <w:t>robust</w:t>
      </w:r>
      <w:r>
        <w:rPr>
          <w:spacing w:val="-1"/>
          <w:sz w:val="20"/>
        </w:rPr>
        <w:t xml:space="preserve"> </w:t>
      </w:r>
      <w:r>
        <w:rPr>
          <w:sz w:val="20"/>
        </w:rPr>
        <w:t>planning,</w:t>
      </w:r>
      <w:r>
        <w:rPr>
          <w:spacing w:val="-1"/>
          <w:sz w:val="20"/>
        </w:rPr>
        <w:t xml:space="preserve"> </w:t>
      </w:r>
      <w:r>
        <w:rPr>
          <w:sz w:val="20"/>
        </w:rPr>
        <w:t>implementation,</w:t>
      </w:r>
      <w:r>
        <w:rPr>
          <w:spacing w:val="-1"/>
          <w:sz w:val="20"/>
        </w:rPr>
        <w:t xml:space="preserve"> </w:t>
      </w:r>
      <w:r>
        <w:rPr>
          <w:sz w:val="20"/>
        </w:rPr>
        <w:t>and</w:t>
      </w:r>
      <w:r>
        <w:rPr>
          <w:spacing w:val="-1"/>
          <w:sz w:val="20"/>
        </w:rPr>
        <w:t xml:space="preserve"> </w:t>
      </w:r>
      <w:r>
        <w:rPr>
          <w:sz w:val="20"/>
        </w:rPr>
        <w:t>campaigning</w:t>
      </w:r>
      <w:r>
        <w:rPr>
          <w:spacing w:val="-2"/>
          <w:sz w:val="20"/>
        </w:rPr>
        <w:t xml:space="preserve"> </w:t>
      </w:r>
      <w:r>
        <w:rPr>
          <w:sz w:val="20"/>
        </w:rPr>
        <w:t>when</w:t>
      </w:r>
      <w:r>
        <w:rPr>
          <w:spacing w:val="-1"/>
          <w:sz w:val="20"/>
        </w:rPr>
        <w:t xml:space="preserve"> </w:t>
      </w:r>
      <w:r>
        <w:rPr>
          <w:sz w:val="20"/>
        </w:rPr>
        <w:t>rolling</w:t>
      </w:r>
      <w:r>
        <w:rPr>
          <w:spacing w:val="-2"/>
          <w:sz w:val="20"/>
        </w:rPr>
        <w:t xml:space="preserve"> </w:t>
      </w:r>
      <w:r>
        <w:rPr>
          <w:sz w:val="20"/>
        </w:rPr>
        <w:t>out</w:t>
      </w:r>
      <w:r>
        <w:rPr>
          <w:spacing w:val="-1"/>
          <w:sz w:val="20"/>
        </w:rPr>
        <w:t xml:space="preserve"> </w:t>
      </w:r>
      <w:r>
        <w:rPr>
          <w:sz w:val="20"/>
        </w:rPr>
        <w:t>reproductive</w:t>
      </w:r>
      <w:r>
        <w:rPr>
          <w:spacing w:val="-2"/>
          <w:sz w:val="20"/>
        </w:rPr>
        <w:t xml:space="preserve"> </w:t>
      </w:r>
      <w:r>
        <w:rPr>
          <w:sz w:val="20"/>
        </w:rPr>
        <w:t>health policies. The state health agencies should invest in and implement training for healthcare provi</w:t>
      </w:r>
      <w:r>
        <w:rPr>
          <w:sz w:val="20"/>
        </w:rPr>
        <w:t>ders, pharmacists, and insurers on the ACCESS law and other wide ranges of reproductive health-related provisions. The Commonwealth</w:t>
      </w:r>
      <w:r>
        <w:rPr>
          <w:spacing w:val="59"/>
          <w:sz w:val="20"/>
        </w:rPr>
        <w:t xml:space="preserve"> </w:t>
      </w:r>
      <w:r>
        <w:rPr>
          <w:sz w:val="20"/>
        </w:rPr>
        <w:t>should</w:t>
      </w:r>
      <w:r>
        <w:rPr>
          <w:spacing w:val="40"/>
          <w:sz w:val="20"/>
        </w:rPr>
        <w:t xml:space="preserve"> </w:t>
      </w:r>
      <w:r>
        <w:rPr>
          <w:sz w:val="20"/>
        </w:rPr>
        <w:t>also</w:t>
      </w:r>
      <w:r>
        <w:rPr>
          <w:spacing w:val="59"/>
          <w:sz w:val="20"/>
        </w:rPr>
        <w:t xml:space="preserve"> </w:t>
      </w:r>
      <w:r>
        <w:rPr>
          <w:sz w:val="20"/>
        </w:rPr>
        <w:t>invest</w:t>
      </w:r>
      <w:r>
        <w:rPr>
          <w:spacing w:val="40"/>
          <w:sz w:val="20"/>
        </w:rPr>
        <w:t xml:space="preserve"> </w:t>
      </w:r>
      <w:r>
        <w:rPr>
          <w:sz w:val="20"/>
        </w:rPr>
        <w:t>in</w:t>
      </w:r>
      <w:r>
        <w:rPr>
          <w:spacing w:val="40"/>
          <w:sz w:val="20"/>
        </w:rPr>
        <w:t xml:space="preserve"> </w:t>
      </w:r>
      <w:r>
        <w:rPr>
          <w:sz w:val="20"/>
        </w:rPr>
        <w:t>creating</w:t>
      </w:r>
      <w:r>
        <w:rPr>
          <w:spacing w:val="58"/>
          <w:sz w:val="20"/>
        </w:rPr>
        <w:t xml:space="preserve"> </w:t>
      </w:r>
      <w:r>
        <w:rPr>
          <w:sz w:val="20"/>
        </w:rPr>
        <w:t>more</w:t>
      </w:r>
      <w:r>
        <w:rPr>
          <w:spacing w:val="40"/>
          <w:sz w:val="20"/>
        </w:rPr>
        <w:t xml:space="preserve"> </w:t>
      </w:r>
      <w:r>
        <w:rPr>
          <w:sz w:val="20"/>
        </w:rPr>
        <w:t>effective</w:t>
      </w:r>
      <w:r>
        <w:rPr>
          <w:spacing w:val="40"/>
          <w:sz w:val="20"/>
        </w:rPr>
        <w:t xml:space="preserve"> </w:t>
      </w:r>
      <w:r>
        <w:rPr>
          <w:sz w:val="20"/>
        </w:rPr>
        <w:t>campaigning</w:t>
      </w:r>
      <w:r>
        <w:rPr>
          <w:spacing w:val="40"/>
          <w:sz w:val="20"/>
        </w:rPr>
        <w:t xml:space="preserve"> </w:t>
      </w:r>
      <w:r>
        <w:rPr>
          <w:sz w:val="20"/>
        </w:rPr>
        <w:t>and</w:t>
      </w:r>
      <w:r>
        <w:rPr>
          <w:spacing w:val="40"/>
          <w:sz w:val="20"/>
        </w:rPr>
        <w:t xml:space="preserve"> </w:t>
      </w:r>
      <w:r>
        <w:rPr>
          <w:sz w:val="20"/>
        </w:rPr>
        <w:t>implementing</w:t>
      </w:r>
      <w:r>
        <w:rPr>
          <w:spacing w:val="40"/>
          <w:sz w:val="20"/>
        </w:rPr>
        <w:t xml:space="preserve"> </w:t>
      </w:r>
      <w:r>
        <w:rPr>
          <w:sz w:val="20"/>
        </w:rPr>
        <w:t>an</w:t>
      </w:r>
      <w:r>
        <w:rPr>
          <w:spacing w:val="40"/>
          <w:sz w:val="20"/>
        </w:rPr>
        <w:t xml:space="preserve"> </w:t>
      </w:r>
      <w:r>
        <w:rPr>
          <w:sz w:val="20"/>
        </w:rPr>
        <w:t>education</w:t>
      </w:r>
    </w:p>
    <w:p w:rsidR="00200FDA" w:rsidRDefault="00F76C4C">
      <w:pPr>
        <w:spacing w:line="242" w:lineRule="exact"/>
        <w:ind w:left="5960"/>
        <w:jc w:val="both"/>
        <w:rPr>
          <w:sz w:val="20"/>
        </w:rPr>
      </w:pPr>
      <w:r>
        <w:rPr>
          <w:noProof/>
        </w:rPr>
        <w:drawing>
          <wp:anchor distT="0" distB="0" distL="0" distR="0" simplePos="0" relativeHeight="15781888" behindDoc="0" locked="0" layoutInCell="1" allowOverlap="1">
            <wp:simplePos x="0" y="0"/>
            <wp:positionH relativeFrom="page">
              <wp:posOffset>1128170</wp:posOffset>
            </wp:positionH>
            <wp:positionV relativeFrom="paragraph">
              <wp:posOffset>197523</wp:posOffset>
            </wp:positionV>
            <wp:extent cx="2956165" cy="2259528"/>
            <wp:effectExtent l="0" t="0" r="0" b="0"/>
            <wp:wrapNone/>
            <wp:docPr id="85"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91.jpeg"/>
                    <pic:cNvPicPr/>
                  </pic:nvPicPr>
                  <pic:blipFill>
                    <a:blip r:embed="rId418" cstate="print"/>
                    <a:stretch>
                      <a:fillRect/>
                    </a:stretch>
                  </pic:blipFill>
                  <pic:spPr>
                    <a:xfrm>
                      <a:off x="0" y="0"/>
                      <a:ext cx="2956165" cy="2259528"/>
                    </a:xfrm>
                    <a:prstGeom prst="rect">
                      <a:avLst/>
                    </a:prstGeom>
                  </pic:spPr>
                </pic:pic>
              </a:graphicData>
            </a:graphic>
          </wp:anchor>
        </w:drawing>
      </w:r>
      <w:r>
        <w:rPr>
          <w:sz w:val="20"/>
        </w:rPr>
        <w:t>component</w:t>
      </w:r>
      <w:r>
        <w:rPr>
          <w:spacing w:val="-7"/>
          <w:sz w:val="20"/>
        </w:rPr>
        <w:t xml:space="preserve"> </w:t>
      </w:r>
      <w:r>
        <w:rPr>
          <w:sz w:val="20"/>
        </w:rPr>
        <w:t>to</w:t>
      </w:r>
      <w:r>
        <w:rPr>
          <w:spacing w:val="-6"/>
          <w:sz w:val="20"/>
        </w:rPr>
        <w:t xml:space="preserve"> </w:t>
      </w:r>
      <w:r>
        <w:rPr>
          <w:sz w:val="20"/>
        </w:rPr>
        <w:t>the</w:t>
      </w:r>
      <w:r>
        <w:rPr>
          <w:spacing w:val="-6"/>
          <w:sz w:val="20"/>
        </w:rPr>
        <w:t xml:space="preserve"> </w:t>
      </w:r>
      <w:r>
        <w:rPr>
          <w:sz w:val="20"/>
        </w:rPr>
        <w:t>ACCESS</w:t>
      </w:r>
      <w:r>
        <w:rPr>
          <w:spacing w:val="-6"/>
          <w:sz w:val="20"/>
        </w:rPr>
        <w:t xml:space="preserve"> </w:t>
      </w:r>
      <w:r>
        <w:rPr>
          <w:spacing w:val="-4"/>
          <w:sz w:val="20"/>
        </w:rPr>
        <w:t>law.</w:t>
      </w:r>
    </w:p>
    <w:p w:rsidR="00200FDA" w:rsidRDefault="00200FDA">
      <w:pPr>
        <w:pStyle w:val="BodyText"/>
        <w:spacing w:before="8"/>
        <w:rPr>
          <w:sz w:val="21"/>
        </w:rPr>
      </w:pPr>
    </w:p>
    <w:p w:rsidR="00200FDA" w:rsidRDefault="00F76C4C">
      <w:pPr>
        <w:spacing w:line="264" w:lineRule="auto"/>
        <w:ind w:left="5960" w:right="335"/>
        <w:jc w:val="both"/>
        <w:rPr>
          <w:sz w:val="20"/>
        </w:rPr>
      </w:pPr>
      <w:r>
        <w:rPr>
          <w:sz w:val="20"/>
        </w:rPr>
        <w:t>In</w:t>
      </w:r>
      <w:r>
        <w:rPr>
          <w:spacing w:val="-12"/>
          <w:sz w:val="20"/>
        </w:rPr>
        <w:t xml:space="preserve"> </w:t>
      </w:r>
      <w:r>
        <w:rPr>
          <w:sz w:val="20"/>
        </w:rPr>
        <w:t>Massachusetts,</w:t>
      </w:r>
      <w:r>
        <w:rPr>
          <w:spacing w:val="-11"/>
          <w:sz w:val="20"/>
        </w:rPr>
        <w:t xml:space="preserve"> </w:t>
      </w:r>
      <w:r>
        <w:rPr>
          <w:sz w:val="20"/>
        </w:rPr>
        <w:t>youth</w:t>
      </w:r>
      <w:r>
        <w:rPr>
          <w:spacing w:val="-11"/>
          <w:sz w:val="20"/>
        </w:rPr>
        <w:t xml:space="preserve"> </w:t>
      </w:r>
      <w:r>
        <w:rPr>
          <w:sz w:val="20"/>
        </w:rPr>
        <w:t>under</w:t>
      </w:r>
      <w:r>
        <w:rPr>
          <w:spacing w:val="-12"/>
          <w:sz w:val="20"/>
        </w:rPr>
        <w:t xml:space="preserve"> </w:t>
      </w:r>
      <w:r>
        <w:rPr>
          <w:sz w:val="20"/>
        </w:rPr>
        <w:t>the</w:t>
      </w:r>
      <w:r>
        <w:rPr>
          <w:spacing w:val="-11"/>
          <w:sz w:val="20"/>
        </w:rPr>
        <w:t xml:space="preserve"> </w:t>
      </w:r>
      <w:r>
        <w:rPr>
          <w:sz w:val="20"/>
        </w:rPr>
        <w:t>age</w:t>
      </w:r>
      <w:r>
        <w:rPr>
          <w:spacing w:val="-11"/>
          <w:sz w:val="20"/>
        </w:rPr>
        <w:t xml:space="preserve"> </w:t>
      </w:r>
      <w:r>
        <w:rPr>
          <w:sz w:val="20"/>
        </w:rPr>
        <w:t>of</w:t>
      </w:r>
      <w:r>
        <w:rPr>
          <w:spacing w:val="-12"/>
          <w:sz w:val="20"/>
        </w:rPr>
        <w:t xml:space="preserve"> </w:t>
      </w:r>
      <w:r>
        <w:rPr>
          <w:sz w:val="20"/>
        </w:rPr>
        <w:t>18 can get a prescription for birth control without parental or guardian’s permission, though they do need parental consent for abortion</w:t>
      </w:r>
      <w:r>
        <w:rPr>
          <w:spacing w:val="-4"/>
          <w:sz w:val="20"/>
        </w:rPr>
        <w:t xml:space="preserve"> </w:t>
      </w:r>
      <w:r>
        <w:rPr>
          <w:sz w:val="20"/>
        </w:rPr>
        <w:t>procedures.</w:t>
      </w:r>
      <w:r>
        <w:rPr>
          <w:spacing w:val="-4"/>
          <w:sz w:val="20"/>
        </w:rPr>
        <w:t xml:space="preserve"> </w:t>
      </w:r>
      <w:r>
        <w:rPr>
          <w:sz w:val="20"/>
        </w:rPr>
        <w:t>Essentially,</w:t>
      </w:r>
      <w:r>
        <w:rPr>
          <w:spacing w:val="-4"/>
          <w:sz w:val="20"/>
        </w:rPr>
        <w:t xml:space="preserve"> </w:t>
      </w:r>
      <w:r>
        <w:rPr>
          <w:sz w:val="20"/>
        </w:rPr>
        <w:t>anyone</w:t>
      </w:r>
      <w:r>
        <w:rPr>
          <w:spacing w:val="-5"/>
          <w:sz w:val="20"/>
        </w:rPr>
        <w:t xml:space="preserve"> </w:t>
      </w:r>
      <w:r>
        <w:rPr>
          <w:sz w:val="20"/>
        </w:rPr>
        <w:t>of any age can get prescription birth control. Th</w:t>
      </w:r>
      <w:r>
        <w:rPr>
          <w:sz w:val="20"/>
        </w:rPr>
        <w:t xml:space="preserve">e Massachusetts Department of Public Health funds state-wide family planning programs that provide low or no-cost reproductive and sexual health healthcare and information that adolescents can </w:t>
      </w:r>
      <w:r>
        <w:rPr>
          <w:spacing w:val="-2"/>
          <w:sz w:val="20"/>
        </w:rPr>
        <w:t>access.</w:t>
      </w:r>
      <w:hyperlink w:anchor="_bookmark518" w:history="1">
        <w:r>
          <w:rPr>
            <w:spacing w:val="-2"/>
            <w:sz w:val="20"/>
            <w:vertAlign w:val="superscript"/>
          </w:rPr>
          <w:t>72</w:t>
        </w:r>
      </w:hyperlink>
    </w:p>
    <w:p w:rsidR="00200FDA" w:rsidRDefault="00200FDA">
      <w:pPr>
        <w:pStyle w:val="BodyText"/>
        <w:rPr>
          <w:sz w:val="20"/>
        </w:rPr>
      </w:pPr>
    </w:p>
    <w:p w:rsidR="00200FDA" w:rsidRDefault="00200FDA">
      <w:pPr>
        <w:pStyle w:val="BodyText"/>
        <w:rPr>
          <w:sz w:val="20"/>
        </w:rPr>
      </w:pPr>
    </w:p>
    <w:p w:rsidR="00200FDA" w:rsidRDefault="00F76C4C">
      <w:pPr>
        <w:pStyle w:val="Heading8"/>
        <w:spacing w:before="172"/>
      </w:pPr>
      <w:bookmarkStart w:id="594" w:name="Access_to_Menstrual_Products"/>
      <w:bookmarkEnd w:id="594"/>
      <w:r>
        <w:rPr>
          <w:color w:val="2E5395"/>
        </w:rPr>
        <w:t>Access</w:t>
      </w:r>
      <w:r>
        <w:rPr>
          <w:color w:val="2E5395"/>
          <w:spacing w:val="-1"/>
        </w:rPr>
        <w:t xml:space="preserve"> </w:t>
      </w:r>
      <w:r>
        <w:rPr>
          <w:color w:val="2E5395"/>
        </w:rPr>
        <w:t>to</w:t>
      </w:r>
      <w:r>
        <w:rPr>
          <w:color w:val="2E5395"/>
          <w:spacing w:val="-1"/>
        </w:rPr>
        <w:t xml:space="preserve"> </w:t>
      </w:r>
      <w:r>
        <w:rPr>
          <w:color w:val="2E5395"/>
        </w:rPr>
        <w:t>Menstrual</w:t>
      </w:r>
      <w:r>
        <w:rPr>
          <w:color w:val="2E5395"/>
          <w:spacing w:val="-2"/>
        </w:rPr>
        <w:t xml:space="preserve"> Products</w:t>
      </w:r>
    </w:p>
    <w:p w:rsidR="00200FDA" w:rsidRDefault="00200FDA">
      <w:pPr>
        <w:pStyle w:val="BodyText"/>
        <w:spacing w:before="10"/>
        <w:rPr>
          <w:sz w:val="19"/>
        </w:rPr>
      </w:pPr>
    </w:p>
    <w:p w:rsidR="00200FDA" w:rsidRDefault="00F76C4C">
      <w:pPr>
        <w:spacing w:line="264" w:lineRule="auto"/>
        <w:ind w:left="139" w:right="337"/>
        <w:jc w:val="both"/>
        <w:rPr>
          <w:sz w:val="20"/>
        </w:rPr>
      </w:pPr>
      <w:r>
        <w:rPr>
          <w:sz w:val="20"/>
        </w:rPr>
        <w:t xml:space="preserve">In May 2021, to commemorate </w:t>
      </w:r>
      <w:r>
        <w:rPr>
          <w:i/>
          <w:sz w:val="20"/>
        </w:rPr>
        <w:t>Menstrual Hygiene Day</w:t>
      </w:r>
      <w:r>
        <w:rPr>
          <w:sz w:val="20"/>
        </w:rPr>
        <w:t>, the Menstrual Equity for All Act of 2021 (H.R.3614) was introduced to the United States Congress, though did not progress. The bill aimed to increase the availability and affordability of menstr</w:t>
      </w:r>
      <w:r>
        <w:rPr>
          <w:sz w:val="20"/>
        </w:rPr>
        <w:t>ual products for individuals with limited access, and for other purposes. The legislation’s components</w:t>
      </w:r>
      <w:r>
        <w:rPr>
          <w:spacing w:val="-1"/>
          <w:sz w:val="20"/>
        </w:rPr>
        <w:t xml:space="preserve"> </w:t>
      </w:r>
      <w:r>
        <w:rPr>
          <w:sz w:val="20"/>
        </w:rPr>
        <w:t>include</w:t>
      </w:r>
      <w:r>
        <w:rPr>
          <w:spacing w:val="-1"/>
          <w:sz w:val="20"/>
        </w:rPr>
        <w:t xml:space="preserve"> </w:t>
      </w:r>
      <w:r>
        <w:rPr>
          <w:sz w:val="20"/>
        </w:rPr>
        <w:t>giving states</w:t>
      </w:r>
      <w:r>
        <w:rPr>
          <w:spacing w:val="-1"/>
          <w:sz w:val="20"/>
        </w:rPr>
        <w:t xml:space="preserve"> </w:t>
      </w:r>
      <w:r>
        <w:rPr>
          <w:sz w:val="20"/>
        </w:rPr>
        <w:t>the</w:t>
      </w:r>
      <w:r>
        <w:rPr>
          <w:spacing w:val="-1"/>
          <w:sz w:val="20"/>
        </w:rPr>
        <w:t xml:space="preserve"> </w:t>
      </w:r>
      <w:r>
        <w:rPr>
          <w:sz w:val="20"/>
        </w:rPr>
        <w:t>option to use federal funds</w:t>
      </w:r>
      <w:r>
        <w:rPr>
          <w:spacing w:val="-1"/>
          <w:sz w:val="20"/>
        </w:rPr>
        <w:t xml:space="preserve"> </w:t>
      </w:r>
      <w:r>
        <w:rPr>
          <w:sz w:val="20"/>
        </w:rPr>
        <w:t>to provide</w:t>
      </w:r>
      <w:r>
        <w:rPr>
          <w:spacing w:val="-1"/>
          <w:sz w:val="20"/>
        </w:rPr>
        <w:t xml:space="preserve"> </w:t>
      </w:r>
      <w:r>
        <w:rPr>
          <w:sz w:val="20"/>
        </w:rPr>
        <w:t>students</w:t>
      </w:r>
      <w:r>
        <w:rPr>
          <w:spacing w:val="-1"/>
          <w:sz w:val="20"/>
        </w:rPr>
        <w:t xml:space="preserve"> </w:t>
      </w:r>
      <w:r>
        <w:rPr>
          <w:sz w:val="20"/>
        </w:rPr>
        <w:t>with free menstrual products in schools, incentivizing universities to implement pilot programs that provide free menstrual products, ensuring free</w:t>
      </w:r>
      <w:r>
        <w:rPr>
          <w:spacing w:val="-2"/>
          <w:sz w:val="20"/>
        </w:rPr>
        <w:t xml:space="preserve"> </w:t>
      </w:r>
      <w:r>
        <w:rPr>
          <w:sz w:val="20"/>
        </w:rPr>
        <w:t>menstrual</w:t>
      </w:r>
      <w:r>
        <w:rPr>
          <w:spacing w:val="-4"/>
          <w:sz w:val="20"/>
        </w:rPr>
        <w:t xml:space="preserve"> </w:t>
      </w:r>
      <w:r>
        <w:rPr>
          <w:sz w:val="20"/>
        </w:rPr>
        <w:t>products</w:t>
      </w:r>
      <w:r>
        <w:rPr>
          <w:spacing w:val="-5"/>
          <w:sz w:val="20"/>
        </w:rPr>
        <w:t xml:space="preserve"> </w:t>
      </w:r>
      <w:r>
        <w:rPr>
          <w:sz w:val="20"/>
        </w:rPr>
        <w:t>to</w:t>
      </w:r>
      <w:r>
        <w:rPr>
          <w:spacing w:val="-4"/>
          <w:sz w:val="20"/>
        </w:rPr>
        <w:t xml:space="preserve"> </w:t>
      </w:r>
      <w:r>
        <w:rPr>
          <w:sz w:val="20"/>
        </w:rPr>
        <w:t>detainees</w:t>
      </w:r>
      <w:r>
        <w:rPr>
          <w:spacing w:val="-5"/>
          <w:sz w:val="20"/>
        </w:rPr>
        <w:t xml:space="preserve"> </w:t>
      </w:r>
      <w:r>
        <w:rPr>
          <w:sz w:val="20"/>
        </w:rPr>
        <w:t>in</w:t>
      </w:r>
      <w:r>
        <w:rPr>
          <w:spacing w:val="-3"/>
          <w:sz w:val="20"/>
        </w:rPr>
        <w:t xml:space="preserve"> </w:t>
      </w:r>
      <w:r>
        <w:rPr>
          <w:sz w:val="20"/>
        </w:rPr>
        <w:t>federal,</w:t>
      </w:r>
      <w:r>
        <w:rPr>
          <w:spacing w:val="-3"/>
          <w:sz w:val="20"/>
        </w:rPr>
        <w:t xml:space="preserve"> </w:t>
      </w:r>
      <w:r>
        <w:rPr>
          <w:sz w:val="20"/>
        </w:rPr>
        <w:t>state,</w:t>
      </w:r>
      <w:r>
        <w:rPr>
          <w:spacing w:val="-3"/>
          <w:sz w:val="20"/>
        </w:rPr>
        <w:t xml:space="preserve"> </w:t>
      </w:r>
      <w:r>
        <w:rPr>
          <w:sz w:val="20"/>
        </w:rPr>
        <w:t>and</w:t>
      </w:r>
      <w:r>
        <w:rPr>
          <w:spacing w:val="-3"/>
          <w:sz w:val="20"/>
        </w:rPr>
        <w:t xml:space="preserve"> </w:t>
      </w:r>
      <w:r>
        <w:rPr>
          <w:sz w:val="20"/>
        </w:rPr>
        <w:t>local</w:t>
      </w:r>
      <w:r>
        <w:rPr>
          <w:spacing w:val="-4"/>
          <w:sz w:val="20"/>
        </w:rPr>
        <w:t xml:space="preserve"> </w:t>
      </w:r>
      <w:r>
        <w:rPr>
          <w:sz w:val="20"/>
        </w:rPr>
        <w:t>facilities</w:t>
      </w:r>
      <w:r>
        <w:rPr>
          <w:spacing w:val="-5"/>
          <w:sz w:val="20"/>
        </w:rPr>
        <w:t xml:space="preserve"> </w:t>
      </w:r>
      <w:r>
        <w:rPr>
          <w:sz w:val="20"/>
        </w:rPr>
        <w:t>(including</w:t>
      </w:r>
      <w:r>
        <w:rPr>
          <w:spacing w:val="-4"/>
          <w:sz w:val="20"/>
        </w:rPr>
        <w:t xml:space="preserve"> </w:t>
      </w:r>
      <w:r>
        <w:rPr>
          <w:sz w:val="20"/>
        </w:rPr>
        <w:t>immigration</w:t>
      </w:r>
      <w:r>
        <w:rPr>
          <w:spacing w:val="-3"/>
          <w:sz w:val="20"/>
        </w:rPr>
        <w:t xml:space="preserve"> </w:t>
      </w:r>
      <w:r>
        <w:rPr>
          <w:sz w:val="20"/>
        </w:rPr>
        <w:t>detention</w:t>
      </w:r>
      <w:r>
        <w:rPr>
          <w:spacing w:val="-3"/>
          <w:sz w:val="20"/>
        </w:rPr>
        <w:t xml:space="preserve"> </w:t>
      </w:r>
      <w:r>
        <w:rPr>
          <w:sz w:val="20"/>
        </w:rPr>
        <w:t>cen</w:t>
      </w:r>
      <w:r>
        <w:rPr>
          <w:sz w:val="20"/>
        </w:rPr>
        <w:t>ters), ensure that homeless shelters can use grants to cover menstrual products, requiring Medicaid to cover the cost of menstrual products, directing large employers with 100 employees or more to provide free menstrual products to employees, and require a</w:t>
      </w:r>
      <w:r>
        <w:rPr>
          <w:sz w:val="20"/>
        </w:rPr>
        <w:t>ll federal buildings to provide free menstrual products in restrooms. This is a federal, comprehensive</w:t>
      </w:r>
      <w:r>
        <w:rPr>
          <w:spacing w:val="-4"/>
          <w:sz w:val="20"/>
        </w:rPr>
        <w:t xml:space="preserve"> </w:t>
      </w:r>
      <w:r>
        <w:rPr>
          <w:sz w:val="20"/>
        </w:rPr>
        <w:t>initiative</w:t>
      </w:r>
      <w:r>
        <w:rPr>
          <w:spacing w:val="-1"/>
          <w:sz w:val="20"/>
        </w:rPr>
        <w:t xml:space="preserve"> </w:t>
      </w:r>
      <w:r>
        <w:rPr>
          <w:sz w:val="20"/>
        </w:rPr>
        <w:t>that would</w:t>
      </w:r>
      <w:r>
        <w:rPr>
          <w:spacing w:val="-2"/>
          <w:sz w:val="20"/>
        </w:rPr>
        <w:t xml:space="preserve"> </w:t>
      </w:r>
      <w:r>
        <w:rPr>
          <w:sz w:val="20"/>
        </w:rPr>
        <w:t>further</w:t>
      </w:r>
      <w:r>
        <w:rPr>
          <w:spacing w:val="-3"/>
          <w:sz w:val="20"/>
        </w:rPr>
        <w:t xml:space="preserve"> </w:t>
      </w:r>
      <w:r>
        <w:rPr>
          <w:sz w:val="20"/>
        </w:rPr>
        <w:t>reproductive</w:t>
      </w:r>
      <w:r>
        <w:rPr>
          <w:spacing w:val="-4"/>
          <w:sz w:val="20"/>
        </w:rPr>
        <w:t xml:space="preserve"> </w:t>
      </w:r>
      <w:r>
        <w:rPr>
          <w:sz w:val="20"/>
        </w:rPr>
        <w:t>access</w:t>
      </w:r>
      <w:r>
        <w:rPr>
          <w:spacing w:val="-2"/>
          <w:sz w:val="20"/>
        </w:rPr>
        <w:t xml:space="preserve"> </w:t>
      </w:r>
      <w:r>
        <w:rPr>
          <w:sz w:val="20"/>
        </w:rPr>
        <w:t>for</w:t>
      </w:r>
      <w:r>
        <w:rPr>
          <w:spacing w:val="-3"/>
          <w:sz w:val="20"/>
        </w:rPr>
        <w:t xml:space="preserve"> </w:t>
      </w:r>
      <w:r>
        <w:rPr>
          <w:sz w:val="20"/>
        </w:rPr>
        <w:t>menstruating</w:t>
      </w:r>
      <w:r>
        <w:rPr>
          <w:spacing w:val="-3"/>
          <w:sz w:val="20"/>
        </w:rPr>
        <w:t xml:space="preserve"> </w:t>
      </w:r>
      <w:r>
        <w:rPr>
          <w:sz w:val="20"/>
        </w:rPr>
        <w:t>LGBTQ youth,</w:t>
      </w:r>
      <w:r>
        <w:rPr>
          <w:spacing w:val="-3"/>
          <w:sz w:val="20"/>
        </w:rPr>
        <w:t xml:space="preserve"> </w:t>
      </w:r>
      <w:r>
        <w:rPr>
          <w:sz w:val="20"/>
        </w:rPr>
        <w:t>especially</w:t>
      </w:r>
      <w:r>
        <w:rPr>
          <w:spacing w:val="-2"/>
          <w:sz w:val="20"/>
        </w:rPr>
        <w:t xml:space="preserve"> </w:t>
      </w:r>
      <w:r>
        <w:rPr>
          <w:sz w:val="20"/>
        </w:rPr>
        <w:t>youth</w:t>
      </w:r>
      <w:r>
        <w:rPr>
          <w:spacing w:val="-2"/>
          <w:sz w:val="20"/>
        </w:rPr>
        <w:t xml:space="preserve"> </w:t>
      </w:r>
      <w:r>
        <w:rPr>
          <w:sz w:val="20"/>
        </w:rPr>
        <w:t>in schools, prisons, and homeless</w:t>
      </w:r>
      <w:r>
        <w:rPr>
          <w:spacing w:val="-1"/>
          <w:sz w:val="20"/>
        </w:rPr>
        <w:t xml:space="preserve"> </w:t>
      </w:r>
      <w:r>
        <w:rPr>
          <w:sz w:val="20"/>
        </w:rPr>
        <w:t>shelters. The</w:t>
      </w:r>
      <w:r>
        <w:rPr>
          <w:spacing w:val="-1"/>
          <w:sz w:val="20"/>
        </w:rPr>
        <w:t xml:space="preserve"> </w:t>
      </w:r>
      <w:r>
        <w:rPr>
          <w:sz w:val="20"/>
        </w:rPr>
        <w:t>progress</w:t>
      </w:r>
      <w:r>
        <w:rPr>
          <w:sz w:val="20"/>
        </w:rPr>
        <w:t>ion of this</w:t>
      </w:r>
      <w:r>
        <w:rPr>
          <w:spacing w:val="-1"/>
          <w:sz w:val="20"/>
        </w:rPr>
        <w:t xml:space="preserve"> </w:t>
      </w:r>
      <w:r>
        <w:rPr>
          <w:sz w:val="20"/>
        </w:rPr>
        <w:t>bill has remained stagnant since its introduction to the U.S. Congress. However, various states such as California, Illinois, and Maryland have passed menstrual equity</w:t>
      </w:r>
    </w:p>
    <w:p w:rsidR="00200FDA" w:rsidRDefault="00200FDA">
      <w:pPr>
        <w:spacing w:line="264" w:lineRule="auto"/>
        <w:jc w:val="both"/>
        <w:rPr>
          <w:sz w:val="20"/>
        </w:rPr>
        <w:sectPr w:rsidR="00200FDA">
          <w:headerReference w:type="default" r:id="rId419"/>
          <w:footerReference w:type="default" r:id="rId420"/>
          <w:pgSz w:w="12240" w:h="15840"/>
          <w:pgMar w:top="1140" w:right="1100" w:bottom="1540" w:left="1300" w:header="758" w:footer="1353" w:gutter="0"/>
          <w:cols w:space="720"/>
        </w:sectPr>
      </w:pPr>
    </w:p>
    <w:p w:rsidR="00200FDA" w:rsidRDefault="00F76C4C">
      <w:pPr>
        <w:spacing w:before="66" w:line="261" w:lineRule="auto"/>
        <w:ind w:left="140" w:right="342"/>
        <w:jc w:val="both"/>
        <w:rPr>
          <w:sz w:val="20"/>
        </w:rPr>
      </w:pPr>
      <w:r>
        <w:rPr>
          <w:sz w:val="20"/>
        </w:rPr>
        <w:lastRenderedPageBreak/>
        <w:t>legislation that requires schools to provide menstrual products to students in female restrooms. Other states, including Massachusetts, have introduced menstrual equity bills.</w:t>
      </w:r>
    </w:p>
    <w:p w:rsidR="00200FDA" w:rsidRDefault="00200FDA">
      <w:pPr>
        <w:pStyle w:val="BodyText"/>
        <w:spacing w:before="11"/>
        <w:rPr>
          <w:sz w:val="19"/>
        </w:rPr>
      </w:pPr>
    </w:p>
    <w:p w:rsidR="00200FDA" w:rsidRDefault="00F76C4C">
      <w:pPr>
        <w:spacing w:line="264" w:lineRule="auto"/>
        <w:ind w:left="140" w:right="334"/>
        <w:jc w:val="both"/>
        <w:rPr>
          <w:sz w:val="20"/>
        </w:rPr>
      </w:pPr>
      <w:r>
        <w:rPr>
          <w:sz w:val="20"/>
        </w:rPr>
        <w:t>In</w:t>
      </w:r>
      <w:r>
        <w:rPr>
          <w:spacing w:val="-8"/>
          <w:sz w:val="20"/>
        </w:rPr>
        <w:t xml:space="preserve"> </w:t>
      </w:r>
      <w:r>
        <w:rPr>
          <w:sz w:val="20"/>
        </w:rPr>
        <w:t>the</w:t>
      </w:r>
      <w:r>
        <w:rPr>
          <w:spacing w:val="-9"/>
          <w:sz w:val="20"/>
        </w:rPr>
        <w:t xml:space="preserve"> </w:t>
      </w:r>
      <w:r>
        <w:rPr>
          <w:sz w:val="20"/>
        </w:rPr>
        <w:t>2023-2024</w:t>
      </w:r>
      <w:r>
        <w:rPr>
          <w:spacing w:val="-9"/>
          <w:sz w:val="20"/>
        </w:rPr>
        <w:t xml:space="preserve"> </w:t>
      </w:r>
      <w:r>
        <w:rPr>
          <w:sz w:val="20"/>
        </w:rPr>
        <w:t>legislative</w:t>
      </w:r>
      <w:r>
        <w:rPr>
          <w:spacing w:val="-9"/>
          <w:sz w:val="20"/>
        </w:rPr>
        <w:t xml:space="preserve"> </w:t>
      </w:r>
      <w:r>
        <w:rPr>
          <w:sz w:val="20"/>
        </w:rPr>
        <w:t>session,</w:t>
      </w:r>
      <w:r>
        <w:rPr>
          <w:spacing w:val="-8"/>
          <w:sz w:val="20"/>
        </w:rPr>
        <w:t xml:space="preserve"> </w:t>
      </w:r>
      <w:r>
        <w:rPr>
          <w:sz w:val="20"/>
        </w:rPr>
        <w:t>Massachusetts</w:t>
      </w:r>
      <w:r>
        <w:rPr>
          <w:spacing w:val="-9"/>
          <w:sz w:val="20"/>
        </w:rPr>
        <w:t xml:space="preserve"> </w:t>
      </w:r>
      <w:r>
        <w:rPr>
          <w:sz w:val="20"/>
        </w:rPr>
        <w:t>lawmakers</w:t>
      </w:r>
      <w:r>
        <w:rPr>
          <w:spacing w:val="-9"/>
          <w:sz w:val="20"/>
        </w:rPr>
        <w:t xml:space="preserve"> </w:t>
      </w:r>
      <w:r>
        <w:rPr>
          <w:sz w:val="20"/>
        </w:rPr>
        <w:t>reintroduced</w:t>
      </w:r>
      <w:r>
        <w:rPr>
          <w:spacing w:val="-8"/>
          <w:sz w:val="20"/>
        </w:rPr>
        <w:t xml:space="preserve"> </w:t>
      </w:r>
      <w:r>
        <w:rPr>
          <w:i/>
          <w:sz w:val="20"/>
        </w:rPr>
        <w:t>An</w:t>
      </w:r>
      <w:r>
        <w:rPr>
          <w:i/>
          <w:spacing w:val="-8"/>
          <w:sz w:val="20"/>
        </w:rPr>
        <w:t xml:space="preserve"> </w:t>
      </w:r>
      <w:r>
        <w:rPr>
          <w:i/>
          <w:sz w:val="20"/>
        </w:rPr>
        <w:t>Act</w:t>
      </w:r>
      <w:r>
        <w:rPr>
          <w:i/>
          <w:spacing w:val="-8"/>
          <w:sz w:val="20"/>
        </w:rPr>
        <w:t xml:space="preserve"> </w:t>
      </w:r>
      <w:r>
        <w:rPr>
          <w:i/>
          <w:sz w:val="20"/>
        </w:rPr>
        <w:t>to</w:t>
      </w:r>
      <w:r>
        <w:rPr>
          <w:i/>
          <w:spacing w:val="-8"/>
          <w:sz w:val="20"/>
        </w:rPr>
        <w:t xml:space="preserve"> </w:t>
      </w:r>
      <w:r>
        <w:rPr>
          <w:i/>
          <w:sz w:val="20"/>
        </w:rPr>
        <w:t>Increase</w:t>
      </w:r>
      <w:r>
        <w:rPr>
          <w:i/>
          <w:spacing w:val="-8"/>
          <w:sz w:val="20"/>
        </w:rPr>
        <w:t xml:space="preserve"> </w:t>
      </w:r>
      <w:r>
        <w:rPr>
          <w:i/>
          <w:sz w:val="20"/>
        </w:rPr>
        <w:t>Access</w:t>
      </w:r>
      <w:r>
        <w:rPr>
          <w:i/>
          <w:spacing w:val="-9"/>
          <w:sz w:val="20"/>
        </w:rPr>
        <w:t xml:space="preserve"> </w:t>
      </w:r>
      <w:r>
        <w:rPr>
          <w:i/>
          <w:sz w:val="20"/>
        </w:rPr>
        <w:t>to</w:t>
      </w:r>
      <w:r>
        <w:rPr>
          <w:i/>
          <w:spacing w:val="-8"/>
          <w:sz w:val="20"/>
        </w:rPr>
        <w:t xml:space="preserve"> </w:t>
      </w:r>
      <w:r>
        <w:rPr>
          <w:i/>
          <w:sz w:val="20"/>
        </w:rPr>
        <w:t xml:space="preserve">Disposable Menstrual Products </w:t>
      </w:r>
      <w:r>
        <w:rPr>
          <w:sz w:val="20"/>
        </w:rPr>
        <w:t>(</w:t>
      </w:r>
      <w:hyperlink r:id="rId421">
        <w:r>
          <w:rPr>
            <w:color w:val="1154CC"/>
            <w:sz w:val="20"/>
            <w:u w:val="single" w:color="1154CC"/>
          </w:rPr>
          <w:t>S.1381</w:t>
        </w:r>
      </w:hyperlink>
      <w:r>
        <w:rPr>
          <w:sz w:val="20"/>
        </w:rPr>
        <w:t>/</w:t>
      </w:r>
      <w:hyperlink r:id="rId422">
        <w:r>
          <w:rPr>
            <w:color w:val="1154CC"/>
            <w:sz w:val="20"/>
            <w:u w:val="single" w:color="1154CC"/>
          </w:rPr>
          <w:t>H.534</w:t>
        </w:r>
        <w:r>
          <w:rPr>
            <w:sz w:val="20"/>
          </w:rPr>
          <w:t>)</w:t>
        </w:r>
      </w:hyperlink>
      <w:r>
        <w:rPr>
          <w:sz w:val="20"/>
        </w:rPr>
        <w:t xml:space="preserve"> which would provide access to free menstrual products to all </w:t>
      </w:r>
      <w:r>
        <w:rPr>
          <w:sz w:val="20"/>
        </w:rPr>
        <w:t>menstruating individuals in schools, shelters, and prisons. Just like the Menstrual Equity for All Act, the I AM bill would expand reproductive care for menstruating LGBTQ youth primarily in Massachusetts who attend public schools, are experiencing</w:t>
      </w:r>
      <w:r>
        <w:rPr>
          <w:spacing w:val="-6"/>
          <w:sz w:val="20"/>
        </w:rPr>
        <w:t xml:space="preserve"> </w:t>
      </w:r>
      <w:r>
        <w:rPr>
          <w:sz w:val="20"/>
        </w:rPr>
        <w:t>homelessness</w:t>
      </w:r>
      <w:r>
        <w:rPr>
          <w:spacing w:val="-7"/>
          <w:sz w:val="20"/>
        </w:rPr>
        <w:t xml:space="preserve"> </w:t>
      </w:r>
      <w:r>
        <w:rPr>
          <w:sz w:val="20"/>
        </w:rPr>
        <w:t>and</w:t>
      </w:r>
      <w:r>
        <w:rPr>
          <w:spacing w:val="-5"/>
          <w:sz w:val="20"/>
        </w:rPr>
        <w:t xml:space="preserve"> </w:t>
      </w:r>
      <w:r>
        <w:rPr>
          <w:sz w:val="20"/>
        </w:rPr>
        <w:t>need</w:t>
      </w:r>
      <w:r>
        <w:rPr>
          <w:spacing w:val="-5"/>
          <w:sz w:val="20"/>
        </w:rPr>
        <w:t xml:space="preserve"> </w:t>
      </w:r>
      <w:r>
        <w:rPr>
          <w:sz w:val="20"/>
        </w:rPr>
        <w:t>to</w:t>
      </w:r>
      <w:r>
        <w:rPr>
          <w:spacing w:val="-5"/>
          <w:sz w:val="20"/>
        </w:rPr>
        <w:t xml:space="preserve"> </w:t>
      </w:r>
      <w:r>
        <w:rPr>
          <w:sz w:val="20"/>
        </w:rPr>
        <w:t>stay</w:t>
      </w:r>
      <w:r>
        <w:rPr>
          <w:spacing w:val="-4"/>
          <w:sz w:val="20"/>
        </w:rPr>
        <w:t xml:space="preserve"> </w:t>
      </w:r>
      <w:r>
        <w:rPr>
          <w:sz w:val="20"/>
        </w:rPr>
        <w:t>in</w:t>
      </w:r>
      <w:r>
        <w:rPr>
          <w:spacing w:val="-7"/>
          <w:sz w:val="20"/>
        </w:rPr>
        <w:t xml:space="preserve"> </w:t>
      </w:r>
      <w:r>
        <w:rPr>
          <w:sz w:val="20"/>
        </w:rPr>
        <w:t>homeless</w:t>
      </w:r>
      <w:r>
        <w:rPr>
          <w:spacing w:val="-7"/>
          <w:sz w:val="20"/>
        </w:rPr>
        <w:t xml:space="preserve"> </w:t>
      </w:r>
      <w:r>
        <w:rPr>
          <w:sz w:val="20"/>
        </w:rPr>
        <w:t>shelters,</w:t>
      </w:r>
      <w:r>
        <w:rPr>
          <w:spacing w:val="-5"/>
          <w:sz w:val="20"/>
        </w:rPr>
        <w:t xml:space="preserve"> </w:t>
      </w:r>
      <w:r>
        <w:rPr>
          <w:sz w:val="20"/>
        </w:rPr>
        <w:t>or</w:t>
      </w:r>
      <w:r>
        <w:rPr>
          <w:spacing w:val="-5"/>
          <w:sz w:val="20"/>
        </w:rPr>
        <w:t xml:space="preserve"> </w:t>
      </w:r>
      <w:r>
        <w:rPr>
          <w:sz w:val="20"/>
        </w:rPr>
        <w:t>are</w:t>
      </w:r>
      <w:r>
        <w:rPr>
          <w:spacing w:val="-6"/>
          <w:sz w:val="20"/>
        </w:rPr>
        <w:t xml:space="preserve"> </w:t>
      </w:r>
      <w:r>
        <w:rPr>
          <w:sz w:val="20"/>
        </w:rPr>
        <w:t>incarcerated</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prison</w:t>
      </w:r>
      <w:r>
        <w:rPr>
          <w:spacing w:val="-5"/>
          <w:sz w:val="20"/>
        </w:rPr>
        <w:t xml:space="preserve"> </w:t>
      </w:r>
      <w:r>
        <w:rPr>
          <w:sz w:val="20"/>
        </w:rPr>
        <w:t>system.</w:t>
      </w:r>
      <w:r>
        <w:rPr>
          <w:spacing w:val="-5"/>
          <w:sz w:val="20"/>
        </w:rPr>
        <w:t xml:space="preserve"> </w:t>
      </w:r>
      <w:r>
        <w:rPr>
          <w:sz w:val="20"/>
        </w:rPr>
        <w:t>In</w:t>
      </w:r>
      <w:r>
        <w:rPr>
          <w:spacing w:val="-5"/>
          <w:sz w:val="20"/>
        </w:rPr>
        <w:t xml:space="preserve"> </w:t>
      </w:r>
      <w:r>
        <w:rPr>
          <w:sz w:val="20"/>
        </w:rPr>
        <w:t>2019, Boston Public Schools launched a period product pilot program that brought free menstrual supplies to students. This</w:t>
      </w:r>
      <w:r>
        <w:rPr>
          <w:spacing w:val="-6"/>
          <w:sz w:val="20"/>
        </w:rPr>
        <w:t xml:space="preserve"> </w:t>
      </w:r>
      <w:r>
        <w:rPr>
          <w:sz w:val="20"/>
        </w:rPr>
        <w:t>initiative</w:t>
      </w:r>
      <w:r>
        <w:rPr>
          <w:spacing w:val="-3"/>
          <w:sz w:val="20"/>
        </w:rPr>
        <w:t xml:space="preserve"> </w:t>
      </w:r>
      <w:r>
        <w:rPr>
          <w:sz w:val="20"/>
        </w:rPr>
        <w:t>came</w:t>
      </w:r>
      <w:r>
        <w:rPr>
          <w:spacing w:val="-5"/>
          <w:sz w:val="20"/>
        </w:rPr>
        <w:t xml:space="preserve"> </w:t>
      </w:r>
      <w:r>
        <w:rPr>
          <w:sz w:val="20"/>
        </w:rPr>
        <w:t>out</w:t>
      </w:r>
      <w:r>
        <w:rPr>
          <w:spacing w:val="-4"/>
          <w:sz w:val="20"/>
        </w:rPr>
        <w:t xml:space="preserve"> </w:t>
      </w:r>
      <w:r>
        <w:rPr>
          <w:sz w:val="20"/>
        </w:rPr>
        <w:t>around</w:t>
      </w:r>
      <w:r>
        <w:rPr>
          <w:spacing w:val="-4"/>
          <w:sz w:val="20"/>
        </w:rPr>
        <w:t xml:space="preserve"> </w:t>
      </w:r>
      <w:r>
        <w:rPr>
          <w:sz w:val="20"/>
        </w:rPr>
        <w:t>three</w:t>
      </w:r>
      <w:r>
        <w:rPr>
          <w:spacing w:val="-5"/>
          <w:sz w:val="20"/>
        </w:rPr>
        <w:t xml:space="preserve"> </w:t>
      </w:r>
      <w:r>
        <w:rPr>
          <w:sz w:val="20"/>
        </w:rPr>
        <w:t>yea</w:t>
      </w:r>
      <w:r>
        <w:rPr>
          <w:sz w:val="20"/>
        </w:rPr>
        <w:t>rs</w:t>
      </w:r>
      <w:r>
        <w:rPr>
          <w:spacing w:val="-6"/>
          <w:sz w:val="20"/>
        </w:rPr>
        <w:t xml:space="preserve"> </w:t>
      </w:r>
      <w:r>
        <w:rPr>
          <w:sz w:val="20"/>
        </w:rPr>
        <w:t>after</w:t>
      </w:r>
      <w:r>
        <w:rPr>
          <w:spacing w:val="-4"/>
          <w:sz w:val="20"/>
        </w:rPr>
        <w:t xml:space="preserve"> </w:t>
      </w:r>
      <w:r>
        <w:rPr>
          <w:sz w:val="20"/>
        </w:rPr>
        <w:t>Cambridge</w:t>
      </w:r>
      <w:r>
        <w:rPr>
          <w:spacing w:val="-3"/>
          <w:sz w:val="20"/>
        </w:rPr>
        <w:t xml:space="preserve"> </w:t>
      </w:r>
      <w:r>
        <w:rPr>
          <w:sz w:val="20"/>
        </w:rPr>
        <w:t>and</w:t>
      </w:r>
      <w:r>
        <w:rPr>
          <w:spacing w:val="-4"/>
          <w:sz w:val="20"/>
        </w:rPr>
        <w:t xml:space="preserve"> </w:t>
      </w:r>
      <w:r>
        <w:rPr>
          <w:sz w:val="20"/>
        </w:rPr>
        <w:t>Somerville</w:t>
      </w:r>
      <w:r>
        <w:rPr>
          <w:spacing w:val="-5"/>
          <w:sz w:val="20"/>
        </w:rPr>
        <w:t xml:space="preserve"> </w:t>
      </w:r>
      <w:r>
        <w:rPr>
          <w:sz w:val="20"/>
        </w:rPr>
        <w:t>Public</w:t>
      </w:r>
      <w:r>
        <w:rPr>
          <w:spacing w:val="-5"/>
          <w:sz w:val="20"/>
        </w:rPr>
        <w:t xml:space="preserve"> </w:t>
      </w:r>
      <w:r>
        <w:rPr>
          <w:sz w:val="20"/>
        </w:rPr>
        <w:t>Schools</w:t>
      </w:r>
      <w:r>
        <w:rPr>
          <w:spacing w:val="-3"/>
          <w:sz w:val="20"/>
        </w:rPr>
        <w:t xml:space="preserve"> </w:t>
      </w:r>
      <w:r>
        <w:rPr>
          <w:sz w:val="20"/>
        </w:rPr>
        <w:t>started</w:t>
      </w:r>
      <w:r>
        <w:rPr>
          <w:spacing w:val="-1"/>
          <w:sz w:val="20"/>
        </w:rPr>
        <w:t xml:space="preserve"> </w:t>
      </w:r>
      <w:r>
        <w:rPr>
          <w:sz w:val="20"/>
        </w:rPr>
        <w:t>similar</w:t>
      </w:r>
      <w:r>
        <w:rPr>
          <w:spacing w:val="-4"/>
          <w:sz w:val="20"/>
        </w:rPr>
        <w:t xml:space="preserve"> </w:t>
      </w:r>
      <w:r>
        <w:rPr>
          <w:sz w:val="20"/>
        </w:rPr>
        <w:t>programs. Public school systems taking initiative to run menstrual product programs alleviate some inaccessibility to period products for menstruating LGBTQ youth and reduce the stigma around</w:t>
      </w:r>
      <w:r>
        <w:rPr>
          <w:sz w:val="20"/>
        </w:rPr>
        <w:t xml:space="preserve"> menstruation. The Commission urges the Commonwealth to sign the I AM bill into law to further expand access to menstrual products across the state.</w:t>
      </w:r>
    </w:p>
    <w:p w:rsidR="00200FDA" w:rsidRDefault="00200FDA">
      <w:pPr>
        <w:pStyle w:val="BodyText"/>
        <w:spacing w:before="8"/>
        <w:rPr>
          <w:sz w:val="19"/>
        </w:rPr>
      </w:pPr>
    </w:p>
    <w:p w:rsidR="00200FDA" w:rsidRDefault="00F76C4C">
      <w:pPr>
        <w:spacing w:line="264" w:lineRule="auto"/>
        <w:ind w:left="140" w:right="340"/>
        <w:jc w:val="both"/>
        <w:rPr>
          <w:sz w:val="20"/>
        </w:rPr>
      </w:pPr>
      <w:r>
        <w:rPr>
          <w:sz w:val="20"/>
        </w:rPr>
        <w:t>Another</w:t>
      </w:r>
      <w:r>
        <w:rPr>
          <w:spacing w:val="-10"/>
          <w:sz w:val="20"/>
        </w:rPr>
        <w:t xml:space="preserve"> </w:t>
      </w:r>
      <w:r>
        <w:rPr>
          <w:sz w:val="20"/>
        </w:rPr>
        <w:t>way</w:t>
      </w:r>
      <w:r>
        <w:rPr>
          <w:spacing w:val="-9"/>
          <w:sz w:val="20"/>
        </w:rPr>
        <w:t xml:space="preserve"> </w:t>
      </w:r>
      <w:r>
        <w:rPr>
          <w:sz w:val="20"/>
        </w:rPr>
        <w:t>to</w:t>
      </w:r>
      <w:r>
        <w:rPr>
          <w:spacing w:val="-10"/>
          <w:sz w:val="20"/>
        </w:rPr>
        <w:t xml:space="preserve"> </w:t>
      </w:r>
      <w:r>
        <w:rPr>
          <w:sz w:val="20"/>
        </w:rPr>
        <w:t>expand</w:t>
      </w:r>
      <w:r>
        <w:rPr>
          <w:spacing w:val="-9"/>
          <w:sz w:val="20"/>
        </w:rPr>
        <w:t xml:space="preserve"> </w:t>
      </w:r>
      <w:r>
        <w:rPr>
          <w:sz w:val="20"/>
        </w:rPr>
        <w:t>access</w:t>
      </w:r>
      <w:r>
        <w:rPr>
          <w:spacing w:val="-9"/>
          <w:sz w:val="20"/>
        </w:rPr>
        <w:t xml:space="preserve"> </w:t>
      </w:r>
      <w:r>
        <w:rPr>
          <w:sz w:val="20"/>
        </w:rPr>
        <w:t>to</w:t>
      </w:r>
      <w:r>
        <w:rPr>
          <w:spacing w:val="-10"/>
          <w:sz w:val="20"/>
        </w:rPr>
        <w:t xml:space="preserve"> </w:t>
      </w:r>
      <w:r>
        <w:rPr>
          <w:sz w:val="20"/>
        </w:rPr>
        <w:t>menstrual</w:t>
      </w:r>
      <w:r>
        <w:rPr>
          <w:spacing w:val="-10"/>
          <w:sz w:val="20"/>
        </w:rPr>
        <w:t xml:space="preserve"> </w:t>
      </w:r>
      <w:r>
        <w:rPr>
          <w:sz w:val="20"/>
        </w:rPr>
        <w:t>products</w:t>
      </w:r>
      <w:r>
        <w:rPr>
          <w:spacing w:val="-11"/>
          <w:sz w:val="20"/>
        </w:rPr>
        <w:t xml:space="preserve"> </w:t>
      </w:r>
      <w:r>
        <w:rPr>
          <w:sz w:val="20"/>
        </w:rPr>
        <w:t>is</w:t>
      </w:r>
      <w:r>
        <w:rPr>
          <w:spacing w:val="-11"/>
          <w:sz w:val="20"/>
        </w:rPr>
        <w:t xml:space="preserve"> </w:t>
      </w:r>
      <w:r>
        <w:rPr>
          <w:sz w:val="20"/>
        </w:rPr>
        <w:t>through</w:t>
      </w:r>
      <w:r>
        <w:rPr>
          <w:spacing w:val="-9"/>
          <w:sz w:val="20"/>
        </w:rPr>
        <w:t xml:space="preserve"> </w:t>
      </w:r>
      <w:r>
        <w:rPr>
          <w:sz w:val="20"/>
        </w:rPr>
        <w:t>the</w:t>
      </w:r>
      <w:r>
        <w:rPr>
          <w:spacing w:val="-11"/>
          <w:sz w:val="20"/>
        </w:rPr>
        <w:t xml:space="preserve"> </w:t>
      </w:r>
      <w:r>
        <w:rPr>
          <w:sz w:val="20"/>
        </w:rPr>
        <w:t>Supplemental</w:t>
      </w:r>
      <w:r>
        <w:rPr>
          <w:spacing w:val="-10"/>
          <w:sz w:val="20"/>
        </w:rPr>
        <w:t xml:space="preserve"> </w:t>
      </w:r>
      <w:r>
        <w:rPr>
          <w:sz w:val="20"/>
        </w:rPr>
        <w:t>Nutrition</w:t>
      </w:r>
      <w:r>
        <w:rPr>
          <w:spacing w:val="-9"/>
          <w:sz w:val="20"/>
        </w:rPr>
        <w:t xml:space="preserve"> </w:t>
      </w:r>
      <w:r>
        <w:rPr>
          <w:sz w:val="20"/>
        </w:rPr>
        <w:t>Assistance</w:t>
      </w:r>
      <w:r>
        <w:rPr>
          <w:spacing w:val="-11"/>
          <w:sz w:val="20"/>
        </w:rPr>
        <w:t xml:space="preserve"> </w:t>
      </w:r>
      <w:r>
        <w:rPr>
          <w:sz w:val="20"/>
        </w:rPr>
        <w:t>Program,</w:t>
      </w:r>
      <w:r>
        <w:rPr>
          <w:spacing w:val="-10"/>
          <w:sz w:val="20"/>
        </w:rPr>
        <w:t xml:space="preserve"> </w:t>
      </w:r>
      <w:r>
        <w:rPr>
          <w:sz w:val="20"/>
        </w:rPr>
        <w:t>the federal</w:t>
      </w:r>
      <w:r>
        <w:rPr>
          <w:spacing w:val="80"/>
          <w:sz w:val="20"/>
        </w:rPr>
        <w:t xml:space="preserve"> </w:t>
      </w:r>
      <w:r>
        <w:rPr>
          <w:sz w:val="20"/>
        </w:rPr>
        <w:t>nutrition</w:t>
      </w:r>
      <w:r>
        <w:rPr>
          <w:spacing w:val="80"/>
          <w:sz w:val="20"/>
        </w:rPr>
        <w:t xml:space="preserve"> </w:t>
      </w:r>
      <w:r>
        <w:rPr>
          <w:sz w:val="20"/>
        </w:rPr>
        <w:t>program</w:t>
      </w:r>
      <w:r>
        <w:rPr>
          <w:spacing w:val="80"/>
          <w:sz w:val="20"/>
        </w:rPr>
        <w:t xml:space="preserve"> </w:t>
      </w:r>
      <w:r>
        <w:rPr>
          <w:sz w:val="20"/>
        </w:rPr>
        <w:t>that</w:t>
      </w:r>
      <w:r>
        <w:rPr>
          <w:spacing w:val="80"/>
          <w:sz w:val="20"/>
        </w:rPr>
        <w:t xml:space="preserve"> </w:t>
      </w:r>
      <w:r>
        <w:rPr>
          <w:sz w:val="20"/>
        </w:rPr>
        <w:t>aims</w:t>
      </w:r>
      <w:r>
        <w:rPr>
          <w:spacing w:val="80"/>
          <w:sz w:val="20"/>
        </w:rPr>
        <w:t xml:space="preserve"> </w:t>
      </w:r>
      <w:r>
        <w:rPr>
          <w:sz w:val="20"/>
        </w:rPr>
        <w:t>to</w:t>
      </w:r>
    </w:p>
    <w:p w:rsidR="00200FDA" w:rsidRDefault="00F76C4C">
      <w:pPr>
        <w:spacing w:before="1" w:line="264" w:lineRule="auto"/>
        <w:ind w:left="139" w:right="6132"/>
        <w:jc w:val="both"/>
        <w:rPr>
          <w:sz w:val="20"/>
        </w:rPr>
      </w:pPr>
      <w:r>
        <w:rPr>
          <w:noProof/>
        </w:rPr>
        <w:drawing>
          <wp:anchor distT="0" distB="0" distL="0" distR="0" simplePos="0" relativeHeight="15782400" behindDoc="0" locked="0" layoutInCell="1" allowOverlap="1">
            <wp:simplePos x="0" y="0"/>
            <wp:positionH relativeFrom="page">
              <wp:posOffset>3949529</wp:posOffset>
            </wp:positionH>
            <wp:positionV relativeFrom="paragraph">
              <wp:posOffset>155238</wp:posOffset>
            </wp:positionV>
            <wp:extent cx="2250145" cy="2424473"/>
            <wp:effectExtent l="0" t="0" r="0" b="0"/>
            <wp:wrapNone/>
            <wp:docPr id="87"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92.jpeg"/>
                    <pic:cNvPicPr/>
                  </pic:nvPicPr>
                  <pic:blipFill>
                    <a:blip r:embed="rId423" cstate="print"/>
                    <a:stretch>
                      <a:fillRect/>
                    </a:stretch>
                  </pic:blipFill>
                  <pic:spPr>
                    <a:xfrm>
                      <a:off x="0" y="0"/>
                      <a:ext cx="2250145" cy="2424473"/>
                    </a:xfrm>
                    <a:prstGeom prst="rect">
                      <a:avLst/>
                    </a:prstGeom>
                  </pic:spPr>
                </pic:pic>
              </a:graphicData>
            </a:graphic>
          </wp:anchor>
        </w:drawing>
      </w:r>
      <w:r>
        <w:rPr>
          <w:sz w:val="20"/>
        </w:rPr>
        <w:t>reduce food insecurity for low-income communities. Surveys have shown that more than 1 in 4 lesbian, gay, and bisexual individuals</w:t>
      </w:r>
      <w:r>
        <w:rPr>
          <w:spacing w:val="-12"/>
          <w:sz w:val="20"/>
        </w:rPr>
        <w:t xml:space="preserve"> </w:t>
      </w:r>
      <w:r>
        <w:rPr>
          <w:sz w:val="20"/>
        </w:rPr>
        <w:t>aged</w:t>
      </w:r>
      <w:r>
        <w:rPr>
          <w:spacing w:val="-11"/>
          <w:sz w:val="20"/>
        </w:rPr>
        <w:t xml:space="preserve"> </w:t>
      </w:r>
      <w:r>
        <w:rPr>
          <w:sz w:val="20"/>
        </w:rPr>
        <w:t>18-44</w:t>
      </w:r>
      <w:r>
        <w:rPr>
          <w:spacing w:val="-11"/>
          <w:sz w:val="20"/>
        </w:rPr>
        <w:t xml:space="preserve"> </w:t>
      </w:r>
      <w:r>
        <w:rPr>
          <w:sz w:val="20"/>
        </w:rPr>
        <w:t>participated</w:t>
      </w:r>
      <w:r>
        <w:rPr>
          <w:spacing w:val="-10"/>
          <w:sz w:val="20"/>
        </w:rPr>
        <w:t xml:space="preserve"> </w:t>
      </w:r>
      <w:r>
        <w:rPr>
          <w:sz w:val="20"/>
        </w:rPr>
        <w:t>in</w:t>
      </w:r>
      <w:r>
        <w:rPr>
          <w:spacing w:val="-11"/>
          <w:sz w:val="20"/>
        </w:rPr>
        <w:t xml:space="preserve"> </w:t>
      </w:r>
      <w:r>
        <w:rPr>
          <w:sz w:val="20"/>
        </w:rPr>
        <w:t>SNAP, compared to 20% of heterosexual partici</w:t>
      </w:r>
      <w:r>
        <w:rPr>
          <w:sz w:val="20"/>
        </w:rPr>
        <w:t>pants.</w:t>
      </w:r>
      <w:hyperlink w:anchor="_bookmark519" w:history="1">
        <w:r>
          <w:rPr>
            <w:sz w:val="20"/>
            <w:vertAlign w:val="superscript"/>
          </w:rPr>
          <w:t>73</w:t>
        </w:r>
      </w:hyperlink>
      <w:r>
        <w:rPr>
          <w:spacing w:val="-5"/>
          <w:sz w:val="20"/>
        </w:rPr>
        <w:t xml:space="preserve"> </w:t>
      </w:r>
      <w:r>
        <w:rPr>
          <w:sz w:val="20"/>
        </w:rPr>
        <w:t>Most federal surveys do not sufficiently measure participants’ gender identity but studies have shown that transgender</w:t>
      </w:r>
      <w:r>
        <w:rPr>
          <w:spacing w:val="-6"/>
          <w:sz w:val="20"/>
        </w:rPr>
        <w:t xml:space="preserve"> </w:t>
      </w:r>
      <w:r>
        <w:rPr>
          <w:sz w:val="20"/>
        </w:rPr>
        <w:t>individuals</w:t>
      </w:r>
      <w:r>
        <w:rPr>
          <w:spacing w:val="-6"/>
          <w:sz w:val="20"/>
        </w:rPr>
        <w:t xml:space="preserve"> </w:t>
      </w:r>
      <w:r>
        <w:rPr>
          <w:sz w:val="20"/>
        </w:rPr>
        <w:t>have</w:t>
      </w:r>
      <w:r>
        <w:rPr>
          <w:spacing w:val="-5"/>
          <w:sz w:val="20"/>
        </w:rPr>
        <w:t xml:space="preserve"> </w:t>
      </w:r>
      <w:r>
        <w:rPr>
          <w:sz w:val="20"/>
        </w:rPr>
        <w:t>struggled</w:t>
      </w:r>
      <w:r>
        <w:rPr>
          <w:spacing w:val="-5"/>
          <w:sz w:val="20"/>
        </w:rPr>
        <w:t xml:space="preserve"> </w:t>
      </w:r>
      <w:r>
        <w:rPr>
          <w:sz w:val="20"/>
        </w:rPr>
        <w:t>with food</w:t>
      </w:r>
      <w:r>
        <w:rPr>
          <w:spacing w:val="-12"/>
          <w:sz w:val="20"/>
        </w:rPr>
        <w:t xml:space="preserve"> </w:t>
      </w:r>
      <w:r>
        <w:rPr>
          <w:sz w:val="20"/>
        </w:rPr>
        <w:t>insecurity</w:t>
      </w:r>
      <w:r>
        <w:rPr>
          <w:spacing w:val="-11"/>
          <w:sz w:val="20"/>
        </w:rPr>
        <w:t xml:space="preserve"> </w:t>
      </w:r>
      <w:r>
        <w:rPr>
          <w:sz w:val="20"/>
        </w:rPr>
        <w:t>more</w:t>
      </w:r>
      <w:r>
        <w:rPr>
          <w:spacing w:val="-11"/>
          <w:sz w:val="20"/>
        </w:rPr>
        <w:t xml:space="preserve"> </w:t>
      </w:r>
      <w:r>
        <w:rPr>
          <w:sz w:val="20"/>
        </w:rPr>
        <w:t>so</w:t>
      </w:r>
      <w:r>
        <w:rPr>
          <w:spacing w:val="-12"/>
          <w:sz w:val="20"/>
        </w:rPr>
        <w:t xml:space="preserve"> </w:t>
      </w:r>
      <w:r>
        <w:rPr>
          <w:sz w:val="20"/>
        </w:rPr>
        <w:t>than</w:t>
      </w:r>
      <w:r>
        <w:rPr>
          <w:spacing w:val="-11"/>
          <w:sz w:val="20"/>
        </w:rPr>
        <w:t xml:space="preserve"> </w:t>
      </w:r>
      <w:r>
        <w:rPr>
          <w:sz w:val="20"/>
        </w:rPr>
        <w:t>their</w:t>
      </w:r>
      <w:r>
        <w:rPr>
          <w:spacing w:val="-11"/>
          <w:sz w:val="20"/>
        </w:rPr>
        <w:t xml:space="preserve"> </w:t>
      </w:r>
      <w:r>
        <w:rPr>
          <w:sz w:val="20"/>
        </w:rPr>
        <w:t xml:space="preserve">cisgender counterparts. </w:t>
      </w:r>
      <w:hyperlink w:anchor="_bookmark520" w:history="1">
        <w:r>
          <w:rPr>
            <w:sz w:val="20"/>
            <w:vertAlign w:val="superscript"/>
          </w:rPr>
          <w:t>74</w:t>
        </w:r>
      </w:hyperlink>
      <w:r>
        <w:rPr>
          <w:sz w:val="20"/>
        </w:rPr>
        <w:t xml:space="preserve"> At the federal level, menstrual products are not covered by SNAP benefits. However, the Commonwealth can introduce legislation that can allow SNAP recipients to purchase period products with their benefits, similar to what Illinois implemented in January </w:t>
      </w:r>
      <w:r>
        <w:rPr>
          <w:spacing w:val="-2"/>
          <w:sz w:val="20"/>
        </w:rPr>
        <w:t>2022.</w:t>
      </w:r>
      <w:hyperlink w:anchor="_bookmark521" w:history="1">
        <w:r>
          <w:rPr>
            <w:spacing w:val="-2"/>
            <w:sz w:val="20"/>
            <w:vertAlign w:val="superscript"/>
          </w:rPr>
          <w:t>75</w:t>
        </w:r>
      </w:hyperlink>
    </w:p>
    <w:p w:rsidR="00200FDA" w:rsidRDefault="00200FDA">
      <w:pPr>
        <w:pStyle w:val="BodyText"/>
      </w:pPr>
    </w:p>
    <w:p w:rsidR="00200FDA" w:rsidRDefault="00F76C4C">
      <w:pPr>
        <w:pStyle w:val="Heading8"/>
        <w:spacing w:before="182"/>
      </w:pPr>
      <w:bookmarkStart w:id="595" w:name="Queer_Health_Equity_Framework"/>
      <w:bookmarkEnd w:id="595"/>
      <w:r>
        <w:rPr>
          <w:color w:val="2E5395"/>
        </w:rPr>
        <w:t>Queer</w:t>
      </w:r>
      <w:r>
        <w:rPr>
          <w:color w:val="2E5395"/>
          <w:spacing w:val="-1"/>
        </w:rPr>
        <w:t xml:space="preserve"> </w:t>
      </w:r>
      <w:r>
        <w:rPr>
          <w:color w:val="2E5395"/>
        </w:rPr>
        <w:t>Health</w:t>
      </w:r>
      <w:r>
        <w:rPr>
          <w:color w:val="2E5395"/>
          <w:spacing w:val="-1"/>
        </w:rPr>
        <w:t xml:space="preserve"> </w:t>
      </w:r>
      <w:r>
        <w:rPr>
          <w:color w:val="2E5395"/>
        </w:rPr>
        <w:t>Equity</w:t>
      </w:r>
      <w:r>
        <w:rPr>
          <w:color w:val="2E5395"/>
          <w:spacing w:val="-1"/>
        </w:rPr>
        <w:t xml:space="preserve"> </w:t>
      </w:r>
      <w:r>
        <w:rPr>
          <w:color w:val="2E5395"/>
          <w:spacing w:val="-2"/>
        </w:rPr>
        <w:t>Framework</w:t>
      </w:r>
    </w:p>
    <w:p w:rsidR="00200FDA" w:rsidRDefault="00200FDA">
      <w:pPr>
        <w:pStyle w:val="BodyText"/>
        <w:spacing w:before="10"/>
        <w:rPr>
          <w:sz w:val="19"/>
        </w:rPr>
      </w:pPr>
    </w:p>
    <w:p w:rsidR="00200FDA" w:rsidRDefault="00F76C4C">
      <w:pPr>
        <w:spacing w:line="264" w:lineRule="auto"/>
        <w:ind w:left="140" w:right="336"/>
        <w:jc w:val="both"/>
        <w:rPr>
          <w:sz w:val="20"/>
        </w:rPr>
      </w:pPr>
      <w:r>
        <w:rPr>
          <w:sz w:val="20"/>
        </w:rPr>
        <w:t>As mentioned earlier in the report, Massachusetts is one of the states with the lowest maternal mortality rates. However, disparities among racial, ethnic, and class backgrounds remain</w:t>
      </w:r>
      <w:r>
        <w:rPr>
          <w:sz w:val="20"/>
        </w:rPr>
        <w:t>. Massachusetts has a Maternal Mortality Review</w:t>
      </w:r>
      <w:r>
        <w:rPr>
          <w:spacing w:val="-11"/>
          <w:sz w:val="20"/>
        </w:rPr>
        <w:t xml:space="preserve"> </w:t>
      </w:r>
      <w:r>
        <w:rPr>
          <w:sz w:val="20"/>
        </w:rPr>
        <w:t>Committee</w:t>
      </w:r>
      <w:r>
        <w:rPr>
          <w:spacing w:val="-11"/>
          <w:sz w:val="20"/>
        </w:rPr>
        <w:t xml:space="preserve"> </w:t>
      </w:r>
      <w:r>
        <w:rPr>
          <w:sz w:val="20"/>
        </w:rPr>
        <w:t>that</w:t>
      </w:r>
      <w:r>
        <w:rPr>
          <w:spacing w:val="-10"/>
          <w:sz w:val="20"/>
        </w:rPr>
        <w:t xml:space="preserve"> </w:t>
      </w:r>
      <w:r>
        <w:rPr>
          <w:sz w:val="20"/>
        </w:rPr>
        <w:t>reviews</w:t>
      </w:r>
      <w:r>
        <w:rPr>
          <w:spacing w:val="-9"/>
          <w:sz w:val="20"/>
        </w:rPr>
        <w:t xml:space="preserve"> </w:t>
      </w:r>
      <w:r>
        <w:rPr>
          <w:sz w:val="20"/>
        </w:rPr>
        <w:t>maternal</w:t>
      </w:r>
      <w:r>
        <w:rPr>
          <w:spacing w:val="-10"/>
          <w:sz w:val="20"/>
        </w:rPr>
        <w:t xml:space="preserve"> </w:t>
      </w:r>
      <w:r>
        <w:rPr>
          <w:sz w:val="20"/>
        </w:rPr>
        <w:t>deaths,</w:t>
      </w:r>
      <w:r>
        <w:rPr>
          <w:spacing w:val="-10"/>
          <w:sz w:val="20"/>
        </w:rPr>
        <w:t xml:space="preserve"> </w:t>
      </w:r>
      <w:r>
        <w:rPr>
          <w:sz w:val="20"/>
        </w:rPr>
        <w:t>studies</w:t>
      </w:r>
      <w:r>
        <w:rPr>
          <w:spacing w:val="-11"/>
          <w:sz w:val="20"/>
        </w:rPr>
        <w:t xml:space="preserve"> </w:t>
      </w:r>
      <w:r>
        <w:rPr>
          <w:sz w:val="20"/>
        </w:rPr>
        <w:t>pregnancy</w:t>
      </w:r>
      <w:r>
        <w:rPr>
          <w:spacing w:val="-9"/>
          <w:sz w:val="20"/>
        </w:rPr>
        <w:t xml:space="preserve"> </w:t>
      </w:r>
      <w:r>
        <w:rPr>
          <w:sz w:val="20"/>
        </w:rPr>
        <w:t>complications,</w:t>
      </w:r>
      <w:r>
        <w:rPr>
          <w:spacing w:val="-10"/>
          <w:sz w:val="20"/>
        </w:rPr>
        <w:t xml:space="preserve"> </w:t>
      </w:r>
      <w:r>
        <w:rPr>
          <w:sz w:val="20"/>
        </w:rPr>
        <w:t>and</w:t>
      </w:r>
      <w:r>
        <w:rPr>
          <w:spacing w:val="-9"/>
          <w:sz w:val="20"/>
        </w:rPr>
        <w:t xml:space="preserve"> </w:t>
      </w:r>
      <w:r>
        <w:rPr>
          <w:sz w:val="20"/>
        </w:rPr>
        <w:t>makes</w:t>
      </w:r>
      <w:r>
        <w:rPr>
          <w:spacing w:val="-9"/>
          <w:sz w:val="20"/>
        </w:rPr>
        <w:t xml:space="preserve"> </w:t>
      </w:r>
      <w:r>
        <w:rPr>
          <w:sz w:val="20"/>
        </w:rPr>
        <w:t>recommendations</w:t>
      </w:r>
      <w:r>
        <w:rPr>
          <w:spacing w:val="-11"/>
          <w:sz w:val="20"/>
        </w:rPr>
        <w:t xml:space="preserve"> </w:t>
      </w:r>
      <w:r>
        <w:rPr>
          <w:sz w:val="20"/>
        </w:rPr>
        <w:t>to improve maternal outcomes and prevent mortality.</w:t>
      </w:r>
      <w:hyperlink w:anchor="_bookmark522" w:history="1">
        <w:r>
          <w:rPr>
            <w:sz w:val="20"/>
            <w:vertAlign w:val="superscript"/>
          </w:rPr>
          <w:t>76</w:t>
        </w:r>
      </w:hyperlink>
      <w:r>
        <w:rPr>
          <w:spacing w:val="-2"/>
          <w:sz w:val="20"/>
        </w:rPr>
        <w:t xml:space="preserve"> </w:t>
      </w:r>
      <w:r>
        <w:rPr>
          <w:sz w:val="20"/>
        </w:rPr>
        <w:t>This is a step in the r</w:t>
      </w:r>
      <w:r>
        <w:rPr>
          <w:sz w:val="20"/>
        </w:rPr>
        <w:t xml:space="preserve">ight direction in addressing maternal mortality inequities as a study has shown that states with maternal mortality review committees play an integral role in understanding preventable causes of maternal mortality. They also apply a health equity approach </w:t>
      </w:r>
      <w:r>
        <w:rPr>
          <w:sz w:val="20"/>
        </w:rPr>
        <w:t>to understand</w:t>
      </w:r>
      <w:r>
        <w:rPr>
          <w:spacing w:val="-6"/>
          <w:sz w:val="20"/>
        </w:rPr>
        <w:t xml:space="preserve"> </w:t>
      </w:r>
      <w:r>
        <w:rPr>
          <w:sz w:val="20"/>
        </w:rPr>
        <w:t>the</w:t>
      </w:r>
      <w:r>
        <w:rPr>
          <w:spacing w:val="-8"/>
          <w:sz w:val="20"/>
        </w:rPr>
        <w:t xml:space="preserve"> </w:t>
      </w:r>
      <w:r>
        <w:rPr>
          <w:sz w:val="20"/>
        </w:rPr>
        <w:t>structural</w:t>
      </w:r>
      <w:r>
        <w:rPr>
          <w:spacing w:val="-7"/>
          <w:sz w:val="20"/>
        </w:rPr>
        <w:t xml:space="preserve"> </w:t>
      </w:r>
      <w:r>
        <w:rPr>
          <w:sz w:val="20"/>
        </w:rPr>
        <w:t>drivers</w:t>
      </w:r>
      <w:r>
        <w:rPr>
          <w:spacing w:val="-8"/>
          <w:sz w:val="20"/>
        </w:rPr>
        <w:t xml:space="preserve"> </w:t>
      </w:r>
      <w:r>
        <w:rPr>
          <w:sz w:val="20"/>
        </w:rPr>
        <w:t>of</w:t>
      </w:r>
      <w:r>
        <w:rPr>
          <w:spacing w:val="-8"/>
          <w:sz w:val="20"/>
        </w:rPr>
        <w:t xml:space="preserve"> </w:t>
      </w:r>
      <w:r>
        <w:rPr>
          <w:sz w:val="20"/>
        </w:rPr>
        <w:t>racial,</w:t>
      </w:r>
      <w:r>
        <w:rPr>
          <w:spacing w:val="-4"/>
          <w:sz w:val="20"/>
        </w:rPr>
        <w:t xml:space="preserve"> </w:t>
      </w:r>
      <w:r>
        <w:rPr>
          <w:sz w:val="20"/>
        </w:rPr>
        <w:t>ethnic,</w:t>
      </w:r>
      <w:r>
        <w:rPr>
          <w:spacing w:val="-5"/>
          <w:sz w:val="20"/>
        </w:rPr>
        <w:t xml:space="preserve"> </w:t>
      </w:r>
      <w:r>
        <w:rPr>
          <w:sz w:val="20"/>
        </w:rPr>
        <w:t>and</w:t>
      </w:r>
      <w:r>
        <w:rPr>
          <w:spacing w:val="-6"/>
          <w:sz w:val="20"/>
        </w:rPr>
        <w:t xml:space="preserve"> </w:t>
      </w:r>
      <w:r>
        <w:rPr>
          <w:sz w:val="20"/>
        </w:rPr>
        <w:t>geographic</w:t>
      </w:r>
      <w:r>
        <w:rPr>
          <w:spacing w:val="-7"/>
          <w:sz w:val="20"/>
        </w:rPr>
        <w:t xml:space="preserve"> </w:t>
      </w:r>
      <w:r>
        <w:rPr>
          <w:sz w:val="20"/>
        </w:rPr>
        <w:t>inequities</w:t>
      </w:r>
      <w:r>
        <w:rPr>
          <w:spacing w:val="-8"/>
          <w:sz w:val="20"/>
        </w:rPr>
        <w:t xml:space="preserve"> </w:t>
      </w:r>
      <w:r>
        <w:rPr>
          <w:sz w:val="20"/>
        </w:rPr>
        <w:t>in</w:t>
      </w:r>
      <w:r>
        <w:rPr>
          <w:spacing w:val="-4"/>
          <w:sz w:val="20"/>
        </w:rPr>
        <w:t xml:space="preserve"> </w:t>
      </w:r>
      <w:r>
        <w:rPr>
          <w:sz w:val="20"/>
        </w:rPr>
        <w:t>maternal</w:t>
      </w:r>
      <w:r>
        <w:rPr>
          <w:spacing w:val="-7"/>
          <w:sz w:val="20"/>
        </w:rPr>
        <w:t xml:space="preserve"> </w:t>
      </w:r>
      <w:r>
        <w:rPr>
          <w:sz w:val="20"/>
        </w:rPr>
        <w:t>deaths.</w:t>
      </w:r>
      <w:hyperlink w:anchor="_bookmark523" w:history="1">
        <w:r>
          <w:rPr>
            <w:sz w:val="20"/>
            <w:vertAlign w:val="superscript"/>
          </w:rPr>
          <w:t>77</w:t>
        </w:r>
      </w:hyperlink>
      <w:r>
        <w:rPr>
          <w:spacing w:val="-3"/>
          <w:sz w:val="20"/>
        </w:rPr>
        <w:t xml:space="preserve"> </w:t>
      </w:r>
      <w:r>
        <w:rPr>
          <w:sz w:val="20"/>
        </w:rPr>
        <w:t>The</w:t>
      </w:r>
      <w:r>
        <w:rPr>
          <w:spacing w:val="-8"/>
          <w:sz w:val="20"/>
        </w:rPr>
        <w:t xml:space="preserve"> </w:t>
      </w:r>
      <w:r>
        <w:rPr>
          <w:sz w:val="20"/>
        </w:rPr>
        <w:t>MA</w:t>
      </w:r>
      <w:r>
        <w:rPr>
          <w:spacing w:val="-5"/>
          <w:sz w:val="20"/>
        </w:rPr>
        <w:t xml:space="preserve"> </w:t>
      </w:r>
      <w:r>
        <w:rPr>
          <w:sz w:val="20"/>
        </w:rPr>
        <w:t>Maternal Mortality</w:t>
      </w:r>
      <w:r>
        <w:rPr>
          <w:spacing w:val="-7"/>
          <w:sz w:val="20"/>
        </w:rPr>
        <w:t xml:space="preserve"> </w:t>
      </w:r>
      <w:r>
        <w:rPr>
          <w:sz w:val="20"/>
        </w:rPr>
        <w:t>Review</w:t>
      </w:r>
      <w:r>
        <w:rPr>
          <w:spacing w:val="-9"/>
          <w:sz w:val="20"/>
        </w:rPr>
        <w:t xml:space="preserve"> </w:t>
      </w:r>
      <w:r>
        <w:rPr>
          <w:sz w:val="20"/>
        </w:rPr>
        <w:t>Committee</w:t>
      </w:r>
      <w:r>
        <w:rPr>
          <w:spacing w:val="-6"/>
          <w:sz w:val="20"/>
        </w:rPr>
        <w:t xml:space="preserve"> </w:t>
      </w:r>
      <w:r>
        <w:rPr>
          <w:sz w:val="20"/>
        </w:rPr>
        <w:t>and</w:t>
      </w:r>
      <w:r>
        <w:rPr>
          <w:spacing w:val="-7"/>
          <w:sz w:val="20"/>
        </w:rPr>
        <w:t xml:space="preserve"> </w:t>
      </w:r>
      <w:r>
        <w:rPr>
          <w:sz w:val="20"/>
        </w:rPr>
        <w:t>the</w:t>
      </w:r>
      <w:r>
        <w:rPr>
          <w:spacing w:val="-9"/>
          <w:sz w:val="20"/>
        </w:rPr>
        <w:t xml:space="preserve"> </w:t>
      </w:r>
      <w:r>
        <w:rPr>
          <w:sz w:val="20"/>
        </w:rPr>
        <w:t>Department</w:t>
      </w:r>
      <w:r>
        <w:rPr>
          <w:spacing w:val="-7"/>
          <w:sz w:val="20"/>
        </w:rPr>
        <w:t xml:space="preserve"> </w:t>
      </w:r>
      <w:r>
        <w:rPr>
          <w:sz w:val="20"/>
        </w:rPr>
        <w:t>of</w:t>
      </w:r>
      <w:r>
        <w:rPr>
          <w:spacing w:val="-9"/>
          <w:sz w:val="20"/>
        </w:rPr>
        <w:t xml:space="preserve"> </w:t>
      </w:r>
      <w:r>
        <w:rPr>
          <w:sz w:val="20"/>
        </w:rPr>
        <w:t>Public</w:t>
      </w:r>
      <w:r>
        <w:rPr>
          <w:spacing w:val="-6"/>
          <w:sz w:val="20"/>
        </w:rPr>
        <w:t xml:space="preserve"> </w:t>
      </w:r>
      <w:r>
        <w:rPr>
          <w:sz w:val="20"/>
        </w:rPr>
        <w:t>Health</w:t>
      </w:r>
      <w:r>
        <w:rPr>
          <w:spacing w:val="-7"/>
          <w:sz w:val="20"/>
        </w:rPr>
        <w:t xml:space="preserve"> </w:t>
      </w:r>
      <w:r>
        <w:rPr>
          <w:sz w:val="20"/>
        </w:rPr>
        <w:t>should</w:t>
      </w:r>
      <w:r>
        <w:rPr>
          <w:spacing w:val="-7"/>
          <w:sz w:val="20"/>
        </w:rPr>
        <w:t xml:space="preserve"> </w:t>
      </w:r>
      <w:r>
        <w:rPr>
          <w:sz w:val="20"/>
        </w:rPr>
        <w:t>consider</w:t>
      </w:r>
      <w:r>
        <w:rPr>
          <w:spacing w:val="-8"/>
          <w:sz w:val="20"/>
        </w:rPr>
        <w:t xml:space="preserve"> </w:t>
      </w:r>
      <w:r>
        <w:rPr>
          <w:sz w:val="20"/>
        </w:rPr>
        <w:t>applying</w:t>
      </w:r>
      <w:r>
        <w:rPr>
          <w:spacing w:val="-8"/>
          <w:sz w:val="20"/>
        </w:rPr>
        <w:t xml:space="preserve"> </w:t>
      </w:r>
      <w:r>
        <w:rPr>
          <w:sz w:val="20"/>
        </w:rPr>
        <w:t>an</w:t>
      </w:r>
      <w:r>
        <w:rPr>
          <w:spacing w:val="-7"/>
          <w:sz w:val="20"/>
        </w:rPr>
        <w:t xml:space="preserve"> </w:t>
      </w:r>
      <w:r>
        <w:rPr>
          <w:sz w:val="20"/>
        </w:rPr>
        <w:t>LGBTQ-inclusive</w:t>
      </w:r>
      <w:r>
        <w:rPr>
          <w:spacing w:val="-9"/>
          <w:sz w:val="20"/>
        </w:rPr>
        <w:t xml:space="preserve"> </w:t>
      </w:r>
      <w:r>
        <w:rPr>
          <w:sz w:val="20"/>
        </w:rPr>
        <w:t>lens approach when reviewing maternal deaths in the state.</w:t>
      </w:r>
    </w:p>
    <w:p w:rsidR="00200FDA" w:rsidRDefault="00200FDA">
      <w:pPr>
        <w:spacing w:line="264" w:lineRule="auto"/>
        <w:jc w:val="both"/>
        <w:rPr>
          <w:sz w:val="20"/>
        </w:rPr>
        <w:sectPr w:rsidR="00200FDA">
          <w:pgSz w:w="12240" w:h="15840"/>
          <w:pgMar w:top="1140" w:right="1100" w:bottom="1540" w:left="1300" w:header="758" w:footer="1353" w:gutter="0"/>
          <w:cols w:space="720"/>
        </w:sectPr>
      </w:pPr>
    </w:p>
    <w:p w:rsidR="00200FDA" w:rsidRDefault="00F76C4C">
      <w:pPr>
        <w:pStyle w:val="Heading7"/>
        <w:spacing w:before="64"/>
        <w:ind w:left="140"/>
      </w:pPr>
      <w:r>
        <w:lastRenderedPageBreak/>
        <w:pict>
          <v:rect id="docshape328" o:spid="_x0000_s1258" style="position:absolute;left:0;text-align:left;margin-left:70.55pt;margin-top:21.2pt;width:470.9pt;height:.5pt;z-index:-15674368;mso-wrap-distance-left:0;mso-wrap-distance-right:0;mso-position-horizontal-relative:page" fillcolor="#4471c4" stroked="f">
            <w10:wrap type="topAndBottom" anchorx="page"/>
          </v:rect>
        </w:pict>
      </w:r>
      <w:r>
        <w:rPr>
          <w:color w:val="2E5395"/>
        </w:rPr>
        <w:t>Acknowledgments</w:t>
      </w:r>
      <w:r>
        <w:rPr>
          <w:color w:val="2E5395"/>
          <w:spacing w:val="-7"/>
        </w:rPr>
        <w:t xml:space="preserve"> </w:t>
      </w:r>
      <w:r>
        <w:rPr>
          <w:color w:val="2E5395"/>
        </w:rPr>
        <w:t>&amp;</w:t>
      </w:r>
      <w:r>
        <w:rPr>
          <w:color w:val="2E5395"/>
          <w:spacing w:val="-7"/>
        </w:rPr>
        <w:t xml:space="preserve"> </w:t>
      </w:r>
      <w:r>
        <w:rPr>
          <w:color w:val="2E5395"/>
          <w:spacing w:val="-2"/>
        </w:rPr>
        <w:t>Citations</w:t>
      </w:r>
    </w:p>
    <w:p w:rsidR="00200FDA" w:rsidRDefault="00200FDA">
      <w:pPr>
        <w:pStyle w:val="BodyText"/>
        <w:spacing w:before="11"/>
        <w:rPr>
          <w:sz w:val="14"/>
        </w:rPr>
      </w:pPr>
    </w:p>
    <w:p w:rsidR="00200FDA" w:rsidRDefault="00F76C4C">
      <w:pPr>
        <w:spacing w:before="59"/>
        <w:ind w:left="140"/>
        <w:rPr>
          <w:i/>
          <w:sz w:val="20"/>
        </w:rPr>
      </w:pPr>
      <w:r>
        <w:rPr>
          <w:i/>
          <w:sz w:val="20"/>
        </w:rPr>
        <w:t>Acknowledgments:</w:t>
      </w:r>
      <w:r>
        <w:rPr>
          <w:i/>
          <w:spacing w:val="-10"/>
          <w:sz w:val="20"/>
        </w:rPr>
        <w:t xml:space="preserve"> </w:t>
      </w:r>
      <w:r>
        <w:rPr>
          <w:i/>
          <w:sz w:val="20"/>
        </w:rPr>
        <w:t>Karina</w:t>
      </w:r>
      <w:r>
        <w:rPr>
          <w:i/>
          <w:spacing w:val="-8"/>
          <w:sz w:val="20"/>
        </w:rPr>
        <w:t xml:space="preserve"> </w:t>
      </w:r>
      <w:r>
        <w:rPr>
          <w:i/>
          <w:sz w:val="20"/>
        </w:rPr>
        <w:t>Sumano,</w:t>
      </w:r>
      <w:r>
        <w:rPr>
          <w:i/>
          <w:spacing w:val="-8"/>
          <w:sz w:val="20"/>
        </w:rPr>
        <w:t xml:space="preserve"> </w:t>
      </w:r>
      <w:r>
        <w:rPr>
          <w:i/>
          <w:sz w:val="20"/>
        </w:rPr>
        <w:t>lead</w:t>
      </w:r>
      <w:r>
        <w:rPr>
          <w:i/>
          <w:spacing w:val="-10"/>
          <w:sz w:val="20"/>
        </w:rPr>
        <w:t xml:space="preserve"> </w:t>
      </w:r>
      <w:r>
        <w:rPr>
          <w:i/>
          <w:sz w:val="20"/>
        </w:rPr>
        <w:t>researcher</w:t>
      </w:r>
      <w:r>
        <w:rPr>
          <w:i/>
          <w:spacing w:val="-10"/>
          <w:sz w:val="20"/>
        </w:rPr>
        <w:t xml:space="preserve"> </w:t>
      </w:r>
      <w:r>
        <w:rPr>
          <w:i/>
          <w:sz w:val="20"/>
        </w:rPr>
        <w:t>&amp;</w:t>
      </w:r>
      <w:r>
        <w:rPr>
          <w:i/>
          <w:spacing w:val="-8"/>
          <w:sz w:val="20"/>
        </w:rPr>
        <w:t xml:space="preserve"> </w:t>
      </w:r>
      <w:r>
        <w:rPr>
          <w:i/>
          <w:spacing w:val="-2"/>
          <w:sz w:val="20"/>
        </w:rPr>
        <w:t>author</w:t>
      </w:r>
    </w:p>
    <w:p w:rsidR="00200FDA" w:rsidRDefault="00200FDA">
      <w:pPr>
        <w:pStyle w:val="BodyText"/>
        <w:spacing w:before="1"/>
        <w:rPr>
          <w:i/>
          <w:sz w:val="23"/>
        </w:rPr>
      </w:pPr>
    </w:p>
    <w:p w:rsidR="00200FDA" w:rsidRDefault="00F76C4C">
      <w:pPr>
        <w:ind w:left="140" w:right="479" w:hanging="1"/>
        <w:rPr>
          <w:sz w:val="18"/>
        </w:rPr>
      </w:pPr>
      <w:bookmarkStart w:id="596" w:name="_bookmark447"/>
      <w:bookmarkEnd w:id="596"/>
      <w:r>
        <w:rPr>
          <w:position w:val="5"/>
          <w:sz w:val="12"/>
        </w:rPr>
        <w:t>1</w:t>
      </w:r>
      <w:r>
        <w:rPr>
          <w:spacing w:val="10"/>
          <w:position w:val="5"/>
          <w:sz w:val="12"/>
        </w:rPr>
        <w:t xml:space="preserve"> </w:t>
      </w:r>
      <w:r>
        <w:rPr>
          <w:sz w:val="18"/>
        </w:rPr>
        <w:t>“Polling</w:t>
      </w:r>
      <w:r>
        <w:rPr>
          <w:spacing w:val="-3"/>
          <w:sz w:val="18"/>
        </w:rPr>
        <w:t xml:space="preserve"> </w:t>
      </w:r>
      <w:r>
        <w:rPr>
          <w:sz w:val="18"/>
        </w:rPr>
        <w:t>Spotlight:</w:t>
      </w:r>
      <w:r>
        <w:rPr>
          <w:spacing w:val="-2"/>
          <w:sz w:val="18"/>
        </w:rPr>
        <w:t xml:space="preserve"> </w:t>
      </w:r>
      <w:r>
        <w:rPr>
          <w:sz w:val="18"/>
        </w:rPr>
        <w:t>Understanding</w:t>
      </w:r>
      <w:r>
        <w:rPr>
          <w:spacing w:val="-3"/>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Birthing</w:t>
      </w:r>
      <w:r>
        <w:rPr>
          <w:spacing w:val="-3"/>
          <w:sz w:val="18"/>
        </w:rPr>
        <w:t xml:space="preserve"> </w:t>
      </w:r>
      <w:r>
        <w:rPr>
          <w:sz w:val="18"/>
        </w:rPr>
        <w:t>People,”</w:t>
      </w:r>
      <w:r>
        <w:rPr>
          <w:spacing w:val="-3"/>
          <w:sz w:val="18"/>
        </w:rPr>
        <w:t xml:space="preserve"> </w:t>
      </w:r>
      <w:r>
        <w:rPr>
          <w:sz w:val="18"/>
        </w:rPr>
        <w:t>Center For</w:t>
      </w:r>
      <w:r>
        <w:rPr>
          <w:spacing w:val="-3"/>
          <w:sz w:val="18"/>
        </w:rPr>
        <w:t xml:space="preserve"> </w:t>
      </w:r>
      <w:r>
        <w:rPr>
          <w:sz w:val="18"/>
        </w:rPr>
        <w:t>Health</w:t>
      </w:r>
      <w:r>
        <w:rPr>
          <w:spacing w:val="-3"/>
          <w:sz w:val="18"/>
        </w:rPr>
        <w:t xml:space="preserve"> </w:t>
      </w:r>
      <w:r>
        <w:rPr>
          <w:sz w:val="18"/>
        </w:rPr>
        <w:t>Justice,</w:t>
      </w:r>
      <w:r>
        <w:rPr>
          <w:spacing w:val="-2"/>
          <w:sz w:val="18"/>
        </w:rPr>
        <w:t xml:space="preserve"> </w:t>
      </w:r>
      <w:r>
        <w:rPr>
          <w:sz w:val="18"/>
        </w:rPr>
        <w:t>accessed</w:t>
      </w:r>
      <w:r>
        <w:rPr>
          <w:spacing w:val="-3"/>
          <w:sz w:val="18"/>
        </w:rPr>
        <w:t xml:space="preserve"> </w:t>
      </w:r>
      <w:r>
        <w:rPr>
          <w:sz w:val="18"/>
        </w:rPr>
        <w:t>April</w:t>
      </w:r>
      <w:r>
        <w:rPr>
          <w:spacing w:val="-3"/>
          <w:sz w:val="18"/>
        </w:rPr>
        <w:t xml:space="preserve"> </w:t>
      </w:r>
      <w:r>
        <w:rPr>
          <w:sz w:val="18"/>
        </w:rPr>
        <w:t>24, 2023, https://</w:t>
      </w:r>
      <w:hyperlink r:id="rId424">
        <w:r>
          <w:rPr>
            <w:sz w:val="18"/>
          </w:rPr>
          <w:t>www.aamchealthjustice.org/news/polling/lgbtq-birth.</w:t>
        </w:r>
      </w:hyperlink>
    </w:p>
    <w:p w:rsidR="00200FDA" w:rsidRDefault="00F76C4C">
      <w:pPr>
        <w:ind w:left="140" w:right="357" w:hanging="1"/>
        <w:rPr>
          <w:sz w:val="18"/>
        </w:rPr>
      </w:pPr>
      <w:bookmarkStart w:id="597" w:name="_bookmark448"/>
      <w:bookmarkEnd w:id="597"/>
      <w:r>
        <w:rPr>
          <w:position w:val="5"/>
          <w:sz w:val="12"/>
        </w:rPr>
        <w:t>2</w:t>
      </w:r>
      <w:r>
        <w:rPr>
          <w:spacing w:val="10"/>
          <w:position w:val="5"/>
          <w:sz w:val="12"/>
        </w:rPr>
        <w:t xml:space="preserve"> </w:t>
      </w:r>
      <w:r>
        <w:rPr>
          <w:sz w:val="18"/>
        </w:rPr>
        <w:t>Meghan</w:t>
      </w:r>
      <w:r>
        <w:rPr>
          <w:spacing w:val="-3"/>
          <w:sz w:val="18"/>
        </w:rPr>
        <w:t xml:space="preserve"> </w:t>
      </w:r>
      <w:r>
        <w:rPr>
          <w:sz w:val="18"/>
        </w:rPr>
        <w:t>Romanelli</w:t>
      </w:r>
      <w:r>
        <w:rPr>
          <w:spacing w:val="-3"/>
          <w:sz w:val="18"/>
        </w:rPr>
        <w:t xml:space="preserve"> </w:t>
      </w:r>
      <w:r>
        <w:rPr>
          <w:sz w:val="18"/>
        </w:rPr>
        <w:t>and</w:t>
      </w:r>
      <w:r>
        <w:rPr>
          <w:spacing w:val="-3"/>
          <w:sz w:val="18"/>
        </w:rPr>
        <w:t xml:space="preserve"> </w:t>
      </w:r>
      <w:r>
        <w:rPr>
          <w:sz w:val="18"/>
        </w:rPr>
        <w:t>Kimberly D.</w:t>
      </w:r>
      <w:r>
        <w:rPr>
          <w:spacing w:val="-2"/>
          <w:sz w:val="18"/>
        </w:rPr>
        <w:t xml:space="preserve"> </w:t>
      </w:r>
      <w:r>
        <w:rPr>
          <w:sz w:val="18"/>
        </w:rPr>
        <w:t>Hudson,</w:t>
      </w:r>
      <w:r>
        <w:rPr>
          <w:spacing w:val="-2"/>
          <w:sz w:val="18"/>
        </w:rPr>
        <w:t xml:space="preserve"> </w:t>
      </w:r>
      <w:r>
        <w:rPr>
          <w:sz w:val="18"/>
        </w:rPr>
        <w:t>“Individual</w:t>
      </w:r>
      <w:r>
        <w:rPr>
          <w:spacing w:val="-3"/>
          <w:sz w:val="18"/>
        </w:rPr>
        <w:t xml:space="preserve"> </w:t>
      </w:r>
      <w:r>
        <w:rPr>
          <w:sz w:val="18"/>
        </w:rPr>
        <w:t>and</w:t>
      </w:r>
      <w:r>
        <w:rPr>
          <w:spacing w:val="-3"/>
          <w:sz w:val="18"/>
        </w:rPr>
        <w:t xml:space="preserve"> </w:t>
      </w:r>
      <w:r>
        <w:rPr>
          <w:sz w:val="18"/>
        </w:rPr>
        <w:t>Systemic</w:t>
      </w:r>
      <w:r>
        <w:rPr>
          <w:spacing w:val="-2"/>
          <w:sz w:val="18"/>
        </w:rPr>
        <w:t xml:space="preserve"> </w:t>
      </w:r>
      <w:r>
        <w:rPr>
          <w:sz w:val="18"/>
        </w:rPr>
        <w:t>Barriers</w:t>
      </w:r>
      <w:r>
        <w:rPr>
          <w:spacing w:val="-3"/>
          <w:sz w:val="18"/>
        </w:rPr>
        <w:t xml:space="preserve"> </w:t>
      </w:r>
      <w:r>
        <w:rPr>
          <w:sz w:val="18"/>
        </w:rPr>
        <w:t>to</w:t>
      </w:r>
      <w:r>
        <w:rPr>
          <w:spacing w:val="-1"/>
          <w:sz w:val="18"/>
        </w:rPr>
        <w:t xml:space="preserve"> </w:t>
      </w:r>
      <w:r>
        <w:rPr>
          <w:sz w:val="18"/>
        </w:rPr>
        <w:t>Health</w:t>
      </w:r>
      <w:r>
        <w:rPr>
          <w:spacing w:val="-3"/>
          <w:sz w:val="18"/>
        </w:rPr>
        <w:t xml:space="preserve"> </w:t>
      </w:r>
      <w:r>
        <w:rPr>
          <w:sz w:val="18"/>
        </w:rPr>
        <w:t>Care:</w:t>
      </w:r>
      <w:r>
        <w:rPr>
          <w:spacing w:val="-2"/>
          <w:sz w:val="18"/>
        </w:rPr>
        <w:t xml:space="preserve"> </w:t>
      </w:r>
      <w:r>
        <w:rPr>
          <w:sz w:val="18"/>
        </w:rPr>
        <w:t>Perspectives</w:t>
      </w:r>
      <w:r>
        <w:rPr>
          <w:spacing w:val="-3"/>
          <w:sz w:val="18"/>
        </w:rPr>
        <w:t xml:space="preserve"> </w:t>
      </w:r>
      <w:r>
        <w:rPr>
          <w:sz w:val="18"/>
        </w:rPr>
        <w:t>of</w:t>
      </w:r>
      <w:r>
        <w:rPr>
          <w:spacing w:val="-2"/>
          <w:sz w:val="18"/>
        </w:rPr>
        <w:t xml:space="preserve"> </w:t>
      </w:r>
      <w:r>
        <w:rPr>
          <w:sz w:val="18"/>
        </w:rPr>
        <w:t>Lesbian,</w:t>
      </w:r>
      <w:r>
        <w:rPr>
          <w:spacing w:val="-2"/>
          <w:sz w:val="18"/>
        </w:rPr>
        <w:t xml:space="preserve"> </w:t>
      </w:r>
      <w:r>
        <w:rPr>
          <w:sz w:val="18"/>
        </w:rPr>
        <w:t xml:space="preserve">Gay, Bisexual, and Transgender Adults,” </w:t>
      </w:r>
      <w:r>
        <w:rPr>
          <w:i/>
          <w:sz w:val="18"/>
        </w:rPr>
        <w:t xml:space="preserve">American Journal of Orthopsychiatry </w:t>
      </w:r>
      <w:r>
        <w:rPr>
          <w:sz w:val="18"/>
        </w:rPr>
        <w:t xml:space="preserve">87, no. 6 (2017): 714–28, </w:t>
      </w:r>
      <w:hyperlink r:id="rId425">
        <w:r>
          <w:rPr>
            <w:color w:val="0562C1"/>
            <w:spacing w:val="-2"/>
            <w:sz w:val="18"/>
            <w:u w:val="single" w:color="0562C1"/>
          </w:rPr>
          <w:t>https://doi.org/10.1037/ort0000306</w:t>
        </w:r>
        <w:r>
          <w:rPr>
            <w:spacing w:val="-2"/>
            <w:sz w:val="18"/>
          </w:rPr>
          <w:t>.</w:t>
        </w:r>
      </w:hyperlink>
    </w:p>
    <w:p w:rsidR="00200FDA" w:rsidRDefault="00F76C4C">
      <w:pPr>
        <w:ind w:left="140" w:right="357" w:hanging="1"/>
        <w:rPr>
          <w:sz w:val="18"/>
        </w:rPr>
      </w:pPr>
      <w:bookmarkStart w:id="598" w:name="_bookmark449"/>
      <w:bookmarkEnd w:id="598"/>
      <w:r>
        <w:rPr>
          <w:position w:val="5"/>
          <w:sz w:val="12"/>
        </w:rPr>
        <w:t>3</w:t>
      </w:r>
      <w:r>
        <w:rPr>
          <w:spacing w:val="10"/>
          <w:position w:val="5"/>
          <w:sz w:val="12"/>
        </w:rPr>
        <w:t xml:space="preserve"> </w:t>
      </w:r>
      <w:r>
        <w:rPr>
          <w:sz w:val="18"/>
        </w:rPr>
        <w:t>James,</w:t>
      </w:r>
      <w:r>
        <w:rPr>
          <w:spacing w:val="-2"/>
          <w:sz w:val="18"/>
        </w:rPr>
        <w:t xml:space="preserve"> </w:t>
      </w:r>
      <w:r>
        <w:rPr>
          <w:sz w:val="18"/>
        </w:rPr>
        <w:t>S.</w:t>
      </w:r>
      <w:r>
        <w:rPr>
          <w:spacing w:val="-2"/>
          <w:sz w:val="18"/>
        </w:rPr>
        <w:t xml:space="preserve"> </w:t>
      </w:r>
      <w:r>
        <w:rPr>
          <w:sz w:val="18"/>
        </w:rPr>
        <w:t>E.,</w:t>
      </w:r>
      <w:r>
        <w:rPr>
          <w:spacing w:val="-2"/>
          <w:sz w:val="18"/>
        </w:rPr>
        <w:t xml:space="preserve"> </w:t>
      </w:r>
      <w:r>
        <w:rPr>
          <w:sz w:val="18"/>
        </w:rPr>
        <w:t>Herman,</w:t>
      </w:r>
      <w:r>
        <w:rPr>
          <w:spacing w:val="-2"/>
          <w:sz w:val="18"/>
        </w:rPr>
        <w:t xml:space="preserve"> </w:t>
      </w:r>
      <w:r>
        <w:rPr>
          <w:sz w:val="18"/>
        </w:rPr>
        <w:t>J.</w:t>
      </w:r>
      <w:r>
        <w:rPr>
          <w:spacing w:val="-2"/>
          <w:sz w:val="18"/>
        </w:rPr>
        <w:t xml:space="preserve"> </w:t>
      </w:r>
      <w:r>
        <w:rPr>
          <w:sz w:val="18"/>
        </w:rPr>
        <w:t>L.,</w:t>
      </w:r>
      <w:r>
        <w:rPr>
          <w:spacing w:val="-4"/>
          <w:sz w:val="18"/>
        </w:rPr>
        <w:t xml:space="preserve"> </w:t>
      </w:r>
      <w:r>
        <w:rPr>
          <w:sz w:val="18"/>
        </w:rPr>
        <w:t>Rankin,</w:t>
      </w:r>
      <w:r>
        <w:rPr>
          <w:spacing w:val="-2"/>
          <w:sz w:val="18"/>
        </w:rPr>
        <w:t xml:space="preserve"> </w:t>
      </w:r>
      <w:r>
        <w:rPr>
          <w:sz w:val="18"/>
        </w:rPr>
        <w:t>S.,</w:t>
      </w:r>
      <w:r>
        <w:rPr>
          <w:spacing w:val="-2"/>
          <w:sz w:val="18"/>
        </w:rPr>
        <w:t xml:space="preserve"> </w:t>
      </w:r>
      <w:r>
        <w:rPr>
          <w:sz w:val="18"/>
        </w:rPr>
        <w:t>Keisling,</w:t>
      </w:r>
      <w:r>
        <w:rPr>
          <w:spacing w:val="-2"/>
          <w:sz w:val="18"/>
        </w:rPr>
        <w:t xml:space="preserve"> </w:t>
      </w:r>
      <w:r>
        <w:rPr>
          <w:sz w:val="18"/>
        </w:rPr>
        <w:t>M.,</w:t>
      </w:r>
      <w:r>
        <w:rPr>
          <w:spacing w:val="-2"/>
          <w:sz w:val="18"/>
        </w:rPr>
        <w:t xml:space="preserve"> </w:t>
      </w:r>
      <w:r>
        <w:rPr>
          <w:sz w:val="18"/>
        </w:rPr>
        <w:t>Mottet,</w:t>
      </w:r>
      <w:r>
        <w:rPr>
          <w:spacing w:val="-2"/>
          <w:sz w:val="18"/>
        </w:rPr>
        <w:t xml:space="preserve"> </w:t>
      </w:r>
      <w:r>
        <w:rPr>
          <w:sz w:val="18"/>
        </w:rPr>
        <w:t>L.,</w:t>
      </w:r>
      <w:r>
        <w:rPr>
          <w:spacing w:val="-2"/>
          <w:sz w:val="18"/>
        </w:rPr>
        <w:t xml:space="preserve"> </w:t>
      </w:r>
      <w:r>
        <w:rPr>
          <w:sz w:val="18"/>
        </w:rPr>
        <w:t>&amp;</w:t>
      </w:r>
      <w:r>
        <w:rPr>
          <w:spacing w:val="-3"/>
          <w:sz w:val="18"/>
        </w:rPr>
        <w:t xml:space="preserve"> </w:t>
      </w:r>
      <w:r>
        <w:rPr>
          <w:sz w:val="18"/>
        </w:rPr>
        <w:t>Anafi,</w:t>
      </w:r>
      <w:r>
        <w:rPr>
          <w:spacing w:val="-2"/>
          <w:sz w:val="18"/>
        </w:rPr>
        <w:t xml:space="preserve"> </w:t>
      </w:r>
      <w:r>
        <w:rPr>
          <w:sz w:val="18"/>
        </w:rPr>
        <w:t>M.</w:t>
      </w:r>
      <w:r>
        <w:rPr>
          <w:spacing w:val="-2"/>
          <w:sz w:val="18"/>
        </w:rPr>
        <w:t xml:space="preserve"> </w:t>
      </w:r>
      <w:r>
        <w:rPr>
          <w:sz w:val="18"/>
        </w:rPr>
        <w:t>(2016).</w:t>
      </w:r>
      <w:r>
        <w:rPr>
          <w:spacing w:val="-2"/>
          <w:sz w:val="18"/>
        </w:rPr>
        <w:t xml:space="preserve"> </w:t>
      </w:r>
      <w:r>
        <w:rPr>
          <w:sz w:val="18"/>
        </w:rPr>
        <w:t>The</w:t>
      </w:r>
      <w:r>
        <w:rPr>
          <w:spacing w:val="-3"/>
          <w:sz w:val="18"/>
        </w:rPr>
        <w:t xml:space="preserve"> </w:t>
      </w:r>
      <w:r>
        <w:rPr>
          <w:sz w:val="18"/>
        </w:rPr>
        <w:t>Report</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2015</w:t>
      </w:r>
      <w:r>
        <w:rPr>
          <w:spacing w:val="-2"/>
          <w:sz w:val="18"/>
        </w:rPr>
        <w:t xml:space="preserve"> </w:t>
      </w:r>
      <w:r>
        <w:rPr>
          <w:sz w:val="18"/>
        </w:rPr>
        <w:t>U.S.</w:t>
      </w:r>
      <w:r>
        <w:rPr>
          <w:spacing w:val="-2"/>
          <w:sz w:val="18"/>
        </w:rPr>
        <w:t xml:space="preserve"> </w:t>
      </w:r>
      <w:r>
        <w:rPr>
          <w:sz w:val="18"/>
        </w:rPr>
        <w:t>Transgender Survey. Washington, DC: National Center for Transgender Equality.</w:t>
      </w:r>
    </w:p>
    <w:p w:rsidR="00200FDA" w:rsidRDefault="00F76C4C">
      <w:pPr>
        <w:ind w:left="140" w:right="855" w:hanging="1"/>
        <w:rPr>
          <w:sz w:val="18"/>
        </w:rPr>
      </w:pPr>
      <w:bookmarkStart w:id="599" w:name="_bookmark450"/>
      <w:bookmarkEnd w:id="599"/>
      <w:r>
        <w:rPr>
          <w:position w:val="5"/>
          <w:sz w:val="12"/>
        </w:rPr>
        <w:t>4</w:t>
      </w:r>
      <w:r>
        <w:rPr>
          <w:spacing w:val="10"/>
          <w:position w:val="5"/>
          <w:sz w:val="12"/>
        </w:rPr>
        <w:t xml:space="preserve"> </w:t>
      </w:r>
      <w:r>
        <w:rPr>
          <w:sz w:val="18"/>
        </w:rPr>
        <w:t>Abbi</w:t>
      </w:r>
      <w:r>
        <w:rPr>
          <w:spacing w:val="-3"/>
          <w:sz w:val="18"/>
        </w:rPr>
        <w:t xml:space="preserve"> </w:t>
      </w:r>
      <w:r>
        <w:rPr>
          <w:sz w:val="18"/>
        </w:rPr>
        <w:t>Coursolle,</w:t>
      </w:r>
      <w:r>
        <w:rPr>
          <w:spacing w:val="-2"/>
          <w:sz w:val="18"/>
        </w:rPr>
        <w:t xml:space="preserve"> </w:t>
      </w:r>
      <w:r>
        <w:rPr>
          <w:sz w:val="18"/>
        </w:rPr>
        <w:t>“Meeting</w:t>
      </w:r>
      <w:r>
        <w:rPr>
          <w:spacing w:val="-3"/>
          <w:sz w:val="18"/>
        </w:rPr>
        <w:t xml:space="preserve"> </w:t>
      </w:r>
      <w:r>
        <w:rPr>
          <w:sz w:val="18"/>
        </w:rPr>
        <w:t>the</w:t>
      </w:r>
      <w:r>
        <w:rPr>
          <w:spacing w:val="-3"/>
          <w:sz w:val="18"/>
        </w:rPr>
        <w:t xml:space="preserve"> </w:t>
      </w:r>
      <w:r>
        <w:rPr>
          <w:sz w:val="18"/>
        </w:rPr>
        <w:t>Health</w:t>
      </w:r>
      <w:r>
        <w:rPr>
          <w:spacing w:val="-3"/>
          <w:sz w:val="18"/>
        </w:rPr>
        <w:t xml:space="preserve"> </w:t>
      </w:r>
      <w:r>
        <w:rPr>
          <w:sz w:val="18"/>
        </w:rPr>
        <w:t>Care</w:t>
      </w:r>
      <w:r>
        <w:rPr>
          <w:spacing w:val="-3"/>
          <w:sz w:val="18"/>
        </w:rPr>
        <w:t xml:space="preserve"> </w:t>
      </w:r>
      <w:r>
        <w:rPr>
          <w:sz w:val="18"/>
        </w:rPr>
        <w:t>Needs</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Immigrants,”</w:t>
      </w:r>
      <w:r>
        <w:rPr>
          <w:spacing w:val="-3"/>
          <w:sz w:val="18"/>
        </w:rPr>
        <w:t xml:space="preserve"> </w:t>
      </w:r>
      <w:r>
        <w:rPr>
          <w:sz w:val="18"/>
        </w:rPr>
        <w:t>National</w:t>
      </w:r>
      <w:r>
        <w:rPr>
          <w:spacing w:val="-3"/>
          <w:sz w:val="18"/>
        </w:rPr>
        <w:t xml:space="preserve"> </w:t>
      </w:r>
      <w:r>
        <w:rPr>
          <w:sz w:val="18"/>
        </w:rPr>
        <w:t>Health</w:t>
      </w:r>
      <w:r>
        <w:rPr>
          <w:spacing w:val="-3"/>
          <w:sz w:val="18"/>
        </w:rPr>
        <w:t xml:space="preserve"> </w:t>
      </w:r>
      <w:r>
        <w:rPr>
          <w:sz w:val="18"/>
        </w:rPr>
        <w:t>Law</w:t>
      </w:r>
      <w:r>
        <w:rPr>
          <w:spacing w:val="-1"/>
          <w:sz w:val="18"/>
        </w:rPr>
        <w:t xml:space="preserve"> </w:t>
      </w:r>
      <w:r>
        <w:rPr>
          <w:sz w:val="18"/>
        </w:rPr>
        <w:t>Program,</w:t>
      </w:r>
      <w:r>
        <w:rPr>
          <w:spacing w:val="-2"/>
          <w:sz w:val="18"/>
        </w:rPr>
        <w:t xml:space="preserve"> </w:t>
      </w:r>
      <w:r>
        <w:rPr>
          <w:sz w:val="18"/>
        </w:rPr>
        <w:t>August</w:t>
      </w:r>
      <w:r>
        <w:rPr>
          <w:spacing w:val="-3"/>
          <w:sz w:val="18"/>
        </w:rPr>
        <w:t xml:space="preserve"> </w:t>
      </w:r>
      <w:r>
        <w:rPr>
          <w:sz w:val="18"/>
        </w:rPr>
        <w:t>16,</w:t>
      </w:r>
      <w:r>
        <w:rPr>
          <w:spacing w:val="-2"/>
          <w:sz w:val="18"/>
        </w:rPr>
        <w:t xml:space="preserve"> </w:t>
      </w:r>
      <w:r>
        <w:rPr>
          <w:sz w:val="18"/>
        </w:rPr>
        <w:t xml:space="preserve">2021, </w:t>
      </w:r>
      <w:hyperlink r:id="rId426">
        <w:r>
          <w:rPr>
            <w:color w:val="0562C1"/>
            <w:spacing w:val="-2"/>
            <w:sz w:val="18"/>
            <w:u w:val="single" w:color="0562C1"/>
          </w:rPr>
          <w:t>https://healthlaw.org/meeting-the-health-care-needs-of-lgbtq-immigrants/</w:t>
        </w:r>
        <w:r>
          <w:rPr>
            <w:spacing w:val="-2"/>
            <w:sz w:val="18"/>
          </w:rPr>
          <w:t>.</w:t>
        </w:r>
      </w:hyperlink>
    </w:p>
    <w:p w:rsidR="00200FDA" w:rsidRDefault="00F76C4C">
      <w:pPr>
        <w:ind w:left="140" w:right="357" w:hanging="1"/>
        <w:rPr>
          <w:sz w:val="18"/>
        </w:rPr>
      </w:pPr>
      <w:bookmarkStart w:id="600" w:name="_bookmark451"/>
      <w:bookmarkEnd w:id="600"/>
      <w:r>
        <w:rPr>
          <w:position w:val="5"/>
          <w:sz w:val="12"/>
        </w:rPr>
        <w:t>5</w:t>
      </w:r>
      <w:r>
        <w:rPr>
          <w:spacing w:val="10"/>
          <w:position w:val="5"/>
          <w:sz w:val="12"/>
        </w:rPr>
        <w:t xml:space="preserve"> </w:t>
      </w:r>
      <w:r>
        <w:rPr>
          <w:sz w:val="18"/>
        </w:rPr>
        <w:t>Wingo,</w:t>
      </w:r>
      <w:r>
        <w:rPr>
          <w:spacing w:val="-2"/>
          <w:sz w:val="18"/>
        </w:rPr>
        <w:t xml:space="preserve"> </w:t>
      </w:r>
      <w:r>
        <w:rPr>
          <w:sz w:val="18"/>
        </w:rPr>
        <w:t>Erin,</w:t>
      </w:r>
      <w:r>
        <w:rPr>
          <w:spacing w:val="-2"/>
          <w:sz w:val="18"/>
        </w:rPr>
        <w:t xml:space="preserve"> </w:t>
      </w:r>
      <w:r>
        <w:rPr>
          <w:sz w:val="18"/>
        </w:rPr>
        <w:t>Natalie</w:t>
      </w:r>
      <w:r>
        <w:rPr>
          <w:spacing w:val="-3"/>
          <w:sz w:val="18"/>
        </w:rPr>
        <w:t xml:space="preserve"> </w:t>
      </w:r>
      <w:r>
        <w:rPr>
          <w:sz w:val="18"/>
        </w:rPr>
        <w:t>Ingraham</w:t>
      </w:r>
      <w:r>
        <w:rPr>
          <w:sz w:val="18"/>
        </w:rPr>
        <w:t>,</w:t>
      </w:r>
      <w:r>
        <w:rPr>
          <w:spacing w:val="-2"/>
          <w:sz w:val="18"/>
        </w:rPr>
        <w:t xml:space="preserve"> </w:t>
      </w:r>
      <w:r>
        <w:rPr>
          <w:sz w:val="18"/>
        </w:rPr>
        <w:t>and</w:t>
      </w:r>
      <w:r>
        <w:rPr>
          <w:spacing w:val="-3"/>
          <w:sz w:val="18"/>
        </w:rPr>
        <w:t xml:space="preserve"> </w:t>
      </w:r>
      <w:r>
        <w:rPr>
          <w:sz w:val="18"/>
        </w:rPr>
        <w:t>Sarah</w:t>
      </w:r>
      <w:r>
        <w:rPr>
          <w:spacing w:val="-3"/>
          <w:sz w:val="18"/>
        </w:rPr>
        <w:t xml:space="preserve"> </w:t>
      </w:r>
      <w:r>
        <w:rPr>
          <w:sz w:val="18"/>
        </w:rPr>
        <w:t>C.M.</w:t>
      </w:r>
      <w:r>
        <w:rPr>
          <w:spacing w:val="-2"/>
          <w:sz w:val="18"/>
        </w:rPr>
        <w:t xml:space="preserve"> </w:t>
      </w:r>
      <w:r>
        <w:rPr>
          <w:sz w:val="18"/>
        </w:rPr>
        <w:t>Roberts.</w:t>
      </w:r>
      <w:r>
        <w:rPr>
          <w:spacing w:val="-2"/>
          <w:sz w:val="18"/>
        </w:rPr>
        <w:t xml:space="preserve"> </w:t>
      </w:r>
      <w:r>
        <w:rPr>
          <w:sz w:val="18"/>
        </w:rPr>
        <w:t>“Reproductive</w:t>
      </w:r>
      <w:r>
        <w:rPr>
          <w:spacing w:val="-3"/>
          <w:sz w:val="18"/>
        </w:rPr>
        <w:t xml:space="preserve"> </w:t>
      </w:r>
      <w:r>
        <w:rPr>
          <w:sz w:val="18"/>
        </w:rPr>
        <w:t>Health</w:t>
      </w:r>
      <w:r>
        <w:rPr>
          <w:spacing w:val="-3"/>
          <w:sz w:val="18"/>
        </w:rPr>
        <w:t xml:space="preserve"> </w:t>
      </w:r>
      <w:r>
        <w:rPr>
          <w:sz w:val="18"/>
        </w:rPr>
        <w:t>Care</w:t>
      </w:r>
      <w:r>
        <w:rPr>
          <w:spacing w:val="-3"/>
          <w:sz w:val="18"/>
        </w:rPr>
        <w:t xml:space="preserve"> </w:t>
      </w:r>
      <w:r>
        <w:rPr>
          <w:sz w:val="18"/>
        </w:rPr>
        <w:t>Priorities</w:t>
      </w:r>
      <w:r>
        <w:rPr>
          <w:spacing w:val="-3"/>
          <w:sz w:val="18"/>
        </w:rPr>
        <w:t xml:space="preserve"> </w:t>
      </w:r>
      <w:r>
        <w:rPr>
          <w:sz w:val="18"/>
        </w:rPr>
        <w:t>and</w:t>
      </w:r>
      <w:r>
        <w:rPr>
          <w:spacing w:val="-3"/>
          <w:sz w:val="18"/>
        </w:rPr>
        <w:t xml:space="preserve"> </w:t>
      </w:r>
      <w:r>
        <w:rPr>
          <w:sz w:val="18"/>
        </w:rPr>
        <w:t>Barriers</w:t>
      </w:r>
      <w:r>
        <w:rPr>
          <w:spacing w:val="-3"/>
          <w:sz w:val="18"/>
        </w:rPr>
        <w:t xml:space="preserve"> </w:t>
      </w:r>
      <w:r>
        <w:rPr>
          <w:sz w:val="18"/>
        </w:rPr>
        <w:t>to</w:t>
      </w:r>
      <w:r>
        <w:rPr>
          <w:spacing w:val="-1"/>
          <w:sz w:val="18"/>
        </w:rPr>
        <w:t xml:space="preserve"> </w:t>
      </w:r>
      <w:r>
        <w:rPr>
          <w:sz w:val="18"/>
        </w:rPr>
        <w:t>Effective</w:t>
      </w:r>
      <w:r>
        <w:rPr>
          <w:spacing w:val="-3"/>
          <w:sz w:val="18"/>
        </w:rPr>
        <w:t xml:space="preserve"> </w:t>
      </w:r>
      <w:r>
        <w:rPr>
          <w:sz w:val="18"/>
        </w:rPr>
        <w:t>Care</w:t>
      </w:r>
      <w:r>
        <w:rPr>
          <w:spacing w:val="-3"/>
          <w:sz w:val="18"/>
        </w:rPr>
        <w:t xml:space="preserve"> </w:t>
      </w:r>
      <w:r>
        <w:rPr>
          <w:sz w:val="18"/>
        </w:rPr>
        <w:t xml:space="preserve">for LGBTQ People Assigned Female at Birth: A Qualitative Study.” </w:t>
      </w:r>
      <w:r>
        <w:rPr>
          <w:i/>
          <w:sz w:val="18"/>
        </w:rPr>
        <w:t xml:space="preserve">Women’s Health Issues </w:t>
      </w:r>
      <w:r>
        <w:rPr>
          <w:sz w:val="18"/>
        </w:rPr>
        <w:t xml:space="preserve">28, no. 4 (July 2018): 350–57. </w:t>
      </w:r>
      <w:hyperlink r:id="rId427">
        <w:r>
          <w:rPr>
            <w:color w:val="0562C1"/>
            <w:spacing w:val="-2"/>
            <w:sz w:val="18"/>
            <w:u w:val="single" w:color="0562C1"/>
          </w:rPr>
          <w:t>https://doi.org/10.1016/j.whi.2018.03.002</w:t>
        </w:r>
        <w:r>
          <w:rPr>
            <w:spacing w:val="-2"/>
            <w:sz w:val="18"/>
          </w:rPr>
          <w:t>.</w:t>
        </w:r>
      </w:hyperlink>
    </w:p>
    <w:p w:rsidR="00200FDA" w:rsidRDefault="00F76C4C">
      <w:pPr>
        <w:ind w:left="140" w:right="357" w:hanging="1"/>
        <w:rPr>
          <w:sz w:val="18"/>
        </w:rPr>
      </w:pPr>
      <w:bookmarkStart w:id="601" w:name="_bookmark452"/>
      <w:bookmarkEnd w:id="601"/>
      <w:r>
        <w:rPr>
          <w:position w:val="5"/>
          <w:sz w:val="12"/>
        </w:rPr>
        <w:t>6</w:t>
      </w:r>
      <w:r>
        <w:rPr>
          <w:spacing w:val="10"/>
          <w:position w:val="5"/>
          <w:sz w:val="12"/>
        </w:rPr>
        <w:t xml:space="preserve"> </w:t>
      </w:r>
      <w:r>
        <w:rPr>
          <w:sz w:val="18"/>
        </w:rPr>
        <w:t>Barbara</w:t>
      </w:r>
      <w:r>
        <w:rPr>
          <w:spacing w:val="-2"/>
          <w:sz w:val="18"/>
        </w:rPr>
        <w:t xml:space="preserve"> </w:t>
      </w:r>
      <w:r>
        <w:rPr>
          <w:sz w:val="18"/>
        </w:rPr>
        <w:t>K.</w:t>
      </w:r>
      <w:r>
        <w:rPr>
          <w:spacing w:val="-2"/>
          <w:sz w:val="18"/>
        </w:rPr>
        <w:t xml:space="preserve"> </w:t>
      </w:r>
      <w:r>
        <w:rPr>
          <w:sz w:val="18"/>
        </w:rPr>
        <w:t>Snyder,</w:t>
      </w:r>
      <w:r>
        <w:rPr>
          <w:spacing w:val="-2"/>
          <w:sz w:val="18"/>
        </w:rPr>
        <w:t xml:space="preserve"> </w:t>
      </w:r>
      <w:r>
        <w:rPr>
          <w:sz w:val="18"/>
        </w:rPr>
        <w:t>Gail</w:t>
      </w:r>
      <w:r>
        <w:rPr>
          <w:spacing w:val="-3"/>
          <w:sz w:val="18"/>
        </w:rPr>
        <w:t xml:space="preserve"> </w:t>
      </w:r>
      <w:r>
        <w:rPr>
          <w:sz w:val="18"/>
        </w:rPr>
        <w:t>D.</w:t>
      </w:r>
      <w:r>
        <w:rPr>
          <w:spacing w:val="-2"/>
          <w:sz w:val="18"/>
        </w:rPr>
        <w:t xml:space="preserve"> </w:t>
      </w:r>
      <w:r>
        <w:rPr>
          <w:sz w:val="18"/>
        </w:rPr>
        <w:t>Burack,</w:t>
      </w:r>
      <w:r>
        <w:rPr>
          <w:spacing w:val="-2"/>
          <w:sz w:val="18"/>
        </w:rPr>
        <w:t xml:space="preserve"> </w:t>
      </w:r>
      <w:r>
        <w:rPr>
          <w:sz w:val="18"/>
        </w:rPr>
        <w:t>and</w:t>
      </w:r>
      <w:r>
        <w:rPr>
          <w:spacing w:val="-3"/>
          <w:sz w:val="18"/>
        </w:rPr>
        <w:t xml:space="preserve"> </w:t>
      </w:r>
      <w:r>
        <w:rPr>
          <w:sz w:val="18"/>
        </w:rPr>
        <w:t>Anna</w:t>
      </w:r>
      <w:r>
        <w:rPr>
          <w:spacing w:val="-2"/>
          <w:sz w:val="18"/>
        </w:rPr>
        <w:t xml:space="preserve"> </w:t>
      </w:r>
      <w:r>
        <w:rPr>
          <w:sz w:val="18"/>
        </w:rPr>
        <w:t>Petrova,</w:t>
      </w:r>
      <w:r>
        <w:rPr>
          <w:spacing w:val="-2"/>
          <w:sz w:val="18"/>
        </w:rPr>
        <w:t xml:space="preserve"> </w:t>
      </w:r>
      <w:r>
        <w:rPr>
          <w:sz w:val="18"/>
        </w:rPr>
        <w:t>“LGBTQ</w:t>
      </w:r>
      <w:r>
        <w:rPr>
          <w:spacing w:val="-3"/>
          <w:sz w:val="18"/>
        </w:rPr>
        <w:t xml:space="preserve"> </w:t>
      </w:r>
      <w:r>
        <w:rPr>
          <w:sz w:val="18"/>
        </w:rPr>
        <w:t>Youth’s</w:t>
      </w:r>
      <w:r>
        <w:rPr>
          <w:spacing w:val="-3"/>
          <w:sz w:val="18"/>
        </w:rPr>
        <w:t xml:space="preserve"> </w:t>
      </w:r>
      <w:r>
        <w:rPr>
          <w:sz w:val="18"/>
        </w:rPr>
        <w:t>Perceptions</w:t>
      </w:r>
      <w:r>
        <w:rPr>
          <w:spacing w:val="-3"/>
          <w:sz w:val="18"/>
        </w:rPr>
        <w:t xml:space="preserve"> </w:t>
      </w:r>
      <w:r>
        <w:rPr>
          <w:sz w:val="18"/>
        </w:rPr>
        <w:t>of</w:t>
      </w:r>
      <w:r>
        <w:rPr>
          <w:spacing w:val="-2"/>
          <w:sz w:val="18"/>
        </w:rPr>
        <w:t xml:space="preserve"> </w:t>
      </w:r>
      <w:r>
        <w:rPr>
          <w:sz w:val="18"/>
        </w:rPr>
        <w:t>Primary</w:t>
      </w:r>
      <w:r>
        <w:rPr>
          <w:spacing w:val="-2"/>
          <w:sz w:val="18"/>
        </w:rPr>
        <w:t xml:space="preserve"> </w:t>
      </w:r>
      <w:r>
        <w:rPr>
          <w:sz w:val="18"/>
        </w:rPr>
        <w:t>Care,”</w:t>
      </w:r>
      <w:r>
        <w:rPr>
          <w:spacing w:val="-1"/>
          <w:sz w:val="18"/>
        </w:rPr>
        <w:t xml:space="preserve"> </w:t>
      </w:r>
      <w:r>
        <w:rPr>
          <w:i/>
          <w:sz w:val="18"/>
        </w:rPr>
        <w:t>Clinical</w:t>
      </w:r>
      <w:r>
        <w:rPr>
          <w:i/>
          <w:spacing w:val="-3"/>
          <w:sz w:val="18"/>
        </w:rPr>
        <w:t xml:space="preserve"> </w:t>
      </w:r>
      <w:r>
        <w:rPr>
          <w:i/>
          <w:sz w:val="18"/>
        </w:rPr>
        <w:t>Pediatrics</w:t>
      </w:r>
      <w:r>
        <w:rPr>
          <w:i/>
          <w:spacing w:val="-3"/>
          <w:sz w:val="18"/>
        </w:rPr>
        <w:t xml:space="preserve"> </w:t>
      </w:r>
      <w:r>
        <w:rPr>
          <w:sz w:val="18"/>
        </w:rPr>
        <w:t>56,</w:t>
      </w:r>
      <w:r>
        <w:rPr>
          <w:spacing w:val="-2"/>
          <w:sz w:val="18"/>
        </w:rPr>
        <w:t xml:space="preserve"> </w:t>
      </w:r>
      <w:r>
        <w:rPr>
          <w:sz w:val="18"/>
        </w:rPr>
        <w:t>no.</w:t>
      </w:r>
      <w:r>
        <w:rPr>
          <w:spacing w:val="-2"/>
          <w:sz w:val="18"/>
        </w:rPr>
        <w:t xml:space="preserve"> </w:t>
      </w:r>
      <w:r>
        <w:rPr>
          <w:sz w:val="18"/>
        </w:rPr>
        <w:t xml:space="preserve">5 (May 2017): 443–50, </w:t>
      </w:r>
      <w:hyperlink r:id="rId428">
        <w:r>
          <w:rPr>
            <w:color w:val="0562C1"/>
            <w:sz w:val="18"/>
            <w:u w:val="single" w:color="0562C1"/>
          </w:rPr>
          <w:t>https://doi.org/10.1177/0009922816673306</w:t>
        </w:r>
        <w:r>
          <w:rPr>
            <w:sz w:val="18"/>
          </w:rPr>
          <w:t>.</w:t>
        </w:r>
      </w:hyperlink>
    </w:p>
    <w:p w:rsidR="00200FDA" w:rsidRDefault="00F76C4C">
      <w:pPr>
        <w:ind w:left="140" w:right="471" w:hanging="1"/>
        <w:rPr>
          <w:sz w:val="18"/>
        </w:rPr>
      </w:pPr>
      <w:bookmarkStart w:id="602" w:name="_bookmark453"/>
      <w:bookmarkEnd w:id="602"/>
      <w:r>
        <w:rPr>
          <w:position w:val="5"/>
          <w:sz w:val="12"/>
        </w:rPr>
        <w:t>7</w:t>
      </w:r>
      <w:r>
        <w:rPr>
          <w:spacing w:val="10"/>
          <w:position w:val="5"/>
          <w:sz w:val="12"/>
        </w:rPr>
        <w:t xml:space="preserve"> </w:t>
      </w:r>
      <w:r>
        <w:rPr>
          <w:sz w:val="18"/>
        </w:rPr>
        <w:t>“Discrimination</w:t>
      </w:r>
      <w:r>
        <w:rPr>
          <w:spacing w:val="-3"/>
          <w:sz w:val="18"/>
        </w:rPr>
        <w:t xml:space="preserve"> </w:t>
      </w:r>
      <w:r>
        <w:rPr>
          <w:sz w:val="18"/>
        </w:rPr>
        <w:t>Prevents</w:t>
      </w:r>
      <w:r>
        <w:rPr>
          <w:spacing w:val="-3"/>
          <w:sz w:val="18"/>
        </w:rPr>
        <w:t xml:space="preserve"> </w:t>
      </w:r>
      <w:r>
        <w:rPr>
          <w:sz w:val="18"/>
        </w:rPr>
        <w:t>LGBTQ</w:t>
      </w:r>
      <w:r>
        <w:rPr>
          <w:spacing w:val="-1"/>
          <w:sz w:val="18"/>
        </w:rPr>
        <w:t xml:space="preserve"> </w:t>
      </w:r>
      <w:r>
        <w:rPr>
          <w:sz w:val="18"/>
        </w:rPr>
        <w:t>People</w:t>
      </w:r>
      <w:r>
        <w:rPr>
          <w:spacing w:val="-3"/>
          <w:sz w:val="18"/>
        </w:rPr>
        <w:t xml:space="preserve"> </w:t>
      </w:r>
      <w:r>
        <w:rPr>
          <w:sz w:val="18"/>
        </w:rPr>
        <w:t>From</w:t>
      </w:r>
      <w:r>
        <w:rPr>
          <w:spacing w:val="-2"/>
          <w:sz w:val="18"/>
        </w:rPr>
        <w:t xml:space="preserve"> </w:t>
      </w:r>
      <w:r>
        <w:rPr>
          <w:sz w:val="18"/>
        </w:rPr>
        <w:t>Accessing</w:t>
      </w:r>
      <w:r>
        <w:rPr>
          <w:spacing w:val="-3"/>
          <w:sz w:val="18"/>
        </w:rPr>
        <w:t xml:space="preserve"> </w:t>
      </w:r>
      <w:r>
        <w:rPr>
          <w:sz w:val="18"/>
        </w:rPr>
        <w:t>Health</w:t>
      </w:r>
      <w:r>
        <w:rPr>
          <w:spacing w:val="-3"/>
          <w:sz w:val="18"/>
        </w:rPr>
        <w:t xml:space="preserve"> </w:t>
      </w:r>
      <w:r>
        <w:rPr>
          <w:sz w:val="18"/>
        </w:rPr>
        <w:t>Care,”</w:t>
      </w:r>
      <w:r>
        <w:rPr>
          <w:spacing w:val="-3"/>
          <w:sz w:val="18"/>
        </w:rPr>
        <w:t xml:space="preserve"> </w:t>
      </w:r>
      <w:r>
        <w:rPr>
          <w:i/>
          <w:sz w:val="18"/>
        </w:rPr>
        <w:t>Center</w:t>
      </w:r>
      <w:r>
        <w:rPr>
          <w:i/>
          <w:spacing w:val="-2"/>
          <w:sz w:val="18"/>
        </w:rPr>
        <w:t xml:space="preserve"> </w:t>
      </w:r>
      <w:r>
        <w:rPr>
          <w:i/>
          <w:sz w:val="18"/>
        </w:rPr>
        <w:t>for</w:t>
      </w:r>
      <w:r>
        <w:rPr>
          <w:i/>
          <w:spacing w:val="-2"/>
          <w:sz w:val="18"/>
        </w:rPr>
        <w:t xml:space="preserve"> </w:t>
      </w:r>
      <w:r>
        <w:rPr>
          <w:i/>
          <w:sz w:val="18"/>
        </w:rPr>
        <w:t>American</w:t>
      </w:r>
      <w:r>
        <w:rPr>
          <w:i/>
          <w:spacing w:val="-1"/>
          <w:sz w:val="18"/>
        </w:rPr>
        <w:t xml:space="preserve"> </w:t>
      </w:r>
      <w:r>
        <w:rPr>
          <w:i/>
          <w:sz w:val="18"/>
        </w:rPr>
        <w:t>Progress</w:t>
      </w:r>
      <w:r>
        <w:rPr>
          <w:i/>
          <w:spacing w:val="-6"/>
          <w:sz w:val="18"/>
        </w:rPr>
        <w:t xml:space="preserve"> </w:t>
      </w:r>
      <w:r>
        <w:rPr>
          <w:sz w:val="18"/>
        </w:rPr>
        <w:t>(blog),</w:t>
      </w:r>
      <w:r>
        <w:rPr>
          <w:spacing w:val="-2"/>
          <w:sz w:val="18"/>
        </w:rPr>
        <w:t xml:space="preserve"> </w:t>
      </w:r>
      <w:r>
        <w:rPr>
          <w:sz w:val="18"/>
        </w:rPr>
        <w:t>accessed</w:t>
      </w:r>
      <w:r>
        <w:rPr>
          <w:spacing w:val="-3"/>
          <w:sz w:val="18"/>
        </w:rPr>
        <w:t xml:space="preserve"> </w:t>
      </w:r>
      <w:r>
        <w:rPr>
          <w:sz w:val="18"/>
        </w:rPr>
        <w:t xml:space="preserve">August 11, 2022, </w:t>
      </w:r>
      <w:hyperlink r:id="rId429">
        <w:r>
          <w:rPr>
            <w:color w:val="0562C1"/>
            <w:sz w:val="18"/>
            <w:u w:val="single" w:color="0562C1"/>
          </w:rPr>
          <w:t>https://www.americanprogress.org/article/discrimination-prevents-lgbtq-people-accessing-health-care/</w:t>
        </w:r>
        <w:r>
          <w:rPr>
            <w:sz w:val="18"/>
          </w:rPr>
          <w:t>.</w:t>
        </w:r>
      </w:hyperlink>
    </w:p>
    <w:p w:rsidR="00200FDA" w:rsidRDefault="00F76C4C">
      <w:pPr>
        <w:ind w:left="140" w:right="357" w:hanging="1"/>
        <w:rPr>
          <w:sz w:val="18"/>
        </w:rPr>
      </w:pPr>
      <w:bookmarkStart w:id="603" w:name="_bookmark454"/>
      <w:bookmarkEnd w:id="603"/>
      <w:r>
        <w:rPr>
          <w:position w:val="5"/>
          <w:sz w:val="12"/>
        </w:rPr>
        <w:t>8</w:t>
      </w:r>
      <w:r>
        <w:rPr>
          <w:spacing w:val="11"/>
          <w:position w:val="5"/>
          <w:sz w:val="12"/>
        </w:rPr>
        <w:t xml:space="preserve"> </w:t>
      </w:r>
      <w:r>
        <w:rPr>
          <w:sz w:val="18"/>
        </w:rPr>
        <w:t>Agénor,</w:t>
      </w:r>
      <w:r>
        <w:rPr>
          <w:spacing w:val="-1"/>
          <w:sz w:val="18"/>
        </w:rPr>
        <w:t xml:space="preserve"> </w:t>
      </w:r>
      <w:r>
        <w:rPr>
          <w:sz w:val="18"/>
        </w:rPr>
        <w:t>Madina,</w:t>
      </w:r>
      <w:r>
        <w:rPr>
          <w:spacing w:val="-1"/>
          <w:sz w:val="18"/>
        </w:rPr>
        <w:t xml:space="preserve"> </w:t>
      </w:r>
      <w:r>
        <w:rPr>
          <w:sz w:val="18"/>
        </w:rPr>
        <w:t>Dougie</w:t>
      </w:r>
      <w:r>
        <w:rPr>
          <w:spacing w:val="-2"/>
          <w:sz w:val="18"/>
        </w:rPr>
        <w:t xml:space="preserve"> </w:t>
      </w:r>
      <w:r>
        <w:rPr>
          <w:sz w:val="18"/>
        </w:rPr>
        <w:t>Zubizarreta</w:t>
      </w:r>
      <w:r>
        <w:rPr>
          <w:sz w:val="18"/>
        </w:rPr>
        <w:t>,</w:t>
      </w:r>
      <w:r>
        <w:rPr>
          <w:spacing w:val="-1"/>
          <w:sz w:val="18"/>
        </w:rPr>
        <w:t xml:space="preserve"> </w:t>
      </w:r>
      <w:r>
        <w:rPr>
          <w:sz w:val="18"/>
        </w:rPr>
        <w:t>Sophia</w:t>
      </w:r>
      <w:r>
        <w:rPr>
          <w:spacing w:val="-1"/>
          <w:sz w:val="18"/>
        </w:rPr>
        <w:t xml:space="preserve"> </w:t>
      </w:r>
      <w:r>
        <w:rPr>
          <w:sz w:val="18"/>
        </w:rPr>
        <w:t>Geffen,</w:t>
      </w:r>
      <w:r>
        <w:rPr>
          <w:spacing w:val="-1"/>
          <w:sz w:val="18"/>
        </w:rPr>
        <w:t xml:space="preserve"> </w:t>
      </w:r>
      <w:r>
        <w:rPr>
          <w:sz w:val="18"/>
        </w:rPr>
        <w:t>Natasha</w:t>
      </w:r>
      <w:r>
        <w:rPr>
          <w:spacing w:val="-1"/>
          <w:sz w:val="18"/>
        </w:rPr>
        <w:t xml:space="preserve"> </w:t>
      </w:r>
      <w:r>
        <w:rPr>
          <w:sz w:val="18"/>
        </w:rPr>
        <w:t>Ramanayake,</w:t>
      </w:r>
      <w:r>
        <w:rPr>
          <w:spacing w:val="-1"/>
          <w:sz w:val="18"/>
        </w:rPr>
        <w:t xml:space="preserve"> </w:t>
      </w:r>
      <w:r>
        <w:rPr>
          <w:sz w:val="18"/>
        </w:rPr>
        <w:t>Shane</w:t>
      </w:r>
      <w:r>
        <w:rPr>
          <w:spacing w:val="-2"/>
          <w:sz w:val="18"/>
        </w:rPr>
        <w:t xml:space="preserve"> </w:t>
      </w:r>
      <w:r>
        <w:rPr>
          <w:sz w:val="18"/>
        </w:rPr>
        <w:t>Giraldo,</w:t>
      </w:r>
      <w:r>
        <w:rPr>
          <w:spacing w:val="-1"/>
          <w:sz w:val="18"/>
        </w:rPr>
        <w:t xml:space="preserve"> </w:t>
      </w:r>
      <w:r>
        <w:rPr>
          <w:sz w:val="18"/>
        </w:rPr>
        <w:t>Allison</w:t>
      </w:r>
      <w:r>
        <w:rPr>
          <w:spacing w:val="-2"/>
          <w:sz w:val="18"/>
        </w:rPr>
        <w:t xml:space="preserve"> </w:t>
      </w:r>
      <w:r>
        <w:rPr>
          <w:sz w:val="18"/>
        </w:rPr>
        <w:t>McGuirk,</w:t>
      </w:r>
      <w:r>
        <w:rPr>
          <w:spacing w:val="-1"/>
          <w:sz w:val="18"/>
        </w:rPr>
        <w:t xml:space="preserve"> </w:t>
      </w:r>
      <w:r>
        <w:rPr>
          <w:sz w:val="18"/>
        </w:rPr>
        <w:t>Mateo Caballero, and</w:t>
      </w:r>
      <w:r>
        <w:rPr>
          <w:spacing w:val="-3"/>
          <w:sz w:val="18"/>
        </w:rPr>
        <w:t xml:space="preserve"> </w:t>
      </w:r>
      <w:r>
        <w:rPr>
          <w:sz w:val="18"/>
        </w:rPr>
        <w:t>Keosha</w:t>
      </w:r>
      <w:r>
        <w:rPr>
          <w:spacing w:val="-2"/>
          <w:sz w:val="18"/>
        </w:rPr>
        <w:t xml:space="preserve"> </w:t>
      </w:r>
      <w:r>
        <w:rPr>
          <w:sz w:val="18"/>
        </w:rPr>
        <w:t>Bond.</w:t>
      </w:r>
      <w:r>
        <w:rPr>
          <w:spacing w:val="-2"/>
          <w:sz w:val="18"/>
        </w:rPr>
        <w:t xml:space="preserve"> </w:t>
      </w:r>
      <w:r>
        <w:rPr>
          <w:sz w:val="18"/>
        </w:rPr>
        <w:t>2022. “‘Making</w:t>
      </w:r>
      <w:r>
        <w:rPr>
          <w:spacing w:val="-3"/>
          <w:sz w:val="18"/>
        </w:rPr>
        <w:t xml:space="preserve"> </w:t>
      </w:r>
      <w:r>
        <w:rPr>
          <w:sz w:val="18"/>
        </w:rPr>
        <w:t>a</w:t>
      </w:r>
      <w:r>
        <w:rPr>
          <w:spacing w:val="-2"/>
          <w:sz w:val="18"/>
        </w:rPr>
        <w:t xml:space="preserve"> </w:t>
      </w:r>
      <w:r>
        <w:rPr>
          <w:sz w:val="18"/>
        </w:rPr>
        <w:t>Way</w:t>
      </w:r>
      <w:r>
        <w:rPr>
          <w:spacing w:val="-2"/>
          <w:sz w:val="18"/>
        </w:rPr>
        <w:t xml:space="preserve"> </w:t>
      </w:r>
      <w:r>
        <w:rPr>
          <w:sz w:val="18"/>
        </w:rPr>
        <w:t>Out</w:t>
      </w:r>
      <w:r>
        <w:rPr>
          <w:spacing w:val="-3"/>
          <w:sz w:val="18"/>
        </w:rPr>
        <w:t xml:space="preserve"> </w:t>
      </w:r>
      <w:r>
        <w:rPr>
          <w:sz w:val="18"/>
        </w:rPr>
        <w:t>of</w:t>
      </w:r>
      <w:r>
        <w:rPr>
          <w:spacing w:val="-2"/>
          <w:sz w:val="18"/>
        </w:rPr>
        <w:t xml:space="preserve"> </w:t>
      </w:r>
      <w:r>
        <w:rPr>
          <w:sz w:val="18"/>
        </w:rPr>
        <w:t>No</w:t>
      </w:r>
      <w:r>
        <w:rPr>
          <w:spacing w:val="-1"/>
          <w:sz w:val="18"/>
        </w:rPr>
        <w:t xml:space="preserve"> </w:t>
      </w:r>
      <w:r>
        <w:rPr>
          <w:sz w:val="18"/>
        </w:rPr>
        <w:t>Way:’</w:t>
      </w:r>
      <w:r>
        <w:rPr>
          <w:spacing w:val="-2"/>
          <w:sz w:val="18"/>
        </w:rPr>
        <w:t xml:space="preserve"> </w:t>
      </w:r>
      <w:r>
        <w:rPr>
          <w:sz w:val="18"/>
        </w:rPr>
        <w:t>Understanding</w:t>
      </w:r>
      <w:r>
        <w:rPr>
          <w:spacing w:val="-3"/>
          <w:sz w:val="18"/>
        </w:rPr>
        <w:t xml:space="preserve"> </w:t>
      </w:r>
      <w:r>
        <w:rPr>
          <w:sz w:val="18"/>
        </w:rPr>
        <w:t>the</w:t>
      </w:r>
      <w:r>
        <w:rPr>
          <w:spacing w:val="-1"/>
          <w:sz w:val="18"/>
        </w:rPr>
        <w:t xml:space="preserve"> </w:t>
      </w:r>
      <w:r>
        <w:rPr>
          <w:sz w:val="18"/>
        </w:rPr>
        <w:t>Sexual</w:t>
      </w:r>
      <w:r>
        <w:rPr>
          <w:spacing w:val="-3"/>
          <w:sz w:val="18"/>
        </w:rPr>
        <w:t xml:space="preserve"> </w:t>
      </w:r>
      <w:r>
        <w:rPr>
          <w:sz w:val="18"/>
        </w:rPr>
        <w:t>and</w:t>
      </w:r>
      <w:r>
        <w:rPr>
          <w:spacing w:val="-3"/>
          <w:sz w:val="18"/>
        </w:rPr>
        <w:t xml:space="preserve"> </w:t>
      </w:r>
      <w:r>
        <w:rPr>
          <w:sz w:val="18"/>
        </w:rPr>
        <w:t>Reproductive</w:t>
      </w:r>
      <w:r>
        <w:rPr>
          <w:spacing w:val="-3"/>
          <w:sz w:val="18"/>
        </w:rPr>
        <w:t xml:space="preserve"> </w:t>
      </w:r>
      <w:r>
        <w:rPr>
          <w:sz w:val="18"/>
        </w:rPr>
        <w:t>Health</w:t>
      </w:r>
      <w:r>
        <w:rPr>
          <w:spacing w:val="-3"/>
          <w:sz w:val="18"/>
        </w:rPr>
        <w:t xml:space="preserve"> </w:t>
      </w:r>
      <w:r>
        <w:rPr>
          <w:sz w:val="18"/>
        </w:rPr>
        <w:t>Care</w:t>
      </w:r>
      <w:r>
        <w:rPr>
          <w:spacing w:val="-3"/>
          <w:sz w:val="18"/>
        </w:rPr>
        <w:t xml:space="preserve"> </w:t>
      </w:r>
      <w:r>
        <w:rPr>
          <w:sz w:val="18"/>
        </w:rPr>
        <w:t xml:space="preserve">Experiences of Transmasculine Young Adults of Color in the United States.” </w:t>
      </w:r>
      <w:r>
        <w:rPr>
          <w:i/>
          <w:sz w:val="18"/>
        </w:rPr>
        <w:t xml:space="preserve">Qualitative Health Research </w:t>
      </w:r>
      <w:r>
        <w:rPr>
          <w:sz w:val="18"/>
        </w:rPr>
        <w:t xml:space="preserve">32 (1): 121–34. </w:t>
      </w:r>
      <w:hyperlink r:id="rId430">
        <w:r>
          <w:rPr>
            <w:color w:val="0562C1"/>
            <w:spacing w:val="-2"/>
            <w:sz w:val="18"/>
            <w:u w:val="single" w:color="0562C1"/>
          </w:rPr>
          <w:t>https://doi.org/10.1177/10497323211050051</w:t>
        </w:r>
        <w:r>
          <w:rPr>
            <w:spacing w:val="-2"/>
            <w:sz w:val="18"/>
          </w:rPr>
          <w:t>.</w:t>
        </w:r>
      </w:hyperlink>
    </w:p>
    <w:p w:rsidR="00200FDA" w:rsidRDefault="00F76C4C">
      <w:pPr>
        <w:ind w:left="140" w:right="357" w:hanging="1"/>
        <w:rPr>
          <w:sz w:val="18"/>
        </w:rPr>
      </w:pPr>
      <w:bookmarkStart w:id="604" w:name="_bookmark455"/>
      <w:bookmarkEnd w:id="604"/>
      <w:r>
        <w:rPr>
          <w:position w:val="5"/>
          <w:sz w:val="12"/>
        </w:rPr>
        <w:t>9</w:t>
      </w:r>
      <w:r>
        <w:rPr>
          <w:spacing w:val="10"/>
          <w:position w:val="5"/>
          <w:sz w:val="12"/>
        </w:rPr>
        <w:t xml:space="preserve"> </w:t>
      </w:r>
      <w:r>
        <w:rPr>
          <w:sz w:val="18"/>
        </w:rPr>
        <w:t>Barbara</w:t>
      </w:r>
      <w:r>
        <w:rPr>
          <w:spacing w:val="-2"/>
          <w:sz w:val="18"/>
        </w:rPr>
        <w:t xml:space="preserve"> </w:t>
      </w:r>
      <w:r>
        <w:rPr>
          <w:sz w:val="18"/>
        </w:rPr>
        <w:t>K.</w:t>
      </w:r>
      <w:r>
        <w:rPr>
          <w:spacing w:val="-2"/>
          <w:sz w:val="18"/>
        </w:rPr>
        <w:t xml:space="preserve"> </w:t>
      </w:r>
      <w:r>
        <w:rPr>
          <w:sz w:val="18"/>
        </w:rPr>
        <w:t>Snyder,</w:t>
      </w:r>
      <w:r>
        <w:rPr>
          <w:spacing w:val="-2"/>
          <w:sz w:val="18"/>
        </w:rPr>
        <w:t xml:space="preserve"> </w:t>
      </w:r>
      <w:r>
        <w:rPr>
          <w:sz w:val="18"/>
        </w:rPr>
        <w:t>Gail</w:t>
      </w:r>
      <w:r>
        <w:rPr>
          <w:spacing w:val="-3"/>
          <w:sz w:val="18"/>
        </w:rPr>
        <w:t xml:space="preserve"> </w:t>
      </w:r>
      <w:r>
        <w:rPr>
          <w:sz w:val="18"/>
        </w:rPr>
        <w:t>D.</w:t>
      </w:r>
      <w:r>
        <w:rPr>
          <w:spacing w:val="-2"/>
          <w:sz w:val="18"/>
        </w:rPr>
        <w:t xml:space="preserve"> </w:t>
      </w:r>
      <w:r>
        <w:rPr>
          <w:sz w:val="18"/>
        </w:rPr>
        <w:t>Bura</w:t>
      </w:r>
      <w:r>
        <w:rPr>
          <w:sz w:val="18"/>
        </w:rPr>
        <w:t>ck,</w:t>
      </w:r>
      <w:r>
        <w:rPr>
          <w:spacing w:val="-2"/>
          <w:sz w:val="18"/>
        </w:rPr>
        <w:t xml:space="preserve"> </w:t>
      </w:r>
      <w:r>
        <w:rPr>
          <w:sz w:val="18"/>
        </w:rPr>
        <w:t>and</w:t>
      </w:r>
      <w:r>
        <w:rPr>
          <w:spacing w:val="-3"/>
          <w:sz w:val="18"/>
        </w:rPr>
        <w:t xml:space="preserve"> </w:t>
      </w:r>
      <w:r>
        <w:rPr>
          <w:sz w:val="18"/>
        </w:rPr>
        <w:t>Anna</w:t>
      </w:r>
      <w:r>
        <w:rPr>
          <w:spacing w:val="-2"/>
          <w:sz w:val="18"/>
        </w:rPr>
        <w:t xml:space="preserve"> </w:t>
      </w:r>
      <w:r>
        <w:rPr>
          <w:sz w:val="18"/>
        </w:rPr>
        <w:t>Petrova,</w:t>
      </w:r>
      <w:r>
        <w:rPr>
          <w:spacing w:val="-2"/>
          <w:sz w:val="18"/>
        </w:rPr>
        <w:t xml:space="preserve"> </w:t>
      </w:r>
      <w:r>
        <w:rPr>
          <w:sz w:val="18"/>
        </w:rPr>
        <w:t>“LGBTQ</w:t>
      </w:r>
      <w:r>
        <w:rPr>
          <w:spacing w:val="-3"/>
          <w:sz w:val="18"/>
        </w:rPr>
        <w:t xml:space="preserve"> </w:t>
      </w:r>
      <w:r>
        <w:rPr>
          <w:sz w:val="18"/>
        </w:rPr>
        <w:t>Youth’s</w:t>
      </w:r>
      <w:r>
        <w:rPr>
          <w:spacing w:val="-3"/>
          <w:sz w:val="18"/>
        </w:rPr>
        <w:t xml:space="preserve"> </w:t>
      </w:r>
      <w:r>
        <w:rPr>
          <w:sz w:val="18"/>
        </w:rPr>
        <w:t>Perceptions</w:t>
      </w:r>
      <w:r>
        <w:rPr>
          <w:spacing w:val="-3"/>
          <w:sz w:val="18"/>
        </w:rPr>
        <w:t xml:space="preserve"> </w:t>
      </w:r>
      <w:r>
        <w:rPr>
          <w:sz w:val="18"/>
        </w:rPr>
        <w:t>of</w:t>
      </w:r>
      <w:r>
        <w:rPr>
          <w:spacing w:val="-2"/>
          <w:sz w:val="18"/>
        </w:rPr>
        <w:t xml:space="preserve"> </w:t>
      </w:r>
      <w:r>
        <w:rPr>
          <w:sz w:val="18"/>
        </w:rPr>
        <w:t>Primary</w:t>
      </w:r>
      <w:r>
        <w:rPr>
          <w:spacing w:val="-2"/>
          <w:sz w:val="18"/>
        </w:rPr>
        <w:t xml:space="preserve"> </w:t>
      </w:r>
      <w:r>
        <w:rPr>
          <w:sz w:val="18"/>
        </w:rPr>
        <w:t>Care,”</w:t>
      </w:r>
      <w:r>
        <w:rPr>
          <w:spacing w:val="-1"/>
          <w:sz w:val="18"/>
        </w:rPr>
        <w:t xml:space="preserve"> </w:t>
      </w:r>
      <w:r>
        <w:rPr>
          <w:i/>
          <w:sz w:val="18"/>
        </w:rPr>
        <w:t>Clinical</w:t>
      </w:r>
      <w:r>
        <w:rPr>
          <w:i/>
          <w:spacing w:val="-3"/>
          <w:sz w:val="18"/>
        </w:rPr>
        <w:t xml:space="preserve"> </w:t>
      </w:r>
      <w:r>
        <w:rPr>
          <w:i/>
          <w:sz w:val="18"/>
        </w:rPr>
        <w:t>Pediatrics</w:t>
      </w:r>
      <w:r>
        <w:rPr>
          <w:i/>
          <w:spacing w:val="-3"/>
          <w:sz w:val="18"/>
        </w:rPr>
        <w:t xml:space="preserve"> </w:t>
      </w:r>
      <w:r>
        <w:rPr>
          <w:sz w:val="18"/>
        </w:rPr>
        <w:t>56,</w:t>
      </w:r>
      <w:r>
        <w:rPr>
          <w:spacing w:val="-2"/>
          <w:sz w:val="18"/>
        </w:rPr>
        <w:t xml:space="preserve"> </w:t>
      </w:r>
      <w:r>
        <w:rPr>
          <w:sz w:val="18"/>
        </w:rPr>
        <w:t>no.</w:t>
      </w:r>
      <w:r>
        <w:rPr>
          <w:spacing w:val="-2"/>
          <w:sz w:val="18"/>
        </w:rPr>
        <w:t xml:space="preserve"> </w:t>
      </w:r>
      <w:r>
        <w:rPr>
          <w:sz w:val="18"/>
        </w:rPr>
        <w:t xml:space="preserve">5 (May 2017): 443–50, </w:t>
      </w:r>
      <w:hyperlink r:id="rId431">
        <w:r>
          <w:rPr>
            <w:color w:val="0562C1"/>
            <w:sz w:val="18"/>
            <w:u w:val="single" w:color="0562C1"/>
          </w:rPr>
          <w:t>https://doi.org/10.1177/0009922816673306</w:t>
        </w:r>
        <w:r>
          <w:rPr>
            <w:sz w:val="18"/>
          </w:rPr>
          <w:t>.</w:t>
        </w:r>
      </w:hyperlink>
    </w:p>
    <w:p w:rsidR="00200FDA" w:rsidRDefault="00F76C4C">
      <w:pPr>
        <w:ind w:left="140" w:right="777" w:hanging="1"/>
        <w:rPr>
          <w:sz w:val="18"/>
        </w:rPr>
      </w:pPr>
      <w:bookmarkStart w:id="605" w:name="_bookmark456"/>
      <w:bookmarkEnd w:id="605"/>
      <w:r>
        <w:rPr>
          <w:position w:val="5"/>
          <w:sz w:val="12"/>
        </w:rPr>
        <w:t>10</w:t>
      </w:r>
      <w:r>
        <w:rPr>
          <w:spacing w:val="10"/>
          <w:position w:val="5"/>
          <w:sz w:val="12"/>
        </w:rPr>
        <w:t xml:space="preserve"> </w:t>
      </w:r>
      <w:r>
        <w:rPr>
          <w:sz w:val="18"/>
        </w:rPr>
        <w:t>Publication</w:t>
      </w:r>
      <w:r>
        <w:rPr>
          <w:spacing w:val="-3"/>
          <w:sz w:val="18"/>
        </w:rPr>
        <w:t xml:space="preserve"> </w:t>
      </w:r>
      <w:r>
        <w:rPr>
          <w:sz w:val="18"/>
        </w:rPr>
        <w:t>Published</w:t>
      </w:r>
      <w:r>
        <w:rPr>
          <w:spacing w:val="-3"/>
          <w:sz w:val="18"/>
        </w:rPr>
        <w:t xml:space="preserve"> </w:t>
      </w:r>
      <w:r>
        <w:rPr>
          <w:sz w:val="18"/>
        </w:rPr>
        <w:t>on</w:t>
      </w:r>
      <w:r>
        <w:rPr>
          <w:spacing w:val="-3"/>
          <w:sz w:val="18"/>
        </w:rPr>
        <w:t xml:space="preserve"> </w:t>
      </w:r>
      <w:r>
        <w:rPr>
          <w:sz w:val="18"/>
        </w:rPr>
        <w:t>6 August</w:t>
      </w:r>
      <w:r>
        <w:rPr>
          <w:spacing w:val="-3"/>
          <w:sz w:val="18"/>
        </w:rPr>
        <w:t xml:space="preserve"> </w:t>
      </w:r>
      <w:r>
        <w:rPr>
          <w:sz w:val="18"/>
        </w:rPr>
        <w:t>2020,</w:t>
      </w:r>
      <w:r>
        <w:rPr>
          <w:spacing w:val="-2"/>
          <w:sz w:val="18"/>
        </w:rPr>
        <w:t xml:space="preserve"> </w:t>
      </w:r>
      <w:r>
        <w:rPr>
          <w:sz w:val="18"/>
        </w:rPr>
        <w:t>“Affirming</w:t>
      </w:r>
      <w:r>
        <w:rPr>
          <w:spacing w:val="-3"/>
          <w:sz w:val="18"/>
        </w:rPr>
        <w:t xml:space="preserve"> </w:t>
      </w:r>
      <w:r>
        <w:rPr>
          <w:sz w:val="18"/>
        </w:rPr>
        <w:t>Primary</w:t>
      </w:r>
      <w:r>
        <w:rPr>
          <w:spacing w:val="-2"/>
          <w:sz w:val="18"/>
        </w:rPr>
        <w:t xml:space="preserve"> </w:t>
      </w:r>
      <w:r>
        <w:rPr>
          <w:sz w:val="18"/>
        </w:rPr>
        <w:t>Care</w:t>
      </w:r>
      <w:r>
        <w:rPr>
          <w:spacing w:val="-1"/>
          <w:sz w:val="18"/>
        </w:rPr>
        <w:t xml:space="preserve"> </w:t>
      </w:r>
      <w:r>
        <w:rPr>
          <w:sz w:val="18"/>
        </w:rPr>
        <w:t>for</w:t>
      </w:r>
      <w:r>
        <w:rPr>
          <w:spacing w:val="-3"/>
          <w:sz w:val="18"/>
        </w:rPr>
        <w:t xml:space="preserve"> </w:t>
      </w:r>
      <w:r>
        <w:rPr>
          <w:sz w:val="18"/>
        </w:rPr>
        <w:t>Intersex</w:t>
      </w:r>
      <w:r>
        <w:rPr>
          <w:spacing w:val="-3"/>
          <w:sz w:val="18"/>
        </w:rPr>
        <w:t xml:space="preserve"> </w:t>
      </w:r>
      <w:r>
        <w:rPr>
          <w:sz w:val="18"/>
        </w:rPr>
        <w:t>People</w:t>
      </w:r>
      <w:r>
        <w:rPr>
          <w:spacing w:val="-3"/>
          <w:sz w:val="18"/>
        </w:rPr>
        <w:t xml:space="preserve"> </w:t>
      </w:r>
      <w:r>
        <w:rPr>
          <w:sz w:val="18"/>
        </w:rPr>
        <w:t>2020 »</w:t>
      </w:r>
      <w:r>
        <w:rPr>
          <w:spacing w:val="-3"/>
          <w:sz w:val="18"/>
        </w:rPr>
        <w:t xml:space="preserve"> </w:t>
      </w:r>
      <w:r>
        <w:rPr>
          <w:sz w:val="18"/>
        </w:rPr>
        <w:t>LGBTQIA+</w:t>
      </w:r>
      <w:r>
        <w:rPr>
          <w:spacing w:val="-3"/>
          <w:sz w:val="18"/>
        </w:rPr>
        <w:t xml:space="preserve"> </w:t>
      </w:r>
      <w:r>
        <w:rPr>
          <w:sz w:val="18"/>
        </w:rPr>
        <w:t>Health</w:t>
      </w:r>
      <w:r>
        <w:rPr>
          <w:spacing w:val="-3"/>
          <w:sz w:val="18"/>
        </w:rPr>
        <w:t xml:space="preserve"> </w:t>
      </w:r>
      <w:r>
        <w:rPr>
          <w:sz w:val="18"/>
        </w:rPr>
        <w:t xml:space="preserve">Education Center,” </w:t>
      </w:r>
      <w:r>
        <w:rPr>
          <w:i/>
          <w:sz w:val="18"/>
        </w:rPr>
        <w:t xml:space="preserve">LGBTQIA+ Health Education Center </w:t>
      </w:r>
      <w:r>
        <w:rPr>
          <w:sz w:val="18"/>
        </w:rPr>
        <w:t xml:space="preserve">(blog), accessed December 3, 2022, </w:t>
      </w:r>
      <w:hyperlink r:id="rId432">
        <w:r>
          <w:rPr>
            <w:color w:val="0562C1"/>
            <w:spacing w:val="-2"/>
            <w:sz w:val="18"/>
            <w:u w:val="single" w:color="0562C1"/>
          </w:rPr>
          <w:t>https://www.lgbtqiahealtheducation.org/publication/affirming-primary-care-for-intersex-people-2020/</w:t>
        </w:r>
        <w:r>
          <w:rPr>
            <w:spacing w:val="-2"/>
            <w:sz w:val="18"/>
          </w:rPr>
          <w:t>.</w:t>
        </w:r>
      </w:hyperlink>
    </w:p>
    <w:p w:rsidR="00200FDA" w:rsidRDefault="00F76C4C">
      <w:pPr>
        <w:spacing w:line="218" w:lineRule="exact"/>
        <w:ind w:left="140"/>
        <w:rPr>
          <w:sz w:val="18"/>
        </w:rPr>
      </w:pPr>
      <w:bookmarkStart w:id="606" w:name="_bookmark457"/>
      <w:bookmarkEnd w:id="606"/>
      <w:r>
        <w:rPr>
          <w:position w:val="5"/>
          <w:sz w:val="12"/>
        </w:rPr>
        <w:t>11</w:t>
      </w:r>
      <w:r>
        <w:rPr>
          <w:spacing w:val="11"/>
          <w:position w:val="5"/>
          <w:sz w:val="12"/>
        </w:rPr>
        <w:t xml:space="preserve"> </w:t>
      </w:r>
      <w:r>
        <w:rPr>
          <w:spacing w:val="-4"/>
          <w:sz w:val="18"/>
        </w:rPr>
        <w:t>lbid</w:t>
      </w:r>
    </w:p>
    <w:p w:rsidR="00200FDA" w:rsidRDefault="00F76C4C">
      <w:pPr>
        <w:spacing w:before="1"/>
        <w:ind w:left="140" w:right="676"/>
        <w:rPr>
          <w:sz w:val="18"/>
        </w:rPr>
      </w:pPr>
      <w:bookmarkStart w:id="607" w:name="_bookmark458"/>
      <w:bookmarkEnd w:id="607"/>
      <w:r>
        <w:rPr>
          <w:position w:val="5"/>
          <w:sz w:val="12"/>
        </w:rPr>
        <w:t>12</w:t>
      </w:r>
      <w:r>
        <w:rPr>
          <w:spacing w:val="10"/>
          <w:position w:val="5"/>
          <w:sz w:val="12"/>
        </w:rPr>
        <w:t xml:space="preserve"> </w:t>
      </w:r>
      <w:r>
        <w:rPr>
          <w:sz w:val="18"/>
        </w:rPr>
        <w:t>“New</w:t>
      </w:r>
      <w:r>
        <w:rPr>
          <w:spacing w:val="-1"/>
          <w:sz w:val="18"/>
        </w:rPr>
        <w:t xml:space="preserve"> </w:t>
      </w:r>
      <w:r>
        <w:rPr>
          <w:sz w:val="18"/>
        </w:rPr>
        <w:t>Study</w:t>
      </w:r>
      <w:r>
        <w:rPr>
          <w:spacing w:val="-2"/>
          <w:sz w:val="18"/>
        </w:rPr>
        <w:t xml:space="preserve"> </w:t>
      </w:r>
      <w:r>
        <w:rPr>
          <w:sz w:val="18"/>
        </w:rPr>
        <w:t>Finds</w:t>
      </w:r>
      <w:r>
        <w:rPr>
          <w:spacing w:val="-3"/>
          <w:sz w:val="18"/>
        </w:rPr>
        <w:t xml:space="preserve"> </w:t>
      </w:r>
      <w:r>
        <w:rPr>
          <w:sz w:val="18"/>
        </w:rPr>
        <w:t>Significant</w:t>
      </w:r>
      <w:r>
        <w:rPr>
          <w:spacing w:val="-3"/>
          <w:sz w:val="18"/>
        </w:rPr>
        <w:t xml:space="preserve"> </w:t>
      </w:r>
      <w:r>
        <w:rPr>
          <w:sz w:val="18"/>
        </w:rPr>
        <w:t>Barriers</w:t>
      </w:r>
      <w:r>
        <w:rPr>
          <w:spacing w:val="-3"/>
          <w:sz w:val="18"/>
        </w:rPr>
        <w:t xml:space="preserve"> </w:t>
      </w:r>
      <w:r>
        <w:rPr>
          <w:sz w:val="18"/>
        </w:rPr>
        <w:t>to</w:t>
      </w:r>
      <w:r>
        <w:rPr>
          <w:spacing w:val="-1"/>
          <w:sz w:val="18"/>
        </w:rPr>
        <w:t xml:space="preserve"> </w:t>
      </w:r>
      <w:r>
        <w:rPr>
          <w:sz w:val="18"/>
        </w:rPr>
        <w:t>Gender-Affirming</w:t>
      </w:r>
      <w:r>
        <w:rPr>
          <w:spacing w:val="-3"/>
          <w:sz w:val="18"/>
        </w:rPr>
        <w:t xml:space="preserve"> </w:t>
      </w:r>
      <w:r>
        <w:rPr>
          <w:sz w:val="18"/>
        </w:rPr>
        <w:t>Primary</w:t>
      </w:r>
      <w:r>
        <w:rPr>
          <w:spacing w:val="-2"/>
          <w:sz w:val="18"/>
        </w:rPr>
        <w:t xml:space="preserve"> </w:t>
      </w:r>
      <w:r>
        <w:rPr>
          <w:sz w:val="18"/>
        </w:rPr>
        <w:t>Care</w:t>
      </w:r>
      <w:r>
        <w:rPr>
          <w:spacing w:val="-3"/>
          <w:sz w:val="18"/>
        </w:rPr>
        <w:t xml:space="preserve"> </w:t>
      </w:r>
      <w:r>
        <w:rPr>
          <w:sz w:val="18"/>
        </w:rPr>
        <w:t>among</w:t>
      </w:r>
      <w:r>
        <w:rPr>
          <w:spacing w:val="-3"/>
          <w:sz w:val="18"/>
        </w:rPr>
        <w:t xml:space="preserve"> </w:t>
      </w:r>
      <w:r>
        <w:rPr>
          <w:sz w:val="18"/>
        </w:rPr>
        <w:t>Transgender</w:t>
      </w:r>
      <w:r>
        <w:rPr>
          <w:spacing w:val="-3"/>
          <w:sz w:val="18"/>
        </w:rPr>
        <w:t xml:space="preserve"> </w:t>
      </w:r>
      <w:r>
        <w:rPr>
          <w:sz w:val="18"/>
        </w:rPr>
        <w:t>People</w:t>
      </w:r>
      <w:r>
        <w:rPr>
          <w:spacing w:val="-3"/>
          <w:sz w:val="18"/>
        </w:rPr>
        <w:t xml:space="preserve"> </w:t>
      </w:r>
      <w:r>
        <w:rPr>
          <w:sz w:val="18"/>
        </w:rPr>
        <w:t>Living</w:t>
      </w:r>
      <w:r>
        <w:rPr>
          <w:spacing w:val="-3"/>
          <w:sz w:val="18"/>
        </w:rPr>
        <w:t xml:space="preserve"> </w:t>
      </w:r>
      <w:r>
        <w:rPr>
          <w:sz w:val="18"/>
        </w:rPr>
        <w:t>in</w:t>
      </w:r>
      <w:r>
        <w:rPr>
          <w:spacing w:val="-3"/>
          <w:sz w:val="18"/>
        </w:rPr>
        <w:t xml:space="preserve"> </w:t>
      </w:r>
      <w:r>
        <w:rPr>
          <w:sz w:val="18"/>
        </w:rPr>
        <w:t>Rural</w:t>
      </w:r>
      <w:r>
        <w:rPr>
          <w:spacing w:val="-3"/>
          <w:sz w:val="18"/>
        </w:rPr>
        <w:t xml:space="preserve"> </w:t>
      </w:r>
      <w:r>
        <w:rPr>
          <w:sz w:val="18"/>
        </w:rPr>
        <w:t>Areas</w:t>
      </w:r>
      <w:r>
        <w:rPr>
          <w:spacing w:val="-3"/>
          <w:sz w:val="18"/>
        </w:rPr>
        <w:t xml:space="preserve"> </w:t>
      </w:r>
      <w:r>
        <w:rPr>
          <w:sz w:val="18"/>
        </w:rPr>
        <w:t>- F</w:t>
      </w:r>
      <w:r>
        <w:rPr>
          <w:sz w:val="18"/>
        </w:rPr>
        <w:t xml:space="preserve">enway Health: Health Care Is A Right, Not A Privilege.,” August 18, 2022, </w:t>
      </w:r>
      <w:hyperlink r:id="rId433">
        <w:r>
          <w:rPr>
            <w:color w:val="0562C1"/>
            <w:sz w:val="18"/>
            <w:u w:val="single" w:color="0562C1"/>
          </w:rPr>
          <w:t>https://fenwayhealth.org/new-study-finds-</w:t>
        </w:r>
      </w:hyperlink>
      <w:r>
        <w:rPr>
          <w:color w:val="0562C1"/>
          <w:sz w:val="18"/>
        </w:rPr>
        <w:t xml:space="preserve"> </w:t>
      </w:r>
      <w:hyperlink r:id="rId434">
        <w:r>
          <w:rPr>
            <w:color w:val="0562C1"/>
            <w:spacing w:val="-2"/>
            <w:sz w:val="18"/>
            <w:u w:val="single" w:color="0562C1"/>
          </w:rPr>
          <w:t>significant-barriers-to-gender-affirming-primary-car</w:t>
        </w:r>
        <w:r>
          <w:rPr>
            <w:color w:val="0562C1"/>
            <w:spacing w:val="-2"/>
            <w:sz w:val="18"/>
            <w:u w:val="single" w:color="0562C1"/>
          </w:rPr>
          <w:t>e-among-transgender-people-living-in-rural-areas/</w:t>
        </w:r>
        <w:r>
          <w:rPr>
            <w:spacing w:val="-2"/>
            <w:sz w:val="18"/>
          </w:rPr>
          <w:t>.</w:t>
        </w:r>
      </w:hyperlink>
    </w:p>
    <w:p w:rsidR="00200FDA" w:rsidRDefault="00F76C4C">
      <w:pPr>
        <w:ind w:left="140" w:right="357" w:hanging="1"/>
        <w:rPr>
          <w:sz w:val="18"/>
        </w:rPr>
      </w:pPr>
      <w:bookmarkStart w:id="608" w:name="_bookmark459"/>
      <w:bookmarkEnd w:id="608"/>
      <w:r>
        <w:rPr>
          <w:position w:val="5"/>
          <w:sz w:val="12"/>
        </w:rPr>
        <w:t>13</w:t>
      </w:r>
      <w:r>
        <w:rPr>
          <w:spacing w:val="10"/>
          <w:position w:val="5"/>
          <w:sz w:val="12"/>
        </w:rPr>
        <w:t xml:space="preserve"> </w:t>
      </w:r>
      <w:r>
        <w:rPr>
          <w:sz w:val="18"/>
        </w:rPr>
        <w:t>Claire</w:t>
      </w:r>
      <w:r>
        <w:rPr>
          <w:spacing w:val="-3"/>
          <w:sz w:val="18"/>
        </w:rPr>
        <w:t xml:space="preserve"> </w:t>
      </w:r>
      <w:r>
        <w:rPr>
          <w:sz w:val="18"/>
        </w:rPr>
        <w:t>E.</w:t>
      </w:r>
      <w:r>
        <w:rPr>
          <w:spacing w:val="-2"/>
          <w:sz w:val="18"/>
        </w:rPr>
        <w:t xml:space="preserve"> </w:t>
      </w:r>
      <w:r>
        <w:rPr>
          <w:sz w:val="18"/>
        </w:rPr>
        <w:t>Lunde</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“Beyond</w:t>
      </w:r>
      <w:r>
        <w:rPr>
          <w:spacing w:val="-3"/>
          <w:sz w:val="18"/>
        </w:rPr>
        <w:t xml:space="preserve"> </w:t>
      </w:r>
      <w:r>
        <w:rPr>
          <w:sz w:val="18"/>
        </w:rPr>
        <w:t>the</w:t>
      </w:r>
      <w:r>
        <w:rPr>
          <w:spacing w:val="-3"/>
          <w:sz w:val="18"/>
        </w:rPr>
        <w:t xml:space="preserve"> </w:t>
      </w:r>
      <w:r>
        <w:rPr>
          <w:sz w:val="18"/>
        </w:rPr>
        <w:t>Binary:</w:t>
      </w:r>
      <w:r>
        <w:rPr>
          <w:spacing w:val="-2"/>
          <w:sz w:val="18"/>
        </w:rPr>
        <w:t xml:space="preserve"> </w:t>
      </w:r>
      <w:r>
        <w:rPr>
          <w:sz w:val="18"/>
        </w:rPr>
        <w:t>Sexual</w:t>
      </w:r>
      <w:r>
        <w:rPr>
          <w:spacing w:val="-3"/>
          <w:sz w:val="18"/>
        </w:rPr>
        <w:t xml:space="preserve"> </w:t>
      </w:r>
      <w:r>
        <w:rPr>
          <w:sz w:val="18"/>
        </w:rPr>
        <w:t>and</w:t>
      </w:r>
      <w:r>
        <w:rPr>
          <w:spacing w:val="-3"/>
          <w:sz w:val="18"/>
        </w:rPr>
        <w:t xml:space="preserve"> </w:t>
      </w:r>
      <w:r>
        <w:rPr>
          <w:sz w:val="18"/>
        </w:rPr>
        <w:t>Reproductive</w:t>
      </w:r>
      <w:r>
        <w:rPr>
          <w:spacing w:val="-3"/>
          <w:sz w:val="18"/>
        </w:rPr>
        <w:t xml:space="preserve"> </w:t>
      </w:r>
      <w:r>
        <w:rPr>
          <w:sz w:val="18"/>
        </w:rPr>
        <w:t>Health</w:t>
      </w:r>
      <w:r>
        <w:rPr>
          <w:spacing w:val="-3"/>
          <w:sz w:val="18"/>
        </w:rPr>
        <w:t xml:space="preserve"> </w:t>
      </w:r>
      <w:r>
        <w:rPr>
          <w:sz w:val="18"/>
        </w:rPr>
        <w:t>Considerations</w:t>
      </w:r>
      <w:r>
        <w:rPr>
          <w:spacing w:val="-3"/>
          <w:sz w:val="18"/>
        </w:rPr>
        <w:t xml:space="preserve"> </w:t>
      </w:r>
      <w:r>
        <w:rPr>
          <w:sz w:val="18"/>
        </w:rPr>
        <w:t>for</w:t>
      </w:r>
      <w:r>
        <w:rPr>
          <w:spacing w:val="-3"/>
          <w:sz w:val="18"/>
        </w:rPr>
        <w:t xml:space="preserve"> </w:t>
      </w:r>
      <w:r>
        <w:rPr>
          <w:sz w:val="18"/>
        </w:rPr>
        <w:t>Transgender</w:t>
      </w:r>
      <w:r>
        <w:rPr>
          <w:spacing w:val="-3"/>
          <w:sz w:val="18"/>
        </w:rPr>
        <w:t xml:space="preserve"> </w:t>
      </w:r>
      <w:r>
        <w:rPr>
          <w:sz w:val="18"/>
        </w:rPr>
        <w:t>and</w:t>
      </w:r>
      <w:r>
        <w:rPr>
          <w:spacing w:val="-3"/>
          <w:sz w:val="18"/>
        </w:rPr>
        <w:t xml:space="preserve"> </w:t>
      </w:r>
      <w:r>
        <w:rPr>
          <w:sz w:val="18"/>
        </w:rPr>
        <w:t xml:space="preserve">Gender Expansive Adolescents,” </w:t>
      </w:r>
      <w:r>
        <w:rPr>
          <w:i/>
          <w:sz w:val="18"/>
        </w:rPr>
        <w:t xml:space="preserve">Frontiers in Reproductive Health </w:t>
      </w:r>
      <w:r>
        <w:rPr>
          <w:sz w:val="18"/>
        </w:rPr>
        <w:t xml:space="preserve">3 (2021), </w:t>
      </w:r>
      <w:hyperlink r:id="rId435">
        <w:r>
          <w:rPr>
            <w:color w:val="0562C1"/>
            <w:spacing w:val="-2"/>
            <w:sz w:val="18"/>
            <w:u w:val="single" w:color="0562C1"/>
          </w:rPr>
          <w:t>https://www.frontiersin.org/articles/10.3389/frph.2021.670919</w:t>
        </w:r>
        <w:r>
          <w:rPr>
            <w:spacing w:val="-2"/>
            <w:sz w:val="18"/>
          </w:rPr>
          <w:t>.</w:t>
        </w:r>
      </w:hyperlink>
    </w:p>
    <w:p w:rsidR="00200FDA" w:rsidRDefault="00F76C4C">
      <w:pPr>
        <w:ind w:left="140" w:right="471" w:hanging="1"/>
        <w:rPr>
          <w:sz w:val="18"/>
        </w:rPr>
      </w:pPr>
      <w:bookmarkStart w:id="609" w:name="_bookmark460"/>
      <w:bookmarkEnd w:id="609"/>
      <w:r>
        <w:rPr>
          <w:position w:val="5"/>
          <w:sz w:val="12"/>
        </w:rPr>
        <w:t>14</w:t>
      </w:r>
      <w:r>
        <w:rPr>
          <w:spacing w:val="10"/>
          <w:position w:val="5"/>
          <w:sz w:val="12"/>
        </w:rPr>
        <w:t xml:space="preserve"> </w:t>
      </w:r>
      <w:r>
        <w:rPr>
          <w:sz w:val="18"/>
        </w:rPr>
        <w:t>Beth</w:t>
      </w:r>
      <w:r>
        <w:rPr>
          <w:spacing w:val="-3"/>
          <w:sz w:val="18"/>
        </w:rPr>
        <w:t xml:space="preserve"> </w:t>
      </w:r>
      <w:r>
        <w:rPr>
          <w:sz w:val="18"/>
        </w:rPr>
        <w:t>I.</w:t>
      </w:r>
      <w:r>
        <w:rPr>
          <w:spacing w:val="-2"/>
          <w:sz w:val="18"/>
        </w:rPr>
        <w:t xml:space="preserve"> </w:t>
      </w:r>
      <w:r>
        <w:rPr>
          <w:sz w:val="18"/>
        </w:rPr>
        <w:t>Schwartz</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“Experiences</w:t>
      </w:r>
      <w:r>
        <w:rPr>
          <w:spacing w:val="-3"/>
          <w:sz w:val="18"/>
        </w:rPr>
        <w:t xml:space="preserve"> </w:t>
      </w:r>
      <w:r>
        <w:rPr>
          <w:sz w:val="18"/>
        </w:rPr>
        <w:t>with</w:t>
      </w:r>
      <w:r>
        <w:rPr>
          <w:spacing w:val="-3"/>
          <w:sz w:val="18"/>
        </w:rPr>
        <w:t xml:space="preserve"> </w:t>
      </w:r>
      <w:r>
        <w:rPr>
          <w:sz w:val="18"/>
        </w:rPr>
        <w:t>Menses</w:t>
      </w:r>
      <w:r>
        <w:rPr>
          <w:spacing w:val="-1"/>
          <w:sz w:val="18"/>
        </w:rPr>
        <w:t xml:space="preserve"> </w:t>
      </w:r>
      <w:r>
        <w:rPr>
          <w:sz w:val="18"/>
        </w:rPr>
        <w:t>in</w:t>
      </w:r>
      <w:r>
        <w:rPr>
          <w:spacing w:val="-3"/>
          <w:sz w:val="18"/>
        </w:rPr>
        <w:t xml:space="preserve"> </w:t>
      </w:r>
      <w:r>
        <w:rPr>
          <w:sz w:val="18"/>
        </w:rPr>
        <w:t>Transgender and</w:t>
      </w:r>
      <w:r>
        <w:rPr>
          <w:spacing w:val="-3"/>
          <w:sz w:val="18"/>
        </w:rPr>
        <w:t xml:space="preserve"> </w:t>
      </w:r>
      <w:r>
        <w:rPr>
          <w:sz w:val="18"/>
        </w:rPr>
        <w:t>Gender</w:t>
      </w:r>
      <w:r>
        <w:rPr>
          <w:spacing w:val="-3"/>
          <w:sz w:val="18"/>
        </w:rPr>
        <w:t xml:space="preserve"> </w:t>
      </w:r>
      <w:r>
        <w:rPr>
          <w:sz w:val="18"/>
        </w:rPr>
        <w:t>Nonbinary</w:t>
      </w:r>
      <w:r>
        <w:rPr>
          <w:spacing w:val="-2"/>
          <w:sz w:val="18"/>
        </w:rPr>
        <w:t xml:space="preserve"> </w:t>
      </w:r>
      <w:r>
        <w:rPr>
          <w:sz w:val="18"/>
        </w:rPr>
        <w:t>Adolescents,”</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Pediatric</w:t>
      </w:r>
      <w:r>
        <w:rPr>
          <w:i/>
          <w:sz w:val="18"/>
        </w:rPr>
        <w:t xml:space="preserve"> and Adolescent Gynecology </w:t>
      </w:r>
      <w:r>
        <w:rPr>
          <w:sz w:val="18"/>
        </w:rPr>
        <w:t xml:space="preserve">35, no. 4 (August 2022): 450–56, </w:t>
      </w:r>
      <w:hyperlink r:id="rId436">
        <w:r>
          <w:rPr>
            <w:color w:val="0562C1"/>
            <w:sz w:val="18"/>
            <w:u w:val="single" w:color="0562C1"/>
          </w:rPr>
          <w:t>https://doi.org/10.1016/j.jpag.2022.01.015</w:t>
        </w:r>
        <w:r>
          <w:rPr>
            <w:sz w:val="18"/>
          </w:rPr>
          <w:t>.</w:t>
        </w:r>
      </w:hyperlink>
    </w:p>
    <w:p w:rsidR="00200FDA" w:rsidRDefault="00F76C4C">
      <w:pPr>
        <w:ind w:left="140" w:hanging="1"/>
        <w:rPr>
          <w:sz w:val="18"/>
        </w:rPr>
      </w:pPr>
      <w:bookmarkStart w:id="610" w:name="_bookmark461"/>
      <w:bookmarkEnd w:id="610"/>
      <w:r>
        <w:rPr>
          <w:position w:val="5"/>
          <w:sz w:val="12"/>
        </w:rPr>
        <w:t>15</w:t>
      </w:r>
      <w:r>
        <w:rPr>
          <w:spacing w:val="10"/>
          <w:position w:val="5"/>
          <w:sz w:val="12"/>
        </w:rPr>
        <w:t xml:space="preserve"> </w:t>
      </w:r>
      <w:r>
        <w:rPr>
          <w:sz w:val="18"/>
        </w:rPr>
        <w:t>Molly</w:t>
      </w:r>
      <w:r>
        <w:rPr>
          <w:spacing w:val="-2"/>
          <w:sz w:val="18"/>
        </w:rPr>
        <w:t xml:space="preserve"> </w:t>
      </w:r>
      <w:r>
        <w:rPr>
          <w:sz w:val="18"/>
        </w:rPr>
        <w:t>B.</w:t>
      </w:r>
      <w:r>
        <w:rPr>
          <w:spacing w:val="-2"/>
          <w:sz w:val="18"/>
        </w:rPr>
        <w:t xml:space="preserve"> </w:t>
      </w:r>
      <w:r>
        <w:rPr>
          <w:sz w:val="18"/>
        </w:rPr>
        <w:t>Moravek,</w:t>
      </w:r>
      <w:r>
        <w:rPr>
          <w:spacing w:val="-2"/>
          <w:sz w:val="18"/>
        </w:rPr>
        <w:t xml:space="preserve"> </w:t>
      </w:r>
      <w:r>
        <w:rPr>
          <w:sz w:val="18"/>
        </w:rPr>
        <w:t>“Gender-Affirming</w:t>
      </w:r>
      <w:r>
        <w:rPr>
          <w:spacing w:val="-3"/>
          <w:sz w:val="18"/>
        </w:rPr>
        <w:t xml:space="preserve"> </w:t>
      </w:r>
      <w:r>
        <w:rPr>
          <w:sz w:val="18"/>
        </w:rPr>
        <w:t>Hormone</w:t>
      </w:r>
      <w:r>
        <w:rPr>
          <w:spacing w:val="-3"/>
          <w:sz w:val="18"/>
        </w:rPr>
        <w:t xml:space="preserve"> </w:t>
      </w:r>
      <w:r>
        <w:rPr>
          <w:sz w:val="18"/>
        </w:rPr>
        <w:t>Therapy</w:t>
      </w:r>
      <w:r>
        <w:rPr>
          <w:spacing w:val="-2"/>
          <w:sz w:val="18"/>
        </w:rPr>
        <w:t xml:space="preserve"> </w:t>
      </w:r>
      <w:r>
        <w:rPr>
          <w:sz w:val="18"/>
        </w:rPr>
        <w:t>for</w:t>
      </w:r>
      <w:r>
        <w:rPr>
          <w:spacing w:val="-3"/>
          <w:sz w:val="18"/>
        </w:rPr>
        <w:t xml:space="preserve"> </w:t>
      </w:r>
      <w:r>
        <w:rPr>
          <w:sz w:val="18"/>
        </w:rPr>
        <w:t>Transgender</w:t>
      </w:r>
      <w:r>
        <w:rPr>
          <w:spacing w:val="-3"/>
          <w:sz w:val="18"/>
        </w:rPr>
        <w:t xml:space="preserve"> </w:t>
      </w:r>
      <w:r>
        <w:rPr>
          <w:sz w:val="18"/>
        </w:rPr>
        <w:t>Men,”</w:t>
      </w:r>
      <w:r>
        <w:rPr>
          <w:spacing w:val="-3"/>
          <w:sz w:val="18"/>
        </w:rPr>
        <w:t xml:space="preserve"> </w:t>
      </w:r>
      <w:r>
        <w:rPr>
          <w:i/>
          <w:sz w:val="18"/>
        </w:rPr>
        <w:t>Clinical</w:t>
      </w:r>
      <w:r>
        <w:rPr>
          <w:i/>
          <w:spacing w:val="-3"/>
          <w:sz w:val="18"/>
        </w:rPr>
        <w:t xml:space="preserve"> </w:t>
      </w:r>
      <w:r>
        <w:rPr>
          <w:i/>
          <w:sz w:val="18"/>
        </w:rPr>
        <w:t>Obst</w:t>
      </w:r>
      <w:r>
        <w:rPr>
          <w:i/>
          <w:sz w:val="18"/>
        </w:rPr>
        <w:t>etrics</w:t>
      </w:r>
      <w:r>
        <w:rPr>
          <w:i/>
          <w:spacing w:val="-1"/>
          <w:sz w:val="18"/>
        </w:rPr>
        <w:t xml:space="preserve"> </w:t>
      </w:r>
      <w:r>
        <w:rPr>
          <w:i/>
          <w:sz w:val="18"/>
        </w:rPr>
        <w:t>&amp;</w:t>
      </w:r>
      <w:r>
        <w:rPr>
          <w:i/>
          <w:spacing w:val="-3"/>
          <w:sz w:val="18"/>
        </w:rPr>
        <w:t xml:space="preserve"> </w:t>
      </w:r>
      <w:r>
        <w:rPr>
          <w:i/>
          <w:sz w:val="18"/>
        </w:rPr>
        <w:t>Gynecology</w:t>
      </w:r>
      <w:r>
        <w:rPr>
          <w:i/>
          <w:spacing w:val="-2"/>
          <w:sz w:val="18"/>
        </w:rPr>
        <w:t xml:space="preserve"> </w:t>
      </w:r>
      <w:r>
        <w:rPr>
          <w:sz w:val="18"/>
        </w:rPr>
        <w:t>61,</w:t>
      </w:r>
      <w:r>
        <w:rPr>
          <w:spacing w:val="-2"/>
          <w:sz w:val="18"/>
        </w:rPr>
        <w:t xml:space="preserve"> </w:t>
      </w:r>
      <w:r>
        <w:rPr>
          <w:sz w:val="18"/>
        </w:rPr>
        <w:t>no.</w:t>
      </w:r>
      <w:r>
        <w:rPr>
          <w:spacing w:val="-2"/>
          <w:sz w:val="18"/>
        </w:rPr>
        <w:t xml:space="preserve"> </w:t>
      </w:r>
      <w:r>
        <w:rPr>
          <w:sz w:val="18"/>
        </w:rPr>
        <w:t xml:space="preserve">4 (December 2018): 687–704, </w:t>
      </w:r>
      <w:hyperlink r:id="rId437">
        <w:r>
          <w:rPr>
            <w:color w:val="0562C1"/>
            <w:sz w:val="18"/>
            <w:u w:val="single" w:color="0562C1"/>
          </w:rPr>
          <w:t>https://doi.org/10.1097/GRF.0000000000000398</w:t>
        </w:r>
        <w:r>
          <w:rPr>
            <w:sz w:val="18"/>
          </w:rPr>
          <w:t>.</w:t>
        </w:r>
      </w:hyperlink>
    </w:p>
    <w:p w:rsidR="00200FDA" w:rsidRDefault="00F76C4C">
      <w:pPr>
        <w:spacing w:before="1"/>
        <w:ind w:left="140" w:right="1881" w:hanging="1"/>
        <w:rPr>
          <w:sz w:val="18"/>
        </w:rPr>
      </w:pPr>
      <w:bookmarkStart w:id="611" w:name="_bookmark462"/>
      <w:bookmarkEnd w:id="611"/>
      <w:r>
        <w:rPr>
          <w:position w:val="5"/>
          <w:sz w:val="12"/>
        </w:rPr>
        <w:t>16</w:t>
      </w:r>
      <w:r>
        <w:rPr>
          <w:spacing w:val="9"/>
          <w:position w:val="5"/>
          <w:sz w:val="12"/>
        </w:rPr>
        <w:t xml:space="preserve"> </w:t>
      </w:r>
      <w:r>
        <w:rPr>
          <w:sz w:val="18"/>
        </w:rPr>
        <w:t>“Menstrual</w:t>
      </w:r>
      <w:r>
        <w:rPr>
          <w:spacing w:val="-2"/>
          <w:sz w:val="18"/>
        </w:rPr>
        <w:t xml:space="preserve"> </w:t>
      </w:r>
      <w:r>
        <w:rPr>
          <w:sz w:val="18"/>
        </w:rPr>
        <w:t>Access</w:t>
      </w:r>
      <w:r>
        <w:rPr>
          <w:spacing w:val="-4"/>
          <w:sz w:val="18"/>
        </w:rPr>
        <w:t xml:space="preserve"> </w:t>
      </w:r>
      <w:r>
        <w:rPr>
          <w:sz w:val="18"/>
        </w:rPr>
        <w:t>Advocacy</w:t>
      </w:r>
      <w:r>
        <w:rPr>
          <w:spacing w:val="-3"/>
          <w:sz w:val="18"/>
        </w:rPr>
        <w:t xml:space="preserve"> </w:t>
      </w:r>
      <w:r>
        <w:rPr>
          <w:sz w:val="18"/>
        </w:rPr>
        <w:t>Project</w:t>
      </w:r>
      <w:r>
        <w:rPr>
          <w:spacing w:val="-4"/>
          <w:sz w:val="18"/>
        </w:rPr>
        <w:t xml:space="preserve"> </w:t>
      </w:r>
      <w:r>
        <w:rPr>
          <w:sz w:val="18"/>
        </w:rPr>
        <w:t>–</w:t>
      </w:r>
      <w:r>
        <w:rPr>
          <w:spacing w:val="-4"/>
          <w:sz w:val="18"/>
        </w:rPr>
        <w:t xml:space="preserve"> </w:t>
      </w:r>
      <w:r>
        <w:rPr>
          <w:sz w:val="18"/>
        </w:rPr>
        <w:t>YWCA</w:t>
      </w:r>
      <w:r>
        <w:rPr>
          <w:spacing w:val="-4"/>
          <w:sz w:val="18"/>
        </w:rPr>
        <w:t xml:space="preserve"> </w:t>
      </w:r>
      <w:r>
        <w:rPr>
          <w:sz w:val="18"/>
        </w:rPr>
        <w:t>Southeastern</w:t>
      </w:r>
      <w:r>
        <w:rPr>
          <w:spacing w:val="-4"/>
          <w:sz w:val="18"/>
        </w:rPr>
        <w:t xml:space="preserve"> </w:t>
      </w:r>
      <w:r>
        <w:rPr>
          <w:sz w:val="18"/>
        </w:rPr>
        <w:t>Massachusetts,”</w:t>
      </w:r>
      <w:r>
        <w:rPr>
          <w:spacing w:val="-4"/>
          <w:sz w:val="18"/>
        </w:rPr>
        <w:t xml:space="preserve"> </w:t>
      </w:r>
      <w:r>
        <w:rPr>
          <w:sz w:val="18"/>
        </w:rPr>
        <w:t>accessed</w:t>
      </w:r>
      <w:r>
        <w:rPr>
          <w:spacing w:val="-4"/>
          <w:sz w:val="18"/>
        </w:rPr>
        <w:t xml:space="preserve"> </w:t>
      </w:r>
      <w:r>
        <w:rPr>
          <w:sz w:val="18"/>
        </w:rPr>
        <w:t>December</w:t>
      </w:r>
      <w:r>
        <w:rPr>
          <w:spacing w:val="-4"/>
          <w:sz w:val="18"/>
        </w:rPr>
        <w:t xml:space="preserve"> </w:t>
      </w:r>
      <w:r>
        <w:rPr>
          <w:sz w:val="18"/>
        </w:rPr>
        <w:t xml:space="preserve">4, 2022, </w:t>
      </w:r>
      <w:hyperlink r:id="rId438">
        <w:r>
          <w:rPr>
            <w:color w:val="0562C1"/>
            <w:spacing w:val="-2"/>
            <w:sz w:val="18"/>
            <w:u w:val="single" w:color="0562C1"/>
          </w:rPr>
          <w:t>https://ywcasema.org/menstrual-access-advocacy-project/</w:t>
        </w:r>
        <w:r>
          <w:rPr>
            <w:spacing w:val="-2"/>
            <w:sz w:val="18"/>
          </w:rPr>
          <w:t>.</w:t>
        </w:r>
      </w:hyperlink>
    </w:p>
    <w:p w:rsidR="00200FDA" w:rsidRDefault="00F76C4C">
      <w:pPr>
        <w:ind w:left="140" w:right="471" w:hanging="1"/>
        <w:rPr>
          <w:sz w:val="18"/>
        </w:rPr>
      </w:pPr>
      <w:bookmarkStart w:id="612" w:name="_bookmark463"/>
      <w:bookmarkEnd w:id="612"/>
      <w:r>
        <w:rPr>
          <w:position w:val="5"/>
          <w:sz w:val="12"/>
        </w:rPr>
        <w:t>17</w:t>
      </w:r>
      <w:r>
        <w:rPr>
          <w:spacing w:val="10"/>
          <w:position w:val="5"/>
          <w:sz w:val="12"/>
        </w:rPr>
        <w:t xml:space="preserve"> </w:t>
      </w:r>
      <w:r>
        <w:rPr>
          <w:sz w:val="18"/>
        </w:rPr>
        <w:t>James,</w:t>
      </w:r>
      <w:r>
        <w:rPr>
          <w:spacing w:val="-2"/>
          <w:sz w:val="18"/>
        </w:rPr>
        <w:t xml:space="preserve"> </w:t>
      </w:r>
      <w:r>
        <w:rPr>
          <w:sz w:val="18"/>
        </w:rPr>
        <w:t>S.</w:t>
      </w:r>
      <w:r>
        <w:rPr>
          <w:spacing w:val="-2"/>
          <w:sz w:val="18"/>
        </w:rPr>
        <w:t xml:space="preserve"> </w:t>
      </w:r>
      <w:r>
        <w:rPr>
          <w:sz w:val="18"/>
        </w:rPr>
        <w:t>E.,</w:t>
      </w:r>
      <w:r>
        <w:rPr>
          <w:spacing w:val="-2"/>
          <w:sz w:val="18"/>
        </w:rPr>
        <w:t xml:space="preserve"> </w:t>
      </w:r>
      <w:r>
        <w:rPr>
          <w:sz w:val="18"/>
        </w:rPr>
        <w:t>Herman,</w:t>
      </w:r>
      <w:r>
        <w:rPr>
          <w:spacing w:val="-2"/>
          <w:sz w:val="18"/>
        </w:rPr>
        <w:t xml:space="preserve"> </w:t>
      </w:r>
      <w:r>
        <w:rPr>
          <w:sz w:val="18"/>
        </w:rPr>
        <w:t>J.</w:t>
      </w:r>
      <w:r>
        <w:rPr>
          <w:spacing w:val="-2"/>
          <w:sz w:val="18"/>
        </w:rPr>
        <w:t xml:space="preserve"> </w:t>
      </w:r>
      <w:r>
        <w:rPr>
          <w:sz w:val="18"/>
        </w:rPr>
        <w:t>L.,</w:t>
      </w:r>
      <w:r>
        <w:rPr>
          <w:spacing w:val="-4"/>
          <w:sz w:val="18"/>
        </w:rPr>
        <w:t xml:space="preserve"> </w:t>
      </w:r>
      <w:r>
        <w:rPr>
          <w:sz w:val="18"/>
        </w:rPr>
        <w:t>Rankin,</w:t>
      </w:r>
      <w:r>
        <w:rPr>
          <w:spacing w:val="-2"/>
          <w:sz w:val="18"/>
        </w:rPr>
        <w:t xml:space="preserve"> </w:t>
      </w:r>
      <w:r>
        <w:rPr>
          <w:sz w:val="18"/>
        </w:rPr>
        <w:t>S.,</w:t>
      </w:r>
      <w:r>
        <w:rPr>
          <w:spacing w:val="-2"/>
          <w:sz w:val="18"/>
        </w:rPr>
        <w:t xml:space="preserve"> </w:t>
      </w:r>
      <w:r>
        <w:rPr>
          <w:sz w:val="18"/>
        </w:rPr>
        <w:t>Keisling,</w:t>
      </w:r>
      <w:r>
        <w:rPr>
          <w:spacing w:val="-2"/>
          <w:sz w:val="18"/>
        </w:rPr>
        <w:t xml:space="preserve"> </w:t>
      </w:r>
      <w:r>
        <w:rPr>
          <w:sz w:val="18"/>
        </w:rPr>
        <w:t>M.,</w:t>
      </w:r>
      <w:r>
        <w:rPr>
          <w:spacing w:val="-2"/>
          <w:sz w:val="18"/>
        </w:rPr>
        <w:t xml:space="preserve"> </w:t>
      </w:r>
      <w:r>
        <w:rPr>
          <w:sz w:val="18"/>
        </w:rPr>
        <w:t>Mottet,</w:t>
      </w:r>
      <w:r>
        <w:rPr>
          <w:spacing w:val="-2"/>
          <w:sz w:val="18"/>
        </w:rPr>
        <w:t xml:space="preserve"> </w:t>
      </w:r>
      <w:r>
        <w:rPr>
          <w:sz w:val="18"/>
        </w:rPr>
        <w:t>L.,</w:t>
      </w:r>
      <w:r>
        <w:rPr>
          <w:spacing w:val="-2"/>
          <w:sz w:val="18"/>
        </w:rPr>
        <w:t xml:space="preserve"> </w:t>
      </w:r>
      <w:r>
        <w:rPr>
          <w:sz w:val="18"/>
        </w:rPr>
        <w:t>&amp;</w:t>
      </w:r>
      <w:r>
        <w:rPr>
          <w:spacing w:val="-3"/>
          <w:sz w:val="18"/>
        </w:rPr>
        <w:t xml:space="preserve"> </w:t>
      </w:r>
      <w:r>
        <w:rPr>
          <w:sz w:val="18"/>
        </w:rPr>
        <w:t>Anafi,</w:t>
      </w:r>
      <w:r>
        <w:rPr>
          <w:spacing w:val="-2"/>
          <w:sz w:val="18"/>
        </w:rPr>
        <w:t xml:space="preserve"> </w:t>
      </w:r>
      <w:r>
        <w:rPr>
          <w:sz w:val="18"/>
        </w:rPr>
        <w:t>M.</w:t>
      </w:r>
      <w:r>
        <w:rPr>
          <w:spacing w:val="-2"/>
          <w:sz w:val="18"/>
        </w:rPr>
        <w:t xml:space="preserve"> </w:t>
      </w:r>
      <w:r>
        <w:rPr>
          <w:sz w:val="18"/>
        </w:rPr>
        <w:t>(2016).</w:t>
      </w:r>
      <w:r>
        <w:rPr>
          <w:spacing w:val="-2"/>
          <w:sz w:val="18"/>
        </w:rPr>
        <w:t xml:space="preserve"> </w:t>
      </w:r>
      <w:r>
        <w:rPr>
          <w:sz w:val="18"/>
        </w:rPr>
        <w:t>Executive</w:t>
      </w:r>
      <w:r>
        <w:rPr>
          <w:spacing w:val="-3"/>
          <w:sz w:val="18"/>
        </w:rPr>
        <w:t xml:space="preserve"> </w:t>
      </w:r>
      <w:r>
        <w:rPr>
          <w:sz w:val="18"/>
        </w:rPr>
        <w:t>Summar</w:t>
      </w:r>
      <w:r>
        <w:rPr>
          <w:sz w:val="18"/>
        </w:rPr>
        <w:t>y</w:t>
      </w:r>
      <w:r>
        <w:rPr>
          <w:spacing w:val="-2"/>
          <w:sz w:val="18"/>
        </w:rPr>
        <w:t xml:space="preserve"> </w:t>
      </w:r>
      <w:r>
        <w:rPr>
          <w:sz w:val="18"/>
        </w:rPr>
        <w:t>of</w:t>
      </w:r>
      <w:r>
        <w:rPr>
          <w:spacing w:val="-2"/>
          <w:sz w:val="18"/>
        </w:rPr>
        <w:t xml:space="preserve"> </w:t>
      </w:r>
      <w:r>
        <w:rPr>
          <w:sz w:val="18"/>
        </w:rPr>
        <w:t>the</w:t>
      </w:r>
      <w:r>
        <w:rPr>
          <w:spacing w:val="-3"/>
          <w:sz w:val="18"/>
        </w:rPr>
        <w:t xml:space="preserve"> </w:t>
      </w:r>
      <w:r>
        <w:rPr>
          <w:sz w:val="18"/>
        </w:rPr>
        <w:t>Report</w:t>
      </w:r>
      <w:r>
        <w:rPr>
          <w:spacing w:val="-3"/>
          <w:sz w:val="18"/>
        </w:rPr>
        <w:t xml:space="preserve"> </w:t>
      </w:r>
      <w:r>
        <w:rPr>
          <w:sz w:val="18"/>
        </w:rPr>
        <w:t>of</w:t>
      </w:r>
      <w:r>
        <w:rPr>
          <w:spacing w:val="-2"/>
          <w:sz w:val="18"/>
        </w:rPr>
        <w:t xml:space="preserve"> </w:t>
      </w:r>
      <w:r>
        <w:rPr>
          <w:sz w:val="18"/>
        </w:rPr>
        <w:t>the 2015 U.S. Transgender Survey. Washington, DC: National Center for Transgender Equality.</w:t>
      </w:r>
    </w:p>
    <w:p w:rsidR="00200FDA" w:rsidRDefault="00F76C4C">
      <w:pPr>
        <w:ind w:left="140" w:right="471"/>
        <w:rPr>
          <w:sz w:val="18"/>
        </w:rPr>
      </w:pPr>
      <w:bookmarkStart w:id="613" w:name="_bookmark464"/>
      <w:bookmarkEnd w:id="613"/>
      <w:r>
        <w:rPr>
          <w:position w:val="5"/>
          <w:sz w:val="12"/>
        </w:rPr>
        <w:t>18</w:t>
      </w:r>
      <w:r>
        <w:rPr>
          <w:spacing w:val="-2"/>
          <w:position w:val="5"/>
          <w:sz w:val="12"/>
        </w:rPr>
        <w:t xml:space="preserve"> </w:t>
      </w:r>
      <w:hyperlink r:id="rId439">
        <w:r>
          <w:rPr>
            <w:color w:val="0562C1"/>
            <w:sz w:val="18"/>
            <w:u w:val="single" w:color="0562C1"/>
          </w:rPr>
          <w:t>https://www.aclu.org/news/lgbtq-rights/menstruation-related-discrimination</w:t>
        </w:r>
        <w:r>
          <w:rPr>
            <w:color w:val="0562C1"/>
            <w:sz w:val="18"/>
            <w:u w:val="single" w:color="0562C1"/>
          </w:rPr>
          <w:t>-is-sex-discrimination-we-dont-need-to-erase-</w:t>
        </w:r>
      </w:hyperlink>
      <w:r>
        <w:rPr>
          <w:color w:val="0562C1"/>
          <w:sz w:val="18"/>
        </w:rPr>
        <w:t xml:space="preserve"> </w:t>
      </w:r>
      <w:hyperlink r:id="rId440">
        <w:r>
          <w:rPr>
            <w:color w:val="0562C1"/>
            <w:spacing w:val="-2"/>
            <w:sz w:val="18"/>
            <w:u w:val="single" w:color="0562C1"/>
          </w:rPr>
          <w:t>trans-or-non-binary-people-to-make-that-point</w:t>
        </w:r>
      </w:hyperlink>
    </w:p>
    <w:p w:rsidR="00200FDA" w:rsidRDefault="00F76C4C">
      <w:pPr>
        <w:spacing w:line="219" w:lineRule="exact"/>
        <w:ind w:left="140"/>
        <w:rPr>
          <w:sz w:val="18"/>
        </w:rPr>
      </w:pPr>
      <w:bookmarkStart w:id="614" w:name="_bookmark465"/>
      <w:bookmarkEnd w:id="614"/>
      <w:r>
        <w:rPr>
          <w:position w:val="5"/>
          <w:sz w:val="12"/>
        </w:rPr>
        <w:t>19</w:t>
      </w:r>
      <w:r>
        <w:rPr>
          <w:spacing w:val="10"/>
          <w:position w:val="5"/>
          <w:sz w:val="12"/>
        </w:rPr>
        <w:t xml:space="preserve"> </w:t>
      </w:r>
      <w:r>
        <w:rPr>
          <w:sz w:val="18"/>
        </w:rPr>
        <w:t>Barbara</w:t>
      </w:r>
      <w:r>
        <w:rPr>
          <w:spacing w:val="-2"/>
          <w:sz w:val="18"/>
        </w:rPr>
        <w:t xml:space="preserve"> </w:t>
      </w:r>
      <w:r>
        <w:rPr>
          <w:sz w:val="18"/>
        </w:rPr>
        <w:t>K.</w:t>
      </w:r>
      <w:r>
        <w:rPr>
          <w:spacing w:val="-1"/>
          <w:sz w:val="18"/>
        </w:rPr>
        <w:t xml:space="preserve"> </w:t>
      </w:r>
      <w:r>
        <w:rPr>
          <w:sz w:val="18"/>
        </w:rPr>
        <w:t>Snyder,</w:t>
      </w:r>
      <w:r>
        <w:rPr>
          <w:spacing w:val="-2"/>
          <w:sz w:val="18"/>
        </w:rPr>
        <w:t xml:space="preserve"> </w:t>
      </w:r>
      <w:r>
        <w:rPr>
          <w:sz w:val="18"/>
        </w:rPr>
        <w:t>Gail</w:t>
      </w:r>
      <w:r>
        <w:rPr>
          <w:spacing w:val="-3"/>
          <w:sz w:val="18"/>
        </w:rPr>
        <w:t xml:space="preserve"> </w:t>
      </w:r>
      <w:r>
        <w:rPr>
          <w:sz w:val="18"/>
        </w:rPr>
        <w:t>D.</w:t>
      </w:r>
      <w:r>
        <w:rPr>
          <w:spacing w:val="-1"/>
          <w:sz w:val="18"/>
        </w:rPr>
        <w:t xml:space="preserve"> </w:t>
      </w:r>
      <w:r>
        <w:rPr>
          <w:sz w:val="18"/>
        </w:rPr>
        <w:t>Burack,</w:t>
      </w:r>
      <w:r>
        <w:rPr>
          <w:spacing w:val="-2"/>
          <w:sz w:val="18"/>
        </w:rPr>
        <w:t xml:space="preserve"> </w:t>
      </w:r>
      <w:r>
        <w:rPr>
          <w:sz w:val="18"/>
        </w:rPr>
        <w:t>and</w:t>
      </w:r>
      <w:r>
        <w:rPr>
          <w:spacing w:val="-3"/>
          <w:sz w:val="18"/>
        </w:rPr>
        <w:t xml:space="preserve"> </w:t>
      </w:r>
      <w:r>
        <w:rPr>
          <w:sz w:val="18"/>
        </w:rPr>
        <w:t>Anna</w:t>
      </w:r>
      <w:r>
        <w:rPr>
          <w:spacing w:val="-2"/>
          <w:sz w:val="18"/>
        </w:rPr>
        <w:t xml:space="preserve"> </w:t>
      </w:r>
      <w:r>
        <w:rPr>
          <w:sz w:val="18"/>
        </w:rPr>
        <w:t>Petrova,</w:t>
      </w:r>
      <w:r>
        <w:rPr>
          <w:spacing w:val="-1"/>
          <w:sz w:val="18"/>
        </w:rPr>
        <w:t xml:space="preserve"> </w:t>
      </w:r>
      <w:r>
        <w:rPr>
          <w:sz w:val="18"/>
        </w:rPr>
        <w:t>“LGBTQ</w:t>
      </w:r>
      <w:r>
        <w:rPr>
          <w:spacing w:val="-3"/>
          <w:sz w:val="18"/>
        </w:rPr>
        <w:t xml:space="preserve"> </w:t>
      </w:r>
      <w:r>
        <w:rPr>
          <w:sz w:val="18"/>
        </w:rPr>
        <w:t>Youth’s</w:t>
      </w:r>
      <w:r>
        <w:rPr>
          <w:spacing w:val="-2"/>
          <w:sz w:val="18"/>
        </w:rPr>
        <w:t xml:space="preserve"> </w:t>
      </w:r>
      <w:r>
        <w:rPr>
          <w:sz w:val="18"/>
        </w:rPr>
        <w:t>Perceptions</w:t>
      </w:r>
      <w:r>
        <w:rPr>
          <w:spacing w:val="-3"/>
          <w:sz w:val="18"/>
        </w:rPr>
        <w:t xml:space="preserve"> </w:t>
      </w:r>
      <w:r>
        <w:rPr>
          <w:sz w:val="18"/>
        </w:rPr>
        <w:t>of</w:t>
      </w:r>
      <w:r>
        <w:rPr>
          <w:spacing w:val="-2"/>
          <w:sz w:val="18"/>
        </w:rPr>
        <w:t xml:space="preserve"> </w:t>
      </w:r>
      <w:r>
        <w:rPr>
          <w:sz w:val="18"/>
        </w:rPr>
        <w:t>Primary</w:t>
      </w:r>
      <w:r>
        <w:rPr>
          <w:spacing w:val="-1"/>
          <w:sz w:val="18"/>
        </w:rPr>
        <w:t xml:space="preserve"> </w:t>
      </w:r>
      <w:r>
        <w:rPr>
          <w:spacing w:val="-2"/>
          <w:sz w:val="18"/>
        </w:rPr>
        <w:t>Care,”</w:t>
      </w:r>
    </w:p>
    <w:p w:rsidR="00200FDA" w:rsidRDefault="00F76C4C">
      <w:pPr>
        <w:ind w:left="140" w:hanging="1"/>
        <w:rPr>
          <w:sz w:val="18"/>
        </w:rPr>
      </w:pPr>
      <w:bookmarkStart w:id="615" w:name="_bookmark466"/>
      <w:bookmarkEnd w:id="615"/>
      <w:r>
        <w:rPr>
          <w:position w:val="5"/>
          <w:sz w:val="12"/>
        </w:rPr>
        <w:t>20</w:t>
      </w:r>
      <w:r>
        <w:rPr>
          <w:spacing w:val="9"/>
          <w:position w:val="5"/>
          <w:sz w:val="12"/>
        </w:rPr>
        <w:t xml:space="preserve"> </w:t>
      </w:r>
      <w:r>
        <w:rPr>
          <w:sz w:val="18"/>
        </w:rPr>
        <w:t>Jamie</w:t>
      </w:r>
      <w:r>
        <w:rPr>
          <w:spacing w:val="-4"/>
          <w:sz w:val="18"/>
        </w:rPr>
        <w:t xml:space="preserve"> </w:t>
      </w:r>
      <w:r>
        <w:rPr>
          <w:sz w:val="18"/>
        </w:rPr>
        <w:t>Mehringer</w:t>
      </w:r>
      <w:r>
        <w:rPr>
          <w:spacing w:val="-4"/>
          <w:sz w:val="18"/>
        </w:rPr>
        <w:t xml:space="preserve"> </w:t>
      </w:r>
      <w:r>
        <w:rPr>
          <w:sz w:val="18"/>
        </w:rPr>
        <w:t>and</w:t>
      </w:r>
      <w:r>
        <w:rPr>
          <w:spacing w:val="-2"/>
          <w:sz w:val="18"/>
        </w:rPr>
        <w:t xml:space="preserve"> </w:t>
      </w:r>
      <w:r>
        <w:rPr>
          <w:sz w:val="18"/>
        </w:rPr>
        <w:t>Nadia</w:t>
      </w:r>
      <w:r>
        <w:rPr>
          <w:spacing w:val="-3"/>
          <w:sz w:val="18"/>
        </w:rPr>
        <w:t xml:space="preserve"> </w:t>
      </w:r>
      <w:r>
        <w:rPr>
          <w:sz w:val="18"/>
        </w:rPr>
        <w:t>L.</w:t>
      </w:r>
      <w:r>
        <w:rPr>
          <w:spacing w:val="-3"/>
          <w:sz w:val="18"/>
        </w:rPr>
        <w:t xml:space="preserve"> </w:t>
      </w:r>
      <w:r>
        <w:rPr>
          <w:sz w:val="18"/>
        </w:rPr>
        <w:t>Dowshen,</w:t>
      </w:r>
      <w:r>
        <w:rPr>
          <w:spacing w:val="-3"/>
          <w:sz w:val="18"/>
        </w:rPr>
        <w:t xml:space="preserve"> </w:t>
      </w:r>
      <w:r>
        <w:rPr>
          <w:sz w:val="18"/>
        </w:rPr>
        <w:t>“Sexual</w:t>
      </w:r>
      <w:r>
        <w:rPr>
          <w:spacing w:val="-4"/>
          <w:sz w:val="18"/>
        </w:rPr>
        <w:t xml:space="preserve"> </w:t>
      </w:r>
      <w:r>
        <w:rPr>
          <w:sz w:val="18"/>
        </w:rPr>
        <w:t>and</w:t>
      </w:r>
      <w:r>
        <w:rPr>
          <w:spacing w:val="-4"/>
          <w:sz w:val="18"/>
        </w:rPr>
        <w:t xml:space="preserve"> </w:t>
      </w:r>
      <w:r>
        <w:rPr>
          <w:sz w:val="18"/>
        </w:rPr>
        <w:t>Reproductive</w:t>
      </w:r>
      <w:r>
        <w:rPr>
          <w:spacing w:val="-4"/>
          <w:sz w:val="18"/>
        </w:rPr>
        <w:t xml:space="preserve"> </w:t>
      </w:r>
      <w:r>
        <w:rPr>
          <w:sz w:val="18"/>
        </w:rPr>
        <w:t>Health</w:t>
      </w:r>
      <w:r>
        <w:rPr>
          <w:spacing w:val="-4"/>
          <w:sz w:val="18"/>
        </w:rPr>
        <w:t xml:space="preserve"> </w:t>
      </w:r>
      <w:r>
        <w:rPr>
          <w:sz w:val="18"/>
        </w:rPr>
        <w:t>Considerations</w:t>
      </w:r>
      <w:r>
        <w:rPr>
          <w:spacing w:val="-4"/>
          <w:sz w:val="18"/>
        </w:rPr>
        <w:t xml:space="preserve"> </w:t>
      </w:r>
      <w:r>
        <w:rPr>
          <w:sz w:val="18"/>
        </w:rPr>
        <w:t>among</w:t>
      </w:r>
      <w:r>
        <w:rPr>
          <w:spacing w:val="-4"/>
          <w:sz w:val="18"/>
        </w:rPr>
        <w:t xml:space="preserve"> </w:t>
      </w:r>
      <w:r>
        <w:rPr>
          <w:sz w:val="18"/>
        </w:rPr>
        <w:t>Transgender</w:t>
      </w:r>
      <w:r>
        <w:rPr>
          <w:spacing w:val="-4"/>
          <w:sz w:val="18"/>
        </w:rPr>
        <w:t xml:space="preserve"> </w:t>
      </w:r>
      <w:r>
        <w:rPr>
          <w:sz w:val="18"/>
        </w:rPr>
        <w:t>and</w:t>
      </w:r>
      <w:r>
        <w:rPr>
          <w:spacing w:val="-2"/>
          <w:sz w:val="18"/>
        </w:rPr>
        <w:t xml:space="preserve"> </w:t>
      </w:r>
      <w:r>
        <w:rPr>
          <w:sz w:val="18"/>
        </w:rPr>
        <w:t xml:space="preserve">Gender- Expansive Youth,” </w:t>
      </w:r>
      <w:r>
        <w:rPr>
          <w:i/>
          <w:sz w:val="18"/>
        </w:rPr>
        <w:t xml:space="preserve">Current Problems in Pediatric and Adolescent Health Care </w:t>
      </w:r>
      <w:r>
        <w:rPr>
          <w:sz w:val="18"/>
        </w:rPr>
        <w:t xml:space="preserve">49, no. 9 (September 2019): 100684, </w:t>
      </w:r>
      <w:hyperlink r:id="rId441">
        <w:r>
          <w:rPr>
            <w:color w:val="0562C1"/>
            <w:spacing w:val="-2"/>
            <w:sz w:val="18"/>
            <w:u w:val="single" w:color="0562C1"/>
          </w:rPr>
          <w:t>https://doi.org/10.1016/j.cppeds.2019.100684</w:t>
        </w:r>
        <w:r>
          <w:rPr>
            <w:spacing w:val="-2"/>
            <w:sz w:val="18"/>
          </w:rPr>
          <w:t>.</w:t>
        </w:r>
      </w:hyperlink>
    </w:p>
    <w:p w:rsidR="00200FDA" w:rsidRDefault="00F76C4C">
      <w:pPr>
        <w:ind w:left="140"/>
        <w:rPr>
          <w:sz w:val="18"/>
        </w:rPr>
      </w:pPr>
      <w:bookmarkStart w:id="616" w:name="_bookmark467"/>
      <w:bookmarkEnd w:id="616"/>
      <w:r>
        <w:rPr>
          <w:position w:val="5"/>
          <w:sz w:val="12"/>
        </w:rPr>
        <w:t>21</w:t>
      </w:r>
      <w:r>
        <w:rPr>
          <w:spacing w:val="7"/>
          <w:position w:val="5"/>
          <w:sz w:val="12"/>
        </w:rPr>
        <w:t xml:space="preserve"> </w:t>
      </w:r>
      <w:r>
        <w:rPr>
          <w:sz w:val="18"/>
        </w:rPr>
        <w:t>Danielle</w:t>
      </w:r>
      <w:r>
        <w:rPr>
          <w:spacing w:val="-3"/>
          <w:sz w:val="18"/>
        </w:rPr>
        <w:t xml:space="preserve"> </w:t>
      </w:r>
      <w:r>
        <w:rPr>
          <w:sz w:val="18"/>
        </w:rPr>
        <w:t>Boudreau</w:t>
      </w:r>
      <w:r>
        <w:rPr>
          <w:spacing w:val="-3"/>
          <w:sz w:val="18"/>
        </w:rPr>
        <w:t xml:space="preserve"> </w:t>
      </w:r>
      <w:r>
        <w:rPr>
          <w:sz w:val="18"/>
        </w:rPr>
        <w:t>and</w:t>
      </w:r>
      <w:r>
        <w:rPr>
          <w:spacing w:val="-3"/>
          <w:sz w:val="18"/>
        </w:rPr>
        <w:t xml:space="preserve"> </w:t>
      </w:r>
      <w:r>
        <w:rPr>
          <w:sz w:val="18"/>
        </w:rPr>
        <w:t>R</w:t>
      </w:r>
      <w:r>
        <w:rPr>
          <w:sz w:val="18"/>
        </w:rPr>
        <w:t>onica</w:t>
      </w:r>
      <w:r>
        <w:rPr>
          <w:spacing w:val="-2"/>
          <w:sz w:val="18"/>
        </w:rPr>
        <w:t xml:space="preserve"> </w:t>
      </w:r>
      <w:r>
        <w:rPr>
          <w:sz w:val="18"/>
        </w:rPr>
        <w:t>Mukerjee,</w:t>
      </w:r>
      <w:r>
        <w:rPr>
          <w:spacing w:val="-2"/>
          <w:sz w:val="18"/>
        </w:rPr>
        <w:t xml:space="preserve"> </w:t>
      </w:r>
      <w:r>
        <w:rPr>
          <w:sz w:val="18"/>
        </w:rPr>
        <w:t>“Contraception</w:t>
      </w:r>
      <w:r>
        <w:rPr>
          <w:spacing w:val="-3"/>
          <w:sz w:val="18"/>
        </w:rPr>
        <w:t xml:space="preserve"> </w:t>
      </w:r>
      <w:r>
        <w:rPr>
          <w:sz w:val="18"/>
        </w:rPr>
        <w:t>Care</w:t>
      </w:r>
      <w:r>
        <w:rPr>
          <w:spacing w:val="-3"/>
          <w:sz w:val="18"/>
        </w:rPr>
        <w:t xml:space="preserve"> </w:t>
      </w:r>
      <w:r>
        <w:rPr>
          <w:sz w:val="18"/>
        </w:rPr>
        <w:t>for</w:t>
      </w:r>
      <w:r>
        <w:rPr>
          <w:spacing w:val="-3"/>
          <w:sz w:val="18"/>
        </w:rPr>
        <w:t xml:space="preserve"> </w:t>
      </w:r>
      <w:r>
        <w:rPr>
          <w:sz w:val="18"/>
        </w:rPr>
        <w:t>Transmasculine</w:t>
      </w:r>
      <w:r>
        <w:rPr>
          <w:spacing w:val="-3"/>
          <w:sz w:val="18"/>
        </w:rPr>
        <w:t xml:space="preserve"> </w:t>
      </w:r>
      <w:r>
        <w:rPr>
          <w:sz w:val="18"/>
        </w:rPr>
        <w:t>Individuals</w:t>
      </w:r>
      <w:r>
        <w:rPr>
          <w:spacing w:val="-3"/>
          <w:sz w:val="18"/>
        </w:rPr>
        <w:t xml:space="preserve"> </w:t>
      </w:r>
      <w:r>
        <w:rPr>
          <w:sz w:val="18"/>
        </w:rPr>
        <w:t>on</w:t>
      </w:r>
      <w:r>
        <w:rPr>
          <w:spacing w:val="-3"/>
          <w:sz w:val="18"/>
        </w:rPr>
        <w:t xml:space="preserve"> </w:t>
      </w:r>
      <w:r>
        <w:rPr>
          <w:sz w:val="18"/>
        </w:rPr>
        <w:t>Testosterone</w:t>
      </w:r>
      <w:r>
        <w:rPr>
          <w:spacing w:val="-3"/>
          <w:sz w:val="18"/>
        </w:rPr>
        <w:t xml:space="preserve"> </w:t>
      </w:r>
      <w:r>
        <w:rPr>
          <w:spacing w:val="-2"/>
          <w:sz w:val="18"/>
        </w:rPr>
        <w:t>Therapy,”</w:t>
      </w:r>
    </w:p>
    <w:p w:rsidR="00200FDA" w:rsidRDefault="00F76C4C">
      <w:pPr>
        <w:spacing w:before="1"/>
        <w:ind w:left="140" w:right="1686"/>
        <w:rPr>
          <w:sz w:val="18"/>
        </w:rPr>
      </w:pPr>
      <w:r>
        <w:rPr>
          <w:i/>
          <w:sz w:val="18"/>
        </w:rPr>
        <w:t>Journal</w:t>
      </w:r>
      <w:r>
        <w:rPr>
          <w:i/>
          <w:spacing w:val="-4"/>
          <w:sz w:val="18"/>
        </w:rPr>
        <w:t xml:space="preserve"> </w:t>
      </w:r>
      <w:r>
        <w:rPr>
          <w:i/>
          <w:sz w:val="18"/>
        </w:rPr>
        <w:t>of</w:t>
      </w:r>
      <w:r>
        <w:rPr>
          <w:i/>
          <w:spacing w:val="-3"/>
          <w:sz w:val="18"/>
        </w:rPr>
        <w:t xml:space="preserve"> </w:t>
      </w:r>
      <w:r>
        <w:rPr>
          <w:i/>
          <w:sz w:val="18"/>
        </w:rPr>
        <w:t>Midwifery</w:t>
      </w:r>
      <w:r>
        <w:rPr>
          <w:i/>
          <w:spacing w:val="-2"/>
          <w:sz w:val="18"/>
        </w:rPr>
        <w:t xml:space="preserve"> </w:t>
      </w:r>
      <w:r>
        <w:rPr>
          <w:i/>
          <w:sz w:val="18"/>
        </w:rPr>
        <w:t>&amp;</w:t>
      </w:r>
      <w:r>
        <w:rPr>
          <w:i/>
          <w:spacing w:val="-4"/>
          <w:sz w:val="18"/>
        </w:rPr>
        <w:t xml:space="preserve"> </w:t>
      </w:r>
      <w:r>
        <w:rPr>
          <w:i/>
          <w:sz w:val="18"/>
        </w:rPr>
        <w:t>Women’s</w:t>
      </w:r>
      <w:r>
        <w:rPr>
          <w:i/>
          <w:spacing w:val="-6"/>
          <w:sz w:val="18"/>
        </w:rPr>
        <w:t xml:space="preserve"> </w:t>
      </w:r>
      <w:r>
        <w:rPr>
          <w:i/>
          <w:sz w:val="18"/>
        </w:rPr>
        <w:t>Health</w:t>
      </w:r>
      <w:r>
        <w:rPr>
          <w:i/>
          <w:spacing w:val="-2"/>
          <w:sz w:val="18"/>
        </w:rPr>
        <w:t xml:space="preserve"> </w:t>
      </w:r>
      <w:r>
        <w:rPr>
          <w:sz w:val="18"/>
        </w:rPr>
        <w:t>64,</w:t>
      </w:r>
      <w:r>
        <w:rPr>
          <w:spacing w:val="-3"/>
          <w:sz w:val="18"/>
        </w:rPr>
        <w:t xml:space="preserve"> </w:t>
      </w:r>
      <w:r>
        <w:rPr>
          <w:sz w:val="18"/>
        </w:rPr>
        <w:t>no.</w:t>
      </w:r>
      <w:r>
        <w:rPr>
          <w:spacing w:val="-3"/>
          <w:sz w:val="18"/>
        </w:rPr>
        <w:t xml:space="preserve"> </w:t>
      </w:r>
      <w:r>
        <w:rPr>
          <w:sz w:val="18"/>
        </w:rPr>
        <w:t>4</w:t>
      </w:r>
      <w:r>
        <w:rPr>
          <w:spacing w:val="-6"/>
          <w:sz w:val="18"/>
        </w:rPr>
        <w:t xml:space="preserve"> </w:t>
      </w:r>
      <w:r>
        <w:rPr>
          <w:sz w:val="18"/>
        </w:rPr>
        <w:t>(July</w:t>
      </w:r>
      <w:r>
        <w:rPr>
          <w:spacing w:val="-3"/>
          <w:sz w:val="18"/>
        </w:rPr>
        <w:t xml:space="preserve"> </w:t>
      </w:r>
      <w:r>
        <w:rPr>
          <w:sz w:val="18"/>
        </w:rPr>
        <w:t>2019):</w:t>
      </w:r>
      <w:r>
        <w:rPr>
          <w:spacing w:val="-3"/>
          <w:sz w:val="18"/>
        </w:rPr>
        <w:t xml:space="preserve"> </w:t>
      </w:r>
      <w:r>
        <w:rPr>
          <w:sz w:val="18"/>
        </w:rPr>
        <w:t>395–402,</w:t>
      </w:r>
      <w:r>
        <w:rPr>
          <w:spacing w:val="-3"/>
          <w:sz w:val="18"/>
        </w:rPr>
        <w:t xml:space="preserve"> </w:t>
      </w:r>
      <w:hyperlink r:id="rId442">
        <w:r>
          <w:rPr>
            <w:color w:val="0562C1"/>
            <w:sz w:val="18"/>
            <w:u w:val="single" w:color="0562C1"/>
          </w:rPr>
          <w:t>https://doi.org/10.1111/jmwh.12962</w:t>
        </w:r>
        <w:r>
          <w:rPr>
            <w:sz w:val="18"/>
          </w:rPr>
          <w:t>.</w:t>
        </w:r>
      </w:hyperlink>
      <w:r>
        <w:rPr>
          <w:sz w:val="18"/>
        </w:rPr>
        <w:t xml:space="preserve"> </w:t>
      </w:r>
      <w:bookmarkStart w:id="617" w:name="_bookmark468"/>
      <w:bookmarkEnd w:id="617"/>
      <w:r>
        <w:rPr>
          <w:position w:val="5"/>
          <w:sz w:val="12"/>
        </w:rPr>
        <w:t>22</w:t>
      </w:r>
      <w:r>
        <w:rPr>
          <w:spacing w:val="22"/>
          <w:position w:val="5"/>
          <w:sz w:val="12"/>
        </w:rPr>
        <w:t xml:space="preserve"> </w:t>
      </w:r>
      <w:r>
        <w:rPr>
          <w:sz w:val="18"/>
        </w:rPr>
        <w:t xml:space="preserve">“Contraception for Your Transgender Patients,” </w:t>
      </w:r>
      <w:r>
        <w:rPr>
          <w:i/>
          <w:sz w:val="18"/>
        </w:rPr>
        <w:t xml:space="preserve">Birth Control Pharmacist </w:t>
      </w:r>
      <w:r>
        <w:rPr>
          <w:sz w:val="18"/>
        </w:rPr>
        <w:t xml:space="preserve">(blog), April 24, 2020, </w:t>
      </w:r>
      <w:hyperlink r:id="rId443">
        <w:r>
          <w:rPr>
            <w:color w:val="0562C1"/>
            <w:spacing w:val="-2"/>
            <w:sz w:val="18"/>
            <w:u w:val="single" w:color="0562C1"/>
          </w:rPr>
          <w:t>https://birthcontrolpharmacist.com/2020/04/23/cont</w:t>
        </w:r>
        <w:r>
          <w:rPr>
            <w:color w:val="0562C1"/>
            <w:spacing w:val="-2"/>
            <w:sz w:val="18"/>
            <w:u w:val="single" w:color="0562C1"/>
          </w:rPr>
          <w:t>raception-for-your-transgender-patients/</w:t>
        </w:r>
        <w:r>
          <w:rPr>
            <w:spacing w:val="-2"/>
            <w:sz w:val="18"/>
          </w:rPr>
          <w:t>.</w:t>
        </w:r>
      </w:hyperlink>
    </w:p>
    <w:p w:rsidR="00200FDA" w:rsidRDefault="00F76C4C">
      <w:pPr>
        <w:spacing w:line="218" w:lineRule="exact"/>
        <w:ind w:left="140"/>
        <w:rPr>
          <w:sz w:val="18"/>
        </w:rPr>
      </w:pPr>
      <w:bookmarkStart w:id="618" w:name="_bookmark469"/>
      <w:bookmarkEnd w:id="618"/>
      <w:r>
        <w:rPr>
          <w:position w:val="5"/>
          <w:sz w:val="12"/>
        </w:rPr>
        <w:t>23</w:t>
      </w:r>
      <w:r>
        <w:rPr>
          <w:spacing w:val="11"/>
          <w:position w:val="5"/>
          <w:sz w:val="12"/>
        </w:rPr>
        <w:t xml:space="preserve"> </w:t>
      </w:r>
      <w:r>
        <w:rPr>
          <w:spacing w:val="-2"/>
          <w:sz w:val="18"/>
        </w:rPr>
        <w:t>Ibid.</w:t>
      </w:r>
    </w:p>
    <w:p w:rsidR="00200FDA" w:rsidRDefault="00F76C4C">
      <w:pPr>
        <w:spacing w:before="1"/>
        <w:ind w:left="140"/>
        <w:rPr>
          <w:sz w:val="18"/>
        </w:rPr>
      </w:pPr>
      <w:bookmarkStart w:id="619" w:name="_bookmark470"/>
      <w:bookmarkEnd w:id="619"/>
      <w:r>
        <w:rPr>
          <w:position w:val="5"/>
          <w:sz w:val="12"/>
        </w:rPr>
        <w:t>24</w:t>
      </w:r>
      <w:r>
        <w:rPr>
          <w:spacing w:val="11"/>
          <w:position w:val="5"/>
          <w:sz w:val="12"/>
        </w:rPr>
        <w:t xml:space="preserve"> </w:t>
      </w:r>
      <w:r>
        <w:rPr>
          <w:spacing w:val="-2"/>
          <w:sz w:val="18"/>
        </w:rPr>
        <w:t>Ibid.</w:t>
      </w:r>
    </w:p>
    <w:p w:rsidR="00200FDA" w:rsidRDefault="00200FDA">
      <w:pPr>
        <w:rPr>
          <w:sz w:val="18"/>
        </w:rPr>
        <w:sectPr w:rsidR="00200FDA">
          <w:pgSz w:w="12240" w:h="15840"/>
          <w:pgMar w:top="1140" w:right="1100" w:bottom="1540" w:left="1300" w:header="758" w:footer="1353" w:gutter="0"/>
          <w:cols w:space="720"/>
        </w:sectPr>
      </w:pPr>
    </w:p>
    <w:p w:rsidR="00200FDA" w:rsidRDefault="00200FDA">
      <w:pPr>
        <w:pStyle w:val="BodyText"/>
        <w:spacing w:before="7"/>
        <w:rPr>
          <w:sz w:val="20"/>
        </w:rPr>
      </w:pPr>
    </w:p>
    <w:p w:rsidR="00200FDA" w:rsidRDefault="00F76C4C">
      <w:pPr>
        <w:spacing w:before="69" w:line="219" w:lineRule="exact"/>
        <w:ind w:left="140"/>
        <w:rPr>
          <w:sz w:val="18"/>
        </w:rPr>
      </w:pPr>
      <w:bookmarkStart w:id="620" w:name="_bookmark471"/>
      <w:bookmarkEnd w:id="620"/>
      <w:r>
        <w:rPr>
          <w:position w:val="5"/>
          <w:sz w:val="12"/>
        </w:rPr>
        <w:t>25</w:t>
      </w:r>
      <w:r>
        <w:rPr>
          <w:spacing w:val="7"/>
          <w:position w:val="5"/>
          <w:sz w:val="12"/>
        </w:rPr>
        <w:t xml:space="preserve"> </w:t>
      </w:r>
      <w:r>
        <w:rPr>
          <w:sz w:val="18"/>
        </w:rPr>
        <w:t>Danielle</w:t>
      </w:r>
      <w:r>
        <w:rPr>
          <w:spacing w:val="-3"/>
          <w:sz w:val="18"/>
        </w:rPr>
        <w:t xml:space="preserve"> </w:t>
      </w:r>
      <w:r>
        <w:rPr>
          <w:sz w:val="18"/>
        </w:rPr>
        <w:t>Boudreau</w:t>
      </w:r>
      <w:r>
        <w:rPr>
          <w:spacing w:val="-3"/>
          <w:sz w:val="18"/>
        </w:rPr>
        <w:t xml:space="preserve"> </w:t>
      </w:r>
      <w:r>
        <w:rPr>
          <w:sz w:val="18"/>
        </w:rPr>
        <w:t>and</w:t>
      </w:r>
      <w:r>
        <w:rPr>
          <w:spacing w:val="-3"/>
          <w:sz w:val="18"/>
        </w:rPr>
        <w:t xml:space="preserve"> </w:t>
      </w:r>
      <w:r>
        <w:rPr>
          <w:sz w:val="18"/>
        </w:rPr>
        <w:t>Ronica</w:t>
      </w:r>
      <w:r>
        <w:rPr>
          <w:spacing w:val="-2"/>
          <w:sz w:val="18"/>
        </w:rPr>
        <w:t xml:space="preserve"> </w:t>
      </w:r>
      <w:r>
        <w:rPr>
          <w:sz w:val="18"/>
        </w:rPr>
        <w:t>Mukerjee,</w:t>
      </w:r>
      <w:r>
        <w:rPr>
          <w:spacing w:val="-2"/>
          <w:sz w:val="18"/>
        </w:rPr>
        <w:t xml:space="preserve"> </w:t>
      </w:r>
      <w:r>
        <w:rPr>
          <w:sz w:val="18"/>
        </w:rPr>
        <w:t>“Contraception</w:t>
      </w:r>
      <w:r>
        <w:rPr>
          <w:spacing w:val="-3"/>
          <w:sz w:val="18"/>
        </w:rPr>
        <w:t xml:space="preserve"> </w:t>
      </w:r>
      <w:r>
        <w:rPr>
          <w:sz w:val="18"/>
        </w:rPr>
        <w:t>Care</w:t>
      </w:r>
      <w:r>
        <w:rPr>
          <w:spacing w:val="-3"/>
          <w:sz w:val="18"/>
        </w:rPr>
        <w:t xml:space="preserve"> </w:t>
      </w:r>
      <w:r>
        <w:rPr>
          <w:sz w:val="18"/>
        </w:rPr>
        <w:t>for</w:t>
      </w:r>
      <w:r>
        <w:rPr>
          <w:spacing w:val="-3"/>
          <w:sz w:val="18"/>
        </w:rPr>
        <w:t xml:space="preserve"> </w:t>
      </w:r>
      <w:r>
        <w:rPr>
          <w:sz w:val="18"/>
        </w:rPr>
        <w:t>Transmasculine</w:t>
      </w:r>
      <w:r>
        <w:rPr>
          <w:spacing w:val="-3"/>
          <w:sz w:val="18"/>
        </w:rPr>
        <w:t xml:space="preserve"> </w:t>
      </w:r>
      <w:r>
        <w:rPr>
          <w:sz w:val="18"/>
        </w:rPr>
        <w:t>Individuals</w:t>
      </w:r>
      <w:r>
        <w:rPr>
          <w:spacing w:val="-3"/>
          <w:sz w:val="18"/>
        </w:rPr>
        <w:t xml:space="preserve"> </w:t>
      </w:r>
      <w:r>
        <w:rPr>
          <w:sz w:val="18"/>
        </w:rPr>
        <w:t>on</w:t>
      </w:r>
      <w:r>
        <w:rPr>
          <w:spacing w:val="-3"/>
          <w:sz w:val="18"/>
        </w:rPr>
        <w:t xml:space="preserve"> </w:t>
      </w:r>
      <w:r>
        <w:rPr>
          <w:sz w:val="18"/>
        </w:rPr>
        <w:t>Testosterone</w:t>
      </w:r>
      <w:r>
        <w:rPr>
          <w:spacing w:val="-3"/>
          <w:sz w:val="18"/>
        </w:rPr>
        <w:t xml:space="preserve"> </w:t>
      </w:r>
      <w:r>
        <w:rPr>
          <w:spacing w:val="-2"/>
          <w:sz w:val="18"/>
        </w:rPr>
        <w:t>Therapy,”</w:t>
      </w:r>
    </w:p>
    <w:p w:rsidR="00200FDA" w:rsidRDefault="00F76C4C">
      <w:pPr>
        <w:spacing w:line="219" w:lineRule="exact"/>
        <w:ind w:left="140"/>
        <w:rPr>
          <w:sz w:val="18"/>
        </w:rPr>
      </w:pPr>
      <w:bookmarkStart w:id="621" w:name="_bookmark472"/>
      <w:bookmarkEnd w:id="621"/>
      <w:r>
        <w:rPr>
          <w:position w:val="5"/>
          <w:sz w:val="12"/>
        </w:rPr>
        <w:t>26</w:t>
      </w:r>
      <w:r>
        <w:rPr>
          <w:spacing w:val="7"/>
          <w:position w:val="5"/>
          <w:sz w:val="12"/>
        </w:rPr>
        <w:t xml:space="preserve"> </w:t>
      </w:r>
      <w:r>
        <w:rPr>
          <w:sz w:val="18"/>
        </w:rPr>
        <w:t>Danielle</w:t>
      </w:r>
      <w:r>
        <w:rPr>
          <w:spacing w:val="-3"/>
          <w:sz w:val="18"/>
        </w:rPr>
        <w:t xml:space="preserve"> </w:t>
      </w:r>
      <w:r>
        <w:rPr>
          <w:sz w:val="18"/>
        </w:rPr>
        <w:t>Boudreau</w:t>
      </w:r>
      <w:r>
        <w:rPr>
          <w:spacing w:val="-3"/>
          <w:sz w:val="18"/>
        </w:rPr>
        <w:t xml:space="preserve"> </w:t>
      </w:r>
      <w:r>
        <w:rPr>
          <w:sz w:val="18"/>
        </w:rPr>
        <w:t>and</w:t>
      </w:r>
      <w:r>
        <w:rPr>
          <w:spacing w:val="-3"/>
          <w:sz w:val="18"/>
        </w:rPr>
        <w:t xml:space="preserve"> </w:t>
      </w:r>
      <w:r>
        <w:rPr>
          <w:sz w:val="18"/>
        </w:rPr>
        <w:t>Ronica</w:t>
      </w:r>
      <w:r>
        <w:rPr>
          <w:spacing w:val="-2"/>
          <w:sz w:val="18"/>
        </w:rPr>
        <w:t xml:space="preserve"> </w:t>
      </w:r>
      <w:r>
        <w:rPr>
          <w:sz w:val="18"/>
        </w:rPr>
        <w:t>Mukerjee,</w:t>
      </w:r>
      <w:r>
        <w:rPr>
          <w:spacing w:val="-2"/>
          <w:sz w:val="18"/>
        </w:rPr>
        <w:t xml:space="preserve"> </w:t>
      </w:r>
      <w:r>
        <w:rPr>
          <w:sz w:val="18"/>
        </w:rPr>
        <w:t>“Contraception</w:t>
      </w:r>
      <w:r>
        <w:rPr>
          <w:spacing w:val="-3"/>
          <w:sz w:val="18"/>
        </w:rPr>
        <w:t xml:space="preserve"> </w:t>
      </w:r>
      <w:r>
        <w:rPr>
          <w:sz w:val="18"/>
        </w:rPr>
        <w:t>Care</w:t>
      </w:r>
      <w:r>
        <w:rPr>
          <w:spacing w:val="-3"/>
          <w:sz w:val="18"/>
        </w:rPr>
        <w:t xml:space="preserve"> </w:t>
      </w:r>
      <w:r>
        <w:rPr>
          <w:sz w:val="18"/>
        </w:rPr>
        <w:t>for</w:t>
      </w:r>
      <w:r>
        <w:rPr>
          <w:spacing w:val="-3"/>
          <w:sz w:val="18"/>
        </w:rPr>
        <w:t xml:space="preserve"> </w:t>
      </w:r>
      <w:r>
        <w:rPr>
          <w:sz w:val="18"/>
        </w:rPr>
        <w:t>Transmasculine</w:t>
      </w:r>
      <w:r>
        <w:rPr>
          <w:spacing w:val="-3"/>
          <w:sz w:val="18"/>
        </w:rPr>
        <w:t xml:space="preserve"> </w:t>
      </w:r>
      <w:r>
        <w:rPr>
          <w:sz w:val="18"/>
        </w:rPr>
        <w:t>Individuals</w:t>
      </w:r>
      <w:r>
        <w:rPr>
          <w:spacing w:val="-3"/>
          <w:sz w:val="18"/>
        </w:rPr>
        <w:t xml:space="preserve"> </w:t>
      </w:r>
      <w:r>
        <w:rPr>
          <w:sz w:val="18"/>
        </w:rPr>
        <w:t>on</w:t>
      </w:r>
      <w:r>
        <w:rPr>
          <w:spacing w:val="-3"/>
          <w:sz w:val="18"/>
        </w:rPr>
        <w:t xml:space="preserve"> </w:t>
      </w:r>
      <w:r>
        <w:rPr>
          <w:sz w:val="18"/>
        </w:rPr>
        <w:t>Testosterone</w:t>
      </w:r>
      <w:r>
        <w:rPr>
          <w:spacing w:val="-3"/>
          <w:sz w:val="18"/>
        </w:rPr>
        <w:t xml:space="preserve"> </w:t>
      </w:r>
      <w:r>
        <w:rPr>
          <w:spacing w:val="-2"/>
          <w:sz w:val="18"/>
        </w:rPr>
        <w:t>Therapy,”</w:t>
      </w:r>
    </w:p>
    <w:p w:rsidR="00200FDA" w:rsidRDefault="00F76C4C">
      <w:pPr>
        <w:spacing w:before="1"/>
        <w:ind w:left="140" w:hanging="1"/>
        <w:rPr>
          <w:sz w:val="18"/>
        </w:rPr>
      </w:pPr>
      <w:bookmarkStart w:id="622" w:name="_bookmark473"/>
      <w:bookmarkEnd w:id="622"/>
      <w:r>
        <w:rPr>
          <w:position w:val="5"/>
          <w:sz w:val="12"/>
        </w:rPr>
        <w:t>27</w:t>
      </w:r>
      <w:r>
        <w:rPr>
          <w:spacing w:val="9"/>
          <w:position w:val="5"/>
          <w:sz w:val="12"/>
        </w:rPr>
        <w:t xml:space="preserve"> </w:t>
      </w:r>
      <w:r>
        <w:rPr>
          <w:sz w:val="18"/>
        </w:rPr>
        <w:t>Jamie</w:t>
      </w:r>
      <w:r>
        <w:rPr>
          <w:spacing w:val="-4"/>
          <w:sz w:val="18"/>
        </w:rPr>
        <w:t xml:space="preserve"> </w:t>
      </w:r>
      <w:r>
        <w:rPr>
          <w:sz w:val="18"/>
        </w:rPr>
        <w:t>Mehringer</w:t>
      </w:r>
      <w:r>
        <w:rPr>
          <w:spacing w:val="-4"/>
          <w:sz w:val="18"/>
        </w:rPr>
        <w:t xml:space="preserve"> </w:t>
      </w:r>
      <w:r>
        <w:rPr>
          <w:sz w:val="18"/>
        </w:rPr>
        <w:t>and</w:t>
      </w:r>
      <w:r>
        <w:rPr>
          <w:spacing w:val="-2"/>
          <w:sz w:val="18"/>
        </w:rPr>
        <w:t xml:space="preserve"> </w:t>
      </w:r>
      <w:r>
        <w:rPr>
          <w:sz w:val="18"/>
        </w:rPr>
        <w:t>Nadia</w:t>
      </w:r>
      <w:r>
        <w:rPr>
          <w:spacing w:val="-3"/>
          <w:sz w:val="18"/>
        </w:rPr>
        <w:t xml:space="preserve"> </w:t>
      </w:r>
      <w:r>
        <w:rPr>
          <w:sz w:val="18"/>
        </w:rPr>
        <w:t>L.</w:t>
      </w:r>
      <w:r>
        <w:rPr>
          <w:spacing w:val="-3"/>
          <w:sz w:val="18"/>
        </w:rPr>
        <w:t xml:space="preserve"> </w:t>
      </w:r>
      <w:r>
        <w:rPr>
          <w:sz w:val="18"/>
        </w:rPr>
        <w:t>Dowshen,</w:t>
      </w:r>
      <w:r>
        <w:rPr>
          <w:spacing w:val="-3"/>
          <w:sz w:val="18"/>
        </w:rPr>
        <w:t xml:space="preserve"> </w:t>
      </w:r>
      <w:r>
        <w:rPr>
          <w:sz w:val="18"/>
        </w:rPr>
        <w:t>“Sexual</w:t>
      </w:r>
      <w:r>
        <w:rPr>
          <w:spacing w:val="-4"/>
          <w:sz w:val="18"/>
        </w:rPr>
        <w:t xml:space="preserve"> </w:t>
      </w:r>
      <w:r>
        <w:rPr>
          <w:sz w:val="18"/>
        </w:rPr>
        <w:t>and</w:t>
      </w:r>
      <w:r>
        <w:rPr>
          <w:spacing w:val="-4"/>
          <w:sz w:val="18"/>
        </w:rPr>
        <w:t xml:space="preserve"> </w:t>
      </w:r>
      <w:r>
        <w:rPr>
          <w:sz w:val="18"/>
        </w:rPr>
        <w:t>Reproductive</w:t>
      </w:r>
      <w:r>
        <w:rPr>
          <w:spacing w:val="-4"/>
          <w:sz w:val="18"/>
        </w:rPr>
        <w:t xml:space="preserve"> </w:t>
      </w:r>
      <w:r>
        <w:rPr>
          <w:sz w:val="18"/>
        </w:rPr>
        <w:t>Health</w:t>
      </w:r>
      <w:r>
        <w:rPr>
          <w:spacing w:val="-4"/>
          <w:sz w:val="18"/>
        </w:rPr>
        <w:t xml:space="preserve"> </w:t>
      </w:r>
      <w:r>
        <w:rPr>
          <w:sz w:val="18"/>
        </w:rPr>
        <w:t>Considerations</w:t>
      </w:r>
      <w:r>
        <w:rPr>
          <w:spacing w:val="-4"/>
          <w:sz w:val="18"/>
        </w:rPr>
        <w:t xml:space="preserve"> </w:t>
      </w:r>
      <w:r>
        <w:rPr>
          <w:sz w:val="18"/>
        </w:rPr>
        <w:t>among</w:t>
      </w:r>
      <w:r>
        <w:rPr>
          <w:spacing w:val="-4"/>
          <w:sz w:val="18"/>
        </w:rPr>
        <w:t xml:space="preserve"> </w:t>
      </w:r>
      <w:r>
        <w:rPr>
          <w:sz w:val="18"/>
        </w:rPr>
        <w:t>Transgender</w:t>
      </w:r>
      <w:r>
        <w:rPr>
          <w:spacing w:val="-4"/>
          <w:sz w:val="18"/>
        </w:rPr>
        <w:t xml:space="preserve"> </w:t>
      </w:r>
      <w:r>
        <w:rPr>
          <w:sz w:val="18"/>
        </w:rPr>
        <w:t>and</w:t>
      </w:r>
      <w:r>
        <w:rPr>
          <w:spacing w:val="-2"/>
          <w:sz w:val="18"/>
        </w:rPr>
        <w:t xml:space="preserve"> </w:t>
      </w:r>
      <w:r>
        <w:rPr>
          <w:sz w:val="18"/>
        </w:rPr>
        <w:t xml:space="preserve">Gender- Expansive Youth,” </w:t>
      </w:r>
      <w:r>
        <w:rPr>
          <w:i/>
          <w:sz w:val="18"/>
        </w:rPr>
        <w:t xml:space="preserve">Current Problems in Pediatric and Adolescent Health Care </w:t>
      </w:r>
      <w:r>
        <w:rPr>
          <w:sz w:val="18"/>
        </w:rPr>
        <w:t xml:space="preserve">49, no. 9 (September 2019): 100684, </w:t>
      </w:r>
      <w:hyperlink r:id="rId444">
        <w:r>
          <w:rPr>
            <w:color w:val="0562C1"/>
            <w:spacing w:val="-2"/>
            <w:sz w:val="18"/>
            <w:u w:val="single" w:color="0562C1"/>
          </w:rPr>
          <w:t>https://doi.org/10.1016/j.cppeds.2019.100684</w:t>
        </w:r>
        <w:r>
          <w:rPr>
            <w:spacing w:val="-2"/>
            <w:sz w:val="18"/>
          </w:rPr>
          <w:t>.</w:t>
        </w:r>
      </w:hyperlink>
    </w:p>
    <w:p w:rsidR="00200FDA" w:rsidRDefault="00F76C4C">
      <w:pPr>
        <w:spacing w:before="1" w:line="219" w:lineRule="exact"/>
        <w:ind w:left="140"/>
        <w:rPr>
          <w:sz w:val="18"/>
        </w:rPr>
      </w:pPr>
      <w:bookmarkStart w:id="623" w:name="_bookmark474"/>
      <w:bookmarkEnd w:id="623"/>
      <w:r>
        <w:rPr>
          <w:spacing w:val="-2"/>
          <w:position w:val="5"/>
          <w:sz w:val="12"/>
        </w:rPr>
        <w:t>28</w:t>
      </w:r>
      <w:r>
        <w:rPr>
          <w:spacing w:val="-2"/>
          <w:sz w:val="18"/>
        </w:rPr>
        <w:t>Ibid.</w:t>
      </w:r>
    </w:p>
    <w:p w:rsidR="00200FDA" w:rsidRDefault="00F76C4C">
      <w:pPr>
        <w:spacing w:line="219" w:lineRule="exact"/>
        <w:ind w:left="140"/>
        <w:rPr>
          <w:sz w:val="18"/>
        </w:rPr>
      </w:pPr>
      <w:bookmarkStart w:id="624" w:name="_bookmark475"/>
      <w:bookmarkEnd w:id="624"/>
      <w:r>
        <w:rPr>
          <w:position w:val="5"/>
          <w:sz w:val="12"/>
        </w:rPr>
        <w:t>29</w:t>
      </w:r>
      <w:r>
        <w:rPr>
          <w:spacing w:val="11"/>
          <w:position w:val="5"/>
          <w:sz w:val="12"/>
        </w:rPr>
        <w:t xml:space="preserve"> </w:t>
      </w:r>
      <w:r>
        <w:rPr>
          <w:spacing w:val="-2"/>
          <w:sz w:val="18"/>
        </w:rPr>
        <w:t>Ibid.</w:t>
      </w:r>
    </w:p>
    <w:p w:rsidR="00200FDA" w:rsidRDefault="00F76C4C">
      <w:pPr>
        <w:spacing w:before="1"/>
        <w:ind w:left="140" w:right="357" w:hanging="1"/>
        <w:rPr>
          <w:sz w:val="18"/>
        </w:rPr>
      </w:pPr>
      <w:bookmarkStart w:id="625" w:name="_bookmark476"/>
      <w:bookmarkEnd w:id="625"/>
      <w:r>
        <w:rPr>
          <w:position w:val="5"/>
          <w:sz w:val="12"/>
        </w:rPr>
        <w:t>30</w:t>
      </w:r>
      <w:r>
        <w:rPr>
          <w:spacing w:val="10"/>
          <w:position w:val="5"/>
          <w:sz w:val="12"/>
        </w:rPr>
        <w:t xml:space="preserve"> </w:t>
      </w:r>
      <w:r>
        <w:rPr>
          <w:sz w:val="18"/>
        </w:rPr>
        <w:t>Charlton,</w:t>
      </w:r>
      <w:r>
        <w:rPr>
          <w:spacing w:val="-2"/>
          <w:sz w:val="18"/>
        </w:rPr>
        <w:t xml:space="preserve"> </w:t>
      </w:r>
      <w:r>
        <w:rPr>
          <w:sz w:val="18"/>
        </w:rPr>
        <w:t>Brittany</w:t>
      </w:r>
      <w:r>
        <w:rPr>
          <w:spacing w:val="-2"/>
          <w:sz w:val="18"/>
        </w:rPr>
        <w:t xml:space="preserve"> </w:t>
      </w:r>
      <w:r>
        <w:rPr>
          <w:sz w:val="18"/>
        </w:rPr>
        <w:t>M.,</w:t>
      </w:r>
      <w:r>
        <w:rPr>
          <w:spacing w:val="-2"/>
          <w:sz w:val="18"/>
        </w:rPr>
        <w:t xml:space="preserve"> </w:t>
      </w:r>
      <w:r>
        <w:rPr>
          <w:sz w:val="18"/>
        </w:rPr>
        <w:t>Bethany</w:t>
      </w:r>
      <w:r>
        <w:rPr>
          <w:spacing w:val="-2"/>
          <w:sz w:val="18"/>
        </w:rPr>
        <w:t xml:space="preserve"> </w:t>
      </w:r>
      <w:r>
        <w:rPr>
          <w:sz w:val="18"/>
        </w:rPr>
        <w:t>G.</w:t>
      </w:r>
      <w:r>
        <w:rPr>
          <w:spacing w:val="-2"/>
          <w:sz w:val="18"/>
        </w:rPr>
        <w:t xml:space="preserve"> </w:t>
      </w:r>
      <w:r>
        <w:rPr>
          <w:sz w:val="18"/>
        </w:rPr>
        <w:t>Everett,</w:t>
      </w:r>
      <w:r>
        <w:rPr>
          <w:spacing w:val="-2"/>
          <w:sz w:val="18"/>
        </w:rPr>
        <w:t xml:space="preserve"> </w:t>
      </w:r>
      <w:r>
        <w:rPr>
          <w:sz w:val="18"/>
        </w:rPr>
        <w:t>Alexis</w:t>
      </w:r>
      <w:r>
        <w:rPr>
          <w:spacing w:val="-3"/>
          <w:sz w:val="18"/>
        </w:rPr>
        <w:t xml:space="preserve"> </w:t>
      </w:r>
      <w:r>
        <w:rPr>
          <w:sz w:val="18"/>
        </w:rPr>
        <w:t>Light,</w:t>
      </w:r>
      <w:r>
        <w:rPr>
          <w:spacing w:val="-2"/>
          <w:sz w:val="18"/>
        </w:rPr>
        <w:t xml:space="preserve"> </w:t>
      </w:r>
      <w:r>
        <w:rPr>
          <w:sz w:val="18"/>
        </w:rPr>
        <w:t>Rachel</w:t>
      </w:r>
      <w:r>
        <w:rPr>
          <w:spacing w:val="-3"/>
          <w:sz w:val="18"/>
        </w:rPr>
        <w:t xml:space="preserve"> </w:t>
      </w:r>
      <w:r>
        <w:rPr>
          <w:sz w:val="18"/>
        </w:rPr>
        <w:t>K.</w:t>
      </w:r>
      <w:r>
        <w:rPr>
          <w:spacing w:val="-2"/>
          <w:sz w:val="18"/>
        </w:rPr>
        <w:t xml:space="preserve"> </w:t>
      </w:r>
      <w:r>
        <w:rPr>
          <w:sz w:val="18"/>
        </w:rPr>
        <w:t>Jones,</w:t>
      </w:r>
      <w:r>
        <w:rPr>
          <w:spacing w:val="-2"/>
          <w:sz w:val="18"/>
        </w:rPr>
        <w:t xml:space="preserve"> </w:t>
      </w:r>
      <w:r>
        <w:rPr>
          <w:sz w:val="18"/>
        </w:rPr>
        <w:t>Elizabeth</w:t>
      </w:r>
      <w:r>
        <w:rPr>
          <w:spacing w:val="-3"/>
          <w:sz w:val="18"/>
        </w:rPr>
        <w:t xml:space="preserve"> </w:t>
      </w:r>
      <w:r>
        <w:rPr>
          <w:sz w:val="18"/>
        </w:rPr>
        <w:t>Janiak,</w:t>
      </w:r>
      <w:r>
        <w:rPr>
          <w:spacing w:val="-2"/>
          <w:sz w:val="18"/>
        </w:rPr>
        <w:t xml:space="preserve"> </w:t>
      </w:r>
      <w:r>
        <w:rPr>
          <w:sz w:val="18"/>
        </w:rPr>
        <w:t>Audrey</w:t>
      </w:r>
      <w:r>
        <w:rPr>
          <w:spacing w:val="-2"/>
          <w:sz w:val="18"/>
        </w:rPr>
        <w:t xml:space="preserve"> </w:t>
      </w:r>
      <w:r>
        <w:rPr>
          <w:sz w:val="18"/>
        </w:rPr>
        <w:t>J. Gaskins,</w:t>
      </w:r>
      <w:r>
        <w:rPr>
          <w:spacing w:val="-2"/>
          <w:sz w:val="18"/>
        </w:rPr>
        <w:t xml:space="preserve"> </w:t>
      </w:r>
      <w:r>
        <w:rPr>
          <w:sz w:val="18"/>
        </w:rPr>
        <w:t>Jorge</w:t>
      </w:r>
      <w:r>
        <w:rPr>
          <w:spacing w:val="-3"/>
          <w:sz w:val="18"/>
        </w:rPr>
        <w:t xml:space="preserve"> </w:t>
      </w:r>
      <w:r>
        <w:rPr>
          <w:sz w:val="18"/>
        </w:rPr>
        <w:t>E.</w:t>
      </w:r>
      <w:r>
        <w:rPr>
          <w:spacing w:val="-2"/>
          <w:sz w:val="18"/>
        </w:rPr>
        <w:t xml:space="preserve"> </w:t>
      </w:r>
      <w:r>
        <w:rPr>
          <w:sz w:val="18"/>
        </w:rPr>
        <w:t xml:space="preserve">Chavarro, Heidi Moseson, Vishnudas Sarda, and S. Bryn Austin. “Sexual Orientation Differences in Pregnancy and Abortion Across the Lifecourse.” </w:t>
      </w:r>
      <w:r>
        <w:rPr>
          <w:i/>
          <w:sz w:val="18"/>
        </w:rPr>
        <w:t xml:space="preserve">Women’s Health Issues </w:t>
      </w:r>
      <w:r>
        <w:rPr>
          <w:sz w:val="18"/>
        </w:rPr>
        <w:t xml:space="preserve">30, no. 2 (March 2020): 65–72. </w:t>
      </w:r>
      <w:hyperlink r:id="rId445">
        <w:r>
          <w:rPr>
            <w:color w:val="0562C1"/>
            <w:sz w:val="18"/>
            <w:u w:val="single" w:color="0562C1"/>
          </w:rPr>
          <w:t>https://doi.org/10.1016/j.whi.2019.10.007</w:t>
        </w:r>
        <w:r>
          <w:rPr>
            <w:sz w:val="18"/>
          </w:rPr>
          <w:t>.</w:t>
        </w:r>
      </w:hyperlink>
    </w:p>
    <w:p w:rsidR="00200FDA" w:rsidRDefault="00F76C4C">
      <w:pPr>
        <w:ind w:left="140" w:right="2148" w:hanging="1"/>
        <w:rPr>
          <w:sz w:val="18"/>
        </w:rPr>
      </w:pPr>
      <w:bookmarkStart w:id="626" w:name="_bookmark477"/>
      <w:bookmarkEnd w:id="626"/>
      <w:r>
        <w:rPr>
          <w:position w:val="5"/>
          <w:sz w:val="12"/>
        </w:rPr>
        <w:t>31</w:t>
      </w:r>
      <w:r>
        <w:rPr>
          <w:spacing w:val="9"/>
          <w:position w:val="5"/>
          <w:sz w:val="12"/>
        </w:rPr>
        <w:t xml:space="preserve"> </w:t>
      </w:r>
      <w:r>
        <w:rPr>
          <w:sz w:val="18"/>
        </w:rPr>
        <w:t>“Annual</w:t>
      </w:r>
      <w:r>
        <w:rPr>
          <w:spacing w:val="-4"/>
          <w:sz w:val="18"/>
        </w:rPr>
        <w:t xml:space="preserve"> </w:t>
      </w:r>
      <w:r>
        <w:rPr>
          <w:sz w:val="18"/>
        </w:rPr>
        <w:t>Recommendations</w:t>
      </w:r>
      <w:r>
        <w:rPr>
          <w:spacing w:val="-4"/>
          <w:sz w:val="18"/>
        </w:rPr>
        <w:t xml:space="preserve"> </w:t>
      </w:r>
      <w:r>
        <w:rPr>
          <w:sz w:val="18"/>
        </w:rPr>
        <w:t>-</w:t>
      </w:r>
      <w:r>
        <w:rPr>
          <w:spacing w:val="-3"/>
          <w:sz w:val="18"/>
        </w:rPr>
        <w:t xml:space="preserve"> </w:t>
      </w:r>
      <w:r>
        <w:rPr>
          <w:sz w:val="18"/>
        </w:rPr>
        <w:t>Commission</w:t>
      </w:r>
      <w:r>
        <w:rPr>
          <w:spacing w:val="-4"/>
          <w:sz w:val="18"/>
        </w:rPr>
        <w:t xml:space="preserve"> </w:t>
      </w:r>
      <w:r>
        <w:rPr>
          <w:sz w:val="18"/>
        </w:rPr>
        <w:t>on</w:t>
      </w:r>
      <w:r>
        <w:rPr>
          <w:spacing w:val="-4"/>
          <w:sz w:val="18"/>
        </w:rPr>
        <w:t xml:space="preserve"> </w:t>
      </w:r>
      <w:r>
        <w:rPr>
          <w:sz w:val="18"/>
        </w:rPr>
        <w:t>LGBTQ</w:t>
      </w:r>
      <w:r>
        <w:rPr>
          <w:spacing w:val="-4"/>
          <w:sz w:val="18"/>
        </w:rPr>
        <w:t xml:space="preserve"> </w:t>
      </w:r>
      <w:r>
        <w:rPr>
          <w:sz w:val="18"/>
        </w:rPr>
        <w:t>Youth</w:t>
      </w:r>
      <w:r>
        <w:rPr>
          <w:spacing w:val="-4"/>
          <w:sz w:val="18"/>
        </w:rPr>
        <w:t xml:space="preserve"> </w:t>
      </w:r>
      <w:r>
        <w:rPr>
          <w:sz w:val="18"/>
        </w:rPr>
        <w:t>|</w:t>
      </w:r>
      <w:r>
        <w:rPr>
          <w:spacing w:val="-2"/>
          <w:sz w:val="18"/>
        </w:rPr>
        <w:t xml:space="preserve"> </w:t>
      </w:r>
      <w:r>
        <w:rPr>
          <w:sz w:val="18"/>
        </w:rPr>
        <w:t>Mass.Gov,”</w:t>
      </w:r>
      <w:r>
        <w:rPr>
          <w:spacing w:val="-4"/>
          <w:sz w:val="18"/>
        </w:rPr>
        <w:t xml:space="preserve"> </w:t>
      </w:r>
      <w:r>
        <w:rPr>
          <w:sz w:val="18"/>
        </w:rPr>
        <w:t>accessed</w:t>
      </w:r>
      <w:r>
        <w:rPr>
          <w:spacing w:val="-4"/>
          <w:sz w:val="18"/>
        </w:rPr>
        <w:t xml:space="preserve"> </w:t>
      </w:r>
      <w:r>
        <w:rPr>
          <w:sz w:val="18"/>
        </w:rPr>
        <w:t>December</w:t>
      </w:r>
      <w:r>
        <w:rPr>
          <w:spacing w:val="-4"/>
          <w:sz w:val="18"/>
        </w:rPr>
        <w:t xml:space="preserve"> </w:t>
      </w:r>
      <w:r>
        <w:rPr>
          <w:sz w:val="18"/>
        </w:rPr>
        <w:t>4,</w:t>
      </w:r>
      <w:r>
        <w:rPr>
          <w:spacing w:val="-3"/>
          <w:sz w:val="18"/>
        </w:rPr>
        <w:t xml:space="preserve"> </w:t>
      </w:r>
      <w:r>
        <w:rPr>
          <w:sz w:val="18"/>
        </w:rPr>
        <w:t xml:space="preserve">2022, </w:t>
      </w:r>
      <w:hyperlink r:id="rId446">
        <w:r>
          <w:rPr>
            <w:color w:val="0562C1"/>
            <w:spacing w:val="-2"/>
            <w:sz w:val="18"/>
            <w:u w:val="single" w:color="0562C1"/>
          </w:rPr>
          <w:t>https://www.mass.gov/lists/annual-recommendations-commission-on-lgbtq-youth</w:t>
        </w:r>
        <w:r>
          <w:rPr>
            <w:spacing w:val="-2"/>
            <w:sz w:val="18"/>
          </w:rPr>
          <w:t>.</w:t>
        </w:r>
      </w:hyperlink>
    </w:p>
    <w:p w:rsidR="00200FDA" w:rsidRDefault="00F76C4C">
      <w:pPr>
        <w:ind w:left="140" w:right="560" w:hanging="1"/>
        <w:rPr>
          <w:sz w:val="18"/>
        </w:rPr>
      </w:pPr>
      <w:bookmarkStart w:id="627" w:name="_bookmark478"/>
      <w:bookmarkEnd w:id="627"/>
      <w:r>
        <w:rPr>
          <w:position w:val="5"/>
          <w:sz w:val="12"/>
        </w:rPr>
        <w:t>32</w:t>
      </w:r>
      <w:r>
        <w:rPr>
          <w:spacing w:val="10"/>
          <w:position w:val="5"/>
          <w:sz w:val="12"/>
        </w:rPr>
        <w:t xml:space="preserve"> </w:t>
      </w:r>
      <w:r>
        <w:rPr>
          <w:sz w:val="18"/>
        </w:rPr>
        <w:t>Everett,</w:t>
      </w:r>
      <w:r>
        <w:rPr>
          <w:spacing w:val="-3"/>
          <w:sz w:val="18"/>
        </w:rPr>
        <w:t xml:space="preserve"> </w:t>
      </w:r>
      <w:r>
        <w:rPr>
          <w:sz w:val="18"/>
        </w:rPr>
        <w:t>Bethany</w:t>
      </w:r>
      <w:r>
        <w:rPr>
          <w:spacing w:val="-3"/>
          <w:sz w:val="18"/>
        </w:rPr>
        <w:t xml:space="preserve"> </w:t>
      </w:r>
      <w:r>
        <w:rPr>
          <w:sz w:val="18"/>
        </w:rPr>
        <w:t>G.,</w:t>
      </w:r>
      <w:r>
        <w:rPr>
          <w:spacing w:val="-3"/>
          <w:sz w:val="18"/>
        </w:rPr>
        <w:t xml:space="preserve"> </w:t>
      </w:r>
      <w:r>
        <w:rPr>
          <w:sz w:val="18"/>
        </w:rPr>
        <w:t>Michelle</w:t>
      </w:r>
      <w:r>
        <w:rPr>
          <w:spacing w:val="-3"/>
          <w:sz w:val="18"/>
        </w:rPr>
        <w:t xml:space="preserve"> </w:t>
      </w:r>
      <w:r>
        <w:rPr>
          <w:sz w:val="18"/>
        </w:rPr>
        <w:t>A.</w:t>
      </w:r>
      <w:r>
        <w:rPr>
          <w:spacing w:val="-1"/>
          <w:sz w:val="18"/>
        </w:rPr>
        <w:t xml:space="preserve"> </w:t>
      </w:r>
      <w:r>
        <w:rPr>
          <w:sz w:val="18"/>
        </w:rPr>
        <w:t>Kominiarek,</w:t>
      </w:r>
      <w:r>
        <w:rPr>
          <w:spacing w:val="-3"/>
          <w:sz w:val="18"/>
        </w:rPr>
        <w:t xml:space="preserve"> </w:t>
      </w:r>
      <w:r>
        <w:rPr>
          <w:sz w:val="18"/>
        </w:rPr>
        <w:t>Stefanie</w:t>
      </w:r>
      <w:r>
        <w:rPr>
          <w:spacing w:val="-3"/>
          <w:sz w:val="18"/>
        </w:rPr>
        <w:t xml:space="preserve"> </w:t>
      </w:r>
      <w:r>
        <w:rPr>
          <w:sz w:val="18"/>
        </w:rPr>
        <w:t>Mollborn,</w:t>
      </w:r>
      <w:r>
        <w:rPr>
          <w:spacing w:val="-3"/>
          <w:sz w:val="18"/>
        </w:rPr>
        <w:t xml:space="preserve"> </w:t>
      </w:r>
      <w:r>
        <w:rPr>
          <w:sz w:val="18"/>
        </w:rPr>
        <w:t>Daniel</w:t>
      </w:r>
      <w:r>
        <w:rPr>
          <w:spacing w:val="-3"/>
          <w:sz w:val="18"/>
        </w:rPr>
        <w:t xml:space="preserve"> </w:t>
      </w:r>
      <w:r>
        <w:rPr>
          <w:sz w:val="18"/>
        </w:rPr>
        <w:t>E.</w:t>
      </w:r>
      <w:r>
        <w:rPr>
          <w:spacing w:val="-3"/>
          <w:sz w:val="18"/>
        </w:rPr>
        <w:t xml:space="preserve"> </w:t>
      </w:r>
      <w:r>
        <w:rPr>
          <w:sz w:val="18"/>
        </w:rPr>
        <w:t>Adkins,</w:t>
      </w:r>
      <w:r>
        <w:rPr>
          <w:spacing w:val="-3"/>
          <w:sz w:val="18"/>
        </w:rPr>
        <w:t xml:space="preserve"> </w:t>
      </w:r>
      <w:r>
        <w:rPr>
          <w:sz w:val="18"/>
        </w:rPr>
        <w:t>and</w:t>
      </w:r>
      <w:r>
        <w:rPr>
          <w:spacing w:val="-3"/>
          <w:sz w:val="18"/>
        </w:rPr>
        <w:t xml:space="preserve"> </w:t>
      </w:r>
      <w:r>
        <w:rPr>
          <w:sz w:val="18"/>
        </w:rPr>
        <w:t>Tonda</w:t>
      </w:r>
      <w:r>
        <w:rPr>
          <w:spacing w:val="-3"/>
          <w:sz w:val="18"/>
        </w:rPr>
        <w:t xml:space="preserve"> </w:t>
      </w:r>
      <w:r>
        <w:rPr>
          <w:sz w:val="18"/>
        </w:rPr>
        <w:t>L.</w:t>
      </w:r>
      <w:r>
        <w:rPr>
          <w:spacing w:val="-3"/>
          <w:sz w:val="18"/>
        </w:rPr>
        <w:t xml:space="preserve"> </w:t>
      </w:r>
      <w:r>
        <w:rPr>
          <w:sz w:val="18"/>
        </w:rPr>
        <w:t>Hughes.</w:t>
      </w:r>
      <w:r>
        <w:rPr>
          <w:spacing w:val="-3"/>
          <w:sz w:val="18"/>
        </w:rPr>
        <w:t xml:space="preserve"> </w:t>
      </w:r>
      <w:r>
        <w:rPr>
          <w:sz w:val="18"/>
        </w:rPr>
        <w:t>“Sexual</w:t>
      </w:r>
      <w:r>
        <w:rPr>
          <w:spacing w:val="-3"/>
          <w:sz w:val="18"/>
        </w:rPr>
        <w:t xml:space="preserve"> </w:t>
      </w:r>
      <w:r>
        <w:rPr>
          <w:sz w:val="18"/>
        </w:rPr>
        <w:t xml:space="preserve">Orientation Disparities in Pregnancy and Infant Outcomes.” </w:t>
      </w:r>
      <w:r>
        <w:rPr>
          <w:i/>
          <w:sz w:val="18"/>
        </w:rPr>
        <w:t xml:space="preserve">Maternal and Child Health Journal </w:t>
      </w:r>
      <w:r>
        <w:rPr>
          <w:sz w:val="18"/>
        </w:rPr>
        <w:t xml:space="preserve">23, no. 1 (January 2019): 72–81. </w:t>
      </w:r>
      <w:hyperlink r:id="rId447">
        <w:r>
          <w:rPr>
            <w:color w:val="0562C1"/>
            <w:spacing w:val="-2"/>
            <w:sz w:val="18"/>
            <w:u w:val="single" w:color="0562C1"/>
          </w:rPr>
          <w:t>https://doi.org/10.1007/s10995-018-2595-</w:t>
        </w:r>
        <w:r>
          <w:rPr>
            <w:color w:val="0562C1"/>
            <w:spacing w:val="-2"/>
            <w:sz w:val="18"/>
            <w:u w:val="single" w:color="0562C1"/>
          </w:rPr>
          <w:t>x</w:t>
        </w:r>
        <w:r>
          <w:rPr>
            <w:spacing w:val="-2"/>
            <w:sz w:val="18"/>
          </w:rPr>
          <w:t>.</w:t>
        </w:r>
      </w:hyperlink>
    </w:p>
    <w:p w:rsidR="00200FDA" w:rsidRDefault="00F76C4C">
      <w:pPr>
        <w:ind w:left="139" w:right="357"/>
        <w:rPr>
          <w:sz w:val="18"/>
        </w:rPr>
      </w:pPr>
      <w:bookmarkStart w:id="628" w:name="_bookmark479"/>
      <w:bookmarkEnd w:id="628"/>
      <w:r>
        <w:rPr>
          <w:position w:val="5"/>
          <w:sz w:val="12"/>
        </w:rPr>
        <w:t>33</w:t>
      </w:r>
      <w:r>
        <w:rPr>
          <w:spacing w:val="10"/>
          <w:position w:val="5"/>
          <w:sz w:val="12"/>
        </w:rPr>
        <w:t xml:space="preserve"> </w:t>
      </w:r>
      <w:r>
        <w:rPr>
          <w:sz w:val="18"/>
        </w:rPr>
        <w:t>Bethany</w:t>
      </w:r>
      <w:r>
        <w:rPr>
          <w:spacing w:val="-2"/>
          <w:sz w:val="18"/>
        </w:rPr>
        <w:t xml:space="preserve"> </w:t>
      </w:r>
      <w:r>
        <w:rPr>
          <w:sz w:val="18"/>
        </w:rPr>
        <w:t>G.</w:t>
      </w:r>
      <w:r>
        <w:rPr>
          <w:spacing w:val="-2"/>
          <w:sz w:val="18"/>
        </w:rPr>
        <w:t xml:space="preserve"> </w:t>
      </w:r>
      <w:r>
        <w:rPr>
          <w:sz w:val="18"/>
        </w:rPr>
        <w:t>Everett</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“Sexual Identity</w:t>
      </w:r>
      <w:r>
        <w:rPr>
          <w:spacing w:val="-2"/>
          <w:sz w:val="18"/>
        </w:rPr>
        <w:t xml:space="preserve"> </w:t>
      </w:r>
      <w:r>
        <w:rPr>
          <w:sz w:val="18"/>
        </w:rPr>
        <w:t>and</w:t>
      </w:r>
      <w:r>
        <w:rPr>
          <w:spacing w:val="-3"/>
          <w:sz w:val="18"/>
        </w:rPr>
        <w:t xml:space="preserve"> </w:t>
      </w:r>
      <w:r>
        <w:rPr>
          <w:sz w:val="18"/>
        </w:rPr>
        <w:t>Birth</w:t>
      </w:r>
      <w:r>
        <w:rPr>
          <w:spacing w:val="-3"/>
          <w:sz w:val="18"/>
        </w:rPr>
        <w:t xml:space="preserve"> </w:t>
      </w:r>
      <w:r>
        <w:rPr>
          <w:sz w:val="18"/>
        </w:rPr>
        <w:t>Outcomes:</w:t>
      </w:r>
      <w:r>
        <w:rPr>
          <w:spacing w:val="-2"/>
          <w:sz w:val="18"/>
        </w:rPr>
        <w:t xml:space="preserve"> </w:t>
      </w:r>
      <w:r>
        <w:rPr>
          <w:sz w:val="18"/>
        </w:rPr>
        <w:t>A</w:t>
      </w:r>
      <w:r>
        <w:rPr>
          <w:spacing w:val="-1"/>
          <w:sz w:val="18"/>
        </w:rPr>
        <w:t xml:space="preserve"> </w:t>
      </w:r>
      <w:r>
        <w:rPr>
          <w:sz w:val="18"/>
        </w:rPr>
        <w:t>Focus</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Moderating</w:t>
      </w:r>
      <w:r>
        <w:rPr>
          <w:spacing w:val="-3"/>
          <w:sz w:val="18"/>
        </w:rPr>
        <w:t xml:space="preserve"> </w:t>
      </w:r>
      <w:r>
        <w:rPr>
          <w:sz w:val="18"/>
        </w:rPr>
        <w:t>Role</w:t>
      </w:r>
      <w:r>
        <w:rPr>
          <w:spacing w:val="-3"/>
          <w:sz w:val="18"/>
        </w:rPr>
        <w:t xml:space="preserve"> </w:t>
      </w:r>
      <w:r>
        <w:rPr>
          <w:sz w:val="18"/>
        </w:rPr>
        <w:t>of</w:t>
      </w:r>
      <w:r>
        <w:rPr>
          <w:spacing w:val="-2"/>
          <w:sz w:val="18"/>
        </w:rPr>
        <w:t xml:space="preserve"> </w:t>
      </w:r>
      <w:r>
        <w:rPr>
          <w:sz w:val="18"/>
        </w:rPr>
        <w:t>Race-Ethnicity,”</w:t>
      </w:r>
      <w:r>
        <w:rPr>
          <w:spacing w:val="-3"/>
          <w:sz w:val="18"/>
        </w:rPr>
        <w:t xml:space="preserve"> </w:t>
      </w:r>
      <w:r>
        <w:rPr>
          <w:sz w:val="18"/>
        </w:rPr>
        <w:t>Journal</w:t>
      </w:r>
      <w:r>
        <w:rPr>
          <w:spacing w:val="-3"/>
          <w:sz w:val="18"/>
        </w:rPr>
        <w:t xml:space="preserve"> </w:t>
      </w:r>
      <w:r>
        <w:rPr>
          <w:sz w:val="18"/>
        </w:rPr>
        <w:t xml:space="preserve">of Health and Social Behavior 62, no. 2 (June 2021): 183–201, </w:t>
      </w:r>
      <w:hyperlink r:id="rId448">
        <w:r>
          <w:rPr>
            <w:color w:val="0562C1"/>
            <w:sz w:val="18"/>
            <w:u w:val="single" w:color="0562C1"/>
          </w:rPr>
          <w:t>https://doi.org/10.1177/0022146521997811</w:t>
        </w:r>
        <w:r>
          <w:rPr>
            <w:sz w:val="18"/>
          </w:rPr>
          <w:t>.</w:t>
        </w:r>
      </w:hyperlink>
    </w:p>
    <w:p w:rsidR="00200FDA" w:rsidRDefault="00F76C4C">
      <w:pPr>
        <w:ind w:left="140" w:right="479" w:hanging="1"/>
        <w:rPr>
          <w:sz w:val="18"/>
        </w:rPr>
      </w:pPr>
      <w:bookmarkStart w:id="629" w:name="_bookmark480"/>
      <w:bookmarkEnd w:id="629"/>
      <w:r>
        <w:rPr>
          <w:position w:val="5"/>
          <w:sz w:val="12"/>
        </w:rPr>
        <w:t>34</w:t>
      </w:r>
      <w:r>
        <w:rPr>
          <w:spacing w:val="10"/>
          <w:position w:val="5"/>
          <w:sz w:val="12"/>
        </w:rPr>
        <w:t xml:space="preserve"> </w:t>
      </w:r>
      <w:r>
        <w:rPr>
          <w:sz w:val="18"/>
        </w:rPr>
        <w:t>Sajal</w:t>
      </w:r>
      <w:r>
        <w:rPr>
          <w:spacing w:val="-3"/>
          <w:sz w:val="18"/>
        </w:rPr>
        <w:t xml:space="preserve"> </w:t>
      </w:r>
      <w:r>
        <w:rPr>
          <w:sz w:val="18"/>
        </w:rPr>
        <w:t>Patel</w:t>
      </w:r>
      <w:r>
        <w:rPr>
          <w:spacing w:val="-3"/>
          <w:sz w:val="18"/>
        </w:rPr>
        <w:t xml:space="preserve"> </w:t>
      </w:r>
      <w:r>
        <w:rPr>
          <w:sz w:val="18"/>
        </w:rPr>
        <w:t>and</w:t>
      </w:r>
      <w:r>
        <w:rPr>
          <w:spacing w:val="-3"/>
          <w:sz w:val="18"/>
        </w:rPr>
        <w:t xml:space="preserve"> </w:t>
      </w:r>
      <w:r>
        <w:rPr>
          <w:sz w:val="18"/>
        </w:rPr>
        <w:t>Lori</w:t>
      </w:r>
      <w:r>
        <w:rPr>
          <w:spacing w:val="-3"/>
          <w:sz w:val="18"/>
        </w:rPr>
        <w:t xml:space="preserve"> </w:t>
      </w:r>
      <w:r>
        <w:rPr>
          <w:sz w:val="18"/>
        </w:rPr>
        <w:t>B.</w:t>
      </w:r>
      <w:r>
        <w:rPr>
          <w:spacing w:val="-2"/>
          <w:sz w:val="18"/>
        </w:rPr>
        <w:t xml:space="preserve"> </w:t>
      </w:r>
      <w:r>
        <w:rPr>
          <w:sz w:val="18"/>
        </w:rPr>
        <w:t>Sweeney, “Maternal</w:t>
      </w:r>
      <w:r>
        <w:rPr>
          <w:spacing w:val="-3"/>
          <w:sz w:val="18"/>
        </w:rPr>
        <w:t xml:space="preserve"> </w:t>
      </w:r>
      <w:r>
        <w:rPr>
          <w:sz w:val="18"/>
        </w:rPr>
        <w:t>Health</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Transgender</w:t>
      </w:r>
      <w:r>
        <w:rPr>
          <w:spacing w:val="-3"/>
          <w:sz w:val="18"/>
        </w:rPr>
        <w:t xml:space="preserve"> </w:t>
      </w:r>
      <w:r>
        <w:rPr>
          <w:sz w:val="18"/>
        </w:rPr>
        <w:t>Population,”</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Women’s</w:t>
      </w:r>
      <w:r>
        <w:rPr>
          <w:i/>
          <w:spacing w:val="-3"/>
          <w:sz w:val="18"/>
        </w:rPr>
        <w:t xml:space="preserve"> </w:t>
      </w:r>
      <w:r>
        <w:rPr>
          <w:i/>
          <w:sz w:val="18"/>
        </w:rPr>
        <w:t>Health</w:t>
      </w:r>
      <w:r>
        <w:rPr>
          <w:i/>
          <w:spacing w:val="-1"/>
          <w:sz w:val="18"/>
        </w:rPr>
        <w:t xml:space="preserve"> </w:t>
      </w:r>
      <w:r>
        <w:rPr>
          <w:sz w:val="18"/>
        </w:rPr>
        <w:t>30,</w:t>
      </w:r>
      <w:r>
        <w:rPr>
          <w:spacing w:val="-2"/>
          <w:sz w:val="18"/>
        </w:rPr>
        <w:t xml:space="preserve"> </w:t>
      </w:r>
      <w:r>
        <w:rPr>
          <w:sz w:val="18"/>
        </w:rPr>
        <w:t>no.</w:t>
      </w:r>
      <w:r>
        <w:rPr>
          <w:spacing w:val="-2"/>
          <w:sz w:val="18"/>
        </w:rPr>
        <w:t xml:space="preserve"> </w:t>
      </w:r>
      <w:r>
        <w:rPr>
          <w:sz w:val="18"/>
        </w:rPr>
        <w:t xml:space="preserve">2 (February 2021): 253–59, </w:t>
      </w:r>
      <w:hyperlink r:id="rId449">
        <w:r>
          <w:rPr>
            <w:color w:val="0562C1"/>
            <w:sz w:val="18"/>
            <w:u w:val="single" w:color="0562C1"/>
          </w:rPr>
          <w:t>https://doi</w:t>
        </w:r>
        <w:r>
          <w:rPr>
            <w:color w:val="0562C1"/>
            <w:sz w:val="18"/>
            <w:u w:val="single" w:color="0562C1"/>
          </w:rPr>
          <w:t>.org/10.1089/jwh.2020.8880</w:t>
        </w:r>
        <w:r>
          <w:rPr>
            <w:sz w:val="18"/>
          </w:rPr>
          <w:t>.</w:t>
        </w:r>
      </w:hyperlink>
    </w:p>
    <w:p w:rsidR="00200FDA" w:rsidRDefault="00F76C4C">
      <w:pPr>
        <w:ind w:left="140" w:right="1073" w:hanging="1"/>
        <w:rPr>
          <w:sz w:val="18"/>
        </w:rPr>
      </w:pPr>
      <w:bookmarkStart w:id="630" w:name="_bookmark481"/>
      <w:bookmarkEnd w:id="630"/>
      <w:r>
        <w:rPr>
          <w:position w:val="5"/>
          <w:sz w:val="12"/>
        </w:rPr>
        <w:t>35</w:t>
      </w:r>
      <w:r>
        <w:rPr>
          <w:spacing w:val="10"/>
          <w:position w:val="5"/>
          <w:sz w:val="12"/>
        </w:rPr>
        <w:t xml:space="preserve"> </w:t>
      </w:r>
      <w:r>
        <w:rPr>
          <w:sz w:val="18"/>
        </w:rPr>
        <w:t>“Pregnant</w:t>
      </w:r>
      <w:r>
        <w:rPr>
          <w:spacing w:val="-3"/>
          <w:sz w:val="18"/>
        </w:rPr>
        <w:t xml:space="preserve"> </w:t>
      </w:r>
      <w:r>
        <w:rPr>
          <w:sz w:val="18"/>
        </w:rPr>
        <w:t>Transgender</w:t>
      </w:r>
      <w:r>
        <w:rPr>
          <w:spacing w:val="-3"/>
          <w:sz w:val="18"/>
        </w:rPr>
        <w:t xml:space="preserve"> </w:t>
      </w:r>
      <w:r>
        <w:rPr>
          <w:sz w:val="18"/>
        </w:rPr>
        <w:t>Men</w:t>
      </w:r>
      <w:r>
        <w:rPr>
          <w:spacing w:val="-3"/>
          <w:sz w:val="18"/>
        </w:rPr>
        <w:t xml:space="preserve"> </w:t>
      </w:r>
      <w:r>
        <w:rPr>
          <w:sz w:val="18"/>
        </w:rPr>
        <w:t>at</w:t>
      </w:r>
      <w:r>
        <w:rPr>
          <w:spacing w:val="-3"/>
          <w:sz w:val="18"/>
        </w:rPr>
        <w:t xml:space="preserve"> </w:t>
      </w:r>
      <w:r>
        <w:rPr>
          <w:sz w:val="18"/>
        </w:rPr>
        <w:t>Risk</w:t>
      </w:r>
      <w:r>
        <w:rPr>
          <w:spacing w:val="-3"/>
          <w:sz w:val="18"/>
        </w:rPr>
        <w:t xml:space="preserve"> </w:t>
      </w:r>
      <w:r>
        <w:rPr>
          <w:sz w:val="18"/>
        </w:rPr>
        <w:t>for</w:t>
      </w:r>
      <w:r>
        <w:rPr>
          <w:spacing w:val="-3"/>
          <w:sz w:val="18"/>
        </w:rPr>
        <w:t xml:space="preserve"> </w:t>
      </w:r>
      <w:r>
        <w:rPr>
          <w:sz w:val="18"/>
        </w:rPr>
        <w:t>Depression</w:t>
      </w:r>
      <w:r>
        <w:rPr>
          <w:spacing w:val="-3"/>
          <w:sz w:val="18"/>
        </w:rPr>
        <w:t xml:space="preserve"> </w:t>
      </w:r>
      <w:r>
        <w:rPr>
          <w:sz w:val="18"/>
        </w:rPr>
        <w:t>and</w:t>
      </w:r>
      <w:r>
        <w:rPr>
          <w:spacing w:val="-3"/>
          <w:sz w:val="18"/>
        </w:rPr>
        <w:t xml:space="preserve"> </w:t>
      </w:r>
      <w:r>
        <w:rPr>
          <w:sz w:val="18"/>
        </w:rPr>
        <w:t>Lack</w:t>
      </w:r>
      <w:r>
        <w:rPr>
          <w:spacing w:val="-3"/>
          <w:sz w:val="18"/>
        </w:rPr>
        <w:t xml:space="preserve"> </w:t>
      </w:r>
      <w:r>
        <w:rPr>
          <w:sz w:val="18"/>
        </w:rPr>
        <w:t>of</w:t>
      </w:r>
      <w:r>
        <w:rPr>
          <w:spacing w:val="-2"/>
          <w:sz w:val="18"/>
        </w:rPr>
        <w:t xml:space="preserve"> </w:t>
      </w:r>
      <w:r>
        <w:rPr>
          <w:sz w:val="18"/>
        </w:rPr>
        <w:t>Care,</w:t>
      </w:r>
      <w:r>
        <w:rPr>
          <w:spacing w:val="-2"/>
          <w:sz w:val="18"/>
        </w:rPr>
        <w:t xml:space="preserve"> </w:t>
      </w:r>
      <w:r>
        <w:rPr>
          <w:sz w:val="18"/>
        </w:rPr>
        <w:t>Rutgers</w:t>
      </w:r>
      <w:r>
        <w:rPr>
          <w:spacing w:val="-3"/>
          <w:sz w:val="18"/>
        </w:rPr>
        <w:t xml:space="preserve"> </w:t>
      </w:r>
      <w:r>
        <w:rPr>
          <w:sz w:val="18"/>
        </w:rPr>
        <w:t>Study</w:t>
      </w:r>
      <w:r>
        <w:rPr>
          <w:spacing w:val="-2"/>
          <w:sz w:val="18"/>
        </w:rPr>
        <w:t xml:space="preserve"> </w:t>
      </w:r>
      <w:r>
        <w:rPr>
          <w:sz w:val="18"/>
        </w:rPr>
        <w:t>Finds,”</w:t>
      </w:r>
      <w:r>
        <w:rPr>
          <w:spacing w:val="-3"/>
          <w:sz w:val="18"/>
        </w:rPr>
        <w:t xml:space="preserve"> </w:t>
      </w:r>
      <w:r>
        <w:rPr>
          <w:sz w:val="18"/>
        </w:rPr>
        <w:t>accessed</w:t>
      </w:r>
      <w:r>
        <w:rPr>
          <w:spacing w:val="-3"/>
          <w:sz w:val="18"/>
        </w:rPr>
        <w:t xml:space="preserve"> </w:t>
      </w:r>
      <w:r>
        <w:rPr>
          <w:sz w:val="18"/>
        </w:rPr>
        <w:t>August</w:t>
      </w:r>
      <w:r>
        <w:rPr>
          <w:spacing w:val="-3"/>
          <w:sz w:val="18"/>
        </w:rPr>
        <w:t xml:space="preserve"> </w:t>
      </w:r>
      <w:r>
        <w:rPr>
          <w:sz w:val="18"/>
        </w:rPr>
        <w:t>1,</w:t>
      </w:r>
      <w:r>
        <w:rPr>
          <w:spacing w:val="-2"/>
          <w:sz w:val="18"/>
        </w:rPr>
        <w:t xml:space="preserve"> </w:t>
      </w:r>
      <w:r>
        <w:rPr>
          <w:sz w:val="18"/>
        </w:rPr>
        <w:t xml:space="preserve">2022, </w:t>
      </w:r>
      <w:hyperlink r:id="rId450">
        <w:r>
          <w:rPr>
            <w:color w:val="0562C1"/>
            <w:spacing w:val="-2"/>
            <w:sz w:val="18"/>
            <w:u w:val="single" w:color="0562C1"/>
          </w:rPr>
          <w:t>https://www.rutgers.edu/news/pregnant-transgender-men-risk-depression-and-lack-care-rutgers-study-finds</w:t>
        </w:r>
        <w:r>
          <w:rPr>
            <w:spacing w:val="-2"/>
            <w:sz w:val="18"/>
          </w:rPr>
          <w:t>.</w:t>
        </w:r>
      </w:hyperlink>
    </w:p>
    <w:p w:rsidR="00200FDA" w:rsidRDefault="00F76C4C">
      <w:pPr>
        <w:ind w:left="140" w:right="1701" w:hanging="1"/>
        <w:rPr>
          <w:sz w:val="18"/>
        </w:rPr>
      </w:pPr>
      <w:bookmarkStart w:id="631" w:name="_bookmark482"/>
      <w:bookmarkEnd w:id="631"/>
      <w:r>
        <w:rPr>
          <w:position w:val="5"/>
          <w:sz w:val="12"/>
        </w:rPr>
        <w:t>36</w:t>
      </w:r>
      <w:r>
        <w:rPr>
          <w:spacing w:val="10"/>
          <w:position w:val="5"/>
          <w:sz w:val="12"/>
        </w:rPr>
        <w:t xml:space="preserve"> </w:t>
      </w:r>
      <w:r>
        <w:rPr>
          <w:sz w:val="18"/>
        </w:rPr>
        <w:t>“Suicide</w:t>
      </w:r>
      <w:r>
        <w:rPr>
          <w:spacing w:val="-4"/>
          <w:sz w:val="18"/>
        </w:rPr>
        <w:t xml:space="preserve"> </w:t>
      </w:r>
      <w:r>
        <w:rPr>
          <w:sz w:val="18"/>
        </w:rPr>
        <w:t>Thoughts</w:t>
      </w:r>
      <w:r>
        <w:rPr>
          <w:spacing w:val="-4"/>
          <w:sz w:val="18"/>
        </w:rPr>
        <w:t xml:space="preserve"> </w:t>
      </w:r>
      <w:r>
        <w:rPr>
          <w:sz w:val="18"/>
        </w:rPr>
        <w:t>and</w:t>
      </w:r>
      <w:r>
        <w:rPr>
          <w:spacing w:val="-4"/>
          <w:sz w:val="18"/>
        </w:rPr>
        <w:t xml:space="preserve"> </w:t>
      </w:r>
      <w:r>
        <w:rPr>
          <w:sz w:val="18"/>
        </w:rPr>
        <w:t>Attem</w:t>
      </w:r>
      <w:r>
        <w:rPr>
          <w:sz w:val="18"/>
        </w:rPr>
        <w:t>pts</w:t>
      </w:r>
      <w:r>
        <w:rPr>
          <w:spacing w:val="-4"/>
          <w:sz w:val="18"/>
        </w:rPr>
        <w:t xml:space="preserve"> </w:t>
      </w:r>
      <w:r>
        <w:rPr>
          <w:sz w:val="18"/>
        </w:rPr>
        <w:t>Among</w:t>
      </w:r>
      <w:r>
        <w:rPr>
          <w:spacing w:val="-4"/>
          <w:sz w:val="18"/>
        </w:rPr>
        <w:t xml:space="preserve"> </w:t>
      </w:r>
      <w:r>
        <w:rPr>
          <w:sz w:val="18"/>
        </w:rPr>
        <w:t>Transgender</w:t>
      </w:r>
      <w:r>
        <w:rPr>
          <w:spacing w:val="-4"/>
          <w:sz w:val="18"/>
        </w:rPr>
        <w:t xml:space="preserve"> </w:t>
      </w:r>
      <w:r>
        <w:rPr>
          <w:sz w:val="18"/>
        </w:rPr>
        <w:t>Adults,”</w:t>
      </w:r>
      <w:r>
        <w:rPr>
          <w:spacing w:val="-4"/>
          <w:sz w:val="18"/>
        </w:rPr>
        <w:t xml:space="preserve"> </w:t>
      </w:r>
      <w:r>
        <w:rPr>
          <w:sz w:val="18"/>
        </w:rPr>
        <w:t>Williams</w:t>
      </w:r>
      <w:r>
        <w:rPr>
          <w:spacing w:val="-4"/>
          <w:sz w:val="18"/>
        </w:rPr>
        <w:t xml:space="preserve"> </w:t>
      </w:r>
      <w:r>
        <w:rPr>
          <w:sz w:val="18"/>
        </w:rPr>
        <w:t>Institute,</w:t>
      </w:r>
      <w:r>
        <w:rPr>
          <w:spacing w:val="-3"/>
          <w:sz w:val="18"/>
        </w:rPr>
        <w:t xml:space="preserve"> </w:t>
      </w:r>
      <w:r>
        <w:rPr>
          <w:sz w:val="18"/>
        </w:rPr>
        <w:t>accessed</w:t>
      </w:r>
      <w:r>
        <w:rPr>
          <w:spacing w:val="-4"/>
          <w:sz w:val="18"/>
        </w:rPr>
        <w:t xml:space="preserve"> </w:t>
      </w:r>
      <w:r>
        <w:rPr>
          <w:sz w:val="18"/>
        </w:rPr>
        <w:t>August</w:t>
      </w:r>
      <w:r>
        <w:rPr>
          <w:spacing w:val="-4"/>
          <w:sz w:val="18"/>
        </w:rPr>
        <w:t xml:space="preserve"> </w:t>
      </w:r>
      <w:r>
        <w:rPr>
          <w:sz w:val="18"/>
        </w:rPr>
        <w:t>12,</w:t>
      </w:r>
      <w:r>
        <w:rPr>
          <w:spacing w:val="-3"/>
          <w:sz w:val="18"/>
        </w:rPr>
        <w:t xml:space="preserve"> </w:t>
      </w:r>
      <w:r>
        <w:rPr>
          <w:sz w:val="18"/>
        </w:rPr>
        <w:t xml:space="preserve">2022, </w:t>
      </w:r>
      <w:hyperlink r:id="rId451">
        <w:r>
          <w:rPr>
            <w:color w:val="0562C1"/>
            <w:spacing w:val="-2"/>
            <w:sz w:val="18"/>
            <w:u w:val="single" w:color="0562C1"/>
          </w:rPr>
          <w:t>https://williamsinstitute.law.ucla.edu/publications/suicidality-transgender-</w:t>
        </w:r>
        <w:r>
          <w:rPr>
            <w:color w:val="0562C1"/>
            <w:spacing w:val="-2"/>
            <w:sz w:val="18"/>
            <w:u w:val="single" w:color="0562C1"/>
          </w:rPr>
          <w:t>adults/</w:t>
        </w:r>
        <w:r>
          <w:rPr>
            <w:spacing w:val="-2"/>
            <w:sz w:val="18"/>
          </w:rPr>
          <w:t>.</w:t>
        </w:r>
      </w:hyperlink>
    </w:p>
    <w:p w:rsidR="00200FDA" w:rsidRDefault="00F76C4C">
      <w:pPr>
        <w:spacing w:before="1"/>
        <w:ind w:left="140" w:right="583"/>
        <w:rPr>
          <w:sz w:val="18"/>
        </w:rPr>
      </w:pPr>
      <w:bookmarkStart w:id="632" w:name="_bookmark483"/>
      <w:bookmarkEnd w:id="632"/>
      <w:r>
        <w:rPr>
          <w:position w:val="5"/>
          <w:sz w:val="12"/>
        </w:rPr>
        <w:t>37</w:t>
      </w:r>
      <w:r>
        <w:rPr>
          <w:spacing w:val="9"/>
          <w:position w:val="5"/>
          <w:sz w:val="12"/>
        </w:rPr>
        <w:t xml:space="preserve"> </w:t>
      </w:r>
      <w:r>
        <w:rPr>
          <w:sz w:val="18"/>
        </w:rPr>
        <w:t>Carla</w:t>
      </w:r>
      <w:r>
        <w:rPr>
          <w:spacing w:val="-3"/>
          <w:sz w:val="18"/>
        </w:rPr>
        <w:t xml:space="preserve"> </w:t>
      </w:r>
      <w:r>
        <w:rPr>
          <w:sz w:val="18"/>
        </w:rPr>
        <w:t>A.</w:t>
      </w:r>
      <w:r>
        <w:rPr>
          <w:spacing w:val="-3"/>
          <w:sz w:val="18"/>
        </w:rPr>
        <w:t xml:space="preserve"> </w:t>
      </w:r>
      <w:r>
        <w:rPr>
          <w:sz w:val="18"/>
        </w:rPr>
        <w:t>Pfeffer,</w:t>
      </w:r>
      <w:r>
        <w:rPr>
          <w:spacing w:val="-3"/>
          <w:sz w:val="18"/>
        </w:rPr>
        <w:t xml:space="preserve"> </w:t>
      </w:r>
      <w:r>
        <w:rPr>
          <w:sz w:val="18"/>
        </w:rPr>
        <w:t>“Transgender</w:t>
      </w:r>
      <w:r>
        <w:rPr>
          <w:spacing w:val="-4"/>
          <w:sz w:val="18"/>
        </w:rPr>
        <w:t xml:space="preserve"> </w:t>
      </w:r>
      <w:r>
        <w:rPr>
          <w:sz w:val="18"/>
        </w:rPr>
        <w:t>Men</w:t>
      </w:r>
      <w:r>
        <w:rPr>
          <w:spacing w:val="-4"/>
          <w:sz w:val="18"/>
        </w:rPr>
        <w:t xml:space="preserve"> </w:t>
      </w:r>
      <w:r>
        <w:rPr>
          <w:sz w:val="18"/>
        </w:rPr>
        <w:t>and</w:t>
      </w:r>
      <w:r>
        <w:rPr>
          <w:spacing w:val="-2"/>
          <w:sz w:val="18"/>
        </w:rPr>
        <w:t xml:space="preserve"> </w:t>
      </w:r>
      <w:r>
        <w:rPr>
          <w:sz w:val="18"/>
        </w:rPr>
        <w:t>Nonbinary</w:t>
      </w:r>
      <w:r>
        <w:rPr>
          <w:spacing w:val="-3"/>
          <w:sz w:val="18"/>
        </w:rPr>
        <w:t xml:space="preserve"> </w:t>
      </w:r>
      <w:r>
        <w:rPr>
          <w:sz w:val="18"/>
        </w:rPr>
        <w:t>People</w:t>
      </w:r>
      <w:r>
        <w:rPr>
          <w:spacing w:val="-2"/>
          <w:sz w:val="18"/>
        </w:rPr>
        <w:t xml:space="preserve"> </w:t>
      </w:r>
      <w:r>
        <w:rPr>
          <w:sz w:val="18"/>
        </w:rPr>
        <w:t>Are</w:t>
      </w:r>
      <w:r>
        <w:rPr>
          <w:spacing w:val="-2"/>
          <w:sz w:val="18"/>
        </w:rPr>
        <w:t xml:space="preserve"> </w:t>
      </w:r>
      <w:r>
        <w:rPr>
          <w:sz w:val="18"/>
        </w:rPr>
        <w:t>Asked</w:t>
      </w:r>
      <w:r>
        <w:rPr>
          <w:spacing w:val="-4"/>
          <w:sz w:val="18"/>
        </w:rPr>
        <w:t xml:space="preserve"> </w:t>
      </w:r>
      <w:r>
        <w:rPr>
          <w:sz w:val="18"/>
        </w:rPr>
        <w:t>to</w:t>
      </w:r>
      <w:r>
        <w:rPr>
          <w:spacing w:val="-3"/>
          <w:sz w:val="18"/>
        </w:rPr>
        <w:t xml:space="preserve"> </w:t>
      </w:r>
      <w:r>
        <w:rPr>
          <w:sz w:val="18"/>
        </w:rPr>
        <w:t>Stop</w:t>
      </w:r>
      <w:r>
        <w:rPr>
          <w:spacing w:val="-4"/>
          <w:sz w:val="18"/>
        </w:rPr>
        <w:t xml:space="preserve"> </w:t>
      </w:r>
      <w:r>
        <w:rPr>
          <w:sz w:val="18"/>
        </w:rPr>
        <w:t>Testosterone</w:t>
      </w:r>
      <w:r>
        <w:rPr>
          <w:spacing w:val="-4"/>
          <w:sz w:val="18"/>
        </w:rPr>
        <w:t xml:space="preserve"> </w:t>
      </w:r>
      <w:r>
        <w:rPr>
          <w:sz w:val="18"/>
        </w:rPr>
        <w:t>Therapy</w:t>
      </w:r>
      <w:r>
        <w:rPr>
          <w:spacing w:val="-1"/>
          <w:sz w:val="18"/>
        </w:rPr>
        <w:t xml:space="preserve"> </w:t>
      </w:r>
      <w:r>
        <w:rPr>
          <w:sz w:val="18"/>
        </w:rPr>
        <w:t>during</w:t>
      </w:r>
      <w:r>
        <w:rPr>
          <w:spacing w:val="-4"/>
          <w:sz w:val="18"/>
        </w:rPr>
        <w:t xml:space="preserve"> </w:t>
      </w:r>
      <w:r>
        <w:rPr>
          <w:sz w:val="18"/>
        </w:rPr>
        <w:t>Pregnancy</w:t>
      </w:r>
      <w:r>
        <w:rPr>
          <w:spacing w:val="-3"/>
          <w:sz w:val="18"/>
        </w:rPr>
        <w:t xml:space="preserve"> </w:t>
      </w:r>
      <w:r>
        <w:rPr>
          <w:sz w:val="18"/>
        </w:rPr>
        <w:t>–</w:t>
      </w:r>
      <w:r>
        <w:rPr>
          <w:spacing w:val="-3"/>
          <w:sz w:val="18"/>
        </w:rPr>
        <w:t xml:space="preserve"> </w:t>
      </w:r>
      <w:r>
        <w:rPr>
          <w:sz w:val="18"/>
        </w:rPr>
        <w:t xml:space="preserve">but the Evidence for This Guidance Is Still Murky,” The Conversation, accessed December 5, 2022, </w:t>
      </w:r>
      <w:hyperlink r:id="rId452">
        <w:r>
          <w:rPr>
            <w:color w:val="0562C1"/>
            <w:spacing w:val="-2"/>
            <w:sz w:val="18"/>
            <w:u w:val="single" w:color="0562C1"/>
          </w:rPr>
          <w:t>http://theconversation.com/transgender-men-and-nonbinary-peopl</w:t>
        </w:r>
        <w:r>
          <w:rPr>
            <w:color w:val="0562C1"/>
            <w:spacing w:val="-2"/>
            <w:sz w:val="18"/>
            <w:u w:val="single" w:color="0562C1"/>
          </w:rPr>
          <w:t>e-are-asked-to-stop-testosterone-therapy-during-</w:t>
        </w:r>
      </w:hyperlink>
      <w:r>
        <w:rPr>
          <w:color w:val="0562C1"/>
          <w:sz w:val="18"/>
        </w:rPr>
        <w:t xml:space="preserve"> </w:t>
      </w:r>
      <w:hyperlink r:id="rId453">
        <w:r>
          <w:rPr>
            <w:color w:val="0562C1"/>
            <w:spacing w:val="-2"/>
            <w:sz w:val="18"/>
            <w:u w:val="single" w:color="0562C1"/>
          </w:rPr>
          <w:t>pregnancy-b</w:t>
        </w:r>
        <w:r>
          <w:rPr>
            <w:color w:val="0562C1"/>
            <w:spacing w:val="-2"/>
            <w:sz w:val="18"/>
            <w:u w:val="single" w:color="0562C1"/>
          </w:rPr>
          <w:t>ut-the-evidence-for-this-guidance-is-still-murky-187672</w:t>
        </w:r>
        <w:r>
          <w:rPr>
            <w:spacing w:val="-2"/>
            <w:sz w:val="18"/>
          </w:rPr>
          <w:t>.</w:t>
        </w:r>
      </w:hyperlink>
    </w:p>
    <w:p w:rsidR="00200FDA" w:rsidRDefault="00F76C4C">
      <w:pPr>
        <w:spacing w:line="219" w:lineRule="exact"/>
        <w:ind w:left="140"/>
        <w:rPr>
          <w:sz w:val="18"/>
        </w:rPr>
      </w:pPr>
      <w:bookmarkStart w:id="633" w:name="_bookmark484"/>
      <w:bookmarkEnd w:id="633"/>
      <w:r>
        <w:rPr>
          <w:position w:val="5"/>
          <w:sz w:val="12"/>
        </w:rPr>
        <w:t>38</w:t>
      </w:r>
      <w:r>
        <w:rPr>
          <w:spacing w:val="5"/>
          <w:position w:val="5"/>
          <w:sz w:val="12"/>
        </w:rPr>
        <w:t xml:space="preserve"> </w:t>
      </w:r>
      <w:r>
        <w:rPr>
          <w:sz w:val="18"/>
        </w:rPr>
        <w:t>“Infertility,”</w:t>
      </w:r>
      <w:r>
        <w:rPr>
          <w:spacing w:val="-6"/>
          <w:sz w:val="18"/>
        </w:rPr>
        <w:t xml:space="preserve"> </w:t>
      </w:r>
      <w:r>
        <w:rPr>
          <w:sz w:val="18"/>
        </w:rPr>
        <w:t>accessed</w:t>
      </w:r>
      <w:r>
        <w:rPr>
          <w:spacing w:val="-5"/>
          <w:sz w:val="18"/>
        </w:rPr>
        <w:t xml:space="preserve"> </w:t>
      </w:r>
      <w:r>
        <w:rPr>
          <w:sz w:val="18"/>
        </w:rPr>
        <w:t>December</w:t>
      </w:r>
      <w:r>
        <w:rPr>
          <w:spacing w:val="-3"/>
          <w:sz w:val="18"/>
        </w:rPr>
        <w:t xml:space="preserve"> </w:t>
      </w:r>
      <w:r>
        <w:rPr>
          <w:sz w:val="18"/>
        </w:rPr>
        <w:t>4,</w:t>
      </w:r>
      <w:r>
        <w:rPr>
          <w:spacing w:val="-5"/>
          <w:sz w:val="18"/>
        </w:rPr>
        <w:t xml:space="preserve"> </w:t>
      </w:r>
      <w:r>
        <w:rPr>
          <w:sz w:val="18"/>
        </w:rPr>
        <w:t>2022,</w:t>
      </w:r>
      <w:r>
        <w:rPr>
          <w:spacing w:val="-4"/>
          <w:sz w:val="18"/>
        </w:rPr>
        <w:t xml:space="preserve"> </w:t>
      </w:r>
      <w:hyperlink r:id="rId454">
        <w:r>
          <w:rPr>
            <w:color w:val="0562C1"/>
            <w:sz w:val="18"/>
            <w:u w:val="single" w:color="0562C1"/>
          </w:rPr>
          <w:t>https://www.who.int/news-room/fact-</w:t>
        </w:r>
        <w:r>
          <w:rPr>
            <w:color w:val="0562C1"/>
            <w:spacing w:val="-2"/>
            <w:sz w:val="18"/>
            <w:u w:val="single" w:color="0562C1"/>
          </w:rPr>
          <w:t>sheets/detail/infertility</w:t>
        </w:r>
        <w:r>
          <w:rPr>
            <w:spacing w:val="-2"/>
            <w:sz w:val="18"/>
          </w:rPr>
          <w:t>.</w:t>
        </w:r>
      </w:hyperlink>
    </w:p>
    <w:p w:rsidR="00200FDA" w:rsidRDefault="00F76C4C">
      <w:pPr>
        <w:ind w:left="139" w:right="357"/>
        <w:rPr>
          <w:sz w:val="18"/>
        </w:rPr>
      </w:pPr>
      <w:bookmarkStart w:id="634" w:name="_bookmark485"/>
      <w:bookmarkEnd w:id="634"/>
      <w:r>
        <w:rPr>
          <w:position w:val="5"/>
          <w:sz w:val="12"/>
        </w:rPr>
        <w:t>39</w:t>
      </w:r>
      <w:r>
        <w:rPr>
          <w:spacing w:val="10"/>
          <w:position w:val="5"/>
          <w:sz w:val="12"/>
        </w:rPr>
        <w:t xml:space="preserve"> </w:t>
      </w:r>
      <w:r>
        <w:rPr>
          <w:sz w:val="18"/>
        </w:rPr>
        <w:t>Janelle</w:t>
      </w:r>
      <w:r>
        <w:rPr>
          <w:spacing w:val="-3"/>
          <w:sz w:val="18"/>
        </w:rPr>
        <w:t xml:space="preserve"> </w:t>
      </w:r>
      <w:r>
        <w:rPr>
          <w:sz w:val="18"/>
        </w:rPr>
        <w:t>M</w:t>
      </w:r>
      <w:r>
        <w:rPr>
          <w:sz w:val="18"/>
        </w:rPr>
        <w:t>.</w:t>
      </w:r>
      <w:r>
        <w:rPr>
          <w:spacing w:val="-2"/>
          <w:sz w:val="18"/>
        </w:rPr>
        <w:t xml:space="preserve"> </w:t>
      </w:r>
      <w:r>
        <w:rPr>
          <w:sz w:val="18"/>
        </w:rPr>
        <w:t>Downing,</w:t>
      </w:r>
      <w:r>
        <w:rPr>
          <w:spacing w:val="-2"/>
          <w:sz w:val="18"/>
        </w:rPr>
        <w:t xml:space="preserve"> </w:t>
      </w:r>
      <w:r>
        <w:rPr>
          <w:sz w:val="18"/>
        </w:rPr>
        <w:t>“Pathways</w:t>
      </w:r>
      <w:r>
        <w:rPr>
          <w:spacing w:val="-3"/>
          <w:sz w:val="18"/>
        </w:rPr>
        <w:t xml:space="preserve"> </w:t>
      </w:r>
      <w:r>
        <w:rPr>
          <w:sz w:val="18"/>
        </w:rPr>
        <w:t>to</w:t>
      </w:r>
      <w:r>
        <w:rPr>
          <w:spacing w:val="-1"/>
          <w:sz w:val="18"/>
        </w:rPr>
        <w:t xml:space="preserve"> </w:t>
      </w:r>
      <w:r>
        <w:rPr>
          <w:sz w:val="18"/>
        </w:rPr>
        <w:t>Pregnancy</w:t>
      </w:r>
      <w:r>
        <w:rPr>
          <w:spacing w:val="-2"/>
          <w:sz w:val="18"/>
        </w:rPr>
        <w:t xml:space="preserve"> </w:t>
      </w:r>
      <w:r>
        <w:rPr>
          <w:sz w:val="18"/>
        </w:rPr>
        <w:t>for</w:t>
      </w:r>
      <w:r>
        <w:rPr>
          <w:spacing w:val="-3"/>
          <w:sz w:val="18"/>
        </w:rPr>
        <w:t xml:space="preserve"> </w:t>
      </w:r>
      <w:r>
        <w:rPr>
          <w:sz w:val="18"/>
        </w:rPr>
        <w:t>Sexual</w:t>
      </w:r>
      <w:r>
        <w:rPr>
          <w:spacing w:val="-3"/>
          <w:sz w:val="18"/>
        </w:rPr>
        <w:t xml:space="preserve"> </w:t>
      </w:r>
      <w:r>
        <w:rPr>
          <w:sz w:val="18"/>
        </w:rPr>
        <w:t>Minority</w:t>
      </w:r>
      <w:r>
        <w:rPr>
          <w:spacing w:val="-2"/>
          <w:sz w:val="18"/>
        </w:rPr>
        <w:t xml:space="preserve"> </w:t>
      </w:r>
      <w:r>
        <w:rPr>
          <w:sz w:val="18"/>
        </w:rPr>
        <w:t>Women</w:t>
      </w:r>
      <w:r>
        <w:rPr>
          <w:spacing w:val="-3"/>
          <w:sz w:val="18"/>
        </w:rPr>
        <w:t xml:space="preserve"> </w:t>
      </w:r>
      <w:r>
        <w:rPr>
          <w:sz w:val="18"/>
        </w:rPr>
        <w:t>in</w:t>
      </w:r>
      <w:r>
        <w:rPr>
          <w:spacing w:val="-3"/>
          <w:sz w:val="18"/>
        </w:rPr>
        <w:t xml:space="preserve"> </w:t>
      </w:r>
      <w:r>
        <w:rPr>
          <w:sz w:val="18"/>
        </w:rPr>
        <w:t>Same-Sex</w:t>
      </w:r>
      <w:r>
        <w:rPr>
          <w:spacing w:val="-3"/>
          <w:sz w:val="18"/>
        </w:rPr>
        <w:t xml:space="preserve"> </w:t>
      </w:r>
      <w:r>
        <w:rPr>
          <w:sz w:val="18"/>
        </w:rPr>
        <w:t>Marriages,”</w:t>
      </w:r>
      <w:r>
        <w:rPr>
          <w:spacing w:val="-1"/>
          <w:sz w:val="18"/>
        </w:rPr>
        <w:t xml:space="preserve"> </w:t>
      </w:r>
      <w:r>
        <w:rPr>
          <w:i/>
          <w:sz w:val="18"/>
        </w:rPr>
        <w:t>American</w:t>
      </w:r>
      <w:r>
        <w:rPr>
          <w:i/>
          <w:spacing w:val="-1"/>
          <w:sz w:val="18"/>
        </w:rPr>
        <w:t xml:space="preserve"> </w:t>
      </w:r>
      <w:r>
        <w:rPr>
          <w:i/>
          <w:sz w:val="18"/>
        </w:rPr>
        <w:t>Journal</w:t>
      </w:r>
      <w:r>
        <w:rPr>
          <w:i/>
          <w:spacing w:val="-3"/>
          <w:sz w:val="18"/>
        </w:rPr>
        <w:t xml:space="preserve"> </w:t>
      </w:r>
      <w:r>
        <w:rPr>
          <w:i/>
          <w:sz w:val="18"/>
        </w:rPr>
        <w:t xml:space="preserve">of Obstetrics and Gynecology </w:t>
      </w:r>
      <w:r>
        <w:rPr>
          <w:sz w:val="18"/>
        </w:rPr>
        <w:t xml:space="preserve">221, no. 3 (September 2019): 281–82, </w:t>
      </w:r>
      <w:hyperlink r:id="rId455">
        <w:r>
          <w:rPr>
            <w:color w:val="0562C1"/>
            <w:sz w:val="18"/>
            <w:u w:val="single" w:color="0562C1"/>
          </w:rPr>
          <w:t>https://doi.org/10.1016/j.ajog.2019.04.019</w:t>
        </w:r>
        <w:r>
          <w:rPr>
            <w:sz w:val="18"/>
          </w:rPr>
          <w:t>.</w:t>
        </w:r>
      </w:hyperlink>
    </w:p>
    <w:p w:rsidR="00200FDA" w:rsidRDefault="00F76C4C">
      <w:pPr>
        <w:ind w:left="140" w:right="479" w:hanging="1"/>
        <w:rPr>
          <w:sz w:val="18"/>
        </w:rPr>
      </w:pPr>
      <w:bookmarkStart w:id="635" w:name="_bookmark486"/>
      <w:bookmarkEnd w:id="635"/>
      <w:r>
        <w:rPr>
          <w:position w:val="5"/>
          <w:sz w:val="12"/>
        </w:rPr>
        <w:t>40</w:t>
      </w:r>
      <w:r>
        <w:rPr>
          <w:spacing w:val="10"/>
          <w:position w:val="5"/>
          <w:sz w:val="12"/>
        </w:rPr>
        <w:t xml:space="preserve"> </w:t>
      </w:r>
      <w:r>
        <w:rPr>
          <w:sz w:val="18"/>
        </w:rPr>
        <w:t>Margot</w:t>
      </w:r>
      <w:r>
        <w:rPr>
          <w:spacing w:val="-3"/>
          <w:sz w:val="18"/>
        </w:rPr>
        <w:t xml:space="preserve"> </w:t>
      </w:r>
      <w:r>
        <w:rPr>
          <w:sz w:val="18"/>
        </w:rPr>
        <w:t>Kelly-Hedrick,</w:t>
      </w:r>
      <w:r>
        <w:rPr>
          <w:spacing w:val="-2"/>
          <w:sz w:val="18"/>
        </w:rPr>
        <w:t xml:space="preserve"> </w:t>
      </w:r>
      <w:r>
        <w:rPr>
          <w:sz w:val="18"/>
        </w:rPr>
        <w:t>“DISPARITIES</w:t>
      </w:r>
      <w:r>
        <w:rPr>
          <w:spacing w:val="-3"/>
          <w:sz w:val="18"/>
        </w:rPr>
        <w:t xml:space="preserve"> </w:t>
      </w:r>
      <w:r>
        <w:rPr>
          <w:sz w:val="18"/>
        </w:rPr>
        <w:t>IN</w:t>
      </w:r>
      <w:r>
        <w:rPr>
          <w:spacing w:val="-3"/>
          <w:sz w:val="18"/>
        </w:rPr>
        <w:t xml:space="preserve"> </w:t>
      </w:r>
      <w:r>
        <w:rPr>
          <w:sz w:val="18"/>
        </w:rPr>
        <w:t>ACCESS</w:t>
      </w:r>
      <w:r>
        <w:rPr>
          <w:spacing w:val="-3"/>
          <w:sz w:val="18"/>
        </w:rPr>
        <w:t xml:space="preserve"> </w:t>
      </w:r>
      <w:r>
        <w:rPr>
          <w:sz w:val="18"/>
        </w:rPr>
        <w:t>TO</w:t>
      </w:r>
      <w:r>
        <w:rPr>
          <w:spacing w:val="-1"/>
          <w:sz w:val="18"/>
        </w:rPr>
        <w:t xml:space="preserve"> </w:t>
      </w:r>
      <w:r>
        <w:rPr>
          <w:sz w:val="18"/>
        </w:rPr>
        <w:t>FERTILITY</w:t>
      </w:r>
      <w:r>
        <w:rPr>
          <w:spacing w:val="-1"/>
          <w:sz w:val="18"/>
        </w:rPr>
        <w:t xml:space="preserve"> </w:t>
      </w:r>
      <w:r>
        <w:rPr>
          <w:sz w:val="18"/>
        </w:rPr>
        <w:t>CARE</w:t>
      </w:r>
      <w:r>
        <w:rPr>
          <w:spacing w:val="-4"/>
          <w:sz w:val="18"/>
        </w:rPr>
        <w:t xml:space="preserve"> </w:t>
      </w:r>
      <w:r>
        <w:rPr>
          <w:sz w:val="18"/>
        </w:rPr>
        <w:t>IN</w:t>
      </w:r>
      <w:r>
        <w:rPr>
          <w:spacing w:val="-3"/>
          <w:sz w:val="18"/>
        </w:rPr>
        <w:t xml:space="preserve"> </w:t>
      </w:r>
      <w:r>
        <w:rPr>
          <w:sz w:val="18"/>
        </w:rPr>
        <w:t>THE</w:t>
      </w:r>
      <w:r>
        <w:rPr>
          <w:spacing w:val="-2"/>
          <w:sz w:val="18"/>
        </w:rPr>
        <w:t xml:space="preserve"> </w:t>
      </w:r>
      <w:r>
        <w:rPr>
          <w:sz w:val="18"/>
        </w:rPr>
        <w:t>UNITED</w:t>
      </w:r>
      <w:r>
        <w:rPr>
          <w:spacing w:val="-3"/>
          <w:sz w:val="18"/>
        </w:rPr>
        <w:t xml:space="preserve"> </w:t>
      </w:r>
      <w:r>
        <w:rPr>
          <w:sz w:val="18"/>
        </w:rPr>
        <w:t>STATES:</w:t>
      </w:r>
      <w:r>
        <w:rPr>
          <w:spacing w:val="-2"/>
          <w:sz w:val="18"/>
        </w:rPr>
        <w:t xml:space="preserve"> </w:t>
      </w:r>
      <w:r>
        <w:rPr>
          <w:sz w:val="18"/>
        </w:rPr>
        <w:t>ETHICAL</w:t>
      </w:r>
      <w:r>
        <w:rPr>
          <w:spacing w:val="-4"/>
          <w:sz w:val="18"/>
        </w:rPr>
        <w:t xml:space="preserve"> </w:t>
      </w:r>
      <w:r>
        <w:rPr>
          <w:sz w:val="18"/>
        </w:rPr>
        <w:t>CONSIDERATIONS</w:t>
      </w:r>
      <w:r>
        <w:rPr>
          <w:spacing w:val="-3"/>
          <w:sz w:val="18"/>
        </w:rPr>
        <w:t xml:space="preserve"> </w:t>
      </w:r>
      <w:r>
        <w:rPr>
          <w:sz w:val="18"/>
        </w:rPr>
        <w:t>FOR EQUITABLE SOLUTIONS,” n.d., 37.</w:t>
      </w:r>
    </w:p>
    <w:p w:rsidR="00200FDA" w:rsidRDefault="00F76C4C">
      <w:pPr>
        <w:spacing w:before="1"/>
        <w:ind w:left="140" w:hanging="1"/>
        <w:rPr>
          <w:sz w:val="18"/>
        </w:rPr>
      </w:pPr>
      <w:bookmarkStart w:id="636" w:name="_bookmark487"/>
      <w:bookmarkEnd w:id="636"/>
      <w:r>
        <w:rPr>
          <w:position w:val="5"/>
          <w:sz w:val="12"/>
        </w:rPr>
        <w:t>41</w:t>
      </w:r>
      <w:r>
        <w:rPr>
          <w:spacing w:val="10"/>
          <w:position w:val="5"/>
          <w:sz w:val="12"/>
        </w:rPr>
        <w:t xml:space="preserve"> </w:t>
      </w:r>
      <w:r>
        <w:rPr>
          <w:sz w:val="18"/>
        </w:rPr>
        <w:t>Isabel</w:t>
      </w:r>
      <w:r>
        <w:rPr>
          <w:spacing w:val="-3"/>
          <w:sz w:val="18"/>
        </w:rPr>
        <w:t xml:space="preserve"> </w:t>
      </w:r>
      <w:r>
        <w:rPr>
          <w:sz w:val="18"/>
        </w:rPr>
        <w:t>Galic</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“Disparities</w:t>
      </w:r>
      <w:r>
        <w:rPr>
          <w:spacing w:val="-3"/>
          <w:sz w:val="18"/>
        </w:rPr>
        <w:t xml:space="preserve"> </w:t>
      </w:r>
      <w:r>
        <w:rPr>
          <w:sz w:val="18"/>
        </w:rPr>
        <w:t>in</w:t>
      </w:r>
      <w:r>
        <w:rPr>
          <w:spacing w:val="-1"/>
          <w:sz w:val="18"/>
        </w:rPr>
        <w:t xml:space="preserve"> </w:t>
      </w:r>
      <w:r>
        <w:rPr>
          <w:sz w:val="18"/>
        </w:rPr>
        <w:t>Access</w:t>
      </w:r>
      <w:r>
        <w:rPr>
          <w:spacing w:val="-3"/>
          <w:sz w:val="18"/>
        </w:rPr>
        <w:t xml:space="preserve"> </w:t>
      </w:r>
      <w:r>
        <w:rPr>
          <w:sz w:val="18"/>
        </w:rPr>
        <w:t>to</w:t>
      </w:r>
      <w:r>
        <w:rPr>
          <w:spacing w:val="-1"/>
          <w:sz w:val="18"/>
        </w:rPr>
        <w:t xml:space="preserve"> </w:t>
      </w:r>
      <w:r>
        <w:rPr>
          <w:sz w:val="18"/>
        </w:rPr>
        <w:t>Fertility</w:t>
      </w:r>
      <w:r>
        <w:rPr>
          <w:spacing w:val="-2"/>
          <w:sz w:val="18"/>
        </w:rPr>
        <w:t xml:space="preserve"> </w:t>
      </w:r>
      <w:r>
        <w:rPr>
          <w:sz w:val="18"/>
        </w:rPr>
        <w:t>Care:</w:t>
      </w:r>
      <w:r>
        <w:rPr>
          <w:spacing w:val="-2"/>
          <w:sz w:val="18"/>
        </w:rPr>
        <w:t xml:space="preserve"> </w:t>
      </w:r>
      <w:r>
        <w:rPr>
          <w:sz w:val="18"/>
        </w:rPr>
        <w:t>Who’s</w:t>
      </w:r>
      <w:r>
        <w:rPr>
          <w:spacing w:val="-3"/>
          <w:sz w:val="18"/>
        </w:rPr>
        <w:t xml:space="preserve"> </w:t>
      </w:r>
      <w:r>
        <w:rPr>
          <w:sz w:val="18"/>
        </w:rPr>
        <w:t>in</w:t>
      </w:r>
      <w:r>
        <w:rPr>
          <w:spacing w:val="-1"/>
          <w:sz w:val="18"/>
        </w:rPr>
        <w:t xml:space="preserve"> </w:t>
      </w:r>
      <w:r>
        <w:rPr>
          <w:sz w:val="18"/>
        </w:rPr>
        <w:t>and</w:t>
      </w:r>
      <w:r>
        <w:rPr>
          <w:spacing w:val="-3"/>
          <w:sz w:val="18"/>
        </w:rPr>
        <w:t xml:space="preserve"> </w:t>
      </w:r>
      <w:r>
        <w:rPr>
          <w:sz w:val="18"/>
        </w:rPr>
        <w:t>Who’s</w:t>
      </w:r>
      <w:r>
        <w:rPr>
          <w:spacing w:val="-3"/>
          <w:sz w:val="18"/>
        </w:rPr>
        <w:t xml:space="preserve"> </w:t>
      </w:r>
      <w:r>
        <w:rPr>
          <w:sz w:val="18"/>
        </w:rPr>
        <w:t>out,”</w:t>
      </w:r>
      <w:r>
        <w:rPr>
          <w:spacing w:val="-3"/>
          <w:sz w:val="18"/>
        </w:rPr>
        <w:t xml:space="preserve"> </w:t>
      </w:r>
      <w:r>
        <w:rPr>
          <w:i/>
          <w:sz w:val="18"/>
        </w:rPr>
        <w:t>F&amp;S</w:t>
      </w:r>
      <w:r>
        <w:rPr>
          <w:i/>
          <w:spacing w:val="-2"/>
          <w:sz w:val="18"/>
        </w:rPr>
        <w:t xml:space="preserve"> </w:t>
      </w:r>
      <w:r>
        <w:rPr>
          <w:i/>
          <w:sz w:val="18"/>
        </w:rPr>
        <w:t>Reports</w:t>
      </w:r>
      <w:r>
        <w:rPr>
          <w:i/>
          <w:spacing w:val="-4"/>
          <w:sz w:val="18"/>
        </w:rPr>
        <w:t xml:space="preserve"> </w:t>
      </w:r>
      <w:r>
        <w:rPr>
          <w:sz w:val="18"/>
        </w:rPr>
        <w:t>2,</w:t>
      </w:r>
      <w:r>
        <w:rPr>
          <w:spacing w:val="-2"/>
          <w:sz w:val="18"/>
        </w:rPr>
        <w:t xml:space="preserve"> </w:t>
      </w:r>
      <w:r>
        <w:rPr>
          <w:sz w:val="18"/>
        </w:rPr>
        <w:t>no.</w:t>
      </w:r>
      <w:r>
        <w:rPr>
          <w:spacing w:val="-2"/>
          <w:sz w:val="18"/>
        </w:rPr>
        <w:t xml:space="preserve"> </w:t>
      </w:r>
      <w:r>
        <w:rPr>
          <w:sz w:val="18"/>
        </w:rPr>
        <w:t>1</w:t>
      </w:r>
      <w:r>
        <w:rPr>
          <w:spacing w:val="-2"/>
          <w:sz w:val="18"/>
        </w:rPr>
        <w:t xml:space="preserve"> </w:t>
      </w:r>
      <w:r>
        <w:rPr>
          <w:sz w:val="18"/>
        </w:rPr>
        <w:t>(November</w:t>
      </w:r>
      <w:r>
        <w:rPr>
          <w:spacing w:val="-3"/>
          <w:sz w:val="18"/>
        </w:rPr>
        <w:t xml:space="preserve"> </w:t>
      </w:r>
      <w:r>
        <w:rPr>
          <w:sz w:val="18"/>
        </w:rPr>
        <w:t>18,</w:t>
      </w:r>
      <w:r>
        <w:rPr>
          <w:spacing w:val="-2"/>
          <w:sz w:val="18"/>
        </w:rPr>
        <w:t xml:space="preserve"> </w:t>
      </w:r>
      <w:r>
        <w:rPr>
          <w:sz w:val="18"/>
        </w:rPr>
        <w:t xml:space="preserve">2020): 109–17, </w:t>
      </w:r>
      <w:hyperlink r:id="rId456">
        <w:r>
          <w:rPr>
            <w:color w:val="0562C1"/>
            <w:sz w:val="18"/>
            <w:u w:val="single" w:color="0562C1"/>
          </w:rPr>
          <w:t>https://doi.org/10.1016/j.xfre.2020.11.001</w:t>
        </w:r>
        <w:r>
          <w:rPr>
            <w:sz w:val="18"/>
          </w:rPr>
          <w:t>.</w:t>
        </w:r>
      </w:hyperlink>
    </w:p>
    <w:p w:rsidR="00200FDA" w:rsidRDefault="00F76C4C">
      <w:pPr>
        <w:ind w:left="140" w:right="357" w:hanging="1"/>
        <w:rPr>
          <w:sz w:val="18"/>
        </w:rPr>
      </w:pPr>
      <w:bookmarkStart w:id="637" w:name="_bookmark488"/>
      <w:bookmarkEnd w:id="637"/>
      <w:r>
        <w:rPr>
          <w:position w:val="5"/>
          <w:sz w:val="12"/>
        </w:rPr>
        <w:t>42</w:t>
      </w:r>
      <w:r>
        <w:rPr>
          <w:spacing w:val="19"/>
          <w:position w:val="5"/>
          <w:sz w:val="12"/>
        </w:rPr>
        <w:t xml:space="preserve"> </w:t>
      </w:r>
      <w:r>
        <w:rPr>
          <w:sz w:val="18"/>
        </w:rPr>
        <w:t>MacDorman, Marian F., Eugene Declercq, Howard Cabral, and Christine Mor</w:t>
      </w:r>
      <w:r>
        <w:rPr>
          <w:sz w:val="18"/>
        </w:rPr>
        <w:t>ton. “Recent Increases in the U.S. Maternal Mortality</w:t>
      </w:r>
      <w:r>
        <w:rPr>
          <w:spacing w:val="-3"/>
          <w:sz w:val="18"/>
        </w:rPr>
        <w:t xml:space="preserve"> </w:t>
      </w:r>
      <w:r>
        <w:rPr>
          <w:sz w:val="18"/>
        </w:rPr>
        <w:t>Rate:</w:t>
      </w:r>
      <w:r>
        <w:rPr>
          <w:spacing w:val="-3"/>
          <w:sz w:val="18"/>
        </w:rPr>
        <w:t xml:space="preserve"> </w:t>
      </w:r>
      <w:r>
        <w:rPr>
          <w:sz w:val="18"/>
        </w:rPr>
        <w:t>Disentangling</w:t>
      </w:r>
      <w:r>
        <w:rPr>
          <w:spacing w:val="-4"/>
          <w:sz w:val="18"/>
        </w:rPr>
        <w:t xml:space="preserve"> </w:t>
      </w:r>
      <w:r>
        <w:rPr>
          <w:sz w:val="18"/>
        </w:rPr>
        <w:t>Trends</w:t>
      </w:r>
      <w:r>
        <w:rPr>
          <w:spacing w:val="-2"/>
          <w:sz w:val="18"/>
        </w:rPr>
        <w:t xml:space="preserve"> </w:t>
      </w:r>
      <w:r>
        <w:rPr>
          <w:sz w:val="18"/>
        </w:rPr>
        <w:t>From</w:t>
      </w:r>
      <w:r>
        <w:rPr>
          <w:spacing w:val="-3"/>
          <w:sz w:val="18"/>
        </w:rPr>
        <w:t xml:space="preserve"> </w:t>
      </w:r>
      <w:r>
        <w:rPr>
          <w:sz w:val="18"/>
        </w:rPr>
        <w:t>Measurement</w:t>
      </w:r>
      <w:r>
        <w:rPr>
          <w:spacing w:val="-4"/>
          <w:sz w:val="18"/>
        </w:rPr>
        <w:t xml:space="preserve"> </w:t>
      </w:r>
      <w:r>
        <w:rPr>
          <w:sz w:val="18"/>
        </w:rPr>
        <w:t>Issues.”</w:t>
      </w:r>
      <w:r>
        <w:rPr>
          <w:spacing w:val="-2"/>
          <w:sz w:val="18"/>
        </w:rPr>
        <w:t xml:space="preserve"> </w:t>
      </w:r>
      <w:r>
        <w:rPr>
          <w:i/>
          <w:sz w:val="18"/>
        </w:rPr>
        <w:t>Obstetrics</w:t>
      </w:r>
      <w:r>
        <w:rPr>
          <w:i/>
          <w:spacing w:val="-4"/>
          <w:sz w:val="18"/>
        </w:rPr>
        <w:t xml:space="preserve"> </w:t>
      </w:r>
      <w:r>
        <w:rPr>
          <w:i/>
          <w:sz w:val="18"/>
        </w:rPr>
        <w:t>&amp;</w:t>
      </w:r>
      <w:r>
        <w:rPr>
          <w:i/>
          <w:spacing w:val="-4"/>
          <w:sz w:val="18"/>
        </w:rPr>
        <w:t xml:space="preserve"> </w:t>
      </w:r>
      <w:r>
        <w:rPr>
          <w:i/>
          <w:sz w:val="18"/>
        </w:rPr>
        <w:t>Gynecology</w:t>
      </w:r>
      <w:r>
        <w:rPr>
          <w:i/>
          <w:spacing w:val="-2"/>
          <w:sz w:val="18"/>
        </w:rPr>
        <w:t xml:space="preserve"> </w:t>
      </w:r>
      <w:r>
        <w:rPr>
          <w:sz w:val="18"/>
        </w:rPr>
        <w:t>128,</w:t>
      </w:r>
      <w:r>
        <w:rPr>
          <w:spacing w:val="-3"/>
          <w:sz w:val="18"/>
        </w:rPr>
        <w:t xml:space="preserve"> </w:t>
      </w:r>
      <w:r>
        <w:rPr>
          <w:sz w:val="18"/>
        </w:rPr>
        <w:t>no.</w:t>
      </w:r>
      <w:r>
        <w:rPr>
          <w:spacing w:val="-3"/>
          <w:sz w:val="18"/>
        </w:rPr>
        <w:t xml:space="preserve"> </w:t>
      </w:r>
      <w:r>
        <w:rPr>
          <w:sz w:val="18"/>
        </w:rPr>
        <w:t>3</w:t>
      </w:r>
      <w:r>
        <w:rPr>
          <w:spacing w:val="-3"/>
          <w:sz w:val="18"/>
        </w:rPr>
        <w:t xml:space="preserve"> </w:t>
      </w:r>
      <w:r>
        <w:rPr>
          <w:sz w:val="18"/>
        </w:rPr>
        <w:t>(September</w:t>
      </w:r>
      <w:r>
        <w:rPr>
          <w:spacing w:val="-4"/>
          <w:sz w:val="18"/>
        </w:rPr>
        <w:t xml:space="preserve"> </w:t>
      </w:r>
      <w:r>
        <w:rPr>
          <w:sz w:val="18"/>
        </w:rPr>
        <w:t>2016):</w:t>
      </w:r>
      <w:r>
        <w:rPr>
          <w:spacing w:val="-3"/>
          <w:sz w:val="18"/>
        </w:rPr>
        <w:t xml:space="preserve"> </w:t>
      </w:r>
      <w:r>
        <w:rPr>
          <w:sz w:val="18"/>
        </w:rPr>
        <w:t>447–</w:t>
      </w:r>
    </w:p>
    <w:p w:rsidR="00200FDA" w:rsidRDefault="00F76C4C">
      <w:pPr>
        <w:spacing w:line="219" w:lineRule="exact"/>
        <w:ind w:left="140"/>
        <w:rPr>
          <w:sz w:val="18"/>
        </w:rPr>
      </w:pPr>
      <w:r>
        <w:rPr>
          <w:sz w:val="18"/>
        </w:rPr>
        <w:t xml:space="preserve">55. </w:t>
      </w:r>
      <w:hyperlink r:id="rId457">
        <w:r>
          <w:rPr>
            <w:color w:val="0562C1"/>
            <w:spacing w:val="-2"/>
            <w:sz w:val="18"/>
            <w:u w:val="single" w:color="0562C1"/>
          </w:rPr>
          <w:t>https://doi.org/10.1097</w:t>
        </w:r>
        <w:r>
          <w:rPr>
            <w:color w:val="0562C1"/>
            <w:spacing w:val="-2"/>
            <w:sz w:val="18"/>
            <w:u w:val="single" w:color="0562C1"/>
          </w:rPr>
          <w:t>/AOG.0000000000001556</w:t>
        </w:r>
        <w:r>
          <w:rPr>
            <w:spacing w:val="-2"/>
            <w:sz w:val="18"/>
          </w:rPr>
          <w:t>.</w:t>
        </w:r>
      </w:hyperlink>
    </w:p>
    <w:p w:rsidR="00200FDA" w:rsidRDefault="00F76C4C">
      <w:pPr>
        <w:ind w:left="139" w:right="2251"/>
        <w:rPr>
          <w:sz w:val="18"/>
        </w:rPr>
      </w:pPr>
      <w:bookmarkStart w:id="638" w:name="_bookmark489"/>
      <w:bookmarkEnd w:id="638"/>
      <w:r>
        <w:rPr>
          <w:position w:val="5"/>
          <w:sz w:val="12"/>
        </w:rPr>
        <w:t>43</w:t>
      </w:r>
      <w:r>
        <w:rPr>
          <w:spacing w:val="10"/>
          <w:position w:val="5"/>
          <w:sz w:val="12"/>
        </w:rPr>
        <w:t xml:space="preserve"> </w:t>
      </w:r>
      <w:r>
        <w:rPr>
          <w:sz w:val="18"/>
        </w:rPr>
        <w:t>“The</w:t>
      </w:r>
      <w:r>
        <w:rPr>
          <w:spacing w:val="-3"/>
          <w:sz w:val="18"/>
        </w:rPr>
        <w:t xml:space="preserve"> </w:t>
      </w:r>
      <w:r>
        <w:rPr>
          <w:sz w:val="18"/>
        </w:rPr>
        <w:t>States</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Highest</w:t>
      </w:r>
      <w:r>
        <w:rPr>
          <w:spacing w:val="-3"/>
          <w:sz w:val="18"/>
        </w:rPr>
        <w:t xml:space="preserve"> </w:t>
      </w:r>
      <w:r>
        <w:rPr>
          <w:sz w:val="18"/>
        </w:rPr>
        <w:t>(and</w:t>
      </w:r>
      <w:r>
        <w:rPr>
          <w:spacing w:val="-3"/>
          <w:sz w:val="18"/>
        </w:rPr>
        <w:t xml:space="preserve"> </w:t>
      </w:r>
      <w:r>
        <w:rPr>
          <w:sz w:val="18"/>
        </w:rPr>
        <w:t>Lowest)</w:t>
      </w:r>
      <w:r>
        <w:rPr>
          <w:spacing w:val="-3"/>
          <w:sz w:val="18"/>
        </w:rPr>
        <w:t xml:space="preserve"> </w:t>
      </w:r>
      <w:r>
        <w:rPr>
          <w:sz w:val="18"/>
        </w:rPr>
        <w:t>Maternal</w:t>
      </w:r>
      <w:r>
        <w:rPr>
          <w:spacing w:val="-3"/>
          <w:sz w:val="18"/>
        </w:rPr>
        <w:t xml:space="preserve"> </w:t>
      </w:r>
      <w:r>
        <w:rPr>
          <w:sz w:val="18"/>
        </w:rPr>
        <w:t>Mortality,</w:t>
      </w:r>
      <w:r>
        <w:rPr>
          <w:spacing w:val="-3"/>
          <w:sz w:val="18"/>
        </w:rPr>
        <w:t xml:space="preserve"> </w:t>
      </w:r>
      <w:r>
        <w:rPr>
          <w:sz w:val="18"/>
        </w:rPr>
        <w:t>Mapped,”</w:t>
      </w:r>
      <w:r>
        <w:rPr>
          <w:spacing w:val="-3"/>
          <w:sz w:val="18"/>
        </w:rPr>
        <w:t xml:space="preserve"> </w:t>
      </w:r>
      <w:r>
        <w:rPr>
          <w:sz w:val="18"/>
        </w:rPr>
        <w:t>accessed</w:t>
      </w:r>
      <w:r>
        <w:rPr>
          <w:spacing w:val="-3"/>
          <w:sz w:val="18"/>
        </w:rPr>
        <w:t xml:space="preserve"> </w:t>
      </w:r>
      <w:r>
        <w:rPr>
          <w:sz w:val="18"/>
        </w:rPr>
        <w:t>August</w:t>
      </w:r>
      <w:r>
        <w:rPr>
          <w:spacing w:val="-3"/>
          <w:sz w:val="18"/>
        </w:rPr>
        <w:t xml:space="preserve"> </w:t>
      </w:r>
      <w:r>
        <w:rPr>
          <w:sz w:val="18"/>
        </w:rPr>
        <w:t>11,</w:t>
      </w:r>
      <w:r>
        <w:rPr>
          <w:spacing w:val="-3"/>
          <w:sz w:val="18"/>
        </w:rPr>
        <w:t xml:space="preserve"> </w:t>
      </w:r>
      <w:r>
        <w:rPr>
          <w:sz w:val="18"/>
        </w:rPr>
        <w:t xml:space="preserve">2022, </w:t>
      </w:r>
      <w:hyperlink r:id="rId458">
        <w:r>
          <w:rPr>
            <w:color w:val="0562C1"/>
            <w:spacing w:val="-2"/>
            <w:sz w:val="18"/>
            <w:u w:val="single" w:color="0562C1"/>
          </w:rPr>
          <w:t>https://www.advisory.com/Daily-Briefing/2018/11/09/maternal-mortality</w:t>
        </w:r>
        <w:r>
          <w:rPr>
            <w:spacing w:val="-2"/>
            <w:sz w:val="18"/>
          </w:rPr>
          <w:t>.</w:t>
        </w:r>
      </w:hyperlink>
    </w:p>
    <w:p w:rsidR="00200FDA" w:rsidRDefault="00F76C4C">
      <w:pPr>
        <w:ind w:left="140" w:right="357" w:hanging="1"/>
        <w:rPr>
          <w:sz w:val="18"/>
        </w:rPr>
      </w:pPr>
      <w:bookmarkStart w:id="639" w:name="_bookmark490"/>
      <w:bookmarkEnd w:id="639"/>
      <w:r>
        <w:rPr>
          <w:position w:val="5"/>
          <w:sz w:val="12"/>
        </w:rPr>
        <w:t>44</w:t>
      </w:r>
      <w:r>
        <w:rPr>
          <w:spacing w:val="9"/>
          <w:position w:val="5"/>
          <w:sz w:val="12"/>
        </w:rPr>
        <w:t xml:space="preserve"> </w:t>
      </w:r>
      <w:r>
        <w:rPr>
          <w:sz w:val="18"/>
        </w:rPr>
        <w:t>Massachusetts</w:t>
      </w:r>
      <w:r>
        <w:rPr>
          <w:spacing w:val="-4"/>
          <w:sz w:val="18"/>
        </w:rPr>
        <w:t xml:space="preserve"> </w:t>
      </w:r>
      <w:r>
        <w:rPr>
          <w:sz w:val="18"/>
        </w:rPr>
        <w:t>Department</w:t>
      </w:r>
      <w:r>
        <w:rPr>
          <w:spacing w:val="-4"/>
          <w:sz w:val="18"/>
        </w:rPr>
        <w:t xml:space="preserve"> </w:t>
      </w:r>
      <w:r>
        <w:rPr>
          <w:sz w:val="18"/>
        </w:rPr>
        <w:t>of</w:t>
      </w:r>
      <w:r>
        <w:rPr>
          <w:spacing w:val="-3"/>
          <w:sz w:val="18"/>
        </w:rPr>
        <w:t xml:space="preserve"> </w:t>
      </w:r>
      <w:r>
        <w:rPr>
          <w:sz w:val="18"/>
        </w:rPr>
        <w:t>Health.</w:t>
      </w:r>
      <w:r>
        <w:rPr>
          <w:spacing w:val="-3"/>
          <w:sz w:val="18"/>
        </w:rPr>
        <w:t xml:space="preserve"> </w:t>
      </w:r>
      <w:r>
        <w:rPr>
          <w:i/>
          <w:sz w:val="18"/>
        </w:rPr>
        <w:t>Maternal</w:t>
      </w:r>
      <w:r>
        <w:rPr>
          <w:i/>
          <w:spacing w:val="-4"/>
          <w:sz w:val="18"/>
        </w:rPr>
        <w:t xml:space="preserve"> </w:t>
      </w:r>
      <w:r>
        <w:rPr>
          <w:i/>
          <w:sz w:val="18"/>
        </w:rPr>
        <w:t>Mortality</w:t>
      </w:r>
      <w:r>
        <w:rPr>
          <w:i/>
          <w:spacing w:val="-2"/>
          <w:sz w:val="18"/>
        </w:rPr>
        <w:t xml:space="preserve"> </w:t>
      </w:r>
      <w:r>
        <w:rPr>
          <w:i/>
          <w:sz w:val="18"/>
        </w:rPr>
        <w:t>and</w:t>
      </w:r>
      <w:r>
        <w:rPr>
          <w:i/>
          <w:spacing w:val="-2"/>
          <w:sz w:val="18"/>
        </w:rPr>
        <w:t xml:space="preserve"> </w:t>
      </w:r>
      <w:r>
        <w:rPr>
          <w:i/>
          <w:sz w:val="18"/>
        </w:rPr>
        <w:t>Morbidity</w:t>
      </w:r>
      <w:r>
        <w:rPr>
          <w:i/>
          <w:spacing w:val="-2"/>
          <w:sz w:val="18"/>
        </w:rPr>
        <w:t xml:space="preserve"> </w:t>
      </w:r>
      <w:r>
        <w:rPr>
          <w:i/>
          <w:sz w:val="18"/>
        </w:rPr>
        <w:t>Review</w:t>
      </w:r>
      <w:r>
        <w:rPr>
          <w:i/>
          <w:spacing w:val="-2"/>
          <w:sz w:val="18"/>
        </w:rPr>
        <w:t xml:space="preserve"> </w:t>
      </w:r>
      <w:r>
        <w:rPr>
          <w:i/>
          <w:sz w:val="18"/>
        </w:rPr>
        <w:t>in</w:t>
      </w:r>
      <w:r>
        <w:rPr>
          <w:i/>
          <w:spacing w:val="-2"/>
          <w:sz w:val="18"/>
        </w:rPr>
        <w:t xml:space="preserve"> </w:t>
      </w:r>
      <w:r>
        <w:rPr>
          <w:i/>
          <w:sz w:val="18"/>
        </w:rPr>
        <w:t>Massachusetts:</w:t>
      </w:r>
      <w:r>
        <w:rPr>
          <w:i/>
          <w:spacing w:val="-3"/>
          <w:sz w:val="18"/>
        </w:rPr>
        <w:t xml:space="preserve"> </w:t>
      </w:r>
      <w:r>
        <w:rPr>
          <w:i/>
          <w:sz w:val="18"/>
        </w:rPr>
        <w:t>A</w:t>
      </w:r>
      <w:r>
        <w:rPr>
          <w:i/>
          <w:spacing w:val="-4"/>
          <w:sz w:val="18"/>
        </w:rPr>
        <w:t xml:space="preserve"> </w:t>
      </w:r>
      <w:r>
        <w:rPr>
          <w:i/>
          <w:sz w:val="18"/>
        </w:rPr>
        <w:t>Bulletin</w:t>
      </w:r>
      <w:r>
        <w:rPr>
          <w:i/>
          <w:spacing w:val="-2"/>
          <w:sz w:val="18"/>
        </w:rPr>
        <w:t xml:space="preserve"> </w:t>
      </w:r>
      <w:r>
        <w:rPr>
          <w:i/>
          <w:sz w:val="18"/>
        </w:rPr>
        <w:t>for</w:t>
      </w:r>
      <w:r>
        <w:rPr>
          <w:i/>
          <w:spacing w:val="-3"/>
          <w:sz w:val="18"/>
        </w:rPr>
        <w:t xml:space="preserve"> </w:t>
      </w:r>
      <w:r>
        <w:rPr>
          <w:i/>
          <w:sz w:val="18"/>
        </w:rPr>
        <w:t>Health</w:t>
      </w:r>
      <w:r>
        <w:rPr>
          <w:i/>
          <w:spacing w:val="-2"/>
          <w:sz w:val="18"/>
        </w:rPr>
        <w:t xml:space="preserve"> </w:t>
      </w:r>
      <w:r>
        <w:rPr>
          <w:i/>
          <w:sz w:val="18"/>
        </w:rPr>
        <w:t>Care Professionals,</w:t>
      </w:r>
      <w:r>
        <w:rPr>
          <w:i/>
          <w:spacing w:val="-4"/>
          <w:sz w:val="18"/>
        </w:rPr>
        <w:t xml:space="preserve"> </w:t>
      </w:r>
      <w:r>
        <w:rPr>
          <w:i/>
          <w:sz w:val="18"/>
        </w:rPr>
        <w:t>Pregnancy-</w:t>
      </w:r>
      <w:r>
        <w:rPr>
          <w:i/>
          <w:spacing w:val="-4"/>
          <w:sz w:val="18"/>
        </w:rPr>
        <w:t xml:space="preserve"> </w:t>
      </w:r>
      <w:r>
        <w:rPr>
          <w:i/>
          <w:sz w:val="18"/>
        </w:rPr>
        <w:t>Associated</w:t>
      </w:r>
      <w:r>
        <w:rPr>
          <w:i/>
          <w:spacing w:val="-3"/>
          <w:sz w:val="18"/>
        </w:rPr>
        <w:t xml:space="preserve"> </w:t>
      </w:r>
      <w:r>
        <w:rPr>
          <w:i/>
          <w:sz w:val="18"/>
        </w:rPr>
        <w:t>Mortality,</w:t>
      </w:r>
      <w:r>
        <w:rPr>
          <w:i/>
          <w:spacing w:val="-4"/>
          <w:sz w:val="18"/>
        </w:rPr>
        <w:t xml:space="preserve"> </w:t>
      </w:r>
      <w:r>
        <w:rPr>
          <w:i/>
          <w:sz w:val="18"/>
        </w:rPr>
        <w:t>2000-2007</w:t>
      </w:r>
      <w:r>
        <w:rPr>
          <w:sz w:val="18"/>
        </w:rPr>
        <w:t>.</w:t>
      </w:r>
      <w:r>
        <w:rPr>
          <w:spacing w:val="-4"/>
          <w:sz w:val="18"/>
        </w:rPr>
        <w:t xml:space="preserve"> </w:t>
      </w:r>
      <w:r>
        <w:rPr>
          <w:sz w:val="18"/>
        </w:rPr>
        <w:t>Bureau</w:t>
      </w:r>
      <w:r>
        <w:rPr>
          <w:spacing w:val="-4"/>
          <w:sz w:val="18"/>
        </w:rPr>
        <w:t xml:space="preserve"> </w:t>
      </w:r>
      <w:r>
        <w:rPr>
          <w:sz w:val="18"/>
        </w:rPr>
        <w:t>of</w:t>
      </w:r>
      <w:r>
        <w:rPr>
          <w:spacing w:val="-4"/>
          <w:sz w:val="18"/>
        </w:rPr>
        <w:t xml:space="preserve"> </w:t>
      </w:r>
      <w:r>
        <w:rPr>
          <w:sz w:val="18"/>
        </w:rPr>
        <w:t>Family</w:t>
      </w:r>
      <w:r>
        <w:rPr>
          <w:spacing w:val="-4"/>
          <w:sz w:val="18"/>
        </w:rPr>
        <w:t xml:space="preserve"> </w:t>
      </w:r>
      <w:r>
        <w:rPr>
          <w:sz w:val="18"/>
        </w:rPr>
        <w:t>Health</w:t>
      </w:r>
      <w:r>
        <w:rPr>
          <w:spacing w:val="-4"/>
          <w:sz w:val="18"/>
        </w:rPr>
        <w:t xml:space="preserve"> </w:t>
      </w:r>
      <w:r>
        <w:rPr>
          <w:sz w:val="18"/>
        </w:rPr>
        <w:t>and</w:t>
      </w:r>
      <w:r>
        <w:rPr>
          <w:spacing w:val="-3"/>
          <w:sz w:val="18"/>
        </w:rPr>
        <w:t xml:space="preserve"> </w:t>
      </w:r>
      <w:r>
        <w:rPr>
          <w:sz w:val="18"/>
        </w:rPr>
        <w:t>Nutrition,</w:t>
      </w:r>
      <w:r>
        <w:rPr>
          <w:spacing w:val="-1"/>
          <w:sz w:val="18"/>
        </w:rPr>
        <w:t xml:space="preserve"> </w:t>
      </w:r>
      <w:r>
        <w:rPr>
          <w:sz w:val="18"/>
        </w:rPr>
        <w:t>Massachusetts</w:t>
      </w:r>
      <w:r>
        <w:rPr>
          <w:spacing w:val="-3"/>
          <w:sz w:val="18"/>
        </w:rPr>
        <w:t xml:space="preserve"> </w:t>
      </w:r>
      <w:r>
        <w:rPr>
          <w:sz w:val="18"/>
        </w:rPr>
        <w:t>Department of Public Health (2014). Available online at: https:</w:t>
      </w:r>
      <w:hyperlink r:id="rId459">
        <w:r>
          <w:rPr>
            <w:sz w:val="18"/>
          </w:rPr>
          <w:t>//w</w:t>
        </w:r>
      </w:hyperlink>
      <w:r>
        <w:rPr>
          <w:sz w:val="18"/>
        </w:rPr>
        <w:t>ww</w:t>
      </w:r>
      <w:hyperlink r:id="rId460">
        <w:r>
          <w:rPr>
            <w:sz w:val="18"/>
          </w:rPr>
          <w:t>.mass.gov/doc/2014-</w:t>
        </w:r>
      </w:hyperlink>
      <w:r>
        <w:rPr>
          <w:sz w:val="18"/>
        </w:rPr>
        <w:t xml:space="preserve"> report- pregnancy</w:t>
      </w:r>
      <w:r>
        <w:rPr>
          <w:sz w:val="18"/>
        </w:rPr>
        <w:t xml:space="preserve">- associated- mortality-2000- </w:t>
      </w:r>
      <w:r>
        <w:rPr>
          <w:spacing w:val="-2"/>
          <w:sz w:val="18"/>
        </w:rPr>
        <w:t>2007/download</w:t>
      </w:r>
    </w:p>
    <w:p w:rsidR="00200FDA" w:rsidRDefault="00F76C4C">
      <w:pPr>
        <w:ind w:left="139" w:right="479"/>
        <w:rPr>
          <w:sz w:val="18"/>
        </w:rPr>
      </w:pPr>
      <w:bookmarkStart w:id="640" w:name="_bookmark491"/>
      <w:bookmarkEnd w:id="640"/>
      <w:r>
        <w:rPr>
          <w:position w:val="5"/>
          <w:sz w:val="12"/>
        </w:rPr>
        <w:t>45</w:t>
      </w:r>
      <w:r>
        <w:rPr>
          <w:spacing w:val="18"/>
          <w:position w:val="5"/>
          <w:sz w:val="12"/>
        </w:rPr>
        <w:t xml:space="preserve"> </w:t>
      </w:r>
      <w:r>
        <w:rPr>
          <w:sz w:val="18"/>
        </w:rPr>
        <w:t>Tucker, Myra J., Cynthia J. Berg, William M. Callaghan, and Jason Hsia. “The Black–White Disparity in Pregnancy-Related Mortality</w:t>
      </w:r>
      <w:r>
        <w:rPr>
          <w:spacing w:val="-2"/>
          <w:sz w:val="18"/>
        </w:rPr>
        <w:t xml:space="preserve"> </w:t>
      </w:r>
      <w:r>
        <w:rPr>
          <w:sz w:val="18"/>
        </w:rPr>
        <w:t>From</w:t>
      </w:r>
      <w:r>
        <w:rPr>
          <w:spacing w:val="-2"/>
          <w:sz w:val="18"/>
        </w:rPr>
        <w:t xml:space="preserve"> </w:t>
      </w:r>
      <w:r>
        <w:rPr>
          <w:sz w:val="18"/>
        </w:rPr>
        <w:t>5</w:t>
      </w:r>
      <w:r>
        <w:rPr>
          <w:spacing w:val="-2"/>
          <w:sz w:val="18"/>
        </w:rPr>
        <w:t xml:space="preserve"> </w:t>
      </w:r>
      <w:r>
        <w:rPr>
          <w:sz w:val="18"/>
        </w:rPr>
        <w:t>Conditions:</w:t>
      </w:r>
      <w:r>
        <w:rPr>
          <w:spacing w:val="-2"/>
          <w:sz w:val="18"/>
        </w:rPr>
        <w:t xml:space="preserve"> </w:t>
      </w:r>
      <w:r>
        <w:rPr>
          <w:sz w:val="18"/>
        </w:rPr>
        <w:t>Differences</w:t>
      </w:r>
      <w:r>
        <w:rPr>
          <w:spacing w:val="-3"/>
          <w:sz w:val="18"/>
        </w:rPr>
        <w:t xml:space="preserve"> </w:t>
      </w:r>
      <w:r>
        <w:rPr>
          <w:sz w:val="18"/>
        </w:rPr>
        <w:t>in</w:t>
      </w:r>
      <w:r>
        <w:rPr>
          <w:spacing w:val="-3"/>
          <w:sz w:val="18"/>
        </w:rPr>
        <w:t xml:space="preserve"> </w:t>
      </w:r>
      <w:r>
        <w:rPr>
          <w:sz w:val="18"/>
        </w:rPr>
        <w:t>Prevalence</w:t>
      </w:r>
      <w:r>
        <w:rPr>
          <w:spacing w:val="-3"/>
          <w:sz w:val="18"/>
        </w:rPr>
        <w:t xml:space="preserve"> </w:t>
      </w:r>
      <w:r>
        <w:rPr>
          <w:sz w:val="18"/>
        </w:rPr>
        <w:t>and</w:t>
      </w:r>
      <w:r>
        <w:rPr>
          <w:spacing w:val="-3"/>
          <w:sz w:val="18"/>
        </w:rPr>
        <w:t xml:space="preserve"> </w:t>
      </w:r>
      <w:r>
        <w:rPr>
          <w:sz w:val="18"/>
        </w:rPr>
        <w:t>Case-Fatality</w:t>
      </w:r>
      <w:r>
        <w:rPr>
          <w:spacing w:val="-2"/>
          <w:sz w:val="18"/>
        </w:rPr>
        <w:t xml:space="preserve"> </w:t>
      </w:r>
      <w:r>
        <w:rPr>
          <w:sz w:val="18"/>
        </w:rPr>
        <w:t>Rates.”</w:t>
      </w:r>
      <w:r>
        <w:rPr>
          <w:spacing w:val="-1"/>
          <w:sz w:val="18"/>
        </w:rPr>
        <w:t xml:space="preserve"> </w:t>
      </w:r>
      <w:r>
        <w:rPr>
          <w:i/>
          <w:sz w:val="18"/>
        </w:rPr>
        <w:t>American</w:t>
      </w:r>
      <w:r>
        <w:rPr>
          <w:i/>
          <w:spacing w:val="-1"/>
          <w:sz w:val="18"/>
        </w:rPr>
        <w:t xml:space="preserve"> </w:t>
      </w:r>
      <w:r>
        <w:rPr>
          <w:i/>
          <w:sz w:val="18"/>
        </w:rPr>
        <w:t>Journal</w:t>
      </w:r>
      <w:r>
        <w:rPr>
          <w:i/>
          <w:spacing w:val="-5"/>
          <w:sz w:val="18"/>
        </w:rPr>
        <w:t xml:space="preserve"> </w:t>
      </w:r>
      <w:r>
        <w:rPr>
          <w:i/>
          <w:sz w:val="18"/>
        </w:rPr>
        <w:t>of</w:t>
      </w:r>
      <w:r>
        <w:rPr>
          <w:i/>
          <w:spacing w:val="-2"/>
          <w:sz w:val="18"/>
        </w:rPr>
        <w:t xml:space="preserve"> </w:t>
      </w:r>
      <w:r>
        <w:rPr>
          <w:i/>
          <w:sz w:val="18"/>
        </w:rPr>
        <w:t>Public</w:t>
      </w:r>
      <w:r>
        <w:rPr>
          <w:i/>
          <w:spacing w:val="-3"/>
          <w:sz w:val="18"/>
        </w:rPr>
        <w:t xml:space="preserve"> </w:t>
      </w:r>
      <w:r>
        <w:rPr>
          <w:i/>
          <w:sz w:val="18"/>
        </w:rPr>
        <w:t>Health</w:t>
      </w:r>
      <w:r>
        <w:rPr>
          <w:i/>
          <w:spacing w:val="-2"/>
          <w:sz w:val="18"/>
        </w:rPr>
        <w:t xml:space="preserve"> </w:t>
      </w:r>
      <w:r>
        <w:rPr>
          <w:sz w:val="18"/>
        </w:rPr>
        <w:t>97,</w:t>
      </w:r>
      <w:r>
        <w:rPr>
          <w:spacing w:val="-4"/>
          <w:sz w:val="18"/>
        </w:rPr>
        <w:t xml:space="preserve"> </w:t>
      </w:r>
      <w:r>
        <w:rPr>
          <w:sz w:val="18"/>
        </w:rPr>
        <w:t>no.</w:t>
      </w:r>
      <w:r>
        <w:rPr>
          <w:spacing w:val="-2"/>
          <w:sz w:val="18"/>
        </w:rPr>
        <w:t xml:space="preserve"> </w:t>
      </w:r>
      <w:r>
        <w:rPr>
          <w:sz w:val="18"/>
        </w:rPr>
        <w:t xml:space="preserve">2 (February 2007): 247–51. </w:t>
      </w:r>
      <w:hyperlink r:id="rId461">
        <w:r>
          <w:rPr>
            <w:color w:val="0562C1"/>
            <w:sz w:val="18"/>
            <w:u w:val="single" w:color="0562C1"/>
          </w:rPr>
          <w:t>https://doi.org/10.2105/AJPH.2005.072975</w:t>
        </w:r>
      </w:hyperlink>
    </w:p>
    <w:p w:rsidR="00200FDA" w:rsidRDefault="00F76C4C">
      <w:pPr>
        <w:ind w:left="140" w:right="959" w:hanging="1"/>
        <w:rPr>
          <w:sz w:val="18"/>
        </w:rPr>
      </w:pPr>
      <w:bookmarkStart w:id="641" w:name="_bookmark492"/>
      <w:bookmarkEnd w:id="641"/>
      <w:r>
        <w:rPr>
          <w:position w:val="5"/>
          <w:sz w:val="12"/>
        </w:rPr>
        <w:t>46</w:t>
      </w:r>
      <w:r>
        <w:rPr>
          <w:spacing w:val="10"/>
          <w:position w:val="5"/>
          <w:sz w:val="12"/>
        </w:rPr>
        <w:t xml:space="preserve"> </w:t>
      </w:r>
      <w:r>
        <w:rPr>
          <w:sz w:val="18"/>
        </w:rPr>
        <w:t>“Protecting</w:t>
      </w:r>
      <w:r>
        <w:rPr>
          <w:spacing w:val="-3"/>
          <w:sz w:val="18"/>
        </w:rPr>
        <w:t xml:space="preserve"> </w:t>
      </w:r>
      <w:r>
        <w:rPr>
          <w:sz w:val="18"/>
        </w:rPr>
        <w:t>Basic</w:t>
      </w:r>
      <w:r>
        <w:rPr>
          <w:spacing w:val="-3"/>
          <w:sz w:val="18"/>
        </w:rPr>
        <w:t xml:space="preserve"> </w:t>
      </w:r>
      <w:r>
        <w:rPr>
          <w:sz w:val="18"/>
        </w:rPr>
        <w:t>Living</w:t>
      </w:r>
      <w:r>
        <w:rPr>
          <w:spacing w:val="-2"/>
          <w:sz w:val="18"/>
        </w:rPr>
        <w:t xml:space="preserve"> </w:t>
      </w:r>
      <w:r>
        <w:rPr>
          <w:sz w:val="18"/>
        </w:rPr>
        <w:t>Standards</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People,”</w:t>
      </w:r>
      <w:r>
        <w:rPr>
          <w:spacing w:val="-3"/>
          <w:sz w:val="18"/>
        </w:rPr>
        <w:t xml:space="preserve"> </w:t>
      </w:r>
      <w:r>
        <w:rPr>
          <w:i/>
          <w:sz w:val="18"/>
        </w:rPr>
        <w:t>Center</w:t>
      </w:r>
      <w:r>
        <w:rPr>
          <w:i/>
          <w:spacing w:val="-3"/>
          <w:sz w:val="18"/>
        </w:rPr>
        <w:t xml:space="preserve"> </w:t>
      </w:r>
      <w:r>
        <w:rPr>
          <w:i/>
          <w:sz w:val="18"/>
        </w:rPr>
        <w:t>for</w:t>
      </w:r>
      <w:r>
        <w:rPr>
          <w:i/>
          <w:spacing w:val="-3"/>
          <w:sz w:val="18"/>
        </w:rPr>
        <w:t xml:space="preserve"> </w:t>
      </w:r>
      <w:r>
        <w:rPr>
          <w:i/>
          <w:sz w:val="18"/>
        </w:rPr>
        <w:t>American</w:t>
      </w:r>
      <w:r>
        <w:rPr>
          <w:i/>
          <w:spacing w:val="-2"/>
          <w:sz w:val="18"/>
        </w:rPr>
        <w:t xml:space="preserve"> </w:t>
      </w:r>
      <w:r>
        <w:rPr>
          <w:i/>
          <w:sz w:val="18"/>
        </w:rPr>
        <w:t>Progress</w:t>
      </w:r>
      <w:r>
        <w:rPr>
          <w:i/>
          <w:spacing w:val="-3"/>
          <w:sz w:val="18"/>
        </w:rPr>
        <w:t xml:space="preserve"> </w:t>
      </w:r>
      <w:r>
        <w:rPr>
          <w:sz w:val="18"/>
        </w:rPr>
        <w:t>(blog),</w:t>
      </w:r>
      <w:r>
        <w:rPr>
          <w:spacing w:val="-3"/>
          <w:sz w:val="18"/>
        </w:rPr>
        <w:t xml:space="preserve"> </w:t>
      </w:r>
      <w:r>
        <w:rPr>
          <w:sz w:val="18"/>
        </w:rPr>
        <w:t>accessed</w:t>
      </w:r>
      <w:r>
        <w:rPr>
          <w:spacing w:val="-3"/>
          <w:sz w:val="18"/>
        </w:rPr>
        <w:t xml:space="preserve"> </w:t>
      </w:r>
      <w:r>
        <w:rPr>
          <w:sz w:val="18"/>
        </w:rPr>
        <w:t>August</w:t>
      </w:r>
      <w:r>
        <w:rPr>
          <w:spacing w:val="-3"/>
          <w:sz w:val="18"/>
        </w:rPr>
        <w:t xml:space="preserve"> </w:t>
      </w:r>
      <w:r>
        <w:rPr>
          <w:sz w:val="18"/>
        </w:rPr>
        <w:t>11,</w:t>
      </w:r>
      <w:r>
        <w:rPr>
          <w:spacing w:val="-3"/>
          <w:sz w:val="18"/>
        </w:rPr>
        <w:t xml:space="preserve"> </w:t>
      </w:r>
      <w:r>
        <w:rPr>
          <w:sz w:val="18"/>
        </w:rPr>
        <w:t xml:space="preserve">2022, </w:t>
      </w:r>
      <w:hyperlink r:id="rId462">
        <w:r>
          <w:rPr>
            <w:color w:val="0562C1"/>
            <w:spacing w:val="-2"/>
            <w:sz w:val="18"/>
            <w:u w:val="single" w:color="0562C1"/>
          </w:rPr>
          <w:t>https://www.americanprogress.org/article/protecting-basic-living-standards-lgbtq-people/</w:t>
        </w:r>
        <w:r>
          <w:rPr>
            <w:spacing w:val="-2"/>
            <w:sz w:val="18"/>
          </w:rPr>
          <w:t>.</w:t>
        </w:r>
      </w:hyperlink>
    </w:p>
    <w:p w:rsidR="00200FDA" w:rsidRDefault="00F76C4C">
      <w:pPr>
        <w:ind w:left="140" w:right="471" w:hanging="1"/>
        <w:rPr>
          <w:sz w:val="18"/>
        </w:rPr>
      </w:pPr>
      <w:bookmarkStart w:id="642" w:name="_bookmark493"/>
      <w:bookmarkEnd w:id="642"/>
      <w:r>
        <w:rPr>
          <w:position w:val="5"/>
          <w:sz w:val="12"/>
        </w:rPr>
        <w:t>47</w:t>
      </w:r>
      <w:r>
        <w:rPr>
          <w:spacing w:val="10"/>
          <w:position w:val="5"/>
          <w:sz w:val="12"/>
        </w:rPr>
        <w:t xml:space="preserve"> </w:t>
      </w:r>
      <w:r>
        <w:rPr>
          <w:sz w:val="18"/>
        </w:rPr>
        <w:t>Brittany</w:t>
      </w:r>
      <w:r>
        <w:rPr>
          <w:spacing w:val="-2"/>
          <w:sz w:val="18"/>
        </w:rPr>
        <w:t xml:space="preserve"> </w:t>
      </w:r>
      <w:r>
        <w:rPr>
          <w:sz w:val="18"/>
        </w:rPr>
        <w:t>M.</w:t>
      </w:r>
      <w:r>
        <w:rPr>
          <w:spacing w:val="-2"/>
          <w:sz w:val="18"/>
        </w:rPr>
        <w:t xml:space="preserve"> </w:t>
      </w:r>
      <w:r>
        <w:rPr>
          <w:sz w:val="18"/>
        </w:rPr>
        <w:t>Charlton</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“Sexual</w:t>
      </w:r>
      <w:r>
        <w:rPr>
          <w:spacing w:val="-3"/>
          <w:sz w:val="18"/>
        </w:rPr>
        <w:t xml:space="preserve"> </w:t>
      </w:r>
      <w:r>
        <w:rPr>
          <w:sz w:val="18"/>
        </w:rPr>
        <w:t>Orientation</w:t>
      </w:r>
      <w:r>
        <w:rPr>
          <w:spacing w:val="-3"/>
          <w:sz w:val="18"/>
        </w:rPr>
        <w:t xml:space="preserve"> </w:t>
      </w:r>
      <w:r>
        <w:rPr>
          <w:sz w:val="18"/>
        </w:rPr>
        <w:t>Differences</w:t>
      </w:r>
      <w:r>
        <w:rPr>
          <w:spacing w:val="-3"/>
          <w:sz w:val="18"/>
        </w:rPr>
        <w:t xml:space="preserve"> </w:t>
      </w:r>
      <w:r>
        <w:rPr>
          <w:sz w:val="18"/>
        </w:rPr>
        <w:t>in</w:t>
      </w:r>
      <w:r>
        <w:rPr>
          <w:spacing w:val="-3"/>
          <w:sz w:val="18"/>
        </w:rPr>
        <w:t xml:space="preserve"> </w:t>
      </w:r>
      <w:r>
        <w:rPr>
          <w:sz w:val="18"/>
        </w:rPr>
        <w:t>Pregnancy</w:t>
      </w:r>
      <w:r>
        <w:rPr>
          <w:spacing w:val="-2"/>
          <w:sz w:val="18"/>
        </w:rPr>
        <w:t xml:space="preserve"> </w:t>
      </w:r>
      <w:r>
        <w:rPr>
          <w:sz w:val="18"/>
        </w:rPr>
        <w:t>and</w:t>
      </w:r>
      <w:r>
        <w:rPr>
          <w:spacing w:val="-3"/>
          <w:sz w:val="18"/>
        </w:rPr>
        <w:t xml:space="preserve"> </w:t>
      </w:r>
      <w:r>
        <w:rPr>
          <w:sz w:val="18"/>
        </w:rPr>
        <w:t>Abortion</w:t>
      </w:r>
      <w:r>
        <w:rPr>
          <w:spacing w:val="-3"/>
          <w:sz w:val="18"/>
        </w:rPr>
        <w:t xml:space="preserve"> </w:t>
      </w:r>
      <w:r>
        <w:rPr>
          <w:sz w:val="18"/>
        </w:rPr>
        <w:t>Across</w:t>
      </w:r>
      <w:r>
        <w:rPr>
          <w:spacing w:val="-3"/>
          <w:sz w:val="18"/>
        </w:rPr>
        <w:t xml:space="preserve"> </w:t>
      </w:r>
      <w:r>
        <w:rPr>
          <w:sz w:val="18"/>
        </w:rPr>
        <w:t>the</w:t>
      </w:r>
      <w:r>
        <w:rPr>
          <w:spacing w:val="-3"/>
          <w:sz w:val="18"/>
        </w:rPr>
        <w:t xml:space="preserve"> </w:t>
      </w:r>
      <w:r>
        <w:rPr>
          <w:sz w:val="18"/>
        </w:rPr>
        <w:t>Lifecourse,”</w:t>
      </w:r>
      <w:r>
        <w:rPr>
          <w:spacing w:val="-3"/>
          <w:sz w:val="18"/>
        </w:rPr>
        <w:t xml:space="preserve"> </w:t>
      </w:r>
      <w:r>
        <w:rPr>
          <w:i/>
          <w:sz w:val="18"/>
        </w:rPr>
        <w:t xml:space="preserve">Women’s Health Issues </w:t>
      </w:r>
      <w:r>
        <w:rPr>
          <w:sz w:val="18"/>
        </w:rPr>
        <w:t>30, no. 2 (March 2020): 65–72.</w:t>
      </w:r>
    </w:p>
    <w:p w:rsidR="00200FDA" w:rsidRDefault="00F76C4C">
      <w:pPr>
        <w:spacing w:before="1"/>
        <w:ind w:left="140" w:right="357" w:hanging="1"/>
        <w:rPr>
          <w:sz w:val="18"/>
        </w:rPr>
      </w:pPr>
      <w:bookmarkStart w:id="643" w:name="_bookmark494"/>
      <w:bookmarkEnd w:id="643"/>
      <w:r>
        <w:rPr>
          <w:position w:val="5"/>
          <w:sz w:val="12"/>
        </w:rPr>
        <w:t>48</w:t>
      </w:r>
      <w:r>
        <w:rPr>
          <w:spacing w:val="10"/>
          <w:position w:val="5"/>
          <w:sz w:val="12"/>
        </w:rPr>
        <w:t xml:space="preserve"> </w:t>
      </w:r>
      <w:r>
        <w:rPr>
          <w:sz w:val="18"/>
        </w:rPr>
        <w:t>Rachel</w:t>
      </w:r>
      <w:r>
        <w:rPr>
          <w:spacing w:val="-3"/>
          <w:sz w:val="18"/>
        </w:rPr>
        <w:t xml:space="preserve"> </w:t>
      </w:r>
      <w:r>
        <w:rPr>
          <w:sz w:val="18"/>
        </w:rPr>
        <w:t>K.</w:t>
      </w:r>
      <w:r>
        <w:rPr>
          <w:spacing w:val="-2"/>
          <w:sz w:val="18"/>
        </w:rPr>
        <w:t xml:space="preserve"> </w:t>
      </w:r>
      <w:r>
        <w:rPr>
          <w:sz w:val="18"/>
        </w:rPr>
        <w:t>Jones,</w:t>
      </w:r>
      <w:r>
        <w:rPr>
          <w:spacing w:val="-2"/>
          <w:sz w:val="18"/>
        </w:rPr>
        <w:t xml:space="preserve"> </w:t>
      </w:r>
      <w:r>
        <w:rPr>
          <w:sz w:val="18"/>
        </w:rPr>
        <w:t>Elizabeth</w:t>
      </w:r>
      <w:r>
        <w:rPr>
          <w:spacing w:val="-3"/>
          <w:sz w:val="18"/>
        </w:rPr>
        <w:t xml:space="preserve"> </w:t>
      </w:r>
      <w:r>
        <w:rPr>
          <w:sz w:val="18"/>
        </w:rPr>
        <w:t>Witwer,</w:t>
      </w:r>
      <w:r>
        <w:rPr>
          <w:spacing w:val="-2"/>
          <w:sz w:val="18"/>
        </w:rPr>
        <w:t xml:space="preserve"> </w:t>
      </w:r>
      <w:r>
        <w:rPr>
          <w:sz w:val="18"/>
        </w:rPr>
        <w:t>and</w:t>
      </w:r>
      <w:r>
        <w:rPr>
          <w:spacing w:val="-3"/>
          <w:sz w:val="18"/>
        </w:rPr>
        <w:t xml:space="preserve"> </w:t>
      </w:r>
      <w:r>
        <w:rPr>
          <w:sz w:val="18"/>
        </w:rPr>
        <w:t>Jenna</w:t>
      </w:r>
      <w:r>
        <w:rPr>
          <w:spacing w:val="-2"/>
          <w:sz w:val="18"/>
        </w:rPr>
        <w:t xml:space="preserve"> </w:t>
      </w:r>
      <w:r>
        <w:rPr>
          <w:sz w:val="18"/>
        </w:rPr>
        <w:t>Jerman,</w:t>
      </w:r>
      <w:r>
        <w:rPr>
          <w:spacing w:val="-2"/>
          <w:sz w:val="18"/>
        </w:rPr>
        <w:t xml:space="preserve"> </w:t>
      </w:r>
      <w:r>
        <w:rPr>
          <w:sz w:val="18"/>
        </w:rPr>
        <w:t>“Transgender</w:t>
      </w:r>
      <w:r>
        <w:rPr>
          <w:spacing w:val="-3"/>
          <w:sz w:val="18"/>
        </w:rPr>
        <w:t xml:space="preserve"> </w:t>
      </w:r>
      <w:r>
        <w:rPr>
          <w:sz w:val="18"/>
        </w:rPr>
        <w:t>Abortion</w:t>
      </w:r>
      <w:r>
        <w:rPr>
          <w:spacing w:val="-3"/>
          <w:sz w:val="18"/>
        </w:rPr>
        <w:t xml:space="preserve"> </w:t>
      </w:r>
      <w:r>
        <w:rPr>
          <w:sz w:val="18"/>
        </w:rPr>
        <w:t>Patients</w:t>
      </w:r>
      <w:r>
        <w:rPr>
          <w:spacing w:val="-3"/>
          <w:sz w:val="18"/>
        </w:rPr>
        <w:t xml:space="preserve"> </w:t>
      </w:r>
      <w:r>
        <w:rPr>
          <w:sz w:val="18"/>
        </w:rPr>
        <w:t>and</w:t>
      </w:r>
      <w:r>
        <w:rPr>
          <w:spacing w:val="-3"/>
          <w:sz w:val="18"/>
        </w:rPr>
        <w:t xml:space="preserve"> </w:t>
      </w:r>
      <w:r>
        <w:rPr>
          <w:sz w:val="18"/>
        </w:rPr>
        <w:t>the</w:t>
      </w:r>
      <w:r>
        <w:rPr>
          <w:spacing w:val="-3"/>
          <w:sz w:val="18"/>
        </w:rPr>
        <w:t xml:space="preserve"> </w:t>
      </w:r>
      <w:r>
        <w:rPr>
          <w:sz w:val="18"/>
        </w:rPr>
        <w:t>Provision</w:t>
      </w:r>
      <w:r>
        <w:rPr>
          <w:spacing w:val="-3"/>
          <w:sz w:val="18"/>
        </w:rPr>
        <w:t xml:space="preserve"> </w:t>
      </w:r>
      <w:r>
        <w:rPr>
          <w:sz w:val="18"/>
        </w:rPr>
        <w:t>of</w:t>
      </w:r>
      <w:r>
        <w:rPr>
          <w:spacing w:val="-2"/>
          <w:sz w:val="18"/>
        </w:rPr>
        <w:t xml:space="preserve"> </w:t>
      </w:r>
      <w:r>
        <w:rPr>
          <w:sz w:val="18"/>
        </w:rPr>
        <w:t xml:space="preserve">Transgender- Specific Care at Non-Hospital Facilities That Provide Abortions,” </w:t>
      </w:r>
      <w:r>
        <w:rPr>
          <w:i/>
          <w:sz w:val="18"/>
        </w:rPr>
        <w:t xml:space="preserve">Contraception: X </w:t>
      </w:r>
      <w:r>
        <w:rPr>
          <w:sz w:val="18"/>
        </w:rPr>
        <w:t xml:space="preserve">2 (2020): 100019, </w:t>
      </w:r>
      <w:hyperlink r:id="rId463">
        <w:r>
          <w:rPr>
            <w:color w:val="0562C1"/>
            <w:spacing w:val="-2"/>
            <w:sz w:val="18"/>
            <w:u w:val="single" w:color="0562C1"/>
          </w:rPr>
          <w:t>https://doi.org/10.1016/j.conx.2020.100019</w:t>
        </w:r>
        <w:r>
          <w:rPr>
            <w:spacing w:val="-2"/>
            <w:sz w:val="18"/>
          </w:rPr>
          <w:t>.</w:t>
        </w:r>
      </w:hyperlink>
    </w:p>
    <w:p w:rsidR="00200FDA" w:rsidRDefault="00F76C4C">
      <w:pPr>
        <w:ind w:left="140" w:right="674" w:hanging="1"/>
        <w:rPr>
          <w:sz w:val="18"/>
        </w:rPr>
      </w:pPr>
      <w:bookmarkStart w:id="644" w:name="_bookmark495"/>
      <w:bookmarkEnd w:id="644"/>
      <w:r>
        <w:rPr>
          <w:position w:val="5"/>
          <w:sz w:val="12"/>
        </w:rPr>
        <w:t>49</w:t>
      </w:r>
      <w:r>
        <w:rPr>
          <w:spacing w:val="10"/>
          <w:position w:val="5"/>
          <w:sz w:val="12"/>
        </w:rPr>
        <w:t xml:space="preserve"> </w:t>
      </w:r>
      <w:r>
        <w:rPr>
          <w:sz w:val="18"/>
        </w:rPr>
        <w:t>“New</w:t>
      </w:r>
      <w:r>
        <w:rPr>
          <w:spacing w:val="-1"/>
          <w:sz w:val="18"/>
        </w:rPr>
        <w:t xml:space="preserve"> </w:t>
      </w:r>
      <w:r>
        <w:rPr>
          <w:sz w:val="18"/>
        </w:rPr>
        <w:t>Poll</w:t>
      </w:r>
      <w:r>
        <w:rPr>
          <w:spacing w:val="-3"/>
          <w:sz w:val="18"/>
        </w:rPr>
        <w:t xml:space="preserve"> </w:t>
      </w:r>
      <w:r>
        <w:rPr>
          <w:sz w:val="18"/>
        </w:rPr>
        <w:t>Illustrates</w:t>
      </w:r>
      <w:r>
        <w:rPr>
          <w:spacing w:val="-3"/>
          <w:sz w:val="18"/>
        </w:rPr>
        <w:t xml:space="preserve"> </w:t>
      </w:r>
      <w:r>
        <w:rPr>
          <w:sz w:val="18"/>
        </w:rPr>
        <w:t>the</w:t>
      </w:r>
      <w:r>
        <w:rPr>
          <w:spacing w:val="-3"/>
          <w:sz w:val="18"/>
        </w:rPr>
        <w:t xml:space="preserve"> </w:t>
      </w:r>
      <w:r>
        <w:rPr>
          <w:sz w:val="18"/>
        </w:rPr>
        <w:t>Impacts</w:t>
      </w:r>
      <w:r>
        <w:rPr>
          <w:spacing w:val="-1"/>
          <w:sz w:val="18"/>
        </w:rPr>
        <w:t xml:space="preserve"> </w:t>
      </w:r>
      <w:r>
        <w:rPr>
          <w:sz w:val="18"/>
        </w:rPr>
        <w:t>of</w:t>
      </w:r>
      <w:r>
        <w:rPr>
          <w:spacing w:val="-2"/>
          <w:sz w:val="18"/>
        </w:rPr>
        <w:t xml:space="preserve"> </w:t>
      </w:r>
      <w:r>
        <w:rPr>
          <w:sz w:val="18"/>
        </w:rPr>
        <w:t>Social</w:t>
      </w:r>
      <w:r>
        <w:rPr>
          <w:spacing w:val="-3"/>
          <w:sz w:val="18"/>
        </w:rPr>
        <w:t xml:space="preserve"> </w:t>
      </w:r>
      <w:r>
        <w:rPr>
          <w:sz w:val="18"/>
        </w:rPr>
        <w:t>&amp;</w:t>
      </w:r>
      <w:r>
        <w:rPr>
          <w:spacing w:val="-3"/>
          <w:sz w:val="18"/>
        </w:rPr>
        <w:t xml:space="preserve"> </w:t>
      </w:r>
      <w:r>
        <w:rPr>
          <w:sz w:val="18"/>
        </w:rPr>
        <w:t>Political</w:t>
      </w:r>
      <w:r>
        <w:rPr>
          <w:spacing w:val="-3"/>
          <w:sz w:val="18"/>
        </w:rPr>
        <w:t xml:space="preserve"> </w:t>
      </w:r>
      <w:r>
        <w:rPr>
          <w:sz w:val="18"/>
        </w:rPr>
        <w:t>Issues</w:t>
      </w:r>
      <w:r>
        <w:rPr>
          <w:spacing w:val="-3"/>
          <w:sz w:val="18"/>
        </w:rPr>
        <w:t xml:space="preserve"> </w:t>
      </w:r>
      <w:r>
        <w:rPr>
          <w:sz w:val="18"/>
        </w:rPr>
        <w:t>on</w:t>
      </w:r>
      <w:r>
        <w:rPr>
          <w:spacing w:val="-3"/>
          <w:sz w:val="18"/>
        </w:rPr>
        <w:t xml:space="preserve"> </w:t>
      </w:r>
      <w:r>
        <w:rPr>
          <w:sz w:val="18"/>
        </w:rPr>
        <w:t>LGBTQ</w:t>
      </w:r>
      <w:r>
        <w:rPr>
          <w:spacing w:val="-4"/>
          <w:sz w:val="18"/>
        </w:rPr>
        <w:t xml:space="preserve"> </w:t>
      </w:r>
      <w:r>
        <w:rPr>
          <w:sz w:val="18"/>
        </w:rPr>
        <w:t>Youth,”</w:t>
      </w:r>
      <w:r>
        <w:rPr>
          <w:spacing w:val="-3"/>
          <w:sz w:val="18"/>
        </w:rPr>
        <w:t xml:space="preserve"> </w:t>
      </w:r>
      <w:r>
        <w:rPr>
          <w:i/>
          <w:sz w:val="18"/>
        </w:rPr>
        <w:t>The</w:t>
      </w:r>
      <w:r>
        <w:rPr>
          <w:i/>
          <w:spacing w:val="-4"/>
          <w:sz w:val="18"/>
        </w:rPr>
        <w:t xml:space="preserve"> </w:t>
      </w:r>
      <w:r>
        <w:rPr>
          <w:i/>
          <w:sz w:val="18"/>
        </w:rPr>
        <w:t>Trevor</w:t>
      </w:r>
      <w:r>
        <w:rPr>
          <w:i/>
          <w:spacing w:val="-2"/>
          <w:sz w:val="18"/>
        </w:rPr>
        <w:t xml:space="preserve"> </w:t>
      </w:r>
      <w:r>
        <w:rPr>
          <w:i/>
          <w:sz w:val="18"/>
        </w:rPr>
        <w:t>Project</w:t>
      </w:r>
      <w:r>
        <w:rPr>
          <w:i/>
          <w:spacing w:val="-3"/>
          <w:sz w:val="18"/>
        </w:rPr>
        <w:t xml:space="preserve"> </w:t>
      </w:r>
      <w:r>
        <w:rPr>
          <w:sz w:val="18"/>
        </w:rPr>
        <w:t>(blog),</w:t>
      </w:r>
      <w:r>
        <w:rPr>
          <w:spacing w:val="-2"/>
          <w:sz w:val="18"/>
        </w:rPr>
        <w:t xml:space="preserve"> </w:t>
      </w:r>
      <w:r>
        <w:rPr>
          <w:sz w:val="18"/>
        </w:rPr>
        <w:t>January</w:t>
      </w:r>
      <w:r>
        <w:rPr>
          <w:spacing w:val="-2"/>
          <w:sz w:val="18"/>
        </w:rPr>
        <w:t xml:space="preserve"> </w:t>
      </w:r>
      <w:r>
        <w:rPr>
          <w:sz w:val="18"/>
        </w:rPr>
        <w:t>10,</w:t>
      </w:r>
      <w:r>
        <w:rPr>
          <w:spacing w:val="-2"/>
          <w:sz w:val="18"/>
        </w:rPr>
        <w:t xml:space="preserve"> </w:t>
      </w:r>
      <w:r>
        <w:rPr>
          <w:sz w:val="18"/>
        </w:rPr>
        <w:t xml:space="preserve">2022, </w:t>
      </w:r>
      <w:hyperlink r:id="rId464">
        <w:r>
          <w:rPr>
            <w:color w:val="0562C1"/>
            <w:spacing w:val="-2"/>
            <w:sz w:val="18"/>
            <w:u w:val="single" w:color="0562C1"/>
          </w:rPr>
          <w:t>https://www.thetrevorproject.org/blog/new-poll-illustrates-the-impacts-of-social-political-issues-on-lgbtq-youth/</w:t>
        </w:r>
        <w:r>
          <w:rPr>
            <w:spacing w:val="-2"/>
            <w:sz w:val="18"/>
          </w:rPr>
          <w:t>.</w:t>
        </w:r>
      </w:hyperlink>
    </w:p>
    <w:p w:rsidR="00200FDA" w:rsidRDefault="00200FDA">
      <w:pPr>
        <w:rPr>
          <w:sz w:val="18"/>
        </w:rPr>
        <w:sectPr w:rsidR="00200FDA">
          <w:pgSz w:w="12240" w:h="15840"/>
          <w:pgMar w:top="1140" w:right="1100" w:bottom="1540" w:left="1300" w:header="758" w:footer="1353" w:gutter="0"/>
          <w:cols w:space="720"/>
        </w:sectPr>
      </w:pPr>
    </w:p>
    <w:p w:rsidR="00200FDA" w:rsidRDefault="00200FDA">
      <w:pPr>
        <w:pStyle w:val="BodyText"/>
        <w:spacing w:before="7"/>
        <w:rPr>
          <w:sz w:val="20"/>
        </w:rPr>
      </w:pPr>
    </w:p>
    <w:p w:rsidR="00200FDA" w:rsidRDefault="00F76C4C">
      <w:pPr>
        <w:spacing w:before="69"/>
        <w:ind w:left="140" w:right="419"/>
        <w:jc w:val="both"/>
        <w:rPr>
          <w:sz w:val="18"/>
        </w:rPr>
      </w:pPr>
      <w:bookmarkStart w:id="645" w:name="_bookmark496"/>
      <w:bookmarkEnd w:id="645"/>
      <w:r>
        <w:rPr>
          <w:position w:val="5"/>
          <w:sz w:val="12"/>
        </w:rPr>
        <w:t>50</w:t>
      </w:r>
      <w:r>
        <w:rPr>
          <w:spacing w:val="11"/>
          <w:position w:val="5"/>
          <w:sz w:val="12"/>
        </w:rPr>
        <w:t xml:space="preserve"> </w:t>
      </w:r>
      <w:r>
        <w:rPr>
          <w:sz w:val="18"/>
        </w:rPr>
        <w:t>Stephanie</w:t>
      </w:r>
      <w:r>
        <w:rPr>
          <w:spacing w:val="-3"/>
          <w:sz w:val="18"/>
        </w:rPr>
        <w:t xml:space="preserve"> </w:t>
      </w:r>
      <w:r>
        <w:rPr>
          <w:sz w:val="18"/>
        </w:rPr>
        <w:t>Ebbert,</w:t>
      </w:r>
      <w:r>
        <w:rPr>
          <w:spacing w:val="-2"/>
          <w:sz w:val="18"/>
        </w:rPr>
        <w:t xml:space="preserve"> </w:t>
      </w:r>
      <w:r>
        <w:rPr>
          <w:sz w:val="18"/>
        </w:rPr>
        <w:t>“Massachusetts</w:t>
      </w:r>
      <w:r>
        <w:rPr>
          <w:spacing w:val="-3"/>
          <w:sz w:val="18"/>
        </w:rPr>
        <w:t xml:space="preserve"> </w:t>
      </w:r>
      <w:r>
        <w:rPr>
          <w:sz w:val="18"/>
        </w:rPr>
        <w:t>Has</w:t>
      </w:r>
      <w:r>
        <w:rPr>
          <w:spacing w:val="-3"/>
          <w:sz w:val="18"/>
        </w:rPr>
        <w:t xml:space="preserve"> </w:t>
      </w:r>
      <w:r>
        <w:rPr>
          <w:sz w:val="18"/>
        </w:rPr>
        <w:t>Expanded</w:t>
      </w:r>
      <w:r>
        <w:rPr>
          <w:spacing w:val="-1"/>
          <w:sz w:val="18"/>
        </w:rPr>
        <w:t xml:space="preserve"> </w:t>
      </w:r>
      <w:r>
        <w:rPr>
          <w:sz w:val="18"/>
        </w:rPr>
        <w:t>Abortion</w:t>
      </w:r>
      <w:r>
        <w:rPr>
          <w:spacing w:val="-3"/>
          <w:sz w:val="18"/>
        </w:rPr>
        <w:t xml:space="preserve"> </w:t>
      </w:r>
      <w:r>
        <w:rPr>
          <w:sz w:val="18"/>
        </w:rPr>
        <w:t>Rights. But</w:t>
      </w:r>
      <w:r>
        <w:rPr>
          <w:spacing w:val="-3"/>
          <w:sz w:val="18"/>
        </w:rPr>
        <w:t xml:space="preserve"> </w:t>
      </w:r>
      <w:r>
        <w:rPr>
          <w:sz w:val="18"/>
        </w:rPr>
        <w:t>Even</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Metro</w:t>
      </w:r>
      <w:r>
        <w:rPr>
          <w:spacing w:val="-1"/>
          <w:sz w:val="18"/>
        </w:rPr>
        <w:t xml:space="preserve"> </w:t>
      </w:r>
      <w:r>
        <w:rPr>
          <w:sz w:val="18"/>
        </w:rPr>
        <w:t>Region,</w:t>
      </w:r>
      <w:r>
        <w:rPr>
          <w:spacing w:val="-2"/>
          <w:sz w:val="18"/>
        </w:rPr>
        <w:t xml:space="preserve"> </w:t>
      </w:r>
      <w:r>
        <w:rPr>
          <w:sz w:val="18"/>
        </w:rPr>
        <w:t>Clinics</w:t>
      </w:r>
      <w:r>
        <w:rPr>
          <w:spacing w:val="-3"/>
          <w:sz w:val="18"/>
        </w:rPr>
        <w:t xml:space="preserve"> </w:t>
      </w:r>
      <w:r>
        <w:rPr>
          <w:sz w:val="18"/>
        </w:rPr>
        <w:t>Can</w:t>
      </w:r>
      <w:r>
        <w:rPr>
          <w:spacing w:val="-3"/>
          <w:sz w:val="18"/>
        </w:rPr>
        <w:t xml:space="preserve"> </w:t>
      </w:r>
      <w:r>
        <w:rPr>
          <w:sz w:val="18"/>
        </w:rPr>
        <w:t>Be</w:t>
      </w:r>
      <w:r>
        <w:rPr>
          <w:spacing w:val="-3"/>
          <w:sz w:val="18"/>
        </w:rPr>
        <w:t xml:space="preserve"> </w:t>
      </w:r>
      <w:r>
        <w:rPr>
          <w:sz w:val="18"/>
        </w:rPr>
        <w:t>Distant.</w:t>
      </w:r>
      <w:r>
        <w:rPr>
          <w:spacing w:val="-2"/>
          <w:sz w:val="18"/>
        </w:rPr>
        <w:t xml:space="preserve"> </w:t>
      </w:r>
      <w:r>
        <w:rPr>
          <w:sz w:val="18"/>
        </w:rPr>
        <w:t>-</w:t>
      </w:r>
      <w:r>
        <w:rPr>
          <w:spacing w:val="-2"/>
          <w:sz w:val="18"/>
        </w:rPr>
        <w:t xml:space="preserve"> </w:t>
      </w:r>
      <w:r>
        <w:rPr>
          <w:sz w:val="18"/>
        </w:rPr>
        <w:t>The Boston</w:t>
      </w:r>
      <w:r>
        <w:rPr>
          <w:spacing w:val="-7"/>
          <w:sz w:val="18"/>
        </w:rPr>
        <w:t xml:space="preserve"> </w:t>
      </w:r>
      <w:r>
        <w:rPr>
          <w:sz w:val="18"/>
        </w:rPr>
        <w:t>Globe,”</w:t>
      </w:r>
      <w:r>
        <w:rPr>
          <w:spacing w:val="-7"/>
          <w:sz w:val="18"/>
        </w:rPr>
        <w:t xml:space="preserve"> </w:t>
      </w:r>
      <w:r>
        <w:rPr>
          <w:sz w:val="18"/>
        </w:rPr>
        <w:t>accessed</w:t>
      </w:r>
      <w:r>
        <w:rPr>
          <w:spacing w:val="-7"/>
          <w:sz w:val="18"/>
        </w:rPr>
        <w:t xml:space="preserve"> </w:t>
      </w:r>
      <w:r>
        <w:rPr>
          <w:sz w:val="18"/>
        </w:rPr>
        <w:t>December</w:t>
      </w:r>
      <w:r>
        <w:rPr>
          <w:spacing w:val="-7"/>
          <w:sz w:val="18"/>
        </w:rPr>
        <w:t xml:space="preserve"> </w:t>
      </w:r>
      <w:r>
        <w:rPr>
          <w:sz w:val="18"/>
        </w:rPr>
        <w:t>4,</w:t>
      </w:r>
      <w:r>
        <w:rPr>
          <w:spacing w:val="-6"/>
          <w:sz w:val="18"/>
        </w:rPr>
        <w:t xml:space="preserve"> </w:t>
      </w:r>
      <w:r>
        <w:rPr>
          <w:sz w:val="18"/>
        </w:rPr>
        <w:t>2022,</w:t>
      </w:r>
      <w:r>
        <w:rPr>
          <w:spacing w:val="-7"/>
          <w:sz w:val="18"/>
        </w:rPr>
        <w:t xml:space="preserve"> </w:t>
      </w:r>
      <w:hyperlink r:id="rId465">
        <w:r>
          <w:rPr>
            <w:color w:val="0562C1"/>
            <w:sz w:val="18"/>
            <w:u w:val="single" w:color="0562C1"/>
          </w:rPr>
          <w:t>https://www.bostonglobe.com/2022/10/09/metro/massachusetts-ha</w:t>
        </w:r>
        <w:r>
          <w:rPr>
            <w:color w:val="0562C1"/>
            <w:sz w:val="18"/>
            <w:u w:val="single" w:color="0562C1"/>
          </w:rPr>
          <w:t>s-expanded-</w:t>
        </w:r>
      </w:hyperlink>
      <w:r>
        <w:rPr>
          <w:color w:val="0562C1"/>
          <w:sz w:val="18"/>
        </w:rPr>
        <w:t xml:space="preserve"> </w:t>
      </w:r>
      <w:hyperlink r:id="rId466">
        <w:r>
          <w:rPr>
            <w:color w:val="0562C1"/>
            <w:spacing w:val="-2"/>
            <w:sz w:val="18"/>
            <w:u w:val="single" w:color="0562C1"/>
          </w:rPr>
          <w:t>abortion-rights-even-metro-region-clinics-can-be-distant/</w:t>
        </w:r>
        <w:r>
          <w:rPr>
            <w:spacing w:val="-2"/>
            <w:sz w:val="18"/>
          </w:rPr>
          <w:t>.</w:t>
        </w:r>
      </w:hyperlink>
    </w:p>
    <w:p w:rsidR="00200FDA" w:rsidRDefault="00F76C4C">
      <w:pPr>
        <w:spacing w:before="1" w:line="219" w:lineRule="exact"/>
        <w:ind w:left="140"/>
        <w:jc w:val="both"/>
        <w:rPr>
          <w:sz w:val="18"/>
        </w:rPr>
      </w:pPr>
      <w:bookmarkStart w:id="646" w:name="_bookmark497"/>
      <w:bookmarkEnd w:id="646"/>
      <w:r>
        <w:rPr>
          <w:spacing w:val="-2"/>
          <w:position w:val="5"/>
          <w:sz w:val="12"/>
        </w:rPr>
        <w:t>51</w:t>
      </w:r>
      <w:r>
        <w:rPr>
          <w:spacing w:val="33"/>
          <w:position w:val="5"/>
          <w:sz w:val="12"/>
        </w:rPr>
        <w:t xml:space="preserve">  </w:t>
      </w:r>
      <w:r>
        <w:rPr>
          <w:spacing w:val="-2"/>
          <w:sz w:val="18"/>
        </w:rPr>
        <w:t>https://abortioncarenewengland.o</w:t>
      </w:r>
      <w:r>
        <w:rPr>
          <w:spacing w:val="-2"/>
          <w:sz w:val="18"/>
        </w:rPr>
        <w:t>rg/providers-by-zipcode</w:t>
      </w:r>
    </w:p>
    <w:p w:rsidR="00200FDA" w:rsidRDefault="00F76C4C">
      <w:pPr>
        <w:spacing w:line="219" w:lineRule="exact"/>
        <w:ind w:left="140"/>
        <w:jc w:val="both"/>
        <w:rPr>
          <w:sz w:val="18"/>
        </w:rPr>
      </w:pPr>
      <w:bookmarkStart w:id="647" w:name="_bookmark498"/>
      <w:bookmarkEnd w:id="647"/>
      <w:r>
        <w:rPr>
          <w:position w:val="5"/>
          <w:sz w:val="12"/>
        </w:rPr>
        <w:t>52</w:t>
      </w:r>
      <w:r>
        <w:rPr>
          <w:spacing w:val="8"/>
          <w:position w:val="5"/>
          <w:sz w:val="12"/>
        </w:rPr>
        <w:t xml:space="preserve"> </w:t>
      </w:r>
      <w:r>
        <w:rPr>
          <w:sz w:val="18"/>
        </w:rPr>
        <w:t>“MassHealth’s</w:t>
      </w:r>
      <w:r>
        <w:rPr>
          <w:spacing w:val="-3"/>
          <w:sz w:val="18"/>
        </w:rPr>
        <w:t xml:space="preserve"> </w:t>
      </w:r>
      <w:r>
        <w:rPr>
          <w:sz w:val="18"/>
        </w:rPr>
        <w:t>Extended</w:t>
      </w:r>
      <w:r>
        <w:rPr>
          <w:spacing w:val="-3"/>
          <w:sz w:val="18"/>
        </w:rPr>
        <w:t xml:space="preserve"> </w:t>
      </w:r>
      <w:r>
        <w:rPr>
          <w:sz w:val="18"/>
        </w:rPr>
        <w:t>12-Month</w:t>
      </w:r>
      <w:r>
        <w:rPr>
          <w:spacing w:val="-2"/>
          <w:sz w:val="18"/>
        </w:rPr>
        <w:t xml:space="preserve"> </w:t>
      </w:r>
      <w:r>
        <w:rPr>
          <w:sz w:val="18"/>
        </w:rPr>
        <w:t>Postpartum</w:t>
      </w:r>
      <w:r>
        <w:rPr>
          <w:spacing w:val="-2"/>
          <w:sz w:val="18"/>
        </w:rPr>
        <w:t xml:space="preserve"> </w:t>
      </w:r>
      <w:r>
        <w:rPr>
          <w:sz w:val="18"/>
        </w:rPr>
        <w:t>Coverage</w:t>
      </w:r>
      <w:r>
        <w:rPr>
          <w:spacing w:val="-3"/>
          <w:sz w:val="18"/>
        </w:rPr>
        <w:t xml:space="preserve"> </w:t>
      </w:r>
      <w:r>
        <w:rPr>
          <w:sz w:val="18"/>
        </w:rPr>
        <w:t>Approved</w:t>
      </w:r>
      <w:r>
        <w:rPr>
          <w:spacing w:val="-3"/>
          <w:sz w:val="18"/>
        </w:rPr>
        <w:t xml:space="preserve"> </w:t>
      </w:r>
      <w:r>
        <w:rPr>
          <w:sz w:val="18"/>
        </w:rPr>
        <w:t>by</w:t>
      </w:r>
      <w:r>
        <w:rPr>
          <w:spacing w:val="-1"/>
          <w:sz w:val="18"/>
        </w:rPr>
        <w:t xml:space="preserve"> </w:t>
      </w:r>
      <w:r>
        <w:rPr>
          <w:sz w:val="18"/>
        </w:rPr>
        <w:t>the</w:t>
      </w:r>
      <w:r>
        <w:rPr>
          <w:spacing w:val="-3"/>
          <w:sz w:val="18"/>
        </w:rPr>
        <w:t xml:space="preserve"> </w:t>
      </w:r>
      <w:r>
        <w:rPr>
          <w:sz w:val="18"/>
        </w:rPr>
        <w:t>Federal</w:t>
      </w:r>
      <w:r>
        <w:rPr>
          <w:spacing w:val="-3"/>
          <w:sz w:val="18"/>
        </w:rPr>
        <w:t xml:space="preserve"> </w:t>
      </w:r>
      <w:r>
        <w:rPr>
          <w:sz w:val="18"/>
        </w:rPr>
        <w:t>Centers</w:t>
      </w:r>
      <w:r>
        <w:rPr>
          <w:spacing w:val="-3"/>
          <w:sz w:val="18"/>
        </w:rPr>
        <w:t xml:space="preserve"> </w:t>
      </w:r>
      <w:r>
        <w:rPr>
          <w:sz w:val="18"/>
        </w:rPr>
        <w:t>for</w:t>
      </w:r>
      <w:r>
        <w:rPr>
          <w:spacing w:val="-2"/>
          <w:sz w:val="18"/>
        </w:rPr>
        <w:t xml:space="preserve"> </w:t>
      </w:r>
      <w:r>
        <w:rPr>
          <w:sz w:val="18"/>
        </w:rPr>
        <w:t>Medicare</w:t>
      </w:r>
      <w:r>
        <w:rPr>
          <w:spacing w:val="-3"/>
          <w:sz w:val="18"/>
        </w:rPr>
        <w:t xml:space="preserve"> </w:t>
      </w:r>
      <w:r>
        <w:rPr>
          <w:sz w:val="18"/>
        </w:rPr>
        <w:t>&amp;</w:t>
      </w:r>
      <w:r>
        <w:rPr>
          <w:spacing w:val="-3"/>
          <w:sz w:val="18"/>
        </w:rPr>
        <w:t xml:space="preserve"> </w:t>
      </w:r>
      <w:r>
        <w:rPr>
          <w:sz w:val="18"/>
        </w:rPr>
        <w:t>Medicaid</w:t>
      </w:r>
      <w:r>
        <w:rPr>
          <w:spacing w:val="-2"/>
          <w:sz w:val="18"/>
        </w:rPr>
        <w:t xml:space="preserve"> Services</w:t>
      </w:r>
    </w:p>
    <w:p w:rsidR="00200FDA" w:rsidRDefault="00F76C4C">
      <w:pPr>
        <w:spacing w:before="1"/>
        <w:ind w:left="140" w:right="974"/>
        <w:rPr>
          <w:sz w:val="18"/>
        </w:rPr>
      </w:pPr>
      <w:r>
        <w:rPr>
          <w:sz w:val="18"/>
        </w:rPr>
        <w:t>|</w:t>
      </w:r>
      <w:r>
        <w:rPr>
          <w:spacing w:val="-6"/>
          <w:sz w:val="18"/>
        </w:rPr>
        <w:t xml:space="preserve"> </w:t>
      </w:r>
      <w:r>
        <w:rPr>
          <w:sz w:val="18"/>
        </w:rPr>
        <w:t>Mass.Gov,”</w:t>
      </w:r>
      <w:r>
        <w:rPr>
          <w:spacing w:val="-8"/>
          <w:sz w:val="18"/>
        </w:rPr>
        <w:t xml:space="preserve"> </w:t>
      </w:r>
      <w:r>
        <w:rPr>
          <w:sz w:val="18"/>
        </w:rPr>
        <w:t>accessed</w:t>
      </w:r>
      <w:r>
        <w:rPr>
          <w:spacing w:val="-8"/>
          <w:sz w:val="18"/>
        </w:rPr>
        <w:t xml:space="preserve"> </w:t>
      </w:r>
      <w:r>
        <w:rPr>
          <w:sz w:val="18"/>
        </w:rPr>
        <w:t>December</w:t>
      </w:r>
      <w:r>
        <w:rPr>
          <w:spacing w:val="-5"/>
          <w:sz w:val="18"/>
        </w:rPr>
        <w:t xml:space="preserve"> </w:t>
      </w:r>
      <w:r>
        <w:rPr>
          <w:sz w:val="18"/>
        </w:rPr>
        <w:t>4,</w:t>
      </w:r>
      <w:r>
        <w:rPr>
          <w:spacing w:val="-7"/>
          <w:sz w:val="18"/>
        </w:rPr>
        <w:t xml:space="preserve"> </w:t>
      </w:r>
      <w:r>
        <w:rPr>
          <w:sz w:val="18"/>
        </w:rPr>
        <w:t>2022,</w:t>
      </w:r>
      <w:r>
        <w:rPr>
          <w:spacing w:val="-7"/>
          <w:sz w:val="18"/>
        </w:rPr>
        <w:t xml:space="preserve"> </w:t>
      </w:r>
      <w:hyperlink r:id="rId467">
        <w:r>
          <w:rPr>
            <w:color w:val="0562C1"/>
            <w:sz w:val="18"/>
            <w:u w:val="single" w:color="0562C1"/>
          </w:rPr>
          <w:t>https://www.mass.gov/news/masshealths-extended-12-month-postpartum-</w:t>
        </w:r>
      </w:hyperlink>
      <w:r>
        <w:rPr>
          <w:color w:val="0562C1"/>
          <w:sz w:val="18"/>
        </w:rPr>
        <w:t xml:space="preserve"> </w:t>
      </w:r>
      <w:hyperlink r:id="rId468">
        <w:r>
          <w:rPr>
            <w:color w:val="0562C1"/>
            <w:spacing w:val="-2"/>
            <w:sz w:val="18"/>
            <w:u w:val="single" w:color="0562C1"/>
          </w:rPr>
          <w:t>coverage-approved-by-the-federal-centers-for-medicare-medicaid-services</w:t>
        </w:r>
        <w:r>
          <w:rPr>
            <w:spacing w:val="-2"/>
            <w:sz w:val="18"/>
          </w:rPr>
          <w:t>.</w:t>
        </w:r>
      </w:hyperlink>
    </w:p>
    <w:p w:rsidR="00200FDA" w:rsidRDefault="00F76C4C">
      <w:pPr>
        <w:ind w:left="139" w:right="357"/>
        <w:rPr>
          <w:sz w:val="18"/>
        </w:rPr>
      </w:pPr>
      <w:bookmarkStart w:id="648" w:name="_bookmark499"/>
      <w:bookmarkEnd w:id="648"/>
      <w:r>
        <w:rPr>
          <w:position w:val="5"/>
          <w:sz w:val="12"/>
        </w:rPr>
        <w:t>53</w:t>
      </w:r>
      <w:r>
        <w:rPr>
          <w:spacing w:val="10"/>
          <w:position w:val="5"/>
          <w:sz w:val="12"/>
        </w:rPr>
        <w:t xml:space="preserve"> </w:t>
      </w:r>
      <w:r>
        <w:rPr>
          <w:sz w:val="18"/>
        </w:rPr>
        <w:t>Keri</w:t>
      </w:r>
      <w:r>
        <w:rPr>
          <w:spacing w:val="-3"/>
          <w:sz w:val="18"/>
        </w:rPr>
        <w:t xml:space="preserve"> </w:t>
      </w:r>
      <w:r>
        <w:rPr>
          <w:sz w:val="18"/>
        </w:rPr>
        <w:t>Carvalho</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“A</w:t>
      </w:r>
      <w:r>
        <w:rPr>
          <w:spacing w:val="-3"/>
          <w:sz w:val="18"/>
        </w:rPr>
        <w:t xml:space="preserve"> </w:t>
      </w:r>
      <w:r>
        <w:rPr>
          <w:sz w:val="18"/>
        </w:rPr>
        <w:t>Systematic</w:t>
      </w:r>
      <w:r>
        <w:rPr>
          <w:spacing w:val="-2"/>
          <w:sz w:val="18"/>
        </w:rPr>
        <w:t xml:space="preserve"> </w:t>
      </w:r>
      <w:r>
        <w:rPr>
          <w:sz w:val="18"/>
        </w:rPr>
        <w:t>Policy</w:t>
      </w:r>
      <w:r>
        <w:rPr>
          <w:spacing w:val="-2"/>
          <w:sz w:val="18"/>
        </w:rPr>
        <w:t xml:space="preserve"> </w:t>
      </w:r>
      <w:r>
        <w:rPr>
          <w:sz w:val="18"/>
        </w:rPr>
        <w:t>Review</w:t>
      </w:r>
      <w:r>
        <w:rPr>
          <w:spacing w:val="-1"/>
          <w:sz w:val="18"/>
        </w:rPr>
        <w:t xml:space="preserve"> </w:t>
      </w:r>
      <w:r>
        <w:rPr>
          <w:sz w:val="18"/>
        </w:rPr>
        <w:t>of</w:t>
      </w:r>
      <w:r>
        <w:rPr>
          <w:spacing w:val="-2"/>
          <w:sz w:val="18"/>
        </w:rPr>
        <w:t xml:space="preserve"> </w:t>
      </w:r>
      <w:r>
        <w:rPr>
          <w:sz w:val="18"/>
        </w:rPr>
        <w:t>B</w:t>
      </w:r>
      <w:r>
        <w:rPr>
          <w:sz w:val="18"/>
        </w:rPr>
        <w:t>lack</w:t>
      </w:r>
      <w:r>
        <w:rPr>
          <w:spacing w:val="-3"/>
          <w:sz w:val="18"/>
        </w:rPr>
        <w:t xml:space="preserve"> </w:t>
      </w:r>
      <w:r>
        <w:rPr>
          <w:sz w:val="18"/>
        </w:rPr>
        <w:t>Maternal</w:t>
      </w:r>
      <w:r>
        <w:rPr>
          <w:spacing w:val="-3"/>
          <w:sz w:val="18"/>
        </w:rPr>
        <w:t xml:space="preserve"> </w:t>
      </w:r>
      <w:r>
        <w:rPr>
          <w:sz w:val="18"/>
        </w:rPr>
        <w:t>Health-Related</w:t>
      </w:r>
      <w:r>
        <w:rPr>
          <w:spacing w:val="-3"/>
          <w:sz w:val="18"/>
        </w:rPr>
        <w:t xml:space="preserve"> </w:t>
      </w:r>
      <w:r>
        <w:rPr>
          <w:sz w:val="18"/>
        </w:rPr>
        <w:t>Policies</w:t>
      </w:r>
      <w:r>
        <w:rPr>
          <w:spacing w:val="-3"/>
          <w:sz w:val="18"/>
        </w:rPr>
        <w:t xml:space="preserve"> </w:t>
      </w:r>
      <w:r>
        <w:rPr>
          <w:sz w:val="18"/>
        </w:rPr>
        <w:t>Proposed</w:t>
      </w:r>
      <w:r>
        <w:rPr>
          <w:spacing w:val="-3"/>
          <w:sz w:val="18"/>
        </w:rPr>
        <w:t xml:space="preserve"> </w:t>
      </w:r>
      <w:r>
        <w:rPr>
          <w:sz w:val="18"/>
        </w:rPr>
        <w:t>Federally</w:t>
      </w:r>
      <w:r>
        <w:rPr>
          <w:spacing w:val="-2"/>
          <w:sz w:val="18"/>
        </w:rPr>
        <w:t xml:space="preserve"> </w:t>
      </w:r>
      <w:r>
        <w:rPr>
          <w:sz w:val="18"/>
        </w:rPr>
        <w:t>and</w:t>
      </w:r>
      <w:r>
        <w:rPr>
          <w:spacing w:val="-3"/>
          <w:sz w:val="18"/>
        </w:rPr>
        <w:t xml:space="preserve"> </w:t>
      </w:r>
      <w:r>
        <w:rPr>
          <w:sz w:val="18"/>
        </w:rPr>
        <w:t xml:space="preserve">in Massachusetts: 2010–2020,” </w:t>
      </w:r>
      <w:r>
        <w:rPr>
          <w:i/>
          <w:sz w:val="18"/>
        </w:rPr>
        <w:t xml:space="preserve">Frontiers in Public Health </w:t>
      </w:r>
      <w:r>
        <w:rPr>
          <w:sz w:val="18"/>
        </w:rPr>
        <w:t xml:space="preserve">9 (October 21, 2021): 664659, </w:t>
      </w:r>
      <w:hyperlink r:id="rId469">
        <w:r>
          <w:rPr>
            <w:color w:val="0562C1"/>
            <w:spacing w:val="-2"/>
            <w:sz w:val="18"/>
            <w:u w:val="single" w:color="0562C1"/>
          </w:rPr>
          <w:t>https://doi.org/10.3389/fpubh.2021.664659</w:t>
        </w:r>
        <w:r>
          <w:rPr>
            <w:spacing w:val="-2"/>
            <w:sz w:val="18"/>
          </w:rPr>
          <w:t>.</w:t>
        </w:r>
      </w:hyperlink>
    </w:p>
    <w:p w:rsidR="00200FDA" w:rsidRDefault="00F76C4C">
      <w:pPr>
        <w:spacing w:line="218" w:lineRule="exact"/>
        <w:ind w:left="140"/>
        <w:rPr>
          <w:sz w:val="18"/>
        </w:rPr>
      </w:pPr>
      <w:bookmarkStart w:id="649" w:name="_bookmark500"/>
      <w:bookmarkEnd w:id="649"/>
      <w:r>
        <w:rPr>
          <w:position w:val="5"/>
          <w:sz w:val="12"/>
        </w:rPr>
        <w:t>54</w:t>
      </w:r>
      <w:r>
        <w:rPr>
          <w:spacing w:val="7"/>
          <w:position w:val="5"/>
          <w:sz w:val="12"/>
        </w:rPr>
        <w:t xml:space="preserve"> </w:t>
      </w:r>
      <w:r>
        <w:rPr>
          <w:sz w:val="18"/>
        </w:rPr>
        <w:t>“What</w:t>
      </w:r>
      <w:r>
        <w:rPr>
          <w:spacing w:val="-3"/>
          <w:sz w:val="18"/>
        </w:rPr>
        <w:t xml:space="preserve"> </w:t>
      </w:r>
      <w:r>
        <w:rPr>
          <w:sz w:val="18"/>
        </w:rPr>
        <w:t>Is</w:t>
      </w:r>
      <w:r>
        <w:rPr>
          <w:spacing w:val="-3"/>
          <w:sz w:val="18"/>
        </w:rPr>
        <w:t xml:space="preserve"> </w:t>
      </w:r>
      <w:r>
        <w:rPr>
          <w:sz w:val="18"/>
        </w:rPr>
        <w:t>a</w:t>
      </w:r>
      <w:r>
        <w:rPr>
          <w:spacing w:val="-2"/>
          <w:sz w:val="18"/>
        </w:rPr>
        <w:t xml:space="preserve"> </w:t>
      </w:r>
      <w:r>
        <w:rPr>
          <w:sz w:val="18"/>
        </w:rPr>
        <w:t>Doula</w:t>
      </w:r>
      <w:r>
        <w:rPr>
          <w:spacing w:val="-2"/>
          <w:sz w:val="18"/>
        </w:rPr>
        <w:t xml:space="preserve"> </w:t>
      </w:r>
      <w:r>
        <w:rPr>
          <w:sz w:val="18"/>
        </w:rPr>
        <w:t>-</w:t>
      </w:r>
      <w:r>
        <w:rPr>
          <w:spacing w:val="-3"/>
          <w:sz w:val="18"/>
        </w:rPr>
        <w:t xml:space="preserve"> </w:t>
      </w:r>
      <w:r>
        <w:rPr>
          <w:sz w:val="18"/>
        </w:rPr>
        <w:t>DONA</w:t>
      </w:r>
      <w:r>
        <w:rPr>
          <w:spacing w:val="-3"/>
          <w:sz w:val="18"/>
        </w:rPr>
        <w:t xml:space="preserve"> </w:t>
      </w:r>
      <w:r>
        <w:rPr>
          <w:sz w:val="18"/>
        </w:rPr>
        <w:t>International,”</w:t>
      </w:r>
      <w:r>
        <w:rPr>
          <w:spacing w:val="-3"/>
          <w:sz w:val="18"/>
        </w:rPr>
        <w:t xml:space="preserve"> </w:t>
      </w:r>
      <w:r>
        <w:rPr>
          <w:sz w:val="18"/>
        </w:rPr>
        <w:t>accessed</w:t>
      </w:r>
      <w:r>
        <w:rPr>
          <w:spacing w:val="-3"/>
          <w:sz w:val="18"/>
        </w:rPr>
        <w:t xml:space="preserve"> </w:t>
      </w:r>
      <w:r>
        <w:rPr>
          <w:sz w:val="18"/>
        </w:rPr>
        <w:t>December</w:t>
      </w:r>
      <w:r>
        <w:rPr>
          <w:spacing w:val="-3"/>
          <w:sz w:val="18"/>
        </w:rPr>
        <w:t xml:space="preserve"> </w:t>
      </w:r>
      <w:r>
        <w:rPr>
          <w:sz w:val="18"/>
        </w:rPr>
        <w:t>4,</w:t>
      </w:r>
      <w:r>
        <w:rPr>
          <w:spacing w:val="-2"/>
          <w:sz w:val="18"/>
        </w:rPr>
        <w:t xml:space="preserve"> </w:t>
      </w:r>
      <w:r>
        <w:rPr>
          <w:sz w:val="18"/>
        </w:rPr>
        <w:t>2022,</w:t>
      </w:r>
      <w:r>
        <w:rPr>
          <w:spacing w:val="-2"/>
          <w:sz w:val="18"/>
        </w:rPr>
        <w:t xml:space="preserve"> </w:t>
      </w:r>
      <w:hyperlink r:id="rId470">
        <w:r>
          <w:rPr>
            <w:color w:val="0562C1"/>
            <w:sz w:val="18"/>
            <w:u w:val="single" w:color="0562C1"/>
          </w:rPr>
          <w:t>https://www.dona.org/what-is-a-</w:t>
        </w:r>
        <w:r>
          <w:rPr>
            <w:color w:val="0562C1"/>
            <w:spacing w:val="-2"/>
            <w:sz w:val="18"/>
            <w:u w:val="single" w:color="0562C1"/>
          </w:rPr>
          <w:t>doula/</w:t>
        </w:r>
        <w:r>
          <w:rPr>
            <w:spacing w:val="-2"/>
            <w:sz w:val="18"/>
          </w:rPr>
          <w:t>.</w:t>
        </w:r>
      </w:hyperlink>
    </w:p>
    <w:p w:rsidR="00200FDA" w:rsidRDefault="00F76C4C">
      <w:pPr>
        <w:spacing w:before="1"/>
        <w:ind w:left="140" w:hanging="1"/>
        <w:rPr>
          <w:sz w:val="18"/>
        </w:rPr>
      </w:pPr>
      <w:bookmarkStart w:id="650" w:name="_bookmark501"/>
      <w:bookmarkEnd w:id="650"/>
      <w:r>
        <w:rPr>
          <w:position w:val="5"/>
          <w:sz w:val="12"/>
        </w:rPr>
        <w:t>55</w:t>
      </w:r>
      <w:r>
        <w:rPr>
          <w:spacing w:val="10"/>
          <w:position w:val="5"/>
          <w:sz w:val="12"/>
        </w:rPr>
        <w:t xml:space="preserve"> </w:t>
      </w:r>
      <w:r>
        <w:rPr>
          <w:sz w:val="18"/>
        </w:rPr>
        <w:t>Hodnett</w:t>
      </w:r>
      <w:r>
        <w:rPr>
          <w:spacing w:val="-3"/>
          <w:sz w:val="18"/>
        </w:rPr>
        <w:t xml:space="preserve"> </w:t>
      </w:r>
      <w:r>
        <w:rPr>
          <w:sz w:val="18"/>
        </w:rPr>
        <w:t>ED.</w:t>
      </w:r>
      <w:r>
        <w:rPr>
          <w:spacing w:val="-2"/>
          <w:sz w:val="18"/>
        </w:rPr>
        <w:t xml:space="preserve"> </w:t>
      </w:r>
      <w:r>
        <w:rPr>
          <w:sz w:val="18"/>
        </w:rPr>
        <w:t>Pain</w:t>
      </w:r>
      <w:r>
        <w:rPr>
          <w:spacing w:val="-3"/>
          <w:sz w:val="18"/>
        </w:rPr>
        <w:t xml:space="preserve"> </w:t>
      </w:r>
      <w:r>
        <w:rPr>
          <w:sz w:val="18"/>
        </w:rPr>
        <w:t>and</w:t>
      </w:r>
      <w:r>
        <w:rPr>
          <w:spacing w:val="-3"/>
          <w:sz w:val="18"/>
        </w:rPr>
        <w:t xml:space="preserve"> </w:t>
      </w:r>
      <w:r>
        <w:rPr>
          <w:sz w:val="18"/>
        </w:rPr>
        <w:t>women’s</w:t>
      </w:r>
      <w:r>
        <w:rPr>
          <w:spacing w:val="-3"/>
          <w:sz w:val="18"/>
        </w:rPr>
        <w:t xml:space="preserve"> </w:t>
      </w:r>
      <w:r>
        <w:rPr>
          <w:sz w:val="18"/>
        </w:rPr>
        <w:t>satisfaction</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experience</w:t>
      </w:r>
      <w:r>
        <w:rPr>
          <w:spacing w:val="-3"/>
          <w:sz w:val="18"/>
        </w:rPr>
        <w:t xml:space="preserve"> </w:t>
      </w:r>
      <w:r>
        <w:rPr>
          <w:sz w:val="18"/>
        </w:rPr>
        <w:t>of childbirth:</w:t>
      </w:r>
      <w:r>
        <w:rPr>
          <w:spacing w:val="-2"/>
          <w:sz w:val="18"/>
        </w:rPr>
        <w:t xml:space="preserve"> </w:t>
      </w:r>
      <w:r>
        <w:rPr>
          <w:sz w:val="18"/>
        </w:rPr>
        <w:t>a</w:t>
      </w:r>
      <w:r>
        <w:rPr>
          <w:spacing w:val="-2"/>
          <w:sz w:val="18"/>
        </w:rPr>
        <w:t xml:space="preserve"> </w:t>
      </w:r>
      <w:r>
        <w:rPr>
          <w:sz w:val="18"/>
        </w:rPr>
        <w:t>systematic</w:t>
      </w:r>
      <w:r>
        <w:rPr>
          <w:spacing w:val="-2"/>
          <w:sz w:val="18"/>
        </w:rPr>
        <w:t xml:space="preserve"> </w:t>
      </w:r>
      <w:r>
        <w:rPr>
          <w:sz w:val="18"/>
        </w:rPr>
        <w:t>review.</w:t>
      </w:r>
      <w:r>
        <w:rPr>
          <w:spacing w:val="-2"/>
          <w:sz w:val="18"/>
        </w:rPr>
        <w:t xml:space="preserve"> </w:t>
      </w:r>
      <w:r>
        <w:rPr>
          <w:sz w:val="18"/>
        </w:rPr>
        <w:t>Am</w:t>
      </w:r>
      <w:r>
        <w:rPr>
          <w:spacing w:val="-2"/>
          <w:sz w:val="18"/>
        </w:rPr>
        <w:t xml:space="preserve"> </w:t>
      </w:r>
      <w:r>
        <w:rPr>
          <w:sz w:val="18"/>
        </w:rPr>
        <w:t>J</w:t>
      </w:r>
      <w:r>
        <w:rPr>
          <w:spacing w:val="-2"/>
          <w:sz w:val="18"/>
        </w:rPr>
        <w:t xml:space="preserve"> </w:t>
      </w:r>
      <w:r>
        <w:rPr>
          <w:sz w:val="18"/>
        </w:rPr>
        <w:t>Obstet</w:t>
      </w:r>
      <w:r>
        <w:rPr>
          <w:spacing w:val="-3"/>
          <w:sz w:val="18"/>
        </w:rPr>
        <w:t xml:space="preserve"> </w:t>
      </w:r>
      <w:r>
        <w:rPr>
          <w:sz w:val="18"/>
        </w:rPr>
        <w:t>Gynecol</w:t>
      </w:r>
      <w:r>
        <w:rPr>
          <w:spacing w:val="-3"/>
          <w:sz w:val="18"/>
        </w:rPr>
        <w:t xml:space="preserve"> </w:t>
      </w:r>
      <w:r>
        <w:rPr>
          <w:sz w:val="18"/>
        </w:rPr>
        <w:t>2002; 186(5) S160-72. Hodnett ED, Gates S, Hofmeyr G J, Sakala C, Weston J. Continuous support for women during childbirth [PDF]. Cochrane Database Syst Rev 2011, Issue 2.</w:t>
      </w:r>
    </w:p>
    <w:p w:rsidR="00200FDA" w:rsidRDefault="00F76C4C">
      <w:pPr>
        <w:spacing w:before="1"/>
        <w:ind w:left="140" w:right="1445" w:hanging="1"/>
        <w:rPr>
          <w:sz w:val="18"/>
        </w:rPr>
      </w:pPr>
      <w:bookmarkStart w:id="651" w:name="_bookmark502"/>
      <w:bookmarkEnd w:id="651"/>
      <w:r>
        <w:rPr>
          <w:position w:val="5"/>
          <w:sz w:val="12"/>
        </w:rPr>
        <w:t>56</w:t>
      </w:r>
      <w:r>
        <w:rPr>
          <w:spacing w:val="10"/>
          <w:position w:val="5"/>
          <w:sz w:val="12"/>
        </w:rPr>
        <w:t xml:space="preserve"> </w:t>
      </w:r>
      <w:r>
        <w:rPr>
          <w:sz w:val="18"/>
        </w:rPr>
        <w:t>“LGBTQ+</w:t>
      </w:r>
      <w:r>
        <w:rPr>
          <w:spacing w:val="-3"/>
          <w:sz w:val="18"/>
        </w:rPr>
        <w:t xml:space="preserve"> </w:t>
      </w:r>
      <w:r>
        <w:rPr>
          <w:sz w:val="18"/>
        </w:rPr>
        <w:t>Doulas</w:t>
      </w:r>
      <w:r>
        <w:rPr>
          <w:spacing w:val="-3"/>
          <w:sz w:val="18"/>
        </w:rPr>
        <w:t xml:space="preserve"> </w:t>
      </w:r>
      <w:r>
        <w:rPr>
          <w:sz w:val="18"/>
        </w:rPr>
        <w:t>Help</w:t>
      </w:r>
      <w:r>
        <w:rPr>
          <w:spacing w:val="-3"/>
          <w:sz w:val="18"/>
        </w:rPr>
        <w:t xml:space="preserve"> </w:t>
      </w:r>
      <w:r>
        <w:rPr>
          <w:sz w:val="18"/>
        </w:rPr>
        <w:t>New</w:t>
      </w:r>
      <w:r>
        <w:rPr>
          <w:spacing w:val="-1"/>
          <w:sz w:val="18"/>
        </w:rPr>
        <w:t xml:space="preserve"> </w:t>
      </w:r>
      <w:r>
        <w:rPr>
          <w:sz w:val="18"/>
        </w:rPr>
        <w:t>Parents</w:t>
      </w:r>
      <w:r>
        <w:rPr>
          <w:spacing w:val="-3"/>
          <w:sz w:val="18"/>
        </w:rPr>
        <w:t xml:space="preserve"> </w:t>
      </w:r>
      <w:r>
        <w:rPr>
          <w:sz w:val="18"/>
        </w:rPr>
        <w:t>Thrive,</w:t>
      </w:r>
      <w:r>
        <w:rPr>
          <w:spacing w:val="-2"/>
          <w:sz w:val="18"/>
        </w:rPr>
        <w:t xml:space="preserve"> </w:t>
      </w:r>
      <w:r>
        <w:rPr>
          <w:sz w:val="18"/>
        </w:rPr>
        <w:t>No</w:t>
      </w:r>
      <w:r>
        <w:rPr>
          <w:spacing w:val="-1"/>
          <w:sz w:val="18"/>
        </w:rPr>
        <w:t xml:space="preserve"> </w:t>
      </w:r>
      <w:r>
        <w:rPr>
          <w:sz w:val="18"/>
        </w:rPr>
        <w:t>Matter</w:t>
      </w:r>
      <w:r>
        <w:rPr>
          <w:spacing w:val="-3"/>
          <w:sz w:val="18"/>
        </w:rPr>
        <w:t xml:space="preserve"> </w:t>
      </w:r>
      <w:r>
        <w:rPr>
          <w:sz w:val="18"/>
        </w:rPr>
        <w:t>How</w:t>
      </w:r>
      <w:r>
        <w:rPr>
          <w:spacing w:val="-1"/>
          <w:sz w:val="18"/>
        </w:rPr>
        <w:t xml:space="preserve"> </w:t>
      </w:r>
      <w:r>
        <w:rPr>
          <w:sz w:val="18"/>
        </w:rPr>
        <w:t>They</w:t>
      </w:r>
      <w:r>
        <w:rPr>
          <w:spacing w:val="-2"/>
          <w:sz w:val="18"/>
        </w:rPr>
        <w:t xml:space="preserve"> </w:t>
      </w:r>
      <w:r>
        <w:rPr>
          <w:sz w:val="18"/>
        </w:rPr>
        <w:t>Identify</w:t>
      </w:r>
      <w:r>
        <w:rPr>
          <w:spacing w:val="-2"/>
          <w:sz w:val="18"/>
        </w:rPr>
        <w:t xml:space="preserve"> </w:t>
      </w:r>
      <w:r>
        <w:rPr>
          <w:sz w:val="18"/>
        </w:rPr>
        <w:t>|</w:t>
      </w:r>
      <w:r>
        <w:rPr>
          <w:spacing w:val="-1"/>
          <w:sz w:val="18"/>
        </w:rPr>
        <w:t xml:space="preserve"> </w:t>
      </w:r>
      <w:r>
        <w:rPr>
          <w:sz w:val="18"/>
        </w:rPr>
        <w:t>Them,”</w:t>
      </w:r>
      <w:r>
        <w:rPr>
          <w:spacing w:val="-3"/>
          <w:sz w:val="18"/>
        </w:rPr>
        <w:t xml:space="preserve"> </w:t>
      </w:r>
      <w:r>
        <w:rPr>
          <w:sz w:val="18"/>
        </w:rPr>
        <w:t>accessed</w:t>
      </w:r>
      <w:r>
        <w:rPr>
          <w:spacing w:val="-3"/>
          <w:sz w:val="18"/>
        </w:rPr>
        <w:t xml:space="preserve"> </w:t>
      </w:r>
      <w:r>
        <w:rPr>
          <w:sz w:val="18"/>
        </w:rPr>
        <w:t>December</w:t>
      </w:r>
      <w:r>
        <w:rPr>
          <w:spacing w:val="-3"/>
          <w:sz w:val="18"/>
        </w:rPr>
        <w:t xml:space="preserve"> </w:t>
      </w:r>
      <w:r>
        <w:rPr>
          <w:sz w:val="18"/>
        </w:rPr>
        <w:t>4,</w:t>
      </w:r>
      <w:r>
        <w:rPr>
          <w:spacing w:val="-2"/>
          <w:sz w:val="18"/>
        </w:rPr>
        <w:t xml:space="preserve"> </w:t>
      </w:r>
      <w:r>
        <w:rPr>
          <w:sz w:val="18"/>
        </w:rPr>
        <w:t xml:space="preserve">2022, </w:t>
      </w:r>
      <w:hyperlink r:id="rId471">
        <w:r>
          <w:rPr>
            <w:color w:val="0562C1"/>
            <w:spacing w:val="-2"/>
            <w:sz w:val="18"/>
            <w:u w:val="single" w:color="0562C1"/>
          </w:rPr>
          <w:t>https://www.them.us/story/lgbtq-doulas</w:t>
        </w:r>
        <w:r>
          <w:rPr>
            <w:spacing w:val="-2"/>
            <w:sz w:val="18"/>
          </w:rPr>
          <w:t>.</w:t>
        </w:r>
      </w:hyperlink>
    </w:p>
    <w:p w:rsidR="00200FDA" w:rsidRDefault="00F76C4C">
      <w:pPr>
        <w:spacing w:line="219" w:lineRule="exact"/>
        <w:ind w:left="140"/>
        <w:rPr>
          <w:sz w:val="18"/>
        </w:rPr>
      </w:pPr>
      <w:bookmarkStart w:id="652" w:name="_bookmark503"/>
      <w:bookmarkEnd w:id="652"/>
      <w:r>
        <w:rPr>
          <w:position w:val="5"/>
          <w:sz w:val="12"/>
        </w:rPr>
        <w:t>57</w:t>
      </w:r>
      <w:r>
        <w:rPr>
          <w:spacing w:val="5"/>
          <w:position w:val="5"/>
          <w:sz w:val="12"/>
        </w:rPr>
        <w:t xml:space="preserve"> </w:t>
      </w:r>
      <w:r>
        <w:rPr>
          <w:sz w:val="18"/>
        </w:rPr>
        <w:t>“Doula</w:t>
      </w:r>
      <w:r>
        <w:rPr>
          <w:spacing w:val="-5"/>
          <w:sz w:val="18"/>
        </w:rPr>
        <w:t xml:space="preserve"> </w:t>
      </w:r>
      <w:r>
        <w:rPr>
          <w:sz w:val="18"/>
        </w:rPr>
        <w:t>Services,”</w:t>
      </w:r>
      <w:r>
        <w:rPr>
          <w:spacing w:val="-6"/>
          <w:sz w:val="18"/>
        </w:rPr>
        <w:t xml:space="preserve"> </w:t>
      </w:r>
      <w:r>
        <w:rPr>
          <w:sz w:val="18"/>
        </w:rPr>
        <w:t>accessed</w:t>
      </w:r>
      <w:r>
        <w:rPr>
          <w:spacing w:val="-5"/>
          <w:sz w:val="18"/>
        </w:rPr>
        <w:t xml:space="preserve"> </w:t>
      </w:r>
      <w:r>
        <w:rPr>
          <w:sz w:val="18"/>
        </w:rPr>
        <w:t>December</w:t>
      </w:r>
      <w:r>
        <w:rPr>
          <w:spacing w:val="-6"/>
          <w:sz w:val="18"/>
        </w:rPr>
        <w:t xml:space="preserve"> </w:t>
      </w:r>
      <w:r>
        <w:rPr>
          <w:sz w:val="18"/>
        </w:rPr>
        <w:t>5,</w:t>
      </w:r>
      <w:r>
        <w:rPr>
          <w:spacing w:val="-5"/>
          <w:sz w:val="18"/>
        </w:rPr>
        <w:t xml:space="preserve"> </w:t>
      </w:r>
      <w:r>
        <w:rPr>
          <w:sz w:val="18"/>
        </w:rPr>
        <w:t>2022,</w:t>
      </w:r>
      <w:r>
        <w:rPr>
          <w:spacing w:val="-4"/>
          <w:sz w:val="18"/>
        </w:rPr>
        <w:t xml:space="preserve"> </w:t>
      </w:r>
      <w:hyperlink r:id="rId472">
        <w:r>
          <w:rPr>
            <w:color w:val="0562C1"/>
            <w:sz w:val="18"/>
            <w:u w:val="single" w:color="0562C1"/>
          </w:rPr>
          <w:t>https://www.dhcs.ca.gov/provgovpart/Pages/Doula-</w:t>
        </w:r>
        <w:r>
          <w:rPr>
            <w:color w:val="0562C1"/>
            <w:spacing w:val="-2"/>
            <w:sz w:val="18"/>
            <w:u w:val="single" w:color="0562C1"/>
          </w:rPr>
          <w:t>Services.aspx</w:t>
        </w:r>
        <w:r>
          <w:rPr>
            <w:spacing w:val="-2"/>
            <w:sz w:val="18"/>
          </w:rPr>
          <w:t>.</w:t>
        </w:r>
      </w:hyperlink>
    </w:p>
    <w:p w:rsidR="00200FDA" w:rsidRDefault="00F76C4C">
      <w:pPr>
        <w:ind w:left="140" w:right="357" w:hanging="1"/>
        <w:rPr>
          <w:sz w:val="18"/>
        </w:rPr>
      </w:pPr>
      <w:bookmarkStart w:id="653" w:name="_bookmark504"/>
      <w:bookmarkEnd w:id="653"/>
      <w:r>
        <w:rPr>
          <w:position w:val="5"/>
          <w:sz w:val="12"/>
        </w:rPr>
        <w:t>58</w:t>
      </w:r>
      <w:r>
        <w:rPr>
          <w:spacing w:val="10"/>
          <w:position w:val="5"/>
          <w:sz w:val="12"/>
        </w:rPr>
        <w:t xml:space="preserve"> </w:t>
      </w:r>
      <w:r>
        <w:rPr>
          <w:sz w:val="18"/>
        </w:rPr>
        <w:t>“Medicaid</w:t>
      </w:r>
      <w:r>
        <w:rPr>
          <w:spacing w:val="-3"/>
          <w:sz w:val="18"/>
        </w:rPr>
        <w:t xml:space="preserve"> </w:t>
      </w:r>
      <w:r>
        <w:rPr>
          <w:sz w:val="18"/>
        </w:rPr>
        <w:t>Coverage</w:t>
      </w:r>
      <w:r>
        <w:rPr>
          <w:spacing w:val="-3"/>
          <w:sz w:val="18"/>
        </w:rPr>
        <w:t xml:space="preserve"> </w:t>
      </w:r>
      <w:r>
        <w:rPr>
          <w:sz w:val="18"/>
        </w:rPr>
        <w:t>for</w:t>
      </w:r>
      <w:r>
        <w:rPr>
          <w:spacing w:val="-3"/>
          <w:sz w:val="18"/>
        </w:rPr>
        <w:t xml:space="preserve"> </w:t>
      </w:r>
      <w:r>
        <w:rPr>
          <w:sz w:val="18"/>
        </w:rPr>
        <w:t>Doula</w:t>
      </w:r>
      <w:r>
        <w:rPr>
          <w:spacing w:val="-2"/>
          <w:sz w:val="18"/>
        </w:rPr>
        <w:t xml:space="preserve"> </w:t>
      </w:r>
      <w:r>
        <w:rPr>
          <w:sz w:val="18"/>
        </w:rPr>
        <w:t>Care:</w:t>
      </w:r>
      <w:r>
        <w:rPr>
          <w:spacing w:val="-2"/>
          <w:sz w:val="18"/>
        </w:rPr>
        <w:t xml:space="preserve"> </w:t>
      </w:r>
      <w:r>
        <w:rPr>
          <w:sz w:val="18"/>
        </w:rPr>
        <w:t>State</w:t>
      </w:r>
      <w:r>
        <w:rPr>
          <w:spacing w:val="-3"/>
          <w:sz w:val="18"/>
        </w:rPr>
        <w:t xml:space="preserve"> </w:t>
      </w:r>
      <w:r>
        <w:rPr>
          <w:sz w:val="18"/>
        </w:rPr>
        <w:t>Implementation</w:t>
      </w:r>
      <w:r>
        <w:rPr>
          <w:spacing w:val="-3"/>
          <w:sz w:val="18"/>
        </w:rPr>
        <w:t xml:space="preserve"> </w:t>
      </w:r>
      <w:r>
        <w:rPr>
          <w:sz w:val="18"/>
        </w:rPr>
        <w:t>Efforts</w:t>
      </w:r>
      <w:r>
        <w:rPr>
          <w:spacing w:val="-1"/>
          <w:sz w:val="18"/>
        </w:rPr>
        <w:t xml:space="preserve"> </w:t>
      </w:r>
      <w:r>
        <w:rPr>
          <w:sz w:val="18"/>
        </w:rPr>
        <w:t>-</w:t>
      </w:r>
      <w:r>
        <w:rPr>
          <w:spacing w:val="-3"/>
          <w:sz w:val="18"/>
        </w:rPr>
        <w:t xml:space="preserve"> </w:t>
      </w:r>
      <w:r>
        <w:rPr>
          <w:sz w:val="18"/>
        </w:rPr>
        <w:t>National</w:t>
      </w:r>
      <w:r>
        <w:rPr>
          <w:spacing w:val="-3"/>
          <w:sz w:val="18"/>
        </w:rPr>
        <w:t xml:space="preserve"> </w:t>
      </w:r>
      <w:r>
        <w:rPr>
          <w:sz w:val="18"/>
        </w:rPr>
        <w:t>Health</w:t>
      </w:r>
      <w:r>
        <w:rPr>
          <w:spacing w:val="-3"/>
          <w:sz w:val="18"/>
        </w:rPr>
        <w:t xml:space="preserve"> </w:t>
      </w:r>
      <w:r>
        <w:rPr>
          <w:sz w:val="18"/>
        </w:rPr>
        <w:t>Law</w:t>
      </w:r>
      <w:r>
        <w:rPr>
          <w:spacing w:val="-1"/>
          <w:sz w:val="18"/>
        </w:rPr>
        <w:t xml:space="preserve"> </w:t>
      </w:r>
      <w:r>
        <w:rPr>
          <w:sz w:val="18"/>
        </w:rPr>
        <w:t>Program,”</w:t>
      </w:r>
      <w:r>
        <w:rPr>
          <w:spacing w:val="-3"/>
          <w:sz w:val="18"/>
        </w:rPr>
        <w:t xml:space="preserve"> </w:t>
      </w:r>
      <w:r>
        <w:rPr>
          <w:sz w:val="18"/>
        </w:rPr>
        <w:t>accessed</w:t>
      </w:r>
      <w:r>
        <w:rPr>
          <w:spacing w:val="-3"/>
          <w:sz w:val="18"/>
        </w:rPr>
        <w:t xml:space="preserve"> </w:t>
      </w:r>
      <w:r>
        <w:rPr>
          <w:sz w:val="18"/>
        </w:rPr>
        <w:t>December</w:t>
      </w:r>
      <w:r>
        <w:rPr>
          <w:spacing w:val="-3"/>
          <w:sz w:val="18"/>
        </w:rPr>
        <w:t xml:space="preserve"> </w:t>
      </w:r>
      <w:r>
        <w:rPr>
          <w:sz w:val="18"/>
        </w:rPr>
        <w:t xml:space="preserve">5, 2022, </w:t>
      </w:r>
      <w:hyperlink r:id="rId473">
        <w:r>
          <w:rPr>
            <w:color w:val="0562C1"/>
            <w:sz w:val="18"/>
            <w:u w:val="single" w:color="0562C1"/>
          </w:rPr>
          <w:t>https://healthlaw.org/medicaid-coverage-for-doula-care-state-implementation-efforts/</w:t>
        </w:r>
        <w:r>
          <w:rPr>
            <w:sz w:val="18"/>
          </w:rPr>
          <w:t>.</w:t>
        </w:r>
      </w:hyperlink>
    </w:p>
    <w:p w:rsidR="00200FDA" w:rsidRDefault="00F76C4C">
      <w:pPr>
        <w:ind w:left="140" w:right="479"/>
        <w:rPr>
          <w:sz w:val="18"/>
        </w:rPr>
      </w:pPr>
      <w:bookmarkStart w:id="654" w:name="_bookmark505"/>
      <w:bookmarkEnd w:id="654"/>
      <w:r>
        <w:rPr>
          <w:position w:val="5"/>
          <w:sz w:val="12"/>
        </w:rPr>
        <w:t>59</w:t>
      </w:r>
      <w:r>
        <w:rPr>
          <w:spacing w:val="19"/>
          <w:position w:val="5"/>
          <w:sz w:val="12"/>
        </w:rPr>
        <w:t xml:space="preserve"> </w:t>
      </w:r>
      <w:r>
        <w:rPr>
          <w:sz w:val="18"/>
        </w:rPr>
        <w:t>“Birth Equity and Support through the Inclusion of Doula Expertis</w:t>
      </w:r>
      <w:r>
        <w:rPr>
          <w:sz w:val="18"/>
        </w:rPr>
        <w:t>e (BESIDE) Investment Program | Mass.Gov,” accessed December</w:t>
      </w:r>
      <w:r>
        <w:rPr>
          <w:spacing w:val="-11"/>
          <w:sz w:val="18"/>
        </w:rPr>
        <w:t xml:space="preserve"> </w:t>
      </w:r>
      <w:r>
        <w:rPr>
          <w:sz w:val="18"/>
        </w:rPr>
        <w:t>5,</w:t>
      </w:r>
      <w:r>
        <w:rPr>
          <w:spacing w:val="-10"/>
          <w:sz w:val="18"/>
        </w:rPr>
        <w:t xml:space="preserve"> </w:t>
      </w:r>
      <w:r>
        <w:rPr>
          <w:sz w:val="18"/>
        </w:rPr>
        <w:t>2022,</w:t>
      </w:r>
      <w:r>
        <w:rPr>
          <w:spacing w:val="-10"/>
          <w:sz w:val="18"/>
        </w:rPr>
        <w:t xml:space="preserve"> </w:t>
      </w:r>
      <w:hyperlink r:id="rId474">
        <w:r>
          <w:rPr>
            <w:color w:val="0562C1"/>
            <w:sz w:val="18"/>
            <w:u w:val="single" w:color="0562C1"/>
          </w:rPr>
          <w:t>https://www.mass.gov/service-details/b</w:t>
        </w:r>
        <w:r>
          <w:rPr>
            <w:color w:val="0562C1"/>
            <w:sz w:val="18"/>
            <w:u w:val="single" w:color="0562C1"/>
          </w:rPr>
          <w:t>irth-equity-and-support-through-the-inclusion-of-doula-expertise-</w:t>
        </w:r>
      </w:hyperlink>
      <w:r>
        <w:rPr>
          <w:color w:val="0562C1"/>
          <w:sz w:val="18"/>
        </w:rPr>
        <w:t xml:space="preserve"> </w:t>
      </w:r>
      <w:hyperlink r:id="rId475">
        <w:r>
          <w:rPr>
            <w:color w:val="0562C1"/>
            <w:spacing w:val="-2"/>
            <w:sz w:val="18"/>
            <w:u w:val="single" w:color="0562C1"/>
          </w:rPr>
          <w:t>beside-investment-program</w:t>
        </w:r>
        <w:r>
          <w:rPr>
            <w:spacing w:val="-2"/>
            <w:sz w:val="18"/>
          </w:rPr>
          <w:t>.</w:t>
        </w:r>
      </w:hyperlink>
    </w:p>
    <w:p w:rsidR="00200FDA" w:rsidRDefault="00F76C4C">
      <w:pPr>
        <w:ind w:left="140"/>
        <w:rPr>
          <w:sz w:val="18"/>
        </w:rPr>
      </w:pPr>
      <w:bookmarkStart w:id="655" w:name="_bookmark506"/>
      <w:bookmarkEnd w:id="655"/>
      <w:r>
        <w:rPr>
          <w:position w:val="5"/>
          <w:sz w:val="12"/>
        </w:rPr>
        <w:t>60</w:t>
      </w:r>
      <w:r>
        <w:rPr>
          <w:spacing w:val="8"/>
          <w:position w:val="5"/>
          <w:sz w:val="12"/>
        </w:rPr>
        <w:t xml:space="preserve"> </w:t>
      </w:r>
      <w:r>
        <w:rPr>
          <w:sz w:val="18"/>
        </w:rPr>
        <w:t>Sajal</w:t>
      </w:r>
      <w:r>
        <w:rPr>
          <w:spacing w:val="-2"/>
          <w:sz w:val="18"/>
        </w:rPr>
        <w:t xml:space="preserve"> </w:t>
      </w:r>
      <w:r>
        <w:rPr>
          <w:sz w:val="18"/>
        </w:rPr>
        <w:t>Patel</w:t>
      </w:r>
      <w:r>
        <w:rPr>
          <w:spacing w:val="-3"/>
          <w:sz w:val="18"/>
        </w:rPr>
        <w:t xml:space="preserve"> </w:t>
      </w:r>
      <w:r>
        <w:rPr>
          <w:sz w:val="18"/>
        </w:rPr>
        <w:t>and</w:t>
      </w:r>
      <w:r>
        <w:rPr>
          <w:spacing w:val="-2"/>
          <w:sz w:val="18"/>
        </w:rPr>
        <w:t xml:space="preserve"> </w:t>
      </w:r>
      <w:r>
        <w:rPr>
          <w:sz w:val="18"/>
        </w:rPr>
        <w:t>Lori</w:t>
      </w:r>
      <w:r>
        <w:rPr>
          <w:spacing w:val="-3"/>
          <w:sz w:val="18"/>
        </w:rPr>
        <w:t xml:space="preserve"> </w:t>
      </w:r>
      <w:r>
        <w:rPr>
          <w:sz w:val="18"/>
        </w:rPr>
        <w:t>B.</w:t>
      </w:r>
      <w:r>
        <w:rPr>
          <w:spacing w:val="-1"/>
          <w:sz w:val="18"/>
        </w:rPr>
        <w:t xml:space="preserve"> </w:t>
      </w:r>
      <w:r>
        <w:rPr>
          <w:sz w:val="18"/>
        </w:rPr>
        <w:t>Sweeney,</w:t>
      </w:r>
      <w:r>
        <w:rPr>
          <w:spacing w:val="1"/>
          <w:sz w:val="18"/>
        </w:rPr>
        <w:t xml:space="preserve"> </w:t>
      </w:r>
      <w:r>
        <w:rPr>
          <w:sz w:val="18"/>
        </w:rPr>
        <w:t>“Maternal</w:t>
      </w:r>
      <w:r>
        <w:rPr>
          <w:spacing w:val="-3"/>
          <w:sz w:val="18"/>
        </w:rPr>
        <w:t xml:space="preserve"> </w:t>
      </w:r>
      <w:r>
        <w:rPr>
          <w:sz w:val="18"/>
        </w:rPr>
        <w:t>Health</w:t>
      </w:r>
      <w:r>
        <w:rPr>
          <w:spacing w:val="-2"/>
          <w:sz w:val="18"/>
        </w:rPr>
        <w:t xml:space="preserve"> </w:t>
      </w:r>
      <w:r>
        <w:rPr>
          <w:sz w:val="18"/>
        </w:rPr>
        <w:t>in</w:t>
      </w:r>
      <w:r>
        <w:rPr>
          <w:spacing w:val="-3"/>
          <w:sz w:val="18"/>
        </w:rPr>
        <w:t xml:space="preserve"> </w:t>
      </w:r>
      <w:r>
        <w:rPr>
          <w:sz w:val="18"/>
        </w:rPr>
        <w:t>the</w:t>
      </w:r>
      <w:r>
        <w:rPr>
          <w:spacing w:val="-2"/>
          <w:sz w:val="18"/>
        </w:rPr>
        <w:t xml:space="preserve"> </w:t>
      </w:r>
      <w:r>
        <w:rPr>
          <w:sz w:val="18"/>
        </w:rPr>
        <w:t>Transgender</w:t>
      </w:r>
      <w:r>
        <w:rPr>
          <w:spacing w:val="-2"/>
          <w:sz w:val="18"/>
        </w:rPr>
        <w:t xml:space="preserve"> Population,”</w:t>
      </w:r>
    </w:p>
    <w:p w:rsidR="00200FDA" w:rsidRDefault="00F76C4C">
      <w:pPr>
        <w:spacing w:before="1"/>
        <w:ind w:left="140" w:hanging="1"/>
        <w:rPr>
          <w:sz w:val="18"/>
        </w:rPr>
      </w:pPr>
      <w:bookmarkStart w:id="656" w:name="_bookmark507"/>
      <w:bookmarkEnd w:id="656"/>
      <w:r>
        <w:rPr>
          <w:position w:val="5"/>
          <w:sz w:val="12"/>
        </w:rPr>
        <w:t>61</w:t>
      </w:r>
      <w:r>
        <w:rPr>
          <w:spacing w:val="10"/>
          <w:position w:val="5"/>
          <w:sz w:val="12"/>
        </w:rPr>
        <w:t xml:space="preserve"> </w:t>
      </w:r>
      <w:r>
        <w:rPr>
          <w:sz w:val="18"/>
        </w:rPr>
        <w:t>Jeff</w:t>
      </w:r>
      <w:r>
        <w:rPr>
          <w:spacing w:val="-2"/>
          <w:sz w:val="18"/>
        </w:rPr>
        <w:t xml:space="preserve"> </w:t>
      </w:r>
      <w:r>
        <w:rPr>
          <w:sz w:val="18"/>
        </w:rPr>
        <w:t>Diamant</w:t>
      </w:r>
      <w:r>
        <w:rPr>
          <w:spacing w:val="-3"/>
          <w:sz w:val="18"/>
        </w:rPr>
        <w:t xml:space="preserve"> </w:t>
      </w:r>
      <w:r>
        <w:rPr>
          <w:sz w:val="18"/>
        </w:rPr>
        <w:t>and</w:t>
      </w:r>
      <w:r>
        <w:rPr>
          <w:spacing w:val="-3"/>
          <w:sz w:val="18"/>
        </w:rPr>
        <w:t xml:space="preserve"> </w:t>
      </w:r>
      <w:r>
        <w:rPr>
          <w:sz w:val="18"/>
        </w:rPr>
        <w:t>Besheer</w:t>
      </w:r>
      <w:r>
        <w:rPr>
          <w:spacing w:val="-3"/>
          <w:sz w:val="18"/>
        </w:rPr>
        <w:t xml:space="preserve"> </w:t>
      </w:r>
      <w:r>
        <w:rPr>
          <w:sz w:val="18"/>
        </w:rPr>
        <w:t>Mohamed,</w:t>
      </w:r>
      <w:r>
        <w:rPr>
          <w:spacing w:val="-2"/>
          <w:sz w:val="18"/>
        </w:rPr>
        <w:t xml:space="preserve"> </w:t>
      </w:r>
      <w:r>
        <w:rPr>
          <w:sz w:val="18"/>
        </w:rPr>
        <w:t>“What</w:t>
      </w:r>
      <w:r>
        <w:rPr>
          <w:spacing w:val="-3"/>
          <w:sz w:val="18"/>
        </w:rPr>
        <w:t xml:space="preserve"> </w:t>
      </w:r>
      <w:r>
        <w:rPr>
          <w:sz w:val="18"/>
        </w:rPr>
        <w:t>the</w:t>
      </w:r>
      <w:r>
        <w:rPr>
          <w:spacing w:val="-3"/>
          <w:sz w:val="18"/>
        </w:rPr>
        <w:t xml:space="preserve"> </w:t>
      </w:r>
      <w:r>
        <w:rPr>
          <w:sz w:val="18"/>
        </w:rPr>
        <w:t>Data</w:t>
      </w:r>
      <w:r>
        <w:rPr>
          <w:spacing w:val="-2"/>
          <w:sz w:val="18"/>
        </w:rPr>
        <w:t xml:space="preserve"> </w:t>
      </w:r>
      <w:r>
        <w:rPr>
          <w:sz w:val="18"/>
        </w:rPr>
        <w:t>Says</w:t>
      </w:r>
      <w:r>
        <w:rPr>
          <w:spacing w:val="-3"/>
          <w:sz w:val="18"/>
        </w:rPr>
        <w:t xml:space="preserve"> </w:t>
      </w:r>
      <w:r>
        <w:rPr>
          <w:sz w:val="18"/>
        </w:rPr>
        <w:t>about Abortion</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U.S.,”</w:t>
      </w:r>
      <w:r>
        <w:rPr>
          <w:spacing w:val="-3"/>
          <w:sz w:val="18"/>
        </w:rPr>
        <w:t xml:space="preserve"> </w:t>
      </w:r>
      <w:r>
        <w:rPr>
          <w:i/>
          <w:sz w:val="18"/>
        </w:rPr>
        <w:t>Pew</w:t>
      </w:r>
      <w:r>
        <w:rPr>
          <w:i/>
          <w:spacing w:val="-1"/>
          <w:sz w:val="18"/>
        </w:rPr>
        <w:t xml:space="preserve"> </w:t>
      </w:r>
      <w:r>
        <w:rPr>
          <w:i/>
          <w:sz w:val="18"/>
        </w:rPr>
        <w:t>Research</w:t>
      </w:r>
      <w:r>
        <w:rPr>
          <w:i/>
          <w:spacing w:val="-1"/>
          <w:sz w:val="18"/>
        </w:rPr>
        <w:t xml:space="preserve"> </w:t>
      </w:r>
      <w:r>
        <w:rPr>
          <w:i/>
          <w:sz w:val="18"/>
        </w:rPr>
        <w:t>Center</w:t>
      </w:r>
      <w:r>
        <w:rPr>
          <w:i/>
          <w:spacing w:val="-1"/>
          <w:sz w:val="18"/>
        </w:rPr>
        <w:t xml:space="preserve"> </w:t>
      </w:r>
      <w:r>
        <w:rPr>
          <w:sz w:val="18"/>
        </w:rPr>
        <w:t>(blog),</w:t>
      </w:r>
      <w:r>
        <w:rPr>
          <w:spacing w:val="-4"/>
          <w:sz w:val="18"/>
        </w:rPr>
        <w:t xml:space="preserve"> </w:t>
      </w:r>
      <w:r>
        <w:rPr>
          <w:sz w:val="18"/>
        </w:rPr>
        <w:t xml:space="preserve">accessed December 4, 2022, </w:t>
      </w:r>
      <w:hyperlink r:id="rId476">
        <w:r>
          <w:rPr>
            <w:color w:val="0562C1"/>
            <w:sz w:val="18"/>
            <w:u w:val="single" w:color="0562C1"/>
          </w:rPr>
          <w:t>https://www.pewresearch.org/fact-tank/2022/06/24/what-the-data-says-about-abortion-in-the-u-s-2/</w:t>
        </w:r>
        <w:r>
          <w:rPr>
            <w:sz w:val="18"/>
          </w:rPr>
          <w:t>.</w:t>
        </w:r>
      </w:hyperlink>
    </w:p>
    <w:p w:rsidR="00200FDA" w:rsidRDefault="00F76C4C">
      <w:pPr>
        <w:ind w:left="140" w:hanging="1"/>
        <w:rPr>
          <w:sz w:val="18"/>
        </w:rPr>
      </w:pPr>
      <w:bookmarkStart w:id="657" w:name="_bookmark508"/>
      <w:bookmarkEnd w:id="657"/>
      <w:r>
        <w:rPr>
          <w:position w:val="5"/>
          <w:sz w:val="12"/>
        </w:rPr>
        <w:t>62</w:t>
      </w:r>
      <w:r>
        <w:rPr>
          <w:spacing w:val="10"/>
          <w:position w:val="5"/>
          <w:sz w:val="12"/>
        </w:rPr>
        <w:t xml:space="preserve"> </w:t>
      </w:r>
      <w:r>
        <w:rPr>
          <w:sz w:val="18"/>
        </w:rPr>
        <w:t>“13</w:t>
      </w:r>
      <w:r>
        <w:rPr>
          <w:spacing w:val="-2"/>
          <w:sz w:val="18"/>
        </w:rPr>
        <w:t xml:space="preserve"> </w:t>
      </w:r>
      <w:r>
        <w:rPr>
          <w:sz w:val="18"/>
        </w:rPr>
        <w:t>States</w:t>
      </w:r>
      <w:r>
        <w:rPr>
          <w:spacing w:val="-3"/>
          <w:sz w:val="18"/>
        </w:rPr>
        <w:t xml:space="preserve"> </w:t>
      </w:r>
      <w:r>
        <w:rPr>
          <w:sz w:val="18"/>
        </w:rPr>
        <w:t>Have</w:t>
      </w:r>
      <w:r>
        <w:rPr>
          <w:spacing w:val="-3"/>
          <w:sz w:val="18"/>
        </w:rPr>
        <w:t xml:space="preserve"> </w:t>
      </w:r>
      <w:r>
        <w:rPr>
          <w:sz w:val="18"/>
        </w:rPr>
        <w:t>Abortion</w:t>
      </w:r>
      <w:r>
        <w:rPr>
          <w:spacing w:val="-3"/>
          <w:sz w:val="18"/>
        </w:rPr>
        <w:t xml:space="preserve"> </w:t>
      </w:r>
      <w:r>
        <w:rPr>
          <w:sz w:val="18"/>
        </w:rPr>
        <w:t>Trigger Bans—Her</w:t>
      </w:r>
      <w:r>
        <w:rPr>
          <w:sz w:val="18"/>
        </w:rPr>
        <w:t>e’s</w:t>
      </w:r>
      <w:r>
        <w:rPr>
          <w:spacing w:val="-3"/>
          <w:sz w:val="18"/>
        </w:rPr>
        <w:t xml:space="preserve"> </w:t>
      </w:r>
      <w:r>
        <w:rPr>
          <w:sz w:val="18"/>
        </w:rPr>
        <w:t>What</w:t>
      </w:r>
      <w:r>
        <w:rPr>
          <w:spacing w:val="-3"/>
          <w:sz w:val="18"/>
        </w:rPr>
        <w:t xml:space="preserve"> </w:t>
      </w:r>
      <w:r>
        <w:rPr>
          <w:sz w:val="18"/>
        </w:rPr>
        <w:t>Happens</w:t>
      </w:r>
      <w:r>
        <w:rPr>
          <w:spacing w:val="-3"/>
          <w:sz w:val="18"/>
        </w:rPr>
        <w:t xml:space="preserve"> </w:t>
      </w:r>
      <w:r>
        <w:rPr>
          <w:sz w:val="18"/>
        </w:rPr>
        <w:t>When</w:t>
      </w:r>
      <w:r>
        <w:rPr>
          <w:spacing w:val="-3"/>
          <w:sz w:val="18"/>
        </w:rPr>
        <w:t xml:space="preserve"> </w:t>
      </w:r>
      <w:r>
        <w:rPr>
          <w:sz w:val="18"/>
        </w:rPr>
        <w:t>Roe</w:t>
      </w:r>
      <w:r>
        <w:rPr>
          <w:spacing w:val="-3"/>
          <w:sz w:val="18"/>
        </w:rPr>
        <w:t xml:space="preserve"> </w:t>
      </w:r>
      <w:r>
        <w:rPr>
          <w:sz w:val="18"/>
        </w:rPr>
        <w:t>Is</w:t>
      </w:r>
      <w:r>
        <w:rPr>
          <w:spacing w:val="-3"/>
          <w:sz w:val="18"/>
        </w:rPr>
        <w:t xml:space="preserve"> </w:t>
      </w:r>
      <w:r>
        <w:rPr>
          <w:sz w:val="18"/>
        </w:rPr>
        <w:t>Overturned,”</w:t>
      </w:r>
      <w:r>
        <w:rPr>
          <w:spacing w:val="-1"/>
          <w:sz w:val="18"/>
        </w:rPr>
        <w:t xml:space="preserve"> </w:t>
      </w:r>
      <w:r>
        <w:rPr>
          <w:sz w:val="18"/>
        </w:rPr>
        <w:t>Guttmacher</w:t>
      </w:r>
      <w:r>
        <w:rPr>
          <w:spacing w:val="-3"/>
          <w:sz w:val="18"/>
        </w:rPr>
        <w:t xml:space="preserve"> </w:t>
      </w:r>
      <w:r>
        <w:rPr>
          <w:sz w:val="18"/>
        </w:rPr>
        <w:t>Institute,</w:t>
      </w:r>
      <w:r>
        <w:rPr>
          <w:spacing w:val="-2"/>
          <w:sz w:val="18"/>
        </w:rPr>
        <w:t xml:space="preserve"> </w:t>
      </w:r>
      <w:r>
        <w:rPr>
          <w:sz w:val="18"/>
        </w:rPr>
        <w:t>June</w:t>
      </w:r>
      <w:r>
        <w:rPr>
          <w:spacing w:val="-3"/>
          <w:sz w:val="18"/>
        </w:rPr>
        <w:t xml:space="preserve"> </w:t>
      </w:r>
      <w:r>
        <w:rPr>
          <w:sz w:val="18"/>
        </w:rPr>
        <w:t>6,</w:t>
      </w:r>
      <w:r>
        <w:rPr>
          <w:spacing w:val="-2"/>
          <w:sz w:val="18"/>
        </w:rPr>
        <w:t xml:space="preserve"> </w:t>
      </w:r>
      <w:r>
        <w:rPr>
          <w:sz w:val="18"/>
        </w:rPr>
        <w:t xml:space="preserve">2022, </w:t>
      </w:r>
      <w:hyperlink r:id="rId477">
        <w:r>
          <w:rPr>
            <w:color w:val="0562C1"/>
            <w:spacing w:val="-2"/>
            <w:sz w:val="18"/>
            <w:u w:val="single" w:color="0562C1"/>
          </w:rPr>
          <w:t>https://doi.org/10.1363/2022.33571</w:t>
        </w:r>
        <w:r>
          <w:rPr>
            <w:spacing w:val="-2"/>
            <w:sz w:val="18"/>
          </w:rPr>
          <w:t>.</w:t>
        </w:r>
      </w:hyperlink>
    </w:p>
    <w:p w:rsidR="00200FDA" w:rsidRDefault="00F76C4C">
      <w:pPr>
        <w:ind w:left="140" w:right="894"/>
        <w:rPr>
          <w:sz w:val="18"/>
        </w:rPr>
      </w:pPr>
      <w:bookmarkStart w:id="658" w:name="_bookmark509"/>
      <w:bookmarkEnd w:id="658"/>
      <w:r>
        <w:rPr>
          <w:position w:val="5"/>
          <w:sz w:val="12"/>
        </w:rPr>
        <w:t>63</w:t>
      </w:r>
      <w:r>
        <w:rPr>
          <w:spacing w:val="8"/>
          <w:position w:val="5"/>
          <w:sz w:val="12"/>
        </w:rPr>
        <w:t xml:space="preserve"> </w:t>
      </w:r>
      <w:r>
        <w:rPr>
          <w:sz w:val="18"/>
        </w:rPr>
        <w:t>“State</w:t>
      </w:r>
      <w:r>
        <w:rPr>
          <w:spacing w:val="-3"/>
          <w:sz w:val="18"/>
        </w:rPr>
        <w:t xml:space="preserve"> </w:t>
      </w:r>
      <w:r>
        <w:rPr>
          <w:sz w:val="18"/>
        </w:rPr>
        <w:t>Facts</w:t>
      </w:r>
      <w:r>
        <w:rPr>
          <w:spacing w:val="-5"/>
          <w:sz w:val="18"/>
        </w:rPr>
        <w:t xml:space="preserve"> </w:t>
      </w:r>
      <w:r>
        <w:rPr>
          <w:sz w:val="18"/>
        </w:rPr>
        <w:t>About</w:t>
      </w:r>
      <w:r>
        <w:rPr>
          <w:spacing w:val="-5"/>
          <w:sz w:val="18"/>
        </w:rPr>
        <w:t xml:space="preserve"> </w:t>
      </w:r>
      <w:r>
        <w:rPr>
          <w:sz w:val="18"/>
        </w:rPr>
        <w:t>Abortion:</w:t>
      </w:r>
      <w:r>
        <w:rPr>
          <w:spacing w:val="-4"/>
          <w:sz w:val="18"/>
        </w:rPr>
        <w:t xml:space="preserve"> </w:t>
      </w:r>
      <w:r>
        <w:rPr>
          <w:sz w:val="18"/>
        </w:rPr>
        <w:t>Massachusetts,”</w:t>
      </w:r>
      <w:r>
        <w:rPr>
          <w:spacing w:val="-3"/>
          <w:sz w:val="18"/>
        </w:rPr>
        <w:t xml:space="preserve"> </w:t>
      </w:r>
      <w:r>
        <w:rPr>
          <w:sz w:val="18"/>
        </w:rPr>
        <w:t>Guttmacher</w:t>
      </w:r>
      <w:r>
        <w:rPr>
          <w:spacing w:val="-5"/>
          <w:sz w:val="18"/>
        </w:rPr>
        <w:t xml:space="preserve"> </w:t>
      </w:r>
      <w:r>
        <w:rPr>
          <w:sz w:val="18"/>
        </w:rPr>
        <w:t>Institute,</w:t>
      </w:r>
      <w:r>
        <w:rPr>
          <w:spacing w:val="-4"/>
          <w:sz w:val="18"/>
        </w:rPr>
        <w:t xml:space="preserve"> </w:t>
      </w:r>
      <w:r>
        <w:rPr>
          <w:sz w:val="18"/>
        </w:rPr>
        <w:t>June</w:t>
      </w:r>
      <w:r>
        <w:rPr>
          <w:spacing w:val="-5"/>
          <w:sz w:val="18"/>
        </w:rPr>
        <w:t xml:space="preserve"> </w:t>
      </w:r>
      <w:r>
        <w:rPr>
          <w:sz w:val="18"/>
        </w:rPr>
        <w:t>28,</w:t>
      </w:r>
      <w:r>
        <w:rPr>
          <w:spacing w:val="-4"/>
          <w:sz w:val="18"/>
        </w:rPr>
        <w:t xml:space="preserve"> </w:t>
      </w:r>
      <w:r>
        <w:rPr>
          <w:sz w:val="18"/>
        </w:rPr>
        <w:t>2022,</w:t>
      </w:r>
      <w:r>
        <w:rPr>
          <w:spacing w:val="-4"/>
          <w:sz w:val="18"/>
        </w:rPr>
        <w:t xml:space="preserve"> </w:t>
      </w:r>
      <w:hyperlink r:id="rId478">
        <w:r>
          <w:rPr>
            <w:color w:val="0562C1"/>
            <w:sz w:val="18"/>
            <w:u w:val="single" w:color="0562C1"/>
          </w:rPr>
          <w:t>https://www.guttmacher.org/fact-</w:t>
        </w:r>
      </w:hyperlink>
      <w:r>
        <w:rPr>
          <w:color w:val="0562C1"/>
          <w:sz w:val="18"/>
        </w:rPr>
        <w:t xml:space="preserve"> </w:t>
      </w:r>
      <w:hyperlink r:id="rId479">
        <w:r>
          <w:rPr>
            <w:color w:val="0562C1"/>
            <w:spacing w:val="-2"/>
            <w:sz w:val="18"/>
            <w:u w:val="single" w:color="0562C1"/>
          </w:rPr>
          <w:t>sheet/state-facts-about-abort</w:t>
        </w:r>
        <w:r>
          <w:rPr>
            <w:color w:val="0562C1"/>
            <w:spacing w:val="-2"/>
            <w:sz w:val="18"/>
            <w:u w:val="single" w:color="0562C1"/>
          </w:rPr>
          <w:t>ion-massachusetts</w:t>
        </w:r>
        <w:r>
          <w:rPr>
            <w:spacing w:val="-2"/>
            <w:sz w:val="18"/>
          </w:rPr>
          <w:t>.</w:t>
        </w:r>
      </w:hyperlink>
    </w:p>
    <w:p w:rsidR="00200FDA" w:rsidRDefault="00F76C4C">
      <w:pPr>
        <w:ind w:left="140" w:right="1638"/>
        <w:rPr>
          <w:sz w:val="18"/>
        </w:rPr>
      </w:pPr>
      <w:bookmarkStart w:id="659" w:name="_bookmark510"/>
      <w:bookmarkEnd w:id="659"/>
      <w:r>
        <w:rPr>
          <w:position w:val="5"/>
          <w:sz w:val="12"/>
        </w:rPr>
        <w:t>64</w:t>
      </w:r>
      <w:r>
        <w:rPr>
          <w:spacing w:val="9"/>
          <w:position w:val="5"/>
          <w:sz w:val="12"/>
        </w:rPr>
        <w:t xml:space="preserve"> </w:t>
      </w:r>
      <w:r>
        <w:rPr>
          <w:sz w:val="18"/>
        </w:rPr>
        <w:t>“Massachusetts</w:t>
      </w:r>
      <w:r>
        <w:rPr>
          <w:spacing w:val="-4"/>
          <w:sz w:val="18"/>
        </w:rPr>
        <w:t xml:space="preserve"> </w:t>
      </w:r>
      <w:r>
        <w:rPr>
          <w:sz w:val="18"/>
        </w:rPr>
        <w:t>Law</w:t>
      </w:r>
      <w:r>
        <w:rPr>
          <w:spacing w:val="-2"/>
          <w:sz w:val="18"/>
        </w:rPr>
        <w:t xml:space="preserve"> </w:t>
      </w:r>
      <w:r>
        <w:rPr>
          <w:sz w:val="18"/>
        </w:rPr>
        <w:t>about</w:t>
      </w:r>
      <w:r>
        <w:rPr>
          <w:spacing w:val="-4"/>
          <w:sz w:val="18"/>
        </w:rPr>
        <w:t xml:space="preserve"> </w:t>
      </w:r>
      <w:r>
        <w:rPr>
          <w:sz w:val="18"/>
        </w:rPr>
        <w:t>Abortion</w:t>
      </w:r>
      <w:r>
        <w:rPr>
          <w:spacing w:val="-4"/>
          <w:sz w:val="18"/>
        </w:rPr>
        <w:t xml:space="preserve"> </w:t>
      </w:r>
      <w:r>
        <w:rPr>
          <w:sz w:val="18"/>
        </w:rPr>
        <w:t>|</w:t>
      </w:r>
      <w:r>
        <w:rPr>
          <w:spacing w:val="-2"/>
          <w:sz w:val="18"/>
        </w:rPr>
        <w:t xml:space="preserve"> </w:t>
      </w:r>
      <w:r>
        <w:rPr>
          <w:sz w:val="18"/>
        </w:rPr>
        <w:t>Mass.Gov,”</w:t>
      </w:r>
      <w:r>
        <w:rPr>
          <w:spacing w:val="-4"/>
          <w:sz w:val="18"/>
        </w:rPr>
        <w:t xml:space="preserve"> </w:t>
      </w:r>
      <w:r>
        <w:rPr>
          <w:sz w:val="18"/>
        </w:rPr>
        <w:t>accessed</w:t>
      </w:r>
      <w:r>
        <w:rPr>
          <w:spacing w:val="-4"/>
          <w:sz w:val="18"/>
        </w:rPr>
        <w:t xml:space="preserve"> </w:t>
      </w:r>
      <w:r>
        <w:rPr>
          <w:sz w:val="18"/>
        </w:rPr>
        <w:t>December</w:t>
      </w:r>
      <w:r>
        <w:rPr>
          <w:spacing w:val="-4"/>
          <w:sz w:val="18"/>
        </w:rPr>
        <w:t xml:space="preserve"> </w:t>
      </w:r>
      <w:r>
        <w:rPr>
          <w:sz w:val="18"/>
        </w:rPr>
        <w:t>4,</w:t>
      </w:r>
      <w:r>
        <w:rPr>
          <w:spacing w:val="-3"/>
          <w:sz w:val="18"/>
        </w:rPr>
        <w:t xml:space="preserve"> </w:t>
      </w:r>
      <w:r>
        <w:rPr>
          <w:sz w:val="18"/>
        </w:rPr>
        <w:t>2022,</w:t>
      </w:r>
      <w:r>
        <w:rPr>
          <w:spacing w:val="-4"/>
          <w:sz w:val="18"/>
        </w:rPr>
        <w:t xml:space="preserve"> </w:t>
      </w:r>
      <w:hyperlink r:id="rId480">
        <w:r>
          <w:rPr>
            <w:color w:val="0562C1"/>
            <w:sz w:val="18"/>
            <w:u w:val="single" w:color="0562C1"/>
          </w:rPr>
          <w:t>https://www.mass.gov/info-</w:t>
        </w:r>
      </w:hyperlink>
      <w:r>
        <w:rPr>
          <w:color w:val="0562C1"/>
          <w:sz w:val="18"/>
        </w:rPr>
        <w:t xml:space="preserve"> </w:t>
      </w:r>
      <w:hyperlink r:id="rId481">
        <w:r>
          <w:rPr>
            <w:color w:val="0562C1"/>
            <w:spacing w:val="-2"/>
            <w:sz w:val="18"/>
            <w:u w:val="single" w:color="0562C1"/>
          </w:rPr>
          <w:t>details/massachusetts-law-about-abortion</w:t>
        </w:r>
        <w:r>
          <w:rPr>
            <w:spacing w:val="-2"/>
            <w:sz w:val="18"/>
          </w:rPr>
          <w:t>.</w:t>
        </w:r>
      </w:hyperlink>
    </w:p>
    <w:p w:rsidR="00200FDA" w:rsidRDefault="00F76C4C">
      <w:pPr>
        <w:ind w:left="140" w:right="410"/>
        <w:rPr>
          <w:sz w:val="18"/>
        </w:rPr>
      </w:pPr>
      <w:bookmarkStart w:id="660" w:name="_bookmark511"/>
      <w:bookmarkEnd w:id="660"/>
      <w:r>
        <w:rPr>
          <w:position w:val="5"/>
          <w:sz w:val="12"/>
        </w:rPr>
        <w:t>65</w:t>
      </w:r>
      <w:r>
        <w:rPr>
          <w:spacing w:val="14"/>
          <w:position w:val="5"/>
          <w:sz w:val="12"/>
        </w:rPr>
        <w:t xml:space="preserve"> </w:t>
      </w:r>
      <w:r>
        <w:rPr>
          <w:sz w:val="18"/>
        </w:rPr>
        <w:t>“New Study Finds Massachusetts Judicial Bypass Process Delays Access to Abortion | Planned Parenthood Advocacy Fund of Massachusetts,</w:t>
      </w:r>
      <w:r>
        <w:rPr>
          <w:spacing w:val="-6"/>
          <w:sz w:val="18"/>
        </w:rPr>
        <w:t xml:space="preserve"> </w:t>
      </w:r>
      <w:r>
        <w:rPr>
          <w:sz w:val="18"/>
        </w:rPr>
        <w:t>Inc.,”</w:t>
      </w:r>
      <w:r>
        <w:rPr>
          <w:spacing w:val="-7"/>
          <w:sz w:val="18"/>
        </w:rPr>
        <w:t xml:space="preserve"> </w:t>
      </w:r>
      <w:r>
        <w:rPr>
          <w:sz w:val="18"/>
        </w:rPr>
        <w:t>accessed</w:t>
      </w:r>
      <w:r>
        <w:rPr>
          <w:spacing w:val="-7"/>
          <w:sz w:val="18"/>
        </w:rPr>
        <w:t xml:space="preserve"> </w:t>
      </w:r>
      <w:r>
        <w:rPr>
          <w:sz w:val="18"/>
        </w:rPr>
        <w:t>December</w:t>
      </w:r>
      <w:r>
        <w:rPr>
          <w:spacing w:val="-7"/>
          <w:sz w:val="18"/>
        </w:rPr>
        <w:t xml:space="preserve"> </w:t>
      </w:r>
      <w:r>
        <w:rPr>
          <w:sz w:val="18"/>
        </w:rPr>
        <w:t>4,</w:t>
      </w:r>
      <w:r>
        <w:rPr>
          <w:spacing w:val="-6"/>
          <w:sz w:val="18"/>
        </w:rPr>
        <w:t xml:space="preserve"> </w:t>
      </w:r>
      <w:r>
        <w:rPr>
          <w:sz w:val="18"/>
        </w:rPr>
        <w:t>2022,</w:t>
      </w:r>
      <w:r>
        <w:rPr>
          <w:spacing w:val="-6"/>
          <w:sz w:val="18"/>
        </w:rPr>
        <w:t xml:space="preserve"> </w:t>
      </w:r>
      <w:hyperlink r:id="rId482">
        <w:r>
          <w:rPr>
            <w:color w:val="0562C1"/>
            <w:sz w:val="18"/>
            <w:u w:val="single" w:color="0562C1"/>
          </w:rPr>
          <w:t>https://www.plannedparenthoodaction.org/planned-parenthood-advocacy-</w:t>
        </w:r>
      </w:hyperlink>
      <w:r>
        <w:rPr>
          <w:color w:val="0562C1"/>
          <w:sz w:val="18"/>
        </w:rPr>
        <w:t xml:space="preserve"> </w:t>
      </w:r>
      <w:hyperlink r:id="rId483">
        <w:r>
          <w:rPr>
            <w:color w:val="0562C1"/>
            <w:spacing w:val="-2"/>
            <w:sz w:val="18"/>
            <w:u w:val="single" w:color="0562C1"/>
          </w:rPr>
          <w:t>fund-massachusetts-inc/pressroom/new-study-finds-massachusetts-judicial-bypass-process-delays-access-to-abortion</w:t>
        </w:r>
        <w:r>
          <w:rPr>
            <w:spacing w:val="-2"/>
            <w:sz w:val="18"/>
          </w:rPr>
          <w:t>.</w:t>
        </w:r>
      </w:hyperlink>
    </w:p>
    <w:p w:rsidR="00200FDA" w:rsidRDefault="00F76C4C">
      <w:pPr>
        <w:ind w:left="140" w:right="987"/>
        <w:jc w:val="both"/>
        <w:rPr>
          <w:sz w:val="18"/>
        </w:rPr>
      </w:pPr>
      <w:bookmarkStart w:id="661" w:name="_bookmark512"/>
      <w:bookmarkEnd w:id="661"/>
      <w:r>
        <w:rPr>
          <w:position w:val="5"/>
          <w:sz w:val="12"/>
        </w:rPr>
        <w:t>66</w:t>
      </w:r>
      <w:r>
        <w:rPr>
          <w:spacing w:val="9"/>
          <w:position w:val="5"/>
          <w:sz w:val="12"/>
        </w:rPr>
        <w:t xml:space="preserve"> </w:t>
      </w:r>
      <w:r>
        <w:rPr>
          <w:sz w:val="18"/>
        </w:rPr>
        <w:t>Elizabeth</w:t>
      </w:r>
      <w:r>
        <w:rPr>
          <w:spacing w:val="-4"/>
          <w:sz w:val="18"/>
        </w:rPr>
        <w:t xml:space="preserve"> </w:t>
      </w:r>
      <w:r>
        <w:rPr>
          <w:sz w:val="18"/>
        </w:rPr>
        <w:t>Jani</w:t>
      </w:r>
      <w:r>
        <w:rPr>
          <w:sz w:val="18"/>
        </w:rPr>
        <w:t>ak</w:t>
      </w:r>
      <w:r>
        <w:rPr>
          <w:spacing w:val="-1"/>
          <w:sz w:val="18"/>
        </w:rPr>
        <w:t xml:space="preserve"> </w:t>
      </w:r>
      <w:r>
        <w:rPr>
          <w:sz w:val="18"/>
        </w:rPr>
        <w:t>et</w:t>
      </w:r>
      <w:r>
        <w:rPr>
          <w:spacing w:val="-4"/>
          <w:sz w:val="18"/>
        </w:rPr>
        <w:t xml:space="preserve"> </w:t>
      </w:r>
      <w:r>
        <w:rPr>
          <w:sz w:val="18"/>
        </w:rPr>
        <w:t>al.,</w:t>
      </w:r>
      <w:r>
        <w:rPr>
          <w:spacing w:val="-3"/>
          <w:sz w:val="18"/>
        </w:rPr>
        <w:t xml:space="preserve"> </w:t>
      </w:r>
      <w:r>
        <w:rPr>
          <w:sz w:val="18"/>
        </w:rPr>
        <w:t>“Massachusetts’</w:t>
      </w:r>
      <w:r>
        <w:rPr>
          <w:spacing w:val="-3"/>
          <w:sz w:val="18"/>
        </w:rPr>
        <w:t xml:space="preserve"> </w:t>
      </w:r>
      <w:r>
        <w:rPr>
          <w:sz w:val="18"/>
        </w:rPr>
        <w:t>Parental</w:t>
      </w:r>
      <w:r>
        <w:rPr>
          <w:spacing w:val="-4"/>
          <w:sz w:val="18"/>
        </w:rPr>
        <w:t xml:space="preserve"> </w:t>
      </w:r>
      <w:r>
        <w:rPr>
          <w:sz w:val="18"/>
        </w:rPr>
        <w:t>Consent</w:t>
      </w:r>
      <w:r>
        <w:rPr>
          <w:spacing w:val="-4"/>
          <w:sz w:val="18"/>
        </w:rPr>
        <w:t xml:space="preserve"> </w:t>
      </w:r>
      <w:r>
        <w:rPr>
          <w:sz w:val="18"/>
        </w:rPr>
        <w:t>Law</w:t>
      </w:r>
      <w:r>
        <w:rPr>
          <w:spacing w:val="-2"/>
          <w:sz w:val="18"/>
        </w:rPr>
        <w:t xml:space="preserve"> </w:t>
      </w:r>
      <w:r>
        <w:rPr>
          <w:sz w:val="18"/>
        </w:rPr>
        <w:t>and</w:t>
      </w:r>
      <w:r>
        <w:rPr>
          <w:spacing w:val="-2"/>
          <w:sz w:val="18"/>
        </w:rPr>
        <w:t xml:space="preserve"> </w:t>
      </w:r>
      <w:r>
        <w:rPr>
          <w:sz w:val="18"/>
        </w:rPr>
        <w:t>Procedural</w:t>
      </w:r>
      <w:r>
        <w:rPr>
          <w:spacing w:val="-4"/>
          <w:sz w:val="18"/>
        </w:rPr>
        <w:t xml:space="preserve"> </w:t>
      </w:r>
      <w:r>
        <w:rPr>
          <w:sz w:val="18"/>
        </w:rPr>
        <w:t>Timing</w:t>
      </w:r>
      <w:r>
        <w:rPr>
          <w:spacing w:val="-4"/>
          <w:sz w:val="18"/>
        </w:rPr>
        <w:t xml:space="preserve"> </w:t>
      </w:r>
      <w:r>
        <w:rPr>
          <w:sz w:val="18"/>
        </w:rPr>
        <w:t>Among</w:t>
      </w:r>
      <w:r>
        <w:rPr>
          <w:spacing w:val="-4"/>
          <w:sz w:val="18"/>
        </w:rPr>
        <w:t xml:space="preserve"> </w:t>
      </w:r>
      <w:r>
        <w:rPr>
          <w:sz w:val="18"/>
        </w:rPr>
        <w:t>Adolescents</w:t>
      </w:r>
      <w:r>
        <w:rPr>
          <w:spacing w:val="-4"/>
          <w:sz w:val="18"/>
        </w:rPr>
        <w:t xml:space="preserve"> </w:t>
      </w:r>
      <w:r>
        <w:rPr>
          <w:sz w:val="18"/>
        </w:rPr>
        <w:t xml:space="preserve">Undergoing Abortion,” </w:t>
      </w:r>
      <w:r>
        <w:rPr>
          <w:i/>
          <w:sz w:val="18"/>
        </w:rPr>
        <w:t xml:space="preserve">Obstetrics &amp; Gynecology </w:t>
      </w:r>
      <w:r>
        <w:rPr>
          <w:sz w:val="18"/>
        </w:rPr>
        <w:t>133, no. 5</w:t>
      </w:r>
      <w:r>
        <w:rPr>
          <w:spacing w:val="-2"/>
          <w:sz w:val="18"/>
        </w:rPr>
        <w:t xml:space="preserve"> </w:t>
      </w:r>
      <w:r>
        <w:rPr>
          <w:sz w:val="18"/>
        </w:rPr>
        <w:t xml:space="preserve">(May 2019): 978–86, </w:t>
      </w:r>
      <w:hyperlink r:id="rId484">
        <w:r>
          <w:rPr>
            <w:color w:val="0562C1"/>
            <w:sz w:val="18"/>
            <w:u w:val="single" w:color="0562C1"/>
          </w:rPr>
          <w:t>https://doi.org/10.1097/AOG.0000000000003190</w:t>
        </w:r>
        <w:r>
          <w:rPr>
            <w:sz w:val="18"/>
          </w:rPr>
          <w:t>.</w:t>
        </w:r>
      </w:hyperlink>
      <w:r>
        <w:rPr>
          <w:sz w:val="18"/>
        </w:rPr>
        <w:t xml:space="preserve"> </w:t>
      </w:r>
      <w:bookmarkStart w:id="662" w:name="_bookmark513"/>
      <w:bookmarkEnd w:id="662"/>
      <w:r>
        <w:rPr>
          <w:position w:val="5"/>
          <w:sz w:val="12"/>
        </w:rPr>
        <w:t>67</w:t>
      </w:r>
      <w:r>
        <w:rPr>
          <w:spacing w:val="19"/>
          <w:position w:val="5"/>
          <w:sz w:val="12"/>
        </w:rPr>
        <w:t xml:space="preserve"> </w:t>
      </w:r>
      <w:r>
        <w:rPr>
          <w:sz w:val="18"/>
        </w:rPr>
        <w:t>“New Law Ensures Medication Abortion Access for Public University Students in Mass.,” News, August 1, 2022,</w:t>
      </w:r>
    </w:p>
    <w:p w:rsidR="00200FDA" w:rsidRDefault="00F76C4C">
      <w:pPr>
        <w:ind w:left="140" w:right="769"/>
        <w:rPr>
          <w:sz w:val="18"/>
        </w:rPr>
      </w:pPr>
      <w:hyperlink r:id="rId485">
        <w:r>
          <w:rPr>
            <w:color w:val="0562C1"/>
            <w:spacing w:val="-2"/>
            <w:sz w:val="18"/>
            <w:u w:val="single" w:color="0562C1"/>
          </w:rPr>
          <w:t>https://www.wgbh.org/news/local-news/2022/08/01/new-law-ensures-medication-abortion-access-for-public-university-</w:t>
        </w:r>
      </w:hyperlink>
      <w:r>
        <w:rPr>
          <w:color w:val="0562C1"/>
          <w:sz w:val="18"/>
        </w:rPr>
        <w:t xml:space="preserve"> </w:t>
      </w:r>
      <w:hyperlink r:id="rId486">
        <w:r>
          <w:rPr>
            <w:color w:val="0562C1"/>
            <w:spacing w:val="-2"/>
            <w:sz w:val="18"/>
            <w:u w:val="single" w:color="0562C1"/>
          </w:rPr>
          <w:t>students-in-mass</w:t>
        </w:r>
        <w:r>
          <w:rPr>
            <w:spacing w:val="-2"/>
            <w:sz w:val="18"/>
          </w:rPr>
          <w:t>.</w:t>
        </w:r>
      </w:hyperlink>
    </w:p>
    <w:p w:rsidR="00200FDA" w:rsidRDefault="00F76C4C">
      <w:pPr>
        <w:ind w:left="140" w:right="662" w:hanging="1"/>
        <w:jc w:val="both"/>
        <w:rPr>
          <w:sz w:val="18"/>
        </w:rPr>
      </w:pPr>
      <w:bookmarkStart w:id="663" w:name="_bookmark514"/>
      <w:bookmarkEnd w:id="663"/>
      <w:r>
        <w:rPr>
          <w:position w:val="5"/>
          <w:sz w:val="12"/>
        </w:rPr>
        <w:t>68</w:t>
      </w:r>
      <w:r>
        <w:rPr>
          <w:spacing w:val="9"/>
          <w:position w:val="5"/>
          <w:sz w:val="12"/>
        </w:rPr>
        <w:t xml:space="preserve"> </w:t>
      </w:r>
      <w:r>
        <w:rPr>
          <w:sz w:val="18"/>
        </w:rPr>
        <w:t>“Governor</w:t>
      </w:r>
      <w:r>
        <w:rPr>
          <w:spacing w:val="-4"/>
          <w:sz w:val="18"/>
        </w:rPr>
        <w:t xml:space="preserve"> </w:t>
      </w:r>
      <w:r>
        <w:rPr>
          <w:sz w:val="18"/>
        </w:rPr>
        <w:t>Healey</w:t>
      </w:r>
      <w:r>
        <w:rPr>
          <w:spacing w:val="-3"/>
          <w:sz w:val="18"/>
        </w:rPr>
        <w:t xml:space="preserve"> </w:t>
      </w:r>
      <w:r>
        <w:rPr>
          <w:sz w:val="18"/>
        </w:rPr>
        <w:t>Announces</w:t>
      </w:r>
      <w:r>
        <w:rPr>
          <w:spacing w:val="-4"/>
          <w:sz w:val="18"/>
        </w:rPr>
        <w:t xml:space="preserve"> </w:t>
      </w:r>
      <w:r>
        <w:rPr>
          <w:sz w:val="18"/>
        </w:rPr>
        <w:t>Immediate</w:t>
      </w:r>
      <w:r>
        <w:rPr>
          <w:spacing w:val="-2"/>
          <w:sz w:val="18"/>
        </w:rPr>
        <w:t xml:space="preserve"> </w:t>
      </w:r>
      <w:r>
        <w:rPr>
          <w:sz w:val="18"/>
        </w:rPr>
        <w:t>Action</w:t>
      </w:r>
      <w:r>
        <w:rPr>
          <w:spacing w:val="-4"/>
          <w:sz w:val="18"/>
        </w:rPr>
        <w:t xml:space="preserve"> </w:t>
      </w:r>
      <w:r>
        <w:rPr>
          <w:sz w:val="18"/>
        </w:rPr>
        <w:t>to</w:t>
      </w:r>
      <w:r>
        <w:rPr>
          <w:spacing w:val="-2"/>
          <w:sz w:val="18"/>
        </w:rPr>
        <w:t xml:space="preserve"> </w:t>
      </w:r>
      <w:r>
        <w:rPr>
          <w:sz w:val="18"/>
        </w:rPr>
        <w:t>Protect</w:t>
      </w:r>
      <w:r>
        <w:rPr>
          <w:spacing w:val="-4"/>
          <w:sz w:val="18"/>
        </w:rPr>
        <w:t xml:space="preserve"> </w:t>
      </w:r>
      <w:r>
        <w:rPr>
          <w:sz w:val="18"/>
        </w:rPr>
        <w:t>Access</w:t>
      </w:r>
      <w:r>
        <w:rPr>
          <w:spacing w:val="-2"/>
          <w:sz w:val="18"/>
        </w:rPr>
        <w:t xml:space="preserve"> </w:t>
      </w:r>
      <w:r>
        <w:rPr>
          <w:sz w:val="18"/>
        </w:rPr>
        <w:t>to</w:t>
      </w:r>
      <w:r>
        <w:rPr>
          <w:spacing w:val="-2"/>
          <w:sz w:val="18"/>
        </w:rPr>
        <w:t xml:space="preserve"> </w:t>
      </w:r>
      <w:r>
        <w:rPr>
          <w:sz w:val="18"/>
        </w:rPr>
        <w:t>Medication</w:t>
      </w:r>
      <w:r>
        <w:rPr>
          <w:spacing w:val="-4"/>
          <w:sz w:val="18"/>
        </w:rPr>
        <w:t xml:space="preserve"> </w:t>
      </w:r>
      <w:r>
        <w:rPr>
          <w:sz w:val="18"/>
        </w:rPr>
        <w:t>Abortion</w:t>
      </w:r>
      <w:r>
        <w:rPr>
          <w:spacing w:val="-2"/>
          <w:sz w:val="18"/>
        </w:rPr>
        <w:t xml:space="preserve"> </w:t>
      </w:r>
      <w:r>
        <w:rPr>
          <w:sz w:val="18"/>
        </w:rPr>
        <w:t>in</w:t>
      </w:r>
      <w:r>
        <w:rPr>
          <w:spacing w:val="-4"/>
          <w:sz w:val="18"/>
        </w:rPr>
        <w:t xml:space="preserve"> </w:t>
      </w:r>
      <w:r>
        <w:rPr>
          <w:sz w:val="18"/>
        </w:rPr>
        <w:t>Massachusetts</w:t>
      </w:r>
      <w:r>
        <w:rPr>
          <w:spacing w:val="-4"/>
          <w:sz w:val="18"/>
        </w:rPr>
        <w:t xml:space="preserve"> </w:t>
      </w:r>
      <w:r>
        <w:rPr>
          <w:sz w:val="18"/>
        </w:rPr>
        <w:t>|</w:t>
      </w:r>
      <w:r>
        <w:rPr>
          <w:spacing w:val="-2"/>
          <w:sz w:val="18"/>
        </w:rPr>
        <w:t xml:space="preserve"> </w:t>
      </w:r>
      <w:r>
        <w:rPr>
          <w:sz w:val="18"/>
        </w:rPr>
        <w:t>Mass.Gov,” accessed</w:t>
      </w:r>
      <w:r>
        <w:rPr>
          <w:spacing w:val="-1"/>
          <w:sz w:val="18"/>
        </w:rPr>
        <w:t xml:space="preserve"> </w:t>
      </w:r>
      <w:r>
        <w:rPr>
          <w:sz w:val="18"/>
        </w:rPr>
        <w:t>April</w:t>
      </w:r>
      <w:r>
        <w:rPr>
          <w:spacing w:val="-1"/>
          <w:sz w:val="18"/>
        </w:rPr>
        <w:t xml:space="preserve"> </w:t>
      </w:r>
      <w:r>
        <w:rPr>
          <w:sz w:val="18"/>
        </w:rPr>
        <w:t>24, 2023, https://</w:t>
      </w:r>
      <w:hyperlink r:id="rId487">
        <w:r>
          <w:rPr>
            <w:sz w:val="18"/>
          </w:rPr>
          <w:t>www.mass.gov/news/governor-healey-announces-immediate-action-to-protect-access-to-</w:t>
        </w:r>
      </w:hyperlink>
      <w:r>
        <w:rPr>
          <w:sz w:val="18"/>
        </w:rPr>
        <w:t xml:space="preserve"> </w:t>
      </w:r>
      <w:r>
        <w:rPr>
          <w:spacing w:val="-2"/>
          <w:sz w:val="18"/>
        </w:rPr>
        <w:t>medication-abortion-in-massachusetts.</w:t>
      </w:r>
    </w:p>
    <w:p w:rsidR="00200FDA" w:rsidRDefault="00F76C4C">
      <w:pPr>
        <w:ind w:left="140" w:right="736" w:hanging="1"/>
        <w:jc w:val="both"/>
        <w:rPr>
          <w:sz w:val="18"/>
        </w:rPr>
      </w:pPr>
      <w:bookmarkStart w:id="664" w:name="_bookmark515"/>
      <w:bookmarkEnd w:id="664"/>
      <w:r>
        <w:rPr>
          <w:position w:val="5"/>
          <w:sz w:val="12"/>
        </w:rPr>
        <w:t>69</w:t>
      </w:r>
      <w:r>
        <w:rPr>
          <w:spacing w:val="9"/>
          <w:position w:val="5"/>
          <w:sz w:val="12"/>
        </w:rPr>
        <w:t xml:space="preserve"> </w:t>
      </w:r>
      <w:r>
        <w:rPr>
          <w:sz w:val="18"/>
        </w:rPr>
        <w:t>Sarah</w:t>
      </w:r>
      <w:r>
        <w:rPr>
          <w:spacing w:val="-4"/>
          <w:sz w:val="18"/>
        </w:rPr>
        <w:t xml:space="preserve"> </w:t>
      </w:r>
      <w:r>
        <w:rPr>
          <w:sz w:val="18"/>
        </w:rPr>
        <w:t>Betancourt,</w:t>
      </w:r>
      <w:r>
        <w:rPr>
          <w:spacing w:val="-3"/>
          <w:sz w:val="18"/>
        </w:rPr>
        <w:t xml:space="preserve"> </w:t>
      </w:r>
      <w:r>
        <w:rPr>
          <w:sz w:val="18"/>
        </w:rPr>
        <w:t>“2017</w:t>
      </w:r>
      <w:r>
        <w:rPr>
          <w:spacing w:val="-3"/>
          <w:sz w:val="18"/>
        </w:rPr>
        <w:t xml:space="preserve"> </w:t>
      </w:r>
      <w:r>
        <w:rPr>
          <w:sz w:val="18"/>
        </w:rPr>
        <w:t>B</w:t>
      </w:r>
      <w:r>
        <w:rPr>
          <w:sz w:val="18"/>
        </w:rPr>
        <w:t>irth</w:t>
      </w:r>
      <w:r>
        <w:rPr>
          <w:spacing w:val="-4"/>
          <w:sz w:val="18"/>
        </w:rPr>
        <w:t xml:space="preserve"> </w:t>
      </w:r>
      <w:r>
        <w:rPr>
          <w:sz w:val="18"/>
        </w:rPr>
        <w:t>Control</w:t>
      </w:r>
      <w:r>
        <w:rPr>
          <w:spacing w:val="-4"/>
          <w:sz w:val="18"/>
        </w:rPr>
        <w:t xml:space="preserve"> </w:t>
      </w:r>
      <w:r>
        <w:rPr>
          <w:sz w:val="18"/>
        </w:rPr>
        <w:t>Provision</w:t>
      </w:r>
      <w:r>
        <w:rPr>
          <w:spacing w:val="-4"/>
          <w:sz w:val="18"/>
        </w:rPr>
        <w:t xml:space="preserve"> </w:t>
      </w:r>
      <w:r>
        <w:rPr>
          <w:sz w:val="18"/>
        </w:rPr>
        <w:t>Fell</w:t>
      </w:r>
      <w:r>
        <w:rPr>
          <w:spacing w:val="-4"/>
          <w:sz w:val="18"/>
        </w:rPr>
        <w:t xml:space="preserve"> </w:t>
      </w:r>
      <w:r>
        <w:rPr>
          <w:sz w:val="18"/>
        </w:rPr>
        <w:t>through</w:t>
      </w:r>
      <w:r>
        <w:rPr>
          <w:spacing w:val="-2"/>
          <w:sz w:val="18"/>
        </w:rPr>
        <w:t xml:space="preserve"> </w:t>
      </w:r>
      <w:r>
        <w:rPr>
          <w:sz w:val="18"/>
        </w:rPr>
        <w:t>the</w:t>
      </w:r>
      <w:r>
        <w:rPr>
          <w:spacing w:val="-2"/>
          <w:sz w:val="18"/>
        </w:rPr>
        <w:t xml:space="preserve"> </w:t>
      </w:r>
      <w:r>
        <w:rPr>
          <w:sz w:val="18"/>
        </w:rPr>
        <w:t>Cracks,”</w:t>
      </w:r>
      <w:r>
        <w:rPr>
          <w:spacing w:val="-4"/>
          <w:sz w:val="18"/>
        </w:rPr>
        <w:t xml:space="preserve"> </w:t>
      </w:r>
      <w:r>
        <w:rPr>
          <w:i/>
          <w:sz w:val="18"/>
        </w:rPr>
        <w:t>CommonWealth</w:t>
      </w:r>
      <w:r>
        <w:rPr>
          <w:i/>
          <w:spacing w:val="-2"/>
          <w:sz w:val="18"/>
        </w:rPr>
        <w:t xml:space="preserve"> </w:t>
      </w:r>
      <w:r>
        <w:rPr>
          <w:i/>
          <w:sz w:val="18"/>
        </w:rPr>
        <w:t>Magazine</w:t>
      </w:r>
      <w:r>
        <w:rPr>
          <w:i/>
          <w:spacing w:val="-2"/>
          <w:sz w:val="18"/>
        </w:rPr>
        <w:t xml:space="preserve"> </w:t>
      </w:r>
      <w:r>
        <w:rPr>
          <w:sz w:val="18"/>
        </w:rPr>
        <w:t>(blog),</w:t>
      </w:r>
      <w:r>
        <w:rPr>
          <w:spacing w:val="-3"/>
          <w:sz w:val="18"/>
        </w:rPr>
        <w:t xml:space="preserve"> </w:t>
      </w:r>
      <w:r>
        <w:rPr>
          <w:sz w:val="18"/>
        </w:rPr>
        <w:t>February</w:t>
      </w:r>
      <w:r>
        <w:rPr>
          <w:spacing w:val="-3"/>
          <w:sz w:val="18"/>
        </w:rPr>
        <w:t xml:space="preserve"> </w:t>
      </w:r>
      <w:r>
        <w:rPr>
          <w:sz w:val="18"/>
        </w:rPr>
        <w:t xml:space="preserve">28, 2021, </w:t>
      </w:r>
      <w:hyperlink r:id="rId488">
        <w:r>
          <w:rPr>
            <w:color w:val="0562C1"/>
            <w:sz w:val="18"/>
            <w:u w:val="single" w:color="0562C1"/>
          </w:rPr>
          <w:t>https://commonwealthmagazine.org/health/2017-</w:t>
        </w:r>
        <w:r>
          <w:rPr>
            <w:color w:val="0562C1"/>
            <w:sz w:val="18"/>
            <w:u w:val="single" w:color="0562C1"/>
          </w:rPr>
          <w:t>birth-control-provision-fell-through-the-cracks/</w:t>
        </w:r>
        <w:r>
          <w:rPr>
            <w:sz w:val="18"/>
          </w:rPr>
          <w:t>.</w:t>
        </w:r>
      </w:hyperlink>
    </w:p>
    <w:p w:rsidR="00200FDA" w:rsidRDefault="00F76C4C">
      <w:pPr>
        <w:ind w:left="140" w:right="2361" w:hanging="1"/>
        <w:rPr>
          <w:sz w:val="18"/>
        </w:rPr>
      </w:pPr>
      <w:bookmarkStart w:id="665" w:name="_bookmark516"/>
      <w:bookmarkEnd w:id="665"/>
      <w:r>
        <w:rPr>
          <w:position w:val="5"/>
          <w:sz w:val="12"/>
        </w:rPr>
        <w:t>70</w:t>
      </w:r>
      <w:r>
        <w:rPr>
          <w:spacing w:val="9"/>
          <w:position w:val="5"/>
          <w:sz w:val="12"/>
        </w:rPr>
        <w:t xml:space="preserve"> </w:t>
      </w:r>
      <w:r>
        <w:rPr>
          <w:sz w:val="18"/>
        </w:rPr>
        <w:t>“ACCESS</w:t>
      </w:r>
      <w:r>
        <w:rPr>
          <w:spacing w:val="-4"/>
          <w:sz w:val="18"/>
        </w:rPr>
        <w:t xml:space="preserve"> </w:t>
      </w:r>
      <w:r>
        <w:rPr>
          <w:sz w:val="18"/>
        </w:rPr>
        <w:t>to</w:t>
      </w:r>
      <w:r>
        <w:rPr>
          <w:spacing w:val="-2"/>
          <w:sz w:val="18"/>
        </w:rPr>
        <w:t xml:space="preserve"> </w:t>
      </w:r>
      <w:r>
        <w:rPr>
          <w:sz w:val="18"/>
        </w:rPr>
        <w:t>Birth</w:t>
      </w:r>
      <w:r>
        <w:rPr>
          <w:spacing w:val="-4"/>
          <w:sz w:val="18"/>
        </w:rPr>
        <w:t xml:space="preserve"> </w:t>
      </w:r>
      <w:r>
        <w:rPr>
          <w:sz w:val="18"/>
        </w:rPr>
        <w:t>Control</w:t>
      </w:r>
      <w:r>
        <w:rPr>
          <w:spacing w:val="-4"/>
          <w:sz w:val="18"/>
        </w:rPr>
        <w:t xml:space="preserve"> </w:t>
      </w:r>
      <w:r>
        <w:rPr>
          <w:sz w:val="18"/>
        </w:rPr>
        <w:t>and</w:t>
      </w:r>
      <w:r>
        <w:rPr>
          <w:spacing w:val="-4"/>
          <w:sz w:val="18"/>
        </w:rPr>
        <w:t xml:space="preserve"> </w:t>
      </w:r>
      <w:r>
        <w:rPr>
          <w:sz w:val="18"/>
        </w:rPr>
        <w:t>Emergency</w:t>
      </w:r>
      <w:r>
        <w:rPr>
          <w:spacing w:val="-3"/>
          <w:sz w:val="18"/>
        </w:rPr>
        <w:t xml:space="preserve"> </w:t>
      </w:r>
      <w:r>
        <w:rPr>
          <w:sz w:val="18"/>
        </w:rPr>
        <w:t>Contraception</w:t>
      </w:r>
      <w:r>
        <w:rPr>
          <w:spacing w:val="-4"/>
          <w:sz w:val="18"/>
        </w:rPr>
        <w:t xml:space="preserve"> </w:t>
      </w:r>
      <w:r>
        <w:rPr>
          <w:sz w:val="18"/>
        </w:rPr>
        <w:t>|</w:t>
      </w:r>
      <w:r>
        <w:rPr>
          <w:spacing w:val="-2"/>
          <w:sz w:val="18"/>
        </w:rPr>
        <w:t xml:space="preserve"> </w:t>
      </w:r>
      <w:r>
        <w:rPr>
          <w:sz w:val="18"/>
        </w:rPr>
        <w:t>Mass.Gov,”</w:t>
      </w:r>
      <w:r>
        <w:rPr>
          <w:spacing w:val="-4"/>
          <w:sz w:val="18"/>
        </w:rPr>
        <w:t xml:space="preserve"> </w:t>
      </w:r>
      <w:r>
        <w:rPr>
          <w:sz w:val="18"/>
        </w:rPr>
        <w:t>accessed</w:t>
      </w:r>
      <w:r>
        <w:rPr>
          <w:spacing w:val="-4"/>
          <w:sz w:val="18"/>
        </w:rPr>
        <w:t xml:space="preserve"> </w:t>
      </w:r>
      <w:r>
        <w:rPr>
          <w:sz w:val="18"/>
        </w:rPr>
        <w:t>December</w:t>
      </w:r>
      <w:r>
        <w:rPr>
          <w:spacing w:val="-4"/>
          <w:sz w:val="18"/>
        </w:rPr>
        <w:t xml:space="preserve"> </w:t>
      </w:r>
      <w:r>
        <w:rPr>
          <w:sz w:val="18"/>
        </w:rPr>
        <w:t>4,</w:t>
      </w:r>
      <w:r>
        <w:rPr>
          <w:spacing w:val="-3"/>
          <w:sz w:val="18"/>
        </w:rPr>
        <w:t xml:space="preserve"> </w:t>
      </w:r>
      <w:r>
        <w:rPr>
          <w:sz w:val="18"/>
        </w:rPr>
        <w:t xml:space="preserve">2022, </w:t>
      </w:r>
      <w:hyperlink r:id="rId489">
        <w:r>
          <w:rPr>
            <w:color w:val="0562C1"/>
            <w:spacing w:val="-2"/>
            <w:sz w:val="18"/>
            <w:u w:val="single" w:color="0562C1"/>
          </w:rPr>
          <w:t>https://www.mass.gov/info-details/access-to-birth-control-and-emergency-contraception</w:t>
        </w:r>
        <w:r>
          <w:rPr>
            <w:spacing w:val="-2"/>
            <w:sz w:val="18"/>
          </w:rPr>
          <w:t>.</w:t>
        </w:r>
      </w:hyperlink>
    </w:p>
    <w:p w:rsidR="00200FDA" w:rsidRDefault="00F76C4C">
      <w:pPr>
        <w:ind w:left="139" w:right="2084"/>
        <w:rPr>
          <w:sz w:val="18"/>
        </w:rPr>
      </w:pPr>
      <w:bookmarkStart w:id="666" w:name="_bookmark517"/>
      <w:bookmarkEnd w:id="666"/>
      <w:r>
        <w:rPr>
          <w:position w:val="5"/>
          <w:sz w:val="12"/>
        </w:rPr>
        <w:t>71</w:t>
      </w:r>
      <w:r>
        <w:rPr>
          <w:spacing w:val="10"/>
          <w:position w:val="5"/>
          <w:sz w:val="12"/>
        </w:rPr>
        <w:t xml:space="preserve"> </w:t>
      </w:r>
      <w:r>
        <w:rPr>
          <w:sz w:val="18"/>
        </w:rPr>
        <w:t>“Talk</w:t>
      </w:r>
      <w:r>
        <w:rPr>
          <w:spacing w:val="-3"/>
          <w:sz w:val="18"/>
        </w:rPr>
        <w:t xml:space="preserve"> </w:t>
      </w:r>
      <w:r>
        <w:rPr>
          <w:sz w:val="18"/>
        </w:rPr>
        <w:t>to</w:t>
      </w:r>
      <w:r>
        <w:rPr>
          <w:spacing w:val="-1"/>
          <w:sz w:val="18"/>
        </w:rPr>
        <w:t xml:space="preserve"> </w:t>
      </w:r>
      <w:r>
        <w:rPr>
          <w:sz w:val="18"/>
        </w:rPr>
        <w:t>Your</w:t>
      </w:r>
      <w:r>
        <w:rPr>
          <w:spacing w:val="-3"/>
          <w:sz w:val="18"/>
        </w:rPr>
        <w:t xml:space="preserve"> </w:t>
      </w:r>
      <w:r>
        <w:rPr>
          <w:sz w:val="18"/>
        </w:rPr>
        <w:t>Clinician</w:t>
      </w:r>
      <w:r>
        <w:rPr>
          <w:spacing w:val="-3"/>
          <w:sz w:val="18"/>
        </w:rPr>
        <w:t xml:space="preserve"> </w:t>
      </w:r>
      <w:r>
        <w:rPr>
          <w:sz w:val="18"/>
        </w:rPr>
        <w:t>or</w:t>
      </w:r>
      <w:r>
        <w:rPr>
          <w:spacing w:val="-3"/>
          <w:sz w:val="18"/>
        </w:rPr>
        <w:t xml:space="preserve"> </w:t>
      </w:r>
      <w:r>
        <w:rPr>
          <w:sz w:val="18"/>
        </w:rPr>
        <w:t>Pharmacist</w:t>
      </w:r>
      <w:r>
        <w:rPr>
          <w:spacing w:val="-3"/>
          <w:sz w:val="18"/>
        </w:rPr>
        <w:t xml:space="preserve"> </w:t>
      </w:r>
      <w:r>
        <w:rPr>
          <w:sz w:val="18"/>
        </w:rPr>
        <w:t>about</w:t>
      </w:r>
      <w:r>
        <w:rPr>
          <w:spacing w:val="-3"/>
          <w:sz w:val="18"/>
        </w:rPr>
        <w:t xml:space="preserve"> </w:t>
      </w:r>
      <w:r>
        <w:rPr>
          <w:sz w:val="18"/>
        </w:rPr>
        <w:t>the</w:t>
      </w:r>
      <w:r>
        <w:rPr>
          <w:spacing w:val="-3"/>
          <w:sz w:val="18"/>
        </w:rPr>
        <w:t xml:space="preserve"> </w:t>
      </w:r>
      <w:r>
        <w:rPr>
          <w:sz w:val="18"/>
        </w:rPr>
        <w:t>ACCESS</w:t>
      </w:r>
      <w:r>
        <w:rPr>
          <w:spacing w:val="-3"/>
          <w:sz w:val="18"/>
        </w:rPr>
        <w:t xml:space="preserve"> </w:t>
      </w:r>
      <w:r>
        <w:rPr>
          <w:sz w:val="18"/>
        </w:rPr>
        <w:t>Law</w:t>
      </w:r>
      <w:r>
        <w:rPr>
          <w:spacing w:val="-1"/>
          <w:sz w:val="18"/>
        </w:rPr>
        <w:t xml:space="preserve"> </w:t>
      </w:r>
      <w:r>
        <w:rPr>
          <w:sz w:val="18"/>
        </w:rPr>
        <w:t>|</w:t>
      </w:r>
      <w:r>
        <w:rPr>
          <w:spacing w:val="-1"/>
          <w:sz w:val="18"/>
        </w:rPr>
        <w:t xml:space="preserve"> </w:t>
      </w:r>
      <w:r>
        <w:rPr>
          <w:sz w:val="18"/>
        </w:rPr>
        <w:t>Mass.Gov,”</w:t>
      </w:r>
      <w:r>
        <w:rPr>
          <w:spacing w:val="-3"/>
          <w:sz w:val="18"/>
        </w:rPr>
        <w:t xml:space="preserve"> </w:t>
      </w:r>
      <w:r>
        <w:rPr>
          <w:sz w:val="18"/>
        </w:rPr>
        <w:t>accessed</w:t>
      </w:r>
      <w:r>
        <w:rPr>
          <w:spacing w:val="-3"/>
          <w:sz w:val="18"/>
        </w:rPr>
        <w:t xml:space="preserve"> </w:t>
      </w:r>
      <w:r>
        <w:rPr>
          <w:sz w:val="18"/>
        </w:rPr>
        <w:t>December</w:t>
      </w:r>
      <w:r>
        <w:rPr>
          <w:spacing w:val="-3"/>
          <w:sz w:val="18"/>
        </w:rPr>
        <w:t xml:space="preserve"> </w:t>
      </w:r>
      <w:r>
        <w:rPr>
          <w:sz w:val="18"/>
        </w:rPr>
        <w:t>4,</w:t>
      </w:r>
      <w:r>
        <w:rPr>
          <w:spacing w:val="-2"/>
          <w:sz w:val="18"/>
        </w:rPr>
        <w:t xml:space="preserve"> </w:t>
      </w:r>
      <w:r>
        <w:rPr>
          <w:sz w:val="18"/>
        </w:rPr>
        <w:t xml:space="preserve">2022, </w:t>
      </w:r>
      <w:hyperlink r:id="rId490">
        <w:r>
          <w:rPr>
            <w:color w:val="0562C1"/>
            <w:spacing w:val="-2"/>
            <w:sz w:val="18"/>
            <w:u w:val="single" w:color="0562C1"/>
          </w:rPr>
          <w:t>https://www.mass.gov/info-details/talk-to-your-clinician-or-pharmacist-about-the-access-law</w:t>
        </w:r>
        <w:r>
          <w:rPr>
            <w:spacing w:val="-2"/>
            <w:sz w:val="18"/>
          </w:rPr>
          <w:t>.</w:t>
        </w:r>
      </w:hyperlink>
    </w:p>
    <w:p w:rsidR="00200FDA" w:rsidRDefault="00F76C4C">
      <w:pPr>
        <w:ind w:left="140" w:right="477"/>
        <w:rPr>
          <w:sz w:val="18"/>
        </w:rPr>
      </w:pPr>
      <w:bookmarkStart w:id="667" w:name="_bookmark518"/>
      <w:bookmarkEnd w:id="667"/>
      <w:r>
        <w:rPr>
          <w:position w:val="5"/>
          <w:sz w:val="12"/>
        </w:rPr>
        <w:t>72</w:t>
      </w:r>
      <w:r>
        <w:rPr>
          <w:spacing w:val="8"/>
          <w:position w:val="5"/>
          <w:sz w:val="12"/>
        </w:rPr>
        <w:t xml:space="preserve"> </w:t>
      </w:r>
      <w:r>
        <w:rPr>
          <w:sz w:val="18"/>
        </w:rPr>
        <w:t>“DPH-Funded</w:t>
      </w:r>
      <w:r>
        <w:rPr>
          <w:spacing w:val="-3"/>
          <w:sz w:val="18"/>
        </w:rPr>
        <w:t xml:space="preserve"> </w:t>
      </w:r>
      <w:r>
        <w:rPr>
          <w:sz w:val="18"/>
        </w:rPr>
        <w:t>Family</w:t>
      </w:r>
      <w:r>
        <w:rPr>
          <w:spacing w:val="-4"/>
          <w:sz w:val="18"/>
        </w:rPr>
        <w:t xml:space="preserve"> </w:t>
      </w:r>
      <w:r>
        <w:rPr>
          <w:sz w:val="18"/>
        </w:rPr>
        <w:t>Planning</w:t>
      </w:r>
      <w:r>
        <w:rPr>
          <w:spacing w:val="-5"/>
          <w:sz w:val="18"/>
        </w:rPr>
        <w:t xml:space="preserve"> </w:t>
      </w:r>
      <w:r>
        <w:rPr>
          <w:sz w:val="18"/>
        </w:rPr>
        <w:t>Programs</w:t>
      </w:r>
      <w:r>
        <w:rPr>
          <w:spacing w:val="-5"/>
          <w:sz w:val="18"/>
        </w:rPr>
        <w:t xml:space="preserve"> </w:t>
      </w:r>
      <w:r>
        <w:rPr>
          <w:sz w:val="18"/>
        </w:rPr>
        <w:t>|</w:t>
      </w:r>
      <w:r>
        <w:rPr>
          <w:spacing w:val="-3"/>
          <w:sz w:val="18"/>
        </w:rPr>
        <w:t xml:space="preserve"> </w:t>
      </w:r>
      <w:r>
        <w:rPr>
          <w:sz w:val="18"/>
        </w:rPr>
        <w:t>Mass.Gov,”</w:t>
      </w:r>
      <w:r>
        <w:rPr>
          <w:spacing w:val="-5"/>
          <w:sz w:val="18"/>
        </w:rPr>
        <w:t xml:space="preserve"> </w:t>
      </w:r>
      <w:r>
        <w:rPr>
          <w:sz w:val="18"/>
        </w:rPr>
        <w:t>accessed</w:t>
      </w:r>
      <w:r>
        <w:rPr>
          <w:spacing w:val="-5"/>
          <w:sz w:val="18"/>
        </w:rPr>
        <w:t xml:space="preserve"> </w:t>
      </w:r>
      <w:r>
        <w:rPr>
          <w:sz w:val="18"/>
        </w:rPr>
        <w:t>December</w:t>
      </w:r>
      <w:r>
        <w:rPr>
          <w:spacing w:val="-5"/>
          <w:sz w:val="18"/>
        </w:rPr>
        <w:t xml:space="preserve"> </w:t>
      </w:r>
      <w:r>
        <w:rPr>
          <w:sz w:val="18"/>
        </w:rPr>
        <w:t>5,</w:t>
      </w:r>
      <w:r>
        <w:rPr>
          <w:spacing w:val="-4"/>
          <w:sz w:val="18"/>
        </w:rPr>
        <w:t xml:space="preserve"> </w:t>
      </w:r>
      <w:r>
        <w:rPr>
          <w:sz w:val="18"/>
        </w:rPr>
        <w:t>2022,</w:t>
      </w:r>
      <w:r>
        <w:rPr>
          <w:spacing w:val="-5"/>
          <w:sz w:val="18"/>
        </w:rPr>
        <w:t xml:space="preserve"> </w:t>
      </w:r>
      <w:hyperlink r:id="rId491">
        <w:r>
          <w:rPr>
            <w:color w:val="0562C1"/>
            <w:sz w:val="18"/>
            <w:u w:val="single" w:color="0562C1"/>
          </w:rPr>
          <w:t>https://www.mass.gov/info-details/dph-</w:t>
        </w:r>
      </w:hyperlink>
      <w:r>
        <w:rPr>
          <w:color w:val="0562C1"/>
          <w:sz w:val="18"/>
        </w:rPr>
        <w:t xml:space="preserve"> </w:t>
      </w:r>
      <w:hyperlink r:id="rId492">
        <w:r>
          <w:rPr>
            <w:color w:val="0562C1"/>
            <w:spacing w:val="-2"/>
            <w:sz w:val="18"/>
            <w:u w:val="single" w:color="0562C1"/>
          </w:rPr>
          <w:t>funded-family-planning-programs</w:t>
        </w:r>
        <w:r>
          <w:rPr>
            <w:spacing w:val="-2"/>
            <w:sz w:val="18"/>
          </w:rPr>
          <w:t>.</w:t>
        </w:r>
      </w:hyperlink>
    </w:p>
    <w:p w:rsidR="00200FDA" w:rsidRDefault="00F76C4C">
      <w:pPr>
        <w:ind w:left="140" w:right="357" w:hanging="1"/>
        <w:rPr>
          <w:sz w:val="18"/>
        </w:rPr>
      </w:pPr>
      <w:bookmarkStart w:id="668" w:name="_bookmark519"/>
      <w:bookmarkEnd w:id="668"/>
      <w:r>
        <w:rPr>
          <w:position w:val="5"/>
          <w:sz w:val="12"/>
        </w:rPr>
        <w:t>73</w:t>
      </w:r>
      <w:r>
        <w:rPr>
          <w:spacing w:val="10"/>
          <w:position w:val="5"/>
          <w:sz w:val="12"/>
        </w:rPr>
        <w:t xml:space="preserve"> </w:t>
      </w:r>
      <w:r>
        <w:rPr>
          <w:sz w:val="18"/>
        </w:rPr>
        <w:t>Taylor</w:t>
      </w:r>
      <w:r>
        <w:rPr>
          <w:spacing w:val="-3"/>
          <w:sz w:val="18"/>
        </w:rPr>
        <w:t xml:space="preserve"> </w:t>
      </w:r>
      <w:r>
        <w:rPr>
          <w:sz w:val="18"/>
        </w:rPr>
        <w:t>N</w:t>
      </w:r>
      <w:r>
        <w:rPr>
          <w:spacing w:val="-3"/>
          <w:sz w:val="18"/>
        </w:rPr>
        <w:t xml:space="preserve"> </w:t>
      </w:r>
      <w:r>
        <w:rPr>
          <w:sz w:val="18"/>
        </w:rPr>
        <w:t>T</w:t>
      </w:r>
      <w:r>
        <w:rPr>
          <w:spacing w:val="-1"/>
          <w:sz w:val="18"/>
        </w:rPr>
        <w:t xml:space="preserve"> </w:t>
      </w:r>
      <w:r>
        <w:rPr>
          <w:sz w:val="18"/>
        </w:rPr>
        <w:t>Brown,</w:t>
      </w:r>
      <w:r>
        <w:rPr>
          <w:spacing w:val="-2"/>
          <w:sz w:val="18"/>
        </w:rPr>
        <w:t xml:space="preserve"> </w:t>
      </w:r>
      <w:r>
        <w:rPr>
          <w:sz w:val="18"/>
        </w:rPr>
        <w:t>Adam</w:t>
      </w:r>
      <w:r>
        <w:rPr>
          <w:spacing w:val="-2"/>
          <w:sz w:val="18"/>
        </w:rPr>
        <w:t xml:space="preserve"> </w:t>
      </w:r>
      <w:r>
        <w:rPr>
          <w:sz w:val="18"/>
        </w:rPr>
        <w:t>P</w:t>
      </w:r>
      <w:r>
        <w:rPr>
          <w:spacing w:val="-2"/>
          <w:sz w:val="18"/>
        </w:rPr>
        <w:t xml:space="preserve"> </w:t>
      </w:r>
      <w:r>
        <w:rPr>
          <w:sz w:val="18"/>
        </w:rPr>
        <w:t>Romero,</w:t>
      </w:r>
      <w:r>
        <w:rPr>
          <w:spacing w:val="-2"/>
          <w:sz w:val="18"/>
        </w:rPr>
        <w:t xml:space="preserve"> </w:t>
      </w:r>
      <w:r>
        <w:rPr>
          <w:sz w:val="18"/>
        </w:rPr>
        <w:t>and</w:t>
      </w:r>
      <w:r>
        <w:rPr>
          <w:spacing w:val="-3"/>
          <w:sz w:val="18"/>
        </w:rPr>
        <w:t xml:space="preserve"> </w:t>
      </w:r>
      <w:r>
        <w:rPr>
          <w:sz w:val="18"/>
        </w:rPr>
        <w:t>Gary</w:t>
      </w:r>
      <w:r>
        <w:rPr>
          <w:spacing w:val="-2"/>
          <w:sz w:val="18"/>
        </w:rPr>
        <w:t xml:space="preserve"> </w:t>
      </w:r>
      <w:r>
        <w:rPr>
          <w:sz w:val="18"/>
        </w:rPr>
        <w:t>J</w:t>
      </w:r>
      <w:r>
        <w:rPr>
          <w:spacing w:val="-2"/>
          <w:sz w:val="18"/>
        </w:rPr>
        <w:t xml:space="preserve"> </w:t>
      </w:r>
      <w:r>
        <w:rPr>
          <w:sz w:val="18"/>
        </w:rPr>
        <w:t>Gates,</w:t>
      </w:r>
      <w:r>
        <w:rPr>
          <w:spacing w:val="-2"/>
          <w:sz w:val="18"/>
        </w:rPr>
        <w:t xml:space="preserve"> </w:t>
      </w:r>
      <w:r>
        <w:rPr>
          <w:sz w:val="18"/>
        </w:rPr>
        <w:t>“FOOD</w:t>
      </w:r>
      <w:r>
        <w:rPr>
          <w:spacing w:val="-3"/>
          <w:sz w:val="18"/>
        </w:rPr>
        <w:t xml:space="preserve"> </w:t>
      </w:r>
      <w:r>
        <w:rPr>
          <w:sz w:val="18"/>
        </w:rPr>
        <w:t>INSECURITY</w:t>
      </w:r>
      <w:r>
        <w:rPr>
          <w:spacing w:val="-1"/>
          <w:sz w:val="18"/>
        </w:rPr>
        <w:t xml:space="preserve"> </w:t>
      </w:r>
      <w:r>
        <w:rPr>
          <w:sz w:val="18"/>
        </w:rPr>
        <w:t>AND</w:t>
      </w:r>
      <w:r>
        <w:rPr>
          <w:spacing w:val="-3"/>
          <w:sz w:val="18"/>
        </w:rPr>
        <w:t xml:space="preserve"> </w:t>
      </w:r>
      <w:r>
        <w:rPr>
          <w:sz w:val="18"/>
        </w:rPr>
        <w:t>SNAP</w:t>
      </w:r>
      <w:r>
        <w:rPr>
          <w:spacing w:val="-2"/>
          <w:sz w:val="18"/>
        </w:rPr>
        <w:t xml:space="preserve"> </w:t>
      </w:r>
      <w:r>
        <w:rPr>
          <w:sz w:val="18"/>
        </w:rPr>
        <w:t>PARTICIPATION</w:t>
      </w:r>
      <w:r>
        <w:rPr>
          <w:spacing w:val="-3"/>
          <w:sz w:val="18"/>
        </w:rPr>
        <w:t xml:space="preserve"> </w:t>
      </w:r>
      <w:r>
        <w:rPr>
          <w:sz w:val="18"/>
        </w:rPr>
        <w:t>IN</w:t>
      </w:r>
      <w:r>
        <w:rPr>
          <w:spacing w:val="-3"/>
          <w:sz w:val="18"/>
        </w:rPr>
        <w:t xml:space="preserve"> </w:t>
      </w:r>
      <w:r>
        <w:rPr>
          <w:sz w:val="18"/>
        </w:rPr>
        <w:t>THE</w:t>
      </w:r>
      <w:r>
        <w:rPr>
          <w:spacing w:val="-1"/>
          <w:sz w:val="18"/>
        </w:rPr>
        <w:t xml:space="preserve"> </w:t>
      </w:r>
      <w:r>
        <w:rPr>
          <w:sz w:val="18"/>
        </w:rPr>
        <w:t>LGBT COMMUNITY,” n.d., 28.</w:t>
      </w:r>
    </w:p>
    <w:p w:rsidR="00200FDA" w:rsidRDefault="00F76C4C">
      <w:pPr>
        <w:spacing w:line="219" w:lineRule="exact"/>
        <w:ind w:left="140"/>
        <w:rPr>
          <w:sz w:val="18"/>
        </w:rPr>
      </w:pPr>
      <w:bookmarkStart w:id="669" w:name="_bookmark520"/>
      <w:bookmarkEnd w:id="669"/>
      <w:r>
        <w:rPr>
          <w:position w:val="5"/>
          <w:sz w:val="12"/>
        </w:rPr>
        <w:t>74</w:t>
      </w:r>
      <w:r>
        <w:rPr>
          <w:spacing w:val="11"/>
          <w:position w:val="5"/>
          <w:sz w:val="12"/>
        </w:rPr>
        <w:t xml:space="preserve"> </w:t>
      </w:r>
      <w:r>
        <w:rPr>
          <w:spacing w:val="-4"/>
          <w:sz w:val="18"/>
        </w:rPr>
        <w:t>lbid.</w:t>
      </w:r>
    </w:p>
    <w:p w:rsidR="00200FDA" w:rsidRDefault="00F76C4C">
      <w:pPr>
        <w:ind w:left="140" w:right="505"/>
        <w:rPr>
          <w:sz w:val="18"/>
        </w:rPr>
      </w:pPr>
      <w:bookmarkStart w:id="670" w:name="_bookmark521"/>
      <w:bookmarkEnd w:id="670"/>
      <w:r>
        <w:rPr>
          <w:position w:val="5"/>
          <w:sz w:val="12"/>
        </w:rPr>
        <w:t>75</w:t>
      </w:r>
      <w:r>
        <w:rPr>
          <w:spacing w:val="19"/>
          <w:position w:val="5"/>
          <w:sz w:val="12"/>
        </w:rPr>
        <w:t xml:space="preserve"> </w:t>
      </w:r>
      <w:r>
        <w:rPr>
          <w:sz w:val="18"/>
        </w:rPr>
        <w:t xml:space="preserve">“Menstrual Hygiene Products Can Be Purchased with SNAP and WIC Benefits under Villa Law,” ISDC, August 5, 2021, </w:t>
      </w:r>
      <w:hyperlink r:id="rId493">
        <w:r>
          <w:rPr>
            <w:color w:val="0562C1"/>
            <w:spacing w:val="-2"/>
            <w:sz w:val="18"/>
            <w:u w:val="single" w:color="0562C1"/>
          </w:rPr>
          <w:t>https://www.illinoissenatedemocrats.com/caucus-news/72-senator-karina-villa-news/2886-menstrual-hygiene-products-</w:t>
        </w:r>
        <w:r>
          <w:rPr>
            <w:color w:val="0562C1"/>
            <w:spacing w:val="-2"/>
            <w:sz w:val="18"/>
            <w:u w:val="single" w:color="0562C1"/>
          </w:rPr>
          <w:t>can-</w:t>
        </w:r>
      </w:hyperlink>
      <w:r>
        <w:rPr>
          <w:color w:val="0562C1"/>
          <w:spacing w:val="40"/>
          <w:sz w:val="18"/>
        </w:rPr>
        <w:t xml:space="preserve"> </w:t>
      </w:r>
      <w:hyperlink r:id="rId494">
        <w:r>
          <w:rPr>
            <w:color w:val="0562C1"/>
            <w:spacing w:val="-2"/>
            <w:sz w:val="18"/>
            <w:u w:val="single" w:color="0562C1"/>
          </w:rPr>
          <w:t>be-purchased-with-snap-and-wic-benefits-under-villa-law</w:t>
        </w:r>
        <w:r>
          <w:rPr>
            <w:spacing w:val="-2"/>
            <w:sz w:val="18"/>
          </w:rPr>
          <w:t>.</w:t>
        </w:r>
      </w:hyperlink>
    </w:p>
    <w:p w:rsidR="00200FDA" w:rsidRDefault="00200FDA">
      <w:pPr>
        <w:rPr>
          <w:sz w:val="18"/>
        </w:rPr>
        <w:sectPr w:rsidR="00200FDA">
          <w:pgSz w:w="12240" w:h="15840"/>
          <w:pgMar w:top="1140" w:right="1100" w:bottom="1540" w:left="1300" w:header="758" w:footer="1353" w:gutter="0"/>
          <w:cols w:space="720"/>
        </w:sectPr>
      </w:pPr>
    </w:p>
    <w:p w:rsidR="00200FDA" w:rsidRDefault="00200FDA">
      <w:pPr>
        <w:pStyle w:val="BodyText"/>
        <w:spacing w:before="7"/>
        <w:rPr>
          <w:sz w:val="20"/>
        </w:rPr>
      </w:pPr>
    </w:p>
    <w:p w:rsidR="00200FDA" w:rsidRDefault="00F76C4C">
      <w:pPr>
        <w:spacing w:before="69"/>
        <w:ind w:left="140" w:right="827"/>
        <w:rPr>
          <w:sz w:val="18"/>
        </w:rPr>
      </w:pPr>
      <w:bookmarkStart w:id="671" w:name="_bookmark522"/>
      <w:bookmarkEnd w:id="671"/>
      <w:r>
        <w:rPr>
          <w:position w:val="5"/>
          <w:sz w:val="12"/>
        </w:rPr>
        <w:t>76</w:t>
      </w:r>
      <w:r>
        <w:rPr>
          <w:spacing w:val="9"/>
          <w:position w:val="5"/>
          <w:sz w:val="12"/>
        </w:rPr>
        <w:t xml:space="preserve"> </w:t>
      </w:r>
      <w:r>
        <w:rPr>
          <w:sz w:val="18"/>
        </w:rPr>
        <w:t>“Maternal</w:t>
      </w:r>
      <w:r>
        <w:rPr>
          <w:spacing w:val="-4"/>
          <w:sz w:val="18"/>
        </w:rPr>
        <w:t xml:space="preserve"> </w:t>
      </w:r>
      <w:r>
        <w:rPr>
          <w:sz w:val="18"/>
        </w:rPr>
        <w:t>Mortality</w:t>
      </w:r>
      <w:r>
        <w:rPr>
          <w:spacing w:val="-3"/>
          <w:sz w:val="18"/>
        </w:rPr>
        <w:t xml:space="preserve"> </w:t>
      </w:r>
      <w:r>
        <w:rPr>
          <w:sz w:val="18"/>
        </w:rPr>
        <w:t>and</w:t>
      </w:r>
      <w:r>
        <w:rPr>
          <w:spacing w:val="-4"/>
          <w:sz w:val="18"/>
        </w:rPr>
        <w:t xml:space="preserve"> </w:t>
      </w:r>
      <w:r>
        <w:rPr>
          <w:sz w:val="18"/>
        </w:rPr>
        <w:t>Morbidity</w:t>
      </w:r>
      <w:r>
        <w:rPr>
          <w:spacing w:val="-3"/>
          <w:sz w:val="18"/>
        </w:rPr>
        <w:t xml:space="preserve"> </w:t>
      </w:r>
      <w:r>
        <w:rPr>
          <w:sz w:val="18"/>
        </w:rPr>
        <w:t>Initiative</w:t>
      </w:r>
      <w:r>
        <w:rPr>
          <w:spacing w:val="-4"/>
          <w:sz w:val="18"/>
        </w:rPr>
        <w:t xml:space="preserve"> </w:t>
      </w:r>
      <w:r>
        <w:rPr>
          <w:sz w:val="18"/>
        </w:rPr>
        <w:t>|</w:t>
      </w:r>
      <w:r>
        <w:rPr>
          <w:spacing w:val="-2"/>
          <w:sz w:val="18"/>
        </w:rPr>
        <w:t xml:space="preserve"> </w:t>
      </w:r>
      <w:r>
        <w:rPr>
          <w:sz w:val="18"/>
        </w:rPr>
        <w:t>Mass.Gov,”</w:t>
      </w:r>
      <w:r>
        <w:rPr>
          <w:spacing w:val="-4"/>
          <w:sz w:val="18"/>
        </w:rPr>
        <w:t xml:space="preserve"> </w:t>
      </w:r>
      <w:r>
        <w:rPr>
          <w:sz w:val="18"/>
        </w:rPr>
        <w:t>accessed</w:t>
      </w:r>
      <w:r>
        <w:rPr>
          <w:spacing w:val="-4"/>
          <w:sz w:val="18"/>
        </w:rPr>
        <w:t xml:space="preserve"> </w:t>
      </w:r>
      <w:r>
        <w:rPr>
          <w:sz w:val="18"/>
        </w:rPr>
        <w:t>December</w:t>
      </w:r>
      <w:r>
        <w:rPr>
          <w:spacing w:val="-4"/>
          <w:sz w:val="18"/>
        </w:rPr>
        <w:t xml:space="preserve"> </w:t>
      </w:r>
      <w:r>
        <w:rPr>
          <w:sz w:val="18"/>
        </w:rPr>
        <w:t>5,</w:t>
      </w:r>
      <w:r>
        <w:rPr>
          <w:spacing w:val="-3"/>
          <w:sz w:val="18"/>
        </w:rPr>
        <w:t xml:space="preserve"> </w:t>
      </w:r>
      <w:r>
        <w:rPr>
          <w:sz w:val="18"/>
        </w:rPr>
        <w:t>2022,</w:t>
      </w:r>
      <w:r>
        <w:rPr>
          <w:spacing w:val="-3"/>
          <w:sz w:val="18"/>
        </w:rPr>
        <w:t xml:space="preserve"> </w:t>
      </w:r>
      <w:hyperlink r:id="rId495">
        <w:r>
          <w:rPr>
            <w:color w:val="0562C1"/>
            <w:sz w:val="18"/>
            <w:u w:val="single" w:color="0562C1"/>
          </w:rPr>
          <w:t>https://www.mass.gov/service-</w:t>
        </w:r>
      </w:hyperlink>
      <w:r>
        <w:rPr>
          <w:color w:val="0562C1"/>
          <w:sz w:val="18"/>
        </w:rPr>
        <w:t xml:space="preserve"> </w:t>
      </w:r>
      <w:hyperlink r:id="rId496">
        <w:r>
          <w:rPr>
            <w:color w:val="0562C1"/>
            <w:spacing w:val="-2"/>
            <w:sz w:val="18"/>
            <w:u w:val="single" w:color="0562C1"/>
          </w:rPr>
          <w:t>details/maternal-mortality-and-morbidity-initiative</w:t>
        </w:r>
        <w:r>
          <w:rPr>
            <w:spacing w:val="-2"/>
            <w:sz w:val="18"/>
          </w:rPr>
          <w:t>.</w:t>
        </w:r>
      </w:hyperlink>
    </w:p>
    <w:p w:rsidR="00200FDA" w:rsidRDefault="00F76C4C">
      <w:pPr>
        <w:ind w:left="140" w:hanging="1"/>
        <w:rPr>
          <w:sz w:val="18"/>
        </w:rPr>
      </w:pPr>
      <w:bookmarkStart w:id="672" w:name="_bookmark523"/>
      <w:bookmarkEnd w:id="672"/>
      <w:r>
        <w:rPr>
          <w:position w:val="5"/>
          <w:sz w:val="12"/>
        </w:rPr>
        <w:t>77</w:t>
      </w:r>
      <w:r>
        <w:rPr>
          <w:spacing w:val="10"/>
          <w:position w:val="5"/>
          <w:sz w:val="12"/>
        </w:rPr>
        <w:t xml:space="preserve"> </w:t>
      </w:r>
      <w:r>
        <w:rPr>
          <w:sz w:val="18"/>
        </w:rPr>
        <w:t>Michael</w:t>
      </w:r>
      <w:r>
        <w:rPr>
          <w:spacing w:val="-3"/>
          <w:sz w:val="18"/>
        </w:rPr>
        <w:t xml:space="preserve"> </w:t>
      </w:r>
      <w:r>
        <w:rPr>
          <w:sz w:val="18"/>
        </w:rPr>
        <w:t>R.</w:t>
      </w:r>
      <w:r>
        <w:rPr>
          <w:spacing w:val="-2"/>
          <w:sz w:val="18"/>
        </w:rPr>
        <w:t xml:space="preserve"> </w:t>
      </w:r>
      <w:r>
        <w:rPr>
          <w:sz w:val="18"/>
        </w:rPr>
        <w:t>Kramer</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“Changing</w:t>
      </w:r>
      <w:r>
        <w:rPr>
          <w:spacing w:val="-3"/>
          <w:sz w:val="18"/>
        </w:rPr>
        <w:t xml:space="preserve"> </w:t>
      </w:r>
      <w:r>
        <w:rPr>
          <w:sz w:val="18"/>
        </w:rPr>
        <w:t>the</w:t>
      </w:r>
      <w:r>
        <w:rPr>
          <w:spacing w:val="-3"/>
          <w:sz w:val="18"/>
        </w:rPr>
        <w:t xml:space="preserve"> </w:t>
      </w:r>
      <w:r>
        <w:rPr>
          <w:sz w:val="18"/>
        </w:rPr>
        <w:t>Conversation:</w:t>
      </w:r>
      <w:r>
        <w:rPr>
          <w:spacing w:val="-1"/>
          <w:sz w:val="18"/>
        </w:rPr>
        <w:t xml:space="preserve"> </w:t>
      </w:r>
      <w:r>
        <w:rPr>
          <w:sz w:val="18"/>
        </w:rPr>
        <w:t>Applying</w:t>
      </w:r>
      <w:r>
        <w:rPr>
          <w:spacing w:val="-3"/>
          <w:sz w:val="18"/>
        </w:rPr>
        <w:t xml:space="preserve"> </w:t>
      </w:r>
      <w:r>
        <w:rPr>
          <w:sz w:val="18"/>
        </w:rPr>
        <w:t>a</w:t>
      </w:r>
      <w:r>
        <w:rPr>
          <w:spacing w:val="-1"/>
          <w:sz w:val="18"/>
        </w:rPr>
        <w:t xml:space="preserve"> </w:t>
      </w:r>
      <w:r>
        <w:rPr>
          <w:sz w:val="18"/>
        </w:rPr>
        <w:t>Health</w:t>
      </w:r>
      <w:r>
        <w:rPr>
          <w:spacing w:val="-3"/>
          <w:sz w:val="18"/>
        </w:rPr>
        <w:t xml:space="preserve"> </w:t>
      </w:r>
      <w:r>
        <w:rPr>
          <w:sz w:val="18"/>
        </w:rPr>
        <w:t>Equity</w:t>
      </w:r>
      <w:r>
        <w:rPr>
          <w:spacing w:val="-1"/>
          <w:sz w:val="18"/>
        </w:rPr>
        <w:t xml:space="preserve"> </w:t>
      </w:r>
      <w:r>
        <w:rPr>
          <w:sz w:val="18"/>
        </w:rPr>
        <w:t>Framework</w:t>
      </w:r>
      <w:r>
        <w:rPr>
          <w:spacing w:val="-3"/>
          <w:sz w:val="18"/>
        </w:rPr>
        <w:t xml:space="preserve"> </w:t>
      </w:r>
      <w:r>
        <w:rPr>
          <w:sz w:val="18"/>
        </w:rPr>
        <w:t>to</w:t>
      </w:r>
      <w:r>
        <w:rPr>
          <w:spacing w:val="-1"/>
          <w:sz w:val="18"/>
        </w:rPr>
        <w:t xml:space="preserve"> </w:t>
      </w:r>
      <w:r>
        <w:rPr>
          <w:sz w:val="18"/>
        </w:rPr>
        <w:t>Maternal</w:t>
      </w:r>
      <w:r>
        <w:rPr>
          <w:spacing w:val="-3"/>
          <w:sz w:val="18"/>
        </w:rPr>
        <w:t xml:space="preserve"> </w:t>
      </w:r>
      <w:r>
        <w:rPr>
          <w:sz w:val="18"/>
        </w:rPr>
        <w:t>Mortality</w:t>
      </w:r>
      <w:r>
        <w:rPr>
          <w:spacing w:val="-2"/>
          <w:sz w:val="18"/>
        </w:rPr>
        <w:t xml:space="preserve"> </w:t>
      </w:r>
      <w:r>
        <w:rPr>
          <w:sz w:val="18"/>
        </w:rPr>
        <w:t xml:space="preserve">Reviews,” </w:t>
      </w:r>
      <w:r>
        <w:rPr>
          <w:i/>
          <w:sz w:val="18"/>
        </w:rPr>
        <w:t xml:space="preserve">American Journal of Obstetrics and Gynecology </w:t>
      </w:r>
      <w:r>
        <w:rPr>
          <w:sz w:val="18"/>
        </w:rPr>
        <w:t xml:space="preserve">221, no. 6 (December 2019): 609.e1-609.e9, </w:t>
      </w:r>
      <w:hyperlink r:id="rId497">
        <w:r>
          <w:rPr>
            <w:color w:val="0562C1"/>
            <w:spacing w:val="-2"/>
            <w:sz w:val="18"/>
            <w:u w:val="single" w:color="0562C1"/>
          </w:rPr>
          <w:t>https://doi.org/10.1016/j.ajog.2019.08.057</w:t>
        </w:r>
        <w:r>
          <w:rPr>
            <w:spacing w:val="-2"/>
            <w:sz w:val="18"/>
          </w:rPr>
          <w:t>.</w:t>
        </w:r>
      </w:hyperlink>
    </w:p>
    <w:p w:rsidR="00200FDA" w:rsidRDefault="00200FDA">
      <w:pPr>
        <w:rPr>
          <w:sz w:val="18"/>
        </w:rPr>
        <w:sectPr w:rsidR="00200FDA">
          <w:pgSz w:w="12240" w:h="15840"/>
          <w:pgMar w:top="1140" w:right="1100" w:bottom="1540" w:left="1300" w:header="758" w:footer="1353" w:gutter="0"/>
          <w:cols w:space="720"/>
        </w:sectPr>
      </w:pPr>
    </w:p>
    <w:p w:rsidR="00200FDA" w:rsidRDefault="00F76C4C">
      <w:pPr>
        <w:spacing w:before="94" w:line="400" w:lineRule="exact"/>
        <w:ind w:left="474"/>
        <w:rPr>
          <w:sz w:val="34"/>
        </w:rPr>
      </w:pPr>
      <w:bookmarkStart w:id="673" w:name="Pregnancy_Report.pdf"/>
      <w:bookmarkEnd w:id="673"/>
      <w:r>
        <w:rPr>
          <w:color w:val="FFFFFF"/>
          <w:w w:val="120"/>
          <w:sz w:val="34"/>
        </w:rPr>
        <w:lastRenderedPageBreak/>
        <w:t>COMMISSION</w:t>
      </w:r>
      <w:r>
        <w:rPr>
          <w:color w:val="FFFFFF"/>
          <w:spacing w:val="17"/>
          <w:w w:val="120"/>
          <w:sz w:val="34"/>
        </w:rPr>
        <w:t xml:space="preserve"> </w:t>
      </w:r>
      <w:r>
        <w:rPr>
          <w:color w:val="FFFFFF"/>
          <w:w w:val="120"/>
          <w:sz w:val="34"/>
        </w:rPr>
        <w:t>ON</w:t>
      </w:r>
      <w:r>
        <w:rPr>
          <w:color w:val="FFFFFF"/>
          <w:spacing w:val="17"/>
          <w:w w:val="120"/>
          <w:sz w:val="34"/>
        </w:rPr>
        <w:t xml:space="preserve"> </w:t>
      </w:r>
      <w:r>
        <w:rPr>
          <w:color w:val="FFFFFF"/>
          <w:w w:val="120"/>
          <w:sz w:val="34"/>
        </w:rPr>
        <w:t>LGBTQ</w:t>
      </w:r>
      <w:r>
        <w:rPr>
          <w:color w:val="FFFFFF"/>
          <w:spacing w:val="17"/>
          <w:w w:val="120"/>
          <w:sz w:val="34"/>
        </w:rPr>
        <w:t xml:space="preserve"> </w:t>
      </w:r>
      <w:r>
        <w:rPr>
          <w:color w:val="FFFFFF"/>
          <w:spacing w:val="-2"/>
          <w:w w:val="120"/>
          <w:sz w:val="34"/>
        </w:rPr>
        <w:t>YOUTH</w:t>
      </w:r>
    </w:p>
    <w:p w:rsidR="00200FDA" w:rsidRDefault="00F76C4C">
      <w:pPr>
        <w:spacing w:before="66" w:line="213" w:lineRule="auto"/>
        <w:ind w:left="474" w:right="4560"/>
        <w:rPr>
          <w:rFonts w:ascii="Verdana"/>
          <w:b/>
          <w:sz w:val="74"/>
        </w:rPr>
      </w:pPr>
      <w:r>
        <w:rPr>
          <w:rFonts w:ascii="Verdana"/>
          <w:b/>
          <w:color w:val="FFFFFF"/>
          <w:spacing w:val="-30"/>
          <w:sz w:val="74"/>
        </w:rPr>
        <w:t>P</w:t>
      </w:r>
      <w:r>
        <w:rPr>
          <w:rFonts w:ascii="Verdana"/>
          <w:b/>
          <w:color w:val="FFFFFF"/>
          <w:spacing w:val="-30"/>
          <w:sz w:val="74"/>
        </w:rPr>
        <w:t xml:space="preserve">REGNANCY </w:t>
      </w:r>
      <w:r>
        <w:rPr>
          <w:rFonts w:ascii="Verdana"/>
          <w:b/>
          <w:color w:val="FFFFFF"/>
          <w:spacing w:val="-10"/>
          <w:sz w:val="74"/>
        </w:rPr>
        <w:t>REPORT</w:t>
      </w:r>
    </w:p>
    <w:p w:rsidR="00200FDA" w:rsidRDefault="00200FDA">
      <w:pPr>
        <w:pStyle w:val="BodyText"/>
        <w:rPr>
          <w:rFonts w:ascii="Verdana"/>
          <w:b/>
          <w:sz w:val="20"/>
        </w:rPr>
      </w:pPr>
    </w:p>
    <w:p w:rsidR="00200FDA" w:rsidRDefault="00200FDA">
      <w:pPr>
        <w:pStyle w:val="BodyText"/>
        <w:rPr>
          <w:rFonts w:ascii="Verdana"/>
          <w:b/>
          <w:sz w:val="20"/>
        </w:rPr>
      </w:pPr>
    </w:p>
    <w:p w:rsidR="00200FDA" w:rsidRDefault="00200FDA">
      <w:pPr>
        <w:pStyle w:val="BodyText"/>
        <w:rPr>
          <w:rFonts w:ascii="Verdana"/>
          <w:b/>
          <w:sz w:val="20"/>
        </w:rPr>
      </w:pPr>
    </w:p>
    <w:p w:rsidR="00200FDA" w:rsidRDefault="00200FDA">
      <w:pPr>
        <w:pStyle w:val="BodyText"/>
        <w:rPr>
          <w:rFonts w:ascii="Verdana"/>
          <w:b/>
          <w:sz w:val="20"/>
        </w:rPr>
      </w:pPr>
    </w:p>
    <w:p w:rsidR="00200FDA" w:rsidRDefault="00200FDA">
      <w:pPr>
        <w:pStyle w:val="BodyText"/>
        <w:rPr>
          <w:rFonts w:ascii="Verdana"/>
          <w:b/>
          <w:sz w:val="20"/>
        </w:rPr>
      </w:pPr>
    </w:p>
    <w:p w:rsidR="00200FDA" w:rsidRDefault="00200FDA">
      <w:pPr>
        <w:pStyle w:val="BodyText"/>
        <w:spacing w:before="11"/>
        <w:rPr>
          <w:rFonts w:ascii="Verdana"/>
          <w:b/>
          <w:sz w:val="23"/>
        </w:rPr>
      </w:pPr>
    </w:p>
    <w:p w:rsidR="00200FDA" w:rsidRDefault="00200FDA">
      <w:pPr>
        <w:rPr>
          <w:rFonts w:ascii="Verdana"/>
          <w:sz w:val="23"/>
        </w:rPr>
        <w:sectPr w:rsidR="00200FDA">
          <w:headerReference w:type="default" r:id="rId498"/>
          <w:footerReference w:type="default" r:id="rId499"/>
          <w:pgSz w:w="12240" w:h="15840"/>
          <w:pgMar w:top="980" w:right="1200" w:bottom="280" w:left="1120" w:header="0" w:footer="0" w:gutter="0"/>
          <w:cols w:space="720"/>
        </w:sectPr>
      </w:pPr>
    </w:p>
    <w:p w:rsidR="00200FDA" w:rsidRDefault="00F76C4C">
      <w:pPr>
        <w:pStyle w:val="Heading6"/>
        <w:ind w:left="123"/>
      </w:pPr>
      <w:r>
        <w:rPr>
          <w:spacing w:val="11"/>
          <w:w w:val="125"/>
        </w:rPr>
        <w:t>ABOUT</w:t>
      </w:r>
    </w:p>
    <w:p w:rsidR="00200FDA" w:rsidRDefault="00F76C4C">
      <w:pPr>
        <w:spacing w:before="40" w:line="266" w:lineRule="auto"/>
        <w:ind w:left="123" w:right="38"/>
        <w:jc w:val="both"/>
        <w:rPr>
          <w:rFonts w:ascii="Times New Roman"/>
          <w:sz w:val="24"/>
        </w:rPr>
      </w:pPr>
      <w:r>
        <w:rPr>
          <w:rFonts w:ascii="Times New Roman"/>
          <w:w w:val="115"/>
          <w:sz w:val="24"/>
        </w:rPr>
        <w:t>Many LGBTQ people such lesbians, bisexual women, transgender men, Two-Spirit, intersex, nonbinary and gender nonconforming</w:t>
      </w:r>
      <w:r>
        <w:rPr>
          <w:rFonts w:ascii="Times New Roman"/>
          <w:spacing w:val="-15"/>
          <w:w w:val="115"/>
          <w:sz w:val="24"/>
        </w:rPr>
        <w:t xml:space="preserve"> </w:t>
      </w:r>
      <w:r>
        <w:rPr>
          <w:rFonts w:ascii="Times New Roman"/>
          <w:w w:val="115"/>
          <w:sz w:val="24"/>
        </w:rPr>
        <w:t>individuals</w:t>
      </w:r>
      <w:r>
        <w:rPr>
          <w:rFonts w:ascii="Times New Roman"/>
          <w:spacing w:val="-15"/>
          <w:w w:val="115"/>
          <w:sz w:val="24"/>
        </w:rPr>
        <w:t xml:space="preserve"> </w:t>
      </w:r>
      <w:r>
        <w:rPr>
          <w:rFonts w:ascii="Times New Roman"/>
          <w:w w:val="115"/>
          <w:sz w:val="24"/>
        </w:rPr>
        <w:t>use</w:t>
      </w:r>
      <w:r>
        <w:rPr>
          <w:rFonts w:ascii="Times New Roman"/>
          <w:spacing w:val="-15"/>
          <w:w w:val="115"/>
          <w:sz w:val="24"/>
        </w:rPr>
        <w:t xml:space="preserve"> </w:t>
      </w:r>
      <w:r>
        <w:rPr>
          <w:rFonts w:ascii="Times New Roman"/>
          <w:w w:val="115"/>
          <w:sz w:val="24"/>
        </w:rPr>
        <w:t>contraception, have the capacity to carry pregnancy, experience</w:t>
      </w:r>
      <w:r>
        <w:rPr>
          <w:rFonts w:ascii="Times New Roman"/>
          <w:w w:val="115"/>
          <w:sz w:val="24"/>
        </w:rPr>
        <w:t xml:space="preserve"> miscarriages, and choose to get abortions. Pregnancy is not confined to cisgender</w:t>
      </w:r>
      <w:r>
        <w:rPr>
          <w:rFonts w:ascii="Times New Roman"/>
          <w:spacing w:val="-4"/>
          <w:w w:val="115"/>
          <w:sz w:val="24"/>
        </w:rPr>
        <w:t xml:space="preserve"> </w:t>
      </w:r>
      <w:r>
        <w:rPr>
          <w:rFonts w:ascii="Times New Roman"/>
          <w:w w:val="115"/>
          <w:sz w:val="24"/>
        </w:rPr>
        <w:t>women.</w:t>
      </w:r>
    </w:p>
    <w:p w:rsidR="00200FDA" w:rsidRDefault="00200FDA">
      <w:pPr>
        <w:pStyle w:val="BodyText"/>
        <w:rPr>
          <w:rFonts w:ascii="Times New Roman"/>
          <w:sz w:val="26"/>
        </w:rPr>
      </w:pPr>
    </w:p>
    <w:p w:rsidR="00200FDA" w:rsidRDefault="00200FDA">
      <w:pPr>
        <w:pStyle w:val="BodyText"/>
        <w:rPr>
          <w:rFonts w:ascii="Times New Roman"/>
          <w:sz w:val="26"/>
        </w:rPr>
      </w:pPr>
    </w:p>
    <w:p w:rsidR="00200FDA" w:rsidRDefault="00F76C4C">
      <w:pPr>
        <w:pStyle w:val="Heading6"/>
        <w:spacing w:before="151"/>
        <w:ind w:left="123"/>
      </w:pPr>
      <w:r>
        <w:rPr>
          <w:spacing w:val="13"/>
          <w:w w:val="125"/>
        </w:rPr>
        <w:t>RECOMMENDATIONS</w:t>
      </w:r>
    </w:p>
    <w:p w:rsidR="00200FDA" w:rsidRDefault="00F76C4C">
      <w:pPr>
        <w:spacing w:before="322" w:line="902" w:lineRule="exact"/>
        <w:ind w:left="1012"/>
        <w:rPr>
          <w:rFonts w:ascii="Verdana"/>
          <w:b/>
          <w:sz w:val="75"/>
        </w:rPr>
      </w:pPr>
      <w:r>
        <w:br w:type="column"/>
      </w:r>
      <w:r>
        <w:rPr>
          <w:rFonts w:ascii="Verdana"/>
          <w:b/>
          <w:emboss/>
          <w:color w:val="7B0085"/>
          <w:spacing w:val="19"/>
          <w:w w:val="95"/>
          <w:sz w:val="75"/>
        </w:rPr>
        <w:t>100</w:t>
      </w:r>
    </w:p>
    <w:p w:rsidR="00200FDA" w:rsidRDefault="00F76C4C">
      <w:pPr>
        <w:spacing w:line="266" w:lineRule="auto"/>
        <w:ind w:left="123" w:right="289" w:hanging="1"/>
        <w:jc w:val="center"/>
        <w:rPr>
          <w:rFonts w:ascii="Times New Roman"/>
          <w:sz w:val="24"/>
        </w:rPr>
      </w:pPr>
      <w:r>
        <w:rPr>
          <w:rFonts w:ascii="Times New Roman"/>
          <w:w w:val="115"/>
          <w:sz w:val="24"/>
        </w:rPr>
        <w:t>miles</w:t>
      </w:r>
      <w:r>
        <w:rPr>
          <w:rFonts w:ascii="Times New Roman"/>
          <w:spacing w:val="-14"/>
          <w:w w:val="115"/>
          <w:sz w:val="24"/>
        </w:rPr>
        <w:t xml:space="preserve"> </w:t>
      </w:r>
      <w:r>
        <w:rPr>
          <w:rFonts w:ascii="Times New Roman"/>
          <w:w w:val="115"/>
          <w:sz w:val="24"/>
        </w:rPr>
        <w:t>that</w:t>
      </w:r>
      <w:r>
        <w:rPr>
          <w:rFonts w:ascii="Times New Roman"/>
          <w:spacing w:val="-14"/>
          <w:w w:val="115"/>
          <w:sz w:val="24"/>
        </w:rPr>
        <w:t xml:space="preserve"> </w:t>
      </w:r>
      <w:r>
        <w:rPr>
          <w:rFonts w:ascii="Times New Roman"/>
          <w:w w:val="115"/>
          <w:sz w:val="24"/>
        </w:rPr>
        <w:t>pregnant</w:t>
      </w:r>
      <w:r>
        <w:rPr>
          <w:rFonts w:ascii="Times New Roman"/>
          <w:spacing w:val="-14"/>
          <w:w w:val="115"/>
          <w:sz w:val="24"/>
        </w:rPr>
        <w:t xml:space="preserve"> </w:t>
      </w:r>
      <w:r>
        <w:rPr>
          <w:rFonts w:ascii="Times New Roman"/>
          <w:w w:val="115"/>
          <w:sz w:val="24"/>
        </w:rPr>
        <w:t xml:space="preserve">individuals </w:t>
      </w:r>
      <w:r>
        <w:rPr>
          <w:rFonts w:ascii="Times New Roman"/>
          <w:w w:val="110"/>
          <w:sz w:val="24"/>
        </w:rPr>
        <w:t>on</w:t>
      </w:r>
      <w:r>
        <w:rPr>
          <w:rFonts w:ascii="Times New Roman"/>
          <w:spacing w:val="-6"/>
          <w:w w:val="110"/>
          <w:sz w:val="24"/>
        </w:rPr>
        <w:t xml:space="preserve"> </w:t>
      </w:r>
      <w:r>
        <w:rPr>
          <w:rFonts w:ascii="Times New Roman"/>
          <w:w w:val="110"/>
          <w:sz w:val="24"/>
        </w:rPr>
        <w:t>Cape</w:t>
      </w:r>
      <w:r>
        <w:rPr>
          <w:rFonts w:ascii="Times New Roman"/>
          <w:spacing w:val="-6"/>
          <w:w w:val="110"/>
          <w:sz w:val="24"/>
        </w:rPr>
        <w:t xml:space="preserve"> </w:t>
      </w:r>
      <w:r>
        <w:rPr>
          <w:rFonts w:ascii="Times New Roman"/>
          <w:w w:val="110"/>
          <w:sz w:val="24"/>
        </w:rPr>
        <w:t>Cod</w:t>
      </w:r>
      <w:r>
        <w:rPr>
          <w:rFonts w:ascii="Times New Roman"/>
          <w:spacing w:val="-6"/>
          <w:w w:val="110"/>
          <w:sz w:val="24"/>
        </w:rPr>
        <w:t xml:space="preserve"> </w:t>
      </w:r>
      <w:r>
        <w:rPr>
          <w:rFonts w:ascii="Times New Roman"/>
          <w:w w:val="110"/>
          <w:sz w:val="24"/>
        </w:rPr>
        <w:t>may</w:t>
      </w:r>
      <w:r>
        <w:rPr>
          <w:rFonts w:ascii="Times New Roman"/>
          <w:spacing w:val="-6"/>
          <w:w w:val="110"/>
          <w:sz w:val="24"/>
        </w:rPr>
        <w:t xml:space="preserve"> </w:t>
      </w:r>
      <w:r>
        <w:rPr>
          <w:rFonts w:ascii="Times New Roman"/>
          <w:w w:val="110"/>
          <w:sz w:val="24"/>
        </w:rPr>
        <w:t>need</w:t>
      </w:r>
      <w:r>
        <w:rPr>
          <w:rFonts w:ascii="Times New Roman"/>
          <w:spacing w:val="-6"/>
          <w:w w:val="110"/>
          <w:sz w:val="24"/>
        </w:rPr>
        <w:t xml:space="preserve"> </w:t>
      </w:r>
      <w:r>
        <w:rPr>
          <w:rFonts w:ascii="Times New Roman"/>
          <w:w w:val="110"/>
          <w:sz w:val="24"/>
        </w:rPr>
        <w:t>to</w:t>
      </w:r>
      <w:r>
        <w:rPr>
          <w:rFonts w:ascii="Times New Roman"/>
          <w:spacing w:val="-6"/>
          <w:w w:val="110"/>
          <w:sz w:val="24"/>
        </w:rPr>
        <w:t xml:space="preserve"> </w:t>
      </w:r>
      <w:r>
        <w:rPr>
          <w:rFonts w:ascii="Times New Roman"/>
          <w:w w:val="110"/>
          <w:sz w:val="24"/>
        </w:rPr>
        <w:t xml:space="preserve">travel </w:t>
      </w:r>
      <w:r>
        <w:rPr>
          <w:rFonts w:ascii="Times New Roman"/>
          <w:w w:val="115"/>
          <w:sz w:val="24"/>
        </w:rPr>
        <w:t>to access abortion services</w:t>
      </w:r>
    </w:p>
    <w:p w:rsidR="00200FDA" w:rsidRDefault="00200FDA">
      <w:pPr>
        <w:pStyle w:val="BodyText"/>
        <w:spacing w:before="9"/>
        <w:rPr>
          <w:rFonts w:ascii="Times New Roman"/>
          <w:sz w:val="29"/>
        </w:rPr>
      </w:pPr>
    </w:p>
    <w:p w:rsidR="00200FDA" w:rsidRDefault="00F76C4C">
      <w:pPr>
        <w:pStyle w:val="Heading3"/>
        <w:ind w:right="375"/>
        <w:jc w:val="center"/>
        <w:rPr>
          <w:rFonts w:ascii="Verdana"/>
        </w:rPr>
      </w:pPr>
      <w:r>
        <w:rPr>
          <w:rFonts w:ascii="Verdana"/>
          <w:emboss/>
          <w:color w:val="7B0085"/>
          <w:spacing w:val="19"/>
          <w:w w:val="80"/>
        </w:rPr>
        <w:t>93%</w:t>
      </w:r>
    </w:p>
    <w:p w:rsidR="00200FDA" w:rsidRDefault="00F76C4C">
      <w:pPr>
        <w:pStyle w:val="Heading8"/>
        <w:spacing w:before="43" w:line="266" w:lineRule="auto"/>
        <w:ind w:left="133" w:right="375"/>
        <w:jc w:val="center"/>
        <w:rPr>
          <w:rFonts w:ascii="Times New Roman"/>
        </w:rPr>
      </w:pPr>
      <w:r>
        <w:rPr>
          <w:rFonts w:ascii="Times New Roman"/>
          <w:w w:val="115"/>
        </w:rPr>
        <w:t>of</w:t>
      </w:r>
      <w:r>
        <w:rPr>
          <w:rFonts w:ascii="Times New Roman"/>
          <w:spacing w:val="-18"/>
          <w:w w:val="115"/>
        </w:rPr>
        <w:t xml:space="preserve"> </w:t>
      </w:r>
      <w:r>
        <w:rPr>
          <w:rFonts w:ascii="Times New Roman"/>
          <w:w w:val="115"/>
        </w:rPr>
        <w:t>non-binary</w:t>
      </w:r>
      <w:r>
        <w:rPr>
          <w:rFonts w:ascii="Times New Roman"/>
          <w:spacing w:val="-17"/>
          <w:w w:val="115"/>
        </w:rPr>
        <w:t xml:space="preserve"> </w:t>
      </w:r>
      <w:r>
        <w:rPr>
          <w:rFonts w:ascii="Times New Roman"/>
          <w:w w:val="115"/>
        </w:rPr>
        <w:t>and</w:t>
      </w:r>
      <w:r>
        <w:rPr>
          <w:rFonts w:ascii="Times New Roman"/>
          <w:spacing w:val="-17"/>
          <w:w w:val="115"/>
        </w:rPr>
        <w:t xml:space="preserve"> </w:t>
      </w:r>
      <w:r>
        <w:rPr>
          <w:rFonts w:ascii="Times New Roman"/>
          <w:w w:val="115"/>
        </w:rPr>
        <w:t xml:space="preserve">transgender </w:t>
      </w:r>
      <w:r>
        <w:rPr>
          <w:rFonts w:ascii="Times New Roman"/>
          <w:w w:val="120"/>
        </w:rPr>
        <w:t>youth</w:t>
      </w:r>
      <w:r>
        <w:rPr>
          <w:rFonts w:ascii="Times New Roman"/>
          <w:spacing w:val="-6"/>
          <w:w w:val="120"/>
        </w:rPr>
        <w:t xml:space="preserve"> </w:t>
      </w:r>
      <w:r>
        <w:rPr>
          <w:rFonts w:ascii="Times New Roman"/>
          <w:w w:val="120"/>
        </w:rPr>
        <w:t>face</w:t>
      </w:r>
      <w:r>
        <w:rPr>
          <w:rFonts w:ascii="Times New Roman"/>
          <w:spacing w:val="-6"/>
          <w:w w:val="120"/>
        </w:rPr>
        <w:t xml:space="preserve"> </w:t>
      </w:r>
      <w:r>
        <w:rPr>
          <w:rFonts w:ascii="Times New Roman"/>
          <w:w w:val="120"/>
        </w:rPr>
        <w:t>distress</w:t>
      </w:r>
      <w:r>
        <w:rPr>
          <w:rFonts w:ascii="Times New Roman"/>
          <w:spacing w:val="-6"/>
          <w:w w:val="120"/>
        </w:rPr>
        <w:t xml:space="preserve"> </w:t>
      </w:r>
      <w:r>
        <w:rPr>
          <w:rFonts w:ascii="Times New Roman"/>
          <w:w w:val="120"/>
        </w:rPr>
        <w:t>due</w:t>
      </w:r>
      <w:r>
        <w:rPr>
          <w:rFonts w:ascii="Times New Roman"/>
          <w:spacing w:val="-6"/>
          <w:w w:val="120"/>
        </w:rPr>
        <w:t xml:space="preserve"> </w:t>
      </w:r>
      <w:r>
        <w:rPr>
          <w:rFonts w:ascii="Times New Roman"/>
          <w:w w:val="120"/>
        </w:rPr>
        <w:t xml:space="preserve">to </w:t>
      </w:r>
      <w:r>
        <w:rPr>
          <w:rFonts w:ascii="Times New Roman"/>
          <w:spacing w:val="-2"/>
          <w:w w:val="120"/>
        </w:rPr>
        <w:t>menstruation</w:t>
      </w:r>
    </w:p>
    <w:p w:rsidR="00200FDA" w:rsidRDefault="00200FDA">
      <w:pPr>
        <w:spacing w:line="266" w:lineRule="auto"/>
        <w:jc w:val="center"/>
        <w:rPr>
          <w:rFonts w:ascii="Times New Roman"/>
        </w:rPr>
        <w:sectPr w:rsidR="00200FDA">
          <w:type w:val="continuous"/>
          <w:pgSz w:w="12240" w:h="15840"/>
          <w:pgMar w:top="720" w:right="1200" w:bottom="280" w:left="1120" w:header="0" w:footer="0" w:gutter="0"/>
          <w:cols w:num="2" w:space="720" w:equalWidth="0">
            <w:col w:w="5232" w:space="866"/>
            <w:col w:w="3822"/>
          </w:cols>
        </w:sectPr>
      </w:pPr>
    </w:p>
    <w:p w:rsidR="00200FDA" w:rsidRDefault="00200FDA">
      <w:pPr>
        <w:pStyle w:val="BodyText"/>
        <w:spacing w:before="9"/>
        <w:rPr>
          <w:rFonts w:ascii="Times New Roman"/>
          <w:sz w:val="11"/>
        </w:rPr>
      </w:pPr>
    </w:p>
    <w:p w:rsidR="00200FDA" w:rsidRDefault="00200FDA">
      <w:pPr>
        <w:rPr>
          <w:rFonts w:ascii="Times New Roman"/>
          <w:sz w:val="11"/>
        </w:rPr>
        <w:sectPr w:rsidR="00200FDA">
          <w:type w:val="continuous"/>
          <w:pgSz w:w="12240" w:h="15840"/>
          <w:pgMar w:top="720" w:right="1200" w:bottom="280" w:left="1120" w:header="0" w:footer="0" w:gutter="0"/>
          <w:cols w:space="720"/>
        </w:sectPr>
      </w:pPr>
    </w:p>
    <w:p w:rsidR="00200FDA" w:rsidRDefault="00F76C4C">
      <w:pPr>
        <w:spacing w:before="99" w:line="273" w:lineRule="auto"/>
        <w:ind w:left="1039"/>
        <w:rPr>
          <w:rFonts w:ascii="Times New Roman"/>
          <w:sz w:val="19"/>
        </w:rPr>
      </w:pPr>
      <w:r>
        <w:rPr>
          <w:rFonts w:ascii="Times New Roman"/>
          <w:w w:val="115"/>
          <w:sz w:val="19"/>
        </w:rPr>
        <w:t>Improve SOGI data collection efforts across state</w:t>
      </w:r>
      <w:r>
        <w:rPr>
          <w:rFonts w:ascii="Times New Roman"/>
          <w:spacing w:val="-5"/>
          <w:w w:val="115"/>
          <w:sz w:val="19"/>
        </w:rPr>
        <w:t xml:space="preserve"> </w:t>
      </w:r>
      <w:r>
        <w:rPr>
          <w:rFonts w:ascii="Times New Roman"/>
          <w:w w:val="115"/>
          <w:sz w:val="19"/>
        </w:rPr>
        <w:t>services</w:t>
      </w:r>
      <w:r>
        <w:rPr>
          <w:rFonts w:ascii="Times New Roman"/>
          <w:spacing w:val="-5"/>
          <w:w w:val="115"/>
          <w:sz w:val="19"/>
        </w:rPr>
        <w:t xml:space="preserve"> </w:t>
      </w:r>
      <w:r>
        <w:rPr>
          <w:rFonts w:ascii="Times New Roman"/>
          <w:w w:val="115"/>
          <w:sz w:val="19"/>
        </w:rPr>
        <w:t>as</w:t>
      </w:r>
      <w:r>
        <w:rPr>
          <w:rFonts w:ascii="Times New Roman"/>
          <w:spacing w:val="-5"/>
          <w:w w:val="115"/>
          <w:sz w:val="19"/>
        </w:rPr>
        <w:t xml:space="preserve"> </w:t>
      </w:r>
      <w:r>
        <w:rPr>
          <w:rFonts w:ascii="Times New Roman"/>
          <w:w w:val="115"/>
          <w:sz w:val="19"/>
        </w:rPr>
        <w:t>it</w:t>
      </w:r>
      <w:r>
        <w:rPr>
          <w:rFonts w:ascii="Times New Roman"/>
          <w:spacing w:val="-5"/>
          <w:w w:val="115"/>
          <w:sz w:val="19"/>
        </w:rPr>
        <w:t xml:space="preserve"> </w:t>
      </w:r>
      <w:r>
        <w:rPr>
          <w:rFonts w:ascii="Times New Roman"/>
          <w:w w:val="115"/>
          <w:sz w:val="19"/>
        </w:rPr>
        <w:t>relates</w:t>
      </w:r>
      <w:r>
        <w:rPr>
          <w:rFonts w:ascii="Times New Roman"/>
          <w:spacing w:val="-5"/>
          <w:w w:val="115"/>
          <w:sz w:val="19"/>
        </w:rPr>
        <w:t xml:space="preserve"> </w:t>
      </w:r>
      <w:r>
        <w:rPr>
          <w:rFonts w:ascii="Times New Roman"/>
          <w:w w:val="115"/>
          <w:sz w:val="19"/>
        </w:rPr>
        <w:t>to</w:t>
      </w:r>
      <w:r>
        <w:rPr>
          <w:rFonts w:ascii="Times New Roman"/>
          <w:spacing w:val="-5"/>
          <w:w w:val="115"/>
          <w:sz w:val="19"/>
        </w:rPr>
        <w:t xml:space="preserve"> </w:t>
      </w:r>
      <w:r>
        <w:rPr>
          <w:rFonts w:ascii="Times New Roman"/>
          <w:w w:val="115"/>
          <w:sz w:val="19"/>
        </w:rPr>
        <w:t>pregnancy</w:t>
      </w:r>
      <w:r>
        <w:rPr>
          <w:rFonts w:ascii="Times New Roman"/>
          <w:spacing w:val="-5"/>
          <w:w w:val="115"/>
          <w:sz w:val="19"/>
        </w:rPr>
        <w:t xml:space="preserve"> </w:t>
      </w:r>
      <w:r>
        <w:rPr>
          <w:rFonts w:ascii="Times New Roman"/>
          <w:w w:val="115"/>
          <w:sz w:val="19"/>
        </w:rPr>
        <w:t>service needs and mortality rates.</w:t>
      </w:r>
    </w:p>
    <w:p w:rsidR="00200FDA" w:rsidRDefault="00200FDA">
      <w:pPr>
        <w:pStyle w:val="BodyText"/>
        <w:spacing w:before="10"/>
        <w:rPr>
          <w:rFonts w:ascii="Times New Roman"/>
          <w:sz w:val="25"/>
        </w:rPr>
      </w:pPr>
    </w:p>
    <w:p w:rsidR="00200FDA" w:rsidRDefault="00F76C4C">
      <w:pPr>
        <w:spacing w:line="273" w:lineRule="auto"/>
        <w:ind w:left="1039"/>
        <w:rPr>
          <w:rFonts w:ascii="Times New Roman"/>
          <w:sz w:val="19"/>
        </w:rPr>
      </w:pPr>
      <w:r>
        <w:rPr>
          <w:rFonts w:ascii="Times New Roman"/>
          <w:w w:val="115"/>
          <w:sz w:val="19"/>
        </w:rPr>
        <w:t>Create and fund community birthing centers across</w:t>
      </w:r>
      <w:r>
        <w:rPr>
          <w:rFonts w:ascii="Times New Roman"/>
          <w:spacing w:val="-14"/>
          <w:w w:val="115"/>
          <w:sz w:val="19"/>
        </w:rPr>
        <w:t xml:space="preserve"> </w:t>
      </w:r>
      <w:r>
        <w:rPr>
          <w:rFonts w:ascii="Times New Roman"/>
          <w:w w:val="115"/>
          <w:sz w:val="19"/>
        </w:rPr>
        <w:t>the</w:t>
      </w:r>
      <w:r>
        <w:rPr>
          <w:rFonts w:ascii="Times New Roman"/>
          <w:spacing w:val="-14"/>
          <w:w w:val="115"/>
          <w:sz w:val="19"/>
        </w:rPr>
        <w:t xml:space="preserve"> </w:t>
      </w:r>
      <w:r>
        <w:rPr>
          <w:rFonts w:ascii="Times New Roman"/>
          <w:w w:val="115"/>
          <w:sz w:val="19"/>
        </w:rPr>
        <w:t>Commonw</w:t>
      </w:r>
      <w:r>
        <w:rPr>
          <w:rFonts w:ascii="Times New Roman"/>
          <w:w w:val="115"/>
          <w:sz w:val="19"/>
        </w:rPr>
        <w:t>ealth,</w:t>
      </w:r>
      <w:r>
        <w:rPr>
          <w:rFonts w:ascii="Times New Roman"/>
          <w:spacing w:val="-13"/>
          <w:w w:val="115"/>
          <w:sz w:val="19"/>
        </w:rPr>
        <w:t xml:space="preserve"> </w:t>
      </w:r>
      <w:r>
        <w:rPr>
          <w:rFonts w:ascii="Times New Roman"/>
          <w:w w:val="115"/>
          <w:sz w:val="19"/>
        </w:rPr>
        <w:t>and</w:t>
      </w:r>
      <w:r>
        <w:rPr>
          <w:rFonts w:ascii="Times New Roman"/>
          <w:spacing w:val="-14"/>
          <w:w w:val="115"/>
          <w:sz w:val="19"/>
        </w:rPr>
        <w:t xml:space="preserve"> </w:t>
      </w:r>
      <w:r>
        <w:rPr>
          <w:rFonts w:ascii="Times New Roman"/>
          <w:w w:val="115"/>
          <w:sz w:val="19"/>
        </w:rPr>
        <w:t>increase</w:t>
      </w:r>
      <w:r>
        <w:rPr>
          <w:rFonts w:ascii="Times New Roman"/>
          <w:spacing w:val="-14"/>
          <w:w w:val="115"/>
          <w:sz w:val="19"/>
        </w:rPr>
        <w:t xml:space="preserve"> </w:t>
      </w:r>
      <w:r>
        <w:rPr>
          <w:rFonts w:ascii="Times New Roman"/>
          <w:w w:val="115"/>
          <w:sz w:val="19"/>
        </w:rPr>
        <w:t>access to culturally competent doula services.</w:t>
      </w:r>
    </w:p>
    <w:p w:rsidR="00200FDA" w:rsidRDefault="00200FDA">
      <w:pPr>
        <w:pStyle w:val="BodyText"/>
        <w:spacing w:before="7"/>
        <w:rPr>
          <w:rFonts w:ascii="Times New Roman"/>
          <w:sz w:val="25"/>
        </w:rPr>
      </w:pPr>
    </w:p>
    <w:p w:rsidR="00200FDA" w:rsidRDefault="00F76C4C">
      <w:pPr>
        <w:spacing w:line="273" w:lineRule="auto"/>
        <w:ind w:left="1039" w:right="770"/>
        <w:rPr>
          <w:rFonts w:ascii="Times New Roman"/>
          <w:sz w:val="19"/>
        </w:rPr>
      </w:pPr>
      <w:r>
        <w:rPr>
          <w:rFonts w:ascii="Times New Roman"/>
          <w:w w:val="115"/>
          <w:sz w:val="19"/>
        </w:rPr>
        <w:t>Expand LGBTQ cultural awareness, anti-bias, and racial equity trainings for</w:t>
      </w:r>
      <w:r>
        <w:rPr>
          <w:rFonts w:ascii="Times New Roman"/>
          <w:spacing w:val="-13"/>
          <w:w w:val="115"/>
          <w:sz w:val="19"/>
        </w:rPr>
        <w:t xml:space="preserve"> </w:t>
      </w:r>
      <w:r>
        <w:rPr>
          <w:rFonts w:ascii="Times New Roman"/>
          <w:w w:val="115"/>
          <w:sz w:val="19"/>
        </w:rPr>
        <w:t>public</w:t>
      </w:r>
      <w:r>
        <w:rPr>
          <w:rFonts w:ascii="Times New Roman"/>
          <w:spacing w:val="-13"/>
          <w:w w:val="115"/>
          <w:sz w:val="19"/>
        </w:rPr>
        <w:t xml:space="preserve"> </w:t>
      </w:r>
      <w:r>
        <w:rPr>
          <w:rFonts w:ascii="Times New Roman"/>
          <w:w w:val="115"/>
          <w:sz w:val="19"/>
        </w:rPr>
        <w:t>hospital</w:t>
      </w:r>
      <w:r>
        <w:rPr>
          <w:rFonts w:ascii="Times New Roman"/>
          <w:spacing w:val="-13"/>
          <w:w w:val="115"/>
          <w:sz w:val="19"/>
        </w:rPr>
        <w:t xml:space="preserve"> </w:t>
      </w:r>
      <w:r>
        <w:rPr>
          <w:rFonts w:ascii="Times New Roman"/>
          <w:w w:val="115"/>
          <w:sz w:val="19"/>
        </w:rPr>
        <w:t>providers</w:t>
      </w:r>
      <w:r>
        <w:rPr>
          <w:rFonts w:ascii="Times New Roman"/>
          <w:spacing w:val="-13"/>
          <w:w w:val="115"/>
          <w:sz w:val="19"/>
        </w:rPr>
        <w:t xml:space="preserve"> </w:t>
      </w:r>
      <w:r>
        <w:rPr>
          <w:rFonts w:ascii="Times New Roman"/>
          <w:w w:val="115"/>
          <w:sz w:val="19"/>
        </w:rPr>
        <w:t>and</w:t>
      </w:r>
      <w:r>
        <w:rPr>
          <w:rFonts w:ascii="Times New Roman"/>
          <w:spacing w:val="-13"/>
          <w:w w:val="115"/>
          <w:sz w:val="19"/>
        </w:rPr>
        <w:t xml:space="preserve"> </w:t>
      </w:r>
      <w:r>
        <w:rPr>
          <w:rFonts w:ascii="Times New Roman"/>
          <w:w w:val="115"/>
          <w:sz w:val="19"/>
        </w:rPr>
        <w:t>staff.</w:t>
      </w:r>
    </w:p>
    <w:p w:rsidR="00200FDA" w:rsidRDefault="00F76C4C">
      <w:pPr>
        <w:spacing w:before="373"/>
        <w:ind w:left="1980"/>
        <w:rPr>
          <w:rFonts w:ascii="Verdana"/>
          <w:b/>
          <w:sz w:val="75"/>
        </w:rPr>
      </w:pPr>
      <w:r>
        <w:br w:type="column"/>
      </w:r>
      <w:r>
        <w:rPr>
          <w:rFonts w:ascii="Verdana"/>
          <w:b/>
          <w:emboss/>
          <w:color w:val="7B0085"/>
          <w:spacing w:val="19"/>
          <w:w w:val="85"/>
          <w:sz w:val="75"/>
        </w:rPr>
        <w:t>65%</w:t>
      </w:r>
    </w:p>
    <w:p w:rsidR="00200FDA" w:rsidRDefault="00F76C4C">
      <w:pPr>
        <w:spacing w:before="59" w:line="266" w:lineRule="auto"/>
        <w:ind w:left="791" w:right="110" w:hanging="1"/>
        <w:jc w:val="center"/>
        <w:rPr>
          <w:rFonts w:ascii="Times New Roman"/>
          <w:sz w:val="24"/>
        </w:rPr>
      </w:pPr>
      <w:r>
        <w:rPr>
          <w:rFonts w:ascii="Times New Roman"/>
          <w:w w:val="115"/>
          <w:sz w:val="24"/>
        </w:rPr>
        <w:t>of</w:t>
      </w:r>
      <w:r>
        <w:rPr>
          <w:rFonts w:ascii="Times New Roman"/>
          <w:spacing w:val="-12"/>
          <w:w w:val="115"/>
          <w:sz w:val="24"/>
        </w:rPr>
        <w:t xml:space="preserve"> </w:t>
      </w:r>
      <w:r>
        <w:rPr>
          <w:rFonts w:ascii="Times New Roman"/>
          <w:w w:val="115"/>
          <w:sz w:val="24"/>
        </w:rPr>
        <w:t>LGBTQ</w:t>
      </w:r>
      <w:r>
        <w:rPr>
          <w:rFonts w:ascii="Times New Roman"/>
          <w:spacing w:val="-12"/>
          <w:w w:val="115"/>
          <w:sz w:val="24"/>
        </w:rPr>
        <w:t xml:space="preserve"> </w:t>
      </w:r>
      <w:r>
        <w:rPr>
          <w:rFonts w:ascii="Times New Roman"/>
          <w:w w:val="115"/>
          <w:sz w:val="24"/>
        </w:rPr>
        <w:t>youth</w:t>
      </w:r>
      <w:r>
        <w:rPr>
          <w:rFonts w:ascii="Times New Roman"/>
          <w:spacing w:val="-12"/>
          <w:w w:val="115"/>
          <w:sz w:val="24"/>
        </w:rPr>
        <w:t xml:space="preserve"> </w:t>
      </w:r>
      <w:r>
        <w:rPr>
          <w:rFonts w:ascii="Times New Roman"/>
          <w:w w:val="115"/>
          <w:sz w:val="24"/>
        </w:rPr>
        <w:t>expressed</w:t>
      </w:r>
      <w:r>
        <w:rPr>
          <w:rFonts w:ascii="Times New Roman"/>
          <w:spacing w:val="-12"/>
          <w:w w:val="115"/>
          <w:sz w:val="24"/>
        </w:rPr>
        <w:t xml:space="preserve"> </w:t>
      </w:r>
      <w:r>
        <w:rPr>
          <w:rFonts w:ascii="Times New Roman"/>
          <w:w w:val="115"/>
          <w:sz w:val="24"/>
        </w:rPr>
        <w:t>that abortion restrictions and bans heighten</w:t>
      </w:r>
      <w:r>
        <w:rPr>
          <w:rFonts w:ascii="Times New Roman"/>
          <w:spacing w:val="-18"/>
          <w:w w:val="115"/>
          <w:sz w:val="24"/>
        </w:rPr>
        <w:t xml:space="preserve"> </w:t>
      </w:r>
      <w:r>
        <w:rPr>
          <w:rFonts w:ascii="Times New Roman"/>
          <w:w w:val="115"/>
          <w:sz w:val="24"/>
        </w:rPr>
        <w:t>their</w:t>
      </w:r>
      <w:r>
        <w:rPr>
          <w:rFonts w:ascii="Times New Roman"/>
          <w:spacing w:val="-17"/>
          <w:w w:val="115"/>
          <w:sz w:val="24"/>
        </w:rPr>
        <w:t xml:space="preserve"> </w:t>
      </w:r>
      <w:r>
        <w:rPr>
          <w:rFonts w:ascii="Times New Roman"/>
          <w:w w:val="115"/>
          <w:sz w:val="24"/>
        </w:rPr>
        <w:t>feelings</w:t>
      </w:r>
      <w:r>
        <w:rPr>
          <w:rFonts w:ascii="Times New Roman"/>
          <w:spacing w:val="-17"/>
          <w:w w:val="115"/>
          <w:sz w:val="24"/>
        </w:rPr>
        <w:t xml:space="preserve"> </w:t>
      </w:r>
      <w:r>
        <w:rPr>
          <w:rFonts w:ascii="Times New Roman"/>
          <w:w w:val="115"/>
          <w:sz w:val="24"/>
        </w:rPr>
        <w:t>of</w:t>
      </w:r>
      <w:r>
        <w:rPr>
          <w:rFonts w:ascii="Times New Roman"/>
          <w:spacing w:val="-17"/>
          <w:w w:val="115"/>
          <w:sz w:val="24"/>
        </w:rPr>
        <w:t xml:space="preserve"> </w:t>
      </w:r>
      <w:r>
        <w:rPr>
          <w:rFonts w:ascii="Times New Roman"/>
          <w:w w:val="115"/>
          <w:sz w:val="24"/>
        </w:rPr>
        <w:t>stress</w:t>
      </w:r>
      <w:r>
        <w:rPr>
          <w:rFonts w:ascii="Times New Roman"/>
          <w:spacing w:val="-18"/>
          <w:w w:val="115"/>
          <w:sz w:val="24"/>
        </w:rPr>
        <w:t xml:space="preserve"> </w:t>
      </w:r>
      <w:r>
        <w:rPr>
          <w:rFonts w:ascii="Times New Roman"/>
          <w:w w:val="115"/>
          <w:sz w:val="24"/>
        </w:rPr>
        <w:t xml:space="preserve">and </w:t>
      </w:r>
      <w:r>
        <w:rPr>
          <w:rFonts w:ascii="Times New Roman"/>
          <w:spacing w:val="-2"/>
          <w:w w:val="115"/>
          <w:sz w:val="24"/>
        </w:rPr>
        <w:t>anxiety</w:t>
      </w:r>
    </w:p>
    <w:p w:rsidR="00200FDA" w:rsidRDefault="00200FDA">
      <w:pPr>
        <w:spacing w:line="266" w:lineRule="auto"/>
        <w:jc w:val="center"/>
        <w:rPr>
          <w:rFonts w:ascii="Times New Roman"/>
          <w:sz w:val="24"/>
        </w:rPr>
        <w:sectPr w:rsidR="00200FDA">
          <w:type w:val="continuous"/>
          <w:pgSz w:w="12240" w:h="15840"/>
          <w:pgMar w:top="720" w:right="1200" w:bottom="280" w:left="1120" w:header="0" w:footer="0" w:gutter="0"/>
          <w:cols w:num="2" w:space="720" w:equalWidth="0">
            <w:col w:w="5136" w:space="40"/>
            <w:col w:w="4744"/>
          </w:cols>
        </w:sectPr>
      </w:pPr>
    </w:p>
    <w:p w:rsidR="00200FDA" w:rsidRDefault="00F76C4C">
      <w:pPr>
        <w:pStyle w:val="BodyText"/>
        <w:rPr>
          <w:rFonts w:ascii="Times New Roman"/>
          <w:sz w:val="20"/>
        </w:rPr>
      </w:pPr>
      <w:r>
        <w:pict>
          <v:group id="docshapegroup329" o:spid="_x0000_s1244" style="position:absolute;margin-left:0;margin-top:0;width:609.9pt;height:764.05pt;z-index:-21283840;mso-position-horizontal-relative:page;mso-position-vertical-relative:page" coordsize="12198,15281">
            <v:shape id="docshape330" o:spid="_x0000_s1257" type="#_x0000_t75" style="position:absolute;width:12198;height:4912">
              <v:imagedata r:id="rId500" o:title=""/>
            </v:shape>
            <v:shape id="docshape331" o:spid="_x0000_s1256" type="#_x0000_t75" style="position:absolute;left:7839;top:1158;width:2333;height:2332">
              <v:imagedata r:id="rId143" o:title=""/>
            </v:shape>
            <v:shape id="docshape332" o:spid="_x0000_s1255" style="position:absolute;left:7818;top:1136;width:2375;height:2375" coordorigin="7818,1136" coordsize="2375,2375" o:spt="100" adj="0,,0" path="m9006,3511r-75,-2l8857,3502r-72,-11l8714,3475r-69,-20l8577,3431r-66,-27l8448,3372r-61,-35l8328,3298r-57,-41l8218,3211r-51,-48l8118,3112r-45,-54l8031,3002r-38,-59l7958,2882r-32,-64l7898,2752r-24,-67l7855,2616r-16,-71l7828,2473r-7,-74l7818,2324r3,-75l7828,2175r11,-72l7855,2032r19,-69l7898,1895r28,-65l7958,1766r35,-61l8031,1646r42,-56l8118,1536r49,-51l8218,1437r53,-46l8328,1350r59,-39l8448,1276r64,-32l8577,1217r68,-24l8714,1173r71,-16l8857,1146r74,-7l9006,1136r75,3l9155,1146r72,11l9298,1173r24,7l9006,1180r-75,2l8857,1189r-73,12l8714,1218r-69,20l8577,1263r-65,29l8449,1324r-60,37l8330,1401r-55,43l8222,1491r-49,50l8126,1593r-43,56l8043,1707r-37,60l7974,1830r-29,66l7920,1963r-21,69l7883,2103r-12,72l7864,2249r-2,75l7864,2399r7,74l7883,2545r16,71l7920,2685r25,67l7974,2818r32,63l8043,2941r40,58l8126,3055r47,52l8222,3157r53,47l8330,3247r59,40l8449,3323r63,33l8577,3385r68,25l8714,3430r70,17l8857,3459r74,7l9006,3468r316,l9298,3475r-71,16l9155,3502r-74,7l9006,3511xm9322,3468r-316,l9081,3466r74,-7l9227,3447r71,-17l9367,3410r67,-25l9499,3356r63,-33l9623,3287r58,-40l9737,3204r52,-47l9839,3107r47,-52l9929,2999r40,-58l10005,2881r33,-63l10067,2752r25,-67l10112,2616r17,-71l10140,2473r8,-74l10150,2324r-2,-75l10140,2175r-11,-72l10112,2032r-20,-69l10067,1896r-29,-66l10005,1767r-36,-60l9929,1649r-43,-56l9839,1541r-50,-50l9737,1444r-56,-43l9623,1361r-61,-37l9499,1292r-65,-29l9367,1238r-69,-20l9227,1201r-72,-12l9081,1182r-75,-2l9322,1180r45,13l9435,1217r65,27l9564,1276r61,35l9684,1350r56,41l9794,1437r51,48l9893,1536r45,54l9980,1646r39,59l10054,1766r31,64l10113,1896r24,67l10157,2032r16,71l10184,2175r7,74l10193,2324r-2,75l10184,2473r-11,72l10157,2616r-20,69l10113,2753r-28,65l10054,2882r-35,61l9980,3002r-42,56l9893,3112r-48,51l9794,3211r-54,46l9684,3298r-59,39l9564,3372r-64,32l9435,3431r-68,24l9322,3468xe" stroked="f">
              <v:stroke joinstyle="round"/>
              <v:formulas/>
              <v:path arrowok="t" o:connecttype="segments"/>
            </v:shape>
            <v:shape id="docshape333" o:spid="_x0000_s1254" style="position:absolute;left:6861;top:6892;width:1215;height:45" coordorigin="6861,6892" coordsize="1215,45" o:spt="100" adj="0,,0" path="m6996,6892r-135,l6861,6937r135,l6996,6892xm7176,6892r-135,l7041,6937r135,l7176,6892xm7356,6892r-135,l7221,6937r135,l7356,6892xm7536,6892r-135,l7401,6937r135,l7536,6892xm7716,6892r-135,l7581,6937r135,l7716,6892xm7896,6892r-135,l7761,6937r135,l7896,6892xm8075,6892r-134,l7941,6937r134,l8075,6892xe" fillcolor="#001389" stroked="f">
              <v:stroke joinstyle="round"/>
              <v:formulas/>
              <v:path arrowok="t" o:connecttype="segments"/>
            </v:shape>
            <v:shape id="docshape334" o:spid="_x0000_s1253" type="#_x0000_t75" style="position:absolute;left:1031;top:4619;width:5913;height:8106">
              <v:imagedata r:id="rId501" o:title=""/>
            </v:shape>
            <v:shape id="docshape335" o:spid="_x0000_s1252" style="position:absolute;left:8120;top:6892;width:3106;height:45" coordorigin="8120,6892" coordsize="3106,45" o:spt="100" adj="0,,0" path="m8255,6892r-135,l8120,6937r135,l8255,6892xm8435,6892r-135,l8300,6937r135,l8435,6892xm8615,6892r-135,l8480,6937r135,l8615,6892xm8795,6892r-135,l8660,6937r135,l8795,6892xm8975,6892r-135,l8840,6937r135,l8975,6892xm9155,6892r-135,l9020,6937r135,l9155,6892xm9335,6892r-135,l9200,6937r135,l9335,6892xm9515,6892r-135,l9380,6937r135,l9515,6892xm9694,6892r-134,l9560,6937r134,l9694,6892xm9874,6892r-135,l9739,6937r135,l9874,6892xm10054,6892r-135,l9919,6937r135,l10054,6892xm10234,6892r-135,l10099,6937r135,l10234,6892xm10414,6892r-135,l10279,6937r135,l10414,6892xm10594,6892r-135,l10459,6937r135,l10594,6892xm10774,6892r-135,l10639,6937r135,l10774,6892xm10954,6892r-135,l10819,6937r135,l10954,6892xm11133,6892r-134,l10999,6937r134,l11133,6892xm11226,6892r-48,l11178,6937r48,l11226,6892xe" fillcolor="#001389" stroked="f">
              <v:stroke joinstyle="round"/>
              <v:formulas/>
              <v:path arrowok="t" o:connecttype="segments"/>
            </v:shape>
            <v:line id="_x0000_s1251" style="position:absolute" from="6861,9301" to="11226,9301" strokecolor="#001389" strokeweight="2.25pt">
              <v:stroke dashstyle="3 1"/>
            </v:line>
            <v:shape id="docshape336" o:spid="_x0000_s1250" style="position:absolute;left:1041;top:12910;width:5463;height:1846" coordorigin="1042,12911" coordsize="5463,1846" path="m5945,14756r-4333,l1534,14751r-74,-15l1390,14711r-66,-33l1263,14637r-54,-48l1160,14534r-41,-60l1086,14408r-24,-70l1047,14263r-5,-77l1042,13481r5,-77l1062,13329r24,-70l1119,13193r41,-60l1209,13078r54,-48l1324,12989r66,-33l1460,12931r74,-15l1612,12911r4333,l6023,12916r74,15l6167,12956r66,33l6293,13030r55,48l6396,13133r41,60l6470,13259r25,70l6504,13376r,915l6470,14408r-33,66l6396,14534r-48,55l6293,14637r-60,41l6167,14711r-70,25l6023,14751r-78,5xe" fillcolor="#dec7eb" stroked="f">
              <v:fill opacity="36497f"/>
              <v:path arrowok="t"/>
            </v:shape>
            <v:shape id="docshape337" o:spid="_x0000_s1249" type="#_x0000_t75" style="position:absolute;left:5629;top:11346;width:1680;height:1785">
              <v:imagedata r:id="rId502" o:title=""/>
            </v:shape>
            <v:shape id="docshape338" o:spid="_x0000_s1248" type="#_x0000_t75" style="position:absolute;left:7587;top:11684;width:4433;height:3597">
              <v:imagedata r:id="rId503" o:title=""/>
            </v:shape>
            <v:shape id="docshape339" o:spid="_x0000_s1247" type="#_x0000_t75" style="position:absolute;left:10376;top:6434;width:1210;height:1536">
              <v:imagedata r:id="rId504" o:title=""/>
            </v:shape>
            <v:shape id="docshape340" o:spid="_x0000_s1246" style="position:absolute;left:1275;top:11327;width:780;height:780" coordorigin="1275,11327" coordsize="780,780" o:spt="100" adj="0,,0" path="m2013,11706r,-12l2010,11672r-1,-12l2004,11638r-3,-11l1995,11605r-4,-11l1982,11573r-5,-10l1967,11543r-6,-10l1948,11514r-7,-9l1927,11487r-8,-8l1903,11463r-8,-8l1877,11441r-9,-7l1849,11421r-10,-6l1819,11405r-10,-5l1788,11391r-11,-4l1755,11381r-11,-3l1722,11373r-11,-1l1688,11370r-11,-1l1654,11369r-12,1l1620,11372r-12,1l1586,11378r-11,3l1553,11387r-11,4l1521,11400r-10,5l1491,11415r-10,6l1462,11434r-9,7l1436,11455r-9,8l1411,11479r-8,8l1389,11505r-7,9l1369,11533r-5,10l1353,11563r-5,10l1339,11594r-4,11l1329,11627r-3,11l1322,11660r-2,12l1318,11694r-1,12l1317,11728r1,12l1320,11763r2,11l1326,11796r3,11l1335,11829r4,11l1348,11861r5,10l1364,11891r5,10l1382,11920r7,9l1403,11947r8,8l1427,11971r9,8l1453,11993r9,7l1481,12013r10,6l1511,12029r10,5l1542,12043r11,4l1575,12053r11,3l1608,12061r12,1l1642,12065r12,l1677,12065r11,l1711,12062r11,-1l1744,12056r11,-3l1777,12047r11,-4l1809,12034r10,-5l1839,12019r10,-6l1868,12000r9,-7l1895,11979r8,-8l1919,11955r8,-8l1941,11929r7,-9l1961,11901r6,-10l1977,11871r5,-10l1991,11840r4,-11l2001,11807r3,-11l2009,11774r1,-11l2013,11740r,-12l2013,11717r,-11xm2055,11717r-8,-78l2028,11578r,139l2021,11790r-21,68l1966,11920r-44,54l1868,12018r-62,34l1738,12073r-73,7l1592,12073r-68,-21l1462,12018r-54,-44l1364,11920r-34,-62l1309,11790r-7,-73l1309,11644r21,-68l1364,11514r44,-54l1462,11416r62,-34l1592,11361r73,-7l1738,11361r68,21l1868,11416r54,44l1966,11514r34,62l2021,11644r7,73l2028,11578r-4,-13l1988,11499r-47,-58l1883,11394r-66,-36l1804,11354r-60,-19l1665,11327r-78,8l1513,11358r-66,36l1389,11441r-47,58l1306,11565r-23,74l1275,11717r8,79l1306,11869r36,66l1389,11993r58,47l1513,12076r74,23l1665,12107r79,-8l1804,12080r13,-4l1883,12040r58,-47l1988,11935r36,-66l2047,11796r8,-79xe" fillcolor="#d6a2ab" stroked="f">
              <v:stroke joinstyle="round"/>
              <v:formulas/>
              <v:path arrowok="t" o:connecttype="segments"/>
            </v:shape>
            <v:shape id="docshape341" o:spid="_x0000_s1245" style="position:absolute;left:1442;top:11464;width:455;height:481" coordorigin="1443,11465" coordsize="455,481" path="m1665,11945r-81,-7l1523,11917r-53,-40l1443,11814r,-13l1443,11787r31,-60l1514,11712r25,1l1593,11745r-9,68l1549,11833r17,8l1586,11847r22,4l1633,11852r21,-1l1713,11815r5,-37l1717,11769r-52,-37l1626,11731r,-68l1686,11654r24,-53l1708,11592r-52,-35l1637,11556r-15,l1565,11576r4,l1574,11577r35,58l1555,11678r-66,-14l1456,11609r,-14l1479,11530r49,-38l1600,11470r68,-5l1688,11465r79,10l1832,11500r42,44l1885,11590r-2,21l1844,11673r-64,23l1780,11699r67,22l1889,11768r8,46l1896,11826r-27,56l1814,11919r-64,19l1696,11944r-31,1xe" stroked="f">
              <v:path arrowok="t"/>
            </v:shape>
            <w10:wrap anchorx="page" anchory="page"/>
          </v:group>
        </w:pict>
      </w:r>
    </w:p>
    <w:p w:rsidR="00200FDA" w:rsidRDefault="00200FDA">
      <w:pPr>
        <w:pStyle w:val="BodyText"/>
        <w:rPr>
          <w:rFonts w:ascii="Times New Roman"/>
          <w:sz w:val="20"/>
        </w:rPr>
      </w:pPr>
    </w:p>
    <w:p w:rsidR="00200FDA" w:rsidRDefault="00200FDA">
      <w:pPr>
        <w:pStyle w:val="BodyText"/>
        <w:rPr>
          <w:rFonts w:ascii="Times New Roman"/>
          <w:sz w:val="20"/>
        </w:rPr>
      </w:pPr>
    </w:p>
    <w:p w:rsidR="00200FDA" w:rsidRDefault="00200FDA">
      <w:pPr>
        <w:pStyle w:val="BodyText"/>
        <w:spacing w:before="2"/>
        <w:rPr>
          <w:rFonts w:ascii="Times New Roman"/>
          <w:sz w:val="20"/>
        </w:rPr>
      </w:pPr>
    </w:p>
    <w:p w:rsidR="00200FDA" w:rsidRDefault="00F76C4C">
      <w:pPr>
        <w:pStyle w:val="Heading6"/>
        <w:ind w:left="103"/>
        <w:jc w:val="left"/>
      </w:pPr>
      <w:r>
        <w:rPr>
          <w:spacing w:val="13"/>
          <w:w w:val="130"/>
        </w:rPr>
        <w:t>LEGISLATION</w:t>
      </w:r>
    </w:p>
    <w:p w:rsidR="00200FDA" w:rsidRDefault="00200FDA">
      <w:pPr>
        <w:pStyle w:val="BodyText"/>
        <w:spacing w:before="6"/>
        <w:rPr>
          <w:b/>
          <w:i/>
          <w:sz w:val="18"/>
        </w:rPr>
      </w:pPr>
    </w:p>
    <w:p w:rsidR="00200FDA" w:rsidRDefault="00F76C4C">
      <w:pPr>
        <w:spacing w:before="95"/>
        <w:ind w:left="123"/>
        <w:rPr>
          <w:rFonts w:ascii="Times New Roman"/>
          <w:sz w:val="21"/>
        </w:rPr>
      </w:pPr>
      <w:r>
        <w:rPr>
          <w:rFonts w:ascii="Times New Roman"/>
          <w:sz w:val="21"/>
        </w:rPr>
        <w:t>S.1415:</w:t>
      </w:r>
      <w:r>
        <w:rPr>
          <w:rFonts w:ascii="Times New Roman"/>
          <w:spacing w:val="22"/>
          <w:sz w:val="21"/>
        </w:rPr>
        <w:t xml:space="preserve"> </w:t>
      </w:r>
      <w:r>
        <w:rPr>
          <w:rFonts w:ascii="Times New Roman"/>
          <w:sz w:val="21"/>
        </w:rPr>
        <w:t>Birthing</w:t>
      </w:r>
      <w:r>
        <w:rPr>
          <w:rFonts w:ascii="Times New Roman"/>
          <w:spacing w:val="22"/>
          <w:sz w:val="21"/>
        </w:rPr>
        <w:t xml:space="preserve"> </w:t>
      </w:r>
      <w:r>
        <w:rPr>
          <w:rFonts w:ascii="Times New Roman"/>
          <w:sz w:val="21"/>
        </w:rPr>
        <w:t>Justice</w:t>
      </w:r>
      <w:r>
        <w:rPr>
          <w:rFonts w:ascii="Times New Roman"/>
          <w:spacing w:val="22"/>
          <w:sz w:val="21"/>
        </w:rPr>
        <w:t xml:space="preserve"> </w:t>
      </w:r>
      <w:r>
        <w:rPr>
          <w:rFonts w:ascii="Times New Roman"/>
          <w:sz w:val="21"/>
        </w:rPr>
        <w:t>in</w:t>
      </w:r>
      <w:r>
        <w:rPr>
          <w:rFonts w:ascii="Times New Roman"/>
          <w:spacing w:val="23"/>
          <w:sz w:val="21"/>
        </w:rPr>
        <w:t xml:space="preserve"> </w:t>
      </w:r>
      <w:r>
        <w:rPr>
          <w:rFonts w:ascii="Times New Roman"/>
          <w:sz w:val="21"/>
        </w:rPr>
        <w:t>the</w:t>
      </w:r>
      <w:r>
        <w:rPr>
          <w:rFonts w:ascii="Times New Roman"/>
          <w:spacing w:val="22"/>
          <w:sz w:val="21"/>
        </w:rPr>
        <w:t xml:space="preserve"> </w:t>
      </w:r>
      <w:r>
        <w:rPr>
          <w:rFonts w:ascii="Times New Roman"/>
          <w:spacing w:val="-2"/>
          <w:sz w:val="21"/>
        </w:rPr>
        <w:t>Commonwealth</w:t>
      </w:r>
    </w:p>
    <w:p w:rsidR="00200FDA" w:rsidRDefault="00200FDA">
      <w:pPr>
        <w:rPr>
          <w:rFonts w:ascii="Times New Roman"/>
          <w:sz w:val="21"/>
        </w:rPr>
        <w:sectPr w:rsidR="00200FDA">
          <w:type w:val="continuous"/>
          <w:pgSz w:w="12240" w:h="15840"/>
          <w:pgMar w:top="720" w:right="1200" w:bottom="280" w:left="1120" w:header="0" w:footer="0" w:gutter="0"/>
          <w:cols w:space="720"/>
        </w:sectPr>
      </w:pPr>
    </w:p>
    <w:bookmarkStart w:id="674" w:name="SH_Report_-_Edited.pdf"/>
    <w:bookmarkStart w:id="675" w:name="Improving_Sexual_Health"/>
    <w:bookmarkStart w:id="676" w:name="_bookmark524"/>
    <w:bookmarkStart w:id="677" w:name="_bookmark525"/>
    <w:bookmarkEnd w:id="674"/>
    <w:bookmarkEnd w:id="675"/>
    <w:bookmarkEnd w:id="676"/>
    <w:bookmarkEnd w:id="677"/>
    <w:p w:rsidR="00200FDA" w:rsidRDefault="00F76C4C">
      <w:pPr>
        <w:spacing w:before="65"/>
        <w:ind w:left="140"/>
        <w:rPr>
          <w:sz w:val="32"/>
        </w:rPr>
      </w:pPr>
      <w:r>
        <w:lastRenderedPageBreak/>
        <w:fldChar w:fldCharType="begin"/>
      </w:r>
      <w:r>
        <w:instrText xml:space="preserve"> HYPERLINK \l "_bookmark2" </w:instrText>
      </w:r>
      <w:r>
        <w:fldChar w:fldCharType="separate"/>
      </w:r>
      <w:r>
        <w:rPr>
          <w:color w:val="0A5293"/>
          <w:sz w:val="32"/>
        </w:rPr>
        <w:t>I</w:t>
      </w:r>
      <w:r>
        <w:rPr>
          <w:color w:val="0A5293"/>
          <w:sz w:val="32"/>
        </w:rPr>
        <w:fldChar w:fldCharType="end"/>
      </w:r>
      <w:hyperlink w:anchor="_bookmark525" w:history="1">
        <w:r>
          <w:rPr>
            <w:color w:val="0A5293"/>
            <w:sz w:val="32"/>
          </w:rPr>
          <w:t>mproving</w:t>
        </w:r>
        <w:r>
          <w:rPr>
            <w:color w:val="0A5293"/>
            <w:spacing w:val="-13"/>
            <w:sz w:val="32"/>
          </w:rPr>
          <w:t xml:space="preserve"> </w:t>
        </w:r>
        <w:r>
          <w:rPr>
            <w:color w:val="0A5293"/>
            <w:sz w:val="32"/>
          </w:rPr>
          <w:t>Sexual</w:t>
        </w:r>
        <w:r>
          <w:rPr>
            <w:color w:val="0A5293"/>
            <w:spacing w:val="-10"/>
            <w:sz w:val="32"/>
          </w:rPr>
          <w:t xml:space="preserve"> </w:t>
        </w:r>
        <w:r>
          <w:rPr>
            <w:color w:val="0A5293"/>
            <w:spacing w:val="-2"/>
            <w:sz w:val="32"/>
          </w:rPr>
          <w:t>Health</w:t>
        </w:r>
      </w:hyperlink>
    </w:p>
    <w:p w:rsidR="00200FDA" w:rsidRDefault="00F76C4C">
      <w:pPr>
        <w:pStyle w:val="BodyText"/>
        <w:spacing w:before="4"/>
        <w:rPr>
          <w:sz w:val="4"/>
        </w:rPr>
      </w:pPr>
      <w:r>
        <w:pict>
          <v:rect id="docshape345" o:spid="_x0000_s1243" style="position:absolute;margin-left:70.55pt;margin-top:3.85pt;width:470.9pt;height:.5pt;z-index:-15673344;mso-wrap-distance-left:0;mso-wrap-distance-right:0;mso-position-horizontal-relative:page" fillcolor="#0f6ec5" stroked="f">
            <w10:wrap type="topAndBottom" anchorx="page"/>
          </v:rect>
        </w:pict>
      </w:r>
    </w:p>
    <w:p w:rsidR="00200FDA" w:rsidRDefault="00200FDA">
      <w:pPr>
        <w:pStyle w:val="BodyText"/>
        <w:rPr>
          <w:sz w:val="20"/>
        </w:rPr>
      </w:pPr>
    </w:p>
    <w:p w:rsidR="00200FDA" w:rsidRDefault="00200FDA">
      <w:pPr>
        <w:pStyle w:val="BodyText"/>
        <w:spacing w:before="1"/>
        <w:rPr>
          <w:sz w:val="15"/>
        </w:rPr>
      </w:pPr>
    </w:p>
    <w:p w:rsidR="00200FDA" w:rsidRDefault="00F76C4C">
      <w:pPr>
        <w:pStyle w:val="Heading7"/>
        <w:spacing w:before="44"/>
        <w:ind w:left="140"/>
      </w:pPr>
      <w:bookmarkStart w:id="678" w:name="Introduction:_Understanding_LGBTQ_Youth_"/>
      <w:bookmarkEnd w:id="678"/>
      <w:r>
        <w:rPr>
          <w:color w:val="0A5293"/>
        </w:rPr>
        <w:t>Introduction:</w:t>
      </w:r>
      <w:r>
        <w:rPr>
          <w:color w:val="0A5293"/>
          <w:spacing w:val="-11"/>
        </w:rPr>
        <w:t xml:space="preserve"> </w:t>
      </w:r>
      <w:r>
        <w:rPr>
          <w:color w:val="0A5293"/>
        </w:rPr>
        <w:t>Understanding</w:t>
      </w:r>
      <w:r>
        <w:rPr>
          <w:color w:val="0A5293"/>
          <w:spacing w:val="-9"/>
        </w:rPr>
        <w:t xml:space="preserve"> </w:t>
      </w:r>
      <w:r>
        <w:rPr>
          <w:color w:val="0A5293"/>
        </w:rPr>
        <w:t>LGBTQ</w:t>
      </w:r>
      <w:r>
        <w:rPr>
          <w:color w:val="0A5293"/>
          <w:spacing w:val="-9"/>
        </w:rPr>
        <w:t xml:space="preserve"> </w:t>
      </w:r>
      <w:r>
        <w:rPr>
          <w:color w:val="0A5293"/>
        </w:rPr>
        <w:t>Youth</w:t>
      </w:r>
      <w:r>
        <w:rPr>
          <w:color w:val="0A5293"/>
          <w:spacing w:val="-9"/>
        </w:rPr>
        <w:t xml:space="preserve"> </w:t>
      </w:r>
      <w:r>
        <w:rPr>
          <w:color w:val="0A5293"/>
        </w:rPr>
        <w:t>Sexual</w:t>
      </w:r>
      <w:r>
        <w:rPr>
          <w:color w:val="0A5293"/>
          <w:spacing w:val="-8"/>
        </w:rPr>
        <w:t xml:space="preserve"> </w:t>
      </w:r>
      <w:r>
        <w:rPr>
          <w:color w:val="0A5293"/>
          <w:spacing w:val="-2"/>
        </w:rPr>
        <w:t>Health</w:t>
      </w:r>
    </w:p>
    <w:p w:rsidR="00200FDA" w:rsidRDefault="00F76C4C">
      <w:pPr>
        <w:pStyle w:val="BodyText"/>
        <w:spacing w:before="8"/>
        <w:rPr>
          <w:sz w:val="3"/>
        </w:rPr>
      </w:pPr>
      <w:r>
        <w:pict>
          <v:rect id="docshape346" o:spid="_x0000_s1242" style="position:absolute;margin-left:70.55pt;margin-top:3.45pt;width:470.9pt;height:.5pt;z-index:-15672832;mso-wrap-distance-left:0;mso-wrap-distance-right:0;mso-position-horizontal-relative:page" fillcolor="#0f6ec5" stroked="f">
            <w10:wrap type="topAndBottom" anchorx="page"/>
          </v:rect>
        </w:pict>
      </w:r>
    </w:p>
    <w:p w:rsidR="00200FDA" w:rsidRDefault="00200FDA">
      <w:pPr>
        <w:pStyle w:val="BodyText"/>
        <w:rPr>
          <w:sz w:val="20"/>
        </w:rPr>
      </w:pPr>
    </w:p>
    <w:p w:rsidR="00200FDA" w:rsidRDefault="00200FDA">
      <w:pPr>
        <w:pStyle w:val="BodyText"/>
        <w:spacing w:before="5"/>
        <w:rPr>
          <w:sz w:val="18"/>
        </w:rPr>
      </w:pPr>
    </w:p>
    <w:p w:rsidR="00200FDA" w:rsidRDefault="00F76C4C">
      <w:pPr>
        <w:pStyle w:val="BodyText"/>
        <w:spacing w:before="1" w:line="276" w:lineRule="auto"/>
        <w:ind w:left="140" w:right="193"/>
        <w:jc w:val="both"/>
      </w:pPr>
      <w:r>
        <w:t>The Commission was founded in the early 1990s to address the significant disparities in LGBTQ youth mental</w:t>
      </w:r>
      <w:r>
        <w:rPr>
          <w:spacing w:val="-5"/>
        </w:rPr>
        <w:t xml:space="preserve"> </w:t>
      </w:r>
      <w:r>
        <w:t>health</w:t>
      </w:r>
      <w:r>
        <w:rPr>
          <w:spacing w:val="-5"/>
        </w:rPr>
        <w:t xml:space="preserve"> </w:t>
      </w:r>
      <w:r>
        <w:t>occurring</w:t>
      </w:r>
      <w:r>
        <w:rPr>
          <w:spacing w:val="-3"/>
        </w:rPr>
        <w:t xml:space="preserve"> </w:t>
      </w:r>
      <w:r>
        <w:t>during</w:t>
      </w:r>
      <w:r>
        <w:rPr>
          <w:spacing w:val="-3"/>
        </w:rPr>
        <w:t xml:space="preserve"> </w:t>
      </w:r>
      <w:r>
        <w:t>the</w:t>
      </w:r>
      <w:r>
        <w:rPr>
          <w:spacing w:val="-4"/>
        </w:rPr>
        <w:t xml:space="preserve"> </w:t>
      </w:r>
      <w:r>
        <w:t>AIDS</w:t>
      </w:r>
      <w:r>
        <w:rPr>
          <w:spacing w:val="-5"/>
        </w:rPr>
        <w:t xml:space="preserve"> </w:t>
      </w:r>
      <w:r>
        <w:t>epidemic.</w:t>
      </w:r>
      <w:r>
        <w:rPr>
          <w:spacing w:val="-2"/>
        </w:rPr>
        <w:t xml:space="preserve"> </w:t>
      </w:r>
      <w:r>
        <w:t>Since</w:t>
      </w:r>
      <w:r>
        <w:rPr>
          <w:spacing w:val="-4"/>
        </w:rPr>
        <w:t xml:space="preserve"> </w:t>
      </w:r>
      <w:r>
        <w:t>then,</w:t>
      </w:r>
      <w:r>
        <w:rPr>
          <w:spacing w:val="-4"/>
        </w:rPr>
        <w:t xml:space="preserve"> </w:t>
      </w:r>
      <w:r>
        <w:t>the</w:t>
      </w:r>
      <w:r>
        <w:rPr>
          <w:spacing w:val="-4"/>
        </w:rPr>
        <w:t xml:space="preserve"> </w:t>
      </w:r>
      <w:r>
        <w:t>Commission</w:t>
      </w:r>
      <w:r>
        <w:rPr>
          <w:spacing w:val="-3"/>
        </w:rPr>
        <w:t xml:space="preserve"> </w:t>
      </w:r>
      <w:r>
        <w:t>has</w:t>
      </w:r>
      <w:r>
        <w:rPr>
          <w:spacing w:val="-2"/>
        </w:rPr>
        <w:t xml:space="preserve"> </w:t>
      </w:r>
      <w:r>
        <w:t>dedicated</w:t>
      </w:r>
      <w:r>
        <w:rPr>
          <w:spacing w:val="-5"/>
        </w:rPr>
        <w:t xml:space="preserve"> </w:t>
      </w:r>
      <w:r>
        <w:t>much</w:t>
      </w:r>
      <w:r>
        <w:rPr>
          <w:spacing w:val="-5"/>
        </w:rPr>
        <w:t xml:space="preserve"> </w:t>
      </w:r>
      <w:r>
        <w:t>of</w:t>
      </w:r>
      <w:r>
        <w:rPr>
          <w:spacing w:val="-4"/>
        </w:rPr>
        <w:t xml:space="preserve"> </w:t>
      </w:r>
      <w:r>
        <w:t>its work and resources to supporting LGBTQ youth sexual health through supporting policies increasing access</w:t>
      </w:r>
      <w:r>
        <w:rPr>
          <w:spacing w:val="-13"/>
        </w:rPr>
        <w:t xml:space="preserve"> </w:t>
      </w:r>
      <w:r>
        <w:t>to</w:t>
      </w:r>
      <w:r>
        <w:rPr>
          <w:spacing w:val="-12"/>
        </w:rPr>
        <w:t xml:space="preserve"> </w:t>
      </w:r>
      <w:r>
        <w:t>PrEP</w:t>
      </w:r>
      <w:r>
        <w:rPr>
          <w:spacing w:val="-13"/>
        </w:rPr>
        <w:t xml:space="preserve"> </w:t>
      </w:r>
      <w:r>
        <w:t>and</w:t>
      </w:r>
      <w:r>
        <w:rPr>
          <w:spacing w:val="-12"/>
        </w:rPr>
        <w:t xml:space="preserve"> </w:t>
      </w:r>
      <w:r>
        <w:t>PEP;</w:t>
      </w:r>
      <w:r>
        <w:rPr>
          <w:spacing w:val="-13"/>
        </w:rPr>
        <w:t xml:space="preserve"> </w:t>
      </w:r>
      <w:r>
        <w:t>advocating</w:t>
      </w:r>
      <w:r>
        <w:rPr>
          <w:spacing w:val="-12"/>
        </w:rPr>
        <w:t xml:space="preserve"> </w:t>
      </w:r>
      <w:r>
        <w:t>for</w:t>
      </w:r>
      <w:r>
        <w:rPr>
          <w:spacing w:val="-11"/>
        </w:rPr>
        <w:t xml:space="preserve"> </w:t>
      </w:r>
      <w:r>
        <w:t>comprehensive</w:t>
      </w:r>
      <w:r>
        <w:rPr>
          <w:spacing w:val="-13"/>
        </w:rPr>
        <w:t xml:space="preserve"> </w:t>
      </w:r>
      <w:r>
        <w:t>sexual</w:t>
      </w:r>
      <w:r>
        <w:rPr>
          <w:spacing w:val="-11"/>
        </w:rPr>
        <w:t xml:space="preserve"> </w:t>
      </w:r>
      <w:r>
        <w:t>health</w:t>
      </w:r>
      <w:r>
        <w:rPr>
          <w:spacing w:val="-13"/>
        </w:rPr>
        <w:t xml:space="preserve"> </w:t>
      </w:r>
      <w:r>
        <w:t>education;</w:t>
      </w:r>
      <w:r>
        <w:rPr>
          <w:spacing w:val="-10"/>
        </w:rPr>
        <w:t xml:space="preserve"> </w:t>
      </w:r>
      <w:r>
        <w:t>addressing</w:t>
      </w:r>
      <w:r>
        <w:rPr>
          <w:spacing w:val="-12"/>
        </w:rPr>
        <w:t xml:space="preserve"> </w:t>
      </w:r>
      <w:r>
        <w:t>factors</w:t>
      </w:r>
      <w:r>
        <w:rPr>
          <w:spacing w:val="-11"/>
        </w:rPr>
        <w:t xml:space="preserve"> </w:t>
      </w:r>
      <w:r>
        <w:t>leading to</w:t>
      </w:r>
      <w:r>
        <w:rPr>
          <w:spacing w:val="-8"/>
        </w:rPr>
        <w:t xml:space="preserve"> </w:t>
      </w:r>
      <w:r>
        <w:t>disparities</w:t>
      </w:r>
      <w:r>
        <w:rPr>
          <w:spacing w:val="-11"/>
        </w:rPr>
        <w:t xml:space="preserve"> </w:t>
      </w:r>
      <w:r>
        <w:t>around</w:t>
      </w:r>
      <w:r>
        <w:rPr>
          <w:spacing w:val="-10"/>
        </w:rPr>
        <w:t xml:space="preserve"> </w:t>
      </w:r>
      <w:r>
        <w:t>sexual</w:t>
      </w:r>
      <w:r>
        <w:rPr>
          <w:spacing w:val="-12"/>
        </w:rPr>
        <w:t xml:space="preserve"> </w:t>
      </w:r>
      <w:r>
        <w:t>victimization;</w:t>
      </w:r>
      <w:r>
        <w:rPr>
          <w:spacing w:val="-10"/>
        </w:rPr>
        <w:t xml:space="preserve"> </w:t>
      </w:r>
      <w:r>
        <w:t>and</w:t>
      </w:r>
      <w:r>
        <w:rPr>
          <w:spacing w:val="-12"/>
        </w:rPr>
        <w:t xml:space="preserve"> </w:t>
      </w:r>
      <w:r>
        <w:t>more.</w:t>
      </w:r>
      <w:r>
        <w:rPr>
          <w:spacing w:val="-12"/>
        </w:rPr>
        <w:t xml:space="preserve"> </w:t>
      </w:r>
      <w:r>
        <w:t>While</w:t>
      </w:r>
      <w:r>
        <w:rPr>
          <w:spacing w:val="-9"/>
        </w:rPr>
        <w:t xml:space="preserve"> </w:t>
      </w:r>
      <w:r>
        <w:t>Massachusetts</w:t>
      </w:r>
      <w:r>
        <w:rPr>
          <w:spacing w:val="-9"/>
        </w:rPr>
        <w:t xml:space="preserve"> </w:t>
      </w:r>
      <w:r>
        <w:t>remains</w:t>
      </w:r>
      <w:r>
        <w:rPr>
          <w:spacing w:val="-11"/>
        </w:rPr>
        <w:t xml:space="preserve"> </w:t>
      </w:r>
      <w:r>
        <w:t>a</w:t>
      </w:r>
      <w:r>
        <w:rPr>
          <w:spacing w:val="-9"/>
        </w:rPr>
        <w:t xml:space="preserve"> </w:t>
      </w:r>
      <w:r>
        <w:t>leader</w:t>
      </w:r>
      <w:r>
        <w:rPr>
          <w:spacing w:val="-9"/>
        </w:rPr>
        <w:t xml:space="preserve"> </w:t>
      </w:r>
      <w:r>
        <w:t>in</w:t>
      </w:r>
      <w:r>
        <w:rPr>
          <w:spacing w:val="-12"/>
        </w:rPr>
        <w:t xml:space="preserve"> </w:t>
      </w:r>
      <w:r>
        <w:t>many</w:t>
      </w:r>
      <w:r>
        <w:rPr>
          <w:spacing w:val="-8"/>
        </w:rPr>
        <w:t xml:space="preserve"> </w:t>
      </w:r>
      <w:r>
        <w:t>areas of</w:t>
      </w:r>
      <w:r>
        <w:rPr>
          <w:spacing w:val="-1"/>
        </w:rPr>
        <w:t xml:space="preserve"> </w:t>
      </w:r>
      <w:r>
        <w:t>LGBTQ</w:t>
      </w:r>
      <w:r>
        <w:rPr>
          <w:spacing w:val="-1"/>
        </w:rPr>
        <w:t xml:space="preserve"> </w:t>
      </w:r>
      <w:r>
        <w:t>legal</w:t>
      </w:r>
      <w:r>
        <w:rPr>
          <w:spacing w:val="-1"/>
        </w:rPr>
        <w:t xml:space="preserve"> </w:t>
      </w:r>
      <w:r>
        <w:t>protections,</w:t>
      </w:r>
      <w:r>
        <w:rPr>
          <w:spacing w:val="-3"/>
        </w:rPr>
        <w:t xml:space="preserve"> </w:t>
      </w:r>
      <w:r>
        <w:t>there still</w:t>
      </w:r>
      <w:r>
        <w:rPr>
          <w:spacing w:val="-1"/>
        </w:rPr>
        <w:t xml:space="preserve"> </w:t>
      </w:r>
      <w:r>
        <w:t>remain</w:t>
      </w:r>
      <w:r>
        <w:rPr>
          <w:spacing w:val="-2"/>
        </w:rPr>
        <w:t xml:space="preserve"> </w:t>
      </w:r>
      <w:r>
        <w:t>a</w:t>
      </w:r>
      <w:r>
        <w:rPr>
          <w:spacing w:val="-1"/>
        </w:rPr>
        <w:t xml:space="preserve"> </w:t>
      </w:r>
      <w:r>
        <w:t>concerning</w:t>
      </w:r>
      <w:r>
        <w:rPr>
          <w:spacing w:val="-2"/>
        </w:rPr>
        <w:t xml:space="preserve"> </w:t>
      </w:r>
      <w:r>
        <w:t>number</w:t>
      </w:r>
      <w:r>
        <w:rPr>
          <w:spacing w:val="-1"/>
        </w:rPr>
        <w:t xml:space="preserve"> </w:t>
      </w:r>
      <w:r>
        <w:t>of</w:t>
      </w:r>
      <w:r>
        <w:rPr>
          <w:spacing w:val="-1"/>
        </w:rPr>
        <w:t xml:space="preserve"> </w:t>
      </w:r>
      <w:r>
        <w:t>areas</w:t>
      </w:r>
      <w:r>
        <w:rPr>
          <w:spacing w:val="-3"/>
        </w:rPr>
        <w:t xml:space="preserve"> </w:t>
      </w:r>
      <w:r>
        <w:t>where the state has</w:t>
      </w:r>
      <w:r>
        <w:rPr>
          <w:spacing w:val="-1"/>
        </w:rPr>
        <w:t xml:space="preserve"> </w:t>
      </w:r>
      <w:r>
        <w:t>failed</w:t>
      </w:r>
      <w:r>
        <w:rPr>
          <w:spacing w:val="-2"/>
        </w:rPr>
        <w:t xml:space="preserve"> </w:t>
      </w:r>
      <w:r>
        <w:t xml:space="preserve">to stay ahead and ensure that the unique gaps in resources, education, and services for LGBTQ youth are </w:t>
      </w:r>
      <w:r>
        <w:rPr>
          <w:spacing w:val="-2"/>
        </w:rPr>
        <w:t>addressed.</w:t>
      </w:r>
    </w:p>
    <w:p w:rsidR="00200FDA" w:rsidRDefault="00F76C4C">
      <w:pPr>
        <w:pStyle w:val="BodyText"/>
        <w:spacing w:before="118" w:line="276" w:lineRule="auto"/>
        <w:ind w:left="139" w:right="194"/>
        <w:jc w:val="both"/>
      </w:pPr>
      <w:r>
        <w:t>To</w:t>
      </w:r>
      <w:r>
        <w:rPr>
          <w:spacing w:val="-2"/>
        </w:rPr>
        <w:t xml:space="preserve"> </w:t>
      </w:r>
      <w:r>
        <w:t>this</w:t>
      </w:r>
      <w:r>
        <w:rPr>
          <w:spacing w:val="-1"/>
        </w:rPr>
        <w:t xml:space="preserve"> </w:t>
      </w:r>
      <w:r>
        <w:t>day,</w:t>
      </w:r>
      <w:r>
        <w:rPr>
          <w:spacing w:val="-3"/>
        </w:rPr>
        <w:t xml:space="preserve"> </w:t>
      </w:r>
      <w:r>
        <w:t>across</w:t>
      </w:r>
      <w:r>
        <w:rPr>
          <w:spacing w:val="-3"/>
        </w:rPr>
        <w:t xml:space="preserve"> </w:t>
      </w:r>
      <w:r>
        <w:t>the state and</w:t>
      </w:r>
      <w:r>
        <w:rPr>
          <w:spacing w:val="-2"/>
        </w:rPr>
        <w:t xml:space="preserve"> </w:t>
      </w:r>
      <w:r>
        <w:t>the</w:t>
      </w:r>
      <w:r>
        <w:rPr>
          <w:spacing w:val="-3"/>
        </w:rPr>
        <w:t xml:space="preserve"> </w:t>
      </w:r>
      <w:r>
        <w:t>nation,</w:t>
      </w:r>
      <w:r>
        <w:rPr>
          <w:spacing w:val="-3"/>
        </w:rPr>
        <w:t xml:space="preserve"> </w:t>
      </w:r>
      <w:r>
        <w:t>LGBTQ</w:t>
      </w:r>
      <w:r>
        <w:rPr>
          <w:spacing w:val="-3"/>
        </w:rPr>
        <w:t xml:space="preserve"> </w:t>
      </w:r>
      <w:r>
        <w:t>youth</w:t>
      </w:r>
      <w:r>
        <w:rPr>
          <w:spacing w:val="-2"/>
        </w:rPr>
        <w:t xml:space="preserve"> </w:t>
      </w:r>
      <w:r>
        <w:t>remain</w:t>
      </w:r>
      <w:r>
        <w:rPr>
          <w:spacing w:val="-2"/>
        </w:rPr>
        <w:t xml:space="preserve"> </w:t>
      </w:r>
      <w:r>
        <w:t>at a</w:t>
      </w:r>
      <w:r>
        <w:rPr>
          <w:spacing w:val="-3"/>
        </w:rPr>
        <w:t xml:space="preserve"> </w:t>
      </w:r>
      <w:r>
        <w:t>higher</w:t>
      </w:r>
      <w:r>
        <w:rPr>
          <w:spacing w:val="-1"/>
        </w:rPr>
        <w:t xml:space="preserve"> </w:t>
      </w:r>
      <w:r>
        <w:t>risk</w:t>
      </w:r>
      <w:r>
        <w:rPr>
          <w:spacing w:val="-5"/>
        </w:rPr>
        <w:t xml:space="preserve"> </w:t>
      </w:r>
      <w:r>
        <w:t>for</w:t>
      </w:r>
      <w:r>
        <w:rPr>
          <w:spacing w:val="-1"/>
        </w:rPr>
        <w:t xml:space="preserve"> </w:t>
      </w:r>
      <w:r>
        <w:t>STIs,</w:t>
      </w:r>
      <w:r>
        <w:rPr>
          <w:spacing w:val="-3"/>
        </w:rPr>
        <w:t xml:space="preserve"> </w:t>
      </w:r>
      <w:r>
        <w:t>HIV,</w:t>
      </w:r>
      <w:r>
        <w:rPr>
          <w:spacing w:val="-1"/>
        </w:rPr>
        <w:t xml:space="preserve"> </w:t>
      </w:r>
      <w:r>
        <w:t>and</w:t>
      </w:r>
      <w:r>
        <w:rPr>
          <w:spacing w:val="-2"/>
        </w:rPr>
        <w:t xml:space="preserve"> </w:t>
      </w:r>
      <w:r>
        <w:t>sexual violence.</w:t>
      </w:r>
      <w:r>
        <w:rPr>
          <w:spacing w:val="-9"/>
        </w:rPr>
        <w:t xml:space="preserve"> </w:t>
      </w:r>
      <w:r>
        <w:t>Furthermore,</w:t>
      </w:r>
      <w:r>
        <w:rPr>
          <w:spacing w:val="-9"/>
        </w:rPr>
        <w:t xml:space="preserve"> </w:t>
      </w:r>
      <w:r>
        <w:t>as</w:t>
      </w:r>
      <w:r>
        <w:rPr>
          <w:spacing w:val="-9"/>
        </w:rPr>
        <w:t xml:space="preserve"> </w:t>
      </w:r>
      <w:r>
        <w:t>discuss</w:t>
      </w:r>
      <w:r>
        <w:t>ed</w:t>
      </w:r>
      <w:r>
        <w:rPr>
          <w:spacing w:val="-10"/>
        </w:rPr>
        <w:t xml:space="preserve"> </w:t>
      </w:r>
      <w:r>
        <w:t>in</w:t>
      </w:r>
      <w:r>
        <w:rPr>
          <w:spacing w:val="-12"/>
        </w:rPr>
        <w:t xml:space="preserve"> </w:t>
      </w:r>
      <w:r>
        <w:t>the</w:t>
      </w:r>
      <w:r>
        <w:rPr>
          <w:spacing w:val="-11"/>
        </w:rPr>
        <w:t xml:space="preserve"> </w:t>
      </w:r>
      <w:r>
        <w:t>pregnancy</w:t>
      </w:r>
      <w:r>
        <w:rPr>
          <w:spacing w:val="-12"/>
        </w:rPr>
        <w:t xml:space="preserve"> </w:t>
      </w:r>
      <w:r>
        <w:t>section</w:t>
      </w:r>
      <w:r>
        <w:rPr>
          <w:spacing w:val="-12"/>
        </w:rPr>
        <w:t xml:space="preserve"> </w:t>
      </w:r>
      <w:r>
        <w:t>of</w:t>
      </w:r>
      <w:r>
        <w:rPr>
          <w:spacing w:val="-12"/>
        </w:rPr>
        <w:t xml:space="preserve"> </w:t>
      </w:r>
      <w:r>
        <w:t>this</w:t>
      </w:r>
      <w:r>
        <w:rPr>
          <w:spacing w:val="-9"/>
        </w:rPr>
        <w:t xml:space="preserve"> </w:t>
      </w:r>
      <w:r>
        <w:t>annual</w:t>
      </w:r>
      <w:r>
        <w:rPr>
          <w:spacing w:val="-9"/>
        </w:rPr>
        <w:t xml:space="preserve"> </w:t>
      </w:r>
      <w:r>
        <w:t>report,</w:t>
      </w:r>
      <w:r>
        <w:rPr>
          <w:spacing w:val="-9"/>
        </w:rPr>
        <w:t xml:space="preserve"> </w:t>
      </w:r>
      <w:r>
        <w:t>LGBTQ</w:t>
      </w:r>
      <w:r>
        <w:rPr>
          <w:spacing w:val="-11"/>
        </w:rPr>
        <w:t xml:space="preserve"> </w:t>
      </w:r>
      <w:r>
        <w:t>youth</w:t>
      </w:r>
      <w:r>
        <w:rPr>
          <w:spacing w:val="-12"/>
        </w:rPr>
        <w:t xml:space="preserve"> </w:t>
      </w:r>
      <w:r>
        <w:t>are</w:t>
      </w:r>
      <w:r>
        <w:rPr>
          <w:spacing w:val="-11"/>
        </w:rPr>
        <w:t xml:space="preserve"> </w:t>
      </w:r>
      <w:r>
        <w:t>often left out of conversations around national and statewide conversations involving pregnancy, abortion access, and gynecological health, but often face significant disparities in access and care. Compounding these issues, LGBTQ youth frequently encounte</w:t>
      </w:r>
      <w:r>
        <w:t>r barriers to accessing contraceptives, affirming medical care, and inclusive sexual health education. Across the nation, 29 states and D.C. mandate sexual health education in schools, though only 7 states require curricula to include information on sexual</w:t>
      </w:r>
      <w:r>
        <w:t xml:space="preserve"> orientation and</w:t>
      </w:r>
      <w:r>
        <w:rPr>
          <w:spacing w:val="-13"/>
        </w:rPr>
        <w:t xml:space="preserve"> </w:t>
      </w:r>
      <w:r>
        <w:t>gender</w:t>
      </w:r>
      <w:r>
        <w:rPr>
          <w:spacing w:val="-12"/>
        </w:rPr>
        <w:t xml:space="preserve"> </w:t>
      </w:r>
      <w:r>
        <w:t>identity</w:t>
      </w:r>
      <w:r>
        <w:rPr>
          <w:spacing w:val="-13"/>
        </w:rPr>
        <w:t xml:space="preserve"> </w:t>
      </w:r>
      <w:r>
        <w:t>-</w:t>
      </w:r>
      <w:r>
        <w:rPr>
          <w:spacing w:val="-12"/>
        </w:rPr>
        <w:t xml:space="preserve"> </w:t>
      </w:r>
      <w:r>
        <w:t>Massachusetts,</w:t>
      </w:r>
      <w:r>
        <w:rPr>
          <w:spacing w:val="-13"/>
        </w:rPr>
        <w:t xml:space="preserve"> </w:t>
      </w:r>
      <w:r>
        <w:t>which</w:t>
      </w:r>
      <w:r>
        <w:rPr>
          <w:spacing w:val="-12"/>
        </w:rPr>
        <w:t xml:space="preserve"> </w:t>
      </w:r>
      <w:r>
        <w:t>has</w:t>
      </w:r>
      <w:r>
        <w:rPr>
          <w:spacing w:val="-13"/>
        </w:rPr>
        <w:t xml:space="preserve"> </w:t>
      </w:r>
      <w:r>
        <w:t>not</w:t>
      </w:r>
      <w:r>
        <w:rPr>
          <w:spacing w:val="-12"/>
        </w:rPr>
        <w:t xml:space="preserve"> </w:t>
      </w:r>
      <w:r>
        <w:t>updated</w:t>
      </w:r>
      <w:r>
        <w:rPr>
          <w:spacing w:val="-12"/>
        </w:rPr>
        <w:t xml:space="preserve"> </w:t>
      </w:r>
      <w:r>
        <w:t>its</w:t>
      </w:r>
      <w:r>
        <w:rPr>
          <w:spacing w:val="-13"/>
        </w:rPr>
        <w:t xml:space="preserve"> </w:t>
      </w:r>
      <w:r>
        <w:t>education</w:t>
      </w:r>
      <w:r>
        <w:rPr>
          <w:spacing w:val="-12"/>
        </w:rPr>
        <w:t xml:space="preserve"> </w:t>
      </w:r>
      <w:r>
        <w:t>standards</w:t>
      </w:r>
      <w:r>
        <w:rPr>
          <w:spacing w:val="-13"/>
        </w:rPr>
        <w:t xml:space="preserve"> </w:t>
      </w:r>
      <w:r>
        <w:t>since</w:t>
      </w:r>
      <w:r>
        <w:rPr>
          <w:spacing w:val="-12"/>
        </w:rPr>
        <w:t xml:space="preserve"> </w:t>
      </w:r>
      <w:r>
        <w:t>1999,</w:t>
      </w:r>
      <w:r>
        <w:rPr>
          <w:spacing w:val="-13"/>
        </w:rPr>
        <w:t xml:space="preserve"> </w:t>
      </w:r>
      <w:r>
        <w:t xml:space="preserve">mandates </w:t>
      </w:r>
      <w:r>
        <w:rPr>
          <w:spacing w:val="-2"/>
        </w:rPr>
        <w:t>neither.</w:t>
      </w:r>
      <w:hyperlink w:anchor="_bookmark526" w:history="1">
        <w:r>
          <w:rPr>
            <w:spacing w:val="-2"/>
            <w:vertAlign w:val="superscript"/>
          </w:rPr>
          <w:t>1</w:t>
        </w:r>
      </w:hyperlink>
    </w:p>
    <w:p w:rsidR="00200FDA" w:rsidRDefault="00F76C4C">
      <w:pPr>
        <w:pStyle w:val="BodyText"/>
        <w:spacing w:before="120" w:line="276" w:lineRule="auto"/>
        <w:ind w:left="140" w:right="193"/>
        <w:jc w:val="both"/>
      </w:pPr>
      <w:r>
        <w:t>As highlighted in numerous areas throughout this report, sexual health goes beyond just conversat</w:t>
      </w:r>
      <w:r>
        <w:t>ions around HIV, AIDS, and education. The following recommendations highlight solutions for critical gaps in Massachusetts</w:t>
      </w:r>
      <w:r>
        <w:rPr>
          <w:spacing w:val="-7"/>
        </w:rPr>
        <w:t xml:space="preserve"> </w:t>
      </w:r>
      <w:r>
        <w:t>policies</w:t>
      </w:r>
      <w:r>
        <w:rPr>
          <w:spacing w:val="-9"/>
        </w:rPr>
        <w:t xml:space="preserve"> </w:t>
      </w:r>
      <w:r>
        <w:t>and</w:t>
      </w:r>
      <w:r>
        <w:rPr>
          <w:spacing w:val="-7"/>
        </w:rPr>
        <w:t xml:space="preserve"> </w:t>
      </w:r>
      <w:r>
        <w:t>services,</w:t>
      </w:r>
      <w:r>
        <w:rPr>
          <w:spacing w:val="-9"/>
        </w:rPr>
        <w:t xml:space="preserve"> </w:t>
      </w:r>
      <w:r>
        <w:t>while</w:t>
      </w:r>
      <w:r>
        <w:rPr>
          <w:spacing w:val="-6"/>
        </w:rPr>
        <w:t xml:space="preserve"> </w:t>
      </w:r>
      <w:r>
        <w:t>also</w:t>
      </w:r>
      <w:r>
        <w:rPr>
          <w:spacing w:val="-5"/>
        </w:rPr>
        <w:t xml:space="preserve"> </w:t>
      </w:r>
      <w:r>
        <w:t>taking</w:t>
      </w:r>
      <w:r>
        <w:rPr>
          <w:spacing w:val="-10"/>
        </w:rPr>
        <w:t xml:space="preserve"> </w:t>
      </w:r>
      <w:r>
        <w:t>a</w:t>
      </w:r>
      <w:r>
        <w:rPr>
          <w:spacing w:val="-7"/>
        </w:rPr>
        <w:t xml:space="preserve"> </w:t>
      </w:r>
      <w:r>
        <w:t>broader</w:t>
      </w:r>
      <w:r>
        <w:rPr>
          <w:spacing w:val="-7"/>
        </w:rPr>
        <w:t xml:space="preserve"> </w:t>
      </w:r>
      <w:r>
        <w:t>look</w:t>
      </w:r>
      <w:r>
        <w:rPr>
          <w:spacing w:val="-6"/>
        </w:rPr>
        <w:t xml:space="preserve"> </w:t>
      </w:r>
      <w:r>
        <w:t>at</w:t>
      </w:r>
      <w:r>
        <w:rPr>
          <w:spacing w:val="-6"/>
        </w:rPr>
        <w:t xml:space="preserve"> </w:t>
      </w:r>
      <w:r>
        <w:t>how</w:t>
      </w:r>
      <w:r>
        <w:rPr>
          <w:spacing w:val="-8"/>
        </w:rPr>
        <w:t xml:space="preserve"> </w:t>
      </w:r>
      <w:r>
        <w:t>LGBTQ</w:t>
      </w:r>
      <w:r>
        <w:rPr>
          <w:spacing w:val="-6"/>
        </w:rPr>
        <w:t xml:space="preserve"> </w:t>
      </w:r>
      <w:r>
        <w:t>youth</w:t>
      </w:r>
      <w:r>
        <w:rPr>
          <w:spacing w:val="-7"/>
        </w:rPr>
        <w:t xml:space="preserve"> </w:t>
      </w:r>
      <w:r>
        <w:t>are</w:t>
      </w:r>
      <w:r>
        <w:rPr>
          <w:spacing w:val="-9"/>
        </w:rPr>
        <w:t xml:space="preserve"> </w:t>
      </w:r>
      <w:r>
        <w:t>affected</w:t>
      </w:r>
      <w:r>
        <w:rPr>
          <w:spacing w:val="-7"/>
        </w:rPr>
        <w:t xml:space="preserve"> </w:t>
      </w:r>
      <w:r>
        <w:t>by poor sexual health policies across the sta</w:t>
      </w:r>
      <w:r>
        <w:t>te.</w:t>
      </w:r>
    </w:p>
    <w:p w:rsidR="00200FDA" w:rsidRDefault="00200FDA">
      <w:pPr>
        <w:pStyle w:val="BodyText"/>
      </w:pPr>
    </w:p>
    <w:p w:rsidR="00200FDA" w:rsidRDefault="00F76C4C">
      <w:pPr>
        <w:pStyle w:val="Heading7"/>
        <w:spacing w:before="136"/>
        <w:ind w:left="140"/>
        <w:jc w:val="both"/>
      </w:pPr>
      <w:r>
        <w:rPr>
          <w:color w:val="0A5293"/>
        </w:rPr>
        <w:t>FY</w:t>
      </w:r>
      <w:r>
        <w:rPr>
          <w:color w:val="0A5293"/>
          <w:spacing w:val="-7"/>
        </w:rPr>
        <w:t xml:space="preserve"> </w:t>
      </w:r>
      <w:r>
        <w:rPr>
          <w:color w:val="0A5293"/>
        </w:rPr>
        <w:t>2024</w:t>
      </w:r>
      <w:r>
        <w:rPr>
          <w:color w:val="0A5293"/>
          <w:spacing w:val="-6"/>
        </w:rPr>
        <w:t xml:space="preserve"> </w:t>
      </w:r>
      <w:r>
        <w:rPr>
          <w:color w:val="0A5293"/>
        </w:rPr>
        <w:t>Recommendations</w:t>
      </w:r>
      <w:r>
        <w:rPr>
          <w:color w:val="0A5293"/>
          <w:spacing w:val="-5"/>
        </w:rPr>
        <w:t xml:space="preserve"> </w:t>
      </w:r>
      <w:r>
        <w:rPr>
          <w:color w:val="0A5293"/>
        </w:rPr>
        <w:t>to</w:t>
      </w:r>
      <w:r>
        <w:rPr>
          <w:color w:val="0A5293"/>
          <w:spacing w:val="-5"/>
        </w:rPr>
        <w:t xml:space="preserve"> </w:t>
      </w:r>
      <w:r>
        <w:rPr>
          <w:color w:val="0A5293"/>
        </w:rPr>
        <w:t>the</w:t>
      </w:r>
      <w:r>
        <w:rPr>
          <w:color w:val="0A5293"/>
          <w:spacing w:val="-6"/>
        </w:rPr>
        <w:t xml:space="preserve"> </w:t>
      </w:r>
      <w:r>
        <w:rPr>
          <w:color w:val="0A5293"/>
        </w:rPr>
        <w:t>Governor</w:t>
      </w:r>
      <w:r>
        <w:rPr>
          <w:color w:val="0A5293"/>
          <w:spacing w:val="-4"/>
        </w:rPr>
        <w:t xml:space="preserve"> </w:t>
      </w:r>
      <w:r>
        <w:rPr>
          <w:color w:val="0A5293"/>
        </w:rPr>
        <w:t>and</w:t>
      </w:r>
      <w:r>
        <w:rPr>
          <w:color w:val="0A5293"/>
          <w:spacing w:val="-7"/>
        </w:rPr>
        <w:t xml:space="preserve"> </w:t>
      </w:r>
      <w:r>
        <w:rPr>
          <w:color w:val="0A5293"/>
        </w:rPr>
        <w:t>Legislature</w:t>
      </w:r>
      <w:r>
        <w:rPr>
          <w:color w:val="0A5293"/>
          <w:spacing w:val="-6"/>
        </w:rPr>
        <w:t xml:space="preserve"> </w:t>
      </w:r>
      <w:r>
        <w:rPr>
          <w:color w:val="0A5293"/>
        </w:rPr>
        <w:t>on</w:t>
      </w:r>
      <w:r>
        <w:rPr>
          <w:color w:val="0A5293"/>
          <w:spacing w:val="-7"/>
        </w:rPr>
        <w:t xml:space="preserve"> </w:t>
      </w:r>
      <w:r>
        <w:rPr>
          <w:color w:val="0A5293"/>
        </w:rPr>
        <w:t>Sexual</w:t>
      </w:r>
      <w:r>
        <w:rPr>
          <w:color w:val="0A5293"/>
          <w:spacing w:val="-4"/>
        </w:rPr>
        <w:t xml:space="preserve"> </w:t>
      </w:r>
      <w:r>
        <w:rPr>
          <w:color w:val="0A5293"/>
          <w:spacing w:val="-2"/>
        </w:rPr>
        <w:t>Health</w:t>
      </w:r>
    </w:p>
    <w:p w:rsidR="00200FDA" w:rsidRDefault="00F76C4C">
      <w:pPr>
        <w:pStyle w:val="BodyText"/>
        <w:spacing w:before="8"/>
        <w:rPr>
          <w:sz w:val="3"/>
        </w:rPr>
      </w:pPr>
      <w:r>
        <w:pict>
          <v:rect id="docshape347" o:spid="_x0000_s1241" style="position:absolute;margin-left:70.55pt;margin-top:3.45pt;width:470.9pt;height:.5pt;z-index:-15672320;mso-wrap-distance-left:0;mso-wrap-distance-right:0;mso-position-horizontal-relative:page" fillcolor="#0f6ec5" stroked="f">
            <w10:wrap type="topAndBottom" anchorx="page"/>
          </v:rect>
        </w:pict>
      </w:r>
    </w:p>
    <w:p w:rsidR="00200FDA" w:rsidRDefault="00200FDA">
      <w:pPr>
        <w:pStyle w:val="BodyText"/>
        <w:rPr>
          <w:sz w:val="20"/>
        </w:rPr>
      </w:pPr>
    </w:p>
    <w:p w:rsidR="00200FDA" w:rsidRDefault="00200FDA">
      <w:pPr>
        <w:pStyle w:val="BodyText"/>
        <w:spacing w:before="3"/>
        <w:rPr>
          <w:sz w:val="18"/>
        </w:rPr>
      </w:pPr>
    </w:p>
    <w:p w:rsidR="00200FDA" w:rsidRDefault="00F76C4C">
      <w:pPr>
        <w:pStyle w:val="Heading9"/>
        <w:numPr>
          <w:ilvl w:val="0"/>
          <w:numId w:val="30"/>
        </w:numPr>
        <w:tabs>
          <w:tab w:val="left" w:pos="388"/>
        </w:tabs>
        <w:spacing w:line="276" w:lineRule="auto"/>
        <w:ind w:right="198" w:firstLine="0"/>
        <w:jc w:val="both"/>
      </w:pPr>
      <w:r>
        <w:t>Ensure that all youth have access to age-appropriate, LGBTQ-inclusive, and consent-based sexual health education, and that educators are provided with implementation support.</w:t>
      </w:r>
    </w:p>
    <w:p w:rsidR="00200FDA" w:rsidRDefault="00F76C4C">
      <w:pPr>
        <w:pStyle w:val="BodyText"/>
        <w:spacing w:before="122" w:line="276" w:lineRule="auto"/>
        <w:ind w:left="139" w:right="194"/>
        <w:jc w:val="both"/>
      </w:pPr>
      <w:r>
        <w:t>Most youth across the country rely on schools to provide basic education on sexual health, building healthy relationships, and consent. For a variety of reasons, including financial disparities and lack of support</w:t>
      </w:r>
      <w:r>
        <w:rPr>
          <w:spacing w:val="-6"/>
        </w:rPr>
        <w:t xml:space="preserve"> </w:t>
      </w:r>
      <w:r>
        <w:t>from</w:t>
      </w:r>
      <w:r>
        <w:rPr>
          <w:spacing w:val="-5"/>
        </w:rPr>
        <w:t xml:space="preserve"> </w:t>
      </w:r>
      <w:r>
        <w:t>parents,</w:t>
      </w:r>
      <w:r>
        <w:rPr>
          <w:spacing w:val="-9"/>
        </w:rPr>
        <w:t xml:space="preserve"> </w:t>
      </w:r>
      <w:r>
        <w:t>many</w:t>
      </w:r>
      <w:r>
        <w:rPr>
          <w:spacing w:val="-6"/>
        </w:rPr>
        <w:t xml:space="preserve"> </w:t>
      </w:r>
      <w:r>
        <w:t>schools</w:t>
      </w:r>
      <w:r>
        <w:rPr>
          <w:spacing w:val="-6"/>
        </w:rPr>
        <w:t xml:space="preserve"> </w:t>
      </w:r>
      <w:r>
        <w:t>in</w:t>
      </w:r>
      <w:r>
        <w:rPr>
          <w:spacing w:val="-10"/>
        </w:rPr>
        <w:t xml:space="preserve"> </w:t>
      </w:r>
      <w:r>
        <w:t>Massachuset</w:t>
      </w:r>
      <w:r>
        <w:t>ts</w:t>
      </w:r>
      <w:r>
        <w:rPr>
          <w:spacing w:val="-11"/>
        </w:rPr>
        <w:t xml:space="preserve"> </w:t>
      </w:r>
      <w:r>
        <w:t>fail</w:t>
      </w:r>
      <w:r>
        <w:rPr>
          <w:spacing w:val="-7"/>
        </w:rPr>
        <w:t xml:space="preserve"> </w:t>
      </w:r>
      <w:r>
        <w:t>to</w:t>
      </w:r>
      <w:r>
        <w:rPr>
          <w:spacing w:val="-8"/>
        </w:rPr>
        <w:t xml:space="preserve"> </w:t>
      </w:r>
      <w:r>
        <w:t>provide</w:t>
      </w:r>
      <w:r>
        <w:rPr>
          <w:spacing w:val="-8"/>
        </w:rPr>
        <w:t xml:space="preserve"> </w:t>
      </w:r>
      <w:r>
        <w:t>adequate</w:t>
      </w:r>
      <w:r>
        <w:rPr>
          <w:spacing w:val="-8"/>
        </w:rPr>
        <w:t xml:space="preserve"> </w:t>
      </w:r>
      <w:r>
        <w:t>sexual</w:t>
      </w:r>
      <w:r>
        <w:rPr>
          <w:spacing w:val="-7"/>
        </w:rPr>
        <w:t xml:space="preserve"> </w:t>
      </w:r>
      <w:r>
        <w:t>health</w:t>
      </w:r>
      <w:r>
        <w:rPr>
          <w:spacing w:val="-10"/>
        </w:rPr>
        <w:t xml:space="preserve"> </w:t>
      </w:r>
      <w:r>
        <w:t>education</w:t>
      </w:r>
      <w:r>
        <w:rPr>
          <w:spacing w:val="-7"/>
        </w:rPr>
        <w:t xml:space="preserve"> </w:t>
      </w:r>
      <w:r>
        <w:t>to students. LGBTQ youth often fail to receive appropriate sexual health education from their families, especially</w:t>
      </w:r>
      <w:r>
        <w:rPr>
          <w:spacing w:val="-12"/>
        </w:rPr>
        <w:t xml:space="preserve"> </w:t>
      </w:r>
      <w:r>
        <w:t>if</w:t>
      </w:r>
      <w:r>
        <w:rPr>
          <w:spacing w:val="-12"/>
        </w:rPr>
        <w:t xml:space="preserve"> </w:t>
      </w:r>
      <w:r>
        <w:t>their</w:t>
      </w:r>
      <w:r>
        <w:rPr>
          <w:spacing w:val="-9"/>
        </w:rPr>
        <w:t xml:space="preserve"> </w:t>
      </w:r>
      <w:r>
        <w:t>parents</w:t>
      </w:r>
      <w:r>
        <w:rPr>
          <w:spacing w:val="-11"/>
        </w:rPr>
        <w:t xml:space="preserve"> </w:t>
      </w:r>
      <w:r>
        <w:t>are</w:t>
      </w:r>
      <w:r>
        <w:rPr>
          <w:spacing w:val="-8"/>
        </w:rPr>
        <w:t xml:space="preserve"> </w:t>
      </w:r>
      <w:r>
        <w:t>cisgender</w:t>
      </w:r>
      <w:r>
        <w:rPr>
          <w:spacing w:val="-9"/>
        </w:rPr>
        <w:t xml:space="preserve"> </w:t>
      </w:r>
      <w:r>
        <w:t>and</w:t>
      </w:r>
      <w:r>
        <w:rPr>
          <w:spacing w:val="-10"/>
        </w:rPr>
        <w:t xml:space="preserve"> </w:t>
      </w:r>
      <w:r>
        <w:t>heterosexual.</w:t>
      </w:r>
      <w:r>
        <w:rPr>
          <w:spacing w:val="-9"/>
        </w:rPr>
        <w:t xml:space="preserve"> </w:t>
      </w:r>
      <w:r>
        <w:t>As</w:t>
      </w:r>
      <w:r>
        <w:rPr>
          <w:spacing w:val="-9"/>
        </w:rPr>
        <w:t xml:space="preserve"> </w:t>
      </w:r>
      <w:r>
        <w:t>a</w:t>
      </w:r>
      <w:r>
        <w:rPr>
          <w:spacing w:val="-12"/>
        </w:rPr>
        <w:t xml:space="preserve"> </w:t>
      </w:r>
      <w:r>
        <w:t>result,</w:t>
      </w:r>
      <w:r>
        <w:rPr>
          <w:spacing w:val="-13"/>
        </w:rPr>
        <w:t xml:space="preserve"> </w:t>
      </w:r>
      <w:r>
        <w:t>many</w:t>
      </w:r>
      <w:r>
        <w:rPr>
          <w:spacing w:val="-10"/>
        </w:rPr>
        <w:t xml:space="preserve"> </w:t>
      </w:r>
      <w:r>
        <w:t>youth</w:t>
      </w:r>
      <w:r>
        <w:rPr>
          <w:spacing w:val="-10"/>
        </w:rPr>
        <w:t xml:space="preserve"> </w:t>
      </w:r>
      <w:r>
        <w:t>turn</w:t>
      </w:r>
      <w:r>
        <w:rPr>
          <w:spacing w:val="-10"/>
        </w:rPr>
        <w:t xml:space="preserve"> </w:t>
      </w:r>
      <w:r>
        <w:t>to</w:t>
      </w:r>
      <w:r>
        <w:rPr>
          <w:spacing w:val="-10"/>
        </w:rPr>
        <w:t xml:space="preserve"> </w:t>
      </w:r>
      <w:r>
        <w:t>find</w:t>
      </w:r>
      <w:r>
        <w:rPr>
          <w:spacing w:val="-10"/>
        </w:rPr>
        <w:t xml:space="preserve"> </w:t>
      </w:r>
      <w:r>
        <w:t>information in</w:t>
      </w:r>
      <w:r>
        <w:rPr>
          <w:spacing w:val="16"/>
        </w:rPr>
        <w:t xml:space="preserve"> </w:t>
      </w:r>
      <w:r>
        <w:t>schools</w:t>
      </w:r>
      <w:r>
        <w:rPr>
          <w:spacing w:val="15"/>
        </w:rPr>
        <w:t xml:space="preserve"> </w:t>
      </w:r>
      <w:r>
        <w:t>and,</w:t>
      </w:r>
      <w:r>
        <w:rPr>
          <w:spacing w:val="17"/>
        </w:rPr>
        <w:t xml:space="preserve"> </w:t>
      </w:r>
      <w:r>
        <w:t>failing</w:t>
      </w:r>
      <w:r>
        <w:rPr>
          <w:spacing w:val="17"/>
        </w:rPr>
        <w:t xml:space="preserve"> </w:t>
      </w:r>
      <w:r>
        <w:t>that,</w:t>
      </w:r>
      <w:r>
        <w:rPr>
          <w:spacing w:val="17"/>
        </w:rPr>
        <w:t xml:space="preserve"> </w:t>
      </w:r>
      <w:r>
        <w:t>will</w:t>
      </w:r>
      <w:r>
        <w:rPr>
          <w:spacing w:val="15"/>
        </w:rPr>
        <w:t xml:space="preserve"> </w:t>
      </w:r>
      <w:r>
        <w:t>seek</w:t>
      </w:r>
      <w:r>
        <w:rPr>
          <w:spacing w:val="15"/>
        </w:rPr>
        <w:t xml:space="preserve"> </w:t>
      </w:r>
      <w:r>
        <w:t>to</w:t>
      </w:r>
      <w:r>
        <w:rPr>
          <w:spacing w:val="16"/>
        </w:rPr>
        <w:t xml:space="preserve"> </w:t>
      </w:r>
      <w:r>
        <w:t>learn</w:t>
      </w:r>
      <w:r>
        <w:rPr>
          <w:spacing w:val="14"/>
        </w:rPr>
        <w:t xml:space="preserve"> </w:t>
      </w:r>
      <w:r>
        <w:t>from</w:t>
      </w:r>
      <w:r>
        <w:rPr>
          <w:spacing w:val="16"/>
        </w:rPr>
        <w:t xml:space="preserve"> </w:t>
      </w:r>
      <w:r>
        <w:t>peers</w:t>
      </w:r>
      <w:r>
        <w:rPr>
          <w:spacing w:val="15"/>
        </w:rPr>
        <w:t xml:space="preserve"> </w:t>
      </w:r>
      <w:r>
        <w:t>or</w:t>
      </w:r>
      <w:r>
        <w:rPr>
          <w:spacing w:val="15"/>
        </w:rPr>
        <w:t xml:space="preserve"> </w:t>
      </w:r>
      <w:r>
        <w:t>the</w:t>
      </w:r>
      <w:r>
        <w:rPr>
          <w:spacing w:val="18"/>
        </w:rPr>
        <w:t xml:space="preserve"> </w:t>
      </w:r>
      <w:r>
        <w:t>Internet</w:t>
      </w:r>
      <w:r>
        <w:rPr>
          <w:spacing w:val="15"/>
        </w:rPr>
        <w:t xml:space="preserve"> </w:t>
      </w:r>
      <w:r>
        <w:t>-</w:t>
      </w:r>
      <w:r>
        <w:rPr>
          <w:spacing w:val="15"/>
        </w:rPr>
        <w:t xml:space="preserve"> </w:t>
      </w:r>
      <w:r>
        <w:t>both</w:t>
      </w:r>
      <w:r>
        <w:rPr>
          <w:spacing w:val="14"/>
        </w:rPr>
        <w:t xml:space="preserve"> </w:t>
      </w:r>
      <w:r>
        <w:t>of</w:t>
      </w:r>
      <w:r>
        <w:rPr>
          <w:spacing w:val="13"/>
        </w:rPr>
        <w:t xml:space="preserve"> </w:t>
      </w:r>
      <w:r>
        <w:t>which</w:t>
      </w:r>
      <w:r>
        <w:rPr>
          <w:spacing w:val="14"/>
        </w:rPr>
        <w:t xml:space="preserve"> </w:t>
      </w:r>
      <w:r>
        <w:t>often</w:t>
      </w:r>
      <w:r>
        <w:rPr>
          <w:spacing w:val="17"/>
        </w:rPr>
        <w:t xml:space="preserve"> </w:t>
      </w:r>
      <w:r>
        <w:t>provide</w:t>
      </w:r>
    </w:p>
    <w:p w:rsidR="00200FDA" w:rsidRDefault="00200FDA">
      <w:pPr>
        <w:spacing w:line="276" w:lineRule="auto"/>
        <w:jc w:val="both"/>
        <w:sectPr w:rsidR="00200FDA">
          <w:headerReference w:type="default" r:id="rId505"/>
          <w:footerReference w:type="default" r:id="rId506"/>
          <w:pgSz w:w="12240" w:h="15840"/>
          <w:pgMar w:top="1360" w:right="1240" w:bottom="1480" w:left="1300" w:header="761" w:footer="1283" w:gutter="0"/>
          <w:pgNumType w:start="116"/>
          <w:cols w:space="720"/>
        </w:sectPr>
      </w:pPr>
    </w:p>
    <w:p w:rsidR="00200FDA" w:rsidRDefault="00F76C4C">
      <w:pPr>
        <w:pStyle w:val="BodyText"/>
        <w:spacing w:before="64" w:line="276" w:lineRule="auto"/>
        <w:ind w:left="140" w:right="192"/>
        <w:jc w:val="both"/>
      </w:pPr>
      <w:r>
        <w:lastRenderedPageBreak/>
        <w:t>inaccurate and harmful education. Furthermore, most sexual health curricula fails to appropriately educate</w:t>
      </w:r>
      <w:r>
        <w:rPr>
          <w:spacing w:val="-1"/>
        </w:rPr>
        <w:t xml:space="preserve"> </w:t>
      </w:r>
      <w:r>
        <w:t>youth on the basis</w:t>
      </w:r>
      <w:r>
        <w:rPr>
          <w:spacing w:val="-2"/>
        </w:rPr>
        <w:t xml:space="preserve"> </w:t>
      </w:r>
      <w:r>
        <w:t>of consent, particularly youth in elementary school</w:t>
      </w:r>
      <w:r>
        <w:rPr>
          <w:spacing w:val="-2"/>
        </w:rPr>
        <w:t xml:space="preserve"> </w:t>
      </w:r>
      <w:r>
        <w:t>who often do not</w:t>
      </w:r>
      <w:r>
        <w:rPr>
          <w:spacing w:val="-1"/>
        </w:rPr>
        <w:t xml:space="preserve"> </w:t>
      </w:r>
      <w:r>
        <w:t>receive any</w:t>
      </w:r>
      <w:r>
        <w:rPr>
          <w:spacing w:val="-11"/>
        </w:rPr>
        <w:t xml:space="preserve"> </w:t>
      </w:r>
      <w:r>
        <w:t>education</w:t>
      </w:r>
      <w:r>
        <w:rPr>
          <w:spacing w:val="-12"/>
        </w:rPr>
        <w:t xml:space="preserve"> </w:t>
      </w:r>
      <w:r>
        <w:t>around</w:t>
      </w:r>
      <w:r>
        <w:rPr>
          <w:spacing w:val="-10"/>
        </w:rPr>
        <w:t xml:space="preserve"> </w:t>
      </w:r>
      <w:r>
        <w:t>correct</w:t>
      </w:r>
      <w:r>
        <w:rPr>
          <w:spacing w:val="-11"/>
        </w:rPr>
        <w:t xml:space="preserve"> </w:t>
      </w:r>
      <w:r>
        <w:t>names</w:t>
      </w:r>
      <w:r>
        <w:rPr>
          <w:spacing w:val="-11"/>
        </w:rPr>
        <w:t xml:space="preserve"> </w:t>
      </w:r>
      <w:r>
        <w:t>for</w:t>
      </w:r>
      <w:r>
        <w:rPr>
          <w:spacing w:val="-12"/>
        </w:rPr>
        <w:t xml:space="preserve"> </w:t>
      </w:r>
      <w:r>
        <w:t>body</w:t>
      </w:r>
      <w:r>
        <w:rPr>
          <w:spacing w:val="-11"/>
        </w:rPr>
        <w:t xml:space="preserve"> </w:t>
      </w:r>
      <w:r>
        <w:t>parts.</w:t>
      </w:r>
      <w:r>
        <w:rPr>
          <w:spacing w:val="-13"/>
        </w:rPr>
        <w:t xml:space="preserve"> </w:t>
      </w:r>
      <w:r>
        <w:t>Wi</w:t>
      </w:r>
      <w:r>
        <w:t>thout</w:t>
      </w:r>
      <w:r>
        <w:rPr>
          <w:spacing w:val="-10"/>
        </w:rPr>
        <w:t xml:space="preserve"> </w:t>
      </w:r>
      <w:r>
        <w:t>this</w:t>
      </w:r>
      <w:r>
        <w:rPr>
          <w:spacing w:val="-11"/>
        </w:rPr>
        <w:t xml:space="preserve"> </w:t>
      </w:r>
      <w:r>
        <w:t>basic</w:t>
      </w:r>
      <w:r>
        <w:rPr>
          <w:spacing w:val="-11"/>
        </w:rPr>
        <w:t xml:space="preserve"> </w:t>
      </w:r>
      <w:r>
        <w:t>education,</w:t>
      </w:r>
      <w:r>
        <w:rPr>
          <w:spacing w:val="-9"/>
        </w:rPr>
        <w:t xml:space="preserve"> </w:t>
      </w:r>
      <w:r>
        <w:t>LGBTQ</w:t>
      </w:r>
      <w:r>
        <w:rPr>
          <w:spacing w:val="-11"/>
        </w:rPr>
        <w:t xml:space="preserve"> </w:t>
      </w:r>
      <w:r>
        <w:t>youth</w:t>
      </w:r>
      <w:r>
        <w:rPr>
          <w:spacing w:val="-12"/>
        </w:rPr>
        <w:t xml:space="preserve"> </w:t>
      </w:r>
      <w:r>
        <w:t>of</w:t>
      </w:r>
      <w:r>
        <w:rPr>
          <w:spacing w:val="-12"/>
        </w:rPr>
        <w:t xml:space="preserve"> </w:t>
      </w:r>
      <w:r>
        <w:t>all</w:t>
      </w:r>
      <w:r>
        <w:rPr>
          <w:spacing w:val="-12"/>
        </w:rPr>
        <w:t xml:space="preserve"> </w:t>
      </w:r>
      <w:r>
        <w:t>ages are at a greater risk of sexual victimization.</w:t>
      </w:r>
    </w:p>
    <w:p w:rsidR="00200FDA" w:rsidRDefault="00F76C4C">
      <w:pPr>
        <w:pStyle w:val="BodyText"/>
        <w:spacing w:before="120" w:line="276" w:lineRule="auto"/>
        <w:ind w:left="139" w:right="192"/>
        <w:jc w:val="both"/>
      </w:pPr>
      <w:r>
        <w:t xml:space="preserve">The Commission supports and prioritizes the implementation of </w:t>
      </w:r>
      <w:r>
        <w:rPr>
          <w:i/>
        </w:rPr>
        <w:t xml:space="preserve">An Act Relative to Healthy Youth </w:t>
      </w:r>
      <w:r>
        <w:t>(</w:t>
      </w:r>
      <w:hyperlink r:id="rId507">
        <w:r>
          <w:rPr>
            <w:b/>
            <w:color w:val="1154CC"/>
            <w:u w:val="single" w:color="1154CC"/>
          </w:rPr>
          <w:t>S.268</w:t>
        </w:r>
      </w:hyperlink>
      <w:r>
        <w:rPr>
          <w:b/>
        </w:rPr>
        <w:t>/</w:t>
      </w:r>
      <w:hyperlink r:id="rId508">
        <w:r>
          <w:rPr>
            <w:b/>
            <w:color w:val="1154CC"/>
            <w:u w:val="single" w:color="1154CC"/>
          </w:rPr>
          <w:t>H.544</w:t>
        </w:r>
      </w:hyperlink>
      <w:r>
        <w:t>),</w:t>
      </w:r>
      <w:r>
        <w:rPr>
          <w:spacing w:val="-4"/>
        </w:rPr>
        <w:t xml:space="preserve"> </w:t>
      </w:r>
      <w:r>
        <w:t>also</w:t>
      </w:r>
      <w:r>
        <w:rPr>
          <w:spacing w:val="-3"/>
        </w:rPr>
        <w:t xml:space="preserve"> </w:t>
      </w:r>
      <w:r>
        <w:t>known</w:t>
      </w:r>
      <w:r>
        <w:rPr>
          <w:spacing w:val="-5"/>
        </w:rPr>
        <w:t xml:space="preserve"> </w:t>
      </w:r>
      <w:r>
        <w:t>as</w:t>
      </w:r>
      <w:r>
        <w:rPr>
          <w:spacing w:val="-2"/>
        </w:rPr>
        <w:t xml:space="preserve"> </w:t>
      </w:r>
      <w:r>
        <w:t>the</w:t>
      </w:r>
      <w:r>
        <w:rPr>
          <w:spacing w:val="-4"/>
        </w:rPr>
        <w:t xml:space="preserve"> </w:t>
      </w:r>
      <w:r>
        <w:t>Healthy</w:t>
      </w:r>
      <w:r>
        <w:rPr>
          <w:spacing w:val="-3"/>
        </w:rPr>
        <w:t xml:space="preserve"> </w:t>
      </w:r>
      <w:r>
        <w:t>Youth</w:t>
      </w:r>
      <w:r>
        <w:rPr>
          <w:spacing w:val="-3"/>
        </w:rPr>
        <w:t xml:space="preserve"> </w:t>
      </w:r>
      <w:r>
        <w:t>Act</w:t>
      </w:r>
      <w:r>
        <w:rPr>
          <w:spacing w:val="-4"/>
        </w:rPr>
        <w:t xml:space="preserve"> </w:t>
      </w:r>
      <w:r>
        <w:t>(HYA),</w:t>
      </w:r>
      <w:r>
        <w:rPr>
          <w:spacing w:val="-4"/>
        </w:rPr>
        <w:t xml:space="preserve"> </w:t>
      </w:r>
      <w:r>
        <w:t>which</w:t>
      </w:r>
      <w:r>
        <w:rPr>
          <w:spacing w:val="-5"/>
        </w:rPr>
        <w:t xml:space="preserve"> </w:t>
      </w:r>
      <w:r>
        <w:t>would</w:t>
      </w:r>
      <w:r>
        <w:rPr>
          <w:spacing w:val="-5"/>
        </w:rPr>
        <w:t xml:space="preserve"> </w:t>
      </w:r>
      <w:r>
        <w:t>ensure</w:t>
      </w:r>
      <w:r>
        <w:rPr>
          <w:spacing w:val="-4"/>
        </w:rPr>
        <w:t xml:space="preserve"> </w:t>
      </w:r>
      <w:r>
        <w:t>that</w:t>
      </w:r>
      <w:r>
        <w:rPr>
          <w:spacing w:val="-1"/>
        </w:rPr>
        <w:t xml:space="preserve"> </w:t>
      </w:r>
      <w:r>
        <w:t>all</w:t>
      </w:r>
      <w:r>
        <w:rPr>
          <w:spacing w:val="-5"/>
        </w:rPr>
        <w:t xml:space="preserve"> </w:t>
      </w:r>
      <w:r>
        <w:t>schools</w:t>
      </w:r>
      <w:r>
        <w:rPr>
          <w:spacing w:val="-4"/>
        </w:rPr>
        <w:t xml:space="preserve"> </w:t>
      </w:r>
      <w:r>
        <w:t>that</w:t>
      </w:r>
      <w:r>
        <w:rPr>
          <w:spacing w:val="-4"/>
        </w:rPr>
        <w:t xml:space="preserve"> </w:t>
      </w:r>
      <w:r>
        <w:t xml:space="preserve">elect to teach sexual health education update their curriculum materials to include age-appropriate, consent- based, and LGBTQ-inclusive information. However, the Commission supports this bill on the understanding that the phrase “human sexuality issues” </w:t>
      </w:r>
      <w:r>
        <w:rPr>
          <w:b/>
        </w:rPr>
        <w:t>m</w:t>
      </w:r>
      <w:r>
        <w:rPr>
          <w:b/>
        </w:rPr>
        <w:t xml:space="preserve">ust be removed </w:t>
      </w:r>
      <w:r>
        <w:t xml:space="preserve">from the bill text before it is passed through the State House. The phrase as written seemingly provides a loophole being used by transphobic parents to opt students out from </w:t>
      </w:r>
      <w:r>
        <w:rPr>
          <w:i/>
        </w:rPr>
        <w:t xml:space="preserve">all </w:t>
      </w:r>
      <w:r>
        <w:t xml:space="preserve">LGBTQ-related curriculum being provided by schools, including </w:t>
      </w:r>
      <w:r>
        <w:t>history lessons and story hours, which in many instances has led for lessons to be canceled for all students. The Commission advises the legislature to remove these words to alleviate the significant burden</w:t>
      </w:r>
      <w:r>
        <w:rPr>
          <w:spacing w:val="-7"/>
        </w:rPr>
        <w:t xml:space="preserve"> </w:t>
      </w:r>
      <w:r>
        <w:t>that</w:t>
      </w:r>
      <w:r>
        <w:rPr>
          <w:spacing w:val="-6"/>
        </w:rPr>
        <w:t xml:space="preserve"> </w:t>
      </w:r>
      <w:r>
        <w:t>youth,</w:t>
      </w:r>
      <w:r>
        <w:rPr>
          <w:spacing w:val="-7"/>
        </w:rPr>
        <w:t xml:space="preserve"> </w:t>
      </w:r>
      <w:r>
        <w:t>parents,</w:t>
      </w:r>
      <w:r>
        <w:rPr>
          <w:spacing w:val="-6"/>
        </w:rPr>
        <w:t xml:space="preserve"> </w:t>
      </w:r>
      <w:r>
        <w:t>school</w:t>
      </w:r>
      <w:r>
        <w:rPr>
          <w:spacing w:val="-7"/>
        </w:rPr>
        <w:t xml:space="preserve"> </w:t>
      </w:r>
      <w:r>
        <w:t>administrators,</w:t>
      </w:r>
      <w:r>
        <w:rPr>
          <w:spacing w:val="-6"/>
        </w:rPr>
        <w:t xml:space="preserve"> </w:t>
      </w:r>
      <w:r>
        <w:t>and</w:t>
      </w:r>
      <w:r>
        <w:rPr>
          <w:spacing w:val="-7"/>
        </w:rPr>
        <w:t xml:space="preserve"> </w:t>
      </w:r>
      <w:r>
        <w:t>t</w:t>
      </w:r>
      <w:r>
        <w:t>eachers</w:t>
      </w:r>
      <w:r>
        <w:rPr>
          <w:spacing w:val="-6"/>
        </w:rPr>
        <w:t xml:space="preserve"> </w:t>
      </w:r>
      <w:r>
        <w:t>are</w:t>
      </w:r>
      <w:r>
        <w:rPr>
          <w:spacing w:val="-6"/>
        </w:rPr>
        <w:t xml:space="preserve"> </w:t>
      </w:r>
      <w:r>
        <w:t>currently</w:t>
      </w:r>
      <w:r>
        <w:rPr>
          <w:spacing w:val="-6"/>
        </w:rPr>
        <w:t xml:space="preserve"> </w:t>
      </w:r>
      <w:r>
        <w:t>facing</w:t>
      </w:r>
      <w:r>
        <w:rPr>
          <w:spacing w:val="-7"/>
        </w:rPr>
        <w:t xml:space="preserve"> </w:t>
      </w:r>
      <w:r>
        <w:t>in</w:t>
      </w:r>
      <w:r>
        <w:rPr>
          <w:spacing w:val="-7"/>
        </w:rPr>
        <w:t xml:space="preserve"> </w:t>
      </w:r>
      <w:r>
        <w:t>dealing</w:t>
      </w:r>
      <w:r>
        <w:rPr>
          <w:spacing w:val="-7"/>
        </w:rPr>
        <w:t xml:space="preserve"> </w:t>
      </w:r>
      <w:r>
        <w:t>with</w:t>
      </w:r>
      <w:r>
        <w:rPr>
          <w:spacing w:val="-7"/>
        </w:rPr>
        <w:t xml:space="preserve"> </w:t>
      </w:r>
      <w:r>
        <w:t>these confusing challenges.</w:t>
      </w:r>
    </w:p>
    <w:p w:rsidR="00200FDA" w:rsidRDefault="00F76C4C">
      <w:pPr>
        <w:pStyle w:val="BodyText"/>
        <w:spacing w:before="119" w:line="276" w:lineRule="auto"/>
        <w:ind w:left="140" w:right="195"/>
        <w:jc w:val="both"/>
      </w:pPr>
      <w:r>
        <w:t>Furthermore, the Commission advises the state to examine all curriculum being taught to youth in state custody and services - with particular attention to the Department of Children &amp;</w:t>
      </w:r>
      <w:r>
        <w:t xml:space="preserve"> Families (DCF), Department of Youth Services (DYS), and Department of Developmental Services (DDS).</w:t>
      </w:r>
    </w:p>
    <w:p w:rsidR="00200FDA" w:rsidRDefault="00200FDA">
      <w:pPr>
        <w:pStyle w:val="BodyText"/>
        <w:spacing w:before="4"/>
        <w:rPr>
          <w:sz w:val="25"/>
        </w:rPr>
      </w:pPr>
    </w:p>
    <w:p w:rsidR="00200FDA" w:rsidRDefault="00F76C4C">
      <w:pPr>
        <w:pStyle w:val="Heading9"/>
        <w:numPr>
          <w:ilvl w:val="0"/>
          <w:numId w:val="30"/>
        </w:numPr>
        <w:tabs>
          <w:tab w:val="left" w:pos="366"/>
        </w:tabs>
        <w:spacing w:line="276" w:lineRule="auto"/>
        <w:ind w:left="140" w:right="194" w:firstLine="0"/>
        <w:jc w:val="both"/>
      </w:pPr>
      <w:r>
        <w:t>Support and increase HIV &amp; STI prevention and treatment services for LGBTQ</w:t>
      </w:r>
      <w:r>
        <w:rPr>
          <w:spacing w:val="-2"/>
        </w:rPr>
        <w:t xml:space="preserve"> </w:t>
      </w:r>
      <w:r>
        <w:t>youth, and awareness campaigns across the state.</w:t>
      </w:r>
    </w:p>
    <w:p w:rsidR="00200FDA" w:rsidRDefault="00F76C4C">
      <w:pPr>
        <w:pStyle w:val="BodyText"/>
        <w:spacing w:before="120" w:line="276" w:lineRule="auto"/>
        <w:ind w:left="140" w:right="193"/>
        <w:jc w:val="both"/>
      </w:pPr>
      <w:r>
        <w:t>Massachusetts is seeing an ala</w:t>
      </w:r>
      <w:r>
        <w:t>rming rise in sexually-transmitted infections and diseases in youth, per information received from the Department of Public Health (DPH). It is widely understood that LGBTQ youth</w:t>
      </w:r>
      <w:r>
        <w:rPr>
          <w:spacing w:val="-13"/>
        </w:rPr>
        <w:t xml:space="preserve"> </w:t>
      </w:r>
      <w:r>
        <w:t>-</w:t>
      </w:r>
      <w:r>
        <w:rPr>
          <w:spacing w:val="-12"/>
        </w:rPr>
        <w:t xml:space="preserve"> </w:t>
      </w:r>
      <w:r>
        <w:t>particularly</w:t>
      </w:r>
      <w:r>
        <w:rPr>
          <w:spacing w:val="-13"/>
        </w:rPr>
        <w:t xml:space="preserve"> </w:t>
      </w:r>
      <w:r>
        <w:t>QTBIPOC</w:t>
      </w:r>
      <w:r>
        <w:rPr>
          <w:spacing w:val="-12"/>
        </w:rPr>
        <w:t xml:space="preserve"> </w:t>
      </w:r>
      <w:r>
        <w:t>youth</w:t>
      </w:r>
      <w:r>
        <w:rPr>
          <w:spacing w:val="-13"/>
        </w:rPr>
        <w:t xml:space="preserve"> </w:t>
      </w:r>
      <w:r>
        <w:t>-</w:t>
      </w:r>
      <w:r>
        <w:rPr>
          <w:spacing w:val="-12"/>
        </w:rPr>
        <w:t xml:space="preserve"> </w:t>
      </w:r>
      <w:r>
        <w:t>are</w:t>
      </w:r>
      <w:r>
        <w:rPr>
          <w:spacing w:val="-13"/>
        </w:rPr>
        <w:t xml:space="preserve"> </w:t>
      </w:r>
      <w:r>
        <w:t>disproportionately</w:t>
      </w:r>
      <w:r>
        <w:rPr>
          <w:spacing w:val="-12"/>
        </w:rPr>
        <w:t xml:space="preserve"> </w:t>
      </w:r>
      <w:r>
        <w:t>impacted</w:t>
      </w:r>
      <w:r>
        <w:rPr>
          <w:spacing w:val="-12"/>
        </w:rPr>
        <w:t xml:space="preserve"> </w:t>
      </w:r>
      <w:r>
        <w:t>by</w:t>
      </w:r>
      <w:r>
        <w:rPr>
          <w:spacing w:val="-13"/>
        </w:rPr>
        <w:t xml:space="preserve"> </w:t>
      </w:r>
      <w:r>
        <w:t>HIV,</w:t>
      </w:r>
      <w:r>
        <w:rPr>
          <w:spacing w:val="-12"/>
        </w:rPr>
        <w:t xml:space="preserve"> </w:t>
      </w:r>
      <w:r>
        <w:t>and</w:t>
      </w:r>
      <w:r>
        <w:rPr>
          <w:spacing w:val="-13"/>
        </w:rPr>
        <w:t xml:space="preserve"> </w:t>
      </w:r>
      <w:r>
        <w:t>access</w:t>
      </w:r>
      <w:r>
        <w:rPr>
          <w:spacing w:val="-12"/>
        </w:rPr>
        <w:t xml:space="preserve"> </w:t>
      </w:r>
      <w:r>
        <w:t>to</w:t>
      </w:r>
      <w:r>
        <w:rPr>
          <w:spacing w:val="-13"/>
        </w:rPr>
        <w:t xml:space="preserve"> </w:t>
      </w:r>
      <w:r>
        <w:t>HIV</w:t>
      </w:r>
      <w:r>
        <w:rPr>
          <w:spacing w:val="-12"/>
        </w:rPr>
        <w:t xml:space="preserve"> </w:t>
      </w:r>
      <w:r>
        <w:t>prevention and</w:t>
      </w:r>
      <w:r>
        <w:rPr>
          <w:spacing w:val="-13"/>
        </w:rPr>
        <w:t xml:space="preserve"> </w:t>
      </w:r>
      <w:r>
        <w:t>treatment</w:t>
      </w:r>
      <w:r>
        <w:rPr>
          <w:spacing w:val="-12"/>
        </w:rPr>
        <w:t xml:space="preserve"> </w:t>
      </w:r>
      <w:r>
        <w:t>is</w:t>
      </w:r>
      <w:r>
        <w:rPr>
          <w:spacing w:val="-13"/>
        </w:rPr>
        <w:t xml:space="preserve"> </w:t>
      </w:r>
      <w:r>
        <w:t>limited.</w:t>
      </w:r>
      <w:r>
        <w:rPr>
          <w:spacing w:val="-12"/>
        </w:rPr>
        <w:t xml:space="preserve"> </w:t>
      </w:r>
      <w:r>
        <w:t>The</w:t>
      </w:r>
      <w:r>
        <w:rPr>
          <w:spacing w:val="-13"/>
        </w:rPr>
        <w:t xml:space="preserve"> </w:t>
      </w:r>
      <w:r>
        <w:t>Commission</w:t>
      </w:r>
      <w:r>
        <w:rPr>
          <w:spacing w:val="-12"/>
        </w:rPr>
        <w:t xml:space="preserve"> </w:t>
      </w:r>
      <w:r>
        <w:t>strongly</w:t>
      </w:r>
      <w:r>
        <w:rPr>
          <w:spacing w:val="-13"/>
        </w:rPr>
        <w:t xml:space="preserve"> </w:t>
      </w:r>
      <w:r>
        <w:t>recommends</w:t>
      </w:r>
      <w:r>
        <w:rPr>
          <w:spacing w:val="-12"/>
        </w:rPr>
        <w:t xml:space="preserve"> </w:t>
      </w:r>
      <w:r>
        <w:t>that</w:t>
      </w:r>
      <w:r>
        <w:rPr>
          <w:spacing w:val="-12"/>
        </w:rPr>
        <w:t xml:space="preserve"> </w:t>
      </w:r>
      <w:r>
        <w:t>the</w:t>
      </w:r>
      <w:r>
        <w:rPr>
          <w:spacing w:val="-13"/>
        </w:rPr>
        <w:t xml:space="preserve"> </w:t>
      </w:r>
      <w:r>
        <w:t>legislature</w:t>
      </w:r>
      <w:r>
        <w:rPr>
          <w:spacing w:val="-12"/>
        </w:rPr>
        <w:t xml:space="preserve"> </w:t>
      </w:r>
      <w:r>
        <w:t>pass</w:t>
      </w:r>
      <w:r>
        <w:rPr>
          <w:spacing w:val="-13"/>
        </w:rPr>
        <w:t xml:space="preserve"> </w:t>
      </w:r>
      <w:r>
        <w:rPr>
          <w:i/>
        </w:rPr>
        <w:t>An</w:t>
      </w:r>
      <w:r>
        <w:rPr>
          <w:i/>
          <w:spacing w:val="-12"/>
        </w:rPr>
        <w:t xml:space="preserve"> </w:t>
      </w:r>
      <w:r>
        <w:rPr>
          <w:i/>
        </w:rPr>
        <w:t>Act</w:t>
      </w:r>
      <w:r>
        <w:rPr>
          <w:i/>
          <w:spacing w:val="-13"/>
        </w:rPr>
        <w:t xml:space="preserve"> </w:t>
      </w:r>
      <w:r>
        <w:rPr>
          <w:i/>
        </w:rPr>
        <w:t>to</w:t>
      </w:r>
      <w:r>
        <w:rPr>
          <w:i/>
          <w:spacing w:val="-12"/>
        </w:rPr>
        <w:t xml:space="preserve"> </w:t>
      </w:r>
      <w:r>
        <w:rPr>
          <w:i/>
        </w:rPr>
        <w:t xml:space="preserve">Prevent Barriers to HIV Prevention Medication </w:t>
      </w:r>
      <w:r>
        <w:t>(</w:t>
      </w:r>
      <w:hyperlink r:id="rId509">
        <w:r>
          <w:rPr>
            <w:b/>
            <w:u w:val="single"/>
          </w:rPr>
          <w:t>S.619</w:t>
        </w:r>
      </w:hyperlink>
      <w:r>
        <w:rPr>
          <w:b/>
        </w:rPr>
        <w:t>/</w:t>
      </w:r>
      <w:hyperlink r:id="rId510">
        <w:r>
          <w:rPr>
            <w:b/>
            <w:u w:val="single"/>
          </w:rPr>
          <w:t>H.1085</w:t>
        </w:r>
      </w:hyperlink>
      <w:r>
        <w:t>), which would further address barriers in access to HIV</w:t>
      </w:r>
      <w:r>
        <w:rPr>
          <w:spacing w:val="-5"/>
        </w:rPr>
        <w:t xml:space="preserve"> </w:t>
      </w:r>
      <w:r>
        <w:t>prevention</w:t>
      </w:r>
      <w:r>
        <w:rPr>
          <w:spacing w:val="-7"/>
        </w:rPr>
        <w:t xml:space="preserve"> </w:t>
      </w:r>
      <w:r>
        <w:t>medication.</w:t>
      </w:r>
      <w:r>
        <w:rPr>
          <w:spacing w:val="-7"/>
        </w:rPr>
        <w:t xml:space="preserve"> </w:t>
      </w:r>
      <w:r>
        <w:t>The</w:t>
      </w:r>
      <w:r>
        <w:rPr>
          <w:spacing w:val="-4"/>
        </w:rPr>
        <w:t xml:space="preserve"> </w:t>
      </w:r>
      <w:r>
        <w:t>Commission</w:t>
      </w:r>
      <w:r>
        <w:rPr>
          <w:spacing w:val="-8"/>
        </w:rPr>
        <w:t xml:space="preserve"> </w:t>
      </w:r>
      <w:r>
        <w:t>congratulates</w:t>
      </w:r>
      <w:r>
        <w:rPr>
          <w:spacing w:val="-7"/>
        </w:rPr>
        <w:t xml:space="preserve"> </w:t>
      </w:r>
      <w:r>
        <w:t>the</w:t>
      </w:r>
      <w:r>
        <w:rPr>
          <w:spacing w:val="-4"/>
        </w:rPr>
        <w:t xml:space="preserve"> </w:t>
      </w:r>
      <w:r>
        <w:t>legislature</w:t>
      </w:r>
      <w:r>
        <w:rPr>
          <w:spacing w:val="-4"/>
        </w:rPr>
        <w:t xml:space="preserve"> </w:t>
      </w:r>
      <w:r>
        <w:t>for</w:t>
      </w:r>
      <w:r>
        <w:rPr>
          <w:spacing w:val="-4"/>
        </w:rPr>
        <w:t xml:space="preserve"> </w:t>
      </w:r>
      <w:r>
        <w:t>fulfilling</w:t>
      </w:r>
      <w:r>
        <w:rPr>
          <w:spacing w:val="-5"/>
        </w:rPr>
        <w:t xml:space="preserve"> </w:t>
      </w:r>
      <w:r>
        <w:t>a</w:t>
      </w:r>
      <w:r>
        <w:rPr>
          <w:spacing w:val="-5"/>
        </w:rPr>
        <w:t xml:space="preserve"> </w:t>
      </w:r>
      <w:r>
        <w:t>previous</w:t>
      </w:r>
      <w:r>
        <w:rPr>
          <w:spacing w:val="-4"/>
        </w:rPr>
        <w:t xml:space="preserve"> </w:t>
      </w:r>
      <w:r>
        <w:t>FY</w:t>
      </w:r>
      <w:r>
        <w:rPr>
          <w:spacing w:val="-6"/>
        </w:rPr>
        <w:t xml:space="preserve"> </w:t>
      </w:r>
      <w:r>
        <w:t>2023 recommendation</w:t>
      </w:r>
      <w:r>
        <w:rPr>
          <w:spacing w:val="-7"/>
        </w:rPr>
        <w:t xml:space="preserve"> </w:t>
      </w:r>
      <w:r>
        <w:t>from</w:t>
      </w:r>
      <w:r>
        <w:rPr>
          <w:spacing w:val="-5"/>
        </w:rPr>
        <w:t xml:space="preserve"> </w:t>
      </w:r>
      <w:r>
        <w:t>the</w:t>
      </w:r>
      <w:r>
        <w:rPr>
          <w:spacing w:val="-6"/>
        </w:rPr>
        <w:t xml:space="preserve"> </w:t>
      </w:r>
      <w:r>
        <w:t>Commission</w:t>
      </w:r>
      <w:r>
        <w:rPr>
          <w:spacing w:val="-7"/>
        </w:rPr>
        <w:t xml:space="preserve"> </w:t>
      </w:r>
      <w:r>
        <w:t>by</w:t>
      </w:r>
      <w:r>
        <w:rPr>
          <w:spacing w:val="-8"/>
        </w:rPr>
        <w:t xml:space="preserve"> </w:t>
      </w:r>
      <w:r>
        <w:t>expanding</w:t>
      </w:r>
      <w:r>
        <w:rPr>
          <w:spacing w:val="-7"/>
        </w:rPr>
        <w:t xml:space="preserve"> </w:t>
      </w:r>
      <w:r>
        <w:t>access</w:t>
      </w:r>
      <w:r>
        <w:rPr>
          <w:spacing w:val="-7"/>
        </w:rPr>
        <w:t xml:space="preserve"> </w:t>
      </w:r>
      <w:r>
        <w:t>to</w:t>
      </w:r>
      <w:r>
        <w:rPr>
          <w:spacing w:val="-8"/>
        </w:rPr>
        <w:t xml:space="preserve"> </w:t>
      </w:r>
      <w:r>
        <w:t>PrEP</w:t>
      </w:r>
      <w:r>
        <w:rPr>
          <w:spacing w:val="-5"/>
        </w:rPr>
        <w:t xml:space="preserve"> </w:t>
      </w:r>
      <w:r>
        <w:t>and</w:t>
      </w:r>
      <w:r>
        <w:rPr>
          <w:spacing w:val="-7"/>
        </w:rPr>
        <w:t xml:space="preserve"> </w:t>
      </w:r>
      <w:r>
        <w:t>PEP</w:t>
      </w:r>
      <w:r>
        <w:rPr>
          <w:spacing w:val="-5"/>
        </w:rPr>
        <w:t xml:space="preserve"> </w:t>
      </w:r>
      <w:r>
        <w:t>for</w:t>
      </w:r>
      <w:r>
        <w:rPr>
          <w:spacing w:val="-9"/>
        </w:rPr>
        <w:t xml:space="preserve"> </w:t>
      </w:r>
      <w:r>
        <w:t>youth</w:t>
      </w:r>
      <w:r>
        <w:rPr>
          <w:spacing w:val="-7"/>
        </w:rPr>
        <w:t xml:space="preserve"> </w:t>
      </w:r>
      <w:r>
        <w:t>under</w:t>
      </w:r>
      <w:r>
        <w:rPr>
          <w:spacing w:val="-7"/>
        </w:rPr>
        <w:t xml:space="preserve"> </w:t>
      </w:r>
      <w:r>
        <w:t>18</w:t>
      </w:r>
      <w:r>
        <w:rPr>
          <w:spacing w:val="-6"/>
        </w:rPr>
        <w:t xml:space="preserve"> </w:t>
      </w:r>
      <w:r>
        <w:t>in</w:t>
      </w:r>
      <w:r>
        <w:rPr>
          <w:spacing w:val="-7"/>
        </w:rPr>
        <w:t xml:space="preserve"> </w:t>
      </w:r>
      <w:r>
        <w:t>July</w:t>
      </w:r>
      <w:r>
        <w:rPr>
          <w:spacing w:val="-6"/>
        </w:rPr>
        <w:t xml:space="preserve"> </w:t>
      </w:r>
      <w:r>
        <w:t xml:space="preserve">of </w:t>
      </w:r>
      <w:r>
        <w:rPr>
          <w:spacing w:val="-2"/>
        </w:rPr>
        <w:t>2022.</w:t>
      </w:r>
    </w:p>
    <w:p w:rsidR="00200FDA" w:rsidRDefault="00200FDA">
      <w:pPr>
        <w:pStyle w:val="BodyText"/>
        <w:spacing w:before="3"/>
        <w:rPr>
          <w:sz w:val="25"/>
        </w:rPr>
      </w:pPr>
    </w:p>
    <w:p w:rsidR="00200FDA" w:rsidRDefault="00F76C4C">
      <w:pPr>
        <w:pStyle w:val="Heading9"/>
        <w:numPr>
          <w:ilvl w:val="0"/>
          <w:numId w:val="30"/>
        </w:numPr>
        <w:tabs>
          <w:tab w:val="left" w:pos="361"/>
        </w:tabs>
        <w:ind w:left="360" w:hanging="221"/>
        <w:jc w:val="both"/>
      </w:pPr>
      <w:r>
        <w:t>Prohibit</w:t>
      </w:r>
      <w:r>
        <w:rPr>
          <w:spacing w:val="-11"/>
        </w:rPr>
        <w:t xml:space="preserve"> </w:t>
      </w:r>
      <w:r>
        <w:t>medical</w:t>
      </w:r>
      <w:r>
        <w:rPr>
          <w:spacing w:val="-6"/>
        </w:rPr>
        <w:t xml:space="preserve"> </w:t>
      </w:r>
      <w:r>
        <w:t>providers</w:t>
      </w:r>
      <w:r>
        <w:rPr>
          <w:spacing w:val="-6"/>
        </w:rPr>
        <w:t xml:space="preserve"> </w:t>
      </w:r>
      <w:r>
        <w:t>from</w:t>
      </w:r>
      <w:r>
        <w:rPr>
          <w:spacing w:val="-7"/>
        </w:rPr>
        <w:t xml:space="preserve"> </w:t>
      </w:r>
      <w:r>
        <w:t>performing</w:t>
      </w:r>
      <w:r>
        <w:rPr>
          <w:spacing w:val="-7"/>
        </w:rPr>
        <w:t xml:space="preserve"> </w:t>
      </w:r>
      <w:r>
        <w:t>non-consensual</w:t>
      </w:r>
      <w:r>
        <w:rPr>
          <w:spacing w:val="-6"/>
        </w:rPr>
        <w:t xml:space="preserve"> </w:t>
      </w:r>
      <w:r>
        <w:t>examinations</w:t>
      </w:r>
      <w:r>
        <w:rPr>
          <w:spacing w:val="-6"/>
        </w:rPr>
        <w:t xml:space="preserve"> </w:t>
      </w:r>
      <w:r>
        <w:t>on</w:t>
      </w:r>
      <w:r>
        <w:rPr>
          <w:spacing w:val="-8"/>
        </w:rPr>
        <w:t xml:space="preserve"> </w:t>
      </w:r>
      <w:r>
        <w:t>unconscious</w:t>
      </w:r>
      <w:r>
        <w:rPr>
          <w:spacing w:val="-8"/>
        </w:rPr>
        <w:t xml:space="preserve"> </w:t>
      </w:r>
      <w:r>
        <w:rPr>
          <w:spacing w:val="-2"/>
        </w:rPr>
        <w:t>patients.</w:t>
      </w:r>
    </w:p>
    <w:p w:rsidR="00200FDA" w:rsidRDefault="00200FDA">
      <w:pPr>
        <w:pStyle w:val="BodyText"/>
        <w:rPr>
          <w:b/>
          <w:sz w:val="23"/>
        </w:rPr>
      </w:pPr>
    </w:p>
    <w:p w:rsidR="00200FDA" w:rsidRDefault="00F76C4C">
      <w:pPr>
        <w:pStyle w:val="BodyText"/>
        <w:spacing w:line="276" w:lineRule="auto"/>
        <w:ind w:left="139" w:right="192"/>
        <w:jc w:val="both"/>
      </w:pPr>
      <w:r>
        <w:t xml:space="preserve">The Commission supports the passage of </w:t>
      </w:r>
      <w:r>
        <w:rPr>
          <w:i/>
        </w:rPr>
        <w:t>An Act Prohibiting Nonconsensual Intimate Examinations of</w:t>
      </w:r>
      <w:r>
        <w:rPr>
          <w:i/>
        </w:rPr>
        <w:t xml:space="preserve"> Anesthetized</w:t>
      </w:r>
      <w:r>
        <w:rPr>
          <w:i/>
          <w:spacing w:val="-6"/>
        </w:rPr>
        <w:t xml:space="preserve"> </w:t>
      </w:r>
      <w:r>
        <w:rPr>
          <w:i/>
        </w:rPr>
        <w:t>or</w:t>
      </w:r>
      <w:r>
        <w:rPr>
          <w:i/>
          <w:spacing w:val="-4"/>
        </w:rPr>
        <w:t xml:space="preserve"> </w:t>
      </w:r>
      <w:r>
        <w:rPr>
          <w:i/>
        </w:rPr>
        <w:t>Unconscious</w:t>
      </w:r>
      <w:r>
        <w:rPr>
          <w:i/>
          <w:spacing w:val="-5"/>
        </w:rPr>
        <w:t xml:space="preserve"> </w:t>
      </w:r>
      <w:r>
        <w:rPr>
          <w:i/>
        </w:rPr>
        <w:t>Patients</w:t>
      </w:r>
      <w:r>
        <w:rPr>
          <w:i/>
          <w:spacing w:val="-5"/>
        </w:rPr>
        <w:t xml:space="preserve"> </w:t>
      </w:r>
      <w:r>
        <w:t>(</w:t>
      </w:r>
      <w:hyperlink r:id="rId511">
        <w:r>
          <w:rPr>
            <w:b/>
            <w:u w:val="single"/>
          </w:rPr>
          <w:t>S.1333</w:t>
        </w:r>
      </w:hyperlink>
      <w:r>
        <w:rPr>
          <w:b/>
        </w:rPr>
        <w:t>/</w:t>
      </w:r>
      <w:hyperlink r:id="rId512">
        <w:r>
          <w:rPr>
            <w:b/>
            <w:u w:val="single"/>
          </w:rPr>
          <w:t>H.2146</w:t>
        </w:r>
      </w:hyperlink>
      <w:r>
        <w:t>),</w:t>
      </w:r>
      <w:r>
        <w:rPr>
          <w:spacing w:val="-5"/>
        </w:rPr>
        <w:t xml:space="preserve"> </w:t>
      </w:r>
      <w:r>
        <w:t>which</w:t>
      </w:r>
      <w:r>
        <w:rPr>
          <w:spacing w:val="-8"/>
        </w:rPr>
        <w:t xml:space="preserve"> </w:t>
      </w:r>
      <w:r>
        <w:t>would</w:t>
      </w:r>
      <w:r>
        <w:rPr>
          <w:spacing w:val="-6"/>
        </w:rPr>
        <w:t xml:space="preserve"> </w:t>
      </w:r>
      <w:r>
        <w:t>ban</w:t>
      </w:r>
      <w:r>
        <w:rPr>
          <w:spacing w:val="-6"/>
        </w:rPr>
        <w:t xml:space="preserve"> </w:t>
      </w:r>
      <w:r>
        <w:t>the</w:t>
      </w:r>
      <w:r>
        <w:rPr>
          <w:spacing w:val="-5"/>
        </w:rPr>
        <w:t xml:space="preserve"> </w:t>
      </w:r>
      <w:r>
        <w:t>common</w:t>
      </w:r>
      <w:r>
        <w:rPr>
          <w:spacing w:val="-6"/>
        </w:rPr>
        <w:t xml:space="preserve"> </w:t>
      </w:r>
      <w:r>
        <w:t>practice</w:t>
      </w:r>
      <w:r>
        <w:rPr>
          <w:spacing w:val="-7"/>
        </w:rPr>
        <w:t xml:space="preserve"> </w:t>
      </w:r>
      <w:r>
        <w:t>employed by teaching hospitals – of which Massachusetts has several – by allowing medical students to perform pelvic</w:t>
      </w:r>
      <w:r>
        <w:rPr>
          <w:spacing w:val="-4"/>
        </w:rPr>
        <w:t xml:space="preserve"> </w:t>
      </w:r>
      <w:r>
        <w:t>examinations</w:t>
      </w:r>
      <w:r>
        <w:rPr>
          <w:spacing w:val="-4"/>
        </w:rPr>
        <w:t xml:space="preserve"> </w:t>
      </w:r>
      <w:r>
        <w:t>on</w:t>
      </w:r>
      <w:r>
        <w:rPr>
          <w:spacing w:val="-3"/>
        </w:rPr>
        <w:t xml:space="preserve"> </w:t>
      </w:r>
      <w:r>
        <w:t>unconscious</w:t>
      </w:r>
      <w:r>
        <w:rPr>
          <w:spacing w:val="-4"/>
        </w:rPr>
        <w:t xml:space="preserve"> </w:t>
      </w:r>
      <w:r>
        <w:t>patients</w:t>
      </w:r>
      <w:r>
        <w:rPr>
          <w:spacing w:val="-4"/>
        </w:rPr>
        <w:t xml:space="preserve"> </w:t>
      </w:r>
      <w:r>
        <w:t>without</w:t>
      </w:r>
      <w:r>
        <w:rPr>
          <w:spacing w:val="-4"/>
        </w:rPr>
        <w:t xml:space="preserve"> </w:t>
      </w:r>
      <w:r>
        <w:t>their</w:t>
      </w:r>
      <w:r>
        <w:rPr>
          <w:spacing w:val="-2"/>
        </w:rPr>
        <w:t xml:space="preserve"> </w:t>
      </w:r>
      <w:r>
        <w:t>consent.</w:t>
      </w:r>
      <w:r>
        <w:rPr>
          <w:spacing w:val="-5"/>
        </w:rPr>
        <w:t xml:space="preserve"> </w:t>
      </w:r>
      <w:r>
        <w:t>While</w:t>
      </w:r>
      <w:r>
        <w:rPr>
          <w:spacing w:val="-4"/>
        </w:rPr>
        <w:t xml:space="preserve"> </w:t>
      </w:r>
      <w:r>
        <w:t>most</w:t>
      </w:r>
      <w:r>
        <w:rPr>
          <w:spacing w:val="-1"/>
        </w:rPr>
        <w:t xml:space="preserve"> </w:t>
      </w:r>
      <w:r>
        <w:t>research</w:t>
      </w:r>
      <w:r>
        <w:rPr>
          <w:spacing w:val="-5"/>
        </w:rPr>
        <w:t xml:space="preserve"> </w:t>
      </w:r>
      <w:r>
        <w:t>and</w:t>
      </w:r>
      <w:r>
        <w:rPr>
          <w:spacing w:val="-3"/>
        </w:rPr>
        <w:t xml:space="preserve"> </w:t>
      </w:r>
      <w:r>
        <w:t>advocacy</w:t>
      </w:r>
      <w:r>
        <w:rPr>
          <w:spacing w:val="-3"/>
        </w:rPr>
        <w:t xml:space="preserve"> </w:t>
      </w:r>
      <w:r>
        <w:t>is directed towards cisgender women without di</w:t>
      </w:r>
      <w:r>
        <w:t>stinction to intersex status,</w:t>
      </w:r>
      <w:hyperlink w:anchor="_bookmark527" w:history="1">
        <w:r>
          <w:rPr>
            <w:vertAlign w:val="superscript"/>
          </w:rPr>
          <w:t>2</w:t>
        </w:r>
      </w:hyperlink>
      <w:r>
        <w:t xml:space="preserve"> the Commission is seriously concerned about the implications of such practices for women of color, transgender men, and intersex individuals,</w:t>
      </w:r>
      <w:r>
        <w:rPr>
          <w:spacing w:val="40"/>
        </w:rPr>
        <w:t xml:space="preserve"> </w:t>
      </w:r>
      <w:r>
        <w:t>particularly</w:t>
      </w:r>
      <w:r>
        <w:rPr>
          <w:spacing w:val="40"/>
        </w:rPr>
        <w:t xml:space="preserve"> </w:t>
      </w:r>
      <w:r>
        <w:t>given</w:t>
      </w:r>
      <w:r>
        <w:rPr>
          <w:spacing w:val="40"/>
        </w:rPr>
        <w:t xml:space="preserve"> </w:t>
      </w:r>
      <w:r>
        <w:t>the</w:t>
      </w:r>
      <w:r>
        <w:rPr>
          <w:spacing w:val="40"/>
        </w:rPr>
        <w:t xml:space="preserve"> </w:t>
      </w:r>
      <w:r>
        <w:t>medical</w:t>
      </w:r>
      <w:r>
        <w:rPr>
          <w:spacing w:val="40"/>
        </w:rPr>
        <w:t xml:space="preserve"> </w:t>
      </w:r>
      <w:r>
        <w:t>profession’s</w:t>
      </w:r>
      <w:r>
        <w:rPr>
          <w:spacing w:val="40"/>
        </w:rPr>
        <w:t xml:space="preserve"> </w:t>
      </w:r>
      <w:r>
        <w:t>history</w:t>
      </w:r>
      <w:r>
        <w:rPr>
          <w:spacing w:val="40"/>
        </w:rPr>
        <w:t xml:space="preserve"> </w:t>
      </w:r>
      <w:r>
        <w:t>of</w:t>
      </w:r>
      <w:r>
        <w:rPr>
          <w:spacing w:val="40"/>
        </w:rPr>
        <w:t xml:space="preserve"> </w:t>
      </w:r>
      <w:r>
        <w:t>medical</w:t>
      </w:r>
      <w:r>
        <w:rPr>
          <w:spacing w:val="40"/>
        </w:rPr>
        <w:t xml:space="preserve"> </w:t>
      </w:r>
      <w:r>
        <w:t>racism,</w:t>
      </w:r>
      <w:r>
        <w:rPr>
          <w:spacing w:val="40"/>
        </w:rPr>
        <w:t xml:space="preserve"> </w:t>
      </w:r>
      <w:r>
        <w:t>transphobia,</w:t>
      </w:r>
      <w:r>
        <w:rPr>
          <w:spacing w:val="40"/>
        </w:rPr>
        <w:t xml:space="preserve"> </w:t>
      </w:r>
      <w:r>
        <w:t>and</w:t>
      </w:r>
    </w:p>
    <w:p w:rsidR="00200FDA" w:rsidRDefault="00200FDA">
      <w:pPr>
        <w:spacing w:line="276" w:lineRule="auto"/>
        <w:jc w:val="both"/>
        <w:sectPr w:rsidR="00200FDA">
          <w:pgSz w:w="12240" w:h="15840"/>
          <w:pgMar w:top="1360" w:right="1240" w:bottom="1480" w:left="1300" w:header="761" w:footer="1283" w:gutter="0"/>
          <w:cols w:space="720"/>
        </w:sectPr>
      </w:pPr>
    </w:p>
    <w:p w:rsidR="00200FDA" w:rsidRDefault="00F76C4C">
      <w:pPr>
        <w:pStyle w:val="BodyText"/>
        <w:spacing w:before="64" w:line="276" w:lineRule="auto"/>
        <w:ind w:left="139" w:right="193"/>
        <w:jc w:val="both"/>
      </w:pPr>
      <w:r>
        <w:lastRenderedPageBreak/>
        <w:t>disregard for ethical care for intersex patients,</w:t>
      </w:r>
      <w:hyperlink w:anchor="_bookmark528" w:history="1">
        <w:r>
          <w:rPr>
            <w:vertAlign w:val="superscript"/>
          </w:rPr>
          <w:t>3</w:t>
        </w:r>
      </w:hyperlink>
      <w:r>
        <w:t xml:space="preserve"> as discussed below. The Commission advises that Massachusetts pass a gender-neutral ban on these invasive practices, and set up accountability systems and</w:t>
      </w:r>
      <w:r>
        <w:rPr>
          <w:spacing w:val="-5"/>
        </w:rPr>
        <w:t xml:space="preserve"> </w:t>
      </w:r>
      <w:r>
        <w:t>educational</w:t>
      </w:r>
      <w:r>
        <w:rPr>
          <w:spacing w:val="-7"/>
        </w:rPr>
        <w:t xml:space="preserve"> </w:t>
      </w:r>
      <w:r>
        <w:t>campaigns</w:t>
      </w:r>
      <w:r>
        <w:rPr>
          <w:spacing w:val="-4"/>
        </w:rPr>
        <w:t xml:space="preserve"> </w:t>
      </w:r>
      <w:r>
        <w:t>to</w:t>
      </w:r>
      <w:r>
        <w:rPr>
          <w:spacing w:val="-6"/>
        </w:rPr>
        <w:t xml:space="preserve"> </w:t>
      </w:r>
      <w:r>
        <w:t>ensure</w:t>
      </w:r>
      <w:r>
        <w:rPr>
          <w:spacing w:val="-6"/>
        </w:rPr>
        <w:t xml:space="preserve"> </w:t>
      </w:r>
      <w:r>
        <w:t>that</w:t>
      </w:r>
      <w:r>
        <w:rPr>
          <w:spacing w:val="-6"/>
        </w:rPr>
        <w:t xml:space="preserve"> </w:t>
      </w:r>
      <w:r>
        <w:t>patients</w:t>
      </w:r>
      <w:r>
        <w:rPr>
          <w:spacing w:val="-7"/>
        </w:rPr>
        <w:t xml:space="preserve"> </w:t>
      </w:r>
      <w:r>
        <w:t>who</w:t>
      </w:r>
      <w:r>
        <w:rPr>
          <w:spacing w:val="-3"/>
        </w:rPr>
        <w:t xml:space="preserve"> </w:t>
      </w:r>
      <w:r>
        <w:t>suspect</w:t>
      </w:r>
      <w:r>
        <w:rPr>
          <w:spacing w:val="-6"/>
        </w:rPr>
        <w:t xml:space="preserve"> </w:t>
      </w:r>
      <w:r>
        <w:t>that</w:t>
      </w:r>
      <w:r>
        <w:rPr>
          <w:spacing w:val="-4"/>
        </w:rPr>
        <w:t xml:space="preserve"> </w:t>
      </w:r>
      <w:r>
        <w:t>such</w:t>
      </w:r>
      <w:r>
        <w:rPr>
          <w:spacing w:val="-8"/>
        </w:rPr>
        <w:t xml:space="preserve"> </w:t>
      </w:r>
      <w:r>
        <w:t>a</w:t>
      </w:r>
      <w:r>
        <w:rPr>
          <w:spacing w:val="-4"/>
        </w:rPr>
        <w:t xml:space="preserve"> </w:t>
      </w:r>
      <w:r>
        <w:t>practice</w:t>
      </w:r>
      <w:r>
        <w:rPr>
          <w:spacing w:val="-6"/>
        </w:rPr>
        <w:t xml:space="preserve"> </w:t>
      </w:r>
      <w:r>
        <w:t>might</w:t>
      </w:r>
      <w:r>
        <w:rPr>
          <w:spacing w:val="-4"/>
        </w:rPr>
        <w:t xml:space="preserve"> </w:t>
      </w:r>
      <w:r>
        <w:t>have</w:t>
      </w:r>
      <w:r>
        <w:rPr>
          <w:spacing w:val="-6"/>
        </w:rPr>
        <w:t xml:space="preserve"> </w:t>
      </w:r>
      <w:r>
        <w:t>occurred h</w:t>
      </w:r>
      <w:r>
        <w:t>ave a reporting method easily available to them.</w:t>
      </w:r>
    </w:p>
    <w:p w:rsidR="00200FDA" w:rsidRDefault="00200FDA">
      <w:pPr>
        <w:pStyle w:val="BodyText"/>
        <w:spacing w:before="2"/>
        <w:rPr>
          <w:sz w:val="25"/>
        </w:rPr>
      </w:pPr>
    </w:p>
    <w:p w:rsidR="00200FDA" w:rsidRDefault="00F76C4C">
      <w:pPr>
        <w:pStyle w:val="Heading9"/>
        <w:numPr>
          <w:ilvl w:val="0"/>
          <w:numId w:val="30"/>
        </w:numPr>
        <w:tabs>
          <w:tab w:val="left" w:pos="351"/>
        </w:tabs>
        <w:spacing w:line="276" w:lineRule="auto"/>
        <w:ind w:right="191" w:firstLine="0"/>
        <w:jc w:val="both"/>
      </w:pPr>
      <w:r>
        <w:t>Increase</w:t>
      </w:r>
      <w:r>
        <w:rPr>
          <w:spacing w:val="-13"/>
        </w:rPr>
        <w:t xml:space="preserve"> </w:t>
      </w:r>
      <w:r>
        <w:t>access</w:t>
      </w:r>
      <w:r>
        <w:rPr>
          <w:spacing w:val="-12"/>
        </w:rPr>
        <w:t xml:space="preserve"> </w:t>
      </w:r>
      <w:r>
        <w:t>to</w:t>
      </w:r>
      <w:r>
        <w:rPr>
          <w:spacing w:val="-13"/>
        </w:rPr>
        <w:t xml:space="preserve"> </w:t>
      </w:r>
      <w:r>
        <w:t>critical</w:t>
      </w:r>
      <w:r>
        <w:rPr>
          <w:spacing w:val="-12"/>
        </w:rPr>
        <w:t xml:space="preserve"> </w:t>
      </w:r>
      <w:r>
        <w:t>reproductive</w:t>
      </w:r>
      <w:r>
        <w:rPr>
          <w:spacing w:val="-13"/>
        </w:rPr>
        <w:t xml:space="preserve"> </w:t>
      </w:r>
      <w:r>
        <w:t>and</w:t>
      </w:r>
      <w:r>
        <w:rPr>
          <w:spacing w:val="-12"/>
        </w:rPr>
        <w:t xml:space="preserve"> </w:t>
      </w:r>
      <w:r>
        <w:t>sexual</w:t>
      </w:r>
      <w:r>
        <w:rPr>
          <w:spacing w:val="-13"/>
        </w:rPr>
        <w:t xml:space="preserve"> </w:t>
      </w:r>
      <w:r>
        <w:t>health</w:t>
      </w:r>
      <w:r>
        <w:rPr>
          <w:spacing w:val="-12"/>
        </w:rPr>
        <w:t xml:space="preserve"> </w:t>
      </w:r>
      <w:r>
        <w:t>items,</w:t>
      </w:r>
      <w:r>
        <w:rPr>
          <w:spacing w:val="-12"/>
        </w:rPr>
        <w:t xml:space="preserve"> </w:t>
      </w:r>
      <w:r>
        <w:t>such</w:t>
      </w:r>
      <w:r>
        <w:rPr>
          <w:spacing w:val="-13"/>
        </w:rPr>
        <w:t xml:space="preserve"> </w:t>
      </w:r>
      <w:r>
        <w:t>as</w:t>
      </w:r>
      <w:r>
        <w:rPr>
          <w:spacing w:val="-12"/>
        </w:rPr>
        <w:t xml:space="preserve"> </w:t>
      </w:r>
      <w:r>
        <w:t>contraceptives</w:t>
      </w:r>
      <w:r>
        <w:rPr>
          <w:spacing w:val="-13"/>
        </w:rPr>
        <w:t xml:space="preserve"> </w:t>
      </w:r>
      <w:r>
        <w:t>and</w:t>
      </w:r>
      <w:r>
        <w:rPr>
          <w:spacing w:val="-12"/>
        </w:rPr>
        <w:t xml:space="preserve"> </w:t>
      </w:r>
      <w:r>
        <w:t xml:space="preserve">menstrual </w:t>
      </w:r>
      <w:r>
        <w:rPr>
          <w:spacing w:val="-2"/>
        </w:rPr>
        <w:t>products.</w:t>
      </w:r>
    </w:p>
    <w:p w:rsidR="00200FDA" w:rsidRDefault="00F76C4C">
      <w:pPr>
        <w:pStyle w:val="BodyText"/>
        <w:spacing w:before="122" w:line="276" w:lineRule="auto"/>
        <w:ind w:left="139" w:right="193"/>
        <w:jc w:val="both"/>
      </w:pPr>
      <w:r>
        <w:t>Having</w:t>
      </w:r>
      <w:r>
        <w:rPr>
          <w:spacing w:val="-13"/>
        </w:rPr>
        <w:t xml:space="preserve"> </w:t>
      </w:r>
      <w:r>
        <w:t>access</w:t>
      </w:r>
      <w:r>
        <w:rPr>
          <w:spacing w:val="-12"/>
        </w:rPr>
        <w:t xml:space="preserve"> </w:t>
      </w:r>
      <w:r>
        <w:t>to</w:t>
      </w:r>
      <w:r>
        <w:rPr>
          <w:spacing w:val="-13"/>
        </w:rPr>
        <w:t xml:space="preserve"> </w:t>
      </w:r>
      <w:r>
        <w:t>contraceptives</w:t>
      </w:r>
      <w:r>
        <w:rPr>
          <w:spacing w:val="-12"/>
        </w:rPr>
        <w:t xml:space="preserve"> </w:t>
      </w:r>
      <w:r>
        <w:t>guarantees</w:t>
      </w:r>
      <w:r>
        <w:rPr>
          <w:spacing w:val="-13"/>
        </w:rPr>
        <w:t xml:space="preserve"> </w:t>
      </w:r>
      <w:r>
        <w:t>that</w:t>
      </w:r>
      <w:r>
        <w:rPr>
          <w:spacing w:val="-12"/>
        </w:rPr>
        <w:t xml:space="preserve"> </w:t>
      </w:r>
      <w:r>
        <w:t>the</w:t>
      </w:r>
      <w:r>
        <w:rPr>
          <w:spacing w:val="-13"/>
        </w:rPr>
        <w:t xml:space="preserve"> </w:t>
      </w:r>
      <w:r>
        <w:t>Commonwealth</w:t>
      </w:r>
      <w:r>
        <w:rPr>
          <w:spacing w:val="-12"/>
        </w:rPr>
        <w:t xml:space="preserve"> </w:t>
      </w:r>
      <w:r>
        <w:t>will</w:t>
      </w:r>
      <w:r>
        <w:rPr>
          <w:spacing w:val="-12"/>
        </w:rPr>
        <w:t xml:space="preserve"> </w:t>
      </w:r>
      <w:r>
        <w:t>see</w:t>
      </w:r>
      <w:r>
        <w:rPr>
          <w:spacing w:val="-13"/>
        </w:rPr>
        <w:t xml:space="preserve"> </w:t>
      </w:r>
      <w:r>
        <w:t>much</w:t>
      </w:r>
      <w:r>
        <w:rPr>
          <w:spacing w:val="-12"/>
        </w:rPr>
        <w:t xml:space="preserve"> </w:t>
      </w:r>
      <w:r>
        <w:t>lower</w:t>
      </w:r>
      <w:r>
        <w:rPr>
          <w:spacing w:val="-13"/>
        </w:rPr>
        <w:t xml:space="preserve"> </w:t>
      </w:r>
      <w:r>
        <w:t>rates</w:t>
      </w:r>
      <w:r>
        <w:rPr>
          <w:spacing w:val="-12"/>
        </w:rPr>
        <w:t xml:space="preserve"> </w:t>
      </w:r>
      <w:r>
        <w:t>of</w:t>
      </w:r>
      <w:r>
        <w:rPr>
          <w:spacing w:val="-13"/>
        </w:rPr>
        <w:t xml:space="preserve"> </w:t>
      </w:r>
      <w:r>
        <w:t>sexually- transmitted</w:t>
      </w:r>
      <w:r>
        <w:rPr>
          <w:spacing w:val="-3"/>
        </w:rPr>
        <w:t xml:space="preserve"> </w:t>
      </w:r>
      <w:r>
        <w:t>infections,</w:t>
      </w:r>
      <w:r>
        <w:rPr>
          <w:spacing w:val="-2"/>
        </w:rPr>
        <w:t xml:space="preserve"> </w:t>
      </w:r>
      <w:r>
        <w:t>diseases,</w:t>
      </w:r>
      <w:r>
        <w:rPr>
          <w:spacing w:val="-2"/>
        </w:rPr>
        <w:t xml:space="preserve"> </w:t>
      </w:r>
      <w:r>
        <w:t>and</w:t>
      </w:r>
      <w:r>
        <w:rPr>
          <w:spacing w:val="-3"/>
        </w:rPr>
        <w:t xml:space="preserve"> </w:t>
      </w:r>
      <w:r>
        <w:t>unwanted</w:t>
      </w:r>
      <w:r>
        <w:rPr>
          <w:spacing w:val="-3"/>
        </w:rPr>
        <w:t xml:space="preserve"> </w:t>
      </w:r>
      <w:r>
        <w:t>pregnancy</w:t>
      </w:r>
      <w:r>
        <w:rPr>
          <w:spacing w:val="-1"/>
        </w:rPr>
        <w:t xml:space="preserve"> </w:t>
      </w:r>
      <w:r>
        <w:t>rates.</w:t>
      </w:r>
      <w:r>
        <w:rPr>
          <w:spacing w:val="-2"/>
        </w:rPr>
        <w:t xml:space="preserve"> </w:t>
      </w:r>
      <w:r>
        <w:t>Despite</w:t>
      </w:r>
      <w:r>
        <w:rPr>
          <w:spacing w:val="-4"/>
        </w:rPr>
        <w:t xml:space="preserve"> </w:t>
      </w:r>
      <w:r>
        <w:t>misconceptions,</w:t>
      </w:r>
      <w:r>
        <w:rPr>
          <w:spacing w:val="-4"/>
        </w:rPr>
        <w:t xml:space="preserve"> </w:t>
      </w:r>
      <w:r>
        <w:t>LGBTQ</w:t>
      </w:r>
      <w:r>
        <w:rPr>
          <w:spacing w:val="-2"/>
        </w:rPr>
        <w:t xml:space="preserve"> </w:t>
      </w:r>
      <w:r>
        <w:t>youth</w:t>
      </w:r>
      <w:r>
        <w:rPr>
          <w:spacing w:val="-3"/>
        </w:rPr>
        <w:t xml:space="preserve"> </w:t>
      </w:r>
      <w:r>
        <w:t xml:space="preserve">- particularly bisexual girls - are more likely to have an unintended pregnancy, for reasons discussed in- depth below. Lack of education, cost, </w:t>
      </w:r>
      <w:r>
        <w:t xml:space="preserve">stigma, and discrimination provide significant barriers to contraceptive access for youth. The Commission supports </w:t>
      </w:r>
      <w:r>
        <w:rPr>
          <w:i/>
        </w:rPr>
        <w:t>An Act Relative to Hormonal Contraceptives</w:t>
      </w:r>
      <w:r>
        <w:t>, and advises that the legislature pass the version of the bill filed in the House (</w:t>
      </w:r>
      <w:hyperlink r:id="rId513">
        <w:r>
          <w:rPr>
            <w:b/>
            <w:u w:val="single"/>
          </w:rPr>
          <w:t>H.2133</w:t>
        </w:r>
      </w:hyperlink>
      <w:r>
        <w:t>) which would increase</w:t>
      </w:r>
      <w:r>
        <w:rPr>
          <w:spacing w:val="-1"/>
        </w:rPr>
        <w:t xml:space="preserve"> </w:t>
      </w:r>
      <w:r>
        <w:t>access</w:t>
      </w:r>
      <w:r>
        <w:rPr>
          <w:spacing w:val="-2"/>
        </w:rPr>
        <w:t xml:space="preserve"> </w:t>
      </w:r>
      <w:r>
        <w:t>to</w:t>
      </w:r>
      <w:r>
        <w:rPr>
          <w:spacing w:val="-1"/>
        </w:rPr>
        <w:t xml:space="preserve"> </w:t>
      </w:r>
      <w:r>
        <w:t>youth</w:t>
      </w:r>
      <w:r>
        <w:rPr>
          <w:spacing w:val="-3"/>
        </w:rPr>
        <w:t xml:space="preserve"> </w:t>
      </w:r>
      <w:r>
        <w:t>under</w:t>
      </w:r>
      <w:r>
        <w:rPr>
          <w:spacing w:val="-2"/>
        </w:rPr>
        <w:t xml:space="preserve"> </w:t>
      </w:r>
      <w:r>
        <w:t>18.</w:t>
      </w:r>
      <w:r>
        <w:rPr>
          <w:spacing w:val="-2"/>
        </w:rPr>
        <w:t xml:space="preserve"> </w:t>
      </w:r>
      <w:r>
        <w:t>Furthermore,</w:t>
      </w:r>
      <w:r>
        <w:rPr>
          <w:spacing w:val="-2"/>
        </w:rPr>
        <w:t xml:space="preserve"> </w:t>
      </w:r>
      <w:r>
        <w:t>the</w:t>
      </w:r>
      <w:r>
        <w:rPr>
          <w:spacing w:val="-3"/>
        </w:rPr>
        <w:t xml:space="preserve"> </w:t>
      </w:r>
      <w:r>
        <w:t>state</w:t>
      </w:r>
      <w:r>
        <w:rPr>
          <w:spacing w:val="-1"/>
        </w:rPr>
        <w:t xml:space="preserve"> </w:t>
      </w:r>
      <w:r>
        <w:t>should</w:t>
      </w:r>
      <w:r>
        <w:rPr>
          <w:spacing w:val="-3"/>
        </w:rPr>
        <w:t xml:space="preserve"> </w:t>
      </w:r>
      <w:r>
        <w:t>explore</w:t>
      </w:r>
      <w:r>
        <w:rPr>
          <w:spacing w:val="-1"/>
        </w:rPr>
        <w:t xml:space="preserve"> </w:t>
      </w:r>
      <w:r>
        <w:t>funding</w:t>
      </w:r>
      <w:r>
        <w:rPr>
          <w:spacing w:val="-3"/>
        </w:rPr>
        <w:t xml:space="preserve"> </w:t>
      </w:r>
      <w:r>
        <w:t>programs</w:t>
      </w:r>
      <w:r>
        <w:rPr>
          <w:spacing w:val="-2"/>
        </w:rPr>
        <w:t xml:space="preserve"> </w:t>
      </w:r>
      <w:r>
        <w:t>and</w:t>
      </w:r>
      <w:r>
        <w:rPr>
          <w:spacing w:val="-3"/>
        </w:rPr>
        <w:t xml:space="preserve"> </w:t>
      </w:r>
      <w:r>
        <w:t xml:space="preserve">services to provide free contraceptives to youth in public buildings and hospitals, as well as </w:t>
      </w:r>
      <w:r>
        <w:t xml:space="preserve">conduct awareness campaigns to educate the public on types of contraceptives and proper use. Recent decisions by some universities - including Boston University - to establish contraceptive vending machines for students should be replicated, expanded, and </w:t>
      </w:r>
      <w:r>
        <w:t>funded by the state.</w:t>
      </w:r>
    </w:p>
    <w:p w:rsidR="00200FDA" w:rsidRDefault="00200FDA">
      <w:pPr>
        <w:pStyle w:val="BodyText"/>
        <w:spacing w:before="7"/>
        <w:rPr>
          <w:sz w:val="19"/>
        </w:rPr>
      </w:pPr>
    </w:p>
    <w:p w:rsidR="00200FDA" w:rsidRDefault="00F76C4C">
      <w:pPr>
        <w:pStyle w:val="BodyText"/>
        <w:spacing w:line="276" w:lineRule="auto"/>
        <w:ind w:left="140" w:right="194"/>
        <w:jc w:val="both"/>
      </w:pPr>
      <w:r>
        <w:t xml:space="preserve">Additionally, the Commission continues to recommend the implementation of </w:t>
      </w:r>
      <w:r>
        <w:rPr>
          <w:i/>
        </w:rPr>
        <w:t>An Act to Increase Access to</w:t>
      </w:r>
      <w:r>
        <w:rPr>
          <w:i/>
          <w:spacing w:val="-5"/>
        </w:rPr>
        <w:t xml:space="preserve"> </w:t>
      </w:r>
      <w:r>
        <w:rPr>
          <w:i/>
        </w:rPr>
        <w:t>Disposable</w:t>
      </w:r>
      <w:r>
        <w:rPr>
          <w:i/>
          <w:spacing w:val="-6"/>
        </w:rPr>
        <w:t xml:space="preserve"> </w:t>
      </w:r>
      <w:r>
        <w:rPr>
          <w:i/>
        </w:rPr>
        <w:t>Menstrual</w:t>
      </w:r>
      <w:r>
        <w:rPr>
          <w:i/>
          <w:spacing w:val="-5"/>
        </w:rPr>
        <w:t xml:space="preserve"> </w:t>
      </w:r>
      <w:r>
        <w:rPr>
          <w:i/>
        </w:rPr>
        <w:t>Products</w:t>
      </w:r>
      <w:r>
        <w:rPr>
          <w:i/>
          <w:spacing w:val="-4"/>
        </w:rPr>
        <w:t xml:space="preserve"> </w:t>
      </w:r>
      <w:r>
        <w:t>(</w:t>
      </w:r>
      <w:hyperlink r:id="rId514">
        <w:r>
          <w:rPr>
            <w:b/>
            <w:u w:val="single"/>
          </w:rPr>
          <w:t>S.1381</w:t>
        </w:r>
      </w:hyperlink>
      <w:r>
        <w:rPr>
          <w:b/>
        </w:rPr>
        <w:t>/</w:t>
      </w:r>
      <w:hyperlink r:id="rId515">
        <w:r>
          <w:rPr>
            <w:b/>
            <w:u w:val="single"/>
          </w:rPr>
          <w:t>H.534</w:t>
        </w:r>
      </w:hyperlink>
      <w:r>
        <w:t>),</w:t>
      </w:r>
      <w:r>
        <w:rPr>
          <w:spacing w:val="-4"/>
        </w:rPr>
        <w:t xml:space="preserve"> </w:t>
      </w:r>
      <w:r>
        <w:t>also</w:t>
      </w:r>
      <w:r>
        <w:rPr>
          <w:spacing w:val="-3"/>
        </w:rPr>
        <w:t xml:space="preserve"> </w:t>
      </w:r>
      <w:r>
        <w:t>known</w:t>
      </w:r>
      <w:r>
        <w:rPr>
          <w:spacing w:val="-5"/>
        </w:rPr>
        <w:t xml:space="preserve"> </w:t>
      </w:r>
      <w:r>
        <w:t>as</w:t>
      </w:r>
      <w:r>
        <w:rPr>
          <w:spacing w:val="-4"/>
        </w:rPr>
        <w:t xml:space="preserve"> </w:t>
      </w:r>
      <w:r>
        <w:t>the</w:t>
      </w:r>
      <w:r>
        <w:rPr>
          <w:spacing w:val="-4"/>
        </w:rPr>
        <w:t xml:space="preserve"> </w:t>
      </w:r>
      <w:r>
        <w:t>‘I</w:t>
      </w:r>
      <w:r>
        <w:rPr>
          <w:spacing w:val="-5"/>
        </w:rPr>
        <w:t xml:space="preserve"> </w:t>
      </w:r>
      <w:r>
        <w:t>AM’</w:t>
      </w:r>
      <w:r>
        <w:rPr>
          <w:spacing w:val="-4"/>
        </w:rPr>
        <w:t xml:space="preserve"> </w:t>
      </w:r>
      <w:r>
        <w:t>bill,</w:t>
      </w:r>
      <w:r>
        <w:rPr>
          <w:spacing w:val="-4"/>
        </w:rPr>
        <w:t xml:space="preserve"> </w:t>
      </w:r>
      <w:r>
        <w:t>which</w:t>
      </w:r>
      <w:r>
        <w:rPr>
          <w:spacing w:val="-5"/>
        </w:rPr>
        <w:t xml:space="preserve"> </w:t>
      </w:r>
      <w:r>
        <w:t>would</w:t>
      </w:r>
      <w:r>
        <w:rPr>
          <w:spacing w:val="-5"/>
        </w:rPr>
        <w:t xml:space="preserve"> </w:t>
      </w:r>
      <w:r>
        <w:t>require</w:t>
      </w:r>
      <w:r>
        <w:rPr>
          <w:spacing w:val="-6"/>
        </w:rPr>
        <w:t xml:space="preserve"> </w:t>
      </w:r>
      <w:r>
        <w:t>that disposable menstrual products be provided to all youth in schools, prisons, and homeless shelters. The Commission</w:t>
      </w:r>
      <w:r>
        <w:rPr>
          <w:spacing w:val="-1"/>
        </w:rPr>
        <w:t xml:space="preserve"> </w:t>
      </w:r>
      <w:r>
        <w:t>further</w:t>
      </w:r>
      <w:r>
        <w:rPr>
          <w:spacing w:val="-1"/>
        </w:rPr>
        <w:t xml:space="preserve"> </w:t>
      </w:r>
      <w:r>
        <w:t>advises th</w:t>
      </w:r>
      <w:r>
        <w:t>at the state</w:t>
      </w:r>
      <w:r>
        <w:rPr>
          <w:spacing w:val="-2"/>
        </w:rPr>
        <w:t xml:space="preserve"> </w:t>
      </w:r>
      <w:r>
        <w:t>explore increasing</w:t>
      </w:r>
      <w:r>
        <w:rPr>
          <w:spacing w:val="-1"/>
        </w:rPr>
        <w:t xml:space="preserve"> </w:t>
      </w:r>
      <w:r>
        <w:t>funding</w:t>
      </w:r>
      <w:r>
        <w:rPr>
          <w:spacing w:val="-1"/>
        </w:rPr>
        <w:t xml:space="preserve"> </w:t>
      </w:r>
      <w:r>
        <w:t>to libraries</w:t>
      </w:r>
      <w:r>
        <w:rPr>
          <w:spacing w:val="-3"/>
        </w:rPr>
        <w:t xml:space="preserve"> </w:t>
      </w:r>
      <w:r>
        <w:t>and</w:t>
      </w:r>
      <w:r>
        <w:rPr>
          <w:spacing w:val="-1"/>
        </w:rPr>
        <w:t xml:space="preserve"> </w:t>
      </w:r>
      <w:r>
        <w:t>community centers to provide similar access.</w:t>
      </w:r>
    </w:p>
    <w:p w:rsidR="00200FDA" w:rsidRDefault="00200FDA">
      <w:pPr>
        <w:pStyle w:val="BodyText"/>
        <w:spacing w:before="3"/>
        <w:rPr>
          <w:sz w:val="25"/>
        </w:rPr>
      </w:pPr>
    </w:p>
    <w:p w:rsidR="00200FDA" w:rsidRDefault="00F76C4C">
      <w:pPr>
        <w:pStyle w:val="Heading9"/>
        <w:numPr>
          <w:ilvl w:val="0"/>
          <w:numId w:val="30"/>
        </w:numPr>
        <w:tabs>
          <w:tab w:val="left" w:pos="357"/>
        </w:tabs>
        <w:spacing w:line="276" w:lineRule="auto"/>
        <w:ind w:left="140" w:right="193" w:firstLine="0"/>
        <w:jc w:val="both"/>
      </w:pPr>
      <w:r>
        <w:t>Continue</w:t>
      </w:r>
      <w:r>
        <w:rPr>
          <w:spacing w:val="-10"/>
        </w:rPr>
        <w:t xml:space="preserve"> </w:t>
      </w:r>
      <w:r>
        <w:t>to</w:t>
      </w:r>
      <w:r>
        <w:rPr>
          <w:spacing w:val="-10"/>
        </w:rPr>
        <w:t xml:space="preserve"> </w:t>
      </w:r>
      <w:r>
        <w:t>explore</w:t>
      </w:r>
      <w:r>
        <w:rPr>
          <w:spacing w:val="-10"/>
        </w:rPr>
        <w:t xml:space="preserve"> </w:t>
      </w:r>
      <w:r>
        <w:t>paths</w:t>
      </w:r>
      <w:r>
        <w:rPr>
          <w:spacing w:val="-8"/>
        </w:rPr>
        <w:t xml:space="preserve"> </w:t>
      </w:r>
      <w:r>
        <w:t>to</w:t>
      </w:r>
      <w:r>
        <w:rPr>
          <w:spacing w:val="-10"/>
        </w:rPr>
        <w:t xml:space="preserve"> </w:t>
      </w:r>
      <w:r>
        <w:t>increase</w:t>
      </w:r>
      <w:r>
        <w:rPr>
          <w:spacing w:val="-10"/>
        </w:rPr>
        <w:t xml:space="preserve"> </w:t>
      </w:r>
      <w:r>
        <w:t>access</w:t>
      </w:r>
      <w:r>
        <w:rPr>
          <w:spacing w:val="-8"/>
        </w:rPr>
        <w:t xml:space="preserve"> </w:t>
      </w:r>
      <w:r>
        <w:t>to</w:t>
      </w:r>
      <w:r>
        <w:rPr>
          <w:spacing w:val="-10"/>
        </w:rPr>
        <w:t xml:space="preserve"> </w:t>
      </w:r>
      <w:r>
        <w:t>abortion</w:t>
      </w:r>
      <w:r>
        <w:rPr>
          <w:spacing w:val="-10"/>
        </w:rPr>
        <w:t xml:space="preserve"> </w:t>
      </w:r>
      <w:r>
        <w:t>services,</w:t>
      </w:r>
      <w:r>
        <w:rPr>
          <w:spacing w:val="-8"/>
        </w:rPr>
        <w:t xml:space="preserve"> </w:t>
      </w:r>
      <w:r>
        <w:t>and</w:t>
      </w:r>
      <w:r>
        <w:rPr>
          <w:spacing w:val="-10"/>
        </w:rPr>
        <w:t xml:space="preserve"> </w:t>
      </w:r>
      <w:r>
        <w:t>address</w:t>
      </w:r>
      <w:r>
        <w:rPr>
          <w:spacing w:val="-8"/>
        </w:rPr>
        <w:t xml:space="preserve"> </w:t>
      </w:r>
      <w:r>
        <w:t>barriers</w:t>
      </w:r>
      <w:r>
        <w:rPr>
          <w:spacing w:val="-8"/>
        </w:rPr>
        <w:t xml:space="preserve"> </w:t>
      </w:r>
      <w:r>
        <w:t>resulting</w:t>
      </w:r>
      <w:r>
        <w:rPr>
          <w:spacing w:val="-8"/>
        </w:rPr>
        <w:t xml:space="preserve"> </w:t>
      </w:r>
      <w:r>
        <w:t>from the proliferation of anti-abortion centers in the state.</w:t>
      </w:r>
    </w:p>
    <w:p w:rsidR="00200FDA" w:rsidRDefault="00F76C4C">
      <w:pPr>
        <w:pStyle w:val="BodyText"/>
        <w:spacing w:before="122" w:line="276" w:lineRule="auto"/>
        <w:ind w:left="139" w:right="195"/>
        <w:jc w:val="both"/>
      </w:pPr>
      <w:r>
        <w:t>With</w:t>
      </w:r>
      <w:r>
        <w:rPr>
          <w:spacing w:val="-13"/>
        </w:rPr>
        <w:t xml:space="preserve"> </w:t>
      </w:r>
      <w:r>
        <w:t>the</w:t>
      </w:r>
      <w:r>
        <w:rPr>
          <w:spacing w:val="-12"/>
        </w:rPr>
        <w:t xml:space="preserve"> </w:t>
      </w:r>
      <w:r>
        <w:t>fall</w:t>
      </w:r>
      <w:r>
        <w:rPr>
          <w:spacing w:val="-13"/>
        </w:rPr>
        <w:t xml:space="preserve"> </w:t>
      </w:r>
      <w:r>
        <w:t>of</w:t>
      </w:r>
      <w:r>
        <w:rPr>
          <w:spacing w:val="-12"/>
        </w:rPr>
        <w:t xml:space="preserve"> </w:t>
      </w:r>
      <w:r>
        <w:t>the</w:t>
      </w:r>
      <w:r>
        <w:rPr>
          <w:spacing w:val="-13"/>
        </w:rPr>
        <w:t xml:space="preserve"> </w:t>
      </w:r>
      <w:r>
        <w:t>Supreme</w:t>
      </w:r>
      <w:r>
        <w:rPr>
          <w:spacing w:val="-12"/>
        </w:rPr>
        <w:t xml:space="preserve"> </w:t>
      </w:r>
      <w:r>
        <w:t>Court</w:t>
      </w:r>
      <w:r>
        <w:rPr>
          <w:spacing w:val="-13"/>
        </w:rPr>
        <w:t xml:space="preserve"> </w:t>
      </w:r>
      <w:r>
        <w:t>decision</w:t>
      </w:r>
      <w:r>
        <w:rPr>
          <w:spacing w:val="-12"/>
        </w:rPr>
        <w:t xml:space="preserve"> </w:t>
      </w:r>
      <w:r>
        <w:rPr>
          <w:i/>
        </w:rPr>
        <w:t>Roe</w:t>
      </w:r>
      <w:r>
        <w:rPr>
          <w:i/>
          <w:spacing w:val="-12"/>
        </w:rPr>
        <w:t xml:space="preserve"> </w:t>
      </w:r>
      <w:r>
        <w:rPr>
          <w:i/>
        </w:rPr>
        <w:t>v.</w:t>
      </w:r>
      <w:r>
        <w:rPr>
          <w:i/>
          <w:spacing w:val="-13"/>
        </w:rPr>
        <w:t xml:space="preserve"> </w:t>
      </w:r>
      <w:r>
        <w:rPr>
          <w:i/>
        </w:rPr>
        <w:t>Wade</w:t>
      </w:r>
      <w:r>
        <w:rPr>
          <w:i/>
          <w:spacing w:val="-12"/>
        </w:rPr>
        <w:t xml:space="preserve"> </w:t>
      </w:r>
      <w:r>
        <w:t>in</w:t>
      </w:r>
      <w:r>
        <w:rPr>
          <w:spacing w:val="-13"/>
        </w:rPr>
        <w:t xml:space="preserve"> </w:t>
      </w:r>
      <w:r>
        <w:t>the</w:t>
      </w:r>
      <w:r>
        <w:rPr>
          <w:spacing w:val="-12"/>
        </w:rPr>
        <w:t xml:space="preserve"> </w:t>
      </w:r>
      <w:r>
        <w:t>summer</w:t>
      </w:r>
      <w:r>
        <w:rPr>
          <w:spacing w:val="-13"/>
        </w:rPr>
        <w:t xml:space="preserve"> </w:t>
      </w:r>
      <w:r>
        <w:t>of</w:t>
      </w:r>
      <w:r>
        <w:rPr>
          <w:spacing w:val="-12"/>
        </w:rPr>
        <w:t xml:space="preserve"> </w:t>
      </w:r>
      <w:r>
        <w:t>2022</w:t>
      </w:r>
      <w:r>
        <w:rPr>
          <w:spacing w:val="-12"/>
        </w:rPr>
        <w:t xml:space="preserve"> </w:t>
      </w:r>
      <w:r>
        <w:t>and</w:t>
      </w:r>
      <w:r>
        <w:rPr>
          <w:spacing w:val="-13"/>
        </w:rPr>
        <w:t xml:space="preserve"> </w:t>
      </w:r>
      <w:r>
        <w:t>continued</w:t>
      </w:r>
      <w:r>
        <w:rPr>
          <w:spacing w:val="-12"/>
        </w:rPr>
        <w:t xml:space="preserve"> </w:t>
      </w:r>
      <w:r>
        <w:t>subsequent attacks against abortion access across the nation, Massachusetts has done well to rapidly implement stronger protections to ensure that residents - and non-residents traveling into the state - continue to receive appropriate medical care and con</w:t>
      </w:r>
      <w:r>
        <w:t>trol over their own bodies. The Commission appreciates the recent April 2023 actions from Governor Healey to protect access to mifepristone, and encourages the state</w:t>
      </w:r>
      <w:r>
        <w:rPr>
          <w:spacing w:val="-13"/>
        </w:rPr>
        <w:t xml:space="preserve"> </w:t>
      </w:r>
      <w:r>
        <w:t>to</w:t>
      </w:r>
      <w:r>
        <w:rPr>
          <w:spacing w:val="-12"/>
        </w:rPr>
        <w:t xml:space="preserve"> </w:t>
      </w:r>
      <w:r>
        <w:t>continue</w:t>
      </w:r>
      <w:r>
        <w:rPr>
          <w:spacing w:val="-13"/>
        </w:rPr>
        <w:t xml:space="preserve"> </w:t>
      </w:r>
      <w:r>
        <w:t>to</w:t>
      </w:r>
      <w:r>
        <w:rPr>
          <w:spacing w:val="-12"/>
        </w:rPr>
        <w:t xml:space="preserve"> </w:t>
      </w:r>
      <w:r>
        <w:t>explore</w:t>
      </w:r>
      <w:r>
        <w:rPr>
          <w:spacing w:val="-13"/>
        </w:rPr>
        <w:t xml:space="preserve"> </w:t>
      </w:r>
      <w:r>
        <w:t>further</w:t>
      </w:r>
      <w:r>
        <w:rPr>
          <w:spacing w:val="-12"/>
        </w:rPr>
        <w:t xml:space="preserve"> </w:t>
      </w:r>
      <w:r>
        <w:t>actions</w:t>
      </w:r>
      <w:r>
        <w:rPr>
          <w:spacing w:val="-13"/>
        </w:rPr>
        <w:t xml:space="preserve"> </w:t>
      </w:r>
      <w:r>
        <w:t>that</w:t>
      </w:r>
      <w:r>
        <w:rPr>
          <w:spacing w:val="-12"/>
        </w:rPr>
        <w:t xml:space="preserve"> </w:t>
      </w:r>
      <w:r>
        <w:t>ensure</w:t>
      </w:r>
      <w:r>
        <w:rPr>
          <w:spacing w:val="-12"/>
        </w:rPr>
        <w:t xml:space="preserve"> </w:t>
      </w:r>
      <w:r>
        <w:t>that</w:t>
      </w:r>
      <w:r>
        <w:rPr>
          <w:spacing w:val="-13"/>
        </w:rPr>
        <w:t xml:space="preserve"> </w:t>
      </w:r>
      <w:r>
        <w:t>underserved</w:t>
      </w:r>
      <w:r>
        <w:rPr>
          <w:spacing w:val="-12"/>
        </w:rPr>
        <w:t xml:space="preserve"> </w:t>
      </w:r>
      <w:r>
        <w:t>communities</w:t>
      </w:r>
      <w:r>
        <w:rPr>
          <w:spacing w:val="-13"/>
        </w:rPr>
        <w:t xml:space="preserve"> </w:t>
      </w:r>
      <w:r>
        <w:t>-</w:t>
      </w:r>
      <w:r>
        <w:rPr>
          <w:spacing w:val="-12"/>
        </w:rPr>
        <w:t xml:space="preserve"> </w:t>
      </w:r>
      <w:r>
        <w:t>particul</w:t>
      </w:r>
      <w:r>
        <w:t>arly</w:t>
      </w:r>
      <w:r>
        <w:rPr>
          <w:spacing w:val="-13"/>
        </w:rPr>
        <w:t xml:space="preserve"> </w:t>
      </w:r>
      <w:r>
        <w:t>youth of color - do not lose access to this critical medication.</w:t>
      </w:r>
    </w:p>
    <w:p w:rsidR="00200FDA" w:rsidRDefault="00200FDA">
      <w:pPr>
        <w:pStyle w:val="BodyText"/>
      </w:pPr>
    </w:p>
    <w:p w:rsidR="00200FDA" w:rsidRDefault="00F76C4C">
      <w:pPr>
        <w:pStyle w:val="Heading7"/>
        <w:spacing w:before="135"/>
        <w:ind w:left="140"/>
        <w:jc w:val="both"/>
      </w:pPr>
      <w:bookmarkStart w:id="679" w:name="Research:_What_is_Sexual_Health?"/>
      <w:bookmarkEnd w:id="679"/>
      <w:r>
        <w:rPr>
          <w:color w:val="0A5293"/>
        </w:rPr>
        <w:t>Research:</w:t>
      </w:r>
      <w:r>
        <w:rPr>
          <w:color w:val="0A5293"/>
          <w:spacing w:val="-6"/>
        </w:rPr>
        <w:t xml:space="preserve"> </w:t>
      </w:r>
      <w:r>
        <w:rPr>
          <w:color w:val="0A5293"/>
        </w:rPr>
        <w:t>What</w:t>
      </w:r>
      <w:r>
        <w:rPr>
          <w:color w:val="0A5293"/>
          <w:spacing w:val="-5"/>
        </w:rPr>
        <w:t xml:space="preserve"> </w:t>
      </w:r>
      <w:r>
        <w:rPr>
          <w:color w:val="0A5293"/>
        </w:rPr>
        <w:t>is</w:t>
      </w:r>
      <w:r>
        <w:rPr>
          <w:color w:val="0A5293"/>
          <w:spacing w:val="-4"/>
        </w:rPr>
        <w:t xml:space="preserve"> </w:t>
      </w:r>
      <w:r>
        <w:rPr>
          <w:color w:val="0A5293"/>
        </w:rPr>
        <w:t>Sexual</w:t>
      </w:r>
      <w:r>
        <w:rPr>
          <w:color w:val="0A5293"/>
          <w:spacing w:val="-4"/>
        </w:rPr>
        <w:t xml:space="preserve"> </w:t>
      </w:r>
      <w:r>
        <w:rPr>
          <w:color w:val="0A5293"/>
          <w:spacing w:val="-2"/>
        </w:rPr>
        <w:t>Health?</w:t>
      </w:r>
    </w:p>
    <w:p w:rsidR="00200FDA" w:rsidRDefault="00F76C4C">
      <w:pPr>
        <w:pStyle w:val="BodyText"/>
        <w:spacing w:before="6"/>
        <w:rPr>
          <w:sz w:val="3"/>
        </w:rPr>
      </w:pPr>
      <w:r>
        <w:pict>
          <v:rect id="docshape348" o:spid="_x0000_s1240" style="position:absolute;margin-left:70.55pt;margin-top:3.35pt;width:470.9pt;height:.5pt;z-index:-15671808;mso-wrap-distance-left:0;mso-wrap-distance-right:0;mso-position-horizontal-relative:page" fillcolor="#0f6ec5" stroked="f">
            <w10:wrap type="topAndBottom" anchorx="page"/>
          </v:rect>
        </w:pict>
      </w:r>
    </w:p>
    <w:p w:rsidR="00200FDA" w:rsidRDefault="00200FDA">
      <w:pPr>
        <w:pStyle w:val="BodyText"/>
        <w:spacing w:before="11"/>
        <w:rPr>
          <w:sz w:val="8"/>
        </w:rPr>
      </w:pPr>
    </w:p>
    <w:p w:rsidR="00200FDA" w:rsidRDefault="00F76C4C">
      <w:pPr>
        <w:pStyle w:val="Heading8"/>
        <w:spacing w:before="51"/>
        <w:jc w:val="left"/>
      </w:pPr>
      <w:bookmarkStart w:id="680" w:name="Inclusive_Sexual_Health_Education"/>
      <w:bookmarkEnd w:id="680"/>
      <w:r>
        <w:rPr>
          <w:color w:val="0A5293"/>
        </w:rPr>
        <w:t>Inclusive</w:t>
      </w:r>
      <w:r>
        <w:rPr>
          <w:color w:val="0A5293"/>
          <w:spacing w:val="-1"/>
        </w:rPr>
        <w:t xml:space="preserve"> </w:t>
      </w:r>
      <w:r>
        <w:rPr>
          <w:color w:val="0A5293"/>
        </w:rPr>
        <w:t>Sexual</w:t>
      </w:r>
      <w:r>
        <w:rPr>
          <w:color w:val="0A5293"/>
          <w:spacing w:val="-4"/>
        </w:rPr>
        <w:t xml:space="preserve"> </w:t>
      </w:r>
      <w:r>
        <w:rPr>
          <w:color w:val="0A5293"/>
        </w:rPr>
        <w:t>Health</w:t>
      </w:r>
      <w:r>
        <w:rPr>
          <w:color w:val="0A5293"/>
          <w:spacing w:val="1"/>
        </w:rPr>
        <w:t xml:space="preserve"> </w:t>
      </w:r>
      <w:r>
        <w:rPr>
          <w:color w:val="0A5293"/>
          <w:spacing w:val="-2"/>
        </w:rPr>
        <w:t>Education</w:t>
      </w:r>
    </w:p>
    <w:p w:rsidR="00200FDA" w:rsidRDefault="00200FDA">
      <w:pPr>
        <w:pStyle w:val="BodyText"/>
        <w:spacing w:before="11"/>
        <w:rPr>
          <w:sz w:val="28"/>
        </w:rPr>
      </w:pPr>
    </w:p>
    <w:p w:rsidR="00200FDA" w:rsidRDefault="00F76C4C">
      <w:pPr>
        <w:pStyle w:val="BodyText"/>
        <w:ind w:left="140"/>
      </w:pPr>
      <w:r>
        <w:t>Sexual</w:t>
      </w:r>
      <w:r>
        <w:rPr>
          <w:spacing w:val="13"/>
        </w:rPr>
        <w:t xml:space="preserve"> </w:t>
      </w:r>
      <w:r>
        <w:t>health</w:t>
      </w:r>
      <w:r>
        <w:rPr>
          <w:spacing w:val="12"/>
        </w:rPr>
        <w:t xml:space="preserve"> </w:t>
      </w:r>
      <w:r>
        <w:t>is</w:t>
      </w:r>
      <w:r>
        <w:rPr>
          <w:spacing w:val="16"/>
        </w:rPr>
        <w:t xml:space="preserve"> </w:t>
      </w:r>
      <w:r>
        <w:t>a</w:t>
      </w:r>
      <w:r>
        <w:rPr>
          <w:spacing w:val="13"/>
        </w:rPr>
        <w:t xml:space="preserve"> </w:t>
      </w:r>
      <w:r>
        <w:t>fundamental</w:t>
      </w:r>
      <w:r>
        <w:rPr>
          <w:spacing w:val="15"/>
        </w:rPr>
        <w:t xml:space="preserve"> </w:t>
      </w:r>
      <w:r>
        <w:t>right</w:t>
      </w:r>
      <w:r>
        <w:rPr>
          <w:spacing w:val="14"/>
        </w:rPr>
        <w:t xml:space="preserve"> </w:t>
      </w:r>
      <w:r>
        <w:t>that</w:t>
      </w:r>
      <w:r>
        <w:rPr>
          <w:spacing w:val="16"/>
        </w:rPr>
        <w:t xml:space="preserve"> </w:t>
      </w:r>
      <w:r>
        <w:t>includes</w:t>
      </w:r>
      <w:r>
        <w:rPr>
          <w:spacing w:val="15"/>
        </w:rPr>
        <w:t xml:space="preserve"> </w:t>
      </w:r>
      <w:r>
        <w:t>the</w:t>
      </w:r>
      <w:r>
        <w:rPr>
          <w:spacing w:val="16"/>
        </w:rPr>
        <w:t xml:space="preserve"> </w:t>
      </w:r>
      <w:r>
        <w:t>right</w:t>
      </w:r>
      <w:r>
        <w:rPr>
          <w:spacing w:val="17"/>
        </w:rPr>
        <w:t xml:space="preserve"> </w:t>
      </w:r>
      <w:r>
        <w:t>to</w:t>
      </w:r>
      <w:r>
        <w:rPr>
          <w:spacing w:val="14"/>
        </w:rPr>
        <w:t xml:space="preserve"> </w:t>
      </w:r>
      <w:r>
        <w:t>sexual</w:t>
      </w:r>
      <w:r>
        <w:rPr>
          <w:spacing w:val="13"/>
        </w:rPr>
        <w:t xml:space="preserve"> </w:t>
      </w:r>
      <w:r>
        <w:t>identity,</w:t>
      </w:r>
      <w:r>
        <w:rPr>
          <w:spacing w:val="14"/>
        </w:rPr>
        <w:t xml:space="preserve"> </w:t>
      </w:r>
      <w:r>
        <w:t>expression,</w:t>
      </w:r>
      <w:r>
        <w:rPr>
          <w:spacing w:val="15"/>
        </w:rPr>
        <w:t xml:space="preserve"> </w:t>
      </w:r>
      <w:r>
        <w:t>and</w:t>
      </w:r>
      <w:r>
        <w:rPr>
          <w:spacing w:val="13"/>
        </w:rPr>
        <w:t xml:space="preserve"> </w:t>
      </w:r>
      <w:r>
        <w:rPr>
          <w:spacing w:val="-2"/>
        </w:rPr>
        <w:t>activity.</w:t>
      </w:r>
    </w:p>
    <w:p w:rsidR="00200FDA" w:rsidRDefault="00200FDA">
      <w:pPr>
        <w:sectPr w:rsidR="00200FDA">
          <w:pgSz w:w="12240" w:h="15840"/>
          <w:pgMar w:top="1360" w:right="1240" w:bottom="1480" w:left="1300" w:header="761" w:footer="1283" w:gutter="0"/>
          <w:cols w:space="720"/>
        </w:sectPr>
      </w:pPr>
    </w:p>
    <w:p w:rsidR="00200FDA" w:rsidRDefault="00F76C4C">
      <w:pPr>
        <w:pStyle w:val="BodyText"/>
        <w:spacing w:before="64" w:line="276" w:lineRule="auto"/>
        <w:ind w:left="139" w:right="193"/>
        <w:jc w:val="both"/>
      </w:pPr>
      <w:r>
        <w:lastRenderedPageBreak/>
        <w:t>Comprehensive sexual health education has received widespread support for the benefits it provides to youth,</w:t>
      </w:r>
      <w:r>
        <w:rPr>
          <w:spacing w:val="-3"/>
        </w:rPr>
        <w:t xml:space="preserve"> </w:t>
      </w:r>
      <w:r>
        <w:t>including</w:t>
      </w:r>
      <w:r>
        <w:rPr>
          <w:spacing w:val="-2"/>
        </w:rPr>
        <w:t xml:space="preserve"> </w:t>
      </w:r>
      <w:r>
        <w:t>from</w:t>
      </w:r>
      <w:r>
        <w:rPr>
          <w:spacing w:val="-2"/>
        </w:rPr>
        <w:t xml:space="preserve"> </w:t>
      </w:r>
      <w:r>
        <w:t>the</w:t>
      </w:r>
      <w:r>
        <w:rPr>
          <w:spacing w:val="-3"/>
        </w:rPr>
        <w:t xml:space="preserve"> </w:t>
      </w:r>
      <w:r>
        <w:t>American</w:t>
      </w:r>
      <w:r>
        <w:rPr>
          <w:spacing w:val="-4"/>
        </w:rPr>
        <w:t xml:space="preserve"> </w:t>
      </w:r>
      <w:r>
        <w:t>Academy</w:t>
      </w:r>
      <w:r>
        <w:rPr>
          <w:spacing w:val="-2"/>
        </w:rPr>
        <w:t xml:space="preserve"> </w:t>
      </w:r>
      <w:r>
        <w:t>of</w:t>
      </w:r>
      <w:r>
        <w:rPr>
          <w:spacing w:val="-4"/>
        </w:rPr>
        <w:t xml:space="preserve"> </w:t>
      </w:r>
      <w:r>
        <w:t>Pediatrics.</w:t>
      </w:r>
      <w:hyperlink w:anchor="_bookmark529" w:history="1">
        <w:r>
          <w:rPr>
            <w:vertAlign w:val="superscript"/>
          </w:rPr>
          <w:t>4</w:t>
        </w:r>
      </w:hyperlink>
      <w:r>
        <w:rPr>
          <w:spacing w:val="-2"/>
        </w:rPr>
        <w:t xml:space="preserve"> </w:t>
      </w:r>
      <w:r>
        <w:t>According</w:t>
      </w:r>
      <w:r>
        <w:rPr>
          <w:spacing w:val="-2"/>
        </w:rPr>
        <w:t xml:space="preserve"> </w:t>
      </w:r>
      <w:r>
        <w:t>to the World</w:t>
      </w:r>
      <w:r>
        <w:rPr>
          <w:spacing w:val="-2"/>
        </w:rPr>
        <w:t xml:space="preserve"> </w:t>
      </w:r>
      <w:r>
        <w:t>Health</w:t>
      </w:r>
      <w:r>
        <w:rPr>
          <w:spacing w:val="-4"/>
        </w:rPr>
        <w:t xml:space="preserve"> </w:t>
      </w:r>
      <w:r>
        <w:t>Organization, the definition of sexual health is expansive:</w:t>
      </w:r>
    </w:p>
    <w:p w:rsidR="00200FDA" w:rsidRDefault="00200FDA">
      <w:pPr>
        <w:pStyle w:val="BodyText"/>
        <w:rPr>
          <w:sz w:val="23"/>
        </w:rPr>
      </w:pPr>
    </w:p>
    <w:p w:rsidR="00200FDA" w:rsidRDefault="00F76C4C">
      <w:pPr>
        <w:pStyle w:val="BodyText"/>
        <w:spacing w:line="264" w:lineRule="auto"/>
        <w:ind w:left="437" w:right="497" w:hanging="1"/>
        <w:jc w:val="center"/>
      </w:pPr>
      <w:r>
        <w:rPr>
          <w:color w:val="0F6EC5"/>
        </w:rPr>
        <w:t>“[Sexual health] is a state of physical, emotional, mental and social well-being in relation to sexuality;</w:t>
      </w:r>
      <w:r>
        <w:rPr>
          <w:color w:val="0F6EC5"/>
          <w:spacing w:val="-1"/>
        </w:rPr>
        <w:t xml:space="preserve"> </w:t>
      </w:r>
      <w:r>
        <w:rPr>
          <w:color w:val="0F6EC5"/>
        </w:rPr>
        <w:t>it</w:t>
      </w:r>
      <w:r>
        <w:rPr>
          <w:color w:val="0F6EC5"/>
          <w:spacing w:val="-4"/>
        </w:rPr>
        <w:t xml:space="preserve"> </w:t>
      </w:r>
      <w:r>
        <w:rPr>
          <w:color w:val="0F6EC5"/>
        </w:rPr>
        <w:t>is</w:t>
      </w:r>
      <w:r>
        <w:rPr>
          <w:color w:val="0F6EC5"/>
          <w:spacing w:val="-2"/>
        </w:rPr>
        <w:t xml:space="preserve"> </w:t>
      </w:r>
      <w:r>
        <w:rPr>
          <w:color w:val="0F6EC5"/>
        </w:rPr>
        <w:t>not</w:t>
      </w:r>
      <w:r>
        <w:rPr>
          <w:color w:val="0F6EC5"/>
          <w:spacing w:val="-4"/>
        </w:rPr>
        <w:t xml:space="preserve"> </w:t>
      </w:r>
      <w:r>
        <w:rPr>
          <w:color w:val="0F6EC5"/>
        </w:rPr>
        <w:t>merely</w:t>
      </w:r>
      <w:r>
        <w:rPr>
          <w:color w:val="0F6EC5"/>
          <w:spacing w:val="-4"/>
        </w:rPr>
        <w:t xml:space="preserve"> </w:t>
      </w:r>
      <w:r>
        <w:rPr>
          <w:color w:val="0F6EC5"/>
        </w:rPr>
        <w:t>the</w:t>
      </w:r>
      <w:r>
        <w:rPr>
          <w:color w:val="0F6EC5"/>
          <w:spacing w:val="-1"/>
        </w:rPr>
        <w:t xml:space="preserve"> </w:t>
      </w:r>
      <w:r>
        <w:rPr>
          <w:color w:val="0F6EC5"/>
        </w:rPr>
        <w:t>absence</w:t>
      </w:r>
      <w:r>
        <w:rPr>
          <w:color w:val="0F6EC5"/>
          <w:spacing w:val="-4"/>
        </w:rPr>
        <w:t xml:space="preserve"> </w:t>
      </w:r>
      <w:r>
        <w:rPr>
          <w:color w:val="0F6EC5"/>
        </w:rPr>
        <w:t>of</w:t>
      </w:r>
      <w:r>
        <w:rPr>
          <w:color w:val="0F6EC5"/>
          <w:spacing w:val="-4"/>
        </w:rPr>
        <w:t xml:space="preserve"> </w:t>
      </w:r>
      <w:r>
        <w:rPr>
          <w:color w:val="0F6EC5"/>
        </w:rPr>
        <w:t>disease,</w:t>
      </w:r>
      <w:r>
        <w:rPr>
          <w:color w:val="0F6EC5"/>
          <w:spacing w:val="-2"/>
        </w:rPr>
        <w:t xml:space="preserve"> </w:t>
      </w:r>
      <w:r>
        <w:rPr>
          <w:color w:val="0F6EC5"/>
        </w:rPr>
        <w:t>dysfunction</w:t>
      </w:r>
      <w:r>
        <w:rPr>
          <w:color w:val="0F6EC5"/>
          <w:spacing w:val="-5"/>
        </w:rPr>
        <w:t xml:space="preserve"> </w:t>
      </w:r>
      <w:r>
        <w:rPr>
          <w:color w:val="0F6EC5"/>
        </w:rPr>
        <w:t>or</w:t>
      </w:r>
      <w:r>
        <w:rPr>
          <w:color w:val="0F6EC5"/>
          <w:spacing w:val="-2"/>
        </w:rPr>
        <w:t xml:space="preserve"> </w:t>
      </w:r>
      <w:r>
        <w:rPr>
          <w:color w:val="0F6EC5"/>
        </w:rPr>
        <w:t>infirmity.</w:t>
      </w:r>
      <w:r>
        <w:rPr>
          <w:color w:val="0F6EC5"/>
          <w:spacing w:val="-2"/>
        </w:rPr>
        <w:t xml:space="preserve"> </w:t>
      </w:r>
      <w:r>
        <w:rPr>
          <w:color w:val="0F6EC5"/>
        </w:rPr>
        <w:t>Sexual</w:t>
      </w:r>
      <w:r>
        <w:rPr>
          <w:color w:val="0F6EC5"/>
          <w:spacing w:val="-4"/>
        </w:rPr>
        <w:t xml:space="preserve"> </w:t>
      </w:r>
      <w:r>
        <w:rPr>
          <w:color w:val="0F6EC5"/>
        </w:rPr>
        <w:t>health</w:t>
      </w:r>
      <w:r>
        <w:rPr>
          <w:color w:val="0F6EC5"/>
          <w:spacing w:val="-3"/>
        </w:rPr>
        <w:t xml:space="preserve"> </w:t>
      </w:r>
      <w:r>
        <w:rPr>
          <w:color w:val="0F6EC5"/>
        </w:rPr>
        <w:t>require</w:t>
      </w:r>
      <w:r>
        <w:rPr>
          <w:color w:val="0F6EC5"/>
        </w:rPr>
        <w:t>s</w:t>
      </w:r>
      <w:r>
        <w:rPr>
          <w:color w:val="0F6EC5"/>
          <w:spacing w:val="-2"/>
        </w:rPr>
        <w:t xml:space="preserve"> </w:t>
      </w:r>
      <w:r>
        <w:rPr>
          <w:color w:val="0F6EC5"/>
        </w:rPr>
        <w:t>a positive and respectful approach to sexuality and sexual relationships, as well as the possibility of having pleasurable and safe sexual experiences, free of coercion, discrimination and violence. For sexual health to be attained and maintained, the se</w:t>
      </w:r>
      <w:r>
        <w:rPr>
          <w:color w:val="0F6EC5"/>
        </w:rPr>
        <w:t>xual rights of all persons must be respected, protected and fulfilled.”</w:t>
      </w:r>
      <w:hyperlink w:anchor="_bookmark530" w:history="1">
        <w:r>
          <w:rPr>
            <w:color w:val="0F6EC5"/>
            <w:vertAlign w:val="superscript"/>
          </w:rPr>
          <w:t>5</w:t>
        </w:r>
      </w:hyperlink>
    </w:p>
    <w:p w:rsidR="00200FDA" w:rsidRDefault="00200FDA">
      <w:pPr>
        <w:pStyle w:val="BodyText"/>
        <w:spacing w:before="6"/>
        <w:rPr>
          <w:sz w:val="19"/>
        </w:rPr>
      </w:pPr>
    </w:p>
    <w:p w:rsidR="00200FDA" w:rsidRDefault="00F76C4C">
      <w:pPr>
        <w:pStyle w:val="BodyText"/>
        <w:spacing w:before="1" w:line="276" w:lineRule="auto"/>
        <w:ind w:left="139" w:right="194"/>
        <w:jc w:val="both"/>
      </w:pPr>
      <w:r>
        <w:t>Unequivocally, frank discussions of sexual activity and health are largely considered to be taboo in U.S. society,</w:t>
      </w:r>
      <w:r>
        <w:rPr>
          <w:spacing w:val="-7"/>
        </w:rPr>
        <w:t xml:space="preserve"> </w:t>
      </w:r>
      <w:r>
        <w:t>especially</w:t>
      </w:r>
      <w:r>
        <w:rPr>
          <w:spacing w:val="-6"/>
        </w:rPr>
        <w:t xml:space="preserve"> </w:t>
      </w:r>
      <w:r>
        <w:t>in</w:t>
      </w:r>
      <w:r>
        <w:rPr>
          <w:spacing w:val="-7"/>
        </w:rPr>
        <w:t xml:space="preserve"> </w:t>
      </w:r>
      <w:r>
        <w:t>regards</w:t>
      </w:r>
      <w:r>
        <w:rPr>
          <w:spacing w:val="-7"/>
        </w:rPr>
        <w:t xml:space="preserve"> </w:t>
      </w:r>
      <w:r>
        <w:t>to</w:t>
      </w:r>
      <w:r>
        <w:rPr>
          <w:spacing w:val="-5"/>
        </w:rPr>
        <w:t xml:space="preserve"> </w:t>
      </w:r>
      <w:r>
        <w:t>LGBTQ</w:t>
      </w:r>
      <w:r>
        <w:rPr>
          <w:spacing w:val="-6"/>
        </w:rPr>
        <w:t xml:space="preserve"> </w:t>
      </w:r>
      <w:r>
        <w:t>youth;</w:t>
      </w:r>
      <w:r>
        <w:rPr>
          <w:spacing w:val="-8"/>
        </w:rPr>
        <w:t xml:space="preserve"> </w:t>
      </w:r>
      <w:r>
        <w:t>7</w:t>
      </w:r>
      <w:r>
        <w:rPr>
          <w:spacing w:val="-6"/>
        </w:rPr>
        <w:t xml:space="preserve"> </w:t>
      </w:r>
      <w:r>
        <w:t>states</w:t>
      </w:r>
      <w:r>
        <w:rPr>
          <w:spacing w:val="-6"/>
        </w:rPr>
        <w:t xml:space="preserve"> </w:t>
      </w:r>
      <w:r>
        <w:t>in</w:t>
      </w:r>
      <w:r>
        <w:rPr>
          <w:spacing w:val="-7"/>
        </w:rPr>
        <w:t xml:space="preserve"> </w:t>
      </w:r>
      <w:r>
        <w:t>the</w:t>
      </w:r>
      <w:r>
        <w:rPr>
          <w:spacing w:val="-6"/>
        </w:rPr>
        <w:t xml:space="preserve"> </w:t>
      </w:r>
      <w:r>
        <w:t>U.S.</w:t>
      </w:r>
      <w:r>
        <w:rPr>
          <w:spacing w:val="-7"/>
        </w:rPr>
        <w:t xml:space="preserve"> </w:t>
      </w:r>
      <w:r>
        <w:t>prohibit</w:t>
      </w:r>
      <w:r>
        <w:rPr>
          <w:spacing w:val="-6"/>
        </w:rPr>
        <w:t xml:space="preserve"> </w:t>
      </w:r>
      <w:r>
        <w:t>the</w:t>
      </w:r>
      <w:r>
        <w:rPr>
          <w:spacing w:val="-6"/>
        </w:rPr>
        <w:t xml:space="preserve"> </w:t>
      </w:r>
      <w:r>
        <w:t>mention</w:t>
      </w:r>
      <w:r>
        <w:rPr>
          <w:spacing w:val="-7"/>
        </w:rPr>
        <w:t xml:space="preserve"> </w:t>
      </w:r>
      <w:r>
        <w:t>of</w:t>
      </w:r>
      <w:r>
        <w:rPr>
          <w:spacing w:val="-7"/>
        </w:rPr>
        <w:t xml:space="preserve"> </w:t>
      </w:r>
      <w:r>
        <w:t>LGBTQ</w:t>
      </w:r>
      <w:r>
        <w:rPr>
          <w:spacing w:val="-6"/>
        </w:rPr>
        <w:t xml:space="preserve"> </w:t>
      </w:r>
      <w:r>
        <w:t>sexuality and identities in a positive light in schools through legislation coined as “‘no promo homo’ laws.”</w:t>
      </w:r>
      <w:hyperlink w:anchor="_bookmark531" w:history="1">
        <w:r>
          <w:rPr>
            <w:vertAlign w:val="superscript"/>
          </w:rPr>
          <w:t>6</w:t>
        </w:r>
      </w:hyperlink>
      <w:r>
        <w:t xml:space="preserve"> As discussed in multiple sections of this annual report, hundreds of anti-LGBTQ bills have swept across the nation</w:t>
      </w:r>
      <w:r>
        <w:rPr>
          <w:spacing w:val="-7"/>
        </w:rPr>
        <w:t xml:space="preserve"> </w:t>
      </w:r>
      <w:r>
        <w:t>to</w:t>
      </w:r>
      <w:r>
        <w:rPr>
          <w:spacing w:val="-5"/>
        </w:rPr>
        <w:t xml:space="preserve"> </w:t>
      </w:r>
      <w:r>
        <w:t>continue</w:t>
      </w:r>
      <w:r>
        <w:rPr>
          <w:spacing w:val="-8"/>
        </w:rPr>
        <w:t xml:space="preserve"> </w:t>
      </w:r>
      <w:r>
        <w:t>to</w:t>
      </w:r>
      <w:r>
        <w:rPr>
          <w:spacing w:val="-5"/>
        </w:rPr>
        <w:t xml:space="preserve"> </w:t>
      </w:r>
      <w:r>
        <w:t>force</w:t>
      </w:r>
      <w:r>
        <w:rPr>
          <w:spacing w:val="-6"/>
        </w:rPr>
        <w:t xml:space="preserve"> </w:t>
      </w:r>
      <w:r>
        <w:t>LGBTQ</w:t>
      </w:r>
      <w:r>
        <w:rPr>
          <w:spacing w:val="-9"/>
        </w:rPr>
        <w:t xml:space="preserve"> </w:t>
      </w:r>
      <w:r>
        <w:t>youth</w:t>
      </w:r>
      <w:r>
        <w:rPr>
          <w:spacing w:val="-7"/>
        </w:rPr>
        <w:t xml:space="preserve"> </w:t>
      </w:r>
      <w:r>
        <w:t>identities</w:t>
      </w:r>
      <w:r>
        <w:rPr>
          <w:spacing w:val="-7"/>
        </w:rPr>
        <w:t xml:space="preserve"> </w:t>
      </w:r>
      <w:r>
        <w:t>into</w:t>
      </w:r>
      <w:r>
        <w:rPr>
          <w:spacing w:val="-8"/>
        </w:rPr>
        <w:t xml:space="preserve"> </w:t>
      </w:r>
      <w:r>
        <w:t>the</w:t>
      </w:r>
      <w:r>
        <w:rPr>
          <w:spacing w:val="-6"/>
        </w:rPr>
        <w:t xml:space="preserve"> </w:t>
      </w:r>
      <w:r>
        <w:t>shadows,</w:t>
      </w:r>
      <w:r>
        <w:rPr>
          <w:spacing w:val="-7"/>
        </w:rPr>
        <w:t xml:space="preserve"> </w:t>
      </w:r>
      <w:r>
        <w:t>increasing</w:t>
      </w:r>
      <w:r>
        <w:rPr>
          <w:spacing w:val="-7"/>
        </w:rPr>
        <w:t xml:space="preserve"> </w:t>
      </w:r>
      <w:r>
        <w:t>fear,</w:t>
      </w:r>
      <w:r>
        <w:rPr>
          <w:spacing w:val="-7"/>
        </w:rPr>
        <w:t xml:space="preserve"> </w:t>
      </w:r>
      <w:r>
        <w:t>anxiety,</w:t>
      </w:r>
      <w:r>
        <w:rPr>
          <w:spacing w:val="-7"/>
        </w:rPr>
        <w:t xml:space="preserve"> </w:t>
      </w:r>
      <w:r>
        <w:t>and</w:t>
      </w:r>
      <w:r>
        <w:rPr>
          <w:spacing w:val="-7"/>
        </w:rPr>
        <w:t xml:space="preserve"> </w:t>
      </w:r>
      <w:r>
        <w:t>stigma.</w:t>
      </w:r>
    </w:p>
    <w:p w:rsidR="00200FDA" w:rsidRDefault="00F76C4C">
      <w:pPr>
        <w:pStyle w:val="BodyText"/>
        <w:spacing w:before="1" w:line="276" w:lineRule="auto"/>
        <w:ind w:left="6199" w:right="194"/>
        <w:jc w:val="both"/>
      </w:pPr>
      <w:r>
        <w:rPr>
          <w:noProof/>
        </w:rPr>
        <w:drawing>
          <wp:anchor distT="0" distB="0" distL="0" distR="0" simplePos="0" relativeHeight="15785984" behindDoc="0" locked="0" layoutInCell="1" allowOverlap="1">
            <wp:simplePos x="0" y="0"/>
            <wp:positionH relativeFrom="page">
              <wp:posOffset>933450</wp:posOffset>
            </wp:positionH>
            <wp:positionV relativeFrom="paragraph">
              <wp:posOffset>257045</wp:posOffset>
            </wp:positionV>
            <wp:extent cx="3707180" cy="2787645"/>
            <wp:effectExtent l="0" t="0" r="0" b="0"/>
            <wp:wrapNone/>
            <wp:docPr id="89"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8.jpeg"/>
                    <pic:cNvPicPr/>
                  </pic:nvPicPr>
                  <pic:blipFill>
                    <a:blip r:embed="rId516" cstate="print"/>
                    <a:stretch>
                      <a:fillRect/>
                    </a:stretch>
                  </pic:blipFill>
                  <pic:spPr>
                    <a:xfrm>
                      <a:off x="0" y="0"/>
                      <a:ext cx="3707180" cy="2787645"/>
                    </a:xfrm>
                    <a:prstGeom prst="rect">
                      <a:avLst/>
                    </a:prstGeom>
                  </pic:spPr>
                </pic:pic>
              </a:graphicData>
            </a:graphic>
          </wp:anchor>
        </w:drawing>
      </w:r>
      <w:r>
        <w:t>Regardless of the significant individua</w:t>
      </w:r>
      <w:r>
        <w:t>l and societal benefits of sexual</w:t>
      </w:r>
      <w:r>
        <w:rPr>
          <w:spacing w:val="-8"/>
        </w:rPr>
        <w:t xml:space="preserve"> </w:t>
      </w:r>
      <w:r>
        <w:t>health</w:t>
      </w:r>
      <w:r>
        <w:rPr>
          <w:spacing w:val="-9"/>
        </w:rPr>
        <w:t xml:space="preserve"> </w:t>
      </w:r>
      <w:r>
        <w:t>education,</w:t>
      </w:r>
      <w:r>
        <w:rPr>
          <w:spacing w:val="-8"/>
        </w:rPr>
        <w:t xml:space="preserve"> </w:t>
      </w:r>
      <w:r>
        <w:t>the</w:t>
      </w:r>
      <w:r>
        <w:rPr>
          <w:spacing w:val="-7"/>
        </w:rPr>
        <w:t xml:space="preserve"> </w:t>
      </w:r>
      <w:r>
        <w:t>concept has continued to remain a controversial issue for decades. Massachusetts - despite its already weak</w:t>
      </w:r>
      <w:r>
        <w:rPr>
          <w:spacing w:val="-3"/>
        </w:rPr>
        <w:t xml:space="preserve"> </w:t>
      </w:r>
      <w:r>
        <w:t>requirements</w:t>
      </w:r>
      <w:r>
        <w:rPr>
          <w:spacing w:val="-3"/>
        </w:rPr>
        <w:t xml:space="preserve"> </w:t>
      </w:r>
      <w:r>
        <w:t>for</w:t>
      </w:r>
      <w:r>
        <w:rPr>
          <w:spacing w:val="-3"/>
        </w:rPr>
        <w:t xml:space="preserve"> </w:t>
      </w:r>
      <w:r>
        <w:t>sexual</w:t>
      </w:r>
      <w:r>
        <w:rPr>
          <w:spacing w:val="-3"/>
        </w:rPr>
        <w:t xml:space="preserve"> </w:t>
      </w:r>
      <w:r>
        <w:t>health education - is no exception to challenges</w:t>
      </w:r>
      <w:r>
        <w:rPr>
          <w:spacing w:val="-13"/>
        </w:rPr>
        <w:t xml:space="preserve"> </w:t>
      </w:r>
      <w:r>
        <w:t>to</w:t>
      </w:r>
      <w:r>
        <w:rPr>
          <w:spacing w:val="-12"/>
        </w:rPr>
        <w:t xml:space="preserve"> </w:t>
      </w:r>
      <w:r>
        <w:t>its</w:t>
      </w:r>
      <w:r>
        <w:rPr>
          <w:spacing w:val="-13"/>
        </w:rPr>
        <w:t xml:space="preserve"> </w:t>
      </w:r>
      <w:r>
        <w:t>curriculum,</w:t>
      </w:r>
      <w:r>
        <w:rPr>
          <w:spacing w:val="-12"/>
        </w:rPr>
        <w:t xml:space="preserve"> </w:t>
      </w:r>
      <w:r>
        <w:t>with</w:t>
      </w:r>
      <w:r>
        <w:rPr>
          <w:spacing w:val="-13"/>
        </w:rPr>
        <w:t xml:space="preserve"> </w:t>
      </w:r>
      <w:r>
        <w:t>two bills being filed in the 2023-24 session to require parents to opt-in to sexual health education. Opt-in provisions have consistently been proven</w:t>
      </w:r>
      <w:r>
        <w:rPr>
          <w:spacing w:val="-9"/>
        </w:rPr>
        <w:t xml:space="preserve"> </w:t>
      </w:r>
      <w:r>
        <w:t>to</w:t>
      </w:r>
      <w:r>
        <w:rPr>
          <w:spacing w:val="-7"/>
        </w:rPr>
        <w:t xml:space="preserve"> </w:t>
      </w:r>
      <w:r>
        <w:t>provide</w:t>
      </w:r>
      <w:r>
        <w:rPr>
          <w:spacing w:val="-10"/>
        </w:rPr>
        <w:t xml:space="preserve"> </w:t>
      </w:r>
      <w:r>
        <w:t>worse</w:t>
      </w:r>
      <w:r>
        <w:rPr>
          <w:spacing w:val="-10"/>
        </w:rPr>
        <w:t xml:space="preserve"> </w:t>
      </w:r>
      <w:r>
        <w:t>educational and</w:t>
      </w:r>
      <w:r>
        <w:rPr>
          <w:spacing w:val="-13"/>
        </w:rPr>
        <w:t xml:space="preserve"> </w:t>
      </w:r>
      <w:r>
        <w:t>societal</w:t>
      </w:r>
      <w:r>
        <w:rPr>
          <w:spacing w:val="-12"/>
        </w:rPr>
        <w:t xml:space="preserve"> </w:t>
      </w:r>
      <w:r>
        <w:t>outcomes</w:t>
      </w:r>
      <w:r>
        <w:rPr>
          <w:spacing w:val="-12"/>
        </w:rPr>
        <w:t xml:space="preserve"> </w:t>
      </w:r>
      <w:r>
        <w:t>for</w:t>
      </w:r>
      <w:r>
        <w:rPr>
          <w:spacing w:val="-13"/>
        </w:rPr>
        <w:t xml:space="preserve"> </w:t>
      </w:r>
      <w:r>
        <w:t>youth,</w:t>
      </w:r>
      <w:r>
        <w:rPr>
          <w:spacing w:val="-11"/>
        </w:rPr>
        <w:t xml:space="preserve"> </w:t>
      </w:r>
      <w:r>
        <w:t>and provide undue burdens for youth, te</w:t>
      </w:r>
      <w:r>
        <w:t>achers,</w:t>
      </w:r>
      <w:r>
        <w:rPr>
          <w:spacing w:val="59"/>
        </w:rPr>
        <w:t xml:space="preserve">   </w:t>
      </w:r>
      <w:r>
        <w:t>and</w:t>
      </w:r>
      <w:r>
        <w:rPr>
          <w:spacing w:val="58"/>
        </w:rPr>
        <w:t xml:space="preserve">   </w:t>
      </w:r>
      <w:r>
        <w:t>parents.</w:t>
      </w:r>
      <w:hyperlink w:anchor="_bookmark532" w:history="1">
        <w:r>
          <w:rPr>
            <w:vertAlign w:val="superscript"/>
          </w:rPr>
          <w:t>7</w:t>
        </w:r>
      </w:hyperlink>
      <w:r>
        <w:rPr>
          <w:spacing w:val="59"/>
        </w:rPr>
        <w:t xml:space="preserve">   </w:t>
      </w:r>
      <w:r>
        <w:rPr>
          <w:spacing w:val="-5"/>
        </w:rPr>
        <w:t>The</w:t>
      </w:r>
    </w:p>
    <w:p w:rsidR="00200FDA" w:rsidRDefault="00F76C4C">
      <w:pPr>
        <w:spacing w:line="276" w:lineRule="auto"/>
        <w:ind w:left="140" w:right="193"/>
        <w:jc w:val="both"/>
      </w:pPr>
      <w:r>
        <w:t xml:space="preserve">Commission unquestionably stands against </w:t>
      </w:r>
      <w:r>
        <w:rPr>
          <w:i/>
        </w:rPr>
        <w:t xml:space="preserve">An Act Relative to Parental Notification </w:t>
      </w:r>
      <w:r>
        <w:t>(H.509), to require Massachusetts parents to opt-in their children to sexual health education.</w:t>
      </w:r>
    </w:p>
    <w:p w:rsidR="00200FDA" w:rsidRDefault="00F76C4C">
      <w:pPr>
        <w:pStyle w:val="BodyText"/>
        <w:spacing w:before="120" w:line="276" w:lineRule="auto"/>
        <w:ind w:left="139" w:right="195"/>
        <w:jc w:val="both"/>
      </w:pPr>
      <w:r>
        <w:t>Sexual health e</w:t>
      </w:r>
      <w:r>
        <w:t>ducation</w:t>
      </w:r>
      <w:r>
        <w:rPr>
          <w:spacing w:val="-2"/>
        </w:rPr>
        <w:t xml:space="preserve"> </w:t>
      </w:r>
      <w:r>
        <w:t>must be mandated in</w:t>
      </w:r>
      <w:r>
        <w:rPr>
          <w:spacing w:val="-2"/>
        </w:rPr>
        <w:t xml:space="preserve"> </w:t>
      </w:r>
      <w:r>
        <w:t>all</w:t>
      </w:r>
      <w:r>
        <w:rPr>
          <w:spacing w:val="-1"/>
        </w:rPr>
        <w:t xml:space="preserve"> </w:t>
      </w:r>
      <w:r>
        <w:t>schools</w:t>
      </w:r>
      <w:r>
        <w:rPr>
          <w:spacing w:val="-1"/>
        </w:rPr>
        <w:t xml:space="preserve"> </w:t>
      </w:r>
      <w:r>
        <w:t>across</w:t>
      </w:r>
      <w:r>
        <w:rPr>
          <w:spacing w:val="-1"/>
        </w:rPr>
        <w:t xml:space="preserve"> </w:t>
      </w:r>
      <w:r>
        <w:t>the state,</w:t>
      </w:r>
      <w:r>
        <w:rPr>
          <w:spacing w:val="-1"/>
        </w:rPr>
        <w:t xml:space="preserve"> </w:t>
      </w:r>
      <w:r>
        <w:t>for a</w:t>
      </w:r>
      <w:r>
        <w:rPr>
          <w:spacing w:val="-3"/>
        </w:rPr>
        <w:t xml:space="preserve"> </w:t>
      </w:r>
      <w:r>
        <w:t>number</w:t>
      </w:r>
      <w:r>
        <w:rPr>
          <w:spacing w:val="-1"/>
        </w:rPr>
        <w:t xml:space="preserve"> </w:t>
      </w:r>
      <w:r>
        <w:t>of</w:t>
      </w:r>
      <w:r>
        <w:rPr>
          <w:spacing w:val="-1"/>
        </w:rPr>
        <w:t xml:space="preserve"> </w:t>
      </w:r>
      <w:r>
        <w:t>reasons. First, schools often do not receive enough support - financial and/or otherwise - from the state and local communities</w:t>
      </w:r>
      <w:r>
        <w:rPr>
          <w:spacing w:val="-13"/>
        </w:rPr>
        <w:t xml:space="preserve"> </w:t>
      </w:r>
      <w:r>
        <w:t>to</w:t>
      </w:r>
      <w:r>
        <w:rPr>
          <w:spacing w:val="-12"/>
        </w:rPr>
        <w:t xml:space="preserve"> </w:t>
      </w:r>
      <w:r>
        <w:t>offer</w:t>
      </w:r>
      <w:r>
        <w:rPr>
          <w:spacing w:val="-13"/>
        </w:rPr>
        <w:t xml:space="preserve"> </w:t>
      </w:r>
      <w:r>
        <w:t>or</w:t>
      </w:r>
      <w:r>
        <w:rPr>
          <w:spacing w:val="-12"/>
        </w:rPr>
        <w:t xml:space="preserve"> </w:t>
      </w:r>
      <w:r>
        <w:t>prioritize</w:t>
      </w:r>
      <w:r>
        <w:rPr>
          <w:spacing w:val="-13"/>
        </w:rPr>
        <w:t xml:space="preserve"> </w:t>
      </w:r>
      <w:r>
        <w:t>appropriate</w:t>
      </w:r>
      <w:r>
        <w:rPr>
          <w:spacing w:val="-12"/>
        </w:rPr>
        <w:t xml:space="preserve"> </w:t>
      </w:r>
      <w:r>
        <w:t>sexual</w:t>
      </w:r>
      <w:r>
        <w:rPr>
          <w:spacing w:val="-13"/>
        </w:rPr>
        <w:t xml:space="preserve"> </w:t>
      </w:r>
      <w:r>
        <w:t>health</w:t>
      </w:r>
      <w:r>
        <w:rPr>
          <w:spacing w:val="-12"/>
        </w:rPr>
        <w:t xml:space="preserve"> </w:t>
      </w:r>
      <w:r>
        <w:t>educ</w:t>
      </w:r>
      <w:r>
        <w:t>ation.</w:t>
      </w:r>
      <w:r>
        <w:rPr>
          <w:spacing w:val="-12"/>
        </w:rPr>
        <w:t xml:space="preserve"> </w:t>
      </w:r>
      <w:r>
        <w:t>The</w:t>
      </w:r>
      <w:r>
        <w:rPr>
          <w:spacing w:val="-13"/>
        </w:rPr>
        <w:t xml:space="preserve"> </w:t>
      </w:r>
      <w:r>
        <w:t>Commission</w:t>
      </w:r>
      <w:r>
        <w:rPr>
          <w:spacing w:val="-12"/>
        </w:rPr>
        <w:t xml:space="preserve"> </w:t>
      </w:r>
      <w:r>
        <w:t>understands</w:t>
      </w:r>
      <w:r>
        <w:rPr>
          <w:spacing w:val="-13"/>
        </w:rPr>
        <w:t xml:space="preserve"> </w:t>
      </w:r>
      <w:r>
        <w:t>from its own conversations with advocates and schools that constant challenges and attacks against school curriculum have left Massachusetts schools</w:t>
      </w:r>
      <w:r>
        <w:rPr>
          <w:spacing w:val="-2"/>
        </w:rPr>
        <w:t xml:space="preserve"> </w:t>
      </w:r>
      <w:r>
        <w:t>wary</w:t>
      </w:r>
      <w:r>
        <w:rPr>
          <w:spacing w:val="-1"/>
        </w:rPr>
        <w:t xml:space="preserve"> </w:t>
      </w:r>
      <w:r>
        <w:t>of improving - and even discussing - their sexual health</w:t>
      </w:r>
    </w:p>
    <w:p w:rsidR="00200FDA" w:rsidRDefault="00200FDA">
      <w:pPr>
        <w:spacing w:line="276" w:lineRule="auto"/>
        <w:jc w:val="both"/>
        <w:sectPr w:rsidR="00200FDA">
          <w:pgSz w:w="12240" w:h="15840"/>
          <w:pgMar w:top="1360" w:right="1240" w:bottom="1480" w:left="1300" w:header="761" w:footer="1283" w:gutter="0"/>
          <w:cols w:space="720"/>
        </w:sectPr>
      </w:pPr>
    </w:p>
    <w:p w:rsidR="00200FDA" w:rsidRDefault="00F76C4C">
      <w:pPr>
        <w:pStyle w:val="BodyText"/>
        <w:spacing w:before="64"/>
        <w:ind w:left="140"/>
      </w:pPr>
      <w:r>
        <w:lastRenderedPageBreak/>
        <w:t>curricula,</w:t>
      </w:r>
      <w:r>
        <w:rPr>
          <w:spacing w:val="47"/>
        </w:rPr>
        <w:t xml:space="preserve"> </w:t>
      </w:r>
      <w:r>
        <w:t>or</w:t>
      </w:r>
      <w:r>
        <w:rPr>
          <w:spacing w:val="46"/>
        </w:rPr>
        <w:t xml:space="preserve"> </w:t>
      </w:r>
      <w:r>
        <w:t>giving</w:t>
      </w:r>
      <w:r>
        <w:rPr>
          <w:spacing w:val="46"/>
        </w:rPr>
        <w:t xml:space="preserve"> </w:t>
      </w:r>
      <w:r>
        <w:t>youth</w:t>
      </w:r>
      <w:r>
        <w:rPr>
          <w:spacing w:val="47"/>
        </w:rPr>
        <w:t xml:space="preserve"> </w:t>
      </w:r>
      <w:r>
        <w:t>the</w:t>
      </w:r>
      <w:r>
        <w:rPr>
          <w:spacing w:val="49"/>
        </w:rPr>
        <w:t xml:space="preserve"> </w:t>
      </w:r>
      <w:r>
        <w:t>appropriate</w:t>
      </w:r>
      <w:r>
        <w:rPr>
          <w:spacing w:val="46"/>
        </w:rPr>
        <w:t xml:space="preserve"> </w:t>
      </w:r>
      <w:r>
        <w:t>space</w:t>
      </w:r>
      <w:r>
        <w:rPr>
          <w:spacing w:val="49"/>
        </w:rPr>
        <w:t xml:space="preserve"> </w:t>
      </w:r>
      <w:r>
        <w:t>to</w:t>
      </w:r>
      <w:r>
        <w:rPr>
          <w:spacing w:val="49"/>
        </w:rPr>
        <w:t xml:space="preserve"> </w:t>
      </w:r>
      <w:r>
        <w:t>process</w:t>
      </w:r>
      <w:r>
        <w:rPr>
          <w:spacing w:val="48"/>
        </w:rPr>
        <w:t xml:space="preserve"> </w:t>
      </w:r>
      <w:r>
        <w:t>and</w:t>
      </w:r>
      <w:r>
        <w:rPr>
          <w:spacing w:val="46"/>
        </w:rPr>
        <w:t xml:space="preserve"> </w:t>
      </w:r>
      <w:r>
        <w:t>understand</w:t>
      </w:r>
      <w:r>
        <w:rPr>
          <w:spacing w:val="48"/>
        </w:rPr>
        <w:t xml:space="preserve"> </w:t>
      </w:r>
      <w:r>
        <w:t>the</w:t>
      </w:r>
      <w:r>
        <w:rPr>
          <w:spacing w:val="49"/>
        </w:rPr>
        <w:t xml:space="preserve"> </w:t>
      </w:r>
      <w:r>
        <w:t>information</w:t>
      </w:r>
      <w:r>
        <w:rPr>
          <w:spacing w:val="46"/>
        </w:rPr>
        <w:t xml:space="preserve"> </w:t>
      </w:r>
      <w:r>
        <w:rPr>
          <w:spacing w:val="-2"/>
        </w:rPr>
        <w:t>being</w:t>
      </w:r>
    </w:p>
    <w:p w:rsidR="00200FDA" w:rsidRDefault="00F76C4C">
      <w:pPr>
        <w:pStyle w:val="BodyText"/>
        <w:spacing w:before="41"/>
        <w:ind w:left="6171"/>
      </w:pPr>
      <w:r>
        <w:rPr>
          <w:spacing w:val="-2"/>
        </w:rPr>
        <w:t>provided.</w:t>
      </w:r>
    </w:p>
    <w:p w:rsidR="00200FDA" w:rsidRDefault="00F76C4C">
      <w:pPr>
        <w:pStyle w:val="BodyText"/>
        <w:spacing w:before="159" w:line="276" w:lineRule="auto"/>
        <w:ind w:left="6171" w:right="192"/>
        <w:jc w:val="both"/>
      </w:pPr>
      <w:r>
        <w:rPr>
          <w:noProof/>
        </w:rPr>
        <w:drawing>
          <wp:anchor distT="0" distB="0" distL="0" distR="0" simplePos="0" relativeHeight="15786496" behindDoc="0" locked="0" layoutInCell="1" allowOverlap="1">
            <wp:simplePos x="0" y="0"/>
            <wp:positionH relativeFrom="page">
              <wp:posOffset>1600101</wp:posOffset>
            </wp:positionH>
            <wp:positionV relativeFrom="paragraph">
              <wp:posOffset>81104</wp:posOffset>
            </wp:positionV>
            <wp:extent cx="2372156" cy="1553412"/>
            <wp:effectExtent l="0" t="0" r="0" b="0"/>
            <wp:wrapNone/>
            <wp:docPr id="91"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99.jpeg"/>
                    <pic:cNvPicPr/>
                  </pic:nvPicPr>
                  <pic:blipFill>
                    <a:blip r:embed="rId517" cstate="print"/>
                    <a:stretch>
                      <a:fillRect/>
                    </a:stretch>
                  </pic:blipFill>
                  <pic:spPr>
                    <a:xfrm>
                      <a:off x="0" y="0"/>
                      <a:ext cx="2372156" cy="1553412"/>
                    </a:xfrm>
                    <a:prstGeom prst="rect">
                      <a:avLst/>
                    </a:prstGeom>
                  </pic:spPr>
                </pic:pic>
              </a:graphicData>
            </a:graphic>
          </wp:anchor>
        </w:drawing>
      </w:r>
      <w:r>
        <w:t xml:space="preserve">In the most recent 2020 School Health Profiles, Massachusetts educators provided the following </w:t>
      </w:r>
      <w:r>
        <w:rPr>
          <w:spacing w:val="-2"/>
        </w:rPr>
        <w:t>information:</w:t>
      </w:r>
    </w:p>
    <w:p w:rsidR="00200FDA" w:rsidRDefault="00200FDA">
      <w:pPr>
        <w:pStyle w:val="BodyText"/>
      </w:pPr>
    </w:p>
    <w:p w:rsidR="00200FDA" w:rsidRDefault="00200FDA">
      <w:pPr>
        <w:pStyle w:val="BodyText"/>
        <w:rPr>
          <w:sz w:val="23"/>
        </w:rPr>
      </w:pPr>
    </w:p>
    <w:p w:rsidR="00200FDA" w:rsidRDefault="00F76C4C">
      <w:pPr>
        <w:pStyle w:val="BodyText"/>
        <w:spacing w:line="276" w:lineRule="auto"/>
        <w:ind w:left="6171" w:right="194"/>
        <w:jc w:val="both"/>
      </w:pPr>
      <w:r>
        <w:t>Of schools that require</w:t>
      </w:r>
      <w:r>
        <w:t>d a health education course, most schools delivered</w:t>
      </w:r>
      <w:r>
        <w:rPr>
          <w:spacing w:val="72"/>
        </w:rPr>
        <w:t xml:space="preserve"> </w:t>
      </w:r>
      <w:r>
        <w:t>the</w:t>
      </w:r>
      <w:r>
        <w:rPr>
          <w:spacing w:val="72"/>
        </w:rPr>
        <w:t xml:space="preserve"> </w:t>
      </w:r>
      <w:r>
        <w:t>course</w:t>
      </w:r>
      <w:r>
        <w:rPr>
          <w:spacing w:val="74"/>
        </w:rPr>
        <w:t xml:space="preserve"> </w:t>
      </w:r>
      <w:r>
        <w:t>between</w:t>
      </w:r>
      <w:r>
        <w:rPr>
          <w:spacing w:val="70"/>
        </w:rPr>
        <w:t xml:space="preserve"> </w:t>
      </w:r>
      <w:r>
        <w:rPr>
          <w:spacing w:val="-5"/>
        </w:rPr>
        <w:t>6th</w:t>
      </w:r>
    </w:p>
    <w:p w:rsidR="00200FDA" w:rsidRDefault="00F76C4C">
      <w:pPr>
        <w:pStyle w:val="BodyText"/>
        <w:spacing w:line="276" w:lineRule="auto"/>
        <w:ind w:left="139" w:right="193"/>
        <w:jc w:val="both"/>
      </w:pPr>
      <w:r>
        <w:t>and 9th grade, with only a concerning 37.8% of schools delivering a course in 11th grade and 33.6% in 12th</w:t>
      </w:r>
      <w:r>
        <w:rPr>
          <w:spacing w:val="-12"/>
        </w:rPr>
        <w:t xml:space="preserve"> </w:t>
      </w:r>
      <w:r>
        <w:t>grade.</w:t>
      </w:r>
      <w:hyperlink w:anchor="_bookmark533" w:history="1">
        <w:r>
          <w:rPr>
            <w:vertAlign w:val="superscript"/>
          </w:rPr>
          <w:t>8</w:t>
        </w:r>
      </w:hyperlink>
      <w:r>
        <w:rPr>
          <w:spacing w:val="-9"/>
        </w:rPr>
        <w:t xml:space="preserve"> </w:t>
      </w:r>
      <w:r>
        <w:t>However,</w:t>
      </w:r>
      <w:r>
        <w:rPr>
          <w:spacing w:val="-10"/>
        </w:rPr>
        <w:t xml:space="preserve"> </w:t>
      </w:r>
      <w:r>
        <w:t>even</w:t>
      </w:r>
      <w:r>
        <w:rPr>
          <w:spacing w:val="-13"/>
        </w:rPr>
        <w:t xml:space="preserve"> </w:t>
      </w:r>
      <w:r>
        <w:t>though</w:t>
      </w:r>
      <w:r>
        <w:rPr>
          <w:spacing w:val="-9"/>
        </w:rPr>
        <w:t xml:space="preserve"> </w:t>
      </w:r>
      <w:r>
        <w:t>three-quarter</w:t>
      </w:r>
      <w:r>
        <w:t>s</w:t>
      </w:r>
      <w:r>
        <w:rPr>
          <w:spacing w:val="-10"/>
        </w:rPr>
        <w:t xml:space="preserve"> </w:t>
      </w:r>
      <w:r>
        <w:t>of</w:t>
      </w:r>
      <w:r>
        <w:rPr>
          <w:spacing w:val="-11"/>
        </w:rPr>
        <w:t xml:space="preserve"> </w:t>
      </w:r>
      <w:r>
        <w:t>responding</w:t>
      </w:r>
      <w:r>
        <w:rPr>
          <w:spacing w:val="-9"/>
        </w:rPr>
        <w:t xml:space="preserve"> </w:t>
      </w:r>
      <w:r>
        <w:t>schools</w:t>
      </w:r>
      <w:r>
        <w:rPr>
          <w:spacing w:val="-10"/>
        </w:rPr>
        <w:t xml:space="preserve"> </w:t>
      </w:r>
      <w:r>
        <w:t>taught</w:t>
      </w:r>
      <w:r>
        <w:rPr>
          <w:spacing w:val="-8"/>
        </w:rPr>
        <w:t xml:space="preserve"> </w:t>
      </w:r>
      <w:r>
        <w:t>health</w:t>
      </w:r>
      <w:r>
        <w:rPr>
          <w:spacing w:val="-9"/>
        </w:rPr>
        <w:t xml:space="preserve"> </w:t>
      </w:r>
      <w:r>
        <w:t>education</w:t>
      </w:r>
      <w:r>
        <w:rPr>
          <w:spacing w:val="-9"/>
        </w:rPr>
        <w:t xml:space="preserve"> </w:t>
      </w:r>
      <w:r>
        <w:t>at</w:t>
      </w:r>
      <w:r>
        <w:rPr>
          <w:spacing w:val="-8"/>
        </w:rPr>
        <w:t xml:space="preserve"> </w:t>
      </w:r>
      <w:r>
        <w:t>least once between 6th and 9th grade, only roughly half of Massachusetts schools included information on reducing sexual risk behaviors, the importance of condoms, and methods of contraception other than condoms; only 34.3% reported that they taught studen</w:t>
      </w:r>
      <w:r>
        <w:t>ts how to appropriately use a condom. In Boston specifically</w:t>
      </w:r>
      <w:r>
        <w:rPr>
          <w:spacing w:val="-8"/>
        </w:rPr>
        <w:t xml:space="preserve"> </w:t>
      </w:r>
      <w:r>
        <w:t>-</w:t>
      </w:r>
      <w:r>
        <w:rPr>
          <w:spacing w:val="-7"/>
        </w:rPr>
        <w:t xml:space="preserve"> </w:t>
      </w:r>
      <w:r>
        <w:t>the</w:t>
      </w:r>
      <w:r>
        <w:rPr>
          <w:spacing w:val="-8"/>
        </w:rPr>
        <w:t xml:space="preserve"> </w:t>
      </w:r>
      <w:r>
        <w:t>only</w:t>
      </w:r>
      <w:r>
        <w:rPr>
          <w:spacing w:val="-6"/>
        </w:rPr>
        <w:t xml:space="preserve"> </w:t>
      </w:r>
      <w:r>
        <w:t>Massachusetts</w:t>
      </w:r>
      <w:r>
        <w:rPr>
          <w:spacing w:val="-8"/>
        </w:rPr>
        <w:t xml:space="preserve"> </w:t>
      </w:r>
      <w:r>
        <w:t>city</w:t>
      </w:r>
      <w:r>
        <w:rPr>
          <w:spacing w:val="-6"/>
        </w:rPr>
        <w:t xml:space="preserve"> </w:t>
      </w:r>
      <w:r>
        <w:t>reported</w:t>
      </w:r>
      <w:r>
        <w:rPr>
          <w:spacing w:val="-9"/>
        </w:rPr>
        <w:t xml:space="preserve"> </w:t>
      </w:r>
      <w:r>
        <w:t>in</w:t>
      </w:r>
      <w:r>
        <w:rPr>
          <w:spacing w:val="-7"/>
        </w:rPr>
        <w:t xml:space="preserve"> </w:t>
      </w:r>
      <w:r>
        <w:t>the</w:t>
      </w:r>
      <w:r>
        <w:rPr>
          <w:spacing w:val="-6"/>
        </w:rPr>
        <w:t xml:space="preserve"> </w:t>
      </w:r>
      <w:r>
        <w:t>public</w:t>
      </w:r>
      <w:r>
        <w:rPr>
          <w:spacing w:val="-6"/>
        </w:rPr>
        <w:t xml:space="preserve"> </w:t>
      </w:r>
      <w:r>
        <w:t>CDC</w:t>
      </w:r>
      <w:r>
        <w:rPr>
          <w:spacing w:val="-8"/>
        </w:rPr>
        <w:t xml:space="preserve"> </w:t>
      </w:r>
      <w:r>
        <w:t>profiles</w:t>
      </w:r>
      <w:r>
        <w:rPr>
          <w:spacing w:val="-7"/>
        </w:rPr>
        <w:t xml:space="preserve"> </w:t>
      </w:r>
      <w:r>
        <w:t>-</w:t>
      </w:r>
      <w:r>
        <w:rPr>
          <w:spacing w:val="-8"/>
        </w:rPr>
        <w:t xml:space="preserve"> </w:t>
      </w:r>
      <w:r>
        <w:t>only</w:t>
      </w:r>
      <w:r>
        <w:rPr>
          <w:spacing w:val="-6"/>
        </w:rPr>
        <w:t xml:space="preserve"> </w:t>
      </w:r>
      <w:r>
        <w:t>29%</w:t>
      </w:r>
      <w:r>
        <w:rPr>
          <w:spacing w:val="-8"/>
        </w:rPr>
        <w:t xml:space="preserve"> </w:t>
      </w:r>
      <w:r>
        <w:t>of</w:t>
      </w:r>
      <w:r>
        <w:rPr>
          <w:spacing w:val="-8"/>
        </w:rPr>
        <w:t xml:space="preserve"> </w:t>
      </w:r>
      <w:r>
        <w:t>schools</w:t>
      </w:r>
      <w:r>
        <w:rPr>
          <w:spacing w:val="-8"/>
        </w:rPr>
        <w:t xml:space="preserve"> </w:t>
      </w:r>
      <w:r>
        <w:t xml:space="preserve">covered all 22 of the recommended sexual health topics between 6th and 8th grade, compared to states where </w:t>
      </w:r>
      <w:r>
        <w:t xml:space="preserve">comprehensive sexual health education is mandated which had cities with compliance rates as high as </w:t>
      </w:r>
      <w:r>
        <w:rPr>
          <w:spacing w:val="-2"/>
        </w:rPr>
        <w:t>97.1%.</w:t>
      </w:r>
      <w:hyperlink w:anchor="_bookmark534" w:history="1">
        <w:r>
          <w:rPr>
            <w:spacing w:val="-2"/>
            <w:vertAlign w:val="superscript"/>
          </w:rPr>
          <w:t>9</w:t>
        </w:r>
      </w:hyperlink>
    </w:p>
    <w:p w:rsidR="00200FDA" w:rsidRDefault="00F76C4C">
      <w:pPr>
        <w:pStyle w:val="BodyText"/>
        <w:spacing w:before="120" w:line="276" w:lineRule="auto"/>
        <w:ind w:left="139" w:right="192"/>
        <w:jc w:val="both"/>
      </w:pPr>
      <w:r>
        <w:t>Comprehensive sexual health education gives youth the tools they need to avoid situations where they might have unprotected sex, subsequently reducing STIs, HIV/AIDS transmission, and unintended pregnancy rates. All youth</w:t>
      </w:r>
      <w:r>
        <w:rPr>
          <w:spacing w:val="-3"/>
        </w:rPr>
        <w:t xml:space="preserve"> </w:t>
      </w:r>
      <w:r>
        <w:t>are entitled to</w:t>
      </w:r>
      <w:r>
        <w:rPr>
          <w:spacing w:val="-1"/>
        </w:rPr>
        <w:t xml:space="preserve"> </w:t>
      </w:r>
      <w:r>
        <w:t>medically-accurate</w:t>
      </w:r>
      <w:r>
        <w:t xml:space="preserve"> knowledge about their own bodies, how to build healthy relationships, and how to give and ask for consent; all of these areas are core factors of comprehensive sexual health education.</w:t>
      </w:r>
      <w:hyperlink w:anchor="_bookmark535" w:history="1">
        <w:r>
          <w:rPr>
            <w:vertAlign w:val="superscript"/>
          </w:rPr>
          <w:t>10</w:t>
        </w:r>
      </w:hyperlink>
      <w:r>
        <w:t xml:space="preserve"> Unfortunately, LGBTQ youth are often</w:t>
      </w:r>
      <w:r>
        <w:t xml:space="preserve"> less likely to receive adequate and accurate education compared to their cisgender and heterosexual peers, with QTBIPOC youth</w:t>
      </w:r>
      <w:r>
        <w:rPr>
          <w:spacing w:val="-3"/>
        </w:rPr>
        <w:t xml:space="preserve"> </w:t>
      </w:r>
      <w:r>
        <w:t>further</w:t>
      </w:r>
      <w:r>
        <w:rPr>
          <w:spacing w:val="-1"/>
        </w:rPr>
        <w:t xml:space="preserve"> </w:t>
      </w:r>
      <w:r>
        <w:t>reporting</w:t>
      </w:r>
      <w:r>
        <w:rPr>
          <w:spacing w:val="-1"/>
        </w:rPr>
        <w:t xml:space="preserve"> </w:t>
      </w:r>
      <w:r>
        <w:t>disparate</w:t>
      </w:r>
      <w:r>
        <w:rPr>
          <w:spacing w:val="-1"/>
        </w:rPr>
        <w:t xml:space="preserve"> </w:t>
      </w:r>
      <w:r>
        <w:t>experiences in</w:t>
      </w:r>
      <w:r>
        <w:rPr>
          <w:spacing w:val="-3"/>
        </w:rPr>
        <w:t xml:space="preserve"> </w:t>
      </w:r>
      <w:r>
        <w:t>seeing</w:t>
      </w:r>
      <w:r>
        <w:rPr>
          <w:spacing w:val="-1"/>
        </w:rPr>
        <w:t xml:space="preserve"> </w:t>
      </w:r>
      <w:r>
        <w:t>appropriate</w:t>
      </w:r>
      <w:r>
        <w:rPr>
          <w:spacing w:val="-1"/>
        </w:rPr>
        <w:t xml:space="preserve"> </w:t>
      </w:r>
      <w:r>
        <w:t>and</w:t>
      </w:r>
      <w:r>
        <w:rPr>
          <w:spacing w:val="-1"/>
        </w:rPr>
        <w:t xml:space="preserve"> </w:t>
      </w:r>
      <w:r>
        <w:t>inclusive</w:t>
      </w:r>
      <w:r>
        <w:rPr>
          <w:spacing w:val="-1"/>
        </w:rPr>
        <w:t xml:space="preserve"> </w:t>
      </w:r>
      <w:r>
        <w:t>information</w:t>
      </w:r>
      <w:r>
        <w:rPr>
          <w:spacing w:val="-1"/>
        </w:rPr>
        <w:t xml:space="preserve"> </w:t>
      </w:r>
      <w:r>
        <w:t>pertaining to race, ethnicity, and culture in sexual health education.</w:t>
      </w:r>
      <w:hyperlink w:anchor="_bookmark536" w:history="1">
        <w:r>
          <w:rPr>
            <w:vertAlign w:val="superscript"/>
          </w:rPr>
          <w:t>11</w:t>
        </w:r>
      </w:hyperlink>
    </w:p>
    <w:p w:rsidR="00200FDA" w:rsidRDefault="00F76C4C">
      <w:pPr>
        <w:pStyle w:val="BodyText"/>
        <w:spacing w:before="119" w:line="276" w:lineRule="auto"/>
        <w:ind w:left="139" w:right="194"/>
        <w:jc w:val="both"/>
      </w:pPr>
      <w:r>
        <w:t>Many</w:t>
      </w:r>
      <w:r>
        <w:rPr>
          <w:spacing w:val="-2"/>
        </w:rPr>
        <w:t xml:space="preserve"> </w:t>
      </w:r>
      <w:r>
        <w:t>of</w:t>
      </w:r>
      <w:r>
        <w:rPr>
          <w:spacing w:val="-1"/>
        </w:rPr>
        <w:t xml:space="preserve"> </w:t>
      </w:r>
      <w:r>
        <w:t>the opposing</w:t>
      </w:r>
      <w:r>
        <w:rPr>
          <w:spacing w:val="-2"/>
        </w:rPr>
        <w:t xml:space="preserve"> </w:t>
      </w:r>
      <w:r>
        <w:t>arguments</w:t>
      </w:r>
      <w:r>
        <w:rPr>
          <w:spacing w:val="-1"/>
        </w:rPr>
        <w:t xml:space="preserve"> </w:t>
      </w:r>
      <w:r>
        <w:t>around</w:t>
      </w:r>
      <w:r>
        <w:rPr>
          <w:spacing w:val="-2"/>
        </w:rPr>
        <w:t xml:space="preserve"> </w:t>
      </w:r>
      <w:r>
        <w:t>mandating</w:t>
      </w:r>
      <w:r>
        <w:rPr>
          <w:spacing w:val="-2"/>
        </w:rPr>
        <w:t xml:space="preserve"> </w:t>
      </w:r>
      <w:r>
        <w:t>sexual</w:t>
      </w:r>
      <w:r>
        <w:rPr>
          <w:spacing w:val="-1"/>
        </w:rPr>
        <w:t xml:space="preserve"> </w:t>
      </w:r>
      <w:r>
        <w:t>health</w:t>
      </w:r>
      <w:r>
        <w:rPr>
          <w:spacing w:val="-2"/>
        </w:rPr>
        <w:t xml:space="preserve"> </w:t>
      </w:r>
      <w:r>
        <w:t>education</w:t>
      </w:r>
      <w:r>
        <w:rPr>
          <w:spacing w:val="-2"/>
        </w:rPr>
        <w:t xml:space="preserve"> </w:t>
      </w:r>
      <w:r>
        <w:t>in</w:t>
      </w:r>
      <w:r>
        <w:rPr>
          <w:spacing w:val="-2"/>
        </w:rPr>
        <w:t xml:space="preserve"> </w:t>
      </w:r>
      <w:r>
        <w:t>schools</w:t>
      </w:r>
      <w:r>
        <w:rPr>
          <w:spacing w:val="-3"/>
        </w:rPr>
        <w:t xml:space="preserve"> </w:t>
      </w:r>
      <w:r>
        <w:t>centers</w:t>
      </w:r>
      <w:r>
        <w:rPr>
          <w:spacing w:val="-1"/>
        </w:rPr>
        <w:t xml:space="preserve"> </w:t>
      </w:r>
      <w:r>
        <w:t>around</w:t>
      </w:r>
      <w:r>
        <w:rPr>
          <w:spacing w:val="-2"/>
        </w:rPr>
        <w:t xml:space="preserve"> </w:t>
      </w:r>
      <w:r>
        <w:t>a parent’s right to have these conversations in the h</w:t>
      </w:r>
      <w:r>
        <w:t>ome - or, rather, only in the home. However, it is important to highlight the fact that most parents - in fact the majority of parents - are not opposed to sexual health education in schools, with 93% of parents of high school students reporting that teach</w:t>
      </w:r>
      <w:r>
        <w:t>ing about sexual health in schools is important. Furthermore, 85% of the same parents supported including sexual orientation as a sexual health topic in schools; though given the widespread cultural shifts in the last six years since this 2017 survey was c</w:t>
      </w:r>
      <w:r>
        <w:t>ompleted, the Commission suspects that this number has continued to rise.</w:t>
      </w:r>
      <w:hyperlink w:anchor="_bookmark537" w:history="1">
        <w:r>
          <w:rPr>
            <w:vertAlign w:val="superscript"/>
          </w:rPr>
          <w:t>12</w:t>
        </w:r>
      </w:hyperlink>
    </w:p>
    <w:p w:rsidR="00200FDA" w:rsidRDefault="00F76C4C">
      <w:pPr>
        <w:pStyle w:val="BodyText"/>
        <w:spacing w:before="121" w:line="276" w:lineRule="auto"/>
        <w:ind w:left="139" w:right="195"/>
        <w:jc w:val="both"/>
      </w:pPr>
      <w:r>
        <w:t>Finally,</w:t>
      </w:r>
      <w:r>
        <w:rPr>
          <w:spacing w:val="-9"/>
        </w:rPr>
        <w:t xml:space="preserve"> </w:t>
      </w:r>
      <w:r>
        <w:t>the</w:t>
      </w:r>
      <w:r>
        <w:rPr>
          <w:spacing w:val="-11"/>
        </w:rPr>
        <w:t xml:space="preserve"> </w:t>
      </w:r>
      <w:r>
        <w:t>Commission</w:t>
      </w:r>
      <w:r>
        <w:rPr>
          <w:spacing w:val="-12"/>
        </w:rPr>
        <w:t xml:space="preserve"> </w:t>
      </w:r>
      <w:r>
        <w:t>understands</w:t>
      </w:r>
      <w:r>
        <w:rPr>
          <w:spacing w:val="-11"/>
        </w:rPr>
        <w:t xml:space="preserve"> </w:t>
      </w:r>
      <w:r>
        <w:t>that</w:t>
      </w:r>
      <w:r>
        <w:rPr>
          <w:spacing w:val="-9"/>
        </w:rPr>
        <w:t xml:space="preserve"> </w:t>
      </w:r>
      <w:r>
        <w:t>by</w:t>
      </w:r>
      <w:r>
        <w:rPr>
          <w:spacing w:val="-8"/>
        </w:rPr>
        <w:t xml:space="preserve"> </w:t>
      </w:r>
      <w:r>
        <w:t>not</w:t>
      </w:r>
      <w:r>
        <w:rPr>
          <w:spacing w:val="-11"/>
        </w:rPr>
        <w:t xml:space="preserve"> </w:t>
      </w:r>
      <w:r>
        <w:t>passing</w:t>
      </w:r>
      <w:r>
        <w:rPr>
          <w:spacing w:val="-10"/>
        </w:rPr>
        <w:t xml:space="preserve"> </w:t>
      </w:r>
      <w:r>
        <w:t>a</w:t>
      </w:r>
      <w:r>
        <w:rPr>
          <w:spacing w:val="-12"/>
        </w:rPr>
        <w:t xml:space="preserve"> </w:t>
      </w:r>
      <w:r>
        <w:t>mandate</w:t>
      </w:r>
      <w:r>
        <w:rPr>
          <w:spacing w:val="-11"/>
        </w:rPr>
        <w:t xml:space="preserve"> </w:t>
      </w:r>
      <w:r>
        <w:t>for</w:t>
      </w:r>
      <w:r>
        <w:rPr>
          <w:spacing w:val="-9"/>
        </w:rPr>
        <w:t xml:space="preserve"> </w:t>
      </w:r>
      <w:r>
        <w:t>sexual</w:t>
      </w:r>
      <w:r>
        <w:rPr>
          <w:spacing w:val="-12"/>
        </w:rPr>
        <w:t xml:space="preserve"> </w:t>
      </w:r>
      <w:r>
        <w:t>health</w:t>
      </w:r>
      <w:r>
        <w:rPr>
          <w:spacing w:val="-10"/>
        </w:rPr>
        <w:t xml:space="preserve"> </w:t>
      </w:r>
      <w:r>
        <w:t>education</w:t>
      </w:r>
      <w:r>
        <w:rPr>
          <w:spacing w:val="-12"/>
        </w:rPr>
        <w:t xml:space="preserve"> </w:t>
      </w:r>
      <w:r>
        <w:t>or</w:t>
      </w:r>
      <w:r>
        <w:rPr>
          <w:spacing w:val="-12"/>
        </w:rPr>
        <w:t xml:space="preserve"> </w:t>
      </w:r>
      <w:r>
        <w:t>specific funding for curriculum updates, many lower</w:t>
      </w:r>
      <w:r>
        <w:t>-income schools, and areas with limited financial and community</w:t>
      </w:r>
      <w:r>
        <w:rPr>
          <w:spacing w:val="-13"/>
        </w:rPr>
        <w:t xml:space="preserve"> </w:t>
      </w:r>
      <w:r>
        <w:t>support</w:t>
      </w:r>
      <w:r>
        <w:rPr>
          <w:spacing w:val="-14"/>
        </w:rPr>
        <w:t xml:space="preserve"> </w:t>
      </w:r>
      <w:r>
        <w:t>may</w:t>
      </w:r>
      <w:r>
        <w:rPr>
          <w:spacing w:val="-12"/>
        </w:rPr>
        <w:t xml:space="preserve"> </w:t>
      </w:r>
      <w:r>
        <w:t>stop</w:t>
      </w:r>
      <w:r>
        <w:rPr>
          <w:spacing w:val="-13"/>
        </w:rPr>
        <w:t xml:space="preserve"> </w:t>
      </w:r>
      <w:r>
        <w:t>teaching</w:t>
      </w:r>
      <w:r>
        <w:rPr>
          <w:spacing w:val="-13"/>
        </w:rPr>
        <w:t xml:space="preserve"> </w:t>
      </w:r>
      <w:r>
        <w:t>sexual</w:t>
      </w:r>
      <w:r>
        <w:rPr>
          <w:spacing w:val="-13"/>
        </w:rPr>
        <w:t xml:space="preserve"> </w:t>
      </w:r>
      <w:r>
        <w:t>health</w:t>
      </w:r>
      <w:r>
        <w:rPr>
          <w:spacing w:val="-13"/>
        </w:rPr>
        <w:t xml:space="preserve"> </w:t>
      </w:r>
      <w:r>
        <w:t>topics</w:t>
      </w:r>
      <w:r>
        <w:rPr>
          <w:spacing w:val="-12"/>
        </w:rPr>
        <w:t xml:space="preserve"> </w:t>
      </w:r>
      <w:r>
        <w:t>altogether.</w:t>
      </w:r>
      <w:r>
        <w:rPr>
          <w:spacing w:val="-13"/>
        </w:rPr>
        <w:t xml:space="preserve"> </w:t>
      </w:r>
      <w:r>
        <w:t>This</w:t>
      </w:r>
      <w:r>
        <w:rPr>
          <w:spacing w:val="-12"/>
        </w:rPr>
        <w:t xml:space="preserve"> </w:t>
      </w:r>
      <w:r>
        <w:t>issue</w:t>
      </w:r>
      <w:r>
        <w:rPr>
          <w:spacing w:val="-14"/>
        </w:rPr>
        <w:t xml:space="preserve"> </w:t>
      </w:r>
      <w:r>
        <w:t>is</w:t>
      </w:r>
      <w:r>
        <w:rPr>
          <w:spacing w:val="-13"/>
        </w:rPr>
        <w:t xml:space="preserve"> </w:t>
      </w:r>
      <w:r>
        <w:t>particularly</w:t>
      </w:r>
      <w:r>
        <w:rPr>
          <w:spacing w:val="-12"/>
        </w:rPr>
        <w:t xml:space="preserve"> </w:t>
      </w:r>
      <w:r>
        <w:t>concerning</w:t>
      </w:r>
    </w:p>
    <w:p w:rsidR="00200FDA" w:rsidRDefault="00200FDA">
      <w:pPr>
        <w:spacing w:line="276" w:lineRule="auto"/>
        <w:jc w:val="both"/>
        <w:sectPr w:rsidR="00200FDA">
          <w:pgSz w:w="12240" w:h="15840"/>
          <w:pgMar w:top="1360" w:right="1240" w:bottom="1480" w:left="1300" w:header="761" w:footer="1283" w:gutter="0"/>
          <w:cols w:space="720"/>
        </w:sectPr>
      </w:pPr>
    </w:p>
    <w:p w:rsidR="00200FDA" w:rsidRDefault="00F76C4C">
      <w:pPr>
        <w:pStyle w:val="BodyText"/>
        <w:spacing w:before="64" w:line="276" w:lineRule="auto"/>
        <w:ind w:left="139" w:right="194"/>
        <w:jc w:val="both"/>
      </w:pPr>
      <w:r>
        <w:lastRenderedPageBreak/>
        <w:t>as QTBIPOC youth, who are more likely to face sexual violence than white youth, are also more likely to attend</w:t>
      </w:r>
      <w:r>
        <w:rPr>
          <w:spacing w:val="-13"/>
        </w:rPr>
        <w:t xml:space="preserve"> </w:t>
      </w:r>
      <w:r>
        <w:t>underfunded</w:t>
      </w:r>
      <w:r>
        <w:rPr>
          <w:spacing w:val="-11"/>
        </w:rPr>
        <w:t xml:space="preserve"> </w:t>
      </w:r>
      <w:r>
        <w:t>schools</w:t>
      </w:r>
      <w:r>
        <w:rPr>
          <w:spacing w:val="-10"/>
        </w:rPr>
        <w:t xml:space="preserve"> </w:t>
      </w:r>
      <w:r>
        <w:t>where</w:t>
      </w:r>
      <w:r>
        <w:rPr>
          <w:spacing w:val="-12"/>
        </w:rPr>
        <w:t xml:space="preserve"> </w:t>
      </w:r>
      <w:r>
        <w:t>sexual</w:t>
      </w:r>
      <w:r>
        <w:rPr>
          <w:spacing w:val="-11"/>
        </w:rPr>
        <w:t xml:space="preserve"> </w:t>
      </w:r>
      <w:r>
        <w:t>health</w:t>
      </w:r>
      <w:r>
        <w:rPr>
          <w:spacing w:val="-11"/>
        </w:rPr>
        <w:t xml:space="preserve"> </w:t>
      </w:r>
      <w:r>
        <w:t>education</w:t>
      </w:r>
      <w:r>
        <w:rPr>
          <w:spacing w:val="-13"/>
        </w:rPr>
        <w:t xml:space="preserve"> </w:t>
      </w:r>
      <w:r>
        <w:t>may</w:t>
      </w:r>
      <w:r>
        <w:rPr>
          <w:spacing w:val="-12"/>
        </w:rPr>
        <w:t xml:space="preserve"> </w:t>
      </w:r>
      <w:r>
        <w:t>not</w:t>
      </w:r>
      <w:r>
        <w:rPr>
          <w:spacing w:val="-10"/>
        </w:rPr>
        <w:t xml:space="preserve"> </w:t>
      </w:r>
      <w:r>
        <w:t>be</w:t>
      </w:r>
      <w:r>
        <w:rPr>
          <w:spacing w:val="-10"/>
        </w:rPr>
        <w:t xml:space="preserve"> </w:t>
      </w:r>
      <w:r>
        <w:t>a</w:t>
      </w:r>
      <w:r>
        <w:rPr>
          <w:spacing w:val="-11"/>
        </w:rPr>
        <w:t xml:space="preserve"> </w:t>
      </w:r>
      <w:r>
        <w:t>priority.</w:t>
      </w:r>
      <w:hyperlink w:anchor="_bookmark538" w:history="1">
        <w:r>
          <w:rPr>
            <w:vertAlign w:val="superscript"/>
          </w:rPr>
          <w:t>13</w:t>
        </w:r>
      </w:hyperlink>
      <w:r>
        <w:rPr>
          <w:spacing w:val="-11"/>
        </w:rPr>
        <w:t xml:space="preserve"> </w:t>
      </w:r>
      <w:r>
        <w:t>Black</w:t>
      </w:r>
      <w:r>
        <w:rPr>
          <w:spacing w:val="-10"/>
        </w:rPr>
        <w:t xml:space="preserve"> </w:t>
      </w:r>
      <w:r>
        <w:t>women</w:t>
      </w:r>
      <w:r>
        <w:rPr>
          <w:spacing w:val="-11"/>
        </w:rPr>
        <w:t xml:space="preserve"> </w:t>
      </w:r>
      <w:r>
        <w:t>and</w:t>
      </w:r>
      <w:r>
        <w:rPr>
          <w:spacing w:val="-11"/>
        </w:rPr>
        <w:t xml:space="preserve"> </w:t>
      </w:r>
      <w:r>
        <w:t>girls are significantl</w:t>
      </w:r>
      <w:r>
        <w:t>y more likely to face sexual violence or coercion, with 40-60% of Black women reporting being</w:t>
      </w:r>
      <w:r>
        <w:rPr>
          <w:spacing w:val="-13"/>
        </w:rPr>
        <w:t xml:space="preserve"> </w:t>
      </w:r>
      <w:r>
        <w:t>subjected</w:t>
      </w:r>
      <w:r>
        <w:rPr>
          <w:spacing w:val="-12"/>
        </w:rPr>
        <w:t xml:space="preserve"> </w:t>
      </w:r>
      <w:r>
        <w:t>to</w:t>
      </w:r>
      <w:r>
        <w:rPr>
          <w:spacing w:val="-9"/>
        </w:rPr>
        <w:t xml:space="preserve"> </w:t>
      </w:r>
      <w:r>
        <w:t>coercive</w:t>
      </w:r>
      <w:r>
        <w:rPr>
          <w:spacing w:val="-13"/>
        </w:rPr>
        <w:t xml:space="preserve"> </w:t>
      </w:r>
      <w:r>
        <w:t>sexual</w:t>
      </w:r>
      <w:r>
        <w:rPr>
          <w:spacing w:val="-11"/>
        </w:rPr>
        <w:t xml:space="preserve"> </w:t>
      </w:r>
      <w:r>
        <w:t>contact</w:t>
      </w:r>
      <w:r>
        <w:rPr>
          <w:spacing w:val="-11"/>
        </w:rPr>
        <w:t xml:space="preserve"> </w:t>
      </w:r>
      <w:r>
        <w:t>by</w:t>
      </w:r>
      <w:r>
        <w:rPr>
          <w:spacing w:val="-11"/>
        </w:rPr>
        <w:t xml:space="preserve"> </w:t>
      </w:r>
      <w:r>
        <w:t>the</w:t>
      </w:r>
      <w:r>
        <w:rPr>
          <w:spacing w:val="-11"/>
        </w:rPr>
        <w:t xml:space="preserve"> </w:t>
      </w:r>
      <w:r>
        <w:t>age</w:t>
      </w:r>
      <w:r>
        <w:rPr>
          <w:spacing w:val="-11"/>
        </w:rPr>
        <w:t xml:space="preserve"> </w:t>
      </w:r>
      <w:r>
        <w:t>of</w:t>
      </w:r>
      <w:r>
        <w:rPr>
          <w:spacing w:val="-12"/>
        </w:rPr>
        <w:t xml:space="preserve"> </w:t>
      </w:r>
      <w:r>
        <w:t>18;</w:t>
      </w:r>
      <w:r>
        <w:rPr>
          <w:spacing w:val="-10"/>
        </w:rPr>
        <w:t xml:space="preserve"> </w:t>
      </w:r>
      <w:r>
        <w:t>1</w:t>
      </w:r>
      <w:r>
        <w:rPr>
          <w:spacing w:val="-10"/>
        </w:rPr>
        <w:t xml:space="preserve"> </w:t>
      </w:r>
      <w:r>
        <w:t>in</w:t>
      </w:r>
      <w:r>
        <w:rPr>
          <w:spacing w:val="-13"/>
        </w:rPr>
        <w:t xml:space="preserve"> </w:t>
      </w:r>
      <w:r>
        <w:t>4</w:t>
      </w:r>
      <w:r>
        <w:rPr>
          <w:spacing w:val="-9"/>
        </w:rPr>
        <w:t xml:space="preserve"> </w:t>
      </w:r>
      <w:r>
        <w:t>Black</w:t>
      </w:r>
      <w:r>
        <w:rPr>
          <w:spacing w:val="-11"/>
        </w:rPr>
        <w:t xml:space="preserve"> </w:t>
      </w:r>
      <w:r>
        <w:t>girls</w:t>
      </w:r>
      <w:r>
        <w:rPr>
          <w:spacing w:val="-13"/>
        </w:rPr>
        <w:t xml:space="preserve"> </w:t>
      </w:r>
      <w:r>
        <w:t>will</w:t>
      </w:r>
      <w:r>
        <w:rPr>
          <w:spacing w:val="-11"/>
        </w:rPr>
        <w:t xml:space="preserve"> </w:t>
      </w:r>
      <w:r>
        <w:t>be</w:t>
      </w:r>
      <w:r>
        <w:rPr>
          <w:spacing w:val="-13"/>
        </w:rPr>
        <w:t xml:space="preserve"> </w:t>
      </w:r>
      <w:r>
        <w:t>sexually</w:t>
      </w:r>
      <w:r>
        <w:rPr>
          <w:spacing w:val="-10"/>
        </w:rPr>
        <w:t xml:space="preserve"> </w:t>
      </w:r>
      <w:r>
        <w:t>abused</w:t>
      </w:r>
      <w:r>
        <w:rPr>
          <w:spacing w:val="-12"/>
        </w:rPr>
        <w:t xml:space="preserve"> </w:t>
      </w:r>
      <w:r>
        <w:t>before the age of 18.</w:t>
      </w:r>
      <w:hyperlink w:anchor="_bookmark539" w:history="1">
        <w:r>
          <w:rPr>
            <w:vertAlign w:val="superscript"/>
          </w:rPr>
          <w:t>14</w:t>
        </w:r>
      </w:hyperlink>
      <w:r>
        <w:t xml:space="preserve"> However, 53% of Black trans women report experiencing sexual violence, and are killed at</w:t>
      </w:r>
      <w:r>
        <w:rPr>
          <w:spacing w:val="-1"/>
        </w:rPr>
        <w:t xml:space="preserve"> </w:t>
      </w:r>
      <w:r>
        <w:t>higher</w:t>
      </w:r>
      <w:r>
        <w:rPr>
          <w:spacing w:val="-4"/>
        </w:rPr>
        <w:t xml:space="preserve"> </w:t>
      </w:r>
      <w:r>
        <w:t>rates</w:t>
      </w:r>
      <w:r>
        <w:rPr>
          <w:spacing w:val="-4"/>
        </w:rPr>
        <w:t xml:space="preserve"> </w:t>
      </w:r>
      <w:r>
        <w:t>than</w:t>
      </w:r>
      <w:r>
        <w:rPr>
          <w:spacing w:val="-5"/>
        </w:rPr>
        <w:t xml:space="preserve"> </w:t>
      </w:r>
      <w:r>
        <w:t>any</w:t>
      </w:r>
      <w:r>
        <w:rPr>
          <w:spacing w:val="-3"/>
        </w:rPr>
        <w:t xml:space="preserve"> </w:t>
      </w:r>
      <w:r>
        <w:t>other</w:t>
      </w:r>
      <w:r>
        <w:rPr>
          <w:spacing w:val="-2"/>
        </w:rPr>
        <w:t xml:space="preserve"> </w:t>
      </w:r>
      <w:r>
        <w:t>population.</w:t>
      </w:r>
      <w:hyperlink w:anchor="_bookmark540" w:history="1">
        <w:r>
          <w:rPr>
            <w:vertAlign w:val="superscript"/>
          </w:rPr>
          <w:t>15</w:t>
        </w:r>
      </w:hyperlink>
      <w:r>
        <w:rPr>
          <w:spacing w:val="-3"/>
        </w:rPr>
        <w:t xml:space="preserve"> </w:t>
      </w:r>
      <w:r>
        <w:t>Ensuring</w:t>
      </w:r>
      <w:r>
        <w:rPr>
          <w:spacing w:val="-5"/>
        </w:rPr>
        <w:t xml:space="preserve"> </w:t>
      </w:r>
      <w:r>
        <w:t>that</w:t>
      </w:r>
      <w:r>
        <w:rPr>
          <w:spacing w:val="-1"/>
        </w:rPr>
        <w:t xml:space="preserve"> </w:t>
      </w:r>
      <w:r>
        <w:t>all</w:t>
      </w:r>
      <w:r>
        <w:rPr>
          <w:spacing w:val="-5"/>
        </w:rPr>
        <w:t xml:space="preserve"> </w:t>
      </w:r>
      <w:r>
        <w:t>schools</w:t>
      </w:r>
      <w:r>
        <w:rPr>
          <w:spacing w:val="-4"/>
        </w:rPr>
        <w:t xml:space="preserve"> </w:t>
      </w:r>
      <w:r>
        <w:t>teach</w:t>
      </w:r>
      <w:r>
        <w:rPr>
          <w:spacing w:val="-3"/>
        </w:rPr>
        <w:t xml:space="preserve"> </w:t>
      </w:r>
      <w:r>
        <w:t>a</w:t>
      </w:r>
      <w:r>
        <w:rPr>
          <w:spacing w:val="-4"/>
        </w:rPr>
        <w:t xml:space="preserve"> </w:t>
      </w:r>
      <w:r>
        <w:t>consent-based</w:t>
      </w:r>
      <w:r>
        <w:rPr>
          <w:spacing w:val="-3"/>
        </w:rPr>
        <w:t xml:space="preserve"> </w:t>
      </w:r>
      <w:r>
        <w:t>curriculum</w:t>
      </w:r>
      <w:r>
        <w:rPr>
          <w:spacing w:val="-1"/>
        </w:rPr>
        <w:t xml:space="preserve"> </w:t>
      </w:r>
      <w:r>
        <w:t>is essential,</w:t>
      </w:r>
      <w:r>
        <w:rPr>
          <w:spacing w:val="-13"/>
        </w:rPr>
        <w:t xml:space="preserve"> </w:t>
      </w:r>
      <w:r>
        <w:t>but</w:t>
      </w:r>
      <w:r>
        <w:rPr>
          <w:spacing w:val="-12"/>
        </w:rPr>
        <w:t xml:space="preserve"> </w:t>
      </w:r>
      <w:r>
        <w:t>especially</w:t>
      </w:r>
      <w:r>
        <w:rPr>
          <w:spacing w:val="-12"/>
        </w:rPr>
        <w:t xml:space="preserve"> </w:t>
      </w:r>
      <w:r>
        <w:t>in</w:t>
      </w:r>
      <w:r>
        <w:rPr>
          <w:spacing w:val="-12"/>
        </w:rPr>
        <w:t xml:space="preserve"> </w:t>
      </w:r>
      <w:r>
        <w:t>i</w:t>
      </w:r>
      <w:r>
        <w:t>mpoverished</w:t>
      </w:r>
      <w:r>
        <w:rPr>
          <w:spacing w:val="-12"/>
        </w:rPr>
        <w:t xml:space="preserve"> </w:t>
      </w:r>
      <w:r>
        <w:t>areas</w:t>
      </w:r>
      <w:r>
        <w:rPr>
          <w:spacing w:val="-13"/>
        </w:rPr>
        <w:t xml:space="preserve"> </w:t>
      </w:r>
      <w:r>
        <w:t>that</w:t>
      </w:r>
      <w:r>
        <w:rPr>
          <w:spacing w:val="-11"/>
        </w:rPr>
        <w:t xml:space="preserve"> </w:t>
      </w:r>
      <w:r>
        <w:t>lack</w:t>
      </w:r>
      <w:r>
        <w:rPr>
          <w:spacing w:val="-11"/>
        </w:rPr>
        <w:t xml:space="preserve"> </w:t>
      </w:r>
      <w:r>
        <w:t>the</w:t>
      </w:r>
      <w:r>
        <w:rPr>
          <w:spacing w:val="-11"/>
        </w:rPr>
        <w:t xml:space="preserve"> </w:t>
      </w:r>
      <w:r>
        <w:t>support</w:t>
      </w:r>
      <w:r>
        <w:rPr>
          <w:spacing w:val="-11"/>
        </w:rPr>
        <w:t xml:space="preserve"> </w:t>
      </w:r>
      <w:r>
        <w:t>to</w:t>
      </w:r>
      <w:r>
        <w:rPr>
          <w:spacing w:val="-13"/>
        </w:rPr>
        <w:t xml:space="preserve"> </w:t>
      </w:r>
      <w:r>
        <w:t>equip</w:t>
      </w:r>
      <w:r>
        <w:rPr>
          <w:spacing w:val="-12"/>
        </w:rPr>
        <w:t xml:space="preserve"> </w:t>
      </w:r>
      <w:r>
        <w:t>schools</w:t>
      </w:r>
      <w:r>
        <w:rPr>
          <w:spacing w:val="-11"/>
        </w:rPr>
        <w:t xml:space="preserve"> </w:t>
      </w:r>
      <w:r>
        <w:t>with</w:t>
      </w:r>
      <w:r>
        <w:rPr>
          <w:spacing w:val="-12"/>
        </w:rPr>
        <w:t xml:space="preserve"> </w:t>
      </w:r>
      <w:r>
        <w:t>healthy</w:t>
      </w:r>
      <w:r>
        <w:rPr>
          <w:spacing w:val="-11"/>
        </w:rPr>
        <w:t xml:space="preserve"> </w:t>
      </w:r>
      <w:r>
        <w:t>learning environments. However, as highlighted in multiple areas of this annual report, improving sexual health education only works to make an impact towards these numbers, and must work in tandem with other harm reduction and systemic improvement practic</w:t>
      </w:r>
      <w:r>
        <w:t>es to ensure that all youth are safe and thriving.</w:t>
      </w:r>
    </w:p>
    <w:p w:rsidR="00200FDA" w:rsidRDefault="00200FDA">
      <w:pPr>
        <w:pStyle w:val="BodyText"/>
      </w:pPr>
    </w:p>
    <w:p w:rsidR="00200FDA" w:rsidRDefault="00F76C4C">
      <w:pPr>
        <w:pStyle w:val="Heading8"/>
        <w:spacing w:before="185"/>
      </w:pPr>
      <w:bookmarkStart w:id="681" w:name="Sexual_Health_Education_Beyond_Public_Sc"/>
      <w:bookmarkEnd w:id="681"/>
      <w:r>
        <w:rPr>
          <w:color w:val="0A5293"/>
        </w:rPr>
        <w:t>Sexual</w:t>
      </w:r>
      <w:r>
        <w:rPr>
          <w:color w:val="0A5293"/>
          <w:spacing w:val="-1"/>
        </w:rPr>
        <w:t xml:space="preserve"> </w:t>
      </w:r>
      <w:r>
        <w:rPr>
          <w:color w:val="0A5293"/>
        </w:rPr>
        <w:t>Health</w:t>
      </w:r>
      <w:r>
        <w:rPr>
          <w:color w:val="0A5293"/>
          <w:spacing w:val="-2"/>
        </w:rPr>
        <w:t xml:space="preserve"> </w:t>
      </w:r>
      <w:r>
        <w:rPr>
          <w:color w:val="0A5293"/>
        </w:rPr>
        <w:t>Education</w:t>
      </w:r>
      <w:r>
        <w:rPr>
          <w:color w:val="0A5293"/>
          <w:spacing w:val="-3"/>
        </w:rPr>
        <w:t xml:space="preserve"> </w:t>
      </w:r>
      <w:r>
        <w:rPr>
          <w:color w:val="0A5293"/>
        </w:rPr>
        <w:t>Beyond Public</w:t>
      </w:r>
      <w:r>
        <w:rPr>
          <w:color w:val="0A5293"/>
          <w:spacing w:val="-4"/>
        </w:rPr>
        <w:t xml:space="preserve"> </w:t>
      </w:r>
      <w:r>
        <w:rPr>
          <w:color w:val="0A5293"/>
          <w:spacing w:val="-2"/>
        </w:rPr>
        <w:t>Schools</w:t>
      </w:r>
    </w:p>
    <w:p w:rsidR="00200FDA" w:rsidRDefault="00200FDA">
      <w:pPr>
        <w:pStyle w:val="BodyText"/>
        <w:spacing w:before="2"/>
        <w:rPr>
          <w:sz w:val="25"/>
        </w:rPr>
      </w:pPr>
    </w:p>
    <w:p w:rsidR="00200FDA" w:rsidRDefault="00F76C4C">
      <w:pPr>
        <w:pStyle w:val="BodyText"/>
        <w:spacing w:line="276" w:lineRule="auto"/>
        <w:ind w:left="140" w:right="193"/>
        <w:jc w:val="both"/>
      </w:pPr>
      <w:r>
        <w:t>Over the last year, the Commission has broadened its focus on sexual health education to examine disparities faced by youth outside of the public school syst</w:t>
      </w:r>
      <w:r>
        <w:t>em. In particular, the Commission, DCF, DYS, and DDS have had initial conversations in FY 2023 around updating sexual health education in the child welfare system, juvenile justice system, and services offered by DDS for youth with disabilities. The Commis</w:t>
      </w:r>
      <w:r>
        <w:t>sion encourages policymakers, advocates, families, and educators to take a wider look at the needs of youth as it pertains to health and education.</w:t>
      </w:r>
    </w:p>
    <w:p w:rsidR="00200FDA" w:rsidRDefault="00200FDA">
      <w:pPr>
        <w:pStyle w:val="BodyText"/>
      </w:pPr>
    </w:p>
    <w:p w:rsidR="00200FDA" w:rsidRDefault="00F76C4C">
      <w:pPr>
        <w:pStyle w:val="Heading8"/>
        <w:spacing w:before="185"/>
      </w:pPr>
      <w:bookmarkStart w:id="682" w:name="Language_and_Education_that_Fully_Includ"/>
      <w:bookmarkEnd w:id="682"/>
      <w:r>
        <w:rPr>
          <w:color w:val="0A5293"/>
        </w:rPr>
        <w:t>Language</w:t>
      </w:r>
      <w:r>
        <w:rPr>
          <w:color w:val="0A5293"/>
          <w:spacing w:val="-4"/>
        </w:rPr>
        <w:t xml:space="preserve"> </w:t>
      </w:r>
      <w:r>
        <w:rPr>
          <w:color w:val="0A5293"/>
        </w:rPr>
        <w:t>and</w:t>
      </w:r>
      <w:r>
        <w:rPr>
          <w:color w:val="0A5293"/>
          <w:spacing w:val="-1"/>
        </w:rPr>
        <w:t xml:space="preserve"> </w:t>
      </w:r>
      <w:r>
        <w:rPr>
          <w:color w:val="0A5293"/>
        </w:rPr>
        <w:t>Education</w:t>
      </w:r>
      <w:r>
        <w:rPr>
          <w:color w:val="0A5293"/>
          <w:spacing w:val="-3"/>
        </w:rPr>
        <w:t xml:space="preserve"> </w:t>
      </w:r>
      <w:r>
        <w:rPr>
          <w:color w:val="0A5293"/>
        </w:rPr>
        <w:t>that</w:t>
      </w:r>
      <w:r>
        <w:rPr>
          <w:color w:val="0A5293"/>
          <w:spacing w:val="-1"/>
        </w:rPr>
        <w:t xml:space="preserve"> </w:t>
      </w:r>
      <w:r>
        <w:rPr>
          <w:color w:val="0A5293"/>
        </w:rPr>
        <w:t>Fully</w:t>
      </w:r>
      <w:r>
        <w:rPr>
          <w:color w:val="0A5293"/>
          <w:spacing w:val="-2"/>
        </w:rPr>
        <w:t xml:space="preserve"> </w:t>
      </w:r>
      <w:r>
        <w:rPr>
          <w:color w:val="0A5293"/>
        </w:rPr>
        <w:t>Includes</w:t>
      </w:r>
      <w:r>
        <w:rPr>
          <w:color w:val="0A5293"/>
          <w:spacing w:val="-2"/>
        </w:rPr>
        <w:t xml:space="preserve"> </w:t>
      </w:r>
      <w:r>
        <w:rPr>
          <w:color w:val="0A5293"/>
        </w:rPr>
        <w:t>LGBTQ</w:t>
      </w:r>
      <w:r>
        <w:rPr>
          <w:color w:val="0A5293"/>
          <w:spacing w:val="-2"/>
        </w:rPr>
        <w:t xml:space="preserve"> Youth</w:t>
      </w:r>
    </w:p>
    <w:p w:rsidR="00200FDA" w:rsidRDefault="00200FDA">
      <w:pPr>
        <w:pStyle w:val="BodyText"/>
        <w:spacing w:before="4"/>
        <w:rPr>
          <w:sz w:val="25"/>
        </w:rPr>
      </w:pPr>
    </w:p>
    <w:p w:rsidR="00200FDA" w:rsidRDefault="00F76C4C">
      <w:pPr>
        <w:pStyle w:val="BodyText"/>
        <w:spacing w:line="276" w:lineRule="auto"/>
        <w:ind w:left="4940" w:right="192"/>
        <w:jc w:val="both"/>
      </w:pPr>
      <w:r>
        <w:rPr>
          <w:noProof/>
        </w:rPr>
        <w:drawing>
          <wp:anchor distT="0" distB="0" distL="0" distR="0" simplePos="0" relativeHeight="15787008" behindDoc="0" locked="0" layoutInCell="1" allowOverlap="1">
            <wp:simplePos x="0" y="0"/>
            <wp:positionH relativeFrom="page">
              <wp:posOffset>927735</wp:posOffset>
            </wp:positionH>
            <wp:positionV relativeFrom="paragraph">
              <wp:posOffset>75965</wp:posOffset>
            </wp:positionV>
            <wp:extent cx="2919729" cy="2708908"/>
            <wp:effectExtent l="0" t="0" r="0" b="0"/>
            <wp:wrapNone/>
            <wp:docPr id="93"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00.png"/>
                    <pic:cNvPicPr/>
                  </pic:nvPicPr>
                  <pic:blipFill>
                    <a:blip r:embed="rId518" cstate="print"/>
                    <a:stretch>
                      <a:fillRect/>
                    </a:stretch>
                  </pic:blipFill>
                  <pic:spPr>
                    <a:xfrm>
                      <a:off x="0" y="0"/>
                      <a:ext cx="2919729" cy="2708908"/>
                    </a:xfrm>
                    <a:prstGeom prst="rect">
                      <a:avLst/>
                    </a:prstGeom>
                  </pic:spPr>
                </pic:pic>
              </a:graphicData>
            </a:graphic>
          </wp:anchor>
        </w:drawing>
      </w:r>
      <w:r>
        <w:t>Entire cultural shifts must happen before we achie</w:t>
      </w:r>
      <w:r>
        <w:t>ve a state where LGBTQ youth experience affirmation wherever they go, and the concept of sexual health and affirmation is broader than just looking at education in schools. In fact, LGBTQ- affirming education begins before a child’s first birthday, by teac</w:t>
      </w:r>
      <w:r>
        <w:t>hing children that they have agency over their own bodies; that they should respect</w:t>
      </w:r>
      <w:r>
        <w:rPr>
          <w:spacing w:val="-10"/>
        </w:rPr>
        <w:t xml:space="preserve"> </w:t>
      </w:r>
      <w:r>
        <w:t>others’</w:t>
      </w:r>
      <w:r>
        <w:rPr>
          <w:spacing w:val="-8"/>
        </w:rPr>
        <w:t xml:space="preserve"> </w:t>
      </w:r>
      <w:r>
        <w:t>bodies;</w:t>
      </w:r>
      <w:r>
        <w:rPr>
          <w:spacing w:val="-7"/>
        </w:rPr>
        <w:t xml:space="preserve"> </w:t>
      </w:r>
      <w:r>
        <w:t>and</w:t>
      </w:r>
      <w:r>
        <w:rPr>
          <w:spacing w:val="-9"/>
        </w:rPr>
        <w:t xml:space="preserve"> </w:t>
      </w:r>
      <w:r>
        <w:t>that</w:t>
      </w:r>
      <w:r>
        <w:rPr>
          <w:spacing w:val="-7"/>
        </w:rPr>
        <w:t xml:space="preserve"> </w:t>
      </w:r>
      <w:r>
        <w:t>adults</w:t>
      </w:r>
      <w:r>
        <w:rPr>
          <w:spacing w:val="-5"/>
        </w:rPr>
        <w:t xml:space="preserve"> </w:t>
      </w:r>
      <w:r>
        <w:t>in</w:t>
      </w:r>
      <w:r>
        <w:rPr>
          <w:spacing w:val="-9"/>
        </w:rPr>
        <w:t xml:space="preserve"> </w:t>
      </w:r>
      <w:r>
        <w:t>their</w:t>
      </w:r>
      <w:r>
        <w:rPr>
          <w:spacing w:val="-8"/>
        </w:rPr>
        <w:t xml:space="preserve"> </w:t>
      </w:r>
      <w:r>
        <w:t xml:space="preserve">lives respect who they are. Most children, per the American Academy of Pediatrics, have a stable sense of their gender identity by </w:t>
      </w:r>
      <w:r>
        <w:t>the age of four, and</w:t>
      </w:r>
      <w:r>
        <w:rPr>
          <w:spacing w:val="-2"/>
        </w:rPr>
        <w:t xml:space="preserve"> </w:t>
      </w:r>
      <w:r>
        <w:t>can</w:t>
      </w:r>
      <w:r>
        <w:rPr>
          <w:spacing w:val="-2"/>
        </w:rPr>
        <w:t xml:space="preserve"> </w:t>
      </w:r>
      <w:r>
        <w:t>easily</w:t>
      </w:r>
      <w:r>
        <w:rPr>
          <w:spacing w:val="-3"/>
        </w:rPr>
        <w:t xml:space="preserve"> </w:t>
      </w:r>
      <w:r>
        <w:t>label</w:t>
      </w:r>
      <w:r>
        <w:rPr>
          <w:spacing w:val="-3"/>
        </w:rPr>
        <w:t xml:space="preserve"> </w:t>
      </w:r>
      <w:r>
        <w:t>themselves</w:t>
      </w:r>
      <w:r>
        <w:rPr>
          <w:spacing w:val="-3"/>
        </w:rPr>
        <w:t xml:space="preserve"> </w:t>
      </w:r>
      <w:r>
        <w:t>to</w:t>
      </w:r>
      <w:r>
        <w:rPr>
          <w:spacing w:val="-3"/>
        </w:rPr>
        <w:t xml:space="preserve"> </w:t>
      </w:r>
      <w:r>
        <w:t>identify</w:t>
      </w:r>
      <w:r>
        <w:rPr>
          <w:spacing w:val="-3"/>
        </w:rPr>
        <w:t xml:space="preserve"> </w:t>
      </w:r>
      <w:r>
        <w:t>as</w:t>
      </w:r>
      <w:r>
        <w:rPr>
          <w:spacing w:val="-3"/>
        </w:rPr>
        <w:t xml:space="preserve"> </w:t>
      </w:r>
      <w:r>
        <w:t>a</w:t>
      </w:r>
      <w:r>
        <w:rPr>
          <w:spacing w:val="-2"/>
        </w:rPr>
        <w:t xml:space="preserve"> </w:t>
      </w:r>
      <w:r>
        <w:t>boy or a girl, or perhaps somewhere outside of the gender binary.</w:t>
      </w:r>
      <w:hyperlink w:anchor="_bookmark541" w:history="1">
        <w:r>
          <w:rPr>
            <w:vertAlign w:val="superscript"/>
          </w:rPr>
          <w:t>16</w:t>
        </w:r>
      </w:hyperlink>
    </w:p>
    <w:p w:rsidR="00200FDA" w:rsidRDefault="00F76C4C">
      <w:pPr>
        <w:pStyle w:val="BodyText"/>
        <w:spacing w:before="120" w:line="276" w:lineRule="auto"/>
        <w:ind w:left="139" w:right="192"/>
        <w:jc w:val="both"/>
      </w:pPr>
      <w:r>
        <w:t>Unfortunately, in a 2015 Massachusetts survey, 73% of youth who were out or were perceived as transgender</w:t>
      </w:r>
      <w:r>
        <w:rPr>
          <w:spacing w:val="-1"/>
        </w:rPr>
        <w:t xml:space="preserve"> </w:t>
      </w:r>
      <w:r>
        <w:t>between</w:t>
      </w:r>
      <w:r>
        <w:rPr>
          <w:spacing w:val="-1"/>
        </w:rPr>
        <w:t xml:space="preserve"> </w:t>
      </w:r>
      <w:r>
        <w:t>kindergarten</w:t>
      </w:r>
      <w:r>
        <w:rPr>
          <w:spacing w:val="-1"/>
        </w:rPr>
        <w:t xml:space="preserve"> </w:t>
      </w:r>
      <w:r>
        <w:t>and</w:t>
      </w:r>
      <w:r>
        <w:rPr>
          <w:spacing w:val="-1"/>
        </w:rPr>
        <w:t xml:space="preserve"> </w:t>
      </w:r>
      <w:r>
        <w:t>12th-grade</w:t>
      </w:r>
      <w:r>
        <w:rPr>
          <w:spacing w:val="-2"/>
        </w:rPr>
        <w:t xml:space="preserve"> </w:t>
      </w:r>
      <w:r>
        <w:t>experience</w:t>
      </w:r>
      <w:r>
        <w:rPr>
          <w:spacing w:val="-2"/>
        </w:rPr>
        <w:t xml:space="preserve"> </w:t>
      </w:r>
      <w:r>
        <w:t>some form</w:t>
      </w:r>
      <w:r>
        <w:rPr>
          <w:spacing w:val="-2"/>
        </w:rPr>
        <w:t xml:space="preserve"> </w:t>
      </w:r>
      <w:r>
        <w:t>of</w:t>
      </w:r>
      <w:r>
        <w:rPr>
          <w:spacing w:val="-1"/>
        </w:rPr>
        <w:t xml:space="preserve"> </w:t>
      </w:r>
      <w:r>
        <w:t>mistreatment, harassment,</w:t>
      </w:r>
    </w:p>
    <w:p w:rsidR="00200FDA" w:rsidRDefault="00200FDA">
      <w:pPr>
        <w:spacing w:line="276" w:lineRule="auto"/>
        <w:jc w:val="both"/>
        <w:sectPr w:rsidR="00200FDA">
          <w:pgSz w:w="12240" w:h="15840"/>
          <w:pgMar w:top="1360" w:right="1240" w:bottom="1480" w:left="1300" w:header="761" w:footer="1283" w:gutter="0"/>
          <w:cols w:space="720"/>
        </w:sectPr>
      </w:pPr>
    </w:p>
    <w:p w:rsidR="00200FDA" w:rsidRDefault="00F76C4C">
      <w:pPr>
        <w:pStyle w:val="BodyText"/>
        <w:spacing w:before="64" w:line="276" w:lineRule="auto"/>
        <w:ind w:left="140" w:right="194"/>
        <w:jc w:val="both"/>
      </w:pPr>
      <w:r>
        <w:lastRenderedPageBreak/>
        <w:t>and physical and/or sexual violence; 11% of youth faced such severe mistreatment in schools as a transgender youth that they withdrew from school.</w:t>
      </w:r>
      <w:hyperlink w:anchor="_bookmark542" w:history="1">
        <w:r>
          <w:rPr>
            <w:vertAlign w:val="superscript"/>
          </w:rPr>
          <w:t>17</w:t>
        </w:r>
      </w:hyperlink>
      <w:r>
        <w:t xml:space="preserve"> The Massachusetts Youth Risk Behavior Survey shows that, while bullying and</w:t>
      </w:r>
      <w:r>
        <w:t xml:space="preserve"> harassment rates have gone down in schools, transgender youth are still much more likely than their cisgender peers to experience cyberbullying and physical violence.</w:t>
      </w:r>
    </w:p>
    <w:p w:rsidR="00200FDA" w:rsidRDefault="00F76C4C">
      <w:pPr>
        <w:pStyle w:val="BodyText"/>
        <w:spacing w:before="120" w:line="273" w:lineRule="auto"/>
        <w:ind w:left="140" w:right="195"/>
        <w:jc w:val="both"/>
      </w:pPr>
      <w:r>
        <w:t>Support from caregivers, providers, educators, and other adults in youths’ lives can lay</w:t>
      </w:r>
      <w:r>
        <w:t xml:space="preserve"> a critical foundation</w:t>
      </w:r>
      <w:r>
        <w:rPr>
          <w:spacing w:val="40"/>
        </w:rPr>
        <w:t xml:space="preserve"> </w:t>
      </w:r>
      <w:r>
        <w:t>for</w:t>
      </w:r>
      <w:r>
        <w:rPr>
          <w:spacing w:val="40"/>
        </w:rPr>
        <w:t xml:space="preserve"> </w:t>
      </w:r>
      <w:r>
        <w:t>children</w:t>
      </w:r>
      <w:r>
        <w:rPr>
          <w:spacing w:val="40"/>
        </w:rPr>
        <w:t xml:space="preserve"> </w:t>
      </w:r>
      <w:r>
        <w:t>forming</w:t>
      </w:r>
      <w:r>
        <w:rPr>
          <w:spacing w:val="40"/>
        </w:rPr>
        <w:t xml:space="preserve"> </w:t>
      </w:r>
      <w:r>
        <w:t>healthy</w:t>
      </w:r>
    </w:p>
    <w:p w:rsidR="00200FDA" w:rsidRDefault="00F76C4C">
      <w:pPr>
        <w:pStyle w:val="BodyText"/>
        <w:spacing w:before="5" w:line="276" w:lineRule="auto"/>
        <w:ind w:left="140" w:right="5781"/>
        <w:jc w:val="both"/>
      </w:pPr>
      <w:r>
        <w:rPr>
          <w:noProof/>
        </w:rPr>
        <w:drawing>
          <wp:anchor distT="0" distB="0" distL="0" distR="0" simplePos="0" relativeHeight="15787520" behindDoc="0" locked="0" layoutInCell="1" allowOverlap="1">
            <wp:simplePos x="0" y="0"/>
            <wp:positionH relativeFrom="page">
              <wp:posOffset>4206461</wp:posOffset>
            </wp:positionH>
            <wp:positionV relativeFrom="paragraph">
              <wp:posOffset>39999</wp:posOffset>
            </wp:positionV>
            <wp:extent cx="2601117" cy="2661603"/>
            <wp:effectExtent l="0" t="0" r="0" b="0"/>
            <wp:wrapNone/>
            <wp:docPr id="95"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01.jpeg"/>
                    <pic:cNvPicPr/>
                  </pic:nvPicPr>
                  <pic:blipFill>
                    <a:blip r:embed="rId519" cstate="print"/>
                    <a:stretch>
                      <a:fillRect/>
                    </a:stretch>
                  </pic:blipFill>
                  <pic:spPr>
                    <a:xfrm>
                      <a:off x="0" y="0"/>
                      <a:ext cx="2601117" cy="2661603"/>
                    </a:xfrm>
                    <a:prstGeom prst="rect">
                      <a:avLst/>
                    </a:prstGeom>
                  </pic:spPr>
                </pic:pic>
              </a:graphicData>
            </a:graphic>
          </wp:anchor>
        </w:drawing>
      </w:r>
      <w:r>
        <w:t>understandings of gender and sexuality. Encouraged methods beginning in early years include using gender-neutral pronouns in storytelling; highlighting LGBTQ</w:t>
      </w:r>
      <w:r>
        <w:rPr>
          <w:spacing w:val="-12"/>
        </w:rPr>
        <w:t xml:space="preserve"> </w:t>
      </w:r>
      <w:r>
        <w:t>figures</w:t>
      </w:r>
      <w:r>
        <w:rPr>
          <w:spacing w:val="-10"/>
        </w:rPr>
        <w:t xml:space="preserve"> </w:t>
      </w:r>
      <w:r>
        <w:t>and</w:t>
      </w:r>
      <w:r>
        <w:rPr>
          <w:spacing w:val="-10"/>
        </w:rPr>
        <w:t xml:space="preserve"> </w:t>
      </w:r>
      <w:r>
        <w:t>role</w:t>
      </w:r>
      <w:r>
        <w:rPr>
          <w:spacing w:val="-11"/>
        </w:rPr>
        <w:t xml:space="preserve"> </w:t>
      </w:r>
      <w:r>
        <w:t>models</w:t>
      </w:r>
      <w:r>
        <w:rPr>
          <w:spacing w:val="-10"/>
        </w:rPr>
        <w:t xml:space="preserve"> </w:t>
      </w:r>
      <w:r>
        <w:t>in</w:t>
      </w:r>
      <w:r>
        <w:rPr>
          <w:spacing w:val="-10"/>
        </w:rPr>
        <w:t xml:space="preserve"> </w:t>
      </w:r>
      <w:r>
        <w:t>curricula and stor</w:t>
      </w:r>
      <w:r>
        <w:t>ybooks; teaching about bodily autonomy and consent; supporting youth by using</w:t>
      </w:r>
      <w:r>
        <w:rPr>
          <w:spacing w:val="-2"/>
        </w:rPr>
        <w:t xml:space="preserve"> </w:t>
      </w:r>
      <w:r>
        <w:t>their</w:t>
      </w:r>
      <w:r>
        <w:rPr>
          <w:spacing w:val="-4"/>
        </w:rPr>
        <w:t xml:space="preserve"> </w:t>
      </w:r>
      <w:r>
        <w:t>chosen</w:t>
      </w:r>
      <w:r>
        <w:rPr>
          <w:spacing w:val="-2"/>
        </w:rPr>
        <w:t xml:space="preserve"> </w:t>
      </w:r>
      <w:r>
        <w:t>name and</w:t>
      </w:r>
      <w:r>
        <w:rPr>
          <w:spacing w:val="-2"/>
        </w:rPr>
        <w:t xml:space="preserve"> </w:t>
      </w:r>
      <w:r>
        <w:t>pronouns without</w:t>
      </w:r>
      <w:r>
        <w:rPr>
          <w:spacing w:val="-13"/>
        </w:rPr>
        <w:t xml:space="preserve"> </w:t>
      </w:r>
      <w:r>
        <w:t>hesitation;</w:t>
      </w:r>
      <w:r>
        <w:rPr>
          <w:spacing w:val="-12"/>
        </w:rPr>
        <w:t xml:space="preserve"> </w:t>
      </w:r>
      <w:r>
        <w:t>and</w:t>
      </w:r>
      <w:r>
        <w:rPr>
          <w:spacing w:val="-13"/>
        </w:rPr>
        <w:t xml:space="preserve"> </w:t>
      </w:r>
      <w:r>
        <w:t>encouraging</w:t>
      </w:r>
      <w:r>
        <w:rPr>
          <w:spacing w:val="-12"/>
        </w:rPr>
        <w:t xml:space="preserve"> </w:t>
      </w:r>
      <w:r>
        <w:t>youth to express themselves through choosing their own clothing and hairstyles.</w:t>
      </w:r>
    </w:p>
    <w:p w:rsidR="00200FDA" w:rsidRDefault="00F76C4C">
      <w:pPr>
        <w:pStyle w:val="BodyText"/>
        <w:spacing w:before="121" w:line="276" w:lineRule="auto"/>
        <w:ind w:left="140" w:right="5781"/>
        <w:jc w:val="both"/>
      </w:pPr>
      <w:r>
        <w:t>While more formal sexual health</w:t>
      </w:r>
      <w:r>
        <w:t xml:space="preserve"> education</w:t>
      </w:r>
      <w:r>
        <w:rPr>
          <w:spacing w:val="-3"/>
        </w:rPr>
        <w:t xml:space="preserve"> </w:t>
      </w:r>
      <w:r>
        <w:t>might</w:t>
      </w:r>
      <w:r>
        <w:rPr>
          <w:spacing w:val="-2"/>
        </w:rPr>
        <w:t xml:space="preserve"> </w:t>
      </w:r>
      <w:r>
        <w:t>begin</w:t>
      </w:r>
      <w:r>
        <w:rPr>
          <w:spacing w:val="-1"/>
        </w:rPr>
        <w:t xml:space="preserve"> </w:t>
      </w:r>
      <w:r>
        <w:t>in</w:t>
      </w:r>
      <w:r>
        <w:rPr>
          <w:spacing w:val="-3"/>
        </w:rPr>
        <w:t xml:space="preserve"> </w:t>
      </w:r>
      <w:r>
        <w:t>middle school,</w:t>
      </w:r>
      <w:r>
        <w:rPr>
          <w:spacing w:val="-1"/>
        </w:rPr>
        <w:t xml:space="preserve"> </w:t>
      </w:r>
      <w:r>
        <w:t>it is</w:t>
      </w:r>
      <w:r>
        <w:rPr>
          <w:spacing w:val="67"/>
        </w:rPr>
        <w:t xml:space="preserve"> </w:t>
      </w:r>
      <w:r>
        <w:t>essential</w:t>
      </w:r>
      <w:r>
        <w:rPr>
          <w:spacing w:val="68"/>
        </w:rPr>
        <w:t xml:space="preserve"> </w:t>
      </w:r>
      <w:r>
        <w:t>for</w:t>
      </w:r>
      <w:r>
        <w:rPr>
          <w:spacing w:val="67"/>
        </w:rPr>
        <w:t xml:space="preserve"> </w:t>
      </w:r>
      <w:r>
        <w:t>caregivers</w:t>
      </w:r>
      <w:r>
        <w:rPr>
          <w:spacing w:val="68"/>
        </w:rPr>
        <w:t xml:space="preserve"> </w:t>
      </w:r>
      <w:r>
        <w:t>to</w:t>
      </w:r>
      <w:r>
        <w:rPr>
          <w:spacing w:val="67"/>
        </w:rPr>
        <w:t xml:space="preserve"> </w:t>
      </w:r>
      <w:r>
        <w:t>lay</w:t>
      </w:r>
      <w:r>
        <w:rPr>
          <w:spacing w:val="67"/>
        </w:rPr>
        <w:t xml:space="preserve"> </w:t>
      </w:r>
      <w:r>
        <w:rPr>
          <w:spacing w:val="-4"/>
        </w:rPr>
        <w:t>down</w:t>
      </w:r>
    </w:p>
    <w:p w:rsidR="00200FDA" w:rsidRDefault="00F76C4C">
      <w:pPr>
        <w:pStyle w:val="BodyText"/>
        <w:spacing w:line="273" w:lineRule="auto"/>
        <w:ind w:left="140" w:right="196"/>
        <w:jc w:val="both"/>
      </w:pPr>
      <w:r>
        <w:t>foundations of accurate information, as youth often receive incorrect and harmful information from peers, family members, and media.</w:t>
      </w:r>
    </w:p>
    <w:p w:rsidR="00200FDA" w:rsidRDefault="00F76C4C">
      <w:pPr>
        <w:pStyle w:val="BodyText"/>
        <w:spacing w:before="124" w:line="276" w:lineRule="auto"/>
        <w:ind w:left="139" w:right="195"/>
        <w:jc w:val="both"/>
      </w:pPr>
      <w:r>
        <w:t>As youth grow up, the creation and provision of safe and brave spaces is essential for youth to find communities where they can learn in structured and unstructured environments. Local community programs</w:t>
      </w:r>
      <w:r>
        <w:rPr>
          <w:spacing w:val="-6"/>
        </w:rPr>
        <w:t xml:space="preserve"> </w:t>
      </w:r>
      <w:r>
        <w:t>focusing</w:t>
      </w:r>
      <w:r>
        <w:rPr>
          <w:spacing w:val="-6"/>
        </w:rPr>
        <w:t xml:space="preserve"> </w:t>
      </w:r>
      <w:r>
        <w:t>on</w:t>
      </w:r>
      <w:r>
        <w:rPr>
          <w:spacing w:val="-5"/>
        </w:rPr>
        <w:t xml:space="preserve"> </w:t>
      </w:r>
      <w:r>
        <w:t>skills</w:t>
      </w:r>
      <w:r>
        <w:rPr>
          <w:spacing w:val="-8"/>
        </w:rPr>
        <w:t xml:space="preserve"> </w:t>
      </w:r>
      <w:r>
        <w:t>building</w:t>
      </w:r>
      <w:r>
        <w:rPr>
          <w:spacing w:val="-5"/>
        </w:rPr>
        <w:t xml:space="preserve"> </w:t>
      </w:r>
      <w:r>
        <w:t>and</w:t>
      </w:r>
      <w:r>
        <w:rPr>
          <w:spacing w:val="-5"/>
        </w:rPr>
        <w:t xml:space="preserve"> </w:t>
      </w:r>
      <w:r>
        <w:t>relationship</w:t>
      </w:r>
      <w:r>
        <w:rPr>
          <w:spacing w:val="-5"/>
        </w:rPr>
        <w:t xml:space="preserve"> </w:t>
      </w:r>
      <w:r>
        <w:t>develop</w:t>
      </w:r>
      <w:r>
        <w:t>ment</w:t>
      </w:r>
      <w:r>
        <w:rPr>
          <w:spacing w:val="-5"/>
        </w:rPr>
        <w:t xml:space="preserve"> </w:t>
      </w:r>
      <w:r>
        <w:t>both</w:t>
      </w:r>
      <w:r>
        <w:rPr>
          <w:spacing w:val="-7"/>
        </w:rPr>
        <w:t xml:space="preserve"> </w:t>
      </w:r>
      <w:r>
        <w:t>in</w:t>
      </w:r>
      <w:r>
        <w:rPr>
          <w:spacing w:val="-5"/>
        </w:rPr>
        <w:t xml:space="preserve"> </w:t>
      </w:r>
      <w:r>
        <w:t>and</w:t>
      </w:r>
      <w:r>
        <w:rPr>
          <w:spacing w:val="-6"/>
        </w:rPr>
        <w:t xml:space="preserve"> </w:t>
      </w:r>
      <w:r>
        <w:t>out</w:t>
      </w:r>
      <w:r>
        <w:rPr>
          <w:spacing w:val="-4"/>
        </w:rPr>
        <w:t xml:space="preserve"> </w:t>
      </w:r>
      <w:r>
        <w:t>of</w:t>
      </w:r>
      <w:r>
        <w:rPr>
          <w:spacing w:val="-6"/>
        </w:rPr>
        <w:t xml:space="preserve"> </w:t>
      </w:r>
      <w:r>
        <w:t>schools</w:t>
      </w:r>
      <w:r>
        <w:rPr>
          <w:spacing w:val="-4"/>
        </w:rPr>
        <w:t xml:space="preserve"> </w:t>
      </w:r>
      <w:r>
        <w:t>can</w:t>
      </w:r>
      <w:r>
        <w:rPr>
          <w:spacing w:val="-7"/>
        </w:rPr>
        <w:t xml:space="preserve"> </w:t>
      </w:r>
      <w:r>
        <w:t>support youth as they explore their own personal growth.</w:t>
      </w:r>
      <w:hyperlink w:anchor="_bookmark543" w:history="1">
        <w:r>
          <w:rPr>
            <w:vertAlign w:val="superscript"/>
          </w:rPr>
          <w:t>18</w:t>
        </w:r>
      </w:hyperlink>
    </w:p>
    <w:p w:rsidR="00200FDA" w:rsidRDefault="00F76C4C">
      <w:pPr>
        <w:pStyle w:val="BodyText"/>
        <w:spacing w:before="121" w:line="276" w:lineRule="auto"/>
        <w:ind w:left="139" w:right="193"/>
        <w:jc w:val="both"/>
      </w:pPr>
      <w:r>
        <w:t>For</w:t>
      </w:r>
      <w:r>
        <w:rPr>
          <w:spacing w:val="-9"/>
        </w:rPr>
        <w:t xml:space="preserve"> </w:t>
      </w:r>
      <w:r>
        <w:t>supporting</w:t>
      </w:r>
      <w:r>
        <w:rPr>
          <w:spacing w:val="-10"/>
        </w:rPr>
        <w:t xml:space="preserve"> </w:t>
      </w:r>
      <w:r>
        <w:t>gender</w:t>
      </w:r>
      <w:r>
        <w:rPr>
          <w:spacing w:val="-12"/>
        </w:rPr>
        <w:t xml:space="preserve"> </w:t>
      </w:r>
      <w:r>
        <w:t>expansive</w:t>
      </w:r>
      <w:r>
        <w:rPr>
          <w:spacing w:val="-11"/>
        </w:rPr>
        <w:t xml:space="preserve"> </w:t>
      </w:r>
      <w:r>
        <w:t>youth</w:t>
      </w:r>
      <w:r>
        <w:rPr>
          <w:spacing w:val="-10"/>
        </w:rPr>
        <w:t xml:space="preserve"> </w:t>
      </w:r>
      <w:r>
        <w:t>in</w:t>
      </w:r>
      <w:r>
        <w:rPr>
          <w:spacing w:val="-10"/>
        </w:rPr>
        <w:t xml:space="preserve"> </w:t>
      </w:r>
      <w:r>
        <w:t>particular,</w:t>
      </w:r>
      <w:r>
        <w:rPr>
          <w:spacing w:val="-11"/>
        </w:rPr>
        <w:t xml:space="preserve"> </w:t>
      </w:r>
      <w:r>
        <w:t>caregivers</w:t>
      </w:r>
      <w:r>
        <w:rPr>
          <w:spacing w:val="-11"/>
        </w:rPr>
        <w:t xml:space="preserve"> </w:t>
      </w:r>
      <w:r>
        <w:t>and</w:t>
      </w:r>
      <w:r>
        <w:rPr>
          <w:spacing w:val="-10"/>
        </w:rPr>
        <w:t xml:space="preserve"> </w:t>
      </w:r>
      <w:r>
        <w:t>educators</w:t>
      </w:r>
      <w:r>
        <w:rPr>
          <w:spacing w:val="-11"/>
        </w:rPr>
        <w:t xml:space="preserve"> </w:t>
      </w:r>
      <w:r>
        <w:t>must</w:t>
      </w:r>
      <w:r>
        <w:rPr>
          <w:spacing w:val="-8"/>
        </w:rPr>
        <w:t xml:space="preserve"> </w:t>
      </w:r>
      <w:r>
        <w:t>ensure</w:t>
      </w:r>
      <w:r>
        <w:rPr>
          <w:spacing w:val="-11"/>
        </w:rPr>
        <w:t xml:space="preserve"> </w:t>
      </w:r>
      <w:r>
        <w:t>that</w:t>
      </w:r>
      <w:r>
        <w:rPr>
          <w:spacing w:val="-11"/>
        </w:rPr>
        <w:t xml:space="preserve"> </w:t>
      </w:r>
      <w:r>
        <w:t>youth</w:t>
      </w:r>
      <w:r>
        <w:rPr>
          <w:spacing w:val="-10"/>
        </w:rPr>
        <w:t xml:space="preserve"> </w:t>
      </w:r>
      <w:r>
        <w:t>are empowered from a young a</w:t>
      </w:r>
      <w:r>
        <w:t>ge in their gender identities, but also given room to be playful and flexible in their expressions. There are many options for young gender expansive youth to socially transition with taking any steps to alter their bodies, including haircuts, name changes</w:t>
      </w:r>
      <w:r>
        <w:t>, and clothing expression. As children get older, the use of makeup and other gender-affirming items, like wigs, packers, and padded bras may be other options to support youth’s gender expression prior to or alongside puberty blockers. Supported</w:t>
      </w:r>
      <w:r>
        <w:rPr>
          <w:spacing w:val="-11"/>
        </w:rPr>
        <w:t xml:space="preserve"> </w:t>
      </w:r>
      <w:r>
        <w:t>by</w:t>
      </w:r>
      <w:r>
        <w:rPr>
          <w:spacing w:val="-9"/>
        </w:rPr>
        <w:t xml:space="preserve"> </w:t>
      </w:r>
      <w:r>
        <w:t>numerous</w:t>
      </w:r>
      <w:r>
        <w:rPr>
          <w:spacing w:val="-12"/>
        </w:rPr>
        <w:t xml:space="preserve"> </w:t>
      </w:r>
      <w:r>
        <w:t>medical</w:t>
      </w:r>
      <w:r>
        <w:rPr>
          <w:spacing w:val="-13"/>
        </w:rPr>
        <w:t xml:space="preserve"> </w:t>
      </w:r>
      <w:r>
        <w:t>organizations</w:t>
      </w:r>
      <w:r>
        <w:rPr>
          <w:spacing w:val="-11"/>
        </w:rPr>
        <w:t xml:space="preserve"> </w:t>
      </w:r>
      <w:r>
        <w:t>and</w:t>
      </w:r>
      <w:r>
        <w:rPr>
          <w:spacing w:val="-11"/>
        </w:rPr>
        <w:t xml:space="preserve"> </w:t>
      </w:r>
      <w:r>
        <w:t>providers,</w:t>
      </w:r>
      <w:r>
        <w:rPr>
          <w:spacing w:val="-10"/>
        </w:rPr>
        <w:t xml:space="preserve"> </w:t>
      </w:r>
      <w:r>
        <w:t>puberty</w:t>
      </w:r>
      <w:r>
        <w:rPr>
          <w:spacing w:val="-12"/>
        </w:rPr>
        <w:t xml:space="preserve"> </w:t>
      </w:r>
      <w:r>
        <w:t>blockers</w:t>
      </w:r>
      <w:r>
        <w:rPr>
          <w:spacing w:val="-12"/>
        </w:rPr>
        <w:t xml:space="preserve"> </w:t>
      </w:r>
      <w:r>
        <w:t>are</w:t>
      </w:r>
      <w:r>
        <w:rPr>
          <w:spacing w:val="-9"/>
        </w:rPr>
        <w:t xml:space="preserve"> </w:t>
      </w:r>
      <w:r>
        <w:t>a</w:t>
      </w:r>
      <w:r>
        <w:rPr>
          <w:spacing w:val="-13"/>
        </w:rPr>
        <w:t xml:space="preserve"> </w:t>
      </w:r>
      <w:r>
        <w:t>safe,</w:t>
      </w:r>
      <w:r>
        <w:rPr>
          <w:spacing w:val="-9"/>
        </w:rPr>
        <w:t xml:space="preserve"> </w:t>
      </w:r>
      <w:r>
        <w:t>temporary,</w:t>
      </w:r>
      <w:r>
        <w:rPr>
          <w:spacing w:val="-12"/>
        </w:rPr>
        <w:t xml:space="preserve"> </w:t>
      </w:r>
      <w:r>
        <w:t>and effective</w:t>
      </w:r>
      <w:r>
        <w:rPr>
          <w:spacing w:val="-4"/>
        </w:rPr>
        <w:t xml:space="preserve"> </w:t>
      </w:r>
      <w:r>
        <w:t>method</w:t>
      </w:r>
      <w:r>
        <w:rPr>
          <w:spacing w:val="-3"/>
        </w:rPr>
        <w:t xml:space="preserve"> </w:t>
      </w:r>
      <w:r>
        <w:t>-</w:t>
      </w:r>
      <w:r>
        <w:rPr>
          <w:spacing w:val="-2"/>
        </w:rPr>
        <w:t xml:space="preserve"> </w:t>
      </w:r>
      <w:r>
        <w:t>lasting</w:t>
      </w:r>
      <w:r>
        <w:rPr>
          <w:spacing w:val="-3"/>
        </w:rPr>
        <w:t xml:space="preserve"> </w:t>
      </w:r>
      <w:r>
        <w:t>only</w:t>
      </w:r>
      <w:r>
        <w:rPr>
          <w:spacing w:val="-1"/>
        </w:rPr>
        <w:t xml:space="preserve"> </w:t>
      </w:r>
      <w:r>
        <w:t>as</w:t>
      </w:r>
      <w:r>
        <w:rPr>
          <w:spacing w:val="-2"/>
        </w:rPr>
        <w:t xml:space="preserve"> </w:t>
      </w:r>
      <w:r>
        <w:t>long</w:t>
      </w:r>
      <w:r>
        <w:rPr>
          <w:spacing w:val="-3"/>
        </w:rPr>
        <w:t xml:space="preserve"> </w:t>
      </w:r>
      <w:r>
        <w:t>as</w:t>
      </w:r>
      <w:r>
        <w:rPr>
          <w:spacing w:val="-2"/>
        </w:rPr>
        <w:t xml:space="preserve"> </w:t>
      </w:r>
      <w:r>
        <w:t>a</w:t>
      </w:r>
      <w:r>
        <w:rPr>
          <w:spacing w:val="-2"/>
        </w:rPr>
        <w:t xml:space="preserve"> </w:t>
      </w:r>
      <w:r>
        <w:t>patient</w:t>
      </w:r>
      <w:r>
        <w:rPr>
          <w:spacing w:val="-1"/>
        </w:rPr>
        <w:t xml:space="preserve"> </w:t>
      </w:r>
      <w:r>
        <w:t>uses</w:t>
      </w:r>
      <w:r>
        <w:rPr>
          <w:spacing w:val="-2"/>
        </w:rPr>
        <w:t xml:space="preserve"> </w:t>
      </w:r>
      <w:r>
        <w:t>the</w:t>
      </w:r>
      <w:r>
        <w:rPr>
          <w:spacing w:val="-1"/>
        </w:rPr>
        <w:t xml:space="preserve"> </w:t>
      </w:r>
      <w:r>
        <w:t>blockers</w:t>
      </w:r>
      <w:r>
        <w:rPr>
          <w:spacing w:val="-2"/>
        </w:rPr>
        <w:t xml:space="preserve"> </w:t>
      </w:r>
      <w:r>
        <w:t>-</w:t>
      </w:r>
      <w:r>
        <w:rPr>
          <w:spacing w:val="-2"/>
        </w:rPr>
        <w:t xml:space="preserve"> </w:t>
      </w:r>
      <w:r>
        <w:t>of</w:t>
      </w:r>
      <w:r>
        <w:rPr>
          <w:spacing w:val="-2"/>
        </w:rPr>
        <w:t xml:space="preserve"> </w:t>
      </w:r>
      <w:r>
        <w:t>delaying</w:t>
      </w:r>
      <w:r>
        <w:rPr>
          <w:spacing w:val="-5"/>
        </w:rPr>
        <w:t xml:space="preserve"> </w:t>
      </w:r>
      <w:r>
        <w:t>the</w:t>
      </w:r>
      <w:r>
        <w:rPr>
          <w:spacing w:val="-1"/>
        </w:rPr>
        <w:t xml:space="preserve"> </w:t>
      </w:r>
      <w:r>
        <w:t>onset</w:t>
      </w:r>
      <w:r>
        <w:rPr>
          <w:spacing w:val="-4"/>
        </w:rPr>
        <w:t xml:space="preserve"> </w:t>
      </w:r>
      <w:r>
        <w:t>of</w:t>
      </w:r>
      <w:r>
        <w:rPr>
          <w:spacing w:val="-2"/>
        </w:rPr>
        <w:t xml:space="preserve"> </w:t>
      </w:r>
      <w:r>
        <w:t>puberty</w:t>
      </w:r>
      <w:r>
        <w:rPr>
          <w:spacing w:val="-1"/>
        </w:rPr>
        <w:t xml:space="preserve"> </w:t>
      </w:r>
      <w:r>
        <w:t>to allow</w:t>
      </w:r>
      <w:r>
        <w:rPr>
          <w:spacing w:val="-7"/>
        </w:rPr>
        <w:t xml:space="preserve"> </w:t>
      </w:r>
      <w:r>
        <w:t>gender</w:t>
      </w:r>
      <w:r>
        <w:rPr>
          <w:spacing w:val="-8"/>
        </w:rPr>
        <w:t xml:space="preserve"> </w:t>
      </w:r>
      <w:r>
        <w:t>expansive</w:t>
      </w:r>
      <w:r>
        <w:rPr>
          <w:spacing w:val="-7"/>
        </w:rPr>
        <w:t xml:space="preserve"> </w:t>
      </w:r>
      <w:r>
        <w:t>youth</w:t>
      </w:r>
      <w:r>
        <w:rPr>
          <w:spacing w:val="-8"/>
        </w:rPr>
        <w:t xml:space="preserve"> </w:t>
      </w:r>
      <w:r>
        <w:t>the</w:t>
      </w:r>
      <w:r>
        <w:rPr>
          <w:spacing w:val="-7"/>
        </w:rPr>
        <w:t xml:space="preserve"> </w:t>
      </w:r>
      <w:r>
        <w:t>time</w:t>
      </w:r>
      <w:r>
        <w:rPr>
          <w:spacing w:val="-9"/>
        </w:rPr>
        <w:t xml:space="preserve"> </w:t>
      </w:r>
      <w:r>
        <w:t>to</w:t>
      </w:r>
      <w:r>
        <w:rPr>
          <w:spacing w:val="-6"/>
        </w:rPr>
        <w:t xml:space="preserve"> </w:t>
      </w:r>
      <w:r>
        <w:t>explore</w:t>
      </w:r>
      <w:r>
        <w:rPr>
          <w:spacing w:val="-7"/>
        </w:rPr>
        <w:t xml:space="preserve"> </w:t>
      </w:r>
      <w:r>
        <w:t>their</w:t>
      </w:r>
      <w:r>
        <w:rPr>
          <w:spacing w:val="-8"/>
        </w:rPr>
        <w:t xml:space="preserve"> </w:t>
      </w:r>
      <w:r>
        <w:t>ge</w:t>
      </w:r>
      <w:r>
        <w:t>nder</w:t>
      </w:r>
      <w:r>
        <w:rPr>
          <w:spacing w:val="-8"/>
        </w:rPr>
        <w:t xml:space="preserve"> </w:t>
      </w:r>
      <w:r>
        <w:t>identity</w:t>
      </w:r>
      <w:r>
        <w:rPr>
          <w:spacing w:val="-7"/>
        </w:rPr>
        <w:t xml:space="preserve"> </w:t>
      </w:r>
      <w:r>
        <w:t>and</w:t>
      </w:r>
      <w:r>
        <w:rPr>
          <w:spacing w:val="-8"/>
        </w:rPr>
        <w:t xml:space="preserve"> </w:t>
      </w:r>
      <w:r>
        <w:t>decide</w:t>
      </w:r>
      <w:r>
        <w:rPr>
          <w:spacing w:val="-7"/>
        </w:rPr>
        <w:t xml:space="preserve"> </w:t>
      </w:r>
      <w:r>
        <w:t>what</w:t>
      </w:r>
      <w:r>
        <w:rPr>
          <w:spacing w:val="-9"/>
        </w:rPr>
        <w:t xml:space="preserve"> </w:t>
      </w:r>
      <w:r>
        <w:t>future</w:t>
      </w:r>
      <w:r>
        <w:rPr>
          <w:spacing w:val="-9"/>
        </w:rPr>
        <w:t xml:space="preserve"> </w:t>
      </w:r>
      <w:r>
        <w:t>steps</w:t>
      </w:r>
      <w:r>
        <w:rPr>
          <w:spacing w:val="-9"/>
        </w:rPr>
        <w:t xml:space="preserve"> </w:t>
      </w:r>
      <w:r>
        <w:t>they may want to take in their transition with very little risk.</w:t>
      </w:r>
      <w:hyperlink w:anchor="_bookmark544" w:history="1">
        <w:r>
          <w:rPr>
            <w:vertAlign w:val="superscript"/>
          </w:rPr>
          <w:t>19</w:t>
        </w:r>
      </w:hyperlink>
      <w:r>
        <w:t xml:space="preserve"> Research has decisively shown that taking puberty blockers has significantly positive mental health effects for gender expansive youth, including reducing rates of suicidal ideation and attempts;</w:t>
      </w:r>
      <w:hyperlink w:anchor="_bookmark545" w:history="1">
        <w:r>
          <w:rPr>
            <w:vertAlign w:val="superscript"/>
          </w:rPr>
          <w:t>20</w:t>
        </w:r>
      </w:hyperlink>
      <w:r>
        <w:t xml:space="preserve"> and 98% of youth who use </w:t>
      </w:r>
      <w:r>
        <w:t>puberty blockers continue gender-affirming treatment into adulthood.</w:t>
      </w:r>
      <w:hyperlink w:anchor="_bookmark546" w:history="1">
        <w:r>
          <w:rPr>
            <w:vertAlign w:val="superscript"/>
          </w:rPr>
          <w:t>21</w:t>
        </w:r>
      </w:hyperlink>
    </w:p>
    <w:p w:rsidR="00200FDA" w:rsidRDefault="00200FDA">
      <w:pPr>
        <w:spacing w:line="276" w:lineRule="auto"/>
        <w:jc w:val="both"/>
        <w:sectPr w:rsidR="00200FDA">
          <w:pgSz w:w="12240" w:h="15840"/>
          <w:pgMar w:top="1360" w:right="1240" w:bottom="1480" w:left="1300" w:header="761" w:footer="1283" w:gutter="0"/>
          <w:cols w:space="720"/>
        </w:sectPr>
      </w:pPr>
    </w:p>
    <w:p w:rsidR="00200FDA" w:rsidRDefault="00200FDA">
      <w:pPr>
        <w:pStyle w:val="BodyText"/>
        <w:spacing w:before="11"/>
        <w:rPr>
          <w:sz w:val="28"/>
        </w:rPr>
      </w:pPr>
    </w:p>
    <w:p w:rsidR="00200FDA" w:rsidRDefault="00F76C4C">
      <w:pPr>
        <w:pStyle w:val="Heading8"/>
        <w:spacing w:before="52"/>
      </w:pPr>
      <w:bookmarkStart w:id="683" w:name="Bodily_Autonomy_for_Intersex_Youth"/>
      <w:bookmarkEnd w:id="683"/>
      <w:r>
        <w:rPr>
          <w:color w:val="0A5293"/>
        </w:rPr>
        <w:t>Bodily</w:t>
      </w:r>
      <w:r>
        <w:rPr>
          <w:color w:val="0A5293"/>
          <w:spacing w:val="-3"/>
        </w:rPr>
        <w:t xml:space="preserve"> </w:t>
      </w:r>
      <w:r>
        <w:rPr>
          <w:color w:val="0A5293"/>
        </w:rPr>
        <w:t>Autonomy</w:t>
      </w:r>
      <w:r>
        <w:rPr>
          <w:color w:val="0A5293"/>
          <w:spacing w:val="-3"/>
        </w:rPr>
        <w:t xml:space="preserve"> </w:t>
      </w:r>
      <w:r>
        <w:rPr>
          <w:color w:val="0A5293"/>
        </w:rPr>
        <w:t>for</w:t>
      </w:r>
      <w:r>
        <w:rPr>
          <w:color w:val="0A5293"/>
          <w:spacing w:val="-2"/>
        </w:rPr>
        <w:t xml:space="preserve"> </w:t>
      </w:r>
      <w:r>
        <w:rPr>
          <w:color w:val="0A5293"/>
        </w:rPr>
        <w:t>Intersex</w:t>
      </w:r>
      <w:r>
        <w:rPr>
          <w:color w:val="0A5293"/>
          <w:spacing w:val="-2"/>
        </w:rPr>
        <w:t xml:space="preserve"> </w:t>
      </w:r>
      <w:r>
        <w:rPr>
          <w:color w:val="0A5293"/>
          <w:spacing w:val="-4"/>
        </w:rPr>
        <w:t>Youth</w:t>
      </w:r>
    </w:p>
    <w:p w:rsidR="00200FDA" w:rsidRDefault="00200FDA">
      <w:pPr>
        <w:pStyle w:val="BodyText"/>
        <w:spacing w:before="4"/>
        <w:rPr>
          <w:sz w:val="25"/>
        </w:rPr>
      </w:pPr>
    </w:p>
    <w:p w:rsidR="00200FDA" w:rsidRDefault="00F76C4C">
      <w:pPr>
        <w:pStyle w:val="BodyText"/>
        <w:spacing w:line="276" w:lineRule="auto"/>
        <w:ind w:left="139" w:right="194"/>
        <w:jc w:val="both"/>
      </w:pPr>
      <w:r>
        <w:t>When having conversations around bodily autonomy, it is essential that caregivers, advocates, and policymakers include the experiences of intersex youth. Though performing medically unnecessary surgeries on intersex infants has been widely condemned by med</w:t>
      </w:r>
      <w:r>
        <w:t>ical professionals and advocates - including the American Academy of Family Physicians</w:t>
      </w:r>
      <w:hyperlink w:anchor="_bookmark547" w:history="1">
        <w:r>
          <w:rPr>
            <w:vertAlign w:val="superscript"/>
          </w:rPr>
          <w:t>22</w:t>
        </w:r>
      </w:hyperlink>
      <w:r>
        <w:t xml:space="preserve"> and Amnesty International</w:t>
      </w:r>
      <w:hyperlink w:anchor="_bookmark548" w:history="1">
        <w:r>
          <w:rPr>
            <w:vertAlign w:val="superscript"/>
          </w:rPr>
          <w:t>23</w:t>
        </w:r>
      </w:hyperlink>
      <w:r>
        <w:t xml:space="preserve"> - as unethical and harmful</w:t>
      </w:r>
      <w:r>
        <w:rPr>
          <w:spacing w:val="-13"/>
        </w:rPr>
        <w:t xml:space="preserve"> </w:t>
      </w:r>
      <w:r>
        <w:t>to</w:t>
      </w:r>
      <w:r>
        <w:rPr>
          <w:spacing w:val="-12"/>
        </w:rPr>
        <w:t xml:space="preserve"> </w:t>
      </w:r>
      <w:r>
        <w:t>youth,</w:t>
      </w:r>
      <w:r>
        <w:rPr>
          <w:spacing w:val="-13"/>
        </w:rPr>
        <w:t xml:space="preserve"> </w:t>
      </w:r>
      <w:r>
        <w:t>surgeries</w:t>
      </w:r>
      <w:r>
        <w:rPr>
          <w:spacing w:val="-12"/>
        </w:rPr>
        <w:t xml:space="preserve"> </w:t>
      </w:r>
      <w:r>
        <w:t>intended</w:t>
      </w:r>
      <w:r>
        <w:rPr>
          <w:spacing w:val="-13"/>
        </w:rPr>
        <w:t xml:space="preserve"> </w:t>
      </w:r>
      <w:r>
        <w:t>to</w:t>
      </w:r>
      <w:r>
        <w:rPr>
          <w:spacing w:val="-12"/>
        </w:rPr>
        <w:t xml:space="preserve"> </w:t>
      </w:r>
      <w:r>
        <w:t>make</w:t>
      </w:r>
      <w:r>
        <w:rPr>
          <w:spacing w:val="-13"/>
        </w:rPr>
        <w:t xml:space="preserve"> </w:t>
      </w:r>
      <w:r>
        <w:t>intersex</w:t>
      </w:r>
      <w:r>
        <w:rPr>
          <w:spacing w:val="-12"/>
        </w:rPr>
        <w:t xml:space="preserve"> </w:t>
      </w:r>
      <w:r>
        <w:t>ba</w:t>
      </w:r>
      <w:r>
        <w:t>bies’</w:t>
      </w:r>
      <w:r>
        <w:rPr>
          <w:spacing w:val="-12"/>
        </w:rPr>
        <w:t xml:space="preserve"> </w:t>
      </w:r>
      <w:r>
        <w:t>genitals</w:t>
      </w:r>
      <w:r>
        <w:rPr>
          <w:spacing w:val="-13"/>
        </w:rPr>
        <w:t xml:space="preserve"> </w:t>
      </w:r>
      <w:r>
        <w:t>more</w:t>
      </w:r>
      <w:r>
        <w:rPr>
          <w:spacing w:val="-12"/>
        </w:rPr>
        <w:t xml:space="preserve"> </w:t>
      </w:r>
      <w:r>
        <w:t>typical</w:t>
      </w:r>
      <w:r>
        <w:rPr>
          <w:spacing w:val="-13"/>
        </w:rPr>
        <w:t xml:space="preserve"> </w:t>
      </w:r>
      <w:r>
        <w:t>in</w:t>
      </w:r>
      <w:r>
        <w:rPr>
          <w:spacing w:val="-12"/>
        </w:rPr>
        <w:t xml:space="preserve"> </w:t>
      </w:r>
      <w:r>
        <w:t>a</w:t>
      </w:r>
      <w:r>
        <w:rPr>
          <w:spacing w:val="-13"/>
        </w:rPr>
        <w:t xml:space="preserve"> </w:t>
      </w:r>
      <w:r>
        <w:t>binary</w:t>
      </w:r>
      <w:r>
        <w:rPr>
          <w:spacing w:val="-12"/>
        </w:rPr>
        <w:t xml:space="preserve"> </w:t>
      </w:r>
      <w:r>
        <w:t>appearance still occur across the United States. Such surgeries can result in irreversible lifelong effects including sterilization, scarring, chronic pain and incontinence, as well as loss of sexual sensation, psychological trauma, and gender dysphoria.</w:t>
      </w:r>
      <w:hyperlink w:anchor="_bookmark549" w:history="1">
        <w:r>
          <w:rPr>
            <w:vertAlign w:val="superscript"/>
          </w:rPr>
          <w:t>24</w:t>
        </w:r>
      </w:hyperlink>
      <w:r>
        <w:t xml:space="preserve"> In 2020, Boston Children’s Hospital announced that it would stop performing genital reconstruction surgeries on intersex patients unable to offer consent, though the Commission is unaware if any other hospitals in Massachus</w:t>
      </w:r>
      <w:r>
        <w:t>etts have continued or discontinued these surgical practices on intersex infants.</w:t>
      </w:r>
      <w:hyperlink w:anchor="_bookmark550" w:history="1">
        <w:r>
          <w:rPr>
            <w:vertAlign w:val="superscript"/>
          </w:rPr>
          <w:t>25</w:t>
        </w:r>
      </w:hyperlink>
    </w:p>
    <w:p w:rsidR="00200FDA" w:rsidRDefault="00F76C4C">
      <w:pPr>
        <w:pStyle w:val="BodyText"/>
        <w:spacing w:before="121" w:line="276" w:lineRule="auto"/>
        <w:ind w:left="139" w:right="195"/>
        <w:jc w:val="both"/>
      </w:pPr>
      <w:r>
        <w:t>In</w:t>
      </w:r>
      <w:r>
        <w:rPr>
          <w:spacing w:val="-10"/>
        </w:rPr>
        <w:t xml:space="preserve"> </w:t>
      </w:r>
      <w:r>
        <w:t>addition</w:t>
      </w:r>
      <w:r>
        <w:rPr>
          <w:spacing w:val="-10"/>
        </w:rPr>
        <w:t xml:space="preserve"> </w:t>
      </w:r>
      <w:r>
        <w:t>to</w:t>
      </w:r>
      <w:r>
        <w:rPr>
          <w:spacing w:val="-10"/>
        </w:rPr>
        <w:t xml:space="preserve"> </w:t>
      </w:r>
      <w:r>
        <w:t>surgery,</w:t>
      </w:r>
      <w:r>
        <w:rPr>
          <w:spacing w:val="-11"/>
        </w:rPr>
        <w:t xml:space="preserve"> </w:t>
      </w:r>
      <w:r>
        <w:t>caregivers</w:t>
      </w:r>
      <w:r>
        <w:rPr>
          <w:spacing w:val="-9"/>
        </w:rPr>
        <w:t xml:space="preserve"> </w:t>
      </w:r>
      <w:r>
        <w:t>and</w:t>
      </w:r>
      <w:r>
        <w:rPr>
          <w:spacing w:val="-10"/>
        </w:rPr>
        <w:t xml:space="preserve"> </w:t>
      </w:r>
      <w:r>
        <w:t>providers</w:t>
      </w:r>
      <w:r>
        <w:rPr>
          <w:spacing w:val="-11"/>
        </w:rPr>
        <w:t xml:space="preserve"> </w:t>
      </w:r>
      <w:r>
        <w:t>may</w:t>
      </w:r>
      <w:r>
        <w:rPr>
          <w:spacing w:val="-11"/>
        </w:rPr>
        <w:t xml:space="preserve"> </w:t>
      </w:r>
      <w:r>
        <w:t>often</w:t>
      </w:r>
      <w:r>
        <w:rPr>
          <w:spacing w:val="-10"/>
        </w:rPr>
        <w:t xml:space="preserve"> </w:t>
      </w:r>
      <w:r>
        <w:t>unethically</w:t>
      </w:r>
      <w:r>
        <w:rPr>
          <w:spacing w:val="-8"/>
        </w:rPr>
        <w:t xml:space="preserve"> </w:t>
      </w:r>
      <w:r>
        <w:t>compromise</w:t>
      </w:r>
      <w:r>
        <w:rPr>
          <w:spacing w:val="-8"/>
        </w:rPr>
        <w:t xml:space="preserve"> </w:t>
      </w:r>
      <w:r>
        <w:t>intersex</w:t>
      </w:r>
      <w:r>
        <w:rPr>
          <w:spacing w:val="-9"/>
        </w:rPr>
        <w:t xml:space="preserve"> </w:t>
      </w:r>
      <w:r>
        <w:t>youths’</w:t>
      </w:r>
      <w:r>
        <w:rPr>
          <w:spacing w:val="-9"/>
        </w:rPr>
        <w:t xml:space="preserve"> </w:t>
      </w:r>
      <w:r>
        <w:t>bodily autonomy</w:t>
      </w:r>
      <w:r>
        <w:rPr>
          <w:spacing w:val="-4"/>
        </w:rPr>
        <w:t xml:space="preserve"> </w:t>
      </w:r>
      <w:r>
        <w:t>in</w:t>
      </w:r>
      <w:r>
        <w:rPr>
          <w:spacing w:val="-7"/>
        </w:rPr>
        <w:t xml:space="preserve"> </w:t>
      </w:r>
      <w:r>
        <w:t>other</w:t>
      </w:r>
      <w:r>
        <w:rPr>
          <w:spacing w:val="-5"/>
        </w:rPr>
        <w:t xml:space="preserve"> </w:t>
      </w:r>
      <w:r>
        <w:t>ways,</w:t>
      </w:r>
      <w:r>
        <w:rPr>
          <w:spacing w:val="-7"/>
        </w:rPr>
        <w:t xml:space="preserve"> </w:t>
      </w:r>
      <w:r>
        <w:t>such</w:t>
      </w:r>
      <w:r>
        <w:rPr>
          <w:spacing w:val="-5"/>
        </w:rPr>
        <w:t xml:space="preserve"> </w:t>
      </w:r>
      <w:r>
        <w:t>as</w:t>
      </w:r>
      <w:r>
        <w:rPr>
          <w:spacing w:val="-5"/>
        </w:rPr>
        <w:t xml:space="preserve"> </w:t>
      </w:r>
      <w:r>
        <w:t>ke</w:t>
      </w:r>
      <w:r>
        <w:t>eping</w:t>
      </w:r>
      <w:r>
        <w:rPr>
          <w:spacing w:val="-5"/>
        </w:rPr>
        <w:t xml:space="preserve"> </w:t>
      </w:r>
      <w:r>
        <w:t>intersex</w:t>
      </w:r>
      <w:r>
        <w:rPr>
          <w:spacing w:val="-6"/>
        </w:rPr>
        <w:t xml:space="preserve"> </w:t>
      </w:r>
      <w:r>
        <w:t>identity</w:t>
      </w:r>
      <w:r>
        <w:rPr>
          <w:spacing w:val="-4"/>
        </w:rPr>
        <w:t xml:space="preserve"> </w:t>
      </w:r>
      <w:r>
        <w:t>from</w:t>
      </w:r>
      <w:r>
        <w:rPr>
          <w:spacing w:val="-5"/>
        </w:rPr>
        <w:t xml:space="preserve"> </w:t>
      </w:r>
      <w:r>
        <w:t>the</w:t>
      </w:r>
      <w:r>
        <w:rPr>
          <w:spacing w:val="-6"/>
        </w:rPr>
        <w:t xml:space="preserve"> </w:t>
      </w:r>
      <w:r>
        <w:t>youth,</w:t>
      </w:r>
      <w:r>
        <w:rPr>
          <w:spacing w:val="-7"/>
        </w:rPr>
        <w:t xml:space="preserve"> </w:t>
      </w:r>
      <w:r>
        <w:t>or</w:t>
      </w:r>
      <w:r>
        <w:rPr>
          <w:spacing w:val="-5"/>
        </w:rPr>
        <w:t xml:space="preserve"> </w:t>
      </w:r>
      <w:r>
        <w:t>providing</w:t>
      </w:r>
      <w:r>
        <w:rPr>
          <w:spacing w:val="-5"/>
        </w:rPr>
        <w:t xml:space="preserve"> </w:t>
      </w:r>
      <w:r>
        <w:t>hormone</w:t>
      </w:r>
      <w:r>
        <w:rPr>
          <w:spacing w:val="-6"/>
        </w:rPr>
        <w:t xml:space="preserve"> </w:t>
      </w:r>
      <w:r>
        <w:t>therapy or puberty blockers to unaware youth. In a 2021 Trevor Project survey on youth mental health, nearly 1 in 2 intersex youth seriously considered suicide, compared to 41% of LGBTQ youth who</w:t>
      </w:r>
      <w:r>
        <w:t xml:space="preserve"> did not identify as intersex; and two-thirds of responding intersex youth noted that they had experienced symptoms of major depressive disorder within the two weeks prior.</w:t>
      </w:r>
      <w:hyperlink w:anchor="_bookmark551" w:history="1">
        <w:r>
          <w:rPr>
            <w:vertAlign w:val="superscript"/>
          </w:rPr>
          <w:t>26</w:t>
        </w:r>
      </w:hyperlink>
    </w:p>
    <w:p w:rsidR="00200FDA" w:rsidRDefault="00F76C4C">
      <w:pPr>
        <w:pStyle w:val="Heading8"/>
        <w:spacing w:before="161"/>
      </w:pPr>
      <w:bookmarkStart w:id="684" w:name="Contraceptive_Options_and_Access"/>
      <w:bookmarkEnd w:id="684"/>
      <w:r>
        <w:rPr>
          <w:color w:val="0A5293"/>
        </w:rPr>
        <w:t>Contraceptive</w:t>
      </w:r>
      <w:r>
        <w:rPr>
          <w:color w:val="0A5293"/>
          <w:spacing w:val="-3"/>
        </w:rPr>
        <w:t xml:space="preserve"> </w:t>
      </w:r>
      <w:r>
        <w:rPr>
          <w:color w:val="0A5293"/>
        </w:rPr>
        <w:t>Options</w:t>
      </w:r>
      <w:r>
        <w:rPr>
          <w:color w:val="0A5293"/>
          <w:spacing w:val="-1"/>
        </w:rPr>
        <w:t xml:space="preserve"> </w:t>
      </w:r>
      <w:r>
        <w:rPr>
          <w:color w:val="0A5293"/>
        </w:rPr>
        <w:t xml:space="preserve">and </w:t>
      </w:r>
      <w:r>
        <w:rPr>
          <w:color w:val="0A5293"/>
          <w:spacing w:val="-2"/>
        </w:rPr>
        <w:t>Access</w:t>
      </w:r>
    </w:p>
    <w:p w:rsidR="00200FDA" w:rsidRDefault="00200FDA">
      <w:pPr>
        <w:pStyle w:val="BodyText"/>
        <w:spacing w:before="1"/>
        <w:rPr>
          <w:sz w:val="25"/>
        </w:rPr>
      </w:pPr>
    </w:p>
    <w:p w:rsidR="00200FDA" w:rsidRDefault="00F76C4C">
      <w:pPr>
        <w:pStyle w:val="BodyText"/>
        <w:tabs>
          <w:tab w:val="left" w:pos="1838"/>
        </w:tabs>
        <w:spacing w:before="1" w:line="276" w:lineRule="auto"/>
        <w:ind w:left="139" w:right="6410"/>
        <w:jc w:val="both"/>
      </w:pPr>
      <w:r>
        <w:rPr>
          <w:noProof/>
        </w:rPr>
        <w:drawing>
          <wp:anchor distT="0" distB="0" distL="0" distR="0" simplePos="0" relativeHeight="15788032" behindDoc="0" locked="0" layoutInCell="1" allowOverlap="1">
            <wp:simplePos x="0" y="0"/>
            <wp:positionH relativeFrom="page">
              <wp:posOffset>3024504</wp:posOffset>
            </wp:positionH>
            <wp:positionV relativeFrom="paragraph">
              <wp:posOffset>43524</wp:posOffset>
            </wp:positionV>
            <wp:extent cx="3833389" cy="2859403"/>
            <wp:effectExtent l="0" t="0" r="0" b="0"/>
            <wp:wrapNone/>
            <wp:docPr id="97"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02.jpeg"/>
                    <pic:cNvPicPr/>
                  </pic:nvPicPr>
                  <pic:blipFill>
                    <a:blip r:embed="rId520" cstate="print"/>
                    <a:stretch>
                      <a:fillRect/>
                    </a:stretch>
                  </pic:blipFill>
                  <pic:spPr>
                    <a:xfrm>
                      <a:off x="0" y="0"/>
                      <a:ext cx="3833389" cy="2859403"/>
                    </a:xfrm>
                    <a:prstGeom prst="rect">
                      <a:avLst/>
                    </a:prstGeom>
                  </pic:spPr>
                </pic:pic>
              </a:graphicData>
            </a:graphic>
          </wp:anchor>
        </w:drawing>
      </w:r>
      <w:r>
        <w:t xml:space="preserve">Far too often, the conversations around contraception with youth are limited to external condoms as the primary option for contraceptive devices - an approach that often ignores alternative, and sometimes more </w:t>
      </w:r>
      <w:r>
        <w:rPr>
          <w:spacing w:val="-2"/>
        </w:rPr>
        <w:t>relevant,</w:t>
      </w:r>
      <w:r>
        <w:tab/>
      </w:r>
      <w:r>
        <w:rPr>
          <w:spacing w:val="-2"/>
        </w:rPr>
        <w:t xml:space="preserve">LGBTQ-inclusive </w:t>
      </w:r>
      <w:r>
        <w:t>contraceptive device</w:t>
      </w:r>
      <w:r>
        <w:t>s. Condoms - both external and internal - are highly effective at reducing infections, HIV transmission, and unintended pregnancies, and are the most accessible as they can often</w:t>
      </w:r>
      <w:r>
        <w:rPr>
          <w:spacing w:val="-6"/>
        </w:rPr>
        <w:t xml:space="preserve"> </w:t>
      </w:r>
      <w:r>
        <w:t>be</w:t>
      </w:r>
      <w:r>
        <w:rPr>
          <w:spacing w:val="-2"/>
        </w:rPr>
        <w:t xml:space="preserve"> </w:t>
      </w:r>
      <w:r>
        <w:t>purchased</w:t>
      </w:r>
      <w:r>
        <w:rPr>
          <w:spacing w:val="-3"/>
        </w:rPr>
        <w:t xml:space="preserve"> </w:t>
      </w:r>
      <w:r>
        <w:t>at</w:t>
      </w:r>
      <w:r>
        <w:rPr>
          <w:spacing w:val="-4"/>
        </w:rPr>
        <w:t xml:space="preserve"> </w:t>
      </w:r>
      <w:r>
        <w:rPr>
          <w:spacing w:val="-2"/>
        </w:rPr>
        <w:t>convenience</w:t>
      </w:r>
    </w:p>
    <w:p w:rsidR="00200FDA" w:rsidRDefault="00F76C4C">
      <w:pPr>
        <w:pStyle w:val="BodyText"/>
        <w:spacing w:line="276" w:lineRule="auto"/>
        <w:ind w:left="139" w:right="197"/>
        <w:jc w:val="both"/>
      </w:pPr>
      <w:r>
        <w:t>stores.</w:t>
      </w:r>
      <w:r>
        <w:rPr>
          <w:spacing w:val="-9"/>
        </w:rPr>
        <w:t xml:space="preserve"> </w:t>
      </w:r>
      <w:r>
        <w:t>However,</w:t>
      </w:r>
      <w:r>
        <w:rPr>
          <w:spacing w:val="-11"/>
        </w:rPr>
        <w:t xml:space="preserve"> </w:t>
      </w:r>
      <w:r>
        <w:t>cost,</w:t>
      </w:r>
      <w:r>
        <w:rPr>
          <w:spacing w:val="-9"/>
        </w:rPr>
        <w:t xml:space="preserve"> </w:t>
      </w:r>
      <w:r>
        <w:t>safety,</w:t>
      </w:r>
      <w:r>
        <w:rPr>
          <w:spacing w:val="-9"/>
        </w:rPr>
        <w:t xml:space="preserve"> </w:t>
      </w:r>
      <w:r>
        <w:t>transportation,</w:t>
      </w:r>
      <w:r>
        <w:rPr>
          <w:spacing w:val="-11"/>
        </w:rPr>
        <w:t xml:space="preserve"> </w:t>
      </w:r>
      <w:r>
        <w:t>mo</w:t>
      </w:r>
      <w:r>
        <w:t>bility,</w:t>
      </w:r>
      <w:r>
        <w:rPr>
          <w:spacing w:val="-11"/>
        </w:rPr>
        <w:t xml:space="preserve"> </w:t>
      </w:r>
      <w:r>
        <w:t>and</w:t>
      </w:r>
      <w:r>
        <w:rPr>
          <w:spacing w:val="-10"/>
        </w:rPr>
        <w:t xml:space="preserve"> </w:t>
      </w:r>
      <w:r>
        <w:t>fear</w:t>
      </w:r>
      <w:r>
        <w:rPr>
          <w:spacing w:val="-12"/>
        </w:rPr>
        <w:t xml:space="preserve"> </w:t>
      </w:r>
      <w:r>
        <w:t>of</w:t>
      </w:r>
      <w:r>
        <w:rPr>
          <w:spacing w:val="-9"/>
        </w:rPr>
        <w:t xml:space="preserve"> </w:t>
      </w:r>
      <w:r>
        <w:t>stigmatization</w:t>
      </w:r>
      <w:r>
        <w:rPr>
          <w:spacing w:val="-10"/>
        </w:rPr>
        <w:t xml:space="preserve"> </w:t>
      </w:r>
      <w:r>
        <w:t>can</w:t>
      </w:r>
      <w:r>
        <w:rPr>
          <w:spacing w:val="-10"/>
        </w:rPr>
        <w:t xml:space="preserve"> </w:t>
      </w:r>
      <w:r>
        <w:t>often</w:t>
      </w:r>
      <w:r>
        <w:rPr>
          <w:spacing w:val="-10"/>
        </w:rPr>
        <w:t xml:space="preserve"> </w:t>
      </w:r>
      <w:r>
        <w:t>be</w:t>
      </w:r>
      <w:r>
        <w:rPr>
          <w:spacing w:val="-9"/>
        </w:rPr>
        <w:t xml:space="preserve"> </w:t>
      </w:r>
      <w:r>
        <w:t>challenging barriers to overcome, particularly for</w:t>
      </w:r>
      <w:r>
        <w:rPr>
          <w:spacing w:val="-1"/>
        </w:rPr>
        <w:t xml:space="preserve"> </w:t>
      </w:r>
      <w:r>
        <w:t>youth still living</w:t>
      </w:r>
      <w:r>
        <w:rPr>
          <w:spacing w:val="-2"/>
        </w:rPr>
        <w:t xml:space="preserve"> </w:t>
      </w:r>
      <w:r>
        <w:t>with their parents, who may opt out of purchasing condoms altogether and participating in unprotected sexual behaviors.</w:t>
      </w:r>
    </w:p>
    <w:p w:rsidR="00200FDA" w:rsidRDefault="00200FDA">
      <w:pPr>
        <w:spacing w:line="276" w:lineRule="auto"/>
        <w:jc w:val="both"/>
        <w:sectPr w:rsidR="00200FDA">
          <w:pgSz w:w="12240" w:h="15840"/>
          <w:pgMar w:top="1360" w:right="1240" w:bottom="1480" w:left="1300" w:header="761" w:footer="1283" w:gutter="0"/>
          <w:cols w:space="720"/>
        </w:sectPr>
      </w:pPr>
    </w:p>
    <w:p w:rsidR="00200FDA" w:rsidRDefault="00200FDA">
      <w:pPr>
        <w:pStyle w:val="BodyText"/>
        <w:rPr>
          <w:sz w:val="20"/>
        </w:rPr>
      </w:pPr>
    </w:p>
    <w:p w:rsidR="00200FDA" w:rsidRDefault="00200FDA">
      <w:pPr>
        <w:pStyle w:val="BodyText"/>
        <w:spacing w:before="10"/>
        <w:rPr>
          <w:sz w:val="15"/>
        </w:rPr>
      </w:pPr>
    </w:p>
    <w:p w:rsidR="00200FDA" w:rsidRDefault="00F76C4C">
      <w:pPr>
        <w:pStyle w:val="BodyText"/>
        <w:spacing w:before="56" w:line="276" w:lineRule="auto"/>
        <w:ind w:left="139" w:right="193"/>
        <w:jc w:val="both"/>
      </w:pPr>
      <w:r>
        <w:t>As</w:t>
      </w:r>
      <w:r>
        <w:t xml:space="preserve"> recommended above, it is essential to increase access to all types of contraceptive devices for youth, and</w:t>
      </w:r>
      <w:r>
        <w:rPr>
          <w:spacing w:val="-10"/>
        </w:rPr>
        <w:t xml:space="preserve"> </w:t>
      </w:r>
      <w:r>
        <w:t>increase</w:t>
      </w:r>
      <w:r>
        <w:rPr>
          <w:spacing w:val="-11"/>
        </w:rPr>
        <w:t xml:space="preserve"> </w:t>
      </w:r>
      <w:r>
        <w:t>education</w:t>
      </w:r>
      <w:r>
        <w:rPr>
          <w:spacing w:val="-10"/>
        </w:rPr>
        <w:t xml:space="preserve"> </w:t>
      </w:r>
      <w:r>
        <w:t>campaigns</w:t>
      </w:r>
      <w:r>
        <w:rPr>
          <w:spacing w:val="-9"/>
        </w:rPr>
        <w:t xml:space="preserve"> </w:t>
      </w:r>
      <w:r>
        <w:t>around</w:t>
      </w:r>
      <w:r>
        <w:rPr>
          <w:spacing w:val="-10"/>
        </w:rPr>
        <w:t xml:space="preserve"> </w:t>
      </w:r>
      <w:r>
        <w:t>the</w:t>
      </w:r>
      <w:r>
        <w:rPr>
          <w:spacing w:val="-9"/>
        </w:rPr>
        <w:t xml:space="preserve"> </w:t>
      </w:r>
      <w:r>
        <w:t>importance</w:t>
      </w:r>
      <w:r>
        <w:rPr>
          <w:spacing w:val="-11"/>
        </w:rPr>
        <w:t xml:space="preserve"> </w:t>
      </w:r>
      <w:r>
        <w:t>of</w:t>
      </w:r>
      <w:r>
        <w:rPr>
          <w:spacing w:val="-9"/>
        </w:rPr>
        <w:t xml:space="preserve"> </w:t>
      </w:r>
      <w:r>
        <w:t>proper</w:t>
      </w:r>
      <w:r>
        <w:rPr>
          <w:spacing w:val="-9"/>
        </w:rPr>
        <w:t xml:space="preserve"> </w:t>
      </w:r>
      <w:r>
        <w:t>usage.</w:t>
      </w:r>
      <w:r>
        <w:rPr>
          <w:spacing w:val="-9"/>
        </w:rPr>
        <w:t xml:space="preserve"> </w:t>
      </w:r>
      <w:r>
        <w:t>A</w:t>
      </w:r>
      <w:r>
        <w:rPr>
          <w:spacing w:val="-12"/>
        </w:rPr>
        <w:t xml:space="preserve"> </w:t>
      </w:r>
      <w:r>
        <w:t>2021</w:t>
      </w:r>
      <w:r>
        <w:rPr>
          <w:spacing w:val="-9"/>
        </w:rPr>
        <w:t xml:space="preserve"> </w:t>
      </w:r>
      <w:r>
        <w:t>national</w:t>
      </w:r>
      <w:r>
        <w:rPr>
          <w:spacing w:val="-12"/>
        </w:rPr>
        <w:t xml:space="preserve"> </w:t>
      </w:r>
      <w:r>
        <w:t>study</w:t>
      </w:r>
      <w:r>
        <w:rPr>
          <w:spacing w:val="-10"/>
        </w:rPr>
        <w:t xml:space="preserve"> </w:t>
      </w:r>
      <w:r>
        <w:t>showed that only 38% of LGBTQ youth used a condom during their last sexual intercourse compared to 60% of heterosexual</w:t>
      </w:r>
      <w:r>
        <w:rPr>
          <w:spacing w:val="-10"/>
        </w:rPr>
        <w:t xml:space="preserve"> </w:t>
      </w:r>
      <w:r>
        <w:t>and</w:t>
      </w:r>
      <w:r>
        <w:rPr>
          <w:spacing w:val="-8"/>
        </w:rPr>
        <w:t xml:space="preserve"> </w:t>
      </w:r>
      <w:r>
        <w:t>cisgender</w:t>
      </w:r>
      <w:r>
        <w:rPr>
          <w:spacing w:val="-10"/>
        </w:rPr>
        <w:t xml:space="preserve"> </w:t>
      </w:r>
      <w:r>
        <w:t>youth.</w:t>
      </w:r>
      <w:hyperlink w:anchor="_bookmark552" w:history="1">
        <w:r>
          <w:rPr>
            <w:vertAlign w:val="superscript"/>
          </w:rPr>
          <w:t>27</w:t>
        </w:r>
      </w:hyperlink>
      <w:r>
        <w:rPr>
          <w:spacing w:val="-8"/>
        </w:rPr>
        <w:t xml:space="preserve"> </w:t>
      </w:r>
      <w:r>
        <w:t>Furthermore,</w:t>
      </w:r>
      <w:r>
        <w:rPr>
          <w:spacing w:val="-9"/>
        </w:rPr>
        <w:t xml:space="preserve"> </w:t>
      </w:r>
      <w:r>
        <w:t>only</w:t>
      </w:r>
      <w:r>
        <w:rPr>
          <w:spacing w:val="-9"/>
        </w:rPr>
        <w:t xml:space="preserve"> </w:t>
      </w:r>
      <w:r>
        <w:t>11%</w:t>
      </w:r>
      <w:r>
        <w:rPr>
          <w:spacing w:val="-9"/>
        </w:rPr>
        <w:t xml:space="preserve"> </w:t>
      </w:r>
      <w:r>
        <w:t>of</w:t>
      </w:r>
      <w:r>
        <w:rPr>
          <w:spacing w:val="-7"/>
        </w:rPr>
        <w:t xml:space="preserve"> </w:t>
      </w:r>
      <w:r>
        <w:t>bisexual</w:t>
      </w:r>
      <w:r>
        <w:rPr>
          <w:spacing w:val="-7"/>
        </w:rPr>
        <w:t xml:space="preserve"> </w:t>
      </w:r>
      <w:r>
        <w:t>high</w:t>
      </w:r>
      <w:r>
        <w:rPr>
          <w:spacing w:val="-8"/>
        </w:rPr>
        <w:t xml:space="preserve"> </w:t>
      </w:r>
      <w:r>
        <w:t>school</w:t>
      </w:r>
      <w:r>
        <w:rPr>
          <w:spacing w:val="-10"/>
        </w:rPr>
        <w:t xml:space="preserve"> </w:t>
      </w:r>
      <w:r>
        <w:t>boys</w:t>
      </w:r>
      <w:r>
        <w:rPr>
          <w:spacing w:val="-9"/>
        </w:rPr>
        <w:t xml:space="preserve"> </w:t>
      </w:r>
      <w:r>
        <w:t>who</w:t>
      </w:r>
      <w:r>
        <w:rPr>
          <w:spacing w:val="-6"/>
        </w:rPr>
        <w:t xml:space="preserve"> </w:t>
      </w:r>
      <w:r>
        <w:t>had</w:t>
      </w:r>
      <w:r>
        <w:rPr>
          <w:spacing w:val="-8"/>
        </w:rPr>
        <w:t xml:space="preserve"> </w:t>
      </w:r>
      <w:r>
        <w:t>a</w:t>
      </w:r>
      <w:r>
        <w:rPr>
          <w:spacing w:val="-10"/>
        </w:rPr>
        <w:t xml:space="preserve"> </w:t>
      </w:r>
      <w:r>
        <w:t>same- sex partner use</w:t>
      </w:r>
      <w:r>
        <w:t>d a condom during their last sexual intercourse.</w:t>
      </w:r>
      <w:hyperlink w:anchor="_bookmark553" w:history="1">
        <w:r>
          <w:rPr>
            <w:vertAlign w:val="superscript"/>
          </w:rPr>
          <w:t>28</w:t>
        </w:r>
      </w:hyperlink>
      <w:r>
        <w:t xml:space="preserve"> As discussed in the Commission’s previous FY 2023 MYRBS analysis, there has been a concerning decline in condom usage amongst youth in Massachusetts, with only 54.3% of yout</w:t>
      </w:r>
      <w:r>
        <w:t>h in 2019 reporting using a condom during their last sexual intercourse - between 2019 and 2021 there was only a 4% increase in condom usage amongst Massachusetts youth.</w:t>
      </w:r>
    </w:p>
    <w:p w:rsidR="00200FDA" w:rsidRDefault="00F76C4C">
      <w:pPr>
        <w:pStyle w:val="BodyText"/>
        <w:spacing w:before="120" w:line="276" w:lineRule="auto"/>
        <w:ind w:left="139" w:right="196"/>
        <w:jc w:val="both"/>
      </w:pPr>
      <w:r>
        <w:t>Besides distribution, as discussed above, education to reduce misinformation about con</w:t>
      </w:r>
      <w:r>
        <w:t>dom usage — such</w:t>
      </w:r>
      <w:r>
        <w:rPr>
          <w:spacing w:val="-1"/>
        </w:rPr>
        <w:t xml:space="preserve"> </w:t>
      </w:r>
      <w:r>
        <w:t>as loss</w:t>
      </w:r>
      <w:r>
        <w:rPr>
          <w:spacing w:val="-2"/>
        </w:rPr>
        <w:t xml:space="preserve"> </w:t>
      </w:r>
      <w:r>
        <w:t>of</w:t>
      </w:r>
      <w:r>
        <w:rPr>
          <w:spacing w:val="2"/>
        </w:rPr>
        <w:t xml:space="preserve"> </w:t>
      </w:r>
      <w:r>
        <w:t>pleasurable</w:t>
      </w:r>
      <w:r>
        <w:rPr>
          <w:spacing w:val="1"/>
        </w:rPr>
        <w:t xml:space="preserve"> </w:t>
      </w:r>
      <w:r>
        <w:t>sensation</w:t>
      </w:r>
      <w:r>
        <w:rPr>
          <w:spacing w:val="1"/>
        </w:rPr>
        <w:t xml:space="preserve"> </w:t>
      </w:r>
      <w:r>
        <w:t>and misconceptions that</w:t>
      </w:r>
      <w:r>
        <w:rPr>
          <w:spacing w:val="1"/>
        </w:rPr>
        <w:t xml:space="preserve"> </w:t>
      </w:r>
      <w:r>
        <w:t>someone has an</w:t>
      </w:r>
      <w:r>
        <w:rPr>
          <w:spacing w:val="2"/>
        </w:rPr>
        <w:t xml:space="preserve"> </w:t>
      </w:r>
      <w:r>
        <w:t>STI</w:t>
      </w:r>
      <w:r>
        <w:rPr>
          <w:spacing w:val="2"/>
        </w:rPr>
        <w:t xml:space="preserve"> </w:t>
      </w:r>
      <w:r>
        <w:t>if they ask</w:t>
      </w:r>
      <w:r>
        <w:rPr>
          <w:spacing w:val="1"/>
        </w:rPr>
        <w:t xml:space="preserve"> </w:t>
      </w:r>
      <w:r>
        <w:t>to</w:t>
      </w:r>
      <w:r>
        <w:rPr>
          <w:spacing w:val="1"/>
        </w:rPr>
        <w:t xml:space="preserve"> </w:t>
      </w:r>
      <w:r>
        <w:t>use</w:t>
      </w:r>
      <w:r>
        <w:rPr>
          <w:spacing w:val="1"/>
        </w:rPr>
        <w:t xml:space="preserve"> </w:t>
      </w:r>
      <w:r>
        <w:rPr>
          <w:spacing w:val="-5"/>
        </w:rPr>
        <w:t>one</w:t>
      </w:r>
    </w:p>
    <w:p w:rsidR="00200FDA" w:rsidRDefault="00F76C4C">
      <w:pPr>
        <w:pStyle w:val="BodyText"/>
        <w:spacing w:line="276" w:lineRule="auto"/>
        <w:ind w:left="139" w:right="196"/>
        <w:jc w:val="both"/>
      </w:pPr>
      <w:r>
        <w:t>— should</w:t>
      </w:r>
      <w:r>
        <w:rPr>
          <w:spacing w:val="-3"/>
        </w:rPr>
        <w:t xml:space="preserve"> </w:t>
      </w:r>
      <w:r>
        <w:t>be</w:t>
      </w:r>
      <w:r>
        <w:rPr>
          <w:spacing w:val="-1"/>
        </w:rPr>
        <w:t xml:space="preserve"> </w:t>
      </w:r>
      <w:r>
        <w:t>provided as part</w:t>
      </w:r>
      <w:r>
        <w:rPr>
          <w:spacing w:val="-1"/>
        </w:rPr>
        <w:t xml:space="preserve"> </w:t>
      </w:r>
      <w:r>
        <w:t>of</w:t>
      </w:r>
      <w:r>
        <w:rPr>
          <w:spacing w:val="-2"/>
        </w:rPr>
        <w:t xml:space="preserve"> </w:t>
      </w:r>
      <w:r>
        <w:t>sexual</w:t>
      </w:r>
      <w:r>
        <w:rPr>
          <w:spacing w:val="-2"/>
        </w:rPr>
        <w:t xml:space="preserve"> </w:t>
      </w:r>
      <w:r>
        <w:t>health</w:t>
      </w:r>
      <w:r>
        <w:rPr>
          <w:spacing w:val="-3"/>
        </w:rPr>
        <w:t xml:space="preserve"> </w:t>
      </w:r>
      <w:r>
        <w:t>education, as should lessons</w:t>
      </w:r>
      <w:r>
        <w:rPr>
          <w:spacing w:val="-4"/>
        </w:rPr>
        <w:t xml:space="preserve"> </w:t>
      </w:r>
      <w:r>
        <w:t>on how to</w:t>
      </w:r>
      <w:r>
        <w:rPr>
          <w:spacing w:val="-1"/>
        </w:rPr>
        <w:t xml:space="preserve"> </w:t>
      </w:r>
      <w:r>
        <w:t>negotiate condom use</w:t>
      </w:r>
      <w:r>
        <w:rPr>
          <w:spacing w:val="-9"/>
        </w:rPr>
        <w:t xml:space="preserve"> </w:t>
      </w:r>
      <w:r>
        <w:t>and</w:t>
      </w:r>
      <w:r>
        <w:rPr>
          <w:spacing w:val="-10"/>
        </w:rPr>
        <w:t xml:space="preserve"> </w:t>
      </w:r>
      <w:r>
        <w:t>risk</w:t>
      </w:r>
      <w:r>
        <w:rPr>
          <w:spacing w:val="-10"/>
        </w:rPr>
        <w:t xml:space="preserve"> </w:t>
      </w:r>
      <w:r>
        <w:t>factors</w:t>
      </w:r>
      <w:r>
        <w:rPr>
          <w:spacing w:val="-11"/>
        </w:rPr>
        <w:t xml:space="preserve"> </w:t>
      </w:r>
      <w:r>
        <w:t>involved;</w:t>
      </w:r>
      <w:r>
        <w:rPr>
          <w:spacing w:val="-9"/>
        </w:rPr>
        <w:t xml:space="preserve"> </w:t>
      </w:r>
      <w:r>
        <w:t>internal</w:t>
      </w:r>
      <w:r>
        <w:rPr>
          <w:spacing w:val="-10"/>
        </w:rPr>
        <w:t xml:space="preserve"> </w:t>
      </w:r>
      <w:r>
        <w:t>condoms</w:t>
      </w:r>
      <w:r>
        <w:rPr>
          <w:spacing w:val="-10"/>
        </w:rPr>
        <w:t xml:space="preserve"> </w:t>
      </w:r>
      <w:r>
        <w:t>are</w:t>
      </w:r>
      <w:r>
        <w:rPr>
          <w:spacing w:val="-9"/>
        </w:rPr>
        <w:t xml:space="preserve"> </w:t>
      </w:r>
      <w:r>
        <w:t>95%</w:t>
      </w:r>
      <w:r>
        <w:rPr>
          <w:spacing w:val="-9"/>
        </w:rPr>
        <w:t xml:space="preserve"> </w:t>
      </w:r>
      <w:r>
        <w:t>effective</w:t>
      </w:r>
      <w:r>
        <w:rPr>
          <w:spacing w:val="-9"/>
        </w:rPr>
        <w:t xml:space="preserve"> </w:t>
      </w:r>
      <w:r>
        <w:t>at</w:t>
      </w:r>
      <w:r>
        <w:rPr>
          <w:spacing w:val="-11"/>
        </w:rPr>
        <w:t xml:space="preserve"> </w:t>
      </w:r>
      <w:r>
        <w:t>preventing</w:t>
      </w:r>
      <w:r>
        <w:rPr>
          <w:spacing w:val="-10"/>
        </w:rPr>
        <w:t xml:space="preserve"> </w:t>
      </w:r>
      <w:r>
        <w:t>STIs</w:t>
      </w:r>
      <w:r>
        <w:rPr>
          <w:spacing w:val="-10"/>
        </w:rPr>
        <w:t xml:space="preserve"> </w:t>
      </w:r>
      <w:r>
        <w:t>and</w:t>
      </w:r>
      <w:r>
        <w:rPr>
          <w:spacing w:val="-10"/>
        </w:rPr>
        <w:t xml:space="preserve"> </w:t>
      </w:r>
      <w:r>
        <w:t>pregnancy</w:t>
      </w:r>
      <w:r>
        <w:rPr>
          <w:spacing w:val="-9"/>
        </w:rPr>
        <w:t xml:space="preserve"> </w:t>
      </w:r>
      <w:r>
        <w:t>if</w:t>
      </w:r>
      <w:r>
        <w:rPr>
          <w:spacing w:val="-10"/>
        </w:rPr>
        <w:t xml:space="preserve"> </w:t>
      </w:r>
      <w:r>
        <w:t>used correctly, but end up being 75-95% correctly because of tears, spillage, placement, or other issues,</w:t>
      </w:r>
      <w:hyperlink w:anchor="_bookmark554" w:history="1">
        <w:r>
          <w:rPr>
            <w:vertAlign w:val="superscript"/>
          </w:rPr>
          <w:t>29</w:t>
        </w:r>
      </w:hyperlink>
      <w:r>
        <w:t xml:space="preserve"> whereas external condoms are often noted as 9</w:t>
      </w:r>
      <w:r>
        <w:t>8% effective at preventing pregnancy but, in reality, are only about 87% effective due to improper use.</w:t>
      </w:r>
      <w:hyperlink w:anchor="_bookmark555" w:history="1">
        <w:r>
          <w:rPr>
            <w:vertAlign w:val="superscript"/>
          </w:rPr>
          <w:t>30</w:t>
        </w:r>
      </w:hyperlink>
    </w:p>
    <w:p w:rsidR="00200FDA" w:rsidRDefault="00F76C4C">
      <w:pPr>
        <w:pStyle w:val="BodyText"/>
        <w:spacing w:before="120" w:line="276" w:lineRule="auto"/>
        <w:ind w:left="139" w:right="194"/>
        <w:jc w:val="both"/>
      </w:pPr>
      <w:r>
        <w:t>Additionally, as discussed in other sections of this report, LGBTQ youth may engage in types of sex work for a variety of different reasons. LGBTQ youth face higher rates of homelessness, poverty, involvement with the criminal legal system, and substance a</w:t>
      </w:r>
      <w:r>
        <w:t>buse due to societal factors influenced by stigma, discrimination,</w:t>
      </w:r>
      <w:r>
        <w:rPr>
          <w:spacing w:val="-9"/>
        </w:rPr>
        <w:t xml:space="preserve"> </w:t>
      </w:r>
      <w:r>
        <w:t>and</w:t>
      </w:r>
      <w:r>
        <w:rPr>
          <w:spacing w:val="-12"/>
        </w:rPr>
        <w:t xml:space="preserve"> </w:t>
      </w:r>
      <w:r>
        <w:t>racism.</w:t>
      </w:r>
      <w:r>
        <w:rPr>
          <w:spacing w:val="-12"/>
        </w:rPr>
        <w:t xml:space="preserve"> </w:t>
      </w:r>
      <w:r>
        <w:t>However,</w:t>
      </w:r>
      <w:r>
        <w:rPr>
          <w:spacing w:val="-9"/>
        </w:rPr>
        <w:t xml:space="preserve"> </w:t>
      </w:r>
      <w:r>
        <w:t>as</w:t>
      </w:r>
      <w:r>
        <w:rPr>
          <w:spacing w:val="-11"/>
        </w:rPr>
        <w:t xml:space="preserve"> </w:t>
      </w:r>
      <w:r>
        <w:t>a</w:t>
      </w:r>
      <w:r>
        <w:rPr>
          <w:spacing w:val="-12"/>
        </w:rPr>
        <w:t xml:space="preserve"> </w:t>
      </w:r>
      <w:r>
        <w:t>result,</w:t>
      </w:r>
      <w:r>
        <w:rPr>
          <w:spacing w:val="-11"/>
        </w:rPr>
        <w:t xml:space="preserve"> </w:t>
      </w:r>
      <w:r>
        <w:t>LGBTQ</w:t>
      </w:r>
      <w:r>
        <w:rPr>
          <w:spacing w:val="-9"/>
        </w:rPr>
        <w:t xml:space="preserve"> </w:t>
      </w:r>
      <w:r>
        <w:t>are</w:t>
      </w:r>
      <w:r>
        <w:rPr>
          <w:spacing w:val="-11"/>
        </w:rPr>
        <w:t xml:space="preserve"> </w:t>
      </w:r>
      <w:r>
        <w:t>three</w:t>
      </w:r>
      <w:r>
        <w:rPr>
          <w:spacing w:val="-11"/>
        </w:rPr>
        <w:t xml:space="preserve"> </w:t>
      </w:r>
      <w:r>
        <w:t>times</w:t>
      </w:r>
      <w:r>
        <w:rPr>
          <w:spacing w:val="-11"/>
        </w:rPr>
        <w:t xml:space="preserve"> </w:t>
      </w:r>
      <w:r>
        <w:t>more</w:t>
      </w:r>
      <w:r>
        <w:rPr>
          <w:spacing w:val="-11"/>
        </w:rPr>
        <w:t xml:space="preserve"> </w:t>
      </w:r>
      <w:r>
        <w:t>likely</w:t>
      </w:r>
      <w:r>
        <w:rPr>
          <w:spacing w:val="-8"/>
        </w:rPr>
        <w:t xml:space="preserve"> </w:t>
      </w:r>
      <w:r>
        <w:t>to</w:t>
      </w:r>
      <w:r>
        <w:rPr>
          <w:spacing w:val="-10"/>
        </w:rPr>
        <w:t xml:space="preserve"> </w:t>
      </w:r>
      <w:r>
        <w:t>engage</w:t>
      </w:r>
      <w:r>
        <w:rPr>
          <w:spacing w:val="-8"/>
        </w:rPr>
        <w:t xml:space="preserve"> </w:t>
      </w:r>
      <w:r>
        <w:t>in</w:t>
      </w:r>
      <w:r>
        <w:rPr>
          <w:spacing w:val="-12"/>
        </w:rPr>
        <w:t xml:space="preserve"> </w:t>
      </w:r>
      <w:r>
        <w:t>sex</w:t>
      </w:r>
      <w:r>
        <w:rPr>
          <w:spacing w:val="-11"/>
        </w:rPr>
        <w:t xml:space="preserve"> </w:t>
      </w:r>
      <w:r>
        <w:t>work, and may exchange sexual acts for food, housing, or other needs.</w:t>
      </w:r>
      <w:hyperlink w:anchor="_bookmark556" w:history="1">
        <w:r>
          <w:rPr>
            <w:vertAlign w:val="superscript"/>
          </w:rPr>
          <w:t>31</w:t>
        </w:r>
      </w:hyperlink>
      <w:r>
        <w:t xml:space="preserve"> Not all sex work involves sexual intercourse, though, and LGBTQ youth may also engage in online sex work like OnlyFans or selling nude pictures</w:t>
      </w:r>
      <w:r>
        <w:rPr>
          <w:spacing w:val="-7"/>
        </w:rPr>
        <w:t xml:space="preserve"> </w:t>
      </w:r>
      <w:r>
        <w:t>for</w:t>
      </w:r>
      <w:r>
        <w:rPr>
          <w:spacing w:val="-7"/>
        </w:rPr>
        <w:t xml:space="preserve"> </w:t>
      </w:r>
      <w:r>
        <w:t>income;</w:t>
      </w:r>
      <w:r>
        <w:rPr>
          <w:spacing w:val="-6"/>
        </w:rPr>
        <w:t xml:space="preserve"> </w:t>
      </w:r>
      <w:r>
        <w:t>as</w:t>
      </w:r>
      <w:r>
        <w:rPr>
          <w:spacing w:val="-9"/>
        </w:rPr>
        <w:t xml:space="preserve"> </w:t>
      </w:r>
      <w:r>
        <w:t>such,</w:t>
      </w:r>
      <w:r>
        <w:rPr>
          <w:spacing w:val="-7"/>
        </w:rPr>
        <w:t xml:space="preserve"> </w:t>
      </w:r>
      <w:r>
        <w:t>sexual</w:t>
      </w:r>
      <w:r>
        <w:rPr>
          <w:spacing w:val="-9"/>
        </w:rPr>
        <w:t xml:space="preserve"> </w:t>
      </w:r>
      <w:r>
        <w:t>health</w:t>
      </w:r>
      <w:r>
        <w:rPr>
          <w:spacing w:val="-10"/>
        </w:rPr>
        <w:t xml:space="preserve"> </w:t>
      </w:r>
      <w:r>
        <w:t>education</w:t>
      </w:r>
      <w:r>
        <w:rPr>
          <w:spacing w:val="-10"/>
        </w:rPr>
        <w:t xml:space="preserve"> </w:t>
      </w:r>
      <w:r>
        <w:t>curriculum</w:t>
      </w:r>
      <w:r>
        <w:rPr>
          <w:spacing w:val="-6"/>
        </w:rPr>
        <w:t xml:space="preserve"> </w:t>
      </w:r>
      <w:r>
        <w:t>should</w:t>
      </w:r>
      <w:r>
        <w:rPr>
          <w:spacing w:val="-7"/>
        </w:rPr>
        <w:t xml:space="preserve"> </w:t>
      </w:r>
      <w:r>
        <w:t>be</w:t>
      </w:r>
      <w:r>
        <w:rPr>
          <w:spacing w:val="-8"/>
        </w:rPr>
        <w:t xml:space="preserve"> </w:t>
      </w:r>
      <w:r>
        <w:t>sure</w:t>
      </w:r>
      <w:r>
        <w:rPr>
          <w:spacing w:val="-8"/>
        </w:rPr>
        <w:t xml:space="preserve"> </w:t>
      </w:r>
      <w:r>
        <w:t>to</w:t>
      </w:r>
      <w:r>
        <w:rPr>
          <w:spacing w:val="-6"/>
        </w:rPr>
        <w:t xml:space="preserve"> </w:t>
      </w:r>
      <w:r>
        <w:t>cover</w:t>
      </w:r>
      <w:r>
        <w:rPr>
          <w:spacing w:val="-9"/>
        </w:rPr>
        <w:t xml:space="preserve"> </w:t>
      </w:r>
      <w:r>
        <w:t>potential</w:t>
      </w:r>
      <w:r>
        <w:rPr>
          <w:spacing w:val="-7"/>
        </w:rPr>
        <w:t xml:space="preserve"> </w:t>
      </w:r>
      <w:r>
        <w:t>privacy risks and saf</w:t>
      </w:r>
      <w:r>
        <w:t>ety concerns that may occur from engaging in online relationships.</w:t>
      </w:r>
      <w:hyperlink w:anchor="_bookmark557" w:history="1">
        <w:r>
          <w:rPr>
            <w:vertAlign w:val="superscript"/>
          </w:rPr>
          <w:t>32</w:t>
        </w:r>
      </w:hyperlink>
      <w:r>
        <w:t xml:space="preserve"> Unfortunately, LGBTQ youth engaging in sex work are more likely to avoid purchasing contraceptive devices, as possession of condoms - regardless of whether</w:t>
      </w:r>
      <w:r>
        <w:t xml:space="preserve"> an individual is intending to engage in sex work at that time - can be used as proof of sex work, leading to disproportionate arrests of Black and brown LGBTQ youth, particularly trans women of color, undocumented, and homeless youth.</w:t>
      </w:r>
      <w:hyperlink w:anchor="_bookmark558" w:history="1">
        <w:r>
          <w:rPr>
            <w:vertAlign w:val="superscript"/>
          </w:rPr>
          <w:t>33</w:t>
        </w:r>
      </w:hyperlink>
    </w:p>
    <w:p w:rsidR="00200FDA" w:rsidRDefault="00F76C4C">
      <w:pPr>
        <w:pStyle w:val="BodyText"/>
        <w:spacing w:before="120" w:line="276" w:lineRule="auto"/>
        <w:ind w:left="139" w:right="193"/>
        <w:jc w:val="both"/>
      </w:pPr>
      <w:r>
        <w:t>Overall, transgender and gender expansive youth may also avoid using contraceptive devices that may cause</w:t>
      </w:r>
      <w:r>
        <w:rPr>
          <w:spacing w:val="-3"/>
        </w:rPr>
        <w:t xml:space="preserve"> </w:t>
      </w:r>
      <w:r>
        <w:t>gender</w:t>
      </w:r>
      <w:r>
        <w:rPr>
          <w:spacing w:val="-3"/>
        </w:rPr>
        <w:t xml:space="preserve"> </w:t>
      </w:r>
      <w:r>
        <w:t>dysphoria,</w:t>
      </w:r>
      <w:r>
        <w:rPr>
          <w:spacing w:val="-3"/>
        </w:rPr>
        <w:t xml:space="preserve"> </w:t>
      </w:r>
      <w:r>
        <w:t>though</w:t>
      </w:r>
      <w:r>
        <w:rPr>
          <w:spacing w:val="-4"/>
        </w:rPr>
        <w:t xml:space="preserve"> </w:t>
      </w:r>
      <w:r>
        <w:t>contraception</w:t>
      </w:r>
      <w:r>
        <w:rPr>
          <w:spacing w:val="-4"/>
        </w:rPr>
        <w:t xml:space="preserve"> </w:t>
      </w:r>
      <w:r>
        <w:t>can</w:t>
      </w:r>
      <w:r>
        <w:rPr>
          <w:spacing w:val="-4"/>
        </w:rPr>
        <w:t xml:space="preserve"> </w:t>
      </w:r>
      <w:r>
        <w:t>also</w:t>
      </w:r>
      <w:r>
        <w:rPr>
          <w:spacing w:val="-2"/>
        </w:rPr>
        <w:t xml:space="preserve"> </w:t>
      </w:r>
      <w:r>
        <w:t>be</w:t>
      </w:r>
      <w:r>
        <w:rPr>
          <w:spacing w:val="-3"/>
        </w:rPr>
        <w:t xml:space="preserve"> </w:t>
      </w:r>
      <w:r>
        <w:t>used</w:t>
      </w:r>
      <w:r>
        <w:rPr>
          <w:spacing w:val="-4"/>
        </w:rPr>
        <w:t xml:space="preserve"> </w:t>
      </w:r>
      <w:r>
        <w:t>as</w:t>
      </w:r>
      <w:r>
        <w:rPr>
          <w:spacing w:val="-3"/>
        </w:rPr>
        <w:t xml:space="preserve"> </w:t>
      </w:r>
      <w:r>
        <w:t>a</w:t>
      </w:r>
      <w:r>
        <w:rPr>
          <w:spacing w:val="-3"/>
        </w:rPr>
        <w:t xml:space="preserve"> </w:t>
      </w:r>
      <w:r>
        <w:t>key</w:t>
      </w:r>
      <w:r>
        <w:rPr>
          <w:spacing w:val="-2"/>
        </w:rPr>
        <w:t xml:space="preserve"> </w:t>
      </w:r>
      <w:r>
        <w:t>facet</w:t>
      </w:r>
      <w:r>
        <w:rPr>
          <w:spacing w:val="-3"/>
        </w:rPr>
        <w:t xml:space="preserve"> </w:t>
      </w:r>
      <w:r>
        <w:t>of</w:t>
      </w:r>
      <w:r>
        <w:rPr>
          <w:spacing w:val="-6"/>
        </w:rPr>
        <w:t xml:space="preserve"> </w:t>
      </w:r>
      <w:r>
        <w:t>gender-affirming</w:t>
      </w:r>
      <w:r>
        <w:rPr>
          <w:spacing w:val="-4"/>
        </w:rPr>
        <w:t xml:space="preserve"> </w:t>
      </w:r>
      <w:r>
        <w:t>care.</w:t>
      </w:r>
      <w:hyperlink w:anchor="_bookmark559" w:history="1">
        <w:r>
          <w:rPr>
            <w:vertAlign w:val="superscript"/>
          </w:rPr>
          <w:t>34</w:t>
        </w:r>
      </w:hyperlink>
      <w:r>
        <w:t xml:space="preserve"> Similarly,</w:t>
      </w:r>
      <w:r>
        <w:rPr>
          <w:spacing w:val="-9"/>
        </w:rPr>
        <w:t xml:space="preserve"> </w:t>
      </w:r>
      <w:r>
        <w:t>contacting</w:t>
      </w:r>
      <w:r>
        <w:rPr>
          <w:spacing w:val="-7"/>
        </w:rPr>
        <w:t xml:space="preserve"> </w:t>
      </w:r>
      <w:r>
        <w:t>a</w:t>
      </w:r>
      <w:r>
        <w:rPr>
          <w:spacing w:val="-11"/>
        </w:rPr>
        <w:t xml:space="preserve"> </w:t>
      </w:r>
      <w:r>
        <w:t>medical</w:t>
      </w:r>
      <w:r>
        <w:rPr>
          <w:spacing w:val="-7"/>
        </w:rPr>
        <w:t xml:space="preserve"> </w:t>
      </w:r>
      <w:r>
        <w:t>provider</w:t>
      </w:r>
      <w:r>
        <w:rPr>
          <w:spacing w:val="-9"/>
        </w:rPr>
        <w:t xml:space="preserve"> </w:t>
      </w:r>
      <w:r>
        <w:t>for</w:t>
      </w:r>
      <w:r>
        <w:rPr>
          <w:spacing w:val="-9"/>
        </w:rPr>
        <w:t xml:space="preserve"> </w:t>
      </w:r>
      <w:r>
        <w:t>an</w:t>
      </w:r>
      <w:r>
        <w:rPr>
          <w:spacing w:val="-7"/>
        </w:rPr>
        <w:t xml:space="preserve"> </w:t>
      </w:r>
      <w:r>
        <w:t>IUD</w:t>
      </w:r>
      <w:r>
        <w:rPr>
          <w:spacing w:val="-8"/>
        </w:rPr>
        <w:t xml:space="preserve"> </w:t>
      </w:r>
      <w:r>
        <w:t>insertion</w:t>
      </w:r>
      <w:r>
        <w:rPr>
          <w:spacing w:val="-9"/>
        </w:rPr>
        <w:t xml:space="preserve"> </w:t>
      </w:r>
      <w:r>
        <w:t>or</w:t>
      </w:r>
      <w:r>
        <w:rPr>
          <w:spacing w:val="-9"/>
        </w:rPr>
        <w:t xml:space="preserve"> </w:t>
      </w:r>
      <w:r>
        <w:t>a</w:t>
      </w:r>
      <w:r>
        <w:rPr>
          <w:spacing w:val="-9"/>
        </w:rPr>
        <w:t xml:space="preserve"> </w:t>
      </w:r>
      <w:r>
        <w:t>birth</w:t>
      </w:r>
      <w:r>
        <w:rPr>
          <w:spacing w:val="-9"/>
        </w:rPr>
        <w:t xml:space="preserve"> </w:t>
      </w:r>
      <w:r>
        <w:t>control</w:t>
      </w:r>
      <w:r>
        <w:rPr>
          <w:spacing w:val="-9"/>
        </w:rPr>
        <w:t xml:space="preserve"> </w:t>
      </w:r>
      <w:r>
        <w:t>injection,</w:t>
      </w:r>
      <w:r>
        <w:rPr>
          <w:spacing w:val="-9"/>
        </w:rPr>
        <w:t xml:space="preserve"> </w:t>
      </w:r>
      <w:r>
        <w:t>or</w:t>
      </w:r>
      <w:r>
        <w:rPr>
          <w:spacing w:val="-9"/>
        </w:rPr>
        <w:t xml:space="preserve"> </w:t>
      </w:r>
      <w:r>
        <w:t>picking</w:t>
      </w:r>
      <w:r>
        <w:rPr>
          <w:spacing w:val="-9"/>
        </w:rPr>
        <w:t xml:space="preserve"> </w:t>
      </w:r>
      <w:r>
        <w:t>up</w:t>
      </w:r>
      <w:r>
        <w:rPr>
          <w:spacing w:val="-7"/>
        </w:rPr>
        <w:t xml:space="preserve"> </w:t>
      </w:r>
      <w:r>
        <w:t xml:space="preserve">birth control or Plan B at a pharmacy, can often be complicated and inaccessible choices for individuals who are transgender or gender expansive due </w:t>
      </w:r>
      <w:r>
        <w:t>to fear of stigmatization or medical discrimination.</w:t>
      </w:r>
      <w:hyperlink w:anchor="_bookmark560" w:history="1">
        <w:r>
          <w:rPr>
            <w:vertAlign w:val="superscript"/>
          </w:rPr>
          <w:t>35</w:t>
        </w:r>
      </w:hyperlink>
      <w:r>
        <w:t xml:space="preserve"> In a 2015 survey of Massachusetts, 28% of transgender people experienced a problem in the past year with their insurance, such as being denied coverage for routine care </w:t>
      </w:r>
      <w:r>
        <w:t>because they were transgender.</w:t>
      </w:r>
      <w:hyperlink w:anchor="_bookmark561" w:history="1">
        <w:r>
          <w:rPr>
            <w:vertAlign w:val="superscript"/>
          </w:rPr>
          <w:t>36</w:t>
        </w:r>
      </w:hyperlink>
      <w:r>
        <w:t xml:space="preserve"> Lack of ID due to the cost of updating identification documents, immigration status, and lack of address due to homelessness are all possible reasons LGBTQ youth may not have health resources</w:t>
      </w:r>
      <w:r>
        <w:t>. Without health insurance,</w:t>
      </w:r>
      <w:r>
        <w:rPr>
          <w:spacing w:val="-1"/>
        </w:rPr>
        <w:t xml:space="preserve"> </w:t>
      </w:r>
      <w:r>
        <w:t>the cost of</w:t>
      </w:r>
      <w:r>
        <w:rPr>
          <w:spacing w:val="-1"/>
        </w:rPr>
        <w:t xml:space="preserve"> </w:t>
      </w:r>
      <w:r>
        <w:t>an</w:t>
      </w:r>
      <w:r>
        <w:rPr>
          <w:spacing w:val="-2"/>
        </w:rPr>
        <w:t xml:space="preserve"> </w:t>
      </w:r>
      <w:r>
        <w:t>IUD,</w:t>
      </w:r>
      <w:r>
        <w:rPr>
          <w:spacing w:val="-1"/>
        </w:rPr>
        <w:t xml:space="preserve"> </w:t>
      </w:r>
      <w:r>
        <w:t>birth</w:t>
      </w:r>
      <w:r>
        <w:rPr>
          <w:spacing w:val="-2"/>
        </w:rPr>
        <w:t xml:space="preserve"> </w:t>
      </w:r>
      <w:r>
        <w:t>control</w:t>
      </w:r>
      <w:r>
        <w:rPr>
          <w:spacing w:val="-1"/>
        </w:rPr>
        <w:t xml:space="preserve"> </w:t>
      </w:r>
      <w:r>
        <w:t>pills,</w:t>
      </w:r>
      <w:r>
        <w:rPr>
          <w:spacing w:val="-1"/>
        </w:rPr>
        <w:t xml:space="preserve"> </w:t>
      </w:r>
      <w:r>
        <w:t>Plan</w:t>
      </w:r>
      <w:r>
        <w:rPr>
          <w:spacing w:val="-2"/>
        </w:rPr>
        <w:t xml:space="preserve"> </w:t>
      </w:r>
      <w:r>
        <w:t>B,</w:t>
      </w:r>
      <w:r>
        <w:rPr>
          <w:spacing w:val="-1"/>
        </w:rPr>
        <w:t xml:space="preserve"> </w:t>
      </w:r>
      <w:r>
        <w:t>or</w:t>
      </w:r>
      <w:r>
        <w:rPr>
          <w:spacing w:val="-1"/>
        </w:rPr>
        <w:t xml:space="preserve"> </w:t>
      </w:r>
      <w:r>
        <w:t>a</w:t>
      </w:r>
      <w:r>
        <w:rPr>
          <w:spacing w:val="-1"/>
        </w:rPr>
        <w:t xml:space="preserve"> </w:t>
      </w:r>
      <w:r>
        <w:t>birth</w:t>
      </w:r>
      <w:r>
        <w:rPr>
          <w:spacing w:val="-2"/>
        </w:rPr>
        <w:t xml:space="preserve"> </w:t>
      </w:r>
      <w:r>
        <w:t>control</w:t>
      </w:r>
      <w:r>
        <w:rPr>
          <w:spacing w:val="-1"/>
        </w:rPr>
        <w:t xml:space="preserve"> </w:t>
      </w:r>
      <w:r>
        <w:t>injection</w:t>
      </w:r>
      <w:r>
        <w:rPr>
          <w:spacing w:val="-2"/>
        </w:rPr>
        <w:t xml:space="preserve"> </w:t>
      </w:r>
      <w:r>
        <w:t>can</w:t>
      </w:r>
      <w:r>
        <w:rPr>
          <w:spacing w:val="-2"/>
        </w:rPr>
        <w:t xml:space="preserve"> </w:t>
      </w:r>
      <w:r>
        <w:t>be expensive,</w:t>
      </w:r>
      <w:r>
        <w:rPr>
          <w:spacing w:val="-1"/>
        </w:rPr>
        <w:t xml:space="preserve"> </w:t>
      </w:r>
      <w:r>
        <w:t>and</w:t>
      </w:r>
    </w:p>
    <w:p w:rsidR="00200FDA" w:rsidRDefault="00200FDA">
      <w:pPr>
        <w:spacing w:line="276" w:lineRule="auto"/>
        <w:jc w:val="both"/>
        <w:sectPr w:rsidR="00200FDA">
          <w:pgSz w:w="12240" w:h="15840"/>
          <w:pgMar w:top="1360" w:right="1240" w:bottom="1480" w:left="1300" w:header="761" w:footer="1283" w:gutter="0"/>
          <w:cols w:space="720"/>
        </w:sectPr>
      </w:pPr>
    </w:p>
    <w:p w:rsidR="00200FDA" w:rsidRDefault="00F76C4C">
      <w:pPr>
        <w:pStyle w:val="BodyText"/>
        <w:spacing w:before="64" w:line="276" w:lineRule="auto"/>
        <w:ind w:left="140" w:right="194"/>
        <w:jc w:val="both"/>
      </w:pPr>
      <w:r>
        <w:lastRenderedPageBreak/>
        <w:t>youth</w:t>
      </w:r>
      <w:r>
        <w:rPr>
          <w:spacing w:val="-5"/>
        </w:rPr>
        <w:t xml:space="preserve"> </w:t>
      </w:r>
      <w:r>
        <w:t>may</w:t>
      </w:r>
      <w:r>
        <w:rPr>
          <w:spacing w:val="-1"/>
        </w:rPr>
        <w:t xml:space="preserve"> </w:t>
      </w:r>
      <w:r>
        <w:t>not</w:t>
      </w:r>
      <w:r>
        <w:rPr>
          <w:spacing w:val="-4"/>
        </w:rPr>
        <w:t xml:space="preserve"> </w:t>
      </w:r>
      <w:r>
        <w:t>know</w:t>
      </w:r>
      <w:r>
        <w:rPr>
          <w:spacing w:val="-4"/>
        </w:rPr>
        <w:t xml:space="preserve"> </w:t>
      </w:r>
      <w:r>
        <w:t>where</w:t>
      </w:r>
      <w:r>
        <w:rPr>
          <w:spacing w:val="-1"/>
        </w:rPr>
        <w:t xml:space="preserve"> </w:t>
      </w:r>
      <w:r>
        <w:t>else</w:t>
      </w:r>
      <w:r>
        <w:rPr>
          <w:spacing w:val="-1"/>
        </w:rPr>
        <w:t xml:space="preserve"> </w:t>
      </w:r>
      <w:r>
        <w:t>they</w:t>
      </w:r>
      <w:r>
        <w:rPr>
          <w:spacing w:val="-3"/>
        </w:rPr>
        <w:t xml:space="preserve"> </w:t>
      </w:r>
      <w:r>
        <w:t>can</w:t>
      </w:r>
      <w:r>
        <w:rPr>
          <w:spacing w:val="-3"/>
        </w:rPr>
        <w:t xml:space="preserve"> </w:t>
      </w:r>
      <w:r>
        <w:t>go</w:t>
      </w:r>
      <w:r>
        <w:rPr>
          <w:spacing w:val="-1"/>
        </w:rPr>
        <w:t xml:space="preserve"> </w:t>
      </w:r>
      <w:r>
        <w:t>for</w:t>
      </w:r>
      <w:r>
        <w:rPr>
          <w:spacing w:val="-2"/>
        </w:rPr>
        <w:t xml:space="preserve"> </w:t>
      </w:r>
      <w:r>
        <w:t>access,</w:t>
      </w:r>
      <w:r>
        <w:rPr>
          <w:spacing w:val="-2"/>
        </w:rPr>
        <w:t xml:space="preserve"> </w:t>
      </w:r>
      <w:r>
        <w:t>particularly</w:t>
      </w:r>
      <w:r>
        <w:rPr>
          <w:spacing w:val="-3"/>
        </w:rPr>
        <w:t xml:space="preserve"> </w:t>
      </w:r>
      <w:r>
        <w:t>outside</w:t>
      </w:r>
      <w:r>
        <w:rPr>
          <w:spacing w:val="-4"/>
        </w:rPr>
        <w:t xml:space="preserve"> </w:t>
      </w:r>
      <w:r>
        <w:t>of</w:t>
      </w:r>
      <w:r>
        <w:rPr>
          <w:spacing w:val="-4"/>
        </w:rPr>
        <w:t xml:space="preserve"> </w:t>
      </w:r>
      <w:r>
        <w:t>urban</w:t>
      </w:r>
      <w:r>
        <w:rPr>
          <w:spacing w:val="-3"/>
        </w:rPr>
        <w:t xml:space="preserve"> </w:t>
      </w:r>
      <w:r>
        <w:t>areas.</w:t>
      </w:r>
      <w:r>
        <w:rPr>
          <w:spacing w:val="-2"/>
        </w:rPr>
        <w:t xml:space="preserve"> </w:t>
      </w:r>
      <w:r>
        <w:t>Furthermore, in the same survey, 31% of transgender people who saw a health care provider reported having at least one negative experience (verbal abuse, refusal to be treated, physical assault, sexual assault, needing to teach the provider about transgend</w:t>
      </w:r>
      <w:r>
        <w:t>er in order to get appropriate care) related to being transgender.</w:t>
      </w:r>
      <w:hyperlink w:anchor="_bookmark562" w:history="1">
        <w:r>
          <w:rPr>
            <w:vertAlign w:val="superscript"/>
          </w:rPr>
          <w:t>37</w:t>
        </w:r>
      </w:hyperlink>
      <w:r>
        <w:t xml:space="preserve"> While the Commission waits for results on the experiences of transgender youth in Massachusetts from an incoming 2022 U.S. Transgender Survey, the Commissi</w:t>
      </w:r>
      <w:r>
        <w:t>on continues to be notified by youth, families, and</w:t>
      </w:r>
      <w:r>
        <w:rPr>
          <w:spacing w:val="-10"/>
        </w:rPr>
        <w:t xml:space="preserve"> </w:t>
      </w:r>
      <w:r>
        <w:t>advocates</w:t>
      </w:r>
      <w:r>
        <w:rPr>
          <w:spacing w:val="-9"/>
        </w:rPr>
        <w:t xml:space="preserve"> </w:t>
      </w:r>
      <w:r>
        <w:t>that</w:t>
      </w:r>
      <w:r>
        <w:rPr>
          <w:spacing w:val="-9"/>
        </w:rPr>
        <w:t xml:space="preserve"> </w:t>
      </w:r>
      <w:r>
        <w:t>fear</w:t>
      </w:r>
      <w:r>
        <w:rPr>
          <w:spacing w:val="-9"/>
        </w:rPr>
        <w:t xml:space="preserve"> </w:t>
      </w:r>
      <w:r>
        <w:t>of</w:t>
      </w:r>
      <w:r>
        <w:rPr>
          <w:spacing w:val="-9"/>
        </w:rPr>
        <w:t xml:space="preserve"> </w:t>
      </w:r>
      <w:r>
        <w:t>stigmatization,</w:t>
      </w:r>
      <w:r>
        <w:rPr>
          <w:spacing w:val="-9"/>
        </w:rPr>
        <w:t xml:space="preserve"> </w:t>
      </w:r>
      <w:r>
        <w:t>discrimination,</w:t>
      </w:r>
      <w:r>
        <w:rPr>
          <w:spacing w:val="-9"/>
        </w:rPr>
        <w:t xml:space="preserve"> </w:t>
      </w:r>
      <w:r>
        <w:t>and</w:t>
      </w:r>
      <w:r>
        <w:rPr>
          <w:spacing w:val="-10"/>
        </w:rPr>
        <w:t xml:space="preserve"> </w:t>
      </w:r>
      <w:r>
        <w:t>racism</w:t>
      </w:r>
      <w:r>
        <w:rPr>
          <w:spacing w:val="-8"/>
        </w:rPr>
        <w:t xml:space="preserve"> </w:t>
      </w:r>
      <w:r>
        <w:t>continue</w:t>
      </w:r>
      <w:r>
        <w:rPr>
          <w:spacing w:val="-8"/>
        </w:rPr>
        <w:t xml:space="preserve"> </w:t>
      </w:r>
      <w:r>
        <w:t>to</w:t>
      </w:r>
      <w:r>
        <w:rPr>
          <w:spacing w:val="-8"/>
        </w:rPr>
        <w:t xml:space="preserve"> </w:t>
      </w:r>
      <w:r>
        <w:t>pose</w:t>
      </w:r>
      <w:r>
        <w:rPr>
          <w:spacing w:val="-8"/>
        </w:rPr>
        <w:t xml:space="preserve"> </w:t>
      </w:r>
      <w:r>
        <w:t>barriers</w:t>
      </w:r>
      <w:r>
        <w:rPr>
          <w:spacing w:val="-9"/>
        </w:rPr>
        <w:t xml:space="preserve"> </w:t>
      </w:r>
      <w:r>
        <w:t>for</w:t>
      </w:r>
      <w:r>
        <w:rPr>
          <w:spacing w:val="-11"/>
        </w:rPr>
        <w:t xml:space="preserve"> </w:t>
      </w:r>
      <w:r>
        <w:t>LGBTQ, QTBIPOC, and intersex youth seeking medical care.</w:t>
      </w:r>
    </w:p>
    <w:p w:rsidR="00200FDA" w:rsidRDefault="00200FDA">
      <w:pPr>
        <w:pStyle w:val="BodyText"/>
      </w:pPr>
    </w:p>
    <w:p w:rsidR="00200FDA" w:rsidRDefault="00F76C4C">
      <w:pPr>
        <w:pStyle w:val="Heading8"/>
        <w:spacing w:before="184"/>
      </w:pPr>
      <w:bookmarkStart w:id="685" w:name="Pregnancy_in_LGBTQ_Youth"/>
      <w:bookmarkEnd w:id="685"/>
      <w:r>
        <w:rPr>
          <w:color w:val="0A5293"/>
        </w:rPr>
        <w:t>Pregnancy</w:t>
      </w:r>
      <w:r>
        <w:rPr>
          <w:color w:val="0A5293"/>
          <w:spacing w:val="-2"/>
        </w:rPr>
        <w:t xml:space="preserve"> </w:t>
      </w:r>
      <w:r>
        <w:rPr>
          <w:color w:val="0A5293"/>
        </w:rPr>
        <w:t>in</w:t>
      </w:r>
      <w:r>
        <w:rPr>
          <w:color w:val="0A5293"/>
          <w:spacing w:val="-2"/>
        </w:rPr>
        <w:t xml:space="preserve"> </w:t>
      </w:r>
      <w:r>
        <w:rPr>
          <w:color w:val="0A5293"/>
        </w:rPr>
        <w:t>LGBTQ</w:t>
      </w:r>
      <w:r>
        <w:rPr>
          <w:color w:val="0A5293"/>
          <w:spacing w:val="-1"/>
        </w:rPr>
        <w:t xml:space="preserve"> </w:t>
      </w:r>
      <w:r>
        <w:rPr>
          <w:color w:val="0A5293"/>
          <w:spacing w:val="-2"/>
        </w:rPr>
        <w:t>Youth</w:t>
      </w:r>
    </w:p>
    <w:p w:rsidR="00200FDA" w:rsidRDefault="00200FDA">
      <w:pPr>
        <w:pStyle w:val="BodyText"/>
        <w:spacing w:before="4"/>
        <w:rPr>
          <w:sz w:val="25"/>
        </w:rPr>
      </w:pPr>
    </w:p>
    <w:p w:rsidR="00200FDA" w:rsidRDefault="00F76C4C">
      <w:pPr>
        <w:pStyle w:val="BodyText"/>
        <w:spacing w:line="276" w:lineRule="auto"/>
        <w:ind w:left="139" w:right="194"/>
        <w:jc w:val="both"/>
      </w:pPr>
      <w:r>
        <w:t>As</w:t>
      </w:r>
      <w:r>
        <w:rPr>
          <w:spacing w:val="-7"/>
        </w:rPr>
        <w:t xml:space="preserve"> </w:t>
      </w:r>
      <w:r>
        <w:t>discussed</w:t>
      </w:r>
      <w:r>
        <w:rPr>
          <w:spacing w:val="-10"/>
        </w:rPr>
        <w:t xml:space="preserve"> </w:t>
      </w:r>
      <w:r>
        <w:t>further</w:t>
      </w:r>
      <w:r>
        <w:rPr>
          <w:spacing w:val="-9"/>
        </w:rPr>
        <w:t xml:space="preserve"> </w:t>
      </w:r>
      <w:r>
        <w:t>in</w:t>
      </w:r>
      <w:r>
        <w:rPr>
          <w:spacing w:val="-10"/>
        </w:rPr>
        <w:t xml:space="preserve"> </w:t>
      </w:r>
      <w:r>
        <w:t>the</w:t>
      </w:r>
      <w:r>
        <w:rPr>
          <w:spacing w:val="-8"/>
        </w:rPr>
        <w:t xml:space="preserve"> </w:t>
      </w:r>
      <w:r>
        <w:t>section</w:t>
      </w:r>
      <w:r>
        <w:rPr>
          <w:spacing w:val="-10"/>
        </w:rPr>
        <w:t xml:space="preserve"> </w:t>
      </w:r>
      <w:r>
        <w:t>on</w:t>
      </w:r>
      <w:r>
        <w:rPr>
          <w:spacing w:val="-7"/>
        </w:rPr>
        <w:t xml:space="preserve"> </w:t>
      </w:r>
      <w:r>
        <w:t>pregnancy</w:t>
      </w:r>
      <w:r>
        <w:rPr>
          <w:spacing w:val="-6"/>
        </w:rPr>
        <w:t xml:space="preserve"> </w:t>
      </w:r>
      <w:r>
        <w:t>in</w:t>
      </w:r>
      <w:r>
        <w:rPr>
          <w:spacing w:val="-10"/>
        </w:rPr>
        <w:t xml:space="preserve"> </w:t>
      </w:r>
      <w:r>
        <w:t>this</w:t>
      </w:r>
      <w:r>
        <w:rPr>
          <w:spacing w:val="-7"/>
        </w:rPr>
        <w:t xml:space="preserve"> </w:t>
      </w:r>
      <w:r>
        <w:t>annual</w:t>
      </w:r>
      <w:r>
        <w:rPr>
          <w:spacing w:val="-7"/>
        </w:rPr>
        <w:t xml:space="preserve"> </w:t>
      </w:r>
      <w:r>
        <w:t>report,</w:t>
      </w:r>
      <w:r>
        <w:rPr>
          <w:spacing w:val="-9"/>
        </w:rPr>
        <w:t xml:space="preserve"> </w:t>
      </w:r>
      <w:r>
        <w:t>LGBTQ</w:t>
      </w:r>
      <w:r>
        <w:rPr>
          <w:spacing w:val="-9"/>
        </w:rPr>
        <w:t xml:space="preserve"> </w:t>
      </w:r>
      <w:r>
        <w:t>women,</w:t>
      </w:r>
      <w:r>
        <w:rPr>
          <w:spacing w:val="-9"/>
        </w:rPr>
        <w:t xml:space="preserve"> </w:t>
      </w:r>
      <w:r>
        <w:t>girls</w:t>
      </w:r>
      <w:r>
        <w:rPr>
          <w:spacing w:val="-7"/>
        </w:rPr>
        <w:t xml:space="preserve"> </w:t>
      </w:r>
      <w:r>
        <w:t>and</w:t>
      </w:r>
      <w:r>
        <w:rPr>
          <w:spacing w:val="-10"/>
        </w:rPr>
        <w:t xml:space="preserve"> </w:t>
      </w:r>
      <w:r>
        <w:t>nonbinary youth (as high as 46.6%) are more likely to become pregnant than straight, cisgender youth.</w:t>
      </w:r>
      <w:hyperlink w:anchor="_bookmark563" w:history="1">
        <w:r>
          <w:rPr>
            <w:vertAlign w:val="superscript"/>
          </w:rPr>
          <w:t>38</w:t>
        </w:r>
      </w:hyperlink>
      <w:r>
        <w:t xml:space="preserve"> Research indicates that unintended teen pregnancy</w:t>
      </w:r>
      <w:r>
        <w:t xml:space="preserve"> rates have been shown to be higher for youth who are Black, Latinx, Native, Pacific Islander, living in foster care, homeless, or have an intellectual disability.</w:t>
      </w:r>
      <w:hyperlink w:anchor="_bookmark564" w:history="1">
        <w:r>
          <w:rPr>
            <w:vertAlign w:val="superscript"/>
          </w:rPr>
          <w:t>39</w:t>
        </w:r>
      </w:hyperlink>
      <w:r>
        <w:rPr>
          <w:vertAlign w:val="superscript"/>
        </w:rPr>
        <w:t>,</w:t>
      </w:r>
      <w:hyperlink w:anchor="_bookmark565" w:history="1">
        <w:r>
          <w:rPr>
            <w:vertAlign w:val="superscript"/>
          </w:rPr>
          <w:t>40</w:t>
        </w:r>
      </w:hyperlink>
      <w:r>
        <w:rPr>
          <w:vertAlign w:val="superscript"/>
        </w:rPr>
        <w:t>,</w:t>
      </w:r>
      <w:hyperlink w:anchor="_bookmark566" w:history="1">
        <w:r>
          <w:rPr>
            <w:vertAlign w:val="superscript"/>
          </w:rPr>
          <w:t>41</w:t>
        </w:r>
      </w:hyperlink>
      <w:r>
        <w:t xml:space="preserve"> Further potential disparate factors for unintended pregnancies include childhood abuse, increased rates of sexual assault, bullying, family’s low income, and lack of access to appropriate sexual health </w:t>
      </w:r>
      <w:r>
        <w:rPr>
          <w:spacing w:val="-2"/>
        </w:rPr>
        <w:t>education.</w:t>
      </w:r>
      <w:hyperlink w:anchor="_bookmark567" w:history="1">
        <w:r>
          <w:rPr>
            <w:spacing w:val="-2"/>
            <w:vertAlign w:val="superscript"/>
          </w:rPr>
          <w:t>42</w:t>
        </w:r>
      </w:hyperlink>
    </w:p>
    <w:p w:rsidR="00200FDA" w:rsidRDefault="00F76C4C">
      <w:pPr>
        <w:pStyle w:val="BodyText"/>
        <w:spacing w:before="121" w:line="276" w:lineRule="auto"/>
        <w:ind w:left="139" w:right="193"/>
        <w:jc w:val="both"/>
      </w:pPr>
      <w:r>
        <w:t>Consequently, LGBTQ youth are more likely than cisgender, heterosexual youth to seek access for abortion services; one national study indicated that bisexual teens were three times more likely than heterosexual</w:t>
      </w:r>
      <w:r>
        <w:rPr>
          <w:spacing w:val="-8"/>
        </w:rPr>
        <w:t xml:space="preserve"> </w:t>
      </w:r>
      <w:r>
        <w:t>teens</w:t>
      </w:r>
      <w:r>
        <w:rPr>
          <w:spacing w:val="-8"/>
        </w:rPr>
        <w:t xml:space="preserve"> </w:t>
      </w:r>
      <w:r>
        <w:t>to</w:t>
      </w:r>
      <w:r>
        <w:rPr>
          <w:spacing w:val="-7"/>
        </w:rPr>
        <w:t xml:space="preserve"> </w:t>
      </w:r>
      <w:r>
        <w:t>have</w:t>
      </w:r>
      <w:r>
        <w:rPr>
          <w:spacing w:val="-7"/>
        </w:rPr>
        <w:t xml:space="preserve"> </w:t>
      </w:r>
      <w:r>
        <w:t>an</w:t>
      </w:r>
      <w:r>
        <w:rPr>
          <w:spacing w:val="-6"/>
        </w:rPr>
        <w:t xml:space="preserve"> </w:t>
      </w:r>
      <w:r>
        <w:t>abortion.</w:t>
      </w:r>
      <w:hyperlink w:anchor="_bookmark568" w:history="1">
        <w:r>
          <w:rPr>
            <w:vertAlign w:val="superscript"/>
          </w:rPr>
          <w:t>43</w:t>
        </w:r>
      </w:hyperlink>
      <w:r>
        <w:rPr>
          <w:spacing w:val="-6"/>
        </w:rPr>
        <w:t xml:space="preserve"> </w:t>
      </w:r>
      <w:r>
        <w:t>In</w:t>
      </w:r>
      <w:r>
        <w:rPr>
          <w:spacing w:val="-6"/>
        </w:rPr>
        <w:t xml:space="preserve"> </w:t>
      </w:r>
      <w:r>
        <w:t>a</w:t>
      </w:r>
      <w:r>
        <w:rPr>
          <w:spacing w:val="-6"/>
        </w:rPr>
        <w:t xml:space="preserve"> </w:t>
      </w:r>
      <w:r>
        <w:t>2021</w:t>
      </w:r>
      <w:r>
        <w:rPr>
          <w:spacing w:val="-5"/>
        </w:rPr>
        <w:t xml:space="preserve"> </w:t>
      </w:r>
      <w:r>
        <w:t>national</w:t>
      </w:r>
      <w:r>
        <w:rPr>
          <w:spacing w:val="-6"/>
        </w:rPr>
        <w:t xml:space="preserve"> </w:t>
      </w:r>
      <w:r>
        <w:t>study</w:t>
      </w:r>
      <w:r>
        <w:rPr>
          <w:spacing w:val="-7"/>
        </w:rPr>
        <w:t xml:space="preserve"> </w:t>
      </w:r>
      <w:r>
        <w:t>of</w:t>
      </w:r>
      <w:r>
        <w:rPr>
          <w:spacing w:val="-6"/>
        </w:rPr>
        <w:t xml:space="preserve"> </w:t>
      </w:r>
      <w:r>
        <w:t>transgender,</w:t>
      </w:r>
      <w:r>
        <w:rPr>
          <w:spacing w:val="-8"/>
        </w:rPr>
        <w:t xml:space="preserve"> </w:t>
      </w:r>
      <w:r>
        <w:t>nonbinary,</w:t>
      </w:r>
      <w:r>
        <w:rPr>
          <w:spacing w:val="-6"/>
        </w:rPr>
        <w:t xml:space="preserve"> </w:t>
      </w:r>
      <w:r>
        <w:t>and</w:t>
      </w:r>
      <w:r>
        <w:rPr>
          <w:spacing w:val="-6"/>
        </w:rPr>
        <w:t xml:space="preserve"> </w:t>
      </w:r>
      <w:r>
        <w:t>gender expansive</w:t>
      </w:r>
      <w:r>
        <w:rPr>
          <w:spacing w:val="-6"/>
        </w:rPr>
        <w:t xml:space="preserve"> </w:t>
      </w:r>
      <w:r>
        <w:t>people</w:t>
      </w:r>
      <w:r>
        <w:rPr>
          <w:spacing w:val="-6"/>
        </w:rPr>
        <w:t xml:space="preserve"> </w:t>
      </w:r>
      <w:r>
        <w:t>assigned-female-at-birth</w:t>
      </w:r>
      <w:r>
        <w:rPr>
          <w:spacing w:val="-10"/>
        </w:rPr>
        <w:t xml:space="preserve"> </w:t>
      </w:r>
      <w:r>
        <w:t>or</w:t>
      </w:r>
      <w:r>
        <w:rPr>
          <w:spacing w:val="-7"/>
        </w:rPr>
        <w:t xml:space="preserve"> </w:t>
      </w:r>
      <w:r>
        <w:t>intersex</w:t>
      </w:r>
      <w:r>
        <w:rPr>
          <w:spacing w:val="-9"/>
        </w:rPr>
        <w:t xml:space="preserve"> </w:t>
      </w:r>
      <w:r>
        <w:t>who</w:t>
      </w:r>
      <w:r>
        <w:rPr>
          <w:spacing w:val="-8"/>
        </w:rPr>
        <w:t xml:space="preserve"> </w:t>
      </w:r>
      <w:r>
        <w:t>were</w:t>
      </w:r>
      <w:r>
        <w:rPr>
          <w:spacing w:val="-8"/>
        </w:rPr>
        <w:t xml:space="preserve"> </w:t>
      </w:r>
      <w:r>
        <w:t>mostly</w:t>
      </w:r>
      <w:r>
        <w:rPr>
          <w:spacing w:val="-8"/>
        </w:rPr>
        <w:t xml:space="preserve"> </w:t>
      </w:r>
      <w:r>
        <w:t>under</w:t>
      </w:r>
      <w:r>
        <w:rPr>
          <w:spacing w:val="-9"/>
        </w:rPr>
        <w:t xml:space="preserve"> </w:t>
      </w:r>
      <w:r>
        <w:t>30</w:t>
      </w:r>
      <w:r>
        <w:rPr>
          <w:spacing w:val="-10"/>
        </w:rPr>
        <w:t xml:space="preserve"> </w:t>
      </w:r>
      <w:r>
        <w:t>years</w:t>
      </w:r>
      <w:r>
        <w:rPr>
          <w:spacing w:val="-9"/>
        </w:rPr>
        <w:t xml:space="preserve"> </w:t>
      </w:r>
      <w:r>
        <w:t>old,</w:t>
      </w:r>
      <w:r>
        <w:rPr>
          <w:spacing w:val="-9"/>
        </w:rPr>
        <w:t xml:space="preserve"> </w:t>
      </w:r>
      <w:r>
        <w:t>21%</w:t>
      </w:r>
      <w:r>
        <w:rPr>
          <w:spacing w:val="-8"/>
        </w:rPr>
        <w:t xml:space="preserve"> </w:t>
      </w:r>
      <w:r>
        <w:t>who</w:t>
      </w:r>
      <w:r>
        <w:rPr>
          <w:spacing w:val="-8"/>
        </w:rPr>
        <w:t xml:space="preserve"> </w:t>
      </w:r>
      <w:r>
        <w:t>had been pregnant had gotten an abortion.</w:t>
      </w:r>
      <w:hyperlink w:anchor="_bookmark569" w:history="1">
        <w:r>
          <w:rPr>
            <w:vertAlign w:val="superscript"/>
          </w:rPr>
          <w:t>44</w:t>
        </w:r>
      </w:hyperlink>
      <w:r>
        <w:t xml:space="preserve"> Similar barriers to contraception access also exist for abortion access, including cost, health insurance coverage, transportation, medical discrimination and racism, unsupportive caregivers, and immigration status.</w:t>
      </w:r>
    </w:p>
    <w:p w:rsidR="00200FDA" w:rsidRDefault="00200FDA">
      <w:pPr>
        <w:pStyle w:val="BodyText"/>
      </w:pPr>
    </w:p>
    <w:p w:rsidR="00200FDA" w:rsidRDefault="00F76C4C">
      <w:pPr>
        <w:pStyle w:val="Heading8"/>
        <w:spacing w:before="183"/>
      </w:pPr>
      <w:bookmarkStart w:id="686" w:name="Sexual_Victimization"/>
      <w:bookmarkEnd w:id="686"/>
      <w:r>
        <w:rPr>
          <w:color w:val="0A5293"/>
        </w:rPr>
        <w:t>Sexual</w:t>
      </w:r>
      <w:r>
        <w:rPr>
          <w:color w:val="0A5293"/>
          <w:spacing w:val="1"/>
        </w:rPr>
        <w:t xml:space="preserve"> </w:t>
      </w:r>
      <w:r>
        <w:rPr>
          <w:color w:val="0A5293"/>
          <w:spacing w:val="-2"/>
        </w:rPr>
        <w:t>Victimization</w:t>
      </w:r>
    </w:p>
    <w:p w:rsidR="00200FDA" w:rsidRDefault="00200FDA">
      <w:pPr>
        <w:pStyle w:val="BodyText"/>
        <w:spacing w:before="4"/>
        <w:rPr>
          <w:sz w:val="25"/>
        </w:rPr>
      </w:pPr>
    </w:p>
    <w:p w:rsidR="00200FDA" w:rsidRDefault="00F76C4C">
      <w:pPr>
        <w:pStyle w:val="BodyText"/>
        <w:spacing w:line="276" w:lineRule="auto"/>
        <w:ind w:left="140" w:right="195"/>
        <w:jc w:val="both"/>
      </w:pPr>
      <w:r>
        <w:t>As</w:t>
      </w:r>
      <w:r>
        <w:rPr>
          <w:spacing w:val="-7"/>
        </w:rPr>
        <w:t xml:space="preserve"> </w:t>
      </w:r>
      <w:r>
        <w:t>discussed</w:t>
      </w:r>
      <w:r>
        <w:rPr>
          <w:spacing w:val="-7"/>
        </w:rPr>
        <w:t xml:space="preserve"> </w:t>
      </w:r>
      <w:r>
        <w:t>further</w:t>
      </w:r>
      <w:r>
        <w:rPr>
          <w:spacing w:val="-7"/>
        </w:rPr>
        <w:t xml:space="preserve"> </w:t>
      </w:r>
      <w:r>
        <w:t>in</w:t>
      </w:r>
      <w:r>
        <w:rPr>
          <w:spacing w:val="-10"/>
        </w:rPr>
        <w:t xml:space="preserve"> </w:t>
      </w:r>
      <w:r>
        <w:t>the</w:t>
      </w:r>
      <w:r>
        <w:rPr>
          <w:spacing w:val="-8"/>
        </w:rPr>
        <w:t xml:space="preserve"> </w:t>
      </w:r>
      <w:r>
        <w:t>public</w:t>
      </w:r>
      <w:r>
        <w:rPr>
          <w:spacing w:val="-6"/>
        </w:rPr>
        <w:t xml:space="preserve"> </w:t>
      </w:r>
      <w:r>
        <w:t>health</w:t>
      </w:r>
      <w:r>
        <w:rPr>
          <w:spacing w:val="-7"/>
        </w:rPr>
        <w:t xml:space="preserve"> </w:t>
      </w:r>
      <w:r>
        <w:t>section,</w:t>
      </w:r>
      <w:r>
        <w:rPr>
          <w:spacing w:val="-7"/>
        </w:rPr>
        <w:t xml:space="preserve"> </w:t>
      </w:r>
      <w:r>
        <w:t>LGBTQ</w:t>
      </w:r>
      <w:r>
        <w:rPr>
          <w:spacing w:val="-6"/>
        </w:rPr>
        <w:t xml:space="preserve"> </w:t>
      </w:r>
      <w:r>
        <w:t>youth,</w:t>
      </w:r>
      <w:r>
        <w:rPr>
          <w:spacing w:val="-6"/>
        </w:rPr>
        <w:t xml:space="preserve"> </w:t>
      </w:r>
      <w:r>
        <w:t>particularly</w:t>
      </w:r>
      <w:r>
        <w:rPr>
          <w:spacing w:val="-6"/>
        </w:rPr>
        <w:t xml:space="preserve"> </w:t>
      </w:r>
      <w:r>
        <w:t>QTBIPOC</w:t>
      </w:r>
      <w:r>
        <w:rPr>
          <w:spacing w:val="-7"/>
        </w:rPr>
        <w:t xml:space="preserve"> </w:t>
      </w:r>
      <w:r>
        <w:t>youth,</w:t>
      </w:r>
      <w:r>
        <w:rPr>
          <w:spacing w:val="-6"/>
        </w:rPr>
        <w:t xml:space="preserve"> </w:t>
      </w:r>
      <w:r>
        <w:t>are</w:t>
      </w:r>
      <w:r>
        <w:rPr>
          <w:spacing w:val="-9"/>
        </w:rPr>
        <w:t xml:space="preserve"> </w:t>
      </w:r>
      <w:r>
        <w:t>at</w:t>
      </w:r>
      <w:r>
        <w:rPr>
          <w:spacing w:val="-6"/>
        </w:rPr>
        <w:t xml:space="preserve"> </w:t>
      </w:r>
      <w:r>
        <w:t>a</w:t>
      </w:r>
      <w:r>
        <w:rPr>
          <w:spacing w:val="-9"/>
        </w:rPr>
        <w:t xml:space="preserve"> </w:t>
      </w:r>
      <w:r>
        <w:t>much higher risk of sexual violence compared to white, cisgender, and heterosexual youth. Stigmatization and hypersexualization of LGBTQ people, racism, sexism, transphobia, homophobia, and other forms of marginalization are some of the factors that lead t</w:t>
      </w:r>
      <w:r>
        <w:t>o these concerning disparities, and also make it less likely that LGBTQ youth will report sexual violence incidents or assaults to law enforcement.</w:t>
      </w:r>
      <w:hyperlink w:anchor="_bookmark570" w:history="1">
        <w:r>
          <w:rPr>
            <w:vertAlign w:val="superscript"/>
          </w:rPr>
          <w:t>45</w:t>
        </w:r>
      </w:hyperlink>
    </w:p>
    <w:p w:rsidR="00200FDA" w:rsidRDefault="00F76C4C">
      <w:pPr>
        <w:pStyle w:val="BodyText"/>
        <w:spacing w:before="119" w:line="276" w:lineRule="auto"/>
        <w:ind w:left="140" w:right="193"/>
        <w:jc w:val="both"/>
      </w:pPr>
      <w:r>
        <w:t>Furthermore,</w:t>
      </w:r>
      <w:r>
        <w:rPr>
          <w:spacing w:val="-11"/>
        </w:rPr>
        <w:t xml:space="preserve"> </w:t>
      </w:r>
      <w:r>
        <w:t>LGBTQ</w:t>
      </w:r>
      <w:r>
        <w:rPr>
          <w:spacing w:val="-11"/>
        </w:rPr>
        <w:t xml:space="preserve"> </w:t>
      </w:r>
      <w:r>
        <w:t>youth</w:t>
      </w:r>
      <w:r>
        <w:rPr>
          <w:spacing w:val="-12"/>
        </w:rPr>
        <w:t xml:space="preserve"> </w:t>
      </w:r>
      <w:r>
        <w:t>reported</w:t>
      </w:r>
      <w:r>
        <w:rPr>
          <w:spacing w:val="-10"/>
        </w:rPr>
        <w:t xml:space="preserve"> </w:t>
      </w:r>
      <w:r>
        <w:t>childhood</w:t>
      </w:r>
      <w:r>
        <w:rPr>
          <w:spacing w:val="-10"/>
        </w:rPr>
        <w:t xml:space="preserve"> </w:t>
      </w:r>
      <w:r>
        <w:t>sexual</w:t>
      </w:r>
      <w:r>
        <w:rPr>
          <w:spacing w:val="-12"/>
        </w:rPr>
        <w:t xml:space="preserve"> </w:t>
      </w:r>
      <w:r>
        <w:t>abuse</w:t>
      </w:r>
      <w:r>
        <w:rPr>
          <w:spacing w:val="-9"/>
        </w:rPr>
        <w:t xml:space="preserve"> </w:t>
      </w:r>
      <w:r>
        <w:t>at</w:t>
      </w:r>
      <w:r>
        <w:rPr>
          <w:spacing w:val="-11"/>
        </w:rPr>
        <w:t xml:space="preserve"> </w:t>
      </w:r>
      <w:r>
        <w:t>a</w:t>
      </w:r>
      <w:r>
        <w:rPr>
          <w:spacing w:val="-9"/>
        </w:rPr>
        <w:t xml:space="preserve"> </w:t>
      </w:r>
      <w:r>
        <w:t>higher</w:t>
      </w:r>
      <w:r>
        <w:rPr>
          <w:spacing w:val="-12"/>
        </w:rPr>
        <w:t xml:space="preserve"> </w:t>
      </w:r>
      <w:r>
        <w:t>rate</w:t>
      </w:r>
      <w:r>
        <w:rPr>
          <w:spacing w:val="-11"/>
        </w:rPr>
        <w:t xml:space="preserve"> </w:t>
      </w:r>
      <w:r>
        <w:t>than</w:t>
      </w:r>
      <w:r>
        <w:rPr>
          <w:spacing w:val="-12"/>
        </w:rPr>
        <w:t xml:space="preserve"> </w:t>
      </w:r>
      <w:r>
        <w:t>heterosexual,</w:t>
      </w:r>
      <w:r>
        <w:rPr>
          <w:spacing w:val="-11"/>
        </w:rPr>
        <w:t xml:space="preserve"> </w:t>
      </w:r>
      <w:r>
        <w:t>cisgender teens;</w:t>
      </w:r>
      <w:hyperlink w:anchor="_bookmark571" w:history="1">
        <w:r>
          <w:rPr>
            <w:vertAlign w:val="superscript"/>
          </w:rPr>
          <w:t>46</w:t>
        </w:r>
      </w:hyperlink>
      <w:r>
        <w:rPr>
          <w:spacing w:val="-6"/>
        </w:rPr>
        <w:t xml:space="preserve"> </w:t>
      </w:r>
      <w:r>
        <w:t>19%</w:t>
      </w:r>
      <w:r>
        <w:rPr>
          <w:spacing w:val="-7"/>
        </w:rPr>
        <w:t xml:space="preserve"> </w:t>
      </w:r>
      <w:r>
        <w:t>of</w:t>
      </w:r>
      <w:r>
        <w:rPr>
          <w:spacing w:val="-8"/>
        </w:rPr>
        <w:t xml:space="preserve"> </w:t>
      </w:r>
      <w:r>
        <w:t>gender</w:t>
      </w:r>
      <w:r>
        <w:rPr>
          <w:spacing w:val="-8"/>
        </w:rPr>
        <w:t xml:space="preserve"> </w:t>
      </w:r>
      <w:r>
        <w:t>expansive</w:t>
      </w:r>
      <w:r>
        <w:rPr>
          <w:spacing w:val="-7"/>
        </w:rPr>
        <w:t xml:space="preserve"> </w:t>
      </w:r>
      <w:r>
        <w:t>teens</w:t>
      </w:r>
      <w:r>
        <w:rPr>
          <w:spacing w:val="-8"/>
        </w:rPr>
        <w:t xml:space="preserve"> </w:t>
      </w:r>
      <w:r>
        <w:t>reported</w:t>
      </w:r>
      <w:r>
        <w:rPr>
          <w:spacing w:val="-9"/>
        </w:rPr>
        <w:t xml:space="preserve"> </w:t>
      </w:r>
      <w:r>
        <w:t>childhood</w:t>
      </w:r>
      <w:r>
        <w:rPr>
          <w:spacing w:val="-9"/>
        </w:rPr>
        <w:t xml:space="preserve"> </w:t>
      </w:r>
      <w:r>
        <w:t>sexual</w:t>
      </w:r>
      <w:r>
        <w:rPr>
          <w:spacing w:val="-8"/>
        </w:rPr>
        <w:t xml:space="preserve"> </w:t>
      </w:r>
      <w:r>
        <w:t>abuse,</w:t>
      </w:r>
      <w:r>
        <w:rPr>
          <w:spacing w:val="-8"/>
        </w:rPr>
        <w:t xml:space="preserve"> </w:t>
      </w:r>
      <w:r>
        <w:t>with</w:t>
      </w:r>
      <w:r>
        <w:rPr>
          <w:spacing w:val="-6"/>
        </w:rPr>
        <w:t xml:space="preserve"> </w:t>
      </w:r>
      <w:r>
        <w:t>nonbinary</w:t>
      </w:r>
      <w:r>
        <w:rPr>
          <w:spacing w:val="-5"/>
        </w:rPr>
        <w:t xml:space="preserve"> </w:t>
      </w:r>
      <w:r>
        <w:t>youth</w:t>
      </w:r>
      <w:r>
        <w:rPr>
          <w:spacing w:val="-6"/>
        </w:rPr>
        <w:t xml:space="preserve"> </w:t>
      </w:r>
      <w:r>
        <w:t>assigned- female-at-birth most at risk.</w:t>
      </w:r>
      <w:hyperlink w:anchor="_bookmark572" w:history="1">
        <w:r>
          <w:rPr>
            <w:vertAlign w:val="superscript"/>
          </w:rPr>
          <w:t>47</w:t>
        </w:r>
      </w:hyperlink>
      <w:r>
        <w:t xml:space="preserve"> In the 2021 Massachusetts YRBS survey,</w:t>
      </w:r>
      <w:hyperlink w:anchor="_bookmark573" w:history="1">
        <w:r>
          <w:rPr>
            <w:vertAlign w:val="superscript"/>
          </w:rPr>
          <w:t>48</w:t>
        </w:r>
      </w:hyperlink>
      <w:r>
        <w:t xml:space="preserve"> 20% of LGBQ youth indicated they were forced to have sex when they did not want to, compared to 5% of straight youth. In the same survey, 22% of LGBQ+</w:t>
      </w:r>
      <w:r>
        <w:rPr>
          <w:spacing w:val="-1"/>
        </w:rPr>
        <w:t xml:space="preserve"> </w:t>
      </w:r>
      <w:r>
        <w:t>youth reported experiencing any</w:t>
      </w:r>
      <w:r>
        <w:t xml:space="preserve"> sexual violence compared to</w:t>
      </w:r>
      <w:r>
        <w:rPr>
          <w:spacing w:val="-1"/>
        </w:rPr>
        <w:t xml:space="preserve"> </w:t>
      </w:r>
      <w:r>
        <w:t>8%</w:t>
      </w:r>
      <w:r>
        <w:rPr>
          <w:spacing w:val="-1"/>
        </w:rPr>
        <w:t xml:space="preserve"> </w:t>
      </w:r>
      <w:r>
        <w:t>of heterosexual</w:t>
      </w:r>
    </w:p>
    <w:p w:rsidR="00200FDA" w:rsidRDefault="00200FDA">
      <w:pPr>
        <w:spacing w:line="276" w:lineRule="auto"/>
        <w:jc w:val="both"/>
        <w:sectPr w:rsidR="00200FDA">
          <w:pgSz w:w="12240" w:h="15840"/>
          <w:pgMar w:top="1360" w:right="1240" w:bottom="1480" w:left="1300" w:header="761" w:footer="1283" w:gutter="0"/>
          <w:cols w:space="720"/>
        </w:sectPr>
      </w:pPr>
    </w:p>
    <w:p w:rsidR="00200FDA" w:rsidRDefault="00F76C4C">
      <w:pPr>
        <w:pStyle w:val="BodyText"/>
        <w:spacing w:before="64" w:line="276" w:lineRule="auto"/>
        <w:ind w:left="140" w:right="4573"/>
        <w:jc w:val="both"/>
      </w:pPr>
      <w:r>
        <w:rPr>
          <w:noProof/>
        </w:rPr>
        <w:lastRenderedPageBreak/>
        <w:drawing>
          <wp:anchor distT="0" distB="0" distL="0" distR="0" simplePos="0" relativeHeight="15789056" behindDoc="0" locked="0" layoutInCell="1" allowOverlap="1">
            <wp:simplePos x="0" y="0"/>
            <wp:positionH relativeFrom="page">
              <wp:posOffset>4191000</wp:posOffset>
            </wp:positionH>
            <wp:positionV relativeFrom="paragraph">
              <wp:posOffset>69642</wp:posOffset>
            </wp:positionV>
            <wp:extent cx="2721610" cy="2721610"/>
            <wp:effectExtent l="0" t="0" r="0" b="0"/>
            <wp:wrapNone/>
            <wp:docPr id="99"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03.png"/>
                    <pic:cNvPicPr/>
                  </pic:nvPicPr>
                  <pic:blipFill>
                    <a:blip r:embed="rId521" cstate="print"/>
                    <a:stretch>
                      <a:fillRect/>
                    </a:stretch>
                  </pic:blipFill>
                  <pic:spPr>
                    <a:xfrm>
                      <a:off x="0" y="0"/>
                      <a:ext cx="2721610" cy="2721610"/>
                    </a:xfrm>
                    <a:prstGeom prst="rect">
                      <a:avLst/>
                    </a:prstGeom>
                  </pic:spPr>
                </pic:pic>
              </a:graphicData>
            </a:graphic>
          </wp:anchor>
        </w:drawing>
      </w:r>
      <w:r>
        <w:t>youth in Massachusetts. As mentioned above, nearly half of transgender people in the U.S. report being sexually</w:t>
      </w:r>
      <w:r>
        <w:rPr>
          <w:spacing w:val="-13"/>
        </w:rPr>
        <w:t xml:space="preserve"> </w:t>
      </w:r>
      <w:r>
        <w:t>abused</w:t>
      </w:r>
      <w:r>
        <w:rPr>
          <w:spacing w:val="-12"/>
        </w:rPr>
        <w:t xml:space="preserve"> </w:t>
      </w:r>
      <w:r>
        <w:t>or</w:t>
      </w:r>
      <w:r>
        <w:rPr>
          <w:spacing w:val="-13"/>
        </w:rPr>
        <w:t xml:space="preserve"> </w:t>
      </w:r>
      <w:r>
        <w:t>assaulted</w:t>
      </w:r>
      <w:r>
        <w:rPr>
          <w:spacing w:val="-12"/>
        </w:rPr>
        <w:t xml:space="preserve"> </w:t>
      </w:r>
      <w:r>
        <w:t>at</w:t>
      </w:r>
      <w:r>
        <w:rPr>
          <w:spacing w:val="-12"/>
        </w:rPr>
        <w:t xml:space="preserve"> </w:t>
      </w:r>
      <w:r>
        <w:t>some</w:t>
      </w:r>
      <w:r>
        <w:rPr>
          <w:spacing w:val="-12"/>
        </w:rPr>
        <w:t xml:space="preserve"> </w:t>
      </w:r>
      <w:r>
        <w:t>point</w:t>
      </w:r>
      <w:r>
        <w:rPr>
          <w:spacing w:val="-11"/>
        </w:rPr>
        <w:t xml:space="preserve"> </w:t>
      </w:r>
      <w:r>
        <w:t>in</w:t>
      </w:r>
      <w:r>
        <w:rPr>
          <w:spacing w:val="-13"/>
        </w:rPr>
        <w:t xml:space="preserve"> </w:t>
      </w:r>
      <w:r>
        <w:t>their</w:t>
      </w:r>
      <w:r>
        <w:rPr>
          <w:spacing w:val="-12"/>
        </w:rPr>
        <w:t xml:space="preserve"> </w:t>
      </w:r>
      <w:r>
        <w:t>life;</w:t>
      </w:r>
      <w:hyperlink w:anchor="_bookmark574" w:history="1">
        <w:r>
          <w:rPr>
            <w:vertAlign w:val="superscript"/>
          </w:rPr>
          <w:t>4</w:t>
        </w:r>
        <w:r>
          <w:rPr>
            <w:vertAlign w:val="superscript"/>
          </w:rPr>
          <w:t>9</w:t>
        </w:r>
      </w:hyperlink>
      <w:r>
        <w:t xml:space="preserve"> 46%</w:t>
      </w:r>
      <w:r>
        <w:rPr>
          <w:spacing w:val="-8"/>
        </w:rPr>
        <w:t xml:space="preserve"> </w:t>
      </w:r>
      <w:r>
        <w:t>of</w:t>
      </w:r>
      <w:r>
        <w:rPr>
          <w:spacing w:val="-11"/>
        </w:rPr>
        <w:t xml:space="preserve"> </w:t>
      </w:r>
      <w:r>
        <w:t>bisexual</w:t>
      </w:r>
      <w:r>
        <w:rPr>
          <w:spacing w:val="-11"/>
        </w:rPr>
        <w:t xml:space="preserve"> </w:t>
      </w:r>
      <w:r>
        <w:t>women</w:t>
      </w:r>
      <w:r>
        <w:rPr>
          <w:spacing w:val="-9"/>
        </w:rPr>
        <w:t xml:space="preserve"> </w:t>
      </w:r>
      <w:r>
        <w:t>also</w:t>
      </w:r>
      <w:r>
        <w:rPr>
          <w:spacing w:val="-7"/>
        </w:rPr>
        <w:t xml:space="preserve"> </w:t>
      </w:r>
      <w:r>
        <w:t>report</w:t>
      </w:r>
      <w:r>
        <w:rPr>
          <w:spacing w:val="-8"/>
        </w:rPr>
        <w:t xml:space="preserve"> </w:t>
      </w:r>
      <w:r>
        <w:t>being</w:t>
      </w:r>
      <w:r>
        <w:rPr>
          <w:spacing w:val="-9"/>
        </w:rPr>
        <w:t xml:space="preserve"> </w:t>
      </w:r>
      <w:r>
        <w:t>raped</w:t>
      </w:r>
      <w:r>
        <w:rPr>
          <w:spacing w:val="-9"/>
        </w:rPr>
        <w:t xml:space="preserve"> </w:t>
      </w:r>
      <w:r>
        <w:t>at</w:t>
      </w:r>
      <w:r>
        <w:rPr>
          <w:spacing w:val="-11"/>
        </w:rPr>
        <w:t xml:space="preserve"> </w:t>
      </w:r>
      <w:r>
        <w:t>some point in their lifetime (compared to 17% of straight women) and for nearly 48% of those women, their first rape occurred between the ages of 11 and 17.</w:t>
      </w:r>
      <w:hyperlink w:anchor="_bookmark575" w:history="1">
        <w:r>
          <w:rPr>
            <w:vertAlign w:val="superscript"/>
          </w:rPr>
          <w:t>50</w:t>
        </w:r>
      </w:hyperlink>
      <w:r>
        <w:t xml:space="preserve"> Across college</w:t>
      </w:r>
      <w:r>
        <w:rPr>
          <w:spacing w:val="-7"/>
        </w:rPr>
        <w:t xml:space="preserve"> </w:t>
      </w:r>
      <w:r>
        <w:t>campuses,</w:t>
      </w:r>
      <w:r>
        <w:rPr>
          <w:spacing w:val="-5"/>
        </w:rPr>
        <w:t xml:space="preserve"> </w:t>
      </w:r>
      <w:r>
        <w:t>research</w:t>
      </w:r>
      <w:r>
        <w:rPr>
          <w:spacing w:val="-8"/>
        </w:rPr>
        <w:t xml:space="preserve"> </w:t>
      </w:r>
      <w:r>
        <w:t>has</w:t>
      </w:r>
      <w:r>
        <w:rPr>
          <w:spacing w:val="-5"/>
        </w:rPr>
        <w:t xml:space="preserve"> </w:t>
      </w:r>
      <w:r>
        <w:t>long</w:t>
      </w:r>
      <w:r>
        <w:rPr>
          <w:spacing w:val="-6"/>
        </w:rPr>
        <w:t xml:space="preserve"> </w:t>
      </w:r>
      <w:r>
        <w:t>demonstrated</w:t>
      </w:r>
      <w:r>
        <w:rPr>
          <w:spacing w:val="-6"/>
        </w:rPr>
        <w:t xml:space="preserve"> </w:t>
      </w:r>
      <w:r>
        <w:t>that sexual violence is a pervasive issue that LGBTQ youth experience sexual violence at disproportionate rates. The Commission commends the actions of Massachusetts advocates, legislators, and campus officials for prioritizing campus safety for youth acro</w:t>
      </w:r>
      <w:r>
        <w:t>ss the state, but urges campuses to continue to explore ways to support LGBTQ youth.</w:t>
      </w:r>
    </w:p>
    <w:p w:rsidR="00200FDA" w:rsidRDefault="00F76C4C">
      <w:pPr>
        <w:pStyle w:val="BodyText"/>
        <w:spacing w:before="119" w:line="276" w:lineRule="auto"/>
        <w:ind w:left="139" w:right="195"/>
        <w:jc w:val="both"/>
      </w:pPr>
      <w:r>
        <w:t>Within carceral and education institutions, as well as shelters and transitional housing units,</w:t>
      </w:r>
      <w:hyperlink w:anchor="_bookmark576" w:history="1">
        <w:r>
          <w:rPr>
            <w:vertAlign w:val="superscript"/>
          </w:rPr>
          <w:t>51</w:t>
        </w:r>
      </w:hyperlink>
      <w:r>
        <w:t xml:space="preserve"> LGBTQ youth</w:t>
      </w:r>
      <w:r>
        <w:rPr>
          <w:spacing w:val="-7"/>
        </w:rPr>
        <w:t xml:space="preserve"> </w:t>
      </w:r>
      <w:r>
        <w:t>experience</w:t>
      </w:r>
      <w:r>
        <w:rPr>
          <w:spacing w:val="-4"/>
        </w:rPr>
        <w:t xml:space="preserve"> </w:t>
      </w:r>
      <w:r>
        <w:t>disproportionately</w:t>
      </w:r>
      <w:r>
        <w:rPr>
          <w:spacing w:val="-4"/>
        </w:rPr>
        <w:t xml:space="preserve"> </w:t>
      </w:r>
      <w:r>
        <w:t>higher</w:t>
      </w:r>
      <w:r>
        <w:rPr>
          <w:spacing w:val="-4"/>
        </w:rPr>
        <w:t xml:space="preserve"> </w:t>
      </w:r>
      <w:r>
        <w:t>rates</w:t>
      </w:r>
      <w:r>
        <w:rPr>
          <w:spacing w:val="-7"/>
        </w:rPr>
        <w:t xml:space="preserve"> </w:t>
      </w:r>
      <w:r>
        <w:t>of</w:t>
      </w:r>
      <w:r>
        <w:rPr>
          <w:spacing w:val="-5"/>
        </w:rPr>
        <w:t xml:space="preserve"> </w:t>
      </w:r>
      <w:r>
        <w:t>sexual</w:t>
      </w:r>
      <w:r>
        <w:rPr>
          <w:spacing w:val="-5"/>
        </w:rPr>
        <w:t xml:space="preserve"> </w:t>
      </w:r>
      <w:r>
        <w:t>violence.</w:t>
      </w:r>
      <w:r>
        <w:rPr>
          <w:spacing w:val="-5"/>
        </w:rPr>
        <w:t xml:space="preserve"> </w:t>
      </w:r>
      <w:r>
        <w:t>Nationwide,</w:t>
      </w:r>
      <w:r>
        <w:rPr>
          <w:spacing w:val="-4"/>
        </w:rPr>
        <w:t xml:space="preserve"> </w:t>
      </w:r>
      <w:r>
        <w:t>in</w:t>
      </w:r>
      <w:r>
        <w:rPr>
          <w:spacing w:val="-5"/>
        </w:rPr>
        <w:t xml:space="preserve"> </w:t>
      </w:r>
      <w:r>
        <w:t>a</w:t>
      </w:r>
      <w:r>
        <w:rPr>
          <w:spacing w:val="-5"/>
        </w:rPr>
        <w:t xml:space="preserve"> </w:t>
      </w:r>
      <w:r>
        <w:t>2014</w:t>
      </w:r>
      <w:r>
        <w:rPr>
          <w:spacing w:val="-3"/>
        </w:rPr>
        <w:t xml:space="preserve"> </w:t>
      </w:r>
      <w:r>
        <w:t>survey</w:t>
      </w:r>
      <w:r>
        <w:rPr>
          <w:spacing w:val="-6"/>
        </w:rPr>
        <w:t xml:space="preserve"> </w:t>
      </w:r>
      <w:r>
        <w:t>40%</w:t>
      </w:r>
      <w:r>
        <w:rPr>
          <w:spacing w:val="-6"/>
        </w:rPr>
        <w:t xml:space="preserve"> </w:t>
      </w:r>
      <w:r>
        <w:t>of transgender people reported being sexually assaulted or abused in a carceral institution, which is nearly ten times the rate of cisgender incarcerated people.</w:t>
      </w:r>
      <w:hyperlink w:anchor="_bookmark577" w:history="1">
        <w:r>
          <w:rPr>
            <w:vertAlign w:val="superscript"/>
          </w:rPr>
          <w:t>52</w:t>
        </w:r>
      </w:hyperlink>
      <w:r>
        <w:t xml:space="preserve"> As noted in the criminal justice and homelessness sections</w:t>
      </w:r>
      <w:r>
        <w:rPr>
          <w:spacing w:val="-2"/>
        </w:rPr>
        <w:t xml:space="preserve"> </w:t>
      </w:r>
      <w:r>
        <w:t>of</w:t>
      </w:r>
      <w:r>
        <w:rPr>
          <w:spacing w:val="-5"/>
        </w:rPr>
        <w:t xml:space="preserve"> </w:t>
      </w:r>
      <w:r>
        <w:t>this</w:t>
      </w:r>
      <w:r>
        <w:rPr>
          <w:spacing w:val="-2"/>
        </w:rPr>
        <w:t xml:space="preserve"> </w:t>
      </w:r>
      <w:r>
        <w:t>annual</w:t>
      </w:r>
      <w:r>
        <w:rPr>
          <w:spacing w:val="-2"/>
        </w:rPr>
        <w:t xml:space="preserve"> </w:t>
      </w:r>
      <w:r>
        <w:t>report,</w:t>
      </w:r>
      <w:r>
        <w:rPr>
          <w:spacing w:val="-2"/>
        </w:rPr>
        <w:t xml:space="preserve"> </w:t>
      </w:r>
      <w:r>
        <w:t>transgender</w:t>
      </w:r>
      <w:r>
        <w:rPr>
          <w:spacing w:val="-2"/>
        </w:rPr>
        <w:t xml:space="preserve"> </w:t>
      </w:r>
      <w:r>
        <w:t>youth</w:t>
      </w:r>
      <w:r>
        <w:rPr>
          <w:spacing w:val="-5"/>
        </w:rPr>
        <w:t xml:space="preserve"> </w:t>
      </w:r>
      <w:r>
        <w:t>who</w:t>
      </w:r>
      <w:r>
        <w:rPr>
          <w:spacing w:val="-1"/>
        </w:rPr>
        <w:t xml:space="preserve"> </w:t>
      </w:r>
      <w:r>
        <w:t>are</w:t>
      </w:r>
      <w:r>
        <w:rPr>
          <w:spacing w:val="-1"/>
        </w:rPr>
        <w:t xml:space="preserve"> </w:t>
      </w:r>
      <w:r>
        <w:t>housed</w:t>
      </w:r>
      <w:r>
        <w:rPr>
          <w:spacing w:val="-3"/>
        </w:rPr>
        <w:t xml:space="preserve"> </w:t>
      </w:r>
      <w:r>
        <w:t>in</w:t>
      </w:r>
      <w:r>
        <w:rPr>
          <w:spacing w:val="-3"/>
        </w:rPr>
        <w:t xml:space="preserve"> </w:t>
      </w:r>
      <w:r>
        <w:t>single-sex</w:t>
      </w:r>
      <w:r>
        <w:rPr>
          <w:spacing w:val="-4"/>
        </w:rPr>
        <w:t xml:space="preserve"> </w:t>
      </w:r>
      <w:r>
        <w:t>environments</w:t>
      </w:r>
      <w:r>
        <w:rPr>
          <w:spacing w:val="-2"/>
        </w:rPr>
        <w:t xml:space="preserve"> </w:t>
      </w:r>
      <w:r>
        <w:t>that</w:t>
      </w:r>
      <w:r>
        <w:rPr>
          <w:spacing w:val="-1"/>
        </w:rPr>
        <w:t xml:space="preserve"> </w:t>
      </w:r>
      <w:r>
        <w:t>do</w:t>
      </w:r>
      <w:r>
        <w:rPr>
          <w:spacing w:val="-1"/>
        </w:rPr>
        <w:t xml:space="preserve"> </w:t>
      </w:r>
      <w:r>
        <w:t>not match</w:t>
      </w:r>
      <w:r>
        <w:rPr>
          <w:spacing w:val="-4"/>
        </w:rPr>
        <w:t xml:space="preserve"> </w:t>
      </w:r>
      <w:r>
        <w:t>their</w:t>
      </w:r>
      <w:r>
        <w:rPr>
          <w:spacing w:val="-4"/>
        </w:rPr>
        <w:t xml:space="preserve"> </w:t>
      </w:r>
      <w:r>
        <w:t>gender</w:t>
      </w:r>
      <w:r>
        <w:rPr>
          <w:spacing w:val="-3"/>
        </w:rPr>
        <w:t xml:space="preserve"> </w:t>
      </w:r>
      <w:r>
        <w:t>identity</w:t>
      </w:r>
      <w:r>
        <w:rPr>
          <w:spacing w:val="-5"/>
        </w:rPr>
        <w:t xml:space="preserve"> </w:t>
      </w:r>
      <w:r>
        <w:t>are</w:t>
      </w:r>
      <w:r>
        <w:rPr>
          <w:spacing w:val="-3"/>
        </w:rPr>
        <w:t xml:space="preserve"> </w:t>
      </w:r>
      <w:r>
        <w:t>more</w:t>
      </w:r>
      <w:r>
        <w:rPr>
          <w:spacing w:val="-3"/>
        </w:rPr>
        <w:t xml:space="preserve"> </w:t>
      </w:r>
      <w:r>
        <w:t>likely</w:t>
      </w:r>
      <w:r>
        <w:rPr>
          <w:spacing w:val="-3"/>
        </w:rPr>
        <w:t xml:space="preserve"> </w:t>
      </w:r>
      <w:r>
        <w:t>to</w:t>
      </w:r>
      <w:r>
        <w:rPr>
          <w:spacing w:val="-2"/>
        </w:rPr>
        <w:t xml:space="preserve"> </w:t>
      </w:r>
      <w:r>
        <w:t>be</w:t>
      </w:r>
      <w:r>
        <w:rPr>
          <w:spacing w:val="-3"/>
        </w:rPr>
        <w:t xml:space="preserve"> </w:t>
      </w:r>
      <w:r>
        <w:t>at</w:t>
      </w:r>
      <w:r>
        <w:rPr>
          <w:spacing w:val="-3"/>
        </w:rPr>
        <w:t xml:space="preserve"> </w:t>
      </w:r>
      <w:r>
        <w:t>risk</w:t>
      </w:r>
      <w:r>
        <w:rPr>
          <w:spacing w:val="-3"/>
        </w:rPr>
        <w:t xml:space="preserve"> </w:t>
      </w:r>
      <w:r>
        <w:t>of</w:t>
      </w:r>
      <w:r>
        <w:rPr>
          <w:spacing w:val="-4"/>
        </w:rPr>
        <w:t xml:space="preserve"> </w:t>
      </w:r>
      <w:r>
        <w:t>sexual</w:t>
      </w:r>
      <w:r>
        <w:rPr>
          <w:spacing w:val="-4"/>
        </w:rPr>
        <w:t xml:space="preserve"> </w:t>
      </w:r>
      <w:r>
        <w:t>assault</w:t>
      </w:r>
      <w:r>
        <w:rPr>
          <w:spacing w:val="-3"/>
        </w:rPr>
        <w:t xml:space="preserve"> </w:t>
      </w:r>
      <w:r>
        <w:t>from</w:t>
      </w:r>
      <w:r>
        <w:rPr>
          <w:spacing w:val="-4"/>
        </w:rPr>
        <w:t xml:space="preserve"> </w:t>
      </w:r>
      <w:r>
        <w:t>other</w:t>
      </w:r>
      <w:r>
        <w:rPr>
          <w:spacing w:val="-3"/>
        </w:rPr>
        <w:t xml:space="preserve"> </w:t>
      </w:r>
      <w:r>
        <w:t>residents</w:t>
      </w:r>
      <w:r>
        <w:rPr>
          <w:spacing w:val="-3"/>
        </w:rPr>
        <w:t xml:space="preserve"> </w:t>
      </w:r>
      <w:r>
        <w:t>and</w:t>
      </w:r>
      <w:r>
        <w:rPr>
          <w:spacing w:val="-4"/>
        </w:rPr>
        <w:t xml:space="preserve"> </w:t>
      </w:r>
      <w:r>
        <w:t>facility staff.</w:t>
      </w:r>
      <w:r>
        <w:rPr>
          <w:spacing w:val="40"/>
        </w:rPr>
        <w:t xml:space="preserve"> </w:t>
      </w:r>
      <w:r>
        <w:t>Furthermore,</w:t>
      </w:r>
      <w:r>
        <w:rPr>
          <w:spacing w:val="-4"/>
        </w:rPr>
        <w:t xml:space="preserve"> </w:t>
      </w:r>
      <w:r>
        <w:t>homelessness,</w:t>
      </w:r>
      <w:r>
        <w:rPr>
          <w:spacing w:val="-4"/>
        </w:rPr>
        <w:t xml:space="preserve"> </w:t>
      </w:r>
      <w:r>
        <w:t>history</w:t>
      </w:r>
      <w:r>
        <w:rPr>
          <w:spacing w:val="-3"/>
        </w:rPr>
        <w:t xml:space="preserve"> </w:t>
      </w:r>
      <w:r>
        <w:t>of</w:t>
      </w:r>
      <w:r>
        <w:rPr>
          <w:spacing w:val="-5"/>
        </w:rPr>
        <w:t xml:space="preserve"> </w:t>
      </w:r>
      <w:r>
        <w:t>abuse,</w:t>
      </w:r>
      <w:r>
        <w:rPr>
          <w:spacing w:val="-4"/>
        </w:rPr>
        <w:t xml:space="preserve"> </w:t>
      </w:r>
      <w:r>
        <w:t>disengagement</w:t>
      </w:r>
      <w:r>
        <w:rPr>
          <w:spacing w:val="-4"/>
        </w:rPr>
        <w:t xml:space="preserve"> </w:t>
      </w:r>
      <w:r>
        <w:t>from</w:t>
      </w:r>
      <w:r>
        <w:rPr>
          <w:spacing w:val="-3"/>
        </w:rPr>
        <w:t xml:space="preserve"> </w:t>
      </w:r>
      <w:r>
        <w:t>family,</w:t>
      </w:r>
      <w:r>
        <w:rPr>
          <w:spacing w:val="-7"/>
        </w:rPr>
        <w:t xml:space="preserve"> </w:t>
      </w:r>
      <w:r>
        <w:t>and</w:t>
      </w:r>
      <w:r>
        <w:rPr>
          <w:spacing w:val="-5"/>
        </w:rPr>
        <w:t xml:space="preserve"> </w:t>
      </w:r>
      <w:r>
        <w:t>substance</w:t>
      </w:r>
      <w:r>
        <w:rPr>
          <w:spacing w:val="-4"/>
        </w:rPr>
        <w:t xml:space="preserve"> </w:t>
      </w:r>
      <w:r>
        <w:t>abuse</w:t>
      </w:r>
      <w:r>
        <w:rPr>
          <w:spacing w:val="-4"/>
        </w:rPr>
        <w:t xml:space="preserve"> </w:t>
      </w:r>
      <w:r>
        <w:t>all increase LGBTQ youth’s risk of being sexually exploited or trafficked.</w:t>
      </w:r>
      <w:hyperlink w:anchor="_bookmark578" w:history="1">
        <w:r>
          <w:rPr>
            <w:vertAlign w:val="superscript"/>
          </w:rPr>
          <w:t>53</w:t>
        </w:r>
      </w:hyperlink>
    </w:p>
    <w:p w:rsidR="00200FDA" w:rsidRDefault="00F76C4C">
      <w:pPr>
        <w:pStyle w:val="BodyText"/>
        <w:spacing w:before="122" w:line="276" w:lineRule="auto"/>
        <w:ind w:left="139" w:right="193"/>
        <w:jc w:val="both"/>
      </w:pPr>
      <w:r>
        <w:t>When looking at sexual vi</w:t>
      </w:r>
      <w:r>
        <w:t>ctimization prevention strategies, including in bystander intervention methods training,</w:t>
      </w:r>
      <w:r>
        <w:rPr>
          <w:spacing w:val="-7"/>
        </w:rPr>
        <w:t xml:space="preserve"> </w:t>
      </w:r>
      <w:r>
        <w:t>it</w:t>
      </w:r>
      <w:r>
        <w:rPr>
          <w:spacing w:val="-6"/>
        </w:rPr>
        <w:t xml:space="preserve"> </w:t>
      </w:r>
      <w:r>
        <w:t>is</w:t>
      </w:r>
      <w:r>
        <w:rPr>
          <w:spacing w:val="-9"/>
        </w:rPr>
        <w:t xml:space="preserve"> </w:t>
      </w:r>
      <w:r>
        <w:t>important</w:t>
      </w:r>
      <w:r>
        <w:rPr>
          <w:spacing w:val="-9"/>
        </w:rPr>
        <w:t xml:space="preserve"> </w:t>
      </w:r>
      <w:r>
        <w:t>to</w:t>
      </w:r>
      <w:r>
        <w:rPr>
          <w:spacing w:val="-8"/>
        </w:rPr>
        <w:t xml:space="preserve"> </w:t>
      </w:r>
      <w:r>
        <w:t>take</w:t>
      </w:r>
      <w:r>
        <w:rPr>
          <w:spacing w:val="-6"/>
        </w:rPr>
        <w:t xml:space="preserve"> </w:t>
      </w:r>
      <w:r>
        <w:t>specific</w:t>
      </w:r>
      <w:r>
        <w:rPr>
          <w:spacing w:val="-9"/>
        </w:rPr>
        <w:t xml:space="preserve"> </w:t>
      </w:r>
      <w:r>
        <w:t>societal</w:t>
      </w:r>
      <w:r>
        <w:rPr>
          <w:spacing w:val="-9"/>
        </w:rPr>
        <w:t xml:space="preserve"> </w:t>
      </w:r>
      <w:r>
        <w:t>and</w:t>
      </w:r>
      <w:r>
        <w:rPr>
          <w:spacing w:val="-7"/>
        </w:rPr>
        <w:t xml:space="preserve"> </w:t>
      </w:r>
      <w:r>
        <w:t>cultural</w:t>
      </w:r>
      <w:r>
        <w:rPr>
          <w:spacing w:val="-7"/>
        </w:rPr>
        <w:t xml:space="preserve"> </w:t>
      </w:r>
      <w:r>
        <w:t>considerations</w:t>
      </w:r>
      <w:r>
        <w:rPr>
          <w:spacing w:val="-7"/>
        </w:rPr>
        <w:t xml:space="preserve"> </w:t>
      </w:r>
      <w:r>
        <w:t>for</w:t>
      </w:r>
      <w:r>
        <w:rPr>
          <w:spacing w:val="-9"/>
        </w:rPr>
        <w:t xml:space="preserve"> </w:t>
      </w:r>
      <w:r>
        <w:t>LGBTQ</w:t>
      </w:r>
      <w:r>
        <w:rPr>
          <w:spacing w:val="-6"/>
        </w:rPr>
        <w:t xml:space="preserve"> </w:t>
      </w:r>
      <w:r>
        <w:t>and</w:t>
      </w:r>
      <w:r>
        <w:rPr>
          <w:spacing w:val="-10"/>
        </w:rPr>
        <w:t xml:space="preserve"> </w:t>
      </w:r>
      <w:r>
        <w:t>QTBIPOC</w:t>
      </w:r>
      <w:r>
        <w:rPr>
          <w:spacing w:val="-9"/>
        </w:rPr>
        <w:t xml:space="preserve"> </w:t>
      </w:r>
      <w:r>
        <w:t>youth into</w:t>
      </w:r>
      <w:r>
        <w:rPr>
          <w:spacing w:val="-5"/>
        </w:rPr>
        <w:t xml:space="preserve"> </w:t>
      </w:r>
      <w:r>
        <w:t>account.</w:t>
      </w:r>
      <w:r>
        <w:rPr>
          <w:spacing w:val="-7"/>
        </w:rPr>
        <w:t xml:space="preserve"> </w:t>
      </w:r>
      <w:r>
        <w:t>For</w:t>
      </w:r>
      <w:r>
        <w:rPr>
          <w:spacing w:val="-9"/>
        </w:rPr>
        <w:t xml:space="preserve"> </w:t>
      </w:r>
      <w:r>
        <w:t>example,</w:t>
      </w:r>
      <w:r>
        <w:rPr>
          <w:spacing w:val="-9"/>
        </w:rPr>
        <w:t xml:space="preserve"> </w:t>
      </w:r>
      <w:r>
        <w:t>one</w:t>
      </w:r>
      <w:r>
        <w:rPr>
          <w:spacing w:val="-6"/>
        </w:rPr>
        <w:t xml:space="preserve"> </w:t>
      </w:r>
      <w:r>
        <w:t>way</w:t>
      </w:r>
      <w:r>
        <w:rPr>
          <w:spacing w:val="-6"/>
        </w:rPr>
        <w:t xml:space="preserve"> </w:t>
      </w:r>
      <w:r>
        <w:t>a</w:t>
      </w:r>
      <w:r>
        <w:rPr>
          <w:spacing w:val="-9"/>
        </w:rPr>
        <w:t xml:space="preserve"> </w:t>
      </w:r>
      <w:r>
        <w:t>well-meaning</w:t>
      </w:r>
      <w:r>
        <w:rPr>
          <w:spacing w:val="-7"/>
        </w:rPr>
        <w:t xml:space="preserve"> </w:t>
      </w:r>
      <w:r>
        <w:t>bystander</w:t>
      </w:r>
      <w:r>
        <w:rPr>
          <w:spacing w:val="-7"/>
        </w:rPr>
        <w:t xml:space="preserve"> </w:t>
      </w:r>
      <w:r>
        <w:t>may</w:t>
      </w:r>
      <w:r>
        <w:rPr>
          <w:spacing w:val="-6"/>
        </w:rPr>
        <w:t xml:space="preserve"> </w:t>
      </w:r>
      <w:r>
        <w:t>try</w:t>
      </w:r>
      <w:r>
        <w:rPr>
          <w:spacing w:val="-6"/>
        </w:rPr>
        <w:t xml:space="preserve"> </w:t>
      </w:r>
      <w:r>
        <w:t>to</w:t>
      </w:r>
      <w:r>
        <w:rPr>
          <w:spacing w:val="-5"/>
        </w:rPr>
        <w:t xml:space="preserve"> </w:t>
      </w:r>
      <w:r>
        <w:t>intervene</w:t>
      </w:r>
      <w:r>
        <w:rPr>
          <w:spacing w:val="-6"/>
        </w:rPr>
        <w:t xml:space="preserve"> </w:t>
      </w:r>
      <w:r>
        <w:t>is</w:t>
      </w:r>
      <w:r>
        <w:rPr>
          <w:spacing w:val="-7"/>
        </w:rPr>
        <w:t xml:space="preserve"> </w:t>
      </w:r>
      <w:r>
        <w:t>by</w:t>
      </w:r>
      <w:r>
        <w:rPr>
          <w:spacing w:val="-6"/>
        </w:rPr>
        <w:t xml:space="preserve"> </w:t>
      </w:r>
      <w:r>
        <w:t>calling</w:t>
      </w:r>
      <w:r>
        <w:rPr>
          <w:spacing w:val="-7"/>
        </w:rPr>
        <w:t xml:space="preserve"> </w:t>
      </w:r>
      <w:r>
        <w:t>the</w:t>
      </w:r>
      <w:r>
        <w:rPr>
          <w:spacing w:val="-6"/>
        </w:rPr>
        <w:t xml:space="preserve"> </w:t>
      </w:r>
      <w:r>
        <w:t>police to</w:t>
      </w:r>
      <w:r>
        <w:rPr>
          <w:spacing w:val="-7"/>
        </w:rPr>
        <w:t xml:space="preserve"> </w:t>
      </w:r>
      <w:r>
        <w:t>mediate</w:t>
      </w:r>
      <w:r>
        <w:rPr>
          <w:spacing w:val="-5"/>
        </w:rPr>
        <w:t xml:space="preserve"> </w:t>
      </w:r>
      <w:r>
        <w:t>an</w:t>
      </w:r>
      <w:r>
        <w:rPr>
          <w:spacing w:val="-6"/>
        </w:rPr>
        <w:t xml:space="preserve"> </w:t>
      </w:r>
      <w:r>
        <w:t>incident.</w:t>
      </w:r>
      <w:r>
        <w:rPr>
          <w:spacing w:val="-6"/>
        </w:rPr>
        <w:t xml:space="preserve"> </w:t>
      </w:r>
      <w:r>
        <w:t>However,</w:t>
      </w:r>
      <w:r>
        <w:rPr>
          <w:spacing w:val="-6"/>
        </w:rPr>
        <w:t xml:space="preserve"> </w:t>
      </w:r>
      <w:r>
        <w:t>as</w:t>
      </w:r>
      <w:r>
        <w:rPr>
          <w:spacing w:val="-6"/>
        </w:rPr>
        <w:t xml:space="preserve"> </w:t>
      </w:r>
      <w:r>
        <w:t>discussed</w:t>
      </w:r>
      <w:r>
        <w:rPr>
          <w:spacing w:val="-6"/>
        </w:rPr>
        <w:t xml:space="preserve"> </w:t>
      </w:r>
      <w:r>
        <w:t>further</w:t>
      </w:r>
      <w:r>
        <w:rPr>
          <w:spacing w:val="-8"/>
        </w:rPr>
        <w:t xml:space="preserve"> </w:t>
      </w:r>
      <w:r>
        <w:t>in</w:t>
      </w:r>
      <w:r>
        <w:rPr>
          <w:spacing w:val="-6"/>
        </w:rPr>
        <w:t xml:space="preserve"> </w:t>
      </w:r>
      <w:r>
        <w:t>the</w:t>
      </w:r>
      <w:r>
        <w:rPr>
          <w:spacing w:val="-5"/>
        </w:rPr>
        <w:t xml:space="preserve"> </w:t>
      </w:r>
      <w:r>
        <w:t>criminal</w:t>
      </w:r>
      <w:r>
        <w:rPr>
          <w:spacing w:val="-6"/>
        </w:rPr>
        <w:t xml:space="preserve"> </w:t>
      </w:r>
      <w:r>
        <w:t>justice</w:t>
      </w:r>
      <w:r>
        <w:rPr>
          <w:spacing w:val="-5"/>
        </w:rPr>
        <w:t xml:space="preserve"> </w:t>
      </w:r>
      <w:r>
        <w:t>section</w:t>
      </w:r>
      <w:r>
        <w:rPr>
          <w:spacing w:val="-6"/>
        </w:rPr>
        <w:t xml:space="preserve"> </w:t>
      </w:r>
      <w:r>
        <w:t>of</w:t>
      </w:r>
      <w:r>
        <w:rPr>
          <w:spacing w:val="-6"/>
        </w:rPr>
        <w:t xml:space="preserve"> </w:t>
      </w:r>
      <w:r>
        <w:t>this</w:t>
      </w:r>
      <w:r>
        <w:rPr>
          <w:spacing w:val="-6"/>
        </w:rPr>
        <w:t xml:space="preserve"> </w:t>
      </w:r>
      <w:r>
        <w:t>annual</w:t>
      </w:r>
      <w:r>
        <w:rPr>
          <w:spacing w:val="-6"/>
        </w:rPr>
        <w:t xml:space="preserve"> </w:t>
      </w:r>
      <w:r>
        <w:t>report, police intervention for QTBIPOC youth can sometimes be particularly dangerous, given the disproportionate rat</w:t>
      </w:r>
      <w:r>
        <w:t>es of police hostility, harassment, and violence.</w:t>
      </w:r>
      <w:hyperlink w:anchor="_bookmark579" w:history="1">
        <w:r>
          <w:rPr>
            <w:vertAlign w:val="superscript"/>
          </w:rPr>
          <w:t>54</w:t>
        </w:r>
      </w:hyperlink>
    </w:p>
    <w:p w:rsidR="00200FDA" w:rsidRDefault="00200FDA">
      <w:pPr>
        <w:pStyle w:val="BodyText"/>
        <w:spacing w:before="10"/>
        <w:rPr>
          <w:sz w:val="32"/>
        </w:rPr>
      </w:pPr>
    </w:p>
    <w:p w:rsidR="00200FDA" w:rsidRDefault="00F76C4C">
      <w:pPr>
        <w:pStyle w:val="Heading7"/>
        <w:ind w:left="140"/>
      </w:pPr>
      <w:r>
        <w:pict>
          <v:rect id="docshape349" o:spid="_x0000_s1239" style="position:absolute;left:0;text-align:left;margin-left:70.55pt;margin-top:18pt;width:470.9pt;height:.5pt;z-index:-15668736;mso-wrap-distance-left:0;mso-wrap-distance-right:0;mso-position-horizontal-relative:page" fillcolor="#0f6ec5" stroked="f">
            <w10:wrap type="topAndBottom" anchorx="page"/>
          </v:rect>
        </w:pict>
      </w:r>
      <w:bookmarkStart w:id="687" w:name="Conclusion"/>
      <w:bookmarkEnd w:id="687"/>
      <w:r>
        <w:rPr>
          <w:color w:val="0A5293"/>
          <w:spacing w:val="-2"/>
        </w:rPr>
        <w:t>Conclusion</w:t>
      </w:r>
    </w:p>
    <w:p w:rsidR="00200FDA" w:rsidRDefault="00200FDA">
      <w:pPr>
        <w:pStyle w:val="BodyText"/>
        <w:rPr>
          <w:sz w:val="24"/>
        </w:rPr>
      </w:pPr>
    </w:p>
    <w:p w:rsidR="00200FDA" w:rsidRDefault="00F76C4C">
      <w:pPr>
        <w:pStyle w:val="BodyText"/>
        <w:spacing w:before="56" w:line="276" w:lineRule="auto"/>
        <w:ind w:left="140" w:right="322"/>
        <w:jc w:val="both"/>
      </w:pPr>
      <w:r>
        <w:t>Unequivocally,</w:t>
      </w:r>
      <w:r>
        <w:rPr>
          <w:spacing w:val="-2"/>
        </w:rPr>
        <w:t xml:space="preserve"> </w:t>
      </w:r>
      <w:r>
        <w:t>improving</w:t>
      </w:r>
      <w:r>
        <w:rPr>
          <w:spacing w:val="-3"/>
        </w:rPr>
        <w:t xml:space="preserve"> </w:t>
      </w:r>
      <w:r>
        <w:t>sexual</w:t>
      </w:r>
      <w:r>
        <w:rPr>
          <w:spacing w:val="-2"/>
        </w:rPr>
        <w:t xml:space="preserve"> </w:t>
      </w:r>
      <w:r>
        <w:t>health</w:t>
      </w:r>
      <w:r>
        <w:rPr>
          <w:spacing w:val="-5"/>
        </w:rPr>
        <w:t xml:space="preserve"> </w:t>
      </w:r>
      <w:r>
        <w:t>in</w:t>
      </w:r>
      <w:r>
        <w:rPr>
          <w:spacing w:val="-3"/>
        </w:rPr>
        <w:t xml:space="preserve"> </w:t>
      </w:r>
      <w:r>
        <w:t>Massachusetts</w:t>
      </w:r>
      <w:r>
        <w:rPr>
          <w:spacing w:val="-2"/>
        </w:rPr>
        <w:t xml:space="preserve"> </w:t>
      </w:r>
      <w:r>
        <w:t>is</w:t>
      </w:r>
      <w:r>
        <w:rPr>
          <w:spacing w:val="-4"/>
        </w:rPr>
        <w:t xml:space="preserve"> </w:t>
      </w:r>
      <w:r>
        <w:t>essential</w:t>
      </w:r>
      <w:r>
        <w:rPr>
          <w:spacing w:val="-2"/>
        </w:rPr>
        <w:t xml:space="preserve"> </w:t>
      </w:r>
      <w:r>
        <w:t>for</w:t>
      </w:r>
      <w:r>
        <w:rPr>
          <w:spacing w:val="-2"/>
        </w:rPr>
        <w:t xml:space="preserve"> </w:t>
      </w:r>
      <w:r>
        <w:t>ensuring</w:t>
      </w:r>
      <w:r>
        <w:rPr>
          <w:spacing w:val="-5"/>
        </w:rPr>
        <w:t xml:space="preserve"> </w:t>
      </w:r>
      <w:r>
        <w:t>that</w:t>
      </w:r>
      <w:r>
        <w:rPr>
          <w:spacing w:val="-1"/>
        </w:rPr>
        <w:t xml:space="preserve"> </w:t>
      </w:r>
      <w:r>
        <w:t>LGBTQ</w:t>
      </w:r>
      <w:r>
        <w:rPr>
          <w:spacing w:val="-4"/>
        </w:rPr>
        <w:t xml:space="preserve"> </w:t>
      </w:r>
      <w:r>
        <w:t>youth</w:t>
      </w:r>
      <w:r>
        <w:rPr>
          <w:spacing w:val="-3"/>
        </w:rPr>
        <w:t xml:space="preserve"> </w:t>
      </w:r>
      <w:r>
        <w:t>are able to thrive. Below, the Commission provides a list</w:t>
      </w:r>
      <w:r>
        <w:rPr>
          <w:spacing w:val="-1"/>
        </w:rPr>
        <w:t xml:space="preserve"> </w:t>
      </w:r>
      <w:r>
        <w:t>of relevant resources and recommendations</w:t>
      </w:r>
      <w:r>
        <w:rPr>
          <w:spacing w:val="-1"/>
        </w:rPr>
        <w:t xml:space="preserve"> </w:t>
      </w:r>
      <w:r>
        <w:t>from health bodies and organizations supporting youth sexual health.</w:t>
      </w:r>
    </w:p>
    <w:p w:rsidR="00200FDA" w:rsidRDefault="00200FDA">
      <w:pPr>
        <w:spacing w:line="276" w:lineRule="auto"/>
        <w:jc w:val="both"/>
        <w:sectPr w:rsidR="00200FDA">
          <w:pgSz w:w="12240" w:h="15840"/>
          <w:pgMar w:top="1360" w:right="1240" w:bottom="1480" w:left="1300" w:header="761" w:footer="1283" w:gutter="0"/>
          <w:cols w:space="720"/>
        </w:sectPr>
      </w:pPr>
    </w:p>
    <w:p w:rsidR="00200FDA" w:rsidRDefault="00F76C4C">
      <w:pPr>
        <w:spacing w:before="64"/>
        <w:ind w:left="140"/>
        <w:rPr>
          <w:sz w:val="24"/>
        </w:rPr>
      </w:pPr>
      <w:bookmarkStart w:id="688" w:name="_bookmark526"/>
      <w:bookmarkStart w:id="689" w:name="Relevant_Recommendations_from_Health_Bod"/>
      <w:bookmarkEnd w:id="688"/>
      <w:bookmarkEnd w:id="689"/>
      <w:r>
        <w:rPr>
          <w:color w:val="0A5293"/>
          <w:sz w:val="24"/>
        </w:rPr>
        <w:lastRenderedPageBreak/>
        <w:t>Relevant</w:t>
      </w:r>
      <w:r>
        <w:rPr>
          <w:color w:val="0A5293"/>
          <w:spacing w:val="-5"/>
          <w:sz w:val="24"/>
        </w:rPr>
        <w:t xml:space="preserve"> </w:t>
      </w:r>
      <w:r>
        <w:rPr>
          <w:color w:val="0A5293"/>
          <w:sz w:val="24"/>
        </w:rPr>
        <w:t>Recommendations</w:t>
      </w:r>
      <w:r>
        <w:rPr>
          <w:color w:val="0A5293"/>
          <w:spacing w:val="-2"/>
          <w:sz w:val="24"/>
        </w:rPr>
        <w:t xml:space="preserve"> </w:t>
      </w:r>
      <w:r>
        <w:rPr>
          <w:color w:val="0A5293"/>
          <w:sz w:val="24"/>
        </w:rPr>
        <w:t>from</w:t>
      </w:r>
      <w:r>
        <w:rPr>
          <w:color w:val="0A5293"/>
          <w:spacing w:val="-1"/>
          <w:sz w:val="24"/>
        </w:rPr>
        <w:t xml:space="preserve"> </w:t>
      </w:r>
      <w:r>
        <w:rPr>
          <w:color w:val="0A5293"/>
          <w:sz w:val="24"/>
        </w:rPr>
        <w:t>Health</w:t>
      </w:r>
      <w:r>
        <w:rPr>
          <w:color w:val="0A5293"/>
          <w:spacing w:val="-3"/>
          <w:sz w:val="24"/>
        </w:rPr>
        <w:t xml:space="preserve"> </w:t>
      </w:r>
      <w:r>
        <w:rPr>
          <w:color w:val="0A5293"/>
          <w:sz w:val="24"/>
        </w:rPr>
        <w:t>Bodies</w:t>
      </w:r>
      <w:r>
        <w:rPr>
          <w:color w:val="0A5293"/>
          <w:spacing w:val="-4"/>
          <w:sz w:val="24"/>
        </w:rPr>
        <w:t xml:space="preserve"> </w:t>
      </w:r>
      <w:r>
        <w:rPr>
          <w:color w:val="0A5293"/>
          <w:sz w:val="24"/>
        </w:rPr>
        <w:t>and</w:t>
      </w:r>
      <w:r>
        <w:rPr>
          <w:color w:val="0A5293"/>
          <w:spacing w:val="-3"/>
          <w:sz w:val="24"/>
        </w:rPr>
        <w:t xml:space="preserve"> </w:t>
      </w:r>
      <w:r>
        <w:rPr>
          <w:color w:val="0A5293"/>
          <w:sz w:val="24"/>
        </w:rPr>
        <w:t>Nonprofit</w:t>
      </w:r>
      <w:r>
        <w:rPr>
          <w:color w:val="0A5293"/>
          <w:spacing w:val="-2"/>
          <w:sz w:val="24"/>
        </w:rPr>
        <w:t xml:space="preserve"> Organizations</w:t>
      </w:r>
    </w:p>
    <w:p w:rsidR="00200FDA" w:rsidRDefault="00F76C4C">
      <w:pPr>
        <w:pStyle w:val="BodyText"/>
        <w:spacing w:before="1"/>
        <w:rPr>
          <w:sz w:val="20"/>
        </w:rPr>
      </w:pPr>
      <w:r>
        <w:rPr>
          <w:noProof/>
        </w:rPr>
        <w:drawing>
          <wp:anchor distT="0" distB="0" distL="0" distR="0" simplePos="0" relativeHeight="119" behindDoc="0" locked="0" layoutInCell="1" allowOverlap="1">
            <wp:simplePos x="0" y="0"/>
            <wp:positionH relativeFrom="page">
              <wp:posOffset>1152525</wp:posOffset>
            </wp:positionH>
            <wp:positionV relativeFrom="paragraph">
              <wp:posOffset>171101</wp:posOffset>
            </wp:positionV>
            <wp:extent cx="5334060" cy="5334000"/>
            <wp:effectExtent l="0" t="0" r="0" b="0"/>
            <wp:wrapTopAndBottom/>
            <wp:docPr id="101"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04.jpeg"/>
                    <pic:cNvPicPr/>
                  </pic:nvPicPr>
                  <pic:blipFill>
                    <a:blip r:embed="rId522" cstate="print"/>
                    <a:stretch>
                      <a:fillRect/>
                    </a:stretch>
                  </pic:blipFill>
                  <pic:spPr>
                    <a:xfrm>
                      <a:off x="0" y="0"/>
                      <a:ext cx="5334060" cy="5334000"/>
                    </a:xfrm>
                    <a:prstGeom prst="rect">
                      <a:avLst/>
                    </a:prstGeom>
                  </pic:spPr>
                </pic:pic>
              </a:graphicData>
            </a:graphic>
          </wp:anchor>
        </w:drawing>
      </w:r>
    </w:p>
    <w:p w:rsidR="00200FDA" w:rsidRDefault="00200FDA">
      <w:pPr>
        <w:rPr>
          <w:sz w:val="20"/>
        </w:rPr>
        <w:sectPr w:rsidR="00200FDA">
          <w:pgSz w:w="12240" w:h="15840"/>
          <w:pgMar w:top="1360" w:right="1240" w:bottom="1480" w:left="1300" w:header="761" w:footer="1283" w:gutter="0"/>
          <w:cols w:space="720"/>
        </w:sectPr>
      </w:pPr>
    </w:p>
    <w:p w:rsidR="00200FDA" w:rsidRDefault="00200FDA">
      <w:pPr>
        <w:pStyle w:val="BodyText"/>
        <w:rPr>
          <w:sz w:val="25"/>
        </w:rPr>
      </w:pPr>
    </w:p>
    <w:p w:rsidR="00200FDA" w:rsidRDefault="00F76C4C">
      <w:pPr>
        <w:spacing w:before="52"/>
        <w:ind w:left="140"/>
        <w:rPr>
          <w:sz w:val="24"/>
        </w:rPr>
      </w:pPr>
      <w:bookmarkStart w:id="690" w:name="_bookmark527"/>
      <w:bookmarkEnd w:id="690"/>
      <w:r>
        <w:rPr>
          <w:color w:val="0A5293"/>
          <w:spacing w:val="-2"/>
          <w:sz w:val="24"/>
        </w:rPr>
        <w:t>Resources</w:t>
      </w:r>
    </w:p>
    <w:p w:rsidR="00200FDA" w:rsidRDefault="00F76C4C">
      <w:pPr>
        <w:pStyle w:val="BodyText"/>
        <w:spacing w:before="4"/>
        <w:rPr>
          <w:sz w:val="23"/>
        </w:rPr>
      </w:pPr>
      <w:r>
        <w:rPr>
          <w:noProof/>
        </w:rPr>
        <w:drawing>
          <wp:anchor distT="0" distB="0" distL="0" distR="0" simplePos="0" relativeHeight="120" behindDoc="0" locked="0" layoutInCell="1" allowOverlap="1">
            <wp:simplePos x="0" y="0"/>
            <wp:positionH relativeFrom="page">
              <wp:posOffset>1171575</wp:posOffset>
            </wp:positionH>
            <wp:positionV relativeFrom="paragraph">
              <wp:posOffset>196487</wp:posOffset>
            </wp:positionV>
            <wp:extent cx="5334000" cy="5334000"/>
            <wp:effectExtent l="0" t="0" r="0" b="0"/>
            <wp:wrapTopAndBottom/>
            <wp:docPr id="103"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05.jpeg"/>
                    <pic:cNvPicPr/>
                  </pic:nvPicPr>
                  <pic:blipFill>
                    <a:blip r:embed="rId523" cstate="print"/>
                    <a:stretch>
                      <a:fillRect/>
                    </a:stretch>
                  </pic:blipFill>
                  <pic:spPr>
                    <a:xfrm>
                      <a:off x="0" y="0"/>
                      <a:ext cx="5334000" cy="5334000"/>
                    </a:xfrm>
                    <a:prstGeom prst="rect">
                      <a:avLst/>
                    </a:prstGeom>
                  </pic:spPr>
                </pic:pic>
              </a:graphicData>
            </a:graphic>
          </wp:anchor>
        </w:drawing>
      </w:r>
    </w:p>
    <w:p w:rsidR="00200FDA" w:rsidRDefault="00200FDA">
      <w:pPr>
        <w:pStyle w:val="BodyText"/>
        <w:rPr>
          <w:sz w:val="24"/>
        </w:rPr>
      </w:pPr>
    </w:p>
    <w:p w:rsidR="00200FDA" w:rsidRDefault="00200FDA">
      <w:pPr>
        <w:pStyle w:val="BodyText"/>
        <w:rPr>
          <w:sz w:val="24"/>
        </w:rPr>
      </w:pPr>
    </w:p>
    <w:p w:rsidR="00200FDA" w:rsidRDefault="00200FDA">
      <w:pPr>
        <w:pStyle w:val="BodyText"/>
        <w:rPr>
          <w:sz w:val="24"/>
        </w:rPr>
      </w:pPr>
    </w:p>
    <w:p w:rsidR="00200FDA" w:rsidRDefault="00200FDA">
      <w:pPr>
        <w:pStyle w:val="BodyText"/>
        <w:rPr>
          <w:sz w:val="24"/>
        </w:rPr>
      </w:pPr>
    </w:p>
    <w:p w:rsidR="00200FDA" w:rsidRDefault="00200FDA">
      <w:pPr>
        <w:pStyle w:val="BodyText"/>
        <w:spacing w:before="7"/>
      </w:pPr>
    </w:p>
    <w:p w:rsidR="00200FDA" w:rsidRDefault="00F76C4C">
      <w:pPr>
        <w:pStyle w:val="Heading7"/>
        <w:ind w:left="140"/>
      </w:pPr>
      <w:r>
        <w:pict>
          <v:rect id="docshape350" o:spid="_x0000_s1238" style="position:absolute;left:0;text-align:left;margin-left:70.55pt;margin-top:18.15pt;width:470.9pt;height:.5pt;z-index:-15666688;mso-wrap-distance-left:0;mso-wrap-distance-right:0;mso-position-horizontal-relative:page" fillcolor="#0f6ec5" stroked="f">
            <w10:wrap type="topAndBottom" anchorx="page"/>
          </v:rect>
        </w:pict>
      </w:r>
      <w:bookmarkStart w:id="691" w:name="_bookmark528"/>
      <w:bookmarkStart w:id="692" w:name="_bookmark529"/>
      <w:bookmarkStart w:id="693" w:name="_bookmark530"/>
      <w:bookmarkStart w:id="694" w:name="_bookmark531"/>
      <w:bookmarkStart w:id="695" w:name="_bookmark532"/>
      <w:bookmarkStart w:id="696" w:name="_bookmark533"/>
      <w:bookmarkStart w:id="697" w:name="_bookmark534"/>
      <w:bookmarkStart w:id="698" w:name="_bookmark535"/>
      <w:bookmarkStart w:id="699" w:name="_bookmark536"/>
      <w:bookmarkStart w:id="700" w:name="_bookmark537"/>
      <w:bookmarkStart w:id="701" w:name="_bookmark538"/>
      <w:bookmarkStart w:id="702" w:name="_bookmark539"/>
      <w:bookmarkStart w:id="703" w:name="_bookmark540"/>
      <w:bookmarkStart w:id="704" w:name="_bookmark541"/>
      <w:bookmarkStart w:id="705" w:name="_bookmark542"/>
      <w:bookmarkStart w:id="706" w:name="_bookmark543"/>
      <w:bookmarkStart w:id="707" w:name="_bookmark544"/>
      <w:bookmarkStart w:id="708" w:name="_bookmark545"/>
      <w:bookmarkStart w:id="709" w:name="_bookmark546"/>
      <w:bookmarkStart w:id="710" w:name="_bookmark547"/>
      <w:bookmarkStart w:id="711" w:name="_bookmark548"/>
      <w:bookmarkStart w:id="712" w:name="_bookmark549"/>
      <w:bookmarkStart w:id="713" w:name="_bookmark550"/>
      <w:bookmarkStart w:id="714" w:name="_bookmark551"/>
      <w:bookmarkStart w:id="715" w:name="_bookmark552"/>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Pr>
          <w:color w:val="0A5293"/>
        </w:rPr>
        <w:t>Acknowledgments</w:t>
      </w:r>
      <w:r>
        <w:rPr>
          <w:color w:val="0A5293"/>
          <w:spacing w:val="-9"/>
        </w:rPr>
        <w:t xml:space="preserve"> </w:t>
      </w:r>
      <w:r>
        <w:rPr>
          <w:color w:val="0A5293"/>
        </w:rPr>
        <w:t>&amp;</w:t>
      </w:r>
      <w:r>
        <w:rPr>
          <w:color w:val="0A5293"/>
          <w:spacing w:val="-8"/>
        </w:rPr>
        <w:t xml:space="preserve"> </w:t>
      </w:r>
      <w:r>
        <w:rPr>
          <w:color w:val="0A5293"/>
          <w:spacing w:val="-2"/>
        </w:rPr>
        <w:t>Citations</w:t>
      </w:r>
    </w:p>
    <w:p w:rsidR="00200FDA" w:rsidRDefault="00200FDA">
      <w:pPr>
        <w:pStyle w:val="BodyText"/>
        <w:spacing w:before="10"/>
        <w:rPr>
          <w:sz w:val="23"/>
        </w:rPr>
      </w:pPr>
    </w:p>
    <w:p w:rsidR="00200FDA" w:rsidRDefault="00F76C4C">
      <w:pPr>
        <w:spacing w:before="56"/>
        <w:ind w:left="140"/>
        <w:rPr>
          <w:i/>
        </w:rPr>
      </w:pPr>
      <w:bookmarkStart w:id="716" w:name="_bookmark553"/>
      <w:bookmarkStart w:id="717" w:name="_bookmark554"/>
      <w:bookmarkEnd w:id="716"/>
      <w:bookmarkEnd w:id="717"/>
      <w:r>
        <w:rPr>
          <w:i/>
        </w:rPr>
        <w:t>Acknowledgments:</w:t>
      </w:r>
      <w:r>
        <w:rPr>
          <w:i/>
          <w:spacing w:val="-6"/>
        </w:rPr>
        <w:t xml:space="preserve"> </w:t>
      </w:r>
      <w:r>
        <w:rPr>
          <w:i/>
        </w:rPr>
        <w:t>Sarah</w:t>
      </w:r>
      <w:r>
        <w:rPr>
          <w:i/>
          <w:spacing w:val="-6"/>
        </w:rPr>
        <w:t xml:space="preserve"> </w:t>
      </w:r>
      <w:r>
        <w:rPr>
          <w:i/>
        </w:rPr>
        <w:t>Prager,</w:t>
      </w:r>
      <w:r>
        <w:rPr>
          <w:i/>
          <w:spacing w:val="-6"/>
        </w:rPr>
        <w:t xml:space="preserve"> </w:t>
      </w:r>
      <w:r>
        <w:rPr>
          <w:i/>
        </w:rPr>
        <w:t>lead</w:t>
      </w:r>
      <w:r>
        <w:rPr>
          <w:i/>
          <w:spacing w:val="-5"/>
        </w:rPr>
        <w:t xml:space="preserve"> </w:t>
      </w:r>
      <w:r>
        <w:rPr>
          <w:i/>
        </w:rPr>
        <w:t>researcher</w:t>
      </w:r>
      <w:r>
        <w:rPr>
          <w:i/>
          <w:spacing w:val="-4"/>
        </w:rPr>
        <w:t xml:space="preserve"> </w:t>
      </w:r>
      <w:r>
        <w:rPr>
          <w:i/>
        </w:rPr>
        <w:t>and</w:t>
      </w:r>
      <w:r>
        <w:rPr>
          <w:i/>
          <w:spacing w:val="-6"/>
        </w:rPr>
        <w:t xml:space="preserve"> </w:t>
      </w:r>
      <w:r>
        <w:rPr>
          <w:i/>
          <w:spacing w:val="-2"/>
        </w:rPr>
        <w:t>author</w:t>
      </w:r>
    </w:p>
    <w:p w:rsidR="00200FDA" w:rsidRDefault="00200FDA">
      <w:pPr>
        <w:pStyle w:val="BodyText"/>
        <w:rPr>
          <w:i/>
        </w:rPr>
      </w:pPr>
    </w:p>
    <w:p w:rsidR="00200FDA" w:rsidRDefault="00F76C4C">
      <w:pPr>
        <w:spacing w:before="140"/>
        <w:ind w:left="140" w:right="754" w:hanging="1"/>
        <w:rPr>
          <w:sz w:val="18"/>
        </w:rPr>
      </w:pPr>
      <w:bookmarkStart w:id="718" w:name="_bookmark555"/>
      <w:bookmarkEnd w:id="718"/>
      <w:r>
        <w:rPr>
          <w:position w:val="5"/>
          <w:sz w:val="12"/>
        </w:rPr>
        <w:t>1</w:t>
      </w:r>
      <w:r>
        <w:rPr>
          <w:spacing w:val="10"/>
          <w:position w:val="5"/>
          <w:sz w:val="12"/>
        </w:rPr>
        <w:t xml:space="preserve"> </w:t>
      </w:r>
      <w:r>
        <w:rPr>
          <w:sz w:val="18"/>
        </w:rPr>
        <w:t>“The</w:t>
      </w:r>
      <w:r>
        <w:rPr>
          <w:spacing w:val="-3"/>
          <w:sz w:val="18"/>
        </w:rPr>
        <w:t xml:space="preserve"> </w:t>
      </w:r>
      <w:r>
        <w:rPr>
          <w:sz w:val="18"/>
        </w:rPr>
        <w:t>SIECUS</w:t>
      </w:r>
      <w:r>
        <w:rPr>
          <w:spacing w:val="-1"/>
          <w:sz w:val="18"/>
        </w:rPr>
        <w:t xml:space="preserve"> </w:t>
      </w:r>
      <w:r>
        <w:rPr>
          <w:sz w:val="18"/>
        </w:rPr>
        <w:t>State</w:t>
      </w:r>
      <w:r>
        <w:rPr>
          <w:spacing w:val="-3"/>
          <w:sz w:val="18"/>
        </w:rPr>
        <w:t xml:space="preserve"> </w:t>
      </w:r>
      <w:r>
        <w:rPr>
          <w:sz w:val="18"/>
        </w:rPr>
        <w:t>Profiles</w:t>
      </w:r>
      <w:r>
        <w:rPr>
          <w:spacing w:val="-3"/>
          <w:sz w:val="18"/>
        </w:rPr>
        <w:t xml:space="preserve"> </w:t>
      </w:r>
      <w:r>
        <w:rPr>
          <w:sz w:val="18"/>
        </w:rPr>
        <w:t>2019 /</w:t>
      </w:r>
      <w:r>
        <w:rPr>
          <w:spacing w:val="-2"/>
          <w:sz w:val="18"/>
        </w:rPr>
        <w:t xml:space="preserve"> </w:t>
      </w:r>
      <w:r>
        <w:rPr>
          <w:sz w:val="18"/>
        </w:rPr>
        <w:t>2020</w:t>
      </w:r>
      <w:r>
        <w:rPr>
          <w:spacing w:val="-2"/>
          <w:sz w:val="18"/>
        </w:rPr>
        <w:t xml:space="preserve"> </w:t>
      </w:r>
      <w:r>
        <w:rPr>
          <w:sz w:val="18"/>
        </w:rPr>
        <w:t>-</w:t>
      </w:r>
      <w:r>
        <w:rPr>
          <w:spacing w:val="-3"/>
          <w:sz w:val="18"/>
        </w:rPr>
        <w:t xml:space="preserve"> </w:t>
      </w:r>
      <w:r>
        <w:rPr>
          <w:sz w:val="18"/>
        </w:rPr>
        <w:t>The</w:t>
      </w:r>
      <w:r>
        <w:rPr>
          <w:spacing w:val="-3"/>
          <w:sz w:val="18"/>
        </w:rPr>
        <w:t xml:space="preserve"> </w:t>
      </w:r>
      <w:r>
        <w:rPr>
          <w:sz w:val="18"/>
        </w:rPr>
        <w:t>State</w:t>
      </w:r>
      <w:r>
        <w:rPr>
          <w:spacing w:val="-3"/>
          <w:sz w:val="18"/>
        </w:rPr>
        <w:t xml:space="preserve"> </w:t>
      </w:r>
      <w:r>
        <w:rPr>
          <w:sz w:val="18"/>
        </w:rPr>
        <w:t>of</w:t>
      </w:r>
      <w:r>
        <w:rPr>
          <w:spacing w:val="-2"/>
          <w:sz w:val="18"/>
        </w:rPr>
        <w:t xml:space="preserve"> </w:t>
      </w:r>
      <w:r>
        <w:rPr>
          <w:sz w:val="18"/>
        </w:rPr>
        <w:t>Sex</w:t>
      </w:r>
      <w:r>
        <w:rPr>
          <w:spacing w:val="-3"/>
          <w:sz w:val="18"/>
        </w:rPr>
        <w:t xml:space="preserve"> </w:t>
      </w:r>
      <w:r>
        <w:rPr>
          <w:sz w:val="18"/>
        </w:rPr>
        <w:t>Ed,”</w:t>
      </w:r>
      <w:r>
        <w:rPr>
          <w:spacing w:val="-3"/>
          <w:sz w:val="18"/>
        </w:rPr>
        <w:t xml:space="preserve"> </w:t>
      </w:r>
      <w:r>
        <w:rPr>
          <w:sz w:val="18"/>
        </w:rPr>
        <w:t>SIECUS,</w:t>
      </w:r>
      <w:r>
        <w:rPr>
          <w:spacing w:val="-2"/>
          <w:sz w:val="18"/>
        </w:rPr>
        <w:t xml:space="preserve"> </w:t>
      </w:r>
      <w:r>
        <w:rPr>
          <w:sz w:val="18"/>
        </w:rPr>
        <w:t>accessed</w:t>
      </w:r>
      <w:r>
        <w:rPr>
          <w:spacing w:val="-1"/>
          <w:sz w:val="18"/>
        </w:rPr>
        <w:t xml:space="preserve"> </w:t>
      </w:r>
      <w:r>
        <w:rPr>
          <w:sz w:val="18"/>
        </w:rPr>
        <w:t>April</w:t>
      </w:r>
      <w:r>
        <w:rPr>
          <w:spacing w:val="-3"/>
          <w:sz w:val="18"/>
        </w:rPr>
        <w:t xml:space="preserve"> </w:t>
      </w:r>
      <w:r>
        <w:rPr>
          <w:sz w:val="18"/>
        </w:rPr>
        <w:t>24,</w:t>
      </w:r>
      <w:r>
        <w:rPr>
          <w:spacing w:val="-2"/>
          <w:sz w:val="18"/>
        </w:rPr>
        <w:t xml:space="preserve"> </w:t>
      </w:r>
      <w:r>
        <w:rPr>
          <w:sz w:val="18"/>
        </w:rPr>
        <w:t>2023,</w:t>
      </w:r>
      <w:r>
        <w:rPr>
          <w:spacing w:val="-2"/>
          <w:sz w:val="18"/>
        </w:rPr>
        <w:t xml:space="preserve"> </w:t>
      </w:r>
      <w:r>
        <w:rPr>
          <w:sz w:val="18"/>
        </w:rPr>
        <w:t xml:space="preserve">https://siecus.org/state- </w:t>
      </w:r>
      <w:r>
        <w:rPr>
          <w:spacing w:val="-2"/>
          <w:sz w:val="18"/>
        </w:rPr>
        <w:t>profiles-2019-2020/.</w:t>
      </w:r>
    </w:p>
    <w:p w:rsidR="00200FDA" w:rsidRDefault="00200FDA">
      <w:pPr>
        <w:rPr>
          <w:sz w:val="18"/>
        </w:rPr>
        <w:sectPr w:rsidR="00200FDA">
          <w:pgSz w:w="12240" w:h="15840"/>
          <w:pgMar w:top="1360" w:right="1240" w:bottom="1480" w:left="1300" w:header="761" w:footer="1283" w:gutter="0"/>
          <w:cols w:space="720"/>
        </w:sectPr>
      </w:pPr>
    </w:p>
    <w:p w:rsidR="00200FDA" w:rsidRDefault="00200FDA">
      <w:pPr>
        <w:pStyle w:val="BodyText"/>
        <w:spacing w:before="10"/>
        <w:rPr>
          <w:sz w:val="19"/>
        </w:rPr>
      </w:pPr>
    </w:p>
    <w:p w:rsidR="00200FDA" w:rsidRDefault="00F76C4C">
      <w:pPr>
        <w:spacing w:before="69"/>
        <w:ind w:left="140" w:right="538" w:hanging="1"/>
        <w:jc w:val="both"/>
        <w:rPr>
          <w:sz w:val="18"/>
        </w:rPr>
      </w:pPr>
      <w:bookmarkStart w:id="719" w:name="_bookmark556"/>
      <w:bookmarkEnd w:id="719"/>
      <w:r>
        <w:rPr>
          <w:position w:val="5"/>
          <w:sz w:val="12"/>
        </w:rPr>
        <w:t>2</w:t>
      </w:r>
      <w:r>
        <w:rPr>
          <w:spacing w:val="10"/>
          <w:position w:val="5"/>
          <w:sz w:val="12"/>
        </w:rPr>
        <w:t xml:space="preserve"> </w:t>
      </w:r>
      <w:r>
        <w:rPr>
          <w:sz w:val="18"/>
        </w:rPr>
        <w:t>Samantha</w:t>
      </w:r>
      <w:r>
        <w:rPr>
          <w:spacing w:val="-2"/>
          <w:sz w:val="18"/>
        </w:rPr>
        <w:t xml:space="preserve"> </w:t>
      </w:r>
      <w:r>
        <w:rPr>
          <w:sz w:val="18"/>
        </w:rPr>
        <w:t>L.</w:t>
      </w:r>
      <w:r>
        <w:rPr>
          <w:spacing w:val="-2"/>
          <w:sz w:val="18"/>
        </w:rPr>
        <w:t xml:space="preserve"> </w:t>
      </w:r>
      <w:r>
        <w:rPr>
          <w:sz w:val="18"/>
        </w:rPr>
        <w:t>Seybold,</w:t>
      </w:r>
      <w:r>
        <w:rPr>
          <w:spacing w:val="-2"/>
          <w:sz w:val="18"/>
        </w:rPr>
        <w:t xml:space="preserve"> </w:t>
      </w:r>
      <w:r>
        <w:rPr>
          <w:sz w:val="18"/>
        </w:rPr>
        <w:t>“Not</w:t>
      </w:r>
      <w:r>
        <w:rPr>
          <w:spacing w:val="-3"/>
          <w:sz w:val="18"/>
        </w:rPr>
        <w:t xml:space="preserve"> </w:t>
      </w:r>
      <w:r>
        <w:rPr>
          <w:sz w:val="18"/>
        </w:rPr>
        <w:t>Just</w:t>
      </w:r>
      <w:r>
        <w:rPr>
          <w:spacing w:val="-3"/>
          <w:sz w:val="18"/>
        </w:rPr>
        <w:t xml:space="preserve"> </w:t>
      </w:r>
      <w:r>
        <w:rPr>
          <w:sz w:val="18"/>
        </w:rPr>
        <w:t>‘Bodies</w:t>
      </w:r>
      <w:r>
        <w:rPr>
          <w:spacing w:val="-3"/>
          <w:sz w:val="18"/>
        </w:rPr>
        <w:t xml:space="preserve"> </w:t>
      </w:r>
      <w:r>
        <w:rPr>
          <w:sz w:val="18"/>
        </w:rPr>
        <w:t>with</w:t>
      </w:r>
      <w:r>
        <w:rPr>
          <w:spacing w:val="-3"/>
          <w:sz w:val="18"/>
        </w:rPr>
        <w:t xml:space="preserve"> </w:t>
      </w:r>
      <w:r>
        <w:rPr>
          <w:sz w:val="18"/>
        </w:rPr>
        <w:t>Vaginas’:</w:t>
      </w:r>
      <w:r>
        <w:rPr>
          <w:spacing w:val="-2"/>
          <w:sz w:val="18"/>
        </w:rPr>
        <w:t xml:space="preserve"> </w:t>
      </w:r>
      <w:r>
        <w:rPr>
          <w:sz w:val="18"/>
        </w:rPr>
        <w:t>A</w:t>
      </w:r>
      <w:r>
        <w:rPr>
          <w:spacing w:val="-3"/>
          <w:sz w:val="18"/>
        </w:rPr>
        <w:t xml:space="preserve"> </w:t>
      </w:r>
      <w:r>
        <w:rPr>
          <w:sz w:val="18"/>
        </w:rPr>
        <w:t>Kantian</w:t>
      </w:r>
      <w:r>
        <w:rPr>
          <w:spacing w:val="-3"/>
          <w:sz w:val="18"/>
        </w:rPr>
        <w:t xml:space="preserve"> </w:t>
      </w:r>
      <w:r>
        <w:rPr>
          <w:sz w:val="18"/>
        </w:rPr>
        <w:t>Defense</w:t>
      </w:r>
      <w:r>
        <w:rPr>
          <w:spacing w:val="-3"/>
          <w:sz w:val="18"/>
        </w:rPr>
        <w:t xml:space="preserve"> </w:t>
      </w:r>
      <w:r>
        <w:rPr>
          <w:sz w:val="18"/>
        </w:rPr>
        <w:t>of</w:t>
      </w:r>
      <w:r>
        <w:rPr>
          <w:spacing w:val="-2"/>
          <w:sz w:val="18"/>
        </w:rPr>
        <w:t xml:space="preserve"> </w:t>
      </w:r>
      <w:r>
        <w:rPr>
          <w:sz w:val="18"/>
        </w:rPr>
        <w:t>Pelvic</w:t>
      </w:r>
      <w:r>
        <w:rPr>
          <w:spacing w:val="-2"/>
          <w:sz w:val="18"/>
        </w:rPr>
        <w:t xml:space="preserve"> </w:t>
      </w:r>
      <w:r>
        <w:rPr>
          <w:sz w:val="18"/>
        </w:rPr>
        <w:t>Exam</w:t>
      </w:r>
      <w:r>
        <w:rPr>
          <w:spacing w:val="-2"/>
          <w:sz w:val="18"/>
        </w:rPr>
        <w:t xml:space="preserve"> </w:t>
      </w:r>
      <w:r>
        <w:rPr>
          <w:sz w:val="18"/>
        </w:rPr>
        <w:t>Consent</w:t>
      </w:r>
      <w:r>
        <w:rPr>
          <w:spacing w:val="-3"/>
          <w:sz w:val="18"/>
        </w:rPr>
        <w:t xml:space="preserve"> </w:t>
      </w:r>
      <w:r>
        <w:rPr>
          <w:sz w:val="18"/>
        </w:rPr>
        <w:t>Laws,”</w:t>
      </w:r>
      <w:r>
        <w:rPr>
          <w:spacing w:val="-3"/>
          <w:sz w:val="18"/>
        </w:rPr>
        <w:t xml:space="preserve"> </w:t>
      </w:r>
      <w:r>
        <w:rPr>
          <w:i/>
          <w:sz w:val="18"/>
        </w:rPr>
        <w:t>Bioethics</w:t>
      </w:r>
      <w:r>
        <w:rPr>
          <w:i/>
          <w:spacing w:val="-3"/>
          <w:sz w:val="18"/>
        </w:rPr>
        <w:t xml:space="preserve"> </w:t>
      </w:r>
      <w:r>
        <w:rPr>
          <w:sz w:val="18"/>
        </w:rPr>
        <w:t>36,</w:t>
      </w:r>
      <w:r>
        <w:rPr>
          <w:spacing w:val="-2"/>
          <w:sz w:val="18"/>
        </w:rPr>
        <w:t xml:space="preserve"> </w:t>
      </w:r>
      <w:r>
        <w:rPr>
          <w:sz w:val="18"/>
        </w:rPr>
        <w:t>no.</w:t>
      </w:r>
      <w:r>
        <w:rPr>
          <w:spacing w:val="-2"/>
          <w:sz w:val="18"/>
        </w:rPr>
        <w:t xml:space="preserve"> </w:t>
      </w:r>
      <w:r>
        <w:rPr>
          <w:sz w:val="18"/>
        </w:rPr>
        <w:t>9 (November 2022): 940–47, https://doi.org/10.1111/bioe.13084.</w:t>
      </w:r>
    </w:p>
    <w:p w:rsidR="00200FDA" w:rsidRDefault="00F76C4C">
      <w:pPr>
        <w:spacing w:line="219" w:lineRule="exact"/>
        <w:ind w:left="140"/>
        <w:jc w:val="both"/>
        <w:rPr>
          <w:sz w:val="18"/>
        </w:rPr>
      </w:pPr>
      <w:r>
        <w:rPr>
          <w:position w:val="5"/>
          <w:sz w:val="12"/>
        </w:rPr>
        <w:t>3</w:t>
      </w:r>
      <w:r>
        <w:rPr>
          <w:spacing w:val="7"/>
          <w:position w:val="5"/>
          <w:sz w:val="12"/>
        </w:rPr>
        <w:t xml:space="preserve"> </w:t>
      </w:r>
      <w:r>
        <w:rPr>
          <w:sz w:val="18"/>
        </w:rPr>
        <w:t>“Law</w:t>
      </w:r>
      <w:r>
        <w:rPr>
          <w:spacing w:val="-3"/>
          <w:sz w:val="18"/>
        </w:rPr>
        <w:t xml:space="preserve"> </w:t>
      </w:r>
      <w:r>
        <w:rPr>
          <w:sz w:val="18"/>
        </w:rPr>
        <w:t>and</w:t>
      </w:r>
      <w:r>
        <w:rPr>
          <w:spacing w:val="-3"/>
          <w:sz w:val="18"/>
        </w:rPr>
        <w:t xml:space="preserve"> </w:t>
      </w:r>
      <w:r>
        <w:rPr>
          <w:sz w:val="18"/>
        </w:rPr>
        <w:t>Policy,”</w:t>
      </w:r>
      <w:r>
        <w:rPr>
          <w:spacing w:val="-4"/>
          <w:sz w:val="18"/>
        </w:rPr>
        <w:t xml:space="preserve"> </w:t>
      </w:r>
      <w:r>
        <w:rPr>
          <w:sz w:val="18"/>
        </w:rPr>
        <w:t>NJCASA,</w:t>
      </w:r>
      <w:r>
        <w:rPr>
          <w:spacing w:val="-3"/>
          <w:sz w:val="18"/>
        </w:rPr>
        <w:t xml:space="preserve"> </w:t>
      </w:r>
      <w:r>
        <w:rPr>
          <w:sz w:val="18"/>
        </w:rPr>
        <w:t>accessed</w:t>
      </w:r>
      <w:r>
        <w:rPr>
          <w:spacing w:val="-4"/>
          <w:sz w:val="18"/>
        </w:rPr>
        <w:t xml:space="preserve"> </w:t>
      </w:r>
      <w:r>
        <w:rPr>
          <w:sz w:val="18"/>
        </w:rPr>
        <w:t>March</w:t>
      </w:r>
      <w:r>
        <w:rPr>
          <w:spacing w:val="-4"/>
          <w:sz w:val="18"/>
        </w:rPr>
        <w:t xml:space="preserve"> </w:t>
      </w:r>
      <w:r>
        <w:rPr>
          <w:sz w:val="18"/>
        </w:rPr>
        <w:t>17,</w:t>
      </w:r>
      <w:r>
        <w:rPr>
          <w:spacing w:val="-3"/>
          <w:sz w:val="18"/>
        </w:rPr>
        <w:t xml:space="preserve"> </w:t>
      </w:r>
      <w:r>
        <w:rPr>
          <w:sz w:val="18"/>
        </w:rPr>
        <w:t>2023,</w:t>
      </w:r>
      <w:r>
        <w:rPr>
          <w:spacing w:val="-3"/>
          <w:sz w:val="18"/>
        </w:rPr>
        <w:t xml:space="preserve"> </w:t>
      </w:r>
      <w:r>
        <w:rPr>
          <w:sz w:val="18"/>
        </w:rPr>
        <w:t>https://njcasa.org/our-work/law-and-</w:t>
      </w:r>
      <w:r>
        <w:rPr>
          <w:spacing w:val="-2"/>
          <w:sz w:val="18"/>
        </w:rPr>
        <w:t>policy/.</w:t>
      </w:r>
    </w:p>
    <w:p w:rsidR="00200FDA" w:rsidRDefault="00F76C4C">
      <w:pPr>
        <w:spacing w:before="1"/>
        <w:ind w:left="140" w:right="646" w:hanging="1"/>
        <w:jc w:val="both"/>
        <w:rPr>
          <w:sz w:val="18"/>
        </w:rPr>
      </w:pPr>
      <w:bookmarkStart w:id="720" w:name="_bookmark557"/>
      <w:bookmarkEnd w:id="720"/>
      <w:r>
        <w:rPr>
          <w:position w:val="5"/>
          <w:sz w:val="12"/>
        </w:rPr>
        <w:t>4</w:t>
      </w:r>
      <w:r>
        <w:rPr>
          <w:spacing w:val="9"/>
          <w:position w:val="5"/>
          <w:sz w:val="12"/>
        </w:rPr>
        <w:t xml:space="preserve"> </w:t>
      </w:r>
      <w:r>
        <w:rPr>
          <w:sz w:val="18"/>
        </w:rPr>
        <w:t>“The</w:t>
      </w:r>
      <w:r>
        <w:rPr>
          <w:spacing w:val="-4"/>
          <w:sz w:val="18"/>
        </w:rPr>
        <w:t xml:space="preserve"> </w:t>
      </w:r>
      <w:r>
        <w:rPr>
          <w:sz w:val="18"/>
        </w:rPr>
        <w:t>Importance</w:t>
      </w:r>
      <w:r>
        <w:rPr>
          <w:spacing w:val="-4"/>
          <w:sz w:val="18"/>
        </w:rPr>
        <w:t xml:space="preserve"> </w:t>
      </w:r>
      <w:r>
        <w:rPr>
          <w:sz w:val="18"/>
        </w:rPr>
        <w:t>of</w:t>
      </w:r>
      <w:r>
        <w:rPr>
          <w:spacing w:val="-3"/>
          <w:sz w:val="18"/>
        </w:rPr>
        <w:t xml:space="preserve"> </w:t>
      </w:r>
      <w:r>
        <w:rPr>
          <w:sz w:val="18"/>
        </w:rPr>
        <w:t>Access</w:t>
      </w:r>
      <w:r>
        <w:rPr>
          <w:spacing w:val="-4"/>
          <w:sz w:val="18"/>
        </w:rPr>
        <w:t xml:space="preserve"> </w:t>
      </w:r>
      <w:r>
        <w:rPr>
          <w:sz w:val="18"/>
        </w:rPr>
        <w:t>to</w:t>
      </w:r>
      <w:r>
        <w:rPr>
          <w:spacing w:val="-2"/>
          <w:sz w:val="18"/>
        </w:rPr>
        <w:t xml:space="preserve"> </w:t>
      </w:r>
      <w:r>
        <w:rPr>
          <w:sz w:val="18"/>
        </w:rPr>
        <w:t>Comprehensive</w:t>
      </w:r>
      <w:r>
        <w:rPr>
          <w:spacing w:val="-4"/>
          <w:sz w:val="18"/>
        </w:rPr>
        <w:t xml:space="preserve"> </w:t>
      </w:r>
      <w:r>
        <w:rPr>
          <w:sz w:val="18"/>
        </w:rPr>
        <w:t>Sex</w:t>
      </w:r>
      <w:r>
        <w:rPr>
          <w:spacing w:val="-4"/>
          <w:sz w:val="18"/>
        </w:rPr>
        <w:t xml:space="preserve"> </w:t>
      </w:r>
      <w:r>
        <w:rPr>
          <w:sz w:val="18"/>
        </w:rPr>
        <w:t>Education,”</w:t>
      </w:r>
      <w:r>
        <w:rPr>
          <w:spacing w:val="-4"/>
          <w:sz w:val="18"/>
        </w:rPr>
        <w:t xml:space="preserve"> </w:t>
      </w:r>
      <w:r>
        <w:rPr>
          <w:sz w:val="18"/>
        </w:rPr>
        <w:t>accessed</w:t>
      </w:r>
      <w:r>
        <w:rPr>
          <w:spacing w:val="-4"/>
          <w:sz w:val="18"/>
        </w:rPr>
        <w:t xml:space="preserve"> </w:t>
      </w:r>
      <w:r>
        <w:rPr>
          <w:sz w:val="18"/>
        </w:rPr>
        <w:t>April</w:t>
      </w:r>
      <w:r>
        <w:rPr>
          <w:spacing w:val="-4"/>
          <w:sz w:val="18"/>
        </w:rPr>
        <w:t xml:space="preserve"> </w:t>
      </w:r>
      <w:r>
        <w:rPr>
          <w:sz w:val="18"/>
        </w:rPr>
        <w:t>24,</w:t>
      </w:r>
      <w:r>
        <w:rPr>
          <w:spacing w:val="-3"/>
          <w:sz w:val="18"/>
        </w:rPr>
        <w:t xml:space="preserve"> </w:t>
      </w:r>
      <w:r>
        <w:rPr>
          <w:sz w:val="18"/>
        </w:rPr>
        <w:t>2023,</w:t>
      </w:r>
      <w:r>
        <w:rPr>
          <w:spacing w:val="-3"/>
          <w:sz w:val="18"/>
        </w:rPr>
        <w:t xml:space="preserve"> </w:t>
      </w:r>
      <w:r>
        <w:rPr>
          <w:sz w:val="18"/>
        </w:rPr>
        <w:t>https://</w:t>
      </w:r>
      <w:hyperlink r:id="rId524">
        <w:r>
          <w:rPr>
            <w:sz w:val="18"/>
          </w:rPr>
          <w:t>www.aap.org/en/patient-</w:t>
        </w:r>
      </w:hyperlink>
      <w:r>
        <w:rPr>
          <w:sz w:val="18"/>
        </w:rPr>
        <w:t xml:space="preserve"> </w:t>
      </w:r>
      <w:bookmarkStart w:id="721" w:name="_bookmark558"/>
      <w:bookmarkEnd w:id="721"/>
      <w:r>
        <w:rPr>
          <w:spacing w:val="-2"/>
          <w:sz w:val="18"/>
        </w:rPr>
        <w:t>care/adolescent-sexual-health/equitable-access-to-sexual-and-reproductive-healt</w:t>
      </w:r>
      <w:r>
        <w:rPr>
          <w:spacing w:val="-2"/>
          <w:sz w:val="18"/>
        </w:rPr>
        <w:t>h-care-for-all-youth/the-importance-of-</w:t>
      </w:r>
      <w:r>
        <w:rPr>
          <w:sz w:val="18"/>
        </w:rPr>
        <w:t xml:space="preserve"> </w:t>
      </w:r>
      <w:r>
        <w:rPr>
          <w:spacing w:val="-2"/>
          <w:sz w:val="18"/>
        </w:rPr>
        <w:t>access-to-comprehensive-sex-education/.</w:t>
      </w:r>
    </w:p>
    <w:p w:rsidR="00200FDA" w:rsidRDefault="00F76C4C">
      <w:pPr>
        <w:spacing w:line="218" w:lineRule="exact"/>
        <w:ind w:left="140"/>
        <w:jc w:val="both"/>
        <w:rPr>
          <w:sz w:val="18"/>
        </w:rPr>
      </w:pPr>
      <w:r>
        <w:rPr>
          <w:position w:val="5"/>
          <w:sz w:val="12"/>
        </w:rPr>
        <w:t>5</w:t>
      </w:r>
      <w:r>
        <w:rPr>
          <w:spacing w:val="5"/>
          <w:position w:val="5"/>
          <w:sz w:val="12"/>
        </w:rPr>
        <w:t xml:space="preserve"> </w:t>
      </w:r>
      <w:r>
        <w:rPr>
          <w:sz w:val="18"/>
        </w:rPr>
        <w:t>“Sexual</w:t>
      </w:r>
      <w:r>
        <w:rPr>
          <w:spacing w:val="-5"/>
          <w:sz w:val="18"/>
        </w:rPr>
        <w:t xml:space="preserve"> </w:t>
      </w:r>
      <w:r>
        <w:rPr>
          <w:sz w:val="18"/>
        </w:rPr>
        <w:t>Health,”</w:t>
      </w:r>
      <w:r>
        <w:rPr>
          <w:spacing w:val="-6"/>
          <w:sz w:val="18"/>
        </w:rPr>
        <w:t xml:space="preserve"> </w:t>
      </w:r>
      <w:r>
        <w:rPr>
          <w:sz w:val="18"/>
        </w:rPr>
        <w:t>accessed</w:t>
      </w:r>
      <w:r>
        <w:rPr>
          <w:spacing w:val="-6"/>
          <w:sz w:val="18"/>
        </w:rPr>
        <w:t xml:space="preserve"> </w:t>
      </w:r>
      <w:r>
        <w:rPr>
          <w:sz w:val="18"/>
        </w:rPr>
        <w:t>February</w:t>
      </w:r>
      <w:r>
        <w:rPr>
          <w:spacing w:val="-4"/>
          <w:sz w:val="18"/>
        </w:rPr>
        <w:t xml:space="preserve"> </w:t>
      </w:r>
      <w:r>
        <w:rPr>
          <w:sz w:val="18"/>
        </w:rPr>
        <w:t>14,</w:t>
      </w:r>
      <w:r>
        <w:rPr>
          <w:spacing w:val="-5"/>
          <w:sz w:val="18"/>
        </w:rPr>
        <w:t xml:space="preserve"> </w:t>
      </w:r>
      <w:r>
        <w:rPr>
          <w:sz w:val="18"/>
        </w:rPr>
        <w:t>2023,</w:t>
      </w:r>
      <w:r>
        <w:rPr>
          <w:spacing w:val="-4"/>
          <w:sz w:val="18"/>
        </w:rPr>
        <w:t xml:space="preserve"> </w:t>
      </w:r>
      <w:r>
        <w:rPr>
          <w:sz w:val="18"/>
        </w:rPr>
        <w:t>https://</w:t>
      </w:r>
      <w:hyperlink r:id="rId525">
        <w:r>
          <w:rPr>
            <w:sz w:val="18"/>
          </w:rPr>
          <w:t>www.who.int/health-topics/sexual-</w:t>
        </w:r>
        <w:r>
          <w:rPr>
            <w:spacing w:val="-2"/>
            <w:sz w:val="18"/>
          </w:rPr>
          <w:t>health.</w:t>
        </w:r>
      </w:hyperlink>
    </w:p>
    <w:p w:rsidR="00200FDA" w:rsidRDefault="00F76C4C">
      <w:pPr>
        <w:spacing w:before="1"/>
        <w:ind w:left="140" w:right="2469" w:hanging="1"/>
        <w:rPr>
          <w:sz w:val="18"/>
        </w:rPr>
      </w:pPr>
      <w:r>
        <w:rPr>
          <w:position w:val="5"/>
          <w:sz w:val="12"/>
        </w:rPr>
        <w:t>6</w:t>
      </w:r>
      <w:r>
        <w:rPr>
          <w:spacing w:val="9"/>
          <w:position w:val="5"/>
          <w:sz w:val="12"/>
        </w:rPr>
        <w:t xml:space="preserve"> </w:t>
      </w:r>
      <w:bookmarkStart w:id="722" w:name="_bookmark559"/>
      <w:bookmarkEnd w:id="722"/>
      <w:r>
        <w:rPr>
          <w:sz w:val="18"/>
        </w:rPr>
        <w:t>GLSEN,</w:t>
      </w:r>
      <w:r>
        <w:rPr>
          <w:spacing w:val="-3"/>
          <w:sz w:val="18"/>
        </w:rPr>
        <w:t xml:space="preserve"> </w:t>
      </w:r>
      <w:r>
        <w:rPr>
          <w:sz w:val="18"/>
        </w:rPr>
        <w:t>“Laws</w:t>
      </w:r>
      <w:r>
        <w:rPr>
          <w:spacing w:val="-4"/>
          <w:sz w:val="18"/>
        </w:rPr>
        <w:t xml:space="preserve"> </w:t>
      </w:r>
      <w:r>
        <w:rPr>
          <w:sz w:val="18"/>
        </w:rPr>
        <w:t>That</w:t>
      </w:r>
      <w:r>
        <w:rPr>
          <w:spacing w:val="-4"/>
          <w:sz w:val="18"/>
        </w:rPr>
        <w:t xml:space="preserve"> </w:t>
      </w:r>
      <w:r>
        <w:rPr>
          <w:sz w:val="18"/>
        </w:rPr>
        <w:t>Prohibit</w:t>
      </w:r>
      <w:r>
        <w:rPr>
          <w:spacing w:val="-4"/>
          <w:sz w:val="18"/>
        </w:rPr>
        <w:t xml:space="preserve"> </w:t>
      </w:r>
      <w:r>
        <w:rPr>
          <w:sz w:val="18"/>
        </w:rPr>
        <w:t>the</w:t>
      </w:r>
      <w:r>
        <w:rPr>
          <w:spacing w:val="-4"/>
          <w:sz w:val="18"/>
        </w:rPr>
        <w:t xml:space="preserve"> </w:t>
      </w:r>
      <w:r>
        <w:rPr>
          <w:sz w:val="18"/>
        </w:rPr>
        <w:t>‘Promotion</w:t>
      </w:r>
      <w:r>
        <w:rPr>
          <w:spacing w:val="-4"/>
          <w:sz w:val="18"/>
        </w:rPr>
        <w:t xml:space="preserve"> </w:t>
      </w:r>
      <w:r>
        <w:rPr>
          <w:sz w:val="18"/>
        </w:rPr>
        <w:t>of</w:t>
      </w:r>
      <w:r>
        <w:rPr>
          <w:spacing w:val="-6"/>
          <w:sz w:val="18"/>
        </w:rPr>
        <w:t xml:space="preserve"> </w:t>
      </w:r>
      <w:r>
        <w:rPr>
          <w:sz w:val="18"/>
        </w:rPr>
        <w:t>Homosexuality’:</w:t>
      </w:r>
      <w:r>
        <w:rPr>
          <w:spacing w:val="-3"/>
          <w:sz w:val="18"/>
        </w:rPr>
        <w:t xml:space="preserve"> </w:t>
      </w:r>
      <w:r>
        <w:rPr>
          <w:sz w:val="18"/>
        </w:rPr>
        <w:t>Impacts</w:t>
      </w:r>
      <w:r>
        <w:rPr>
          <w:spacing w:val="-4"/>
          <w:sz w:val="18"/>
        </w:rPr>
        <w:t xml:space="preserve"> </w:t>
      </w:r>
      <w:r>
        <w:rPr>
          <w:sz w:val="18"/>
        </w:rPr>
        <w:t>and</w:t>
      </w:r>
      <w:r>
        <w:rPr>
          <w:spacing w:val="-4"/>
          <w:sz w:val="18"/>
        </w:rPr>
        <w:t xml:space="preserve"> </w:t>
      </w:r>
      <w:r>
        <w:rPr>
          <w:sz w:val="18"/>
        </w:rPr>
        <w:t>Implications,”</w:t>
      </w:r>
      <w:r>
        <w:rPr>
          <w:spacing w:val="-4"/>
          <w:sz w:val="18"/>
        </w:rPr>
        <w:t xml:space="preserve"> </w:t>
      </w:r>
      <w:r>
        <w:rPr>
          <w:sz w:val="18"/>
        </w:rPr>
        <w:t xml:space="preserve">2018, </w:t>
      </w:r>
      <w:r>
        <w:rPr>
          <w:spacing w:val="-2"/>
          <w:sz w:val="18"/>
        </w:rPr>
        <w:t>https://</w:t>
      </w:r>
      <w:hyperlink r:id="rId526">
        <w:r>
          <w:rPr>
            <w:spacing w:val="-2"/>
            <w:sz w:val="18"/>
          </w:rPr>
          <w:t>www.glsen.org/sites/default/files/2019-12/No_Promo_Homo_2018.pdf.</w:t>
        </w:r>
      </w:hyperlink>
    </w:p>
    <w:p w:rsidR="00200FDA" w:rsidRDefault="00F76C4C">
      <w:pPr>
        <w:ind w:left="140" w:right="2490" w:hanging="1"/>
        <w:rPr>
          <w:sz w:val="18"/>
        </w:rPr>
      </w:pPr>
      <w:r>
        <w:rPr>
          <w:position w:val="5"/>
          <w:sz w:val="12"/>
        </w:rPr>
        <w:t>7</w:t>
      </w:r>
      <w:r>
        <w:rPr>
          <w:spacing w:val="9"/>
          <w:position w:val="5"/>
          <w:sz w:val="12"/>
        </w:rPr>
        <w:t xml:space="preserve"> </w:t>
      </w:r>
      <w:bookmarkStart w:id="723" w:name="_bookmark560"/>
      <w:bookmarkEnd w:id="723"/>
      <w:r>
        <w:rPr>
          <w:sz w:val="18"/>
        </w:rPr>
        <w:t>“Opt-In</w:t>
      </w:r>
      <w:r>
        <w:rPr>
          <w:spacing w:val="-4"/>
          <w:sz w:val="18"/>
        </w:rPr>
        <w:t xml:space="preserve"> </w:t>
      </w:r>
      <w:r>
        <w:rPr>
          <w:sz w:val="18"/>
        </w:rPr>
        <w:t>vs.</w:t>
      </w:r>
      <w:r>
        <w:rPr>
          <w:spacing w:val="-3"/>
          <w:sz w:val="18"/>
        </w:rPr>
        <w:t xml:space="preserve"> </w:t>
      </w:r>
      <w:r>
        <w:rPr>
          <w:sz w:val="18"/>
        </w:rPr>
        <w:t>Opt-Out:</w:t>
      </w:r>
      <w:r>
        <w:rPr>
          <w:spacing w:val="-1"/>
          <w:sz w:val="18"/>
        </w:rPr>
        <w:t xml:space="preserve"> </w:t>
      </w:r>
      <w:r>
        <w:rPr>
          <w:sz w:val="18"/>
        </w:rPr>
        <w:t>State</w:t>
      </w:r>
      <w:r>
        <w:rPr>
          <w:spacing w:val="-2"/>
          <w:sz w:val="18"/>
        </w:rPr>
        <w:t xml:space="preserve"> </w:t>
      </w:r>
      <w:r>
        <w:rPr>
          <w:sz w:val="18"/>
        </w:rPr>
        <w:t>Sex</w:t>
      </w:r>
      <w:r>
        <w:rPr>
          <w:spacing w:val="-4"/>
          <w:sz w:val="18"/>
        </w:rPr>
        <w:t xml:space="preserve"> </w:t>
      </w:r>
      <w:r>
        <w:rPr>
          <w:sz w:val="18"/>
        </w:rPr>
        <w:t>Ed</w:t>
      </w:r>
      <w:r>
        <w:rPr>
          <w:spacing w:val="-2"/>
          <w:sz w:val="18"/>
        </w:rPr>
        <w:t xml:space="preserve"> </w:t>
      </w:r>
      <w:r>
        <w:rPr>
          <w:sz w:val="18"/>
        </w:rPr>
        <w:t>&amp;</w:t>
      </w:r>
      <w:r>
        <w:rPr>
          <w:spacing w:val="-4"/>
          <w:sz w:val="18"/>
        </w:rPr>
        <w:t xml:space="preserve"> </w:t>
      </w:r>
      <w:r>
        <w:rPr>
          <w:sz w:val="18"/>
        </w:rPr>
        <w:t>Parental</w:t>
      </w:r>
      <w:r>
        <w:rPr>
          <w:spacing w:val="-4"/>
          <w:sz w:val="18"/>
        </w:rPr>
        <w:t xml:space="preserve"> </w:t>
      </w:r>
      <w:r>
        <w:rPr>
          <w:sz w:val="18"/>
        </w:rPr>
        <w:t>Consent</w:t>
      </w:r>
      <w:r>
        <w:rPr>
          <w:spacing w:val="-4"/>
          <w:sz w:val="18"/>
        </w:rPr>
        <w:t xml:space="preserve"> </w:t>
      </w:r>
      <w:r>
        <w:rPr>
          <w:sz w:val="18"/>
        </w:rPr>
        <w:t>Policies,”</w:t>
      </w:r>
      <w:r>
        <w:rPr>
          <w:spacing w:val="-2"/>
          <w:sz w:val="18"/>
        </w:rPr>
        <w:t xml:space="preserve"> </w:t>
      </w:r>
      <w:r>
        <w:rPr>
          <w:sz w:val="18"/>
        </w:rPr>
        <w:t>SIECUS,</w:t>
      </w:r>
      <w:r>
        <w:rPr>
          <w:spacing w:val="-3"/>
          <w:sz w:val="18"/>
        </w:rPr>
        <w:t xml:space="preserve"> </w:t>
      </w:r>
      <w:r>
        <w:rPr>
          <w:sz w:val="18"/>
        </w:rPr>
        <w:t>accessed</w:t>
      </w:r>
      <w:r>
        <w:rPr>
          <w:spacing w:val="-2"/>
          <w:sz w:val="18"/>
        </w:rPr>
        <w:t xml:space="preserve"> </w:t>
      </w:r>
      <w:r>
        <w:rPr>
          <w:sz w:val="18"/>
        </w:rPr>
        <w:t>April</w:t>
      </w:r>
      <w:r>
        <w:rPr>
          <w:spacing w:val="-4"/>
          <w:sz w:val="18"/>
        </w:rPr>
        <w:t xml:space="preserve"> </w:t>
      </w:r>
      <w:r>
        <w:rPr>
          <w:sz w:val="18"/>
        </w:rPr>
        <w:t>24,</w:t>
      </w:r>
      <w:r>
        <w:rPr>
          <w:spacing w:val="-3"/>
          <w:sz w:val="18"/>
        </w:rPr>
        <w:t xml:space="preserve"> </w:t>
      </w:r>
      <w:r>
        <w:rPr>
          <w:sz w:val="18"/>
        </w:rPr>
        <w:t xml:space="preserve">2023, </w:t>
      </w:r>
      <w:r>
        <w:rPr>
          <w:spacing w:val="-2"/>
          <w:sz w:val="18"/>
        </w:rPr>
        <w:t>https://siecus.org/resources/opt-in-vs-opt-out-state-sex-ed-parental-consent-policies/.</w:t>
      </w:r>
    </w:p>
    <w:p w:rsidR="00200FDA" w:rsidRDefault="00F76C4C">
      <w:pPr>
        <w:spacing w:line="219" w:lineRule="exact"/>
        <w:ind w:left="140"/>
        <w:rPr>
          <w:sz w:val="18"/>
        </w:rPr>
      </w:pPr>
      <w:r>
        <w:rPr>
          <w:position w:val="5"/>
          <w:sz w:val="12"/>
        </w:rPr>
        <w:t>8</w:t>
      </w:r>
      <w:r>
        <w:rPr>
          <w:spacing w:val="8"/>
          <w:position w:val="5"/>
          <w:sz w:val="12"/>
        </w:rPr>
        <w:t xml:space="preserve"> </w:t>
      </w:r>
      <w:r>
        <w:rPr>
          <w:sz w:val="18"/>
        </w:rPr>
        <w:t>“Adolescent</w:t>
      </w:r>
      <w:r>
        <w:rPr>
          <w:spacing w:val="-3"/>
          <w:sz w:val="18"/>
        </w:rPr>
        <w:t xml:space="preserve"> </w:t>
      </w:r>
      <w:r>
        <w:rPr>
          <w:sz w:val="18"/>
        </w:rPr>
        <w:t>and</w:t>
      </w:r>
      <w:r>
        <w:rPr>
          <w:spacing w:val="-3"/>
          <w:sz w:val="18"/>
        </w:rPr>
        <w:t xml:space="preserve"> </w:t>
      </w:r>
      <w:r>
        <w:rPr>
          <w:sz w:val="18"/>
        </w:rPr>
        <w:t>School</w:t>
      </w:r>
      <w:r>
        <w:rPr>
          <w:spacing w:val="-2"/>
          <w:sz w:val="18"/>
        </w:rPr>
        <w:t xml:space="preserve"> </w:t>
      </w:r>
      <w:r>
        <w:rPr>
          <w:sz w:val="18"/>
        </w:rPr>
        <w:t>Health</w:t>
      </w:r>
      <w:r>
        <w:rPr>
          <w:spacing w:val="-3"/>
          <w:sz w:val="18"/>
        </w:rPr>
        <w:t xml:space="preserve"> </w:t>
      </w:r>
      <w:r>
        <w:rPr>
          <w:sz w:val="18"/>
        </w:rPr>
        <w:t>(DASH)</w:t>
      </w:r>
      <w:r>
        <w:rPr>
          <w:spacing w:val="-2"/>
          <w:sz w:val="18"/>
        </w:rPr>
        <w:t xml:space="preserve"> </w:t>
      </w:r>
      <w:r>
        <w:rPr>
          <w:sz w:val="18"/>
        </w:rPr>
        <w:t>|</w:t>
      </w:r>
      <w:r>
        <w:rPr>
          <w:spacing w:val="-1"/>
          <w:sz w:val="18"/>
        </w:rPr>
        <w:t xml:space="preserve"> </w:t>
      </w:r>
      <w:r>
        <w:rPr>
          <w:sz w:val="18"/>
        </w:rPr>
        <w:t>CDC,”</w:t>
      </w:r>
      <w:r>
        <w:rPr>
          <w:spacing w:val="-2"/>
          <w:sz w:val="18"/>
        </w:rPr>
        <w:t xml:space="preserve"> </w:t>
      </w:r>
      <w:r>
        <w:rPr>
          <w:sz w:val="18"/>
        </w:rPr>
        <w:t>March</w:t>
      </w:r>
      <w:r>
        <w:rPr>
          <w:spacing w:val="-3"/>
          <w:sz w:val="18"/>
        </w:rPr>
        <w:t xml:space="preserve"> </w:t>
      </w:r>
      <w:r>
        <w:rPr>
          <w:sz w:val="18"/>
        </w:rPr>
        <w:t>16,</w:t>
      </w:r>
      <w:r>
        <w:rPr>
          <w:spacing w:val="-2"/>
          <w:sz w:val="18"/>
        </w:rPr>
        <w:t xml:space="preserve"> </w:t>
      </w:r>
      <w:r>
        <w:rPr>
          <w:sz w:val="18"/>
        </w:rPr>
        <w:t>2023,</w:t>
      </w:r>
      <w:r>
        <w:rPr>
          <w:spacing w:val="-1"/>
          <w:sz w:val="18"/>
        </w:rPr>
        <w:t xml:space="preserve"> </w:t>
      </w:r>
      <w:r>
        <w:rPr>
          <w:spacing w:val="-2"/>
          <w:sz w:val="18"/>
        </w:rPr>
        <w:t>https://</w:t>
      </w:r>
      <w:hyperlink r:id="rId527">
        <w:r>
          <w:rPr>
            <w:spacing w:val="-2"/>
            <w:sz w:val="18"/>
          </w:rPr>
          <w:t>www.cdc.gov/healthyyouth/index.htm.</w:t>
        </w:r>
      </w:hyperlink>
    </w:p>
    <w:p w:rsidR="00200FDA" w:rsidRDefault="00F76C4C">
      <w:pPr>
        <w:spacing w:before="1" w:line="219" w:lineRule="exact"/>
        <w:ind w:left="140"/>
        <w:rPr>
          <w:sz w:val="18"/>
        </w:rPr>
      </w:pPr>
      <w:bookmarkStart w:id="724" w:name="_bookmark561"/>
      <w:bookmarkEnd w:id="724"/>
      <w:r>
        <w:rPr>
          <w:position w:val="5"/>
          <w:sz w:val="12"/>
        </w:rPr>
        <w:t>9</w:t>
      </w:r>
      <w:r>
        <w:rPr>
          <w:spacing w:val="10"/>
          <w:position w:val="5"/>
          <w:sz w:val="12"/>
        </w:rPr>
        <w:t xml:space="preserve"> </w:t>
      </w:r>
      <w:r>
        <w:rPr>
          <w:sz w:val="18"/>
        </w:rPr>
        <w:t>“Adolescent</w:t>
      </w:r>
      <w:r>
        <w:rPr>
          <w:spacing w:val="-2"/>
          <w:sz w:val="18"/>
        </w:rPr>
        <w:t xml:space="preserve"> </w:t>
      </w:r>
      <w:r>
        <w:rPr>
          <w:sz w:val="18"/>
        </w:rPr>
        <w:t>and</w:t>
      </w:r>
      <w:r>
        <w:rPr>
          <w:spacing w:val="-3"/>
          <w:sz w:val="18"/>
        </w:rPr>
        <w:t xml:space="preserve"> </w:t>
      </w:r>
      <w:r>
        <w:rPr>
          <w:sz w:val="18"/>
        </w:rPr>
        <w:t>School</w:t>
      </w:r>
      <w:r>
        <w:rPr>
          <w:spacing w:val="-2"/>
          <w:sz w:val="18"/>
        </w:rPr>
        <w:t xml:space="preserve"> </w:t>
      </w:r>
      <w:r>
        <w:rPr>
          <w:sz w:val="18"/>
        </w:rPr>
        <w:t>Health</w:t>
      </w:r>
      <w:r>
        <w:rPr>
          <w:spacing w:val="-3"/>
          <w:sz w:val="18"/>
        </w:rPr>
        <w:t xml:space="preserve"> </w:t>
      </w:r>
      <w:r>
        <w:rPr>
          <w:sz w:val="18"/>
        </w:rPr>
        <w:t>(DASH)</w:t>
      </w:r>
      <w:r>
        <w:rPr>
          <w:spacing w:val="-1"/>
          <w:sz w:val="18"/>
        </w:rPr>
        <w:t xml:space="preserve"> </w:t>
      </w:r>
      <w:r>
        <w:rPr>
          <w:sz w:val="18"/>
        </w:rPr>
        <w:t xml:space="preserve">| </w:t>
      </w:r>
      <w:r>
        <w:rPr>
          <w:spacing w:val="-2"/>
          <w:sz w:val="18"/>
        </w:rPr>
        <w:t>CDC.”</w:t>
      </w:r>
    </w:p>
    <w:p w:rsidR="00200FDA" w:rsidRDefault="00F76C4C">
      <w:pPr>
        <w:ind w:left="140" w:hanging="1"/>
        <w:rPr>
          <w:sz w:val="18"/>
        </w:rPr>
      </w:pPr>
      <w:r>
        <w:rPr>
          <w:position w:val="5"/>
          <w:sz w:val="12"/>
        </w:rPr>
        <w:t>10</w:t>
      </w:r>
      <w:r>
        <w:rPr>
          <w:spacing w:val="10"/>
          <w:position w:val="5"/>
          <w:sz w:val="12"/>
        </w:rPr>
        <w:t xml:space="preserve"> </w:t>
      </w:r>
      <w:r>
        <w:rPr>
          <w:sz w:val="18"/>
        </w:rPr>
        <w:t>Christine</w:t>
      </w:r>
      <w:r>
        <w:rPr>
          <w:spacing w:val="-3"/>
          <w:sz w:val="18"/>
        </w:rPr>
        <w:t xml:space="preserve"> </w:t>
      </w:r>
      <w:r>
        <w:rPr>
          <w:sz w:val="18"/>
        </w:rPr>
        <w:t>Panchaud</w:t>
      </w:r>
      <w:r>
        <w:rPr>
          <w:spacing w:val="-3"/>
          <w:sz w:val="18"/>
        </w:rPr>
        <w:t xml:space="preserve"> </w:t>
      </w:r>
      <w:r>
        <w:rPr>
          <w:sz w:val="18"/>
        </w:rPr>
        <w:t>and</w:t>
      </w:r>
      <w:r>
        <w:rPr>
          <w:spacing w:val="-3"/>
          <w:sz w:val="18"/>
        </w:rPr>
        <w:t xml:space="preserve"> </w:t>
      </w:r>
      <w:r>
        <w:rPr>
          <w:sz w:val="18"/>
        </w:rPr>
        <w:t>Ragnar</w:t>
      </w:r>
      <w:r>
        <w:rPr>
          <w:spacing w:val="-1"/>
          <w:sz w:val="18"/>
        </w:rPr>
        <w:t xml:space="preserve"> </w:t>
      </w:r>
      <w:r>
        <w:rPr>
          <w:sz w:val="18"/>
        </w:rPr>
        <w:t>Anderson,</w:t>
      </w:r>
      <w:r>
        <w:rPr>
          <w:spacing w:val="-3"/>
          <w:sz w:val="18"/>
        </w:rPr>
        <w:t xml:space="preserve"> </w:t>
      </w:r>
      <w:r>
        <w:rPr>
          <w:sz w:val="18"/>
        </w:rPr>
        <w:t>“Demystifying</w:t>
      </w:r>
      <w:r>
        <w:rPr>
          <w:spacing w:val="-3"/>
          <w:sz w:val="18"/>
        </w:rPr>
        <w:t xml:space="preserve"> </w:t>
      </w:r>
      <w:r>
        <w:rPr>
          <w:sz w:val="18"/>
        </w:rPr>
        <w:t>Data:</w:t>
      </w:r>
      <w:r>
        <w:rPr>
          <w:spacing w:val="-3"/>
          <w:sz w:val="18"/>
        </w:rPr>
        <w:t xml:space="preserve"> </w:t>
      </w:r>
      <w:r>
        <w:rPr>
          <w:sz w:val="18"/>
        </w:rPr>
        <w:t>Using</w:t>
      </w:r>
      <w:r>
        <w:rPr>
          <w:spacing w:val="-3"/>
          <w:sz w:val="18"/>
        </w:rPr>
        <w:t xml:space="preserve"> </w:t>
      </w:r>
      <w:r>
        <w:rPr>
          <w:sz w:val="18"/>
        </w:rPr>
        <w:t>Evidence</w:t>
      </w:r>
      <w:r>
        <w:rPr>
          <w:spacing w:val="-3"/>
          <w:sz w:val="18"/>
        </w:rPr>
        <w:t xml:space="preserve"> </w:t>
      </w:r>
      <w:r>
        <w:rPr>
          <w:sz w:val="18"/>
        </w:rPr>
        <w:t>to</w:t>
      </w:r>
      <w:r>
        <w:rPr>
          <w:spacing w:val="-2"/>
          <w:sz w:val="18"/>
        </w:rPr>
        <w:t xml:space="preserve"> </w:t>
      </w:r>
      <w:r>
        <w:rPr>
          <w:sz w:val="18"/>
        </w:rPr>
        <w:t>Improve</w:t>
      </w:r>
      <w:r>
        <w:rPr>
          <w:spacing w:val="-3"/>
          <w:sz w:val="18"/>
        </w:rPr>
        <w:t xml:space="preserve"> </w:t>
      </w:r>
      <w:r>
        <w:rPr>
          <w:sz w:val="18"/>
        </w:rPr>
        <w:t>Young</w:t>
      </w:r>
      <w:r>
        <w:rPr>
          <w:spacing w:val="-2"/>
          <w:sz w:val="18"/>
        </w:rPr>
        <w:t xml:space="preserve"> </w:t>
      </w:r>
      <w:r>
        <w:rPr>
          <w:sz w:val="18"/>
        </w:rPr>
        <w:t>People’s</w:t>
      </w:r>
      <w:r>
        <w:rPr>
          <w:spacing w:val="-3"/>
          <w:sz w:val="18"/>
        </w:rPr>
        <w:t xml:space="preserve"> </w:t>
      </w:r>
      <w:r>
        <w:rPr>
          <w:sz w:val="18"/>
        </w:rPr>
        <w:t>Sexual</w:t>
      </w:r>
      <w:r>
        <w:rPr>
          <w:spacing w:val="-3"/>
          <w:sz w:val="18"/>
        </w:rPr>
        <w:t xml:space="preserve"> </w:t>
      </w:r>
      <w:r>
        <w:rPr>
          <w:sz w:val="18"/>
        </w:rPr>
        <w:t>Health</w:t>
      </w:r>
      <w:r>
        <w:rPr>
          <w:spacing w:val="-3"/>
          <w:sz w:val="18"/>
        </w:rPr>
        <w:t xml:space="preserve"> </w:t>
      </w:r>
      <w:r>
        <w:rPr>
          <w:sz w:val="18"/>
        </w:rPr>
        <w:t xml:space="preserve">and </w:t>
      </w:r>
      <w:bookmarkStart w:id="725" w:name="_bookmark562"/>
      <w:bookmarkEnd w:id="725"/>
      <w:r>
        <w:rPr>
          <w:sz w:val="18"/>
        </w:rPr>
        <w:t>Rights—Workshop Toolkit,” August 5, 2016, https://</w:t>
      </w:r>
      <w:hyperlink r:id="rId528">
        <w:r>
          <w:rPr>
            <w:sz w:val="18"/>
          </w:rPr>
          <w:t>www.guttmacher.org/report/demystifying-data-workshop-toolkit.</w:t>
        </w:r>
      </w:hyperlink>
    </w:p>
    <w:p w:rsidR="00200FDA" w:rsidRDefault="00F76C4C">
      <w:pPr>
        <w:ind w:left="140" w:right="517" w:hanging="1"/>
        <w:rPr>
          <w:sz w:val="18"/>
        </w:rPr>
      </w:pPr>
      <w:r>
        <w:rPr>
          <w:position w:val="5"/>
          <w:sz w:val="12"/>
        </w:rPr>
        <w:t>11</w:t>
      </w:r>
      <w:r>
        <w:rPr>
          <w:spacing w:val="10"/>
          <w:position w:val="5"/>
          <w:sz w:val="12"/>
        </w:rPr>
        <w:t xml:space="preserve"> </w:t>
      </w:r>
      <w:r>
        <w:rPr>
          <w:sz w:val="18"/>
        </w:rPr>
        <w:t>SIECUS:</w:t>
      </w:r>
      <w:r>
        <w:rPr>
          <w:spacing w:val="-2"/>
          <w:sz w:val="18"/>
        </w:rPr>
        <w:t xml:space="preserve"> </w:t>
      </w:r>
      <w:r>
        <w:rPr>
          <w:sz w:val="18"/>
        </w:rPr>
        <w:t>Sex</w:t>
      </w:r>
      <w:r>
        <w:rPr>
          <w:spacing w:val="-3"/>
          <w:sz w:val="18"/>
        </w:rPr>
        <w:t xml:space="preserve"> </w:t>
      </w:r>
      <w:r>
        <w:rPr>
          <w:sz w:val="18"/>
        </w:rPr>
        <w:t>Ed</w:t>
      </w:r>
      <w:r>
        <w:rPr>
          <w:spacing w:val="-3"/>
          <w:sz w:val="18"/>
        </w:rPr>
        <w:t xml:space="preserve"> </w:t>
      </w:r>
      <w:r>
        <w:rPr>
          <w:sz w:val="18"/>
        </w:rPr>
        <w:t>for</w:t>
      </w:r>
      <w:r>
        <w:rPr>
          <w:spacing w:val="-3"/>
          <w:sz w:val="18"/>
        </w:rPr>
        <w:t xml:space="preserve"> </w:t>
      </w:r>
      <w:r>
        <w:rPr>
          <w:sz w:val="18"/>
        </w:rPr>
        <w:t>Social</w:t>
      </w:r>
      <w:r>
        <w:rPr>
          <w:spacing w:val="-3"/>
          <w:sz w:val="18"/>
        </w:rPr>
        <w:t xml:space="preserve"> </w:t>
      </w:r>
      <w:r>
        <w:rPr>
          <w:sz w:val="18"/>
        </w:rPr>
        <w:t>Change,</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May</w:t>
      </w:r>
      <w:r>
        <w:rPr>
          <w:spacing w:val="-2"/>
          <w:sz w:val="18"/>
        </w:rPr>
        <w:t xml:space="preserve"> </w:t>
      </w:r>
      <w:r>
        <w:rPr>
          <w:sz w:val="18"/>
        </w:rPr>
        <w:t>2021.</w:t>
      </w:r>
      <w:r>
        <w:rPr>
          <w:spacing w:val="-2"/>
          <w:sz w:val="18"/>
        </w:rPr>
        <w:t xml:space="preserve"> </w:t>
      </w:r>
      <w:r>
        <w:rPr>
          <w:sz w:val="18"/>
        </w:rPr>
        <w:t>“A</w:t>
      </w:r>
      <w:r>
        <w:rPr>
          <w:spacing w:val="-3"/>
          <w:sz w:val="18"/>
        </w:rPr>
        <w:t xml:space="preserve"> </w:t>
      </w:r>
      <w:r>
        <w:rPr>
          <w:sz w:val="18"/>
        </w:rPr>
        <w:t>Call</w:t>
      </w:r>
      <w:r>
        <w:rPr>
          <w:spacing w:val="-3"/>
          <w:sz w:val="18"/>
        </w:rPr>
        <w:t xml:space="preserve"> </w:t>
      </w:r>
      <w:r>
        <w:rPr>
          <w:sz w:val="18"/>
        </w:rPr>
        <w:t>to</w:t>
      </w:r>
      <w:r>
        <w:rPr>
          <w:spacing w:val="-1"/>
          <w:sz w:val="18"/>
        </w:rPr>
        <w:t xml:space="preserve"> </w:t>
      </w:r>
      <w:r>
        <w:rPr>
          <w:sz w:val="18"/>
        </w:rPr>
        <w:t>Action:</w:t>
      </w:r>
      <w:r>
        <w:rPr>
          <w:spacing w:val="-3"/>
          <w:sz w:val="18"/>
        </w:rPr>
        <w:t xml:space="preserve"> </w:t>
      </w:r>
      <w:r>
        <w:rPr>
          <w:sz w:val="18"/>
        </w:rPr>
        <w:t>LGBTQ+</w:t>
      </w:r>
      <w:r>
        <w:rPr>
          <w:spacing w:val="-3"/>
          <w:sz w:val="18"/>
        </w:rPr>
        <w:t xml:space="preserve"> </w:t>
      </w:r>
      <w:r>
        <w:rPr>
          <w:sz w:val="18"/>
        </w:rPr>
        <w:t>Youth</w:t>
      </w:r>
      <w:r>
        <w:rPr>
          <w:spacing w:val="-3"/>
          <w:sz w:val="18"/>
        </w:rPr>
        <w:t xml:space="preserve"> </w:t>
      </w:r>
      <w:r>
        <w:rPr>
          <w:sz w:val="18"/>
        </w:rPr>
        <w:t>Need</w:t>
      </w:r>
      <w:r>
        <w:rPr>
          <w:spacing w:val="-3"/>
          <w:sz w:val="18"/>
        </w:rPr>
        <w:t xml:space="preserve"> </w:t>
      </w:r>
      <w:r>
        <w:rPr>
          <w:sz w:val="18"/>
        </w:rPr>
        <w:t>Inclusive</w:t>
      </w:r>
      <w:r>
        <w:rPr>
          <w:spacing w:val="-1"/>
          <w:sz w:val="18"/>
        </w:rPr>
        <w:t xml:space="preserve"> </w:t>
      </w:r>
      <w:r>
        <w:rPr>
          <w:sz w:val="18"/>
        </w:rPr>
        <w:t>Sex</w:t>
      </w:r>
      <w:r>
        <w:rPr>
          <w:spacing w:val="-3"/>
          <w:sz w:val="18"/>
        </w:rPr>
        <w:t xml:space="preserve"> </w:t>
      </w:r>
      <w:r>
        <w:rPr>
          <w:sz w:val="18"/>
        </w:rPr>
        <w:t>Education,”</w:t>
      </w:r>
      <w:r>
        <w:rPr>
          <w:spacing w:val="-3"/>
          <w:sz w:val="18"/>
        </w:rPr>
        <w:t xml:space="preserve"> </w:t>
      </w:r>
      <w:r>
        <w:rPr>
          <w:sz w:val="18"/>
        </w:rPr>
        <w:t>page</w:t>
      </w:r>
      <w:r>
        <w:rPr>
          <w:spacing w:val="-3"/>
          <w:sz w:val="18"/>
        </w:rPr>
        <w:t xml:space="preserve"> </w:t>
      </w:r>
      <w:r>
        <w:rPr>
          <w:sz w:val="18"/>
        </w:rPr>
        <w:t xml:space="preserve">2. </w:t>
      </w:r>
      <w:bookmarkStart w:id="726" w:name="_bookmark563"/>
      <w:bookmarkEnd w:id="726"/>
      <w:r>
        <w:fldChar w:fldCharType="begin"/>
      </w:r>
      <w:r>
        <w:instrText xml:space="preserve"> HYPERLINK "https://hrc-prod-requests.s3-us-west-2.amazonaws.com/Call-to-Action-LGBTQ-Sex-Ed-Report-2021.pdf" \h </w:instrText>
      </w:r>
      <w:r>
        <w:fldChar w:fldCharType="separate"/>
      </w:r>
      <w:r>
        <w:rPr>
          <w:color w:val="0000FF"/>
          <w:spacing w:val="-2"/>
          <w:sz w:val="18"/>
          <w:u w:val="single" w:color="0000FF"/>
        </w:rPr>
        <w:t>https://hrc-prod-requests.s3-us-west-2.amazonaws.com/Call-to-Action-LGBTQ-Sex-Ed-Report-2021.pdf</w:t>
      </w:r>
      <w:r>
        <w:rPr>
          <w:spacing w:val="-2"/>
          <w:sz w:val="18"/>
        </w:rPr>
        <w:t>.</w:t>
      </w:r>
      <w:r>
        <w:rPr>
          <w:spacing w:val="-2"/>
          <w:sz w:val="18"/>
        </w:rPr>
        <w:fldChar w:fldCharType="end"/>
      </w:r>
    </w:p>
    <w:p w:rsidR="00200FDA" w:rsidRDefault="00F76C4C">
      <w:pPr>
        <w:spacing w:before="1"/>
        <w:ind w:left="140" w:right="517" w:hanging="1"/>
        <w:rPr>
          <w:sz w:val="18"/>
        </w:rPr>
      </w:pPr>
      <w:r>
        <w:rPr>
          <w:position w:val="5"/>
          <w:sz w:val="12"/>
        </w:rPr>
        <w:t>12</w:t>
      </w:r>
      <w:r>
        <w:rPr>
          <w:spacing w:val="10"/>
          <w:position w:val="5"/>
          <w:sz w:val="12"/>
        </w:rPr>
        <w:t xml:space="preserve"> </w:t>
      </w:r>
      <w:r>
        <w:rPr>
          <w:sz w:val="18"/>
        </w:rPr>
        <w:t>Kantor,</w:t>
      </w:r>
      <w:r>
        <w:rPr>
          <w:spacing w:val="-2"/>
          <w:sz w:val="18"/>
        </w:rPr>
        <w:t xml:space="preserve"> </w:t>
      </w:r>
      <w:r>
        <w:rPr>
          <w:sz w:val="18"/>
        </w:rPr>
        <w:t>Leslie,</w:t>
      </w:r>
      <w:r>
        <w:rPr>
          <w:spacing w:val="-2"/>
          <w:sz w:val="18"/>
        </w:rPr>
        <w:t xml:space="preserve"> </w:t>
      </w:r>
      <w:r>
        <w:rPr>
          <w:sz w:val="18"/>
        </w:rPr>
        <w:t>and</w:t>
      </w:r>
      <w:r>
        <w:rPr>
          <w:spacing w:val="-3"/>
          <w:sz w:val="18"/>
        </w:rPr>
        <w:t xml:space="preserve"> </w:t>
      </w:r>
      <w:r>
        <w:rPr>
          <w:sz w:val="18"/>
        </w:rPr>
        <w:t>Nicole</w:t>
      </w:r>
      <w:r>
        <w:rPr>
          <w:spacing w:val="-3"/>
          <w:sz w:val="18"/>
        </w:rPr>
        <w:t xml:space="preserve"> </w:t>
      </w:r>
      <w:r>
        <w:rPr>
          <w:sz w:val="18"/>
        </w:rPr>
        <w:t>Levitz.</w:t>
      </w:r>
      <w:r>
        <w:rPr>
          <w:spacing w:val="-2"/>
          <w:sz w:val="18"/>
        </w:rPr>
        <w:t xml:space="preserve"> </w:t>
      </w:r>
      <w:r>
        <w:rPr>
          <w:sz w:val="18"/>
        </w:rPr>
        <w:t>2017.</w:t>
      </w:r>
      <w:r>
        <w:rPr>
          <w:spacing w:val="-2"/>
          <w:sz w:val="18"/>
        </w:rPr>
        <w:t xml:space="preserve"> </w:t>
      </w:r>
      <w:r>
        <w:rPr>
          <w:sz w:val="18"/>
        </w:rPr>
        <w:t>“Parents’</w:t>
      </w:r>
      <w:r>
        <w:rPr>
          <w:spacing w:val="-2"/>
          <w:sz w:val="18"/>
        </w:rPr>
        <w:t xml:space="preserve"> </w:t>
      </w:r>
      <w:r>
        <w:rPr>
          <w:sz w:val="18"/>
        </w:rPr>
        <w:t>Views</w:t>
      </w:r>
      <w:r>
        <w:rPr>
          <w:spacing w:val="-3"/>
          <w:sz w:val="18"/>
        </w:rPr>
        <w:t xml:space="preserve"> </w:t>
      </w:r>
      <w:r>
        <w:rPr>
          <w:sz w:val="18"/>
        </w:rPr>
        <w:t>on</w:t>
      </w:r>
      <w:r>
        <w:rPr>
          <w:spacing w:val="-3"/>
          <w:sz w:val="18"/>
        </w:rPr>
        <w:t xml:space="preserve"> </w:t>
      </w:r>
      <w:r>
        <w:rPr>
          <w:sz w:val="18"/>
        </w:rPr>
        <w:t>Sex</w:t>
      </w:r>
      <w:r>
        <w:rPr>
          <w:spacing w:val="-3"/>
          <w:sz w:val="18"/>
        </w:rPr>
        <w:t xml:space="preserve"> </w:t>
      </w:r>
      <w:r>
        <w:rPr>
          <w:sz w:val="18"/>
        </w:rPr>
        <w:t>Education</w:t>
      </w:r>
      <w:r>
        <w:rPr>
          <w:spacing w:val="-3"/>
          <w:sz w:val="18"/>
        </w:rPr>
        <w:t xml:space="preserve"> </w:t>
      </w:r>
      <w:r>
        <w:rPr>
          <w:sz w:val="18"/>
        </w:rPr>
        <w:t>in</w:t>
      </w:r>
      <w:r>
        <w:rPr>
          <w:spacing w:val="-3"/>
          <w:sz w:val="18"/>
        </w:rPr>
        <w:t xml:space="preserve"> </w:t>
      </w:r>
      <w:r>
        <w:rPr>
          <w:sz w:val="18"/>
        </w:rPr>
        <w:t>Schools:</w:t>
      </w:r>
      <w:r>
        <w:rPr>
          <w:spacing w:val="-2"/>
          <w:sz w:val="18"/>
        </w:rPr>
        <w:t xml:space="preserve"> </w:t>
      </w:r>
      <w:r>
        <w:rPr>
          <w:sz w:val="18"/>
        </w:rPr>
        <w:t>How</w:t>
      </w:r>
      <w:r>
        <w:rPr>
          <w:spacing w:val="-1"/>
          <w:sz w:val="18"/>
        </w:rPr>
        <w:t xml:space="preserve"> </w:t>
      </w:r>
      <w:r>
        <w:rPr>
          <w:sz w:val="18"/>
        </w:rPr>
        <w:t>Much</w:t>
      </w:r>
      <w:r>
        <w:rPr>
          <w:spacing w:val="-3"/>
          <w:sz w:val="18"/>
        </w:rPr>
        <w:t xml:space="preserve"> </w:t>
      </w:r>
      <w:r>
        <w:rPr>
          <w:sz w:val="18"/>
        </w:rPr>
        <w:t>Do</w:t>
      </w:r>
      <w:r>
        <w:rPr>
          <w:spacing w:val="-1"/>
          <w:sz w:val="18"/>
        </w:rPr>
        <w:t xml:space="preserve"> </w:t>
      </w:r>
      <w:r>
        <w:rPr>
          <w:sz w:val="18"/>
        </w:rPr>
        <w:t>Democrats</w:t>
      </w:r>
      <w:r>
        <w:rPr>
          <w:spacing w:val="-3"/>
          <w:sz w:val="18"/>
        </w:rPr>
        <w:t xml:space="preserve"> </w:t>
      </w:r>
      <w:r>
        <w:rPr>
          <w:sz w:val="18"/>
        </w:rPr>
        <w:t xml:space="preserve">and Republicans Agree?” </w:t>
      </w:r>
      <w:r>
        <w:rPr>
          <w:i/>
          <w:sz w:val="18"/>
        </w:rPr>
        <w:t xml:space="preserve">PLOS ONE </w:t>
      </w:r>
      <w:r>
        <w:rPr>
          <w:sz w:val="18"/>
        </w:rPr>
        <w:t>12, no. 7 (Jul</w:t>
      </w:r>
      <w:r>
        <w:rPr>
          <w:sz w:val="18"/>
        </w:rPr>
        <w:t xml:space="preserve">y 3, 2017). </w:t>
      </w:r>
      <w:r>
        <w:rPr>
          <w:color w:val="0000FF"/>
          <w:sz w:val="18"/>
          <w:u w:val="single" w:color="0000FF"/>
        </w:rPr>
        <w:t>https://10.1371/journal.pone.0180250</w:t>
      </w:r>
      <w:r>
        <w:rPr>
          <w:sz w:val="18"/>
        </w:rPr>
        <w:t>.</w:t>
      </w:r>
    </w:p>
    <w:p w:rsidR="00200FDA" w:rsidRDefault="00F76C4C">
      <w:pPr>
        <w:spacing w:line="219" w:lineRule="exact"/>
        <w:ind w:left="140"/>
        <w:rPr>
          <w:i/>
          <w:sz w:val="18"/>
        </w:rPr>
      </w:pPr>
      <w:bookmarkStart w:id="727" w:name="_bookmark564"/>
      <w:bookmarkEnd w:id="727"/>
      <w:r>
        <w:rPr>
          <w:position w:val="5"/>
          <w:sz w:val="12"/>
        </w:rPr>
        <w:t>13</w:t>
      </w:r>
      <w:r>
        <w:rPr>
          <w:spacing w:val="8"/>
          <w:position w:val="5"/>
          <w:sz w:val="12"/>
        </w:rPr>
        <w:t xml:space="preserve"> </w:t>
      </w:r>
      <w:r>
        <w:rPr>
          <w:sz w:val="18"/>
        </w:rPr>
        <w:t>Robert</w:t>
      </w:r>
      <w:r>
        <w:rPr>
          <w:spacing w:val="-3"/>
          <w:sz w:val="18"/>
        </w:rPr>
        <w:t xml:space="preserve"> </w:t>
      </w:r>
      <w:r>
        <w:rPr>
          <w:sz w:val="18"/>
        </w:rPr>
        <w:t>Atkins</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“The</w:t>
      </w:r>
      <w:r>
        <w:rPr>
          <w:spacing w:val="-2"/>
          <w:sz w:val="18"/>
        </w:rPr>
        <w:t xml:space="preserve"> </w:t>
      </w:r>
      <w:r>
        <w:rPr>
          <w:sz w:val="18"/>
        </w:rPr>
        <w:t>Effects</w:t>
      </w:r>
      <w:r>
        <w:rPr>
          <w:spacing w:val="-3"/>
          <w:sz w:val="18"/>
        </w:rPr>
        <w:t xml:space="preserve"> </w:t>
      </w:r>
      <w:r>
        <w:rPr>
          <w:sz w:val="18"/>
        </w:rPr>
        <w:t>of</w:t>
      </w:r>
      <w:r>
        <w:rPr>
          <w:spacing w:val="-1"/>
          <w:sz w:val="18"/>
        </w:rPr>
        <w:t xml:space="preserve"> </w:t>
      </w:r>
      <w:r>
        <w:rPr>
          <w:sz w:val="18"/>
        </w:rPr>
        <w:t>School</w:t>
      </w:r>
      <w:r>
        <w:rPr>
          <w:spacing w:val="-3"/>
          <w:sz w:val="18"/>
        </w:rPr>
        <w:t xml:space="preserve"> </w:t>
      </w:r>
      <w:r>
        <w:rPr>
          <w:sz w:val="18"/>
        </w:rPr>
        <w:t>Poverty</w:t>
      </w:r>
      <w:r>
        <w:rPr>
          <w:spacing w:val="-2"/>
          <w:sz w:val="18"/>
        </w:rPr>
        <w:t xml:space="preserve"> </w:t>
      </w:r>
      <w:r>
        <w:rPr>
          <w:sz w:val="18"/>
        </w:rPr>
        <w:t>on</w:t>
      </w:r>
      <w:r>
        <w:rPr>
          <w:spacing w:val="-2"/>
          <w:sz w:val="18"/>
        </w:rPr>
        <w:t xml:space="preserve"> </w:t>
      </w:r>
      <w:r>
        <w:rPr>
          <w:sz w:val="18"/>
        </w:rPr>
        <w:t>Adolescents’</w:t>
      </w:r>
      <w:r>
        <w:rPr>
          <w:spacing w:val="-2"/>
          <w:sz w:val="18"/>
        </w:rPr>
        <w:t xml:space="preserve"> </w:t>
      </w:r>
      <w:r>
        <w:rPr>
          <w:sz w:val="18"/>
        </w:rPr>
        <w:t>Sexual</w:t>
      </w:r>
      <w:r>
        <w:rPr>
          <w:spacing w:val="-3"/>
          <w:sz w:val="18"/>
        </w:rPr>
        <w:t xml:space="preserve"> </w:t>
      </w:r>
      <w:r>
        <w:rPr>
          <w:sz w:val="18"/>
        </w:rPr>
        <w:t>Health</w:t>
      </w:r>
      <w:r>
        <w:rPr>
          <w:spacing w:val="-2"/>
          <w:sz w:val="18"/>
        </w:rPr>
        <w:t xml:space="preserve"> </w:t>
      </w:r>
      <w:r>
        <w:rPr>
          <w:sz w:val="18"/>
        </w:rPr>
        <w:t>Knowledge,”</w:t>
      </w:r>
      <w:r>
        <w:rPr>
          <w:spacing w:val="-3"/>
          <w:sz w:val="18"/>
        </w:rPr>
        <w:t xml:space="preserve"> </w:t>
      </w:r>
      <w:r>
        <w:rPr>
          <w:i/>
          <w:sz w:val="18"/>
        </w:rPr>
        <w:t>Research in</w:t>
      </w:r>
      <w:r>
        <w:rPr>
          <w:i/>
          <w:spacing w:val="-1"/>
          <w:sz w:val="18"/>
        </w:rPr>
        <w:t xml:space="preserve"> </w:t>
      </w:r>
      <w:r>
        <w:rPr>
          <w:i/>
          <w:sz w:val="18"/>
        </w:rPr>
        <w:t>Nursing</w:t>
      </w:r>
      <w:r>
        <w:rPr>
          <w:i/>
          <w:spacing w:val="-1"/>
          <w:sz w:val="18"/>
        </w:rPr>
        <w:t xml:space="preserve"> </w:t>
      </w:r>
      <w:r>
        <w:rPr>
          <w:i/>
          <w:sz w:val="18"/>
        </w:rPr>
        <w:t>&amp;</w:t>
      </w:r>
      <w:r>
        <w:rPr>
          <w:i/>
          <w:spacing w:val="-2"/>
          <w:sz w:val="18"/>
        </w:rPr>
        <w:t xml:space="preserve"> Health</w:t>
      </w:r>
    </w:p>
    <w:p w:rsidR="00200FDA" w:rsidRDefault="00F76C4C">
      <w:pPr>
        <w:spacing w:line="219" w:lineRule="exact"/>
        <w:ind w:left="140"/>
        <w:rPr>
          <w:sz w:val="18"/>
        </w:rPr>
      </w:pPr>
      <w:r>
        <w:rPr>
          <w:sz w:val="18"/>
        </w:rPr>
        <w:t>35,</w:t>
      </w:r>
      <w:r>
        <w:rPr>
          <w:spacing w:val="-1"/>
          <w:sz w:val="18"/>
        </w:rPr>
        <w:t xml:space="preserve"> </w:t>
      </w:r>
      <w:r>
        <w:rPr>
          <w:sz w:val="18"/>
        </w:rPr>
        <w:t>no.</w:t>
      </w:r>
      <w:r>
        <w:rPr>
          <w:spacing w:val="-1"/>
          <w:sz w:val="18"/>
        </w:rPr>
        <w:t xml:space="preserve"> </w:t>
      </w:r>
      <w:r>
        <w:rPr>
          <w:sz w:val="18"/>
        </w:rPr>
        <w:t>3 (June</w:t>
      </w:r>
      <w:r>
        <w:rPr>
          <w:spacing w:val="-2"/>
          <w:sz w:val="18"/>
        </w:rPr>
        <w:t xml:space="preserve"> </w:t>
      </w:r>
      <w:r>
        <w:rPr>
          <w:sz w:val="18"/>
        </w:rPr>
        <w:t>2012):</w:t>
      </w:r>
      <w:r>
        <w:rPr>
          <w:spacing w:val="-1"/>
          <w:sz w:val="18"/>
        </w:rPr>
        <w:t xml:space="preserve"> </w:t>
      </w:r>
      <w:r>
        <w:rPr>
          <w:sz w:val="18"/>
        </w:rPr>
        <w:t xml:space="preserve">231–41, </w:t>
      </w:r>
      <w:r>
        <w:rPr>
          <w:spacing w:val="-2"/>
          <w:sz w:val="18"/>
        </w:rPr>
        <w:t>https://doi.org/10.1002/nur.21471.</w:t>
      </w:r>
    </w:p>
    <w:p w:rsidR="00200FDA" w:rsidRDefault="00F76C4C">
      <w:pPr>
        <w:spacing w:before="1"/>
        <w:ind w:left="140" w:right="1676" w:hanging="1"/>
        <w:rPr>
          <w:sz w:val="18"/>
        </w:rPr>
      </w:pPr>
      <w:bookmarkStart w:id="728" w:name="_bookmark565"/>
      <w:bookmarkEnd w:id="728"/>
      <w:r>
        <w:rPr>
          <w:position w:val="5"/>
          <w:sz w:val="12"/>
        </w:rPr>
        <w:t>14</w:t>
      </w:r>
      <w:r>
        <w:rPr>
          <w:spacing w:val="9"/>
          <w:position w:val="5"/>
          <w:sz w:val="12"/>
        </w:rPr>
        <w:t xml:space="preserve"> </w:t>
      </w:r>
      <w:r>
        <w:rPr>
          <w:sz w:val="18"/>
        </w:rPr>
        <w:t>“Black</w:t>
      </w:r>
      <w:r>
        <w:rPr>
          <w:spacing w:val="-4"/>
          <w:sz w:val="18"/>
        </w:rPr>
        <w:t xml:space="preserve"> </w:t>
      </w:r>
      <w:r>
        <w:rPr>
          <w:sz w:val="18"/>
        </w:rPr>
        <w:t>Women,</w:t>
      </w:r>
      <w:r>
        <w:rPr>
          <w:spacing w:val="-3"/>
          <w:sz w:val="18"/>
        </w:rPr>
        <w:t xml:space="preserve"> </w:t>
      </w:r>
      <w:r>
        <w:rPr>
          <w:sz w:val="18"/>
        </w:rPr>
        <w:t>the</w:t>
      </w:r>
      <w:r>
        <w:rPr>
          <w:spacing w:val="-4"/>
          <w:sz w:val="18"/>
        </w:rPr>
        <w:t xml:space="preserve"> </w:t>
      </w:r>
      <w:r>
        <w:rPr>
          <w:sz w:val="18"/>
        </w:rPr>
        <w:t>Forgotten</w:t>
      </w:r>
      <w:r>
        <w:rPr>
          <w:spacing w:val="-2"/>
          <w:sz w:val="18"/>
        </w:rPr>
        <w:t xml:space="preserve"> </w:t>
      </w:r>
      <w:r>
        <w:rPr>
          <w:sz w:val="18"/>
        </w:rPr>
        <w:t>Survivors</w:t>
      </w:r>
      <w:r>
        <w:rPr>
          <w:spacing w:val="-4"/>
          <w:sz w:val="18"/>
        </w:rPr>
        <w:t xml:space="preserve"> </w:t>
      </w:r>
      <w:r>
        <w:rPr>
          <w:sz w:val="18"/>
        </w:rPr>
        <w:t>of</w:t>
      </w:r>
      <w:r>
        <w:rPr>
          <w:spacing w:val="-3"/>
          <w:sz w:val="18"/>
        </w:rPr>
        <w:t xml:space="preserve"> </w:t>
      </w:r>
      <w:r>
        <w:rPr>
          <w:sz w:val="18"/>
        </w:rPr>
        <w:t>Sexual</w:t>
      </w:r>
      <w:r>
        <w:rPr>
          <w:spacing w:val="-2"/>
          <w:sz w:val="18"/>
        </w:rPr>
        <w:t xml:space="preserve"> </w:t>
      </w:r>
      <w:r>
        <w:rPr>
          <w:sz w:val="18"/>
        </w:rPr>
        <w:t>Assault,”</w:t>
      </w:r>
      <w:r>
        <w:rPr>
          <w:spacing w:val="-4"/>
          <w:sz w:val="18"/>
        </w:rPr>
        <w:t xml:space="preserve"> </w:t>
      </w:r>
      <w:r>
        <w:rPr>
          <w:sz w:val="18"/>
        </w:rPr>
        <w:t>https://</w:t>
      </w:r>
      <w:hyperlink r:id="rId529">
        <w:r>
          <w:rPr>
            <w:sz w:val="18"/>
          </w:rPr>
          <w:t>www.apa.org,</w:t>
        </w:r>
      </w:hyperlink>
      <w:r>
        <w:rPr>
          <w:spacing w:val="-3"/>
          <w:sz w:val="18"/>
        </w:rPr>
        <w:t xml:space="preserve"> </w:t>
      </w:r>
      <w:r>
        <w:rPr>
          <w:sz w:val="18"/>
        </w:rPr>
        <w:t>accessed</w:t>
      </w:r>
      <w:r>
        <w:rPr>
          <w:spacing w:val="-4"/>
          <w:sz w:val="18"/>
        </w:rPr>
        <w:t xml:space="preserve"> </w:t>
      </w:r>
      <w:r>
        <w:rPr>
          <w:sz w:val="18"/>
        </w:rPr>
        <w:t>April</w:t>
      </w:r>
      <w:r>
        <w:rPr>
          <w:spacing w:val="-4"/>
          <w:sz w:val="18"/>
        </w:rPr>
        <w:t xml:space="preserve"> </w:t>
      </w:r>
      <w:r>
        <w:rPr>
          <w:sz w:val="18"/>
        </w:rPr>
        <w:t xml:space="preserve">24, 2023, </w:t>
      </w:r>
      <w:r>
        <w:rPr>
          <w:spacing w:val="-2"/>
          <w:sz w:val="18"/>
        </w:rPr>
        <w:t>https://</w:t>
      </w:r>
      <w:hyperlink r:id="rId530">
        <w:r>
          <w:rPr>
            <w:spacing w:val="-2"/>
            <w:sz w:val="18"/>
          </w:rPr>
          <w:t>www.apa.org/pi/abou</w:t>
        </w:r>
        <w:r>
          <w:rPr>
            <w:spacing w:val="-2"/>
            <w:sz w:val="18"/>
          </w:rPr>
          <w:t>t/newsletter/2020/02/black-women-sexual-assault.</w:t>
        </w:r>
      </w:hyperlink>
    </w:p>
    <w:p w:rsidR="00200FDA" w:rsidRDefault="00F76C4C">
      <w:pPr>
        <w:ind w:left="139" w:right="386"/>
        <w:rPr>
          <w:sz w:val="18"/>
        </w:rPr>
      </w:pPr>
      <w:r>
        <w:rPr>
          <w:position w:val="5"/>
          <w:sz w:val="12"/>
        </w:rPr>
        <w:t>15</w:t>
      </w:r>
      <w:r>
        <w:rPr>
          <w:spacing w:val="10"/>
          <w:position w:val="5"/>
          <w:sz w:val="12"/>
        </w:rPr>
        <w:t xml:space="preserve"> </w:t>
      </w:r>
      <w:r>
        <w:rPr>
          <w:sz w:val="18"/>
        </w:rPr>
        <w:t>Maya</w:t>
      </w:r>
      <w:r>
        <w:rPr>
          <w:spacing w:val="-2"/>
          <w:sz w:val="18"/>
        </w:rPr>
        <w:t xml:space="preserve"> </w:t>
      </w:r>
      <w:r>
        <w:rPr>
          <w:sz w:val="18"/>
        </w:rPr>
        <w:t>Finoh</w:t>
      </w:r>
      <w:r>
        <w:rPr>
          <w:spacing w:val="-3"/>
          <w:sz w:val="18"/>
        </w:rPr>
        <w:t xml:space="preserve"> </w:t>
      </w:r>
      <w:r>
        <w:rPr>
          <w:sz w:val="18"/>
        </w:rPr>
        <w:t>and</w:t>
      </w:r>
      <w:r>
        <w:rPr>
          <w:spacing w:val="-3"/>
          <w:sz w:val="18"/>
        </w:rPr>
        <w:t xml:space="preserve"> </w:t>
      </w:r>
      <w:r>
        <w:rPr>
          <w:sz w:val="18"/>
        </w:rPr>
        <w:t>Jasmine</w:t>
      </w:r>
      <w:r>
        <w:rPr>
          <w:spacing w:val="-3"/>
          <w:sz w:val="18"/>
        </w:rPr>
        <w:t xml:space="preserve"> </w:t>
      </w:r>
      <w:r>
        <w:rPr>
          <w:sz w:val="18"/>
        </w:rPr>
        <w:t>Sanofka,</w:t>
      </w:r>
      <w:r>
        <w:rPr>
          <w:spacing w:val="-2"/>
          <w:sz w:val="18"/>
        </w:rPr>
        <w:t xml:space="preserve"> </w:t>
      </w:r>
      <w:r>
        <w:rPr>
          <w:sz w:val="18"/>
        </w:rPr>
        <w:t>“The</w:t>
      </w:r>
      <w:r>
        <w:rPr>
          <w:spacing w:val="-3"/>
          <w:sz w:val="18"/>
        </w:rPr>
        <w:t xml:space="preserve"> </w:t>
      </w:r>
      <w:r>
        <w:rPr>
          <w:sz w:val="18"/>
        </w:rPr>
        <w:t>Legal</w:t>
      </w:r>
      <w:r>
        <w:rPr>
          <w:spacing w:val="-3"/>
          <w:sz w:val="18"/>
        </w:rPr>
        <w:t xml:space="preserve"> </w:t>
      </w:r>
      <w:r>
        <w:rPr>
          <w:sz w:val="18"/>
        </w:rPr>
        <w:t>System</w:t>
      </w:r>
      <w:r>
        <w:rPr>
          <w:spacing w:val="-2"/>
          <w:sz w:val="18"/>
        </w:rPr>
        <w:t xml:space="preserve"> </w:t>
      </w:r>
      <w:r>
        <w:rPr>
          <w:sz w:val="18"/>
        </w:rPr>
        <w:t>Has</w:t>
      </w:r>
      <w:r>
        <w:rPr>
          <w:spacing w:val="-3"/>
          <w:sz w:val="18"/>
        </w:rPr>
        <w:t xml:space="preserve"> </w:t>
      </w:r>
      <w:r>
        <w:rPr>
          <w:sz w:val="18"/>
        </w:rPr>
        <w:t>Failed</w:t>
      </w:r>
      <w:r>
        <w:rPr>
          <w:spacing w:val="-3"/>
          <w:sz w:val="18"/>
        </w:rPr>
        <w:t xml:space="preserve"> </w:t>
      </w:r>
      <w:r>
        <w:rPr>
          <w:sz w:val="18"/>
        </w:rPr>
        <w:t>Black</w:t>
      </w:r>
      <w:r>
        <w:rPr>
          <w:spacing w:val="-3"/>
          <w:sz w:val="18"/>
        </w:rPr>
        <w:t xml:space="preserve"> </w:t>
      </w:r>
      <w:r>
        <w:rPr>
          <w:sz w:val="18"/>
        </w:rPr>
        <w:t>Girls,</w:t>
      </w:r>
      <w:r>
        <w:rPr>
          <w:spacing w:val="-2"/>
          <w:sz w:val="18"/>
        </w:rPr>
        <w:t xml:space="preserve"> </w:t>
      </w:r>
      <w:r>
        <w:rPr>
          <w:sz w:val="18"/>
        </w:rPr>
        <w:t>Women,</w:t>
      </w:r>
      <w:r>
        <w:rPr>
          <w:spacing w:val="-2"/>
          <w:sz w:val="18"/>
        </w:rPr>
        <w:t xml:space="preserve"> </w:t>
      </w:r>
      <w:r>
        <w:rPr>
          <w:sz w:val="18"/>
        </w:rPr>
        <w:t>and</w:t>
      </w:r>
      <w:r>
        <w:rPr>
          <w:spacing w:val="-1"/>
          <w:sz w:val="18"/>
        </w:rPr>
        <w:t xml:space="preserve"> </w:t>
      </w:r>
      <w:r>
        <w:rPr>
          <w:sz w:val="18"/>
        </w:rPr>
        <w:t>Non-Binary</w:t>
      </w:r>
      <w:r>
        <w:rPr>
          <w:spacing w:val="-2"/>
          <w:sz w:val="18"/>
        </w:rPr>
        <w:t xml:space="preserve"> </w:t>
      </w:r>
      <w:r>
        <w:rPr>
          <w:sz w:val="18"/>
        </w:rPr>
        <w:t>Survivors</w:t>
      </w:r>
      <w:r>
        <w:rPr>
          <w:spacing w:val="-3"/>
          <w:sz w:val="18"/>
        </w:rPr>
        <w:t xml:space="preserve"> </w:t>
      </w:r>
      <w:r>
        <w:rPr>
          <w:sz w:val="18"/>
        </w:rPr>
        <w:t>of</w:t>
      </w:r>
      <w:r>
        <w:rPr>
          <w:spacing w:val="-2"/>
          <w:sz w:val="18"/>
        </w:rPr>
        <w:t xml:space="preserve"> </w:t>
      </w:r>
      <w:r>
        <w:rPr>
          <w:sz w:val="18"/>
        </w:rPr>
        <w:t>Violence</w:t>
      </w:r>
      <w:r>
        <w:rPr>
          <w:spacing w:val="-3"/>
          <w:sz w:val="18"/>
        </w:rPr>
        <w:t xml:space="preserve"> </w:t>
      </w:r>
      <w:r>
        <w:rPr>
          <w:sz w:val="18"/>
        </w:rPr>
        <w:t xml:space="preserve">| </w:t>
      </w:r>
      <w:bookmarkStart w:id="729" w:name="_bookmark566"/>
      <w:bookmarkEnd w:id="729"/>
      <w:r>
        <w:rPr>
          <w:sz w:val="18"/>
        </w:rPr>
        <w:t xml:space="preserve">ACLU,” </w:t>
      </w:r>
      <w:r>
        <w:rPr>
          <w:i/>
          <w:sz w:val="18"/>
        </w:rPr>
        <w:t xml:space="preserve">American Civil Liberties Union </w:t>
      </w:r>
      <w:r>
        <w:rPr>
          <w:sz w:val="18"/>
        </w:rPr>
        <w:t>(blog), January 28, 2019, https://</w:t>
      </w:r>
      <w:hyperlink r:id="rId531">
        <w:r>
          <w:rPr>
            <w:sz w:val="18"/>
          </w:rPr>
          <w:t>www.aclu.org/news/racial-justice/legal-system-has-</w:t>
        </w:r>
      </w:hyperlink>
      <w:r>
        <w:rPr>
          <w:sz w:val="18"/>
        </w:rPr>
        <w:t xml:space="preserve"> </w:t>
      </w:r>
      <w:r>
        <w:rPr>
          <w:spacing w:val="-2"/>
          <w:sz w:val="18"/>
        </w:rPr>
        <w:t>failed-black-girls-women-and-non.</w:t>
      </w:r>
    </w:p>
    <w:p w:rsidR="00200FDA" w:rsidRDefault="00F76C4C">
      <w:pPr>
        <w:spacing w:before="1" w:line="219" w:lineRule="exact"/>
        <w:ind w:left="140"/>
        <w:rPr>
          <w:sz w:val="18"/>
        </w:rPr>
      </w:pPr>
      <w:bookmarkStart w:id="730" w:name="_bookmark567"/>
      <w:bookmarkEnd w:id="730"/>
      <w:r>
        <w:rPr>
          <w:position w:val="5"/>
          <w:sz w:val="12"/>
        </w:rPr>
        <w:t>16</w:t>
      </w:r>
      <w:r>
        <w:rPr>
          <w:spacing w:val="8"/>
          <w:position w:val="5"/>
          <w:sz w:val="12"/>
        </w:rPr>
        <w:t xml:space="preserve"> </w:t>
      </w:r>
      <w:r>
        <w:rPr>
          <w:sz w:val="18"/>
        </w:rPr>
        <w:t>Rafferty,</w:t>
      </w:r>
      <w:r>
        <w:rPr>
          <w:spacing w:val="-2"/>
          <w:sz w:val="18"/>
        </w:rPr>
        <w:t xml:space="preserve"> </w:t>
      </w:r>
      <w:r>
        <w:rPr>
          <w:sz w:val="18"/>
        </w:rPr>
        <w:t>Jason.</w:t>
      </w:r>
      <w:r>
        <w:rPr>
          <w:spacing w:val="-2"/>
          <w:sz w:val="18"/>
        </w:rPr>
        <w:t xml:space="preserve"> </w:t>
      </w:r>
      <w:r>
        <w:rPr>
          <w:sz w:val="18"/>
        </w:rPr>
        <w:t>2022.</w:t>
      </w:r>
      <w:r>
        <w:rPr>
          <w:spacing w:val="-3"/>
          <w:sz w:val="18"/>
        </w:rPr>
        <w:t xml:space="preserve"> </w:t>
      </w:r>
      <w:r>
        <w:rPr>
          <w:sz w:val="18"/>
        </w:rPr>
        <w:t>“</w:t>
      </w:r>
      <w:r>
        <w:rPr>
          <w:color w:val="1154CC"/>
          <w:sz w:val="18"/>
          <w:u w:val="single" w:color="1154CC"/>
        </w:rPr>
        <w:t>Gender</w:t>
      </w:r>
      <w:r>
        <w:rPr>
          <w:color w:val="1154CC"/>
          <w:spacing w:val="-2"/>
          <w:sz w:val="18"/>
          <w:u w:val="single" w:color="1154CC"/>
        </w:rPr>
        <w:t xml:space="preserve"> </w:t>
      </w:r>
      <w:r>
        <w:rPr>
          <w:color w:val="1154CC"/>
          <w:sz w:val="18"/>
          <w:u w:val="single" w:color="1154CC"/>
        </w:rPr>
        <w:t>Identity</w:t>
      </w:r>
      <w:r>
        <w:rPr>
          <w:color w:val="1154CC"/>
          <w:spacing w:val="-3"/>
          <w:sz w:val="18"/>
          <w:u w:val="single" w:color="1154CC"/>
        </w:rPr>
        <w:t xml:space="preserve"> </w:t>
      </w:r>
      <w:r>
        <w:rPr>
          <w:color w:val="1154CC"/>
          <w:sz w:val="18"/>
          <w:u w:val="single" w:color="1154CC"/>
        </w:rPr>
        <w:t>in</w:t>
      </w:r>
      <w:r>
        <w:rPr>
          <w:color w:val="1154CC"/>
          <w:spacing w:val="-2"/>
          <w:sz w:val="18"/>
          <w:u w:val="single" w:color="1154CC"/>
        </w:rPr>
        <w:t xml:space="preserve"> </w:t>
      </w:r>
      <w:r>
        <w:rPr>
          <w:color w:val="1154CC"/>
          <w:sz w:val="18"/>
          <w:u w:val="single" w:color="1154CC"/>
        </w:rPr>
        <w:t>Children.</w:t>
      </w:r>
      <w:r>
        <w:rPr>
          <w:sz w:val="18"/>
        </w:rPr>
        <w:t>”</w:t>
      </w:r>
      <w:r>
        <w:rPr>
          <w:spacing w:val="-3"/>
          <w:sz w:val="18"/>
        </w:rPr>
        <w:t xml:space="preserve"> </w:t>
      </w:r>
      <w:r>
        <w:rPr>
          <w:sz w:val="18"/>
        </w:rPr>
        <w:t>American</w:t>
      </w:r>
      <w:r>
        <w:rPr>
          <w:spacing w:val="-3"/>
          <w:sz w:val="18"/>
        </w:rPr>
        <w:t xml:space="preserve"> </w:t>
      </w:r>
      <w:r>
        <w:rPr>
          <w:sz w:val="18"/>
        </w:rPr>
        <w:t>Academy</w:t>
      </w:r>
      <w:r>
        <w:rPr>
          <w:spacing w:val="-2"/>
          <w:sz w:val="18"/>
        </w:rPr>
        <w:t xml:space="preserve"> </w:t>
      </w:r>
      <w:r>
        <w:rPr>
          <w:sz w:val="18"/>
        </w:rPr>
        <w:t>of</w:t>
      </w:r>
      <w:r>
        <w:rPr>
          <w:spacing w:val="-2"/>
          <w:sz w:val="18"/>
        </w:rPr>
        <w:t xml:space="preserve"> Pediatrics.</w:t>
      </w:r>
    </w:p>
    <w:p w:rsidR="00200FDA" w:rsidRDefault="00F76C4C">
      <w:pPr>
        <w:ind w:left="140" w:hanging="1"/>
        <w:rPr>
          <w:sz w:val="18"/>
        </w:rPr>
      </w:pPr>
      <w:r>
        <w:rPr>
          <w:position w:val="5"/>
          <w:sz w:val="12"/>
        </w:rPr>
        <w:t>17</w:t>
      </w:r>
      <w:r>
        <w:rPr>
          <w:spacing w:val="9"/>
          <w:position w:val="5"/>
          <w:sz w:val="12"/>
        </w:rPr>
        <w:t xml:space="preserve"> </w:t>
      </w:r>
      <w:r>
        <w:rPr>
          <w:sz w:val="18"/>
        </w:rPr>
        <w:t>National</w:t>
      </w:r>
      <w:r>
        <w:rPr>
          <w:spacing w:val="-4"/>
          <w:sz w:val="18"/>
        </w:rPr>
        <w:t xml:space="preserve"> </w:t>
      </w:r>
      <w:r>
        <w:rPr>
          <w:sz w:val="18"/>
        </w:rPr>
        <w:t>Center</w:t>
      </w:r>
      <w:r>
        <w:rPr>
          <w:spacing w:val="-4"/>
          <w:sz w:val="18"/>
        </w:rPr>
        <w:t xml:space="preserve"> </w:t>
      </w:r>
      <w:r>
        <w:rPr>
          <w:sz w:val="18"/>
        </w:rPr>
        <w:t>for</w:t>
      </w:r>
      <w:r>
        <w:rPr>
          <w:spacing w:val="-4"/>
          <w:sz w:val="18"/>
        </w:rPr>
        <w:t xml:space="preserve"> </w:t>
      </w:r>
      <w:r>
        <w:rPr>
          <w:sz w:val="18"/>
        </w:rPr>
        <w:t>Transgender</w:t>
      </w:r>
      <w:r>
        <w:rPr>
          <w:spacing w:val="-1"/>
          <w:sz w:val="18"/>
        </w:rPr>
        <w:t xml:space="preserve"> </w:t>
      </w:r>
      <w:r>
        <w:rPr>
          <w:sz w:val="18"/>
        </w:rPr>
        <w:t>Equality.</w:t>
      </w:r>
      <w:r>
        <w:rPr>
          <w:spacing w:val="-3"/>
          <w:sz w:val="18"/>
        </w:rPr>
        <w:t xml:space="preserve"> </w:t>
      </w:r>
      <w:r>
        <w:rPr>
          <w:sz w:val="18"/>
        </w:rPr>
        <w:t>2017.</w:t>
      </w:r>
      <w:r>
        <w:rPr>
          <w:spacing w:val="-3"/>
          <w:sz w:val="18"/>
        </w:rPr>
        <w:t xml:space="preserve"> </w:t>
      </w:r>
      <w:r>
        <w:rPr>
          <w:sz w:val="18"/>
        </w:rPr>
        <w:t>“2015</w:t>
      </w:r>
      <w:r>
        <w:rPr>
          <w:spacing w:val="-3"/>
          <w:sz w:val="18"/>
        </w:rPr>
        <w:t xml:space="preserve"> </w:t>
      </w:r>
      <w:r>
        <w:rPr>
          <w:sz w:val="18"/>
        </w:rPr>
        <w:t>U.S.</w:t>
      </w:r>
      <w:r>
        <w:rPr>
          <w:spacing w:val="-3"/>
          <w:sz w:val="18"/>
        </w:rPr>
        <w:t xml:space="preserve"> </w:t>
      </w:r>
      <w:r>
        <w:rPr>
          <w:sz w:val="18"/>
        </w:rPr>
        <w:t>Transgender</w:t>
      </w:r>
      <w:r>
        <w:rPr>
          <w:spacing w:val="-4"/>
          <w:sz w:val="18"/>
        </w:rPr>
        <w:t xml:space="preserve"> </w:t>
      </w:r>
      <w:r>
        <w:rPr>
          <w:sz w:val="18"/>
        </w:rPr>
        <w:t>Survey:</w:t>
      </w:r>
      <w:r>
        <w:rPr>
          <w:spacing w:val="-3"/>
          <w:sz w:val="18"/>
        </w:rPr>
        <w:t xml:space="preserve"> </w:t>
      </w:r>
      <w:r>
        <w:rPr>
          <w:sz w:val="18"/>
        </w:rPr>
        <w:t>Massachusetts</w:t>
      </w:r>
      <w:r>
        <w:rPr>
          <w:spacing w:val="-2"/>
          <w:sz w:val="18"/>
        </w:rPr>
        <w:t xml:space="preserve"> </w:t>
      </w:r>
      <w:r>
        <w:rPr>
          <w:sz w:val="18"/>
        </w:rPr>
        <w:t>State</w:t>
      </w:r>
      <w:r>
        <w:rPr>
          <w:spacing w:val="-4"/>
          <w:sz w:val="18"/>
        </w:rPr>
        <w:t xml:space="preserve"> </w:t>
      </w:r>
      <w:r>
        <w:rPr>
          <w:sz w:val="18"/>
        </w:rPr>
        <w:t xml:space="preserve">Report.” </w:t>
      </w:r>
      <w:hyperlink r:id="rId532">
        <w:r>
          <w:rPr>
            <w:color w:val="0000FF"/>
            <w:spacing w:val="-2"/>
            <w:sz w:val="18"/>
            <w:u w:val="single" w:color="0000FF"/>
          </w:rPr>
          <w:t>https://transequality.org/sites/default/files</w:t>
        </w:r>
        <w:r>
          <w:rPr>
            <w:color w:val="0000FF"/>
            <w:spacing w:val="-2"/>
            <w:sz w:val="18"/>
            <w:u w:val="single" w:color="0000FF"/>
          </w:rPr>
          <w:t>/docs/usts/USTSMAStateReport(1017).pdf</w:t>
        </w:r>
      </w:hyperlink>
    </w:p>
    <w:p w:rsidR="00200FDA" w:rsidRDefault="00F76C4C">
      <w:pPr>
        <w:ind w:left="140" w:right="386" w:hanging="1"/>
        <w:rPr>
          <w:sz w:val="18"/>
        </w:rPr>
      </w:pPr>
      <w:bookmarkStart w:id="731" w:name="_bookmark568"/>
      <w:bookmarkEnd w:id="731"/>
      <w:r>
        <w:rPr>
          <w:position w:val="5"/>
          <w:sz w:val="12"/>
        </w:rPr>
        <w:t>18</w:t>
      </w:r>
      <w:r>
        <w:rPr>
          <w:spacing w:val="9"/>
          <w:position w:val="5"/>
          <w:sz w:val="12"/>
        </w:rPr>
        <w:t xml:space="preserve"> </w:t>
      </w:r>
      <w:r>
        <w:rPr>
          <w:sz w:val="18"/>
        </w:rPr>
        <w:t>“Student</w:t>
      </w:r>
      <w:r>
        <w:rPr>
          <w:spacing w:val="-4"/>
          <w:sz w:val="18"/>
        </w:rPr>
        <w:t xml:space="preserve"> </w:t>
      </w:r>
      <w:r>
        <w:rPr>
          <w:sz w:val="18"/>
        </w:rPr>
        <w:t>and</w:t>
      </w:r>
      <w:r>
        <w:rPr>
          <w:spacing w:val="-2"/>
          <w:sz w:val="18"/>
        </w:rPr>
        <w:t xml:space="preserve"> </w:t>
      </w:r>
      <w:r>
        <w:rPr>
          <w:sz w:val="18"/>
        </w:rPr>
        <w:t>Family</w:t>
      </w:r>
      <w:r>
        <w:rPr>
          <w:spacing w:val="-3"/>
          <w:sz w:val="18"/>
        </w:rPr>
        <w:t xml:space="preserve"> </w:t>
      </w:r>
      <w:r>
        <w:rPr>
          <w:sz w:val="18"/>
        </w:rPr>
        <w:t>Support</w:t>
      </w:r>
      <w:r>
        <w:rPr>
          <w:spacing w:val="-4"/>
          <w:sz w:val="18"/>
        </w:rPr>
        <w:t xml:space="preserve"> </w:t>
      </w:r>
      <w:r>
        <w:rPr>
          <w:sz w:val="18"/>
        </w:rPr>
        <w:t>(SFS)</w:t>
      </w:r>
      <w:r>
        <w:rPr>
          <w:spacing w:val="-3"/>
          <w:sz w:val="18"/>
        </w:rPr>
        <w:t xml:space="preserve"> </w:t>
      </w:r>
      <w:r>
        <w:rPr>
          <w:sz w:val="18"/>
        </w:rPr>
        <w:t>-</w:t>
      </w:r>
      <w:r>
        <w:rPr>
          <w:spacing w:val="-3"/>
          <w:sz w:val="18"/>
        </w:rPr>
        <w:t xml:space="preserve"> </w:t>
      </w:r>
      <w:r>
        <w:rPr>
          <w:sz w:val="18"/>
        </w:rPr>
        <w:t>Massachusetts</w:t>
      </w:r>
      <w:r>
        <w:rPr>
          <w:spacing w:val="-4"/>
          <w:sz w:val="18"/>
        </w:rPr>
        <w:t xml:space="preserve"> </w:t>
      </w:r>
      <w:r>
        <w:rPr>
          <w:sz w:val="18"/>
        </w:rPr>
        <w:t>Department</w:t>
      </w:r>
      <w:r>
        <w:rPr>
          <w:spacing w:val="-4"/>
          <w:sz w:val="18"/>
        </w:rPr>
        <w:t xml:space="preserve"> </w:t>
      </w:r>
      <w:r>
        <w:rPr>
          <w:sz w:val="18"/>
        </w:rPr>
        <w:t>of</w:t>
      </w:r>
      <w:r>
        <w:rPr>
          <w:spacing w:val="-3"/>
          <w:sz w:val="18"/>
        </w:rPr>
        <w:t xml:space="preserve"> </w:t>
      </w:r>
      <w:r>
        <w:rPr>
          <w:sz w:val="18"/>
        </w:rPr>
        <w:t>Elementary</w:t>
      </w:r>
      <w:r>
        <w:rPr>
          <w:spacing w:val="-3"/>
          <w:sz w:val="18"/>
        </w:rPr>
        <w:t xml:space="preserve"> </w:t>
      </w:r>
      <w:r>
        <w:rPr>
          <w:sz w:val="18"/>
        </w:rPr>
        <w:t>and</w:t>
      </w:r>
      <w:r>
        <w:rPr>
          <w:spacing w:val="-2"/>
          <w:sz w:val="18"/>
        </w:rPr>
        <w:t xml:space="preserve"> </w:t>
      </w:r>
      <w:r>
        <w:rPr>
          <w:sz w:val="18"/>
        </w:rPr>
        <w:t>Secondary</w:t>
      </w:r>
      <w:r>
        <w:rPr>
          <w:spacing w:val="-3"/>
          <w:sz w:val="18"/>
        </w:rPr>
        <w:t xml:space="preserve"> </w:t>
      </w:r>
      <w:r>
        <w:rPr>
          <w:sz w:val="18"/>
        </w:rPr>
        <w:t>Education,”</w:t>
      </w:r>
      <w:r>
        <w:rPr>
          <w:spacing w:val="-4"/>
          <w:sz w:val="18"/>
        </w:rPr>
        <w:t xml:space="preserve"> </w:t>
      </w:r>
      <w:r>
        <w:rPr>
          <w:sz w:val="18"/>
        </w:rPr>
        <w:t>accessed</w:t>
      </w:r>
      <w:r>
        <w:rPr>
          <w:spacing w:val="-4"/>
          <w:sz w:val="18"/>
        </w:rPr>
        <w:t xml:space="preserve"> </w:t>
      </w:r>
      <w:r>
        <w:rPr>
          <w:sz w:val="18"/>
        </w:rPr>
        <w:t>March 12, 2023, https://</w:t>
      </w:r>
      <w:hyperlink r:id="rId533">
        <w:r>
          <w:rPr>
            <w:sz w:val="18"/>
          </w:rPr>
          <w:t>www.doe.mass.edu/sfs/?section=family.</w:t>
        </w:r>
      </w:hyperlink>
    </w:p>
    <w:p w:rsidR="00200FDA" w:rsidRDefault="00F76C4C">
      <w:pPr>
        <w:ind w:left="139"/>
        <w:rPr>
          <w:sz w:val="18"/>
        </w:rPr>
      </w:pPr>
      <w:r>
        <w:rPr>
          <w:position w:val="5"/>
          <w:sz w:val="12"/>
        </w:rPr>
        <w:t>19</w:t>
      </w:r>
      <w:r>
        <w:rPr>
          <w:spacing w:val="10"/>
          <w:position w:val="5"/>
          <w:sz w:val="12"/>
        </w:rPr>
        <w:t xml:space="preserve"> </w:t>
      </w:r>
      <w:r>
        <w:rPr>
          <w:sz w:val="18"/>
        </w:rPr>
        <w:t>“Movement</w:t>
      </w:r>
      <w:r>
        <w:rPr>
          <w:spacing w:val="-3"/>
          <w:sz w:val="18"/>
        </w:rPr>
        <w:t xml:space="preserve"> </w:t>
      </w:r>
      <w:r>
        <w:rPr>
          <w:sz w:val="18"/>
        </w:rPr>
        <w:t>Advancement</w:t>
      </w:r>
      <w:r>
        <w:rPr>
          <w:spacing w:val="-3"/>
          <w:sz w:val="18"/>
        </w:rPr>
        <w:t xml:space="preserve"> </w:t>
      </w:r>
      <w:r>
        <w:rPr>
          <w:sz w:val="18"/>
        </w:rPr>
        <w:t>Project</w:t>
      </w:r>
      <w:r>
        <w:rPr>
          <w:spacing w:val="-3"/>
          <w:sz w:val="18"/>
        </w:rPr>
        <w:t xml:space="preserve"> </w:t>
      </w:r>
      <w:r>
        <w:rPr>
          <w:sz w:val="18"/>
        </w:rPr>
        <w:t>|</w:t>
      </w:r>
      <w:r>
        <w:rPr>
          <w:spacing w:val="-1"/>
          <w:sz w:val="18"/>
        </w:rPr>
        <w:t xml:space="preserve"> </w:t>
      </w:r>
      <w:r>
        <w:rPr>
          <w:sz w:val="18"/>
        </w:rPr>
        <w:t>LGBTQ</w:t>
      </w:r>
      <w:r>
        <w:rPr>
          <w:spacing w:val="-3"/>
          <w:sz w:val="18"/>
        </w:rPr>
        <w:t xml:space="preserve"> </w:t>
      </w:r>
      <w:r>
        <w:rPr>
          <w:sz w:val="18"/>
        </w:rPr>
        <w:t>Policy</w:t>
      </w:r>
      <w:r>
        <w:rPr>
          <w:spacing w:val="-2"/>
          <w:sz w:val="18"/>
        </w:rPr>
        <w:t xml:space="preserve"> </w:t>
      </w:r>
      <w:r>
        <w:rPr>
          <w:sz w:val="18"/>
        </w:rPr>
        <w:t>Spotlight:</w:t>
      </w:r>
      <w:r>
        <w:rPr>
          <w:spacing w:val="-2"/>
          <w:sz w:val="18"/>
        </w:rPr>
        <w:t xml:space="preserve"> </w:t>
      </w:r>
      <w:r>
        <w:rPr>
          <w:sz w:val="18"/>
        </w:rPr>
        <w:t>Efforts</w:t>
      </w:r>
      <w:r>
        <w:rPr>
          <w:spacing w:val="-3"/>
          <w:sz w:val="18"/>
        </w:rPr>
        <w:t xml:space="preserve"> </w:t>
      </w:r>
      <w:r>
        <w:rPr>
          <w:sz w:val="18"/>
        </w:rPr>
        <w:t>to</w:t>
      </w:r>
      <w:r>
        <w:rPr>
          <w:spacing w:val="-1"/>
          <w:sz w:val="18"/>
        </w:rPr>
        <w:t xml:space="preserve"> </w:t>
      </w:r>
      <w:r>
        <w:rPr>
          <w:sz w:val="18"/>
        </w:rPr>
        <w:t>Ban</w:t>
      </w:r>
      <w:r>
        <w:rPr>
          <w:spacing w:val="-3"/>
          <w:sz w:val="18"/>
        </w:rPr>
        <w:t xml:space="preserve"> </w:t>
      </w:r>
      <w:r>
        <w:rPr>
          <w:sz w:val="18"/>
        </w:rPr>
        <w:t>Health</w:t>
      </w:r>
      <w:r>
        <w:rPr>
          <w:spacing w:val="-3"/>
          <w:sz w:val="18"/>
        </w:rPr>
        <w:t xml:space="preserve"> </w:t>
      </w:r>
      <w:r>
        <w:rPr>
          <w:sz w:val="18"/>
        </w:rPr>
        <w:t>Care</w:t>
      </w:r>
      <w:r>
        <w:rPr>
          <w:spacing w:val="-3"/>
          <w:sz w:val="18"/>
        </w:rPr>
        <w:t xml:space="preserve"> </w:t>
      </w:r>
      <w:r>
        <w:rPr>
          <w:sz w:val="18"/>
        </w:rPr>
        <w:t>for</w:t>
      </w:r>
      <w:r>
        <w:rPr>
          <w:spacing w:val="-3"/>
          <w:sz w:val="18"/>
        </w:rPr>
        <w:t xml:space="preserve"> </w:t>
      </w:r>
      <w:r>
        <w:rPr>
          <w:sz w:val="18"/>
        </w:rPr>
        <w:t>Transgender</w:t>
      </w:r>
      <w:r>
        <w:rPr>
          <w:spacing w:val="-3"/>
          <w:sz w:val="18"/>
        </w:rPr>
        <w:t xml:space="preserve"> </w:t>
      </w:r>
      <w:r>
        <w:rPr>
          <w:sz w:val="18"/>
        </w:rPr>
        <w:t>Youth</w:t>
      </w:r>
      <w:r>
        <w:rPr>
          <w:spacing w:val="-3"/>
          <w:sz w:val="18"/>
        </w:rPr>
        <w:t xml:space="preserve"> </w:t>
      </w:r>
      <w:r>
        <w:rPr>
          <w:sz w:val="18"/>
        </w:rPr>
        <w:t xml:space="preserve">Infographics,” </w:t>
      </w:r>
      <w:bookmarkStart w:id="732" w:name="_bookmark569"/>
      <w:bookmarkEnd w:id="732"/>
      <w:r>
        <w:rPr>
          <w:sz w:val="18"/>
        </w:rPr>
        <w:t>accessed April 24, 2023, https://</w:t>
      </w:r>
      <w:hyperlink r:id="rId534">
        <w:r>
          <w:rPr>
            <w:sz w:val="18"/>
          </w:rPr>
          <w:t>www.lgbtmap.org/2021-spotlight-health-care-bans-infographics.</w:t>
        </w:r>
      </w:hyperlink>
    </w:p>
    <w:p w:rsidR="00200FDA" w:rsidRDefault="00F76C4C">
      <w:pPr>
        <w:ind w:left="139" w:right="179"/>
        <w:rPr>
          <w:sz w:val="18"/>
        </w:rPr>
      </w:pPr>
      <w:r>
        <w:pict>
          <v:rect id="docshape357" o:spid="_x0000_s1237" style="position:absolute;left:0;text-align:left;margin-left:344.9pt;margin-top:20.55pt;width:2.3pt;height:.6pt;z-index:15791104;mso-position-horizontal-relative:page" fillcolor="#1154cc" stroked="f">
            <w10:wrap anchorx="page"/>
          </v:rect>
        </w:pict>
      </w:r>
      <w:r>
        <w:rPr>
          <w:position w:val="5"/>
          <w:sz w:val="12"/>
        </w:rPr>
        <w:t>20</w:t>
      </w:r>
      <w:r>
        <w:rPr>
          <w:spacing w:val="10"/>
          <w:position w:val="5"/>
          <w:sz w:val="12"/>
        </w:rPr>
        <w:t xml:space="preserve"> </w:t>
      </w:r>
      <w:r>
        <w:rPr>
          <w:sz w:val="18"/>
        </w:rPr>
        <w:t>Turban,</w:t>
      </w:r>
      <w:r>
        <w:rPr>
          <w:spacing w:val="-2"/>
          <w:sz w:val="18"/>
        </w:rPr>
        <w:t xml:space="preserve"> </w:t>
      </w:r>
      <w:r>
        <w:rPr>
          <w:sz w:val="18"/>
        </w:rPr>
        <w:t>Jack.</w:t>
      </w:r>
      <w:r>
        <w:rPr>
          <w:spacing w:val="-2"/>
          <w:sz w:val="18"/>
        </w:rPr>
        <w:t xml:space="preserve"> </w:t>
      </w:r>
      <w:r>
        <w:rPr>
          <w:sz w:val="18"/>
        </w:rPr>
        <w:t>February</w:t>
      </w:r>
      <w:r>
        <w:rPr>
          <w:spacing w:val="-2"/>
          <w:sz w:val="18"/>
        </w:rPr>
        <w:t xml:space="preserve"> </w:t>
      </w:r>
      <w:r>
        <w:rPr>
          <w:sz w:val="18"/>
        </w:rPr>
        <w:t>2020.</w:t>
      </w:r>
      <w:r>
        <w:rPr>
          <w:spacing w:val="-2"/>
          <w:sz w:val="18"/>
        </w:rPr>
        <w:t xml:space="preserve"> </w:t>
      </w:r>
      <w:r>
        <w:rPr>
          <w:sz w:val="18"/>
        </w:rPr>
        <w:t>“Pubertal Suppression</w:t>
      </w:r>
      <w:r>
        <w:rPr>
          <w:spacing w:val="-3"/>
          <w:sz w:val="18"/>
        </w:rPr>
        <w:t xml:space="preserve"> </w:t>
      </w:r>
      <w:r>
        <w:rPr>
          <w:sz w:val="18"/>
        </w:rPr>
        <w:t>for</w:t>
      </w:r>
      <w:r>
        <w:rPr>
          <w:spacing w:val="-3"/>
          <w:sz w:val="18"/>
        </w:rPr>
        <w:t xml:space="preserve"> </w:t>
      </w:r>
      <w:r>
        <w:rPr>
          <w:sz w:val="18"/>
        </w:rPr>
        <w:t>Transgender</w:t>
      </w:r>
      <w:r>
        <w:rPr>
          <w:spacing w:val="-3"/>
          <w:sz w:val="18"/>
        </w:rPr>
        <w:t xml:space="preserve"> </w:t>
      </w:r>
      <w:r>
        <w:rPr>
          <w:sz w:val="18"/>
        </w:rPr>
        <w:t>Youth</w:t>
      </w:r>
      <w:r>
        <w:rPr>
          <w:spacing w:val="-3"/>
          <w:sz w:val="18"/>
        </w:rPr>
        <w:t xml:space="preserve"> </w:t>
      </w:r>
      <w:r>
        <w:rPr>
          <w:sz w:val="18"/>
        </w:rPr>
        <w:t>and</w:t>
      </w:r>
      <w:r>
        <w:rPr>
          <w:spacing w:val="-3"/>
          <w:sz w:val="18"/>
        </w:rPr>
        <w:t xml:space="preserve"> </w:t>
      </w:r>
      <w:r>
        <w:rPr>
          <w:sz w:val="18"/>
        </w:rPr>
        <w:t>Risk</w:t>
      </w:r>
      <w:r>
        <w:rPr>
          <w:spacing w:val="-3"/>
          <w:sz w:val="18"/>
        </w:rPr>
        <w:t xml:space="preserve"> </w:t>
      </w:r>
      <w:r>
        <w:rPr>
          <w:sz w:val="18"/>
        </w:rPr>
        <w:t>of</w:t>
      </w:r>
      <w:r>
        <w:rPr>
          <w:spacing w:val="-2"/>
          <w:sz w:val="18"/>
        </w:rPr>
        <w:t xml:space="preserve"> </w:t>
      </w:r>
      <w:r>
        <w:rPr>
          <w:sz w:val="18"/>
        </w:rPr>
        <w:t>Suicidal</w:t>
      </w:r>
      <w:r>
        <w:rPr>
          <w:spacing w:val="-3"/>
          <w:sz w:val="18"/>
        </w:rPr>
        <w:t xml:space="preserve"> </w:t>
      </w:r>
      <w:r>
        <w:rPr>
          <w:sz w:val="18"/>
        </w:rPr>
        <w:t>Ideation.”</w:t>
      </w:r>
      <w:r>
        <w:rPr>
          <w:spacing w:val="-3"/>
          <w:sz w:val="18"/>
        </w:rPr>
        <w:t xml:space="preserve"> </w:t>
      </w:r>
      <w:r>
        <w:rPr>
          <w:i/>
          <w:sz w:val="18"/>
        </w:rPr>
        <w:t>Pediatrics</w:t>
      </w:r>
      <w:r>
        <w:rPr>
          <w:sz w:val="18"/>
        </w:rPr>
        <w:t>.</w:t>
      </w:r>
      <w:r>
        <w:rPr>
          <w:spacing w:val="-2"/>
          <w:sz w:val="18"/>
        </w:rPr>
        <w:t xml:space="preserve"> </w:t>
      </w:r>
      <w:r>
        <w:rPr>
          <w:sz w:val="18"/>
        </w:rPr>
        <w:t xml:space="preserve">Volume 145, Volume 2. </w:t>
      </w:r>
      <w:hyperlink r:id="rId535">
        <w:r>
          <w:rPr>
            <w:color w:val="0000FF"/>
            <w:sz w:val="18"/>
            <w:u w:val="single" w:color="0000FF"/>
          </w:rPr>
          <w:t>https://www.ncbi.nlm.nih.gov/pmc/articles/PMC7073269/</w:t>
        </w:r>
        <w:r>
          <w:rPr>
            <w:color w:val="1154CC"/>
            <w:sz w:val="18"/>
          </w:rPr>
          <w:t>.</w:t>
        </w:r>
      </w:hyperlink>
    </w:p>
    <w:p w:rsidR="00200FDA" w:rsidRDefault="00F76C4C">
      <w:pPr>
        <w:ind w:left="140" w:right="235" w:hanging="1"/>
        <w:rPr>
          <w:sz w:val="18"/>
        </w:rPr>
      </w:pPr>
      <w:bookmarkStart w:id="733" w:name="_bookmark570"/>
      <w:bookmarkEnd w:id="733"/>
      <w:r>
        <w:rPr>
          <w:position w:val="5"/>
          <w:sz w:val="12"/>
        </w:rPr>
        <w:t>21</w:t>
      </w:r>
      <w:r>
        <w:rPr>
          <w:spacing w:val="19"/>
          <w:position w:val="5"/>
          <w:sz w:val="12"/>
        </w:rPr>
        <w:t xml:space="preserve"> </w:t>
      </w:r>
      <w:r>
        <w:rPr>
          <w:sz w:val="18"/>
        </w:rPr>
        <w:t>van der Loos, Maria Anna Theodora Catharina, et al. October 20, 2022. “Continuation of gender-affirming hormones in transgender</w:t>
      </w:r>
      <w:r>
        <w:rPr>
          <w:spacing w:val="-3"/>
          <w:sz w:val="18"/>
        </w:rPr>
        <w:t xml:space="preserve"> </w:t>
      </w:r>
      <w:r>
        <w:rPr>
          <w:sz w:val="18"/>
        </w:rPr>
        <w:t>people</w:t>
      </w:r>
      <w:r>
        <w:rPr>
          <w:spacing w:val="-3"/>
          <w:sz w:val="18"/>
        </w:rPr>
        <w:t xml:space="preserve"> </w:t>
      </w:r>
      <w:r>
        <w:rPr>
          <w:sz w:val="18"/>
        </w:rPr>
        <w:t>starting</w:t>
      </w:r>
      <w:r>
        <w:rPr>
          <w:spacing w:val="-3"/>
          <w:sz w:val="18"/>
        </w:rPr>
        <w:t xml:space="preserve"> </w:t>
      </w:r>
      <w:r>
        <w:rPr>
          <w:sz w:val="18"/>
        </w:rPr>
        <w:t>puberty</w:t>
      </w:r>
      <w:r>
        <w:rPr>
          <w:spacing w:val="-2"/>
          <w:sz w:val="18"/>
        </w:rPr>
        <w:t xml:space="preserve"> </w:t>
      </w:r>
      <w:r>
        <w:rPr>
          <w:sz w:val="18"/>
        </w:rPr>
        <w:t>suppression</w:t>
      </w:r>
      <w:r>
        <w:rPr>
          <w:spacing w:val="-3"/>
          <w:sz w:val="18"/>
        </w:rPr>
        <w:t xml:space="preserve"> </w:t>
      </w:r>
      <w:r>
        <w:rPr>
          <w:sz w:val="18"/>
        </w:rPr>
        <w:t>in</w:t>
      </w:r>
      <w:r>
        <w:rPr>
          <w:spacing w:val="-3"/>
          <w:sz w:val="18"/>
        </w:rPr>
        <w:t xml:space="preserve"> </w:t>
      </w:r>
      <w:r>
        <w:rPr>
          <w:sz w:val="18"/>
        </w:rPr>
        <w:t>adolescence:</w:t>
      </w:r>
      <w:r>
        <w:rPr>
          <w:spacing w:val="-2"/>
          <w:sz w:val="18"/>
        </w:rPr>
        <w:t xml:space="preserve"> </w:t>
      </w:r>
      <w:r>
        <w:rPr>
          <w:sz w:val="18"/>
        </w:rPr>
        <w:t>a cohort</w:t>
      </w:r>
      <w:r>
        <w:rPr>
          <w:spacing w:val="-3"/>
          <w:sz w:val="18"/>
        </w:rPr>
        <w:t xml:space="preserve"> </w:t>
      </w:r>
      <w:r>
        <w:rPr>
          <w:sz w:val="18"/>
        </w:rPr>
        <w:t>study</w:t>
      </w:r>
      <w:r>
        <w:rPr>
          <w:spacing w:val="-2"/>
          <w:sz w:val="18"/>
        </w:rPr>
        <w:t xml:space="preserve"> </w:t>
      </w:r>
      <w:r>
        <w:rPr>
          <w:sz w:val="18"/>
        </w:rPr>
        <w:t>in</w:t>
      </w:r>
      <w:r>
        <w:rPr>
          <w:spacing w:val="-3"/>
          <w:sz w:val="18"/>
        </w:rPr>
        <w:t xml:space="preserve"> </w:t>
      </w:r>
      <w:r>
        <w:rPr>
          <w:sz w:val="18"/>
        </w:rPr>
        <w:t>the</w:t>
      </w:r>
      <w:r>
        <w:rPr>
          <w:spacing w:val="-3"/>
          <w:sz w:val="18"/>
        </w:rPr>
        <w:t xml:space="preserve"> </w:t>
      </w:r>
      <w:r>
        <w:rPr>
          <w:sz w:val="18"/>
        </w:rPr>
        <w:t>Netherlands.”</w:t>
      </w:r>
      <w:r>
        <w:rPr>
          <w:spacing w:val="-3"/>
          <w:sz w:val="18"/>
        </w:rPr>
        <w:t xml:space="preserve"> </w:t>
      </w:r>
      <w:r>
        <w:rPr>
          <w:i/>
          <w:sz w:val="18"/>
        </w:rPr>
        <w:t>The</w:t>
      </w:r>
      <w:r>
        <w:rPr>
          <w:i/>
          <w:spacing w:val="-2"/>
          <w:sz w:val="18"/>
        </w:rPr>
        <w:t xml:space="preserve"> </w:t>
      </w:r>
      <w:r>
        <w:rPr>
          <w:i/>
          <w:sz w:val="18"/>
        </w:rPr>
        <w:t>Lancet</w:t>
      </w:r>
      <w:r>
        <w:rPr>
          <w:sz w:val="18"/>
        </w:rPr>
        <w:t>.</w:t>
      </w:r>
      <w:r>
        <w:rPr>
          <w:spacing w:val="-5"/>
          <w:sz w:val="18"/>
        </w:rPr>
        <w:t xml:space="preserve"> </w:t>
      </w:r>
      <w:r>
        <w:rPr>
          <w:sz w:val="18"/>
        </w:rPr>
        <w:t>Volume</w:t>
      </w:r>
      <w:r>
        <w:rPr>
          <w:spacing w:val="-3"/>
          <w:sz w:val="18"/>
        </w:rPr>
        <w:t xml:space="preserve"> </w:t>
      </w:r>
      <w:r>
        <w:rPr>
          <w:sz w:val="18"/>
        </w:rPr>
        <w:t>6, Issue 12: pp. 869-</w:t>
      </w:r>
      <w:r>
        <w:rPr>
          <w:sz w:val="18"/>
        </w:rPr>
        <w:t xml:space="preserve">875. </w:t>
      </w:r>
      <w:hyperlink r:id="rId536">
        <w:r>
          <w:rPr>
            <w:color w:val="0000FF"/>
            <w:sz w:val="18"/>
            <w:u w:val="single" w:color="0000FF"/>
          </w:rPr>
          <w:t>https://doi.org/10.1016/S2352-4642(22)00254-1</w:t>
        </w:r>
        <w:r>
          <w:rPr>
            <w:sz w:val="18"/>
          </w:rPr>
          <w:t>.</w:t>
        </w:r>
      </w:hyperlink>
    </w:p>
    <w:p w:rsidR="00200FDA" w:rsidRDefault="00F76C4C">
      <w:pPr>
        <w:ind w:left="140" w:hanging="1"/>
        <w:rPr>
          <w:sz w:val="18"/>
        </w:rPr>
      </w:pPr>
      <w:bookmarkStart w:id="734" w:name="_bookmark571"/>
      <w:bookmarkEnd w:id="734"/>
      <w:r>
        <w:rPr>
          <w:position w:val="5"/>
          <w:sz w:val="12"/>
        </w:rPr>
        <w:t>22</w:t>
      </w:r>
      <w:r>
        <w:rPr>
          <w:spacing w:val="9"/>
          <w:position w:val="5"/>
          <w:sz w:val="12"/>
        </w:rPr>
        <w:t xml:space="preserve"> </w:t>
      </w:r>
      <w:r>
        <w:rPr>
          <w:sz w:val="18"/>
        </w:rPr>
        <w:t>“Genital</w:t>
      </w:r>
      <w:r>
        <w:rPr>
          <w:spacing w:val="-4"/>
          <w:sz w:val="18"/>
        </w:rPr>
        <w:t xml:space="preserve"> </w:t>
      </w:r>
      <w:r>
        <w:rPr>
          <w:sz w:val="18"/>
        </w:rPr>
        <w:t>Surgeries</w:t>
      </w:r>
      <w:r>
        <w:rPr>
          <w:spacing w:val="-3"/>
          <w:sz w:val="18"/>
        </w:rPr>
        <w:t xml:space="preserve"> </w:t>
      </w:r>
      <w:r>
        <w:rPr>
          <w:sz w:val="18"/>
        </w:rPr>
        <w:t>in</w:t>
      </w:r>
      <w:r>
        <w:rPr>
          <w:spacing w:val="-4"/>
          <w:sz w:val="18"/>
        </w:rPr>
        <w:t xml:space="preserve"> </w:t>
      </w:r>
      <w:r>
        <w:rPr>
          <w:sz w:val="18"/>
        </w:rPr>
        <w:t>Intersex</w:t>
      </w:r>
      <w:r>
        <w:rPr>
          <w:spacing w:val="-4"/>
          <w:sz w:val="18"/>
        </w:rPr>
        <w:t xml:space="preserve"> </w:t>
      </w:r>
      <w:r>
        <w:rPr>
          <w:sz w:val="18"/>
        </w:rPr>
        <w:t>Children</w:t>
      </w:r>
      <w:r>
        <w:rPr>
          <w:spacing w:val="-4"/>
          <w:sz w:val="18"/>
        </w:rPr>
        <w:t xml:space="preserve"> </w:t>
      </w:r>
      <w:r>
        <w:rPr>
          <w:sz w:val="18"/>
        </w:rPr>
        <w:t>|</w:t>
      </w:r>
      <w:r>
        <w:rPr>
          <w:spacing w:val="-3"/>
          <w:sz w:val="18"/>
        </w:rPr>
        <w:t xml:space="preserve"> </w:t>
      </w:r>
      <w:r>
        <w:rPr>
          <w:sz w:val="18"/>
        </w:rPr>
        <w:t>AAFP,”</w:t>
      </w:r>
      <w:r>
        <w:rPr>
          <w:spacing w:val="-4"/>
          <w:sz w:val="18"/>
        </w:rPr>
        <w:t xml:space="preserve"> </w:t>
      </w:r>
      <w:r>
        <w:rPr>
          <w:sz w:val="18"/>
        </w:rPr>
        <w:t>accessed</w:t>
      </w:r>
      <w:r>
        <w:rPr>
          <w:spacing w:val="-4"/>
          <w:sz w:val="18"/>
        </w:rPr>
        <w:t xml:space="preserve"> </w:t>
      </w:r>
      <w:r>
        <w:rPr>
          <w:sz w:val="18"/>
        </w:rPr>
        <w:t>March</w:t>
      </w:r>
      <w:r>
        <w:rPr>
          <w:spacing w:val="-4"/>
          <w:sz w:val="18"/>
        </w:rPr>
        <w:t xml:space="preserve"> </w:t>
      </w:r>
      <w:r>
        <w:rPr>
          <w:sz w:val="18"/>
        </w:rPr>
        <w:t>2,</w:t>
      </w:r>
      <w:r>
        <w:rPr>
          <w:spacing w:val="-1"/>
          <w:sz w:val="18"/>
        </w:rPr>
        <w:t xml:space="preserve"> </w:t>
      </w:r>
      <w:r>
        <w:rPr>
          <w:sz w:val="18"/>
        </w:rPr>
        <w:t>2023,</w:t>
      </w:r>
      <w:r>
        <w:rPr>
          <w:spacing w:val="-4"/>
          <w:sz w:val="18"/>
        </w:rPr>
        <w:t xml:space="preserve"> </w:t>
      </w:r>
      <w:r>
        <w:rPr>
          <w:sz w:val="18"/>
        </w:rPr>
        <w:t>https://</w:t>
      </w:r>
      <w:hyperlink r:id="rId537">
        <w:r>
          <w:rPr>
            <w:sz w:val="18"/>
          </w:rPr>
          <w:t>www.aafp.org/about/policies/all/genital-</w:t>
        </w:r>
      </w:hyperlink>
      <w:r>
        <w:rPr>
          <w:sz w:val="18"/>
        </w:rPr>
        <w:t xml:space="preserve"> </w:t>
      </w:r>
      <w:r>
        <w:rPr>
          <w:spacing w:val="-2"/>
          <w:sz w:val="18"/>
        </w:rPr>
        <w:t>surgeries.html.</w:t>
      </w:r>
    </w:p>
    <w:p w:rsidR="00200FDA" w:rsidRDefault="00F76C4C">
      <w:pPr>
        <w:ind w:left="140" w:right="3859" w:hanging="1"/>
        <w:rPr>
          <w:sz w:val="18"/>
        </w:rPr>
      </w:pPr>
      <w:bookmarkStart w:id="735" w:name="_bookmark572"/>
      <w:bookmarkEnd w:id="735"/>
      <w:r>
        <w:rPr>
          <w:position w:val="5"/>
          <w:sz w:val="12"/>
        </w:rPr>
        <w:t>23</w:t>
      </w:r>
      <w:r>
        <w:rPr>
          <w:spacing w:val="9"/>
          <w:position w:val="5"/>
          <w:sz w:val="12"/>
        </w:rPr>
        <w:t xml:space="preserve"> </w:t>
      </w:r>
      <w:r>
        <w:rPr>
          <w:sz w:val="18"/>
        </w:rPr>
        <w:t>“The</w:t>
      </w:r>
      <w:r>
        <w:rPr>
          <w:spacing w:val="-4"/>
          <w:sz w:val="18"/>
        </w:rPr>
        <w:t xml:space="preserve"> </w:t>
      </w:r>
      <w:r>
        <w:rPr>
          <w:sz w:val="18"/>
        </w:rPr>
        <w:t>Rights</w:t>
      </w:r>
      <w:r>
        <w:rPr>
          <w:spacing w:val="-4"/>
          <w:sz w:val="18"/>
        </w:rPr>
        <w:t xml:space="preserve"> </w:t>
      </w:r>
      <w:r>
        <w:rPr>
          <w:sz w:val="18"/>
        </w:rPr>
        <w:t>of</w:t>
      </w:r>
      <w:r>
        <w:rPr>
          <w:spacing w:val="-4"/>
          <w:sz w:val="18"/>
        </w:rPr>
        <w:t xml:space="preserve"> </w:t>
      </w:r>
      <w:r>
        <w:rPr>
          <w:sz w:val="18"/>
        </w:rPr>
        <w:t>Children</w:t>
      </w:r>
      <w:r>
        <w:rPr>
          <w:spacing w:val="-4"/>
          <w:sz w:val="18"/>
        </w:rPr>
        <w:t xml:space="preserve"> </w:t>
      </w:r>
      <w:r>
        <w:rPr>
          <w:sz w:val="18"/>
        </w:rPr>
        <w:t>Born</w:t>
      </w:r>
      <w:r>
        <w:rPr>
          <w:spacing w:val="-4"/>
          <w:sz w:val="18"/>
        </w:rPr>
        <w:t xml:space="preserve"> </w:t>
      </w:r>
      <w:r>
        <w:rPr>
          <w:sz w:val="18"/>
        </w:rPr>
        <w:t>Intersex,”</w:t>
      </w:r>
      <w:r>
        <w:rPr>
          <w:spacing w:val="-3"/>
          <w:sz w:val="18"/>
        </w:rPr>
        <w:t xml:space="preserve"> </w:t>
      </w:r>
      <w:r>
        <w:rPr>
          <w:sz w:val="18"/>
        </w:rPr>
        <w:t>Amnesty</w:t>
      </w:r>
      <w:r>
        <w:rPr>
          <w:spacing w:val="-4"/>
          <w:sz w:val="18"/>
        </w:rPr>
        <w:t xml:space="preserve"> </w:t>
      </w:r>
      <w:r>
        <w:rPr>
          <w:sz w:val="18"/>
        </w:rPr>
        <w:t>International,</w:t>
      </w:r>
      <w:r>
        <w:rPr>
          <w:spacing w:val="-4"/>
          <w:sz w:val="18"/>
        </w:rPr>
        <w:t xml:space="preserve"> </w:t>
      </w:r>
      <w:r>
        <w:rPr>
          <w:sz w:val="18"/>
        </w:rPr>
        <w:t>May</w:t>
      </w:r>
      <w:r>
        <w:rPr>
          <w:spacing w:val="-4"/>
          <w:sz w:val="18"/>
        </w:rPr>
        <w:t xml:space="preserve"> </w:t>
      </w:r>
      <w:r>
        <w:rPr>
          <w:sz w:val="18"/>
        </w:rPr>
        <w:t>9,</w:t>
      </w:r>
      <w:r>
        <w:rPr>
          <w:spacing w:val="-4"/>
          <w:sz w:val="18"/>
        </w:rPr>
        <w:t xml:space="preserve"> </w:t>
      </w:r>
      <w:r>
        <w:rPr>
          <w:sz w:val="18"/>
        </w:rPr>
        <w:t xml:space="preserve">2017, </w:t>
      </w:r>
      <w:r>
        <w:rPr>
          <w:spacing w:val="-2"/>
          <w:sz w:val="18"/>
        </w:rPr>
        <w:t>https://</w:t>
      </w:r>
      <w:hyperlink r:id="rId538">
        <w:r>
          <w:rPr>
            <w:spacing w:val="-2"/>
            <w:sz w:val="18"/>
          </w:rPr>
          <w:t>www.amnesty.org/en/latest/campaigns/2017/05/intersex-rights/.</w:t>
        </w:r>
      </w:hyperlink>
    </w:p>
    <w:p w:rsidR="00200FDA" w:rsidRDefault="00F76C4C">
      <w:pPr>
        <w:ind w:left="140" w:right="428"/>
        <w:rPr>
          <w:sz w:val="18"/>
        </w:rPr>
      </w:pPr>
      <w:bookmarkStart w:id="736" w:name="_bookmark573"/>
      <w:bookmarkEnd w:id="736"/>
      <w:r>
        <w:rPr>
          <w:position w:val="5"/>
          <w:sz w:val="12"/>
        </w:rPr>
        <w:t>24</w:t>
      </w:r>
      <w:r>
        <w:rPr>
          <w:spacing w:val="20"/>
          <w:position w:val="5"/>
          <w:sz w:val="12"/>
        </w:rPr>
        <w:t xml:space="preserve"> </w:t>
      </w:r>
      <w:r>
        <w:rPr>
          <w:sz w:val="18"/>
        </w:rPr>
        <w:t xml:space="preserve">Kyle Knight, “‘I Want to Be Like Nature Made Me,’” </w:t>
      </w:r>
      <w:r>
        <w:rPr>
          <w:i/>
          <w:sz w:val="18"/>
        </w:rPr>
        <w:t>Human Rights Watch</w:t>
      </w:r>
      <w:r>
        <w:rPr>
          <w:sz w:val="18"/>
        </w:rPr>
        <w:t xml:space="preserve">, July 25, 2017, </w:t>
      </w:r>
      <w:bookmarkStart w:id="737" w:name="_bookmark574"/>
      <w:bookmarkEnd w:id="737"/>
      <w:r>
        <w:rPr>
          <w:spacing w:val="-2"/>
          <w:sz w:val="18"/>
        </w:rPr>
        <w:t>https://</w:t>
      </w:r>
      <w:hyperlink r:id="rId539">
        <w:r>
          <w:rPr>
            <w:spacing w:val="-2"/>
            <w:sz w:val="18"/>
          </w:rPr>
          <w:t>www.hrw.org/report/2017/07/25/i-want-be-nature-made-me/medically-unnecessary-surgeries-intersex-children-us.</w:t>
        </w:r>
      </w:hyperlink>
      <w:r>
        <w:rPr>
          <w:spacing w:val="40"/>
          <w:sz w:val="18"/>
        </w:rPr>
        <w:t xml:space="preserve">  </w:t>
      </w:r>
      <w:r>
        <w:rPr>
          <w:position w:val="5"/>
          <w:sz w:val="12"/>
        </w:rPr>
        <w:t>25</w:t>
      </w:r>
      <w:r>
        <w:rPr>
          <w:spacing w:val="26"/>
          <w:position w:val="5"/>
          <w:sz w:val="12"/>
        </w:rPr>
        <w:t xml:space="preserve"> </w:t>
      </w:r>
      <w:r>
        <w:rPr>
          <w:sz w:val="18"/>
        </w:rPr>
        <w:t>Boston Children’s Hospital. “Behavioral Health, Endocrinology, Gyn</w:t>
      </w:r>
      <w:r>
        <w:rPr>
          <w:sz w:val="18"/>
        </w:rPr>
        <w:t xml:space="preserve">ecology, Urology (BEING-U).” </w:t>
      </w:r>
      <w:bookmarkStart w:id="738" w:name="_bookmark575"/>
      <w:bookmarkEnd w:id="738"/>
      <w:r>
        <w:fldChar w:fldCharType="begin"/>
      </w:r>
      <w:r>
        <w:instrText xml:space="preserve"> HYPERLINK "https://www.childrenshospital.org/programs/being-u" \h </w:instrText>
      </w:r>
      <w:r>
        <w:fldChar w:fldCharType="separate"/>
      </w:r>
      <w:r>
        <w:rPr>
          <w:color w:val="0000FF"/>
          <w:spacing w:val="-2"/>
          <w:sz w:val="18"/>
          <w:u w:val="single" w:color="0000FF"/>
        </w:rPr>
        <w:t>https://www.childrenshospital.org/programs/being-u</w:t>
      </w:r>
      <w:r>
        <w:rPr>
          <w:color w:val="1154CC"/>
          <w:spacing w:val="-2"/>
          <w:sz w:val="18"/>
        </w:rPr>
        <w:t>.</w:t>
      </w:r>
      <w:r>
        <w:rPr>
          <w:color w:val="1154CC"/>
          <w:spacing w:val="-2"/>
          <w:sz w:val="18"/>
        </w:rPr>
        <w:fldChar w:fldCharType="end"/>
      </w:r>
    </w:p>
    <w:p w:rsidR="00200FDA" w:rsidRDefault="00F76C4C">
      <w:pPr>
        <w:ind w:left="140" w:hanging="1"/>
        <w:rPr>
          <w:sz w:val="18"/>
        </w:rPr>
      </w:pPr>
      <w:r>
        <w:rPr>
          <w:position w:val="5"/>
          <w:sz w:val="12"/>
        </w:rPr>
        <w:t>26</w:t>
      </w:r>
      <w:r>
        <w:rPr>
          <w:spacing w:val="8"/>
          <w:position w:val="5"/>
          <w:sz w:val="12"/>
        </w:rPr>
        <w:t xml:space="preserve"> </w:t>
      </w:r>
      <w:r>
        <w:rPr>
          <w:sz w:val="18"/>
        </w:rPr>
        <w:t>“Intersex:</w:t>
      </w:r>
      <w:r>
        <w:rPr>
          <w:spacing w:val="-2"/>
          <w:sz w:val="18"/>
        </w:rPr>
        <w:t xml:space="preserve"> </w:t>
      </w:r>
      <w:r>
        <w:rPr>
          <w:sz w:val="18"/>
        </w:rPr>
        <w:t>Not</w:t>
      </w:r>
      <w:r>
        <w:rPr>
          <w:spacing w:val="-5"/>
          <w:sz w:val="18"/>
        </w:rPr>
        <w:t xml:space="preserve"> </w:t>
      </w:r>
      <w:r>
        <w:rPr>
          <w:sz w:val="18"/>
        </w:rPr>
        <w:t>Invisible,”</w:t>
      </w:r>
      <w:r>
        <w:rPr>
          <w:spacing w:val="-5"/>
          <w:sz w:val="18"/>
        </w:rPr>
        <w:t xml:space="preserve"> </w:t>
      </w:r>
      <w:r>
        <w:rPr>
          <w:i/>
          <w:sz w:val="18"/>
        </w:rPr>
        <w:t>The</w:t>
      </w:r>
      <w:r>
        <w:rPr>
          <w:i/>
          <w:spacing w:val="-4"/>
          <w:sz w:val="18"/>
        </w:rPr>
        <w:t xml:space="preserve"> </w:t>
      </w:r>
      <w:r>
        <w:rPr>
          <w:i/>
          <w:sz w:val="18"/>
        </w:rPr>
        <w:t>Trevor</w:t>
      </w:r>
      <w:r>
        <w:rPr>
          <w:i/>
          <w:spacing w:val="-4"/>
          <w:sz w:val="18"/>
        </w:rPr>
        <w:t xml:space="preserve"> </w:t>
      </w:r>
      <w:r>
        <w:rPr>
          <w:i/>
          <w:sz w:val="18"/>
        </w:rPr>
        <w:t>Project</w:t>
      </w:r>
      <w:r>
        <w:rPr>
          <w:i/>
          <w:spacing w:val="-4"/>
          <w:sz w:val="18"/>
        </w:rPr>
        <w:t xml:space="preserve"> </w:t>
      </w:r>
      <w:r>
        <w:rPr>
          <w:sz w:val="18"/>
        </w:rPr>
        <w:t>(blog),</w:t>
      </w:r>
      <w:r>
        <w:rPr>
          <w:spacing w:val="-4"/>
          <w:sz w:val="18"/>
        </w:rPr>
        <w:t xml:space="preserve"> </w:t>
      </w:r>
      <w:r>
        <w:rPr>
          <w:sz w:val="18"/>
        </w:rPr>
        <w:t>October</w:t>
      </w:r>
      <w:r>
        <w:rPr>
          <w:spacing w:val="-5"/>
          <w:sz w:val="18"/>
        </w:rPr>
        <w:t xml:space="preserve"> </w:t>
      </w:r>
      <w:r>
        <w:rPr>
          <w:sz w:val="18"/>
        </w:rPr>
        <w:t>26,</w:t>
      </w:r>
      <w:r>
        <w:rPr>
          <w:spacing w:val="-4"/>
          <w:sz w:val="18"/>
        </w:rPr>
        <w:t xml:space="preserve"> </w:t>
      </w:r>
      <w:r>
        <w:rPr>
          <w:sz w:val="18"/>
        </w:rPr>
        <w:t>2022,</w:t>
      </w:r>
      <w:r>
        <w:rPr>
          <w:spacing w:val="-4"/>
          <w:sz w:val="18"/>
        </w:rPr>
        <w:t xml:space="preserve"> </w:t>
      </w:r>
      <w:r>
        <w:rPr>
          <w:sz w:val="18"/>
        </w:rPr>
        <w:t>https://</w:t>
      </w:r>
      <w:hyperlink r:id="rId540">
        <w:r>
          <w:rPr>
            <w:sz w:val="18"/>
          </w:rPr>
          <w:t>www.thetrevorproject.org/blog/intersex-not-</w:t>
        </w:r>
      </w:hyperlink>
      <w:r>
        <w:rPr>
          <w:sz w:val="18"/>
        </w:rPr>
        <w:t xml:space="preserve"> </w:t>
      </w:r>
      <w:bookmarkStart w:id="739" w:name="_bookmark576"/>
      <w:bookmarkEnd w:id="739"/>
      <w:r>
        <w:rPr>
          <w:spacing w:val="-2"/>
          <w:sz w:val="18"/>
        </w:rPr>
        <w:t>invisible/.</w:t>
      </w:r>
    </w:p>
    <w:p w:rsidR="00200FDA" w:rsidRDefault="00F76C4C">
      <w:pPr>
        <w:ind w:left="140" w:right="517" w:hanging="1"/>
        <w:rPr>
          <w:sz w:val="18"/>
        </w:rPr>
      </w:pPr>
      <w:r>
        <w:rPr>
          <w:position w:val="5"/>
          <w:sz w:val="12"/>
        </w:rPr>
        <w:t>27</w:t>
      </w:r>
      <w:r>
        <w:rPr>
          <w:spacing w:val="10"/>
          <w:position w:val="5"/>
          <w:sz w:val="12"/>
        </w:rPr>
        <w:t xml:space="preserve"> </w:t>
      </w:r>
      <w:r>
        <w:rPr>
          <w:sz w:val="18"/>
        </w:rPr>
        <w:t>SIECUS:</w:t>
      </w:r>
      <w:r>
        <w:rPr>
          <w:spacing w:val="-2"/>
          <w:sz w:val="18"/>
        </w:rPr>
        <w:t xml:space="preserve"> </w:t>
      </w:r>
      <w:r>
        <w:rPr>
          <w:sz w:val="18"/>
        </w:rPr>
        <w:t>Sex</w:t>
      </w:r>
      <w:r>
        <w:rPr>
          <w:spacing w:val="-3"/>
          <w:sz w:val="18"/>
        </w:rPr>
        <w:t xml:space="preserve"> </w:t>
      </w:r>
      <w:r>
        <w:rPr>
          <w:sz w:val="18"/>
        </w:rPr>
        <w:t>Ed</w:t>
      </w:r>
      <w:r>
        <w:rPr>
          <w:spacing w:val="-3"/>
          <w:sz w:val="18"/>
        </w:rPr>
        <w:t xml:space="preserve"> </w:t>
      </w:r>
      <w:r>
        <w:rPr>
          <w:sz w:val="18"/>
        </w:rPr>
        <w:t>for</w:t>
      </w:r>
      <w:r>
        <w:rPr>
          <w:spacing w:val="-3"/>
          <w:sz w:val="18"/>
        </w:rPr>
        <w:t xml:space="preserve"> </w:t>
      </w:r>
      <w:r>
        <w:rPr>
          <w:sz w:val="18"/>
        </w:rPr>
        <w:t>Social</w:t>
      </w:r>
      <w:r>
        <w:rPr>
          <w:spacing w:val="-3"/>
          <w:sz w:val="18"/>
        </w:rPr>
        <w:t xml:space="preserve"> </w:t>
      </w:r>
      <w:r>
        <w:rPr>
          <w:sz w:val="18"/>
        </w:rPr>
        <w:t>Change,</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May</w:t>
      </w:r>
      <w:r>
        <w:rPr>
          <w:spacing w:val="-2"/>
          <w:sz w:val="18"/>
        </w:rPr>
        <w:t xml:space="preserve"> </w:t>
      </w:r>
      <w:r>
        <w:rPr>
          <w:sz w:val="18"/>
        </w:rPr>
        <w:t>2021.</w:t>
      </w:r>
      <w:r>
        <w:rPr>
          <w:spacing w:val="-2"/>
          <w:sz w:val="18"/>
        </w:rPr>
        <w:t xml:space="preserve"> </w:t>
      </w:r>
      <w:r>
        <w:rPr>
          <w:sz w:val="18"/>
        </w:rPr>
        <w:t>“A</w:t>
      </w:r>
      <w:r>
        <w:rPr>
          <w:spacing w:val="-3"/>
          <w:sz w:val="18"/>
        </w:rPr>
        <w:t xml:space="preserve"> </w:t>
      </w:r>
      <w:r>
        <w:rPr>
          <w:sz w:val="18"/>
        </w:rPr>
        <w:t>Call</w:t>
      </w:r>
      <w:r>
        <w:rPr>
          <w:spacing w:val="-3"/>
          <w:sz w:val="18"/>
        </w:rPr>
        <w:t xml:space="preserve"> </w:t>
      </w:r>
      <w:r>
        <w:rPr>
          <w:sz w:val="18"/>
        </w:rPr>
        <w:t>to</w:t>
      </w:r>
      <w:r>
        <w:rPr>
          <w:spacing w:val="-1"/>
          <w:sz w:val="18"/>
        </w:rPr>
        <w:t xml:space="preserve"> </w:t>
      </w:r>
      <w:r>
        <w:rPr>
          <w:sz w:val="18"/>
        </w:rPr>
        <w:t>Action:</w:t>
      </w:r>
      <w:r>
        <w:rPr>
          <w:spacing w:val="-3"/>
          <w:sz w:val="18"/>
        </w:rPr>
        <w:t xml:space="preserve"> </w:t>
      </w:r>
      <w:r>
        <w:rPr>
          <w:sz w:val="18"/>
        </w:rPr>
        <w:t>LGBTQ+</w:t>
      </w:r>
      <w:r>
        <w:rPr>
          <w:spacing w:val="-3"/>
          <w:sz w:val="18"/>
        </w:rPr>
        <w:t xml:space="preserve"> </w:t>
      </w:r>
      <w:r>
        <w:rPr>
          <w:sz w:val="18"/>
        </w:rPr>
        <w:t>Youth</w:t>
      </w:r>
      <w:r>
        <w:rPr>
          <w:spacing w:val="-3"/>
          <w:sz w:val="18"/>
        </w:rPr>
        <w:t xml:space="preserve"> </w:t>
      </w:r>
      <w:r>
        <w:rPr>
          <w:sz w:val="18"/>
        </w:rPr>
        <w:t>Need</w:t>
      </w:r>
      <w:r>
        <w:rPr>
          <w:spacing w:val="-3"/>
          <w:sz w:val="18"/>
        </w:rPr>
        <w:t xml:space="preserve"> </w:t>
      </w:r>
      <w:r>
        <w:rPr>
          <w:sz w:val="18"/>
        </w:rPr>
        <w:t>Inclusive</w:t>
      </w:r>
      <w:r>
        <w:rPr>
          <w:spacing w:val="-1"/>
          <w:sz w:val="18"/>
        </w:rPr>
        <w:t xml:space="preserve"> </w:t>
      </w:r>
      <w:r>
        <w:rPr>
          <w:sz w:val="18"/>
        </w:rPr>
        <w:t>Sex</w:t>
      </w:r>
      <w:r>
        <w:rPr>
          <w:spacing w:val="-3"/>
          <w:sz w:val="18"/>
        </w:rPr>
        <w:t xml:space="preserve"> </w:t>
      </w:r>
      <w:r>
        <w:rPr>
          <w:sz w:val="18"/>
        </w:rPr>
        <w:t>Education,”</w:t>
      </w:r>
      <w:r>
        <w:rPr>
          <w:spacing w:val="-3"/>
          <w:sz w:val="18"/>
        </w:rPr>
        <w:t xml:space="preserve"> </w:t>
      </w:r>
      <w:r>
        <w:rPr>
          <w:sz w:val="18"/>
        </w:rPr>
        <w:t>page</w:t>
      </w:r>
      <w:r>
        <w:rPr>
          <w:spacing w:val="-3"/>
          <w:sz w:val="18"/>
        </w:rPr>
        <w:t xml:space="preserve"> </w:t>
      </w:r>
      <w:r>
        <w:rPr>
          <w:sz w:val="18"/>
        </w:rPr>
        <w:t xml:space="preserve">7. </w:t>
      </w:r>
      <w:hyperlink r:id="rId541">
        <w:r>
          <w:rPr>
            <w:color w:val="0000FF"/>
            <w:spacing w:val="-2"/>
            <w:sz w:val="18"/>
            <w:u w:val="single" w:color="0000FF"/>
          </w:rPr>
          <w:t>https://hrc-prod-requests.s3-us-west-2.amazonaws.com/Call-to-Action-LGBTQ-Sex-Ed-Report-2021.pdf</w:t>
        </w:r>
        <w:r>
          <w:rPr>
            <w:spacing w:val="-2"/>
            <w:sz w:val="18"/>
          </w:rPr>
          <w:t>.</w:t>
        </w:r>
      </w:hyperlink>
    </w:p>
    <w:p w:rsidR="00200FDA" w:rsidRDefault="00F76C4C">
      <w:pPr>
        <w:ind w:left="139" w:right="517"/>
        <w:rPr>
          <w:sz w:val="18"/>
        </w:rPr>
      </w:pPr>
      <w:bookmarkStart w:id="740" w:name="_bookmark577"/>
      <w:bookmarkEnd w:id="740"/>
      <w:r>
        <w:rPr>
          <w:position w:val="5"/>
          <w:sz w:val="12"/>
        </w:rPr>
        <w:t>28</w:t>
      </w:r>
      <w:r>
        <w:rPr>
          <w:spacing w:val="10"/>
          <w:position w:val="5"/>
          <w:sz w:val="12"/>
        </w:rPr>
        <w:t xml:space="preserve"> </w:t>
      </w:r>
      <w:r>
        <w:rPr>
          <w:sz w:val="18"/>
        </w:rPr>
        <w:t>SIECUS:</w:t>
      </w:r>
      <w:r>
        <w:rPr>
          <w:spacing w:val="-2"/>
          <w:sz w:val="18"/>
        </w:rPr>
        <w:t xml:space="preserve"> </w:t>
      </w:r>
      <w:r>
        <w:rPr>
          <w:sz w:val="18"/>
        </w:rPr>
        <w:t>Sex</w:t>
      </w:r>
      <w:r>
        <w:rPr>
          <w:spacing w:val="-3"/>
          <w:sz w:val="18"/>
        </w:rPr>
        <w:t xml:space="preserve"> </w:t>
      </w:r>
      <w:r>
        <w:rPr>
          <w:sz w:val="18"/>
        </w:rPr>
        <w:t>Ed</w:t>
      </w:r>
      <w:r>
        <w:rPr>
          <w:spacing w:val="-3"/>
          <w:sz w:val="18"/>
        </w:rPr>
        <w:t xml:space="preserve"> </w:t>
      </w:r>
      <w:r>
        <w:rPr>
          <w:sz w:val="18"/>
        </w:rPr>
        <w:t>for</w:t>
      </w:r>
      <w:r>
        <w:rPr>
          <w:spacing w:val="-3"/>
          <w:sz w:val="18"/>
        </w:rPr>
        <w:t xml:space="preserve"> </w:t>
      </w:r>
      <w:r>
        <w:rPr>
          <w:sz w:val="18"/>
        </w:rPr>
        <w:t>Social</w:t>
      </w:r>
      <w:r>
        <w:rPr>
          <w:spacing w:val="-3"/>
          <w:sz w:val="18"/>
        </w:rPr>
        <w:t xml:space="preserve"> </w:t>
      </w:r>
      <w:r>
        <w:rPr>
          <w:sz w:val="18"/>
        </w:rPr>
        <w:t>Change,</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May</w:t>
      </w:r>
      <w:r>
        <w:rPr>
          <w:spacing w:val="-2"/>
          <w:sz w:val="18"/>
        </w:rPr>
        <w:t xml:space="preserve"> </w:t>
      </w:r>
      <w:r>
        <w:rPr>
          <w:sz w:val="18"/>
        </w:rPr>
        <w:t>2021.</w:t>
      </w:r>
      <w:r>
        <w:rPr>
          <w:spacing w:val="-2"/>
          <w:sz w:val="18"/>
        </w:rPr>
        <w:t xml:space="preserve"> </w:t>
      </w:r>
      <w:r>
        <w:rPr>
          <w:sz w:val="18"/>
        </w:rPr>
        <w:t>“A</w:t>
      </w:r>
      <w:r>
        <w:rPr>
          <w:spacing w:val="-3"/>
          <w:sz w:val="18"/>
        </w:rPr>
        <w:t xml:space="preserve"> </w:t>
      </w:r>
      <w:r>
        <w:rPr>
          <w:sz w:val="18"/>
        </w:rPr>
        <w:t>Call</w:t>
      </w:r>
      <w:r>
        <w:rPr>
          <w:spacing w:val="-3"/>
          <w:sz w:val="18"/>
        </w:rPr>
        <w:t xml:space="preserve"> </w:t>
      </w:r>
      <w:r>
        <w:rPr>
          <w:sz w:val="18"/>
        </w:rPr>
        <w:t>to</w:t>
      </w:r>
      <w:r>
        <w:rPr>
          <w:spacing w:val="-1"/>
          <w:sz w:val="18"/>
        </w:rPr>
        <w:t xml:space="preserve"> </w:t>
      </w:r>
      <w:r>
        <w:rPr>
          <w:sz w:val="18"/>
        </w:rPr>
        <w:t>Action:</w:t>
      </w:r>
      <w:r>
        <w:rPr>
          <w:spacing w:val="-3"/>
          <w:sz w:val="18"/>
        </w:rPr>
        <w:t xml:space="preserve"> </w:t>
      </w:r>
      <w:r>
        <w:rPr>
          <w:sz w:val="18"/>
        </w:rPr>
        <w:t>LGBTQ+</w:t>
      </w:r>
      <w:r>
        <w:rPr>
          <w:spacing w:val="-3"/>
          <w:sz w:val="18"/>
        </w:rPr>
        <w:t xml:space="preserve"> </w:t>
      </w:r>
      <w:r>
        <w:rPr>
          <w:sz w:val="18"/>
        </w:rPr>
        <w:t>Youth</w:t>
      </w:r>
      <w:r>
        <w:rPr>
          <w:spacing w:val="-3"/>
          <w:sz w:val="18"/>
        </w:rPr>
        <w:t xml:space="preserve"> </w:t>
      </w:r>
      <w:r>
        <w:rPr>
          <w:sz w:val="18"/>
        </w:rPr>
        <w:t>Need</w:t>
      </w:r>
      <w:r>
        <w:rPr>
          <w:spacing w:val="-3"/>
          <w:sz w:val="18"/>
        </w:rPr>
        <w:t xml:space="preserve"> </w:t>
      </w:r>
      <w:r>
        <w:rPr>
          <w:sz w:val="18"/>
        </w:rPr>
        <w:t>Inclusive</w:t>
      </w:r>
      <w:r>
        <w:rPr>
          <w:spacing w:val="-1"/>
          <w:sz w:val="18"/>
        </w:rPr>
        <w:t xml:space="preserve"> </w:t>
      </w:r>
      <w:r>
        <w:rPr>
          <w:sz w:val="18"/>
        </w:rPr>
        <w:t>Sex</w:t>
      </w:r>
      <w:r>
        <w:rPr>
          <w:spacing w:val="-3"/>
          <w:sz w:val="18"/>
        </w:rPr>
        <w:t xml:space="preserve"> </w:t>
      </w:r>
      <w:r>
        <w:rPr>
          <w:sz w:val="18"/>
        </w:rPr>
        <w:t>Education,”</w:t>
      </w:r>
      <w:r>
        <w:rPr>
          <w:spacing w:val="-3"/>
          <w:sz w:val="18"/>
        </w:rPr>
        <w:t xml:space="preserve"> </w:t>
      </w:r>
      <w:r>
        <w:rPr>
          <w:sz w:val="18"/>
        </w:rPr>
        <w:t>page</w:t>
      </w:r>
      <w:r>
        <w:rPr>
          <w:spacing w:val="-3"/>
          <w:sz w:val="18"/>
        </w:rPr>
        <w:t xml:space="preserve"> </w:t>
      </w:r>
      <w:r>
        <w:rPr>
          <w:sz w:val="18"/>
        </w:rPr>
        <w:t xml:space="preserve">7. </w:t>
      </w:r>
      <w:hyperlink r:id="rId542">
        <w:r>
          <w:rPr>
            <w:color w:val="0000FF"/>
            <w:spacing w:val="-2"/>
            <w:sz w:val="18"/>
            <w:u w:val="single" w:color="0000FF"/>
          </w:rPr>
          <w:t>https://hrc-prod-requests.s3-us-west-2.amazonaws.com/Call-to-Ac</w:t>
        </w:r>
        <w:r>
          <w:rPr>
            <w:color w:val="0000FF"/>
            <w:spacing w:val="-2"/>
            <w:sz w:val="18"/>
            <w:u w:val="single" w:color="0000FF"/>
          </w:rPr>
          <w:t>tion-LGBTQ-Sex-Ed-Report-2021.pdf</w:t>
        </w:r>
        <w:r>
          <w:rPr>
            <w:spacing w:val="-2"/>
            <w:sz w:val="18"/>
          </w:rPr>
          <w:t>.</w:t>
        </w:r>
      </w:hyperlink>
    </w:p>
    <w:p w:rsidR="00200FDA" w:rsidRDefault="00F76C4C">
      <w:pPr>
        <w:spacing w:line="219" w:lineRule="exact"/>
        <w:ind w:left="140"/>
        <w:rPr>
          <w:sz w:val="18"/>
        </w:rPr>
      </w:pPr>
      <w:bookmarkStart w:id="741" w:name="_bookmark578"/>
      <w:bookmarkEnd w:id="741"/>
      <w:r>
        <w:rPr>
          <w:position w:val="5"/>
          <w:sz w:val="12"/>
        </w:rPr>
        <w:t>29</w:t>
      </w:r>
      <w:r>
        <w:rPr>
          <w:spacing w:val="8"/>
          <w:position w:val="5"/>
          <w:sz w:val="12"/>
        </w:rPr>
        <w:t xml:space="preserve"> </w:t>
      </w:r>
      <w:r>
        <w:rPr>
          <w:sz w:val="18"/>
        </w:rPr>
        <w:t>National</w:t>
      </w:r>
      <w:r>
        <w:rPr>
          <w:spacing w:val="-3"/>
          <w:sz w:val="18"/>
        </w:rPr>
        <w:t xml:space="preserve"> </w:t>
      </w:r>
      <w:r>
        <w:rPr>
          <w:sz w:val="18"/>
        </w:rPr>
        <w:t>Library</w:t>
      </w:r>
      <w:r>
        <w:rPr>
          <w:spacing w:val="-2"/>
          <w:sz w:val="18"/>
        </w:rPr>
        <w:t xml:space="preserve"> </w:t>
      </w:r>
      <w:r>
        <w:rPr>
          <w:sz w:val="18"/>
        </w:rPr>
        <w:t>of</w:t>
      </w:r>
      <w:r>
        <w:rPr>
          <w:spacing w:val="-2"/>
          <w:sz w:val="18"/>
        </w:rPr>
        <w:t xml:space="preserve"> </w:t>
      </w:r>
      <w:r>
        <w:rPr>
          <w:sz w:val="18"/>
        </w:rPr>
        <w:t>Medicine.</w:t>
      </w:r>
      <w:r>
        <w:rPr>
          <w:spacing w:val="-3"/>
          <w:sz w:val="18"/>
        </w:rPr>
        <w:t xml:space="preserve"> </w:t>
      </w:r>
      <w:r>
        <w:rPr>
          <w:sz w:val="18"/>
        </w:rPr>
        <w:t>2022.</w:t>
      </w:r>
      <w:r>
        <w:rPr>
          <w:spacing w:val="-2"/>
          <w:sz w:val="18"/>
        </w:rPr>
        <w:t xml:space="preserve"> </w:t>
      </w:r>
      <w:r>
        <w:rPr>
          <w:sz w:val="18"/>
        </w:rPr>
        <w:t>“Female</w:t>
      </w:r>
      <w:r>
        <w:rPr>
          <w:spacing w:val="-3"/>
          <w:sz w:val="18"/>
        </w:rPr>
        <w:t xml:space="preserve"> </w:t>
      </w:r>
      <w:r>
        <w:rPr>
          <w:sz w:val="18"/>
        </w:rPr>
        <w:t>condoms.”</w:t>
      </w:r>
      <w:r>
        <w:rPr>
          <w:spacing w:val="-2"/>
          <w:sz w:val="18"/>
        </w:rPr>
        <w:t xml:space="preserve"> </w:t>
      </w:r>
      <w:hyperlink r:id="rId543">
        <w:r>
          <w:rPr>
            <w:color w:val="0000FF"/>
            <w:spacing w:val="-2"/>
            <w:sz w:val="18"/>
            <w:u w:val="single" w:color="0000FF"/>
          </w:rPr>
          <w:t>https://medlineplus.gov/ency/article/004002.htm</w:t>
        </w:r>
        <w:r>
          <w:rPr>
            <w:color w:val="1154CC"/>
            <w:spacing w:val="-2"/>
            <w:sz w:val="18"/>
          </w:rPr>
          <w:t>.</w:t>
        </w:r>
      </w:hyperlink>
    </w:p>
    <w:p w:rsidR="00200FDA" w:rsidRDefault="00F76C4C">
      <w:pPr>
        <w:ind w:left="140" w:right="224"/>
        <w:rPr>
          <w:sz w:val="18"/>
        </w:rPr>
      </w:pPr>
      <w:r>
        <w:rPr>
          <w:position w:val="5"/>
          <w:sz w:val="12"/>
        </w:rPr>
        <w:t>30</w:t>
      </w:r>
      <w:r>
        <w:rPr>
          <w:spacing w:val="7"/>
          <w:position w:val="5"/>
          <w:sz w:val="12"/>
        </w:rPr>
        <w:t xml:space="preserve"> </w:t>
      </w:r>
      <w:r>
        <w:rPr>
          <w:sz w:val="18"/>
        </w:rPr>
        <w:t>Planned</w:t>
      </w:r>
      <w:r>
        <w:rPr>
          <w:spacing w:val="-6"/>
          <w:sz w:val="18"/>
        </w:rPr>
        <w:t xml:space="preserve"> </w:t>
      </w:r>
      <w:r>
        <w:rPr>
          <w:sz w:val="18"/>
        </w:rPr>
        <w:t>Parenthood.</w:t>
      </w:r>
      <w:r>
        <w:rPr>
          <w:spacing w:val="-5"/>
          <w:sz w:val="18"/>
        </w:rPr>
        <w:t xml:space="preserve"> </w:t>
      </w:r>
      <w:r>
        <w:rPr>
          <w:sz w:val="18"/>
        </w:rPr>
        <w:t>“How</w:t>
      </w:r>
      <w:r>
        <w:rPr>
          <w:spacing w:val="-4"/>
          <w:sz w:val="18"/>
        </w:rPr>
        <w:t xml:space="preserve"> </w:t>
      </w:r>
      <w:r>
        <w:rPr>
          <w:sz w:val="18"/>
        </w:rPr>
        <w:t>effective</w:t>
      </w:r>
      <w:r>
        <w:rPr>
          <w:spacing w:val="-6"/>
          <w:sz w:val="18"/>
        </w:rPr>
        <w:t xml:space="preserve"> </w:t>
      </w:r>
      <w:r>
        <w:rPr>
          <w:sz w:val="18"/>
        </w:rPr>
        <w:t>are</w:t>
      </w:r>
      <w:r>
        <w:rPr>
          <w:spacing w:val="-6"/>
          <w:sz w:val="18"/>
        </w:rPr>
        <w:t xml:space="preserve"> </w:t>
      </w:r>
      <w:r>
        <w:rPr>
          <w:sz w:val="18"/>
        </w:rPr>
        <w:t>condoms?”</w:t>
      </w:r>
      <w:r>
        <w:rPr>
          <w:spacing w:val="-6"/>
          <w:sz w:val="18"/>
        </w:rPr>
        <w:t xml:space="preserve"> </w:t>
      </w:r>
      <w:hyperlink r:id="rId544">
        <w:r>
          <w:rPr>
            <w:color w:val="0000FF"/>
            <w:sz w:val="18"/>
            <w:u w:val="single" w:color="0000FF"/>
          </w:rPr>
          <w:t>https://www.plannedparenthood.org/learn/birth-control/condom/how-</w:t>
        </w:r>
      </w:hyperlink>
      <w:r>
        <w:rPr>
          <w:color w:val="0000FF"/>
          <w:sz w:val="18"/>
        </w:rPr>
        <w:t xml:space="preserve"> </w:t>
      </w:r>
      <w:bookmarkStart w:id="742" w:name="_bookmark579"/>
      <w:bookmarkEnd w:id="742"/>
      <w:r>
        <w:fldChar w:fldCharType="begin"/>
      </w:r>
      <w:r>
        <w:instrText xml:space="preserve"> HYPERLINK "https://www.plannedparenthood.org/learn/birth-control/condom</w:instrText>
      </w:r>
      <w:r>
        <w:instrText xml:space="preserve">/how-effective-are-condoms" \h </w:instrText>
      </w:r>
      <w:r>
        <w:fldChar w:fldCharType="separate"/>
      </w:r>
      <w:r>
        <w:rPr>
          <w:color w:val="0000FF"/>
          <w:spacing w:val="-2"/>
          <w:sz w:val="18"/>
          <w:u w:val="single" w:color="0000FF"/>
        </w:rPr>
        <w:t>effective-are-condoms</w:t>
      </w:r>
      <w:r>
        <w:rPr>
          <w:color w:val="1154CC"/>
          <w:spacing w:val="-2"/>
          <w:sz w:val="18"/>
        </w:rPr>
        <w:t>.</w:t>
      </w:r>
      <w:r>
        <w:rPr>
          <w:color w:val="1154CC"/>
          <w:spacing w:val="-2"/>
          <w:sz w:val="18"/>
        </w:rPr>
        <w:fldChar w:fldCharType="end"/>
      </w:r>
    </w:p>
    <w:p w:rsidR="00200FDA" w:rsidRDefault="00200FDA">
      <w:pPr>
        <w:rPr>
          <w:sz w:val="18"/>
        </w:rPr>
        <w:sectPr w:rsidR="00200FDA">
          <w:headerReference w:type="default" r:id="rId545"/>
          <w:footerReference w:type="default" r:id="rId546"/>
          <w:pgSz w:w="12240" w:h="15840"/>
          <w:pgMar w:top="1360" w:right="1240" w:bottom="1480" w:left="1300" w:header="761" w:footer="1283" w:gutter="0"/>
          <w:cols w:space="720"/>
        </w:sectPr>
      </w:pPr>
    </w:p>
    <w:p w:rsidR="00200FDA" w:rsidRDefault="00200FDA">
      <w:pPr>
        <w:pStyle w:val="BodyText"/>
        <w:spacing w:before="10"/>
        <w:rPr>
          <w:sz w:val="19"/>
        </w:rPr>
      </w:pPr>
    </w:p>
    <w:p w:rsidR="00200FDA" w:rsidRDefault="00F76C4C">
      <w:pPr>
        <w:spacing w:before="69"/>
        <w:ind w:left="140" w:right="517"/>
        <w:rPr>
          <w:sz w:val="18"/>
        </w:rPr>
      </w:pPr>
      <w:r>
        <w:rPr>
          <w:position w:val="5"/>
          <w:sz w:val="12"/>
        </w:rPr>
        <w:t>31</w:t>
      </w:r>
      <w:r>
        <w:rPr>
          <w:spacing w:val="9"/>
          <w:position w:val="5"/>
          <w:sz w:val="12"/>
        </w:rPr>
        <w:t xml:space="preserve"> </w:t>
      </w:r>
      <w:r>
        <w:rPr>
          <w:sz w:val="18"/>
        </w:rPr>
        <w:t>Bauer,</w:t>
      </w:r>
      <w:r>
        <w:rPr>
          <w:spacing w:val="-3"/>
          <w:sz w:val="18"/>
        </w:rPr>
        <w:t xml:space="preserve"> </w:t>
      </w:r>
      <w:r>
        <w:rPr>
          <w:sz w:val="18"/>
        </w:rPr>
        <w:t>Elizabeth</w:t>
      </w:r>
      <w:r>
        <w:rPr>
          <w:spacing w:val="-4"/>
          <w:sz w:val="18"/>
        </w:rPr>
        <w:t xml:space="preserve"> </w:t>
      </w:r>
      <w:r>
        <w:rPr>
          <w:sz w:val="18"/>
        </w:rPr>
        <w:t>Edmondson,</w:t>
      </w:r>
      <w:r>
        <w:rPr>
          <w:spacing w:val="-3"/>
          <w:sz w:val="18"/>
        </w:rPr>
        <w:t xml:space="preserve"> </w:t>
      </w:r>
      <w:r>
        <w:rPr>
          <w:sz w:val="18"/>
        </w:rPr>
        <w:t>et</w:t>
      </w:r>
      <w:r>
        <w:rPr>
          <w:spacing w:val="-1"/>
          <w:sz w:val="18"/>
        </w:rPr>
        <w:t xml:space="preserve"> </w:t>
      </w:r>
      <w:r>
        <w:rPr>
          <w:sz w:val="18"/>
        </w:rPr>
        <w:t>al.</w:t>
      </w:r>
      <w:r>
        <w:rPr>
          <w:spacing w:val="-3"/>
          <w:sz w:val="18"/>
        </w:rPr>
        <w:t xml:space="preserve"> </w:t>
      </w:r>
      <w:r>
        <w:rPr>
          <w:sz w:val="18"/>
        </w:rPr>
        <w:t>“College-Aged</w:t>
      </w:r>
      <w:r>
        <w:rPr>
          <w:spacing w:val="-4"/>
          <w:sz w:val="18"/>
        </w:rPr>
        <w:t xml:space="preserve"> </w:t>
      </w:r>
      <w:r>
        <w:rPr>
          <w:sz w:val="18"/>
        </w:rPr>
        <w:t>but</w:t>
      </w:r>
      <w:r>
        <w:rPr>
          <w:spacing w:val="-4"/>
          <w:sz w:val="18"/>
        </w:rPr>
        <w:t xml:space="preserve"> </w:t>
      </w:r>
      <w:r>
        <w:rPr>
          <w:sz w:val="18"/>
        </w:rPr>
        <w:t>On</w:t>
      </w:r>
      <w:r>
        <w:rPr>
          <w:spacing w:val="-4"/>
          <w:sz w:val="18"/>
        </w:rPr>
        <w:t xml:space="preserve"> </w:t>
      </w:r>
      <w:r>
        <w:rPr>
          <w:sz w:val="18"/>
        </w:rPr>
        <w:t>the</w:t>
      </w:r>
      <w:r>
        <w:rPr>
          <w:spacing w:val="-2"/>
          <w:sz w:val="18"/>
        </w:rPr>
        <w:t xml:space="preserve"> </w:t>
      </w:r>
      <w:r>
        <w:rPr>
          <w:sz w:val="18"/>
        </w:rPr>
        <w:t>Streets:</w:t>
      </w:r>
      <w:r>
        <w:rPr>
          <w:spacing w:val="-4"/>
          <w:sz w:val="18"/>
        </w:rPr>
        <w:t xml:space="preserve"> </w:t>
      </w:r>
      <w:r>
        <w:rPr>
          <w:sz w:val="18"/>
        </w:rPr>
        <w:t>Young</w:t>
      </w:r>
      <w:r>
        <w:rPr>
          <w:spacing w:val="-4"/>
          <w:sz w:val="18"/>
        </w:rPr>
        <w:t xml:space="preserve"> </w:t>
      </w:r>
      <w:r>
        <w:rPr>
          <w:sz w:val="18"/>
        </w:rPr>
        <w:t>Adults</w:t>
      </w:r>
      <w:r>
        <w:rPr>
          <w:spacing w:val="-4"/>
          <w:sz w:val="18"/>
        </w:rPr>
        <w:t xml:space="preserve"> </w:t>
      </w:r>
      <w:r>
        <w:rPr>
          <w:sz w:val="18"/>
        </w:rPr>
        <w:t>Who</w:t>
      </w:r>
      <w:r>
        <w:rPr>
          <w:spacing w:val="-2"/>
          <w:sz w:val="18"/>
        </w:rPr>
        <w:t xml:space="preserve"> </w:t>
      </w:r>
      <w:r>
        <w:rPr>
          <w:sz w:val="18"/>
        </w:rPr>
        <w:t>Experience</w:t>
      </w:r>
      <w:r>
        <w:rPr>
          <w:spacing w:val="-4"/>
          <w:sz w:val="18"/>
        </w:rPr>
        <w:t xml:space="preserve"> </w:t>
      </w:r>
      <w:r>
        <w:rPr>
          <w:sz w:val="18"/>
        </w:rPr>
        <w:t>Homelessness</w:t>
      </w:r>
      <w:r>
        <w:rPr>
          <w:spacing w:val="-4"/>
          <w:sz w:val="18"/>
        </w:rPr>
        <w:t xml:space="preserve"> </w:t>
      </w:r>
      <w:r>
        <w:rPr>
          <w:sz w:val="18"/>
        </w:rPr>
        <w:t xml:space="preserve">and Sexual Violence,” page 5. National Sexual Assault Coalition Resource Sharing Project. </w:t>
      </w:r>
      <w:hyperlink r:id="rId547">
        <w:r>
          <w:rPr>
            <w:color w:val="0000FF"/>
            <w:sz w:val="18"/>
            <w:u w:val="single" w:color="0000FF"/>
          </w:rPr>
          <w:t>https://evawintl.org/wp-</w:t>
        </w:r>
      </w:hyperlink>
      <w:r>
        <w:rPr>
          <w:color w:val="0000FF"/>
          <w:sz w:val="18"/>
        </w:rPr>
        <w:t xml:space="preserve"> </w:t>
      </w:r>
      <w:hyperlink r:id="rId548">
        <w:r>
          <w:rPr>
            <w:color w:val="0000FF"/>
            <w:spacing w:val="-2"/>
            <w:sz w:val="18"/>
            <w:u w:val="single" w:color="0000FF"/>
          </w:rPr>
          <w:t>content/uploads/YoungAdultsWhoExperienceHomelessnessandSexualViolenceMay2017.pdf</w:t>
        </w:r>
        <w:r>
          <w:rPr>
            <w:spacing w:val="-2"/>
            <w:sz w:val="18"/>
          </w:rPr>
          <w:t>.</w:t>
        </w:r>
      </w:hyperlink>
    </w:p>
    <w:p w:rsidR="00200FDA" w:rsidRDefault="00F76C4C">
      <w:pPr>
        <w:spacing w:before="1"/>
        <w:ind w:left="140" w:hanging="1"/>
        <w:rPr>
          <w:sz w:val="18"/>
        </w:rPr>
      </w:pPr>
      <w:r>
        <w:rPr>
          <w:position w:val="5"/>
          <w:sz w:val="12"/>
        </w:rPr>
        <w:t>32</w:t>
      </w:r>
      <w:r>
        <w:rPr>
          <w:spacing w:val="10"/>
          <w:position w:val="5"/>
          <w:sz w:val="12"/>
        </w:rPr>
        <w:t xml:space="preserve"> </w:t>
      </w:r>
      <w:r>
        <w:rPr>
          <w:sz w:val="18"/>
        </w:rPr>
        <w:t>Marie</w:t>
      </w:r>
      <w:r>
        <w:rPr>
          <w:spacing w:val="-3"/>
          <w:sz w:val="18"/>
        </w:rPr>
        <w:t xml:space="preserve"> </w:t>
      </w:r>
      <w:r>
        <w:rPr>
          <w:sz w:val="18"/>
        </w:rPr>
        <w:t>Lippmann,</w:t>
      </w:r>
      <w:r>
        <w:rPr>
          <w:spacing w:val="-2"/>
          <w:sz w:val="18"/>
        </w:rPr>
        <w:t xml:space="preserve"> </w:t>
      </w:r>
      <w:r>
        <w:rPr>
          <w:sz w:val="18"/>
        </w:rPr>
        <w:t>Natalie</w:t>
      </w:r>
      <w:r>
        <w:rPr>
          <w:spacing w:val="-3"/>
          <w:sz w:val="18"/>
        </w:rPr>
        <w:t xml:space="preserve"> </w:t>
      </w:r>
      <w:r>
        <w:rPr>
          <w:sz w:val="18"/>
        </w:rPr>
        <w:t>Lawlor,</w:t>
      </w:r>
      <w:r>
        <w:rPr>
          <w:spacing w:val="-4"/>
          <w:sz w:val="18"/>
        </w:rPr>
        <w:t xml:space="preserve"> </w:t>
      </w:r>
      <w:r>
        <w:rPr>
          <w:sz w:val="18"/>
        </w:rPr>
        <w:t>and</w:t>
      </w:r>
      <w:r>
        <w:rPr>
          <w:spacing w:val="-3"/>
          <w:sz w:val="18"/>
        </w:rPr>
        <w:t xml:space="preserve"> </w:t>
      </w:r>
      <w:r>
        <w:rPr>
          <w:sz w:val="18"/>
        </w:rPr>
        <w:t>Christine</w:t>
      </w:r>
      <w:r>
        <w:rPr>
          <w:spacing w:val="-3"/>
          <w:sz w:val="18"/>
        </w:rPr>
        <w:t xml:space="preserve"> </w:t>
      </w:r>
      <w:r>
        <w:rPr>
          <w:sz w:val="18"/>
        </w:rPr>
        <w:t>E.</w:t>
      </w:r>
      <w:r>
        <w:rPr>
          <w:spacing w:val="-2"/>
          <w:sz w:val="18"/>
        </w:rPr>
        <w:t xml:space="preserve"> </w:t>
      </w:r>
      <w:r>
        <w:rPr>
          <w:sz w:val="18"/>
        </w:rPr>
        <w:t>Leistner,</w:t>
      </w:r>
      <w:r>
        <w:rPr>
          <w:spacing w:val="-2"/>
          <w:sz w:val="18"/>
        </w:rPr>
        <w:t xml:space="preserve"> </w:t>
      </w:r>
      <w:r>
        <w:rPr>
          <w:sz w:val="18"/>
        </w:rPr>
        <w:t>“Learning</w:t>
      </w:r>
      <w:r>
        <w:rPr>
          <w:spacing w:val="-3"/>
          <w:sz w:val="18"/>
        </w:rPr>
        <w:t xml:space="preserve"> </w:t>
      </w:r>
      <w:r>
        <w:rPr>
          <w:sz w:val="18"/>
        </w:rPr>
        <w:t>on</w:t>
      </w:r>
      <w:r>
        <w:rPr>
          <w:spacing w:val="-3"/>
          <w:sz w:val="18"/>
        </w:rPr>
        <w:t xml:space="preserve"> </w:t>
      </w:r>
      <w:r>
        <w:rPr>
          <w:sz w:val="18"/>
        </w:rPr>
        <w:t>OnlyFans:</w:t>
      </w:r>
      <w:r>
        <w:rPr>
          <w:spacing w:val="-2"/>
          <w:sz w:val="18"/>
        </w:rPr>
        <w:t xml:space="preserve"> </w:t>
      </w:r>
      <w:r>
        <w:rPr>
          <w:sz w:val="18"/>
        </w:rPr>
        <w:t>User</w:t>
      </w:r>
      <w:r>
        <w:rPr>
          <w:spacing w:val="-3"/>
          <w:sz w:val="18"/>
        </w:rPr>
        <w:t xml:space="preserve"> </w:t>
      </w:r>
      <w:r>
        <w:rPr>
          <w:sz w:val="18"/>
        </w:rPr>
        <w:t>Perspectives</w:t>
      </w:r>
      <w:r>
        <w:rPr>
          <w:spacing w:val="-3"/>
          <w:sz w:val="18"/>
        </w:rPr>
        <w:t xml:space="preserve"> </w:t>
      </w:r>
      <w:r>
        <w:rPr>
          <w:sz w:val="18"/>
        </w:rPr>
        <w:t>on</w:t>
      </w:r>
      <w:r>
        <w:rPr>
          <w:spacing w:val="-3"/>
          <w:sz w:val="18"/>
        </w:rPr>
        <w:t xml:space="preserve"> </w:t>
      </w:r>
      <w:r>
        <w:rPr>
          <w:sz w:val="18"/>
        </w:rPr>
        <w:t>Knowledge</w:t>
      </w:r>
      <w:r>
        <w:rPr>
          <w:spacing w:val="-3"/>
          <w:sz w:val="18"/>
        </w:rPr>
        <w:t xml:space="preserve"> </w:t>
      </w:r>
      <w:r>
        <w:rPr>
          <w:sz w:val="18"/>
        </w:rPr>
        <w:t>and</w:t>
      </w:r>
      <w:r>
        <w:rPr>
          <w:spacing w:val="-3"/>
          <w:sz w:val="18"/>
        </w:rPr>
        <w:t xml:space="preserve"> </w:t>
      </w:r>
      <w:r>
        <w:rPr>
          <w:sz w:val="18"/>
        </w:rPr>
        <w:t xml:space="preserve">Skills Acquired on the Platform,” </w:t>
      </w:r>
      <w:r>
        <w:rPr>
          <w:i/>
          <w:sz w:val="18"/>
        </w:rPr>
        <w:t>Sexuality &amp; Culture</w:t>
      </w:r>
      <w:r>
        <w:rPr>
          <w:sz w:val="18"/>
        </w:rPr>
        <w:t>, January 9, 2023, https://doi.org/10.1007/s12119-022-10060-0.</w:t>
      </w:r>
    </w:p>
    <w:p w:rsidR="00200FDA" w:rsidRDefault="00F76C4C">
      <w:pPr>
        <w:ind w:left="140" w:right="517" w:hanging="1"/>
        <w:rPr>
          <w:sz w:val="18"/>
        </w:rPr>
      </w:pPr>
      <w:r>
        <w:rPr>
          <w:position w:val="5"/>
          <w:sz w:val="12"/>
        </w:rPr>
        <w:t>33</w:t>
      </w:r>
      <w:r>
        <w:rPr>
          <w:spacing w:val="10"/>
          <w:position w:val="5"/>
          <w:sz w:val="12"/>
        </w:rPr>
        <w:t xml:space="preserve"> </w:t>
      </w:r>
      <w:r>
        <w:rPr>
          <w:sz w:val="18"/>
        </w:rPr>
        <w:t>Margaret</w:t>
      </w:r>
      <w:r>
        <w:rPr>
          <w:spacing w:val="-3"/>
          <w:sz w:val="18"/>
        </w:rPr>
        <w:t xml:space="preserve"> </w:t>
      </w:r>
      <w:r>
        <w:rPr>
          <w:sz w:val="18"/>
        </w:rPr>
        <w:t>H</w:t>
      </w:r>
      <w:r>
        <w:rPr>
          <w:spacing w:val="-2"/>
          <w:sz w:val="18"/>
        </w:rPr>
        <w:t xml:space="preserve"> </w:t>
      </w:r>
      <w:r>
        <w:rPr>
          <w:sz w:val="18"/>
        </w:rPr>
        <w:t>Wurth</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“Condoms</w:t>
      </w:r>
      <w:r>
        <w:rPr>
          <w:spacing w:val="-3"/>
          <w:sz w:val="18"/>
        </w:rPr>
        <w:t xml:space="preserve"> </w:t>
      </w:r>
      <w:r>
        <w:rPr>
          <w:sz w:val="18"/>
        </w:rPr>
        <w:t>as</w:t>
      </w:r>
      <w:r>
        <w:rPr>
          <w:spacing w:val="-3"/>
          <w:sz w:val="18"/>
        </w:rPr>
        <w:t xml:space="preserve"> </w:t>
      </w:r>
      <w:r>
        <w:rPr>
          <w:sz w:val="18"/>
        </w:rPr>
        <w:t>Evidence</w:t>
      </w:r>
      <w:r>
        <w:rPr>
          <w:spacing w:val="-3"/>
          <w:sz w:val="18"/>
        </w:rPr>
        <w:t xml:space="preserve"> </w:t>
      </w:r>
      <w:r>
        <w:rPr>
          <w:sz w:val="18"/>
        </w:rPr>
        <w:t>of</w:t>
      </w:r>
      <w:r>
        <w:rPr>
          <w:spacing w:val="-2"/>
          <w:sz w:val="18"/>
        </w:rPr>
        <w:t xml:space="preserve"> </w:t>
      </w:r>
      <w:r>
        <w:rPr>
          <w:sz w:val="18"/>
        </w:rPr>
        <w:t>Prostitution</w:t>
      </w:r>
      <w:r>
        <w:rPr>
          <w:spacing w:val="-3"/>
          <w:sz w:val="18"/>
        </w:rPr>
        <w:t xml:space="preserve"> </w:t>
      </w:r>
      <w:r>
        <w:rPr>
          <w:sz w:val="18"/>
        </w:rPr>
        <w:t>in</w:t>
      </w:r>
      <w:r>
        <w:rPr>
          <w:spacing w:val="-1"/>
          <w:sz w:val="18"/>
        </w:rPr>
        <w:t xml:space="preserve"> </w:t>
      </w:r>
      <w:r>
        <w:rPr>
          <w:sz w:val="18"/>
        </w:rPr>
        <w:t>the</w:t>
      </w:r>
      <w:r>
        <w:rPr>
          <w:spacing w:val="-3"/>
          <w:sz w:val="18"/>
        </w:rPr>
        <w:t xml:space="preserve"> </w:t>
      </w:r>
      <w:r>
        <w:rPr>
          <w:sz w:val="18"/>
        </w:rPr>
        <w:t>United</w:t>
      </w:r>
      <w:r>
        <w:rPr>
          <w:spacing w:val="-1"/>
          <w:sz w:val="18"/>
        </w:rPr>
        <w:t xml:space="preserve"> </w:t>
      </w:r>
      <w:r>
        <w:rPr>
          <w:sz w:val="18"/>
        </w:rPr>
        <w:t>Sta</w:t>
      </w:r>
      <w:r>
        <w:rPr>
          <w:sz w:val="18"/>
        </w:rPr>
        <w:t>tes</w:t>
      </w:r>
      <w:r>
        <w:rPr>
          <w:spacing w:val="-3"/>
          <w:sz w:val="18"/>
        </w:rPr>
        <w:t xml:space="preserve"> </w:t>
      </w:r>
      <w:r>
        <w:rPr>
          <w:sz w:val="18"/>
        </w:rPr>
        <w:t>and</w:t>
      </w:r>
      <w:r>
        <w:rPr>
          <w:spacing w:val="-3"/>
          <w:sz w:val="18"/>
        </w:rPr>
        <w:t xml:space="preserve"> </w:t>
      </w:r>
      <w:r>
        <w:rPr>
          <w:sz w:val="18"/>
        </w:rPr>
        <w:t>the</w:t>
      </w:r>
      <w:r>
        <w:rPr>
          <w:spacing w:val="-3"/>
          <w:sz w:val="18"/>
        </w:rPr>
        <w:t xml:space="preserve"> </w:t>
      </w:r>
      <w:r>
        <w:rPr>
          <w:sz w:val="18"/>
        </w:rPr>
        <w:t>Criminalization</w:t>
      </w:r>
      <w:r>
        <w:rPr>
          <w:spacing w:val="-3"/>
          <w:sz w:val="18"/>
        </w:rPr>
        <w:t xml:space="preserve"> </w:t>
      </w:r>
      <w:r>
        <w:rPr>
          <w:sz w:val="18"/>
        </w:rPr>
        <w:t>of</w:t>
      </w:r>
      <w:r>
        <w:rPr>
          <w:spacing w:val="-2"/>
          <w:sz w:val="18"/>
        </w:rPr>
        <w:t xml:space="preserve"> </w:t>
      </w:r>
      <w:r>
        <w:rPr>
          <w:sz w:val="18"/>
        </w:rPr>
        <w:t>Sex</w:t>
      </w:r>
      <w:r>
        <w:rPr>
          <w:spacing w:val="-3"/>
          <w:sz w:val="18"/>
        </w:rPr>
        <w:t xml:space="preserve"> </w:t>
      </w:r>
      <w:r>
        <w:rPr>
          <w:sz w:val="18"/>
        </w:rPr>
        <w:t xml:space="preserve">Work,” </w:t>
      </w:r>
      <w:r>
        <w:rPr>
          <w:i/>
          <w:sz w:val="18"/>
        </w:rPr>
        <w:t xml:space="preserve">Journal of the International AIDS Society </w:t>
      </w:r>
      <w:r>
        <w:rPr>
          <w:sz w:val="18"/>
        </w:rPr>
        <w:t xml:space="preserve">16, no. 1 (May 24, 2013): 10.7448/IAS.16.1.18626, </w:t>
      </w:r>
      <w:r>
        <w:rPr>
          <w:spacing w:val="-2"/>
          <w:sz w:val="18"/>
        </w:rPr>
        <w:t>https://doi.org/10.7448/IAS.16.1.18626.</w:t>
      </w:r>
    </w:p>
    <w:p w:rsidR="00200FDA" w:rsidRDefault="00F76C4C">
      <w:pPr>
        <w:ind w:left="140" w:right="179"/>
        <w:rPr>
          <w:sz w:val="18"/>
        </w:rPr>
      </w:pPr>
      <w:r>
        <w:rPr>
          <w:position w:val="5"/>
          <w:sz w:val="12"/>
        </w:rPr>
        <w:t>34</w:t>
      </w:r>
      <w:r>
        <w:rPr>
          <w:spacing w:val="16"/>
          <w:position w:val="5"/>
          <w:sz w:val="12"/>
        </w:rPr>
        <w:t xml:space="preserve"> </w:t>
      </w:r>
      <w:r>
        <w:rPr>
          <w:sz w:val="18"/>
        </w:rPr>
        <w:t xml:space="preserve">Rula V. Kanj et al., “Hormonal Contraceptive Choices in a Clinic-Based Series of Transgender Adolescents and Young Adults,” </w:t>
      </w:r>
      <w:r>
        <w:rPr>
          <w:i/>
          <w:sz w:val="18"/>
        </w:rPr>
        <w:t>The</w:t>
      </w:r>
      <w:r>
        <w:rPr>
          <w:i/>
          <w:spacing w:val="-3"/>
          <w:sz w:val="18"/>
        </w:rPr>
        <w:t xml:space="preserve"> </w:t>
      </w:r>
      <w:r>
        <w:rPr>
          <w:i/>
          <w:sz w:val="18"/>
        </w:rPr>
        <w:t>International</w:t>
      </w:r>
      <w:r>
        <w:rPr>
          <w:i/>
          <w:spacing w:val="-4"/>
          <w:sz w:val="18"/>
        </w:rPr>
        <w:t xml:space="preserve"> </w:t>
      </w:r>
      <w:r>
        <w:rPr>
          <w:i/>
          <w:sz w:val="18"/>
        </w:rPr>
        <w:t>Journal</w:t>
      </w:r>
      <w:r>
        <w:rPr>
          <w:i/>
          <w:spacing w:val="-4"/>
          <w:sz w:val="18"/>
        </w:rPr>
        <w:t xml:space="preserve"> </w:t>
      </w:r>
      <w:r>
        <w:rPr>
          <w:i/>
          <w:sz w:val="18"/>
        </w:rPr>
        <w:t>of</w:t>
      </w:r>
      <w:r>
        <w:rPr>
          <w:i/>
          <w:spacing w:val="-3"/>
          <w:sz w:val="18"/>
        </w:rPr>
        <w:t xml:space="preserve"> </w:t>
      </w:r>
      <w:r>
        <w:rPr>
          <w:i/>
          <w:sz w:val="18"/>
        </w:rPr>
        <w:t>Transgenderism</w:t>
      </w:r>
      <w:r>
        <w:rPr>
          <w:i/>
          <w:spacing w:val="-4"/>
          <w:sz w:val="18"/>
        </w:rPr>
        <w:t xml:space="preserve"> </w:t>
      </w:r>
      <w:r>
        <w:rPr>
          <w:sz w:val="18"/>
        </w:rPr>
        <w:t>20,</w:t>
      </w:r>
      <w:r>
        <w:rPr>
          <w:spacing w:val="-3"/>
          <w:sz w:val="18"/>
        </w:rPr>
        <w:t xml:space="preserve"> </w:t>
      </w:r>
      <w:r>
        <w:rPr>
          <w:sz w:val="18"/>
        </w:rPr>
        <w:t>no.</w:t>
      </w:r>
      <w:r>
        <w:rPr>
          <w:spacing w:val="-3"/>
          <w:sz w:val="18"/>
        </w:rPr>
        <w:t xml:space="preserve"> </w:t>
      </w:r>
      <w:r>
        <w:rPr>
          <w:sz w:val="18"/>
        </w:rPr>
        <w:t>4</w:t>
      </w:r>
      <w:r>
        <w:rPr>
          <w:spacing w:val="-3"/>
          <w:sz w:val="18"/>
        </w:rPr>
        <w:t xml:space="preserve"> </w:t>
      </w:r>
      <w:r>
        <w:rPr>
          <w:sz w:val="18"/>
        </w:rPr>
        <w:t>(July</w:t>
      </w:r>
      <w:r>
        <w:rPr>
          <w:spacing w:val="-3"/>
          <w:sz w:val="18"/>
        </w:rPr>
        <w:t xml:space="preserve"> </w:t>
      </w:r>
      <w:r>
        <w:rPr>
          <w:sz w:val="18"/>
        </w:rPr>
        <w:t>1,</w:t>
      </w:r>
      <w:r>
        <w:rPr>
          <w:spacing w:val="-3"/>
          <w:sz w:val="18"/>
        </w:rPr>
        <w:t xml:space="preserve"> </w:t>
      </w:r>
      <w:r>
        <w:rPr>
          <w:sz w:val="18"/>
        </w:rPr>
        <w:t>2019):</w:t>
      </w:r>
      <w:r>
        <w:rPr>
          <w:spacing w:val="-3"/>
          <w:sz w:val="18"/>
        </w:rPr>
        <w:t xml:space="preserve"> </w:t>
      </w:r>
      <w:r>
        <w:rPr>
          <w:sz w:val="18"/>
        </w:rPr>
        <w:t>413–20,</w:t>
      </w:r>
      <w:r>
        <w:rPr>
          <w:spacing w:val="-3"/>
          <w:sz w:val="18"/>
        </w:rPr>
        <w:t xml:space="preserve"> </w:t>
      </w:r>
      <w:r>
        <w:rPr>
          <w:sz w:val="18"/>
        </w:rPr>
        <w:t xml:space="preserve">https://doi.org/10.1080/15532739.2019.1631929. </w:t>
      </w:r>
      <w:r>
        <w:rPr>
          <w:position w:val="5"/>
          <w:sz w:val="12"/>
        </w:rPr>
        <w:t>35</w:t>
      </w:r>
      <w:r>
        <w:rPr>
          <w:spacing w:val="10"/>
          <w:position w:val="5"/>
          <w:sz w:val="12"/>
        </w:rPr>
        <w:t xml:space="preserve"> </w:t>
      </w:r>
      <w:r>
        <w:rPr>
          <w:sz w:val="18"/>
        </w:rPr>
        <w:t>A.</w:t>
      </w:r>
      <w:r>
        <w:rPr>
          <w:spacing w:val="-2"/>
          <w:sz w:val="18"/>
        </w:rPr>
        <w:t xml:space="preserve"> </w:t>
      </w:r>
      <w:r>
        <w:rPr>
          <w:sz w:val="18"/>
        </w:rPr>
        <w:t>F</w:t>
      </w:r>
      <w:r>
        <w:rPr>
          <w:sz w:val="18"/>
        </w:rPr>
        <w:t>rancis, S.</w:t>
      </w:r>
      <w:r>
        <w:rPr>
          <w:spacing w:val="-2"/>
          <w:sz w:val="18"/>
        </w:rPr>
        <w:t xml:space="preserve"> </w:t>
      </w:r>
      <w:r>
        <w:rPr>
          <w:sz w:val="18"/>
        </w:rPr>
        <w:t>Jasani,</w:t>
      </w:r>
      <w:r>
        <w:rPr>
          <w:spacing w:val="-2"/>
          <w:sz w:val="18"/>
        </w:rPr>
        <w:t xml:space="preserve"> </w:t>
      </w:r>
      <w:r>
        <w:rPr>
          <w:sz w:val="18"/>
        </w:rPr>
        <w:t>and</w:t>
      </w:r>
      <w:r>
        <w:rPr>
          <w:spacing w:val="-3"/>
          <w:sz w:val="18"/>
        </w:rPr>
        <w:t xml:space="preserve"> </w:t>
      </w:r>
      <w:r>
        <w:rPr>
          <w:sz w:val="18"/>
        </w:rPr>
        <w:t>G.</w:t>
      </w:r>
      <w:r>
        <w:rPr>
          <w:spacing w:val="-2"/>
          <w:sz w:val="18"/>
        </w:rPr>
        <w:t xml:space="preserve"> </w:t>
      </w:r>
      <w:r>
        <w:rPr>
          <w:sz w:val="18"/>
        </w:rPr>
        <w:t>Bachmann,</w:t>
      </w:r>
      <w:r>
        <w:rPr>
          <w:spacing w:val="-2"/>
          <w:sz w:val="18"/>
        </w:rPr>
        <w:t xml:space="preserve"> </w:t>
      </w:r>
      <w:r>
        <w:rPr>
          <w:sz w:val="18"/>
        </w:rPr>
        <w:t>“Contraceptive</w:t>
      </w:r>
      <w:r>
        <w:rPr>
          <w:spacing w:val="-3"/>
          <w:sz w:val="18"/>
        </w:rPr>
        <w:t xml:space="preserve"> </w:t>
      </w:r>
      <w:r>
        <w:rPr>
          <w:sz w:val="18"/>
        </w:rPr>
        <w:t>Challenges</w:t>
      </w:r>
      <w:r>
        <w:rPr>
          <w:spacing w:val="-1"/>
          <w:sz w:val="18"/>
        </w:rPr>
        <w:t xml:space="preserve"> </w:t>
      </w:r>
      <w:r>
        <w:rPr>
          <w:sz w:val="18"/>
        </w:rPr>
        <w:t>and</w:t>
      </w:r>
      <w:r>
        <w:rPr>
          <w:spacing w:val="-3"/>
          <w:sz w:val="18"/>
        </w:rPr>
        <w:t xml:space="preserve"> </w:t>
      </w:r>
      <w:r>
        <w:rPr>
          <w:sz w:val="18"/>
        </w:rPr>
        <w:t>the</w:t>
      </w:r>
      <w:r>
        <w:rPr>
          <w:spacing w:val="-3"/>
          <w:sz w:val="18"/>
        </w:rPr>
        <w:t xml:space="preserve"> </w:t>
      </w:r>
      <w:r>
        <w:rPr>
          <w:sz w:val="18"/>
        </w:rPr>
        <w:t>Transgender</w:t>
      </w:r>
      <w:r>
        <w:rPr>
          <w:spacing w:val="-3"/>
          <w:sz w:val="18"/>
        </w:rPr>
        <w:t xml:space="preserve"> </w:t>
      </w:r>
      <w:r>
        <w:rPr>
          <w:sz w:val="18"/>
        </w:rPr>
        <w:t>Individual,”</w:t>
      </w:r>
      <w:r>
        <w:rPr>
          <w:spacing w:val="-1"/>
          <w:sz w:val="18"/>
        </w:rPr>
        <w:t xml:space="preserve"> </w:t>
      </w:r>
      <w:r>
        <w:rPr>
          <w:i/>
          <w:sz w:val="18"/>
        </w:rPr>
        <w:t>Women’s</w:t>
      </w:r>
      <w:r>
        <w:rPr>
          <w:i/>
          <w:spacing w:val="-3"/>
          <w:sz w:val="18"/>
        </w:rPr>
        <w:t xml:space="preserve"> </w:t>
      </w:r>
      <w:r>
        <w:rPr>
          <w:i/>
          <w:sz w:val="18"/>
        </w:rPr>
        <w:t>Midlife</w:t>
      </w:r>
      <w:r>
        <w:rPr>
          <w:i/>
          <w:spacing w:val="-2"/>
          <w:sz w:val="18"/>
        </w:rPr>
        <w:t xml:space="preserve"> </w:t>
      </w:r>
      <w:r>
        <w:rPr>
          <w:i/>
          <w:sz w:val="18"/>
        </w:rPr>
        <w:t>Health</w:t>
      </w:r>
      <w:r>
        <w:rPr>
          <w:i/>
          <w:spacing w:val="-2"/>
          <w:sz w:val="18"/>
        </w:rPr>
        <w:t xml:space="preserve"> </w:t>
      </w:r>
      <w:r>
        <w:rPr>
          <w:sz w:val="18"/>
        </w:rPr>
        <w:t>4 (July 13, 2018): 12, https://doi.org/10.1186/s40695-018-0042-1.</w:t>
      </w:r>
    </w:p>
    <w:p w:rsidR="00200FDA" w:rsidRDefault="00F76C4C">
      <w:pPr>
        <w:ind w:left="140" w:hanging="1"/>
        <w:rPr>
          <w:sz w:val="18"/>
        </w:rPr>
      </w:pPr>
      <w:r>
        <w:rPr>
          <w:position w:val="5"/>
          <w:sz w:val="12"/>
        </w:rPr>
        <w:t>36</w:t>
      </w:r>
      <w:r>
        <w:rPr>
          <w:spacing w:val="9"/>
          <w:position w:val="5"/>
          <w:sz w:val="12"/>
        </w:rPr>
        <w:t xml:space="preserve"> </w:t>
      </w:r>
      <w:r>
        <w:rPr>
          <w:sz w:val="18"/>
        </w:rPr>
        <w:t>National</w:t>
      </w:r>
      <w:r>
        <w:rPr>
          <w:spacing w:val="-4"/>
          <w:sz w:val="18"/>
        </w:rPr>
        <w:t xml:space="preserve"> </w:t>
      </w:r>
      <w:r>
        <w:rPr>
          <w:sz w:val="18"/>
        </w:rPr>
        <w:t>Center</w:t>
      </w:r>
      <w:r>
        <w:rPr>
          <w:spacing w:val="-4"/>
          <w:sz w:val="18"/>
        </w:rPr>
        <w:t xml:space="preserve"> </w:t>
      </w:r>
      <w:r>
        <w:rPr>
          <w:sz w:val="18"/>
        </w:rPr>
        <w:t>for</w:t>
      </w:r>
      <w:r>
        <w:rPr>
          <w:spacing w:val="-4"/>
          <w:sz w:val="18"/>
        </w:rPr>
        <w:t xml:space="preserve"> </w:t>
      </w:r>
      <w:r>
        <w:rPr>
          <w:sz w:val="18"/>
        </w:rPr>
        <w:t>Transgender</w:t>
      </w:r>
      <w:r>
        <w:rPr>
          <w:spacing w:val="-1"/>
          <w:sz w:val="18"/>
        </w:rPr>
        <w:t xml:space="preserve"> </w:t>
      </w:r>
      <w:r>
        <w:rPr>
          <w:sz w:val="18"/>
        </w:rPr>
        <w:t>Equality.</w:t>
      </w:r>
      <w:r>
        <w:rPr>
          <w:spacing w:val="-3"/>
          <w:sz w:val="18"/>
        </w:rPr>
        <w:t xml:space="preserve"> </w:t>
      </w:r>
      <w:r>
        <w:rPr>
          <w:sz w:val="18"/>
        </w:rPr>
        <w:t>2017.</w:t>
      </w:r>
      <w:r>
        <w:rPr>
          <w:spacing w:val="-3"/>
          <w:sz w:val="18"/>
        </w:rPr>
        <w:t xml:space="preserve"> </w:t>
      </w:r>
      <w:r>
        <w:rPr>
          <w:sz w:val="18"/>
        </w:rPr>
        <w:t>“2015</w:t>
      </w:r>
      <w:r>
        <w:rPr>
          <w:spacing w:val="-3"/>
          <w:sz w:val="18"/>
        </w:rPr>
        <w:t xml:space="preserve"> </w:t>
      </w:r>
      <w:r>
        <w:rPr>
          <w:sz w:val="18"/>
        </w:rPr>
        <w:t>U.S.</w:t>
      </w:r>
      <w:r>
        <w:rPr>
          <w:spacing w:val="-3"/>
          <w:sz w:val="18"/>
        </w:rPr>
        <w:t xml:space="preserve"> </w:t>
      </w:r>
      <w:r>
        <w:rPr>
          <w:sz w:val="18"/>
        </w:rPr>
        <w:t>Transgender</w:t>
      </w:r>
      <w:r>
        <w:rPr>
          <w:spacing w:val="-4"/>
          <w:sz w:val="18"/>
        </w:rPr>
        <w:t xml:space="preserve"> </w:t>
      </w:r>
      <w:r>
        <w:rPr>
          <w:sz w:val="18"/>
        </w:rPr>
        <w:t>Survey:</w:t>
      </w:r>
      <w:r>
        <w:rPr>
          <w:spacing w:val="-3"/>
          <w:sz w:val="18"/>
        </w:rPr>
        <w:t xml:space="preserve"> </w:t>
      </w:r>
      <w:r>
        <w:rPr>
          <w:sz w:val="18"/>
        </w:rPr>
        <w:t>Massachusetts</w:t>
      </w:r>
      <w:r>
        <w:rPr>
          <w:spacing w:val="-2"/>
          <w:sz w:val="18"/>
        </w:rPr>
        <w:t xml:space="preserve"> </w:t>
      </w:r>
      <w:r>
        <w:rPr>
          <w:sz w:val="18"/>
        </w:rPr>
        <w:t>State</w:t>
      </w:r>
      <w:r>
        <w:rPr>
          <w:spacing w:val="-4"/>
          <w:sz w:val="18"/>
        </w:rPr>
        <w:t xml:space="preserve"> </w:t>
      </w:r>
      <w:r>
        <w:rPr>
          <w:sz w:val="18"/>
        </w:rPr>
        <w:t>Report,”</w:t>
      </w:r>
      <w:r>
        <w:rPr>
          <w:spacing w:val="-4"/>
          <w:sz w:val="18"/>
        </w:rPr>
        <w:t xml:space="preserve"> </w:t>
      </w:r>
      <w:r>
        <w:rPr>
          <w:sz w:val="18"/>
        </w:rPr>
        <w:t>page</w:t>
      </w:r>
      <w:r>
        <w:rPr>
          <w:spacing w:val="-4"/>
          <w:sz w:val="18"/>
        </w:rPr>
        <w:t xml:space="preserve"> </w:t>
      </w:r>
      <w:r>
        <w:rPr>
          <w:sz w:val="18"/>
        </w:rPr>
        <w:t xml:space="preserve">3. </w:t>
      </w:r>
      <w:hyperlink r:id="rId549">
        <w:r>
          <w:rPr>
            <w:color w:val="0000FF"/>
            <w:spacing w:val="-2"/>
            <w:sz w:val="18"/>
            <w:u w:val="single" w:color="0000FF"/>
          </w:rPr>
          <w:t>https://transequality.org/sites/default/files/docs/usts/USTSMAStateReport(1017).pdf</w:t>
        </w:r>
        <w:r>
          <w:rPr>
            <w:spacing w:val="-2"/>
            <w:sz w:val="18"/>
          </w:rPr>
          <w:t>.</w:t>
        </w:r>
      </w:hyperlink>
    </w:p>
    <w:p w:rsidR="00200FDA" w:rsidRDefault="00F76C4C">
      <w:pPr>
        <w:ind w:left="140" w:hanging="1"/>
        <w:rPr>
          <w:sz w:val="18"/>
        </w:rPr>
      </w:pPr>
      <w:r>
        <w:rPr>
          <w:position w:val="5"/>
          <w:sz w:val="12"/>
        </w:rPr>
        <w:t>37</w:t>
      </w:r>
      <w:r>
        <w:rPr>
          <w:spacing w:val="9"/>
          <w:position w:val="5"/>
          <w:sz w:val="12"/>
        </w:rPr>
        <w:t xml:space="preserve"> </w:t>
      </w:r>
      <w:r>
        <w:rPr>
          <w:sz w:val="18"/>
        </w:rPr>
        <w:t>National</w:t>
      </w:r>
      <w:r>
        <w:rPr>
          <w:spacing w:val="-4"/>
          <w:sz w:val="18"/>
        </w:rPr>
        <w:t xml:space="preserve"> </w:t>
      </w:r>
      <w:r>
        <w:rPr>
          <w:sz w:val="18"/>
        </w:rPr>
        <w:t>Center</w:t>
      </w:r>
      <w:r>
        <w:rPr>
          <w:spacing w:val="-4"/>
          <w:sz w:val="18"/>
        </w:rPr>
        <w:t xml:space="preserve"> </w:t>
      </w:r>
      <w:r>
        <w:rPr>
          <w:sz w:val="18"/>
        </w:rPr>
        <w:t>for</w:t>
      </w:r>
      <w:r>
        <w:rPr>
          <w:spacing w:val="-4"/>
          <w:sz w:val="18"/>
        </w:rPr>
        <w:t xml:space="preserve"> </w:t>
      </w:r>
      <w:r>
        <w:rPr>
          <w:sz w:val="18"/>
        </w:rPr>
        <w:t>Transgender</w:t>
      </w:r>
      <w:r>
        <w:rPr>
          <w:spacing w:val="-1"/>
          <w:sz w:val="18"/>
        </w:rPr>
        <w:t xml:space="preserve"> </w:t>
      </w:r>
      <w:r>
        <w:rPr>
          <w:sz w:val="18"/>
        </w:rPr>
        <w:t>Equality.</w:t>
      </w:r>
      <w:r>
        <w:rPr>
          <w:spacing w:val="-3"/>
          <w:sz w:val="18"/>
        </w:rPr>
        <w:t xml:space="preserve"> </w:t>
      </w:r>
      <w:r>
        <w:rPr>
          <w:sz w:val="18"/>
        </w:rPr>
        <w:t>2017.</w:t>
      </w:r>
      <w:r>
        <w:rPr>
          <w:spacing w:val="-3"/>
          <w:sz w:val="18"/>
        </w:rPr>
        <w:t xml:space="preserve"> </w:t>
      </w:r>
      <w:r>
        <w:rPr>
          <w:sz w:val="18"/>
        </w:rPr>
        <w:t>“2015</w:t>
      </w:r>
      <w:r>
        <w:rPr>
          <w:spacing w:val="-3"/>
          <w:sz w:val="18"/>
        </w:rPr>
        <w:t xml:space="preserve"> </w:t>
      </w:r>
      <w:r>
        <w:rPr>
          <w:sz w:val="18"/>
        </w:rPr>
        <w:t>U.S.</w:t>
      </w:r>
      <w:r>
        <w:rPr>
          <w:spacing w:val="-3"/>
          <w:sz w:val="18"/>
        </w:rPr>
        <w:t xml:space="preserve"> </w:t>
      </w:r>
      <w:r>
        <w:rPr>
          <w:sz w:val="18"/>
        </w:rPr>
        <w:t>Transgender</w:t>
      </w:r>
      <w:r>
        <w:rPr>
          <w:spacing w:val="-4"/>
          <w:sz w:val="18"/>
        </w:rPr>
        <w:t xml:space="preserve"> </w:t>
      </w:r>
      <w:r>
        <w:rPr>
          <w:sz w:val="18"/>
        </w:rPr>
        <w:t>Survey:</w:t>
      </w:r>
      <w:r>
        <w:rPr>
          <w:spacing w:val="-3"/>
          <w:sz w:val="18"/>
        </w:rPr>
        <w:t xml:space="preserve"> </w:t>
      </w:r>
      <w:r>
        <w:rPr>
          <w:sz w:val="18"/>
        </w:rPr>
        <w:t>Massachusetts</w:t>
      </w:r>
      <w:r>
        <w:rPr>
          <w:spacing w:val="-2"/>
          <w:sz w:val="18"/>
        </w:rPr>
        <w:t xml:space="preserve"> </w:t>
      </w:r>
      <w:r>
        <w:rPr>
          <w:sz w:val="18"/>
        </w:rPr>
        <w:t>State</w:t>
      </w:r>
      <w:r>
        <w:rPr>
          <w:spacing w:val="-4"/>
          <w:sz w:val="18"/>
        </w:rPr>
        <w:t xml:space="preserve"> </w:t>
      </w:r>
      <w:r>
        <w:rPr>
          <w:sz w:val="18"/>
        </w:rPr>
        <w:t>Report,”</w:t>
      </w:r>
      <w:r>
        <w:rPr>
          <w:spacing w:val="-4"/>
          <w:sz w:val="18"/>
        </w:rPr>
        <w:t xml:space="preserve"> </w:t>
      </w:r>
      <w:r>
        <w:rPr>
          <w:sz w:val="18"/>
        </w:rPr>
        <w:t>page</w:t>
      </w:r>
      <w:r>
        <w:rPr>
          <w:spacing w:val="-4"/>
          <w:sz w:val="18"/>
        </w:rPr>
        <w:t xml:space="preserve"> </w:t>
      </w:r>
      <w:r>
        <w:rPr>
          <w:sz w:val="18"/>
        </w:rPr>
        <w:t xml:space="preserve">3. </w:t>
      </w:r>
      <w:hyperlink r:id="rId550">
        <w:r>
          <w:rPr>
            <w:color w:val="0000FF"/>
            <w:spacing w:val="-2"/>
            <w:sz w:val="18"/>
            <w:u w:val="single" w:color="0000FF"/>
          </w:rPr>
          <w:t>https://transequality.org/sites/default/files</w:t>
        </w:r>
        <w:r>
          <w:rPr>
            <w:color w:val="0000FF"/>
            <w:spacing w:val="-2"/>
            <w:sz w:val="18"/>
            <w:u w:val="single" w:color="0000FF"/>
          </w:rPr>
          <w:t>/docs/usts/USTSMAStateReport(1017).pdf</w:t>
        </w:r>
        <w:r>
          <w:rPr>
            <w:spacing w:val="-2"/>
            <w:sz w:val="18"/>
          </w:rPr>
          <w:t>.</w:t>
        </w:r>
      </w:hyperlink>
    </w:p>
    <w:p w:rsidR="00200FDA" w:rsidRDefault="00F76C4C">
      <w:pPr>
        <w:ind w:left="140" w:right="263" w:hanging="1"/>
        <w:rPr>
          <w:sz w:val="18"/>
        </w:rPr>
      </w:pPr>
      <w:r>
        <w:rPr>
          <w:position w:val="5"/>
          <w:sz w:val="12"/>
        </w:rPr>
        <w:t>38</w:t>
      </w:r>
      <w:r>
        <w:rPr>
          <w:spacing w:val="10"/>
          <w:position w:val="5"/>
          <w:sz w:val="12"/>
        </w:rPr>
        <w:t xml:space="preserve"> </w:t>
      </w:r>
      <w:r>
        <w:rPr>
          <w:sz w:val="18"/>
        </w:rPr>
        <w:t>Charlton,</w:t>
      </w:r>
      <w:r>
        <w:rPr>
          <w:spacing w:val="-2"/>
          <w:sz w:val="18"/>
        </w:rPr>
        <w:t xml:space="preserve"> </w:t>
      </w:r>
      <w:r>
        <w:rPr>
          <w:sz w:val="18"/>
        </w:rPr>
        <w:t>Brittany,</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March</w:t>
      </w:r>
      <w:r>
        <w:rPr>
          <w:spacing w:val="-3"/>
          <w:sz w:val="18"/>
        </w:rPr>
        <w:t xml:space="preserve"> </w:t>
      </w:r>
      <w:r>
        <w:rPr>
          <w:sz w:val="18"/>
        </w:rPr>
        <w:t>2021.</w:t>
      </w:r>
      <w:r>
        <w:rPr>
          <w:spacing w:val="-2"/>
          <w:sz w:val="18"/>
        </w:rPr>
        <w:t xml:space="preserve"> </w:t>
      </w:r>
      <w:r>
        <w:rPr>
          <w:sz w:val="18"/>
        </w:rPr>
        <w:t>“Teen</w:t>
      </w:r>
      <w:r>
        <w:rPr>
          <w:spacing w:val="-3"/>
          <w:sz w:val="18"/>
        </w:rPr>
        <w:t xml:space="preserve"> </w:t>
      </w:r>
      <w:r>
        <w:rPr>
          <w:sz w:val="18"/>
        </w:rPr>
        <w:t>Pregnancy</w:t>
      </w:r>
      <w:r>
        <w:rPr>
          <w:spacing w:val="-2"/>
          <w:sz w:val="18"/>
        </w:rPr>
        <w:t xml:space="preserve"> </w:t>
      </w:r>
      <w:r>
        <w:rPr>
          <w:sz w:val="18"/>
        </w:rPr>
        <w:t>Risk Factors</w:t>
      </w:r>
      <w:r>
        <w:rPr>
          <w:spacing w:val="-3"/>
          <w:sz w:val="18"/>
        </w:rPr>
        <w:t xml:space="preserve"> </w:t>
      </w:r>
      <w:r>
        <w:rPr>
          <w:sz w:val="18"/>
        </w:rPr>
        <w:t>Among</w:t>
      </w:r>
      <w:r>
        <w:rPr>
          <w:spacing w:val="-3"/>
          <w:sz w:val="18"/>
        </w:rPr>
        <w:t xml:space="preserve"> </w:t>
      </w:r>
      <w:r>
        <w:rPr>
          <w:sz w:val="18"/>
        </w:rPr>
        <w:t>Young</w:t>
      </w:r>
      <w:r>
        <w:rPr>
          <w:spacing w:val="-3"/>
          <w:sz w:val="18"/>
        </w:rPr>
        <w:t xml:space="preserve"> </w:t>
      </w:r>
      <w:r>
        <w:rPr>
          <w:sz w:val="18"/>
        </w:rPr>
        <w:t>Women</w:t>
      </w:r>
      <w:r>
        <w:rPr>
          <w:spacing w:val="-3"/>
          <w:sz w:val="18"/>
        </w:rPr>
        <w:t xml:space="preserve"> </w:t>
      </w:r>
      <w:r>
        <w:rPr>
          <w:sz w:val="18"/>
        </w:rPr>
        <w:t>of</w:t>
      </w:r>
      <w:r>
        <w:rPr>
          <w:spacing w:val="-2"/>
          <w:sz w:val="18"/>
        </w:rPr>
        <w:t xml:space="preserve"> </w:t>
      </w:r>
      <w:r>
        <w:rPr>
          <w:sz w:val="18"/>
        </w:rPr>
        <w:t>Diverse</w:t>
      </w:r>
      <w:r>
        <w:rPr>
          <w:spacing w:val="-3"/>
          <w:sz w:val="18"/>
        </w:rPr>
        <w:t xml:space="preserve"> </w:t>
      </w:r>
      <w:r>
        <w:rPr>
          <w:sz w:val="18"/>
        </w:rPr>
        <w:t>Sexual</w:t>
      </w:r>
      <w:r>
        <w:rPr>
          <w:spacing w:val="-3"/>
          <w:sz w:val="18"/>
        </w:rPr>
        <w:t xml:space="preserve"> </w:t>
      </w:r>
      <w:r>
        <w:rPr>
          <w:sz w:val="18"/>
        </w:rPr>
        <w:t>Orientations.”</w:t>
      </w:r>
      <w:r>
        <w:rPr>
          <w:spacing w:val="-3"/>
          <w:sz w:val="18"/>
        </w:rPr>
        <w:t xml:space="preserve"> </w:t>
      </w:r>
      <w:r>
        <w:rPr>
          <w:sz w:val="18"/>
        </w:rPr>
        <w:t xml:space="preserve">In </w:t>
      </w:r>
      <w:r>
        <w:rPr>
          <w:i/>
          <w:sz w:val="18"/>
        </w:rPr>
        <w:t>Pediatric Collections: LGBTQ+: Support and Care (Part 2: Health Concerns and Disparities)</w:t>
      </w:r>
      <w:r>
        <w:rPr>
          <w:sz w:val="18"/>
        </w:rPr>
        <w:t xml:space="preserve">. American Academy of Pediatrics. </w:t>
      </w:r>
      <w:hyperlink r:id="rId551">
        <w:r>
          <w:rPr>
            <w:color w:val="0000FF"/>
            <w:spacing w:val="-2"/>
            <w:sz w:val="18"/>
            <w:u w:val="single" w:color="0000FF"/>
          </w:rPr>
          <w:t>https://doi.org/10.1542/9781610025409-teen</w:t>
        </w:r>
        <w:r>
          <w:rPr>
            <w:spacing w:val="-2"/>
            <w:sz w:val="18"/>
          </w:rPr>
          <w:t>.</w:t>
        </w:r>
      </w:hyperlink>
    </w:p>
    <w:p w:rsidR="00200FDA" w:rsidRDefault="00F76C4C">
      <w:pPr>
        <w:ind w:left="140" w:hanging="1"/>
        <w:rPr>
          <w:sz w:val="18"/>
        </w:rPr>
      </w:pPr>
      <w:r>
        <w:pict>
          <v:rect id="docshape361" o:spid="_x0000_s1236" style="position:absolute;left:0;text-align:left;margin-left:273.5pt;margin-top:20.45pt;width:2.3pt;height:.6pt;z-index:15791616;mso-position-horizontal-relative:page" fillcolor="#1154cc" stroked="f">
            <w10:wrap anchorx="page"/>
          </v:rect>
        </w:pict>
      </w:r>
      <w:r>
        <w:rPr>
          <w:position w:val="5"/>
          <w:sz w:val="12"/>
        </w:rPr>
        <w:t>39</w:t>
      </w:r>
      <w:r>
        <w:rPr>
          <w:spacing w:val="8"/>
          <w:position w:val="5"/>
          <w:sz w:val="12"/>
        </w:rPr>
        <w:t xml:space="preserve"> </w:t>
      </w:r>
      <w:r>
        <w:rPr>
          <w:sz w:val="18"/>
        </w:rPr>
        <w:t>Centers</w:t>
      </w:r>
      <w:r>
        <w:rPr>
          <w:spacing w:val="-5"/>
          <w:sz w:val="18"/>
        </w:rPr>
        <w:t xml:space="preserve"> </w:t>
      </w:r>
      <w:r>
        <w:rPr>
          <w:sz w:val="18"/>
        </w:rPr>
        <w:t>for</w:t>
      </w:r>
      <w:r>
        <w:rPr>
          <w:spacing w:val="-5"/>
          <w:sz w:val="18"/>
        </w:rPr>
        <w:t xml:space="preserve"> </w:t>
      </w:r>
      <w:r>
        <w:rPr>
          <w:sz w:val="18"/>
        </w:rPr>
        <w:t>Disease</w:t>
      </w:r>
      <w:r>
        <w:rPr>
          <w:spacing w:val="-5"/>
          <w:sz w:val="18"/>
        </w:rPr>
        <w:t xml:space="preserve"> </w:t>
      </w:r>
      <w:r>
        <w:rPr>
          <w:sz w:val="18"/>
        </w:rPr>
        <w:t>Control</w:t>
      </w:r>
      <w:r>
        <w:rPr>
          <w:spacing w:val="-5"/>
          <w:sz w:val="18"/>
        </w:rPr>
        <w:t xml:space="preserve"> </w:t>
      </w:r>
      <w:r>
        <w:rPr>
          <w:sz w:val="18"/>
        </w:rPr>
        <w:t>and</w:t>
      </w:r>
      <w:r>
        <w:rPr>
          <w:spacing w:val="-3"/>
          <w:sz w:val="18"/>
        </w:rPr>
        <w:t xml:space="preserve"> </w:t>
      </w:r>
      <w:r>
        <w:rPr>
          <w:sz w:val="18"/>
        </w:rPr>
        <w:t>Prevention.</w:t>
      </w:r>
      <w:r>
        <w:rPr>
          <w:spacing w:val="-4"/>
          <w:sz w:val="18"/>
        </w:rPr>
        <w:t xml:space="preserve"> </w:t>
      </w:r>
      <w:r>
        <w:rPr>
          <w:sz w:val="18"/>
        </w:rPr>
        <w:t>2021.</w:t>
      </w:r>
      <w:r>
        <w:rPr>
          <w:spacing w:val="-4"/>
          <w:sz w:val="18"/>
        </w:rPr>
        <w:t xml:space="preserve"> </w:t>
      </w:r>
      <w:r>
        <w:rPr>
          <w:sz w:val="18"/>
        </w:rPr>
        <w:t>“About</w:t>
      </w:r>
      <w:r>
        <w:rPr>
          <w:spacing w:val="-5"/>
          <w:sz w:val="18"/>
        </w:rPr>
        <w:t xml:space="preserve"> </w:t>
      </w:r>
      <w:r>
        <w:rPr>
          <w:sz w:val="18"/>
        </w:rPr>
        <w:t>Teen</w:t>
      </w:r>
      <w:r>
        <w:rPr>
          <w:spacing w:val="-5"/>
          <w:sz w:val="18"/>
        </w:rPr>
        <w:t xml:space="preserve"> </w:t>
      </w:r>
      <w:r>
        <w:rPr>
          <w:sz w:val="18"/>
        </w:rPr>
        <w:t xml:space="preserve">Pregnancy.” </w:t>
      </w:r>
      <w:hyperlink r:id="rId552">
        <w:r>
          <w:rPr>
            <w:color w:val="0000FF"/>
            <w:spacing w:val="-2"/>
            <w:sz w:val="18"/>
            <w:u w:val="single" w:color="0000FF"/>
          </w:rPr>
          <w:t>https://www.cdc.gov/teenpregnancy/about/index.htm</w:t>
        </w:r>
        <w:r>
          <w:rPr>
            <w:color w:val="1154CC"/>
            <w:spacing w:val="-2"/>
            <w:sz w:val="18"/>
          </w:rPr>
          <w:t>.</w:t>
        </w:r>
      </w:hyperlink>
    </w:p>
    <w:p w:rsidR="00200FDA" w:rsidRDefault="00F76C4C">
      <w:pPr>
        <w:ind w:left="140" w:right="179" w:hanging="1"/>
        <w:rPr>
          <w:sz w:val="18"/>
        </w:rPr>
      </w:pPr>
      <w:r>
        <w:rPr>
          <w:position w:val="5"/>
          <w:sz w:val="12"/>
        </w:rPr>
        <w:t>40</w:t>
      </w:r>
      <w:r>
        <w:rPr>
          <w:spacing w:val="10"/>
          <w:position w:val="5"/>
          <w:sz w:val="12"/>
        </w:rPr>
        <w:t xml:space="preserve"> </w:t>
      </w:r>
      <w:r>
        <w:rPr>
          <w:sz w:val="18"/>
        </w:rPr>
        <w:t>Thompson,</w:t>
      </w:r>
      <w:r>
        <w:rPr>
          <w:spacing w:val="-2"/>
          <w:sz w:val="18"/>
        </w:rPr>
        <w:t xml:space="preserve"> </w:t>
      </w:r>
      <w:r>
        <w:rPr>
          <w:sz w:val="18"/>
        </w:rPr>
        <w:t>Sanna,</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April</w:t>
      </w:r>
      <w:r>
        <w:rPr>
          <w:spacing w:val="-3"/>
          <w:sz w:val="18"/>
        </w:rPr>
        <w:t xml:space="preserve"> </w:t>
      </w:r>
      <w:r>
        <w:rPr>
          <w:sz w:val="18"/>
        </w:rPr>
        <w:t>11, 2008.</w:t>
      </w:r>
      <w:r>
        <w:rPr>
          <w:spacing w:val="-2"/>
          <w:sz w:val="18"/>
        </w:rPr>
        <w:t xml:space="preserve"> </w:t>
      </w:r>
      <w:r>
        <w:rPr>
          <w:sz w:val="18"/>
        </w:rPr>
        <w:t>“Runaway</w:t>
      </w:r>
      <w:r>
        <w:rPr>
          <w:spacing w:val="-2"/>
          <w:sz w:val="18"/>
        </w:rPr>
        <w:t xml:space="preserve"> </w:t>
      </w:r>
      <w:r>
        <w:rPr>
          <w:sz w:val="18"/>
        </w:rPr>
        <w:t>and</w:t>
      </w:r>
      <w:r>
        <w:rPr>
          <w:spacing w:val="-3"/>
          <w:sz w:val="18"/>
        </w:rPr>
        <w:t xml:space="preserve"> </w:t>
      </w:r>
      <w:r>
        <w:rPr>
          <w:sz w:val="18"/>
        </w:rPr>
        <w:t>Pregnant:</w:t>
      </w:r>
      <w:r>
        <w:rPr>
          <w:spacing w:val="-2"/>
          <w:sz w:val="18"/>
        </w:rPr>
        <w:t xml:space="preserve"> </w:t>
      </w:r>
      <w:r>
        <w:rPr>
          <w:sz w:val="18"/>
        </w:rPr>
        <w:t>Risk</w:t>
      </w:r>
      <w:r>
        <w:rPr>
          <w:spacing w:val="-3"/>
          <w:sz w:val="18"/>
        </w:rPr>
        <w:t xml:space="preserve"> </w:t>
      </w:r>
      <w:r>
        <w:rPr>
          <w:sz w:val="18"/>
        </w:rPr>
        <w:t>Factors</w:t>
      </w:r>
      <w:r>
        <w:rPr>
          <w:spacing w:val="-3"/>
          <w:sz w:val="18"/>
        </w:rPr>
        <w:t xml:space="preserve"> </w:t>
      </w:r>
      <w:r>
        <w:rPr>
          <w:sz w:val="18"/>
        </w:rPr>
        <w:t>Associated</w:t>
      </w:r>
      <w:r>
        <w:rPr>
          <w:spacing w:val="-3"/>
          <w:sz w:val="18"/>
        </w:rPr>
        <w:t xml:space="preserve"> </w:t>
      </w:r>
      <w:r>
        <w:rPr>
          <w:sz w:val="18"/>
        </w:rPr>
        <w:t>with</w:t>
      </w:r>
      <w:r>
        <w:rPr>
          <w:spacing w:val="-3"/>
          <w:sz w:val="18"/>
        </w:rPr>
        <w:t xml:space="preserve"> </w:t>
      </w:r>
      <w:r>
        <w:rPr>
          <w:sz w:val="18"/>
        </w:rPr>
        <w:t>Pregnancy</w:t>
      </w:r>
      <w:r>
        <w:rPr>
          <w:spacing w:val="-2"/>
          <w:sz w:val="18"/>
        </w:rPr>
        <w:t xml:space="preserve"> </w:t>
      </w:r>
      <w:r>
        <w:rPr>
          <w:sz w:val="18"/>
        </w:rPr>
        <w:t>in</w:t>
      </w:r>
      <w:r>
        <w:rPr>
          <w:spacing w:val="-3"/>
          <w:sz w:val="18"/>
        </w:rPr>
        <w:t xml:space="preserve"> </w:t>
      </w:r>
      <w:r>
        <w:rPr>
          <w:sz w:val="18"/>
        </w:rPr>
        <w:t>a</w:t>
      </w:r>
      <w:r>
        <w:rPr>
          <w:spacing w:val="-2"/>
          <w:sz w:val="18"/>
        </w:rPr>
        <w:t xml:space="preserve"> </w:t>
      </w:r>
      <w:r>
        <w:rPr>
          <w:sz w:val="18"/>
        </w:rPr>
        <w:t>National</w:t>
      </w:r>
      <w:r>
        <w:rPr>
          <w:spacing w:val="-1"/>
          <w:sz w:val="18"/>
        </w:rPr>
        <w:t xml:space="preserve"> </w:t>
      </w:r>
      <w:r>
        <w:rPr>
          <w:sz w:val="18"/>
        </w:rPr>
        <w:t xml:space="preserve">Sample of Runaway/Homeless Female Adolescents.” </w:t>
      </w:r>
      <w:r>
        <w:rPr>
          <w:i/>
          <w:sz w:val="18"/>
        </w:rPr>
        <w:t>The Journal of Adolescent Health</w:t>
      </w:r>
      <w:r>
        <w:rPr>
          <w:sz w:val="18"/>
        </w:rPr>
        <w:t xml:space="preserve">, Volume 43, Issue 2, 125–132. </w:t>
      </w:r>
      <w:hyperlink r:id="rId553">
        <w:r>
          <w:rPr>
            <w:color w:val="1154CC"/>
            <w:spacing w:val="-2"/>
            <w:sz w:val="18"/>
            <w:u w:val="single" w:color="1154CC"/>
          </w:rPr>
          <w:t>https://www.ncbi.nlm.nih.gov/pmc/articles/PMC2742657/.</w:t>
        </w:r>
      </w:hyperlink>
    </w:p>
    <w:p w:rsidR="00200FDA" w:rsidRDefault="00F76C4C">
      <w:pPr>
        <w:ind w:left="140" w:hanging="1"/>
        <w:rPr>
          <w:sz w:val="18"/>
        </w:rPr>
      </w:pPr>
      <w:r>
        <w:pict>
          <v:rect id="docshape362" o:spid="_x0000_s1235" style="position:absolute;left:0;text-align:left;margin-left:493.55pt;margin-top:20.55pt;width:2.3pt;height:.6pt;z-index:15792128;mso-position-horizontal-relative:page" fillcolor="#1154cc" stroked="f">
            <w10:wrap anchorx="page"/>
          </v:rect>
        </w:pict>
      </w:r>
      <w:r>
        <w:rPr>
          <w:position w:val="5"/>
          <w:sz w:val="12"/>
        </w:rPr>
        <w:t>41</w:t>
      </w:r>
      <w:r>
        <w:rPr>
          <w:spacing w:val="10"/>
          <w:position w:val="5"/>
          <w:sz w:val="12"/>
        </w:rPr>
        <w:t xml:space="preserve"> </w:t>
      </w:r>
      <w:r>
        <w:rPr>
          <w:sz w:val="18"/>
        </w:rPr>
        <w:t>Center</w:t>
      </w:r>
      <w:r>
        <w:rPr>
          <w:spacing w:val="-3"/>
          <w:sz w:val="18"/>
        </w:rPr>
        <w:t xml:space="preserve"> </w:t>
      </w:r>
      <w:r>
        <w:rPr>
          <w:sz w:val="18"/>
        </w:rPr>
        <w:t>for</w:t>
      </w:r>
      <w:r>
        <w:rPr>
          <w:spacing w:val="-3"/>
          <w:sz w:val="18"/>
        </w:rPr>
        <w:t xml:space="preserve"> </w:t>
      </w:r>
      <w:r>
        <w:rPr>
          <w:sz w:val="18"/>
        </w:rPr>
        <w:t>Youth</w:t>
      </w:r>
      <w:r>
        <w:rPr>
          <w:spacing w:val="-3"/>
          <w:sz w:val="18"/>
        </w:rPr>
        <w:t xml:space="preserve"> </w:t>
      </w:r>
      <w:r>
        <w:rPr>
          <w:sz w:val="18"/>
        </w:rPr>
        <w:t>and</w:t>
      </w:r>
      <w:r>
        <w:rPr>
          <w:spacing w:val="-3"/>
          <w:sz w:val="18"/>
        </w:rPr>
        <w:t xml:space="preserve"> </w:t>
      </w:r>
      <w:r>
        <w:rPr>
          <w:sz w:val="18"/>
        </w:rPr>
        <w:t>Adults</w:t>
      </w:r>
      <w:r>
        <w:rPr>
          <w:spacing w:val="-3"/>
          <w:sz w:val="18"/>
        </w:rPr>
        <w:t xml:space="preserve"> </w:t>
      </w:r>
      <w:r>
        <w:rPr>
          <w:sz w:val="18"/>
        </w:rPr>
        <w:t>with</w:t>
      </w:r>
      <w:r>
        <w:rPr>
          <w:spacing w:val="-1"/>
          <w:sz w:val="18"/>
        </w:rPr>
        <w:t xml:space="preserve"> </w:t>
      </w:r>
      <w:r>
        <w:rPr>
          <w:sz w:val="18"/>
        </w:rPr>
        <w:t>Conditions</w:t>
      </w:r>
      <w:r>
        <w:rPr>
          <w:spacing w:val="-3"/>
          <w:sz w:val="18"/>
        </w:rPr>
        <w:t xml:space="preserve"> </w:t>
      </w:r>
      <w:r>
        <w:rPr>
          <w:sz w:val="18"/>
        </w:rPr>
        <w:t>of</w:t>
      </w:r>
      <w:r>
        <w:rPr>
          <w:spacing w:val="-2"/>
          <w:sz w:val="18"/>
        </w:rPr>
        <w:t xml:space="preserve"> </w:t>
      </w:r>
      <w:r>
        <w:rPr>
          <w:sz w:val="18"/>
        </w:rPr>
        <w:t>Childhood,</w:t>
      </w:r>
      <w:r>
        <w:rPr>
          <w:spacing w:val="-2"/>
          <w:sz w:val="18"/>
        </w:rPr>
        <w:t xml:space="preserve"> </w:t>
      </w:r>
      <w:r>
        <w:rPr>
          <w:sz w:val="18"/>
        </w:rPr>
        <w:t>Ind</w:t>
      </w:r>
      <w:r>
        <w:rPr>
          <w:sz w:val="18"/>
        </w:rPr>
        <w:t>iana School</w:t>
      </w:r>
      <w:r>
        <w:rPr>
          <w:spacing w:val="-3"/>
          <w:sz w:val="18"/>
        </w:rPr>
        <w:t xml:space="preserve"> </w:t>
      </w:r>
      <w:r>
        <w:rPr>
          <w:sz w:val="18"/>
        </w:rPr>
        <w:t>of</w:t>
      </w:r>
      <w:r>
        <w:rPr>
          <w:spacing w:val="-2"/>
          <w:sz w:val="18"/>
        </w:rPr>
        <w:t xml:space="preserve"> </w:t>
      </w:r>
      <w:r>
        <w:rPr>
          <w:sz w:val="18"/>
        </w:rPr>
        <w:t>Medicine.</w:t>
      </w:r>
      <w:r>
        <w:rPr>
          <w:spacing w:val="-2"/>
          <w:sz w:val="18"/>
        </w:rPr>
        <w:t xml:space="preserve"> </w:t>
      </w:r>
      <w:r>
        <w:rPr>
          <w:sz w:val="18"/>
        </w:rPr>
        <w:t>“Teenage</w:t>
      </w:r>
      <w:r>
        <w:rPr>
          <w:spacing w:val="-3"/>
          <w:sz w:val="18"/>
        </w:rPr>
        <w:t xml:space="preserve"> </w:t>
      </w:r>
      <w:r>
        <w:rPr>
          <w:sz w:val="18"/>
        </w:rPr>
        <w:t>Pregnancy</w:t>
      </w:r>
      <w:r>
        <w:rPr>
          <w:spacing w:val="-2"/>
          <w:sz w:val="18"/>
        </w:rPr>
        <w:t xml:space="preserve"> </w:t>
      </w:r>
      <w:r>
        <w:rPr>
          <w:sz w:val="18"/>
        </w:rPr>
        <w:t>and</w:t>
      </w:r>
      <w:r>
        <w:rPr>
          <w:spacing w:val="-3"/>
          <w:sz w:val="18"/>
        </w:rPr>
        <w:t xml:space="preserve"> </w:t>
      </w:r>
      <w:r>
        <w:rPr>
          <w:sz w:val="18"/>
        </w:rPr>
        <w:t>Youth</w:t>
      </w:r>
      <w:r>
        <w:rPr>
          <w:spacing w:val="-3"/>
          <w:sz w:val="18"/>
        </w:rPr>
        <w:t xml:space="preserve"> </w:t>
      </w:r>
      <w:r>
        <w:rPr>
          <w:sz w:val="18"/>
        </w:rPr>
        <w:t xml:space="preserve">with Intellectual Disabilities.” </w:t>
      </w:r>
      <w:hyperlink r:id="rId554">
        <w:r>
          <w:rPr>
            <w:color w:val="0000FF"/>
            <w:sz w:val="18"/>
            <w:u w:val="single" w:color="0000FF"/>
          </w:rPr>
          <w:t>https://instrc.indiana.edu/pdf/resources/Fact_Sheet_Teen_Pregnancy_with_Disability.pdf</w:t>
        </w:r>
        <w:r>
          <w:rPr>
            <w:color w:val="1154CC"/>
            <w:sz w:val="18"/>
          </w:rPr>
          <w:t>.</w:t>
        </w:r>
      </w:hyperlink>
    </w:p>
    <w:p w:rsidR="00200FDA" w:rsidRDefault="00F76C4C">
      <w:pPr>
        <w:ind w:left="140" w:right="263" w:hanging="1"/>
        <w:rPr>
          <w:sz w:val="18"/>
        </w:rPr>
      </w:pPr>
      <w:r>
        <w:rPr>
          <w:position w:val="5"/>
          <w:sz w:val="12"/>
        </w:rPr>
        <w:t>42</w:t>
      </w:r>
      <w:r>
        <w:rPr>
          <w:spacing w:val="10"/>
          <w:position w:val="5"/>
          <w:sz w:val="12"/>
        </w:rPr>
        <w:t xml:space="preserve"> </w:t>
      </w:r>
      <w:r>
        <w:rPr>
          <w:sz w:val="18"/>
        </w:rPr>
        <w:t>Charlton,</w:t>
      </w:r>
      <w:r>
        <w:rPr>
          <w:spacing w:val="-2"/>
          <w:sz w:val="18"/>
        </w:rPr>
        <w:t xml:space="preserve"> </w:t>
      </w:r>
      <w:r>
        <w:rPr>
          <w:sz w:val="18"/>
        </w:rPr>
        <w:t>Brittany,</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March</w:t>
      </w:r>
      <w:r>
        <w:rPr>
          <w:spacing w:val="-3"/>
          <w:sz w:val="18"/>
        </w:rPr>
        <w:t xml:space="preserve"> </w:t>
      </w:r>
      <w:r>
        <w:rPr>
          <w:sz w:val="18"/>
        </w:rPr>
        <w:t>2021.</w:t>
      </w:r>
      <w:r>
        <w:rPr>
          <w:spacing w:val="-2"/>
          <w:sz w:val="18"/>
        </w:rPr>
        <w:t xml:space="preserve"> </w:t>
      </w:r>
      <w:r>
        <w:rPr>
          <w:sz w:val="18"/>
        </w:rPr>
        <w:t>“Teen</w:t>
      </w:r>
      <w:r>
        <w:rPr>
          <w:spacing w:val="-3"/>
          <w:sz w:val="18"/>
        </w:rPr>
        <w:t xml:space="preserve"> </w:t>
      </w:r>
      <w:r>
        <w:rPr>
          <w:sz w:val="18"/>
        </w:rPr>
        <w:t>Pregnancy</w:t>
      </w:r>
      <w:r>
        <w:rPr>
          <w:spacing w:val="-2"/>
          <w:sz w:val="18"/>
        </w:rPr>
        <w:t xml:space="preserve"> </w:t>
      </w:r>
      <w:r>
        <w:rPr>
          <w:sz w:val="18"/>
        </w:rPr>
        <w:t>Risk Factors</w:t>
      </w:r>
      <w:r>
        <w:rPr>
          <w:spacing w:val="-3"/>
          <w:sz w:val="18"/>
        </w:rPr>
        <w:t xml:space="preserve"> </w:t>
      </w:r>
      <w:r>
        <w:rPr>
          <w:sz w:val="18"/>
        </w:rPr>
        <w:t>Among</w:t>
      </w:r>
      <w:r>
        <w:rPr>
          <w:spacing w:val="-3"/>
          <w:sz w:val="18"/>
        </w:rPr>
        <w:t xml:space="preserve"> </w:t>
      </w:r>
      <w:r>
        <w:rPr>
          <w:sz w:val="18"/>
        </w:rPr>
        <w:t>Young</w:t>
      </w:r>
      <w:r>
        <w:rPr>
          <w:spacing w:val="-3"/>
          <w:sz w:val="18"/>
        </w:rPr>
        <w:t xml:space="preserve"> </w:t>
      </w:r>
      <w:r>
        <w:rPr>
          <w:sz w:val="18"/>
        </w:rPr>
        <w:t>Women</w:t>
      </w:r>
      <w:r>
        <w:rPr>
          <w:spacing w:val="-3"/>
          <w:sz w:val="18"/>
        </w:rPr>
        <w:t xml:space="preserve"> </w:t>
      </w:r>
      <w:r>
        <w:rPr>
          <w:sz w:val="18"/>
        </w:rPr>
        <w:t>of</w:t>
      </w:r>
      <w:r>
        <w:rPr>
          <w:spacing w:val="-2"/>
          <w:sz w:val="18"/>
        </w:rPr>
        <w:t xml:space="preserve"> </w:t>
      </w:r>
      <w:r>
        <w:rPr>
          <w:sz w:val="18"/>
        </w:rPr>
        <w:t>Diverse</w:t>
      </w:r>
      <w:r>
        <w:rPr>
          <w:spacing w:val="-3"/>
          <w:sz w:val="18"/>
        </w:rPr>
        <w:t xml:space="preserve"> </w:t>
      </w:r>
      <w:r>
        <w:rPr>
          <w:sz w:val="18"/>
        </w:rPr>
        <w:t>Sexual</w:t>
      </w:r>
      <w:r>
        <w:rPr>
          <w:spacing w:val="-3"/>
          <w:sz w:val="18"/>
        </w:rPr>
        <w:t xml:space="preserve"> </w:t>
      </w:r>
      <w:r>
        <w:rPr>
          <w:sz w:val="18"/>
        </w:rPr>
        <w:t>Orientations.”</w:t>
      </w:r>
      <w:r>
        <w:rPr>
          <w:spacing w:val="-3"/>
          <w:sz w:val="18"/>
        </w:rPr>
        <w:t xml:space="preserve"> </w:t>
      </w:r>
      <w:r>
        <w:rPr>
          <w:sz w:val="18"/>
        </w:rPr>
        <w:t xml:space="preserve">In </w:t>
      </w:r>
      <w:r>
        <w:rPr>
          <w:i/>
          <w:sz w:val="18"/>
        </w:rPr>
        <w:t xml:space="preserve">Pediatric Collections: LGBTQ+: Support and </w:t>
      </w:r>
      <w:r>
        <w:rPr>
          <w:i/>
          <w:sz w:val="18"/>
        </w:rPr>
        <w:t>Care (Part 2: Health Concerns and Disparities)</w:t>
      </w:r>
      <w:r>
        <w:rPr>
          <w:sz w:val="18"/>
        </w:rPr>
        <w:t xml:space="preserve">. American Academy of Pediatrics. </w:t>
      </w:r>
      <w:hyperlink r:id="rId555">
        <w:r>
          <w:rPr>
            <w:color w:val="0000FF"/>
            <w:spacing w:val="-2"/>
            <w:sz w:val="18"/>
            <w:u w:val="single" w:color="0000FF"/>
          </w:rPr>
          <w:t>https://doi.org/10.1542/9781610025409-teen</w:t>
        </w:r>
        <w:r>
          <w:rPr>
            <w:spacing w:val="-2"/>
            <w:sz w:val="18"/>
          </w:rPr>
          <w:t>.</w:t>
        </w:r>
      </w:hyperlink>
    </w:p>
    <w:p w:rsidR="00200FDA" w:rsidRDefault="00F76C4C">
      <w:pPr>
        <w:ind w:left="140" w:right="348"/>
        <w:rPr>
          <w:sz w:val="18"/>
        </w:rPr>
      </w:pPr>
      <w:r>
        <w:pict>
          <v:rect id="docshape363" o:spid="_x0000_s1234" style="position:absolute;left:0;text-align:left;margin-left:133.45pt;margin-top:31.5pt;width:2.3pt;height:.6pt;z-index:15792640;mso-position-horizontal-relative:page" fillcolor="#1154cc" stroked="f">
            <w10:wrap anchorx="page"/>
          </v:rect>
        </w:pict>
      </w:r>
      <w:r>
        <w:rPr>
          <w:position w:val="5"/>
          <w:sz w:val="12"/>
        </w:rPr>
        <w:t>43</w:t>
      </w:r>
      <w:r>
        <w:rPr>
          <w:spacing w:val="10"/>
          <w:position w:val="5"/>
          <w:sz w:val="12"/>
        </w:rPr>
        <w:t xml:space="preserve"> </w:t>
      </w:r>
      <w:r>
        <w:rPr>
          <w:sz w:val="18"/>
        </w:rPr>
        <w:t>Charlton,</w:t>
      </w:r>
      <w:r>
        <w:rPr>
          <w:spacing w:val="-2"/>
          <w:sz w:val="18"/>
        </w:rPr>
        <w:t xml:space="preserve"> </w:t>
      </w:r>
      <w:r>
        <w:rPr>
          <w:sz w:val="18"/>
        </w:rPr>
        <w:t>Brittany,</w:t>
      </w:r>
      <w:r>
        <w:rPr>
          <w:spacing w:val="-2"/>
          <w:sz w:val="18"/>
        </w:rPr>
        <w:t xml:space="preserve"> </w:t>
      </w:r>
      <w:r>
        <w:rPr>
          <w:sz w:val="18"/>
        </w:rPr>
        <w:t>et</w:t>
      </w:r>
      <w:r>
        <w:rPr>
          <w:spacing w:val="-3"/>
          <w:sz w:val="18"/>
        </w:rPr>
        <w:t xml:space="preserve"> </w:t>
      </w:r>
      <w:r>
        <w:rPr>
          <w:sz w:val="18"/>
        </w:rPr>
        <w:t>al.</w:t>
      </w:r>
      <w:r>
        <w:rPr>
          <w:spacing w:val="-3"/>
          <w:sz w:val="18"/>
        </w:rPr>
        <w:t xml:space="preserve"> </w:t>
      </w:r>
      <w:r>
        <w:rPr>
          <w:sz w:val="18"/>
        </w:rPr>
        <w:t>December</w:t>
      </w:r>
      <w:r>
        <w:rPr>
          <w:spacing w:val="-3"/>
          <w:sz w:val="18"/>
        </w:rPr>
        <w:t xml:space="preserve"> </w:t>
      </w:r>
      <w:r>
        <w:rPr>
          <w:sz w:val="18"/>
        </w:rPr>
        <w:t>2019.</w:t>
      </w:r>
      <w:r>
        <w:rPr>
          <w:spacing w:val="-2"/>
          <w:sz w:val="18"/>
        </w:rPr>
        <w:t xml:space="preserve"> </w:t>
      </w:r>
      <w:r>
        <w:rPr>
          <w:sz w:val="18"/>
        </w:rPr>
        <w:t>“Sexual</w:t>
      </w:r>
      <w:r>
        <w:rPr>
          <w:spacing w:val="-3"/>
          <w:sz w:val="18"/>
        </w:rPr>
        <w:t xml:space="preserve"> </w:t>
      </w:r>
      <w:r>
        <w:rPr>
          <w:sz w:val="18"/>
        </w:rPr>
        <w:t>Orientation</w:t>
      </w:r>
      <w:r>
        <w:rPr>
          <w:spacing w:val="-3"/>
          <w:sz w:val="18"/>
        </w:rPr>
        <w:t xml:space="preserve"> </w:t>
      </w:r>
      <w:r>
        <w:rPr>
          <w:sz w:val="18"/>
        </w:rPr>
        <w:t>Differences</w:t>
      </w:r>
      <w:r>
        <w:rPr>
          <w:spacing w:val="-3"/>
          <w:sz w:val="18"/>
        </w:rPr>
        <w:t xml:space="preserve"> </w:t>
      </w:r>
      <w:r>
        <w:rPr>
          <w:sz w:val="18"/>
        </w:rPr>
        <w:t>in</w:t>
      </w:r>
      <w:r>
        <w:rPr>
          <w:spacing w:val="-3"/>
          <w:sz w:val="18"/>
        </w:rPr>
        <w:t xml:space="preserve"> </w:t>
      </w:r>
      <w:r>
        <w:rPr>
          <w:sz w:val="18"/>
        </w:rPr>
        <w:t>Pregnancy</w:t>
      </w:r>
      <w:r>
        <w:rPr>
          <w:spacing w:val="-2"/>
          <w:sz w:val="18"/>
        </w:rPr>
        <w:t xml:space="preserve"> </w:t>
      </w:r>
      <w:r>
        <w:rPr>
          <w:sz w:val="18"/>
        </w:rPr>
        <w:t>and</w:t>
      </w:r>
      <w:r>
        <w:rPr>
          <w:spacing w:val="-3"/>
          <w:sz w:val="18"/>
        </w:rPr>
        <w:t xml:space="preserve"> </w:t>
      </w:r>
      <w:r>
        <w:rPr>
          <w:sz w:val="18"/>
        </w:rPr>
        <w:t>Abortion</w:t>
      </w:r>
      <w:r>
        <w:rPr>
          <w:spacing w:val="-3"/>
          <w:sz w:val="18"/>
        </w:rPr>
        <w:t xml:space="preserve"> </w:t>
      </w:r>
      <w:r>
        <w:rPr>
          <w:sz w:val="18"/>
        </w:rPr>
        <w:t>Across</w:t>
      </w:r>
      <w:r>
        <w:rPr>
          <w:spacing w:val="-3"/>
          <w:sz w:val="18"/>
        </w:rPr>
        <w:t xml:space="preserve"> </w:t>
      </w:r>
      <w:r>
        <w:rPr>
          <w:sz w:val="18"/>
        </w:rPr>
        <w:t>the</w:t>
      </w:r>
      <w:r>
        <w:rPr>
          <w:spacing w:val="-3"/>
          <w:sz w:val="18"/>
        </w:rPr>
        <w:t xml:space="preserve"> </w:t>
      </w:r>
      <w:r>
        <w:rPr>
          <w:sz w:val="18"/>
        </w:rPr>
        <w:t xml:space="preserve">Lifecourse.” Guttmacher Institute. </w:t>
      </w:r>
      <w:hyperlink r:id="rId556">
        <w:r>
          <w:rPr>
            <w:color w:val="0000FF"/>
            <w:sz w:val="18"/>
            <w:u w:val="single" w:color="0000FF"/>
          </w:rPr>
          <w:t>https://www.guttmacher.org/article/201</w:t>
        </w:r>
        <w:r>
          <w:rPr>
            <w:color w:val="0000FF"/>
            <w:sz w:val="18"/>
            <w:u w:val="single" w:color="0000FF"/>
          </w:rPr>
          <w:t>9/12/sexual-orientation-differences-pregnancy-and-abortion-</w:t>
        </w:r>
      </w:hyperlink>
      <w:r>
        <w:rPr>
          <w:color w:val="0000FF"/>
          <w:sz w:val="18"/>
        </w:rPr>
        <w:t xml:space="preserve"> </w:t>
      </w:r>
      <w:hyperlink r:id="rId557">
        <w:r>
          <w:rPr>
            <w:color w:val="0000FF"/>
            <w:spacing w:val="-2"/>
            <w:sz w:val="18"/>
            <w:u w:val="single" w:color="0000FF"/>
          </w:rPr>
          <w:t>across-lifecourse</w:t>
        </w:r>
        <w:r>
          <w:rPr>
            <w:color w:val="1154CC"/>
            <w:spacing w:val="-2"/>
            <w:sz w:val="18"/>
          </w:rPr>
          <w:t>.</w:t>
        </w:r>
      </w:hyperlink>
    </w:p>
    <w:p w:rsidR="00200FDA" w:rsidRDefault="00F76C4C">
      <w:pPr>
        <w:ind w:left="140" w:right="414" w:hanging="1"/>
        <w:jc w:val="both"/>
        <w:rPr>
          <w:sz w:val="18"/>
        </w:rPr>
      </w:pPr>
      <w:r>
        <w:rPr>
          <w:position w:val="5"/>
          <w:sz w:val="12"/>
        </w:rPr>
        <w:t>44</w:t>
      </w:r>
      <w:r>
        <w:rPr>
          <w:spacing w:val="9"/>
          <w:position w:val="5"/>
          <w:sz w:val="12"/>
        </w:rPr>
        <w:t xml:space="preserve"> </w:t>
      </w:r>
      <w:r>
        <w:rPr>
          <w:sz w:val="18"/>
        </w:rPr>
        <w:t>Moseson,</w:t>
      </w:r>
      <w:r>
        <w:rPr>
          <w:spacing w:val="-3"/>
          <w:sz w:val="18"/>
        </w:rPr>
        <w:t xml:space="preserve"> </w:t>
      </w:r>
      <w:r>
        <w:rPr>
          <w:sz w:val="18"/>
        </w:rPr>
        <w:t>Heidi</w:t>
      </w:r>
      <w:r>
        <w:rPr>
          <w:spacing w:val="-4"/>
          <w:sz w:val="18"/>
        </w:rPr>
        <w:t xml:space="preserve"> </w:t>
      </w:r>
      <w:r>
        <w:rPr>
          <w:sz w:val="18"/>
        </w:rPr>
        <w:t>et</w:t>
      </w:r>
      <w:r>
        <w:rPr>
          <w:spacing w:val="-4"/>
          <w:sz w:val="18"/>
        </w:rPr>
        <w:t xml:space="preserve"> </w:t>
      </w:r>
      <w:r>
        <w:rPr>
          <w:sz w:val="18"/>
        </w:rPr>
        <w:t>al.</w:t>
      </w:r>
      <w:r>
        <w:rPr>
          <w:spacing w:val="-3"/>
          <w:sz w:val="18"/>
        </w:rPr>
        <w:t xml:space="preserve"> </w:t>
      </w:r>
      <w:r>
        <w:rPr>
          <w:sz w:val="18"/>
        </w:rPr>
        <w:t>September,</w:t>
      </w:r>
      <w:r>
        <w:rPr>
          <w:spacing w:val="-3"/>
          <w:sz w:val="18"/>
        </w:rPr>
        <w:t xml:space="preserve"> </w:t>
      </w:r>
      <w:r>
        <w:rPr>
          <w:sz w:val="18"/>
        </w:rPr>
        <w:t>24,</w:t>
      </w:r>
      <w:r>
        <w:rPr>
          <w:spacing w:val="-3"/>
          <w:sz w:val="18"/>
        </w:rPr>
        <w:t xml:space="preserve"> </w:t>
      </w:r>
      <w:r>
        <w:rPr>
          <w:sz w:val="18"/>
        </w:rPr>
        <w:t>202</w:t>
      </w:r>
      <w:r>
        <w:rPr>
          <w:sz w:val="18"/>
        </w:rPr>
        <w:t>0.</w:t>
      </w:r>
      <w:r>
        <w:rPr>
          <w:spacing w:val="-3"/>
          <w:sz w:val="18"/>
        </w:rPr>
        <w:t xml:space="preserve"> </w:t>
      </w:r>
      <w:r>
        <w:rPr>
          <w:sz w:val="18"/>
        </w:rPr>
        <w:t>“Abortion</w:t>
      </w:r>
      <w:r>
        <w:rPr>
          <w:spacing w:val="-4"/>
          <w:sz w:val="18"/>
        </w:rPr>
        <w:t xml:space="preserve"> </w:t>
      </w:r>
      <w:r>
        <w:rPr>
          <w:sz w:val="18"/>
        </w:rPr>
        <w:t>experiences</w:t>
      </w:r>
      <w:r>
        <w:rPr>
          <w:spacing w:val="-2"/>
          <w:sz w:val="18"/>
        </w:rPr>
        <w:t xml:space="preserve"> </w:t>
      </w:r>
      <w:r>
        <w:rPr>
          <w:sz w:val="18"/>
        </w:rPr>
        <w:t>and</w:t>
      </w:r>
      <w:r>
        <w:rPr>
          <w:spacing w:val="-4"/>
          <w:sz w:val="18"/>
        </w:rPr>
        <w:t xml:space="preserve"> </w:t>
      </w:r>
      <w:r>
        <w:rPr>
          <w:sz w:val="18"/>
        </w:rPr>
        <w:t>preferences</w:t>
      </w:r>
      <w:r>
        <w:rPr>
          <w:spacing w:val="-4"/>
          <w:sz w:val="18"/>
        </w:rPr>
        <w:t xml:space="preserve"> </w:t>
      </w:r>
      <w:r>
        <w:rPr>
          <w:sz w:val="18"/>
        </w:rPr>
        <w:t>of</w:t>
      </w:r>
      <w:r>
        <w:rPr>
          <w:spacing w:val="-3"/>
          <w:sz w:val="18"/>
        </w:rPr>
        <w:t xml:space="preserve"> </w:t>
      </w:r>
      <w:r>
        <w:rPr>
          <w:sz w:val="18"/>
        </w:rPr>
        <w:t>transgender, nonbinary,</w:t>
      </w:r>
      <w:r>
        <w:rPr>
          <w:spacing w:val="-3"/>
          <w:sz w:val="18"/>
        </w:rPr>
        <w:t xml:space="preserve"> </w:t>
      </w:r>
      <w:r>
        <w:rPr>
          <w:sz w:val="18"/>
        </w:rPr>
        <w:t>and</w:t>
      </w:r>
      <w:r>
        <w:rPr>
          <w:spacing w:val="-4"/>
          <w:sz w:val="18"/>
        </w:rPr>
        <w:t xml:space="preserve"> </w:t>
      </w:r>
      <w:r>
        <w:rPr>
          <w:sz w:val="18"/>
        </w:rPr>
        <w:t>gender- expansive people in</w:t>
      </w:r>
      <w:r>
        <w:rPr>
          <w:spacing w:val="-2"/>
          <w:sz w:val="18"/>
        </w:rPr>
        <w:t xml:space="preserve"> </w:t>
      </w:r>
      <w:r>
        <w:rPr>
          <w:sz w:val="18"/>
        </w:rPr>
        <w:t>the</w:t>
      </w:r>
      <w:r>
        <w:rPr>
          <w:spacing w:val="-2"/>
          <w:sz w:val="18"/>
        </w:rPr>
        <w:t xml:space="preserve"> </w:t>
      </w:r>
      <w:r>
        <w:rPr>
          <w:sz w:val="18"/>
        </w:rPr>
        <w:t>United States.”</w:t>
      </w:r>
      <w:r>
        <w:rPr>
          <w:spacing w:val="-2"/>
          <w:sz w:val="18"/>
        </w:rPr>
        <w:t xml:space="preserve"> </w:t>
      </w:r>
      <w:r>
        <w:rPr>
          <w:i/>
          <w:sz w:val="18"/>
        </w:rPr>
        <w:t>American Journal</w:t>
      </w:r>
      <w:r>
        <w:rPr>
          <w:i/>
          <w:spacing w:val="-2"/>
          <w:sz w:val="18"/>
        </w:rPr>
        <w:t xml:space="preserve"> </w:t>
      </w:r>
      <w:r>
        <w:rPr>
          <w:i/>
          <w:sz w:val="18"/>
        </w:rPr>
        <w:t>of</w:t>
      </w:r>
      <w:r>
        <w:rPr>
          <w:i/>
          <w:spacing w:val="-1"/>
          <w:sz w:val="18"/>
        </w:rPr>
        <w:t xml:space="preserve"> </w:t>
      </w:r>
      <w:r>
        <w:rPr>
          <w:i/>
          <w:sz w:val="18"/>
        </w:rPr>
        <w:t>Obstetrics</w:t>
      </w:r>
      <w:r>
        <w:rPr>
          <w:i/>
          <w:spacing w:val="-2"/>
          <w:sz w:val="18"/>
        </w:rPr>
        <w:t xml:space="preserve"> </w:t>
      </w:r>
      <w:r>
        <w:rPr>
          <w:i/>
          <w:sz w:val="18"/>
        </w:rPr>
        <w:t>&amp;</w:t>
      </w:r>
      <w:r>
        <w:rPr>
          <w:i/>
          <w:spacing w:val="-2"/>
          <w:sz w:val="18"/>
        </w:rPr>
        <w:t xml:space="preserve"> </w:t>
      </w:r>
      <w:r>
        <w:rPr>
          <w:i/>
          <w:sz w:val="18"/>
        </w:rPr>
        <w:t>Gynecology</w:t>
      </w:r>
      <w:r>
        <w:rPr>
          <w:sz w:val="18"/>
        </w:rPr>
        <w:t>,</w:t>
      </w:r>
      <w:r>
        <w:rPr>
          <w:spacing w:val="-1"/>
          <w:sz w:val="18"/>
        </w:rPr>
        <w:t xml:space="preserve"> </w:t>
      </w:r>
      <w:r>
        <w:rPr>
          <w:sz w:val="18"/>
        </w:rPr>
        <w:t>Volume</w:t>
      </w:r>
      <w:r>
        <w:rPr>
          <w:spacing w:val="-2"/>
          <w:sz w:val="18"/>
        </w:rPr>
        <w:t xml:space="preserve"> </w:t>
      </w:r>
      <w:r>
        <w:rPr>
          <w:sz w:val="18"/>
        </w:rPr>
        <w:t>224,</w:t>
      </w:r>
      <w:r>
        <w:rPr>
          <w:spacing w:val="-1"/>
          <w:sz w:val="18"/>
        </w:rPr>
        <w:t xml:space="preserve"> </w:t>
      </w:r>
      <w:r>
        <w:rPr>
          <w:sz w:val="18"/>
        </w:rPr>
        <w:t>Issue</w:t>
      </w:r>
      <w:r>
        <w:rPr>
          <w:spacing w:val="-2"/>
          <w:sz w:val="18"/>
        </w:rPr>
        <w:t xml:space="preserve"> </w:t>
      </w:r>
      <w:r>
        <w:rPr>
          <w:sz w:val="18"/>
        </w:rPr>
        <w:t>4,</w:t>
      </w:r>
      <w:r>
        <w:rPr>
          <w:spacing w:val="-1"/>
          <w:sz w:val="18"/>
        </w:rPr>
        <w:t xml:space="preserve"> </w:t>
      </w:r>
      <w:r>
        <w:rPr>
          <w:sz w:val="18"/>
        </w:rPr>
        <w:t>376.e1</w:t>
      </w:r>
      <w:r>
        <w:rPr>
          <w:spacing w:val="-1"/>
          <w:sz w:val="18"/>
        </w:rPr>
        <w:t xml:space="preserve"> </w:t>
      </w:r>
      <w:r>
        <w:rPr>
          <w:sz w:val="18"/>
        </w:rPr>
        <w:t>-</w:t>
      </w:r>
      <w:r>
        <w:rPr>
          <w:spacing w:val="-3"/>
          <w:sz w:val="18"/>
        </w:rPr>
        <w:t xml:space="preserve"> </w:t>
      </w:r>
      <w:r>
        <w:rPr>
          <w:sz w:val="18"/>
        </w:rPr>
        <w:t xml:space="preserve">376.e11. </w:t>
      </w:r>
      <w:hyperlink r:id="rId558">
        <w:r>
          <w:rPr>
            <w:color w:val="0000FF"/>
            <w:spacing w:val="-2"/>
            <w:sz w:val="18"/>
            <w:u w:val="single" w:color="0000FF"/>
          </w:rPr>
          <w:t>https://doi.org/10.1016/j.ajog.2020.09.035</w:t>
        </w:r>
        <w:r>
          <w:rPr>
            <w:spacing w:val="-2"/>
            <w:sz w:val="18"/>
          </w:rPr>
          <w:t>.</w:t>
        </w:r>
      </w:hyperlink>
    </w:p>
    <w:p w:rsidR="00200FDA" w:rsidRDefault="00F76C4C">
      <w:pPr>
        <w:ind w:left="140" w:hanging="1"/>
        <w:rPr>
          <w:sz w:val="18"/>
        </w:rPr>
      </w:pPr>
      <w:r>
        <w:rPr>
          <w:position w:val="5"/>
          <w:sz w:val="12"/>
        </w:rPr>
        <w:t>45</w:t>
      </w:r>
      <w:r>
        <w:rPr>
          <w:spacing w:val="10"/>
          <w:position w:val="5"/>
          <w:sz w:val="12"/>
        </w:rPr>
        <w:t xml:space="preserve"> </w:t>
      </w:r>
      <w:r>
        <w:rPr>
          <w:sz w:val="18"/>
        </w:rPr>
        <w:t>Heather</w:t>
      </w:r>
      <w:r>
        <w:rPr>
          <w:spacing w:val="-3"/>
          <w:sz w:val="18"/>
        </w:rPr>
        <w:t xml:space="preserve"> </w:t>
      </w:r>
      <w:r>
        <w:rPr>
          <w:sz w:val="18"/>
        </w:rPr>
        <w:t>Tillewein</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“Silencing</w:t>
      </w:r>
      <w:r>
        <w:rPr>
          <w:spacing w:val="-3"/>
          <w:sz w:val="18"/>
        </w:rPr>
        <w:t xml:space="preserve"> </w:t>
      </w:r>
      <w:r>
        <w:rPr>
          <w:sz w:val="18"/>
        </w:rPr>
        <w:t>the</w:t>
      </w:r>
      <w:r>
        <w:rPr>
          <w:spacing w:val="-3"/>
          <w:sz w:val="18"/>
        </w:rPr>
        <w:t xml:space="preserve"> </w:t>
      </w:r>
      <w:r>
        <w:rPr>
          <w:sz w:val="18"/>
        </w:rPr>
        <w:t>Rainbow:</w:t>
      </w:r>
      <w:r>
        <w:rPr>
          <w:spacing w:val="-2"/>
          <w:sz w:val="18"/>
        </w:rPr>
        <w:t xml:space="preserve"> </w:t>
      </w:r>
      <w:r>
        <w:rPr>
          <w:sz w:val="18"/>
        </w:rPr>
        <w:t>Prevalence</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Students</w:t>
      </w:r>
      <w:r>
        <w:rPr>
          <w:spacing w:val="-3"/>
          <w:sz w:val="18"/>
        </w:rPr>
        <w:t xml:space="preserve"> </w:t>
      </w:r>
      <w:r>
        <w:rPr>
          <w:sz w:val="18"/>
        </w:rPr>
        <w:t>Who</w:t>
      </w:r>
      <w:r>
        <w:rPr>
          <w:spacing w:val="-1"/>
          <w:sz w:val="18"/>
        </w:rPr>
        <w:t xml:space="preserve"> </w:t>
      </w:r>
      <w:r>
        <w:rPr>
          <w:sz w:val="18"/>
        </w:rPr>
        <w:t>Do</w:t>
      </w:r>
      <w:r>
        <w:rPr>
          <w:spacing w:val="-1"/>
          <w:sz w:val="18"/>
        </w:rPr>
        <w:t xml:space="preserve"> </w:t>
      </w:r>
      <w:r>
        <w:rPr>
          <w:sz w:val="18"/>
        </w:rPr>
        <w:t>Not</w:t>
      </w:r>
      <w:r>
        <w:rPr>
          <w:spacing w:val="-3"/>
          <w:sz w:val="18"/>
        </w:rPr>
        <w:t xml:space="preserve"> </w:t>
      </w:r>
      <w:r>
        <w:rPr>
          <w:sz w:val="18"/>
        </w:rPr>
        <w:t>Report</w:t>
      </w:r>
      <w:r>
        <w:rPr>
          <w:spacing w:val="-3"/>
          <w:sz w:val="18"/>
        </w:rPr>
        <w:t xml:space="preserve"> </w:t>
      </w:r>
      <w:r>
        <w:rPr>
          <w:sz w:val="18"/>
        </w:rPr>
        <w:t>Sexual</w:t>
      </w:r>
      <w:r>
        <w:rPr>
          <w:spacing w:val="-3"/>
          <w:sz w:val="18"/>
        </w:rPr>
        <w:t xml:space="preserve"> </w:t>
      </w:r>
      <w:r>
        <w:rPr>
          <w:sz w:val="18"/>
        </w:rPr>
        <w:t xml:space="preserve">Violence,” </w:t>
      </w:r>
      <w:r>
        <w:rPr>
          <w:i/>
          <w:sz w:val="18"/>
        </w:rPr>
        <w:t>International Journal of Environm</w:t>
      </w:r>
      <w:r>
        <w:rPr>
          <w:i/>
          <w:sz w:val="18"/>
        </w:rPr>
        <w:t xml:space="preserve">ental Research and Public Health </w:t>
      </w:r>
      <w:r>
        <w:rPr>
          <w:sz w:val="18"/>
        </w:rPr>
        <w:t xml:space="preserve">20, no. 3 (January 22, 2023): 2020, </w:t>
      </w:r>
      <w:r>
        <w:rPr>
          <w:spacing w:val="-2"/>
          <w:sz w:val="18"/>
        </w:rPr>
        <w:t>https://doi.org/10.3390/ijerph20032020.</w:t>
      </w:r>
    </w:p>
    <w:p w:rsidR="00200FDA" w:rsidRDefault="00F76C4C">
      <w:pPr>
        <w:ind w:left="140"/>
        <w:rPr>
          <w:sz w:val="18"/>
        </w:rPr>
      </w:pPr>
      <w:r>
        <w:rPr>
          <w:position w:val="5"/>
          <w:sz w:val="12"/>
        </w:rPr>
        <w:t>46</w:t>
      </w:r>
      <w:r>
        <w:rPr>
          <w:spacing w:val="8"/>
          <w:position w:val="5"/>
          <w:sz w:val="12"/>
        </w:rPr>
        <w:t xml:space="preserve"> </w:t>
      </w:r>
      <w:r>
        <w:rPr>
          <w:sz w:val="18"/>
        </w:rPr>
        <w:t>Thoma,</w:t>
      </w:r>
      <w:r>
        <w:rPr>
          <w:spacing w:val="-2"/>
          <w:sz w:val="18"/>
        </w:rPr>
        <w:t xml:space="preserve"> </w:t>
      </w:r>
      <w:r>
        <w:rPr>
          <w:sz w:val="18"/>
        </w:rPr>
        <w:t>Brian,</w:t>
      </w:r>
      <w:r>
        <w:rPr>
          <w:spacing w:val="-2"/>
          <w:sz w:val="18"/>
        </w:rPr>
        <w:t xml:space="preserve"> </w:t>
      </w:r>
      <w:r>
        <w:rPr>
          <w:sz w:val="18"/>
        </w:rPr>
        <w:t>et</w:t>
      </w:r>
      <w:r>
        <w:rPr>
          <w:spacing w:val="-2"/>
          <w:sz w:val="18"/>
        </w:rPr>
        <w:t xml:space="preserve"> </w:t>
      </w:r>
      <w:r>
        <w:rPr>
          <w:sz w:val="18"/>
        </w:rPr>
        <w:t>al.</w:t>
      </w:r>
      <w:r>
        <w:rPr>
          <w:spacing w:val="-2"/>
          <w:sz w:val="18"/>
        </w:rPr>
        <w:t xml:space="preserve"> </w:t>
      </w:r>
      <w:r>
        <w:rPr>
          <w:sz w:val="18"/>
        </w:rPr>
        <w:t>August</w:t>
      </w:r>
      <w:r>
        <w:rPr>
          <w:spacing w:val="-3"/>
          <w:sz w:val="18"/>
        </w:rPr>
        <w:t xml:space="preserve"> </w:t>
      </w:r>
      <w:r>
        <w:rPr>
          <w:sz w:val="18"/>
        </w:rPr>
        <w:t>2021.</w:t>
      </w:r>
      <w:r>
        <w:rPr>
          <w:spacing w:val="-1"/>
          <w:sz w:val="18"/>
        </w:rPr>
        <w:t xml:space="preserve"> </w:t>
      </w:r>
      <w:r>
        <w:rPr>
          <w:sz w:val="18"/>
        </w:rPr>
        <w:t>“Disparities</w:t>
      </w:r>
      <w:r>
        <w:rPr>
          <w:spacing w:val="-3"/>
          <w:sz w:val="18"/>
        </w:rPr>
        <w:t xml:space="preserve"> </w:t>
      </w:r>
      <w:r>
        <w:rPr>
          <w:sz w:val="18"/>
        </w:rPr>
        <w:t>in</w:t>
      </w:r>
      <w:r>
        <w:rPr>
          <w:spacing w:val="-2"/>
          <w:sz w:val="18"/>
        </w:rPr>
        <w:t xml:space="preserve"> </w:t>
      </w:r>
      <w:r>
        <w:rPr>
          <w:sz w:val="18"/>
        </w:rPr>
        <w:t>Childhood</w:t>
      </w:r>
      <w:r>
        <w:rPr>
          <w:spacing w:val="-3"/>
          <w:sz w:val="18"/>
        </w:rPr>
        <w:t xml:space="preserve"> </w:t>
      </w:r>
      <w:r>
        <w:rPr>
          <w:sz w:val="18"/>
        </w:rPr>
        <w:t>Abuse</w:t>
      </w:r>
      <w:r>
        <w:rPr>
          <w:spacing w:val="-1"/>
          <w:sz w:val="18"/>
        </w:rPr>
        <w:t xml:space="preserve"> </w:t>
      </w:r>
      <w:r>
        <w:rPr>
          <w:sz w:val="18"/>
        </w:rPr>
        <w:t>Between</w:t>
      </w:r>
      <w:r>
        <w:rPr>
          <w:spacing w:val="-3"/>
          <w:sz w:val="18"/>
        </w:rPr>
        <w:t xml:space="preserve"> </w:t>
      </w:r>
      <w:r>
        <w:rPr>
          <w:sz w:val="18"/>
        </w:rPr>
        <w:t>Transgender</w:t>
      </w:r>
      <w:r>
        <w:rPr>
          <w:spacing w:val="-2"/>
          <w:sz w:val="18"/>
        </w:rPr>
        <w:t xml:space="preserve"> </w:t>
      </w:r>
      <w:r>
        <w:rPr>
          <w:sz w:val="18"/>
        </w:rPr>
        <w:t>and</w:t>
      </w:r>
      <w:r>
        <w:rPr>
          <w:spacing w:val="-3"/>
          <w:sz w:val="18"/>
        </w:rPr>
        <w:t xml:space="preserve"> </w:t>
      </w:r>
      <w:r>
        <w:rPr>
          <w:sz w:val="18"/>
        </w:rPr>
        <w:t>Cisgender</w:t>
      </w:r>
      <w:r>
        <w:rPr>
          <w:spacing w:val="-2"/>
          <w:sz w:val="18"/>
        </w:rPr>
        <w:t xml:space="preserve"> Adolescents.”</w:t>
      </w:r>
    </w:p>
    <w:p w:rsidR="00200FDA" w:rsidRDefault="00F76C4C">
      <w:pPr>
        <w:spacing w:line="219" w:lineRule="exact"/>
        <w:ind w:left="139"/>
        <w:rPr>
          <w:sz w:val="18"/>
        </w:rPr>
      </w:pPr>
      <w:r>
        <w:rPr>
          <w:i/>
          <w:sz w:val="18"/>
        </w:rPr>
        <w:t>Pediatrics</w:t>
      </w:r>
      <w:r>
        <w:rPr>
          <w:sz w:val="18"/>
        </w:rPr>
        <w:t>:</w:t>
      </w:r>
      <w:r>
        <w:rPr>
          <w:spacing w:val="-3"/>
          <w:sz w:val="18"/>
        </w:rPr>
        <w:t xml:space="preserve"> </w:t>
      </w:r>
      <w:r>
        <w:rPr>
          <w:sz w:val="18"/>
        </w:rPr>
        <w:t>Volume</w:t>
      </w:r>
      <w:r>
        <w:rPr>
          <w:spacing w:val="-3"/>
          <w:sz w:val="18"/>
        </w:rPr>
        <w:t xml:space="preserve"> </w:t>
      </w:r>
      <w:r>
        <w:rPr>
          <w:sz w:val="18"/>
        </w:rPr>
        <w:t>148,</w:t>
      </w:r>
      <w:r>
        <w:rPr>
          <w:spacing w:val="-2"/>
          <w:sz w:val="18"/>
        </w:rPr>
        <w:t xml:space="preserve"> </w:t>
      </w:r>
      <w:r>
        <w:rPr>
          <w:sz w:val="18"/>
        </w:rPr>
        <w:t>Issue</w:t>
      </w:r>
      <w:r>
        <w:rPr>
          <w:spacing w:val="-3"/>
          <w:sz w:val="18"/>
        </w:rPr>
        <w:t xml:space="preserve"> </w:t>
      </w:r>
      <w:r>
        <w:rPr>
          <w:sz w:val="18"/>
        </w:rPr>
        <w:t>2.</w:t>
      </w:r>
      <w:r>
        <w:rPr>
          <w:spacing w:val="38"/>
          <w:sz w:val="18"/>
        </w:rPr>
        <w:t xml:space="preserve"> </w:t>
      </w:r>
      <w:hyperlink r:id="rId559">
        <w:r>
          <w:rPr>
            <w:color w:val="0000FF"/>
            <w:spacing w:val="-2"/>
            <w:sz w:val="18"/>
            <w:u w:val="single" w:color="0000FF"/>
          </w:rPr>
          <w:t>https://pubmed.ncbi.nlm.nih.gov/34226247/</w:t>
        </w:r>
        <w:r>
          <w:rPr>
            <w:spacing w:val="-2"/>
            <w:sz w:val="18"/>
          </w:rPr>
          <w:t>.</w:t>
        </w:r>
      </w:hyperlink>
    </w:p>
    <w:p w:rsidR="00200FDA" w:rsidRDefault="00F76C4C">
      <w:pPr>
        <w:spacing w:line="219" w:lineRule="exact"/>
        <w:ind w:left="140"/>
        <w:rPr>
          <w:sz w:val="18"/>
        </w:rPr>
      </w:pPr>
      <w:r>
        <w:rPr>
          <w:position w:val="5"/>
          <w:sz w:val="12"/>
        </w:rPr>
        <w:t>47</w:t>
      </w:r>
      <w:r>
        <w:rPr>
          <w:spacing w:val="8"/>
          <w:position w:val="5"/>
          <w:sz w:val="12"/>
        </w:rPr>
        <w:t xml:space="preserve"> </w:t>
      </w:r>
      <w:r>
        <w:rPr>
          <w:sz w:val="18"/>
        </w:rPr>
        <w:t>Thoma,</w:t>
      </w:r>
      <w:r>
        <w:rPr>
          <w:spacing w:val="-2"/>
          <w:sz w:val="18"/>
        </w:rPr>
        <w:t xml:space="preserve"> </w:t>
      </w:r>
      <w:r>
        <w:rPr>
          <w:sz w:val="18"/>
        </w:rPr>
        <w:t>Brian,</w:t>
      </w:r>
      <w:r>
        <w:rPr>
          <w:spacing w:val="-2"/>
          <w:sz w:val="18"/>
        </w:rPr>
        <w:t xml:space="preserve"> </w:t>
      </w:r>
      <w:r>
        <w:rPr>
          <w:sz w:val="18"/>
        </w:rPr>
        <w:t>et</w:t>
      </w:r>
      <w:r>
        <w:rPr>
          <w:spacing w:val="-2"/>
          <w:sz w:val="18"/>
        </w:rPr>
        <w:t xml:space="preserve"> </w:t>
      </w:r>
      <w:r>
        <w:rPr>
          <w:sz w:val="18"/>
        </w:rPr>
        <w:t>al.</w:t>
      </w:r>
      <w:r>
        <w:rPr>
          <w:spacing w:val="-2"/>
          <w:sz w:val="18"/>
        </w:rPr>
        <w:t xml:space="preserve"> </w:t>
      </w:r>
      <w:r>
        <w:rPr>
          <w:sz w:val="18"/>
        </w:rPr>
        <w:t>August</w:t>
      </w:r>
      <w:r>
        <w:rPr>
          <w:spacing w:val="-3"/>
          <w:sz w:val="18"/>
        </w:rPr>
        <w:t xml:space="preserve"> </w:t>
      </w:r>
      <w:r>
        <w:rPr>
          <w:sz w:val="18"/>
        </w:rPr>
        <w:t>2021.</w:t>
      </w:r>
      <w:r>
        <w:rPr>
          <w:spacing w:val="-1"/>
          <w:sz w:val="18"/>
        </w:rPr>
        <w:t xml:space="preserve"> </w:t>
      </w:r>
      <w:r>
        <w:rPr>
          <w:sz w:val="18"/>
        </w:rPr>
        <w:t>“Disparities</w:t>
      </w:r>
      <w:r>
        <w:rPr>
          <w:spacing w:val="-3"/>
          <w:sz w:val="18"/>
        </w:rPr>
        <w:t xml:space="preserve"> </w:t>
      </w:r>
      <w:r>
        <w:rPr>
          <w:sz w:val="18"/>
        </w:rPr>
        <w:t>in</w:t>
      </w:r>
      <w:r>
        <w:rPr>
          <w:spacing w:val="-2"/>
          <w:sz w:val="18"/>
        </w:rPr>
        <w:t xml:space="preserve"> </w:t>
      </w:r>
      <w:r>
        <w:rPr>
          <w:sz w:val="18"/>
        </w:rPr>
        <w:t>Childhood</w:t>
      </w:r>
      <w:r>
        <w:rPr>
          <w:spacing w:val="-3"/>
          <w:sz w:val="18"/>
        </w:rPr>
        <w:t xml:space="preserve"> </w:t>
      </w:r>
      <w:r>
        <w:rPr>
          <w:sz w:val="18"/>
        </w:rPr>
        <w:t>Abuse</w:t>
      </w:r>
      <w:r>
        <w:rPr>
          <w:spacing w:val="-1"/>
          <w:sz w:val="18"/>
        </w:rPr>
        <w:t xml:space="preserve"> </w:t>
      </w:r>
      <w:r>
        <w:rPr>
          <w:sz w:val="18"/>
        </w:rPr>
        <w:t>Between</w:t>
      </w:r>
      <w:r>
        <w:rPr>
          <w:spacing w:val="-3"/>
          <w:sz w:val="18"/>
        </w:rPr>
        <w:t xml:space="preserve"> </w:t>
      </w:r>
      <w:r>
        <w:rPr>
          <w:sz w:val="18"/>
        </w:rPr>
        <w:t>Transgender</w:t>
      </w:r>
      <w:r>
        <w:rPr>
          <w:spacing w:val="-2"/>
          <w:sz w:val="18"/>
        </w:rPr>
        <w:t xml:space="preserve"> </w:t>
      </w:r>
      <w:r>
        <w:rPr>
          <w:sz w:val="18"/>
        </w:rPr>
        <w:t>and</w:t>
      </w:r>
      <w:r>
        <w:rPr>
          <w:spacing w:val="-3"/>
          <w:sz w:val="18"/>
        </w:rPr>
        <w:t xml:space="preserve"> </w:t>
      </w:r>
      <w:r>
        <w:rPr>
          <w:sz w:val="18"/>
        </w:rPr>
        <w:t>Cisgender</w:t>
      </w:r>
      <w:r>
        <w:rPr>
          <w:spacing w:val="-2"/>
          <w:sz w:val="18"/>
        </w:rPr>
        <w:t xml:space="preserve"> Adolescents.”</w:t>
      </w:r>
    </w:p>
    <w:p w:rsidR="00200FDA" w:rsidRDefault="00F76C4C">
      <w:pPr>
        <w:spacing w:before="1" w:line="219" w:lineRule="exact"/>
        <w:ind w:left="140"/>
        <w:rPr>
          <w:sz w:val="18"/>
        </w:rPr>
      </w:pPr>
      <w:r>
        <w:rPr>
          <w:i/>
          <w:sz w:val="18"/>
        </w:rPr>
        <w:t>Pediatrics</w:t>
      </w:r>
      <w:r>
        <w:rPr>
          <w:sz w:val="18"/>
        </w:rPr>
        <w:t>:</w:t>
      </w:r>
      <w:r>
        <w:rPr>
          <w:spacing w:val="-3"/>
          <w:sz w:val="18"/>
        </w:rPr>
        <w:t xml:space="preserve"> </w:t>
      </w:r>
      <w:r>
        <w:rPr>
          <w:sz w:val="18"/>
        </w:rPr>
        <w:t>Volume</w:t>
      </w:r>
      <w:r>
        <w:rPr>
          <w:spacing w:val="-3"/>
          <w:sz w:val="18"/>
        </w:rPr>
        <w:t xml:space="preserve"> </w:t>
      </w:r>
      <w:r>
        <w:rPr>
          <w:sz w:val="18"/>
        </w:rPr>
        <w:t>148,</w:t>
      </w:r>
      <w:r>
        <w:rPr>
          <w:spacing w:val="-2"/>
          <w:sz w:val="18"/>
        </w:rPr>
        <w:t xml:space="preserve"> </w:t>
      </w:r>
      <w:r>
        <w:rPr>
          <w:sz w:val="18"/>
        </w:rPr>
        <w:t>Issue</w:t>
      </w:r>
      <w:r>
        <w:rPr>
          <w:spacing w:val="-3"/>
          <w:sz w:val="18"/>
        </w:rPr>
        <w:t xml:space="preserve"> </w:t>
      </w:r>
      <w:r>
        <w:rPr>
          <w:sz w:val="18"/>
        </w:rPr>
        <w:t>2.</w:t>
      </w:r>
      <w:r>
        <w:rPr>
          <w:spacing w:val="38"/>
          <w:sz w:val="18"/>
        </w:rPr>
        <w:t xml:space="preserve"> </w:t>
      </w:r>
      <w:hyperlink r:id="rId560">
        <w:r>
          <w:rPr>
            <w:color w:val="0000FF"/>
            <w:spacing w:val="-2"/>
            <w:sz w:val="18"/>
            <w:u w:val="single" w:color="0000FF"/>
          </w:rPr>
          <w:t>https://pubmed.ncbi.nlm.nih.gov/34226247/</w:t>
        </w:r>
        <w:r>
          <w:rPr>
            <w:spacing w:val="-2"/>
            <w:sz w:val="18"/>
          </w:rPr>
          <w:t>.</w:t>
        </w:r>
      </w:hyperlink>
    </w:p>
    <w:p w:rsidR="00200FDA" w:rsidRDefault="00F76C4C">
      <w:pPr>
        <w:spacing w:line="219" w:lineRule="exact"/>
        <w:ind w:left="140"/>
        <w:rPr>
          <w:sz w:val="18"/>
        </w:rPr>
      </w:pPr>
      <w:r>
        <w:rPr>
          <w:position w:val="5"/>
          <w:sz w:val="12"/>
        </w:rPr>
        <w:t>48</w:t>
      </w:r>
      <w:r>
        <w:rPr>
          <w:spacing w:val="11"/>
          <w:position w:val="5"/>
          <w:sz w:val="12"/>
        </w:rPr>
        <w:t xml:space="preserve"> </w:t>
      </w:r>
      <w:r>
        <w:rPr>
          <w:sz w:val="18"/>
        </w:rPr>
        <w:t>2021</w:t>
      </w:r>
      <w:r>
        <w:rPr>
          <w:spacing w:val="-1"/>
          <w:sz w:val="18"/>
        </w:rPr>
        <w:t xml:space="preserve"> </w:t>
      </w:r>
      <w:r>
        <w:rPr>
          <w:sz w:val="18"/>
        </w:rPr>
        <w:t>MYRBS</w:t>
      </w:r>
      <w:r>
        <w:rPr>
          <w:spacing w:val="-2"/>
          <w:sz w:val="18"/>
        </w:rPr>
        <w:t xml:space="preserve"> </w:t>
      </w:r>
      <w:r>
        <w:rPr>
          <w:sz w:val="18"/>
        </w:rPr>
        <w:t>Analysis</w:t>
      </w:r>
      <w:r>
        <w:rPr>
          <w:spacing w:val="-1"/>
          <w:sz w:val="18"/>
        </w:rPr>
        <w:t xml:space="preserve"> </w:t>
      </w:r>
      <w:r>
        <w:rPr>
          <w:sz w:val="18"/>
        </w:rPr>
        <w:t>–</w:t>
      </w:r>
      <w:r>
        <w:rPr>
          <w:spacing w:val="-2"/>
          <w:sz w:val="18"/>
        </w:rPr>
        <w:t xml:space="preserve"> </w:t>
      </w:r>
      <w:r>
        <w:rPr>
          <w:sz w:val="18"/>
        </w:rPr>
        <w:t>data</w:t>
      </w:r>
      <w:r>
        <w:rPr>
          <w:spacing w:val="-1"/>
          <w:sz w:val="18"/>
        </w:rPr>
        <w:t xml:space="preserve"> </w:t>
      </w:r>
      <w:r>
        <w:rPr>
          <w:sz w:val="18"/>
        </w:rPr>
        <w:t>on</w:t>
      </w:r>
      <w:r>
        <w:rPr>
          <w:spacing w:val="-2"/>
          <w:sz w:val="18"/>
        </w:rPr>
        <w:t xml:space="preserve"> </w:t>
      </w:r>
      <w:r>
        <w:rPr>
          <w:sz w:val="18"/>
        </w:rPr>
        <w:t>file</w:t>
      </w:r>
      <w:r>
        <w:rPr>
          <w:spacing w:val="-1"/>
          <w:sz w:val="18"/>
        </w:rPr>
        <w:t xml:space="preserve"> </w:t>
      </w:r>
      <w:r>
        <w:rPr>
          <w:sz w:val="18"/>
        </w:rPr>
        <w:t>with</w:t>
      </w:r>
      <w:r>
        <w:rPr>
          <w:spacing w:val="-2"/>
          <w:sz w:val="18"/>
        </w:rPr>
        <w:t xml:space="preserve"> Commission.</w:t>
      </w:r>
    </w:p>
    <w:p w:rsidR="00200FDA" w:rsidRDefault="00F76C4C">
      <w:pPr>
        <w:spacing w:before="1"/>
        <w:ind w:left="140" w:hanging="1"/>
        <w:rPr>
          <w:sz w:val="18"/>
        </w:rPr>
      </w:pPr>
      <w:r>
        <w:pict>
          <v:rect id="docshape364" o:spid="_x0000_s1233" style="position:absolute;left:0;text-align:left;margin-left:375.85pt;margin-top:20.5pt;width:2.3pt;height:.6pt;z-index:15793152;mso-position-horizontal-relative:page" fillcolor="#1154cc" stroked="f">
            <w10:wrap anchorx="page"/>
          </v:rect>
        </w:pict>
      </w:r>
      <w:r>
        <w:rPr>
          <w:position w:val="5"/>
          <w:sz w:val="12"/>
        </w:rPr>
        <w:t>49</w:t>
      </w:r>
      <w:r>
        <w:rPr>
          <w:spacing w:val="9"/>
          <w:position w:val="5"/>
          <w:sz w:val="12"/>
        </w:rPr>
        <w:t xml:space="preserve"> </w:t>
      </w:r>
      <w:r>
        <w:rPr>
          <w:sz w:val="18"/>
        </w:rPr>
        <w:t>Office</w:t>
      </w:r>
      <w:r>
        <w:rPr>
          <w:spacing w:val="-4"/>
          <w:sz w:val="18"/>
        </w:rPr>
        <w:t xml:space="preserve"> </w:t>
      </w:r>
      <w:r>
        <w:rPr>
          <w:sz w:val="18"/>
        </w:rPr>
        <w:t>for</w:t>
      </w:r>
      <w:r>
        <w:rPr>
          <w:spacing w:val="-4"/>
          <w:sz w:val="18"/>
        </w:rPr>
        <w:t xml:space="preserve"> </w:t>
      </w:r>
      <w:r>
        <w:rPr>
          <w:sz w:val="18"/>
        </w:rPr>
        <w:t>Victims</w:t>
      </w:r>
      <w:r>
        <w:rPr>
          <w:spacing w:val="-4"/>
          <w:sz w:val="18"/>
        </w:rPr>
        <w:t xml:space="preserve"> </w:t>
      </w:r>
      <w:r>
        <w:rPr>
          <w:sz w:val="18"/>
        </w:rPr>
        <w:t>of</w:t>
      </w:r>
      <w:r>
        <w:rPr>
          <w:spacing w:val="-3"/>
          <w:sz w:val="18"/>
        </w:rPr>
        <w:t xml:space="preserve"> </w:t>
      </w:r>
      <w:r>
        <w:rPr>
          <w:sz w:val="18"/>
        </w:rPr>
        <w:t>Crime.</w:t>
      </w:r>
      <w:r>
        <w:rPr>
          <w:spacing w:val="-3"/>
          <w:sz w:val="18"/>
        </w:rPr>
        <w:t xml:space="preserve"> </w:t>
      </w:r>
      <w:r>
        <w:rPr>
          <w:sz w:val="18"/>
        </w:rPr>
        <w:t>June</w:t>
      </w:r>
      <w:r>
        <w:rPr>
          <w:spacing w:val="-4"/>
          <w:sz w:val="18"/>
        </w:rPr>
        <w:t xml:space="preserve"> </w:t>
      </w:r>
      <w:r>
        <w:rPr>
          <w:sz w:val="18"/>
        </w:rPr>
        <w:t>2014.</w:t>
      </w:r>
      <w:r>
        <w:rPr>
          <w:spacing w:val="-3"/>
          <w:sz w:val="18"/>
        </w:rPr>
        <w:t xml:space="preserve"> </w:t>
      </w:r>
      <w:r>
        <w:rPr>
          <w:sz w:val="18"/>
        </w:rPr>
        <w:t>“Sexual</w:t>
      </w:r>
      <w:r>
        <w:rPr>
          <w:spacing w:val="-2"/>
          <w:sz w:val="18"/>
        </w:rPr>
        <w:t xml:space="preserve"> </w:t>
      </w:r>
      <w:r>
        <w:rPr>
          <w:sz w:val="18"/>
        </w:rPr>
        <w:t>Assault</w:t>
      </w:r>
      <w:r>
        <w:rPr>
          <w:spacing w:val="-4"/>
          <w:sz w:val="18"/>
        </w:rPr>
        <w:t xml:space="preserve"> </w:t>
      </w:r>
      <w:r>
        <w:rPr>
          <w:sz w:val="18"/>
        </w:rPr>
        <w:t>in</w:t>
      </w:r>
      <w:r>
        <w:rPr>
          <w:spacing w:val="-2"/>
          <w:sz w:val="18"/>
        </w:rPr>
        <w:t xml:space="preserve"> </w:t>
      </w:r>
      <w:r>
        <w:rPr>
          <w:sz w:val="18"/>
        </w:rPr>
        <w:t>the</w:t>
      </w:r>
      <w:r>
        <w:rPr>
          <w:spacing w:val="-4"/>
          <w:sz w:val="18"/>
        </w:rPr>
        <w:t xml:space="preserve"> </w:t>
      </w:r>
      <w:r>
        <w:rPr>
          <w:sz w:val="18"/>
        </w:rPr>
        <w:t>Transgender</w:t>
      </w:r>
      <w:r>
        <w:rPr>
          <w:spacing w:val="-4"/>
          <w:sz w:val="18"/>
        </w:rPr>
        <w:t xml:space="preserve"> </w:t>
      </w:r>
      <w:r>
        <w:rPr>
          <w:sz w:val="18"/>
        </w:rPr>
        <w:t>Community:</w:t>
      </w:r>
      <w:r>
        <w:rPr>
          <w:spacing w:val="-3"/>
          <w:sz w:val="18"/>
        </w:rPr>
        <w:t xml:space="preserve"> </w:t>
      </w:r>
      <w:r>
        <w:rPr>
          <w:sz w:val="18"/>
        </w:rPr>
        <w:t>The</w:t>
      </w:r>
      <w:r>
        <w:rPr>
          <w:spacing w:val="-4"/>
          <w:sz w:val="18"/>
        </w:rPr>
        <w:t xml:space="preserve"> </w:t>
      </w:r>
      <w:r>
        <w:rPr>
          <w:sz w:val="18"/>
        </w:rPr>
        <w:t xml:space="preserve">Numbers.” </w:t>
      </w:r>
      <w:hyperlink r:id="rId561">
        <w:r>
          <w:rPr>
            <w:color w:val="0000FF"/>
            <w:spacing w:val="-2"/>
            <w:sz w:val="18"/>
            <w:u w:val="single" w:color="0000FF"/>
          </w:rPr>
          <w:t>https://ovc.ojp.gov/sites/g/files/xyckuh226/files/pubs/forge/sexual_numbers.html</w:t>
        </w:r>
        <w:r>
          <w:rPr>
            <w:color w:val="1154CC"/>
            <w:spacing w:val="-2"/>
            <w:sz w:val="18"/>
          </w:rPr>
          <w:t>.</w:t>
        </w:r>
      </w:hyperlink>
    </w:p>
    <w:p w:rsidR="00200FDA" w:rsidRDefault="00F76C4C">
      <w:pPr>
        <w:ind w:left="140" w:right="517" w:hanging="1"/>
        <w:rPr>
          <w:sz w:val="18"/>
        </w:rPr>
      </w:pPr>
      <w:r>
        <w:pict>
          <v:rect id="docshape365" o:spid="_x0000_s1232" style="position:absolute;left:0;text-align:left;margin-left:420.95pt;margin-top:20.55pt;width:2.3pt;height:.6pt;z-index:15793664;mso-position-horizontal-relative:page" fillcolor="#1154cc" stroked="f">
            <w10:wrap anchorx="page"/>
          </v:rect>
        </w:pict>
      </w:r>
      <w:r>
        <w:rPr>
          <w:position w:val="5"/>
          <w:sz w:val="12"/>
        </w:rPr>
        <w:t>50</w:t>
      </w:r>
      <w:r>
        <w:rPr>
          <w:spacing w:val="10"/>
          <w:position w:val="5"/>
          <w:sz w:val="12"/>
        </w:rPr>
        <w:t xml:space="preserve"> </w:t>
      </w:r>
      <w:r>
        <w:rPr>
          <w:sz w:val="18"/>
        </w:rPr>
        <w:t>National</w:t>
      </w:r>
      <w:r>
        <w:rPr>
          <w:spacing w:val="-3"/>
          <w:sz w:val="18"/>
        </w:rPr>
        <w:t xml:space="preserve"> </w:t>
      </w:r>
      <w:r>
        <w:rPr>
          <w:sz w:val="18"/>
        </w:rPr>
        <w:t>Center</w:t>
      </w:r>
      <w:r>
        <w:rPr>
          <w:spacing w:val="-3"/>
          <w:sz w:val="18"/>
        </w:rPr>
        <w:t xml:space="preserve"> </w:t>
      </w:r>
      <w:r>
        <w:rPr>
          <w:sz w:val="18"/>
        </w:rPr>
        <w:t>for</w:t>
      </w:r>
      <w:r>
        <w:rPr>
          <w:spacing w:val="-3"/>
          <w:sz w:val="18"/>
        </w:rPr>
        <w:t xml:space="preserve"> </w:t>
      </w:r>
      <w:r>
        <w:rPr>
          <w:sz w:val="18"/>
        </w:rPr>
        <w:t>Injury</w:t>
      </w:r>
      <w:r>
        <w:rPr>
          <w:spacing w:val="-2"/>
          <w:sz w:val="18"/>
        </w:rPr>
        <w:t xml:space="preserve"> </w:t>
      </w:r>
      <w:r>
        <w:rPr>
          <w:sz w:val="18"/>
        </w:rPr>
        <w:t>Prevention</w:t>
      </w:r>
      <w:r>
        <w:rPr>
          <w:spacing w:val="-3"/>
          <w:sz w:val="18"/>
        </w:rPr>
        <w:t xml:space="preserve"> </w:t>
      </w:r>
      <w:r>
        <w:rPr>
          <w:sz w:val="18"/>
        </w:rPr>
        <w:t>and</w:t>
      </w:r>
      <w:r>
        <w:rPr>
          <w:spacing w:val="-3"/>
          <w:sz w:val="18"/>
        </w:rPr>
        <w:t xml:space="preserve"> </w:t>
      </w:r>
      <w:r>
        <w:rPr>
          <w:sz w:val="18"/>
        </w:rPr>
        <w:t>Control.</w:t>
      </w:r>
      <w:r>
        <w:rPr>
          <w:spacing w:val="-2"/>
          <w:sz w:val="18"/>
        </w:rPr>
        <w:t xml:space="preserve"> </w:t>
      </w:r>
      <w:r>
        <w:rPr>
          <w:sz w:val="18"/>
        </w:rPr>
        <w:t>“NISVS:</w:t>
      </w:r>
      <w:r>
        <w:rPr>
          <w:spacing w:val="-2"/>
          <w:sz w:val="18"/>
        </w:rPr>
        <w:t xml:space="preserve"> </w:t>
      </w:r>
      <w:r>
        <w:rPr>
          <w:sz w:val="18"/>
        </w:rPr>
        <w:t>A</w:t>
      </w:r>
      <w:r>
        <w:rPr>
          <w:sz w:val="18"/>
        </w:rPr>
        <w:t>n</w:t>
      </w:r>
      <w:r>
        <w:rPr>
          <w:spacing w:val="-3"/>
          <w:sz w:val="18"/>
        </w:rPr>
        <w:t xml:space="preserve"> </w:t>
      </w:r>
      <w:r>
        <w:rPr>
          <w:sz w:val="18"/>
        </w:rPr>
        <w:t>Overview</w:t>
      </w:r>
      <w:r>
        <w:rPr>
          <w:spacing w:val="-1"/>
          <w:sz w:val="18"/>
        </w:rPr>
        <w:t xml:space="preserve"> </w:t>
      </w:r>
      <w:r>
        <w:rPr>
          <w:sz w:val="18"/>
        </w:rPr>
        <w:t>of</w:t>
      </w:r>
      <w:r>
        <w:rPr>
          <w:spacing w:val="-2"/>
          <w:sz w:val="18"/>
        </w:rPr>
        <w:t xml:space="preserve"> </w:t>
      </w:r>
      <w:r>
        <w:rPr>
          <w:sz w:val="18"/>
        </w:rPr>
        <w:t>2010</w:t>
      </w:r>
      <w:r>
        <w:rPr>
          <w:spacing w:val="-2"/>
          <w:sz w:val="18"/>
        </w:rPr>
        <w:t xml:space="preserve"> </w:t>
      </w:r>
      <w:r>
        <w:rPr>
          <w:sz w:val="18"/>
        </w:rPr>
        <w:t>Findings</w:t>
      </w:r>
      <w:r>
        <w:rPr>
          <w:spacing w:val="-3"/>
          <w:sz w:val="18"/>
        </w:rPr>
        <w:t xml:space="preserve"> </w:t>
      </w:r>
      <w:r>
        <w:rPr>
          <w:sz w:val="18"/>
        </w:rPr>
        <w:t>on</w:t>
      </w:r>
      <w:r>
        <w:rPr>
          <w:spacing w:val="-3"/>
          <w:sz w:val="18"/>
        </w:rPr>
        <w:t xml:space="preserve"> </w:t>
      </w:r>
      <w:r>
        <w:rPr>
          <w:sz w:val="18"/>
        </w:rPr>
        <w:t>Victimization</w:t>
      </w:r>
      <w:r>
        <w:rPr>
          <w:spacing w:val="-3"/>
          <w:sz w:val="18"/>
        </w:rPr>
        <w:t xml:space="preserve"> </w:t>
      </w:r>
      <w:r>
        <w:rPr>
          <w:sz w:val="18"/>
        </w:rPr>
        <w:t>by</w:t>
      </w:r>
      <w:r>
        <w:rPr>
          <w:spacing w:val="-2"/>
          <w:sz w:val="18"/>
        </w:rPr>
        <w:t xml:space="preserve"> </w:t>
      </w:r>
      <w:r>
        <w:rPr>
          <w:sz w:val="18"/>
        </w:rPr>
        <w:t xml:space="preserve">Sexual Orientation.” </w:t>
      </w:r>
      <w:hyperlink r:id="rId562">
        <w:r>
          <w:rPr>
            <w:color w:val="0000FF"/>
            <w:sz w:val="18"/>
            <w:u w:val="single" w:color="0000FF"/>
          </w:rPr>
          <w:t>https://www.cdc.gov/violenceprevention/pdf/cdc_nisvs_victimization_final-a.pdf</w:t>
        </w:r>
        <w:r>
          <w:rPr>
            <w:color w:val="1154CC"/>
            <w:sz w:val="18"/>
          </w:rPr>
          <w:t>.</w:t>
        </w:r>
      </w:hyperlink>
    </w:p>
    <w:p w:rsidR="00200FDA" w:rsidRDefault="00F76C4C">
      <w:pPr>
        <w:ind w:left="140" w:right="517"/>
        <w:rPr>
          <w:sz w:val="18"/>
        </w:rPr>
      </w:pPr>
      <w:r>
        <w:rPr>
          <w:position w:val="5"/>
          <w:sz w:val="12"/>
        </w:rPr>
        <w:t>51</w:t>
      </w:r>
      <w:r>
        <w:rPr>
          <w:spacing w:val="9"/>
          <w:position w:val="5"/>
          <w:sz w:val="12"/>
        </w:rPr>
        <w:t xml:space="preserve"> </w:t>
      </w:r>
      <w:r>
        <w:rPr>
          <w:sz w:val="18"/>
        </w:rPr>
        <w:t>Bauer,</w:t>
      </w:r>
      <w:r>
        <w:rPr>
          <w:spacing w:val="-3"/>
          <w:sz w:val="18"/>
        </w:rPr>
        <w:t xml:space="preserve"> </w:t>
      </w:r>
      <w:r>
        <w:rPr>
          <w:sz w:val="18"/>
        </w:rPr>
        <w:t>Elizabeth</w:t>
      </w:r>
      <w:r>
        <w:rPr>
          <w:spacing w:val="-4"/>
          <w:sz w:val="18"/>
        </w:rPr>
        <w:t xml:space="preserve"> </w:t>
      </w:r>
      <w:r>
        <w:rPr>
          <w:sz w:val="18"/>
        </w:rPr>
        <w:t>Edmondson,</w:t>
      </w:r>
      <w:r>
        <w:rPr>
          <w:spacing w:val="-3"/>
          <w:sz w:val="18"/>
        </w:rPr>
        <w:t xml:space="preserve"> </w:t>
      </w:r>
      <w:r>
        <w:rPr>
          <w:sz w:val="18"/>
        </w:rPr>
        <w:t>et</w:t>
      </w:r>
      <w:r>
        <w:rPr>
          <w:spacing w:val="-1"/>
          <w:sz w:val="18"/>
        </w:rPr>
        <w:t xml:space="preserve"> </w:t>
      </w:r>
      <w:r>
        <w:rPr>
          <w:sz w:val="18"/>
        </w:rPr>
        <w:t>al.</w:t>
      </w:r>
      <w:r>
        <w:rPr>
          <w:spacing w:val="-3"/>
          <w:sz w:val="18"/>
        </w:rPr>
        <w:t xml:space="preserve"> </w:t>
      </w:r>
      <w:r>
        <w:rPr>
          <w:sz w:val="18"/>
        </w:rPr>
        <w:t>“College-Aged</w:t>
      </w:r>
      <w:r>
        <w:rPr>
          <w:spacing w:val="-4"/>
          <w:sz w:val="18"/>
        </w:rPr>
        <w:t xml:space="preserve"> </w:t>
      </w:r>
      <w:r>
        <w:rPr>
          <w:sz w:val="18"/>
        </w:rPr>
        <w:t>but</w:t>
      </w:r>
      <w:r>
        <w:rPr>
          <w:spacing w:val="-4"/>
          <w:sz w:val="18"/>
        </w:rPr>
        <w:t xml:space="preserve"> </w:t>
      </w:r>
      <w:r>
        <w:rPr>
          <w:sz w:val="18"/>
        </w:rPr>
        <w:t>On</w:t>
      </w:r>
      <w:r>
        <w:rPr>
          <w:spacing w:val="-4"/>
          <w:sz w:val="18"/>
        </w:rPr>
        <w:t xml:space="preserve"> </w:t>
      </w:r>
      <w:r>
        <w:rPr>
          <w:sz w:val="18"/>
        </w:rPr>
        <w:t>the</w:t>
      </w:r>
      <w:r>
        <w:rPr>
          <w:spacing w:val="-2"/>
          <w:sz w:val="18"/>
        </w:rPr>
        <w:t xml:space="preserve"> </w:t>
      </w:r>
      <w:r>
        <w:rPr>
          <w:sz w:val="18"/>
        </w:rPr>
        <w:t>Streets:</w:t>
      </w:r>
      <w:r>
        <w:rPr>
          <w:spacing w:val="-4"/>
          <w:sz w:val="18"/>
        </w:rPr>
        <w:t xml:space="preserve"> </w:t>
      </w:r>
      <w:r>
        <w:rPr>
          <w:sz w:val="18"/>
        </w:rPr>
        <w:t>Young</w:t>
      </w:r>
      <w:r>
        <w:rPr>
          <w:spacing w:val="-4"/>
          <w:sz w:val="18"/>
        </w:rPr>
        <w:t xml:space="preserve"> </w:t>
      </w:r>
      <w:r>
        <w:rPr>
          <w:sz w:val="18"/>
        </w:rPr>
        <w:t>Adults</w:t>
      </w:r>
      <w:r>
        <w:rPr>
          <w:spacing w:val="-4"/>
          <w:sz w:val="18"/>
        </w:rPr>
        <w:t xml:space="preserve"> </w:t>
      </w:r>
      <w:r>
        <w:rPr>
          <w:sz w:val="18"/>
        </w:rPr>
        <w:t>Who</w:t>
      </w:r>
      <w:r>
        <w:rPr>
          <w:spacing w:val="-2"/>
          <w:sz w:val="18"/>
        </w:rPr>
        <w:t xml:space="preserve"> </w:t>
      </w:r>
      <w:r>
        <w:rPr>
          <w:sz w:val="18"/>
        </w:rPr>
        <w:t>Experience</w:t>
      </w:r>
      <w:r>
        <w:rPr>
          <w:spacing w:val="-4"/>
          <w:sz w:val="18"/>
        </w:rPr>
        <w:t xml:space="preserve"> </w:t>
      </w:r>
      <w:r>
        <w:rPr>
          <w:sz w:val="18"/>
        </w:rPr>
        <w:t>Homelessness</w:t>
      </w:r>
      <w:r>
        <w:rPr>
          <w:spacing w:val="-4"/>
          <w:sz w:val="18"/>
        </w:rPr>
        <w:t xml:space="preserve"> </w:t>
      </w:r>
      <w:r>
        <w:rPr>
          <w:sz w:val="18"/>
        </w:rPr>
        <w:t xml:space="preserve">and Sexual Violence,” page 4. National Sexual Assault Coalition Resource Sharing Project. </w:t>
      </w:r>
      <w:hyperlink r:id="rId563">
        <w:r>
          <w:rPr>
            <w:color w:val="0000FF"/>
            <w:sz w:val="18"/>
            <w:u w:val="single" w:color="0000FF"/>
          </w:rPr>
          <w:t>https://evawintl.org/wp-</w:t>
        </w:r>
      </w:hyperlink>
      <w:r>
        <w:rPr>
          <w:color w:val="0000FF"/>
          <w:sz w:val="18"/>
        </w:rPr>
        <w:t xml:space="preserve"> </w:t>
      </w:r>
      <w:hyperlink r:id="rId564">
        <w:r>
          <w:rPr>
            <w:color w:val="0000FF"/>
            <w:spacing w:val="-2"/>
            <w:sz w:val="18"/>
            <w:u w:val="single" w:color="0000FF"/>
          </w:rPr>
          <w:t>content/uploads/YoungAdultsWhoExperienceHomelessnessandSexualViolenceMay2017.pdf</w:t>
        </w:r>
        <w:r>
          <w:rPr>
            <w:spacing w:val="-2"/>
            <w:sz w:val="18"/>
          </w:rPr>
          <w:t>.</w:t>
        </w:r>
      </w:hyperlink>
    </w:p>
    <w:p w:rsidR="00200FDA" w:rsidRDefault="00F76C4C">
      <w:pPr>
        <w:ind w:left="140" w:right="235"/>
        <w:rPr>
          <w:sz w:val="18"/>
        </w:rPr>
      </w:pPr>
      <w:r>
        <w:pict>
          <v:rect id="docshape366" o:spid="_x0000_s1231" style="position:absolute;left:0;text-align:left;margin-left:532.1pt;margin-top:20.45pt;width:2.3pt;height:.6pt;z-index:15794176;mso-position-horizontal-relative:page" fillcolor="#1154cc" stroked="f">
            <w10:wrap anchorx="page"/>
          </v:rect>
        </w:pict>
      </w:r>
      <w:r>
        <w:pict>
          <v:rect id="docshape367" o:spid="_x0000_s1230" style="position:absolute;left:0;text-align:left;margin-left:283.2pt;margin-top:42.4pt;width:2.3pt;height:.6pt;z-index:15794688;mso-position-horizontal-relative:page" fillcolor="#1154cc" stroked="f">
            <w10:wrap anchorx="page"/>
          </v:rect>
        </w:pict>
      </w:r>
      <w:r>
        <w:rPr>
          <w:position w:val="5"/>
          <w:sz w:val="12"/>
        </w:rPr>
        <w:t>52</w:t>
      </w:r>
      <w:r>
        <w:rPr>
          <w:spacing w:val="19"/>
          <w:position w:val="5"/>
          <w:sz w:val="12"/>
        </w:rPr>
        <w:t xml:space="preserve"> </w:t>
      </w:r>
      <w:r>
        <w:rPr>
          <w:sz w:val="18"/>
        </w:rPr>
        <w:t>National Center for Transgender Equality. December 18, 2014. “Federal Survey: 40% of Transgender Prisoners Are Sexually Abused</w:t>
      </w:r>
      <w:r>
        <w:rPr>
          <w:spacing w:val="-8"/>
          <w:sz w:val="18"/>
        </w:rPr>
        <w:t xml:space="preserve"> </w:t>
      </w:r>
      <w:r>
        <w:rPr>
          <w:sz w:val="18"/>
        </w:rPr>
        <w:t>Each</w:t>
      </w:r>
      <w:r>
        <w:rPr>
          <w:spacing w:val="-8"/>
          <w:sz w:val="18"/>
        </w:rPr>
        <w:t xml:space="preserve"> </w:t>
      </w:r>
      <w:r>
        <w:rPr>
          <w:sz w:val="18"/>
        </w:rPr>
        <w:t>Year.”</w:t>
      </w:r>
      <w:r>
        <w:rPr>
          <w:spacing w:val="-6"/>
          <w:sz w:val="18"/>
        </w:rPr>
        <w:t xml:space="preserve"> </w:t>
      </w:r>
      <w:hyperlink r:id="rId565">
        <w:r>
          <w:rPr>
            <w:color w:val="0000FF"/>
            <w:sz w:val="18"/>
            <w:u w:val="single" w:color="0000FF"/>
          </w:rPr>
          <w:t>https://transequality.org/blog/federal-survey-40-of-transgender-prisoners-are-sexually-abused-each-year</w:t>
        </w:r>
        <w:r>
          <w:rPr>
            <w:color w:val="1154CC"/>
            <w:sz w:val="18"/>
          </w:rPr>
          <w:t>.</w:t>
        </w:r>
      </w:hyperlink>
      <w:r>
        <w:rPr>
          <w:color w:val="1154CC"/>
          <w:sz w:val="18"/>
        </w:rPr>
        <w:t xml:space="preserve"> </w:t>
      </w:r>
      <w:r>
        <w:rPr>
          <w:position w:val="5"/>
          <w:sz w:val="12"/>
        </w:rPr>
        <w:t>53</w:t>
      </w:r>
      <w:r>
        <w:rPr>
          <w:spacing w:val="10"/>
          <w:position w:val="5"/>
          <w:sz w:val="12"/>
        </w:rPr>
        <w:t xml:space="preserve"> </w:t>
      </w:r>
      <w:r>
        <w:rPr>
          <w:sz w:val="18"/>
        </w:rPr>
        <w:t>Hernandez,</w:t>
      </w:r>
      <w:r>
        <w:rPr>
          <w:spacing w:val="-2"/>
          <w:sz w:val="18"/>
        </w:rPr>
        <w:t xml:space="preserve"> </w:t>
      </w:r>
      <w:r>
        <w:rPr>
          <w:sz w:val="18"/>
        </w:rPr>
        <w:t>Rebecca.</w:t>
      </w:r>
      <w:r>
        <w:rPr>
          <w:spacing w:val="-2"/>
          <w:sz w:val="18"/>
        </w:rPr>
        <w:t xml:space="preserve"> </w:t>
      </w:r>
      <w:r>
        <w:rPr>
          <w:sz w:val="18"/>
        </w:rPr>
        <w:t>July</w:t>
      </w:r>
      <w:r>
        <w:rPr>
          <w:spacing w:val="-2"/>
          <w:sz w:val="18"/>
        </w:rPr>
        <w:t xml:space="preserve"> </w:t>
      </w:r>
      <w:r>
        <w:rPr>
          <w:sz w:val="18"/>
        </w:rPr>
        <w:t>27,</w:t>
      </w:r>
      <w:r>
        <w:rPr>
          <w:spacing w:val="-2"/>
          <w:sz w:val="18"/>
        </w:rPr>
        <w:t xml:space="preserve"> </w:t>
      </w:r>
      <w:r>
        <w:rPr>
          <w:sz w:val="18"/>
        </w:rPr>
        <w:t>2021.</w:t>
      </w:r>
      <w:r>
        <w:rPr>
          <w:spacing w:val="-2"/>
          <w:sz w:val="18"/>
        </w:rPr>
        <w:t xml:space="preserve"> </w:t>
      </w:r>
      <w:r>
        <w:rPr>
          <w:sz w:val="18"/>
        </w:rPr>
        <w:t>“The</w:t>
      </w:r>
      <w:r>
        <w:rPr>
          <w:spacing w:val="-3"/>
          <w:sz w:val="18"/>
        </w:rPr>
        <w:t xml:space="preserve"> </w:t>
      </w:r>
      <w:r>
        <w:rPr>
          <w:sz w:val="18"/>
        </w:rPr>
        <w:t>Commercial</w:t>
      </w:r>
      <w:r>
        <w:rPr>
          <w:spacing w:val="-3"/>
          <w:sz w:val="18"/>
        </w:rPr>
        <w:t xml:space="preserve"> </w:t>
      </w:r>
      <w:r>
        <w:rPr>
          <w:sz w:val="18"/>
        </w:rPr>
        <w:t>Exploitation</w:t>
      </w:r>
      <w:r>
        <w:rPr>
          <w:spacing w:val="-1"/>
          <w:sz w:val="18"/>
        </w:rPr>
        <w:t xml:space="preserve"> </w:t>
      </w:r>
      <w:r>
        <w:rPr>
          <w:sz w:val="18"/>
        </w:rPr>
        <w:t>of</w:t>
      </w:r>
      <w:r>
        <w:rPr>
          <w:spacing w:val="-2"/>
          <w:sz w:val="18"/>
        </w:rPr>
        <w:t xml:space="preserve"> </w:t>
      </w:r>
      <w:r>
        <w:rPr>
          <w:sz w:val="18"/>
        </w:rPr>
        <w:t>Boys</w:t>
      </w:r>
      <w:r>
        <w:rPr>
          <w:spacing w:val="-3"/>
          <w:sz w:val="18"/>
        </w:rPr>
        <w:t xml:space="preserve"> </w:t>
      </w:r>
      <w:r>
        <w:rPr>
          <w:sz w:val="18"/>
        </w:rPr>
        <w:t>&amp;</w:t>
      </w:r>
      <w:r>
        <w:rPr>
          <w:spacing w:val="-3"/>
          <w:sz w:val="18"/>
        </w:rPr>
        <w:t xml:space="preserve"> </w:t>
      </w:r>
      <w:r>
        <w:rPr>
          <w:sz w:val="18"/>
        </w:rPr>
        <w:t>LGBTQ+</w:t>
      </w:r>
      <w:r>
        <w:rPr>
          <w:spacing w:val="-3"/>
          <w:sz w:val="18"/>
        </w:rPr>
        <w:t xml:space="preserve"> </w:t>
      </w:r>
      <w:r>
        <w:rPr>
          <w:sz w:val="18"/>
        </w:rPr>
        <w:t>Youth:</w:t>
      </w:r>
      <w:r>
        <w:rPr>
          <w:spacing w:val="-2"/>
          <w:sz w:val="18"/>
        </w:rPr>
        <w:t xml:space="preserve"> </w:t>
      </w:r>
      <w:r>
        <w:rPr>
          <w:sz w:val="18"/>
        </w:rPr>
        <w:t>A</w:t>
      </w:r>
      <w:r>
        <w:rPr>
          <w:spacing w:val="-3"/>
          <w:sz w:val="18"/>
        </w:rPr>
        <w:t xml:space="preserve"> </w:t>
      </w:r>
      <w:r>
        <w:rPr>
          <w:sz w:val="18"/>
        </w:rPr>
        <w:t>Systematic</w:t>
      </w:r>
      <w:r>
        <w:rPr>
          <w:spacing w:val="-2"/>
          <w:sz w:val="18"/>
        </w:rPr>
        <w:t xml:space="preserve"> </w:t>
      </w:r>
      <w:r>
        <w:rPr>
          <w:sz w:val="18"/>
        </w:rPr>
        <w:t>Literature</w:t>
      </w:r>
      <w:r>
        <w:rPr>
          <w:spacing w:val="-3"/>
          <w:sz w:val="18"/>
        </w:rPr>
        <w:t xml:space="preserve"> </w:t>
      </w:r>
      <w:r>
        <w:rPr>
          <w:sz w:val="18"/>
        </w:rPr>
        <w:t xml:space="preserve">Review.” </w:t>
      </w:r>
      <w:hyperlink r:id="rId566">
        <w:r>
          <w:rPr>
            <w:color w:val="0000FF"/>
            <w:spacing w:val="-2"/>
            <w:sz w:val="18"/>
            <w:u w:val="single" w:color="0000FF"/>
          </w:rPr>
          <w:t>https://scholarworks.calstate.edu/downloads/2v23w095f</w:t>
        </w:r>
        <w:r>
          <w:rPr>
            <w:color w:val="1154CC"/>
            <w:spacing w:val="-2"/>
            <w:sz w:val="18"/>
          </w:rPr>
          <w:t>.</w:t>
        </w:r>
      </w:hyperlink>
    </w:p>
    <w:p w:rsidR="00200FDA" w:rsidRDefault="00F76C4C">
      <w:pPr>
        <w:ind w:left="140" w:right="517" w:hanging="1"/>
        <w:rPr>
          <w:sz w:val="18"/>
        </w:rPr>
      </w:pPr>
      <w:r>
        <w:rPr>
          <w:position w:val="5"/>
          <w:sz w:val="12"/>
        </w:rPr>
        <w:t>54</w:t>
      </w:r>
      <w:r>
        <w:rPr>
          <w:spacing w:val="15"/>
          <w:position w:val="5"/>
          <w:sz w:val="12"/>
        </w:rPr>
        <w:t xml:space="preserve"> </w:t>
      </w:r>
      <w:r>
        <w:rPr>
          <w:sz w:val="18"/>
        </w:rPr>
        <w:t>Gabriel L. Schwartz, Jaquelyn L. Jahn, and A</w:t>
      </w:r>
      <w:r>
        <w:rPr>
          <w:sz w:val="18"/>
        </w:rPr>
        <w:t>manda Geller, “Policing Sexuality: Sexual Minority Youth, Police Contact, and Health</w:t>
      </w:r>
      <w:r>
        <w:rPr>
          <w:spacing w:val="-5"/>
          <w:sz w:val="18"/>
        </w:rPr>
        <w:t xml:space="preserve"> </w:t>
      </w:r>
      <w:r>
        <w:rPr>
          <w:sz w:val="18"/>
        </w:rPr>
        <w:t>Inequity,”</w:t>
      </w:r>
      <w:r>
        <w:rPr>
          <w:spacing w:val="-5"/>
          <w:sz w:val="18"/>
        </w:rPr>
        <w:t xml:space="preserve"> </w:t>
      </w:r>
      <w:r>
        <w:rPr>
          <w:i/>
          <w:sz w:val="18"/>
        </w:rPr>
        <w:t>SSM</w:t>
      </w:r>
      <w:r>
        <w:rPr>
          <w:i/>
          <w:spacing w:val="-4"/>
          <w:sz w:val="18"/>
        </w:rPr>
        <w:t xml:space="preserve"> </w:t>
      </w:r>
      <w:r>
        <w:rPr>
          <w:i/>
          <w:sz w:val="18"/>
        </w:rPr>
        <w:t>-</w:t>
      </w:r>
      <w:r>
        <w:rPr>
          <w:i/>
          <w:spacing w:val="-4"/>
          <w:sz w:val="18"/>
        </w:rPr>
        <w:t xml:space="preserve"> </w:t>
      </w:r>
      <w:r>
        <w:rPr>
          <w:i/>
          <w:sz w:val="18"/>
        </w:rPr>
        <w:t>Population</w:t>
      </w:r>
      <w:r>
        <w:rPr>
          <w:i/>
          <w:spacing w:val="-3"/>
          <w:sz w:val="18"/>
        </w:rPr>
        <w:t xml:space="preserve"> </w:t>
      </w:r>
      <w:r>
        <w:rPr>
          <w:i/>
          <w:sz w:val="18"/>
        </w:rPr>
        <w:t>Health</w:t>
      </w:r>
      <w:r>
        <w:rPr>
          <w:i/>
          <w:spacing w:val="-5"/>
          <w:sz w:val="18"/>
        </w:rPr>
        <w:t xml:space="preserve"> </w:t>
      </w:r>
      <w:r>
        <w:rPr>
          <w:sz w:val="18"/>
        </w:rPr>
        <w:t>20</w:t>
      </w:r>
      <w:r>
        <w:rPr>
          <w:spacing w:val="-4"/>
          <w:sz w:val="18"/>
        </w:rPr>
        <w:t xml:space="preserve"> </w:t>
      </w:r>
      <w:r>
        <w:rPr>
          <w:sz w:val="18"/>
        </w:rPr>
        <w:t>(November</w:t>
      </w:r>
      <w:r>
        <w:rPr>
          <w:spacing w:val="-5"/>
          <w:sz w:val="18"/>
        </w:rPr>
        <w:t xml:space="preserve"> </w:t>
      </w:r>
      <w:r>
        <w:rPr>
          <w:sz w:val="18"/>
        </w:rPr>
        <w:t>17,</w:t>
      </w:r>
      <w:r>
        <w:rPr>
          <w:spacing w:val="-4"/>
          <w:sz w:val="18"/>
        </w:rPr>
        <w:t xml:space="preserve"> </w:t>
      </w:r>
      <w:r>
        <w:rPr>
          <w:sz w:val="18"/>
        </w:rPr>
        <w:t>2022):</w:t>
      </w:r>
      <w:r>
        <w:rPr>
          <w:spacing w:val="-4"/>
          <w:sz w:val="18"/>
        </w:rPr>
        <w:t xml:space="preserve"> </w:t>
      </w:r>
      <w:r>
        <w:rPr>
          <w:sz w:val="18"/>
        </w:rPr>
        <w:t>101292,</w:t>
      </w:r>
      <w:r>
        <w:rPr>
          <w:spacing w:val="-4"/>
          <w:sz w:val="18"/>
        </w:rPr>
        <w:t xml:space="preserve"> </w:t>
      </w:r>
      <w:r>
        <w:rPr>
          <w:sz w:val="18"/>
        </w:rPr>
        <w:t>https://doi.org/10.1016/j.ssmph.2022.101292.</w:t>
      </w:r>
    </w:p>
    <w:p w:rsidR="00200FDA" w:rsidRDefault="00200FDA">
      <w:pPr>
        <w:rPr>
          <w:sz w:val="18"/>
        </w:rPr>
        <w:sectPr w:rsidR="00200FDA">
          <w:headerReference w:type="default" r:id="rId567"/>
          <w:footerReference w:type="default" r:id="rId568"/>
          <w:pgSz w:w="12240" w:h="15840"/>
          <w:pgMar w:top="1360" w:right="1240" w:bottom="1480" w:left="1300" w:header="761" w:footer="1283" w:gutter="0"/>
          <w:cols w:space="720"/>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spacing w:before="2"/>
        <w:rPr>
          <w:sz w:val="19"/>
        </w:rPr>
      </w:pPr>
    </w:p>
    <w:p w:rsidR="00200FDA" w:rsidRDefault="00F76C4C">
      <w:pPr>
        <w:spacing w:before="107"/>
        <w:ind w:left="674"/>
        <w:rPr>
          <w:sz w:val="34"/>
        </w:rPr>
      </w:pPr>
      <w:bookmarkStart w:id="743" w:name="Sexual_Health.pdf"/>
      <w:bookmarkEnd w:id="743"/>
      <w:r>
        <w:rPr>
          <w:color w:val="FFFFFF"/>
          <w:w w:val="120"/>
          <w:sz w:val="34"/>
        </w:rPr>
        <w:t>COMMISSION</w:t>
      </w:r>
      <w:r>
        <w:rPr>
          <w:color w:val="FFFFFF"/>
          <w:spacing w:val="17"/>
          <w:w w:val="120"/>
          <w:sz w:val="34"/>
        </w:rPr>
        <w:t xml:space="preserve"> </w:t>
      </w:r>
      <w:r>
        <w:rPr>
          <w:color w:val="FFFFFF"/>
          <w:w w:val="120"/>
          <w:sz w:val="34"/>
        </w:rPr>
        <w:t>ON</w:t>
      </w:r>
      <w:r>
        <w:rPr>
          <w:color w:val="FFFFFF"/>
          <w:spacing w:val="17"/>
          <w:w w:val="120"/>
          <w:sz w:val="34"/>
        </w:rPr>
        <w:t xml:space="preserve"> </w:t>
      </w:r>
      <w:r>
        <w:rPr>
          <w:color w:val="FFFFFF"/>
          <w:w w:val="120"/>
          <w:sz w:val="34"/>
        </w:rPr>
        <w:t>LGBTQ</w:t>
      </w:r>
      <w:r>
        <w:rPr>
          <w:color w:val="FFFFFF"/>
          <w:spacing w:val="17"/>
          <w:w w:val="120"/>
          <w:sz w:val="34"/>
        </w:rPr>
        <w:t xml:space="preserve"> </w:t>
      </w:r>
      <w:r>
        <w:rPr>
          <w:color w:val="FFFFFF"/>
          <w:spacing w:val="-2"/>
          <w:w w:val="120"/>
          <w:sz w:val="34"/>
        </w:rPr>
        <w:t>YOUTH</w:t>
      </w:r>
    </w:p>
    <w:p w:rsidR="00200FDA" w:rsidRDefault="00F76C4C">
      <w:pPr>
        <w:spacing w:before="250" w:line="216" w:lineRule="auto"/>
        <w:ind w:left="674" w:right="4862"/>
        <w:rPr>
          <w:b/>
          <w:sz w:val="62"/>
        </w:rPr>
      </w:pPr>
      <w:r>
        <w:rPr>
          <w:b/>
          <w:color w:val="FFFFFF"/>
          <w:w w:val="120"/>
          <w:sz w:val="62"/>
        </w:rPr>
        <w:t>SEXUAL HEALTH &amp; WELLNESS</w:t>
      </w: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spacing w:before="10"/>
        <w:rPr>
          <w:b/>
          <w:sz w:val="18"/>
        </w:rPr>
      </w:pPr>
    </w:p>
    <w:p w:rsidR="00200FDA" w:rsidRDefault="00200FDA">
      <w:pPr>
        <w:rPr>
          <w:sz w:val="18"/>
        </w:rPr>
        <w:sectPr w:rsidR="00200FDA">
          <w:headerReference w:type="default" r:id="rId569"/>
          <w:footerReference w:type="default" r:id="rId570"/>
          <w:pgSz w:w="12240" w:h="15840"/>
          <w:pgMar w:top="0" w:right="300" w:bottom="280" w:left="920" w:header="0" w:footer="0" w:gutter="0"/>
          <w:cols w:space="720"/>
        </w:sectPr>
      </w:pPr>
    </w:p>
    <w:p w:rsidR="00200FDA" w:rsidRDefault="00F76C4C">
      <w:pPr>
        <w:spacing w:before="98"/>
        <w:ind w:left="323"/>
        <w:rPr>
          <w:b/>
          <w:i/>
          <w:sz w:val="33"/>
        </w:rPr>
      </w:pPr>
      <w:r>
        <w:rPr>
          <w:b/>
          <w:i/>
          <w:spacing w:val="10"/>
          <w:w w:val="120"/>
          <w:sz w:val="33"/>
        </w:rPr>
        <w:t>ABOUT</w:t>
      </w:r>
    </w:p>
    <w:p w:rsidR="00200FDA" w:rsidRDefault="00F76C4C">
      <w:pPr>
        <w:spacing w:before="79" w:line="264" w:lineRule="auto"/>
        <w:ind w:left="275" w:right="38"/>
        <w:jc w:val="both"/>
        <w:rPr>
          <w:rFonts w:ascii="Georgia"/>
          <w:sz w:val="21"/>
        </w:rPr>
      </w:pPr>
      <w:r>
        <w:rPr>
          <w:rFonts w:ascii="Georgia"/>
          <w:w w:val="105"/>
          <w:sz w:val="21"/>
        </w:rPr>
        <w:t>LGBTQ youth remain at a higher risk for STIs, HIV, and</w:t>
      </w:r>
      <w:r>
        <w:rPr>
          <w:rFonts w:ascii="Georgia"/>
          <w:spacing w:val="-9"/>
          <w:w w:val="105"/>
          <w:sz w:val="21"/>
        </w:rPr>
        <w:t xml:space="preserve"> </w:t>
      </w:r>
      <w:r>
        <w:rPr>
          <w:rFonts w:ascii="Georgia"/>
          <w:w w:val="105"/>
          <w:sz w:val="21"/>
        </w:rPr>
        <w:t>sexual</w:t>
      </w:r>
      <w:r>
        <w:rPr>
          <w:rFonts w:ascii="Georgia"/>
          <w:spacing w:val="-9"/>
          <w:w w:val="105"/>
          <w:sz w:val="21"/>
        </w:rPr>
        <w:t xml:space="preserve"> </w:t>
      </w:r>
      <w:r>
        <w:rPr>
          <w:rFonts w:ascii="Georgia"/>
          <w:w w:val="105"/>
          <w:sz w:val="21"/>
        </w:rPr>
        <w:t>violence.</w:t>
      </w:r>
      <w:r>
        <w:rPr>
          <w:rFonts w:ascii="Georgia"/>
          <w:spacing w:val="-9"/>
          <w:w w:val="105"/>
          <w:sz w:val="21"/>
        </w:rPr>
        <w:t xml:space="preserve"> </w:t>
      </w:r>
      <w:r>
        <w:rPr>
          <w:rFonts w:ascii="Georgia"/>
          <w:w w:val="105"/>
          <w:sz w:val="21"/>
        </w:rPr>
        <w:t>Furthermore,</w:t>
      </w:r>
      <w:r>
        <w:rPr>
          <w:rFonts w:ascii="Georgia"/>
          <w:spacing w:val="-9"/>
          <w:w w:val="105"/>
          <w:sz w:val="21"/>
        </w:rPr>
        <w:t xml:space="preserve"> </w:t>
      </w:r>
      <w:r>
        <w:rPr>
          <w:rFonts w:ascii="Georgia"/>
          <w:w w:val="105"/>
          <w:sz w:val="21"/>
        </w:rPr>
        <w:t>as</w:t>
      </w:r>
      <w:r>
        <w:rPr>
          <w:rFonts w:ascii="Georgia"/>
          <w:spacing w:val="-9"/>
          <w:w w:val="105"/>
          <w:sz w:val="21"/>
        </w:rPr>
        <w:t xml:space="preserve"> </w:t>
      </w:r>
      <w:r>
        <w:rPr>
          <w:rFonts w:ascii="Georgia"/>
          <w:w w:val="105"/>
          <w:sz w:val="21"/>
        </w:rPr>
        <w:t>discussed</w:t>
      </w:r>
      <w:r>
        <w:rPr>
          <w:rFonts w:ascii="Georgia"/>
          <w:spacing w:val="-9"/>
          <w:w w:val="105"/>
          <w:sz w:val="21"/>
        </w:rPr>
        <w:t xml:space="preserve"> </w:t>
      </w:r>
      <w:r>
        <w:rPr>
          <w:rFonts w:ascii="Georgia"/>
          <w:w w:val="105"/>
          <w:sz w:val="21"/>
        </w:rPr>
        <w:t>in</w:t>
      </w:r>
      <w:r>
        <w:rPr>
          <w:rFonts w:ascii="Georgia"/>
          <w:spacing w:val="-9"/>
          <w:w w:val="105"/>
          <w:sz w:val="21"/>
        </w:rPr>
        <w:t xml:space="preserve"> </w:t>
      </w:r>
      <w:r>
        <w:rPr>
          <w:rFonts w:ascii="Georgia"/>
          <w:w w:val="105"/>
          <w:sz w:val="21"/>
        </w:rPr>
        <w:t>the above section, LGBTQ youth are often left out</w:t>
      </w:r>
      <w:r>
        <w:rPr>
          <w:rFonts w:ascii="Georgia"/>
          <w:w w:val="105"/>
          <w:sz w:val="21"/>
        </w:rPr>
        <w:t xml:space="preserve"> of conversations around national and statewide conversations involving pregnancy, abortion access, and</w:t>
      </w:r>
      <w:r>
        <w:rPr>
          <w:rFonts w:ascii="Georgia"/>
          <w:spacing w:val="35"/>
          <w:w w:val="105"/>
          <w:sz w:val="21"/>
        </w:rPr>
        <w:t xml:space="preserve"> </w:t>
      </w:r>
      <w:r>
        <w:rPr>
          <w:rFonts w:ascii="Georgia"/>
          <w:w w:val="105"/>
          <w:sz w:val="21"/>
        </w:rPr>
        <w:t>gynecological</w:t>
      </w:r>
      <w:r>
        <w:rPr>
          <w:rFonts w:ascii="Georgia"/>
          <w:spacing w:val="35"/>
          <w:w w:val="105"/>
          <w:sz w:val="21"/>
        </w:rPr>
        <w:t xml:space="preserve"> </w:t>
      </w:r>
      <w:r>
        <w:rPr>
          <w:rFonts w:ascii="Georgia"/>
          <w:w w:val="105"/>
          <w:sz w:val="21"/>
        </w:rPr>
        <w:t>health,</w:t>
      </w:r>
      <w:r>
        <w:rPr>
          <w:rFonts w:ascii="Georgia"/>
          <w:spacing w:val="35"/>
          <w:w w:val="105"/>
          <w:sz w:val="21"/>
        </w:rPr>
        <w:t xml:space="preserve"> </w:t>
      </w:r>
      <w:r>
        <w:rPr>
          <w:rFonts w:ascii="Georgia"/>
          <w:w w:val="105"/>
          <w:sz w:val="21"/>
        </w:rPr>
        <w:t>but</w:t>
      </w:r>
      <w:r>
        <w:rPr>
          <w:rFonts w:ascii="Georgia"/>
          <w:spacing w:val="35"/>
          <w:w w:val="105"/>
          <w:sz w:val="21"/>
        </w:rPr>
        <w:t xml:space="preserve"> </w:t>
      </w:r>
      <w:r>
        <w:rPr>
          <w:rFonts w:ascii="Georgia"/>
          <w:w w:val="105"/>
          <w:sz w:val="21"/>
        </w:rPr>
        <w:t>often</w:t>
      </w:r>
      <w:r>
        <w:rPr>
          <w:rFonts w:ascii="Georgia"/>
          <w:spacing w:val="35"/>
          <w:w w:val="105"/>
          <w:sz w:val="21"/>
        </w:rPr>
        <w:t xml:space="preserve"> </w:t>
      </w:r>
      <w:r>
        <w:rPr>
          <w:rFonts w:ascii="Georgia"/>
          <w:w w:val="105"/>
          <w:sz w:val="21"/>
        </w:rPr>
        <w:t>face</w:t>
      </w:r>
      <w:r>
        <w:rPr>
          <w:rFonts w:ascii="Georgia"/>
          <w:spacing w:val="35"/>
          <w:w w:val="105"/>
          <w:sz w:val="21"/>
        </w:rPr>
        <w:t xml:space="preserve"> </w:t>
      </w:r>
      <w:r>
        <w:rPr>
          <w:rFonts w:ascii="Georgia"/>
          <w:w w:val="105"/>
          <w:sz w:val="21"/>
        </w:rPr>
        <w:t>significant</w:t>
      </w:r>
    </w:p>
    <w:p w:rsidR="00200FDA" w:rsidRDefault="00F76C4C">
      <w:pPr>
        <w:spacing w:before="464"/>
        <w:ind w:left="1092" w:right="2072"/>
        <w:jc w:val="center"/>
        <w:rPr>
          <w:b/>
          <w:sz w:val="77"/>
        </w:rPr>
      </w:pPr>
      <w:r>
        <w:br w:type="column"/>
      </w:r>
      <w:r>
        <w:rPr>
          <w:b/>
          <w:emboss/>
          <w:color w:val="001389"/>
          <w:spacing w:val="20"/>
          <w:w w:val="115"/>
          <w:sz w:val="77"/>
        </w:rPr>
        <w:t>34%</w:t>
      </w:r>
    </w:p>
    <w:p w:rsidR="00200FDA" w:rsidRDefault="00F76C4C">
      <w:pPr>
        <w:spacing w:before="14" w:line="278" w:lineRule="auto"/>
        <w:ind w:left="275" w:right="1256" w:hanging="1"/>
        <w:jc w:val="center"/>
        <w:rPr>
          <w:rFonts w:ascii="Georgia"/>
          <w:sz w:val="20"/>
        </w:rPr>
      </w:pPr>
      <w:r>
        <w:rPr>
          <w:rFonts w:ascii="Georgia"/>
          <w:w w:val="105"/>
          <w:sz w:val="20"/>
        </w:rPr>
        <w:t>of</w:t>
      </w:r>
      <w:r>
        <w:rPr>
          <w:rFonts w:ascii="Georgia"/>
          <w:spacing w:val="-13"/>
          <w:w w:val="105"/>
          <w:sz w:val="20"/>
        </w:rPr>
        <w:t xml:space="preserve"> </w:t>
      </w:r>
      <w:r>
        <w:rPr>
          <w:rFonts w:ascii="Georgia"/>
          <w:w w:val="105"/>
          <w:sz w:val="20"/>
        </w:rPr>
        <w:t>schools</w:t>
      </w:r>
      <w:r>
        <w:rPr>
          <w:rFonts w:ascii="Georgia"/>
          <w:spacing w:val="-13"/>
          <w:w w:val="105"/>
          <w:sz w:val="20"/>
        </w:rPr>
        <w:t xml:space="preserve"> </w:t>
      </w:r>
      <w:r>
        <w:rPr>
          <w:rFonts w:ascii="Georgia"/>
          <w:w w:val="105"/>
          <w:sz w:val="20"/>
        </w:rPr>
        <w:t>in</w:t>
      </w:r>
      <w:r>
        <w:rPr>
          <w:rFonts w:ascii="Georgia"/>
          <w:spacing w:val="-12"/>
          <w:w w:val="105"/>
          <w:sz w:val="20"/>
        </w:rPr>
        <w:t xml:space="preserve"> </w:t>
      </w:r>
      <w:r>
        <w:rPr>
          <w:rFonts w:ascii="Georgia"/>
          <w:w w:val="105"/>
          <w:sz w:val="20"/>
        </w:rPr>
        <w:t>Massachusettes</w:t>
      </w:r>
      <w:r>
        <w:rPr>
          <w:rFonts w:ascii="Georgia"/>
          <w:spacing w:val="-13"/>
          <w:w w:val="105"/>
          <w:sz w:val="20"/>
        </w:rPr>
        <w:t xml:space="preserve"> </w:t>
      </w:r>
      <w:r>
        <w:rPr>
          <w:rFonts w:ascii="Georgia"/>
          <w:w w:val="105"/>
          <w:sz w:val="20"/>
        </w:rPr>
        <w:t>taught students</w:t>
      </w:r>
      <w:r>
        <w:rPr>
          <w:rFonts w:ascii="Georgia"/>
          <w:spacing w:val="-13"/>
          <w:w w:val="105"/>
          <w:sz w:val="20"/>
        </w:rPr>
        <w:t xml:space="preserve"> </w:t>
      </w:r>
      <w:r>
        <w:rPr>
          <w:rFonts w:ascii="Georgia"/>
          <w:w w:val="105"/>
          <w:sz w:val="20"/>
        </w:rPr>
        <w:t>how</w:t>
      </w:r>
      <w:r>
        <w:rPr>
          <w:rFonts w:ascii="Georgia"/>
          <w:spacing w:val="-12"/>
          <w:w w:val="105"/>
          <w:sz w:val="20"/>
        </w:rPr>
        <w:t xml:space="preserve"> </w:t>
      </w:r>
      <w:r>
        <w:rPr>
          <w:rFonts w:ascii="Georgia"/>
          <w:w w:val="105"/>
          <w:sz w:val="20"/>
        </w:rPr>
        <w:t>to</w:t>
      </w:r>
      <w:r>
        <w:rPr>
          <w:rFonts w:ascii="Georgia"/>
          <w:spacing w:val="-13"/>
          <w:w w:val="105"/>
          <w:sz w:val="20"/>
        </w:rPr>
        <w:t xml:space="preserve"> </w:t>
      </w:r>
      <w:r>
        <w:rPr>
          <w:rFonts w:ascii="Georgia"/>
          <w:w w:val="105"/>
          <w:sz w:val="20"/>
        </w:rPr>
        <w:t>appropriately</w:t>
      </w:r>
      <w:r>
        <w:rPr>
          <w:rFonts w:ascii="Georgia"/>
          <w:spacing w:val="-12"/>
          <w:w w:val="105"/>
          <w:sz w:val="20"/>
        </w:rPr>
        <w:t xml:space="preserve"> </w:t>
      </w:r>
      <w:r>
        <w:rPr>
          <w:rFonts w:ascii="Georgia"/>
          <w:w w:val="105"/>
          <w:sz w:val="20"/>
        </w:rPr>
        <w:t>use</w:t>
      </w:r>
      <w:r>
        <w:rPr>
          <w:rFonts w:ascii="Georgia"/>
          <w:spacing w:val="-13"/>
          <w:w w:val="105"/>
          <w:sz w:val="20"/>
        </w:rPr>
        <w:t xml:space="preserve"> </w:t>
      </w:r>
      <w:r>
        <w:rPr>
          <w:rFonts w:ascii="Georgia"/>
          <w:w w:val="105"/>
          <w:sz w:val="20"/>
        </w:rPr>
        <w:t xml:space="preserve">a </w:t>
      </w:r>
      <w:r>
        <w:rPr>
          <w:rFonts w:ascii="Georgia"/>
          <w:spacing w:val="-2"/>
          <w:w w:val="105"/>
          <w:sz w:val="20"/>
        </w:rPr>
        <w:t>condom</w:t>
      </w:r>
    </w:p>
    <w:p w:rsidR="00200FDA" w:rsidRDefault="00200FDA">
      <w:pPr>
        <w:spacing w:line="278" w:lineRule="auto"/>
        <w:jc w:val="center"/>
        <w:rPr>
          <w:rFonts w:ascii="Georgia"/>
          <w:sz w:val="20"/>
        </w:rPr>
        <w:sectPr w:rsidR="00200FDA">
          <w:type w:val="continuous"/>
          <w:pgSz w:w="12240" w:h="15840"/>
          <w:pgMar w:top="720" w:right="300" w:bottom="280" w:left="920" w:header="0" w:footer="0" w:gutter="0"/>
          <w:cols w:num="2" w:space="720" w:equalWidth="0">
            <w:col w:w="5479" w:space="733"/>
            <w:col w:w="4808"/>
          </w:cols>
        </w:sectPr>
      </w:pPr>
    </w:p>
    <w:p w:rsidR="00200FDA" w:rsidRDefault="00F76C4C">
      <w:pPr>
        <w:tabs>
          <w:tab w:val="left" w:pos="5941"/>
          <w:tab w:val="left" w:pos="10355"/>
        </w:tabs>
        <w:spacing w:line="191" w:lineRule="exact"/>
        <w:ind w:left="275"/>
        <w:rPr>
          <w:rFonts w:ascii="Times New Roman"/>
          <w:sz w:val="21"/>
        </w:rPr>
      </w:pPr>
      <w:r>
        <w:rPr>
          <w:rFonts w:ascii="Georgia"/>
          <w:sz w:val="21"/>
        </w:rPr>
        <w:t>disparities</w:t>
      </w:r>
      <w:r>
        <w:rPr>
          <w:rFonts w:ascii="Georgia"/>
          <w:spacing w:val="71"/>
          <w:sz w:val="21"/>
        </w:rPr>
        <w:t xml:space="preserve"> </w:t>
      </w:r>
      <w:r>
        <w:rPr>
          <w:rFonts w:ascii="Georgia"/>
          <w:sz w:val="21"/>
        </w:rPr>
        <w:t>in</w:t>
      </w:r>
      <w:r>
        <w:rPr>
          <w:rFonts w:ascii="Georgia"/>
          <w:spacing w:val="71"/>
          <w:sz w:val="21"/>
        </w:rPr>
        <w:t xml:space="preserve"> </w:t>
      </w:r>
      <w:r>
        <w:rPr>
          <w:rFonts w:ascii="Georgia"/>
          <w:sz w:val="21"/>
        </w:rPr>
        <w:t>access</w:t>
      </w:r>
      <w:r>
        <w:rPr>
          <w:rFonts w:ascii="Georgia"/>
          <w:spacing w:val="72"/>
          <w:sz w:val="21"/>
        </w:rPr>
        <w:t xml:space="preserve"> </w:t>
      </w:r>
      <w:r>
        <w:rPr>
          <w:rFonts w:ascii="Georgia"/>
          <w:sz w:val="21"/>
        </w:rPr>
        <w:t>and</w:t>
      </w:r>
      <w:r>
        <w:rPr>
          <w:rFonts w:ascii="Georgia"/>
          <w:spacing w:val="71"/>
          <w:sz w:val="21"/>
        </w:rPr>
        <w:t xml:space="preserve"> </w:t>
      </w:r>
      <w:r>
        <w:rPr>
          <w:rFonts w:ascii="Georgia"/>
          <w:sz w:val="21"/>
        </w:rPr>
        <w:t>care.</w:t>
      </w:r>
      <w:r>
        <w:rPr>
          <w:rFonts w:ascii="Georgia"/>
          <w:spacing w:val="71"/>
          <w:sz w:val="21"/>
        </w:rPr>
        <w:t xml:space="preserve"> </w:t>
      </w:r>
      <w:r>
        <w:rPr>
          <w:rFonts w:ascii="Georgia"/>
          <w:sz w:val="21"/>
        </w:rPr>
        <w:t>Compounding</w:t>
      </w:r>
      <w:r>
        <w:rPr>
          <w:rFonts w:ascii="Georgia"/>
          <w:spacing w:val="72"/>
          <w:sz w:val="21"/>
        </w:rPr>
        <w:t xml:space="preserve"> </w:t>
      </w:r>
      <w:r>
        <w:rPr>
          <w:rFonts w:ascii="Georgia"/>
          <w:spacing w:val="-4"/>
          <w:sz w:val="21"/>
        </w:rPr>
        <w:t>these</w:t>
      </w:r>
      <w:r>
        <w:rPr>
          <w:rFonts w:ascii="Georgia"/>
          <w:sz w:val="21"/>
        </w:rPr>
        <w:tab/>
      </w:r>
      <w:r>
        <w:rPr>
          <w:rFonts w:ascii="Times New Roman"/>
          <w:sz w:val="21"/>
          <w:u w:val="thick" w:color="001389"/>
        </w:rPr>
        <w:tab/>
      </w:r>
    </w:p>
    <w:p w:rsidR="00200FDA" w:rsidRDefault="00F76C4C">
      <w:pPr>
        <w:spacing w:line="260" w:lineRule="atLeast"/>
        <w:ind w:left="275" w:right="4862"/>
        <w:rPr>
          <w:rFonts w:ascii="Georgia"/>
          <w:sz w:val="21"/>
        </w:rPr>
      </w:pPr>
      <w:r>
        <w:rPr>
          <w:rFonts w:ascii="Georgia"/>
          <w:w w:val="105"/>
          <w:sz w:val="21"/>
        </w:rPr>
        <w:t>issues,</w:t>
      </w:r>
      <w:r>
        <w:rPr>
          <w:rFonts w:ascii="Georgia"/>
          <w:spacing w:val="-14"/>
          <w:w w:val="105"/>
          <w:sz w:val="21"/>
        </w:rPr>
        <w:t xml:space="preserve"> </w:t>
      </w:r>
      <w:r>
        <w:rPr>
          <w:rFonts w:ascii="Georgia"/>
          <w:w w:val="105"/>
          <w:sz w:val="21"/>
        </w:rPr>
        <w:t>LGBTQ</w:t>
      </w:r>
      <w:r>
        <w:rPr>
          <w:rFonts w:ascii="Georgia"/>
          <w:spacing w:val="-13"/>
          <w:w w:val="105"/>
          <w:sz w:val="21"/>
        </w:rPr>
        <w:t xml:space="preserve"> </w:t>
      </w:r>
      <w:r>
        <w:rPr>
          <w:rFonts w:ascii="Georgia"/>
          <w:w w:val="105"/>
          <w:sz w:val="21"/>
        </w:rPr>
        <w:t>youth</w:t>
      </w:r>
      <w:r>
        <w:rPr>
          <w:rFonts w:ascii="Georgia"/>
          <w:spacing w:val="-13"/>
          <w:w w:val="105"/>
          <w:sz w:val="21"/>
        </w:rPr>
        <w:t xml:space="preserve"> </w:t>
      </w:r>
      <w:r>
        <w:rPr>
          <w:rFonts w:ascii="Georgia"/>
          <w:w w:val="105"/>
          <w:sz w:val="21"/>
        </w:rPr>
        <w:t>frequently</w:t>
      </w:r>
      <w:r>
        <w:rPr>
          <w:rFonts w:ascii="Georgia"/>
          <w:spacing w:val="-14"/>
          <w:w w:val="105"/>
          <w:sz w:val="21"/>
        </w:rPr>
        <w:t xml:space="preserve"> </w:t>
      </w:r>
      <w:r>
        <w:rPr>
          <w:rFonts w:ascii="Georgia"/>
          <w:w w:val="105"/>
          <w:sz w:val="21"/>
        </w:rPr>
        <w:t>encounter</w:t>
      </w:r>
      <w:r>
        <w:rPr>
          <w:rFonts w:ascii="Georgia"/>
          <w:spacing w:val="-13"/>
          <w:w w:val="105"/>
          <w:sz w:val="21"/>
        </w:rPr>
        <w:t xml:space="preserve"> </w:t>
      </w:r>
      <w:r>
        <w:rPr>
          <w:rFonts w:ascii="Georgia"/>
          <w:w w:val="105"/>
          <w:sz w:val="21"/>
        </w:rPr>
        <w:t>barriers</w:t>
      </w:r>
      <w:r>
        <w:rPr>
          <w:rFonts w:ascii="Georgia"/>
          <w:spacing w:val="-13"/>
          <w:w w:val="105"/>
          <w:sz w:val="21"/>
        </w:rPr>
        <w:t xml:space="preserve"> </w:t>
      </w:r>
      <w:r>
        <w:rPr>
          <w:rFonts w:ascii="Georgia"/>
          <w:w w:val="105"/>
          <w:sz w:val="21"/>
        </w:rPr>
        <w:t>to accessing</w:t>
      </w:r>
      <w:r>
        <w:rPr>
          <w:rFonts w:ascii="Georgia"/>
          <w:spacing w:val="-9"/>
          <w:w w:val="105"/>
          <w:sz w:val="21"/>
        </w:rPr>
        <w:t xml:space="preserve"> </w:t>
      </w:r>
      <w:r>
        <w:rPr>
          <w:rFonts w:ascii="Georgia"/>
          <w:w w:val="105"/>
          <w:sz w:val="21"/>
        </w:rPr>
        <w:t>contraceptives,</w:t>
      </w:r>
      <w:r>
        <w:rPr>
          <w:rFonts w:ascii="Georgia"/>
          <w:spacing w:val="-9"/>
          <w:w w:val="105"/>
          <w:sz w:val="21"/>
        </w:rPr>
        <w:t xml:space="preserve"> </w:t>
      </w:r>
      <w:r>
        <w:rPr>
          <w:rFonts w:ascii="Georgia"/>
          <w:w w:val="105"/>
          <w:sz w:val="21"/>
        </w:rPr>
        <w:t>affirming</w:t>
      </w:r>
      <w:r>
        <w:rPr>
          <w:rFonts w:ascii="Georgia"/>
          <w:spacing w:val="-9"/>
          <w:w w:val="105"/>
          <w:sz w:val="21"/>
        </w:rPr>
        <w:t xml:space="preserve"> </w:t>
      </w:r>
      <w:r>
        <w:rPr>
          <w:rFonts w:ascii="Georgia"/>
          <w:w w:val="105"/>
          <w:sz w:val="21"/>
        </w:rPr>
        <w:t>medical</w:t>
      </w:r>
      <w:r>
        <w:rPr>
          <w:rFonts w:ascii="Georgia"/>
          <w:spacing w:val="-9"/>
          <w:w w:val="105"/>
          <w:sz w:val="21"/>
        </w:rPr>
        <w:t xml:space="preserve"> </w:t>
      </w:r>
      <w:r>
        <w:rPr>
          <w:rFonts w:ascii="Georgia"/>
          <w:w w:val="105"/>
          <w:sz w:val="21"/>
        </w:rPr>
        <w:t>care,</w:t>
      </w:r>
      <w:r>
        <w:rPr>
          <w:rFonts w:ascii="Georgia"/>
          <w:spacing w:val="-8"/>
          <w:w w:val="105"/>
          <w:sz w:val="21"/>
        </w:rPr>
        <w:t xml:space="preserve"> </w:t>
      </w:r>
      <w:r>
        <w:rPr>
          <w:rFonts w:ascii="Georgia"/>
          <w:spacing w:val="-5"/>
          <w:w w:val="105"/>
          <w:sz w:val="21"/>
        </w:rPr>
        <w:t>and</w:t>
      </w:r>
    </w:p>
    <w:p w:rsidR="00200FDA" w:rsidRDefault="00200FDA">
      <w:pPr>
        <w:spacing w:line="260" w:lineRule="atLeast"/>
        <w:rPr>
          <w:rFonts w:ascii="Georgia"/>
          <w:sz w:val="21"/>
        </w:rPr>
        <w:sectPr w:rsidR="00200FDA">
          <w:type w:val="continuous"/>
          <w:pgSz w:w="12240" w:h="15840"/>
          <w:pgMar w:top="720" w:right="300" w:bottom="280" w:left="920" w:header="0" w:footer="0" w:gutter="0"/>
          <w:cols w:space="720"/>
        </w:sectPr>
      </w:pPr>
    </w:p>
    <w:p w:rsidR="00200FDA" w:rsidRDefault="00F76C4C">
      <w:pPr>
        <w:spacing w:before="31"/>
        <w:ind w:left="275"/>
        <w:rPr>
          <w:rFonts w:ascii="Georgia"/>
          <w:sz w:val="21"/>
        </w:rPr>
      </w:pPr>
      <w:r>
        <w:pict>
          <v:group id="docshapegroup368" o:spid="_x0000_s1226" style="position:absolute;left:0;text-align:left;margin-left:52.1pt;margin-top:38.45pt;width:273.15pt;height:233.4pt;z-index:-21270528;mso-position-horizontal-relative:page" coordorigin="1042,769" coordsize="5463,4668">
            <v:shape id="docshape369" o:spid="_x0000_s1229" type="#_x0000_t75" style="position:absolute;left:1041;top:768;width:5463;height:4668">
              <v:imagedata r:id="rId571" o:title=""/>
            </v:shape>
            <v:shape id="docshape370" o:spid="_x0000_s1228" type="#_x0000_t202" style="position:absolute;left:1246;top:896;width:5127;height:3186" filled="f" stroked="f">
              <v:textbox inset="0,0,0,0">
                <w:txbxContent>
                  <w:p w:rsidR="00200FDA" w:rsidRDefault="00F76C4C">
                    <w:pPr>
                      <w:spacing w:line="401" w:lineRule="exact"/>
                      <w:rPr>
                        <w:b/>
                        <w:i/>
                        <w:sz w:val="33"/>
                      </w:rPr>
                    </w:pPr>
                    <w:r>
                      <w:rPr>
                        <w:b/>
                        <w:i/>
                        <w:spacing w:val="12"/>
                        <w:w w:val="125"/>
                        <w:sz w:val="33"/>
                      </w:rPr>
                      <w:t>RECOMMENDATIONS</w:t>
                    </w:r>
                  </w:p>
                  <w:p w:rsidR="00200FDA" w:rsidRDefault="00F76C4C">
                    <w:pPr>
                      <w:spacing w:before="268" w:line="276" w:lineRule="auto"/>
                      <w:ind w:left="457" w:right="18"/>
                      <w:rPr>
                        <w:rFonts w:ascii="Georgia"/>
                        <w:sz w:val="18"/>
                      </w:rPr>
                    </w:pPr>
                    <w:r>
                      <w:rPr>
                        <w:rFonts w:ascii="Georgia"/>
                        <w:w w:val="105"/>
                        <w:sz w:val="18"/>
                      </w:rPr>
                      <w:t>Ensure that all youth have access to age-appropriate, LGBTQ-inclusive,</w:t>
                    </w:r>
                    <w:r>
                      <w:rPr>
                        <w:rFonts w:ascii="Georgia"/>
                        <w:spacing w:val="-12"/>
                        <w:w w:val="105"/>
                        <w:sz w:val="18"/>
                      </w:rPr>
                      <w:t xml:space="preserve"> </w:t>
                    </w:r>
                    <w:r>
                      <w:rPr>
                        <w:rFonts w:ascii="Georgia"/>
                        <w:w w:val="105"/>
                        <w:sz w:val="18"/>
                      </w:rPr>
                      <w:t>and</w:t>
                    </w:r>
                    <w:r>
                      <w:rPr>
                        <w:rFonts w:ascii="Georgia"/>
                        <w:spacing w:val="-11"/>
                        <w:w w:val="105"/>
                        <w:sz w:val="18"/>
                      </w:rPr>
                      <w:t xml:space="preserve"> </w:t>
                    </w:r>
                    <w:r>
                      <w:rPr>
                        <w:rFonts w:ascii="Georgia"/>
                        <w:w w:val="105"/>
                        <w:sz w:val="18"/>
                      </w:rPr>
                      <w:t>consent-based</w:t>
                    </w:r>
                    <w:r>
                      <w:rPr>
                        <w:rFonts w:ascii="Georgia"/>
                        <w:spacing w:val="-12"/>
                        <w:w w:val="105"/>
                        <w:sz w:val="18"/>
                      </w:rPr>
                      <w:t xml:space="preserve"> </w:t>
                    </w:r>
                    <w:r>
                      <w:rPr>
                        <w:rFonts w:ascii="Georgia"/>
                        <w:w w:val="105"/>
                        <w:sz w:val="18"/>
                      </w:rPr>
                      <w:t>sex</w:t>
                    </w:r>
                    <w:r>
                      <w:rPr>
                        <w:rFonts w:ascii="Georgia"/>
                        <w:spacing w:val="-11"/>
                        <w:w w:val="105"/>
                        <w:sz w:val="18"/>
                      </w:rPr>
                      <w:t xml:space="preserve"> </w:t>
                    </w:r>
                    <w:r>
                      <w:rPr>
                        <w:rFonts w:ascii="Georgia"/>
                        <w:w w:val="105"/>
                        <w:sz w:val="18"/>
                      </w:rPr>
                      <w:t>ed</w:t>
                    </w:r>
                    <w:r>
                      <w:rPr>
                        <w:rFonts w:ascii="Georgia"/>
                        <w:spacing w:val="-11"/>
                        <w:w w:val="105"/>
                        <w:sz w:val="18"/>
                      </w:rPr>
                      <w:t xml:space="preserve"> </w:t>
                    </w:r>
                    <w:r>
                      <w:rPr>
                        <w:rFonts w:ascii="Georgia"/>
                        <w:w w:val="105"/>
                        <w:sz w:val="18"/>
                      </w:rPr>
                      <w:t>and</w:t>
                    </w:r>
                    <w:r>
                      <w:rPr>
                        <w:rFonts w:ascii="Georgia"/>
                        <w:spacing w:val="-12"/>
                        <w:w w:val="105"/>
                        <w:sz w:val="18"/>
                      </w:rPr>
                      <w:t xml:space="preserve"> </w:t>
                    </w:r>
                    <w:r>
                      <w:rPr>
                        <w:rFonts w:ascii="Georgia"/>
                        <w:w w:val="105"/>
                        <w:sz w:val="18"/>
                      </w:rPr>
                      <w:t>provide educators with implementation support.</w:t>
                    </w:r>
                  </w:p>
                  <w:p w:rsidR="00200FDA" w:rsidRDefault="00200FDA">
                    <w:pPr>
                      <w:rPr>
                        <w:rFonts w:ascii="Georgia"/>
                        <w:sz w:val="20"/>
                      </w:rPr>
                    </w:pPr>
                  </w:p>
                  <w:p w:rsidR="00200FDA" w:rsidRDefault="00F76C4C">
                    <w:pPr>
                      <w:spacing w:before="125" w:line="276" w:lineRule="auto"/>
                      <w:ind w:left="457"/>
                      <w:rPr>
                        <w:rFonts w:ascii="Georgia"/>
                        <w:sz w:val="18"/>
                      </w:rPr>
                    </w:pPr>
                    <w:r>
                      <w:rPr>
                        <w:rFonts w:ascii="Georgia"/>
                        <w:w w:val="105"/>
                        <w:sz w:val="18"/>
                      </w:rPr>
                      <w:t>Support and increase HIV &amp; STI prevention and treatment</w:t>
                    </w:r>
                    <w:r>
                      <w:rPr>
                        <w:rFonts w:ascii="Georgia"/>
                        <w:spacing w:val="-11"/>
                        <w:w w:val="105"/>
                        <w:sz w:val="18"/>
                      </w:rPr>
                      <w:t xml:space="preserve"> </w:t>
                    </w:r>
                    <w:r>
                      <w:rPr>
                        <w:rFonts w:ascii="Georgia"/>
                        <w:w w:val="105"/>
                        <w:sz w:val="18"/>
                      </w:rPr>
                      <w:t>services</w:t>
                    </w:r>
                    <w:r>
                      <w:rPr>
                        <w:rFonts w:ascii="Georgia"/>
                        <w:spacing w:val="-11"/>
                        <w:w w:val="105"/>
                        <w:sz w:val="18"/>
                      </w:rPr>
                      <w:t xml:space="preserve"> </w:t>
                    </w:r>
                    <w:r>
                      <w:rPr>
                        <w:rFonts w:ascii="Georgia"/>
                        <w:w w:val="105"/>
                        <w:sz w:val="18"/>
                      </w:rPr>
                      <w:t>for</w:t>
                    </w:r>
                    <w:r>
                      <w:rPr>
                        <w:rFonts w:ascii="Georgia"/>
                        <w:spacing w:val="-11"/>
                        <w:w w:val="105"/>
                        <w:sz w:val="18"/>
                      </w:rPr>
                      <w:t xml:space="preserve"> </w:t>
                    </w:r>
                    <w:r>
                      <w:rPr>
                        <w:rFonts w:ascii="Georgia"/>
                        <w:w w:val="105"/>
                        <w:sz w:val="18"/>
                      </w:rPr>
                      <w:t>LGBTQ</w:t>
                    </w:r>
                    <w:r>
                      <w:rPr>
                        <w:rFonts w:ascii="Georgia"/>
                        <w:spacing w:val="-11"/>
                        <w:w w:val="105"/>
                        <w:sz w:val="18"/>
                      </w:rPr>
                      <w:t xml:space="preserve"> </w:t>
                    </w:r>
                    <w:r>
                      <w:rPr>
                        <w:rFonts w:ascii="Georgia"/>
                        <w:w w:val="105"/>
                        <w:sz w:val="18"/>
                      </w:rPr>
                      <w:t>youth,</w:t>
                    </w:r>
                    <w:r>
                      <w:rPr>
                        <w:rFonts w:ascii="Georgia"/>
                        <w:spacing w:val="-11"/>
                        <w:w w:val="105"/>
                        <w:sz w:val="18"/>
                      </w:rPr>
                      <w:t xml:space="preserve"> </w:t>
                    </w:r>
                    <w:r>
                      <w:rPr>
                        <w:rFonts w:ascii="Georgia"/>
                        <w:w w:val="105"/>
                        <w:sz w:val="18"/>
                      </w:rPr>
                      <w:t>and</w:t>
                    </w:r>
                    <w:r>
                      <w:rPr>
                        <w:rFonts w:ascii="Georgia"/>
                        <w:spacing w:val="-11"/>
                        <w:w w:val="105"/>
                        <w:sz w:val="18"/>
                      </w:rPr>
                      <w:t xml:space="preserve"> </w:t>
                    </w:r>
                    <w:r>
                      <w:rPr>
                        <w:rFonts w:ascii="Georgia"/>
                        <w:w w:val="105"/>
                        <w:sz w:val="18"/>
                      </w:rPr>
                      <w:t>awareness campaigns ac</w:t>
                    </w:r>
                    <w:r>
                      <w:rPr>
                        <w:rFonts w:ascii="Georgia"/>
                        <w:w w:val="105"/>
                        <w:sz w:val="18"/>
                      </w:rPr>
                      <w:t>ross the state.</w:t>
                    </w:r>
                  </w:p>
                  <w:p w:rsidR="00200FDA" w:rsidRDefault="00200FDA">
                    <w:pPr>
                      <w:spacing w:before="8"/>
                      <w:rPr>
                        <w:rFonts w:ascii="Georgia"/>
                        <w:sz w:val="27"/>
                      </w:rPr>
                    </w:pPr>
                  </w:p>
                  <w:p w:rsidR="00200FDA" w:rsidRDefault="00F76C4C">
                    <w:pPr>
                      <w:spacing w:line="264" w:lineRule="auto"/>
                      <w:ind w:left="457"/>
                      <w:rPr>
                        <w:rFonts w:ascii="Georgia"/>
                        <w:sz w:val="18"/>
                      </w:rPr>
                    </w:pPr>
                    <w:r>
                      <w:rPr>
                        <w:rFonts w:ascii="Georgia"/>
                        <w:sz w:val="18"/>
                      </w:rPr>
                      <w:t>Prohibit medical providers from performing non- consensual examinations on unconscious patients.</w:t>
                    </w:r>
                  </w:p>
                </w:txbxContent>
              </v:textbox>
            </v:shape>
            <v:shape id="docshape371" o:spid="_x0000_s1227" type="#_x0000_t202" style="position:absolute;left:1765;top:4496;width:3893;height:431" filled="f" stroked="f">
              <v:textbox inset="0,0,0,0">
                <w:txbxContent>
                  <w:p w:rsidR="00200FDA" w:rsidRDefault="00F76C4C">
                    <w:pPr>
                      <w:spacing w:line="264" w:lineRule="auto"/>
                      <w:rPr>
                        <w:rFonts w:ascii="Georgia"/>
                        <w:sz w:val="18"/>
                      </w:rPr>
                    </w:pPr>
                    <w:r>
                      <w:rPr>
                        <w:rFonts w:ascii="Georgia"/>
                        <w:sz w:val="18"/>
                      </w:rPr>
                      <w:t xml:space="preserve">Support and increase HIV &amp; STI prevention and </w:t>
                    </w:r>
                    <w:r>
                      <w:rPr>
                        <w:rFonts w:ascii="Georgia"/>
                        <w:w w:val="105"/>
                        <w:sz w:val="18"/>
                      </w:rPr>
                      <w:t>treatment services and awareness campaigns.</w:t>
                    </w:r>
                  </w:p>
                </w:txbxContent>
              </v:textbox>
            </v:shape>
            <w10:wrap anchorx="page"/>
          </v:group>
        </w:pict>
      </w:r>
      <w:r>
        <w:rPr>
          <w:rFonts w:ascii="Georgia"/>
          <w:sz w:val="21"/>
        </w:rPr>
        <w:t>inclusive</w:t>
      </w:r>
      <w:r>
        <w:rPr>
          <w:rFonts w:ascii="Georgia"/>
          <w:spacing w:val="16"/>
          <w:sz w:val="21"/>
        </w:rPr>
        <w:t xml:space="preserve"> </w:t>
      </w:r>
      <w:r>
        <w:rPr>
          <w:rFonts w:ascii="Georgia"/>
          <w:sz w:val="21"/>
        </w:rPr>
        <w:t>sexual</w:t>
      </w:r>
      <w:r>
        <w:rPr>
          <w:rFonts w:ascii="Georgia"/>
          <w:spacing w:val="17"/>
          <w:sz w:val="21"/>
        </w:rPr>
        <w:t xml:space="preserve"> </w:t>
      </w:r>
      <w:r>
        <w:rPr>
          <w:rFonts w:ascii="Georgia"/>
          <w:sz w:val="21"/>
        </w:rPr>
        <w:t>health</w:t>
      </w:r>
      <w:r>
        <w:rPr>
          <w:rFonts w:ascii="Georgia"/>
          <w:spacing w:val="17"/>
          <w:sz w:val="21"/>
        </w:rPr>
        <w:t xml:space="preserve"> </w:t>
      </w:r>
      <w:r>
        <w:rPr>
          <w:rFonts w:ascii="Georgia"/>
          <w:spacing w:val="-2"/>
          <w:sz w:val="21"/>
        </w:rPr>
        <w:t>education.</w:t>
      </w:r>
    </w:p>
    <w:p w:rsidR="00200FDA" w:rsidRDefault="00F76C4C">
      <w:pPr>
        <w:pStyle w:val="Heading3"/>
        <w:spacing w:line="709" w:lineRule="exact"/>
        <w:ind w:left="516" w:right="1258"/>
        <w:jc w:val="center"/>
      </w:pPr>
      <w:r>
        <w:rPr>
          <w:b w:val="0"/>
        </w:rPr>
        <w:br w:type="column"/>
      </w:r>
      <w:r>
        <w:rPr>
          <w:emboss/>
          <w:color w:val="001389"/>
          <w:spacing w:val="37"/>
          <w:w w:val="130"/>
        </w:rPr>
        <w:t>40-</w:t>
      </w:r>
      <w:r>
        <w:rPr>
          <w:emboss/>
          <w:color w:val="001389"/>
          <w:spacing w:val="19"/>
          <w:w w:val="130"/>
        </w:rPr>
        <w:t>60%</w:t>
      </w:r>
    </w:p>
    <w:p w:rsidR="00200FDA" w:rsidRDefault="00F76C4C">
      <w:pPr>
        <w:spacing w:line="212" w:lineRule="exact"/>
        <w:ind w:left="622" w:right="1428"/>
        <w:jc w:val="center"/>
        <w:rPr>
          <w:rFonts w:ascii="Georgia"/>
          <w:sz w:val="20"/>
        </w:rPr>
      </w:pPr>
      <w:r>
        <w:rPr>
          <w:rFonts w:ascii="Georgia"/>
          <w:spacing w:val="-2"/>
          <w:w w:val="105"/>
          <w:sz w:val="20"/>
        </w:rPr>
        <w:t>of</w:t>
      </w:r>
      <w:r>
        <w:rPr>
          <w:rFonts w:ascii="Georgia"/>
          <w:spacing w:val="-5"/>
          <w:w w:val="105"/>
          <w:sz w:val="20"/>
        </w:rPr>
        <w:t xml:space="preserve"> </w:t>
      </w:r>
      <w:r>
        <w:rPr>
          <w:rFonts w:ascii="Georgia"/>
          <w:spacing w:val="-2"/>
          <w:w w:val="105"/>
          <w:sz w:val="20"/>
        </w:rPr>
        <w:t>Black</w:t>
      </w:r>
      <w:r>
        <w:rPr>
          <w:rFonts w:ascii="Georgia"/>
          <w:spacing w:val="-5"/>
          <w:w w:val="105"/>
          <w:sz w:val="20"/>
        </w:rPr>
        <w:t xml:space="preserve"> </w:t>
      </w:r>
      <w:r>
        <w:rPr>
          <w:rFonts w:ascii="Georgia"/>
          <w:spacing w:val="-2"/>
          <w:w w:val="105"/>
          <w:sz w:val="20"/>
        </w:rPr>
        <w:t>women</w:t>
      </w:r>
      <w:r>
        <w:rPr>
          <w:rFonts w:ascii="Georgia"/>
          <w:spacing w:val="-4"/>
          <w:w w:val="105"/>
          <w:sz w:val="20"/>
        </w:rPr>
        <w:t xml:space="preserve"> </w:t>
      </w:r>
      <w:r>
        <w:rPr>
          <w:rFonts w:ascii="Georgia"/>
          <w:spacing w:val="-2"/>
          <w:w w:val="105"/>
          <w:sz w:val="20"/>
        </w:rPr>
        <w:t>reporting</w:t>
      </w:r>
      <w:r>
        <w:rPr>
          <w:rFonts w:ascii="Georgia"/>
          <w:spacing w:val="-5"/>
          <w:w w:val="105"/>
          <w:sz w:val="20"/>
        </w:rPr>
        <w:t xml:space="preserve"> </w:t>
      </w:r>
      <w:r>
        <w:rPr>
          <w:rFonts w:ascii="Georgia"/>
          <w:spacing w:val="-4"/>
          <w:w w:val="105"/>
          <w:sz w:val="20"/>
        </w:rPr>
        <w:t>being</w:t>
      </w:r>
    </w:p>
    <w:p w:rsidR="00200FDA" w:rsidRDefault="00F76C4C">
      <w:pPr>
        <w:spacing w:before="36" w:line="278" w:lineRule="auto"/>
        <w:ind w:left="621" w:right="1428"/>
        <w:jc w:val="center"/>
        <w:rPr>
          <w:rFonts w:ascii="Georgia"/>
          <w:sz w:val="20"/>
        </w:rPr>
      </w:pPr>
      <w:r>
        <w:rPr>
          <w:rFonts w:ascii="Georgia"/>
          <w:w w:val="105"/>
          <w:sz w:val="20"/>
        </w:rPr>
        <w:t>subjected</w:t>
      </w:r>
      <w:r>
        <w:rPr>
          <w:rFonts w:ascii="Georgia"/>
          <w:spacing w:val="-13"/>
          <w:w w:val="105"/>
          <w:sz w:val="20"/>
        </w:rPr>
        <w:t xml:space="preserve"> </w:t>
      </w:r>
      <w:r>
        <w:rPr>
          <w:rFonts w:ascii="Georgia"/>
          <w:w w:val="105"/>
          <w:sz w:val="20"/>
        </w:rPr>
        <w:t>to</w:t>
      </w:r>
      <w:r>
        <w:rPr>
          <w:rFonts w:ascii="Georgia"/>
          <w:spacing w:val="-13"/>
          <w:w w:val="105"/>
          <w:sz w:val="20"/>
        </w:rPr>
        <w:t xml:space="preserve"> </w:t>
      </w:r>
      <w:r>
        <w:rPr>
          <w:rFonts w:ascii="Georgia"/>
          <w:w w:val="105"/>
          <w:sz w:val="20"/>
        </w:rPr>
        <w:t>coercive</w:t>
      </w:r>
      <w:r>
        <w:rPr>
          <w:rFonts w:ascii="Georgia"/>
          <w:spacing w:val="-12"/>
          <w:w w:val="105"/>
          <w:sz w:val="20"/>
        </w:rPr>
        <w:t xml:space="preserve"> </w:t>
      </w:r>
      <w:r>
        <w:rPr>
          <w:rFonts w:ascii="Georgia"/>
          <w:w w:val="105"/>
          <w:sz w:val="20"/>
        </w:rPr>
        <w:t>sexual contact by the age of 18</w:t>
      </w:r>
    </w:p>
    <w:p w:rsidR="00200FDA" w:rsidRDefault="00200FDA">
      <w:pPr>
        <w:pStyle w:val="BodyText"/>
        <w:rPr>
          <w:rFonts w:ascii="Georgia"/>
          <w:sz w:val="20"/>
        </w:rPr>
      </w:pPr>
    </w:p>
    <w:p w:rsidR="00200FDA" w:rsidRDefault="00200FDA">
      <w:pPr>
        <w:pStyle w:val="BodyText"/>
        <w:rPr>
          <w:rFonts w:ascii="Georgia"/>
          <w:sz w:val="20"/>
        </w:rPr>
      </w:pPr>
    </w:p>
    <w:p w:rsidR="00200FDA" w:rsidRDefault="00F76C4C">
      <w:pPr>
        <w:pStyle w:val="BodyText"/>
        <w:spacing w:line="20" w:lineRule="exact"/>
        <w:ind w:left="-112"/>
        <w:rPr>
          <w:rFonts w:ascii="Georgia"/>
          <w:sz w:val="2"/>
        </w:rPr>
      </w:pPr>
      <w:r>
        <w:rPr>
          <w:rFonts w:ascii="Georgia"/>
          <w:sz w:val="2"/>
        </w:rPr>
      </w:r>
      <w:r>
        <w:rPr>
          <w:rFonts w:ascii="Georgia"/>
          <w:sz w:val="2"/>
        </w:rPr>
        <w:pict>
          <v:group id="docshapegroup372" o:spid="_x0000_s1224" style="width:218.3pt;height:2.25pt;mso-position-horizontal-relative:char;mso-position-vertical-relative:line" coordsize="4366,45">
            <v:line id="_x0000_s1225" style="position:absolute" from="0,23" to="4365,23" strokecolor="#001389" strokeweight="2.25pt">
              <v:stroke dashstyle="3 1"/>
            </v:line>
            <w10:anchorlock/>
          </v:group>
        </w:pict>
      </w:r>
    </w:p>
    <w:p w:rsidR="00200FDA" w:rsidRDefault="00F76C4C">
      <w:pPr>
        <w:pStyle w:val="Heading3"/>
        <w:spacing w:before="51"/>
        <w:ind w:left="438" w:right="1258"/>
        <w:jc w:val="center"/>
      </w:pPr>
      <w:r>
        <w:rPr>
          <w:emboss/>
          <w:color w:val="001389"/>
          <w:spacing w:val="19"/>
          <w:w w:val="115"/>
        </w:rPr>
        <w:t>38%</w:t>
      </w:r>
    </w:p>
    <w:p w:rsidR="00200FDA" w:rsidRDefault="00F76C4C">
      <w:pPr>
        <w:spacing w:before="16" w:line="278" w:lineRule="auto"/>
        <w:ind w:left="275" w:right="948" w:hanging="1"/>
        <w:jc w:val="center"/>
        <w:rPr>
          <w:rFonts w:ascii="Georgia"/>
          <w:sz w:val="20"/>
        </w:rPr>
      </w:pPr>
      <w:r>
        <w:rPr>
          <w:rFonts w:ascii="Georgia"/>
          <w:w w:val="105"/>
          <w:sz w:val="20"/>
        </w:rPr>
        <w:t>of</w:t>
      </w:r>
      <w:r>
        <w:rPr>
          <w:rFonts w:ascii="Georgia"/>
          <w:spacing w:val="40"/>
          <w:w w:val="105"/>
          <w:sz w:val="20"/>
        </w:rPr>
        <w:t xml:space="preserve"> </w:t>
      </w:r>
      <w:r>
        <w:rPr>
          <w:rFonts w:ascii="Georgia"/>
          <w:w w:val="105"/>
          <w:sz w:val="20"/>
        </w:rPr>
        <w:t>LGBTQ youth used a condom during their</w:t>
      </w:r>
      <w:r>
        <w:rPr>
          <w:rFonts w:ascii="Georgia"/>
          <w:spacing w:val="-13"/>
          <w:w w:val="105"/>
          <w:sz w:val="20"/>
        </w:rPr>
        <w:t xml:space="preserve"> </w:t>
      </w:r>
      <w:r>
        <w:rPr>
          <w:rFonts w:ascii="Georgia"/>
          <w:w w:val="105"/>
          <w:sz w:val="20"/>
        </w:rPr>
        <w:t>last</w:t>
      </w:r>
      <w:r>
        <w:rPr>
          <w:rFonts w:ascii="Georgia"/>
          <w:spacing w:val="-13"/>
          <w:w w:val="105"/>
          <w:sz w:val="20"/>
        </w:rPr>
        <w:t xml:space="preserve"> </w:t>
      </w:r>
      <w:r>
        <w:rPr>
          <w:rFonts w:ascii="Georgia"/>
          <w:w w:val="105"/>
          <w:sz w:val="20"/>
        </w:rPr>
        <w:t>sexual</w:t>
      </w:r>
      <w:r>
        <w:rPr>
          <w:rFonts w:ascii="Georgia"/>
          <w:spacing w:val="-12"/>
          <w:w w:val="105"/>
          <w:sz w:val="20"/>
        </w:rPr>
        <w:t xml:space="preserve"> </w:t>
      </w:r>
      <w:r>
        <w:rPr>
          <w:rFonts w:ascii="Georgia"/>
          <w:w w:val="105"/>
          <w:sz w:val="20"/>
        </w:rPr>
        <w:t>intercourse</w:t>
      </w:r>
      <w:r>
        <w:rPr>
          <w:rFonts w:ascii="Georgia"/>
          <w:spacing w:val="-13"/>
          <w:w w:val="105"/>
          <w:sz w:val="20"/>
        </w:rPr>
        <w:t xml:space="preserve"> </w:t>
      </w:r>
      <w:r>
        <w:rPr>
          <w:rFonts w:ascii="Georgia"/>
          <w:w w:val="105"/>
          <w:sz w:val="20"/>
        </w:rPr>
        <w:t>compared</w:t>
      </w:r>
      <w:r>
        <w:rPr>
          <w:rFonts w:ascii="Georgia"/>
          <w:spacing w:val="-13"/>
          <w:w w:val="105"/>
          <w:sz w:val="20"/>
        </w:rPr>
        <w:t xml:space="preserve"> </w:t>
      </w:r>
      <w:r>
        <w:rPr>
          <w:rFonts w:ascii="Georgia"/>
          <w:w w:val="105"/>
          <w:sz w:val="20"/>
        </w:rPr>
        <w:t xml:space="preserve">to </w:t>
      </w:r>
      <w:r>
        <w:rPr>
          <w:rFonts w:ascii="Georgia"/>
          <w:sz w:val="20"/>
        </w:rPr>
        <w:t>60%</w:t>
      </w:r>
      <w:r>
        <w:rPr>
          <w:rFonts w:ascii="Georgia"/>
          <w:spacing w:val="8"/>
          <w:sz w:val="20"/>
        </w:rPr>
        <w:t xml:space="preserve"> </w:t>
      </w:r>
      <w:r>
        <w:rPr>
          <w:rFonts w:ascii="Georgia"/>
          <w:sz w:val="20"/>
        </w:rPr>
        <w:t>of</w:t>
      </w:r>
      <w:r>
        <w:rPr>
          <w:rFonts w:ascii="Georgia"/>
          <w:spacing w:val="9"/>
          <w:sz w:val="20"/>
        </w:rPr>
        <w:t xml:space="preserve"> </w:t>
      </w:r>
      <w:r>
        <w:rPr>
          <w:rFonts w:ascii="Georgia"/>
          <w:sz w:val="20"/>
        </w:rPr>
        <w:t>heterosexual</w:t>
      </w:r>
      <w:r>
        <w:rPr>
          <w:rFonts w:ascii="Georgia"/>
          <w:spacing w:val="9"/>
          <w:sz w:val="20"/>
        </w:rPr>
        <w:t xml:space="preserve"> </w:t>
      </w:r>
      <w:r>
        <w:rPr>
          <w:rFonts w:ascii="Georgia"/>
          <w:sz w:val="20"/>
        </w:rPr>
        <w:t>and</w:t>
      </w:r>
      <w:r>
        <w:rPr>
          <w:rFonts w:ascii="Georgia"/>
          <w:spacing w:val="9"/>
          <w:sz w:val="20"/>
        </w:rPr>
        <w:t xml:space="preserve"> </w:t>
      </w:r>
      <w:r>
        <w:rPr>
          <w:rFonts w:ascii="Georgia"/>
          <w:sz w:val="20"/>
        </w:rPr>
        <w:t>cisgender</w:t>
      </w:r>
      <w:r>
        <w:rPr>
          <w:rFonts w:ascii="Georgia"/>
          <w:spacing w:val="9"/>
          <w:sz w:val="20"/>
        </w:rPr>
        <w:t xml:space="preserve"> </w:t>
      </w:r>
      <w:r>
        <w:rPr>
          <w:rFonts w:ascii="Georgia"/>
          <w:spacing w:val="-4"/>
          <w:sz w:val="20"/>
        </w:rPr>
        <w:t>youth</w:t>
      </w:r>
    </w:p>
    <w:p w:rsidR="00200FDA" w:rsidRDefault="00200FDA">
      <w:pPr>
        <w:spacing w:line="278" w:lineRule="auto"/>
        <w:jc w:val="center"/>
        <w:rPr>
          <w:rFonts w:ascii="Georgia"/>
          <w:sz w:val="20"/>
        </w:rPr>
        <w:sectPr w:rsidR="00200FDA">
          <w:type w:val="continuous"/>
          <w:pgSz w:w="12240" w:h="15840"/>
          <w:pgMar w:top="720" w:right="300" w:bottom="280" w:left="920" w:header="0" w:footer="0" w:gutter="0"/>
          <w:cols w:num="2" w:space="720" w:equalWidth="0">
            <w:col w:w="3531" w:space="2521"/>
            <w:col w:w="4968"/>
          </w:cols>
        </w:sectPr>
      </w:pPr>
    </w:p>
    <w:p w:rsidR="00200FDA" w:rsidRDefault="00F76C4C">
      <w:pPr>
        <w:pStyle w:val="BodyText"/>
        <w:rPr>
          <w:rFonts w:ascii="Georgia"/>
          <w:sz w:val="20"/>
        </w:rPr>
      </w:pPr>
      <w:r>
        <w:pict>
          <v:group id="docshapegroup373" o:spid="_x0000_s1219" style="position:absolute;margin-left:0;margin-top:0;width:609.9pt;height:407.4pt;z-index:-21271040;mso-position-horizontal-relative:page;mso-position-vertical-relative:page" coordsize="12198,8148">
            <v:shape id="docshape374" o:spid="_x0000_s1223" type="#_x0000_t75" style="position:absolute;width:12198;height:4912">
              <v:imagedata r:id="rId572" o:title=""/>
            </v:shape>
            <v:shape id="docshape375" o:spid="_x0000_s1222" type="#_x0000_t75" style="position:absolute;left:7839;top:1158;width:2333;height:2332">
              <v:imagedata r:id="rId143" o:title=""/>
            </v:shape>
            <v:shape id="docshape376" o:spid="_x0000_s1221" style="position:absolute;left:7818;top:1136;width:2375;height:2375" coordorigin="7818,1136" coordsize="2375,2375" o:spt="100" adj="0,,0" path="m9006,3511r-75,-2l8857,3502r-72,-11l8714,3475r-69,-20l8577,3431r-66,-27l8448,3372r-61,-35l8328,3298r-57,-41l8218,3211r-51,-48l8118,3112r-45,-54l8031,3002r-38,-59l7958,2882r-32,-64l7898,2752r-24,-67l7855,2616r-16,-71l7828,2473r-7,-74l7818,2324r3,-75l7828,2175r11,-72l7855,2032r19,-69l7898,1895r28,-65l7958,1766r35,-61l8031,1646r42,-56l8118,1536r49,-51l8218,1437r53,-46l8328,1350r59,-39l8448,1276r64,-32l8577,1217r68,-24l8714,1173r71,-16l8857,1146r74,-7l9006,1136r75,3l9155,1146r72,11l9298,1173r24,7l9006,1180r-75,2l8857,1189r-73,12l8714,1218r-69,20l8577,1263r-65,29l8449,1324r-60,37l8330,1401r-55,43l8222,1491r-49,50l8126,1593r-43,56l8043,1707r-37,60l7974,1830r-29,66l7920,1963r-21,69l7883,2103r-12,72l7864,2249r-2,75l7864,2399r7,74l7883,2545r16,71l7920,2685r25,67l7974,2818r32,63l8043,2941r40,58l8126,3055r47,52l8222,3157r53,47l8330,3247r59,40l8449,3323r63,33l8577,3385r68,25l8714,3430r70,17l8857,3459r74,7l9006,3468r316,l9298,3475r-71,16l9155,3502r-74,7l9006,3511xm9322,3468r-316,l9081,3466r74,-7l9227,3447r71,-17l9367,3410r67,-25l9499,3356r63,-33l9623,3287r58,-40l9737,3204r52,-47l9839,3107r47,-52l9929,2999r40,-58l10005,2881r33,-63l10067,2752r25,-67l10112,2616r17,-71l10140,2473r8,-74l10150,2324r-2,-75l10140,2175r-11,-72l10112,2032r-20,-69l10067,1896r-29,-66l10005,1767r-36,-60l9929,1649r-43,-56l9839,1541r-50,-50l9737,1444r-56,-43l9623,1361r-61,-37l9499,1292r-65,-29l9367,1238r-69,-20l9227,1201r-72,-12l9081,1182r-75,-2l9322,1180r45,13l9435,1217r65,27l9564,1276r61,35l9684,1350r56,41l9794,1437r51,48l9893,1536r45,54l9980,1646r39,59l10054,1766r31,64l10113,1896r24,67l10157,2032r16,71l10184,2175r7,74l10193,2324r-2,75l10184,2473r-11,72l10157,2616r-20,69l10113,2753r-28,65l10054,2882r-35,61l9980,3002r-42,56l9893,3112r-48,51l9794,3211r-54,46l9684,3298r-59,39l9564,3372r-64,32l9435,3431r-68,24l9322,3468xe" stroked="f">
              <v:stroke joinstyle="round"/>
              <v:formulas/>
              <v:path arrowok="t" o:connecttype="segments"/>
            </v:shape>
            <v:shape id="docshape377" o:spid="_x0000_s1220" type="#_x0000_t75" style="position:absolute;left:1031;top:3800;width:6759;height:4348">
              <v:imagedata r:id="rId573" o:title=""/>
            </v:shape>
            <w10:wrap anchorx="page" anchory="page"/>
          </v:group>
        </w:pict>
      </w:r>
    </w:p>
    <w:p w:rsidR="00200FDA" w:rsidRDefault="00200FDA">
      <w:pPr>
        <w:pStyle w:val="BodyText"/>
        <w:spacing w:before="5"/>
        <w:rPr>
          <w:rFonts w:ascii="Georgia"/>
          <w:sz w:val="18"/>
        </w:rPr>
      </w:pPr>
    </w:p>
    <w:p w:rsidR="00200FDA" w:rsidRDefault="00F76C4C">
      <w:pPr>
        <w:tabs>
          <w:tab w:val="left" w:pos="6329"/>
        </w:tabs>
        <w:ind w:left="111"/>
        <w:rPr>
          <w:rFonts w:ascii="Georgia"/>
          <w:sz w:val="20"/>
        </w:rPr>
      </w:pPr>
      <w:r>
        <w:rPr>
          <w:rFonts w:ascii="Georgia"/>
          <w:position w:val="22"/>
          <w:sz w:val="20"/>
        </w:rPr>
      </w:r>
      <w:r>
        <w:rPr>
          <w:rFonts w:ascii="Georgia"/>
          <w:position w:val="22"/>
          <w:sz w:val="20"/>
        </w:rPr>
        <w:pict>
          <v:group id="docshapegroup378" o:spid="_x0000_s1216" style="width:274.9pt;height:95.5pt;mso-position-horizontal-relative:char;mso-position-vertical-relative:line" coordsize="5498,1910">
            <v:shape id="docshape379" o:spid="_x0000_s1218" style="position:absolute;width:5498;height:1910" coordsize="5498,1910" path="m5039,1909r-4580,l418,1901r-70,-24l282,1843r-60,-40l167,1754r-48,-54l78,1639,45,1573,20,1503,5,1429,,1351,,570,5,493,20,418,45,348,78,282r41,-60l167,167r55,-48l282,78,348,45,418,20,493,5,570,,4928,r77,5l5080,20r70,25l5216,78r60,41l5331,167r48,55l5420,282r33,66l5478,418r15,75l5498,570r,781l5493,1429r-15,74l5453,1573r-33,66l5379,1700r-48,54l5276,1803r-60,40l5150,1877r-70,24l5039,1909xe" fillcolor="#dec7eb" stroked="f">
              <v:fill opacity="36497f"/>
              <v:path arrowok="t"/>
            </v:shape>
            <v:shape id="docshape380" o:spid="_x0000_s1217" type="#_x0000_t202" style="position:absolute;width:5498;height:1910" filled="f" stroked="f">
              <v:textbox inset="0,0,0,0">
                <w:txbxContent>
                  <w:p w:rsidR="00200FDA" w:rsidRDefault="00F76C4C">
                    <w:pPr>
                      <w:spacing w:before="80"/>
                      <w:ind w:left="279"/>
                      <w:rPr>
                        <w:b/>
                        <w:i/>
                        <w:sz w:val="33"/>
                      </w:rPr>
                    </w:pPr>
                    <w:r>
                      <w:rPr>
                        <w:b/>
                        <w:i/>
                        <w:spacing w:val="10"/>
                        <w:w w:val="125"/>
                        <w:sz w:val="33"/>
                      </w:rPr>
                      <w:t>LEGISLATION</w:t>
                    </w:r>
                  </w:p>
                  <w:p w:rsidR="00200FDA" w:rsidRDefault="00F76C4C">
                    <w:pPr>
                      <w:spacing w:before="101" w:line="547" w:lineRule="auto"/>
                      <w:ind w:left="279" w:right="1137"/>
                      <w:rPr>
                        <w:rFonts w:ascii="Georgia"/>
                        <w:sz w:val="18"/>
                      </w:rPr>
                    </w:pPr>
                    <w:r>
                      <w:rPr>
                        <w:rFonts w:ascii="Georgia"/>
                        <w:sz w:val="18"/>
                      </w:rPr>
                      <w:t>S.268/H.544: The Healthy Youth Act S.619/H.1085:</w:t>
                    </w:r>
                    <w:r>
                      <w:rPr>
                        <w:rFonts w:ascii="Georgia"/>
                        <w:spacing w:val="-4"/>
                        <w:sz w:val="18"/>
                      </w:rPr>
                      <w:t xml:space="preserve"> </w:t>
                    </w:r>
                    <w:r>
                      <w:rPr>
                        <w:rFonts w:ascii="Georgia"/>
                        <w:sz w:val="18"/>
                      </w:rPr>
                      <w:t>HIV</w:t>
                    </w:r>
                    <w:r>
                      <w:rPr>
                        <w:rFonts w:ascii="Georgia"/>
                        <w:spacing w:val="-4"/>
                        <w:sz w:val="18"/>
                      </w:rPr>
                      <w:t xml:space="preserve"> </w:t>
                    </w:r>
                    <w:r>
                      <w:rPr>
                        <w:rFonts w:ascii="Georgia"/>
                        <w:sz w:val="18"/>
                      </w:rPr>
                      <w:t>Prevention</w:t>
                    </w:r>
                    <w:r>
                      <w:rPr>
                        <w:rFonts w:ascii="Georgia"/>
                        <w:spacing w:val="-4"/>
                        <w:sz w:val="18"/>
                      </w:rPr>
                      <w:t xml:space="preserve"> </w:t>
                    </w:r>
                    <w:r>
                      <w:rPr>
                        <w:rFonts w:ascii="Georgia"/>
                        <w:sz w:val="18"/>
                      </w:rPr>
                      <w:t>Medication</w:t>
                    </w:r>
                    <w:r>
                      <w:rPr>
                        <w:rFonts w:ascii="Georgia"/>
                        <w:spacing w:val="-4"/>
                        <w:sz w:val="18"/>
                      </w:rPr>
                      <w:t xml:space="preserve"> </w:t>
                    </w:r>
                    <w:r>
                      <w:rPr>
                        <w:rFonts w:ascii="Georgia"/>
                        <w:sz w:val="18"/>
                      </w:rPr>
                      <w:t>Access</w:t>
                    </w:r>
                  </w:p>
                  <w:p w:rsidR="00200FDA" w:rsidRDefault="00F76C4C">
                    <w:pPr>
                      <w:spacing w:line="179" w:lineRule="exact"/>
                      <w:ind w:left="279"/>
                      <w:rPr>
                        <w:rFonts w:ascii="Georgia"/>
                        <w:sz w:val="18"/>
                      </w:rPr>
                    </w:pPr>
                    <w:r>
                      <w:rPr>
                        <w:rFonts w:ascii="Georgia"/>
                        <w:spacing w:val="-2"/>
                        <w:sz w:val="18"/>
                      </w:rPr>
                      <w:t>S.1333/H.2146:</w:t>
                    </w:r>
                    <w:r>
                      <w:rPr>
                        <w:rFonts w:ascii="Georgia"/>
                        <w:spacing w:val="9"/>
                        <w:sz w:val="18"/>
                      </w:rPr>
                      <w:t xml:space="preserve"> </w:t>
                    </w:r>
                    <w:r>
                      <w:rPr>
                        <w:rFonts w:ascii="Georgia"/>
                        <w:spacing w:val="-2"/>
                        <w:sz w:val="18"/>
                      </w:rPr>
                      <w:t>Prohibit</w:t>
                    </w:r>
                    <w:r>
                      <w:rPr>
                        <w:rFonts w:ascii="Georgia"/>
                        <w:spacing w:val="9"/>
                        <w:sz w:val="18"/>
                      </w:rPr>
                      <w:t xml:space="preserve"> </w:t>
                    </w:r>
                    <w:r>
                      <w:rPr>
                        <w:rFonts w:ascii="Georgia"/>
                        <w:spacing w:val="-2"/>
                        <w:sz w:val="18"/>
                      </w:rPr>
                      <w:t>Nonconsensual</w:t>
                    </w:r>
                    <w:r>
                      <w:rPr>
                        <w:rFonts w:ascii="Georgia"/>
                        <w:spacing w:val="10"/>
                        <w:sz w:val="18"/>
                      </w:rPr>
                      <w:t xml:space="preserve"> </w:t>
                    </w:r>
                    <w:r>
                      <w:rPr>
                        <w:rFonts w:ascii="Georgia"/>
                        <w:spacing w:val="-2"/>
                        <w:sz w:val="18"/>
                      </w:rPr>
                      <w:t>Intimate</w:t>
                    </w:r>
                    <w:r>
                      <w:rPr>
                        <w:rFonts w:ascii="Georgia"/>
                        <w:spacing w:val="9"/>
                        <w:sz w:val="18"/>
                      </w:rPr>
                      <w:t xml:space="preserve"> </w:t>
                    </w:r>
                    <w:r>
                      <w:rPr>
                        <w:rFonts w:ascii="Georgia"/>
                        <w:spacing w:val="-2"/>
                        <w:sz w:val="18"/>
                      </w:rPr>
                      <w:t>Examinations</w:t>
                    </w:r>
                  </w:p>
                </w:txbxContent>
              </v:textbox>
            </v:shape>
            <w10:anchorlock/>
          </v:group>
        </w:pict>
      </w:r>
      <w:r>
        <w:rPr>
          <w:rFonts w:ascii="Georgia"/>
          <w:position w:val="22"/>
          <w:sz w:val="20"/>
        </w:rPr>
        <w:tab/>
      </w:r>
      <w:r>
        <w:rPr>
          <w:rFonts w:ascii="Georgia"/>
          <w:noProof/>
          <w:sz w:val="20"/>
        </w:rPr>
        <w:drawing>
          <wp:inline distT="0" distB="0" distL="0" distR="0">
            <wp:extent cx="2860861" cy="2230945"/>
            <wp:effectExtent l="0" t="0" r="0" b="0"/>
            <wp:docPr id="105"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9.png"/>
                    <pic:cNvPicPr/>
                  </pic:nvPicPr>
                  <pic:blipFill>
                    <a:blip r:embed="rId574" cstate="print"/>
                    <a:stretch>
                      <a:fillRect/>
                    </a:stretch>
                  </pic:blipFill>
                  <pic:spPr>
                    <a:xfrm>
                      <a:off x="0" y="0"/>
                      <a:ext cx="2860861" cy="2230945"/>
                    </a:xfrm>
                    <a:prstGeom prst="rect">
                      <a:avLst/>
                    </a:prstGeom>
                  </pic:spPr>
                </pic:pic>
              </a:graphicData>
            </a:graphic>
          </wp:inline>
        </w:drawing>
      </w:r>
    </w:p>
    <w:p w:rsidR="00200FDA" w:rsidRDefault="00200FDA">
      <w:pPr>
        <w:rPr>
          <w:rFonts w:ascii="Georgia"/>
          <w:sz w:val="20"/>
        </w:rPr>
        <w:sectPr w:rsidR="00200FDA">
          <w:type w:val="continuous"/>
          <w:pgSz w:w="12240" w:h="15840"/>
          <w:pgMar w:top="720" w:right="300" w:bottom="280" w:left="920" w:header="0" w:footer="0" w:gutter="0"/>
          <w:cols w:space="720"/>
        </w:sectPr>
      </w:pPr>
    </w:p>
    <w:bookmarkStart w:id="744" w:name="EH_Report_-_Edited.pdf"/>
    <w:bookmarkStart w:id="745" w:name="Ending_Youth_Homelessness"/>
    <w:bookmarkStart w:id="746" w:name="_bookmark580"/>
    <w:bookmarkEnd w:id="744"/>
    <w:bookmarkEnd w:id="745"/>
    <w:bookmarkEnd w:id="746"/>
    <w:p w:rsidR="00200FDA" w:rsidRDefault="00F76C4C">
      <w:pPr>
        <w:spacing w:before="67"/>
        <w:ind w:left="140"/>
        <w:rPr>
          <w:sz w:val="32"/>
        </w:rPr>
      </w:pPr>
      <w:r>
        <w:lastRenderedPageBreak/>
        <w:fldChar w:fldCharType="begin"/>
      </w:r>
      <w:r>
        <w:instrText xml:space="preserve"> HYPERLINK \l "_bookmark2" </w:instrText>
      </w:r>
      <w:r>
        <w:fldChar w:fldCharType="separate"/>
      </w:r>
      <w:r>
        <w:rPr>
          <w:color w:val="0A5293"/>
          <w:sz w:val="32"/>
        </w:rPr>
        <w:t>Ending</w:t>
      </w:r>
      <w:r>
        <w:rPr>
          <w:color w:val="0A5293"/>
          <w:spacing w:val="-9"/>
          <w:sz w:val="32"/>
        </w:rPr>
        <w:t xml:space="preserve"> </w:t>
      </w:r>
      <w:r>
        <w:rPr>
          <w:color w:val="0A5293"/>
          <w:sz w:val="32"/>
        </w:rPr>
        <w:t>Youth</w:t>
      </w:r>
      <w:r>
        <w:rPr>
          <w:color w:val="0A5293"/>
          <w:spacing w:val="-9"/>
          <w:sz w:val="32"/>
        </w:rPr>
        <w:t xml:space="preserve"> </w:t>
      </w:r>
      <w:r>
        <w:rPr>
          <w:color w:val="0A5293"/>
          <w:spacing w:val="-2"/>
          <w:sz w:val="32"/>
        </w:rPr>
        <w:t>Homelessness</w:t>
      </w:r>
      <w:r>
        <w:rPr>
          <w:color w:val="0A5293"/>
          <w:spacing w:val="-2"/>
          <w:sz w:val="32"/>
        </w:rPr>
        <w:fldChar w:fldCharType="end"/>
      </w:r>
    </w:p>
    <w:p w:rsidR="00200FDA" w:rsidRDefault="00F76C4C">
      <w:pPr>
        <w:pStyle w:val="BodyText"/>
        <w:spacing w:before="4"/>
        <w:rPr>
          <w:sz w:val="4"/>
        </w:rPr>
      </w:pPr>
      <w:r>
        <w:pict>
          <v:rect id="docshape384" o:spid="_x0000_s1215" style="position:absolute;margin-left:70.55pt;margin-top:3.9pt;width:470.9pt;height:.5pt;z-index:-15660032;mso-wrap-distance-left:0;mso-wrap-distance-right:0;mso-position-horizontal-relative:page" fillcolor="#0f6ec5" stroked="f">
            <w10:wrap type="topAndBottom" anchorx="page"/>
          </v:rect>
        </w:pict>
      </w:r>
    </w:p>
    <w:p w:rsidR="00200FDA" w:rsidRDefault="00200FDA">
      <w:pPr>
        <w:pStyle w:val="BodyText"/>
        <w:rPr>
          <w:sz w:val="20"/>
        </w:rPr>
      </w:pPr>
    </w:p>
    <w:p w:rsidR="00200FDA" w:rsidRDefault="00F76C4C">
      <w:pPr>
        <w:pStyle w:val="Heading7"/>
        <w:spacing w:before="173"/>
        <w:ind w:left="140"/>
      </w:pPr>
      <w:r>
        <w:rPr>
          <w:color w:val="0A5293"/>
          <w:spacing w:val="-2"/>
        </w:rPr>
        <w:t>Introduction</w:t>
      </w:r>
    </w:p>
    <w:p w:rsidR="00200FDA" w:rsidRDefault="00F76C4C">
      <w:pPr>
        <w:pStyle w:val="BodyText"/>
        <w:spacing w:before="6"/>
        <w:rPr>
          <w:sz w:val="3"/>
        </w:rPr>
      </w:pPr>
      <w:r>
        <w:pict>
          <v:rect id="docshape385" o:spid="_x0000_s1214" style="position:absolute;margin-left:70.55pt;margin-top:3.35pt;width:470.9pt;height:.5pt;z-index:-15659520;mso-wrap-distance-left:0;mso-wrap-distance-right:0;mso-position-horizontal-relative:page" fillcolor="#0f6ec5" stroked="f">
            <w10:wrap type="topAndBottom" anchorx="page"/>
          </v:rect>
        </w:pict>
      </w:r>
    </w:p>
    <w:p w:rsidR="00200FDA" w:rsidRDefault="00200FDA">
      <w:pPr>
        <w:pStyle w:val="BodyText"/>
        <w:spacing w:before="9"/>
        <w:rPr>
          <w:sz w:val="14"/>
        </w:rPr>
      </w:pPr>
    </w:p>
    <w:p w:rsidR="00200FDA" w:rsidRDefault="00F76C4C">
      <w:pPr>
        <w:spacing w:before="59" w:line="276" w:lineRule="auto"/>
        <w:ind w:left="139" w:right="134"/>
        <w:jc w:val="both"/>
        <w:rPr>
          <w:sz w:val="21"/>
        </w:rPr>
      </w:pPr>
      <w:r>
        <w:rPr>
          <w:sz w:val="21"/>
        </w:rPr>
        <w:t>Currently,</w:t>
      </w:r>
      <w:r>
        <w:rPr>
          <w:spacing w:val="-10"/>
          <w:sz w:val="21"/>
        </w:rPr>
        <w:t xml:space="preserve"> </w:t>
      </w:r>
      <w:r>
        <w:rPr>
          <w:sz w:val="21"/>
        </w:rPr>
        <w:t>Massachusetts</w:t>
      </w:r>
      <w:r>
        <w:rPr>
          <w:spacing w:val="-10"/>
          <w:sz w:val="21"/>
        </w:rPr>
        <w:t xml:space="preserve"> </w:t>
      </w:r>
      <w:r>
        <w:rPr>
          <w:sz w:val="21"/>
        </w:rPr>
        <w:t>is</w:t>
      </w:r>
      <w:r>
        <w:rPr>
          <w:spacing w:val="-10"/>
          <w:sz w:val="21"/>
        </w:rPr>
        <w:t xml:space="preserve"> </w:t>
      </w:r>
      <w:r>
        <w:rPr>
          <w:sz w:val="21"/>
        </w:rPr>
        <w:t>ranked</w:t>
      </w:r>
      <w:r>
        <w:rPr>
          <w:spacing w:val="-10"/>
          <w:sz w:val="21"/>
        </w:rPr>
        <w:t xml:space="preserve"> </w:t>
      </w:r>
      <w:r>
        <w:rPr>
          <w:sz w:val="21"/>
        </w:rPr>
        <w:t>#1</w:t>
      </w:r>
      <w:r>
        <w:rPr>
          <w:spacing w:val="-8"/>
          <w:sz w:val="21"/>
        </w:rPr>
        <w:t xml:space="preserve"> </w:t>
      </w:r>
      <w:r>
        <w:rPr>
          <w:sz w:val="21"/>
        </w:rPr>
        <w:t>in</w:t>
      </w:r>
      <w:r>
        <w:rPr>
          <w:spacing w:val="-10"/>
          <w:sz w:val="21"/>
        </w:rPr>
        <w:t xml:space="preserve"> </w:t>
      </w:r>
      <w:r>
        <w:rPr>
          <w:sz w:val="21"/>
        </w:rPr>
        <w:t>the</w:t>
      </w:r>
      <w:r>
        <w:rPr>
          <w:spacing w:val="-9"/>
          <w:sz w:val="21"/>
        </w:rPr>
        <w:t xml:space="preserve"> </w:t>
      </w:r>
      <w:r>
        <w:rPr>
          <w:sz w:val="21"/>
        </w:rPr>
        <w:t>nation</w:t>
      </w:r>
      <w:r>
        <w:rPr>
          <w:spacing w:val="-10"/>
          <w:sz w:val="21"/>
        </w:rPr>
        <w:t xml:space="preserve"> </w:t>
      </w:r>
      <w:r>
        <w:rPr>
          <w:sz w:val="21"/>
        </w:rPr>
        <w:t>by</w:t>
      </w:r>
      <w:r>
        <w:rPr>
          <w:spacing w:val="-9"/>
          <w:sz w:val="21"/>
        </w:rPr>
        <w:t xml:space="preserve"> </w:t>
      </w:r>
      <w:r>
        <w:rPr>
          <w:sz w:val="21"/>
        </w:rPr>
        <w:t>the</w:t>
      </w:r>
      <w:r>
        <w:rPr>
          <w:spacing w:val="-9"/>
          <w:sz w:val="21"/>
        </w:rPr>
        <w:t xml:space="preserve"> </w:t>
      </w:r>
      <w:r>
        <w:rPr>
          <w:sz w:val="21"/>
        </w:rPr>
        <w:t>True</w:t>
      </w:r>
      <w:r>
        <w:rPr>
          <w:spacing w:val="-9"/>
          <w:sz w:val="21"/>
        </w:rPr>
        <w:t xml:space="preserve"> </w:t>
      </w:r>
      <w:r>
        <w:rPr>
          <w:sz w:val="21"/>
        </w:rPr>
        <w:t>Color’s</w:t>
      </w:r>
      <w:r>
        <w:rPr>
          <w:spacing w:val="-10"/>
          <w:sz w:val="21"/>
        </w:rPr>
        <w:t xml:space="preserve"> </w:t>
      </w:r>
      <w:hyperlink r:id="rId575">
        <w:r>
          <w:rPr>
            <w:i/>
            <w:sz w:val="21"/>
            <w:u w:val="single"/>
          </w:rPr>
          <w:t>State</w:t>
        </w:r>
        <w:r>
          <w:rPr>
            <w:i/>
            <w:spacing w:val="-9"/>
            <w:sz w:val="21"/>
            <w:u w:val="single"/>
          </w:rPr>
          <w:t xml:space="preserve"> </w:t>
        </w:r>
        <w:r>
          <w:rPr>
            <w:i/>
            <w:sz w:val="21"/>
            <w:u w:val="single"/>
          </w:rPr>
          <w:t>Index</w:t>
        </w:r>
        <w:r>
          <w:rPr>
            <w:i/>
            <w:spacing w:val="-9"/>
            <w:sz w:val="21"/>
            <w:u w:val="single"/>
          </w:rPr>
          <w:t xml:space="preserve"> </w:t>
        </w:r>
        <w:r>
          <w:rPr>
            <w:i/>
            <w:sz w:val="21"/>
            <w:u w:val="single"/>
          </w:rPr>
          <w:t>of</w:t>
        </w:r>
        <w:r>
          <w:rPr>
            <w:i/>
            <w:spacing w:val="-12"/>
            <w:sz w:val="21"/>
            <w:u w:val="single"/>
          </w:rPr>
          <w:t xml:space="preserve"> </w:t>
        </w:r>
        <w:r>
          <w:rPr>
            <w:i/>
            <w:sz w:val="21"/>
            <w:u w:val="single"/>
          </w:rPr>
          <w:t>Youth</w:t>
        </w:r>
        <w:r>
          <w:rPr>
            <w:i/>
            <w:spacing w:val="-10"/>
            <w:sz w:val="21"/>
            <w:u w:val="single"/>
          </w:rPr>
          <w:t xml:space="preserve"> </w:t>
        </w:r>
        <w:r>
          <w:rPr>
            <w:i/>
            <w:sz w:val="21"/>
            <w:u w:val="single"/>
          </w:rPr>
          <w:t>Homelessness</w:t>
        </w:r>
        <w:r>
          <w:rPr>
            <w:sz w:val="21"/>
          </w:rPr>
          <w:t>.</w:t>
        </w:r>
      </w:hyperlink>
      <w:r>
        <w:rPr>
          <w:spacing w:val="-10"/>
          <w:sz w:val="21"/>
        </w:rPr>
        <w:t xml:space="preserve"> </w:t>
      </w:r>
      <w:r>
        <w:rPr>
          <w:sz w:val="21"/>
        </w:rPr>
        <w:t>This distinction recognizes the Commonwealth for the depth and breadth of its infrastructure, policies, and programs that support youth experiencing homelessness or housing instability. While there is much to be celebrated, there also remains work to be do</w:t>
      </w:r>
      <w:r>
        <w:rPr>
          <w:sz w:val="21"/>
        </w:rPr>
        <w:t>ne. In the Commonwealth, LGBTQ youth—particularly queer, transgender, Black, Indigenous, and people of color (QTBIPOC) - are disproportionately represented among youth experiencing homelessness.</w:t>
      </w:r>
      <w:hyperlink w:anchor="_bookmark581" w:history="1">
        <w:r>
          <w:rPr>
            <w:sz w:val="21"/>
            <w:vertAlign w:val="superscript"/>
          </w:rPr>
          <w:t>1</w:t>
        </w:r>
      </w:hyperlink>
      <w:r>
        <w:rPr>
          <w:spacing w:val="-2"/>
          <w:sz w:val="21"/>
        </w:rPr>
        <w:t xml:space="preserve"> </w:t>
      </w:r>
      <w:r>
        <w:rPr>
          <w:sz w:val="21"/>
        </w:rPr>
        <w:t xml:space="preserve">Like other sections of this </w:t>
      </w:r>
      <w:r>
        <w:rPr>
          <w:sz w:val="21"/>
        </w:rPr>
        <w:t>report, because the Commission has a broad definition</w:t>
      </w:r>
      <w:r>
        <w:rPr>
          <w:spacing w:val="-3"/>
          <w:sz w:val="21"/>
        </w:rPr>
        <w:t xml:space="preserve"> </w:t>
      </w:r>
      <w:r>
        <w:rPr>
          <w:sz w:val="21"/>
        </w:rPr>
        <w:t>of</w:t>
      </w:r>
      <w:r>
        <w:rPr>
          <w:spacing w:val="-2"/>
          <w:sz w:val="21"/>
        </w:rPr>
        <w:t xml:space="preserve"> </w:t>
      </w:r>
      <w:r>
        <w:rPr>
          <w:sz w:val="21"/>
        </w:rPr>
        <w:t>youth</w:t>
      </w:r>
      <w:r>
        <w:rPr>
          <w:spacing w:val="-3"/>
          <w:sz w:val="21"/>
        </w:rPr>
        <w:t xml:space="preserve"> </w:t>
      </w:r>
      <w:r>
        <w:rPr>
          <w:sz w:val="21"/>
        </w:rPr>
        <w:t>as</w:t>
      </w:r>
      <w:r>
        <w:rPr>
          <w:spacing w:val="-4"/>
          <w:sz w:val="21"/>
        </w:rPr>
        <w:t xml:space="preserve"> </w:t>
      </w:r>
      <w:r>
        <w:rPr>
          <w:sz w:val="21"/>
        </w:rPr>
        <w:t>‘those</w:t>
      </w:r>
      <w:r>
        <w:rPr>
          <w:spacing w:val="-3"/>
          <w:sz w:val="21"/>
        </w:rPr>
        <w:t xml:space="preserve"> </w:t>
      </w:r>
      <w:r>
        <w:rPr>
          <w:sz w:val="21"/>
        </w:rPr>
        <w:t>under</w:t>
      </w:r>
      <w:r>
        <w:rPr>
          <w:spacing w:val="-3"/>
          <w:sz w:val="21"/>
        </w:rPr>
        <w:t xml:space="preserve"> </w:t>
      </w:r>
      <w:r>
        <w:rPr>
          <w:sz w:val="21"/>
        </w:rPr>
        <w:t>25’,</w:t>
      </w:r>
      <w:r>
        <w:rPr>
          <w:spacing w:val="-2"/>
          <w:sz w:val="21"/>
        </w:rPr>
        <w:t xml:space="preserve"> </w:t>
      </w:r>
      <w:r>
        <w:rPr>
          <w:sz w:val="21"/>
        </w:rPr>
        <w:t>this</w:t>
      </w:r>
      <w:r>
        <w:rPr>
          <w:spacing w:val="-3"/>
          <w:sz w:val="21"/>
        </w:rPr>
        <w:t xml:space="preserve"> </w:t>
      </w:r>
      <w:r>
        <w:rPr>
          <w:sz w:val="21"/>
        </w:rPr>
        <w:t>section</w:t>
      </w:r>
      <w:r>
        <w:rPr>
          <w:spacing w:val="-3"/>
          <w:sz w:val="21"/>
        </w:rPr>
        <w:t xml:space="preserve"> </w:t>
      </w:r>
      <w:r>
        <w:rPr>
          <w:sz w:val="21"/>
        </w:rPr>
        <w:t>discusses</w:t>
      </w:r>
      <w:r>
        <w:rPr>
          <w:spacing w:val="-3"/>
          <w:sz w:val="21"/>
        </w:rPr>
        <w:t xml:space="preserve"> </w:t>
      </w:r>
      <w:r>
        <w:rPr>
          <w:sz w:val="21"/>
        </w:rPr>
        <w:t>experiences</w:t>
      </w:r>
      <w:r>
        <w:rPr>
          <w:spacing w:val="-3"/>
          <w:sz w:val="21"/>
        </w:rPr>
        <w:t xml:space="preserve"> </w:t>
      </w:r>
      <w:r>
        <w:rPr>
          <w:sz w:val="21"/>
        </w:rPr>
        <w:t>of</w:t>
      </w:r>
      <w:r>
        <w:rPr>
          <w:spacing w:val="-3"/>
          <w:sz w:val="21"/>
        </w:rPr>
        <w:t xml:space="preserve"> </w:t>
      </w:r>
      <w:r>
        <w:rPr>
          <w:sz w:val="21"/>
        </w:rPr>
        <w:t>youth</w:t>
      </w:r>
      <w:r>
        <w:rPr>
          <w:spacing w:val="-3"/>
          <w:sz w:val="21"/>
        </w:rPr>
        <w:t xml:space="preserve"> </w:t>
      </w:r>
      <w:r>
        <w:rPr>
          <w:sz w:val="21"/>
        </w:rPr>
        <w:t>who</w:t>
      </w:r>
      <w:r>
        <w:rPr>
          <w:spacing w:val="-3"/>
          <w:sz w:val="21"/>
        </w:rPr>
        <w:t xml:space="preserve"> </w:t>
      </w:r>
      <w:r>
        <w:rPr>
          <w:sz w:val="21"/>
        </w:rPr>
        <w:t>are</w:t>
      </w:r>
      <w:r>
        <w:rPr>
          <w:spacing w:val="-3"/>
          <w:sz w:val="21"/>
        </w:rPr>
        <w:t xml:space="preserve"> </w:t>
      </w:r>
      <w:r>
        <w:rPr>
          <w:sz w:val="21"/>
        </w:rPr>
        <w:t>minors,</w:t>
      </w:r>
      <w:r>
        <w:rPr>
          <w:spacing w:val="-2"/>
          <w:sz w:val="21"/>
        </w:rPr>
        <w:t xml:space="preserve"> </w:t>
      </w:r>
      <w:r>
        <w:rPr>
          <w:sz w:val="21"/>
        </w:rPr>
        <w:t>and</w:t>
      </w:r>
      <w:r>
        <w:rPr>
          <w:spacing w:val="-4"/>
          <w:sz w:val="21"/>
        </w:rPr>
        <w:t xml:space="preserve"> </w:t>
      </w:r>
      <w:r>
        <w:rPr>
          <w:sz w:val="21"/>
        </w:rPr>
        <w:t>youth over 18. While many of these experiences overlap, there remain few services or shelter spaces dedicate</w:t>
      </w:r>
      <w:r>
        <w:rPr>
          <w:sz w:val="21"/>
        </w:rPr>
        <w:t>d to minor</w:t>
      </w:r>
      <w:r>
        <w:rPr>
          <w:spacing w:val="-12"/>
          <w:sz w:val="21"/>
        </w:rPr>
        <w:t xml:space="preserve"> </w:t>
      </w:r>
      <w:r>
        <w:rPr>
          <w:sz w:val="21"/>
        </w:rPr>
        <w:t>-</w:t>
      </w:r>
      <w:r>
        <w:rPr>
          <w:spacing w:val="-12"/>
          <w:sz w:val="21"/>
        </w:rPr>
        <w:t xml:space="preserve"> </w:t>
      </w:r>
      <w:r>
        <w:rPr>
          <w:sz w:val="21"/>
        </w:rPr>
        <w:t>or</w:t>
      </w:r>
      <w:r>
        <w:rPr>
          <w:spacing w:val="-12"/>
          <w:sz w:val="21"/>
        </w:rPr>
        <w:t xml:space="preserve"> </w:t>
      </w:r>
      <w:r>
        <w:rPr>
          <w:sz w:val="21"/>
        </w:rPr>
        <w:t>unaccompanied</w:t>
      </w:r>
      <w:r>
        <w:rPr>
          <w:spacing w:val="-12"/>
          <w:sz w:val="21"/>
        </w:rPr>
        <w:t xml:space="preserve"> </w:t>
      </w:r>
      <w:r>
        <w:rPr>
          <w:sz w:val="21"/>
        </w:rPr>
        <w:t>-</w:t>
      </w:r>
      <w:r>
        <w:rPr>
          <w:spacing w:val="-12"/>
          <w:sz w:val="21"/>
        </w:rPr>
        <w:t xml:space="preserve"> </w:t>
      </w:r>
      <w:r>
        <w:rPr>
          <w:sz w:val="21"/>
        </w:rPr>
        <w:t>youth,</w:t>
      </w:r>
      <w:r>
        <w:rPr>
          <w:spacing w:val="-12"/>
          <w:sz w:val="21"/>
        </w:rPr>
        <w:t xml:space="preserve"> </w:t>
      </w:r>
      <w:r>
        <w:rPr>
          <w:sz w:val="21"/>
        </w:rPr>
        <w:t>as</w:t>
      </w:r>
      <w:r>
        <w:rPr>
          <w:spacing w:val="-12"/>
          <w:sz w:val="21"/>
        </w:rPr>
        <w:t xml:space="preserve"> </w:t>
      </w:r>
      <w:r>
        <w:rPr>
          <w:sz w:val="21"/>
        </w:rPr>
        <w:t>minors</w:t>
      </w:r>
      <w:r>
        <w:rPr>
          <w:spacing w:val="-11"/>
          <w:sz w:val="21"/>
        </w:rPr>
        <w:t xml:space="preserve"> </w:t>
      </w:r>
      <w:r>
        <w:rPr>
          <w:sz w:val="21"/>
        </w:rPr>
        <w:t>experiencing</w:t>
      </w:r>
      <w:r>
        <w:rPr>
          <w:spacing w:val="-12"/>
          <w:sz w:val="21"/>
        </w:rPr>
        <w:t xml:space="preserve"> </w:t>
      </w:r>
      <w:r>
        <w:rPr>
          <w:sz w:val="21"/>
        </w:rPr>
        <w:t>homelessness</w:t>
      </w:r>
      <w:r>
        <w:rPr>
          <w:spacing w:val="-12"/>
          <w:sz w:val="21"/>
        </w:rPr>
        <w:t xml:space="preserve"> </w:t>
      </w:r>
      <w:r>
        <w:rPr>
          <w:sz w:val="21"/>
        </w:rPr>
        <w:t>are</w:t>
      </w:r>
      <w:r>
        <w:rPr>
          <w:spacing w:val="-12"/>
          <w:sz w:val="21"/>
        </w:rPr>
        <w:t xml:space="preserve"> </w:t>
      </w:r>
      <w:r>
        <w:rPr>
          <w:sz w:val="21"/>
        </w:rPr>
        <w:t>often</w:t>
      </w:r>
      <w:r>
        <w:rPr>
          <w:spacing w:val="-12"/>
          <w:sz w:val="21"/>
        </w:rPr>
        <w:t xml:space="preserve"> </w:t>
      </w:r>
      <w:r>
        <w:rPr>
          <w:sz w:val="21"/>
        </w:rPr>
        <w:t>placed</w:t>
      </w:r>
      <w:r>
        <w:rPr>
          <w:spacing w:val="-12"/>
          <w:sz w:val="21"/>
        </w:rPr>
        <w:t xml:space="preserve"> </w:t>
      </w:r>
      <w:r>
        <w:rPr>
          <w:sz w:val="21"/>
        </w:rPr>
        <w:t>into</w:t>
      </w:r>
      <w:r>
        <w:rPr>
          <w:spacing w:val="-12"/>
          <w:sz w:val="21"/>
        </w:rPr>
        <w:t xml:space="preserve"> </w:t>
      </w:r>
      <w:r>
        <w:rPr>
          <w:sz w:val="21"/>
        </w:rPr>
        <w:t>the</w:t>
      </w:r>
      <w:r>
        <w:rPr>
          <w:spacing w:val="-12"/>
          <w:sz w:val="21"/>
        </w:rPr>
        <w:t xml:space="preserve"> </w:t>
      </w:r>
      <w:r>
        <w:rPr>
          <w:sz w:val="21"/>
        </w:rPr>
        <w:t>child</w:t>
      </w:r>
      <w:r>
        <w:rPr>
          <w:spacing w:val="-11"/>
          <w:sz w:val="21"/>
        </w:rPr>
        <w:t xml:space="preserve"> </w:t>
      </w:r>
      <w:r>
        <w:rPr>
          <w:sz w:val="21"/>
        </w:rPr>
        <w:t xml:space="preserve">welfare </w:t>
      </w:r>
      <w:r>
        <w:rPr>
          <w:spacing w:val="-2"/>
          <w:sz w:val="21"/>
        </w:rPr>
        <w:t>system.</w:t>
      </w:r>
    </w:p>
    <w:p w:rsidR="00200FDA" w:rsidRDefault="00200FDA">
      <w:pPr>
        <w:pStyle w:val="BodyText"/>
        <w:spacing w:before="10"/>
        <w:rPr>
          <w:sz w:val="19"/>
        </w:rPr>
      </w:pPr>
    </w:p>
    <w:p w:rsidR="00200FDA" w:rsidRDefault="00F76C4C">
      <w:pPr>
        <w:spacing w:line="276" w:lineRule="auto"/>
        <w:ind w:left="139" w:right="134"/>
        <w:jc w:val="both"/>
        <w:rPr>
          <w:sz w:val="21"/>
        </w:rPr>
      </w:pPr>
      <w:r>
        <w:rPr>
          <w:sz w:val="21"/>
        </w:rPr>
        <w:t>The Commonwealth must maintain its commitment to collaboration with individuals, families, communities and</w:t>
      </w:r>
      <w:r>
        <w:rPr>
          <w:spacing w:val="-6"/>
          <w:sz w:val="21"/>
        </w:rPr>
        <w:t xml:space="preserve"> </w:t>
      </w:r>
      <w:r>
        <w:rPr>
          <w:sz w:val="21"/>
        </w:rPr>
        <w:t>institutions</w:t>
      </w:r>
      <w:r>
        <w:rPr>
          <w:spacing w:val="-6"/>
          <w:sz w:val="21"/>
        </w:rPr>
        <w:t xml:space="preserve"> </w:t>
      </w:r>
      <w:r>
        <w:rPr>
          <w:sz w:val="21"/>
        </w:rPr>
        <w:t>to</w:t>
      </w:r>
      <w:r>
        <w:rPr>
          <w:spacing w:val="-6"/>
          <w:sz w:val="21"/>
        </w:rPr>
        <w:t xml:space="preserve"> </w:t>
      </w:r>
      <w:r>
        <w:rPr>
          <w:sz w:val="21"/>
        </w:rPr>
        <w:t>advocate</w:t>
      </w:r>
      <w:r>
        <w:rPr>
          <w:spacing w:val="-5"/>
          <w:sz w:val="21"/>
        </w:rPr>
        <w:t xml:space="preserve"> </w:t>
      </w:r>
      <w:r>
        <w:rPr>
          <w:sz w:val="21"/>
        </w:rPr>
        <w:t>for</w:t>
      </w:r>
      <w:r>
        <w:rPr>
          <w:spacing w:val="-5"/>
          <w:sz w:val="21"/>
        </w:rPr>
        <w:t xml:space="preserve"> </w:t>
      </w:r>
      <w:r>
        <w:rPr>
          <w:sz w:val="21"/>
        </w:rPr>
        <w:t>prevention,</w:t>
      </w:r>
      <w:r>
        <w:rPr>
          <w:spacing w:val="-5"/>
          <w:sz w:val="21"/>
        </w:rPr>
        <w:t xml:space="preserve"> </w:t>
      </w:r>
      <w:r>
        <w:rPr>
          <w:sz w:val="21"/>
        </w:rPr>
        <w:t>assistance,</w:t>
      </w:r>
      <w:r>
        <w:rPr>
          <w:spacing w:val="-5"/>
          <w:sz w:val="21"/>
        </w:rPr>
        <w:t xml:space="preserve"> </w:t>
      </w:r>
      <w:r>
        <w:rPr>
          <w:sz w:val="21"/>
        </w:rPr>
        <w:t>and</w:t>
      </w:r>
      <w:r>
        <w:rPr>
          <w:spacing w:val="-6"/>
          <w:sz w:val="21"/>
        </w:rPr>
        <w:t xml:space="preserve"> </w:t>
      </w:r>
      <w:r>
        <w:rPr>
          <w:sz w:val="21"/>
        </w:rPr>
        <w:t>ongoing</w:t>
      </w:r>
      <w:r>
        <w:rPr>
          <w:spacing w:val="-6"/>
          <w:sz w:val="21"/>
        </w:rPr>
        <w:t xml:space="preserve"> </w:t>
      </w:r>
      <w:r>
        <w:rPr>
          <w:sz w:val="21"/>
        </w:rPr>
        <w:t>support</w:t>
      </w:r>
      <w:r>
        <w:rPr>
          <w:spacing w:val="-6"/>
          <w:sz w:val="21"/>
        </w:rPr>
        <w:t xml:space="preserve"> </w:t>
      </w:r>
      <w:r>
        <w:rPr>
          <w:sz w:val="21"/>
        </w:rPr>
        <w:t>for</w:t>
      </w:r>
      <w:r>
        <w:rPr>
          <w:spacing w:val="-5"/>
          <w:sz w:val="21"/>
        </w:rPr>
        <w:t xml:space="preserve"> </w:t>
      </w:r>
      <w:r>
        <w:rPr>
          <w:sz w:val="21"/>
        </w:rPr>
        <w:t>housing</w:t>
      </w:r>
      <w:r>
        <w:rPr>
          <w:spacing w:val="-6"/>
          <w:sz w:val="21"/>
        </w:rPr>
        <w:t xml:space="preserve"> </w:t>
      </w:r>
      <w:r>
        <w:rPr>
          <w:sz w:val="21"/>
        </w:rPr>
        <w:t>insecure</w:t>
      </w:r>
      <w:r>
        <w:rPr>
          <w:spacing w:val="-7"/>
          <w:sz w:val="21"/>
        </w:rPr>
        <w:t xml:space="preserve"> </w:t>
      </w:r>
      <w:r>
        <w:rPr>
          <w:sz w:val="21"/>
        </w:rPr>
        <w:t>youth,</w:t>
      </w:r>
      <w:r>
        <w:rPr>
          <w:spacing w:val="-5"/>
          <w:sz w:val="21"/>
        </w:rPr>
        <w:t xml:space="preserve"> </w:t>
      </w:r>
      <w:r>
        <w:rPr>
          <w:sz w:val="21"/>
        </w:rPr>
        <w:t>while appreciating the intersecting identities of race, ethnicity, sexual orientation, gender identity, and gender expression.</w:t>
      </w:r>
      <w:r>
        <w:rPr>
          <w:spacing w:val="-8"/>
          <w:sz w:val="21"/>
        </w:rPr>
        <w:t xml:space="preserve"> </w:t>
      </w:r>
      <w:r>
        <w:rPr>
          <w:sz w:val="21"/>
        </w:rPr>
        <w:t>Multiple</w:t>
      </w:r>
      <w:r>
        <w:rPr>
          <w:spacing w:val="-7"/>
          <w:sz w:val="21"/>
        </w:rPr>
        <w:t xml:space="preserve"> </w:t>
      </w:r>
      <w:r>
        <w:rPr>
          <w:sz w:val="21"/>
        </w:rPr>
        <w:t>risk</w:t>
      </w:r>
      <w:r>
        <w:rPr>
          <w:spacing w:val="-9"/>
          <w:sz w:val="21"/>
        </w:rPr>
        <w:t xml:space="preserve"> </w:t>
      </w:r>
      <w:r>
        <w:rPr>
          <w:sz w:val="21"/>
        </w:rPr>
        <w:t>factors</w:t>
      </w:r>
      <w:r>
        <w:rPr>
          <w:spacing w:val="-8"/>
          <w:sz w:val="21"/>
        </w:rPr>
        <w:t xml:space="preserve"> </w:t>
      </w:r>
      <w:r>
        <w:rPr>
          <w:sz w:val="21"/>
        </w:rPr>
        <w:t>contribute</w:t>
      </w:r>
      <w:r>
        <w:rPr>
          <w:spacing w:val="-7"/>
          <w:sz w:val="21"/>
        </w:rPr>
        <w:t xml:space="preserve"> </w:t>
      </w:r>
      <w:r>
        <w:rPr>
          <w:sz w:val="21"/>
        </w:rPr>
        <w:t>to</w:t>
      </w:r>
      <w:r>
        <w:rPr>
          <w:spacing w:val="-8"/>
          <w:sz w:val="21"/>
        </w:rPr>
        <w:t xml:space="preserve"> </w:t>
      </w:r>
      <w:r>
        <w:rPr>
          <w:sz w:val="21"/>
        </w:rPr>
        <w:t>LGBTQ</w:t>
      </w:r>
      <w:r>
        <w:rPr>
          <w:spacing w:val="-8"/>
          <w:sz w:val="21"/>
        </w:rPr>
        <w:t xml:space="preserve"> </w:t>
      </w:r>
      <w:r>
        <w:rPr>
          <w:sz w:val="21"/>
        </w:rPr>
        <w:t>youth’s</w:t>
      </w:r>
      <w:r>
        <w:rPr>
          <w:spacing w:val="-8"/>
          <w:sz w:val="21"/>
        </w:rPr>
        <w:t xml:space="preserve"> </w:t>
      </w:r>
      <w:r>
        <w:rPr>
          <w:sz w:val="21"/>
        </w:rPr>
        <w:t>exp</w:t>
      </w:r>
      <w:r>
        <w:rPr>
          <w:sz w:val="21"/>
        </w:rPr>
        <w:t>erience</w:t>
      </w:r>
      <w:r>
        <w:rPr>
          <w:spacing w:val="-9"/>
          <w:sz w:val="21"/>
        </w:rPr>
        <w:t xml:space="preserve"> </w:t>
      </w:r>
      <w:r>
        <w:rPr>
          <w:sz w:val="21"/>
        </w:rPr>
        <w:t>of</w:t>
      </w:r>
      <w:r>
        <w:rPr>
          <w:spacing w:val="-7"/>
          <w:sz w:val="21"/>
        </w:rPr>
        <w:t xml:space="preserve"> </w:t>
      </w:r>
      <w:r>
        <w:rPr>
          <w:sz w:val="21"/>
        </w:rPr>
        <w:t>higher</w:t>
      </w:r>
      <w:r>
        <w:rPr>
          <w:spacing w:val="-8"/>
          <w:sz w:val="21"/>
        </w:rPr>
        <w:t xml:space="preserve"> </w:t>
      </w:r>
      <w:r>
        <w:rPr>
          <w:sz w:val="21"/>
        </w:rPr>
        <w:t>rates</w:t>
      </w:r>
      <w:r>
        <w:rPr>
          <w:spacing w:val="-9"/>
          <w:sz w:val="21"/>
        </w:rPr>
        <w:t xml:space="preserve"> </w:t>
      </w:r>
      <w:r>
        <w:rPr>
          <w:sz w:val="21"/>
        </w:rPr>
        <w:t>of</w:t>
      </w:r>
      <w:r>
        <w:rPr>
          <w:spacing w:val="-7"/>
          <w:sz w:val="21"/>
        </w:rPr>
        <w:t xml:space="preserve"> </w:t>
      </w:r>
      <w:r>
        <w:rPr>
          <w:sz w:val="21"/>
        </w:rPr>
        <w:t>homelessness,</w:t>
      </w:r>
      <w:r>
        <w:rPr>
          <w:spacing w:val="-8"/>
          <w:sz w:val="21"/>
        </w:rPr>
        <w:t xml:space="preserve"> </w:t>
      </w:r>
      <w:r>
        <w:rPr>
          <w:sz w:val="21"/>
        </w:rPr>
        <w:t>such as</w:t>
      </w:r>
      <w:r>
        <w:rPr>
          <w:spacing w:val="-3"/>
          <w:sz w:val="21"/>
        </w:rPr>
        <w:t xml:space="preserve"> </w:t>
      </w:r>
      <w:r>
        <w:rPr>
          <w:sz w:val="21"/>
        </w:rPr>
        <w:t>family</w:t>
      </w:r>
      <w:r>
        <w:rPr>
          <w:spacing w:val="-2"/>
          <w:sz w:val="21"/>
        </w:rPr>
        <w:t xml:space="preserve"> </w:t>
      </w:r>
      <w:r>
        <w:rPr>
          <w:sz w:val="21"/>
        </w:rPr>
        <w:t>rejection,</w:t>
      </w:r>
      <w:r>
        <w:rPr>
          <w:spacing w:val="-2"/>
          <w:sz w:val="21"/>
        </w:rPr>
        <w:t xml:space="preserve"> </w:t>
      </w:r>
      <w:r>
        <w:rPr>
          <w:sz w:val="21"/>
        </w:rPr>
        <w:t>abandonment</w:t>
      </w:r>
      <w:r>
        <w:rPr>
          <w:spacing w:val="-3"/>
          <w:sz w:val="21"/>
        </w:rPr>
        <w:t xml:space="preserve"> </w:t>
      </w:r>
      <w:r>
        <w:rPr>
          <w:sz w:val="21"/>
        </w:rPr>
        <w:t>and</w:t>
      </w:r>
      <w:r>
        <w:rPr>
          <w:spacing w:val="-2"/>
          <w:sz w:val="21"/>
        </w:rPr>
        <w:t xml:space="preserve"> </w:t>
      </w:r>
      <w:r>
        <w:rPr>
          <w:sz w:val="21"/>
        </w:rPr>
        <w:t>conflict,</w:t>
      </w:r>
      <w:r>
        <w:rPr>
          <w:spacing w:val="-2"/>
          <w:sz w:val="21"/>
        </w:rPr>
        <w:t xml:space="preserve"> </w:t>
      </w:r>
      <w:r>
        <w:rPr>
          <w:sz w:val="21"/>
        </w:rPr>
        <w:t>poverty,</w:t>
      </w:r>
      <w:r>
        <w:rPr>
          <w:spacing w:val="-4"/>
          <w:sz w:val="21"/>
        </w:rPr>
        <w:t xml:space="preserve"> </w:t>
      </w:r>
      <w:r>
        <w:rPr>
          <w:sz w:val="21"/>
        </w:rPr>
        <w:t>medical</w:t>
      </w:r>
      <w:r>
        <w:rPr>
          <w:spacing w:val="-2"/>
          <w:sz w:val="21"/>
        </w:rPr>
        <w:t xml:space="preserve"> </w:t>
      </w:r>
      <w:r>
        <w:rPr>
          <w:sz w:val="21"/>
        </w:rPr>
        <w:t>and</w:t>
      </w:r>
      <w:r>
        <w:rPr>
          <w:spacing w:val="-2"/>
          <w:sz w:val="21"/>
        </w:rPr>
        <w:t xml:space="preserve"> </w:t>
      </w:r>
      <w:r>
        <w:rPr>
          <w:sz w:val="21"/>
        </w:rPr>
        <w:t>mental</w:t>
      </w:r>
      <w:r>
        <w:rPr>
          <w:spacing w:val="-2"/>
          <w:sz w:val="21"/>
        </w:rPr>
        <w:t xml:space="preserve"> </w:t>
      </w:r>
      <w:r>
        <w:rPr>
          <w:sz w:val="21"/>
        </w:rPr>
        <w:t>health</w:t>
      </w:r>
      <w:r>
        <w:rPr>
          <w:spacing w:val="-3"/>
          <w:sz w:val="21"/>
        </w:rPr>
        <w:t xml:space="preserve"> </w:t>
      </w:r>
      <w:r>
        <w:rPr>
          <w:sz w:val="21"/>
        </w:rPr>
        <w:t>difficulties,</w:t>
      </w:r>
      <w:r>
        <w:rPr>
          <w:spacing w:val="-2"/>
          <w:sz w:val="21"/>
        </w:rPr>
        <w:t xml:space="preserve"> </w:t>
      </w:r>
      <w:r>
        <w:rPr>
          <w:sz w:val="21"/>
        </w:rPr>
        <w:t>discrimination, and racism. Moreover, many LGBTQ youth have cited additional vulnerabilities with regard to familial and communal rejection of their identities based on claimed religious values and beliefs.</w:t>
      </w:r>
    </w:p>
    <w:p w:rsidR="00200FDA" w:rsidRDefault="00200FDA">
      <w:pPr>
        <w:pStyle w:val="BodyText"/>
        <w:spacing w:before="8"/>
        <w:rPr>
          <w:sz w:val="19"/>
        </w:rPr>
      </w:pPr>
    </w:p>
    <w:p w:rsidR="00200FDA" w:rsidRDefault="00F76C4C">
      <w:pPr>
        <w:spacing w:line="276" w:lineRule="auto"/>
        <w:ind w:left="139" w:right="135"/>
        <w:jc w:val="both"/>
        <w:rPr>
          <w:sz w:val="21"/>
        </w:rPr>
      </w:pPr>
      <w:r>
        <w:rPr>
          <w:sz w:val="21"/>
        </w:rPr>
        <w:t>Over</w:t>
      </w:r>
      <w:r>
        <w:rPr>
          <w:spacing w:val="-1"/>
          <w:sz w:val="21"/>
        </w:rPr>
        <w:t xml:space="preserve"> </w:t>
      </w:r>
      <w:r>
        <w:rPr>
          <w:sz w:val="21"/>
        </w:rPr>
        <w:t>the</w:t>
      </w:r>
      <w:r>
        <w:rPr>
          <w:spacing w:val="-2"/>
          <w:sz w:val="21"/>
        </w:rPr>
        <w:t xml:space="preserve"> </w:t>
      </w:r>
      <w:r>
        <w:rPr>
          <w:sz w:val="21"/>
        </w:rPr>
        <w:t>last</w:t>
      </w:r>
      <w:r>
        <w:rPr>
          <w:spacing w:val="-1"/>
          <w:sz w:val="21"/>
        </w:rPr>
        <w:t xml:space="preserve"> </w:t>
      </w:r>
      <w:r>
        <w:rPr>
          <w:sz w:val="21"/>
        </w:rPr>
        <w:t>several years,</w:t>
      </w:r>
      <w:r>
        <w:rPr>
          <w:spacing w:val="-2"/>
          <w:sz w:val="21"/>
        </w:rPr>
        <w:t xml:space="preserve"> </w:t>
      </w:r>
      <w:r>
        <w:rPr>
          <w:sz w:val="21"/>
        </w:rPr>
        <w:t>the Commission has</w:t>
      </w:r>
      <w:r>
        <w:rPr>
          <w:spacing w:val="-3"/>
          <w:sz w:val="21"/>
        </w:rPr>
        <w:t xml:space="preserve"> </w:t>
      </w:r>
      <w:r>
        <w:rPr>
          <w:sz w:val="21"/>
        </w:rPr>
        <w:t>taken</w:t>
      </w:r>
      <w:r>
        <w:rPr>
          <w:spacing w:val="-2"/>
          <w:sz w:val="21"/>
        </w:rPr>
        <w:t xml:space="preserve"> </w:t>
      </w:r>
      <w:r>
        <w:rPr>
          <w:sz w:val="21"/>
        </w:rPr>
        <w:t>an</w:t>
      </w:r>
      <w:r>
        <w:rPr>
          <w:spacing w:val="-2"/>
          <w:sz w:val="21"/>
        </w:rPr>
        <w:t xml:space="preserve"> </w:t>
      </w:r>
      <w:r>
        <w:rPr>
          <w:sz w:val="21"/>
        </w:rPr>
        <w:t>in-depth</w:t>
      </w:r>
      <w:r>
        <w:rPr>
          <w:spacing w:val="-3"/>
          <w:sz w:val="21"/>
        </w:rPr>
        <w:t xml:space="preserve"> </w:t>
      </w:r>
      <w:r>
        <w:rPr>
          <w:sz w:val="21"/>
        </w:rPr>
        <w:t>view into the impact</w:t>
      </w:r>
      <w:r>
        <w:rPr>
          <w:spacing w:val="-1"/>
          <w:sz w:val="21"/>
        </w:rPr>
        <w:t xml:space="preserve"> </w:t>
      </w:r>
      <w:r>
        <w:rPr>
          <w:sz w:val="21"/>
        </w:rPr>
        <w:t>of uncertainties</w:t>
      </w:r>
      <w:r>
        <w:rPr>
          <w:spacing w:val="-1"/>
          <w:sz w:val="21"/>
        </w:rPr>
        <w:t xml:space="preserve"> </w:t>
      </w:r>
      <w:r>
        <w:rPr>
          <w:sz w:val="21"/>
        </w:rPr>
        <w:t>faced by LGBTQ youth – especially QTBIPOC and gender expansive youth - during the COVID-19 pandemic. The COVID-19 pandemic has highlighted and exacerbated the existing multifaceted disparities impacti</w:t>
      </w:r>
      <w:r>
        <w:rPr>
          <w:sz w:val="21"/>
        </w:rPr>
        <w:t>ng marginalized communities. To address the current state of young people experiencing homelessness and housing insecurity in Massachusetts, the Commonwealth must commit to collaborating with stakeholders to advocate for prevention, assistance, and ongoing</w:t>
      </w:r>
      <w:r>
        <w:rPr>
          <w:sz w:val="21"/>
        </w:rPr>
        <w:t xml:space="preserve"> support for housing insecure youth.</w:t>
      </w:r>
    </w:p>
    <w:p w:rsidR="00200FDA" w:rsidRDefault="00200FDA">
      <w:pPr>
        <w:pStyle w:val="BodyText"/>
        <w:rPr>
          <w:sz w:val="20"/>
        </w:rPr>
      </w:pPr>
    </w:p>
    <w:p w:rsidR="00200FDA" w:rsidRDefault="00F76C4C">
      <w:pPr>
        <w:pStyle w:val="Heading7"/>
        <w:spacing w:before="160"/>
        <w:ind w:left="140"/>
        <w:jc w:val="both"/>
      </w:pPr>
      <w:r>
        <w:rPr>
          <w:color w:val="0A5293"/>
        </w:rPr>
        <w:t>Recommendations</w:t>
      </w:r>
      <w:r>
        <w:rPr>
          <w:color w:val="0A5293"/>
          <w:spacing w:val="-8"/>
        </w:rPr>
        <w:t xml:space="preserve"> </w:t>
      </w:r>
      <w:r>
        <w:rPr>
          <w:color w:val="0A5293"/>
        </w:rPr>
        <w:t>to</w:t>
      </w:r>
      <w:r>
        <w:rPr>
          <w:color w:val="0A5293"/>
          <w:spacing w:val="-5"/>
        </w:rPr>
        <w:t xml:space="preserve"> </w:t>
      </w:r>
      <w:r>
        <w:rPr>
          <w:color w:val="0A5293"/>
        </w:rPr>
        <w:t>the</w:t>
      </w:r>
      <w:r>
        <w:rPr>
          <w:color w:val="0A5293"/>
          <w:spacing w:val="-6"/>
        </w:rPr>
        <w:t xml:space="preserve"> </w:t>
      </w:r>
      <w:r>
        <w:rPr>
          <w:color w:val="0A5293"/>
        </w:rPr>
        <w:t>Governor</w:t>
      </w:r>
      <w:r>
        <w:rPr>
          <w:color w:val="0A5293"/>
          <w:spacing w:val="-6"/>
        </w:rPr>
        <w:t xml:space="preserve"> </w:t>
      </w:r>
      <w:r>
        <w:rPr>
          <w:color w:val="0A5293"/>
        </w:rPr>
        <w:t>and</w:t>
      </w:r>
      <w:r>
        <w:rPr>
          <w:color w:val="0A5293"/>
          <w:spacing w:val="-7"/>
        </w:rPr>
        <w:t xml:space="preserve"> </w:t>
      </w:r>
      <w:r>
        <w:rPr>
          <w:color w:val="0A5293"/>
        </w:rPr>
        <w:t>Legislature</w:t>
      </w:r>
      <w:r>
        <w:rPr>
          <w:color w:val="0A5293"/>
          <w:spacing w:val="-6"/>
        </w:rPr>
        <w:t xml:space="preserve"> </w:t>
      </w:r>
      <w:r>
        <w:rPr>
          <w:color w:val="0A5293"/>
        </w:rPr>
        <w:t>on</w:t>
      </w:r>
      <w:r>
        <w:rPr>
          <w:color w:val="0A5293"/>
          <w:spacing w:val="-7"/>
        </w:rPr>
        <w:t xml:space="preserve"> </w:t>
      </w:r>
      <w:r>
        <w:rPr>
          <w:color w:val="0A5293"/>
          <w:spacing w:val="-2"/>
        </w:rPr>
        <w:t>Homelessness</w:t>
      </w:r>
    </w:p>
    <w:p w:rsidR="00200FDA" w:rsidRDefault="00F76C4C">
      <w:pPr>
        <w:pStyle w:val="BodyText"/>
        <w:spacing w:before="8"/>
        <w:rPr>
          <w:sz w:val="3"/>
        </w:rPr>
      </w:pPr>
      <w:r>
        <w:pict>
          <v:rect id="docshape386" o:spid="_x0000_s1213" style="position:absolute;margin-left:70.55pt;margin-top:3.45pt;width:470.9pt;height:.5pt;z-index:-15659008;mso-wrap-distance-left:0;mso-wrap-distance-right:0;mso-position-horizontal-relative:page" fillcolor="#0f6ec5" stroked="f">
            <w10:wrap type="topAndBottom" anchorx="page"/>
          </v:rect>
        </w:pict>
      </w:r>
    </w:p>
    <w:p w:rsidR="00200FDA" w:rsidRDefault="00200FDA">
      <w:pPr>
        <w:pStyle w:val="BodyText"/>
        <w:spacing w:before="9"/>
        <w:rPr>
          <w:sz w:val="14"/>
        </w:rPr>
      </w:pPr>
    </w:p>
    <w:p w:rsidR="00200FDA" w:rsidRDefault="00F76C4C">
      <w:pPr>
        <w:pStyle w:val="ListParagraph"/>
        <w:numPr>
          <w:ilvl w:val="0"/>
          <w:numId w:val="29"/>
        </w:numPr>
        <w:tabs>
          <w:tab w:val="left" w:pos="354"/>
        </w:tabs>
        <w:spacing w:before="59"/>
        <w:rPr>
          <w:b/>
          <w:sz w:val="21"/>
        </w:rPr>
      </w:pPr>
      <w:r>
        <w:rPr>
          <w:b/>
          <w:sz w:val="21"/>
        </w:rPr>
        <w:t>Improve</w:t>
      </w:r>
      <w:r>
        <w:rPr>
          <w:b/>
          <w:spacing w:val="-11"/>
          <w:sz w:val="21"/>
        </w:rPr>
        <w:t xml:space="preserve"> </w:t>
      </w:r>
      <w:r>
        <w:rPr>
          <w:b/>
          <w:sz w:val="21"/>
        </w:rPr>
        <w:t>access</w:t>
      </w:r>
      <w:r>
        <w:rPr>
          <w:b/>
          <w:spacing w:val="-8"/>
          <w:sz w:val="21"/>
        </w:rPr>
        <w:t xml:space="preserve"> </w:t>
      </w:r>
      <w:r>
        <w:rPr>
          <w:b/>
          <w:sz w:val="21"/>
        </w:rPr>
        <w:t>to</w:t>
      </w:r>
      <w:r>
        <w:rPr>
          <w:b/>
          <w:spacing w:val="-6"/>
          <w:sz w:val="21"/>
        </w:rPr>
        <w:t xml:space="preserve"> </w:t>
      </w:r>
      <w:r>
        <w:rPr>
          <w:b/>
          <w:sz w:val="21"/>
        </w:rPr>
        <w:t>state</w:t>
      </w:r>
      <w:r>
        <w:rPr>
          <w:b/>
          <w:spacing w:val="-7"/>
          <w:sz w:val="21"/>
        </w:rPr>
        <w:t xml:space="preserve"> </w:t>
      </w:r>
      <w:r>
        <w:rPr>
          <w:b/>
          <w:sz w:val="21"/>
        </w:rPr>
        <w:t>IDs</w:t>
      </w:r>
      <w:r>
        <w:rPr>
          <w:b/>
          <w:spacing w:val="-5"/>
          <w:sz w:val="21"/>
        </w:rPr>
        <w:t xml:space="preserve"> </w:t>
      </w:r>
      <w:r>
        <w:rPr>
          <w:b/>
          <w:sz w:val="21"/>
        </w:rPr>
        <w:t>for</w:t>
      </w:r>
      <w:r>
        <w:rPr>
          <w:b/>
          <w:spacing w:val="-7"/>
          <w:sz w:val="21"/>
        </w:rPr>
        <w:t xml:space="preserve"> </w:t>
      </w:r>
      <w:r>
        <w:rPr>
          <w:b/>
          <w:sz w:val="21"/>
        </w:rPr>
        <w:t>youth</w:t>
      </w:r>
      <w:r>
        <w:rPr>
          <w:b/>
          <w:spacing w:val="-5"/>
          <w:sz w:val="21"/>
        </w:rPr>
        <w:t xml:space="preserve"> </w:t>
      </w:r>
      <w:r>
        <w:rPr>
          <w:b/>
          <w:sz w:val="21"/>
        </w:rPr>
        <w:t>experiencing</w:t>
      </w:r>
      <w:r>
        <w:rPr>
          <w:b/>
          <w:spacing w:val="-5"/>
          <w:sz w:val="21"/>
        </w:rPr>
        <w:t xml:space="preserve"> </w:t>
      </w:r>
      <w:r>
        <w:rPr>
          <w:b/>
          <w:sz w:val="21"/>
        </w:rPr>
        <w:t>homelessness</w:t>
      </w:r>
      <w:r>
        <w:rPr>
          <w:b/>
          <w:spacing w:val="-5"/>
          <w:sz w:val="21"/>
        </w:rPr>
        <w:t xml:space="preserve"> </w:t>
      </w:r>
      <w:r>
        <w:rPr>
          <w:b/>
          <w:sz w:val="21"/>
        </w:rPr>
        <w:t>and</w:t>
      </w:r>
      <w:r>
        <w:rPr>
          <w:b/>
          <w:spacing w:val="-6"/>
          <w:sz w:val="21"/>
        </w:rPr>
        <w:t xml:space="preserve"> </w:t>
      </w:r>
      <w:r>
        <w:rPr>
          <w:b/>
          <w:sz w:val="21"/>
        </w:rPr>
        <w:t>gender</w:t>
      </w:r>
      <w:r>
        <w:rPr>
          <w:b/>
          <w:spacing w:val="-6"/>
          <w:sz w:val="21"/>
        </w:rPr>
        <w:t xml:space="preserve"> </w:t>
      </w:r>
      <w:r>
        <w:rPr>
          <w:b/>
          <w:sz w:val="21"/>
        </w:rPr>
        <w:t>expansive</w:t>
      </w:r>
      <w:r>
        <w:rPr>
          <w:b/>
          <w:spacing w:val="-8"/>
          <w:sz w:val="21"/>
        </w:rPr>
        <w:t xml:space="preserve"> </w:t>
      </w:r>
      <w:r>
        <w:rPr>
          <w:b/>
          <w:spacing w:val="-2"/>
          <w:sz w:val="21"/>
        </w:rPr>
        <w:t>youth.</w:t>
      </w:r>
    </w:p>
    <w:p w:rsidR="00200FDA" w:rsidRDefault="00200FDA">
      <w:pPr>
        <w:pStyle w:val="BodyText"/>
        <w:spacing w:before="10"/>
        <w:rPr>
          <w:b/>
        </w:rPr>
      </w:pPr>
    </w:p>
    <w:p w:rsidR="00200FDA" w:rsidRDefault="00F76C4C">
      <w:pPr>
        <w:spacing w:line="276" w:lineRule="auto"/>
        <w:ind w:left="140" w:right="136"/>
        <w:jc w:val="both"/>
        <w:rPr>
          <w:sz w:val="21"/>
        </w:rPr>
      </w:pPr>
      <w:r>
        <w:rPr>
          <w:sz w:val="21"/>
        </w:rPr>
        <w:t>Proper identification is</w:t>
      </w:r>
      <w:r>
        <w:rPr>
          <w:spacing w:val="-1"/>
          <w:sz w:val="21"/>
        </w:rPr>
        <w:t xml:space="preserve"> </w:t>
      </w:r>
      <w:r>
        <w:rPr>
          <w:sz w:val="21"/>
        </w:rPr>
        <w:t>crucial for homeless individuals,</w:t>
      </w:r>
      <w:r>
        <w:rPr>
          <w:spacing w:val="-2"/>
          <w:sz w:val="21"/>
        </w:rPr>
        <w:t xml:space="preserve"> </w:t>
      </w:r>
      <w:r>
        <w:rPr>
          <w:sz w:val="21"/>
        </w:rPr>
        <w:t>especially youth, to prove eligibility to access</w:t>
      </w:r>
      <w:r>
        <w:rPr>
          <w:spacing w:val="-1"/>
          <w:sz w:val="21"/>
        </w:rPr>
        <w:t xml:space="preserve"> </w:t>
      </w:r>
      <w:r>
        <w:rPr>
          <w:sz w:val="21"/>
        </w:rPr>
        <w:t>services such</w:t>
      </w:r>
      <w:r>
        <w:rPr>
          <w:spacing w:val="-1"/>
          <w:sz w:val="21"/>
        </w:rPr>
        <w:t xml:space="preserve"> </w:t>
      </w:r>
      <w:r>
        <w:rPr>
          <w:sz w:val="21"/>
        </w:rPr>
        <w:t>as</w:t>
      </w:r>
      <w:r>
        <w:rPr>
          <w:spacing w:val="-1"/>
          <w:sz w:val="21"/>
        </w:rPr>
        <w:t xml:space="preserve"> </w:t>
      </w:r>
      <w:r>
        <w:rPr>
          <w:sz w:val="21"/>
        </w:rPr>
        <w:t>financial</w:t>
      </w:r>
      <w:r>
        <w:rPr>
          <w:spacing w:val="-3"/>
          <w:sz w:val="21"/>
        </w:rPr>
        <w:t xml:space="preserve"> </w:t>
      </w:r>
      <w:r>
        <w:rPr>
          <w:sz w:val="21"/>
        </w:rPr>
        <w:t>benefits, housing</w:t>
      </w:r>
      <w:r>
        <w:rPr>
          <w:spacing w:val="-2"/>
          <w:sz w:val="21"/>
        </w:rPr>
        <w:t xml:space="preserve"> </w:t>
      </w:r>
      <w:r>
        <w:rPr>
          <w:sz w:val="21"/>
        </w:rPr>
        <w:t>assistance, food</w:t>
      </w:r>
      <w:r>
        <w:rPr>
          <w:spacing w:val="-1"/>
          <w:sz w:val="21"/>
        </w:rPr>
        <w:t xml:space="preserve"> </w:t>
      </w:r>
      <w:r>
        <w:rPr>
          <w:sz w:val="21"/>
        </w:rPr>
        <w:t>assistance, and</w:t>
      </w:r>
      <w:r>
        <w:rPr>
          <w:spacing w:val="-3"/>
          <w:sz w:val="21"/>
        </w:rPr>
        <w:t xml:space="preserve"> </w:t>
      </w:r>
      <w:r>
        <w:rPr>
          <w:sz w:val="21"/>
        </w:rPr>
        <w:t>educational</w:t>
      </w:r>
      <w:r>
        <w:rPr>
          <w:spacing w:val="-3"/>
          <w:sz w:val="21"/>
        </w:rPr>
        <w:t xml:space="preserve"> </w:t>
      </w:r>
      <w:r>
        <w:rPr>
          <w:sz w:val="21"/>
        </w:rPr>
        <w:t>and</w:t>
      </w:r>
      <w:r>
        <w:rPr>
          <w:spacing w:val="-3"/>
          <w:sz w:val="21"/>
        </w:rPr>
        <w:t xml:space="preserve"> </w:t>
      </w:r>
      <w:r>
        <w:rPr>
          <w:sz w:val="21"/>
        </w:rPr>
        <w:t>vocational</w:t>
      </w:r>
      <w:r>
        <w:rPr>
          <w:spacing w:val="-1"/>
          <w:sz w:val="21"/>
        </w:rPr>
        <w:t xml:space="preserve"> </w:t>
      </w:r>
      <w:r>
        <w:rPr>
          <w:sz w:val="21"/>
        </w:rPr>
        <w:t>opportunities.</w:t>
      </w:r>
      <w:hyperlink w:anchor="_bookmark582" w:history="1">
        <w:r>
          <w:rPr>
            <w:sz w:val="21"/>
            <w:vertAlign w:val="superscript"/>
          </w:rPr>
          <w:t>2</w:t>
        </w:r>
      </w:hyperlink>
      <w:r>
        <w:rPr>
          <w:sz w:val="21"/>
        </w:rPr>
        <w:t xml:space="preserve"> As</w:t>
      </w:r>
      <w:r>
        <w:rPr>
          <w:spacing w:val="-12"/>
          <w:sz w:val="21"/>
        </w:rPr>
        <w:t xml:space="preserve"> </w:t>
      </w:r>
      <w:r>
        <w:rPr>
          <w:sz w:val="21"/>
        </w:rPr>
        <w:t>noted</w:t>
      </w:r>
      <w:r>
        <w:rPr>
          <w:spacing w:val="-12"/>
          <w:sz w:val="21"/>
        </w:rPr>
        <w:t xml:space="preserve"> </w:t>
      </w:r>
      <w:r>
        <w:rPr>
          <w:sz w:val="21"/>
        </w:rPr>
        <w:t>throughout</w:t>
      </w:r>
      <w:r>
        <w:rPr>
          <w:spacing w:val="-12"/>
          <w:sz w:val="21"/>
        </w:rPr>
        <w:t xml:space="preserve"> </w:t>
      </w:r>
      <w:r>
        <w:rPr>
          <w:sz w:val="21"/>
        </w:rPr>
        <w:t>this</w:t>
      </w:r>
      <w:r>
        <w:rPr>
          <w:spacing w:val="-12"/>
          <w:sz w:val="21"/>
        </w:rPr>
        <w:t xml:space="preserve"> </w:t>
      </w:r>
      <w:r>
        <w:rPr>
          <w:sz w:val="21"/>
        </w:rPr>
        <w:t>annual</w:t>
      </w:r>
      <w:r>
        <w:rPr>
          <w:spacing w:val="-12"/>
          <w:sz w:val="21"/>
        </w:rPr>
        <w:t xml:space="preserve"> </w:t>
      </w:r>
      <w:r>
        <w:rPr>
          <w:sz w:val="21"/>
        </w:rPr>
        <w:t>report,</w:t>
      </w:r>
      <w:r>
        <w:rPr>
          <w:spacing w:val="-12"/>
          <w:sz w:val="21"/>
        </w:rPr>
        <w:t xml:space="preserve"> </w:t>
      </w:r>
      <w:r>
        <w:rPr>
          <w:sz w:val="21"/>
        </w:rPr>
        <w:t>barriers</w:t>
      </w:r>
      <w:r>
        <w:rPr>
          <w:spacing w:val="-12"/>
          <w:sz w:val="21"/>
        </w:rPr>
        <w:t xml:space="preserve"> </w:t>
      </w:r>
      <w:r>
        <w:rPr>
          <w:sz w:val="21"/>
        </w:rPr>
        <w:t>to</w:t>
      </w:r>
      <w:r>
        <w:rPr>
          <w:spacing w:val="-11"/>
          <w:sz w:val="21"/>
        </w:rPr>
        <w:t xml:space="preserve"> </w:t>
      </w:r>
      <w:r>
        <w:rPr>
          <w:sz w:val="21"/>
        </w:rPr>
        <w:t>accessing</w:t>
      </w:r>
      <w:r>
        <w:rPr>
          <w:spacing w:val="-12"/>
          <w:sz w:val="21"/>
        </w:rPr>
        <w:t xml:space="preserve"> </w:t>
      </w:r>
      <w:r>
        <w:rPr>
          <w:sz w:val="21"/>
        </w:rPr>
        <w:t>and</w:t>
      </w:r>
      <w:r>
        <w:rPr>
          <w:spacing w:val="-12"/>
          <w:sz w:val="21"/>
        </w:rPr>
        <w:t xml:space="preserve"> </w:t>
      </w:r>
      <w:r>
        <w:rPr>
          <w:sz w:val="21"/>
        </w:rPr>
        <w:t>maintaining</w:t>
      </w:r>
      <w:r>
        <w:rPr>
          <w:spacing w:val="-12"/>
          <w:sz w:val="21"/>
        </w:rPr>
        <w:t xml:space="preserve"> </w:t>
      </w:r>
      <w:r>
        <w:rPr>
          <w:sz w:val="21"/>
        </w:rPr>
        <w:t>legitimate</w:t>
      </w:r>
      <w:r>
        <w:rPr>
          <w:spacing w:val="-12"/>
          <w:sz w:val="21"/>
        </w:rPr>
        <w:t xml:space="preserve"> </w:t>
      </w:r>
      <w:r>
        <w:rPr>
          <w:sz w:val="21"/>
        </w:rPr>
        <w:t>forms</w:t>
      </w:r>
      <w:r>
        <w:rPr>
          <w:spacing w:val="-12"/>
          <w:sz w:val="21"/>
        </w:rPr>
        <w:t xml:space="preserve"> </w:t>
      </w:r>
      <w:r>
        <w:rPr>
          <w:sz w:val="21"/>
        </w:rPr>
        <w:t>of</w:t>
      </w:r>
      <w:r>
        <w:rPr>
          <w:spacing w:val="-11"/>
          <w:sz w:val="21"/>
        </w:rPr>
        <w:t xml:space="preserve"> </w:t>
      </w:r>
      <w:r>
        <w:rPr>
          <w:sz w:val="21"/>
        </w:rPr>
        <w:t>identification for youth experiencing homelessness include, but are not limited to, the identity verification catch-22, or the requirement of</w:t>
      </w:r>
      <w:r>
        <w:rPr>
          <w:spacing w:val="40"/>
          <w:sz w:val="21"/>
        </w:rPr>
        <w:t xml:space="preserve"> </w:t>
      </w:r>
      <w:r>
        <w:rPr>
          <w:sz w:val="21"/>
        </w:rPr>
        <w:t>official ID(s) to request an ID; residency verification; varied limi</w:t>
      </w:r>
      <w:r>
        <w:rPr>
          <w:sz w:val="21"/>
        </w:rPr>
        <w:t>ts on type and age of ID requestor (parent/guardian/self); cost and arduous bureaucratic process; limited to no access of space for safekeeping</w:t>
      </w:r>
      <w:r>
        <w:rPr>
          <w:spacing w:val="-3"/>
          <w:sz w:val="21"/>
        </w:rPr>
        <w:t xml:space="preserve"> </w:t>
      </w:r>
      <w:r>
        <w:rPr>
          <w:sz w:val="21"/>
        </w:rPr>
        <w:t>personal</w:t>
      </w:r>
      <w:r>
        <w:rPr>
          <w:spacing w:val="-3"/>
          <w:sz w:val="21"/>
        </w:rPr>
        <w:t xml:space="preserve"> </w:t>
      </w:r>
      <w:r>
        <w:rPr>
          <w:sz w:val="21"/>
        </w:rPr>
        <w:t>items;</w:t>
      </w:r>
      <w:r>
        <w:rPr>
          <w:spacing w:val="-3"/>
          <w:sz w:val="21"/>
        </w:rPr>
        <w:t xml:space="preserve"> </w:t>
      </w:r>
      <w:r>
        <w:rPr>
          <w:sz w:val="21"/>
        </w:rPr>
        <w:t>and</w:t>
      </w:r>
      <w:r>
        <w:rPr>
          <w:spacing w:val="-2"/>
          <w:sz w:val="21"/>
        </w:rPr>
        <w:t xml:space="preserve"> </w:t>
      </w:r>
      <w:r>
        <w:rPr>
          <w:sz w:val="21"/>
        </w:rPr>
        <w:t>lack</w:t>
      </w:r>
      <w:r>
        <w:rPr>
          <w:spacing w:val="-2"/>
          <w:sz w:val="21"/>
        </w:rPr>
        <w:t xml:space="preserve"> </w:t>
      </w:r>
      <w:r>
        <w:rPr>
          <w:sz w:val="21"/>
        </w:rPr>
        <w:t>of</w:t>
      </w:r>
      <w:r>
        <w:rPr>
          <w:spacing w:val="-2"/>
          <w:sz w:val="21"/>
        </w:rPr>
        <w:t xml:space="preserve"> </w:t>
      </w:r>
      <w:r>
        <w:rPr>
          <w:sz w:val="21"/>
        </w:rPr>
        <w:t>accessible</w:t>
      </w:r>
      <w:r>
        <w:rPr>
          <w:spacing w:val="-2"/>
          <w:sz w:val="21"/>
        </w:rPr>
        <w:t xml:space="preserve"> </w:t>
      </w:r>
      <w:r>
        <w:rPr>
          <w:sz w:val="21"/>
        </w:rPr>
        <w:t>amendment</w:t>
      </w:r>
      <w:r>
        <w:rPr>
          <w:spacing w:val="-3"/>
          <w:sz w:val="21"/>
        </w:rPr>
        <w:t xml:space="preserve"> </w:t>
      </w:r>
      <w:r>
        <w:rPr>
          <w:sz w:val="21"/>
        </w:rPr>
        <w:t>policies</w:t>
      </w:r>
      <w:r>
        <w:rPr>
          <w:spacing w:val="-3"/>
          <w:sz w:val="21"/>
        </w:rPr>
        <w:t xml:space="preserve"> </w:t>
      </w:r>
      <w:r>
        <w:rPr>
          <w:sz w:val="21"/>
        </w:rPr>
        <w:t>to</w:t>
      </w:r>
      <w:r>
        <w:rPr>
          <w:spacing w:val="-3"/>
          <w:sz w:val="21"/>
        </w:rPr>
        <w:t xml:space="preserve"> </w:t>
      </w:r>
      <w:r>
        <w:rPr>
          <w:sz w:val="21"/>
        </w:rPr>
        <w:t>gender</w:t>
      </w:r>
      <w:r>
        <w:rPr>
          <w:spacing w:val="-1"/>
          <w:sz w:val="21"/>
        </w:rPr>
        <w:t xml:space="preserve"> </w:t>
      </w:r>
      <w:r>
        <w:rPr>
          <w:sz w:val="21"/>
        </w:rPr>
        <w:t>marking</w:t>
      </w:r>
      <w:r>
        <w:rPr>
          <w:spacing w:val="-3"/>
          <w:sz w:val="21"/>
        </w:rPr>
        <w:t xml:space="preserve"> </w:t>
      </w:r>
      <w:r>
        <w:rPr>
          <w:sz w:val="21"/>
        </w:rPr>
        <w:t>and</w:t>
      </w:r>
      <w:r>
        <w:rPr>
          <w:spacing w:val="-2"/>
          <w:sz w:val="21"/>
        </w:rPr>
        <w:t xml:space="preserve"> </w:t>
      </w:r>
      <w:r>
        <w:rPr>
          <w:sz w:val="21"/>
        </w:rPr>
        <w:t>name</w:t>
      </w:r>
      <w:r>
        <w:rPr>
          <w:spacing w:val="-2"/>
          <w:sz w:val="21"/>
        </w:rPr>
        <w:t xml:space="preserve"> </w:t>
      </w:r>
      <w:r>
        <w:rPr>
          <w:sz w:val="21"/>
        </w:rPr>
        <w:t>change.</w:t>
      </w:r>
      <w:hyperlink w:anchor="_bookmark583" w:history="1">
        <w:r>
          <w:rPr>
            <w:sz w:val="21"/>
            <w:vertAlign w:val="superscript"/>
          </w:rPr>
          <w:t>3</w:t>
        </w:r>
      </w:hyperlink>
    </w:p>
    <w:p w:rsidR="00200FDA" w:rsidRDefault="00200FDA">
      <w:pPr>
        <w:spacing w:line="276" w:lineRule="auto"/>
        <w:jc w:val="both"/>
        <w:rPr>
          <w:sz w:val="21"/>
        </w:rPr>
        <w:sectPr w:rsidR="00200FDA">
          <w:headerReference w:type="default" r:id="rId576"/>
          <w:footerReference w:type="default" r:id="rId577"/>
          <w:pgSz w:w="12240" w:h="15840"/>
          <w:pgMar w:top="1360" w:right="1300" w:bottom="1240" w:left="1300" w:header="758" w:footer="1043" w:gutter="0"/>
          <w:pgNumType w:start="131"/>
          <w:cols w:space="720"/>
        </w:sectPr>
      </w:pPr>
    </w:p>
    <w:p w:rsidR="00200FDA" w:rsidRDefault="00F76C4C">
      <w:pPr>
        <w:spacing w:before="64" w:line="276" w:lineRule="auto"/>
        <w:ind w:left="140" w:right="135"/>
        <w:jc w:val="both"/>
        <w:rPr>
          <w:sz w:val="21"/>
        </w:rPr>
      </w:pPr>
      <w:r>
        <w:rPr>
          <w:sz w:val="21"/>
        </w:rPr>
        <w:lastRenderedPageBreak/>
        <w:t>LGBTQ</w:t>
      </w:r>
      <w:r>
        <w:rPr>
          <w:spacing w:val="-3"/>
          <w:sz w:val="21"/>
        </w:rPr>
        <w:t xml:space="preserve"> </w:t>
      </w:r>
      <w:r>
        <w:rPr>
          <w:sz w:val="21"/>
        </w:rPr>
        <w:t>people</w:t>
      </w:r>
      <w:r>
        <w:rPr>
          <w:spacing w:val="-4"/>
          <w:sz w:val="21"/>
        </w:rPr>
        <w:t xml:space="preserve"> </w:t>
      </w:r>
      <w:r>
        <w:rPr>
          <w:sz w:val="21"/>
        </w:rPr>
        <w:t>are</w:t>
      </w:r>
      <w:r>
        <w:rPr>
          <w:spacing w:val="-2"/>
          <w:sz w:val="21"/>
        </w:rPr>
        <w:t xml:space="preserve"> </w:t>
      </w:r>
      <w:r>
        <w:rPr>
          <w:sz w:val="21"/>
        </w:rPr>
        <w:t>more</w:t>
      </w:r>
      <w:r>
        <w:rPr>
          <w:spacing w:val="-4"/>
          <w:sz w:val="21"/>
        </w:rPr>
        <w:t xml:space="preserve"> </w:t>
      </w:r>
      <w:r>
        <w:rPr>
          <w:sz w:val="21"/>
        </w:rPr>
        <w:t>likely</w:t>
      </w:r>
      <w:r>
        <w:rPr>
          <w:spacing w:val="-2"/>
          <w:sz w:val="21"/>
        </w:rPr>
        <w:t xml:space="preserve"> </w:t>
      </w:r>
      <w:r>
        <w:rPr>
          <w:sz w:val="21"/>
        </w:rPr>
        <w:t>to</w:t>
      </w:r>
      <w:r>
        <w:rPr>
          <w:spacing w:val="-5"/>
          <w:sz w:val="21"/>
        </w:rPr>
        <w:t xml:space="preserve"> </w:t>
      </w:r>
      <w:r>
        <w:rPr>
          <w:sz w:val="21"/>
        </w:rPr>
        <w:t>experience</w:t>
      </w:r>
      <w:r>
        <w:rPr>
          <w:spacing w:val="-4"/>
          <w:sz w:val="21"/>
        </w:rPr>
        <w:t xml:space="preserve"> </w:t>
      </w:r>
      <w:r>
        <w:rPr>
          <w:sz w:val="21"/>
        </w:rPr>
        <w:t>harassment</w:t>
      </w:r>
      <w:r>
        <w:rPr>
          <w:spacing w:val="-6"/>
          <w:sz w:val="21"/>
        </w:rPr>
        <w:t xml:space="preserve"> </w:t>
      </w:r>
      <w:r>
        <w:rPr>
          <w:sz w:val="21"/>
        </w:rPr>
        <w:t>and</w:t>
      </w:r>
      <w:r>
        <w:rPr>
          <w:spacing w:val="-3"/>
          <w:sz w:val="21"/>
        </w:rPr>
        <w:t xml:space="preserve"> </w:t>
      </w:r>
      <w:r>
        <w:rPr>
          <w:sz w:val="21"/>
        </w:rPr>
        <w:t>discrimination</w:t>
      </w:r>
      <w:r>
        <w:rPr>
          <w:spacing w:val="-3"/>
          <w:sz w:val="21"/>
        </w:rPr>
        <w:t xml:space="preserve"> </w:t>
      </w:r>
      <w:r>
        <w:rPr>
          <w:sz w:val="21"/>
        </w:rPr>
        <w:t>when</w:t>
      </w:r>
      <w:r>
        <w:rPr>
          <w:spacing w:val="-5"/>
          <w:sz w:val="21"/>
        </w:rPr>
        <w:t xml:space="preserve"> </w:t>
      </w:r>
      <w:r>
        <w:rPr>
          <w:sz w:val="21"/>
        </w:rPr>
        <w:t>seeking</w:t>
      </w:r>
      <w:r>
        <w:rPr>
          <w:spacing w:val="-3"/>
          <w:sz w:val="21"/>
        </w:rPr>
        <w:t xml:space="preserve"> </w:t>
      </w:r>
      <w:r>
        <w:rPr>
          <w:sz w:val="21"/>
        </w:rPr>
        <w:t>shelter</w:t>
      </w:r>
      <w:r>
        <w:rPr>
          <w:spacing w:val="-4"/>
          <w:sz w:val="21"/>
        </w:rPr>
        <w:t xml:space="preserve"> </w:t>
      </w:r>
      <w:r>
        <w:rPr>
          <w:sz w:val="21"/>
        </w:rPr>
        <w:t>and</w:t>
      </w:r>
      <w:r>
        <w:rPr>
          <w:spacing w:val="-5"/>
          <w:sz w:val="21"/>
        </w:rPr>
        <w:t xml:space="preserve"> </w:t>
      </w:r>
      <w:r>
        <w:rPr>
          <w:sz w:val="21"/>
        </w:rPr>
        <w:t>housing assistance, which may be complicated by a lack of proper identification.</w:t>
      </w:r>
      <w:hyperlink w:anchor="_bookmark584" w:history="1">
        <w:r>
          <w:rPr>
            <w:sz w:val="21"/>
            <w:vertAlign w:val="superscript"/>
          </w:rPr>
          <w:t>4</w:t>
        </w:r>
      </w:hyperlink>
      <w:r>
        <w:rPr>
          <w:sz w:val="21"/>
          <w:vertAlign w:val="superscript"/>
        </w:rPr>
        <w:t>,</w:t>
      </w:r>
      <w:hyperlink w:anchor="_bookmark585" w:history="1">
        <w:r>
          <w:rPr>
            <w:sz w:val="21"/>
            <w:vertAlign w:val="superscript"/>
          </w:rPr>
          <w:t>5</w:t>
        </w:r>
      </w:hyperlink>
    </w:p>
    <w:p w:rsidR="00200FDA" w:rsidRDefault="00200FDA">
      <w:pPr>
        <w:pStyle w:val="BodyText"/>
        <w:spacing w:before="8"/>
        <w:rPr>
          <w:sz w:val="19"/>
        </w:rPr>
      </w:pPr>
    </w:p>
    <w:p w:rsidR="00200FDA" w:rsidRDefault="00F76C4C">
      <w:pPr>
        <w:pStyle w:val="ListParagraph"/>
        <w:numPr>
          <w:ilvl w:val="0"/>
          <w:numId w:val="29"/>
        </w:numPr>
        <w:tabs>
          <w:tab w:val="left" w:pos="383"/>
        </w:tabs>
        <w:spacing w:before="1" w:line="273" w:lineRule="auto"/>
        <w:ind w:left="140" w:right="138" w:firstLine="0"/>
        <w:rPr>
          <w:b/>
          <w:sz w:val="21"/>
        </w:rPr>
      </w:pPr>
      <w:r>
        <w:rPr>
          <w:b/>
          <w:sz w:val="21"/>
        </w:rPr>
        <w:t>Increase</w:t>
      </w:r>
      <w:r>
        <w:rPr>
          <w:b/>
          <w:spacing w:val="28"/>
          <w:sz w:val="21"/>
        </w:rPr>
        <w:t xml:space="preserve"> </w:t>
      </w:r>
      <w:r>
        <w:rPr>
          <w:b/>
          <w:sz w:val="21"/>
        </w:rPr>
        <w:t>services</w:t>
      </w:r>
      <w:r>
        <w:rPr>
          <w:b/>
          <w:spacing w:val="26"/>
          <w:sz w:val="21"/>
        </w:rPr>
        <w:t xml:space="preserve"> </w:t>
      </w:r>
      <w:r>
        <w:rPr>
          <w:b/>
          <w:sz w:val="21"/>
        </w:rPr>
        <w:t>for</w:t>
      </w:r>
      <w:r>
        <w:rPr>
          <w:b/>
          <w:spacing w:val="26"/>
          <w:sz w:val="21"/>
        </w:rPr>
        <w:t xml:space="preserve"> </w:t>
      </w:r>
      <w:r>
        <w:rPr>
          <w:b/>
          <w:sz w:val="21"/>
        </w:rPr>
        <w:t>LGBTQ</w:t>
      </w:r>
      <w:r>
        <w:rPr>
          <w:b/>
          <w:spacing w:val="25"/>
          <w:sz w:val="21"/>
        </w:rPr>
        <w:t xml:space="preserve"> </w:t>
      </w:r>
      <w:r>
        <w:rPr>
          <w:b/>
          <w:sz w:val="21"/>
        </w:rPr>
        <w:t>youth</w:t>
      </w:r>
      <w:r>
        <w:rPr>
          <w:b/>
          <w:spacing w:val="26"/>
          <w:sz w:val="21"/>
        </w:rPr>
        <w:t xml:space="preserve"> </w:t>
      </w:r>
      <w:r>
        <w:rPr>
          <w:b/>
          <w:sz w:val="21"/>
        </w:rPr>
        <w:t>experiencing</w:t>
      </w:r>
      <w:r>
        <w:rPr>
          <w:b/>
          <w:spacing w:val="27"/>
          <w:sz w:val="21"/>
        </w:rPr>
        <w:t xml:space="preserve"> </w:t>
      </w:r>
      <w:r>
        <w:rPr>
          <w:b/>
          <w:sz w:val="21"/>
        </w:rPr>
        <w:t>homelessness</w:t>
      </w:r>
      <w:r>
        <w:rPr>
          <w:b/>
          <w:spacing w:val="28"/>
          <w:sz w:val="21"/>
        </w:rPr>
        <w:t xml:space="preserve"> </w:t>
      </w:r>
      <w:r>
        <w:rPr>
          <w:b/>
          <w:sz w:val="21"/>
        </w:rPr>
        <w:t>or</w:t>
      </w:r>
      <w:r>
        <w:rPr>
          <w:b/>
          <w:spacing w:val="28"/>
          <w:sz w:val="21"/>
        </w:rPr>
        <w:t xml:space="preserve"> </w:t>
      </w:r>
      <w:r>
        <w:rPr>
          <w:b/>
          <w:sz w:val="21"/>
        </w:rPr>
        <w:t>housing</w:t>
      </w:r>
      <w:r>
        <w:rPr>
          <w:b/>
          <w:spacing w:val="27"/>
          <w:sz w:val="21"/>
        </w:rPr>
        <w:t xml:space="preserve"> </w:t>
      </w:r>
      <w:r>
        <w:rPr>
          <w:b/>
          <w:sz w:val="21"/>
        </w:rPr>
        <w:t>instability,</w:t>
      </w:r>
      <w:r>
        <w:rPr>
          <w:b/>
          <w:spacing w:val="27"/>
          <w:sz w:val="21"/>
        </w:rPr>
        <w:t xml:space="preserve"> </w:t>
      </w:r>
      <w:r>
        <w:rPr>
          <w:b/>
          <w:sz w:val="21"/>
        </w:rPr>
        <w:t>and</w:t>
      </w:r>
      <w:r>
        <w:rPr>
          <w:b/>
          <w:spacing w:val="28"/>
          <w:sz w:val="21"/>
        </w:rPr>
        <w:t xml:space="preserve"> </w:t>
      </w:r>
      <w:r>
        <w:rPr>
          <w:b/>
          <w:sz w:val="21"/>
        </w:rPr>
        <w:t>ensure</w:t>
      </w:r>
      <w:r>
        <w:rPr>
          <w:b/>
          <w:spacing w:val="26"/>
          <w:sz w:val="21"/>
        </w:rPr>
        <w:t xml:space="preserve"> </w:t>
      </w:r>
      <w:r>
        <w:rPr>
          <w:b/>
          <w:sz w:val="21"/>
        </w:rPr>
        <w:t>that providers are adhering to best and promising practices.</w:t>
      </w:r>
    </w:p>
    <w:p w:rsidR="00200FDA" w:rsidRDefault="00200FDA">
      <w:pPr>
        <w:pStyle w:val="BodyText"/>
        <w:spacing w:before="11"/>
        <w:rPr>
          <w:b/>
          <w:sz w:val="19"/>
        </w:rPr>
      </w:pPr>
    </w:p>
    <w:p w:rsidR="00200FDA" w:rsidRDefault="00F76C4C">
      <w:pPr>
        <w:spacing w:line="276" w:lineRule="auto"/>
        <w:ind w:left="140" w:right="133"/>
        <w:jc w:val="both"/>
        <w:rPr>
          <w:sz w:val="21"/>
        </w:rPr>
      </w:pPr>
      <w:r>
        <w:rPr>
          <w:sz w:val="21"/>
        </w:rPr>
        <w:t>The</w:t>
      </w:r>
      <w:r>
        <w:rPr>
          <w:spacing w:val="-3"/>
          <w:sz w:val="21"/>
        </w:rPr>
        <w:t xml:space="preserve"> </w:t>
      </w:r>
      <w:r>
        <w:rPr>
          <w:sz w:val="21"/>
        </w:rPr>
        <w:t>Commonwealth</w:t>
      </w:r>
      <w:r>
        <w:rPr>
          <w:spacing w:val="-4"/>
          <w:sz w:val="21"/>
        </w:rPr>
        <w:t xml:space="preserve"> </w:t>
      </w:r>
      <w:r>
        <w:rPr>
          <w:sz w:val="21"/>
        </w:rPr>
        <w:t>oversees,</w:t>
      </w:r>
      <w:r>
        <w:rPr>
          <w:spacing w:val="-3"/>
          <w:sz w:val="21"/>
        </w:rPr>
        <w:t xml:space="preserve"> </w:t>
      </w:r>
      <w:r>
        <w:rPr>
          <w:sz w:val="21"/>
        </w:rPr>
        <w:t>provides,</w:t>
      </w:r>
      <w:r>
        <w:rPr>
          <w:spacing w:val="-3"/>
          <w:sz w:val="21"/>
        </w:rPr>
        <w:t xml:space="preserve"> </w:t>
      </w:r>
      <w:r>
        <w:rPr>
          <w:sz w:val="21"/>
        </w:rPr>
        <w:t>and</w:t>
      </w:r>
      <w:r>
        <w:rPr>
          <w:spacing w:val="-4"/>
          <w:sz w:val="21"/>
        </w:rPr>
        <w:t xml:space="preserve"> </w:t>
      </w:r>
      <w:r>
        <w:rPr>
          <w:sz w:val="21"/>
        </w:rPr>
        <w:t>funds</w:t>
      </w:r>
      <w:r>
        <w:rPr>
          <w:spacing w:val="-4"/>
          <w:sz w:val="21"/>
        </w:rPr>
        <w:t xml:space="preserve"> </w:t>
      </w:r>
      <w:r>
        <w:rPr>
          <w:sz w:val="21"/>
        </w:rPr>
        <w:t>many</w:t>
      </w:r>
      <w:r>
        <w:rPr>
          <w:spacing w:val="-5"/>
          <w:sz w:val="21"/>
        </w:rPr>
        <w:t xml:space="preserve"> </w:t>
      </w:r>
      <w:r>
        <w:rPr>
          <w:sz w:val="21"/>
        </w:rPr>
        <w:t>services</w:t>
      </w:r>
      <w:r>
        <w:rPr>
          <w:spacing w:val="-4"/>
          <w:sz w:val="21"/>
        </w:rPr>
        <w:t xml:space="preserve"> </w:t>
      </w:r>
      <w:r>
        <w:rPr>
          <w:sz w:val="21"/>
        </w:rPr>
        <w:t>for</w:t>
      </w:r>
      <w:r>
        <w:rPr>
          <w:spacing w:val="-3"/>
          <w:sz w:val="21"/>
        </w:rPr>
        <w:t xml:space="preserve"> </w:t>
      </w:r>
      <w:r>
        <w:rPr>
          <w:sz w:val="21"/>
        </w:rPr>
        <w:t>youth</w:t>
      </w:r>
      <w:r>
        <w:rPr>
          <w:spacing w:val="-4"/>
          <w:sz w:val="21"/>
        </w:rPr>
        <w:t xml:space="preserve"> </w:t>
      </w:r>
      <w:r>
        <w:rPr>
          <w:sz w:val="21"/>
        </w:rPr>
        <w:t>who</w:t>
      </w:r>
      <w:r>
        <w:rPr>
          <w:spacing w:val="-4"/>
          <w:sz w:val="21"/>
        </w:rPr>
        <w:t xml:space="preserve"> </w:t>
      </w:r>
      <w:r>
        <w:rPr>
          <w:sz w:val="21"/>
        </w:rPr>
        <w:t>are</w:t>
      </w:r>
      <w:r>
        <w:rPr>
          <w:spacing w:val="-3"/>
          <w:sz w:val="21"/>
        </w:rPr>
        <w:t xml:space="preserve"> </w:t>
      </w:r>
      <w:r>
        <w:rPr>
          <w:sz w:val="21"/>
        </w:rPr>
        <w:t>at</w:t>
      </w:r>
      <w:r>
        <w:rPr>
          <w:spacing w:val="-4"/>
          <w:sz w:val="21"/>
        </w:rPr>
        <w:t xml:space="preserve"> </w:t>
      </w:r>
      <w:r>
        <w:rPr>
          <w:sz w:val="21"/>
        </w:rPr>
        <w:t>risk</w:t>
      </w:r>
      <w:r>
        <w:rPr>
          <w:spacing w:val="-3"/>
          <w:sz w:val="21"/>
        </w:rPr>
        <w:t xml:space="preserve"> </w:t>
      </w:r>
      <w:r>
        <w:rPr>
          <w:sz w:val="21"/>
        </w:rPr>
        <w:t>for</w:t>
      </w:r>
      <w:r>
        <w:rPr>
          <w:spacing w:val="-3"/>
          <w:sz w:val="21"/>
        </w:rPr>
        <w:t xml:space="preserve"> </w:t>
      </w:r>
      <w:r>
        <w:rPr>
          <w:sz w:val="21"/>
        </w:rPr>
        <w:t>or</w:t>
      </w:r>
      <w:r>
        <w:rPr>
          <w:spacing w:val="-3"/>
          <w:sz w:val="21"/>
        </w:rPr>
        <w:t xml:space="preserve"> </w:t>
      </w:r>
      <w:r>
        <w:rPr>
          <w:sz w:val="21"/>
        </w:rPr>
        <w:t>are</w:t>
      </w:r>
      <w:r>
        <w:rPr>
          <w:spacing w:val="-3"/>
          <w:sz w:val="21"/>
        </w:rPr>
        <w:t xml:space="preserve"> </w:t>
      </w:r>
      <w:r>
        <w:rPr>
          <w:sz w:val="21"/>
        </w:rPr>
        <w:t>currently experiencing</w:t>
      </w:r>
      <w:r>
        <w:rPr>
          <w:spacing w:val="-9"/>
          <w:sz w:val="21"/>
        </w:rPr>
        <w:t xml:space="preserve"> </w:t>
      </w:r>
      <w:r>
        <w:rPr>
          <w:sz w:val="21"/>
        </w:rPr>
        <w:t>housing</w:t>
      </w:r>
      <w:r>
        <w:rPr>
          <w:spacing w:val="-9"/>
          <w:sz w:val="21"/>
        </w:rPr>
        <w:t xml:space="preserve"> </w:t>
      </w:r>
      <w:r>
        <w:rPr>
          <w:sz w:val="21"/>
        </w:rPr>
        <w:t>instability</w:t>
      </w:r>
      <w:r>
        <w:rPr>
          <w:spacing w:val="-7"/>
          <w:sz w:val="21"/>
        </w:rPr>
        <w:t xml:space="preserve"> </w:t>
      </w:r>
      <w:r>
        <w:rPr>
          <w:sz w:val="21"/>
        </w:rPr>
        <w:t>or</w:t>
      </w:r>
      <w:r>
        <w:rPr>
          <w:spacing w:val="-7"/>
          <w:sz w:val="21"/>
        </w:rPr>
        <w:t xml:space="preserve"> </w:t>
      </w:r>
      <w:r>
        <w:rPr>
          <w:sz w:val="21"/>
        </w:rPr>
        <w:t>homelessness.</w:t>
      </w:r>
      <w:r>
        <w:rPr>
          <w:spacing w:val="-8"/>
          <w:sz w:val="21"/>
        </w:rPr>
        <w:t xml:space="preserve"> </w:t>
      </w:r>
      <w:r>
        <w:rPr>
          <w:sz w:val="21"/>
        </w:rPr>
        <w:t>However,</w:t>
      </w:r>
      <w:r>
        <w:rPr>
          <w:spacing w:val="-8"/>
          <w:sz w:val="21"/>
        </w:rPr>
        <w:t xml:space="preserve"> </w:t>
      </w:r>
      <w:r>
        <w:rPr>
          <w:sz w:val="21"/>
        </w:rPr>
        <w:t>the</w:t>
      </w:r>
      <w:r>
        <w:rPr>
          <w:spacing w:val="-7"/>
          <w:sz w:val="21"/>
        </w:rPr>
        <w:t xml:space="preserve"> </w:t>
      </w:r>
      <w:r>
        <w:rPr>
          <w:sz w:val="21"/>
        </w:rPr>
        <w:t>Commission</w:t>
      </w:r>
      <w:r>
        <w:rPr>
          <w:spacing w:val="-8"/>
          <w:sz w:val="21"/>
        </w:rPr>
        <w:t xml:space="preserve"> </w:t>
      </w:r>
      <w:r>
        <w:rPr>
          <w:sz w:val="21"/>
        </w:rPr>
        <w:t>has</w:t>
      </w:r>
      <w:r>
        <w:rPr>
          <w:spacing w:val="-9"/>
          <w:sz w:val="21"/>
        </w:rPr>
        <w:t xml:space="preserve"> </w:t>
      </w:r>
      <w:r>
        <w:rPr>
          <w:sz w:val="21"/>
        </w:rPr>
        <w:t>continued</w:t>
      </w:r>
      <w:r>
        <w:rPr>
          <w:spacing w:val="-8"/>
          <w:sz w:val="21"/>
        </w:rPr>
        <w:t xml:space="preserve"> </w:t>
      </w:r>
      <w:r>
        <w:rPr>
          <w:sz w:val="21"/>
        </w:rPr>
        <w:t>to</w:t>
      </w:r>
      <w:r>
        <w:rPr>
          <w:spacing w:val="-9"/>
          <w:sz w:val="21"/>
        </w:rPr>
        <w:t xml:space="preserve"> </w:t>
      </w:r>
      <w:r>
        <w:rPr>
          <w:sz w:val="21"/>
        </w:rPr>
        <w:t>hear</w:t>
      </w:r>
      <w:r>
        <w:rPr>
          <w:spacing w:val="-7"/>
          <w:sz w:val="21"/>
        </w:rPr>
        <w:t xml:space="preserve"> </w:t>
      </w:r>
      <w:r>
        <w:rPr>
          <w:sz w:val="21"/>
        </w:rPr>
        <w:t>from</w:t>
      </w:r>
      <w:r>
        <w:rPr>
          <w:spacing w:val="-8"/>
          <w:sz w:val="21"/>
        </w:rPr>
        <w:t xml:space="preserve"> </w:t>
      </w:r>
      <w:r>
        <w:rPr>
          <w:sz w:val="21"/>
        </w:rPr>
        <w:t>youth and providers that there are not enough programs that are LGBTQ-affirming, or have staff who are knowledgeable about salient issues facing LGBTQ and QTBIPOC youth experiencing homelessness or housing instability. For example, y</w:t>
      </w:r>
      <w:r>
        <w:rPr>
          <w:sz w:val="21"/>
        </w:rPr>
        <w:t>outh frequently report that some of the providers they interact with do not appreciate the complexity of family reunification - which is not always possible, and is rarely easy - for youth facing rejection relating to their LGBTQ identity. Furthermore, QTB</w:t>
      </w:r>
      <w:r>
        <w:rPr>
          <w:sz w:val="21"/>
        </w:rPr>
        <w:t>IPOC youth continue to report numerous instances</w:t>
      </w:r>
      <w:r>
        <w:rPr>
          <w:spacing w:val="-12"/>
          <w:sz w:val="21"/>
        </w:rPr>
        <w:t xml:space="preserve"> </w:t>
      </w:r>
      <w:r>
        <w:rPr>
          <w:sz w:val="21"/>
        </w:rPr>
        <w:t>of</w:t>
      </w:r>
      <w:r>
        <w:rPr>
          <w:spacing w:val="-12"/>
          <w:sz w:val="21"/>
        </w:rPr>
        <w:t xml:space="preserve"> </w:t>
      </w:r>
      <w:r>
        <w:rPr>
          <w:sz w:val="21"/>
        </w:rPr>
        <w:t>racism</w:t>
      </w:r>
      <w:r>
        <w:rPr>
          <w:spacing w:val="-12"/>
          <w:sz w:val="21"/>
        </w:rPr>
        <w:t xml:space="preserve"> </w:t>
      </w:r>
      <w:r>
        <w:rPr>
          <w:sz w:val="21"/>
        </w:rPr>
        <w:t>and</w:t>
      </w:r>
      <w:r>
        <w:rPr>
          <w:spacing w:val="-12"/>
          <w:sz w:val="21"/>
        </w:rPr>
        <w:t xml:space="preserve"> </w:t>
      </w:r>
      <w:r>
        <w:rPr>
          <w:sz w:val="21"/>
        </w:rPr>
        <w:t>xenophobia</w:t>
      </w:r>
      <w:r>
        <w:rPr>
          <w:spacing w:val="-12"/>
          <w:sz w:val="21"/>
        </w:rPr>
        <w:t xml:space="preserve"> </w:t>
      </w:r>
      <w:r>
        <w:rPr>
          <w:sz w:val="21"/>
        </w:rPr>
        <w:t>within</w:t>
      </w:r>
      <w:r>
        <w:rPr>
          <w:spacing w:val="-12"/>
          <w:sz w:val="21"/>
        </w:rPr>
        <w:t xml:space="preserve"> </w:t>
      </w:r>
      <w:r>
        <w:rPr>
          <w:sz w:val="21"/>
        </w:rPr>
        <w:t>programs</w:t>
      </w:r>
      <w:r>
        <w:rPr>
          <w:spacing w:val="-12"/>
          <w:sz w:val="21"/>
        </w:rPr>
        <w:t xml:space="preserve"> </w:t>
      </w:r>
      <w:r>
        <w:rPr>
          <w:sz w:val="21"/>
        </w:rPr>
        <w:t>described</w:t>
      </w:r>
      <w:r>
        <w:rPr>
          <w:spacing w:val="-11"/>
          <w:sz w:val="21"/>
        </w:rPr>
        <w:t xml:space="preserve"> </w:t>
      </w:r>
      <w:r>
        <w:rPr>
          <w:sz w:val="21"/>
        </w:rPr>
        <w:t>as</w:t>
      </w:r>
      <w:r>
        <w:rPr>
          <w:spacing w:val="-12"/>
          <w:sz w:val="21"/>
        </w:rPr>
        <w:t xml:space="preserve"> </w:t>
      </w:r>
      <w:r>
        <w:rPr>
          <w:sz w:val="21"/>
        </w:rPr>
        <w:t>‘safe</w:t>
      </w:r>
      <w:r>
        <w:rPr>
          <w:spacing w:val="-12"/>
          <w:sz w:val="21"/>
        </w:rPr>
        <w:t xml:space="preserve"> </w:t>
      </w:r>
      <w:r>
        <w:rPr>
          <w:sz w:val="21"/>
        </w:rPr>
        <w:t>spaces’,</w:t>
      </w:r>
      <w:r>
        <w:rPr>
          <w:spacing w:val="-12"/>
          <w:sz w:val="21"/>
        </w:rPr>
        <w:t xml:space="preserve"> </w:t>
      </w:r>
      <w:r>
        <w:rPr>
          <w:sz w:val="21"/>
        </w:rPr>
        <w:t>in</w:t>
      </w:r>
      <w:r>
        <w:rPr>
          <w:spacing w:val="-12"/>
          <w:sz w:val="21"/>
        </w:rPr>
        <w:t xml:space="preserve"> </w:t>
      </w:r>
      <w:r>
        <w:rPr>
          <w:sz w:val="21"/>
        </w:rPr>
        <w:t>addition</w:t>
      </w:r>
      <w:r>
        <w:rPr>
          <w:spacing w:val="-12"/>
          <w:sz w:val="21"/>
        </w:rPr>
        <w:t xml:space="preserve"> </w:t>
      </w:r>
      <w:r>
        <w:rPr>
          <w:sz w:val="21"/>
        </w:rPr>
        <w:t>to</w:t>
      </w:r>
      <w:r>
        <w:rPr>
          <w:spacing w:val="-12"/>
          <w:sz w:val="21"/>
        </w:rPr>
        <w:t xml:space="preserve"> </w:t>
      </w:r>
      <w:r>
        <w:rPr>
          <w:sz w:val="21"/>
        </w:rPr>
        <w:t>feeling</w:t>
      </w:r>
      <w:r>
        <w:rPr>
          <w:spacing w:val="-12"/>
          <w:sz w:val="21"/>
        </w:rPr>
        <w:t xml:space="preserve"> </w:t>
      </w:r>
      <w:r>
        <w:rPr>
          <w:sz w:val="21"/>
        </w:rPr>
        <w:t>ostracized from their own racial and ethnic communities.</w:t>
      </w:r>
      <w:hyperlink w:anchor="_bookmark586" w:history="1">
        <w:r>
          <w:rPr>
            <w:sz w:val="21"/>
            <w:vertAlign w:val="superscript"/>
          </w:rPr>
          <w:t>6</w:t>
        </w:r>
      </w:hyperlink>
      <w:r>
        <w:rPr>
          <w:sz w:val="21"/>
          <w:vertAlign w:val="superscript"/>
        </w:rPr>
        <w:t>,</w:t>
      </w:r>
      <w:hyperlink w:anchor="_bookmark587" w:history="1">
        <w:r>
          <w:rPr>
            <w:sz w:val="21"/>
            <w:vertAlign w:val="superscript"/>
          </w:rPr>
          <w:t>7</w:t>
        </w:r>
      </w:hyperlink>
    </w:p>
    <w:p w:rsidR="00200FDA" w:rsidRDefault="00200FDA">
      <w:pPr>
        <w:pStyle w:val="BodyText"/>
        <w:spacing w:before="9"/>
        <w:rPr>
          <w:sz w:val="19"/>
        </w:rPr>
      </w:pPr>
    </w:p>
    <w:p w:rsidR="00200FDA" w:rsidRDefault="00F76C4C">
      <w:pPr>
        <w:spacing w:line="276" w:lineRule="auto"/>
        <w:ind w:left="139" w:right="134"/>
        <w:jc w:val="both"/>
        <w:rPr>
          <w:sz w:val="21"/>
        </w:rPr>
      </w:pPr>
      <w:r>
        <w:rPr>
          <w:sz w:val="21"/>
        </w:rPr>
        <w:t>Providers</w:t>
      </w:r>
      <w:r>
        <w:rPr>
          <w:spacing w:val="-1"/>
          <w:sz w:val="21"/>
        </w:rPr>
        <w:t xml:space="preserve"> </w:t>
      </w:r>
      <w:r>
        <w:rPr>
          <w:sz w:val="21"/>
        </w:rPr>
        <w:t>and program administrators</w:t>
      </w:r>
      <w:r>
        <w:rPr>
          <w:spacing w:val="-1"/>
          <w:sz w:val="21"/>
        </w:rPr>
        <w:t xml:space="preserve"> </w:t>
      </w:r>
      <w:r>
        <w:rPr>
          <w:sz w:val="21"/>
        </w:rPr>
        <w:t>should ensure that</w:t>
      </w:r>
      <w:r>
        <w:rPr>
          <w:spacing w:val="-1"/>
          <w:sz w:val="21"/>
        </w:rPr>
        <w:t xml:space="preserve"> </w:t>
      </w:r>
      <w:r>
        <w:rPr>
          <w:sz w:val="21"/>
        </w:rPr>
        <w:t>their programs</w:t>
      </w:r>
      <w:r>
        <w:rPr>
          <w:spacing w:val="-1"/>
          <w:sz w:val="21"/>
        </w:rPr>
        <w:t xml:space="preserve"> </w:t>
      </w:r>
      <w:r>
        <w:rPr>
          <w:sz w:val="21"/>
        </w:rPr>
        <w:t>and services</w:t>
      </w:r>
      <w:r>
        <w:rPr>
          <w:spacing w:val="-1"/>
          <w:sz w:val="21"/>
        </w:rPr>
        <w:t xml:space="preserve"> </w:t>
      </w:r>
      <w:r>
        <w:rPr>
          <w:sz w:val="21"/>
        </w:rPr>
        <w:t xml:space="preserve">are working to address the impact of intersectional identities and systemic oppression on QTBIPOC youth’s experience of accessing resources. To ensure quality care to all LGBTQ youth, programs should further ensure that they are using a variety of means - </w:t>
      </w:r>
      <w:r>
        <w:rPr>
          <w:sz w:val="21"/>
        </w:rPr>
        <w:t>such as trainings, professional development, contractual requirements, and policy development - to increase the adherence to best and promising practices.</w:t>
      </w:r>
    </w:p>
    <w:p w:rsidR="00200FDA" w:rsidRDefault="00200FDA">
      <w:pPr>
        <w:pStyle w:val="BodyText"/>
        <w:spacing w:before="8"/>
        <w:rPr>
          <w:sz w:val="19"/>
        </w:rPr>
      </w:pPr>
    </w:p>
    <w:p w:rsidR="00200FDA" w:rsidRDefault="00F76C4C">
      <w:pPr>
        <w:spacing w:line="276" w:lineRule="auto"/>
        <w:ind w:left="140" w:right="133"/>
        <w:jc w:val="both"/>
        <w:rPr>
          <w:sz w:val="21"/>
        </w:rPr>
      </w:pPr>
      <w:r>
        <w:rPr>
          <w:sz w:val="21"/>
        </w:rPr>
        <w:t>Furthermore,</w:t>
      </w:r>
      <w:r>
        <w:rPr>
          <w:spacing w:val="-12"/>
          <w:sz w:val="21"/>
        </w:rPr>
        <w:t xml:space="preserve"> </w:t>
      </w:r>
      <w:r>
        <w:rPr>
          <w:sz w:val="21"/>
        </w:rPr>
        <w:t>the</w:t>
      </w:r>
      <w:r>
        <w:rPr>
          <w:spacing w:val="-12"/>
          <w:sz w:val="21"/>
        </w:rPr>
        <w:t xml:space="preserve"> </w:t>
      </w:r>
      <w:r>
        <w:rPr>
          <w:sz w:val="21"/>
        </w:rPr>
        <w:t>Commission</w:t>
      </w:r>
      <w:r>
        <w:rPr>
          <w:spacing w:val="-12"/>
          <w:sz w:val="21"/>
        </w:rPr>
        <w:t xml:space="preserve"> </w:t>
      </w:r>
      <w:r>
        <w:rPr>
          <w:sz w:val="21"/>
        </w:rPr>
        <w:t>urges</w:t>
      </w:r>
      <w:r>
        <w:rPr>
          <w:spacing w:val="-12"/>
          <w:sz w:val="21"/>
        </w:rPr>
        <w:t xml:space="preserve"> </w:t>
      </w:r>
      <w:r>
        <w:rPr>
          <w:sz w:val="21"/>
        </w:rPr>
        <w:t>the</w:t>
      </w:r>
      <w:r>
        <w:rPr>
          <w:spacing w:val="-12"/>
          <w:sz w:val="21"/>
        </w:rPr>
        <w:t xml:space="preserve"> </w:t>
      </w:r>
      <w:r>
        <w:rPr>
          <w:sz w:val="21"/>
        </w:rPr>
        <w:t>Commonwealth’s</w:t>
      </w:r>
      <w:r>
        <w:rPr>
          <w:spacing w:val="-12"/>
          <w:sz w:val="21"/>
        </w:rPr>
        <w:t xml:space="preserve"> </w:t>
      </w:r>
      <w:r>
        <w:rPr>
          <w:sz w:val="21"/>
        </w:rPr>
        <w:t>legislature</w:t>
      </w:r>
      <w:r>
        <w:rPr>
          <w:spacing w:val="-12"/>
          <w:sz w:val="21"/>
        </w:rPr>
        <w:t xml:space="preserve"> </w:t>
      </w:r>
      <w:r>
        <w:rPr>
          <w:sz w:val="21"/>
        </w:rPr>
        <w:t>to</w:t>
      </w:r>
      <w:r>
        <w:rPr>
          <w:spacing w:val="-11"/>
          <w:sz w:val="21"/>
        </w:rPr>
        <w:t xml:space="preserve"> </w:t>
      </w:r>
      <w:r>
        <w:rPr>
          <w:sz w:val="21"/>
        </w:rPr>
        <w:t>continue</w:t>
      </w:r>
      <w:r>
        <w:rPr>
          <w:spacing w:val="-12"/>
          <w:sz w:val="21"/>
        </w:rPr>
        <w:t xml:space="preserve"> </w:t>
      </w:r>
      <w:r>
        <w:rPr>
          <w:sz w:val="21"/>
        </w:rPr>
        <w:t>expanding</w:t>
      </w:r>
      <w:r>
        <w:rPr>
          <w:spacing w:val="-12"/>
          <w:sz w:val="21"/>
        </w:rPr>
        <w:t xml:space="preserve"> </w:t>
      </w:r>
      <w:r>
        <w:rPr>
          <w:sz w:val="21"/>
        </w:rPr>
        <w:t>funding</w:t>
      </w:r>
      <w:r>
        <w:rPr>
          <w:spacing w:val="-12"/>
          <w:sz w:val="21"/>
        </w:rPr>
        <w:t xml:space="preserve"> </w:t>
      </w:r>
      <w:r>
        <w:rPr>
          <w:sz w:val="21"/>
        </w:rPr>
        <w:t>under</w:t>
      </w:r>
      <w:r>
        <w:rPr>
          <w:spacing w:val="-12"/>
          <w:sz w:val="21"/>
        </w:rPr>
        <w:t xml:space="preserve"> </w:t>
      </w:r>
      <w:r>
        <w:rPr>
          <w:sz w:val="21"/>
        </w:rPr>
        <w:t>line items</w:t>
      </w:r>
      <w:r>
        <w:rPr>
          <w:spacing w:val="-12"/>
          <w:sz w:val="21"/>
        </w:rPr>
        <w:t xml:space="preserve"> </w:t>
      </w:r>
      <w:r>
        <w:rPr>
          <w:sz w:val="21"/>
        </w:rPr>
        <w:t>for</w:t>
      </w:r>
      <w:r>
        <w:rPr>
          <w:spacing w:val="-12"/>
          <w:sz w:val="21"/>
        </w:rPr>
        <w:t xml:space="preserve"> </w:t>
      </w:r>
      <w:r>
        <w:rPr>
          <w:sz w:val="21"/>
        </w:rPr>
        <w:t>services</w:t>
      </w:r>
      <w:r>
        <w:rPr>
          <w:spacing w:val="-12"/>
          <w:sz w:val="21"/>
        </w:rPr>
        <w:t xml:space="preserve"> </w:t>
      </w:r>
      <w:r>
        <w:rPr>
          <w:sz w:val="21"/>
        </w:rPr>
        <w:t>directed</w:t>
      </w:r>
      <w:r>
        <w:rPr>
          <w:spacing w:val="-12"/>
          <w:sz w:val="21"/>
        </w:rPr>
        <w:t xml:space="preserve"> </w:t>
      </w:r>
      <w:r>
        <w:rPr>
          <w:sz w:val="21"/>
        </w:rPr>
        <w:t>towards</w:t>
      </w:r>
      <w:r>
        <w:rPr>
          <w:spacing w:val="-12"/>
          <w:sz w:val="21"/>
        </w:rPr>
        <w:t xml:space="preserve"> </w:t>
      </w:r>
      <w:r>
        <w:rPr>
          <w:sz w:val="21"/>
        </w:rPr>
        <w:t>LGBTQ</w:t>
      </w:r>
      <w:r>
        <w:rPr>
          <w:spacing w:val="-12"/>
          <w:sz w:val="21"/>
        </w:rPr>
        <w:t xml:space="preserve"> </w:t>
      </w:r>
      <w:r>
        <w:rPr>
          <w:sz w:val="21"/>
        </w:rPr>
        <w:t>youth</w:t>
      </w:r>
      <w:r>
        <w:rPr>
          <w:spacing w:val="-12"/>
          <w:sz w:val="21"/>
        </w:rPr>
        <w:t xml:space="preserve"> </w:t>
      </w:r>
      <w:r>
        <w:rPr>
          <w:sz w:val="21"/>
        </w:rPr>
        <w:t>experiencing</w:t>
      </w:r>
      <w:r>
        <w:rPr>
          <w:spacing w:val="-11"/>
          <w:sz w:val="21"/>
        </w:rPr>
        <w:t xml:space="preserve"> </w:t>
      </w:r>
      <w:r>
        <w:rPr>
          <w:sz w:val="21"/>
        </w:rPr>
        <w:t>housing</w:t>
      </w:r>
      <w:r>
        <w:rPr>
          <w:spacing w:val="-12"/>
          <w:sz w:val="21"/>
        </w:rPr>
        <w:t xml:space="preserve"> </w:t>
      </w:r>
      <w:r>
        <w:rPr>
          <w:sz w:val="21"/>
        </w:rPr>
        <w:t>instability</w:t>
      </w:r>
      <w:r>
        <w:rPr>
          <w:spacing w:val="-12"/>
          <w:sz w:val="21"/>
        </w:rPr>
        <w:t xml:space="preserve"> </w:t>
      </w:r>
      <w:r>
        <w:rPr>
          <w:sz w:val="21"/>
        </w:rPr>
        <w:t>or</w:t>
      </w:r>
      <w:r>
        <w:rPr>
          <w:spacing w:val="-12"/>
          <w:sz w:val="21"/>
        </w:rPr>
        <w:t xml:space="preserve"> </w:t>
      </w:r>
      <w:r>
        <w:rPr>
          <w:sz w:val="21"/>
        </w:rPr>
        <w:t>homelessness,</w:t>
      </w:r>
      <w:r>
        <w:rPr>
          <w:spacing w:val="-12"/>
          <w:sz w:val="21"/>
        </w:rPr>
        <w:t xml:space="preserve"> </w:t>
      </w:r>
      <w:r>
        <w:rPr>
          <w:sz w:val="21"/>
        </w:rPr>
        <w:t>and</w:t>
      </w:r>
      <w:r>
        <w:rPr>
          <w:spacing w:val="-12"/>
          <w:sz w:val="21"/>
        </w:rPr>
        <w:t xml:space="preserve"> </w:t>
      </w:r>
      <w:r>
        <w:rPr>
          <w:sz w:val="21"/>
        </w:rPr>
        <w:t>explore further service provision possibilities for minors experiencing homelessness. Specifically, funding should expand to increase permanent hous</w:t>
      </w:r>
      <w:r>
        <w:rPr>
          <w:sz w:val="21"/>
        </w:rPr>
        <w:t>ing opportunities as well as statewide safe drop-in spaces for unhoused young people, especially LGBTQ youth that provide food, shelter, social connection, healthcare, and social services. Such funding and services should pay particular attention to unders</w:t>
      </w:r>
      <w:r>
        <w:rPr>
          <w:sz w:val="21"/>
        </w:rPr>
        <w:t xml:space="preserve">erved QTBIPOC and immigrant </w:t>
      </w:r>
      <w:r>
        <w:rPr>
          <w:spacing w:val="-2"/>
          <w:sz w:val="21"/>
        </w:rPr>
        <w:t>communities.</w:t>
      </w:r>
    </w:p>
    <w:p w:rsidR="00200FDA" w:rsidRDefault="00200FDA">
      <w:pPr>
        <w:pStyle w:val="BodyText"/>
        <w:spacing w:before="9"/>
        <w:rPr>
          <w:sz w:val="19"/>
        </w:rPr>
      </w:pPr>
    </w:p>
    <w:p w:rsidR="00200FDA" w:rsidRDefault="00F76C4C">
      <w:pPr>
        <w:pStyle w:val="ListParagraph"/>
        <w:numPr>
          <w:ilvl w:val="0"/>
          <w:numId w:val="29"/>
        </w:numPr>
        <w:tabs>
          <w:tab w:val="left" w:pos="352"/>
        </w:tabs>
        <w:ind w:left="351" w:hanging="212"/>
        <w:rPr>
          <w:b/>
          <w:sz w:val="21"/>
        </w:rPr>
      </w:pPr>
      <w:r>
        <w:rPr>
          <w:b/>
          <w:sz w:val="21"/>
        </w:rPr>
        <w:t>Codify</w:t>
      </w:r>
      <w:r>
        <w:rPr>
          <w:b/>
          <w:spacing w:val="-3"/>
          <w:sz w:val="21"/>
        </w:rPr>
        <w:t xml:space="preserve"> </w:t>
      </w:r>
      <w:r>
        <w:rPr>
          <w:b/>
          <w:sz w:val="21"/>
        </w:rPr>
        <w:t>a</w:t>
      </w:r>
      <w:r>
        <w:rPr>
          <w:b/>
          <w:spacing w:val="-5"/>
          <w:sz w:val="21"/>
        </w:rPr>
        <w:t xml:space="preserve"> </w:t>
      </w:r>
      <w:r>
        <w:rPr>
          <w:b/>
          <w:sz w:val="21"/>
        </w:rPr>
        <w:t>bill</w:t>
      </w:r>
      <w:r>
        <w:rPr>
          <w:b/>
          <w:spacing w:val="-5"/>
          <w:sz w:val="21"/>
        </w:rPr>
        <w:t xml:space="preserve"> </w:t>
      </w:r>
      <w:r>
        <w:rPr>
          <w:b/>
          <w:sz w:val="21"/>
        </w:rPr>
        <w:t>of</w:t>
      </w:r>
      <w:r>
        <w:rPr>
          <w:b/>
          <w:spacing w:val="-4"/>
          <w:sz w:val="21"/>
        </w:rPr>
        <w:t xml:space="preserve"> </w:t>
      </w:r>
      <w:r>
        <w:rPr>
          <w:b/>
          <w:sz w:val="21"/>
        </w:rPr>
        <w:t>rights</w:t>
      </w:r>
      <w:r>
        <w:rPr>
          <w:b/>
          <w:spacing w:val="-4"/>
          <w:sz w:val="21"/>
        </w:rPr>
        <w:t xml:space="preserve"> </w:t>
      </w:r>
      <w:r>
        <w:rPr>
          <w:b/>
          <w:sz w:val="21"/>
        </w:rPr>
        <w:t>for</w:t>
      </w:r>
      <w:r>
        <w:rPr>
          <w:b/>
          <w:spacing w:val="-7"/>
          <w:sz w:val="21"/>
        </w:rPr>
        <w:t xml:space="preserve"> </w:t>
      </w:r>
      <w:r>
        <w:rPr>
          <w:b/>
          <w:sz w:val="21"/>
        </w:rPr>
        <w:t>people</w:t>
      </w:r>
      <w:r>
        <w:rPr>
          <w:b/>
          <w:spacing w:val="-4"/>
          <w:sz w:val="21"/>
        </w:rPr>
        <w:t xml:space="preserve"> </w:t>
      </w:r>
      <w:r>
        <w:rPr>
          <w:b/>
          <w:sz w:val="21"/>
        </w:rPr>
        <w:t>experiencing</w:t>
      </w:r>
      <w:r>
        <w:rPr>
          <w:b/>
          <w:spacing w:val="-3"/>
          <w:sz w:val="21"/>
        </w:rPr>
        <w:t xml:space="preserve"> </w:t>
      </w:r>
      <w:r>
        <w:rPr>
          <w:b/>
          <w:spacing w:val="-2"/>
          <w:sz w:val="21"/>
        </w:rPr>
        <w:t>homelessness.</w:t>
      </w:r>
    </w:p>
    <w:p w:rsidR="00200FDA" w:rsidRDefault="00200FDA">
      <w:pPr>
        <w:pStyle w:val="BodyText"/>
        <w:spacing w:before="10"/>
        <w:rPr>
          <w:b/>
        </w:rPr>
      </w:pPr>
    </w:p>
    <w:p w:rsidR="00200FDA" w:rsidRDefault="00F76C4C">
      <w:pPr>
        <w:spacing w:line="276" w:lineRule="auto"/>
        <w:ind w:left="140" w:right="134"/>
        <w:jc w:val="both"/>
        <w:rPr>
          <w:sz w:val="21"/>
        </w:rPr>
      </w:pPr>
      <w:r>
        <w:rPr>
          <w:sz w:val="21"/>
        </w:rPr>
        <w:t>LGBTQ youth are already more likely than others to face discrimination in their daily lives</w:t>
      </w:r>
      <w:r>
        <w:rPr>
          <w:spacing w:val="-1"/>
          <w:sz w:val="21"/>
        </w:rPr>
        <w:t xml:space="preserve"> </w:t>
      </w:r>
      <w:r>
        <w:rPr>
          <w:sz w:val="21"/>
        </w:rPr>
        <w:t>and are more likely to experience homelessness, a status that greatly increases the risk of facing bias and discrimination.</w:t>
      </w:r>
      <w:r>
        <w:rPr>
          <w:spacing w:val="40"/>
          <w:sz w:val="21"/>
        </w:rPr>
        <w:t xml:space="preserve"> </w:t>
      </w:r>
      <w:r>
        <w:rPr>
          <w:sz w:val="21"/>
        </w:rPr>
        <w:t>This vulnerability</w:t>
      </w:r>
      <w:r>
        <w:rPr>
          <w:spacing w:val="-6"/>
          <w:sz w:val="21"/>
        </w:rPr>
        <w:t xml:space="preserve"> </w:t>
      </w:r>
      <w:r>
        <w:rPr>
          <w:sz w:val="21"/>
        </w:rPr>
        <w:t>is</w:t>
      </w:r>
      <w:r>
        <w:rPr>
          <w:spacing w:val="-8"/>
          <w:sz w:val="21"/>
        </w:rPr>
        <w:t xml:space="preserve"> </w:t>
      </w:r>
      <w:r>
        <w:rPr>
          <w:sz w:val="21"/>
        </w:rPr>
        <w:t>amplified</w:t>
      </w:r>
      <w:r>
        <w:rPr>
          <w:spacing w:val="-7"/>
          <w:sz w:val="21"/>
        </w:rPr>
        <w:t xml:space="preserve"> </w:t>
      </w:r>
      <w:r>
        <w:rPr>
          <w:sz w:val="21"/>
        </w:rPr>
        <w:t>with</w:t>
      </w:r>
      <w:r>
        <w:rPr>
          <w:spacing w:val="-7"/>
          <w:sz w:val="21"/>
        </w:rPr>
        <w:t xml:space="preserve"> </w:t>
      </w:r>
      <w:r>
        <w:rPr>
          <w:sz w:val="21"/>
        </w:rPr>
        <w:t>consideration</w:t>
      </w:r>
      <w:r>
        <w:rPr>
          <w:spacing w:val="-7"/>
          <w:sz w:val="21"/>
        </w:rPr>
        <w:t xml:space="preserve"> </w:t>
      </w:r>
      <w:r>
        <w:rPr>
          <w:sz w:val="21"/>
        </w:rPr>
        <w:t>of</w:t>
      </w:r>
      <w:r>
        <w:rPr>
          <w:spacing w:val="-6"/>
          <w:sz w:val="21"/>
        </w:rPr>
        <w:t xml:space="preserve"> </w:t>
      </w:r>
      <w:r>
        <w:rPr>
          <w:sz w:val="21"/>
        </w:rPr>
        <w:t>QTBIPOC</w:t>
      </w:r>
      <w:r>
        <w:rPr>
          <w:spacing w:val="-6"/>
          <w:sz w:val="21"/>
        </w:rPr>
        <w:t xml:space="preserve"> </w:t>
      </w:r>
      <w:r>
        <w:rPr>
          <w:sz w:val="21"/>
        </w:rPr>
        <w:t>identities</w:t>
      </w:r>
      <w:r>
        <w:rPr>
          <w:spacing w:val="-8"/>
          <w:sz w:val="21"/>
        </w:rPr>
        <w:t xml:space="preserve"> </w:t>
      </w:r>
      <w:r>
        <w:rPr>
          <w:sz w:val="21"/>
        </w:rPr>
        <w:t>among</w:t>
      </w:r>
      <w:r>
        <w:rPr>
          <w:spacing w:val="-8"/>
          <w:sz w:val="21"/>
        </w:rPr>
        <w:t xml:space="preserve"> </w:t>
      </w:r>
      <w:r>
        <w:rPr>
          <w:sz w:val="21"/>
        </w:rPr>
        <w:t>LGBTQ</w:t>
      </w:r>
      <w:r>
        <w:rPr>
          <w:spacing w:val="-10"/>
          <w:sz w:val="21"/>
        </w:rPr>
        <w:t xml:space="preserve"> </w:t>
      </w:r>
      <w:r>
        <w:rPr>
          <w:sz w:val="21"/>
        </w:rPr>
        <w:t>youth</w:t>
      </w:r>
      <w:r>
        <w:rPr>
          <w:spacing w:val="-7"/>
          <w:sz w:val="21"/>
        </w:rPr>
        <w:t xml:space="preserve"> </w:t>
      </w:r>
      <w:r>
        <w:rPr>
          <w:sz w:val="21"/>
        </w:rPr>
        <w:t>and</w:t>
      </w:r>
      <w:r>
        <w:rPr>
          <w:spacing w:val="-7"/>
          <w:sz w:val="21"/>
        </w:rPr>
        <w:t xml:space="preserve"> </w:t>
      </w:r>
      <w:r>
        <w:rPr>
          <w:sz w:val="21"/>
        </w:rPr>
        <w:t>those</w:t>
      </w:r>
      <w:r>
        <w:rPr>
          <w:spacing w:val="-6"/>
          <w:sz w:val="21"/>
        </w:rPr>
        <w:t xml:space="preserve"> </w:t>
      </w:r>
      <w:r>
        <w:rPr>
          <w:sz w:val="21"/>
        </w:rPr>
        <w:t>identified</w:t>
      </w:r>
      <w:r>
        <w:rPr>
          <w:spacing w:val="-7"/>
          <w:sz w:val="21"/>
        </w:rPr>
        <w:t xml:space="preserve"> </w:t>
      </w:r>
      <w:r>
        <w:rPr>
          <w:sz w:val="21"/>
        </w:rPr>
        <w:t>as transgender</w:t>
      </w:r>
      <w:r>
        <w:rPr>
          <w:spacing w:val="-12"/>
          <w:sz w:val="21"/>
        </w:rPr>
        <w:t xml:space="preserve"> </w:t>
      </w:r>
      <w:r>
        <w:rPr>
          <w:sz w:val="21"/>
        </w:rPr>
        <w:t>or</w:t>
      </w:r>
      <w:r>
        <w:rPr>
          <w:spacing w:val="-12"/>
          <w:sz w:val="21"/>
        </w:rPr>
        <w:t xml:space="preserve"> </w:t>
      </w:r>
      <w:r>
        <w:rPr>
          <w:sz w:val="21"/>
        </w:rPr>
        <w:t>ge</w:t>
      </w:r>
      <w:r>
        <w:rPr>
          <w:sz w:val="21"/>
        </w:rPr>
        <w:t>nder</w:t>
      </w:r>
      <w:r>
        <w:rPr>
          <w:spacing w:val="-12"/>
          <w:sz w:val="21"/>
        </w:rPr>
        <w:t xml:space="preserve"> </w:t>
      </w:r>
      <w:r>
        <w:rPr>
          <w:sz w:val="21"/>
        </w:rPr>
        <w:t>expansive.</w:t>
      </w:r>
      <w:r>
        <w:rPr>
          <w:spacing w:val="-12"/>
          <w:sz w:val="21"/>
        </w:rPr>
        <w:t xml:space="preserve"> </w:t>
      </w:r>
      <w:r>
        <w:rPr>
          <w:sz w:val="21"/>
        </w:rPr>
        <w:t>The</w:t>
      </w:r>
      <w:r>
        <w:rPr>
          <w:spacing w:val="-12"/>
          <w:sz w:val="21"/>
        </w:rPr>
        <w:t xml:space="preserve"> </w:t>
      </w:r>
      <w:r>
        <w:rPr>
          <w:sz w:val="21"/>
        </w:rPr>
        <w:t>Commission</w:t>
      </w:r>
      <w:r>
        <w:rPr>
          <w:spacing w:val="-12"/>
          <w:sz w:val="21"/>
        </w:rPr>
        <w:t xml:space="preserve"> </w:t>
      </w:r>
      <w:r>
        <w:rPr>
          <w:sz w:val="21"/>
        </w:rPr>
        <w:t>supports</w:t>
      </w:r>
      <w:r>
        <w:rPr>
          <w:spacing w:val="-12"/>
          <w:sz w:val="21"/>
        </w:rPr>
        <w:t xml:space="preserve"> </w:t>
      </w:r>
      <w:r>
        <w:rPr>
          <w:sz w:val="21"/>
        </w:rPr>
        <w:t>the</w:t>
      </w:r>
      <w:r>
        <w:rPr>
          <w:spacing w:val="-11"/>
          <w:sz w:val="21"/>
        </w:rPr>
        <w:t xml:space="preserve"> </w:t>
      </w:r>
      <w:r>
        <w:rPr>
          <w:sz w:val="21"/>
        </w:rPr>
        <w:t>bill</w:t>
      </w:r>
      <w:r>
        <w:rPr>
          <w:spacing w:val="-12"/>
          <w:sz w:val="21"/>
        </w:rPr>
        <w:t xml:space="preserve"> </w:t>
      </w:r>
      <w:r>
        <w:rPr>
          <w:sz w:val="21"/>
        </w:rPr>
        <w:t>of</w:t>
      </w:r>
      <w:r>
        <w:rPr>
          <w:spacing w:val="-12"/>
          <w:sz w:val="21"/>
        </w:rPr>
        <w:t xml:space="preserve"> </w:t>
      </w:r>
      <w:r>
        <w:rPr>
          <w:sz w:val="21"/>
        </w:rPr>
        <w:t>rights</w:t>
      </w:r>
      <w:r>
        <w:rPr>
          <w:spacing w:val="-12"/>
          <w:sz w:val="21"/>
        </w:rPr>
        <w:t xml:space="preserve"> </w:t>
      </w:r>
      <w:r>
        <w:rPr>
          <w:sz w:val="21"/>
        </w:rPr>
        <w:t>legislation</w:t>
      </w:r>
      <w:r>
        <w:rPr>
          <w:spacing w:val="-12"/>
          <w:sz w:val="21"/>
        </w:rPr>
        <w:t xml:space="preserve"> </w:t>
      </w:r>
      <w:r>
        <w:rPr>
          <w:sz w:val="21"/>
        </w:rPr>
        <w:t>for</w:t>
      </w:r>
      <w:r>
        <w:rPr>
          <w:spacing w:val="-12"/>
          <w:sz w:val="21"/>
        </w:rPr>
        <w:t xml:space="preserve"> </w:t>
      </w:r>
      <w:r>
        <w:rPr>
          <w:sz w:val="21"/>
        </w:rPr>
        <w:t>people</w:t>
      </w:r>
      <w:r>
        <w:rPr>
          <w:spacing w:val="-12"/>
          <w:sz w:val="21"/>
        </w:rPr>
        <w:t xml:space="preserve"> </w:t>
      </w:r>
      <w:r>
        <w:rPr>
          <w:sz w:val="21"/>
        </w:rPr>
        <w:t>experiencing homelessness that reflects common concerns raised by this population. It includes the rights to move freely while in public spaces, to be treated equitably by go</w:t>
      </w:r>
      <w:r>
        <w:rPr>
          <w:sz w:val="21"/>
        </w:rPr>
        <w:t>vernment agencies, to receive care in emergencies, and others</w:t>
      </w:r>
      <w:r>
        <w:rPr>
          <w:spacing w:val="-2"/>
          <w:sz w:val="21"/>
        </w:rPr>
        <w:t xml:space="preserve"> </w:t>
      </w:r>
      <w:r>
        <w:rPr>
          <w:sz w:val="21"/>
        </w:rPr>
        <w:t>such</w:t>
      </w:r>
      <w:r>
        <w:rPr>
          <w:spacing w:val="-2"/>
          <w:sz w:val="21"/>
        </w:rPr>
        <w:t xml:space="preserve"> </w:t>
      </w:r>
      <w:r>
        <w:rPr>
          <w:sz w:val="21"/>
        </w:rPr>
        <w:t>as</w:t>
      </w:r>
      <w:r>
        <w:rPr>
          <w:spacing w:val="-2"/>
          <w:sz w:val="21"/>
        </w:rPr>
        <w:t xml:space="preserve"> </w:t>
      </w:r>
      <w:r>
        <w:rPr>
          <w:sz w:val="21"/>
        </w:rPr>
        <w:t>those</w:t>
      </w:r>
      <w:r>
        <w:rPr>
          <w:spacing w:val="-1"/>
          <w:sz w:val="21"/>
        </w:rPr>
        <w:t xml:space="preserve"> </w:t>
      </w:r>
      <w:r>
        <w:rPr>
          <w:sz w:val="21"/>
        </w:rPr>
        <w:t>proposed</w:t>
      </w:r>
      <w:r>
        <w:rPr>
          <w:spacing w:val="-2"/>
          <w:sz w:val="21"/>
        </w:rPr>
        <w:t xml:space="preserve"> </w:t>
      </w:r>
      <w:r>
        <w:rPr>
          <w:sz w:val="21"/>
        </w:rPr>
        <w:t>in</w:t>
      </w:r>
      <w:r>
        <w:rPr>
          <w:spacing w:val="-2"/>
          <w:sz w:val="21"/>
        </w:rPr>
        <w:t xml:space="preserve"> </w:t>
      </w:r>
      <w:r>
        <w:rPr>
          <w:i/>
          <w:sz w:val="21"/>
        </w:rPr>
        <w:t>An</w:t>
      </w:r>
      <w:r>
        <w:rPr>
          <w:i/>
          <w:spacing w:val="-4"/>
          <w:sz w:val="21"/>
        </w:rPr>
        <w:t xml:space="preserve"> </w:t>
      </w:r>
      <w:r>
        <w:rPr>
          <w:i/>
          <w:sz w:val="21"/>
        </w:rPr>
        <w:t>Act</w:t>
      </w:r>
      <w:r>
        <w:rPr>
          <w:i/>
          <w:spacing w:val="-5"/>
          <w:sz w:val="21"/>
        </w:rPr>
        <w:t xml:space="preserve"> </w:t>
      </w:r>
      <w:r>
        <w:rPr>
          <w:i/>
          <w:sz w:val="21"/>
        </w:rPr>
        <w:t>Establishing</w:t>
      </w:r>
      <w:r>
        <w:rPr>
          <w:i/>
          <w:spacing w:val="-2"/>
          <w:sz w:val="21"/>
        </w:rPr>
        <w:t xml:space="preserve"> </w:t>
      </w:r>
      <w:r>
        <w:rPr>
          <w:i/>
          <w:sz w:val="21"/>
        </w:rPr>
        <w:t>a</w:t>
      </w:r>
      <w:r>
        <w:rPr>
          <w:i/>
          <w:spacing w:val="-2"/>
          <w:sz w:val="21"/>
        </w:rPr>
        <w:t xml:space="preserve"> </w:t>
      </w:r>
      <w:r>
        <w:rPr>
          <w:i/>
          <w:sz w:val="21"/>
        </w:rPr>
        <w:t>Bill</w:t>
      </w:r>
      <w:r>
        <w:rPr>
          <w:i/>
          <w:spacing w:val="-1"/>
          <w:sz w:val="21"/>
        </w:rPr>
        <w:t xml:space="preserve"> </w:t>
      </w:r>
      <w:r>
        <w:rPr>
          <w:i/>
          <w:sz w:val="21"/>
        </w:rPr>
        <w:t>of</w:t>
      </w:r>
      <w:r>
        <w:rPr>
          <w:i/>
          <w:spacing w:val="-1"/>
          <w:sz w:val="21"/>
        </w:rPr>
        <w:t xml:space="preserve"> </w:t>
      </w:r>
      <w:r>
        <w:rPr>
          <w:i/>
          <w:sz w:val="21"/>
        </w:rPr>
        <w:t>Rights</w:t>
      </w:r>
      <w:r>
        <w:rPr>
          <w:i/>
          <w:spacing w:val="-2"/>
          <w:sz w:val="21"/>
        </w:rPr>
        <w:t xml:space="preserve"> </w:t>
      </w:r>
      <w:r>
        <w:rPr>
          <w:i/>
          <w:sz w:val="21"/>
        </w:rPr>
        <w:t>for</w:t>
      </w:r>
      <w:r>
        <w:rPr>
          <w:i/>
          <w:spacing w:val="-1"/>
          <w:sz w:val="21"/>
        </w:rPr>
        <w:t xml:space="preserve"> </w:t>
      </w:r>
      <w:r>
        <w:rPr>
          <w:i/>
          <w:sz w:val="21"/>
        </w:rPr>
        <w:t>Individuals</w:t>
      </w:r>
      <w:r>
        <w:rPr>
          <w:i/>
          <w:spacing w:val="-4"/>
          <w:sz w:val="21"/>
        </w:rPr>
        <w:t xml:space="preserve"> </w:t>
      </w:r>
      <w:r>
        <w:rPr>
          <w:i/>
          <w:sz w:val="21"/>
        </w:rPr>
        <w:t>Experiencing</w:t>
      </w:r>
      <w:r>
        <w:rPr>
          <w:i/>
          <w:spacing w:val="-4"/>
          <w:sz w:val="21"/>
        </w:rPr>
        <w:t xml:space="preserve"> </w:t>
      </w:r>
      <w:r>
        <w:rPr>
          <w:i/>
          <w:sz w:val="21"/>
        </w:rPr>
        <w:t xml:space="preserve">Homelessness </w:t>
      </w:r>
      <w:r>
        <w:rPr>
          <w:spacing w:val="-2"/>
          <w:sz w:val="21"/>
        </w:rPr>
        <w:t>(</w:t>
      </w:r>
      <w:hyperlink r:id="rId578">
        <w:r>
          <w:rPr>
            <w:color w:val="1154CC"/>
            <w:spacing w:val="-2"/>
            <w:sz w:val="21"/>
            <w:u w:val="single" w:color="1154CC"/>
          </w:rPr>
          <w:t>S.1112</w:t>
        </w:r>
      </w:hyperlink>
      <w:r>
        <w:rPr>
          <w:spacing w:val="-2"/>
          <w:sz w:val="21"/>
        </w:rPr>
        <w:t>/</w:t>
      </w:r>
      <w:hyperlink r:id="rId579">
        <w:r>
          <w:rPr>
            <w:color w:val="1154CC"/>
            <w:spacing w:val="-2"/>
            <w:sz w:val="21"/>
            <w:u w:val="single" w:color="1154CC"/>
          </w:rPr>
          <w:t>H.211</w:t>
        </w:r>
      </w:hyperlink>
      <w:r>
        <w:rPr>
          <w:spacing w:val="-2"/>
          <w:sz w:val="21"/>
        </w:rPr>
        <w:t>).</w:t>
      </w:r>
    </w:p>
    <w:p w:rsidR="00200FDA" w:rsidRDefault="00200FDA">
      <w:pPr>
        <w:pStyle w:val="BodyText"/>
        <w:spacing w:before="9"/>
        <w:rPr>
          <w:sz w:val="14"/>
        </w:rPr>
      </w:pPr>
    </w:p>
    <w:p w:rsidR="00200FDA" w:rsidRDefault="00F76C4C">
      <w:pPr>
        <w:pStyle w:val="ListParagraph"/>
        <w:numPr>
          <w:ilvl w:val="0"/>
          <w:numId w:val="29"/>
        </w:numPr>
        <w:tabs>
          <w:tab w:val="left" w:pos="354"/>
        </w:tabs>
        <w:spacing w:before="58"/>
        <w:rPr>
          <w:b/>
          <w:sz w:val="21"/>
        </w:rPr>
      </w:pPr>
      <w:r>
        <w:rPr>
          <w:b/>
          <w:sz w:val="21"/>
        </w:rPr>
        <w:t>Increase</w:t>
      </w:r>
      <w:r>
        <w:rPr>
          <w:b/>
          <w:spacing w:val="-8"/>
          <w:sz w:val="21"/>
        </w:rPr>
        <w:t xml:space="preserve"> </w:t>
      </w:r>
      <w:r>
        <w:rPr>
          <w:b/>
          <w:sz w:val="21"/>
        </w:rPr>
        <w:t>LGBTQ</w:t>
      </w:r>
      <w:r>
        <w:rPr>
          <w:b/>
          <w:spacing w:val="-8"/>
          <w:sz w:val="21"/>
        </w:rPr>
        <w:t xml:space="preserve"> </w:t>
      </w:r>
      <w:r>
        <w:rPr>
          <w:b/>
          <w:sz w:val="21"/>
        </w:rPr>
        <w:t>participation</w:t>
      </w:r>
      <w:r>
        <w:rPr>
          <w:b/>
          <w:spacing w:val="-6"/>
          <w:sz w:val="21"/>
        </w:rPr>
        <w:t xml:space="preserve"> </w:t>
      </w:r>
      <w:r>
        <w:rPr>
          <w:b/>
          <w:sz w:val="21"/>
        </w:rPr>
        <w:t>as</w:t>
      </w:r>
      <w:r>
        <w:rPr>
          <w:b/>
          <w:spacing w:val="-8"/>
          <w:sz w:val="21"/>
        </w:rPr>
        <w:t xml:space="preserve"> </w:t>
      </w:r>
      <w:r>
        <w:rPr>
          <w:b/>
          <w:sz w:val="21"/>
        </w:rPr>
        <w:t>youth</w:t>
      </w:r>
      <w:r>
        <w:rPr>
          <w:b/>
          <w:spacing w:val="-6"/>
          <w:sz w:val="21"/>
        </w:rPr>
        <w:t xml:space="preserve"> </w:t>
      </w:r>
      <w:r>
        <w:rPr>
          <w:b/>
          <w:sz w:val="21"/>
        </w:rPr>
        <w:t>ambassadors</w:t>
      </w:r>
      <w:r>
        <w:rPr>
          <w:b/>
          <w:spacing w:val="-7"/>
          <w:sz w:val="21"/>
        </w:rPr>
        <w:t xml:space="preserve"> </w:t>
      </w:r>
      <w:r>
        <w:rPr>
          <w:b/>
          <w:sz w:val="21"/>
        </w:rPr>
        <w:t>and</w:t>
      </w:r>
      <w:r>
        <w:rPr>
          <w:b/>
          <w:spacing w:val="-6"/>
          <w:sz w:val="21"/>
        </w:rPr>
        <w:t xml:space="preserve"> </w:t>
      </w:r>
      <w:r>
        <w:rPr>
          <w:b/>
          <w:sz w:val="21"/>
        </w:rPr>
        <w:t>respondents</w:t>
      </w:r>
      <w:r>
        <w:rPr>
          <w:b/>
          <w:spacing w:val="-8"/>
          <w:sz w:val="21"/>
        </w:rPr>
        <w:t xml:space="preserve"> </w:t>
      </w:r>
      <w:r>
        <w:rPr>
          <w:b/>
          <w:sz w:val="21"/>
        </w:rPr>
        <w:t>to</w:t>
      </w:r>
      <w:r>
        <w:rPr>
          <w:b/>
          <w:spacing w:val="-8"/>
          <w:sz w:val="21"/>
        </w:rPr>
        <w:t xml:space="preserve"> </w:t>
      </w:r>
      <w:r>
        <w:rPr>
          <w:b/>
          <w:sz w:val="21"/>
        </w:rPr>
        <w:t>the</w:t>
      </w:r>
      <w:r>
        <w:rPr>
          <w:b/>
          <w:spacing w:val="-6"/>
          <w:sz w:val="21"/>
        </w:rPr>
        <w:t xml:space="preserve"> </w:t>
      </w:r>
      <w:r>
        <w:rPr>
          <w:b/>
          <w:sz w:val="21"/>
        </w:rPr>
        <w:t>Youth</w:t>
      </w:r>
      <w:r>
        <w:rPr>
          <w:b/>
          <w:spacing w:val="-7"/>
          <w:sz w:val="21"/>
        </w:rPr>
        <w:t xml:space="preserve"> </w:t>
      </w:r>
      <w:r>
        <w:rPr>
          <w:b/>
          <w:spacing w:val="-2"/>
          <w:sz w:val="21"/>
        </w:rPr>
        <w:t>Count.</w:t>
      </w:r>
    </w:p>
    <w:p w:rsidR="00200FDA" w:rsidRDefault="00200FDA">
      <w:pPr>
        <w:pStyle w:val="BodyText"/>
        <w:spacing w:before="11"/>
        <w:rPr>
          <w:b/>
        </w:rPr>
      </w:pPr>
    </w:p>
    <w:p w:rsidR="00200FDA" w:rsidRDefault="00F76C4C">
      <w:pPr>
        <w:spacing w:line="276" w:lineRule="auto"/>
        <w:ind w:left="140" w:right="148"/>
        <w:rPr>
          <w:sz w:val="21"/>
        </w:rPr>
      </w:pPr>
      <w:r>
        <w:rPr>
          <w:sz w:val="21"/>
        </w:rPr>
        <w:t>The Youth</w:t>
      </w:r>
      <w:r>
        <w:rPr>
          <w:spacing w:val="-1"/>
          <w:sz w:val="21"/>
        </w:rPr>
        <w:t xml:space="preserve"> </w:t>
      </w:r>
      <w:r>
        <w:rPr>
          <w:sz w:val="21"/>
        </w:rPr>
        <w:t>Count is a critical</w:t>
      </w:r>
      <w:r>
        <w:rPr>
          <w:spacing w:val="-1"/>
          <w:sz w:val="21"/>
        </w:rPr>
        <w:t xml:space="preserve"> </w:t>
      </w:r>
      <w:r>
        <w:rPr>
          <w:sz w:val="21"/>
        </w:rPr>
        <w:t>source of data on LGBTQ and other youth</w:t>
      </w:r>
      <w:r>
        <w:rPr>
          <w:spacing w:val="-1"/>
          <w:sz w:val="21"/>
        </w:rPr>
        <w:t xml:space="preserve"> </w:t>
      </w:r>
      <w:r>
        <w:rPr>
          <w:sz w:val="21"/>
        </w:rPr>
        <w:t>experiencing</w:t>
      </w:r>
      <w:r>
        <w:rPr>
          <w:spacing w:val="-2"/>
          <w:sz w:val="21"/>
        </w:rPr>
        <w:t xml:space="preserve"> </w:t>
      </w:r>
      <w:r>
        <w:rPr>
          <w:sz w:val="21"/>
        </w:rPr>
        <w:t>homelessness or</w:t>
      </w:r>
      <w:r>
        <w:rPr>
          <w:spacing w:val="-1"/>
          <w:sz w:val="21"/>
        </w:rPr>
        <w:t xml:space="preserve"> </w:t>
      </w:r>
      <w:r>
        <w:rPr>
          <w:sz w:val="21"/>
        </w:rPr>
        <w:t>who are at</w:t>
      </w:r>
      <w:r>
        <w:rPr>
          <w:spacing w:val="-11"/>
          <w:sz w:val="21"/>
        </w:rPr>
        <w:t xml:space="preserve"> </w:t>
      </w:r>
      <w:r>
        <w:rPr>
          <w:sz w:val="21"/>
        </w:rPr>
        <w:t>risk</w:t>
      </w:r>
      <w:r>
        <w:rPr>
          <w:spacing w:val="-8"/>
          <w:sz w:val="21"/>
        </w:rPr>
        <w:t xml:space="preserve"> </w:t>
      </w:r>
      <w:r>
        <w:rPr>
          <w:sz w:val="21"/>
        </w:rPr>
        <w:t>of</w:t>
      </w:r>
      <w:r>
        <w:rPr>
          <w:spacing w:val="-9"/>
          <w:sz w:val="21"/>
        </w:rPr>
        <w:t xml:space="preserve"> </w:t>
      </w:r>
      <w:r>
        <w:rPr>
          <w:sz w:val="21"/>
        </w:rPr>
        <w:t>becoming</w:t>
      </w:r>
      <w:r>
        <w:rPr>
          <w:spacing w:val="-10"/>
          <w:sz w:val="21"/>
        </w:rPr>
        <w:t xml:space="preserve"> </w:t>
      </w:r>
      <w:r>
        <w:rPr>
          <w:sz w:val="21"/>
        </w:rPr>
        <w:t>homeless.</w:t>
      </w:r>
      <w:r>
        <w:rPr>
          <w:spacing w:val="-9"/>
          <w:sz w:val="21"/>
        </w:rPr>
        <w:t xml:space="preserve"> </w:t>
      </w:r>
      <w:r>
        <w:rPr>
          <w:sz w:val="21"/>
        </w:rPr>
        <w:t>This</w:t>
      </w:r>
      <w:r>
        <w:rPr>
          <w:spacing w:val="-8"/>
          <w:sz w:val="21"/>
        </w:rPr>
        <w:t xml:space="preserve"> </w:t>
      </w:r>
      <w:r>
        <w:rPr>
          <w:sz w:val="21"/>
        </w:rPr>
        <w:t>valuable</w:t>
      </w:r>
      <w:r>
        <w:rPr>
          <w:spacing w:val="-8"/>
          <w:sz w:val="21"/>
        </w:rPr>
        <w:t xml:space="preserve"> </w:t>
      </w:r>
      <w:r>
        <w:rPr>
          <w:sz w:val="21"/>
        </w:rPr>
        <w:t>collaboration</w:t>
      </w:r>
      <w:r>
        <w:rPr>
          <w:spacing w:val="-9"/>
          <w:sz w:val="21"/>
        </w:rPr>
        <w:t xml:space="preserve"> </w:t>
      </w:r>
      <w:r>
        <w:rPr>
          <w:sz w:val="21"/>
        </w:rPr>
        <w:t>between</w:t>
      </w:r>
      <w:r>
        <w:rPr>
          <w:spacing w:val="-10"/>
          <w:sz w:val="21"/>
        </w:rPr>
        <w:t xml:space="preserve"> </w:t>
      </w:r>
      <w:r>
        <w:rPr>
          <w:sz w:val="21"/>
        </w:rPr>
        <w:t>state</w:t>
      </w:r>
      <w:r>
        <w:rPr>
          <w:spacing w:val="-8"/>
          <w:sz w:val="21"/>
        </w:rPr>
        <w:t xml:space="preserve"> </w:t>
      </w:r>
      <w:r>
        <w:rPr>
          <w:sz w:val="21"/>
        </w:rPr>
        <w:t>and</w:t>
      </w:r>
      <w:r>
        <w:rPr>
          <w:spacing w:val="-8"/>
          <w:sz w:val="21"/>
        </w:rPr>
        <w:t xml:space="preserve"> </w:t>
      </w:r>
      <w:r>
        <w:rPr>
          <w:sz w:val="21"/>
        </w:rPr>
        <w:t>nonprofit</w:t>
      </w:r>
      <w:r>
        <w:rPr>
          <w:spacing w:val="-10"/>
          <w:sz w:val="21"/>
        </w:rPr>
        <w:t xml:space="preserve"> </w:t>
      </w:r>
      <w:r>
        <w:rPr>
          <w:sz w:val="21"/>
        </w:rPr>
        <w:t>entities,</w:t>
      </w:r>
      <w:r>
        <w:rPr>
          <w:spacing w:val="-8"/>
          <w:sz w:val="21"/>
        </w:rPr>
        <w:t xml:space="preserve"> </w:t>
      </w:r>
      <w:r>
        <w:rPr>
          <w:sz w:val="21"/>
        </w:rPr>
        <w:t>and</w:t>
      </w:r>
      <w:r>
        <w:rPr>
          <w:spacing w:val="-10"/>
          <w:sz w:val="21"/>
        </w:rPr>
        <w:t xml:space="preserve"> </w:t>
      </w:r>
      <w:r>
        <w:rPr>
          <w:sz w:val="21"/>
        </w:rPr>
        <w:t>the</w:t>
      </w:r>
      <w:r>
        <w:rPr>
          <w:spacing w:val="-7"/>
          <w:sz w:val="21"/>
        </w:rPr>
        <w:t xml:space="preserve"> </w:t>
      </w:r>
      <w:r>
        <w:rPr>
          <w:sz w:val="21"/>
        </w:rPr>
        <w:t>data</w:t>
      </w:r>
      <w:r>
        <w:rPr>
          <w:spacing w:val="-10"/>
          <w:sz w:val="21"/>
        </w:rPr>
        <w:t xml:space="preserve"> </w:t>
      </w:r>
      <w:r>
        <w:rPr>
          <w:spacing w:val="-5"/>
          <w:sz w:val="21"/>
        </w:rPr>
        <w:t>it</w:t>
      </w:r>
    </w:p>
    <w:p w:rsidR="00200FDA" w:rsidRDefault="00200FDA">
      <w:pPr>
        <w:spacing w:line="276" w:lineRule="auto"/>
        <w:rPr>
          <w:sz w:val="21"/>
        </w:rPr>
        <w:sectPr w:rsidR="00200FDA">
          <w:pgSz w:w="12240" w:h="15840"/>
          <w:pgMar w:top="1360" w:right="1300" w:bottom="1240" w:left="1300" w:header="758" w:footer="1043" w:gutter="0"/>
          <w:cols w:space="720"/>
        </w:sectPr>
      </w:pPr>
    </w:p>
    <w:p w:rsidR="00200FDA" w:rsidRDefault="00F76C4C">
      <w:pPr>
        <w:spacing w:before="64" w:line="276" w:lineRule="auto"/>
        <w:ind w:left="139" w:right="135"/>
        <w:jc w:val="both"/>
        <w:rPr>
          <w:sz w:val="21"/>
        </w:rPr>
      </w:pPr>
      <w:r>
        <w:rPr>
          <w:sz w:val="21"/>
        </w:rPr>
        <w:lastRenderedPageBreak/>
        <w:t>generates, can be strengthened with additional funding and participation. The Commission recommends that the state-support</w:t>
      </w:r>
      <w:r>
        <w:rPr>
          <w:sz w:val="21"/>
        </w:rPr>
        <w:t>ed and locally-directed Youth Ambassador programs ensure that the voices of gender expansive and BIPOC youth are appropriately being captured. Further, it is critical that local administrators of the</w:t>
      </w:r>
      <w:r>
        <w:rPr>
          <w:spacing w:val="-9"/>
          <w:sz w:val="21"/>
        </w:rPr>
        <w:t xml:space="preserve"> </w:t>
      </w:r>
      <w:r>
        <w:rPr>
          <w:sz w:val="21"/>
        </w:rPr>
        <w:t>survey</w:t>
      </w:r>
      <w:r>
        <w:rPr>
          <w:spacing w:val="-9"/>
          <w:sz w:val="21"/>
        </w:rPr>
        <w:t xml:space="preserve"> </w:t>
      </w:r>
      <w:r>
        <w:rPr>
          <w:sz w:val="21"/>
        </w:rPr>
        <w:t>continue</w:t>
      </w:r>
      <w:r>
        <w:rPr>
          <w:spacing w:val="-11"/>
          <w:sz w:val="21"/>
        </w:rPr>
        <w:t xml:space="preserve"> </w:t>
      </w:r>
      <w:r>
        <w:rPr>
          <w:sz w:val="21"/>
        </w:rPr>
        <w:t>to</w:t>
      </w:r>
      <w:r>
        <w:rPr>
          <w:spacing w:val="-10"/>
          <w:sz w:val="21"/>
        </w:rPr>
        <w:t xml:space="preserve"> </w:t>
      </w:r>
      <w:r>
        <w:rPr>
          <w:sz w:val="21"/>
        </w:rPr>
        <w:t>seek</w:t>
      </w:r>
      <w:r>
        <w:rPr>
          <w:spacing w:val="-12"/>
          <w:sz w:val="21"/>
        </w:rPr>
        <w:t xml:space="preserve"> </w:t>
      </w:r>
      <w:r>
        <w:rPr>
          <w:sz w:val="21"/>
        </w:rPr>
        <w:t>counsel</w:t>
      </w:r>
      <w:r>
        <w:rPr>
          <w:spacing w:val="-10"/>
          <w:sz w:val="21"/>
        </w:rPr>
        <w:t xml:space="preserve"> </w:t>
      </w:r>
      <w:r>
        <w:rPr>
          <w:sz w:val="21"/>
        </w:rPr>
        <w:t>for</w:t>
      </w:r>
      <w:r>
        <w:rPr>
          <w:spacing w:val="-8"/>
          <w:sz w:val="21"/>
        </w:rPr>
        <w:t xml:space="preserve"> </w:t>
      </w:r>
      <w:r>
        <w:rPr>
          <w:sz w:val="21"/>
        </w:rPr>
        <w:t>and</w:t>
      </w:r>
      <w:r>
        <w:rPr>
          <w:spacing w:val="-12"/>
          <w:sz w:val="21"/>
        </w:rPr>
        <w:t xml:space="preserve"> </w:t>
      </w:r>
      <w:r>
        <w:rPr>
          <w:sz w:val="21"/>
        </w:rPr>
        <w:t>update</w:t>
      </w:r>
      <w:r>
        <w:rPr>
          <w:spacing w:val="-9"/>
          <w:sz w:val="21"/>
        </w:rPr>
        <w:t xml:space="preserve"> </w:t>
      </w:r>
      <w:r>
        <w:rPr>
          <w:sz w:val="21"/>
        </w:rPr>
        <w:t>guidance</w:t>
      </w:r>
      <w:r>
        <w:rPr>
          <w:spacing w:val="-8"/>
          <w:sz w:val="21"/>
        </w:rPr>
        <w:t xml:space="preserve"> </w:t>
      </w:r>
      <w:r>
        <w:rPr>
          <w:sz w:val="21"/>
        </w:rPr>
        <w:t>on</w:t>
      </w:r>
      <w:r>
        <w:rPr>
          <w:spacing w:val="-10"/>
          <w:sz w:val="21"/>
        </w:rPr>
        <w:t xml:space="preserve"> </w:t>
      </w:r>
      <w:r>
        <w:rPr>
          <w:sz w:val="21"/>
        </w:rPr>
        <w:t>conducting</w:t>
      </w:r>
      <w:r>
        <w:rPr>
          <w:spacing w:val="-10"/>
          <w:sz w:val="21"/>
        </w:rPr>
        <w:t xml:space="preserve"> </w:t>
      </w:r>
      <w:r>
        <w:rPr>
          <w:sz w:val="21"/>
        </w:rPr>
        <w:t>outreach</w:t>
      </w:r>
      <w:r>
        <w:rPr>
          <w:spacing w:val="-12"/>
          <w:sz w:val="21"/>
        </w:rPr>
        <w:t xml:space="preserve"> </w:t>
      </w:r>
      <w:r>
        <w:rPr>
          <w:sz w:val="21"/>
        </w:rPr>
        <w:t>that</w:t>
      </w:r>
      <w:r>
        <w:rPr>
          <w:spacing w:val="-10"/>
          <w:sz w:val="21"/>
        </w:rPr>
        <w:t xml:space="preserve"> </w:t>
      </w:r>
      <w:r>
        <w:rPr>
          <w:sz w:val="21"/>
        </w:rPr>
        <w:t>is</w:t>
      </w:r>
      <w:r>
        <w:rPr>
          <w:spacing w:val="-10"/>
          <w:sz w:val="21"/>
        </w:rPr>
        <w:t xml:space="preserve"> </w:t>
      </w:r>
      <w:r>
        <w:rPr>
          <w:sz w:val="21"/>
        </w:rPr>
        <w:t>inclusive</w:t>
      </w:r>
      <w:r>
        <w:rPr>
          <w:spacing w:val="-9"/>
          <w:sz w:val="21"/>
        </w:rPr>
        <w:t xml:space="preserve"> </w:t>
      </w:r>
      <w:r>
        <w:rPr>
          <w:sz w:val="21"/>
        </w:rPr>
        <w:t>of</w:t>
      </w:r>
      <w:r>
        <w:rPr>
          <w:spacing w:val="-9"/>
          <w:sz w:val="21"/>
        </w:rPr>
        <w:t xml:space="preserve"> </w:t>
      </w:r>
      <w:r>
        <w:rPr>
          <w:sz w:val="21"/>
        </w:rPr>
        <w:t>LGBTQ youth and QTBIPOC</w:t>
      </w:r>
      <w:r>
        <w:rPr>
          <w:spacing w:val="-2"/>
          <w:sz w:val="21"/>
        </w:rPr>
        <w:t xml:space="preserve"> </w:t>
      </w:r>
      <w:r>
        <w:rPr>
          <w:sz w:val="21"/>
        </w:rPr>
        <w:t>youth. It</w:t>
      </w:r>
      <w:r>
        <w:rPr>
          <w:spacing w:val="-1"/>
          <w:sz w:val="21"/>
        </w:rPr>
        <w:t xml:space="preserve"> </w:t>
      </w:r>
      <w:r>
        <w:rPr>
          <w:sz w:val="21"/>
        </w:rPr>
        <w:t>is</w:t>
      </w:r>
      <w:r>
        <w:rPr>
          <w:spacing w:val="-1"/>
          <w:sz w:val="21"/>
        </w:rPr>
        <w:t xml:space="preserve"> </w:t>
      </w:r>
      <w:r>
        <w:rPr>
          <w:sz w:val="21"/>
        </w:rPr>
        <w:t>important</w:t>
      </w:r>
      <w:r>
        <w:rPr>
          <w:spacing w:val="-1"/>
          <w:sz w:val="21"/>
        </w:rPr>
        <w:t xml:space="preserve"> </w:t>
      </w:r>
      <w:r>
        <w:rPr>
          <w:sz w:val="21"/>
        </w:rPr>
        <w:t>for</w:t>
      </w:r>
      <w:r>
        <w:rPr>
          <w:spacing w:val="-1"/>
          <w:sz w:val="21"/>
        </w:rPr>
        <w:t xml:space="preserve"> </w:t>
      </w:r>
      <w:r>
        <w:rPr>
          <w:sz w:val="21"/>
        </w:rPr>
        <w:t>outreach</w:t>
      </w:r>
      <w:r>
        <w:rPr>
          <w:spacing w:val="-2"/>
          <w:sz w:val="21"/>
        </w:rPr>
        <w:t xml:space="preserve"> </w:t>
      </w:r>
      <w:r>
        <w:rPr>
          <w:sz w:val="21"/>
        </w:rPr>
        <w:t>to be done</w:t>
      </w:r>
      <w:r>
        <w:rPr>
          <w:spacing w:val="-1"/>
          <w:sz w:val="21"/>
        </w:rPr>
        <w:t xml:space="preserve"> </w:t>
      </w:r>
      <w:r>
        <w:rPr>
          <w:sz w:val="21"/>
        </w:rPr>
        <w:t>with respect</w:t>
      </w:r>
      <w:r>
        <w:rPr>
          <w:spacing w:val="-1"/>
          <w:sz w:val="21"/>
        </w:rPr>
        <w:t xml:space="preserve"> </w:t>
      </w:r>
      <w:r>
        <w:rPr>
          <w:sz w:val="21"/>
        </w:rPr>
        <w:t>to cultural sensitivity and</w:t>
      </w:r>
      <w:r>
        <w:rPr>
          <w:spacing w:val="-2"/>
          <w:sz w:val="21"/>
        </w:rPr>
        <w:t xml:space="preserve"> </w:t>
      </w:r>
      <w:r>
        <w:rPr>
          <w:sz w:val="21"/>
        </w:rPr>
        <w:t>that proper training of administrators continues to be provided prior to connecting with youth in the community. Local program administrators may benefit from implicit bias workshops and training opportunities that emphasize best-practice strategies when c</w:t>
      </w:r>
      <w:r>
        <w:rPr>
          <w:sz w:val="21"/>
        </w:rPr>
        <w:t>onducting inclusive community-based participatory research, and the Commission would be interested in providing connections and resources to such training.</w:t>
      </w:r>
    </w:p>
    <w:p w:rsidR="00200FDA" w:rsidRDefault="00200FDA">
      <w:pPr>
        <w:pStyle w:val="BodyText"/>
        <w:spacing w:before="7"/>
        <w:rPr>
          <w:sz w:val="19"/>
        </w:rPr>
      </w:pPr>
    </w:p>
    <w:p w:rsidR="00200FDA" w:rsidRDefault="00F76C4C">
      <w:pPr>
        <w:pStyle w:val="ListParagraph"/>
        <w:numPr>
          <w:ilvl w:val="0"/>
          <w:numId w:val="29"/>
        </w:numPr>
        <w:tabs>
          <w:tab w:val="left" w:pos="352"/>
        </w:tabs>
        <w:ind w:left="351" w:hanging="212"/>
        <w:rPr>
          <w:b/>
          <w:sz w:val="21"/>
        </w:rPr>
      </w:pPr>
      <w:r>
        <w:rPr>
          <w:b/>
          <w:sz w:val="21"/>
        </w:rPr>
        <w:t>Create</w:t>
      </w:r>
      <w:r>
        <w:rPr>
          <w:b/>
          <w:spacing w:val="-10"/>
          <w:sz w:val="21"/>
        </w:rPr>
        <w:t xml:space="preserve"> </w:t>
      </w:r>
      <w:r>
        <w:rPr>
          <w:b/>
          <w:sz w:val="21"/>
        </w:rPr>
        <w:t>and</w:t>
      </w:r>
      <w:r>
        <w:rPr>
          <w:b/>
          <w:spacing w:val="-6"/>
          <w:sz w:val="21"/>
        </w:rPr>
        <w:t xml:space="preserve"> </w:t>
      </w:r>
      <w:r>
        <w:rPr>
          <w:b/>
          <w:sz w:val="21"/>
        </w:rPr>
        <w:t>fund</w:t>
      </w:r>
      <w:r>
        <w:rPr>
          <w:b/>
          <w:spacing w:val="-8"/>
          <w:sz w:val="21"/>
        </w:rPr>
        <w:t xml:space="preserve"> </w:t>
      </w:r>
      <w:r>
        <w:rPr>
          <w:b/>
          <w:sz w:val="21"/>
        </w:rPr>
        <w:t>more</w:t>
      </w:r>
      <w:r>
        <w:rPr>
          <w:b/>
          <w:spacing w:val="-6"/>
          <w:sz w:val="21"/>
        </w:rPr>
        <w:t xml:space="preserve"> </w:t>
      </w:r>
      <w:r>
        <w:rPr>
          <w:b/>
          <w:sz w:val="21"/>
        </w:rPr>
        <w:t>accessible,</w:t>
      </w:r>
      <w:r>
        <w:rPr>
          <w:b/>
          <w:spacing w:val="-4"/>
          <w:sz w:val="21"/>
        </w:rPr>
        <w:t xml:space="preserve"> </w:t>
      </w:r>
      <w:r>
        <w:rPr>
          <w:b/>
          <w:sz w:val="21"/>
        </w:rPr>
        <w:t>inclusive</w:t>
      </w:r>
      <w:r>
        <w:rPr>
          <w:b/>
          <w:spacing w:val="-8"/>
          <w:sz w:val="21"/>
        </w:rPr>
        <w:t xml:space="preserve"> </w:t>
      </w:r>
      <w:r>
        <w:rPr>
          <w:b/>
          <w:sz w:val="21"/>
        </w:rPr>
        <w:t>youth</w:t>
      </w:r>
      <w:r>
        <w:rPr>
          <w:b/>
          <w:spacing w:val="-6"/>
          <w:sz w:val="21"/>
        </w:rPr>
        <w:t xml:space="preserve"> </w:t>
      </w:r>
      <w:r>
        <w:rPr>
          <w:b/>
          <w:sz w:val="21"/>
        </w:rPr>
        <w:t>drop-in</w:t>
      </w:r>
      <w:r>
        <w:rPr>
          <w:b/>
          <w:spacing w:val="-5"/>
          <w:sz w:val="21"/>
        </w:rPr>
        <w:t xml:space="preserve"> </w:t>
      </w:r>
      <w:r>
        <w:rPr>
          <w:b/>
          <w:sz w:val="21"/>
        </w:rPr>
        <w:t>centers</w:t>
      </w:r>
      <w:r>
        <w:rPr>
          <w:b/>
          <w:spacing w:val="-5"/>
          <w:sz w:val="21"/>
        </w:rPr>
        <w:t xml:space="preserve"> </w:t>
      </w:r>
      <w:r>
        <w:rPr>
          <w:b/>
          <w:sz w:val="21"/>
        </w:rPr>
        <w:t>and</w:t>
      </w:r>
      <w:r>
        <w:rPr>
          <w:b/>
          <w:spacing w:val="-5"/>
          <w:sz w:val="21"/>
        </w:rPr>
        <w:t xml:space="preserve"> </w:t>
      </w:r>
      <w:r>
        <w:rPr>
          <w:b/>
          <w:sz w:val="21"/>
        </w:rPr>
        <w:t>shelter</w:t>
      </w:r>
      <w:r>
        <w:rPr>
          <w:b/>
          <w:spacing w:val="-6"/>
          <w:sz w:val="21"/>
        </w:rPr>
        <w:t xml:space="preserve"> </w:t>
      </w:r>
      <w:r>
        <w:rPr>
          <w:b/>
          <w:spacing w:val="-2"/>
          <w:sz w:val="21"/>
        </w:rPr>
        <w:t>spaces.</w:t>
      </w:r>
    </w:p>
    <w:p w:rsidR="00200FDA" w:rsidRDefault="00200FDA">
      <w:pPr>
        <w:pStyle w:val="BodyText"/>
        <w:spacing w:before="10"/>
        <w:rPr>
          <w:b/>
        </w:rPr>
      </w:pPr>
    </w:p>
    <w:p w:rsidR="00200FDA" w:rsidRDefault="00F76C4C">
      <w:pPr>
        <w:spacing w:line="276" w:lineRule="auto"/>
        <w:ind w:left="140" w:right="134"/>
        <w:jc w:val="both"/>
        <w:rPr>
          <w:sz w:val="21"/>
        </w:rPr>
      </w:pPr>
      <w:r>
        <w:rPr>
          <w:sz w:val="21"/>
        </w:rPr>
        <w:t>The</w:t>
      </w:r>
      <w:r>
        <w:rPr>
          <w:spacing w:val="-5"/>
          <w:sz w:val="21"/>
        </w:rPr>
        <w:t xml:space="preserve"> </w:t>
      </w:r>
      <w:r>
        <w:rPr>
          <w:sz w:val="21"/>
        </w:rPr>
        <w:t>Commission</w:t>
      </w:r>
      <w:r>
        <w:rPr>
          <w:spacing w:val="-6"/>
          <w:sz w:val="21"/>
        </w:rPr>
        <w:t xml:space="preserve"> </w:t>
      </w:r>
      <w:r>
        <w:rPr>
          <w:sz w:val="21"/>
        </w:rPr>
        <w:t>recommends</w:t>
      </w:r>
      <w:r>
        <w:rPr>
          <w:spacing w:val="-6"/>
          <w:sz w:val="21"/>
        </w:rPr>
        <w:t xml:space="preserve"> </w:t>
      </w:r>
      <w:r>
        <w:rPr>
          <w:sz w:val="21"/>
        </w:rPr>
        <w:t>that</w:t>
      </w:r>
      <w:r>
        <w:rPr>
          <w:spacing w:val="-6"/>
          <w:sz w:val="21"/>
        </w:rPr>
        <w:t xml:space="preserve"> </w:t>
      </w:r>
      <w:r>
        <w:rPr>
          <w:sz w:val="21"/>
        </w:rPr>
        <w:t>the</w:t>
      </w:r>
      <w:r>
        <w:rPr>
          <w:spacing w:val="-5"/>
          <w:sz w:val="21"/>
        </w:rPr>
        <w:t xml:space="preserve"> </w:t>
      </w:r>
      <w:r>
        <w:rPr>
          <w:sz w:val="21"/>
        </w:rPr>
        <w:t>Commonwealth</w:t>
      </w:r>
      <w:r>
        <w:rPr>
          <w:spacing w:val="-6"/>
          <w:sz w:val="21"/>
        </w:rPr>
        <w:t xml:space="preserve"> </w:t>
      </w:r>
      <w:r>
        <w:rPr>
          <w:sz w:val="21"/>
        </w:rPr>
        <w:t>invest</w:t>
      </w:r>
      <w:r>
        <w:rPr>
          <w:spacing w:val="-6"/>
          <w:sz w:val="21"/>
        </w:rPr>
        <w:t xml:space="preserve"> </w:t>
      </w:r>
      <w:r>
        <w:rPr>
          <w:sz w:val="21"/>
        </w:rPr>
        <w:t>in</w:t>
      </w:r>
      <w:r>
        <w:rPr>
          <w:spacing w:val="-6"/>
          <w:sz w:val="21"/>
        </w:rPr>
        <w:t xml:space="preserve"> </w:t>
      </w:r>
      <w:r>
        <w:rPr>
          <w:sz w:val="21"/>
        </w:rPr>
        <w:t>accessible,</w:t>
      </w:r>
      <w:r>
        <w:rPr>
          <w:spacing w:val="-7"/>
          <w:sz w:val="21"/>
        </w:rPr>
        <w:t xml:space="preserve"> </w:t>
      </w:r>
      <w:r>
        <w:rPr>
          <w:sz w:val="21"/>
        </w:rPr>
        <w:t>LGBTQ</w:t>
      </w:r>
      <w:r>
        <w:rPr>
          <w:spacing w:val="-6"/>
          <w:sz w:val="21"/>
        </w:rPr>
        <w:t xml:space="preserve"> </w:t>
      </w:r>
      <w:r>
        <w:rPr>
          <w:sz w:val="21"/>
        </w:rPr>
        <w:t>and</w:t>
      </w:r>
      <w:r>
        <w:rPr>
          <w:spacing w:val="-6"/>
          <w:sz w:val="21"/>
        </w:rPr>
        <w:t xml:space="preserve"> </w:t>
      </w:r>
      <w:r>
        <w:rPr>
          <w:sz w:val="21"/>
        </w:rPr>
        <w:t>BIPOC-affirming</w:t>
      </w:r>
      <w:r>
        <w:rPr>
          <w:spacing w:val="-8"/>
          <w:sz w:val="21"/>
        </w:rPr>
        <w:t xml:space="preserve"> </w:t>
      </w:r>
      <w:r>
        <w:rPr>
          <w:sz w:val="21"/>
        </w:rPr>
        <w:t>youth drop-in</w:t>
      </w:r>
      <w:r>
        <w:rPr>
          <w:spacing w:val="-12"/>
          <w:sz w:val="21"/>
        </w:rPr>
        <w:t xml:space="preserve"> </w:t>
      </w:r>
      <w:r>
        <w:rPr>
          <w:sz w:val="21"/>
        </w:rPr>
        <w:t>centers</w:t>
      </w:r>
      <w:r>
        <w:rPr>
          <w:spacing w:val="-12"/>
          <w:sz w:val="21"/>
        </w:rPr>
        <w:t xml:space="preserve"> </w:t>
      </w:r>
      <w:r>
        <w:rPr>
          <w:sz w:val="21"/>
        </w:rPr>
        <w:t>across</w:t>
      </w:r>
      <w:r>
        <w:rPr>
          <w:spacing w:val="-12"/>
          <w:sz w:val="21"/>
        </w:rPr>
        <w:t xml:space="preserve"> </w:t>
      </w:r>
      <w:r>
        <w:rPr>
          <w:sz w:val="21"/>
        </w:rPr>
        <w:t>the</w:t>
      </w:r>
      <w:r>
        <w:rPr>
          <w:spacing w:val="-12"/>
          <w:sz w:val="21"/>
        </w:rPr>
        <w:t xml:space="preserve"> </w:t>
      </w:r>
      <w:r>
        <w:rPr>
          <w:sz w:val="21"/>
        </w:rPr>
        <w:t>state,</w:t>
      </w:r>
      <w:r>
        <w:rPr>
          <w:spacing w:val="-12"/>
          <w:sz w:val="21"/>
        </w:rPr>
        <w:t xml:space="preserve"> </w:t>
      </w:r>
      <w:r>
        <w:rPr>
          <w:sz w:val="21"/>
        </w:rPr>
        <w:t>with</w:t>
      </w:r>
      <w:r>
        <w:rPr>
          <w:spacing w:val="-12"/>
          <w:sz w:val="21"/>
        </w:rPr>
        <w:t xml:space="preserve"> </w:t>
      </w:r>
      <w:r>
        <w:rPr>
          <w:sz w:val="21"/>
        </w:rPr>
        <w:t>particular</w:t>
      </w:r>
      <w:r>
        <w:rPr>
          <w:spacing w:val="-12"/>
          <w:sz w:val="21"/>
        </w:rPr>
        <w:t xml:space="preserve"> </w:t>
      </w:r>
      <w:r>
        <w:rPr>
          <w:sz w:val="21"/>
        </w:rPr>
        <w:t>attention</w:t>
      </w:r>
      <w:r>
        <w:rPr>
          <w:spacing w:val="-11"/>
          <w:sz w:val="21"/>
        </w:rPr>
        <w:t xml:space="preserve"> </w:t>
      </w:r>
      <w:r>
        <w:rPr>
          <w:sz w:val="21"/>
        </w:rPr>
        <w:t>to</w:t>
      </w:r>
      <w:r>
        <w:rPr>
          <w:spacing w:val="-12"/>
          <w:sz w:val="21"/>
        </w:rPr>
        <w:t xml:space="preserve"> </w:t>
      </w:r>
      <w:r>
        <w:rPr>
          <w:sz w:val="21"/>
        </w:rPr>
        <w:t>youth</w:t>
      </w:r>
      <w:r>
        <w:rPr>
          <w:spacing w:val="-12"/>
          <w:sz w:val="21"/>
        </w:rPr>
        <w:t xml:space="preserve"> </w:t>
      </w:r>
      <w:r>
        <w:rPr>
          <w:sz w:val="21"/>
        </w:rPr>
        <w:t>who</w:t>
      </w:r>
      <w:r>
        <w:rPr>
          <w:spacing w:val="-12"/>
          <w:sz w:val="21"/>
        </w:rPr>
        <w:t xml:space="preserve"> </w:t>
      </w:r>
      <w:r>
        <w:rPr>
          <w:sz w:val="21"/>
        </w:rPr>
        <w:t>may</w:t>
      </w:r>
      <w:r>
        <w:rPr>
          <w:spacing w:val="-12"/>
          <w:sz w:val="21"/>
        </w:rPr>
        <w:t xml:space="preserve"> </w:t>
      </w:r>
      <w:r>
        <w:rPr>
          <w:sz w:val="21"/>
        </w:rPr>
        <w:t>need</w:t>
      </w:r>
      <w:r>
        <w:rPr>
          <w:spacing w:val="-12"/>
          <w:sz w:val="21"/>
        </w:rPr>
        <w:t xml:space="preserve"> </w:t>
      </w:r>
      <w:r>
        <w:rPr>
          <w:sz w:val="21"/>
        </w:rPr>
        <w:t>more</w:t>
      </w:r>
      <w:r>
        <w:rPr>
          <w:spacing w:val="-12"/>
          <w:sz w:val="21"/>
        </w:rPr>
        <w:t xml:space="preserve"> </w:t>
      </w:r>
      <w:r>
        <w:rPr>
          <w:sz w:val="21"/>
        </w:rPr>
        <w:t>support</w:t>
      </w:r>
      <w:r>
        <w:rPr>
          <w:spacing w:val="-12"/>
          <w:sz w:val="21"/>
        </w:rPr>
        <w:t xml:space="preserve"> </w:t>
      </w:r>
      <w:r>
        <w:rPr>
          <w:sz w:val="21"/>
        </w:rPr>
        <w:t>in</w:t>
      </w:r>
      <w:r>
        <w:rPr>
          <w:spacing w:val="-11"/>
          <w:sz w:val="21"/>
        </w:rPr>
        <w:t xml:space="preserve"> </w:t>
      </w:r>
      <w:r>
        <w:rPr>
          <w:sz w:val="21"/>
        </w:rPr>
        <w:t>underserved rural areas. As discussed below, drop-in spaces are more likely to have opportunities to connect youth experiencing homelessness with needed services and support. By creating spaces with clear LGBTQ-affirming materials and policies, the Commonw</w:t>
      </w:r>
      <w:r>
        <w:rPr>
          <w:sz w:val="21"/>
        </w:rPr>
        <w:t xml:space="preserve">ealth can better address youth homelessness and factors leading to </w:t>
      </w:r>
      <w:r>
        <w:rPr>
          <w:spacing w:val="-2"/>
          <w:sz w:val="21"/>
        </w:rPr>
        <w:t>homelessness.</w:t>
      </w:r>
    </w:p>
    <w:p w:rsidR="00200FDA" w:rsidRDefault="00200FDA">
      <w:pPr>
        <w:pStyle w:val="BodyText"/>
        <w:spacing w:before="8"/>
        <w:rPr>
          <w:sz w:val="19"/>
        </w:rPr>
      </w:pPr>
    </w:p>
    <w:p w:rsidR="00200FDA" w:rsidRDefault="00F76C4C">
      <w:pPr>
        <w:spacing w:line="276" w:lineRule="auto"/>
        <w:ind w:left="140" w:right="134"/>
        <w:jc w:val="both"/>
        <w:rPr>
          <w:sz w:val="21"/>
        </w:rPr>
      </w:pPr>
      <w:r>
        <w:rPr>
          <w:sz w:val="21"/>
        </w:rPr>
        <w:t>Furthermore,</w:t>
      </w:r>
      <w:r>
        <w:rPr>
          <w:spacing w:val="-12"/>
          <w:sz w:val="21"/>
        </w:rPr>
        <w:t xml:space="preserve"> </w:t>
      </w:r>
      <w:r>
        <w:rPr>
          <w:sz w:val="21"/>
        </w:rPr>
        <w:t>the</w:t>
      </w:r>
      <w:r>
        <w:rPr>
          <w:spacing w:val="-12"/>
          <w:sz w:val="21"/>
        </w:rPr>
        <w:t xml:space="preserve"> </w:t>
      </w:r>
      <w:r>
        <w:rPr>
          <w:sz w:val="21"/>
        </w:rPr>
        <w:t>Commission</w:t>
      </w:r>
      <w:r>
        <w:rPr>
          <w:spacing w:val="-12"/>
          <w:sz w:val="21"/>
        </w:rPr>
        <w:t xml:space="preserve"> </w:t>
      </w:r>
      <w:r>
        <w:rPr>
          <w:sz w:val="21"/>
        </w:rPr>
        <w:t>strongly</w:t>
      </w:r>
      <w:r>
        <w:rPr>
          <w:spacing w:val="-12"/>
          <w:sz w:val="21"/>
        </w:rPr>
        <w:t xml:space="preserve"> </w:t>
      </w:r>
      <w:r>
        <w:rPr>
          <w:sz w:val="21"/>
        </w:rPr>
        <w:t>recommends</w:t>
      </w:r>
      <w:r>
        <w:rPr>
          <w:spacing w:val="-12"/>
          <w:sz w:val="21"/>
        </w:rPr>
        <w:t xml:space="preserve"> </w:t>
      </w:r>
      <w:r>
        <w:rPr>
          <w:sz w:val="21"/>
        </w:rPr>
        <w:t>that</w:t>
      </w:r>
      <w:r>
        <w:rPr>
          <w:spacing w:val="-12"/>
          <w:sz w:val="21"/>
        </w:rPr>
        <w:t xml:space="preserve"> </w:t>
      </w:r>
      <w:r>
        <w:rPr>
          <w:sz w:val="21"/>
        </w:rPr>
        <w:t>the</w:t>
      </w:r>
      <w:r>
        <w:rPr>
          <w:spacing w:val="-12"/>
          <w:sz w:val="21"/>
        </w:rPr>
        <w:t xml:space="preserve"> </w:t>
      </w:r>
      <w:r>
        <w:rPr>
          <w:sz w:val="21"/>
        </w:rPr>
        <w:t>Commonwealth</w:t>
      </w:r>
      <w:r>
        <w:rPr>
          <w:spacing w:val="-11"/>
          <w:sz w:val="21"/>
        </w:rPr>
        <w:t xml:space="preserve"> </w:t>
      </w:r>
      <w:r>
        <w:rPr>
          <w:sz w:val="21"/>
        </w:rPr>
        <w:t>examine</w:t>
      </w:r>
      <w:r>
        <w:rPr>
          <w:spacing w:val="-12"/>
          <w:sz w:val="21"/>
        </w:rPr>
        <w:t xml:space="preserve"> </w:t>
      </w:r>
      <w:r>
        <w:rPr>
          <w:sz w:val="21"/>
        </w:rPr>
        <w:t>ways</w:t>
      </w:r>
      <w:r>
        <w:rPr>
          <w:spacing w:val="-12"/>
          <w:sz w:val="21"/>
        </w:rPr>
        <w:t xml:space="preserve"> </w:t>
      </w:r>
      <w:r>
        <w:rPr>
          <w:sz w:val="21"/>
        </w:rPr>
        <w:t>to</w:t>
      </w:r>
      <w:r>
        <w:rPr>
          <w:spacing w:val="-12"/>
          <w:sz w:val="21"/>
        </w:rPr>
        <w:t xml:space="preserve"> </w:t>
      </w:r>
      <w:r>
        <w:rPr>
          <w:sz w:val="21"/>
        </w:rPr>
        <w:t>increase</w:t>
      </w:r>
      <w:r>
        <w:rPr>
          <w:spacing w:val="-12"/>
          <w:sz w:val="21"/>
        </w:rPr>
        <w:t xml:space="preserve"> </w:t>
      </w:r>
      <w:r>
        <w:rPr>
          <w:sz w:val="21"/>
        </w:rPr>
        <w:t>shelter spaces</w:t>
      </w:r>
      <w:r>
        <w:rPr>
          <w:spacing w:val="-8"/>
          <w:sz w:val="21"/>
        </w:rPr>
        <w:t xml:space="preserve"> </w:t>
      </w:r>
      <w:r>
        <w:rPr>
          <w:sz w:val="21"/>
        </w:rPr>
        <w:t>for</w:t>
      </w:r>
      <w:r>
        <w:rPr>
          <w:spacing w:val="-8"/>
          <w:sz w:val="21"/>
        </w:rPr>
        <w:t xml:space="preserve"> </w:t>
      </w:r>
      <w:r>
        <w:rPr>
          <w:sz w:val="21"/>
        </w:rPr>
        <w:t>LGBTQ</w:t>
      </w:r>
      <w:r>
        <w:rPr>
          <w:spacing w:val="-10"/>
          <w:sz w:val="21"/>
        </w:rPr>
        <w:t xml:space="preserve"> </w:t>
      </w:r>
      <w:r>
        <w:rPr>
          <w:sz w:val="21"/>
        </w:rPr>
        <w:t>youth</w:t>
      </w:r>
      <w:r>
        <w:rPr>
          <w:spacing w:val="-10"/>
          <w:sz w:val="21"/>
        </w:rPr>
        <w:t xml:space="preserve"> </w:t>
      </w:r>
      <w:r>
        <w:rPr>
          <w:sz w:val="21"/>
        </w:rPr>
        <w:t>who</w:t>
      </w:r>
      <w:r>
        <w:rPr>
          <w:spacing w:val="-10"/>
          <w:sz w:val="21"/>
        </w:rPr>
        <w:t xml:space="preserve"> </w:t>
      </w:r>
      <w:r>
        <w:rPr>
          <w:sz w:val="21"/>
        </w:rPr>
        <w:t>leave</w:t>
      </w:r>
      <w:r>
        <w:rPr>
          <w:spacing w:val="-6"/>
          <w:sz w:val="21"/>
        </w:rPr>
        <w:t xml:space="preserve"> </w:t>
      </w:r>
      <w:r>
        <w:rPr>
          <w:sz w:val="21"/>
        </w:rPr>
        <w:t>home</w:t>
      </w:r>
      <w:r>
        <w:rPr>
          <w:spacing w:val="-6"/>
          <w:sz w:val="21"/>
        </w:rPr>
        <w:t xml:space="preserve"> </w:t>
      </w:r>
      <w:r>
        <w:rPr>
          <w:sz w:val="21"/>
        </w:rPr>
        <w:t>when</w:t>
      </w:r>
      <w:r>
        <w:rPr>
          <w:spacing w:val="-7"/>
          <w:sz w:val="21"/>
        </w:rPr>
        <w:t xml:space="preserve"> </w:t>
      </w:r>
      <w:r>
        <w:rPr>
          <w:sz w:val="21"/>
        </w:rPr>
        <w:t>they</w:t>
      </w:r>
      <w:r>
        <w:rPr>
          <w:spacing w:val="-6"/>
          <w:sz w:val="21"/>
        </w:rPr>
        <w:t xml:space="preserve"> </w:t>
      </w:r>
      <w:r>
        <w:rPr>
          <w:sz w:val="21"/>
        </w:rPr>
        <w:t>are</w:t>
      </w:r>
      <w:r>
        <w:rPr>
          <w:spacing w:val="-11"/>
          <w:sz w:val="21"/>
        </w:rPr>
        <w:t xml:space="preserve"> </w:t>
      </w:r>
      <w:r>
        <w:rPr>
          <w:sz w:val="21"/>
        </w:rPr>
        <w:t>minors,</w:t>
      </w:r>
      <w:r>
        <w:rPr>
          <w:spacing w:val="-7"/>
          <w:sz w:val="21"/>
        </w:rPr>
        <w:t xml:space="preserve"> </w:t>
      </w:r>
      <w:r>
        <w:rPr>
          <w:sz w:val="21"/>
        </w:rPr>
        <w:t>and</w:t>
      </w:r>
      <w:r>
        <w:rPr>
          <w:spacing w:val="-7"/>
          <w:sz w:val="21"/>
        </w:rPr>
        <w:t xml:space="preserve"> </w:t>
      </w:r>
      <w:r>
        <w:rPr>
          <w:sz w:val="21"/>
        </w:rPr>
        <w:t>address</w:t>
      </w:r>
      <w:r>
        <w:rPr>
          <w:spacing w:val="-8"/>
          <w:sz w:val="21"/>
        </w:rPr>
        <w:t xml:space="preserve"> </w:t>
      </w:r>
      <w:r>
        <w:rPr>
          <w:sz w:val="21"/>
        </w:rPr>
        <w:t>concerns</w:t>
      </w:r>
      <w:r>
        <w:rPr>
          <w:spacing w:val="-8"/>
          <w:sz w:val="21"/>
        </w:rPr>
        <w:t xml:space="preserve"> </w:t>
      </w:r>
      <w:r>
        <w:rPr>
          <w:sz w:val="21"/>
        </w:rPr>
        <w:t>that</w:t>
      </w:r>
      <w:r>
        <w:rPr>
          <w:spacing w:val="-8"/>
          <w:sz w:val="21"/>
        </w:rPr>
        <w:t xml:space="preserve"> </w:t>
      </w:r>
      <w:r>
        <w:rPr>
          <w:sz w:val="21"/>
        </w:rPr>
        <w:t>many</w:t>
      </w:r>
      <w:r>
        <w:rPr>
          <w:spacing w:val="-6"/>
          <w:sz w:val="21"/>
        </w:rPr>
        <w:t xml:space="preserve"> </w:t>
      </w:r>
      <w:r>
        <w:rPr>
          <w:sz w:val="21"/>
        </w:rPr>
        <w:t>LGBTQ</w:t>
      </w:r>
      <w:r>
        <w:rPr>
          <w:spacing w:val="-10"/>
          <w:sz w:val="21"/>
        </w:rPr>
        <w:t xml:space="preserve"> </w:t>
      </w:r>
      <w:r>
        <w:rPr>
          <w:sz w:val="21"/>
        </w:rPr>
        <w:t>youth express about entering or returning to the child welfare system.</w:t>
      </w:r>
    </w:p>
    <w:p w:rsidR="00200FDA" w:rsidRDefault="00200FDA">
      <w:pPr>
        <w:pStyle w:val="BodyText"/>
        <w:spacing w:before="10"/>
        <w:rPr>
          <w:sz w:val="19"/>
        </w:rPr>
      </w:pPr>
    </w:p>
    <w:p w:rsidR="00200FDA" w:rsidRDefault="00F76C4C">
      <w:pPr>
        <w:pStyle w:val="ListParagraph"/>
        <w:numPr>
          <w:ilvl w:val="0"/>
          <w:numId w:val="29"/>
        </w:numPr>
        <w:tabs>
          <w:tab w:val="left" w:pos="354"/>
        </w:tabs>
        <w:rPr>
          <w:b/>
          <w:sz w:val="21"/>
        </w:rPr>
      </w:pPr>
      <w:r>
        <w:rPr>
          <w:b/>
          <w:sz w:val="21"/>
        </w:rPr>
        <w:t>Investigate</w:t>
      </w:r>
      <w:r>
        <w:rPr>
          <w:b/>
          <w:spacing w:val="-9"/>
          <w:sz w:val="21"/>
        </w:rPr>
        <w:t xml:space="preserve"> </w:t>
      </w:r>
      <w:r>
        <w:rPr>
          <w:b/>
          <w:sz w:val="21"/>
        </w:rPr>
        <w:t>and</w:t>
      </w:r>
      <w:r>
        <w:rPr>
          <w:b/>
          <w:spacing w:val="-5"/>
          <w:sz w:val="21"/>
        </w:rPr>
        <w:t xml:space="preserve"> </w:t>
      </w:r>
      <w:r>
        <w:rPr>
          <w:b/>
          <w:sz w:val="21"/>
        </w:rPr>
        <w:t>address</w:t>
      </w:r>
      <w:r>
        <w:rPr>
          <w:b/>
          <w:spacing w:val="-8"/>
          <w:sz w:val="21"/>
        </w:rPr>
        <w:t xml:space="preserve"> </w:t>
      </w:r>
      <w:r>
        <w:rPr>
          <w:b/>
          <w:sz w:val="21"/>
        </w:rPr>
        <w:t>issues</w:t>
      </w:r>
      <w:r>
        <w:rPr>
          <w:b/>
          <w:spacing w:val="-5"/>
          <w:sz w:val="21"/>
        </w:rPr>
        <w:t xml:space="preserve"> </w:t>
      </w:r>
      <w:r>
        <w:rPr>
          <w:b/>
          <w:sz w:val="21"/>
        </w:rPr>
        <w:t>occurring</w:t>
      </w:r>
      <w:r>
        <w:rPr>
          <w:b/>
          <w:spacing w:val="-7"/>
          <w:sz w:val="21"/>
        </w:rPr>
        <w:t xml:space="preserve"> </w:t>
      </w:r>
      <w:r>
        <w:rPr>
          <w:b/>
          <w:sz w:val="21"/>
        </w:rPr>
        <w:t>from</w:t>
      </w:r>
      <w:r>
        <w:rPr>
          <w:b/>
          <w:spacing w:val="-7"/>
          <w:sz w:val="21"/>
        </w:rPr>
        <w:t xml:space="preserve"> </w:t>
      </w:r>
      <w:r>
        <w:rPr>
          <w:b/>
          <w:sz w:val="21"/>
        </w:rPr>
        <w:t>youth</w:t>
      </w:r>
      <w:r>
        <w:rPr>
          <w:b/>
          <w:spacing w:val="-8"/>
          <w:sz w:val="21"/>
        </w:rPr>
        <w:t xml:space="preserve"> </w:t>
      </w:r>
      <w:r>
        <w:rPr>
          <w:b/>
          <w:sz w:val="21"/>
        </w:rPr>
        <w:t>shifting</w:t>
      </w:r>
      <w:r>
        <w:rPr>
          <w:b/>
          <w:spacing w:val="-4"/>
          <w:sz w:val="21"/>
        </w:rPr>
        <w:t xml:space="preserve"> </w:t>
      </w:r>
      <w:r>
        <w:rPr>
          <w:b/>
          <w:sz w:val="21"/>
        </w:rPr>
        <w:t>between</w:t>
      </w:r>
      <w:r>
        <w:rPr>
          <w:b/>
          <w:spacing w:val="-8"/>
          <w:sz w:val="21"/>
        </w:rPr>
        <w:t xml:space="preserve"> </w:t>
      </w:r>
      <w:r>
        <w:rPr>
          <w:b/>
          <w:sz w:val="21"/>
        </w:rPr>
        <w:t>Continuums</w:t>
      </w:r>
      <w:r>
        <w:rPr>
          <w:b/>
          <w:spacing w:val="-5"/>
          <w:sz w:val="21"/>
        </w:rPr>
        <w:t xml:space="preserve"> </w:t>
      </w:r>
      <w:r>
        <w:rPr>
          <w:b/>
          <w:sz w:val="21"/>
        </w:rPr>
        <w:t>of</w:t>
      </w:r>
      <w:r>
        <w:rPr>
          <w:b/>
          <w:spacing w:val="-7"/>
          <w:sz w:val="21"/>
        </w:rPr>
        <w:t xml:space="preserve"> </w:t>
      </w:r>
      <w:r>
        <w:rPr>
          <w:b/>
          <w:spacing w:val="-2"/>
          <w:sz w:val="21"/>
        </w:rPr>
        <w:t>Care.</w:t>
      </w:r>
    </w:p>
    <w:p w:rsidR="00200FDA" w:rsidRDefault="00200FDA">
      <w:pPr>
        <w:pStyle w:val="BodyText"/>
        <w:spacing w:before="10"/>
        <w:rPr>
          <w:b/>
        </w:rPr>
      </w:pPr>
    </w:p>
    <w:p w:rsidR="00200FDA" w:rsidRDefault="00F76C4C">
      <w:pPr>
        <w:spacing w:line="276" w:lineRule="auto"/>
        <w:ind w:left="140" w:right="133"/>
        <w:jc w:val="both"/>
        <w:rPr>
          <w:sz w:val="21"/>
        </w:rPr>
      </w:pPr>
      <w:r>
        <w:rPr>
          <w:sz w:val="21"/>
        </w:rPr>
        <w:t>In</w:t>
      </w:r>
      <w:r>
        <w:rPr>
          <w:spacing w:val="-4"/>
          <w:sz w:val="21"/>
        </w:rPr>
        <w:t xml:space="preserve"> </w:t>
      </w:r>
      <w:r>
        <w:rPr>
          <w:sz w:val="21"/>
        </w:rPr>
        <w:t>some</w:t>
      </w:r>
      <w:r>
        <w:rPr>
          <w:spacing w:val="-3"/>
          <w:sz w:val="21"/>
        </w:rPr>
        <w:t xml:space="preserve"> </w:t>
      </w:r>
      <w:r>
        <w:rPr>
          <w:sz w:val="21"/>
        </w:rPr>
        <w:t>situations,</w:t>
      </w:r>
      <w:r>
        <w:rPr>
          <w:spacing w:val="-1"/>
          <w:sz w:val="21"/>
        </w:rPr>
        <w:t xml:space="preserve"> </w:t>
      </w:r>
      <w:r>
        <w:rPr>
          <w:sz w:val="21"/>
        </w:rPr>
        <w:t>youth</w:t>
      </w:r>
      <w:r>
        <w:rPr>
          <w:spacing w:val="-4"/>
          <w:sz w:val="21"/>
        </w:rPr>
        <w:t xml:space="preserve"> </w:t>
      </w:r>
      <w:r>
        <w:rPr>
          <w:sz w:val="21"/>
        </w:rPr>
        <w:t>who</w:t>
      </w:r>
      <w:r>
        <w:rPr>
          <w:spacing w:val="-4"/>
          <w:sz w:val="21"/>
        </w:rPr>
        <w:t xml:space="preserve"> </w:t>
      </w:r>
      <w:r>
        <w:rPr>
          <w:sz w:val="21"/>
        </w:rPr>
        <w:t>travel</w:t>
      </w:r>
      <w:r>
        <w:rPr>
          <w:spacing w:val="-4"/>
          <w:sz w:val="21"/>
        </w:rPr>
        <w:t xml:space="preserve"> </w:t>
      </w:r>
      <w:r>
        <w:rPr>
          <w:sz w:val="21"/>
        </w:rPr>
        <w:t>between</w:t>
      </w:r>
      <w:r>
        <w:rPr>
          <w:spacing w:val="-4"/>
          <w:sz w:val="21"/>
        </w:rPr>
        <w:t xml:space="preserve"> </w:t>
      </w:r>
      <w:r>
        <w:rPr>
          <w:sz w:val="21"/>
        </w:rPr>
        <w:t>shelters</w:t>
      </w:r>
      <w:r>
        <w:rPr>
          <w:spacing w:val="-4"/>
          <w:sz w:val="21"/>
        </w:rPr>
        <w:t xml:space="preserve"> </w:t>
      </w:r>
      <w:r>
        <w:rPr>
          <w:sz w:val="21"/>
        </w:rPr>
        <w:t>in</w:t>
      </w:r>
      <w:r>
        <w:rPr>
          <w:spacing w:val="-4"/>
          <w:sz w:val="21"/>
        </w:rPr>
        <w:t xml:space="preserve"> </w:t>
      </w:r>
      <w:r>
        <w:rPr>
          <w:sz w:val="21"/>
        </w:rPr>
        <w:t>different</w:t>
      </w:r>
      <w:r>
        <w:rPr>
          <w:spacing w:val="-4"/>
          <w:sz w:val="21"/>
        </w:rPr>
        <w:t xml:space="preserve"> </w:t>
      </w:r>
      <w:r>
        <w:rPr>
          <w:sz w:val="21"/>
        </w:rPr>
        <w:t>Massachusetts</w:t>
      </w:r>
      <w:r>
        <w:rPr>
          <w:spacing w:val="-4"/>
          <w:sz w:val="21"/>
        </w:rPr>
        <w:t xml:space="preserve"> </w:t>
      </w:r>
      <w:r>
        <w:rPr>
          <w:sz w:val="21"/>
        </w:rPr>
        <w:t>cities</w:t>
      </w:r>
      <w:r>
        <w:rPr>
          <w:spacing w:val="-4"/>
          <w:sz w:val="21"/>
        </w:rPr>
        <w:t xml:space="preserve"> </w:t>
      </w:r>
      <w:r>
        <w:rPr>
          <w:sz w:val="21"/>
        </w:rPr>
        <w:t>are</w:t>
      </w:r>
      <w:r>
        <w:rPr>
          <w:spacing w:val="-3"/>
          <w:sz w:val="21"/>
        </w:rPr>
        <w:t xml:space="preserve"> </w:t>
      </w:r>
      <w:r>
        <w:rPr>
          <w:sz w:val="21"/>
        </w:rPr>
        <w:t>often</w:t>
      </w:r>
      <w:r>
        <w:rPr>
          <w:spacing w:val="-4"/>
          <w:sz w:val="21"/>
        </w:rPr>
        <w:t xml:space="preserve"> </w:t>
      </w:r>
      <w:r>
        <w:rPr>
          <w:sz w:val="21"/>
        </w:rPr>
        <w:t>subjected</w:t>
      </w:r>
      <w:r>
        <w:rPr>
          <w:spacing w:val="-4"/>
          <w:sz w:val="21"/>
        </w:rPr>
        <w:t xml:space="preserve"> </w:t>
      </w:r>
      <w:r>
        <w:rPr>
          <w:sz w:val="21"/>
        </w:rPr>
        <w:t xml:space="preserve">to red-tape as Continuums of Care shift. The Commission has been informed by several community providers working directly with youth experiencing homelessness of the significant problems that result when youth move </w:t>
      </w:r>
      <w:r>
        <w:rPr>
          <w:sz w:val="21"/>
        </w:rPr>
        <w:t>between continuums of care in Massachusetts. The Commission recommends that decision-makers investigate and address these systemic issues that occur when youth shift between Continuums of Care.</w:t>
      </w:r>
    </w:p>
    <w:p w:rsidR="00200FDA" w:rsidRDefault="00200FDA">
      <w:pPr>
        <w:pStyle w:val="BodyText"/>
        <w:spacing w:before="7"/>
        <w:rPr>
          <w:sz w:val="19"/>
        </w:rPr>
      </w:pPr>
    </w:p>
    <w:p w:rsidR="00200FDA" w:rsidRDefault="00F76C4C">
      <w:pPr>
        <w:pStyle w:val="ListParagraph"/>
        <w:numPr>
          <w:ilvl w:val="0"/>
          <w:numId w:val="29"/>
        </w:numPr>
        <w:tabs>
          <w:tab w:val="left" w:pos="354"/>
        </w:tabs>
        <w:rPr>
          <w:b/>
          <w:sz w:val="21"/>
        </w:rPr>
      </w:pPr>
      <w:r>
        <w:rPr>
          <w:b/>
          <w:sz w:val="21"/>
        </w:rPr>
        <w:t>Invest</w:t>
      </w:r>
      <w:r>
        <w:rPr>
          <w:b/>
          <w:spacing w:val="-7"/>
          <w:sz w:val="21"/>
        </w:rPr>
        <w:t xml:space="preserve"> </w:t>
      </w:r>
      <w:r>
        <w:rPr>
          <w:b/>
          <w:sz w:val="21"/>
        </w:rPr>
        <w:t>in</w:t>
      </w:r>
      <w:r>
        <w:rPr>
          <w:b/>
          <w:spacing w:val="-9"/>
          <w:sz w:val="21"/>
        </w:rPr>
        <w:t xml:space="preserve"> </w:t>
      </w:r>
      <w:r>
        <w:rPr>
          <w:b/>
          <w:sz w:val="21"/>
        </w:rPr>
        <w:t>upstream</w:t>
      </w:r>
      <w:r>
        <w:rPr>
          <w:b/>
          <w:spacing w:val="-5"/>
          <w:sz w:val="21"/>
        </w:rPr>
        <w:t xml:space="preserve"> </w:t>
      </w:r>
      <w:r>
        <w:rPr>
          <w:b/>
          <w:sz w:val="21"/>
        </w:rPr>
        <w:t>homelessness</w:t>
      </w:r>
      <w:r>
        <w:rPr>
          <w:b/>
          <w:spacing w:val="-6"/>
          <w:sz w:val="21"/>
        </w:rPr>
        <w:t xml:space="preserve"> </w:t>
      </w:r>
      <w:r>
        <w:rPr>
          <w:b/>
          <w:sz w:val="21"/>
        </w:rPr>
        <w:t>prevention</w:t>
      </w:r>
      <w:r>
        <w:rPr>
          <w:b/>
          <w:spacing w:val="-6"/>
          <w:sz w:val="21"/>
        </w:rPr>
        <w:t xml:space="preserve"> </w:t>
      </w:r>
      <w:r>
        <w:rPr>
          <w:b/>
          <w:sz w:val="21"/>
        </w:rPr>
        <w:t>assistance</w:t>
      </w:r>
      <w:r>
        <w:rPr>
          <w:b/>
          <w:spacing w:val="-6"/>
          <w:sz w:val="21"/>
        </w:rPr>
        <w:t xml:space="preserve"> </w:t>
      </w:r>
      <w:r>
        <w:rPr>
          <w:b/>
          <w:sz w:val="21"/>
        </w:rPr>
        <w:t>for</w:t>
      </w:r>
      <w:r>
        <w:rPr>
          <w:b/>
          <w:spacing w:val="-7"/>
          <w:sz w:val="21"/>
        </w:rPr>
        <w:t xml:space="preserve"> </w:t>
      </w:r>
      <w:r>
        <w:rPr>
          <w:b/>
          <w:sz w:val="21"/>
        </w:rPr>
        <w:t>you</w:t>
      </w:r>
      <w:r>
        <w:rPr>
          <w:b/>
          <w:sz w:val="21"/>
        </w:rPr>
        <w:t>th</w:t>
      </w:r>
      <w:r>
        <w:rPr>
          <w:b/>
          <w:spacing w:val="-7"/>
          <w:sz w:val="21"/>
        </w:rPr>
        <w:t xml:space="preserve"> </w:t>
      </w:r>
      <w:r>
        <w:rPr>
          <w:b/>
          <w:sz w:val="21"/>
        </w:rPr>
        <w:t>and</w:t>
      </w:r>
      <w:r>
        <w:rPr>
          <w:b/>
          <w:spacing w:val="-8"/>
          <w:sz w:val="21"/>
        </w:rPr>
        <w:t xml:space="preserve"> </w:t>
      </w:r>
      <w:r>
        <w:rPr>
          <w:b/>
          <w:sz w:val="21"/>
        </w:rPr>
        <w:t>families</w:t>
      </w:r>
      <w:r>
        <w:rPr>
          <w:b/>
          <w:spacing w:val="-9"/>
          <w:sz w:val="21"/>
        </w:rPr>
        <w:t xml:space="preserve"> </w:t>
      </w:r>
      <w:r>
        <w:rPr>
          <w:b/>
          <w:sz w:val="21"/>
        </w:rPr>
        <w:t>in</w:t>
      </w:r>
      <w:r>
        <w:rPr>
          <w:b/>
          <w:spacing w:val="-8"/>
          <w:sz w:val="21"/>
        </w:rPr>
        <w:t xml:space="preserve"> </w:t>
      </w:r>
      <w:r>
        <w:rPr>
          <w:b/>
          <w:spacing w:val="-2"/>
          <w:sz w:val="21"/>
        </w:rPr>
        <w:t>transition.</w:t>
      </w:r>
    </w:p>
    <w:p w:rsidR="00200FDA" w:rsidRDefault="00200FDA">
      <w:pPr>
        <w:pStyle w:val="BodyText"/>
        <w:spacing w:before="10"/>
        <w:rPr>
          <w:b/>
        </w:rPr>
      </w:pPr>
    </w:p>
    <w:p w:rsidR="00200FDA" w:rsidRDefault="00F76C4C">
      <w:pPr>
        <w:spacing w:line="276" w:lineRule="auto"/>
        <w:ind w:left="139" w:right="135"/>
        <w:jc w:val="both"/>
        <w:rPr>
          <w:sz w:val="21"/>
        </w:rPr>
      </w:pPr>
      <w:r>
        <w:rPr>
          <w:sz w:val="21"/>
        </w:rPr>
        <w:t>As</w:t>
      </w:r>
      <w:r>
        <w:rPr>
          <w:spacing w:val="-5"/>
          <w:sz w:val="21"/>
        </w:rPr>
        <w:t xml:space="preserve"> </w:t>
      </w:r>
      <w:r>
        <w:rPr>
          <w:sz w:val="21"/>
        </w:rPr>
        <w:t>reflected</w:t>
      </w:r>
      <w:r>
        <w:rPr>
          <w:spacing w:val="-5"/>
          <w:sz w:val="21"/>
        </w:rPr>
        <w:t xml:space="preserve"> </w:t>
      </w:r>
      <w:r>
        <w:rPr>
          <w:sz w:val="21"/>
        </w:rPr>
        <w:t>throughout</w:t>
      </w:r>
      <w:r>
        <w:rPr>
          <w:spacing w:val="-5"/>
          <w:sz w:val="21"/>
        </w:rPr>
        <w:t xml:space="preserve"> </w:t>
      </w:r>
      <w:r>
        <w:rPr>
          <w:sz w:val="21"/>
        </w:rPr>
        <w:t>this</w:t>
      </w:r>
      <w:r>
        <w:rPr>
          <w:spacing w:val="-5"/>
          <w:sz w:val="21"/>
        </w:rPr>
        <w:t xml:space="preserve"> </w:t>
      </w:r>
      <w:r>
        <w:rPr>
          <w:sz w:val="21"/>
        </w:rPr>
        <w:t>annual</w:t>
      </w:r>
      <w:r>
        <w:rPr>
          <w:spacing w:val="-5"/>
          <w:sz w:val="21"/>
        </w:rPr>
        <w:t xml:space="preserve"> </w:t>
      </w:r>
      <w:r>
        <w:rPr>
          <w:sz w:val="21"/>
        </w:rPr>
        <w:t>report,</w:t>
      </w:r>
      <w:r>
        <w:rPr>
          <w:spacing w:val="-4"/>
          <w:sz w:val="21"/>
        </w:rPr>
        <w:t xml:space="preserve"> </w:t>
      </w:r>
      <w:r>
        <w:rPr>
          <w:sz w:val="21"/>
        </w:rPr>
        <w:t>often</w:t>
      </w:r>
      <w:r>
        <w:rPr>
          <w:spacing w:val="-5"/>
          <w:sz w:val="21"/>
        </w:rPr>
        <w:t xml:space="preserve"> </w:t>
      </w:r>
      <w:r>
        <w:rPr>
          <w:sz w:val="21"/>
        </w:rPr>
        <w:t>some</w:t>
      </w:r>
      <w:r>
        <w:rPr>
          <w:spacing w:val="-4"/>
          <w:sz w:val="21"/>
        </w:rPr>
        <w:t xml:space="preserve"> </w:t>
      </w:r>
      <w:r>
        <w:rPr>
          <w:sz w:val="21"/>
        </w:rPr>
        <w:t>of</w:t>
      </w:r>
      <w:r>
        <w:rPr>
          <w:spacing w:val="-6"/>
          <w:sz w:val="21"/>
        </w:rPr>
        <w:t xml:space="preserve"> </w:t>
      </w:r>
      <w:r>
        <w:rPr>
          <w:sz w:val="21"/>
        </w:rPr>
        <w:t>the</w:t>
      </w:r>
      <w:r>
        <w:rPr>
          <w:spacing w:val="-4"/>
          <w:sz w:val="21"/>
        </w:rPr>
        <w:t xml:space="preserve"> </w:t>
      </w:r>
      <w:r>
        <w:rPr>
          <w:sz w:val="21"/>
        </w:rPr>
        <w:t>most</w:t>
      </w:r>
      <w:r>
        <w:rPr>
          <w:spacing w:val="-6"/>
          <w:sz w:val="21"/>
        </w:rPr>
        <w:t xml:space="preserve"> </w:t>
      </w:r>
      <w:r>
        <w:rPr>
          <w:sz w:val="21"/>
        </w:rPr>
        <w:t>effective</w:t>
      </w:r>
      <w:r>
        <w:rPr>
          <w:spacing w:val="-6"/>
          <w:sz w:val="21"/>
        </w:rPr>
        <w:t xml:space="preserve"> </w:t>
      </w:r>
      <w:r>
        <w:rPr>
          <w:sz w:val="21"/>
        </w:rPr>
        <w:t>policy</w:t>
      </w:r>
      <w:r>
        <w:rPr>
          <w:spacing w:val="-4"/>
          <w:sz w:val="21"/>
        </w:rPr>
        <w:t xml:space="preserve"> </w:t>
      </w:r>
      <w:r>
        <w:rPr>
          <w:sz w:val="21"/>
        </w:rPr>
        <w:t>initiatives</w:t>
      </w:r>
      <w:r>
        <w:rPr>
          <w:spacing w:val="-5"/>
          <w:sz w:val="21"/>
        </w:rPr>
        <w:t xml:space="preserve"> </w:t>
      </w:r>
      <w:r>
        <w:rPr>
          <w:sz w:val="21"/>
        </w:rPr>
        <w:t>work</w:t>
      </w:r>
      <w:r>
        <w:rPr>
          <w:spacing w:val="-7"/>
          <w:sz w:val="21"/>
        </w:rPr>
        <w:t xml:space="preserve"> </w:t>
      </w:r>
      <w:r>
        <w:rPr>
          <w:sz w:val="21"/>
        </w:rPr>
        <w:t>to</w:t>
      </w:r>
      <w:r>
        <w:rPr>
          <w:spacing w:val="-5"/>
          <w:sz w:val="21"/>
        </w:rPr>
        <w:t xml:space="preserve"> </w:t>
      </w:r>
      <w:r>
        <w:rPr>
          <w:sz w:val="21"/>
        </w:rPr>
        <w:t>improve prevention efforts, rather than only reactively addressing symptoms of deeper systemic issues. The Commission recommends that the legislature and state agencies work to support policies and programs that address upstream homelessness prevention, in</w:t>
      </w:r>
      <w:r>
        <w:rPr>
          <w:sz w:val="21"/>
        </w:rPr>
        <w:t xml:space="preserve">cluding by passing </w:t>
      </w:r>
      <w:r>
        <w:rPr>
          <w:i/>
          <w:sz w:val="21"/>
        </w:rPr>
        <w:t xml:space="preserve">An Act Providing Upstream Homelessness Prevention Assistance to Families, Youth, and Adults </w:t>
      </w:r>
      <w:r>
        <w:rPr>
          <w:sz w:val="21"/>
        </w:rPr>
        <w:t>(</w:t>
      </w:r>
      <w:hyperlink r:id="rId580">
        <w:r>
          <w:rPr>
            <w:b/>
            <w:color w:val="1154CC"/>
            <w:sz w:val="21"/>
            <w:u w:val="single" w:color="1154CC"/>
          </w:rPr>
          <w:t>S.856</w:t>
        </w:r>
      </w:hyperlink>
      <w:r>
        <w:rPr>
          <w:b/>
          <w:sz w:val="21"/>
        </w:rPr>
        <w:t>/</w:t>
      </w:r>
      <w:hyperlink r:id="rId581">
        <w:r>
          <w:rPr>
            <w:b/>
            <w:color w:val="1154CC"/>
            <w:sz w:val="21"/>
            <w:u w:val="single" w:color="1154CC"/>
          </w:rPr>
          <w:t>H.1312</w:t>
        </w:r>
      </w:hyperlink>
      <w:r>
        <w:rPr>
          <w:sz w:val="21"/>
        </w:rPr>
        <w:t>).</w:t>
      </w:r>
    </w:p>
    <w:p w:rsidR="00200FDA" w:rsidRDefault="00200FDA">
      <w:pPr>
        <w:pStyle w:val="BodyText"/>
        <w:spacing w:before="11"/>
        <w:rPr>
          <w:sz w:val="14"/>
        </w:rPr>
      </w:pPr>
    </w:p>
    <w:p w:rsidR="00200FDA" w:rsidRDefault="00F76C4C">
      <w:pPr>
        <w:pStyle w:val="ListParagraph"/>
        <w:numPr>
          <w:ilvl w:val="0"/>
          <w:numId w:val="29"/>
        </w:numPr>
        <w:tabs>
          <w:tab w:val="left" w:pos="354"/>
        </w:tabs>
        <w:spacing w:before="58"/>
        <w:rPr>
          <w:b/>
          <w:sz w:val="21"/>
        </w:rPr>
      </w:pPr>
      <w:r>
        <w:rPr>
          <w:b/>
          <w:sz w:val="21"/>
        </w:rPr>
        <w:t>Impl</w:t>
      </w:r>
      <w:r>
        <w:rPr>
          <w:b/>
          <w:sz w:val="21"/>
        </w:rPr>
        <w:t>ement</w:t>
      </w:r>
      <w:r>
        <w:rPr>
          <w:b/>
          <w:spacing w:val="-8"/>
          <w:sz w:val="21"/>
        </w:rPr>
        <w:t xml:space="preserve"> </w:t>
      </w:r>
      <w:r>
        <w:rPr>
          <w:b/>
          <w:sz w:val="21"/>
        </w:rPr>
        <w:t>rent</w:t>
      </w:r>
      <w:r>
        <w:rPr>
          <w:b/>
          <w:spacing w:val="-5"/>
          <w:sz w:val="21"/>
        </w:rPr>
        <w:t xml:space="preserve"> </w:t>
      </w:r>
      <w:r>
        <w:rPr>
          <w:b/>
          <w:sz w:val="21"/>
        </w:rPr>
        <w:t>stabilization</w:t>
      </w:r>
      <w:r>
        <w:rPr>
          <w:b/>
          <w:spacing w:val="-5"/>
          <w:sz w:val="21"/>
        </w:rPr>
        <w:t xml:space="preserve"> </w:t>
      </w:r>
      <w:r>
        <w:rPr>
          <w:b/>
          <w:sz w:val="21"/>
        </w:rPr>
        <w:t>to</w:t>
      </w:r>
      <w:r>
        <w:rPr>
          <w:b/>
          <w:spacing w:val="-9"/>
          <w:sz w:val="21"/>
        </w:rPr>
        <w:t xml:space="preserve"> </w:t>
      </w:r>
      <w:r>
        <w:rPr>
          <w:b/>
          <w:sz w:val="21"/>
        </w:rPr>
        <w:t>address</w:t>
      </w:r>
      <w:r>
        <w:rPr>
          <w:b/>
          <w:spacing w:val="-6"/>
          <w:sz w:val="21"/>
        </w:rPr>
        <w:t xml:space="preserve"> </w:t>
      </w:r>
      <w:r>
        <w:rPr>
          <w:b/>
          <w:sz w:val="21"/>
        </w:rPr>
        <w:t>the</w:t>
      </w:r>
      <w:r>
        <w:rPr>
          <w:b/>
          <w:spacing w:val="-8"/>
          <w:sz w:val="21"/>
        </w:rPr>
        <w:t xml:space="preserve"> </w:t>
      </w:r>
      <w:r>
        <w:rPr>
          <w:b/>
          <w:sz w:val="21"/>
        </w:rPr>
        <w:t>significant</w:t>
      </w:r>
      <w:r>
        <w:rPr>
          <w:b/>
          <w:spacing w:val="-5"/>
          <w:sz w:val="21"/>
        </w:rPr>
        <w:t xml:space="preserve"> </w:t>
      </w:r>
      <w:r>
        <w:rPr>
          <w:b/>
          <w:sz w:val="21"/>
        </w:rPr>
        <w:t>housing</w:t>
      </w:r>
      <w:r>
        <w:rPr>
          <w:b/>
          <w:spacing w:val="-8"/>
          <w:sz w:val="21"/>
        </w:rPr>
        <w:t xml:space="preserve"> </w:t>
      </w:r>
      <w:r>
        <w:rPr>
          <w:b/>
          <w:sz w:val="21"/>
        </w:rPr>
        <w:t>crisis</w:t>
      </w:r>
      <w:r>
        <w:rPr>
          <w:b/>
          <w:spacing w:val="-6"/>
          <w:sz w:val="21"/>
        </w:rPr>
        <w:t xml:space="preserve"> </w:t>
      </w:r>
      <w:r>
        <w:rPr>
          <w:b/>
          <w:sz w:val="21"/>
        </w:rPr>
        <w:t>across</w:t>
      </w:r>
      <w:r>
        <w:rPr>
          <w:b/>
          <w:spacing w:val="-9"/>
          <w:sz w:val="21"/>
        </w:rPr>
        <w:t xml:space="preserve"> </w:t>
      </w:r>
      <w:r>
        <w:rPr>
          <w:b/>
          <w:sz w:val="21"/>
        </w:rPr>
        <w:t>the</w:t>
      </w:r>
      <w:r>
        <w:rPr>
          <w:b/>
          <w:spacing w:val="-5"/>
          <w:sz w:val="21"/>
        </w:rPr>
        <w:t xml:space="preserve"> </w:t>
      </w:r>
      <w:r>
        <w:rPr>
          <w:b/>
          <w:spacing w:val="-2"/>
          <w:sz w:val="21"/>
        </w:rPr>
        <w:t>state.</w:t>
      </w:r>
    </w:p>
    <w:p w:rsidR="00200FDA" w:rsidRDefault="00200FDA">
      <w:pPr>
        <w:pStyle w:val="BodyText"/>
        <w:spacing w:before="10"/>
        <w:rPr>
          <w:b/>
        </w:rPr>
      </w:pPr>
    </w:p>
    <w:p w:rsidR="00200FDA" w:rsidRDefault="00F76C4C">
      <w:pPr>
        <w:spacing w:line="276" w:lineRule="auto"/>
        <w:ind w:left="139" w:right="132"/>
        <w:jc w:val="both"/>
        <w:rPr>
          <w:sz w:val="21"/>
        </w:rPr>
      </w:pPr>
      <w:r>
        <w:rPr>
          <w:sz w:val="21"/>
        </w:rPr>
        <w:t>The Commission strongly recommends that the Commonwealth implements rent stabilization to address the critical</w:t>
      </w:r>
      <w:r>
        <w:rPr>
          <w:spacing w:val="-7"/>
          <w:sz w:val="21"/>
        </w:rPr>
        <w:t xml:space="preserve"> </w:t>
      </w:r>
      <w:r>
        <w:rPr>
          <w:sz w:val="21"/>
        </w:rPr>
        <w:t>housing</w:t>
      </w:r>
      <w:r>
        <w:rPr>
          <w:spacing w:val="-8"/>
          <w:sz w:val="21"/>
        </w:rPr>
        <w:t xml:space="preserve"> </w:t>
      </w:r>
      <w:r>
        <w:rPr>
          <w:sz w:val="21"/>
        </w:rPr>
        <w:t>crisis</w:t>
      </w:r>
      <w:r>
        <w:rPr>
          <w:spacing w:val="-8"/>
          <w:sz w:val="21"/>
        </w:rPr>
        <w:t xml:space="preserve"> </w:t>
      </w:r>
      <w:r>
        <w:rPr>
          <w:sz w:val="21"/>
        </w:rPr>
        <w:t>which</w:t>
      </w:r>
      <w:r>
        <w:rPr>
          <w:spacing w:val="-10"/>
          <w:sz w:val="21"/>
        </w:rPr>
        <w:t xml:space="preserve"> </w:t>
      </w:r>
      <w:r>
        <w:rPr>
          <w:sz w:val="21"/>
        </w:rPr>
        <w:t>is</w:t>
      </w:r>
      <w:r>
        <w:rPr>
          <w:spacing w:val="-8"/>
          <w:sz w:val="21"/>
        </w:rPr>
        <w:t xml:space="preserve"> </w:t>
      </w:r>
      <w:r>
        <w:rPr>
          <w:sz w:val="21"/>
        </w:rPr>
        <w:t>increasingly</w:t>
      </w:r>
      <w:r>
        <w:rPr>
          <w:spacing w:val="-9"/>
          <w:sz w:val="21"/>
        </w:rPr>
        <w:t xml:space="preserve"> </w:t>
      </w:r>
      <w:r>
        <w:rPr>
          <w:sz w:val="21"/>
        </w:rPr>
        <w:t>leading</w:t>
      </w:r>
      <w:r>
        <w:rPr>
          <w:spacing w:val="-8"/>
          <w:sz w:val="21"/>
        </w:rPr>
        <w:t xml:space="preserve"> </w:t>
      </w:r>
      <w:r>
        <w:rPr>
          <w:sz w:val="21"/>
        </w:rPr>
        <w:t>to</w:t>
      </w:r>
      <w:r>
        <w:rPr>
          <w:spacing w:val="-8"/>
          <w:sz w:val="21"/>
        </w:rPr>
        <w:t xml:space="preserve"> </w:t>
      </w:r>
      <w:r>
        <w:rPr>
          <w:sz w:val="21"/>
        </w:rPr>
        <w:t>severe</w:t>
      </w:r>
      <w:r>
        <w:rPr>
          <w:spacing w:val="-6"/>
          <w:sz w:val="21"/>
        </w:rPr>
        <w:t xml:space="preserve"> </w:t>
      </w:r>
      <w:r>
        <w:rPr>
          <w:sz w:val="21"/>
        </w:rPr>
        <w:t>housing</w:t>
      </w:r>
      <w:r>
        <w:rPr>
          <w:spacing w:val="-8"/>
          <w:sz w:val="21"/>
        </w:rPr>
        <w:t xml:space="preserve"> </w:t>
      </w:r>
      <w:r>
        <w:rPr>
          <w:sz w:val="21"/>
        </w:rPr>
        <w:t>instability</w:t>
      </w:r>
      <w:r>
        <w:rPr>
          <w:spacing w:val="-6"/>
          <w:sz w:val="21"/>
        </w:rPr>
        <w:t xml:space="preserve"> </w:t>
      </w:r>
      <w:r>
        <w:rPr>
          <w:sz w:val="21"/>
        </w:rPr>
        <w:t>and</w:t>
      </w:r>
      <w:r>
        <w:rPr>
          <w:spacing w:val="-10"/>
          <w:sz w:val="21"/>
        </w:rPr>
        <w:t xml:space="preserve"> </w:t>
      </w:r>
      <w:r>
        <w:rPr>
          <w:sz w:val="21"/>
        </w:rPr>
        <w:t>homelessness</w:t>
      </w:r>
      <w:r>
        <w:rPr>
          <w:spacing w:val="-8"/>
          <w:sz w:val="21"/>
        </w:rPr>
        <w:t xml:space="preserve"> </w:t>
      </w:r>
      <w:r>
        <w:rPr>
          <w:sz w:val="21"/>
        </w:rPr>
        <w:t>among</w:t>
      </w:r>
      <w:r>
        <w:rPr>
          <w:spacing w:val="-10"/>
          <w:sz w:val="21"/>
        </w:rPr>
        <w:t xml:space="preserve"> </w:t>
      </w:r>
      <w:r>
        <w:rPr>
          <w:sz w:val="21"/>
        </w:rPr>
        <w:t>youth across the state. The Commission further urges the state to follow examples set by other major cities by prohibiting or setting up a program to remove the burden of broker fees from low-income households.</w:t>
      </w:r>
    </w:p>
    <w:p w:rsidR="00200FDA" w:rsidRDefault="00200FDA">
      <w:pPr>
        <w:spacing w:line="276" w:lineRule="auto"/>
        <w:jc w:val="both"/>
        <w:rPr>
          <w:sz w:val="21"/>
        </w:rPr>
        <w:sectPr w:rsidR="00200FDA">
          <w:pgSz w:w="12240" w:h="15840"/>
          <w:pgMar w:top="1360" w:right="1300" w:bottom="1240" w:left="1300" w:header="758" w:footer="1043" w:gutter="0"/>
          <w:cols w:space="720"/>
        </w:sectPr>
      </w:pPr>
    </w:p>
    <w:p w:rsidR="00200FDA" w:rsidRDefault="00F76C4C">
      <w:pPr>
        <w:pStyle w:val="ListParagraph"/>
        <w:numPr>
          <w:ilvl w:val="0"/>
          <w:numId w:val="29"/>
        </w:numPr>
        <w:tabs>
          <w:tab w:val="left" w:pos="385"/>
        </w:tabs>
        <w:spacing w:before="64" w:line="276" w:lineRule="auto"/>
        <w:ind w:left="139" w:right="136" w:firstLine="0"/>
        <w:rPr>
          <w:b/>
          <w:sz w:val="21"/>
        </w:rPr>
      </w:pPr>
      <w:r>
        <w:rPr>
          <w:b/>
          <w:sz w:val="21"/>
        </w:rPr>
        <w:lastRenderedPageBreak/>
        <w:t>Create</w:t>
      </w:r>
      <w:r>
        <w:rPr>
          <w:b/>
          <w:spacing w:val="29"/>
          <w:sz w:val="21"/>
        </w:rPr>
        <w:t xml:space="preserve"> </w:t>
      </w:r>
      <w:r>
        <w:rPr>
          <w:b/>
          <w:sz w:val="21"/>
        </w:rPr>
        <w:t>more</w:t>
      </w:r>
      <w:r>
        <w:rPr>
          <w:b/>
          <w:spacing w:val="29"/>
          <w:sz w:val="21"/>
        </w:rPr>
        <w:t xml:space="preserve"> </w:t>
      </w:r>
      <w:r>
        <w:rPr>
          <w:b/>
          <w:sz w:val="21"/>
        </w:rPr>
        <w:t>independent</w:t>
      </w:r>
      <w:r>
        <w:rPr>
          <w:b/>
          <w:spacing w:val="33"/>
          <w:sz w:val="21"/>
        </w:rPr>
        <w:t xml:space="preserve"> </w:t>
      </w:r>
      <w:r>
        <w:rPr>
          <w:b/>
          <w:sz w:val="21"/>
        </w:rPr>
        <w:t>living</w:t>
      </w:r>
      <w:r>
        <w:rPr>
          <w:b/>
          <w:spacing w:val="33"/>
          <w:sz w:val="21"/>
        </w:rPr>
        <w:t xml:space="preserve"> </w:t>
      </w:r>
      <w:r>
        <w:rPr>
          <w:b/>
          <w:sz w:val="21"/>
        </w:rPr>
        <w:t>programs</w:t>
      </w:r>
      <w:r>
        <w:rPr>
          <w:b/>
          <w:spacing w:val="32"/>
          <w:sz w:val="21"/>
        </w:rPr>
        <w:t xml:space="preserve"> </w:t>
      </w:r>
      <w:r>
        <w:rPr>
          <w:b/>
          <w:sz w:val="21"/>
        </w:rPr>
        <w:t>for</w:t>
      </w:r>
      <w:r>
        <w:rPr>
          <w:b/>
          <w:spacing w:val="29"/>
          <w:sz w:val="21"/>
        </w:rPr>
        <w:t xml:space="preserve"> </w:t>
      </w:r>
      <w:r>
        <w:rPr>
          <w:b/>
          <w:sz w:val="21"/>
        </w:rPr>
        <w:t>transition-aged</w:t>
      </w:r>
      <w:r>
        <w:rPr>
          <w:b/>
          <w:spacing w:val="29"/>
          <w:sz w:val="21"/>
        </w:rPr>
        <w:t xml:space="preserve"> </w:t>
      </w:r>
      <w:r>
        <w:rPr>
          <w:b/>
          <w:sz w:val="21"/>
        </w:rPr>
        <w:t>youth,</w:t>
      </w:r>
      <w:r>
        <w:rPr>
          <w:b/>
          <w:spacing w:val="31"/>
          <w:sz w:val="21"/>
        </w:rPr>
        <w:t xml:space="preserve"> </w:t>
      </w:r>
      <w:r>
        <w:rPr>
          <w:b/>
          <w:sz w:val="21"/>
        </w:rPr>
        <w:t>with</w:t>
      </w:r>
      <w:r>
        <w:rPr>
          <w:b/>
          <w:spacing w:val="29"/>
          <w:sz w:val="21"/>
        </w:rPr>
        <w:t xml:space="preserve"> </w:t>
      </w:r>
      <w:r>
        <w:rPr>
          <w:b/>
          <w:sz w:val="21"/>
        </w:rPr>
        <w:t>particular</w:t>
      </w:r>
      <w:r>
        <w:rPr>
          <w:b/>
          <w:spacing w:val="31"/>
          <w:sz w:val="21"/>
        </w:rPr>
        <w:t xml:space="preserve"> </w:t>
      </w:r>
      <w:r>
        <w:rPr>
          <w:b/>
          <w:sz w:val="21"/>
        </w:rPr>
        <w:t>attention</w:t>
      </w:r>
      <w:r>
        <w:rPr>
          <w:b/>
          <w:spacing w:val="29"/>
          <w:sz w:val="21"/>
        </w:rPr>
        <w:t xml:space="preserve"> </w:t>
      </w:r>
      <w:r>
        <w:rPr>
          <w:b/>
          <w:sz w:val="21"/>
        </w:rPr>
        <w:t>to</w:t>
      </w:r>
      <w:r>
        <w:rPr>
          <w:b/>
          <w:spacing w:val="29"/>
          <w:sz w:val="21"/>
        </w:rPr>
        <w:t xml:space="preserve"> </w:t>
      </w:r>
      <w:r>
        <w:rPr>
          <w:b/>
          <w:sz w:val="21"/>
        </w:rPr>
        <w:t>the unique needs of QTBIPOC youth.</w:t>
      </w:r>
    </w:p>
    <w:p w:rsidR="00200FDA" w:rsidRDefault="00200FDA">
      <w:pPr>
        <w:pStyle w:val="BodyText"/>
        <w:spacing w:before="8"/>
        <w:rPr>
          <w:b/>
          <w:sz w:val="19"/>
        </w:rPr>
      </w:pPr>
    </w:p>
    <w:p w:rsidR="00200FDA" w:rsidRDefault="00F76C4C">
      <w:pPr>
        <w:spacing w:before="1" w:line="276" w:lineRule="auto"/>
        <w:ind w:left="139" w:right="133"/>
        <w:jc w:val="both"/>
        <w:rPr>
          <w:sz w:val="21"/>
        </w:rPr>
      </w:pPr>
      <w:r>
        <w:rPr>
          <w:sz w:val="21"/>
        </w:rPr>
        <w:t>The Commissions strongly recommends that the Commonwealth dedicate more resources to the expansion and improv</w:t>
      </w:r>
      <w:r>
        <w:rPr>
          <w:sz w:val="21"/>
        </w:rPr>
        <w:t>ement of transition-aged youth resources, including independent living programs. As discussed throughout this annual report, LGBTQ youth transitioning out of the child welfare or juvenile justice systems often lack the appropriate skills, resources, and do</w:t>
      </w:r>
      <w:r>
        <w:rPr>
          <w:sz w:val="21"/>
        </w:rPr>
        <w:t>cumentation needed for long-term success and independence. The Commission further recommends that existing programs serving transition-aged youth make</w:t>
      </w:r>
      <w:r>
        <w:rPr>
          <w:spacing w:val="-1"/>
          <w:sz w:val="21"/>
        </w:rPr>
        <w:t xml:space="preserve"> </w:t>
      </w:r>
      <w:r>
        <w:rPr>
          <w:sz w:val="21"/>
        </w:rPr>
        <w:t>explicit</w:t>
      </w:r>
      <w:r>
        <w:rPr>
          <w:spacing w:val="-2"/>
          <w:sz w:val="21"/>
        </w:rPr>
        <w:t xml:space="preserve"> </w:t>
      </w:r>
      <w:r>
        <w:rPr>
          <w:sz w:val="21"/>
        </w:rPr>
        <w:t>resources</w:t>
      </w:r>
      <w:r>
        <w:rPr>
          <w:spacing w:val="-2"/>
          <w:sz w:val="21"/>
        </w:rPr>
        <w:t xml:space="preserve"> </w:t>
      </w:r>
      <w:r>
        <w:rPr>
          <w:sz w:val="21"/>
        </w:rPr>
        <w:t>and</w:t>
      </w:r>
      <w:r>
        <w:rPr>
          <w:spacing w:val="-1"/>
          <w:sz w:val="21"/>
        </w:rPr>
        <w:t xml:space="preserve"> </w:t>
      </w:r>
      <w:r>
        <w:rPr>
          <w:sz w:val="21"/>
        </w:rPr>
        <w:t>materials</w:t>
      </w:r>
      <w:r>
        <w:rPr>
          <w:spacing w:val="-2"/>
          <w:sz w:val="21"/>
        </w:rPr>
        <w:t xml:space="preserve"> </w:t>
      </w:r>
      <w:r>
        <w:rPr>
          <w:sz w:val="21"/>
        </w:rPr>
        <w:t>available</w:t>
      </w:r>
      <w:r>
        <w:rPr>
          <w:spacing w:val="-1"/>
          <w:sz w:val="21"/>
        </w:rPr>
        <w:t xml:space="preserve"> </w:t>
      </w:r>
      <w:r>
        <w:rPr>
          <w:sz w:val="21"/>
        </w:rPr>
        <w:t>to</w:t>
      </w:r>
      <w:r>
        <w:rPr>
          <w:spacing w:val="-2"/>
          <w:sz w:val="21"/>
        </w:rPr>
        <w:t xml:space="preserve"> </w:t>
      </w:r>
      <w:r>
        <w:rPr>
          <w:sz w:val="21"/>
        </w:rPr>
        <w:t>LGBTQ</w:t>
      </w:r>
      <w:r>
        <w:rPr>
          <w:spacing w:val="-2"/>
          <w:sz w:val="21"/>
        </w:rPr>
        <w:t xml:space="preserve"> </w:t>
      </w:r>
      <w:r>
        <w:rPr>
          <w:sz w:val="21"/>
        </w:rPr>
        <w:t>youth</w:t>
      </w:r>
      <w:r>
        <w:rPr>
          <w:spacing w:val="-2"/>
          <w:sz w:val="21"/>
        </w:rPr>
        <w:t xml:space="preserve"> </w:t>
      </w:r>
      <w:r>
        <w:rPr>
          <w:sz w:val="21"/>
        </w:rPr>
        <w:t>available</w:t>
      </w:r>
      <w:r>
        <w:rPr>
          <w:spacing w:val="-1"/>
          <w:sz w:val="21"/>
        </w:rPr>
        <w:t xml:space="preserve"> </w:t>
      </w:r>
      <w:r>
        <w:rPr>
          <w:sz w:val="21"/>
        </w:rPr>
        <w:t>on</w:t>
      </w:r>
      <w:r>
        <w:rPr>
          <w:spacing w:val="-2"/>
          <w:sz w:val="21"/>
        </w:rPr>
        <w:t xml:space="preserve"> </w:t>
      </w:r>
      <w:r>
        <w:rPr>
          <w:sz w:val="21"/>
        </w:rPr>
        <w:t>their websites,</w:t>
      </w:r>
      <w:r>
        <w:rPr>
          <w:spacing w:val="-1"/>
          <w:sz w:val="21"/>
        </w:rPr>
        <w:t xml:space="preserve"> </w:t>
      </w:r>
      <w:r>
        <w:rPr>
          <w:sz w:val="21"/>
        </w:rPr>
        <w:t>and</w:t>
      </w:r>
      <w:r>
        <w:rPr>
          <w:spacing w:val="-1"/>
          <w:sz w:val="21"/>
        </w:rPr>
        <w:t xml:space="preserve"> </w:t>
      </w:r>
      <w:r>
        <w:rPr>
          <w:sz w:val="21"/>
        </w:rPr>
        <w:t>ensure</w:t>
      </w:r>
      <w:r>
        <w:rPr>
          <w:spacing w:val="-1"/>
          <w:sz w:val="21"/>
        </w:rPr>
        <w:t xml:space="preserve"> </w:t>
      </w:r>
      <w:r>
        <w:rPr>
          <w:sz w:val="21"/>
        </w:rPr>
        <w:t>that</w:t>
      </w:r>
      <w:r>
        <w:rPr>
          <w:spacing w:val="-2"/>
          <w:sz w:val="21"/>
        </w:rPr>
        <w:t xml:space="preserve"> </w:t>
      </w:r>
      <w:r>
        <w:rPr>
          <w:sz w:val="21"/>
        </w:rPr>
        <w:t>a clear plan for supporting youth is available that includes updating documentation (such as name or gender marker changes),</w:t>
      </w:r>
      <w:r>
        <w:rPr>
          <w:spacing w:val="-3"/>
          <w:sz w:val="21"/>
        </w:rPr>
        <w:t xml:space="preserve"> </w:t>
      </w:r>
      <w:r>
        <w:rPr>
          <w:sz w:val="21"/>
        </w:rPr>
        <w:t>access</w:t>
      </w:r>
      <w:r>
        <w:rPr>
          <w:spacing w:val="-3"/>
          <w:sz w:val="21"/>
        </w:rPr>
        <w:t xml:space="preserve"> </w:t>
      </w:r>
      <w:r>
        <w:rPr>
          <w:sz w:val="21"/>
        </w:rPr>
        <w:t>to</w:t>
      </w:r>
      <w:r>
        <w:rPr>
          <w:spacing w:val="-1"/>
          <w:sz w:val="21"/>
        </w:rPr>
        <w:t xml:space="preserve"> </w:t>
      </w:r>
      <w:r>
        <w:rPr>
          <w:sz w:val="21"/>
        </w:rPr>
        <w:t>gender-affirming</w:t>
      </w:r>
      <w:r>
        <w:rPr>
          <w:spacing w:val="-2"/>
          <w:sz w:val="21"/>
        </w:rPr>
        <w:t xml:space="preserve"> </w:t>
      </w:r>
      <w:r>
        <w:rPr>
          <w:sz w:val="21"/>
        </w:rPr>
        <w:t>items</w:t>
      </w:r>
      <w:r>
        <w:rPr>
          <w:spacing w:val="-3"/>
          <w:sz w:val="21"/>
        </w:rPr>
        <w:t xml:space="preserve"> </w:t>
      </w:r>
      <w:r>
        <w:rPr>
          <w:sz w:val="21"/>
        </w:rPr>
        <w:t>and</w:t>
      </w:r>
      <w:r>
        <w:rPr>
          <w:spacing w:val="-3"/>
          <w:sz w:val="21"/>
        </w:rPr>
        <w:t xml:space="preserve"> </w:t>
      </w:r>
      <w:r>
        <w:rPr>
          <w:sz w:val="21"/>
        </w:rPr>
        <w:t>medication, healthcare</w:t>
      </w:r>
      <w:r>
        <w:rPr>
          <w:spacing w:val="-2"/>
          <w:sz w:val="21"/>
        </w:rPr>
        <w:t xml:space="preserve"> </w:t>
      </w:r>
      <w:r>
        <w:rPr>
          <w:sz w:val="21"/>
        </w:rPr>
        <w:t>resources</w:t>
      </w:r>
      <w:r>
        <w:rPr>
          <w:spacing w:val="-2"/>
          <w:sz w:val="21"/>
        </w:rPr>
        <w:t xml:space="preserve"> </w:t>
      </w:r>
      <w:r>
        <w:rPr>
          <w:sz w:val="21"/>
        </w:rPr>
        <w:t>and</w:t>
      </w:r>
      <w:r>
        <w:rPr>
          <w:spacing w:val="-3"/>
          <w:sz w:val="21"/>
        </w:rPr>
        <w:t xml:space="preserve"> </w:t>
      </w:r>
      <w:r>
        <w:rPr>
          <w:sz w:val="21"/>
        </w:rPr>
        <w:t>warm</w:t>
      </w:r>
      <w:r>
        <w:rPr>
          <w:spacing w:val="-1"/>
          <w:sz w:val="21"/>
        </w:rPr>
        <w:t xml:space="preserve"> </w:t>
      </w:r>
      <w:r>
        <w:rPr>
          <w:sz w:val="21"/>
        </w:rPr>
        <w:t>hand-offs to affirming providers, employment support</w:t>
      </w:r>
      <w:r>
        <w:rPr>
          <w:sz w:val="21"/>
        </w:rPr>
        <w:t>, and connections to local LGBTQ community groups.</w:t>
      </w:r>
    </w:p>
    <w:p w:rsidR="00200FDA" w:rsidRDefault="00200FDA">
      <w:pPr>
        <w:pStyle w:val="BodyText"/>
        <w:rPr>
          <w:sz w:val="20"/>
        </w:rPr>
      </w:pPr>
    </w:p>
    <w:p w:rsidR="00200FDA" w:rsidRDefault="00F76C4C">
      <w:pPr>
        <w:pStyle w:val="Heading7"/>
        <w:spacing w:before="158"/>
        <w:ind w:left="140"/>
        <w:jc w:val="both"/>
      </w:pPr>
      <w:r>
        <w:rPr>
          <w:noProof/>
        </w:rPr>
        <w:drawing>
          <wp:anchor distT="0" distB="0" distL="0" distR="0" simplePos="0" relativeHeight="15799296" behindDoc="0" locked="0" layoutInCell="1" allowOverlap="1">
            <wp:simplePos x="0" y="0"/>
            <wp:positionH relativeFrom="page">
              <wp:posOffset>941009</wp:posOffset>
            </wp:positionH>
            <wp:positionV relativeFrom="paragraph">
              <wp:posOffset>461940</wp:posOffset>
            </wp:positionV>
            <wp:extent cx="1398874" cy="1794870"/>
            <wp:effectExtent l="0" t="0" r="0" b="0"/>
            <wp:wrapNone/>
            <wp:docPr id="107" name="image110.jpeg" descr="Icon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10.jpeg"/>
                    <pic:cNvPicPr/>
                  </pic:nvPicPr>
                  <pic:blipFill>
                    <a:blip r:embed="rId582" cstate="print"/>
                    <a:stretch>
                      <a:fillRect/>
                    </a:stretch>
                  </pic:blipFill>
                  <pic:spPr>
                    <a:xfrm>
                      <a:off x="0" y="0"/>
                      <a:ext cx="1398874" cy="1794870"/>
                    </a:xfrm>
                    <a:prstGeom prst="rect">
                      <a:avLst/>
                    </a:prstGeom>
                  </pic:spPr>
                </pic:pic>
              </a:graphicData>
            </a:graphic>
          </wp:anchor>
        </w:drawing>
      </w:r>
      <w:bookmarkStart w:id="747" w:name="Research:_Understanding_Youth_Homelessne"/>
      <w:bookmarkEnd w:id="747"/>
      <w:r>
        <w:rPr>
          <w:color w:val="0A5293"/>
        </w:rPr>
        <w:t>Research:</w:t>
      </w:r>
      <w:r>
        <w:rPr>
          <w:color w:val="0A5293"/>
          <w:spacing w:val="-11"/>
        </w:rPr>
        <w:t xml:space="preserve"> </w:t>
      </w:r>
      <w:r>
        <w:rPr>
          <w:color w:val="0A5293"/>
        </w:rPr>
        <w:t>Understanding</w:t>
      </w:r>
      <w:r>
        <w:rPr>
          <w:color w:val="0A5293"/>
          <w:spacing w:val="-10"/>
        </w:rPr>
        <w:t xml:space="preserve"> </w:t>
      </w:r>
      <w:r>
        <w:rPr>
          <w:color w:val="0A5293"/>
        </w:rPr>
        <w:t>Youth</w:t>
      </w:r>
      <w:r>
        <w:rPr>
          <w:color w:val="0A5293"/>
          <w:spacing w:val="-10"/>
        </w:rPr>
        <w:t xml:space="preserve"> </w:t>
      </w:r>
      <w:r>
        <w:rPr>
          <w:color w:val="0A5293"/>
          <w:spacing w:val="-2"/>
        </w:rPr>
        <w:t>Homelessness</w:t>
      </w:r>
    </w:p>
    <w:p w:rsidR="00200FDA" w:rsidRDefault="00F76C4C">
      <w:pPr>
        <w:pStyle w:val="BodyText"/>
        <w:spacing w:before="8"/>
        <w:rPr>
          <w:sz w:val="3"/>
        </w:rPr>
      </w:pPr>
      <w:r>
        <w:pict>
          <v:rect id="docshape387" o:spid="_x0000_s1212" style="position:absolute;margin-left:70.55pt;margin-top:3.45pt;width:470.9pt;height:.5pt;z-index:-15658496;mso-wrap-distance-left:0;mso-wrap-distance-right:0;mso-position-horizontal-relative:page" fillcolor="#0f6ec5" stroked="f">
            <w10:wrap type="topAndBottom" anchorx="page"/>
          </v:rect>
        </w:pict>
      </w:r>
    </w:p>
    <w:p w:rsidR="00200FDA" w:rsidRDefault="00F76C4C">
      <w:pPr>
        <w:spacing w:before="239" w:line="276" w:lineRule="auto"/>
        <w:ind w:left="2775" w:right="135"/>
        <w:jc w:val="both"/>
        <w:rPr>
          <w:sz w:val="21"/>
        </w:rPr>
      </w:pPr>
      <w:r>
        <w:rPr>
          <w:sz w:val="21"/>
        </w:rPr>
        <w:t>Every year, an estimated 4.2 million youth in the United States experience homelessness.</w:t>
      </w:r>
      <w:hyperlink w:anchor="_bookmark588" w:history="1">
        <w:r>
          <w:rPr>
            <w:sz w:val="21"/>
            <w:vertAlign w:val="superscript"/>
          </w:rPr>
          <w:t>8</w:t>
        </w:r>
      </w:hyperlink>
      <w:r>
        <w:rPr>
          <w:spacing w:val="-3"/>
          <w:sz w:val="21"/>
        </w:rPr>
        <w:t xml:space="preserve"> </w:t>
      </w:r>
      <w:r>
        <w:rPr>
          <w:sz w:val="21"/>
        </w:rPr>
        <w:t>In a 2022 national survey, 28% of yo</w:t>
      </w:r>
      <w:r>
        <w:rPr>
          <w:sz w:val="21"/>
        </w:rPr>
        <w:t>uth respondents reported experiencing homelessness or housing instability at some point in their life. Additionally,</w:t>
      </w:r>
      <w:r>
        <w:rPr>
          <w:spacing w:val="-10"/>
          <w:sz w:val="21"/>
        </w:rPr>
        <w:t xml:space="preserve"> </w:t>
      </w:r>
      <w:r>
        <w:rPr>
          <w:sz w:val="21"/>
        </w:rPr>
        <w:t>in</w:t>
      </w:r>
      <w:r>
        <w:rPr>
          <w:spacing w:val="-11"/>
          <w:sz w:val="21"/>
        </w:rPr>
        <w:t xml:space="preserve"> </w:t>
      </w:r>
      <w:r>
        <w:rPr>
          <w:sz w:val="21"/>
        </w:rPr>
        <w:t>the</w:t>
      </w:r>
      <w:r>
        <w:rPr>
          <w:spacing w:val="-12"/>
          <w:sz w:val="21"/>
        </w:rPr>
        <w:t xml:space="preserve"> </w:t>
      </w:r>
      <w:r>
        <w:rPr>
          <w:sz w:val="21"/>
        </w:rPr>
        <w:t>same</w:t>
      </w:r>
      <w:r>
        <w:rPr>
          <w:spacing w:val="-12"/>
          <w:sz w:val="21"/>
        </w:rPr>
        <w:t xml:space="preserve"> </w:t>
      </w:r>
      <w:r>
        <w:rPr>
          <w:sz w:val="21"/>
        </w:rPr>
        <w:t>survey,</w:t>
      </w:r>
      <w:r>
        <w:rPr>
          <w:spacing w:val="-11"/>
          <w:sz w:val="21"/>
        </w:rPr>
        <w:t xml:space="preserve"> </w:t>
      </w:r>
      <w:r>
        <w:rPr>
          <w:sz w:val="21"/>
        </w:rPr>
        <w:t>approximately</w:t>
      </w:r>
      <w:r>
        <w:rPr>
          <w:spacing w:val="-12"/>
          <w:sz w:val="21"/>
        </w:rPr>
        <w:t xml:space="preserve"> </w:t>
      </w:r>
      <w:r>
        <w:rPr>
          <w:sz w:val="21"/>
        </w:rPr>
        <w:t>80%</w:t>
      </w:r>
      <w:r>
        <w:rPr>
          <w:spacing w:val="-12"/>
          <w:sz w:val="21"/>
        </w:rPr>
        <w:t xml:space="preserve"> </w:t>
      </w:r>
      <w:r>
        <w:rPr>
          <w:sz w:val="21"/>
        </w:rPr>
        <w:t>of</w:t>
      </w:r>
      <w:r>
        <w:rPr>
          <w:spacing w:val="-11"/>
          <w:sz w:val="21"/>
        </w:rPr>
        <w:t xml:space="preserve"> </w:t>
      </w:r>
      <w:r>
        <w:rPr>
          <w:sz w:val="21"/>
        </w:rPr>
        <w:t>LGBTQ</w:t>
      </w:r>
      <w:r>
        <w:rPr>
          <w:spacing w:val="-12"/>
          <w:sz w:val="21"/>
        </w:rPr>
        <w:t xml:space="preserve"> </w:t>
      </w:r>
      <w:r>
        <w:rPr>
          <w:sz w:val="21"/>
        </w:rPr>
        <w:t>youth</w:t>
      </w:r>
      <w:r>
        <w:rPr>
          <w:spacing w:val="-11"/>
          <w:sz w:val="21"/>
        </w:rPr>
        <w:t xml:space="preserve"> </w:t>
      </w:r>
      <w:r>
        <w:rPr>
          <w:sz w:val="21"/>
        </w:rPr>
        <w:t>noted</w:t>
      </w:r>
      <w:r>
        <w:rPr>
          <w:spacing w:val="-11"/>
          <w:sz w:val="21"/>
        </w:rPr>
        <w:t xml:space="preserve"> </w:t>
      </w:r>
      <w:r>
        <w:rPr>
          <w:sz w:val="21"/>
        </w:rPr>
        <w:t>that the COVID pandemic had made their living situations more unstable or stressful.</w:t>
      </w:r>
      <w:hyperlink w:anchor="_bookmark589" w:history="1">
        <w:r>
          <w:rPr>
            <w:sz w:val="21"/>
            <w:vertAlign w:val="superscript"/>
          </w:rPr>
          <w:t>9</w:t>
        </w:r>
      </w:hyperlink>
      <w:r>
        <w:rPr>
          <w:spacing w:val="-3"/>
          <w:sz w:val="21"/>
        </w:rPr>
        <w:t xml:space="preserve"> </w:t>
      </w:r>
      <w:r>
        <w:rPr>
          <w:sz w:val="21"/>
        </w:rPr>
        <w:t>When</w:t>
      </w:r>
      <w:r>
        <w:rPr>
          <w:spacing w:val="-5"/>
          <w:sz w:val="21"/>
        </w:rPr>
        <w:t xml:space="preserve"> </w:t>
      </w:r>
      <w:r>
        <w:rPr>
          <w:sz w:val="21"/>
        </w:rPr>
        <w:t>looking</w:t>
      </w:r>
      <w:r>
        <w:rPr>
          <w:spacing w:val="-5"/>
          <w:sz w:val="21"/>
        </w:rPr>
        <w:t xml:space="preserve"> </w:t>
      </w:r>
      <w:r>
        <w:rPr>
          <w:sz w:val="21"/>
        </w:rPr>
        <w:t>at</w:t>
      </w:r>
      <w:r>
        <w:rPr>
          <w:spacing w:val="-5"/>
          <w:sz w:val="21"/>
        </w:rPr>
        <w:t xml:space="preserve"> </w:t>
      </w:r>
      <w:r>
        <w:rPr>
          <w:sz w:val="21"/>
        </w:rPr>
        <w:t>how</w:t>
      </w:r>
      <w:r>
        <w:rPr>
          <w:spacing w:val="-4"/>
          <w:sz w:val="21"/>
        </w:rPr>
        <w:t xml:space="preserve"> </w:t>
      </w:r>
      <w:r>
        <w:rPr>
          <w:sz w:val="21"/>
        </w:rPr>
        <w:t>Massachusetts</w:t>
      </w:r>
      <w:r>
        <w:rPr>
          <w:spacing w:val="-5"/>
          <w:sz w:val="21"/>
        </w:rPr>
        <w:t xml:space="preserve"> </w:t>
      </w:r>
      <w:r>
        <w:rPr>
          <w:sz w:val="21"/>
        </w:rPr>
        <w:t>is</w:t>
      </w:r>
      <w:r>
        <w:rPr>
          <w:spacing w:val="-5"/>
          <w:sz w:val="21"/>
        </w:rPr>
        <w:t xml:space="preserve"> </w:t>
      </w:r>
      <w:r>
        <w:rPr>
          <w:sz w:val="21"/>
        </w:rPr>
        <w:t>doing</w:t>
      </w:r>
      <w:r>
        <w:rPr>
          <w:spacing w:val="-5"/>
          <w:sz w:val="21"/>
        </w:rPr>
        <w:t xml:space="preserve"> </w:t>
      </w:r>
      <w:r>
        <w:rPr>
          <w:sz w:val="21"/>
        </w:rPr>
        <w:t>to</w:t>
      </w:r>
      <w:r>
        <w:rPr>
          <w:spacing w:val="-5"/>
          <w:sz w:val="21"/>
        </w:rPr>
        <w:t xml:space="preserve"> </w:t>
      </w:r>
      <w:r>
        <w:rPr>
          <w:sz w:val="21"/>
        </w:rPr>
        <w:t>address</w:t>
      </w:r>
      <w:r>
        <w:rPr>
          <w:spacing w:val="-5"/>
          <w:sz w:val="21"/>
        </w:rPr>
        <w:t xml:space="preserve"> </w:t>
      </w:r>
      <w:r>
        <w:rPr>
          <w:sz w:val="21"/>
        </w:rPr>
        <w:t>experiences of</w:t>
      </w:r>
      <w:r>
        <w:rPr>
          <w:spacing w:val="-5"/>
          <w:sz w:val="21"/>
        </w:rPr>
        <w:t xml:space="preserve"> </w:t>
      </w:r>
      <w:r>
        <w:rPr>
          <w:sz w:val="21"/>
        </w:rPr>
        <w:t>homelessness</w:t>
      </w:r>
      <w:r>
        <w:rPr>
          <w:spacing w:val="-6"/>
          <w:sz w:val="21"/>
        </w:rPr>
        <w:t xml:space="preserve"> </w:t>
      </w:r>
      <w:r>
        <w:rPr>
          <w:sz w:val="21"/>
        </w:rPr>
        <w:t>amongst</w:t>
      </w:r>
      <w:r>
        <w:rPr>
          <w:spacing w:val="-6"/>
          <w:sz w:val="21"/>
        </w:rPr>
        <w:t xml:space="preserve"> </w:t>
      </w:r>
      <w:r>
        <w:rPr>
          <w:sz w:val="21"/>
        </w:rPr>
        <w:t>LGBTQ</w:t>
      </w:r>
      <w:r>
        <w:rPr>
          <w:spacing w:val="-8"/>
          <w:sz w:val="21"/>
        </w:rPr>
        <w:t xml:space="preserve"> </w:t>
      </w:r>
      <w:r>
        <w:rPr>
          <w:sz w:val="21"/>
        </w:rPr>
        <w:t>youth,</w:t>
      </w:r>
      <w:r>
        <w:rPr>
          <w:spacing w:val="-5"/>
          <w:sz w:val="21"/>
        </w:rPr>
        <w:t xml:space="preserve"> </w:t>
      </w:r>
      <w:r>
        <w:rPr>
          <w:sz w:val="21"/>
        </w:rPr>
        <w:t>a</w:t>
      </w:r>
      <w:r>
        <w:rPr>
          <w:spacing w:val="-8"/>
          <w:sz w:val="21"/>
        </w:rPr>
        <w:t xml:space="preserve"> </w:t>
      </w:r>
      <w:r>
        <w:rPr>
          <w:sz w:val="21"/>
        </w:rPr>
        <w:t>concerning</w:t>
      </w:r>
      <w:r>
        <w:rPr>
          <w:spacing w:val="-9"/>
          <w:sz w:val="21"/>
        </w:rPr>
        <w:t xml:space="preserve"> </w:t>
      </w:r>
      <w:r>
        <w:rPr>
          <w:sz w:val="21"/>
        </w:rPr>
        <w:t>30%</w:t>
      </w:r>
      <w:r>
        <w:rPr>
          <w:spacing w:val="-8"/>
          <w:sz w:val="21"/>
        </w:rPr>
        <w:t xml:space="preserve"> </w:t>
      </w:r>
      <w:r>
        <w:rPr>
          <w:sz w:val="21"/>
        </w:rPr>
        <w:t>of</w:t>
      </w:r>
      <w:r>
        <w:rPr>
          <w:spacing w:val="-7"/>
          <w:sz w:val="21"/>
        </w:rPr>
        <w:t xml:space="preserve"> </w:t>
      </w:r>
      <w:r>
        <w:rPr>
          <w:sz w:val="21"/>
        </w:rPr>
        <w:t>youth</w:t>
      </w:r>
      <w:r>
        <w:rPr>
          <w:spacing w:val="-6"/>
          <w:sz w:val="21"/>
        </w:rPr>
        <w:t xml:space="preserve"> </w:t>
      </w:r>
      <w:r>
        <w:rPr>
          <w:sz w:val="21"/>
        </w:rPr>
        <w:t>captured</w:t>
      </w:r>
      <w:r>
        <w:rPr>
          <w:spacing w:val="-8"/>
          <w:sz w:val="21"/>
        </w:rPr>
        <w:t xml:space="preserve"> </w:t>
      </w:r>
      <w:r>
        <w:rPr>
          <w:sz w:val="21"/>
        </w:rPr>
        <w:t>in the 2022</w:t>
      </w:r>
      <w:r>
        <w:rPr>
          <w:spacing w:val="-2"/>
          <w:sz w:val="21"/>
        </w:rPr>
        <w:t xml:space="preserve"> </w:t>
      </w:r>
      <w:r>
        <w:rPr>
          <w:sz w:val="21"/>
        </w:rPr>
        <w:t>Youth</w:t>
      </w:r>
      <w:r>
        <w:rPr>
          <w:spacing w:val="-1"/>
          <w:sz w:val="21"/>
        </w:rPr>
        <w:t xml:space="preserve"> </w:t>
      </w:r>
      <w:r>
        <w:rPr>
          <w:sz w:val="21"/>
        </w:rPr>
        <w:t>Count</w:t>
      </w:r>
      <w:r>
        <w:rPr>
          <w:spacing w:val="-2"/>
          <w:sz w:val="21"/>
        </w:rPr>
        <w:t xml:space="preserve"> </w:t>
      </w:r>
      <w:r>
        <w:rPr>
          <w:sz w:val="21"/>
        </w:rPr>
        <w:t>identified</w:t>
      </w:r>
      <w:r>
        <w:rPr>
          <w:spacing w:val="-1"/>
          <w:sz w:val="21"/>
        </w:rPr>
        <w:t xml:space="preserve"> </w:t>
      </w:r>
      <w:r>
        <w:rPr>
          <w:sz w:val="21"/>
        </w:rPr>
        <w:t>as</w:t>
      </w:r>
      <w:r>
        <w:rPr>
          <w:spacing w:val="-2"/>
          <w:sz w:val="21"/>
        </w:rPr>
        <w:t xml:space="preserve"> </w:t>
      </w:r>
      <w:r>
        <w:rPr>
          <w:sz w:val="21"/>
        </w:rPr>
        <w:t>LGBTQ; within</w:t>
      </w:r>
      <w:r>
        <w:rPr>
          <w:spacing w:val="-1"/>
          <w:sz w:val="21"/>
        </w:rPr>
        <w:t xml:space="preserve"> </w:t>
      </w:r>
      <w:r>
        <w:rPr>
          <w:sz w:val="21"/>
        </w:rPr>
        <w:t>this</w:t>
      </w:r>
      <w:r>
        <w:rPr>
          <w:spacing w:val="-1"/>
          <w:sz w:val="21"/>
        </w:rPr>
        <w:t xml:space="preserve"> </w:t>
      </w:r>
      <w:r>
        <w:rPr>
          <w:sz w:val="21"/>
        </w:rPr>
        <w:t>number,</w:t>
      </w:r>
      <w:r>
        <w:rPr>
          <w:spacing w:val="-3"/>
          <w:sz w:val="21"/>
        </w:rPr>
        <w:t xml:space="preserve"> </w:t>
      </w:r>
      <w:r>
        <w:rPr>
          <w:sz w:val="21"/>
        </w:rPr>
        <w:t>5.6%</w:t>
      </w:r>
      <w:r>
        <w:rPr>
          <w:spacing w:val="-3"/>
          <w:sz w:val="21"/>
        </w:rPr>
        <w:t xml:space="preserve"> </w:t>
      </w:r>
      <w:r>
        <w:rPr>
          <w:sz w:val="21"/>
        </w:rPr>
        <w:t>identified as transgender, nonbinary, or Two-Spirit.</w:t>
      </w:r>
      <w:r>
        <w:rPr>
          <w:spacing w:val="-2"/>
          <w:sz w:val="21"/>
        </w:rPr>
        <w:t xml:space="preserve"> </w:t>
      </w:r>
      <w:hyperlink w:anchor="_bookmark590" w:history="1">
        <w:r>
          <w:rPr>
            <w:sz w:val="21"/>
            <w:vertAlign w:val="superscript"/>
          </w:rPr>
          <w:t>10</w:t>
        </w:r>
      </w:hyperlink>
      <w:r>
        <w:rPr>
          <w:sz w:val="21"/>
        </w:rPr>
        <w:t xml:space="preserve"> Considering that only 21% of Massachusetts</w:t>
      </w:r>
      <w:r>
        <w:rPr>
          <w:spacing w:val="31"/>
          <w:sz w:val="21"/>
        </w:rPr>
        <w:t xml:space="preserve"> </w:t>
      </w:r>
      <w:r>
        <w:rPr>
          <w:sz w:val="21"/>
        </w:rPr>
        <w:t>youth</w:t>
      </w:r>
      <w:r>
        <w:rPr>
          <w:spacing w:val="31"/>
          <w:sz w:val="21"/>
        </w:rPr>
        <w:t xml:space="preserve"> </w:t>
      </w:r>
      <w:r>
        <w:rPr>
          <w:sz w:val="21"/>
        </w:rPr>
        <w:t>identify</w:t>
      </w:r>
      <w:r>
        <w:rPr>
          <w:spacing w:val="32"/>
          <w:sz w:val="21"/>
        </w:rPr>
        <w:t xml:space="preserve"> </w:t>
      </w:r>
      <w:r>
        <w:rPr>
          <w:sz w:val="21"/>
        </w:rPr>
        <w:t>as</w:t>
      </w:r>
      <w:r>
        <w:rPr>
          <w:spacing w:val="29"/>
          <w:sz w:val="21"/>
        </w:rPr>
        <w:t xml:space="preserve"> </w:t>
      </w:r>
      <w:r>
        <w:rPr>
          <w:sz w:val="21"/>
        </w:rPr>
        <w:t>LGB,</w:t>
      </w:r>
      <w:r>
        <w:rPr>
          <w:spacing w:val="30"/>
          <w:sz w:val="21"/>
        </w:rPr>
        <w:t xml:space="preserve"> </w:t>
      </w:r>
      <w:r>
        <w:rPr>
          <w:sz w:val="21"/>
        </w:rPr>
        <w:t>and</w:t>
      </w:r>
      <w:r>
        <w:rPr>
          <w:spacing w:val="29"/>
          <w:sz w:val="21"/>
        </w:rPr>
        <w:t xml:space="preserve"> </w:t>
      </w:r>
      <w:r>
        <w:rPr>
          <w:sz w:val="21"/>
        </w:rPr>
        <w:t>5%</w:t>
      </w:r>
      <w:r>
        <w:rPr>
          <w:spacing w:val="32"/>
          <w:sz w:val="21"/>
        </w:rPr>
        <w:t xml:space="preserve"> </w:t>
      </w:r>
      <w:r>
        <w:rPr>
          <w:sz w:val="21"/>
        </w:rPr>
        <w:t>identifying</w:t>
      </w:r>
      <w:r>
        <w:rPr>
          <w:spacing w:val="31"/>
          <w:sz w:val="21"/>
        </w:rPr>
        <w:t xml:space="preserve"> </w:t>
      </w:r>
      <w:r>
        <w:rPr>
          <w:sz w:val="21"/>
        </w:rPr>
        <w:t>as</w:t>
      </w:r>
      <w:r>
        <w:rPr>
          <w:spacing w:val="31"/>
          <w:sz w:val="21"/>
        </w:rPr>
        <w:t xml:space="preserve"> </w:t>
      </w:r>
      <w:r>
        <w:rPr>
          <w:sz w:val="21"/>
        </w:rPr>
        <w:t>transgender</w:t>
      </w:r>
      <w:r>
        <w:rPr>
          <w:spacing w:val="31"/>
          <w:sz w:val="21"/>
        </w:rPr>
        <w:t xml:space="preserve"> </w:t>
      </w:r>
      <w:r>
        <w:rPr>
          <w:spacing w:val="-5"/>
          <w:sz w:val="21"/>
        </w:rPr>
        <w:t>or</w:t>
      </w:r>
    </w:p>
    <w:p w:rsidR="00200FDA" w:rsidRDefault="00F76C4C">
      <w:pPr>
        <w:spacing w:line="276" w:lineRule="auto"/>
        <w:ind w:left="139" w:right="139"/>
        <w:jc w:val="both"/>
        <w:rPr>
          <w:sz w:val="21"/>
        </w:rPr>
      </w:pPr>
      <w:r>
        <w:rPr>
          <w:sz w:val="21"/>
        </w:rPr>
        <w:t>questioning,</w:t>
      </w:r>
      <w:hyperlink w:anchor="_bookmark591" w:history="1">
        <w:r>
          <w:rPr>
            <w:sz w:val="21"/>
            <w:vertAlign w:val="superscript"/>
          </w:rPr>
          <w:t>11</w:t>
        </w:r>
      </w:hyperlink>
      <w:r>
        <w:rPr>
          <w:spacing w:val="-2"/>
          <w:sz w:val="21"/>
        </w:rPr>
        <w:t xml:space="preserve"> </w:t>
      </w:r>
      <w:r>
        <w:rPr>
          <w:sz w:val="21"/>
        </w:rPr>
        <w:t>this</w:t>
      </w:r>
      <w:r>
        <w:rPr>
          <w:spacing w:val="-7"/>
          <w:sz w:val="21"/>
        </w:rPr>
        <w:t xml:space="preserve"> </w:t>
      </w:r>
      <w:r>
        <w:rPr>
          <w:sz w:val="21"/>
        </w:rPr>
        <w:t>Youth</w:t>
      </w:r>
      <w:r>
        <w:rPr>
          <w:spacing w:val="-6"/>
          <w:sz w:val="21"/>
        </w:rPr>
        <w:t xml:space="preserve"> </w:t>
      </w:r>
      <w:r>
        <w:rPr>
          <w:sz w:val="21"/>
        </w:rPr>
        <w:t>Count</w:t>
      </w:r>
      <w:r>
        <w:rPr>
          <w:spacing w:val="-7"/>
          <w:sz w:val="21"/>
        </w:rPr>
        <w:t xml:space="preserve"> </w:t>
      </w:r>
      <w:r>
        <w:rPr>
          <w:sz w:val="21"/>
        </w:rPr>
        <w:t>data</w:t>
      </w:r>
      <w:r>
        <w:rPr>
          <w:spacing w:val="-6"/>
          <w:sz w:val="21"/>
        </w:rPr>
        <w:t xml:space="preserve"> </w:t>
      </w:r>
      <w:r>
        <w:rPr>
          <w:sz w:val="21"/>
        </w:rPr>
        <w:t>clearly</w:t>
      </w:r>
      <w:r>
        <w:rPr>
          <w:spacing w:val="-8"/>
          <w:sz w:val="21"/>
        </w:rPr>
        <w:t xml:space="preserve"> </w:t>
      </w:r>
      <w:r>
        <w:rPr>
          <w:sz w:val="21"/>
        </w:rPr>
        <w:t>indicates</w:t>
      </w:r>
      <w:r>
        <w:rPr>
          <w:spacing w:val="-7"/>
          <w:sz w:val="21"/>
        </w:rPr>
        <w:t xml:space="preserve"> </w:t>
      </w:r>
      <w:r>
        <w:rPr>
          <w:sz w:val="21"/>
        </w:rPr>
        <w:t>that</w:t>
      </w:r>
      <w:r>
        <w:rPr>
          <w:spacing w:val="-9"/>
          <w:sz w:val="21"/>
        </w:rPr>
        <w:t xml:space="preserve"> </w:t>
      </w:r>
      <w:r>
        <w:rPr>
          <w:sz w:val="21"/>
        </w:rPr>
        <w:t>LGBTQ</w:t>
      </w:r>
      <w:r>
        <w:rPr>
          <w:spacing w:val="-9"/>
          <w:sz w:val="21"/>
        </w:rPr>
        <w:t xml:space="preserve"> </w:t>
      </w:r>
      <w:r>
        <w:rPr>
          <w:sz w:val="21"/>
        </w:rPr>
        <w:t>youth</w:t>
      </w:r>
      <w:r>
        <w:rPr>
          <w:spacing w:val="-6"/>
          <w:sz w:val="21"/>
        </w:rPr>
        <w:t xml:space="preserve"> </w:t>
      </w:r>
      <w:r>
        <w:rPr>
          <w:sz w:val="21"/>
        </w:rPr>
        <w:t>are</w:t>
      </w:r>
      <w:r>
        <w:rPr>
          <w:spacing w:val="-8"/>
          <w:sz w:val="21"/>
        </w:rPr>
        <w:t xml:space="preserve"> </w:t>
      </w:r>
      <w:r>
        <w:rPr>
          <w:sz w:val="21"/>
        </w:rPr>
        <w:t>still</w:t>
      </w:r>
      <w:r>
        <w:rPr>
          <w:spacing w:val="-6"/>
          <w:sz w:val="21"/>
        </w:rPr>
        <w:t xml:space="preserve"> </w:t>
      </w:r>
      <w:r>
        <w:rPr>
          <w:sz w:val="21"/>
        </w:rPr>
        <w:t>overrepresented</w:t>
      </w:r>
      <w:r>
        <w:rPr>
          <w:spacing w:val="-9"/>
          <w:sz w:val="21"/>
        </w:rPr>
        <w:t xml:space="preserve"> </w:t>
      </w:r>
      <w:r>
        <w:rPr>
          <w:sz w:val="21"/>
        </w:rPr>
        <w:t>among</w:t>
      </w:r>
      <w:r>
        <w:rPr>
          <w:spacing w:val="-7"/>
          <w:sz w:val="21"/>
        </w:rPr>
        <w:t xml:space="preserve"> </w:t>
      </w:r>
      <w:r>
        <w:rPr>
          <w:sz w:val="21"/>
        </w:rPr>
        <w:t>youth experiencing homelessness.</w:t>
      </w:r>
    </w:p>
    <w:p w:rsidR="00200FDA" w:rsidRDefault="00200FDA">
      <w:pPr>
        <w:pStyle w:val="BodyText"/>
        <w:spacing w:before="8"/>
        <w:rPr>
          <w:sz w:val="19"/>
        </w:rPr>
      </w:pPr>
    </w:p>
    <w:p w:rsidR="00200FDA" w:rsidRDefault="00F76C4C">
      <w:pPr>
        <w:spacing w:line="276" w:lineRule="auto"/>
        <w:ind w:left="139" w:right="134"/>
        <w:jc w:val="both"/>
        <w:rPr>
          <w:sz w:val="21"/>
        </w:rPr>
      </w:pPr>
      <w:r>
        <w:rPr>
          <w:sz w:val="21"/>
        </w:rPr>
        <w:t>According to the 2020 Special Report to the MA Unaccompanied Homeless Youth Commission, preliminary data reported a 38% increase in youth and young adults accessing housing support services, including homelessness prevention programs.</w:t>
      </w:r>
      <w:hyperlink w:anchor="_bookmark592" w:history="1">
        <w:r>
          <w:rPr>
            <w:sz w:val="21"/>
            <w:vertAlign w:val="superscript"/>
          </w:rPr>
          <w:t>12</w:t>
        </w:r>
      </w:hyperlink>
      <w:r>
        <w:rPr>
          <w:spacing w:val="-11"/>
          <w:sz w:val="21"/>
        </w:rPr>
        <w:t xml:space="preserve"> </w:t>
      </w:r>
      <w:r>
        <w:rPr>
          <w:sz w:val="21"/>
        </w:rPr>
        <w:t>However, the 2022 Massachusetts Youth Count reports that 12% of LGBTQ youth reported sleeping in an unsheltered location, and only 32% report being able to access the services they needed.</w:t>
      </w:r>
      <w:hyperlink w:anchor="_bookmark593" w:history="1">
        <w:r>
          <w:rPr>
            <w:sz w:val="21"/>
            <w:vertAlign w:val="superscript"/>
          </w:rPr>
          <w:t>13</w:t>
        </w:r>
      </w:hyperlink>
    </w:p>
    <w:p w:rsidR="00200FDA" w:rsidRDefault="00200FDA">
      <w:pPr>
        <w:pStyle w:val="BodyText"/>
        <w:spacing w:before="7"/>
        <w:rPr>
          <w:sz w:val="19"/>
        </w:rPr>
      </w:pPr>
    </w:p>
    <w:p w:rsidR="00200FDA" w:rsidRDefault="00F76C4C">
      <w:pPr>
        <w:spacing w:before="1" w:line="276" w:lineRule="auto"/>
        <w:ind w:left="139" w:right="132"/>
        <w:jc w:val="both"/>
        <w:rPr>
          <w:sz w:val="21"/>
        </w:rPr>
      </w:pPr>
      <w:r>
        <w:rPr>
          <w:sz w:val="21"/>
        </w:rPr>
        <w:t>As discussed throughout this annual report, LGBTQ youth experience daily stigmatization and discrimination; those who hold multiple marginalized, oppressed, and underserved identities, such as QTBIPOC youth and youth with disabilities, must contend with ad</w:t>
      </w:r>
      <w:r>
        <w:rPr>
          <w:sz w:val="21"/>
        </w:rPr>
        <w:t>ditional compounding factors of racism and ableism that can further result in detrimental psychological, physical, and emotional effects.</w:t>
      </w:r>
      <w:hyperlink w:anchor="_bookmark594" w:history="1">
        <w:r>
          <w:rPr>
            <w:sz w:val="21"/>
            <w:vertAlign w:val="superscript"/>
          </w:rPr>
          <w:t>14</w:t>
        </w:r>
      </w:hyperlink>
      <w:r>
        <w:rPr>
          <w:spacing w:val="-2"/>
          <w:sz w:val="21"/>
        </w:rPr>
        <w:t xml:space="preserve"> </w:t>
      </w:r>
      <w:r>
        <w:rPr>
          <w:sz w:val="21"/>
        </w:rPr>
        <w:t xml:space="preserve">The effects of systemic racism are highlighted by the significantly higher rates of </w:t>
      </w:r>
      <w:r>
        <w:rPr>
          <w:sz w:val="21"/>
        </w:rPr>
        <w:t>BIPOC youth experiencing homelessness and housing instability. Though the 2022 Youth Count does not break out race and ethnicity factors by sexual orientation or gender identity, 60% of youth experiencing homelessness in Massachusetts identify as BIPOC. Of</w:t>
      </w:r>
      <w:r>
        <w:rPr>
          <w:sz w:val="21"/>
        </w:rPr>
        <w:t xml:space="preserve"> these youth,</w:t>
      </w:r>
      <w:r>
        <w:rPr>
          <w:spacing w:val="-4"/>
          <w:sz w:val="21"/>
        </w:rPr>
        <w:t xml:space="preserve"> </w:t>
      </w:r>
      <w:r>
        <w:rPr>
          <w:sz w:val="21"/>
        </w:rPr>
        <w:t>22.9%</w:t>
      </w:r>
      <w:r>
        <w:rPr>
          <w:spacing w:val="-4"/>
          <w:sz w:val="21"/>
        </w:rPr>
        <w:t xml:space="preserve"> </w:t>
      </w:r>
      <w:r>
        <w:rPr>
          <w:sz w:val="21"/>
        </w:rPr>
        <w:t>identified</w:t>
      </w:r>
      <w:r>
        <w:rPr>
          <w:spacing w:val="-5"/>
          <w:sz w:val="21"/>
        </w:rPr>
        <w:t xml:space="preserve"> </w:t>
      </w:r>
      <w:r>
        <w:rPr>
          <w:sz w:val="21"/>
        </w:rPr>
        <w:t>as</w:t>
      </w:r>
      <w:r>
        <w:rPr>
          <w:spacing w:val="-8"/>
          <w:sz w:val="21"/>
        </w:rPr>
        <w:t xml:space="preserve"> </w:t>
      </w:r>
      <w:r>
        <w:rPr>
          <w:sz w:val="21"/>
        </w:rPr>
        <w:t>Black,</w:t>
      </w:r>
      <w:r>
        <w:rPr>
          <w:spacing w:val="-4"/>
          <w:sz w:val="21"/>
        </w:rPr>
        <w:t xml:space="preserve"> </w:t>
      </w:r>
      <w:r>
        <w:rPr>
          <w:sz w:val="21"/>
        </w:rPr>
        <w:t>17.8%</w:t>
      </w:r>
      <w:r>
        <w:rPr>
          <w:spacing w:val="-4"/>
          <w:sz w:val="21"/>
        </w:rPr>
        <w:t xml:space="preserve"> </w:t>
      </w:r>
      <w:r>
        <w:rPr>
          <w:sz w:val="21"/>
        </w:rPr>
        <w:t>as</w:t>
      </w:r>
      <w:r>
        <w:rPr>
          <w:spacing w:val="-5"/>
          <w:sz w:val="21"/>
        </w:rPr>
        <w:t xml:space="preserve"> </w:t>
      </w:r>
      <w:r>
        <w:rPr>
          <w:sz w:val="21"/>
        </w:rPr>
        <w:t>Latino,</w:t>
      </w:r>
      <w:r>
        <w:rPr>
          <w:spacing w:val="-4"/>
          <w:sz w:val="21"/>
        </w:rPr>
        <w:t xml:space="preserve"> </w:t>
      </w:r>
      <w:r>
        <w:rPr>
          <w:sz w:val="21"/>
        </w:rPr>
        <w:t>and</w:t>
      </w:r>
      <w:r>
        <w:rPr>
          <w:spacing w:val="-7"/>
          <w:sz w:val="21"/>
        </w:rPr>
        <w:t xml:space="preserve"> </w:t>
      </w:r>
      <w:r>
        <w:rPr>
          <w:sz w:val="21"/>
        </w:rPr>
        <w:t>16.1%</w:t>
      </w:r>
      <w:r>
        <w:rPr>
          <w:spacing w:val="-4"/>
          <w:sz w:val="21"/>
        </w:rPr>
        <w:t xml:space="preserve"> </w:t>
      </w:r>
      <w:r>
        <w:rPr>
          <w:sz w:val="21"/>
        </w:rPr>
        <w:t>as</w:t>
      </w:r>
      <w:r>
        <w:rPr>
          <w:spacing w:val="-5"/>
          <w:sz w:val="21"/>
        </w:rPr>
        <w:t xml:space="preserve"> </w:t>
      </w:r>
      <w:r>
        <w:rPr>
          <w:sz w:val="21"/>
        </w:rPr>
        <w:t>multiracial.</w:t>
      </w:r>
      <w:r>
        <w:rPr>
          <w:spacing w:val="-5"/>
          <w:sz w:val="21"/>
        </w:rPr>
        <w:t xml:space="preserve"> </w:t>
      </w:r>
      <w:r>
        <w:rPr>
          <w:sz w:val="21"/>
        </w:rPr>
        <w:t>Despite</w:t>
      </w:r>
      <w:r>
        <w:rPr>
          <w:spacing w:val="-4"/>
          <w:sz w:val="21"/>
        </w:rPr>
        <w:t xml:space="preserve"> </w:t>
      </w:r>
      <w:r>
        <w:rPr>
          <w:sz w:val="21"/>
        </w:rPr>
        <w:t>the</w:t>
      </w:r>
      <w:r>
        <w:rPr>
          <w:spacing w:val="-4"/>
          <w:sz w:val="21"/>
        </w:rPr>
        <w:t xml:space="preserve"> </w:t>
      </w:r>
      <w:r>
        <w:rPr>
          <w:sz w:val="21"/>
        </w:rPr>
        <w:t>disparities</w:t>
      </w:r>
      <w:r>
        <w:rPr>
          <w:spacing w:val="-5"/>
          <w:sz w:val="21"/>
        </w:rPr>
        <w:t xml:space="preserve"> </w:t>
      </w:r>
      <w:r>
        <w:rPr>
          <w:sz w:val="21"/>
        </w:rPr>
        <w:t>discussed</w:t>
      </w:r>
      <w:r>
        <w:rPr>
          <w:spacing w:val="-5"/>
          <w:sz w:val="21"/>
        </w:rPr>
        <w:t xml:space="preserve"> </w:t>
      </w:r>
      <w:r>
        <w:rPr>
          <w:sz w:val="21"/>
        </w:rPr>
        <w:t xml:space="preserve">in the paragraph below at the national level, only 0.5% of youth experiencing homelessness in Massachusetts identified as American Indian </w:t>
      </w:r>
      <w:r>
        <w:rPr>
          <w:sz w:val="21"/>
        </w:rPr>
        <w:t>(Native/Indigenous).</w:t>
      </w:r>
      <w:hyperlink w:anchor="_bookmark595" w:history="1">
        <w:r>
          <w:rPr>
            <w:sz w:val="21"/>
            <w:vertAlign w:val="superscript"/>
          </w:rPr>
          <w:t>15</w:t>
        </w:r>
      </w:hyperlink>
    </w:p>
    <w:p w:rsidR="00200FDA" w:rsidRDefault="00200FDA">
      <w:pPr>
        <w:spacing w:line="276" w:lineRule="auto"/>
        <w:jc w:val="both"/>
        <w:rPr>
          <w:sz w:val="21"/>
        </w:rPr>
        <w:sectPr w:rsidR="00200FDA">
          <w:pgSz w:w="12240" w:h="15840"/>
          <w:pgMar w:top="1360" w:right="1300" w:bottom="1240" w:left="1300" w:header="758" w:footer="1043" w:gutter="0"/>
          <w:cols w:space="720"/>
        </w:sectPr>
      </w:pPr>
    </w:p>
    <w:p w:rsidR="00200FDA" w:rsidRDefault="00F76C4C">
      <w:pPr>
        <w:spacing w:before="64" w:line="276" w:lineRule="auto"/>
        <w:ind w:left="139" w:right="134"/>
        <w:jc w:val="both"/>
        <w:rPr>
          <w:sz w:val="21"/>
        </w:rPr>
      </w:pPr>
      <w:r>
        <w:rPr>
          <w:sz w:val="21"/>
        </w:rPr>
        <w:lastRenderedPageBreak/>
        <w:t>However, nationally, the Trevor Project captured the following disparities: Native/Indigenous LGBTQ youth were more than twice as likely as white youth to experience homelessness, and 44% of Native/Indigenous LGBTQ or Two-Spirit youth reported experiencing</w:t>
      </w:r>
      <w:r>
        <w:rPr>
          <w:sz w:val="21"/>
        </w:rPr>
        <w:t xml:space="preserve"> homelessness or housing instability. While this number is not</w:t>
      </w:r>
      <w:r>
        <w:rPr>
          <w:spacing w:val="-12"/>
          <w:sz w:val="21"/>
        </w:rPr>
        <w:t xml:space="preserve"> </w:t>
      </w:r>
      <w:r>
        <w:rPr>
          <w:sz w:val="21"/>
        </w:rPr>
        <w:t>reflected</w:t>
      </w:r>
      <w:r>
        <w:rPr>
          <w:spacing w:val="-12"/>
          <w:sz w:val="21"/>
        </w:rPr>
        <w:t xml:space="preserve"> </w:t>
      </w:r>
      <w:r>
        <w:rPr>
          <w:sz w:val="21"/>
        </w:rPr>
        <w:t>in</w:t>
      </w:r>
      <w:r>
        <w:rPr>
          <w:spacing w:val="-12"/>
          <w:sz w:val="21"/>
        </w:rPr>
        <w:t xml:space="preserve"> </w:t>
      </w:r>
      <w:r>
        <w:rPr>
          <w:sz w:val="21"/>
        </w:rPr>
        <w:t>current</w:t>
      </w:r>
      <w:r>
        <w:rPr>
          <w:spacing w:val="-12"/>
          <w:sz w:val="21"/>
        </w:rPr>
        <w:t xml:space="preserve"> </w:t>
      </w:r>
      <w:r>
        <w:rPr>
          <w:sz w:val="21"/>
        </w:rPr>
        <w:t>data</w:t>
      </w:r>
      <w:r>
        <w:rPr>
          <w:spacing w:val="-12"/>
          <w:sz w:val="21"/>
        </w:rPr>
        <w:t xml:space="preserve"> </w:t>
      </w:r>
      <w:r>
        <w:rPr>
          <w:sz w:val="21"/>
        </w:rPr>
        <w:t>of</w:t>
      </w:r>
      <w:r>
        <w:rPr>
          <w:spacing w:val="-12"/>
          <w:sz w:val="21"/>
        </w:rPr>
        <w:t xml:space="preserve"> </w:t>
      </w:r>
      <w:r>
        <w:rPr>
          <w:sz w:val="21"/>
        </w:rPr>
        <w:t>youth</w:t>
      </w:r>
      <w:r>
        <w:rPr>
          <w:spacing w:val="-12"/>
          <w:sz w:val="21"/>
        </w:rPr>
        <w:t xml:space="preserve"> </w:t>
      </w:r>
      <w:r>
        <w:rPr>
          <w:sz w:val="21"/>
        </w:rPr>
        <w:t>experiencing</w:t>
      </w:r>
      <w:r>
        <w:rPr>
          <w:spacing w:val="-11"/>
          <w:sz w:val="21"/>
        </w:rPr>
        <w:t xml:space="preserve"> </w:t>
      </w:r>
      <w:r>
        <w:rPr>
          <w:sz w:val="21"/>
        </w:rPr>
        <w:t>homelessness</w:t>
      </w:r>
      <w:r>
        <w:rPr>
          <w:spacing w:val="-12"/>
          <w:sz w:val="21"/>
        </w:rPr>
        <w:t xml:space="preserve"> </w:t>
      </w:r>
      <w:r>
        <w:rPr>
          <w:sz w:val="21"/>
        </w:rPr>
        <w:t>in</w:t>
      </w:r>
      <w:r>
        <w:rPr>
          <w:spacing w:val="-12"/>
          <w:sz w:val="21"/>
        </w:rPr>
        <w:t xml:space="preserve"> </w:t>
      </w:r>
      <w:r>
        <w:rPr>
          <w:sz w:val="21"/>
        </w:rPr>
        <w:t>Massachusetts,</w:t>
      </w:r>
      <w:r>
        <w:rPr>
          <w:spacing w:val="-12"/>
          <w:sz w:val="21"/>
        </w:rPr>
        <w:t xml:space="preserve"> </w:t>
      </w:r>
      <w:r>
        <w:rPr>
          <w:sz w:val="21"/>
        </w:rPr>
        <w:t>it</w:t>
      </w:r>
      <w:r>
        <w:rPr>
          <w:spacing w:val="-12"/>
          <w:sz w:val="21"/>
        </w:rPr>
        <w:t xml:space="preserve"> </w:t>
      </w:r>
      <w:r>
        <w:rPr>
          <w:sz w:val="21"/>
        </w:rPr>
        <w:t>is</w:t>
      </w:r>
      <w:r>
        <w:rPr>
          <w:spacing w:val="-12"/>
          <w:sz w:val="21"/>
        </w:rPr>
        <w:t xml:space="preserve"> </w:t>
      </w:r>
      <w:r>
        <w:rPr>
          <w:sz w:val="21"/>
        </w:rPr>
        <w:t>essential</w:t>
      </w:r>
      <w:r>
        <w:rPr>
          <w:spacing w:val="-12"/>
          <w:sz w:val="21"/>
        </w:rPr>
        <w:t xml:space="preserve"> </w:t>
      </w:r>
      <w:r>
        <w:rPr>
          <w:sz w:val="21"/>
        </w:rPr>
        <w:t>to</w:t>
      </w:r>
      <w:r>
        <w:rPr>
          <w:spacing w:val="-12"/>
          <w:sz w:val="21"/>
        </w:rPr>
        <w:t xml:space="preserve"> </w:t>
      </w:r>
      <w:r>
        <w:rPr>
          <w:sz w:val="21"/>
        </w:rPr>
        <w:t>understand that youth identifying as Indigenous and LGBTQ or Two-Spirit typically face even gre</w:t>
      </w:r>
      <w:r>
        <w:rPr>
          <w:sz w:val="21"/>
        </w:rPr>
        <w:t>ater risks of rejection, isolation,</w:t>
      </w:r>
      <w:r>
        <w:rPr>
          <w:spacing w:val="-5"/>
          <w:sz w:val="21"/>
        </w:rPr>
        <w:t xml:space="preserve"> </w:t>
      </w:r>
      <w:r>
        <w:rPr>
          <w:sz w:val="21"/>
        </w:rPr>
        <w:t>assault,</w:t>
      </w:r>
      <w:r>
        <w:rPr>
          <w:spacing w:val="-5"/>
          <w:sz w:val="21"/>
        </w:rPr>
        <w:t xml:space="preserve"> </w:t>
      </w:r>
      <w:r>
        <w:rPr>
          <w:sz w:val="21"/>
        </w:rPr>
        <w:t>and</w:t>
      </w:r>
      <w:r>
        <w:rPr>
          <w:spacing w:val="-6"/>
          <w:sz w:val="21"/>
        </w:rPr>
        <w:t xml:space="preserve"> </w:t>
      </w:r>
      <w:r>
        <w:rPr>
          <w:sz w:val="21"/>
        </w:rPr>
        <w:t>cultural</w:t>
      </w:r>
      <w:r>
        <w:rPr>
          <w:spacing w:val="-6"/>
          <w:sz w:val="21"/>
        </w:rPr>
        <w:t xml:space="preserve"> </w:t>
      </w:r>
      <w:r>
        <w:rPr>
          <w:sz w:val="21"/>
        </w:rPr>
        <w:t>erasure</w:t>
      </w:r>
      <w:r>
        <w:rPr>
          <w:spacing w:val="-5"/>
          <w:sz w:val="21"/>
        </w:rPr>
        <w:t xml:space="preserve"> </w:t>
      </w:r>
      <w:r>
        <w:rPr>
          <w:sz w:val="21"/>
        </w:rPr>
        <w:t>compared</w:t>
      </w:r>
      <w:r>
        <w:rPr>
          <w:spacing w:val="-6"/>
          <w:sz w:val="21"/>
        </w:rPr>
        <w:t xml:space="preserve"> </w:t>
      </w:r>
      <w:r>
        <w:rPr>
          <w:sz w:val="21"/>
        </w:rPr>
        <w:t>to</w:t>
      </w:r>
      <w:r>
        <w:rPr>
          <w:spacing w:val="-6"/>
          <w:sz w:val="21"/>
        </w:rPr>
        <w:t xml:space="preserve"> </w:t>
      </w:r>
      <w:r>
        <w:rPr>
          <w:sz w:val="21"/>
        </w:rPr>
        <w:t>other</w:t>
      </w:r>
      <w:r>
        <w:rPr>
          <w:spacing w:val="-5"/>
          <w:sz w:val="21"/>
        </w:rPr>
        <w:t xml:space="preserve"> </w:t>
      </w:r>
      <w:r>
        <w:rPr>
          <w:sz w:val="21"/>
        </w:rPr>
        <w:t>LGBTQ</w:t>
      </w:r>
      <w:r>
        <w:rPr>
          <w:spacing w:val="-6"/>
          <w:sz w:val="21"/>
        </w:rPr>
        <w:t xml:space="preserve"> </w:t>
      </w:r>
      <w:r>
        <w:rPr>
          <w:sz w:val="21"/>
        </w:rPr>
        <w:t>peers.</w:t>
      </w:r>
      <w:r>
        <w:rPr>
          <w:spacing w:val="-6"/>
          <w:sz w:val="21"/>
        </w:rPr>
        <w:t xml:space="preserve"> </w:t>
      </w:r>
      <w:r>
        <w:rPr>
          <w:sz w:val="21"/>
        </w:rPr>
        <w:t>When</w:t>
      </w:r>
      <w:r>
        <w:rPr>
          <w:spacing w:val="-6"/>
          <w:sz w:val="21"/>
        </w:rPr>
        <w:t xml:space="preserve"> </w:t>
      </w:r>
      <w:r>
        <w:rPr>
          <w:sz w:val="21"/>
        </w:rPr>
        <w:t>designing</w:t>
      </w:r>
      <w:r>
        <w:rPr>
          <w:spacing w:val="-6"/>
          <w:sz w:val="21"/>
        </w:rPr>
        <w:t xml:space="preserve"> </w:t>
      </w:r>
      <w:r>
        <w:rPr>
          <w:sz w:val="21"/>
        </w:rPr>
        <w:t>culturally</w:t>
      </w:r>
      <w:r>
        <w:rPr>
          <w:spacing w:val="-5"/>
          <w:sz w:val="21"/>
        </w:rPr>
        <w:t xml:space="preserve"> </w:t>
      </w:r>
      <w:r>
        <w:rPr>
          <w:sz w:val="21"/>
        </w:rPr>
        <w:t>responsible homelessness prevention and intervention strategies across the Commonwealth, decision-makers must collaborate with Indige</w:t>
      </w:r>
      <w:r>
        <w:rPr>
          <w:sz w:val="21"/>
        </w:rPr>
        <w:t xml:space="preserve">nous stakeholders to better support Two-Spirit youth. </w:t>
      </w:r>
      <w:hyperlink w:anchor="_bookmark596" w:history="1">
        <w:r>
          <w:rPr>
            <w:sz w:val="21"/>
            <w:vertAlign w:val="superscript"/>
          </w:rPr>
          <w:t>16</w:t>
        </w:r>
      </w:hyperlink>
      <w:r>
        <w:rPr>
          <w:sz w:val="21"/>
        </w:rPr>
        <w:t xml:space="preserve"> Furthermore, 36% of multiracial</w:t>
      </w:r>
      <w:r>
        <w:rPr>
          <w:spacing w:val="-3"/>
          <w:sz w:val="21"/>
        </w:rPr>
        <w:t xml:space="preserve"> </w:t>
      </w:r>
      <w:r>
        <w:rPr>
          <w:sz w:val="21"/>
        </w:rPr>
        <w:t>youth,</w:t>
      </w:r>
      <w:r>
        <w:rPr>
          <w:spacing w:val="-4"/>
          <w:sz w:val="21"/>
        </w:rPr>
        <w:t xml:space="preserve"> </w:t>
      </w:r>
      <w:r>
        <w:rPr>
          <w:sz w:val="21"/>
        </w:rPr>
        <w:t>28%</w:t>
      </w:r>
      <w:r>
        <w:rPr>
          <w:spacing w:val="-2"/>
          <w:sz w:val="21"/>
        </w:rPr>
        <w:t xml:space="preserve"> </w:t>
      </w:r>
      <w:r>
        <w:rPr>
          <w:sz w:val="21"/>
        </w:rPr>
        <w:t>of</w:t>
      </w:r>
      <w:r>
        <w:rPr>
          <w:spacing w:val="-4"/>
          <w:sz w:val="21"/>
        </w:rPr>
        <w:t xml:space="preserve"> </w:t>
      </w:r>
      <w:r>
        <w:rPr>
          <w:sz w:val="21"/>
        </w:rPr>
        <w:t>Black</w:t>
      </w:r>
      <w:r>
        <w:rPr>
          <w:spacing w:val="-2"/>
          <w:sz w:val="21"/>
        </w:rPr>
        <w:t xml:space="preserve"> </w:t>
      </w:r>
      <w:r>
        <w:rPr>
          <w:sz w:val="21"/>
        </w:rPr>
        <w:t>youth,</w:t>
      </w:r>
      <w:r>
        <w:rPr>
          <w:spacing w:val="-2"/>
          <w:sz w:val="21"/>
        </w:rPr>
        <w:t xml:space="preserve"> </w:t>
      </w:r>
      <w:r>
        <w:rPr>
          <w:sz w:val="21"/>
        </w:rPr>
        <w:t>and</w:t>
      </w:r>
      <w:r>
        <w:rPr>
          <w:spacing w:val="-4"/>
          <w:sz w:val="21"/>
        </w:rPr>
        <w:t xml:space="preserve"> </w:t>
      </w:r>
      <w:r>
        <w:rPr>
          <w:sz w:val="21"/>
        </w:rPr>
        <w:t>27%</w:t>
      </w:r>
      <w:r>
        <w:rPr>
          <w:spacing w:val="-4"/>
          <w:sz w:val="21"/>
        </w:rPr>
        <w:t xml:space="preserve"> </w:t>
      </w:r>
      <w:r>
        <w:rPr>
          <w:sz w:val="21"/>
        </w:rPr>
        <w:t>of</w:t>
      </w:r>
      <w:r>
        <w:rPr>
          <w:spacing w:val="-4"/>
          <w:sz w:val="21"/>
        </w:rPr>
        <w:t xml:space="preserve"> </w:t>
      </w:r>
      <w:r>
        <w:rPr>
          <w:sz w:val="21"/>
        </w:rPr>
        <w:t>Latinx</w:t>
      </w:r>
      <w:r>
        <w:rPr>
          <w:spacing w:val="-4"/>
          <w:sz w:val="21"/>
        </w:rPr>
        <w:t xml:space="preserve"> </w:t>
      </w:r>
      <w:r>
        <w:rPr>
          <w:sz w:val="21"/>
        </w:rPr>
        <w:t>LGBTQ</w:t>
      </w:r>
      <w:r>
        <w:rPr>
          <w:spacing w:val="-4"/>
          <w:sz w:val="21"/>
        </w:rPr>
        <w:t xml:space="preserve"> </w:t>
      </w:r>
      <w:r>
        <w:rPr>
          <w:sz w:val="21"/>
        </w:rPr>
        <w:t>youth</w:t>
      </w:r>
      <w:r>
        <w:rPr>
          <w:spacing w:val="-3"/>
          <w:sz w:val="21"/>
        </w:rPr>
        <w:t xml:space="preserve"> </w:t>
      </w:r>
      <w:r>
        <w:rPr>
          <w:sz w:val="21"/>
        </w:rPr>
        <w:t>reported</w:t>
      </w:r>
      <w:r>
        <w:rPr>
          <w:spacing w:val="-4"/>
          <w:sz w:val="21"/>
        </w:rPr>
        <w:t xml:space="preserve"> </w:t>
      </w:r>
      <w:r>
        <w:rPr>
          <w:sz w:val="21"/>
        </w:rPr>
        <w:t>experiencing</w:t>
      </w:r>
      <w:r>
        <w:rPr>
          <w:spacing w:val="-3"/>
          <w:sz w:val="21"/>
        </w:rPr>
        <w:t xml:space="preserve"> </w:t>
      </w:r>
      <w:r>
        <w:rPr>
          <w:sz w:val="21"/>
        </w:rPr>
        <w:t>homelessness</w:t>
      </w:r>
      <w:r>
        <w:rPr>
          <w:spacing w:val="-3"/>
          <w:sz w:val="21"/>
        </w:rPr>
        <w:t xml:space="preserve"> </w:t>
      </w:r>
      <w:r>
        <w:rPr>
          <w:sz w:val="21"/>
        </w:rPr>
        <w:t>or housing instability across the nation, and were more likely to experience challenges exiting homelessness compared to white LGBTQ youth.</w:t>
      </w:r>
      <w:hyperlink w:anchor="_bookmark597" w:history="1">
        <w:r>
          <w:rPr>
            <w:sz w:val="21"/>
            <w:vertAlign w:val="superscript"/>
          </w:rPr>
          <w:t>17</w:t>
        </w:r>
      </w:hyperlink>
    </w:p>
    <w:p w:rsidR="00200FDA" w:rsidRDefault="00200FDA">
      <w:pPr>
        <w:pStyle w:val="BodyText"/>
        <w:spacing w:before="7"/>
        <w:rPr>
          <w:sz w:val="19"/>
        </w:rPr>
      </w:pPr>
    </w:p>
    <w:p w:rsidR="00200FDA" w:rsidRDefault="00F76C4C">
      <w:pPr>
        <w:spacing w:line="276" w:lineRule="auto"/>
        <w:ind w:left="139" w:right="132"/>
        <w:jc w:val="both"/>
        <w:rPr>
          <w:sz w:val="21"/>
        </w:rPr>
      </w:pPr>
      <w:r>
        <w:rPr>
          <w:sz w:val="21"/>
        </w:rPr>
        <w:t>Given the multifaceted risk factors that youth experiencing homelessness face, th</w:t>
      </w:r>
      <w:r>
        <w:rPr>
          <w:sz w:val="21"/>
        </w:rPr>
        <w:t>e Commission is grateful to continue</w:t>
      </w:r>
      <w:r>
        <w:rPr>
          <w:spacing w:val="-9"/>
          <w:sz w:val="21"/>
        </w:rPr>
        <w:t xml:space="preserve"> </w:t>
      </w:r>
      <w:r>
        <w:rPr>
          <w:sz w:val="21"/>
        </w:rPr>
        <w:t>its</w:t>
      </w:r>
      <w:r>
        <w:rPr>
          <w:spacing w:val="-10"/>
          <w:sz w:val="21"/>
        </w:rPr>
        <w:t xml:space="preserve"> </w:t>
      </w:r>
      <w:r>
        <w:rPr>
          <w:sz w:val="21"/>
        </w:rPr>
        <w:t>partnership</w:t>
      </w:r>
      <w:r>
        <w:rPr>
          <w:spacing w:val="-12"/>
          <w:sz w:val="21"/>
        </w:rPr>
        <w:t xml:space="preserve"> </w:t>
      </w:r>
      <w:r>
        <w:rPr>
          <w:sz w:val="21"/>
        </w:rPr>
        <w:t>with</w:t>
      </w:r>
      <w:r>
        <w:rPr>
          <w:spacing w:val="-10"/>
          <w:sz w:val="21"/>
        </w:rPr>
        <w:t xml:space="preserve"> </w:t>
      </w:r>
      <w:r>
        <w:rPr>
          <w:sz w:val="21"/>
        </w:rPr>
        <w:t>the</w:t>
      </w:r>
      <w:r>
        <w:rPr>
          <w:spacing w:val="-9"/>
          <w:sz w:val="21"/>
        </w:rPr>
        <w:t xml:space="preserve"> </w:t>
      </w:r>
      <w:r>
        <w:rPr>
          <w:sz w:val="21"/>
        </w:rPr>
        <w:t>Unaccompanied</w:t>
      </w:r>
      <w:r>
        <w:rPr>
          <w:spacing w:val="-12"/>
          <w:sz w:val="21"/>
        </w:rPr>
        <w:t xml:space="preserve"> </w:t>
      </w:r>
      <w:r>
        <w:rPr>
          <w:sz w:val="21"/>
        </w:rPr>
        <w:t>Homeless</w:t>
      </w:r>
      <w:r>
        <w:rPr>
          <w:spacing w:val="-10"/>
          <w:sz w:val="21"/>
        </w:rPr>
        <w:t xml:space="preserve"> </w:t>
      </w:r>
      <w:r>
        <w:rPr>
          <w:sz w:val="21"/>
        </w:rPr>
        <w:t>Youth</w:t>
      </w:r>
      <w:r>
        <w:rPr>
          <w:spacing w:val="-10"/>
          <w:sz w:val="21"/>
        </w:rPr>
        <w:t xml:space="preserve"> </w:t>
      </w:r>
      <w:r>
        <w:rPr>
          <w:sz w:val="21"/>
        </w:rPr>
        <w:t>Commission</w:t>
      </w:r>
      <w:r>
        <w:rPr>
          <w:spacing w:val="-10"/>
          <w:sz w:val="21"/>
        </w:rPr>
        <w:t xml:space="preserve"> </w:t>
      </w:r>
      <w:r>
        <w:rPr>
          <w:sz w:val="21"/>
        </w:rPr>
        <w:t>to</w:t>
      </w:r>
      <w:r>
        <w:rPr>
          <w:spacing w:val="-10"/>
          <w:sz w:val="21"/>
        </w:rPr>
        <w:t xml:space="preserve"> </w:t>
      </w:r>
      <w:r>
        <w:rPr>
          <w:sz w:val="21"/>
        </w:rPr>
        <w:t>support</w:t>
      </w:r>
      <w:r>
        <w:rPr>
          <w:spacing w:val="-10"/>
          <w:sz w:val="21"/>
        </w:rPr>
        <w:t xml:space="preserve"> </w:t>
      </w:r>
      <w:r>
        <w:rPr>
          <w:sz w:val="21"/>
        </w:rPr>
        <w:t>the</w:t>
      </w:r>
      <w:r>
        <w:rPr>
          <w:spacing w:val="-9"/>
          <w:sz w:val="21"/>
        </w:rPr>
        <w:t xml:space="preserve"> </w:t>
      </w:r>
      <w:r>
        <w:rPr>
          <w:sz w:val="21"/>
        </w:rPr>
        <w:t>implementation of the Massachusetts State Plan to End Youth Homelessness.</w:t>
      </w:r>
      <w:r>
        <w:rPr>
          <w:spacing w:val="-1"/>
          <w:sz w:val="21"/>
        </w:rPr>
        <w:t xml:space="preserve"> </w:t>
      </w:r>
      <w:r>
        <w:rPr>
          <w:sz w:val="21"/>
        </w:rPr>
        <w:t>This plan envisions a system “in which every community in the Com</w:t>
      </w:r>
      <w:r>
        <w:rPr>
          <w:sz w:val="21"/>
        </w:rPr>
        <w:t>monwealth has coordinated, developmentally appropriate, and trauma-informed resources that are effective, regionally accessible, and reliably funded.”</w:t>
      </w:r>
      <w:hyperlink w:anchor="_bookmark598" w:history="1">
        <w:r>
          <w:rPr>
            <w:sz w:val="21"/>
            <w:vertAlign w:val="superscript"/>
          </w:rPr>
          <w:t>18</w:t>
        </w:r>
      </w:hyperlink>
    </w:p>
    <w:p w:rsidR="00200FDA" w:rsidRDefault="00F76C4C">
      <w:pPr>
        <w:pStyle w:val="BodyText"/>
        <w:spacing w:before="6"/>
        <w:rPr>
          <w:sz w:val="28"/>
        </w:rPr>
      </w:pPr>
      <w:r>
        <w:rPr>
          <w:noProof/>
        </w:rPr>
        <w:drawing>
          <wp:anchor distT="0" distB="0" distL="0" distR="0" simplePos="0" relativeHeight="139" behindDoc="0" locked="0" layoutInCell="1" allowOverlap="1">
            <wp:simplePos x="0" y="0"/>
            <wp:positionH relativeFrom="page">
              <wp:posOffset>2205104</wp:posOffset>
            </wp:positionH>
            <wp:positionV relativeFrom="paragraph">
              <wp:posOffset>236355</wp:posOffset>
            </wp:positionV>
            <wp:extent cx="3318837" cy="2027396"/>
            <wp:effectExtent l="0" t="0" r="0" b="0"/>
            <wp:wrapTopAndBottom/>
            <wp:docPr id="109" name="image111.jpeg" descr="Chart, pie chart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1.jpeg"/>
                    <pic:cNvPicPr/>
                  </pic:nvPicPr>
                  <pic:blipFill>
                    <a:blip r:embed="rId583" cstate="print"/>
                    <a:stretch>
                      <a:fillRect/>
                    </a:stretch>
                  </pic:blipFill>
                  <pic:spPr>
                    <a:xfrm>
                      <a:off x="0" y="0"/>
                      <a:ext cx="3318837" cy="2027396"/>
                    </a:xfrm>
                    <a:prstGeom prst="rect">
                      <a:avLst/>
                    </a:prstGeom>
                  </pic:spPr>
                </pic:pic>
              </a:graphicData>
            </a:graphic>
          </wp:anchor>
        </w:drawing>
      </w:r>
    </w:p>
    <w:p w:rsidR="00200FDA" w:rsidRDefault="00200FDA">
      <w:pPr>
        <w:pStyle w:val="BodyText"/>
      </w:pPr>
    </w:p>
    <w:p w:rsidR="00200FDA" w:rsidRDefault="00200FDA">
      <w:pPr>
        <w:pStyle w:val="BodyText"/>
        <w:spacing w:before="9"/>
        <w:rPr>
          <w:sz w:val="23"/>
        </w:rPr>
      </w:pPr>
    </w:p>
    <w:p w:rsidR="00200FDA" w:rsidRDefault="00F76C4C">
      <w:pPr>
        <w:spacing w:line="276" w:lineRule="auto"/>
        <w:ind w:left="139" w:right="132" w:hanging="1"/>
        <w:jc w:val="both"/>
        <w:rPr>
          <w:sz w:val="21"/>
        </w:rPr>
      </w:pPr>
      <w:r>
        <w:rPr>
          <w:sz w:val="21"/>
        </w:rPr>
        <w:t>Homelessness is a complex and multi-layered issue in the United Sta</w:t>
      </w:r>
      <w:r>
        <w:rPr>
          <w:sz w:val="21"/>
        </w:rPr>
        <w:t>tes, correlated with poverty, systemic racism, substance use, and mental health that intersects with individuals who have experienced institutionalization including foster care, instances of sexual abuse, discrimination and stigma, and unsupportive and rej</w:t>
      </w:r>
      <w:r>
        <w:rPr>
          <w:sz w:val="21"/>
        </w:rPr>
        <w:t>ecting families.</w:t>
      </w:r>
      <w:hyperlink w:anchor="_bookmark599" w:history="1">
        <w:r>
          <w:rPr>
            <w:sz w:val="21"/>
            <w:vertAlign w:val="superscript"/>
          </w:rPr>
          <w:t>19</w:t>
        </w:r>
      </w:hyperlink>
      <w:r>
        <w:rPr>
          <w:spacing w:val="-12"/>
          <w:sz w:val="21"/>
        </w:rPr>
        <w:t xml:space="preserve"> </w:t>
      </w:r>
      <w:r>
        <w:rPr>
          <w:sz w:val="21"/>
        </w:rPr>
        <w:t>LGBTQ youth are often situated at the intersection of discrimination, poverty, and racism that results in an increased risk of housing instability and homelessness; some of the top reasons</w:t>
      </w:r>
      <w:r>
        <w:rPr>
          <w:spacing w:val="-5"/>
          <w:sz w:val="21"/>
        </w:rPr>
        <w:t xml:space="preserve"> </w:t>
      </w:r>
      <w:r>
        <w:rPr>
          <w:sz w:val="21"/>
        </w:rPr>
        <w:t>LGBTQ</w:t>
      </w:r>
      <w:r>
        <w:rPr>
          <w:spacing w:val="-5"/>
          <w:sz w:val="21"/>
        </w:rPr>
        <w:t xml:space="preserve"> </w:t>
      </w:r>
      <w:r>
        <w:rPr>
          <w:sz w:val="21"/>
        </w:rPr>
        <w:t>youth</w:t>
      </w:r>
      <w:r>
        <w:rPr>
          <w:spacing w:val="-5"/>
          <w:sz w:val="21"/>
        </w:rPr>
        <w:t xml:space="preserve"> </w:t>
      </w:r>
      <w:r>
        <w:rPr>
          <w:sz w:val="21"/>
        </w:rPr>
        <w:t>cite</w:t>
      </w:r>
      <w:r>
        <w:rPr>
          <w:spacing w:val="-6"/>
          <w:sz w:val="21"/>
        </w:rPr>
        <w:t xml:space="preserve"> </w:t>
      </w:r>
      <w:r>
        <w:rPr>
          <w:sz w:val="21"/>
        </w:rPr>
        <w:t>for</w:t>
      </w:r>
      <w:r>
        <w:rPr>
          <w:spacing w:val="-4"/>
          <w:sz w:val="21"/>
        </w:rPr>
        <w:t xml:space="preserve"> </w:t>
      </w:r>
      <w:r>
        <w:rPr>
          <w:sz w:val="21"/>
        </w:rPr>
        <w:t>their</w:t>
      </w:r>
      <w:r>
        <w:rPr>
          <w:spacing w:val="-6"/>
          <w:sz w:val="21"/>
        </w:rPr>
        <w:t xml:space="preserve"> </w:t>
      </w:r>
      <w:r>
        <w:rPr>
          <w:sz w:val="21"/>
        </w:rPr>
        <w:t>experience</w:t>
      </w:r>
      <w:r>
        <w:rPr>
          <w:spacing w:val="-4"/>
          <w:sz w:val="21"/>
        </w:rPr>
        <w:t xml:space="preserve"> </w:t>
      </w:r>
      <w:r>
        <w:rPr>
          <w:sz w:val="21"/>
        </w:rPr>
        <w:t>of</w:t>
      </w:r>
      <w:r>
        <w:rPr>
          <w:spacing w:val="-6"/>
          <w:sz w:val="21"/>
        </w:rPr>
        <w:t xml:space="preserve"> </w:t>
      </w:r>
      <w:r>
        <w:rPr>
          <w:sz w:val="21"/>
        </w:rPr>
        <w:t>homelessness</w:t>
      </w:r>
      <w:r>
        <w:rPr>
          <w:spacing w:val="-5"/>
          <w:sz w:val="21"/>
        </w:rPr>
        <w:t xml:space="preserve"> </w:t>
      </w:r>
      <w:r>
        <w:rPr>
          <w:sz w:val="21"/>
        </w:rPr>
        <w:t>are</w:t>
      </w:r>
      <w:r>
        <w:rPr>
          <w:spacing w:val="-4"/>
          <w:sz w:val="21"/>
        </w:rPr>
        <w:t xml:space="preserve"> </w:t>
      </w:r>
      <w:r>
        <w:rPr>
          <w:sz w:val="21"/>
        </w:rPr>
        <w:t>familial</w:t>
      </w:r>
      <w:r>
        <w:rPr>
          <w:spacing w:val="-5"/>
          <w:sz w:val="21"/>
        </w:rPr>
        <w:t xml:space="preserve"> </w:t>
      </w:r>
      <w:r>
        <w:rPr>
          <w:sz w:val="21"/>
        </w:rPr>
        <w:t>rejection,</w:t>
      </w:r>
      <w:r>
        <w:rPr>
          <w:spacing w:val="-7"/>
          <w:sz w:val="21"/>
        </w:rPr>
        <w:t xml:space="preserve"> </w:t>
      </w:r>
      <w:r>
        <w:rPr>
          <w:sz w:val="21"/>
        </w:rPr>
        <w:t>abandonment,</w:t>
      </w:r>
      <w:r>
        <w:rPr>
          <w:spacing w:val="-4"/>
          <w:sz w:val="21"/>
        </w:rPr>
        <w:t xml:space="preserve"> </w:t>
      </w:r>
      <w:r>
        <w:rPr>
          <w:sz w:val="21"/>
        </w:rPr>
        <w:t>or</w:t>
      </w:r>
      <w:r>
        <w:rPr>
          <w:spacing w:val="-4"/>
          <w:sz w:val="21"/>
        </w:rPr>
        <w:t xml:space="preserve"> </w:t>
      </w:r>
      <w:r>
        <w:rPr>
          <w:sz w:val="21"/>
        </w:rPr>
        <w:t>abuse, mistreatment at school, and aging out of or running away from foster care.</w:t>
      </w:r>
      <w:r>
        <w:rPr>
          <w:spacing w:val="-12"/>
          <w:sz w:val="21"/>
        </w:rPr>
        <w:t xml:space="preserve"> </w:t>
      </w:r>
      <w:hyperlink w:anchor="_bookmark600" w:history="1">
        <w:r>
          <w:rPr>
            <w:sz w:val="21"/>
            <w:vertAlign w:val="superscript"/>
          </w:rPr>
          <w:t>20</w:t>
        </w:r>
      </w:hyperlink>
      <w:r>
        <w:rPr>
          <w:sz w:val="21"/>
        </w:rPr>
        <w:t xml:space="preserve"> According to the 2021 Massachusetts Youth Count, some of the </w:t>
      </w:r>
      <w:r>
        <w:rPr>
          <w:sz w:val="21"/>
        </w:rPr>
        <w:t>top reasons for leaving home were: 1) 44% reported fighting with their caregiver; 2) 42% were told to leave, presumably by a caregiver, and 36% wanted to leave; and 3) 25% left because of abuse and/or neglect.</w:t>
      </w:r>
      <w:hyperlink w:anchor="_bookmark601" w:history="1">
        <w:r>
          <w:rPr>
            <w:sz w:val="21"/>
            <w:vertAlign w:val="superscript"/>
          </w:rPr>
          <w:t>21</w:t>
        </w:r>
      </w:hyperlink>
    </w:p>
    <w:p w:rsidR="00200FDA" w:rsidRDefault="00200FDA">
      <w:pPr>
        <w:pStyle w:val="BodyText"/>
        <w:spacing w:before="7"/>
        <w:rPr>
          <w:sz w:val="19"/>
        </w:rPr>
      </w:pPr>
    </w:p>
    <w:p w:rsidR="00200FDA" w:rsidRDefault="00F76C4C">
      <w:pPr>
        <w:spacing w:line="276" w:lineRule="auto"/>
        <w:ind w:left="139" w:right="135"/>
        <w:jc w:val="both"/>
        <w:rPr>
          <w:sz w:val="21"/>
        </w:rPr>
      </w:pPr>
      <w:r>
        <w:rPr>
          <w:sz w:val="21"/>
        </w:rPr>
        <w:t>Nationally,</w:t>
      </w:r>
      <w:r>
        <w:rPr>
          <w:spacing w:val="-8"/>
          <w:sz w:val="21"/>
        </w:rPr>
        <w:t xml:space="preserve"> </w:t>
      </w:r>
      <w:r>
        <w:rPr>
          <w:sz w:val="21"/>
        </w:rPr>
        <w:t>youth</w:t>
      </w:r>
      <w:r>
        <w:rPr>
          <w:spacing w:val="-11"/>
          <w:sz w:val="21"/>
        </w:rPr>
        <w:t xml:space="preserve"> </w:t>
      </w:r>
      <w:r>
        <w:rPr>
          <w:sz w:val="21"/>
        </w:rPr>
        <w:t>experiencing</w:t>
      </w:r>
      <w:r>
        <w:rPr>
          <w:spacing w:val="-9"/>
          <w:sz w:val="21"/>
        </w:rPr>
        <w:t xml:space="preserve"> </w:t>
      </w:r>
      <w:r>
        <w:rPr>
          <w:sz w:val="21"/>
        </w:rPr>
        <w:t>homelessness</w:t>
      </w:r>
      <w:r>
        <w:rPr>
          <w:spacing w:val="-11"/>
          <w:sz w:val="21"/>
        </w:rPr>
        <w:t xml:space="preserve"> </w:t>
      </w:r>
      <w:r>
        <w:rPr>
          <w:sz w:val="21"/>
        </w:rPr>
        <w:t>who</w:t>
      </w:r>
      <w:r>
        <w:rPr>
          <w:spacing w:val="-9"/>
          <w:sz w:val="21"/>
        </w:rPr>
        <w:t xml:space="preserve"> </w:t>
      </w:r>
      <w:r>
        <w:rPr>
          <w:sz w:val="21"/>
        </w:rPr>
        <w:t>identified</w:t>
      </w:r>
      <w:r>
        <w:rPr>
          <w:spacing w:val="-8"/>
          <w:sz w:val="21"/>
        </w:rPr>
        <w:t xml:space="preserve"> </w:t>
      </w:r>
      <w:r>
        <w:rPr>
          <w:sz w:val="21"/>
        </w:rPr>
        <w:t>as</w:t>
      </w:r>
      <w:r>
        <w:rPr>
          <w:spacing w:val="-9"/>
          <w:sz w:val="21"/>
        </w:rPr>
        <w:t xml:space="preserve"> </w:t>
      </w:r>
      <w:r>
        <w:rPr>
          <w:sz w:val="21"/>
        </w:rPr>
        <w:t>LGBTQ</w:t>
      </w:r>
      <w:r>
        <w:rPr>
          <w:spacing w:val="-11"/>
          <w:sz w:val="21"/>
        </w:rPr>
        <w:t xml:space="preserve"> </w:t>
      </w:r>
      <w:r>
        <w:rPr>
          <w:sz w:val="21"/>
        </w:rPr>
        <w:t>were</w:t>
      </w:r>
      <w:r>
        <w:rPr>
          <w:spacing w:val="-10"/>
          <w:sz w:val="21"/>
        </w:rPr>
        <w:t xml:space="preserve"> </w:t>
      </w:r>
      <w:r>
        <w:rPr>
          <w:sz w:val="21"/>
        </w:rPr>
        <w:t>more</w:t>
      </w:r>
      <w:r>
        <w:rPr>
          <w:spacing w:val="-7"/>
          <w:sz w:val="21"/>
        </w:rPr>
        <w:t xml:space="preserve"> </w:t>
      </w:r>
      <w:r>
        <w:rPr>
          <w:sz w:val="21"/>
        </w:rPr>
        <w:t>likely</w:t>
      </w:r>
      <w:r>
        <w:rPr>
          <w:spacing w:val="-7"/>
          <w:sz w:val="21"/>
        </w:rPr>
        <w:t xml:space="preserve"> </w:t>
      </w:r>
      <w:r>
        <w:rPr>
          <w:sz w:val="21"/>
        </w:rPr>
        <w:t>than</w:t>
      </w:r>
      <w:r>
        <w:rPr>
          <w:spacing w:val="-8"/>
          <w:sz w:val="21"/>
        </w:rPr>
        <w:t xml:space="preserve"> </w:t>
      </w:r>
      <w:r>
        <w:rPr>
          <w:sz w:val="21"/>
        </w:rPr>
        <w:t>other</w:t>
      </w:r>
      <w:r>
        <w:rPr>
          <w:spacing w:val="-7"/>
          <w:sz w:val="21"/>
        </w:rPr>
        <w:t xml:space="preserve"> </w:t>
      </w:r>
      <w:r>
        <w:rPr>
          <w:sz w:val="21"/>
        </w:rPr>
        <w:t>non-LGBTQ respondents to</w:t>
      </w:r>
      <w:r>
        <w:rPr>
          <w:spacing w:val="-1"/>
          <w:sz w:val="21"/>
        </w:rPr>
        <w:t xml:space="preserve"> </w:t>
      </w:r>
      <w:r>
        <w:rPr>
          <w:sz w:val="21"/>
        </w:rPr>
        <w:t>report abuse and neglect, parental substance use, engagement</w:t>
      </w:r>
      <w:r>
        <w:rPr>
          <w:spacing w:val="-1"/>
          <w:sz w:val="21"/>
        </w:rPr>
        <w:t xml:space="preserve"> </w:t>
      </w:r>
      <w:r>
        <w:rPr>
          <w:sz w:val="21"/>
        </w:rPr>
        <w:t>in the foster care system, and</w:t>
      </w:r>
    </w:p>
    <w:p w:rsidR="00200FDA" w:rsidRDefault="00200FDA">
      <w:pPr>
        <w:spacing w:line="276" w:lineRule="auto"/>
        <w:jc w:val="both"/>
        <w:rPr>
          <w:sz w:val="21"/>
        </w:rPr>
        <w:sectPr w:rsidR="00200FDA">
          <w:pgSz w:w="12240" w:h="15840"/>
          <w:pgMar w:top="1360" w:right="1300" w:bottom="1240" w:left="1300" w:header="758" w:footer="1043" w:gutter="0"/>
          <w:cols w:space="720"/>
        </w:sectPr>
      </w:pPr>
    </w:p>
    <w:p w:rsidR="00200FDA" w:rsidRDefault="00F76C4C">
      <w:pPr>
        <w:spacing w:before="64" w:line="276" w:lineRule="auto"/>
        <w:ind w:left="139" w:right="134"/>
        <w:jc w:val="both"/>
        <w:rPr>
          <w:sz w:val="21"/>
        </w:rPr>
      </w:pPr>
      <w:r>
        <w:rPr>
          <w:sz w:val="21"/>
        </w:rPr>
        <w:lastRenderedPageBreak/>
        <w:t>personal drug use as reasons for not living with their parent or guardian.</w:t>
      </w:r>
      <w:hyperlink w:anchor="_bookmark602" w:history="1">
        <w:r>
          <w:rPr>
            <w:sz w:val="21"/>
            <w:vertAlign w:val="superscript"/>
          </w:rPr>
          <w:t>22</w:t>
        </w:r>
      </w:hyperlink>
      <w:r>
        <w:rPr>
          <w:spacing w:val="-12"/>
          <w:sz w:val="21"/>
        </w:rPr>
        <w:t xml:space="preserve"> </w:t>
      </w:r>
      <w:r>
        <w:rPr>
          <w:sz w:val="21"/>
        </w:rPr>
        <w:t>Consistently, the leading cause of homelessness among youth identifying as LGBTQ is familial rejection or abandonment due to their sexual orientati</w:t>
      </w:r>
      <w:r>
        <w:rPr>
          <w:sz w:val="21"/>
        </w:rPr>
        <w:t>on and/or gender identity. Furthermore, research indicates that many LGBTQ youth choose to leave their</w:t>
      </w:r>
      <w:r>
        <w:rPr>
          <w:spacing w:val="-8"/>
          <w:sz w:val="21"/>
        </w:rPr>
        <w:t xml:space="preserve"> </w:t>
      </w:r>
      <w:r>
        <w:rPr>
          <w:sz w:val="21"/>
        </w:rPr>
        <w:t>homes,</w:t>
      </w:r>
      <w:r>
        <w:rPr>
          <w:spacing w:val="-11"/>
          <w:sz w:val="21"/>
        </w:rPr>
        <w:t xml:space="preserve"> </w:t>
      </w:r>
      <w:r>
        <w:rPr>
          <w:sz w:val="21"/>
        </w:rPr>
        <w:t>and</w:t>
      </w:r>
      <w:r>
        <w:rPr>
          <w:spacing w:val="-10"/>
          <w:sz w:val="21"/>
        </w:rPr>
        <w:t xml:space="preserve"> </w:t>
      </w:r>
      <w:r>
        <w:rPr>
          <w:sz w:val="21"/>
        </w:rPr>
        <w:t>become</w:t>
      </w:r>
      <w:r>
        <w:rPr>
          <w:spacing w:val="-9"/>
          <w:sz w:val="21"/>
        </w:rPr>
        <w:t xml:space="preserve"> </w:t>
      </w:r>
      <w:r>
        <w:rPr>
          <w:sz w:val="21"/>
        </w:rPr>
        <w:t>homeless</w:t>
      </w:r>
      <w:r>
        <w:rPr>
          <w:spacing w:val="-10"/>
          <w:sz w:val="21"/>
        </w:rPr>
        <w:t xml:space="preserve"> </w:t>
      </w:r>
      <w:r>
        <w:rPr>
          <w:sz w:val="21"/>
        </w:rPr>
        <w:t>for</w:t>
      </w:r>
      <w:r>
        <w:rPr>
          <w:spacing w:val="-11"/>
          <w:sz w:val="21"/>
        </w:rPr>
        <w:t xml:space="preserve"> </w:t>
      </w:r>
      <w:r>
        <w:rPr>
          <w:sz w:val="21"/>
        </w:rPr>
        <w:t>their</w:t>
      </w:r>
      <w:r>
        <w:rPr>
          <w:spacing w:val="-11"/>
          <w:sz w:val="21"/>
        </w:rPr>
        <w:t xml:space="preserve"> </w:t>
      </w:r>
      <w:r>
        <w:rPr>
          <w:sz w:val="21"/>
        </w:rPr>
        <w:t>own</w:t>
      </w:r>
      <w:r>
        <w:rPr>
          <w:spacing w:val="-12"/>
          <w:sz w:val="21"/>
        </w:rPr>
        <w:t xml:space="preserve"> </w:t>
      </w:r>
      <w:r>
        <w:rPr>
          <w:sz w:val="21"/>
        </w:rPr>
        <w:t>well-being</w:t>
      </w:r>
      <w:r>
        <w:rPr>
          <w:spacing w:val="-10"/>
          <w:sz w:val="21"/>
        </w:rPr>
        <w:t xml:space="preserve"> </w:t>
      </w:r>
      <w:r>
        <w:rPr>
          <w:sz w:val="21"/>
        </w:rPr>
        <w:t>and</w:t>
      </w:r>
      <w:r>
        <w:rPr>
          <w:spacing w:val="-10"/>
          <w:sz w:val="21"/>
        </w:rPr>
        <w:t xml:space="preserve"> </w:t>
      </w:r>
      <w:r>
        <w:rPr>
          <w:sz w:val="21"/>
        </w:rPr>
        <w:t>safety,</w:t>
      </w:r>
      <w:r>
        <w:rPr>
          <w:spacing w:val="-9"/>
          <w:sz w:val="21"/>
        </w:rPr>
        <w:t xml:space="preserve"> </w:t>
      </w:r>
      <w:r>
        <w:rPr>
          <w:sz w:val="21"/>
        </w:rPr>
        <w:t>as</w:t>
      </w:r>
      <w:r>
        <w:rPr>
          <w:spacing w:val="-12"/>
          <w:sz w:val="21"/>
        </w:rPr>
        <w:t xml:space="preserve"> </w:t>
      </w:r>
      <w:r>
        <w:rPr>
          <w:sz w:val="21"/>
        </w:rPr>
        <w:t>remaining</w:t>
      </w:r>
      <w:r>
        <w:rPr>
          <w:spacing w:val="-10"/>
          <w:sz w:val="21"/>
        </w:rPr>
        <w:t xml:space="preserve"> </w:t>
      </w:r>
      <w:r>
        <w:rPr>
          <w:sz w:val="21"/>
        </w:rPr>
        <w:t>in</w:t>
      </w:r>
      <w:r>
        <w:rPr>
          <w:spacing w:val="-10"/>
          <w:sz w:val="21"/>
        </w:rPr>
        <w:t xml:space="preserve"> </w:t>
      </w:r>
      <w:r>
        <w:rPr>
          <w:sz w:val="21"/>
        </w:rPr>
        <w:t>their</w:t>
      </w:r>
      <w:r>
        <w:rPr>
          <w:spacing w:val="-8"/>
          <w:sz w:val="21"/>
        </w:rPr>
        <w:t xml:space="preserve"> </w:t>
      </w:r>
      <w:r>
        <w:rPr>
          <w:sz w:val="21"/>
        </w:rPr>
        <w:t>home</w:t>
      </w:r>
      <w:r>
        <w:rPr>
          <w:spacing w:val="-9"/>
          <w:sz w:val="21"/>
        </w:rPr>
        <w:t xml:space="preserve"> </w:t>
      </w:r>
      <w:r>
        <w:rPr>
          <w:sz w:val="21"/>
        </w:rPr>
        <w:t>or</w:t>
      </w:r>
      <w:r>
        <w:rPr>
          <w:spacing w:val="-11"/>
          <w:sz w:val="21"/>
        </w:rPr>
        <w:t xml:space="preserve"> </w:t>
      </w:r>
      <w:r>
        <w:rPr>
          <w:sz w:val="21"/>
        </w:rPr>
        <w:t xml:space="preserve">assigned placement may have led to even worse outcomes for </w:t>
      </w:r>
      <w:r>
        <w:rPr>
          <w:sz w:val="21"/>
        </w:rPr>
        <w:t xml:space="preserve">their physical or mental health. </w:t>
      </w:r>
      <w:hyperlink w:anchor="_bookmark603" w:history="1">
        <w:r>
          <w:rPr>
            <w:sz w:val="21"/>
            <w:vertAlign w:val="superscript"/>
          </w:rPr>
          <w:t>23</w:t>
        </w:r>
      </w:hyperlink>
      <w:r>
        <w:rPr>
          <w:sz w:val="21"/>
        </w:rPr>
        <w:t xml:space="preserve"> Nationally, approximately 90% of transgender youth experiencing homelessness report being rejected by their family;</w:t>
      </w:r>
      <w:hyperlink w:anchor="_bookmark604" w:history="1">
        <w:r>
          <w:rPr>
            <w:sz w:val="21"/>
            <w:vertAlign w:val="superscript"/>
          </w:rPr>
          <w:t>24</w:t>
        </w:r>
      </w:hyperlink>
      <w:r>
        <w:rPr>
          <w:sz w:val="21"/>
        </w:rPr>
        <w:t xml:space="preserve"> 10% of transgender youth leave home be</w:t>
      </w:r>
      <w:r>
        <w:rPr>
          <w:sz w:val="21"/>
        </w:rPr>
        <w:t>fore the age of 15.</w:t>
      </w:r>
      <w:hyperlink w:anchor="_bookmark605" w:history="1">
        <w:r>
          <w:rPr>
            <w:sz w:val="21"/>
            <w:vertAlign w:val="superscript"/>
          </w:rPr>
          <w:t>25</w:t>
        </w:r>
      </w:hyperlink>
      <w:r>
        <w:rPr>
          <w:spacing w:val="-2"/>
          <w:sz w:val="21"/>
        </w:rPr>
        <w:t xml:space="preserve"> </w:t>
      </w:r>
      <w:r>
        <w:rPr>
          <w:sz w:val="21"/>
        </w:rPr>
        <w:t>However, some LGBTQ youth may also leave before rejection - before “coming out” to their families - due to fear or anticipation of rejection.</w:t>
      </w:r>
      <w:hyperlink w:anchor="_bookmark606" w:history="1">
        <w:r>
          <w:rPr>
            <w:sz w:val="21"/>
            <w:vertAlign w:val="superscript"/>
          </w:rPr>
          <w:t>26</w:t>
        </w:r>
      </w:hyperlink>
    </w:p>
    <w:p w:rsidR="00200FDA" w:rsidRDefault="00200FDA">
      <w:pPr>
        <w:pStyle w:val="BodyText"/>
        <w:spacing w:before="8"/>
        <w:rPr>
          <w:sz w:val="19"/>
        </w:rPr>
      </w:pPr>
    </w:p>
    <w:p w:rsidR="00200FDA" w:rsidRDefault="00F76C4C">
      <w:pPr>
        <w:spacing w:before="1" w:line="276" w:lineRule="auto"/>
        <w:ind w:left="139" w:right="134"/>
        <w:jc w:val="both"/>
        <w:rPr>
          <w:sz w:val="21"/>
        </w:rPr>
      </w:pPr>
      <w:r>
        <w:rPr>
          <w:sz w:val="21"/>
        </w:rPr>
        <w:t>Across the nation, as discussed throughout this annual report, anti-trans attacks have skyrocketed due to intense waves of misinformation and stigmatization; many of the reasons</w:t>
      </w:r>
      <w:r>
        <w:rPr>
          <w:spacing w:val="-1"/>
          <w:sz w:val="21"/>
        </w:rPr>
        <w:t xml:space="preserve"> </w:t>
      </w:r>
      <w:r>
        <w:rPr>
          <w:sz w:val="21"/>
        </w:rPr>
        <w:t>LGBTQ youth face familial rejection stem from moral and/or religious values th</w:t>
      </w:r>
      <w:r>
        <w:rPr>
          <w:sz w:val="21"/>
        </w:rPr>
        <w:t>at judge their identities to be deviant or immoral. Other reasons may also be that caregivers may hope that their rejection can somehow sway their LGBTQ children to reconsider what they view as a ‘choice’ of identifying as LGBTQ.</w:t>
      </w:r>
      <w:r>
        <w:rPr>
          <w:spacing w:val="-12"/>
          <w:sz w:val="21"/>
        </w:rPr>
        <w:t xml:space="preserve"> </w:t>
      </w:r>
      <w:hyperlink w:anchor="_bookmark607" w:history="1">
        <w:r>
          <w:rPr>
            <w:sz w:val="21"/>
            <w:vertAlign w:val="superscript"/>
          </w:rPr>
          <w:t>27</w:t>
        </w:r>
      </w:hyperlink>
      <w:r>
        <w:rPr>
          <w:spacing w:val="-4"/>
          <w:sz w:val="21"/>
        </w:rPr>
        <w:t xml:space="preserve"> </w:t>
      </w:r>
      <w:r>
        <w:rPr>
          <w:sz w:val="21"/>
        </w:rPr>
        <w:t xml:space="preserve">As such, the Commission advises that programs targeting LGBTQ youth at-risk of homelessness - particularly youth under 18 - should focus on caregiver education to support reunification. LGBTQ youth who have been previously </w:t>
      </w:r>
      <w:r>
        <w:rPr>
          <w:sz w:val="21"/>
        </w:rPr>
        <w:t>abused within their family</w:t>
      </w:r>
      <w:r>
        <w:rPr>
          <w:spacing w:val="-2"/>
          <w:sz w:val="21"/>
        </w:rPr>
        <w:t xml:space="preserve"> </w:t>
      </w:r>
      <w:r>
        <w:rPr>
          <w:sz w:val="21"/>
        </w:rPr>
        <w:t>system</w:t>
      </w:r>
      <w:r>
        <w:rPr>
          <w:spacing w:val="-3"/>
          <w:sz w:val="21"/>
        </w:rPr>
        <w:t xml:space="preserve"> </w:t>
      </w:r>
      <w:r>
        <w:rPr>
          <w:sz w:val="21"/>
        </w:rPr>
        <w:t>are</w:t>
      </w:r>
      <w:r>
        <w:rPr>
          <w:spacing w:val="-4"/>
          <w:sz w:val="21"/>
        </w:rPr>
        <w:t xml:space="preserve"> </w:t>
      </w:r>
      <w:r>
        <w:rPr>
          <w:sz w:val="21"/>
        </w:rPr>
        <w:t>more</w:t>
      </w:r>
      <w:r>
        <w:rPr>
          <w:spacing w:val="-2"/>
          <w:sz w:val="21"/>
        </w:rPr>
        <w:t xml:space="preserve"> </w:t>
      </w:r>
      <w:r>
        <w:rPr>
          <w:sz w:val="21"/>
        </w:rPr>
        <w:t>likely</w:t>
      </w:r>
      <w:r>
        <w:rPr>
          <w:spacing w:val="-2"/>
          <w:sz w:val="21"/>
        </w:rPr>
        <w:t xml:space="preserve"> </w:t>
      </w:r>
      <w:r>
        <w:rPr>
          <w:sz w:val="21"/>
        </w:rPr>
        <w:t>to</w:t>
      </w:r>
      <w:r>
        <w:rPr>
          <w:spacing w:val="-3"/>
          <w:sz w:val="21"/>
        </w:rPr>
        <w:t xml:space="preserve"> </w:t>
      </w:r>
      <w:r>
        <w:rPr>
          <w:sz w:val="21"/>
        </w:rPr>
        <w:t>enter</w:t>
      </w:r>
      <w:r>
        <w:rPr>
          <w:spacing w:val="-1"/>
          <w:sz w:val="21"/>
        </w:rPr>
        <w:t xml:space="preserve"> </w:t>
      </w:r>
      <w:r>
        <w:rPr>
          <w:sz w:val="21"/>
        </w:rPr>
        <w:t>the</w:t>
      </w:r>
      <w:r>
        <w:rPr>
          <w:spacing w:val="-2"/>
          <w:sz w:val="21"/>
        </w:rPr>
        <w:t xml:space="preserve"> </w:t>
      </w:r>
      <w:r>
        <w:rPr>
          <w:sz w:val="21"/>
        </w:rPr>
        <w:t>foster</w:t>
      </w:r>
      <w:r>
        <w:rPr>
          <w:spacing w:val="-1"/>
          <w:sz w:val="21"/>
        </w:rPr>
        <w:t xml:space="preserve"> </w:t>
      </w:r>
      <w:r>
        <w:rPr>
          <w:sz w:val="21"/>
        </w:rPr>
        <w:t>care</w:t>
      </w:r>
      <w:r>
        <w:rPr>
          <w:spacing w:val="-2"/>
          <w:sz w:val="21"/>
        </w:rPr>
        <w:t xml:space="preserve"> </w:t>
      </w:r>
      <w:r>
        <w:rPr>
          <w:sz w:val="21"/>
        </w:rPr>
        <w:t>system</w:t>
      </w:r>
      <w:r>
        <w:rPr>
          <w:spacing w:val="-3"/>
          <w:sz w:val="21"/>
        </w:rPr>
        <w:t xml:space="preserve"> </w:t>
      </w:r>
      <w:r>
        <w:rPr>
          <w:sz w:val="21"/>
        </w:rPr>
        <w:t>with</w:t>
      </w:r>
      <w:r>
        <w:rPr>
          <w:spacing w:val="-3"/>
          <w:sz w:val="21"/>
        </w:rPr>
        <w:t xml:space="preserve"> </w:t>
      </w:r>
      <w:r>
        <w:rPr>
          <w:sz w:val="21"/>
        </w:rPr>
        <w:t>mental</w:t>
      </w:r>
      <w:r>
        <w:rPr>
          <w:spacing w:val="-2"/>
          <w:sz w:val="21"/>
        </w:rPr>
        <w:t xml:space="preserve"> </w:t>
      </w:r>
      <w:r>
        <w:rPr>
          <w:sz w:val="21"/>
        </w:rPr>
        <w:t>health</w:t>
      </w:r>
      <w:r>
        <w:rPr>
          <w:spacing w:val="-3"/>
          <w:sz w:val="21"/>
        </w:rPr>
        <w:t xml:space="preserve"> </w:t>
      </w:r>
      <w:r>
        <w:rPr>
          <w:sz w:val="21"/>
        </w:rPr>
        <w:t>issues</w:t>
      </w:r>
      <w:r>
        <w:rPr>
          <w:spacing w:val="-3"/>
          <w:sz w:val="21"/>
        </w:rPr>
        <w:t xml:space="preserve"> </w:t>
      </w:r>
      <w:r>
        <w:rPr>
          <w:sz w:val="21"/>
        </w:rPr>
        <w:t>from</w:t>
      </w:r>
      <w:r>
        <w:rPr>
          <w:spacing w:val="-3"/>
          <w:sz w:val="21"/>
        </w:rPr>
        <w:t xml:space="preserve"> </w:t>
      </w:r>
      <w:r>
        <w:rPr>
          <w:sz w:val="21"/>
        </w:rPr>
        <w:t>the</w:t>
      </w:r>
      <w:r>
        <w:rPr>
          <w:spacing w:val="-2"/>
          <w:sz w:val="21"/>
        </w:rPr>
        <w:t xml:space="preserve"> </w:t>
      </w:r>
      <w:r>
        <w:rPr>
          <w:sz w:val="21"/>
        </w:rPr>
        <w:t>abuse,</w:t>
      </w:r>
      <w:r>
        <w:rPr>
          <w:spacing w:val="-4"/>
          <w:sz w:val="21"/>
        </w:rPr>
        <w:t xml:space="preserve"> </w:t>
      </w:r>
      <w:r>
        <w:rPr>
          <w:sz w:val="21"/>
        </w:rPr>
        <w:t xml:space="preserve">which are all predictors of homelessness or experiences that may lead to running away from programs and </w:t>
      </w:r>
      <w:r>
        <w:rPr>
          <w:spacing w:val="-2"/>
          <w:sz w:val="21"/>
        </w:rPr>
        <w:t>placements.</w:t>
      </w:r>
      <w:hyperlink w:anchor="_bookmark608" w:history="1">
        <w:r>
          <w:rPr>
            <w:spacing w:val="-2"/>
            <w:sz w:val="21"/>
            <w:vertAlign w:val="superscript"/>
          </w:rPr>
          <w:t>28</w:t>
        </w:r>
      </w:hyperlink>
    </w:p>
    <w:p w:rsidR="00200FDA" w:rsidRDefault="00200FDA">
      <w:pPr>
        <w:pStyle w:val="BodyText"/>
        <w:spacing w:before="7"/>
        <w:rPr>
          <w:sz w:val="19"/>
        </w:rPr>
      </w:pPr>
    </w:p>
    <w:p w:rsidR="00200FDA" w:rsidRDefault="00F76C4C">
      <w:pPr>
        <w:spacing w:line="276" w:lineRule="auto"/>
        <w:ind w:left="139" w:right="134"/>
        <w:jc w:val="both"/>
        <w:rPr>
          <w:sz w:val="21"/>
        </w:rPr>
      </w:pPr>
      <w:r>
        <w:rPr>
          <w:sz w:val="21"/>
        </w:rPr>
        <w:t>Disproportionately,</w:t>
      </w:r>
      <w:r>
        <w:rPr>
          <w:spacing w:val="-1"/>
          <w:sz w:val="21"/>
        </w:rPr>
        <w:t xml:space="preserve"> </w:t>
      </w:r>
      <w:r>
        <w:rPr>
          <w:sz w:val="21"/>
        </w:rPr>
        <w:t>LGBTQ</w:t>
      </w:r>
      <w:r>
        <w:rPr>
          <w:spacing w:val="-4"/>
          <w:sz w:val="21"/>
        </w:rPr>
        <w:t xml:space="preserve"> </w:t>
      </w:r>
      <w:r>
        <w:rPr>
          <w:sz w:val="21"/>
        </w:rPr>
        <w:t>youth</w:t>
      </w:r>
      <w:r>
        <w:rPr>
          <w:spacing w:val="-2"/>
          <w:sz w:val="21"/>
        </w:rPr>
        <w:t xml:space="preserve"> </w:t>
      </w:r>
      <w:r>
        <w:rPr>
          <w:sz w:val="21"/>
        </w:rPr>
        <w:t>in</w:t>
      </w:r>
      <w:r>
        <w:rPr>
          <w:spacing w:val="-2"/>
          <w:sz w:val="21"/>
        </w:rPr>
        <w:t xml:space="preserve"> </w:t>
      </w:r>
      <w:r>
        <w:rPr>
          <w:sz w:val="21"/>
        </w:rPr>
        <w:t>the</w:t>
      </w:r>
      <w:r>
        <w:rPr>
          <w:spacing w:val="-1"/>
          <w:sz w:val="21"/>
        </w:rPr>
        <w:t xml:space="preserve"> </w:t>
      </w:r>
      <w:r>
        <w:rPr>
          <w:sz w:val="21"/>
        </w:rPr>
        <w:t>foster care</w:t>
      </w:r>
      <w:r>
        <w:rPr>
          <w:spacing w:val="-3"/>
          <w:sz w:val="21"/>
        </w:rPr>
        <w:t xml:space="preserve"> </w:t>
      </w:r>
      <w:r>
        <w:rPr>
          <w:sz w:val="21"/>
        </w:rPr>
        <w:t>system</w:t>
      </w:r>
      <w:r>
        <w:rPr>
          <w:spacing w:val="-2"/>
          <w:sz w:val="21"/>
        </w:rPr>
        <w:t xml:space="preserve"> </w:t>
      </w:r>
      <w:r>
        <w:rPr>
          <w:sz w:val="21"/>
        </w:rPr>
        <w:t>report</w:t>
      </w:r>
      <w:r>
        <w:rPr>
          <w:spacing w:val="-2"/>
          <w:sz w:val="21"/>
        </w:rPr>
        <w:t xml:space="preserve"> </w:t>
      </w:r>
      <w:r>
        <w:rPr>
          <w:sz w:val="21"/>
        </w:rPr>
        <w:t>being</w:t>
      </w:r>
      <w:r>
        <w:rPr>
          <w:spacing w:val="-2"/>
          <w:sz w:val="21"/>
        </w:rPr>
        <w:t xml:space="preserve"> </w:t>
      </w:r>
      <w:r>
        <w:rPr>
          <w:sz w:val="21"/>
        </w:rPr>
        <w:t>in</w:t>
      </w:r>
      <w:r>
        <w:rPr>
          <w:spacing w:val="-2"/>
          <w:sz w:val="21"/>
        </w:rPr>
        <w:t xml:space="preserve"> </w:t>
      </w:r>
      <w:r>
        <w:rPr>
          <w:sz w:val="21"/>
        </w:rPr>
        <w:t>the</w:t>
      </w:r>
      <w:r>
        <w:rPr>
          <w:spacing w:val="-3"/>
          <w:sz w:val="21"/>
        </w:rPr>
        <w:t xml:space="preserve"> </w:t>
      </w:r>
      <w:r>
        <w:rPr>
          <w:sz w:val="21"/>
        </w:rPr>
        <w:t>child</w:t>
      </w:r>
      <w:r>
        <w:rPr>
          <w:spacing w:val="-4"/>
          <w:sz w:val="21"/>
        </w:rPr>
        <w:t xml:space="preserve"> </w:t>
      </w:r>
      <w:r>
        <w:rPr>
          <w:sz w:val="21"/>
        </w:rPr>
        <w:t>welfare</w:t>
      </w:r>
      <w:r>
        <w:rPr>
          <w:spacing w:val="-1"/>
          <w:sz w:val="21"/>
        </w:rPr>
        <w:t xml:space="preserve"> </w:t>
      </w:r>
      <w:r>
        <w:rPr>
          <w:sz w:val="21"/>
        </w:rPr>
        <w:t>system</w:t>
      </w:r>
      <w:r>
        <w:rPr>
          <w:spacing w:val="-2"/>
          <w:sz w:val="21"/>
        </w:rPr>
        <w:t xml:space="preserve"> </w:t>
      </w:r>
      <w:r>
        <w:rPr>
          <w:sz w:val="21"/>
        </w:rPr>
        <w:t>due</w:t>
      </w:r>
      <w:r>
        <w:rPr>
          <w:spacing w:val="-3"/>
          <w:sz w:val="21"/>
        </w:rPr>
        <w:t xml:space="preserve"> </w:t>
      </w:r>
      <w:r>
        <w:rPr>
          <w:sz w:val="21"/>
        </w:rPr>
        <w:t>to</w:t>
      </w:r>
      <w:r>
        <w:rPr>
          <w:spacing w:val="-2"/>
          <w:sz w:val="21"/>
        </w:rPr>
        <w:t xml:space="preserve"> </w:t>
      </w:r>
      <w:r>
        <w:rPr>
          <w:sz w:val="21"/>
        </w:rPr>
        <w:t>the instability and rejection they experience at home. Nationally, LGBTQ youth currently experiencing homelessness</w:t>
      </w:r>
      <w:r>
        <w:rPr>
          <w:spacing w:val="-2"/>
          <w:sz w:val="21"/>
        </w:rPr>
        <w:t xml:space="preserve"> </w:t>
      </w:r>
      <w:r>
        <w:rPr>
          <w:sz w:val="21"/>
        </w:rPr>
        <w:t>were</w:t>
      </w:r>
      <w:r>
        <w:rPr>
          <w:spacing w:val="-3"/>
          <w:sz w:val="21"/>
        </w:rPr>
        <w:t xml:space="preserve"> </w:t>
      </w:r>
      <w:r>
        <w:rPr>
          <w:sz w:val="21"/>
        </w:rPr>
        <w:t>six</w:t>
      </w:r>
      <w:r>
        <w:rPr>
          <w:spacing w:val="-1"/>
          <w:sz w:val="21"/>
        </w:rPr>
        <w:t xml:space="preserve"> </w:t>
      </w:r>
      <w:r>
        <w:rPr>
          <w:sz w:val="21"/>
        </w:rPr>
        <w:t>times</w:t>
      </w:r>
      <w:r>
        <w:rPr>
          <w:spacing w:val="-4"/>
          <w:sz w:val="21"/>
        </w:rPr>
        <w:t xml:space="preserve"> </w:t>
      </w:r>
      <w:r>
        <w:rPr>
          <w:sz w:val="21"/>
        </w:rPr>
        <w:t>more</w:t>
      </w:r>
      <w:r>
        <w:rPr>
          <w:spacing w:val="-1"/>
          <w:sz w:val="21"/>
        </w:rPr>
        <w:t xml:space="preserve"> </w:t>
      </w:r>
      <w:r>
        <w:rPr>
          <w:sz w:val="21"/>
        </w:rPr>
        <w:t>likely</w:t>
      </w:r>
      <w:r>
        <w:rPr>
          <w:spacing w:val="-3"/>
          <w:sz w:val="21"/>
        </w:rPr>
        <w:t xml:space="preserve"> </w:t>
      </w:r>
      <w:r>
        <w:rPr>
          <w:sz w:val="21"/>
        </w:rPr>
        <w:t>to</w:t>
      </w:r>
      <w:r>
        <w:rPr>
          <w:spacing w:val="-2"/>
          <w:sz w:val="21"/>
        </w:rPr>
        <w:t xml:space="preserve"> </w:t>
      </w:r>
      <w:r>
        <w:rPr>
          <w:sz w:val="21"/>
        </w:rPr>
        <w:t>report</w:t>
      </w:r>
      <w:r>
        <w:rPr>
          <w:spacing w:val="-2"/>
          <w:sz w:val="21"/>
        </w:rPr>
        <w:t xml:space="preserve"> </w:t>
      </w:r>
      <w:r>
        <w:rPr>
          <w:sz w:val="21"/>
        </w:rPr>
        <w:t>that</w:t>
      </w:r>
      <w:r>
        <w:rPr>
          <w:spacing w:val="-5"/>
          <w:sz w:val="21"/>
        </w:rPr>
        <w:t xml:space="preserve"> </w:t>
      </w:r>
      <w:r>
        <w:rPr>
          <w:sz w:val="21"/>
        </w:rPr>
        <w:t>they</w:t>
      </w:r>
      <w:r>
        <w:rPr>
          <w:spacing w:val="-3"/>
          <w:sz w:val="21"/>
        </w:rPr>
        <w:t xml:space="preserve"> </w:t>
      </w:r>
      <w:r>
        <w:rPr>
          <w:sz w:val="21"/>
        </w:rPr>
        <w:t>had</w:t>
      </w:r>
      <w:r>
        <w:rPr>
          <w:spacing w:val="-2"/>
          <w:sz w:val="21"/>
        </w:rPr>
        <w:t xml:space="preserve"> </w:t>
      </w:r>
      <w:r>
        <w:rPr>
          <w:sz w:val="21"/>
        </w:rPr>
        <w:t>been</w:t>
      </w:r>
      <w:r>
        <w:rPr>
          <w:spacing w:val="-4"/>
          <w:sz w:val="21"/>
        </w:rPr>
        <w:t xml:space="preserve"> </w:t>
      </w:r>
      <w:r>
        <w:rPr>
          <w:sz w:val="21"/>
        </w:rPr>
        <w:t>in</w:t>
      </w:r>
      <w:r>
        <w:rPr>
          <w:spacing w:val="-4"/>
          <w:sz w:val="21"/>
        </w:rPr>
        <w:t xml:space="preserve"> </w:t>
      </w:r>
      <w:r>
        <w:rPr>
          <w:sz w:val="21"/>
        </w:rPr>
        <w:t>foster</w:t>
      </w:r>
      <w:r>
        <w:rPr>
          <w:spacing w:val="-3"/>
          <w:sz w:val="21"/>
        </w:rPr>
        <w:t xml:space="preserve"> </w:t>
      </w:r>
      <w:r>
        <w:rPr>
          <w:sz w:val="21"/>
        </w:rPr>
        <w:t>care</w:t>
      </w:r>
      <w:r>
        <w:rPr>
          <w:spacing w:val="-1"/>
          <w:sz w:val="21"/>
        </w:rPr>
        <w:t xml:space="preserve"> </w:t>
      </w:r>
      <w:r>
        <w:rPr>
          <w:sz w:val="21"/>
        </w:rPr>
        <w:t>at</w:t>
      </w:r>
      <w:r>
        <w:rPr>
          <w:spacing w:val="-5"/>
          <w:sz w:val="21"/>
        </w:rPr>
        <w:t xml:space="preserve"> </w:t>
      </w:r>
      <w:r>
        <w:rPr>
          <w:sz w:val="21"/>
        </w:rPr>
        <w:t>one</w:t>
      </w:r>
      <w:r>
        <w:rPr>
          <w:spacing w:val="-3"/>
          <w:sz w:val="21"/>
        </w:rPr>
        <w:t xml:space="preserve"> </w:t>
      </w:r>
      <w:r>
        <w:rPr>
          <w:sz w:val="21"/>
        </w:rPr>
        <w:t>point</w:t>
      </w:r>
      <w:r>
        <w:rPr>
          <w:spacing w:val="-2"/>
          <w:sz w:val="21"/>
        </w:rPr>
        <w:t xml:space="preserve"> </w:t>
      </w:r>
      <w:r>
        <w:rPr>
          <w:sz w:val="21"/>
        </w:rPr>
        <w:t>in</w:t>
      </w:r>
      <w:r>
        <w:rPr>
          <w:spacing w:val="-2"/>
          <w:sz w:val="21"/>
        </w:rPr>
        <w:t xml:space="preserve"> </w:t>
      </w:r>
      <w:r>
        <w:rPr>
          <w:sz w:val="21"/>
        </w:rPr>
        <w:t>their life.</w:t>
      </w:r>
      <w:hyperlink w:anchor="_bookmark609" w:history="1">
        <w:r>
          <w:rPr>
            <w:sz w:val="21"/>
            <w:vertAlign w:val="superscript"/>
          </w:rPr>
          <w:t>29</w:t>
        </w:r>
      </w:hyperlink>
      <w:r>
        <w:rPr>
          <w:sz w:val="21"/>
        </w:rPr>
        <w:t xml:space="preserve"> In Massachusetts, DCF’s</w:t>
      </w:r>
      <w:r>
        <w:rPr>
          <w:spacing w:val="-1"/>
          <w:sz w:val="21"/>
        </w:rPr>
        <w:t xml:space="preserve"> </w:t>
      </w:r>
      <w:r>
        <w:rPr>
          <w:sz w:val="21"/>
        </w:rPr>
        <w:t>most recent SOGIE data report</w:t>
      </w:r>
      <w:r>
        <w:rPr>
          <w:spacing w:val="-3"/>
          <w:sz w:val="21"/>
        </w:rPr>
        <w:t xml:space="preserve"> </w:t>
      </w:r>
      <w:r>
        <w:rPr>
          <w:sz w:val="21"/>
        </w:rPr>
        <w:t>suggests that 5% identify as</w:t>
      </w:r>
      <w:r>
        <w:rPr>
          <w:spacing w:val="-3"/>
          <w:sz w:val="21"/>
        </w:rPr>
        <w:t xml:space="preserve"> </w:t>
      </w:r>
      <w:r>
        <w:rPr>
          <w:sz w:val="21"/>
        </w:rPr>
        <w:t>LGBTQ, though DCF</w:t>
      </w:r>
      <w:r>
        <w:rPr>
          <w:spacing w:val="-1"/>
          <w:sz w:val="21"/>
        </w:rPr>
        <w:t xml:space="preserve"> </w:t>
      </w:r>
      <w:r>
        <w:rPr>
          <w:sz w:val="21"/>
        </w:rPr>
        <w:t>does not</w:t>
      </w:r>
      <w:r>
        <w:rPr>
          <w:spacing w:val="-12"/>
          <w:sz w:val="21"/>
        </w:rPr>
        <w:t xml:space="preserve"> </w:t>
      </w:r>
      <w:r>
        <w:rPr>
          <w:sz w:val="21"/>
        </w:rPr>
        <w:t>currently</w:t>
      </w:r>
      <w:r>
        <w:rPr>
          <w:spacing w:val="-12"/>
          <w:sz w:val="21"/>
        </w:rPr>
        <w:t xml:space="preserve"> </w:t>
      </w:r>
      <w:r>
        <w:rPr>
          <w:sz w:val="21"/>
        </w:rPr>
        <w:t>report</w:t>
      </w:r>
      <w:r>
        <w:rPr>
          <w:spacing w:val="-12"/>
          <w:sz w:val="21"/>
        </w:rPr>
        <w:t xml:space="preserve"> </w:t>
      </w:r>
      <w:r>
        <w:rPr>
          <w:sz w:val="21"/>
        </w:rPr>
        <w:t>on</w:t>
      </w:r>
      <w:r>
        <w:rPr>
          <w:spacing w:val="-12"/>
          <w:sz w:val="21"/>
        </w:rPr>
        <w:t xml:space="preserve"> </w:t>
      </w:r>
      <w:r>
        <w:rPr>
          <w:sz w:val="21"/>
        </w:rPr>
        <w:t>factors</w:t>
      </w:r>
      <w:r>
        <w:rPr>
          <w:spacing w:val="-12"/>
          <w:sz w:val="21"/>
        </w:rPr>
        <w:t xml:space="preserve"> </w:t>
      </w:r>
      <w:r>
        <w:rPr>
          <w:sz w:val="21"/>
        </w:rPr>
        <w:t>involved</w:t>
      </w:r>
      <w:r>
        <w:rPr>
          <w:spacing w:val="-12"/>
          <w:sz w:val="21"/>
        </w:rPr>
        <w:t xml:space="preserve"> </w:t>
      </w:r>
      <w:r>
        <w:rPr>
          <w:sz w:val="21"/>
        </w:rPr>
        <w:t>in</w:t>
      </w:r>
      <w:r>
        <w:rPr>
          <w:spacing w:val="-12"/>
          <w:sz w:val="21"/>
        </w:rPr>
        <w:t xml:space="preserve"> </w:t>
      </w:r>
      <w:r>
        <w:rPr>
          <w:sz w:val="21"/>
        </w:rPr>
        <w:t>why</w:t>
      </w:r>
      <w:r>
        <w:rPr>
          <w:spacing w:val="-11"/>
          <w:sz w:val="21"/>
        </w:rPr>
        <w:t xml:space="preserve"> </w:t>
      </w:r>
      <w:r>
        <w:rPr>
          <w:sz w:val="21"/>
        </w:rPr>
        <w:t>these</w:t>
      </w:r>
      <w:r>
        <w:rPr>
          <w:spacing w:val="-12"/>
          <w:sz w:val="21"/>
        </w:rPr>
        <w:t xml:space="preserve"> </w:t>
      </w:r>
      <w:r>
        <w:rPr>
          <w:sz w:val="21"/>
        </w:rPr>
        <w:t>youth</w:t>
      </w:r>
      <w:r>
        <w:rPr>
          <w:spacing w:val="-12"/>
          <w:sz w:val="21"/>
        </w:rPr>
        <w:t xml:space="preserve"> </w:t>
      </w:r>
      <w:r>
        <w:rPr>
          <w:sz w:val="21"/>
        </w:rPr>
        <w:t>are</w:t>
      </w:r>
      <w:r>
        <w:rPr>
          <w:spacing w:val="-12"/>
          <w:sz w:val="21"/>
        </w:rPr>
        <w:t xml:space="preserve"> </w:t>
      </w:r>
      <w:r>
        <w:rPr>
          <w:sz w:val="21"/>
        </w:rPr>
        <w:t>involved</w:t>
      </w:r>
      <w:r>
        <w:rPr>
          <w:spacing w:val="-12"/>
          <w:sz w:val="21"/>
        </w:rPr>
        <w:t xml:space="preserve"> </w:t>
      </w:r>
      <w:r>
        <w:rPr>
          <w:sz w:val="21"/>
        </w:rPr>
        <w:t>in</w:t>
      </w:r>
      <w:r>
        <w:rPr>
          <w:spacing w:val="-12"/>
          <w:sz w:val="21"/>
        </w:rPr>
        <w:t xml:space="preserve"> </w:t>
      </w:r>
      <w:r>
        <w:rPr>
          <w:sz w:val="21"/>
        </w:rPr>
        <w:t>DCF</w:t>
      </w:r>
      <w:r>
        <w:rPr>
          <w:spacing w:val="-12"/>
          <w:sz w:val="21"/>
        </w:rPr>
        <w:t xml:space="preserve"> </w:t>
      </w:r>
      <w:r>
        <w:rPr>
          <w:sz w:val="21"/>
        </w:rPr>
        <w:t>services.</w:t>
      </w:r>
      <w:hyperlink w:anchor="_bookmark610" w:history="1">
        <w:r>
          <w:rPr>
            <w:sz w:val="21"/>
            <w:vertAlign w:val="superscript"/>
          </w:rPr>
          <w:t>30</w:t>
        </w:r>
      </w:hyperlink>
      <w:r>
        <w:rPr>
          <w:spacing w:val="-12"/>
          <w:sz w:val="21"/>
        </w:rPr>
        <w:t xml:space="preserve"> </w:t>
      </w:r>
      <w:r>
        <w:rPr>
          <w:sz w:val="21"/>
        </w:rPr>
        <w:t>Overall,</w:t>
      </w:r>
      <w:r>
        <w:rPr>
          <w:spacing w:val="-11"/>
          <w:sz w:val="21"/>
        </w:rPr>
        <w:t xml:space="preserve"> </w:t>
      </w:r>
      <w:r>
        <w:rPr>
          <w:sz w:val="21"/>
        </w:rPr>
        <w:t>LGBTQ</w:t>
      </w:r>
      <w:r>
        <w:rPr>
          <w:spacing w:val="-12"/>
          <w:sz w:val="21"/>
        </w:rPr>
        <w:t xml:space="preserve"> </w:t>
      </w:r>
      <w:r>
        <w:rPr>
          <w:sz w:val="21"/>
        </w:rPr>
        <w:t>youth in</w:t>
      </w:r>
      <w:r>
        <w:rPr>
          <w:spacing w:val="-2"/>
          <w:sz w:val="21"/>
        </w:rPr>
        <w:t xml:space="preserve"> </w:t>
      </w:r>
      <w:r>
        <w:rPr>
          <w:sz w:val="21"/>
        </w:rPr>
        <w:t>foster care</w:t>
      </w:r>
      <w:r>
        <w:rPr>
          <w:spacing w:val="-3"/>
          <w:sz w:val="21"/>
        </w:rPr>
        <w:t xml:space="preserve"> </w:t>
      </w:r>
      <w:r>
        <w:rPr>
          <w:sz w:val="21"/>
        </w:rPr>
        <w:t>are</w:t>
      </w:r>
      <w:r>
        <w:rPr>
          <w:spacing w:val="-3"/>
          <w:sz w:val="21"/>
        </w:rPr>
        <w:t xml:space="preserve"> </w:t>
      </w:r>
      <w:r>
        <w:rPr>
          <w:sz w:val="21"/>
        </w:rPr>
        <w:t>more</w:t>
      </w:r>
      <w:r>
        <w:rPr>
          <w:spacing w:val="-1"/>
          <w:sz w:val="21"/>
        </w:rPr>
        <w:t xml:space="preserve"> </w:t>
      </w:r>
      <w:r>
        <w:rPr>
          <w:sz w:val="21"/>
        </w:rPr>
        <w:t>likely</w:t>
      </w:r>
      <w:r>
        <w:rPr>
          <w:spacing w:val="-3"/>
          <w:sz w:val="21"/>
        </w:rPr>
        <w:t xml:space="preserve"> </w:t>
      </w:r>
      <w:r>
        <w:rPr>
          <w:sz w:val="21"/>
        </w:rPr>
        <w:t>to</w:t>
      </w:r>
      <w:r>
        <w:rPr>
          <w:spacing w:val="-2"/>
          <w:sz w:val="21"/>
        </w:rPr>
        <w:t xml:space="preserve"> </w:t>
      </w:r>
      <w:r>
        <w:rPr>
          <w:sz w:val="21"/>
        </w:rPr>
        <w:t>report</w:t>
      </w:r>
      <w:r>
        <w:rPr>
          <w:spacing w:val="-2"/>
          <w:sz w:val="21"/>
        </w:rPr>
        <w:t xml:space="preserve"> </w:t>
      </w:r>
      <w:r>
        <w:rPr>
          <w:sz w:val="21"/>
        </w:rPr>
        <w:t>discrimination,</w:t>
      </w:r>
      <w:r>
        <w:rPr>
          <w:spacing w:val="-1"/>
          <w:sz w:val="21"/>
        </w:rPr>
        <w:t xml:space="preserve"> </w:t>
      </w:r>
      <w:r>
        <w:rPr>
          <w:sz w:val="21"/>
        </w:rPr>
        <w:t>inadequate</w:t>
      </w:r>
      <w:r>
        <w:rPr>
          <w:spacing w:val="-1"/>
          <w:sz w:val="21"/>
        </w:rPr>
        <w:t xml:space="preserve"> </w:t>
      </w:r>
      <w:r>
        <w:rPr>
          <w:sz w:val="21"/>
        </w:rPr>
        <w:t>treatment</w:t>
      </w:r>
      <w:r>
        <w:rPr>
          <w:spacing w:val="-2"/>
          <w:sz w:val="21"/>
        </w:rPr>
        <w:t xml:space="preserve"> </w:t>
      </w:r>
      <w:r>
        <w:rPr>
          <w:sz w:val="21"/>
        </w:rPr>
        <w:t>or housing,</w:t>
      </w:r>
      <w:r>
        <w:rPr>
          <w:spacing w:val="-1"/>
          <w:sz w:val="21"/>
        </w:rPr>
        <w:t xml:space="preserve"> </w:t>
      </w:r>
      <w:r>
        <w:rPr>
          <w:sz w:val="21"/>
        </w:rPr>
        <w:t>and</w:t>
      </w:r>
      <w:r>
        <w:rPr>
          <w:spacing w:val="-2"/>
          <w:sz w:val="21"/>
        </w:rPr>
        <w:t xml:space="preserve"> </w:t>
      </w:r>
      <w:r>
        <w:rPr>
          <w:sz w:val="21"/>
        </w:rPr>
        <w:t>a</w:t>
      </w:r>
      <w:r>
        <w:rPr>
          <w:spacing w:val="-1"/>
          <w:sz w:val="21"/>
        </w:rPr>
        <w:t xml:space="preserve"> </w:t>
      </w:r>
      <w:r>
        <w:rPr>
          <w:sz w:val="21"/>
        </w:rPr>
        <w:t>higher number of placements and, as noted above, are more likely to leave or age out of foster care and experience homelessness</w:t>
      </w:r>
      <w:r>
        <w:rPr>
          <w:spacing w:val="-2"/>
          <w:sz w:val="21"/>
        </w:rPr>
        <w:t xml:space="preserve"> </w:t>
      </w:r>
      <w:r>
        <w:rPr>
          <w:sz w:val="21"/>
        </w:rPr>
        <w:t>or housing</w:t>
      </w:r>
      <w:r>
        <w:rPr>
          <w:spacing w:val="-2"/>
          <w:sz w:val="21"/>
        </w:rPr>
        <w:t xml:space="preserve"> </w:t>
      </w:r>
      <w:r>
        <w:rPr>
          <w:sz w:val="21"/>
        </w:rPr>
        <w:t>instability.</w:t>
      </w:r>
      <w:hyperlink w:anchor="_bookmark611" w:history="1">
        <w:r>
          <w:rPr>
            <w:sz w:val="21"/>
            <w:vertAlign w:val="superscript"/>
          </w:rPr>
          <w:t>31</w:t>
        </w:r>
      </w:hyperlink>
      <w:r>
        <w:rPr>
          <w:spacing w:val="-2"/>
          <w:sz w:val="21"/>
        </w:rPr>
        <w:t xml:space="preserve"> </w:t>
      </w:r>
      <w:r>
        <w:rPr>
          <w:sz w:val="21"/>
        </w:rPr>
        <w:t>National</w:t>
      </w:r>
      <w:r>
        <w:rPr>
          <w:spacing w:val="-1"/>
          <w:sz w:val="21"/>
        </w:rPr>
        <w:t xml:space="preserve"> </w:t>
      </w:r>
      <w:r>
        <w:rPr>
          <w:sz w:val="21"/>
        </w:rPr>
        <w:t>research</w:t>
      </w:r>
      <w:r>
        <w:rPr>
          <w:spacing w:val="-2"/>
          <w:sz w:val="21"/>
        </w:rPr>
        <w:t xml:space="preserve"> </w:t>
      </w:r>
      <w:r>
        <w:rPr>
          <w:sz w:val="21"/>
        </w:rPr>
        <w:t>suggests</w:t>
      </w:r>
      <w:r>
        <w:rPr>
          <w:spacing w:val="-2"/>
          <w:sz w:val="21"/>
        </w:rPr>
        <w:t xml:space="preserve"> </w:t>
      </w:r>
      <w:r>
        <w:rPr>
          <w:sz w:val="21"/>
        </w:rPr>
        <w:t>that up</w:t>
      </w:r>
      <w:r>
        <w:rPr>
          <w:spacing w:val="-2"/>
          <w:sz w:val="21"/>
        </w:rPr>
        <w:t xml:space="preserve"> </w:t>
      </w:r>
      <w:r>
        <w:rPr>
          <w:sz w:val="21"/>
        </w:rPr>
        <w:t>to</w:t>
      </w:r>
      <w:r>
        <w:rPr>
          <w:spacing w:val="-2"/>
          <w:sz w:val="21"/>
        </w:rPr>
        <w:t xml:space="preserve"> </w:t>
      </w:r>
      <w:r>
        <w:rPr>
          <w:sz w:val="21"/>
        </w:rPr>
        <w:t>36%</w:t>
      </w:r>
      <w:r>
        <w:rPr>
          <w:spacing w:val="-1"/>
          <w:sz w:val="21"/>
        </w:rPr>
        <w:t xml:space="preserve"> </w:t>
      </w:r>
      <w:r>
        <w:rPr>
          <w:sz w:val="21"/>
        </w:rPr>
        <w:t>of youth</w:t>
      </w:r>
      <w:r>
        <w:rPr>
          <w:spacing w:val="-2"/>
          <w:sz w:val="21"/>
        </w:rPr>
        <w:t xml:space="preserve"> </w:t>
      </w:r>
      <w:r>
        <w:rPr>
          <w:sz w:val="21"/>
        </w:rPr>
        <w:t>who</w:t>
      </w:r>
      <w:r>
        <w:rPr>
          <w:spacing w:val="-2"/>
          <w:sz w:val="21"/>
        </w:rPr>
        <w:t xml:space="preserve"> </w:t>
      </w:r>
      <w:r>
        <w:rPr>
          <w:sz w:val="21"/>
        </w:rPr>
        <w:t>enter the</w:t>
      </w:r>
      <w:r>
        <w:rPr>
          <w:spacing w:val="-1"/>
          <w:sz w:val="21"/>
        </w:rPr>
        <w:t xml:space="preserve"> </w:t>
      </w:r>
      <w:r>
        <w:rPr>
          <w:sz w:val="21"/>
        </w:rPr>
        <w:t>child</w:t>
      </w:r>
      <w:r>
        <w:rPr>
          <w:sz w:val="21"/>
        </w:rPr>
        <w:t xml:space="preserve"> welfare system will end up experiencing homelessness upon leaving or aging out.</w:t>
      </w:r>
      <w:hyperlink w:anchor="_bookmark612" w:history="1">
        <w:r>
          <w:rPr>
            <w:sz w:val="21"/>
            <w:vertAlign w:val="superscript"/>
          </w:rPr>
          <w:t>32</w:t>
        </w:r>
      </w:hyperlink>
    </w:p>
    <w:p w:rsidR="00200FDA" w:rsidRDefault="00200FDA">
      <w:pPr>
        <w:pStyle w:val="BodyText"/>
        <w:spacing w:before="7"/>
        <w:rPr>
          <w:sz w:val="19"/>
        </w:rPr>
      </w:pPr>
    </w:p>
    <w:p w:rsidR="00200FDA" w:rsidRDefault="00F76C4C">
      <w:pPr>
        <w:spacing w:line="276" w:lineRule="auto"/>
        <w:ind w:left="139" w:right="133"/>
        <w:jc w:val="both"/>
        <w:rPr>
          <w:sz w:val="21"/>
        </w:rPr>
      </w:pPr>
      <w:r>
        <w:rPr>
          <w:sz w:val="21"/>
        </w:rPr>
        <w:t>Resource and skills building programs for LGBTQ youth transitioning out of foster care or the juvenile justice system often lack LGBTQ-affirming supports; those that do specifically cater to LGBTQ transition-aged youth often lack capacity or funding to ser</w:t>
      </w:r>
      <w:r>
        <w:rPr>
          <w:sz w:val="21"/>
        </w:rPr>
        <w:t>ve those in need. In Massachusetts, there are very few dedicated LGBTQ independent living programs or skills building programs across the state, with programs like the Waltham House only having space for 12 youth at a time.</w:t>
      </w:r>
      <w:hyperlink w:anchor="_bookmark613" w:history="1">
        <w:r>
          <w:rPr>
            <w:sz w:val="21"/>
            <w:vertAlign w:val="superscript"/>
          </w:rPr>
          <w:t>3</w:t>
        </w:r>
        <w:r>
          <w:rPr>
            <w:sz w:val="21"/>
            <w:vertAlign w:val="superscript"/>
          </w:rPr>
          <w:t>3</w:t>
        </w:r>
      </w:hyperlink>
      <w:r>
        <w:rPr>
          <w:spacing w:val="-2"/>
          <w:sz w:val="21"/>
        </w:rPr>
        <w:t xml:space="preserve"> </w:t>
      </w:r>
      <w:r>
        <w:rPr>
          <w:sz w:val="21"/>
        </w:rPr>
        <w:t>Transition-aged youth, particularly LGBTQ youth, are more likely to face barriers to long-term success, experience chronic homelessness at higher rates, and are more likely to reengage with substance abuse, sex work, and the criminal legal system.</w:t>
      </w:r>
      <w:hyperlink w:anchor="_bookmark614" w:history="1">
        <w:r>
          <w:rPr>
            <w:sz w:val="21"/>
            <w:vertAlign w:val="superscript"/>
          </w:rPr>
          <w:t>34</w:t>
        </w:r>
      </w:hyperlink>
    </w:p>
    <w:p w:rsidR="00200FDA" w:rsidRDefault="00200FDA">
      <w:pPr>
        <w:pStyle w:val="BodyText"/>
        <w:spacing w:before="8"/>
        <w:rPr>
          <w:sz w:val="19"/>
        </w:rPr>
      </w:pPr>
    </w:p>
    <w:p w:rsidR="00200FDA" w:rsidRDefault="00F76C4C">
      <w:pPr>
        <w:spacing w:line="276" w:lineRule="auto"/>
        <w:ind w:left="139" w:right="135"/>
        <w:jc w:val="both"/>
        <w:rPr>
          <w:sz w:val="21"/>
        </w:rPr>
      </w:pPr>
      <w:r>
        <w:rPr>
          <w:sz w:val="21"/>
        </w:rPr>
        <w:t>LGBTQ youth experiencing homelessness are more likely to also experience physical, emotional, and sexual abuse than their cisgender, heterosexual peers.</w:t>
      </w:r>
      <w:hyperlink w:anchor="_bookmark615" w:history="1">
        <w:r>
          <w:rPr>
            <w:sz w:val="21"/>
            <w:vertAlign w:val="superscript"/>
          </w:rPr>
          <w:t>35</w:t>
        </w:r>
      </w:hyperlink>
      <w:r>
        <w:rPr>
          <w:spacing w:val="-3"/>
          <w:sz w:val="21"/>
        </w:rPr>
        <w:t xml:space="preserve"> </w:t>
      </w:r>
      <w:r>
        <w:rPr>
          <w:sz w:val="21"/>
        </w:rPr>
        <w:t>Nationally, LGBTQ youth experiencing hom</w:t>
      </w:r>
      <w:r>
        <w:rPr>
          <w:sz w:val="21"/>
        </w:rPr>
        <w:t>elessness were three times more likely to experience being physically threatened or abused compared to youth who had no experience with homelessness or housing instability; 34% of transgender and gender expansive youth were more likely than cisgender LGB y</w:t>
      </w:r>
      <w:r>
        <w:rPr>
          <w:sz w:val="21"/>
        </w:rPr>
        <w:t>outh to experience violence.</w:t>
      </w:r>
      <w:hyperlink w:anchor="_bookmark616" w:history="1">
        <w:r>
          <w:rPr>
            <w:sz w:val="21"/>
            <w:vertAlign w:val="superscript"/>
          </w:rPr>
          <w:t>36</w:t>
        </w:r>
      </w:hyperlink>
    </w:p>
    <w:p w:rsidR="00200FDA" w:rsidRDefault="00200FDA">
      <w:pPr>
        <w:spacing w:line="276" w:lineRule="auto"/>
        <w:jc w:val="both"/>
        <w:rPr>
          <w:sz w:val="21"/>
        </w:rPr>
        <w:sectPr w:rsidR="00200FDA">
          <w:pgSz w:w="12240" w:h="15840"/>
          <w:pgMar w:top="1360" w:right="1300" w:bottom="1240" w:left="1300" w:header="758" w:footer="1043" w:gutter="0"/>
          <w:cols w:space="720"/>
        </w:sectPr>
      </w:pPr>
    </w:p>
    <w:p w:rsidR="00200FDA" w:rsidRDefault="00F76C4C">
      <w:pPr>
        <w:spacing w:before="64" w:line="276" w:lineRule="auto"/>
        <w:ind w:left="139" w:right="135"/>
        <w:jc w:val="both"/>
        <w:rPr>
          <w:sz w:val="21"/>
        </w:rPr>
      </w:pPr>
      <w:r>
        <w:rPr>
          <w:noProof/>
        </w:rPr>
        <w:lastRenderedPageBreak/>
        <w:drawing>
          <wp:anchor distT="0" distB="0" distL="0" distR="0" simplePos="0" relativeHeight="15800832" behindDoc="0" locked="0" layoutInCell="1" allowOverlap="1">
            <wp:simplePos x="0" y="0"/>
            <wp:positionH relativeFrom="page">
              <wp:posOffset>5064474</wp:posOffset>
            </wp:positionH>
            <wp:positionV relativeFrom="paragraph">
              <wp:posOffset>752163</wp:posOffset>
            </wp:positionV>
            <wp:extent cx="1767930" cy="1247279"/>
            <wp:effectExtent l="0" t="0" r="0" b="0"/>
            <wp:wrapNone/>
            <wp:docPr id="111" name="image112.jpeg" descr="Icon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2.jpeg"/>
                    <pic:cNvPicPr/>
                  </pic:nvPicPr>
                  <pic:blipFill>
                    <a:blip r:embed="rId584" cstate="print"/>
                    <a:stretch>
                      <a:fillRect/>
                    </a:stretch>
                  </pic:blipFill>
                  <pic:spPr>
                    <a:xfrm>
                      <a:off x="0" y="0"/>
                      <a:ext cx="1767930" cy="1247279"/>
                    </a:xfrm>
                    <a:prstGeom prst="rect">
                      <a:avLst/>
                    </a:prstGeom>
                  </pic:spPr>
                </pic:pic>
              </a:graphicData>
            </a:graphic>
          </wp:anchor>
        </w:drawing>
      </w:r>
      <w:r>
        <w:rPr>
          <w:sz w:val="21"/>
        </w:rPr>
        <w:t>Furthermore, as discussed throughout this annual report, LGBTQ youth are more likely to experience unique psychosocial stressors that include intimate partner violence, hate crim</w:t>
      </w:r>
      <w:r>
        <w:rPr>
          <w:sz w:val="21"/>
        </w:rPr>
        <w:t>es, and bullying, which often result in lower</w:t>
      </w:r>
      <w:r>
        <w:rPr>
          <w:spacing w:val="-8"/>
          <w:sz w:val="21"/>
        </w:rPr>
        <w:t xml:space="preserve"> </w:t>
      </w:r>
      <w:r>
        <w:rPr>
          <w:sz w:val="21"/>
        </w:rPr>
        <w:t>self-esteem,</w:t>
      </w:r>
      <w:r>
        <w:rPr>
          <w:spacing w:val="-9"/>
          <w:sz w:val="21"/>
        </w:rPr>
        <w:t xml:space="preserve"> </w:t>
      </w:r>
      <w:r>
        <w:rPr>
          <w:sz w:val="21"/>
        </w:rPr>
        <w:t>depression,</w:t>
      </w:r>
      <w:r>
        <w:rPr>
          <w:spacing w:val="-9"/>
          <w:sz w:val="21"/>
        </w:rPr>
        <w:t xml:space="preserve"> </w:t>
      </w:r>
      <w:r>
        <w:rPr>
          <w:sz w:val="21"/>
        </w:rPr>
        <w:t>substance</w:t>
      </w:r>
      <w:r>
        <w:rPr>
          <w:spacing w:val="-9"/>
          <w:sz w:val="21"/>
        </w:rPr>
        <w:t xml:space="preserve"> </w:t>
      </w:r>
      <w:r>
        <w:rPr>
          <w:sz w:val="21"/>
        </w:rPr>
        <w:t>use,</w:t>
      </w:r>
      <w:r>
        <w:rPr>
          <w:spacing w:val="-9"/>
          <w:sz w:val="21"/>
        </w:rPr>
        <w:t xml:space="preserve"> </w:t>
      </w:r>
      <w:r>
        <w:rPr>
          <w:sz w:val="21"/>
        </w:rPr>
        <w:t>and</w:t>
      </w:r>
      <w:r>
        <w:rPr>
          <w:spacing w:val="-10"/>
          <w:sz w:val="21"/>
        </w:rPr>
        <w:t xml:space="preserve"> </w:t>
      </w:r>
      <w:r>
        <w:rPr>
          <w:sz w:val="21"/>
        </w:rPr>
        <w:t>suicidal</w:t>
      </w:r>
      <w:r>
        <w:rPr>
          <w:spacing w:val="-10"/>
          <w:sz w:val="21"/>
        </w:rPr>
        <w:t xml:space="preserve"> </w:t>
      </w:r>
      <w:r>
        <w:rPr>
          <w:sz w:val="21"/>
        </w:rPr>
        <w:t>ideation,</w:t>
      </w:r>
      <w:r>
        <w:rPr>
          <w:spacing w:val="-9"/>
          <w:sz w:val="21"/>
        </w:rPr>
        <w:t xml:space="preserve"> </w:t>
      </w:r>
      <w:r>
        <w:rPr>
          <w:sz w:val="21"/>
        </w:rPr>
        <w:t>all</w:t>
      </w:r>
      <w:r>
        <w:rPr>
          <w:spacing w:val="-10"/>
          <w:sz w:val="21"/>
        </w:rPr>
        <w:t xml:space="preserve"> </w:t>
      </w:r>
      <w:r>
        <w:rPr>
          <w:sz w:val="21"/>
        </w:rPr>
        <w:t>of</w:t>
      </w:r>
      <w:r>
        <w:rPr>
          <w:spacing w:val="-9"/>
          <w:sz w:val="21"/>
        </w:rPr>
        <w:t xml:space="preserve"> </w:t>
      </w:r>
      <w:r>
        <w:rPr>
          <w:sz w:val="21"/>
        </w:rPr>
        <w:t>which</w:t>
      </w:r>
      <w:r>
        <w:rPr>
          <w:spacing w:val="-10"/>
          <w:sz w:val="21"/>
        </w:rPr>
        <w:t xml:space="preserve"> </w:t>
      </w:r>
      <w:r>
        <w:rPr>
          <w:sz w:val="21"/>
        </w:rPr>
        <w:t>are</w:t>
      </w:r>
      <w:r>
        <w:rPr>
          <w:spacing w:val="-9"/>
          <w:sz w:val="21"/>
        </w:rPr>
        <w:t xml:space="preserve"> </w:t>
      </w:r>
      <w:r>
        <w:rPr>
          <w:sz w:val="21"/>
        </w:rPr>
        <w:t>factors</w:t>
      </w:r>
      <w:r>
        <w:rPr>
          <w:spacing w:val="-10"/>
          <w:sz w:val="21"/>
        </w:rPr>
        <w:t xml:space="preserve"> </w:t>
      </w:r>
      <w:r>
        <w:rPr>
          <w:sz w:val="21"/>
        </w:rPr>
        <w:t>that</w:t>
      </w:r>
      <w:r>
        <w:rPr>
          <w:spacing w:val="-8"/>
          <w:sz w:val="21"/>
        </w:rPr>
        <w:t xml:space="preserve"> </w:t>
      </w:r>
      <w:r>
        <w:rPr>
          <w:sz w:val="21"/>
        </w:rPr>
        <w:t>can</w:t>
      </w:r>
      <w:r>
        <w:rPr>
          <w:spacing w:val="-10"/>
          <w:sz w:val="21"/>
        </w:rPr>
        <w:t xml:space="preserve"> </w:t>
      </w:r>
      <w:r>
        <w:rPr>
          <w:sz w:val="21"/>
        </w:rPr>
        <w:t>contribute to homelessness.</w:t>
      </w:r>
      <w:hyperlink w:anchor="_bookmark617" w:history="1">
        <w:r>
          <w:rPr>
            <w:sz w:val="21"/>
            <w:vertAlign w:val="superscript"/>
          </w:rPr>
          <w:t>37</w:t>
        </w:r>
      </w:hyperlink>
      <w:r>
        <w:rPr>
          <w:sz w:val="21"/>
        </w:rPr>
        <w:t xml:space="preserve"> Additionally, LGBTQ youth experiencing homelessness</w:t>
      </w:r>
    </w:p>
    <w:p w:rsidR="00200FDA" w:rsidRDefault="00F76C4C">
      <w:pPr>
        <w:spacing w:line="276" w:lineRule="auto"/>
        <w:ind w:left="139" w:right="3147"/>
        <w:jc w:val="both"/>
        <w:rPr>
          <w:sz w:val="21"/>
        </w:rPr>
      </w:pPr>
      <w:r>
        <w:rPr>
          <w:sz w:val="21"/>
        </w:rPr>
        <w:t>are</w:t>
      </w:r>
      <w:r>
        <w:rPr>
          <w:spacing w:val="-12"/>
          <w:sz w:val="21"/>
        </w:rPr>
        <w:t xml:space="preserve"> </w:t>
      </w:r>
      <w:r>
        <w:rPr>
          <w:sz w:val="21"/>
        </w:rPr>
        <w:t>much</w:t>
      </w:r>
      <w:r>
        <w:rPr>
          <w:spacing w:val="-12"/>
          <w:sz w:val="21"/>
        </w:rPr>
        <w:t xml:space="preserve"> </w:t>
      </w:r>
      <w:r>
        <w:rPr>
          <w:sz w:val="21"/>
        </w:rPr>
        <w:t>more</w:t>
      </w:r>
      <w:r>
        <w:rPr>
          <w:spacing w:val="-12"/>
          <w:sz w:val="21"/>
        </w:rPr>
        <w:t xml:space="preserve"> </w:t>
      </w:r>
      <w:r>
        <w:rPr>
          <w:sz w:val="21"/>
        </w:rPr>
        <w:t>likely</w:t>
      </w:r>
      <w:r>
        <w:rPr>
          <w:spacing w:val="-12"/>
          <w:sz w:val="21"/>
        </w:rPr>
        <w:t xml:space="preserve"> </w:t>
      </w:r>
      <w:r>
        <w:rPr>
          <w:sz w:val="21"/>
        </w:rPr>
        <w:t>to</w:t>
      </w:r>
      <w:r>
        <w:rPr>
          <w:spacing w:val="-12"/>
          <w:sz w:val="21"/>
        </w:rPr>
        <w:t xml:space="preserve"> </w:t>
      </w:r>
      <w:r>
        <w:rPr>
          <w:sz w:val="21"/>
        </w:rPr>
        <w:t>suffer</w:t>
      </w:r>
      <w:r>
        <w:rPr>
          <w:spacing w:val="-12"/>
          <w:sz w:val="21"/>
        </w:rPr>
        <w:t xml:space="preserve"> </w:t>
      </w:r>
      <w:r>
        <w:rPr>
          <w:sz w:val="21"/>
        </w:rPr>
        <w:t>from</w:t>
      </w:r>
      <w:r>
        <w:rPr>
          <w:spacing w:val="-12"/>
          <w:sz w:val="21"/>
        </w:rPr>
        <w:t xml:space="preserve"> </w:t>
      </w:r>
      <w:r>
        <w:rPr>
          <w:sz w:val="21"/>
        </w:rPr>
        <w:t>suicidal</w:t>
      </w:r>
      <w:r>
        <w:rPr>
          <w:spacing w:val="-11"/>
          <w:sz w:val="21"/>
        </w:rPr>
        <w:t xml:space="preserve"> </w:t>
      </w:r>
      <w:r>
        <w:rPr>
          <w:sz w:val="21"/>
        </w:rPr>
        <w:t>ideation,</w:t>
      </w:r>
      <w:r>
        <w:rPr>
          <w:spacing w:val="-12"/>
          <w:sz w:val="21"/>
        </w:rPr>
        <w:t xml:space="preserve"> </w:t>
      </w:r>
      <w:r>
        <w:rPr>
          <w:sz w:val="21"/>
        </w:rPr>
        <w:t>anxiety</w:t>
      </w:r>
      <w:r>
        <w:rPr>
          <w:spacing w:val="-12"/>
          <w:sz w:val="21"/>
        </w:rPr>
        <w:t xml:space="preserve"> </w:t>
      </w:r>
      <w:r>
        <w:rPr>
          <w:sz w:val="21"/>
        </w:rPr>
        <w:t>or</w:t>
      </w:r>
      <w:r>
        <w:rPr>
          <w:spacing w:val="-12"/>
          <w:sz w:val="21"/>
        </w:rPr>
        <w:t xml:space="preserve"> </w:t>
      </w:r>
      <w:r>
        <w:rPr>
          <w:sz w:val="21"/>
        </w:rPr>
        <w:t>depression, as well as are more likely to self-harm. Nationally, approximately 1 in 2 youth experiencing homelessness were unable to access mental health care services due to cost, transportation, or lack of caregiver consent.</w:t>
      </w:r>
      <w:hyperlink w:anchor="_bookmark618" w:history="1">
        <w:r>
          <w:rPr>
            <w:sz w:val="21"/>
            <w:vertAlign w:val="superscript"/>
          </w:rPr>
          <w:t>38</w:t>
        </w:r>
      </w:hyperlink>
      <w:r>
        <w:rPr>
          <w:spacing w:val="-3"/>
          <w:sz w:val="21"/>
        </w:rPr>
        <w:t xml:space="preserve"> </w:t>
      </w:r>
      <w:r>
        <w:rPr>
          <w:sz w:val="21"/>
        </w:rPr>
        <w:t>In Massachusetts, 71% of LGBTQ experiencing homelessness reported needing</w:t>
      </w:r>
      <w:r>
        <w:rPr>
          <w:spacing w:val="-3"/>
          <w:sz w:val="21"/>
        </w:rPr>
        <w:t xml:space="preserve"> </w:t>
      </w:r>
      <w:r>
        <w:rPr>
          <w:sz w:val="21"/>
        </w:rPr>
        <w:t>access</w:t>
      </w:r>
      <w:r>
        <w:rPr>
          <w:spacing w:val="-3"/>
          <w:sz w:val="21"/>
        </w:rPr>
        <w:t xml:space="preserve"> </w:t>
      </w:r>
      <w:r>
        <w:rPr>
          <w:sz w:val="21"/>
        </w:rPr>
        <w:t>to</w:t>
      </w:r>
      <w:r>
        <w:rPr>
          <w:spacing w:val="-3"/>
          <w:sz w:val="21"/>
        </w:rPr>
        <w:t xml:space="preserve"> </w:t>
      </w:r>
      <w:r>
        <w:rPr>
          <w:sz w:val="21"/>
        </w:rPr>
        <w:t>mental</w:t>
      </w:r>
      <w:r>
        <w:rPr>
          <w:spacing w:val="-2"/>
          <w:sz w:val="21"/>
        </w:rPr>
        <w:t xml:space="preserve"> </w:t>
      </w:r>
      <w:r>
        <w:rPr>
          <w:sz w:val="21"/>
        </w:rPr>
        <w:t>health</w:t>
      </w:r>
      <w:r>
        <w:rPr>
          <w:spacing w:val="-3"/>
          <w:sz w:val="21"/>
        </w:rPr>
        <w:t xml:space="preserve"> </w:t>
      </w:r>
      <w:r>
        <w:rPr>
          <w:sz w:val="21"/>
        </w:rPr>
        <w:t>care</w:t>
      </w:r>
      <w:r>
        <w:rPr>
          <w:spacing w:val="-2"/>
          <w:sz w:val="21"/>
        </w:rPr>
        <w:t xml:space="preserve"> </w:t>
      </w:r>
      <w:r>
        <w:rPr>
          <w:sz w:val="21"/>
        </w:rPr>
        <w:t>resources,</w:t>
      </w:r>
      <w:r>
        <w:rPr>
          <w:spacing w:val="-2"/>
          <w:sz w:val="21"/>
        </w:rPr>
        <w:t xml:space="preserve"> </w:t>
      </w:r>
      <w:r>
        <w:rPr>
          <w:sz w:val="21"/>
        </w:rPr>
        <w:t>though</w:t>
      </w:r>
      <w:r>
        <w:rPr>
          <w:spacing w:val="-5"/>
          <w:sz w:val="21"/>
        </w:rPr>
        <w:t xml:space="preserve"> </w:t>
      </w:r>
      <w:r>
        <w:rPr>
          <w:sz w:val="21"/>
        </w:rPr>
        <w:t>only</w:t>
      </w:r>
      <w:r>
        <w:rPr>
          <w:spacing w:val="-2"/>
          <w:sz w:val="21"/>
        </w:rPr>
        <w:t xml:space="preserve"> </w:t>
      </w:r>
      <w:r>
        <w:rPr>
          <w:sz w:val="21"/>
        </w:rPr>
        <w:t>36%</w:t>
      </w:r>
      <w:r>
        <w:rPr>
          <w:spacing w:val="-2"/>
          <w:sz w:val="21"/>
        </w:rPr>
        <w:t xml:space="preserve"> </w:t>
      </w:r>
      <w:r>
        <w:rPr>
          <w:sz w:val="21"/>
        </w:rPr>
        <w:t>of</w:t>
      </w:r>
      <w:r>
        <w:rPr>
          <w:spacing w:val="-2"/>
          <w:sz w:val="21"/>
        </w:rPr>
        <w:t xml:space="preserve"> </w:t>
      </w:r>
      <w:r>
        <w:rPr>
          <w:sz w:val="21"/>
        </w:rPr>
        <w:t>youth received assistance.</w:t>
      </w:r>
      <w:hyperlink w:anchor="_bookmark619" w:history="1">
        <w:r>
          <w:rPr>
            <w:sz w:val="21"/>
            <w:vertAlign w:val="superscript"/>
          </w:rPr>
          <w:t>39</w:t>
        </w:r>
      </w:hyperlink>
    </w:p>
    <w:p w:rsidR="00200FDA" w:rsidRDefault="00200FDA">
      <w:pPr>
        <w:pStyle w:val="BodyText"/>
        <w:spacing w:before="7"/>
        <w:rPr>
          <w:sz w:val="19"/>
        </w:rPr>
      </w:pPr>
    </w:p>
    <w:p w:rsidR="00200FDA" w:rsidRDefault="00F76C4C">
      <w:pPr>
        <w:spacing w:line="276" w:lineRule="auto"/>
        <w:ind w:left="139" w:right="135"/>
        <w:jc w:val="both"/>
        <w:rPr>
          <w:sz w:val="21"/>
        </w:rPr>
      </w:pPr>
      <w:r>
        <w:rPr>
          <w:sz w:val="21"/>
        </w:rPr>
        <w:t>Negative experiences in school, such as bullying and har</w:t>
      </w:r>
      <w:r>
        <w:rPr>
          <w:sz w:val="21"/>
        </w:rPr>
        <w:t>assment, can also lead to a path to homelessness, as LGBTQ youth are twice as likely to drop out of school as their heterosexual, cisgender peers;</w:t>
      </w:r>
      <w:hyperlink w:anchor="_bookmark620" w:history="1">
        <w:r>
          <w:rPr>
            <w:sz w:val="21"/>
            <w:vertAlign w:val="superscript"/>
          </w:rPr>
          <w:t>40</w:t>
        </w:r>
      </w:hyperlink>
      <w:r>
        <w:rPr>
          <w:spacing w:val="-2"/>
          <w:sz w:val="21"/>
        </w:rPr>
        <w:t xml:space="preserve"> </w:t>
      </w:r>
      <w:r>
        <w:rPr>
          <w:sz w:val="21"/>
        </w:rPr>
        <w:t>youth who do not</w:t>
      </w:r>
      <w:r>
        <w:rPr>
          <w:spacing w:val="-2"/>
          <w:sz w:val="21"/>
        </w:rPr>
        <w:t xml:space="preserve"> </w:t>
      </w:r>
      <w:r>
        <w:rPr>
          <w:sz w:val="21"/>
        </w:rPr>
        <w:t>complete</w:t>
      </w:r>
      <w:r>
        <w:rPr>
          <w:spacing w:val="-1"/>
          <w:sz w:val="21"/>
        </w:rPr>
        <w:t xml:space="preserve"> </w:t>
      </w:r>
      <w:r>
        <w:rPr>
          <w:sz w:val="21"/>
        </w:rPr>
        <w:t>high</w:t>
      </w:r>
      <w:r>
        <w:rPr>
          <w:spacing w:val="-1"/>
          <w:sz w:val="21"/>
        </w:rPr>
        <w:t xml:space="preserve"> </w:t>
      </w:r>
      <w:r>
        <w:rPr>
          <w:sz w:val="21"/>
        </w:rPr>
        <w:t>school</w:t>
      </w:r>
      <w:r>
        <w:rPr>
          <w:spacing w:val="-2"/>
          <w:sz w:val="21"/>
        </w:rPr>
        <w:t xml:space="preserve"> </w:t>
      </w:r>
      <w:r>
        <w:rPr>
          <w:sz w:val="21"/>
        </w:rPr>
        <w:t>have</w:t>
      </w:r>
      <w:r>
        <w:rPr>
          <w:spacing w:val="-1"/>
          <w:sz w:val="21"/>
        </w:rPr>
        <w:t xml:space="preserve"> </w:t>
      </w:r>
      <w:r>
        <w:rPr>
          <w:sz w:val="21"/>
        </w:rPr>
        <w:t>a</w:t>
      </w:r>
      <w:r>
        <w:rPr>
          <w:spacing w:val="-4"/>
          <w:sz w:val="21"/>
        </w:rPr>
        <w:t xml:space="preserve"> </w:t>
      </w:r>
      <w:r>
        <w:rPr>
          <w:sz w:val="21"/>
        </w:rPr>
        <w:t>346%</w:t>
      </w:r>
      <w:r>
        <w:rPr>
          <w:spacing w:val="-1"/>
          <w:sz w:val="21"/>
        </w:rPr>
        <w:t xml:space="preserve"> </w:t>
      </w:r>
      <w:r>
        <w:rPr>
          <w:sz w:val="21"/>
        </w:rPr>
        <w:t>higher</w:t>
      </w:r>
      <w:r>
        <w:rPr>
          <w:spacing w:val="-3"/>
          <w:sz w:val="21"/>
        </w:rPr>
        <w:t xml:space="preserve"> </w:t>
      </w:r>
      <w:r>
        <w:rPr>
          <w:sz w:val="21"/>
        </w:rPr>
        <w:t>risk</w:t>
      </w:r>
      <w:r>
        <w:rPr>
          <w:spacing w:val="-1"/>
          <w:sz w:val="21"/>
        </w:rPr>
        <w:t xml:space="preserve"> </w:t>
      </w:r>
      <w:r>
        <w:rPr>
          <w:sz w:val="21"/>
        </w:rPr>
        <w:t>of</w:t>
      </w:r>
      <w:r>
        <w:rPr>
          <w:spacing w:val="-3"/>
          <w:sz w:val="21"/>
        </w:rPr>
        <w:t xml:space="preserve"> </w:t>
      </w:r>
      <w:r>
        <w:rPr>
          <w:sz w:val="21"/>
        </w:rPr>
        <w:t>experiencing</w:t>
      </w:r>
      <w:r>
        <w:rPr>
          <w:spacing w:val="-2"/>
          <w:sz w:val="21"/>
        </w:rPr>
        <w:t xml:space="preserve"> </w:t>
      </w:r>
      <w:r>
        <w:rPr>
          <w:sz w:val="21"/>
        </w:rPr>
        <w:t>homelessness.</w:t>
      </w:r>
      <w:hyperlink w:anchor="_bookmark621" w:history="1">
        <w:r>
          <w:rPr>
            <w:sz w:val="21"/>
            <w:vertAlign w:val="superscript"/>
          </w:rPr>
          <w:t>41</w:t>
        </w:r>
      </w:hyperlink>
      <w:r>
        <w:rPr>
          <w:spacing w:val="-2"/>
          <w:sz w:val="21"/>
        </w:rPr>
        <w:t xml:space="preserve"> </w:t>
      </w:r>
      <w:r>
        <w:rPr>
          <w:sz w:val="21"/>
        </w:rPr>
        <w:t>In</w:t>
      </w:r>
      <w:r>
        <w:rPr>
          <w:spacing w:val="-2"/>
          <w:sz w:val="21"/>
        </w:rPr>
        <w:t xml:space="preserve"> </w:t>
      </w:r>
      <w:r>
        <w:rPr>
          <w:sz w:val="21"/>
        </w:rPr>
        <w:t>the 2021 MYRBS</w:t>
      </w:r>
      <w:r>
        <w:rPr>
          <w:spacing w:val="-2"/>
          <w:sz w:val="21"/>
        </w:rPr>
        <w:t xml:space="preserve"> </w:t>
      </w:r>
      <w:r>
        <w:rPr>
          <w:sz w:val="21"/>
        </w:rPr>
        <w:t xml:space="preserve">survey, </w:t>
      </w:r>
      <w:r>
        <w:t>Black,</w:t>
      </w:r>
      <w:r>
        <w:rPr>
          <w:spacing w:val="-2"/>
        </w:rPr>
        <w:t xml:space="preserve"> </w:t>
      </w:r>
      <w:r>
        <w:t>Latinx,</w:t>
      </w:r>
      <w:r>
        <w:rPr>
          <w:spacing w:val="-2"/>
        </w:rPr>
        <w:t xml:space="preserve"> </w:t>
      </w:r>
      <w:r>
        <w:t>and multiracial LGBTQ students</w:t>
      </w:r>
      <w:r>
        <w:rPr>
          <w:spacing w:val="-2"/>
        </w:rPr>
        <w:t xml:space="preserve"> </w:t>
      </w:r>
      <w:r>
        <w:t>were all</w:t>
      </w:r>
      <w:r>
        <w:rPr>
          <w:spacing w:val="-2"/>
        </w:rPr>
        <w:t xml:space="preserve"> </w:t>
      </w:r>
      <w:r>
        <w:t>more</w:t>
      </w:r>
      <w:r>
        <w:rPr>
          <w:spacing w:val="-1"/>
        </w:rPr>
        <w:t xml:space="preserve"> </w:t>
      </w:r>
      <w:r>
        <w:t>likely to report</w:t>
      </w:r>
      <w:r>
        <w:rPr>
          <w:spacing w:val="-1"/>
        </w:rPr>
        <w:t xml:space="preserve"> </w:t>
      </w:r>
      <w:r>
        <w:t>skipping school because they felt unsafe.</w:t>
      </w:r>
      <w:hyperlink w:anchor="_bookmark622" w:history="1">
        <w:r>
          <w:rPr>
            <w:vertAlign w:val="superscript"/>
          </w:rPr>
          <w:t>42</w:t>
        </w:r>
      </w:hyperlink>
      <w:r>
        <w:t xml:space="preserve"> </w:t>
      </w:r>
      <w:r>
        <w:rPr>
          <w:sz w:val="21"/>
        </w:rPr>
        <w:t>Furthermore, you</w:t>
      </w:r>
      <w:r>
        <w:rPr>
          <w:sz w:val="21"/>
        </w:rPr>
        <w:t>th currently experiencing homelessness that attempt to continue to go to school</w:t>
      </w:r>
      <w:r>
        <w:rPr>
          <w:spacing w:val="-12"/>
          <w:sz w:val="21"/>
        </w:rPr>
        <w:t xml:space="preserve"> </w:t>
      </w:r>
      <w:r>
        <w:rPr>
          <w:sz w:val="21"/>
        </w:rPr>
        <w:t>face</w:t>
      </w:r>
      <w:r>
        <w:rPr>
          <w:spacing w:val="-9"/>
          <w:sz w:val="21"/>
        </w:rPr>
        <w:t xml:space="preserve"> </w:t>
      </w:r>
      <w:r>
        <w:rPr>
          <w:sz w:val="21"/>
        </w:rPr>
        <w:t>poor</w:t>
      </w:r>
      <w:r>
        <w:rPr>
          <w:spacing w:val="-11"/>
          <w:sz w:val="21"/>
        </w:rPr>
        <w:t xml:space="preserve"> </w:t>
      </w:r>
      <w:r>
        <w:rPr>
          <w:sz w:val="21"/>
        </w:rPr>
        <w:t>academic</w:t>
      </w:r>
      <w:r>
        <w:rPr>
          <w:spacing w:val="-10"/>
          <w:sz w:val="21"/>
        </w:rPr>
        <w:t xml:space="preserve"> </w:t>
      </w:r>
      <w:r>
        <w:rPr>
          <w:sz w:val="21"/>
        </w:rPr>
        <w:t>performance</w:t>
      </w:r>
      <w:r>
        <w:rPr>
          <w:spacing w:val="-11"/>
          <w:sz w:val="21"/>
        </w:rPr>
        <w:t xml:space="preserve"> </w:t>
      </w:r>
      <w:r>
        <w:rPr>
          <w:sz w:val="21"/>
        </w:rPr>
        <w:t>and</w:t>
      </w:r>
      <w:r>
        <w:rPr>
          <w:spacing w:val="-10"/>
          <w:sz w:val="21"/>
        </w:rPr>
        <w:t xml:space="preserve"> </w:t>
      </w:r>
      <w:r>
        <w:rPr>
          <w:sz w:val="21"/>
        </w:rPr>
        <w:t>attainment,</w:t>
      </w:r>
      <w:r>
        <w:rPr>
          <w:spacing w:val="-12"/>
          <w:sz w:val="21"/>
        </w:rPr>
        <w:t xml:space="preserve"> </w:t>
      </w:r>
      <w:r>
        <w:rPr>
          <w:sz w:val="21"/>
        </w:rPr>
        <w:t>intermittent</w:t>
      </w:r>
      <w:r>
        <w:rPr>
          <w:spacing w:val="-10"/>
          <w:sz w:val="21"/>
        </w:rPr>
        <w:t xml:space="preserve"> </w:t>
      </w:r>
      <w:r>
        <w:rPr>
          <w:sz w:val="21"/>
        </w:rPr>
        <w:t>attendance,</w:t>
      </w:r>
      <w:r>
        <w:rPr>
          <w:spacing w:val="-11"/>
          <w:sz w:val="21"/>
        </w:rPr>
        <w:t xml:space="preserve"> </w:t>
      </w:r>
      <w:r>
        <w:rPr>
          <w:sz w:val="21"/>
        </w:rPr>
        <w:t>and</w:t>
      </w:r>
      <w:r>
        <w:rPr>
          <w:spacing w:val="-10"/>
          <w:sz w:val="21"/>
        </w:rPr>
        <w:t xml:space="preserve"> </w:t>
      </w:r>
      <w:r>
        <w:rPr>
          <w:sz w:val="21"/>
        </w:rPr>
        <w:t>often</w:t>
      </w:r>
      <w:r>
        <w:rPr>
          <w:spacing w:val="-12"/>
          <w:sz w:val="21"/>
        </w:rPr>
        <w:t xml:space="preserve"> </w:t>
      </w:r>
      <w:r>
        <w:rPr>
          <w:sz w:val="21"/>
        </w:rPr>
        <w:t>report</w:t>
      </w:r>
      <w:r>
        <w:rPr>
          <w:spacing w:val="-10"/>
          <w:sz w:val="21"/>
        </w:rPr>
        <w:t xml:space="preserve"> </w:t>
      </w:r>
      <w:r>
        <w:rPr>
          <w:sz w:val="21"/>
        </w:rPr>
        <w:t>an</w:t>
      </w:r>
      <w:r>
        <w:rPr>
          <w:spacing w:val="-10"/>
          <w:sz w:val="21"/>
        </w:rPr>
        <w:t xml:space="preserve"> </w:t>
      </w:r>
      <w:r>
        <w:rPr>
          <w:sz w:val="21"/>
        </w:rPr>
        <w:t>inability to fully devote their attention and time to their education.</w:t>
      </w:r>
      <w:hyperlink w:anchor="_bookmark623" w:history="1">
        <w:r>
          <w:rPr>
            <w:sz w:val="21"/>
            <w:vertAlign w:val="superscript"/>
          </w:rPr>
          <w:t>43</w:t>
        </w:r>
      </w:hyperlink>
    </w:p>
    <w:p w:rsidR="00200FDA" w:rsidRDefault="00200FDA">
      <w:pPr>
        <w:pStyle w:val="BodyText"/>
        <w:spacing w:before="9"/>
        <w:rPr>
          <w:sz w:val="19"/>
        </w:rPr>
      </w:pPr>
    </w:p>
    <w:p w:rsidR="00200FDA" w:rsidRDefault="00F76C4C">
      <w:pPr>
        <w:spacing w:before="1" w:line="276" w:lineRule="auto"/>
        <w:ind w:left="139" w:right="133"/>
        <w:jc w:val="both"/>
        <w:rPr>
          <w:sz w:val="21"/>
        </w:rPr>
      </w:pPr>
      <w:r>
        <w:rPr>
          <w:sz w:val="21"/>
        </w:rPr>
        <w:t>Finally, as discussed throughout this annual report, LGBTQ youth over the age of 18 are more likely to face housing discrimination, such as being charged higher rental rates or being denied a mortgage.</w:t>
      </w:r>
      <w:hyperlink w:anchor="_bookmark624" w:history="1">
        <w:r>
          <w:rPr>
            <w:sz w:val="21"/>
            <w:vertAlign w:val="superscript"/>
          </w:rPr>
          <w:t>44</w:t>
        </w:r>
      </w:hyperlink>
      <w:r>
        <w:rPr>
          <w:spacing w:val="-12"/>
          <w:sz w:val="21"/>
        </w:rPr>
        <w:t xml:space="preserve"> </w:t>
      </w:r>
      <w:r>
        <w:rPr>
          <w:sz w:val="21"/>
        </w:rPr>
        <w:t>Involvement in the criminal legal systems are additional common causes of homelessness and are factors that disproportionately</w:t>
      </w:r>
      <w:r>
        <w:rPr>
          <w:spacing w:val="-6"/>
          <w:sz w:val="21"/>
        </w:rPr>
        <w:t xml:space="preserve"> </w:t>
      </w:r>
      <w:r>
        <w:rPr>
          <w:sz w:val="21"/>
        </w:rPr>
        <w:t>impact</w:t>
      </w:r>
      <w:r>
        <w:rPr>
          <w:spacing w:val="-8"/>
          <w:sz w:val="21"/>
        </w:rPr>
        <w:t xml:space="preserve"> </w:t>
      </w:r>
      <w:r>
        <w:rPr>
          <w:sz w:val="21"/>
        </w:rPr>
        <w:t>LGBTQ</w:t>
      </w:r>
      <w:r>
        <w:rPr>
          <w:spacing w:val="-7"/>
          <w:sz w:val="21"/>
        </w:rPr>
        <w:t xml:space="preserve"> </w:t>
      </w:r>
      <w:r>
        <w:rPr>
          <w:sz w:val="21"/>
        </w:rPr>
        <w:t>youth,</w:t>
      </w:r>
      <w:r>
        <w:rPr>
          <w:spacing w:val="-7"/>
          <w:sz w:val="21"/>
        </w:rPr>
        <w:t xml:space="preserve"> </w:t>
      </w:r>
      <w:r>
        <w:rPr>
          <w:sz w:val="21"/>
        </w:rPr>
        <w:t>particularly</w:t>
      </w:r>
      <w:r>
        <w:rPr>
          <w:spacing w:val="-6"/>
          <w:sz w:val="21"/>
        </w:rPr>
        <w:t xml:space="preserve"> </w:t>
      </w:r>
      <w:r>
        <w:rPr>
          <w:sz w:val="21"/>
        </w:rPr>
        <w:t>due</w:t>
      </w:r>
      <w:r>
        <w:rPr>
          <w:spacing w:val="-6"/>
          <w:sz w:val="21"/>
        </w:rPr>
        <w:t xml:space="preserve"> </w:t>
      </w:r>
      <w:r>
        <w:rPr>
          <w:sz w:val="21"/>
        </w:rPr>
        <w:t>to</w:t>
      </w:r>
      <w:r>
        <w:rPr>
          <w:spacing w:val="-8"/>
          <w:sz w:val="21"/>
        </w:rPr>
        <w:t xml:space="preserve"> </w:t>
      </w:r>
      <w:r>
        <w:rPr>
          <w:sz w:val="21"/>
        </w:rPr>
        <w:t>the</w:t>
      </w:r>
      <w:r>
        <w:rPr>
          <w:spacing w:val="-6"/>
          <w:sz w:val="21"/>
        </w:rPr>
        <w:t xml:space="preserve"> </w:t>
      </w:r>
      <w:r>
        <w:rPr>
          <w:sz w:val="21"/>
        </w:rPr>
        <w:t>difficulties</w:t>
      </w:r>
      <w:r>
        <w:rPr>
          <w:spacing w:val="-8"/>
          <w:sz w:val="21"/>
        </w:rPr>
        <w:t xml:space="preserve"> </w:t>
      </w:r>
      <w:r>
        <w:rPr>
          <w:sz w:val="21"/>
        </w:rPr>
        <w:t>of</w:t>
      </w:r>
      <w:r>
        <w:rPr>
          <w:spacing w:val="-6"/>
          <w:sz w:val="21"/>
        </w:rPr>
        <w:t xml:space="preserve"> </w:t>
      </w:r>
      <w:r>
        <w:rPr>
          <w:sz w:val="21"/>
        </w:rPr>
        <w:t>obtaining</w:t>
      </w:r>
      <w:r>
        <w:rPr>
          <w:spacing w:val="-8"/>
          <w:sz w:val="21"/>
        </w:rPr>
        <w:t xml:space="preserve"> </w:t>
      </w:r>
      <w:r>
        <w:rPr>
          <w:sz w:val="21"/>
        </w:rPr>
        <w:t>appropriate</w:t>
      </w:r>
      <w:r>
        <w:rPr>
          <w:spacing w:val="-6"/>
          <w:sz w:val="21"/>
        </w:rPr>
        <w:t xml:space="preserve"> </w:t>
      </w:r>
      <w:r>
        <w:rPr>
          <w:sz w:val="21"/>
        </w:rPr>
        <w:t>housing</w:t>
      </w:r>
      <w:r>
        <w:rPr>
          <w:spacing w:val="-8"/>
          <w:sz w:val="21"/>
        </w:rPr>
        <w:t xml:space="preserve"> </w:t>
      </w:r>
      <w:r>
        <w:rPr>
          <w:sz w:val="21"/>
        </w:rPr>
        <w:t>or employment when re-entering socie</w:t>
      </w:r>
      <w:r>
        <w:rPr>
          <w:sz w:val="21"/>
        </w:rPr>
        <w:t>ty from previous incarceration.</w:t>
      </w:r>
    </w:p>
    <w:p w:rsidR="00200FDA" w:rsidRDefault="00200FDA">
      <w:pPr>
        <w:pStyle w:val="BodyText"/>
        <w:rPr>
          <w:sz w:val="20"/>
        </w:rPr>
      </w:pPr>
    </w:p>
    <w:p w:rsidR="00200FDA" w:rsidRDefault="00200FDA">
      <w:pPr>
        <w:pStyle w:val="BodyText"/>
        <w:spacing w:before="8"/>
        <w:rPr>
          <w:sz w:val="20"/>
        </w:rPr>
      </w:pPr>
    </w:p>
    <w:p w:rsidR="00200FDA" w:rsidRDefault="00F76C4C">
      <w:pPr>
        <w:pStyle w:val="Heading8"/>
      </w:pPr>
      <w:bookmarkStart w:id="748" w:name="Experiences_While_Homeless"/>
      <w:bookmarkEnd w:id="748"/>
      <w:r>
        <w:rPr>
          <w:color w:val="0A5293"/>
        </w:rPr>
        <w:t>Experiences</w:t>
      </w:r>
      <w:r>
        <w:rPr>
          <w:color w:val="0A5293"/>
          <w:spacing w:val="-2"/>
        </w:rPr>
        <w:t xml:space="preserve"> </w:t>
      </w:r>
      <w:r>
        <w:rPr>
          <w:color w:val="0A5293"/>
        </w:rPr>
        <w:t>While</w:t>
      </w:r>
      <w:r>
        <w:rPr>
          <w:color w:val="0A5293"/>
          <w:spacing w:val="-1"/>
        </w:rPr>
        <w:t xml:space="preserve"> </w:t>
      </w:r>
      <w:r>
        <w:rPr>
          <w:color w:val="0A5293"/>
          <w:spacing w:val="-2"/>
        </w:rPr>
        <w:t>Homeless</w:t>
      </w:r>
    </w:p>
    <w:p w:rsidR="00200FDA" w:rsidRDefault="00200FDA">
      <w:pPr>
        <w:pStyle w:val="BodyText"/>
        <w:spacing w:before="2"/>
        <w:rPr>
          <w:sz w:val="23"/>
        </w:rPr>
      </w:pPr>
    </w:p>
    <w:p w:rsidR="00200FDA" w:rsidRDefault="00F76C4C">
      <w:pPr>
        <w:ind w:left="140"/>
        <w:jc w:val="both"/>
        <w:rPr>
          <w:sz w:val="21"/>
        </w:rPr>
      </w:pPr>
      <w:r>
        <w:rPr>
          <w:sz w:val="21"/>
        </w:rPr>
        <w:t>In</w:t>
      </w:r>
      <w:r>
        <w:rPr>
          <w:spacing w:val="1"/>
          <w:sz w:val="21"/>
        </w:rPr>
        <w:t xml:space="preserve"> </w:t>
      </w:r>
      <w:r>
        <w:rPr>
          <w:sz w:val="21"/>
        </w:rPr>
        <w:t>Massachusetts,</w:t>
      </w:r>
      <w:r>
        <w:rPr>
          <w:spacing w:val="3"/>
          <w:sz w:val="21"/>
        </w:rPr>
        <w:t xml:space="preserve"> </w:t>
      </w:r>
      <w:r>
        <w:rPr>
          <w:sz w:val="21"/>
        </w:rPr>
        <w:t>approximately</w:t>
      </w:r>
      <w:r>
        <w:rPr>
          <w:spacing w:val="4"/>
          <w:sz w:val="21"/>
        </w:rPr>
        <w:t xml:space="preserve"> </w:t>
      </w:r>
      <w:r>
        <w:rPr>
          <w:sz w:val="21"/>
        </w:rPr>
        <w:t>3,800</w:t>
      </w:r>
      <w:r>
        <w:rPr>
          <w:spacing w:val="2"/>
          <w:sz w:val="21"/>
        </w:rPr>
        <w:t xml:space="preserve"> </w:t>
      </w:r>
      <w:r>
        <w:rPr>
          <w:sz w:val="21"/>
        </w:rPr>
        <w:t>youth</w:t>
      </w:r>
      <w:r>
        <w:rPr>
          <w:spacing w:val="3"/>
          <w:sz w:val="21"/>
        </w:rPr>
        <w:t xml:space="preserve"> </w:t>
      </w:r>
      <w:r>
        <w:rPr>
          <w:sz w:val="21"/>
        </w:rPr>
        <w:t>-</w:t>
      </w:r>
      <w:r>
        <w:rPr>
          <w:spacing w:val="4"/>
          <w:sz w:val="21"/>
        </w:rPr>
        <w:t xml:space="preserve"> </w:t>
      </w:r>
      <w:r>
        <w:rPr>
          <w:sz w:val="21"/>
        </w:rPr>
        <w:t>unaccompanied</w:t>
      </w:r>
      <w:r>
        <w:rPr>
          <w:spacing w:val="3"/>
          <w:sz w:val="21"/>
        </w:rPr>
        <w:t xml:space="preserve"> </w:t>
      </w:r>
      <w:r>
        <w:rPr>
          <w:sz w:val="21"/>
        </w:rPr>
        <w:t>and</w:t>
      </w:r>
      <w:r>
        <w:rPr>
          <w:spacing w:val="3"/>
          <w:sz w:val="21"/>
        </w:rPr>
        <w:t xml:space="preserve"> </w:t>
      </w:r>
      <w:r>
        <w:rPr>
          <w:sz w:val="21"/>
        </w:rPr>
        <w:t>young</w:t>
      </w:r>
      <w:r>
        <w:rPr>
          <w:spacing w:val="3"/>
          <w:sz w:val="21"/>
        </w:rPr>
        <w:t xml:space="preserve"> </w:t>
      </w:r>
      <w:r>
        <w:rPr>
          <w:sz w:val="21"/>
        </w:rPr>
        <w:t>adults</w:t>
      </w:r>
      <w:r>
        <w:rPr>
          <w:spacing w:val="3"/>
          <w:sz w:val="21"/>
        </w:rPr>
        <w:t xml:space="preserve"> </w:t>
      </w:r>
      <w:r>
        <w:rPr>
          <w:sz w:val="21"/>
        </w:rPr>
        <w:t>-</w:t>
      </w:r>
      <w:r>
        <w:rPr>
          <w:spacing w:val="2"/>
          <w:sz w:val="21"/>
        </w:rPr>
        <w:t xml:space="preserve"> </w:t>
      </w:r>
      <w:r>
        <w:rPr>
          <w:sz w:val="21"/>
        </w:rPr>
        <w:t>experience</w:t>
      </w:r>
      <w:r>
        <w:rPr>
          <w:spacing w:val="4"/>
          <w:sz w:val="21"/>
        </w:rPr>
        <w:t xml:space="preserve"> </w:t>
      </w:r>
      <w:r>
        <w:rPr>
          <w:spacing w:val="-2"/>
          <w:sz w:val="21"/>
        </w:rPr>
        <w:t>homelessness</w:t>
      </w:r>
    </w:p>
    <w:p w:rsidR="00200FDA" w:rsidRDefault="00F76C4C">
      <w:pPr>
        <w:spacing w:before="39" w:line="276" w:lineRule="auto"/>
        <w:ind w:left="3020" w:right="134"/>
        <w:jc w:val="both"/>
        <w:rPr>
          <w:sz w:val="21"/>
        </w:rPr>
      </w:pPr>
      <w:r>
        <w:rPr>
          <w:noProof/>
        </w:rPr>
        <w:drawing>
          <wp:anchor distT="0" distB="0" distL="0" distR="0" simplePos="0" relativeHeight="15800320" behindDoc="0" locked="0" layoutInCell="1" allowOverlap="1">
            <wp:simplePos x="0" y="0"/>
            <wp:positionH relativeFrom="page">
              <wp:posOffset>1144380</wp:posOffset>
            </wp:positionH>
            <wp:positionV relativeFrom="paragraph">
              <wp:posOffset>90045</wp:posOffset>
            </wp:positionV>
            <wp:extent cx="1321677" cy="1386285"/>
            <wp:effectExtent l="0" t="0" r="0" b="0"/>
            <wp:wrapNone/>
            <wp:docPr id="113" name="image113.jpeg" descr="Diagram  Description automatically generated with low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3.jpeg"/>
                    <pic:cNvPicPr/>
                  </pic:nvPicPr>
                  <pic:blipFill>
                    <a:blip r:embed="rId585" cstate="print"/>
                    <a:stretch>
                      <a:fillRect/>
                    </a:stretch>
                  </pic:blipFill>
                  <pic:spPr>
                    <a:xfrm>
                      <a:off x="0" y="0"/>
                      <a:ext cx="1321677" cy="1386285"/>
                    </a:xfrm>
                    <a:prstGeom prst="rect">
                      <a:avLst/>
                    </a:prstGeom>
                  </pic:spPr>
                </pic:pic>
              </a:graphicData>
            </a:graphic>
          </wp:anchor>
        </w:drawing>
      </w:r>
      <w:r>
        <w:rPr>
          <w:sz w:val="21"/>
        </w:rPr>
        <w:t>every</w:t>
      </w:r>
      <w:r>
        <w:rPr>
          <w:spacing w:val="-12"/>
          <w:sz w:val="21"/>
        </w:rPr>
        <w:t xml:space="preserve"> </w:t>
      </w:r>
      <w:r>
        <w:rPr>
          <w:sz w:val="21"/>
        </w:rPr>
        <w:t>year.</w:t>
      </w:r>
      <w:hyperlink w:anchor="_bookmark625" w:history="1">
        <w:r>
          <w:rPr>
            <w:sz w:val="21"/>
            <w:vertAlign w:val="superscript"/>
          </w:rPr>
          <w:t>45</w:t>
        </w:r>
      </w:hyperlink>
      <w:r>
        <w:rPr>
          <w:spacing w:val="-12"/>
          <w:sz w:val="21"/>
        </w:rPr>
        <w:t xml:space="preserve"> </w:t>
      </w:r>
      <w:r>
        <w:rPr>
          <w:sz w:val="21"/>
        </w:rPr>
        <w:t>Updated</w:t>
      </w:r>
      <w:r>
        <w:rPr>
          <w:spacing w:val="-12"/>
          <w:sz w:val="21"/>
        </w:rPr>
        <w:t xml:space="preserve"> </w:t>
      </w:r>
      <w:r>
        <w:rPr>
          <w:sz w:val="21"/>
        </w:rPr>
        <w:t>from</w:t>
      </w:r>
      <w:r>
        <w:rPr>
          <w:spacing w:val="-12"/>
          <w:sz w:val="21"/>
        </w:rPr>
        <w:t xml:space="preserve"> </w:t>
      </w:r>
      <w:r>
        <w:rPr>
          <w:sz w:val="21"/>
        </w:rPr>
        <w:t>2019</w:t>
      </w:r>
      <w:r>
        <w:rPr>
          <w:spacing w:val="-11"/>
          <w:sz w:val="21"/>
        </w:rPr>
        <w:t xml:space="preserve"> </w:t>
      </w:r>
      <w:r>
        <w:rPr>
          <w:sz w:val="21"/>
        </w:rPr>
        <w:t>where</w:t>
      </w:r>
      <w:r>
        <w:rPr>
          <w:spacing w:val="-11"/>
          <w:sz w:val="21"/>
        </w:rPr>
        <w:t xml:space="preserve"> </w:t>
      </w:r>
      <w:r>
        <w:rPr>
          <w:sz w:val="21"/>
        </w:rPr>
        <w:t>youth</w:t>
      </w:r>
      <w:r>
        <w:rPr>
          <w:spacing w:val="-11"/>
          <w:sz w:val="21"/>
        </w:rPr>
        <w:t xml:space="preserve"> </w:t>
      </w:r>
      <w:r>
        <w:rPr>
          <w:sz w:val="21"/>
        </w:rPr>
        <w:t>were</w:t>
      </w:r>
      <w:r>
        <w:rPr>
          <w:spacing w:val="-9"/>
          <w:sz w:val="21"/>
        </w:rPr>
        <w:t xml:space="preserve"> </w:t>
      </w:r>
      <w:r>
        <w:rPr>
          <w:sz w:val="21"/>
        </w:rPr>
        <w:t>more</w:t>
      </w:r>
      <w:r>
        <w:rPr>
          <w:spacing w:val="-9"/>
          <w:sz w:val="21"/>
        </w:rPr>
        <w:t xml:space="preserve"> </w:t>
      </w:r>
      <w:r>
        <w:rPr>
          <w:sz w:val="21"/>
        </w:rPr>
        <w:t>likely</w:t>
      </w:r>
      <w:r>
        <w:rPr>
          <w:spacing w:val="-9"/>
          <w:sz w:val="21"/>
        </w:rPr>
        <w:t xml:space="preserve"> </w:t>
      </w:r>
      <w:r>
        <w:rPr>
          <w:sz w:val="21"/>
        </w:rPr>
        <w:t>to</w:t>
      </w:r>
      <w:r>
        <w:rPr>
          <w:spacing w:val="-10"/>
          <w:sz w:val="21"/>
        </w:rPr>
        <w:t xml:space="preserve"> </w:t>
      </w:r>
      <w:r>
        <w:rPr>
          <w:sz w:val="21"/>
        </w:rPr>
        <w:t>have</w:t>
      </w:r>
      <w:r>
        <w:rPr>
          <w:spacing w:val="-9"/>
          <w:sz w:val="21"/>
        </w:rPr>
        <w:t xml:space="preserve"> </w:t>
      </w:r>
      <w:r>
        <w:rPr>
          <w:sz w:val="21"/>
        </w:rPr>
        <w:t>slept in</w:t>
      </w:r>
      <w:r>
        <w:rPr>
          <w:spacing w:val="-10"/>
          <w:sz w:val="21"/>
        </w:rPr>
        <w:t xml:space="preserve"> </w:t>
      </w:r>
      <w:r>
        <w:rPr>
          <w:sz w:val="21"/>
        </w:rPr>
        <w:t>their</w:t>
      </w:r>
      <w:r>
        <w:rPr>
          <w:spacing w:val="-8"/>
          <w:sz w:val="21"/>
        </w:rPr>
        <w:t xml:space="preserve"> </w:t>
      </w:r>
      <w:r>
        <w:rPr>
          <w:sz w:val="21"/>
        </w:rPr>
        <w:t>car</w:t>
      </w:r>
      <w:r>
        <w:rPr>
          <w:spacing w:val="-8"/>
          <w:sz w:val="21"/>
        </w:rPr>
        <w:t xml:space="preserve"> </w:t>
      </w:r>
      <w:r>
        <w:rPr>
          <w:sz w:val="21"/>
        </w:rPr>
        <w:t>or</w:t>
      </w:r>
      <w:r>
        <w:rPr>
          <w:spacing w:val="-8"/>
          <w:sz w:val="21"/>
        </w:rPr>
        <w:t xml:space="preserve"> </w:t>
      </w:r>
      <w:r>
        <w:rPr>
          <w:sz w:val="21"/>
        </w:rPr>
        <w:t>outside</w:t>
      </w:r>
      <w:r>
        <w:rPr>
          <w:spacing w:val="-9"/>
          <w:sz w:val="21"/>
        </w:rPr>
        <w:t xml:space="preserve"> </w:t>
      </w:r>
      <w:r>
        <w:rPr>
          <w:sz w:val="21"/>
        </w:rPr>
        <w:t>the</w:t>
      </w:r>
      <w:r>
        <w:rPr>
          <w:spacing w:val="-9"/>
          <w:sz w:val="21"/>
        </w:rPr>
        <w:t xml:space="preserve"> </w:t>
      </w:r>
      <w:r>
        <w:rPr>
          <w:sz w:val="21"/>
        </w:rPr>
        <w:t>night</w:t>
      </w:r>
      <w:r>
        <w:rPr>
          <w:spacing w:val="-10"/>
          <w:sz w:val="21"/>
        </w:rPr>
        <w:t xml:space="preserve"> </w:t>
      </w:r>
      <w:r>
        <w:rPr>
          <w:sz w:val="21"/>
        </w:rPr>
        <w:t>before,</w:t>
      </w:r>
      <w:r>
        <w:rPr>
          <w:spacing w:val="-9"/>
          <w:sz w:val="21"/>
        </w:rPr>
        <w:t xml:space="preserve"> </w:t>
      </w:r>
      <w:r>
        <w:rPr>
          <w:sz w:val="21"/>
        </w:rPr>
        <w:t>the</w:t>
      </w:r>
      <w:r>
        <w:rPr>
          <w:spacing w:val="-11"/>
          <w:sz w:val="21"/>
        </w:rPr>
        <w:t xml:space="preserve"> </w:t>
      </w:r>
      <w:r>
        <w:rPr>
          <w:sz w:val="21"/>
        </w:rPr>
        <w:t>2022</w:t>
      </w:r>
      <w:r>
        <w:rPr>
          <w:spacing w:val="-8"/>
          <w:sz w:val="21"/>
        </w:rPr>
        <w:t xml:space="preserve"> </w:t>
      </w:r>
      <w:r>
        <w:rPr>
          <w:sz w:val="21"/>
        </w:rPr>
        <w:t>Massachusetts</w:t>
      </w:r>
      <w:r>
        <w:rPr>
          <w:spacing w:val="-10"/>
          <w:sz w:val="21"/>
        </w:rPr>
        <w:t xml:space="preserve"> </w:t>
      </w:r>
      <w:r>
        <w:rPr>
          <w:sz w:val="21"/>
        </w:rPr>
        <w:t>Youth</w:t>
      </w:r>
      <w:r>
        <w:rPr>
          <w:spacing w:val="-10"/>
          <w:sz w:val="21"/>
        </w:rPr>
        <w:t xml:space="preserve"> </w:t>
      </w:r>
      <w:r>
        <w:rPr>
          <w:sz w:val="21"/>
        </w:rPr>
        <w:t>Count found that</w:t>
      </w:r>
      <w:r>
        <w:rPr>
          <w:spacing w:val="-1"/>
          <w:sz w:val="21"/>
        </w:rPr>
        <w:t xml:space="preserve"> </w:t>
      </w:r>
      <w:r>
        <w:rPr>
          <w:sz w:val="21"/>
        </w:rPr>
        <w:t>LGBTQ</w:t>
      </w:r>
      <w:r>
        <w:rPr>
          <w:spacing w:val="-2"/>
          <w:sz w:val="21"/>
        </w:rPr>
        <w:t xml:space="preserve"> </w:t>
      </w:r>
      <w:r>
        <w:rPr>
          <w:sz w:val="21"/>
        </w:rPr>
        <w:t>youth (52.9%)</w:t>
      </w:r>
      <w:r>
        <w:rPr>
          <w:spacing w:val="-1"/>
          <w:sz w:val="21"/>
        </w:rPr>
        <w:t xml:space="preserve"> </w:t>
      </w:r>
      <w:r>
        <w:rPr>
          <w:sz w:val="21"/>
        </w:rPr>
        <w:t>were more likely to have slept</w:t>
      </w:r>
      <w:r>
        <w:rPr>
          <w:spacing w:val="-1"/>
          <w:sz w:val="21"/>
        </w:rPr>
        <w:t xml:space="preserve"> </w:t>
      </w:r>
      <w:r>
        <w:rPr>
          <w:sz w:val="21"/>
        </w:rPr>
        <w:t>in a shelter, as well as were more likely to receive the help they needed from shelter, food, housing, and cash services and assistance. However, 30% of LGBTQ youth</w:t>
      </w:r>
      <w:r>
        <w:rPr>
          <w:spacing w:val="-12"/>
          <w:sz w:val="21"/>
        </w:rPr>
        <w:t xml:space="preserve"> </w:t>
      </w:r>
      <w:r>
        <w:rPr>
          <w:sz w:val="21"/>
        </w:rPr>
        <w:t>experiencing</w:t>
      </w:r>
      <w:r>
        <w:rPr>
          <w:spacing w:val="-12"/>
          <w:sz w:val="21"/>
        </w:rPr>
        <w:t xml:space="preserve"> </w:t>
      </w:r>
      <w:r>
        <w:rPr>
          <w:sz w:val="21"/>
        </w:rPr>
        <w:t>homelessness</w:t>
      </w:r>
      <w:r>
        <w:rPr>
          <w:spacing w:val="-12"/>
          <w:sz w:val="21"/>
        </w:rPr>
        <w:t xml:space="preserve"> </w:t>
      </w:r>
      <w:r>
        <w:rPr>
          <w:sz w:val="21"/>
        </w:rPr>
        <w:t>in</w:t>
      </w:r>
      <w:r>
        <w:rPr>
          <w:spacing w:val="-12"/>
          <w:sz w:val="21"/>
        </w:rPr>
        <w:t xml:space="preserve"> </w:t>
      </w:r>
      <w:r>
        <w:rPr>
          <w:sz w:val="21"/>
        </w:rPr>
        <w:t>Massachusetts</w:t>
      </w:r>
      <w:r>
        <w:rPr>
          <w:spacing w:val="-12"/>
          <w:sz w:val="21"/>
        </w:rPr>
        <w:t xml:space="preserve"> </w:t>
      </w:r>
      <w:r>
        <w:rPr>
          <w:sz w:val="21"/>
        </w:rPr>
        <w:t>reported</w:t>
      </w:r>
      <w:r>
        <w:rPr>
          <w:spacing w:val="-12"/>
          <w:sz w:val="21"/>
        </w:rPr>
        <w:t xml:space="preserve"> </w:t>
      </w:r>
      <w:r>
        <w:rPr>
          <w:sz w:val="21"/>
        </w:rPr>
        <w:t>exchanging</w:t>
      </w:r>
      <w:r>
        <w:rPr>
          <w:spacing w:val="-12"/>
          <w:sz w:val="21"/>
        </w:rPr>
        <w:t xml:space="preserve"> </w:t>
      </w:r>
      <w:r>
        <w:rPr>
          <w:sz w:val="21"/>
        </w:rPr>
        <w:t>sex to</w:t>
      </w:r>
      <w:r>
        <w:rPr>
          <w:spacing w:val="-5"/>
          <w:sz w:val="21"/>
        </w:rPr>
        <w:t xml:space="preserve"> </w:t>
      </w:r>
      <w:r>
        <w:rPr>
          <w:sz w:val="21"/>
        </w:rPr>
        <w:t>meet</w:t>
      </w:r>
      <w:r>
        <w:rPr>
          <w:spacing w:val="-5"/>
          <w:sz w:val="21"/>
        </w:rPr>
        <w:t xml:space="preserve"> </w:t>
      </w:r>
      <w:r>
        <w:rPr>
          <w:sz w:val="21"/>
        </w:rPr>
        <w:t>their</w:t>
      </w:r>
      <w:r>
        <w:rPr>
          <w:spacing w:val="-4"/>
          <w:sz w:val="21"/>
        </w:rPr>
        <w:t xml:space="preserve"> </w:t>
      </w:r>
      <w:r>
        <w:rPr>
          <w:sz w:val="21"/>
        </w:rPr>
        <w:t>needs</w:t>
      </w:r>
      <w:r>
        <w:rPr>
          <w:spacing w:val="-5"/>
          <w:sz w:val="21"/>
        </w:rPr>
        <w:t xml:space="preserve"> </w:t>
      </w:r>
      <w:r>
        <w:rPr>
          <w:sz w:val="21"/>
        </w:rPr>
        <w:t>at</w:t>
      </w:r>
      <w:r>
        <w:rPr>
          <w:spacing w:val="-5"/>
          <w:sz w:val="21"/>
        </w:rPr>
        <w:t xml:space="preserve"> </w:t>
      </w:r>
      <w:r>
        <w:rPr>
          <w:sz w:val="21"/>
        </w:rPr>
        <w:t>s</w:t>
      </w:r>
      <w:r>
        <w:rPr>
          <w:sz w:val="21"/>
        </w:rPr>
        <w:t>ome</w:t>
      </w:r>
      <w:r>
        <w:rPr>
          <w:spacing w:val="-4"/>
          <w:sz w:val="21"/>
        </w:rPr>
        <w:t xml:space="preserve"> </w:t>
      </w:r>
      <w:r>
        <w:rPr>
          <w:sz w:val="21"/>
        </w:rPr>
        <w:t>point,</w:t>
      </w:r>
      <w:r>
        <w:rPr>
          <w:spacing w:val="-4"/>
          <w:sz w:val="21"/>
        </w:rPr>
        <w:t xml:space="preserve"> </w:t>
      </w:r>
      <w:r>
        <w:rPr>
          <w:sz w:val="21"/>
        </w:rPr>
        <w:t>making</w:t>
      </w:r>
      <w:r>
        <w:rPr>
          <w:spacing w:val="-5"/>
          <w:sz w:val="21"/>
        </w:rPr>
        <w:t xml:space="preserve"> </w:t>
      </w:r>
      <w:r>
        <w:rPr>
          <w:sz w:val="21"/>
        </w:rPr>
        <w:t>up</w:t>
      </w:r>
      <w:r>
        <w:rPr>
          <w:spacing w:val="-5"/>
          <w:sz w:val="21"/>
        </w:rPr>
        <w:t xml:space="preserve"> </w:t>
      </w:r>
      <w:r>
        <w:rPr>
          <w:sz w:val="21"/>
        </w:rPr>
        <w:t>56.6%</w:t>
      </w:r>
      <w:r>
        <w:rPr>
          <w:spacing w:val="-4"/>
          <w:sz w:val="21"/>
        </w:rPr>
        <w:t xml:space="preserve"> </w:t>
      </w:r>
      <w:r>
        <w:rPr>
          <w:sz w:val="21"/>
        </w:rPr>
        <w:t>of</w:t>
      </w:r>
      <w:r>
        <w:rPr>
          <w:spacing w:val="-4"/>
          <w:sz w:val="21"/>
        </w:rPr>
        <w:t xml:space="preserve"> </w:t>
      </w:r>
      <w:r>
        <w:rPr>
          <w:sz w:val="21"/>
        </w:rPr>
        <w:t>all</w:t>
      </w:r>
      <w:r>
        <w:rPr>
          <w:spacing w:val="-5"/>
          <w:sz w:val="21"/>
        </w:rPr>
        <w:t xml:space="preserve"> </w:t>
      </w:r>
      <w:r>
        <w:rPr>
          <w:sz w:val="21"/>
        </w:rPr>
        <w:t>youth</w:t>
      </w:r>
      <w:r>
        <w:rPr>
          <w:spacing w:val="-5"/>
          <w:sz w:val="21"/>
        </w:rPr>
        <w:t xml:space="preserve"> </w:t>
      </w:r>
      <w:r>
        <w:rPr>
          <w:sz w:val="21"/>
        </w:rPr>
        <w:t>exchanging sex to meet their needs.</w:t>
      </w:r>
      <w:hyperlink w:anchor="_bookmark626" w:history="1">
        <w:r>
          <w:rPr>
            <w:sz w:val="21"/>
            <w:vertAlign w:val="superscript"/>
          </w:rPr>
          <w:t>46</w:t>
        </w:r>
      </w:hyperlink>
    </w:p>
    <w:p w:rsidR="00200FDA" w:rsidRDefault="00200FDA">
      <w:pPr>
        <w:pStyle w:val="BodyText"/>
        <w:spacing w:before="9"/>
        <w:rPr>
          <w:sz w:val="19"/>
        </w:rPr>
      </w:pPr>
    </w:p>
    <w:p w:rsidR="00200FDA" w:rsidRDefault="00F76C4C">
      <w:pPr>
        <w:spacing w:line="276" w:lineRule="auto"/>
        <w:ind w:left="139" w:right="134"/>
        <w:jc w:val="both"/>
        <w:rPr>
          <w:sz w:val="21"/>
        </w:rPr>
      </w:pPr>
      <w:r>
        <w:rPr>
          <w:sz w:val="21"/>
        </w:rPr>
        <w:t>As discussed throughout this annual report, LGBTQ youth are more likely to engage in sex work to exchange sexual</w:t>
      </w:r>
      <w:r>
        <w:rPr>
          <w:spacing w:val="-5"/>
          <w:sz w:val="21"/>
        </w:rPr>
        <w:t xml:space="preserve"> </w:t>
      </w:r>
      <w:r>
        <w:rPr>
          <w:sz w:val="21"/>
        </w:rPr>
        <w:t>encounters</w:t>
      </w:r>
      <w:r>
        <w:rPr>
          <w:spacing w:val="-8"/>
          <w:sz w:val="21"/>
        </w:rPr>
        <w:t xml:space="preserve"> </w:t>
      </w:r>
      <w:r>
        <w:rPr>
          <w:sz w:val="21"/>
        </w:rPr>
        <w:t>for</w:t>
      </w:r>
      <w:r>
        <w:rPr>
          <w:spacing w:val="-4"/>
          <w:sz w:val="21"/>
        </w:rPr>
        <w:t xml:space="preserve"> </w:t>
      </w:r>
      <w:r>
        <w:rPr>
          <w:sz w:val="21"/>
        </w:rPr>
        <w:t>money,</w:t>
      </w:r>
      <w:r>
        <w:rPr>
          <w:spacing w:val="-4"/>
          <w:sz w:val="21"/>
        </w:rPr>
        <w:t xml:space="preserve"> </w:t>
      </w:r>
      <w:r>
        <w:rPr>
          <w:sz w:val="21"/>
        </w:rPr>
        <w:t>food,</w:t>
      </w:r>
      <w:r>
        <w:rPr>
          <w:spacing w:val="-4"/>
          <w:sz w:val="21"/>
        </w:rPr>
        <w:t xml:space="preserve"> </w:t>
      </w:r>
      <w:r>
        <w:rPr>
          <w:sz w:val="21"/>
        </w:rPr>
        <w:t>or</w:t>
      </w:r>
      <w:r>
        <w:rPr>
          <w:spacing w:val="-4"/>
          <w:sz w:val="21"/>
        </w:rPr>
        <w:t xml:space="preserve"> </w:t>
      </w:r>
      <w:r>
        <w:rPr>
          <w:sz w:val="21"/>
        </w:rPr>
        <w:t>s</w:t>
      </w:r>
      <w:r>
        <w:rPr>
          <w:sz w:val="21"/>
        </w:rPr>
        <w:t>helter</w:t>
      </w:r>
      <w:r>
        <w:rPr>
          <w:spacing w:val="-4"/>
          <w:sz w:val="21"/>
        </w:rPr>
        <w:t xml:space="preserve"> </w:t>
      </w:r>
      <w:r>
        <w:rPr>
          <w:sz w:val="21"/>
        </w:rPr>
        <w:t>than</w:t>
      </w:r>
      <w:r>
        <w:rPr>
          <w:spacing w:val="-5"/>
          <w:sz w:val="21"/>
        </w:rPr>
        <w:t xml:space="preserve"> </w:t>
      </w:r>
      <w:r>
        <w:rPr>
          <w:sz w:val="21"/>
        </w:rPr>
        <w:t>cisgender,</w:t>
      </w:r>
      <w:r>
        <w:rPr>
          <w:spacing w:val="-4"/>
          <w:sz w:val="21"/>
        </w:rPr>
        <w:t xml:space="preserve"> </w:t>
      </w:r>
      <w:r>
        <w:rPr>
          <w:sz w:val="21"/>
        </w:rPr>
        <w:t>heterosexual</w:t>
      </w:r>
      <w:r>
        <w:rPr>
          <w:spacing w:val="-5"/>
          <w:sz w:val="21"/>
        </w:rPr>
        <w:t xml:space="preserve"> </w:t>
      </w:r>
      <w:r>
        <w:rPr>
          <w:sz w:val="21"/>
        </w:rPr>
        <w:t>youth;</w:t>
      </w:r>
      <w:r>
        <w:rPr>
          <w:spacing w:val="-6"/>
          <w:sz w:val="21"/>
        </w:rPr>
        <w:t xml:space="preserve"> </w:t>
      </w:r>
      <w:r>
        <w:rPr>
          <w:sz w:val="21"/>
        </w:rPr>
        <w:t>youth</w:t>
      </w:r>
      <w:r>
        <w:rPr>
          <w:spacing w:val="-5"/>
          <w:sz w:val="21"/>
        </w:rPr>
        <w:t xml:space="preserve"> </w:t>
      </w:r>
      <w:r>
        <w:rPr>
          <w:sz w:val="21"/>
        </w:rPr>
        <w:t>engaging</w:t>
      </w:r>
      <w:r>
        <w:rPr>
          <w:spacing w:val="-5"/>
          <w:sz w:val="21"/>
        </w:rPr>
        <w:t xml:space="preserve"> </w:t>
      </w:r>
      <w:r>
        <w:rPr>
          <w:sz w:val="21"/>
        </w:rPr>
        <w:t>in</w:t>
      </w:r>
      <w:r>
        <w:rPr>
          <w:spacing w:val="-5"/>
          <w:sz w:val="21"/>
        </w:rPr>
        <w:t xml:space="preserve"> </w:t>
      </w:r>
      <w:r>
        <w:rPr>
          <w:sz w:val="21"/>
        </w:rPr>
        <w:t>sex</w:t>
      </w:r>
      <w:r>
        <w:rPr>
          <w:spacing w:val="-5"/>
          <w:sz w:val="21"/>
        </w:rPr>
        <w:t xml:space="preserve"> </w:t>
      </w:r>
      <w:r>
        <w:rPr>
          <w:sz w:val="21"/>
        </w:rPr>
        <w:t>work typically report higher rates of discrimination, increased contact with law enforcement, disqualification from public</w:t>
      </w:r>
      <w:r>
        <w:rPr>
          <w:spacing w:val="-4"/>
          <w:sz w:val="21"/>
        </w:rPr>
        <w:t xml:space="preserve"> </w:t>
      </w:r>
      <w:r>
        <w:rPr>
          <w:sz w:val="21"/>
        </w:rPr>
        <w:t>housing,</w:t>
      </w:r>
      <w:r>
        <w:rPr>
          <w:spacing w:val="-3"/>
          <w:sz w:val="21"/>
        </w:rPr>
        <w:t xml:space="preserve"> </w:t>
      </w:r>
      <w:r>
        <w:rPr>
          <w:sz w:val="21"/>
        </w:rPr>
        <w:t>and</w:t>
      </w:r>
      <w:r>
        <w:rPr>
          <w:spacing w:val="-4"/>
          <w:sz w:val="21"/>
        </w:rPr>
        <w:t xml:space="preserve"> </w:t>
      </w:r>
      <w:r>
        <w:rPr>
          <w:sz w:val="21"/>
        </w:rPr>
        <w:t>expulsion</w:t>
      </w:r>
      <w:r>
        <w:rPr>
          <w:spacing w:val="-4"/>
          <w:sz w:val="21"/>
        </w:rPr>
        <w:t xml:space="preserve"> </w:t>
      </w:r>
      <w:r>
        <w:rPr>
          <w:sz w:val="21"/>
        </w:rPr>
        <w:t>for</w:t>
      </w:r>
      <w:r>
        <w:rPr>
          <w:spacing w:val="-3"/>
          <w:sz w:val="21"/>
        </w:rPr>
        <w:t xml:space="preserve"> </w:t>
      </w:r>
      <w:r>
        <w:rPr>
          <w:sz w:val="21"/>
        </w:rPr>
        <w:t>education</w:t>
      </w:r>
      <w:r>
        <w:rPr>
          <w:spacing w:val="-4"/>
          <w:sz w:val="21"/>
        </w:rPr>
        <w:t xml:space="preserve"> </w:t>
      </w:r>
      <w:r>
        <w:rPr>
          <w:sz w:val="21"/>
        </w:rPr>
        <w:t>institutions.</w:t>
      </w:r>
      <w:hyperlink w:anchor="_bookmark627" w:history="1">
        <w:r>
          <w:rPr>
            <w:sz w:val="21"/>
            <w:vertAlign w:val="superscript"/>
          </w:rPr>
          <w:t>47</w:t>
        </w:r>
      </w:hyperlink>
      <w:r>
        <w:rPr>
          <w:spacing w:val="-2"/>
          <w:sz w:val="21"/>
        </w:rPr>
        <w:t xml:space="preserve"> </w:t>
      </w:r>
      <w:r>
        <w:rPr>
          <w:sz w:val="21"/>
        </w:rPr>
        <w:t>The</w:t>
      </w:r>
      <w:r>
        <w:rPr>
          <w:spacing w:val="-3"/>
          <w:sz w:val="21"/>
        </w:rPr>
        <w:t xml:space="preserve"> </w:t>
      </w:r>
      <w:r>
        <w:rPr>
          <w:sz w:val="21"/>
        </w:rPr>
        <w:t>Commission</w:t>
      </w:r>
      <w:r>
        <w:rPr>
          <w:spacing w:val="-4"/>
          <w:sz w:val="21"/>
        </w:rPr>
        <w:t xml:space="preserve"> </w:t>
      </w:r>
      <w:r>
        <w:rPr>
          <w:sz w:val="21"/>
        </w:rPr>
        <w:t>appreciates</w:t>
      </w:r>
      <w:r>
        <w:rPr>
          <w:spacing w:val="-7"/>
          <w:sz w:val="21"/>
        </w:rPr>
        <w:t xml:space="preserve"> </w:t>
      </w:r>
      <w:r>
        <w:rPr>
          <w:sz w:val="21"/>
        </w:rPr>
        <w:t>the</w:t>
      </w:r>
      <w:r>
        <w:rPr>
          <w:spacing w:val="-3"/>
          <w:sz w:val="21"/>
        </w:rPr>
        <w:t xml:space="preserve"> </w:t>
      </w:r>
      <w:r>
        <w:rPr>
          <w:sz w:val="21"/>
        </w:rPr>
        <w:t>recent</w:t>
      </w:r>
      <w:r>
        <w:rPr>
          <w:spacing w:val="-4"/>
          <w:sz w:val="21"/>
        </w:rPr>
        <w:t xml:space="preserve"> </w:t>
      </w:r>
      <w:r>
        <w:rPr>
          <w:sz w:val="21"/>
        </w:rPr>
        <w:t>work</w:t>
      </w:r>
      <w:r>
        <w:rPr>
          <w:spacing w:val="-3"/>
          <w:sz w:val="21"/>
        </w:rPr>
        <w:t xml:space="preserve"> </w:t>
      </w:r>
      <w:r>
        <w:rPr>
          <w:sz w:val="21"/>
        </w:rPr>
        <w:t>of</w:t>
      </w:r>
      <w:r>
        <w:rPr>
          <w:spacing w:val="-3"/>
          <w:sz w:val="21"/>
        </w:rPr>
        <w:t xml:space="preserve"> </w:t>
      </w:r>
      <w:r>
        <w:rPr>
          <w:sz w:val="21"/>
        </w:rPr>
        <w:t>the Unaccompanied</w:t>
      </w:r>
      <w:r>
        <w:rPr>
          <w:spacing w:val="-7"/>
          <w:sz w:val="21"/>
        </w:rPr>
        <w:t xml:space="preserve"> </w:t>
      </w:r>
      <w:r>
        <w:rPr>
          <w:sz w:val="21"/>
        </w:rPr>
        <w:t>Homeless</w:t>
      </w:r>
      <w:r>
        <w:rPr>
          <w:spacing w:val="-8"/>
          <w:sz w:val="21"/>
        </w:rPr>
        <w:t xml:space="preserve"> </w:t>
      </w:r>
      <w:r>
        <w:rPr>
          <w:sz w:val="21"/>
        </w:rPr>
        <w:t>Youth</w:t>
      </w:r>
      <w:r>
        <w:rPr>
          <w:spacing w:val="-7"/>
          <w:sz w:val="21"/>
        </w:rPr>
        <w:t xml:space="preserve"> </w:t>
      </w:r>
      <w:r>
        <w:rPr>
          <w:sz w:val="21"/>
        </w:rPr>
        <w:t>Commission’s</w:t>
      </w:r>
      <w:r>
        <w:rPr>
          <w:spacing w:val="-8"/>
          <w:sz w:val="21"/>
        </w:rPr>
        <w:t xml:space="preserve"> </w:t>
      </w:r>
      <w:r>
        <w:rPr>
          <w:sz w:val="21"/>
        </w:rPr>
        <w:t>recent</w:t>
      </w:r>
      <w:r>
        <w:rPr>
          <w:spacing w:val="-8"/>
          <w:sz w:val="21"/>
        </w:rPr>
        <w:t xml:space="preserve"> </w:t>
      </w:r>
      <w:r>
        <w:rPr>
          <w:sz w:val="21"/>
        </w:rPr>
        <w:t>work</w:t>
      </w:r>
      <w:r>
        <w:rPr>
          <w:spacing w:val="-7"/>
          <w:sz w:val="21"/>
        </w:rPr>
        <w:t xml:space="preserve"> </w:t>
      </w:r>
      <w:r>
        <w:rPr>
          <w:sz w:val="21"/>
        </w:rPr>
        <w:t>related</w:t>
      </w:r>
      <w:r>
        <w:rPr>
          <w:spacing w:val="-7"/>
          <w:sz w:val="21"/>
        </w:rPr>
        <w:t xml:space="preserve"> </w:t>
      </w:r>
      <w:r>
        <w:rPr>
          <w:sz w:val="21"/>
        </w:rPr>
        <w:t>to</w:t>
      </w:r>
      <w:r>
        <w:rPr>
          <w:spacing w:val="-8"/>
          <w:sz w:val="21"/>
        </w:rPr>
        <w:t xml:space="preserve"> </w:t>
      </w:r>
      <w:r>
        <w:rPr>
          <w:sz w:val="21"/>
        </w:rPr>
        <w:t>improving</w:t>
      </w:r>
      <w:r>
        <w:rPr>
          <w:spacing w:val="-8"/>
          <w:sz w:val="21"/>
        </w:rPr>
        <w:t xml:space="preserve"> </w:t>
      </w:r>
      <w:r>
        <w:rPr>
          <w:sz w:val="21"/>
        </w:rPr>
        <w:t>supports</w:t>
      </w:r>
      <w:r>
        <w:rPr>
          <w:spacing w:val="-8"/>
          <w:sz w:val="21"/>
        </w:rPr>
        <w:t xml:space="preserve"> </w:t>
      </w:r>
      <w:r>
        <w:rPr>
          <w:sz w:val="21"/>
        </w:rPr>
        <w:t>to</w:t>
      </w:r>
      <w:r>
        <w:rPr>
          <w:spacing w:val="-8"/>
          <w:sz w:val="21"/>
        </w:rPr>
        <w:t xml:space="preserve"> </w:t>
      </w:r>
      <w:r>
        <w:rPr>
          <w:sz w:val="21"/>
        </w:rPr>
        <w:t>youth</w:t>
      </w:r>
      <w:r>
        <w:rPr>
          <w:spacing w:val="-7"/>
          <w:sz w:val="21"/>
        </w:rPr>
        <w:t xml:space="preserve"> </w:t>
      </w:r>
      <w:r>
        <w:rPr>
          <w:sz w:val="21"/>
        </w:rPr>
        <w:t>and</w:t>
      </w:r>
      <w:r>
        <w:rPr>
          <w:spacing w:val="-7"/>
          <w:sz w:val="21"/>
        </w:rPr>
        <w:t xml:space="preserve"> </w:t>
      </w:r>
      <w:r>
        <w:rPr>
          <w:sz w:val="21"/>
        </w:rPr>
        <w:t>young</w:t>
      </w:r>
    </w:p>
    <w:p w:rsidR="00200FDA" w:rsidRDefault="00200FDA">
      <w:pPr>
        <w:spacing w:line="276" w:lineRule="auto"/>
        <w:jc w:val="both"/>
        <w:rPr>
          <w:sz w:val="21"/>
        </w:rPr>
        <w:sectPr w:rsidR="00200FDA">
          <w:pgSz w:w="12240" w:h="15840"/>
          <w:pgMar w:top="1360" w:right="1300" w:bottom="1240" w:left="1300" w:header="758" w:footer="1043" w:gutter="0"/>
          <w:cols w:space="720"/>
        </w:sectPr>
      </w:pPr>
    </w:p>
    <w:p w:rsidR="00200FDA" w:rsidRDefault="00F76C4C">
      <w:pPr>
        <w:spacing w:before="64" w:line="276" w:lineRule="auto"/>
        <w:ind w:left="140" w:right="136"/>
        <w:jc w:val="both"/>
        <w:rPr>
          <w:sz w:val="21"/>
        </w:rPr>
      </w:pPr>
      <w:r>
        <w:rPr>
          <w:sz w:val="21"/>
        </w:rPr>
        <w:lastRenderedPageBreak/>
        <w:t>adults experiencing homelessness who exchange sex to mee</w:t>
      </w:r>
      <w:r>
        <w:rPr>
          <w:sz w:val="21"/>
        </w:rPr>
        <w:t>t their needs; the findings and subsequent recommendations,</w:t>
      </w:r>
      <w:r>
        <w:rPr>
          <w:spacing w:val="-3"/>
          <w:sz w:val="21"/>
        </w:rPr>
        <w:t xml:space="preserve"> </w:t>
      </w:r>
      <w:r>
        <w:rPr>
          <w:sz w:val="21"/>
        </w:rPr>
        <w:t>reflected</w:t>
      </w:r>
      <w:r>
        <w:rPr>
          <w:spacing w:val="-6"/>
          <w:sz w:val="21"/>
        </w:rPr>
        <w:t xml:space="preserve"> </w:t>
      </w:r>
      <w:r>
        <w:rPr>
          <w:sz w:val="21"/>
        </w:rPr>
        <w:t>by</w:t>
      </w:r>
      <w:r>
        <w:rPr>
          <w:spacing w:val="-5"/>
          <w:sz w:val="21"/>
        </w:rPr>
        <w:t xml:space="preserve"> </w:t>
      </w:r>
      <w:r>
        <w:rPr>
          <w:sz w:val="21"/>
        </w:rPr>
        <w:t>similar</w:t>
      </w:r>
      <w:r>
        <w:rPr>
          <w:spacing w:val="-5"/>
          <w:sz w:val="21"/>
        </w:rPr>
        <w:t xml:space="preserve"> </w:t>
      </w:r>
      <w:r>
        <w:rPr>
          <w:sz w:val="21"/>
        </w:rPr>
        <w:t>recommendations</w:t>
      </w:r>
      <w:r>
        <w:rPr>
          <w:spacing w:val="-4"/>
          <w:sz w:val="21"/>
        </w:rPr>
        <w:t xml:space="preserve"> </w:t>
      </w:r>
      <w:r>
        <w:rPr>
          <w:sz w:val="21"/>
        </w:rPr>
        <w:t>made</w:t>
      </w:r>
      <w:r>
        <w:rPr>
          <w:spacing w:val="-5"/>
          <w:sz w:val="21"/>
        </w:rPr>
        <w:t xml:space="preserve"> </w:t>
      </w:r>
      <w:r>
        <w:rPr>
          <w:sz w:val="21"/>
        </w:rPr>
        <w:t>by</w:t>
      </w:r>
      <w:r>
        <w:rPr>
          <w:spacing w:val="-5"/>
          <w:sz w:val="21"/>
        </w:rPr>
        <w:t xml:space="preserve"> </w:t>
      </w:r>
      <w:r>
        <w:rPr>
          <w:sz w:val="21"/>
        </w:rPr>
        <w:t>the</w:t>
      </w:r>
      <w:r>
        <w:rPr>
          <w:spacing w:val="-5"/>
          <w:sz w:val="21"/>
        </w:rPr>
        <w:t xml:space="preserve"> </w:t>
      </w:r>
      <w:r>
        <w:rPr>
          <w:sz w:val="21"/>
        </w:rPr>
        <w:t>Commission’s</w:t>
      </w:r>
      <w:r>
        <w:rPr>
          <w:spacing w:val="-4"/>
          <w:sz w:val="21"/>
        </w:rPr>
        <w:t xml:space="preserve"> </w:t>
      </w:r>
      <w:r>
        <w:rPr>
          <w:sz w:val="21"/>
        </w:rPr>
        <w:t>past</w:t>
      </w:r>
      <w:r>
        <w:rPr>
          <w:spacing w:val="-4"/>
          <w:sz w:val="21"/>
        </w:rPr>
        <w:t xml:space="preserve"> </w:t>
      </w:r>
      <w:r>
        <w:rPr>
          <w:sz w:val="21"/>
        </w:rPr>
        <w:t>few</w:t>
      </w:r>
      <w:r>
        <w:rPr>
          <w:spacing w:val="-5"/>
          <w:sz w:val="21"/>
        </w:rPr>
        <w:t xml:space="preserve"> </w:t>
      </w:r>
      <w:r>
        <w:rPr>
          <w:sz w:val="21"/>
        </w:rPr>
        <w:t>annual</w:t>
      </w:r>
      <w:r>
        <w:rPr>
          <w:spacing w:val="-6"/>
          <w:sz w:val="21"/>
        </w:rPr>
        <w:t xml:space="preserve"> </w:t>
      </w:r>
      <w:r>
        <w:rPr>
          <w:sz w:val="21"/>
        </w:rPr>
        <w:t>reports, are</w:t>
      </w:r>
      <w:r>
        <w:rPr>
          <w:spacing w:val="-12"/>
          <w:sz w:val="21"/>
        </w:rPr>
        <w:t xml:space="preserve"> </w:t>
      </w:r>
      <w:r>
        <w:rPr>
          <w:sz w:val="21"/>
        </w:rPr>
        <w:t>inclusive</w:t>
      </w:r>
      <w:r>
        <w:rPr>
          <w:spacing w:val="-11"/>
          <w:sz w:val="21"/>
        </w:rPr>
        <w:t xml:space="preserve"> </w:t>
      </w:r>
      <w:r>
        <w:rPr>
          <w:sz w:val="21"/>
        </w:rPr>
        <w:t>of</w:t>
      </w:r>
      <w:r>
        <w:rPr>
          <w:spacing w:val="-11"/>
          <w:sz w:val="21"/>
        </w:rPr>
        <w:t xml:space="preserve"> </w:t>
      </w:r>
      <w:r>
        <w:rPr>
          <w:sz w:val="21"/>
        </w:rPr>
        <w:t>LGBTQ</w:t>
      </w:r>
      <w:r>
        <w:rPr>
          <w:spacing w:val="-12"/>
          <w:sz w:val="21"/>
        </w:rPr>
        <w:t xml:space="preserve"> </w:t>
      </w:r>
      <w:r>
        <w:rPr>
          <w:sz w:val="21"/>
        </w:rPr>
        <w:t>youth</w:t>
      </w:r>
      <w:r>
        <w:rPr>
          <w:spacing w:val="-12"/>
          <w:sz w:val="21"/>
        </w:rPr>
        <w:t xml:space="preserve"> </w:t>
      </w:r>
      <w:r>
        <w:rPr>
          <w:sz w:val="21"/>
        </w:rPr>
        <w:t>and</w:t>
      </w:r>
      <w:r>
        <w:rPr>
          <w:spacing w:val="-10"/>
          <w:sz w:val="21"/>
        </w:rPr>
        <w:t xml:space="preserve"> </w:t>
      </w:r>
      <w:r>
        <w:rPr>
          <w:sz w:val="21"/>
        </w:rPr>
        <w:t>point</w:t>
      </w:r>
      <w:r>
        <w:rPr>
          <w:spacing w:val="-10"/>
          <w:sz w:val="21"/>
        </w:rPr>
        <w:t xml:space="preserve"> </w:t>
      </w:r>
      <w:r>
        <w:rPr>
          <w:sz w:val="21"/>
        </w:rPr>
        <w:t>to</w:t>
      </w:r>
      <w:r>
        <w:rPr>
          <w:spacing w:val="-12"/>
          <w:sz w:val="21"/>
        </w:rPr>
        <w:t xml:space="preserve"> </w:t>
      </w:r>
      <w:r>
        <w:rPr>
          <w:sz w:val="21"/>
        </w:rPr>
        <w:t>the</w:t>
      </w:r>
      <w:r>
        <w:rPr>
          <w:spacing w:val="-9"/>
          <w:sz w:val="21"/>
        </w:rPr>
        <w:t xml:space="preserve"> </w:t>
      </w:r>
      <w:r>
        <w:rPr>
          <w:sz w:val="21"/>
        </w:rPr>
        <w:t>universal</w:t>
      </w:r>
      <w:r>
        <w:rPr>
          <w:spacing w:val="-10"/>
          <w:sz w:val="21"/>
        </w:rPr>
        <w:t xml:space="preserve"> </w:t>
      </w:r>
      <w:r>
        <w:rPr>
          <w:sz w:val="21"/>
        </w:rPr>
        <w:t>need</w:t>
      </w:r>
      <w:r>
        <w:rPr>
          <w:spacing w:val="-12"/>
          <w:sz w:val="21"/>
        </w:rPr>
        <w:t xml:space="preserve"> </w:t>
      </w:r>
      <w:r>
        <w:rPr>
          <w:sz w:val="21"/>
        </w:rPr>
        <w:t>for</w:t>
      </w:r>
      <w:r>
        <w:rPr>
          <w:spacing w:val="-11"/>
          <w:sz w:val="21"/>
        </w:rPr>
        <w:t xml:space="preserve"> </w:t>
      </w:r>
      <w:r>
        <w:rPr>
          <w:sz w:val="21"/>
        </w:rPr>
        <w:t>lower</w:t>
      </w:r>
      <w:r>
        <w:rPr>
          <w:spacing w:val="-11"/>
          <w:sz w:val="21"/>
        </w:rPr>
        <w:t xml:space="preserve"> </w:t>
      </w:r>
      <w:r>
        <w:rPr>
          <w:sz w:val="21"/>
        </w:rPr>
        <w:t>barrier</w:t>
      </w:r>
      <w:r>
        <w:rPr>
          <w:spacing w:val="-8"/>
          <w:sz w:val="21"/>
        </w:rPr>
        <w:t xml:space="preserve"> </w:t>
      </w:r>
      <w:r>
        <w:rPr>
          <w:sz w:val="21"/>
        </w:rPr>
        <w:t>housing,</w:t>
      </w:r>
      <w:r>
        <w:rPr>
          <w:spacing w:val="-9"/>
          <w:sz w:val="21"/>
        </w:rPr>
        <w:t xml:space="preserve"> </w:t>
      </w:r>
      <w:r>
        <w:rPr>
          <w:sz w:val="21"/>
        </w:rPr>
        <w:t>safer</w:t>
      </w:r>
      <w:r>
        <w:rPr>
          <w:spacing w:val="-8"/>
          <w:sz w:val="21"/>
        </w:rPr>
        <w:t xml:space="preserve"> </w:t>
      </w:r>
      <w:r>
        <w:rPr>
          <w:sz w:val="21"/>
        </w:rPr>
        <w:t>sex</w:t>
      </w:r>
      <w:r>
        <w:rPr>
          <w:spacing w:val="-9"/>
          <w:sz w:val="21"/>
        </w:rPr>
        <w:t xml:space="preserve"> </w:t>
      </w:r>
      <w:r>
        <w:rPr>
          <w:sz w:val="21"/>
        </w:rPr>
        <w:t>supplies,</w:t>
      </w:r>
      <w:r>
        <w:rPr>
          <w:spacing w:val="-11"/>
          <w:sz w:val="21"/>
        </w:rPr>
        <w:t xml:space="preserve"> </w:t>
      </w:r>
      <w:r>
        <w:rPr>
          <w:sz w:val="21"/>
        </w:rPr>
        <w:t>more inclusive and informed behavioral health supports, and income support.</w:t>
      </w:r>
    </w:p>
    <w:p w:rsidR="00200FDA" w:rsidRDefault="00200FDA">
      <w:pPr>
        <w:pStyle w:val="BodyText"/>
        <w:spacing w:before="7"/>
        <w:rPr>
          <w:sz w:val="19"/>
        </w:rPr>
      </w:pPr>
    </w:p>
    <w:p w:rsidR="00200FDA" w:rsidRDefault="00F76C4C">
      <w:pPr>
        <w:spacing w:line="276" w:lineRule="auto"/>
        <w:ind w:left="139" w:right="133"/>
        <w:jc w:val="both"/>
        <w:rPr>
          <w:sz w:val="21"/>
        </w:rPr>
      </w:pPr>
      <w:r>
        <w:rPr>
          <w:sz w:val="21"/>
        </w:rPr>
        <w:t>As</w:t>
      </w:r>
      <w:r>
        <w:rPr>
          <w:spacing w:val="-5"/>
          <w:sz w:val="21"/>
        </w:rPr>
        <w:t xml:space="preserve"> </w:t>
      </w:r>
      <w:r>
        <w:rPr>
          <w:sz w:val="21"/>
        </w:rPr>
        <w:t>discussed</w:t>
      </w:r>
      <w:r>
        <w:rPr>
          <w:spacing w:val="-5"/>
          <w:sz w:val="21"/>
        </w:rPr>
        <w:t xml:space="preserve"> </w:t>
      </w:r>
      <w:r>
        <w:rPr>
          <w:sz w:val="21"/>
        </w:rPr>
        <w:t>in</w:t>
      </w:r>
      <w:r>
        <w:rPr>
          <w:spacing w:val="-5"/>
          <w:sz w:val="21"/>
        </w:rPr>
        <w:t xml:space="preserve"> </w:t>
      </w:r>
      <w:r>
        <w:rPr>
          <w:sz w:val="21"/>
        </w:rPr>
        <w:t>the</w:t>
      </w:r>
      <w:r>
        <w:rPr>
          <w:spacing w:val="-4"/>
          <w:sz w:val="21"/>
        </w:rPr>
        <w:t xml:space="preserve"> </w:t>
      </w:r>
      <w:r>
        <w:rPr>
          <w:sz w:val="21"/>
        </w:rPr>
        <w:t>new</w:t>
      </w:r>
      <w:r>
        <w:rPr>
          <w:spacing w:val="-7"/>
          <w:sz w:val="21"/>
        </w:rPr>
        <w:t xml:space="preserve"> </w:t>
      </w:r>
      <w:r>
        <w:rPr>
          <w:sz w:val="21"/>
        </w:rPr>
        <w:t>environmental</w:t>
      </w:r>
      <w:r>
        <w:rPr>
          <w:spacing w:val="-5"/>
          <w:sz w:val="21"/>
        </w:rPr>
        <w:t xml:space="preserve"> </w:t>
      </w:r>
      <w:r>
        <w:rPr>
          <w:sz w:val="21"/>
        </w:rPr>
        <w:t>justice</w:t>
      </w:r>
      <w:r>
        <w:rPr>
          <w:spacing w:val="-4"/>
          <w:sz w:val="21"/>
        </w:rPr>
        <w:t xml:space="preserve"> </w:t>
      </w:r>
      <w:r>
        <w:rPr>
          <w:sz w:val="21"/>
        </w:rPr>
        <w:t>section</w:t>
      </w:r>
      <w:r>
        <w:rPr>
          <w:spacing w:val="-5"/>
          <w:sz w:val="21"/>
        </w:rPr>
        <w:t xml:space="preserve"> </w:t>
      </w:r>
      <w:r>
        <w:rPr>
          <w:sz w:val="21"/>
        </w:rPr>
        <w:t>of</w:t>
      </w:r>
      <w:r>
        <w:rPr>
          <w:spacing w:val="-8"/>
          <w:sz w:val="21"/>
        </w:rPr>
        <w:t xml:space="preserve"> </w:t>
      </w:r>
      <w:r>
        <w:rPr>
          <w:sz w:val="21"/>
        </w:rPr>
        <w:t>this</w:t>
      </w:r>
      <w:r>
        <w:rPr>
          <w:spacing w:val="-5"/>
          <w:sz w:val="21"/>
        </w:rPr>
        <w:t xml:space="preserve"> </w:t>
      </w:r>
      <w:r>
        <w:rPr>
          <w:sz w:val="21"/>
        </w:rPr>
        <w:t>report,</w:t>
      </w:r>
      <w:r>
        <w:rPr>
          <w:spacing w:val="-4"/>
          <w:sz w:val="21"/>
        </w:rPr>
        <w:t xml:space="preserve"> </w:t>
      </w:r>
      <w:r>
        <w:rPr>
          <w:sz w:val="21"/>
        </w:rPr>
        <w:t>physical</w:t>
      </w:r>
      <w:r>
        <w:rPr>
          <w:spacing w:val="-5"/>
          <w:sz w:val="21"/>
        </w:rPr>
        <w:t xml:space="preserve"> </w:t>
      </w:r>
      <w:r>
        <w:rPr>
          <w:sz w:val="21"/>
        </w:rPr>
        <w:t>health</w:t>
      </w:r>
      <w:r>
        <w:rPr>
          <w:spacing w:val="-5"/>
          <w:sz w:val="21"/>
        </w:rPr>
        <w:t xml:space="preserve"> </w:t>
      </w:r>
      <w:r>
        <w:rPr>
          <w:sz w:val="21"/>
        </w:rPr>
        <w:t>is</w:t>
      </w:r>
      <w:r>
        <w:rPr>
          <w:spacing w:val="-7"/>
          <w:sz w:val="21"/>
        </w:rPr>
        <w:t xml:space="preserve"> </w:t>
      </w:r>
      <w:r>
        <w:rPr>
          <w:sz w:val="21"/>
        </w:rPr>
        <w:t>a</w:t>
      </w:r>
      <w:r>
        <w:rPr>
          <w:spacing w:val="-5"/>
          <w:sz w:val="21"/>
        </w:rPr>
        <w:t xml:space="preserve"> </w:t>
      </w:r>
      <w:r>
        <w:rPr>
          <w:sz w:val="21"/>
        </w:rPr>
        <w:t>significant</w:t>
      </w:r>
      <w:r>
        <w:rPr>
          <w:spacing w:val="-6"/>
          <w:sz w:val="21"/>
        </w:rPr>
        <w:t xml:space="preserve"> </w:t>
      </w:r>
      <w:r>
        <w:rPr>
          <w:sz w:val="21"/>
        </w:rPr>
        <w:t>concern</w:t>
      </w:r>
      <w:r>
        <w:rPr>
          <w:spacing w:val="-7"/>
          <w:sz w:val="21"/>
        </w:rPr>
        <w:t xml:space="preserve"> </w:t>
      </w:r>
      <w:r>
        <w:rPr>
          <w:sz w:val="21"/>
        </w:rPr>
        <w:t>for all youth who are homeless, and these include exposure to harsh weather, injuries, and physical assault that are exaggerated by barriers such as cost of care, transportation limitations, and fear of discrimination by providers.</w:t>
      </w:r>
      <w:hyperlink w:anchor="_bookmark628" w:history="1">
        <w:r>
          <w:rPr>
            <w:sz w:val="21"/>
            <w:vertAlign w:val="superscript"/>
          </w:rPr>
          <w:t>48</w:t>
        </w:r>
      </w:hyperlink>
      <w:r>
        <w:rPr>
          <w:spacing w:val="-12"/>
          <w:sz w:val="21"/>
        </w:rPr>
        <w:t xml:space="preserve"> </w:t>
      </w:r>
      <w:r>
        <w:rPr>
          <w:sz w:val="21"/>
        </w:rPr>
        <w:t>Inclement</w:t>
      </w:r>
      <w:r>
        <w:rPr>
          <w:spacing w:val="-7"/>
          <w:sz w:val="21"/>
        </w:rPr>
        <w:t xml:space="preserve"> </w:t>
      </w:r>
      <w:r>
        <w:rPr>
          <w:sz w:val="21"/>
        </w:rPr>
        <w:t xml:space="preserve">weather in Massachusetts surely contributes to negative health outcomes, particularly concerning significant cold and hot weather shifts through the seasons. Combined with a lack of appropriate shelter spaces for youth under the age of </w:t>
      </w:r>
      <w:r>
        <w:rPr>
          <w:sz w:val="21"/>
        </w:rPr>
        <w:t>18, the Commission is incredibly concerned about the well-being</w:t>
      </w:r>
      <w:r>
        <w:rPr>
          <w:spacing w:val="-1"/>
          <w:sz w:val="21"/>
        </w:rPr>
        <w:t xml:space="preserve"> </w:t>
      </w:r>
      <w:r>
        <w:rPr>
          <w:sz w:val="21"/>
        </w:rPr>
        <w:t>of LGBTQ minors experiencing homelessness.</w:t>
      </w:r>
    </w:p>
    <w:p w:rsidR="00200FDA" w:rsidRDefault="00200FDA">
      <w:pPr>
        <w:pStyle w:val="BodyText"/>
        <w:spacing w:before="8"/>
        <w:rPr>
          <w:sz w:val="19"/>
        </w:rPr>
      </w:pPr>
    </w:p>
    <w:p w:rsidR="00200FDA" w:rsidRDefault="00F76C4C">
      <w:pPr>
        <w:spacing w:before="1"/>
        <w:ind w:left="139"/>
        <w:jc w:val="both"/>
        <w:rPr>
          <w:sz w:val="21"/>
        </w:rPr>
      </w:pPr>
      <w:r>
        <w:rPr>
          <w:sz w:val="21"/>
        </w:rPr>
        <w:t>Furthermore,</w:t>
      </w:r>
      <w:r>
        <w:rPr>
          <w:spacing w:val="1"/>
          <w:sz w:val="21"/>
        </w:rPr>
        <w:t xml:space="preserve"> </w:t>
      </w:r>
      <w:r>
        <w:rPr>
          <w:sz w:val="21"/>
        </w:rPr>
        <w:t>as</w:t>
      </w:r>
      <w:r>
        <w:rPr>
          <w:spacing w:val="2"/>
          <w:sz w:val="21"/>
        </w:rPr>
        <w:t xml:space="preserve"> </w:t>
      </w:r>
      <w:r>
        <w:rPr>
          <w:sz w:val="21"/>
        </w:rPr>
        <w:t>noted</w:t>
      </w:r>
      <w:r>
        <w:rPr>
          <w:spacing w:val="3"/>
          <w:sz w:val="21"/>
        </w:rPr>
        <w:t xml:space="preserve"> </w:t>
      </w:r>
      <w:r>
        <w:rPr>
          <w:sz w:val="21"/>
        </w:rPr>
        <w:t>above,</w:t>
      </w:r>
      <w:r>
        <w:rPr>
          <w:spacing w:val="3"/>
          <w:sz w:val="21"/>
        </w:rPr>
        <w:t xml:space="preserve"> </w:t>
      </w:r>
      <w:r>
        <w:rPr>
          <w:sz w:val="21"/>
        </w:rPr>
        <w:t>LGBTQ</w:t>
      </w:r>
      <w:r>
        <w:rPr>
          <w:spacing w:val="3"/>
          <w:sz w:val="21"/>
        </w:rPr>
        <w:t xml:space="preserve"> </w:t>
      </w:r>
      <w:r>
        <w:rPr>
          <w:sz w:val="21"/>
        </w:rPr>
        <w:t>youth</w:t>
      </w:r>
      <w:r>
        <w:rPr>
          <w:spacing w:val="3"/>
          <w:sz w:val="21"/>
        </w:rPr>
        <w:t xml:space="preserve"> </w:t>
      </w:r>
      <w:r>
        <w:rPr>
          <w:sz w:val="21"/>
        </w:rPr>
        <w:t>-</w:t>
      </w:r>
      <w:r>
        <w:rPr>
          <w:spacing w:val="4"/>
          <w:sz w:val="21"/>
        </w:rPr>
        <w:t xml:space="preserve"> </w:t>
      </w:r>
      <w:r>
        <w:rPr>
          <w:sz w:val="21"/>
        </w:rPr>
        <w:t>particularly</w:t>
      </w:r>
      <w:r>
        <w:rPr>
          <w:spacing w:val="4"/>
          <w:sz w:val="21"/>
        </w:rPr>
        <w:t xml:space="preserve"> </w:t>
      </w:r>
      <w:r>
        <w:rPr>
          <w:sz w:val="21"/>
        </w:rPr>
        <w:t>those</w:t>
      </w:r>
      <w:r>
        <w:rPr>
          <w:spacing w:val="3"/>
          <w:sz w:val="21"/>
        </w:rPr>
        <w:t xml:space="preserve"> </w:t>
      </w:r>
      <w:r>
        <w:rPr>
          <w:sz w:val="21"/>
        </w:rPr>
        <w:t>who</w:t>
      </w:r>
      <w:r>
        <w:rPr>
          <w:spacing w:val="3"/>
          <w:sz w:val="21"/>
        </w:rPr>
        <w:t xml:space="preserve"> </w:t>
      </w:r>
      <w:r>
        <w:rPr>
          <w:sz w:val="21"/>
        </w:rPr>
        <w:t>identify</w:t>
      </w:r>
      <w:r>
        <w:rPr>
          <w:spacing w:val="4"/>
          <w:sz w:val="21"/>
        </w:rPr>
        <w:t xml:space="preserve"> </w:t>
      </w:r>
      <w:r>
        <w:rPr>
          <w:sz w:val="21"/>
        </w:rPr>
        <w:t>as</w:t>
      </w:r>
      <w:r>
        <w:rPr>
          <w:spacing w:val="2"/>
          <w:sz w:val="21"/>
        </w:rPr>
        <w:t xml:space="preserve"> </w:t>
      </w:r>
      <w:r>
        <w:rPr>
          <w:sz w:val="21"/>
        </w:rPr>
        <w:t>QTBIPOC</w:t>
      </w:r>
      <w:r>
        <w:rPr>
          <w:spacing w:val="3"/>
          <w:sz w:val="21"/>
        </w:rPr>
        <w:t xml:space="preserve"> </w:t>
      </w:r>
      <w:r>
        <w:rPr>
          <w:sz w:val="21"/>
        </w:rPr>
        <w:t>-</w:t>
      </w:r>
      <w:r>
        <w:rPr>
          <w:spacing w:val="4"/>
          <w:sz w:val="21"/>
        </w:rPr>
        <w:t xml:space="preserve"> </w:t>
      </w:r>
      <w:r>
        <w:rPr>
          <w:sz w:val="21"/>
        </w:rPr>
        <w:t>have</w:t>
      </w:r>
      <w:r>
        <w:rPr>
          <w:spacing w:val="3"/>
          <w:sz w:val="21"/>
        </w:rPr>
        <w:t xml:space="preserve"> </w:t>
      </w:r>
      <w:r>
        <w:rPr>
          <w:sz w:val="21"/>
        </w:rPr>
        <w:t>much</w:t>
      </w:r>
      <w:r>
        <w:rPr>
          <w:spacing w:val="4"/>
          <w:sz w:val="21"/>
        </w:rPr>
        <w:t xml:space="preserve"> </w:t>
      </w:r>
      <w:r>
        <w:rPr>
          <w:spacing w:val="-2"/>
          <w:sz w:val="21"/>
        </w:rPr>
        <w:t>higher</w:t>
      </w:r>
    </w:p>
    <w:p w:rsidR="00200FDA" w:rsidRDefault="00F76C4C">
      <w:pPr>
        <w:spacing w:before="38" w:line="276" w:lineRule="auto"/>
        <w:ind w:left="4459" w:right="134"/>
        <w:jc w:val="both"/>
        <w:rPr>
          <w:sz w:val="21"/>
        </w:rPr>
      </w:pPr>
      <w:r>
        <w:rPr>
          <w:noProof/>
        </w:rPr>
        <w:drawing>
          <wp:anchor distT="0" distB="0" distL="0" distR="0" simplePos="0" relativeHeight="15801344" behindDoc="0" locked="0" layoutInCell="1" allowOverlap="1">
            <wp:simplePos x="0" y="0"/>
            <wp:positionH relativeFrom="page">
              <wp:posOffset>965913</wp:posOffset>
            </wp:positionH>
            <wp:positionV relativeFrom="paragraph">
              <wp:posOffset>149275</wp:posOffset>
            </wp:positionV>
            <wp:extent cx="2536057" cy="1019408"/>
            <wp:effectExtent l="0" t="0" r="0" b="0"/>
            <wp:wrapNone/>
            <wp:docPr id="115"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4.jpeg"/>
                    <pic:cNvPicPr/>
                  </pic:nvPicPr>
                  <pic:blipFill>
                    <a:blip r:embed="rId586" cstate="print"/>
                    <a:stretch>
                      <a:fillRect/>
                    </a:stretch>
                  </pic:blipFill>
                  <pic:spPr>
                    <a:xfrm>
                      <a:off x="0" y="0"/>
                      <a:ext cx="2536057" cy="1019408"/>
                    </a:xfrm>
                    <a:prstGeom prst="rect">
                      <a:avLst/>
                    </a:prstGeom>
                  </pic:spPr>
                </pic:pic>
              </a:graphicData>
            </a:graphic>
          </wp:anchor>
        </w:drawing>
      </w:r>
      <w:r>
        <w:rPr>
          <w:sz w:val="21"/>
        </w:rPr>
        <w:t xml:space="preserve">rates of interacting with police, and being arrested and incarcerated. </w:t>
      </w:r>
      <w:hyperlink w:anchor="_bookmark629" w:history="1">
        <w:r>
          <w:rPr>
            <w:sz w:val="21"/>
            <w:vertAlign w:val="superscript"/>
          </w:rPr>
          <w:t>49</w:t>
        </w:r>
      </w:hyperlink>
      <w:r>
        <w:rPr>
          <w:sz w:val="21"/>
        </w:rPr>
        <w:t xml:space="preserve"> Factors that increase the likelihood of LGBTQ youth experiencing homelessness interacting with police</w:t>
      </w:r>
      <w:r>
        <w:rPr>
          <w:spacing w:val="-3"/>
          <w:sz w:val="21"/>
        </w:rPr>
        <w:t xml:space="preserve"> </w:t>
      </w:r>
      <w:r>
        <w:rPr>
          <w:sz w:val="21"/>
        </w:rPr>
        <w:t>include,</w:t>
      </w:r>
      <w:r>
        <w:rPr>
          <w:spacing w:val="-3"/>
          <w:sz w:val="21"/>
        </w:rPr>
        <w:t xml:space="preserve"> </w:t>
      </w:r>
      <w:r>
        <w:rPr>
          <w:sz w:val="21"/>
        </w:rPr>
        <w:t>but</w:t>
      </w:r>
      <w:r>
        <w:rPr>
          <w:spacing w:val="-4"/>
          <w:sz w:val="21"/>
        </w:rPr>
        <w:t xml:space="preserve"> </w:t>
      </w:r>
      <w:r>
        <w:rPr>
          <w:sz w:val="21"/>
        </w:rPr>
        <w:t>are</w:t>
      </w:r>
      <w:r>
        <w:rPr>
          <w:spacing w:val="-3"/>
          <w:sz w:val="21"/>
        </w:rPr>
        <w:t xml:space="preserve"> </w:t>
      </w:r>
      <w:r>
        <w:rPr>
          <w:sz w:val="21"/>
        </w:rPr>
        <w:t>not</w:t>
      </w:r>
      <w:r>
        <w:rPr>
          <w:spacing w:val="-4"/>
          <w:sz w:val="21"/>
        </w:rPr>
        <w:t xml:space="preserve"> </w:t>
      </w:r>
      <w:r>
        <w:rPr>
          <w:sz w:val="21"/>
        </w:rPr>
        <w:t>limited</w:t>
      </w:r>
      <w:r>
        <w:rPr>
          <w:spacing w:val="-4"/>
          <w:sz w:val="21"/>
        </w:rPr>
        <w:t xml:space="preserve"> </w:t>
      </w:r>
      <w:r>
        <w:rPr>
          <w:sz w:val="21"/>
        </w:rPr>
        <w:t>to,</w:t>
      </w:r>
      <w:r>
        <w:rPr>
          <w:spacing w:val="-3"/>
          <w:sz w:val="21"/>
        </w:rPr>
        <w:t xml:space="preserve"> </w:t>
      </w:r>
      <w:r>
        <w:rPr>
          <w:sz w:val="21"/>
        </w:rPr>
        <w:t>engaging</w:t>
      </w:r>
      <w:r>
        <w:rPr>
          <w:spacing w:val="-4"/>
          <w:sz w:val="21"/>
        </w:rPr>
        <w:t xml:space="preserve"> </w:t>
      </w:r>
      <w:r>
        <w:rPr>
          <w:sz w:val="21"/>
        </w:rPr>
        <w:t>in</w:t>
      </w:r>
      <w:r>
        <w:rPr>
          <w:spacing w:val="-4"/>
          <w:sz w:val="21"/>
        </w:rPr>
        <w:t xml:space="preserve"> </w:t>
      </w:r>
      <w:r>
        <w:rPr>
          <w:sz w:val="21"/>
        </w:rPr>
        <w:t>sex</w:t>
      </w:r>
      <w:r>
        <w:rPr>
          <w:spacing w:val="-3"/>
          <w:sz w:val="21"/>
        </w:rPr>
        <w:t xml:space="preserve"> </w:t>
      </w:r>
      <w:r>
        <w:rPr>
          <w:sz w:val="21"/>
        </w:rPr>
        <w:t>work, sleeping in public places, loitering, and substance use.</w:t>
      </w:r>
      <w:r>
        <w:rPr>
          <w:spacing w:val="-12"/>
          <w:sz w:val="21"/>
        </w:rPr>
        <w:t xml:space="preserve"> </w:t>
      </w:r>
      <w:hyperlink w:anchor="_bookmark630" w:history="1">
        <w:r>
          <w:rPr>
            <w:sz w:val="21"/>
            <w:vertAlign w:val="superscript"/>
          </w:rPr>
          <w:t>50</w:t>
        </w:r>
      </w:hyperlink>
      <w:r>
        <w:rPr>
          <w:sz w:val="21"/>
        </w:rPr>
        <w:t xml:space="preserve"> Across the nation, LGB individuals are three times more likely</w:t>
      </w:r>
      <w:r>
        <w:rPr>
          <w:spacing w:val="67"/>
          <w:w w:val="150"/>
          <w:sz w:val="21"/>
        </w:rPr>
        <w:t xml:space="preserve"> </w:t>
      </w:r>
      <w:r>
        <w:rPr>
          <w:sz w:val="21"/>
        </w:rPr>
        <w:t>to</w:t>
      </w:r>
      <w:r>
        <w:rPr>
          <w:spacing w:val="67"/>
          <w:w w:val="150"/>
          <w:sz w:val="21"/>
        </w:rPr>
        <w:t xml:space="preserve"> </w:t>
      </w:r>
      <w:r>
        <w:rPr>
          <w:sz w:val="21"/>
        </w:rPr>
        <w:t>be</w:t>
      </w:r>
      <w:r>
        <w:rPr>
          <w:spacing w:val="67"/>
          <w:w w:val="150"/>
          <w:sz w:val="21"/>
        </w:rPr>
        <w:t xml:space="preserve"> </w:t>
      </w:r>
      <w:r>
        <w:rPr>
          <w:sz w:val="21"/>
        </w:rPr>
        <w:t>incarcerated,</w:t>
      </w:r>
      <w:r>
        <w:rPr>
          <w:spacing w:val="66"/>
          <w:w w:val="150"/>
          <w:sz w:val="21"/>
        </w:rPr>
        <w:t xml:space="preserve"> </w:t>
      </w:r>
      <w:r>
        <w:rPr>
          <w:sz w:val="21"/>
        </w:rPr>
        <w:t>and</w:t>
      </w:r>
      <w:r>
        <w:rPr>
          <w:spacing w:val="67"/>
          <w:w w:val="150"/>
          <w:sz w:val="21"/>
        </w:rPr>
        <w:t xml:space="preserve"> </w:t>
      </w:r>
      <w:r>
        <w:rPr>
          <w:sz w:val="21"/>
        </w:rPr>
        <w:t>approximately</w:t>
      </w:r>
      <w:r>
        <w:rPr>
          <w:spacing w:val="67"/>
          <w:w w:val="150"/>
          <w:sz w:val="21"/>
        </w:rPr>
        <w:t xml:space="preserve"> </w:t>
      </w:r>
      <w:r>
        <w:rPr>
          <w:sz w:val="21"/>
        </w:rPr>
        <w:t>1</w:t>
      </w:r>
      <w:r>
        <w:rPr>
          <w:spacing w:val="68"/>
          <w:w w:val="150"/>
          <w:sz w:val="21"/>
        </w:rPr>
        <w:t xml:space="preserve"> </w:t>
      </w:r>
      <w:r>
        <w:rPr>
          <w:sz w:val="21"/>
        </w:rPr>
        <w:t>in</w:t>
      </w:r>
      <w:r>
        <w:rPr>
          <w:spacing w:val="65"/>
          <w:w w:val="150"/>
          <w:sz w:val="21"/>
        </w:rPr>
        <w:t xml:space="preserve"> </w:t>
      </w:r>
      <w:r>
        <w:rPr>
          <w:spacing w:val="-10"/>
          <w:sz w:val="21"/>
        </w:rPr>
        <w:t>6</w:t>
      </w:r>
    </w:p>
    <w:p w:rsidR="00200FDA" w:rsidRDefault="00F76C4C">
      <w:pPr>
        <w:spacing w:before="1" w:line="276" w:lineRule="auto"/>
        <w:ind w:left="139" w:right="135" w:hanging="1"/>
        <w:jc w:val="both"/>
        <w:rPr>
          <w:sz w:val="21"/>
        </w:rPr>
      </w:pPr>
      <w:r>
        <w:rPr>
          <w:sz w:val="21"/>
        </w:rPr>
        <w:t>transgender individuals report experiencing incar</w:t>
      </w:r>
      <w:r>
        <w:rPr>
          <w:sz w:val="21"/>
        </w:rPr>
        <w:t>ceration at some point.</w:t>
      </w:r>
      <w:hyperlink w:anchor="_bookmark631" w:history="1">
        <w:r>
          <w:rPr>
            <w:sz w:val="21"/>
            <w:vertAlign w:val="superscript"/>
          </w:rPr>
          <w:t>51</w:t>
        </w:r>
      </w:hyperlink>
      <w:r>
        <w:rPr>
          <w:spacing w:val="-3"/>
          <w:sz w:val="21"/>
        </w:rPr>
        <w:t xml:space="preserve"> </w:t>
      </w:r>
      <w:r>
        <w:rPr>
          <w:sz w:val="21"/>
        </w:rPr>
        <w:t>While data on the involvement of LGBTQ youth over the age of 18 in the adult legal system is scarce, national data indicates that up to 78% of LGBTQ</w:t>
      </w:r>
      <w:r>
        <w:rPr>
          <w:spacing w:val="-6"/>
          <w:sz w:val="21"/>
        </w:rPr>
        <w:t xml:space="preserve"> </w:t>
      </w:r>
      <w:r>
        <w:rPr>
          <w:sz w:val="21"/>
        </w:rPr>
        <w:t>youth</w:t>
      </w:r>
      <w:r>
        <w:rPr>
          <w:spacing w:val="-6"/>
          <w:sz w:val="21"/>
        </w:rPr>
        <w:t xml:space="preserve"> </w:t>
      </w:r>
      <w:r>
        <w:rPr>
          <w:sz w:val="21"/>
        </w:rPr>
        <w:t>experiencing</w:t>
      </w:r>
      <w:r>
        <w:rPr>
          <w:spacing w:val="-7"/>
          <w:sz w:val="21"/>
        </w:rPr>
        <w:t xml:space="preserve"> </w:t>
      </w:r>
      <w:r>
        <w:rPr>
          <w:sz w:val="21"/>
        </w:rPr>
        <w:t>homelessness</w:t>
      </w:r>
      <w:r>
        <w:rPr>
          <w:spacing w:val="-7"/>
          <w:sz w:val="21"/>
        </w:rPr>
        <w:t xml:space="preserve"> </w:t>
      </w:r>
      <w:r>
        <w:rPr>
          <w:sz w:val="21"/>
        </w:rPr>
        <w:t>aged</w:t>
      </w:r>
      <w:r>
        <w:rPr>
          <w:spacing w:val="-6"/>
          <w:sz w:val="21"/>
        </w:rPr>
        <w:t xml:space="preserve"> </w:t>
      </w:r>
      <w:r>
        <w:rPr>
          <w:sz w:val="21"/>
        </w:rPr>
        <w:t>18</w:t>
      </w:r>
      <w:r>
        <w:rPr>
          <w:spacing w:val="-5"/>
          <w:sz w:val="21"/>
        </w:rPr>
        <w:t xml:space="preserve"> </w:t>
      </w:r>
      <w:r>
        <w:rPr>
          <w:sz w:val="21"/>
        </w:rPr>
        <w:t>to</w:t>
      </w:r>
      <w:r>
        <w:rPr>
          <w:spacing w:val="-7"/>
          <w:sz w:val="21"/>
        </w:rPr>
        <w:t xml:space="preserve"> </w:t>
      </w:r>
      <w:r>
        <w:rPr>
          <w:sz w:val="21"/>
        </w:rPr>
        <w:t>24</w:t>
      </w:r>
      <w:r>
        <w:rPr>
          <w:spacing w:val="-5"/>
          <w:sz w:val="21"/>
        </w:rPr>
        <w:t xml:space="preserve"> </w:t>
      </w:r>
      <w:r>
        <w:rPr>
          <w:sz w:val="21"/>
        </w:rPr>
        <w:t>have</w:t>
      </w:r>
      <w:r>
        <w:rPr>
          <w:spacing w:val="-5"/>
          <w:sz w:val="21"/>
        </w:rPr>
        <w:t xml:space="preserve"> </w:t>
      </w:r>
      <w:r>
        <w:rPr>
          <w:sz w:val="21"/>
        </w:rPr>
        <w:t>been</w:t>
      </w:r>
      <w:r>
        <w:rPr>
          <w:spacing w:val="-6"/>
          <w:sz w:val="21"/>
        </w:rPr>
        <w:t xml:space="preserve"> </w:t>
      </w:r>
      <w:r>
        <w:rPr>
          <w:sz w:val="21"/>
        </w:rPr>
        <w:t>arrested</w:t>
      </w:r>
      <w:r>
        <w:rPr>
          <w:spacing w:val="-6"/>
          <w:sz w:val="21"/>
        </w:rPr>
        <w:t xml:space="preserve"> </w:t>
      </w:r>
      <w:r>
        <w:rPr>
          <w:sz w:val="21"/>
        </w:rPr>
        <w:t>at</w:t>
      </w:r>
      <w:r>
        <w:rPr>
          <w:spacing w:val="-7"/>
          <w:sz w:val="21"/>
        </w:rPr>
        <w:t xml:space="preserve"> </w:t>
      </w:r>
      <w:r>
        <w:rPr>
          <w:sz w:val="21"/>
        </w:rPr>
        <w:t>some</w:t>
      </w:r>
      <w:r>
        <w:rPr>
          <w:spacing w:val="-5"/>
          <w:sz w:val="21"/>
        </w:rPr>
        <w:t xml:space="preserve"> </w:t>
      </w:r>
      <w:r>
        <w:rPr>
          <w:sz w:val="21"/>
        </w:rPr>
        <w:t>point.</w:t>
      </w:r>
      <w:hyperlink w:anchor="_bookmark632" w:history="1">
        <w:r>
          <w:rPr>
            <w:sz w:val="21"/>
            <w:vertAlign w:val="superscript"/>
          </w:rPr>
          <w:t>52</w:t>
        </w:r>
      </w:hyperlink>
      <w:r>
        <w:rPr>
          <w:spacing w:val="-2"/>
          <w:sz w:val="21"/>
        </w:rPr>
        <w:t xml:space="preserve"> </w:t>
      </w:r>
      <w:r>
        <w:rPr>
          <w:sz w:val="21"/>
        </w:rPr>
        <w:t>In</w:t>
      </w:r>
      <w:r>
        <w:rPr>
          <w:spacing w:val="-6"/>
          <w:sz w:val="21"/>
        </w:rPr>
        <w:t xml:space="preserve"> </w:t>
      </w:r>
      <w:r>
        <w:rPr>
          <w:sz w:val="21"/>
        </w:rPr>
        <w:t>Massachusetts, 33%</w:t>
      </w:r>
      <w:r>
        <w:rPr>
          <w:spacing w:val="-12"/>
          <w:sz w:val="21"/>
        </w:rPr>
        <w:t xml:space="preserve"> </w:t>
      </w:r>
      <w:r>
        <w:rPr>
          <w:sz w:val="21"/>
        </w:rPr>
        <w:t>of</w:t>
      </w:r>
      <w:r>
        <w:rPr>
          <w:spacing w:val="-10"/>
          <w:sz w:val="21"/>
        </w:rPr>
        <w:t xml:space="preserve"> </w:t>
      </w:r>
      <w:r>
        <w:rPr>
          <w:sz w:val="21"/>
        </w:rPr>
        <w:t>youth</w:t>
      </w:r>
      <w:r>
        <w:rPr>
          <w:spacing w:val="-11"/>
          <w:sz w:val="21"/>
        </w:rPr>
        <w:t xml:space="preserve"> </w:t>
      </w:r>
      <w:r>
        <w:rPr>
          <w:sz w:val="21"/>
        </w:rPr>
        <w:t>who</w:t>
      </w:r>
      <w:r>
        <w:rPr>
          <w:spacing w:val="-12"/>
          <w:sz w:val="21"/>
        </w:rPr>
        <w:t xml:space="preserve"> </w:t>
      </w:r>
      <w:r>
        <w:rPr>
          <w:sz w:val="21"/>
        </w:rPr>
        <w:t>left</w:t>
      </w:r>
      <w:r>
        <w:rPr>
          <w:spacing w:val="-12"/>
          <w:sz w:val="21"/>
        </w:rPr>
        <w:t xml:space="preserve"> </w:t>
      </w:r>
      <w:r>
        <w:rPr>
          <w:sz w:val="21"/>
        </w:rPr>
        <w:t>home</w:t>
      </w:r>
      <w:r>
        <w:rPr>
          <w:spacing w:val="-12"/>
          <w:sz w:val="21"/>
        </w:rPr>
        <w:t xml:space="preserve"> </w:t>
      </w:r>
      <w:r>
        <w:rPr>
          <w:sz w:val="21"/>
        </w:rPr>
        <w:t>as</w:t>
      </w:r>
      <w:r>
        <w:rPr>
          <w:spacing w:val="-12"/>
          <w:sz w:val="21"/>
        </w:rPr>
        <w:t xml:space="preserve"> </w:t>
      </w:r>
      <w:r>
        <w:rPr>
          <w:sz w:val="21"/>
        </w:rPr>
        <w:t>minors</w:t>
      </w:r>
      <w:r>
        <w:rPr>
          <w:spacing w:val="-12"/>
          <w:sz w:val="21"/>
        </w:rPr>
        <w:t xml:space="preserve"> </w:t>
      </w:r>
      <w:r>
        <w:rPr>
          <w:sz w:val="21"/>
        </w:rPr>
        <w:t>experienced</w:t>
      </w:r>
      <w:r>
        <w:rPr>
          <w:spacing w:val="-11"/>
          <w:sz w:val="21"/>
        </w:rPr>
        <w:t xml:space="preserve"> </w:t>
      </w:r>
      <w:r>
        <w:rPr>
          <w:sz w:val="21"/>
        </w:rPr>
        <w:t>interactions</w:t>
      </w:r>
      <w:r>
        <w:rPr>
          <w:spacing w:val="-12"/>
          <w:sz w:val="21"/>
        </w:rPr>
        <w:t xml:space="preserve"> </w:t>
      </w:r>
      <w:r>
        <w:rPr>
          <w:sz w:val="21"/>
        </w:rPr>
        <w:t>with</w:t>
      </w:r>
      <w:r>
        <w:rPr>
          <w:spacing w:val="-11"/>
          <w:sz w:val="21"/>
        </w:rPr>
        <w:t xml:space="preserve"> </w:t>
      </w:r>
      <w:r>
        <w:rPr>
          <w:sz w:val="21"/>
        </w:rPr>
        <w:t>the</w:t>
      </w:r>
      <w:r>
        <w:rPr>
          <w:spacing w:val="-11"/>
          <w:sz w:val="21"/>
        </w:rPr>
        <w:t xml:space="preserve"> </w:t>
      </w:r>
      <w:r>
        <w:rPr>
          <w:sz w:val="21"/>
        </w:rPr>
        <w:t>criminal</w:t>
      </w:r>
      <w:r>
        <w:rPr>
          <w:spacing w:val="-11"/>
          <w:sz w:val="21"/>
        </w:rPr>
        <w:t xml:space="preserve"> </w:t>
      </w:r>
      <w:r>
        <w:rPr>
          <w:sz w:val="21"/>
        </w:rPr>
        <w:t>legal</w:t>
      </w:r>
      <w:r>
        <w:rPr>
          <w:spacing w:val="-12"/>
          <w:sz w:val="21"/>
        </w:rPr>
        <w:t xml:space="preserve"> </w:t>
      </w:r>
      <w:r>
        <w:rPr>
          <w:sz w:val="21"/>
        </w:rPr>
        <w:t>systems</w:t>
      </w:r>
      <w:r>
        <w:rPr>
          <w:spacing w:val="-12"/>
          <w:sz w:val="21"/>
        </w:rPr>
        <w:t xml:space="preserve"> </w:t>
      </w:r>
      <w:r>
        <w:rPr>
          <w:sz w:val="21"/>
        </w:rPr>
        <w:t>-</w:t>
      </w:r>
      <w:r>
        <w:rPr>
          <w:spacing w:val="-11"/>
          <w:sz w:val="21"/>
        </w:rPr>
        <w:t xml:space="preserve"> </w:t>
      </w:r>
      <w:r>
        <w:rPr>
          <w:sz w:val="21"/>
        </w:rPr>
        <w:t>either</w:t>
      </w:r>
      <w:r>
        <w:rPr>
          <w:spacing w:val="-11"/>
          <w:sz w:val="21"/>
        </w:rPr>
        <w:t xml:space="preserve"> </w:t>
      </w:r>
      <w:r>
        <w:rPr>
          <w:sz w:val="21"/>
        </w:rPr>
        <w:t>juvenile or adult - compared to 23% of those who became homeless af</w:t>
      </w:r>
      <w:r>
        <w:rPr>
          <w:sz w:val="21"/>
        </w:rPr>
        <w:t>ter 18.</w:t>
      </w:r>
      <w:hyperlink w:anchor="_bookmark633" w:history="1">
        <w:r>
          <w:rPr>
            <w:sz w:val="21"/>
            <w:vertAlign w:val="superscript"/>
          </w:rPr>
          <w:t>53</w:t>
        </w:r>
      </w:hyperlink>
    </w:p>
    <w:p w:rsidR="00200FDA" w:rsidRDefault="00200FDA">
      <w:pPr>
        <w:pStyle w:val="BodyText"/>
        <w:spacing w:before="7"/>
        <w:rPr>
          <w:sz w:val="19"/>
        </w:rPr>
      </w:pPr>
    </w:p>
    <w:p w:rsidR="00200FDA" w:rsidRDefault="00F76C4C">
      <w:pPr>
        <w:spacing w:line="276" w:lineRule="auto"/>
        <w:ind w:left="140" w:right="136"/>
        <w:jc w:val="both"/>
        <w:rPr>
          <w:sz w:val="21"/>
        </w:rPr>
      </w:pPr>
      <w:r>
        <w:rPr>
          <w:sz w:val="21"/>
        </w:rPr>
        <w:t>Lack of appropriate identification documents can also present barriers for LGBTQ youth experiencing homelessness. Without proper ID documents, LGBTQ youth experiencing homelessness are unable to open bank accounts</w:t>
      </w:r>
      <w:r>
        <w:rPr>
          <w:sz w:val="21"/>
        </w:rPr>
        <w:t>, enroll in school, access housing, or become employed.</w:t>
      </w:r>
      <w:hyperlink w:anchor="_bookmark634" w:history="1">
        <w:r>
          <w:rPr>
            <w:sz w:val="21"/>
            <w:vertAlign w:val="superscript"/>
          </w:rPr>
          <w:t>54</w:t>
        </w:r>
      </w:hyperlink>
      <w:r>
        <w:rPr>
          <w:spacing w:val="-12"/>
          <w:sz w:val="21"/>
        </w:rPr>
        <w:t xml:space="preserve"> </w:t>
      </w:r>
      <w:r>
        <w:rPr>
          <w:sz w:val="21"/>
        </w:rPr>
        <w:t xml:space="preserve">Transgender and gender expansive youth, especially, may experience disproportionate difficulties in accessing affirming services if their documentation does not match with their chosen name or appropriate gender marker; therefore, providers should be sure </w:t>
      </w:r>
      <w:r>
        <w:rPr>
          <w:sz w:val="21"/>
        </w:rPr>
        <w:t>to prioritize supporting youth experiencing homelessness with accessing identification documents that affirm their identities.</w:t>
      </w:r>
    </w:p>
    <w:p w:rsidR="00200FDA" w:rsidRDefault="00200FDA">
      <w:pPr>
        <w:pStyle w:val="BodyText"/>
        <w:spacing w:before="9"/>
        <w:rPr>
          <w:sz w:val="19"/>
        </w:rPr>
      </w:pPr>
    </w:p>
    <w:p w:rsidR="00200FDA" w:rsidRDefault="00F76C4C">
      <w:pPr>
        <w:spacing w:line="276" w:lineRule="auto"/>
        <w:ind w:left="139" w:right="133"/>
        <w:jc w:val="both"/>
        <w:rPr>
          <w:sz w:val="21"/>
        </w:rPr>
      </w:pPr>
      <w:r>
        <w:rPr>
          <w:sz w:val="21"/>
        </w:rPr>
        <w:t>Overall, for transgender and gender expansive</w:t>
      </w:r>
      <w:r>
        <w:rPr>
          <w:spacing w:val="40"/>
          <w:sz w:val="21"/>
        </w:rPr>
        <w:t xml:space="preserve"> </w:t>
      </w:r>
      <w:r>
        <w:rPr>
          <w:sz w:val="21"/>
        </w:rPr>
        <w:t>individuals, homelessness likely exacerbates the significant discrimination</w:t>
      </w:r>
      <w:r>
        <w:rPr>
          <w:spacing w:val="-12"/>
          <w:sz w:val="21"/>
        </w:rPr>
        <w:t xml:space="preserve"> </w:t>
      </w:r>
      <w:r>
        <w:rPr>
          <w:sz w:val="21"/>
        </w:rPr>
        <w:t>and</w:t>
      </w:r>
      <w:r>
        <w:rPr>
          <w:spacing w:val="-12"/>
          <w:sz w:val="21"/>
        </w:rPr>
        <w:t xml:space="preserve"> </w:t>
      </w:r>
      <w:r>
        <w:rPr>
          <w:sz w:val="21"/>
        </w:rPr>
        <w:t>la</w:t>
      </w:r>
      <w:r>
        <w:rPr>
          <w:sz w:val="21"/>
        </w:rPr>
        <w:t>ck</w:t>
      </w:r>
      <w:r>
        <w:rPr>
          <w:spacing w:val="-12"/>
          <w:sz w:val="21"/>
        </w:rPr>
        <w:t xml:space="preserve"> </w:t>
      </w:r>
      <w:r>
        <w:rPr>
          <w:sz w:val="21"/>
        </w:rPr>
        <w:t>of</w:t>
      </w:r>
      <w:r>
        <w:rPr>
          <w:spacing w:val="-12"/>
          <w:sz w:val="21"/>
        </w:rPr>
        <w:t xml:space="preserve"> </w:t>
      </w:r>
      <w:r>
        <w:rPr>
          <w:sz w:val="21"/>
        </w:rPr>
        <w:t>understanding</w:t>
      </w:r>
      <w:r>
        <w:rPr>
          <w:spacing w:val="-12"/>
          <w:sz w:val="21"/>
        </w:rPr>
        <w:t xml:space="preserve"> </w:t>
      </w:r>
      <w:r>
        <w:rPr>
          <w:sz w:val="21"/>
        </w:rPr>
        <w:t>that</w:t>
      </w:r>
      <w:r>
        <w:rPr>
          <w:spacing w:val="13"/>
          <w:sz w:val="21"/>
        </w:rPr>
        <w:t xml:space="preserve"> </w:t>
      </w:r>
      <w:r>
        <w:rPr>
          <w:sz w:val="21"/>
        </w:rPr>
        <w:t>transgender</w:t>
      </w:r>
      <w:r>
        <w:rPr>
          <w:spacing w:val="-12"/>
          <w:sz w:val="21"/>
        </w:rPr>
        <w:t xml:space="preserve"> </w:t>
      </w:r>
      <w:r>
        <w:rPr>
          <w:sz w:val="21"/>
        </w:rPr>
        <w:t>people</w:t>
      </w:r>
      <w:r>
        <w:rPr>
          <w:spacing w:val="-12"/>
          <w:sz w:val="21"/>
        </w:rPr>
        <w:t xml:space="preserve"> </w:t>
      </w:r>
      <w:r>
        <w:rPr>
          <w:sz w:val="21"/>
        </w:rPr>
        <w:t>already</w:t>
      </w:r>
      <w:r>
        <w:rPr>
          <w:spacing w:val="-11"/>
          <w:sz w:val="21"/>
        </w:rPr>
        <w:t xml:space="preserve"> </w:t>
      </w:r>
      <w:r>
        <w:rPr>
          <w:sz w:val="21"/>
        </w:rPr>
        <w:t>face</w:t>
      </w:r>
      <w:r>
        <w:rPr>
          <w:spacing w:val="-12"/>
          <w:sz w:val="21"/>
        </w:rPr>
        <w:t xml:space="preserve"> </w:t>
      </w:r>
      <w:r>
        <w:rPr>
          <w:sz w:val="21"/>
        </w:rPr>
        <w:t>in</w:t>
      </w:r>
      <w:r>
        <w:rPr>
          <w:spacing w:val="-12"/>
          <w:sz w:val="21"/>
        </w:rPr>
        <w:t xml:space="preserve"> </w:t>
      </w:r>
      <w:r>
        <w:rPr>
          <w:sz w:val="21"/>
        </w:rPr>
        <w:t>schools,</w:t>
      </w:r>
      <w:r>
        <w:rPr>
          <w:spacing w:val="-12"/>
          <w:sz w:val="21"/>
        </w:rPr>
        <w:t xml:space="preserve"> </w:t>
      </w:r>
      <w:r>
        <w:rPr>
          <w:sz w:val="21"/>
        </w:rPr>
        <w:t>workplaces,</w:t>
      </w:r>
      <w:r>
        <w:rPr>
          <w:spacing w:val="-12"/>
          <w:sz w:val="21"/>
        </w:rPr>
        <w:t xml:space="preserve"> </w:t>
      </w:r>
      <w:r>
        <w:rPr>
          <w:sz w:val="21"/>
        </w:rPr>
        <w:t>housing, and healthcare facilities.</w:t>
      </w:r>
      <w:r>
        <w:rPr>
          <w:spacing w:val="-12"/>
          <w:sz w:val="21"/>
        </w:rPr>
        <w:t xml:space="preserve"> </w:t>
      </w:r>
      <w:hyperlink w:anchor="_bookmark635" w:history="1">
        <w:r>
          <w:rPr>
            <w:sz w:val="21"/>
            <w:vertAlign w:val="superscript"/>
          </w:rPr>
          <w:t>55</w:t>
        </w:r>
      </w:hyperlink>
      <w:r>
        <w:rPr>
          <w:spacing w:val="-2"/>
          <w:sz w:val="21"/>
        </w:rPr>
        <w:t xml:space="preserve"> </w:t>
      </w:r>
      <w:r>
        <w:rPr>
          <w:sz w:val="21"/>
        </w:rPr>
        <w:t>Transgender and gender expansive youth may feel particularly unsafe seeking medical</w:t>
      </w:r>
      <w:r>
        <w:rPr>
          <w:spacing w:val="-7"/>
          <w:sz w:val="21"/>
        </w:rPr>
        <w:t xml:space="preserve"> </w:t>
      </w:r>
      <w:r>
        <w:rPr>
          <w:sz w:val="21"/>
        </w:rPr>
        <w:t>treatment,</w:t>
      </w:r>
      <w:r>
        <w:rPr>
          <w:spacing w:val="-7"/>
          <w:sz w:val="21"/>
        </w:rPr>
        <w:t xml:space="preserve"> </w:t>
      </w:r>
      <w:r>
        <w:rPr>
          <w:sz w:val="21"/>
        </w:rPr>
        <w:t>including</w:t>
      </w:r>
      <w:r>
        <w:rPr>
          <w:spacing w:val="-10"/>
          <w:sz w:val="21"/>
        </w:rPr>
        <w:t xml:space="preserve"> </w:t>
      </w:r>
      <w:r>
        <w:rPr>
          <w:sz w:val="21"/>
        </w:rPr>
        <w:t>routine</w:t>
      </w:r>
      <w:r>
        <w:rPr>
          <w:spacing w:val="-6"/>
          <w:sz w:val="21"/>
        </w:rPr>
        <w:t xml:space="preserve"> </w:t>
      </w:r>
      <w:r>
        <w:rPr>
          <w:sz w:val="21"/>
        </w:rPr>
        <w:t>care,</w:t>
      </w:r>
      <w:r>
        <w:rPr>
          <w:spacing w:val="-9"/>
          <w:sz w:val="21"/>
        </w:rPr>
        <w:t xml:space="preserve"> </w:t>
      </w:r>
      <w:r>
        <w:rPr>
          <w:sz w:val="21"/>
        </w:rPr>
        <w:t>for</w:t>
      </w:r>
      <w:r>
        <w:rPr>
          <w:spacing w:val="-8"/>
          <w:sz w:val="21"/>
        </w:rPr>
        <w:t xml:space="preserve"> </w:t>
      </w:r>
      <w:r>
        <w:rPr>
          <w:sz w:val="21"/>
        </w:rPr>
        <w:t>a</w:t>
      </w:r>
      <w:r>
        <w:rPr>
          <w:spacing w:val="-7"/>
          <w:sz w:val="21"/>
        </w:rPr>
        <w:t xml:space="preserve"> </w:t>
      </w:r>
      <w:r>
        <w:rPr>
          <w:sz w:val="21"/>
        </w:rPr>
        <w:t>number</w:t>
      </w:r>
      <w:r>
        <w:rPr>
          <w:spacing w:val="-8"/>
          <w:sz w:val="21"/>
        </w:rPr>
        <w:t xml:space="preserve"> </w:t>
      </w:r>
      <w:r>
        <w:rPr>
          <w:sz w:val="21"/>
        </w:rPr>
        <w:t>of</w:t>
      </w:r>
      <w:r>
        <w:rPr>
          <w:spacing w:val="-6"/>
          <w:sz w:val="21"/>
        </w:rPr>
        <w:t xml:space="preserve"> </w:t>
      </w:r>
      <w:r>
        <w:rPr>
          <w:sz w:val="21"/>
        </w:rPr>
        <w:t>reasons</w:t>
      </w:r>
      <w:r>
        <w:rPr>
          <w:spacing w:val="-8"/>
          <w:sz w:val="21"/>
        </w:rPr>
        <w:t xml:space="preserve"> </w:t>
      </w:r>
      <w:r>
        <w:rPr>
          <w:sz w:val="21"/>
        </w:rPr>
        <w:t>including</w:t>
      </w:r>
      <w:r>
        <w:rPr>
          <w:spacing w:val="-8"/>
          <w:sz w:val="21"/>
        </w:rPr>
        <w:t xml:space="preserve"> </w:t>
      </w:r>
      <w:r>
        <w:rPr>
          <w:sz w:val="21"/>
        </w:rPr>
        <w:t>negative</w:t>
      </w:r>
      <w:r>
        <w:rPr>
          <w:spacing w:val="-11"/>
          <w:sz w:val="21"/>
        </w:rPr>
        <w:t xml:space="preserve"> </w:t>
      </w:r>
      <w:r>
        <w:rPr>
          <w:sz w:val="21"/>
        </w:rPr>
        <w:t>prior</w:t>
      </w:r>
      <w:r>
        <w:rPr>
          <w:spacing w:val="-8"/>
          <w:sz w:val="21"/>
        </w:rPr>
        <w:t xml:space="preserve"> </w:t>
      </w:r>
      <w:r>
        <w:rPr>
          <w:sz w:val="21"/>
        </w:rPr>
        <w:t>experiences</w:t>
      </w:r>
      <w:r>
        <w:rPr>
          <w:spacing w:val="-8"/>
          <w:sz w:val="21"/>
        </w:rPr>
        <w:t xml:space="preserve"> </w:t>
      </w:r>
      <w:r>
        <w:rPr>
          <w:sz w:val="21"/>
        </w:rPr>
        <w:t>and</w:t>
      </w:r>
      <w:r>
        <w:rPr>
          <w:spacing w:val="-7"/>
          <w:sz w:val="21"/>
        </w:rPr>
        <w:t xml:space="preserve"> </w:t>
      </w:r>
      <w:r>
        <w:rPr>
          <w:sz w:val="21"/>
        </w:rPr>
        <w:t>or the</w:t>
      </w:r>
      <w:r>
        <w:rPr>
          <w:spacing w:val="-12"/>
          <w:sz w:val="21"/>
        </w:rPr>
        <w:t xml:space="preserve"> </w:t>
      </w:r>
      <w:r>
        <w:rPr>
          <w:sz w:val="21"/>
        </w:rPr>
        <w:t>fear</w:t>
      </w:r>
      <w:r>
        <w:rPr>
          <w:spacing w:val="-12"/>
          <w:sz w:val="21"/>
        </w:rPr>
        <w:t xml:space="preserve"> </w:t>
      </w:r>
      <w:r>
        <w:rPr>
          <w:sz w:val="21"/>
        </w:rPr>
        <w:t>of</w:t>
      </w:r>
      <w:r>
        <w:rPr>
          <w:spacing w:val="-12"/>
          <w:sz w:val="21"/>
        </w:rPr>
        <w:t xml:space="preserve"> </w:t>
      </w:r>
      <w:r>
        <w:rPr>
          <w:sz w:val="21"/>
        </w:rPr>
        <w:t>being</w:t>
      </w:r>
      <w:r>
        <w:rPr>
          <w:spacing w:val="-12"/>
          <w:sz w:val="21"/>
        </w:rPr>
        <w:t xml:space="preserve"> </w:t>
      </w:r>
      <w:r>
        <w:rPr>
          <w:sz w:val="21"/>
        </w:rPr>
        <w:t>over-pathologized.</w:t>
      </w:r>
      <w:r>
        <w:rPr>
          <w:spacing w:val="-12"/>
          <w:sz w:val="21"/>
        </w:rPr>
        <w:t xml:space="preserve"> </w:t>
      </w:r>
      <w:r>
        <w:rPr>
          <w:sz w:val="21"/>
        </w:rPr>
        <w:t>Collectively,</w:t>
      </w:r>
      <w:r>
        <w:rPr>
          <w:spacing w:val="-11"/>
          <w:sz w:val="21"/>
        </w:rPr>
        <w:t xml:space="preserve"> </w:t>
      </w:r>
      <w:r>
        <w:rPr>
          <w:sz w:val="21"/>
        </w:rPr>
        <w:t>these</w:t>
      </w:r>
      <w:r>
        <w:rPr>
          <w:spacing w:val="-12"/>
          <w:sz w:val="21"/>
        </w:rPr>
        <w:t xml:space="preserve"> </w:t>
      </w:r>
      <w:r>
        <w:rPr>
          <w:sz w:val="21"/>
        </w:rPr>
        <w:t>negative</w:t>
      </w:r>
      <w:r>
        <w:rPr>
          <w:spacing w:val="-11"/>
          <w:sz w:val="21"/>
        </w:rPr>
        <w:t xml:space="preserve"> </w:t>
      </w:r>
      <w:r>
        <w:rPr>
          <w:sz w:val="21"/>
        </w:rPr>
        <w:t>experiences</w:t>
      </w:r>
      <w:r>
        <w:rPr>
          <w:spacing w:val="-12"/>
          <w:sz w:val="21"/>
        </w:rPr>
        <w:t xml:space="preserve"> </w:t>
      </w:r>
      <w:r>
        <w:rPr>
          <w:sz w:val="21"/>
        </w:rPr>
        <w:t>have</w:t>
      </w:r>
      <w:r>
        <w:rPr>
          <w:spacing w:val="-11"/>
          <w:sz w:val="21"/>
        </w:rPr>
        <w:t xml:space="preserve"> </w:t>
      </w:r>
      <w:r>
        <w:rPr>
          <w:sz w:val="21"/>
        </w:rPr>
        <w:t>likely</w:t>
      </w:r>
      <w:r>
        <w:rPr>
          <w:spacing w:val="-11"/>
          <w:sz w:val="21"/>
        </w:rPr>
        <w:t xml:space="preserve"> </w:t>
      </w:r>
      <w:r>
        <w:rPr>
          <w:sz w:val="21"/>
        </w:rPr>
        <w:t>contributed</w:t>
      </w:r>
      <w:r>
        <w:rPr>
          <w:spacing w:val="-12"/>
          <w:sz w:val="21"/>
        </w:rPr>
        <w:t xml:space="preserve"> </w:t>
      </w:r>
      <w:r>
        <w:rPr>
          <w:sz w:val="21"/>
        </w:rPr>
        <w:t>to</w:t>
      </w:r>
      <w:r>
        <w:rPr>
          <w:spacing w:val="-12"/>
          <w:sz w:val="21"/>
        </w:rPr>
        <w:t xml:space="preserve"> </w:t>
      </w:r>
      <w:r>
        <w:rPr>
          <w:sz w:val="21"/>
        </w:rPr>
        <w:t>the</w:t>
      </w:r>
      <w:r>
        <w:rPr>
          <w:spacing w:val="-11"/>
          <w:sz w:val="21"/>
        </w:rPr>
        <w:t xml:space="preserve"> </w:t>
      </w:r>
      <w:r>
        <w:rPr>
          <w:sz w:val="21"/>
        </w:rPr>
        <w:t>high rates of undetected illnesses and poorly managed treatable chronic/acute conditions within transgender and gender</w:t>
      </w:r>
      <w:r>
        <w:rPr>
          <w:spacing w:val="-9"/>
          <w:sz w:val="21"/>
        </w:rPr>
        <w:t xml:space="preserve"> </w:t>
      </w:r>
      <w:r>
        <w:rPr>
          <w:sz w:val="21"/>
        </w:rPr>
        <w:t>expansive</w:t>
      </w:r>
      <w:r>
        <w:rPr>
          <w:spacing w:val="-9"/>
          <w:sz w:val="21"/>
        </w:rPr>
        <w:t xml:space="preserve"> </w:t>
      </w:r>
      <w:r>
        <w:rPr>
          <w:sz w:val="21"/>
        </w:rPr>
        <w:t>communities.</w:t>
      </w:r>
      <w:r>
        <w:rPr>
          <w:spacing w:val="-8"/>
          <w:sz w:val="21"/>
        </w:rPr>
        <w:t xml:space="preserve"> </w:t>
      </w:r>
      <w:r>
        <w:rPr>
          <w:sz w:val="21"/>
        </w:rPr>
        <w:t>The</w:t>
      </w:r>
      <w:r>
        <w:rPr>
          <w:spacing w:val="-9"/>
          <w:sz w:val="21"/>
        </w:rPr>
        <w:t xml:space="preserve"> </w:t>
      </w:r>
      <w:r>
        <w:rPr>
          <w:sz w:val="21"/>
        </w:rPr>
        <w:t>Commission</w:t>
      </w:r>
      <w:r>
        <w:rPr>
          <w:spacing w:val="-8"/>
          <w:sz w:val="21"/>
        </w:rPr>
        <w:t xml:space="preserve"> </w:t>
      </w:r>
      <w:r>
        <w:rPr>
          <w:sz w:val="21"/>
        </w:rPr>
        <w:t>strongly</w:t>
      </w:r>
      <w:r>
        <w:rPr>
          <w:spacing w:val="-11"/>
          <w:sz w:val="21"/>
        </w:rPr>
        <w:t xml:space="preserve"> </w:t>
      </w:r>
      <w:r>
        <w:rPr>
          <w:sz w:val="21"/>
        </w:rPr>
        <w:t>urges</w:t>
      </w:r>
      <w:r>
        <w:rPr>
          <w:spacing w:val="-9"/>
          <w:sz w:val="21"/>
        </w:rPr>
        <w:t xml:space="preserve"> </w:t>
      </w:r>
      <w:r>
        <w:rPr>
          <w:sz w:val="21"/>
        </w:rPr>
        <w:t>Massachusetts</w:t>
      </w:r>
      <w:r>
        <w:rPr>
          <w:spacing w:val="-9"/>
          <w:sz w:val="21"/>
        </w:rPr>
        <w:t xml:space="preserve"> </w:t>
      </w:r>
      <w:r>
        <w:rPr>
          <w:sz w:val="21"/>
        </w:rPr>
        <w:t>decision-makers</w:t>
      </w:r>
      <w:r>
        <w:rPr>
          <w:spacing w:val="-9"/>
          <w:sz w:val="21"/>
        </w:rPr>
        <w:t xml:space="preserve"> </w:t>
      </w:r>
      <w:r>
        <w:rPr>
          <w:sz w:val="21"/>
        </w:rPr>
        <w:t>to</w:t>
      </w:r>
      <w:r>
        <w:rPr>
          <w:spacing w:val="-9"/>
          <w:sz w:val="21"/>
        </w:rPr>
        <w:t xml:space="preserve"> </w:t>
      </w:r>
      <w:r>
        <w:rPr>
          <w:sz w:val="21"/>
        </w:rPr>
        <w:t>ensure</w:t>
      </w:r>
      <w:r>
        <w:rPr>
          <w:spacing w:val="-9"/>
          <w:sz w:val="21"/>
        </w:rPr>
        <w:t xml:space="preserve"> </w:t>
      </w:r>
      <w:r>
        <w:rPr>
          <w:sz w:val="21"/>
        </w:rPr>
        <w:t>that they are addressing the critical need t</w:t>
      </w:r>
      <w:r>
        <w:rPr>
          <w:sz w:val="21"/>
        </w:rPr>
        <w:t xml:space="preserve">o improve LGBTQ youth access to robust and affirming community </w:t>
      </w:r>
      <w:r>
        <w:rPr>
          <w:spacing w:val="-2"/>
          <w:sz w:val="21"/>
        </w:rPr>
        <w:t>services.</w:t>
      </w:r>
    </w:p>
    <w:p w:rsidR="00200FDA" w:rsidRDefault="00200FDA">
      <w:pPr>
        <w:spacing w:line="276" w:lineRule="auto"/>
        <w:jc w:val="both"/>
        <w:rPr>
          <w:sz w:val="21"/>
        </w:rPr>
        <w:sectPr w:rsidR="00200FDA">
          <w:pgSz w:w="12240" w:h="15840"/>
          <w:pgMar w:top="1360" w:right="1300" w:bottom="1240" w:left="1300" w:header="758" w:footer="1043" w:gutter="0"/>
          <w:cols w:space="720"/>
        </w:sectPr>
      </w:pPr>
    </w:p>
    <w:p w:rsidR="00200FDA" w:rsidRDefault="00F76C4C">
      <w:pPr>
        <w:spacing w:before="64" w:line="276" w:lineRule="auto"/>
        <w:ind w:left="139" w:right="131"/>
        <w:jc w:val="both"/>
        <w:rPr>
          <w:sz w:val="21"/>
        </w:rPr>
      </w:pPr>
      <w:r>
        <w:rPr>
          <w:sz w:val="21"/>
        </w:rPr>
        <w:lastRenderedPageBreak/>
        <w:t>Finally, LGBTQ youth experiencing homelessness are also more likely to be living with HIV or an STI.</w:t>
      </w:r>
      <w:r>
        <w:rPr>
          <w:spacing w:val="-12"/>
          <w:sz w:val="21"/>
        </w:rPr>
        <w:t xml:space="preserve"> </w:t>
      </w:r>
      <w:hyperlink w:anchor="_bookmark636" w:history="1">
        <w:r>
          <w:rPr>
            <w:sz w:val="21"/>
            <w:vertAlign w:val="superscript"/>
          </w:rPr>
          <w:t>56</w:t>
        </w:r>
      </w:hyperlink>
      <w:r>
        <w:rPr>
          <w:sz w:val="21"/>
        </w:rPr>
        <w:t xml:space="preserve"> Nationally, the rate of</w:t>
      </w:r>
      <w:r>
        <w:rPr>
          <w:spacing w:val="-1"/>
          <w:sz w:val="21"/>
        </w:rPr>
        <w:t xml:space="preserve"> </w:t>
      </w:r>
      <w:r>
        <w:rPr>
          <w:sz w:val="21"/>
        </w:rPr>
        <w:t>HIV</w:t>
      </w:r>
      <w:r>
        <w:rPr>
          <w:spacing w:val="-1"/>
          <w:sz w:val="21"/>
        </w:rPr>
        <w:t xml:space="preserve"> </w:t>
      </w:r>
      <w:r>
        <w:rPr>
          <w:sz w:val="21"/>
        </w:rPr>
        <w:t>in</w:t>
      </w:r>
      <w:r>
        <w:rPr>
          <w:spacing w:val="-1"/>
          <w:sz w:val="21"/>
        </w:rPr>
        <w:t xml:space="preserve"> </w:t>
      </w:r>
      <w:r>
        <w:rPr>
          <w:sz w:val="21"/>
        </w:rPr>
        <w:t>LG</w:t>
      </w:r>
      <w:r>
        <w:rPr>
          <w:sz w:val="21"/>
        </w:rPr>
        <w:t>BTQ</w:t>
      </w:r>
      <w:r>
        <w:rPr>
          <w:spacing w:val="-1"/>
          <w:sz w:val="21"/>
        </w:rPr>
        <w:t xml:space="preserve"> </w:t>
      </w:r>
      <w:r>
        <w:rPr>
          <w:sz w:val="21"/>
        </w:rPr>
        <w:t>youth</w:t>
      </w:r>
      <w:r>
        <w:rPr>
          <w:spacing w:val="-2"/>
          <w:sz w:val="21"/>
        </w:rPr>
        <w:t xml:space="preserve"> </w:t>
      </w:r>
      <w:r>
        <w:rPr>
          <w:sz w:val="21"/>
        </w:rPr>
        <w:t>experiencing</w:t>
      </w:r>
      <w:r>
        <w:rPr>
          <w:spacing w:val="-2"/>
          <w:sz w:val="21"/>
        </w:rPr>
        <w:t xml:space="preserve"> </w:t>
      </w:r>
      <w:r>
        <w:rPr>
          <w:sz w:val="21"/>
        </w:rPr>
        <w:t>homelessness is three times</w:t>
      </w:r>
      <w:r>
        <w:rPr>
          <w:spacing w:val="-2"/>
          <w:sz w:val="21"/>
        </w:rPr>
        <w:t xml:space="preserve"> </w:t>
      </w:r>
      <w:r>
        <w:rPr>
          <w:sz w:val="21"/>
        </w:rPr>
        <w:t>greater than</w:t>
      </w:r>
      <w:r>
        <w:rPr>
          <w:spacing w:val="-2"/>
          <w:sz w:val="21"/>
        </w:rPr>
        <w:t xml:space="preserve"> </w:t>
      </w:r>
      <w:r>
        <w:rPr>
          <w:sz w:val="21"/>
        </w:rPr>
        <w:t>HIV</w:t>
      </w:r>
      <w:r>
        <w:rPr>
          <w:spacing w:val="-1"/>
          <w:sz w:val="21"/>
        </w:rPr>
        <w:t xml:space="preserve"> </w:t>
      </w:r>
      <w:r>
        <w:rPr>
          <w:sz w:val="21"/>
        </w:rPr>
        <w:t>rates in cisgender, heterosexual youth.</w:t>
      </w:r>
      <w:r>
        <w:rPr>
          <w:spacing w:val="-12"/>
          <w:sz w:val="21"/>
        </w:rPr>
        <w:t xml:space="preserve"> </w:t>
      </w:r>
      <w:hyperlink w:anchor="_bookmark637" w:history="1">
        <w:r>
          <w:rPr>
            <w:sz w:val="21"/>
            <w:vertAlign w:val="superscript"/>
          </w:rPr>
          <w:t>57</w:t>
        </w:r>
      </w:hyperlink>
      <w:r>
        <w:rPr>
          <w:sz w:val="21"/>
        </w:rPr>
        <w:t xml:space="preserve"> Several factors may increase their risk; for example, on average, sexual minority and transgender young men experiencing homelessness have their first sexual encounter one year earlier,</w:t>
      </w:r>
      <w:r>
        <w:rPr>
          <w:spacing w:val="-2"/>
          <w:sz w:val="21"/>
        </w:rPr>
        <w:t xml:space="preserve"> </w:t>
      </w:r>
      <w:r>
        <w:rPr>
          <w:sz w:val="21"/>
        </w:rPr>
        <w:t>a greater</w:t>
      </w:r>
      <w:r>
        <w:rPr>
          <w:spacing w:val="-1"/>
          <w:sz w:val="21"/>
        </w:rPr>
        <w:t xml:space="preserve"> </w:t>
      </w:r>
      <w:r>
        <w:rPr>
          <w:sz w:val="21"/>
        </w:rPr>
        <w:t>number of</w:t>
      </w:r>
      <w:r>
        <w:rPr>
          <w:spacing w:val="-4"/>
          <w:sz w:val="21"/>
        </w:rPr>
        <w:t xml:space="preserve"> </w:t>
      </w:r>
      <w:r>
        <w:rPr>
          <w:sz w:val="21"/>
        </w:rPr>
        <w:t>lifetime sexual partners, a</w:t>
      </w:r>
      <w:r>
        <w:rPr>
          <w:spacing w:val="-2"/>
          <w:sz w:val="21"/>
        </w:rPr>
        <w:t xml:space="preserve"> </w:t>
      </w:r>
      <w:r>
        <w:rPr>
          <w:sz w:val="21"/>
        </w:rPr>
        <w:t>higher likelihood of</w:t>
      </w:r>
      <w:r>
        <w:rPr>
          <w:spacing w:val="-2"/>
          <w:sz w:val="21"/>
        </w:rPr>
        <w:t xml:space="preserve"> </w:t>
      </w:r>
      <w:r>
        <w:rPr>
          <w:sz w:val="21"/>
        </w:rPr>
        <w:t>sexual</w:t>
      </w:r>
      <w:r>
        <w:rPr>
          <w:spacing w:val="-2"/>
          <w:sz w:val="21"/>
        </w:rPr>
        <w:t xml:space="preserve"> </w:t>
      </w:r>
      <w:r>
        <w:rPr>
          <w:sz w:val="21"/>
        </w:rPr>
        <w:t>assault, and a</w:t>
      </w:r>
      <w:r>
        <w:rPr>
          <w:spacing w:val="-2"/>
          <w:sz w:val="21"/>
        </w:rPr>
        <w:t xml:space="preserve"> </w:t>
      </w:r>
      <w:r>
        <w:rPr>
          <w:sz w:val="21"/>
        </w:rPr>
        <w:t>higher</w:t>
      </w:r>
      <w:r>
        <w:rPr>
          <w:spacing w:val="-1"/>
          <w:sz w:val="21"/>
        </w:rPr>
        <w:t xml:space="preserve"> </w:t>
      </w:r>
      <w:r>
        <w:rPr>
          <w:sz w:val="21"/>
        </w:rPr>
        <w:t>rate</w:t>
      </w:r>
      <w:r>
        <w:rPr>
          <w:spacing w:val="-1"/>
          <w:sz w:val="21"/>
        </w:rPr>
        <w:t xml:space="preserve"> </w:t>
      </w:r>
      <w:r>
        <w:rPr>
          <w:sz w:val="21"/>
        </w:rPr>
        <w:t>of unprotected sex with female partners than their non-homeless peers.</w:t>
      </w:r>
      <w:hyperlink w:anchor="_bookmark638" w:history="1">
        <w:r>
          <w:rPr>
            <w:sz w:val="21"/>
            <w:vertAlign w:val="superscript"/>
          </w:rPr>
          <w:t>58</w:t>
        </w:r>
      </w:hyperlink>
      <w:r>
        <w:rPr>
          <w:spacing w:val="-2"/>
          <w:sz w:val="21"/>
        </w:rPr>
        <w:t xml:space="preserve"> </w:t>
      </w:r>
      <w:r>
        <w:rPr>
          <w:sz w:val="21"/>
        </w:rPr>
        <w:t>Another study showed that LGBTQ youth</w:t>
      </w:r>
      <w:r>
        <w:rPr>
          <w:spacing w:val="-5"/>
          <w:sz w:val="21"/>
        </w:rPr>
        <w:t xml:space="preserve"> </w:t>
      </w:r>
      <w:r>
        <w:rPr>
          <w:sz w:val="21"/>
        </w:rPr>
        <w:t>experiencing</w:t>
      </w:r>
      <w:r>
        <w:rPr>
          <w:spacing w:val="-5"/>
          <w:sz w:val="21"/>
        </w:rPr>
        <w:t xml:space="preserve"> </w:t>
      </w:r>
      <w:r>
        <w:rPr>
          <w:sz w:val="21"/>
        </w:rPr>
        <w:t>homelessness</w:t>
      </w:r>
      <w:r>
        <w:rPr>
          <w:spacing w:val="-5"/>
          <w:sz w:val="21"/>
        </w:rPr>
        <w:t xml:space="preserve"> </w:t>
      </w:r>
      <w:r>
        <w:rPr>
          <w:sz w:val="21"/>
        </w:rPr>
        <w:t>were</w:t>
      </w:r>
      <w:r>
        <w:rPr>
          <w:spacing w:val="-4"/>
          <w:sz w:val="21"/>
        </w:rPr>
        <w:t xml:space="preserve"> </w:t>
      </w:r>
      <w:r>
        <w:rPr>
          <w:sz w:val="21"/>
        </w:rPr>
        <w:t>more</w:t>
      </w:r>
      <w:r>
        <w:rPr>
          <w:spacing w:val="-4"/>
          <w:sz w:val="21"/>
        </w:rPr>
        <w:t xml:space="preserve"> </w:t>
      </w:r>
      <w:r>
        <w:rPr>
          <w:sz w:val="21"/>
        </w:rPr>
        <w:t>likely</w:t>
      </w:r>
      <w:r>
        <w:rPr>
          <w:spacing w:val="-4"/>
          <w:sz w:val="21"/>
        </w:rPr>
        <w:t xml:space="preserve"> </w:t>
      </w:r>
      <w:r>
        <w:rPr>
          <w:sz w:val="21"/>
        </w:rPr>
        <w:t>to</w:t>
      </w:r>
      <w:r>
        <w:rPr>
          <w:spacing w:val="-8"/>
          <w:sz w:val="21"/>
        </w:rPr>
        <w:t xml:space="preserve"> </w:t>
      </w:r>
      <w:r>
        <w:rPr>
          <w:sz w:val="21"/>
        </w:rPr>
        <w:t>engage</w:t>
      </w:r>
      <w:r>
        <w:rPr>
          <w:spacing w:val="-4"/>
          <w:sz w:val="21"/>
        </w:rPr>
        <w:t xml:space="preserve"> </w:t>
      </w:r>
      <w:r>
        <w:rPr>
          <w:sz w:val="21"/>
        </w:rPr>
        <w:t>in</w:t>
      </w:r>
      <w:r>
        <w:rPr>
          <w:spacing w:val="-5"/>
          <w:sz w:val="21"/>
        </w:rPr>
        <w:t xml:space="preserve"> </w:t>
      </w:r>
      <w:r>
        <w:rPr>
          <w:sz w:val="21"/>
        </w:rPr>
        <w:t>sexual</w:t>
      </w:r>
      <w:r>
        <w:rPr>
          <w:spacing w:val="39"/>
          <w:sz w:val="21"/>
        </w:rPr>
        <w:t xml:space="preserve"> </w:t>
      </w:r>
      <w:r>
        <w:rPr>
          <w:sz w:val="21"/>
        </w:rPr>
        <w:t>behaviors</w:t>
      </w:r>
      <w:r>
        <w:rPr>
          <w:spacing w:val="-5"/>
          <w:sz w:val="21"/>
        </w:rPr>
        <w:t xml:space="preserve"> </w:t>
      </w:r>
      <w:r>
        <w:rPr>
          <w:sz w:val="21"/>
        </w:rPr>
        <w:t>that</w:t>
      </w:r>
      <w:r>
        <w:rPr>
          <w:spacing w:val="-5"/>
          <w:sz w:val="21"/>
        </w:rPr>
        <w:t xml:space="preserve"> </w:t>
      </w:r>
      <w:r>
        <w:rPr>
          <w:sz w:val="21"/>
        </w:rPr>
        <w:t>h</w:t>
      </w:r>
      <w:r>
        <w:rPr>
          <w:sz w:val="21"/>
        </w:rPr>
        <w:t>eightened</w:t>
      </w:r>
      <w:r>
        <w:rPr>
          <w:spacing w:val="-5"/>
          <w:sz w:val="21"/>
        </w:rPr>
        <w:t xml:space="preserve"> </w:t>
      </w:r>
      <w:r>
        <w:rPr>
          <w:sz w:val="21"/>
        </w:rPr>
        <w:t>their</w:t>
      </w:r>
      <w:r>
        <w:rPr>
          <w:spacing w:val="-4"/>
          <w:sz w:val="21"/>
        </w:rPr>
        <w:t xml:space="preserve"> </w:t>
      </w:r>
      <w:r>
        <w:rPr>
          <w:sz w:val="21"/>
        </w:rPr>
        <w:t>risk</w:t>
      </w:r>
      <w:r>
        <w:rPr>
          <w:spacing w:val="-7"/>
          <w:sz w:val="21"/>
        </w:rPr>
        <w:t xml:space="preserve"> </w:t>
      </w:r>
      <w:r>
        <w:rPr>
          <w:sz w:val="21"/>
        </w:rPr>
        <w:t>of HIV infection or viral hepatitis, such as having sex with strangers who used IV drugs, having unprotected sex with</w:t>
      </w:r>
      <w:r>
        <w:rPr>
          <w:spacing w:val="-7"/>
          <w:sz w:val="21"/>
        </w:rPr>
        <w:t xml:space="preserve"> </w:t>
      </w:r>
      <w:r>
        <w:rPr>
          <w:sz w:val="21"/>
        </w:rPr>
        <w:t>strangers,</w:t>
      </w:r>
      <w:r>
        <w:rPr>
          <w:spacing w:val="-9"/>
          <w:sz w:val="21"/>
        </w:rPr>
        <w:t xml:space="preserve"> </w:t>
      </w:r>
      <w:r>
        <w:rPr>
          <w:sz w:val="21"/>
        </w:rPr>
        <w:t>having</w:t>
      </w:r>
      <w:r>
        <w:rPr>
          <w:spacing w:val="-10"/>
          <w:sz w:val="21"/>
        </w:rPr>
        <w:t xml:space="preserve"> </w:t>
      </w:r>
      <w:r>
        <w:rPr>
          <w:sz w:val="21"/>
        </w:rPr>
        <w:t>anal</w:t>
      </w:r>
      <w:r>
        <w:rPr>
          <w:spacing w:val="-7"/>
          <w:sz w:val="21"/>
        </w:rPr>
        <w:t xml:space="preserve"> </w:t>
      </w:r>
      <w:r>
        <w:rPr>
          <w:sz w:val="21"/>
        </w:rPr>
        <w:t>sex</w:t>
      </w:r>
      <w:r>
        <w:rPr>
          <w:spacing w:val="-9"/>
          <w:sz w:val="21"/>
        </w:rPr>
        <w:t xml:space="preserve"> </w:t>
      </w:r>
      <w:r>
        <w:rPr>
          <w:sz w:val="21"/>
        </w:rPr>
        <w:t>with</w:t>
      </w:r>
      <w:r>
        <w:rPr>
          <w:spacing w:val="-7"/>
          <w:sz w:val="21"/>
        </w:rPr>
        <w:t xml:space="preserve"> </w:t>
      </w:r>
      <w:r>
        <w:rPr>
          <w:sz w:val="21"/>
        </w:rPr>
        <w:t>strangers,</w:t>
      </w:r>
      <w:r>
        <w:rPr>
          <w:spacing w:val="-9"/>
          <w:sz w:val="21"/>
        </w:rPr>
        <w:t xml:space="preserve"> </w:t>
      </w:r>
      <w:r>
        <w:rPr>
          <w:sz w:val="21"/>
        </w:rPr>
        <w:t>and</w:t>
      </w:r>
      <w:r>
        <w:rPr>
          <w:spacing w:val="-10"/>
          <w:sz w:val="21"/>
        </w:rPr>
        <w:t xml:space="preserve"> </w:t>
      </w:r>
      <w:r>
        <w:rPr>
          <w:sz w:val="21"/>
        </w:rPr>
        <w:t>having</w:t>
      </w:r>
      <w:r>
        <w:rPr>
          <w:spacing w:val="-8"/>
          <w:sz w:val="21"/>
        </w:rPr>
        <w:t xml:space="preserve"> </w:t>
      </w:r>
      <w:r>
        <w:rPr>
          <w:sz w:val="21"/>
        </w:rPr>
        <w:t>sex</w:t>
      </w:r>
      <w:r>
        <w:rPr>
          <w:spacing w:val="-9"/>
          <w:sz w:val="21"/>
        </w:rPr>
        <w:t xml:space="preserve"> </w:t>
      </w:r>
      <w:r>
        <w:rPr>
          <w:sz w:val="21"/>
        </w:rPr>
        <w:t>with</w:t>
      </w:r>
      <w:r>
        <w:rPr>
          <w:spacing w:val="-7"/>
          <w:sz w:val="21"/>
        </w:rPr>
        <w:t xml:space="preserve"> </w:t>
      </w:r>
      <w:r>
        <w:rPr>
          <w:sz w:val="21"/>
        </w:rPr>
        <w:t>strangers</w:t>
      </w:r>
      <w:r>
        <w:rPr>
          <w:spacing w:val="-8"/>
          <w:sz w:val="21"/>
        </w:rPr>
        <w:t xml:space="preserve"> </w:t>
      </w:r>
      <w:r>
        <w:rPr>
          <w:sz w:val="21"/>
        </w:rPr>
        <w:t>after</w:t>
      </w:r>
      <w:r>
        <w:rPr>
          <w:spacing w:val="-6"/>
          <w:sz w:val="21"/>
        </w:rPr>
        <w:t xml:space="preserve"> </w:t>
      </w:r>
      <w:r>
        <w:rPr>
          <w:sz w:val="21"/>
        </w:rPr>
        <w:t>using</w:t>
      </w:r>
      <w:r>
        <w:rPr>
          <w:spacing w:val="-8"/>
          <w:sz w:val="21"/>
        </w:rPr>
        <w:t xml:space="preserve"> </w:t>
      </w:r>
      <w:r>
        <w:rPr>
          <w:sz w:val="21"/>
        </w:rPr>
        <w:t>drugs</w:t>
      </w:r>
      <w:r>
        <w:rPr>
          <w:spacing w:val="-8"/>
          <w:sz w:val="21"/>
        </w:rPr>
        <w:t xml:space="preserve"> </w:t>
      </w:r>
      <w:r>
        <w:rPr>
          <w:sz w:val="21"/>
        </w:rPr>
        <w:t>themselves</w:t>
      </w:r>
      <w:r>
        <w:rPr>
          <w:spacing w:val="-10"/>
          <w:sz w:val="21"/>
        </w:rPr>
        <w:t xml:space="preserve"> </w:t>
      </w:r>
      <w:r>
        <w:rPr>
          <w:sz w:val="21"/>
        </w:rPr>
        <w:t>than their non-LGBTQ peers.</w:t>
      </w:r>
      <w:hyperlink w:anchor="_bookmark639" w:history="1">
        <w:r>
          <w:rPr>
            <w:sz w:val="21"/>
            <w:vertAlign w:val="superscript"/>
          </w:rPr>
          <w:t>59</w:t>
        </w:r>
      </w:hyperlink>
      <w:r>
        <w:rPr>
          <w:spacing w:val="-3"/>
          <w:sz w:val="21"/>
        </w:rPr>
        <w:t xml:space="preserve"> </w:t>
      </w:r>
      <w:r>
        <w:rPr>
          <w:sz w:val="21"/>
        </w:rPr>
        <w:t>Among LGBTQ youth, homelessness is a consistent independent risk factor for drug use and sexual behavior that increases the likelihood of transmitting sexually transmitted infections (STIs).</w:t>
      </w:r>
      <w:hyperlink w:anchor="_bookmark640" w:history="1">
        <w:r>
          <w:rPr>
            <w:sz w:val="21"/>
            <w:vertAlign w:val="superscript"/>
          </w:rPr>
          <w:t>60</w:t>
        </w:r>
      </w:hyperlink>
    </w:p>
    <w:p w:rsidR="00200FDA" w:rsidRDefault="00200FDA">
      <w:pPr>
        <w:pStyle w:val="BodyText"/>
      </w:pPr>
    </w:p>
    <w:p w:rsidR="00200FDA" w:rsidRDefault="00200FDA">
      <w:pPr>
        <w:pStyle w:val="BodyText"/>
        <w:spacing w:before="8"/>
        <w:rPr>
          <w:sz w:val="18"/>
        </w:rPr>
      </w:pPr>
    </w:p>
    <w:p w:rsidR="00200FDA" w:rsidRDefault="00F76C4C">
      <w:pPr>
        <w:pStyle w:val="Heading8"/>
      </w:pPr>
      <w:bookmarkStart w:id="749" w:name="Services_for_Those_Experiencing_Homeless"/>
      <w:bookmarkEnd w:id="749"/>
      <w:r>
        <w:rPr>
          <w:color w:val="0A5293"/>
        </w:rPr>
        <w:t>Services</w:t>
      </w:r>
      <w:r>
        <w:rPr>
          <w:color w:val="0A5293"/>
          <w:spacing w:val="-2"/>
        </w:rPr>
        <w:t xml:space="preserve"> </w:t>
      </w:r>
      <w:r>
        <w:rPr>
          <w:color w:val="0A5293"/>
        </w:rPr>
        <w:t>for</w:t>
      </w:r>
      <w:r>
        <w:rPr>
          <w:color w:val="0A5293"/>
          <w:spacing w:val="-3"/>
        </w:rPr>
        <w:t xml:space="preserve"> </w:t>
      </w:r>
      <w:r>
        <w:rPr>
          <w:color w:val="0A5293"/>
        </w:rPr>
        <w:t>Those</w:t>
      </w:r>
      <w:r>
        <w:rPr>
          <w:color w:val="0A5293"/>
          <w:spacing w:val="-1"/>
        </w:rPr>
        <w:t xml:space="preserve"> </w:t>
      </w:r>
      <w:r>
        <w:rPr>
          <w:color w:val="0A5293"/>
        </w:rPr>
        <w:t>Experiencing</w:t>
      </w:r>
      <w:r>
        <w:rPr>
          <w:color w:val="0A5293"/>
          <w:spacing w:val="-2"/>
        </w:rPr>
        <w:t xml:space="preserve"> Homelessness</w:t>
      </w:r>
    </w:p>
    <w:p w:rsidR="00200FDA" w:rsidRDefault="00200FDA">
      <w:pPr>
        <w:pStyle w:val="BodyText"/>
        <w:spacing w:before="4"/>
        <w:rPr>
          <w:sz w:val="23"/>
        </w:rPr>
      </w:pPr>
    </w:p>
    <w:p w:rsidR="00200FDA" w:rsidRDefault="00F76C4C">
      <w:pPr>
        <w:spacing w:before="1" w:line="276" w:lineRule="auto"/>
        <w:ind w:left="139" w:right="132"/>
        <w:jc w:val="both"/>
        <w:rPr>
          <w:sz w:val="21"/>
        </w:rPr>
      </w:pPr>
      <w:r>
        <w:rPr>
          <w:sz w:val="21"/>
        </w:rPr>
        <w:t>LGBTQ youth are often forced to choose between their physical safety and their psychological safety.</w:t>
      </w:r>
      <w:hyperlink w:anchor="_bookmark641" w:history="1">
        <w:r>
          <w:rPr>
            <w:sz w:val="21"/>
            <w:vertAlign w:val="superscript"/>
          </w:rPr>
          <w:t>61</w:t>
        </w:r>
      </w:hyperlink>
      <w:r>
        <w:rPr>
          <w:spacing w:val="-12"/>
          <w:sz w:val="21"/>
        </w:rPr>
        <w:t xml:space="preserve"> </w:t>
      </w:r>
      <w:r>
        <w:rPr>
          <w:sz w:val="21"/>
        </w:rPr>
        <w:t>For example,</w:t>
      </w:r>
      <w:r>
        <w:rPr>
          <w:spacing w:val="-4"/>
          <w:sz w:val="21"/>
        </w:rPr>
        <w:t xml:space="preserve"> </w:t>
      </w:r>
      <w:r>
        <w:rPr>
          <w:sz w:val="21"/>
        </w:rPr>
        <w:t>the</w:t>
      </w:r>
      <w:r>
        <w:rPr>
          <w:spacing w:val="-4"/>
          <w:sz w:val="21"/>
        </w:rPr>
        <w:t xml:space="preserve"> </w:t>
      </w:r>
      <w:r>
        <w:rPr>
          <w:sz w:val="21"/>
        </w:rPr>
        <w:t>only</w:t>
      </w:r>
      <w:r>
        <w:rPr>
          <w:spacing w:val="-4"/>
          <w:sz w:val="21"/>
        </w:rPr>
        <w:t xml:space="preserve"> </w:t>
      </w:r>
      <w:r>
        <w:rPr>
          <w:sz w:val="21"/>
        </w:rPr>
        <w:t>option</w:t>
      </w:r>
      <w:r>
        <w:rPr>
          <w:spacing w:val="-5"/>
          <w:sz w:val="21"/>
        </w:rPr>
        <w:t xml:space="preserve"> </w:t>
      </w:r>
      <w:r>
        <w:rPr>
          <w:sz w:val="21"/>
        </w:rPr>
        <w:t>to</w:t>
      </w:r>
      <w:r>
        <w:rPr>
          <w:spacing w:val="-5"/>
          <w:sz w:val="21"/>
        </w:rPr>
        <w:t xml:space="preserve"> </w:t>
      </w:r>
      <w:r>
        <w:rPr>
          <w:sz w:val="21"/>
        </w:rPr>
        <w:t>avoid</w:t>
      </w:r>
      <w:r>
        <w:rPr>
          <w:spacing w:val="-5"/>
          <w:sz w:val="21"/>
        </w:rPr>
        <w:t xml:space="preserve"> </w:t>
      </w:r>
      <w:r>
        <w:rPr>
          <w:sz w:val="21"/>
        </w:rPr>
        <w:t>the</w:t>
      </w:r>
      <w:r>
        <w:rPr>
          <w:spacing w:val="-4"/>
          <w:sz w:val="21"/>
        </w:rPr>
        <w:t xml:space="preserve"> </w:t>
      </w:r>
      <w:r>
        <w:rPr>
          <w:sz w:val="21"/>
        </w:rPr>
        <w:t>environmental</w:t>
      </w:r>
      <w:r>
        <w:rPr>
          <w:spacing w:val="-5"/>
          <w:sz w:val="21"/>
        </w:rPr>
        <w:t xml:space="preserve"> </w:t>
      </w:r>
      <w:r>
        <w:rPr>
          <w:sz w:val="21"/>
        </w:rPr>
        <w:t>and</w:t>
      </w:r>
      <w:r>
        <w:rPr>
          <w:spacing w:val="-5"/>
          <w:sz w:val="21"/>
        </w:rPr>
        <w:t xml:space="preserve"> </w:t>
      </w:r>
      <w:r>
        <w:rPr>
          <w:sz w:val="21"/>
        </w:rPr>
        <w:t>interpersonal</w:t>
      </w:r>
      <w:r>
        <w:rPr>
          <w:spacing w:val="-5"/>
          <w:sz w:val="21"/>
        </w:rPr>
        <w:t xml:space="preserve"> </w:t>
      </w:r>
      <w:r>
        <w:rPr>
          <w:sz w:val="21"/>
        </w:rPr>
        <w:t>dangers</w:t>
      </w:r>
      <w:r>
        <w:rPr>
          <w:spacing w:val="-5"/>
          <w:sz w:val="21"/>
        </w:rPr>
        <w:t xml:space="preserve"> </w:t>
      </w:r>
      <w:r>
        <w:rPr>
          <w:sz w:val="21"/>
        </w:rPr>
        <w:t>of</w:t>
      </w:r>
      <w:r>
        <w:rPr>
          <w:spacing w:val="-4"/>
          <w:sz w:val="21"/>
        </w:rPr>
        <w:t xml:space="preserve"> </w:t>
      </w:r>
      <w:r>
        <w:rPr>
          <w:sz w:val="21"/>
        </w:rPr>
        <w:t>the</w:t>
      </w:r>
      <w:r>
        <w:rPr>
          <w:spacing w:val="-4"/>
          <w:sz w:val="21"/>
        </w:rPr>
        <w:t xml:space="preserve"> </w:t>
      </w:r>
      <w:r>
        <w:rPr>
          <w:sz w:val="21"/>
        </w:rPr>
        <w:t>streets</w:t>
      </w:r>
      <w:r>
        <w:rPr>
          <w:spacing w:val="-5"/>
          <w:sz w:val="21"/>
        </w:rPr>
        <w:t xml:space="preserve"> </w:t>
      </w:r>
      <w:r>
        <w:rPr>
          <w:sz w:val="21"/>
        </w:rPr>
        <w:t>may</w:t>
      </w:r>
      <w:r>
        <w:rPr>
          <w:spacing w:val="-4"/>
          <w:sz w:val="21"/>
        </w:rPr>
        <w:t xml:space="preserve"> </w:t>
      </w:r>
      <w:r>
        <w:rPr>
          <w:sz w:val="21"/>
        </w:rPr>
        <w:t>be</w:t>
      </w:r>
      <w:r>
        <w:rPr>
          <w:spacing w:val="-6"/>
          <w:sz w:val="21"/>
        </w:rPr>
        <w:t xml:space="preserve"> </w:t>
      </w:r>
      <w:r>
        <w:rPr>
          <w:sz w:val="21"/>
        </w:rPr>
        <w:t>to</w:t>
      </w:r>
      <w:r>
        <w:rPr>
          <w:spacing w:val="-5"/>
          <w:sz w:val="21"/>
        </w:rPr>
        <w:t xml:space="preserve"> </w:t>
      </w:r>
      <w:r>
        <w:rPr>
          <w:sz w:val="21"/>
        </w:rPr>
        <w:t>enter a shelter or engage with housing services where they experience discrimination based on sexual orientation, gender</w:t>
      </w:r>
      <w:r>
        <w:rPr>
          <w:spacing w:val="-1"/>
          <w:sz w:val="21"/>
        </w:rPr>
        <w:t xml:space="preserve"> </w:t>
      </w:r>
      <w:r>
        <w:rPr>
          <w:sz w:val="21"/>
        </w:rPr>
        <w:t>expression, and gender identity. Research shows</w:t>
      </w:r>
      <w:r>
        <w:rPr>
          <w:spacing w:val="-1"/>
          <w:sz w:val="21"/>
        </w:rPr>
        <w:t xml:space="preserve"> </w:t>
      </w:r>
      <w:r>
        <w:rPr>
          <w:sz w:val="21"/>
        </w:rPr>
        <w:t>that</w:t>
      </w:r>
      <w:r>
        <w:rPr>
          <w:spacing w:val="-1"/>
          <w:sz w:val="21"/>
        </w:rPr>
        <w:t xml:space="preserve"> </w:t>
      </w:r>
      <w:r>
        <w:rPr>
          <w:sz w:val="21"/>
        </w:rPr>
        <w:t>LGBQ</w:t>
      </w:r>
      <w:r>
        <w:rPr>
          <w:spacing w:val="-2"/>
          <w:sz w:val="21"/>
        </w:rPr>
        <w:t xml:space="preserve"> </w:t>
      </w:r>
      <w:r>
        <w:rPr>
          <w:sz w:val="21"/>
        </w:rPr>
        <w:t xml:space="preserve">youth often </w:t>
      </w:r>
      <w:r>
        <w:rPr>
          <w:sz w:val="21"/>
        </w:rPr>
        <w:t>report</w:t>
      </w:r>
      <w:r>
        <w:rPr>
          <w:spacing w:val="-1"/>
          <w:sz w:val="21"/>
        </w:rPr>
        <w:t xml:space="preserve"> </w:t>
      </w:r>
      <w:r>
        <w:rPr>
          <w:sz w:val="21"/>
        </w:rPr>
        <w:t>housing, employment, education, and acceptance of their LGBQ status as primary needs, while transgender youth express the need for</w:t>
      </w:r>
      <w:r>
        <w:rPr>
          <w:spacing w:val="-9"/>
          <w:sz w:val="21"/>
        </w:rPr>
        <w:t xml:space="preserve"> </w:t>
      </w:r>
      <w:r>
        <w:rPr>
          <w:sz w:val="21"/>
        </w:rPr>
        <w:t>housing,</w:t>
      </w:r>
      <w:r>
        <w:rPr>
          <w:spacing w:val="-3"/>
          <w:sz w:val="21"/>
        </w:rPr>
        <w:t xml:space="preserve"> </w:t>
      </w:r>
      <w:r>
        <w:rPr>
          <w:sz w:val="21"/>
        </w:rPr>
        <w:t>employment,</w:t>
      </w:r>
      <w:r>
        <w:rPr>
          <w:spacing w:val="-3"/>
          <w:sz w:val="21"/>
        </w:rPr>
        <w:t xml:space="preserve"> </w:t>
      </w:r>
      <w:r>
        <w:rPr>
          <w:sz w:val="21"/>
        </w:rPr>
        <w:t>education,</w:t>
      </w:r>
      <w:r>
        <w:rPr>
          <w:spacing w:val="-3"/>
          <w:sz w:val="21"/>
        </w:rPr>
        <w:t xml:space="preserve"> </w:t>
      </w:r>
      <w:r>
        <w:rPr>
          <w:sz w:val="21"/>
        </w:rPr>
        <w:t>and</w:t>
      </w:r>
      <w:r>
        <w:rPr>
          <w:spacing w:val="-4"/>
          <w:sz w:val="21"/>
        </w:rPr>
        <w:t xml:space="preserve"> </w:t>
      </w:r>
      <w:r>
        <w:rPr>
          <w:sz w:val="21"/>
        </w:rPr>
        <w:t>transition</w:t>
      </w:r>
      <w:r>
        <w:rPr>
          <w:spacing w:val="-4"/>
          <w:sz w:val="21"/>
        </w:rPr>
        <w:t xml:space="preserve"> </w:t>
      </w:r>
      <w:r>
        <w:rPr>
          <w:sz w:val="21"/>
        </w:rPr>
        <w:t>support.</w:t>
      </w:r>
      <w:hyperlink w:anchor="_bookmark642" w:history="1">
        <w:r>
          <w:rPr>
            <w:sz w:val="21"/>
            <w:vertAlign w:val="superscript"/>
          </w:rPr>
          <w:t>62</w:t>
        </w:r>
      </w:hyperlink>
      <w:r>
        <w:rPr>
          <w:spacing w:val="-12"/>
          <w:sz w:val="21"/>
        </w:rPr>
        <w:t xml:space="preserve"> </w:t>
      </w:r>
      <w:r>
        <w:rPr>
          <w:sz w:val="21"/>
        </w:rPr>
        <w:t>Another</w:t>
      </w:r>
      <w:r>
        <w:rPr>
          <w:spacing w:val="-3"/>
          <w:sz w:val="21"/>
        </w:rPr>
        <w:t xml:space="preserve"> </w:t>
      </w:r>
      <w:r>
        <w:rPr>
          <w:sz w:val="21"/>
        </w:rPr>
        <w:t>study</w:t>
      </w:r>
      <w:r>
        <w:rPr>
          <w:spacing w:val="-3"/>
          <w:sz w:val="21"/>
        </w:rPr>
        <w:t xml:space="preserve"> </w:t>
      </w:r>
      <w:r>
        <w:rPr>
          <w:sz w:val="21"/>
        </w:rPr>
        <w:t>indicated</w:t>
      </w:r>
      <w:r>
        <w:rPr>
          <w:spacing w:val="-4"/>
          <w:sz w:val="21"/>
        </w:rPr>
        <w:t xml:space="preserve"> </w:t>
      </w:r>
      <w:r>
        <w:rPr>
          <w:sz w:val="21"/>
        </w:rPr>
        <w:t>that</w:t>
      </w:r>
      <w:r>
        <w:rPr>
          <w:spacing w:val="-4"/>
          <w:sz w:val="21"/>
        </w:rPr>
        <w:t xml:space="preserve"> </w:t>
      </w:r>
      <w:r>
        <w:rPr>
          <w:sz w:val="21"/>
        </w:rPr>
        <w:t>the</w:t>
      </w:r>
      <w:r>
        <w:rPr>
          <w:spacing w:val="-3"/>
          <w:sz w:val="21"/>
        </w:rPr>
        <w:t xml:space="preserve"> </w:t>
      </w:r>
      <w:r>
        <w:rPr>
          <w:sz w:val="21"/>
        </w:rPr>
        <w:t>needs</w:t>
      </w:r>
      <w:r>
        <w:rPr>
          <w:spacing w:val="-4"/>
          <w:sz w:val="21"/>
        </w:rPr>
        <w:t xml:space="preserve"> </w:t>
      </w:r>
      <w:r>
        <w:rPr>
          <w:sz w:val="21"/>
        </w:rPr>
        <w:t>for</w:t>
      </w:r>
      <w:r>
        <w:rPr>
          <w:spacing w:val="-3"/>
          <w:sz w:val="21"/>
        </w:rPr>
        <w:t xml:space="preserve"> </w:t>
      </w:r>
      <w:r>
        <w:rPr>
          <w:sz w:val="21"/>
        </w:rPr>
        <w:t>LGB youth</w:t>
      </w:r>
      <w:r>
        <w:rPr>
          <w:spacing w:val="-6"/>
          <w:sz w:val="21"/>
        </w:rPr>
        <w:t xml:space="preserve"> </w:t>
      </w:r>
      <w:r>
        <w:rPr>
          <w:sz w:val="21"/>
        </w:rPr>
        <w:t>and</w:t>
      </w:r>
      <w:r>
        <w:rPr>
          <w:spacing w:val="-6"/>
          <w:sz w:val="21"/>
        </w:rPr>
        <w:t xml:space="preserve"> </w:t>
      </w:r>
      <w:r>
        <w:rPr>
          <w:sz w:val="21"/>
        </w:rPr>
        <w:t>transgender</w:t>
      </w:r>
      <w:r>
        <w:rPr>
          <w:spacing w:val="-7"/>
          <w:sz w:val="21"/>
        </w:rPr>
        <w:t xml:space="preserve"> </w:t>
      </w:r>
      <w:r>
        <w:rPr>
          <w:sz w:val="21"/>
        </w:rPr>
        <w:t>youth</w:t>
      </w:r>
      <w:r>
        <w:rPr>
          <w:spacing w:val="-6"/>
          <w:sz w:val="21"/>
        </w:rPr>
        <w:t xml:space="preserve"> </w:t>
      </w:r>
      <w:r>
        <w:rPr>
          <w:sz w:val="21"/>
        </w:rPr>
        <w:t>are</w:t>
      </w:r>
      <w:r>
        <w:rPr>
          <w:spacing w:val="-5"/>
          <w:sz w:val="21"/>
        </w:rPr>
        <w:t xml:space="preserve"> </w:t>
      </w:r>
      <w:r>
        <w:rPr>
          <w:sz w:val="21"/>
        </w:rPr>
        <w:t>different</w:t>
      </w:r>
      <w:r>
        <w:rPr>
          <w:spacing w:val="-7"/>
          <w:sz w:val="21"/>
        </w:rPr>
        <w:t xml:space="preserve"> </w:t>
      </w:r>
      <w:r>
        <w:rPr>
          <w:sz w:val="21"/>
        </w:rPr>
        <w:t>as</w:t>
      </w:r>
      <w:r>
        <w:rPr>
          <w:spacing w:val="-7"/>
          <w:sz w:val="21"/>
        </w:rPr>
        <w:t xml:space="preserve"> </w:t>
      </w:r>
      <w:r>
        <w:rPr>
          <w:sz w:val="21"/>
        </w:rPr>
        <w:t>LGB</w:t>
      </w:r>
      <w:r>
        <w:rPr>
          <w:spacing w:val="-5"/>
          <w:sz w:val="21"/>
        </w:rPr>
        <w:t xml:space="preserve"> </w:t>
      </w:r>
      <w:r>
        <w:rPr>
          <w:sz w:val="21"/>
        </w:rPr>
        <w:t>youth</w:t>
      </w:r>
      <w:r>
        <w:rPr>
          <w:spacing w:val="-9"/>
          <w:sz w:val="21"/>
        </w:rPr>
        <w:t xml:space="preserve"> </w:t>
      </w:r>
      <w:r>
        <w:rPr>
          <w:sz w:val="21"/>
        </w:rPr>
        <w:t>reported</w:t>
      </w:r>
      <w:r>
        <w:rPr>
          <w:spacing w:val="-6"/>
          <w:sz w:val="21"/>
        </w:rPr>
        <w:t xml:space="preserve"> </w:t>
      </w:r>
      <w:r>
        <w:rPr>
          <w:sz w:val="21"/>
        </w:rPr>
        <w:t>that</w:t>
      </w:r>
      <w:r>
        <w:rPr>
          <w:spacing w:val="-7"/>
          <w:sz w:val="21"/>
        </w:rPr>
        <w:t xml:space="preserve"> </w:t>
      </w:r>
      <w:r>
        <w:rPr>
          <w:sz w:val="21"/>
        </w:rPr>
        <w:t>their</w:t>
      </w:r>
      <w:r>
        <w:rPr>
          <w:spacing w:val="-5"/>
          <w:sz w:val="21"/>
        </w:rPr>
        <w:t xml:space="preserve"> </w:t>
      </w:r>
      <w:r>
        <w:rPr>
          <w:sz w:val="21"/>
        </w:rPr>
        <w:t>greatest</w:t>
      </w:r>
      <w:r>
        <w:rPr>
          <w:spacing w:val="-9"/>
          <w:sz w:val="21"/>
        </w:rPr>
        <w:t xml:space="preserve"> </w:t>
      </w:r>
      <w:r>
        <w:rPr>
          <w:sz w:val="21"/>
        </w:rPr>
        <w:t>need</w:t>
      </w:r>
      <w:r>
        <w:rPr>
          <w:spacing w:val="-6"/>
          <w:sz w:val="21"/>
        </w:rPr>
        <w:t xml:space="preserve"> </w:t>
      </w:r>
      <w:r>
        <w:rPr>
          <w:sz w:val="21"/>
        </w:rPr>
        <w:t>was</w:t>
      </w:r>
      <w:r>
        <w:rPr>
          <w:spacing w:val="-7"/>
          <w:sz w:val="21"/>
        </w:rPr>
        <w:t xml:space="preserve"> </w:t>
      </w:r>
      <w:r>
        <w:rPr>
          <w:sz w:val="21"/>
        </w:rPr>
        <w:t>acceptance</w:t>
      </w:r>
      <w:r>
        <w:rPr>
          <w:spacing w:val="-5"/>
          <w:sz w:val="21"/>
        </w:rPr>
        <w:t xml:space="preserve"> </w:t>
      </w:r>
      <w:r>
        <w:rPr>
          <w:sz w:val="21"/>
        </w:rPr>
        <w:t>and emotional support, while transgender youth reported the need for more transition support.</w:t>
      </w:r>
      <w:hyperlink w:anchor="_bookmark643" w:history="1">
        <w:r>
          <w:rPr>
            <w:sz w:val="21"/>
            <w:vertAlign w:val="superscript"/>
          </w:rPr>
          <w:t>63</w:t>
        </w:r>
      </w:hyperlink>
      <w:r>
        <w:rPr>
          <w:spacing w:val="-2"/>
          <w:sz w:val="21"/>
        </w:rPr>
        <w:t xml:space="preserve"> </w:t>
      </w:r>
      <w:r>
        <w:rPr>
          <w:sz w:val="21"/>
        </w:rPr>
        <w:t>Transgender youth experiencing homelessness can often lack access to medical resources for transitioning including difficulty obtaining insurance, access to prescription hormones, and access to gender-affirming products.</w:t>
      </w:r>
      <w:hyperlink w:anchor="_bookmark644" w:history="1">
        <w:r>
          <w:rPr>
            <w:sz w:val="21"/>
            <w:vertAlign w:val="superscript"/>
          </w:rPr>
          <w:t>64</w:t>
        </w:r>
      </w:hyperlink>
    </w:p>
    <w:p w:rsidR="00200FDA" w:rsidRDefault="00200FDA">
      <w:pPr>
        <w:pStyle w:val="BodyText"/>
        <w:spacing w:before="7"/>
        <w:rPr>
          <w:sz w:val="19"/>
        </w:rPr>
      </w:pPr>
    </w:p>
    <w:p w:rsidR="00200FDA" w:rsidRDefault="00F76C4C">
      <w:pPr>
        <w:spacing w:line="276" w:lineRule="auto"/>
        <w:ind w:left="2988" w:right="133"/>
        <w:jc w:val="both"/>
        <w:rPr>
          <w:sz w:val="21"/>
        </w:rPr>
      </w:pPr>
      <w:r>
        <w:rPr>
          <w:noProof/>
        </w:rPr>
        <w:drawing>
          <wp:anchor distT="0" distB="0" distL="0" distR="0" simplePos="0" relativeHeight="15801856" behindDoc="0" locked="0" layoutInCell="1" allowOverlap="1">
            <wp:simplePos x="0" y="0"/>
            <wp:positionH relativeFrom="page">
              <wp:posOffset>1026425</wp:posOffset>
            </wp:positionH>
            <wp:positionV relativeFrom="paragraph">
              <wp:posOffset>58545</wp:posOffset>
            </wp:positionV>
            <wp:extent cx="1443878" cy="1589096"/>
            <wp:effectExtent l="0" t="0" r="0" b="0"/>
            <wp:wrapNone/>
            <wp:docPr id="117" name="image115.jpeg" descr="Diagram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5.jpeg"/>
                    <pic:cNvPicPr/>
                  </pic:nvPicPr>
                  <pic:blipFill>
                    <a:blip r:embed="rId587" cstate="print"/>
                    <a:stretch>
                      <a:fillRect/>
                    </a:stretch>
                  </pic:blipFill>
                  <pic:spPr>
                    <a:xfrm>
                      <a:off x="0" y="0"/>
                      <a:ext cx="1443878" cy="1589096"/>
                    </a:xfrm>
                    <a:prstGeom prst="rect">
                      <a:avLst/>
                    </a:prstGeom>
                  </pic:spPr>
                </pic:pic>
              </a:graphicData>
            </a:graphic>
          </wp:anchor>
        </w:drawing>
      </w:r>
      <w:r>
        <w:rPr>
          <w:sz w:val="21"/>
        </w:rPr>
        <w:t>Shelters are important and invaluable resources for those experiencing homelessness. However, LGBTQ youth experiencing homelessness over the age</w:t>
      </w:r>
      <w:r>
        <w:rPr>
          <w:spacing w:val="-5"/>
          <w:sz w:val="21"/>
        </w:rPr>
        <w:t xml:space="preserve"> </w:t>
      </w:r>
      <w:r>
        <w:rPr>
          <w:sz w:val="21"/>
        </w:rPr>
        <w:t>of</w:t>
      </w:r>
      <w:r>
        <w:rPr>
          <w:spacing w:val="-1"/>
          <w:sz w:val="21"/>
        </w:rPr>
        <w:t xml:space="preserve"> </w:t>
      </w:r>
      <w:r>
        <w:rPr>
          <w:sz w:val="21"/>
        </w:rPr>
        <w:t>18 report that adult shelters are often a place of</w:t>
      </w:r>
      <w:r>
        <w:rPr>
          <w:spacing w:val="-3"/>
          <w:sz w:val="21"/>
        </w:rPr>
        <w:t xml:space="preserve"> </w:t>
      </w:r>
      <w:r>
        <w:rPr>
          <w:sz w:val="21"/>
        </w:rPr>
        <w:t>danger.</w:t>
      </w:r>
      <w:hyperlink w:anchor="_bookmark645" w:history="1">
        <w:r>
          <w:rPr>
            <w:sz w:val="21"/>
            <w:vertAlign w:val="superscript"/>
          </w:rPr>
          <w:t>65</w:t>
        </w:r>
      </w:hyperlink>
      <w:r>
        <w:rPr>
          <w:spacing w:val="-12"/>
          <w:sz w:val="21"/>
        </w:rPr>
        <w:t xml:space="preserve"> </w:t>
      </w:r>
      <w:r>
        <w:rPr>
          <w:sz w:val="21"/>
        </w:rPr>
        <w:t>One of the uni</w:t>
      </w:r>
      <w:r>
        <w:rPr>
          <w:sz w:val="21"/>
        </w:rPr>
        <w:t>que</w:t>
      </w:r>
      <w:r>
        <w:rPr>
          <w:spacing w:val="-5"/>
          <w:sz w:val="21"/>
        </w:rPr>
        <w:t xml:space="preserve"> </w:t>
      </w:r>
      <w:r>
        <w:rPr>
          <w:sz w:val="21"/>
        </w:rPr>
        <w:t>challenges</w:t>
      </w:r>
      <w:r>
        <w:rPr>
          <w:spacing w:val="-9"/>
          <w:sz w:val="21"/>
        </w:rPr>
        <w:t xml:space="preserve"> </w:t>
      </w:r>
      <w:r>
        <w:rPr>
          <w:sz w:val="21"/>
        </w:rPr>
        <w:t>faced</w:t>
      </w:r>
      <w:r>
        <w:rPr>
          <w:spacing w:val="-8"/>
          <w:sz w:val="21"/>
        </w:rPr>
        <w:t xml:space="preserve"> </w:t>
      </w:r>
      <w:r>
        <w:rPr>
          <w:sz w:val="21"/>
        </w:rPr>
        <w:t>by</w:t>
      </w:r>
      <w:r>
        <w:rPr>
          <w:spacing w:val="-7"/>
          <w:sz w:val="21"/>
        </w:rPr>
        <w:t xml:space="preserve"> </w:t>
      </w:r>
      <w:r>
        <w:rPr>
          <w:sz w:val="21"/>
        </w:rPr>
        <w:t>LGBTQ</w:t>
      </w:r>
      <w:r>
        <w:rPr>
          <w:spacing w:val="-8"/>
          <w:sz w:val="21"/>
        </w:rPr>
        <w:t xml:space="preserve"> </w:t>
      </w:r>
      <w:r>
        <w:rPr>
          <w:sz w:val="21"/>
        </w:rPr>
        <w:t>youth</w:t>
      </w:r>
      <w:r>
        <w:rPr>
          <w:spacing w:val="-6"/>
          <w:sz w:val="21"/>
        </w:rPr>
        <w:t xml:space="preserve"> </w:t>
      </w:r>
      <w:r>
        <w:rPr>
          <w:sz w:val="21"/>
        </w:rPr>
        <w:t>is</w:t>
      </w:r>
      <w:r>
        <w:rPr>
          <w:spacing w:val="-6"/>
          <w:sz w:val="21"/>
        </w:rPr>
        <w:t xml:space="preserve"> </w:t>
      </w:r>
      <w:r>
        <w:rPr>
          <w:sz w:val="21"/>
        </w:rPr>
        <w:t>the</w:t>
      </w:r>
      <w:r>
        <w:rPr>
          <w:spacing w:val="-7"/>
          <w:sz w:val="21"/>
        </w:rPr>
        <w:t xml:space="preserve"> </w:t>
      </w:r>
      <w:r>
        <w:rPr>
          <w:sz w:val="21"/>
        </w:rPr>
        <w:t>increased</w:t>
      </w:r>
      <w:r>
        <w:rPr>
          <w:spacing w:val="-11"/>
          <w:sz w:val="21"/>
        </w:rPr>
        <w:t xml:space="preserve"> </w:t>
      </w:r>
      <w:r>
        <w:rPr>
          <w:sz w:val="21"/>
        </w:rPr>
        <w:t>risk</w:t>
      </w:r>
      <w:r>
        <w:rPr>
          <w:spacing w:val="-5"/>
          <w:sz w:val="21"/>
        </w:rPr>
        <w:t xml:space="preserve"> </w:t>
      </w:r>
      <w:r>
        <w:rPr>
          <w:sz w:val="21"/>
        </w:rPr>
        <w:t>for</w:t>
      </w:r>
      <w:r>
        <w:rPr>
          <w:spacing w:val="-5"/>
          <w:sz w:val="21"/>
        </w:rPr>
        <w:t xml:space="preserve"> </w:t>
      </w:r>
      <w:r>
        <w:rPr>
          <w:sz w:val="21"/>
        </w:rPr>
        <w:t>harassment and victimization relative to cisgender and heterosexual peers, and when reported, it is often met with inaction by staff.</w:t>
      </w:r>
      <w:hyperlink w:anchor="_bookmark646" w:history="1">
        <w:r>
          <w:rPr>
            <w:sz w:val="21"/>
            <w:vertAlign w:val="superscript"/>
          </w:rPr>
          <w:t>66</w:t>
        </w:r>
      </w:hyperlink>
      <w:r>
        <w:rPr>
          <w:spacing w:val="-12"/>
          <w:sz w:val="21"/>
        </w:rPr>
        <w:t xml:space="preserve"> </w:t>
      </w:r>
      <w:r>
        <w:rPr>
          <w:sz w:val="21"/>
        </w:rPr>
        <w:t>Further, LGBTQ youth who enter</w:t>
      </w:r>
      <w:r>
        <w:rPr>
          <w:spacing w:val="-7"/>
          <w:sz w:val="21"/>
        </w:rPr>
        <w:t xml:space="preserve"> </w:t>
      </w:r>
      <w:r>
        <w:rPr>
          <w:sz w:val="21"/>
        </w:rPr>
        <w:t>the</w:t>
      </w:r>
      <w:r>
        <w:rPr>
          <w:spacing w:val="-7"/>
          <w:sz w:val="21"/>
        </w:rPr>
        <w:t xml:space="preserve"> </w:t>
      </w:r>
      <w:r>
        <w:rPr>
          <w:sz w:val="21"/>
        </w:rPr>
        <w:t>adult</w:t>
      </w:r>
      <w:r>
        <w:rPr>
          <w:spacing w:val="-9"/>
          <w:sz w:val="21"/>
        </w:rPr>
        <w:t xml:space="preserve"> </w:t>
      </w:r>
      <w:r>
        <w:rPr>
          <w:sz w:val="21"/>
        </w:rPr>
        <w:t>shelter</w:t>
      </w:r>
      <w:r>
        <w:rPr>
          <w:spacing w:val="-7"/>
          <w:sz w:val="21"/>
        </w:rPr>
        <w:t xml:space="preserve"> </w:t>
      </w:r>
      <w:r>
        <w:rPr>
          <w:sz w:val="21"/>
        </w:rPr>
        <w:t>system</w:t>
      </w:r>
      <w:r>
        <w:rPr>
          <w:spacing w:val="-8"/>
          <w:sz w:val="21"/>
        </w:rPr>
        <w:t xml:space="preserve"> </w:t>
      </w:r>
      <w:r>
        <w:rPr>
          <w:sz w:val="21"/>
        </w:rPr>
        <w:t>often</w:t>
      </w:r>
      <w:r>
        <w:rPr>
          <w:spacing w:val="-8"/>
          <w:sz w:val="21"/>
        </w:rPr>
        <w:t xml:space="preserve"> </w:t>
      </w:r>
      <w:r>
        <w:rPr>
          <w:sz w:val="21"/>
        </w:rPr>
        <w:t>report</w:t>
      </w:r>
      <w:r>
        <w:rPr>
          <w:spacing w:val="-9"/>
          <w:sz w:val="21"/>
        </w:rPr>
        <w:t xml:space="preserve"> </w:t>
      </w:r>
      <w:r>
        <w:rPr>
          <w:sz w:val="21"/>
        </w:rPr>
        <w:t>being</w:t>
      </w:r>
      <w:r>
        <w:rPr>
          <w:spacing w:val="-9"/>
          <w:sz w:val="21"/>
        </w:rPr>
        <w:t xml:space="preserve"> </w:t>
      </w:r>
      <w:r>
        <w:rPr>
          <w:sz w:val="21"/>
        </w:rPr>
        <w:t>bullied,</w:t>
      </w:r>
      <w:r>
        <w:rPr>
          <w:spacing w:val="-10"/>
          <w:sz w:val="21"/>
        </w:rPr>
        <w:t xml:space="preserve"> </w:t>
      </w:r>
      <w:r>
        <w:rPr>
          <w:sz w:val="21"/>
        </w:rPr>
        <w:t>harassed,</w:t>
      </w:r>
      <w:r>
        <w:rPr>
          <w:spacing w:val="-8"/>
          <w:sz w:val="21"/>
        </w:rPr>
        <w:t xml:space="preserve"> </w:t>
      </w:r>
      <w:r>
        <w:rPr>
          <w:sz w:val="21"/>
        </w:rPr>
        <w:t>and</w:t>
      </w:r>
      <w:r>
        <w:rPr>
          <w:spacing w:val="-11"/>
          <w:sz w:val="21"/>
        </w:rPr>
        <w:t xml:space="preserve"> </w:t>
      </w:r>
      <w:r>
        <w:rPr>
          <w:sz w:val="21"/>
        </w:rPr>
        <w:t>even assaulted by others.</w:t>
      </w:r>
      <w:hyperlink w:anchor="_bookmark647" w:history="1">
        <w:r>
          <w:rPr>
            <w:sz w:val="21"/>
            <w:vertAlign w:val="superscript"/>
          </w:rPr>
          <w:t>67</w:t>
        </w:r>
      </w:hyperlink>
      <w:r>
        <w:rPr>
          <w:spacing w:val="-2"/>
          <w:sz w:val="21"/>
        </w:rPr>
        <w:t xml:space="preserve"> </w:t>
      </w:r>
      <w:r>
        <w:rPr>
          <w:sz w:val="21"/>
        </w:rPr>
        <w:t>LGBTQ youth nationally also report that shelter staff harassed and discriminated against them, ref</w:t>
      </w:r>
      <w:r>
        <w:rPr>
          <w:sz w:val="21"/>
        </w:rPr>
        <w:t>used to work with them, and refused</w:t>
      </w:r>
      <w:r>
        <w:rPr>
          <w:spacing w:val="60"/>
          <w:sz w:val="21"/>
        </w:rPr>
        <w:t xml:space="preserve"> </w:t>
      </w:r>
      <w:r>
        <w:rPr>
          <w:sz w:val="21"/>
        </w:rPr>
        <w:t>to</w:t>
      </w:r>
      <w:r>
        <w:rPr>
          <w:spacing w:val="62"/>
          <w:sz w:val="21"/>
        </w:rPr>
        <w:t xml:space="preserve"> </w:t>
      </w:r>
      <w:r>
        <w:rPr>
          <w:sz w:val="21"/>
        </w:rPr>
        <w:t>acknowledge</w:t>
      </w:r>
      <w:r>
        <w:rPr>
          <w:spacing w:val="64"/>
          <w:sz w:val="21"/>
        </w:rPr>
        <w:t xml:space="preserve"> </w:t>
      </w:r>
      <w:r>
        <w:rPr>
          <w:sz w:val="21"/>
        </w:rPr>
        <w:t>their</w:t>
      </w:r>
      <w:r>
        <w:rPr>
          <w:spacing w:val="64"/>
          <w:sz w:val="21"/>
        </w:rPr>
        <w:t xml:space="preserve"> </w:t>
      </w:r>
      <w:r>
        <w:rPr>
          <w:sz w:val="21"/>
        </w:rPr>
        <w:t>gender</w:t>
      </w:r>
      <w:r>
        <w:rPr>
          <w:spacing w:val="64"/>
          <w:sz w:val="21"/>
        </w:rPr>
        <w:t xml:space="preserve"> </w:t>
      </w:r>
      <w:r>
        <w:rPr>
          <w:sz w:val="21"/>
        </w:rPr>
        <w:t>identity</w:t>
      </w:r>
      <w:r>
        <w:rPr>
          <w:spacing w:val="64"/>
          <w:sz w:val="21"/>
        </w:rPr>
        <w:t xml:space="preserve"> </w:t>
      </w:r>
      <w:r>
        <w:rPr>
          <w:sz w:val="21"/>
        </w:rPr>
        <w:t>or</w:t>
      </w:r>
      <w:r>
        <w:rPr>
          <w:spacing w:val="63"/>
          <w:sz w:val="21"/>
        </w:rPr>
        <w:t xml:space="preserve"> </w:t>
      </w:r>
      <w:r>
        <w:rPr>
          <w:sz w:val="21"/>
        </w:rPr>
        <w:t>gender</w:t>
      </w:r>
      <w:r>
        <w:rPr>
          <w:spacing w:val="62"/>
          <w:sz w:val="21"/>
        </w:rPr>
        <w:t xml:space="preserve"> </w:t>
      </w:r>
      <w:r>
        <w:rPr>
          <w:sz w:val="21"/>
        </w:rPr>
        <w:t>expression.</w:t>
      </w:r>
      <w:r>
        <w:rPr>
          <w:spacing w:val="5"/>
          <w:sz w:val="21"/>
        </w:rPr>
        <w:t xml:space="preserve"> </w:t>
      </w:r>
      <w:hyperlink w:anchor="_bookmark648" w:history="1">
        <w:r>
          <w:rPr>
            <w:spacing w:val="-5"/>
            <w:sz w:val="21"/>
            <w:vertAlign w:val="superscript"/>
          </w:rPr>
          <w:t>68</w:t>
        </w:r>
      </w:hyperlink>
    </w:p>
    <w:p w:rsidR="00200FDA" w:rsidRDefault="00F76C4C">
      <w:pPr>
        <w:spacing w:line="276" w:lineRule="auto"/>
        <w:ind w:left="139" w:right="134"/>
        <w:jc w:val="both"/>
        <w:rPr>
          <w:sz w:val="21"/>
        </w:rPr>
      </w:pPr>
      <w:r>
        <w:rPr>
          <w:sz w:val="21"/>
        </w:rPr>
        <w:t>Another</w:t>
      </w:r>
      <w:r>
        <w:rPr>
          <w:spacing w:val="-1"/>
          <w:sz w:val="21"/>
        </w:rPr>
        <w:t xml:space="preserve"> </w:t>
      </w:r>
      <w:r>
        <w:rPr>
          <w:sz w:val="21"/>
        </w:rPr>
        <w:t>national</w:t>
      </w:r>
      <w:r>
        <w:rPr>
          <w:spacing w:val="-2"/>
          <w:sz w:val="21"/>
        </w:rPr>
        <w:t xml:space="preserve"> </w:t>
      </w:r>
      <w:r>
        <w:rPr>
          <w:sz w:val="21"/>
        </w:rPr>
        <w:t>study</w:t>
      </w:r>
      <w:r>
        <w:rPr>
          <w:spacing w:val="-4"/>
          <w:sz w:val="21"/>
        </w:rPr>
        <w:t xml:space="preserve"> </w:t>
      </w:r>
      <w:r>
        <w:rPr>
          <w:sz w:val="21"/>
        </w:rPr>
        <w:t>reported</w:t>
      </w:r>
      <w:r>
        <w:rPr>
          <w:spacing w:val="-3"/>
          <w:sz w:val="21"/>
        </w:rPr>
        <w:t xml:space="preserve"> </w:t>
      </w:r>
      <w:r>
        <w:rPr>
          <w:sz w:val="21"/>
        </w:rPr>
        <w:t>that</w:t>
      </w:r>
      <w:r>
        <w:rPr>
          <w:spacing w:val="-3"/>
          <w:sz w:val="21"/>
        </w:rPr>
        <w:t xml:space="preserve"> </w:t>
      </w:r>
      <w:r>
        <w:rPr>
          <w:sz w:val="21"/>
        </w:rPr>
        <w:t>70%</w:t>
      </w:r>
      <w:r>
        <w:rPr>
          <w:spacing w:val="-4"/>
          <w:sz w:val="21"/>
        </w:rPr>
        <w:t xml:space="preserve"> </w:t>
      </w:r>
      <w:r>
        <w:rPr>
          <w:sz w:val="21"/>
        </w:rPr>
        <w:t>of</w:t>
      </w:r>
      <w:r>
        <w:rPr>
          <w:spacing w:val="-2"/>
          <w:sz w:val="21"/>
        </w:rPr>
        <w:t xml:space="preserve"> </w:t>
      </w:r>
      <w:r>
        <w:rPr>
          <w:sz w:val="21"/>
        </w:rPr>
        <w:t>transgender</w:t>
      </w:r>
      <w:r>
        <w:rPr>
          <w:spacing w:val="-1"/>
          <w:sz w:val="21"/>
        </w:rPr>
        <w:t xml:space="preserve"> </w:t>
      </w:r>
      <w:r>
        <w:rPr>
          <w:sz w:val="21"/>
        </w:rPr>
        <w:t>youth</w:t>
      </w:r>
      <w:r>
        <w:rPr>
          <w:spacing w:val="-3"/>
          <w:sz w:val="21"/>
        </w:rPr>
        <w:t xml:space="preserve"> </w:t>
      </w:r>
      <w:r>
        <w:rPr>
          <w:sz w:val="21"/>
        </w:rPr>
        <w:t>who</w:t>
      </w:r>
      <w:r>
        <w:rPr>
          <w:spacing w:val="-3"/>
          <w:sz w:val="21"/>
        </w:rPr>
        <w:t xml:space="preserve"> </w:t>
      </w:r>
      <w:r>
        <w:rPr>
          <w:sz w:val="21"/>
        </w:rPr>
        <w:t>stayed</w:t>
      </w:r>
      <w:r>
        <w:rPr>
          <w:spacing w:val="-3"/>
          <w:sz w:val="21"/>
        </w:rPr>
        <w:t xml:space="preserve"> </w:t>
      </w:r>
      <w:r>
        <w:rPr>
          <w:sz w:val="21"/>
        </w:rPr>
        <w:t>in</w:t>
      </w:r>
      <w:r>
        <w:rPr>
          <w:spacing w:val="-5"/>
          <w:sz w:val="21"/>
        </w:rPr>
        <w:t xml:space="preserve"> </w:t>
      </w:r>
      <w:r>
        <w:rPr>
          <w:sz w:val="21"/>
        </w:rPr>
        <w:t>a</w:t>
      </w:r>
      <w:r>
        <w:rPr>
          <w:spacing w:val="-2"/>
          <w:sz w:val="21"/>
        </w:rPr>
        <w:t xml:space="preserve"> </w:t>
      </w:r>
      <w:r>
        <w:rPr>
          <w:sz w:val="21"/>
        </w:rPr>
        <w:t>shelter</w:t>
      </w:r>
      <w:r>
        <w:rPr>
          <w:spacing w:val="-1"/>
          <w:sz w:val="21"/>
        </w:rPr>
        <w:t xml:space="preserve"> </w:t>
      </w:r>
      <w:r>
        <w:rPr>
          <w:sz w:val="21"/>
        </w:rPr>
        <w:t>in</w:t>
      </w:r>
      <w:r>
        <w:rPr>
          <w:spacing w:val="-3"/>
          <w:sz w:val="21"/>
        </w:rPr>
        <w:t xml:space="preserve"> </w:t>
      </w:r>
      <w:r>
        <w:rPr>
          <w:sz w:val="21"/>
        </w:rPr>
        <w:t>the</w:t>
      </w:r>
      <w:r>
        <w:rPr>
          <w:spacing w:val="-4"/>
          <w:sz w:val="21"/>
        </w:rPr>
        <w:t xml:space="preserve"> </w:t>
      </w:r>
      <w:r>
        <w:rPr>
          <w:sz w:val="21"/>
        </w:rPr>
        <w:t>past</w:t>
      </w:r>
      <w:r>
        <w:rPr>
          <w:spacing w:val="-3"/>
          <w:sz w:val="21"/>
        </w:rPr>
        <w:t xml:space="preserve"> </w:t>
      </w:r>
      <w:r>
        <w:rPr>
          <w:sz w:val="21"/>
        </w:rPr>
        <w:t>12</w:t>
      </w:r>
      <w:r>
        <w:rPr>
          <w:spacing w:val="-1"/>
          <w:sz w:val="21"/>
        </w:rPr>
        <w:t xml:space="preserve"> </w:t>
      </w:r>
      <w:r>
        <w:rPr>
          <w:sz w:val="21"/>
        </w:rPr>
        <w:t>months reported mistreatment, being assaulted, and being kicked out.</w:t>
      </w:r>
      <w:r>
        <w:rPr>
          <w:spacing w:val="-12"/>
          <w:sz w:val="21"/>
        </w:rPr>
        <w:t xml:space="preserve"> </w:t>
      </w:r>
      <w:hyperlink w:anchor="_bookmark649" w:history="1">
        <w:r>
          <w:rPr>
            <w:sz w:val="21"/>
            <w:vertAlign w:val="superscript"/>
          </w:rPr>
          <w:t>69</w:t>
        </w:r>
      </w:hyperlink>
      <w:r>
        <w:rPr>
          <w:spacing w:val="-4"/>
          <w:sz w:val="21"/>
        </w:rPr>
        <w:t xml:space="preserve"> </w:t>
      </w:r>
      <w:r>
        <w:rPr>
          <w:sz w:val="21"/>
        </w:rPr>
        <w:t>These experiences of discrimination and harassment accumulate and deter LGBTQ youth from entering the shelter system. The Commission advises that the Co</w:t>
      </w:r>
      <w:r>
        <w:rPr>
          <w:sz w:val="21"/>
        </w:rPr>
        <w:t>mmonwealth work to better understand the specific experiences of transgender and gender expansive youth over the age of 18 experiencing homelessness in Massachusetts, and increasing funding for LGBTQ-affirming shelter spaces and programs.</w:t>
      </w:r>
    </w:p>
    <w:p w:rsidR="00200FDA" w:rsidRDefault="00200FDA">
      <w:pPr>
        <w:spacing w:line="276" w:lineRule="auto"/>
        <w:jc w:val="both"/>
        <w:rPr>
          <w:sz w:val="21"/>
        </w:rPr>
        <w:sectPr w:rsidR="00200FDA">
          <w:pgSz w:w="12240" w:h="15840"/>
          <w:pgMar w:top="1360" w:right="1300" w:bottom="1240" w:left="1300" w:header="758" w:footer="1043" w:gutter="0"/>
          <w:cols w:space="720"/>
        </w:sectPr>
      </w:pPr>
    </w:p>
    <w:p w:rsidR="00200FDA" w:rsidRDefault="00F76C4C">
      <w:pPr>
        <w:spacing w:before="64" w:line="276" w:lineRule="auto"/>
        <w:ind w:left="140" w:right="135"/>
        <w:jc w:val="both"/>
        <w:rPr>
          <w:sz w:val="21"/>
        </w:rPr>
      </w:pPr>
      <w:r>
        <w:rPr>
          <w:sz w:val="21"/>
        </w:rPr>
        <w:lastRenderedPageBreak/>
        <w:t>Nat</w:t>
      </w:r>
      <w:r>
        <w:rPr>
          <w:sz w:val="21"/>
        </w:rPr>
        <w:t>ionally, LGBTQ youth need culturally responsive services that meet the needs of those seeking services, such</w:t>
      </w:r>
      <w:r>
        <w:rPr>
          <w:spacing w:val="-12"/>
          <w:sz w:val="21"/>
        </w:rPr>
        <w:t xml:space="preserve"> </w:t>
      </w:r>
      <w:r>
        <w:rPr>
          <w:sz w:val="21"/>
        </w:rPr>
        <w:t>as</w:t>
      </w:r>
      <w:r>
        <w:rPr>
          <w:spacing w:val="-12"/>
          <w:sz w:val="21"/>
        </w:rPr>
        <w:t xml:space="preserve"> </w:t>
      </w:r>
      <w:r>
        <w:rPr>
          <w:sz w:val="21"/>
        </w:rPr>
        <w:t>private</w:t>
      </w:r>
      <w:r>
        <w:rPr>
          <w:spacing w:val="-12"/>
          <w:sz w:val="21"/>
        </w:rPr>
        <w:t xml:space="preserve"> </w:t>
      </w:r>
      <w:r>
        <w:rPr>
          <w:sz w:val="21"/>
        </w:rPr>
        <w:t>showers,</w:t>
      </w:r>
      <w:r>
        <w:rPr>
          <w:spacing w:val="-12"/>
          <w:sz w:val="21"/>
        </w:rPr>
        <w:t xml:space="preserve"> </w:t>
      </w:r>
      <w:r>
        <w:rPr>
          <w:sz w:val="21"/>
        </w:rPr>
        <w:t>culturally</w:t>
      </w:r>
      <w:r>
        <w:rPr>
          <w:spacing w:val="-12"/>
          <w:sz w:val="21"/>
        </w:rPr>
        <w:t xml:space="preserve"> </w:t>
      </w:r>
      <w:r>
        <w:rPr>
          <w:sz w:val="21"/>
        </w:rPr>
        <w:t>responsive</w:t>
      </w:r>
      <w:r>
        <w:rPr>
          <w:spacing w:val="-12"/>
          <w:sz w:val="21"/>
        </w:rPr>
        <w:t xml:space="preserve"> </w:t>
      </w:r>
      <w:r>
        <w:rPr>
          <w:sz w:val="21"/>
        </w:rPr>
        <w:t>training</w:t>
      </w:r>
      <w:r>
        <w:rPr>
          <w:spacing w:val="-12"/>
          <w:sz w:val="21"/>
        </w:rPr>
        <w:t xml:space="preserve"> </w:t>
      </w:r>
      <w:r>
        <w:rPr>
          <w:sz w:val="21"/>
        </w:rPr>
        <w:t>for</w:t>
      </w:r>
      <w:r>
        <w:rPr>
          <w:spacing w:val="-11"/>
          <w:sz w:val="21"/>
        </w:rPr>
        <w:t xml:space="preserve"> </w:t>
      </w:r>
      <w:r>
        <w:rPr>
          <w:sz w:val="21"/>
        </w:rPr>
        <w:t>providers,</w:t>
      </w:r>
      <w:r>
        <w:rPr>
          <w:spacing w:val="-12"/>
          <w:sz w:val="21"/>
        </w:rPr>
        <w:t xml:space="preserve"> </w:t>
      </w:r>
      <w:r>
        <w:rPr>
          <w:sz w:val="21"/>
        </w:rPr>
        <w:t>and</w:t>
      </w:r>
      <w:r>
        <w:rPr>
          <w:spacing w:val="-12"/>
          <w:sz w:val="21"/>
        </w:rPr>
        <w:t xml:space="preserve"> </w:t>
      </w:r>
      <w:r>
        <w:rPr>
          <w:sz w:val="21"/>
        </w:rPr>
        <w:t>services</w:t>
      </w:r>
      <w:r>
        <w:rPr>
          <w:spacing w:val="-12"/>
          <w:sz w:val="21"/>
        </w:rPr>
        <w:t xml:space="preserve"> </w:t>
      </w:r>
      <w:r>
        <w:rPr>
          <w:sz w:val="21"/>
        </w:rPr>
        <w:t>that</w:t>
      </w:r>
      <w:r>
        <w:rPr>
          <w:spacing w:val="-12"/>
          <w:sz w:val="21"/>
        </w:rPr>
        <w:t xml:space="preserve"> </w:t>
      </w:r>
      <w:r>
        <w:rPr>
          <w:sz w:val="21"/>
        </w:rPr>
        <w:t>are</w:t>
      </w:r>
      <w:r>
        <w:rPr>
          <w:spacing w:val="-12"/>
          <w:sz w:val="21"/>
        </w:rPr>
        <w:t xml:space="preserve"> </w:t>
      </w:r>
      <w:r>
        <w:rPr>
          <w:sz w:val="21"/>
        </w:rPr>
        <w:t>inclusive</w:t>
      </w:r>
      <w:r>
        <w:rPr>
          <w:spacing w:val="-12"/>
          <w:sz w:val="21"/>
        </w:rPr>
        <w:t xml:space="preserve"> </w:t>
      </w:r>
      <w:r>
        <w:rPr>
          <w:sz w:val="21"/>
        </w:rPr>
        <w:t>of</w:t>
      </w:r>
      <w:r>
        <w:rPr>
          <w:spacing w:val="-12"/>
          <w:sz w:val="21"/>
        </w:rPr>
        <w:t xml:space="preserve"> </w:t>
      </w:r>
      <w:r>
        <w:rPr>
          <w:sz w:val="21"/>
        </w:rPr>
        <w:t>the</w:t>
      </w:r>
      <w:r>
        <w:rPr>
          <w:spacing w:val="-11"/>
          <w:sz w:val="21"/>
        </w:rPr>
        <w:t xml:space="preserve"> </w:t>
      </w:r>
      <w:r>
        <w:rPr>
          <w:sz w:val="21"/>
        </w:rPr>
        <w:t>needs of</w:t>
      </w:r>
      <w:r>
        <w:rPr>
          <w:spacing w:val="-12"/>
          <w:sz w:val="21"/>
        </w:rPr>
        <w:t xml:space="preserve"> </w:t>
      </w:r>
      <w:r>
        <w:rPr>
          <w:sz w:val="21"/>
        </w:rPr>
        <w:t>young</w:t>
      </w:r>
      <w:r>
        <w:rPr>
          <w:spacing w:val="-12"/>
          <w:sz w:val="21"/>
        </w:rPr>
        <w:t xml:space="preserve"> </w:t>
      </w:r>
      <w:r>
        <w:rPr>
          <w:sz w:val="21"/>
        </w:rPr>
        <w:t>LGBTQ</w:t>
      </w:r>
      <w:r>
        <w:rPr>
          <w:spacing w:val="-12"/>
          <w:sz w:val="21"/>
        </w:rPr>
        <w:t xml:space="preserve"> </w:t>
      </w:r>
      <w:r>
        <w:rPr>
          <w:sz w:val="21"/>
        </w:rPr>
        <w:t>folks.</w:t>
      </w:r>
      <w:r>
        <w:rPr>
          <w:spacing w:val="-12"/>
          <w:sz w:val="21"/>
        </w:rPr>
        <w:t xml:space="preserve"> </w:t>
      </w:r>
      <w:r>
        <w:rPr>
          <w:sz w:val="21"/>
        </w:rPr>
        <w:t>Specifically,</w:t>
      </w:r>
      <w:r>
        <w:rPr>
          <w:spacing w:val="-12"/>
          <w:sz w:val="21"/>
        </w:rPr>
        <w:t xml:space="preserve"> </w:t>
      </w:r>
      <w:r>
        <w:rPr>
          <w:sz w:val="21"/>
        </w:rPr>
        <w:t>transgender</w:t>
      </w:r>
      <w:r>
        <w:rPr>
          <w:spacing w:val="-12"/>
          <w:sz w:val="21"/>
        </w:rPr>
        <w:t xml:space="preserve"> </w:t>
      </w:r>
      <w:r>
        <w:rPr>
          <w:sz w:val="21"/>
        </w:rPr>
        <w:t>and</w:t>
      </w:r>
      <w:r>
        <w:rPr>
          <w:spacing w:val="-12"/>
          <w:sz w:val="21"/>
        </w:rPr>
        <w:t xml:space="preserve"> </w:t>
      </w:r>
      <w:r>
        <w:rPr>
          <w:sz w:val="21"/>
        </w:rPr>
        <w:t>gender</w:t>
      </w:r>
      <w:r>
        <w:rPr>
          <w:spacing w:val="-11"/>
          <w:sz w:val="21"/>
        </w:rPr>
        <w:t xml:space="preserve"> </w:t>
      </w:r>
      <w:r>
        <w:rPr>
          <w:sz w:val="21"/>
        </w:rPr>
        <w:t>expansive</w:t>
      </w:r>
      <w:r>
        <w:rPr>
          <w:spacing w:val="-12"/>
          <w:sz w:val="21"/>
        </w:rPr>
        <w:t xml:space="preserve"> </w:t>
      </w:r>
      <w:r>
        <w:rPr>
          <w:sz w:val="21"/>
        </w:rPr>
        <w:t>individuals</w:t>
      </w:r>
      <w:r>
        <w:rPr>
          <w:spacing w:val="-12"/>
          <w:sz w:val="21"/>
        </w:rPr>
        <w:t xml:space="preserve"> </w:t>
      </w:r>
      <w:r>
        <w:rPr>
          <w:sz w:val="21"/>
        </w:rPr>
        <w:t>experience</w:t>
      </w:r>
      <w:r>
        <w:rPr>
          <w:spacing w:val="-12"/>
          <w:sz w:val="21"/>
        </w:rPr>
        <w:t xml:space="preserve"> </w:t>
      </w:r>
      <w:r>
        <w:rPr>
          <w:sz w:val="21"/>
        </w:rPr>
        <w:t>being</w:t>
      </w:r>
      <w:r>
        <w:rPr>
          <w:spacing w:val="-12"/>
          <w:sz w:val="21"/>
        </w:rPr>
        <w:t xml:space="preserve"> </w:t>
      </w:r>
      <w:r>
        <w:rPr>
          <w:sz w:val="21"/>
        </w:rPr>
        <w:t>turned</w:t>
      </w:r>
      <w:r>
        <w:rPr>
          <w:spacing w:val="-12"/>
          <w:sz w:val="21"/>
        </w:rPr>
        <w:t xml:space="preserve"> </w:t>
      </w:r>
      <w:r>
        <w:rPr>
          <w:sz w:val="21"/>
        </w:rPr>
        <w:t>away from shelters</w:t>
      </w:r>
      <w:r>
        <w:rPr>
          <w:spacing w:val="-1"/>
          <w:sz w:val="21"/>
        </w:rPr>
        <w:t xml:space="preserve"> </w:t>
      </w:r>
      <w:r>
        <w:rPr>
          <w:sz w:val="21"/>
        </w:rPr>
        <w:t>due to their gender</w:t>
      </w:r>
      <w:r>
        <w:rPr>
          <w:spacing w:val="-1"/>
          <w:sz w:val="21"/>
        </w:rPr>
        <w:t xml:space="preserve"> </w:t>
      </w:r>
      <w:r>
        <w:rPr>
          <w:sz w:val="21"/>
        </w:rPr>
        <w:t>identity or the absence of instituted shelter policies</w:t>
      </w:r>
      <w:r>
        <w:rPr>
          <w:spacing w:val="-2"/>
          <w:sz w:val="21"/>
        </w:rPr>
        <w:t xml:space="preserve"> </w:t>
      </w:r>
      <w:r>
        <w:rPr>
          <w:sz w:val="21"/>
        </w:rPr>
        <w:t>inclusive of</w:t>
      </w:r>
      <w:r>
        <w:rPr>
          <w:spacing w:val="-2"/>
          <w:sz w:val="21"/>
        </w:rPr>
        <w:t xml:space="preserve"> </w:t>
      </w:r>
      <w:r>
        <w:rPr>
          <w:sz w:val="21"/>
        </w:rPr>
        <w:t>all genders, such</w:t>
      </w:r>
      <w:r>
        <w:rPr>
          <w:spacing w:val="-5"/>
          <w:sz w:val="21"/>
        </w:rPr>
        <w:t xml:space="preserve"> </w:t>
      </w:r>
      <w:r>
        <w:rPr>
          <w:sz w:val="21"/>
        </w:rPr>
        <w:t>as binary segregated accommodations and programming.</w:t>
      </w:r>
      <w:hyperlink w:anchor="_bookmark650" w:history="1">
        <w:r>
          <w:rPr>
            <w:sz w:val="21"/>
            <w:vertAlign w:val="superscript"/>
          </w:rPr>
          <w:t>70</w:t>
        </w:r>
      </w:hyperlink>
      <w:r>
        <w:rPr>
          <w:spacing w:val="-12"/>
          <w:sz w:val="21"/>
        </w:rPr>
        <w:t xml:space="preserve"> </w:t>
      </w:r>
      <w:r>
        <w:rPr>
          <w:sz w:val="21"/>
        </w:rPr>
        <w:t>Further, the lack of</w:t>
      </w:r>
      <w:r>
        <w:rPr>
          <w:spacing w:val="-2"/>
          <w:sz w:val="21"/>
        </w:rPr>
        <w:t xml:space="preserve"> </w:t>
      </w:r>
      <w:r>
        <w:rPr>
          <w:sz w:val="21"/>
        </w:rPr>
        <w:t>LGBTQ inclusive policies, whether intentional or due to lack of awareness, implies that these services are not for LGBTQ youth. This implicit</w:t>
      </w:r>
      <w:r>
        <w:rPr>
          <w:spacing w:val="-2"/>
          <w:sz w:val="21"/>
        </w:rPr>
        <w:t xml:space="preserve"> </w:t>
      </w:r>
      <w:r>
        <w:rPr>
          <w:sz w:val="21"/>
        </w:rPr>
        <w:t>exclusion</w:t>
      </w:r>
      <w:r>
        <w:rPr>
          <w:spacing w:val="-2"/>
          <w:sz w:val="21"/>
        </w:rPr>
        <w:t xml:space="preserve"> </w:t>
      </w:r>
      <w:r>
        <w:rPr>
          <w:sz w:val="21"/>
        </w:rPr>
        <w:t>of</w:t>
      </w:r>
      <w:r>
        <w:rPr>
          <w:spacing w:val="-1"/>
          <w:sz w:val="21"/>
        </w:rPr>
        <w:t xml:space="preserve"> </w:t>
      </w:r>
      <w:r>
        <w:rPr>
          <w:sz w:val="21"/>
        </w:rPr>
        <w:t>LGBTQ</w:t>
      </w:r>
      <w:r>
        <w:rPr>
          <w:spacing w:val="-4"/>
          <w:sz w:val="21"/>
        </w:rPr>
        <w:t xml:space="preserve"> </w:t>
      </w:r>
      <w:r>
        <w:rPr>
          <w:sz w:val="21"/>
        </w:rPr>
        <w:t>youth</w:t>
      </w:r>
      <w:r>
        <w:rPr>
          <w:spacing w:val="-2"/>
          <w:sz w:val="21"/>
        </w:rPr>
        <w:t xml:space="preserve"> </w:t>
      </w:r>
      <w:r>
        <w:rPr>
          <w:sz w:val="21"/>
        </w:rPr>
        <w:t>by</w:t>
      </w:r>
      <w:r>
        <w:rPr>
          <w:spacing w:val="-1"/>
          <w:sz w:val="21"/>
        </w:rPr>
        <w:t xml:space="preserve"> </w:t>
      </w:r>
      <w:r>
        <w:rPr>
          <w:sz w:val="21"/>
        </w:rPr>
        <w:t>shelters</w:t>
      </w:r>
      <w:r>
        <w:rPr>
          <w:spacing w:val="-2"/>
          <w:sz w:val="21"/>
        </w:rPr>
        <w:t xml:space="preserve"> </w:t>
      </w:r>
      <w:r>
        <w:rPr>
          <w:sz w:val="21"/>
        </w:rPr>
        <w:t>becomes</w:t>
      </w:r>
      <w:r>
        <w:rPr>
          <w:spacing w:val="-2"/>
          <w:sz w:val="21"/>
        </w:rPr>
        <w:t xml:space="preserve"> </w:t>
      </w:r>
      <w:r>
        <w:rPr>
          <w:sz w:val="21"/>
        </w:rPr>
        <w:t>a</w:t>
      </w:r>
      <w:r>
        <w:rPr>
          <w:spacing w:val="-4"/>
          <w:sz w:val="21"/>
        </w:rPr>
        <w:t xml:space="preserve"> </w:t>
      </w:r>
      <w:r>
        <w:rPr>
          <w:sz w:val="21"/>
        </w:rPr>
        <w:t>contributing</w:t>
      </w:r>
      <w:r>
        <w:rPr>
          <w:spacing w:val="-2"/>
          <w:sz w:val="21"/>
        </w:rPr>
        <w:t xml:space="preserve"> </w:t>
      </w:r>
      <w:r>
        <w:rPr>
          <w:sz w:val="21"/>
        </w:rPr>
        <w:t>factor in</w:t>
      </w:r>
      <w:r>
        <w:rPr>
          <w:spacing w:val="-2"/>
          <w:sz w:val="21"/>
        </w:rPr>
        <w:t xml:space="preserve"> </w:t>
      </w:r>
      <w:r>
        <w:rPr>
          <w:sz w:val="21"/>
        </w:rPr>
        <w:t>an</w:t>
      </w:r>
      <w:r>
        <w:rPr>
          <w:spacing w:val="-2"/>
          <w:sz w:val="21"/>
        </w:rPr>
        <w:t xml:space="preserve"> </w:t>
      </w:r>
      <w:r>
        <w:rPr>
          <w:sz w:val="21"/>
        </w:rPr>
        <w:t>LGBTQ</w:t>
      </w:r>
      <w:r>
        <w:rPr>
          <w:spacing w:val="-2"/>
          <w:sz w:val="21"/>
        </w:rPr>
        <w:t xml:space="preserve"> </w:t>
      </w:r>
      <w:r>
        <w:rPr>
          <w:sz w:val="21"/>
        </w:rPr>
        <w:t>youth’s</w:t>
      </w:r>
      <w:r>
        <w:rPr>
          <w:spacing w:val="-2"/>
          <w:sz w:val="21"/>
        </w:rPr>
        <w:t xml:space="preserve"> </w:t>
      </w:r>
      <w:r>
        <w:rPr>
          <w:sz w:val="21"/>
        </w:rPr>
        <w:t>need</w:t>
      </w:r>
      <w:r>
        <w:rPr>
          <w:spacing w:val="-2"/>
          <w:sz w:val="21"/>
        </w:rPr>
        <w:t xml:space="preserve"> </w:t>
      </w:r>
      <w:r>
        <w:rPr>
          <w:sz w:val="21"/>
        </w:rPr>
        <w:t>to</w:t>
      </w:r>
      <w:r>
        <w:rPr>
          <w:spacing w:val="-2"/>
          <w:sz w:val="21"/>
        </w:rPr>
        <w:t xml:space="preserve"> </w:t>
      </w:r>
      <w:r>
        <w:rPr>
          <w:sz w:val="21"/>
        </w:rPr>
        <w:t>turn to survival sex work to meet their need for housing.</w:t>
      </w:r>
      <w:hyperlink w:anchor="_bookmark651" w:history="1">
        <w:r>
          <w:rPr>
            <w:sz w:val="21"/>
            <w:vertAlign w:val="superscript"/>
          </w:rPr>
          <w:t>71</w:t>
        </w:r>
      </w:hyperlink>
      <w:r>
        <w:rPr>
          <w:spacing w:val="-12"/>
          <w:sz w:val="21"/>
        </w:rPr>
        <w:t xml:space="preserve"> </w:t>
      </w:r>
      <w:r>
        <w:rPr>
          <w:sz w:val="21"/>
        </w:rPr>
        <w:t>Finally, LGBTQ youth under the age of 18 may fear accessing shelters because staff will turn them over to police or social servic</w:t>
      </w:r>
      <w:r>
        <w:rPr>
          <w:sz w:val="21"/>
        </w:rPr>
        <w:t>es for family reunification, which may not be possible in every case, and could lead to further trauma.</w:t>
      </w:r>
      <w:hyperlink w:anchor="_bookmark652" w:history="1">
        <w:r>
          <w:rPr>
            <w:sz w:val="21"/>
            <w:vertAlign w:val="superscript"/>
          </w:rPr>
          <w:t>72</w:t>
        </w:r>
      </w:hyperlink>
    </w:p>
    <w:p w:rsidR="00200FDA" w:rsidRDefault="00200FDA">
      <w:pPr>
        <w:pStyle w:val="BodyText"/>
        <w:spacing w:before="7"/>
        <w:rPr>
          <w:sz w:val="19"/>
        </w:rPr>
      </w:pPr>
    </w:p>
    <w:p w:rsidR="00200FDA" w:rsidRDefault="00F76C4C">
      <w:pPr>
        <w:spacing w:line="276" w:lineRule="auto"/>
        <w:ind w:left="139" w:right="134"/>
        <w:jc w:val="both"/>
        <w:rPr>
          <w:sz w:val="21"/>
        </w:rPr>
      </w:pPr>
      <w:r>
        <w:rPr>
          <w:sz w:val="21"/>
        </w:rPr>
        <w:t>LGBTQ-specific drop-in centers can help provide basic needs for LGBTQ youth who choose to remain unsheltered</w:t>
      </w:r>
      <w:r>
        <w:rPr>
          <w:spacing w:val="-12"/>
          <w:sz w:val="21"/>
        </w:rPr>
        <w:t xml:space="preserve"> </w:t>
      </w:r>
      <w:r>
        <w:rPr>
          <w:sz w:val="21"/>
        </w:rPr>
        <w:t>due</w:t>
      </w:r>
      <w:r>
        <w:rPr>
          <w:spacing w:val="-12"/>
          <w:sz w:val="21"/>
        </w:rPr>
        <w:t xml:space="preserve"> </w:t>
      </w:r>
      <w:r>
        <w:rPr>
          <w:sz w:val="21"/>
        </w:rPr>
        <w:t>to</w:t>
      </w:r>
      <w:r>
        <w:rPr>
          <w:spacing w:val="-12"/>
          <w:sz w:val="21"/>
        </w:rPr>
        <w:t xml:space="preserve"> </w:t>
      </w:r>
      <w:r>
        <w:rPr>
          <w:sz w:val="21"/>
        </w:rPr>
        <w:t>d</w:t>
      </w:r>
      <w:r>
        <w:rPr>
          <w:sz w:val="21"/>
        </w:rPr>
        <w:t>iscrimination,</w:t>
      </w:r>
      <w:r>
        <w:rPr>
          <w:spacing w:val="-12"/>
          <w:sz w:val="21"/>
        </w:rPr>
        <w:t xml:space="preserve"> </w:t>
      </w:r>
      <w:r>
        <w:rPr>
          <w:sz w:val="21"/>
        </w:rPr>
        <w:t>such</w:t>
      </w:r>
      <w:r>
        <w:rPr>
          <w:spacing w:val="-12"/>
          <w:sz w:val="21"/>
        </w:rPr>
        <w:t xml:space="preserve"> </w:t>
      </w:r>
      <w:r>
        <w:rPr>
          <w:sz w:val="21"/>
        </w:rPr>
        <w:t>as</w:t>
      </w:r>
      <w:r>
        <w:rPr>
          <w:spacing w:val="-12"/>
          <w:sz w:val="21"/>
        </w:rPr>
        <w:t xml:space="preserve"> </w:t>
      </w:r>
      <w:r>
        <w:rPr>
          <w:sz w:val="21"/>
        </w:rPr>
        <w:t>food,</w:t>
      </w:r>
      <w:r>
        <w:rPr>
          <w:spacing w:val="-12"/>
          <w:sz w:val="21"/>
        </w:rPr>
        <w:t xml:space="preserve"> </w:t>
      </w:r>
      <w:r>
        <w:rPr>
          <w:sz w:val="21"/>
        </w:rPr>
        <w:t>water,</w:t>
      </w:r>
      <w:r>
        <w:rPr>
          <w:spacing w:val="-11"/>
          <w:sz w:val="21"/>
        </w:rPr>
        <w:t xml:space="preserve"> </w:t>
      </w:r>
      <w:r>
        <w:rPr>
          <w:sz w:val="21"/>
        </w:rPr>
        <w:t>laundry,</w:t>
      </w:r>
      <w:r>
        <w:rPr>
          <w:spacing w:val="-12"/>
          <w:sz w:val="21"/>
        </w:rPr>
        <w:t xml:space="preserve"> </w:t>
      </w:r>
      <w:r>
        <w:rPr>
          <w:sz w:val="21"/>
        </w:rPr>
        <w:t>and</w:t>
      </w:r>
      <w:r>
        <w:rPr>
          <w:spacing w:val="-12"/>
          <w:sz w:val="21"/>
        </w:rPr>
        <w:t xml:space="preserve"> </w:t>
      </w:r>
      <w:r>
        <w:rPr>
          <w:sz w:val="21"/>
        </w:rPr>
        <w:t>showers.</w:t>
      </w:r>
      <w:hyperlink w:anchor="_bookmark653" w:history="1">
        <w:r>
          <w:rPr>
            <w:sz w:val="21"/>
            <w:vertAlign w:val="superscript"/>
          </w:rPr>
          <w:t>73</w:t>
        </w:r>
      </w:hyperlink>
      <w:r>
        <w:rPr>
          <w:spacing w:val="-12"/>
          <w:sz w:val="21"/>
        </w:rPr>
        <w:t xml:space="preserve"> </w:t>
      </w:r>
      <w:r>
        <w:rPr>
          <w:sz w:val="21"/>
        </w:rPr>
        <w:t>Research</w:t>
      </w:r>
      <w:r>
        <w:rPr>
          <w:spacing w:val="-12"/>
          <w:sz w:val="21"/>
        </w:rPr>
        <w:t xml:space="preserve"> </w:t>
      </w:r>
      <w:r>
        <w:rPr>
          <w:sz w:val="21"/>
        </w:rPr>
        <w:t>has</w:t>
      </w:r>
      <w:r>
        <w:rPr>
          <w:spacing w:val="-12"/>
          <w:sz w:val="21"/>
        </w:rPr>
        <w:t xml:space="preserve"> </w:t>
      </w:r>
      <w:r>
        <w:rPr>
          <w:sz w:val="21"/>
        </w:rPr>
        <w:t>shown</w:t>
      </w:r>
      <w:r>
        <w:rPr>
          <w:spacing w:val="-11"/>
          <w:sz w:val="21"/>
        </w:rPr>
        <w:t xml:space="preserve"> </w:t>
      </w:r>
      <w:r>
        <w:rPr>
          <w:sz w:val="21"/>
        </w:rPr>
        <w:t>that</w:t>
      </w:r>
      <w:r>
        <w:rPr>
          <w:spacing w:val="-11"/>
          <w:sz w:val="21"/>
        </w:rPr>
        <w:t xml:space="preserve"> </w:t>
      </w:r>
      <w:r>
        <w:rPr>
          <w:sz w:val="21"/>
        </w:rPr>
        <w:t>youth drop in centers are better at connecting youth to services than shelter systems.</w:t>
      </w:r>
      <w:hyperlink w:anchor="_bookmark654" w:history="1">
        <w:r>
          <w:rPr>
            <w:sz w:val="21"/>
            <w:vertAlign w:val="superscript"/>
          </w:rPr>
          <w:t>74</w:t>
        </w:r>
      </w:hyperlink>
      <w:r>
        <w:rPr>
          <w:spacing w:val="-12"/>
          <w:sz w:val="21"/>
        </w:rPr>
        <w:t xml:space="preserve"> </w:t>
      </w:r>
      <w:r>
        <w:rPr>
          <w:sz w:val="21"/>
        </w:rPr>
        <w:t>Drop-in center staf</w:t>
      </w:r>
      <w:r>
        <w:rPr>
          <w:sz w:val="21"/>
        </w:rPr>
        <w:t>f often connect</w:t>
      </w:r>
      <w:r>
        <w:rPr>
          <w:spacing w:val="-10"/>
          <w:sz w:val="21"/>
        </w:rPr>
        <w:t xml:space="preserve"> </w:t>
      </w:r>
      <w:r>
        <w:rPr>
          <w:sz w:val="21"/>
        </w:rPr>
        <w:t>youth</w:t>
      </w:r>
      <w:r>
        <w:rPr>
          <w:spacing w:val="-10"/>
          <w:sz w:val="21"/>
        </w:rPr>
        <w:t xml:space="preserve"> </w:t>
      </w:r>
      <w:r>
        <w:rPr>
          <w:sz w:val="21"/>
        </w:rPr>
        <w:t>to</w:t>
      </w:r>
      <w:r>
        <w:rPr>
          <w:spacing w:val="-10"/>
          <w:sz w:val="21"/>
        </w:rPr>
        <w:t xml:space="preserve"> </w:t>
      </w:r>
      <w:r>
        <w:rPr>
          <w:sz w:val="21"/>
        </w:rPr>
        <w:t>services</w:t>
      </w:r>
      <w:r>
        <w:rPr>
          <w:spacing w:val="-10"/>
          <w:sz w:val="21"/>
        </w:rPr>
        <w:t xml:space="preserve"> </w:t>
      </w:r>
      <w:r>
        <w:rPr>
          <w:sz w:val="21"/>
        </w:rPr>
        <w:t>as</w:t>
      </w:r>
      <w:r>
        <w:rPr>
          <w:spacing w:val="-10"/>
          <w:sz w:val="21"/>
        </w:rPr>
        <w:t xml:space="preserve"> </w:t>
      </w:r>
      <w:r>
        <w:rPr>
          <w:sz w:val="21"/>
        </w:rPr>
        <w:t>mental</w:t>
      </w:r>
      <w:r>
        <w:rPr>
          <w:spacing w:val="-10"/>
          <w:sz w:val="21"/>
        </w:rPr>
        <w:t xml:space="preserve"> </w:t>
      </w:r>
      <w:r>
        <w:rPr>
          <w:sz w:val="21"/>
        </w:rPr>
        <w:t>health</w:t>
      </w:r>
      <w:r>
        <w:rPr>
          <w:spacing w:val="-10"/>
          <w:sz w:val="21"/>
        </w:rPr>
        <w:t xml:space="preserve"> </w:t>
      </w:r>
      <w:r>
        <w:rPr>
          <w:sz w:val="21"/>
        </w:rPr>
        <w:t>treatment,</w:t>
      </w:r>
      <w:r>
        <w:rPr>
          <w:spacing w:val="-9"/>
          <w:sz w:val="21"/>
        </w:rPr>
        <w:t xml:space="preserve"> </w:t>
      </w:r>
      <w:r>
        <w:rPr>
          <w:sz w:val="21"/>
        </w:rPr>
        <w:t>substance</w:t>
      </w:r>
      <w:r>
        <w:rPr>
          <w:spacing w:val="-9"/>
          <w:sz w:val="21"/>
        </w:rPr>
        <w:t xml:space="preserve"> </w:t>
      </w:r>
      <w:r>
        <w:rPr>
          <w:sz w:val="21"/>
        </w:rPr>
        <w:t>use</w:t>
      </w:r>
      <w:r>
        <w:rPr>
          <w:spacing w:val="-9"/>
          <w:sz w:val="21"/>
        </w:rPr>
        <w:t xml:space="preserve"> </w:t>
      </w:r>
      <w:r>
        <w:rPr>
          <w:sz w:val="21"/>
        </w:rPr>
        <w:t>treatment,</w:t>
      </w:r>
      <w:r>
        <w:rPr>
          <w:spacing w:val="-9"/>
          <w:sz w:val="21"/>
        </w:rPr>
        <w:t xml:space="preserve"> </w:t>
      </w:r>
      <w:r>
        <w:rPr>
          <w:sz w:val="21"/>
        </w:rPr>
        <w:t>HIV/STI-related</w:t>
      </w:r>
      <w:r>
        <w:rPr>
          <w:spacing w:val="-10"/>
          <w:sz w:val="21"/>
        </w:rPr>
        <w:t xml:space="preserve"> </w:t>
      </w:r>
      <w:r>
        <w:rPr>
          <w:sz w:val="21"/>
        </w:rPr>
        <w:t>programs,</w:t>
      </w:r>
      <w:r>
        <w:rPr>
          <w:spacing w:val="-9"/>
          <w:sz w:val="21"/>
        </w:rPr>
        <w:t xml:space="preserve"> </w:t>
      </w:r>
      <w:r>
        <w:rPr>
          <w:sz w:val="21"/>
        </w:rPr>
        <w:t>job training, academic support, and school drop-out prevention.</w:t>
      </w:r>
      <w:hyperlink w:anchor="_bookmark655" w:history="1">
        <w:r>
          <w:rPr>
            <w:sz w:val="21"/>
            <w:vertAlign w:val="superscript"/>
          </w:rPr>
          <w:t>75</w:t>
        </w:r>
      </w:hyperlink>
      <w:r>
        <w:rPr>
          <w:spacing w:val="-12"/>
          <w:sz w:val="21"/>
        </w:rPr>
        <w:t xml:space="preserve"> </w:t>
      </w:r>
      <w:r>
        <w:rPr>
          <w:sz w:val="21"/>
        </w:rPr>
        <w:t>Researchers contend that drop-in centers can be utilized more to target LGBTQ youth, who are often invisible in research and policy development. Specifically, as noted above, the Commission recommends the Commonwealth continue to create drop-in centers tha</w:t>
      </w:r>
      <w:r>
        <w:rPr>
          <w:sz w:val="21"/>
        </w:rPr>
        <w:t>t include mentorship and peer support; extended clinic hours; programming that includes art, cultural,</w:t>
      </w:r>
      <w:r>
        <w:rPr>
          <w:spacing w:val="-12"/>
          <w:sz w:val="21"/>
        </w:rPr>
        <w:t xml:space="preserve"> </w:t>
      </w:r>
      <w:r>
        <w:rPr>
          <w:sz w:val="21"/>
        </w:rPr>
        <w:t>and</w:t>
      </w:r>
      <w:r>
        <w:rPr>
          <w:spacing w:val="-12"/>
          <w:sz w:val="21"/>
        </w:rPr>
        <w:t xml:space="preserve"> </w:t>
      </w:r>
      <w:r>
        <w:rPr>
          <w:sz w:val="21"/>
        </w:rPr>
        <w:t>recreational</w:t>
      </w:r>
      <w:r>
        <w:rPr>
          <w:spacing w:val="-12"/>
          <w:sz w:val="21"/>
        </w:rPr>
        <w:t xml:space="preserve"> </w:t>
      </w:r>
      <w:r>
        <w:rPr>
          <w:sz w:val="21"/>
        </w:rPr>
        <w:t>activities</w:t>
      </w:r>
      <w:r>
        <w:rPr>
          <w:spacing w:val="-12"/>
          <w:sz w:val="21"/>
        </w:rPr>
        <w:t xml:space="preserve"> </w:t>
      </w:r>
      <w:r>
        <w:rPr>
          <w:sz w:val="21"/>
        </w:rPr>
        <w:t>that</w:t>
      </w:r>
      <w:r>
        <w:rPr>
          <w:spacing w:val="-12"/>
          <w:sz w:val="21"/>
        </w:rPr>
        <w:t xml:space="preserve"> </w:t>
      </w:r>
      <w:r>
        <w:rPr>
          <w:sz w:val="21"/>
        </w:rPr>
        <w:t>are</w:t>
      </w:r>
      <w:r>
        <w:rPr>
          <w:spacing w:val="-11"/>
          <w:sz w:val="21"/>
        </w:rPr>
        <w:t xml:space="preserve"> </w:t>
      </w:r>
      <w:r>
        <w:rPr>
          <w:sz w:val="21"/>
        </w:rPr>
        <w:t>intersectional</w:t>
      </w:r>
      <w:r>
        <w:rPr>
          <w:spacing w:val="-12"/>
          <w:sz w:val="21"/>
        </w:rPr>
        <w:t xml:space="preserve"> </w:t>
      </w:r>
      <w:r>
        <w:rPr>
          <w:sz w:val="21"/>
        </w:rPr>
        <w:t>and</w:t>
      </w:r>
      <w:r>
        <w:rPr>
          <w:spacing w:val="-11"/>
          <w:sz w:val="21"/>
        </w:rPr>
        <w:t xml:space="preserve"> </w:t>
      </w:r>
      <w:r>
        <w:rPr>
          <w:sz w:val="21"/>
        </w:rPr>
        <w:t>anti-racist;</w:t>
      </w:r>
      <w:r>
        <w:rPr>
          <w:spacing w:val="-10"/>
          <w:sz w:val="21"/>
        </w:rPr>
        <w:t xml:space="preserve"> </w:t>
      </w:r>
      <w:r>
        <w:rPr>
          <w:sz w:val="21"/>
        </w:rPr>
        <w:t>and</w:t>
      </w:r>
      <w:r>
        <w:rPr>
          <w:spacing w:val="-12"/>
          <w:sz w:val="21"/>
        </w:rPr>
        <w:t xml:space="preserve"> </w:t>
      </w:r>
      <w:r>
        <w:rPr>
          <w:sz w:val="21"/>
        </w:rPr>
        <w:t>programming</w:t>
      </w:r>
      <w:r>
        <w:rPr>
          <w:spacing w:val="-11"/>
          <w:sz w:val="21"/>
        </w:rPr>
        <w:t xml:space="preserve"> </w:t>
      </w:r>
      <w:r>
        <w:rPr>
          <w:sz w:val="21"/>
        </w:rPr>
        <w:t>that</w:t>
      </w:r>
      <w:r>
        <w:rPr>
          <w:spacing w:val="-12"/>
          <w:sz w:val="21"/>
        </w:rPr>
        <w:t xml:space="preserve"> </w:t>
      </w:r>
      <w:r>
        <w:rPr>
          <w:sz w:val="21"/>
        </w:rPr>
        <w:t>targets</w:t>
      </w:r>
      <w:r>
        <w:rPr>
          <w:spacing w:val="-12"/>
          <w:sz w:val="21"/>
        </w:rPr>
        <w:t xml:space="preserve"> </w:t>
      </w:r>
      <w:r>
        <w:rPr>
          <w:sz w:val="21"/>
        </w:rPr>
        <w:t>LGBTQ youth who have recently immigrated.</w:t>
      </w:r>
    </w:p>
    <w:p w:rsidR="00200FDA" w:rsidRDefault="00200FDA">
      <w:pPr>
        <w:pStyle w:val="BodyText"/>
        <w:spacing w:before="10"/>
        <w:rPr>
          <w:sz w:val="19"/>
        </w:rPr>
      </w:pPr>
    </w:p>
    <w:p w:rsidR="00200FDA" w:rsidRDefault="00F76C4C">
      <w:pPr>
        <w:spacing w:line="276" w:lineRule="auto"/>
        <w:ind w:left="139" w:right="134"/>
        <w:jc w:val="both"/>
        <w:rPr>
          <w:sz w:val="21"/>
        </w:rPr>
      </w:pPr>
      <w:r>
        <w:rPr>
          <w:sz w:val="21"/>
        </w:rPr>
        <w:t>The</w:t>
      </w:r>
      <w:r>
        <w:rPr>
          <w:spacing w:val="-9"/>
          <w:sz w:val="21"/>
        </w:rPr>
        <w:t xml:space="preserve"> </w:t>
      </w:r>
      <w:r>
        <w:rPr>
          <w:sz w:val="21"/>
        </w:rPr>
        <w:t>Commissi</w:t>
      </w:r>
      <w:r>
        <w:rPr>
          <w:sz w:val="21"/>
        </w:rPr>
        <w:t>on</w:t>
      </w:r>
      <w:r>
        <w:rPr>
          <w:spacing w:val="-7"/>
          <w:sz w:val="21"/>
        </w:rPr>
        <w:t xml:space="preserve"> </w:t>
      </w:r>
      <w:r>
        <w:rPr>
          <w:sz w:val="21"/>
        </w:rPr>
        <w:t>applauds</w:t>
      </w:r>
      <w:r>
        <w:rPr>
          <w:spacing w:val="-8"/>
          <w:sz w:val="21"/>
        </w:rPr>
        <w:t xml:space="preserve"> </w:t>
      </w:r>
      <w:r>
        <w:rPr>
          <w:sz w:val="21"/>
        </w:rPr>
        <w:t>the</w:t>
      </w:r>
      <w:r>
        <w:rPr>
          <w:spacing w:val="-6"/>
          <w:sz w:val="21"/>
        </w:rPr>
        <w:t xml:space="preserve"> </w:t>
      </w:r>
      <w:r>
        <w:rPr>
          <w:sz w:val="21"/>
        </w:rPr>
        <w:t>progress</w:t>
      </w:r>
      <w:r>
        <w:rPr>
          <w:spacing w:val="-8"/>
          <w:sz w:val="21"/>
        </w:rPr>
        <w:t xml:space="preserve"> </w:t>
      </w:r>
      <w:r>
        <w:rPr>
          <w:sz w:val="21"/>
        </w:rPr>
        <w:t>made</w:t>
      </w:r>
      <w:r>
        <w:rPr>
          <w:spacing w:val="-9"/>
          <w:sz w:val="21"/>
        </w:rPr>
        <w:t xml:space="preserve"> </w:t>
      </w:r>
      <w:r>
        <w:rPr>
          <w:sz w:val="21"/>
        </w:rPr>
        <w:t>within</w:t>
      </w:r>
      <w:r>
        <w:rPr>
          <w:spacing w:val="-7"/>
          <w:sz w:val="21"/>
        </w:rPr>
        <w:t xml:space="preserve"> </w:t>
      </w:r>
      <w:r>
        <w:rPr>
          <w:sz w:val="21"/>
        </w:rPr>
        <w:t>the</w:t>
      </w:r>
      <w:r>
        <w:rPr>
          <w:spacing w:val="-9"/>
          <w:sz w:val="21"/>
        </w:rPr>
        <w:t xml:space="preserve"> </w:t>
      </w:r>
      <w:r>
        <w:rPr>
          <w:sz w:val="21"/>
        </w:rPr>
        <w:t>Commonwealth</w:t>
      </w:r>
      <w:r>
        <w:rPr>
          <w:spacing w:val="-7"/>
          <w:sz w:val="21"/>
        </w:rPr>
        <w:t xml:space="preserve"> </w:t>
      </w:r>
      <w:r>
        <w:rPr>
          <w:sz w:val="21"/>
        </w:rPr>
        <w:t>and</w:t>
      </w:r>
      <w:r>
        <w:rPr>
          <w:spacing w:val="-10"/>
          <w:sz w:val="21"/>
        </w:rPr>
        <w:t xml:space="preserve"> </w:t>
      </w:r>
      <w:r>
        <w:rPr>
          <w:sz w:val="21"/>
        </w:rPr>
        <w:t>the</w:t>
      </w:r>
      <w:r>
        <w:rPr>
          <w:spacing w:val="-9"/>
          <w:sz w:val="21"/>
        </w:rPr>
        <w:t xml:space="preserve"> </w:t>
      </w:r>
      <w:r>
        <w:rPr>
          <w:sz w:val="21"/>
        </w:rPr>
        <w:t>United</w:t>
      </w:r>
      <w:r>
        <w:rPr>
          <w:spacing w:val="-7"/>
          <w:sz w:val="21"/>
        </w:rPr>
        <w:t xml:space="preserve"> </w:t>
      </w:r>
      <w:r>
        <w:rPr>
          <w:sz w:val="21"/>
        </w:rPr>
        <w:t>States</w:t>
      </w:r>
      <w:r>
        <w:rPr>
          <w:spacing w:val="-8"/>
          <w:sz w:val="21"/>
        </w:rPr>
        <w:t xml:space="preserve"> </w:t>
      </w:r>
      <w:r>
        <w:rPr>
          <w:sz w:val="21"/>
        </w:rPr>
        <w:t>during</w:t>
      </w:r>
      <w:r>
        <w:rPr>
          <w:spacing w:val="-8"/>
          <w:sz w:val="21"/>
        </w:rPr>
        <w:t xml:space="preserve"> </w:t>
      </w:r>
      <w:r>
        <w:rPr>
          <w:sz w:val="21"/>
        </w:rPr>
        <w:t>the</w:t>
      </w:r>
      <w:r>
        <w:rPr>
          <w:spacing w:val="-9"/>
          <w:sz w:val="21"/>
        </w:rPr>
        <w:t xml:space="preserve"> </w:t>
      </w:r>
      <w:r>
        <w:rPr>
          <w:sz w:val="21"/>
        </w:rPr>
        <w:t>past year and looks forward to ongoing collaboration with Governor Healey, the Massachusetts legislature, statewide</w:t>
      </w:r>
      <w:r>
        <w:rPr>
          <w:spacing w:val="-12"/>
          <w:sz w:val="21"/>
        </w:rPr>
        <w:t xml:space="preserve"> </w:t>
      </w:r>
      <w:r>
        <w:rPr>
          <w:sz w:val="21"/>
        </w:rPr>
        <w:t>agencies,</w:t>
      </w:r>
      <w:r>
        <w:rPr>
          <w:spacing w:val="-12"/>
          <w:sz w:val="21"/>
        </w:rPr>
        <w:t xml:space="preserve"> </w:t>
      </w:r>
      <w:r>
        <w:rPr>
          <w:sz w:val="21"/>
        </w:rPr>
        <w:t>and</w:t>
      </w:r>
      <w:r>
        <w:rPr>
          <w:spacing w:val="-12"/>
          <w:sz w:val="21"/>
        </w:rPr>
        <w:t xml:space="preserve"> </w:t>
      </w:r>
      <w:r>
        <w:rPr>
          <w:sz w:val="21"/>
        </w:rPr>
        <w:t>local</w:t>
      </w:r>
      <w:r>
        <w:rPr>
          <w:spacing w:val="-12"/>
          <w:sz w:val="21"/>
        </w:rPr>
        <w:t xml:space="preserve"> </w:t>
      </w:r>
      <w:r>
        <w:rPr>
          <w:sz w:val="21"/>
        </w:rPr>
        <w:t>organizations/stakeholders</w:t>
      </w:r>
      <w:r>
        <w:rPr>
          <w:spacing w:val="-12"/>
          <w:sz w:val="21"/>
        </w:rPr>
        <w:t xml:space="preserve"> </w:t>
      </w:r>
      <w:r>
        <w:rPr>
          <w:sz w:val="21"/>
        </w:rPr>
        <w:t>dedicated</w:t>
      </w:r>
      <w:r>
        <w:rPr>
          <w:spacing w:val="-12"/>
          <w:sz w:val="21"/>
        </w:rPr>
        <w:t xml:space="preserve"> </w:t>
      </w:r>
      <w:r>
        <w:rPr>
          <w:sz w:val="21"/>
        </w:rPr>
        <w:t>to</w:t>
      </w:r>
      <w:r>
        <w:rPr>
          <w:spacing w:val="-12"/>
          <w:sz w:val="21"/>
        </w:rPr>
        <w:t xml:space="preserve"> </w:t>
      </w:r>
      <w:r>
        <w:rPr>
          <w:sz w:val="21"/>
        </w:rPr>
        <w:t>eradicating</w:t>
      </w:r>
      <w:r>
        <w:rPr>
          <w:spacing w:val="-11"/>
          <w:sz w:val="21"/>
        </w:rPr>
        <w:t xml:space="preserve"> </w:t>
      </w:r>
      <w:r>
        <w:rPr>
          <w:sz w:val="21"/>
        </w:rPr>
        <w:t>youth</w:t>
      </w:r>
      <w:r>
        <w:rPr>
          <w:spacing w:val="-12"/>
          <w:sz w:val="21"/>
        </w:rPr>
        <w:t xml:space="preserve"> </w:t>
      </w:r>
      <w:r>
        <w:rPr>
          <w:sz w:val="21"/>
        </w:rPr>
        <w:t>homelessness.</w:t>
      </w:r>
      <w:r>
        <w:rPr>
          <w:spacing w:val="-4"/>
          <w:sz w:val="21"/>
        </w:rPr>
        <w:t xml:space="preserve"> </w:t>
      </w:r>
      <w:r>
        <w:rPr>
          <w:sz w:val="21"/>
        </w:rPr>
        <w:t>A</w:t>
      </w:r>
      <w:r>
        <w:rPr>
          <w:spacing w:val="-11"/>
          <w:sz w:val="21"/>
        </w:rPr>
        <w:t xml:space="preserve"> </w:t>
      </w:r>
      <w:r>
        <w:rPr>
          <w:sz w:val="21"/>
        </w:rPr>
        <w:t>wide array of programs and resources have been made available in recent years to end youth homelessness, and the Commission appreciates the dedication of legislators, agencies, and providers to ensuring that t</w:t>
      </w:r>
      <w:r>
        <w:rPr>
          <w:sz w:val="21"/>
        </w:rPr>
        <w:t>he needs of LGBTQ youth experiencing homelessness are being met. However, broader conversations must occur on how the Commonwealth can continue to address risk factors of homelessness, discussed in this section and others, such as familial rejection, finan</w:t>
      </w:r>
      <w:r>
        <w:rPr>
          <w:sz w:val="21"/>
        </w:rPr>
        <w:t>cial instability, substance abuse, and housing discrimination.</w:t>
      </w:r>
    </w:p>
    <w:p w:rsidR="00200FDA" w:rsidRDefault="00200FDA">
      <w:pPr>
        <w:pStyle w:val="BodyText"/>
        <w:rPr>
          <w:sz w:val="20"/>
        </w:rPr>
      </w:pPr>
    </w:p>
    <w:p w:rsidR="00200FDA" w:rsidRDefault="00F76C4C">
      <w:pPr>
        <w:pStyle w:val="Heading7"/>
        <w:spacing w:before="155"/>
        <w:ind w:left="140"/>
        <w:jc w:val="both"/>
      </w:pPr>
      <w:r>
        <w:pict>
          <v:rect id="docshape388" o:spid="_x0000_s1211" style="position:absolute;left:0;text-align:left;margin-left:70.55pt;margin-top:25.9pt;width:470.9pt;height:.5pt;z-index:-15654912;mso-wrap-distance-left:0;mso-wrap-distance-right:0;mso-position-horizontal-relative:page" fillcolor="#0f6ec5" stroked="f">
            <w10:wrap type="topAndBottom" anchorx="page"/>
          </v:rect>
        </w:pict>
      </w:r>
      <w:r>
        <w:rPr>
          <w:color w:val="0A5293"/>
        </w:rPr>
        <w:t>Acknowledgments</w:t>
      </w:r>
      <w:r>
        <w:rPr>
          <w:color w:val="0A5293"/>
          <w:spacing w:val="-9"/>
        </w:rPr>
        <w:t xml:space="preserve"> </w:t>
      </w:r>
      <w:r>
        <w:rPr>
          <w:color w:val="0A5293"/>
        </w:rPr>
        <w:t>&amp;</w:t>
      </w:r>
      <w:r>
        <w:rPr>
          <w:color w:val="0A5293"/>
          <w:spacing w:val="-8"/>
        </w:rPr>
        <w:t xml:space="preserve"> </w:t>
      </w:r>
      <w:r>
        <w:rPr>
          <w:color w:val="0A5293"/>
          <w:spacing w:val="-2"/>
        </w:rPr>
        <w:t>Citations</w:t>
      </w:r>
    </w:p>
    <w:p w:rsidR="00200FDA" w:rsidRDefault="00200FDA">
      <w:pPr>
        <w:pStyle w:val="BodyText"/>
        <w:spacing w:before="10"/>
        <w:rPr>
          <w:sz w:val="26"/>
        </w:rPr>
      </w:pPr>
    </w:p>
    <w:p w:rsidR="00200FDA" w:rsidRDefault="00F76C4C">
      <w:pPr>
        <w:spacing w:before="102"/>
        <w:ind w:left="140"/>
        <w:rPr>
          <w:rFonts w:ascii="Cambria"/>
          <w:sz w:val="21"/>
        </w:rPr>
      </w:pPr>
      <w:r>
        <w:rPr>
          <w:rFonts w:ascii="Cambria"/>
          <w:i/>
          <w:sz w:val="21"/>
        </w:rPr>
        <w:t>Acknowledgments:</w:t>
      </w:r>
      <w:r>
        <w:rPr>
          <w:rFonts w:ascii="Cambria"/>
          <w:i/>
          <w:spacing w:val="-9"/>
          <w:sz w:val="21"/>
        </w:rPr>
        <w:t xml:space="preserve"> </w:t>
      </w:r>
      <w:r>
        <w:rPr>
          <w:rFonts w:ascii="Cambria"/>
          <w:i/>
          <w:sz w:val="21"/>
        </w:rPr>
        <w:t>Rayna</w:t>
      </w:r>
      <w:r>
        <w:rPr>
          <w:rFonts w:ascii="Cambria"/>
          <w:i/>
          <w:spacing w:val="-10"/>
          <w:sz w:val="21"/>
        </w:rPr>
        <w:t xml:space="preserve"> </w:t>
      </w:r>
      <w:r>
        <w:rPr>
          <w:rFonts w:ascii="Cambria"/>
          <w:i/>
          <w:sz w:val="21"/>
        </w:rPr>
        <w:t>Hill,</w:t>
      </w:r>
      <w:r>
        <w:rPr>
          <w:rFonts w:ascii="Cambria"/>
          <w:i/>
          <w:spacing w:val="-5"/>
          <w:sz w:val="21"/>
        </w:rPr>
        <w:t xml:space="preserve"> </w:t>
      </w:r>
      <w:r>
        <w:rPr>
          <w:rFonts w:ascii="Cambria"/>
          <w:i/>
          <w:sz w:val="21"/>
        </w:rPr>
        <w:t>Legislative</w:t>
      </w:r>
      <w:r>
        <w:rPr>
          <w:rFonts w:ascii="Cambria"/>
          <w:i/>
          <w:spacing w:val="-8"/>
          <w:sz w:val="21"/>
        </w:rPr>
        <w:t xml:space="preserve"> </w:t>
      </w:r>
      <w:r>
        <w:rPr>
          <w:rFonts w:ascii="Cambria"/>
          <w:i/>
          <w:sz w:val="21"/>
        </w:rPr>
        <w:t>&amp;</w:t>
      </w:r>
      <w:r>
        <w:rPr>
          <w:rFonts w:ascii="Cambria"/>
          <w:i/>
          <w:spacing w:val="-7"/>
          <w:sz w:val="21"/>
        </w:rPr>
        <w:t xml:space="preserve"> </w:t>
      </w:r>
      <w:r>
        <w:rPr>
          <w:rFonts w:ascii="Cambria"/>
          <w:i/>
          <w:sz w:val="21"/>
        </w:rPr>
        <w:t>Policy</w:t>
      </w:r>
      <w:r>
        <w:rPr>
          <w:rFonts w:ascii="Cambria"/>
          <w:i/>
          <w:spacing w:val="-7"/>
          <w:sz w:val="21"/>
        </w:rPr>
        <w:t xml:space="preserve"> </w:t>
      </w:r>
      <w:r>
        <w:rPr>
          <w:rFonts w:ascii="Cambria"/>
          <w:i/>
          <w:sz w:val="21"/>
        </w:rPr>
        <w:t>Manager,</w:t>
      </w:r>
      <w:r>
        <w:rPr>
          <w:rFonts w:ascii="Cambria"/>
          <w:i/>
          <w:spacing w:val="-6"/>
          <w:sz w:val="21"/>
        </w:rPr>
        <w:t xml:space="preserve"> </w:t>
      </w:r>
      <w:r>
        <w:rPr>
          <w:rFonts w:ascii="Cambria"/>
          <w:i/>
          <w:sz w:val="21"/>
        </w:rPr>
        <w:t>lead</w:t>
      </w:r>
      <w:r>
        <w:rPr>
          <w:rFonts w:ascii="Cambria"/>
          <w:i/>
          <w:spacing w:val="-7"/>
          <w:sz w:val="21"/>
        </w:rPr>
        <w:t xml:space="preserve"> </w:t>
      </w:r>
      <w:r>
        <w:rPr>
          <w:rFonts w:ascii="Cambria"/>
          <w:i/>
          <w:sz w:val="21"/>
        </w:rPr>
        <w:t>author</w:t>
      </w:r>
      <w:r>
        <w:rPr>
          <w:rFonts w:ascii="Cambria"/>
          <w:i/>
          <w:spacing w:val="-7"/>
          <w:sz w:val="21"/>
        </w:rPr>
        <w:t xml:space="preserve"> </w:t>
      </w:r>
      <w:r>
        <w:rPr>
          <w:rFonts w:ascii="Cambria"/>
          <w:i/>
          <w:sz w:val="21"/>
        </w:rPr>
        <w:t>and</w:t>
      </w:r>
      <w:r>
        <w:rPr>
          <w:rFonts w:ascii="Cambria"/>
          <w:i/>
          <w:spacing w:val="-6"/>
          <w:sz w:val="21"/>
        </w:rPr>
        <w:t xml:space="preserve"> </w:t>
      </w:r>
      <w:r>
        <w:rPr>
          <w:rFonts w:ascii="Cambria"/>
          <w:i/>
          <w:spacing w:val="-2"/>
          <w:sz w:val="21"/>
        </w:rPr>
        <w:t>researcher</w:t>
      </w:r>
      <w:r>
        <w:rPr>
          <w:rFonts w:ascii="Cambria"/>
          <w:spacing w:val="-2"/>
          <w:sz w:val="21"/>
        </w:rPr>
        <w:t>.</w:t>
      </w:r>
    </w:p>
    <w:p w:rsidR="00200FDA" w:rsidRDefault="00F76C4C">
      <w:pPr>
        <w:spacing w:before="145"/>
        <w:ind w:left="139"/>
        <w:rPr>
          <w:rFonts w:ascii="Cambria"/>
          <w:sz w:val="21"/>
        </w:rPr>
      </w:pPr>
      <w:r>
        <w:rPr>
          <w:rFonts w:ascii="Cambria"/>
          <w:i/>
          <w:sz w:val="21"/>
        </w:rPr>
        <w:t>The</w:t>
      </w:r>
      <w:r>
        <w:rPr>
          <w:rFonts w:ascii="Cambria"/>
          <w:i/>
          <w:spacing w:val="-10"/>
          <w:sz w:val="21"/>
        </w:rPr>
        <w:t xml:space="preserve"> </w:t>
      </w:r>
      <w:r>
        <w:rPr>
          <w:rFonts w:ascii="Cambria"/>
          <w:i/>
          <w:sz w:val="21"/>
        </w:rPr>
        <w:t>Commission</w:t>
      </w:r>
      <w:r>
        <w:rPr>
          <w:rFonts w:ascii="Cambria"/>
          <w:i/>
          <w:spacing w:val="-6"/>
          <w:sz w:val="21"/>
        </w:rPr>
        <w:t xml:space="preserve"> </w:t>
      </w:r>
      <w:r>
        <w:rPr>
          <w:rFonts w:ascii="Cambria"/>
          <w:i/>
          <w:sz w:val="21"/>
        </w:rPr>
        <w:t>greatly</w:t>
      </w:r>
      <w:r>
        <w:rPr>
          <w:rFonts w:ascii="Cambria"/>
          <w:i/>
          <w:spacing w:val="-7"/>
          <w:sz w:val="21"/>
        </w:rPr>
        <w:t xml:space="preserve"> </w:t>
      </w:r>
      <w:r>
        <w:rPr>
          <w:rFonts w:ascii="Cambria"/>
          <w:i/>
          <w:sz w:val="21"/>
        </w:rPr>
        <w:t>appreciates</w:t>
      </w:r>
      <w:r>
        <w:rPr>
          <w:rFonts w:ascii="Cambria"/>
          <w:i/>
          <w:spacing w:val="-6"/>
          <w:sz w:val="21"/>
        </w:rPr>
        <w:t xml:space="preserve"> </w:t>
      </w:r>
      <w:r>
        <w:rPr>
          <w:rFonts w:ascii="Cambria"/>
          <w:i/>
          <w:sz w:val="21"/>
        </w:rPr>
        <w:t>the</w:t>
      </w:r>
      <w:r>
        <w:rPr>
          <w:rFonts w:ascii="Cambria"/>
          <w:i/>
          <w:spacing w:val="-7"/>
          <w:sz w:val="21"/>
        </w:rPr>
        <w:t xml:space="preserve"> </w:t>
      </w:r>
      <w:r>
        <w:rPr>
          <w:rFonts w:ascii="Cambria"/>
          <w:i/>
          <w:sz w:val="21"/>
        </w:rPr>
        <w:t>input</w:t>
      </w:r>
      <w:r>
        <w:rPr>
          <w:rFonts w:ascii="Cambria"/>
          <w:i/>
          <w:spacing w:val="-9"/>
          <w:sz w:val="21"/>
        </w:rPr>
        <w:t xml:space="preserve"> </w:t>
      </w:r>
      <w:r>
        <w:rPr>
          <w:rFonts w:ascii="Cambria"/>
          <w:i/>
          <w:sz w:val="21"/>
        </w:rPr>
        <w:t>of</w:t>
      </w:r>
      <w:r>
        <w:rPr>
          <w:rFonts w:ascii="Cambria"/>
          <w:i/>
          <w:spacing w:val="-6"/>
          <w:sz w:val="21"/>
        </w:rPr>
        <w:t xml:space="preserve"> </w:t>
      </w:r>
      <w:r>
        <w:rPr>
          <w:rFonts w:ascii="Cambria"/>
          <w:i/>
          <w:sz w:val="21"/>
        </w:rPr>
        <w:t>the</w:t>
      </w:r>
      <w:r>
        <w:rPr>
          <w:rFonts w:ascii="Cambria"/>
          <w:i/>
          <w:spacing w:val="-7"/>
          <w:sz w:val="21"/>
        </w:rPr>
        <w:t xml:space="preserve"> </w:t>
      </w:r>
      <w:r>
        <w:rPr>
          <w:rFonts w:ascii="Cambria"/>
          <w:i/>
          <w:sz w:val="21"/>
        </w:rPr>
        <w:t>Unaccompanied</w:t>
      </w:r>
      <w:r>
        <w:rPr>
          <w:rFonts w:ascii="Cambria"/>
          <w:i/>
          <w:spacing w:val="-6"/>
          <w:sz w:val="21"/>
        </w:rPr>
        <w:t xml:space="preserve"> </w:t>
      </w:r>
      <w:r>
        <w:rPr>
          <w:rFonts w:ascii="Cambria"/>
          <w:i/>
          <w:sz w:val="21"/>
        </w:rPr>
        <w:t>Homeless</w:t>
      </w:r>
      <w:r>
        <w:rPr>
          <w:rFonts w:ascii="Cambria"/>
          <w:i/>
          <w:spacing w:val="-6"/>
          <w:sz w:val="21"/>
        </w:rPr>
        <w:t xml:space="preserve"> </w:t>
      </w:r>
      <w:r>
        <w:rPr>
          <w:rFonts w:ascii="Cambria"/>
          <w:i/>
          <w:sz w:val="21"/>
        </w:rPr>
        <w:t>Youth</w:t>
      </w:r>
      <w:r>
        <w:rPr>
          <w:rFonts w:ascii="Cambria"/>
          <w:i/>
          <w:spacing w:val="-5"/>
          <w:sz w:val="21"/>
        </w:rPr>
        <w:t xml:space="preserve"> </w:t>
      </w:r>
      <w:r>
        <w:rPr>
          <w:rFonts w:ascii="Cambria"/>
          <w:i/>
          <w:spacing w:val="-2"/>
          <w:sz w:val="21"/>
        </w:rPr>
        <w:t>Commission</w:t>
      </w:r>
      <w:r>
        <w:rPr>
          <w:rFonts w:ascii="Cambria"/>
          <w:spacing w:val="-2"/>
          <w:sz w:val="21"/>
        </w:rPr>
        <w:t>.</w:t>
      </w:r>
    </w:p>
    <w:p w:rsidR="00200FDA" w:rsidRDefault="00200FDA">
      <w:pPr>
        <w:pStyle w:val="BodyText"/>
        <w:spacing w:before="4"/>
        <w:rPr>
          <w:rFonts w:ascii="Cambria"/>
          <w:sz w:val="33"/>
        </w:rPr>
      </w:pPr>
    </w:p>
    <w:p w:rsidR="00200FDA" w:rsidRDefault="00F76C4C">
      <w:pPr>
        <w:ind w:left="140" w:right="230" w:hanging="1"/>
        <w:rPr>
          <w:sz w:val="18"/>
        </w:rPr>
      </w:pPr>
      <w:bookmarkStart w:id="750" w:name="_bookmark581"/>
      <w:bookmarkEnd w:id="750"/>
      <w:r>
        <w:rPr>
          <w:position w:val="5"/>
          <w:sz w:val="12"/>
        </w:rPr>
        <w:t>1</w:t>
      </w:r>
      <w:r>
        <w:rPr>
          <w:spacing w:val="10"/>
          <w:position w:val="5"/>
          <w:sz w:val="12"/>
        </w:rPr>
        <w:t xml:space="preserve"> </w:t>
      </w:r>
      <w:r>
        <w:rPr>
          <w:sz w:val="18"/>
        </w:rPr>
        <w:t>The</w:t>
      </w:r>
      <w:r>
        <w:rPr>
          <w:spacing w:val="-3"/>
          <w:sz w:val="18"/>
        </w:rPr>
        <w:t xml:space="preserve"> </w:t>
      </w:r>
      <w:r>
        <w:rPr>
          <w:sz w:val="18"/>
        </w:rPr>
        <w:t>Executive</w:t>
      </w:r>
      <w:r>
        <w:rPr>
          <w:spacing w:val="-3"/>
          <w:sz w:val="18"/>
        </w:rPr>
        <w:t xml:space="preserve"> </w:t>
      </w:r>
      <w:r>
        <w:rPr>
          <w:sz w:val="18"/>
        </w:rPr>
        <w:t>Office</w:t>
      </w:r>
      <w:r>
        <w:rPr>
          <w:spacing w:val="-3"/>
          <w:sz w:val="18"/>
        </w:rPr>
        <w:t xml:space="preserve"> </w:t>
      </w:r>
      <w:r>
        <w:rPr>
          <w:sz w:val="18"/>
        </w:rPr>
        <w:t>of</w:t>
      </w:r>
      <w:r>
        <w:rPr>
          <w:spacing w:val="-2"/>
          <w:sz w:val="18"/>
        </w:rPr>
        <w:t xml:space="preserve"> </w:t>
      </w:r>
      <w:r>
        <w:rPr>
          <w:sz w:val="18"/>
        </w:rPr>
        <w:t>Health</w:t>
      </w:r>
      <w:r>
        <w:rPr>
          <w:spacing w:val="-3"/>
          <w:sz w:val="18"/>
        </w:rPr>
        <w:t xml:space="preserve"> </w:t>
      </w:r>
      <w:r>
        <w:rPr>
          <w:sz w:val="18"/>
        </w:rPr>
        <w:t>and</w:t>
      </w:r>
      <w:r>
        <w:rPr>
          <w:spacing w:val="-3"/>
          <w:sz w:val="18"/>
        </w:rPr>
        <w:t xml:space="preserve"> </w:t>
      </w:r>
      <w:r>
        <w:rPr>
          <w:sz w:val="18"/>
        </w:rPr>
        <w:t>Human</w:t>
      </w:r>
      <w:r>
        <w:rPr>
          <w:spacing w:val="-1"/>
          <w:sz w:val="18"/>
        </w:rPr>
        <w:t xml:space="preserve"> </w:t>
      </w:r>
      <w:r>
        <w:rPr>
          <w:sz w:val="18"/>
        </w:rPr>
        <w:t>Services,</w:t>
      </w:r>
      <w:r>
        <w:rPr>
          <w:spacing w:val="-2"/>
          <w:sz w:val="18"/>
        </w:rPr>
        <w:t xml:space="preserve"> </w:t>
      </w:r>
      <w:r>
        <w:rPr>
          <w:sz w:val="18"/>
        </w:rPr>
        <w:t>Council</w:t>
      </w:r>
      <w:r>
        <w:rPr>
          <w:spacing w:val="-3"/>
          <w:sz w:val="18"/>
        </w:rPr>
        <w:t xml:space="preserve"> </w:t>
      </w:r>
      <w:r>
        <w:rPr>
          <w:sz w:val="18"/>
        </w:rPr>
        <w:t>on</w:t>
      </w:r>
      <w:r>
        <w:rPr>
          <w:spacing w:val="-3"/>
          <w:sz w:val="18"/>
        </w:rPr>
        <w:t xml:space="preserve"> </w:t>
      </w:r>
      <w:r>
        <w:rPr>
          <w:sz w:val="18"/>
        </w:rPr>
        <w:t>Housing</w:t>
      </w:r>
      <w:r>
        <w:rPr>
          <w:spacing w:val="-3"/>
          <w:sz w:val="18"/>
        </w:rPr>
        <w:t xml:space="preserve"> </w:t>
      </w:r>
      <w:r>
        <w:rPr>
          <w:sz w:val="18"/>
        </w:rPr>
        <w:t>and</w:t>
      </w:r>
      <w:r>
        <w:rPr>
          <w:spacing w:val="-3"/>
          <w:sz w:val="18"/>
        </w:rPr>
        <w:t xml:space="preserve"> </w:t>
      </w:r>
      <w:r>
        <w:rPr>
          <w:sz w:val="18"/>
        </w:rPr>
        <w:t>Homelessness,</w:t>
      </w:r>
      <w:r>
        <w:rPr>
          <w:spacing w:val="-2"/>
          <w:sz w:val="18"/>
        </w:rPr>
        <w:t xml:space="preserve"> </w:t>
      </w:r>
      <w:r>
        <w:rPr>
          <w:sz w:val="18"/>
        </w:rPr>
        <w:t>and</w:t>
      </w:r>
      <w:r>
        <w:rPr>
          <w:spacing w:val="-3"/>
          <w:sz w:val="18"/>
        </w:rPr>
        <w:t xml:space="preserve"> </w:t>
      </w:r>
      <w:r>
        <w:rPr>
          <w:sz w:val="18"/>
        </w:rPr>
        <w:t>Office</w:t>
      </w:r>
      <w:r>
        <w:rPr>
          <w:spacing w:val="-3"/>
          <w:sz w:val="18"/>
        </w:rPr>
        <w:t xml:space="preserve"> </w:t>
      </w:r>
      <w:r>
        <w:rPr>
          <w:sz w:val="18"/>
        </w:rPr>
        <w:t>of</w:t>
      </w:r>
      <w:r>
        <w:rPr>
          <w:spacing w:val="-2"/>
          <w:sz w:val="18"/>
        </w:rPr>
        <w:t xml:space="preserve"> </w:t>
      </w:r>
      <w:r>
        <w:rPr>
          <w:sz w:val="18"/>
        </w:rPr>
        <w:t>Children,</w:t>
      </w:r>
      <w:r>
        <w:rPr>
          <w:spacing w:val="-2"/>
          <w:sz w:val="18"/>
        </w:rPr>
        <w:t xml:space="preserve"> </w:t>
      </w:r>
      <w:r>
        <w:rPr>
          <w:sz w:val="18"/>
        </w:rPr>
        <w:t>Youth,</w:t>
      </w:r>
      <w:r>
        <w:rPr>
          <w:spacing w:val="-2"/>
          <w:sz w:val="18"/>
        </w:rPr>
        <w:t xml:space="preserve"> </w:t>
      </w:r>
      <w:r>
        <w:rPr>
          <w:sz w:val="18"/>
        </w:rPr>
        <w:t xml:space="preserve">and Families. (2019). Furthering the Work of the MA State Plan to End Youth Homelessness. Retrieved from: </w:t>
      </w:r>
      <w:bookmarkStart w:id="751" w:name="_bookmark582"/>
      <w:bookmarkEnd w:id="751"/>
      <w:r>
        <w:rPr>
          <w:spacing w:val="-2"/>
          <w:sz w:val="18"/>
        </w:rPr>
        <w:t>https://</w:t>
      </w:r>
      <w:hyperlink r:id="rId588">
        <w:r>
          <w:rPr>
            <w:spacing w:val="-2"/>
            <w:sz w:val="18"/>
          </w:rPr>
          <w:t>www.mass.gov/doc/furthering-the-work-2019/download</w:t>
        </w:r>
      </w:hyperlink>
    </w:p>
    <w:p w:rsidR="00200FDA" w:rsidRDefault="00F76C4C">
      <w:pPr>
        <w:spacing w:before="1"/>
        <w:ind w:left="140" w:right="1602" w:hanging="1"/>
        <w:rPr>
          <w:sz w:val="18"/>
        </w:rPr>
      </w:pPr>
      <w:r>
        <w:rPr>
          <w:position w:val="5"/>
          <w:sz w:val="12"/>
        </w:rPr>
        <w:t>2</w:t>
      </w:r>
      <w:r>
        <w:rPr>
          <w:spacing w:val="10"/>
          <w:position w:val="5"/>
          <w:sz w:val="12"/>
        </w:rPr>
        <w:t xml:space="preserve"> </w:t>
      </w:r>
      <w:r>
        <w:rPr>
          <w:sz w:val="18"/>
        </w:rPr>
        <w:t>Center</w:t>
      </w:r>
      <w:r>
        <w:rPr>
          <w:spacing w:val="-3"/>
          <w:sz w:val="18"/>
        </w:rPr>
        <w:t xml:space="preserve"> </w:t>
      </w:r>
      <w:r>
        <w:rPr>
          <w:sz w:val="18"/>
        </w:rPr>
        <w:t>for</w:t>
      </w:r>
      <w:r>
        <w:rPr>
          <w:spacing w:val="-3"/>
          <w:sz w:val="18"/>
        </w:rPr>
        <w:t xml:space="preserve"> </w:t>
      </w:r>
      <w:r>
        <w:rPr>
          <w:sz w:val="18"/>
        </w:rPr>
        <w:t>American</w:t>
      </w:r>
      <w:r>
        <w:rPr>
          <w:spacing w:val="-3"/>
          <w:sz w:val="18"/>
        </w:rPr>
        <w:t xml:space="preserve"> </w:t>
      </w:r>
      <w:r>
        <w:rPr>
          <w:sz w:val="18"/>
        </w:rPr>
        <w:t>Progress.</w:t>
      </w:r>
      <w:r>
        <w:rPr>
          <w:spacing w:val="-2"/>
          <w:sz w:val="18"/>
        </w:rPr>
        <w:t xml:space="preserve"> </w:t>
      </w:r>
      <w:r>
        <w:rPr>
          <w:sz w:val="18"/>
        </w:rPr>
        <w:t>(2015).</w:t>
      </w:r>
      <w:r>
        <w:rPr>
          <w:spacing w:val="-2"/>
          <w:sz w:val="18"/>
        </w:rPr>
        <w:t xml:space="preserve"> </w:t>
      </w:r>
      <w:r>
        <w:rPr>
          <w:sz w:val="18"/>
        </w:rPr>
        <w:t>Expanding</w:t>
      </w:r>
      <w:r>
        <w:rPr>
          <w:spacing w:val="-3"/>
          <w:sz w:val="18"/>
        </w:rPr>
        <w:t xml:space="preserve"> </w:t>
      </w:r>
      <w:r>
        <w:rPr>
          <w:sz w:val="18"/>
        </w:rPr>
        <w:t>ID</w:t>
      </w:r>
      <w:r>
        <w:rPr>
          <w:spacing w:val="-3"/>
          <w:sz w:val="18"/>
        </w:rPr>
        <w:t xml:space="preserve"> </w:t>
      </w:r>
      <w:r>
        <w:rPr>
          <w:sz w:val="18"/>
        </w:rPr>
        <w:t>Card</w:t>
      </w:r>
      <w:r>
        <w:rPr>
          <w:spacing w:val="-1"/>
          <w:sz w:val="18"/>
        </w:rPr>
        <w:t xml:space="preserve"> </w:t>
      </w:r>
      <w:r>
        <w:rPr>
          <w:sz w:val="18"/>
        </w:rPr>
        <w:t>Access</w:t>
      </w:r>
      <w:r>
        <w:rPr>
          <w:spacing w:val="-3"/>
          <w:sz w:val="18"/>
        </w:rPr>
        <w:t xml:space="preserve"> </w:t>
      </w:r>
      <w:r>
        <w:rPr>
          <w:sz w:val="18"/>
        </w:rPr>
        <w:t>for</w:t>
      </w:r>
      <w:r>
        <w:rPr>
          <w:spacing w:val="-3"/>
          <w:sz w:val="18"/>
        </w:rPr>
        <w:t xml:space="preserve"> </w:t>
      </w:r>
      <w:r>
        <w:rPr>
          <w:sz w:val="18"/>
        </w:rPr>
        <w:t>LGBT</w:t>
      </w:r>
      <w:r>
        <w:rPr>
          <w:spacing w:val="-1"/>
          <w:sz w:val="18"/>
        </w:rPr>
        <w:t xml:space="preserve"> </w:t>
      </w:r>
      <w:r>
        <w:rPr>
          <w:sz w:val="18"/>
        </w:rPr>
        <w:t>Homeless</w:t>
      </w:r>
      <w:r>
        <w:rPr>
          <w:spacing w:val="-3"/>
          <w:sz w:val="18"/>
        </w:rPr>
        <w:t xml:space="preserve"> </w:t>
      </w:r>
      <w:r>
        <w:rPr>
          <w:sz w:val="18"/>
        </w:rPr>
        <w:t>Youth.</w:t>
      </w:r>
      <w:r>
        <w:rPr>
          <w:spacing w:val="-2"/>
          <w:sz w:val="18"/>
        </w:rPr>
        <w:t xml:space="preserve"> </w:t>
      </w:r>
      <w:r>
        <w:rPr>
          <w:sz w:val="18"/>
        </w:rPr>
        <w:t>Retrieved</w:t>
      </w:r>
      <w:r>
        <w:rPr>
          <w:spacing w:val="-3"/>
          <w:sz w:val="18"/>
        </w:rPr>
        <w:t xml:space="preserve"> </w:t>
      </w:r>
      <w:r>
        <w:rPr>
          <w:sz w:val="18"/>
        </w:rPr>
        <w:t xml:space="preserve">from: </w:t>
      </w:r>
      <w:r>
        <w:rPr>
          <w:spacing w:val="-2"/>
          <w:sz w:val="18"/>
        </w:rPr>
        <w:t>https://cdn.americanprog</w:t>
      </w:r>
      <w:r>
        <w:rPr>
          <w:spacing w:val="-2"/>
          <w:sz w:val="18"/>
        </w:rPr>
        <w:t>ress.org/wp-content/uploads/2015/10/01071118/IDhomelessLGBT.pdf</w:t>
      </w:r>
    </w:p>
    <w:p w:rsidR="00200FDA" w:rsidRDefault="00F76C4C">
      <w:pPr>
        <w:ind w:left="140" w:right="268" w:hanging="1"/>
        <w:rPr>
          <w:sz w:val="18"/>
        </w:rPr>
      </w:pPr>
      <w:bookmarkStart w:id="752" w:name="_bookmark583"/>
      <w:bookmarkEnd w:id="752"/>
      <w:r>
        <w:rPr>
          <w:position w:val="5"/>
          <w:sz w:val="12"/>
        </w:rPr>
        <w:t>3</w:t>
      </w:r>
      <w:r>
        <w:rPr>
          <w:spacing w:val="10"/>
          <w:position w:val="5"/>
          <w:sz w:val="12"/>
        </w:rPr>
        <w:t xml:space="preserve"> </w:t>
      </w:r>
      <w:r>
        <w:rPr>
          <w:sz w:val="18"/>
        </w:rPr>
        <w:t>“Proving</w:t>
      </w:r>
      <w:r>
        <w:rPr>
          <w:spacing w:val="-3"/>
          <w:sz w:val="18"/>
        </w:rPr>
        <w:t xml:space="preserve"> </w:t>
      </w:r>
      <w:r>
        <w:rPr>
          <w:sz w:val="18"/>
        </w:rPr>
        <w:t>I</w:t>
      </w:r>
      <w:r>
        <w:rPr>
          <w:spacing w:val="-2"/>
          <w:sz w:val="18"/>
        </w:rPr>
        <w:t xml:space="preserve"> </w:t>
      </w:r>
      <w:r>
        <w:rPr>
          <w:sz w:val="18"/>
        </w:rPr>
        <w:t>Exist:</w:t>
      </w:r>
      <w:r>
        <w:rPr>
          <w:spacing w:val="-1"/>
          <w:sz w:val="18"/>
        </w:rPr>
        <w:t xml:space="preserve"> </w:t>
      </w:r>
      <w:r>
        <w:rPr>
          <w:sz w:val="18"/>
        </w:rPr>
        <w:t>Strategies</w:t>
      </w:r>
      <w:r>
        <w:rPr>
          <w:spacing w:val="-3"/>
          <w:sz w:val="18"/>
        </w:rPr>
        <w:t xml:space="preserve"> </w:t>
      </w:r>
      <w:r>
        <w:rPr>
          <w:sz w:val="18"/>
        </w:rPr>
        <w:t>for</w:t>
      </w:r>
      <w:r>
        <w:rPr>
          <w:spacing w:val="-3"/>
          <w:sz w:val="18"/>
        </w:rPr>
        <w:t xml:space="preserve"> </w:t>
      </w:r>
      <w:r>
        <w:rPr>
          <w:sz w:val="18"/>
        </w:rPr>
        <w:t>Assisting“Proving</w:t>
      </w:r>
      <w:r>
        <w:rPr>
          <w:spacing w:val="-3"/>
          <w:sz w:val="18"/>
        </w:rPr>
        <w:t xml:space="preserve"> </w:t>
      </w:r>
      <w:r>
        <w:rPr>
          <w:sz w:val="18"/>
        </w:rPr>
        <w:t>I</w:t>
      </w:r>
      <w:r>
        <w:rPr>
          <w:spacing w:val="-2"/>
          <w:sz w:val="18"/>
        </w:rPr>
        <w:t xml:space="preserve"> </w:t>
      </w:r>
      <w:r>
        <w:rPr>
          <w:sz w:val="18"/>
        </w:rPr>
        <w:t>Exist.”</w:t>
      </w:r>
      <w:r>
        <w:rPr>
          <w:spacing w:val="-4"/>
          <w:sz w:val="18"/>
        </w:rPr>
        <w:t xml:space="preserve"> </w:t>
      </w:r>
      <w:r>
        <w:rPr>
          <w:sz w:val="18"/>
        </w:rPr>
        <w:t>Youth</w:t>
      </w:r>
      <w:r>
        <w:rPr>
          <w:spacing w:val="-1"/>
          <w:sz w:val="18"/>
        </w:rPr>
        <w:t xml:space="preserve"> </w:t>
      </w:r>
      <w:r>
        <w:rPr>
          <w:sz w:val="18"/>
        </w:rPr>
        <w:t>in</w:t>
      </w:r>
      <w:r>
        <w:rPr>
          <w:spacing w:val="-1"/>
          <w:sz w:val="18"/>
        </w:rPr>
        <w:t xml:space="preserve"> </w:t>
      </w:r>
      <w:r>
        <w:rPr>
          <w:sz w:val="18"/>
        </w:rPr>
        <w:t>Obtaining</w:t>
      </w:r>
      <w:r>
        <w:rPr>
          <w:spacing w:val="-3"/>
          <w:sz w:val="18"/>
        </w:rPr>
        <w:t xml:space="preserve"> </w:t>
      </w:r>
      <w:r>
        <w:rPr>
          <w:sz w:val="18"/>
        </w:rPr>
        <w:t>Identification</w:t>
      </w:r>
      <w:r>
        <w:rPr>
          <w:spacing w:val="-3"/>
          <w:sz w:val="18"/>
        </w:rPr>
        <w:t xml:space="preserve"> </w:t>
      </w:r>
      <w:r>
        <w:rPr>
          <w:sz w:val="18"/>
        </w:rPr>
        <w:t>Documents,”</w:t>
      </w:r>
      <w:r>
        <w:rPr>
          <w:spacing w:val="-3"/>
          <w:sz w:val="18"/>
        </w:rPr>
        <w:t xml:space="preserve"> </w:t>
      </w:r>
      <w:r>
        <w:rPr>
          <w:sz w:val="18"/>
        </w:rPr>
        <w:t>accessed</w:t>
      </w:r>
      <w:r>
        <w:rPr>
          <w:spacing w:val="-3"/>
          <w:sz w:val="18"/>
        </w:rPr>
        <w:t xml:space="preserve"> </w:t>
      </w:r>
      <w:r>
        <w:rPr>
          <w:sz w:val="18"/>
        </w:rPr>
        <w:t>February</w:t>
      </w:r>
      <w:r>
        <w:rPr>
          <w:spacing w:val="-2"/>
          <w:sz w:val="18"/>
        </w:rPr>
        <w:t xml:space="preserve"> </w:t>
      </w:r>
      <w:r>
        <w:rPr>
          <w:sz w:val="18"/>
        </w:rPr>
        <w:t>17, 2023, https://</w:t>
      </w:r>
      <w:hyperlink r:id="rId589">
        <w:r>
          <w:rPr>
            <w:sz w:val="18"/>
          </w:rPr>
          <w:t>www.americanbar.org/groups/litigation/committees/childrens-rights/articles/2017/fall2017-proving-i-exist-</w:t>
        </w:r>
      </w:hyperlink>
      <w:r>
        <w:rPr>
          <w:sz w:val="18"/>
        </w:rPr>
        <w:t xml:space="preserve"> </w:t>
      </w:r>
      <w:r>
        <w:rPr>
          <w:spacing w:val="-2"/>
          <w:sz w:val="18"/>
        </w:rPr>
        <w:t>strategies-assesstin</w:t>
      </w:r>
      <w:r>
        <w:rPr>
          <w:spacing w:val="-2"/>
          <w:sz w:val="18"/>
        </w:rPr>
        <w:t>g-youth-obtaining-id-docs/.</w:t>
      </w:r>
    </w:p>
    <w:p w:rsidR="00200FDA" w:rsidRDefault="00200FDA">
      <w:pPr>
        <w:rPr>
          <w:sz w:val="18"/>
        </w:rPr>
        <w:sectPr w:rsidR="00200FDA">
          <w:pgSz w:w="12240" w:h="15840"/>
          <w:pgMar w:top="1360" w:right="1300" w:bottom="1240" w:left="1300" w:header="758" w:footer="1043" w:gutter="0"/>
          <w:cols w:space="720"/>
        </w:sectPr>
      </w:pPr>
    </w:p>
    <w:p w:rsidR="00200FDA" w:rsidRDefault="00200FDA">
      <w:pPr>
        <w:pStyle w:val="BodyText"/>
        <w:spacing w:before="10"/>
        <w:rPr>
          <w:sz w:val="19"/>
        </w:rPr>
      </w:pPr>
    </w:p>
    <w:p w:rsidR="00200FDA" w:rsidRDefault="00F76C4C">
      <w:pPr>
        <w:spacing w:before="69"/>
        <w:ind w:left="140" w:right="649" w:hanging="1"/>
        <w:rPr>
          <w:sz w:val="18"/>
        </w:rPr>
      </w:pPr>
      <w:bookmarkStart w:id="753" w:name="_bookmark584"/>
      <w:bookmarkEnd w:id="753"/>
      <w:r>
        <w:rPr>
          <w:position w:val="5"/>
          <w:sz w:val="12"/>
        </w:rPr>
        <w:t>4</w:t>
      </w:r>
      <w:r>
        <w:rPr>
          <w:spacing w:val="19"/>
          <w:position w:val="5"/>
          <w:sz w:val="12"/>
        </w:rPr>
        <w:t xml:space="preserve"> </w:t>
      </w:r>
      <w:r>
        <w:rPr>
          <w:sz w:val="18"/>
        </w:rPr>
        <w:t>Romero, A.P., Goldberg, S.K., &amp; Vasquez, L.A. (2020). LGBT People and Housing Affordability, Discrimination, and Homelessness.</w:t>
      </w:r>
      <w:r>
        <w:rPr>
          <w:spacing w:val="-5"/>
          <w:sz w:val="18"/>
        </w:rPr>
        <w:t xml:space="preserve"> </w:t>
      </w:r>
      <w:r>
        <w:rPr>
          <w:sz w:val="18"/>
        </w:rPr>
        <w:t>The</w:t>
      </w:r>
      <w:r>
        <w:rPr>
          <w:spacing w:val="-6"/>
          <w:sz w:val="18"/>
        </w:rPr>
        <w:t xml:space="preserve"> </w:t>
      </w:r>
      <w:r>
        <w:rPr>
          <w:sz w:val="18"/>
        </w:rPr>
        <w:t>Williams</w:t>
      </w:r>
      <w:r>
        <w:rPr>
          <w:spacing w:val="-6"/>
          <w:sz w:val="18"/>
        </w:rPr>
        <w:t xml:space="preserve"> </w:t>
      </w:r>
      <w:r>
        <w:rPr>
          <w:sz w:val="18"/>
        </w:rPr>
        <w:t>Institute.</w:t>
      </w:r>
      <w:r>
        <w:rPr>
          <w:spacing w:val="-5"/>
          <w:sz w:val="18"/>
        </w:rPr>
        <w:t xml:space="preserve"> </w:t>
      </w:r>
      <w:r>
        <w:rPr>
          <w:sz w:val="18"/>
        </w:rPr>
        <w:t>Retrieved</w:t>
      </w:r>
      <w:r>
        <w:rPr>
          <w:spacing w:val="-6"/>
          <w:sz w:val="18"/>
        </w:rPr>
        <w:t xml:space="preserve"> </w:t>
      </w:r>
      <w:r>
        <w:rPr>
          <w:sz w:val="18"/>
        </w:rPr>
        <w:t>from:</w:t>
      </w:r>
      <w:r>
        <w:rPr>
          <w:spacing w:val="-5"/>
          <w:sz w:val="18"/>
        </w:rPr>
        <w:t xml:space="preserve"> </w:t>
      </w:r>
      <w:r>
        <w:rPr>
          <w:sz w:val="18"/>
        </w:rPr>
        <w:t>https://williamsinstitute.law.ucla.edu/wp-</w:t>
      </w:r>
      <w:r>
        <w:rPr>
          <w:spacing w:val="-5"/>
          <w:sz w:val="18"/>
        </w:rPr>
        <w:t xml:space="preserve"> </w:t>
      </w:r>
      <w:r>
        <w:rPr>
          <w:sz w:val="18"/>
        </w:rPr>
        <w:t>c</w:t>
      </w:r>
      <w:r>
        <w:rPr>
          <w:sz w:val="18"/>
        </w:rPr>
        <w:t xml:space="preserve">ontent/uploads/LGBT- </w:t>
      </w:r>
      <w:r>
        <w:rPr>
          <w:spacing w:val="-2"/>
          <w:sz w:val="18"/>
        </w:rPr>
        <w:t>Housing-Apr-2020.pdf</w:t>
      </w:r>
    </w:p>
    <w:p w:rsidR="00200FDA" w:rsidRDefault="00F76C4C">
      <w:pPr>
        <w:spacing w:before="1" w:line="219" w:lineRule="exact"/>
        <w:ind w:left="140"/>
        <w:rPr>
          <w:sz w:val="18"/>
        </w:rPr>
      </w:pPr>
      <w:bookmarkStart w:id="754" w:name="_bookmark585"/>
      <w:bookmarkEnd w:id="754"/>
      <w:r>
        <w:rPr>
          <w:position w:val="5"/>
          <w:sz w:val="12"/>
        </w:rPr>
        <w:t>5</w:t>
      </w:r>
      <w:r>
        <w:rPr>
          <w:spacing w:val="11"/>
          <w:position w:val="5"/>
          <w:sz w:val="12"/>
        </w:rPr>
        <w:t xml:space="preserve"> </w:t>
      </w:r>
      <w:r>
        <w:rPr>
          <w:sz w:val="18"/>
        </w:rPr>
        <w:t>“Proving</w:t>
      </w:r>
      <w:r>
        <w:rPr>
          <w:spacing w:val="-2"/>
          <w:sz w:val="18"/>
        </w:rPr>
        <w:t xml:space="preserve"> </w:t>
      </w:r>
      <w:r>
        <w:rPr>
          <w:sz w:val="18"/>
        </w:rPr>
        <w:t>I</w:t>
      </w:r>
      <w:r>
        <w:rPr>
          <w:spacing w:val="-1"/>
          <w:sz w:val="18"/>
        </w:rPr>
        <w:t xml:space="preserve"> </w:t>
      </w:r>
      <w:r>
        <w:rPr>
          <w:spacing w:val="-2"/>
          <w:sz w:val="18"/>
        </w:rPr>
        <w:t>Exist.”</w:t>
      </w:r>
    </w:p>
    <w:p w:rsidR="00200FDA" w:rsidRDefault="00F76C4C">
      <w:pPr>
        <w:ind w:left="140" w:hanging="1"/>
        <w:rPr>
          <w:sz w:val="18"/>
        </w:rPr>
      </w:pPr>
      <w:bookmarkStart w:id="755" w:name="_bookmark586"/>
      <w:bookmarkEnd w:id="755"/>
      <w:r>
        <w:rPr>
          <w:position w:val="5"/>
          <w:sz w:val="12"/>
        </w:rPr>
        <w:t>6</w:t>
      </w:r>
      <w:r>
        <w:rPr>
          <w:spacing w:val="10"/>
          <w:position w:val="5"/>
          <w:sz w:val="12"/>
        </w:rPr>
        <w:t xml:space="preserve"> </w:t>
      </w:r>
      <w:r>
        <w:rPr>
          <w:sz w:val="18"/>
        </w:rPr>
        <w:t>Annemarie</w:t>
      </w:r>
      <w:r>
        <w:rPr>
          <w:spacing w:val="-3"/>
          <w:sz w:val="18"/>
        </w:rPr>
        <w:t xml:space="preserve"> </w:t>
      </w:r>
      <w:r>
        <w:rPr>
          <w:sz w:val="18"/>
        </w:rPr>
        <w:t>Vaccaro</w:t>
      </w:r>
      <w:r>
        <w:rPr>
          <w:spacing w:val="-1"/>
          <w:sz w:val="18"/>
        </w:rPr>
        <w:t xml:space="preserve"> </w:t>
      </w:r>
      <w:r>
        <w:rPr>
          <w:sz w:val="18"/>
        </w:rPr>
        <w:t>and</w:t>
      </w:r>
      <w:r>
        <w:rPr>
          <w:spacing w:val="-3"/>
          <w:sz w:val="18"/>
        </w:rPr>
        <w:t xml:space="preserve"> </w:t>
      </w:r>
      <w:r>
        <w:rPr>
          <w:sz w:val="18"/>
        </w:rPr>
        <w:t>Robert</w:t>
      </w:r>
      <w:r>
        <w:rPr>
          <w:spacing w:val="-3"/>
          <w:sz w:val="18"/>
        </w:rPr>
        <w:t xml:space="preserve"> </w:t>
      </w:r>
      <w:r>
        <w:rPr>
          <w:sz w:val="18"/>
        </w:rPr>
        <w:t>M.</w:t>
      </w:r>
      <w:r>
        <w:rPr>
          <w:spacing w:val="-2"/>
          <w:sz w:val="18"/>
        </w:rPr>
        <w:t xml:space="preserve"> </w:t>
      </w:r>
      <w:r>
        <w:rPr>
          <w:sz w:val="18"/>
        </w:rPr>
        <w:t>Koob,</w:t>
      </w:r>
      <w:r>
        <w:rPr>
          <w:spacing w:val="-2"/>
          <w:sz w:val="18"/>
        </w:rPr>
        <w:t xml:space="preserve"> </w:t>
      </w:r>
      <w:r>
        <w:rPr>
          <w:sz w:val="18"/>
        </w:rPr>
        <w:t>“A</w:t>
      </w:r>
      <w:r>
        <w:rPr>
          <w:spacing w:val="-3"/>
          <w:sz w:val="18"/>
        </w:rPr>
        <w:t xml:space="preserve"> </w:t>
      </w:r>
      <w:r>
        <w:rPr>
          <w:sz w:val="18"/>
        </w:rPr>
        <w:t>Critical</w:t>
      </w:r>
      <w:r>
        <w:rPr>
          <w:spacing w:val="-3"/>
          <w:sz w:val="18"/>
        </w:rPr>
        <w:t xml:space="preserve"> </w:t>
      </w:r>
      <w:r>
        <w:rPr>
          <w:sz w:val="18"/>
        </w:rPr>
        <w:t>and</w:t>
      </w:r>
      <w:r>
        <w:rPr>
          <w:spacing w:val="-3"/>
          <w:sz w:val="18"/>
        </w:rPr>
        <w:t xml:space="preserve"> </w:t>
      </w:r>
      <w:r>
        <w:rPr>
          <w:sz w:val="18"/>
        </w:rPr>
        <w:t>Intersectional</w:t>
      </w:r>
      <w:r>
        <w:rPr>
          <w:spacing w:val="-3"/>
          <w:sz w:val="18"/>
        </w:rPr>
        <w:t xml:space="preserve"> </w:t>
      </w:r>
      <w:r>
        <w:rPr>
          <w:sz w:val="18"/>
        </w:rPr>
        <w:t>Model</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Microaggressions:</w:t>
      </w:r>
      <w:r>
        <w:rPr>
          <w:spacing w:val="-2"/>
          <w:sz w:val="18"/>
        </w:rPr>
        <w:t xml:space="preserve"> </w:t>
      </w:r>
      <w:r>
        <w:rPr>
          <w:sz w:val="18"/>
        </w:rPr>
        <w:t>Toward</w:t>
      </w:r>
      <w:r>
        <w:rPr>
          <w:spacing w:val="-3"/>
          <w:sz w:val="18"/>
        </w:rPr>
        <w:t xml:space="preserve"> </w:t>
      </w:r>
      <w:r>
        <w:rPr>
          <w:sz w:val="18"/>
        </w:rPr>
        <w:t>a</w:t>
      </w:r>
      <w:r>
        <w:rPr>
          <w:spacing w:val="-2"/>
          <w:sz w:val="18"/>
        </w:rPr>
        <w:t xml:space="preserve"> </w:t>
      </w:r>
      <w:r>
        <w:rPr>
          <w:sz w:val="18"/>
        </w:rPr>
        <w:t xml:space="preserve">More Comprehensive Understanding,” </w:t>
      </w:r>
      <w:r>
        <w:rPr>
          <w:i/>
          <w:sz w:val="18"/>
        </w:rPr>
        <w:t xml:space="preserve">Journal of Homosexuality </w:t>
      </w:r>
      <w:r>
        <w:rPr>
          <w:sz w:val="18"/>
        </w:rPr>
        <w:t xml:space="preserve">66, no. 10 (2019): 1317–44, </w:t>
      </w:r>
      <w:bookmarkStart w:id="756" w:name="_bookmark587"/>
      <w:bookmarkEnd w:id="756"/>
      <w:r>
        <w:rPr>
          <w:spacing w:val="-2"/>
          <w:sz w:val="18"/>
        </w:rPr>
        <w:t>https://doi.org/10.1080/00918369.2018.1539583.</w:t>
      </w:r>
    </w:p>
    <w:p w:rsidR="00200FDA" w:rsidRDefault="00F76C4C">
      <w:pPr>
        <w:ind w:left="140" w:hanging="1"/>
        <w:rPr>
          <w:sz w:val="18"/>
        </w:rPr>
      </w:pPr>
      <w:r>
        <w:rPr>
          <w:position w:val="5"/>
          <w:sz w:val="12"/>
        </w:rPr>
        <w:t>7</w:t>
      </w:r>
      <w:r>
        <w:rPr>
          <w:spacing w:val="10"/>
          <w:position w:val="5"/>
          <w:sz w:val="12"/>
        </w:rPr>
        <w:t xml:space="preserve"> </w:t>
      </w:r>
      <w:r>
        <w:rPr>
          <w:sz w:val="18"/>
        </w:rPr>
        <w:t>Greathouse,</w:t>
      </w:r>
      <w:r>
        <w:rPr>
          <w:spacing w:val="-2"/>
          <w:sz w:val="18"/>
        </w:rPr>
        <w:t xml:space="preserve"> </w:t>
      </w:r>
      <w:r>
        <w:rPr>
          <w:sz w:val="18"/>
        </w:rPr>
        <w:t>M.</w:t>
      </w:r>
      <w:r>
        <w:rPr>
          <w:spacing w:val="-2"/>
          <w:sz w:val="18"/>
        </w:rPr>
        <w:t xml:space="preserve"> </w:t>
      </w:r>
      <w:r>
        <w:rPr>
          <w:sz w:val="18"/>
        </w:rPr>
        <w:t>&amp;</w:t>
      </w:r>
      <w:r>
        <w:rPr>
          <w:spacing w:val="-3"/>
          <w:sz w:val="18"/>
        </w:rPr>
        <w:t xml:space="preserve"> </w:t>
      </w:r>
      <w:r>
        <w:rPr>
          <w:sz w:val="18"/>
        </w:rPr>
        <w:t>Kelly,</w:t>
      </w:r>
      <w:r>
        <w:rPr>
          <w:spacing w:val="-2"/>
          <w:sz w:val="18"/>
        </w:rPr>
        <w:t xml:space="preserve"> </w:t>
      </w:r>
      <w:r>
        <w:rPr>
          <w:sz w:val="18"/>
        </w:rPr>
        <w:t>R.</w:t>
      </w:r>
      <w:r>
        <w:rPr>
          <w:spacing w:val="-2"/>
          <w:sz w:val="18"/>
        </w:rPr>
        <w:t xml:space="preserve"> </w:t>
      </w:r>
      <w:r>
        <w:rPr>
          <w:sz w:val="18"/>
        </w:rPr>
        <w:t>(2021).</w:t>
      </w:r>
      <w:r>
        <w:rPr>
          <w:spacing w:val="-2"/>
          <w:sz w:val="18"/>
        </w:rPr>
        <w:t xml:space="preserve"> </w:t>
      </w:r>
      <w:r>
        <w:rPr>
          <w:sz w:val="18"/>
        </w:rPr>
        <w:t>Proud</w:t>
      </w:r>
      <w:r>
        <w:rPr>
          <w:spacing w:val="-3"/>
          <w:sz w:val="18"/>
        </w:rPr>
        <w:t xml:space="preserve"> </w:t>
      </w:r>
      <w:r>
        <w:rPr>
          <w:sz w:val="18"/>
        </w:rPr>
        <w:t>&amp;</w:t>
      </w:r>
      <w:r>
        <w:rPr>
          <w:spacing w:val="-3"/>
          <w:sz w:val="18"/>
        </w:rPr>
        <w:t xml:space="preserve"> </w:t>
      </w:r>
      <w:r>
        <w:rPr>
          <w:sz w:val="18"/>
        </w:rPr>
        <w:t>Thriving</w:t>
      </w:r>
      <w:r>
        <w:rPr>
          <w:spacing w:val="-3"/>
          <w:sz w:val="18"/>
        </w:rPr>
        <w:t xml:space="preserve"> </w:t>
      </w:r>
      <w:r>
        <w:rPr>
          <w:sz w:val="18"/>
        </w:rPr>
        <w:t>Literature</w:t>
      </w:r>
      <w:r>
        <w:rPr>
          <w:spacing w:val="-3"/>
          <w:sz w:val="18"/>
        </w:rPr>
        <w:t xml:space="preserve"> </w:t>
      </w:r>
      <w:r>
        <w:rPr>
          <w:sz w:val="18"/>
        </w:rPr>
        <w:t>Review</w:t>
      </w:r>
      <w:r>
        <w:rPr>
          <w:spacing w:val="-1"/>
          <w:sz w:val="18"/>
        </w:rPr>
        <w:t xml:space="preserve"> </w:t>
      </w:r>
      <w:r>
        <w:rPr>
          <w:sz w:val="18"/>
        </w:rPr>
        <w:t>-</w:t>
      </w:r>
      <w:r>
        <w:rPr>
          <w:spacing w:val="-3"/>
          <w:sz w:val="18"/>
        </w:rPr>
        <w:t xml:space="preserve"> </w:t>
      </w:r>
      <w:r>
        <w:rPr>
          <w:sz w:val="18"/>
        </w:rPr>
        <w:t>Exploring</w:t>
      </w:r>
      <w:r>
        <w:rPr>
          <w:spacing w:val="-3"/>
          <w:sz w:val="18"/>
        </w:rPr>
        <w:t xml:space="preserve"> </w:t>
      </w:r>
      <w:r>
        <w:rPr>
          <w:sz w:val="18"/>
        </w:rPr>
        <w:t>Mental</w:t>
      </w:r>
      <w:r>
        <w:rPr>
          <w:spacing w:val="-3"/>
          <w:sz w:val="18"/>
        </w:rPr>
        <w:t xml:space="preserve"> </w:t>
      </w:r>
      <w:r>
        <w:rPr>
          <w:sz w:val="18"/>
        </w:rPr>
        <w:t>Health</w:t>
      </w:r>
      <w:r>
        <w:rPr>
          <w:spacing w:val="-3"/>
          <w:sz w:val="18"/>
        </w:rPr>
        <w:t xml:space="preserve"> </w:t>
      </w:r>
      <w:r>
        <w:rPr>
          <w:sz w:val="18"/>
        </w:rPr>
        <w:t>Considerations</w:t>
      </w:r>
      <w:r>
        <w:rPr>
          <w:spacing w:val="-3"/>
          <w:sz w:val="18"/>
        </w:rPr>
        <w:t xml:space="preserve"> </w:t>
      </w:r>
      <w:r>
        <w:rPr>
          <w:sz w:val="18"/>
        </w:rPr>
        <w:t>for</w:t>
      </w:r>
      <w:r>
        <w:rPr>
          <w:spacing w:val="-3"/>
          <w:sz w:val="18"/>
        </w:rPr>
        <w:t xml:space="preserve"> </w:t>
      </w:r>
      <w:r>
        <w:rPr>
          <w:sz w:val="18"/>
        </w:rPr>
        <w:t xml:space="preserve">LGBTQ+ </w:t>
      </w:r>
      <w:bookmarkStart w:id="757" w:name="_bookmark588"/>
      <w:bookmarkEnd w:id="757"/>
      <w:r>
        <w:rPr>
          <w:sz w:val="18"/>
        </w:rPr>
        <w:t xml:space="preserve">Students. Retrieved from </w:t>
      </w:r>
      <w:r>
        <w:rPr>
          <w:color w:val="0560C1"/>
          <w:sz w:val="18"/>
        </w:rPr>
        <w:t>JED-LGBQ-Queer-and-Question-Lit-</w:t>
      </w:r>
      <w:r>
        <w:rPr>
          <w:color w:val="0560C1"/>
          <w:sz w:val="18"/>
        </w:rPr>
        <w:t>Review-FINAL.pdf (jedfoundation.org)</w:t>
      </w:r>
    </w:p>
    <w:p w:rsidR="00200FDA" w:rsidRDefault="00F76C4C">
      <w:pPr>
        <w:ind w:left="140" w:right="1616" w:hanging="1"/>
        <w:rPr>
          <w:sz w:val="18"/>
        </w:rPr>
      </w:pPr>
      <w:r>
        <w:rPr>
          <w:position w:val="5"/>
          <w:sz w:val="12"/>
        </w:rPr>
        <w:t>8</w:t>
      </w:r>
      <w:r>
        <w:rPr>
          <w:spacing w:val="10"/>
          <w:position w:val="5"/>
          <w:sz w:val="12"/>
        </w:rPr>
        <w:t xml:space="preserve"> </w:t>
      </w:r>
      <w:r>
        <w:rPr>
          <w:sz w:val="18"/>
        </w:rPr>
        <w:t>“Missed</w:t>
      </w:r>
      <w:r>
        <w:rPr>
          <w:spacing w:val="-3"/>
          <w:sz w:val="18"/>
        </w:rPr>
        <w:t xml:space="preserve"> </w:t>
      </w:r>
      <w:r>
        <w:rPr>
          <w:sz w:val="18"/>
        </w:rPr>
        <w:t>Opportunities:</w:t>
      </w:r>
      <w:r>
        <w:rPr>
          <w:spacing w:val="-3"/>
          <w:sz w:val="18"/>
        </w:rPr>
        <w:t xml:space="preserve"> </w:t>
      </w:r>
      <w:r>
        <w:rPr>
          <w:sz w:val="18"/>
        </w:rPr>
        <w:t>Youth</w:t>
      </w:r>
      <w:r>
        <w:rPr>
          <w:spacing w:val="-3"/>
          <w:sz w:val="18"/>
        </w:rPr>
        <w:t xml:space="preserve"> </w:t>
      </w:r>
      <w:r>
        <w:rPr>
          <w:sz w:val="18"/>
        </w:rPr>
        <w:t>Homelessness</w:t>
      </w:r>
      <w:r>
        <w:rPr>
          <w:spacing w:val="-1"/>
          <w:sz w:val="18"/>
        </w:rPr>
        <w:t xml:space="preserve"> </w:t>
      </w:r>
      <w:r>
        <w:rPr>
          <w:sz w:val="18"/>
        </w:rPr>
        <w:t>in</w:t>
      </w:r>
      <w:r>
        <w:rPr>
          <w:spacing w:val="-3"/>
          <w:sz w:val="18"/>
        </w:rPr>
        <w:t xml:space="preserve"> </w:t>
      </w:r>
      <w:r>
        <w:rPr>
          <w:sz w:val="18"/>
        </w:rPr>
        <w:t>America</w:t>
      </w:r>
      <w:r>
        <w:rPr>
          <w:spacing w:val="-2"/>
          <w:sz w:val="18"/>
        </w:rPr>
        <w:t xml:space="preserve"> </w:t>
      </w:r>
      <w:r>
        <w:rPr>
          <w:sz w:val="18"/>
        </w:rPr>
        <w:t>–</w:t>
      </w:r>
      <w:r>
        <w:rPr>
          <w:spacing w:val="-4"/>
          <w:sz w:val="18"/>
        </w:rPr>
        <w:t xml:space="preserve"> </w:t>
      </w:r>
      <w:r>
        <w:rPr>
          <w:sz w:val="18"/>
        </w:rPr>
        <w:t>Voices</w:t>
      </w:r>
      <w:r>
        <w:rPr>
          <w:spacing w:val="-3"/>
          <w:sz w:val="18"/>
        </w:rPr>
        <w:t xml:space="preserve"> </w:t>
      </w:r>
      <w:r>
        <w:rPr>
          <w:sz w:val="18"/>
        </w:rPr>
        <w:t>of</w:t>
      </w:r>
      <w:r>
        <w:rPr>
          <w:spacing w:val="-2"/>
          <w:sz w:val="18"/>
        </w:rPr>
        <w:t xml:space="preserve"> </w:t>
      </w:r>
      <w:r>
        <w:rPr>
          <w:sz w:val="18"/>
        </w:rPr>
        <w:t>Youth</w:t>
      </w:r>
      <w:r>
        <w:rPr>
          <w:spacing w:val="-3"/>
          <w:sz w:val="18"/>
        </w:rPr>
        <w:t xml:space="preserve"> </w:t>
      </w:r>
      <w:r>
        <w:rPr>
          <w:sz w:val="18"/>
        </w:rPr>
        <w:t>Count,”</w:t>
      </w:r>
      <w:r>
        <w:rPr>
          <w:spacing w:val="-3"/>
          <w:sz w:val="18"/>
        </w:rPr>
        <w:t xml:space="preserve"> </w:t>
      </w:r>
      <w:r>
        <w:rPr>
          <w:sz w:val="18"/>
        </w:rPr>
        <w:t>accessed</w:t>
      </w:r>
      <w:r>
        <w:rPr>
          <w:spacing w:val="-3"/>
          <w:sz w:val="18"/>
        </w:rPr>
        <w:t xml:space="preserve"> </w:t>
      </w:r>
      <w:r>
        <w:rPr>
          <w:sz w:val="18"/>
        </w:rPr>
        <w:t>April</w:t>
      </w:r>
      <w:r>
        <w:rPr>
          <w:spacing w:val="-3"/>
          <w:sz w:val="18"/>
        </w:rPr>
        <w:t xml:space="preserve"> </w:t>
      </w:r>
      <w:r>
        <w:rPr>
          <w:sz w:val="18"/>
        </w:rPr>
        <w:t>24,</w:t>
      </w:r>
      <w:r>
        <w:rPr>
          <w:spacing w:val="-2"/>
          <w:sz w:val="18"/>
        </w:rPr>
        <w:t xml:space="preserve"> </w:t>
      </w:r>
      <w:r>
        <w:rPr>
          <w:sz w:val="18"/>
        </w:rPr>
        <w:t xml:space="preserve">2023, </w:t>
      </w:r>
      <w:bookmarkStart w:id="758" w:name="_bookmark589"/>
      <w:bookmarkEnd w:id="758"/>
      <w:r>
        <w:rPr>
          <w:spacing w:val="-2"/>
          <w:sz w:val="18"/>
        </w:rPr>
        <w:t>https://voicesofyouthcount.org/brief/national-estimates-of-youth-homelessness/.</w:t>
      </w:r>
    </w:p>
    <w:p w:rsidR="00200FDA" w:rsidRDefault="00F76C4C">
      <w:pPr>
        <w:ind w:left="140" w:right="706" w:hanging="1"/>
        <w:rPr>
          <w:sz w:val="18"/>
        </w:rPr>
      </w:pPr>
      <w:r>
        <w:rPr>
          <w:position w:val="5"/>
          <w:sz w:val="12"/>
        </w:rPr>
        <w:t>9</w:t>
      </w:r>
      <w:r>
        <w:rPr>
          <w:spacing w:val="21"/>
          <w:position w:val="5"/>
          <w:sz w:val="12"/>
        </w:rPr>
        <w:t xml:space="preserve"> </w:t>
      </w:r>
      <w:r>
        <w:rPr>
          <w:sz w:val="18"/>
        </w:rPr>
        <w:t xml:space="preserve">“Homelessness and Housing Instability Among LGBTQ Youth,” </w:t>
      </w:r>
      <w:r>
        <w:rPr>
          <w:i/>
          <w:sz w:val="18"/>
        </w:rPr>
        <w:t xml:space="preserve">The Trevor Project </w:t>
      </w:r>
      <w:r>
        <w:rPr>
          <w:sz w:val="18"/>
        </w:rPr>
        <w:t xml:space="preserve">(blog), February 3, 2022, </w:t>
      </w:r>
      <w:bookmarkStart w:id="759" w:name="_bookmark590"/>
      <w:bookmarkEnd w:id="759"/>
      <w:r>
        <w:rPr>
          <w:spacing w:val="-2"/>
          <w:sz w:val="18"/>
        </w:rPr>
        <w:t>https://</w:t>
      </w:r>
      <w:hyperlink r:id="rId590">
        <w:r>
          <w:rPr>
            <w:spacing w:val="-2"/>
            <w:sz w:val="18"/>
          </w:rPr>
          <w:t>www.thetrevor</w:t>
        </w:r>
        <w:r>
          <w:rPr>
            <w:spacing w:val="-2"/>
            <w:sz w:val="18"/>
          </w:rPr>
          <w:t>project.org/research-briefs/homelessness-and-housing-instability-among-lgbtq-youth-feb-2022/.</w:t>
        </w:r>
      </w:hyperlink>
    </w:p>
    <w:p w:rsidR="00200FDA" w:rsidRDefault="00F76C4C">
      <w:pPr>
        <w:spacing w:line="219" w:lineRule="exact"/>
        <w:ind w:left="140"/>
        <w:rPr>
          <w:sz w:val="18"/>
        </w:rPr>
      </w:pPr>
      <w:r>
        <w:rPr>
          <w:position w:val="5"/>
          <w:sz w:val="12"/>
        </w:rPr>
        <w:t>10</w:t>
      </w:r>
      <w:r>
        <w:rPr>
          <w:spacing w:val="7"/>
          <w:position w:val="5"/>
          <w:sz w:val="12"/>
        </w:rPr>
        <w:t xml:space="preserve"> </w:t>
      </w:r>
      <w:r>
        <w:rPr>
          <w:sz w:val="18"/>
        </w:rPr>
        <w:t>Laurie</w:t>
      </w:r>
      <w:r>
        <w:rPr>
          <w:spacing w:val="-4"/>
          <w:sz w:val="18"/>
        </w:rPr>
        <w:t xml:space="preserve"> </w:t>
      </w:r>
      <w:r>
        <w:rPr>
          <w:sz w:val="18"/>
        </w:rPr>
        <w:t>Ross,</w:t>
      </w:r>
      <w:r>
        <w:rPr>
          <w:spacing w:val="-3"/>
          <w:sz w:val="18"/>
        </w:rPr>
        <w:t xml:space="preserve"> </w:t>
      </w:r>
      <w:r>
        <w:rPr>
          <w:sz w:val="18"/>
        </w:rPr>
        <w:t>“Massachusetts</w:t>
      </w:r>
      <w:r>
        <w:rPr>
          <w:spacing w:val="-4"/>
          <w:sz w:val="18"/>
        </w:rPr>
        <w:t xml:space="preserve"> </w:t>
      </w:r>
      <w:r>
        <w:rPr>
          <w:sz w:val="18"/>
        </w:rPr>
        <w:t>2022</w:t>
      </w:r>
      <w:r>
        <w:rPr>
          <w:spacing w:val="-3"/>
          <w:sz w:val="18"/>
        </w:rPr>
        <w:t xml:space="preserve"> </w:t>
      </w:r>
      <w:r>
        <w:rPr>
          <w:sz w:val="18"/>
        </w:rPr>
        <w:t>Youth</w:t>
      </w:r>
      <w:r>
        <w:rPr>
          <w:spacing w:val="-4"/>
          <w:sz w:val="18"/>
        </w:rPr>
        <w:t xml:space="preserve"> </w:t>
      </w:r>
      <w:r>
        <w:rPr>
          <w:sz w:val="18"/>
        </w:rPr>
        <w:t>Count,”</w:t>
      </w:r>
      <w:r>
        <w:rPr>
          <w:spacing w:val="-4"/>
          <w:sz w:val="18"/>
        </w:rPr>
        <w:t xml:space="preserve"> </w:t>
      </w:r>
      <w:r>
        <w:rPr>
          <w:sz w:val="18"/>
        </w:rPr>
        <w:t>2022,</w:t>
      </w:r>
      <w:r>
        <w:rPr>
          <w:spacing w:val="-2"/>
          <w:sz w:val="18"/>
        </w:rPr>
        <w:t xml:space="preserve"> </w:t>
      </w:r>
      <w:r>
        <w:rPr>
          <w:sz w:val="18"/>
        </w:rPr>
        <w:t>https://</w:t>
      </w:r>
      <w:hyperlink r:id="rId591">
        <w:r>
          <w:rPr>
            <w:sz w:val="18"/>
          </w:rPr>
          <w:t>www.mass.gov/doc/2022-</w:t>
        </w:r>
        <w:r>
          <w:rPr>
            <w:sz w:val="18"/>
          </w:rPr>
          <w:t>youth-count-</w:t>
        </w:r>
        <w:r>
          <w:rPr>
            <w:spacing w:val="-2"/>
            <w:sz w:val="18"/>
          </w:rPr>
          <w:t>report/download.</w:t>
        </w:r>
      </w:hyperlink>
    </w:p>
    <w:p w:rsidR="00200FDA" w:rsidRDefault="00F76C4C">
      <w:pPr>
        <w:spacing w:line="219" w:lineRule="exact"/>
        <w:ind w:left="140"/>
        <w:rPr>
          <w:sz w:val="18"/>
        </w:rPr>
      </w:pPr>
      <w:bookmarkStart w:id="760" w:name="_bookmark591"/>
      <w:bookmarkEnd w:id="760"/>
      <w:r>
        <w:rPr>
          <w:position w:val="5"/>
          <w:sz w:val="12"/>
        </w:rPr>
        <w:t>11</w:t>
      </w:r>
      <w:r>
        <w:rPr>
          <w:spacing w:val="9"/>
          <w:position w:val="5"/>
          <w:sz w:val="12"/>
        </w:rPr>
        <w:t xml:space="preserve"> </w:t>
      </w:r>
      <w:r>
        <w:rPr>
          <w:sz w:val="18"/>
        </w:rPr>
        <w:t>2021</w:t>
      </w:r>
      <w:r>
        <w:rPr>
          <w:spacing w:val="-1"/>
          <w:sz w:val="18"/>
        </w:rPr>
        <w:t xml:space="preserve"> </w:t>
      </w:r>
      <w:r>
        <w:rPr>
          <w:sz w:val="18"/>
        </w:rPr>
        <w:t>MYRBS</w:t>
      </w:r>
      <w:r>
        <w:rPr>
          <w:spacing w:val="-2"/>
          <w:sz w:val="18"/>
        </w:rPr>
        <w:t xml:space="preserve"> </w:t>
      </w:r>
      <w:r>
        <w:rPr>
          <w:sz w:val="18"/>
        </w:rPr>
        <w:t>Analysis –</w:t>
      </w:r>
      <w:r>
        <w:rPr>
          <w:spacing w:val="-2"/>
          <w:sz w:val="18"/>
        </w:rPr>
        <w:t xml:space="preserve"> </w:t>
      </w:r>
      <w:r>
        <w:rPr>
          <w:sz w:val="18"/>
        </w:rPr>
        <w:t>data on</w:t>
      </w:r>
      <w:r>
        <w:rPr>
          <w:spacing w:val="-2"/>
          <w:sz w:val="18"/>
        </w:rPr>
        <w:t xml:space="preserve"> </w:t>
      </w:r>
      <w:r>
        <w:rPr>
          <w:sz w:val="18"/>
        </w:rPr>
        <w:t>file</w:t>
      </w:r>
      <w:r>
        <w:rPr>
          <w:spacing w:val="-2"/>
          <w:sz w:val="18"/>
        </w:rPr>
        <w:t xml:space="preserve"> </w:t>
      </w:r>
      <w:r>
        <w:rPr>
          <w:sz w:val="18"/>
        </w:rPr>
        <w:t>with</w:t>
      </w:r>
      <w:r>
        <w:rPr>
          <w:spacing w:val="-2"/>
          <w:sz w:val="18"/>
        </w:rPr>
        <w:t xml:space="preserve"> </w:t>
      </w:r>
      <w:r>
        <w:rPr>
          <w:sz w:val="18"/>
        </w:rPr>
        <w:t>the</w:t>
      </w:r>
      <w:r>
        <w:rPr>
          <w:spacing w:val="-1"/>
          <w:sz w:val="18"/>
        </w:rPr>
        <w:t xml:space="preserve"> </w:t>
      </w:r>
      <w:r>
        <w:rPr>
          <w:spacing w:val="-2"/>
          <w:sz w:val="18"/>
        </w:rPr>
        <w:t>Commission</w:t>
      </w:r>
    </w:p>
    <w:p w:rsidR="00200FDA" w:rsidRDefault="00F76C4C">
      <w:pPr>
        <w:ind w:left="140" w:right="516" w:hanging="1"/>
        <w:rPr>
          <w:sz w:val="18"/>
        </w:rPr>
      </w:pPr>
      <w:bookmarkStart w:id="761" w:name="_bookmark592"/>
      <w:bookmarkEnd w:id="761"/>
      <w:r>
        <w:rPr>
          <w:position w:val="5"/>
          <w:sz w:val="12"/>
        </w:rPr>
        <w:t>12</w:t>
      </w:r>
      <w:r>
        <w:rPr>
          <w:spacing w:val="16"/>
          <w:position w:val="5"/>
          <w:sz w:val="12"/>
        </w:rPr>
        <w:t xml:space="preserve"> </w:t>
      </w:r>
      <w:r>
        <w:rPr>
          <w:sz w:val="18"/>
        </w:rPr>
        <w:t>The Massachusetts Commission on Unaccompanied Homeless Youth. (2020). Special Report to the MA Unaccompanied Homeless</w:t>
      </w:r>
      <w:r>
        <w:rPr>
          <w:spacing w:val="-7"/>
          <w:sz w:val="18"/>
        </w:rPr>
        <w:t xml:space="preserve"> </w:t>
      </w:r>
      <w:r>
        <w:rPr>
          <w:sz w:val="18"/>
        </w:rPr>
        <w:t>Youth</w:t>
      </w:r>
      <w:r>
        <w:rPr>
          <w:spacing w:val="-7"/>
          <w:sz w:val="18"/>
        </w:rPr>
        <w:t xml:space="preserve"> </w:t>
      </w:r>
      <w:r>
        <w:rPr>
          <w:sz w:val="18"/>
        </w:rPr>
        <w:t>Commission.</w:t>
      </w:r>
      <w:r>
        <w:rPr>
          <w:spacing w:val="-6"/>
          <w:sz w:val="18"/>
        </w:rPr>
        <w:t xml:space="preserve"> </w:t>
      </w:r>
      <w:r>
        <w:rPr>
          <w:sz w:val="18"/>
        </w:rPr>
        <w:t>Retrieved</w:t>
      </w:r>
      <w:r>
        <w:rPr>
          <w:spacing w:val="-7"/>
          <w:sz w:val="18"/>
        </w:rPr>
        <w:t xml:space="preserve"> </w:t>
      </w:r>
      <w:r>
        <w:rPr>
          <w:sz w:val="18"/>
        </w:rPr>
        <w:t>from</w:t>
      </w:r>
      <w:r>
        <w:rPr>
          <w:spacing w:val="-6"/>
          <w:sz w:val="18"/>
        </w:rPr>
        <w:t xml:space="preserve"> </w:t>
      </w:r>
      <w:r>
        <w:rPr>
          <w:sz w:val="18"/>
        </w:rPr>
        <w:t>https://</w:t>
      </w:r>
      <w:hyperlink r:id="rId592">
        <w:r>
          <w:rPr>
            <w:sz w:val="18"/>
          </w:rPr>
          <w:t>www.mass.gov/doc/2020-special-report-to-</w:t>
        </w:r>
      </w:hyperlink>
      <w:r>
        <w:rPr>
          <w:spacing w:val="-6"/>
          <w:sz w:val="18"/>
        </w:rPr>
        <w:t xml:space="preserve"> </w:t>
      </w:r>
      <w:r>
        <w:rPr>
          <w:sz w:val="18"/>
        </w:rPr>
        <w:t xml:space="preserve">the-ma-unaccompanied- </w:t>
      </w:r>
      <w:r>
        <w:rPr>
          <w:spacing w:val="-2"/>
          <w:sz w:val="18"/>
        </w:rPr>
        <w:t>homeless-youth-commission/download</w:t>
      </w:r>
    </w:p>
    <w:p w:rsidR="00200FDA" w:rsidRDefault="00F76C4C">
      <w:pPr>
        <w:ind w:left="139" w:right="569"/>
        <w:rPr>
          <w:sz w:val="18"/>
        </w:rPr>
      </w:pPr>
      <w:bookmarkStart w:id="762" w:name="_bookmark593"/>
      <w:bookmarkEnd w:id="762"/>
      <w:r>
        <w:rPr>
          <w:position w:val="5"/>
          <w:sz w:val="12"/>
        </w:rPr>
        <w:t>13</w:t>
      </w:r>
      <w:r>
        <w:rPr>
          <w:spacing w:val="20"/>
          <w:position w:val="5"/>
          <w:sz w:val="12"/>
        </w:rPr>
        <w:t xml:space="preserve"> </w:t>
      </w:r>
      <w:r>
        <w:rPr>
          <w:sz w:val="18"/>
        </w:rPr>
        <w:t>City of Boston. (2018). The State of the System: Ending Youth Homelessness in Boston. Retr</w:t>
      </w:r>
      <w:r>
        <w:rPr>
          <w:sz w:val="18"/>
        </w:rPr>
        <w:t>ieved from https://</w:t>
      </w:r>
      <w:hyperlink r:id="rId593">
        <w:r>
          <w:rPr>
            <w:sz w:val="18"/>
          </w:rPr>
          <w:t>www.boston.gov/sites/default/files/embed/t/the_state-of-the-system-a-brief-on-the-status-of-youth-and-</w:t>
        </w:r>
      </w:hyperlink>
      <w:r>
        <w:rPr>
          <w:spacing w:val="-11"/>
          <w:sz w:val="18"/>
        </w:rPr>
        <w:t xml:space="preserve"> </w:t>
      </w:r>
      <w:r>
        <w:rPr>
          <w:sz w:val="18"/>
        </w:rPr>
        <w:t>young</w:t>
      </w:r>
      <w:r>
        <w:rPr>
          <w:sz w:val="18"/>
        </w:rPr>
        <w:t xml:space="preserve">- </w:t>
      </w:r>
      <w:r>
        <w:rPr>
          <w:spacing w:val="-2"/>
          <w:sz w:val="18"/>
        </w:rPr>
        <w:t>adult-homelessness-in-boston_181017.pdf</w:t>
      </w:r>
    </w:p>
    <w:p w:rsidR="00200FDA" w:rsidRDefault="00F76C4C">
      <w:pPr>
        <w:spacing w:before="1"/>
        <w:ind w:left="140" w:right="218" w:hanging="1"/>
        <w:rPr>
          <w:sz w:val="18"/>
        </w:rPr>
      </w:pPr>
      <w:bookmarkStart w:id="763" w:name="_bookmark594"/>
      <w:bookmarkEnd w:id="763"/>
      <w:r>
        <w:rPr>
          <w:position w:val="5"/>
          <w:sz w:val="12"/>
        </w:rPr>
        <w:t>14</w:t>
      </w:r>
      <w:r>
        <w:rPr>
          <w:spacing w:val="10"/>
          <w:position w:val="5"/>
          <w:sz w:val="12"/>
        </w:rPr>
        <w:t xml:space="preserve"> </w:t>
      </w:r>
      <w:r>
        <w:rPr>
          <w:sz w:val="18"/>
        </w:rPr>
        <w:t>Hao,</w:t>
      </w:r>
      <w:r>
        <w:rPr>
          <w:spacing w:val="-3"/>
          <w:sz w:val="18"/>
        </w:rPr>
        <w:t xml:space="preserve"> </w:t>
      </w:r>
      <w:r>
        <w:rPr>
          <w:sz w:val="18"/>
        </w:rPr>
        <w:t>J.,</w:t>
      </w:r>
      <w:r>
        <w:rPr>
          <w:spacing w:val="-3"/>
          <w:sz w:val="18"/>
        </w:rPr>
        <w:t xml:space="preserve"> </w:t>
      </w:r>
      <w:r>
        <w:rPr>
          <w:sz w:val="18"/>
        </w:rPr>
        <w:t>Beld,</w:t>
      </w:r>
      <w:r>
        <w:rPr>
          <w:spacing w:val="-3"/>
          <w:sz w:val="18"/>
        </w:rPr>
        <w:t xml:space="preserve"> </w:t>
      </w:r>
      <w:r>
        <w:rPr>
          <w:sz w:val="18"/>
        </w:rPr>
        <w:t>M.,</w:t>
      </w:r>
      <w:r>
        <w:rPr>
          <w:spacing w:val="-3"/>
          <w:sz w:val="18"/>
        </w:rPr>
        <w:t xml:space="preserve"> </w:t>
      </w:r>
      <w:r>
        <w:rPr>
          <w:sz w:val="18"/>
        </w:rPr>
        <w:t>Khoddam-Khorasani,</w:t>
      </w:r>
      <w:r>
        <w:rPr>
          <w:spacing w:val="-3"/>
          <w:sz w:val="18"/>
        </w:rPr>
        <w:t xml:space="preserve"> </w:t>
      </w:r>
      <w:r>
        <w:rPr>
          <w:sz w:val="18"/>
        </w:rPr>
        <w:t>L.,</w:t>
      </w:r>
      <w:r>
        <w:rPr>
          <w:spacing w:val="-3"/>
          <w:sz w:val="18"/>
        </w:rPr>
        <w:t xml:space="preserve"> </w:t>
      </w:r>
      <w:r>
        <w:rPr>
          <w:sz w:val="18"/>
        </w:rPr>
        <w:t>Flentje,</w:t>
      </w:r>
      <w:r>
        <w:rPr>
          <w:spacing w:val="-3"/>
          <w:sz w:val="18"/>
        </w:rPr>
        <w:t xml:space="preserve"> </w:t>
      </w:r>
      <w:r>
        <w:rPr>
          <w:sz w:val="18"/>
        </w:rPr>
        <w:t>A.,</w:t>
      </w:r>
      <w:r>
        <w:rPr>
          <w:spacing w:val="-3"/>
          <w:sz w:val="18"/>
        </w:rPr>
        <w:t xml:space="preserve"> </w:t>
      </w:r>
      <w:r>
        <w:rPr>
          <w:sz w:val="18"/>
        </w:rPr>
        <w:t>Kersey,</w:t>
      </w:r>
      <w:r>
        <w:rPr>
          <w:spacing w:val="-3"/>
          <w:sz w:val="18"/>
        </w:rPr>
        <w:t xml:space="preserve"> </w:t>
      </w:r>
      <w:r>
        <w:rPr>
          <w:sz w:val="18"/>
        </w:rPr>
        <w:t>E.,</w:t>
      </w:r>
      <w:r>
        <w:rPr>
          <w:spacing w:val="-3"/>
          <w:sz w:val="18"/>
        </w:rPr>
        <w:t xml:space="preserve"> </w:t>
      </w:r>
      <w:r>
        <w:rPr>
          <w:sz w:val="18"/>
        </w:rPr>
        <w:t>Mousseau,</w:t>
      </w:r>
      <w:r>
        <w:rPr>
          <w:spacing w:val="-3"/>
          <w:sz w:val="18"/>
        </w:rPr>
        <w:t xml:space="preserve"> </w:t>
      </w:r>
      <w:r>
        <w:rPr>
          <w:sz w:val="18"/>
        </w:rPr>
        <w:t>H.,</w:t>
      </w:r>
      <w:r>
        <w:rPr>
          <w:spacing w:val="-3"/>
          <w:sz w:val="18"/>
        </w:rPr>
        <w:t xml:space="preserve"> </w:t>
      </w:r>
      <w:r>
        <w:rPr>
          <w:sz w:val="18"/>
        </w:rPr>
        <w:t>and</w:t>
      </w:r>
      <w:r>
        <w:rPr>
          <w:spacing w:val="-3"/>
          <w:sz w:val="18"/>
        </w:rPr>
        <w:t xml:space="preserve"> </w:t>
      </w:r>
      <w:r>
        <w:rPr>
          <w:sz w:val="18"/>
        </w:rPr>
        <w:t>Dawson-Rose,</w:t>
      </w:r>
      <w:r>
        <w:rPr>
          <w:spacing w:val="-3"/>
          <w:sz w:val="18"/>
        </w:rPr>
        <w:t xml:space="preserve"> </w:t>
      </w:r>
      <w:r>
        <w:rPr>
          <w:sz w:val="18"/>
        </w:rPr>
        <w:t>C.</w:t>
      </w:r>
      <w:r>
        <w:rPr>
          <w:spacing w:val="-3"/>
          <w:sz w:val="18"/>
        </w:rPr>
        <w:t xml:space="preserve"> </w:t>
      </w:r>
      <w:r>
        <w:rPr>
          <w:sz w:val="18"/>
        </w:rPr>
        <w:t>(2021).</w:t>
      </w:r>
      <w:r>
        <w:rPr>
          <w:spacing w:val="-3"/>
          <w:sz w:val="18"/>
        </w:rPr>
        <w:t xml:space="preserve"> </w:t>
      </w:r>
      <w:r>
        <w:rPr>
          <w:sz w:val="18"/>
        </w:rPr>
        <w:t xml:space="preserve">Comparing substance use and mental health among sexual and gender minority and heterosexual cisgender </w:t>
      </w:r>
      <w:r>
        <w:rPr>
          <w:sz w:val="18"/>
        </w:rPr>
        <w:t>youth experiencing homelessness. Plos one, 16(3), e0248077.</w:t>
      </w:r>
    </w:p>
    <w:p w:rsidR="00200FDA" w:rsidRDefault="00F76C4C">
      <w:pPr>
        <w:spacing w:line="218" w:lineRule="exact"/>
        <w:ind w:left="140"/>
        <w:rPr>
          <w:sz w:val="18"/>
        </w:rPr>
      </w:pPr>
      <w:bookmarkStart w:id="764" w:name="_bookmark595"/>
      <w:bookmarkEnd w:id="764"/>
      <w:r>
        <w:rPr>
          <w:position w:val="5"/>
          <w:sz w:val="12"/>
        </w:rPr>
        <w:t>15</w:t>
      </w:r>
      <w:r>
        <w:rPr>
          <w:spacing w:val="11"/>
          <w:position w:val="5"/>
          <w:sz w:val="12"/>
        </w:rPr>
        <w:t xml:space="preserve"> </w:t>
      </w:r>
      <w:r>
        <w:rPr>
          <w:sz w:val="18"/>
        </w:rPr>
        <w:t>2022 Youth</w:t>
      </w:r>
      <w:r>
        <w:rPr>
          <w:spacing w:val="-1"/>
          <w:sz w:val="18"/>
        </w:rPr>
        <w:t xml:space="preserve"> </w:t>
      </w:r>
      <w:r>
        <w:rPr>
          <w:spacing w:val="-2"/>
          <w:sz w:val="18"/>
        </w:rPr>
        <w:t>Count</w:t>
      </w:r>
    </w:p>
    <w:p w:rsidR="00200FDA" w:rsidRDefault="00F76C4C">
      <w:pPr>
        <w:spacing w:before="1"/>
        <w:ind w:left="140" w:right="860" w:hanging="1"/>
        <w:rPr>
          <w:sz w:val="18"/>
        </w:rPr>
      </w:pPr>
      <w:bookmarkStart w:id="765" w:name="_bookmark596"/>
      <w:bookmarkEnd w:id="765"/>
      <w:r>
        <w:rPr>
          <w:position w:val="5"/>
          <w:sz w:val="12"/>
        </w:rPr>
        <w:t>16</w:t>
      </w:r>
      <w:r>
        <w:rPr>
          <w:spacing w:val="10"/>
          <w:position w:val="5"/>
          <w:sz w:val="12"/>
        </w:rPr>
        <w:t xml:space="preserve"> </w:t>
      </w:r>
      <w:r>
        <w:rPr>
          <w:sz w:val="18"/>
        </w:rPr>
        <w:t>Tribal</w:t>
      </w:r>
      <w:r>
        <w:rPr>
          <w:spacing w:val="-3"/>
          <w:sz w:val="18"/>
        </w:rPr>
        <w:t xml:space="preserve"> </w:t>
      </w:r>
      <w:r>
        <w:rPr>
          <w:sz w:val="18"/>
        </w:rPr>
        <w:t>Institute.</w:t>
      </w:r>
      <w:r>
        <w:rPr>
          <w:spacing w:val="-3"/>
          <w:sz w:val="18"/>
        </w:rPr>
        <w:t xml:space="preserve"> </w:t>
      </w:r>
      <w:r>
        <w:rPr>
          <w:sz w:val="18"/>
        </w:rPr>
        <w:t>(2014).</w:t>
      </w:r>
      <w:r>
        <w:rPr>
          <w:spacing w:val="-3"/>
          <w:sz w:val="18"/>
        </w:rPr>
        <w:t xml:space="preserve"> </w:t>
      </w:r>
      <w:r>
        <w:rPr>
          <w:sz w:val="18"/>
        </w:rPr>
        <w:t>Walking</w:t>
      </w:r>
      <w:r>
        <w:rPr>
          <w:spacing w:val="-3"/>
          <w:sz w:val="18"/>
        </w:rPr>
        <w:t xml:space="preserve"> </w:t>
      </w:r>
      <w:r>
        <w:rPr>
          <w:sz w:val="18"/>
        </w:rPr>
        <w:t>in</w:t>
      </w:r>
      <w:r>
        <w:rPr>
          <w:spacing w:val="-3"/>
          <w:sz w:val="18"/>
        </w:rPr>
        <w:t xml:space="preserve"> </w:t>
      </w:r>
      <w:r>
        <w:rPr>
          <w:sz w:val="18"/>
        </w:rPr>
        <w:t>Two</w:t>
      </w:r>
      <w:r>
        <w:rPr>
          <w:spacing w:val="-2"/>
          <w:sz w:val="18"/>
        </w:rPr>
        <w:t xml:space="preserve"> </w:t>
      </w:r>
      <w:r>
        <w:rPr>
          <w:sz w:val="18"/>
        </w:rPr>
        <w:t>Worlds:</w:t>
      </w:r>
      <w:r>
        <w:rPr>
          <w:spacing w:val="-3"/>
          <w:sz w:val="18"/>
        </w:rPr>
        <w:t xml:space="preserve"> </w:t>
      </w:r>
      <w:r>
        <w:rPr>
          <w:sz w:val="18"/>
        </w:rPr>
        <w:t>Understanding</w:t>
      </w:r>
      <w:r>
        <w:rPr>
          <w:spacing w:val="-3"/>
          <w:sz w:val="18"/>
        </w:rPr>
        <w:t xml:space="preserve"> </w:t>
      </w:r>
      <w:r>
        <w:rPr>
          <w:sz w:val="18"/>
        </w:rPr>
        <w:t>the</w:t>
      </w:r>
      <w:r>
        <w:rPr>
          <w:spacing w:val="-3"/>
          <w:sz w:val="18"/>
        </w:rPr>
        <w:t xml:space="preserve"> </w:t>
      </w:r>
      <w:r>
        <w:rPr>
          <w:sz w:val="18"/>
        </w:rPr>
        <w:t>Two-Spirit</w:t>
      </w:r>
      <w:r>
        <w:rPr>
          <w:spacing w:val="-3"/>
          <w:sz w:val="18"/>
        </w:rPr>
        <w:t xml:space="preserve"> </w:t>
      </w:r>
      <w:r>
        <w:rPr>
          <w:sz w:val="18"/>
        </w:rPr>
        <w:t>&amp;</w:t>
      </w:r>
      <w:r>
        <w:rPr>
          <w:spacing w:val="-3"/>
          <w:sz w:val="18"/>
        </w:rPr>
        <w:t xml:space="preserve"> </w:t>
      </w:r>
      <w:r>
        <w:rPr>
          <w:sz w:val="18"/>
        </w:rPr>
        <w:t>LGBTQ</w:t>
      </w:r>
      <w:r>
        <w:rPr>
          <w:spacing w:val="-3"/>
          <w:sz w:val="18"/>
        </w:rPr>
        <w:t xml:space="preserve"> </w:t>
      </w:r>
      <w:r>
        <w:rPr>
          <w:sz w:val="18"/>
        </w:rPr>
        <w:t>Community.</w:t>
      </w:r>
      <w:r>
        <w:rPr>
          <w:spacing w:val="-3"/>
          <w:sz w:val="18"/>
        </w:rPr>
        <w:t xml:space="preserve"> </w:t>
      </w:r>
      <w:r>
        <w:rPr>
          <w:sz w:val="18"/>
        </w:rPr>
        <w:t>Retrieved</w:t>
      </w:r>
      <w:r>
        <w:rPr>
          <w:spacing w:val="-3"/>
          <w:sz w:val="18"/>
        </w:rPr>
        <w:t xml:space="preserve"> </w:t>
      </w:r>
      <w:r>
        <w:rPr>
          <w:sz w:val="18"/>
        </w:rPr>
        <w:t xml:space="preserve">from: </w:t>
      </w:r>
      <w:hyperlink r:id="rId594">
        <w:r>
          <w:rPr>
            <w:spacing w:val="-2"/>
            <w:sz w:val="18"/>
          </w:rPr>
          <w:t>http://www.tribal-institute.org/2014/INCTwo-SpiritBooklet.pdf</w:t>
        </w:r>
      </w:hyperlink>
    </w:p>
    <w:p w:rsidR="00200FDA" w:rsidRDefault="00F76C4C">
      <w:pPr>
        <w:ind w:left="140" w:hanging="1"/>
        <w:rPr>
          <w:sz w:val="18"/>
        </w:rPr>
      </w:pPr>
      <w:bookmarkStart w:id="766" w:name="_bookmark597"/>
      <w:bookmarkEnd w:id="766"/>
      <w:r>
        <w:rPr>
          <w:position w:val="5"/>
          <w:sz w:val="12"/>
        </w:rPr>
        <w:t>17</w:t>
      </w:r>
      <w:r>
        <w:rPr>
          <w:spacing w:val="10"/>
          <w:position w:val="5"/>
          <w:sz w:val="12"/>
        </w:rPr>
        <w:t xml:space="preserve"> </w:t>
      </w:r>
      <w:r>
        <w:rPr>
          <w:sz w:val="18"/>
        </w:rPr>
        <w:t>Erney,</w:t>
      </w:r>
      <w:r>
        <w:rPr>
          <w:spacing w:val="-2"/>
          <w:sz w:val="18"/>
        </w:rPr>
        <w:t xml:space="preserve"> </w:t>
      </w:r>
      <w:r>
        <w:rPr>
          <w:sz w:val="18"/>
        </w:rPr>
        <w:t>R.,</w:t>
      </w:r>
      <w:r>
        <w:rPr>
          <w:spacing w:val="-2"/>
          <w:sz w:val="18"/>
        </w:rPr>
        <w:t xml:space="preserve"> </w:t>
      </w:r>
      <w:r>
        <w:rPr>
          <w:sz w:val="18"/>
        </w:rPr>
        <w:t>and</w:t>
      </w:r>
      <w:r>
        <w:rPr>
          <w:spacing w:val="-3"/>
          <w:sz w:val="18"/>
        </w:rPr>
        <w:t xml:space="preserve"> </w:t>
      </w:r>
      <w:r>
        <w:rPr>
          <w:sz w:val="18"/>
        </w:rPr>
        <w:t>Weber,</w:t>
      </w:r>
      <w:r>
        <w:rPr>
          <w:spacing w:val="-2"/>
          <w:sz w:val="18"/>
        </w:rPr>
        <w:t xml:space="preserve"> </w:t>
      </w:r>
      <w:r>
        <w:rPr>
          <w:sz w:val="18"/>
        </w:rPr>
        <w:t>K.</w:t>
      </w:r>
      <w:r>
        <w:rPr>
          <w:spacing w:val="-2"/>
          <w:sz w:val="18"/>
        </w:rPr>
        <w:t xml:space="preserve"> </w:t>
      </w:r>
      <w:r>
        <w:rPr>
          <w:sz w:val="18"/>
        </w:rPr>
        <w:t>(2018)</w:t>
      </w:r>
      <w:r>
        <w:rPr>
          <w:spacing w:val="-2"/>
          <w:sz w:val="18"/>
        </w:rPr>
        <w:t xml:space="preserve"> </w:t>
      </w:r>
      <w:r>
        <w:rPr>
          <w:sz w:val="18"/>
        </w:rPr>
        <w:t>"Not</w:t>
      </w:r>
      <w:r>
        <w:rPr>
          <w:spacing w:val="-3"/>
          <w:sz w:val="18"/>
        </w:rPr>
        <w:t xml:space="preserve"> </w:t>
      </w:r>
      <w:r>
        <w:rPr>
          <w:sz w:val="18"/>
        </w:rPr>
        <w:t>all</w:t>
      </w:r>
      <w:r>
        <w:rPr>
          <w:spacing w:val="-3"/>
          <w:sz w:val="18"/>
        </w:rPr>
        <w:t xml:space="preserve"> </w:t>
      </w:r>
      <w:r>
        <w:rPr>
          <w:sz w:val="18"/>
        </w:rPr>
        <w:t>Children</w:t>
      </w:r>
      <w:r>
        <w:rPr>
          <w:spacing w:val="-3"/>
          <w:sz w:val="18"/>
        </w:rPr>
        <w:t xml:space="preserve"> </w:t>
      </w:r>
      <w:r>
        <w:rPr>
          <w:sz w:val="18"/>
        </w:rPr>
        <w:t>are</w:t>
      </w:r>
      <w:r>
        <w:rPr>
          <w:spacing w:val="-3"/>
          <w:sz w:val="18"/>
        </w:rPr>
        <w:t xml:space="preserve"> </w:t>
      </w:r>
      <w:r>
        <w:rPr>
          <w:sz w:val="18"/>
        </w:rPr>
        <w:t>Straight</w:t>
      </w:r>
      <w:r>
        <w:rPr>
          <w:spacing w:val="-3"/>
          <w:sz w:val="18"/>
        </w:rPr>
        <w:t xml:space="preserve"> </w:t>
      </w:r>
      <w:r>
        <w:rPr>
          <w:sz w:val="18"/>
        </w:rPr>
        <w:t>and</w:t>
      </w:r>
      <w:r>
        <w:rPr>
          <w:spacing w:val="-1"/>
          <w:sz w:val="18"/>
        </w:rPr>
        <w:t xml:space="preserve"> </w:t>
      </w:r>
      <w:r>
        <w:rPr>
          <w:sz w:val="18"/>
        </w:rPr>
        <w:t>White:</w:t>
      </w:r>
      <w:r>
        <w:rPr>
          <w:spacing w:val="-2"/>
          <w:sz w:val="18"/>
        </w:rPr>
        <w:t xml:space="preserve"> </w:t>
      </w:r>
      <w:r>
        <w:rPr>
          <w:sz w:val="18"/>
        </w:rPr>
        <w:t>Strategies</w:t>
      </w:r>
      <w:r>
        <w:rPr>
          <w:spacing w:val="-3"/>
          <w:sz w:val="18"/>
        </w:rPr>
        <w:t xml:space="preserve"> </w:t>
      </w:r>
      <w:r>
        <w:rPr>
          <w:sz w:val="18"/>
        </w:rPr>
        <w:t>for</w:t>
      </w:r>
      <w:r>
        <w:rPr>
          <w:spacing w:val="-3"/>
          <w:sz w:val="18"/>
        </w:rPr>
        <w:t xml:space="preserve"> </w:t>
      </w:r>
      <w:r>
        <w:rPr>
          <w:sz w:val="18"/>
        </w:rPr>
        <w:t>Serving</w:t>
      </w:r>
      <w:r>
        <w:rPr>
          <w:spacing w:val="-3"/>
          <w:sz w:val="18"/>
        </w:rPr>
        <w:t xml:space="preserve"> </w:t>
      </w:r>
      <w:r>
        <w:rPr>
          <w:sz w:val="18"/>
        </w:rPr>
        <w:t>Youth</w:t>
      </w:r>
      <w:r>
        <w:rPr>
          <w:spacing w:val="-3"/>
          <w:sz w:val="18"/>
        </w:rPr>
        <w:t xml:space="preserve"> </w:t>
      </w:r>
      <w:r>
        <w:rPr>
          <w:sz w:val="18"/>
        </w:rPr>
        <w:t>of</w:t>
      </w:r>
      <w:r>
        <w:rPr>
          <w:spacing w:val="-2"/>
          <w:sz w:val="18"/>
        </w:rPr>
        <w:t xml:space="preserve"> </w:t>
      </w:r>
      <w:r>
        <w:rPr>
          <w:sz w:val="18"/>
        </w:rPr>
        <w:t>Color</w:t>
      </w:r>
      <w:r>
        <w:rPr>
          <w:spacing w:val="-3"/>
          <w:sz w:val="18"/>
        </w:rPr>
        <w:t xml:space="preserve"> </w:t>
      </w:r>
      <w:r>
        <w:rPr>
          <w:sz w:val="18"/>
        </w:rPr>
        <w:t>in</w:t>
      </w:r>
      <w:r>
        <w:rPr>
          <w:spacing w:val="-3"/>
          <w:sz w:val="18"/>
        </w:rPr>
        <w:t xml:space="preserve"> </w:t>
      </w:r>
      <w:r>
        <w:rPr>
          <w:sz w:val="18"/>
        </w:rPr>
        <w:t xml:space="preserve">Out-of-Home care who Identify as LGBTQ." </w:t>
      </w:r>
      <w:r>
        <w:rPr>
          <w:i/>
          <w:sz w:val="18"/>
        </w:rPr>
        <w:t xml:space="preserve">Child Welfare </w:t>
      </w:r>
      <w:r>
        <w:rPr>
          <w:sz w:val="18"/>
        </w:rPr>
        <w:t>v.96, no. 2.</w:t>
      </w:r>
    </w:p>
    <w:p w:rsidR="00200FDA" w:rsidRDefault="00F76C4C">
      <w:pPr>
        <w:ind w:left="140" w:right="222" w:hanging="1"/>
        <w:rPr>
          <w:sz w:val="18"/>
        </w:rPr>
      </w:pPr>
      <w:bookmarkStart w:id="767" w:name="_bookmark598"/>
      <w:bookmarkEnd w:id="767"/>
      <w:r>
        <w:rPr>
          <w:position w:val="5"/>
          <w:sz w:val="12"/>
        </w:rPr>
        <w:t>18</w:t>
      </w:r>
      <w:r>
        <w:rPr>
          <w:spacing w:val="9"/>
          <w:position w:val="5"/>
          <w:sz w:val="12"/>
        </w:rPr>
        <w:t xml:space="preserve"> </w:t>
      </w:r>
      <w:r>
        <w:rPr>
          <w:sz w:val="18"/>
        </w:rPr>
        <w:t>The</w:t>
      </w:r>
      <w:r>
        <w:rPr>
          <w:spacing w:val="-4"/>
          <w:sz w:val="18"/>
        </w:rPr>
        <w:t xml:space="preserve"> </w:t>
      </w:r>
      <w:r>
        <w:rPr>
          <w:sz w:val="18"/>
        </w:rPr>
        <w:t>Commonwealth</w:t>
      </w:r>
      <w:r>
        <w:rPr>
          <w:spacing w:val="-4"/>
          <w:sz w:val="18"/>
        </w:rPr>
        <w:t xml:space="preserve"> </w:t>
      </w:r>
      <w:r>
        <w:rPr>
          <w:sz w:val="18"/>
        </w:rPr>
        <w:t>of</w:t>
      </w:r>
      <w:r>
        <w:rPr>
          <w:spacing w:val="-3"/>
          <w:sz w:val="18"/>
        </w:rPr>
        <w:t xml:space="preserve"> </w:t>
      </w:r>
      <w:r>
        <w:rPr>
          <w:sz w:val="18"/>
        </w:rPr>
        <w:t>Massachusetts</w:t>
      </w:r>
      <w:r>
        <w:rPr>
          <w:spacing w:val="-4"/>
          <w:sz w:val="18"/>
        </w:rPr>
        <w:t xml:space="preserve"> </w:t>
      </w:r>
      <w:r>
        <w:rPr>
          <w:sz w:val="18"/>
        </w:rPr>
        <w:t>Special</w:t>
      </w:r>
      <w:r>
        <w:rPr>
          <w:spacing w:val="-4"/>
          <w:sz w:val="18"/>
        </w:rPr>
        <w:t xml:space="preserve"> </w:t>
      </w:r>
      <w:r>
        <w:rPr>
          <w:sz w:val="18"/>
        </w:rPr>
        <w:t>Commission</w:t>
      </w:r>
      <w:r>
        <w:rPr>
          <w:spacing w:val="-4"/>
          <w:sz w:val="18"/>
        </w:rPr>
        <w:t xml:space="preserve"> </w:t>
      </w:r>
      <w:r>
        <w:rPr>
          <w:sz w:val="18"/>
        </w:rPr>
        <w:t>on</w:t>
      </w:r>
      <w:r>
        <w:rPr>
          <w:spacing w:val="-4"/>
          <w:sz w:val="18"/>
        </w:rPr>
        <w:t xml:space="preserve"> </w:t>
      </w:r>
      <w:r>
        <w:rPr>
          <w:sz w:val="18"/>
        </w:rPr>
        <w:t>Unaccompanied</w:t>
      </w:r>
      <w:r>
        <w:rPr>
          <w:spacing w:val="-4"/>
          <w:sz w:val="18"/>
        </w:rPr>
        <w:t xml:space="preserve"> </w:t>
      </w:r>
      <w:r>
        <w:rPr>
          <w:sz w:val="18"/>
        </w:rPr>
        <w:t>Homeless</w:t>
      </w:r>
      <w:r>
        <w:rPr>
          <w:spacing w:val="-4"/>
          <w:sz w:val="18"/>
        </w:rPr>
        <w:t xml:space="preserve"> </w:t>
      </w:r>
      <w:r>
        <w:rPr>
          <w:sz w:val="18"/>
        </w:rPr>
        <w:t>Youth.</w:t>
      </w:r>
      <w:r>
        <w:rPr>
          <w:spacing w:val="-3"/>
          <w:sz w:val="18"/>
        </w:rPr>
        <w:t xml:space="preserve"> </w:t>
      </w:r>
      <w:r>
        <w:rPr>
          <w:sz w:val="18"/>
        </w:rPr>
        <w:t>(2018).</w:t>
      </w:r>
      <w:r>
        <w:rPr>
          <w:spacing w:val="-3"/>
          <w:sz w:val="18"/>
        </w:rPr>
        <w:t xml:space="preserve"> </w:t>
      </w:r>
      <w:r>
        <w:rPr>
          <w:sz w:val="18"/>
        </w:rPr>
        <w:t>Massachusetts</w:t>
      </w:r>
      <w:r>
        <w:rPr>
          <w:spacing w:val="-2"/>
          <w:sz w:val="18"/>
        </w:rPr>
        <w:t xml:space="preserve"> </w:t>
      </w:r>
      <w:r>
        <w:rPr>
          <w:sz w:val="18"/>
        </w:rPr>
        <w:t xml:space="preserve">State Plan to End Youth Homelessness. Retrieved from: </w:t>
      </w:r>
      <w:r>
        <w:rPr>
          <w:spacing w:val="-2"/>
          <w:sz w:val="18"/>
        </w:rPr>
        <w:t>https://</w:t>
      </w:r>
      <w:hyperlink r:id="rId595">
        <w:r>
          <w:rPr>
            <w:spacing w:val="-2"/>
            <w:sz w:val="18"/>
          </w:rPr>
          <w:t>www.mass.gov/files/documents/2018/05/01/Massachusetts%20State%20Plan%20to%20End%20Youth%2</w:t>
        </w:r>
      </w:hyperlink>
      <w:r>
        <w:rPr>
          <w:sz w:val="18"/>
        </w:rPr>
        <w:t xml:space="preserve"> </w:t>
      </w:r>
      <w:r>
        <w:rPr>
          <w:spacing w:val="-2"/>
          <w:sz w:val="18"/>
        </w:rPr>
        <w:t>0Homelessness%20-%202018.pdf</w:t>
      </w:r>
    </w:p>
    <w:p w:rsidR="00200FDA" w:rsidRDefault="00F76C4C">
      <w:pPr>
        <w:ind w:left="140" w:right="364" w:hanging="1"/>
        <w:rPr>
          <w:sz w:val="18"/>
        </w:rPr>
      </w:pPr>
      <w:bookmarkStart w:id="768" w:name="_bookmark599"/>
      <w:bookmarkEnd w:id="768"/>
      <w:r>
        <w:rPr>
          <w:position w:val="5"/>
          <w:sz w:val="12"/>
        </w:rPr>
        <w:t>19</w:t>
      </w:r>
      <w:r>
        <w:rPr>
          <w:spacing w:val="10"/>
          <w:position w:val="5"/>
          <w:sz w:val="12"/>
        </w:rPr>
        <w:t xml:space="preserve"> </w:t>
      </w:r>
      <w:r>
        <w:rPr>
          <w:sz w:val="18"/>
        </w:rPr>
        <w:t>Brodie</w:t>
      </w:r>
      <w:r>
        <w:rPr>
          <w:spacing w:val="-3"/>
          <w:sz w:val="18"/>
        </w:rPr>
        <w:t xml:space="preserve"> </w:t>
      </w:r>
      <w:r>
        <w:rPr>
          <w:sz w:val="18"/>
        </w:rPr>
        <w:t>Fraser</w:t>
      </w:r>
      <w:r>
        <w:rPr>
          <w:spacing w:val="-3"/>
          <w:sz w:val="18"/>
        </w:rPr>
        <w:t xml:space="preserve"> </w:t>
      </w:r>
      <w:r>
        <w:rPr>
          <w:sz w:val="18"/>
        </w:rPr>
        <w:t>et</w:t>
      </w:r>
      <w:r>
        <w:rPr>
          <w:spacing w:val="-3"/>
          <w:sz w:val="18"/>
        </w:rPr>
        <w:t xml:space="preserve"> </w:t>
      </w:r>
      <w:r>
        <w:rPr>
          <w:sz w:val="18"/>
        </w:rPr>
        <w:t>a</w:t>
      </w:r>
      <w:r>
        <w:rPr>
          <w:sz w:val="18"/>
        </w:rPr>
        <w:t>l.,</w:t>
      </w:r>
      <w:r>
        <w:rPr>
          <w:spacing w:val="-2"/>
          <w:sz w:val="18"/>
        </w:rPr>
        <w:t xml:space="preserve"> </w:t>
      </w:r>
      <w:r>
        <w:rPr>
          <w:sz w:val="18"/>
        </w:rPr>
        <w:t>“LGBTIQ+</w:t>
      </w:r>
      <w:r>
        <w:rPr>
          <w:spacing w:val="-3"/>
          <w:sz w:val="18"/>
        </w:rPr>
        <w:t xml:space="preserve"> </w:t>
      </w:r>
      <w:r>
        <w:rPr>
          <w:sz w:val="18"/>
        </w:rPr>
        <w:t>Homelessness: A</w:t>
      </w:r>
      <w:r>
        <w:rPr>
          <w:spacing w:val="-3"/>
          <w:sz w:val="18"/>
        </w:rPr>
        <w:t xml:space="preserve"> </w:t>
      </w:r>
      <w:r>
        <w:rPr>
          <w:sz w:val="18"/>
        </w:rPr>
        <w:t>Review</w:t>
      </w:r>
      <w:r>
        <w:rPr>
          <w:spacing w:val="-1"/>
          <w:sz w:val="18"/>
        </w:rPr>
        <w:t xml:space="preserve"> </w:t>
      </w:r>
      <w:r>
        <w:rPr>
          <w:sz w:val="18"/>
        </w:rPr>
        <w:t>of</w:t>
      </w:r>
      <w:r>
        <w:rPr>
          <w:spacing w:val="-2"/>
          <w:sz w:val="18"/>
        </w:rPr>
        <w:t xml:space="preserve"> </w:t>
      </w:r>
      <w:r>
        <w:rPr>
          <w:sz w:val="18"/>
        </w:rPr>
        <w:t>the</w:t>
      </w:r>
      <w:r>
        <w:rPr>
          <w:spacing w:val="-3"/>
          <w:sz w:val="18"/>
        </w:rPr>
        <w:t xml:space="preserve"> </w:t>
      </w:r>
      <w:r>
        <w:rPr>
          <w:sz w:val="18"/>
        </w:rPr>
        <w:t>Literature,”</w:t>
      </w:r>
      <w:r>
        <w:rPr>
          <w:spacing w:val="-3"/>
          <w:sz w:val="18"/>
        </w:rPr>
        <w:t xml:space="preserve"> </w:t>
      </w:r>
      <w:r>
        <w:rPr>
          <w:i/>
          <w:sz w:val="18"/>
        </w:rPr>
        <w:t>International</w:t>
      </w:r>
      <w:r>
        <w:rPr>
          <w:i/>
          <w:spacing w:val="-3"/>
          <w:sz w:val="18"/>
        </w:rPr>
        <w:t xml:space="preserve"> </w:t>
      </w:r>
      <w:r>
        <w:rPr>
          <w:i/>
          <w:sz w:val="18"/>
        </w:rPr>
        <w:t>Journal</w:t>
      </w:r>
      <w:r>
        <w:rPr>
          <w:i/>
          <w:spacing w:val="-3"/>
          <w:sz w:val="18"/>
        </w:rPr>
        <w:t xml:space="preserve"> </w:t>
      </w:r>
      <w:r>
        <w:rPr>
          <w:i/>
          <w:sz w:val="18"/>
        </w:rPr>
        <w:t>of</w:t>
      </w:r>
      <w:r>
        <w:rPr>
          <w:i/>
          <w:spacing w:val="-4"/>
          <w:sz w:val="18"/>
        </w:rPr>
        <w:t xml:space="preserve"> </w:t>
      </w:r>
      <w:r>
        <w:rPr>
          <w:i/>
          <w:sz w:val="18"/>
        </w:rPr>
        <w:t>Environmental</w:t>
      </w:r>
      <w:r>
        <w:rPr>
          <w:i/>
          <w:spacing w:val="-3"/>
          <w:sz w:val="18"/>
        </w:rPr>
        <w:t xml:space="preserve"> </w:t>
      </w:r>
      <w:r>
        <w:rPr>
          <w:i/>
          <w:sz w:val="18"/>
        </w:rPr>
        <w:t xml:space="preserve">Research and Public Health </w:t>
      </w:r>
      <w:r>
        <w:rPr>
          <w:sz w:val="18"/>
        </w:rPr>
        <w:t>16, no. 15 (August 2019): 2677, https://doi.org/10.3390/ijerph16152677.</w:t>
      </w:r>
    </w:p>
    <w:p w:rsidR="00200FDA" w:rsidRDefault="00F76C4C">
      <w:pPr>
        <w:ind w:left="140" w:hanging="1"/>
        <w:rPr>
          <w:sz w:val="18"/>
        </w:rPr>
      </w:pPr>
      <w:bookmarkStart w:id="769" w:name="_bookmark600"/>
      <w:bookmarkEnd w:id="769"/>
      <w:r>
        <w:rPr>
          <w:position w:val="5"/>
          <w:sz w:val="12"/>
        </w:rPr>
        <w:t>20</w:t>
      </w:r>
      <w:r>
        <w:rPr>
          <w:spacing w:val="10"/>
          <w:position w:val="5"/>
          <w:sz w:val="12"/>
        </w:rPr>
        <w:t xml:space="preserve"> </w:t>
      </w:r>
      <w:r>
        <w:rPr>
          <w:sz w:val="18"/>
        </w:rPr>
        <w:t>Shelton,</w:t>
      </w:r>
      <w:r>
        <w:rPr>
          <w:spacing w:val="-2"/>
          <w:sz w:val="18"/>
        </w:rPr>
        <w:t xml:space="preserve"> </w:t>
      </w:r>
      <w:r>
        <w:rPr>
          <w:sz w:val="18"/>
        </w:rPr>
        <w:t>J.,</w:t>
      </w:r>
      <w:r>
        <w:rPr>
          <w:spacing w:val="-2"/>
          <w:sz w:val="18"/>
        </w:rPr>
        <w:t xml:space="preserve"> </w:t>
      </w:r>
      <w:r>
        <w:rPr>
          <w:sz w:val="18"/>
        </w:rPr>
        <w:t>&amp;</w:t>
      </w:r>
      <w:r>
        <w:rPr>
          <w:spacing w:val="-3"/>
          <w:sz w:val="18"/>
        </w:rPr>
        <w:t xml:space="preserve"> </w:t>
      </w:r>
      <w:r>
        <w:rPr>
          <w:sz w:val="18"/>
        </w:rPr>
        <w:t>Bond,</w:t>
      </w:r>
      <w:r>
        <w:rPr>
          <w:spacing w:val="-2"/>
          <w:sz w:val="18"/>
        </w:rPr>
        <w:t xml:space="preserve"> </w:t>
      </w:r>
      <w:r>
        <w:rPr>
          <w:sz w:val="18"/>
        </w:rPr>
        <w:t>L.</w:t>
      </w:r>
      <w:r>
        <w:rPr>
          <w:spacing w:val="-2"/>
          <w:sz w:val="18"/>
        </w:rPr>
        <w:t xml:space="preserve"> </w:t>
      </w:r>
      <w:r>
        <w:rPr>
          <w:sz w:val="18"/>
        </w:rPr>
        <w:t>(2017).</w:t>
      </w:r>
      <w:r>
        <w:rPr>
          <w:spacing w:val="-2"/>
          <w:sz w:val="18"/>
        </w:rPr>
        <w:t xml:space="preserve"> </w:t>
      </w:r>
      <w:r>
        <w:rPr>
          <w:sz w:val="18"/>
        </w:rPr>
        <w:t>“It</w:t>
      </w:r>
      <w:r>
        <w:rPr>
          <w:spacing w:val="-3"/>
          <w:sz w:val="18"/>
        </w:rPr>
        <w:t xml:space="preserve"> </w:t>
      </w:r>
      <w:r>
        <w:rPr>
          <w:sz w:val="18"/>
        </w:rPr>
        <w:t>just</w:t>
      </w:r>
      <w:r>
        <w:rPr>
          <w:spacing w:val="-3"/>
          <w:sz w:val="18"/>
        </w:rPr>
        <w:t xml:space="preserve"> </w:t>
      </w:r>
      <w:r>
        <w:rPr>
          <w:sz w:val="18"/>
        </w:rPr>
        <w:t>never</w:t>
      </w:r>
      <w:r>
        <w:rPr>
          <w:spacing w:val="-3"/>
          <w:sz w:val="18"/>
        </w:rPr>
        <w:t xml:space="preserve"> </w:t>
      </w:r>
      <w:r>
        <w:rPr>
          <w:sz w:val="18"/>
        </w:rPr>
        <w:t>worked</w:t>
      </w:r>
      <w:r>
        <w:rPr>
          <w:spacing w:val="-3"/>
          <w:sz w:val="18"/>
        </w:rPr>
        <w:t xml:space="preserve"> </w:t>
      </w:r>
      <w:r>
        <w:rPr>
          <w:sz w:val="18"/>
        </w:rPr>
        <w:t>out”:</w:t>
      </w:r>
      <w:r>
        <w:rPr>
          <w:spacing w:val="-3"/>
          <w:sz w:val="18"/>
        </w:rPr>
        <w:t xml:space="preserve"> </w:t>
      </w:r>
      <w:r>
        <w:rPr>
          <w:sz w:val="18"/>
        </w:rPr>
        <w:t>How</w:t>
      </w:r>
      <w:r>
        <w:rPr>
          <w:spacing w:val="-1"/>
          <w:sz w:val="18"/>
        </w:rPr>
        <w:t xml:space="preserve"> </w:t>
      </w:r>
      <w:r>
        <w:rPr>
          <w:sz w:val="18"/>
        </w:rPr>
        <w:t>transgender</w:t>
      </w:r>
      <w:r>
        <w:rPr>
          <w:spacing w:val="-3"/>
          <w:sz w:val="18"/>
        </w:rPr>
        <w:t xml:space="preserve"> </w:t>
      </w:r>
      <w:r>
        <w:rPr>
          <w:sz w:val="18"/>
        </w:rPr>
        <w:t>and</w:t>
      </w:r>
      <w:r>
        <w:rPr>
          <w:spacing w:val="-3"/>
          <w:sz w:val="18"/>
        </w:rPr>
        <w:t xml:space="preserve"> </w:t>
      </w:r>
      <w:r>
        <w:rPr>
          <w:sz w:val="18"/>
        </w:rPr>
        <w:t>gender</w:t>
      </w:r>
      <w:r>
        <w:rPr>
          <w:spacing w:val="-3"/>
          <w:sz w:val="18"/>
        </w:rPr>
        <w:t xml:space="preserve"> </w:t>
      </w:r>
      <w:r>
        <w:rPr>
          <w:sz w:val="18"/>
        </w:rPr>
        <w:t>expansive</w:t>
      </w:r>
      <w:r>
        <w:rPr>
          <w:spacing w:val="-3"/>
          <w:sz w:val="18"/>
        </w:rPr>
        <w:t xml:space="preserve"> </w:t>
      </w:r>
      <w:r>
        <w:rPr>
          <w:sz w:val="18"/>
        </w:rPr>
        <w:t>youth</w:t>
      </w:r>
      <w:r>
        <w:rPr>
          <w:spacing w:val="-3"/>
          <w:sz w:val="18"/>
        </w:rPr>
        <w:t xml:space="preserve"> </w:t>
      </w:r>
      <w:r>
        <w:rPr>
          <w:sz w:val="18"/>
        </w:rPr>
        <w:t>understand</w:t>
      </w:r>
      <w:r>
        <w:rPr>
          <w:spacing w:val="-3"/>
          <w:sz w:val="18"/>
        </w:rPr>
        <w:t xml:space="preserve"> </w:t>
      </w:r>
      <w:r>
        <w:rPr>
          <w:sz w:val="18"/>
        </w:rPr>
        <w:t>their pathways into homelessness. Families in Society, 98(4), 284-291.</w:t>
      </w:r>
    </w:p>
    <w:p w:rsidR="00200FDA" w:rsidRDefault="00F76C4C">
      <w:pPr>
        <w:spacing w:before="1" w:line="219" w:lineRule="exact"/>
        <w:ind w:left="140"/>
        <w:rPr>
          <w:sz w:val="18"/>
        </w:rPr>
      </w:pPr>
      <w:bookmarkStart w:id="770" w:name="_bookmark601"/>
      <w:bookmarkEnd w:id="770"/>
      <w:r>
        <w:rPr>
          <w:position w:val="5"/>
          <w:sz w:val="12"/>
        </w:rPr>
        <w:t>21</w:t>
      </w:r>
      <w:r>
        <w:rPr>
          <w:spacing w:val="10"/>
          <w:position w:val="5"/>
          <w:sz w:val="12"/>
        </w:rPr>
        <w:t xml:space="preserve"> </w:t>
      </w:r>
      <w:r>
        <w:rPr>
          <w:sz w:val="18"/>
        </w:rPr>
        <w:t>Ross,</w:t>
      </w:r>
      <w:r>
        <w:rPr>
          <w:spacing w:val="-2"/>
          <w:sz w:val="18"/>
        </w:rPr>
        <w:t xml:space="preserve"> </w:t>
      </w:r>
      <w:r>
        <w:rPr>
          <w:sz w:val="18"/>
        </w:rPr>
        <w:t>“Massachusetts</w:t>
      </w:r>
      <w:r>
        <w:rPr>
          <w:spacing w:val="-3"/>
          <w:sz w:val="18"/>
        </w:rPr>
        <w:t xml:space="preserve"> </w:t>
      </w:r>
      <w:r>
        <w:rPr>
          <w:sz w:val="18"/>
        </w:rPr>
        <w:t>2022</w:t>
      </w:r>
      <w:r>
        <w:rPr>
          <w:spacing w:val="-3"/>
          <w:sz w:val="18"/>
        </w:rPr>
        <w:t xml:space="preserve"> </w:t>
      </w:r>
      <w:r>
        <w:rPr>
          <w:sz w:val="18"/>
        </w:rPr>
        <w:t>Youth</w:t>
      </w:r>
      <w:r>
        <w:rPr>
          <w:spacing w:val="-2"/>
          <w:sz w:val="18"/>
        </w:rPr>
        <w:t xml:space="preserve"> Count.”</w:t>
      </w:r>
    </w:p>
    <w:p w:rsidR="00200FDA" w:rsidRDefault="00F76C4C">
      <w:pPr>
        <w:ind w:left="140" w:right="2477" w:hanging="1"/>
        <w:rPr>
          <w:sz w:val="18"/>
        </w:rPr>
      </w:pPr>
      <w:bookmarkStart w:id="771" w:name="_bookmark602"/>
      <w:bookmarkEnd w:id="771"/>
      <w:r>
        <w:rPr>
          <w:position w:val="5"/>
          <w:sz w:val="12"/>
        </w:rPr>
        <w:t>22</w:t>
      </w:r>
      <w:r>
        <w:rPr>
          <w:spacing w:val="9"/>
          <w:position w:val="5"/>
          <w:sz w:val="12"/>
        </w:rPr>
        <w:t xml:space="preserve"> </w:t>
      </w:r>
      <w:r>
        <w:rPr>
          <w:sz w:val="18"/>
        </w:rPr>
        <w:t>Massachusetts</w:t>
      </w:r>
      <w:r>
        <w:rPr>
          <w:spacing w:val="-4"/>
          <w:sz w:val="18"/>
        </w:rPr>
        <w:t xml:space="preserve"> </w:t>
      </w:r>
      <w:r>
        <w:rPr>
          <w:sz w:val="18"/>
        </w:rPr>
        <w:t>Coalition</w:t>
      </w:r>
      <w:r>
        <w:rPr>
          <w:spacing w:val="-4"/>
          <w:sz w:val="18"/>
        </w:rPr>
        <w:t xml:space="preserve"> </w:t>
      </w:r>
      <w:r>
        <w:rPr>
          <w:sz w:val="18"/>
        </w:rPr>
        <w:t>for</w:t>
      </w:r>
      <w:r>
        <w:rPr>
          <w:spacing w:val="-4"/>
          <w:sz w:val="18"/>
        </w:rPr>
        <w:t xml:space="preserve"> </w:t>
      </w:r>
      <w:r>
        <w:rPr>
          <w:sz w:val="18"/>
        </w:rPr>
        <w:t>the</w:t>
      </w:r>
      <w:r>
        <w:rPr>
          <w:spacing w:val="-2"/>
          <w:sz w:val="18"/>
        </w:rPr>
        <w:t xml:space="preserve"> </w:t>
      </w:r>
      <w:r>
        <w:rPr>
          <w:sz w:val="18"/>
        </w:rPr>
        <w:t>Homeless,</w:t>
      </w:r>
      <w:r>
        <w:rPr>
          <w:spacing w:val="-3"/>
          <w:sz w:val="18"/>
        </w:rPr>
        <w:t xml:space="preserve"> </w:t>
      </w:r>
      <w:r>
        <w:rPr>
          <w:sz w:val="18"/>
        </w:rPr>
        <w:t>Massachusetts</w:t>
      </w:r>
      <w:r>
        <w:rPr>
          <w:spacing w:val="-4"/>
          <w:sz w:val="18"/>
        </w:rPr>
        <w:t xml:space="preserve"> </w:t>
      </w:r>
      <w:r>
        <w:rPr>
          <w:sz w:val="18"/>
        </w:rPr>
        <w:t>Youth</w:t>
      </w:r>
      <w:r>
        <w:rPr>
          <w:spacing w:val="-2"/>
          <w:sz w:val="18"/>
        </w:rPr>
        <w:t xml:space="preserve"> </w:t>
      </w:r>
      <w:r>
        <w:rPr>
          <w:sz w:val="18"/>
        </w:rPr>
        <w:t>Count</w:t>
      </w:r>
      <w:r>
        <w:rPr>
          <w:spacing w:val="-4"/>
          <w:sz w:val="18"/>
        </w:rPr>
        <w:t xml:space="preserve"> </w:t>
      </w:r>
      <w:r>
        <w:rPr>
          <w:sz w:val="18"/>
        </w:rPr>
        <w:t>(2019),</w:t>
      </w:r>
      <w:r>
        <w:rPr>
          <w:spacing w:val="-3"/>
          <w:sz w:val="18"/>
        </w:rPr>
        <w:t xml:space="preserve"> </w:t>
      </w:r>
      <w:r>
        <w:rPr>
          <w:sz w:val="18"/>
        </w:rPr>
        <w:t>retrieve</w:t>
      </w:r>
      <w:r>
        <w:rPr>
          <w:sz w:val="18"/>
        </w:rPr>
        <w:t>d</w:t>
      </w:r>
      <w:r>
        <w:rPr>
          <w:spacing w:val="-4"/>
          <w:sz w:val="18"/>
        </w:rPr>
        <w:t xml:space="preserve"> </w:t>
      </w:r>
      <w:r>
        <w:rPr>
          <w:sz w:val="18"/>
        </w:rPr>
        <w:t xml:space="preserve">from </w:t>
      </w:r>
      <w:r>
        <w:rPr>
          <w:spacing w:val="-2"/>
          <w:sz w:val="18"/>
        </w:rPr>
        <w:t>https://</w:t>
      </w:r>
      <w:hyperlink r:id="rId596">
        <w:r>
          <w:rPr>
            <w:spacing w:val="-2"/>
            <w:sz w:val="18"/>
          </w:rPr>
          <w:t>www.mass.gov/doc/2019-massachusetts-youth-count/download.</w:t>
        </w:r>
      </w:hyperlink>
    </w:p>
    <w:p w:rsidR="00200FDA" w:rsidRDefault="00F76C4C">
      <w:pPr>
        <w:spacing w:line="219" w:lineRule="exact"/>
        <w:ind w:left="140"/>
        <w:rPr>
          <w:sz w:val="18"/>
        </w:rPr>
      </w:pPr>
      <w:bookmarkStart w:id="772" w:name="_bookmark603"/>
      <w:bookmarkEnd w:id="772"/>
      <w:r>
        <w:rPr>
          <w:position w:val="5"/>
          <w:sz w:val="12"/>
        </w:rPr>
        <w:t>23</w:t>
      </w:r>
      <w:r>
        <w:rPr>
          <w:spacing w:val="10"/>
          <w:position w:val="5"/>
          <w:sz w:val="12"/>
        </w:rPr>
        <w:t xml:space="preserve"> </w:t>
      </w:r>
      <w:r>
        <w:rPr>
          <w:sz w:val="18"/>
        </w:rPr>
        <w:t>Fraser</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“LGBTIQ+</w:t>
      </w:r>
      <w:r>
        <w:rPr>
          <w:spacing w:val="-2"/>
          <w:sz w:val="18"/>
        </w:rPr>
        <w:t xml:space="preserve"> Homelessness.”</w:t>
      </w:r>
    </w:p>
    <w:p w:rsidR="00200FDA" w:rsidRDefault="00F76C4C">
      <w:pPr>
        <w:spacing w:before="1"/>
        <w:ind w:left="140" w:hanging="1"/>
        <w:rPr>
          <w:sz w:val="18"/>
        </w:rPr>
      </w:pPr>
      <w:bookmarkStart w:id="773" w:name="_bookmark604"/>
      <w:bookmarkEnd w:id="773"/>
      <w:r>
        <w:rPr>
          <w:position w:val="5"/>
          <w:sz w:val="12"/>
        </w:rPr>
        <w:t>24</w:t>
      </w:r>
      <w:r>
        <w:rPr>
          <w:spacing w:val="10"/>
          <w:position w:val="5"/>
          <w:sz w:val="12"/>
        </w:rPr>
        <w:t xml:space="preserve"> </w:t>
      </w:r>
      <w:r>
        <w:rPr>
          <w:sz w:val="18"/>
        </w:rPr>
        <w:t>Soon</w:t>
      </w:r>
      <w:r>
        <w:rPr>
          <w:spacing w:val="-3"/>
          <w:sz w:val="18"/>
        </w:rPr>
        <w:t xml:space="preserve"> </w:t>
      </w:r>
      <w:r>
        <w:rPr>
          <w:sz w:val="18"/>
        </w:rPr>
        <w:t>Kyu</w:t>
      </w:r>
      <w:r>
        <w:rPr>
          <w:spacing w:val="-3"/>
          <w:sz w:val="18"/>
        </w:rPr>
        <w:t xml:space="preserve"> </w:t>
      </w:r>
      <w:r>
        <w:rPr>
          <w:sz w:val="18"/>
        </w:rPr>
        <w:t>Choi</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“Serving</w:t>
      </w:r>
      <w:r>
        <w:rPr>
          <w:spacing w:val="-3"/>
          <w:sz w:val="18"/>
        </w:rPr>
        <w:t xml:space="preserve"> </w:t>
      </w:r>
      <w:r>
        <w:rPr>
          <w:sz w:val="18"/>
        </w:rPr>
        <w:t>Our</w:t>
      </w:r>
      <w:r>
        <w:rPr>
          <w:spacing w:val="-3"/>
          <w:sz w:val="18"/>
        </w:rPr>
        <w:t xml:space="preserve"> </w:t>
      </w:r>
      <w:r>
        <w:rPr>
          <w:sz w:val="18"/>
        </w:rPr>
        <w:t>Youth</w:t>
      </w:r>
      <w:r>
        <w:rPr>
          <w:spacing w:val="-3"/>
          <w:sz w:val="18"/>
        </w:rPr>
        <w:t xml:space="preserve"> </w:t>
      </w:r>
      <w:r>
        <w:rPr>
          <w:sz w:val="18"/>
        </w:rPr>
        <w:t>2015:</w:t>
      </w:r>
      <w:r>
        <w:rPr>
          <w:spacing w:val="-2"/>
          <w:sz w:val="18"/>
        </w:rPr>
        <w:t xml:space="preserve"> </w:t>
      </w:r>
      <w:r>
        <w:rPr>
          <w:sz w:val="18"/>
        </w:rPr>
        <w:t>The</w:t>
      </w:r>
      <w:r>
        <w:rPr>
          <w:spacing w:val="-3"/>
          <w:sz w:val="18"/>
        </w:rPr>
        <w:t xml:space="preserve"> </w:t>
      </w:r>
      <w:r>
        <w:rPr>
          <w:sz w:val="18"/>
        </w:rPr>
        <w:t>Needs</w:t>
      </w:r>
      <w:r>
        <w:rPr>
          <w:spacing w:val="-3"/>
          <w:sz w:val="18"/>
        </w:rPr>
        <w:t xml:space="preserve"> </w:t>
      </w:r>
      <w:r>
        <w:rPr>
          <w:sz w:val="18"/>
        </w:rPr>
        <w:t>and</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Lesbian,</w:t>
      </w:r>
      <w:r>
        <w:rPr>
          <w:spacing w:val="-2"/>
          <w:sz w:val="18"/>
        </w:rPr>
        <w:t xml:space="preserve"> </w:t>
      </w:r>
      <w:r>
        <w:rPr>
          <w:sz w:val="18"/>
        </w:rPr>
        <w:t>Gay,</w:t>
      </w:r>
      <w:r>
        <w:rPr>
          <w:spacing w:val="-2"/>
          <w:sz w:val="18"/>
        </w:rPr>
        <w:t xml:space="preserve"> </w:t>
      </w:r>
      <w:r>
        <w:rPr>
          <w:sz w:val="18"/>
        </w:rPr>
        <w:t>Bisexual,</w:t>
      </w:r>
      <w:r>
        <w:rPr>
          <w:spacing w:val="-2"/>
          <w:sz w:val="18"/>
        </w:rPr>
        <w:t xml:space="preserve"> </w:t>
      </w:r>
      <w:r>
        <w:rPr>
          <w:sz w:val="18"/>
        </w:rPr>
        <w:t>Transgender,</w:t>
      </w:r>
      <w:r>
        <w:rPr>
          <w:spacing w:val="-2"/>
          <w:sz w:val="18"/>
        </w:rPr>
        <w:t xml:space="preserve"> </w:t>
      </w:r>
      <w:r>
        <w:rPr>
          <w:sz w:val="18"/>
        </w:rPr>
        <w:t>and Questioning Youth Experiencing Homelessness,” June 1, 2015, https://escholarship.org/uc/item/1pd9886n.</w:t>
      </w:r>
    </w:p>
    <w:p w:rsidR="00200FDA" w:rsidRDefault="00F76C4C">
      <w:pPr>
        <w:ind w:left="140" w:right="541" w:hanging="1"/>
        <w:jc w:val="both"/>
        <w:rPr>
          <w:sz w:val="18"/>
        </w:rPr>
      </w:pPr>
      <w:bookmarkStart w:id="774" w:name="_bookmark605"/>
      <w:bookmarkEnd w:id="774"/>
      <w:r>
        <w:rPr>
          <w:position w:val="5"/>
          <w:sz w:val="12"/>
        </w:rPr>
        <w:t>25</w:t>
      </w:r>
      <w:r>
        <w:rPr>
          <w:spacing w:val="12"/>
          <w:position w:val="5"/>
          <w:sz w:val="12"/>
        </w:rPr>
        <w:t xml:space="preserve"> </w:t>
      </w:r>
      <w:r>
        <w:rPr>
          <w:sz w:val="18"/>
        </w:rPr>
        <w:t>S. E. James</w:t>
      </w:r>
      <w:r>
        <w:rPr>
          <w:spacing w:val="-1"/>
          <w:sz w:val="18"/>
        </w:rPr>
        <w:t xml:space="preserve"> </w:t>
      </w:r>
      <w:r>
        <w:rPr>
          <w:sz w:val="18"/>
        </w:rPr>
        <w:t>et</w:t>
      </w:r>
      <w:r>
        <w:rPr>
          <w:spacing w:val="-1"/>
          <w:sz w:val="18"/>
        </w:rPr>
        <w:t xml:space="preserve"> </w:t>
      </w:r>
      <w:r>
        <w:rPr>
          <w:sz w:val="18"/>
        </w:rPr>
        <w:t>al., “The</w:t>
      </w:r>
      <w:r>
        <w:rPr>
          <w:spacing w:val="-1"/>
          <w:sz w:val="18"/>
        </w:rPr>
        <w:t xml:space="preserve"> </w:t>
      </w:r>
      <w:r>
        <w:rPr>
          <w:sz w:val="18"/>
        </w:rPr>
        <w:t>Report</w:t>
      </w:r>
      <w:r>
        <w:rPr>
          <w:spacing w:val="-1"/>
          <w:sz w:val="18"/>
        </w:rPr>
        <w:t xml:space="preserve"> </w:t>
      </w:r>
      <w:r>
        <w:rPr>
          <w:sz w:val="18"/>
        </w:rPr>
        <w:t>of the</w:t>
      </w:r>
      <w:r>
        <w:rPr>
          <w:spacing w:val="-1"/>
          <w:sz w:val="18"/>
        </w:rPr>
        <w:t xml:space="preserve"> </w:t>
      </w:r>
      <w:r>
        <w:rPr>
          <w:sz w:val="18"/>
        </w:rPr>
        <w:t>2015 U.S. Transgender</w:t>
      </w:r>
      <w:r>
        <w:rPr>
          <w:spacing w:val="-1"/>
          <w:sz w:val="18"/>
        </w:rPr>
        <w:t xml:space="preserve"> </w:t>
      </w:r>
      <w:r>
        <w:rPr>
          <w:sz w:val="18"/>
        </w:rPr>
        <w:t>Survey”</w:t>
      </w:r>
      <w:r>
        <w:rPr>
          <w:spacing w:val="-1"/>
          <w:sz w:val="18"/>
        </w:rPr>
        <w:t xml:space="preserve"> </w:t>
      </w:r>
      <w:r>
        <w:rPr>
          <w:sz w:val="18"/>
        </w:rPr>
        <w:t>(Washington, D.</w:t>
      </w:r>
      <w:r>
        <w:rPr>
          <w:sz w:val="18"/>
        </w:rPr>
        <w:t>C.: National</w:t>
      </w:r>
      <w:r>
        <w:rPr>
          <w:spacing w:val="-1"/>
          <w:sz w:val="18"/>
        </w:rPr>
        <w:t xml:space="preserve"> </w:t>
      </w:r>
      <w:r>
        <w:rPr>
          <w:sz w:val="18"/>
        </w:rPr>
        <w:t>Center</w:t>
      </w:r>
      <w:r>
        <w:rPr>
          <w:spacing w:val="-1"/>
          <w:sz w:val="18"/>
        </w:rPr>
        <w:t xml:space="preserve"> </w:t>
      </w:r>
      <w:r>
        <w:rPr>
          <w:sz w:val="18"/>
        </w:rPr>
        <w:t>for</w:t>
      </w:r>
      <w:r>
        <w:rPr>
          <w:spacing w:val="-1"/>
          <w:sz w:val="18"/>
        </w:rPr>
        <w:t xml:space="preserve"> </w:t>
      </w:r>
      <w:r>
        <w:rPr>
          <w:sz w:val="18"/>
        </w:rPr>
        <w:t>Transgender Equality</w:t>
      </w:r>
      <w:r>
        <w:rPr>
          <w:spacing w:val="-5"/>
          <w:sz w:val="18"/>
        </w:rPr>
        <w:t xml:space="preserve"> </w:t>
      </w:r>
      <w:r>
        <w:rPr>
          <w:sz w:val="18"/>
        </w:rPr>
        <w:t>and</w:t>
      </w:r>
      <w:r>
        <w:rPr>
          <w:spacing w:val="-6"/>
          <w:sz w:val="18"/>
        </w:rPr>
        <w:t xml:space="preserve"> </w:t>
      </w:r>
      <w:r>
        <w:rPr>
          <w:sz w:val="18"/>
        </w:rPr>
        <w:t>National</w:t>
      </w:r>
      <w:r>
        <w:rPr>
          <w:spacing w:val="-3"/>
          <w:sz w:val="18"/>
        </w:rPr>
        <w:t xml:space="preserve"> </w:t>
      </w:r>
      <w:r>
        <w:rPr>
          <w:sz w:val="18"/>
        </w:rPr>
        <w:t>Gay</w:t>
      </w:r>
      <w:r>
        <w:rPr>
          <w:spacing w:val="-5"/>
          <w:sz w:val="18"/>
        </w:rPr>
        <w:t xml:space="preserve"> </w:t>
      </w:r>
      <w:r>
        <w:rPr>
          <w:sz w:val="18"/>
        </w:rPr>
        <w:t>and</w:t>
      </w:r>
      <w:r>
        <w:rPr>
          <w:spacing w:val="-6"/>
          <w:sz w:val="18"/>
        </w:rPr>
        <w:t xml:space="preserve"> </w:t>
      </w:r>
      <w:r>
        <w:rPr>
          <w:sz w:val="18"/>
        </w:rPr>
        <w:t>Lesbian</w:t>
      </w:r>
      <w:r>
        <w:rPr>
          <w:spacing w:val="-6"/>
          <w:sz w:val="18"/>
        </w:rPr>
        <w:t xml:space="preserve"> </w:t>
      </w:r>
      <w:r>
        <w:rPr>
          <w:sz w:val="18"/>
        </w:rPr>
        <w:t>Task</w:t>
      </w:r>
      <w:r>
        <w:rPr>
          <w:spacing w:val="-3"/>
          <w:sz w:val="18"/>
        </w:rPr>
        <w:t xml:space="preserve"> </w:t>
      </w:r>
      <w:r>
        <w:rPr>
          <w:sz w:val="18"/>
        </w:rPr>
        <w:t>Force,</w:t>
      </w:r>
      <w:r>
        <w:rPr>
          <w:spacing w:val="-5"/>
          <w:sz w:val="18"/>
        </w:rPr>
        <w:t xml:space="preserve"> </w:t>
      </w:r>
      <w:r>
        <w:rPr>
          <w:sz w:val="18"/>
        </w:rPr>
        <w:t>2016),</w:t>
      </w:r>
      <w:r>
        <w:rPr>
          <w:spacing w:val="-5"/>
          <w:sz w:val="18"/>
        </w:rPr>
        <w:t xml:space="preserve"> </w:t>
      </w:r>
      <w:r>
        <w:rPr>
          <w:sz w:val="18"/>
        </w:rPr>
        <w:t xml:space="preserve">https://transequality.org/sites/default/files/docs/usts/USTS-Full- </w:t>
      </w:r>
      <w:r>
        <w:rPr>
          <w:spacing w:val="-2"/>
          <w:sz w:val="18"/>
        </w:rPr>
        <w:t>Report-Dec17.pdf.</w:t>
      </w:r>
    </w:p>
    <w:p w:rsidR="00200FDA" w:rsidRDefault="00F76C4C">
      <w:pPr>
        <w:spacing w:line="219" w:lineRule="exact"/>
        <w:ind w:left="140"/>
        <w:jc w:val="both"/>
        <w:rPr>
          <w:sz w:val="18"/>
        </w:rPr>
      </w:pPr>
      <w:bookmarkStart w:id="775" w:name="_bookmark606"/>
      <w:bookmarkEnd w:id="775"/>
      <w:r>
        <w:rPr>
          <w:position w:val="5"/>
          <w:sz w:val="12"/>
        </w:rPr>
        <w:t>26</w:t>
      </w:r>
      <w:r>
        <w:rPr>
          <w:spacing w:val="10"/>
          <w:position w:val="5"/>
          <w:sz w:val="12"/>
        </w:rPr>
        <w:t xml:space="preserve"> </w:t>
      </w:r>
      <w:r>
        <w:rPr>
          <w:sz w:val="18"/>
        </w:rPr>
        <w:t>Fraser</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“LGBTIQ+</w:t>
      </w:r>
      <w:r>
        <w:rPr>
          <w:spacing w:val="-2"/>
          <w:sz w:val="18"/>
        </w:rPr>
        <w:t xml:space="preserve"> Homelessness.”</w:t>
      </w:r>
    </w:p>
    <w:p w:rsidR="00200FDA" w:rsidRDefault="00F76C4C">
      <w:pPr>
        <w:ind w:left="140" w:right="818" w:hanging="1"/>
        <w:rPr>
          <w:sz w:val="18"/>
        </w:rPr>
      </w:pPr>
      <w:bookmarkStart w:id="776" w:name="_bookmark607"/>
      <w:bookmarkEnd w:id="776"/>
      <w:r>
        <w:rPr>
          <w:position w:val="5"/>
          <w:sz w:val="12"/>
        </w:rPr>
        <w:t>27</w:t>
      </w:r>
      <w:r>
        <w:rPr>
          <w:spacing w:val="10"/>
          <w:position w:val="5"/>
          <w:sz w:val="12"/>
        </w:rPr>
        <w:t xml:space="preserve"> </w:t>
      </w:r>
      <w:r>
        <w:rPr>
          <w:sz w:val="18"/>
        </w:rPr>
        <w:t>Brian</w:t>
      </w:r>
      <w:r>
        <w:rPr>
          <w:spacing w:val="-3"/>
          <w:sz w:val="18"/>
        </w:rPr>
        <w:t xml:space="preserve"> </w:t>
      </w:r>
      <w:r>
        <w:rPr>
          <w:sz w:val="18"/>
        </w:rPr>
        <w:t>L.</w:t>
      </w:r>
      <w:r>
        <w:rPr>
          <w:spacing w:val="-2"/>
          <w:sz w:val="18"/>
        </w:rPr>
        <w:t xml:space="preserve"> </w:t>
      </w:r>
      <w:r>
        <w:rPr>
          <w:sz w:val="18"/>
        </w:rPr>
        <w:t>B.</w:t>
      </w:r>
      <w:r>
        <w:rPr>
          <w:spacing w:val="-2"/>
          <w:sz w:val="18"/>
        </w:rPr>
        <w:t xml:space="preserve"> </w:t>
      </w:r>
      <w:r>
        <w:rPr>
          <w:sz w:val="18"/>
        </w:rPr>
        <w:t>Willoughby,</w:t>
      </w:r>
      <w:r>
        <w:rPr>
          <w:spacing w:val="-2"/>
          <w:sz w:val="18"/>
        </w:rPr>
        <w:t xml:space="preserve"> </w:t>
      </w:r>
      <w:r>
        <w:rPr>
          <w:sz w:val="18"/>
        </w:rPr>
        <w:t>Nathan</w:t>
      </w:r>
      <w:r>
        <w:rPr>
          <w:spacing w:val="-3"/>
          <w:sz w:val="18"/>
        </w:rPr>
        <w:t xml:space="preserve"> </w:t>
      </w:r>
      <w:r>
        <w:rPr>
          <w:sz w:val="18"/>
        </w:rPr>
        <w:t>D.</w:t>
      </w:r>
      <w:r>
        <w:rPr>
          <w:spacing w:val="-2"/>
          <w:sz w:val="18"/>
        </w:rPr>
        <w:t xml:space="preserve"> </w:t>
      </w:r>
      <w:r>
        <w:rPr>
          <w:sz w:val="18"/>
        </w:rPr>
        <w:t>Doty,</w:t>
      </w:r>
      <w:r>
        <w:rPr>
          <w:spacing w:val="-2"/>
          <w:sz w:val="18"/>
        </w:rPr>
        <w:t xml:space="preserve"> </w:t>
      </w:r>
      <w:r>
        <w:rPr>
          <w:sz w:val="18"/>
        </w:rPr>
        <w:t>and</w:t>
      </w:r>
      <w:r>
        <w:rPr>
          <w:spacing w:val="-3"/>
          <w:sz w:val="18"/>
        </w:rPr>
        <w:t xml:space="preserve"> </w:t>
      </w:r>
      <w:r>
        <w:rPr>
          <w:sz w:val="18"/>
        </w:rPr>
        <w:t>Neena</w:t>
      </w:r>
      <w:r>
        <w:rPr>
          <w:spacing w:val="-2"/>
          <w:sz w:val="18"/>
        </w:rPr>
        <w:t xml:space="preserve"> </w:t>
      </w:r>
      <w:r>
        <w:rPr>
          <w:sz w:val="18"/>
        </w:rPr>
        <w:t>M.</w:t>
      </w:r>
      <w:r>
        <w:rPr>
          <w:spacing w:val="-2"/>
          <w:sz w:val="18"/>
        </w:rPr>
        <w:t xml:space="preserve"> </w:t>
      </w:r>
      <w:r>
        <w:rPr>
          <w:sz w:val="18"/>
        </w:rPr>
        <w:t>Malik,</w:t>
      </w:r>
      <w:r>
        <w:rPr>
          <w:spacing w:val="-2"/>
          <w:sz w:val="18"/>
        </w:rPr>
        <w:t xml:space="preserve"> </w:t>
      </w:r>
      <w:r>
        <w:rPr>
          <w:sz w:val="18"/>
        </w:rPr>
        <w:t>“Parental</w:t>
      </w:r>
      <w:r>
        <w:rPr>
          <w:spacing w:val="-3"/>
          <w:sz w:val="18"/>
        </w:rPr>
        <w:t xml:space="preserve"> </w:t>
      </w:r>
      <w:r>
        <w:rPr>
          <w:sz w:val="18"/>
        </w:rPr>
        <w:t>Reactions</w:t>
      </w:r>
      <w:r>
        <w:rPr>
          <w:spacing w:val="-3"/>
          <w:sz w:val="18"/>
        </w:rPr>
        <w:t xml:space="preserve"> </w:t>
      </w:r>
      <w:r>
        <w:rPr>
          <w:sz w:val="18"/>
        </w:rPr>
        <w:t>to</w:t>
      </w:r>
      <w:r>
        <w:rPr>
          <w:spacing w:val="-1"/>
          <w:sz w:val="18"/>
        </w:rPr>
        <w:t xml:space="preserve"> </w:t>
      </w:r>
      <w:r>
        <w:rPr>
          <w:sz w:val="18"/>
        </w:rPr>
        <w:t>Their</w:t>
      </w:r>
      <w:r>
        <w:rPr>
          <w:spacing w:val="-3"/>
          <w:sz w:val="18"/>
        </w:rPr>
        <w:t xml:space="preserve"> </w:t>
      </w:r>
      <w:r>
        <w:rPr>
          <w:sz w:val="18"/>
        </w:rPr>
        <w:t>Child’s</w:t>
      </w:r>
      <w:r>
        <w:rPr>
          <w:spacing w:val="-3"/>
          <w:sz w:val="18"/>
        </w:rPr>
        <w:t xml:space="preserve"> </w:t>
      </w:r>
      <w:r>
        <w:rPr>
          <w:sz w:val="18"/>
        </w:rPr>
        <w:t>Sexual</w:t>
      </w:r>
      <w:r>
        <w:rPr>
          <w:spacing w:val="-3"/>
          <w:sz w:val="18"/>
        </w:rPr>
        <w:t xml:space="preserve"> </w:t>
      </w:r>
      <w:r>
        <w:rPr>
          <w:sz w:val="18"/>
        </w:rPr>
        <w:t xml:space="preserve">Orientation Disclosure: A Family Stress Perspective,” </w:t>
      </w:r>
      <w:r>
        <w:rPr>
          <w:i/>
          <w:sz w:val="18"/>
        </w:rPr>
        <w:t xml:space="preserve">Parenting: Science and Practice </w:t>
      </w:r>
      <w:r>
        <w:rPr>
          <w:sz w:val="18"/>
        </w:rPr>
        <w:t xml:space="preserve">8 (2008): 70–91, </w:t>
      </w:r>
      <w:r>
        <w:rPr>
          <w:spacing w:val="-2"/>
          <w:sz w:val="18"/>
        </w:rPr>
        <w:t>https://doi.org/10.1080/15295190701830680.</w:t>
      </w:r>
    </w:p>
    <w:p w:rsidR="00200FDA" w:rsidRDefault="00F76C4C">
      <w:pPr>
        <w:ind w:left="140" w:right="230" w:hanging="1"/>
        <w:rPr>
          <w:sz w:val="18"/>
        </w:rPr>
      </w:pPr>
      <w:bookmarkStart w:id="777" w:name="_bookmark608"/>
      <w:bookmarkEnd w:id="777"/>
      <w:r>
        <w:rPr>
          <w:position w:val="5"/>
          <w:sz w:val="12"/>
        </w:rPr>
        <w:t>28</w:t>
      </w:r>
      <w:r>
        <w:rPr>
          <w:spacing w:val="10"/>
          <w:position w:val="5"/>
          <w:sz w:val="12"/>
        </w:rPr>
        <w:t xml:space="preserve"> </w:t>
      </w:r>
      <w:r>
        <w:rPr>
          <w:sz w:val="18"/>
        </w:rPr>
        <w:t>Nicholas</w:t>
      </w:r>
      <w:r>
        <w:rPr>
          <w:spacing w:val="-3"/>
          <w:sz w:val="18"/>
        </w:rPr>
        <w:t xml:space="preserve"> </w:t>
      </w:r>
      <w:r>
        <w:rPr>
          <w:sz w:val="18"/>
        </w:rPr>
        <w:t>Forge,</w:t>
      </w:r>
      <w:r>
        <w:rPr>
          <w:spacing w:val="-2"/>
          <w:sz w:val="18"/>
        </w:rPr>
        <w:t xml:space="preserve"> </w:t>
      </w:r>
      <w:r>
        <w:rPr>
          <w:sz w:val="18"/>
        </w:rPr>
        <w:t>Robin</w:t>
      </w:r>
      <w:r>
        <w:rPr>
          <w:spacing w:val="-3"/>
          <w:sz w:val="18"/>
        </w:rPr>
        <w:t xml:space="preserve"> </w:t>
      </w:r>
      <w:r>
        <w:rPr>
          <w:sz w:val="18"/>
        </w:rPr>
        <w:t>Hartinger-Saun</w:t>
      </w:r>
      <w:r>
        <w:rPr>
          <w:sz w:val="18"/>
        </w:rPr>
        <w:t>ders,</w:t>
      </w:r>
      <w:r>
        <w:rPr>
          <w:spacing w:val="-2"/>
          <w:sz w:val="18"/>
        </w:rPr>
        <w:t xml:space="preserve"> </w:t>
      </w:r>
      <w:r>
        <w:rPr>
          <w:sz w:val="18"/>
        </w:rPr>
        <w:t>and</w:t>
      </w:r>
      <w:r>
        <w:rPr>
          <w:spacing w:val="-3"/>
          <w:sz w:val="18"/>
        </w:rPr>
        <w:t xml:space="preserve"> </w:t>
      </w:r>
      <w:r>
        <w:rPr>
          <w:sz w:val="18"/>
        </w:rPr>
        <w:t>Eric</w:t>
      </w:r>
      <w:r>
        <w:rPr>
          <w:spacing w:val="-2"/>
          <w:sz w:val="18"/>
        </w:rPr>
        <w:t xml:space="preserve"> </w:t>
      </w:r>
      <w:r>
        <w:rPr>
          <w:sz w:val="18"/>
        </w:rPr>
        <w:t>Wright,</w:t>
      </w:r>
      <w:r>
        <w:rPr>
          <w:spacing w:val="-2"/>
          <w:sz w:val="18"/>
        </w:rPr>
        <w:t xml:space="preserve"> </w:t>
      </w:r>
      <w:r>
        <w:rPr>
          <w:sz w:val="18"/>
        </w:rPr>
        <w:t>“Out</w:t>
      </w:r>
      <w:r>
        <w:rPr>
          <w:spacing w:val="-1"/>
          <w:sz w:val="18"/>
        </w:rPr>
        <w:t xml:space="preserve"> </w:t>
      </w:r>
      <w:r>
        <w:rPr>
          <w:sz w:val="18"/>
        </w:rPr>
        <w:t>of</w:t>
      </w:r>
      <w:r>
        <w:rPr>
          <w:spacing w:val="-2"/>
          <w:sz w:val="18"/>
        </w:rPr>
        <w:t xml:space="preserve"> </w:t>
      </w:r>
      <w:r>
        <w:rPr>
          <w:sz w:val="18"/>
        </w:rPr>
        <w:t>the</w:t>
      </w:r>
      <w:r>
        <w:rPr>
          <w:spacing w:val="-3"/>
          <w:sz w:val="18"/>
        </w:rPr>
        <w:t xml:space="preserve"> </w:t>
      </w:r>
      <w:r>
        <w:rPr>
          <w:sz w:val="18"/>
        </w:rPr>
        <w:t>System</w:t>
      </w:r>
      <w:r>
        <w:rPr>
          <w:spacing w:val="-2"/>
          <w:sz w:val="18"/>
        </w:rPr>
        <w:t xml:space="preserve"> </w:t>
      </w:r>
      <w:r>
        <w:rPr>
          <w:sz w:val="18"/>
        </w:rPr>
        <w:t>and</w:t>
      </w:r>
      <w:r>
        <w:rPr>
          <w:spacing w:val="-3"/>
          <w:sz w:val="18"/>
        </w:rPr>
        <w:t xml:space="preserve"> </w:t>
      </w:r>
      <w:r>
        <w:rPr>
          <w:sz w:val="18"/>
        </w:rPr>
        <w:t>onto</w:t>
      </w:r>
      <w:r>
        <w:rPr>
          <w:spacing w:val="-2"/>
          <w:sz w:val="18"/>
        </w:rPr>
        <w:t xml:space="preserve"> </w:t>
      </w:r>
      <w:r>
        <w:rPr>
          <w:sz w:val="18"/>
        </w:rPr>
        <w:t>the</w:t>
      </w:r>
      <w:r>
        <w:rPr>
          <w:spacing w:val="-2"/>
          <w:sz w:val="18"/>
        </w:rPr>
        <w:t xml:space="preserve"> </w:t>
      </w:r>
      <w:r>
        <w:rPr>
          <w:sz w:val="18"/>
        </w:rPr>
        <w:t>Streets:</w:t>
      </w:r>
      <w:r>
        <w:rPr>
          <w:spacing w:val="-2"/>
          <w:sz w:val="18"/>
        </w:rPr>
        <w:t xml:space="preserve"> </w:t>
      </w:r>
      <w:r>
        <w:rPr>
          <w:sz w:val="18"/>
        </w:rPr>
        <w:t>LGBTQ-Identified</w:t>
      </w:r>
      <w:r>
        <w:rPr>
          <w:spacing w:val="-3"/>
          <w:sz w:val="18"/>
        </w:rPr>
        <w:t xml:space="preserve"> </w:t>
      </w:r>
      <w:r>
        <w:rPr>
          <w:sz w:val="18"/>
        </w:rPr>
        <w:t xml:space="preserve">Youth Experiencing Homelessness with Past Child Welfare System Involvement - ProQuest,” accessed April 24, 2023, </w:t>
      </w:r>
      <w:r>
        <w:rPr>
          <w:spacing w:val="-2"/>
          <w:sz w:val="18"/>
        </w:rPr>
        <w:t>https://</w:t>
      </w:r>
      <w:hyperlink r:id="rId597">
        <w:r>
          <w:rPr>
            <w:spacing w:val="-2"/>
            <w:sz w:val="18"/>
          </w:rPr>
          <w:t>www.proquest.com/openview/5021cba1f9f2d595a7592f4d1544ebd3/1?pq-origsite=gscholar&amp;cbl=40853.</w:t>
        </w:r>
      </w:hyperlink>
    </w:p>
    <w:p w:rsidR="00200FDA" w:rsidRDefault="00F76C4C">
      <w:pPr>
        <w:spacing w:line="218" w:lineRule="exact"/>
        <w:ind w:left="140"/>
        <w:rPr>
          <w:sz w:val="18"/>
        </w:rPr>
      </w:pPr>
      <w:bookmarkStart w:id="778" w:name="_bookmark609"/>
      <w:bookmarkEnd w:id="778"/>
      <w:r>
        <w:rPr>
          <w:position w:val="5"/>
          <w:sz w:val="12"/>
        </w:rPr>
        <w:t>29</w:t>
      </w:r>
      <w:r>
        <w:rPr>
          <w:spacing w:val="8"/>
          <w:position w:val="5"/>
          <w:sz w:val="12"/>
        </w:rPr>
        <w:t xml:space="preserve"> </w:t>
      </w:r>
      <w:r>
        <w:rPr>
          <w:sz w:val="18"/>
        </w:rPr>
        <w:t>“Homelessness</w:t>
      </w:r>
      <w:r>
        <w:rPr>
          <w:spacing w:val="-2"/>
          <w:sz w:val="18"/>
        </w:rPr>
        <w:t xml:space="preserve"> </w:t>
      </w:r>
      <w:r>
        <w:rPr>
          <w:sz w:val="18"/>
        </w:rPr>
        <w:t>and</w:t>
      </w:r>
      <w:r>
        <w:rPr>
          <w:spacing w:val="-2"/>
          <w:sz w:val="18"/>
        </w:rPr>
        <w:t xml:space="preserve"> </w:t>
      </w:r>
      <w:r>
        <w:rPr>
          <w:sz w:val="18"/>
        </w:rPr>
        <w:t>Housing</w:t>
      </w:r>
      <w:r>
        <w:rPr>
          <w:spacing w:val="-2"/>
          <w:sz w:val="18"/>
        </w:rPr>
        <w:t xml:space="preserve"> </w:t>
      </w:r>
      <w:r>
        <w:rPr>
          <w:sz w:val="18"/>
        </w:rPr>
        <w:t>Instability</w:t>
      </w:r>
      <w:r>
        <w:rPr>
          <w:spacing w:val="-1"/>
          <w:sz w:val="18"/>
        </w:rPr>
        <w:t xml:space="preserve"> </w:t>
      </w:r>
      <w:r>
        <w:rPr>
          <w:sz w:val="18"/>
        </w:rPr>
        <w:t>Among</w:t>
      </w:r>
      <w:r>
        <w:rPr>
          <w:spacing w:val="-2"/>
          <w:sz w:val="18"/>
        </w:rPr>
        <w:t xml:space="preserve"> </w:t>
      </w:r>
      <w:r>
        <w:rPr>
          <w:sz w:val="18"/>
        </w:rPr>
        <w:t>LGBTQ</w:t>
      </w:r>
      <w:r>
        <w:rPr>
          <w:spacing w:val="-2"/>
          <w:sz w:val="18"/>
        </w:rPr>
        <w:t xml:space="preserve"> Youth.”</w:t>
      </w:r>
    </w:p>
    <w:p w:rsidR="00200FDA" w:rsidRDefault="00F76C4C">
      <w:pPr>
        <w:spacing w:before="1"/>
        <w:ind w:left="140"/>
        <w:jc w:val="both"/>
        <w:rPr>
          <w:sz w:val="18"/>
        </w:rPr>
      </w:pPr>
      <w:bookmarkStart w:id="779" w:name="_bookmark610"/>
      <w:bookmarkEnd w:id="779"/>
      <w:r>
        <w:rPr>
          <w:position w:val="5"/>
          <w:sz w:val="12"/>
        </w:rPr>
        <w:t>30</w:t>
      </w:r>
      <w:r>
        <w:rPr>
          <w:spacing w:val="7"/>
          <w:position w:val="5"/>
          <w:sz w:val="12"/>
        </w:rPr>
        <w:t xml:space="preserve"> </w:t>
      </w:r>
      <w:r>
        <w:rPr>
          <w:sz w:val="18"/>
        </w:rPr>
        <w:t>Department</w:t>
      </w:r>
      <w:r>
        <w:rPr>
          <w:spacing w:val="-3"/>
          <w:sz w:val="18"/>
        </w:rPr>
        <w:t xml:space="preserve"> </w:t>
      </w:r>
      <w:r>
        <w:rPr>
          <w:sz w:val="18"/>
        </w:rPr>
        <w:t>of</w:t>
      </w:r>
      <w:r>
        <w:rPr>
          <w:spacing w:val="-2"/>
          <w:sz w:val="18"/>
        </w:rPr>
        <w:t xml:space="preserve"> </w:t>
      </w:r>
      <w:r>
        <w:rPr>
          <w:sz w:val="18"/>
        </w:rPr>
        <w:t>Children</w:t>
      </w:r>
      <w:r>
        <w:rPr>
          <w:spacing w:val="-3"/>
          <w:sz w:val="18"/>
        </w:rPr>
        <w:t xml:space="preserve"> </w:t>
      </w:r>
      <w:r>
        <w:rPr>
          <w:sz w:val="18"/>
        </w:rPr>
        <w:t>&amp;</w:t>
      </w:r>
      <w:r>
        <w:rPr>
          <w:spacing w:val="-1"/>
          <w:sz w:val="18"/>
        </w:rPr>
        <w:t xml:space="preserve"> </w:t>
      </w:r>
      <w:r>
        <w:rPr>
          <w:sz w:val="18"/>
        </w:rPr>
        <w:t>Families,</w:t>
      </w:r>
      <w:r>
        <w:rPr>
          <w:spacing w:val="-2"/>
          <w:sz w:val="18"/>
        </w:rPr>
        <w:t xml:space="preserve"> </w:t>
      </w:r>
      <w:r>
        <w:rPr>
          <w:sz w:val="18"/>
        </w:rPr>
        <w:t>“MASSACHUSETTS</w:t>
      </w:r>
      <w:r>
        <w:rPr>
          <w:spacing w:val="-3"/>
          <w:sz w:val="18"/>
        </w:rPr>
        <w:t xml:space="preserve"> </w:t>
      </w:r>
      <w:r>
        <w:rPr>
          <w:sz w:val="18"/>
        </w:rPr>
        <w:t>DEPARTMENT</w:t>
      </w:r>
      <w:r>
        <w:rPr>
          <w:spacing w:val="-2"/>
          <w:sz w:val="18"/>
        </w:rPr>
        <w:t xml:space="preserve"> </w:t>
      </w:r>
      <w:r>
        <w:rPr>
          <w:sz w:val="18"/>
        </w:rPr>
        <w:t>OF</w:t>
      </w:r>
      <w:r>
        <w:rPr>
          <w:spacing w:val="-3"/>
          <w:sz w:val="18"/>
        </w:rPr>
        <w:t xml:space="preserve"> </w:t>
      </w:r>
      <w:r>
        <w:rPr>
          <w:sz w:val="18"/>
        </w:rPr>
        <w:t>CHILDREN</w:t>
      </w:r>
      <w:r>
        <w:rPr>
          <w:spacing w:val="-3"/>
          <w:sz w:val="18"/>
        </w:rPr>
        <w:t xml:space="preserve"> </w:t>
      </w:r>
      <w:r>
        <w:rPr>
          <w:sz w:val="18"/>
        </w:rPr>
        <w:t>&amp;</w:t>
      </w:r>
      <w:r>
        <w:rPr>
          <w:spacing w:val="-4"/>
          <w:sz w:val="18"/>
        </w:rPr>
        <w:t xml:space="preserve"> </w:t>
      </w:r>
      <w:r>
        <w:rPr>
          <w:sz w:val="18"/>
        </w:rPr>
        <w:t>FAMILIES</w:t>
      </w:r>
      <w:r>
        <w:rPr>
          <w:spacing w:val="-3"/>
          <w:sz w:val="18"/>
        </w:rPr>
        <w:t xml:space="preserve"> </w:t>
      </w:r>
      <w:r>
        <w:rPr>
          <w:sz w:val="18"/>
        </w:rPr>
        <w:t>QUARTERLY</w:t>
      </w:r>
      <w:r>
        <w:rPr>
          <w:spacing w:val="-1"/>
          <w:sz w:val="18"/>
        </w:rPr>
        <w:t xml:space="preserve"> </w:t>
      </w:r>
      <w:r>
        <w:rPr>
          <w:sz w:val="18"/>
        </w:rPr>
        <w:t>PROFILE</w:t>
      </w:r>
      <w:r>
        <w:rPr>
          <w:spacing w:val="-1"/>
          <w:sz w:val="18"/>
        </w:rPr>
        <w:t xml:space="preserve"> </w:t>
      </w:r>
      <w:r>
        <w:rPr>
          <w:sz w:val="18"/>
        </w:rPr>
        <w:t>-</w:t>
      </w:r>
      <w:r>
        <w:rPr>
          <w:spacing w:val="-10"/>
          <w:sz w:val="18"/>
        </w:rPr>
        <w:t>-</w:t>
      </w:r>
    </w:p>
    <w:p w:rsidR="00200FDA" w:rsidRDefault="00F76C4C">
      <w:pPr>
        <w:spacing w:before="2" w:line="219" w:lineRule="exact"/>
        <w:ind w:left="140"/>
        <w:rPr>
          <w:sz w:val="18"/>
        </w:rPr>
      </w:pPr>
      <w:r>
        <w:rPr>
          <w:sz w:val="18"/>
        </w:rPr>
        <w:t>FY’2023,</w:t>
      </w:r>
      <w:r>
        <w:rPr>
          <w:spacing w:val="-6"/>
          <w:sz w:val="18"/>
        </w:rPr>
        <w:t xml:space="preserve"> </w:t>
      </w:r>
      <w:r>
        <w:rPr>
          <w:sz w:val="18"/>
        </w:rPr>
        <w:t>Q2</w:t>
      </w:r>
      <w:r>
        <w:rPr>
          <w:spacing w:val="-3"/>
          <w:sz w:val="18"/>
        </w:rPr>
        <w:t xml:space="preserve"> </w:t>
      </w:r>
      <w:r>
        <w:rPr>
          <w:sz w:val="18"/>
        </w:rPr>
        <w:t>(10/01/22</w:t>
      </w:r>
      <w:r>
        <w:rPr>
          <w:spacing w:val="-3"/>
          <w:sz w:val="18"/>
        </w:rPr>
        <w:t xml:space="preserve"> </w:t>
      </w:r>
      <w:r>
        <w:rPr>
          <w:sz w:val="18"/>
        </w:rPr>
        <w:t>-</w:t>
      </w:r>
      <w:r>
        <w:rPr>
          <w:spacing w:val="-4"/>
          <w:sz w:val="18"/>
        </w:rPr>
        <w:t xml:space="preserve"> </w:t>
      </w:r>
      <w:r>
        <w:rPr>
          <w:sz w:val="18"/>
        </w:rPr>
        <w:t>12/31/22),”</w:t>
      </w:r>
      <w:r>
        <w:rPr>
          <w:spacing w:val="-3"/>
          <w:sz w:val="18"/>
        </w:rPr>
        <w:t xml:space="preserve"> </w:t>
      </w:r>
      <w:r>
        <w:rPr>
          <w:sz w:val="18"/>
        </w:rPr>
        <w:t>n.d.,</w:t>
      </w:r>
      <w:r>
        <w:rPr>
          <w:spacing w:val="-3"/>
          <w:sz w:val="18"/>
        </w:rPr>
        <w:t xml:space="preserve"> </w:t>
      </w:r>
      <w:r>
        <w:rPr>
          <w:sz w:val="18"/>
        </w:rPr>
        <w:t>https://</w:t>
      </w:r>
      <w:hyperlink r:id="rId598">
        <w:r>
          <w:rPr>
            <w:sz w:val="18"/>
          </w:rPr>
          <w:t>www.mass.gov/doc/quart</w:t>
        </w:r>
        <w:r>
          <w:rPr>
            <w:sz w:val="18"/>
          </w:rPr>
          <w:t>er-</w:t>
        </w:r>
        <w:r>
          <w:rPr>
            <w:spacing w:val="-2"/>
            <w:sz w:val="18"/>
          </w:rPr>
          <w:t>2/download.</w:t>
        </w:r>
      </w:hyperlink>
    </w:p>
    <w:p w:rsidR="00200FDA" w:rsidRDefault="00F76C4C">
      <w:pPr>
        <w:spacing w:line="219" w:lineRule="exact"/>
        <w:ind w:left="140"/>
        <w:rPr>
          <w:i/>
          <w:sz w:val="18"/>
        </w:rPr>
      </w:pPr>
      <w:bookmarkStart w:id="780" w:name="_bookmark611"/>
      <w:bookmarkEnd w:id="780"/>
      <w:r>
        <w:rPr>
          <w:position w:val="5"/>
          <w:sz w:val="12"/>
        </w:rPr>
        <w:t>31</w:t>
      </w:r>
      <w:r>
        <w:rPr>
          <w:spacing w:val="8"/>
          <w:position w:val="5"/>
          <w:sz w:val="12"/>
        </w:rPr>
        <w:t xml:space="preserve"> </w:t>
      </w:r>
      <w:r>
        <w:rPr>
          <w:sz w:val="18"/>
        </w:rPr>
        <w:t>Laura</w:t>
      </w:r>
      <w:r>
        <w:rPr>
          <w:spacing w:val="-2"/>
          <w:sz w:val="18"/>
        </w:rPr>
        <w:t xml:space="preserve"> </w:t>
      </w:r>
      <w:r>
        <w:rPr>
          <w:sz w:val="18"/>
        </w:rPr>
        <w:t>Baams,</w:t>
      </w:r>
      <w:r>
        <w:rPr>
          <w:spacing w:val="-1"/>
          <w:sz w:val="18"/>
        </w:rPr>
        <w:t xml:space="preserve"> </w:t>
      </w:r>
      <w:r>
        <w:rPr>
          <w:sz w:val="18"/>
        </w:rPr>
        <w:t>Bianca</w:t>
      </w:r>
      <w:r>
        <w:rPr>
          <w:spacing w:val="-2"/>
          <w:sz w:val="18"/>
        </w:rPr>
        <w:t xml:space="preserve"> </w:t>
      </w:r>
      <w:r>
        <w:rPr>
          <w:sz w:val="18"/>
        </w:rPr>
        <w:t>D.M.</w:t>
      </w:r>
      <w:r>
        <w:rPr>
          <w:spacing w:val="-2"/>
          <w:sz w:val="18"/>
        </w:rPr>
        <w:t xml:space="preserve"> </w:t>
      </w:r>
      <w:r>
        <w:rPr>
          <w:sz w:val="18"/>
        </w:rPr>
        <w:t>Wilson,</w:t>
      </w:r>
      <w:r>
        <w:rPr>
          <w:spacing w:val="-2"/>
          <w:sz w:val="18"/>
        </w:rPr>
        <w:t xml:space="preserve"> </w:t>
      </w:r>
      <w:r>
        <w:rPr>
          <w:sz w:val="18"/>
        </w:rPr>
        <w:t>and</w:t>
      </w:r>
      <w:r>
        <w:rPr>
          <w:spacing w:val="-2"/>
          <w:sz w:val="18"/>
        </w:rPr>
        <w:t xml:space="preserve"> </w:t>
      </w:r>
      <w:r>
        <w:rPr>
          <w:sz w:val="18"/>
        </w:rPr>
        <w:t>Stephen</w:t>
      </w:r>
      <w:r>
        <w:rPr>
          <w:spacing w:val="-3"/>
          <w:sz w:val="18"/>
        </w:rPr>
        <w:t xml:space="preserve"> </w:t>
      </w:r>
      <w:r>
        <w:rPr>
          <w:sz w:val="18"/>
        </w:rPr>
        <w:t>T.</w:t>
      </w:r>
      <w:r>
        <w:rPr>
          <w:spacing w:val="-2"/>
          <w:sz w:val="18"/>
        </w:rPr>
        <w:t xml:space="preserve"> </w:t>
      </w:r>
      <w:r>
        <w:rPr>
          <w:sz w:val="18"/>
        </w:rPr>
        <w:t>Russell,</w:t>
      </w:r>
      <w:r>
        <w:rPr>
          <w:spacing w:val="-1"/>
          <w:sz w:val="18"/>
        </w:rPr>
        <w:t xml:space="preserve"> </w:t>
      </w:r>
      <w:r>
        <w:rPr>
          <w:sz w:val="18"/>
        </w:rPr>
        <w:t>“LGBTQ</w:t>
      </w:r>
      <w:r>
        <w:rPr>
          <w:spacing w:val="-3"/>
          <w:sz w:val="18"/>
        </w:rPr>
        <w:t xml:space="preserve"> </w:t>
      </w:r>
      <w:r>
        <w:rPr>
          <w:sz w:val="18"/>
        </w:rPr>
        <w:t>Youth</w:t>
      </w:r>
      <w:r>
        <w:rPr>
          <w:spacing w:val="-3"/>
          <w:sz w:val="18"/>
        </w:rPr>
        <w:t xml:space="preserve"> </w:t>
      </w:r>
      <w:r>
        <w:rPr>
          <w:sz w:val="18"/>
        </w:rPr>
        <w:t>in</w:t>
      </w:r>
      <w:r>
        <w:rPr>
          <w:spacing w:val="-2"/>
          <w:sz w:val="18"/>
        </w:rPr>
        <w:t xml:space="preserve"> </w:t>
      </w:r>
      <w:r>
        <w:rPr>
          <w:sz w:val="18"/>
        </w:rPr>
        <w:t>Unstable</w:t>
      </w:r>
      <w:r>
        <w:rPr>
          <w:spacing w:val="-3"/>
          <w:sz w:val="18"/>
        </w:rPr>
        <w:t xml:space="preserve"> </w:t>
      </w:r>
      <w:r>
        <w:rPr>
          <w:sz w:val="18"/>
        </w:rPr>
        <w:t>Housing</w:t>
      </w:r>
      <w:r>
        <w:rPr>
          <w:spacing w:val="-2"/>
          <w:sz w:val="18"/>
        </w:rPr>
        <w:t xml:space="preserve"> </w:t>
      </w:r>
      <w:r>
        <w:rPr>
          <w:sz w:val="18"/>
        </w:rPr>
        <w:t>and</w:t>
      </w:r>
      <w:r>
        <w:rPr>
          <w:spacing w:val="-1"/>
          <w:sz w:val="18"/>
        </w:rPr>
        <w:t xml:space="preserve"> </w:t>
      </w:r>
      <w:r>
        <w:rPr>
          <w:sz w:val="18"/>
        </w:rPr>
        <w:t>Foster</w:t>
      </w:r>
      <w:r>
        <w:rPr>
          <w:spacing w:val="-3"/>
          <w:sz w:val="18"/>
        </w:rPr>
        <w:t xml:space="preserve"> </w:t>
      </w:r>
      <w:r>
        <w:rPr>
          <w:sz w:val="18"/>
        </w:rPr>
        <w:t>Care,”</w:t>
      </w:r>
      <w:r>
        <w:rPr>
          <w:spacing w:val="-2"/>
          <w:sz w:val="18"/>
        </w:rPr>
        <w:t xml:space="preserve"> </w:t>
      </w:r>
      <w:r>
        <w:rPr>
          <w:i/>
          <w:spacing w:val="-2"/>
          <w:sz w:val="18"/>
        </w:rPr>
        <w:t>Pediatrics</w:t>
      </w:r>
    </w:p>
    <w:p w:rsidR="00200FDA" w:rsidRDefault="00F76C4C">
      <w:pPr>
        <w:spacing w:before="1"/>
        <w:ind w:left="140"/>
        <w:rPr>
          <w:sz w:val="18"/>
        </w:rPr>
      </w:pPr>
      <w:r>
        <w:rPr>
          <w:sz w:val="18"/>
        </w:rPr>
        <w:t>143,</w:t>
      </w:r>
      <w:r>
        <w:rPr>
          <w:spacing w:val="-5"/>
          <w:sz w:val="18"/>
        </w:rPr>
        <w:t xml:space="preserve"> </w:t>
      </w:r>
      <w:r>
        <w:rPr>
          <w:sz w:val="18"/>
        </w:rPr>
        <w:t>no.</w:t>
      </w:r>
      <w:r>
        <w:rPr>
          <w:spacing w:val="-2"/>
          <w:sz w:val="18"/>
        </w:rPr>
        <w:t xml:space="preserve"> </w:t>
      </w:r>
      <w:r>
        <w:rPr>
          <w:sz w:val="18"/>
        </w:rPr>
        <w:t>3</w:t>
      </w:r>
      <w:r>
        <w:rPr>
          <w:spacing w:val="-3"/>
          <w:sz w:val="18"/>
        </w:rPr>
        <w:t xml:space="preserve"> </w:t>
      </w:r>
      <w:r>
        <w:rPr>
          <w:sz w:val="18"/>
        </w:rPr>
        <w:t>(March</w:t>
      </w:r>
      <w:r>
        <w:rPr>
          <w:spacing w:val="-3"/>
          <w:sz w:val="18"/>
        </w:rPr>
        <w:t xml:space="preserve"> </w:t>
      </w:r>
      <w:r>
        <w:rPr>
          <w:sz w:val="18"/>
        </w:rPr>
        <w:t>1,</w:t>
      </w:r>
      <w:r>
        <w:rPr>
          <w:spacing w:val="-3"/>
          <w:sz w:val="18"/>
        </w:rPr>
        <w:t xml:space="preserve"> </w:t>
      </w:r>
      <w:r>
        <w:rPr>
          <w:sz w:val="18"/>
        </w:rPr>
        <w:t>2019):</w:t>
      </w:r>
      <w:r>
        <w:rPr>
          <w:spacing w:val="-2"/>
          <w:sz w:val="18"/>
        </w:rPr>
        <w:t xml:space="preserve"> </w:t>
      </w:r>
      <w:r>
        <w:rPr>
          <w:sz w:val="18"/>
        </w:rPr>
        <w:t>e20174211,</w:t>
      </w:r>
      <w:r>
        <w:rPr>
          <w:spacing w:val="-2"/>
          <w:sz w:val="18"/>
        </w:rPr>
        <w:t xml:space="preserve"> </w:t>
      </w:r>
      <w:r>
        <w:rPr>
          <w:sz w:val="18"/>
        </w:rPr>
        <w:t>https://doi.org/10.1542/peds.2017-</w:t>
      </w:r>
      <w:r>
        <w:rPr>
          <w:spacing w:val="-2"/>
          <w:sz w:val="18"/>
        </w:rPr>
        <w:t>4211.</w:t>
      </w:r>
    </w:p>
    <w:p w:rsidR="00200FDA" w:rsidRDefault="00200FDA">
      <w:pPr>
        <w:rPr>
          <w:sz w:val="18"/>
        </w:rPr>
        <w:sectPr w:rsidR="00200FDA">
          <w:pgSz w:w="12240" w:h="15840"/>
          <w:pgMar w:top="1360" w:right="1300" w:bottom="1240" w:left="1300" w:header="758" w:footer="1043" w:gutter="0"/>
          <w:cols w:space="720"/>
        </w:sectPr>
      </w:pPr>
    </w:p>
    <w:p w:rsidR="00200FDA" w:rsidRDefault="00200FDA">
      <w:pPr>
        <w:pStyle w:val="BodyText"/>
        <w:spacing w:before="10"/>
        <w:rPr>
          <w:sz w:val="19"/>
        </w:rPr>
      </w:pPr>
    </w:p>
    <w:p w:rsidR="00200FDA" w:rsidRDefault="00F76C4C">
      <w:pPr>
        <w:spacing w:before="69"/>
        <w:ind w:left="140" w:hanging="1"/>
        <w:rPr>
          <w:sz w:val="18"/>
        </w:rPr>
      </w:pPr>
      <w:bookmarkStart w:id="781" w:name="_bookmark612"/>
      <w:bookmarkEnd w:id="781"/>
      <w:r>
        <w:rPr>
          <w:position w:val="5"/>
          <w:sz w:val="12"/>
        </w:rPr>
        <w:t>32</w:t>
      </w:r>
      <w:r>
        <w:rPr>
          <w:spacing w:val="9"/>
          <w:position w:val="5"/>
          <w:sz w:val="12"/>
        </w:rPr>
        <w:t xml:space="preserve"> </w:t>
      </w:r>
      <w:r>
        <w:rPr>
          <w:sz w:val="18"/>
        </w:rPr>
        <w:t>LGBTQ</w:t>
      </w:r>
      <w:r>
        <w:rPr>
          <w:spacing w:val="-4"/>
          <w:sz w:val="18"/>
        </w:rPr>
        <w:t xml:space="preserve"> </w:t>
      </w:r>
      <w:r>
        <w:rPr>
          <w:sz w:val="18"/>
        </w:rPr>
        <w:t>Homeless</w:t>
      </w:r>
      <w:r>
        <w:rPr>
          <w:spacing w:val="-4"/>
          <w:sz w:val="18"/>
        </w:rPr>
        <w:t xml:space="preserve"> </w:t>
      </w:r>
      <w:r>
        <w:rPr>
          <w:sz w:val="18"/>
        </w:rPr>
        <w:t>Youth</w:t>
      </w:r>
      <w:r>
        <w:rPr>
          <w:spacing w:val="-4"/>
          <w:sz w:val="18"/>
        </w:rPr>
        <w:t xml:space="preserve"> </w:t>
      </w:r>
      <w:r>
        <w:rPr>
          <w:sz w:val="18"/>
        </w:rPr>
        <w:t>Fact</w:t>
      </w:r>
      <w:r>
        <w:rPr>
          <w:spacing w:val="-4"/>
          <w:sz w:val="18"/>
        </w:rPr>
        <w:t xml:space="preserve"> </w:t>
      </w:r>
      <w:r>
        <w:rPr>
          <w:sz w:val="18"/>
        </w:rPr>
        <w:t>Sheet.</w:t>
      </w:r>
      <w:r>
        <w:rPr>
          <w:spacing w:val="-3"/>
          <w:sz w:val="18"/>
        </w:rPr>
        <w:t xml:space="preserve"> </w:t>
      </w:r>
      <w:r>
        <w:rPr>
          <w:i/>
          <w:sz w:val="18"/>
        </w:rPr>
        <w:t>National</w:t>
      </w:r>
      <w:r>
        <w:rPr>
          <w:i/>
          <w:spacing w:val="-4"/>
          <w:sz w:val="18"/>
        </w:rPr>
        <w:t xml:space="preserve"> </w:t>
      </w:r>
      <w:r>
        <w:rPr>
          <w:i/>
          <w:sz w:val="18"/>
        </w:rPr>
        <w:t>Alliance</w:t>
      </w:r>
      <w:r>
        <w:rPr>
          <w:i/>
          <w:spacing w:val="-3"/>
          <w:sz w:val="18"/>
        </w:rPr>
        <w:t xml:space="preserve"> </w:t>
      </w:r>
      <w:r>
        <w:rPr>
          <w:i/>
          <w:sz w:val="18"/>
        </w:rPr>
        <w:t>to</w:t>
      </w:r>
      <w:r>
        <w:rPr>
          <w:i/>
          <w:spacing w:val="-4"/>
          <w:sz w:val="18"/>
        </w:rPr>
        <w:t xml:space="preserve"> </w:t>
      </w:r>
      <w:r>
        <w:rPr>
          <w:i/>
          <w:sz w:val="18"/>
        </w:rPr>
        <w:t>End</w:t>
      </w:r>
      <w:r>
        <w:rPr>
          <w:i/>
          <w:spacing w:val="-2"/>
          <w:sz w:val="18"/>
        </w:rPr>
        <w:t xml:space="preserve"> </w:t>
      </w:r>
      <w:r>
        <w:rPr>
          <w:i/>
          <w:sz w:val="18"/>
        </w:rPr>
        <w:t>Youth</w:t>
      </w:r>
      <w:r>
        <w:rPr>
          <w:i/>
          <w:spacing w:val="-5"/>
          <w:sz w:val="18"/>
        </w:rPr>
        <w:t xml:space="preserve"> </w:t>
      </w:r>
      <w:r>
        <w:rPr>
          <w:i/>
          <w:sz w:val="18"/>
        </w:rPr>
        <w:t>Homelessness</w:t>
      </w:r>
      <w:r>
        <w:rPr>
          <w:sz w:val="18"/>
        </w:rPr>
        <w:t>.</w:t>
      </w:r>
      <w:r>
        <w:rPr>
          <w:spacing w:val="-3"/>
          <w:sz w:val="18"/>
        </w:rPr>
        <w:t xml:space="preserve"> </w:t>
      </w:r>
      <w:r>
        <w:rPr>
          <w:sz w:val="18"/>
        </w:rPr>
        <w:t>Retrieved</w:t>
      </w:r>
      <w:r>
        <w:rPr>
          <w:spacing w:val="-4"/>
          <w:sz w:val="18"/>
        </w:rPr>
        <w:t xml:space="preserve"> </w:t>
      </w:r>
      <w:r>
        <w:rPr>
          <w:sz w:val="18"/>
        </w:rPr>
        <w:t xml:space="preserve">from </w:t>
      </w:r>
      <w:hyperlink r:id="rId599">
        <w:r>
          <w:rPr>
            <w:spacing w:val="-2"/>
            <w:sz w:val="18"/>
          </w:rPr>
          <w:t>http://www.safeschoolscoalition.org/LGBTQhomelessFactSheetbyNAEH.pdf</w:t>
        </w:r>
      </w:hyperlink>
    </w:p>
    <w:p w:rsidR="00200FDA" w:rsidRDefault="00F76C4C">
      <w:pPr>
        <w:spacing w:line="219" w:lineRule="exact"/>
        <w:ind w:left="140"/>
        <w:rPr>
          <w:sz w:val="18"/>
        </w:rPr>
      </w:pPr>
      <w:bookmarkStart w:id="782" w:name="_bookmark613"/>
      <w:bookmarkEnd w:id="782"/>
      <w:r>
        <w:rPr>
          <w:position w:val="5"/>
          <w:sz w:val="12"/>
        </w:rPr>
        <w:t>33</w:t>
      </w:r>
      <w:r>
        <w:rPr>
          <w:spacing w:val="9"/>
          <w:position w:val="5"/>
          <w:sz w:val="12"/>
        </w:rPr>
        <w:t xml:space="preserve"> </w:t>
      </w:r>
      <w:r>
        <w:rPr>
          <w:sz w:val="18"/>
        </w:rPr>
        <w:t>“The</w:t>
      </w:r>
      <w:r>
        <w:rPr>
          <w:spacing w:val="-3"/>
          <w:sz w:val="18"/>
        </w:rPr>
        <w:t xml:space="preserve"> </w:t>
      </w:r>
      <w:r>
        <w:rPr>
          <w:sz w:val="18"/>
        </w:rPr>
        <w:t>Home</w:t>
      </w:r>
      <w:r>
        <w:rPr>
          <w:spacing w:val="-4"/>
          <w:sz w:val="18"/>
        </w:rPr>
        <w:t xml:space="preserve"> </w:t>
      </w:r>
      <w:r>
        <w:rPr>
          <w:sz w:val="18"/>
        </w:rPr>
        <w:t>for</w:t>
      </w:r>
      <w:r>
        <w:rPr>
          <w:spacing w:val="-3"/>
          <w:sz w:val="18"/>
        </w:rPr>
        <w:t xml:space="preserve"> </w:t>
      </w:r>
      <w:r>
        <w:rPr>
          <w:sz w:val="18"/>
        </w:rPr>
        <w:t>Little</w:t>
      </w:r>
      <w:r>
        <w:rPr>
          <w:spacing w:val="-3"/>
          <w:sz w:val="18"/>
        </w:rPr>
        <w:t xml:space="preserve"> </w:t>
      </w:r>
      <w:r>
        <w:rPr>
          <w:sz w:val="18"/>
        </w:rPr>
        <w:t>Wanderers,”</w:t>
      </w:r>
      <w:r>
        <w:rPr>
          <w:spacing w:val="-4"/>
          <w:sz w:val="18"/>
        </w:rPr>
        <w:t xml:space="preserve"> </w:t>
      </w:r>
      <w:r>
        <w:rPr>
          <w:sz w:val="18"/>
        </w:rPr>
        <w:t>accessed</w:t>
      </w:r>
      <w:r>
        <w:rPr>
          <w:spacing w:val="-1"/>
          <w:sz w:val="18"/>
        </w:rPr>
        <w:t xml:space="preserve"> </w:t>
      </w:r>
      <w:r>
        <w:rPr>
          <w:sz w:val="18"/>
        </w:rPr>
        <w:t>March</w:t>
      </w:r>
      <w:r>
        <w:rPr>
          <w:spacing w:val="-4"/>
          <w:sz w:val="18"/>
        </w:rPr>
        <w:t xml:space="preserve"> </w:t>
      </w:r>
      <w:r>
        <w:rPr>
          <w:sz w:val="18"/>
        </w:rPr>
        <w:t>2,</w:t>
      </w:r>
      <w:r>
        <w:rPr>
          <w:spacing w:val="-2"/>
          <w:sz w:val="18"/>
        </w:rPr>
        <w:t xml:space="preserve"> </w:t>
      </w:r>
      <w:r>
        <w:rPr>
          <w:sz w:val="18"/>
        </w:rPr>
        <w:t>2023,</w:t>
      </w:r>
      <w:r>
        <w:rPr>
          <w:spacing w:val="-2"/>
          <w:sz w:val="18"/>
        </w:rPr>
        <w:t xml:space="preserve"> </w:t>
      </w:r>
      <w:r>
        <w:rPr>
          <w:sz w:val="18"/>
        </w:rPr>
        <w:t>https://thehome.org/waltham-</w:t>
      </w:r>
      <w:r>
        <w:rPr>
          <w:spacing w:val="-2"/>
          <w:sz w:val="18"/>
        </w:rPr>
        <w:t>house.</w:t>
      </w:r>
    </w:p>
    <w:p w:rsidR="00200FDA" w:rsidRDefault="00F76C4C">
      <w:pPr>
        <w:spacing w:before="1"/>
        <w:ind w:left="140" w:hanging="1"/>
        <w:rPr>
          <w:sz w:val="18"/>
        </w:rPr>
      </w:pPr>
      <w:bookmarkStart w:id="783" w:name="_bookmark614"/>
      <w:bookmarkEnd w:id="783"/>
      <w:r>
        <w:rPr>
          <w:position w:val="5"/>
          <w:sz w:val="12"/>
        </w:rPr>
        <w:t>34</w:t>
      </w:r>
      <w:r>
        <w:rPr>
          <w:spacing w:val="10"/>
          <w:position w:val="5"/>
          <w:sz w:val="12"/>
        </w:rPr>
        <w:t xml:space="preserve"> </w:t>
      </w:r>
      <w:r>
        <w:rPr>
          <w:sz w:val="18"/>
        </w:rPr>
        <w:t>Dana</w:t>
      </w:r>
      <w:r>
        <w:rPr>
          <w:spacing w:val="-3"/>
          <w:sz w:val="18"/>
        </w:rPr>
        <w:t xml:space="preserve"> </w:t>
      </w:r>
      <w:r>
        <w:rPr>
          <w:sz w:val="18"/>
        </w:rPr>
        <w:t>D.</w:t>
      </w:r>
      <w:r>
        <w:rPr>
          <w:spacing w:val="-3"/>
          <w:sz w:val="18"/>
        </w:rPr>
        <w:t xml:space="preserve"> </w:t>
      </w:r>
      <w:r>
        <w:rPr>
          <w:sz w:val="18"/>
        </w:rPr>
        <w:t>DeHart,</w:t>
      </w:r>
      <w:r>
        <w:rPr>
          <w:spacing w:val="-3"/>
          <w:sz w:val="18"/>
        </w:rPr>
        <w:t xml:space="preserve"> </w:t>
      </w:r>
      <w:r>
        <w:rPr>
          <w:sz w:val="18"/>
        </w:rPr>
        <w:t>Brandi</w:t>
      </w:r>
      <w:r>
        <w:rPr>
          <w:spacing w:val="-2"/>
          <w:sz w:val="18"/>
        </w:rPr>
        <w:t xml:space="preserve"> </w:t>
      </w:r>
      <w:r>
        <w:rPr>
          <w:sz w:val="18"/>
        </w:rPr>
        <w:t>Anderson,</w:t>
      </w:r>
      <w:r>
        <w:rPr>
          <w:spacing w:val="-3"/>
          <w:sz w:val="18"/>
        </w:rPr>
        <w:t xml:space="preserve"> </w:t>
      </w:r>
      <w:r>
        <w:rPr>
          <w:sz w:val="18"/>
        </w:rPr>
        <w:t>and</w:t>
      </w:r>
      <w:r>
        <w:rPr>
          <w:spacing w:val="-4"/>
          <w:sz w:val="18"/>
        </w:rPr>
        <w:t xml:space="preserve"> </w:t>
      </w:r>
      <w:r>
        <w:rPr>
          <w:sz w:val="18"/>
        </w:rPr>
        <w:t>Jeremy</w:t>
      </w:r>
      <w:r>
        <w:rPr>
          <w:spacing w:val="-3"/>
          <w:sz w:val="18"/>
        </w:rPr>
        <w:t xml:space="preserve"> </w:t>
      </w:r>
      <w:r>
        <w:rPr>
          <w:sz w:val="18"/>
        </w:rPr>
        <w:t>Martin,</w:t>
      </w:r>
      <w:r>
        <w:rPr>
          <w:spacing w:val="-3"/>
          <w:sz w:val="18"/>
        </w:rPr>
        <w:t xml:space="preserve"> </w:t>
      </w:r>
      <w:r>
        <w:rPr>
          <w:sz w:val="18"/>
        </w:rPr>
        <w:t>“Transition-Aged</w:t>
      </w:r>
      <w:r>
        <w:rPr>
          <w:spacing w:val="-4"/>
          <w:sz w:val="18"/>
        </w:rPr>
        <w:t xml:space="preserve"> </w:t>
      </w:r>
      <w:r>
        <w:rPr>
          <w:sz w:val="18"/>
        </w:rPr>
        <w:t>Youth</w:t>
      </w:r>
      <w:r>
        <w:rPr>
          <w:spacing w:val="-4"/>
          <w:sz w:val="18"/>
        </w:rPr>
        <w:t xml:space="preserve"> </w:t>
      </w:r>
      <w:r>
        <w:rPr>
          <w:sz w:val="18"/>
        </w:rPr>
        <w:t>Who</w:t>
      </w:r>
      <w:r>
        <w:rPr>
          <w:spacing w:val="-2"/>
          <w:sz w:val="18"/>
        </w:rPr>
        <w:t xml:space="preserve"> </w:t>
      </w:r>
      <w:r>
        <w:rPr>
          <w:sz w:val="18"/>
        </w:rPr>
        <w:t>Are</w:t>
      </w:r>
      <w:r>
        <w:rPr>
          <w:spacing w:val="-4"/>
          <w:sz w:val="18"/>
        </w:rPr>
        <w:t xml:space="preserve"> </w:t>
      </w:r>
      <w:r>
        <w:rPr>
          <w:sz w:val="18"/>
        </w:rPr>
        <w:t>Homeless</w:t>
      </w:r>
      <w:r>
        <w:rPr>
          <w:spacing w:val="-2"/>
          <w:sz w:val="18"/>
        </w:rPr>
        <w:t xml:space="preserve"> </w:t>
      </w:r>
      <w:r>
        <w:rPr>
          <w:sz w:val="18"/>
        </w:rPr>
        <w:t>and</w:t>
      </w:r>
      <w:r>
        <w:rPr>
          <w:spacing w:val="-4"/>
          <w:sz w:val="18"/>
        </w:rPr>
        <w:t xml:space="preserve"> </w:t>
      </w:r>
      <w:r>
        <w:rPr>
          <w:sz w:val="18"/>
        </w:rPr>
        <w:t>Misuse</w:t>
      </w:r>
      <w:r>
        <w:rPr>
          <w:spacing w:val="-2"/>
          <w:sz w:val="18"/>
        </w:rPr>
        <w:t xml:space="preserve"> </w:t>
      </w:r>
      <w:r>
        <w:rPr>
          <w:sz w:val="18"/>
        </w:rPr>
        <w:t>Substances:</w:t>
      </w:r>
      <w:r>
        <w:rPr>
          <w:spacing w:val="-3"/>
          <w:sz w:val="18"/>
        </w:rPr>
        <w:t xml:space="preserve"> </w:t>
      </w:r>
      <w:r>
        <w:rPr>
          <w:sz w:val="18"/>
        </w:rPr>
        <w:t xml:space="preserve">A Qualitative Study of Service Needs,” </w:t>
      </w:r>
      <w:r>
        <w:rPr>
          <w:i/>
          <w:sz w:val="18"/>
        </w:rPr>
        <w:t xml:space="preserve">Journal of Social Service Research </w:t>
      </w:r>
      <w:r>
        <w:rPr>
          <w:sz w:val="18"/>
        </w:rPr>
        <w:t xml:space="preserve">47, no. 6 (November 2, 2021): 872–85, </w:t>
      </w:r>
      <w:bookmarkStart w:id="784" w:name="_bookmark615"/>
      <w:bookmarkEnd w:id="784"/>
      <w:r>
        <w:rPr>
          <w:spacing w:val="-2"/>
          <w:sz w:val="18"/>
        </w:rPr>
        <w:t>https://doi.org/10.1080/01488376.2021.1941503.</w:t>
      </w:r>
    </w:p>
    <w:p w:rsidR="00200FDA" w:rsidRDefault="00F76C4C">
      <w:pPr>
        <w:ind w:left="139" w:right="818"/>
        <w:rPr>
          <w:sz w:val="18"/>
        </w:rPr>
      </w:pPr>
      <w:r>
        <w:rPr>
          <w:position w:val="5"/>
          <w:sz w:val="12"/>
        </w:rPr>
        <w:t>35</w:t>
      </w:r>
      <w:r>
        <w:rPr>
          <w:spacing w:val="10"/>
          <w:position w:val="5"/>
          <w:sz w:val="12"/>
        </w:rPr>
        <w:t xml:space="preserve"> </w:t>
      </w:r>
      <w:r>
        <w:rPr>
          <w:sz w:val="18"/>
        </w:rPr>
        <w:t>Les</w:t>
      </w:r>
      <w:r>
        <w:rPr>
          <w:spacing w:val="-3"/>
          <w:sz w:val="18"/>
        </w:rPr>
        <w:t xml:space="preserve"> </w:t>
      </w:r>
      <w:r>
        <w:rPr>
          <w:sz w:val="18"/>
        </w:rPr>
        <w:t>B.</w:t>
      </w:r>
      <w:r>
        <w:rPr>
          <w:spacing w:val="-2"/>
          <w:sz w:val="18"/>
        </w:rPr>
        <w:t xml:space="preserve"> </w:t>
      </w:r>
      <w:r>
        <w:rPr>
          <w:sz w:val="18"/>
        </w:rPr>
        <w:t>Whitbeck</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“Mental Disorder,</w:t>
      </w:r>
      <w:r>
        <w:rPr>
          <w:spacing w:val="-2"/>
          <w:sz w:val="18"/>
        </w:rPr>
        <w:t xml:space="preserve"> </w:t>
      </w:r>
      <w:r>
        <w:rPr>
          <w:sz w:val="18"/>
        </w:rPr>
        <w:t>Subsistence</w:t>
      </w:r>
      <w:r>
        <w:rPr>
          <w:spacing w:val="-3"/>
          <w:sz w:val="18"/>
        </w:rPr>
        <w:t xml:space="preserve"> </w:t>
      </w:r>
      <w:r>
        <w:rPr>
          <w:sz w:val="18"/>
        </w:rPr>
        <w:t>Strategies,</w:t>
      </w:r>
      <w:r>
        <w:rPr>
          <w:spacing w:val="-2"/>
          <w:sz w:val="18"/>
        </w:rPr>
        <w:t xml:space="preserve"> </w:t>
      </w:r>
      <w:r>
        <w:rPr>
          <w:sz w:val="18"/>
        </w:rPr>
        <w:t>and</w:t>
      </w:r>
      <w:r>
        <w:rPr>
          <w:spacing w:val="-3"/>
          <w:sz w:val="18"/>
        </w:rPr>
        <w:t xml:space="preserve"> </w:t>
      </w:r>
      <w:r>
        <w:rPr>
          <w:sz w:val="18"/>
        </w:rPr>
        <w:t>Victimization</w:t>
      </w:r>
      <w:r>
        <w:rPr>
          <w:spacing w:val="-3"/>
          <w:sz w:val="18"/>
        </w:rPr>
        <w:t xml:space="preserve"> </w:t>
      </w:r>
      <w:r>
        <w:rPr>
          <w:sz w:val="18"/>
        </w:rPr>
        <w:t>among</w:t>
      </w:r>
      <w:r>
        <w:rPr>
          <w:spacing w:val="-3"/>
          <w:sz w:val="18"/>
        </w:rPr>
        <w:t xml:space="preserve"> </w:t>
      </w:r>
      <w:r>
        <w:rPr>
          <w:sz w:val="18"/>
        </w:rPr>
        <w:t>Gay,</w:t>
      </w:r>
      <w:r>
        <w:rPr>
          <w:spacing w:val="-2"/>
          <w:sz w:val="18"/>
        </w:rPr>
        <w:t xml:space="preserve"> </w:t>
      </w:r>
      <w:r>
        <w:rPr>
          <w:sz w:val="18"/>
        </w:rPr>
        <w:t>Lesbian,</w:t>
      </w:r>
      <w:r>
        <w:rPr>
          <w:spacing w:val="-2"/>
          <w:sz w:val="18"/>
        </w:rPr>
        <w:t xml:space="preserve"> </w:t>
      </w:r>
      <w:r>
        <w:rPr>
          <w:sz w:val="18"/>
        </w:rPr>
        <w:t>and</w:t>
      </w:r>
      <w:r>
        <w:rPr>
          <w:spacing w:val="-3"/>
          <w:sz w:val="18"/>
        </w:rPr>
        <w:t xml:space="preserve"> </w:t>
      </w:r>
      <w:r>
        <w:rPr>
          <w:sz w:val="18"/>
        </w:rPr>
        <w:t>Bisexual Homeless and Run</w:t>
      </w:r>
      <w:r>
        <w:rPr>
          <w:sz w:val="18"/>
        </w:rPr>
        <w:t xml:space="preserve">away Adolescents,” </w:t>
      </w:r>
      <w:r>
        <w:rPr>
          <w:i/>
          <w:sz w:val="18"/>
        </w:rPr>
        <w:t xml:space="preserve">Journal of Sex Research </w:t>
      </w:r>
      <w:r>
        <w:rPr>
          <w:sz w:val="18"/>
        </w:rPr>
        <w:t xml:space="preserve">41, no. 4 (November 2004): 329–42, </w:t>
      </w:r>
      <w:bookmarkStart w:id="785" w:name="_bookmark616"/>
      <w:bookmarkEnd w:id="785"/>
      <w:r>
        <w:rPr>
          <w:spacing w:val="-2"/>
          <w:sz w:val="18"/>
        </w:rPr>
        <w:t>https://doi.org/10.1080/00224490409552240.</w:t>
      </w:r>
    </w:p>
    <w:p w:rsidR="00200FDA" w:rsidRDefault="00F76C4C">
      <w:pPr>
        <w:ind w:left="140"/>
        <w:rPr>
          <w:sz w:val="18"/>
        </w:rPr>
      </w:pPr>
      <w:r>
        <w:rPr>
          <w:position w:val="5"/>
          <w:sz w:val="12"/>
        </w:rPr>
        <w:t>36</w:t>
      </w:r>
      <w:r>
        <w:rPr>
          <w:spacing w:val="8"/>
          <w:position w:val="5"/>
          <w:sz w:val="12"/>
        </w:rPr>
        <w:t xml:space="preserve"> </w:t>
      </w:r>
      <w:bookmarkStart w:id="786" w:name="_bookmark617"/>
      <w:bookmarkEnd w:id="786"/>
      <w:r>
        <w:rPr>
          <w:sz w:val="18"/>
        </w:rPr>
        <w:t>“Homelessness</w:t>
      </w:r>
      <w:r>
        <w:rPr>
          <w:spacing w:val="-2"/>
          <w:sz w:val="18"/>
        </w:rPr>
        <w:t xml:space="preserve"> </w:t>
      </w:r>
      <w:r>
        <w:rPr>
          <w:sz w:val="18"/>
        </w:rPr>
        <w:t>and</w:t>
      </w:r>
      <w:r>
        <w:rPr>
          <w:spacing w:val="-2"/>
          <w:sz w:val="18"/>
        </w:rPr>
        <w:t xml:space="preserve"> </w:t>
      </w:r>
      <w:r>
        <w:rPr>
          <w:sz w:val="18"/>
        </w:rPr>
        <w:t>Housing</w:t>
      </w:r>
      <w:r>
        <w:rPr>
          <w:spacing w:val="-2"/>
          <w:sz w:val="18"/>
        </w:rPr>
        <w:t xml:space="preserve"> </w:t>
      </w:r>
      <w:r>
        <w:rPr>
          <w:sz w:val="18"/>
        </w:rPr>
        <w:t>Instability</w:t>
      </w:r>
      <w:r>
        <w:rPr>
          <w:spacing w:val="-1"/>
          <w:sz w:val="18"/>
        </w:rPr>
        <w:t xml:space="preserve"> </w:t>
      </w:r>
      <w:r>
        <w:rPr>
          <w:sz w:val="18"/>
        </w:rPr>
        <w:t>Among</w:t>
      </w:r>
      <w:r>
        <w:rPr>
          <w:spacing w:val="-2"/>
          <w:sz w:val="18"/>
        </w:rPr>
        <w:t xml:space="preserve"> </w:t>
      </w:r>
      <w:r>
        <w:rPr>
          <w:sz w:val="18"/>
        </w:rPr>
        <w:t>LGBTQ</w:t>
      </w:r>
      <w:r>
        <w:rPr>
          <w:spacing w:val="-2"/>
          <w:sz w:val="18"/>
        </w:rPr>
        <w:t xml:space="preserve"> Youth.”</w:t>
      </w:r>
    </w:p>
    <w:p w:rsidR="00200FDA" w:rsidRDefault="00F76C4C">
      <w:pPr>
        <w:ind w:left="140" w:right="607" w:hanging="1"/>
        <w:rPr>
          <w:sz w:val="18"/>
        </w:rPr>
      </w:pPr>
      <w:r>
        <w:rPr>
          <w:position w:val="5"/>
          <w:sz w:val="12"/>
        </w:rPr>
        <w:t>37</w:t>
      </w:r>
      <w:r>
        <w:rPr>
          <w:spacing w:val="10"/>
          <w:position w:val="5"/>
          <w:sz w:val="12"/>
        </w:rPr>
        <w:t xml:space="preserve"> </w:t>
      </w:r>
      <w:r>
        <w:rPr>
          <w:sz w:val="18"/>
        </w:rPr>
        <w:t>A.</w:t>
      </w:r>
      <w:r>
        <w:rPr>
          <w:spacing w:val="-2"/>
          <w:sz w:val="18"/>
        </w:rPr>
        <w:t xml:space="preserve"> </w:t>
      </w:r>
      <w:r>
        <w:rPr>
          <w:sz w:val="18"/>
        </w:rPr>
        <w:t>Jess</w:t>
      </w:r>
      <w:r>
        <w:rPr>
          <w:spacing w:val="-3"/>
          <w:sz w:val="18"/>
        </w:rPr>
        <w:t xml:space="preserve"> </w:t>
      </w:r>
      <w:r>
        <w:rPr>
          <w:sz w:val="18"/>
        </w:rPr>
        <w:t>Williams</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“A</w:t>
      </w:r>
      <w:r>
        <w:rPr>
          <w:spacing w:val="-3"/>
          <w:sz w:val="18"/>
        </w:rPr>
        <w:t xml:space="preserve"> </w:t>
      </w:r>
      <w:r>
        <w:rPr>
          <w:sz w:val="18"/>
        </w:rPr>
        <w:t>Systematic</w:t>
      </w:r>
      <w:r>
        <w:rPr>
          <w:spacing w:val="-2"/>
          <w:sz w:val="18"/>
        </w:rPr>
        <w:t xml:space="preserve"> </w:t>
      </w:r>
      <w:r>
        <w:rPr>
          <w:sz w:val="18"/>
        </w:rPr>
        <w:t>Review</w:t>
      </w:r>
      <w:r>
        <w:rPr>
          <w:spacing w:val="-1"/>
          <w:sz w:val="18"/>
        </w:rPr>
        <w:t xml:space="preserve"> </w:t>
      </w:r>
      <w:r>
        <w:rPr>
          <w:sz w:val="18"/>
        </w:rPr>
        <w:t>and</w:t>
      </w:r>
      <w:r>
        <w:rPr>
          <w:spacing w:val="-3"/>
          <w:sz w:val="18"/>
        </w:rPr>
        <w:t xml:space="preserve"> </w:t>
      </w:r>
      <w:r>
        <w:rPr>
          <w:sz w:val="18"/>
        </w:rPr>
        <w:t>Meta-Analysis</w:t>
      </w:r>
      <w:r>
        <w:rPr>
          <w:spacing w:val="-3"/>
          <w:sz w:val="18"/>
        </w:rPr>
        <w:t xml:space="preserve"> </w:t>
      </w:r>
      <w:r>
        <w:rPr>
          <w:sz w:val="18"/>
        </w:rPr>
        <w:t>of</w:t>
      </w:r>
      <w:r>
        <w:rPr>
          <w:spacing w:val="-2"/>
          <w:sz w:val="18"/>
        </w:rPr>
        <w:t xml:space="preserve"> </w:t>
      </w:r>
      <w:r>
        <w:rPr>
          <w:sz w:val="18"/>
        </w:rPr>
        <w:t>Victimisation</w:t>
      </w:r>
      <w:r>
        <w:rPr>
          <w:spacing w:val="-3"/>
          <w:sz w:val="18"/>
        </w:rPr>
        <w:t xml:space="preserve"> </w:t>
      </w:r>
      <w:r>
        <w:rPr>
          <w:sz w:val="18"/>
        </w:rPr>
        <w:t>and</w:t>
      </w:r>
      <w:r>
        <w:rPr>
          <w:spacing w:val="-3"/>
          <w:sz w:val="18"/>
        </w:rPr>
        <w:t xml:space="preserve"> </w:t>
      </w:r>
      <w:r>
        <w:rPr>
          <w:sz w:val="18"/>
        </w:rPr>
        <w:t>Mental</w:t>
      </w:r>
      <w:r>
        <w:rPr>
          <w:spacing w:val="-3"/>
          <w:sz w:val="18"/>
        </w:rPr>
        <w:t xml:space="preserve"> </w:t>
      </w:r>
      <w:r>
        <w:rPr>
          <w:sz w:val="18"/>
        </w:rPr>
        <w:t>Health</w:t>
      </w:r>
      <w:r>
        <w:rPr>
          <w:spacing w:val="-1"/>
          <w:sz w:val="18"/>
        </w:rPr>
        <w:t xml:space="preserve"> </w:t>
      </w:r>
      <w:r>
        <w:rPr>
          <w:sz w:val="18"/>
        </w:rPr>
        <w:t>Prevalence</w:t>
      </w:r>
      <w:r>
        <w:rPr>
          <w:spacing w:val="-3"/>
          <w:sz w:val="18"/>
        </w:rPr>
        <w:t xml:space="preserve"> </w:t>
      </w:r>
      <w:r>
        <w:rPr>
          <w:sz w:val="18"/>
        </w:rPr>
        <w:t xml:space="preserve">among LGBTQ+ Young People with Experiences of Self-Harm and Suicide,” </w:t>
      </w:r>
      <w:r>
        <w:rPr>
          <w:i/>
          <w:sz w:val="18"/>
        </w:rPr>
        <w:t xml:space="preserve">PloS One </w:t>
      </w:r>
      <w:r>
        <w:rPr>
          <w:sz w:val="18"/>
        </w:rPr>
        <w:t xml:space="preserve">16, no. 1 (2021): e0245268, </w:t>
      </w:r>
      <w:bookmarkStart w:id="787" w:name="_bookmark618"/>
      <w:bookmarkEnd w:id="787"/>
      <w:r>
        <w:rPr>
          <w:spacing w:val="-2"/>
          <w:sz w:val="18"/>
        </w:rPr>
        <w:t>https://doi.org/10.1371/journal.pone.0245268.</w:t>
      </w:r>
    </w:p>
    <w:p w:rsidR="00200FDA" w:rsidRDefault="00F76C4C">
      <w:pPr>
        <w:spacing w:line="218" w:lineRule="exact"/>
        <w:ind w:left="140"/>
        <w:rPr>
          <w:sz w:val="18"/>
        </w:rPr>
      </w:pPr>
      <w:r>
        <w:rPr>
          <w:position w:val="5"/>
          <w:sz w:val="12"/>
        </w:rPr>
        <w:t>38</w:t>
      </w:r>
      <w:r>
        <w:rPr>
          <w:spacing w:val="8"/>
          <w:position w:val="5"/>
          <w:sz w:val="12"/>
        </w:rPr>
        <w:t xml:space="preserve"> </w:t>
      </w:r>
      <w:r>
        <w:rPr>
          <w:sz w:val="18"/>
        </w:rPr>
        <w:t>“Homelessness</w:t>
      </w:r>
      <w:r>
        <w:rPr>
          <w:spacing w:val="-2"/>
          <w:sz w:val="18"/>
        </w:rPr>
        <w:t xml:space="preserve"> </w:t>
      </w:r>
      <w:r>
        <w:rPr>
          <w:sz w:val="18"/>
        </w:rPr>
        <w:t>and</w:t>
      </w:r>
      <w:r>
        <w:rPr>
          <w:spacing w:val="-2"/>
          <w:sz w:val="18"/>
        </w:rPr>
        <w:t xml:space="preserve"> </w:t>
      </w:r>
      <w:r>
        <w:rPr>
          <w:sz w:val="18"/>
        </w:rPr>
        <w:t>Housing</w:t>
      </w:r>
      <w:r>
        <w:rPr>
          <w:spacing w:val="-2"/>
          <w:sz w:val="18"/>
        </w:rPr>
        <w:t xml:space="preserve"> </w:t>
      </w:r>
      <w:r>
        <w:rPr>
          <w:sz w:val="18"/>
        </w:rPr>
        <w:t>Instability</w:t>
      </w:r>
      <w:r>
        <w:rPr>
          <w:spacing w:val="-1"/>
          <w:sz w:val="18"/>
        </w:rPr>
        <w:t xml:space="preserve"> </w:t>
      </w:r>
      <w:r>
        <w:rPr>
          <w:sz w:val="18"/>
        </w:rPr>
        <w:t>Among</w:t>
      </w:r>
      <w:r>
        <w:rPr>
          <w:spacing w:val="-2"/>
          <w:sz w:val="18"/>
        </w:rPr>
        <w:t xml:space="preserve"> </w:t>
      </w:r>
      <w:r>
        <w:rPr>
          <w:sz w:val="18"/>
        </w:rPr>
        <w:t>LGBTQ</w:t>
      </w:r>
      <w:r>
        <w:rPr>
          <w:spacing w:val="-2"/>
          <w:sz w:val="18"/>
        </w:rPr>
        <w:t xml:space="preserve"> Youth.”</w:t>
      </w:r>
    </w:p>
    <w:p w:rsidR="00200FDA" w:rsidRDefault="00F76C4C">
      <w:pPr>
        <w:spacing w:before="1" w:line="219" w:lineRule="exact"/>
        <w:ind w:left="140"/>
        <w:rPr>
          <w:sz w:val="18"/>
        </w:rPr>
      </w:pPr>
      <w:bookmarkStart w:id="788" w:name="_bookmark619"/>
      <w:bookmarkEnd w:id="788"/>
      <w:r>
        <w:rPr>
          <w:position w:val="5"/>
          <w:sz w:val="12"/>
        </w:rPr>
        <w:t>39</w:t>
      </w:r>
      <w:r>
        <w:rPr>
          <w:spacing w:val="10"/>
          <w:position w:val="5"/>
          <w:sz w:val="12"/>
        </w:rPr>
        <w:t xml:space="preserve"> </w:t>
      </w:r>
      <w:r>
        <w:rPr>
          <w:sz w:val="18"/>
        </w:rPr>
        <w:t>Ross,</w:t>
      </w:r>
      <w:r>
        <w:rPr>
          <w:spacing w:val="-2"/>
          <w:sz w:val="18"/>
        </w:rPr>
        <w:t xml:space="preserve"> </w:t>
      </w:r>
      <w:r>
        <w:rPr>
          <w:sz w:val="18"/>
        </w:rPr>
        <w:t>“Massachusetts</w:t>
      </w:r>
      <w:r>
        <w:rPr>
          <w:spacing w:val="-3"/>
          <w:sz w:val="18"/>
        </w:rPr>
        <w:t xml:space="preserve"> </w:t>
      </w:r>
      <w:r>
        <w:rPr>
          <w:sz w:val="18"/>
        </w:rPr>
        <w:t>2022</w:t>
      </w:r>
      <w:r>
        <w:rPr>
          <w:spacing w:val="-3"/>
          <w:sz w:val="18"/>
        </w:rPr>
        <w:t xml:space="preserve"> </w:t>
      </w:r>
      <w:r>
        <w:rPr>
          <w:sz w:val="18"/>
        </w:rPr>
        <w:t>Youth</w:t>
      </w:r>
      <w:r>
        <w:rPr>
          <w:spacing w:val="-2"/>
          <w:sz w:val="18"/>
        </w:rPr>
        <w:t xml:space="preserve"> Count.”</w:t>
      </w:r>
    </w:p>
    <w:p w:rsidR="00200FDA" w:rsidRDefault="00F76C4C">
      <w:pPr>
        <w:spacing w:line="219" w:lineRule="exact"/>
        <w:ind w:left="140"/>
        <w:rPr>
          <w:sz w:val="18"/>
        </w:rPr>
      </w:pPr>
      <w:bookmarkStart w:id="789" w:name="_bookmark620"/>
      <w:bookmarkEnd w:id="789"/>
      <w:r>
        <w:rPr>
          <w:position w:val="5"/>
          <w:sz w:val="12"/>
        </w:rPr>
        <w:t>40</w:t>
      </w:r>
      <w:r>
        <w:rPr>
          <w:spacing w:val="11"/>
          <w:position w:val="5"/>
          <w:sz w:val="12"/>
        </w:rPr>
        <w:t xml:space="preserve"> </w:t>
      </w:r>
      <w:r>
        <w:rPr>
          <w:sz w:val="18"/>
        </w:rPr>
        <w:t>Choi</w:t>
      </w:r>
      <w:r>
        <w:rPr>
          <w:spacing w:val="-2"/>
          <w:sz w:val="18"/>
        </w:rPr>
        <w:t xml:space="preserve"> </w:t>
      </w:r>
      <w:r>
        <w:rPr>
          <w:sz w:val="18"/>
        </w:rPr>
        <w:t>et</w:t>
      </w:r>
      <w:r>
        <w:rPr>
          <w:spacing w:val="-2"/>
          <w:sz w:val="18"/>
        </w:rPr>
        <w:t xml:space="preserve"> </w:t>
      </w:r>
      <w:r>
        <w:rPr>
          <w:sz w:val="18"/>
        </w:rPr>
        <w:t>al.,</w:t>
      </w:r>
      <w:r>
        <w:rPr>
          <w:spacing w:val="-1"/>
          <w:sz w:val="18"/>
        </w:rPr>
        <w:t xml:space="preserve"> </w:t>
      </w:r>
      <w:r>
        <w:rPr>
          <w:sz w:val="18"/>
        </w:rPr>
        <w:t>“Serving</w:t>
      </w:r>
      <w:r>
        <w:rPr>
          <w:spacing w:val="-2"/>
          <w:sz w:val="18"/>
        </w:rPr>
        <w:t xml:space="preserve"> </w:t>
      </w:r>
      <w:r>
        <w:rPr>
          <w:sz w:val="18"/>
        </w:rPr>
        <w:t>Our</w:t>
      </w:r>
      <w:r>
        <w:rPr>
          <w:spacing w:val="-2"/>
          <w:sz w:val="18"/>
        </w:rPr>
        <w:t xml:space="preserve"> </w:t>
      </w:r>
      <w:r>
        <w:rPr>
          <w:sz w:val="18"/>
        </w:rPr>
        <w:t>Youth</w:t>
      </w:r>
      <w:r>
        <w:rPr>
          <w:spacing w:val="-2"/>
          <w:sz w:val="18"/>
        </w:rPr>
        <w:t xml:space="preserve"> 2015.”</w:t>
      </w:r>
    </w:p>
    <w:p w:rsidR="00200FDA" w:rsidRDefault="00F76C4C">
      <w:pPr>
        <w:spacing w:before="1"/>
        <w:ind w:left="140"/>
        <w:rPr>
          <w:sz w:val="18"/>
        </w:rPr>
      </w:pPr>
      <w:bookmarkStart w:id="790" w:name="_bookmark621"/>
      <w:bookmarkEnd w:id="790"/>
      <w:r>
        <w:rPr>
          <w:position w:val="5"/>
          <w:sz w:val="12"/>
        </w:rPr>
        <w:t>41</w:t>
      </w:r>
      <w:r>
        <w:rPr>
          <w:spacing w:val="9"/>
          <w:position w:val="5"/>
          <w:sz w:val="12"/>
        </w:rPr>
        <w:t xml:space="preserve"> </w:t>
      </w:r>
      <w:r>
        <w:rPr>
          <w:sz w:val="18"/>
        </w:rPr>
        <w:t>“Missed</w:t>
      </w:r>
      <w:r>
        <w:rPr>
          <w:spacing w:val="-3"/>
          <w:sz w:val="18"/>
        </w:rPr>
        <w:t xml:space="preserve"> </w:t>
      </w:r>
      <w:r>
        <w:rPr>
          <w:spacing w:val="-2"/>
          <w:sz w:val="18"/>
        </w:rPr>
        <w:t>Opportunities.”</w:t>
      </w:r>
    </w:p>
    <w:p w:rsidR="00200FDA" w:rsidRDefault="00F76C4C">
      <w:pPr>
        <w:spacing w:before="1" w:line="219" w:lineRule="exact"/>
        <w:ind w:left="140"/>
        <w:rPr>
          <w:sz w:val="18"/>
        </w:rPr>
      </w:pPr>
      <w:bookmarkStart w:id="791" w:name="_bookmark622"/>
      <w:bookmarkEnd w:id="791"/>
      <w:r>
        <w:rPr>
          <w:position w:val="5"/>
          <w:sz w:val="12"/>
        </w:rPr>
        <w:t>42</w:t>
      </w:r>
      <w:r>
        <w:rPr>
          <w:spacing w:val="9"/>
          <w:position w:val="5"/>
          <w:sz w:val="12"/>
        </w:rPr>
        <w:t xml:space="preserve"> </w:t>
      </w:r>
      <w:r>
        <w:rPr>
          <w:sz w:val="18"/>
        </w:rPr>
        <w:t>2021</w:t>
      </w:r>
      <w:r>
        <w:rPr>
          <w:spacing w:val="-1"/>
          <w:sz w:val="18"/>
        </w:rPr>
        <w:t xml:space="preserve"> </w:t>
      </w:r>
      <w:r>
        <w:rPr>
          <w:sz w:val="18"/>
        </w:rPr>
        <w:t>MYRBS</w:t>
      </w:r>
      <w:r>
        <w:rPr>
          <w:spacing w:val="-2"/>
          <w:sz w:val="18"/>
        </w:rPr>
        <w:t xml:space="preserve"> </w:t>
      </w:r>
      <w:r>
        <w:rPr>
          <w:sz w:val="18"/>
        </w:rPr>
        <w:t>Analysis –</w:t>
      </w:r>
      <w:r>
        <w:rPr>
          <w:spacing w:val="-2"/>
          <w:sz w:val="18"/>
        </w:rPr>
        <w:t xml:space="preserve"> </w:t>
      </w:r>
      <w:r>
        <w:rPr>
          <w:sz w:val="18"/>
        </w:rPr>
        <w:t>data</w:t>
      </w:r>
      <w:r>
        <w:rPr>
          <w:spacing w:val="-1"/>
          <w:sz w:val="18"/>
        </w:rPr>
        <w:t xml:space="preserve"> </w:t>
      </w:r>
      <w:r>
        <w:rPr>
          <w:sz w:val="18"/>
        </w:rPr>
        <w:t>on</w:t>
      </w:r>
      <w:r>
        <w:rPr>
          <w:spacing w:val="-2"/>
          <w:sz w:val="18"/>
        </w:rPr>
        <w:t xml:space="preserve"> </w:t>
      </w:r>
      <w:r>
        <w:rPr>
          <w:sz w:val="18"/>
        </w:rPr>
        <w:t>file</w:t>
      </w:r>
      <w:r>
        <w:rPr>
          <w:spacing w:val="-2"/>
          <w:sz w:val="18"/>
        </w:rPr>
        <w:t xml:space="preserve"> </w:t>
      </w:r>
      <w:r>
        <w:rPr>
          <w:sz w:val="18"/>
        </w:rPr>
        <w:t>with</w:t>
      </w:r>
      <w:r>
        <w:rPr>
          <w:spacing w:val="-2"/>
          <w:sz w:val="18"/>
        </w:rPr>
        <w:t xml:space="preserve"> </w:t>
      </w:r>
      <w:r>
        <w:rPr>
          <w:sz w:val="18"/>
        </w:rPr>
        <w:t>the</w:t>
      </w:r>
      <w:r>
        <w:rPr>
          <w:spacing w:val="-1"/>
          <w:sz w:val="18"/>
        </w:rPr>
        <w:t xml:space="preserve"> </w:t>
      </w:r>
      <w:r>
        <w:rPr>
          <w:spacing w:val="-2"/>
          <w:sz w:val="18"/>
        </w:rPr>
        <w:t>Commission.</w:t>
      </w:r>
    </w:p>
    <w:p w:rsidR="00200FDA" w:rsidRDefault="00F76C4C">
      <w:pPr>
        <w:ind w:left="140" w:right="368" w:hanging="1"/>
        <w:rPr>
          <w:sz w:val="18"/>
        </w:rPr>
      </w:pPr>
      <w:bookmarkStart w:id="792" w:name="_bookmark623"/>
      <w:bookmarkEnd w:id="792"/>
      <w:r>
        <w:rPr>
          <w:position w:val="5"/>
          <w:sz w:val="12"/>
        </w:rPr>
        <w:t>43</w:t>
      </w:r>
      <w:r>
        <w:rPr>
          <w:spacing w:val="9"/>
          <w:position w:val="5"/>
          <w:sz w:val="12"/>
        </w:rPr>
        <w:t xml:space="preserve"> </w:t>
      </w:r>
      <w:r>
        <w:rPr>
          <w:sz w:val="18"/>
        </w:rPr>
        <w:t>J</w:t>
      </w:r>
      <w:r>
        <w:rPr>
          <w:spacing w:val="-3"/>
          <w:sz w:val="18"/>
        </w:rPr>
        <w:t xml:space="preserve"> </w:t>
      </w:r>
      <w:r>
        <w:rPr>
          <w:sz w:val="18"/>
        </w:rPr>
        <w:t>J</w:t>
      </w:r>
      <w:r>
        <w:rPr>
          <w:spacing w:val="-3"/>
          <w:sz w:val="18"/>
        </w:rPr>
        <w:t xml:space="preserve"> </w:t>
      </w:r>
      <w:r>
        <w:rPr>
          <w:sz w:val="18"/>
        </w:rPr>
        <w:t>Cutuli,</w:t>
      </w:r>
      <w:r>
        <w:rPr>
          <w:spacing w:val="-3"/>
          <w:sz w:val="18"/>
        </w:rPr>
        <w:t xml:space="preserve"> </w:t>
      </w:r>
      <w:r>
        <w:rPr>
          <w:sz w:val="18"/>
        </w:rPr>
        <w:t>“Homelessness</w:t>
      </w:r>
      <w:r>
        <w:rPr>
          <w:spacing w:val="-4"/>
          <w:sz w:val="18"/>
        </w:rPr>
        <w:t xml:space="preserve"> </w:t>
      </w:r>
      <w:r>
        <w:rPr>
          <w:sz w:val="18"/>
        </w:rPr>
        <w:t>in</w:t>
      </w:r>
      <w:r>
        <w:rPr>
          <w:spacing w:val="-4"/>
          <w:sz w:val="18"/>
        </w:rPr>
        <w:t xml:space="preserve"> </w:t>
      </w:r>
      <w:r>
        <w:rPr>
          <w:sz w:val="18"/>
        </w:rPr>
        <w:t>High</w:t>
      </w:r>
      <w:r>
        <w:rPr>
          <w:spacing w:val="-2"/>
          <w:sz w:val="18"/>
        </w:rPr>
        <w:t xml:space="preserve"> </w:t>
      </w:r>
      <w:r>
        <w:rPr>
          <w:sz w:val="18"/>
        </w:rPr>
        <w:t>School:</w:t>
      </w:r>
      <w:r>
        <w:rPr>
          <w:spacing w:val="-3"/>
          <w:sz w:val="18"/>
        </w:rPr>
        <w:t xml:space="preserve"> </w:t>
      </w:r>
      <w:r>
        <w:rPr>
          <w:sz w:val="18"/>
        </w:rPr>
        <w:t>Population-Representative</w:t>
      </w:r>
      <w:r>
        <w:rPr>
          <w:spacing w:val="-4"/>
          <w:sz w:val="18"/>
        </w:rPr>
        <w:t xml:space="preserve"> </w:t>
      </w:r>
      <w:r>
        <w:rPr>
          <w:sz w:val="18"/>
        </w:rPr>
        <w:t>Rates</w:t>
      </w:r>
      <w:r>
        <w:rPr>
          <w:spacing w:val="-4"/>
          <w:sz w:val="18"/>
        </w:rPr>
        <w:t xml:space="preserve"> </w:t>
      </w:r>
      <w:r>
        <w:rPr>
          <w:sz w:val="18"/>
        </w:rPr>
        <w:t>of</w:t>
      </w:r>
      <w:r>
        <w:rPr>
          <w:spacing w:val="-3"/>
          <w:sz w:val="18"/>
        </w:rPr>
        <w:t xml:space="preserve"> </w:t>
      </w:r>
      <w:r>
        <w:rPr>
          <w:sz w:val="18"/>
        </w:rPr>
        <w:t>Self-Reported</w:t>
      </w:r>
      <w:r>
        <w:rPr>
          <w:spacing w:val="-4"/>
          <w:sz w:val="18"/>
        </w:rPr>
        <w:t xml:space="preserve"> </w:t>
      </w:r>
      <w:r>
        <w:rPr>
          <w:sz w:val="18"/>
        </w:rPr>
        <w:t>Homelessness,</w:t>
      </w:r>
      <w:r>
        <w:rPr>
          <w:spacing w:val="-3"/>
          <w:sz w:val="18"/>
        </w:rPr>
        <w:t xml:space="preserve"> </w:t>
      </w:r>
      <w:r>
        <w:rPr>
          <w:sz w:val="18"/>
        </w:rPr>
        <w:t>Resilience,</w:t>
      </w:r>
      <w:r>
        <w:rPr>
          <w:spacing w:val="-3"/>
          <w:sz w:val="18"/>
        </w:rPr>
        <w:t xml:space="preserve"> </w:t>
      </w:r>
      <w:r>
        <w:rPr>
          <w:sz w:val="18"/>
        </w:rPr>
        <w:t xml:space="preserve">and Risk in Philadelphia,” </w:t>
      </w:r>
      <w:r>
        <w:rPr>
          <w:i/>
          <w:sz w:val="18"/>
        </w:rPr>
        <w:t xml:space="preserve">Social Work Research </w:t>
      </w:r>
      <w:r>
        <w:rPr>
          <w:sz w:val="18"/>
        </w:rPr>
        <w:t>42, no. 3 (September 1, 2018): 159–68, https://doi.org/10.1093/swr/svy013.</w:t>
      </w:r>
    </w:p>
    <w:p w:rsidR="00200FDA" w:rsidRDefault="00F76C4C">
      <w:pPr>
        <w:ind w:left="140" w:right="139" w:hanging="1"/>
        <w:rPr>
          <w:sz w:val="18"/>
        </w:rPr>
      </w:pPr>
      <w:bookmarkStart w:id="793" w:name="_bookmark624"/>
      <w:bookmarkEnd w:id="793"/>
      <w:r>
        <w:rPr>
          <w:position w:val="5"/>
          <w:sz w:val="12"/>
        </w:rPr>
        <w:t>44</w:t>
      </w:r>
      <w:r>
        <w:rPr>
          <w:spacing w:val="20"/>
          <w:position w:val="5"/>
          <w:sz w:val="12"/>
        </w:rPr>
        <w:t xml:space="preserve"> </w:t>
      </w:r>
      <w:r>
        <w:rPr>
          <w:sz w:val="18"/>
        </w:rPr>
        <w:t xml:space="preserve">Adam Romero, Shoshana Goldberg, and Luis Vasquez, “LGBT People and Housing Affordability, </w:t>
      </w:r>
      <w:r>
        <w:rPr>
          <w:sz w:val="18"/>
        </w:rPr>
        <w:t>Discrimination, and Homelessness,”</w:t>
      </w:r>
      <w:r>
        <w:rPr>
          <w:spacing w:val="-6"/>
          <w:sz w:val="18"/>
        </w:rPr>
        <w:t xml:space="preserve"> </w:t>
      </w:r>
      <w:r>
        <w:rPr>
          <w:sz w:val="18"/>
        </w:rPr>
        <w:t>Williams</w:t>
      </w:r>
      <w:r>
        <w:rPr>
          <w:spacing w:val="-6"/>
          <w:sz w:val="18"/>
        </w:rPr>
        <w:t xml:space="preserve"> </w:t>
      </w:r>
      <w:r>
        <w:rPr>
          <w:sz w:val="18"/>
        </w:rPr>
        <w:t>Institute,</w:t>
      </w:r>
      <w:r>
        <w:rPr>
          <w:spacing w:val="-5"/>
          <w:sz w:val="18"/>
        </w:rPr>
        <w:t xml:space="preserve"> </w:t>
      </w:r>
      <w:r>
        <w:rPr>
          <w:sz w:val="18"/>
        </w:rPr>
        <w:t>accessed</w:t>
      </w:r>
      <w:r>
        <w:rPr>
          <w:spacing w:val="-6"/>
          <w:sz w:val="18"/>
        </w:rPr>
        <w:t xml:space="preserve"> </w:t>
      </w:r>
      <w:r>
        <w:rPr>
          <w:sz w:val="18"/>
        </w:rPr>
        <w:t>April</w:t>
      </w:r>
      <w:r>
        <w:rPr>
          <w:spacing w:val="-6"/>
          <w:sz w:val="18"/>
        </w:rPr>
        <w:t xml:space="preserve"> </w:t>
      </w:r>
      <w:r>
        <w:rPr>
          <w:sz w:val="18"/>
        </w:rPr>
        <w:t>24,</w:t>
      </w:r>
      <w:r>
        <w:rPr>
          <w:spacing w:val="-5"/>
          <w:sz w:val="18"/>
        </w:rPr>
        <w:t xml:space="preserve"> </w:t>
      </w:r>
      <w:r>
        <w:rPr>
          <w:sz w:val="18"/>
        </w:rPr>
        <w:t>2023,</w:t>
      </w:r>
      <w:r>
        <w:rPr>
          <w:spacing w:val="-5"/>
          <w:sz w:val="18"/>
        </w:rPr>
        <w:t xml:space="preserve"> </w:t>
      </w:r>
      <w:r>
        <w:rPr>
          <w:sz w:val="18"/>
        </w:rPr>
        <w:t xml:space="preserve">https://williamsinstitute.law.ucla.edu/publications/lgbt-housing- </w:t>
      </w:r>
      <w:r>
        <w:rPr>
          <w:spacing w:val="-2"/>
          <w:sz w:val="18"/>
        </w:rPr>
        <w:t>instability/.</w:t>
      </w:r>
    </w:p>
    <w:p w:rsidR="00200FDA" w:rsidRDefault="00F76C4C">
      <w:pPr>
        <w:ind w:left="139" w:right="139"/>
        <w:rPr>
          <w:sz w:val="18"/>
        </w:rPr>
      </w:pPr>
      <w:bookmarkStart w:id="794" w:name="_bookmark625"/>
      <w:bookmarkEnd w:id="794"/>
      <w:r>
        <w:rPr>
          <w:position w:val="5"/>
          <w:sz w:val="12"/>
        </w:rPr>
        <w:t>45</w:t>
      </w:r>
      <w:r>
        <w:rPr>
          <w:spacing w:val="10"/>
          <w:position w:val="5"/>
          <w:sz w:val="12"/>
        </w:rPr>
        <w:t xml:space="preserve"> </w:t>
      </w:r>
      <w:r>
        <w:rPr>
          <w:sz w:val="18"/>
        </w:rPr>
        <w:t>The</w:t>
      </w:r>
      <w:r>
        <w:rPr>
          <w:spacing w:val="-3"/>
          <w:sz w:val="18"/>
        </w:rPr>
        <w:t xml:space="preserve"> </w:t>
      </w:r>
      <w:r>
        <w:rPr>
          <w:sz w:val="18"/>
        </w:rPr>
        <w:t>Executive</w:t>
      </w:r>
      <w:r>
        <w:rPr>
          <w:spacing w:val="-3"/>
          <w:sz w:val="18"/>
        </w:rPr>
        <w:t xml:space="preserve"> </w:t>
      </w:r>
      <w:r>
        <w:rPr>
          <w:sz w:val="18"/>
        </w:rPr>
        <w:t>Office</w:t>
      </w:r>
      <w:r>
        <w:rPr>
          <w:spacing w:val="-3"/>
          <w:sz w:val="18"/>
        </w:rPr>
        <w:t xml:space="preserve"> </w:t>
      </w:r>
      <w:r>
        <w:rPr>
          <w:sz w:val="18"/>
        </w:rPr>
        <w:t>of</w:t>
      </w:r>
      <w:r>
        <w:rPr>
          <w:spacing w:val="-2"/>
          <w:sz w:val="18"/>
        </w:rPr>
        <w:t xml:space="preserve"> </w:t>
      </w:r>
      <w:r>
        <w:rPr>
          <w:sz w:val="18"/>
        </w:rPr>
        <w:t>Health</w:t>
      </w:r>
      <w:r>
        <w:rPr>
          <w:spacing w:val="-3"/>
          <w:sz w:val="18"/>
        </w:rPr>
        <w:t xml:space="preserve"> </w:t>
      </w:r>
      <w:r>
        <w:rPr>
          <w:sz w:val="18"/>
        </w:rPr>
        <w:t>and</w:t>
      </w:r>
      <w:r>
        <w:rPr>
          <w:spacing w:val="-3"/>
          <w:sz w:val="18"/>
        </w:rPr>
        <w:t xml:space="preserve"> </w:t>
      </w:r>
      <w:r>
        <w:rPr>
          <w:sz w:val="18"/>
        </w:rPr>
        <w:t>Human</w:t>
      </w:r>
      <w:r>
        <w:rPr>
          <w:spacing w:val="-1"/>
          <w:sz w:val="18"/>
        </w:rPr>
        <w:t xml:space="preserve"> </w:t>
      </w:r>
      <w:r>
        <w:rPr>
          <w:sz w:val="18"/>
        </w:rPr>
        <w:t>Services,</w:t>
      </w:r>
      <w:r>
        <w:rPr>
          <w:spacing w:val="-2"/>
          <w:sz w:val="18"/>
        </w:rPr>
        <w:t xml:space="preserve"> </w:t>
      </w:r>
      <w:r>
        <w:rPr>
          <w:sz w:val="18"/>
        </w:rPr>
        <w:t>Council</w:t>
      </w:r>
      <w:r>
        <w:rPr>
          <w:spacing w:val="-3"/>
          <w:sz w:val="18"/>
        </w:rPr>
        <w:t xml:space="preserve"> </w:t>
      </w:r>
      <w:r>
        <w:rPr>
          <w:sz w:val="18"/>
        </w:rPr>
        <w:t>on</w:t>
      </w:r>
      <w:r>
        <w:rPr>
          <w:spacing w:val="-3"/>
          <w:sz w:val="18"/>
        </w:rPr>
        <w:t xml:space="preserve"> </w:t>
      </w:r>
      <w:r>
        <w:rPr>
          <w:sz w:val="18"/>
        </w:rPr>
        <w:t>Housing</w:t>
      </w:r>
      <w:r>
        <w:rPr>
          <w:spacing w:val="-3"/>
          <w:sz w:val="18"/>
        </w:rPr>
        <w:t xml:space="preserve"> </w:t>
      </w:r>
      <w:r>
        <w:rPr>
          <w:sz w:val="18"/>
        </w:rPr>
        <w:t>and</w:t>
      </w:r>
      <w:r>
        <w:rPr>
          <w:spacing w:val="-3"/>
          <w:sz w:val="18"/>
        </w:rPr>
        <w:t xml:space="preserve"> </w:t>
      </w:r>
      <w:r>
        <w:rPr>
          <w:sz w:val="18"/>
        </w:rPr>
        <w:t>Homelessness,</w:t>
      </w:r>
      <w:r>
        <w:rPr>
          <w:spacing w:val="-2"/>
          <w:sz w:val="18"/>
        </w:rPr>
        <w:t xml:space="preserve"> </w:t>
      </w:r>
      <w:r>
        <w:rPr>
          <w:sz w:val="18"/>
        </w:rPr>
        <w:t>and</w:t>
      </w:r>
      <w:r>
        <w:rPr>
          <w:spacing w:val="-3"/>
          <w:sz w:val="18"/>
        </w:rPr>
        <w:t xml:space="preserve"> </w:t>
      </w:r>
      <w:r>
        <w:rPr>
          <w:sz w:val="18"/>
        </w:rPr>
        <w:t>Office</w:t>
      </w:r>
      <w:r>
        <w:rPr>
          <w:spacing w:val="-3"/>
          <w:sz w:val="18"/>
        </w:rPr>
        <w:t xml:space="preserve"> </w:t>
      </w:r>
      <w:r>
        <w:rPr>
          <w:sz w:val="18"/>
        </w:rPr>
        <w:t>of</w:t>
      </w:r>
      <w:r>
        <w:rPr>
          <w:spacing w:val="-2"/>
          <w:sz w:val="18"/>
        </w:rPr>
        <w:t xml:space="preserve"> </w:t>
      </w:r>
      <w:r>
        <w:rPr>
          <w:sz w:val="18"/>
        </w:rPr>
        <w:t>Children,</w:t>
      </w:r>
      <w:r>
        <w:rPr>
          <w:spacing w:val="-2"/>
          <w:sz w:val="18"/>
        </w:rPr>
        <w:t xml:space="preserve"> </w:t>
      </w:r>
      <w:r>
        <w:rPr>
          <w:sz w:val="18"/>
        </w:rPr>
        <w:t>Youth,</w:t>
      </w:r>
      <w:r>
        <w:rPr>
          <w:spacing w:val="-2"/>
          <w:sz w:val="18"/>
        </w:rPr>
        <w:t xml:space="preserve"> </w:t>
      </w:r>
      <w:r>
        <w:rPr>
          <w:sz w:val="18"/>
        </w:rPr>
        <w:t>and Families. (2019)</w:t>
      </w:r>
    </w:p>
    <w:p w:rsidR="00200FDA" w:rsidRDefault="00F76C4C">
      <w:pPr>
        <w:spacing w:line="219" w:lineRule="exact"/>
        <w:ind w:left="140"/>
        <w:rPr>
          <w:sz w:val="18"/>
        </w:rPr>
      </w:pPr>
      <w:bookmarkStart w:id="795" w:name="_bookmark626"/>
      <w:bookmarkEnd w:id="795"/>
      <w:r>
        <w:rPr>
          <w:position w:val="5"/>
          <w:sz w:val="12"/>
        </w:rPr>
        <w:t>46</w:t>
      </w:r>
      <w:r>
        <w:rPr>
          <w:spacing w:val="10"/>
          <w:position w:val="5"/>
          <w:sz w:val="12"/>
        </w:rPr>
        <w:t xml:space="preserve"> </w:t>
      </w:r>
      <w:r>
        <w:rPr>
          <w:sz w:val="18"/>
        </w:rPr>
        <w:t>Ross,</w:t>
      </w:r>
      <w:r>
        <w:rPr>
          <w:spacing w:val="-2"/>
          <w:sz w:val="18"/>
        </w:rPr>
        <w:t xml:space="preserve"> </w:t>
      </w:r>
      <w:r>
        <w:rPr>
          <w:sz w:val="18"/>
        </w:rPr>
        <w:t>“Massachusetts</w:t>
      </w:r>
      <w:r>
        <w:rPr>
          <w:spacing w:val="-3"/>
          <w:sz w:val="18"/>
        </w:rPr>
        <w:t xml:space="preserve"> </w:t>
      </w:r>
      <w:r>
        <w:rPr>
          <w:sz w:val="18"/>
        </w:rPr>
        <w:t>2022</w:t>
      </w:r>
      <w:r>
        <w:rPr>
          <w:spacing w:val="-3"/>
          <w:sz w:val="18"/>
        </w:rPr>
        <w:t xml:space="preserve"> </w:t>
      </w:r>
      <w:r>
        <w:rPr>
          <w:sz w:val="18"/>
        </w:rPr>
        <w:t>Youth</w:t>
      </w:r>
      <w:r>
        <w:rPr>
          <w:spacing w:val="-2"/>
          <w:sz w:val="18"/>
        </w:rPr>
        <w:t xml:space="preserve"> Count.”</w:t>
      </w:r>
    </w:p>
    <w:p w:rsidR="00200FDA" w:rsidRDefault="00F76C4C">
      <w:pPr>
        <w:spacing w:before="1"/>
        <w:ind w:left="140" w:right="675" w:hanging="1"/>
        <w:rPr>
          <w:sz w:val="18"/>
        </w:rPr>
      </w:pPr>
      <w:bookmarkStart w:id="796" w:name="_bookmark627"/>
      <w:bookmarkEnd w:id="796"/>
      <w:r>
        <w:rPr>
          <w:position w:val="5"/>
          <w:sz w:val="12"/>
        </w:rPr>
        <w:t>47</w:t>
      </w:r>
      <w:r>
        <w:rPr>
          <w:spacing w:val="10"/>
          <w:position w:val="5"/>
          <w:sz w:val="12"/>
        </w:rPr>
        <w:t xml:space="preserve"> </w:t>
      </w:r>
      <w:r>
        <w:rPr>
          <w:sz w:val="18"/>
        </w:rPr>
        <w:t>“Locked</w:t>
      </w:r>
      <w:r>
        <w:rPr>
          <w:spacing w:val="-3"/>
          <w:sz w:val="18"/>
        </w:rPr>
        <w:t xml:space="preserve"> </w:t>
      </w:r>
      <w:r>
        <w:rPr>
          <w:sz w:val="18"/>
        </w:rPr>
        <w:t>In:</w:t>
      </w:r>
      <w:r>
        <w:rPr>
          <w:spacing w:val="-3"/>
          <w:sz w:val="18"/>
        </w:rPr>
        <w:t xml:space="preserve"> </w:t>
      </w:r>
      <w:r>
        <w:rPr>
          <w:sz w:val="18"/>
        </w:rPr>
        <w:t>Interactions</w:t>
      </w:r>
      <w:r>
        <w:rPr>
          <w:spacing w:val="-3"/>
          <w:sz w:val="18"/>
        </w:rPr>
        <w:t xml:space="preserve"> </w:t>
      </w:r>
      <w:r>
        <w:rPr>
          <w:sz w:val="18"/>
        </w:rPr>
        <w:t>with</w:t>
      </w:r>
      <w:r>
        <w:rPr>
          <w:spacing w:val="-3"/>
          <w:sz w:val="18"/>
        </w:rPr>
        <w:t xml:space="preserve"> </w:t>
      </w:r>
      <w:r>
        <w:rPr>
          <w:sz w:val="18"/>
        </w:rPr>
        <w:t>the</w:t>
      </w:r>
      <w:r>
        <w:rPr>
          <w:spacing w:val="-1"/>
          <w:sz w:val="18"/>
        </w:rPr>
        <w:t xml:space="preserve"> </w:t>
      </w:r>
      <w:r>
        <w:rPr>
          <w:sz w:val="18"/>
        </w:rPr>
        <w:t>Criminal</w:t>
      </w:r>
      <w:r>
        <w:rPr>
          <w:spacing w:val="-3"/>
          <w:sz w:val="18"/>
        </w:rPr>
        <w:t xml:space="preserve"> </w:t>
      </w:r>
      <w:r>
        <w:rPr>
          <w:sz w:val="18"/>
        </w:rPr>
        <w:t>Justice</w:t>
      </w:r>
      <w:r>
        <w:rPr>
          <w:spacing w:val="-3"/>
          <w:sz w:val="18"/>
        </w:rPr>
        <w:t xml:space="preserve"> </w:t>
      </w:r>
      <w:r>
        <w:rPr>
          <w:sz w:val="18"/>
        </w:rPr>
        <w:t>and</w:t>
      </w:r>
      <w:r>
        <w:rPr>
          <w:spacing w:val="-3"/>
          <w:sz w:val="18"/>
        </w:rPr>
        <w:t xml:space="preserve"> </w:t>
      </w:r>
      <w:r>
        <w:rPr>
          <w:sz w:val="18"/>
        </w:rPr>
        <w:t>Child</w:t>
      </w:r>
      <w:r>
        <w:rPr>
          <w:spacing w:val="-3"/>
          <w:sz w:val="18"/>
        </w:rPr>
        <w:t xml:space="preserve"> </w:t>
      </w:r>
      <w:r>
        <w:rPr>
          <w:sz w:val="18"/>
        </w:rPr>
        <w:t>Welfare</w:t>
      </w:r>
      <w:r>
        <w:rPr>
          <w:spacing w:val="-3"/>
          <w:sz w:val="18"/>
        </w:rPr>
        <w:t xml:space="preserve"> </w:t>
      </w:r>
      <w:r>
        <w:rPr>
          <w:sz w:val="18"/>
        </w:rPr>
        <w:t>Systems</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Youth,</w:t>
      </w:r>
      <w:r>
        <w:rPr>
          <w:spacing w:val="-2"/>
          <w:sz w:val="18"/>
        </w:rPr>
        <w:t xml:space="preserve"> </w:t>
      </w:r>
      <w:r>
        <w:rPr>
          <w:sz w:val="18"/>
        </w:rPr>
        <w:t>YMSM,</w:t>
      </w:r>
      <w:r>
        <w:rPr>
          <w:spacing w:val="-2"/>
          <w:sz w:val="18"/>
        </w:rPr>
        <w:t xml:space="preserve"> </w:t>
      </w:r>
      <w:r>
        <w:rPr>
          <w:sz w:val="18"/>
        </w:rPr>
        <w:t>and</w:t>
      </w:r>
      <w:r>
        <w:rPr>
          <w:spacing w:val="-3"/>
          <w:sz w:val="18"/>
        </w:rPr>
        <w:t xml:space="preserve"> </w:t>
      </w:r>
      <w:r>
        <w:rPr>
          <w:sz w:val="18"/>
        </w:rPr>
        <w:t>YWSW</w:t>
      </w:r>
      <w:r>
        <w:rPr>
          <w:spacing w:val="-2"/>
          <w:sz w:val="18"/>
        </w:rPr>
        <w:t xml:space="preserve"> </w:t>
      </w:r>
      <w:r>
        <w:rPr>
          <w:sz w:val="18"/>
        </w:rPr>
        <w:t>Who Engage in Survival Sex,” Urban Institute, September 29, 2015, https://</w:t>
      </w:r>
      <w:hyperlink r:id="rId600">
        <w:r>
          <w:rPr>
            <w:sz w:val="18"/>
          </w:rPr>
          <w:t>www.urban.org/research/publication/locked-</w:t>
        </w:r>
      </w:hyperlink>
      <w:r>
        <w:rPr>
          <w:sz w:val="18"/>
        </w:rPr>
        <w:t xml:space="preserve"> </w:t>
      </w:r>
      <w:r>
        <w:rPr>
          <w:spacing w:val="-2"/>
          <w:sz w:val="18"/>
        </w:rPr>
        <w:t>interactions-criminal-justice-and-child-welfare-systems-lgbtq-youth-ym</w:t>
      </w:r>
      <w:r>
        <w:rPr>
          <w:spacing w:val="-2"/>
          <w:sz w:val="18"/>
        </w:rPr>
        <w:t>sm-and-ywsw-who-engage-survival-sex.</w:t>
      </w:r>
    </w:p>
    <w:p w:rsidR="00200FDA" w:rsidRDefault="00F76C4C">
      <w:pPr>
        <w:ind w:left="139" w:right="364"/>
        <w:rPr>
          <w:sz w:val="18"/>
        </w:rPr>
      </w:pPr>
      <w:bookmarkStart w:id="797" w:name="_bookmark628"/>
      <w:bookmarkEnd w:id="797"/>
      <w:r>
        <w:rPr>
          <w:position w:val="5"/>
          <w:sz w:val="12"/>
        </w:rPr>
        <w:t>48</w:t>
      </w:r>
      <w:r>
        <w:rPr>
          <w:spacing w:val="10"/>
          <w:position w:val="5"/>
          <w:sz w:val="12"/>
        </w:rPr>
        <w:t xml:space="preserve"> </w:t>
      </w:r>
      <w:r>
        <w:rPr>
          <w:sz w:val="18"/>
        </w:rPr>
        <w:t>Jennifer</w:t>
      </w:r>
      <w:r>
        <w:rPr>
          <w:spacing w:val="-3"/>
          <w:sz w:val="18"/>
        </w:rPr>
        <w:t xml:space="preserve"> </w:t>
      </w:r>
      <w:r>
        <w:rPr>
          <w:sz w:val="18"/>
        </w:rPr>
        <w:t>P.</w:t>
      </w:r>
      <w:r>
        <w:rPr>
          <w:spacing w:val="-2"/>
          <w:sz w:val="18"/>
        </w:rPr>
        <w:t xml:space="preserve"> </w:t>
      </w:r>
      <w:r>
        <w:rPr>
          <w:sz w:val="18"/>
        </w:rPr>
        <w:t>Edidin</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“The</w:t>
      </w:r>
      <w:r>
        <w:rPr>
          <w:spacing w:val="-3"/>
          <w:sz w:val="18"/>
        </w:rPr>
        <w:t xml:space="preserve"> </w:t>
      </w:r>
      <w:r>
        <w:rPr>
          <w:sz w:val="18"/>
        </w:rPr>
        <w:t>Mental</w:t>
      </w:r>
      <w:r>
        <w:rPr>
          <w:spacing w:val="-3"/>
          <w:sz w:val="18"/>
        </w:rPr>
        <w:t xml:space="preserve"> </w:t>
      </w:r>
      <w:r>
        <w:rPr>
          <w:sz w:val="18"/>
        </w:rPr>
        <w:t>and</w:t>
      </w:r>
      <w:r>
        <w:rPr>
          <w:spacing w:val="-3"/>
          <w:sz w:val="18"/>
        </w:rPr>
        <w:t xml:space="preserve"> </w:t>
      </w:r>
      <w:r>
        <w:rPr>
          <w:sz w:val="18"/>
        </w:rPr>
        <w:t>Physical</w:t>
      </w:r>
      <w:r>
        <w:rPr>
          <w:spacing w:val="-3"/>
          <w:sz w:val="18"/>
        </w:rPr>
        <w:t xml:space="preserve"> </w:t>
      </w:r>
      <w:r>
        <w:rPr>
          <w:sz w:val="18"/>
        </w:rPr>
        <w:t>Health</w:t>
      </w:r>
      <w:r>
        <w:rPr>
          <w:spacing w:val="-3"/>
          <w:sz w:val="18"/>
        </w:rPr>
        <w:t xml:space="preserve"> </w:t>
      </w:r>
      <w:r>
        <w:rPr>
          <w:sz w:val="18"/>
        </w:rPr>
        <w:t>of</w:t>
      </w:r>
      <w:r>
        <w:rPr>
          <w:spacing w:val="-2"/>
          <w:sz w:val="18"/>
        </w:rPr>
        <w:t xml:space="preserve"> </w:t>
      </w:r>
      <w:r>
        <w:rPr>
          <w:sz w:val="18"/>
        </w:rPr>
        <w:t>Homeless</w:t>
      </w:r>
      <w:r>
        <w:rPr>
          <w:spacing w:val="-3"/>
          <w:sz w:val="18"/>
        </w:rPr>
        <w:t xml:space="preserve"> </w:t>
      </w:r>
      <w:r>
        <w:rPr>
          <w:sz w:val="18"/>
        </w:rPr>
        <w:t>Youth: A</w:t>
      </w:r>
      <w:r>
        <w:rPr>
          <w:spacing w:val="-3"/>
          <w:sz w:val="18"/>
        </w:rPr>
        <w:t xml:space="preserve"> </w:t>
      </w:r>
      <w:r>
        <w:rPr>
          <w:sz w:val="18"/>
        </w:rPr>
        <w:t>Literature</w:t>
      </w:r>
      <w:r>
        <w:rPr>
          <w:spacing w:val="-3"/>
          <w:sz w:val="18"/>
        </w:rPr>
        <w:t xml:space="preserve"> </w:t>
      </w:r>
      <w:r>
        <w:rPr>
          <w:sz w:val="18"/>
        </w:rPr>
        <w:t>Review,”</w:t>
      </w:r>
      <w:r>
        <w:rPr>
          <w:spacing w:val="-1"/>
          <w:sz w:val="18"/>
        </w:rPr>
        <w:t xml:space="preserve"> </w:t>
      </w:r>
      <w:r>
        <w:rPr>
          <w:i/>
          <w:sz w:val="18"/>
        </w:rPr>
        <w:t>Child</w:t>
      </w:r>
      <w:r>
        <w:rPr>
          <w:i/>
          <w:spacing w:val="-1"/>
          <w:sz w:val="18"/>
        </w:rPr>
        <w:t xml:space="preserve"> </w:t>
      </w:r>
      <w:r>
        <w:rPr>
          <w:i/>
          <w:sz w:val="18"/>
        </w:rPr>
        <w:t>Psychiatry</w:t>
      </w:r>
      <w:r>
        <w:rPr>
          <w:i/>
          <w:spacing w:val="-1"/>
          <w:sz w:val="18"/>
        </w:rPr>
        <w:t xml:space="preserve"> </w:t>
      </w:r>
      <w:r>
        <w:rPr>
          <w:i/>
          <w:sz w:val="18"/>
        </w:rPr>
        <w:t xml:space="preserve">and Human Development </w:t>
      </w:r>
      <w:r>
        <w:rPr>
          <w:sz w:val="18"/>
        </w:rPr>
        <w:t>43, no. 3 (June 2012): 354–75, https://doi.org/10.1007/s10578-011-0270-1.</w:t>
      </w:r>
    </w:p>
    <w:p w:rsidR="00200FDA" w:rsidRDefault="00F76C4C">
      <w:pPr>
        <w:ind w:left="140" w:right="218" w:hanging="1"/>
        <w:rPr>
          <w:sz w:val="18"/>
        </w:rPr>
      </w:pPr>
      <w:bookmarkStart w:id="798" w:name="_bookmark629"/>
      <w:bookmarkEnd w:id="798"/>
      <w:r>
        <w:rPr>
          <w:position w:val="5"/>
          <w:sz w:val="12"/>
        </w:rPr>
        <w:t>49</w:t>
      </w:r>
      <w:r>
        <w:rPr>
          <w:spacing w:val="9"/>
          <w:position w:val="5"/>
          <w:sz w:val="12"/>
        </w:rPr>
        <w:t xml:space="preserve"> </w:t>
      </w:r>
      <w:r>
        <w:rPr>
          <w:sz w:val="18"/>
        </w:rPr>
        <w:t>“The</w:t>
      </w:r>
      <w:r>
        <w:rPr>
          <w:spacing w:val="-4"/>
          <w:sz w:val="18"/>
        </w:rPr>
        <w:t xml:space="preserve"> </w:t>
      </w:r>
      <w:r>
        <w:rPr>
          <w:sz w:val="18"/>
        </w:rPr>
        <w:t>Lavender</w:t>
      </w:r>
      <w:r>
        <w:rPr>
          <w:spacing w:val="-4"/>
          <w:sz w:val="18"/>
        </w:rPr>
        <w:t xml:space="preserve"> </w:t>
      </w:r>
      <w:r>
        <w:rPr>
          <w:sz w:val="18"/>
        </w:rPr>
        <w:t>Scare</w:t>
      </w:r>
      <w:r>
        <w:rPr>
          <w:spacing w:val="-4"/>
          <w:sz w:val="18"/>
        </w:rPr>
        <w:t xml:space="preserve"> </w:t>
      </w:r>
      <w:r>
        <w:rPr>
          <w:sz w:val="18"/>
        </w:rPr>
        <w:t>in</w:t>
      </w:r>
      <w:r>
        <w:rPr>
          <w:spacing w:val="-4"/>
          <w:sz w:val="18"/>
        </w:rPr>
        <w:t xml:space="preserve"> </w:t>
      </w:r>
      <w:r>
        <w:rPr>
          <w:sz w:val="18"/>
        </w:rPr>
        <w:t>Homonormative</w:t>
      </w:r>
      <w:r>
        <w:rPr>
          <w:spacing w:val="-4"/>
          <w:sz w:val="18"/>
        </w:rPr>
        <w:t xml:space="preserve"> </w:t>
      </w:r>
      <w:r>
        <w:rPr>
          <w:sz w:val="18"/>
        </w:rPr>
        <w:t>Times:</w:t>
      </w:r>
      <w:r>
        <w:rPr>
          <w:spacing w:val="-3"/>
          <w:sz w:val="18"/>
        </w:rPr>
        <w:t xml:space="preserve"> </w:t>
      </w:r>
      <w:r>
        <w:rPr>
          <w:sz w:val="18"/>
        </w:rPr>
        <w:t>Policing,</w:t>
      </w:r>
      <w:r>
        <w:rPr>
          <w:spacing w:val="-3"/>
          <w:sz w:val="18"/>
        </w:rPr>
        <w:t xml:space="preserve"> </w:t>
      </w:r>
      <w:r>
        <w:rPr>
          <w:sz w:val="18"/>
        </w:rPr>
        <w:t>Hyper-Incarceration,</w:t>
      </w:r>
      <w:r>
        <w:rPr>
          <w:spacing w:val="-3"/>
          <w:sz w:val="18"/>
        </w:rPr>
        <w:t xml:space="preserve"> </w:t>
      </w:r>
      <w:r>
        <w:rPr>
          <w:sz w:val="18"/>
        </w:rPr>
        <w:t>and</w:t>
      </w:r>
      <w:r>
        <w:rPr>
          <w:spacing w:val="-4"/>
          <w:sz w:val="18"/>
        </w:rPr>
        <w:t xml:space="preserve"> </w:t>
      </w:r>
      <w:r>
        <w:rPr>
          <w:sz w:val="18"/>
        </w:rPr>
        <w:t>LGBTQ</w:t>
      </w:r>
      <w:r>
        <w:rPr>
          <w:spacing w:val="-4"/>
          <w:sz w:val="18"/>
        </w:rPr>
        <w:t xml:space="preserve"> </w:t>
      </w:r>
      <w:r>
        <w:rPr>
          <w:sz w:val="18"/>
        </w:rPr>
        <w:t>Youth</w:t>
      </w:r>
      <w:r>
        <w:rPr>
          <w:spacing w:val="-4"/>
          <w:sz w:val="18"/>
        </w:rPr>
        <w:t xml:space="preserve"> </w:t>
      </w:r>
      <w:r>
        <w:rPr>
          <w:sz w:val="18"/>
        </w:rPr>
        <w:t>Homelessness</w:t>
      </w:r>
      <w:r>
        <w:rPr>
          <w:spacing w:val="-4"/>
          <w:sz w:val="18"/>
        </w:rPr>
        <w:t xml:space="preserve"> </w:t>
      </w:r>
      <w:r>
        <w:rPr>
          <w:sz w:val="18"/>
        </w:rPr>
        <w:t>-</w:t>
      </w:r>
      <w:r>
        <w:rPr>
          <w:spacing w:val="-3"/>
          <w:sz w:val="18"/>
        </w:rPr>
        <w:t xml:space="preserve"> </w:t>
      </w:r>
      <w:r>
        <w:rPr>
          <w:sz w:val="18"/>
        </w:rPr>
        <w:t>Brandon Andrew Robinson, 2020,” accessed April 24, 2023, https://journals.sagepub.com/doi/full/10.1177/0891243220906172.</w:t>
      </w:r>
    </w:p>
    <w:p w:rsidR="00200FDA" w:rsidRDefault="00F76C4C">
      <w:pPr>
        <w:ind w:left="139"/>
        <w:rPr>
          <w:sz w:val="18"/>
        </w:rPr>
      </w:pPr>
      <w:bookmarkStart w:id="799" w:name="_bookmark630"/>
      <w:bookmarkEnd w:id="799"/>
      <w:r>
        <w:rPr>
          <w:position w:val="5"/>
          <w:sz w:val="12"/>
        </w:rPr>
        <w:t>50</w:t>
      </w:r>
      <w:r>
        <w:rPr>
          <w:spacing w:val="18"/>
          <w:position w:val="5"/>
          <w:sz w:val="12"/>
        </w:rPr>
        <w:t xml:space="preserve"> </w:t>
      </w:r>
      <w:r>
        <w:rPr>
          <w:sz w:val="18"/>
        </w:rPr>
        <w:t>Kimble, S. (2015). Lesbian</w:t>
      </w:r>
      <w:r>
        <w:rPr>
          <w:sz w:val="18"/>
        </w:rPr>
        <w:t xml:space="preserve">, gay, bisexual, and transgender youth (and adult) homelessness. In W. Swan (Ed.), </w:t>
      </w:r>
      <w:r>
        <w:rPr>
          <w:i/>
          <w:sz w:val="18"/>
        </w:rPr>
        <w:t>Gay, lesbian, bisexual,</w:t>
      </w:r>
      <w:r>
        <w:rPr>
          <w:i/>
          <w:spacing w:val="-2"/>
          <w:sz w:val="18"/>
        </w:rPr>
        <w:t xml:space="preserve"> </w:t>
      </w:r>
      <w:r>
        <w:rPr>
          <w:i/>
          <w:sz w:val="18"/>
        </w:rPr>
        <w:t>and</w:t>
      </w:r>
      <w:r>
        <w:rPr>
          <w:i/>
          <w:spacing w:val="-1"/>
          <w:sz w:val="18"/>
        </w:rPr>
        <w:t xml:space="preserve"> </w:t>
      </w:r>
      <w:r>
        <w:rPr>
          <w:i/>
          <w:sz w:val="18"/>
        </w:rPr>
        <w:t>transgender</w:t>
      </w:r>
      <w:r>
        <w:rPr>
          <w:i/>
          <w:spacing w:val="-2"/>
          <w:sz w:val="18"/>
        </w:rPr>
        <w:t xml:space="preserve"> </w:t>
      </w:r>
      <w:r>
        <w:rPr>
          <w:i/>
          <w:sz w:val="18"/>
        </w:rPr>
        <w:t>civil</w:t>
      </w:r>
      <w:r>
        <w:rPr>
          <w:i/>
          <w:spacing w:val="-3"/>
          <w:sz w:val="18"/>
        </w:rPr>
        <w:t xml:space="preserve"> </w:t>
      </w:r>
      <w:r>
        <w:rPr>
          <w:i/>
          <w:sz w:val="18"/>
        </w:rPr>
        <w:t>rights:</w:t>
      </w:r>
      <w:r>
        <w:rPr>
          <w:i/>
          <w:spacing w:val="-2"/>
          <w:sz w:val="18"/>
        </w:rPr>
        <w:t xml:space="preserve"> </w:t>
      </w:r>
      <w:r>
        <w:rPr>
          <w:i/>
          <w:sz w:val="18"/>
        </w:rPr>
        <w:t>A</w:t>
      </w:r>
      <w:r>
        <w:rPr>
          <w:i/>
          <w:spacing w:val="-3"/>
          <w:sz w:val="18"/>
        </w:rPr>
        <w:t xml:space="preserve"> </w:t>
      </w:r>
      <w:r>
        <w:rPr>
          <w:i/>
          <w:sz w:val="18"/>
        </w:rPr>
        <w:t>public</w:t>
      </w:r>
      <w:r>
        <w:rPr>
          <w:i/>
          <w:spacing w:val="-3"/>
          <w:sz w:val="18"/>
        </w:rPr>
        <w:t xml:space="preserve"> </w:t>
      </w:r>
      <w:r>
        <w:rPr>
          <w:i/>
          <w:sz w:val="18"/>
        </w:rPr>
        <w:t>policy</w:t>
      </w:r>
      <w:r>
        <w:rPr>
          <w:i/>
          <w:spacing w:val="-1"/>
          <w:sz w:val="18"/>
        </w:rPr>
        <w:t xml:space="preserve"> </w:t>
      </w:r>
      <w:r>
        <w:rPr>
          <w:i/>
          <w:sz w:val="18"/>
        </w:rPr>
        <w:t>agenda</w:t>
      </w:r>
      <w:r>
        <w:rPr>
          <w:i/>
          <w:spacing w:val="-1"/>
          <w:sz w:val="18"/>
        </w:rPr>
        <w:t xml:space="preserve"> </w:t>
      </w:r>
      <w:r>
        <w:rPr>
          <w:i/>
          <w:sz w:val="18"/>
        </w:rPr>
        <w:t>for</w:t>
      </w:r>
      <w:r>
        <w:rPr>
          <w:i/>
          <w:spacing w:val="-2"/>
          <w:sz w:val="18"/>
        </w:rPr>
        <w:t xml:space="preserve"> </w:t>
      </w:r>
      <w:r>
        <w:rPr>
          <w:i/>
          <w:sz w:val="18"/>
        </w:rPr>
        <w:t>uniting</w:t>
      </w:r>
      <w:r>
        <w:rPr>
          <w:i/>
          <w:spacing w:val="-1"/>
          <w:sz w:val="18"/>
        </w:rPr>
        <w:t xml:space="preserve"> </w:t>
      </w:r>
      <w:r>
        <w:rPr>
          <w:i/>
          <w:sz w:val="18"/>
        </w:rPr>
        <w:t>a</w:t>
      </w:r>
      <w:r>
        <w:rPr>
          <w:i/>
          <w:spacing w:val="-1"/>
          <w:sz w:val="18"/>
        </w:rPr>
        <w:t xml:space="preserve"> </w:t>
      </w:r>
      <w:r>
        <w:rPr>
          <w:i/>
          <w:sz w:val="18"/>
        </w:rPr>
        <w:t>divided</w:t>
      </w:r>
      <w:r>
        <w:rPr>
          <w:i/>
          <w:spacing w:val="-4"/>
          <w:sz w:val="18"/>
        </w:rPr>
        <w:t xml:space="preserve"> </w:t>
      </w:r>
      <w:r>
        <w:rPr>
          <w:i/>
          <w:sz w:val="18"/>
        </w:rPr>
        <w:t>America</w:t>
      </w:r>
      <w:r>
        <w:rPr>
          <w:i/>
          <w:spacing w:val="-1"/>
          <w:sz w:val="18"/>
        </w:rPr>
        <w:t xml:space="preserve"> </w:t>
      </w:r>
      <w:r>
        <w:rPr>
          <w:sz w:val="18"/>
        </w:rPr>
        <w:t>(pp.</w:t>
      </w:r>
      <w:r>
        <w:rPr>
          <w:spacing w:val="-2"/>
          <w:sz w:val="18"/>
        </w:rPr>
        <w:t xml:space="preserve"> </w:t>
      </w:r>
      <w:r>
        <w:rPr>
          <w:sz w:val="18"/>
        </w:rPr>
        <w:t>229–</w:t>
      </w:r>
      <w:r>
        <w:rPr>
          <w:spacing w:val="-1"/>
          <w:sz w:val="18"/>
        </w:rPr>
        <w:t xml:space="preserve"> </w:t>
      </w:r>
      <w:r>
        <w:rPr>
          <w:sz w:val="18"/>
        </w:rPr>
        <w:t>250).</w:t>
      </w:r>
      <w:r>
        <w:rPr>
          <w:spacing w:val="-2"/>
          <w:sz w:val="18"/>
        </w:rPr>
        <w:t xml:space="preserve"> </w:t>
      </w:r>
      <w:r>
        <w:rPr>
          <w:sz w:val="18"/>
        </w:rPr>
        <w:t>Boca</w:t>
      </w:r>
      <w:r>
        <w:rPr>
          <w:spacing w:val="-5"/>
          <w:sz w:val="18"/>
        </w:rPr>
        <w:t xml:space="preserve"> </w:t>
      </w:r>
      <w:r>
        <w:rPr>
          <w:sz w:val="18"/>
        </w:rPr>
        <w:t>Raton,</w:t>
      </w:r>
      <w:r>
        <w:rPr>
          <w:spacing w:val="-2"/>
          <w:sz w:val="18"/>
        </w:rPr>
        <w:t xml:space="preserve"> </w:t>
      </w:r>
      <w:r>
        <w:rPr>
          <w:sz w:val="18"/>
        </w:rPr>
        <w:t>FL:</w:t>
      </w:r>
      <w:r>
        <w:rPr>
          <w:spacing w:val="-2"/>
          <w:sz w:val="18"/>
        </w:rPr>
        <w:t xml:space="preserve"> </w:t>
      </w:r>
      <w:r>
        <w:rPr>
          <w:sz w:val="18"/>
        </w:rPr>
        <w:t>CRC Press. doi:10.1201/b17485-21.</w:t>
      </w:r>
    </w:p>
    <w:p w:rsidR="00200FDA" w:rsidRDefault="00F76C4C">
      <w:pPr>
        <w:ind w:left="140"/>
        <w:rPr>
          <w:sz w:val="18"/>
        </w:rPr>
      </w:pPr>
      <w:bookmarkStart w:id="800" w:name="_bookmark631"/>
      <w:bookmarkEnd w:id="800"/>
      <w:r>
        <w:rPr>
          <w:position w:val="5"/>
          <w:sz w:val="12"/>
        </w:rPr>
        <w:t>51</w:t>
      </w:r>
      <w:r>
        <w:rPr>
          <w:spacing w:val="8"/>
          <w:position w:val="5"/>
          <w:sz w:val="12"/>
        </w:rPr>
        <w:t xml:space="preserve"> </w:t>
      </w:r>
      <w:r>
        <w:rPr>
          <w:sz w:val="18"/>
        </w:rPr>
        <w:t>Susan</w:t>
      </w:r>
      <w:r>
        <w:rPr>
          <w:spacing w:val="-1"/>
          <w:sz w:val="18"/>
        </w:rPr>
        <w:t xml:space="preserve"> </w:t>
      </w:r>
      <w:r>
        <w:rPr>
          <w:sz w:val="18"/>
        </w:rPr>
        <w:t>M.</w:t>
      </w:r>
      <w:r>
        <w:rPr>
          <w:spacing w:val="-2"/>
          <w:sz w:val="18"/>
        </w:rPr>
        <w:t xml:space="preserve"> </w:t>
      </w:r>
      <w:r>
        <w:rPr>
          <w:sz w:val="18"/>
        </w:rPr>
        <w:t>Snyder</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“Homeless</w:t>
      </w:r>
      <w:r>
        <w:rPr>
          <w:spacing w:val="-3"/>
          <w:sz w:val="18"/>
        </w:rPr>
        <w:t xml:space="preserve"> </w:t>
      </w:r>
      <w:r>
        <w:rPr>
          <w:sz w:val="18"/>
        </w:rPr>
        <w:t>Youth,</w:t>
      </w:r>
      <w:r>
        <w:rPr>
          <w:spacing w:val="-2"/>
          <w:sz w:val="18"/>
        </w:rPr>
        <w:t xml:space="preserve"> </w:t>
      </w:r>
      <w:r>
        <w:rPr>
          <w:sz w:val="18"/>
        </w:rPr>
        <w:t>Strain,</w:t>
      </w:r>
      <w:r>
        <w:rPr>
          <w:spacing w:val="-2"/>
          <w:sz w:val="18"/>
        </w:rPr>
        <w:t xml:space="preserve"> </w:t>
      </w:r>
      <w:r>
        <w:rPr>
          <w:sz w:val="18"/>
        </w:rPr>
        <w:t>and</w:t>
      </w:r>
      <w:r>
        <w:rPr>
          <w:spacing w:val="-2"/>
          <w:sz w:val="18"/>
        </w:rPr>
        <w:t xml:space="preserve"> </w:t>
      </w:r>
      <w:r>
        <w:rPr>
          <w:sz w:val="18"/>
        </w:rPr>
        <w:t>Justice</w:t>
      </w:r>
      <w:r>
        <w:rPr>
          <w:spacing w:val="-3"/>
          <w:sz w:val="18"/>
        </w:rPr>
        <w:t xml:space="preserve"> </w:t>
      </w:r>
      <w:r>
        <w:rPr>
          <w:sz w:val="18"/>
        </w:rPr>
        <w:t>System</w:t>
      </w:r>
      <w:r>
        <w:rPr>
          <w:spacing w:val="-2"/>
          <w:sz w:val="18"/>
        </w:rPr>
        <w:t xml:space="preserve"> </w:t>
      </w:r>
      <w:r>
        <w:rPr>
          <w:sz w:val="18"/>
        </w:rPr>
        <w:t>Involvement:</w:t>
      </w:r>
      <w:r>
        <w:rPr>
          <w:spacing w:val="-2"/>
          <w:sz w:val="18"/>
        </w:rPr>
        <w:t xml:space="preserve"> </w:t>
      </w:r>
      <w:r>
        <w:rPr>
          <w:sz w:val="18"/>
        </w:rPr>
        <w:t>An</w:t>
      </w:r>
      <w:r>
        <w:rPr>
          <w:spacing w:val="-3"/>
          <w:sz w:val="18"/>
        </w:rPr>
        <w:t xml:space="preserve"> </w:t>
      </w:r>
      <w:r>
        <w:rPr>
          <w:sz w:val="18"/>
        </w:rPr>
        <w:t>Application</w:t>
      </w:r>
      <w:r>
        <w:rPr>
          <w:spacing w:val="-3"/>
          <w:sz w:val="18"/>
        </w:rPr>
        <w:t xml:space="preserve"> </w:t>
      </w:r>
      <w:r>
        <w:rPr>
          <w:sz w:val="18"/>
        </w:rPr>
        <w:t>of General</w:t>
      </w:r>
      <w:r>
        <w:rPr>
          <w:spacing w:val="-3"/>
          <w:sz w:val="18"/>
        </w:rPr>
        <w:t xml:space="preserve"> </w:t>
      </w:r>
      <w:r>
        <w:rPr>
          <w:sz w:val="18"/>
        </w:rPr>
        <w:t>Strain</w:t>
      </w:r>
      <w:r>
        <w:rPr>
          <w:spacing w:val="-2"/>
          <w:sz w:val="18"/>
        </w:rPr>
        <w:t xml:space="preserve"> Theory,”</w:t>
      </w:r>
    </w:p>
    <w:p w:rsidR="00200FDA" w:rsidRDefault="00F76C4C">
      <w:pPr>
        <w:spacing w:line="219" w:lineRule="exact"/>
        <w:ind w:left="140"/>
        <w:rPr>
          <w:sz w:val="18"/>
        </w:rPr>
      </w:pPr>
      <w:r>
        <w:rPr>
          <w:i/>
          <w:sz w:val="18"/>
        </w:rPr>
        <w:t>Children</w:t>
      </w:r>
      <w:r>
        <w:rPr>
          <w:i/>
          <w:spacing w:val="-6"/>
          <w:sz w:val="18"/>
        </w:rPr>
        <w:t xml:space="preserve"> </w:t>
      </w:r>
      <w:r>
        <w:rPr>
          <w:i/>
          <w:sz w:val="18"/>
        </w:rPr>
        <w:t>and</w:t>
      </w:r>
      <w:r>
        <w:rPr>
          <w:i/>
          <w:spacing w:val="-1"/>
          <w:sz w:val="18"/>
        </w:rPr>
        <w:t xml:space="preserve"> </w:t>
      </w:r>
      <w:r>
        <w:rPr>
          <w:i/>
          <w:sz w:val="18"/>
        </w:rPr>
        <w:t>Youth</w:t>
      </w:r>
      <w:r>
        <w:rPr>
          <w:i/>
          <w:spacing w:val="-1"/>
          <w:sz w:val="18"/>
        </w:rPr>
        <w:t xml:space="preserve"> </w:t>
      </w:r>
      <w:r>
        <w:rPr>
          <w:i/>
          <w:sz w:val="18"/>
        </w:rPr>
        <w:t>Services</w:t>
      </w:r>
      <w:r>
        <w:rPr>
          <w:i/>
          <w:spacing w:val="-2"/>
          <w:sz w:val="18"/>
        </w:rPr>
        <w:t xml:space="preserve"> </w:t>
      </w:r>
      <w:r>
        <w:rPr>
          <w:i/>
          <w:sz w:val="18"/>
        </w:rPr>
        <w:t>Review</w:t>
      </w:r>
      <w:r>
        <w:rPr>
          <w:i/>
          <w:spacing w:val="-1"/>
          <w:sz w:val="18"/>
        </w:rPr>
        <w:t xml:space="preserve"> </w:t>
      </w:r>
      <w:r>
        <w:rPr>
          <w:sz w:val="18"/>
        </w:rPr>
        <w:t>62</w:t>
      </w:r>
      <w:r>
        <w:rPr>
          <w:spacing w:val="-2"/>
          <w:sz w:val="18"/>
        </w:rPr>
        <w:t xml:space="preserve"> </w:t>
      </w:r>
      <w:r>
        <w:rPr>
          <w:sz w:val="18"/>
        </w:rPr>
        <w:t>(March</w:t>
      </w:r>
      <w:r>
        <w:rPr>
          <w:spacing w:val="-2"/>
          <w:sz w:val="18"/>
        </w:rPr>
        <w:t xml:space="preserve"> </w:t>
      </w:r>
      <w:r>
        <w:rPr>
          <w:sz w:val="18"/>
        </w:rPr>
        <w:t>1,</w:t>
      </w:r>
      <w:r>
        <w:rPr>
          <w:spacing w:val="-2"/>
          <w:sz w:val="18"/>
        </w:rPr>
        <w:t xml:space="preserve"> </w:t>
      </w:r>
      <w:r>
        <w:rPr>
          <w:sz w:val="18"/>
        </w:rPr>
        <w:t>2016):</w:t>
      </w:r>
      <w:r>
        <w:rPr>
          <w:spacing w:val="-2"/>
          <w:sz w:val="18"/>
        </w:rPr>
        <w:t xml:space="preserve"> </w:t>
      </w:r>
      <w:r>
        <w:rPr>
          <w:sz w:val="18"/>
        </w:rPr>
        <w:t>90–96,</w:t>
      </w:r>
      <w:r>
        <w:rPr>
          <w:spacing w:val="-1"/>
          <w:sz w:val="18"/>
        </w:rPr>
        <w:t xml:space="preserve"> </w:t>
      </w:r>
      <w:r>
        <w:rPr>
          <w:spacing w:val="-2"/>
          <w:sz w:val="18"/>
        </w:rPr>
        <w:t>https://doi.org/10.1016/j.childyouth.2016.02.002.</w:t>
      </w:r>
    </w:p>
    <w:p w:rsidR="00200FDA" w:rsidRDefault="00F76C4C">
      <w:pPr>
        <w:spacing w:line="219" w:lineRule="exact"/>
        <w:ind w:left="140"/>
        <w:rPr>
          <w:sz w:val="18"/>
        </w:rPr>
      </w:pPr>
      <w:bookmarkStart w:id="801" w:name="_bookmark632"/>
      <w:bookmarkEnd w:id="801"/>
      <w:r>
        <w:rPr>
          <w:position w:val="5"/>
          <w:sz w:val="12"/>
        </w:rPr>
        <w:t>52</w:t>
      </w:r>
      <w:r>
        <w:rPr>
          <w:spacing w:val="10"/>
          <w:position w:val="5"/>
          <w:sz w:val="12"/>
        </w:rPr>
        <w:t xml:space="preserve"> </w:t>
      </w:r>
      <w:r>
        <w:rPr>
          <w:sz w:val="18"/>
        </w:rPr>
        <w:t>Snyder</w:t>
      </w:r>
      <w:r>
        <w:rPr>
          <w:spacing w:val="-3"/>
          <w:sz w:val="18"/>
        </w:rPr>
        <w:t xml:space="preserve"> </w:t>
      </w:r>
      <w:r>
        <w:rPr>
          <w:sz w:val="18"/>
        </w:rPr>
        <w:t>et</w:t>
      </w:r>
      <w:r>
        <w:rPr>
          <w:spacing w:val="-2"/>
          <w:sz w:val="18"/>
        </w:rPr>
        <w:t xml:space="preserve"> </w:t>
      </w:r>
      <w:r>
        <w:rPr>
          <w:spacing w:val="-5"/>
          <w:sz w:val="18"/>
        </w:rPr>
        <w:t>al.</w:t>
      </w:r>
    </w:p>
    <w:p w:rsidR="00200FDA" w:rsidRDefault="00F76C4C">
      <w:pPr>
        <w:spacing w:before="1" w:line="219" w:lineRule="exact"/>
        <w:ind w:left="140"/>
        <w:rPr>
          <w:sz w:val="18"/>
        </w:rPr>
      </w:pPr>
      <w:bookmarkStart w:id="802" w:name="_bookmark633"/>
      <w:bookmarkEnd w:id="802"/>
      <w:r>
        <w:rPr>
          <w:position w:val="5"/>
          <w:sz w:val="12"/>
        </w:rPr>
        <w:t>53</w:t>
      </w:r>
      <w:r>
        <w:rPr>
          <w:spacing w:val="10"/>
          <w:position w:val="5"/>
          <w:sz w:val="12"/>
        </w:rPr>
        <w:t xml:space="preserve"> </w:t>
      </w:r>
      <w:r>
        <w:rPr>
          <w:sz w:val="18"/>
        </w:rPr>
        <w:t>Ross,</w:t>
      </w:r>
      <w:r>
        <w:rPr>
          <w:spacing w:val="-2"/>
          <w:sz w:val="18"/>
        </w:rPr>
        <w:t xml:space="preserve"> </w:t>
      </w:r>
      <w:r>
        <w:rPr>
          <w:sz w:val="18"/>
        </w:rPr>
        <w:t>“Massachusetts</w:t>
      </w:r>
      <w:r>
        <w:rPr>
          <w:spacing w:val="-3"/>
          <w:sz w:val="18"/>
        </w:rPr>
        <w:t xml:space="preserve"> </w:t>
      </w:r>
      <w:r>
        <w:rPr>
          <w:sz w:val="18"/>
        </w:rPr>
        <w:t>2022</w:t>
      </w:r>
      <w:r>
        <w:rPr>
          <w:spacing w:val="-3"/>
          <w:sz w:val="18"/>
        </w:rPr>
        <w:t xml:space="preserve"> </w:t>
      </w:r>
      <w:r>
        <w:rPr>
          <w:sz w:val="18"/>
        </w:rPr>
        <w:t>Youth</w:t>
      </w:r>
      <w:r>
        <w:rPr>
          <w:spacing w:val="-2"/>
          <w:sz w:val="18"/>
        </w:rPr>
        <w:t xml:space="preserve"> Count.”</w:t>
      </w:r>
    </w:p>
    <w:p w:rsidR="00200FDA" w:rsidRDefault="00F76C4C">
      <w:pPr>
        <w:ind w:left="140" w:right="219" w:hanging="1"/>
        <w:rPr>
          <w:sz w:val="18"/>
        </w:rPr>
      </w:pPr>
      <w:bookmarkStart w:id="803" w:name="_bookmark634"/>
      <w:bookmarkEnd w:id="803"/>
      <w:r>
        <w:rPr>
          <w:position w:val="5"/>
          <w:sz w:val="12"/>
        </w:rPr>
        <w:t>54</w:t>
      </w:r>
      <w:r>
        <w:rPr>
          <w:spacing w:val="10"/>
          <w:position w:val="5"/>
          <w:sz w:val="12"/>
        </w:rPr>
        <w:t xml:space="preserve"> </w:t>
      </w:r>
      <w:r>
        <w:rPr>
          <w:sz w:val="18"/>
        </w:rPr>
        <w:t>Hannah</w:t>
      </w:r>
      <w:r>
        <w:rPr>
          <w:spacing w:val="-3"/>
          <w:sz w:val="18"/>
        </w:rPr>
        <w:t xml:space="preserve"> </w:t>
      </w:r>
      <w:r>
        <w:rPr>
          <w:sz w:val="18"/>
        </w:rPr>
        <w:t>Hussey,</w:t>
      </w:r>
      <w:r>
        <w:rPr>
          <w:spacing w:val="-2"/>
          <w:sz w:val="18"/>
        </w:rPr>
        <w:t xml:space="preserve"> </w:t>
      </w:r>
      <w:r>
        <w:rPr>
          <w:sz w:val="18"/>
        </w:rPr>
        <w:t>“Expanding</w:t>
      </w:r>
      <w:r>
        <w:rPr>
          <w:spacing w:val="-3"/>
          <w:sz w:val="18"/>
        </w:rPr>
        <w:t xml:space="preserve"> </w:t>
      </w:r>
      <w:r>
        <w:rPr>
          <w:sz w:val="18"/>
        </w:rPr>
        <w:t>ID</w:t>
      </w:r>
      <w:r>
        <w:rPr>
          <w:spacing w:val="-3"/>
          <w:sz w:val="18"/>
        </w:rPr>
        <w:t xml:space="preserve"> </w:t>
      </w:r>
      <w:r>
        <w:rPr>
          <w:sz w:val="18"/>
        </w:rPr>
        <w:t>Card</w:t>
      </w:r>
      <w:r>
        <w:rPr>
          <w:spacing w:val="-3"/>
          <w:sz w:val="18"/>
        </w:rPr>
        <w:t xml:space="preserve"> </w:t>
      </w:r>
      <w:r>
        <w:rPr>
          <w:sz w:val="18"/>
        </w:rPr>
        <w:t>Access</w:t>
      </w:r>
      <w:r>
        <w:rPr>
          <w:spacing w:val="-3"/>
          <w:sz w:val="18"/>
        </w:rPr>
        <w:t xml:space="preserve"> </w:t>
      </w:r>
      <w:r>
        <w:rPr>
          <w:sz w:val="18"/>
        </w:rPr>
        <w:t>for</w:t>
      </w:r>
      <w:r>
        <w:rPr>
          <w:spacing w:val="-3"/>
          <w:sz w:val="18"/>
        </w:rPr>
        <w:t xml:space="preserve"> </w:t>
      </w:r>
      <w:r>
        <w:rPr>
          <w:sz w:val="18"/>
        </w:rPr>
        <w:t>LGBT</w:t>
      </w:r>
      <w:r>
        <w:rPr>
          <w:spacing w:val="-1"/>
          <w:sz w:val="18"/>
        </w:rPr>
        <w:t xml:space="preserve"> </w:t>
      </w:r>
      <w:r>
        <w:rPr>
          <w:sz w:val="18"/>
        </w:rPr>
        <w:t>Homeless</w:t>
      </w:r>
      <w:r>
        <w:rPr>
          <w:spacing w:val="-3"/>
          <w:sz w:val="18"/>
        </w:rPr>
        <w:t xml:space="preserve"> </w:t>
      </w:r>
      <w:r>
        <w:rPr>
          <w:sz w:val="18"/>
        </w:rPr>
        <w:t>Youth,”</w:t>
      </w:r>
      <w:r>
        <w:rPr>
          <w:spacing w:val="-3"/>
          <w:sz w:val="18"/>
        </w:rPr>
        <w:t xml:space="preserve"> </w:t>
      </w:r>
      <w:r>
        <w:rPr>
          <w:i/>
          <w:sz w:val="18"/>
        </w:rPr>
        <w:t>Center</w:t>
      </w:r>
      <w:r>
        <w:rPr>
          <w:i/>
          <w:spacing w:val="-2"/>
          <w:sz w:val="18"/>
        </w:rPr>
        <w:t xml:space="preserve"> </w:t>
      </w:r>
      <w:r>
        <w:rPr>
          <w:i/>
          <w:sz w:val="18"/>
        </w:rPr>
        <w:t>for</w:t>
      </w:r>
      <w:r>
        <w:rPr>
          <w:i/>
          <w:spacing w:val="-2"/>
          <w:sz w:val="18"/>
        </w:rPr>
        <w:t xml:space="preserve"> </w:t>
      </w:r>
      <w:r>
        <w:rPr>
          <w:i/>
          <w:sz w:val="18"/>
        </w:rPr>
        <w:t>American</w:t>
      </w:r>
      <w:r>
        <w:rPr>
          <w:i/>
          <w:spacing w:val="-1"/>
          <w:sz w:val="18"/>
        </w:rPr>
        <w:t xml:space="preserve"> </w:t>
      </w:r>
      <w:r>
        <w:rPr>
          <w:i/>
          <w:sz w:val="18"/>
        </w:rPr>
        <w:t>Progress</w:t>
      </w:r>
      <w:r>
        <w:rPr>
          <w:i/>
          <w:spacing w:val="-3"/>
          <w:sz w:val="18"/>
        </w:rPr>
        <w:t xml:space="preserve"> </w:t>
      </w:r>
      <w:r>
        <w:rPr>
          <w:sz w:val="18"/>
        </w:rPr>
        <w:t>(blog),</w:t>
      </w:r>
      <w:r>
        <w:rPr>
          <w:spacing w:val="-2"/>
          <w:sz w:val="18"/>
        </w:rPr>
        <w:t xml:space="preserve"> </w:t>
      </w:r>
      <w:r>
        <w:rPr>
          <w:sz w:val="18"/>
        </w:rPr>
        <w:t>October</w:t>
      </w:r>
      <w:r>
        <w:rPr>
          <w:spacing w:val="-3"/>
          <w:sz w:val="18"/>
        </w:rPr>
        <w:t xml:space="preserve"> </w:t>
      </w:r>
      <w:r>
        <w:rPr>
          <w:sz w:val="18"/>
        </w:rPr>
        <w:t>1,</w:t>
      </w:r>
      <w:r>
        <w:rPr>
          <w:spacing w:val="-2"/>
          <w:sz w:val="18"/>
        </w:rPr>
        <w:t xml:space="preserve"> </w:t>
      </w:r>
      <w:r>
        <w:rPr>
          <w:sz w:val="18"/>
        </w:rPr>
        <w:t xml:space="preserve">2015, </w:t>
      </w:r>
      <w:r>
        <w:rPr>
          <w:spacing w:val="-2"/>
          <w:sz w:val="18"/>
        </w:rPr>
        <w:t>https://</w:t>
      </w:r>
      <w:hyperlink r:id="rId601">
        <w:r>
          <w:rPr>
            <w:spacing w:val="-2"/>
            <w:sz w:val="18"/>
          </w:rPr>
          <w:t>www.americanprogress.org/article/expanding-id-card-access-for-lgbt-homeless-youth/.</w:t>
        </w:r>
      </w:hyperlink>
    </w:p>
    <w:p w:rsidR="00200FDA" w:rsidRDefault="00F76C4C">
      <w:pPr>
        <w:ind w:left="140" w:hanging="1"/>
        <w:rPr>
          <w:sz w:val="18"/>
        </w:rPr>
      </w:pPr>
      <w:bookmarkStart w:id="804" w:name="_bookmark635"/>
      <w:bookmarkEnd w:id="804"/>
      <w:r>
        <w:rPr>
          <w:position w:val="5"/>
          <w:sz w:val="12"/>
        </w:rPr>
        <w:t>55</w:t>
      </w:r>
      <w:r>
        <w:rPr>
          <w:spacing w:val="9"/>
          <w:position w:val="5"/>
          <w:sz w:val="12"/>
        </w:rPr>
        <w:t xml:space="preserve"> </w:t>
      </w:r>
      <w:r>
        <w:rPr>
          <w:sz w:val="18"/>
        </w:rPr>
        <w:t>National</w:t>
      </w:r>
      <w:r>
        <w:rPr>
          <w:spacing w:val="-4"/>
          <w:sz w:val="18"/>
        </w:rPr>
        <w:t xml:space="preserve"> </w:t>
      </w:r>
      <w:r>
        <w:rPr>
          <w:sz w:val="18"/>
        </w:rPr>
        <w:t>Center</w:t>
      </w:r>
      <w:r>
        <w:rPr>
          <w:spacing w:val="-4"/>
          <w:sz w:val="18"/>
        </w:rPr>
        <w:t xml:space="preserve"> </w:t>
      </w:r>
      <w:r>
        <w:rPr>
          <w:sz w:val="18"/>
        </w:rPr>
        <w:t>for</w:t>
      </w:r>
      <w:r>
        <w:rPr>
          <w:spacing w:val="-4"/>
          <w:sz w:val="18"/>
        </w:rPr>
        <w:t xml:space="preserve"> </w:t>
      </w:r>
      <w:r>
        <w:rPr>
          <w:sz w:val="18"/>
        </w:rPr>
        <w:t>Transgender</w:t>
      </w:r>
      <w:r>
        <w:rPr>
          <w:spacing w:val="-1"/>
          <w:sz w:val="18"/>
        </w:rPr>
        <w:t xml:space="preserve"> </w:t>
      </w:r>
      <w:r>
        <w:rPr>
          <w:sz w:val="18"/>
        </w:rPr>
        <w:t>Equality.</w:t>
      </w:r>
      <w:r>
        <w:rPr>
          <w:spacing w:val="-3"/>
          <w:sz w:val="18"/>
        </w:rPr>
        <w:t xml:space="preserve"> </w:t>
      </w:r>
      <w:r>
        <w:rPr>
          <w:sz w:val="18"/>
        </w:rPr>
        <w:t>(2017).</w:t>
      </w:r>
      <w:r>
        <w:rPr>
          <w:spacing w:val="-3"/>
          <w:sz w:val="18"/>
        </w:rPr>
        <w:t xml:space="preserve"> </w:t>
      </w:r>
      <w:r>
        <w:rPr>
          <w:sz w:val="18"/>
        </w:rPr>
        <w:t>“2015</w:t>
      </w:r>
      <w:r>
        <w:rPr>
          <w:spacing w:val="-3"/>
          <w:sz w:val="18"/>
        </w:rPr>
        <w:t xml:space="preserve"> </w:t>
      </w:r>
      <w:r>
        <w:rPr>
          <w:sz w:val="18"/>
        </w:rPr>
        <w:t>U.S.</w:t>
      </w:r>
      <w:r>
        <w:rPr>
          <w:spacing w:val="-3"/>
          <w:sz w:val="18"/>
        </w:rPr>
        <w:t xml:space="preserve"> </w:t>
      </w:r>
      <w:r>
        <w:rPr>
          <w:sz w:val="18"/>
        </w:rPr>
        <w:t>T</w:t>
      </w:r>
      <w:r>
        <w:rPr>
          <w:sz w:val="18"/>
        </w:rPr>
        <w:t>ransgender</w:t>
      </w:r>
      <w:r>
        <w:rPr>
          <w:spacing w:val="-4"/>
          <w:sz w:val="18"/>
        </w:rPr>
        <w:t xml:space="preserve"> </w:t>
      </w:r>
      <w:r>
        <w:rPr>
          <w:sz w:val="18"/>
        </w:rPr>
        <w:t>Survey:</w:t>
      </w:r>
      <w:r>
        <w:rPr>
          <w:spacing w:val="-3"/>
          <w:sz w:val="18"/>
        </w:rPr>
        <w:t xml:space="preserve"> </w:t>
      </w:r>
      <w:r>
        <w:rPr>
          <w:sz w:val="18"/>
        </w:rPr>
        <w:t>Massachusetts</w:t>
      </w:r>
      <w:r>
        <w:rPr>
          <w:spacing w:val="-2"/>
          <w:sz w:val="18"/>
        </w:rPr>
        <w:t xml:space="preserve"> </w:t>
      </w:r>
      <w:r>
        <w:rPr>
          <w:sz w:val="18"/>
        </w:rPr>
        <w:t>State</w:t>
      </w:r>
      <w:r>
        <w:rPr>
          <w:spacing w:val="-4"/>
          <w:sz w:val="18"/>
        </w:rPr>
        <w:t xml:space="preserve"> </w:t>
      </w:r>
      <w:r>
        <w:rPr>
          <w:sz w:val="18"/>
        </w:rPr>
        <w:t xml:space="preserve">Report.” </w:t>
      </w:r>
      <w:hyperlink r:id="rId602">
        <w:r>
          <w:rPr>
            <w:spacing w:val="-2"/>
            <w:sz w:val="18"/>
          </w:rPr>
          <w:t>http://www.transequality.org/sites/default/files/docs/usts/USTSMAStateReport%281017%29.pdf</w:t>
        </w:r>
      </w:hyperlink>
    </w:p>
    <w:p w:rsidR="00200FDA" w:rsidRDefault="00F76C4C">
      <w:pPr>
        <w:ind w:left="140" w:hanging="1"/>
        <w:rPr>
          <w:sz w:val="18"/>
        </w:rPr>
      </w:pPr>
      <w:bookmarkStart w:id="805" w:name="_bookmark636"/>
      <w:bookmarkEnd w:id="805"/>
      <w:r>
        <w:rPr>
          <w:position w:val="5"/>
          <w:sz w:val="12"/>
        </w:rPr>
        <w:t>56</w:t>
      </w:r>
      <w:r>
        <w:rPr>
          <w:spacing w:val="10"/>
          <w:position w:val="5"/>
          <w:sz w:val="12"/>
        </w:rPr>
        <w:t xml:space="preserve"> </w:t>
      </w:r>
      <w:r>
        <w:rPr>
          <w:sz w:val="18"/>
        </w:rPr>
        <w:t>Edwa</w:t>
      </w:r>
      <w:r>
        <w:rPr>
          <w:sz w:val="18"/>
        </w:rPr>
        <w:t>rd</w:t>
      </w:r>
      <w:r>
        <w:rPr>
          <w:spacing w:val="-3"/>
          <w:sz w:val="18"/>
        </w:rPr>
        <w:t xml:space="preserve"> </w:t>
      </w:r>
      <w:r>
        <w:rPr>
          <w:sz w:val="18"/>
        </w:rPr>
        <w:t>McCann</w:t>
      </w:r>
      <w:r>
        <w:rPr>
          <w:spacing w:val="-3"/>
          <w:sz w:val="18"/>
        </w:rPr>
        <w:t xml:space="preserve"> </w:t>
      </w:r>
      <w:r>
        <w:rPr>
          <w:sz w:val="18"/>
        </w:rPr>
        <w:t>and</w:t>
      </w:r>
      <w:r>
        <w:rPr>
          <w:spacing w:val="-3"/>
          <w:sz w:val="18"/>
        </w:rPr>
        <w:t xml:space="preserve"> </w:t>
      </w:r>
      <w:r>
        <w:rPr>
          <w:sz w:val="18"/>
        </w:rPr>
        <w:t>Michael</w:t>
      </w:r>
      <w:r>
        <w:rPr>
          <w:spacing w:val="-3"/>
          <w:sz w:val="18"/>
        </w:rPr>
        <w:t xml:space="preserve"> </w:t>
      </w:r>
      <w:r>
        <w:rPr>
          <w:sz w:val="18"/>
        </w:rPr>
        <w:t>Brown,</w:t>
      </w:r>
      <w:r>
        <w:rPr>
          <w:spacing w:val="-2"/>
          <w:sz w:val="18"/>
        </w:rPr>
        <w:t xml:space="preserve"> </w:t>
      </w:r>
      <w:r>
        <w:rPr>
          <w:sz w:val="18"/>
        </w:rPr>
        <w:t>“Homelessness</w:t>
      </w:r>
      <w:r>
        <w:rPr>
          <w:spacing w:val="-3"/>
          <w:sz w:val="18"/>
        </w:rPr>
        <w:t xml:space="preserve"> </w:t>
      </w:r>
      <w:r>
        <w:rPr>
          <w:sz w:val="18"/>
        </w:rPr>
        <w:t>among</w:t>
      </w:r>
      <w:r>
        <w:rPr>
          <w:spacing w:val="-3"/>
          <w:sz w:val="18"/>
        </w:rPr>
        <w:t xml:space="preserve"> </w:t>
      </w:r>
      <w:r>
        <w:rPr>
          <w:sz w:val="18"/>
        </w:rPr>
        <w:t>Youth</w:t>
      </w:r>
      <w:r>
        <w:rPr>
          <w:spacing w:val="-3"/>
          <w:sz w:val="18"/>
        </w:rPr>
        <w:t xml:space="preserve"> </w:t>
      </w:r>
      <w:r>
        <w:rPr>
          <w:sz w:val="18"/>
        </w:rPr>
        <w:t>Who</w:t>
      </w:r>
      <w:r>
        <w:rPr>
          <w:spacing w:val="-1"/>
          <w:sz w:val="18"/>
        </w:rPr>
        <w:t xml:space="preserve"> </w:t>
      </w:r>
      <w:r>
        <w:rPr>
          <w:sz w:val="18"/>
        </w:rPr>
        <w:t>Identify</w:t>
      </w:r>
      <w:r>
        <w:rPr>
          <w:spacing w:val="-2"/>
          <w:sz w:val="18"/>
        </w:rPr>
        <w:t xml:space="preserve"> </w:t>
      </w:r>
      <w:r>
        <w:rPr>
          <w:sz w:val="18"/>
        </w:rPr>
        <w:t>as</w:t>
      </w:r>
      <w:r>
        <w:rPr>
          <w:spacing w:val="-3"/>
          <w:sz w:val="18"/>
        </w:rPr>
        <w:t xml:space="preserve"> </w:t>
      </w:r>
      <w:r>
        <w:rPr>
          <w:sz w:val="18"/>
        </w:rPr>
        <w:t>LGBTQ+: A</w:t>
      </w:r>
      <w:r>
        <w:rPr>
          <w:spacing w:val="-3"/>
          <w:sz w:val="18"/>
        </w:rPr>
        <w:t xml:space="preserve"> </w:t>
      </w:r>
      <w:r>
        <w:rPr>
          <w:sz w:val="18"/>
        </w:rPr>
        <w:t>Systematic</w:t>
      </w:r>
      <w:r>
        <w:rPr>
          <w:spacing w:val="-2"/>
          <w:sz w:val="18"/>
        </w:rPr>
        <w:t xml:space="preserve"> </w:t>
      </w:r>
      <w:r>
        <w:rPr>
          <w:sz w:val="18"/>
        </w:rPr>
        <w:t>Review,”</w:t>
      </w:r>
      <w:r>
        <w:rPr>
          <w:spacing w:val="-3"/>
          <w:sz w:val="18"/>
        </w:rPr>
        <w:t xml:space="preserve"> </w:t>
      </w:r>
      <w:r>
        <w:rPr>
          <w:i/>
          <w:sz w:val="18"/>
        </w:rPr>
        <w:t>Journal</w:t>
      </w:r>
      <w:r>
        <w:rPr>
          <w:i/>
          <w:spacing w:val="-3"/>
          <w:sz w:val="18"/>
        </w:rPr>
        <w:t xml:space="preserve"> </w:t>
      </w:r>
      <w:r>
        <w:rPr>
          <w:i/>
          <w:sz w:val="18"/>
        </w:rPr>
        <w:t xml:space="preserve">of Clinical Nursing </w:t>
      </w:r>
      <w:r>
        <w:rPr>
          <w:sz w:val="18"/>
        </w:rPr>
        <w:t>28, no. 11–12 (June 2019): 2061–72, https://doi.org/10.1111/jocn.14818.</w:t>
      </w:r>
    </w:p>
    <w:p w:rsidR="00200FDA" w:rsidRDefault="00F76C4C">
      <w:pPr>
        <w:spacing w:before="1" w:line="219" w:lineRule="exact"/>
        <w:ind w:left="140"/>
        <w:rPr>
          <w:sz w:val="18"/>
        </w:rPr>
      </w:pPr>
      <w:bookmarkStart w:id="806" w:name="_bookmark637"/>
      <w:bookmarkEnd w:id="806"/>
      <w:r>
        <w:rPr>
          <w:position w:val="5"/>
          <w:sz w:val="12"/>
        </w:rPr>
        <w:t>57</w:t>
      </w:r>
      <w:r>
        <w:rPr>
          <w:spacing w:val="10"/>
          <w:position w:val="5"/>
          <w:sz w:val="12"/>
        </w:rPr>
        <w:t xml:space="preserve"> </w:t>
      </w:r>
      <w:r>
        <w:rPr>
          <w:sz w:val="18"/>
        </w:rPr>
        <w:t>Fraser</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“LGBTIQ+</w:t>
      </w:r>
      <w:r>
        <w:rPr>
          <w:spacing w:val="-2"/>
          <w:sz w:val="18"/>
        </w:rPr>
        <w:t xml:space="preserve"> Homelessness.”</w:t>
      </w:r>
    </w:p>
    <w:p w:rsidR="00200FDA" w:rsidRDefault="00F76C4C">
      <w:pPr>
        <w:ind w:left="139" w:right="162"/>
        <w:jc w:val="both"/>
        <w:rPr>
          <w:sz w:val="18"/>
        </w:rPr>
      </w:pPr>
      <w:bookmarkStart w:id="807" w:name="_bookmark638"/>
      <w:bookmarkEnd w:id="807"/>
      <w:r>
        <w:rPr>
          <w:position w:val="5"/>
          <w:sz w:val="12"/>
        </w:rPr>
        <w:t>58</w:t>
      </w:r>
      <w:r>
        <w:rPr>
          <w:spacing w:val="11"/>
          <w:position w:val="5"/>
          <w:sz w:val="12"/>
        </w:rPr>
        <w:t xml:space="preserve"> </w:t>
      </w:r>
      <w:r>
        <w:rPr>
          <w:sz w:val="18"/>
        </w:rPr>
        <w:t>Marlene</w:t>
      </w:r>
      <w:r>
        <w:rPr>
          <w:spacing w:val="-2"/>
          <w:sz w:val="18"/>
        </w:rPr>
        <w:t xml:space="preserve"> </w:t>
      </w:r>
      <w:r>
        <w:rPr>
          <w:sz w:val="18"/>
        </w:rPr>
        <w:t>LaLota</w:t>
      </w:r>
      <w:r>
        <w:rPr>
          <w:spacing w:val="-1"/>
          <w:sz w:val="18"/>
        </w:rPr>
        <w:t xml:space="preserve"> </w:t>
      </w:r>
      <w:r>
        <w:rPr>
          <w:sz w:val="18"/>
        </w:rPr>
        <w:t>et</w:t>
      </w:r>
      <w:r>
        <w:rPr>
          <w:spacing w:val="-2"/>
          <w:sz w:val="18"/>
        </w:rPr>
        <w:t xml:space="preserve"> </w:t>
      </w:r>
      <w:r>
        <w:rPr>
          <w:sz w:val="18"/>
        </w:rPr>
        <w:t>al.,</w:t>
      </w:r>
      <w:r>
        <w:rPr>
          <w:spacing w:val="-1"/>
          <w:sz w:val="18"/>
        </w:rPr>
        <w:t xml:space="preserve"> </w:t>
      </w:r>
      <w:r>
        <w:rPr>
          <w:sz w:val="18"/>
        </w:rPr>
        <w:t>“The</w:t>
      </w:r>
      <w:r>
        <w:rPr>
          <w:spacing w:val="-2"/>
          <w:sz w:val="18"/>
        </w:rPr>
        <w:t xml:space="preserve"> </w:t>
      </w:r>
      <w:r>
        <w:rPr>
          <w:sz w:val="18"/>
        </w:rPr>
        <w:t>Miami,</w:t>
      </w:r>
      <w:r>
        <w:rPr>
          <w:spacing w:val="-1"/>
          <w:sz w:val="18"/>
        </w:rPr>
        <w:t xml:space="preserve"> </w:t>
      </w:r>
      <w:r>
        <w:rPr>
          <w:sz w:val="18"/>
        </w:rPr>
        <w:t>Florida,</w:t>
      </w:r>
      <w:r>
        <w:rPr>
          <w:spacing w:val="-1"/>
          <w:sz w:val="18"/>
        </w:rPr>
        <w:t xml:space="preserve"> </w:t>
      </w:r>
      <w:r>
        <w:rPr>
          <w:sz w:val="18"/>
        </w:rPr>
        <w:t>Young</w:t>
      </w:r>
      <w:r>
        <w:rPr>
          <w:spacing w:val="-2"/>
          <w:sz w:val="18"/>
        </w:rPr>
        <w:t xml:space="preserve"> </w:t>
      </w:r>
      <w:r>
        <w:rPr>
          <w:sz w:val="18"/>
        </w:rPr>
        <w:t>Men’s Survey: HIV Prevalence</w:t>
      </w:r>
      <w:r>
        <w:rPr>
          <w:spacing w:val="-2"/>
          <w:sz w:val="18"/>
        </w:rPr>
        <w:t xml:space="preserve"> </w:t>
      </w:r>
      <w:r>
        <w:rPr>
          <w:sz w:val="18"/>
        </w:rPr>
        <w:t>and</w:t>
      </w:r>
      <w:r>
        <w:rPr>
          <w:spacing w:val="-2"/>
          <w:sz w:val="18"/>
        </w:rPr>
        <w:t xml:space="preserve"> </w:t>
      </w:r>
      <w:r>
        <w:rPr>
          <w:sz w:val="18"/>
        </w:rPr>
        <w:t>Risk</w:t>
      </w:r>
      <w:r>
        <w:rPr>
          <w:spacing w:val="-2"/>
          <w:sz w:val="18"/>
        </w:rPr>
        <w:t xml:space="preserve"> </w:t>
      </w:r>
      <w:r>
        <w:rPr>
          <w:sz w:val="18"/>
        </w:rPr>
        <w:t>Behaviors</w:t>
      </w:r>
      <w:r>
        <w:rPr>
          <w:spacing w:val="-2"/>
          <w:sz w:val="18"/>
        </w:rPr>
        <w:t xml:space="preserve"> </w:t>
      </w:r>
      <w:r>
        <w:rPr>
          <w:sz w:val="18"/>
        </w:rPr>
        <w:t>among</w:t>
      </w:r>
      <w:r>
        <w:rPr>
          <w:spacing w:val="-2"/>
          <w:sz w:val="18"/>
        </w:rPr>
        <w:t xml:space="preserve"> </w:t>
      </w:r>
      <w:r>
        <w:rPr>
          <w:sz w:val="18"/>
        </w:rPr>
        <w:t>Urban</w:t>
      </w:r>
      <w:r>
        <w:rPr>
          <w:spacing w:val="-2"/>
          <w:sz w:val="18"/>
        </w:rPr>
        <w:t xml:space="preserve"> </w:t>
      </w:r>
      <w:r>
        <w:rPr>
          <w:sz w:val="18"/>
        </w:rPr>
        <w:t>Young</w:t>
      </w:r>
      <w:r>
        <w:rPr>
          <w:spacing w:val="-2"/>
          <w:sz w:val="18"/>
        </w:rPr>
        <w:t xml:space="preserve"> </w:t>
      </w:r>
      <w:r>
        <w:rPr>
          <w:sz w:val="18"/>
        </w:rPr>
        <w:t>Men Who</w:t>
      </w:r>
      <w:r>
        <w:rPr>
          <w:spacing w:val="-1"/>
          <w:sz w:val="18"/>
        </w:rPr>
        <w:t xml:space="preserve"> </w:t>
      </w:r>
      <w:r>
        <w:rPr>
          <w:sz w:val="18"/>
        </w:rPr>
        <w:t>Have</w:t>
      </w:r>
      <w:r>
        <w:rPr>
          <w:spacing w:val="-3"/>
          <w:sz w:val="18"/>
        </w:rPr>
        <w:t xml:space="preserve"> </w:t>
      </w:r>
      <w:r>
        <w:rPr>
          <w:sz w:val="18"/>
        </w:rPr>
        <w:t>Sex</w:t>
      </w:r>
      <w:r>
        <w:rPr>
          <w:spacing w:val="-3"/>
          <w:sz w:val="18"/>
        </w:rPr>
        <w:t xml:space="preserve"> </w:t>
      </w:r>
      <w:r>
        <w:rPr>
          <w:sz w:val="18"/>
        </w:rPr>
        <w:t>with</w:t>
      </w:r>
      <w:r>
        <w:rPr>
          <w:spacing w:val="-3"/>
          <w:sz w:val="18"/>
        </w:rPr>
        <w:t xml:space="preserve"> </w:t>
      </w:r>
      <w:r>
        <w:rPr>
          <w:sz w:val="18"/>
        </w:rPr>
        <w:t>Men</w:t>
      </w:r>
      <w:r>
        <w:rPr>
          <w:spacing w:val="-3"/>
          <w:sz w:val="18"/>
        </w:rPr>
        <w:t xml:space="preserve"> </w:t>
      </w:r>
      <w:r>
        <w:rPr>
          <w:sz w:val="18"/>
        </w:rPr>
        <w:t>Who</w:t>
      </w:r>
      <w:r>
        <w:rPr>
          <w:spacing w:val="-1"/>
          <w:sz w:val="18"/>
        </w:rPr>
        <w:t xml:space="preserve"> </w:t>
      </w:r>
      <w:r>
        <w:rPr>
          <w:sz w:val="18"/>
        </w:rPr>
        <w:t>Have</w:t>
      </w:r>
      <w:r>
        <w:rPr>
          <w:spacing w:val="-3"/>
          <w:sz w:val="18"/>
        </w:rPr>
        <w:t xml:space="preserve"> </w:t>
      </w:r>
      <w:r>
        <w:rPr>
          <w:sz w:val="18"/>
        </w:rPr>
        <w:t>Ever</w:t>
      </w:r>
      <w:r>
        <w:rPr>
          <w:spacing w:val="-3"/>
          <w:sz w:val="18"/>
        </w:rPr>
        <w:t xml:space="preserve"> </w:t>
      </w:r>
      <w:r>
        <w:rPr>
          <w:sz w:val="18"/>
        </w:rPr>
        <w:t>Runaway,”</w:t>
      </w:r>
      <w:r>
        <w:rPr>
          <w:spacing w:val="-3"/>
          <w:sz w:val="18"/>
        </w:rPr>
        <w:t xml:space="preserve"> </w:t>
      </w:r>
      <w:r>
        <w:rPr>
          <w:i/>
          <w:sz w:val="18"/>
        </w:rPr>
        <w:t>Journal</w:t>
      </w:r>
      <w:r>
        <w:rPr>
          <w:i/>
          <w:spacing w:val="-3"/>
          <w:sz w:val="18"/>
        </w:rPr>
        <w:t xml:space="preserve"> </w:t>
      </w:r>
      <w:r>
        <w:rPr>
          <w:i/>
          <w:sz w:val="18"/>
        </w:rPr>
        <w:t>of</w:t>
      </w:r>
      <w:r>
        <w:rPr>
          <w:i/>
          <w:spacing w:val="-2"/>
          <w:sz w:val="18"/>
        </w:rPr>
        <w:t xml:space="preserve"> </w:t>
      </w:r>
      <w:r>
        <w:rPr>
          <w:i/>
          <w:sz w:val="18"/>
        </w:rPr>
        <w:t>Urban</w:t>
      </w:r>
      <w:r>
        <w:rPr>
          <w:i/>
          <w:spacing w:val="-1"/>
          <w:sz w:val="18"/>
        </w:rPr>
        <w:t xml:space="preserve"> </w:t>
      </w:r>
      <w:r>
        <w:rPr>
          <w:i/>
          <w:sz w:val="18"/>
        </w:rPr>
        <w:t>Health</w:t>
      </w:r>
      <w:r>
        <w:rPr>
          <w:i/>
          <w:spacing w:val="-1"/>
          <w:sz w:val="18"/>
        </w:rPr>
        <w:t xml:space="preserve"> </w:t>
      </w:r>
      <w:r>
        <w:rPr>
          <w:i/>
          <w:sz w:val="18"/>
        </w:rPr>
        <w:t>:</w:t>
      </w:r>
      <w:r>
        <w:rPr>
          <w:i/>
          <w:spacing w:val="-3"/>
          <w:sz w:val="18"/>
        </w:rPr>
        <w:t xml:space="preserve"> </w:t>
      </w:r>
      <w:r>
        <w:rPr>
          <w:i/>
          <w:sz w:val="18"/>
        </w:rPr>
        <w:t>Bulletin</w:t>
      </w:r>
      <w:r>
        <w:rPr>
          <w:i/>
          <w:spacing w:val="-1"/>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New</w:t>
      </w:r>
      <w:r>
        <w:rPr>
          <w:i/>
          <w:spacing w:val="-1"/>
          <w:sz w:val="18"/>
        </w:rPr>
        <w:t xml:space="preserve"> </w:t>
      </w:r>
      <w:r>
        <w:rPr>
          <w:i/>
          <w:sz w:val="18"/>
        </w:rPr>
        <w:t>York</w:t>
      </w:r>
      <w:r>
        <w:rPr>
          <w:i/>
          <w:spacing w:val="-3"/>
          <w:sz w:val="18"/>
        </w:rPr>
        <w:t xml:space="preserve"> </w:t>
      </w:r>
      <w:r>
        <w:rPr>
          <w:i/>
          <w:sz w:val="18"/>
        </w:rPr>
        <w:t>Academy</w:t>
      </w:r>
      <w:r>
        <w:rPr>
          <w:i/>
          <w:spacing w:val="-1"/>
          <w:sz w:val="18"/>
        </w:rPr>
        <w:t xml:space="preserve"> </w:t>
      </w:r>
      <w:r>
        <w:rPr>
          <w:i/>
          <w:sz w:val="18"/>
        </w:rPr>
        <w:t>of</w:t>
      </w:r>
      <w:r>
        <w:rPr>
          <w:i/>
          <w:spacing w:val="-2"/>
          <w:sz w:val="18"/>
        </w:rPr>
        <w:t xml:space="preserve"> </w:t>
      </w:r>
      <w:r>
        <w:rPr>
          <w:i/>
          <w:sz w:val="18"/>
        </w:rPr>
        <w:t>Medicine</w:t>
      </w:r>
      <w:r>
        <w:rPr>
          <w:i/>
          <w:spacing w:val="-2"/>
          <w:sz w:val="18"/>
        </w:rPr>
        <w:t xml:space="preserve"> </w:t>
      </w:r>
      <w:r>
        <w:rPr>
          <w:sz w:val="18"/>
        </w:rPr>
        <w:t>82, no. 2 (June 2005): 327–38, https://doi.org/10.1093/jurban/jti056.</w:t>
      </w:r>
    </w:p>
    <w:p w:rsidR="00200FDA" w:rsidRDefault="00F76C4C">
      <w:pPr>
        <w:ind w:left="140" w:right="202" w:hanging="1"/>
        <w:rPr>
          <w:sz w:val="18"/>
        </w:rPr>
      </w:pPr>
      <w:bookmarkStart w:id="808" w:name="_bookmark639"/>
      <w:bookmarkEnd w:id="808"/>
      <w:r>
        <w:rPr>
          <w:position w:val="5"/>
          <w:sz w:val="12"/>
        </w:rPr>
        <w:t>59</w:t>
      </w:r>
      <w:r>
        <w:rPr>
          <w:spacing w:val="19"/>
          <w:position w:val="5"/>
          <w:sz w:val="12"/>
        </w:rPr>
        <w:t xml:space="preserve"> </w:t>
      </w:r>
      <w:r>
        <w:rPr>
          <w:sz w:val="18"/>
        </w:rPr>
        <w:t xml:space="preserve">Kimberly A. Tyler, “Homeless Youths’ HIV Risk Behaviors with Strangers: Investigating the Importance of Social Networks,” </w:t>
      </w:r>
      <w:r>
        <w:rPr>
          <w:i/>
          <w:sz w:val="18"/>
        </w:rPr>
        <w:t>Archives</w:t>
      </w:r>
      <w:r>
        <w:rPr>
          <w:i/>
          <w:spacing w:val="-5"/>
          <w:sz w:val="18"/>
        </w:rPr>
        <w:t xml:space="preserve"> </w:t>
      </w:r>
      <w:r>
        <w:rPr>
          <w:i/>
          <w:sz w:val="18"/>
        </w:rPr>
        <w:t>of</w:t>
      </w:r>
      <w:r>
        <w:rPr>
          <w:i/>
          <w:spacing w:val="-4"/>
          <w:sz w:val="18"/>
        </w:rPr>
        <w:t xml:space="preserve"> </w:t>
      </w:r>
      <w:r>
        <w:rPr>
          <w:i/>
          <w:sz w:val="18"/>
        </w:rPr>
        <w:t>Sexual</w:t>
      </w:r>
      <w:r>
        <w:rPr>
          <w:i/>
          <w:spacing w:val="-5"/>
          <w:sz w:val="18"/>
        </w:rPr>
        <w:t xml:space="preserve"> </w:t>
      </w:r>
      <w:r>
        <w:rPr>
          <w:i/>
          <w:sz w:val="18"/>
        </w:rPr>
        <w:t>Behavior</w:t>
      </w:r>
      <w:r>
        <w:rPr>
          <w:i/>
          <w:spacing w:val="-4"/>
          <w:sz w:val="18"/>
        </w:rPr>
        <w:t xml:space="preserve"> </w:t>
      </w:r>
      <w:r>
        <w:rPr>
          <w:sz w:val="18"/>
        </w:rPr>
        <w:t>42,</w:t>
      </w:r>
      <w:r>
        <w:rPr>
          <w:spacing w:val="-4"/>
          <w:sz w:val="18"/>
        </w:rPr>
        <w:t xml:space="preserve"> </w:t>
      </w:r>
      <w:r>
        <w:rPr>
          <w:sz w:val="18"/>
        </w:rPr>
        <w:t>no.</w:t>
      </w:r>
      <w:r>
        <w:rPr>
          <w:spacing w:val="-4"/>
          <w:sz w:val="18"/>
        </w:rPr>
        <w:t xml:space="preserve"> </w:t>
      </w:r>
      <w:r>
        <w:rPr>
          <w:sz w:val="18"/>
        </w:rPr>
        <w:t>8</w:t>
      </w:r>
      <w:r>
        <w:rPr>
          <w:spacing w:val="-4"/>
          <w:sz w:val="18"/>
        </w:rPr>
        <w:t xml:space="preserve"> </w:t>
      </w:r>
      <w:r>
        <w:rPr>
          <w:sz w:val="18"/>
        </w:rPr>
        <w:t>(November</w:t>
      </w:r>
      <w:r>
        <w:rPr>
          <w:spacing w:val="-5"/>
          <w:sz w:val="18"/>
        </w:rPr>
        <w:t xml:space="preserve"> </w:t>
      </w:r>
      <w:r>
        <w:rPr>
          <w:sz w:val="18"/>
        </w:rPr>
        <w:t>2013):</w:t>
      </w:r>
      <w:r>
        <w:rPr>
          <w:spacing w:val="-4"/>
          <w:sz w:val="18"/>
        </w:rPr>
        <w:t xml:space="preserve"> </w:t>
      </w:r>
      <w:r>
        <w:rPr>
          <w:sz w:val="18"/>
        </w:rPr>
        <w:t>10.100</w:t>
      </w:r>
      <w:r>
        <w:rPr>
          <w:sz w:val="18"/>
        </w:rPr>
        <w:t>7/s10508-013-0091–0093,</w:t>
      </w:r>
      <w:r>
        <w:rPr>
          <w:spacing w:val="-4"/>
          <w:sz w:val="18"/>
        </w:rPr>
        <w:t xml:space="preserve"> </w:t>
      </w:r>
      <w:r>
        <w:rPr>
          <w:sz w:val="18"/>
        </w:rPr>
        <w:t xml:space="preserve">https://doi.org/10.1007/s10508-013- </w:t>
      </w:r>
      <w:r>
        <w:rPr>
          <w:spacing w:val="-2"/>
          <w:sz w:val="18"/>
        </w:rPr>
        <w:t>0091-3.</w:t>
      </w:r>
    </w:p>
    <w:p w:rsidR="00200FDA" w:rsidRDefault="00F76C4C">
      <w:pPr>
        <w:ind w:left="140" w:hanging="1"/>
        <w:rPr>
          <w:sz w:val="18"/>
        </w:rPr>
      </w:pPr>
      <w:bookmarkStart w:id="809" w:name="_bookmark640"/>
      <w:bookmarkEnd w:id="809"/>
      <w:r>
        <w:rPr>
          <w:position w:val="5"/>
          <w:sz w:val="12"/>
        </w:rPr>
        <w:t>60</w:t>
      </w:r>
      <w:r>
        <w:rPr>
          <w:spacing w:val="11"/>
          <w:position w:val="5"/>
          <w:sz w:val="12"/>
        </w:rPr>
        <w:t xml:space="preserve"> </w:t>
      </w:r>
      <w:r>
        <w:rPr>
          <w:sz w:val="18"/>
        </w:rPr>
        <w:t>Michael</w:t>
      </w:r>
      <w:r>
        <w:rPr>
          <w:spacing w:val="-3"/>
          <w:sz w:val="18"/>
        </w:rPr>
        <w:t xml:space="preserve"> </w:t>
      </w:r>
      <w:r>
        <w:rPr>
          <w:sz w:val="18"/>
        </w:rPr>
        <w:t>C.</w:t>
      </w:r>
      <w:r>
        <w:rPr>
          <w:spacing w:val="-2"/>
          <w:sz w:val="18"/>
        </w:rPr>
        <w:t xml:space="preserve"> </w:t>
      </w:r>
      <w:r>
        <w:rPr>
          <w:sz w:val="18"/>
        </w:rPr>
        <w:t>Clatts</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“Homelessness</w:t>
      </w:r>
      <w:r>
        <w:rPr>
          <w:spacing w:val="-3"/>
          <w:sz w:val="18"/>
        </w:rPr>
        <w:t xml:space="preserve"> </w:t>
      </w:r>
      <w:r>
        <w:rPr>
          <w:sz w:val="18"/>
        </w:rPr>
        <w:t>and</w:t>
      </w:r>
      <w:r>
        <w:rPr>
          <w:spacing w:val="-3"/>
          <w:sz w:val="18"/>
        </w:rPr>
        <w:t xml:space="preserve"> </w:t>
      </w:r>
      <w:r>
        <w:rPr>
          <w:sz w:val="18"/>
        </w:rPr>
        <w:t>Drug</w:t>
      </w:r>
      <w:r>
        <w:rPr>
          <w:spacing w:val="-3"/>
          <w:sz w:val="18"/>
        </w:rPr>
        <w:t xml:space="preserve"> </w:t>
      </w:r>
      <w:r>
        <w:rPr>
          <w:sz w:val="18"/>
        </w:rPr>
        <w:t>Abuse</w:t>
      </w:r>
      <w:r>
        <w:rPr>
          <w:spacing w:val="-3"/>
          <w:sz w:val="18"/>
        </w:rPr>
        <w:t xml:space="preserve"> </w:t>
      </w:r>
      <w:r>
        <w:rPr>
          <w:sz w:val="18"/>
        </w:rPr>
        <w:t>among</w:t>
      </w:r>
      <w:r>
        <w:rPr>
          <w:spacing w:val="-3"/>
          <w:sz w:val="18"/>
        </w:rPr>
        <w:t xml:space="preserve"> </w:t>
      </w:r>
      <w:r>
        <w:rPr>
          <w:sz w:val="18"/>
        </w:rPr>
        <w:t>Young</w:t>
      </w:r>
      <w:r>
        <w:rPr>
          <w:spacing w:val="-3"/>
          <w:sz w:val="18"/>
        </w:rPr>
        <w:t xml:space="preserve"> </w:t>
      </w:r>
      <w:r>
        <w:rPr>
          <w:sz w:val="18"/>
        </w:rPr>
        <w:t>Men</w:t>
      </w:r>
      <w:r>
        <w:rPr>
          <w:spacing w:val="-3"/>
          <w:sz w:val="18"/>
        </w:rPr>
        <w:t xml:space="preserve"> </w:t>
      </w:r>
      <w:r>
        <w:rPr>
          <w:sz w:val="18"/>
        </w:rPr>
        <w:t>Who</w:t>
      </w:r>
      <w:r>
        <w:rPr>
          <w:spacing w:val="-1"/>
          <w:sz w:val="18"/>
        </w:rPr>
        <w:t xml:space="preserve"> </w:t>
      </w:r>
      <w:r>
        <w:rPr>
          <w:sz w:val="18"/>
        </w:rPr>
        <w:t>Have</w:t>
      </w:r>
      <w:r>
        <w:rPr>
          <w:spacing w:val="-3"/>
          <w:sz w:val="18"/>
        </w:rPr>
        <w:t xml:space="preserve"> </w:t>
      </w:r>
      <w:r>
        <w:rPr>
          <w:sz w:val="18"/>
        </w:rPr>
        <w:t>Sex</w:t>
      </w:r>
      <w:r>
        <w:rPr>
          <w:spacing w:val="-3"/>
          <w:sz w:val="18"/>
        </w:rPr>
        <w:t xml:space="preserve"> </w:t>
      </w:r>
      <w:r>
        <w:rPr>
          <w:sz w:val="18"/>
        </w:rPr>
        <w:t>with</w:t>
      </w:r>
      <w:r>
        <w:rPr>
          <w:spacing w:val="-3"/>
          <w:sz w:val="18"/>
        </w:rPr>
        <w:t xml:space="preserve"> </w:t>
      </w:r>
      <w:r>
        <w:rPr>
          <w:sz w:val="18"/>
        </w:rPr>
        <w:t>Men</w:t>
      </w:r>
      <w:r>
        <w:rPr>
          <w:spacing w:val="-3"/>
          <w:sz w:val="18"/>
        </w:rPr>
        <w:t xml:space="preserve"> </w:t>
      </w:r>
      <w:r>
        <w:rPr>
          <w:sz w:val="18"/>
        </w:rPr>
        <w:t>in</w:t>
      </w:r>
      <w:r>
        <w:rPr>
          <w:spacing w:val="-3"/>
          <w:sz w:val="18"/>
        </w:rPr>
        <w:t xml:space="preserve"> </w:t>
      </w:r>
      <w:r>
        <w:rPr>
          <w:sz w:val="18"/>
        </w:rPr>
        <w:t>New</w:t>
      </w:r>
      <w:r>
        <w:rPr>
          <w:spacing w:val="-1"/>
          <w:sz w:val="18"/>
        </w:rPr>
        <w:t xml:space="preserve"> </w:t>
      </w:r>
      <w:r>
        <w:rPr>
          <w:sz w:val="18"/>
        </w:rPr>
        <w:t>York</w:t>
      </w:r>
      <w:r>
        <w:rPr>
          <w:spacing w:val="-3"/>
          <w:sz w:val="18"/>
        </w:rPr>
        <w:t xml:space="preserve"> </w:t>
      </w:r>
      <w:r>
        <w:rPr>
          <w:sz w:val="18"/>
        </w:rPr>
        <w:t>City:</w:t>
      </w:r>
      <w:r>
        <w:rPr>
          <w:spacing w:val="-2"/>
          <w:sz w:val="18"/>
        </w:rPr>
        <w:t xml:space="preserve"> </w:t>
      </w:r>
      <w:r>
        <w:rPr>
          <w:sz w:val="18"/>
        </w:rPr>
        <w:t xml:space="preserve">A Preliminary Epidemiological Trajectory,” </w:t>
      </w:r>
      <w:r>
        <w:rPr>
          <w:i/>
          <w:sz w:val="18"/>
        </w:rPr>
        <w:t xml:space="preserve">Journal of Adolescence </w:t>
      </w:r>
      <w:r>
        <w:rPr>
          <w:sz w:val="18"/>
        </w:rPr>
        <w:t xml:space="preserve">28, no. 2 (April 2005): 201–14, </w:t>
      </w:r>
      <w:r>
        <w:rPr>
          <w:spacing w:val="-2"/>
          <w:sz w:val="18"/>
        </w:rPr>
        <w:t>https://doi.org/10.1016/j.adolescence.2005.02.003.</w:t>
      </w:r>
    </w:p>
    <w:p w:rsidR="00200FDA" w:rsidRDefault="00F76C4C">
      <w:pPr>
        <w:ind w:left="140" w:hanging="1"/>
        <w:rPr>
          <w:sz w:val="18"/>
        </w:rPr>
      </w:pPr>
      <w:bookmarkStart w:id="810" w:name="_bookmark641"/>
      <w:bookmarkEnd w:id="810"/>
      <w:r>
        <w:rPr>
          <w:position w:val="5"/>
          <w:sz w:val="12"/>
        </w:rPr>
        <w:t>61</w:t>
      </w:r>
      <w:r>
        <w:rPr>
          <w:spacing w:val="10"/>
          <w:position w:val="5"/>
          <w:sz w:val="12"/>
        </w:rPr>
        <w:t xml:space="preserve"> </w:t>
      </w:r>
      <w:r>
        <w:rPr>
          <w:sz w:val="18"/>
        </w:rPr>
        <w:t>Alex</w:t>
      </w:r>
      <w:r>
        <w:rPr>
          <w:spacing w:val="-2"/>
          <w:sz w:val="18"/>
        </w:rPr>
        <w:t xml:space="preserve"> </w:t>
      </w:r>
      <w:r>
        <w:rPr>
          <w:sz w:val="18"/>
        </w:rPr>
        <w:t>Abramovich,</w:t>
      </w:r>
      <w:r>
        <w:rPr>
          <w:spacing w:val="-3"/>
          <w:sz w:val="18"/>
        </w:rPr>
        <w:t xml:space="preserve"> </w:t>
      </w:r>
      <w:r>
        <w:rPr>
          <w:sz w:val="18"/>
        </w:rPr>
        <w:t>“Understanding</w:t>
      </w:r>
      <w:r>
        <w:rPr>
          <w:spacing w:val="-4"/>
          <w:sz w:val="18"/>
        </w:rPr>
        <w:t xml:space="preserve"> </w:t>
      </w:r>
      <w:r>
        <w:rPr>
          <w:sz w:val="18"/>
        </w:rPr>
        <w:t>How</w:t>
      </w:r>
      <w:r>
        <w:rPr>
          <w:spacing w:val="-2"/>
          <w:sz w:val="18"/>
        </w:rPr>
        <w:t xml:space="preserve"> </w:t>
      </w:r>
      <w:r>
        <w:rPr>
          <w:sz w:val="18"/>
        </w:rPr>
        <w:t>Policy</w:t>
      </w:r>
      <w:r>
        <w:rPr>
          <w:spacing w:val="-3"/>
          <w:sz w:val="18"/>
        </w:rPr>
        <w:t xml:space="preserve"> </w:t>
      </w:r>
      <w:r>
        <w:rPr>
          <w:sz w:val="18"/>
        </w:rPr>
        <w:t>and</w:t>
      </w:r>
      <w:r>
        <w:rPr>
          <w:spacing w:val="-4"/>
          <w:sz w:val="18"/>
        </w:rPr>
        <w:t xml:space="preserve"> </w:t>
      </w:r>
      <w:r>
        <w:rPr>
          <w:sz w:val="18"/>
        </w:rPr>
        <w:t>Culture</w:t>
      </w:r>
      <w:r>
        <w:rPr>
          <w:spacing w:val="-4"/>
          <w:sz w:val="18"/>
        </w:rPr>
        <w:t xml:space="preserve"> </w:t>
      </w:r>
      <w:r>
        <w:rPr>
          <w:sz w:val="18"/>
        </w:rPr>
        <w:t>Create</w:t>
      </w:r>
      <w:r>
        <w:rPr>
          <w:spacing w:val="-2"/>
          <w:sz w:val="18"/>
        </w:rPr>
        <w:t xml:space="preserve"> </w:t>
      </w:r>
      <w:r>
        <w:rPr>
          <w:sz w:val="18"/>
        </w:rPr>
        <w:t>Oppressive</w:t>
      </w:r>
      <w:r>
        <w:rPr>
          <w:spacing w:val="-4"/>
          <w:sz w:val="18"/>
        </w:rPr>
        <w:t xml:space="preserve"> </w:t>
      </w:r>
      <w:r>
        <w:rPr>
          <w:sz w:val="18"/>
        </w:rPr>
        <w:t>Conditions</w:t>
      </w:r>
      <w:r>
        <w:rPr>
          <w:spacing w:val="-4"/>
          <w:sz w:val="18"/>
        </w:rPr>
        <w:t xml:space="preserve"> </w:t>
      </w:r>
      <w:r>
        <w:rPr>
          <w:sz w:val="18"/>
        </w:rPr>
        <w:t>for</w:t>
      </w:r>
      <w:r>
        <w:rPr>
          <w:spacing w:val="-4"/>
          <w:sz w:val="18"/>
        </w:rPr>
        <w:t xml:space="preserve"> </w:t>
      </w:r>
      <w:r>
        <w:rPr>
          <w:sz w:val="18"/>
        </w:rPr>
        <w:t>LGBTQ2S</w:t>
      </w:r>
      <w:r>
        <w:rPr>
          <w:spacing w:val="-4"/>
          <w:sz w:val="18"/>
        </w:rPr>
        <w:t xml:space="preserve"> </w:t>
      </w:r>
      <w:r>
        <w:rPr>
          <w:sz w:val="18"/>
        </w:rPr>
        <w:t>Youth</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 xml:space="preserve">Shelter System,” </w:t>
      </w:r>
      <w:r>
        <w:rPr>
          <w:i/>
          <w:sz w:val="18"/>
        </w:rPr>
        <w:t xml:space="preserve">Journal of Homosexuality </w:t>
      </w:r>
      <w:r>
        <w:rPr>
          <w:sz w:val="18"/>
        </w:rPr>
        <w:t>64, no. 11 (2017): 1484–1501, https://doi.org/10.1080/00918369.2016.1244449.</w:t>
      </w:r>
    </w:p>
    <w:p w:rsidR="00200FDA" w:rsidRDefault="00200FDA">
      <w:pPr>
        <w:rPr>
          <w:sz w:val="18"/>
        </w:rPr>
        <w:sectPr w:rsidR="00200FDA">
          <w:pgSz w:w="12240" w:h="15840"/>
          <w:pgMar w:top="1360" w:right="1300" w:bottom="1240" w:left="1300" w:header="758" w:footer="1043" w:gutter="0"/>
          <w:cols w:space="720"/>
        </w:sectPr>
      </w:pPr>
    </w:p>
    <w:p w:rsidR="00200FDA" w:rsidRDefault="00200FDA">
      <w:pPr>
        <w:pStyle w:val="BodyText"/>
        <w:spacing w:before="10"/>
        <w:rPr>
          <w:sz w:val="19"/>
        </w:rPr>
      </w:pPr>
    </w:p>
    <w:p w:rsidR="00200FDA" w:rsidRDefault="00F76C4C">
      <w:pPr>
        <w:spacing w:before="69"/>
        <w:ind w:left="140"/>
        <w:rPr>
          <w:sz w:val="18"/>
        </w:rPr>
      </w:pPr>
      <w:bookmarkStart w:id="811" w:name="_bookmark642"/>
      <w:bookmarkEnd w:id="811"/>
      <w:r>
        <w:rPr>
          <w:position w:val="5"/>
          <w:sz w:val="12"/>
        </w:rPr>
        <w:t>62</w:t>
      </w:r>
      <w:r>
        <w:rPr>
          <w:spacing w:val="11"/>
          <w:position w:val="5"/>
          <w:sz w:val="12"/>
        </w:rPr>
        <w:t xml:space="preserve"> </w:t>
      </w:r>
      <w:r>
        <w:rPr>
          <w:sz w:val="18"/>
        </w:rPr>
        <w:t>Choi</w:t>
      </w:r>
      <w:r>
        <w:rPr>
          <w:spacing w:val="-2"/>
          <w:sz w:val="18"/>
        </w:rPr>
        <w:t xml:space="preserve"> </w:t>
      </w:r>
      <w:r>
        <w:rPr>
          <w:sz w:val="18"/>
        </w:rPr>
        <w:t>et</w:t>
      </w:r>
      <w:r>
        <w:rPr>
          <w:spacing w:val="-2"/>
          <w:sz w:val="18"/>
        </w:rPr>
        <w:t xml:space="preserve"> </w:t>
      </w:r>
      <w:r>
        <w:rPr>
          <w:sz w:val="18"/>
        </w:rPr>
        <w:t>al.,</w:t>
      </w:r>
      <w:r>
        <w:rPr>
          <w:spacing w:val="-1"/>
          <w:sz w:val="18"/>
        </w:rPr>
        <w:t xml:space="preserve"> </w:t>
      </w:r>
      <w:r>
        <w:rPr>
          <w:sz w:val="18"/>
        </w:rPr>
        <w:t>“Serving</w:t>
      </w:r>
      <w:r>
        <w:rPr>
          <w:spacing w:val="-2"/>
          <w:sz w:val="18"/>
        </w:rPr>
        <w:t xml:space="preserve"> </w:t>
      </w:r>
      <w:r>
        <w:rPr>
          <w:sz w:val="18"/>
        </w:rPr>
        <w:t>Our</w:t>
      </w:r>
      <w:r>
        <w:rPr>
          <w:spacing w:val="-2"/>
          <w:sz w:val="18"/>
        </w:rPr>
        <w:t xml:space="preserve"> </w:t>
      </w:r>
      <w:r>
        <w:rPr>
          <w:sz w:val="18"/>
        </w:rPr>
        <w:t>Youth</w:t>
      </w:r>
      <w:r>
        <w:rPr>
          <w:spacing w:val="-2"/>
          <w:sz w:val="18"/>
        </w:rPr>
        <w:t xml:space="preserve"> 2015.”</w:t>
      </w:r>
    </w:p>
    <w:p w:rsidR="00200FDA" w:rsidRDefault="00F76C4C">
      <w:pPr>
        <w:spacing w:before="1" w:line="219" w:lineRule="exact"/>
        <w:ind w:left="140"/>
        <w:rPr>
          <w:sz w:val="18"/>
        </w:rPr>
      </w:pPr>
      <w:bookmarkStart w:id="812" w:name="_bookmark643"/>
      <w:bookmarkEnd w:id="812"/>
      <w:r>
        <w:rPr>
          <w:position w:val="5"/>
          <w:sz w:val="12"/>
        </w:rPr>
        <w:t>63</w:t>
      </w:r>
      <w:r>
        <w:rPr>
          <w:spacing w:val="8"/>
          <w:position w:val="5"/>
          <w:sz w:val="12"/>
        </w:rPr>
        <w:t xml:space="preserve"> </w:t>
      </w:r>
      <w:r>
        <w:rPr>
          <w:sz w:val="18"/>
        </w:rPr>
        <w:t>Elaine</w:t>
      </w:r>
      <w:r>
        <w:rPr>
          <w:spacing w:val="-3"/>
          <w:sz w:val="18"/>
        </w:rPr>
        <w:t xml:space="preserve"> </w:t>
      </w:r>
      <w:r>
        <w:rPr>
          <w:sz w:val="18"/>
        </w:rPr>
        <w:t>M.</w:t>
      </w:r>
      <w:r>
        <w:rPr>
          <w:spacing w:val="-2"/>
          <w:sz w:val="18"/>
        </w:rPr>
        <w:t xml:space="preserve"> </w:t>
      </w:r>
      <w:r>
        <w:rPr>
          <w:sz w:val="18"/>
        </w:rPr>
        <w:t>Maccio</w:t>
      </w:r>
      <w:r>
        <w:rPr>
          <w:spacing w:val="-1"/>
          <w:sz w:val="18"/>
        </w:rPr>
        <w:t xml:space="preserve"> </w:t>
      </w:r>
      <w:r>
        <w:rPr>
          <w:sz w:val="18"/>
        </w:rPr>
        <w:t>and</w:t>
      </w:r>
      <w:r>
        <w:rPr>
          <w:spacing w:val="-2"/>
          <w:sz w:val="18"/>
        </w:rPr>
        <w:t xml:space="preserve"> </w:t>
      </w:r>
      <w:r>
        <w:rPr>
          <w:sz w:val="18"/>
        </w:rPr>
        <w:t>Kristin</w:t>
      </w:r>
      <w:r>
        <w:rPr>
          <w:spacing w:val="-3"/>
          <w:sz w:val="18"/>
        </w:rPr>
        <w:t xml:space="preserve"> </w:t>
      </w:r>
      <w:r>
        <w:rPr>
          <w:sz w:val="18"/>
        </w:rPr>
        <w:t>M. Ferguson,</w:t>
      </w:r>
      <w:r>
        <w:rPr>
          <w:spacing w:val="-2"/>
          <w:sz w:val="18"/>
        </w:rPr>
        <w:t xml:space="preserve"> </w:t>
      </w:r>
      <w:r>
        <w:rPr>
          <w:sz w:val="18"/>
        </w:rPr>
        <w:t>“Services</w:t>
      </w:r>
      <w:r>
        <w:rPr>
          <w:spacing w:val="-2"/>
          <w:sz w:val="18"/>
        </w:rPr>
        <w:t xml:space="preserve"> </w:t>
      </w:r>
      <w:r>
        <w:rPr>
          <w:sz w:val="18"/>
        </w:rPr>
        <w:t>to</w:t>
      </w:r>
      <w:r>
        <w:rPr>
          <w:spacing w:val="-1"/>
          <w:sz w:val="18"/>
        </w:rPr>
        <w:t xml:space="preserve"> </w:t>
      </w:r>
      <w:r>
        <w:rPr>
          <w:sz w:val="18"/>
        </w:rPr>
        <w:t>LGBTQ</w:t>
      </w:r>
      <w:r>
        <w:rPr>
          <w:spacing w:val="-3"/>
          <w:sz w:val="18"/>
        </w:rPr>
        <w:t xml:space="preserve"> </w:t>
      </w:r>
      <w:r>
        <w:rPr>
          <w:sz w:val="18"/>
        </w:rPr>
        <w:t>Runaway</w:t>
      </w:r>
      <w:r>
        <w:rPr>
          <w:spacing w:val="-2"/>
          <w:sz w:val="18"/>
        </w:rPr>
        <w:t xml:space="preserve"> </w:t>
      </w:r>
      <w:r>
        <w:rPr>
          <w:sz w:val="18"/>
        </w:rPr>
        <w:t>and</w:t>
      </w:r>
      <w:r>
        <w:rPr>
          <w:spacing w:val="-2"/>
          <w:sz w:val="18"/>
        </w:rPr>
        <w:t xml:space="preserve"> </w:t>
      </w:r>
      <w:r>
        <w:rPr>
          <w:sz w:val="18"/>
        </w:rPr>
        <w:t>Homeless</w:t>
      </w:r>
      <w:r>
        <w:rPr>
          <w:spacing w:val="-3"/>
          <w:sz w:val="18"/>
        </w:rPr>
        <w:t xml:space="preserve"> </w:t>
      </w:r>
      <w:r>
        <w:rPr>
          <w:sz w:val="18"/>
        </w:rPr>
        <w:t>Youth: Gaps</w:t>
      </w:r>
      <w:r>
        <w:rPr>
          <w:spacing w:val="-3"/>
          <w:sz w:val="18"/>
        </w:rPr>
        <w:t xml:space="preserve"> </w:t>
      </w:r>
      <w:r>
        <w:rPr>
          <w:sz w:val="18"/>
        </w:rPr>
        <w:t>and</w:t>
      </w:r>
      <w:r>
        <w:rPr>
          <w:spacing w:val="-2"/>
          <w:sz w:val="18"/>
        </w:rPr>
        <w:t xml:space="preserve"> Recommendations,”</w:t>
      </w:r>
    </w:p>
    <w:p w:rsidR="00200FDA" w:rsidRDefault="00F76C4C">
      <w:pPr>
        <w:spacing w:line="219" w:lineRule="exact"/>
        <w:ind w:left="140"/>
        <w:rPr>
          <w:sz w:val="18"/>
        </w:rPr>
      </w:pPr>
      <w:r>
        <w:rPr>
          <w:i/>
          <w:sz w:val="18"/>
        </w:rPr>
        <w:t>Children</w:t>
      </w:r>
      <w:r>
        <w:rPr>
          <w:i/>
          <w:spacing w:val="-6"/>
          <w:sz w:val="18"/>
        </w:rPr>
        <w:t xml:space="preserve"> </w:t>
      </w:r>
      <w:r>
        <w:rPr>
          <w:i/>
          <w:sz w:val="18"/>
        </w:rPr>
        <w:t>and</w:t>
      </w:r>
      <w:r>
        <w:rPr>
          <w:i/>
          <w:spacing w:val="-1"/>
          <w:sz w:val="18"/>
        </w:rPr>
        <w:t xml:space="preserve"> </w:t>
      </w:r>
      <w:r>
        <w:rPr>
          <w:i/>
          <w:sz w:val="18"/>
        </w:rPr>
        <w:t>Youth</w:t>
      </w:r>
      <w:r>
        <w:rPr>
          <w:i/>
          <w:spacing w:val="-1"/>
          <w:sz w:val="18"/>
        </w:rPr>
        <w:t xml:space="preserve"> </w:t>
      </w:r>
      <w:r>
        <w:rPr>
          <w:i/>
          <w:sz w:val="18"/>
        </w:rPr>
        <w:t>Services</w:t>
      </w:r>
      <w:r>
        <w:rPr>
          <w:i/>
          <w:spacing w:val="-3"/>
          <w:sz w:val="18"/>
        </w:rPr>
        <w:t xml:space="preserve"> </w:t>
      </w:r>
      <w:r>
        <w:rPr>
          <w:i/>
          <w:sz w:val="18"/>
        </w:rPr>
        <w:t>Review</w:t>
      </w:r>
      <w:r>
        <w:rPr>
          <w:i/>
          <w:spacing w:val="-2"/>
          <w:sz w:val="18"/>
        </w:rPr>
        <w:t xml:space="preserve"> </w:t>
      </w:r>
      <w:r>
        <w:rPr>
          <w:sz w:val="18"/>
        </w:rPr>
        <w:t>63</w:t>
      </w:r>
      <w:r>
        <w:rPr>
          <w:spacing w:val="-2"/>
          <w:sz w:val="18"/>
        </w:rPr>
        <w:t xml:space="preserve"> </w:t>
      </w:r>
      <w:r>
        <w:rPr>
          <w:sz w:val="18"/>
        </w:rPr>
        <w:t>(April</w:t>
      </w:r>
      <w:r>
        <w:rPr>
          <w:spacing w:val="-3"/>
          <w:sz w:val="18"/>
        </w:rPr>
        <w:t xml:space="preserve"> </w:t>
      </w:r>
      <w:r>
        <w:rPr>
          <w:sz w:val="18"/>
        </w:rPr>
        <w:t>1,</w:t>
      </w:r>
      <w:r>
        <w:rPr>
          <w:spacing w:val="-2"/>
          <w:sz w:val="18"/>
        </w:rPr>
        <w:t xml:space="preserve"> </w:t>
      </w:r>
      <w:r>
        <w:rPr>
          <w:sz w:val="18"/>
        </w:rPr>
        <w:t>2016):</w:t>
      </w:r>
      <w:r>
        <w:rPr>
          <w:spacing w:val="-2"/>
          <w:sz w:val="18"/>
        </w:rPr>
        <w:t xml:space="preserve"> </w:t>
      </w:r>
      <w:r>
        <w:rPr>
          <w:sz w:val="18"/>
        </w:rPr>
        <w:t>47–57,</w:t>
      </w:r>
      <w:r>
        <w:rPr>
          <w:spacing w:val="-1"/>
          <w:sz w:val="18"/>
        </w:rPr>
        <w:t xml:space="preserve"> </w:t>
      </w:r>
      <w:r>
        <w:rPr>
          <w:spacing w:val="-2"/>
          <w:sz w:val="18"/>
        </w:rPr>
        <w:t>https://doi.org/10.1016/j.childyouth.2016.02.008.</w:t>
      </w:r>
    </w:p>
    <w:p w:rsidR="00200FDA" w:rsidRDefault="00F76C4C">
      <w:pPr>
        <w:spacing w:before="1"/>
        <w:ind w:left="140" w:right="139" w:hanging="1"/>
        <w:rPr>
          <w:sz w:val="18"/>
        </w:rPr>
      </w:pPr>
      <w:bookmarkStart w:id="813" w:name="_bookmark644"/>
      <w:bookmarkEnd w:id="813"/>
      <w:r>
        <w:rPr>
          <w:position w:val="5"/>
          <w:sz w:val="12"/>
        </w:rPr>
        <w:t>64</w:t>
      </w:r>
      <w:r>
        <w:rPr>
          <w:spacing w:val="10"/>
          <w:position w:val="5"/>
          <w:sz w:val="12"/>
        </w:rPr>
        <w:t xml:space="preserve"> </w:t>
      </w:r>
      <w:r>
        <w:rPr>
          <w:sz w:val="18"/>
        </w:rPr>
        <w:t>Mitchell</w:t>
      </w:r>
      <w:r>
        <w:rPr>
          <w:spacing w:val="-3"/>
          <w:sz w:val="18"/>
        </w:rPr>
        <w:t xml:space="preserve"> </w:t>
      </w:r>
      <w:r>
        <w:rPr>
          <w:sz w:val="18"/>
        </w:rPr>
        <w:t>Dylan</w:t>
      </w:r>
      <w:r>
        <w:rPr>
          <w:spacing w:val="-3"/>
          <w:sz w:val="18"/>
        </w:rPr>
        <w:t xml:space="preserve"> </w:t>
      </w:r>
      <w:r>
        <w:rPr>
          <w:sz w:val="18"/>
        </w:rPr>
        <w:t>Sellers,</w:t>
      </w:r>
      <w:r>
        <w:rPr>
          <w:spacing w:val="-2"/>
          <w:sz w:val="18"/>
        </w:rPr>
        <w:t xml:space="preserve"> </w:t>
      </w:r>
      <w:r>
        <w:rPr>
          <w:sz w:val="18"/>
        </w:rPr>
        <w:t>“Absent</w:t>
      </w:r>
      <w:r>
        <w:rPr>
          <w:spacing w:val="-3"/>
          <w:sz w:val="18"/>
        </w:rPr>
        <w:t xml:space="preserve"> </w:t>
      </w:r>
      <w:r>
        <w:rPr>
          <w:sz w:val="18"/>
        </w:rPr>
        <w:t>Inclusion</w:t>
      </w:r>
      <w:r>
        <w:rPr>
          <w:spacing w:val="-3"/>
          <w:sz w:val="18"/>
        </w:rPr>
        <w:t xml:space="preserve"> </w:t>
      </w:r>
      <w:r>
        <w:rPr>
          <w:sz w:val="18"/>
        </w:rPr>
        <w:t>Polices:</w:t>
      </w:r>
      <w:r>
        <w:rPr>
          <w:spacing w:val="-3"/>
          <w:sz w:val="18"/>
        </w:rPr>
        <w:t xml:space="preserve"> </w:t>
      </w:r>
      <w:r>
        <w:rPr>
          <w:sz w:val="18"/>
        </w:rPr>
        <w:t>Problems</w:t>
      </w:r>
      <w:r>
        <w:rPr>
          <w:spacing w:val="-3"/>
          <w:sz w:val="18"/>
        </w:rPr>
        <w:t xml:space="preserve"> </w:t>
      </w:r>
      <w:r>
        <w:rPr>
          <w:sz w:val="18"/>
        </w:rPr>
        <w:t>Facing</w:t>
      </w:r>
      <w:r>
        <w:rPr>
          <w:spacing w:val="-1"/>
          <w:sz w:val="18"/>
        </w:rPr>
        <w:t xml:space="preserve"> </w:t>
      </w:r>
      <w:r>
        <w:rPr>
          <w:sz w:val="18"/>
        </w:rPr>
        <w:t>Homeless</w:t>
      </w:r>
      <w:r>
        <w:rPr>
          <w:spacing w:val="-3"/>
          <w:sz w:val="18"/>
        </w:rPr>
        <w:t xml:space="preserve"> </w:t>
      </w:r>
      <w:r>
        <w:rPr>
          <w:sz w:val="18"/>
        </w:rPr>
        <w:t>Transgender</w:t>
      </w:r>
      <w:r>
        <w:rPr>
          <w:spacing w:val="-3"/>
          <w:sz w:val="18"/>
        </w:rPr>
        <w:t xml:space="preserve"> </w:t>
      </w:r>
      <w:r>
        <w:rPr>
          <w:sz w:val="18"/>
        </w:rPr>
        <w:t>Youth:</w:t>
      </w:r>
      <w:r>
        <w:rPr>
          <w:spacing w:val="-2"/>
          <w:sz w:val="18"/>
        </w:rPr>
        <w:t xml:space="preserve"> </w:t>
      </w:r>
      <w:r>
        <w:rPr>
          <w:sz w:val="18"/>
        </w:rPr>
        <w:t>Public</w:t>
      </w:r>
      <w:r>
        <w:rPr>
          <w:spacing w:val="-2"/>
          <w:sz w:val="18"/>
        </w:rPr>
        <w:t xml:space="preserve"> </w:t>
      </w:r>
      <w:r>
        <w:rPr>
          <w:sz w:val="18"/>
        </w:rPr>
        <w:t>Integrity,”</w:t>
      </w:r>
      <w:r>
        <w:rPr>
          <w:spacing w:val="-3"/>
          <w:sz w:val="18"/>
        </w:rPr>
        <w:t xml:space="preserve"> </w:t>
      </w:r>
      <w:r>
        <w:rPr>
          <w:sz w:val="18"/>
        </w:rPr>
        <w:t xml:space="preserve">20(6) accessed February 2, 2023, 625-639 </w:t>
      </w:r>
      <w:bookmarkStart w:id="814" w:name="_bookmark645"/>
      <w:bookmarkEnd w:id="814"/>
      <w:r>
        <w:rPr>
          <w:spacing w:val="-2"/>
          <w:sz w:val="18"/>
        </w:rPr>
        <w:t>https://</w:t>
      </w:r>
      <w:hyperlink r:id="rId603">
        <w:r>
          <w:rPr>
            <w:spacing w:val="-2"/>
            <w:sz w:val="18"/>
          </w:rPr>
          <w:t>www.tandfonline.com/doi/abs/10.1080/10999922.2018.1446629?journalCode=mpin20.</w:t>
        </w:r>
      </w:hyperlink>
    </w:p>
    <w:p w:rsidR="00200FDA" w:rsidRDefault="00F76C4C">
      <w:pPr>
        <w:spacing w:line="218" w:lineRule="exact"/>
        <w:ind w:left="140"/>
        <w:rPr>
          <w:sz w:val="18"/>
        </w:rPr>
      </w:pPr>
      <w:r>
        <w:rPr>
          <w:position w:val="5"/>
          <w:sz w:val="12"/>
        </w:rPr>
        <w:t>65</w:t>
      </w:r>
      <w:r>
        <w:rPr>
          <w:spacing w:val="10"/>
          <w:position w:val="5"/>
          <w:sz w:val="12"/>
        </w:rPr>
        <w:t xml:space="preserve"> </w:t>
      </w:r>
      <w:bookmarkStart w:id="815" w:name="_bookmark646"/>
      <w:bookmarkEnd w:id="815"/>
      <w:r>
        <w:rPr>
          <w:sz w:val="18"/>
        </w:rPr>
        <w:t>Fraser</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“LGBTIQ+</w:t>
      </w:r>
      <w:r>
        <w:rPr>
          <w:spacing w:val="-2"/>
          <w:sz w:val="18"/>
        </w:rPr>
        <w:t xml:space="preserve"> Homelessness.”</w:t>
      </w:r>
    </w:p>
    <w:p w:rsidR="00200FDA" w:rsidRDefault="00F76C4C">
      <w:pPr>
        <w:spacing w:before="1"/>
        <w:ind w:left="140" w:hanging="1"/>
        <w:rPr>
          <w:sz w:val="18"/>
        </w:rPr>
      </w:pPr>
      <w:r>
        <w:rPr>
          <w:position w:val="5"/>
          <w:sz w:val="12"/>
        </w:rPr>
        <w:t>66</w:t>
      </w:r>
      <w:r>
        <w:rPr>
          <w:spacing w:val="10"/>
          <w:position w:val="5"/>
          <w:sz w:val="12"/>
        </w:rPr>
        <w:t xml:space="preserve"> </w:t>
      </w:r>
      <w:r>
        <w:rPr>
          <w:sz w:val="18"/>
        </w:rPr>
        <w:t>Deborah</w:t>
      </w:r>
      <w:r>
        <w:rPr>
          <w:spacing w:val="-3"/>
          <w:sz w:val="18"/>
        </w:rPr>
        <w:t xml:space="preserve"> </w:t>
      </w:r>
      <w:r>
        <w:rPr>
          <w:sz w:val="18"/>
        </w:rPr>
        <w:t>Coolhart</w:t>
      </w:r>
      <w:r>
        <w:rPr>
          <w:spacing w:val="-3"/>
          <w:sz w:val="18"/>
        </w:rPr>
        <w:t xml:space="preserve"> </w:t>
      </w:r>
      <w:r>
        <w:rPr>
          <w:sz w:val="18"/>
        </w:rPr>
        <w:t>and</w:t>
      </w:r>
      <w:r>
        <w:rPr>
          <w:spacing w:val="-1"/>
          <w:sz w:val="18"/>
        </w:rPr>
        <w:t xml:space="preserve"> </w:t>
      </w:r>
      <w:r>
        <w:rPr>
          <w:sz w:val="18"/>
        </w:rPr>
        <w:t>Maria</w:t>
      </w:r>
      <w:r>
        <w:rPr>
          <w:spacing w:val="-2"/>
          <w:sz w:val="18"/>
        </w:rPr>
        <w:t xml:space="preserve"> </w:t>
      </w:r>
      <w:r>
        <w:rPr>
          <w:sz w:val="18"/>
        </w:rPr>
        <w:t>T.</w:t>
      </w:r>
      <w:r>
        <w:rPr>
          <w:spacing w:val="-2"/>
          <w:sz w:val="18"/>
        </w:rPr>
        <w:t xml:space="preserve"> </w:t>
      </w:r>
      <w:r>
        <w:rPr>
          <w:sz w:val="18"/>
        </w:rPr>
        <w:t>Brown,</w:t>
      </w:r>
      <w:r>
        <w:rPr>
          <w:spacing w:val="-2"/>
          <w:sz w:val="18"/>
        </w:rPr>
        <w:t xml:space="preserve"> </w:t>
      </w:r>
      <w:r>
        <w:rPr>
          <w:sz w:val="18"/>
        </w:rPr>
        <w:t>“The</w:t>
      </w:r>
      <w:r>
        <w:rPr>
          <w:spacing w:val="-3"/>
          <w:sz w:val="18"/>
        </w:rPr>
        <w:t xml:space="preserve"> </w:t>
      </w:r>
      <w:r>
        <w:rPr>
          <w:sz w:val="18"/>
        </w:rPr>
        <w:t>Need</w:t>
      </w:r>
      <w:r>
        <w:rPr>
          <w:spacing w:val="-3"/>
          <w:sz w:val="18"/>
        </w:rPr>
        <w:t xml:space="preserve"> </w:t>
      </w:r>
      <w:r>
        <w:rPr>
          <w:sz w:val="18"/>
        </w:rPr>
        <w:t>for</w:t>
      </w:r>
      <w:r>
        <w:rPr>
          <w:spacing w:val="-3"/>
          <w:sz w:val="18"/>
        </w:rPr>
        <w:t xml:space="preserve"> </w:t>
      </w:r>
      <w:r>
        <w:rPr>
          <w:sz w:val="18"/>
        </w:rPr>
        <w:t>Safe</w:t>
      </w:r>
      <w:r>
        <w:rPr>
          <w:spacing w:val="-3"/>
          <w:sz w:val="18"/>
        </w:rPr>
        <w:t xml:space="preserve"> </w:t>
      </w:r>
      <w:r>
        <w:rPr>
          <w:sz w:val="18"/>
        </w:rPr>
        <w:t>Spaces: Exploring</w:t>
      </w:r>
      <w:r>
        <w:rPr>
          <w:spacing w:val="-3"/>
          <w:sz w:val="18"/>
        </w:rPr>
        <w:t xml:space="preserve"> </w:t>
      </w:r>
      <w:r>
        <w:rPr>
          <w:sz w:val="18"/>
        </w:rPr>
        <w:t>the</w:t>
      </w:r>
      <w:r>
        <w:rPr>
          <w:spacing w:val="-3"/>
          <w:sz w:val="18"/>
        </w:rPr>
        <w:t xml:space="preserve"> </w:t>
      </w:r>
      <w:r>
        <w:rPr>
          <w:sz w:val="18"/>
        </w:rPr>
        <w:t>Experiences</w:t>
      </w:r>
      <w:r>
        <w:rPr>
          <w:spacing w:val="-3"/>
          <w:sz w:val="18"/>
        </w:rPr>
        <w:t xml:space="preserve"> </w:t>
      </w:r>
      <w:r>
        <w:rPr>
          <w:sz w:val="18"/>
        </w:rPr>
        <w:t>of</w:t>
      </w:r>
      <w:r>
        <w:rPr>
          <w:spacing w:val="-2"/>
          <w:sz w:val="18"/>
        </w:rPr>
        <w:t xml:space="preserve"> </w:t>
      </w:r>
      <w:r>
        <w:rPr>
          <w:sz w:val="18"/>
        </w:rPr>
        <w:t>Homeless</w:t>
      </w:r>
      <w:r>
        <w:rPr>
          <w:spacing w:val="-3"/>
          <w:sz w:val="18"/>
        </w:rPr>
        <w:t xml:space="preserve"> </w:t>
      </w:r>
      <w:r>
        <w:rPr>
          <w:sz w:val="18"/>
        </w:rPr>
        <w:t>LGBTQ</w:t>
      </w:r>
      <w:r>
        <w:rPr>
          <w:spacing w:val="-3"/>
          <w:sz w:val="18"/>
        </w:rPr>
        <w:t xml:space="preserve"> </w:t>
      </w:r>
      <w:r>
        <w:rPr>
          <w:sz w:val="18"/>
        </w:rPr>
        <w:t>Youth</w:t>
      </w:r>
      <w:r>
        <w:rPr>
          <w:spacing w:val="-3"/>
          <w:sz w:val="18"/>
        </w:rPr>
        <w:t xml:space="preserve"> </w:t>
      </w:r>
      <w:r>
        <w:rPr>
          <w:sz w:val="18"/>
        </w:rPr>
        <w:t xml:space="preserve">in </w:t>
      </w:r>
      <w:bookmarkStart w:id="816" w:name="_bookmark647"/>
      <w:bookmarkEnd w:id="816"/>
      <w:r>
        <w:rPr>
          <w:sz w:val="18"/>
        </w:rPr>
        <w:t xml:space="preserve">Shelters,” </w:t>
      </w:r>
      <w:r>
        <w:rPr>
          <w:i/>
          <w:sz w:val="18"/>
        </w:rPr>
        <w:t xml:space="preserve">Children and Youth Services Review </w:t>
      </w:r>
      <w:r>
        <w:rPr>
          <w:sz w:val="18"/>
        </w:rPr>
        <w:t>82 (2017): 230–38, https://doi.org/10.1016/j.childyouth.2017.09.021.</w:t>
      </w:r>
    </w:p>
    <w:p w:rsidR="00200FDA" w:rsidRDefault="00F76C4C">
      <w:pPr>
        <w:spacing w:line="219" w:lineRule="exact"/>
        <w:ind w:left="140"/>
        <w:rPr>
          <w:sz w:val="18"/>
        </w:rPr>
      </w:pPr>
      <w:r>
        <w:rPr>
          <w:position w:val="5"/>
          <w:sz w:val="12"/>
        </w:rPr>
        <w:t>67</w:t>
      </w:r>
      <w:r>
        <w:rPr>
          <w:spacing w:val="10"/>
          <w:position w:val="5"/>
          <w:sz w:val="12"/>
        </w:rPr>
        <w:t xml:space="preserve"> </w:t>
      </w:r>
      <w:bookmarkStart w:id="817" w:name="_bookmark648"/>
      <w:bookmarkEnd w:id="817"/>
      <w:r>
        <w:rPr>
          <w:sz w:val="18"/>
        </w:rPr>
        <w:t>Co</w:t>
      </w:r>
      <w:r>
        <w:rPr>
          <w:sz w:val="18"/>
        </w:rPr>
        <w:t>olhart</w:t>
      </w:r>
      <w:r>
        <w:rPr>
          <w:spacing w:val="-1"/>
          <w:sz w:val="18"/>
        </w:rPr>
        <w:t xml:space="preserve"> </w:t>
      </w:r>
      <w:r>
        <w:rPr>
          <w:sz w:val="18"/>
        </w:rPr>
        <w:t>and</w:t>
      </w:r>
      <w:r>
        <w:rPr>
          <w:spacing w:val="-2"/>
          <w:sz w:val="18"/>
        </w:rPr>
        <w:t xml:space="preserve"> Brown.</w:t>
      </w:r>
    </w:p>
    <w:p w:rsidR="00200FDA" w:rsidRDefault="00F76C4C">
      <w:pPr>
        <w:spacing w:before="1" w:line="219" w:lineRule="exact"/>
        <w:ind w:left="140"/>
        <w:rPr>
          <w:sz w:val="18"/>
        </w:rPr>
      </w:pPr>
      <w:r>
        <w:rPr>
          <w:position w:val="5"/>
          <w:sz w:val="12"/>
        </w:rPr>
        <w:t>68</w:t>
      </w:r>
      <w:r>
        <w:rPr>
          <w:spacing w:val="10"/>
          <w:position w:val="5"/>
          <w:sz w:val="12"/>
        </w:rPr>
        <w:t xml:space="preserve"> </w:t>
      </w:r>
      <w:bookmarkStart w:id="818" w:name="_bookmark649"/>
      <w:bookmarkEnd w:id="818"/>
      <w:r>
        <w:rPr>
          <w:sz w:val="18"/>
        </w:rPr>
        <w:t>Coolhart</w:t>
      </w:r>
      <w:r>
        <w:rPr>
          <w:spacing w:val="-2"/>
          <w:sz w:val="18"/>
        </w:rPr>
        <w:t xml:space="preserve"> </w:t>
      </w:r>
      <w:r>
        <w:rPr>
          <w:sz w:val="18"/>
        </w:rPr>
        <w:t>and</w:t>
      </w:r>
      <w:r>
        <w:rPr>
          <w:spacing w:val="-2"/>
          <w:sz w:val="18"/>
        </w:rPr>
        <w:t xml:space="preserve"> Brown.</w:t>
      </w:r>
    </w:p>
    <w:p w:rsidR="00200FDA" w:rsidRDefault="00F76C4C">
      <w:pPr>
        <w:spacing w:line="219" w:lineRule="exact"/>
        <w:ind w:left="140"/>
        <w:rPr>
          <w:sz w:val="18"/>
        </w:rPr>
      </w:pPr>
      <w:r>
        <w:rPr>
          <w:position w:val="5"/>
          <w:sz w:val="12"/>
        </w:rPr>
        <w:t>69</w:t>
      </w:r>
      <w:r>
        <w:rPr>
          <w:spacing w:val="10"/>
          <w:position w:val="5"/>
          <w:sz w:val="12"/>
        </w:rPr>
        <w:t xml:space="preserve"> </w:t>
      </w:r>
      <w:r>
        <w:rPr>
          <w:sz w:val="18"/>
        </w:rPr>
        <w:t>James</w:t>
      </w:r>
      <w:r>
        <w:rPr>
          <w:spacing w:val="-2"/>
          <w:sz w:val="18"/>
        </w:rPr>
        <w:t xml:space="preserve"> </w:t>
      </w:r>
      <w:r>
        <w:rPr>
          <w:sz w:val="18"/>
        </w:rPr>
        <w:t>et</w:t>
      </w:r>
      <w:r>
        <w:rPr>
          <w:spacing w:val="-3"/>
          <w:sz w:val="18"/>
        </w:rPr>
        <w:t xml:space="preserve"> </w:t>
      </w:r>
      <w:r>
        <w:rPr>
          <w:sz w:val="18"/>
        </w:rPr>
        <w:t>al.,</w:t>
      </w:r>
      <w:r>
        <w:rPr>
          <w:spacing w:val="-1"/>
          <w:sz w:val="18"/>
        </w:rPr>
        <w:t xml:space="preserve"> </w:t>
      </w:r>
      <w:r>
        <w:rPr>
          <w:sz w:val="18"/>
        </w:rPr>
        <w:t>“The</w:t>
      </w:r>
      <w:r>
        <w:rPr>
          <w:spacing w:val="-2"/>
          <w:sz w:val="18"/>
        </w:rPr>
        <w:t xml:space="preserve"> </w:t>
      </w:r>
      <w:r>
        <w:rPr>
          <w:sz w:val="18"/>
        </w:rPr>
        <w:t>Report</w:t>
      </w:r>
      <w:r>
        <w:rPr>
          <w:spacing w:val="-3"/>
          <w:sz w:val="18"/>
        </w:rPr>
        <w:t xml:space="preserve"> </w:t>
      </w:r>
      <w:r>
        <w:rPr>
          <w:sz w:val="18"/>
        </w:rPr>
        <w:t>of</w:t>
      </w:r>
      <w:r>
        <w:rPr>
          <w:spacing w:val="-1"/>
          <w:sz w:val="18"/>
        </w:rPr>
        <w:t xml:space="preserve"> </w:t>
      </w:r>
      <w:r>
        <w:rPr>
          <w:sz w:val="18"/>
        </w:rPr>
        <w:t>the 2015</w:t>
      </w:r>
      <w:r>
        <w:rPr>
          <w:spacing w:val="-2"/>
          <w:sz w:val="18"/>
        </w:rPr>
        <w:t xml:space="preserve"> </w:t>
      </w:r>
      <w:r>
        <w:rPr>
          <w:sz w:val="18"/>
        </w:rPr>
        <w:t>U.S.</w:t>
      </w:r>
      <w:r>
        <w:rPr>
          <w:spacing w:val="-1"/>
          <w:sz w:val="18"/>
        </w:rPr>
        <w:t xml:space="preserve"> </w:t>
      </w:r>
      <w:r>
        <w:rPr>
          <w:sz w:val="18"/>
        </w:rPr>
        <w:t>Transgender</w:t>
      </w:r>
      <w:r>
        <w:rPr>
          <w:spacing w:val="-2"/>
          <w:sz w:val="18"/>
        </w:rPr>
        <w:t xml:space="preserve"> Survey.”</w:t>
      </w:r>
    </w:p>
    <w:p w:rsidR="00200FDA" w:rsidRDefault="00F76C4C">
      <w:pPr>
        <w:spacing w:before="1"/>
        <w:ind w:left="140" w:right="818" w:hanging="1"/>
        <w:rPr>
          <w:sz w:val="18"/>
        </w:rPr>
      </w:pPr>
      <w:bookmarkStart w:id="819" w:name="_bookmark650"/>
      <w:bookmarkEnd w:id="819"/>
      <w:r>
        <w:rPr>
          <w:position w:val="5"/>
          <w:sz w:val="12"/>
        </w:rPr>
        <w:t>70</w:t>
      </w:r>
      <w:r>
        <w:rPr>
          <w:spacing w:val="9"/>
          <w:position w:val="5"/>
          <w:sz w:val="12"/>
        </w:rPr>
        <w:t xml:space="preserve"> </w:t>
      </w:r>
      <w:r>
        <w:rPr>
          <w:sz w:val="18"/>
        </w:rPr>
        <w:t>Abramovich,</w:t>
      </w:r>
      <w:r>
        <w:rPr>
          <w:spacing w:val="-3"/>
          <w:sz w:val="18"/>
        </w:rPr>
        <w:t xml:space="preserve"> </w:t>
      </w:r>
      <w:r>
        <w:rPr>
          <w:sz w:val="18"/>
        </w:rPr>
        <w:t>“Understanding</w:t>
      </w:r>
      <w:r>
        <w:rPr>
          <w:spacing w:val="-4"/>
          <w:sz w:val="18"/>
        </w:rPr>
        <w:t xml:space="preserve"> </w:t>
      </w:r>
      <w:r>
        <w:rPr>
          <w:sz w:val="18"/>
        </w:rPr>
        <w:t>How</w:t>
      </w:r>
      <w:r>
        <w:rPr>
          <w:spacing w:val="-2"/>
          <w:sz w:val="18"/>
        </w:rPr>
        <w:t xml:space="preserve"> </w:t>
      </w:r>
      <w:r>
        <w:rPr>
          <w:sz w:val="18"/>
        </w:rPr>
        <w:t>Policy</w:t>
      </w:r>
      <w:r>
        <w:rPr>
          <w:spacing w:val="-3"/>
          <w:sz w:val="18"/>
        </w:rPr>
        <w:t xml:space="preserve"> </w:t>
      </w:r>
      <w:r>
        <w:rPr>
          <w:sz w:val="18"/>
        </w:rPr>
        <w:t>and</w:t>
      </w:r>
      <w:r>
        <w:rPr>
          <w:spacing w:val="-4"/>
          <w:sz w:val="18"/>
        </w:rPr>
        <w:t xml:space="preserve"> </w:t>
      </w:r>
      <w:r>
        <w:rPr>
          <w:sz w:val="18"/>
        </w:rPr>
        <w:t>Culture</w:t>
      </w:r>
      <w:r>
        <w:rPr>
          <w:spacing w:val="-4"/>
          <w:sz w:val="18"/>
        </w:rPr>
        <w:t xml:space="preserve"> </w:t>
      </w:r>
      <w:r>
        <w:rPr>
          <w:sz w:val="18"/>
        </w:rPr>
        <w:t>Create</w:t>
      </w:r>
      <w:r>
        <w:rPr>
          <w:spacing w:val="-4"/>
          <w:sz w:val="18"/>
        </w:rPr>
        <w:t xml:space="preserve"> </w:t>
      </w:r>
      <w:r>
        <w:rPr>
          <w:sz w:val="18"/>
        </w:rPr>
        <w:t>Oppressive</w:t>
      </w:r>
      <w:r>
        <w:rPr>
          <w:spacing w:val="-4"/>
          <w:sz w:val="18"/>
        </w:rPr>
        <w:t xml:space="preserve"> </w:t>
      </w:r>
      <w:r>
        <w:rPr>
          <w:sz w:val="18"/>
        </w:rPr>
        <w:t>Conditions</w:t>
      </w:r>
      <w:r>
        <w:rPr>
          <w:spacing w:val="-4"/>
          <w:sz w:val="18"/>
        </w:rPr>
        <w:t xml:space="preserve"> </w:t>
      </w:r>
      <w:r>
        <w:rPr>
          <w:sz w:val="18"/>
        </w:rPr>
        <w:t>for</w:t>
      </w:r>
      <w:r>
        <w:rPr>
          <w:spacing w:val="-4"/>
          <w:sz w:val="18"/>
        </w:rPr>
        <w:t xml:space="preserve"> </w:t>
      </w:r>
      <w:r>
        <w:rPr>
          <w:sz w:val="18"/>
        </w:rPr>
        <w:t>LGBTQ2S</w:t>
      </w:r>
      <w:r>
        <w:rPr>
          <w:spacing w:val="-4"/>
          <w:sz w:val="18"/>
        </w:rPr>
        <w:t xml:space="preserve"> </w:t>
      </w:r>
      <w:r>
        <w:rPr>
          <w:sz w:val="18"/>
        </w:rPr>
        <w:t>Youth</w:t>
      </w:r>
      <w:r>
        <w:rPr>
          <w:spacing w:val="-4"/>
          <w:sz w:val="18"/>
        </w:rPr>
        <w:t xml:space="preserve"> </w:t>
      </w:r>
      <w:r>
        <w:rPr>
          <w:sz w:val="18"/>
        </w:rPr>
        <w:t>in</w:t>
      </w:r>
      <w:r>
        <w:rPr>
          <w:spacing w:val="-4"/>
          <w:sz w:val="18"/>
        </w:rPr>
        <w:t xml:space="preserve"> </w:t>
      </w:r>
      <w:r>
        <w:rPr>
          <w:sz w:val="18"/>
        </w:rPr>
        <w:t>the</w:t>
      </w:r>
      <w:r>
        <w:rPr>
          <w:spacing w:val="-2"/>
          <w:sz w:val="18"/>
        </w:rPr>
        <w:t xml:space="preserve"> </w:t>
      </w:r>
      <w:r>
        <w:rPr>
          <w:sz w:val="18"/>
        </w:rPr>
        <w:t xml:space="preserve">Shelter </w:t>
      </w:r>
      <w:r>
        <w:rPr>
          <w:spacing w:val="-2"/>
          <w:sz w:val="18"/>
        </w:rPr>
        <w:t>System.”</w:t>
      </w:r>
    </w:p>
    <w:p w:rsidR="00200FDA" w:rsidRDefault="00F76C4C">
      <w:pPr>
        <w:spacing w:line="219" w:lineRule="exact"/>
        <w:ind w:left="140"/>
        <w:rPr>
          <w:sz w:val="18"/>
        </w:rPr>
      </w:pPr>
      <w:bookmarkStart w:id="820" w:name="_bookmark651"/>
      <w:bookmarkEnd w:id="820"/>
      <w:r>
        <w:rPr>
          <w:position w:val="5"/>
          <w:sz w:val="12"/>
        </w:rPr>
        <w:t>71</w:t>
      </w:r>
      <w:r>
        <w:rPr>
          <w:spacing w:val="11"/>
          <w:position w:val="5"/>
          <w:sz w:val="12"/>
        </w:rPr>
        <w:t xml:space="preserve"> </w:t>
      </w:r>
      <w:r>
        <w:rPr>
          <w:sz w:val="18"/>
        </w:rPr>
        <w:t>Choi</w:t>
      </w:r>
      <w:r>
        <w:rPr>
          <w:spacing w:val="-2"/>
          <w:sz w:val="18"/>
        </w:rPr>
        <w:t xml:space="preserve"> </w:t>
      </w:r>
      <w:r>
        <w:rPr>
          <w:sz w:val="18"/>
        </w:rPr>
        <w:t>et</w:t>
      </w:r>
      <w:r>
        <w:rPr>
          <w:spacing w:val="-2"/>
          <w:sz w:val="18"/>
        </w:rPr>
        <w:t xml:space="preserve"> </w:t>
      </w:r>
      <w:r>
        <w:rPr>
          <w:sz w:val="18"/>
        </w:rPr>
        <w:t>al.,</w:t>
      </w:r>
      <w:r>
        <w:rPr>
          <w:spacing w:val="-1"/>
          <w:sz w:val="18"/>
        </w:rPr>
        <w:t xml:space="preserve"> </w:t>
      </w:r>
      <w:r>
        <w:rPr>
          <w:sz w:val="18"/>
        </w:rPr>
        <w:t>“Serving</w:t>
      </w:r>
      <w:r>
        <w:rPr>
          <w:spacing w:val="-2"/>
          <w:sz w:val="18"/>
        </w:rPr>
        <w:t xml:space="preserve"> </w:t>
      </w:r>
      <w:r>
        <w:rPr>
          <w:sz w:val="18"/>
        </w:rPr>
        <w:t>Our</w:t>
      </w:r>
      <w:r>
        <w:rPr>
          <w:spacing w:val="-2"/>
          <w:sz w:val="18"/>
        </w:rPr>
        <w:t xml:space="preserve"> </w:t>
      </w:r>
      <w:r>
        <w:rPr>
          <w:sz w:val="18"/>
        </w:rPr>
        <w:t>Youth</w:t>
      </w:r>
      <w:r>
        <w:rPr>
          <w:spacing w:val="-2"/>
          <w:sz w:val="18"/>
        </w:rPr>
        <w:t xml:space="preserve"> 2015.”</w:t>
      </w:r>
    </w:p>
    <w:p w:rsidR="00200FDA" w:rsidRDefault="00F76C4C">
      <w:pPr>
        <w:ind w:left="139"/>
        <w:rPr>
          <w:sz w:val="18"/>
        </w:rPr>
      </w:pPr>
      <w:bookmarkStart w:id="821" w:name="_bookmark652"/>
      <w:bookmarkEnd w:id="821"/>
      <w:r>
        <w:rPr>
          <w:position w:val="5"/>
          <w:sz w:val="12"/>
        </w:rPr>
        <w:t>72</w:t>
      </w:r>
      <w:r>
        <w:rPr>
          <w:spacing w:val="10"/>
          <w:position w:val="5"/>
          <w:sz w:val="12"/>
        </w:rPr>
        <w:t xml:space="preserve"> </w:t>
      </w:r>
      <w:r>
        <w:rPr>
          <w:sz w:val="18"/>
        </w:rPr>
        <w:t>Sean</w:t>
      </w:r>
      <w:r>
        <w:rPr>
          <w:spacing w:val="-3"/>
          <w:sz w:val="18"/>
        </w:rPr>
        <w:t xml:space="preserve"> </w:t>
      </w:r>
      <w:r>
        <w:rPr>
          <w:sz w:val="18"/>
        </w:rPr>
        <w:t>McCandless,</w:t>
      </w:r>
      <w:r>
        <w:rPr>
          <w:spacing w:val="-2"/>
          <w:sz w:val="18"/>
        </w:rPr>
        <w:t xml:space="preserve"> </w:t>
      </w:r>
      <w:r>
        <w:rPr>
          <w:sz w:val="18"/>
        </w:rPr>
        <w:t>“LGBT</w:t>
      </w:r>
      <w:r>
        <w:rPr>
          <w:spacing w:val="-1"/>
          <w:sz w:val="18"/>
        </w:rPr>
        <w:t xml:space="preserve"> </w:t>
      </w:r>
      <w:r>
        <w:rPr>
          <w:sz w:val="18"/>
        </w:rPr>
        <w:t>Homeless</w:t>
      </w:r>
      <w:r>
        <w:rPr>
          <w:spacing w:val="-3"/>
          <w:sz w:val="18"/>
        </w:rPr>
        <w:t xml:space="preserve"> </w:t>
      </w:r>
      <w:r>
        <w:rPr>
          <w:sz w:val="18"/>
        </w:rPr>
        <w:t>Youth</w:t>
      </w:r>
      <w:r>
        <w:rPr>
          <w:spacing w:val="-3"/>
          <w:sz w:val="18"/>
        </w:rPr>
        <w:t xml:space="preserve"> </w:t>
      </w:r>
      <w:r>
        <w:rPr>
          <w:sz w:val="18"/>
        </w:rPr>
        <w:t>and</w:t>
      </w:r>
      <w:r>
        <w:rPr>
          <w:spacing w:val="-3"/>
          <w:sz w:val="18"/>
        </w:rPr>
        <w:t xml:space="preserve"> </w:t>
      </w:r>
      <w:r>
        <w:rPr>
          <w:sz w:val="18"/>
        </w:rPr>
        <w:t>Policing,”</w:t>
      </w:r>
      <w:r>
        <w:rPr>
          <w:spacing w:val="-3"/>
          <w:sz w:val="18"/>
        </w:rPr>
        <w:t xml:space="preserve"> </w:t>
      </w:r>
      <w:r>
        <w:rPr>
          <w:i/>
          <w:sz w:val="18"/>
        </w:rPr>
        <w:t>Public</w:t>
      </w:r>
      <w:r>
        <w:rPr>
          <w:i/>
          <w:spacing w:val="-3"/>
          <w:sz w:val="18"/>
        </w:rPr>
        <w:t xml:space="preserve"> </w:t>
      </w:r>
      <w:r>
        <w:rPr>
          <w:i/>
          <w:sz w:val="18"/>
        </w:rPr>
        <w:t>Integrity</w:t>
      </w:r>
      <w:r>
        <w:rPr>
          <w:i/>
          <w:spacing w:val="-2"/>
          <w:sz w:val="18"/>
        </w:rPr>
        <w:t xml:space="preserve"> </w:t>
      </w:r>
      <w:r>
        <w:rPr>
          <w:sz w:val="18"/>
        </w:rPr>
        <w:t>20,</w:t>
      </w:r>
      <w:r>
        <w:rPr>
          <w:spacing w:val="-2"/>
          <w:sz w:val="18"/>
        </w:rPr>
        <w:t xml:space="preserve"> </w:t>
      </w:r>
      <w:r>
        <w:rPr>
          <w:sz w:val="18"/>
        </w:rPr>
        <w:t>no.</w:t>
      </w:r>
      <w:r>
        <w:rPr>
          <w:spacing w:val="-5"/>
          <w:sz w:val="18"/>
        </w:rPr>
        <w:t xml:space="preserve"> </w:t>
      </w:r>
      <w:r>
        <w:rPr>
          <w:sz w:val="18"/>
        </w:rPr>
        <w:t>6</w:t>
      </w:r>
      <w:r>
        <w:rPr>
          <w:spacing w:val="-2"/>
          <w:sz w:val="18"/>
        </w:rPr>
        <w:t xml:space="preserve"> </w:t>
      </w:r>
      <w:r>
        <w:rPr>
          <w:sz w:val="18"/>
        </w:rPr>
        <w:t>(November</w:t>
      </w:r>
      <w:r>
        <w:rPr>
          <w:spacing w:val="-3"/>
          <w:sz w:val="18"/>
        </w:rPr>
        <w:t xml:space="preserve"> </w:t>
      </w:r>
      <w:r>
        <w:rPr>
          <w:sz w:val="18"/>
        </w:rPr>
        <w:t>2,</w:t>
      </w:r>
      <w:r>
        <w:rPr>
          <w:spacing w:val="-2"/>
          <w:sz w:val="18"/>
        </w:rPr>
        <w:t xml:space="preserve"> </w:t>
      </w:r>
      <w:r>
        <w:rPr>
          <w:sz w:val="18"/>
        </w:rPr>
        <w:t>2018):</w:t>
      </w:r>
      <w:r>
        <w:rPr>
          <w:spacing w:val="-2"/>
          <w:sz w:val="18"/>
        </w:rPr>
        <w:t xml:space="preserve"> </w:t>
      </w:r>
      <w:r>
        <w:rPr>
          <w:sz w:val="18"/>
        </w:rPr>
        <w:t xml:space="preserve">558–70, </w:t>
      </w:r>
      <w:r>
        <w:rPr>
          <w:spacing w:val="-2"/>
          <w:sz w:val="18"/>
        </w:rPr>
        <w:t>https://doi.org/10.1080/10999922.2017.1402738.</w:t>
      </w:r>
    </w:p>
    <w:p w:rsidR="00200FDA" w:rsidRDefault="00F76C4C">
      <w:pPr>
        <w:spacing w:before="2"/>
        <w:ind w:left="140" w:right="368"/>
        <w:rPr>
          <w:sz w:val="18"/>
        </w:rPr>
      </w:pPr>
      <w:bookmarkStart w:id="822" w:name="_bookmark653"/>
      <w:bookmarkEnd w:id="822"/>
      <w:r>
        <w:rPr>
          <w:position w:val="5"/>
          <w:sz w:val="12"/>
        </w:rPr>
        <w:t>73</w:t>
      </w:r>
      <w:r>
        <w:rPr>
          <w:spacing w:val="15"/>
          <w:position w:val="5"/>
          <w:sz w:val="12"/>
        </w:rPr>
        <w:t xml:space="preserve"> </w:t>
      </w:r>
      <w:r>
        <w:rPr>
          <w:sz w:val="18"/>
        </w:rPr>
        <w:t xml:space="preserve">Layla Parast et al., “Utilization and Perceptions of Drop-in Center Services Among Youth Experiencing Homelessness,” </w:t>
      </w:r>
      <w:r>
        <w:rPr>
          <w:i/>
          <w:sz w:val="18"/>
        </w:rPr>
        <w:t>The Journal</w:t>
      </w:r>
      <w:r>
        <w:rPr>
          <w:i/>
          <w:spacing w:val="-4"/>
          <w:sz w:val="18"/>
        </w:rPr>
        <w:t xml:space="preserve"> </w:t>
      </w:r>
      <w:r>
        <w:rPr>
          <w:i/>
          <w:sz w:val="18"/>
        </w:rPr>
        <w:t>of</w:t>
      </w:r>
      <w:r>
        <w:rPr>
          <w:i/>
          <w:spacing w:val="-3"/>
          <w:sz w:val="18"/>
        </w:rPr>
        <w:t xml:space="preserve"> </w:t>
      </w:r>
      <w:r>
        <w:rPr>
          <w:i/>
          <w:sz w:val="18"/>
        </w:rPr>
        <w:t>Behavioral</w:t>
      </w:r>
      <w:r>
        <w:rPr>
          <w:i/>
          <w:spacing w:val="-4"/>
          <w:sz w:val="18"/>
        </w:rPr>
        <w:t xml:space="preserve"> </w:t>
      </w:r>
      <w:r>
        <w:rPr>
          <w:i/>
          <w:sz w:val="18"/>
        </w:rPr>
        <w:t>Health</w:t>
      </w:r>
      <w:r>
        <w:rPr>
          <w:i/>
          <w:spacing w:val="-2"/>
          <w:sz w:val="18"/>
        </w:rPr>
        <w:t xml:space="preserve"> </w:t>
      </w:r>
      <w:r>
        <w:rPr>
          <w:i/>
          <w:sz w:val="18"/>
        </w:rPr>
        <w:t>Services</w:t>
      </w:r>
      <w:r>
        <w:rPr>
          <w:i/>
          <w:spacing w:val="-4"/>
          <w:sz w:val="18"/>
        </w:rPr>
        <w:t xml:space="preserve"> </w:t>
      </w:r>
      <w:r>
        <w:rPr>
          <w:i/>
          <w:sz w:val="18"/>
        </w:rPr>
        <w:t>&amp;</w:t>
      </w:r>
      <w:r>
        <w:rPr>
          <w:i/>
          <w:spacing w:val="-4"/>
          <w:sz w:val="18"/>
        </w:rPr>
        <w:t xml:space="preserve"> </w:t>
      </w:r>
      <w:r>
        <w:rPr>
          <w:i/>
          <w:sz w:val="18"/>
        </w:rPr>
        <w:t>Research</w:t>
      </w:r>
      <w:r>
        <w:rPr>
          <w:i/>
          <w:spacing w:val="-3"/>
          <w:sz w:val="18"/>
        </w:rPr>
        <w:t xml:space="preserve"> </w:t>
      </w:r>
      <w:r>
        <w:rPr>
          <w:sz w:val="18"/>
        </w:rPr>
        <w:t>46,</w:t>
      </w:r>
      <w:r>
        <w:rPr>
          <w:spacing w:val="-3"/>
          <w:sz w:val="18"/>
        </w:rPr>
        <w:t xml:space="preserve"> </w:t>
      </w:r>
      <w:r>
        <w:rPr>
          <w:sz w:val="18"/>
        </w:rPr>
        <w:t>no.</w:t>
      </w:r>
      <w:r>
        <w:rPr>
          <w:spacing w:val="-3"/>
          <w:sz w:val="18"/>
        </w:rPr>
        <w:t xml:space="preserve"> </w:t>
      </w:r>
      <w:r>
        <w:rPr>
          <w:sz w:val="18"/>
        </w:rPr>
        <w:t>2</w:t>
      </w:r>
      <w:r>
        <w:rPr>
          <w:spacing w:val="-3"/>
          <w:sz w:val="18"/>
        </w:rPr>
        <w:t xml:space="preserve"> </w:t>
      </w:r>
      <w:r>
        <w:rPr>
          <w:sz w:val="18"/>
        </w:rPr>
        <w:t>(April</w:t>
      </w:r>
      <w:r>
        <w:rPr>
          <w:spacing w:val="-4"/>
          <w:sz w:val="18"/>
        </w:rPr>
        <w:t xml:space="preserve"> </w:t>
      </w:r>
      <w:r>
        <w:rPr>
          <w:sz w:val="18"/>
        </w:rPr>
        <w:t>2019):</w:t>
      </w:r>
      <w:r>
        <w:rPr>
          <w:spacing w:val="-3"/>
          <w:sz w:val="18"/>
        </w:rPr>
        <w:t xml:space="preserve"> </w:t>
      </w:r>
      <w:r>
        <w:rPr>
          <w:sz w:val="18"/>
        </w:rPr>
        <w:t>234–48,</w:t>
      </w:r>
      <w:r>
        <w:rPr>
          <w:spacing w:val="-3"/>
          <w:sz w:val="18"/>
        </w:rPr>
        <w:t xml:space="preserve"> </w:t>
      </w:r>
      <w:r>
        <w:rPr>
          <w:sz w:val="18"/>
        </w:rPr>
        <w:t xml:space="preserve">https://doi.org/10.1007/s11414-018-9632-9. </w:t>
      </w:r>
      <w:bookmarkStart w:id="823" w:name="_bookmark654"/>
      <w:bookmarkEnd w:id="823"/>
      <w:r>
        <w:rPr>
          <w:position w:val="5"/>
          <w:sz w:val="12"/>
        </w:rPr>
        <w:t>74</w:t>
      </w:r>
      <w:r>
        <w:rPr>
          <w:spacing w:val="19"/>
          <w:position w:val="5"/>
          <w:sz w:val="12"/>
        </w:rPr>
        <w:t xml:space="preserve"> </w:t>
      </w:r>
      <w:r>
        <w:rPr>
          <w:sz w:val="18"/>
        </w:rPr>
        <w:t>Jama She</w:t>
      </w:r>
      <w:r>
        <w:rPr>
          <w:sz w:val="18"/>
        </w:rPr>
        <w:t>lton and Lynden Bond, “‘It Just Never Worked Out’: How Transgender and Gender Expansive Youth Understand Their Pathways into Homelessness,” 2017, https://journals.sagepub.com/doi/10.1606/1044-3894.2017.98.33.</w:t>
      </w:r>
    </w:p>
    <w:p w:rsidR="00200FDA" w:rsidRDefault="00F76C4C">
      <w:pPr>
        <w:spacing w:line="219" w:lineRule="exact"/>
        <w:ind w:left="140"/>
        <w:rPr>
          <w:sz w:val="18"/>
        </w:rPr>
      </w:pPr>
      <w:bookmarkStart w:id="824" w:name="_bookmark655"/>
      <w:bookmarkEnd w:id="824"/>
      <w:r>
        <w:rPr>
          <w:position w:val="5"/>
          <w:sz w:val="12"/>
        </w:rPr>
        <w:t>75</w:t>
      </w:r>
      <w:r>
        <w:rPr>
          <w:spacing w:val="8"/>
          <w:position w:val="5"/>
          <w:sz w:val="12"/>
        </w:rPr>
        <w:t xml:space="preserve"> </w:t>
      </w:r>
      <w:r>
        <w:rPr>
          <w:sz w:val="18"/>
        </w:rPr>
        <w:t>Parast</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“Utilization</w:t>
      </w:r>
      <w:r>
        <w:rPr>
          <w:spacing w:val="-2"/>
          <w:sz w:val="18"/>
        </w:rPr>
        <w:t xml:space="preserve"> </w:t>
      </w:r>
      <w:r>
        <w:rPr>
          <w:sz w:val="18"/>
        </w:rPr>
        <w:t>and</w:t>
      </w:r>
      <w:r>
        <w:rPr>
          <w:spacing w:val="-3"/>
          <w:sz w:val="18"/>
        </w:rPr>
        <w:t xml:space="preserve"> </w:t>
      </w:r>
      <w:r>
        <w:rPr>
          <w:sz w:val="18"/>
        </w:rPr>
        <w:t>Perceptions</w:t>
      </w:r>
      <w:r>
        <w:rPr>
          <w:spacing w:val="-3"/>
          <w:sz w:val="18"/>
        </w:rPr>
        <w:t xml:space="preserve"> </w:t>
      </w:r>
      <w:r>
        <w:rPr>
          <w:sz w:val="18"/>
        </w:rPr>
        <w:t>of</w:t>
      </w:r>
      <w:r>
        <w:rPr>
          <w:spacing w:val="-2"/>
          <w:sz w:val="18"/>
        </w:rPr>
        <w:t xml:space="preserve"> </w:t>
      </w:r>
      <w:r>
        <w:rPr>
          <w:sz w:val="18"/>
        </w:rPr>
        <w:t>Drop-in</w:t>
      </w:r>
      <w:r>
        <w:rPr>
          <w:spacing w:val="-3"/>
          <w:sz w:val="18"/>
        </w:rPr>
        <w:t xml:space="preserve"> </w:t>
      </w:r>
      <w:r>
        <w:rPr>
          <w:sz w:val="18"/>
        </w:rPr>
        <w:t>Center</w:t>
      </w:r>
      <w:r>
        <w:rPr>
          <w:spacing w:val="-2"/>
          <w:sz w:val="18"/>
        </w:rPr>
        <w:t xml:space="preserve"> </w:t>
      </w:r>
      <w:r>
        <w:rPr>
          <w:sz w:val="18"/>
        </w:rPr>
        <w:t>Services</w:t>
      </w:r>
      <w:r>
        <w:rPr>
          <w:spacing w:val="-3"/>
          <w:sz w:val="18"/>
        </w:rPr>
        <w:t xml:space="preserve"> </w:t>
      </w:r>
      <w:r>
        <w:rPr>
          <w:sz w:val="18"/>
        </w:rPr>
        <w:t>Among</w:t>
      </w:r>
      <w:r>
        <w:rPr>
          <w:spacing w:val="-3"/>
          <w:sz w:val="18"/>
        </w:rPr>
        <w:t xml:space="preserve"> </w:t>
      </w:r>
      <w:r>
        <w:rPr>
          <w:sz w:val="18"/>
        </w:rPr>
        <w:t>Youth</w:t>
      </w:r>
      <w:r>
        <w:rPr>
          <w:spacing w:val="-3"/>
          <w:sz w:val="18"/>
        </w:rPr>
        <w:t xml:space="preserve"> </w:t>
      </w:r>
      <w:r>
        <w:rPr>
          <w:sz w:val="18"/>
        </w:rPr>
        <w:t>Experiencing</w:t>
      </w:r>
      <w:r>
        <w:rPr>
          <w:spacing w:val="-2"/>
          <w:sz w:val="18"/>
        </w:rPr>
        <w:t xml:space="preserve"> Homelessness.”</w:t>
      </w:r>
    </w:p>
    <w:p w:rsidR="00200FDA" w:rsidRDefault="00200FDA">
      <w:pPr>
        <w:spacing w:line="219" w:lineRule="exact"/>
        <w:rPr>
          <w:sz w:val="18"/>
        </w:rPr>
        <w:sectPr w:rsidR="00200FDA">
          <w:pgSz w:w="12240" w:h="15840"/>
          <w:pgMar w:top="1360" w:right="1300" w:bottom="1240" w:left="1300" w:header="758" w:footer="1043" w:gutter="0"/>
          <w:cols w:space="720"/>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spacing w:before="2"/>
        <w:rPr>
          <w:sz w:val="19"/>
        </w:rPr>
      </w:pPr>
    </w:p>
    <w:p w:rsidR="00200FDA" w:rsidRDefault="00F76C4C">
      <w:pPr>
        <w:spacing w:before="107" w:line="414" w:lineRule="exact"/>
        <w:ind w:left="674"/>
        <w:rPr>
          <w:sz w:val="34"/>
        </w:rPr>
      </w:pPr>
      <w:bookmarkStart w:id="825" w:name="Homelessness.pdf"/>
      <w:bookmarkEnd w:id="825"/>
      <w:r>
        <w:rPr>
          <w:color w:val="FFFFFF"/>
          <w:w w:val="120"/>
          <w:sz w:val="34"/>
        </w:rPr>
        <w:t>COMMISSION</w:t>
      </w:r>
      <w:r>
        <w:rPr>
          <w:color w:val="FFFFFF"/>
          <w:spacing w:val="17"/>
          <w:w w:val="120"/>
          <w:sz w:val="34"/>
        </w:rPr>
        <w:t xml:space="preserve"> </w:t>
      </w:r>
      <w:r>
        <w:rPr>
          <w:color w:val="FFFFFF"/>
          <w:w w:val="120"/>
          <w:sz w:val="34"/>
        </w:rPr>
        <w:t>ON</w:t>
      </w:r>
      <w:r>
        <w:rPr>
          <w:color w:val="FFFFFF"/>
          <w:spacing w:val="17"/>
          <w:w w:val="120"/>
          <w:sz w:val="34"/>
        </w:rPr>
        <w:t xml:space="preserve"> </w:t>
      </w:r>
      <w:r>
        <w:rPr>
          <w:color w:val="FFFFFF"/>
          <w:w w:val="120"/>
          <w:sz w:val="34"/>
        </w:rPr>
        <w:t>LGBTQ</w:t>
      </w:r>
      <w:r>
        <w:rPr>
          <w:color w:val="FFFFFF"/>
          <w:spacing w:val="17"/>
          <w:w w:val="120"/>
          <w:sz w:val="34"/>
        </w:rPr>
        <w:t xml:space="preserve"> </w:t>
      </w:r>
      <w:r>
        <w:rPr>
          <w:color w:val="FFFFFF"/>
          <w:spacing w:val="-2"/>
          <w:w w:val="120"/>
          <w:sz w:val="34"/>
        </w:rPr>
        <w:t>YOUTH</w:t>
      </w:r>
    </w:p>
    <w:p w:rsidR="00200FDA" w:rsidRDefault="00F76C4C">
      <w:pPr>
        <w:spacing w:before="68" w:line="216" w:lineRule="auto"/>
        <w:ind w:left="674" w:right="1541"/>
        <w:rPr>
          <w:b/>
          <w:sz w:val="72"/>
        </w:rPr>
      </w:pPr>
      <w:r>
        <w:rPr>
          <w:b/>
          <w:color w:val="FFFFFF"/>
          <w:spacing w:val="-2"/>
          <w:w w:val="125"/>
          <w:sz w:val="72"/>
        </w:rPr>
        <w:t>ENDING HOMELESSNESS</w:t>
      </w: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spacing w:before="7"/>
        <w:rPr>
          <w:b/>
          <w:sz w:val="23"/>
        </w:rPr>
      </w:pPr>
    </w:p>
    <w:p w:rsidR="00200FDA" w:rsidRDefault="00200FDA">
      <w:pPr>
        <w:rPr>
          <w:sz w:val="23"/>
        </w:rPr>
        <w:sectPr w:rsidR="00200FDA">
          <w:headerReference w:type="default" r:id="rId604"/>
          <w:footerReference w:type="default" r:id="rId605"/>
          <w:pgSz w:w="12240" w:h="15840"/>
          <w:pgMar w:top="0" w:right="200" w:bottom="280" w:left="920" w:header="0" w:footer="0" w:gutter="0"/>
          <w:cols w:space="720"/>
        </w:sectPr>
      </w:pPr>
    </w:p>
    <w:p w:rsidR="00200FDA" w:rsidRDefault="00F76C4C">
      <w:pPr>
        <w:pStyle w:val="Heading6"/>
      </w:pPr>
      <w:r>
        <w:rPr>
          <w:spacing w:val="11"/>
          <w:w w:val="125"/>
        </w:rPr>
        <w:t>ABOUT</w:t>
      </w:r>
    </w:p>
    <w:p w:rsidR="00200FDA" w:rsidRDefault="00F76C4C">
      <w:pPr>
        <w:pStyle w:val="BodyText"/>
        <w:spacing w:before="212" w:line="273" w:lineRule="auto"/>
        <w:ind w:left="323" w:right="38"/>
        <w:jc w:val="both"/>
        <w:rPr>
          <w:rFonts w:ascii="Georgia" w:hAnsi="Georgia"/>
        </w:rPr>
      </w:pPr>
      <w:r>
        <w:rPr>
          <w:rFonts w:ascii="Georgia" w:hAnsi="Georgia"/>
          <w:w w:val="105"/>
        </w:rPr>
        <w:t>LGBTQ youth are disproportionately represented within rates of youth experiencing homelessness. M</w:t>
      </w:r>
      <w:r>
        <w:rPr>
          <w:rFonts w:ascii="Georgia" w:hAnsi="Georgia"/>
          <w:w w:val="105"/>
        </w:rPr>
        <w:t>ultiple</w:t>
      </w:r>
      <w:r>
        <w:rPr>
          <w:rFonts w:ascii="Georgia" w:hAnsi="Georgia"/>
          <w:spacing w:val="-5"/>
          <w:w w:val="105"/>
        </w:rPr>
        <w:t xml:space="preserve"> </w:t>
      </w:r>
      <w:r>
        <w:rPr>
          <w:rFonts w:ascii="Georgia" w:hAnsi="Georgia"/>
          <w:w w:val="105"/>
        </w:rPr>
        <w:t>risk</w:t>
      </w:r>
      <w:r>
        <w:rPr>
          <w:rFonts w:ascii="Georgia" w:hAnsi="Georgia"/>
          <w:spacing w:val="-5"/>
          <w:w w:val="105"/>
        </w:rPr>
        <w:t xml:space="preserve"> </w:t>
      </w:r>
      <w:r>
        <w:rPr>
          <w:rFonts w:ascii="Georgia" w:hAnsi="Georgia"/>
          <w:w w:val="105"/>
        </w:rPr>
        <w:t>factors</w:t>
      </w:r>
      <w:r>
        <w:rPr>
          <w:rFonts w:ascii="Georgia" w:hAnsi="Georgia"/>
          <w:spacing w:val="-5"/>
          <w:w w:val="105"/>
        </w:rPr>
        <w:t xml:space="preserve"> </w:t>
      </w:r>
      <w:r>
        <w:rPr>
          <w:rFonts w:ascii="Georgia" w:hAnsi="Georgia"/>
          <w:w w:val="105"/>
        </w:rPr>
        <w:t>contribute</w:t>
      </w:r>
      <w:r>
        <w:rPr>
          <w:rFonts w:ascii="Georgia" w:hAnsi="Georgia"/>
          <w:spacing w:val="-5"/>
          <w:w w:val="105"/>
        </w:rPr>
        <w:t xml:space="preserve"> </w:t>
      </w:r>
      <w:r>
        <w:rPr>
          <w:rFonts w:ascii="Georgia" w:hAnsi="Georgia"/>
          <w:w w:val="105"/>
        </w:rPr>
        <w:t>to</w:t>
      </w:r>
      <w:r>
        <w:rPr>
          <w:rFonts w:ascii="Georgia" w:hAnsi="Georgia"/>
          <w:spacing w:val="-5"/>
          <w:w w:val="105"/>
        </w:rPr>
        <w:t xml:space="preserve"> </w:t>
      </w:r>
      <w:r>
        <w:rPr>
          <w:rFonts w:ascii="Georgia" w:hAnsi="Georgia"/>
          <w:w w:val="105"/>
        </w:rPr>
        <w:t>LGBTQ</w:t>
      </w:r>
      <w:r>
        <w:rPr>
          <w:rFonts w:ascii="Georgia" w:hAnsi="Georgia"/>
          <w:spacing w:val="-5"/>
          <w:w w:val="105"/>
        </w:rPr>
        <w:t xml:space="preserve"> </w:t>
      </w:r>
      <w:r>
        <w:rPr>
          <w:rFonts w:ascii="Georgia" w:hAnsi="Georgia"/>
          <w:w w:val="105"/>
        </w:rPr>
        <w:t>youth’s experience of higher rates of homelessness, such as family rejection, abandonment and conflict, poverty, medical and mental health difficulties, discrimination, and racism.</w:t>
      </w:r>
    </w:p>
    <w:p w:rsidR="00200FDA" w:rsidRDefault="00F76C4C">
      <w:pPr>
        <w:spacing w:before="201"/>
        <w:ind w:left="1650"/>
        <w:rPr>
          <w:b/>
          <w:sz w:val="75"/>
        </w:rPr>
      </w:pPr>
      <w:r>
        <w:br w:type="column"/>
      </w:r>
      <w:r>
        <w:rPr>
          <w:b/>
          <w:emboss/>
          <w:color w:val="F4B648"/>
          <w:spacing w:val="19"/>
          <w:w w:val="120"/>
          <w:sz w:val="75"/>
        </w:rPr>
        <w:t>30%</w:t>
      </w:r>
    </w:p>
    <w:p w:rsidR="00200FDA" w:rsidRDefault="00F76C4C">
      <w:pPr>
        <w:spacing w:before="42" w:line="271" w:lineRule="auto"/>
        <w:ind w:left="511" w:right="852" w:hanging="1"/>
        <w:jc w:val="center"/>
        <w:rPr>
          <w:rFonts w:ascii="Georgia"/>
          <w:sz w:val="26"/>
        </w:rPr>
      </w:pPr>
      <w:r>
        <w:rPr>
          <w:rFonts w:ascii="Georgia"/>
          <w:sz w:val="26"/>
        </w:rPr>
        <w:t>of Massachusetts youth experiencing homelessness identify as LGBTQ+</w:t>
      </w:r>
    </w:p>
    <w:p w:rsidR="00200FDA" w:rsidRDefault="00200FDA">
      <w:pPr>
        <w:pStyle w:val="BodyText"/>
        <w:spacing w:before="10"/>
        <w:rPr>
          <w:rFonts w:ascii="Georgia"/>
          <w:sz w:val="33"/>
        </w:rPr>
      </w:pPr>
    </w:p>
    <w:p w:rsidR="00200FDA" w:rsidRDefault="00F76C4C">
      <w:pPr>
        <w:pStyle w:val="Heading3"/>
        <w:ind w:left="1767"/>
      </w:pPr>
      <w:r>
        <w:rPr>
          <w:emboss/>
          <w:color w:val="F4B648"/>
          <w:spacing w:val="19"/>
        </w:rPr>
        <w:t>12%</w:t>
      </w:r>
    </w:p>
    <w:p w:rsidR="00200FDA" w:rsidRDefault="00F76C4C">
      <w:pPr>
        <w:spacing w:before="126" w:line="271" w:lineRule="auto"/>
        <w:ind w:left="324" w:right="875"/>
        <w:jc w:val="center"/>
        <w:rPr>
          <w:rFonts w:ascii="Georgia"/>
          <w:sz w:val="26"/>
        </w:rPr>
      </w:pPr>
      <w:r>
        <w:pict>
          <v:group id="docshapegroup389" o:spid="_x0000_s1206" style="position:absolute;left:0;text-align:left;margin-left:51.6pt;margin-top:11.55pt;width:273.15pt;height:193.6pt;z-index:-21262848;mso-position-horizontal-relative:page" coordorigin="1032,231" coordsize="5463,3872">
            <v:shape id="docshape390" o:spid="_x0000_s1210" type="#_x0000_t75" style="position:absolute;left:1031;top:230;width:5463;height:3872">
              <v:imagedata r:id="rId606" o:title=""/>
            </v:shape>
            <v:shape id="docshape391" o:spid="_x0000_s1209" type="#_x0000_t202" style="position:absolute;left:1243;top:372;width:4537;height:1310" filled="f" stroked="f">
              <v:textbox inset="0,0,0,0">
                <w:txbxContent>
                  <w:p w:rsidR="00200FDA" w:rsidRDefault="00F76C4C">
                    <w:pPr>
                      <w:spacing w:before="6"/>
                      <w:rPr>
                        <w:b/>
                        <w:i/>
                        <w:sz w:val="34"/>
                      </w:rPr>
                    </w:pPr>
                    <w:r>
                      <w:rPr>
                        <w:b/>
                        <w:i/>
                        <w:spacing w:val="13"/>
                        <w:w w:val="125"/>
                        <w:sz w:val="34"/>
                      </w:rPr>
                      <w:t>RECOMMENDATIONS</w:t>
                    </w:r>
                  </w:p>
                  <w:p w:rsidR="00200FDA" w:rsidRDefault="00F76C4C">
                    <w:pPr>
                      <w:spacing w:before="115" w:line="264" w:lineRule="auto"/>
                      <w:ind w:left="846"/>
                      <w:rPr>
                        <w:rFonts w:ascii="Georgia"/>
                        <w:sz w:val="21"/>
                      </w:rPr>
                    </w:pPr>
                    <w:r>
                      <w:rPr>
                        <w:rFonts w:ascii="Georgia"/>
                        <w:sz w:val="21"/>
                      </w:rPr>
                      <w:t>Improve access to state IDs for youth experiencing homelessness and gender expansive youth.</w:t>
                    </w:r>
                  </w:p>
                </w:txbxContent>
              </v:textbox>
            </v:shape>
            <v:shape id="docshape392" o:spid="_x0000_s1208" type="#_x0000_t202" style="position:absolute;left:2090;top:2114;width:4285;height:504" filled="f" stroked="f">
              <v:textbox inset="0,0,0,0">
                <w:txbxContent>
                  <w:p w:rsidR="00200FDA" w:rsidRDefault="00F76C4C">
                    <w:pPr>
                      <w:spacing w:line="264" w:lineRule="auto"/>
                      <w:rPr>
                        <w:rFonts w:ascii="Georgia"/>
                        <w:sz w:val="21"/>
                      </w:rPr>
                    </w:pPr>
                    <w:r>
                      <w:rPr>
                        <w:rFonts w:ascii="Georgia"/>
                        <w:sz w:val="21"/>
                      </w:rPr>
                      <w:t>Increase safe places and community centers for LGBTQ youth experienc</w:t>
                    </w:r>
                    <w:r>
                      <w:rPr>
                        <w:rFonts w:ascii="Georgia"/>
                        <w:sz w:val="21"/>
                      </w:rPr>
                      <w:t>ing homelessness.</w:t>
                    </w:r>
                  </w:p>
                </w:txbxContent>
              </v:textbox>
            </v:shape>
            <v:shape id="docshape393" o:spid="_x0000_s1207" type="#_x0000_t202" style="position:absolute;left:2090;top:3187;width:4244;height:504" filled="f" stroked="f">
              <v:textbox inset="0,0,0,0">
                <w:txbxContent>
                  <w:p w:rsidR="00200FDA" w:rsidRDefault="00F76C4C">
                    <w:pPr>
                      <w:spacing w:line="264" w:lineRule="auto"/>
                      <w:rPr>
                        <w:rFonts w:ascii="Georgia"/>
                        <w:sz w:val="21"/>
                      </w:rPr>
                    </w:pPr>
                    <w:r>
                      <w:rPr>
                        <w:rFonts w:ascii="Georgia"/>
                        <w:sz w:val="21"/>
                      </w:rPr>
                      <w:t xml:space="preserve">Codify a bill of rights for people experiencing </w:t>
                    </w:r>
                    <w:r>
                      <w:rPr>
                        <w:rFonts w:ascii="Georgia"/>
                        <w:spacing w:val="-2"/>
                        <w:sz w:val="21"/>
                      </w:rPr>
                      <w:t>homelessness.</w:t>
                    </w:r>
                  </w:p>
                </w:txbxContent>
              </v:textbox>
            </v:shape>
            <w10:wrap anchorx="page"/>
          </v:group>
        </w:pict>
      </w:r>
      <w:r>
        <w:rPr>
          <w:rFonts w:ascii="Georgia"/>
          <w:sz w:val="26"/>
        </w:rPr>
        <w:t>LGBTQ</w:t>
      </w:r>
      <w:r>
        <w:rPr>
          <w:rFonts w:ascii="Georgia"/>
          <w:spacing w:val="-5"/>
          <w:sz w:val="26"/>
        </w:rPr>
        <w:t xml:space="preserve"> </w:t>
      </w:r>
      <w:r>
        <w:rPr>
          <w:rFonts w:ascii="Georgia"/>
          <w:sz w:val="26"/>
        </w:rPr>
        <w:t>youth</w:t>
      </w:r>
      <w:r>
        <w:rPr>
          <w:rFonts w:ascii="Georgia"/>
          <w:spacing w:val="-5"/>
          <w:sz w:val="26"/>
        </w:rPr>
        <w:t xml:space="preserve"> </w:t>
      </w:r>
      <w:r>
        <w:rPr>
          <w:rFonts w:ascii="Georgia"/>
          <w:sz w:val="26"/>
        </w:rPr>
        <w:t>reported</w:t>
      </w:r>
      <w:r>
        <w:rPr>
          <w:rFonts w:ascii="Georgia"/>
          <w:spacing w:val="-5"/>
          <w:sz w:val="26"/>
        </w:rPr>
        <w:t xml:space="preserve"> </w:t>
      </w:r>
      <w:r>
        <w:rPr>
          <w:rFonts w:ascii="Georgia"/>
          <w:sz w:val="26"/>
        </w:rPr>
        <w:t>sleeping</w:t>
      </w:r>
      <w:r>
        <w:rPr>
          <w:rFonts w:ascii="Georgia"/>
          <w:spacing w:val="-5"/>
          <w:sz w:val="26"/>
        </w:rPr>
        <w:t xml:space="preserve"> </w:t>
      </w:r>
      <w:r>
        <w:rPr>
          <w:rFonts w:ascii="Georgia"/>
          <w:sz w:val="26"/>
        </w:rPr>
        <w:t>in</w:t>
      </w:r>
      <w:r>
        <w:rPr>
          <w:rFonts w:ascii="Georgia"/>
          <w:spacing w:val="-5"/>
          <w:sz w:val="26"/>
        </w:rPr>
        <w:t xml:space="preserve"> </w:t>
      </w:r>
      <w:r>
        <w:rPr>
          <w:rFonts w:ascii="Georgia"/>
          <w:sz w:val="26"/>
        </w:rPr>
        <w:t>an unsheltered location</w:t>
      </w:r>
    </w:p>
    <w:p w:rsidR="00200FDA" w:rsidRDefault="00200FDA">
      <w:pPr>
        <w:pStyle w:val="BodyText"/>
        <w:rPr>
          <w:rFonts w:ascii="Georgia"/>
          <w:sz w:val="20"/>
        </w:rPr>
      </w:pPr>
    </w:p>
    <w:p w:rsidR="00200FDA" w:rsidRDefault="00F76C4C">
      <w:pPr>
        <w:pStyle w:val="BodyText"/>
        <w:spacing w:before="10"/>
        <w:rPr>
          <w:rFonts w:ascii="Georgia"/>
          <w:sz w:val="19"/>
        </w:rPr>
      </w:pPr>
      <w:r>
        <w:pict>
          <v:shape id="docshape394" o:spid="_x0000_s1205" style="position:absolute;margin-left:341.15pt;margin-top:12.5pt;width:218.3pt;height:.1pt;z-index:-15654400;mso-wrap-distance-left:0;mso-wrap-distance-right:0;mso-position-horizontal-relative:page" coordorigin="6823,250" coordsize="4366,0" path="m6823,250r4365,e" filled="f" strokecolor="#f4b648" strokeweight="2.25pt">
            <v:stroke dashstyle="3 1"/>
            <v:path arrowok="t"/>
            <w10:wrap type="topAndBottom" anchorx="page"/>
          </v:shape>
        </w:pict>
      </w:r>
    </w:p>
    <w:p w:rsidR="00200FDA" w:rsidRDefault="00F76C4C">
      <w:pPr>
        <w:pStyle w:val="Heading3"/>
        <w:spacing w:before="135"/>
        <w:ind w:left="1637"/>
      </w:pPr>
      <w:r>
        <w:rPr>
          <w:emboss/>
          <w:color w:val="F4B648"/>
          <w:spacing w:val="19"/>
          <w:w w:val="125"/>
        </w:rPr>
        <w:t>60%</w:t>
      </w:r>
    </w:p>
    <w:p w:rsidR="00200FDA" w:rsidRDefault="00F76C4C">
      <w:pPr>
        <w:spacing w:before="42" w:line="271" w:lineRule="auto"/>
        <w:ind w:left="324" w:right="875"/>
        <w:jc w:val="center"/>
        <w:rPr>
          <w:rFonts w:ascii="Georgia"/>
          <w:sz w:val="26"/>
        </w:rPr>
      </w:pPr>
      <w:r>
        <w:rPr>
          <w:rFonts w:ascii="Georgia"/>
          <w:sz w:val="26"/>
        </w:rPr>
        <w:t>of Massachusetts youth experiencing homelessness identify as BIPOC</w:t>
      </w:r>
    </w:p>
    <w:p w:rsidR="00200FDA" w:rsidRDefault="00200FDA">
      <w:pPr>
        <w:spacing w:line="271" w:lineRule="auto"/>
        <w:jc w:val="center"/>
        <w:rPr>
          <w:rFonts w:ascii="Georgia"/>
          <w:sz w:val="26"/>
        </w:rPr>
        <w:sectPr w:rsidR="00200FDA">
          <w:type w:val="continuous"/>
          <w:pgSz w:w="12240" w:h="15840"/>
          <w:pgMar w:top="720" w:right="200" w:bottom="280" w:left="920" w:header="0" w:footer="0" w:gutter="0"/>
          <w:cols w:num="2" w:space="720" w:equalWidth="0">
            <w:col w:w="5433" w:space="174"/>
            <w:col w:w="5513"/>
          </w:cols>
        </w:sectPr>
      </w:pPr>
    </w:p>
    <w:p w:rsidR="00200FDA" w:rsidRDefault="00F76C4C">
      <w:pPr>
        <w:pStyle w:val="BodyText"/>
        <w:rPr>
          <w:rFonts w:ascii="Georgia"/>
          <w:sz w:val="20"/>
        </w:rPr>
      </w:pPr>
      <w:r>
        <w:pict>
          <v:group id="docshapegroup395" o:spid="_x0000_s1199" style="position:absolute;margin-left:0;margin-top:0;width:609.9pt;height:411.5pt;z-index:-21263360;mso-position-horizontal-relative:page;mso-position-vertical-relative:page" coordsize="12198,8230">
            <v:shape id="docshape396" o:spid="_x0000_s1204" type="#_x0000_t75" style="position:absolute;width:12198;height:4912">
              <v:imagedata r:id="rId607" o:title=""/>
            </v:shape>
            <v:shape id="docshape397" o:spid="_x0000_s1203" type="#_x0000_t75" style="position:absolute;left:7839;top:1158;width:2333;height:2332">
              <v:imagedata r:id="rId143" o:title=""/>
            </v:shape>
            <v:shape id="docshape398" o:spid="_x0000_s1202" style="position:absolute;left:7818;top:1136;width:2375;height:2375" coordorigin="7818,1136" coordsize="2375,2375" o:spt="100" adj="0,,0" path="m9006,3511r-75,-2l8857,3502r-72,-11l8714,3475r-69,-20l8577,3431r-66,-27l8448,3372r-61,-35l8328,3298r-57,-41l8218,3211r-51,-48l8118,3112r-45,-54l8031,3002r-38,-59l7958,2882r-32,-64l7898,2752r-24,-67l7855,2616r-16,-71l7828,2473r-7,-74l7818,2324r3,-75l7828,2175r11,-72l7855,2032r19,-69l7898,1895r28,-65l7958,1766r35,-61l8031,1646r42,-56l8118,1536r49,-51l8218,1437r53,-46l8328,1350r59,-39l8448,1276r64,-32l8577,1217r68,-24l8714,1173r71,-16l8857,1146r74,-7l9006,1136r75,3l9155,1146r72,11l9298,1173r24,7l9006,1180r-75,2l8857,1189r-73,12l8714,1218r-69,20l8577,1263r-65,29l8449,1324r-60,37l8330,1401r-55,43l8222,1491r-49,50l8126,1593r-43,56l8043,1707r-37,60l7974,1830r-29,66l7920,1963r-21,69l7883,2103r-12,72l7864,2249r-2,75l7864,2399r7,74l7883,2545r16,71l7920,2685r25,67l7974,2818r32,63l8043,2941r40,58l8126,3055r47,52l8222,3157r53,47l8330,3247r59,40l8449,3323r63,33l8577,3385r68,25l8714,3430r70,17l8857,3459r74,7l9006,3468r316,l9298,3475r-71,16l9155,3502r-74,7l9006,3511xm9322,3468r-316,l9081,3466r74,-7l9227,3447r71,-17l9367,3410r67,-25l9499,3356r63,-33l9623,3287r58,-40l9737,3204r52,-47l9839,3107r47,-52l9929,2999r40,-58l10005,2881r33,-63l10067,2752r25,-67l10112,2616r17,-71l10140,2473r8,-74l10150,2324r-2,-75l10140,2175r-11,-72l10112,2032r-20,-69l10067,1896r-29,-66l10005,1767r-36,-60l9929,1649r-43,-56l9839,1541r-50,-50l9737,1444r-56,-43l9623,1361r-61,-37l9499,1292r-65,-29l9367,1238r-69,-20l9227,1201r-72,-12l9081,1182r-75,-2l9322,1180r45,13l9435,1217r65,27l9564,1276r61,35l9684,1350r56,41l9794,1437r51,48l9893,1536r45,54l9980,1646r39,59l10054,1766r31,64l10113,1896r24,67l10157,2032r16,71l10184,2175r7,74l10193,2324r-2,75l10184,2473r-11,72l10157,2616r-20,69l10113,2753r-28,65l10054,2882r-35,61l9980,3002r-42,56l9893,3112r-48,51l9794,3211r-54,46l9684,3298r-59,39l9564,3372r-64,32l9435,3431r-68,24l9322,3468xe" stroked="f">
              <v:stroke joinstyle="round"/>
              <v:formulas/>
              <v:path arrowok="t" o:connecttype="segments"/>
            </v:shape>
            <v:shape id="docshape399" o:spid="_x0000_s1201" type="#_x0000_t75" style="position:absolute;left:1031;top:4619;width:5463;height:3610">
              <v:imagedata r:id="rId608" o:title=""/>
            </v:shape>
            <v:line id="_x0000_s1200" style="position:absolute" from="6823,6894" to="11188,6894" strokecolor="#f4b648" strokeweight="2.25pt">
              <v:stroke dashstyle="3 1"/>
            </v:line>
            <w10:wrap anchorx="page" anchory="page"/>
          </v:group>
        </w:pict>
      </w:r>
    </w:p>
    <w:p w:rsidR="00200FDA" w:rsidRDefault="00200FDA">
      <w:pPr>
        <w:pStyle w:val="BodyText"/>
        <w:rPr>
          <w:rFonts w:ascii="Georgia"/>
          <w:sz w:val="20"/>
        </w:rPr>
      </w:pPr>
    </w:p>
    <w:p w:rsidR="00200FDA" w:rsidRDefault="00200FDA">
      <w:pPr>
        <w:pStyle w:val="BodyText"/>
        <w:rPr>
          <w:rFonts w:ascii="Georgia"/>
          <w:sz w:val="20"/>
        </w:rPr>
      </w:pPr>
    </w:p>
    <w:p w:rsidR="00200FDA" w:rsidRDefault="00200FDA">
      <w:pPr>
        <w:pStyle w:val="BodyText"/>
        <w:spacing w:before="6" w:after="1"/>
        <w:rPr>
          <w:rFonts w:ascii="Georgia"/>
          <w:sz w:val="11"/>
        </w:rPr>
      </w:pPr>
    </w:p>
    <w:p w:rsidR="00200FDA" w:rsidRDefault="00F76C4C">
      <w:pPr>
        <w:tabs>
          <w:tab w:val="left" w:pos="6845"/>
        </w:tabs>
        <w:ind w:left="121"/>
        <w:rPr>
          <w:rFonts w:ascii="Georgia"/>
          <w:sz w:val="20"/>
        </w:rPr>
      </w:pPr>
      <w:r>
        <w:rPr>
          <w:rFonts w:ascii="Georgia"/>
          <w:position w:val="64"/>
          <w:sz w:val="20"/>
        </w:rPr>
      </w:r>
      <w:r>
        <w:rPr>
          <w:rFonts w:ascii="Georgia"/>
          <w:position w:val="64"/>
          <w:sz w:val="20"/>
        </w:rPr>
        <w:pict>
          <v:group id="docshapegroup400" o:spid="_x0000_s1196" style="width:273.15pt;height:115.45pt;mso-position-horizontal-relative:char;mso-position-vertical-relative:line" coordsize="5463,2309">
            <v:shape id="docshape401" o:spid="_x0000_s1198" style="position:absolute;width:5463;height:2309" coordsize="5463,2309" path="m4894,2309r-4324,l493,2303r-75,-15l348,2264r-66,-33l222,2190r-55,-48l119,2087,78,2026,45,1960,20,1890,5,1816,,1739,,570,5,493,20,418,45,348,78,282r41,-60l167,167r55,-48l282,78,348,45,418,20,493,5,570,,4894,r77,5l5045,20r71,25l5182,78r60,41l5297,167r48,55l5386,282r33,66l5443,418r16,75l5463,553r,1203l5459,1816r-16,74l5419,1960r-33,66l5345,2087r-48,55l5242,2190r-60,41l5116,2264r-71,24l4971,2303r-77,6xe" fillcolor="#29bed0" stroked="f">
              <v:fill opacity="36497f"/>
              <v:path arrowok="t"/>
            </v:shape>
            <v:shape id="docshape402" o:spid="_x0000_s1197" type="#_x0000_t202" style="position:absolute;width:5463;height:2309" filled="f" stroked="f">
              <v:textbox inset="0,0,0,0">
                <w:txbxContent>
                  <w:p w:rsidR="00200FDA" w:rsidRDefault="00F76C4C">
                    <w:pPr>
                      <w:spacing w:before="136"/>
                      <w:ind w:left="202"/>
                      <w:rPr>
                        <w:b/>
                        <w:i/>
                        <w:sz w:val="34"/>
                      </w:rPr>
                    </w:pPr>
                    <w:r>
                      <w:rPr>
                        <w:b/>
                        <w:i/>
                        <w:spacing w:val="11"/>
                        <w:w w:val="130"/>
                        <w:sz w:val="34"/>
                      </w:rPr>
                      <w:t>LEGISLATION</w:t>
                    </w:r>
                  </w:p>
                  <w:p w:rsidR="00200FDA" w:rsidRDefault="00F76C4C">
                    <w:pPr>
                      <w:spacing w:before="277" w:line="271" w:lineRule="auto"/>
                      <w:ind w:left="204"/>
                      <w:rPr>
                        <w:rFonts w:ascii="Georgia"/>
                        <w:sz w:val="21"/>
                      </w:rPr>
                    </w:pPr>
                    <w:r>
                      <w:rPr>
                        <w:rFonts w:ascii="Georgia"/>
                        <w:sz w:val="21"/>
                      </w:rPr>
                      <w:t>S.1112/H.211:</w:t>
                    </w:r>
                    <w:r>
                      <w:rPr>
                        <w:rFonts w:ascii="Georgia"/>
                        <w:spacing w:val="-3"/>
                        <w:sz w:val="21"/>
                      </w:rPr>
                      <w:t xml:space="preserve"> </w:t>
                    </w:r>
                    <w:r>
                      <w:rPr>
                        <w:rFonts w:ascii="Georgia"/>
                        <w:sz w:val="21"/>
                      </w:rPr>
                      <w:t>Bill</w:t>
                    </w:r>
                    <w:r>
                      <w:rPr>
                        <w:rFonts w:ascii="Georgia"/>
                        <w:spacing w:val="-3"/>
                        <w:sz w:val="21"/>
                      </w:rPr>
                      <w:t xml:space="preserve"> </w:t>
                    </w:r>
                    <w:r>
                      <w:rPr>
                        <w:rFonts w:ascii="Georgia"/>
                        <w:sz w:val="21"/>
                      </w:rPr>
                      <w:t>of</w:t>
                    </w:r>
                    <w:r>
                      <w:rPr>
                        <w:rFonts w:ascii="Georgia"/>
                        <w:spacing w:val="-3"/>
                        <w:sz w:val="21"/>
                      </w:rPr>
                      <w:t xml:space="preserve"> </w:t>
                    </w:r>
                    <w:r>
                      <w:rPr>
                        <w:rFonts w:ascii="Georgia"/>
                        <w:sz w:val="21"/>
                      </w:rPr>
                      <w:t>Rights</w:t>
                    </w:r>
                    <w:r>
                      <w:rPr>
                        <w:rFonts w:ascii="Georgia"/>
                        <w:spacing w:val="-3"/>
                        <w:sz w:val="21"/>
                      </w:rPr>
                      <w:t xml:space="preserve"> </w:t>
                    </w:r>
                    <w:r>
                      <w:rPr>
                        <w:rFonts w:ascii="Georgia"/>
                        <w:sz w:val="21"/>
                      </w:rPr>
                      <w:t>for</w:t>
                    </w:r>
                    <w:r>
                      <w:rPr>
                        <w:rFonts w:ascii="Georgia"/>
                        <w:spacing w:val="-3"/>
                        <w:sz w:val="21"/>
                      </w:rPr>
                      <w:t xml:space="preserve"> </w:t>
                    </w:r>
                    <w:r>
                      <w:rPr>
                        <w:rFonts w:ascii="Georgia"/>
                        <w:sz w:val="21"/>
                      </w:rPr>
                      <w:t>People</w:t>
                    </w:r>
                    <w:r>
                      <w:rPr>
                        <w:rFonts w:ascii="Georgia"/>
                        <w:spacing w:val="-3"/>
                        <w:sz w:val="21"/>
                      </w:rPr>
                      <w:t xml:space="preserve"> </w:t>
                    </w:r>
                    <w:r>
                      <w:rPr>
                        <w:rFonts w:ascii="Georgia"/>
                        <w:sz w:val="21"/>
                      </w:rPr>
                      <w:t xml:space="preserve">Experiencing </w:t>
                    </w:r>
                    <w:r>
                      <w:rPr>
                        <w:rFonts w:ascii="Georgia"/>
                        <w:spacing w:val="-2"/>
                        <w:sz w:val="21"/>
                      </w:rPr>
                      <w:t>Homelessness</w:t>
                    </w:r>
                  </w:p>
                  <w:p w:rsidR="00200FDA" w:rsidRDefault="00200FDA">
                    <w:pPr>
                      <w:spacing w:before="10"/>
                      <w:rPr>
                        <w:rFonts w:ascii="Georgia"/>
                        <w:sz w:val="23"/>
                      </w:rPr>
                    </w:pPr>
                  </w:p>
                  <w:p w:rsidR="00200FDA" w:rsidRDefault="00F76C4C">
                    <w:pPr>
                      <w:ind w:left="204"/>
                      <w:rPr>
                        <w:rFonts w:ascii="Georgia"/>
                        <w:sz w:val="21"/>
                      </w:rPr>
                    </w:pPr>
                    <w:r>
                      <w:rPr>
                        <w:rFonts w:ascii="Georgia"/>
                        <w:spacing w:val="-2"/>
                        <w:sz w:val="21"/>
                      </w:rPr>
                      <w:t>S.856/H.1312:</w:t>
                    </w:r>
                    <w:r>
                      <w:rPr>
                        <w:rFonts w:ascii="Georgia"/>
                        <w:spacing w:val="-7"/>
                        <w:sz w:val="21"/>
                      </w:rPr>
                      <w:t xml:space="preserve"> </w:t>
                    </w:r>
                    <w:r>
                      <w:rPr>
                        <w:rFonts w:ascii="Georgia"/>
                        <w:spacing w:val="-2"/>
                        <w:sz w:val="21"/>
                      </w:rPr>
                      <w:t>Upstream</w:t>
                    </w:r>
                    <w:r>
                      <w:rPr>
                        <w:rFonts w:ascii="Georgia"/>
                        <w:spacing w:val="-7"/>
                        <w:sz w:val="21"/>
                      </w:rPr>
                      <w:t xml:space="preserve"> </w:t>
                    </w:r>
                    <w:r>
                      <w:rPr>
                        <w:rFonts w:ascii="Georgia"/>
                        <w:spacing w:val="-2"/>
                        <w:sz w:val="21"/>
                      </w:rPr>
                      <w:t>Homelessness</w:t>
                    </w:r>
                    <w:r>
                      <w:rPr>
                        <w:rFonts w:ascii="Georgia"/>
                        <w:spacing w:val="-6"/>
                        <w:sz w:val="21"/>
                      </w:rPr>
                      <w:t xml:space="preserve"> </w:t>
                    </w:r>
                    <w:r>
                      <w:rPr>
                        <w:rFonts w:ascii="Georgia"/>
                        <w:spacing w:val="-2"/>
                        <w:sz w:val="21"/>
                      </w:rPr>
                      <w:t>Assistance</w:t>
                    </w:r>
                  </w:p>
                </w:txbxContent>
              </v:textbox>
            </v:shape>
            <w10:anchorlock/>
          </v:group>
        </w:pict>
      </w:r>
      <w:r>
        <w:rPr>
          <w:rFonts w:ascii="Georgia"/>
          <w:position w:val="64"/>
          <w:sz w:val="20"/>
        </w:rPr>
        <w:tab/>
      </w:r>
      <w:r>
        <w:rPr>
          <w:rFonts w:ascii="Georgia"/>
          <w:noProof/>
          <w:sz w:val="20"/>
        </w:rPr>
        <w:drawing>
          <wp:inline distT="0" distB="0" distL="0" distR="0">
            <wp:extent cx="2648645" cy="2105025"/>
            <wp:effectExtent l="0" t="0" r="0" b="0"/>
            <wp:docPr id="119"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19.png"/>
                    <pic:cNvPicPr/>
                  </pic:nvPicPr>
                  <pic:blipFill>
                    <a:blip r:embed="rId609" cstate="print"/>
                    <a:stretch>
                      <a:fillRect/>
                    </a:stretch>
                  </pic:blipFill>
                  <pic:spPr>
                    <a:xfrm>
                      <a:off x="0" y="0"/>
                      <a:ext cx="2648645" cy="2105025"/>
                    </a:xfrm>
                    <a:prstGeom prst="rect">
                      <a:avLst/>
                    </a:prstGeom>
                  </pic:spPr>
                </pic:pic>
              </a:graphicData>
            </a:graphic>
          </wp:inline>
        </w:drawing>
      </w:r>
    </w:p>
    <w:p w:rsidR="00200FDA" w:rsidRDefault="00200FDA">
      <w:pPr>
        <w:rPr>
          <w:rFonts w:ascii="Georgia"/>
          <w:sz w:val="20"/>
        </w:rPr>
        <w:sectPr w:rsidR="00200FDA">
          <w:type w:val="continuous"/>
          <w:pgSz w:w="12240" w:h="15840"/>
          <w:pgMar w:top="720" w:right="200" w:bottom="280" w:left="920" w:header="0" w:footer="0" w:gutter="0"/>
          <w:cols w:space="720"/>
        </w:sectPr>
      </w:pPr>
    </w:p>
    <w:p w:rsidR="00200FDA" w:rsidRDefault="00200FDA">
      <w:pPr>
        <w:pStyle w:val="BodyText"/>
        <w:rPr>
          <w:rFonts w:ascii="Georgia"/>
          <w:sz w:val="20"/>
        </w:rPr>
      </w:pPr>
    </w:p>
    <w:p w:rsidR="00200FDA" w:rsidRDefault="00200FDA">
      <w:pPr>
        <w:pStyle w:val="BodyText"/>
        <w:spacing w:before="3"/>
        <w:rPr>
          <w:rFonts w:ascii="Georgia"/>
          <w:sz w:val="16"/>
        </w:rPr>
      </w:pPr>
    </w:p>
    <w:bookmarkStart w:id="826" w:name="AJ_Report_-_Edited.pdf"/>
    <w:bookmarkStart w:id="827" w:name="Advancing_Criminal_Justice"/>
    <w:bookmarkStart w:id="828" w:name="_bookmark656"/>
    <w:bookmarkEnd w:id="826"/>
    <w:bookmarkEnd w:id="827"/>
    <w:bookmarkEnd w:id="828"/>
    <w:p w:rsidR="00200FDA" w:rsidRDefault="00F76C4C">
      <w:pPr>
        <w:spacing w:before="35"/>
        <w:ind w:left="140"/>
        <w:rPr>
          <w:b/>
          <w:sz w:val="32"/>
        </w:rPr>
      </w:pPr>
      <w:r>
        <w:fldChar w:fldCharType="begin"/>
      </w:r>
      <w:r>
        <w:instrText xml:space="preserve"> HYPERLINK \l "_bookmark2" </w:instrText>
      </w:r>
      <w:r>
        <w:fldChar w:fldCharType="separate"/>
      </w:r>
      <w:r>
        <w:rPr>
          <w:b/>
          <w:color w:val="365F91"/>
          <w:sz w:val="32"/>
        </w:rPr>
        <w:t>Advancing</w:t>
      </w:r>
      <w:r>
        <w:rPr>
          <w:b/>
          <w:color w:val="365F91"/>
          <w:spacing w:val="-13"/>
          <w:sz w:val="32"/>
        </w:rPr>
        <w:t xml:space="preserve"> </w:t>
      </w:r>
      <w:r>
        <w:rPr>
          <w:b/>
          <w:color w:val="365F91"/>
          <w:sz w:val="32"/>
        </w:rPr>
        <w:t>Criminal</w:t>
      </w:r>
      <w:r>
        <w:rPr>
          <w:b/>
          <w:color w:val="365F91"/>
          <w:spacing w:val="-13"/>
          <w:sz w:val="32"/>
        </w:rPr>
        <w:t xml:space="preserve"> </w:t>
      </w:r>
      <w:r>
        <w:rPr>
          <w:b/>
          <w:color w:val="365F91"/>
          <w:spacing w:val="-2"/>
          <w:sz w:val="32"/>
        </w:rPr>
        <w:t>Justice</w:t>
      </w:r>
      <w:r>
        <w:rPr>
          <w:b/>
          <w:color w:val="365F91"/>
          <w:spacing w:val="-2"/>
          <w:sz w:val="32"/>
        </w:rPr>
        <w:fldChar w:fldCharType="end"/>
      </w:r>
    </w:p>
    <w:p w:rsidR="00200FDA" w:rsidRDefault="00F76C4C">
      <w:pPr>
        <w:pStyle w:val="BodyText"/>
        <w:spacing w:before="5"/>
        <w:rPr>
          <w:b/>
          <w:sz w:val="4"/>
        </w:rPr>
      </w:pPr>
      <w:r>
        <w:pict>
          <v:rect id="docshape406" o:spid="_x0000_s1195" style="position:absolute;margin-left:70.55pt;margin-top:3.9pt;width:470.9pt;height:.5pt;z-index:-15652352;mso-wrap-distance-left:0;mso-wrap-distance-right:0;mso-position-horizontal-relative:page" fillcolor="#4f81bc" stroked="f">
            <w10:wrap type="topAndBottom" anchorx="page"/>
          </v:rect>
        </w:pict>
      </w:r>
    </w:p>
    <w:p w:rsidR="00200FDA" w:rsidRDefault="00200FDA">
      <w:pPr>
        <w:pStyle w:val="BodyText"/>
        <w:rPr>
          <w:b/>
          <w:sz w:val="20"/>
        </w:rPr>
      </w:pPr>
    </w:p>
    <w:p w:rsidR="00200FDA" w:rsidRDefault="00F76C4C">
      <w:pPr>
        <w:pStyle w:val="Heading7"/>
        <w:spacing w:before="187"/>
        <w:ind w:left="140"/>
      </w:pPr>
      <w:r>
        <w:pict>
          <v:rect id="docshape407" o:spid="_x0000_s1194" style="position:absolute;left:0;text-align:left;margin-left:70.55pt;margin-top:27.35pt;width:470.9pt;height:.5pt;z-index:-15651840;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20"/>
        </w:rPr>
      </w:pPr>
    </w:p>
    <w:p w:rsidR="00200FDA" w:rsidRDefault="00200FDA">
      <w:pPr>
        <w:pStyle w:val="BodyText"/>
        <w:spacing w:before="3"/>
        <w:rPr>
          <w:sz w:val="18"/>
        </w:rPr>
      </w:pPr>
    </w:p>
    <w:p w:rsidR="00200FDA" w:rsidRDefault="00F76C4C">
      <w:pPr>
        <w:pStyle w:val="BodyText"/>
        <w:spacing w:line="276" w:lineRule="auto"/>
        <w:ind w:left="140" w:right="133"/>
        <w:jc w:val="both"/>
      </w:pPr>
      <w:r>
        <w:t xml:space="preserve">The Commission on LGBTQ Youth operates under a definition of ‘youth’ as persons being under the age of 25. Therefore, when considering recommendations to make under the topic of LGBTQ youth in the criminal legal system in Massachusetts, it is important to </w:t>
      </w:r>
      <w:r>
        <w:t>note that the Commission’s report covers both the juvenile and adult legal systems.</w:t>
      </w:r>
    </w:p>
    <w:p w:rsidR="00200FDA" w:rsidRDefault="00200FDA">
      <w:pPr>
        <w:pStyle w:val="BodyText"/>
        <w:spacing w:before="9"/>
        <w:rPr>
          <w:sz w:val="19"/>
        </w:rPr>
      </w:pPr>
    </w:p>
    <w:p w:rsidR="00200FDA" w:rsidRDefault="00F76C4C">
      <w:pPr>
        <w:pStyle w:val="BodyText"/>
        <w:spacing w:line="276" w:lineRule="auto"/>
        <w:ind w:left="139" w:right="132"/>
        <w:jc w:val="both"/>
      </w:pPr>
      <w:r>
        <w:t>LGBTQ</w:t>
      </w:r>
      <w:r>
        <w:rPr>
          <w:spacing w:val="-13"/>
        </w:rPr>
        <w:t xml:space="preserve"> </w:t>
      </w:r>
      <w:r>
        <w:t>youth</w:t>
      </w:r>
      <w:r>
        <w:rPr>
          <w:spacing w:val="-12"/>
        </w:rPr>
        <w:t xml:space="preserve"> </w:t>
      </w:r>
      <w:r>
        <w:t>face</w:t>
      </w:r>
      <w:r>
        <w:rPr>
          <w:spacing w:val="-13"/>
        </w:rPr>
        <w:t xml:space="preserve"> </w:t>
      </w:r>
      <w:r>
        <w:t>a</w:t>
      </w:r>
      <w:r>
        <w:rPr>
          <w:spacing w:val="-12"/>
        </w:rPr>
        <w:t xml:space="preserve"> </w:t>
      </w:r>
      <w:r>
        <w:t>significant</w:t>
      </w:r>
      <w:r>
        <w:rPr>
          <w:spacing w:val="-13"/>
        </w:rPr>
        <w:t xml:space="preserve"> </w:t>
      </w:r>
      <w:r>
        <w:t>amount</w:t>
      </w:r>
      <w:r>
        <w:rPr>
          <w:spacing w:val="-12"/>
        </w:rPr>
        <w:t xml:space="preserve"> </w:t>
      </w:r>
      <w:r>
        <w:t>of</w:t>
      </w:r>
      <w:r>
        <w:rPr>
          <w:spacing w:val="-13"/>
        </w:rPr>
        <w:t xml:space="preserve"> </w:t>
      </w:r>
      <w:r>
        <w:t>challenges</w:t>
      </w:r>
      <w:r>
        <w:rPr>
          <w:spacing w:val="-12"/>
        </w:rPr>
        <w:t xml:space="preserve"> </w:t>
      </w:r>
      <w:r>
        <w:t>in</w:t>
      </w:r>
      <w:r>
        <w:rPr>
          <w:spacing w:val="-12"/>
        </w:rPr>
        <w:t xml:space="preserve"> </w:t>
      </w:r>
      <w:r>
        <w:t>the</w:t>
      </w:r>
      <w:r>
        <w:rPr>
          <w:spacing w:val="-13"/>
        </w:rPr>
        <w:t xml:space="preserve"> </w:t>
      </w:r>
      <w:r>
        <w:t>criminal</w:t>
      </w:r>
      <w:r>
        <w:rPr>
          <w:spacing w:val="-12"/>
        </w:rPr>
        <w:t xml:space="preserve"> </w:t>
      </w:r>
      <w:r>
        <w:t>legal</w:t>
      </w:r>
      <w:r>
        <w:rPr>
          <w:spacing w:val="-13"/>
        </w:rPr>
        <w:t xml:space="preserve"> </w:t>
      </w:r>
      <w:r>
        <w:t>systems</w:t>
      </w:r>
      <w:r>
        <w:rPr>
          <w:spacing w:val="-12"/>
        </w:rPr>
        <w:t xml:space="preserve"> </w:t>
      </w:r>
      <w:r>
        <w:t>across</w:t>
      </w:r>
      <w:r>
        <w:rPr>
          <w:spacing w:val="-13"/>
        </w:rPr>
        <w:t xml:space="preserve"> </w:t>
      </w:r>
      <w:r>
        <w:t>the</w:t>
      </w:r>
      <w:r>
        <w:rPr>
          <w:spacing w:val="-12"/>
        </w:rPr>
        <w:t xml:space="preserve"> </w:t>
      </w:r>
      <w:r>
        <w:t>United</w:t>
      </w:r>
      <w:r>
        <w:rPr>
          <w:spacing w:val="-12"/>
        </w:rPr>
        <w:t xml:space="preserve"> </w:t>
      </w:r>
      <w:r>
        <w:t>States, and</w:t>
      </w:r>
      <w:r>
        <w:rPr>
          <w:spacing w:val="-2"/>
        </w:rPr>
        <w:t xml:space="preserve"> </w:t>
      </w:r>
      <w:r>
        <w:t>Massachusetts</w:t>
      </w:r>
      <w:r>
        <w:rPr>
          <w:spacing w:val="-1"/>
        </w:rPr>
        <w:t xml:space="preserve"> </w:t>
      </w:r>
      <w:r>
        <w:t>is</w:t>
      </w:r>
      <w:r>
        <w:rPr>
          <w:spacing w:val="-3"/>
        </w:rPr>
        <w:t xml:space="preserve"> </w:t>
      </w:r>
      <w:r>
        <w:t>no</w:t>
      </w:r>
      <w:r>
        <w:rPr>
          <w:spacing w:val="-2"/>
        </w:rPr>
        <w:t xml:space="preserve"> </w:t>
      </w:r>
      <w:r>
        <w:t>exception.</w:t>
      </w:r>
      <w:r>
        <w:rPr>
          <w:spacing w:val="-1"/>
        </w:rPr>
        <w:t xml:space="preserve"> </w:t>
      </w:r>
      <w:r>
        <w:t>Nationally,</w:t>
      </w:r>
      <w:r>
        <w:rPr>
          <w:spacing w:val="-1"/>
        </w:rPr>
        <w:t xml:space="preserve"> </w:t>
      </w:r>
      <w:r>
        <w:t>it</w:t>
      </w:r>
      <w:r>
        <w:rPr>
          <w:spacing w:val="-1"/>
        </w:rPr>
        <w:t xml:space="preserve"> </w:t>
      </w:r>
      <w:r>
        <w:t>has</w:t>
      </w:r>
      <w:r>
        <w:rPr>
          <w:spacing w:val="-1"/>
        </w:rPr>
        <w:t xml:space="preserve"> </w:t>
      </w:r>
      <w:r>
        <w:t>been</w:t>
      </w:r>
      <w:r>
        <w:rPr>
          <w:spacing w:val="-2"/>
        </w:rPr>
        <w:t xml:space="preserve"> </w:t>
      </w:r>
      <w:r>
        <w:t>shown</w:t>
      </w:r>
      <w:r>
        <w:rPr>
          <w:spacing w:val="-2"/>
        </w:rPr>
        <w:t xml:space="preserve"> </w:t>
      </w:r>
      <w:r>
        <w:t>that</w:t>
      </w:r>
      <w:r>
        <w:rPr>
          <w:spacing w:val="-3"/>
        </w:rPr>
        <w:t xml:space="preserve"> </w:t>
      </w:r>
      <w:r>
        <w:t>LGBTQ</w:t>
      </w:r>
      <w:r>
        <w:rPr>
          <w:spacing w:val="-3"/>
        </w:rPr>
        <w:t xml:space="preserve"> </w:t>
      </w:r>
      <w:r>
        <w:t>youth</w:t>
      </w:r>
      <w:r>
        <w:rPr>
          <w:spacing w:val="-2"/>
        </w:rPr>
        <w:t xml:space="preserve"> </w:t>
      </w:r>
      <w:r>
        <w:t>are twice</w:t>
      </w:r>
      <w:r>
        <w:rPr>
          <w:spacing w:val="-3"/>
        </w:rPr>
        <w:t xml:space="preserve"> </w:t>
      </w:r>
      <w:r>
        <w:t>as</w:t>
      </w:r>
      <w:r>
        <w:rPr>
          <w:spacing w:val="-1"/>
        </w:rPr>
        <w:t xml:space="preserve"> </w:t>
      </w:r>
      <w:r>
        <w:t>likely</w:t>
      </w:r>
      <w:r>
        <w:rPr>
          <w:spacing w:val="-3"/>
        </w:rPr>
        <w:t xml:space="preserve"> </w:t>
      </w:r>
      <w:r>
        <w:t>to enter</w:t>
      </w:r>
      <w:r>
        <w:rPr>
          <w:spacing w:val="-13"/>
        </w:rPr>
        <w:t xml:space="preserve"> </w:t>
      </w:r>
      <w:r>
        <w:t>the</w:t>
      </w:r>
      <w:r>
        <w:rPr>
          <w:spacing w:val="-12"/>
        </w:rPr>
        <w:t xml:space="preserve"> </w:t>
      </w:r>
      <w:r>
        <w:t>juvenile</w:t>
      </w:r>
      <w:r>
        <w:rPr>
          <w:spacing w:val="-13"/>
        </w:rPr>
        <w:t xml:space="preserve"> </w:t>
      </w:r>
      <w:r>
        <w:t>system</w:t>
      </w:r>
      <w:r>
        <w:rPr>
          <w:spacing w:val="-12"/>
        </w:rPr>
        <w:t xml:space="preserve"> </w:t>
      </w:r>
      <w:r>
        <w:t>compared</w:t>
      </w:r>
      <w:r>
        <w:rPr>
          <w:spacing w:val="-13"/>
        </w:rPr>
        <w:t xml:space="preserve"> </w:t>
      </w:r>
      <w:r>
        <w:t>to</w:t>
      </w:r>
      <w:r>
        <w:rPr>
          <w:spacing w:val="-12"/>
        </w:rPr>
        <w:t xml:space="preserve"> </w:t>
      </w:r>
      <w:r>
        <w:t>cisgender</w:t>
      </w:r>
      <w:r>
        <w:rPr>
          <w:spacing w:val="-13"/>
        </w:rPr>
        <w:t xml:space="preserve"> </w:t>
      </w:r>
      <w:r>
        <w:t>and</w:t>
      </w:r>
      <w:r>
        <w:rPr>
          <w:spacing w:val="-12"/>
        </w:rPr>
        <w:t xml:space="preserve"> </w:t>
      </w:r>
      <w:r>
        <w:t>heterosexual</w:t>
      </w:r>
      <w:r>
        <w:rPr>
          <w:spacing w:val="-12"/>
        </w:rPr>
        <w:t xml:space="preserve"> </w:t>
      </w:r>
      <w:r>
        <w:t>youth;</w:t>
      </w:r>
      <w:hyperlink w:anchor="_bookmark657" w:history="1">
        <w:r>
          <w:rPr>
            <w:vertAlign w:val="superscript"/>
          </w:rPr>
          <w:t>1</w:t>
        </w:r>
      </w:hyperlink>
      <w:r>
        <w:rPr>
          <w:spacing w:val="-13"/>
        </w:rPr>
        <w:t xml:space="preserve"> </w:t>
      </w:r>
      <w:r>
        <w:t>of</w:t>
      </w:r>
      <w:r>
        <w:rPr>
          <w:spacing w:val="-12"/>
        </w:rPr>
        <w:t xml:space="preserve"> </w:t>
      </w:r>
      <w:r>
        <w:t>those</w:t>
      </w:r>
      <w:r>
        <w:rPr>
          <w:spacing w:val="-13"/>
        </w:rPr>
        <w:t xml:space="preserve"> </w:t>
      </w:r>
      <w:r>
        <w:t>youth,</w:t>
      </w:r>
      <w:r>
        <w:rPr>
          <w:spacing w:val="-12"/>
        </w:rPr>
        <w:t xml:space="preserve"> </w:t>
      </w:r>
      <w:r>
        <w:t>QTBIPOC</w:t>
      </w:r>
      <w:r>
        <w:rPr>
          <w:spacing w:val="-13"/>
        </w:rPr>
        <w:t xml:space="preserve"> </w:t>
      </w:r>
      <w:r>
        <w:t>youth are estimated to comprise a staggering 85% of LGBTQ youth in the juvenile justice system.</w:t>
      </w:r>
      <w:hyperlink w:anchor="_bookmark658" w:history="1">
        <w:r>
          <w:rPr>
            <w:vertAlign w:val="superscript"/>
          </w:rPr>
          <w:t>2</w:t>
        </w:r>
      </w:hyperlink>
      <w:r>
        <w:rPr>
          <w:spacing w:val="-2"/>
        </w:rPr>
        <w:t xml:space="preserve"> </w:t>
      </w:r>
      <w:r>
        <w:t>However, in the Massachusetts juvenile system, the Department of Youth Services has published data that indicates that LGBTQ yo</w:t>
      </w:r>
      <w:r>
        <w:t>uth make up only 7.4% of DYS youth.</w:t>
      </w:r>
      <w:hyperlink w:anchor="_bookmark659" w:history="1">
        <w:r>
          <w:rPr>
            <w:vertAlign w:val="superscript"/>
          </w:rPr>
          <w:t>3</w:t>
        </w:r>
      </w:hyperlink>
    </w:p>
    <w:p w:rsidR="00200FDA" w:rsidRDefault="00200FDA">
      <w:pPr>
        <w:pStyle w:val="BodyText"/>
        <w:spacing w:before="8"/>
        <w:rPr>
          <w:sz w:val="19"/>
        </w:rPr>
      </w:pPr>
    </w:p>
    <w:p w:rsidR="00200FDA" w:rsidRDefault="00F76C4C">
      <w:pPr>
        <w:pStyle w:val="BodyText"/>
        <w:spacing w:line="276" w:lineRule="auto"/>
        <w:ind w:left="139" w:right="133"/>
        <w:jc w:val="both"/>
      </w:pPr>
      <w:r>
        <w:t>For LGBTQ individuals over the age of 18, transgender individuals are nearly twice as likely to have been incarcerated and transgender people of color reporting a rate of past incarcerat</w:t>
      </w:r>
      <w:r>
        <w:t>ion at four times higher than their LGBQ peers.</w:t>
      </w:r>
      <w:hyperlink w:anchor="_bookmark660" w:history="1">
        <w:r>
          <w:rPr>
            <w:vertAlign w:val="superscript"/>
          </w:rPr>
          <w:t>4</w:t>
        </w:r>
      </w:hyperlink>
      <w:r>
        <w:rPr>
          <w:spacing w:val="-2"/>
        </w:rPr>
        <w:t xml:space="preserve"> </w:t>
      </w:r>
      <w:r>
        <w:t xml:space="preserve">The Department of Correction does not currently collect or publicize any </w:t>
      </w:r>
      <w:r>
        <w:rPr>
          <w:color w:val="040B28"/>
        </w:rPr>
        <w:t>sexual orientation,</w:t>
      </w:r>
      <w:r>
        <w:rPr>
          <w:color w:val="040B28"/>
          <w:spacing w:val="-13"/>
        </w:rPr>
        <w:t xml:space="preserve"> </w:t>
      </w:r>
      <w:r>
        <w:rPr>
          <w:color w:val="040B28"/>
        </w:rPr>
        <w:t>gender</w:t>
      </w:r>
      <w:r>
        <w:rPr>
          <w:color w:val="040B28"/>
          <w:spacing w:val="-12"/>
        </w:rPr>
        <w:t xml:space="preserve"> </w:t>
      </w:r>
      <w:r>
        <w:rPr>
          <w:color w:val="040B28"/>
        </w:rPr>
        <w:t>identity,</w:t>
      </w:r>
      <w:r>
        <w:rPr>
          <w:color w:val="040B28"/>
          <w:spacing w:val="-13"/>
        </w:rPr>
        <w:t xml:space="preserve"> </w:t>
      </w:r>
      <w:r>
        <w:rPr>
          <w:color w:val="040B28"/>
        </w:rPr>
        <w:t>and</w:t>
      </w:r>
      <w:r>
        <w:rPr>
          <w:color w:val="040B28"/>
          <w:spacing w:val="-12"/>
        </w:rPr>
        <w:t xml:space="preserve"> </w:t>
      </w:r>
      <w:r>
        <w:rPr>
          <w:color w:val="040B28"/>
        </w:rPr>
        <w:t>gender</w:t>
      </w:r>
      <w:r>
        <w:rPr>
          <w:color w:val="040B28"/>
          <w:spacing w:val="-13"/>
        </w:rPr>
        <w:t xml:space="preserve"> </w:t>
      </w:r>
      <w:r>
        <w:rPr>
          <w:color w:val="040B28"/>
        </w:rPr>
        <w:t>expression</w:t>
      </w:r>
      <w:r>
        <w:rPr>
          <w:color w:val="040B28"/>
          <w:spacing w:val="-12"/>
        </w:rPr>
        <w:t xml:space="preserve"> </w:t>
      </w:r>
      <w:r>
        <w:rPr>
          <w:color w:val="040B28"/>
        </w:rPr>
        <w:t>(</w:t>
      </w:r>
      <w:r>
        <w:t>SOGIE)</w:t>
      </w:r>
      <w:r>
        <w:rPr>
          <w:spacing w:val="-13"/>
        </w:rPr>
        <w:t xml:space="preserve"> </w:t>
      </w:r>
      <w:r>
        <w:t>data</w:t>
      </w:r>
      <w:r>
        <w:rPr>
          <w:spacing w:val="-12"/>
        </w:rPr>
        <w:t xml:space="preserve"> </w:t>
      </w:r>
      <w:r>
        <w:t>on</w:t>
      </w:r>
      <w:r>
        <w:rPr>
          <w:spacing w:val="-12"/>
        </w:rPr>
        <w:t xml:space="preserve"> </w:t>
      </w:r>
      <w:r>
        <w:t>incarcerated</w:t>
      </w:r>
      <w:r>
        <w:rPr>
          <w:spacing w:val="-13"/>
        </w:rPr>
        <w:t xml:space="preserve"> </w:t>
      </w:r>
      <w:r>
        <w:t>people</w:t>
      </w:r>
      <w:r>
        <w:rPr>
          <w:spacing w:val="-12"/>
        </w:rPr>
        <w:t xml:space="preserve"> </w:t>
      </w:r>
      <w:r>
        <w:t>in</w:t>
      </w:r>
      <w:r>
        <w:rPr>
          <w:spacing w:val="-13"/>
        </w:rPr>
        <w:t xml:space="preserve"> </w:t>
      </w:r>
      <w:r>
        <w:t>Mass</w:t>
      </w:r>
      <w:r>
        <w:t>achusetts that allows policymakers to fully understand disparities faced by LGBTQ youth facing incarceration.</w:t>
      </w:r>
      <w:hyperlink w:anchor="_bookmark661" w:history="1">
        <w:r>
          <w:rPr>
            <w:vertAlign w:val="superscript"/>
          </w:rPr>
          <w:t>5</w:t>
        </w:r>
      </w:hyperlink>
    </w:p>
    <w:p w:rsidR="00200FDA" w:rsidRDefault="00200FDA">
      <w:pPr>
        <w:pStyle w:val="BodyText"/>
        <w:spacing w:before="9"/>
        <w:rPr>
          <w:sz w:val="19"/>
        </w:rPr>
      </w:pPr>
    </w:p>
    <w:p w:rsidR="00200FDA" w:rsidRDefault="00F76C4C">
      <w:pPr>
        <w:pStyle w:val="BodyText"/>
        <w:spacing w:line="276" w:lineRule="auto"/>
        <w:ind w:left="139" w:right="135"/>
        <w:jc w:val="both"/>
      </w:pPr>
      <w:r>
        <w:t>To combat the concerning disparities faced by</w:t>
      </w:r>
      <w:r>
        <w:rPr>
          <w:spacing w:val="-1"/>
        </w:rPr>
        <w:t xml:space="preserve"> </w:t>
      </w:r>
      <w:r>
        <w:t>LGBTQ</w:t>
      </w:r>
      <w:r>
        <w:rPr>
          <w:spacing w:val="-2"/>
        </w:rPr>
        <w:t xml:space="preserve"> </w:t>
      </w:r>
      <w:r>
        <w:t>young people, the Commission has worked closely with many st</w:t>
      </w:r>
      <w:r>
        <w:t>ate agencies and entities in Massachusetts to establish more equitable state policies within the criminal legal systems. The Commission has also worked in coalition with community organizations such as Citizens for Juvenile Justice to advance legislation t</w:t>
      </w:r>
      <w:r>
        <w:t xml:space="preserve">o further reform the juvenile system and improve the lives and conditions of LGBTQ individuals involved in the juvenile and adult criminal legal </w:t>
      </w:r>
      <w:r>
        <w:rPr>
          <w:spacing w:val="-2"/>
        </w:rPr>
        <w:t>systems.</w:t>
      </w:r>
    </w:p>
    <w:p w:rsidR="00200FDA" w:rsidRDefault="00200FDA">
      <w:pPr>
        <w:pStyle w:val="BodyText"/>
        <w:spacing w:before="10"/>
        <w:rPr>
          <w:sz w:val="32"/>
        </w:rPr>
      </w:pPr>
    </w:p>
    <w:p w:rsidR="00200FDA" w:rsidRDefault="00F76C4C">
      <w:pPr>
        <w:pStyle w:val="Heading7"/>
        <w:spacing w:before="1"/>
        <w:ind w:left="140"/>
        <w:jc w:val="both"/>
      </w:pPr>
      <w:r>
        <w:pict>
          <v:rect id="docshape408" o:spid="_x0000_s1193" style="position:absolute;left:0;text-align:left;margin-left:70.55pt;margin-top:18.05pt;width:470.9pt;height:.5pt;z-index:-15651328;mso-wrap-distance-left:0;mso-wrap-distance-right:0;mso-position-horizontal-relative:page" fillcolor="#4f81bc" stroked="f">
            <w10:wrap type="topAndBottom" anchorx="page"/>
          </v:rect>
        </w:pict>
      </w:r>
      <w:bookmarkStart w:id="829" w:name="Recommendations_to_the_Governor_and_Legi"/>
      <w:bookmarkEnd w:id="829"/>
      <w:r>
        <w:rPr>
          <w:color w:val="365F91"/>
        </w:rPr>
        <w:t>Recommendations</w:t>
      </w:r>
      <w:r>
        <w:rPr>
          <w:color w:val="365F91"/>
          <w:spacing w:val="-8"/>
        </w:rPr>
        <w:t xml:space="preserve"> </w:t>
      </w:r>
      <w:r>
        <w:rPr>
          <w:color w:val="365F91"/>
        </w:rPr>
        <w:t>to</w:t>
      </w:r>
      <w:r>
        <w:rPr>
          <w:color w:val="365F91"/>
          <w:spacing w:val="-6"/>
        </w:rPr>
        <w:t xml:space="preserve"> </w:t>
      </w:r>
      <w:r>
        <w:rPr>
          <w:color w:val="365F91"/>
        </w:rPr>
        <w:t>the</w:t>
      </w:r>
      <w:r>
        <w:rPr>
          <w:color w:val="365F91"/>
          <w:spacing w:val="-7"/>
        </w:rPr>
        <w:t xml:space="preserve"> </w:t>
      </w:r>
      <w:r>
        <w:rPr>
          <w:color w:val="365F91"/>
        </w:rPr>
        <w:t>Governor</w:t>
      </w:r>
      <w:r>
        <w:rPr>
          <w:color w:val="365F91"/>
          <w:spacing w:val="-6"/>
        </w:rPr>
        <w:t xml:space="preserve"> </w:t>
      </w:r>
      <w:r>
        <w:rPr>
          <w:color w:val="365F91"/>
        </w:rPr>
        <w:t>and</w:t>
      </w:r>
      <w:r>
        <w:rPr>
          <w:color w:val="365F91"/>
          <w:spacing w:val="-8"/>
        </w:rPr>
        <w:t xml:space="preserve"> </w:t>
      </w:r>
      <w:r>
        <w:rPr>
          <w:color w:val="365F91"/>
        </w:rPr>
        <w:t>Legislature</w:t>
      </w:r>
      <w:r>
        <w:rPr>
          <w:color w:val="365F91"/>
          <w:spacing w:val="-5"/>
        </w:rPr>
        <w:t xml:space="preserve"> </w:t>
      </w:r>
      <w:r>
        <w:rPr>
          <w:color w:val="365F91"/>
        </w:rPr>
        <w:t>on</w:t>
      </w:r>
      <w:r>
        <w:rPr>
          <w:color w:val="365F91"/>
          <w:spacing w:val="-8"/>
        </w:rPr>
        <w:t xml:space="preserve"> </w:t>
      </w:r>
      <w:r>
        <w:rPr>
          <w:color w:val="365F91"/>
        </w:rPr>
        <w:t>Advancing</w:t>
      </w:r>
      <w:r>
        <w:rPr>
          <w:color w:val="365F91"/>
          <w:spacing w:val="-6"/>
        </w:rPr>
        <w:t xml:space="preserve"> </w:t>
      </w:r>
      <w:r>
        <w:rPr>
          <w:color w:val="365F91"/>
          <w:spacing w:val="-2"/>
        </w:rPr>
        <w:t>Justice</w:t>
      </w:r>
    </w:p>
    <w:p w:rsidR="00200FDA" w:rsidRDefault="00200FDA">
      <w:pPr>
        <w:pStyle w:val="BodyText"/>
        <w:rPr>
          <w:sz w:val="20"/>
        </w:rPr>
      </w:pPr>
    </w:p>
    <w:p w:rsidR="00200FDA" w:rsidRDefault="00200FDA">
      <w:pPr>
        <w:pStyle w:val="BodyText"/>
        <w:spacing w:before="5"/>
        <w:rPr>
          <w:sz w:val="18"/>
        </w:rPr>
      </w:pPr>
    </w:p>
    <w:p w:rsidR="00200FDA" w:rsidRDefault="00F76C4C">
      <w:pPr>
        <w:pStyle w:val="Heading9"/>
        <w:numPr>
          <w:ilvl w:val="0"/>
          <w:numId w:val="28"/>
        </w:numPr>
        <w:tabs>
          <w:tab w:val="left" w:pos="392"/>
        </w:tabs>
        <w:spacing w:before="1" w:line="273" w:lineRule="auto"/>
        <w:ind w:right="130" w:firstLine="0"/>
      </w:pPr>
      <w:r>
        <w:t>Increase</w:t>
      </w:r>
      <w:r>
        <w:rPr>
          <w:spacing w:val="29"/>
        </w:rPr>
        <w:t xml:space="preserve"> </w:t>
      </w:r>
      <w:r>
        <w:t>the</w:t>
      </w:r>
      <w:r>
        <w:rPr>
          <w:spacing w:val="29"/>
        </w:rPr>
        <w:t xml:space="preserve"> </w:t>
      </w:r>
      <w:r>
        <w:t>collection</w:t>
      </w:r>
      <w:r>
        <w:rPr>
          <w:spacing w:val="27"/>
        </w:rPr>
        <w:t xml:space="preserve"> </w:t>
      </w:r>
      <w:r>
        <w:t>of</w:t>
      </w:r>
      <w:r>
        <w:rPr>
          <w:spacing w:val="29"/>
        </w:rPr>
        <w:t xml:space="preserve"> </w:t>
      </w:r>
      <w:r>
        <w:t>data</w:t>
      </w:r>
      <w:r>
        <w:rPr>
          <w:spacing w:val="29"/>
        </w:rPr>
        <w:t xml:space="preserve"> </w:t>
      </w:r>
      <w:r>
        <w:t>on</w:t>
      </w:r>
      <w:r>
        <w:rPr>
          <w:spacing w:val="29"/>
        </w:rPr>
        <w:t xml:space="preserve"> </w:t>
      </w:r>
      <w:r>
        <w:t>sexual</w:t>
      </w:r>
      <w:r>
        <w:rPr>
          <w:spacing w:val="31"/>
        </w:rPr>
        <w:t xml:space="preserve"> </w:t>
      </w:r>
      <w:r>
        <w:t>orientation</w:t>
      </w:r>
      <w:r>
        <w:rPr>
          <w:spacing w:val="29"/>
        </w:rPr>
        <w:t xml:space="preserve"> </w:t>
      </w:r>
      <w:r>
        <w:t>and</w:t>
      </w:r>
      <w:r>
        <w:rPr>
          <w:spacing w:val="29"/>
        </w:rPr>
        <w:t xml:space="preserve"> </w:t>
      </w:r>
      <w:r>
        <w:t>gender</w:t>
      </w:r>
      <w:r>
        <w:rPr>
          <w:spacing w:val="30"/>
        </w:rPr>
        <w:t xml:space="preserve"> </w:t>
      </w:r>
      <w:r>
        <w:t>identity</w:t>
      </w:r>
      <w:r>
        <w:rPr>
          <w:spacing w:val="28"/>
        </w:rPr>
        <w:t xml:space="preserve"> </w:t>
      </w:r>
      <w:r>
        <w:t>to</w:t>
      </w:r>
      <w:r>
        <w:rPr>
          <w:spacing w:val="29"/>
        </w:rPr>
        <w:t xml:space="preserve"> </w:t>
      </w:r>
      <w:r>
        <w:t>identify</w:t>
      </w:r>
      <w:r>
        <w:rPr>
          <w:spacing w:val="28"/>
        </w:rPr>
        <w:t xml:space="preserve"> </w:t>
      </w:r>
      <w:r>
        <w:t>and</w:t>
      </w:r>
      <w:r>
        <w:rPr>
          <w:spacing w:val="29"/>
        </w:rPr>
        <w:t xml:space="preserve"> </w:t>
      </w:r>
      <w:r>
        <w:t>reduce disparities throughout the criminal legal systems.</w:t>
      </w:r>
    </w:p>
    <w:p w:rsidR="00200FDA" w:rsidRDefault="00200FDA">
      <w:pPr>
        <w:pStyle w:val="BodyText"/>
        <w:rPr>
          <w:b/>
          <w:sz w:val="20"/>
        </w:rPr>
      </w:pPr>
    </w:p>
    <w:p w:rsidR="00200FDA" w:rsidRDefault="00F76C4C">
      <w:pPr>
        <w:pStyle w:val="BodyText"/>
        <w:spacing w:line="276" w:lineRule="auto"/>
        <w:ind w:left="140" w:right="133"/>
        <w:jc w:val="both"/>
      </w:pPr>
      <w:r>
        <w:t>Without comprehensive data, the state has little insight to the widespread disparities experienced by LGBTQ</w:t>
      </w:r>
      <w:r>
        <w:rPr>
          <w:spacing w:val="-2"/>
        </w:rPr>
        <w:t xml:space="preserve"> </w:t>
      </w:r>
      <w:r>
        <w:t>youth in the Commonwealth.</w:t>
      </w:r>
      <w:r>
        <w:t xml:space="preserve"> In 2018, the legislature created the Juvenile Justice Policy and Data Board (JJPAD) which was tasked with collecting data to identify disparities and make recommendations on how to improve the experience of youth in the juvenile legal system. However, the</w:t>
      </w:r>
      <w:r>
        <w:t>re are still further</w:t>
      </w:r>
    </w:p>
    <w:p w:rsidR="00200FDA" w:rsidRDefault="00200FDA">
      <w:pPr>
        <w:spacing w:line="276" w:lineRule="auto"/>
        <w:jc w:val="both"/>
        <w:sectPr w:rsidR="00200FDA">
          <w:headerReference w:type="default" r:id="rId610"/>
          <w:footerReference w:type="default" r:id="rId611"/>
          <w:pgSz w:w="12240" w:h="15840"/>
          <w:pgMar w:top="1380" w:right="1300" w:bottom="1240" w:left="1300" w:header="552" w:footer="1043" w:gutter="0"/>
          <w:pgNumType w:start="144"/>
          <w:cols w:space="720"/>
        </w:sectPr>
      </w:pPr>
    </w:p>
    <w:p w:rsidR="00200FDA" w:rsidRDefault="00F76C4C">
      <w:pPr>
        <w:pStyle w:val="BodyText"/>
        <w:spacing w:before="46" w:line="276" w:lineRule="auto"/>
        <w:ind w:left="140" w:right="136"/>
        <w:jc w:val="both"/>
      </w:pPr>
      <w:r>
        <w:lastRenderedPageBreak/>
        <w:t>improvements to be made in the collection of SOGIE data in the criminal legal systems, including by mandating the collection of SOGIE data in the adult legal system.</w:t>
      </w:r>
    </w:p>
    <w:p w:rsidR="00200FDA" w:rsidRDefault="00200FDA">
      <w:pPr>
        <w:pStyle w:val="BodyText"/>
        <w:spacing w:before="7"/>
        <w:rPr>
          <w:sz w:val="19"/>
        </w:rPr>
      </w:pPr>
    </w:p>
    <w:p w:rsidR="00200FDA" w:rsidRDefault="00F76C4C">
      <w:pPr>
        <w:spacing w:line="276" w:lineRule="auto"/>
        <w:ind w:left="140" w:right="132"/>
        <w:jc w:val="both"/>
      </w:pPr>
      <w:r>
        <w:t xml:space="preserve">One such path forward would be for the legislature to pass </w:t>
      </w:r>
      <w:r>
        <w:rPr>
          <w:i/>
        </w:rPr>
        <w:t>An Act to Promote Rehabilitation Including Guaranteed Health, Treatment, and Safety for Incarcerated LGBTQI+ People</w:t>
      </w:r>
      <w:r>
        <w:t>, also known as the RIGHTS Act (</w:t>
      </w:r>
      <w:hyperlink r:id="rId612">
        <w:r>
          <w:rPr>
            <w:b/>
            <w:color w:val="0000FF"/>
            <w:u w:val="single" w:color="0000FF"/>
          </w:rPr>
          <w:t>S.1499</w:t>
        </w:r>
      </w:hyperlink>
      <w:r>
        <w:rPr>
          <w:b/>
        </w:rPr>
        <w:t>/</w:t>
      </w:r>
      <w:hyperlink r:id="rId613">
        <w:r>
          <w:rPr>
            <w:b/>
            <w:color w:val="0000FF"/>
            <w:u w:val="single" w:color="0000FF"/>
          </w:rPr>
          <w:t>H.2357</w:t>
        </w:r>
      </w:hyperlink>
      <w:r>
        <w:t xml:space="preserve">), which would collect data on LGBTQI prisoners held in restrictive housing. Additionally, the Commission advises that the legislature should pass </w:t>
      </w:r>
      <w:r>
        <w:rPr>
          <w:i/>
        </w:rPr>
        <w:t>An Act Improving Juveni</w:t>
      </w:r>
      <w:r>
        <w:rPr>
          <w:i/>
        </w:rPr>
        <w:t xml:space="preserve">le Justice Data Collection </w:t>
      </w:r>
      <w:r>
        <w:t>(</w:t>
      </w:r>
      <w:hyperlink r:id="rId614">
        <w:r>
          <w:rPr>
            <w:b/>
            <w:color w:val="0000FF"/>
            <w:u w:val="single" w:color="0000FF"/>
          </w:rPr>
          <w:t>S.931</w:t>
        </w:r>
      </w:hyperlink>
      <w:r>
        <w:rPr>
          <w:b/>
        </w:rPr>
        <w:t>/</w:t>
      </w:r>
      <w:hyperlink r:id="rId615">
        <w:r>
          <w:rPr>
            <w:b/>
            <w:color w:val="0000FF"/>
            <w:u w:val="single" w:color="0000FF"/>
          </w:rPr>
          <w:t>H.1802</w:t>
        </w:r>
      </w:hyperlink>
      <w:r>
        <w:t>), which would include sexual orientation and gender identity in the collection</w:t>
      </w:r>
      <w:r>
        <w:rPr>
          <w:spacing w:val="-10"/>
        </w:rPr>
        <w:t xml:space="preserve"> </w:t>
      </w:r>
      <w:r>
        <w:t>and</w:t>
      </w:r>
      <w:r>
        <w:rPr>
          <w:spacing w:val="-7"/>
        </w:rPr>
        <w:t xml:space="preserve"> </w:t>
      </w:r>
      <w:r>
        <w:t>reporting</w:t>
      </w:r>
      <w:r>
        <w:rPr>
          <w:spacing w:val="-10"/>
        </w:rPr>
        <w:t xml:space="preserve"> </w:t>
      </w:r>
      <w:r>
        <w:t>of</w:t>
      </w:r>
      <w:r>
        <w:rPr>
          <w:spacing w:val="-9"/>
        </w:rPr>
        <w:t xml:space="preserve"> </w:t>
      </w:r>
      <w:r>
        <w:t>juvenile</w:t>
      </w:r>
      <w:r>
        <w:rPr>
          <w:spacing w:val="-9"/>
        </w:rPr>
        <w:t xml:space="preserve"> </w:t>
      </w:r>
      <w:r>
        <w:t>data</w:t>
      </w:r>
      <w:r>
        <w:rPr>
          <w:spacing w:val="-9"/>
        </w:rPr>
        <w:t xml:space="preserve"> </w:t>
      </w:r>
      <w:r>
        <w:t>to</w:t>
      </w:r>
      <w:r>
        <w:rPr>
          <w:spacing w:val="-8"/>
        </w:rPr>
        <w:t xml:space="preserve"> </w:t>
      </w:r>
      <w:r>
        <w:t>identify</w:t>
      </w:r>
      <w:r>
        <w:rPr>
          <w:spacing w:val="-6"/>
        </w:rPr>
        <w:t xml:space="preserve"> </w:t>
      </w:r>
      <w:r>
        <w:t>and</w:t>
      </w:r>
      <w:r>
        <w:rPr>
          <w:spacing w:val="-10"/>
        </w:rPr>
        <w:t xml:space="preserve"> </w:t>
      </w:r>
      <w:r>
        <w:t>evaluate</w:t>
      </w:r>
      <w:r>
        <w:rPr>
          <w:spacing w:val="-8"/>
        </w:rPr>
        <w:t xml:space="preserve"> </w:t>
      </w:r>
      <w:r>
        <w:t>policies</w:t>
      </w:r>
      <w:r>
        <w:rPr>
          <w:spacing w:val="-9"/>
        </w:rPr>
        <w:t xml:space="preserve"> </w:t>
      </w:r>
      <w:r>
        <w:t>to</w:t>
      </w:r>
      <w:r>
        <w:rPr>
          <w:spacing w:val="-5"/>
        </w:rPr>
        <w:t xml:space="preserve"> </w:t>
      </w:r>
      <w:r>
        <w:t>reduce</w:t>
      </w:r>
      <w:r>
        <w:rPr>
          <w:spacing w:val="-8"/>
        </w:rPr>
        <w:t xml:space="preserve"> </w:t>
      </w:r>
      <w:r>
        <w:t>racial</w:t>
      </w:r>
      <w:r>
        <w:rPr>
          <w:spacing w:val="-9"/>
        </w:rPr>
        <w:t xml:space="preserve"> </w:t>
      </w:r>
      <w:r>
        <w:t>disparities</w:t>
      </w:r>
      <w:r>
        <w:rPr>
          <w:spacing w:val="-9"/>
        </w:rPr>
        <w:t xml:space="preserve"> </w:t>
      </w:r>
      <w:r>
        <w:t>in</w:t>
      </w:r>
      <w:r>
        <w:rPr>
          <w:spacing w:val="-10"/>
        </w:rPr>
        <w:t xml:space="preserve"> </w:t>
      </w:r>
      <w:r>
        <w:t>the juvenile justice system.</w:t>
      </w:r>
    </w:p>
    <w:p w:rsidR="00200FDA" w:rsidRDefault="00200FDA">
      <w:pPr>
        <w:pStyle w:val="BodyText"/>
        <w:spacing w:before="8"/>
        <w:rPr>
          <w:sz w:val="19"/>
        </w:rPr>
      </w:pPr>
    </w:p>
    <w:p w:rsidR="00200FDA" w:rsidRDefault="00F76C4C">
      <w:pPr>
        <w:pStyle w:val="BodyText"/>
        <w:spacing w:before="1" w:line="276" w:lineRule="auto"/>
        <w:ind w:left="140" w:right="132"/>
        <w:jc w:val="both"/>
      </w:pPr>
      <w:r>
        <w:t xml:space="preserve">As noted in the above Child Welfare section of this annual report, the Commission further recommends that the legislature amend the appointed members of the JJPAD to add dedicated representatives for LGBTQ youth and youth with disabilities. Since December </w:t>
      </w:r>
      <w:r>
        <w:t>of 2022, the Commission has been in conversations with the legislature on the best path forward for this endeavor.</w:t>
      </w:r>
    </w:p>
    <w:p w:rsidR="00200FDA" w:rsidRDefault="00200FDA">
      <w:pPr>
        <w:pStyle w:val="BodyText"/>
      </w:pPr>
    </w:p>
    <w:p w:rsidR="00200FDA" w:rsidRDefault="00F76C4C">
      <w:pPr>
        <w:pStyle w:val="Heading9"/>
        <w:numPr>
          <w:ilvl w:val="0"/>
          <w:numId w:val="28"/>
        </w:numPr>
        <w:tabs>
          <w:tab w:val="left" w:pos="366"/>
        </w:tabs>
        <w:spacing w:before="161" w:line="273" w:lineRule="auto"/>
        <w:ind w:left="139" w:right="134" w:firstLine="0"/>
        <w:jc w:val="both"/>
      </w:pPr>
      <w:r>
        <w:t>Limit the</w:t>
      </w:r>
      <w:r>
        <w:rPr>
          <w:spacing w:val="-1"/>
        </w:rPr>
        <w:t xml:space="preserve"> </w:t>
      </w:r>
      <w:r>
        <w:t>use</w:t>
      </w:r>
      <w:r>
        <w:rPr>
          <w:spacing w:val="-1"/>
        </w:rPr>
        <w:t xml:space="preserve"> </w:t>
      </w:r>
      <w:r>
        <w:t>of</w:t>
      </w:r>
      <w:r>
        <w:rPr>
          <w:spacing w:val="-1"/>
        </w:rPr>
        <w:t xml:space="preserve"> </w:t>
      </w:r>
      <w:r>
        <w:t>force</w:t>
      </w:r>
      <w:r>
        <w:rPr>
          <w:spacing w:val="-1"/>
        </w:rPr>
        <w:t xml:space="preserve"> </w:t>
      </w:r>
      <w:r>
        <w:t>by</w:t>
      </w:r>
      <w:r>
        <w:rPr>
          <w:spacing w:val="-2"/>
        </w:rPr>
        <w:t xml:space="preserve"> </w:t>
      </w:r>
      <w:r>
        <w:t>law enforcement and</w:t>
      </w:r>
      <w:r>
        <w:rPr>
          <w:spacing w:val="-1"/>
        </w:rPr>
        <w:t xml:space="preserve"> </w:t>
      </w:r>
      <w:r>
        <w:t>correctional officers, and</w:t>
      </w:r>
      <w:r>
        <w:rPr>
          <w:spacing w:val="-1"/>
        </w:rPr>
        <w:t xml:space="preserve"> </w:t>
      </w:r>
      <w:r>
        <w:t>establish</w:t>
      </w:r>
      <w:r>
        <w:rPr>
          <w:spacing w:val="-4"/>
        </w:rPr>
        <w:t xml:space="preserve"> </w:t>
      </w:r>
      <w:r>
        <w:t>community-based response systems to reduce police interve</w:t>
      </w:r>
      <w:r>
        <w:t>ntion.</w:t>
      </w:r>
    </w:p>
    <w:p w:rsidR="00200FDA" w:rsidRDefault="00F76C4C">
      <w:pPr>
        <w:pStyle w:val="BodyText"/>
        <w:spacing w:before="125" w:line="276" w:lineRule="auto"/>
        <w:ind w:left="139" w:right="132"/>
        <w:jc w:val="both"/>
      </w:pPr>
      <w:r>
        <w:t>In 2020, Massachusetts passed several police reform bills following the murders of George Floyd and Breonna</w:t>
      </w:r>
      <w:r>
        <w:rPr>
          <w:spacing w:val="-4"/>
        </w:rPr>
        <w:t xml:space="preserve"> </w:t>
      </w:r>
      <w:r>
        <w:t>Taylor</w:t>
      </w:r>
      <w:r>
        <w:rPr>
          <w:spacing w:val="-4"/>
        </w:rPr>
        <w:t xml:space="preserve"> </w:t>
      </w:r>
      <w:r>
        <w:t>at</w:t>
      </w:r>
      <w:r>
        <w:rPr>
          <w:spacing w:val="-4"/>
        </w:rPr>
        <w:t xml:space="preserve"> </w:t>
      </w:r>
      <w:r>
        <w:t>the</w:t>
      </w:r>
      <w:r>
        <w:rPr>
          <w:spacing w:val="-1"/>
        </w:rPr>
        <w:t xml:space="preserve"> </w:t>
      </w:r>
      <w:r>
        <w:t>hands</w:t>
      </w:r>
      <w:r>
        <w:rPr>
          <w:spacing w:val="-2"/>
        </w:rPr>
        <w:t xml:space="preserve"> </w:t>
      </w:r>
      <w:r>
        <w:t>of</w:t>
      </w:r>
      <w:r>
        <w:rPr>
          <w:spacing w:val="-2"/>
        </w:rPr>
        <w:t xml:space="preserve"> </w:t>
      </w:r>
      <w:r>
        <w:t>police,</w:t>
      </w:r>
      <w:r>
        <w:rPr>
          <w:spacing w:val="-4"/>
        </w:rPr>
        <w:t xml:space="preserve"> </w:t>
      </w:r>
      <w:r>
        <w:t>as</w:t>
      </w:r>
      <w:r>
        <w:rPr>
          <w:spacing w:val="-4"/>
        </w:rPr>
        <w:t xml:space="preserve"> </w:t>
      </w:r>
      <w:r>
        <w:t>well</w:t>
      </w:r>
      <w:r>
        <w:rPr>
          <w:spacing w:val="-5"/>
        </w:rPr>
        <w:t xml:space="preserve"> </w:t>
      </w:r>
      <w:r>
        <w:t>as</w:t>
      </w:r>
      <w:r>
        <w:rPr>
          <w:spacing w:val="-4"/>
        </w:rPr>
        <w:t xml:space="preserve"> </w:t>
      </w:r>
      <w:r>
        <w:t>countless</w:t>
      </w:r>
      <w:r>
        <w:rPr>
          <w:spacing w:val="-4"/>
        </w:rPr>
        <w:t xml:space="preserve"> </w:t>
      </w:r>
      <w:r>
        <w:t>other</w:t>
      </w:r>
      <w:r>
        <w:rPr>
          <w:spacing w:val="-2"/>
        </w:rPr>
        <w:t xml:space="preserve"> </w:t>
      </w:r>
      <w:r>
        <w:t>instances</w:t>
      </w:r>
      <w:r>
        <w:rPr>
          <w:spacing w:val="-7"/>
        </w:rPr>
        <w:t xml:space="preserve"> </w:t>
      </w:r>
      <w:r>
        <w:t>of</w:t>
      </w:r>
      <w:r>
        <w:rPr>
          <w:spacing w:val="-2"/>
        </w:rPr>
        <w:t xml:space="preserve"> </w:t>
      </w:r>
      <w:r>
        <w:t>police</w:t>
      </w:r>
      <w:r>
        <w:rPr>
          <w:spacing w:val="-1"/>
        </w:rPr>
        <w:t xml:space="preserve"> </w:t>
      </w:r>
      <w:r>
        <w:t>brutality.</w:t>
      </w:r>
      <w:r>
        <w:rPr>
          <w:spacing w:val="-5"/>
        </w:rPr>
        <w:t xml:space="preserve"> </w:t>
      </w:r>
      <w:r>
        <w:t>Since</w:t>
      </w:r>
      <w:r>
        <w:rPr>
          <w:spacing w:val="-4"/>
        </w:rPr>
        <w:t xml:space="preserve"> </w:t>
      </w:r>
      <w:r>
        <w:t>2020, there has been no further major evolutio</w:t>
      </w:r>
      <w:r>
        <w:t>ns in Massachusetts law, and the 2020 reforms fell short in several areas, including: failing to (1) restrict the government’s use of dangerous, racially-biased and transphobic facial surveillance technology; (2) abolish or meaningfully roll back qualified</w:t>
      </w:r>
      <w:r>
        <w:t xml:space="preserve"> immunity for police</w:t>
      </w:r>
      <w:r>
        <w:rPr>
          <w:spacing w:val="-8"/>
        </w:rPr>
        <w:t xml:space="preserve"> </w:t>
      </w:r>
      <w:r>
        <w:t>officers,</w:t>
      </w:r>
      <w:r>
        <w:rPr>
          <w:spacing w:val="-9"/>
        </w:rPr>
        <w:t xml:space="preserve"> </w:t>
      </w:r>
      <w:r>
        <w:t>which</w:t>
      </w:r>
      <w:r>
        <w:rPr>
          <w:spacing w:val="-10"/>
        </w:rPr>
        <w:t xml:space="preserve"> </w:t>
      </w:r>
      <w:r>
        <w:t>shields</w:t>
      </w:r>
      <w:r>
        <w:rPr>
          <w:spacing w:val="-7"/>
        </w:rPr>
        <w:t xml:space="preserve"> </w:t>
      </w:r>
      <w:r>
        <w:t>police</w:t>
      </w:r>
      <w:r>
        <w:rPr>
          <w:spacing w:val="-6"/>
        </w:rPr>
        <w:t xml:space="preserve"> </w:t>
      </w:r>
      <w:r>
        <w:t>from</w:t>
      </w:r>
      <w:r>
        <w:rPr>
          <w:spacing w:val="-5"/>
        </w:rPr>
        <w:t xml:space="preserve"> </w:t>
      </w:r>
      <w:r>
        <w:t>liability</w:t>
      </w:r>
      <w:r>
        <w:rPr>
          <w:spacing w:val="-8"/>
        </w:rPr>
        <w:t xml:space="preserve"> </w:t>
      </w:r>
      <w:r>
        <w:t>for</w:t>
      </w:r>
      <w:r>
        <w:rPr>
          <w:spacing w:val="-12"/>
        </w:rPr>
        <w:t xml:space="preserve"> </w:t>
      </w:r>
      <w:r>
        <w:t>violating</w:t>
      </w:r>
      <w:r>
        <w:rPr>
          <w:spacing w:val="-7"/>
        </w:rPr>
        <w:t xml:space="preserve"> </w:t>
      </w:r>
      <w:r>
        <w:t>the</w:t>
      </w:r>
      <w:r>
        <w:rPr>
          <w:spacing w:val="-8"/>
        </w:rPr>
        <w:t xml:space="preserve"> </w:t>
      </w:r>
      <w:r>
        <w:t>rights</w:t>
      </w:r>
      <w:r>
        <w:rPr>
          <w:spacing w:val="-9"/>
        </w:rPr>
        <w:t xml:space="preserve"> </w:t>
      </w:r>
      <w:r>
        <w:t>of</w:t>
      </w:r>
      <w:r>
        <w:rPr>
          <w:spacing w:val="-9"/>
        </w:rPr>
        <w:t xml:space="preserve"> </w:t>
      </w:r>
      <w:r>
        <w:t>an</w:t>
      </w:r>
      <w:r>
        <w:rPr>
          <w:spacing w:val="-7"/>
        </w:rPr>
        <w:t xml:space="preserve"> </w:t>
      </w:r>
      <w:r>
        <w:t>individual;</w:t>
      </w:r>
      <w:r>
        <w:rPr>
          <w:spacing w:val="-6"/>
        </w:rPr>
        <w:t xml:space="preserve"> </w:t>
      </w:r>
      <w:r>
        <w:t>(3)</w:t>
      </w:r>
      <w:r>
        <w:rPr>
          <w:spacing w:val="-9"/>
        </w:rPr>
        <w:t xml:space="preserve"> </w:t>
      </w:r>
      <w:r>
        <w:t>establish</w:t>
      </w:r>
      <w:r>
        <w:rPr>
          <w:spacing w:val="-10"/>
        </w:rPr>
        <w:t xml:space="preserve"> </w:t>
      </w:r>
      <w:r>
        <w:t>clear definitions of police use of force, the failure of which leaves the appropriate standard for police use of physical</w:t>
      </w:r>
      <w:r>
        <w:rPr>
          <w:spacing w:val="-8"/>
        </w:rPr>
        <w:t xml:space="preserve"> </w:t>
      </w:r>
      <w:r>
        <w:t>force</w:t>
      </w:r>
      <w:r>
        <w:rPr>
          <w:spacing w:val="-9"/>
        </w:rPr>
        <w:t xml:space="preserve"> </w:t>
      </w:r>
      <w:r>
        <w:t>open</w:t>
      </w:r>
      <w:r>
        <w:rPr>
          <w:spacing w:val="-8"/>
        </w:rPr>
        <w:t xml:space="preserve"> </w:t>
      </w:r>
      <w:r>
        <w:t>to</w:t>
      </w:r>
      <w:r>
        <w:rPr>
          <w:spacing w:val="-6"/>
        </w:rPr>
        <w:t xml:space="preserve"> </w:t>
      </w:r>
      <w:r>
        <w:t>subjective</w:t>
      </w:r>
      <w:r>
        <w:rPr>
          <w:spacing w:val="-7"/>
        </w:rPr>
        <w:t xml:space="preserve"> </w:t>
      </w:r>
      <w:r>
        <w:t>interpretation;</w:t>
      </w:r>
      <w:r>
        <w:rPr>
          <w:spacing w:val="-7"/>
        </w:rPr>
        <w:t xml:space="preserve"> </w:t>
      </w:r>
      <w:r>
        <w:t>and</w:t>
      </w:r>
      <w:r>
        <w:rPr>
          <w:spacing w:val="-8"/>
        </w:rPr>
        <w:t xml:space="preserve"> </w:t>
      </w:r>
      <w:r>
        <w:t>(4)</w:t>
      </w:r>
      <w:r>
        <w:rPr>
          <w:spacing w:val="-7"/>
        </w:rPr>
        <w:t xml:space="preserve"> </w:t>
      </w:r>
      <w:r>
        <w:t>require</w:t>
      </w:r>
      <w:r>
        <w:rPr>
          <w:spacing w:val="-7"/>
        </w:rPr>
        <w:t xml:space="preserve"> </w:t>
      </w:r>
      <w:r>
        <w:t>local</w:t>
      </w:r>
      <w:r>
        <w:rPr>
          <w:spacing w:val="-10"/>
        </w:rPr>
        <w:t xml:space="preserve"> </w:t>
      </w:r>
      <w:r>
        <w:t>elected</w:t>
      </w:r>
      <w:r>
        <w:rPr>
          <w:spacing w:val="-8"/>
        </w:rPr>
        <w:t xml:space="preserve"> </w:t>
      </w:r>
      <w:r>
        <w:t>government</w:t>
      </w:r>
      <w:r>
        <w:rPr>
          <w:spacing w:val="-7"/>
        </w:rPr>
        <w:t xml:space="preserve"> </w:t>
      </w:r>
      <w:r>
        <w:t>bodies,</w:t>
      </w:r>
      <w:r>
        <w:rPr>
          <w:spacing w:val="-8"/>
        </w:rPr>
        <w:t xml:space="preserve"> </w:t>
      </w:r>
      <w:r>
        <w:t>like</w:t>
      </w:r>
      <w:r>
        <w:rPr>
          <w:spacing w:val="-7"/>
        </w:rPr>
        <w:t xml:space="preserve"> </w:t>
      </w:r>
      <w:r>
        <w:t>city councils, to approve any transfers to military equipment to their local police department.</w:t>
      </w:r>
    </w:p>
    <w:p w:rsidR="00200FDA" w:rsidRDefault="00200FDA">
      <w:pPr>
        <w:pStyle w:val="BodyText"/>
        <w:spacing w:before="7"/>
        <w:rPr>
          <w:sz w:val="19"/>
        </w:rPr>
      </w:pPr>
    </w:p>
    <w:p w:rsidR="00200FDA" w:rsidRDefault="00F76C4C">
      <w:pPr>
        <w:pStyle w:val="BodyText"/>
        <w:spacing w:line="276" w:lineRule="auto"/>
        <w:ind w:left="139" w:right="136"/>
        <w:jc w:val="both"/>
      </w:pPr>
      <w:r>
        <w:t>In January of 2023, Cambridge police officers shot and killed a 20-year-ol</w:t>
      </w:r>
      <w:r>
        <w:t>d University of Massachusetts student</w:t>
      </w:r>
      <w:r>
        <w:rPr>
          <w:spacing w:val="-1"/>
        </w:rPr>
        <w:t xml:space="preserve"> </w:t>
      </w:r>
      <w:r>
        <w:t>from</w:t>
      </w:r>
      <w:r>
        <w:rPr>
          <w:spacing w:val="-1"/>
        </w:rPr>
        <w:t xml:space="preserve"> </w:t>
      </w:r>
      <w:r>
        <w:t>Bangladesh,</w:t>
      </w:r>
      <w:r>
        <w:rPr>
          <w:spacing w:val="-4"/>
        </w:rPr>
        <w:t xml:space="preserve"> </w:t>
      </w:r>
      <w:r>
        <w:t>Sayed</w:t>
      </w:r>
      <w:r>
        <w:rPr>
          <w:spacing w:val="-3"/>
        </w:rPr>
        <w:t xml:space="preserve"> </w:t>
      </w:r>
      <w:r>
        <w:t>Faisal,</w:t>
      </w:r>
      <w:r>
        <w:rPr>
          <w:spacing w:val="-2"/>
        </w:rPr>
        <w:t xml:space="preserve"> </w:t>
      </w:r>
      <w:r>
        <w:t>who</w:t>
      </w:r>
      <w:r>
        <w:rPr>
          <w:spacing w:val="-1"/>
        </w:rPr>
        <w:t xml:space="preserve"> </w:t>
      </w:r>
      <w:r>
        <w:t>was</w:t>
      </w:r>
      <w:r>
        <w:rPr>
          <w:spacing w:val="-2"/>
        </w:rPr>
        <w:t xml:space="preserve"> </w:t>
      </w:r>
      <w:r>
        <w:t>reportedly</w:t>
      </w:r>
      <w:r>
        <w:rPr>
          <w:spacing w:val="-1"/>
        </w:rPr>
        <w:t xml:space="preserve"> </w:t>
      </w:r>
      <w:r>
        <w:t>having</w:t>
      </w:r>
      <w:r>
        <w:rPr>
          <w:spacing w:val="-3"/>
        </w:rPr>
        <w:t xml:space="preserve"> </w:t>
      </w:r>
      <w:r>
        <w:t>a</w:t>
      </w:r>
      <w:r>
        <w:rPr>
          <w:spacing w:val="-2"/>
        </w:rPr>
        <w:t xml:space="preserve"> </w:t>
      </w:r>
      <w:r>
        <w:t>mental</w:t>
      </w:r>
      <w:r>
        <w:rPr>
          <w:spacing w:val="-2"/>
        </w:rPr>
        <w:t xml:space="preserve"> </w:t>
      </w:r>
      <w:r>
        <w:t>health</w:t>
      </w:r>
      <w:r>
        <w:rPr>
          <w:spacing w:val="-3"/>
        </w:rPr>
        <w:t xml:space="preserve"> </w:t>
      </w:r>
      <w:r>
        <w:t>crisis.</w:t>
      </w:r>
      <w:r>
        <w:rPr>
          <w:spacing w:val="-2"/>
        </w:rPr>
        <w:t xml:space="preserve"> </w:t>
      </w:r>
      <w:r>
        <w:t>Since</w:t>
      </w:r>
      <w:r>
        <w:rPr>
          <w:spacing w:val="-1"/>
        </w:rPr>
        <w:t xml:space="preserve"> </w:t>
      </w:r>
      <w:r>
        <w:t>then,</w:t>
      </w:r>
      <w:r>
        <w:rPr>
          <w:spacing w:val="-4"/>
        </w:rPr>
        <w:t xml:space="preserve"> </w:t>
      </w:r>
      <w:r>
        <w:t>the Middlesex District Attorney’s has begun an inquest into the shooting, and the city of Cambridge has announced the implementation of a body camera program for police, and is examining alternative responses to emergency calls in mental health crisis situ</w:t>
      </w:r>
      <w:r>
        <w:t>ations.</w:t>
      </w:r>
      <w:hyperlink w:anchor="_bookmark662" w:history="1">
        <w:r>
          <w:rPr>
            <w:vertAlign w:val="superscript"/>
          </w:rPr>
          <w:t>6</w:t>
        </w:r>
      </w:hyperlink>
      <w:r>
        <w:rPr>
          <w:spacing w:val="-3"/>
        </w:rPr>
        <w:t xml:space="preserve"> </w:t>
      </w:r>
      <w:r>
        <w:t>The Commission strongly recommends that the State examine all local practices and policies as it relates to police responses to emergency calls to ensure that youth are protected from violence and discrimination whe</w:t>
      </w:r>
      <w:r>
        <w:t>n in crisis.</w:t>
      </w:r>
    </w:p>
    <w:p w:rsidR="00200FDA" w:rsidRDefault="00200FDA">
      <w:pPr>
        <w:pStyle w:val="BodyText"/>
        <w:spacing w:before="9"/>
        <w:rPr>
          <w:sz w:val="19"/>
        </w:rPr>
      </w:pPr>
    </w:p>
    <w:p w:rsidR="00200FDA" w:rsidRDefault="00F76C4C">
      <w:pPr>
        <w:spacing w:line="276" w:lineRule="auto"/>
        <w:ind w:left="139" w:right="135"/>
        <w:jc w:val="both"/>
      </w:pPr>
      <w:r>
        <w:t xml:space="preserve">The Commission further recommends that Massachusetts ban the use of facial surveillance technology, such as suggested in </w:t>
      </w:r>
      <w:r>
        <w:rPr>
          <w:i/>
        </w:rPr>
        <w:t xml:space="preserve">An Act to Implement the Recommendations of the Special Commission on Facial Recognition Technology </w:t>
      </w:r>
      <w:r>
        <w:t>(</w:t>
      </w:r>
      <w:hyperlink r:id="rId616">
        <w:r>
          <w:rPr>
            <w:color w:val="1154CC"/>
            <w:u w:val="single" w:color="1154CC"/>
          </w:rPr>
          <w:t>S.927</w:t>
        </w:r>
      </w:hyperlink>
      <w:r>
        <w:t>/</w:t>
      </w:r>
      <w:hyperlink r:id="rId617">
        <w:r>
          <w:rPr>
            <w:color w:val="1154CC"/>
            <w:u w:val="single" w:color="1154CC"/>
          </w:rPr>
          <w:t>H.1728</w:t>
        </w:r>
      </w:hyperlink>
      <w:r>
        <w:t>). As discussed below, facial surveillance technology has been shown to increase the likelihood of false arrests and criminal charges against QT</w:t>
      </w:r>
      <w:r>
        <w:t>BIPOC individuals.</w:t>
      </w:r>
    </w:p>
    <w:p w:rsidR="00200FDA" w:rsidRDefault="00200FDA">
      <w:pPr>
        <w:spacing w:line="276" w:lineRule="auto"/>
        <w:jc w:val="both"/>
        <w:sectPr w:rsidR="00200FDA">
          <w:pgSz w:w="12240" w:h="15840"/>
          <w:pgMar w:top="1380" w:right="1300" w:bottom="1240" w:left="1300" w:header="552" w:footer="1043" w:gutter="0"/>
          <w:cols w:space="720"/>
        </w:sectPr>
      </w:pPr>
    </w:p>
    <w:p w:rsidR="00200FDA" w:rsidRDefault="00200FDA">
      <w:pPr>
        <w:pStyle w:val="BodyText"/>
        <w:rPr>
          <w:sz w:val="20"/>
        </w:rPr>
      </w:pPr>
    </w:p>
    <w:p w:rsidR="00200FDA" w:rsidRDefault="00200FDA">
      <w:pPr>
        <w:pStyle w:val="BodyText"/>
        <w:spacing w:before="11"/>
        <w:rPr>
          <w:sz w:val="18"/>
        </w:rPr>
      </w:pPr>
    </w:p>
    <w:p w:rsidR="00200FDA" w:rsidRDefault="00F76C4C">
      <w:pPr>
        <w:pStyle w:val="Heading9"/>
        <w:numPr>
          <w:ilvl w:val="0"/>
          <w:numId w:val="28"/>
        </w:numPr>
        <w:tabs>
          <w:tab w:val="left" w:pos="361"/>
        </w:tabs>
        <w:spacing w:before="1"/>
        <w:ind w:left="360" w:hanging="221"/>
        <w:jc w:val="both"/>
      </w:pPr>
      <w:r>
        <w:t>Remove</w:t>
      </w:r>
      <w:r>
        <w:rPr>
          <w:spacing w:val="-8"/>
        </w:rPr>
        <w:t xml:space="preserve"> </w:t>
      </w:r>
      <w:r>
        <w:t>police</w:t>
      </w:r>
      <w:r>
        <w:rPr>
          <w:spacing w:val="-5"/>
        </w:rPr>
        <w:t xml:space="preserve"> </w:t>
      </w:r>
      <w:r>
        <w:t>from</w:t>
      </w:r>
      <w:r>
        <w:rPr>
          <w:spacing w:val="-7"/>
        </w:rPr>
        <w:t xml:space="preserve"> </w:t>
      </w:r>
      <w:r>
        <w:t>schools</w:t>
      </w:r>
      <w:r>
        <w:rPr>
          <w:spacing w:val="-3"/>
        </w:rPr>
        <w:t xml:space="preserve"> </w:t>
      </w:r>
      <w:r>
        <w:t>and</w:t>
      </w:r>
      <w:r>
        <w:rPr>
          <w:spacing w:val="-6"/>
        </w:rPr>
        <w:t xml:space="preserve"> </w:t>
      </w:r>
      <w:r>
        <w:t>require</w:t>
      </w:r>
      <w:r>
        <w:rPr>
          <w:spacing w:val="-7"/>
        </w:rPr>
        <w:t xml:space="preserve"> </w:t>
      </w:r>
      <w:r>
        <w:t>schools</w:t>
      </w:r>
      <w:r>
        <w:rPr>
          <w:spacing w:val="-5"/>
        </w:rPr>
        <w:t xml:space="preserve"> </w:t>
      </w:r>
      <w:r>
        <w:t>to</w:t>
      </w:r>
      <w:r>
        <w:rPr>
          <w:spacing w:val="-6"/>
        </w:rPr>
        <w:t xml:space="preserve"> </w:t>
      </w:r>
      <w:r>
        <w:t>collect</w:t>
      </w:r>
      <w:r>
        <w:rPr>
          <w:spacing w:val="-4"/>
        </w:rPr>
        <w:t xml:space="preserve"> </w:t>
      </w:r>
      <w:r>
        <w:t>SOGIE</w:t>
      </w:r>
      <w:r>
        <w:rPr>
          <w:spacing w:val="-6"/>
        </w:rPr>
        <w:t xml:space="preserve"> </w:t>
      </w:r>
      <w:r>
        <w:t>information</w:t>
      </w:r>
      <w:r>
        <w:rPr>
          <w:spacing w:val="-6"/>
        </w:rPr>
        <w:t xml:space="preserve"> </w:t>
      </w:r>
      <w:r>
        <w:t>in</w:t>
      </w:r>
      <w:r>
        <w:rPr>
          <w:spacing w:val="-5"/>
        </w:rPr>
        <w:t xml:space="preserve"> </w:t>
      </w:r>
      <w:r>
        <w:t>disciplinary</w:t>
      </w:r>
      <w:r>
        <w:rPr>
          <w:spacing w:val="-5"/>
        </w:rPr>
        <w:t xml:space="preserve"> </w:t>
      </w:r>
      <w:r>
        <w:rPr>
          <w:spacing w:val="-2"/>
        </w:rPr>
        <w:t>cases.</w:t>
      </w:r>
    </w:p>
    <w:p w:rsidR="00200FDA" w:rsidRDefault="00F76C4C">
      <w:pPr>
        <w:pStyle w:val="BodyText"/>
        <w:spacing w:before="158" w:line="276" w:lineRule="auto"/>
        <w:ind w:left="140" w:right="134"/>
        <w:jc w:val="both"/>
      </w:pPr>
      <w:r>
        <w:t>The Commission</w:t>
      </w:r>
      <w:r>
        <w:rPr>
          <w:spacing w:val="-4"/>
        </w:rPr>
        <w:t xml:space="preserve"> </w:t>
      </w:r>
      <w:r>
        <w:t>continues</w:t>
      </w:r>
      <w:r>
        <w:rPr>
          <w:spacing w:val="-3"/>
        </w:rPr>
        <w:t xml:space="preserve"> </w:t>
      </w:r>
      <w:r>
        <w:t>to support</w:t>
      </w:r>
      <w:r>
        <w:rPr>
          <w:spacing w:val="-2"/>
        </w:rPr>
        <w:t xml:space="preserve"> </w:t>
      </w:r>
      <w:r>
        <w:t>the removal</w:t>
      </w:r>
      <w:r>
        <w:rPr>
          <w:spacing w:val="-3"/>
        </w:rPr>
        <w:t xml:space="preserve"> </w:t>
      </w:r>
      <w:r>
        <w:t>of</w:t>
      </w:r>
      <w:r>
        <w:rPr>
          <w:spacing w:val="-3"/>
        </w:rPr>
        <w:t xml:space="preserve"> </w:t>
      </w:r>
      <w:r>
        <w:t>police</w:t>
      </w:r>
      <w:r>
        <w:rPr>
          <w:spacing w:val="-2"/>
        </w:rPr>
        <w:t xml:space="preserve"> </w:t>
      </w:r>
      <w:r>
        <w:t>officers from schools, and</w:t>
      </w:r>
      <w:r>
        <w:rPr>
          <w:spacing w:val="-1"/>
        </w:rPr>
        <w:t xml:space="preserve"> </w:t>
      </w:r>
      <w:r>
        <w:t xml:space="preserve">recommends that the legislature pass the newly refiled bill, </w:t>
      </w:r>
      <w:r>
        <w:rPr>
          <w:i/>
        </w:rPr>
        <w:t xml:space="preserve">An Act Relative to the Location of School Resource Officers </w:t>
      </w:r>
      <w:r>
        <w:t>(</w:t>
      </w:r>
      <w:hyperlink r:id="rId618">
        <w:r>
          <w:rPr>
            <w:b/>
            <w:color w:val="0000FF"/>
            <w:u w:val="single" w:color="0000FF"/>
          </w:rPr>
          <w:t>H.565</w:t>
        </w:r>
      </w:hyperlink>
      <w:r>
        <w:t>),</w:t>
      </w:r>
      <w:r>
        <w:rPr>
          <w:spacing w:val="-7"/>
        </w:rPr>
        <w:t xml:space="preserve"> </w:t>
      </w:r>
      <w:r>
        <w:t>which</w:t>
      </w:r>
      <w:r>
        <w:rPr>
          <w:spacing w:val="-7"/>
        </w:rPr>
        <w:t xml:space="preserve"> </w:t>
      </w:r>
      <w:r>
        <w:t>would</w:t>
      </w:r>
      <w:r>
        <w:rPr>
          <w:spacing w:val="-5"/>
        </w:rPr>
        <w:t xml:space="preserve"> </w:t>
      </w:r>
      <w:r>
        <w:t>require</w:t>
      </w:r>
      <w:r>
        <w:rPr>
          <w:spacing w:val="-4"/>
        </w:rPr>
        <w:t xml:space="preserve"> </w:t>
      </w:r>
      <w:r>
        <w:t>that</w:t>
      </w:r>
      <w:r>
        <w:rPr>
          <w:spacing w:val="-5"/>
        </w:rPr>
        <w:t xml:space="preserve"> </w:t>
      </w:r>
      <w:r>
        <w:t>school</w:t>
      </w:r>
      <w:r>
        <w:rPr>
          <w:spacing w:val="-5"/>
        </w:rPr>
        <w:t xml:space="preserve"> </w:t>
      </w:r>
      <w:r>
        <w:t>resource</w:t>
      </w:r>
      <w:r>
        <w:rPr>
          <w:spacing w:val="-6"/>
        </w:rPr>
        <w:t xml:space="preserve"> </w:t>
      </w:r>
      <w:r>
        <w:t>officers</w:t>
      </w:r>
      <w:r>
        <w:rPr>
          <w:spacing w:val="-4"/>
        </w:rPr>
        <w:t xml:space="preserve"> </w:t>
      </w:r>
      <w:r>
        <w:t>be</w:t>
      </w:r>
      <w:r>
        <w:rPr>
          <w:spacing w:val="-5"/>
        </w:rPr>
        <w:t xml:space="preserve"> </w:t>
      </w:r>
      <w:r>
        <w:t>located</w:t>
      </w:r>
      <w:r>
        <w:rPr>
          <w:spacing w:val="-5"/>
        </w:rPr>
        <w:t xml:space="preserve"> </w:t>
      </w:r>
      <w:r>
        <w:t>at</w:t>
      </w:r>
      <w:r>
        <w:rPr>
          <w:spacing w:val="-4"/>
        </w:rPr>
        <w:t xml:space="preserve"> </w:t>
      </w:r>
      <w:r>
        <w:t>p</w:t>
      </w:r>
      <w:r>
        <w:t>olice</w:t>
      </w:r>
      <w:r>
        <w:rPr>
          <w:spacing w:val="-6"/>
        </w:rPr>
        <w:t xml:space="preserve"> </w:t>
      </w:r>
      <w:r>
        <w:t>stations</w:t>
      </w:r>
      <w:r>
        <w:rPr>
          <w:spacing w:val="-7"/>
        </w:rPr>
        <w:t xml:space="preserve"> </w:t>
      </w:r>
      <w:r>
        <w:t>and</w:t>
      </w:r>
      <w:r>
        <w:rPr>
          <w:spacing w:val="-5"/>
        </w:rPr>
        <w:t xml:space="preserve"> </w:t>
      </w:r>
      <w:r>
        <w:t>not</w:t>
      </w:r>
      <w:r>
        <w:rPr>
          <w:spacing w:val="-6"/>
        </w:rPr>
        <w:t xml:space="preserve"> </w:t>
      </w:r>
      <w:r>
        <w:t>on</w:t>
      </w:r>
      <w:r>
        <w:rPr>
          <w:spacing w:val="-8"/>
        </w:rPr>
        <w:t xml:space="preserve"> </w:t>
      </w:r>
      <w:r>
        <w:t>school grounds. Furthermore, the Commission recommends that schools be mandated to collect SOGIE demographic</w:t>
      </w:r>
      <w:r>
        <w:rPr>
          <w:spacing w:val="-13"/>
        </w:rPr>
        <w:t xml:space="preserve"> </w:t>
      </w:r>
      <w:r>
        <w:t>information</w:t>
      </w:r>
      <w:r>
        <w:rPr>
          <w:spacing w:val="-12"/>
        </w:rPr>
        <w:t xml:space="preserve"> </w:t>
      </w:r>
      <w:r>
        <w:t>on</w:t>
      </w:r>
      <w:r>
        <w:rPr>
          <w:spacing w:val="-13"/>
        </w:rPr>
        <w:t xml:space="preserve"> </w:t>
      </w:r>
      <w:r>
        <w:t>students</w:t>
      </w:r>
      <w:r>
        <w:rPr>
          <w:spacing w:val="-12"/>
        </w:rPr>
        <w:t xml:space="preserve"> </w:t>
      </w:r>
      <w:r>
        <w:t>involved</w:t>
      </w:r>
      <w:r>
        <w:rPr>
          <w:spacing w:val="-13"/>
        </w:rPr>
        <w:t xml:space="preserve"> </w:t>
      </w:r>
      <w:r>
        <w:t>in</w:t>
      </w:r>
      <w:r>
        <w:rPr>
          <w:spacing w:val="-12"/>
        </w:rPr>
        <w:t xml:space="preserve"> </w:t>
      </w:r>
      <w:r>
        <w:t>disciplinary</w:t>
      </w:r>
      <w:r>
        <w:rPr>
          <w:spacing w:val="-13"/>
        </w:rPr>
        <w:t xml:space="preserve"> </w:t>
      </w:r>
      <w:r>
        <w:t>cases.</w:t>
      </w:r>
      <w:r>
        <w:rPr>
          <w:spacing w:val="-12"/>
        </w:rPr>
        <w:t xml:space="preserve"> </w:t>
      </w:r>
      <w:r>
        <w:t>As</w:t>
      </w:r>
      <w:r>
        <w:rPr>
          <w:spacing w:val="-12"/>
        </w:rPr>
        <w:t xml:space="preserve"> </w:t>
      </w:r>
      <w:r>
        <w:t>highlighted</w:t>
      </w:r>
      <w:r>
        <w:rPr>
          <w:spacing w:val="-13"/>
        </w:rPr>
        <w:t xml:space="preserve"> </w:t>
      </w:r>
      <w:r>
        <w:t>throughout</w:t>
      </w:r>
      <w:r>
        <w:rPr>
          <w:spacing w:val="-12"/>
        </w:rPr>
        <w:t xml:space="preserve"> </w:t>
      </w:r>
      <w:r>
        <w:t>this</w:t>
      </w:r>
      <w:r>
        <w:rPr>
          <w:spacing w:val="-13"/>
        </w:rPr>
        <w:t xml:space="preserve"> </w:t>
      </w:r>
      <w:r>
        <w:t>annual report, LGBTQ youth are mor</w:t>
      </w:r>
      <w:r>
        <w:t>e likely to be victims of bullying, and thus more likely to be involved in a disciplinary process that can sometimes lead to the victims being punished more than the perpetrator.</w:t>
      </w:r>
    </w:p>
    <w:p w:rsidR="00200FDA" w:rsidRDefault="00200FDA">
      <w:pPr>
        <w:pStyle w:val="BodyText"/>
        <w:spacing w:before="9"/>
        <w:rPr>
          <w:sz w:val="19"/>
        </w:rPr>
      </w:pPr>
    </w:p>
    <w:p w:rsidR="00200FDA" w:rsidRDefault="00F76C4C">
      <w:pPr>
        <w:pStyle w:val="Heading9"/>
        <w:numPr>
          <w:ilvl w:val="0"/>
          <w:numId w:val="28"/>
        </w:numPr>
        <w:tabs>
          <w:tab w:val="left" w:pos="369"/>
        </w:tabs>
        <w:spacing w:line="276" w:lineRule="auto"/>
        <w:ind w:right="133" w:firstLine="0"/>
        <w:jc w:val="both"/>
      </w:pPr>
      <w:r>
        <w:t>Decriminalize consensual sexual relations among parties close in age, and su</w:t>
      </w:r>
      <w:r>
        <w:t>pport education rather than criminal discipline.</w:t>
      </w:r>
    </w:p>
    <w:p w:rsidR="00200FDA" w:rsidRDefault="00F76C4C">
      <w:pPr>
        <w:pStyle w:val="BodyText"/>
        <w:spacing w:before="121" w:line="276" w:lineRule="auto"/>
        <w:ind w:left="139" w:right="132"/>
        <w:jc w:val="both"/>
      </w:pPr>
      <w:r>
        <w:t>The</w:t>
      </w:r>
      <w:r>
        <w:rPr>
          <w:spacing w:val="-1"/>
        </w:rPr>
        <w:t xml:space="preserve"> </w:t>
      </w:r>
      <w:r>
        <w:t>Commission</w:t>
      </w:r>
      <w:r>
        <w:rPr>
          <w:spacing w:val="-5"/>
        </w:rPr>
        <w:t xml:space="preserve"> </w:t>
      </w:r>
      <w:r>
        <w:t>recommends</w:t>
      </w:r>
      <w:r>
        <w:rPr>
          <w:spacing w:val="-2"/>
        </w:rPr>
        <w:t xml:space="preserve"> </w:t>
      </w:r>
      <w:r>
        <w:t>that</w:t>
      </w:r>
      <w:r>
        <w:rPr>
          <w:spacing w:val="-4"/>
        </w:rPr>
        <w:t xml:space="preserve"> </w:t>
      </w:r>
      <w:r>
        <w:t>the</w:t>
      </w:r>
      <w:r>
        <w:rPr>
          <w:spacing w:val="-4"/>
        </w:rPr>
        <w:t xml:space="preserve"> </w:t>
      </w:r>
      <w:r>
        <w:t>state</w:t>
      </w:r>
      <w:r>
        <w:rPr>
          <w:spacing w:val="-1"/>
        </w:rPr>
        <w:t xml:space="preserve"> </w:t>
      </w:r>
      <w:r>
        <w:t>decriminalize</w:t>
      </w:r>
      <w:r>
        <w:rPr>
          <w:spacing w:val="-1"/>
        </w:rPr>
        <w:t xml:space="preserve"> </w:t>
      </w:r>
      <w:r>
        <w:t>the</w:t>
      </w:r>
      <w:r>
        <w:rPr>
          <w:spacing w:val="-4"/>
        </w:rPr>
        <w:t xml:space="preserve"> </w:t>
      </w:r>
      <w:r>
        <w:t>consensual</w:t>
      </w:r>
      <w:r>
        <w:rPr>
          <w:spacing w:val="-4"/>
        </w:rPr>
        <w:t xml:space="preserve"> </w:t>
      </w:r>
      <w:r>
        <w:t>sexual</w:t>
      </w:r>
      <w:r>
        <w:rPr>
          <w:spacing w:val="-7"/>
        </w:rPr>
        <w:t xml:space="preserve"> </w:t>
      </w:r>
      <w:r>
        <w:t>relations</w:t>
      </w:r>
      <w:r>
        <w:rPr>
          <w:spacing w:val="-4"/>
        </w:rPr>
        <w:t xml:space="preserve"> </w:t>
      </w:r>
      <w:r>
        <w:t>among</w:t>
      </w:r>
      <w:r>
        <w:rPr>
          <w:spacing w:val="-5"/>
        </w:rPr>
        <w:t xml:space="preserve"> </w:t>
      </w:r>
      <w:r>
        <w:t>parties close in age, such as relationships between 14 and 15-year-olds. LGBTQ youth are often the victims of discriminatory</w:t>
      </w:r>
      <w:r>
        <w:rPr>
          <w:spacing w:val="-8"/>
        </w:rPr>
        <w:t xml:space="preserve"> </w:t>
      </w:r>
      <w:r>
        <w:t>use</w:t>
      </w:r>
      <w:r>
        <w:rPr>
          <w:spacing w:val="-11"/>
        </w:rPr>
        <w:t xml:space="preserve"> </w:t>
      </w:r>
      <w:r>
        <w:t>of</w:t>
      </w:r>
      <w:r>
        <w:rPr>
          <w:spacing w:val="-9"/>
        </w:rPr>
        <w:t xml:space="preserve"> </w:t>
      </w:r>
      <w:r>
        <w:t>these</w:t>
      </w:r>
      <w:r>
        <w:rPr>
          <w:spacing w:val="-11"/>
        </w:rPr>
        <w:t xml:space="preserve"> </w:t>
      </w:r>
      <w:r>
        <w:t>laws</w:t>
      </w:r>
      <w:r>
        <w:rPr>
          <w:spacing w:val="-7"/>
        </w:rPr>
        <w:t xml:space="preserve"> </w:t>
      </w:r>
      <w:r>
        <w:t>as</w:t>
      </w:r>
      <w:r>
        <w:rPr>
          <w:spacing w:val="-7"/>
        </w:rPr>
        <w:t xml:space="preserve"> </w:t>
      </w:r>
      <w:r>
        <w:t>a</w:t>
      </w:r>
      <w:r>
        <w:rPr>
          <w:spacing w:val="-12"/>
        </w:rPr>
        <w:t xml:space="preserve"> </w:t>
      </w:r>
      <w:r>
        <w:t>means</w:t>
      </w:r>
      <w:r>
        <w:rPr>
          <w:spacing w:val="-9"/>
        </w:rPr>
        <w:t xml:space="preserve"> </w:t>
      </w:r>
      <w:r>
        <w:t>of</w:t>
      </w:r>
      <w:r>
        <w:rPr>
          <w:spacing w:val="-9"/>
        </w:rPr>
        <w:t xml:space="preserve"> </w:t>
      </w:r>
      <w:r>
        <w:t>punishing</w:t>
      </w:r>
      <w:r>
        <w:rPr>
          <w:spacing w:val="-7"/>
        </w:rPr>
        <w:t xml:space="preserve"> </w:t>
      </w:r>
      <w:r>
        <w:t>stigmatized</w:t>
      </w:r>
      <w:r>
        <w:rPr>
          <w:spacing w:val="-7"/>
        </w:rPr>
        <w:t xml:space="preserve"> </w:t>
      </w:r>
      <w:r>
        <w:t>relationships</w:t>
      </w:r>
      <w:r>
        <w:rPr>
          <w:spacing w:val="-7"/>
        </w:rPr>
        <w:t xml:space="preserve"> </w:t>
      </w:r>
      <w:r>
        <w:t>between</w:t>
      </w:r>
      <w:r>
        <w:rPr>
          <w:spacing w:val="-7"/>
        </w:rPr>
        <w:t xml:space="preserve"> </w:t>
      </w:r>
      <w:r>
        <w:t>LGBTQ</w:t>
      </w:r>
      <w:r>
        <w:rPr>
          <w:spacing w:val="-11"/>
        </w:rPr>
        <w:t xml:space="preserve"> </w:t>
      </w:r>
      <w:r>
        <w:t>young people, which more typically more affects y</w:t>
      </w:r>
      <w:r>
        <w:t>oung boys. Relatedly, the Commission further recommends that legislators decriminalize the engaging of minors in disseminating explicit visual material amongst peers, and stress the need for education in this area instead of criminal punishment. Furthermor</w:t>
      </w:r>
      <w:r>
        <w:t>e, given the harmful effects of the criminalization</w:t>
      </w:r>
      <w:r>
        <w:rPr>
          <w:spacing w:val="40"/>
        </w:rPr>
        <w:t xml:space="preserve"> </w:t>
      </w:r>
      <w:r>
        <w:t>of consensual sexual relationships between minors as noted above,</w:t>
      </w:r>
      <w:r>
        <w:rPr>
          <w:spacing w:val="-8"/>
        </w:rPr>
        <w:t xml:space="preserve"> </w:t>
      </w:r>
      <w:r>
        <w:t>state</w:t>
      </w:r>
      <w:r>
        <w:rPr>
          <w:spacing w:val="-7"/>
        </w:rPr>
        <w:t xml:space="preserve"> </w:t>
      </w:r>
      <w:r>
        <w:t>entities</w:t>
      </w:r>
      <w:r>
        <w:rPr>
          <w:spacing w:val="-8"/>
        </w:rPr>
        <w:t xml:space="preserve"> </w:t>
      </w:r>
      <w:r>
        <w:t>can</w:t>
      </w:r>
      <w:r>
        <w:rPr>
          <w:spacing w:val="-9"/>
        </w:rPr>
        <w:t xml:space="preserve"> </w:t>
      </w:r>
      <w:r>
        <w:t>play</w:t>
      </w:r>
      <w:r>
        <w:rPr>
          <w:spacing w:val="-7"/>
        </w:rPr>
        <w:t xml:space="preserve"> </w:t>
      </w:r>
      <w:r>
        <w:t>a</w:t>
      </w:r>
      <w:r>
        <w:rPr>
          <w:spacing w:val="-8"/>
        </w:rPr>
        <w:t xml:space="preserve"> </w:t>
      </w:r>
      <w:r>
        <w:t>role</w:t>
      </w:r>
      <w:r>
        <w:rPr>
          <w:spacing w:val="-8"/>
        </w:rPr>
        <w:t xml:space="preserve"> </w:t>
      </w:r>
      <w:r>
        <w:t>in</w:t>
      </w:r>
      <w:r>
        <w:rPr>
          <w:spacing w:val="-9"/>
        </w:rPr>
        <w:t xml:space="preserve"> </w:t>
      </w:r>
      <w:r>
        <w:t>clarifying</w:t>
      </w:r>
      <w:r>
        <w:rPr>
          <w:spacing w:val="-9"/>
        </w:rPr>
        <w:t xml:space="preserve"> </w:t>
      </w:r>
      <w:r>
        <w:t>when</w:t>
      </w:r>
      <w:r>
        <w:rPr>
          <w:spacing w:val="-9"/>
        </w:rPr>
        <w:t xml:space="preserve"> </w:t>
      </w:r>
      <w:r>
        <w:t>such</w:t>
      </w:r>
      <w:r>
        <w:rPr>
          <w:spacing w:val="-9"/>
        </w:rPr>
        <w:t xml:space="preserve"> </w:t>
      </w:r>
      <w:r>
        <w:t>reporting</w:t>
      </w:r>
      <w:r>
        <w:rPr>
          <w:spacing w:val="-9"/>
        </w:rPr>
        <w:t xml:space="preserve"> </w:t>
      </w:r>
      <w:r>
        <w:t>should</w:t>
      </w:r>
      <w:r>
        <w:rPr>
          <w:spacing w:val="-9"/>
        </w:rPr>
        <w:t xml:space="preserve"> </w:t>
      </w:r>
      <w:r>
        <w:t>occur</w:t>
      </w:r>
      <w:r>
        <w:rPr>
          <w:spacing w:val="-8"/>
        </w:rPr>
        <w:t xml:space="preserve"> </w:t>
      </w:r>
      <w:r>
        <w:t>and</w:t>
      </w:r>
      <w:r>
        <w:rPr>
          <w:spacing w:val="-9"/>
        </w:rPr>
        <w:t xml:space="preserve"> </w:t>
      </w:r>
      <w:r>
        <w:t>in</w:t>
      </w:r>
      <w:r>
        <w:rPr>
          <w:spacing w:val="-9"/>
        </w:rPr>
        <w:t xml:space="preserve"> </w:t>
      </w:r>
      <w:r>
        <w:t>helping</w:t>
      </w:r>
      <w:r>
        <w:rPr>
          <w:spacing w:val="-9"/>
        </w:rPr>
        <w:t xml:space="preserve"> </w:t>
      </w:r>
      <w:r>
        <w:t>to</w:t>
      </w:r>
      <w:r>
        <w:rPr>
          <w:spacing w:val="-7"/>
        </w:rPr>
        <w:t xml:space="preserve"> </w:t>
      </w:r>
      <w:r>
        <w:t>clarify for youth when they are able to se</w:t>
      </w:r>
      <w:r>
        <w:t>ek services without fear of punishment. The Commission has heard from actors in fields such as education, health, and congregate care that the current lack of clarity and fairness in the law presents a major problem for delivering services, and the state c</w:t>
      </w:r>
      <w:r>
        <w:t>an easily remedy this challenging situation.</w:t>
      </w:r>
    </w:p>
    <w:p w:rsidR="00200FDA" w:rsidRDefault="00200FDA">
      <w:pPr>
        <w:pStyle w:val="BodyText"/>
        <w:spacing w:before="7"/>
        <w:rPr>
          <w:sz w:val="19"/>
        </w:rPr>
      </w:pPr>
    </w:p>
    <w:p w:rsidR="00200FDA" w:rsidRDefault="00F76C4C">
      <w:pPr>
        <w:pStyle w:val="Heading9"/>
        <w:numPr>
          <w:ilvl w:val="0"/>
          <w:numId w:val="27"/>
        </w:numPr>
        <w:tabs>
          <w:tab w:val="left" w:pos="354"/>
        </w:tabs>
        <w:spacing w:line="273" w:lineRule="auto"/>
        <w:ind w:right="135" w:firstLine="0"/>
        <w:jc w:val="both"/>
      </w:pPr>
      <w:r>
        <w:t>Eliminate</w:t>
      </w:r>
      <w:r>
        <w:rPr>
          <w:spacing w:val="-13"/>
        </w:rPr>
        <w:t xml:space="preserve"> </w:t>
      </w:r>
      <w:r>
        <w:t>common</w:t>
      </w:r>
      <w:r>
        <w:rPr>
          <w:spacing w:val="-11"/>
        </w:rPr>
        <w:t xml:space="preserve"> </w:t>
      </w:r>
      <w:r>
        <w:t>nightwalking</w:t>
      </w:r>
      <w:r>
        <w:rPr>
          <w:spacing w:val="-12"/>
        </w:rPr>
        <w:t xml:space="preserve"> </w:t>
      </w:r>
      <w:r>
        <w:t>laws,</w:t>
      </w:r>
      <w:r>
        <w:rPr>
          <w:spacing w:val="-12"/>
        </w:rPr>
        <w:t xml:space="preserve"> </w:t>
      </w:r>
      <w:r>
        <w:t>and</w:t>
      </w:r>
      <w:r>
        <w:rPr>
          <w:spacing w:val="-11"/>
        </w:rPr>
        <w:t xml:space="preserve"> </w:t>
      </w:r>
      <w:r>
        <w:t>increase</w:t>
      </w:r>
      <w:r>
        <w:rPr>
          <w:spacing w:val="-13"/>
        </w:rPr>
        <w:t xml:space="preserve"> </w:t>
      </w:r>
      <w:r>
        <w:t>funding</w:t>
      </w:r>
      <w:r>
        <w:rPr>
          <w:spacing w:val="-9"/>
        </w:rPr>
        <w:t xml:space="preserve"> </w:t>
      </w:r>
      <w:r>
        <w:t>for</w:t>
      </w:r>
      <w:r>
        <w:rPr>
          <w:spacing w:val="-12"/>
        </w:rPr>
        <w:t xml:space="preserve"> </w:t>
      </w:r>
      <w:r>
        <w:t>programs</w:t>
      </w:r>
      <w:r>
        <w:rPr>
          <w:spacing w:val="-12"/>
        </w:rPr>
        <w:t xml:space="preserve"> </w:t>
      </w:r>
      <w:r>
        <w:t>serving</w:t>
      </w:r>
      <w:r>
        <w:rPr>
          <w:spacing w:val="-9"/>
        </w:rPr>
        <w:t xml:space="preserve"> </w:t>
      </w:r>
      <w:r>
        <w:t>LGBTQ</w:t>
      </w:r>
      <w:r>
        <w:rPr>
          <w:spacing w:val="-13"/>
        </w:rPr>
        <w:t xml:space="preserve"> </w:t>
      </w:r>
      <w:r>
        <w:t>youth</w:t>
      </w:r>
      <w:r>
        <w:rPr>
          <w:spacing w:val="-11"/>
        </w:rPr>
        <w:t xml:space="preserve"> </w:t>
      </w:r>
      <w:r>
        <w:t>at-risk of sexual exploitation.</w:t>
      </w:r>
    </w:p>
    <w:p w:rsidR="00200FDA" w:rsidRDefault="00F76C4C">
      <w:pPr>
        <w:spacing w:before="125" w:line="276" w:lineRule="auto"/>
        <w:ind w:left="139" w:right="133"/>
        <w:jc w:val="both"/>
      </w:pPr>
      <w:r>
        <w:t>The</w:t>
      </w:r>
      <w:r>
        <w:rPr>
          <w:spacing w:val="-13"/>
        </w:rPr>
        <w:t xml:space="preserve"> </w:t>
      </w:r>
      <w:r>
        <w:t>Commission</w:t>
      </w:r>
      <w:r>
        <w:rPr>
          <w:spacing w:val="-12"/>
        </w:rPr>
        <w:t xml:space="preserve"> </w:t>
      </w:r>
      <w:r>
        <w:t>recommends</w:t>
      </w:r>
      <w:r>
        <w:rPr>
          <w:spacing w:val="-13"/>
        </w:rPr>
        <w:t xml:space="preserve"> </w:t>
      </w:r>
      <w:r>
        <w:t>that</w:t>
      </w:r>
      <w:r>
        <w:rPr>
          <w:spacing w:val="-12"/>
        </w:rPr>
        <w:t xml:space="preserve"> </w:t>
      </w:r>
      <w:r>
        <w:t>the</w:t>
      </w:r>
      <w:r>
        <w:rPr>
          <w:spacing w:val="-13"/>
        </w:rPr>
        <w:t xml:space="preserve"> </w:t>
      </w:r>
      <w:r>
        <w:t>Commonwealth</w:t>
      </w:r>
      <w:r>
        <w:rPr>
          <w:spacing w:val="-12"/>
        </w:rPr>
        <w:t xml:space="preserve"> </w:t>
      </w:r>
      <w:r>
        <w:t>explore</w:t>
      </w:r>
      <w:r>
        <w:rPr>
          <w:spacing w:val="-13"/>
        </w:rPr>
        <w:t xml:space="preserve"> </w:t>
      </w:r>
      <w:r>
        <w:t>a</w:t>
      </w:r>
      <w:r>
        <w:rPr>
          <w:spacing w:val="-12"/>
        </w:rPr>
        <w:t xml:space="preserve"> </w:t>
      </w:r>
      <w:r>
        <w:t>path</w:t>
      </w:r>
      <w:r>
        <w:rPr>
          <w:spacing w:val="-12"/>
        </w:rPr>
        <w:t xml:space="preserve"> </w:t>
      </w:r>
      <w:r>
        <w:t>to</w:t>
      </w:r>
      <w:r>
        <w:rPr>
          <w:spacing w:val="-13"/>
        </w:rPr>
        <w:t xml:space="preserve"> </w:t>
      </w:r>
      <w:r>
        <w:t>the</w:t>
      </w:r>
      <w:r>
        <w:rPr>
          <w:spacing w:val="-12"/>
        </w:rPr>
        <w:t xml:space="preserve"> </w:t>
      </w:r>
      <w:r>
        <w:t>decriminalization</w:t>
      </w:r>
      <w:r>
        <w:rPr>
          <w:spacing w:val="-13"/>
        </w:rPr>
        <w:t xml:space="preserve"> </w:t>
      </w:r>
      <w:r>
        <w:t>of</w:t>
      </w:r>
      <w:r>
        <w:rPr>
          <w:spacing w:val="-12"/>
        </w:rPr>
        <w:t xml:space="preserve"> </w:t>
      </w:r>
      <w:r>
        <w:t>sex</w:t>
      </w:r>
      <w:r>
        <w:rPr>
          <w:spacing w:val="-13"/>
        </w:rPr>
        <w:t xml:space="preserve"> </w:t>
      </w:r>
      <w:r>
        <w:t>work for</w:t>
      </w:r>
      <w:r>
        <w:rPr>
          <w:spacing w:val="-13"/>
        </w:rPr>
        <w:t xml:space="preserve"> </w:t>
      </w:r>
      <w:r>
        <w:t>youth</w:t>
      </w:r>
      <w:r>
        <w:rPr>
          <w:spacing w:val="-12"/>
        </w:rPr>
        <w:t xml:space="preserve"> </w:t>
      </w:r>
      <w:r>
        <w:t>over</w:t>
      </w:r>
      <w:r>
        <w:rPr>
          <w:spacing w:val="-13"/>
        </w:rPr>
        <w:t xml:space="preserve"> </w:t>
      </w:r>
      <w:r>
        <w:t>the</w:t>
      </w:r>
      <w:r>
        <w:rPr>
          <w:spacing w:val="-12"/>
        </w:rPr>
        <w:t xml:space="preserve"> </w:t>
      </w:r>
      <w:r>
        <w:t>age</w:t>
      </w:r>
      <w:r>
        <w:rPr>
          <w:spacing w:val="-13"/>
        </w:rPr>
        <w:t xml:space="preserve"> </w:t>
      </w:r>
      <w:r>
        <w:t>of</w:t>
      </w:r>
      <w:r>
        <w:rPr>
          <w:spacing w:val="-12"/>
        </w:rPr>
        <w:t xml:space="preserve"> </w:t>
      </w:r>
      <w:r>
        <w:t>18,</w:t>
      </w:r>
      <w:r>
        <w:rPr>
          <w:spacing w:val="-13"/>
        </w:rPr>
        <w:t xml:space="preserve"> </w:t>
      </w:r>
      <w:r>
        <w:t>through</w:t>
      </w:r>
      <w:r>
        <w:rPr>
          <w:spacing w:val="-12"/>
        </w:rPr>
        <w:t xml:space="preserve"> </w:t>
      </w:r>
      <w:r>
        <w:t>bills</w:t>
      </w:r>
      <w:r>
        <w:rPr>
          <w:spacing w:val="-12"/>
        </w:rPr>
        <w:t xml:space="preserve"> </w:t>
      </w:r>
      <w:r>
        <w:t>such</w:t>
      </w:r>
      <w:r>
        <w:rPr>
          <w:spacing w:val="-13"/>
        </w:rPr>
        <w:t xml:space="preserve"> </w:t>
      </w:r>
      <w:r>
        <w:t>as</w:t>
      </w:r>
      <w:r>
        <w:rPr>
          <w:spacing w:val="-12"/>
        </w:rPr>
        <w:t xml:space="preserve"> </w:t>
      </w:r>
      <w:r>
        <w:rPr>
          <w:i/>
        </w:rPr>
        <w:t>An</w:t>
      </w:r>
      <w:r>
        <w:rPr>
          <w:i/>
          <w:spacing w:val="-13"/>
        </w:rPr>
        <w:t xml:space="preserve"> </w:t>
      </w:r>
      <w:r>
        <w:rPr>
          <w:i/>
        </w:rPr>
        <w:t>Act</w:t>
      </w:r>
      <w:r>
        <w:rPr>
          <w:i/>
          <w:spacing w:val="-12"/>
        </w:rPr>
        <w:t xml:space="preserve"> </w:t>
      </w:r>
      <w:r>
        <w:rPr>
          <w:i/>
        </w:rPr>
        <w:t>Relative</w:t>
      </w:r>
      <w:r>
        <w:rPr>
          <w:i/>
          <w:spacing w:val="-13"/>
        </w:rPr>
        <w:t xml:space="preserve"> </w:t>
      </w:r>
      <w:r>
        <w:rPr>
          <w:i/>
        </w:rPr>
        <w:t>to</w:t>
      </w:r>
      <w:r>
        <w:rPr>
          <w:i/>
          <w:spacing w:val="-12"/>
        </w:rPr>
        <w:t xml:space="preserve"> </w:t>
      </w:r>
      <w:r>
        <w:rPr>
          <w:i/>
        </w:rPr>
        <w:t>the</w:t>
      </w:r>
      <w:r>
        <w:rPr>
          <w:i/>
          <w:spacing w:val="-12"/>
        </w:rPr>
        <w:t xml:space="preserve"> </w:t>
      </w:r>
      <w:r>
        <w:rPr>
          <w:i/>
        </w:rPr>
        <w:t>Expungement</w:t>
      </w:r>
      <w:r>
        <w:rPr>
          <w:i/>
          <w:spacing w:val="-13"/>
        </w:rPr>
        <w:t xml:space="preserve"> </w:t>
      </w:r>
      <w:r>
        <w:rPr>
          <w:i/>
        </w:rPr>
        <w:t>of</w:t>
      </w:r>
      <w:r>
        <w:rPr>
          <w:i/>
          <w:spacing w:val="-12"/>
        </w:rPr>
        <w:t xml:space="preserve"> </w:t>
      </w:r>
      <w:r>
        <w:rPr>
          <w:i/>
        </w:rPr>
        <w:t>Certain</w:t>
      </w:r>
      <w:r>
        <w:rPr>
          <w:i/>
          <w:spacing w:val="-13"/>
        </w:rPr>
        <w:t xml:space="preserve"> </w:t>
      </w:r>
      <w:r>
        <w:rPr>
          <w:i/>
        </w:rPr>
        <w:t xml:space="preserve">Marijuana </w:t>
      </w:r>
      <w:bookmarkStart w:id="830" w:name="_bookmark657"/>
      <w:bookmarkEnd w:id="830"/>
      <w:r>
        <w:rPr>
          <w:i/>
        </w:rPr>
        <w:t xml:space="preserve">and Prostitution-Related Records </w:t>
      </w:r>
      <w:r>
        <w:t>(</w:t>
      </w:r>
      <w:hyperlink r:id="rId619">
        <w:r>
          <w:rPr>
            <w:b/>
            <w:color w:val="1154CC"/>
            <w:u w:val="single" w:color="1154CC"/>
          </w:rPr>
          <w:t>H.1757</w:t>
        </w:r>
      </w:hyperlink>
      <w:r>
        <w:t xml:space="preserve">), which would eliminate common night-walking laws and expunge records for those convicted of sex work; and </w:t>
      </w:r>
      <w:r>
        <w:rPr>
          <w:i/>
        </w:rPr>
        <w:t xml:space="preserve">An Act to Prevent Human Trafficking and Improve </w:t>
      </w:r>
      <w:bookmarkStart w:id="831" w:name="_bookmark658"/>
      <w:bookmarkEnd w:id="831"/>
      <w:r>
        <w:rPr>
          <w:i/>
        </w:rPr>
        <w:t xml:space="preserve">the Health and Safety of Sex Workers </w:t>
      </w:r>
      <w:r>
        <w:t>(</w:t>
      </w:r>
      <w:hyperlink r:id="rId620">
        <w:r>
          <w:rPr>
            <w:b/>
            <w:color w:val="1154CC"/>
            <w:u w:val="single" w:color="1154CC"/>
          </w:rPr>
          <w:t>S.1046</w:t>
        </w:r>
      </w:hyperlink>
      <w:r>
        <w:rPr>
          <w:b/>
        </w:rPr>
        <w:t>/</w:t>
      </w:r>
      <w:hyperlink r:id="rId621">
        <w:r>
          <w:rPr>
            <w:b/>
            <w:color w:val="1154CC"/>
            <w:u w:val="single" w:color="1154CC"/>
          </w:rPr>
          <w:t>H.1758</w:t>
        </w:r>
      </w:hyperlink>
      <w:r>
        <w:t xml:space="preserve">), which would further support sex workers and </w:t>
      </w:r>
      <w:bookmarkStart w:id="832" w:name="_bookmark659"/>
      <w:bookmarkEnd w:id="832"/>
      <w:r>
        <w:t xml:space="preserve">victims of trafficking or exploitation by developing a Human Trafficking Prevention and Sex Worker </w:t>
      </w:r>
      <w:bookmarkStart w:id="833" w:name="_bookmark660"/>
      <w:bookmarkEnd w:id="833"/>
      <w:r>
        <w:t>Project, and establish an interagenc</w:t>
      </w:r>
      <w:r>
        <w:t>y committee to study more effectively a path for the full decriminalization of sex work in the Commonwealth.</w:t>
      </w:r>
    </w:p>
    <w:p w:rsidR="00200FDA" w:rsidRDefault="00200FDA">
      <w:pPr>
        <w:pStyle w:val="BodyText"/>
        <w:spacing w:before="10"/>
        <w:rPr>
          <w:sz w:val="19"/>
        </w:rPr>
      </w:pPr>
    </w:p>
    <w:p w:rsidR="00200FDA" w:rsidRDefault="00F76C4C">
      <w:pPr>
        <w:pStyle w:val="BodyText"/>
        <w:spacing w:line="276" w:lineRule="auto"/>
        <w:ind w:left="140" w:right="133"/>
        <w:jc w:val="both"/>
      </w:pPr>
      <w:bookmarkStart w:id="834" w:name="_bookmark661"/>
      <w:bookmarkEnd w:id="834"/>
      <w:r>
        <w:t>For</w:t>
      </w:r>
      <w:r>
        <w:rPr>
          <w:spacing w:val="-9"/>
        </w:rPr>
        <w:t xml:space="preserve"> </w:t>
      </w:r>
      <w:r>
        <w:t>years,</w:t>
      </w:r>
      <w:r>
        <w:rPr>
          <w:spacing w:val="-6"/>
        </w:rPr>
        <w:t xml:space="preserve"> </w:t>
      </w:r>
      <w:r>
        <w:t>research</w:t>
      </w:r>
      <w:r>
        <w:rPr>
          <w:spacing w:val="-10"/>
        </w:rPr>
        <w:t xml:space="preserve"> </w:t>
      </w:r>
      <w:r>
        <w:t>has</w:t>
      </w:r>
      <w:r>
        <w:rPr>
          <w:spacing w:val="-9"/>
        </w:rPr>
        <w:t xml:space="preserve"> </w:t>
      </w:r>
      <w:r>
        <w:t>shown</w:t>
      </w:r>
      <w:r>
        <w:rPr>
          <w:spacing w:val="-7"/>
        </w:rPr>
        <w:t xml:space="preserve"> </w:t>
      </w:r>
      <w:r>
        <w:t>that</w:t>
      </w:r>
      <w:r>
        <w:rPr>
          <w:spacing w:val="-8"/>
        </w:rPr>
        <w:t xml:space="preserve"> </w:t>
      </w:r>
      <w:r>
        <w:t>the</w:t>
      </w:r>
      <w:r>
        <w:rPr>
          <w:spacing w:val="-8"/>
        </w:rPr>
        <w:t xml:space="preserve"> </w:t>
      </w:r>
      <w:r>
        <w:t>criminalization</w:t>
      </w:r>
      <w:r>
        <w:rPr>
          <w:spacing w:val="-10"/>
        </w:rPr>
        <w:t xml:space="preserve"> </w:t>
      </w:r>
      <w:r>
        <w:t>of</w:t>
      </w:r>
      <w:r>
        <w:rPr>
          <w:spacing w:val="-7"/>
        </w:rPr>
        <w:t xml:space="preserve"> </w:t>
      </w:r>
      <w:r>
        <w:t>sex</w:t>
      </w:r>
      <w:r>
        <w:rPr>
          <w:spacing w:val="-9"/>
        </w:rPr>
        <w:t xml:space="preserve"> </w:t>
      </w:r>
      <w:r>
        <w:t>work</w:t>
      </w:r>
      <w:r>
        <w:rPr>
          <w:spacing w:val="-9"/>
        </w:rPr>
        <w:t xml:space="preserve"> </w:t>
      </w:r>
      <w:r>
        <w:t>has</w:t>
      </w:r>
      <w:r>
        <w:rPr>
          <w:spacing w:val="-9"/>
        </w:rPr>
        <w:t xml:space="preserve"> </w:t>
      </w:r>
      <w:r>
        <w:t>made</w:t>
      </w:r>
      <w:r>
        <w:rPr>
          <w:spacing w:val="-8"/>
        </w:rPr>
        <w:t xml:space="preserve"> </w:t>
      </w:r>
      <w:r>
        <w:t>sex</w:t>
      </w:r>
      <w:r>
        <w:rPr>
          <w:spacing w:val="-9"/>
        </w:rPr>
        <w:t xml:space="preserve"> </w:t>
      </w:r>
      <w:r>
        <w:t>workers</w:t>
      </w:r>
      <w:r>
        <w:rPr>
          <w:spacing w:val="-9"/>
        </w:rPr>
        <w:t xml:space="preserve"> </w:t>
      </w:r>
      <w:r>
        <w:t>more</w:t>
      </w:r>
      <w:r>
        <w:rPr>
          <w:spacing w:val="-8"/>
        </w:rPr>
        <w:t xml:space="preserve"> </w:t>
      </w:r>
      <w:r>
        <w:t xml:space="preserve">vulnerable </w:t>
      </w:r>
      <w:bookmarkStart w:id="835" w:name="_bookmark662"/>
      <w:bookmarkEnd w:id="835"/>
      <w:r>
        <w:t>to violence and discrimination from police</w:t>
      </w:r>
      <w:r>
        <w:t>, and leads to poorer public health outcomes.</w:t>
      </w:r>
      <w:hyperlink w:anchor="_bookmark663" w:history="1">
        <w:r>
          <w:rPr>
            <w:vertAlign w:val="superscript"/>
          </w:rPr>
          <w:t>7</w:t>
        </w:r>
      </w:hyperlink>
      <w:r>
        <w:rPr>
          <w:spacing w:val="-2"/>
        </w:rPr>
        <w:t xml:space="preserve"> </w:t>
      </w:r>
      <w:r>
        <w:t>Furthermore, due</w:t>
      </w:r>
      <w:r>
        <w:rPr>
          <w:spacing w:val="-4"/>
        </w:rPr>
        <w:t xml:space="preserve"> </w:t>
      </w:r>
      <w:r>
        <w:t>to</w:t>
      </w:r>
      <w:r>
        <w:rPr>
          <w:spacing w:val="-3"/>
        </w:rPr>
        <w:t xml:space="preserve"> </w:t>
      </w:r>
      <w:r>
        <w:t>increased</w:t>
      </w:r>
      <w:r>
        <w:rPr>
          <w:spacing w:val="-5"/>
        </w:rPr>
        <w:t xml:space="preserve"> </w:t>
      </w:r>
      <w:r>
        <w:t>likelihood</w:t>
      </w:r>
      <w:r>
        <w:rPr>
          <w:spacing w:val="-10"/>
        </w:rPr>
        <w:t xml:space="preserve"> </w:t>
      </w:r>
      <w:r>
        <w:t>of</w:t>
      </w:r>
      <w:r>
        <w:rPr>
          <w:spacing w:val="-7"/>
        </w:rPr>
        <w:t xml:space="preserve"> </w:t>
      </w:r>
      <w:r>
        <w:t>experiencing</w:t>
      </w:r>
      <w:r>
        <w:rPr>
          <w:spacing w:val="-5"/>
        </w:rPr>
        <w:t xml:space="preserve"> </w:t>
      </w:r>
      <w:r>
        <w:t>homelessness</w:t>
      </w:r>
      <w:r>
        <w:rPr>
          <w:spacing w:val="-4"/>
        </w:rPr>
        <w:t xml:space="preserve"> </w:t>
      </w:r>
      <w:r>
        <w:t>and</w:t>
      </w:r>
      <w:r>
        <w:rPr>
          <w:spacing w:val="-7"/>
        </w:rPr>
        <w:t xml:space="preserve"> </w:t>
      </w:r>
      <w:r>
        <w:t>financial</w:t>
      </w:r>
      <w:r>
        <w:rPr>
          <w:spacing w:val="-5"/>
        </w:rPr>
        <w:t xml:space="preserve"> </w:t>
      </w:r>
      <w:r>
        <w:t>insecurity,</w:t>
      </w:r>
      <w:r>
        <w:rPr>
          <w:spacing w:val="-7"/>
        </w:rPr>
        <w:t xml:space="preserve"> </w:t>
      </w:r>
      <w:r>
        <w:t>LGBTQ</w:t>
      </w:r>
      <w:r>
        <w:rPr>
          <w:spacing w:val="-6"/>
        </w:rPr>
        <w:t xml:space="preserve"> </w:t>
      </w:r>
      <w:r>
        <w:t>youth</w:t>
      </w:r>
      <w:r>
        <w:rPr>
          <w:spacing w:val="-5"/>
        </w:rPr>
        <w:t xml:space="preserve"> </w:t>
      </w:r>
      <w:r>
        <w:t>are</w:t>
      </w:r>
      <w:r>
        <w:rPr>
          <w:spacing w:val="-6"/>
        </w:rPr>
        <w:t xml:space="preserve"> </w:t>
      </w:r>
      <w:r>
        <w:t>more likely</w:t>
      </w:r>
      <w:r>
        <w:rPr>
          <w:spacing w:val="-13"/>
        </w:rPr>
        <w:t xml:space="preserve"> </w:t>
      </w:r>
      <w:r>
        <w:t>to</w:t>
      </w:r>
      <w:r>
        <w:rPr>
          <w:spacing w:val="-12"/>
        </w:rPr>
        <w:t xml:space="preserve"> </w:t>
      </w:r>
      <w:r>
        <w:t>exchange</w:t>
      </w:r>
      <w:r>
        <w:rPr>
          <w:spacing w:val="-13"/>
        </w:rPr>
        <w:t xml:space="preserve"> </w:t>
      </w:r>
      <w:r>
        <w:t>sex</w:t>
      </w:r>
      <w:r>
        <w:rPr>
          <w:spacing w:val="-12"/>
        </w:rPr>
        <w:t xml:space="preserve"> </w:t>
      </w:r>
      <w:r>
        <w:t>to</w:t>
      </w:r>
      <w:r>
        <w:rPr>
          <w:spacing w:val="-13"/>
        </w:rPr>
        <w:t xml:space="preserve"> </w:t>
      </w:r>
      <w:r>
        <w:t>meet</w:t>
      </w:r>
      <w:r>
        <w:rPr>
          <w:spacing w:val="-12"/>
        </w:rPr>
        <w:t xml:space="preserve"> </w:t>
      </w:r>
      <w:r>
        <w:t>their</w:t>
      </w:r>
      <w:r>
        <w:rPr>
          <w:spacing w:val="-13"/>
        </w:rPr>
        <w:t xml:space="preserve"> </w:t>
      </w:r>
      <w:r>
        <w:t>financial</w:t>
      </w:r>
      <w:r>
        <w:rPr>
          <w:spacing w:val="-12"/>
        </w:rPr>
        <w:t xml:space="preserve"> </w:t>
      </w:r>
      <w:r>
        <w:t>and</w:t>
      </w:r>
      <w:r>
        <w:rPr>
          <w:spacing w:val="-13"/>
        </w:rPr>
        <w:t xml:space="preserve"> </w:t>
      </w:r>
      <w:r>
        <w:t>material</w:t>
      </w:r>
      <w:r>
        <w:rPr>
          <w:spacing w:val="-12"/>
        </w:rPr>
        <w:t xml:space="preserve"> </w:t>
      </w:r>
      <w:r>
        <w:t>needs,</w:t>
      </w:r>
      <w:r>
        <w:rPr>
          <w:spacing w:val="-13"/>
        </w:rPr>
        <w:t xml:space="preserve"> </w:t>
      </w:r>
      <w:r>
        <w:t>than</w:t>
      </w:r>
      <w:r>
        <w:rPr>
          <w:spacing w:val="-13"/>
        </w:rPr>
        <w:t xml:space="preserve"> </w:t>
      </w:r>
      <w:r>
        <w:t>their</w:t>
      </w:r>
      <w:r>
        <w:rPr>
          <w:spacing w:val="-12"/>
        </w:rPr>
        <w:t xml:space="preserve"> </w:t>
      </w:r>
      <w:r>
        <w:t>heterosexual,</w:t>
      </w:r>
      <w:r>
        <w:rPr>
          <w:spacing w:val="-13"/>
        </w:rPr>
        <w:t xml:space="preserve"> </w:t>
      </w:r>
      <w:r>
        <w:t>cisgender</w:t>
      </w:r>
      <w:r>
        <w:rPr>
          <w:spacing w:val="-11"/>
        </w:rPr>
        <w:t xml:space="preserve"> </w:t>
      </w:r>
      <w:r>
        <w:t>peers,</w:t>
      </w:r>
    </w:p>
    <w:p w:rsidR="00200FDA" w:rsidRDefault="00200FDA">
      <w:pPr>
        <w:spacing w:line="276" w:lineRule="auto"/>
        <w:jc w:val="both"/>
        <w:sectPr w:rsidR="00200FDA">
          <w:pgSz w:w="12240" w:h="15840"/>
          <w:pgMar w:top="1380" w:right="1300" w:bottom="1240" w:left="1300" w:header="552" w:footer="1043" w:gutter="0"/>
          <w:cols w:space="720"/>
        </w:sectPr>
      </w:pPr>
    </w:p>
    <w:p w:rsidR="00200FDA" w:rsidRDefault="00F76C4C">
      <w:pPr>
        <w:pStyle w:val="BodyText"/>
        <w:spacing w:before="46" w:line="276" w:lineRule="auto"/>
        <w:ind w:left="139" w:right="135"/>
        <w:jc w:val="both"/>
      </w:pPr>
      <w:bookmarkStart w:id="836" w:name="_bookmark663"/>
      <w:bookmarkEnd w:id="836"/>
      <w:r>
        <w:lastRenderedPageBreak/>
        <w:t>as well</w:t>
      </w:r>
      <w:r>
        <w:rPr>
          <w:spacing w:val="-2"/>
        </w:rPr>
        <w:t xml:space="preserve"> </w:t>
      </w:r>
      <w:r>
        <w:t>as</w:t>
      </w:r>
      <w:r>
        <w:rPr>
          <w:spacing w:val="-2"/>
        </w:rPr>
        <w:t xml:space="preserve"> </w:t>
      </w:r>
      <w:r>
        <w:t>more</w:t>
      </w:r>
      <w:r>
        <w:rPr>
          <w:spacing w:val="-1"/>
        </w:rPr>
        <w:t xml:space="preserve"> </w:t>
      </w:r>
      <w:r>
        <w:t>at-risk</w:t>
      </w:r>
      <w:r>
        <w:rPr>
          <w:spacing w:val="-4"/>
        </w:rPr>
        <w:t xml:space="preserve"> </w:t>
      </w:r>
      <w:r>
        <w:t>of sexual exploitation</w:t>
      </w:r>
      <w:r>
        <w:rPr>
          <w:spacing w:val="-3"/>
        </w:rPr>
        <w:t xml:space="preserve"> </w:t>
      </w:r>
      <w:r>
        <w:t>and trafficking. As discussed thoroughly in the</w:t>
      </w:r>
      <w:r>
        <w:rPr>
          <w:spacing w:val="-1"/>
        </w:rPr>
        <w:t xml:space="preserve"> </w:t>
      </w:r>
      <w:r>
        <w:t xml:space="preserve">public health section of this annual report, too often, law enforcement officers and policymakers </w:t>
      </w:r>
      <w:r>
        <w:t xml:space="preserve">conflate ‘sex work’ </w:t>
      </w:r>
      <w:bookmarkStart w:id="837" w:name="_bookmark664"/>
      <w:bookmarkEnd w:id="837"/>
      <w:r>
        <w:t xml:space="preserve">with ‘sex trafficking’ which leads to ineffective policy implementations, and increased criminalization of </w:t>
      </w:r>
      <w:bookmarkStart w:id="838" w:name="_bookmark665"/>
      <w:bookmarkEnd w:id="838"/>
      <w:r>
        <w:t>LGBTQ youth.</w:t>
      </w:r>
      <w:hyperlink w:anchor="_bookmark664" w:history="1">
        <w:r>
          <w:rPr>
            <w:vertAlign w:val="superscript"/>
          </w:rPr>
          <w:t>8</w:t>
        </w:r>
      </w:hyperlink>
    </w:p>
    <w:p w:rsidR="00200FDA" w:rsidRDefault="00200FDA">
      <w:pPr>
        <w:pStyle w:val="BodyText"/>
        <w:spacing w:before="8"/>
        <w:rPr>
          <w:sz w:val="19"/>
        </w:rPr>
      </w:pPr>
    </w:p>
    <w:p w:rsidR="00200FDA" w:rsidRDefault="00F76C4C">
      <w:pPr>
        <w:pStyle w:val="Heading9"/>
        <w:numPr>
          <w:ilvl w:val="0"/>
          <w:numId w:val="27"/>
        </w:numPr>
        <w:tabs>
          <w:tab w:val="left" w:pos="361"/>
        </w:tabs>
        <w:spacing w:before="1"/>
        <w:ind w:left="360" w:hanging="222"/>
      </w:pPr>
      <w:bookmarkStart w:id="839" w:name="_bookmark666"/>
      <w:bookmarkEnd w:id="839"/>
      <w:r>
        <w:t>Improve</w:t>
      </w:r>
      <w:r>
        <w:rPr>
          <w:spacing w:val="-8"/>
        </w:rPr>
        <w:t xml:space="preserve"> </w:t>
      </w:r>
      <w:r>
        <w:t>prison</w:t>
      </w:r>
      <w:r>
        <w:rPr>
          <w:spacing w:val="-8"/>
        </w:rPr>
        <w:t xml:space="preserve"> </w:t>
      </w:r>
      <w:r>
        <w:t>conditions</w:t>
      </w:r>
      <w:r>
        <w:rPr>
          <w:spacing w:val="-3"/>
        </w:rPr>
        <w:t xml:space="preserve"> </w:t>
      </w:r>
      <w:r>
        <w:t>for</w:t>
      </w:r>
      <w:r>
        <w:rPr>
          <w:spacing w:val="-4"/>
        </w:rPr>
        <w:t xml:space="preserve"> </w:t>
      </w:r>
      <w:r>
        <w:t>incarcerated</w:t>
      </w:r>
      <w:r>
        <w:rPr>
          <w:spacing w:val="-6"/>
        </w:rPr>
        <w:t xml:space="preserve"> </w:t>
      </w:r>
      <w:r>
        <w:t>LGBTQ</w:t>
      </w:r>
      <w:r>
        <w:rPr>
          <w:spacing w:val="-6"/>
        </w:rPr>
        <w:t xml:space="preserve"> </w:t>
      </w:r>
      <w:r>
        <w:t>and</w:t>
      </w:r>
      <w:r>
        <w:rPr>
          <w:spacing w:val="-6"/>
        </w:rPr>
        <w:t xml:space="preserve"> </w:t>
      </w:r>
      <w:r>
        <w:t>intersex</w:t>
      </w:r>
      <w:r>
        <w:rPr>
          <w:spacing w:val="-5"/>
        </w:rPr>
        <w:t xml:space="preserve"> </w:t>
      </w:r>
      <w:r>
        <w:rPr>
          <w:spacing w:val="-2"/>
        </w:rPr>
        <w:t>youth.</w:t>
      </w:r>
    </w:p>
    <w:p w:rsidR="00200FDA" w:rsidRDefault="00F76C4C">
      <w:pPr>
        <w:pStyle w:val="BodyText"/>
        <w:spacing w:before="158" w:line="276" w:lineRule="auto"/>
        <w:ind w:left="139" w:right="134"/>
        <w:jc w:val="both"/>
      </w:pPr>
      <w:bookmarkStart w:id="840" w:name="_bookmark667"/>
      <w:bookmarkEnd w:id="840"/>
      <w:r>
        <w:t>Nationally, LGBTQ and intersex individuals are overrepresented among prison inmates in the adult legal system,</w:t>
      </w:r>
      <w:r>
        <w:rPr>
          <w:spacing w:val="-9"/>
        </w:rPr>
        <w:t xml:space="preserve"> </w:t>
      </w:r>
      <w:r>
        <w:t>and</w:t>
      </w:r>
      <w:r>
        <w:rPr>
          <w:spacing w:val="-7"/>
        </w:rPr>
        <w:t xml:space="preserve"> </w:t>
      </w:r>
      <w:r>
        <w:t>face</w:t>
      </w:r>
      <w:r>
        <w:rPr>
          <w:spacing w:val="-8"/>
        </w:rPr>
        <w:t xml:space="preserve"> </w:t>
      </w:r>
      <w:r>
        <w:t>higher</w:t>
      </w:r>
      <w:r>
        <w:rPr>
          <w:spacing w:val="-7"/>
        </w:rPr>
        <w:t xml:space="preserve"> </w:t>
      </w:r>
      <w:r>
        <w:t>rates</w:t>
      </w:r>
      <w:r>
        <w:rPr>
          <w:spacing w:val="-6"/>
        </w:rPr>
        <w:t xml:space="preserve"> </w:t>
      </w:r>
      <w:r>
        <w:t>of</w:t>
      </w:r>
      <w:r>
        <w:rPr>
          <w:spacing w:val="-9"/>
        </w:rPr>
        <w:t xml:space="preserve"> </w:t>
      </w:r>
      <w:r>
        <w:t>abuse</w:t>
      </w:r>
      <w:r>
        <w:rPr>
          <w:spacing w:val="-6"/>
        </w:rPr>
        <w:t xml:space="preserve"> </w:t>
      </w:r>
      <w:r>
        <w:t>and</w:t>
      </w:r>
      <w:r>
        <w:rPr>
          <w:spacing w:val="-7"/>
        </w:rPr>
        <w:t xml:space="preserve"> </w:t>
      </w:r>
      <w:r>
        <w:t>physical</w:t>
      </w:r>
      <w:r>
        <w:rPr>
          <w:spacing w:val="-7"/>
        </w:rPr>
        <w:t xml:space="preserve"> </w:t>
      </w:r>
      <w:r>
        <w:t>and</w:t>
      </w:r>
      <w:r>
        <w:rPr>
          <w:spacing w:val="-7"/>
        </w:rPr>
        <w:t xml:space="preserve"> </w:t>
      </w:r>
      <w:r>
        <w:t>sexual</w:t>
      </w:r>
      <w:r>
        <w:rPr>
          <w:spacing w:val="-7"/>
        </w:rPr>
        <w:t xml:space="preserve"> </w:t>
      </w:r>
      <w:r>
        <w:t>assault</w:t>
      </w:r>
      <w:r>
        <w:rPr>
          <w:spacing w:val="-6"/>
        </w:rPr>
        <w:t xml:space="preserve"> </w:t>
      </w:r>
      <w:r>
        <w:t>than</w:t>
      </w:r>
      <w:r>
        <w:rPr>
          <w:spacing w:val="-7"/>
        </w:rPr>
        <w:t xml:space="preserve"> </w:t>
      </w:r>
      <w:r>
        <w:t>their</w:t>
      </w:r>
      <w:r>
        <w:rPr>
          <w:spacing w:val="-9"/>
        </w:rPr>
        <w:t xml:space="preserve"> </w:t>
      </w:r>
      <w:r>
        <w:t>non-LGBTQ</w:t>
      </w:r>
      <w:r>
        <w:rPr>
          <w:spacing w:val="-6"/>
        </w:rPr>
        <w:t xml:space="preserve"> </w:t>
      </w:r>
      <w:r>
        <w:t>peers.</w:t>
      </w:r>
      <w:r>
        <w:rPr>
          <w:spacing w:val="-7"/>
        </w:rPr>
        <w:t xml:space="preserve"> </w:t>
      </w:r>
      <w:r>
        <w:t xml:space="preserve">While </w:t>
      </w:r>
      <w:bookmarkStart w:id="841" w:name="_bookmark668"/>
      <w:bookmarkEnd w:id="841"/>
      <w:r>
        <w:t>little</w:t>
      </w:r>
      <w:r>
        <w:rPr>
          <w:spacing w:val="-13"/>
        </w:rPr>
        <w:t xml:space="preserve"> </w:t>
      </w:r>
      <w:r>
        <w:t>research</w:t>
      </w:r>
      <w:r>
        <w:rPr>
          <w:spacing w:val="-12"/>
        </w:rPr>
        <w:t xml:space="preserve"> </w:t>
      </w:r>
      <w:r>
        <w:t>exists</w:t>
      </w:r>
      <w:r>
        <w:rPr>
          <w:spacing w:val="-13"/>
        </w:rPr>
        <w:t xml:space="preserve"> </w:t>
      </w:r>
      <w:r>
        <w:t>on</w:t>
      </w:r>
      <w:r>
        <w:rPr>
          <w:spacing w:val="-12"/>
        </w:rPr>
        <w:t xml:space="preserve"> </w:t>
      </w:r>
      <w:r>
        <w:t>current</w:t>
      </w:r>
      <w:r>
        <w:rPr>
          <w:spacing w:val="-13"/>
        </w:rPr>
        <w:t xml:space="preserve"> </w:t>
      </w:r>
      <w:r>
        <w:t>prison</w:t>
      </w:r>
      <w:r>
        <w:rPr>
          <w:spacing w:val="-12"/>
        </w:rPr>
        <w:t xml:space="preserve"> </w:t>
      </w:r>
      <w:r>
        <w:t>conditi</w:t>
      </w:r>
      <w:r>
        <w:t>ons</w:t>
      </w:r>
      <w:r>
        <w:rPr>
          <w:spacing w:val="-13"/>
        </w:rPr>
        <w:t xml:space="preserve"> </w:t>
      </w:r>
      <w:r>
        <w:t>for</w:t>
      </w:r>
      <w:r>
        <w:rPr>
          <w:spacing w:val="-12"/>
        </w:rPr>
        <w:t xml:space="preserve"> </w:t>
      </w:r>
      <w:r>
        <w:t>incarcerated</w:t>
      </w:r>
      <w:r>
        <w:rPr>
          <w:spacing w:val="-12"/>
        </w:rPr>
        <w:t xml:space="preserve"> </w:t>
      </w:r>
      <w:r>
        <w:t>intersex</w:t>
      </w:r>
      <w:r>
        <w:rPr>
          <w:spacing w:val="-11"/>
        </w:rPr>
        <w:t xml:space="preserve"> </w:t>
      </w:r>
      <w:r>
        <w:t>individuals,</w:t>
      </w:r>
      <w:r>
        <w:rPr>
          <w:spacing w:val="-11"/>
        </w:rPr>
        <w:t xml:space="preserve"> </w:t>
      </w:r>
      <w:r>
        <w:t>studies</w:t>
      </w:r>
      <w:r>
        <w:rPr>
          <w:spacing w:val="-11"/>
        </w:rPr>
        <w:t xml:space="preserve"> </w:t>
      </w:r>
      <w:r>
        <w:t>have</w:t>
      </w:r>
      <w:r>
        <w:rPr>
          <w:spacing w:val="-11"/>
        </w:rPr>
        <w:t xml:space="preserve"> </w:t>
      </w:r>
      <w:r>
        <w:t xml:space="preserve">shown this group to be particularly vulnerable to sexual abuse. As noted above, the Commission strongly urges </w:t>
      </w:r>
      <w:bookmarkStart w:id="842" w:name="_bookmark669"/>
      <w:bookmarkEnd w:id="842"/>
      <w:r>
        <w:t>the state to pass and enact the RIGHTS Act (</w:t>
      </w:r>
      <w:hyperlink r:id="rId622">
        <w:r>
          <w:rPr>
            <w:b/>
            <w:color w:val="0000FF"/>
            <w:u w:val="single" w:color="0000FF"/>
          </w:rPr>
          <w:t>S.1499</w:t>
        </w:r>
      </w:hyperlink>
      <w:r>
        <w:rPr>
          <w:b/>
        </w:rPr>
        <w:t>/</w:t>
      </w:r>
      <w:hyperlink r:id="rId623">
        <w:r>
          <w:rPr>
            <w:b/>
            <w:color w:val="0000FF"/>
            <w:u w:val="single" w:color="0000FF"/>
          </w:rPr>
          <w:t>H.2357</w:t>
        </w:r>
      </w:hyperlink>
      <w:r>
        <w:t xml:space="preserve">) to ensure stronger protections of LGBTQI incarcerated youth in the adult criminal legal system, as well as conduct research studies to better </w:t>
      </w:r>
      <w:bookmarkStart w:id="843" w:name="_bookmark670"/>
      <w:bookmarkEnd w:id="843"/>
      <w:r>
        <w:t>u</w:t>
      </w:r>
      <w:r>
        <w:t>nderstand the experiences of LGBTQ individuals being detained across the state.</w:t>
      </w:r>
    </w:p>
    <w:p w:rsidR="00200FDA" w:rsidRDefault="00200FDA">
      <w:pPr>
        <w:pStyle w:val="BodyText"/>
        <w:spacing w:before="9"/>
        <w:rPr>
          <w:sz w:val="19"/>
        </w:rPr>
      </w:pPr>
    </w:p>
    <w:p w:rsidR="00200FDA" w:rsidRDefault="00F76C4C">
      <w:pPr>
        <w:pStyle w:val="Heading9"/>
        <w:numPr>
          <w:ilvl w:val="0"/>
          <w:numId w:val="27"/>
        </w:numPr>
        <w:tabs>
          <w:tab w:val="left" w:pos="361"/>
        </w:tabs>
        <w:ind w:left="360" w:hanging="221"/>
      </w:pPr>
      <w:bookmarkStart w:id="844" w:name="_bookmark671"/>
      <w:bookmarkEnd w:id="844"/>
      <w:r>
        <w:t>Raise</w:t>
      </w:r>
      <w:r>
        <w:rPr>
          <w:spacing w:val="-8"/>
        </w:rPr>
        <w:t xml:space="preserve"> </w:t>
      </w:r>
      <w:r>
        <w:t>the</w:t>
      </w:r>
      <w:r>
        <w:rPr>
          <w:spacing w:val="-3"/>
        </w:rPr>
        <w:t xml:space="preserve"> </w:t>
      </w:r>
      <w:r>
        <w:t>age</w:t>
      </w:r>
      <w:r>
        <w:rPr>
          <w:spacing w:val="-4"/>
        </w:rPr>
        <w:t xml:space="preserve"> </w:t>
      </w:r>
      <w:r>
        <w:t>of</w:t>
      </w:r>
      <w:r>
        <w:rPr>
          <w:spacing w:val="-3"/>
        </w:rPr>
        <w:t xml:space="preserve"> </w:t>
      </w:r>
      <w:r>
        <w:t>the</w:t>
      </w:r>
      <w:r>
        <w:rPr>
          <w:spacing w:val="-6"/>
        </w:rPr>
        <w:t xml:space="preserve"> </w:t>
      </w:r>
      <w:r>
        <w:t>juvenile</w:t>
      </w:r>
      <w:r>
        <w:rPr>
          <w:spacing w:val="-4"/>
        </w:rPr>
        <w:t xml:space="preserve"> </w:t>
      </w:r>
      <w:r>
        <w:t>system</w:t>
      </w:r>
      <w:r>
        <w:rPr>
          <w:spacing w:val="-2"/>
        </w:rPr>
        <w:t xml:space="preserve"> </w:t>
      </w:r>
      <w:r>
        <w:t>to</w:t>
      </w:r>
      <w:r>
        <w:rPr>
          <w:spacing w:val="-6"/>
        </w:rPr>
        <w:t xml:space="preserve"> </w:t>
      </w:r>
      <w:r>
        <w:t>include</w:t>
      </w:r>
      <w:r>
        <w:rPr>
          <w:spacing w:val="-3"/>
        </w:rPr>
        <w:t xml:space="preserve"> </w:t>
      </w:r>
      <w:r>
        <w:t>18-to</w:t>
      </w:r>
      <w:r>
        <w:rPr>
          <w:spacing w:val="-3"/>
        </w:rPr>
        <w:t xml:space="preserve"> </w:t>
      </w:r>
      <w:r>
        <w:t>20-year-</w:t>
      </w:r>
      <w:r>
        <w:rPr>
          <w:spacing w:val="-2"/>
        </w:rPr>
        <w:t>olds.</w:t>
      </w:r>
    </w:p>
    <w:p w:rsidR="00200FDA" w:rsidRDefault="00F76C4C">
      <w:pPr>
        <w:pStyle w:val="BodyText"/>
        <w:spacing w:before="161" w:line="276" w:lineRule="auto"/>
        <w:ind w:left="139" w:right="134"/>
        <w:jc w:val="both"/>
      </w:pPr>
      <w:bookmarkStart w:id="845" w:name="_bookmark672"/>
      <w:bookmarkEnd w:id="845"/>
      <w:r>
        <w:t>The</w:t>
      </w:r>
      <w:r>
        <w:rPr>
          <w:spacing w:val="-4"/>
        </w:rPr>
        <w:t xml:space="preserve"> </w:t>
      </w:r>
      <w:r>
        <w:t>Commission</w:t>
      </w:r>
      <w:r>
        <w:rPr>
          <w:spacing w:val="-5"/>
        </w:rPr>
        <w:t xml:space="preserve"> </w:t>
      </w:r>
      <w:r>
        <w:t>recommends</w:t>
      </w:r>
      <w:r>
        <w:rPr>
          <w:spacing w:val="-4"/>
        </w:rPr>
        <w:t xml:space="preserve"> </w:t>
      </w:r>
      <w:r>
        <w:t>that</w:t>
      </w:r>
      <w:r>
        <w:rPr>
          <w:spacing w:val="-4"/>
        </w:rPr>
        <w:t xml:space="preserve"> </w:t>
      </w:r>
      <w:r>
        <w:t>the</w:t>
      </w:r>
      <w:r>
        <w:rPr>
          <w:spacing w:val="-4"/>
        </w:rPr>
        <w:t xml:space="preserve"> </w:t>
      </w:r>
      <w:r>
        <w:t>legislature</w:t>
      </w:r>
      <w:r>
        <w:rPr>
          <w:spacing w:val="-6"/>
        </w:rPr>
        <w:t xml:space="preserve"> </w:t>
      </w:r>
      <w:r>
        <w:t>raise</w:t>
      </w:r>
      <w:r>
        <w:rPr>
          <w:spacing w:val="-4"/>
        </w:rPr>
        <w:t xml:space="preserve"> </w:t>
      </w:r>
      <w:r>
        <w:t>the</w:t>
      </w:r>
      <w:r>
        <w:rPr>
          <w:spacing w:val="-4"/>
        </w:rPr>
        <w:t xml:space="preserve"> </w:t>
      </w:r>
      <w:r>
        <w:t>age</w:t>
      </w:r>
      <w:r>
        <w:rPr>
          <w:spacing w:val="-6"/>
        </w:rPr>
        <w:t xml:space="preserve"> </w:t>
      </w:r>
      <w:r>
        <w:t>of</w:t>
      </w:r>
      <w:r>
        <w:rPr>
          <w:spacing w:val="-4"/>
        </w:rPr>
        <w:t xml:space="preserve"> </w:t>
      </w:r>
      <w:r>
        <w:t>the</w:t>
      </w:r>
      <w:r>
        <w:rPr>
          <w:spacing w:val="-6"/>
        </w:rPr>
        <w:t xml:space="preserve"> </w:t>
      </w:r>
      <w:r>
        <w:t>juvenile</w:t>
      </w:r>
      <w:r>
        <w:rPr>
          <w:spacing w:val="-4"/>
        </w:rPr>
        <w:t xml:space="preserve"> </w:t>
      </w:r>
      <w:r>
        <w:t>justice</w:t>
      </w:r>
      <w:r>
        <w:rPr>
          <w:spacing w:val="-4"/>
        </w:rPr>
        <w:t xml:space="preserve"> </w:t>
      </w:r>
      <w:r>
        <w:t>system</w:t>
      </w:r>
      <w:r>
        <w:rPr>
          <w:spacing w:val="-5"/>
        </w:rPr>
        <w:t xml:space="preserve"> </w:t>
      </w:r>
      <w:r>
        <w:t>to</w:t>
      </w:r>
      <w:r>
        <w:rPr>
          <w:spacing w:val="-5"/>
        </w:rPr>
        <w:t xml:space="preserve"> </w:t>
      </w:r>
      <w:r>
        <w:t xml:space="preserve">gradually </w:t>
      </w:r>
      <w:bookmarkStart w:id="846" w:name="_bookmark673"/>
      <w:bookmarkStart w:id="847" w:name="_bookmark674"/>
      <w:bookmarkEnd w:id="846"/>
      <w:bookmarkEnd w:id="847"/>
      <w:r>
        <w:t>in</w:t>
      </w:r>
      <w:r>
        <w:t xml:space="preserve">clude 18- to 20-year-olds to improve public safety and improve outcomes for the teens as proposed in </w:t>
      </w:r>
      <w:r>
        <w:rPr>
          <w:i/>
        </w:rPr>
        <w:t xml:space="preserve">An Act to Promote Public Safety and Better Outcomes for Young Adults </w:t>
      </w:r>
      <w:r>
        <w:t>(</w:t>
      </w:r>
      <w:hyperlink r:id="rId624">
        <w:r>
          <w:rPr>
            <w:b/>
            <w:color w:val="0000FF"/>
            <w:u w:val="single" w:color="0000FF"/>
          </w:rPr>
          <w:t>S.942</w:t>
        </w:r>
      </w:hyperlink>
      <w:r>
        <w:rPr>
          <w:b/>
        </w:rPr>
        <w:t>/</w:t>
      </w:r>
      <w:hyperlink r:id="rId625">
        <w:r>
          <w:rPr>
            <w:b/>
            <w:color w:val="0000FF"/>
            <w:u w:val="single" w:color="0000FF"/>
          </w:rPr>
          <w:t>H.1710</w:t>
        </w:r>
      </w:hyperlink>
      <w:r>
        <w:t xml:space="preserve">), also known as </w:t>
      </w:r>
      <w:bookmarkStart w:id="848" w:name="_bookmark675"/>
      <w:bookmarkEnd w:id="848"/>
      <w:r>
        <w:t xml:space="preserve">‘Raise the Age.’ Massachusetts is well-known to have better outcomes for youth in the juvenile justice </w:t>
      </w:r>
      <w:bookmarkStart w:id="849" w:name="_bookmark676"/>
      <w:bookmarkEnd w:id="849"/>
      <w:r>
        <w:t>system</w:t>
      </w:r>
      <w:r>
        <w:rPr>
          <w:spacing w:val="-8"/>
        </w:rPr>
        <w:t xml:space="preserve"> </w:t>
      </w:r>
      <w:r>
        <w:t>through</w:t>
      </w:r>
      <w:r>
        <w:rPr>
          <w:spacing w:val="-7"/>
        </w:rPr>
        <w:t xml:space="preserve"> </w:t>
      </w:r>
      <w:r>
        <w:t>the</w:t>
      </w:r>
      <w:r>
        <w:rPr>
          <w:spacing w:val="-8"/>
        </w:rPr>
        <w:t xml:space="preserve"> </w:t>
      </w:r>
      <w:r>
        <w:t>Department</w:t>
      </w:r>
      <w:r>
        <w:rPr>
          <w:spacing w:val="-11"/>
        </w:rPr>
        <w:t xml:space="preserve"> </w:t>
      </w:r>
      <w:r>
        <w:t>of</w:t>
      </w:r>
      <w:r>
        <w:rPr>
          <w:spacing w:val="-9"/>
        </w:rPr>
        <w:t xml:space="preserve"> </w:t>
      </w:r>
      <w:r>
        <w:t>Youth</w:t>
      </w:r>
      <w:r>
        <w:rPr>
          <w:spacing w:val="-7"/>
        </w:rPr>
        <w:t xml:space="preserve"> </w:t>
      </w:r>
      <w:r>
        <w:t>Services</w:t>
      </w:r>
      <w:r>
        <w:rPr>
          <w:spacing w:val="-9"/>
        </w:rPr>
        <w:t xml:space="preserve"> </w:t>
      </w:r>
      <w:r>
        <w:t>and</w:t>
      </w:r>
      <w:r>
        <w:rPr>
          <w:spacing w:val="-7"/>
        </w:rPr>
        <w:t xml:space="preserve"> </w:t>
      </w:r>
      <w:r>
        <w:t>for</w:t>
      </w:r>
      <w:r>
        <w:rPr>
          <w:spacing w:val="-11"/>
        </w:rPr>
        <w:t xml:space="preserve"> </w:t>
      </w:r>
      <w:r>
        <w:t>youth</w:t>
      </w:r>
      <w:r>
        <w:rPr>
          <w:spacing w:val="-10"/>
        </w:rPr>
        <w:t xml:space="preserve"> </w:t>
      </w:r>
      <w:r>
        <w:t>over</w:t>
      </w:r>
      <w:r>
        <w:rPr>
          <w:spacing w:val="-9"/>
        </w:rPr>
        <w:t xml:space="preserve"> </w:t>
      </w:r>
      <w:r>
        <w:t>the</w:t>
      </w:r>
      <w:r>
        <w:rPr>
          <w:spacing w:val="-8"/>
        </w:rPr>
        <w:t xml:space="preserve"> </w:t>
      </w:r>
      <w:r>
        <w:t>age</w:t>
      </w:r>
      <w:r>
        <w:rPr>
          <w:spacing w:val="-11"/>
        </w:rPr>
        <w:t xml:space="preserve"> </w:t>
      </w:r>
      <w:r>
        <w:t>of</w:t>
      </w:r>
      <w:r>
        <w:rPr>
          <w:spacing w:val="-9"/>
        </w:rPr>
        <w:t xml:space="preserve"> </w:t>
      </w:r>
      <w:r>
        <w:t>18,</w:t>
      </w:r>
      <w:r>
        <w:rPr>
          <w:spacing w:val="-9"/>
        </w:rPr>
        <w:t xml:space="preserve"> </w:t>
      </w:r>
      <w:r>
        <w:t>these</w:t>
      </w:r>
      <w:r>
        <w:rPr>
          <w:spacing w:val="-8"/>
        </w:rPr>
        <w:t xml:space="preserve"> </w:t>
      </w:r>
      <w:r>
        <w:t>formative</w:t>
      </w:r>
      <w:r>
        <w:rPr>
          <w:spacing w:val="-8"/>
        </w:rPr>
        <w:t xml:space="preserve"> </w:t>
      </w:r>
      <w:r>
        <w:t>years are particularly important for LGBTQ youth who often struggle with mental health issues.</w:t>
      </w:r>
    </w:p>
    <w:p w:rsidR="00200FDA" w:rsidRDefault="00200FDA">
      <w:pPr>
        <w:pStyle w:val="BodyText"/>
        <w:spacing w:before="7"/>
        <w:rPr>
          <w:sz w:val="19"/>
        </w:rPr>
      </w:pPr>
    </w:p>
    <w:p w:rsidR="00200FDA" w:rsidRDefault="00F76C4C">
      <w:pPr>
        <w:pStyle w:val="Heading9"/>
        <w:numPr>
          <w:ilvl w:val="0"/>
          <w:numId w:val="27"/>
        </w:numPr>
        <w:tabs>
          <w:tab w:val="left" w:pos="361"/>
        </w:tabs>
        <w:spacing w:before="1"/>
        <w:ind w:left="360" w:hanging="221"/>
      </w:pPr>
      <w:bookmarkStart w:id="850" w:name="_bookmark677"/>
      <w:bookmarkEnd w:id="850"/>
      <w:r>
        <w:t>Expand</w:t>
      </w:r>
      <w:r>
        <w:rPr>
          <w:spacing w:val="-8"/>
        </w:rPr>
        <w:t xml:space="preserve"> </w:t>
      </w:r>
      <w:r>
        <w:t>access</w:t>
      </w:r>
      <w:r>
        <w:rPr>
          <w:spacing w:val="-3"/>
        </w:rPr>
        <w:t xml:space="preserve"> </w:t>
      </w:r>
      <w:r>
        <w:t>to</w:t>
      </w:r>
      <w:r>
        <w:rPr>
          <w:spacing w:val="-8"/>
        </w:rPr>
        <w:t xml:space="preserve"> </w:t>
      </w:r>
      <w:r>
        <w:t>record</w:t>
      </w:r>
      <w:r>
        <w:rPr>
          <w:spacing w:val="-7"/>
        </w:rPr>
        <w:t xml:space="preserve"> </w:t>
      </w:r>
      <w:r>
        <w:t>sealing,</w:t>
      </w:r>
      <w:r>
        <w:rPr>
          <w:spacing w:val="-3"/>
        </w:rPr>
        <w:t xml:space="preserve"> </w:t>
      </w:r>
      <w:r>
        <w:t>and</w:t>
      </w:r>
      <w:r>
        <w:rPr>
          <w:spacing w:val="-6"/>
        </w:rPr>
        <w:t xml:space="preserve"> </w:t>
      </w:r>
      <w:r>
        <w:t>judicial</w:t>
      </w:r>
      <w:r>
        <w:rPr>
          <w:spacing w:val="-3"/>
        </w:rPr>
        <w:t xml:space="preserve"> </w:t>
      </w:r>
      <w:r>
        <w:t>diversion</w:t>
      </w:r>
      <w:r>
        <w:rPr>
          <w:spacing w:val="-5"/>
        </w:rPr>
        <w:t xml:space="preserve"> </w:t>
      </w:r>
      <w:r>
        <w:t>for</w:t>
      </w:r>
      <w:r>
        <w:rPr>
          <w:spacing w:val="-4"/>
        </w:rPr>
        <w:t xml:space="preserve"> </w:t>
      </w:r>
      <w:r>
        <w:t>low-level</w:t>
      </w:r>
      <w:r>
        <w:rPr>
          <w:spacing w:val="-3"/>
        </w:rPr>
        <w:t xml:space="preserve"> </w:t>
      </w:r>
      <w:r>
        <w:rPr>
          <w:spacing w:val="-2"/>
        </w:rPr>
        <w:t>offenses.</w:t>
      </w:r>
    </w:p>
    <w:p w:rsidR="00200FDA" w:rsidRDefault="00F76C4C">
      <w:pPr>
        <w:spacing w:before="161" w:line="276" w:lineRule="auto"/>
        <w:ind w:left="139" w:right="133"/>
        <w:jc w:val="both"/>
      </w:pPr>
      <w:bookmarkStart w:id="851" w:name="_bookmark678"/>
      <w:bookmarkEnd w:id="851"/>
      <w:r>
        <w:t>The Commission supports the expansion of access to record sealin</w:t>
      </w:r>
      <w:r>
        <w:t xml:space="preserve">g, and the automatic sealing of all </w:t>
      </w:r>
      <w:bookmarkStart w:id="852" w:name="_bookmark679"/>
      <w:bookmarkEnd w:id="852"/>
      <w:r>
        <w:t>eligible</w:t>
      </w:r>
      <w:r>
        <w:rPr>
          <w:spacing w:val="-11"/>
        </w:rPr>
        <w:t xml:space="preserve"> </w:t>
      </w:r>
      <w:r>
        <w:t>juvenile</w:t>
      </w:r>
      <w:r>
        <w:rPr>
          <w:spacing w:val="-11"/>
        </w:rPr>
        <w:t xml:space="preserve"> </w:t>
      </w:r>
      <w:r>
        <w:t>an</w:t>
      </w:r>
      <w:r>
        <w:rPr>
          <w:spacing w:val="-12"/>
        </w:rPr>
        <w:t xml:space="preserve"> </w:t>
      </w:r>
      <w:r>
        <w:t>adult</w:t>
      </w:r>
      <w:r>
        <w:rPr>
          <w:spacing w:val="-11"/>
        </w:rPr>
        <w:t xml:space="preserve"> </w:t>
      </w:r>
      <w:r>
        <w:t>records</w:t>
      </w:r>
      <w:r>
        <w:rPr>
          <w:spacing w:val="-11"/>
        </w:rPr>
        <w:t xml:space="preserve"> </w:t>
      </w:r>
      <w:r>
        <w:t>within</w:t>
      </w:r>
      <w:r>
        <w:rPr>
          <w:spacing w:val="-12"/>
        </w:rPr>
        <w:t xml:space="preserve"> </w:t>
      </w:r>
      <w:r>
        <w:t>90</w:t>
      </w:r>
      <w:r>
        <w:rPr>
          <w:spacing w:val="-10"/>
        </w:rPr>
        <w:t xml:space="preserve"> </w:t>
      </w:r>
      <w:r>
        <w:t>days,</w:t>
      </w:r>
      <w:r>
        <w:rPr>
          <w:spacing w:val="-11"/>
        </w:rPr>
        <w:t xml:space="preserve"> </w:t>
      </w:r>
      <w:r>
        <w:t>as</w:t>
      </w:r>
      <w:r>
        <w:rPr>
          <w:spacing w:val="-11"/>
        </w:rPr>
        <w:t xml:space="preserve"> </w:t>
      </w:r>
      <w:r>
        <w:t>proposed</w:t>
      </w:r>
      <w:r>
        <w:rPr>
          <w:spacing w:val="-12"/>
        </w:rPr>
        <w:t xml:space="preserve"> </w:t>
      </w:r>
      <w:r>
        <w:t>in</w:t>
      </w:r>
      <w:r>
        <w:rPr>
          <w:spacing w:val="-12"/>
        </w:rPr>
        <w:t xml:space="preserve"> </w:t>
      </w:r>
      <w:r>
        <w:t>an</w:t>
      </w:r>
      <w:r>
        <w:rPr>
          <w:spacing w:val="-12"/>
        </w:rPr>
        <w:t xml:space="preserve"> </w:t>
      </w:r>
      <w:r>
        <w:rPr>
          <w:i/>
        </w:rPr>
        <w:t>Act</w:t>
      </w:r>
      <w:r>
        <w:rPr>
          <w:i/>
          <w:spacing w:val="-11"/>
        </w:rPr>
        <w:t xml:space="preserve"> </w:t>
      </w:r>
      <w:r>
        <w:rPr>
          <w:i/>
        </w:rPr>
        <w:t>Providing</w:t>
      </w:r>
      <w:r>
        <w:rPr>
          <w:i/>
          <w:spacing w:val="-12"/>
        </w:rPr>
        <w:t xml:space="preserve"> </w:t>
      </w:r>
      <w:r>
        <w:rPr>
          <w:i/>
        </w:rPr>
        <w:t>Easier</w:t>
      </w:r>
      <w:r>
        <w:rPr>
          <w:i/>
          <w:spacing w:val="-10"/>
        </w:rPr>
        <w:t xml:space="preserve"> </w:t>
      </w:r>
      <w:r>
        <w:rPr>
          <w:i/>
        </w:rPr>
        <w:t>and</w:t>
      </w:r>
      <w:r>
        <w:rPr>
          <w:i/>
          <w:spacing w:val="-12"/>
        </w:rPr>
        <w:t xml:space="preserve"> </w:t>
      </w:r>
      <w:r>
        <w:rPr>
          <w:i/>
        </w:rPr>
        <w:t>Greater</w:t>
      </w:r>
      <w:r>
        <w:rPr>
          <w:i/>
          <w:spacing w:val="-10"/>
        </w:rPr>
        <w:t xml:space="preserve"> </w:t>
      </w:r>
      <w:r>
        <w:rPr>
          <w:i/>
        </w:rPr>
        <w:t>Access to Record</w:t>
      </w:r>
      <w:r>
        <w:rPr>
          <w:i/>
          <w:spacing w:val="-2"/>
        </w:rPr>
        <w:t xml:space="preserve"> </w:t>
      </w:r>
      <w:r>
        <w:rPr>
          <w:i/>
        </w:rPr>
        <w:t xml:space="preserve">Sealing </w:t>
      </w:r>
      <w:r>
        <w:t>(</w:t>
      </w:r>
      <w:hyperlink r:id="rId626">
        <w:r>
          <w:rPr>
            <w:b/>
            <w:color w:val="1154CC"/>
            <w:u w:val="single" w:color="1154CC"/>
          </w:rPr>
          <w:t>S.979</w:t>
        </w:r>
      </w:hyperlink>
      <w:r>
        <w:rPr>
          <w:b/>
        </w:rPr>
        <w:t>/</w:t>
      </w:r>
      <w:hyperlink r:id="rId627">
        <w:r>
          <w:rPr>
            <w:b/>
            <w:color w:val="1154CC"/>
            <w:u w:val="single" w:color="1154CC"/>
          </w:rPr>
          <w:t>H.1598</w:t>
        </w:r>
      </w:hyperlink>
      <w:r>
        <w:t>), as the process</w:t>
      </w:r>
      <w:r>
        <w:rPr>
          <w:spacing w:val="-1"/>
        </w:rPr>
        <w:t xml:space="preserve"> </w:t>
      </w:r>
      <w:r>
        <w:t>of</w:t>
      </w:r>
      <w:r>
        <w:rPr>
          <w:spacing w:val="-1"/>
        </w:rPr>
        <w:t xml:space="preserve"> </w:t>
      </w:r>
      <w:r>
        <w:t>sealing records</w:t>
      </w:r>
      <w:r>
        <w:rPr>
          <w:spacing w:val="-1"/>
        </w:rPr>
        <w:t xml:space="preserve"> </w:t>
      </w:r>
      <w:r>
        <w:t>can be difficult and lengthy given</w:t>
      </w:r>
      <w:r>
        <w:rPr>
          <w:spacing w:val="-2"/>
        </w:rPr>
        <w:t xml:space="preserve"> </w:t>
      </w:r>
      <w:r>
        <w:t xml:space="preserve">the </w:t>
      </w:r>
      <w:bookmarkStart w:id="853" w:name="_bookmark680"/>
      <w:bookmarkEnd w:id="853"/>
      <w:r>
        <w:t>current</w:t>
      </w:r>
      <w:r>
        <w:rPr>
          <w:spacing w:val="-1"/>
        </w:rPr>
        <w:t xml:space="preserve"> </w:t>
      </w:r>
      <w:r>
        <w:t>backlogs.</w:t>
      </w:r>
      <w:r>
        <w:rPr>
          <w:spacing w:val="-2"/>
        </w:rPr>
        <w:t xml:space="preserve"> </w:t>
      </w:r>
      <w:r>
        <w:t>Furthermore,</w:t>
      </w:r>
      <w:r>
        <w:rPr>
          <w:spacing w:val="-4"/>
        </w:rPr>
        <w:t xml:space="preserve"> </w:t>
      </w:r>
      <w:r>
        <w:t>the</w:t>
      </w:r>
      <w:r>
        <w:rPr>
          <w:spacing w:val="-4"/>
        </w:rPr>
        <w:t xml:space="preserve"> </w:t>
      </w:r>
      <w:r>
        <w:t>Commission</w:t>
      </w:r>
      <w:r>
        <w:rPr>
          <w:spacing w:val="-5"/>
        </w:rPr>
        <w:t xml:space="preserve"> </w:t>
      </w:r>
      <w:r>
        <w:t>supports</w:t>
      </w:r>
      <w:r>
        <w:rPr>
          <w:spacing w:val="-4"/>
        </w:rPr>
        <w:t xml:space="preserve"> </w:t>
      </w:r>
      <w:r>
        <w:t>the</w:t>
      </w:r>
      <w:r>
        <w:rPr>
          <w:spacing w:val="-4"/>
        </w:rPr>
        <w:t xml:space="preserve"> </w:t>
      </w:r>
      <w:r>
        <w:t>expansion</w:t>
      </w:r>
      <w:r>
        <w:rPr>
          <w:spacing w:val="-5"/>
        </w:rPr>
        <w:t xml:space="preserve"> </w:t>
      </w:r>
      <w:r>
        <w:t>of</w:t>
      </w:r>
      <w:r>
        <w:rPr>
          <w:spacing w:val="-4"/>
        </w:rPr>
        <w:t xml:space="preserve"> </w:t>
      </w:r>
      <w:r>
        <w:t>access</w:t>
      </w:r>
      <w:r>
        <w:rPr>
          <w:spacing w:val="-7"/>
        </w:rPr>
        <w:t xml:space="preserve"> </w:t>
      </w:r>
      <w:r>
        <w:t>to</w:t>
      </w:r>
      <w:r>
        <w:rPr>
          <w:spacing w:val="-3"/>
        </w:rPr>
        <w:t xml:space="preserve"> </w:t>
      </w:r>
      <w:r>
        <w:t>judicial</w:t>
      </w:r>
      <w:r>
        <w:rPr>
          <w:spacing w:val="-2"/>
        </w:rPr>
        <w:t xml:space="preserve"> </w:t>
      </w:r>
      <w:r>
        <w:t>diversion</w:t>
      </w:r>
      <w:r>
        <w:rPr>
          <w:spacing w:val="-5"/>
        </w:rPr>
        <w:t xml:space="preserve"> </w:t>
      </w:r>
      <w:r>
        <w:t xml:space="preserve">for </w:t>
      </w:r>
      <w:bookmarkStart w:id="854" w:name="_bookmark681"/>
      <w:bookmarkEnd w:id="854"/>
      <w:r>
        <w:t xml:space="preserve">youth who </w:t>
      </w:r>
      <w:r>
        <w:t xml:space="preserve">commit low-level offenses in order to better support diverting youth away from the juvenile </w:t>
      </w:r>
      <w:bookmarkStart w:id="855" w:name="_bookmark682"/>
      <w:bookmarkEnd w:id="855"/>
      <w:r>
        <w:t xml:space="preserve">system, as proposed in </w:t>
      </w:r>
      <w:r>
        <w:rPr>
          <w:i/>
        </w:rPr>
        <w:t xml:space="preserve">An Act Promoting Diversion of Juveniles to Community Supervision and Services </w:t>
      </w:r>
      <w:r>
        <w:rPr>
          <w:spacing w:val="-2"/>
        </w:rPr>
        <w:t>(</w:t>
      </w:r>
      <w:hyperlink r:id="rId628">
        <w:r>
          <w:rPr>
            <w:b/>
            <w:color w:val="1154CC"/>
            <w:spacing w:val="-2"/>
            <w:u w:val="single" w:color="1154CC"/>
          </w:rPr>
          <w:t>S.940</w:t>
        </w:r>
      </w:hyperlink>
      <w:r>
        <w:rPr>
          <w:b/>
          <w:spacing w:val="-2"/>
        </w:rPr>
        <w:t>/</w:t>
      </w:r>
      <w:hyperlink r:id="rId629">
        <w:r>
          <w:rPr>
            <w:b/>
            <w:color w:val="1154CC"/>
            <w:spacing w:val="-2"/>
            <w:u w:val="single" w:color="1154CC"/>
          </w:rPr>
          <w:t>H.1495</w:t>
        </w:r>
      </w:hyperlink>
      <w:r>
        <w:rPr>
          <w:spacing w:val="-2"/>
        </w:rPr>
        <w:t>).</w:t>
      </w:r>
    </w:p>
    <w:p w:rsidR="00200FDA" w:rsidRDefault="00200FDA">
      <w:pPr>
        <w:pStyle w:val="BodyText"/>
        <w:spacing w:before="11"/>
        <w:rPr>
          <w:sz w:val="14"/>
        </w:rPr>
      </w:pPr>
    </w:p>
    <w:p w:rsidR="00200FDA" w:rsidRDefault="00F76C4C">
      <w:pPr>
        <w:pStyle w:val="Heading9"/>
        <w:numPr>
          <w:ilvl w:val="0"/>
          <w:numId w:val="27"/>
        </w:numPr>
        <w:tabs>
          <w:tab w:val="left" w:pos="474"/>
        </w:tabs>
        <w:spacing w:before="56"/>
        <w:ind w:left="473" w:hanging="334"/>
      </w:pPr>
      <w:bookmarkStart w:id="856" w:name="_bookmark683"/>
      <w:bookmarkEnd w:id="856"/>
      <w:r>
        <w:t>Increase</w:t>
      </w:r>
      <w:r>
        <w:rPr>
          <w:spacing w:val="-12"/>
        </w:rPr>
        <w:t xml:space="preserve"> </w:t>
      </w:r>
      <w:r>
        <w:t>transitional</w:t>
      </w:r>
      <w:r>
        <w:rPr>
          <w:spacing w:val="-6"/>
        </w:rPr>
        <w:t xml:space="preserve"> </w:t>
      </w:r>
      <w:r>
        <w:t>housing</w:t>
      </w:r>
      <w:r>
        <w:rPr>
          <w:spacing w:val="-6"/>
        </w:rPr>
        <w:t xml:space="preserve"> </w:t>
      </w:r>
      <w:r>
        <w:t>resources</w:t>
      </w:r>
      <w:r>
        <w:rPr>
          <w:spacing w:val="-6"/>
        </w:rPr>
        <w:t xml:space="preserve"> </w:t>
      </w:r>
      <w:r>
        <w:t>for</w:t>
      </w:r>
      <w:r>
        <w:rPr>
          <w:spacing w:val="-6"/>
        </w:rPr>
        <w:t xml:space="preserve"> </w:t>
      </w:r>
      <w:r>
        <w:t>formerly</w:t>
      </w:r>
      <w:r>
        <w:rPr>
          <w:spacing w:val="-7"/>
        </w:rPr>
        <w:t xml:space="preserve"> </w:t>
      </w:r>
      <w:r>
        <w:t>incarcerated</w:t>
      </w:r>
      <w:r>
        <w:rPr>
          <w:spacing w:val="-8"/>
        </w:rPr>
        <w:t xml:space="preserve"> </w:t>
      </w:r>
      <w:r>
        <w:t>LGBTQ</w:t>
      </w:r>
      <w:r>
        <w:rPr>
          <w:spacing w:val="-8"/>
        </w:rPr>
        <w:t xml:space="preserve"> </w:t>
      </w:r>
      <w:r>
        <w:rPr>
          <w:spacing w:val="-2"/>
        </w:rPr>
        <w:t>youth.</w:t>
      </w:r>
    </w:p>
    <w:p w:rsidR="00200FDA" w:rsidRDefault="00F76C4C">
      <w:pPr>
        <w:pStyle w:val="BodyText"/>
        <w:spacing w:before="161" w:line="276" w:lineRule="auto"/>
        <w:ind w:left="139" w:right="133"/>
        <w:jc w:val="both"/>
      </w:pPr>
      <w:bookmarkStart w:id="857" w:name="_bookmark684"/>
      <w:bookmarkEnd w:id="857"/>
      <w:r>
        <w:t xml:space="preserve">The Commission strongly recommends that the Commonwealth allocate funding to the development of </w:t>
      </w:r>
      <w:bookmarkStart w:id="858" w:name="_bookmark685"/>
      <w:bookmarkEnd w:id="858"/>
      <w:r>
        <w:t>an</w:t>
      </w:r>
      <w:r>
        <w:t>d expansion of transitional housing resources for formerly incarcerated LGBTQ youth, particularly for those</w:t>
      </w:r>
      <w:r>
        <w:rPr>
          <w:spacing w:val="-13"/>
        </w:rPr>
        <w:t xml:space="preserve"> </w:t>
      </w:r>
      <w:r>
        <w:t>aged</w:t>
      </w:r>
      <w:r>
        <w:rPr>
          <w:spacing w:val="-12"/>
        </w:rPr>
        <w:t xml:space="preserve"> </w:t>
      </w:r>
      <w:r>
        <w:t>22</w:t>
      </w:r>
      <w:r>
        <w:rPr>
          <w:spacing w:val="-13"/>
        </w:rPr>
        <w:t xml:space="preserve"> </w:t>
      </w:r>
      <w:r>
        <w:t>to</w:t>
      </w:r>
      <w:r>
        <w:rPr>
          <w:spacing w:val="-12"/>
        </w:rPr>
        <w:t xml:space="preserve"> </w:t>
      </w:r>
      <w:r>
        <w:t>24</w:t>
      </w:r>
      <w:r>
        <w:rPr>
          <w:spacing w:val="-13"/>
        </w:rPr>
        <w:t xml:space="preserve"> </w:t>
      </w:r>
      <w:r>
        <w:t>who</w:t>
      </w:r>
      <w:r>
        <w:rPr>
          <w:spacing w:val="-12"/>
        </w:rPr>
        <w:t xml:space="preserve"> </w:t>
      </w:r>
      <w:r>
        <w:t>may</w:t>
      </w:r>
      <w:r>
        <w:rPr>
          <w:spacing w:val="-13"/>
        </w:rPr>
        <w:t xml:space="preserve"> </w:t>
      </w:r>
      <w:r>
        <w:t>not</w:t>
      </w:r>
      <w:r>
        <w:rPr>
          <w:spacing w:val="-12"/>
        </w:rPr>
        <w:t xml:space="preserve"> </w:t>
      </w:r>
      <w:r>
        <w:t>be</w:t>
      </w:r>
      <w:r>
        <w:rPr>
          <w:spacing w:val="-12"/>
        </w:rPr>
        <w:t xml:space="preserve"> </w:t>
      </w:r>
      <w:r>
        <w:t>eligible</w:t>
      </w:r>
      <w:r>
        <w:rPr>
          <w:spacing w:val="-13"/>
        </w:rPr>
        <w:t xml:space="preserve"> </w:t>
      </w:r>
      <w:r>
        <w:t>for</w:t>
      </w:r>
      <w:r>
        <w:rPr>
          <w:spacing w:val="-12"/>
        </w:rPr>
        <w:t xml:space="preserve"> </w:t>
      </w:r>
      <w:r>
        <w:t>other</w:t>
      </w:r>
      <w:r>
        <w:rPr>
          <w:spacing w:val="-13"/>
        </w:rPr>
        <w:t xml:space="preserve"> </w:t>
      </w:r>
      <w:r>
        <w:t>state</w:t>
      </w:r>
      <w:r>
        <w:rPr>
          <w:spacing w:val="-12"/>
        </w:rPr>
        <w:t xml:space="preserve"> </w:t>
      </w:r>
      <w:r>
        <w:t>services.</w:t>
      </w:r>
      <w:r>
        <w:rPr>
          <w:spacing w:val="-13"/>
        </w:rPr>
        <w:t xml:space="preserve"> </w:t>
      </w:r>
      <w:r>
        <w:t>Such</w:t>
      </w:r>
      <w:r>
        <w:rPr>
          <w:spacing w:val="-12"/>
        </w:rPr>
        <w:t xml:space="preserve"> </w:t>
      </w:r>
      <w:r>
        <w:t>examples</w:t>
      </w:r>
      <w:r>
        <w:rPr>
          <w:spacing w:val="-11"/>
        </w:rPr>
        <w:t xml:space="preserve"> </w:t>
      </w:r>
      <w:r>
        <w:t>of</w:t>
      </w:r>
      <w:r>
        <w:rPr>
          <w:spacing w:val="-12"/>
        </w:rPr>
        <w:t xml:space="preserve"> </w:t>
      </w:r>
      <w:r>
        <w:t>transitional</w:t>
      </w:r>
      <w:r>
        <w:rPr>
          <w:spacing w:val="-12"/>
        </w:rPr>
        <w:t xml:space="preserve"> </w:t>
      </w:r>
      <w:r>
        <w:t xml:space="preserve">housing </w:t>
      </w:r>
      <w:bookmarkStart w:id="859" w:name="_bookmark686"/>
      <w:bookmarkEnd w:id="859"/>
      <w:r>
        <w:t>are demonstrated through the creation of the A</w:t>
      </w:r>
      <w:r>
        <w:t>lexia Norena House from Black &amp; Pink Massachusetts which</w:t>
      </w:r>
      <w:r>
        <w:rPr>
          <w:spacing w:val="-5"/>
        </w:rPr>
        <w:t xml:space="preserve"> </w:t>
      </w:r>
      <w:r>
        <w:t>supports</w:t>
      </w:r>
      <w:r>
        <w:rPr>
          <w:spacing w:val="-4"/>
        </w:rPr>
        <w:t xml:space="preserve"> </w:t>
      </w:r>
      <w:r>
        <w:t>up</w:t>
      </w:r>
      <w:r>
        <w:rPr>
          <w:spacing w:val="-7"/>
        </w:rPr>
        <w:t xml:space="preserve"> </w:t>
      </w:r>
      <w:r>
        <w:t>to</w:t>
      </w:r>
      <w:r>
        <w:rPr>
          <w:spacing w:val="-5"/>
        </w:rPr>
        <w:t xml:space="preserve"> </w:t>
      </w:r>
      <w:r>
        <w:t>5</w:t>
      </w:r>
      <w:r>
        <w:rPr>
          <w:spacing w:val="-3"/>
        </w:rPr>
        <w:t xml:space="preserve"> </w:t>
      </w:r>
      <w:r>
        <w:t>transgender</w:t>
      </w:r>
      <w:r>
        <w:rPr>
          <w:spacing w:val="-4"/>
        </w:rPr>
        <w:t xml:space="preserve"> </w:t>
      </w:r>
      <w:r>
        <w:t>individuals</w:t>
      </w:r>
      <w:r>
        <w:rPr>
          <w:spacing w:val="-4"/>
        </w:rPr>
        <w:t xml:space="preserve"> </w:t>
      </w:r>
      <w:r>
        <w:t>re-entering</w:t>
      </w:r>
      <w:r>
        <w:rPr>
          <w:spacing w:val="-5"/>
        </w:rPr>
        <w:t xml:space="preserve"> </w:t>
      </w:r>
      <w:r>
        <w:t>society</w:t>
      </w:r>
      <w:r>
        <w:rPr>
          <w:spacing w:val="-6"/>
        </w:rPr>
        <w:t xml:space="preserve"> </w:t>
      </w:r>
      <w:r>
        <w:t>from</w:t>
      </w:r>
      <w:r>
        <w:rPr>
          <w:spacing w:val="-3"/>
        </w:rPr>
        <w:t xml:space="preserve"> </w:t>
      </w:r>
      <w:r>
        <w:t>previous</w:t>
      </w:r>
      <w:r>
        <w:rPr>
          <w:spacing w:val="-7"/>
        </w:rPr>
        <w:t xml:space="preserve"> </w:t>
      </w:r>
      <w:r>
        <w:t>incarceration.</w:t>
      </w:r>
      <w:hyperlink w:anchor="_bookmark665" w:history="1">
        <w:r>
          <w:rPr>
            <w:vertAlign w:val="superscript"/>
          </w:rPr>
          <w:t>9</w:t>
        </w:r>
      </w:hyperlink>
      <w:r>
        <w:rPr>
          <w:spacing w:val="-3"/>
        </w:rPr>
        <w:t xml:space="preserve"> </w:t>
      </w:r>
      <w:r>
        <w:t xml:space="preserve">Another </w:t>
      </w:r>
      <w:bookmarkStart w:id="860" w:name="_bookmark687"/>
      <w:bookmarkEnd w:id="860"/>
      <w:r>
        <w:t>ex</w:t>
      </w:r>
      <w:r>
        <w:t>ample is offered by the Transgender Emergency Fund Transitional Housing Program, which houses up to eight transgender and gender expansive individuals currently experiencing homelessness.</w:t>
      </w:r>
      <w:hyperlink w:anchor="_bookmark666" w:history="1">
        <w:r>
          <w:rPr>
            <w:vertAlign w:val="superscript"/>
          </w:rPr>
          <w:t>10</w:t>
        </w:r>
      </w:hyperlink>
    </w:p>
    <w:p w:rsidR="00200FDA" w:rsidRDefault="00200FDA">
      <w:pPr>
        <w:spacing w:line="276" w:lineRule="auto"/>
        <w:jc w:val="both"/>
        <w:sectPr w:rsidR="00200FDA">
          <w:pgSz w:w="12240" w:h="15840"/>
          <w:pgMar w:top="1380" w:right="1300" w:bottom="1240" w:left="1300" w:header="552" w:footer="1043" w:gutter="0"/>
          <w:cols w:space="720"/>
        </w:sectPr>
      </w:pPr>
    </w:p>
    <w:p w:rsidR="00200FDA" w:rsidRDefault="00200FDA">
      <w:pPr>
        <w:pStyle w:val="BodyText"/>
        <w:spacing w:before="3"/>
        <w:rPr>
          <w:sz w:val="28"/>
        </w:rPr>
      </w:pPr>
    </w:p>
    <w:p w:rsidR="00200FDA" w:rsidRDefault="00F76C4C">
      <w:pPr>
        <w:pStyle w:val="Heading7"/>
        <w:spacing w:before="45"/>
        <w:ind w:left="140"/>
      </w:pPr>
      <w:r>
        <w:pict>
          <v:rect id="docshape409" o:spid="_x0000_s1192" style="position:absolute;left:0;text-align:left;margin-left:70.55pt;margin-top:20.25pt;width:470.9pt;height:.5pt;z-index:-15650816;mso-wrap-distance-left:0;mso-wrap-distance-right:0;mso-position-horizontal-relative:page" fillcolor="#4f81bc" stroked="f">
            <w10:wrap type="topAndBottom" anchorx="page"/>
          </v:rect>
        </w:pict>
      </w:r>
      <w:bookmarkStart w:id="861" w:name="_bookmark708"/>
      <w:bookmarkStart w:id="862" w:name="_bookmark707"/>
      <w:bookmarkStart w:id="863" w:name="Research:_Advancing_Juvenile_Justice_for"/>
      <w:bookmarkStart w:id="864" w:name="_bookmark688"/>
      <w:bookmarkEnd w:id="861"/>
      <w:bookmarkEnd w:id="862"/>
      <w:bookmarkEnd w:id="863"/>
      <w:bookmarkEnd w:id="864"/>
      <w:r>
        <w:rPr>
          <w:color w:val="365F91"/>
        </w:rPr>
        <w:t>Research:</w:t>
      </w:r>
      <w:r>
        <w:rPr>
          <w:color w:val="365F91"/>
          <w:spacing w:val="-9"/>
        </w:rPr>
        <w:t xml:space="preserve"> </w:t>
      </w:r>
      <w:r>
        <w:rPr>
          <w:color w:val="365F91"/>
        </w:rPr>
        <w:t>Advancin</w:t>
      </w:r>
      <w:r>
        <w:rPr>
          <w:color w:val="365F91"/>
        </w:rPr>
        <w:t>g</w:t>
      </w:r>
      <w:r>
        <w:rPr>
          <w:color w:val="365F91"/>
          <w:spacing w:val="-7"/>
        </w:rPr>
        <w:t xml:space="preserve"> </w:t>
      </w:r>
      <w:r>
        <w:rPr>
          <w:color w:val="365F91"/>
        </w:rPr>
        <w:t>Juvenile</w:t>
      </w:r>
      <w:r>
        <w:rPr>
          <w:color w:val="365F91"/>
          <w:spacing w:val="-6"/>
        </w:rPr>
        <w:t xml:space="preserve"> </w:t>
      </w:r>
      <w:r>
        <w:rPr>
          <w:color w:val="365F91"/>
        </w:rPr>
        <w:t>Justice</w:t>
      </w:r>
      <w:r>
        <w:rPr>
          <w:color w:val="365F91"/>
          <w:spacing w:val="-7"/>
        </w:rPr>
        <w:t xml:space="preserve"> </w:t>
      </w:r>
      <w:r>
        <w:rPr>
          <w:color w:val="365F91"/>
        </w:rPr>
        <w:t>for</w:t>
      </w:r>
      <w:r>
        <w:rPr>
          <w:color w:val="365F91"/>
          <w:spacing w:val="-6"/>
        </w:rPr>
        <w:t xml:space="preserve"> </w:t>
      </w:r>
      <w:r>
        <w:rPr>
          <w:color w:val="365F91"/>
        </w:rPr>
        <w:t>LGBTQ</w:t>
      </w:r>
      <w:r>
        <w:rPr>
          <w:color w:val="365F91"/>
          <w:spacing w:val="-5"/>
        </w:rPr>
        <w:t xml:space="preserve"> </w:t>
      </w:r>
      <w:r>
        <w:rPr>
          <w:color w:val="365F91"/>
          <w:spacing w:val="-2"/>
        </w:rPr>
        <w:t>Youth</w:t>
      </w:r>
    </w:p>
    <w:p w:rsidR="00200FDA" w:rsidRDefault="00200FDA">
      <w:pPr>
        <w:pStyle w:val="BodyText"/>
        <w:rPr>
          <w:sz w:val="20"/>
        </w:rPr>
      </w:pPr>
    </w:p>
    <w:p w:rsidR="00200FDA" w:rsidRDefault="00200FDA">
      <w:pPr>
        <w:pStyle w:val="BodyText"/>
        <w:spacing w:before="5"/>
        <w:rPr>
          <w:sz w:val="18"/>
        </w:rPr>
      </w:pPr>
    </w:p>
    <w:p w:rsidR="00200FDA" w:rsidRDefault="00F76C4C">
      <w:pPr>
        <w:pStyle w:val="BodyText"/>
        <w:spacing w:before="1" w:line="276" w:lineRule="auto"/>
        <w:ind w:left="140" w:right="133"/>
        <w:jc w:val="both"/>
      </w:pPr>
      <w:bookmarkStart w:id="865" w:name="_bookmark689"/>
      <w:bookmarkEnd w:id="865"/>
      <w:r>
        <w:t xml:space="preserve">As discussed throughout this annual report, LGBTQ youth face unique risk factors that make them more </w:t>
      </w:r>
      <w:bookmarkStart w:id="866" w:name="_bookmark690"/>
      <w:bookmarkEnd w:id="866"/>
      <w:r>
        <w:t xml:space="preserve">susceptible to engaging in the criminal legal system through factors such as homelessness, engagement </w:t>
      </w:r>
      <w:bookmarkStart w:id="867" w:name="_bookmark691"/>
      <w:bookmarkEnd w:id="867"/>
      <w:r>
        <w:t>in the child wel</w:t>
      </w:r>
      <w:r>
        <w:t xml:space="preserve">fare system, criminalization of survival sex work, drug use and/or sales, and employment </w:t>
      </w:r>
      <w:bookmarkStart w:id="868" w:name="_bookmark692"/>
      <w:bookmarkEnd w:id="868"/>
      <w:r>
        <w:t xml:space="preserve">discrimination. Unfortunately, despite some progress made over the last few years, data related to </w:t>
      </w:r>
      <w:bookmarkStart w:id="869" w:name="_bookmark693"/>
      <w:bookmarkStart w:id="870" w:name="_bookmark694"/>
      <w:bookmarkEnd w:id="869"/>
      <w:bookmarkEnd w:id="870"/>
      <w:r>
        <w:t>experiences of Massachusetts youth under 25 in the criminal legal sy</w:t>
      </w:r>
      <w:r>
        <w:t>stems is slim. Anecdotally, the Commission understands from its own conversations with youth, providers, and advocates that there is still a great deal of work to be done - particularly for youth over the age of 18.</w:t>
      </w:r>
    </w:p>
    <w:p w:rsidR="00200FDA" w:rsidRDefault="00200FDA">
      <w:pPr>
        <w:pStyle w:val="BodyText"/>
        <w:spacing w:before="5"/>
        <w:rPr>
          <w:sz w:val="19"/>
        </w:rPr>
      </w:pPr>
    </w:p>
    <w:p w:rsidR="00200FDA" w:rsidRDefault="00F76C4C">
      <w:pPr>
        <w:pStyle w:val="BodyText"/>
        <w:spacing w:line="276" w:lineRule="auto"/>
        <w:ind w:left="139" w:right="135"/>
        <w:jc w:val="both"/>
      </w:pPr>
      <w:bookmarkStart w:id="871" w:name="_bookmark695"/>
      <w:bookmarkEnd w:id="871"/>
      <w:r>
        <w:t>Nationally,</w:t>
      </w:r>
      <w:r>
        <w:rPr>
          <w:spacing w:val="-11"/>
        </w:rPr>
        <w:t xml:space="preserve"> </w:t>
      </w:r>
      <w:r>
        <w:t>lesbian,</w:t>
      </w:r>
      <w:r>
        <w:rPr>
          <w:spacing w:val="-11"/>
        </w:rPr>
        <w:t xml:space="preserve"> </w:t>
      </w:r>
      <w:r>
        <w:t>gay,</w:t>
      </w:r>
      <w:r>
        <w:rPr>
          <w:spacing w:val="-11"/>
        </w:rPr>
        <w:t xml:space="preserve"> </w:t>
      </w:r>
      <w:r>
        <w:t>and</w:t>
      </w:r>
      <w:r>
        <w:rPr>
          <w:spacing w:val="-10"/>
        </w:rPr>
        <w:t xml:space="preserve"> </w:t>
      </w:r>
      <w:r>
        <w:t>bisexual</w:t>
      </w:r>
      <w:r>
        <w:rPr>
          <w:spacing w:val="-12"/>
        </w:rPr>
        <w:t xml:space="preserve"> </w:t>
      </w:r>
      <w:r>
        <w:t>youth</w:t>
      </w:r>
      <w:r>
        <w:rPr>
          <w:spacing w:val="-10"/>
        </w:rPr>
        <w:t xml:space="preserve"> </w:t>
      </w:r>
      <w:r>
        <w:t>are</w:t>
      </w:r>
      <w:r>
        <w:rPr>
          <w:spacing w:val="-9"/>
        </w:rPr>
        <w:t xml:space="preserve"> </w:t>
      </w:r>
      <w:r>
        <w:t>twice</w:t>
      </w:r>
      <w:r>
        <w:rPr>
          <w:spacing w:val="-11"/>
        </w:rPr>
        <w:t xml:space="preserve"> </w:t>
      </w:r>
      <w:r>
        <w:t>as</w:t>
      </w:r>
      <w:r>
        <w:rPr>
          <w:spacing w:val="-9"/>
        </w:rPr>
        <w:t xml:space="preserve"> </w:t>
      </w:r>
      <w:r>
        <w:t>likely</w:t>
      </w:r>
      <w:r>
        <w:rPr>
          <w:spacing w:val="-11"/>
        </w:rPr>
        <w:t xml:space="preserve"> </w:t>
      </w:r>
      <w:r>
        <w:t>to</w:t>
      </w:r>
      <w:r>
        <w:rPr>
          <w:spacing w:val="-10"/>
        </w:rPr>
        <w:t xml:space="preserve"> </w:t>
      </w:r>
      <w:r>
        <w:t>enter</w:t>
      </w:r>
      <w:r>
        <w:rPr>
          <w:spacing w:val="-11"/>
        </w:rPr>
        <w:t xml:space="preserve"> </w:t>
      </w:r>
      <w:r>
        <w:t>the</w:t>
      </w:r>
      <w:r>
        <w:rPr>
          <w:spacing w:val="-9"/>
        </w:rPr>
        <w:t xml:space="preserve"> </w:t>
      </w:r>
      <w:r>
        <w:t>juvenile</w:t>
      </w:r>
      <w:r>
        <w:rPr>
          <w:spacing w:val="-11"/>
        </w:rPr>
        <w:t xml:space="preserve"> </w:t>
      </w:r>
      <w:r>
        <w:t>system</w:t>
      </w:r>
      <w:r>
        <w:rPr>
          <w:spacing w:val="-9"/>
        </w:rPr>
        <w:t xml:space="preserve"> </w:t>
      </w:r>
      <w:r>
        <w:t>as</w:t>
      </w:r>
      <w:r>
        <w:rPr>
          <w:spacing w:val="-9"/>
        </w:rPr>
        <w:t xml:space="preserve"> </w:t>
      </w:r>
      <w:r>
        <w:t xml:space="preserve">heterosexual </w:t>
      </w:r>
      <w:bookmarkStart w:id="872" w:name="_bookmark696"/>
      <w:bookmarkEnd w:id="872"/>
      <w:r>
        <w:t>youth,</w:t>
      </w:r>
      <w:hyperlink w:anchor="_bookmark667" w:history="1">
        <w:r>
          <w:rPr>
            <w:vertAlign w:val="superscript"/>
          </w:rPr>
          <w:t>11</w:t>
        </w:r>
      </w:hyperlink>
      <w:r>
        <w:rPr>
          <w:spacing w:val="-2"/>
        </w:rPr>
        <w:t xml:space="preserve"> </w:t>
      </w:r>
      <w:r>
        <w:t xml:space="preserve">while transgender and gender expansive youth are four times more likely than cisgender youth </w:t>
      </w:r>
      <w:bookmarkStart w:id="873" w:name="_bookmark697"/>
      <w:bookmarkEnd w:id="873"/>
      <w:r>
        <w:t>to engage with the criminal legal system.</w:t>
      </w:r>
      <w:r>
        <w:rPr>
          <w:spacing w:val="-13"/>
        </w:rPr>
        <w:t xml:space="preserve"> </w:t>
      </w:r>
      <w:hyperlink w:anchor="_bookmark668" w:history="1">
        <w:r>
          <w:rPr>
            <w:vertAlign w:val="superscript"/>
          </w:rPr>
          <w:t>12</w:t>
        </w:r>
      </w:hyperlink>
      <w:r>
        <w:t xml:space="preserve"> Additionally, youth of color are more likely to report engagement</w:t>
      </w:r>
      <w:r>
        <w:rPr>
          <w:spacing w:val="-7"/>
        </w:rPr>
        <w:t xml:space="preserve"> </w:t>
      </w:r>
      <w:r>
        <w:t>with</w:t>
      </w:r>
      <w:r>
        <w:rPr>
          <w:spacing w:val="-9"/>
        </w:rPr>
        <w:t xml:space="preserve"> </w:t>
      </w:r>
      <w:r>
        <w:t>the</w:t>
      </w:r>
      <w:r>
        <w:rPr>
          <w:spacing w:val="-10"/>
        </w:rPr>
        <w:t xml:space="preserve"> </w:t>
      </w:r>
      <w:r>
        <w:t>legal</w:t>
      </w:r>
      <w:r>
        <w:rPr>
          <w:spacing w:val="-11"/>
        </w:rPr>
        <w:t xml:space="preserve"> </w:t>
      </w:r>
      <w:r>
        <w:t>system,</w:t>
      </w:r>
      <w:r>
        <w:rPr>
          <w:spacing w:val="-10"/>
        </w:rPr>
        <w:t xml:space="preserve"> </w:t>
      </w:r>
      <w:r>
        <w:t>and</w:t>
      </w:r>
      <w:r>
        <w:rPr>
          <w:spacing w:val="-9"/>
        </w:rPr>
        <w:t xml:space="preserve"> </w:t>
      </w:r>
      <w:r>
        <w:t>are</w:t>
      </w:r>
      <w:r>
        <w:rPr>
          <w:spacing w:val="-10"/>
        </w:rPr>
        <w:t xml:space="preserve"> </w:t>
      </w:r>
      <w:r>
        <w:t>more</w:t>
      </w:r>
      <w:r>
        <w:rPr>
          <w:spacing w:val="-10"/>
        </w:rPr>
        <w:t xml:space="preserve"> </w:t>
      </w:r>
      <w:r>
        <w:t>likely</w:t>
      </w:r>
      <w:r>
        <w:rPr>
          <w:spacing w:val="-10"/>
        </w:rPr>
        <w:t xml:space="preserve"> </w:t>
      </w:r>
      <w:r>
        <w:t>to</w:t>
      </w:r>
      <w:r>
        <w:rPr>
          <w:spacing w:val="-9"/>
        </w:rPr>
        <w:t xml:space="preserve"> </w:t>
      </w:r>
      <w:r>
        <w:t>be</w:t>
      </w:r>
      <w:r>
        <w:rPr>
          <w:spacing w:val="-10"/>
        </w:rPr>
        <w:t xml:space="preserve"> </w:t>
      </w:r>
      <w:r>
        <w:t>victims</w:t>
      </w:r>
      <w:r>
        <w:rPr>
          <w:spacing w:val="-10"/>
        </w:rPr>
        <w:t xml:space="preserve"> </w:t>
      </w:r>
      <w:r>
        <w:t>of</w:t>
      </w:r>
      <w:r>
        <w:rPr>
          <w:spacing w:val="-8"/>
        </w:rPr>
        <w:t xml:space="preserve"> </w:t>
      </w:r>
      <w:r>
        <w:t>police</w:t>
      </w:r>
      <w:r>
        <w:rPr>
          <w:spacing w:val="-7"/>
        </w:rPr>
        <w:t xml:space="preserve"> </w:t>
      </w:r>
      <w:r>
        <w:t>violence</w:t>
      </w:r>
      <w:r>
        <w:rPr>
          <w:spacing w:val="-7"/>
        </w:rPr>
        <w:t xml:space="preserve"> </w:t>
      </w:r>
      <w:r>
        <w:t>than</w:t>
      </w:r>
      <w:r>
        <w:rPr>
          <w:spacing w:val="-11"/>
        </w:rPr>
        <w:t xml:space="preserve"> </w:t>
      </w:r>
      <w:r>
        <w:t>white</w:t>
      </w:r>
      <w:r>
        <w:rPr>
          <w:spacing w:val="-10"/>
        </w:rPr>
        <w:t xml:space="preserve"> </w:t>
      </w:r>
      <w:r>
        <w:t>youth.</w:t>
      </w:r>
      <w:hyperlink w:anchor="_bookmark669" w:history="1">
        <w:r>
          <w:rPr>
            <w:vertAlign w:val="superscript"/>
          </w:rPr>
          <w:t>13</w:t>
        </w:r>
      </w:hyperlink>
      <w:r>
        <w:t xml:space="preserve"> </w:t>
      </w:r>
      <w:bookmarkStart w:id="874" w:name="_bookmark698"/>
      <w:bookmarkEnd w:id="874"/>
      <w:r>
        <w:t>National research has found that Bla</w:t>
      </w:r>
      <w:r>
        <w:t xml:space="preserve">ck youth are four times more likely to be incarcerated, Native/Indigenous youth nearly three times more likely, and Latinx/Latine youth 1.5 times more likely </w:t>
      </w:r>
      <w:bookmarkStart w:id="875" w:name="_bookmark699"/>
      <w:bookmarkEnd w:id="875"/>
      <w:r>
        <w:t>than</w:t>
      </w:r>
      <w:r>
        <w:rPr>
          <w:spacing w:val="-6"/>
        </w:rPr>
        <w:t xml:space="preserve"> </w:t>
      </w:r>
      <w:r>
        <w:t>white</w:t>
      </w:r>
      <w:r>
        <w:rPr>
          <w:spacing w:val="-8"/>
        </w:rPr>
        <w:t xml:space="preserve"> </w:t>
      </w:r>
      <w:r>
        <w:t>youth.</w:t>
      </w:r>
      <w:r>
        <w:rPr>
          <w:spacing w:val="-6"/>
        </w:rPr>
        <w:t xml:space="preserve"> </w:t>
      </w:r>
      <w:r>
        <w:t>Furthermore,</w:t>
      </w:r>
      <w:r>
        <w:rPr>
          <w:spacing w:val="-6"/>
        </w:rPr>
        <w:t xml:space="preserve"> </w:t>
      </w:r>
      <w:r>
        <w:t>it</w:t>
      </w:r>
      <w:r>
        <w:rPr>
          <w:spacing w:val="-8"/>
        </w:rPr>
        <w:t xml:space="preserve"> </w:t>
      </w:r>
      <w:r>
        <w:t>is</w:t>
      </w:r>
      <w:r>
        <w:rPr>
          <w:spacing w:val="-6"/>
        </w:rPr>
        <w:t xml:space="preserve"> </w:t>
      </w:r>
      <w:r>
        <w:t>estimated</w:t>
      </w:r>
      <w:r>
        <w:rPr>
          <w:spacing w:val="-6"/>
        </w:rPr>
        <w:t xml:space="preserve"> </w:t>
      </w:r>
      <w:r>
        <w:t>that</w:t>
      </w:r>
      <w:r>
        <w:rPr>
          <w:spacing w:val="-5"/>
        </w:rPr>
        <w:t xml:space="preserve"> </w:t>
      </w:r>
      <w:r>
        <w:t>-</w:t>
      </w:r>
      <w:r>
        <w:rPr>
          <w:spacing w:val="-9"/>
        </w:rPr>
        <w:t xml:space="preserve"> </w:t>
      </w:r>
      <w:r>
        <w:t>nationally</w:t>
      </w:r>
      <w:r>
        <w:rPr>
          <w:spacing w:val="-5"/>
        </w:rPr>
        <w:t xml:space="preserve"> </w:t>
      </w:r>
      <w:r>
        <w:t>-</w:t>
      </w:r>
      <w:r>
        <w:rPr>
          <w:spacing w:val="-6"/>
        </w:rPr>
        <w:t xml:space="preserve"> </w:t>
      </w:r>
      <w:r>
        <w:t>anywhere</w:t>
      </w:r>
      <w:r>
        <w:rPr>
          <w:spacing w:val="-5"/>
        </w:rPr>
        <w:t xml:space="preserve"> </w:t>
      </w:r>
      <w:r>
        <w:t>from</w:t>
      </w:r>
      <w:r>
        <w:rPr>
          <w:spacing w:val="-7"/>
        </w:rPr>
        <w:t xml:space="preserve"> </w:t>
      </w:r>
      <w:r>
        <w:t>85</w:t>
      </w:r>
      <w:r>
        <w:rPr>
          <w:spacing w:val="-5"/>
        </w:rPr>
        <w:t xml:space="preserve"> </w:t>
      </w:r>
      <w:r>
        <w:t>-</w:t>
      </w:r>
      <w:r>
        <w:rPr>
          <w:spacing w:val="-8"/>
        </w:rPr>
        <w:t xml:space="preserve"> </w:t>
      </w:r>
      <w:r>
        <w:t>90%</w:t>
      </w:r>
      <w:r>
        <w:rPr>
          <w:spacing w:val="-7"/>
        </w:rPr>
        <w:t xml:space="preserve"> </w:t>
      </w:r>
      <w:r>
        <w:t>of</w:t>
      </w:r>
      <w:r>
        <w:rPr>
          <w:spacing w:val="-6"/>
        </w:rPr>
        <w:t xml:space="preserve"> </w:t>
      </w:r>
      <w:r>
        <w:t>LGBTQ</w:t>
      </w:r>
      <w:r>
        <w:rPr>
          <w:spacing w:val="-8"/>
        </w:rPr>
        <w:t xml:space="preserve"> </w:t>
      </w:r>
      <w:r>
        <w:t>youth in</w:t>
      </w:r>
      <w:r>
        <w:rPr>
          <w:spacing w:val="-13"/>
        </w:rPr>
        <w:t xml:space="preserve"> </w:t>
      </w:r>
      <w:r>
        <w:t>the</w:t>
      </w:r>
      <w:r>
        <w:rPr>
          <w:spacing w:val="-12"/>
        </w:rPr>
        <w:t xml:space="preserve"> </w:t>
      </w:r>
      <w:r>
        <w:t>juvenile</w:t>
      </w:r>
      <w:r>
        <w:rPr>
          <w:spacing w:val="-13"/>
        </w:rPr>
        <w:t xml:space="preserve"> </w:t>
      </w:r>
      <w:r>
        <w:t>justice</w:t>
      </w:r>
      <w:r>
        <w:rPr>
          <w:spacing w:val="-12"/>
        </w:rPr>
        <w:t xml:space="preserve"> </w:t>
      </w:r>
      <w:r>
        <w:t>system</w:t>
      </w:r>
      <w:r>
        <w:rPr>
          <w:spacing w:val="-13"/>
        </w:rPr>
        <w:t xml:space="preserve"> </w:t>
      </w:r>
      <w:r>
        <w:t>are</w:t>
      </w:r>
      <w:r>
        <w:rPr>
          <w:spacing w:val="-12"/>
        </w:rPr>
        <w:t xml:space="preserve"> </w:t>
      </w:r>
      <w:r>
        <w:t>youth</w:t>
      </w:r>
      <w:r>
        <w:rPr>
          <w:spacing w:val="-13"/>
        </w:rPr>
        <w:t xml:space="preserve"> </w:t>
      </w:r>
      <w:r>
        <w:t>of</w:t>
      </w:r>
      <w:r>
        <w:rPr>
          <w:spacing w:val="-12"/>
        </w:rPr>
        <w:t xml:space="preserve"> </w:t>
      </w:r>
      <w:r>
        <w:t>color.</w:t>
      </w:r>
      <w:hyperlink w:anchor="_bookmark670" w:history="1">
        <w:r>
          <w:rPr>
            <w:vertAlign w:val="superscript"/>
          </w:rPr>
          <w:t>14</w:t>
        </w:r>
      </w:hyperlink>
      <w:r>
        <w:rPr>
          <w:spacing w:val="-10"/>
        </w:rPr>
        <w:t xml:space="preserve"> </w:t>
      </w:r>
      <w:r>
        <w:t>For</w:t>
      </w:r>
      <w:r>
        <w:rPr>
          <w:spacing w:val="-13"/>
        </w:rPr>
        <w:t xml:space="preserve"> </w:t>
      </w:r>
      <w:r>
        <w:t>youth</w:t>
      </w:r>
      <w:r>
        <w:rPr>
          <w:spacing w:val="-12"/>
        </w:rPr>
        <w:t xml:space="preserve"> </w:t>
      </w:r>
      <w:r>
        <w:t>in</w:t>
      </w:r>
      <w:r>
        <w:rPr>
          <w:spacing w:val="-12"/>
        </w:rPr>
        <w:t xml:space="preserve"> </w:t>
      </w:r>
      <w:r>
        <w:t>DYS</w:t>
      </w:r>
      <w:r>
        <w:rPr>
          <w:spacing w:val="-12"/>
        </w:rPr>
        <w:t xml:space="preserve"> </w:t>
      </w:r>
      <w:r>
        <w:t>custody,</w:t>
      </w:r>
      <w:r>
        <w:rPr>
          <w:spacing w:val="-13"/>
        </w:rPr>
        <w:t xml:space="preserve"> </w:t>
      </w:r>
      <w:r>
        <w:t>84%</w:t>
      </w:r>
      <w:r>
        <w:rPr>
          <w:spacing w:val="-12"/>
        </w:rPr>
        <w:t xml:space="preserve"> </w:t>
      </w:r>
      <w:r>
        <w:t>of</w:t>
      </w:r>
      <w:r>
        <w:rPr>
          <w:spacing w:val="-13"/>
        </w:rPr>
        <w:t xml:space="preserve"> </w:t>
      </w:r>
      <w:r>
        <w:t>youth</w:t>
      </w:r>
      <w:r>
        <w:rPr>
          <w:spacing w:val="-12"/>
        </w:rPr>
        <w:t xml:space="preserve"> </w:t>
      </w:r>
      <w:r>
        <w:t>identify</w:t>
      </w:r>
      <w:r>
        <w:rPr>
          <w:spacing w:val="-11"/>
        </w:rPr>
        <w:t xml:space="preserve"> </w:t>
      </w:r>
      <w:r>
        <w:t>as</w:t>
      </w:r>
      <w:r>
        <w:rPr>
          <w:spacing w:val="-12"/>
        </w:rPr>
        <w:t xml:space="preserve"> </w:t>
      </w:r>
      <w:r>
        <w:t xml:space="preserve">BIPOC </w:t>
      </w:r>
      <w:bookmarkStart w:id="876" w:name="_bookmark700"/>
      <w:bookmarkEnd w:id="876"/>
      <w:r>
        <w:t>and 7.4% of</w:t>
      </w:r>
      <w:r>
        <w:rPr>
          <w:spacing w:val="-1"/>
        </w:rPr>
        <w:t xml:space="preserve"> </w:t>
      </w:r>
      <w:r>
        <w:t>all</w:t>
      </w:r>
      <w:r>
        <w:rPr>
          <w:spacing w:val="-1"/>
        </w:rPr>
        <w:t xml:space="preserve"> </w:t>
      </w:r>
      <w:r>
        <w:t>DYS</w:t>
      </w:r>
      <w:r>
        <w:rPr>
          <w:spacing w:val="-1"/>
        </w:rPr>
        <w:t xml:space="preserve"> </w:t>
      </w:r>
      <w:r>
        <w:t>youth identify as</w:t>
      </w:r>
      <w:r>
        <w:rPr>
          <w:spacing w:val="-1"/>
        </w:rPr>
        <w:t xml:space="preserve"> </w:t>
      </w:r>
      <w:r>
        <w:t>LGBTQ;</w:t>
      </w:r>
      <w:hyperlink w:anchor="_bookmark671" w:history="1">
        <w:r>
          <w:rPr>
            <w:vertAlign w:val="superscript"/>
          </w:rPr>
          <w:t>15</w:t>
        </w:r>
      </w:hyperlink>
      <w:r>
        <w:rPr>
          <w:spacing w:val="-2"/>
        </w:rPr>
        <w:t xml:space="preserve"> </w:t>
      </w:r>
      <w:r>
        <w:t>DYS</w:t>
      </w:r>
      <w:r>
        <w:rPr>
          <w:spacing w:val="-1"/>
        </w:rPr>
        <w:t xml:space="preserve"> </w:t>
      </w:r>
      <w:r>
        <w:t>has</w:t>
      </w:r>
      <w:r>
        <w:rPr>
          <w:spacing w:val="-3"/>
        </w:rPr>
        <w:t xml:space="preserve"> </w:t>
      </w:r>
      <w:r>
        <w:t>assured</w:t>
      </w:r>
      <w:r>
        <w:rPr>
          <w:spacing w:val="-1"/>
        </w:rPr>
        <w:t xml:space="preserve"> </w:t>
      </w:r>
      <w:r>
        <w:t>the Commission</w:t>
      </w:r>
      <w:r>
        <w:rPr>
          <w:spacing w:val="-2"/>
        </w:rPr>
        <w:t xml:space="preserve"> </w:t>
      </w:r>
      <w:r>
        <w:t>that a</w:t>
      </w:r>
      <w:r>
        <w:rPr>
          <w:spacing w:val="-1"/>
        </w:rPr>
        <w:t xml:space="preserve"> </w:t>
      </w:r>
      <w:r>
        <w:t>better</w:t>
      </w:r>
      <w:r>
        <w:rPr>
          <w:spacing w:val="-1"/>
        </w:rPr>
        <w:t xml:space="preserve"> </w:t>
      </w:r>
      <w:r>
        <w:t>breakdown of race/ethnicity and SOGI data will be present in DYS’ next annual report.</w:t>
      </w:r>
    </w:p>
    <w:p w:rsidR="00200FDA" w:rsidRDefault="00200FDA">
      <w:pPr>
        <w:pStyle w:val="BodyText"/>
      </w:pPr>
    </w:p>
    <w:p w:rsidR="00200FDA" w:rsidRDefault="00F76C4C">
      <w:pPr>
        <w:pStyle w:val="Heading8"/>
        <w:spacing w:before="186"/>
      </w:pPr>
      <w:bookmarkStart w:id="877" w:name="Examining_Risk_Factors"/>
      <w:bookmarkStart w:id="878" w:name="_bookmark701"/>
      <w:bookmarkStart w:id="879" w:name="_bookmark702"/>
      <w:bookmarkEnd w:id="877"/>
      <w:bookmarkEnd w:id="878"/>
      <w:bookmarkEnd w:id="879"/>
      <w:r>
        <w:rPr>
          <w:color w:val="365F91"/>
        </w:rPr>
        <w:t>Examining</w:t>
      </w:r>
      <w:r>
        <w:rPr>
          <w:color w:val="365F91"/>
          <w:spacing w:val="-1"/>
        </w:rPr>
        <w:t xml:space="preserve"> </w:t>
      </w:r>
      <w:r>
        <w:rPr>
          <w:color w:val="365F91"/>
        </w:rPr>
        <w:t>Risk</w:t>
      </w:r>
      <w:r>
        <w:rPr>
          <w:color w:val="365F91"/>
          <w:spacing w:val="-1"/>
        </w:rPr>
        <w:t xml:space="preserve"> </w:t>
      </w:r>
      <w:r>
        <w:rPr>
          <w:color w:val="365F91"/>
          <w:spacing w:val="-2"/>
        </w:rPr>
        <w:t>Factors</w:t>
      </w:r>
    </w:p>
    <w:p w:rsidR="00200FDA" w:rsidRDefault="00200FDA">
      <w:pPr>
        <w:pStyle w:val="BodyText"/>
        <w:spacing w:before="8"/>
        <w:rPr>
          <w:sz w:val="19"/>
        </w:rPr>
      </w:pPr>
    </w:p>
    <w:p w:rsidR="00200FDA" w:rsidRDefault="00F76C4C">
      <w:pPr>
        <w:pStyle w:val="BodyText"/>
        <w:spacing w:line="276" w:lineRule="auto"/>
        <w:ind w:left="139" w:right="133"/>
        <w:jc w:val="both"/>
      </w:pPr>
      <w:bookmarkStart w:id="880" w:name="_bookmark703"/>
      <w:bookmarkEnd w:id="880"/>
      <w:r>
        <w:t xml:space="preserve">As mentioned above, LGBTQ youth are often victims of systemic failures that lead to the </w:t>
      </w:r>
      <w:bookmarkStart w:id="881" w:name="_bookmark704"/>
      <w:bookmarkEnd w:id="881"/>
      <w:r>
        <w:t>overrepresentation</w:t>
      </w:r>
      <w:r>
        <w:rPr>
          <w:spacing w:val="-13"/>
        </w:rPr>
        <w:t xml:space="preserve"> </w:t>
      </w:r>
      <w:r>
        <w:t>of</w:t>
      </w:r>
      <w:r>
        <w:rPr>
          <w:spacing w:val="-11"/>
        </w:rPr>
        <w:t xml:space="preserve"> </w:t>
      </w:r>
      <w:r>
        <w:t>LGBTQ</w:t>
      </w:r>
      <w:r>
        <w:rPr>
          <w:spacing w:val="-11"/>
        </w:rPr>
        <w:t xml:space="preserve"> </w:t>
      </w:r>
      <w:r>
        <w:t>young</w:t>
      </w:r>
      <w:r>
        <w:rPr>
          <w:spacing w:val="-12"/>
        </w:rPr>
        <w:t xml:space="preserve"> </w:t>
      </w:r>
      <w:r>
        <w:t>people</w:t>
      </w:r>
      <w:r>
        <w:rPr>
          <w:spacing w:val="-8"/>
        </w:rPr>
        <w:t xml:space="preserve"> </w:t>
      </w:r>
      <w:r>
        <w:t>in</w:t>
      </w:r>
      <w:r>
        <w:rPr>
          <w:spacing w:val="-12"/>
        </w:rPr>
        <w:t xml:space="preserve"> </w:t>
      </w:r>
      <w:r>
        <w:t>the</w:t>
      </w:r>
      <w:r>
        <w:rPr>
          <w:spacing w:val="-11"/>
        </w:rPr>
        <w:t xml:space="preserve"> </w:t>
      </w:r>
      <w:r>
        <w:t>criminal</w:t>
      </w:r>
      <w:r>
        <w:rPr>
          <w:spacing w:val="-9"/>
        </w:rPr>
        <w:t xml:space="preserve"> </w:t>
      </w:r>
      <w:r>
        <w:t>legal</w:t>
      </w:r>
      <w:r>
        <w:rPr>
          <w:spacing w:val="-9"/>
        </w:rPr>
        <w:t xml:space="preserve"> </w:t>
      </w:r>
      <w:r>
        <w:t>systems,</w:t>
      </w:r>
      <w:r>
        <w:rPr>
          <w:spacing w:val="-9"/>
        </w:rPr>
        <w:t xml:space="preserve"> </w:t>
      </w:r>
      <w:r>
        <w:t>as</w:t>
      </w:r>
      <w:r>
        <w:rPr>
          <w:spacing w:val="-13"/>
        </w:rPr>
        <w:t xml:space="preserve"> </w:t>
      </w:r>
      <w:r>
        <w:t>well</w:t>
      </w:r>
      <w:r>
        <w:rPr>
          <w:spacing w:val="-11"/>
        </w:rPr>
        <w:t xml:space="preserve"> </w:t>
      </w:r>
      <w:r>
        <w:t>as</w:t>
      </w:r>
      <w:r>
        <w:rPr>
          <w:spacing w:val="-11"/>
        </w:rPr>
        <w:t xml:space="preserve"> </w:t>
      </w:r>
      <w:r>
        <w:t>societal</w:t>
      </w:r>
      <w:r>
        <w:rPr>
          <w:spacing w:val="-12"/>
        </w:rPr>
        <w:t xml:space="preserve"> </w:t>
      </w:r>
      <w:r>
        <w:t>discrimination and stigmatization. Harassment, bullying, and violence often lead to LGBTQ youth coping through criminalized</w:t>
      </w:r>
      <w:r>
        <w:rPr>
          <w:spacing w:val="-7"/>
        </w:rPr>
        <w:t xml:space="preserve"> </w:t>
      </w:r>
      <w:r>
        <w:t>compensatory</w:t>
      </w:r>
      <w:r>
        <w:rPr>
          <w:spacing w:val="-8"/>
        </w:rPr>
        <w:t xml:space="preserve"> </w:t>
      </w:r>
      <w:r>
        <w:t>behaviors,</w:t>
      </w:r>
      <w:r>
        <w:rPr>
          <w:spacing w:val="-7"/>
        </w:rPr>
        <w:t xml:space="preserve"> </w:t>
      </w:r>
      <w:r>
        <w:t>and</w:t>
      </w:r>
      <w:r>
        <w:rPr>
          <w:spacing w:val="-7"/>
        </w:rPr>
        <w:t xml:space="preserve"> </w:t>
      </w:r>
      <w:r>
        <w:t>survival</w:t>
      </w:r>
      <w:r>
        <w:rPr>
          <w:spacing w:val="-9"/>
        </w:rPr>
        <w:t xml:space="preserve"> </w:t>
      </w:r>
      <w:r>
        <w:t>economies</w:t>
      </w:r>
      <w:r>
        <w:rPr>
          <w:spacing w:val="-6"/>
        </w:rPr>
        <w:t xml:space="preserve"> </w:t>
      </w:r>
      <w:r>
        <w:t>-</w:t>
      </w:r>
      <w:r>
        <w:rPr>
          <w:spacing w:val="-7"/>
        </w:rPr>
        <w:t xml:space="preserve"> </w:t>
      </w:r>
      <w:r>
        <w:t>such</w:t>
      </w:r>
      <w:r>
        <w:rPr>
          <w:spacing w:val="-10"/>
        </w:rPr>
        <w:t xml:space="preserve"> </w:t>
      </w:r>
      <w:r>
        <w:t>as,</w:t>
      </w:r>
      <w:r>
        <w:rPr>
          <w:spacing w:val="-7"/>
        </w:rPr>
        <w:t xml:space="preserve"> </w:t>
      </w:r>
      <w:r>
        <w:t>sex</w:t>
      </w:r>
      <w:r>
        <w:rPr>
          <w:spacing w:val="-9"/>
        </w:rPr>
        <w:t xml:space="preserve"> </w:t>
      </w:r>
      <w:r>
        <w:t>work</w:t>
      </w:r>
      <w:r>
        <w:rPr>
          <w:spacing w:val="-9"/>
        </w:rPr>
        <w:t xml:space="preserve"> </w:t>
      </w:r>
      <w:r>
        <w:t>and</w:t>
      </w:r>
      <w:r>
        <w:rPr>
          <w:spacing w:val="-7"/>
        </w:rPr>
        <w:t xml:space="preserve"> </w:t>
      </w:r>
      <w:r>
        <w:t>the</w:t>
      </w:r>
      <w:r>
        <w:rPr>
          <w:spacing w:val="-6"/>
        </w:rPr>
        <w:t xml:space="preserve"> </w:t>
      </w:r>
      <w:r>
        <w:t>selling</w:t>
      </w:r>
      <w:r>
        <w:rPr>
          <w:spacing w:val="-10"/>
        </w:rPr>
        <w:t xml:space="preserve"> </w:t>
      </w:r>
      <w:r>
        <w:t>of</w:t>
      </w:r>
      <w:r>
        <w:rPr>
          <w:spacing w:val="-7"/>
        </w:rPr>
        <w:t xml:space="preserve"> </w:t>
      </w:r>
      <w:r>
        <w:t>drugs. Police</w:t>
      </w:r>
      <w:r>
        <w:rPr>
          <w:spacing w:val="-8"/>
        </w:rPr>
        <w:t xml:space="preserve"> </w:t>
      </w:r>
      <w:r>
        <w:t>are</w:t>
      </w:r>
      <w:r>
        <w:rPr>
          <w:spacing w:val="-9"/>
        </w:rPr>
        <w:t xml:space="preserve"> </w:t>
      </w:r>
      <w:r>
        <w:t>also</w:t>
      </w:r>
      <w:r>
        <w:rPr>
          <w:spacing w:val="-8"/>
        </w:rPr>
        <w:t xml:space="preserve"> </w:t>
      </w:r>
      <w:r>
        <w:t>more</w:t>
      </w:r>
      <w:r>
        <w:rPr>
          <w:spacing w:val="-8"/>
        </w:rPr>
        <w:t xml:space="preserve"> </w:t>
      </w:r>
      <w:r>
        <w:t>likely</w:t>
      </w:r>
      <w:r>
        <w:rPr>
          <w:spacing w:val="-8"/>
        </w:rPr>
        <w:t xml:space="preserve"> </w:t>
      </w:r>
      <w:r>
        <w:t>to</w:t>
      </w:r>
      <w:r>
        <w:rPr>
          <w:spacing w:val="-8"/>
        </w:rPr>
        <w:t xml:space="preserve"> </w:t>
      </w:r>
      <w:r>
        <w:t>disproportionately</w:t>
      </w:r>
      <w:r>
        <w:rPr>
          <w:spacing w:val="-8"/>
        </w:rPr>
        <w:t xml:space="preserve"> </w:t>
      </w:r>
      <w:r>
        <w:t>target</w:t>
      </w:r>
      <w:r>
        <w:rPr>
          <w:spacing w:val="-11"/>
        </w:rPr>
        <w:t xml:space="preserve"> </w:t>
      </w:r>
      <w:r>
        <w:t>LGBTQ</w:t>
      </w:r>
      <w:r>
        <w:rPr>
          <w:spacing w:val="-11"/>
        </w:rPr>
        <w:t xml:space="preserve"> </w:t>
      </w:r>
      <w:r>
        <w:t>youth,</w:t>
      </w:r>
      <w:r>
        <w:rPr>
          <w:spacing w:val="-9"/>
        </w:rPr>
        <w:t xml:space="preserve"> </w:t>
      </w:r>
      <w:r>
        <w:t>particularly</w:t>
      </w:r>
      <w:r>
        <w:rPr>
          <w:spacing w:val="-8"/>
        </w:rPr>
        <w:t xml:space="preserve"> </w:t>
      </w:r>
      <w:r>
        <w:t>youth</w:t>
      </w:r>
      <w:r>
        <w:rPr>
          <w:spacing w:val="-10"/>
        </w:rPr>
        <w:t xml:space="preserve"> </w:t>
      </w:r>
      <w:r>
        <w:t>of</w:t>
      </w:r>
      <w:r>
        <w:rPr>
          <w:spacing w:val="-9"/>
        </w:rPr>
        <w:t xml:space="preserve"> </w:t>
      </w:r>
      <w:r>
        <w:t>color</w:t>
      </w:r>
      <w:r>
        <w:rPr>
          <w:spacing w:val="-9"/>
        </w:rPr>
        <w:t xml:space="preserve"> </w:t>
      </w:r>
      <w:r>
        <w:t>and</w:t>
      </w:r>
      <w:r>
        <w:rPr>
          <w:spacing w:val="-10"/>
        </w:rPr>
        <w:t xml:space="preserve"> </w:t>
      </w:r>
      <w:r>
        <w:t xml:space="preserve">those </w:t>
      </w:r>
      <w:bookmarkStart w:id="882" w:name="_bookmark705"/>
      <w:bookmarkEnd w:id="882"/>
      <w:r>
        <w:t>experiencing</w:t>
      </w:r>
      <w:r>
        <w:rPr>
          <w:spacing w:val="-7"/>
        </w:rPr>
        <w:t xml:space="preserve"> </w:t>
      </w:r>
      <w:r>
        <w:t>homelessness.</w:t>
      </w:r>
      <w:hyperlink w:anchor="_bookmark672" w:history="1">
        <w:r>
          <w:rPr>
            <w:vertAlign w:val="superscript"/>
          </w:rPr>
          <w:t>16</w:t>
        </w:r>
      </w:hyperlink>
      <w:r>
        <w:rPr>
          <w:spacing w:val="-3"/>
        </w:rPr>
        <w:t xml:space="preserve"> </w:t>
      </w:r>
      <w:r>
        <w:t>Traumatic</w:t>
      </w:r>
      <w:r>
        <w:rPr>
          <w:spacing w:val="-6"/>
        </w:rPr>
        <w:t xml:space="preserve"> </w:t>
      </w:r>
      <w:r>
        <w:t>experiences</w:t>
      </w:r>
      <w:r>
        <w:rPr>
          <w:spacing w:val="-6"/>
        </w:rPr>
        <w:t xml:space="preserve"> </w:t>
      </w:r>
      <w:r>
        <w:t>such</w:t>
      </w:r>
      <w:r>
        <w:rPr>
          <w:spacing w:val="-7"/>
        </w:rPr>
        <w:t xml:space="preserve"> </w:t>
      </w:r>
      <w:r>
        <w:t>as</w:t>
      </w:r>
      <w:r>
        <w:rPr>
          <w:spacing w:val="-6"/>
        </w:rPr>
        <w:t xml:space="preserve"> </w:t>
      </w:r>
      <w:r>
        <w:t>interactions</w:t>
      </w:r>
      <w:r>
        <w:rPr>
          <w:spacing w:val="-9"/>
        </w:rPr>
        <w:t xml:space="preserve"> </w:t>
      </w:r>
      <w:r>
        <w:t>with</w:t>
      </w:r>
      <w:r>
        <w:rPr>
          <w:spacing w:val="-10"/>
        </w:rPr>
        <w:t xml:space="preserve"> </w:t>
      </w:r>
      <w:r>
        <w:t>the</w:t>
      </w:r>
      <w:r>
        <w:rPr>
          <w:spacing w:val="-8"/>
        </w:rPr>
        <w:t xml:space="preserve"> </w:t>
      </w:r>
      <w:r>
        <w:t>criminal</w:t>
      </w:r>
      <w:r>
        <w:rPr>
          <w:spacing w:val="-7"/>
        </w:rPr>
        <w:t xml:space="preserve"> </w:t>
      </w:r>
      <w:r>
        <w:t>justice</w:t>
      </w:r>
      <w:r>
        <w:rPr>
          <w:spacing w:val="-8"/>
        </w:rPr>
        <w:t xml:space="preserve"> </w:t>
      </w:r>
      <w:r>
        <w:t xml:space="preserve">system </w:t>
      </w:r>
      <w:bookmarkStart w:id="883" w:name="_bookmark706"/>
      <w:bookmarkEnd w:id="883"/>
      <w:r>
        <w:t>can</w:t>
      </w:r>
      <w:r>
        <w:rPr>
          <w:spacing w:val="-9"/>
        </w:rPr>
        <w:t xml:space="preserve"> </w:t>
      </w:r>
      <w:r>
        <w:t>have</w:t>
      </w:r>
      <w:r>
        <w:rPr>
          <w:spacing w:val="-10"/>
        </w:rPr>
        <w:t xml:space="preserve"> </w:t>
      </w:r>
      <w:r>
        <w:t>lifelong</w:t>
      </w:r>
      <w:r>
        <w:rPr>
          <w:spacing w:val="-9"/>
        </w:rPr>
        <w:t xml:space="preserve"> </w:t>
      </w:r>
      <w:r>
        <w:t>repercussions,</w:t>
      </w:r>
      <w:r>
        <w:rPr>
          <w:spacing w:val="-8"/>
        </w:rPr>
        <w:t xml:space="preserve"> </w:t>
      </w:r>
      <w:r>
        <w:t>particularly</w:t>
      </w:r>
      <w:r>
        <w:rPr>
          <w:spacing w:val="-10"/>
        </w:rPr>
        <w:t xml:space="preserve"> </w:t>
      </w:r>
      <w:r>
        <w:t>when</w:t>
      </w:r>
      <w:r>
        <w:rPr>
          <w:spacing w:val="-11"/>
        </w:rPr>
        <w:t xml:space="preserve"> </w:t>
      </w:r>
      <w:r>
        <w:t>they</w:t>
      </w:r>
      <w:r>
        <w:rPr>
          <w:spacing w:val="-12"/>
        </w:rPr>
        <w:t xml:space="preserve"> </w:t>
      </w:r>
      <w:r>
        <w:t>occur</w:t>
      </w:r>
      <w:r>
        <w:rPr>
          <w:spacing w:val="-8"/>
        </w:rPr>
        <w:t xml:space="preserve"> </w:t>
      </w:r>
      <w:r>
        <w:t>during</w:t>
      </w:r>
      <w:r>
        <w:rPr>
          <w:spacing w:val="-9"/>
        </w:rPr>
        <w:t xml:space="preserve"> </w:t>
      </w:r>
      <w:r>
        <w:t>adolescence,</w:t>
      </w:r>
      <w:r>
        <w:rPr>
          <w:spacing w:val="-13"/>
        </w:rPr>
        <w:t xml:space="preserve"> </w:t>
      </w:r>
      <w:r>
        <w:t>a</w:t>
      </w:r>
      <w:r>
        <w:rPr>
          <w:spacing w:val="-8"/>
        </w:rPr>
        <w:t xml:space="preserve"> </w:t>
      </w:r>
      <w:r>
        <w:t>critical</w:t>
      </w:r>
      <w:r>
        <w:rPr>
          <w:spacing w:val="-11"/>
        </w:rPr>
        <w:t xml:space="preserve"> </w:t>
      </w:r>
      <w:r>
        <w:t>period</w:t>
      </w:r>
      <w:r>
        <w:rPr>
          <w:spacing w:val="-11"/>
        </w:rPr>
        <w:t xml:space="preserve"> </w:t>
      </w:r>
      <w:r>
        <w:t>of</w:t>
      </w:r>
      <w:r>
        <w:rPr>
          <w:spacing w:val="-11"/>
        </w:rPr>
        <w:t xml:space="preserve"> </w:t>
      </w:r>
      <w:r>
        <w:t xml:space="preserve">brain </w:t>
      </w:r>
      <w:r>
        <w:rPr>
          <w:spacing w:val="-2"/>
        </w:rPr>
        <w:t>development.</w:t>
      </w:r>
      <w:hyperlink w:anchor="_bookmark673" w:history="1">
        <w:r>
          <w:rPr>
            <w:spacing w:val="-2"/>
            <w:vertAlign w:val="superscript"/>
          </w:rPr>
          <w:t>17</w:t>
        </w:r>
      </w:hyperlink>
    </w:p>
    <w:p w:rsidR="00200FDA" w:rsidRDefault="00200FDA">
      <w:pPr>
        <w:spacing w:line="276" w:lineRule="auto"/>
        <w:jc w:val="both"/>
        <w:sectPr w:rsidR="00200FDA">
          <w:pgSz w:w="12240" w:h="15840"/>
          <w:pgMar w:top="1380" w:right="1300" w:bottom="1240" w:left="1300" w:header="552" w:footer="1043" w:gutter="0"/>
          <w:cols w:space="720"/>
        </w:sectPr>
      </w:pPr>
    </w:p>
    <w:p w:rsidR="00200FDA" w:rsidRDefault="00200FDA">
      <w:pPr>
        <w:pStyle w:val="BodyText"/>
        <w:spacing w:before="3"/>
        <w:rPr>
          <w:sz w:val="16"/>
        </w:rPr>
      </w:pPr>
    </w:p>
    <w:p w:rsidR="00200FDA" w:rsidRDefault="00F76C4C">
      <w:pPr>
        <w:pStyle w:val="BodyText"/>
        <w:ind w:left="656"/>
        <w:rPr>
          <w:sz w:val="20"/>
        </w:rPr>
      </w:pPr>
      <w:r>
        <w:rPr>
          <w:noProof/>
          <w:sz w:val="20"/>
        </w:rPr>
        <w:drawing>
          <wp:inline distT="0" distB="0" distL="0" distR="0">
            <wp:extent cx="5280405" cy="3552444"/>
            <wp:effectExtent l="0" t="0" r="0" b="0"/>
            <wp:docPr id="121" name="image120.jpeg" descr="Text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20.jpeg"/>
                    <pic:cNvPicPr/>
                  </pic:nvPicPr>
                  <pic:blipFill>
                    <a:blip r:embed="rId630" cstate="print"/>
                    <a:stretch>
                      <a:fillRect/>
                    </a:stretch>
                  </pic:blipFill>
                  <pic:spPr>
                    <a:xfrm>
                      <a:off x="0" y="0"/>
                      <a:ext cx="5280405" cy="3552444"/>
                    </a:xfrm>
                    <a:prstGeom prst="rect">
                      <a:avLst/>
                    </a:prstGeom>
                  </pic:spPr>
                </pic:pic>
              </a:graphicData>
            </a:graphic>
          </wp:inline>
        </w:drawing>
      </w:r>
    </w:p>
    <w:p w:rsidR="00200FDA" w:rsidRDefault="00200FDA">
      <w:pPr>
        <w:pStyle w:val="BodyText"/>
        <w:spacing w:before="10"/>
        <w:rPr>
          <w:sz w:val="28"/>
        </w:rPr>
      </w:pPr>
    </w:p>
    <w:p w:rsidR="00200FDA" w:rsidRDefault="00F76C4C">
      <w:pPr>
        <w:pStyle w:val="BodyText"/>
        <w:spacing w:before="57" w:line="276" w:lineRule="auto"/>
        <w:ind w:left="139" w:right="135"/>
        <w:jc w:val="both"/>
      </w:pPr>
      <w:r>
        <w:t>Historically, law</w:t>
      </w:r>
      <w:r>
        <w:rPr>
          <w:spacing w:val="-1"/>
        </w:rPr>
        <w:t xml:space="preserve"> </w:t>
      </w:r>
      <w:r>
        <w:t>enforcement has hyper-policed LGBTQ communities, including LGBTQ youth, in</w:t>
      </w:r>
      <w:r>
        <w:rPr>
          <w:spacing w:val="-3"/>
        </w:rPr>
        <w:t xml:space="preserve"> </w:t>
      </w:r>
      <w:r>
        <w:t>order to reinforce</w:t>
      </w:r>
      <w:r>
        <w:rPr>
          <w:spacing w:val="-2"/>
        </w:rPr>
        <w:t xml:space="preserve"> </w:t>
      </w:r>
      <w:r>
        <w:t>socially</w:t>
      </w:r>
      <w:r>
        <w:rPr>
          <w:spacing w:val="-3"/>
        </w:rPr>
        <w:t xml:space="preserve"> </w:t>
      </w:r>
      <w:r>
        <w:t>dominant</w:t>
      </w:r>
      <w:r>
        <w:rPr>
          <w:spacing w:val="-4"/>
        </w:rPr>
        <w:t xml:space="preserve"> </w:t>
      </w:r>
      <w:r>
        <w:t>expressions</w:t>
      </w:r>
      <w:r>
        <w:rPr>
          <w:spacing w:val="-4"/>
        </w:rPr>
        <w:t xml:space="preserve"> </w:t>
      </w:r>
      <w:r>
        <w:t>of</w:t>
      </w:r>
      <w:r>
        <w:rPr>
          <w:spacing w:val="-4"/>
        </w:rPr>
        <w:t xml:space="preserve"> </w:t>
      </w:r>
      <w:r>
        <w:t>cisgenderism</w:t>
      </w:r>
      <w:r>
        <w:rPr>
          <w:spacing w:val="-3"/>
        </w:rPr>
        <w:t xml:space="preserve"> </w:t>
      </w:r>
      <w:r>
        <w:t>and</w:t>
      </w:r>
      <w:r>
        <w:rPr>
          <w:spacing w:val="-3"/>
        </w:rPr>
        <w:t xml:space="preserve"> </w:t>
      </w:r>
      <w:r>
        <w:t>heterosexuality.</w:t>
      </w:r>
      <w:hyperlink w:anchor="_bookmark674" w:history="1">
        <w:r>
          <w:rPr>
            <w:vertAlign w:val="superscript"/>
          </w:rPr>
          <w:t>18</w:t>
        </w:r>
      </w:hyperlink>
      <w:r>
        <w:rPr>
          <w:spacing w:val="-3"/>
        </w:rPr>
        <w:t xml:space="preserve"> </w:t>
      </w:r>
      <w:r>
        <w:t>Additionally,</w:t>
      </w:r>
      <w:r>
        <w:rPr>
          <w:spacing w:val="-4"/>
        </w:rPr>
        <w:t xml:space="preserve"> </w:t>
      </w:r>
      <w:r>
        <w:t>research</w:t>
      </w:r>
      <w:r>
        <w:rPr>
          <w:spacing w:val="-5"/>
        </w:rPr>
        <w:t xml:space="preserve"> </w:t>
      </w:r>
      <w:r>
        <w:t>has suggested that LGBTQ bias, stigma,</w:t>
      </w:r>
      <w:r>
        <w:t xml:space="preserve"> and discrimination lead to the disproportionate criminalization of LGBTQ girls and youth of color.</w:t>
      </w:r>
      <w:hyperlink w:anchor="_bookmark675" w:history="1">
        <w:r>
          <w:rPr>
            <w:vertAlign w:val="superscript"/>
          </w:rPr>
          <w:t>19</w:t>
        </w:r>
      </w:hyperlink>
      <w:r>
        <w:rPr>
          <w:spacing w:val="-2"/>
        </w:rPr>
        <w:t xml:space="preserve"> </w:t>
      </w:r>
      <w:r>
        <w:t>However, despite this, LGBTQ youth who are victims of crimes often experience significant under-policing, indifference, and hostile treatment when reporting a crime or incident; Black and transgender survivors of hate crimes, in particular, were significan</w:t>
      </w:r>
      <w:r>
        <w:t>tly more likely to experience violence by police when reporting a crime.</w:t>
      </w:r>
      <w:hyperlink w:anchor="_bookmark676" w:history="1">
        <w:r>
          <w:rPr>
            <w:vertAlign w:val="superscript"/>
          </w:rPr>
          <w:t>20</w:t>
        </w:r>
      </w:hyperlink>
    </w:p>
    <w:p w:rsidR="00200FDA" w:rsidRDefault="00200FDA">
      <w:pPr>
        <w:pStyle w:val="BodyText"/>
        <w:spacing w:before="8"/>
        <w:rPr>
          <w:sz w:val="19"/>
        </w:rPr>
      </w:pPr>
    </w:p>
    <w:p w:rsidR="00200FDA" w:rsidRDefault="00F76C4C">
      <w:pPr>
        <w:pStyle w:val="BodyText"/>
        <w:spacing w:line="276" w:lineRule="auto"/>
        <w:ind w:left="139" w:right="133"/>
        <w:jc w:val="both"/>
      </w:pPr>
      <w:r>
        <w:t>Furthermore,</w:t>
      </w:r>
      <w:r>
        <w:rPr>
          <w:spacing w:val="-9"/>
        </w:rPr>
        <w:t xml:space="preserve"> </w:t>
      </w:r>
      <w:r>
        <w:t>LGBTQ</w:t>
      </w:r>
      <w:r>
        <w:rPr>
          <w:spacing w:val="-6"/>
        </w:rPr>
        <w:t xml:space="preserve"> </w:t>
      </w:r>
      <w:r>
        <w:t>youth</w:t>
      </w:r>
      <w:r>
        <w:rPr>
          <w:spacing w:val="-10"/>
        </w:rPr>
        <w:t xml:space="preserve"> </w:t>
      </w:r>
      <w:r>
        <w:t>are</w:t>
      </w:r>
      <w:r>
        <w:rPr>
          <w:spacing w:val="-6"/>
        </w:rPr>
        <w:t xml:space="preserve"> </w:t>
      </w:r>
      <w:r>
        <w:t>more</w:t>
      </w:r>
      <w:r>
        <w:rPr>
          <w:spacing w:val="-6"/>
        </w:rPr>
        <w:t xml:space="preserve"> </w:t>
      </w:r>
      <w:r>
        <w:t>likely</w:t>
      </w:r>
      <w:r>
        <w:rPr>
          <w:spacing w:val="-6"/>
        </w:rPr>
        <w:t xml:space="preserve"> </w:t>
      </w:r>
      <w:r>
        <w:t>to</w:t>
      </w:r>
      <w:r>
        <w:rPr>
          <w:spacing w:val="-5"/>
        </w:rPr>
        <w:t xml:space="preserve"> </w:t>
      </w:r>
      <w:r>
        <w:t>experience</w:t>
      </w:r>
      <w:r>
        <w:rPr>
          <w:spacing w:val="-6"/>
        </w:rPr>
        <w:t xml:space="preserve"> </w:t>
      </w:r>
      <w:r>
        <w:t>poverty</w:t>
      </w:r>
      <w:r>
        <w:rPr>
          <w:spacing w:val="-6"/>
        </w:rPr>
        <w:t xml:space="preserve"> </w:t>
      </w:r>
      <w:r>
        <w:t>than</w:t>
      </w:r>
      <w:r>
        <w:rPr>
          <w:spacing w:val="-7"/>
        </w:rPr>
        <w:t xml:space="preserve"> </w:t>
      </w:r>
      <w:r>
        <w:t>cisgender</w:t>
      </w:r>
      <w:r>
        <w:rPr>
          <w:spacing w:val="-7"/>
        </w:rPr>
        <w:t xml:space="preserve"> </w:t>
      </w:r>
      <w:r>
        <w:t>and</w:t>
      </w:r>
      <w:r>
        <w:rPr>
          <w:spacing w:val="-7"/>
        </w:rPr>
        <w:t xml:space="preserve"> </w:t>
      </w:r>
      <w:r>
        <w:t>heterosexual</w:t>
      </w:r>
      <w:r>
        <w:rPr>
          <w:spacing w:val="-9"/>
        </w:rPr>
        <w:t xml:space="preserve"> </w:t>
      </w:r>
      <w:r>
        <w:t>youth, with transgender youth experiencing even highe</w:t>
      </w:r>
      <w:r>
        <w:t>r rates of poverty than other populations.</w:t>
      </w:r>
      <w:hyperlink w:anchor="_bookmark677" w:history="1">
        <w:r>
          <w:rPr>
            <w:vertAlign w:val="superscript"/>
          </w:rPr>
          <w:t>21</w:t>
        </w:r>
      </w:hyperlink>
      <w:r>
        <w:t xml:space="preserve"> Similarly, youth experiencing homelessness or who are facing housing instability are more likely to identify as LGBTQ,</w:t>
      </w:r>
      <w:r>
        <w:rPr>
          <w:spacing w:val="-13"/>
        </w:rPr>
        <w:t xml:space="preserve"> </w:t>
      </w:r>
      <w:r>
        <w:t>with</w:t>
      </w:r>
      <w:r>
        <w:rPr>
          <w:spacing w:val="-12"/>
        </w:rPr>
        <w:t xml:space="preserve"> </w:t>
      </w:r>
      <w:r>
        <w:t>30%</w:t>
      </w:r>
      <w:r>
        <w:rPr>
          <w:spacing w:val="-13"/>
        </w:rPr>
        <w:t xml:space="preserve"> </w:t>
      </w:r>
      <w:r>
        <w:t>of</w:t>
      </w:r>
      <w:r>
        <w:rPr>
          <w:spacing w:val="-12"/>
        </w:rPr>
        <w:t xml:space="preserve"> </w:t>
      </w:r>
      <w:r>
        <w:t>youth</w:t>
      </w:r>
      <w:r>
        <w:rPr>
          <w:spacing w:val="-13"/>
        </w:rPr>
        <w:t xml:space="preserve"> </w:t>
      </w:r>
      <w:r>
        <w:t>experiencing</w:t>
      </w:r>
      <w:r>
        <w:rPr>
          <w:spacing w:val="-12"/>
        </w:rPr>
        <w:t xml:space="preserve"> </w:t>
      </w:r>
      <w:r>
        <w:t>homelessness</w:t>
      </w:r>
      <w:r>
        <w:rPr>
          <w:spacing w:val="-13"/>
        </w:rPr>
        <w:t xml:space="preserve"> </w:t>
      </w:r>
      <w:r>
        <w:t>identifying</w:t>
      </w:r>
      <w:r>
        <w:rPr>
          <w:spacing w:val="-12"/>
        </w:rPr>
        <w:t xml:space="preserve"> </w:t>
      </w:r>
      <w:r>
        <w:t>as</w:t>
      </w:r>
      <w:r>
        <w:rPr>
          <w:spacing w:val="-12"/>
        </w:rPr>
        <w:t xml:space="preserve"> </w:t>
      </w:r>
      <w:r>
        <w:t>L</w:t>
      </w:r>
      <w:r>
        <w:t>GBTQ</w:t>
      </w:r>
      <w:r>
        <w:rPr>
          <w:spacing w:val="-13"/>
        </w:rPr>
        <w:t xml:space="preserve"> </w:t>
      </w:r>
      <w:r>
        <w:t>in</w:t>
      </w:r>
      <w:r>
        <w:rPr>
          <w:spacing w:val="-12"/>
        </w:rPr>
        <w:t xml:space="preserve"> </w:t>
      </w:r>
      <w:r>
        <w:t>Massachusetts.</w:t>
      </w:r>
      <w:hyperlink w:anchor="_bookmark678" w:history="1">
        <w:r>
          <w:rPr>
            <w:vertAlign w:val="superscript"/>
          </w:rPr>
          <w:t>22</w:t>
        </w:r>
      </w:hyperlink>
      <w:r>
        <w:rPr>
          <w:spacing w:val="-8"/>
        </w:rPr>
        <w:t xml:space="preserve"> </w:t>
      </w:r>
      <w:r>
        <w:t>As</w:t>
      </w:r>
      <w:r>
        <w:rPr>
          <w:spacing w:val="-12"/>
        </w:rPr>
        <w:t xml:space="preserve"> </w:t>
      </w:r>
      <w:r>
        <w:t>a</w:t>
      </w:r>
      <w:r>
        <w:rPr>
          <w:spacing w:val="-12"/>
        </w:rPr>
        <w:t xml:space="preserve"> </w:t>
      </w:r>
      <w:r>
        <w:t>result of these experiences, LGBTQ youth may turn to sex work or selling drugs in order to survive, which can often lead to some type of involvement with the criminal legal system, including inc</w:t>
      </w:r>
      <w:r>
        <w:t>arceration.</w:t>
      </w:r>
      <w:hyperlink w:anchor="_bookmark679" w:history="1">
        <w:r>
          <w:rPr>
            <w:vertAlign w:val="superscript"/>
          </w:rPr>
          <w:t>23</w:t>
        </w:r>
      </w:hyperlink>
    </w:p>
    <w:p w:rsidR="00200FDA" w:rsidRDefault="00200FDA">
      <w:pPr>
        <w:pStyle w:val="BodyText"/>
        <w:spacing w:before="8"/>
        <w:rPr>
          <w:sz w:val="19"/>
        </w:rPr>
      </w:pPr>
    </w:p>
    <w:p w:rsidR="00200FDA" w:rsidRDefault="00F76C4C">
      <w:pPr>
        <w:pStyle w:val="BodyText"/>
        <w:spacing w:line="276" w:lineRule="auto"/>
        <w:ind w:left="139" w:right="136"/>
        <w:jc w:val="both"/>
      </w:pPr>
      <w:r>
        <w:t>Additionally, LGBTQ youth experiencing homelessness - especially youth over 18 - have less access to appropriate shelters which may lead to them being forced to loiter or sleep in public spaces leading to arre</w:t>
      </w:r>
      <w:r>
        <w:t>sts.</w:t>
      </w:r>
      <w:hyperlink w:anchor="_bookmark680" w:history="1">
        <w:r>
          <w:rPr>
            <w:vertAlign w:val="superscript"/>
          </w:rPr>
          <w:t>24</w:t>
        </w:r>
      </w:hyperlink>
      <w:r>
        <w:rPr>
          <w:spacing w:val="-3"/>
        </w:rPr>
        <w:t xml:space="preserve"> </w:t>
      </w:r>
      <w:r>
        <w:t>In Massachusetts, many shelter providers across the state do not have enough resources, and far</w:t>
      </w:r>
      <w:r>
        <w:rPr>
          <w:spacing w:val="-3"/>
        </w:rPr>
        <w:t xml:space="preserve"> </w:t>
      </w:r>
      <w:r>
        <w:t>too</w:t>
      </w:r>
      <w:r>
        <w:rPr>
          <w:spacing w:val="-4"/>
        </w:rPr>
        <w:t xml:space="preserve"> </w:t>
      </w:r>
      <w:r>
        <w:t>often</w:t>
      </w:r>
      <w:r>
        <w:rPr>
          <w:spacing w:val="-6"/>
        </w:rPr>
        <w:t xml:space="preserve"> </w:t>
      </w:r>
      <w:r>
        <w:t>the</w:t>
      </w:r>
      <w:r>
        <w:rPr>
          <w:spacing w:val="-3"/>
        </w:rPr>
        <w:t xml:space="preserve"> </w:t>
      </w:r>
      <w:r>
        <w:t>shelter</w:t>
      </w:r>
      <w:r>
        <w:rPr>
          <w:spacing w:val="-6"/>
        </w:rPr>
        <w:t xml:space="preserve"> </w:t>
      </w:r>
      <w:r>
        <w:t>spaces</w:t>
      </w:r>
      <w:r>
        <w:rPr>
          <w:spacing w:val="-3"/>
        </w:rPr>
        <w:t xml:space="preserve"> </w:t>
      </w:r>
      <w:r>
        <w:t>are</w:t>
      </w:r>
      <w:r>
        <w:rPr>
          <w:spacing w:val="-3"/>
        </w:rPr>
        <w:t xml:space="preserve"> </w:t>
      </w:r>
      <w:r>
        <w:t>unsafe</w:t>
      </w:r>
      <w:r>
        <w:rPr>
          <w:spacing w:val="-3"/>
        </w:rPr>
        <w:t xml:space="preserve"> </w:t>
      </w:r>
      <w:r>
        <w:t>for</w:t>
      </w:r>
      <w:r>
        <w:rPr>
          <w:spacing w:val="-6"/>
        </w:rPr>
        <w:t xml:space="preserve"> </w:t>
      </w:r>
      <w:r>
        <w:t>LGBTQ</w:t>
      </w:r>
      <w:r>
        <w:rPr>
          <w:spacing w:val="-8"/>
        </w:rPr>
        <w:t xml:space="preserve"> </w:t>
      </w:r>
      <w:r>
        <w:t>youth.</w:t>
      </w:r>
      <w:r>
        <w:rPr>
          <w:spacing w:val="-4"/>
        </w:rPr>
        <w:t xml:space="preserve"> </w:t>
      </w:r>
      <w:r>
        <w:t>For</w:t>
      </w:r>
      <w:r>
        <w:rPr>
          <w:spacing w:val="-3"/>
        </w:rPr>
        <w:t xml:space="preserve"> </w:t>
      </w:r>
      <w:r>
        <w:t>youth</w:t>
      </w:r>
      <w:r>
        <w:rPr>
          <w:spacing w:val="-4"/>
        </w:rPr>
        <w:t xml:space="preserve"> </w:t>
      </w:r>
      <w:r>
        <w:t>under</w:t>
      </w:r>
      <w:r>
        <w:rPr>
          <w:spacing w:val="-6"/>
        </w:rPr>
        <w:t xml:space="preserve"> </w:t>
      </w:r>
      <w:r>
        <w:t>18,</w:t>
      </w:r>
      <w:r>
        <w:rPr>
          <w:spacing w:val="-8"/>
        </w:rPr>
        <w:t xml:space="preserve"> </w:t>
      </w:r>
      <w:r>
        <w:t>the</w:t>
      </w:r>
      <w:r>
        <w:rPr>
          <w:spacing w:val="-3"/>
        </w:rPr>
        <w:t xml:space="preserve"> </w:t>
      </w:r>
      <w:r>
        <w:t>Commission</w:t>
      </w:r>
      <w:r>
        <w:rPr>
          <w:spacing w:val="-4"/>
        </w:rPr>
        <w:t xml:space="preserve"> </w:t>
      </w:r>
      <w:r>
        <w:t>advises that the state improve the availability of shelter spaces in underserved geographic regions.</w:t>
      </w:r>
    </w:p>
    <w:p w:rsidR="00200FDA" w:rsidRDefault="00200FDA">
      <w:pPr>
        <w:spacing w:line="276" w:lineRule="auto"/>
        <w:jc w:val="both"/>
        <w:sectPr w:rsidR="00200FDA">
          <w:pgSz w:w="12240" w:h="15840"/>
          <w:pgMar w:top="1380" w:right="1300" w:bottom="1240" w:left="1300" w:header="552" w:footer="1043" w:gutter="0"/>
          <w:cols w:space="720"/>
        </w:sectPr>
      </w:pPr>
    </w:p>
    <w:p w:rsidR="00200FDA" w:rsidRDefault="00F76C4C">
      <w:pPr>
        <w:pStyle w:val="BodyText"/>
        <w:spacing w:before="46" w:line="276" w:lineRule="auto"/>
        <w:ind w:left="139" w:right="131"/>
        <w:jc w:val="both"/>
      </w:pPr>
      <w:r>
        <w:lastRenderedPageBreak/>
        <w:t>Over the last several years, the Commission has taken a deeper look at the experiences of LGBTQ youth in intersecting systems, such as the ch</w:t>
      </w:r>
      <w:r>
        <w:t>ild welfare system and criminal legal system. Across the country, research</w:t>
      </w:r>
      <w:r>
        <w:rPr>
          <w:spacing w:val="-10"/>
        </w:rPr>
        <w:t xml:space="preserve"> </w:t>
      </w:r>
      <w:r>
        <w:t>has</w:t>
      </w:r>
      <w:r>
        <w:rPr>
          <w:spacing w:val="-9"/>
        </w:rPr>
        <w:t xml:space="preserve"> </w:t>
      </w:r>
      <w:r>
        <w:t>shown</w:t>
      </w:r>
      <w:r>
        <w:rPr>
          <w:spacing w:val="-12"/>
        </w:rPr>
        <w:t xml:space="preserve"> </w:t>
      </w:r>
      <w:r>
        <w:t>that</w:t>
      </w:r>
      <w:r>
        <w:rPr>
          <w:spacing w:val="-8"/>
        </w:rPr>
        <w:t xml:space="preserve"> </w:t>
      </w:r>
      <w:r>
        <w:t>LGBTQ</w:t>
      </w:r>
      <w:r>
        <w:rPr>
          <w:spacing w:val="-9"/>
        </w:rPr>
        <w:t xml:space="preserve"> </w:t>
      </w:r>
      <w:r>
        <w:t>youth</w:t>
      </w:r>
      <w:r>
        <w:rPr>
          <w:spacing w:val="-10"/>
        </w:rPr>
        <w:t xml:space="preserve"> </w:t>
      </w:r>
      <w:r>
        <w:t>are</w:t>
      </w:r>
      <w:r>
        <w:rPr>
          <w:spacing w:val="-11"/>
        </w:rPr>
        <w:t xml:space="preserve"> </w:t>
      </w:r>
      <w:r>
        <w:t>overrepresented</w:t>
      </w:r>
      <w:r>
        <w:rPr>
          <w:spacing w:val="-10"/>
        </w:rPr>
        <w:t xml:space="preserve"> </w:t>
      </w:r>
      <w:r>
        <w:t>in</w:t>
      </w:r>
      <w:r>
        <w:rPr>
          <w:spacing w:val="-10"/>
        </w:rPr>
        <w:t xml:space="preserve"> </w:t>
      </w:r>
      <w:r>
        <w:t>the</w:t>
      </w:r>
      <w:r>
        <w:rPr>
          <w:spacing w:val="-8"/>
        </w:rPr>
        <w:t xml:space="preserve"> </w:t>
      </w:r>
      <w:r>
        <w:t>child</w:t>
      </w:r>
      <w:r>
        <w:rPr>
          <w:spacing w:val="-10"/>
        </w:rPr>
        <w:t xml:space="preserve"> </w:t>
      </w:r>
      <w:r>
        <w:t>welfare</w:t>
      </w:r>
      <w:r>
        <w:rPr>
          <w:spacing w:val="-8"/>
        </w:rPr>
        <w:t xml:space="preserve"> </w:t>
      </w:r>
      <w:r>
        <w:t>system;</w:t>
      </w:r>
      <w:r>
        <w:rPr>
          <w:spacing w:val="-8"/>
        </w:rPr>
        <w:t xml:space="preserve"> </w:t>
      </w:r>
      <w:r>
        <w:t>in</w:t>
      </w:r>
      <w:r>
        <w:rPr>
          <w:spacing w:val="-12"/>
        </w:rPr>
        <w:t xml:space="preserve"> </w:t>
      </w:r>
      <w:r>
        <w:t>Massachusetts, DCF’s</w:t>
      </w:r>
      <w:r>
        <w:rPr>
          <w:spacing w:val="-1"/>
        </w:rPr>
        <w:t xml:space="preserve"> </w:t>
      </w:r>
      <w:r>
        <w:t>most recent Quarter</w:t>
      </w:r>
      <w:r>
        <w:rPr>
          <w:spacing w:val="-1"/>
        </w:rPr>
        <w:t xml:space="preserve"> </w:t>
      </w:r>
      <w:r>
        <w:t>2 report for FY</w:t>
      </w:r>
      <w:r>
        <w:rPr>
          <w:spacing w:val="-1"/>
        </w:rPr>
        <w:t xml:space="preserve"> </w:t>
      </w:r>
      <w:r>
        <w:t>2023,</w:t>
      </w:r>
      <w:r>
        <w:rPr>
          <w:spacing w:val="-1"/>
        </w:rPr>
        <w:t xml:space="preserve"> </w:t>
      </w:r>
      <w:r>
        <w:t>15% of youth identify as</w:t>
      </w:r>
      <w:r>
        <w:rPr>
          <w:spacing w:val="-1"/>
        </w:rPr>
        <w:t xml:space="preserve"> </w:t>
      </w:r>
      <w:r>
        <w:t>within</w:t>
      </w:r>
      <w:r>
        <w:rPr>
          <w:spacing w:val="-2"/>
        </w:rPr>
        <w:t xml:space="preserve"> </w:t>
      </w:r>
      <w:r>
        <w:t>the LGB</w:t>
      </w:r>
      <w:r>
        <w:t>TQ communities with</w:t>
      </w:r>
      <w:r>
        <w:rPr>
          <w:spacing w:val="-4"/>
        </w:rPr>
        <w:t xml:space="preserve"> </w:t>
      </w:r>
      <w:r>
        <w:t>5%</w:t>
      </w:r>
      <w:r>
        <w:rPr>
          <w:spacing w:val="-3"/>
        </w:rPr>
        <w:t xml:space="preserve"> </w:t>
      </w:r>
      <w:r>
        <w:t>being</w:t>
      </w:r>
      <w:r>
        <w:rPr>
          <w:spacing w:val="-4"/>
        </w:rPr>
        <w:t xml:space="preserve"> </w:t>
      </w:r>
      <w:r>
        <w:t>youth</w:t>
      </w:r>
      <w:r>
        <w:rPr>
          <w:spacing w:val="-2"/>
        </w:rPr>
        <w:t xml:space="preserve"> </w:t>
      </w:r>
      <w:r>
        <w:t>under</w:t>
      </w:r>
      <w:r>
        <w:rPr>
          <w:spacing w:val="-3"/>
        </w:rPr>
        <w:t xml:space="preserve"> </w:t>
      </w:r>
      <w:r>
        <w:t>18 and</w:t>
      </w:r>
      <w:r>
        <w:rPr>
          <w:spacing w:val="-4"/>
        </w:rPr>
        <w:t xml:space="preserve"> </w:t>
      </w:r>
      <w:r>
        <w:t>10%</w:t>
      </w:r>
      <w:r>
        <w:rPr>
          <w:spacing w:val="-3"/>
        </w:rPr>
        <w:t xml:space="preserve"> </w:t>
      </w:r>
      <w:r>
        <w:t>youth</w:t>
      </w:r>
      <w:r>
        <w:rPr>
          <w:spacing w:val="-4"/>
        </w:rPr>
        <w:t xml:space="preserve"> </w:t>
      </w:r>
      <w:r>
        <w:t>over</w:t>
      </w:r>
      <w:r>
        <w:rPr>
          <w:spacing w:val="-3"/>
        </w:rPr>
        <w:t xml:space="preserve"> </w:t>
      </w:r>
      <w:r>
        <w:t>18</w:t>
      </w:r>
      <w:r>
        <w:rPr>
          <w:spacing w:val="-2"/>
        </w:rPr>
        <w:t xml:space="preserve"> </w:t>
      </w:r>
      <w:r>
        <w:t>in</w:t>
      </w:r>
      <w:r>
        <w:rPr>
          <w:spacing w:val="-2"/>
        </w:rPr>
        <w:t xml:space="preserve"> </w:t>
      </w:r>
      <w:r>
        <w:t>DCF</w:t>
      </w:r>
      <w:r>
        <w:rPr>
          <w:spacing w:val="-4"/>
        </w:rPr>
        <w:t xml:space="preserve"> </w:t>
      </w:r>
      <w:r>
        <w:t>services.</w:t>
      </w:r>
      <w:hyperlink w:anchor="_bookmark681" w:history="1">
        <w:r>
          <w:rPr>
            <w:vertAlign w:val="superscript"/>
          </w:rPr>
          <w:t>25</w:t>
        </w:r>
      </w:hyperlink>
      <w:r>
        <w:rPr>
          <w:spacing w:val="-2"/>
        </w:rPr>
        <w:t xml:space="preserve"> </w:t>
      </w:r>
      <w:r>
        <w:t>LGBTQ</w:t>
      </w:r>
      <w:r>
        <w:rPr>
          <w:spacing w:val="-3"/>
        </w:rPr>
        <w:t xml:space="preserve"> </w:t>
      </w:r>
      <w:r>
        <w:t>youth</w:t>
      </w:r>
      <w:r>
        <w:rPr>
          <w:spacing w:val="-2"/>
        </w:rPr>
        <w:t xml:space="preserve"> </w:t>
      </w:r>
      <w:r>
        <w:t>in</w:t>
      </w:r>
      <w:r>
        <w:rPr>
          <w:spacing w:val="-2"/>
        </w:rPr>
        <w:t xml:space="preserve"> </w:t>
      </w:r>
      <w:r>
        <w:t>the child</w:t>
      </w:r>
      <w:r>
        <w:rPr>
          <w:spacing w:val="-4"/>
        </w:rPr>
        <w:t xml:space="preserve"> </w:t>
      </w:r>
      <w:r>
        <w:t>welfare system can experience what is known as the “foster care-to-prison pipeline,”</w:t>
      </w:r>
      <w:hyperlink w:anchor="_bookmark682" w:history="1">
        <w:r>
          <w:rPr>
            <w:vertAlign w:val="superscript"/>
          </w:rPr>
          <w:t>26</w:t>
        </w:r>
      </w:hyperlink>
      <w:r>
        <w:rPr>
          <w:spacing w:val="-2"/>
        </w:rPr>
        <w:t xml:space="preserve"> </w:t>
      </w:r>
      <w:r>
        <w:t>which particularly affects BIPOC</w:t>
      </w:r>
      <w:r>
        <w:rPr>
          <w:spacing w:val="-1"/>
        </w:rPr>
        <w:t xml:space="preserve"> </w:t>
      </w:r>
      <w:r>
        <w:t>youth and youth with disabilities and mental illnesses.</w:t>
      </w:r>
      <w:hyperlink w:anchor="_bookmark683" w:history="1">
        <w:r>
          <w:rPr>
            <w:vertAlign w:val="superscript"/>
          </w:rPr>
          <w:t>27</w:t>
        </w:r>
      </w:hyperlink>
      <w:r>
        <w:rPr>
          <w:spacing w:val="-2"/>
        </w:rPr>
        <w:t xml:space="preserve"> </w:t>
      </w:r>
      <w:r>
        <w:t>While in the child welfare system, LGBTQ youth often report intolerance, mistreatment, and neglect f</w:t>
      </w:r>
      <w:r>
        <w:t>rom their caregivers and/or peers.</w:t>
      </w:r>
      <w:r>
        <w:rPr>
          <w:spacing w:val="-13"/>
        </w:rPr>
        <w:t xml:space="preserve"> </w:t>
      </w:r>
      <w:hyperlink w:anchor="_bookmark684" w:history="1">
        <w:r>
          <w:rPr>
            <w:vertAlign w:val="superscript"/>
          </w:rPr>
          <w:t>28</w:t>
        </w:r>
      </w:hyperlink>
      <w:r>
        <w:t xml:space="preserve"> The Commission</w:t>
      </w:r>
      <w:r>
        <w:rPr>
          <w:spacing w:val="-2"/>
        </w:rPr>
        <w:t xml:space="preserve"> </w:t>
      </w:r>
      <w:r>
        <w:t>has</w:t>
      </w:r>
      <w:r>
        <w:rPr>
          <w:spacing w:val="-3"/>
        </w:rPr>
        <w:t xml:space="preserve"> </w:t>
      </w:r>
      <w:r>
        <w:t>made</w:t>
      </w:r>
      <w:r>
        <w:rPr>
          <w:spacing w:val="-3"/>
        </w:rPr>
        <w:t xml:space="preserve"> </w:t>
      </w:r>
      <w:r>
        <w:t>recommendations</w:t>
      </w:r>
      <w:r>
        <w:rPr>
          <w:spacing w:val="-2"/>
        </w:rPr>
        <w:t xml:space="preserve"> </w:t>
      </w:r>
      <w:r>
        <w:t>to</w:t>
      </w:r>
      <w:r>
        <w:rPr>
          <w:spacing w:val="-1"/>
        </w:rPr>
        <w:t xml:space="preserve"> </w:t>
      </w:r>
      <w:r>
        <w:t>DCF</w:t>
      </w:r>
      <w:r>
        <w:rPr>
          <w:spacing w:val="-2"/>
        </w:rPr>
        <w:t xml:space="preserve"> </w:t>
      </w:r>
      <w:r>
        <w:t>for</w:t>
      </w:r>
      <w:r>
        <w:rPr>
          <w:spacing w:val="-2"/>
        </w:rPr>
        <w:t xml:space="preserve"> </w:t>
      </w:r>
      <w:r>
        <w:t>several</w:t>
      </w:r>
      <w:r>
        <w:rPr>
          <w:spacing w:val="-3"/>
        </w:rPr>
        <w:t xml:space="preserve"> </w:t>
      </w:r>
      <w:r>
        <w:t>years</w:t>
      </w:r>
      <w:r>
        <w:rPr>
          <w:spacing w:val="-3"/>
        </w:rPr>
        <w:t xml:space="preserve"> </w:t>
      </w:r>
      <w:r>
        <w:t>around</w:t>
      </w:r>
      <w:r>
        <w:rPr>
          <w:spacing w:val="-2"/>
        </w:rPr>
        <w:t xml:space="preserve"> </w:t>
      </w:r>
      <w:r>
        <w:t>improving</w:t>
      </w:r>
      <w:r>
        <w:rPr>
          <w:spacing w:val="-3"/>
        </w:rPr>
        <w:t xml:space="preserve"> </w:t>
      </w:r>
      <w:r>
        <w:t>the</w:t>
      </w:r>
      <w:r>
        <w:rPr>
          <w:spacing w:val="-1"/>
        </w:rPr>
        <w:t xml:space="preserve"> </w:t>
      </w:r>
      <w:r>
        <w:t>recruitment</w:t>
      </w:r>
      <w:r>
        <w:rPr>
          <w:spacing w:val="-3"/>
        </w:rPr>
        <w:t xml:space="preserve"> </w:t>
      </w:r>
      <w:r>
        <w:t>and training of LGBTQ-affirming foster parents, as well as creating a database to better</w:t>
      </w:r>
      <w:r>
        <w:t xml:space="preserve"> track these homes; DCF’s continued progress on these recommendations since 2021 is captured in the below agency recommendations to DCF.</w:t>
      </w:r>
    </w:p>
    <w:p w:rsidR="00200FDA" w:rsidRDefault="00200FDA">
      <w:pPr>
        <w:pStyle w:val="BodyText"/>
        <w:spacing w:before="7"/>
        <w:rPr>
          <w:sz w:val="19"/>
        </w:rPr>
      </w:pPr>
    </w:p>
    <w:p w:rsidR="00200FDA" w:rsidRDefault="00F76C4C">
      <w:pPr>
        <w:pStyle w:val="BodyText"/>
        <w:ind w:left="139"/>
        <w:jc w:val="both"/>
      </w:pPr>
      <w:r>
        <w:t>Additionally,</w:t>
      </w:r>
      <w:r>
        <w:rPr>
          <w:spacing w:val="-13"/>
        </w:rPr>
        <w:t xml:space="preserve"> </w:t>
      </w:r>
      <w:r>
        <w:t>across</w:t>
      </w:r>
      <w:r>
        <w:rPr>
          <w:spacing w:val="-12"/>
        </w:rPr>
        <w:t xml:space="preserve"> </w:t>
      </w:r>
      <w:r>
        <w:t>the</w:t>
      </w:r>
      <w:r>
        <w:rPr>
          <w:spacing w:val="-12"/>
        </w:rPr>
        <w:t xml:space="preserve"> </w:t>
      </w:r>
      <w:r>
        <w:t>country,</w:t>
      </w:r>
      <w:r>
        <w:rPr>
          <w:spacing w:val="-10"/>
        </w:rPr>
        <w:t xml:space="preserve"> </w:t>
      </w:r>
      <w:r>
        <w:t>due</w:t>
      </w:r>
      <w:r>
        <w:rPr>
          <w:spacing w:val="-12"/>
        </w:rPr>
        <w:t xml:space="preserve"> </w:t>
      </w:r>
      <w:r>
        <w:t>to</w:t>
      </w:r>
      <w:r>
        <w:rPr>
          <w:spacing w:val="-11"/>
        </w:rPr>
        <w:t xml:space="preserve"> </w:t>
      </w:r>
      <w:r>
        <w:t>a</w:t>
      </w:r>
      <w:r>
        <w:rPr>
          <w:spacing w:val="-10"/>
        </w:rPr>
        <w:t xml:space="preserve"> </w:t>
      </w:r>
      <w:r>
        <w:t>lack</w:t>
      </w:r>
      <w:r>
        <w:rPr>
          <w:spacing w:val="-12"/>
        </w:rPr>
        <w:t xml:space="preserve"> </w:t>
      </w:r>
      <w:r>
        <w:t>of</w:t>
      </w:r>
      <w:r>
        <w:rPr>
          <w:spacing w:val="-13"/>
        </w:rPr>
        <w:t xml:space="preserve"> </w:t>
      </w:r>
      <w:r>
        <w:t>affirming</w:t>
      </w:r>
      <w:r>
        <w:rPr>
          <w:spacing w:val="-11"/>
        </w:rPr>
        <w:t xml:space="preserve"> </w:t>
      </w:r>
      <w:r>
        <w:t>foster</w:t>
      </w:r>
      <w:r>
        <w:rPr>
          <w:spacing w:val="-10"/>
        </w:rPr>
        <w:t xml:space="preserve"> </w:t>
      </w:r>
      <w:r>
        <w:t>homes</w:t>
      </w:r>
      <w:r>
        <w:rPr>
          <w:spacing w:val="-12"/>
        </w:rPr>
        <w:t xml:space="preserve"> </w:t>
      </w:r>
      <w:r>
        <w:t>-</w:t>
      </w:r>
      <w:r>
        <w:rPr>
          <w:spacing w:val="-12"/>
        </w:rPr>
        <w:t xml:space="preserve"> </w:t>
      </w:r>
      <w:r>
        <w:t>or</w:t>
      </w:r>
      <w:r>
        <w:rPr>
          <w:spacing w:val="-12"/>
        </w:rPr>
        <w:t xml:space="preserve"> </w:t>
      </w:r>
      <w:r>
        <w:t>ways</w:t>
      </w:r>
      <w:r>
        <w:rPr>
          <w:spacing w:val="-10"/>
        </w:rPr>
        <w:t xml:space="preserve"> </w:t>
      </w:r>
      <w:r>
        <w:t>to</w:t>
      </w:r>
      <w:r>
        <w:rPr>
          <w:spacing w:val="-11"/>
        </w:rPr>
        <w:t xml:space="preserve"> </w:t>
      </w:r>
      <w:r>
        <w:t>track</w:t>
      </w:r>
      <w:r>
        <w:rPr>
          <w:spacing w:val="-12"/>
        </w:rPr>
        <w:t xml:space="preserve"> </w:t>
      </w:r>
      <w:r>
        <w:t>affirming</w:t>
      </w:r>
      <w:r>
        <w:rPr>
          <w:spacing w:val="-11"/>
        </w:rPr>
        <w:t xml:space="preserve"> </w:t>
      </w:r>
      <w:r>
        <w:rPr>
          <w:spacing w:val="-2"/>
        </w:rPr>
        <w:t>homes</w:t>
      </w:r>
    </w:p>
    <w:p w:rsidR="00200FDA" w:rsidRDefault="00F76C4C">
      <w:pPr>
        <w:pStyle w:val="BodyText"/>
        <w:spacing w:before="41" w:line="276" w:lineRule="auto"/>
        <w:ind w:left="139" w:right="133"/>
        <w:jc w:val="both"/>
      </w:pPr>
      <w:r>
        <w:t>-</w:t>
      </w:r>
      <w:r>
        <w:rPr>
          <w:spacing w:val="-9"/>
        </w:rPr>
        <w:t xml:space="preserve"> </w:t>
      </w:r>
      <w:r>
        <w:t>LGBTQ</w:t>
      </w:r>
      <w:r>
        <w:rPr>
          <w:spacing w:val="-11"/>
        </w:rPr>
        <w:t xml:space="preserve"> </w:t>
      </w:r>
      <w:r>
        <w:t>youth</w:t>
      </w:r>
      <w:r>
        <w:rPr>
          <w:spacing w:val="-10"/>
        </w:rPr>
        <w:t xml:space="preserve"> </w:t>
      </w:r>
      <w:r>
        <w:t>are</w:t>
      </w:r>
      <w:r>
        <w:rPr>
          <w:spacing w:val="-11"/>
        </w:rPr>
        <w:t xml:space="preserve"> </w:t>
      </w:r>
      <w:r>
        <w:t>more</w:t>
      </w:r>
      <w:r>
        <w:rPr>
          <w:spacing w:val="-8"/>
        </w:rPr>
        <w:t xml:space="preserve"> </w:t>
      </w:r>
      <w:r>
        <w:t>likely</w:t>
      </w:r>
      <w:r>
        <w:rPr>
          <w:spacing w:val="-11"/>
        </w:rPr>
        <w:t xml:space="preserve"> </w:t>
      </w:r>
      <w:r>
        <w:t>to</w:t>
      </w:r>
      <w:r>
        <w:rPr>
          <w:spacing w:val="-10"/>
        </w:rPr>
        <w:t xml:space="preserve"> </w:t>
      </w:r>
      <w:r>
        <w:t>be</w:t>
      </w:r>
      <w:r>
        <w:rPr>
          <w:spacing w:val="-11"/>
        </w:rPr>
        <w:t xml:space="preserve"> </w:t>
      </w:r>
      <w:r>
        <w:t>placed</w:t>
      </w:r>
      <w:r>
        <w:rPr>
          <w:spacing w:val="-10"/>
        </w:rPr>
        <w:t xml:space="preserve"> </w:t>
      </w:r>
      <w:r>
        <w:t>in</w:t>
      </w:r>
      <w:r>
        <w:rPr>
          <w:spacing w:val="-12"/>
        </w:rPr>
        <w:t xml:space="preserve"> </w:t>
      </w:r>
      <w:r>
        <w:t>a</w:t>
      </w:r>
      <w:r>
        <w:rPr>
          <w:spacing w:val="-9"/>
        </w:rPr>
        <w:t xml:space="preserve"> </w:t>
      </w:r>
      <w:r>
        <w:t>group</w:t>
      </w:r>
      <w:r>
        <w:rPr>
          <w:spacing w:val="-12"/>
        </w:rPr>
        <w:t xml:space="preserve"> </w:t>
      </w:r>
      <w:r>
        <w:t>home</w:t>
      </w:r>
      <w:r>
        <w:rPr>
          <w:spacing w:val="-11"/>
        </w:rPr>
        <w:t xml:space="preserve"> </w:t>
      </w:r>
      <w:r>
        <w:t>or</w:t>
      </w:r>
      <w:r>
        <w:rPr>
          <w:spacing w:val="-9"/>
        </w:rPr>
        <w:t xml:space="preserve"> </w:t>
      </w:r>
      <w:r>
        <w:t>foster</w:t>
      </w:r>
      <w:r>
        <w:rPr>
          <w:spacing w:val="-9"/>
        </w:rPr>
        <w:t xml:space="preserve"> </w:t>
      </w:r>
      <w:r>
        <w:t>homes</w:t>
      </w:r>
      <w:r>
        <w:rPr>
          <w:spacing w:val="-11"/>
        </w:rPr>
        <w:t xml:space="preserve"> </w:t>
      </w:r>
      <w:r>
        <w:t>that</w:t>
      </w:r>
      <w:r>
        <w:rPr>
          <w:spacing w:val="-13"/>
        </w:rPr>
        <w:t xml:space="preserve"> </w:t>
      </w:r>
      <w:r>
        <w:t>lack</w:t>
      </w:r>
      <w:r>
        <w:rPr>
          <w:spacing w:val="-8"/>
        </w:rPr>
        <w:t xml:space="preserve"> </w:t>
      </w:r>
      <w:r>
        <w:t>affirming</w:t>
      </w:r>
      <w:r>
        <w:rPr>
          <w:spacing w:val="-10"/>
        </w:rPr>
        <w:t xml:space="preserve"> </w:t>
      </w:r>
      <w:r>
        <w:t>caregivers, which</w:t>
      </w:r>
      <w:r>
        <w:rPr>
          <w:spacing w:val="-3"/>
        </w:rPr>
        <w:t xml:space="preserve"> </w:t>
      </w:r>
      <w:r>
        <w:t>places</w:t>
      </w:r>
      <w:r>
        <w:rPr>
          <w:spacing w:val="-4"/>
        </w:rPr>
        <w:t xml:space="preserve"> </w:t>
      </w:r>
      <w:r>
        <w:t>them</w:t>
      </w:r>
      <w:r>
        <w:rPr>
          <w:spacing w:val="-1"/>
        </w:rPr>
        <w:t xml:space="preserve"> </w:t>
      </w:r>
      <w:r>
        <w:t>at</w:t>
      </w:r>
      <w:r>
        <w:rPr>
          <w:spacing w:val="-4"/>
        </w:rPr>
        <w:t xml:space="preserve"> </w:t>
      </w:r>
      <w:r>
        <w:t>an</w:t>
      </w:r>
      <w:r>
        <w:rPr>
          <w:spacing w:val="-3"/>
        </w:rPr>
        <w:t xml:space="preserve"> </w:t>
      </w:r>
      <w:r>
        <w:t>increased</w:t>
      </w:r>
      <w:r>
        <w:rPr>
          <w:spacing w:val="-3"/>
        </w:rPr>
        <w:t xml:space="preserve"> </w:t>
      </w:r>
      <w:r>
        <w:t>risk</w:t>
      </w:r>
      <w:r>
        <w:rPr>
          <w:spacing w:val="-1"/>
        </w:rPr>
        <w:t xml:space="preserve"> </w:t>
      </w:r>
      <w:r>
        <w:t>for</w:t>
      </w:r>
      <w:r>
        <w:rPr>
          <w:spacing w:val="-4"/>
        </w:rPr>
        <w:t xml:space="preserve"> </w:t>
      </w:r>
      <w:r>
        <w:t>violence</w:t>
      </w:r>
      <w:r>
        <w:rPr>
          <w:spacing w:val="-1"/>
        </w:rPr>
        <w:t xml:space="preserve"> </w:t>
      </w:r>
      <w:r>
        <w:t>and</w:t>
      </w:r>
      <w:r>
        <w:rPr>
          <w:spacing w:val="-3"/>
        </w:rPr>
        <w:t xml:space="preserve"> </w:t>
      </w:r>
      <w:r>
        <w:t>discrimination.</w:t>
      </w:r>
      <w:r>
        <w:rPr>
          <w:spacing w:val="-2"/>
        </w:rPr>
        <w:t xml:space="preserve"> </w:t>
      </w:r>
      <w:r>
        <w:t>The</w:t>
      </w:r>
      <w:r>
        <w:rPr>
          <w:spacing w:val="-4"/>
        </w:rPr>
        <w:t xml:space="preserve"> </w:t>
      </w:r>
      <w:r>
        <w:t>experience</w:t>
      </w:r>
      <w:r>
        <w:rPr>
          <w:spacing w:val="-4"/>
        </w:rPr>
        <w:t xml:space="preserve"> </w:t>
      </w:r>
      <w:r>
        <w:t>of</w:t>
      </w:r>
      <w:r>
        <w:rPr>
          <w:spacing w:val="-2"/>
        </w:rPr>
        <w:t xml:space="preserve"> </w:t>
      </w:r>
      <w:r>
        <w:t>being</w:t>
      </w:r>
      <w:r>
        <w:rPr>
          <w:spacing w:val="-3"/>
        </w:rPr>
        <w:t xml:space="preserve"> </w:t>
      </w:r>
      <w:r>
        <w:t>placed</w:t>
      </w:r>
      <w:r>
        <w:rPr>
          <w:spacing w:val="-3"/>
        </w:rPr>
        <w:t xml:space="preserve"> </w:t>
      </w:r>
      <w:r>
        <w:t>in the child welfare system is often a deeply traumatic time, and these disparities faced by LGBTQ youth often compound the profoundly negative impacts on their mental and emotional well-being.</w:t>
      </w:r>
      <w:hyperlink w:anchor="_bookmark685" w:history="1">
        <w:r>
          <w:rPr>
            <w:vertAlign w:val="superscript"/>
          </w:rPr>
          <w:t>29</w:t>
        </w:r>
      </w:hyperlink>
      <w:r>
        <w:t xml:space="preserve"> Youth within the child welfa</w:t>
      </w:r>
      <w:r>
        <w:t>re system often experience mental health issues and trauma that often goes untreated, or over-treated in the form of over-prescribed psychotropic medications.</w:t>
      </w:r>
      <w:hyperlink w:anchor="_bookmark686" w:history="1">
        <w:r>
          <w:rPr>
            <w:vertAlign w:val="superscript"/>
          </w:rPr>
          <w:t>30</w:t>
        </w:r>
      </w:hyperlink>
      <w:r>
        <w:t xml:space="preserve"> As established above, youth experiencing mental health crises o</w:t>
      </w:r>
      <w:r>
        <w:t>ften face incarceration.</w:t>
      </w:r>
    </w:p>
    <w:p w:rsidR="00200FDA" w:rsidRDefault="00200FDA">
      <w:pPr>
        <w:pStyle w:val="BodyText"/>
        <w:spacing w:before="9"/>
        <w:rPr>
          <w:sz w:val="19"/>
        </w:rPr>
      </w:pPr>
    </w:p>
    <w:p w:rsidR="00200FDA" w:rsidRDefault="00F76C4C">
      <w:pPr>
        <w:pStyle w:val="BodyText"/>
        <w:spacing w:line="276" w:lineRule="auto"/>
        <w:ind w:left="139" w:right="132"/>
        <w:jc w:val="both"/>
      </w:pPr>
      <w:r>
        <w:t>Due</w:t>
      </w:r>
      <w:r>
        <w:rPr>
          <w:spacing w:val="-1"/>
        </w:rPr>
        <w:t xml:space="preserve"> </w:t>
      </w:r>
      <w:r>
        <w:t>to</w:t>
      </w:r>
      <w:r>
        <w:rPr>
          <w:spacing w:val="-3"/>
        </w:rPr>
        <w:t xml:space="preserve"> </w:t>
      </w:r>
      <w:r>
        <w:t>the</w:t>
      </w:r>
      <w:r>
        <w:rPr>
          <w:spacing w:val="-1"/>
        </w:rPr>
        <w:t xml:space="preserve"> </w:t>
      </w:r>
      <w:r>
        <w:t>struggles</w:t>
      </w:r>
      <w:r>
        <w:rPr>
          <w:spacing w:val="-2"/>
        </w:rPr>
        <w:t xml:space="preserve"> </w:t>
      </w:r>
      <w:r>
        <w:t>of</w:t>
      </w:r>
      <w:r>
        <w:rPr>
          <w:spacing w:val="-2"/>
        </w:rPr>
        <w:t xml:space="preserve"> </w:t>
      </w:r>
      <w:r>
        <w:t>the</w:t>
      </w:r>
      <w:r>
        <w:rPr>
          <w:spacing w:val="-1"/>
        </w:rPr>
        <w:t xml:space="preserve"> </w:t>
      </w:r>
      <w:r>
        <w:t>child welfare</w:t>
      </w:r>
      <w:r>
        <w:rPr>
          <w:spacing w:val="-1"/>
        </w:rPr>
        <w:t xml:space="preserve"> </w:t>
      </w:r>
      <w:r>
        <w:t>system</w:t>
      </w:r>
      <w:r>
        <w:rPr>
          <w:spacing w:val="-1"/>
        </w:rPr>
        <w:t xml:space="preserve"> </w:t>
      </w:r>
      <w:r>
        <w:t>to</w:t>
      </w:r>
      <w:r>
        <w:rPr>
          <w:spacing w:val="-1"/>
        </w:rPr>
        <w:t xml:space="preserve"> </w:t>
      </w:r>
      <w:r>
        <w:t>meet</w:t>
      </w:r>
      <w:r>
        <w:rPr>
          <w:spacing w:val="-1"/>
        </w:rPr>
        <w:t xml:space="preserve"> </w:t>
      </w:r>
      <w:r>
        <w:t>the</w:t>
      </w:r>
      <w:r>
        <w:rPr>
          <w:spacing w:val="-1"/>
        </w:rPr>
        <w:t xml:space="preserve"> </w:t>
      </w:r>
      <w:r>
        <w:t>unique needs</w:t>
      </w:r>
      <w:r>
        <w:rPr>
          <w:spacing w:val="-2"/>
        </w:rPr>
        <w:t xml:space="preserve"> </w:t>
      </w:r>
      <w:r>
        <w:t>of</w:t>
      </w:r>
      <w:r>
        <w:rPr>
          <w:spacing w:val="-2"/>
        </w:rPr>
        <w:t xml:space="preserve"> </w:t>
      </w:r>
      <w:r>
        <w:t>LGBTQ</w:t>
      </w:r>
      <w:r>
        <w:rPr>
          <w:spacing w:val="-2"/>
        </w:rPr>
        <w:t xml:space="preserve"> </w:t>
      </w:r>
      <w:r>
        <w:t>youth, some</w:t>
      </w:r>
      <w:r>
        <w:rPr>
          <w:spacing w:val="-1"/>
        </w:rPr>
        <w:t xml:space="preserve"> </w:t>
      </w:r>
      <w:r>
        <w:t>LGBTQ youth may choose instead to leave care and become homeless or engage in survival sex work, and may become</w:t>
      </w:r>
      <w:r>
        <w:rPr>
          <w:spacing w:val="-10"/>
        </w:rPr>
        <w:t xml:space="preserve"> </w:t>
      </w:r>
      <w:r>
        <w:t>victims</w:t>
      </w:r>
      <w:r>
        <w:rPr>
          <w:spacing w:val="-10"/>
        </w:rPr>
        <w:t xml:space="preserve"> </w:t>
      </w:r>
      <w:r>
        <w:t>of</w:t>
      </w:r>
      <w:r>
        <w:rPr>
          <w:spacing w:val="-8"/>
        </w:rPr>
        <w:t xml:space="preserve"> </w:t>
      </w:r>
      <w:r>
        <w:t>trafficking.</w:t>
      </w:r>
      <w:hyperlink w:anchor="_bookmark687" w:history="1">
        <w:r>
          <w:rPr>
            <w:vertAlign w:val="superscript"/>
          </w:rPr>
          <w:t>31</w:t>
        </w:r>
      </w:hyperlink>
      <w:r>
        <w:rPr>
          <w:spacing w:val="-2"/>
        </w:rPr>
        <w:t xml:space="preserve"> </w:t>
      </w:r>
      <w:r>
        <w:t>Even</w:t>
      </w:r>
      <w:r>
        <w:rPr>
          <w:spacing w:val="-9"/>
        </w:rPr>
        <w:t xml:space="preserve"> </w:t>
      </w:r>
      <w:r>
        <w:t>for</w:t>
      </w:r>
      <w:r>
        <w:rPr>
          <w:spacing w:val="-10"/>
        </w:rPr>
        <w:t xml:space="preserve"> </w:t>
      </w:r>
      <w:r>
        <w:t>youth</w:t>
      </w:r>
      <w:r>
        <w:rPr>
          <w:spacing w:val="-9"/>
        </w:rPr>
        <w:t xml:space="preserve"> </w:t>
      </w:r>
      <w:r>
        <w:t>who</w:t>
      </w:r>
      <w:r>
        <w:rPr>
          <w:spacing w:val="-7"/>
        </w:rPr>
        <w:t xml:space="preserve"> </w:t>
      </w:r>
      <w:r>
        <w:t>stay</w:t>
      </w:r>
      <w:r>
        <w:rPr>
          <w:spacing w:val="-7"/>
        </w:rPr>
        <w:t xml:space="preserve"> </w:t>
      </w:r>
      <w:r>
        <w:t>in</w:t>
      </w:r>
      <w:r>
        <w:rPr>
          <w:spacing w:val="-9"/>
        </w:rPr>
        <w:t xml:space="preserve"> </w:t>
      </w:r>
      <w:r>
        <w:t>care</w:t>
      </w:r>
      <w:r>
        <w:rPr>
          <w:spacing w:val="-8"/>
        </w:rPr>
        <w:t xml:space="preserve"> </w:t>
      </w:r>
      <w:r>
        <w:t>until</w:t>
      </w:r>
      <w:r>
        <w:rPr>
          <w:spacing w:val="-8"/>
        </w:rPr>
        <w:t xml:space="preserve"> </w:t>
      </w:r>
      <w:r>
        <w:t>they</w:t>
      </w:r>
      <w:r>
        <w:rPr>
          <w:spacing w:val="-7"/>
        </w:rPr>
        <w:t xml:space="preserve"> </w:t>
      </w:r>
      <w:r>
        <w:t>‘age</w:t>
      </w:r>
      <w:r>
        <w:rPr>
          <w:spacing w:val="-7"/>
        </w:rPr>
        <w:t xml:space="preserve"> </w:t>
      </w:r>
      <w:r>
        <w:t>out’,</w:t>
      </w:r>
      <w:r>
        <w:rPr>
          <w:spacing w:val="-8"/>
        </w:rPr>
        <w:t xml:space="preserve"> </w:t>
      </w:r>
      <w:r>
        <w:t>there</w:t>
      </w:r>
      <w:r>
        <w:rPr>
          <w:spacing w:val="-7"/>
        </w:rPr>
        <w:t xml:space="preserve"> </w:t>
      </w:r>
      <w:r>
        <w:t>is</w:t>
      </w:r>
      <w:r>
        <w:rPr>
          <w:spacing w:val="-10"/>
        </w:rPr>
        <w:t xml:space="preserve"> </w:t>
      </w:r>
      <w:r>
        <w:t>often</w:t>
      </w:r>
      <w:r>
        <w:rPr>
          <w:spacing w:val="-9"/>
        </w:rPr>
        <w:t xml:space="preserve"> </w:t>
      </w:r>
      <w:r>
        <w:t>minimal support for transition-aged LGBTQ youth with few independent living programs appropriately preparing youth for transitioning out of care.</w:t>
      </w:r>
      <w:r>
        <w:rPr>
          <w:spacing w:val="-1"/>
        </w:rPr>
        <w:t xml:space="preserve"> </w:t>
      </w:r>
      <w:hyperlink w:anchor="_bookmark688" w:history="1">
        <w:r>
          <w:rPr>
            <w:vertAlign w:val="superscript"/>
          </w:rPr>
          <w:t>32</w:t>
        </w:r>
      </w:hyperlink>
      <w:r>
        <w:t xml:space="preserve"> Transition-aged youth may experience unstable housing or homelessness;</w:t>
      </w:r>
      <w:r>
        <w:rPr>
          <w:spacing w:val="-9"/>
        </w:rPr>
        <w:t xml:space="preserve"> </w:t>
      </w:r>
      <w:r>
        <w:t>inadequate</w:t>
      </w:r>
      <w:r>
        <w:rPr>
          <w:spacing w:val="-12"/>
        </w:rPr>
        <w:t xml:space="preserve"> </w:t>
      </w:r>
      <w:r>
        <w:t>access</w:t>
      </w:r>
      <w:r>
        <w:rPr>
          <w:spacing w:val="-12"/>
        </w:rPr>
        <w:t xml:space="preserve"> </w:t>
      </w:r>
      <w:r>
        <w:t>to</w:t>
      </w:r>
      <w:r>
        <w:rPr>
          <w:spacing w:val="-11"/>
        </w:rPr>
        <w:t xml:space="preserve"> </w:t>
      </w:r>
      <w:r>
        <w:t>education</w:t>
      </w:r>
      <w:r>
        <w:rPr>
          <w:spacing w:val="-11"/>
        </w:rPr>
        <w:t xml:space="preserve"> </w:t>
      </w:r>
      <w:r>
        <w:t>or</w:t>
      </w:r>
      <w:r>
        <w:rPr>
          <w:spacing w:val="-10"/>
        </w:rPr>
        <w:t xml:space="preserve"> </w:t>
      </w:r>
      <w:r>
        <w:t>documentation;</w:t>
      </w:r>
      <w:r>
        <w:rPr>
          <w:spacing w:val="-9"/>
        </w:rPr>
        <w:t xml:space="preserve"> </w:t>
      </w:r>
      <w:r>
        <w:t>unemployment</w:t>
      </w:r>
      <w:r>
        <w:rPr>
          <w:spacing w:val="-9"/>
        </w:rPr>
        <w:t xml:space="preserve"> </w:t>
      </w:r>
      <w:r>
        <w:t>or</w:t>
      </w:r>
      <w:r>
        <w:rPr>
          <w:spacing w:val="-10"/>
        </w:rPr>
        <w:t xml:space="preserve"> </w:t>
      </w:r>
      <w:r>
        <w:t>under-employment; physical and mental health issues;</w:t>
      </w:r>
      <w:r>
        <w:rPr>
          <w:spacing w:val="-11"/>
        </w:rPr>
        <w:t xml:space="preserve"> </w:t>
      </w:r>
      <w:hyperlink w:anchor="_bookmark689" w:history="1">
        <w:r>
          <w:rPr>
            <w:vertAlign w:val="superscript"/>
          </w:rPr>
          <w:t>33</w:t>
        </w:r>
      </w:hyperlink>
      <w:r>
        <w:t xml:space="preserve"> and lack of access to appropriate health care.</w:t>
      </w:r>
      <w:r>
        <w:rPr>
          <w:spacing w:val="-10"/>
        </w:rPr>
        <w:t xml:space="preserve"> </w:t>
      </w:r>
      <w:hyperlink w:anchor="_bookmark690" w:history="1">
        <w:r>
          <w:rPr>
            <w:vertAlign w:val="superscript"/>
          </w:rPr>
          <w:t>34</w:t>
        </w:r>
      </w:hyperlink>
      <w:r>
        <w:t xml:space="preserve"> All of these experiences may often lead to interactions with the juvenile justice system as youth struggle to survive.</w:t>
      </w:r>
    </w:p>
    <w:p w:rsidR="00200FDA" w:rsidRDefault="00200FDA">
      <w:pPr>
        <w:pStyle w:val="BodyText"/>
        <w:spacing w:before="7"/>
        <w:rPr>
          <w:sz w:val="19"/>
        </w:rPr>
      </w:pPr>
    </w:p>
    <w:p w:rsidR="00200FDA" w:rsidRDefault="00F76C4C">
      <w:pPr>
        <w:pStyle w:val="BodyText"/>
        <w:spacing w:line="276" w:lineRule="auto"/>
        <w:ind w:left="139" w:right="134"/>
        <w:jc w:val="both"/>
      </w:pPr>
      <w:r>
        <w:t>In</w:t>
      </w:r>
      <w:r>
        <w:rPr>
          <w:spacing w:val="-5"/>
        </w:rPr>
        <w:t xml:space="preserve"> </w:t>
      </w:r>
      <w:r>
        <w:t>Massachusetts,</w:t>
      </w:r>
      <w:r>
        <w:rPr>
          <w:spacing w:val="-4"/>
        </w:rPr>
        <w:t xml:space="preserve"> </w:t>
      </w:r>
      <w:r>
        <w:t>2021</w:t>
      </w:r>
      <w:r>
        <w:rPr>
          <w:spacing w:val="-3"/>
        </w:rPr>
        <w:t xml:space="preserve"> </w:t>
      </w:r>
      <w:r>
        <w:t>Youth</w:t>
      </w:r>
      <w:r>
        <w:rPr>
          <w:spacing w:val="-5"/>
        </w:rPr>
        <w:t xml:space="preserve"> </w:t>
      </w:r>
      <w:r>
        <w:t>Risk</w:t>
      </w:r>
      <w:r>
        <w:rPr>
          <w:spacing w:val="-4"/>
        </w:rPr>
        <w:t xml:space="preserve"> </w:t>
      </w:r>
      <w:r>
        <w:t>Behavior</w:t>
      </w:r>
      <w:r>
        <w:rPr>
          <w:spacing w:val="-4"/>
        </w:rPr>
        <w:t xml:space="preserve"> </w:t>
      </w:r>
      <w:r>
        <w:t>Survey</w:t>
      </w:r>
      <w:r>
        <w:rPr>
          <w:spacing w:val="-3"/>
        </w:rPr>
        <w:t xml:space="preserve"> </w:t>
      </w:r>
      <w:r>
        <w:t>data</w:t>
      </w:r>
      <w:r>
        <w:rPr>
          <w:spacing w:val="-5"/>
        </w:rPr>
        <w:t xml:space="preserve"> </w:t>
      </w:r>
      <w:r>
        <w:t>indicates</w:t>
      </w:r>
      <w:r>
        <w:rPr>
          <w:spacing w:val="-4"/>
        </w:rPr>
        <w:t xml:space="preserve"> </w:t>
      </w:r>
      <w:r>
        <w:t>that</w:t>
      </w:r>
      <w:r>
        <w:rPr>
          <w:spacing w:val="-4"/>
        </w:rPr>
        <w:t xml:space="preserve"> </w:t>
      </w:r>
      <w:r>
        <w:t>nearly</w:t>
      </w:r>
      <w:r>
        <w:rPr>
          <w:spacing w:val="-6"/>
        </w:rPr>
        <w:t xml:space="preserve"> </w:t>
      </w:r>
      <w:r>
        <w:t>1</w:t>
      </w:r>
      <w:r>
        <w:rPr>
          <w:spacing w:val="-3"/>
        </w:rPr>
        <w:t xml:space="preserve"> </w:t>
      </w:r>
      <w:r>
        <w:t>in</w:t>
      </w:r>
      <w:r>
        <w:rPr>
          <w:spacing w:val="-5"/>
        </w:rPr>
        <w:t xml:space="preserve"> </w:t>
      </w:r>
      <w:r>
        <w:t>5</w:t>
      </w:r>
      <w:r>
        <w:rPr>
          <w:spacing w:val="-3"/>
        </w:rPr>
        <w:t xml:space="preserve"> </w:t>
      </w:r>
      <w:r>
        <w:t>of</w:t>
      </w:r>
      <w:r>
        <w:rPr>
          <w:spacing w:val="-5"/>
        </w:rPr>
        <w:t xml:space="preserve"> </w:t>
      </w:r>
      <w:r>
        <w:t>LGBTQ</w:t>
      </w:r>
      <w:r>
        <w:rPr>
          <w:spacing w:val="-4"/>
        </w:rPr>
        <w:t xml:space="preserve"> </w:t>
      </w:r>
      <w:r>
        <w:t>high</w:t>
      </w:r>
      <w:r>
        <w:rPr>
          <w:spacing w:val="-5"/>
        </w:rPr>
        <w:t xml:space="preserve"> </w:t>
      </w:r>
      <w:r>
        <w:t>school students</w:t>
      </w:r>
      <w:r>
        <w:rPr>
          <w:spacing w:val="-6"/>
        </w:rPr>
        <w:t xml:space="preserve"> </w:t>
      </w:r>
      <w:r>
        <w:t>have</w:t>
      </w:r>
      <w:r>
        <w:rPr>
          <w:spacing w:val="-7"/>
        </w:rPr>
        <w:t xml:space="preserve"> </w:t>
      </w:r>
      <w:r>
        <w:t>experienced</w:t>
      </w:r>
      <w:r>
        <w:rPr>
          <w:spacing w:val="-11"/>
        </w:rPr>
        <w:t xml:space="preserve"> </w:t>
      </w:r>
      <w:r>
        <w:t>bullying</w:t>
      </w:r>
      <w:r>
        <w:rPr>
          <w:spacing w:val="-6"/>
        </w:rPr>
        <w:t xml:space="preserve"> </w:t>
      </w:r>
      <w:r>
        <w:t>in</w:t>
      </w:r>
      <w:r>
        <w:rPr>
          <w:spacing w:val="-6"/>
        </w:rPr>
        <w:t xml:space="preserve"> </w:t>
      </w:r>
      <w:r>
        <w:t>their</w:t>
      </w:r>
      <w:r>
        <w:rPr>
          <w:spacing w:val="-8"/>
        </w:rPr>
        <w:t xml:space="preserve"> </w:t>
      </w:r>
      <w:r>
        <w:t>schools.</w:t>
      </w:r>
      <w:hyperlink w:anchor="_bookmark691" w:history="1">
        <w:r>
          <w:rPr>
            <w:vertAlign w:val="superscript"/>
          </w:rPr>
          <w:t>35</w:t>
        </w:r>
      </w:hyperlink>
      <w:r>
        <w:rPr>
          <w:spacing w:val="-2"/>
        </w:rPr>
        <w:t xml:space="preserve"> </w:t>
      </w:r>
      <w:r>
        <w:t>As</w:t>
      </w:r>
      <w:r>
        <w:rPr>
          <w:spacing w:val="-6"/>
        </w:rPr>
        <w:t xml:space="preserve"> </w:t>
      </w:r>
      <w:r>
        <w:t>detailed</w:t>
      </w:r>
      <w:r>
        <w:rPr>
          <w:spacing w:val="-9"/>
        </w:rPr>
        <w:t xml:space="preserve"> </w:t>
      </w:r>
      <w:r>
        <w:t>in</w:t>
      </w:r>
      <w:r>
        <w:rPr>
          <w:spacing w:val="-6"/>
        </w:rPr>
        <w:t xml:space="preserve"> </w:t>
      </w:r>
      <w:r>
        <w:t>the</w:t>
      </w:r>
      <w:r>
        <w:rPr>
          <w:spacing w:val="-5"/>
        </w:rPr>
        <w:t xml:space="preserve"> </w:t>
      </w:r>
      <w:r>
        <w:t>in-depth</w:t>
      </w:r>
      <w:r>
        <w:rPr>
          <w:spacing w:val="-9"/>
        </w:rPr>
        <w:t xml:space="preserve"> </w:t>
      </w:r>
      <w:r>
        <w:t>education</w:t>
      </w:r>
      <w:r>
        <w:rPr>
          <w:spacing w:val="-9"/>
        </w:rPr>
        <w:t xml:space="preserve"> </w:t>
      </w:r>
      <w:r>
        <w:t>section</w:t>
      </w:r>
      <w:r>
        <w:rPr>
          <w:spacing w:val="-9"/>
        </w:rPr>
        <w:t xml:space="preserve"> </w:t>
      </w:r>
      <w:r>
        <w:t>of</w:t>
      </w:r>
      <w:r>
        <w:rPr>
          <w:spacing w:val="-8"/>
        </w:rPr>
        <w:t xml:space="preserve"> </w:t>
      </w:r>
      <w:r>
        <w:t>this annual report, LGBTQ youth are more likely to face bullying, threats of violence, and being involved in fights where there is a weapon involved. As youth face discrimination and violence in schools, they are more likely</w:t>
      </w:r>
      <w:r>
        <w:rPr>
          <w:spacing w:val="-1"/>
        </w:rPr>
        <w:t xml:space="preserve"> </w:t>
      </w:r>
      <w:r>
        <w:t>to</w:t>
      </w:r>
      <w:r>
        <w:rPr>
          <w:spacing w:val="-1"/>
        </w:rPr>
        <w:t xml:space="preserve"> </w:t>
      </w:r>
      <w:r>
        <w:t>skip</w:t>
      </w:r>
      <w:r>
        <w:rPr>
          <w:spacing w:val="-3"/>
        </w:rPr>
        <w:t xml:space="preserve"> </w:t>
      </w:r>
      <w:r>
        <w:t>classes</w:t>
      </w:r>
      <w:r>
        <w:rPr>
          <w:spacing w:val="-2"/>
        </w:rPr>
        <w:t xml:space="preserve"> </w:t>
      </w:r>
      <w:r>
        <w:t>or school</w:t>
      </w:r>
      <w:r>
        <w:rPr>
          <w:spacing w:val="-2"/>
        </w:rPr>
        <w:t xml:space="preserve"> </w:t>
      </w:r>
      <w:r>
        <w:t>entir</w:t>
      </w:r>
      <w:r>
        <w:t>ely due to</w:t>
      </w:r>
      <w:r>
        <w:rPr>
          <w:spacing w:val="-1"/>
        </w:rPr>
        <w:t xml:space="preserve"> </w:t>
      </w:r>
      <w:r>
        <w:t>feeling unsafe,</w:t>
      </w:r>
      <w:r>
        <w:rPr>
          <w:spacing w:val="-2"/>
        </w:rPr>
        <w:t xml:space="preserve"> </w:t>
      </w:r>
      <w:r>
        <w:t>and are</w:t>
      </w:r>
      <w:r>
        <w:rPr>
          <w:spacing w:val="-1"/>
        </w:rPr>
        <w:t xml:space="preserve"> </w:t>
      </w:r>
      <w:r>
        <w:t>more</w:t>
      </w:r>
      <w:r>
        <w:rPr>
          <w:spacing w:val="-4"/>
        </w:rPr>
        <w:t xml:space="preserve"> </w:t>
      </w:r>
      <w:r>
        <w:t>likely</w:t>
      </w:r>
      <w:r>
        <w:rPr>
          <w:spacing w:val="-1"/>
        </w:rPr>
        <w:t xml:space="preserve"> </w:t>
      </w:r>
      <w:r>
        <w:t>to bring</w:t>
      </w:r>
      <w:r>
        <w:rPr>
          <w:spacing w:val="-3"/>
        </w:rPr>
        <w:t xml:space="preserve"> </w:t>
      </w:r>
      <w:r>
        <w:t>a</w:t>
      </w:r>
      <w:r>
        <w:rPr>
          <w:spacing w:val="-2"/>
        </w:rPr>
        <w:t xml:space="preserve"> </w:t>
      </w:r>
      <w:r>
        <w:t>weapon to school for protection.</w:t>
      </w:r>
      <w:hyperlink w:anchor="_bookmark692" w:history="1">
        <w:r>
          <w:rPr>
            <w:vertAlign w:val="superscript"/>
          </w:rPr>
          <w:t>36</w:t>
        </w:r>
      </w:hyperlink>
    </w:p>
    <w:p w:rsidR="00200FDA" w:rsidRDefault="00200FDA">
      <w:pPr>
        <w:pStyle w:val="BodyText"/>
        <w:spacing w:before="8"/>
        <w:rPr>
          <w:sz w:val="19"/>
        </w:rPr>
      </w:pPr>
    </w:p>
    <w:p w:rsidR="00200FDA" w:rsidRDefault="00F76C4C">
      <w:pPr>
        <w:pStyle w:val="BodyText"/>
        <w:spacing w:line="276" w:lineRule="auto"/>
        <w:ind w:left="139" w:right="134"/>
        <w:jc w:val="both"/>
      </w:pPr>
      <w:r>
        <w:t>In 2021, only 60% of Massachusetts students noted that they could identify at least one supportive staff member,</w:t>
      </w:r>
      <w:r>
        <w:rPr>
          <w:spacing w:val="-9"/>
        </w:rPr>
        <w:t xml:space="preserve"> </w:t>
      </w:r>
      <w:r>
        <w:t>but</w:t>
      </w:r>
      <w:r>
        <w:rPr>
          <w:spacing w:val="-9"/>
        </w:rPr>
        <w:t xml:space="preserve"> </w:t>
      </w:r>
      <w:r>
        <w:t>were</w:t>
      </w:r>
      <w:r>
        <w:rPr>
          <w:spacing w:val="-6"/>
        </w:rPr>
        <w:t xml:space="preserve"> </w:t>
      </w:r>
      <w:r>
        <w:t>also</w:t>
      </w:r>
      <w:r>
        <w:rPr>
          <w:spacing w:val="-10"/>
        </w:rPr>
        <w:t xml:space="preserve"> </w:t>
      </w:r>
      <w:r>
        <w:t>more</w:t>
      </w:r>
      <w:r>
        <w:rPr>
          <w:spacing w:val="-6"/>
        </w:rPr>
        <w:t xml:space="preserve"> </w:t>
      </w:r>
      <w:r>
        <w:t>likely</w:t>
      </w:r>
      <w:r>
        <w:rPr>
          <w:spacing w:val="-8"/>
        </w:rPr>
        <w:t xml:space="preserve"> </w:t>
      </w:r>
      <w:r>
        <w:t>to</w:t>
      </w:r>
      <w:r>
        <w:rPr>
          <w:spacing w:val="-5"/>
        </w:rPr>
        <w:t xml:space="preserve"> </w:t>
      </w:r>
      <w:r>
        <w:t>note</w:t>
      </w:r>
      <w:r>
        <w:rPr>
          <w:spacing w:val="-9"/>
        </w:rPr>
        <w:t xml:space="preserve"> </w:t>
      </w:r>
      <w:r>
        <w:t>that</w:t>
      </w:r>
      <w:r>
        <w:rPr>
          <w:spacing w:val="-6"/>
        </w:rPr>
        <w:t xml:space="preserve"> </w:t>
      </w:r>
      <w:r>
        <w:t>staff</w:t>
      </w:r>
      <w:r>
        <w:rPr>
          <w:spacing w:val="-9"/>
        </w:rPr>
        <w:t xml:space="preserve"> </w:t>
      </w:r>
      <w:r>
        <w:t>members</w:t>
      </w:r>
      <w:r>
        <w:rPr>
          <w:spacing w:val="-9"/>
        </w:rPr>
        <w:t xml:space="preserve"> </w:t>
      </w:r>
      <w:r>
        <w:t>did</w:t>
      </w:r>
      <w:r>
        <w:rPr>
          <w:spacing w:val="-7"/>
        </w:rPr>
        <w:t xml:space="preserve"> </w:t>
      </w:r>
      <w:r>
        <w:t>nothing</w:t>
      </w:r>
      <w:r>
        <w:rPr>
          <w:spacing w:val="-7"/>
        </w:rPr>
        <w:t xml:space="preserve"> </w:t>
      </w:r>
      <w:r>
        <w:t>to</w:t>
      </w:r>
      <w:r>
        <w:rPr>
          <w:spacing w:val="-8"/>
        </w:rPr>
        <w:t xml:space="preserve"> </w:t>
      </w:r>
      <w:r>
        <w:t>assist</w:t>
      </w:r>
      <w:r>
        <w:rPr>
          <w:spacing w:val="-6"/>
        </w:rPr>
        <w:t xml:space="preserve"> </w:t>
      </w:r>
      <w:r>
        <w:t>them</w:t>
      </w:r>
      <w:r>
        <w:rPr>
          <w:spacing w:val="-10"/>
        </w:rPr>
        <w:t xml:space="preserve"> </w:t>
      </w:r>
      <w:r>
        <w:t>when</w:t>
      </w:r>
      <w:r>
        <w:rPr>
          <w:spacing w:val="-7"/>
        </w:rPr>
        <w:t xml:space="preserve"> </w:t>
      </w:r>
      <w:r>
        <w:t>they</w:t>
      </w:r>
      <w:r>
        <w:rPr>
          <w:spacing w:val="-8"/>
        </w:rPr>
        <w:t xml:space="preserve"> </w:t>
      </w:r>
      <w:r>
        <w:t>were being bullied or harassed. Approximately 9 in 10 did not report a violent incident to school staff, as they feared repercussions, or</w:t>
      </w:r>
      <w:r>
        <w:rPr>
          <w:spacing w:val="16"/>
        </w:rPr>
        <w:t xml:space="preserve"> </w:t>
      </w:r>
      <w:r>
        <w:t>doubted that they would receive</w:t>
      </w:r>
      <w:r>
        <w:rPr>
          <w:spacing w:val="16"/>
        </w:rPr>
        <w:t xml:space="preserve"> </w:t>
      </w:r>
      <w:r>
        <w:t>support or</w:t>
      </w:r>
      <w:r>
        <w:rPr>
          <w:spacing w:val="16"/>
        </w:rPr>
        <w:t xml:space="preserve"> </w:t>
      </w:r>
      <w:r>
        <w:t>resolution.</w:t>
      </w:r>
      <w:hyperlink w:anchor="_bookmark693" w:history="1">
        <w:r>
          <w:rPr>
            <w:vertAlign w:val="superscript"/>
          </w:rPr>
          <w:t>37</w:t>
        </w:r>
      </w:hyperlink>
      <w:r>
        <w:rPr>
          <w:spacing w:val="-2"/>
        </w:rPr>
        <w:t xml:space="preserve"> </w:t>
      </w:r>
      <w:r>
        <w:t>Often,</w:t>
      </w:r>
      <w:r>
        <w:rPr>
          <w:spacing w:val="16"/>
        </w:rPr>
        <w:t xml:space="preserve"> </w:t>
      </w:r>
      <w:r>
        <w:t>LGBTQ</w:t>
      </w:r>
      <w:r>
        <w:rPr>
          <w:spacing w:val="16"/>
        </w:rPr>
        <w:t xml:space="preserve"> </w:t>
      </w:r>
      <w:r>
        <w:t>youth</w:t>
      </w:r>
    </w:p>
    <w:p w:rsidR="00200FDA" w:rsidRDefault="00200FDA">
      <w:pPr>
        <w:spacing w:line="276" w:lineRule="auto"/>
        <w:jc w:val="both"/>
        <w:sectPr w:rsidR="00200FDA">
          <w:pgSz w:w="12240" w:h="15840"/>
          <w:pgMar w:top="1380" w:right="1300" w:bottom="1240" w:left="1300" w:header="552" w:footer="1043" w:gutter="0"/>
          <w:cols w:space="720"/>
        </w:sectPr>
      </w:pPr>
    </w:p>
    <w:p w:rsidR="00200FDA" w:rsidRDefault="00F76C4C">
      <w:pPr>
        <w:pStyle w:val="BodyText"/>
        <w:spacing w:before="46" w:line="276" w:lineRule="auto"/>
        <w:ind w:left="140" w:right="134"/>
        <w:jc w:val="both"/>
      </w:pPr>
      <w:r>
        <w:lastRenderedPageBreak/>
        <w:t>experiencing bullying or harassment report being disciplined more harshly than the perpetrator, with some LGBTQ youth even being suspended after reporting bullying incidents.</w:t>
      </w:r>
      <w:hyperlink w:anchor="_bookmark694" w:history="1">
        <w:r>
          <w:rPr>
            <w:vertAlign w:val="superscript"/>
          </w:rPr>
          <w:t>38</w:t>
        </w:r>
      </w:hyperlink>
    </w:p>
    <w:p w:rsidR="00200FDA" w:rsidRDefault="00F76C4C">
      <w:pPr>
        <w:pStyle w:val="BodyText"/>
        <w:spacing w:before="9"/>
        <w:rPr>
          <w:sz w:val="17"/>
        </w:rPr>
      </w:pPr>
      <w:r>
        <w:rPr>
          <w:noProof/>
        </w:rPr>
        <w:drawing>
          <wp:anchor distT="0" distB="0" distL="0" distR="0" simplePos="0" relativeHeight="153" behindDoc="0" locked="0" layoutInCell="1" allowOverlap="1">
            <wp:simplePos x="0" y="0"/>
            <wp:positionH relativeFrom="page">
              <wp:posOffset>1012036</wp:posOffset>
            </wp:positionH>
            <wp:positionV relativeFrom="paragraph">
              <wp:posOffset>152910</wp:posOffset>
            </wp:positionV>
            <wp:extent cx="5657101" cy="1463040"/>
            <wp:effectExtent l="0" t="0" r="0" b="0"/>
            <wp:wrapTopAndBottom/>
            <wp:docPr id="123"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21.jpeg"/>
                    <pic:cNvPicPr/>
                  </pic:nvPicPr>
                  <pic:blipFill>
                    <a:blip r:embed="rId631" cstate="print"/>
                    <a:stretch>
                      <a:fillRect/>
                    </a:stretch>
                  </pic:blipFill>
                  <pic:spPr>
                    <a:xfrm>
                      <a:off x="0" y="0"/>
                      <a:ext cx="5657101" cy="1463040"/>
                    </a:xfrm>
                    <a:prstGeom prst="rect">
                      <a:avLst/>
                    </a:prstGeom>
                  </pic:spPr>
                </pic:pic>
              </a:graphicData>
            </a:graphic>
          </wp:anchor>
        </w:drawing>
      </w:r>
    </w:p>
    <w:p w:rsidR="00200FDA" w:rsidRDefault="00200FDA">
      <w:pPr>
        <w:pStyle w:val="BodyText"/>
        <w:rPr>
          <w:sz w:val="24"/>
        </w:rPr>
      </w:pPr>
    </w:p>
    <w:p w:rsidR="00200FDA" w:rsidRDefault="00200FDA">
      <w:pPr>
        <w:pStyle w:val="BodyText"/>
        <w:spacing w:before="1"/>
        <w:rPr>
          <w:sz w:val="19"/>
        </w:rPr>
      </w:pPr>
    </w:p>
    <w:p w:rsidR="00200FDA" w:rsidRDefault="00F76C4C">
      <w:pPr>
        <w:pStyle w:val="BodyText"/>
        <w:spacing w:line="276" w:lineRule="auto"/>
        <w:ind w:left="139" w:right="133"/>
        <w:jc w:val="both"/>
      </w:pPr>
      <w:r>
        <w:t>Overall,</w:t>
      </w:r>
      <w:r>
        <w:rPr>
          <w:spacing w:val="-7"/>
        </w:rPr>
        <w:t xml:space="preserve"> </w:t>
      </w:r>
      <w:r>
        <w:t>LGBTQ</w:t>
      </w:r>
      <w:r>
        <w:rPr>
          <w:spacing w:val="-6"/>
        </w:rPr>
        <w:t xml:space="preserve"> </w:t>
      </w:r>
      <w:r>
        <w:t>youth</w:t>
      </w:r>
      <w:r>
        <w:rPr>
          <w:spacing w:val="-5"/>
        </w:rPr>
        <w:t xml:space="preserve"> </w:t>
      </w:r>
      <w:r>
        <w:t>face</w:t>
      </w:r>
      <w:r>
        <w:rPr>
          <w:spacing w:val="-6"/>
        </w:rPr>
        <w:t xml:space="preserve"> </w:t>
      </w:r>
      <w:r>
        <w:t>disproportionate</w:t>
      </w:r>
      <w:r>
        <w:rPr>
          <w:spacing w:val="-4"/>
        </w:rPr>
        <w:t xml:space="preserve"> </w:t>
      </w:r>
      <w:r>
        <w:t>rates</w:t>
      </w:r>
      <w:r>
        <w:rPr>
          <w:spacing w:val="-7"/>
        </w:rPr>
        <w:t xml:space="preserve"> </w:t>
      </w:r>
      <w:r>
        <w:t>of</w:t>
      </w:r>
      <w:r>
        <w:rPr>
          <w:spacing w:val="-5"/>
        </w:rPr>
        <w:t xml:space="preserve"> </w:t>
      </w:r>
      <w:r>
        <w:t>suspension</w:t>
      </w:r>
      <w:r>
        <w:rPr>
          <w:spacing w:val="-5"/>
        </w:rPr>
        <w:t xml:space="preserve"> </w:t>
      </w:r>
      <w:r>
        <w:t>and</w:t>
      </w:r>
      <w:r>
        <w:rPr>
          <w:spacing w:val="-5"/>
        </w:rPr>
        <w:t xml:space="preserve"> </w:t>
      </w:r>
      <w:r>
        <w:t>expulsion</w:t>
      </w:r>
      <w:r>
        <w:rPr>
          <w:spacing w:val="-5"/>
        </w:rPr>
        <w:t xml:space="preserve"> </w:t>
      </w:r>
      <w:r>
        <w:t>compared</w:t>
      </w:r>
      <w:r>
        <w:rPr>
          <w:spacing w:val="-5"/>
        </w:rPr>
        <w:t xml:space="preserve"> </w:t>
      </w:r>
      <w:r>
        <w:t>to</w:t>
      </w:r>
      <w:r>
        <w:rPr>
          <w:spacing w:val="-3"/>
        </w:rPr>
        <w:t xml:space="preserve"> </w:t>
      </w:r>
      <w:r>
        <w:t>heterosexual and</w:t>
      </w:r>
      <w:r>
        <w:rPr>
          <w:spacing w:val="-7"/>
        </w:rPr>
        <w:t xml:space="preserve"> </w:t>
      </w:r>
      <w:r>
        <w:t>cisgender</w:t>
      </w:r>
      <w:r>
        <w:rPr>
          <w:spacing w:val="-9"/>
        </w:rPr>
        <w:t xml:space="preserve"> </w:t>
      </w:r>
      <w:r>
        <w:t>youth,</w:t>
      </w:r>
      <w:r>
        <w:rPr>
          <w:spacing w:val="-9"/>
        </w:rPr>
        <w:t xml:space="preserve"> </w:t>
      </w:r>
      <w:r>
        <w:t>particularly</w:t>
      </w:r>
      <w:r>
        <w:rPr>
          <w:spacing w:val="-6"/>
        </w:rPr>
        <w:t xml:space="preserve"> </w:t>
      </w:r>
      <w:r>
        <w:t>for</w:t>
      </w:r>
      <w:r>
        <w:rPr>
          <w:spacing w:val="-9"/>
        </w:rPr>
        <w:t xml:space="preserve"> </w:t>
      </w:r>
      <w:r>
        <w:t>QTBIPOC</w:t>
      </w:r>
      <w:r>
        <w:rPr>
          <w:spacing w:val="-9"/>
        </w:rPr>
        <w:t xml:space="preserve"> </w:t>
      </w:r>
      <w:r>
        <w:t>youth.</w:t>
      </w:r>
      <w:r>
        <w:rPr>
          <w:spacing w:val="-10"/>
        </w:rPr>
        <w:t xml:space="preserve"> </w:t>
      </w:r>
      <w:r>
        <w:t>In</w:t>
      </w:r>
      <w:r>
        <w:rPr>
          <w:spacing w:val="-7"/>
        </w:rPr>
        <w:t xml:space="preserve"> </w:t>
      </w:r>
      <w:r>
        <w:t>a</w:t>
      </w:r>
      <w:r>
        <w:rPr>
          <w:spacing w:val="-7"/>
        </w:rPr>
        <w:t xml:space="preserve"> </w:t>
      </w:r>
      <w:r>
        <w:t>national</w:t>
      </w:r>
      <w:r>
        <w:rPr>
          <w:spacing w:val="-9"/>
        </w:rPr>
        <w:t xml:space="preserve"> </w:t>
      </w:r>
      <w:r>
        <w:t>study,</w:t>
      </w:r>
      <w:r>
        <w:rPr>
          <w:spacing w:val="-11"/>
        </w:rPr>
        <w:t xml:space="preserve"> </w:t>
      </w:r>
      <w:r>
        <w:t>79%</w:t>
      </w:r>
      <w:r>
        <w:rPr>
          <w:spacing w:val="-8"/>
        </w:rPr>
        <w:t xml:space="preserve"> </w:t>
      </w:r>
      <w:r>
        <w:t>of</w:t>
      </w:r>
      <w:r>
        <w:rPr>
          <w:spacing w:val="-11"/>
        </w:rPr>
        <w:t xml:space="preserve"> </w:t>
      </w:r>
      <w:r>
        <w:t>QTBIPOC</w:t>
      </w:r>
      <w:r>
        <w:rPr>
          <w:spacing w:val="-9"/>
        </w:rPr>
        <w:t xml:space="preserve"> </w:t>
      </w:r>
      <w:r>
        <w:t>youth</w:t>
      </w:r>
      <w:r>
        <w:rPr>
          <w:spacing w:val="-7"/>
        </w:rPr>
        <w:t xml:space="preserve"> </w:t>
      </w:r>
      <w:r>
        <w:t>in</w:t>
      </w:r>
      <w:r>
        <w:rPr>
          <w:spacing w:val="-10"/>
        </w:rPr>
        <w:t xml:space="preserve"> </w:t>
      </w:r>
      <w:r>
        <w:t>middle and high schools had interacted with police at some point, compared to 63% of white LGBTQ youth. Disciplinary</w:t>
      </w:r>
      <w:r>
        <w:rPr>
          <w:spacing w:val="-6"/>
        </w:rPr>
        <w:t xml:space="preserve"> </w:t>
      </w:r>
      <w:r>
        <w:t>infractions</w:t>
      </w:r>
      <w:r>
        <w:rPr>
          <w:spacing w:val="-4"/>
        </w:rPr>
        <w:t xml:space="preserve"> </w:t>
      </w:r>
      <w:r>
        <w:t>in</w:t>
      </w:r>
      <w:r>
        <w:rPr>
          <w:spacing w:val="-8"/>
        </w:rPr>
        <w:t xml:space="preserve"> </w:t>
      </w:r>
      <w:r>
        <w:t>schools</w:t>
      </w:r>
      <w:r>
        <w:rPr>
          <w:spacing w:val="-7"/>
        </w:rPr>
        <w:t xml:space="preserve"> </w:t>
      </w:r>
      <w:r>
        <w:t>can</w:t>
      </w:r>
      <w:r>
        <w:rPr>
          <w:spacing w:val="-7"/>
        </w:rPr>
        <w:t xml:space="preserve"> </w:t>
      </w:r>
      <w:r>
        <w:t>sometimes</w:t>
      </w:r>
      <w:r>
        <w:rPr>
          <w:spacing w:val="-9"/>
        </w:rPr>
        <w:t xml:space="preserve"> </w:t>
      </w:r>
      <w:r>
        <w:t>mark</w:t>
      </w:r>
      <w:r>
        <w:rPr>
          <w:spacing w:val="-4"/>
        </w:rPr>
        <w:t xml:space="preserve"> </w:t>
      </w:r>
      <w:r>
        <w:t>the</w:t>
      </w:r>
      <w:r>
        <w:rPr>
          <w:spacing w:val="-6"/>
        </w:rPr>
        <w:t xml:space="preserve"> </w:t>
      </w:r>
      <w:r>
        <w:t>beginnings</w:t>
      </w:r>
      <w:r>
        <w:rPr>
          <w:spacing w:val="-7"/>
        </w:rPr>
        <w:t xml:space="preserve"> </w:t>
      </w:r>
      <w:r>
        <w:t>of</w:t>
      </w:r>
      <w:r>
        <w:rPr>
          <w:spacing w:val="-5"/>
        </w:rPr>
        <w:t xml:space="preserve"> </w:t>
      </w:r>
      <w:r>
        <w:t>a</w:t>
      </w:r>
      <w:r>
        <w:rPr>
          <w:spacing w:val="-7"/>
        </w:rPr>
        <w:t xml:space="preserve"> </w:t>
      </w:r>
      <w:r>
        <w:t>criminal</w:t>
      </w:r>
      <w:r>
        <w:rPr>
          <w:spacing w:val="-5"/>
        </w:rPr>
        <w:t xml:space="preserve"> </w:t>
      </w:r>
      <w:r>
        <w:t>record</w:t>
      </w:r>
      <w:r>
        <w:rPr>
          <w:spacing w:val="-7"/>
        </w:rPr>
        <w:t xml:space="preserve"> </w:t>
      </w:r>
      <w:r>
        <w:t>that</w:t>
      </w:r>
      <w:r>
        <w:rPr>
          <w:spacing w:val="-6"/>
        </w:rPr>
        <w:t xml:space="preserve"> </w:t>
      </w:r>
      <w:r>
        <w:t>can</w:t>
      </w:r>
      <w:r>
        <w:rPr>
          <w:spacing w:val="-5"/>
        </w:rPr>
        <w:t xml:space="preserve"> </w:t>
      </w:r>
      <w:r>
        <w:t>follow LGBTQ youth through their life, affecting the</w:t>
      </w:r>
      <w:r>
        <w:t>ir future employment, housing, and more.</w:t>
      </w:r>
      <w:hyperlink w:anchor="_bookmark695" w:history="1">
        <w:r>
          <w:rPr>
            <w:vertAlign w:val="superscript"/>
          </w:rPr>
          <w:t>39</w:t>
        </w:r>
      </w:hyperlink>
      <w:r>
        <w:rPr>
          <w:spacing w:val="-2"/>
        </w:rPr>
        <w:t xml:space="preserve"> </w:t>
      </w:r>
      <w:r>
        <w:t>Due to these experiences,</w:t>
      </w:r>
      <w:r>
        <w:rPr>
          <w:spacing w:val="-13"/>
        </w:rPr>
        <w:t xml:space="preserve"> </w:t>
      </w:r>
      <w:r>
        <w:t>LGBTQ</w:t>
      </w:r>
      <w:r>
        <w:rPr>
          <w:spacing w:val="-12"/>
        </w:rPr>
        <w:t xml:space="preserve"> </w:t>
      </w:r>
      <w:r>
        <w:t>youth</w:t>
      </w:r>
      <w:r>
        <w:rPr>
          <w:spacing w:val="-13"/>
        </w:rPr>
        <w:t xml:space="preserve"> </w:t>
      </w:r>
      <w:r>
        <w:t>are</w:t>
      </w:r>
      <w:r>
        <w:rPr>
          <w:spacing w:val="-12"/>
        </w:rPr>
        <w:t xml:space="preserve"> </w:t>
      </w:r>
      <w:r>
        <w:t>more</w:t>
      </w:r>
      <w:r>
        <w:rPr>
          <w:spacing w:val="-13"/>
        </w:rPr>
        <w:t xml:space="preserve"> </w:t>
      </w:r>
      <w:r>
        <w:t>likely</w:t>
      </w:r>
      <w:r>
        <w:rPr>
          <w:spacing w:val="-12"/>
        </w:rPr>
        <w:t xml:space="preserve"> </w:t>
      </w:r>
      <w:r>
        <w:t>to</w:t>
      </w:r>
      <w:r>
        <w:rPr>
          <w:spacing w:val="-13"/>
        </w:rPr>
        <w:t xml:space="preserve"> </w:t>
      </w:r>
      <w:r>
        <w:t>interact</w:t>
      </w:r>
      <w:r>
        <w:rPr>
          <w:spacing w:val="-12"/>
        </w:rPr>
        <w:t xml:space="preserve"> </w:t>
      </w:r>
      <w:r>
        <w:t>with</w:t>
      </w:r>
      <w:r>
        <w:rPr>
          <w:spacing w:val="-12"/>
        </w:rPr>
        <w:t xml:space="preserve"> </w:t>
      </w:r>
      <w:r>
        <w:t>school</w:t>
      </w:r>
      <w:r>
        <w:rPr>
          <w:spacing w:val="-12"/>
        </w:rPr>
        <w:t xml:space="preserve"> </w:t>
      </w:r>
      <w:r>
        <w:t>resource</w:t>
      </w:r>
      <w:r>
        <w:rPr>
          <w:spacing w:val="-12"/>
        </w:rPr>
        <w:t xml:space="preserve"> </w:t>
      </w:r>
      <w:r>
        <w:t>officers</w:t>
      </w:r>
      <w:r>
        <w:rPr>
          <w:spacing w:val="-11"/>
        </w:rPr>
        <w:t xml:space="preserve"> </w:t>
      </w:r>
      <w:r>
        <w:t>(SROs),</w:t>
      </w:r>
      <w:r>
        <w:rPr>
          <w:spacing w:val="-11"/>
        </w:rPr>
        <w:t xml:space="preserve"> </w:t>
      </w:r>
      <w:r>
        <w:t>and</w:t>
      </w:r>
      <w:r>
        <w:rPr>
          <w:spacing w:val="-11"/>
        </w:rPr>
        <w:t xml:space="preserve"> </w:t>
      </w:r>
      <w:r>
        <w:t>face</w:t>
      </w:r>
      <w:r>
        <w:rPr>
          <w:spacing w:val="-11"/>
        </w:rPr>
        <w:t xml:space="preserve"> </w:t>
      </w:r>
      <w:r>
        <w:t xml:space="preserve">arrests and/or incarceration. Nationally, schools with SROs are more likely to refer LGBTQ youth to the juvenile justice system, though further research needs to occur to better understand disciplinary disparities in </w:t>
      </w:r>
      <w:r>
        <w:rPr>
          <w:spacing w:val="-2"/>
        </w:rPr>
        <w:t>Massachusetts.</w:t>
      </w:r>
      <w:hyperlink w:anchor="_bookmark696" w:history="1">
        <w:r>
          <w:rPr>
            <w:spacing w:val="-2"/>
            <w:vertAlign w:val="superscript"/>
          </w:rPr>
          <w:t>40</w:t>
        </w:r>
      </w:hyperlink>
    </w:p>
    <w:p w:rsidR="00200FDA" w:rsidRDefault="00200FDA">
      <w:pPr>
        <w:pStyle w:val="BodyText"/>
        <w:rPr>
          <w:sz w:val="24"/>
        </w:rPr>
      </w:pPr>
    </w:p>
    <w:p w:rsidR="00200FDA" w:rsidRDefault="00F76C4C">
      <w:pPr>
        <w:pStyle w:val="Heading8"/>
        <w:spacing w:before="161"/>
      </w:pPr>
      <w:bookmarkStart w:id="884" w:name="Experiences_of_LGBTQ_Youth_in_the_Crimin"/>
      <w:bookmarkEnd w:id="884"/>
      <w:r>
        <w:rPr>
          <w:color w:val="365F91"/>
        </w:rPr>
        <w:t>Experiences</w:t>
      </w:r>
      <w:r>
        <w:rPr>
          <w:color w:val="365F91"/>
          <w:spacing w:val="-4"/>
        </w:rPr>
        <w:t xml:space="preserve"> </w:t>
      </w:r>
      <w:r>
        <w:rPr>
          <w:color w:val="365F91"/>
        </w:rPr>
        <w:t>of</w:t>
      </w:r>
      <w:r>
        <w:rPr>
          <w:color w:val="365F91"/>
          <w:spacing w:val="-2"/>
        </w:rPr>
        <w:t xml:space="preserve"> </w:t>
      </w:r>
      <w:r>
        <w:rPr>
          <w:color w:val="365F91"/>
        </w:rPr>
        <w:t>LGBTQ</w:t>
      </w:r>
      <w:r>
        <w:rPr>
          <w:color w:val="365F91"/>
          <w:spacing w:val="-2"/>
        </w:rPr>
        <w:t xml:space="preserve"> </w:t>
      </w:r>
      <w:r>
        <w:rPr>
          <w:color w:val="365F91"/>
        </w:rPr>
        <w:t>Youth</w:t>
      </w:r>
      <w:r>
        <w:rPr>
          <w:color w:val="365F91"/>
          <w:spacing w:val="-2"/>
        </w:rPr>
        <w:t xml:space="preserve"> </w:t>
      </w:r>
      <w:r>
        <w:rPr>
          <w:color w:val="365F91"/>
        </w:rPr>
        <w:t>in</w:t>
      </w:r>
      <w:r>
        <w:rPr>
          <w:color w:val="365F91"/>
          <w:spacing w:val="-2"/>
        </w:rPr>
        <w:t xml:space="preserve"> </w:t>
      </w:r>
      <w:r>
        <w:rPr>
          <w:color w:val="365F91"/>
        </w:rPr>
        <w:t>the</w:t>
      </w:r>
      <w:r>
        <w:rPr>
          <w:color w:val="365F91"/>
          <w:spacing w:val="-1"/>
        </w:rPr>
        <w:t xml:space="preserve"> </w:t>
      </w:r>
      <w:r>
        <w:rPr>
          <w:color w:val="365F91"/>
        </w:rPr>
        <w:t>Criminal Legal</w:t>
      </w:r>
      <w:r>
        <w:rPr>
          <w:color w:val="365F91"/>
          <w:spacing w:val="-3"/>
        </w:rPr>
        <w:t xml:space="preserve"> </w:t>
      </w:r>
      <w:r>
        <w:rPr>
          <w:color w:val="365F91"/>
          <w:spacing w:val="-2"/>
        </w:rPr>
        <w:t>Systems</w:t>
      </w:r>
    </w:p>
    <w:p w:rsidR="00200FDA" w:rsidRDefault="00200FDA">
      <w:pPr>
        <w:pStyle w:val="BodyText"/>
        <w:spacing w:before="7"/>
        <w:rPr>
          <w:sz w:val="19"/>
        </w:rPr>
      </w:pPr>
    </w:p>
    <w:p w:rsidR="00200FDA" w:rsidRDefault="00F76C4C">
      <w:pPr>
        <w:pStyle w:val="BodyText"/>
        <w:spacing w:line="276" w:lineRule="auto"/>
        <w:ind w:left="139" w:right="131"/>
        <w:jc w:val="both"/>
      </w:pPr>
      <w:r>
        <w:t>From arrest all the way through incarceration phases</w:t>
      </w:r>
      <w:r>
        <w:rPr>
          <w:spacing w:val="-1"/>
        </w:rPr>
        <w:t xml:space="preserve"> </w:t>
      </w:r>
      <w:r>
        <w:t>in the criminal legal systems, LGBTQ youth</w:t>
      </w:r>
      <w:r>
        <w:rPr>
          <w:spacing w:val="-2"/>
        </w:rPr>
        <w:t xml:space="preserve"> </w:t>
      </w:r>
      <w:r>
        <w:t>of color consistently report negative treatment and disproportionate experiences and length</w:t>
      </w:r>
      <w:r>
        <w:t>s of stay compared to white LGBTQ youth.</w:t>
      </w:r>
      <w:hyperlink w:anchor="_bookmark697" w:history="1">
        <w:r>
          <w:rPr>
            <w:vertAlign w:val="superscript"/>
          </w:rPr>
          <w:t>41</w:t>
        </w:r>
      </w:hyperlink>
      <w:r>
        <w:rPr>
          <w:spacing w:val="-2"/>
        </w:rPr>
        <w:t xml:space="preserve"> </w:t>
      </w:r>
      <w:r>
        <w:t>Although the Prison Rape Elimination Act (PREA) and the Juvenile Justice and Delinquency Prevention Act established basic standards on the treatment of LGBTQ youth in prison, the implementation of these acts has been inconsistent, and often leads to uninte</w:t>
      </w:r>
      <w:r>
        <w:t>nded consequences that negatively impact incarcerated youth.</w:t>
      </w:r>
      <w:hyperlink w:anchor="_bookmark698" w:history="1">
        <w:r>
          <w:rPr>
            <w:vertAlign w:val="superscript"/>
          </w:rPr>
          <w:t>42</w:t>
        </w:r>
      </w:hyperlink>
      <w:r>
        <w:rPr>
          <w:spacing w:val="-2"/>
        </w:rPr>
        <w:t xml:space="preserve"> </w:t>
      </w:r>
      <w:r>
        <w:t>National research continues to demonstrate that LGBTQ youth experience bias, discrimination, and abuse from staff and other inmates due to their sexual orientati</w:t>
      </w:r>
      <w:r>
        <w:t>on and</w:t>
      </w:r>
      <w:r>
        <w:rPr>
          <w:spacing w:val="-4"/>
        </w:rPr>
        <w:t xml:space="preserve"> </w:t>
      </w:r>
      <w:r>
        <w:t>gender</w:t>
      </w:r>
      <w:r>
        <w:rPr>
          <w:spacing w:val="-3"/>
        </w:rPr>
        <w:t xml:space="preserve"> </w:t>
      </w:r>
      <w:r>
        <w:t>identity.</w:t>
      </w:r>
      <w:r>
        <w:rPr>
          <w:spacing w:val="-4"/>
        </w:rPr>
        <w:t xml:space="preserve"> </w:t>
      </w:r>
      <w:r>
        <w:t>In</w:t>
      </w:r>
      <w:r>
        <w:rPr>
          <w:spacing w:val="-4"/>
        </w:rPr>
        <w:t xml:space="preserve"> </w:t>
      </w:r>
      <w:r>
        <w:t>a</w:t>
      </w:r>
      <w:r>
        <w:rPr>
          <w:spacing w:val="-3"/>
        </w:rPr>
        <w:t xml:space="preserve"> </w:t>
      </w:r>
      <w:r>
        <w:t>2019</w:t>
      </w:r>
      <w:r>
        <w:rPr>
          <w:spacing w:val="-2"/>
        </w:rPr>
        <w:t xml:space="preserve"> </w:t>
      </w:r>
      <w:r>
        <w:t>study,</w:t>
      </w:r>
      <w:r>
        <w:rPr>
          <w:spacing w:val="-3"/>
        </w:rPr>
        <w:t xml:space="preserve"> </w:t>
      </w:r>
      <w:r>
        <w:t>it</w:t>
      </w:r>
      <w:r>
        <w:rPr>
          <w:spacing w:val="-3"/>
        </w:rPr>
        <w:t xml:space="preserve"> </w:t>
      </w:r>
      <w:r>
        <w:t>was</w:t>
      </w:r>
      <w:r>
        <w:rPr>
          <w:spacing w:val="-3"/>
        </w:rPr>
        <w:t xml:space="preserve"> </w:t>
      </w:r>
      <w:r>
        <w:t>noted</w:t>
      </w:r>
      <w:r>
        <w:rPr>
          <w:spacing w:val="-4"/>
        </w:rPr>
        <w:t xml:space="preserve"> </w:t>
      </w:r>
      <w:r>
        <w:t>that</w:t>
      </w:r>
      <w:r>
        <w:rPr>
          <w:spacing w:val="-5"/>
        </w:rPr>
        <w:t xml:space="preserve"> </w:t>
      </w:r>
      <w:r>
        <w:t>the</w:t>
      </w:r>
      <w:r>
        <w:rPr>
          <w:spacing w:val="-3"/>
        </w:rPr>
        <w:t xml:space="preserve"> </w:t>
      </w:r>
      <w:r>
        <w:t>Bureau</w:t>
      </w:r>
      <w:r>
        <w:rPr>
          <w:spacing w:val="-4"/>
        </w:rPr>
        <w:t xml:space="preserve"> </w:t>
      </w:r>
      <w:r>
        <w:t>of</w:t>
      </w:r>
      <w:r>
        <w:rPr>
          <w:spacing w:val="-4"/>
        </w:rPr>
        <w:t xml:space="preserve"> </w:t>
      </w:r>
      <w:r>
        <w:t>Justice</w:t>
      </w:r>
      <w:r>
        <w:rPr>
          <w:spacing w:val="-3"/>
        </w:rPr>
        <w:t xml:space="preserve"> </w:t>
      </w:r>
      <w:r>
        <w:t>Statistics</w:t>
      </w:r>
      <w:r>
        <w:rPr>
          <w:spacing w:val="-3"/>
        </w:rPr>
        <w:t xml:space="preserve"> </w:t>
      </w:r>
      <w:r>
        <w:t>reported</w:t>
      </w:r>
      <w:r>
        <w:rPr>
          <w:spacing w:val="-4"/>
        </w:rPr>
        <w:t xml:space="preserve"> </w:t>
      </w:r>
      <w:r>
        <w:t>that</w:t>
      </w:r>
      <w:r>
        <w:rPr>
          <w:spacing w:val="-3"/>
        </w:rPr>
        <w:t xml:space="preserve"> </w:t>
      </w:r>
      <w:r>
        <w:t>adult gay</w:t>
      </w:r>
      <w:r>
        <w:rPr>
          <w:spacing w:val="-10"/>
        </w:rPr>
        <w:t xml:space="preserve"> </w:t>
      </w:r>
      <w:r>
        <w:t>and</w:t>
      </w:r>
      <w:r>
        <w:rPr>
          <w:spacing w:val="-11"/>
        </w:rPr>
        <w:t xml:space="preserve"> </w:t>
      </w:r>
      <w:r>
        <w:t>bisexual</w:t>
      </w:r>
      <w:r>
        <w:rPr>
          <w:spacing w:val="-13"/>
        </w:rPr>
        <w:t xml:space="preserve"> </w:t>
      </w:r>
      <w:r>
        <w:t>men</w:t>
      </w:r>
      <w:r>
        <w:rPr>
          <w:spacing w:val="-11"/>
        </w:rPr>
        <w:t xml:space="preserve"> </w:t>
      </w:r>
      <w:r>
        <w:t>and</w:t>
      </w:r>
      <w:r>
        <w:rPr>
          <w:spacing w:val="-10"/>
        </w:rPr>
        <w:t xml:space="preserve"> </w:t>
      </w:r>
      <w:r>
        <w:t>transgender</w:t>
      </w:r>
      <w:r>
        <w:rPr>
          <w:spacing w:val="-11"/>
        </w:rPr>
        <w:t xml:space="preserve"> </w:t>
      </w:r>
      <w:r>
        <w:t>women</w:t>
      </w:r>
      <w:r>
        <w:rPr>
          <w:spacing w:val="-12"/>
        </w:rPr>
        <w:t xml:space="preserve"> </w:t>
      </w:r>
      <w:r>
        <w:t>are</w:t>
      </w:r>
      <w:r>
        <w:rPr>
          <w:spacing w:val="-11"/>
        </w:rPr>
        <w:t xml:space="preserve"> </w:t>
      </w:r>
      <w:r>
        <w:t>ten</w:t>
      </w:r>
      <w:r>
        <w:rPr>
          <w:spacing w:val="-13"/>
        </w:rPr>
        <w:t xml:space="preserve"> </w:t>
      </w:r>
      <w:r>
        <w:t>times</w:t>
      </w:r>
      <w:r>
        <w:rPr>
          <w:spacing w:val="-10"/>
        </w:rPr>
        <w:t xml:space="preserve"> </w:t>
      </w:r>
      <w:r>
        <w:t>more</w:t>
      </w:r>
      <w:r>
        <w:rPr>
          <w:spacing w:val="-11"/>
        </w:rPr>
        <w:t xml:space="preserve"> </w:t>
      </w:r>
      <w:r>
        <w:t>likely</w:t>
      </w:r>
      <w:r>
        <w:rPr>
          <w:spacing w:val="-11"/>
        </w:rPr>
        <w:t xml:space="preserve"> </w:t>
      </w:r>
      <w:r>
        <w:t>to</w:t>
      </w:r>
      <w:r>
        <w:rPr>
          <w:spacing w:val="-8"/>
        </w:rPr>
        <w:t xml:space="preserve"> </w:t>
      </w:r>
      <w:r>
        <w:t>be</w:t>
      </w:r>
      <w:r>
        <w:rPr>
          <w:spacing w:val="-8"/>
        </w:rPr>
        <w:t xml:space="preserve"> </w:t>
      </w:r>
      <w:r>
        <w:t>sexually</w:t>
      </w:r>
      <w:r>
        <w:rPr>
          <w:spacing w:val="-11"/>
        </w:rPr>
        <w:t xml:space="preserve"> </w:t>
      </w:r>
      <w:r>
        <w:t>victimized</w:t>
      </w:r>
      <w:r>
        <w:rPr>
          <w:spacing w:val="-12"/>
        </w:rPr>
        <w:t xml:space="preserve"> </w:t>
      </w:r>
      <w:r>
        <w:t>in</w:t>
      </w:r>
      <w:r>
        <w:rPr>
          <w:spacing w:val="-10"/>
        </w:rPr>
        <w:t xml:space="preserve"> </w:t>
      </w:r>
      <w:r>
        <w:t>prison than</w:t>
      </w:r>
      <w:r>
        <w:rPr>
          <w:spacing w:val="-13"/>
        </w:rPr>
        <w:t xml:space="preserve"> </w:t>
      </w:r>
      <w:r>
        <w:t>those</w:t>
      </w:r>
      <w:r>
        <w:rPr>
          <w:spacing w:val="-12"/>
        </w:rPr>
        <w:t xml:space="preserve"> </w:t>
      </w:r>
      <w:r>
        <w:t>who</w:t>
      </w:r>
      <w:r>
        <w:rPr>
          <w:spacing w:val="-13"/>
        </w:rPr>
        <w:t xml:space="preserve"> </w:t>
      </w:r>
      <w:r>
        <w:t>are</w:t>
      </w:r>
      <w:r>
        <w:rPr>
          <w:spacing w:val="-12"/>
        </w:rPr>
        <w:t xml:space="preserve"> </w:t>
      </w:r>
      <w:r>
        <w:t>cisgender</w:t>
      </w:r>
      <w:r>
        <w:rPr>
          <w:spacing w:val="-13"/>
        </w:rPr>
        <w:t xml:space="preserve"> </w:t>
      </w:r>
      <w:r>
        <w:t>and</w:t>
      </w:r>
      <w:r>
        <w:rPr>
          <w:spacing w:val="-12"/>
        </w:rPr>
        <w:t xml:space="preserve"> </w:t>
      </w:r>
      <w:r>
        <w:t>heterosexual.</w:t>
      </w:r>
      <w:hyperlink w:anchor="_bookmark699" w:history="1">
        <w:r>
          <w:rPr>
            <w:vertAlign w:val="superscript"/>
          </w:rPr>
          <w:t>43</w:t>
        </w:r>
      </w:hyperlink>
      <w:r>
        <w:rPr>
          <w:spacing w:val="-12"/>
        </w:rPr>
        <w:t xml:space="preserve"> </w:t>
      </w:r>
      <w:r>
        <w:t>Furthermore,</w:t>
      </w:r>
      <w:r>
        <w:rPr>
          <w:spacing w:val="-12"/>
        </w:rPr>
        <w:t xml:space="preserve"> </w:t>
      </w:r>
      <w:r>
        <w:t>the</w:t>
      </w:r>
      <w:r>
        <w:rPr>
          <w:spacing w:val="-12"/>
        </w:rPr>
        <w:t xml:space="preserve"> </w:t>
      </w:r>
      <w:r>
        <w:t>rate</w:t>
      </w:r>
      <w:r>
        <w:rPr>
          <w:spacing w:val="-12"/>
        </w:rPr>
        <w:t xml:space="preserve"> </w:t>
      </w:r>
      <w:r>
        <w:t>of</w:t>
      </w:r>
      <w:r>
        <w:rPr>
          <w:spacing w:val="-13"/>
        </w:rPr>
        <w:t xml:space="preserve"> </w:t>
      </w:r>
      <w:r>
        <w:t>sexually</w:t>
      </w:r>
      <w:r>
        <w:rPr>
          <w:spacing w:val="-12"/>
        </w:rPr>
        <w:t xml:space="preserve"> </w:t>
      </w:r>
      <w:r>
        <w:t>transmitted</w:t>
      </w:r>
      <w:r>
        <w:rPr>
          <w:spacing w:val="-13"/>
        </w:rPr>
        <w:t xml:space="preserve"> </w:t>
      </w:r>
      <w:r>
        <w:t>infections and HIV transmission is significantly higher among those who have been recently released from criminal facilities, as compared to the general populatio</w:t>
      </w:r>
      <w:r>
        <w:t>n.</w:t>
      </w:r>
      <w:hyperlink w:anchor="_bookmark700" w:history="1">
        <w:r>
          <w:rPr>
            <w:vertAlign w:val="superscript"/>
          </w:rPr>
          <w:t>44</w:t>
        </w:r>
      </w:hyperlink>
    </w:p>
    <w:p w:rsidR="00200FDA" w:rsidRDefault="00200FDA">
      <w:pPr>
        <w:pStyle w:val="BodyText"/>
        <w:spacing w:before="8"/>
        <w:rPr>
          <w:sz w:val="19"/>
        </w:rPr>
      </w:pPr>
    </w:p>
    <w:p w:rsidR="00200FDA" w:rsidRDefault="00F76C4C">
      <w:pPr>
        <w:pStyle w:val="BodyText"/>
        <w:spacing w:line="276" w:lineRule="auto"/>
        <w:ind w:left="139" w:right="135"/>
        <w:jc w:val="both"/>
      </w:pPr>
      <w:r>
        <w:t>Furthermore,</w:t>
      </w:r>
      <w:r>
        <w:rPr>
          <w:spacing w:val="-2"/>
        </w:rPr>
        <w:t xml:space="preserve"> </w:t>
      </w:r>
      <w:r>
        <w:t>as noted</w:t>
      </w:r>
      <w:r>
        <w:rPr>
          <w:spacing w:val="-3"/>
        </w:rPr>
        <w:t xml:space="preserve"> </w:t>
      </w:r>
      <w:r>
        <w:t>in the below section</w:t>
      </w:r>
      <w:r>
        <w:rPr>
          <w:spacing w:val="-3"/>
        </w:rPr>
        <w:t xml:space="preserve"> </w:t>
      </w:r>
      <w:r>
        <w:t>on foreign-born LGBTQ</w:t>
      </w:r>
      <w:r>
        <w:rPr>
          <w:spacing w:val="-2"/>
        </w:rPr>
        <w:t xml:space="preserve"> </w:t>
      </w:r>
      <w:r>
        <w:t>youth, the</w:t>
      </w:r>
      <w:r>
        <w:rPr>
          <w:spacing w:val="-1"/>
        </w:rPr>
        <w:t xml:space="preserve"> </w:t>
      </w:r>
      <w:r>
        <w:t>conditions</w:t>
      </w:r>
      <w:r>
        <w:rPr>
          <w:spacing w:val="-2"/>
        </w:rPr>
        <w:t xml:space="preserve"> </w:t>
      </w:r>
      <w:r>
        <w:t>of</w:t>
      </w:r>
      <w:r>
        <w:rPr>
          <w:spacing w:val="-2"/>
        </w:rPr>
        <w:t xml:space="preserve"> </w:t>
      </w:r>
      <w:r>
        <w:t>immigration detention are often dangerous, especially for LGBTQ immigrants. There are currently nine immigration detention facil</w:t>
      </w:r>
      <w:r>
        <w:t>ities in Massachusetts, overseen by ICE, and nationally, physical and sexual abuse is a persistent</w:t>
      </w:r>
      <w:r>
        <w:rPr>
          <w:spacing w:val="39"/>
        </w:rPr>
        <w:t xml:space="preserve"> </w:t>
      </w:r>
      <w:r>
        <w:t>problem</w:t>
      </w:r>
      <w:r>
        <w:rPr>
          <w:spacing w:val="40"/>
        </w:rPr>
        <w:t xml:space="preserve"> </w:t>
      </w:r>
      <w:r>
        <w:t>in</w:t>
      </w:r>
      <w:r>
        <w:rPr>
          <w:spacing w:val="37"/>
        </w:rPr>
        <w:t xml:space="preserve"> </w:t>
      </w:r>
      <w:r>
        <w:t>adult</w:t>
      </w:r>
      <w:r>
        <w:rPr>
          <w:spacing w:val="40"/>
        </w:rPr>
        <w:t xml:space="preserve"> </w:t>
      </w:r>
      <w:r>
        <w:t>detention</w:t>
      </w:r>
      <w:r>
        <w:rPr>
          <w:spacing w:val="40"/>
        </w:rPr>
        <w:t xml:space="preserve"> </w:t>
      </w:r>
      <w:r>
        <w:t>centers,</w:t>
      </w:r>
      <w:r>
        <w:rPr>
          <w:spacing w:val="38"/>
        </w:rPr>
        <w:t xml:space="preserve"> </w:t>
      </w:r>
      <w:r>
        <w:t>with</w:t>
      </w:r>
      <w:r>
        <w:rPr>
          <w:spacing w:val="37"/>
        </w:rPr>
        <w:t xml:space="preserve"> </w:t>
      </w:r>
      <w:r>
        <w:t>rates</w:t>
      </w:r>
      <w:r>
        <w:rPr>
          <w:spacing w:val="38"/>
        </w:rPr>
        <w:t xml:space="preserve"> </w:t>
      </w:r>
      <w:r>
        <w:t>of</w:t>
      </w:r>
      <w:r>
        <w:rPr>
          <w:spacing w:val="38"/>
        </w:rPr>
        <w:t xml:space="preserve"> </w:t>
      </w:r>
      <w:r>
        <w:t>sexual</w:t>
      </w:r>
      <w:r>
        <w:rPr>
          <w:spacing w:val="40"/>
        </w:rPr>
        <w:t xml:space="preserve"> </w:t>
      </w:r>
      <w:r>
        <w:t>abuse</w:t>
      </w:r>
      <w:r>
        <w:rPr>
          <w:spacing w:val="39"/>
        </w:rPr>
        <w:t xml:space="preserve"> </w:t>
      </w:r>
      <w:r>
        <w:t>similar</w:t>
      </w:r>
      <w:r>
        <w:rPr>
          <w:spacing w:val="38"/>
        </w:rPr>
        <w:t xml:space="preserve"> </w:t>
      </w:r>
      <w:r>
        <w:t>to</w:t>
      </w:r>
      <w:r>
        <w:rPr>
          <w:spacing w:val="39"/>
        </w:rPr>
        <w:t xml:space="preserve"> </w:t>
      </w:r>
      <w:r>
        <w:t>the</w:t>
      </w:r>
      <w:r>
        <w:rPr>
          <w:spacing w:val="40"/>
        </w:rPr>
        <w:t xml:space="preserve"> </w:t>
      </w:r>
      <w:r>
        <w:t>high</w:t>
      </w:r>
      <w:r>
        <w:rPr>
          <w:spacing w:val="37"/>
        </w:rPr>
        <w:t xml:space="preserve"> </w:t>
      </w:r>
      <w:r>
        <w:t>levels</w:t>
      </w:r>
    </w:p>
    <w:p w:rsidR="00200FDA" w:rsidRDefault="00200FDA">
      <w:pPr>
        <w:spacing w:line="276" w:lineRule="auto"/>
        <w:jc w:val="both"/>
        <w:sectPr w:rsidR="00200FDA">
          <w:pgSz w:w="12240" w:h="15840"/>
          <w:pgMar w:top="1380" w:right="1300" w:bottom="1240" w:left="1300" w:header="552" w:footer="1043" w:gutter="0"/>
          <w:cols w:space="720"/>
        </w:sectPr>
      </w:pPr>
    </w:p>
    <w:p w:rsidR="00200FDA" w:rsidRDefault="00F76C4C">
      <w:pPr>
        <w:pStyle w:val="BodyText"/>
        <w:spacing w:before="46" w:line="276" w:lineRule="auto"/>
        <w:ind w:left="139" w:right="133"/>
        <w:jc w:val="both"/>
      </w:pPr>
      <w:r>
        <w:lastRenderedPageBreak/>
        <w:t>reported</w:t>
      </w:r>
      <w:r>
        <w:rPr>
          <w:spacing w:val="-12"/>
        </w:rPr>
        <w:t xml:space="preserve"> </w:t>
      </w:r>
      <w:r>
        <w:t>in</w:t>
      </w:r>
      <w:r>
        <w:rPr>
          <w:spacing w:val="-11"/>
        </w:rPr>
        <w:t xml:space="preserve"> </w:t>
      </w:r>
      <w:r>
        <w:t>prisons</w:t>
      </w:r>
      <w:r>
        <w:rPr>
          <w:spacing w:val="-13"/>
        </w:rPr>
        <w:t xml:space="preserve"> </w:t>
      </w:r>
      <w:r>
        <w:t>overall.</w:t>
      </w:r>
      <w:r>
        <w:rPr>
          <w:spacing w:val="-11"/>
        </w:rPr>
        <w:t xml:space="preserve"> </w:t>
      </w:r>
      <w:r>
        <w:t>Transgender</w:t>
      </w:r>
      <w:r>
        <w:rPr>
          <w:spacing w:val="-10"/>
        </w:rPr>
        <w:t xml:space="preserve"> </w:t>
      </w:r>
      <w:r>
        <w:t>immigrants</w:t>
      </w:r>
      <w:r>
        <w:rPr>
          <w:spacing w:val="-13"/>
        </w:rPr>
        <w:t xml:space="preserve"> </w:t>
      </w:r>
      <w:r>
        <w:t>are</w:t>
      </w:r>
      <w:r>
        <w:rPr>
          <w:spacing w:val="-10"/>
        </w:rPr>
        <w:t xml:space="preserve"> </w:t>
      </w:r>
      <w:r>
        <w:t>at</w:t>
      </w:r>
      <w:r>
        <w:rPr>
          <w:spacing w:val="-10"/>
        </w:rPr>
        <w:t xml:space="preserve"> </w:t>
      </w:r>
      <w:r>
        <w:t>an</w:t>
      </w:r>
      <w:r>
        <w:rPr>
          <w:spacing w:val="-11"/>
        </w:rPr>
        <w:t xml:space="preserve"> </w:t>
      </w:r>
      <w:r>
        <w:t>even</w:t>
      </w:r>
      <w:r>
        <w:rPr>
          <w:spacing w:val="-11"/>
        </w:rPr>
        <w:t xml:space="preserve"> </w:t>
      </w:r>
      <w:r>
        <w:t>higher</w:t>
      </w:r>
      <w:r>
        <w:rPr>
          <w:spacing w:val="-10"/>
        </w:rPr>
        <w:t xml:space="preserve"> </w:t>
      </w:r>
      <w:r>
        <w:t>risk,</w:t>
      </w:r>
      <w:r>
        <w:rPr>
          <w:spacing w:val="-13"/>
        </w:rPr>
        <w:t xml:space="preserve"> </w:t>
      </w:r>
      <w:r>
        <w:t>and</w:t>
      </w:r>
      <w:r>
        <w:rPr>
          <w:spacing w:val="-11"/>
        </w:rPr>
        <w:t xml:space="preserve"> </w:t>
      </w:r>
      <w:r>
        <w:t>the</w:t>
      </w:r>
      <w:r>
        <w:rPr>
          <w:spacing w:val="-10"/>
        </w:rPr>
        <w:t xml:space="preserve"> </w:t>
      </w:r>
      <w:r>
        <w:t>practice</w:t>
      </w:r>
      <w:r>
        <w:rPr>
          <w:spacing w:val="-12"/>
        </w:rPr>
        <w:t xml:space="preserve"> </w:t>
      </w:r>
      <w:r>
        <w:t>of</w:t>
      </w:r>
      <w:r>
        <w:rPr>
          <w:spacing w:val="-11"/>
        </w:rPr>
        <w:t xml:space="preserve"> </w:t>
      </w:r>
      <w:r>
        <w:t>housing transgender immigrants based on their anatomy or sex assigned at birth is not only psychologically harmful but drastically increases their vulnerability to abuse.</w:t>
      </w:r>
      <w:r>
        <w:rPr>
          <w:spacing w:val="-13"/>
        </w:rPr>
        <w:t xml:space="preserve"> </w:t>
      </w:r>
      <w:hyperlink w:anchor="_bookmark701" w:history="1">
        <w:r>
          <w:rPr>
            <w:vertAlign w:val="superscript"/>
          </w:rPr>
          <w:t>45</w:t>
        </w:r>
      </w:hyperlink>
      <w:r>
        <w:t xml:space="preserve"> Fo</w:t>
      </w:r>
      <w:r>
        <w:t>r example, a statewide survey in California found that when transgender women were held in men’s prisons, they were 13 times more likely</w:t>
      </w:r>
      <w:r>
        <w:rPr>
          <w:spacing w:val="-10"/>
        </w:rPr>
        <w:t xml:space="preserve"> </w:t>
      </w:r>
      <w:r>
        <w:t>to</w:t>
      </w:r>
      <w:r>
        <w:rPr>
          <w:spacing w:val="-9"/>
        </w:rPr>
        <w:t xml:space="preserve"> </w:t>
      </w:r>
      <w:r>
        <w:t>report</w:t>
      </w:r>
      <w:r>
        <w:rPr>
          <w:spacing w:val="-10"/>
        </w:rPr>
        <w:t xml:space="preserve"> </w:t>
      </w:r>
      <w:r>
        <w:t>sexual</w:t>
      </w:r>
      <w:r>
        <w:rPr>
          <w:spacing w:val="-11"/>
        </w:rPr>
        <w:t xml:space="preserve"> </w:t>
      </w:r>
      <w:r>
        <w:t>abuse</w:t>
      </w:r>
      <w:r>
        <w:rPr>
          <w:spacing w:val="-10"/>
        </w:rPr>
        <w:t xml:space="preserve"> </w:t>
      </w:r>
      <w:r>
        <w:t>than</w:t>
      </w:r>
      <w:r>
        <w:rPr>
          <w:spacing w:val="-11"/>
        </w:rPr>
        <w:t xml:space="preserve"> </w:t>
      </w:r>
      <w:r>
        <w:t>other</w:t>
      </w:r>
      <w:r>
        <w:rPr>
          <w:spacing w:val="-11"/>
        </w:rPr>
        <w:t xml:space="preserve"> </w:t>
      </w:r>
      <w:r>
        <w:t>inmates.</w:t>
      </w:r>
      <w:hyperlink w:anchor="_bookmark702" w:history="1">
        <w:r>
          <w:rPr>
            <w:vertAlign w:val="superscript"/>
          </w:rPr>
          <w:t>46</w:t>
        </w:r>
      </w:hyperlink>
      <w:r>
        <w:rPr>
          <w:spacing w:val="-2"/>
        </w:rPr>
        <w:t xml:space="preserve"> </w:t>
      </w:r>
      <w:r>
        <w:t>Instead</w:t>
      </w:r>
      <w:r>
        <w:rPr>
          <w:spacing w:val="-11"/>
        </w:rPr>
        <w:t xml:space="preserve"> </w:t>
      </w:r>
      <w:r>
        <w:t>of</w:t>
      </w:r>
      <w:r>
        <w:rPr>
          <w:spacing w:val="-11"/>
        </w:rPr>
        <w:t xml:space="preserve"> </w:t>
      </w:r>
      <w:r>
        <w:t>placing</w:t>
      </w:r>
      <w:r>
        <w:rPr>
          <w:spacing w:val="-11"/>
        </w:rPr>
        <w:t xml:space="preserve"> </w:t>
      </w:r>
      <w:r>
        <w:t>trans</w:t>
      </w:r>
      <w:r>
        <w:rPr>
          <w:spacing w:val="-10"/>
        </w:rPr>
        <w:t xml:space="preserve"> </w:t>
      </w:r>
      <w:r>
        <w:t>detainees</w:t>
      </w:r>
      <w:r>
        <w:rPr>
          <w:spacing w:val="-10"/>
        </w:rPr>
        <w:t xml:space="preserve"> </w:t>
      </w:r>
      <w:r>
        <w:t>in</w:t>
      </w:r>
      <w:r>
        <w:rPr>
          <w:spacing w:val="-11"/>
        </w:rPr>
        <w:t xml:space="preserve"> </w:t>
      </w:r>
      <w:r>
        <w:t>hous</w:t>
      </w:r>
      <w:r>
        <w:t>ing</w:t>
      </w:r>
      <w:r>
        <w:rPr>
          <w:spacing w:val="-11"/>
        </w:rPr>
        <w:t xml:space="preserve"> </w:t>
      </w:r>
      <w:r>
        <w:t>consistent with</w:t>
      </w:r>
      <w:r>
        <w:rPr>
          <w:spacing w:val="-7"/>
        </w:rPr>
        <w:t xml:space="preserve"> </w:t>
      </w:r>
      <w:r>
        <w:t>their</w:t>
      </w:r>
      <w:r>
        <w:rPr>
          <w:spacing w:val="-9"/>
        </w:rPr>
        <w:t xml:space="preserve"> </w:t>
      </w:r>
      <w:r>
        <w:t>gender</w:t>
      </w:r>
      <w:r>
        <w:rPr>
          <w:spacing w:val="-9"/>
        </w:rPr>
        <w:t xml:space="preserve"> </w:t>
      </w:r>
      <w:r>
        <w:t>identity,</w:t>
      </w:r>
      <w:r>
        <w:rPr>
          <w:spacing w:val="-6"/>
        </w:rPr>
        <w:t xml:space="preserve"> </w:t>
      </w:r>
      <w:r>
        <w:t>facility</w:t>
      </w:r>
      <w:r>
        <w:rPr>
          <w:spacing w:val="-8"/>
        </w:rPr>
        <w:t xml:space="preserve"> </w:t>
      </w:r>
      <w:r>
        <w:t>officials</w:t>
      </w:r>
      <w:r>
        <w:rPr>
          <w:spacing w:val="-9"/>
        </w:rPr>
        <w:t xml:space="preserve"> </w:t>
      </w:r>
      <w:r>
        <w:t>often</w:t>
      </w:r>
      <w:r>
        <w:rPr>
          <w:spacing w:val="-7"/>
        </w:rPr>
        <w:t xml:space="preserve"> </w:t>
      </w:r>
      <w:r>
        <w:t>place</w:t>
      </w:r>
      <w:r>
        <w:rPr>
          <w:spacing w:val="-8"/>
        </w:rPr>
        <w:t xml:space="preserve"> </w:t>
      </w:r>
      <w:r>
        <w:t>them</w:t>
      </w:r>
      <w:r>
        <w:rPr>
          <w:spacing w:val="-5"/>
        </w:rPr>
        <w:t xml:space="preserve"> </w:t>
      </w:r>
      <w:r>
        <w:t>in</w:t>
      </w:r>
      <w:r>
        <w:rPr>
          <w:spacing w:val="-10"/>
        </w:rPr>
        <w:t xml:space="preserve"> </w:t>
      </w:r>
      <w:r>
        <w:t>protective</w:t>
      </w:r>
      <w:r>
        <w:rPr>
          <w:spacing w:val="-8"/>
        </w:rPr>
        <w:t xml:space="preserve"> </w:t>
      </w:r>
      <w:r>
        <w:t>custody</w:t>
      </w:r>
      <w:r>
        <w:rPr>
          <w:spacing w:val="-11"/>
        </w:rPr>
        <w:t xml:space="preserve"> </w:t>
      </w:r>
      <w:r>
        <w:t>or</w:t>
      </w:r>
      <w:r>
        <w:rPr>
          <w:spacing w:val="-7"/>
        </w:rPr>
        <w:t xml:space="preserve"> </w:t>
      </w:r>
      <w:r>
        <w:t>solitary</w:t>
      </w:r>
      <w:r>
        <w:rPr>
          <w:spacing w:val="-6"/>
        </w:rPr>
        <w:t xml:space="preserve"> </w:t>
      </w:r>
      <w:r>
        <w:t>confinement, with the misguided intention that separating trans detainees from the general population will protect them</w:t>
      </w:r>
      <w:r>
        <w:rPr>
          <w:spacing w:val="-10"/>
        </w:rPr>
        <w:t xml:space="preserve"> </w:t>
      </w:r>
      <w:r>
        <w:t>from</w:t>
      </w:r>
      <w:r>
        <w:rPr>
          <w:spacing w:val="-10"/>
        </w:rPr>
        <w:t xml:space="preserve"> </w:t>
      </w:r>
      <w:r>
        <w:t>sexual</w:t>
      </w:r>
      <w:r>
        <w:rPr>
          <w:spacing w:val="-12"/>
        </w:rPr>
        <w:t xml:space="preserve"> </w:t>
      </w:r>
      <w:r>
        <w:t>abuse.</w:t>
      </w:r>
      <w:r>
        <w:rPr>
          <w:spacing w:val="-12"/>
        </w:rPr>
        <w:t xml:space="preserve"> </w:t>
      </w:r>
      <w:r>
        <w:t>LGBTQ</w:t>
      </w:r>
      <w:r>
        <w:rPr>
          <w:spacing w:val="-11"/>
        </w:rPr>
        <w:t xml:space="preserve"> </w:t>
      </w:r>
      <w:r>
        <w:t>detainees</w:t>
      </w:r>
      <w:r>
        <w:rPr>
          <w:spacing w:val="-11"/>
        </w:rPr>
        <w:t xml:space="preserve"> </w:t>
      </w:r>
      <w:r>
        <w:t>in</w:t>
      </w:r>
      <w:r>
        <w:rPr>
          <w:spacing w:val="-10"/>
        </w:rPr>
        <w:t xml:space="preserve"> </w:t>
      </w:r>
      <w:r>
        <w:t>protective</w:t>
      </w:r>
      <w:r>
        <w:rPr>
          <w:spacing w:val="-11"/>
        </w:rPr>
        <w:t xml:space="preserve"> </w:t>
      </w:r>
      <w:r>
        <w:t>custody</w:t>
      </w:r>
      <w:r>
        <w:rPr>
          <w:spacing w:val="-11"/>
        </w:rPr>
        <w:t xml:space="preserve"> </w:t>
      </w:r>
      <w:r>
        <w:t>have</w:t>
      </w:r>
      <w:r>
        <w:rPr>
          <w:spacing w:val="-8"/>
        </w:rPr>
        <w:t xml:space="preserve"> </w:t>
      </w:r>
      <w:r>
        <w:t>reported</w:t>
      </w:r>
      <w:r>
        <w:rPr>
          <w:spacing w:val="-10"/>
        </w:rPr>
        <w:t xml:space="preserve"> </w:t>
      </w:r>
      <w:r>
        <w:t>incidents</w:t>
      </w:r>
      <w:r>
        <w:rPr>
          <w:spacing w:val="-11"/>
        </w:rPr>
        <w:t xml:space="preserve"> </w:t>
      </w:r>
      <w:r>
        <w:t>where</w:t>
      </w:r>
      <w:r>
        <w:rPr>
          <w:spacing w:val="-11"/>
        </w:rPr>
        <w:t xml:space="preserve"> </w:t>
      </w:r>
      <w:r>
        <w:t>they</w:t>
      </w:r>
      <w:r>
        <w:rPr>
          <w:spacing w:val="-10"/>
        </w:rPr>
        <w:t xml:space="preserve"> </w:t>
      </w:r>
      <w:r>
        <w:t>were kept in total isolation for up to 23 hours a day, often without access to library resources, telephones, outdoor recreation, religious services, or legal services that are otherw</w:t>
      </w:r>
      <w:r>
        <w:t>ise available to other detainees.</w:t>
      </w:r>
      <w:hyperlink w:anchor="_bookmark703" w:history="1">
        <w:r>
          <w:rPr>
            <w:vertAlign w:val="superscript"/>
          </w:rPr>
          <w:t>47</w:t>
        </w:r>
      </w:hyperlink>
      <w:r>
        <w:t xml:space="preserve"> Psychologists have long documented the harmful psychological effects caused by solitary confinement: severe anxiety, depression, paranoia, hallucinations, and impulsive, self-directed viol</w:t>
      </w:r>
      <w:r>
        <w:t xml:space="preserve">ence. </w:t>
      </w:r>
      <w:hyperlink w:anchor="_bookmark704" w:history="1">
        <w:r>
          <w:rPr>
            <w:vertAlign w:val="superscript"/>
          </w:rPr>
          <w:t>48</w:t>
        </w:r>
      </w:hyperlink>
      <w:r>
        <w:t xml:space="preserve"> The Commission urges Massachusetts to conduct further research to better understand the experiences of LGBTQ youth who may be detained in detention facilities in Massachusetts.</w:t>
      </w:r>
    </w:p>
    <w:p w:rsidR="00200FDA" w:rsidRDefault="00200FDA">
      <w:pPr>
        <w:pStyle w:val="BodyText"/>
        <w:rPr>
          <w:sz w:val="20"/>
        </w:rPr>
      </w:pPr>
    </w:p>
    <w:p w:rsidR="00200FDA" w:rsidRDefault="00200FDA">
      <w:pPr>
        <w:pStyle w:val="BodyText"/>
        <w:rPr>
          <w:sz w:val="20"/>
        </w:rPr>
      </w:pPr>
    </w:p>
    <w:p w:rsidR="00200FDA" w:rsidRDefault="00F76C4C">
      <w:pPr>
        <w:pStyle w:val="BodyText"/>
        <w:spacing w:before="5"/>
        <w:rPr>
          <w:sz w:val="12"/>
        </w:rPr>
      </w:pPr>
      <w:r>
        <w:rPr>
          <w:noProof/>
        </w:rPr>
        <w:drawing>
          <wp:anchor distT="0" distB="0" distL="0" distR="0" simplePos="0" relativeHeight="154" behindDoc="0" locked="0" layoutInCell="1" allowOverlap="1">
            <wp:simplePos x="0" y="0"/>
            <wp:positionH relativeFrom="page">
              <wp:posOffset>1003871</wp:posOffset>
            </wp:positionH>
            <wp:positionV relativeFrom="paragraph">
              <wp:posOffset>112020</wp:posOffset>
            </wp:positionV>
            <wp:extent cx="5648944" cy="1078991"/>
            <wp:effectExtent l="0" t="0" r="0" b="0"/>
            <wp:wrapTopAndBottom/>
            <wp:docPr id="125"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22.jpeg"/>
                    <pic:cNvPicPr/>
                  </pic:nvPicPr>
                  <pic:blipFill>
                    <a:blip r:embed="rId632" cstate="print"/>
                    <a:stretch>
                      <a:fillRect/>
                    </a:stretch>
                  </pic:blipFill>
                  <pic:spPr>
                    <a:xfrm>
                      <a:off x="0" y="0"/>
                      <a:ext cx="5648944" cy="1078991"/>
                    </a:xfrm>
                    <a:prstGeom prst="rect">
                      <a:avLst/>
                    </a:prstGeom>
                  </pic:spPr>
                </pic:pic>
              </a:graphicData>
            </a:graphic>
          </wp:anchor>
        </w:drawing>
      </w:r>
    </w:p>
    <w:p w:rsidR="00200FDA" w:rsidRDefault="00200FDA">
      <w:pPr>
        <w:pStyle w:val="BodyText"/>
      </w:pPr>
    </w:p>
    <w:p w:rsidR="00200FDA" w:rsidRDefault="00200FDA">
      <w:pPr>
        <w:pStyle w:val="BodyText"/>
        <w:spacing w:before="5"/>
        <w:rPr>
          <w:sz w:val="28"/>
        </w:rPr>
      </w:pPr>
    </w:p>
    <w:p w:rsidR="00200FDA" w:rsidRDefault="00F76C4C">
      <w:pPr>
        <w:pStyle w:val="BodyText"/>
        <w:spacing w:line="276" w:lineRule="auto"/>
        <w:ind w:left="139" w:right="135"/>
        <w:jc w:val="both"/>
      </w:pPr>
      <w:r>
        <w:t>Those who escape physical or sex</w:t>
      </w:r>
      <w:r>
        <w:t>ual assault typically face daily harassment and threats. For example, transgender detainees are often subject to humiliating searches by staff of their birth-assigned gender, sometimes without any justifiable reason. Additionally, while current detention s</w:t>
      </w:r>
      <w:r>
        <w:t>tandards prescribe access</w:t>
      </w:r>
      <w:r>
        <w:rPr>
          <w:spacing w:val="-2"/>
        </w:rPr>
        <w:t xml:space="preserve"> </w:t>
      </w:r>
      <w:r>
        <w:t>to</w:t>
      </w:r>
      <w:r>
        <w:rPr>
          <w:spacing w:val="-1"/>
        </w:rPr>
        <w:t xml:space="preserve"> </w:t>
      </w:r>
      <w:r>
        <w:t>adequate</w:t>
      </w:r>
      <w:r>
        <w:rPr>
          <w:spacing w:val="-1"/>
        </w:rPr>
        <w:t xml:space="preserve"> </w:t>
      </w:r>
      <w:r>
        <w:t>health</w:t>
      </w:r>
      <w:r>
        <w:rPr>
          <w:spacing w:val="-5"/>
        </w:rPr>
        <w:t xml:space="preserve"> </w:t>
      </w:r>
      <w:r>
        <w:t>care</w:t>
      </w:r>
      <w:r>
        <w:rPr>
          <w:spacing w:val="-1"/>
        </w:rPr>
        <w:t xml:space="preserve"> </w:t>
      </w:r>
      <w:r>
        <w:t>for</w:t>
      </w:r>
      <w:r>
        <w:rPr>
          <w:spacing w:val="-2"/>
        </w:rPr>
        <w:t xml:space="preserve"> </w:t>
      </w:r>
      <w:r>
        <w:t>all</w:t>
      </w:r>
      <w:r>
        <w:rPr>
          <w:spacing w:val="-2"/>
        </w:rPr>
        <w:t xml:space="preserve"> </w:t>
      </w:r>
      <w:r>
        <w:t>detainees,</w:t>
      </w:r>
      <w:r>
        <w:rPr>
          <w:spacing w:val="-2"/>
        </w:rPr>
        <w:t xml:space="preserve"> </w:t>
      </w:r>
      <w:r>
        <w:t>including</w:t>
      </w:r>
      <w:r>
        <w:rPr>
          <w:spacing w:val="-3"/>
        </w:rPr>
        <w:t xml:space="preserve"> </w:t>
      </w:r>
      <w:r>
        <w:t>care</w:t>
      </w:r>
      <w:r>
        <w:rPr>
          <w:spacing w:val="-1"/>
        </w:rPr>
        <w:t xml:space="preserve"> </w:t>
      </w:r>
      <w:r>
        <w:t>for</w:t>
      </w:r>
      <w:r>
        <w:rPr>
          <w:spacing w:val="-2"/>
        </w:rPr>
        <w:t xml:space="preserve"> </w:t>
      </w:r>
      <w:r>
        <w:t>HIV</w:t>
      </w:r>
      <w:r>
        <w:rPr>
          <w:spacing w:val="-2"/>
        </w:rPr>
        <w:t xml:space="preserve"> </w:t>
      </w:r>
      <w:r>
        <w:t>and</w:t>
      </w:r>
      <w:r>
        <w:rPr>
          <w:spacing w:val="-3"/>
        </w:rPr>
        <w:t xml:space="preserve"> </w:t>
      </w:r>
      <w:r>
        <w:t>gender</w:t>
      </w:r>
      <w:r>
        <w:rPr>
          <w:spacing w:val="-2"/>
        </w:rPr>
        <w:t xml:space="preserve"> </w:t>
      </w:r>
      <w:r>
        <w:t>dysphoria,</w:t>
      </w:r>
      <w:r>
        <w:rPr>
          <w:spacing w:val="-2"/>
        </w:rPr>
        <w:t xml:space="preserve"> </w:t>
      </w:r>
      <w:r>
        <w:t>these</w:t>
      </w:r>
      <w:r>
        <w:rPr>
          <w:spacing w:val="-1"/>
        </w:rPr>
        <w:t xml:space="preserve"> </w:t>
      </w:r>
      <w:r>
        <w:t>non- binding standards do not ensure transgender detainees can access the health care they need.</w:t>
      </w:r>
      <w:r>
        <w:rPr>
          <w:spacing w:val="-3"/>
        </w:rPr>
        <w:t xml:space="preserve"> </w:t>
      </w:r>
      <w:hyperlink w:anchor="_bookmark705" w:history="1">
        <w:r>
          <w:rPr>
            <w:vertAlign w:val="superscript"/>
          </w:rPr>
          <w:t>49</w:t>
        </w:r>
      </w:hyperlink>
    </w:p>
    <w:p w:rsidR="00200FDA" w:rsidRDefault="00200FDA">
      <w:pPr>
        <w:pStyle w:val="BodyText"/>
        <w:spacing w:before="9"/>
        <w:rPr>
          <w:sz w:val="19"/>
        </w:rPr>
      </w:pPr>
    </w:p>
    <w:p w:rsidR="00200FDA" w:rsidRDefault="00F76C4C">
      <w:pPr>
        <w:pStyle w:val="BodyText"/>
        <w:spacing w:before="1" w:line="276" w:lineRule="auto"/>
        <w:ind w:left="139" w:right="132"/>
        <w:jc w:val="both"/>
      </w:pPr>
      <w:r>
        <w:t>For many years, the Commission has worked with DYS to improve the treatment of LGBTQ youth in juvenile justice facilities across the Commonwealth, particularly around employee training, data collection, and inclusive policies, but its work with DOC has bee</w:t>
      </w:r>
      <w:r>
        <w:t>n limited. Massachusetts law protects youth under 18 from being confined in adult facilities,</w:t>
      </w:r>
      <w:r>
        <w:rPr>
          <w:spacing w:val="-13"/>
        </w:rPr>
        <w:t xml:space="preserve"> </w:t>
      </w:r>
      <w:hyperlink w:anchor="_bookmark706" w:history="1">
        <w:r>
          <w:rPr>
            <w:vertAlign w:val="superscript"/>
          </w:rPr>
          <w:t>50</w:t>
        </w:r>
      </w:hyperlink>
      <w:r>
        <w:t xml:space="preserve"> and the Commission has recommended for several years that Massachusetts pass ‘Raise the Age’ which would raise the age of the j</w:t>
      </w:r>
      <w:r>
        <w:t>uvenile justice system from 18 to 20 and expand protections to improve life outcomes for LGBTQ youth who might otherwise have been placed in the adult legal system.</w:t>
      </w:r>
    </w:p>
    <w:p w:rsidR="00200FDA" w:rsidRDefault="00200FDA">
      <w:pPr>
        <w:pStyle w:val="BodyText"/>
        <w:spacing w:before="8"/>
        <w:rPr>
          <w:sz w:val="19"/>
        </w:rPr>
      </w:pPr>
    </w:p>
    <w:p w:rsidR="00200FDA" w:rsidRDefault="00F76C4C">
      <w:pPr>
        <w:pStyle w:val="BodyText"/>
        <w:spacing w:line="276" w:lineRule="auto"/>
        <w:ind w:left="139" w:right="137"/>
        <w:jc w:val="both"/>
      </w:pPr>
      <w:r>
        <w:t xml:space="preserve">Overall, data on LGBTQ youth experiences in the criminal legal system in Massachusetts is </w:t>
      </w:r>
      <w:r>
        <w:t>severely limited. The Commission advises that all agencies involved in the criminal legal system in Massachusetts thoroughly</w:t>
      </w:r>
      <w:r>
        <w:rPr>
          <w:spacing w:val="-11"/>
        </w:rPr>
        <w:t xml:space="preserve"> </w:t>
      </w:r>
      <w:r>
        <w:t>examine</w:t>
      </w:r>
      <w:r>
        <w:rPr>
          <w:spacing w:val="-9"/>
        </w:rPr>
        <w:t xml:space="preserve"> </w:t>
      </w:r>
      <w:r>
        <w:t>their</w:t>
      </w:r>
      <w:r>
        <w:rPr>
          <w:spacing w:val="-10"/>
        </w:rPr>
        <w:t xml:space="preserve"> </w:t>
      </w:r>
      <w:r>
        <w:t>SOGIE</w:t>
      </w:r>
      <w:r>
        <w:rPr>
          <w:spacing w:val="-10"/>
        </w:rPr>
        <w:t xml:space="preserve"> </w:t>
      </w:r>
      <w:r>
        <w:t>data</w:t>
      </w:r>
      <w:r>
        <w:rPr>
          <w:spacing w:val="-12"/>
        </w:rPr>
        <w:t xml:space="preserve"> </w:t>
      </w:r>
      <w:r>
        <w:t>collection</w:t>
      </w:r>
      <w:r>
        <w:rPr>
          <w:spacing w:val="-12"/>
        </w:rPr>
        <w:t xml:space="preserve"> </w:t>
      </w:r>
      <w:r>
        <w:t>standards</w:t>
      </w:r>
      <w:r>
        <w:rPr>
          <w:spacing w:val="-10"/>
        </w:rPr>
        <w:t xml:space="preserve"> </w:t>
      </w:r>
      <w:r>
        <w:t>in</w:t>
      </w:r>
      <w:r>
        <w:rPr>
          <w:spacing w:val="-11"/>
        </w:rPr>
        <w:t xml:space="preserve"> </w:t>
      </w:r>
      <w:r>
        <w:t>a</w:t>
      </w:r>
      <w:r>
        <w:rPr>
          <w:spacing w:val="-12"/>
        </w:rPr>
        <w:t xml:space="preserve"> </w:t>
      </w:r>
      <w:r>
        <w:t>way</w:t>
      </w:r>
      <w:r>
        <w:rPr>
          <w:spacing w:val="-11"/>
        </w:rPr>
        <w:t xml:space="preserve"> </w:t>
      </w:r>
      <w:r>
        <w:t>that</w:t>
      </w:r>
      <w:r>
        <w:rPr>
          <w:spacing w:val="-11"/>
        </w:rPr>
        <w:t xml:space="preserve"> </w:t>
      </w:r>
      <w:r>
        <w:t>protects</w:t>
      </w:r>
      <w:r>
        <w:rPr>
          <w:spacing w:val="-10"/>
        </w:rPr>
        <w:t xml:space="preserve"> </w:t>
      </w:r>
      <w:r>
        <w:t>confidentiality;</w:t>
      </w:r>
      <w:r>
        <w:rPr>
          <w:spacing w:val="-11"/>
        </w:rPr>
        <w:t xml:space="preserve"> </w:t>
      </w:r>
      <w:r>
        <w:t>youth</w:t>
      </w:r>
      <w:r>
        <w:rPr>
          <w:spacing w:val="-11"/>
        </w:rPr>
        <w:t xml:space="preserve"> </w:t>
      </w:r>
      <w:r>
        <w:t>are often</w:t>
      </w:r>
      <w:r>
        <w:rPr>
          <w:spacing w:val="60"/>
        </w:rPr>
        <w:t xml:space="preserve"> </w:t>
      </w:r>
      <w:r>
        <w:t>asked</w:t>
      </w:r>
      <w:r>
        <w:rPr>
          <w:spacing w:val="60"/>
        </w:rPr>
        <w:t xml:space="preserve"> </w:t>
      </w:r>
      <w:r>
        <w:t>about</w:t>
      </w:r>
      <w:r>
        <w:rPr>
          <w:spacing w:val="61"/>
        </w:rPr>
        <w:t xml:space="preserve"> </w:t>
      </w:r>
      <w:r>
        <w:t>their</w:t>
      </w:r>
      <w:r>
        <w:rPr>
          <w:spacing w:val="60"/>
        </w:rPr>
        <w:t xml:space="preserve"> </w:t>
      </w:r>
      <w:r>
        <w:t>identities</w:t>
      </w:r>
      <w:r>
        <w:rPr>
          <w:spacing w:val="61"/>
        </w:rPr>
        <w:t xml:space="preserve"> </w:t>
      </w:r>
      <w:r>
        <w:t>during</w:t>
      </w:r>
      <w:r>
        <w:rPr>
          <w:spacing w:val="60"/>
        </w:rPr>
        <w:t xml:space="preserve"> </w:t>
      </w:r>
      <w:r>
        <w:t>intake,</w:t>
      </w:r>
      <w:r>
        <w:rPr>
          <w:spacing w:val="61"/>
        </w:rPr>
        <w:t xml:space="preserve"> </w:t>
      </w:r>
      <w:r>
        <w:t>and</w:t>
      </w:r>
      <w:r>
        <w:rPr>
          <w:spacing w:val="60"/>
        </w:rPr>
        <w:t xml:space="preserve"> </w:t>
      </w:r>
      <w:r>
        <w:t>likely</w:t>
      </w:r>
      <w:r>
        <w:rPr>
          <w:spacing w:val="59"/>
        </w:rPr>
        <w:t xml:space="preserve"> </w:t>
      </w:r>
      <w:r>
        <w:t>will</w:t>
      </w:r>
      <w:r>
        <w:rPr>
          <w:spacing w:val="60"/>
        </w:rPr>
        <w:t xml:space="preserve"> </w:t>
      </w:r>
      <w:r>
        <w:t>not</w:t>
      </w:r>
      <w:r>
        <w:rPr>
          <w:spacing w:val="59"/>
        </w:rPr>
        <w:t xml:space="preserve"> </w:t>
      </w:r>
      <w:r>
        <w:t>answer</w:t>
      </w:r>
      <w:r>
        <w:rPr>
          <w:spacing w:val="58"/>
        </w:rPr>
        <w:t xml:space="preserve"> </w:t>
      </w:r>
      <w:r>
        <w:t>truthfully</w:t>
      </w:r>
      <w:r>
        <w:rPr>
          <w:spacing w:val="62"/>
        </w:rPr>
        <w:t xml:space="preserve"> </w:t>
      </w:r>
      <w:r>
        <w:t>for</w:t>
      </w:r>
      <w:r>
        <w:rPr>
          <w:spacing w:val="61"/>
        </w:rPr>
        <w:t xml:space="preserve"> </w:t>
      </w:r>
      <w:r>
        <w:t>fear</w:t>
      </w:r>
      <w:r>
        <w:rPr>
          <w:spacing w:val="58"/>
        </w:rPr>
        <w:t xml:space="preserve"> </w:t>
      </w:r>
      <w:r>
        <w:t>of</w:t>
      </w:r>
    </w:p>
    <w:p w:rsidR="00200FDA" w:rsidRDefault="00200FDA">
      <w:pPr>
        <w:spacing w:line="276" w:lineRule="auto"/>
        <w:jc w:val="both"/>
        <w:sectPr w:rsidR="00200FDA">
          <w:pgSz w:w="12240" w:h="15840"/>
          <w:pgMar w:top="1380" w:right="1300" w:bottom="1240" w:left="1300" w:header="552" w:footer="1043" w:gutter="0"/>
          <w:cols w:space="720"/>
        </w:sectPr>
      </w:pPr>
    </w:p>
    <w:p w:rsidR="00200FDA" w:rsidRDefault="00F76C4C">
      <w:pPr>
        <w:pStyle w:val="BodyText"/>
        <w:spacing w:before="46" w:line="276" w:lineRule="auto"/>
        <w:ind w:left="140" w:right="136"/>
        <w:jc w:val="both"/>
      </w:pPr>
      <w:r>
        <w:lastRenderedPageBreak/>
        <w:t xml:space="preserve">discrimination. Additionally, many LGBTQ youth report being outed to their families or friends by facility staff during visitation sessions, further compounding the trauma and isolation that they face in </w:t>
      </w:r>
      <w:r>
        <w:rPr>
          <w:spacing w:val="-2"/>
        </w:rPr>
        <w:t>incarceration.</w:t>
      </w:r>
      <w:hyperlink w:anchor="_bookmark708" w:history="1">
        <w:r>
          <w:rPr>
            <w:spacing w:val="-2"/>
            <w:vertAlign w:val="superscript"/>
          </w:rPr>
          <w:t>51</w:t>
        </w:r>
      </w:hyperlink>
    </w:p>
    <w:p w:rsidR="00200FDA" w:rsidRDefault="00200FDA">
      <w:pPr>
        <w:pStyle w:val="BodyText"/>
        <w:spacing w:before="8"/>
        <w:rPr>
          <w:sz w:val="19"/>
        </w:rPr>
      </w:pPr>
    </w:p>
    <w:p w:rsidR="00200FDA" w:rsidRDefault="00F76C4C">
      <w:pPr>
        <w:pStyle w:val="BodyText"/>
        <w:spacing w:line="276" w:lineRule="auto"/>
        <w:ind w:left="139" w:right="131"/>
        <w:jc w:val="both"/>
      </w:pPr>
      <w:r>
        <w:t>As has been</w:t>
      </w:r>
      <w:r>
        <w:rPr>
          <w:spacing w:val="-3"/>
        </w:rPr>
        <w:t xml:space="preserve"> </w:t>
      </w:r>
      <w:r>
        <w:t>noted in</w:t>
      </w:r>
      <w:r>
        <w:rPr>
          <w:spacing w:val="-3"/>
        </w:rPr>
        <w:t xml:space="preserve"> </w:t>
      </w:r>
      <w:r>
        <w:t>previous Commission</w:t>
      </w:r>
      <w:r>
        <w:rPr>
          <w:spacing w:val="-3"/>
        </w:rPr>
        <w:t xml:space="preserve"> </w:t>
      </w:r>
      <w:r>
        <w:t>reports,</w:t>
      </w:r>
      <w:r>
        <w:rPr>
          <w:spacing w:val="-2"/>
        </w:rPr>
        <w:t xml:space="preserve"> </w:t>
      </w:r>
      <w:r>
        <w:t>the 2018</w:t>
      </w:r>
      <w:r>
        <w:rPr>
          <w:spacing w:val="-1"/>
        </w:rPr>
        <w:t xml:space="preserve"> </w:t>
      </w:r>
      <w:r>
        <w:t>Massachusetts</w:t>
      </w:r>
      <w:r>
        <w:rPr>
          <w:spacing w:val="-2"/>
        </w:rPr>
        <w:t xml:space="preserve"> </w:t>
      </w:r>
      <w:r>
        <w:t>juvenile and</w:t>
      </w:r>
      <w:r>
        <w:rPr>
          <w:spacing w:val="-3"/>
        </w:rPr>
        <w:t xml:space="preserve"> </w:t>
      </w:r>
      <w:r>
        <w:t xml:space="preserve">criminal justice reform package worked to attempt to address many of the disparities faced by LGBTQ youth in the juvenile justice systems. A strong emphasis on diversion </w:t>
      </w:r>
      <w:r>
        <w:t>to rehabilitation, treatment, and other services remains a key piece of the reform, and has been the focus of several new programs over the last few years. As highlighted above, the creation</w:t>
      </w:r>
      <w:r>
        <w:rPr>
          <w:spacing w:val="-2"/>
        </w:rPr>
        <w:t xml:space="preserve"> </w:t>
      </w:r>
      <w:r>
        <w:t>of JJPAD and</w:t>
      </w:r>
      <w:r>
        <w:rPr>
          <w:spacing w:val="-2"/>
        </w:rPr>
        <w:t xml:space="preserve"> </w:t>
      </w:r>
      <w:r>
        <w:t>the Childhood Trauma Taskforce has given insight int</w:t>
      </w:r>
      <w:r>
        <w:t>o</w:t>
      </w:r>
      <w:r>
        <w:rPr>
          <w:spacing w:val="-12"/>
        </w:rPr>
        <w:t xml:space="preserve"> </w:t>
      </w:r>
      <w:r>
        <w:t>the</w:t>
      </w:r>
      <w:r>
        <w:rPr>
          <w:spacing w:val="-9"/>
        </w:rPr>
        <w:t xml:space="preserve"> </w:t>
      </w:r>
      <w:r>
        <w:t>needs</w:t>
      </w:r>
      <w:r>
        <w:rPr>
          <w:spacing w:val="-12"/>
        </w:rPr>
        <w:t xml:space="preserve"> </w:t>
      </w:r>
      <w:r>
        <w:t>of</w:t>
      </w:r>
      <w:r>
        <w:rPr>
          <w:spacing w:val="-12"/>
        </w:rPr>
        <w:t xml:space="preserve"> </w:t>
      </w:r>
      <w:r>
        <w:t>youth,</w:t>
      </w:r>
      <w:r>
        <w:rPr>
          <w:spacing w:val="-12"/>
        </w:rPr>
        <w:t xml:space="preserve"> </w:t>
      </w:r>
      <w:r>
        <w:t>but</w:t>
      </w:r>
      <w:r>
        <w:rPr>
          <w:spacing w:val="-9"/>
        </w:rPr>
        <w:t xml:space="preserve"> </w:t>
      </w:r>
      <w:r>
        <w:t>the</w:t>
      </w:r>
      <w:r>
        <w:rPr>
          <w:spacing w:val="-11"/>
        </w:rPr>
        <w:t xml:space="preserve"> </w:t>
      </w:r>
      <w:r>
        <w:t>lack</w:t>
      </w:r>
      <w:r>
        <w:rPr>
          <w:spacing w:val="-12"/>
        </w:rPr>
        <w:t xml:space="preserve"> </w:t>
      </w:r>
      <w:r>
        <w:t>of</w:t>
      </w:r>
      <w:r>
        <w:rPr>
          <w:spacing w:val="-12"/>
        </w:rPr>
        <w:t xml:space="preserve"> </w:t>
      </w:r>
      <w:r>
        <w:t>LGBTQ-specific</w:t>
      </w:r>
      <w:r>
        <w:rPr>
          <w:spacing w:val="-12"/>
        </w:rPr>
        <w:t xml:space="preserve"> </w:t>
      </w:r>
      <w:r>
        <w:t>data</w:t>
      </w:r>
      <w:r>
        <w:rPr>
          <w:spacing w:val="-10"/>
        </w:rPr>
        <w:t xml:space="preserve"> </w:t>
      </w:r>
      <w:r>
        <w:t>remains</w:t>
      </w:r>
      <w:r>
        <w:rPr>
          <w:spacing w:val="-10"/>
        </w:rPr>
        <w:t xml:space="preserve"> </w:t>
      </w:r>
      <w:r>
        <w:t>a</w:t>
      </w:r>
      <w:r>
        <w:rPr>
          <w:spacing w:val="-12"/>
        </w:rPr>
        <w:t xml:space="preserve"> </w:t>
      </w:r>
      <w:r>
        <w:t>serious</w:t>
      </w:r>
      <w:r>
        <w:rPr>
          <w:spacing w:val="-12"/>
        </w:rPr>
        <w:t xml:space="preserve"> </w:t>
      </w:r>
      <w:r>
        <w:t>concern</w:t>
      </w:r>
      <w:r>
        <w:rPr>
          <w:spacing w:val="-11"/>
        </w:rPr>
        <w:t xml:space="preserve"> </w:t>
      </w:r>
      <w:r>
        <w:t>to</w:t>
      </w:r>
      <w:r>
        <w:rPr>
          <w:spacing w:val="-9"/>
        </w:rPr>
        <w:t xml:space="preserve"> </w:t>
      </w:r>
      <w:r>
        <w:t>the</w:t>
      </w:r>
      <w:r>
        <w:rPr>
          <w:spacing w:val="-8"/>
        </w:rPr>
        <w:t xml:space="preserve"> </w:t>
      </w:r>
      <w:r>
        <w:rPr>
          <w:spacing w:val="-2"/>
        </w:rPr>
        <w:t>Commission.</w:t>
      </w:r>
    </w:p>
    <w:p w:rsidR="00200FDA" w:rsidRDefault="00200FDA">
      <w:pPr>
        <w:pStyle w:val="BodyText"/>
        <w:spacing w:before="7"/>
        <w:rPr>
          <w:sz w:val="19"/>
        </w:rPr>
      </w:pPr>
    </w:p>
    <w:p w:rsidR="00200FDA" w:rsidRDefault="00F76C4C">
      <w:pPr>
        <w:pStyle w:val="BodyText"/>
        <w:spacing w:line="276" w:lineRule="auto"/>
        <w:ind w:left="139" w:right="135"/>
        <w:jc w:val="both"/>
      </w:pPr>
      <w:r>
        <w:t>However, while a great deal of reform has taken place at the juvenile level, there is significantly more work to be done to protect LGBTQ youth</w:t>
      </w:r>
      <w:r>
        <w:rPr>
          <w:spacing w:val="-2"/>
        </w:rPr>
        <w:t xml:space="preserve"> </w:t>
      </w:r>
      <w:r>
        <w:t>over the age of 18. As noted</w:t>
      </w:r>
      <w:r>
        <w:rPr>
          <w:spacing w:val="-2"/>
        </w:rPr>
        <w:t xml:space="preserve"> </w:t>
      </w:r>
      <w:r>
        <w:t>above,</w:t>
      </w:r>
      <w:r>
        <w:rPr>
          <w:spacing w:val="-1"/>
        </w:rPr>
        <w:t xml:space="preserve"> </w:t>
      </w:r>
      <w:r>
        <w:t>while non-serious</w:t>
      </w:r>
      <w:r>
        <w:rPr>
          <w:spacing w:val="-1"/>
        </w:rPr>
        <w:t xml:space="preserve"> </w:t>
      </w:r>
      <w:r>
        <w:t>offenses committed</w:t>
      </w:r>
      <w:r>
        <w:rPr>
          <w:spacing w:val="-5"/>
        </w:rPr>
        <w:t xml:space="preserve"> </w:t>
      </w:r>
      <w:r>
        <w:t>before</w:t>
      </w:r>
      <w:r>
        <w:rPr>
          <w:spacing w:val="-4"/>
        </w:rPr>
        <w:t xml:space="preserve"> </w:t>
      </w:r>
      <w:r>
        <w:t>the</w:t>
      </w:r>
      <w:r>
        <w:rPr>
          <w:spacing w:val="-4"/>
        </w:rPr>
        <w:t xml:space="preserve"> </w:t>
      </w:r>
      <w:r>
        <w:t>age</w:t>
      </w:r>
      <w:r>
        <w:rPr>
          <w:spacing w:val="-6"/>
        </w:rPr>
        <w:t xml:space="preserve"> </w:t>
      </w:r>
      <w:r>
        <w:t>of</w:t>
      </w:r>
      <w:r>
        <w:rPr>
          <w:spacing w:val="-4"/>
        </w:rPr>
        <w:t xml:space="preserve"> </w:t>
      </w:r>
      <w:r>
        <w:t>21</w:t>
      </w:r>
      <w:r>
        <w:rPr>
          <w:spacing w:val="-6"/>
        </w:rPr>
        <w:t xml:space="preserve"> </w:t>
      </w:r>
      <w:r>
        <w:t>can</w:t>
      </w:r>
      <w:r>
        <w:rPr>
          <w:spacing w:val="-5"/>
        </w:rPr>
        <w:t xml:space="preserve"> </w:t>
      </w:r>
      <w:r>
        <w:t>be</w:t>
      </w:r>
      <w:r>
        <w:rPr>
          <w:spacing w:val="-6"/>
        </w:rPr>
        <w:t xml:space="preserve"> </w:t>
      </w:r>
      <w:r>
        <w:t>expunged</w:t>
      </w:r>
      <w:r>
        <w:rPr>
          <w:spacing w:val="-5"/>
        </w:rPr>
        <w:t xml:space="preserve"> </w:t>
      </w:r>
      <w:r>
        <w:t>from</w:t>
      </w:r>
      <w:r>
        <w:rPr>
          <w:spacing w:val="-6"/>
        </w:rPr>
        <w:t xml:space="preserve"> </w:t>
      </w:r>
      <w:r>
        <w:t>youth’s</w:t>
      </w:r>
      <w:r>
        <w:rPr>
          <w:spacing w:val="-7"/>
        </w:rPr>
        <w:t xml:space="preserve"> </w:t>
      </w:r>
      <w:r>
        <w:t>records,</w:t>
      </w:r>
      <w:r>
        <w:rPr>
          <w:spacing w:val="-7"/>
        </w:rPr>
        <w:t xml:space="preserve"> </w:t>
      </w:r>
      <w:r>
        <w:t>the</w:t>
      </w:r>
      <w:r>
        <w:rPr>
          <w:spacing w:val="-4"/>
        </w:rPr>
        <w:t xml:space="preserve"> </w:t>
      </w:r>
      <w:r>
        <w:t>process</w:t>
      </w:r>
      <w:r>
        <w:rPr>
          <w:spacing w:val="-4"/>
        </w:rPr>
        <w:t xml:space="preserve"> </w:t>
      </w:r>
      <w:r>
        <w:t>to</w:t>
      </w:r>
      <w:r>
        <w:rPr>
          <w:spacing w:val="-3"/>
        </w:rPr>
        <w:t xml:space="preserve"> </w:t>
      </w:r>
      <w:r>
        <w:t>get</w:t>
      </w:r>
      <w:r>
        <w:rPr>
          <w:spacing w:val="-4"/>
        </w:rPr>
        <w:t xml:space="preserve"> </w:t>
      </w:r>
      <w:r>
        <w:t>these</w:t>
      </w:r>
      <w:r>
        <w:rPr>
          <w:spacing w:val="-6"/>
        </w:rPr>
        <w:t xml:space="preserve"> </w:t>
      </w:r>
      <w:r>
        <w:t>offenses expunged</w:t>
      </w:r>
      <w:r>
        <w:rPr>
          <w:spacing w:val="-2"/>
        </w:rPr>
        <w:t xml:space="preserve"> </w:t>
      </w:r>
      <w:r>
        <w:t>is</w:t>
      </w:r>
      <w:r>
        <w:rPr>
          <w:spacing w:val="-1"/>
        </w:rPr>
        <w:t xml:space="preserve"> </w:t>
      </w:r>
      <w:r>
        <w:t>not automatic,</w:t>
      </w:r>
      <w:r>
        <w:rPr>
          <w:spacing w:val="-3"/>
        </w:rPr>
        <w:t xml:space="preserve"> </w:t>
      </w:r>
      <w:r>
        <w:t>and</w:t>
      </w:r>
      <w:r>
        <w:rPr>
          <w:spacing w:val="-2"/>
        </w:rPr>
        <w:t xml:space="preserve"> </w:t>
      </w:r>
      <w:r>
        <w:t>can</w:t>
      </w:r>
      <w:r>
        <w:rPr>
          <w:spacing w:val="-2"/>
        </w:rPr>
        <w:t xml:space="preserve"> </w:t>
      </w:r>
      <w:r>
        <w:t>be a</w:t>
      </w:r>
      <w:r>
        <w:rPr>
          <w:spacing w:val="-1"/>
        </w:rPr>
        <w:t xml:space="preserve"> </w:t>
      </w:r>
      <w:r>
        <w:t>confusing</w:t>
      </w:r>
      <w:r>
        <w:rPr>
          <w:spacing w:val="-2"/>
        </w:rPr>
        <w:t xml:space="preserve"> </w:t>
      </w:r>
      <w:r>
        <w:t>and</w:t>
      </w:r>
      <w:r>
        <w:rPr>
          <w:spacing w:val="-2"/>
        </w:rPr>
        <w:t xml:space="preserve"> </w:t>
      </w:r>
      <w:r>
        <w:t>lengthy process.</w:t>
      </w:r>
      <w:r>
        <w:rPr>
          <w:spacing w:val="-1"/>
        </w:rPr>
        <w:t xml:space="preserve"> </w:t>
      </w:r>
      <w:r>
        <w:t>Many LGBTQ</w:t>
      </w:r>
      <w:r>
        <w:rPr>
          <w:spacing w:val="-1"/>
        </w:rPr>
        <w:t xml:space="preserve"> </w:t>
      </w:r>
      <w:r>
        <w:t>youth</w:t>
      </w:r>
      <w:r>
        <w:rPr>
          <w:spacing w:val="-2"/>
        </w:rPr>
        <w:t xml:space="preserve"> </w:t>
      </w:r>
      <w:r>
        <w:t>al</w:t>
      </w:r>
      <w:r>
        <w:t>ready face discrimination when seeking employment, housing, and social services, which can be severely exacerbated by having a criminal record - even with non-serious offenses.</w:t>
      </w:r>
    </w:p>
    <w:p w:rsidR="00200FDA" w:rsidRDefault="00200FDA">
      <w:pPr>
        <w:pStyle w:val="BodyText"/>
        <w:spacing w:before="8"/>
        <w:rPr>
          <w:sz w:val="19"/>
        </w:rPr>
      </w:pPr>
    </w:p>
    <w:p w:rsidR="00200FDA" w:rsidRDefault="00F76C4C">
      <w:pPr>
        <w:pStyle w:val="BodyText"/>
        <w:spacing w:line="276" w:lineRule="auto"/>
        <w:ind w:left="139" w:right="134"/>
        <w:jc w:val="both"/>
      </w:pPr>
      <w:r>
        <w:t>In</w:t>
      </w:r>
      <w:r>
        <w:rPr>
          <w:spacing w:val="-3"/>
        </w:rPr>
        <w:t xml:space="preserve"> </w:t>
      </w:r>
      <w:r>
        <w:t>particular,</w:t>
      </w:r>
      <w:r>
        <w:rPr>
          <w:spacing w:val="-4"/>
        </w:rPr>
        <w:t xml:space="preserve"> </w:t>
      </w:r>
      <w:r>
        <w:t>the</w:t>
      </w:r>
      <w:r>
        <w:rPr>
          <w:spacing w:val="-4"/>
        </w:rPr>
        <w:t xml:space="preserve"> </w:t>
      </w:r>
      <w:r>
        <w:t>Commission</w:t>
      </w:r>
      <w:r>
        <w:rPr>
          <w:spacing w:val="-3"/>
        </w:rPr>
        <w:t xml:space="preserve"> </w:t>
      </w:r>
      <w:r>
        <w:t>notes</w:t>
      </w:r>
      <w:r>
        <w:rPr>
          <w:spacing w:val="-4"/>
        </w:rPr>
        <w:t xml:space="preserve"> </w:t>
      </w:r>
      <w:r>
        <w:t>the</w:t>
      </w:r>
      <w:r>
        <w:rPr>
          <w:spacing w:val="-4"/>
        </w:rPr>
        <w:t xml:space="preserve"> </w:t>
      </w:r>
      <w:r>
        <w:t>significant</w:t>
      </w:r>
      <w:r>
        <w:rPr>
          <w:spacing w:val="-4"/>
        </w:rPr>
        <w:t xml:space="preserve"> </w:t>
      </w:r>
      <w:r>
        <w:t>need</w:t>
      </w:r>
      <w:r>
        <w:rPr>
          <w:spacing w:val="-3"/>
        </w:rPr>
        <w:t xml:space="preserve"> </w:t>
      </w:r>
      <w:r>
        <w:t>that</w:t>
      </w:r>
      <w:r>
        <w:rPr>
          <w:spacing w:val="-4"/>
        </w:rPr>
        <w:t xml:space="preserve"> </w:t>
      </w:r>
      <w:r>
        <w:t>has</w:t>
      </w:r>
      <w:r>
        <w:rPr>
          <w:spacing w:val="-4"/>
        </w:rPr>
        <w:t xml:space="preserve"> </w:t>
      </w:r>
      <w:r>
        <w:t>been</w:t>
      </w:r>
      <w:r>
        <w:rPr>
          <w:spacing w:val="-5"/>
        </w:rPr>
        <w:t xml:space="preserve"> </w:t>
      </w:r>
      <w:r>
        <w:t>highlighted</w:t>
      </w:r>
      <w:r>
        <w:rPr>
          <w:spacing w:val="-3"/>
        </w:rPr>
        <w:t xml:space="preserve"> </w:t>
      </w:r>
      <w:r>
        <w:t>by</w:t>
      </w:r>
      <w:r>
        <w:rPr>
          <w:spacing w:val="-1"/>
        </w:rPr>
        <w:t xml:space="preserve"> </w:t>
      </w:r>
      <w:r>
        <w:t>advocates</w:t>
      </w:r>
      <w:r>
        <w:rPr>
          <w:spacing w:val="-2"/>
        </w:rPr>
        <w:t xml:space="preserve"> </w:t>
      </w:r>
      <w:r>
        <w:t>for</w:t>
      </w:r>
      <w:r>
        <w:rPr>
          <w:spacing w:val="-4"/>
        </w:rPr>
        <w:t xml:space="preserve"> </w:t>
      </w:r>
      <w:r>
        <w:t>more LGBTQ-specific support services and resources for those reentering society, or with a history of incarceration. In 2022, Black &amp; Pink Massachusetts opened up the first transitional housing resource specifically for recentl</w:t>
      </w:r>
      <w:r>
        <w:t>y incarcerated transgender and gender nonconforming individuals - the Alexia Norena</w:t>
      </w:r>
      <w:r>
        <w:rPr>
          <w:spacing w:val="-7"/>
        </w:rPr>
        <w:t xml:space="preserve"> </w:t>
      </w:r>
      <w:r>
        <w:t>House</w:t>
      </w:r>
      <w:r>
        <w:rPr>
          <w:spacing w:val="-9"/>
        </w:rPr>
        <w:t xml:space="preserve"> </w:t>
      </w:r>
      <w:r>
        <w:t>-</w:t>
      </w:r>
      <w:r>
        <w:rPr>
          <w:spacing w:val="-9"/>
        </w:rPr>
        <w:t xml:space="preserve"> </w:t>
      </w:r>
      <w:r>
        <w:t>which</w:t>
      </w:r>
      <w:r>
        <w:rPr>
          <w:spacing w:val="-7"/>
        </w:rPr>
        <w:t xml:space="preserve"> </w:t>
      </w:r>
      <w:r>
        <w:t>can</w:t>
      </w:r>
      <w:r>
        <w:rPr>
          <w:spacing w:val="-10"/>
        </w:rPr>
        <w:t xml:space="preserve"> </w:t>
      </w:r>
      <w:r>
        <w:t>support</w:t>
      </w:r>
      <w:r>
        <w:rPr>
          <w:spacing w:val="-6"/>
        </w:rPr>
        <w:t xml:space="preserve"> </w:t>
      </w:r>
      <w:r>
        <w:t>for</w:t>
      </w:r>
      <w:r>
        <w:rPr>
          <w:spacing w:val="-9"/>
        </w:rPr>
        <w:t xml:space="preserve"> </w:t>
      </w:r>
      <w:r>
        <w:t>only</w:t>
      </w:r>
      <w:r>
        <w:rPr>
          <w:spacing w:val="-8"/>
        </w:rPr>
        <w:t xml:space="preserve"> </w:t>
      </w:r>
      <w:r>
        <w:t>up</w:t>
      </w:r>
      <w:r>
        <w:rPr>
          <w:spacing w:val="-8"/>
        </w:rPr>
        <w:t xml:space="preserve"> </w:t>
      </w:r>
      <w:r>
        <w:t>to</w:t>
      </w:r>
      <w:r>
        <w:rPr>
          <w:spacing w:val="-5"/>
        </w:rPr>
        <w:t xml:space="preserve"> </w:t>
      </w:r>
      <w:r>
        <w:t>five</w:t>
      </w:r>
      <w:r>
        <w:rPr>
          <w:spacing w:val="-8"/>
        </w:rPr>
        <w:t xml:space="preserve"> </w:t>
      </w:r>
      <w:r>
        <w:t>residents.</w:t>
      </w:r>
      <w:r>
        <w:rPr>
          <w:spacing w:val="-7"/>
        </w:rPr>
        <w:t xml:space="preserve"> </w:t>
      </w:r>
      <w:r>
        <w:t>Black</w:t>
      </w:r>
      <w:r>
        <w:rPr>
          <w:spacing w:val="-9"/>
        </w:rPr>
        <w:t xml:space="preserve"> </w:t>
      </w:r>
      <w:r>
        <w:t>&amp;</w:t>
      </w:r>
      <w:r>
        <w:rPr>
          <w:spacing w:val="-8"/>
        </w:rPr>
        <w:t xml:space="preserve"> </w:t>
      </w:r>
      <w:r>
        <w:t>Pink</w:t>
      </w:r>
      <w:r>
        <w:rPr>
          <w:spacing w:val="-9"/>
        </w:rPr>
        <w:t xml:space="preserve"> </w:t>
      </w:r>
      <w:r>
        <w:t>MA</w:t>
      </w:r>
      <w:r>
        <w:rPr>
          <w:spacing w:val="-7"/>
        </w:rPr>
        <w:t xml:space="preserve"> </w:t>
      </w:r>
      <w:r>
        <w:t>has</w:t>
      </w:r>
      <w:r>
        <w:rPr>
          <w:spacing w:val="-7"/>
        </w:rPr>
        <w:t xml:space="preserve"> </w:t>
      </w:r>
      <w:r>
        <w:t>noted</w:t>
      </w:r>
      <w:r>
        <w:rPr>
          <w:spacing w:val="-7"/>
        </w:rPr>
        <w:t xml:space="preserve"> </w:t>
      </w:r>
      <w:r>
        <w:t>that</w:t>
      </w:r>
      <w:r>
        <w:rPr>
          <w:spacing w:val="-6"/>
        </w:rPr>
        <w:t xml:space="preserve"> </w:t>
      </w:r>
      <w:r>
        <w:t>the</w:t>
      </w:r>
      <w:r>
        <w:rPr>
          <w:spacing w:val="-6"/>
        </w:rPr>
        <w:t xml:space="preserve"> </w:t>
      </w:r>
      <w:r>
        <w:t>house is currently full due to overwhelming need, and that there still remains a</w:t>
      </w:r>
      <w:r>
        <w:t xml:space="preserve"> significant demand for more trans-specific housing resources.</w:t>
      </w:r>
      <w:hyperlink w:anchor="_bookmark707" w:history="1">
        <w:r>
          <w:rPr>
            <w:vertAlign w:val="superscript"/>
          </w:rPr>
          <w:t>52</w:t>
        </w:r>
      </w:hyperlink>
    </w:p>
    <w:p w:rsidR="00200FDA" w:rsidRDefault="00200FDA">
      <w:pPr>
        <w:pStyle w:val="BodyText"/>
        <w:spacing w:before="11"/>
        <w:rPr>
          <w:sz w:val="32"/>
        </w:rPr>
      </w:pPr>
    </w:p>
    <w:p w:rsidR="00200FDA" w:rsidRDefault="00F76C4C">
      <w:pPr>
        <w:pStyle w:val="Heading7"/>
        <w:spacing w:before="1"/>
        <w:ind w:left="140"/>
        <w:jc w:val="both"/>
      </w:pPr>
      <w:r>
        <w:pict>
          <v:rect id="docshape410" o:spid="_x0000_s1191" style="position:absolute;left:0;text-align:left;margin-left:70.55pt;margin-top:18.05pt;width:470.9pt;height:.5pt;z-index:-15649280;mso-wrap-distance-left:0;mso-wrap-distance-right:0;mso-position-horizontal-relative:page" fillcolor="#4f81bc" stroked="f">
            <w10:wrap type="topAndBottom" anchorx="page"/>
          </v:rect>
        </w:pict>
      </w:r>
      <w:r>
        <w:rPr>
          <w:color w:val="365F91"/>
        </w:rPr>
        <w:t>Acknowledgments</w:t>
      </w:r>
      <w:r>
        <w:rPr>
          <w:color w:val="365F91"/>
          <w:spacing w:val="-9"/>
        </w:rPr>
        <w:t xml:space="preserve"> </w:t>
      </w:r>
      <w:r>
        <w:rPr>
          <w:color w:val="365F91"/>
        </w:rPr>
        <w:t>&amp;</w:t>
      </w:r>
      <w:r>
        <w:rPr>
          <w:color w:val="365F91"/>
          <w:spacing w:val="-8"/>
        </w:rPr>
        <w:t xml:space="preserve"> </w:t>
      </w:r>
      <w:r>
        <w:rPr>
          <w:color w:val="365F91"/>
          <w:spacing w:val="-2"/>
        </w:rPr>
        <w:t>Citations</w:t>
      </w:r>
    </w:p>
    <w:p w:rsidR="00200FDA" w:rsidRDefault="00200FDA">
      <w:pPr>
        <w:pStyle w:val="BodyText"/>
        <w:rPr>
          <w:sz w:val="20"/>
        </w:rPr>
      </w:pPr>
    </w:p>
    <w:p w:rsidR="00200FDA" w:rsidRDefault="00200FDA">
      <w:pPr>
        <w:pStyle w:val="BodyText"/>
        <w:spacing w:before="5"/>
        <w:rPr>
          <w:sz w:val="18"/>
        </w:rPr>
      </w:pPr>
    </w:p>
    <w:p w:rsidR="00200FDA" w:rsidRDefault="00F76C4C">
      <w:pPr>
        <w:spacing w:before="1"/>
        <w:ind w:left="140"/>
        <w:rPr>
          <w:i/>
        </w:rPr>
      </w:pPr>
      <w:r>
        <w:rPr>
          <w:i/>
        </w:rPr>
        <w:t>Acknowledgments:</w:t>
      </w:r>
      <w:r>
        <w:rPr>
          <w:i/>
          <w:spacing w:val="-6"/>
        </w:rPr>
        <w:t xml:space="preserve"> </w:t>
      </w:r>
      <w:r>
        <w:rPr>
          <w:i/>
        </w:rPr>
        <w:t>Rayna</w:t>
      </w:r>
      <w:r>
        <w:rPr>
          <w:i/>
          <w:spacing w:val="-5"/>
        </w:rPr>
        <w:t xml:space="preserve"> </w:t>
      </w:r>
      <w:r>
        <w:rPr>
          <w:i/>
        </w:rPr>
        <w:t>Hill,</w:t>
      </w:r>
      <w:r>
        <w:rPr>
          <w:i/>
          <w:spacing w:val="-4"/>
        </w:rPr>
        <w:t xml:space="preserve"> </w:t>
      </w:r>
      <w:r>
        <w:rPr>
          <w:i/>
        </w:rPr>
        <w:t>Legislative</w:t>
      </w:r>
      <w:r>
        <w:rPr>
          <w:i/>
          <w:spacing w:val="-7"/>
        </w:rPr>
        <w:t xml:space="preserve"> </w:t>
      </w:r>
      <w:r>
        <w:rPr>
          <w:i/>
        </w:rPr>
        <w:t>&amp;</w:t>
      </w:r>
      <w:r>
        <w:rPr>
          <w:i/>
          <w:spacing w:val="-6"/>
        </w:rPr>
        <w:t xml:space="preserve"> </w:t>
      </w:r>
      <w:r>
        <w:rPr>
          <w:i/>
        </w:rPr>
        <w:t>Policy</w:t>
      </w:r>
      <w:r>
        <w:rPr>
          <w:i/>
          <w:spacing w:val="-7"/>
        </w:rPr>
        <w:t xml:space="preserve"> </w:t>
      </w:r>
      <w:r>
        <w:rPr>
          <w:i/>
        </w:rPr>
        <w:t>Manager,</w:t>
      </w:r>
      <w:r>
        <w:rPr>
          <w:i/>
          <w:spacing w:val="-4"/>
        </w:rPr>
        <w:t xml:space="preserve"> </w:t>
      </w:r>
      <w:r>
        <w:rPr>
          <w:i/>
        </w:rPr>
        <w:t>lead</w:t>
      </w:r>
      <w:r>
        <w:rPr>
          <w:i/>
          <w:spacing w:val="-5"/>
        </w:rPr>
        <w:t xml:space="preserve"> </w:t>
      </w:r>
      <w:r>
        <w:rPr>
          <w:i/>
          <w:spacing w:val="-2"/>
        </w:rPr>
        <w:t>author</w:t>
      </w:r>
    </w:p>
    <w:p w:rsidR="00200FDA" w:rsidRDefault="00200FDA">
      <w:pPr>
        <w:pStyle w:val="BodyText"/>
        <w:rPr>
          <w:i/>
        </w:rPr>
      </w:pPr>
    </w:p>
    <w:p w:rsidR="00200FDA" w:rsidRDefault="00F76C4C">
      <w:pPr>
        <w:spacing w:before="139"/>
        <w:ind w:left="140" w:hanging="1"/>
        <w:rPr>
          <w:sz w:val="18"/>
        </w:rPr>
      </w:pPr>
      <w:r>
        <w:rPr>
          <w:position w:val="5"/>
          <w:sz w:val="12"/>
        </w:rPr>
        <w:t>1</w:t>
      </w:r>
      <w:r>
        <w:rPr>
          <w:spacing w:val="7"/>
          <w:position w:val="5"/>
          <w:sz w:val="12"/>
        </w:rPr>
        <w:t xml:space="preserve"> </w:t>
      </w:r>
      <w:r>
        <w:rPr>
          <w:sz w:val="18"/>
        </w:rPr>
        <w:t>“Addressing</w:t>
      </w:r>
      <w:r>
        <w:rPr>
          <w:spacing w:val="-10"/>
          <w:sz w:val="18"/>
        </w:rPr>
        <w:t xml:space="preserve"> </w:t>
      </w:r>
      <w:r>
        <w:rPr>
          <w:sz w:val="18"/>
        </w:rPr>
        <w:t>the</w:t>
      </w:r>
      <w:r>
        <w:rPr>
          <w:spacing w:val="-10"/>
          <w:sz w:val="18"/>
        </w:rPr>
        <w:t xml:space="preserve"> </w:t>
      </w:r>
      <w:r>
        <w:rPr>
          <w:sz w:val="18"/>
        </w:rPr>
        <w:t>Intersections</w:t>
      </w:r>
      <w:r>
        <w:rPr>
          <w:spacing w:val="-10"/>
          <w:sz w:val="18"/>
        </w:rPr>
        <w:t xml:space="preserve"> </w:t>
      </w:r>
      <w:r>
        <w:rPr>
          <w:sz w:val="18"/>
        </w:rPr>
        <w:t>of</w:t>
      </w:r>
      <w:r>
        <w:rPr>
          <w:spacing w:val="-7"/>
          <w:sz w:val="18"/>
        </w:rPr>
        <w:t xml:space="preserve"> </w:t>
      </w:r>
      <w:r>
        <w:rPr>
          <w:sz w:val="18"/>
        </w:rPr>
        <w:t>Juvenile</w:t>
      </w:r>
      <w:r>
        <w:rPr>
          <w:spacing w:val="-11"/>
          <w:sz w:val="18"/>
        </w:rPr>
        <w:t xml:space="preserve"> </w:t>
      </w:r>
      <w:r>
        <w:rPr>
          <w:sz w:val="18"/>
        </w:rPr>
        <w:t>Justice</w:t>
      </w:r>
      <w:r>
        <w:rPr>
          <w:spacing w:val="-9"/>
          <w:sz w:val="18"/>
        </w:rPr>
        <w:t xml:space="preserve"> </w:t>
      </w:r>
      <w:r>
        <w:rPr>
          <w:sz w:val="18"/>
        </w:rPr>
        <w:t>Involvement</w:t>
      </w:r>
      <w:r>
        <w:rPr>
          <w:spacing w:val="-7"/>
          <w:sz w:val="18"/>
        </w:rPr>
        <w:t xml:space="preserve"> </w:t>
      </w:r>
      <w:r>
        <w:rPr>
          <w:sz w:val="18"/>
        </w:rPr>
        <w:t>and</w:t>
      </w:r>
      <w:r>
        <w:rPr>
          <w:spacing w:val="-6"/>
          <w:sz w:val="18"/>
        </w:rPr>
        <w:t xml:space="preserve"> </w:t>
      </w:r>
      <w:r>
        <w:rPr>
          <w:sz w:val="18"/>
        </w:rPr>
        <w:t>Youth</w:t>
      </w:r>
      <w:r>
        <w:rPr>
          <w:spacing w:val="-11"/>
          <w:sz w:val="18"/>
        </w:rPr>
        <w:t xml:space="preserve"> </w:t>
      </w:r>
      <w:r>
        <w:rPr>
          <w:sz w:val="18"/>
        </w:rPr>
        <w:t>Homelessness:</w:t>
      </w:r>
      <w:r>
        <w:rPr>
          <w:spacing w:val="-8"/>
          <w:sz w:val="18"/>
        </w:rPr>
        <w:t xml:space="preserve"> </w:t>
      </w:r>
      <w:r>
        <w:rPr>
          <w:sz w:val="18"/>
        </w:rPr>
        <w:t>Serving</w:t>
      </w:r>
      <w:r>
        <w:rPr>
          <w:spacing w:val="-8"/>
          <w:sz w:val="18"/>
        </w:rPr>
        <w:t xml:space="preserve"> </w:t>
      </w:r>
      <w:r>
        <w:rPr>
          <w:sz w:val="18"/>
        </w:rPr>
        <w:t>LGBTQ</w:t>
      </w:r>
      <w:r>
        <w:rPr>
          <w:spacing w:val="-11"/>
          <w:sz w:val="18"/>
        </w:rPr>
        <w:t xml:space="preserve"> </w:t>
      </w:r>
      <w:r>
        <w:rPr>
          <w:sz w:val="18"/>
        </w:rPr>
        <w:t>Youth,”</w:t>
      </w:r>
      <w:r>
        <w:rPr>
          <w:spacing w:val="-3"/>
          <w:sz w:val="18"/>
        </w:rPr>
        <w:t xml:space="preserve"> </w:t>
      </w:r>
      <w:r>
        <w:rPr>
          <w:sz w:val="18"/>
        </w:rPr>
        <w:t>Coalition</w:t>
      </w:r>
      <w:r>
        <w:rPr>
          <w:spacing w:val="-4"/>
          <w:sz w:val="18"/>
        </w:rPr>
        <w:t xml:space="preserve"> </w:t>
      </w:r>
      <w:r>
        <w:rPr>
          <w:sz w:val="18"/>
        </w:rPr>
        <w:t xml:space="preserve">for </w:t>
      </w:r>
      <w:r>
        <w:rPr>
          <w:spacing w:val="-2"/>
          <w:sz w:val="18"/>
        </w:rPr>
        <w:t>Juvenile Justice, 2017, https://</w:t>
      </w:r>
      <w:hyperlink r:id="rId633">
        <w:r>
          <w:rPr>
            <w:spacing w:val="-2"/>
            <w:sz w:val="18"/>
          </w:rPr>
          <w:t>www.juvjustice.org/sites/default/files/ckfinder/files/LGBTQ%20youth%20report%20Final.pdf.</w:t>
        </w:r>
      </w:hyperlink>
    </w:p>
    <w:p w:rsidR="00200FDA" w:rsidRDefault="00F76C4C">
      <w:pPr>
        <w:ind w:left="139" w:right="218"/>
        <w:rPr>
          <w:sz w:val="18"/>
        </w:rPr>
      </w:pPr>
      <w:r>
        <w:rPr>
          <w:position w:val="5"/>
          <w:sz w:val="12"/>
        </w:rPr>
        <w:t>2</w:t>
      </w:r>
      <w:r>
        <w:rPr>
          <w:spacing w:val="10"/>
          <w:position w:val="5"/>
          <w:sz w:val="12"/>
        </w:rPr>
        <w:t xml:space="preserve"> </w:t>
      </w:r>
      <w:r>
        <w:rPr>
          <w:sz w:val="18"/>
        </w:rPr>
        <w:t>“Unjust:</w:t>
      </w:r>
      <w:r>
        <w:rPr>
          <w:spacing w:val="-7"/>
          <w:sz w:val="18"/>
        </w:rPr>
        <w:t xml:space="preserve"> </w:t>
      </w:r>
      <w:r>
        <w:rPr>
          <w:sz w:val="18"/>
        </w:rPr>
        <w:t>LGBTQ</w:t>
      </w:r>
      <w:r>
        <w:rPr>
          <w:spacing w:val="-8"/>
          <w:sz w:val="18"/>
        </w:rPr>
        <w:t xml:space="preserve"> </w:t>
      </w:r>
      <w:r>
        <w:rPr>
          <w:sz w:val="18"/>
        </w:rPr>
        <w:t>Youth</w:t>
      </w:r>
      <w:r>
        <w:rPr>
          <w:spacing w:val="-8"/>
          <w:sz w:val="18"/>
        </w:rPr>
        <w:t xml:space="preserve"> </w:t>
      </w:r>
      <w:r>
        <w:rPr>
          <w:sz w:val="18"/>
        </w:rPr>
        <w:t>Incarcerated</w:t>
      </w:r>
      <w:r>
        <w:rPr>
          <w:spacing w:val="-8"/>
          <w:sz w:val="18"/>
        </w:rPr>
        <w:t xml:space="preserve"> </w:t>
      </w:r>
      <w:r>
        <w:rPr>
          <w:sz w:val="18"/>
        </w:rPr>
        <w:t>in</w:t>
      </w:r>
      <w:r>
        <w:rPr>
          <w:spacing w:val="-8"/>
          <w:sz w:val="18"/>
        </w:rPr>
        <w:t xml:space="preserve"> </w:t>
      </w:r>
      <w:r>
        <w:rPr>
          <w:sz w:val="18"/>
        </w:rPr>
        <w:t>the</w:t>
      </w:r>
      <w:r>
        <w:rPr>
          <w:spacing w:val="-10"/>
          <w:sz w:val="18"/>
        </w:rPr>
        <w:t xml:space="preserve"> </w:t>
      </w:r>
      <w:r>
        <w:rPr>
          <w:sz w:val="18"/>
        </w:rPr>
        <w:t>Juvenile</w:t>
      </w:r>
      <w:r>
        <w:rPr>
          <w:spacing w:val="-8"/>
          <w:sz w:val="18"/>
        </w:rPr>
        <w:t xml:space="preserve"> </w:t>
      </w:r>
      <w:r>
        <w:rPr>
          <w:sz w:val="18"/>
        </w:rPr>
        <w:t>Justice</w:t>
      </w:r>
      <w:r>
        <w:rPr>
          <w:spacing w:val="-10"/>
          <w:sz w:val="18"/>
        </w:rPr>
        <w:t xml:space="preserve"> </w:t>
      </w:r>
      <w:r>
        <w:rPr>
          <w:sz w:val="18"/>
        </w:rPr>
        <w:t>System,</w:t>
      </w:r>
      <w:r>
        <w:rPr>
          <w:spacing w:val="-6"/>
          <w:sz w:val="18"/>
        </w:rPr>
        <w:t xml:space="preserve"> </w:t>
      </w:r>
      <w:r>
        <w:rPr>
          <w:sz w:val="18"/>
        </w:rPr>
        <w:t>Center</w:t>
      </w:r>
      <w:r>
        <w:rPr>
          <w:spacing w:val="-8"/>
          <w:sz w:val="18"/>
        </w:rPr>
        <w:t xml:space="preserve"> </w:t>
      </w:r>
      <w:r>
        <w:rPr>
          <w:sz w:val="18"/>
        </w:rPr>
        <w:t>for</w:t>
      </w:r>
      <w:r>
        <w:rPr>
          <w:spacing w:val="-8"/>
          <w:sz w:val="18"/>
        </w:rPr>
        <w:t xml:space="preserve"> </w:t>
      </w:r>
      <w:r>
        <w:rPr>
          <w:sz w:val="18"/>
        </w:rPr>
        <w:t>American</w:t>
      </w:r>
      <w:r>
        <w:rPr>
          <w:spacing w:val="-8"/>
          <w:sz w:val="18"/>
        </w:rPr>
        <w:t xml:space="preserve"> </w:t>
      </w:r>
      <w:r>
        <w:rPr>
          <w:sz w:val="18"/>
        </w:rPr>
        <w:t>Progress,</w:t>
      </w:r>
      <w:r>
        <w:rPr>
          <w:spacing w:val="-4"/>
          <w:sz w:val="18"/>
        </w:rPr>
        <w:t xml:space="preserve"> </w:t>
      </w:r>
      <w:r>
        <w:rPr>
          <w:sz w:val="18"/>
        </w:rPr>
        <w:t>MAP,</w:t>
      </w:r>
      <w:r>
        <w:rPr>
          <w:spacing w:val="-7"/>
          <w:sz w:val="18"/>
        </w:rPr>
        <w:t xml:space="preserve"> </w:t>
      </w:r>
      <w:r>
        <w:rPr>
          <w:sz w:val="18"/>
        </w:rPr>
        <w:t>and</w:t>
      </w:r>
      <w:r>
        <w:rPr>
          <w:spacing w:val="-8"/>
          <w:sz w:val="18"/>
        </w:rPr>
        <w:t xml:space="preserve"> </w:t>
      </w:r>
      <w:r>
        <w:rPr>
          <w:sz w:val="18"/>
        </w:rPr>
        <w:t>Youth</w:t>
      </w:r>
      <w:r>
        <w:rPr>
          <w:spacing w:val="-1"/>
          <w:sz w:val="18"/>
        </w:rPr>
        <w:t xml:space="preserve"> </w:t>
      </w:r>
      <w:r>
        <w:rPr>
          <w:sz w:val="18"/>
        </w:rPr>
        <w:t>First,</w:t>
      </w:r>
      <w:r>
        <w:rPr>
          <w:spacing w:val="-2"/>
          <w:sz w:val="18"/>
        </w:rPr>
        <w:t xml:space="preserve"> </w:t>
      </w:r>
      <w:r>
        <w:rPr>
          <w:sz w:val="18"/>
        </w:rPr>
        <w:t>June 2017, https://</w:t>
      </w:r>
      <w:hyperlink r:id="rId634">
        <w:r>
          <w:rPr>
            <w:sz w:val="18"/>
          </w:rPr>
          <w:t>www.lgbtmap.org/file/lgbtq-incarcerated-youth.pdf.</w:t>
        </w:r>
      </w:hyperlink>
    </w:p>
    <w:p w:rsidR="00200FDA" w:rsidRDefault="00F76C4C">
      <w:pPr>
        <w:ind w:left="140" w:right="139" w:hanging="1"/>
        <w:rPr>
          <w:sz w:val="18"/>
        </w:rPr>
      </w:pPr>
      <w:r>
        <w:rPr>
          <w:position w:val="5"/>
          <w:sz w:val="12"/>
        </w:rPr>
        <w:t>3</w:t>
      </w:r>
      <w:r>
        <w:rPr>
          <w:spacing w:val="8"/>
          <w:position w:val="5"/>
          <w:sz w:val="12"/>
        </w:rPr>
        <w:t xml:space="preserve"> </w:t>
      </w:r>
      <w:r>
        <w:rPr>
          <w:sz w:val="18"/>
        </w:rPr>
        <w:t>“DYS</w:t>
      </w:r>
      <w:r>
        <w:rPr>
          <w:spacing w:val="-5"/>
          <w:sz w:val="18"/>
        </w:rPr>
        <w:t xml:space="preserve"> </w:t>
      </w:r>
      <w:r>
        <w:rPr>
          <w:sz w:val="18"/>
        </w:rPr>
        <w:t>Reports</w:t>
      </w:r>
      <w:r>
        <w:rPr>
          <w:spacing w:val="-5"/>
          <w:sz w:val="18"/>
        </w:rPr>
        <w:t xml:space="preserve"> </w:t>
      </w:r>
      <w:r>
        <w:rPr>
          <w:sz w:val="18"/>
        </w:rPr>
        <w:t>and</w:t>
      </w:r>
      <w:r>
        <w:rPr>
          <w:spacing w:val="-5"/>
          <w:sz w:val="18"/>
        </w:rPr>
        <w:t xml:space="preserve"> </w:t>
      </w:r>
      <w:r>
        <w:rPr>
          <w:sz w:val="18"/>
        </w:rPr>
        <w:t>Resources</w:t>
      </w:r>
      <w:r>
        <w:rPr>
          <w:spacing w:val="-5"/>
          <w:sz w:val="18"/>
        </w:rPr>
        <w:t xml:space="preserve"> </w:t>
      </w:r>
      <w:r>
        <w:rPr>
          <w:sz w:val="18"/>
        </w:rPr>
        <w:t>|</w:t>
      </w:r>
      <w:r>
        <w:rPr>
          <w:spacing w:val="-3"/>
          <w:sz w:val="18"/>
        </w:rPr>
        <w:t xml:space="preserve"> </w:t>
      </w:r>
      <w:r>
        <w:rPr>
          <w:sz w:val="18"/>
        </w:rPr>
        <w:t>Mass.Gov,”</w:t>
      </w:r>
      <w:r>
        <w:rPr>
          <w:spacing w:val="-5"/>
          <w:sz w:val="18"/>
        </w:rPr>
        <w:t xml:space="preserve"> </w:t>
      </w:r>
      <w:r>
        <w:rPr>
          <w:sz w:val="18"/>
        </w:rPr>
        <w:t>accessed</w:t>
      </w:r>
      <w:r>
        <w:rPr>
          <w:spacing w:val="-3"/>
          <w:sz w:val="18"/>
        </w:rPr>
        <w:t xml:space="preserve"> </w:t>
      </w:r>
      <w:r>
        <w:rPr>
          <w:sz w:val="18"/>
        </w:rPr>
        <w:t>April</w:t>
      </w:r>
      <w:r>
        <w:rPr>
          <w:spacing w:val="-5"/>
          <w:sz w:val="18"/>
        </w:rPr>
        <w:t xml:space="preserve"> </w:t>
      </w:r>
      <w:r>
        <w:rPr>
          <w:sz w:val="18"/>
        </w:rPr>
        <w:t>24,</w:t>
      </w:r>
      <w:r>
        <w:rPr>
          <w:spacing w:val="-4"/>
          <w:sz w:val="18"/>
        </w:rPr>
        <w:t xml:space="preserve"> </w:t>
      </w:r>
      <w:r>
        <w:rPr>
          <w:sz w:val="18"/>
        </w:rPr>
        <w:t>2023,</w:t>
      </w:r>
      <w:r>
        <w:rPr>
          <w:spacing w:val="-4"/>
          <w:sz w:val="18"/>
        </w:rPr>
        <w:t xml:space="preserve"> </w:t>
      </w:r>
      <w:r>
        <w:rPr>
          <w:sz w:val="18"/>
        </w:rPr>
        <w:t>https://</w:t>
      </w:r>
      <w:hyperlink r:id="rId635">
        <w:r>
          <w:rPr>
            <w:sz w:val="18"/>
          </w:rPr>
          <w:t>www.mass.gov/service-details/dys-reports-and-</w:t>
        </w:r>
      </w:hyperlink>
      <w:r>
        <w:rPr>
          <w:sz w:val="18"/>
        </w:rPr>
        <w:t xml:space="preserve"> </w:t>
      </w:r>
      <w:r>
        <w:rPr>
          <w:spacing w:val="-2"/>
          <w:sz w:val="18"/>
        </w:rPr>
        <w:t>resources.</w:t>
      </w:r>
    </w:p>
    <w:p w:rsidR="00200FDA" w:rsidRDefault="00F76C4C">
      <w:pPr>
        <w:ind w:left="140" w:hanging="1"/>
        <w:rPr>
          <w:sz w:val="18"/>
        </w:rPr>
      </w:pPr>
      <w:r>
        <w:rPr>
          <w:position w:val="5"/>
          <w:sz w:val="12"/>
        </w:rPr>
        <w:t>4</w:t>
      </w:r>
      <w:r>
        <w:rPr>
          <w:spacing w:val="6"/>
          <w:position w:val="5"/>
          <w:sz w:val="12"/>
        </w:rPr>
        <w:t xml:space="preserve"> </w:t>
      </w:r>
      <w:r>
        <w:rPr>
          <w:sz w:val="18"/>
        </w:rPr>
        <w:t>Lambda</w:t>
      </w:r>
      <w:r>
        <w:rPr>
          <w:spacing w:val="-10"/>
          <w:sz w:val="18"/>
        </w:rPr>
        <w:t xml:space="preserve"> </w:t>
      </w:r>
      <w:r>
        <w:rPr>
          <w:sz w:val="18"/>
        </w:rPr>
        <w:t>Legal,</w:t>
      </w:r>
      <w:r>
        <w:rPr>
          <w:spacing w:val="-10"/>
          <w:sz w:val="18"/>
        </w:rPr>
        <w:t xml:space="preserve"> </w:t>
      </w:r>
      <w:r>
        <w:rPr>
          <w:sz w:val="18"/>
        </w:rPr>
        <w:t>“Protected</w:t>
      </w:r>
      <w:r>
        <w:rPr>
          <w:spacing w:val="-11"/>
          <w:sz w:val="18"/>
        </w:rPr>
        <w:t xml:space="preserve"> </w:t>
      </w:r>
      <w:r>
        <w:rPr>
          <w:sz w:val="18"/>
        </w:rPr>
        <w:t>and</w:t>
      </w:r>
      <w:r>
        <w:rPr>
          <w:spacing w:val="-8"/>
          <w:sz w:val="18"/>
        </w:rPr>
        <w:t xml:space="preserve"> </w:t>
      </w:r>
      <w:r>
        <w:rPr>
          <w:sz w:val="18"/>
        </w:rPr>
        <w:t>Served?</w:t>
      </w:r>
      <w:r>
        <w:rPr>
          <w:spacing w:val="-11"/>
          <w:sz w:val="18"/>
        </w:rPr>
        <w:t xml:space="preserve"> </w:t>
      </w:r>
      <w:r>
        <w:rPr>
          <w:sz w:val="18"/>
        </w:rPr>
        <w:t>School</w:t>
      </w:r>
      <w:r>
        <w:rPr>
          <w:spacing w:val="-10"/>
          <w:sz w:val="18"/>
        </w:rPr>
        <w:t xml:space="preserve"> </w:t>
      </w:r>
      <w:r>
        <w:rPr>
          <w:sz w:val="18"/>
        </w:rPr>
        <w:t>Security,</w:t>
      </w:r>
      <w:r>
        <w:rPr>
          <w:spacing w:val="-9"/>
          <w:sz w:val="18"/>
        </w:rPr>
        <w:t xml:space="preserve"> </w:t>
      </w:r>
      <w:r>
        <w:rPr>
          <w:sz w:val="18"/>
        </w:rPr>
        <w:t>Policing</w:t>
      </w:r>
      <w:r>
        <w:rPr>
          <w:spacing w:val="-9"/>
          <w:sz w:val="18"/>
        </w:rPr>
        <w:t xml:space="preserve"> </w:t>
      </w:r>
      <w:r>
        <w:rPr>
          <w:sz w:val="18"/>
        </w:rPr>
        <w:t>and</w:t>
      </w:r>
      <w:r>
        <w:rPr>
          <w:spacing w:val="-11"/>
          <w:sz w:val="18"/>
        </w:rPr>
        <w:t xml:space="preserve"> </w:t>
      </w:r>
      <w:r>
        <w:rPr>
          <w:sz w:val="18"/>
        </w:rPr>
        <w:t>Discipline,”</w:t>
      </w:r>
      <w:r>
        <w:rPr>
          <w:spacing w:val="-10"/>
          <w:sz w:val="18"/>
        </w:rPr>
        <w:t xml:space="preserve"> </w:t>
      </w:r>
      <w:r>
        <w:rPr>
          <w:sz w:val="18"/>
        </w:rPr>
        <w:t>January</w:t>
      </w:r>
      <w:r>
        <w:rPr>
          <w:spacing w:val="-10"/>
          <w:sz w:val="18"/>
        </w:rPr>
        <w:t xml:space="preserve"> </w:t>
      </w:r>
      <w:r>
        <w:rPr>
          <w:sz w:val="18"/>
        </w:rPr>
        <w:t>7,</w:t>
      </w:r>
      <w:r>
        <w:rPr>
          <w:spacing w:val="-9"/>
          <w:sz w:val="18"/>
        </w:rPr>
        <w:t xml:space="preserve"> </w:t>
      </w:r>
      <w:r>
        <w:rPr>
          <w:sz w:val="18"/>
        </w:rPr>
        <w:t xml:space="preserve">2016, </w:t>
      </w:r>
      <w:r>
        <w:rPr>
          <w:spacing w:val="-2"/>
          <w:sz w:val="18"/>
        </w:rPr>
        <w:t>https://</w:t>
      </w:r>
      <w:hyperlink r:id="rId636">
        <w:r>
          <w:rPr>
            <w:spacing w:val="-2"/>
            <w:sz w:val="18"/>
          </w:rPr>
          <w:t>www.lambdalegal.org/node/30521.</w:t>
        </w:r>
      </w:hyperlink>
    </w:p>
    <w:p w:rsidR="00200FDA" w:rsidRDefault="00F76C4C">
      <w:pPr>
        <w:ind w:left="140" w:right="230" w:hanging="1"/>
        <w:rPr>
          <w:sz w:val="18"/>
        </w:rPr>
      </w:pPr>
      <w:r>
        <w:rPr>
          <w:position w:val="5"/>
          <w:sz w:val="12"/>
        </w:rPr>
        <w:t>5</w:t>
      </w:r>
      <w:r>
        <w:rPr>
          <w:spacing w:val="10"/>
          <w:position w:val="5"/>
          <w:sz w:val="12"/>
        </w:rPr>
        <w:t xml:space="preserve"> </w:t>
      </w:r>
      <w:r>
        <w:rPr>
          <w:sz w:val="18"/>
        </w:rPr>
        <w:t>Massachusetts</w:t>
      </w:r>
      <w:r>
        <w:rPr>
          <w:spacing w:val="-3"/>
          <w:sz w:val="18"/>
        </w:rPr>
        <w:t xml:space="preserve"> </w:t>
      </w:r>
      <w:r>
        <w:rPr>
          <w:sz w:val="18"/>
        </w:rPr>
        <w:t>Department</w:t>
      </w:r>
      <w:r>
        <w:rPr>
          <w:spacing w:val="-3"/>
          <w:sz w:val="18"/>
        </w:rPr>
        <w:t xml:space="preserve"> </w:t>
      </w:r>
      <w:r>
        <w:rPr>
          <w:sz w:val="18"/>
        </w:rPr>
        <w:t>of</w:t>
      </w:r>
      <w:r>
        <w:rPr>
          <w:spacing w:val="-2"/>
          <w:sz w:val="18"/>
        </w:rPr>
        <w:t xml:space="preserve"> </w:t>
      </w:r>
      <w:r>
        <w:rPr>
          <w:sz w:val="18"/>
        </w:rPr>
        <w:t>Correction,</w:t>
      </w:r>
      <w:r>
        <w:rPr>
          <w:spacing w:val="-2"/>
          <w:sz w:val="18"/>
        </w:rPr>
        <w:t xml:space="preserve"> </w:t>
      </w:r>
      <w:r>
        <w:rPr>
          <w:sz w:val="18"/>
        </w:rPr>
        <w:t>“103</w:t>
      </w:r>
      <w:r>
        <w:rPr>
          <w:spacing w:val="-2"/>
          <w:sz w:val="18"/>
        </w:rPr>
        <w:t xml:space="preserve"> </w:t>
      </w:r>
      <w:r>
        <w:rPr>
          <w:sz w:val="18"/>
        </w:rPr>
        <w:t>DOC</w:t>
      </w:r>
      <w:r>
        <w:rPr>
          <w:spacing w:val="-2"/>
          <w:sz w:val="18"/>
        </w:rPr>
        <w:t xml:space="preserve"> </w:t>
      </w:r>
      <w:r>
        <w:rPr>
          <w:sz w:val="18"/>
        </w:rPr>
        <w:t>653:</w:t>
      </w:r>
      <w:r>
        <w:rPr>
          <w:spacing w:val="-2"/>
          <w:sz w:val="18"/>
        </w:rPr>
        <w:t xml:space="preserve"> </w:t>
      </w:r>
      <w:r>
        <w:rPr>
          <w:sz w:val="18"/>
        </w:rPr>
        <w:t>Identification,</w:t>
      </w:r>
      <w:r>
        <w:rPr>
          <w:spacing w:val="-2"/>
          <w:sz w:val="18"/>
        </w:rPr>
        <w:t xml:space="preserve"> </w:t>
      </w:r>
      <w:r>
        <w:rPr>
          <w:sz w:val="18"/>
        </w:rPr>
        <w:t>Treatment,</w:t>
      </w:r>
      <w:r>
        <w:rPr>
          <w:spacing w:val="-2"/>
          <w:sz w:val="18"/>
        </w:rPr>
        <w:t xml:space="preserve"> </w:t>
      </w:r>
      <w:r>
        <w:rPr>
          <w:sz w:val="18"/>
        </w:rPr>
        <w:t>and</w:t>
      </w:r>
      <w:r>
        <w:rPr>
          <w:spacing w:val="-3"/>
          <w:sz w:val="18"/>
        </w:rPr>
        <w:t xml:space="preserve"> </w:t>
      </w:r>
      <w:r>
        <w:rPr>
          <w:sz w:val="18"/>
        </w:rPr>
        <w:t>Correctional</w:t>
      </w:r>
      <w:r>
        <w:rPr>
          <w:spacing w:val="-3"/>
          <w:sz w:val="18"/>
        </w:rPr>
        <w:t xml:space="preserve"> </w:t>
      </w:r>
      <w:r>
        <w:rPr>
          <w:sz w:val="18"/>
        </w:rPr>
        <w:t>Management</w:t>
      </w:r>
      <w:r>
        <w:rPr>
          <w:spacing w:val="-3"/>
          <w:sz w:val="18"/>
        </w:rPr>
        <w:t xml:space="preserve"> </w:t>
      </w:r>
      <w:r>
        <w:rPr>
          <w:sz w:val="18"/>
        </w:rPr>
        <w:t>of</w:t>
      </w:r>
      <w:r>
        <w:rPr>
          <w:spacing w:val="-2"/>
          <w:sz w:val="18"/>
        </w:rPr>
        <w:t xml:space="preserve"> </w:t>
      </w:r>
      <w:r>
        <w:rPr>
          <w:sz w:val="18"/>
        </w:rPr>
        <w:t>Gender Non-Conforming Inmates: Policy,” October 26, 2022, https://</w:t>
      </w:r>
      <w:hyperlink r:id="rId637">
        <w:r>
          <w:rPr>
            <w:sz w:val="18"/>
          </w:rPr>
          <w:t>www.mass.gov/doc/doc-653-identification-treatment-and-</w:t>
        </w:r>
      </w:hyperlink>
      <w:r>
        <w:rPr>
          <w:sz w:val="18"/>
        </w:rPr>
        <w:t xml:space="preserve"> </w:t>
      </w:r>
      <w:r>
        <w:rPr>
          <w:spacing w:val="-2"/>
          <w:sz w:val="18"/>
        </w:rPr>
        <w:t>correctional-management-of-gender-non-conforming-inmates/download.</w:t>
      </w:r>
    </w:p>
    <w:p w:rsidR="00200FDA" w:rsidRDefault="00F76C4C">
      <w:pPr>
        <w:ind w:left="140" w:right="406" w:hanging="1"/>
        <w:rPr>
          <w:sz w:val="18"/>
        </w:rPr>
      </w:pPr>
      <w:r>
        <w:rPr>
          <w:position w:val="5"/>
          <w:sz w:val="12"/>
        </w:rPr>
        <w:t>6</w:t>
      </w:r>
      <w:r>
        <w:rPr>
          <w:spacing w:val="20"/>
          <w:position w:val="5"/>
          <w:sz w:val="12"/>
        </w:rPr>
        <w:t xml:space="preserve"> </w:t>
      </w:r>
      <w:r>
        <w:rPr>
          <w:sz w:val="18"/>
        </w:rPr>
        <w:t xml:space="preserve">Mark Herz, “Independent Investigation Begins in Fatal Cambridge Police Shooting,” WGBH, February 24, 2023, </w:t>
      </w:r>
      <w:r>
        <w:rPr>
          <w:spacing w:val="-2"/>
          <w:sz w:val="18"/>
        </w:rPr>
        <w:t>https://</w:t>
      </w:r>
      <w:hyperlink r:id="rId638">
        <w:r>
          <w:rPr>
            <w:spacing w:val="-2"/>
            <w:sz w:val="18"/>
          </w:rPr>
          <w:t>www.wgbh.org/news/local-news/2023/02/24/independent-investigation-begins-in-fatal-cambridge-police-shooting.</w:t>
        </w:r>
      </w:hyperlink>
    </w:p>
    <w:p w:rsidR="00200FDA" w:rsidRDefault="00200FDA">
      <w:pPr>
        <w:rPr>
          <w:sz w:val="18"/>
        </w:rPr>
        <w:sectPr w:rsidR="00200FDA">
          <w:pgSz w:w="12240" w:h="15840"/>
          <w:pgMar w:top="1380" w:right="1300" w:bottom="1240" w:left="1300" w:header="552" w:footer="1043" w:gutter="0"/>
          <w:cols w:space="720"/>
        </w:sectPr>
      </w:pPr>
    </w:p>
    <w:p w:rsidR="00200FDA" w:rsidRDefault="00200FDA">
      <w:pPr>
        <w:pStyle w:val="BodyText"/>
        <w:spacing w:before="4"/>
        <w:rPr>
          <w:sz w:val="18"/>
        </w:rPr>
      </w:pPr>
    </w:p>
    <w:p w:rsidR="00200FDA" w:rsidRDefault="00F76C4C">
      <w:pPr>
        <w:spacing w:before="69"/>
        <w:ind w:left="140" w:right="2438" w:hanging="1"/>
        <w:rPr>
          <w:sz w:val="18"/>
        </w:rPr>
      </w:pPr>
      <w:r>
        <w:rPr>
          <w:position w:val="5"/>
          <w:sz w:val="12"/>
        </w:rPr>
        <w:t>7</w:t>
      </w:r>
      <w:r>
        <w:rPr>
          <w:spacing w:val="10"/>
          <w:position w:val="5"/>
          <w:sz w:val="12"/>
        </w:rPr>
        <w:t xml:space="preserve"> </w:t>
      </w:r>
      <w:r>
        <w:rPr>
          <w:sz w:val="18"/>
        </w:rPr>
        <w:t>ACLU,</w:t>
      </w:r>
      <w:r>
        <w:rPr>
          <w:spacing w:val="-2"/>
          <w:sz w:val="18"/>
        </w:rPr>
        <w:t xml:space="preserve"> </w:t>
      </w:r>
      <w:r>
        <w:rPr>
          <w:sz w:val="18"/>
        </w:rPr>
        <w:t>“‘Is</w:t>
      </w:r>
      <w:r>
        <w:rPr>
          <w:spacing w:val="-3"/>
          <w:sz w:val="18"/>
        </w:rPr>
        <w:t xml:space="preserve"> </w:t>
      </w:r>
      <w:r>
        <w:rPr>
          <w:sz w:val="18"/>
        </w:rPr>
        <w:t>Sex</w:t>
      </w:r>
      <w:r>
        <w:rPr>
          <w:spacing w:val="-3"/>
          <w:sz w:val="18"/>
        </w:rPr>
        <w:t xml:space="preserve"> </w:t>
      </w:r>
      <w:r>
        <w:rPr>
          <w:sz w:val="18"/>
        </w:rPr>
        <w:t>Work</w:t>
      </w:r>
      <w:r>
        <w:rPr>
          <w:spacing w:val="-3"/>
          <w:sz w:val="18"/>
        </w:rPr>
        <w:t xml:space="preserve"> </w:t>
      </w:r>
      <w:r>
        <w:rPr>
          <w:sz w:val="18"/>
        </w:rPr>
        <w:t>Decriminalization</w:t>
      </w:r>
      <w:r>
        <w:rPr>
          <w:spacing w:val="-3"/>
          <w:sz w:val="18"/>
        </w:rPr>
        <w:t xml:space="preserve"> </w:t>
      </w:r>
      <w:r>
        <w:rPr>
          <w:sz w:val="18"/>
        </w:rPr>
        <w:t>the</w:t>
      </w:r>
      <w:r>
        <w:rPr>
          <w:spacing w:val="-3"/>
          <w:sz w:val="18"/>
        </w:rPr>
        <w:t xml:space="preserve"> </w:t>
      </w:r>
      <w:r>
        <w:rPr>
          <w:sz w:val="18"/>
        </w:rPr>
        <w:t>Answer?</w:t>
      </w:r>
      <w:r>
        <w:rPr>
          <w:spacing w:val="-2"/>
          <w:sz w:val="18"/>
        </w:rPr>
        <w:t xml:space="preserve"> </w:t>
      </w:r>
      <w:r>
        <w:rPr>
          <w:sz w:val="18"/>
        </w:rPr>
        <w:t>What</w:t>
      </w:r>
      <w:r>
        <w:rPr>
          <w:spacing w:val="-3"/>
          <w:sz w:val="18"/>
        </w:rPr>
        <w:t xml:space="preserve"> </w:t>
      </w:r>
      <w:r>
        <w:rPr>
          <w:sz w:val="18"/>
        </w:rPr>
        <w:t>the</w:t>
      </w:r>
      <w:r>
        <w:rPr>
          <w:spacing w:val="-3"/>
          <w:sz w:val="18"/>
        </w:rPr>
        <w:t xml:space="preserve"> </w:t>
      </w:r>
      <w:r>
        <w:rPr>
          <w:sz w:val="18"/>
        </w:rPr>
        <w:t>Research</w:t>
      </w:r>
      <w:r>
        <w:rPr>
          <w:spacing w:val="-3"/>
          <w:sz w:val="18"/>
        </w:rPr>
        <w:t xml:space="preserve"> </w:t>
      </w:r>
      <w:r>
        <w:rPr>
          <w:sz w:val="18"/>
        </w:rPr>
        <w:t>Tells</w:t>
      </w:r>
      <w:r>
        <w:rPr>
          <w:spacing w:val="-3"/>
          <w:sz w:val="18"/>
        </w:rPr>
        <w:t xml:space="preserve"> </w:t>
      </w:r>
      <w:r>
        <w:rPr>
          <w:sz w:val="18"/>
        </w:rPr>
        <w:t>Us.’”</w:t>
      </w:r>
      <w:r>
        <w:rPr>
          <w:spacing w:val="-3"/>
          <w:sz w:val="18"/>
        </w:rPr>
        <w:t xml:space="preserve"> </w:t>
      </w:r>
      <w:r>
        <w:rPr>
          <w:sz w:val="18"/>
        </w:rPr>
        <w:t>(ACLU,</w:t>
      </w:r>
      <w:r>
        <w:rPr>
          <w:spacing w:val="-2"/>
          <w:sz w:val="18"/>
        </w:rPr>
        <w:t xml:space="preserve"> </w:t>
      </w:r>
      <w:r>
        <w:rPr>
          <w:sz w:val="18"/>
        </w:rPr>
        <w:t>2020), https://</w:t>
      </w:r>
      <w:hyperlink r:id="rId639">
        <w:r>
          <w:rPr>
            <w:sz w:val="18"/>
          </w:rPr>
          <w:t>www.aclu.org/report/sex-work-decriminalization-answer-wha</w:t>
        </w:r>
        <w:r>
          <w:rPr>
            <w:sz w:val="18"/>
          </w:rPr>
          <w:t>t-research-</w:t>
        </w:r>
      </w:hyperlink>
      <w:r>
        <w:rPr>
          <w:sz w:val="18"/>
        </w:rPr>
        <w:t xml:space="preserve"> tells-us.</w:t>
      </w:r>
    </w:p>
    <w:p w:rsidR="00200FDA" w:rsidRDefault="00F76C4C">
      <w:pPr>
        <w:ind w:left="140" w:right="2230" w:hanging="1"/>
        <w:rPr>
          <w:sz w:val="18"/>
        </w:rPr>
      </w:pPr>
      <w:r>
        <w:rPr>
          <w:position w:val="5"/>
          <w:sz w:val="12"/>
        </w:rPr>
        <w:t>8</w:t>
      </w:r>
      <w:r>
        <w:rPr>
          <w:spacing w:val="10"/>
          <w:position w:val="5"/>
          <w:sz w:val="12"/>
        </w:rPr>
        <w:t xml:space="preserve"> </w:t>
      </w:r>
      <w:r>
        <w:rPr>
          <w:sz w:val="18"/>
        </w:rPr>
        <w:t>Melissa</w:t>
      </w:r>
      <w:r>
        <w:rPr>
          <w:spacing w:val="-2"/>
          <w:sz w:val="18"/>
        </w:rPr>
        <w:t xml:space="preserve"> </w:t>
      </w:r>
      <w:r>
        <w:rPr>
          <w:sz w:val="18"/>
        </w:rPr>
        <w:t>Ditmore</w:t>
      </w:r>
      <w:r>
        <w:rPr>
          <w:spacing w:val="-3"/>
          <w:sz w:val="18"/>
        </w:rPr>
        <w:t xml:space="preserve"> </w:t>
      </w:r>
      <w:r>
        <w:rPr>
          <w:sz w:val="18"/>
        </w:rPr>
        <w:t>and</w:t>
      </w:r>
      <w:r>
        <w:rPr>
          <w:spacing w:val="-3"/>
          <w:sz w:val="18"/>
        </w:rPr>
        <w:t xml:space="preserve"> </w:t>
      </w:r>
      <w:r>
        <w:rPr>
          <w:sz w:val="18"/>
        </w:rPr>
        <w:t>Sex</w:t>
      </w:r>
      <w:r>
        <w:rPr>
          <w:spacing w:val="-3"/>
          <w:sz w:val="18"/>
        </w:rPr>
        <w:t xml:space="preserve"> </w:t>
      </w:r>
      <w:r>
        <w:rPr>
          <w:sz w:val="18"/>
        </w:rPr>
        <w:t>Workers</w:t>
      </w:r>
      <w:r>
        <w:rPr>
          <w:spacing w:val="-3"/>
          <w:sz w:val="18"/>
        </w:rPr>
        <w:t xml:space="preserve"> </w:t>
      </w:r>
      <w:r>
        <w:rPr>
          <w:sz w:val="18"/>
        </w:rPr>
        <w:t>Project,</w:t>
      </w:r>
      <w:r>
        <w:rPr>
          <w:spacing w:val="-2"/>
          <w:sz w:val="18"/>
        </w:rPr>
        <w:t xml:space="preserve"> </w:t>
      </w:r>
      <w:r>
        <w:rPr>
          <w:sz w:val="18"/>
        </w:rPr>
        <w:t>“The</w:t>
      </w:r>
      <w:r>
        <w:rPr>
          <w:spacing w:val="-3"/>
          <w:sz w:val="18"/>
        </w:rPr>
        <w:t xml:space="preserve"> </w:t>
      </w:r>
      <w:r>
        <w:rPr>
          <w:sz w:val="18"/>
        </w:rPr>
        <w:t>Use</w:t>
      </w:r>
      <w:r>
        <w:rPr>
          <w:spacing w:val="-3"/>
          <w:sz w:val="18"/>
        </w:rPr>
        <w:t xml:space="preserve"> </w:t>
      </w:r>
      <w:r>
        <w:rPr>
          <w:sz w:val="18"/>
        </w:rPr>
        <w:t>of</w:t>
      </w:r>
      <w:r>
        <w:rPr>
          <w:spacing w:val="-2"/>
          <w:sz w:val="18"/>
        </w:rPr>
        <w:t xml:space="preserve"> </w:t>
      </w:r>
      <w:r>
        <w:rPr>
          <w:sz w:val="18"/>
        </w:rPr>
        <w:t>Raids</w:t>
      </w:r>
      <w:r>
        <w:rPr>
          <w:spacing w:val="-3"/>
          <w:sz w:val="18"/>
        </w:rPr>
        <w:t xml:space="preserve"> </w:t>
      </w:r>
      <w:r>
        <w:rPr>
          <w:sz w:val="18"/>
        </w:rPr>
        <w:t>to</w:t>
      </w:r>
      <w:r>
        <w:rPr>
          <w:spacing w:val="-1"/>
          <w:sz w:val="18"/>
        </w:rPr>
        <w:t xml:space="preserve"> </w:t>
      </w:r>
      <w:r>
        <w:rPr>
          <w:sz w:val="18"/>
        </w:rPr>
        <w:t>Fight</w:t>
      </w:r>
      <w:r>
        <w:rPr>
          <w:spacing w:val="-3"/>
          <w:sz w:val="18"/>
        </w:rPr>
        <w:t xml:space="preserve"> </w:t>
      </w:r>
      <w:r>
        <w:rPr>
          <w:sz w:val="18"/>
        </w:rPr>
        <w:t>Trafficking</w:t>
      </w:r>
      <w:r>
        <w:rPr>
          <w:spacing w:val="-3"/>
          <w:sz w:val="18"/>
        </w:rPr>
        <w:t xml:space="preserve"> </w:t>
      </w:r>
      <w:r>
        <w:rPr>
          <w:sz w:val="18"/>
        </w:rPr>
        <w:t>in</w:t>
      </w:r>
      <w:r>
        <w:rPr>
          <w:spacing w:val="-3"/>
          <w:sz w:val="18"/>
        </w:rPr>
        <w:t xml:space="preserve"> </w:t>
      </w:r>
      <w:r>
        <w:rPr>
          <w:sz w:val="18"/>
        </w:rPr>
        <w:t>Persons,”</w:t>
      </w:r>
      <w:r>
        <w:rPr>
          <w:spacing w:val="-3"/>
          <w:sz w:val="18"/>
        </w:rPr>
        <w:t xml:space="preserve"> </w:t>
      </w:r>
      <w:r>
        <w:rPr>
          <w:sz w:val="18"/>
        </w:rPr>
        <w:t xml:space="preserve">2009, </w:t>
      </w:r>
      <w:r>
        <w:rPr>
          <w:spacing w:val="-2"/>
          <w:sz w:val="18"/>
        </w:rPr>
        <w:t>https://sexworkersproject.org/downloads/swp-2009-raids-and-trafficking-report.pdf.</w:t>
      </w:r>
    </w:p>
    <w:p w:rsidR="00200FDA" w:rsidRDefault="00F76C4C">
      <w:pPr>
        <w:ind w:left="140" w:hanging="1"/>
        <w:rPr>
          <w:sz w:val="18"/>
        </w:rPr>
      </w:pPr>
      <w:r>
        <w:rPr>
          <w:position w:val="5"/>
          <w:sz w:val="12"/>
        </w:rPr>
        <w:t>9</w:t>
      </w:r>
      <w:r>
        <w:rPr>
          <w:sz w:val="18"/>
        </w:rPr>
        <w:t>“The</w:t>
      </w:r>
      <w:r>
        <w:rPr>
          <w:spacing w:val="-4"/>
          <w:sz w:val="18"/>
        </w:rPr>
        <w:t xml:space="preserve"> </w:t>
      </w:r>
      <w:r>
        <w:rPr>
          <w:sz w:val="18"/>
        </w:rPr>
        <w:t>Alexia</w:t>
      </w:r>
      <w:r>
        <w:rPr>
          <w:spacing w:val="-1"/>
          <w:sz w:val="18"/>
        </w:rPr>
        <w:t xml:space="preserve"> </w:t>
      </w:r>
      <w:r>
        <w:rPr>
          <w:sz w:val="18"/>
        </w:rPr>
        <w:t>Norena</w:t>
      </w:r>
      <w:r>
        <w:rPr>
          <w:spacing w:val="-3"/>
          <w:sz w:val="18"/>
        </w:rPr>
        <w:t xml:space="preserve"> </w:t>
      </w:r>
      <w:r>
        <w:rPr>
          <w:sz w:val="18"/>
        </w:rPr>
        <w:t>House,”</w:t>
      </w:r>
      <w:r>
        <w:rPr>
          <w:spacing w:val="-4"/>
          <w:sz w:val="18"/>
        </w:rPr>
        <w:t xml:space="preserve"> </w:t>
      </w:r>
      <w:r>
        <w:rPr>
          <w:sz w:val="18"/>
        </w:rPr>
        <w:t>Black</w:t>
      </w:r>
      <w:r>
        <w:rPr>
          <w:spacing w:val="-4"/>
          <w:sz w:val="18"/>
        </w:rPr>
        <w:t xml:space="preserve"> </w:t>
      </w:r>
      <w:r>
        <w:rPr>
          <w:sz w:val="18"/>
        </w:rPr>
        <w:t>and</w:t>
      </w:r>
      <w:r>
        <w:rPr>
          <w:spacing w:val="-4"/>
          <w:sz w:val="18"/>
        </w:rPr>
        <w:t xml:space="preserve"> </w:t>
      </w:r>
      <w:r>
        <w:rPr>
          <w:sz w:val="18"/>
        </w:rPr>
        <w:t>Pink</w:t>
      </w:r>
      <w:r>
        <w:rPr>
          <w:spacing w:val="-4"/>
          <w:sz w:val="18"/>
        </w:rPr>
        <w:t xml:space="preserve"> </w:t>
      </w:r>
      <w:r>
        <w:rPr>
          <w:sz w:val="18"/>
        </w:rPr>
        <w:t>Massachusetts,</w:t>
      </w:r>
      <w:r>
        <w:rPr>
          <w:spacing w:val="-3"/>
          <w:sz w:val="18"/>
        </w:rPr>
        <w:t xml:space="preserve"> </w:t>
      </w:r>
      <w:r>
        <w:rPr>
          <w:sz w:val="18"/>
        </w:rPr>
        <w:t>accessed</w:t>
      </w:r>
      <w:r>
        <w:rPr>
          <w:spacing w:val="-4"/>
          <w:sz w:val="18"/>
        </w:rPr>
        <w:t xml:space="preserve"> </w:t>
      </w:r>
      <w:r>
        <w:rPr>
          <w:sz w:val="18"/>
        </w:rPr>
        <w:t>March</w:t>
      </w:r>
      <w:r>
        <w:rPr>
          <w:spacing w:val="-4"/>
          <w:sz w:val="18"/>
        </w:rPr>
        <w:t xml:space="preserve"> </w:t>
      </w:r>
      <w:r>
        <w:rPr>
          <w:sz w:val="18"/>
        </w:rPr>
        <w:t>15,</w:t>
      </w:r>
      <w:r>
        <w:rPr>
          <w:spacing w:val="-3"/>
          <w:sz w:val="18"/>
        </w:rPr>
        <w:t xml:space="preserve"> </w:t>
      </w:r>
      <w:r>
        <w:rPr>
          <w:sz w:val="18"/>
        </w:rPr>
        <w:t>2023,</w:t>
      </w:r>
      <w:r>
        <w:rPr>
          <w:spacing w:val="-3"/>
          <w:sz w:val="18"/>
        </w:rPr>
        <w:t xml:space="preserve"> </w:t>
      </w:r>
      <w:r>
        <w:rPr>
          <w:sz w:val="18"/>
        </w:rPr>
        <w:t>https://</w:t>
      </w:r>
      <w:hyperlink r:id="rId640">
        <w:r>
          <w:rPr>
            <w:sz w:val="18"/>
          </w:rPr>
          <w:t>www.blackandpinkma.org/our-</w:t>
        </w:r>
      </w:hyperlink>
      <w:r>
        <w:rPr>
          <w:sz w:val="18"/>
        </w:rPr>
        <w:t xml:space="preserve"> </w:t>
      </w:r>
      <w:r>
        <w:rPr>
          <w:spacing w:val="-2"/>
          <w:sz w:val="18"/>
        </w:rPr>
        <w:t>house.</w:t>
      </w:r>
    </w:p>
    <w:p w:rsidR="00200FDA" w:rsidRDefault="00F76C4C">
      <w:pPr>
        <w:ind w:left="140" w:right="2185" w:hanging="1"/>
        <w:rPr>
          <w:sz w:val="18"/>
        </w:rPr>
      </w:pPr>
      <w:r>
        <w:rPr>
          <w:position w:val="5"/>
          <w:sz w:val="12"/>
        </w:rPr>
        <w:t>10</w:t>
      </w:r>
      <w:r>
        <w:rPr>
          <w:spacing w:val="8"/>
          <w:position w:val="5"/>
          <w:sz w:val="12"/>
        </w:rPr>
        <w:t xml:space="preserve"> </w:t>
      </w:r>
      <w:r>
        <w:rPr>
          <w:sz w:val="18"/>
        </w:rPr>
        <w:t>TEFAdmin,</w:t>
      </w:r>
      <w:r>
        <w:rPr>
          <w:spacing w:val="-4"/>
          <w:sz w:val="18"/>
        </w:rPr>
        <w:t xml:space="preserve"> </w:t>
      </w:r>
      <w:r>
        <w:rPr>
          <w:sz w:val="18"/>
        </w:rPr>
        <w:t>“Transitional</w:t>
      </w:r>
      <w:r>
        <w:rPr>
          <w:spacing w:val="-5"/>
          <w:sz w:val="18"/>
        </w:rPr>
        <w:t xml:space="preserve"> </w:t>
      </w:r>
      <w:r>
        <w:rPr>
          <w:sz w:val="18"/>
        </w:rPr>
        <w:t>Housing,”</w:t>
      </w:r>
      <w:r>
        <w:rPr>
          <w:spacing w:val="-5"/>
          <w:sz w:val="18"/>
        </w:rPr>
        <w:t xml:space="preserve"> </w:t>
      </w:r>
      <w:r>
        <w:rPr>
          <w:i/>
          <w:sz w:val="18"/>
        </w:rPr>
        <w:t>Transgender</w:t>
      </w:r>
      <w:r>
        <w:rPr>
          <w:i/>
          <w:spacing w:val="-5"/>
          <w:sz w:val="18"/>
        </w:rPr>
        <w:t xml:space="preserve"> </w:t>
      </w:r>
      <w:r>
        <w:rPr>
          <w:i/>
          <w:sz w:val="18"/>
        </w:rPr>
        <w:t>Emergency</w:t>
      </w:r>
      <w:r>
        <w:rPr>
          <w:i/>
          <w:spacing w:val="-3"/>
          <w:sz w:val="18"/>
        </w:rPr>
        <w:t xml:space="preserve"> </w:t>
      </w:r>
      <w:r>
        <w:rPr>
          <w:i/>
          <w:sz w:val="18"/>
        </w:rPr>
        <w:t>Fund</w:t>
      </w:r>
      <w:r>
        <w:rPr>
          <w:i/>
          <w:spacing w:val="-2"/>
          <w:sz w:val="18"/>
        </w:rPr>
        <w:t xml:space="preserve"> </w:t>
      </w:r>
      <w:r>
        <w:rPr>
          <w:sz w:val="18"/>
        </w:rPr>
        <w:t>(blog),</w:t>
      </w:r>
      <w:r>
        <w:rPr>
          <w:spacing w:val="-4"/>
          <w:sz w:val="18"/>
        </w:rPr>
        <w:t xml:space="preserve"> </w:t>
      </w:r>
      <w:r>
        <w:rPr>
          <w:sz w:val="18"/>
        </w:rPr>
        <w:t>accessed</w:t>
      </w:r>
      <w:r>
        <w:rPr>
          <w:spacing w:val="-5"/>
          <w:sz w:val="18"/>
        </w:rPr>
        <w:t xml:space="preserve"> </w:t>
      </w:r>
      <w:r>
        <w:rPr>
          <w:sz w:val="18"/>
        </w:rPr>
        <w:t>March</w:t>
      </w:r>
      <w:r>
        <w:rPr>
          <w:spacing w:val="-5"/>
          <w:sz w:val="18"/>
        </w:rPr>
        <w:t xml:space="preserve"> </w:t>
      </w:r>
      <w:r>
        <w:rPr>
          <w:sz w:val="18"/>
        </w:rPr>
        <w:t>15,</w:t>
      </w:r>
      <w:r>
        <w:rPr>
          <w:spacing w:val="-4"/>
          <w:sz w:val="18"/>
        </w:rPr>
        <w:t xml:space="preserve"> </w:t>
      </w:r>
      <w:r>
        <w:rPr>
          <w:sz w:val="18"/>
        </w:rPr>
        <w:t xml:space="preserve">2023, </w:t>
      </w:r>
      <w:r>
        <w:rPr>
          <w:spacing w:val="-2"/>
          <w:sz w:val="18"/>
        </w:rPr>
        <w:t>https://transemergency</w:t>
      </w:r>
      <w:r>
        <w:rPr>
          <w:spacing w:val="-2"/>
          <w:sz w:val="18"/>
        </w:rPr>
        <w:t>fund.org/transitional-housing/.</w:t>
      </w:r>
    </w:p>
    <w:p w:rsidR="00200FDA" w:rsidRDefault="00F76C4C">
      <w:pPr>
        <w:spacing w:before="1"/>
        <w:ind w:left="140" w:right="514" w:hanging="1"/>
        <w:rPr>
          <w:sz w:val="18"/>
        </w:rPr>
      </w:pPr>
      <w:r>
        <w:rPr>
          <w:position w:val="5"/>
          <w:sz w:val="12"/>
        </w:rPr>
        <w:t>11</w:t>
      </w:r>
      <w:r>
        <w:rPr>
          <w:spacing w:val="10"/>
          <w:position w:val="5"/>
          <w:sz w:val="12"/>
        </w:rPr>
        <w:t xml:space="preserve"> </w:t>
      </w:r>
      <w:r>
        <w:rPr>
          <w:sz w:val="18"/>
        </w:rPr>
        <w:t>Rebecca</w:t>
      </w:r>
      <w:r>
        <w:rPr>
          <w:spacing w:val="-7"/>
          <w:sz w:val="18"/>
        </w:rPr>
        <w:t xml:space="preserve"> </w:t>
      </w:r>
      <w:r>
        <w:rPr>
          <w:sz w:val="18"/>
        </w:rPr>
        <w:t>Vallas</w:t>
      </w:r>
      <w:r>
        <w:rPr>
          <w:spacing w:val="-8"/>
          <w:sz w:val="18"/>
        </w:rPr>
        <w:t xml:space="preserve"> </w:t>
      </w:r>
      <w:r>
        <w:rPr>
          <w:sz w:val="18"/>
        </w:rPr>
        <w:t>and</w:t>
      </w:r>
      <w:r>
        <w:rPr>
          <w:spacing w:val="-8"/>
          <w:sz w:val="18"/>
        </w:rPr>
        <w:t xml:space="preserve"> </w:t>
      </w:r>
      <w:r>
        <w:rPr>
          <w:sz w:val="18"/>
        </w:rPr>
        <w:t>Sharon</w:t>
      </w:r>
      <w:r>
        <w:rPr>
          <w:spacing w:val="-8"/>
          <w:sz w:val="18"/>
        </w:rPr>
        <w:t xml:space="preserve"> </w:t>
      </w:r>
      <w:r>
        <w:rPr>
          <w:sz w:val="18"/>
        </w:rPr>
        <w:t>Dietrich,</w:t>
      </w:r>
      <w:r>
        <w:rPr>
          <w:spacing w:val="-6"/>
          <w:sz w:val="18"/>
        </w:rPr>
        <w:t xml:space="preserve"> </w:t>
      </w:r>
      <w:r>
        <w:rPr>
          <w:sz w:val="18"/>
        </w:rPr>
        <w:t>“One</w:t>
      </w:r>
      <w:r>
        <w:rPr>
          <w:spacing w:val="-10"/>
          <w:sz w:val="18"/>
        </w:rPr>
        <w:t xml:space="preserve"> </w:t>
      </w:r>
      <w:r>
        <w:rPr>
          <w:sz w:val="18"/>
        </w:rPr>
        <w:t>Strike</w:t>
      </w:r>
      <w:r>
        <w:rPr>
          <w:spacing w:val="-8"/>
          <w:sz w:val="18"/>
        </w:rPr>
        <w:t xml:space="preserve"> </w:t>
      </w:r>
      <w:r>
        <w:rPr>
          <w:sz w:val="18"/>
        </w:rPr>
        <w:t>and</w:t>
      </w:r>
      <w:r>
        <w:rPr>
          <w:spacing w:val="-8"/>
          <w:sz w:val="18"/>
        </w:rPr>
        <w:t xml:space="preserve"> </w:t>
      </w:r>
      <w:r>
        <w:rPr>
          <w:sz w:val="18"/>
        </w:rPr>
        <w:t>You’re</w:t>
      </w:r>
      <w:r>
        <w:rPr>
          <w:spacing w:val="-8"/>
          <w:sz w:val="18"/>
        </w:rPr>
        <w:t xml:space="preserve"> </w:t>
      </w:r>
      <w:r>
        <w:rPr>
          <w:sz w:val="18"/>
        </w:rPr>
        <w:t>Out:</w:t>
      </w:r>
      <w:r>
        <w:rPr>
          <w:spacing w:val="-7"/>
          <w:sz w:val="18"/>
        </w:rPr>
        <w:t xml:space="preserve"> </w:t>
      </w:r>
      <w:r>
        <w:rPr>
          <w:sz w:val="18"/>
        </w:rPr>
        <w:t>How</w:t>
      </w:r>
      <w:r>
        <w:rPr>
          <w:spacing w:val="-9"/>
          <w:sz w:val="18"/>
        </w:rPr>
        <w:t xml:space="preserve"> </w:t>
      </w:r>
      <w:r>
        <w:rPr>
          <w:sz w:val="18"/>
        </w:rPr>
        <w:t>We</w:t>
      </w:r>
      <w:r>
        <w:rPr>
          <w:spacing w:val="-8"/>
          <w:sz w:val="18"/>
        </w:rPr>
        <w:t xml:space="preserve"> </w:t>
      </w:r>
      <w:r>
        <w:rPr>
          <w:sz w:val="18"/>
        </w:rPr>
        <w:t>Can</w:t>
      </w:r>
      <w:r>
        <w:rPr>
          <w:spacing w:val="-8"/>
          <w:sz w:val="18"/>
        </w:rPr>
        <w:t xml:space="preserve"> </w:t>
      </w:r>
      <w:r>
        <w:rPr>
          <w:sz w:val="18"/>
        </w:rPr>
        <w:t>Eliminate</w:t>
      </w:r>
      <w:r>
        <w:rPr>
          <w:spacing w:val="-8"/>
          <w:sz w:val="18"/>
        </w:rPr>
        <w:t xml:space="preserve"> </w:t>
      </w:r>
      <w:r>
        <w:rPr>
          <w:sz w:val="18"/>
        </w:rPr>
        <w:t>Barriers</w:t>
      </w:r>
      <w:r>
        <w:rPr>
          <w:spacing w:val="-8"/>
          <w:sz w:val="18"/>
        </w:rPr>
        <w:t xml:space="preserve"> </w:t>
      </w:r>
      <w:r>
        <w:rPr>
          <w:sz w:val="18"/>
        </w:rPr>
        <w:t>to</w:t>
      </w:r>
      <w:r>
        <w:rPr>
          <w:spacing w:val="-6"/>
          <w:sz w:val="18"/>
        </w:rPr>
        <w:t xml:space="preserve"> </w:t>
      </w:r>
      <w:r>
        <w:rPr>
          <w:sz w:val="18"/>
        </w:rPr>
        <w:t>Economic</w:t>
      </w:r>
      <w:r>
        <w:rPr>
          <w:spacing w:val="-2"/>
          <w:sz w:val="18"/>
        </w:rPr>
        <w:t xml:space="preserve"> </w:t>
      </w:r>
      <w:r>
        <w:rPr>
          <w:sz w:val="18"/>
        </w:rPr>
        <w:t>Security</w:t>
      </w:r>
      <w:r>
        <w:rPr>
          <w:spacing w:val="-2"/>
          <w:sz w:val="18"/>
        </w:rPr>
        <w:t xml:space="preserve"> </w:t>
      </w:r>
      <w:r>
        <w:rPr>
          <w:sz w:val="18"/>
        </w:rPr>
        <w:t xml:space="preserve">and Mobility for People with Juvenile Records, Center for American Progress, December 2, 2014, </w:t>
      </w:r>
      <w:r>
        <w:rPr>
          <w:spacing w:val="-2"/>
          <w:sz w:val="18"/>
        </w:rPr>
        <w:t>https://</w:t>
      </w:r>
      <w:hyperlink r:id="rId641">
        <w:r>
          <w:rPr>
            <w:spacing w:val="-2"/>
            <w:sz w:val="18"/>
          </w:rPr>
          <w:t>www.americanprogress.org/issues/poverty/reports/2014/12/02/102308/one-strike-and-youre-out.</w:t>
        </w:r>
      </w:hyperlink>
    </w:p>
    <w:p w:rsidR="00200FDA" w:rsidRDefault="00F76C4C">
      <w:pPr>
        <w:ind w:left="140" w:hanging="1"/>
        <w:rPr>
          <w:sz w:val="18"/>
        </w:rPr>
      </w:pPr>
      <w:r>
        <w:rPr>
          <w:position w:val="5"/>
          <w:sz w:val="12"/>
        </w:rPr>
        <w:t>12</w:t>
      </w:r>
      <w:r>
        <w:rPr>
          <w:spacing w:val="5"/>
          <w:position w:val="5"/>
          <w:sz w:val="12"/>
        </w:rPr>
        <w:t xml:space="preserve"> </w:t>
      </w:r>
      <w:r>
        <w:rPr>
          <w:sz w:val="18"/>
        </w:rPr>
        <w:t>Lambda</w:t>
      </w:r>
      <w:r>
        <w:rPr>
          <w:spacing w:val="-9"/>
          <w:sz w:val="18"/>
        </w:rPr>
        <w:t xml:space="preserve"> </w:t>
      </w:r>
      <w:r>
        <w:rPr>
          <w:sz w:val="18"/>
        </w:rPr>
        <w:t>Legal,</w:t>
      </w:r>
      <w:r>
        <w:rPr>
          <w:spacing w:val="-10"/>
          <w:sz w:val="18"/>
        </w:rPr>
        <w:t xml:space="preserve"> </w:t>
      </w:r>
      <w:r>
        <w:rPr>
          <w:sz w:val="18"/>
        </w:rPr>
        <w:t>“Protected</w:t>
      </w:r>
      <w:r>
        <w:rPr>
          <w:spacing w:val="-11"/>
          <w:sz w:val="18"/>
        </w:rPr>
        <w:t xml:space="preserve"> </w:t>
      </w:r>
      <w:r>
        <w:rPr>
          <w:sz w:val="18"/>
        </w:rPr>
        <w:t>and</w:t>
      </w:r>
      <w:r>
        <w:rPr>
          <w:spacing w:val="-8"/>
          <w:sz w:val="18"/>
        </w:rPr>
        <w:t xml:space="preserve"> </w:t>
      </w:r>
      <w:r>
        <w:rPr>
          <w:sz w:val="18"/>
        </w:rPr>
        <w:t>Served?</w:t>
      </w:r>
      <w:r>
        <w:rPr>
          <w:spacing w:val="-11"/>
          <w:sz w:val="18"/>
        </w:rPr>
        <w:t xml:space="preserve"> </w:t>
      </w:r>
      <w:r>
        <w:rPr>
          <w:sz w:val="18"/>
        </w:rPr>
        <w:t>School</w:t>
      </w:r>
      <w:r>
        <w:rPr>
          <w:spacing w:val="-10"/>
          <w:sz w:val="18"/>
        </w:rPr>
        <w:t xml:space="preserve"> </w:t>
      </w:r>
      <w:r>
        <w:rPr>
          <w:sz w:val="18"/>
        </w:rPr>
        <w:t>Se</w:t>
      </w:r>
      <w:r>
        <w:rPr>
          <w:sz w:val="18"/>
        </w:rPr>
        <w:t>curity,</w:t>
      </w:r>
      <w:r>
        <w:rPr>
          <w:spacing w:val="-9"/>
          <w:sz w:val="18"/>
        </w:rPr>
        <w:t xml:space="preserve"> </w:t>
      </w:r>
      <w:r>
        <w:rPr>
          <w:sz w:val="18"/>
        </w:rPr>
        <w:t>Policing</w:t>
      </w:r>
      <w:r>
        <w:rPr>
          <w:spacing w:val="-9"/>
          <w:sz w:val="18"/>
        </w:rPr>
        <w:t xml:space="preserve"> </w:t>
      </w:r>
      <w:r>
        <w:rPr>
          <w:sz w:val="18"/>
        </w:rPr>
        <w:t>and</w:t>
      </w:r>
      <w:r>
        <w:rPr>
          <w:spacing w:val="-11"/>
          <w:sz w:val="18"/>
        </w:rPr>
        <w:t xml:space="preserve"> </w:t>
      </w:r>
      <w:r>
        <w:rPr>
          <w:sz w:val="18"/>
        </w:rPr>
        <w:t>Discipline,”</w:t>
      </w:r>
      <w:r>
        <w:rPr>
          <w:spacing w:val="-10"/>
          <w:sz w:val="18"/>
        </w:rPr>
        <w:t xml:space="preserve"> </w:t>
      </w:r>
      <w:r>
        <w:rPr>
          <w:sz w:val="18"/>
        </w:rPr>
        <w:t>January</w:t>
      </w:r>
      <w:r>
        <w:rPr>
          <w:spacing w:val="-10"/>
          <w:sz w:val="18"/>
        </w:rPr>
        <w:t xml:space="preserve"> </w:t>
      </w:r>
      <w:r>
        <w:rPr>
          <w:sz w:val="18"/>
        </w:rPr>
        <w:t>7,</w:t>
      </w:r>
      <w:r>
        <w:rPr>
          <w:spacing w:val="-10"/>
          <w:sz w:val="18"/>
        </w:rPr>
        <w:t xml:space="preserve"> </w:t>
      </w:r>
      <w:r>
        <w:rPr>
          <w:sz w:val="18"/>
        </w:rPr>
        <w:t xml:space="preserve">2016, </w:t>
      </w:r>
      <w:r>
        <w:rPr>
          <w:spacing w:val="-2"/>
          <w:sz w:val="18"/>
        </w:rPr>
        <w:t>https://</w:t>
      </w:r>
      <w:hyperlink r:id="rId642">
        <w:r>
          <w:rPr>
            <w:spacing w:val="-2"/>
            <w:sz w:val="18"/>
          </w:rPr>
          <w:t>www.lambdalegal.org/node/30521.</w:t>
        </w:r>
      </w:hyperlink>
    </w:p>
    <w:p w:rsidR="00200FDA" w:rsidRDefault="00F76C4C">
      <w:pPr>
        <w:ind w:left="140" w:right="218" w:hanging="1"/>
        <w:rPr>
          <w:sz w:val="18"/>
        </w:rPr>
      </w:pPr>
      <w:r>
        <w:rPr>
          <w:position w:val="5"/>
          <w:sz w:val="12"/>
        </w:rPr>
        <w:t>13</w:t>
      </w:r>
      <w:r>
        <w:rPr>
          <w:spacing w:val="9"/>
          <w:position w:val="5"/>
          <w:sz w:val="12"/>
        </w:rPr>
        <w:t xml:space="preserve"> </w:t>
      </w:r>
      <w:r>
        <w:rPr>
          <w:i/>
          <w:sz w:val="18"/>
        </w:rPr>
        <w:t>Stemming</w:t>
      </w:r>
      <w:r>
        <w:rPr>
          <w:i/>
          <w:spacing w:val="-1"/>
          <w:sz w:val="18"/>
        </w:rPr>
        <w:t xml:space="preserve"> </w:t>
      </w:r>
      <w:r>
        <w:rPr>
          <w:i/>
          <w:sz w:val="18"/>
        </w:rPr>
        <w:t>the</w:t>
      </w:r>
      <w:r>
        <w:rPr>
          <w:i/>
          <w:spacing w:val="-2"/>
          <w:sz w:val="18"/>
        </w:rPr>
        <w:t xml:space="preserve"> </w:t>
      </w:r>
      <w:r>
        <w:rPr>
          <w:i/>
          <w:sz w:val="18"/>
        </w:rPr>
        <w:t>Rising</w:t>
      </w:r>
      <w:r>
        <w:rPr>
          <w:i/>
          <w:spacing w:val="-4"/>
          <w:sz w:val="18"/>
        </w:rPr>
        <w:t xml:space="preserve"> </w:t>
      </w:r>
      <w:r>
        <w:rPr>
          <w:i/>
          <w:sz w:val="18"/>
        </w:rPr>
        <w:t>Tide:</w:t>
      </w:r>
      <w:r>
        <w:rPr>
          <w:i/>
          <w:spacing w:val="-2"/>
          <w:sz w:val="18"/>
        </w:rPr>
        <w:t xml:space="preserve"> </w:t>
      </w:r>
      <w:r>
        <w:rPr>
          <w:i/>
          <w:sz w:val="18"/>
        </w:rPr>
        <w:t>Racial</w:t>
      </w:r>
      <w:r>
        <w:rPr>
          <w:i/>
          <w:spacing w:val="-5"/>
          <w:sz w:val="18"/>
        </w:rPr>
        <w:t xml:space="preserve"> </w:t>
      </w:r>
      <w:r>
        <w:rPr>
          <w:i/>
          <w:sz w:val="18"/>
        </w:rPr>
        <w:t>&amp;</w:t>
      </w:r>
      <w:r>
        <w:rPr>
          <w:i/>
          <w:spacing w:val="-3"/>
          <w:sz w:val="18"/>
        </w:rPr>
        <w:t xml:space="preserve"> </w:t>
      </w:r>
      <w:r>
        <w:rPr>
          <w:i/>
          <w:sz w:val="18"/>
        </w:rPr>
        <w:t>Ethnic</w:t>
      </w:r>
      <w:r>
        <w:rPr>
          <w:i/>
          <w:spacing w:val="-3"/>
          <w:sz w:val="18"/>
        </w:rPr>
        <w:t xml:space="preserve"> </w:t>
      </w:r>
      <w:r>
        <w:rPr>
          <w:i/>
          <w:sz w:val="18"/>
        </w:rPr>
        <w:t>Disparities</w:t>
      </w:r>
      <w:r>
        <w:rPr>
          <w:i/>
          <w:spacing w:val="-3"/>
          <w:sz w:val="18"/>
        </w:rPr>
        <w:t xml:space="preserve"> </w:t>
      </w:r>
      <w:r>
        <w:rPr>
          <w:i/>
          <w:sz w:val="18"/>
        </w:rPr>
        <w:t>in</w:t>
      </w:r>
      <w:r>
        <w:rPr>
          <w:i/>
          <w:spacing w:val="-1"/>
          <w:sz w:val="18"/>
        </w:rPr>
        <w:t xml:space="preserve"> </w:t>
      </w:r>
      <w:r>
        <w:rPr>
          <w:i/>
          <w:sz w:val="18"/>
        </w:rPr>
        <w:t>Youth</w:t>
      </w:r>
      <w:r>
        <w:rPr>
          <w:i/>
          <w:spacing w:val="-1"/>
          <w:sz w:val="18"/>
        </w:rPr>
        <w:t xml:space="preserve"> </w:t>
      </w:r>
      <w:r>
        <w:rPr>
          <w:i/>
          <w:sz w:val="18"/>
        </w:rPr>
        <w:t>Incarceration</w:t>
      </w:r>
      <w:r>
        <w:rPr>
          <w:i/>
          <w:spacing w:val="-1"/>
          <w:sz w:val="18"/>
        </w:rPr>
        <w:t xml:space="preserve"> </w:t>
      </w:r>
      <w:r>
        <w:rPr>
          <w:i/>
          <w:sz w:val="18"/>
        </w:rPr>
        <w:t>&amp;</w:t>
      </w:r>
      <w:r>
        <w:rPr>
          <w:i/>
          <w:spacing w:val="-3"/>
          <w:sz w:val="18"/>
        </w:rPr>
        <w:t xml:space="preserve"> </w:t>
      </w:r>
      <w:r>
        <w:rPr>
          <w:i/>
          <w:sz w:val="18"/>
        </w:rPr>
        <w:t>Strategies</w:t>
      </w:r>
      <w:r>
        <w:rPr>
          <w:i/>
          <w:spacing w:val="-3"/>
          <w:sz w:val="18"/>
        </w:rPr>
        <w:t xml:space="preserve"> </w:t>
      </w:r>
      <w:r>
        <w:rPr>
          <w:i/>
          <w:sz w:val="18"/>
        </w:rPr>
        <w:t>for</w:t>
      </w:r>
      <w:r>
        <w:rPr>
          <w:i/>
          <w:spacing w:val="-2"/>
          <w:sz w:val="18"/>
        </w:rPr>
        <w:t xml:space="preserve"> </w:t>
      </w:r>
      <w:r>
        <w:rPr>
          <w:i/>
          <w:sz w:val="18"/>
        </w:rPr>
        <w:t>Change</w:t>
      </w:r>
      <w:r>
        <w:rPr>
          <w:i/>
          <w:spacing w:val="-4"/>
          <w:sz w:val="18"/>
        </w:rPr>
        <w:t xml:space="preserve"> </w:t>
      </w:r>
      <w:r>
        <w:rPr>
          <w:sz w:val="18"/>
        </w:rPr>
        <w:t>(Oakland:</w:t>
      </w:r>
      <w:r>
        <w:rPr>
          <w:spacing w:val="-3"/>
          <w:sz w:val="18"/>
        </w:rPr>
        <w:t xml:space="preserve"> </w:t>
      </w:r>
      <w:r>
        <w:rPr>
          <w:sz w:val="18"/>
        </w:rPr>
        <w:t>The</w:t>
      </w:r>
      <w:r>
        <w:rPr>
          <w:spacing w:val="-13"/>
          <w:sz w:val="18"/>
        </w:rPr>
        <w:t xml:space="preserve"> </w:t>
      </w:r>
      <w:r>
        <w:rPr>
          <w:sz w:val="18"/>
        </w:rPr>
        <w:t>W. Haywood Burns Institute, 2020), https://burnsinstitute.org/wp-content/uploads/2020/09/Stemming-the- Rising-Tide-</w:t>
      </w:r>
    </w:p>
    <w:p w:rsidR="00200FDA" w:rsidRDefault="00F76C4C">
      <w:pPr>
        <w:spacing w:line="219" w:lineRule="exact"/>
        <w:ind w:left="139"/>
        <w:rPr>
          <w:sz w:val="18"/>
        </w:rPr>
      </w:pPr>
      <w:r>
        <w:rPr>
          <w:spacing w:val="-2"/>
          <w:sz w:val="18"/>
        </w:rPr>
        <w:t>_compressed.pdf.</w:t>
      </w:r>
    </w:p>
    <w:p w:rsidR="00200FDA" w:rsidRDefault="00F76C4C">
      <w:pPr>
        <w:ind w:left="139" w:right="207"/>
        <w:jc w:val="both"/>
        <w:rPr>
          <w:sz w:val="18"/>
        </w:rPr>
      </w:pPr>
      <w:r>
        <w:rPr>
          <w:position w:val="5"/>
          <w:sz w:val="12"/>
        </w:rPr>
        <w:t>14</w:t>
      </w:r>
      <w:r>
        <w:rPr>
          <w:spacing w:val="11"/>
          <w:position w:val="5"/>
          <w:sz w:val="12"/>
        </w:rPr>
        <w:t xml:space="preserve"> </w:t>
      </w:r>
      <w:r>
        <w:rPr>
          <w:sz w:val="18"/>
        </w:rPr>
        <w:t>Keith</w:t>
      </w:r>
      <w:r>
        <w:rPr>
          <w:spacing w:val="-7"/>
          <w:sz w:val="18"/>
        </w:rPr>
        <w:t xml:space="preserve"> </w:t>
      </w:r>
      <w:r>
        <w:rPr>
          <w:sz w:val="18"/>
        </w:rPr>
        <w:t>J.</w:t>
      </w:r>
      <w:r>
        <w:rPr>
          <w:spacing w:val="-6"/>
          <w:sz w:val="18"/>
        </w:rPr>
        <w:t xml:space="preserve"> </w:t>
      </w:r>
      <w:r>
        <w:rPr>
          <w:sz w:val="18"/>
        </w:rPr>
        <w:t>Conron</w:t>
      </w:r>
      <w:r>
        <w:rPr>
          <w:spacing w:val="-7"/>
          <w:sz w:val="18"/>
        </w:rPr>
        <w:t xml:space="preserve"> </w:t>
      </w:r>
      <w:r>
        <w:rPr>
          <w:sz w:val="18"/>
        </w:rPr>
        <w:t>and</w:t>
      </w:r>
      <w:r>
        <w:rPr>
          <w:spacing w:val="-7"/>
          <w:sz w:val="18"/>
        </w:rPr>
        <w:t xml:space="preserve"> </w:t>
      </w:r>
      <w:r>
        <w:rPr>
          <w:sz w:val="18"/>
        </w:rPr>
        <w:t>Bianca</w:t>
      </w:r>
      <w:r>
        <w:rPr>
          <w:spacing w:val="-6"/>
          <w:sz w:val="18"/>
        </w:rPr>
        <w:t xml:space="preserve"> </w:t>
      </w:r>
      <w:r>
        <w:rPr>
          <w:sz w:val="18"/>
        </w:rPr>
        <w:t>D.M.</w:t>
      </w:r>
      <w:r>
        <w:rPr>
          <w:spacing w:val="-6"/>
          <w:sz w:val="18"/>
        </w:rPr>
        <w:t xml:space="preserve"> </w:t>
      </w:r>
      <w:r>
        <w:rPr>
          <w:sz w:val="18"/>
        </w:rPr>
        <w:t>Wilson,</w:t>
      </w:r>
      <w:r>
        <w:rPr>
          <w:spacing w:val="-6"/>
          <w:sz w:val="18"/>
        </w:rPr>
        <w:t xml:space="preserve"> </w:t>
      </w:r>
      <w:r>
        <w:rPr>
          <w:i/>
          <w:sz w:val="18"/>
        </w:rPr>
        <w:t>LGBTQ</w:t>
      </w:r>
      <w:r>
        <w:rPr>
          <w:i/>
          <w:spacing w:val="-6"/>
          <w:sz w:val="18"/>
        </w:rPr>
        <w:t xml:space="preserve"> </w:t>
      </w:r>
      <w:r>
        <w:rPr>
          <w:i/>
          <w:sz w:val="18"/>
        </w:rPr>
        <w:t>Youth</w:t>
      </w:r>
      <w:r>
        <w:rPr>
          <w:i/>
          <w:spacing w:val="-7"/>
          <w:sz w:val="18"/>
        </w:rPr>
        <w:t xml:space="preserve"> </w:t>
      </w:r>
      <w:r>
        <w:rPr>
          <w:i/>
          <w:sz w:val="18"/>
        </w:rPr>
        <w:t>of</w:t>
      </w:r>
      <w:r>
        <w:rPr>
          <w:i/>
          <w:spacing w:val="-8"/>
          <w:sz w:val="18"/>
        </w:rPr>
        <w:t xml:space="preserve"> </w:t>
      </w:r>
      <w:r>
        <w:rPr>
          <w:i/>
          <w:sz w:val="18"/>
        </w:rPr>
        <w:t>Color</w:t>
      </w:r>
      <w:r>
        <w:rPr>
          <w:i/>
          <w:spacing w:val="-6"/>
          <w:sz w:val="18"/>
        </w:rPr>
        <w:t xml:space="preserve"> </w:t>
      </w:r>
      <w:r>
        <w:rPr>
          <w:i/>
          <w:sz w:val="18"/>
        </w:rPr>
        <w:t>Impacted</w:t>
      </w:r>
      <w:r>
        <w:rPr>
          <w:i/>
          <w:spacing w:val="-8"/>
          <w:sz w:val="18"/>
        </w:rPr>
        <w:t xml:space="preserve"> </w:t>
      </w:r>
      <w:r>
        <w:rPr>
          <w:i/>
          <w:sz w:val="18"/>
        </w:rPr>
        <w:t>by</w:t>
      </w:r>
      <w:r>
        <w:rPr>
          <w:i/>
          <w:spacing w:val="-5"/>
          <w:sz w:val="18"/>
        </w:rPr>
        <w:t xml:space="preserve"> </w:t>
      </w:r>
      <w:r>
        <w:rPr>
          <w:i/>
          <w:sz w:val="18"/>
        </w:rPr>
        <w:t>the</w:t>
      </w:r>
      <w:r>
        <w:rPr>
          <w:i/>
          <w:spacing w:val="-6"/>
          <w:sz w:val="18"/>
        </w:rPr>
        <w:t xml:space="preserve"> </w:t>
      </w:r>
      <w:r>
        <w:rPr>
          <w:i/>
          <w:sz w:val="18"/>
        </w:rPr>
        <w:t>Child</w:t>
      </w:r>
      <w:r>
        <w:rPr>
          <w:i/>
          <w:spacing w:val="-8"/>
          <w:sz w:val="18"/>
        </w:rPr>
        <w:t xml:space="preserve"> </w:t>
      </w:r>
      <w:r>
        <w:rPr>
          <w:i/>
          <w:sz w:val="18"/>
        </w:rPr>
        <w:t>Welfare</w:t>
      </w:r>
      <w:r>
        <w:rPr>
          <w:i/>
          <w:spacing w:val="-6"/>
          <w:sz w:val="18"/>
        </w:rPr>
        <w:t xml:space="preserve"> </w:t>
      </w:r>
      <w:r>
        <w:rPr>
          <w:i/>
          <w:sz w:val="18"/>
        </w:rPr>
        <w:t>and</w:t>
      </w:r>
      <w:r>
        <w:rPr>
          <w:i/>
          <w:spacing w:val="-5"/>
          <w:sz w:val="18"/>
        </w:rPr>
        <w:t xml:space="preserve"> </w:t>
      </w:r>
      <w:r>
        <w:rPr>
          <w:i/>
          <w:sz w:val="18"/>
        </w:rPr>
        <w:t>Juvenile</w:t>
      </w:r>
      <w:r>
        <w:rPr>
          <w:i/>
          <w:spacing w:val="-6"/>
          <w:sz w:val="18"/>
        </w:rPr>
        <w:t xml:space="preserve"> </w:t>
      </w:r>
      <w:r>
        <w:rPr>
          <w:i/>
          <w:sz w:val="18"/>
        </w:rPr>
        <w:t>Justice</w:t>
      </w:r>
      <w:r>
        <w:rPr>
          <w:i/>
          <w:spacing w:val="-1"/>
          <w:sz w:val="18"/>
        </w:rPr>
        <w:t xml:space="preserve"> </w:t>
      </w:r>
      <w:r>
        <w:rPr>
          <w:i/>
          <w:sz w:val="18"/>
        </w:rPr>
        <w:t>Systems</w:t>
      </w:r>
      <w:r>
        <w:rPr>
          <w:i/>
          <w:spacing w:val="-2"/>
          <w:sz w:val="18"/>
        </w:rPr>
        <w:t xml:space="preserve"> </w:t>
      </w:r>
      <w:r>
        <w:rPr>
          <w:sz w:val="18"/>
        </w:rPr>
        <w:t xml:space="preserve">(Los </w:t>
      </w:r>
      <w:r>
        <w:rPr>
          <w:spacing w:val="-2"/>
          <w:sz w:val="18"/>
        </w:rPr>
        <w:t>Angeles: Williams Institute at the UCLA School of Law, 2019), https://williamsinstitute.law.ucla.edu/wp-content/uploads/LGBTQ-</w:t>
      </w:r>
      <w:r>
        <w:rPr>
          <w:sz w:val="18"/>
        </w:rPr>
        <w:t xml:space="preserve"> </w:t>
      </w:r>
      <w:r>
        <w:rPr>
          <w:spacing w:val="-2"/>
          <w:sz w:val="18"/>
        </w:rPr>
        <w:t>YOC-Social-Services-Jul-2019.pdf.</w:t>
      </w:r>
    </w:p>
    <w:p w:rsidR="00200FDA" w:rsidRDefault="00F76C4C">
      <w:pPr>
        <w:spacing w:line="219" w:lineRule="exact"/>
        <w:ind w:left="140"/>
        <w:jc w:val="both"/>
        <w:rPr>
          <w:sz w:val="18"/>
        </w:rPr>
      </w:pPr>
      <w:r>
        <w:rPr>
          <w:position w:val="5"/>
          <w:sz w:val="12"/>
        </w:rPr>
        <w:t>15</w:t>
      </w:r>
      <w:r>
        <w:rPr>
          <w:spacing w:val="11"/>
          <w:position w:val="5"/>
          <w:sz w:val="12"/>
        </w:rPr>
        <w:t xml:space="preserve"> </w:t>
      </w:r>
      <w:r>
        <w:rPr>
          <w:sz w:val="18"/>
        </w:rPr>
        <w:t>“DYS</w:t>
      </w:r>
      <w:r>
        <w:rPr>
          <w:spacing w:val="-2"/>
          <w:sz w:val="18"/>
        </w:rPr>
        <w:t xml:space="preserve"> </w:t>
      </w:r>
      <w:r>
        <w:rPr>
          <w:sz w:val="18"/>
        </w:rPr>
        <w:t>Reports</w:t>
      </w:r>
      <w:r>
        <w:rPr>
          <w:spacing w:val="-2"/>
          <w:sz w:val="18"/>
        </w:rPr>
        <w:t xml:space="preserve"> </w:t>
      </w:r>
      <w:r>
        <w:rPr>
          <w:sz w:val="18"/>
        </w:rPr>
        <w:t>and</w:t>
      </w:r>
      <w:r>
        <w:rPr>
          <w:spacing w:val="-2"/>
          <w:sz w:val="18"/>
        </w:rPr>
        <w:t xml:space="preserve"> </w:t>
      </w:r>
      <w:r>
        <w:rPr>
          <w:sz w:val="18"/>
        </w:rPr>
        <w:t>Resources</w:t>
      </w:r>
      <w:r>
        <w:rPr>
          <w:spacing w:val="-2"/>
          <w:sz w:val="18"/>
        </w:rPr>
        <w:t xml:space="preserve"> </w:t>
      </w:r>
      <w:r>
        <w:rPr>
          <w:sz w:val="18"/>
        </w:rPr>
        <w:t xml:space="preserve">| </w:t>
      </w:r>
      <w:r>
        <w:rPr>
          <w:spacing w:val="-2"/>
          <w:sz w:val="18"/>
        </w:rPr>
        <w:t>Mass.Gov.”</w:t>
      </w:r>
    </w:p>
    <w:p w:rsidR="00200FDA" w:rsidRDefault="00F76C4C">
      <w:pPr>
        <w:ind w:left="140" w:hanging="1"/>
        <w:rPr>
          <w:sz w:val="18"/>
        </w:rPr>
      </w:pPr>
      <w:r>
        <w:rPr>
          <w:position w:val="5"/>
          <w:sz w:val="12"/>
        </w:rPr>
        <w:t>16</w:t>
      </w:r>
      <w:r>
        <w:rPr>
          <w:spacing w:val="8"/>
          <w:position w:val="5"/>
          <w:sz w:val="12"/>
        </w:rPr>
        <w:t xml:space="preserve"> </w:t>
      </w:r>
      <w:r>
        <w:rPr>
          <w:sz w:val="18"/>
        </w:rPr>
        <w:t>Brandon</w:t>
      </w:r>
      <w:r>
        <w:rPr>
          <w:spacing w:val="-11"/>
          <w:sz w:val="18"/>
        </w:rPr>
        <w:t xml:space="preserve"> </w:t>
      </w:r>
      <w:r>
        <w:rPr>
          <w:sz w:val="18"/>
        </w:rPr>
        <w:t>Andrew</w:t>
      </w:r>
      <w:r>
        <w:rPr>
          <w:spacing w:val="-8"/>
          <w:sz w:val="18"/>
        </w:rPr>
        <w:t xml:space="preserve"> </w:t>
      </w:r>
      <w:r>
        <w:rPr>
          <w:sz w:val="18"/>
        </w:rPr>
        <w:t>Robinson,</w:t>
      </w:r>
      <w:r>
        <w:rPr>
          <w:spacing w:val="-7"/>
          <w:sz w:val="18"/>
        </w:rPr>
        <w:t xml:space="preserve"> </w:t>
      </w:r>
      <w:r>
        <w:rPr>
          <w:sz w:val="18"/>
        </w:rPr>
        <w:t>“Th</w:t>
      </w:r>
      <w:r>
        <w:rPr>
          <w:sz w:val="18"/>
        </w:rPr>
        <w:t>e</w:t>
      </w:r>
      <w:r>
        <w:rPr>
          <w:spacing w:val="-9"/>
          <w:sz w:val="18"/>
        </w:rPr>
        <w:t xml:space="preserve"> </w:t>
      </w:r>
      <w:r>
        <w:rPr>
          <w:sz w:val="18"/>
        </w:rPr>
        <w:t>Lavender</w:t>
      </w:r>
      <w:r>
        <w:rPr>
          <w:spacing w:val="-11"/>
          <w:sz w:val="18"/>
        </w:rPr>
        <w:t xml:space="preserve"> </w:t>
      </w:r>
      <w:r>
        <w:rPr>
          <w:sz w:val="18"/>
        </w:rPr>
        <w:t>Scare</w:t>
      </w:r>
      <w:r>
        <w:rPr>
          <w:spacing w:val="-10"/>
          <w:sz w:val="18"/>
        </w:rPr>
        <w:t xml:space="preserve"> </w:t>
      </w:r>
      <w:r>
        <w:rPr>
          <w:sz w:val="18"/>
        </w:rPr>
        <w:t>in</w:t>
      </w:r>
      <w:r>
        <w:rPr>
          <w:spacing w:val="-10"/>
          <w:sz w:val="18"/>
        </w:rPr>
        <w:t xml:space="preserve"> </w:t>
      </w:r>
      <w:r>
        <w:rPr>
          <w:sz w:val="18"/>
        </w:rPr>
        <w:t>Homonormative</w:t>
      </w:r>
      <w:r>
        <w:rPr>
          <w:spacing w:val="-10"/>
          <w:sz w:val="18"/>
        </w:rPr>
        <w:t xml:space="preserve"> </w:t>
      </w:r>
      <w:r>
        <w:rPr>
          <w:sz w:val="18"/>
        </w:rPr>
        <w:t>Times:</w:t>
      </w:r>
      <w:r>
        <w:rPr>
          <w:spacing w:val="-10"/>
          <w:sz w:val="18"/>
        </w:rPr>
        <w:t xml:space="preserve"> </w:t>
      </w:r>
      <w:r>
        <w:rPr>
          <w:sz w:val="18"/>
        </w:rPr>
        <w:t>Policing,</w:t>
      </w:r>
      <w:r>
        <w:rPr>
          <w:spacing w:val="-10"/>
          <w:sz w:val="18"/>
        </w:rPr>
        <w:t xml:space="preserve"> </w:t>
      </w:r>
      <w:r>
        <w:rPr>
          <w:sz w:val="18"/>
        </w:rPr>
        <w:t>Hyper-incarceration,</w:t>
      </w:r>
      <w:r>
        <w:rPr>
          <w:spacing w:val="-10"/>
          <w:sz w:val="18"/>
        </w:rPr>
        <w:t xml:space="preserve"> </w:t>
      </w:r>
      <w:r>
        <w:rPr>
          <w:sz w:val="18"/>
        </w:rPr>
        <w:t>and</w:t>
      </w:r>
      <w:r>
        <w:rPr>
          <w:spacing w:val="-4"/>
          <w:sz w:val="18"/>
        </w:rPr>
        <w:t xml:space="preserve"> </w:t>
      </w:r>
      <w:r>
        <w:rPr>
          <w:sz w:val="18"/>
        </w:rPr>
        <w:t>LGBTQ</w:t>
      </w:r>
      <w:r>
        <w:rPr>
          <w:spacing w:val="-4"/>
          <w:sz w:val="18"/>
        </w:rPr>
        <w:t xml:space="preserve"> </w:t>
      </w:r>
      <w:r>
        <w:rPr>
          <w:sz w:val="18"/>
        </w:rPr>
        <w:t>Youth Homelessness,”</w:t>
      </w:r>
      <w:r>
        <w:rPr>
          <w:spacing w:val="-3"/>
          <w:sz w:val="18"/>
        </w:rPr>
        <w:t xml:space="preserve"> </w:t>
      </w:r>
      <w:r>
        <w:rPr>
          <w:sz w:val="18"/>
        </w:rPr>
        <w:t>Gender</w:t>
      </w:r>
      <w:r>
        <w:rPr>
          <w:spacing w:val="-5"/>
          <w:sz w:val="18"/>
        </w:rPr>
        <w:t xml:space="preserve"> </w:t>
      </w:r>
      <w:r>
        <w:rPr>
          <w:sz w:val="18"/>
        </w:rPr>
        <w:t>&amp;</w:t>
      </w:r>
      <w:r>
        <w:rPr>
          <w:spacing w:val="-2"/>
          <w:sz w:val="18"/>
        </w:rPr>
        <w:t xml:space="preserve"> </w:t>
      </w:r>
      <w:r>
        <w:rPr>
          <w:sz w:val="18"/>
        </w:rPr>
        <w:t>Society</w:t>
      </w:r>
      <w:r>
        <w:rPr>
          <w:spacing w:val="-4"/>
          <w:sz w:val="18"/>
        </w:rPr>
        <w:t xml:space="preserve"> </w:t>
      </w:r>
      <w:r>
        <w:rPr>
          <w:sz w:val="18"/>
        </w:rPr>
        <w:t>34(2),</w:t>
      </w:r>
      <w:r>
        <w:rPr>
          <w:spacing w:val="-4"/>
          <w:sz w:val="18"/>
        </w:rPr>
        <w:t xml:space="preserve"> </w:t>
      </w:r>
      <w:r>
        <w:rPr>
          <w:sz w:val="18"/>
        </w:rPr>
        <w:t>2020,</w:t>
      </w:r>
      <w:r>
        <w:rPr>
          <w:spacing w:val="-4"/>
          <w:sz w:val="18"/>
        </w:rPr>
        <w:t xml:space="preserve"> </w:t>
      </w:r>
      <w:r>
        <w:rPr>
          <w:sz w:val="18"/>
        </w:rPr>
        <w:t>https://journals.sagepub.com/doi/full/10.1177/0891243220906172.</w:t>
      </w:r>
    </w:p>
    <w:p w:rsidR="00200FDA" w:rsidRDefault="00F76C4C">
      <w:pPr>
        <w:spacing w:line="219" w:lineRule="exact"/>
        <w:ind w:left="140"/>
        <w:rPr>
          <w:sz w:val="18"/>
        </w:rPr>
      </w:pPr>
      <w:r>
        <w:rPr>
          <w:position w:val="5"/>
          <w:sz w:val="12"/>
        </w:rPr>
        <w:t>17</w:t>
      </w:r>
      <w:r>
        <w:rPr>
          <w:spacing w:val="8"/>
          <w:position w:val="5"/>
          <w:sz w:val="12"/>
        </w:rPr>
        <w:t xml:space="preserve"> </w:t>
      </w:r>
      <w:r>
        <w:rPr>
          <w:sz w:val="18"/>
        </w:rPr>
        <w:t>Steinberg,</w:t>
      </w:r>
      <w:r>
        <w:rPr>
          <w:spacing w:val="-6"/>
          <w:sz w:val="18"/>
        </w:rPr>
        <w:t xml:space="preserve"> </w:t>
      </w:r>
      <w:r>
        <w:rPr>
          <w:sz w:val="18"/>
        </w:rPr>
        <w:t>L.</w:t>
      </w:r>
      <w:r>
        <w:rPr>
          <w:spacing w:val="-9"/>
          <w:sz w:val="18"/>
        </w:rPr>
        <w:t xml:space="preserve"> </w:t>
      </w:r>
      <w:r>
        <w:rPr>
          <w:sz w:val="18"/>
        </w:rPr>
        <w:t>(2015).</w:t>
      </w:r>
      <w:r>
        <w:rPr>
          <w:spacing w:val="-9"/>
          <w:sz w:val="18"/>
        </w:rPr>
        <w:t xml:space="preserve"> </w:t>
      </w:r>
      <w:r>
        <w:rPr>
          <w:i/>
          <w:sz w:val="18"/>
        </w:rPr>
        <w:t>Age</w:t>
      </w:r>
      <w:r>
        <w:rPr>
          <w:i/>
          <w:spacing w:val="-6"/>
          <w:sz w:val="18"/>
        </w:rPr>
        <w:t xml:space="preserve"> </w:t>
      </w:r>
      <w:r>
        <w:rPr>
          <w:i/>
          <w:sz w:val="18"/>
        </w:rPr>
        <w:t>of</w:t>
      </w:r>
      <w:r>
        <w:rPr>
          <w:i/>
          <w:spacing w:val="-8"/>
          <w:sz w:val="18"/>
        </w:rPr>
        <w:t xml:space="preserve"> </w:t>
      </w:r>
      <w:r>
        <w:rPr>
          <w:i/>
          <w:sz w:val="18"/>
        </w:rPr>
        <w:t>Opportunity:</w:t>
      </w:r>
      <w:r>
        <w:rPr>
          <w:i/>
          <w:spacing w:val="-7"/>
          <w:sz w:val="18"/>
        </w:rPr>
        <w:t xml:space="preserve"> </w:t>
      </w:r>
      <w:r>
        <w:rPr>
          <w:i/>
          <w:sz w:val="18"/>
        </w:rPr>
        <w:t>Lessons</w:t>
      </w:r>
      <w:r>
        <w:rPr>
          <w:i/>
          <w:spacing w:val="-7"/>
          <w:sz w:val="18"/>
        </w:rPr>
        <w:t xml:space="preserve"> </w:t>
      </w:r>
      <w:r>
        <w:rPr>
          <w:i/>
          <w:sz w:val="18"/>
        </w:rPr>
        <w:t>from</w:t>
      </w:r>
      <w:r>
        <w:rPr>
          <w:i/>
          <w:spacing w:val="-7"/>
          <w:sz w:val="18"/>
        </w:rPr>
        <w:t xml:space="preserve"> </w:t>
      </w:r>
      <w:r>
        <w:rPr>
          <w:i/>
          <w:sz w:val="18"/>
        </w:rPr>
        <w:t>the</w:t>
      </w:r>
      <w:r>
        <w:rPr>
          <w:i/>
          <w:spacing w:val="-7"/>
          <w:sz w:val="18"/>
        </w:rPr>
        <w:t xml:space="preserve"> </w:t>
      </w:r>
      <w:r>
        <w:rPr>
          <w:i/>
          <w:sz w:val="18"/>
        </w:rPr>
        <w:t>New</w:t>
      </w:r>
      <w:r>
        <w:rPr>
          <w:i/>
          <w:spacing w:val="-10"/>
          <w:sz w:val="18"/>
        </w:rPr>
        <w:t xml:space="preserve"> </w:t>
      </w:r>
      <w:r>
        <w:rPr>
          <w:i/>
          <w:sz w:val="18"/>
        </w:rPr>
        <w:t>Science</w:t>
      </w:r>
      <w:r>
        <w:rPr>
          <w:i/>
          <w:spacing w:val="-8"/>
          <w:sz w:val="18"/>
        </w:rPr>
        <w:t xml:space="preserve"> </w:t>
      </w:r>
      <w:r>
        <w:rPr>
          <w:i/>
          <w:sz w:val="18"/>
        </w:rPr>
        <w:t>of</w:t>
      </w:r>
      <w:r>
        <w:rPr>
          <w:i/>
          <w:spacing w:val="-8"/>
          <w:sz w:val="18"/>
        </w:rPr>
        <w:t xml:space="preserve"> </w:t>
      </w:r>
      <w:r>
        <w:rPr>
          <w:i/>
          <w:sz w:val="18"/>
        </w:rPr>
        <w:t>Adolescence</w:t>
      </w:r>
      <w:r>
        <w:rPr>
          <w:sz w:val="18"/>
        </w:rPr>
        <w:t>.</w:t>
      </w:r>
      <w:r>
        <w:rPr>
          <w:spacing w:val="-7"/>
          <w:sz w:val="18"/>
        </w:rPr>
        <w:t xml:space="preserve"> </w:t>
      </w:r>
      <w:r>
        <w:rPr>
          <w:sz w:val="18"/>
        </w:rPr>
        <w:t>New</w:t>
      </w:r>
      <w:r>
        <w:rPr>
          <w:spacing w:val="-5"/>
          <w:sz w:val="18"/>
        </w:rPr>
        <w:t xml:space="preserve"> </w:t>
      </w:r>
      <w:r>
        <w:rPr>
          <w:sz w:val="18"/>
        </w:rPr>
        <w:t>York:</w:t>
      </w:r>
      <w:r>
        <w:rPr>
          <w:spacing w:val="-6"/>
          <w:sz w:val="18"/>
        </w:rPr>
        <w:t xml:space="preserve"> </w:t>
      </w:r>
      <w:r>
        <w:rPr>
          <w:sz w:val="18"/>
        </w:rPr>
        <w:t>An</w:t>
      </w:r>
      <w:r>
        <w:rPr>
          <w:spacing w:val="-11"/>
          <w:sz w:val="18"/>
        </w:rPr>
        <w:t xml:space="preserve"> </w:t>
      </w:r>
      <w:r>
        <w:rPr>
          <w:sz w:val="18"/>
        </w:rPr>
        <w:t>Eamon</w:t>
      </w:r>
      <w:r>
        <w:rPr>
          <w:spacing w:val="-2"/>
          <w:sz w:val="18"/>
        </w:rPr>
        <w:t xml:space="preserve"> </w:t>
      </w:r>
      <w:r>
        <w:rPr>
          <w:sz w:val="18"/>
        </w:rPr>
        <w:t>Dolan</w:t>
      </w:r>
      <w:r>
        <w:rPr>
          <w:spacing w:val="-2"/>
          <w:sz w:val="18"/>
        </w:rPr>
        <w:t xml:space="preserve"> Book.</w:t>
      </w:r>
    </w:p>
    <w:p w:rsidR="00200FDA" w:rsidRDefault="00F76C4C">
      <w:pPr>
        <w:spacing w:before="1"/>
        <w:ind w:left="140" w:hanging="1"/>
        <w:rPr>
          <w:sz w:val="18"/>
        </w:rPr>
      </w:pPr>
      <w:r>
        <w:rPr>
          <w:position w:val="5"/>
          <w:sz w:val="12"/>
        </w:rPr>
        <w:t>18</w:t>
      </w:r>
      <w:r>
        <w:rPr>
          <w:spacing w:val="8"/>
          <w:position w:val="5"/>
          <w:sz w:val="12"/>
        </w:rPr>
        <w:t xml:space="preserve"> </w:t>
      </w:r>
      <w:r>
        <w:rPr>
          <w:sz w:val="18"/>
        </w:rPr>
        <w:t>Brandon</w:t>
      </w:r>
      <w:r>
        <w:rPr>
          <w:spacing w:val="-11"/>
          <w:sz w:val="18"/>
        </w:rPr>
        <w:t xml:space="preserve"> </w:t>
      </w:r>
      <w:r>
        <w:rPr>
          <w:sz w:val="18"/>
        </w:rPr>
        <w:t>Andrew</w:t>
      </w:r>
      <w:r>
        <w:rPr>
          <w:spacing w:val="-8"/>
          <w:sz w:val="18"/>
        </w:rPr>
        <w:t xml:space="preserve"> </w:t>
      </w:r>
      <w:r>
        <w:rPr>
          <w:sz w:val="18"/>
        </w:rPr>
        <w:t>Robinson,</w:t>
      </w:r>
      <w:r>
        <w:rPr>
          <w:spacing w:val="-7"/>
          <w:sz w:val="18"/>
        </w:rPr>
        <w:t xml:space="preserve"> </w:t>
      </w:r>
      <w:r>
        <w:rPr>
          <w:sz w:val="18"/>
        </w:rPr>
        <w:t>“The</w:t>
      </w:r>
      <w:r>
        <w:rPr>
          <w:spacing w:val="-9"/>
          <w:sz w:val="18"/>
        </w:rPr>
        <w:t xml:space="preserve"> </w:t>
      </w:r>
      <w:r>
        <w:rPr>
          <w:sz w:val="18"/>
        </w:rPr>
        <w:t>Lavender</w:t>
      </w:r>
      <w:r>
        <w:rPr>
          <w:spacing w:val="-11"/>
          <w:sz w:val="18"/>
        </w:rPr>
        <w:t xml:space="preserve"> </w:t>
      </w:r>
      <w:r>
        <w:rPr>
          <w:sz w:val="18"/>
        </w:rPr>
        <w:t>Scare</w:t>
      </w:r>
      <w:r>
        <w:rPr>
          <w:spacing w:val="-10"/>
          <w:sz w:val="18"/>
        </w:rPr>
        <w:t xml:space="preserve"> </w:t>
      </w:r>
      <w:r>
        <w:rPr>
          <w:sz w:val="18"/>
        </w:rPr>
        <w:t>in</w:t>
      </w:r>
      <w:r>
        <w:rPr>
          <w:spacing w:val="-10"/>
          <w:sz w:val="18"/>
        </w:rPr>
        <w:t xml:space="preserve"> </w:t>
      </w:r>
      <w:r>
        <w:rPr>
          <w:sz w:val="18"/>
        </w:rPr>
        <w:t>Homonormative</w:t>
      </w:r>
      <w:r>
        <w:rPr>
          <w:spacing w:val="-10"/>
          <w:sz w:val="18"/>
        </w:rPr>
        <w:t xml:space="preserve"> </w:t>
      </w:r>
      <w:r>
        <w:rPr>
          <w:sz w:val="18"/>
        </w:rPr>
        <w:t>Times:</w:t>
      </w:r>
      <w:r>
        <w:rPr>
          <w:spacing w:val="-10"/>
          <w:sz w:val="18"/>
        </w:rPr>
        <w:t xml:space="preserve"> </w:t>
      </w:r>
      <w:r>
        <w:rPr>
          <w:sz w:val="18"/>
        </w:rPr>
        <w:t>Policing,</w:t>
      </w:r>
      <w:r>
        <w:rPr>
          <w:spacing w:val="-10"/>
          <w:sz w:val="18"/>
        </w:rPr>
        <w:t xml:space="preserve"> </w:t>
      </w:r>
      <w:r>
        <w:rPr>
          <w:sz w:val="18"/>
        </w:rPr>
        <w:t>Hyper-incarceration,</w:t>
      </w:r>
      <w:r>
        <w:rPr>
          <w:spacing w:val="-10"/>
          <w:sz w:val="18"/>
        </w:rPr>
        <w:t xml:space="preserve"> </w:t>
      </w:r>
      <w:r>
        <w:rPr>
          <w:sz w:val="18"/>
        </w:rPr>
        <w:t>and</w:t>
      </w:r>
      <w:r>
        <w:rPr>
          <w:spacing w:val="-4"/>
          <w:sz w:val="18"/>
        </w:rPr>
        <w:t xml:space="preserve"> </w:t>
      </w:r>
      <w:r>
        <w:rPr>
          <w:sz w:val="18"/>
        </w:rPr>
        <w:t>LGBTQ</w:t>
      </w:r>
      <w:r>
        <w:rPr>
          <w:spacing w:val="-4"/>
          <w:sz w:val="18"/>
        </w:rPr>
        <w:t xml:space="preserve"> </w:t>
      </w:r>
      <w:r>
        <w:rPr>
          <w:sz w:val="18"/>
        </w:rPr>
        <w:t>Youth Homelessness,”</w:t>
      </w:r>
      <w:r>
        <w:rPr>
          <w:spacing w:val="-3"/>
          <w:sz w:val="18"/>
        </w:rPr>
        <w:t xml:space="preserve"> </w:t>
      </w:r>
      <w:r>
        <w:rPr>
          <w:sz w:val="18"/>
        </w:rPr>
        <w:t>Gender</w:t>
      </w:r>
      <w:r>
        <w:rPr>
          <w:spacing w:val="-5"/>
          <w:sz w:val="18"/>
        </w:rPr>
        <w:t xml:space="preserve"> </w:t>
      </w:r>
      <w:r>
        <w:rPr>
          <w:sz w:val="18"/>
        </w:rPr>
        <w:t>&amp;</w:t>
      </w:r>
      <w:r>
        <w:rPr>
          <w:spacing w:val="-2"/>
          <w:sz w:val="18"/>
        </w:rPr>
        <w:t xml:space="preserve"> </w:t>
      </w:r>
      <w:r>
        <w:rPr>
          <w:sz w:val="18"/>
        </w:rPr>
        <w:t>Society</w:t>
      </w:r>
      <w:r>
        <w:rPr>
          <w:spacing w:val="-4"/>
          <w:sz w:val="18"/>
        </w:rPr>
        <w:t xml:space="preserve"> </w:t>
      </w:r>
      <w:r>
        <w:rPr>
          <w:sz w:val="18"/>
        </w:rPr>
        <w:t>34(2),</w:t>
      </w:r>
      <w:r>
        <w:rPr>
          <w:spacing w:val="-4"/>
          <w:sz w:val="18"/>
        </w:rPr>
        <w:t xml:space="preserve"> </w:t>
      </w:r>
      <w:r>
        <w:rPr>
          <w:sz w:val="18"/>
        </w:rPr>
        <w:t>2020,</w:t>
      </w:r>
      <w:r>
        <w:rPr>
          <w:spacing w:val="-4"/>
          <w:sz w:val="18"/>
        </w:rPr>
        <w:t xml:space="preserve"> </w:t>
      </w:r>
      <w:r>
        <w:rPr>
          <w:sz w:val="18"/>
        </w:rPr>
        <w:t>https://journals.sagepub.com/doi/full/10.1177/0891243220906172.</w:t>
      </w:r>
    </w:p>
    <w:p w:rsidR="00200FDA" w:rsidRDefault="00F76C4C">
      <w:pPr>
        <w:ind w:left="140" w:hanging="1"/>
        <w:rPr>
          <w:sz w:val="18"/>
        </w:rPr>
      </w:pPr>
      <w:r>
        <w:rPr>
          <w:position w:val="5"/>
          <w:sz w:val="12"/>
        </w:rPr>
        <w:t>19</w:t>
      </w:r>
      <w:r>
        <w:rPr>
          <w:spacing w:val="9"/>
          <w:position w:val="5"/>
          <w:sz w:val="12"/>
        </w:rPr>
        <w:t xml:space="preserve"> </w:t>
      </w:r>
      <w:r>
        <w:rPr>
          <w:sz w:val="18"/>
        </w:rPr>
        <w:t>Christy</w:t>
      </w:r>
      <w:r>
        <w:rPr>
          <w:spacing w:val="-7"/>
          <w:sz w:val="18"/>
        </w:rPr>
        <w:t xml:space="preserve"> </w:t>
      </w:r>
      <w:r>
        <w:rPr>
          <w:sz w:val="18"/>
        </w:rPr>
        <w:t>Mallory,</w:t>
      </w:r>
      <w:r>
        <w:rPr>
          <w:spacing w:val="-9"/>
          <w:sz w:val="18"/>
        </w:rPr>
        <w:t xml:space="preserve"> </w:t>
      </w:r>
      <w:r>
        <w:rPr>
          <w:sz w:val="18"/>
        </w:rPr>
        <w:t>Amira</w:t>
      </w:r>
      <w:r>
        <w:rPr>
          <w:spacing w:val="-7"/>
          <w:sz w:val="18"/>
        </w:rPr>
        <w:t xml:space="preserve"> </w:t>
      </w:r>
      <w:r>
        <w:rPr>
          <w:sz w:val="18"/>
        </w:rPr>
        <w:t>Hasenbush,</w:t>
      </w:r>
      <w:r>
        <w:rPr>
          <w:spacing w:val="-7"/>
          <w:sz w:val="18"/>
        </w:rPr>
        <w:t xml:space="preserve"> </w:t>
      </w:r>
      <w:r>
        <w:rPr>
          <w:sz w:val="18"/>
        </w:rPr>
        <w:t>and</w:t>
      </w:r>
      <w:r>
        <w:rPr>
          <w:spacing w:val="-10"/>
          <w:sz w:val="18"/>
        </w:rPr>
        <w:t xml:space="preserve"> </w:t>
      </w:r>
      <w:r>
        <w:rPr>
          <w:sz w:val="18"/>
        </w:rPr>
        <w:t>Brad</w:t>
      </w:r>
      <w:r>
        <w:rPr>
          <w:spacing w:val="-8"/>
          <w:sz w:val="18"/>
        </w:rPr>
        <w:t xml:space="preserve"> </w:t>
      </w:r>
      <w:r>
        <w:rPr>
          <w:sz w:val="18"/>
        </w:rPr>
        <w:t>Sears,</w:t>
      </w:r>
      <w:r>
        <w:rPr>
          <w:spacing w:val="-7"/>
          <w:sz w:val="18"/>
        </w:rPr>
        <w:t xml:space="preserve"> </w:t>
      </w:r>
      <w:r>
        <w:rPr>
          <w:sz w:val="18"/>
        </w:rPr>
        <w:t>“Discrimination</w:t>
      </w:r>
      <w:r>
        <w:rPr>
          <w:spacing w:val="-8"/>
          <w:sz w:val="18"/>
        </w:rPr>
        <w:t xml:space="preserve"> </w:t>
      </w:r>
      <w:r>
        <w:rPr>
          <w:sz w:val="18"/>
        </w:rPr>
        <w:t>and</w:t>
      </w:r>
      <w:r>
        <w:rPr>
          <w:spacing w:val="-10"/>
          <w:sz w:val="18"/>
        </w:rPr>
        <w:t xml:space="preserve"> </w:t>
      </w:r>
      <w:r>
        <w:rPr>
          <w:sz w:val="18"/>
        </w:rPr>
        <w:t>Harassment</w:t>
      </w:r>
      <w:r>
        <w:rPr>
          <w:spacing w:val="-7"/>
          <w:sz w:val="18"/>
        </w:rPr>
        <w:t xml:space="preserve"> </w:t>
      </w:r>
      <w:r>
        <w:rPr>
          <w:sz w:val="18"/>
        </w:rPr>
        <w:t>by</w:t>
      </w:r>
      <w:r>
        <w:rPr>
          <w:spacing w:val="-7"/>
          <w:sz w:val="18"/>
        </w:rPr>
        <w:t xml:space="preserve"> </w:t>
      </w:r>
      <w:r>
        <w:rPr>
          <w:sz w:val="18"/>
        </w:rPr>
        <w:t>Law</w:t>
      </w:r>
      <w:r>
        <w:rPr>
          <w:spacing w:val="-9"/>
          <w:sz w:val="18"/>
        </w:rPr>
        <w:t xml:space="preserve"> </w:t>
      </w:r>
      <w:r>
        <w:rPr>
          <w:sz w:val="18"/>
        </w:rPr>
        <w:t>Enforcement</w:t>
      </w:r>
      <w:r>
        <w:rPr>
          <w:spacing w:val="-10"/>
          <w:sz w:val="18"/>
        </w:rPr>
        <w:t xml:space="preserve"> </w:t>
      </w:r>
      <w:r>
        <w:rPr>
          <w:sz w:val="18"/>
        </w:rPr>
        <w:t>Officers</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LGBT Community,“ March 2015, https://williamsinstitute.law.ucla.edu/publi</w:t>
      </w:r>
      <w:r>
        <w:rPr>
          <w:sz w:val="18"/>
        </w:rPr>
        <w:t>cations/lgbt-discrim-law- enforcement.</w:t>
      </w:r>
    </w:p>
    <w:p w:rsidR="00200FDA" w:rsidRDefault="00F76C4C">
      <w:pPr>
        <w:ind w:left="139" w:right="218"/>
        <w:rPr>
          <w:sz w:val="18"/>
        </w:rPr>
      </w:pPr>
      <w:r>
        <w:rPr>
          <w:position w:val="5"/>
          <w:sz w:val="12"/>
        </w:rPr>
        <w:t>20</w:t>
      </w:r>
      <w:r>
        <w:rPr>
          <w:spacing w:val="10"/>
          <w:position w:val="5"/>
          <w:sz w:val="12"/>
        </w:rPr>
        <w:t xml:space="preserve"> </w:t>
      </w:r>
      <w:r>
        <w:rPr>
          <w:sz w:val="18"/>
        </w:rPr>
        <w:t>Emily</w:t>
      </w:r>
      <w:r>
        <w:rPr>
          <w:spacing w:val="-9"/>
          <w:sz w:val="18"/>
        </w:rPr>
        <w:t xml:space="preserve"> </w:t>
      </w:r>
      <w:r>
        <w:rPr>
          <w:sz w:val="18"/>
        </w:rPr>
        <w:t>Waters,</w:t>
      </w:r>
      <w:r>
        <w:rPr>
          <w:spacing w:val="-9"/>
          <w:sz w:val="18"/>
        </w:rPr>
        <w:t xml:space="preserve"> </w:t>
      </w:r>
      <w:r>
        <w:rPr>
          <w:sz w:val="18"/>
        </w:rPr>
        <w:t>Lesbian,</w:t>
      </w:r>
      <w:r>
        <w:rPr>
          <w:spacing w:val="-7"/>
          <w:sz w:val="18"/>
        </w:rPr>
        <w:t xml:space="preserve"> </w:t>
      </w:r>
      <w:r>
        <w:rPr>
          <w:sz w:val="18"/>
        </w:rPr>
        <w:t>Gay,</w:t>
      </w:r>
      <w:r>
        <w:rPr>
          <w:spacing w:val="-9"/>
          <w:sz w:val="18"/>
        </w:rPr>
        <w:t xml:space="preserve"> </w:t>
      </w:r>
      <w:r>
        <w:rPr>
          <w:sz w:val="18"/>
        </w:rPr>
        <w:t>Bisexual,</w:t>
      </w:r>
      <w:r>
        <w:rPr>
          <w:spacing w:val="-6"/>
          <w:sz w:val="18"/>
        </w:rPr>
        <w:t xml:space="preserve"> </w:t>
      </w:r>
      <w:r>
        <w:rPr>
          <w:sz w:val="18"/>
        </w:rPr>
        <w:t>Transgender,</w:t>
      </w:r>
      <w:r>
        <w:rPr>
          <w:spacing w:val="-9"/>
          <w:sz w:val="18"/>
        </w:rPr>
        <w:t xml:space="preserve"> </w:t>
      </w:r>
      <w:r>
        <w:rPr>
          <w:sz w:val="18"/>
        </w:rPr>
        <w:t>Queer,</w:t>
      </w:r>
      <w:r>
        <w:rPr>
          <w:spacing w:val="-9"/>
          <w:sz w:val="18"/>
        </w:rPr>
        <w:t xml:space="preserve"> </w:t>
      </w:r>
      <w:r>
        <w:rPr>
          <w:sz w:val="18"/>
        </w:rPr>
        <w:t>and</w:t>
      </w:r>
      <w:r>
        <w:rPr>
          <w:spacing w:val="-11"/>
          <w:sz w:val="18"/>
        </w:rPr>
        <w:t xml:space="preserve"> </w:t>
      </w:r>
      <w:r>
        <w:rPr>
          <w:sz w:val="18"/>
        </w:rPr>
        <w:t>HIV-Affected</w:t>
      </w:r>
      <w:r>
        <w:rPr>
          <w:spacing w:val="-7"/>
          <w:sz w:val="18"/>
        </w:rPr>
        <w:t xml:space="preserve"> </w:t>
      </w:r>
      <w:r>
        <w:rPr>
          <w:sz w:val="18"/>
        </w:rPr>
        <w:t>Hate</w:t>
      </w:r>
      <w:r>
        <w:rPr>
          <w:spacing w:val="-10"/>
          <w:sz w:val="18"/>
        </w:rPr>
        <w:t xml:space="preserve"> </w:t>
      </w:r>
      <w:r>
        <w:rPr>
          <w:sz w:val="18"/>
        </w:rPr>
        <w:t>Violence</w:t>
      </w:r>
      <w:r>
        <w:rPr>
          <w:spacing w:val="-8"/>
          <w:sz w:val="18"/>
        </w:rPr>
        <w:t xml:space="preserve"> </w:t>
      </w:r>
      <w:r>
        <w:rPr>
          <w:sz w:val="18"/>
        </w:rPr>
        <w:t>in</w:t>
      </w:r>
      <w:r>
        <w:rPr>
          <w:spacing w:val="-10"/>
          <w:sz w:val="18"/>
        </w:rPr>
        <w:t xml:space="preserve"> </w:t>
      </w:r>
      <w:r>
        <w:rPr>
          <w:sz w:val="18"/>
        </w:rPr>
        <w:t>2016</w:t>
      </w:r>
      <w:r>
        <w:rPr>
          <w:spacing w:val="-10"/>
          <w:sz w:val="18"/>
        </w:rPr>
        <w:t xml:space="preserve"> </w:t>
      </w:r>
      <w:r>
        <w:rPr>
          <w:sz w:val="18"/>
        </w:rPr>
        <w:t>(New</w:t>
      </w:r>
      <w:r>
        <w:rPr>
          <w:spacing w:val="-9"/>
          <w:sz w:val="18"/>
        </w:rPr>
        <w:t xml:space="preserve"> </w:t>
      </w:r>
      <w:r>
        <w:rPr>
          <w:sz w:val="18"/>
        </w:rPr>
        <w:t>York:</w:t>
      </w:r>
      <w:r>
        <w:rPr>
          <w:spacing w:val="-2"/>
          <w:sz w:val="18"/>
        </w:rPr>
        <w:t xml:space="preserve"> </w:t>
      </w:r>
      <w:r>
        <w:rPr>
          <w:sz w:val="18"/>
        </w:rPr>
        <w:t xml:space="preserve">National Coalition of Anti-Violence Programs, 2017), </w:t>
      </w:r>
      <w:hyperlink r:id="rId643">
        <w:r>
          <w:rPr>
            <w:sz w:val="18"/>
          </w:rPr>
          <w:t>http://avp.org/wp-</w:t>
        </w:r>
      </w:hyperlink>
      <w:r>
        <w:rPr>
          <w:sz w:val="18"/>
        </w:rPr>
        <w:t xml:space="preserve"> </w:t>
      </w:r>
      <w:r>
        <w:rPr>
          <w:spacing w:val="-2"/>
          <w:sz w:val="18"/>
        </w:rPr>
        <w:t>content/uploads/2017/06/NCAVP_2016HateViolence_REPORT.pdf.</w:t>
      </w:r>
    </w:p>
    <w:p w:rsidR="00200FDA" w:rsidRDefault="00F76C4C">
      <w:pPr>
        <w:ind w:left="140" w:right="239" w:hanging="1"/>
        <w:rPr>
          <w:sz w:val="18"/>
        </w:rPr>
      </w:pPr>
      <w:r>
        <w:rPr>
          <w:position w:val="5"/>
          <w:sz w:val="12"/>
        </w:rPr>
        <w:t>21</w:t>
      </w:r>
      <w:r>
        <w:rPr>
          <w:spacing w:val="10"/>
          <w:position w:val="5"/>
          <w:sz w:val="12"/>
        </w:rPr>
        <w:t xml:space="preserve"> </w:t>
      </w:r>
      <w:r>
        <w:rPr>
          <w:sz w:val="18"/>
        </w:rPr>
        <w:t>M.V.</w:t>
      </w:r>
      <w:r>
        <w:rPr>
          <w:spacing w:val="-2"/>
          <w:sz w:val="18"/>
        </w:rPr>
        <w:t xml:space="preserve"> </w:t>
      </w:r>
      <w:r>
        <w:rPr>
          <w:sz w:val="18"/>
        </w:rPr>
        <w:t>Lee</w:t>
      </w:r>
      <w:r>
        <w:rPr>
          <w:spacing w:val="-3"/>
          <w:sz w:val="18"/>
        </w:rPr>
        <w:t xml:space="preserve"> </w:t>
      </w:r>
      <w:r>
        <w:rPr>
          <w:sz w:val="18"/>
        </w:rPr>
        <w:t>Badgett,</w:t>
      </w:r>
      <w:r>
        <w:rPr>
          <w:spacing w:val="-2"/>
          <w:sz w:val="18"/>
        </w:rPr>
        <w:t xml:space="preserve"> </w:t>
      </w:r>
      <w:r>
        <w:rPr>
          <w:sz w:val="18"/>
        </w:rPr>
        <w:t>Soon</w:t>
      </w:r>
      <w:r>
        <w:rPr>
          <w:spacing w:val="-3"/>
          <w:sz w:val="18"/>
        </w:rPr>
        <w:t xml:space="preserve"> </w:t>
      </w:r>
      <w:r>
        <w:rPr>
          <w:sz w:val="18"/>
        </w:rPr>
        <w:t>Kyu</w:t>
      </w:r>
      <w:r>
        <w:rPr>
          <w:spacing w:val="-3"/>
          <w:sz w:val="18"/>
        </w:rPr>
        <w:t xml:space="preserve"> </w:t>
      </w:r>
      <w:r>
        <w:rPr>
          <w:sz w:val="18"/>
        </w:rPr>
        <w:t>Choi,</w:t>
      </w:r>
      <w:r>
        <w:rPr>
          <w:spacing w:val="-2"/>
          <w:sz w:val="18"/>
        </w:rPr>
        <w:t xml:space="preserve"> </w:t>
      </w:r>
      <w:r>
        <w:rPr>
          <w:sz w:val="18"/>
        </w:rPr>
        <w:t>and</w:t>
      </w:r>
      <w:r>
        <w:rPr>
          <w:spacing w:val="-3"/>
          <w:sz w:val="18"/>
        </w:rPr>
        <w:t xml:space="preserve"> </w:t>
      </w:r>
      <w:r>
        <w:rPr>
          <w:sz w:val="18"/>
        </w:rPr>
        <w:t>Bianca</w:t>
      </w:r>
      <w:r>
        <w:rPr>
          <w:spacing w:val="-2"/>
          <w:sz w:val="18"/>
        </w:rPr>
        <w:t xml:space="preserve"> </w:t>
      </w:r>
      <w:r>
        <w:rPr>
          <w:sz w:val="18"/>
        </w:rPr>
        <w:t>D.M.</w:t>
      </w:r>
      <w:r>
        <w:rPr>
          <w:spacing w:val="-2"/>
          <w:sz w:val="18"/>
        </w:rPr>
        <w:t xml:space="preserve"> </w:t>
      </w:r>
      <w:r>
        <w:rPr>
          <w:sz w:val="18"/>
        </w:rPr>
        <w:t>Wilson,</w:t>
      </w:r>
      <w:r>
        <w:rPr>
          <w:spacing w:val="-2"/>
          <w:sz w:val="18"/>
        </w:rPr>
        <w:t xml:space="preserve"> </w:t>
      </w:r>
      <w:r>
        <w:rPr>
          <w:i/>
          <w:sz w:val="18"/>
        </w:rPr>
        <w:t>LGBT</w:t>
      </w:r>
      <w:r>
        <w:rPr>
          <w:i/>
          <w:spacing w:val="-1"/>
          <w:sz w:val="18"/>
        </w:rPr>
        <w:t xml:space="preserve"> </w:t>
      </w:r>
      <w:r>
        <w:rPr>
          <w:i/>
          <w:sz w:val="18"/>
        </w:rPr>
        <w:t>Poverty</w:t>
      </w:r>
      <w:r>
        <w:rPr>
          <w:i/>
          <w:spacing w:val="-1"/>
          <w:sz w:val="18"/>
        </w:rPr>
        <w:t xml:space="preserve"> </w:t>
      </w:r>
      <w:r>
        <w:rPr>
          <w:i/>
          <w:sz w:val="18"/>
        </w:rPr>
        <w:t>in</w:t>
      </w:r>
      <w:r>
        <w:rPr>
          <w:i/>
          <w:spacing w:val="-1"/>
          <w:sz w:val="18"/>
        </w:rPr>
        <w:t xml:space="preserve"> </w:t>
      </w:r>
      <w:r>
        <w:rPr>
          <w:i/>
          <w:sz w:val="18"/>
        </w:rPr>
        <w:t>the</w:t>
      </w:r>
      <w:r>
        <w:rPr>
          <w:i/>
          <w:spacing w:val="-2"/>
          <w:sz w:val="18"/>
        </w:rPr>
        <w:t xml:space="preserve"> </w:t>
      </w:r>
      <w:r>
        <w:rPr>
          <w:i/>
          <w:sz w:val="18"/>
        </w:rPr>
        <w:t>United</w:t>
      </w:r>
      <w:r>
        <w:rPr>
          <w:i/>
          <w:spacing w:val="-1"/>
          <w:sz w:val="18"/>
        </w:rPr>
        <w:t xml:space="preserve"> </w:t>
      </w:r>
      <w:r>
        <w:rPr>
          <w:i/>
          <w:sz w:val="18"/>
        </w:rPr>
        <w:t>States:</w:t>
      </w:r>
      <w:r>
        <w:rPr>
          <w:i/>
          <w:spacing w:val="-2"/>
          <w:sz w:val="18"/>
        </w:rPr>
        <w:t xml:space="preserve"> </w:t>
      </w:r>
      <w:r>
        <w:rPr>
          <w:i/>
          <w:sz w:val="18"/>
        </w:rPr>
        <w:t>A</w:t>
      </w:r>
      <w:r>
        <w:rPr>
          <w:i/>
          <w:spacing w:val="-3"/>
          <w:sz w:val="18"/>
        </w:rPr>
        <w:t xml:space="preserve"> </w:t>
      </w:r>
      <w:r>
        <w:rPr>
          <w:i/>
          <w:sz w:val="18"/>
        </w:rPr>
        <w:t>Study</w:t>
      </w:r>
      <w:r>
        <w:rPr>
          <w:i/>
          <w:spacing w:val="-1"/>
          <w:sz w:val="18"/>
        </w:rPr>
        <w:t xml:space="preserve"> </w:t>
      </w:r>
      <w:r>
        <w:rPr>
          <w:i/>
          <w:sz w:val="18"/>
        </w:rPr>
        <w:t>of</w:t>
      </w:r>
      <w:r>
        <w:rPr>
          <w:i/>
          <w:spacing w:val="-2"/>
          <w:sz w:val="18"/>
        </w:rPr>
        <w:t xml:space="preserve"> </w:t>
      </w:r>
      <w:r>
        <w:rPr>
          <w:i/>
          <w:sz w:val="18"/>
        </w:rPr>
        <w:t>Differences</w:t>
      </w:r>
      <w:r>
        <w:rPr>
          <w:i/>
          <w:spacing w:val="-8"/>
          <w:sz w:val="18"/>
        </w:rPr>
        <w:t xml:space="preserve"> </w:t>
      </w:r>
      <w:r>
        <w:rPr>
          <w:i/>
          <w:sz w:val="18"/>
        </w:rPr>
        <w:t xml:space="preserve">between Sexual Orientation and Gender Identify Groups </w:t>
      </w:r>
      <w:r>
        <w:rPr>
          <w:sz w:val="18"/>
        </w:rPr>
        <w:t xml:space="preserve">(Los Angeles: Williams Institute at UCLA School of Law, 2019), </w:t>
      </w:r>
      <w:r>
        <w:rPr>
          <w:spacing w:val="-2"/>
          <w:sz w:val="18"/>
        </w:rPr>
        <w:t>https://williamsinstitute.law.ucla.edu/wp-content/uploads/National-LGBT-Poverty-Oct-2019.pdf</w:t>
      </w:r>
    </w:p>
    <w:p w:rsidR="00200FDA" w:rsidRDefault="00F76C4C">
      <w:pPr>
        <w:spacing w:line="218" w:lineRule="exact"/>
        <w:ind w:left="140"/>
        <w:rPr>
          <w:sz w:val="18"/>
        </w:rPr>
      </w:pPr>
      <w:r>
        <w:rPr>
          <w:position w:val="5"/>
          <w:sz w:val="12"/>
        </w:rPr>
        <w:t>22</w:t>
      </w:r>
      <w:r>
        <w:rPr>
          <w:spacing w:val="6"/>
          <w:position w:val="5"/>
          <w:sz w:val="12"/>
        </w:rPr>
        <w:t xml:space="preserve"> </w:t>
      </w:r>
      <w:r>
        <w:rPr>
          <w:sz w:val="18"/>
        </w:rPr>
        <w:t>Laurie</w:t>
      </w:r>
      <w:r>
        <w:rPr>
          <w:spacing w:val="-4"/>
          <w:sz w:val="18"/>
        </w:rPr>
        <w:t xml:space="preserve"> </w:t>
      </w:r>
      <w:r>
        <w:rPr>
          <w:sz w:val="18"/>
        </w:rPr>
        <w:t>Ross,</w:t>
      </w:r>
      <w:r>
        <w:rPr>
          <w:spacing w:val="-3"/>
          <w:sz w:val="18"/>
        </w:rPr>
        <w:t xml:space="preserve"> </w:t>
      </w:r>
      <w:r>
        <w:rPr>
          <w:sz w:val="18"/>
        </w:rPr>
        <w:t>“Massachusetts</w:t>
      </w:r>
      <w:r>
        <w:rPr>
          <w:spacing w:val="-4"/>
          <w:sz w:val="18"/>
        </w:rPr>
        <w:t xml:space="preserve"> </w:t>
      </w:r>
      <w:r>
        <w:rPr>
          <w:sz w:val="18"/>
        </w:rPr>
        <w:t>2022</w:t>
      </w:r>
      <w:r>
        <w:rPr>
          <w:spacing w:val="-4"/>
          <w:sz w:val="18"/>
        </w:rPr>
        <w:t xml:space="preserve"> </w:t>
      </w:r>
      <w:r>
        <w:rPr>
          <w:sz w:val="18"/>
        </w:rPr>
        <w:t>Youth</w:t>
      </w:r>
      <w:r>
        <w:rPr>
          <w:spacing w:val="-4"/>
          <w:sz w:val="18"/>
        </w:rPr>
        <w:t xml:space="preserve"> </w:t>
      </w:r>
      <w:r>
        <w:rPr>
          <w:sz w:val="18"/>
        </w:rPr>
        <w:t>Count,”</w:t>
      </w:r>
      <w:r>
        <w:rPr>
          <w:spacing w:val="-4"/>
          <w:sz w:val="18"/>
        </w:rPr>
        <w:t xml:space="preserve"> </w:t>
      </w:r>
      <w:r>
        <w:rPr>
          <w:sz w:val="18"/>
        </w:rPr>
        <w:t>2022,</w:t>
      </w:r>
      <w:r>
        <w:rPr>
          <w:spacing w:val="-3"/>
          <w:sz w:val="18"/>
        </w:rPr>
        <w:t xml:space="preserve"> </w:t>
      </w:r>
      <w:r>
        <w:rPr>
          <w:sz w:val="18"/>
        </w:rPr>
        <w:t>https://</w:t>
      </w:r>
      <w:hyperlink r:id="rId644">
        <w:r>
          <w:rPr>
            <w:sz w:val="18"/>
          </w:rPr>
          <w:t>www.mass.gov/doc/2022-youth-count-</w:t>
        </w:r>
        <w:r>
          <w:rPr>
            <w:spacing w:val="-2"/>
            <w:sz w:val="18"/>
          </w:rPr>
          <w:t>report/download.</w:t>
        </w:r>
      </w:hyperlink>
    </w:p>
    <w:p w:rsidR="00200FDA" w:rsidRDefault="00F76C4C">
      <w:pPr>
        <w:spacing w:before="1"/>
        <w:ind w:left="140" w:right="326" w:hanging="1"/>
        <w:rPr>
          <w:sz w:val="18"/>
        </w:rPr>
      </w:pPr>
      <w:r>
        <w:rPr>
          <w:spacing w:val="-2"/>
          <w:position w:val="5"/>
          <w:sz w:val="12"/>
        </w:rPr>
        <w:t>23</w:t>
      </w:r>
      <w:r>
        <w:rPr>
          <w:spacing w:val="24"/>
          <w:position w:val="5"/>
          <w:sz w:val="12"/>
        </w:rPr>
        <w:t xml:space="preserve"> </w:t>
      </w:r>
      <w:r>
        <w:rPr>
          <w:spacing w:val="-2"/>
          <w:sz w:val="18"/>
        </w:rPr>
        <w:t>“Criminalization &amp; Incarceration,” National Center for Lesbian Rights, accessed May 15, 2022, https://</w:t>
      </w:r>
      <w:hyperlink r:id="rId645">
        <w:r>
          <w:rPr>
            <w:spacing w:val="-2"/>
            <w:sz w:val="18"/>
          </w:rPr>
          <w:t>www.nclrights.org/our-</w:t>
        </w:r>
      </w:hyperlink>
      <w:r>
        <w:rPr>
          <w:sz w:val="18"/>
        </w:rPr>
        <w:t xml:space="preserve"> </w:t>
      </w:r>
      <w:hyperlink r:id="rId646">
        <w:r>
          <w:rPr>
            <w:spacing w:val="-2"/>
            <w:sz w:val="18"/>
          </w:rPr>
          <w:t>work/racial-economic-justice/criminalization-incarceration.</w:t>
        </w:r>
      </w:hyperlink>
    </w:p>
    <w:p w:rsidR="00200FDA" w:rsidRDefault="00F76C4C">
      <w:pPr>
        <w:ind w:left="140" w:right="824" w:hanging="1"/>
        <w:rPr>
          <w:sz w:val="18"/>
        </w:rPr>
      </w:pPr>
      <w:r>
        <w:rPr>
          <w:position w:val="5"/>
          <w:sz w:val="12"/>
        </w:rPr>
        <w:t>24</w:t>
      </w:r>
      <w:r>
        <w:rPr>
          <w:spacing w:val="10"/>
          <w:position w:val="5"/>
          <w:sz w:val="12"/>
        </w:rPr>
        <w:t xml:space="preserve"> </w:t>
      </w:r>
      <w:r>
        <w:rPr>
          <w:sz w:val="18"/>
        </w:rPr>
        <w:t>Emily</w:t>
      </w:r>
      <w:r>
        <w:rPr>
          <w:spacing w:val="-7"/>
          <w:sz w:val="18"/>
        </w:rPr>
        <w:t xml:space="preserve"> </w:t>
      </w:r>
      <w:r>
        <w:rPr>
          <w:sz w:val="18"/>
        </w:rPr>
        <w:t>Peiffer</w:t>
      </w:r>
      <w:r>
        <w:rPr>
          <w:spacing w:val="-10"/>
          <w:sz w:val="18"/>
        </w:rPr>
        <w:t xml:space="preserve"> </w:t>
      </w:r>
      <w:r>
        <w:rPr>
          <w:sz w:val="18"/>
        </w:rPr>
        <w:t>“F</w:t>
      </w:r>
      <w:r>
        <w:rPr>
          <w:sz w:val="18"/>
        </w:rPr>
        <w:t>ive</w:t>
      </w:r>
      <w:r>
        <w:rPr>
          <w:spacing w:val="-8"/>
          <w:sz w:val="18"/>
        </w:rPr>
        <w:t xml:space="preserve"> </w:t>
      </w:r>
      <w:r>
        <w:rPr>
          <w:sz w:val="18"/>
        </w:rPr>
        <w:t>Charts</w:t>
      </w:r>
      <w:r>
        <w:rPr>
          <w:spacing w:val="-8"/>
          <w:sz w:val="18"/>
        </w:rPr>
        <w:t xml:space="preserve"> </w:t>
      </w:r>
      <w:r>
        <w:rPr>
          <w:sz w:val="18"/>
        </w:rPr>
        <w:t>that</w:t>
      </w:r>
      <w:r>
        <w:rPr>
          <w:spacing w:val="-7"/>
          <w:sz w:val="18"/>
        </w:rPr>
        <w:t xml:space="preserve"> </w:t>
      </w:r>
      <w:r>
        <w:rPr>
          <w:sz w:val="18"/>
        </w:rPr>
        <w:t>Explain</w:t>
      </w:r>
      <w:r>
        <w:rPr>
          <w:spacing w:val="-8"/>
          <w:sz w:val="18"/>
        </w:rPr>
        <w:t xml:space="preserve"> </w:t>
      </w:r>
      <w:r>
        <w:rPr>
          <w:sz w:val="18"/>
        </w:rPr>
        <w:t>the</w:t>
      </w:r>
      <w:r>
        <w:rPr>
          <w:spacing w:val="-10"/>
          <w:sz w:val="18"/>
        </w:rPr>
        <w:t xml:space="preserve"> </w:t>
      </w:r>
      <w:r>
        <w:rPr>
          <w:sz w:val="18"/>
        </w:rPr>
        <w:t>Homelessness-Jail</w:t>
      </w:r>
      <w:r>
        <w:rPr>
          <w:spacing w:val="-8"/>
          <w:sz w:val="18"/>
        </w:rPr>
        <w:t xml:space="preserve"> </w:t>
      </w:r>
      <w:r>
        <w:rPr>
          <w:sz w:val="18"/>
        </w:rPr>
        <w:t>Cycle-</w:t>
      </w:r>
      <w:r>
        <w:rPr>
          <w:spacing w:val="-9"/>
          <w:sz w:val="18"/>
        </w:rPr>
        <w:t xml:space="preserve"> </w:t>
      </w:r>
      <w:r>
        <w:rPr>
          <w:sz w:val="18"/>
        </w:rPr>
        <w:t>and</w:t>
      </w:r>
      <w:r>
        <w:rPr>
          <w:spacing w:val="-10"/>
          <w:sz w:val="18"/>
        </w:rPr>
        <w:t xml:space="preserve"> </w:t>
      </w:r>
      <w:r>
        <w:rPr>
          <w:sz w:val="18"/>
        </w:rPr>
        <w:t>How</w:t>
      </w:r>
      <w:r>
        <w:rPr>
          <w:spacing w:val="-9"/>
          <w:sz w:val="18"/>
        </w:rPr>
        <w:t xml:space="preserve"> </w:t>
      </w:r>
      <w:r>
        <w:rPr>
          <w:sz w:val="18"/>
        </w:rPr>
        <w:t>to</w:t>
      </w:r>
      <w:r>
        <w:rPr>
          <w:spacing w:val="-6"/>
          <w:sz w:val="18"/>
        </w:rPr>
        <w:t xml:space="preserve"> </w:t>
      </w:r>
      <w:r>
        <w:rPr>
          <w:sz w:val="18"/>
        </w:rPr>
        <w:t>Break</w:t>
      </w:r>
      <w:r>
        <w:rPr>
          <w:spacing w:val="-10"/>
          <w:sz w:val="18"/>
        </w:rPr>
        <w:t xml:space="preserve"> </w:t>
      </w:r>
      <w:r>
        <w:rPr>
          <w:sz w:val="18"/>
        </w:rPr>
        <w:t>It,”</w:t>
      </w:r>
      <w:r>
        <w:rPr>
          <w:spacing w:val="-5"/>
          <w:sz w:val="18"/>
        </w:rPr>
        <w:t xml:space="preserve"> </w:t>
      </w:r>
      <w:r>
        <w:rPr>
          <w:sz w:val="18"/>
        </w:rPr>
        <w:t>Urban,</w:t>
      </w:r>
      <w:r>
        <w:rPr>
          <w:spacing w:val="-6"/>
          <w:sz w:val="18"/>
        </w:rPr>
        <w:t xml:space="preserve"> </w:t>
      </w:r>
      <w:r>
        <w:rPr>
          <w:sz w:val="18"/>
        </w:rPr>
        <w:t>September</w:t>
      </w:r>
      <w:r>
        <w:rPr>
          <w:spacing w:val="-7"/>
          <w:sz w:val="18"/>
        </w:rPr>
        <w:t xml:space="preserve"> </w:t>
      </w:r>
      <w:r>
        <w:rPr>
          <w:sz w:val="18"/>
        </w:rPr>
        <w:t>16,</w:t>
      </w:r>
      <w:r>
        <w:rPr>
          <w:spacing w:val="-2"/>
          <w:sz w:val="18"/>
        </w:rPr>
        <w:t xml:space="preserve"> </w:t>
      </w:r>
      <w:r>
        <w:rPr>
          <w:sz w:val="18"/>
        </w:rPr>
        <w:t xml:space="preserve">2020, </w:t>
      </w:r>
      <w:r>
        <w:rPr>
          <w:spacing w:val="-2"/>
          <w:sz w:val="18"/>
        </w:rPr>
        <w:t>https://</w:t>
      </w:r>
      <w:hyperlink r:id="rId647">
        <w:r>
          <w:rPr>
            <w:spacing w:val="-2"/>
            <w:sz w:val="18"/>
          </w:rPr>
          <w:t>www.urban.org/features/five-charts-explain-homelessness-jail-cycle-and-how-break-it.</w:t>
        </w:r>
      </w:hyperlink>
    </w:p>
    <w:p w:rsidR="00200FDA" w:rsidRDefault="00F76C4C">
      <w:pPr>
        <w:spacing w:line="219" w:lineRule="exact"/>
        <w:ind w:left="140"/>
        <w:jc w:val="both"/>
        <w:rPr>
          <w:sz w:val="18"/>
        </w:rPr>
      </w:pPr>
      <w:r>
        <w:rPr>
          <w:position w:val="5"/>
          <w:sz w:val="12"/>
        </w:rPr>
        <w:t>25</w:t>
      </w:r>
      <w:r>
        <w:rPr>
          <w:spacing w:val="7"/>
          <w:position w:val="5"/>
          <w:sz w:val="12"/>
        </w:rPr>
        <w:t xml:space="preserve"> </w:t>
      </w:r>
      <w:r>
        <w:rPr>
          <w:sz w:val="18"/>
        </w:rPr>
        <w:t>Department</w:t>
      </w:r>
      <w:r>
        <w:rPr>
          <w:spacing w:val="-3"/>
          <w:sz w:val="18"/>
        </w:rPr>
        <w:t xml:space="preserve"> </w:t>
      </w:r>
      <w:r>
        <w:rPr>
          <w:sz w:val="18"/>
        </w:rPr>
        <w:t>of</w:t>
      </w:r>
      <w:r>
        <w:rPr>
          <w:spacing w:val="-2"/>
          <w:sz w:val="18"/>
        </w:rPr>
        <w:t xml:space="preserve"> </w:t>
      </w:r>
      <w:r>
        <w:rPr>
          <w:sz w:val="18"/>
        </w:rPr>
        <w:t>Children</w:t>
      </w:r>
      <w:r>
        <w:rPr>
          <w:spacing w:val="-4"/>
          <w:sz w:val="18"/>
        </w:rPr>
        <w:t xml:space="preserve"> </w:t>
      </w:r>
      <w:r>
        <w:rPr>
          <w:sz w:val="18"/>
        </w:rPr>
        <w:t>&amp; Families,</w:t>
      </w:r>
      <w:r>
        <w:rPr>
          <w:spacing w:val="-2"/>
          <w:sz w:val="18"/>
        </w:rPr>
        <w:t xml:space="preserve"> </w:t>
      </w:r>
      <w:r>
        <w:rPr>
          <w:sz w:val="18"/>
        </w:rPr>
        <w:t>“MASSACHUSETTS</w:t>
      </w:r>
      <w:r>
        <w:rPr>
          <w:spacing w:val="-3"/>
          <w:sz w:val="18"/>
        </w:rPr>
        <w:t xml:space="preserve"> </w:t>
      </w:r>
      <w:r>
        <w:rPr>
          <w:sz w:val="18"/>
        </w:rPr>
        <w:t>DEPARTMENT</w:t>
      </w:r>
      <w:r>
        <w:rPr>
          <w:spacing w:val="-2"/>
          <w:sz w:val="18"/>
        </w:rPr>
        <w:t xml:space="preserve"> </w:t>
      </w:r>
      <w:r>
        <w:rPr>
          <w:sz w:val="18"/>
        </w:rPr>
        <w:t>OF</w:t>
      </w:r>
      <w:r>
        <w:rPr>
          <w:spacing w:val="-3"/>
          <w:sz w:val="18"/>
        </w:rPr>
        <w:t xml:space="preserve"> </w:t>
      </w:r>
      <w:r>
        <w:rPr>
          <w:sz w:val="18"/>
        </w:rPr>
        <w:t>CHILDREN</w:t>
      </w:r>
      <w:r>
        <w:rPr>
          <w:spacing w:val="-3"/>
          <w:sz w:val="18"/>
        </w:rPr>
        <w:t xml:space="preserve"> </w:t>
      </w:r>
      <w:r>
        <w:rPr>
          <w:sz w:val="18"/>
        </w:rPr>
        <w:t>&amp;</w:t>
      </w:r>
      <w:r>
        <w:rPr>
          <w:spacing w:val="-4"/>
          <w:sz w:val="18"/>
        </w:rPr>
        <w:t xml:space="preserve"> </w:t>
      </w:r>
      <w:r>
        <w:rPr>
          <w:sz w:val="18"/>
        </w:rPr>
        <w:t>FAMILIES</w:t>
      </w:r>
      <w:r>
        <w:rPr>
          <w:spacing w:val="-3"/>
          <w:sz w:val="18"/>
        </w:rPr>
        <w:t xml:space="preserve"> </w:t>
      </w:r>
      <w:r>
        <w:rPr>
          <w:sz w:val="18"/>
        </w:rPr>
        <w:t>QUARTERLY</w:t>
      </w:r>
      <w:r>
        <w:rPr>
          <w:spacing w:val="-1"/>
          <w:sz w:val="18"/>
        </w:rPr>
        <w:t xml:space="preserve"> </w:t>
      </w:r>
      <w:r>
        <w:rPr>
          <w:sz w:val="18"/>
        </w:rPr>
        <w:t>PROFILE</w:t>
      </w:r>
      <w:r>
        <w:rPr>
          <w:spacing w:val="-2"/>
          <w:sz w:val="18"/>
        </w:rPr>
        <w:t xml:space="preserve"> </w:t>
      </w:r>
      <w:r>
        <w:rPr>
          <w:sz w:val="18"/>
        </w:rPr>
        <w:t>-</w:t>
      </w:r>
      <w:r>
        <w:rPr>
          <w:spacing w:val="-10"/>
          <w:sz w:val="18"/>
        </w:rPr>
        <w:t>-</w:t>
      </w:r>
    </w:p>
    <w:p w:rsidR="00200FDA" w:rsidRDefault="00F76C4C">
      <w:pPr>
        <w:spacing w:before="1" w:line="219" w:lineRule="exact"/>
        <w:ind w:left="140"/>
        <w:rPr>
          <w:sz w:val="18"/>
        </w:rPr>
      </w:pPr>
      <w:r>
        <w:rPr>
          <w:sz w:val="18"/>
        </w:rPr>
        <w:t>FY’2023,</w:t>
      </w:r>
      <w:r>
        <w:rPr>
          <w:spacing w:val="-6"/>
          <w:sz w:val="18"/>
        </w:rPr>
        <w:t xml:space="preserve"> </w:t>
      </w:r>
      <w:r>
        <w:rPr>
          <w:sz w:val="18"/>
        </w:rPr>
        <w:t>Q2</w:t>
      </w:r>
      <w:r>
        <w:rPr>
          <w:spacing w:val="-3"/>
          <w:sz w:val="18"/>
        </w:rPr>
        <w:t xml:space="preserve"> </w:t>
      </w:r>
      <w:r>
        <w:rPr>
          <w:sz w:val="18"/>
        </w:rPr>
        <w:t>(10/01/22</w:t>
      </w:r>
      <w:r>
        <w:rPr>
          <w:spacing w:val="-3"/>
          <w:sz w:val="18"/>
        </w:rPr>
        <w:t xml:space="preserve"> </w:t>
      </w:r>
      <w:r>
        <w:rPr>
          <w:sz w:val="18"/>
        </w:rPr>
        <w:t>-</w:t>
      </w:r>
      <w:r>
        <w:rPr>
          <w:spacing w:val="-4"/>
          <w:sz w:val="18"/>
        </w:rPr>
        <w:t xml:space="preserve"> </w:t>
      </w:r>
      <w:r>
        <w:rPr>
          <w:sz w:val="18"/>
        </w:rPr>
        <w:t>12/31/22),”</w:t>
      </w:r>
      <w:r>
        <w:rPr>
          <w:spacing w:val="-3"/>
          <w:sz w:val="18"/>
        </w:rPr>
        <w:t xml:space="preserve"> </w:t>
      </w:r>
      <w:r>
        <w:rPr>
          <w:sz w:val="18"/>
        </w:rPr>
        <w:t>n.d.,</w:t>
      </w:r>
      <w:r>
        <w:rPr>
          <w:spacing w:val="-3"/>
          <w:sz w:val="18"/>
        </w:rPr>
        <w:t xml:space="preserve"> </w:t>
      </w:r>
      <w:r>
        <w:rPr>
          <w:sz w:val="18"/>
        </w:rPr>
        <w:t>https://</w:t>
      </w:r>
      <w:hyperlink r:id="rId648">
        <w:r>
          <w:rPr>
            <w:sz w:val="18"/>
          </w:rPr>
          <w:t>www.mass.gov/doc/quarter-</w:t>
        </w:r>
        <w:r>
          <w:rPr>
            <w:spacing w:val="-2"/>
            <w:sz w:val="18"/>
          </w:rPr>
          <w:t>2/download.</w:t>
        </w:r>
      </w:hyperlink>
    </w:p>
    <w:p w:rsidR="00200FDA" w:rsidRDefault="00F76C4C">
      <w:pPr>
        <w:ind w:left="140" w:right="139" w:hanging="1"/>
        <w:rPr>
          <w:sz w:val="18"/>
        </w:rPr>
      </w:pPr>
      <w:r>
        <w:rPr>
          <w:position w:val="5"/>
          <w:sz w:val="12"/>
        </w:rPr>
        <w:t>26</w:t>
      </w:r>
      <w:r>
        <w:rPr>
          <w:spacing w:val="20"/>
          <w:position w:val="5"/>
          <w:sz w:val="12"/>
        </w:rPr>
        <w:t xml:space="preserve"> </w:t>
      </w:r>
      <w:r>
        <w:rPr>
          <w:sz w:val="18"/>
        </w:rPr>
        <w:t>Irvine, Angela and Aisha Canfield. 2016. “The Overrepresentation of Lesbian, Gay, Bisexual, Questioning, Gender Nonconforming,</w:t>
      </w:r>
      <w:r>
        <w:rPr>
          <w:spacing w:val="-3"/>
          <w:sz w:val="18"/>
        </w:rPr>
        <w:t xml:space="preserve"> </w:t>
      </w:r>
      <w:r>
        <w:rPr>
          <w:sz w:val="18"/>
        </w:rPr>
        <w:t>and</w:t>
      </w:r>
      <w:r>
        <w:rPr>
          <w:spacing w:val="-4"/>
          <w:sz w:val="18"/>
        </w:rPr>
        <w:t xml:space="preserve"> </w:t>
      </w:r>
      <w:r>
        <w:rPr>
          <w:sz w:val="18"/>
        </w:rPr>
        <w:t>Transgender</w:t>
      </w:r>
      <w:r>
        <w:rPr>
          <w:spacing w:val="-4"/>
          <w:sz w:val="18"/>
        </w:rPr>
        <w:t xml:space="preserve"> </w:t>
      </w:r>
      <w:r>
        <w:rPr>
          <w:sz w:val="18"/>
        </w:rPr>
        <w:t>Youth</w:t>
      </w:r>
      <w:r>
        <w:rPr>
          <w:spacing w:val="-4"/>
          <w:sz w:val="18"/>
        </w:rPr>
        <w:t xml:space="preserve"> </w:t>
      </w:r>
      <w:r>
        <w:rPr>
          <w:sz w:val="18"/>
        </w:rPr>
        <w:t>Within</w:t>
      </w:r>
      <w:r>
        <w:rPr>
          <w:spacing w:val="-4"/>
          <w:sz w:val="18"/>
        </w:rPr>
        <w:t xml:space="preserve"> </w:t>
      </w:r>
      <w:r>
        <w:rPr>
          <w:sz w:val="18"/>
        </w:rPr>
        <w:t>the</w:t>
      </w:r>
      <w:r>
        <w:rPr>
          <w:spacing w:val="-4"/>
          <w:sz w:val="18"/>
        </w:rPr>
        <w:t xml:space="preserve"> </w:t>
      </w:r>
      <w:r>
        <w:rPr>
          <w:sz w:val="18"/>
        </w:rPr>
        <w:t>Child</w:t>
      </w:r>
      <w:r>
        <w:rPr>
          <w:spacing w:val="-4"/>
          <w:sz w:val="18"/>
        </w:rPr>
        <w:t xml:space="preserve"> </w:t>
      </w:r>
      <w:r>
        <w:rPr>
          <w:sz w:val="18"/>
        </w:rPr>
        <w:t>Welfare</w:t>
      </w:r>
      <w:r>
        <w:rPr>
          <w:spacing w:val="-2"/>
          <w:sz w:val="18"/>
        </w:rPr>
        <w:t xml:space="preserve"> </w:t>
      </w:r>
      <w:r>
        <w:rPr>
          <w:sz w:val="18"/>
        </w:rPr>
        <w:t>to</w:t>
      </w:r>
      <w:r>
        <w:rPr>
          <w:spacing w:val="-2"/>
          <w:sz w:val="18"/>
        </w:rPr>
        <w:t xml:space="preserve"> </w:t>
      </w:r>
      <w:r>
        <w:rPr>
          <w:sz w:val="18"/>
        </w:rPr>
        <w:t>Juvenile</w:t>
      </w:r>
      <w:r>
        <w:rPr>
          <w:spacing w:val="-4"/>
          <w:sz w:val="18"/>
        </w:rPr>
        <w:t xml:space="preserve"> </w:t>
      </w:r>
      <w:r>
        <w:rPr>
          <w:sz w:val="18"/>
        </w:rPr>
        <w:t>Justice</w:t>
      </w:r>
      <w:r>
        <w:rPr>
          <w:spacing w:val="-4"/>
          <w:sz w:val="18"/>
        </w:rPr>
        <w:t xml:space="preserve"> </w:t>
      </w:r>
      <w:r>
        <w:rPr>
          <w:sz w:val="18"/>
        </w:rPr>
        <w:t>Crossover</w:t>
      </w:r>
      <w:r>
        <w:rPr>
          <w:spacing w:val="-4"/>
          <w:sz w:val="18"/>
        </w:rPr>
        <w:t xml:space="preserve"> </w:t>
      </w:r>
      <w:r>
        <w:rPr>
          <w:sz w:val="18"/>
        </w:rPr>
        <w:t>Population.”</w:t>
      </w:r>
      <w:r>
        <w:rPr>
          <w:spacing w:val="-4"/>
          <w:sz w:val="18"/>
        </w:rPr>
        <w:t xml:space="preserve"> </w:t>
      </w:r>
      <w:r>
        <w:rPr>
          <w:sz w:val="18"/>
        </w:rPr>
        <w:t>Journal</w:t>
      </w:r>
      <w:r>
        <w:rPr>
          <w:spacing w:val="-4"/>
          <w:sz w:val="18"/>
        </w:rPr>
        <w:t xml:space="preserve"> </w:t>
      </w:r>
      <w:r>
        <w:rPr>
          <w:sz w:val="18"/>
        </w:rPr>
        <w:t>on</w:t>
      </w:r>
      <w:r>
        <w:rPr>
          <w:spacing w:val="-4"/>
          <w:sz w:val="18"/>
        </w:rPr>
        <w:t xml:space="preserve"> </w:t>
      </w:r>
      <w:r>
        <w:rPr>
          <w:sz w:val="18"/>
        </w:rPr>
        <w:t>Gender, Social Policy, and the Law, 24(2): 243-261.</w:t>
      </w:r>
    </w:p>
    <w:p w:rsidR="00200FDA" w:rsidRDefault="00F76C4C">
      <w:pPr>
        <w:ind w:left="141" w:hanging="2"/>
        <w:rPr>
          <w:sz w:val="18"/>
        </w:rPr>
      </w:pPr>
      <w:r>
        <w:rPr>
          <w:position w:val="5"/>
          <w:sz w:val="12"/>
        </w:rPr>
        <w:t>27</w:t>
      </w:r>
      <w:r>
        <w:rPr>
          <w:spacing w:val="-2"/>
          <w:position w:val="5"/>
          <w:sz w:val="12"/>
        </w:rPr>
        <w:t xml:space="preserve"> </w:t>
      </w:r>
      <w:r>
        <w:rPr>
          <w:sz w:val="18"/>
        </w:rPr>
        <w:t>Juvenile</w:t>
      </w:r>
      <w:r>
        <w:rPr>
          <w:spacing w:val="-10"/>
          <w:sz w:val="18"/>
        </w:rPr>
        <w:t xml:space="preserve"> </w:t>
      </w:r>
      <w:r>
        <w:rPr>
          <w:sz w:val="18"/>
        </w:rPr>
        <w:t>Law</w:t>
      </w:r>
      <w:r>
        <w:rPr>
          <w:spacing w:val="-11"/>
          <w:sz w:val="18"/>
        </w:rPr>
        <w:t xml:space="preserve"> </w:t>
      </w:r>
      <w:r>
        <w:rPr>
          <w:sz w:val="18"/>
        </w:rPr>
        <w:t>Center,</w:t>
      </w:r>
      <w:r>
        <w:rPr>
          <w:spacing w:val="-10"/>
          <w:sz w:val="18"/>
        </w:rPr>
        <w:t xml:space="preserve"> </w:t>
      </w:r>
      <w:r>
        <w:rPr>
          <w:sz w:val="18"/>
        </w:rPr>
        <w:t>“What</w:t>
      </w:r>
      <w:r>
        <w:rPr>
          <w:spacing w:val="-10"/>
          <w:sz w:val="18"/>
        </w:rPr>
        <w:t xml:space="preserve"> </w:t>
      </w:r>
      <w:r>
        <w:rPr>
          <w:sz w:val="18"/>
        </w:rPr>
        <w:t>is</w:t>
      </w:r>
      <w:r>
        <w:rPr>
          <w:spacing w:val="-10"/>
          <w:sz w:val="18"/>
        </w:rPr>
        <w:t xml:space="preserve"> </w:t>
      </w:r>
      <w:r>
        <w:rPr>
          <w:sz w:val="18"/>
        </w:rPr>
        <w:t>the</w:t>
      </w:r>
      <w:r>
        <w:rPr>
          <w:spacing w:val="-10"/>
          <w:sz w:val="18"/>
        </w:rPr>
        <w:t xml:space="preserve"> </w:t>
      </w:r>
      <w:r>
        <w:rPr>
          <w:sz w:val="18"/>
        </w:rPr>
        <w:t>Foster</w:t>
      </w:r>
      <w:r>
        <w:rPr>
          <w:spacing w:val="-10"/>
          <w:sz w:val="18"/>
        </w:rPr>
        <w:t xml:space="preserve"> </w:t>
      </w:r>
      <w:r>
        <w:rPr>
          <w:sz w:val="18"/>
        </w:rPr>
        <w:t>Care-to-Prison</w:t>
      </w:r>
      <w:r>
        <w:rPr>
          <w:spacing w:val="-11"/>
          <w:sz w:val="18"/>
        </w:rPr>
        <w:t xml:space="preserve"> </w:t>
      </w:r>
      <w:r>
        <w:rPr>
          <w:sz w:val="18"/>
        </w:rPr>
        <w:t>Pipeline,”</w:t>
      </w:r>
      <w:r>
        <w:rPr>
          <w:spacing w:val="-10"/>
          <w:sz w:val="18"/>
        </w:rPr>
        <w:t xml:space="preserve"> </w:t>
      </w:r>
      <w:r>
        <w:rPr>
          <w:sz w:val="18"/>
        </w:rPr>
        <w:t>May</w:t>
      </w:r>
      <w:r>
        <w:rPr>
          <w:spacing w:val="-10"/>
          <w:sz w:val="18"/>
        </w:rPr>
        <w:t xml:space="preserve"> </w:t>
      </w:r>
      <w:r>
        <w:rPr>
          <w:sz w:val="18"/>
        </w:rPr>
        <w:t>26,</w:t>
      </w:r>
      <w:r>
        <w:rPr>
          <w:spacing w:val="-10"/>
          <w:sz w:val="18"/>
        </w:rPr>
        <w:t xml:space="preserve"> </w:t>
      </w:r>
      <w:r>
        <w:rPr>
          <w:sz w:val="18"/>
        </w:rPr>
        <w:t>2018,</w:t>
      </w:r>
      <w:r>
        <w:rPr>
          <w:spacing w:val="-10"/>
          <w:sz w:val="18"/>
        </w:rPr>
        <w:t xml:space="preserve"> </w:t>
      </w:r>
      <w:r>
        <w:rPr>
          <w:sz w:val="18"/>
        </w:rPr>
        <w:t>https://jlc.org/news/what-</w:t>
      </w:r>
      <w:r>
        <w:rPr>
          <w:spacing w:val="-10"/>
          <w:sz w:val="18"/>
        </w:rPr>
        <w:t xml:space="preserve"> </w:t>
      </w:r>
      <w:r>
        <w:rPr>
          <w:sz w:val="18"/>
        </w:rPr>
        <w:t xml:space="preserve">foster-care-prison- </w:t>
      </w:r>
      <w:r>
        <w:rPr>
          <w:spacing w:val="-2"/>
          <w:sz w:val="18"/>
        </w:rPr>
        <w:t>p</w:t>
      </w:r>
      <w:r>
        <w:rPr>
          <w:spacing w:val="-2"/>
          <w:sz w:val="18"/>
        </w:rPr>
        <w:t>ipeline.</w:t>
      </w:r>
    </w:p>
    <w:p w:rsidR="00200FDA" w:rsidRDefault="00F76C4C">
      <w:pPr>
        <w:ind w:left="140" w:right="166" w:hanging="1"/>
        <w:rPr>
          <w:sz w:val="18"/>
        </w:rPr>
      </w:pPr>
      <w:r>
        <w:rPr>
          <w:position w:val="5"/>
          <w:sz w:val="12"/>
        </w:rPr>
        <w:t>28</w:t>
      </w:r>
      <w:r>
        <w:rPr>
          <w:spacing w:val="9"/>
          <w:position w:val="5"/>
          <w:sz w:val="12"/>
        </w:rPr>
        <w:t xml:space="preserve"> </w:t>
      </w:r>
      <w:r>
        <w:rPr>
          <w:sz w:val="18"/>
        </w:rPr>
        <w:t>Ryan</w:t>
      </w:r>
      <w:r>
        <w:rPr>
          <w:spacing w:val="-4"/>
          <w:sz w:val="18"/>
        </w:rPr>
        <w:t xml:space="preserve"> </w:t>
      </w:r>
      <w:r>
        <w:rPr>
          <w:sz w:val="18"/>
        </w:rPr>
        <w:t>Berg,</w:t>
      </w:r>
      <w:r>
        <w:rPr>
          <w:spacing w:val="-3"/>
          <w:sz w:val="18"/>
        </w:rPr>
        <w:t xml:space="preserve"> </w:t>
      </w:r>
      <w:r>
        <w:rPr>
          <w:sz w:val="18"/>
        </w:rPr>
        <w:t>“A</w:t>
      </w:r>
      <w:r>
        <w:rPr>
          <w:spacing w:val="-4"/>
          <w:sz w:val="18"/>
        </w:rPr>
        <w:t xml:space="preserve"> </w:t>
      </w:r>
      <w:r>
        <w:rPr>
          <w:sz w:val="18"/>
        </w:rPr>
        <w:t>Hidden</w:t>
      </w:r>
      <w:r>
        <w:rPr>
          <w:spacing w:val="-4"/>
          <w:sz w:val="18"/>
        </w:rPr>
        <w:t xml:space="preserve"> </w:t>
      </w:r>
      <w:r>
        <w:rPr>
          <w:sz w:val="18"/>
        </w:rPr>
        <w:t>Crisis:</w:t>
      </w:r>
      <w:r>
        <w:rPr>
          <w:spacing w:val="-4"/>
          <w:sz w:val="18"/>
        </w:rPr>
        <w:t xml:space="preserve"> </w:t>
      </w:r>
      <w:r>
        <w:rPr>
          <w:sz w:val="18"/>
        </w:rPr>
        <w:t>The</w:t>
      </w:r>
      <w:r>
        <w:rPr>
          <w:spacing w:val="-2"/>
          <w:sz w:val="18"/>
        </w:rPr>
        <w:t xml:space="preserve"> </w:t>
      </w:r>
      <w:r>
        <w:rPr>
          <w:sz w:val="18"/>
        </w:rPr>
        <w:t>Pipeline</w:t>
      </w:r>
      <w:r>
        <w:rPr>
          <w:spacing w:val="-4"/>
          <w:sz w:val="18"/>
        </w:rPr>
        <w:t xml:space="preserve"> </w:t>
      </w:r>
      <w:r>
        <w:rPr>
          <w:sz w:val="18"/>
        </w:rPr>
        <w:t>from</w:t>
      </w:r>
      <w:r>
        <w:rPr>
          <w:spacing w:val="-3"/>
          <w:sz w:val="18"/>
        </w:rPr>
        <w:t xml:space="preserve"> </w:t>
      </w:r>
      <w:r>
        <w:rPr>
          <w:sz w:val="18"/>
        </w:rPr>
        <w:t>Foster</w:t>
      </w:r>
      <w:r>
        <w:rPr>
          <w:spacing w:val="-4"/>
          <w:sz w:val="18"/>
        </w:rPr>
        <w:t xml:space="preserve"> </w:t>
      </w:r>
      <w:r>
        <w:rPr>
          <w:sz w:val="18"/>
        </w:rPr>
        <w:t>Care</w:t>
      </w:r>
      <w:r>
        <w:rPr>
          <w:spacing w:val="-4"/>
          <w:sz w:val="18"/>
        </w:rPr>
        <w:t xml:space="preserve"> </w:t>
      </w:r>
      <w:r>
        <w:rPr>
          <w:sz w:val="18"/>
        </w:rPr>
        <w:t>to</w:t>
      </w:r>
      <w:r>
        <w:rPr>
          <w:spacing w:val="-2"/>
          <w:sz w:val="18"/>
        </w:rPr>
        <w:t xml:space="preserve"> </w:t>
      </w:r>
      <w:r>
        <w:rPr>
          <w:sz w:val="18"/>
        </w:rPr>
        <w:t>Homelessness</w:t>
      </w:r>
      <w:r>
        <w:rPr>
          <w:spacing w:val="-4"/>
          <w:sz w:val="18"/>
        </w:rPr>
        <w:t xml:space="preserve"> </w:t>
      </w:r>
      <w:r>
        <w:rPr>
          <w:sz w:val="18"/>
        </w:rPr>
        <w:t>for</w:t>
      </w:r>
      <w:r>
        <w:rPr>
          <w:spacing w:val="-4"/>
          <w:sz w:val="18"/>
        </w:rPr>
        <w:t xml:space="preserve"> </w:t>
      </w:r>
      <w:r>
        <w:rPr>
          <w:sz w:val="18"/>
        </w:rPr>
        <w:t>LGBTQ</w:t>
      </w:r>
      <w:r>
        <w:rPr>
          <w:spacing w:val="-4"/>
          <w:sz w:val="18"/>
        </w:rPr>
        <w:t xml:space="preserve"> </w:t>
      </w:r>
      <w:r>
        <w:rPr>
          <w:sz w:val="18"/>
        </w:rPr>
        <w:t>Youth,”</w:t>
      </w:r>
      <w:r>
        <w:rPr>
          <w:spacing w:val="-4"/>
          <w:sz w:val="18"/>
        </w:rPr>
        <w:t xml:space="preserve"> </w:t>
      </w:r>
      <w:r>
        <w:rPr>
          <w:sz w:val="18"/>
        </w:rPr>
        <w:t>The</w:t>
      </w:r>
      <w:r>
        <w:rPr>
          <w:spacing w:val="-4"/>
          <w:sz w:val="18"/>
        </w:rPr>
        <w:t xml:space="preserve"> </w:t>
      </w:r>
      <w:r>
        <w:rPr>
          <w:sz w:val="18"/>
        </w:rPr>
        <w:t>Imprint,</w:t>
      </w:r>
      <w:r>
        <w:rPr>
          <w:spacing w:val="-3"/>
          <w:sz w:val="18"/>
        </w:rPr>
        <w:t xml:space="preserve"> </w:t>
      </w:r>
      <w:r>
        <w:rPr>
          <w:sz w:val="18"/>
        </w:rPr>
        <w:t>October</w:t>
      </w:r>
      <w:r>
        <w:rPr>
          <w:spacing w:val="-9"/>
          <w:sz w:val="18"/>
        </w:rPr>
        <w:t xml:space="preserve"> </w:t>
      </w:r>
      <w:r>
        <w:rPr>
          <w:sz w:val="18"/>
        </w:rPr>
        <w:t>14,</w:t>
      </w:r>
      <w:r>
        <w:rPr>
          <w:spacing w:val="-5"/>
          <w:sz w:val="18"/>
        </w:rPr>
        <w:t xml:space="preserve"> </w:t>
      </w:r>
      <w:r>
        <w:rPr>
          <w:sz w:val="18"/>
        </w:rPr>
        <w:t xml:space="preserve">2016, </w:t>
      </w:r>
      <w:r>
        <w:rPr>
          <w:spacing w:val="-2"/>
          <w:sz w:val="18"/>
        </w:rPr>
        <w:t>https://imprintnews.org/child-welfare-2/hidden-crisis-pipeline-foster-care-homelessness-lgbtq-</w:t>
      </w:r>
      <w:r>
        <w:rPr>
          <w:spacing w:val="-9"/>
          <w:sz w:val="18"/>
        </w:rPr>
        <w:t xml:space="preserve"> </w:t>
      </w:r>
      <w:r>
        <w:rPr>
          <w:spacing w:val="-2"/>
          <w:sz w:val="18"/>
        </w:rPr>
        <w:t>youth/21950.</w:t>
      </w:r>
    </w:p>
    <w:p w:rsidR="00200FDA" w:rsidRDefault="00F76C4C">
      <w:pPr>
        <w:ind w:left="140" w:hanging="1"/>
        <w:rPr>
          <w:sz w:val="18"/>
        </w:rPr>
      </w:pPr>
      <w:r>
        <w:rPr>
          <w:position w:val="5"/>
          <w:sz w:val="12"/>
        </w:rPr>
        <w:t>29</w:t>
      </w:r>
      <w:r>
        <w:rPr>
          <w:spacing w:val="10"/>
          <w:position w:val="5"/>
          <w:sz w:val="12"/>
        </w:rPr>
        <w:t xml:space="preserve"> </w:t>
      </w:r>
      <w:r>
        <w:rPr>
          <w:sz w:val="18"/>
        </w:rPr>
        <w:t>Hannah</w:t>
      </w:r>
      <w:r>
        <w:rPr>
          <w:spacing w:val="-3"/>
          <w:sz w:val="18"/>
        </w:rPr>
        <w:t xml:space="preserve"> </w:t>
      </w:r>
      <w:r>
        <w:rPr>
          <w:sz w:val="18"/>
        </w:rPr>
        <w:t>Hussey</w:t>
      </w:r>
      <w:r>
        <w:rPr>
          <w:spacing w:val="-2"/>
          <w:sz w:val="18"/>
        </w:rPr>
        <w:t xml:space="preserve"> </w:t>
      </w:r>
      <w:r>
        <w:rPr>
          <w:sz w:val="18"/>
        </w:rPr>
        <w:t>and</w:t>
      </w:r>
      <w:r>
        <w:rPr>
          <w:spacing w:val="-3"/>
          <w:sz w:val="18"/>
        </w:rPr>
        <w:t xml:space="preserve"> </w:t>
      </w:r>
      <w:r>
        <w:rPr>
          <w:sz w:val="18"/>
        </w:rPr>
        <w:t>Commission</w:t>
      </w:r>
      <w:r>
        <w:rPr>
          <w:spacing w:val="-1"/>
          <w:sz w:val="18"/>
        </w:rPr>
        <w:t xml:space="preserve"> </w:t>
      </w:r>
      <w:r>
        <w:rPr>
          <w:sz w:val="18"/>
        </w:rPr>
        <w:t>on</w:t>
      </w:r>
      <w:r>
        <w:rPr>
          <w:spacing w:val="-3"/>
          <w:sz w:val="18"/>
        </w:rPr>
        <w:t xml:space="preserve"> </w:t>
      </w:r>
      <w:r>
        <w:rPr>
          <w:sz w:val="18"/>
        </w:rPr>
        <w:t>LGBTQ</w:t>
      </w:r>
      <w:r>
        <w:rPr>
          <w:spacing w:val="-3"/>
          <w:sz w:val="18"/>
        </w:rPr>
        <w:t xml:space="preserve"> </w:t>
      </w:r>
      <w:r>
        <w:rPr>
          <w:sz w:val="18"/>
        </w:rPr>
        <w:t>Youth,</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Massachusetts</w:t>
      </w:r>
      <w:r>
        <w:rPr>
          <w:spacing w:val="-3"/>
          <w:sz w:val="18"/>
        </w:rPr>
        <w:t xml:space="preserve"> </w:t>
      </w:r>
      <w:r>
        <w:rPr>
          <w:sz w:val="18"/>
        </w:rPr>
        <w:t>Child</w:t>
      </w:r>
      <w:r>
        <w:rPr>
          <w:spacing w:val="-3"/>
          <w:sz w:val="18"/>
        </w:rPr>
        <w:t xml:space="preserve"> </w:t>
      </w:r>
      <w:r>
        <w:rPr>
          <w:sz w:val="18"/>
        </w:rPr>
        <w:t>Welfare</w:t>
      </w:r>
      <w:r>
        <w:rPr>
          <w:spacing w:val="-3"/>
          <w:sz w:val="18"/>
        </w:rPr>
        <w:t xml:space="preserve"> </w:t>
      </w:r>
      <w:r>
        <w:rPr>
          <w:sz w:val="18"/>
        </w:rPr>
        <w:t>System: A</w:t>
      </w:r>
      <w:r>
        <w:rPr>
          <w:spacing w:val="-3"/>
          <w:sz w:val="18"/>
        </w:rPr>
        <w:t xml:space="preserve"> </w:t>
      </w:r>
      <w:r>
        <w:rPr>
          <w:sz w:val="18"/>
        </w:rPr>
        <w:t>Report</w:t>
      </w:r>
      <w:r>
        <w:rPr>
          <w:spacing w:val="-3"/>
          <w:sz w:val="18"/>
        </w:rPr>
        <w:t xml:space="preserve"> </w:t>
      </w:r>
      <w:r>
        <w:rPr>
          <w:sz w:val="18"/>
        </w:rPr>
        <w:t>on Pervasive Threats to Safety, Wellbeing, and Permanency,” July 2021, https://</w:t>
      </w:r>
      <w:hyperlink r:id="rId649">
        <w:r>
          <w:rPr>
            <w:sz w:val="18"/>
          </w:rPr>
          <w:t>www.mass.gov/doc/commission-report-on-</w:t>
        </w:r>
      </w:hyperlink>
      <w:r>
        <w:rPr>
          <w:sz w:val="18"/>
        </w:rPr>
        <w:t xml:space="preserve"> </w:t>
      </w:r>
      <w:r>
        <w:rPr>
          <w:spacing w:val="-2"/>
          <w:sz w:val="18"/>
        </w:rPr>
        <w:t>dcf/download.</w:t>
      </w:r>
    </w:p>
    <w:p w:rsidR="00200FDA" w:rsidRDefault="00F76C4C">
      <w:pPr>
        <w:spacing w:before="1"/>
        <w:ind w:left="140" w:right="218" w:hanging="1"/>
        <w:rPr>
          <w:sz w:val="18"/>
        </w:rPr>
      </w:pPr>
      <w:r>
        <w:rPr>
          <w:position w:val="5"/>
          <w:sz w:val="12"/>
        </w:rPr>
        <w:t>30</w:t>
      </w:r>
      <w:r>
        <w:rPr>
          <w:spacing w:val="9"/>
          <w:position w:val="5"/>
          <w:sz w:val="12"/>
        </w:rPr>
        <w:t xml:space="preserve"> </w:t>
      </w:r>
      <w:r>
        <w:rPr>
          <w:sz w:val="18"/>
        </w:rPr>
        <w:t>“Foster</w:t>
      </w:r>
      <w:r>
        <w:rPr>
          <w:spacing w:val="-4"/>
          <w:sz w:val="18"/>
        </w:rPr>
        <w:t xml:space="preserve"> </w:t>
      </w:r>
      <w:r>
        <w:rPr>
          <w:sz w:val="18"/>
        </w:rPr>
        <w:t>Children:</w:t>
      </w:r>
      <w:r>
        <w:rPr>
          <w:spacing w:val="-3"/>
          <w:sz w:val="18"/>
        </w:rPr>
        <w:t xml:space="preserve"> </w:t>
      </w:r>
      <w:r>
        <w:rPr>
          <w:sz w:val="18"/>
        </w:rPr>
        <w:t>HHS</w:t>
      </w:r>
      <w:r>
        <w:rPr>
          <w:spacing w:val="-2"/>
          <w:sz w:val="18"/>
        </w:rPr>
        <w:t xml:space="preserve"> </w:t>
      </w:r>
      <w:r>
        <w:rPr>
          <w:sz w:val="18"/>
        </w:rPr>
        <w:t>Guidance</w:t>
      </w:r>
      <w:r>
        <w:rPr>
          <w:spacing w:val="-2"/>
          <w:sz w:val="18"/>
        </w:rPr>
        <w:t xml:space="preserve"> </w:t>
      </w:r>
      <w:r>
        <w:rPr>
          <w:sz w:val="18"/>
        </w:rPr>
        <w:t>Could</w:t>
      </w:r>
      <w:r>
        <w:rPr>
          <w:spacing w:val="-4"/>
          <w:sz w:val="18"/>
        </w:rPr>
        <w:t xml:space="preserve"> </w:t>
      </w:r>
      <w:r>
        <w:rPr>
          <w:sz w:val="18"/>
        </w:rPr>
        <w:t>Help</w:t>
      </w:r>
      <w:r>
        <w:rPr>
          <w:spacing w:val="-2"/>
          <w:sz w:val="18"/>
        </w:rPr>
        <w:t xml:space="preserve"> </w:t>
      </w:r>
      <w:r>
        <w:rPr>
          <w:sz w:val="18"/>
        </w:rPr>
        <w:t>States</w:t>
      </w:r>
      <w:r>
        <w:rPr>
          <w:spacing w:val="-4"/>
          <w:sz w:val="18"/>
        </w:rPr>
        <w:t xml:space="preserve"> </w:t>
      </w:r>
      <w:r>
        <w:rPr>
          <w:sz w:val="18"/>
        </w:rPr>
        <w:t>Improve</w:t>
      </w:r>
      <w:r>
        <w:rPr>
          <w:spacing w:val="-4"/>
          <w:sz w:val="18"/>
        </w:rPr>
        <w:t xml:space="preserve"> </w:t>
      </w:r>
      <w:r>
        <w:rPr>
          <w:sz w:val="18"/>
        </w:rPr>
        <w:t>Oversight</w:t>
      </w:r>
      <w:r>
        <w:rPr>
          <w:spacing w:val="-4"/>
          <w:sz w:val="18"/>
        </w:rPr>
        <w:t xml:space="preserve"> </w:t>
      </w:r>
      <w:r>
        <w:rPr>
          <w:sz w:val="18"/>
        </w:rPr>
        <w:t>of</w:t>
      </w:r>
      <w:r>
        <w:rPr>
          <w:spacing w:val="-3"/>
          <w:sz w:val="18"/>
        </w:rPr>
        <w:t xml:space="preserve"> </w:t>
      </w:r>
      <w:r>
        <w:rPr>
          <w:sz w:val="18"/>
        </w:rPr>
        <w:t>Psychotropic</w:t>
      </w:r>
      <w:r>
        <w:rPr>
          <w:spacing w:val="-3"/>
          <w:sz w:val="18"/>
        </w:rPr>
        <w:t xml:space="preserve"> </w:t>
      </w:r>
      <w:r>
        <w:rPr>
          <w:sz w:val="18"/>
        </w:rPr>
        <w:t>Prescriptions</w:t>
      </w:r>
      <w:r>
        <w:rPr>
          <w:spacing w:val="-2"/>
          <w:sz w:val="18"/>
        </w:rPr>
        <w:t xml:space="preserve"> </w:t>
      </w:r>
      <w:r>
        <w:rPr>
          <w:sz w:val="18"/>
        </w:rPr>
        <w:t>[Reissued</w:t>
      </w:r>
      <w:r>
        <w:rPr>
          <w:spacing w:val="-4"/>
          <w:sz w:val="18"/>
        </w:rPr>
        <w:t xml:space="preserve"> </w:t>
      </w:r>
      <w:r>
        <w:rPr>
          <w:sz w:val="18"/>
        </w:rPr>
        <w:t>on</w:t>
      </w:r>
      <w:r>
        <w:rPr>
          <w:spacing w:val="-4"/>
          <w:sz w:val="18"/>
        </w:rPr>
        <w:t xml:space="preserve"> </w:t>
      </w:r>
      <w:r>
        <w:rPr>
          <w:sz w:val="18"/>
        </w:rPr>
        <w:t>December 15, 2011] | U.S. GAO,” accessed March 4, 2023, https://</w:t>
      </w:r>
      <w:hyperlink r:id="rId650">
        <w:r>
          <w:rPr>
            <w:sz w:val="18"/>
          </w:rPr>
          <w:t>www.gao.gov/products/gao-12-201.</w:t>
        </w:r>
      </w:hyperlink>
    </w:p>
    <w:p w:rsidR="00200FDA" w:rsidRDefault="00F76C4C">
      <w:pPr>
        <w:ind w:left="140" w:right="194" w:hanging="1"/>
        <w:rPr>
          <w:sz w:val="18"/>
        </w:rPr>
      </w:pPr>
      <w:r>
        <w:rPr>
          <w:position w:val="5"/>
          <w:sz w:val="12"/>
        </w:rPr>
        <w:t>31</w:t>
      </w:r>
      <w:r>
        <w:rPr>
          <w:spacing w:val="10"/>
          <w:position w:val="5"/>
          <w:sz w:val="12"/>
        </w:rPr>
        <w:t xml:space="preserve"> </w:t>
      </w:r>
      <w:r>
        <w:rPr>
          <w:sz w:val="18"/>
        </w:rPr>
        <w:t>National</w:t>
      </w:r>
      <w:r>
        <w:rPr>
          <w:spacing w:val="-3"/>
          <w:sz w:val="18"/>
        </w:rPr>
        <w:t xml:space="preserve"> </w:t>
      </w:r>
      <w:r>
        <w:rPr>
          <w:sz w:val="18"/>
        </w:rPr>
        <w:t>LGBTQIA+</w:t>
      </w:r>
      <w:r>
        <w:rPr>
          <w:spacing w:val="-3"/>
          <w:sz w:val="18"/>
        </w:rPr>
        <w:t xml:space="preserve"> </w:t>
      </w:r>
      <w:r>
        <w:rPr>
          <w:sz w:val="18"/>
        </w:rPr>
        <w:t>Health</w:t>
      </w:r>
      <w:r>
        <w:rPr>
          <w:spacing w:val="-3"/>
          <w:sz w:val="18"/>
        </w:rPr>
        <w:t xml:space="preserve"> </w:t>
      </w:r>
      <w:r>
        <w:rPr>
          <w:sz w:val="18"/>
        </w:rPr>
        <w:t>Education</w:t>
      </w:r>
      <w:r>
        <w:rPr>
          <w:spacing w:val="-3"/>
          <w:sz w:val="18"/>
        </w:rPr>
        <w:t xml:space="preserve"> </w:t>
      </w:r>
      <w:r>
        <w:rPr>
          <w:sz w:val="18"/>
        </w:rPr>
        <w:t>Center,</w:t>
      </w:r>
      <w:r>
        <w:rPr>
          <w:spacing w:val="-2"/>
          <w:sz w:val="18"/>
        </w:rPr>
        <w:t xml:space="preserve"> </w:t>
      </w:r>
      <w:r>
        <w:rPr>
          <w:sz w:val="18"/>
        </w:rPr>
        <w:t>Futures</w:t>
      </w:r>
      <w:r>
        <w:rPr>
          <w:spacing w:val="-3"/>
          <w:sz w:val="18"/>
        </w:rPr>
        <w:t xml:space="preserve"> </w:t>
      </w:r>
      <w:r>
        <w:rPr>
          <w:sz w:val="18"/>
        </w:rPr>
        <w:t>Without</w:t>
      </w:r>
      <w:r>
        <w:rPr>
          <w:spacing w:val="-3"/>
          <w:sz w:val="18"/>
        </w:rPr>
        <w:t xml:space="preserve"> </w:t>
      </w:r>
      <w:r>
        <w:rPr>
          <w:sz w:val="18"/>
        </w:rPr>
        <w:t>Violence,</w:t>
      </w:r>
      <w:r>
        <w:rPr>
          <w:spacing w:val="-2"/>
          <w:sz w:val="18"/>
        </w:rPr>
        <w:t xml:space="preserve"> </w:t>
      </w:r>
      <w:r>
        <w:rPr>
          <w:sz w:val="18"/>
        </w:rPr>
        <w:t>and</w:t>
      </w:r>
      <w:r>
        <w:rPr>
          <w:spacing w:val="-3"/>
          <w:sz w:val="18"/>
        </w:rPr>
        <w:t xml:space="preserve"> </w:t>
      </w:r>
      <w:r>
        <w:rPr>
          <w:sz w:val="18"/>
        </w:rPr>
        <w:t>Health</w:t>
      </w:r>
      <w:r>
        <w:rPr>
          <w:spacing w:val="-3"/>
          <w:sz w:val="18"/>
        </w:rPr>
        <w:t xml:space="preserve"> </w:t>
      </w:r>
      <w:r>
        <w:rPr>
          <w:sz w:val="18"/>
        </w:rPr>
        <w:t>Partners</w:t>
      </w:r>
      <w:r>
        <w:rPr>
          <w:spacing w:val="-3"/>
          <w:sz w:val="18"/>
        </w:rPr>
        <w:t xml:space="preserve"> </w:t>
      </w:r>
      <w:r>
        <w:rPr>
          <w:sz w:val="18"/>
        </w:rPr>
        <w:t>on</w:t>
      </w:r>
      <w:r>
        <w:rPr>
          <w:spacing w:val="-3"/>
          <w:sz w:val="18"/>
        </w:rPr>
        <w:t xml:space="preserve"> </w:t>
      </w:r>
      <w:r>
        <w:rPr>
          <w:sz w:val="18"/>
        </w:rPr>
        <w:t>IPV+</w:t>
      </w:r>
      <w:r>
        <w:rPr>
          <w:spacing w:val="-3"/>
          <w:sz w:val="18"/>
        </w:rPr>
        <w:t xml:space="preserve"> </w:t>
      </w:r>
      <w:r>
        <w:rPr>
          <w:sz w:val="18"/>
        </w:rPr>
        <w:t>Exploitation,</w:t>
      </w:r>
      <w:r>
        <w:rPr>
          <w:spacing w:val="-2"/>
          <w:sz w:val="18"/>
        </w:rPr>
        <w:t xml:space="preserve"> </w:t>
      </w:r>
      <w:r>
        <w:rPr>
          <w:sz w:val="18"/>
        </w:rPr>
        <w:t>“LGBTQIA+ Youth and Experiences of Human Trafficking: A Healing-Centered Appr</w:t>
      </w:r>
      <w:r>
        <w:rPr>
          <w:sz w:val="18"/>
        </w:rPr>
        <w:t xml:space="preserve">oach,” 2021, </w:t>
      </w:r>
      <w:r>
        <w:rPr>
          <w:spacing w:val="-2"/>
          <w:sz w:val="18"/>
        </w:rPr>
        <w:t>https://</w:t>
      </w:r>
      <w:hyperlink r:id="rId651">
        <w:r>
          <w:rPr>
            <w:spacing w:val="-2"/>
            <w:sz w:val="18"/>
          </w:rPr>
          <w:t>www.lgbtqiahealtheducation.org/wp-content/uploads/2021/09/Supporting-LGBTQIA-Youth-Who-Have-Experienced-</w:t>
        </w:r>
      </w:hyperlink>
      <w:r>
        <w:rPr>
          <w:sz w:val="18"/>
        </w:rPr>
        <w:t xml:space="preserve"> Trafficking.pdf?</w:t>
      </w:r>
      <w:r>
        <w:rPr>
          <w:spacing w:val="80"/>
          <w:sz w:val="18"/>
          <w:u w:val="single"/>
        </w:rPr>
        <w:t xml:space="preserve"> </w:t>
      </w:r>
      <w:r>
        <w:rPr>
          <w:sz w:val="18"/>
        </w:rPr>
        <w:t>cf_chl_tk=s.y6xpLVDveulpcRchcwLF2xaRxD7Ibbyemmg9zwXeU-1682388339-0-gaNycGzNDFA.</w:t>
      </w:r>
    </w:p>
    <w:p w:rsidR="00200FDA" w:rsidRDefault="00200FDA">
      <w:pPr>
        <w:rPr>
          <w:sz w:val="18"/>
        </w:rPr>
        <w:sectPr w:rsidR="00200FDA">
          <w:pgSz w:w="12240" w:h="15840"/>
          <w:pgMar w:top="1380" w:right="1300" w:bottom="1240" w:left="1300" w:header="552" w:footer="1043" w:gutter="0"/>
          <w:cols w:space="720"/>
        </w:sectPr>
      </w:pPr>
    </w:p>
    <w:p w:rsidR="00200FDA" w:rsidRDefault="00200FDA">
      <w:pPr>
        <w:pStyle w:val="BodyText"/>
        <w:spacing w:before="4"/>
        <w:rPr>
          <w:sz w:val="18"/>
        </w:rPr>
      </w:pPr>
    </w:p>
    <w:p w:rsidR="00200FDA" w:rsidRDefault="00F76C4C">
      <w:pPr>
        <w:spacing w:before="69"/>
        <w:ind w:left="139" w:right="218"/>
        <w:rPr>
          <w:sz w:val="18"/>
        </w:rPr>
      </w:pPr>
      <w:r>
        <w:rPr>
          <w:position w:val="5"/>
          <w:sz w:val="12"/>
        </w:rPr>
        <w:t>32</w:t>
      </w:r>
      <w:r>
        <w:rPr>
          <w:spacing w:val="10"/>
          <w:position w:val="5"/>
          <w:sz w:val="12"/>
        </w:rPr>
        <w:t xml:space="preserve"> </w:t>
      </w:r>
      <w:r>
        <w:rPr>
          <w:sz w:val="18"/>
        </w:rPr>
        <w:t>Saralyn</w:t>
      </w:r>
      <w:r>
        <w:rPr>
          <w:spacing w:val="-3"/>
          <w:sz w:val="18"/>
        </w:rPr>
        <w:t xml:space="preserve"> </w:t>
      </w:r>
      <w:r>
        <w:rPr>
          <w:sz w:val="18"/>
        </w:rPr>
        <w:t>C.</w:t>
      </w:r>
      <w:r>
        <w:rPr>
          <w:spacing w:val="-2"/>
          <w:sz w:val="18"/>
        </w:rPr>
        <w:t xml:space="preserve"> </w:t>
      </w:r>
      <w:r>
        <w:rPr>
          <w:sz w:val="18"/>
        </w:rPr>
        <w:t>Ruff</w:t>
      </w:r>
      <w:r>
        <w:rPr>
          <w:spacing w:val="-2"/>
          <w:sz w:val="18"/>
        </w:rPr>
        <w:t xml:space="preserve"> </w:t>
      </w:r>
      <w:r>
        <w:rPr>
          <w:sz w:val="18"/>
        </w:rPr>
        <w:t>and</w:t>
      </w:r>
      <w:r>
        <w:rPr>
          <w:spacing w:val="-3"/>
          <w:sz w:val="18"/>
        </w:rPr>
        <w:t xml:space="preserve"> </w:t>
      </w:r>
      <w:r>
        <w:rPr>
          <w:sz w:val="18"/>
        </w:rPr>
        <w:t>Kristi</w:t>
      </w:r>
      <w:r>
        <w:rPr>
          <w:spacing w:val="-3"/>
          <w:sz w:val="18"/>
        </w:rPr>
        <w:t xml:space="preserve"> </w:t>
      </w:r>
      <w:r>
        <w:rPr>
          <w:sz w:val="18"/>
        </w:rPr>
        <w:t>Harrison,</w:t>
      </w:r>
      <w:r>
        <w:rPr>
          <w:spacing w:val="-2"/>
          <w:sz w:val="18"/>
        </w:rPr>
        <w:t xml:space="preserve"> </w:t>
      </w:r>
      <w:r>
        <w:rPr>
          <w:sz w:val="18"/>
        </w:rPr>
        <w:t>“‘Ask</w:t>
      </w:r>
      <w:r>
        <w:rPr>
          <w:spacing w:val="-3"/>
          <w:sz w:val="18"/>
        </w:rPr>
        <w:t xml:space="preserve"> </w:t>
      </w:r>
      <w:r>
        <w:rPr>
          <w:sz w:val="18"/>
        </w:rPr>
        <w:t>Me</w:t>
      </w:r>
      <w:r>
        <w:rPr>
          <w:spacing w:val="-3"/>
          <w:sz w:val="18"/>
        </w:rPr>
        <w:t xml:space="preserve"> </w:t>
      </w:r>
      <w:r>
        <w:rPr>
          <w:sz w:val="18"/>
        </w:rPr>
        <w:t>What</w:t>
      </w:r>
      <w:r>
        <w:rPr>
          <w:spacing w:val="-3"/>
          <w:sz w:val="18"/>
        </w:rPr>
        <w:t xml:space="preserve"> </w:t>
      </w:r>
      <w:r>
        <w:rPr>
          <w:sz w:val="18"/>
        </w:rPr>
        <w:t>I</w:t>
      </w:r>
      <w:r>
        <w:rPr>
          <w:spacing w:val="-2"/>
          <w:sz w:val="18"/>
        </w:rPr>
        <w:t xml:space="preserve"> </w:t>
      </w:r>
      <w:r>
        <w:rPr>
          <w:sz w:val="18"/>
        </w:rPr>
        <w:t>Want’:</w:t>
      </w:r>
      <w:r>
        <w:rPr>
          <w:spacing w:val="-2"/>
          <w:sz w:val="18"/>
        </w:rPr>
        <w:t xml:space="preserve"> </w:t>
      </w:r>
      <w:r>
        <w:rPr>
          <w:sz w:val="18"/>
        </w:rPr>
        <w:t>Community-Based</w:t>
      </w:r>
      <w:r>
        <w:rPr>
          <w:spacing w:val="-3"/>
          <w:sz w:val="18"/>
        </w:rPr>
        <w:t xml:space="preserve"> </w:t>
      </w:r>
      <w:r>
        <w:rPr>
          <w:sz w:val="18"/>
        </w:rPr>
        <w:t>Participatory</w:t>
      </w:r>
      <w:r>
        <w:rPr>
          <w:spacing w:val="-2"/>
          <w:sz w:val="18"/>
        </w:rPr>
        <w:t xml:space="preserve"> </w:t>
      </w:r>
      <w:r>
        <w:rPr>
          <w:sz w:val="18"/>
        </w:rPr>
        <w:t>Research</w:t>
      </w:r>
      <w:r>
        <w:rPr>
          <w:spacing w:val="-3"/>
          <w:sz w:val="18"/>
        </w:rPr>
        <w:t xml:space="preserve"> </w:t>
      </w:r>
      <w:r>
        <w:rPr>
          <w:sz w:val="18"/>
        </w:rPr>
        <w:t>to</w:t>
      </w:r>
      <w:r>
        <w:rPr>
          <w:spacing w:val="-1"/>
          <w:sz w:val="18"/>
        </w:rPr>
        <w:t xml:space="preserve"> </w:t>
      </w:r>
      <w:r>
        <w:rPr>
          <w:sz w:val="18"/>
        </w:rPr>
        <w:t>Explore</w:t>
      </w:r>
      <w:r>
        <w:rPr>
          <w:spacing w:val="-3"/>
          <w:sz w:val="18"/>
        </w:rPr>
        <w:t xml:space="preserve"> </w:t>
      </w:r>
      <w:r>
        <w:rPr>
          <w:sz w:val="18"/>
        </w:rPr>
        <w:t xml:space="preserve">Transition- Age Foster Youth’s Use of Support Services,” </w:t>
      </w:r>
      <w:r>
        <w:rPr>
          <w:i/>
          <w:sz w:val="18"/>
        </w:rPr>
        <w:t xml:space="preserve">Children and Youth Services Review </w:t>
      </w:r>
      <w:r>
        <w:rPr>
          <w:sz w:val="18"/>
        </w:rPr>
        <w:t xml:space="preserve">108 (January 1, 2020): 104608, </w:t>
      </w:r>
      <w:r>
        <w:rPr>
          <w:spacing w:val="-2"/>
          <w:sz w:val="18"/>
        </w:rPr>
        <w:t>https://doi.org/10.1016/j.childyouth.2019.104608.</w:t>
      </w:r>
    </w:p>
    <w:p w:rsidR="00200FDA" w:rsidRDefault="00F76C4C">
      <w:pPr>
        <w:spacing w:before="1"/>
        <w:ind w:left="140" w:right="218" w:hanging="1"/>
        <w:rPr>
          <w:sz w:val="18"/>
        </w:rPr>
      </w:pPr>
      <w:r>
        <w:rPr>
          <w:position w:val="5"/>
          <w:sz w:val="12"/>
        </w:rPr>
        <w:t>33</w:t>
      </w:r>
      <w:r>
        <w:rPr>
          <w:spacing w:val="10"/>
          <w:position w:val="5"/>
          <w:sz w:val="12"/>
        </w:rPr>
        <w:t xml:space="preserve"> </w:t>
      </w:r>
      <w:r>
        <w:rPr>
          <w:sz w:val="18"/>
        </w:rPr>
        <w:t>Natalia</w:t>
      </w:r>
      <w:r>
        <w:rPr>
          <w:spacing w:val="-2"/>
          <w:sz w:val="18"/>
        </w:rPr>
        <w:t xml:space="preserve"> </w:t>
      </w:r>
      <w:r>
        <w:rPr>
          <w:sz w:val="18"/>
        </w:rPr>
        <w:t>Ramos,</w:t>
      </w:r>
      <w:r>
        <w:rPr>
          <w:spacing w:val="-2"/>
          <w:sz w:val="18"/>
        </w:rPr>
        <w:t xml:space="preserve"> </w:t>
      </w:r>
      <w:r>
        <w:rPr>
          <w:sz w:val="18"/>
        </w:rPr>
        <w:t>Elizabeth</w:t>
      </w:r>
      <w:r>
        <w:rPr>
          <w:spacing w:val="-3"/>
          <w:sz w:val="18"/>
        </w:rPr>
        <w:t xml:space="preserve"> </w:t>
      </w:r>
      <w:r>
        <w:rPr>
          <w:sz w:val="18"/>
        </w:rPr>
        <w:t>Barnert,</w:t>
      </w:r>
      <w:r>
        <w:rPr>
          <w:spacing w:val="-2"/>
          <w:sz w:val="18"/>
        </w:rPr>
        <w:t xml:space="preserve"> </w:t>
      </w:r>
      <w:r>
        <w:rPr>
          <w:sz w:val="18"/>
        </w:rPr>
        <w:t>and</w:t>
      </w:r>
      <w:r>
        <w:rPr>
          <w:spacing w:val="-3"/>
          <w:sz w:val="18"/>
        </w:rPr>
        <w:t xml:space="preserve"> </w:t>
      </w:r>
      <w:r>
        <w:rPr>
          <w:sz w:val="18"/>
        </w:rPr>
        <w:t>Eraka</w:t>
      </w:r>
      <w:r>
        <w:rPr>
          <w:spacing w:val="-2"/>
          <w:sz w:val="18"/>
        </w:rPr>
        <w:t xml:space="preserve"> </w:t>
      </w:r>
      <w:r>
        <w:rPr>
          <w:sz w:val="18"/>
        </w:rPr>
        <w:t>Bath,</w:t>
      </w:r>
      <w:r>
        <w:rPr>
          <w:spacing w:val="-2"/>
          <w:sz w:val="18"/>
        </w:rPr>
        <w:t xml:space="preserve"> </w:t>
      </w:r>
      <w:r>
        <w:rPr>
          <w:sz w:val="18"/>
        </w:rPr>
        <w:t>“Addressing</w:t>
      </w:r>
      <w:r>
        <w:rPr>
          <w:spacing w:val="-3"/>
          <w:sz w:val="18"/>
        </w:rPr>
        <w:t xml:space="preserve"> </w:t>
      </w:r>
      <w:r>
        <w:rPr>
          <w:sz w:val="18"/>
        </w:rPr>
        <w:t>the</w:t>
      </w:r>
      <w:r>
        <w:rPr>
          <w:spacing w:val="-1"/>
          <w:sz w:val="18"/>
        </w:rPr>
        <w:t xml:space="preserve"> </w:t>
      </w:r>
      <w:r>
        <w:rPr>
          <w:sz w:val="18"/>
        </w:rPr>
        <w:t>Mental</w:t>
      </w:r>
      <w:r>
        <w:rPr>
          <w:spacing w:val="-3"/>
          <w:sz w:val="18"/>
        </w:rPr>
        <w:t xml:space="preserve"> </w:t>
      </w:r>
      <w:r>
        <w:rPr>
          <w:sz w:val="18"/>
        </w:rPr>
        <w:t>Health</w:t>
      </w:r>
      <w:r>
        <w:rPr>
          <w:spacing w:val="-3"/>
          <w:sz w:val="18"/>
        </w:rPr>
        <w:t xml:space="preserve"> </w:t>
      </w:r>
      <w:r>
        <w:rPr>
          <w:sz w:val="18"/>
        </w:rPr>
        <w:t>Needs</w:t>
      </w:r>
      <w:r>
        <w:rPr>
          <w:spacing w:val="-3"/>
          <w:sz w:val="18"/>
        </w:rPr>
        <w:t xml:space="preserve"> </w:t>
      </w:r>
      <w:r>
        <w:rPr>
          <w:sz w:val="18"/>
        </w:rPr>
        <w:t>of</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 xml:space="preserve">Juvenile Justice System,” </w:t>
      </w:r>
      <w:r>
        <w:rPr>
          <w:i/>
          <w:sz w:val="18"/>
        </w:rPr>
        <w:t xml:space="preserve">Journal of the American Academy of Child and Adolescent Psychiatry </w:t>
      </w:r>
      <w:r>
        <w:rPr>
          <w:sz w:val="18"/>
        </w:rPr>
        <w:t xml:space="preserve">61, no. 2 (February 2022): 115–19, </w:t>
      </w:r>
      <w:r>
        <w:rPr>
          <w:spacing w:val="-2"/>
          <w:sz w:val="18"/>
        </w:rPr>
        <w:t>https://doi.org/10.1016/j.jaac.2021.06.014.</w:t>
      </w:r>
    </w:p>
    <w:p w:rsidR="00200FDA" w:rsidRDefault="00F76C4C">
      <w:pPr>
        <w:ind w:left="140" w:right="1959" w:hanging="1"/>
        <w:rPr>
          <w:sz w:val="18"/>
        </w:rPr>
      </w:pPr>
      <w:r>
        <w:rPr>
          <w:position w:val="5"/>
          <w:sz w:val="12"/>
        </w:rPr>
        <w:t>34</w:t>
      </w:r>
      <w:r>
        <w:rPr>
          <w:spacing w:val="9"/>
          <w:position w:val="5"/>
          <w:sz w:val="12"/>
        </w:rPr>
        <w:t xml:space="preserve"> </w:t>
      </w:r>
      <w:r>
        <w:rPr>
          <w:sz w:val="18"/>
        </w:rPr>
        <w:t>Youth.gov,</w:t>
      </w:r>
      <w:r>
        <w:rPr>
          <w:spacing w:val="-9"/>
          <w:sz w:val="18"/>
        </w:rPr>
        <w:t xml:space="preserve"> </w:t>
      </w:r>
      <w:r>
        <w:rPr>
          <w:sz w:val="18"/>
        </w:rPr>
        <w:t>“Young</w:t>
      </w:r>
      <w:r>
        <w:rPr>
          <w:spacing w:val="-10"/>
          <w:sz w:val="18"/>
        </w:rPr>
        <w:t xml:space="preserve"> </w:t>
      </w:r>
      <w:r>
        <w:rPr>
          <w:sz w:val="18"/>
        </w:rPr>
        <w:t>Adults</w:t>
      </w:r>
      <w:r>
        <w:rPr>
          <w:spacing w:val="-10"/>
          <w:sz w:val="18"/>
        </w:rPr>
        <w:t xml:space="preserve"> </w:t>
      </w:r>
      <w:r>
        <w:rPr>
          <w:sz w:val="18"/>
        </w:rPr>
        <w:t>Formerly</w:t>
      </w:r>
      <w:r>
        <w:rPr>
          <w:spacing w:val="-7"/>
          <w:sz w:val="18"/>
        </w:rPr>
        <w:t xml:space="preserve"> </w:t>
      </w:r>
      <w:r>
        <w:rPr>
          <w:sz w:val="18"/>
        </w:rPr>
        <w:t>in</w:t>
      </w:r>
      <w:r>
        <w:rPr>
          <w:spacing w:val="-8"/>
          <w:sz w:val="18"/>
        </w:rPr>
        <w:t xml:space="preserve"> </w:t>
      </w:r>
      <w:r>
        <w:rPr>
          <w:sz w:val="18"/>
        </w:rPr>
        <w:t>Foster</w:t>
      </w:r>
      <w:r>
        <w:rPr>
          <w:spacing w:val="-10"/>
          <w:sz w:val="18"/>
        </w:rPr>
        <w:t xml:space="preserve"> </w:t>
      </w:r>
      <w:r>
        <w:rPr>
          <w:sz w:val="18"/>
        </w:rPr>
        <w:t>Care:</w:t>
      </w:r>
      <w:r>
        <w:rPr>
          <w:spacing w:val="-10"/>
          <w:sz w:val="18"/>
        </w:rPr>
        <w:t xml:space="preserve"> </w:t>
      </w:r>
      <w:r>
        <w:rPr>
          <w:sz w:val="18"/>
        </w:rPr>
        <w:t>Challenges</w:t>
      </w:r>
      <w:r>
        <w:rPr>
          <w:spacing w:val="-8"/>
          <w:sz w:val="18"/>
        </w:rPr>
        <w:t xml:space="preserve"> </w:t>
      </w:r>
      <w:r>
        <w:rPr>
          <w:sz w:val="18"/>
        </w:rPr>
        <w:t>and</w:t>
      </w:r>
      <w:r>
        <w:rPr>
          <w:spacing w:val="-6"/>
          <w:sz w:val="18"/>
        </w:rPr>
        <w:t xml:space="preserve"> </w:t>
      </w:r>
      <w:r>
        <w:rPr>
          <w:sz w:val="18"/>
        </w:rPr>
        <w:t>Solutions,”</w:t>
      </w:r>
      <w:r>
        <w:rPr>
          <w:spacing w:val="-8"/>
          <w:sz w:val="18"/>
        </w:rPr>
        <w:t xml:space="preserve"> </w:t>
      </w:r>
      <w:r>
        <w:rPr>
          <w:sz w:val="18"/>
        </w:rPr>
        <w:t>accessed</w:t>
      </w:r>
      <w:r>
        <w:rPr>
          <w:spacing w:val="-8"/>
          <w:sz w:val="18"/>
        </w:rPr>
        <w:t xml:space="preserve"> </w:t>
      </w:r>
      <w:r>
        <w:rPr>
          <w:sz w:val="18"/>
        </w:rPr>
        <w:t>April</w:t>
      </w:r>
      <w:r>
        <w:rPr>
          <w:spacing w:val="-4"/>
          <w:sz w:val="18"/>
        </w:rPr>
        <w:t xml:space="preserve"> </w:t>
      </w:r>
      <w:r>
        <w:rPr>
          <w:sz w:val="18"/>
        </w:rPr>
        <w:t>18,</w:t>
      </w:r>
      <w:r>
        <w:rPr>
          <w:spacing w:val="-3"/>
          <w:sz w:val="18"/>
        </w:rPr>
        <w:t xml:space="preserve"> </w:t>
      </w:r>
      <w:r>
        <w:rPr>
          <w:sz w:val="18"/>
        </w:rPr>
        <w:t xml:space="preserve">2023, </w:t>
      </w:r>
      <w:r>
        <w:rPr>
          <w:spacing w:val="-2"/>
          <w:sz w:val="18"/>
        </w:rPr>
        <w:t>https://youth.gov/youth-briefs/foster-care-youth-brief/challenges.</w:t>
      </w:r>
    </w:p>
    <w:p w:rsidR="00200FDA" w:rsidRDefault="00F76C4C">
      <w:pPr>
        <w:spacing w:line="219" w:lineRule="exact"/>
        <w:ind w:left="140"/>
        <w:rPr>
          <w:sz w:val="18"/>
        </w:rPr>
      </w:pPr>
      <w:r>
        <w:rPr>
          <w:position w:val="5"/>
          <w:sz w:val="12"/>
        </w:rPr>
        <w:t>35</w:t>
      </w:r>
      <w:r>
        <w:rPr>
          <w:spacing w:val="9"/>
          <w:position w:val="5"/>
          <w:sz w:val="12"/>
        </w:rPr>
        <w:t xml:space="preserve"> </w:t>
      </w:r>
      <w:r>
        <w:rPr>
          <w:sz w:val="18"/>
        </w:rPr>
        <w:t>2021</w:t>
      </w:r>
      <w:r>
        <w:rPr>
          <w:spacing w:val="-1"/>
          <w:sz w:val="18"/>
        </w:rPr>
        <w:t xml:space="preserve"> </w:t>
      </w:r>
      <w:r>
        <w:rPr>
          <w:sz w:val="18"/>
        </w:rPr>
        <w:t>MYRBS</w:t>
      </w:r>
      <w:r>
        <w:rPr>
          <w:spacing w:val="-2"/>
          <w:sz w:val="18"/>
        </w:rPr>
        <w:t xml:space="preserve"> </w:t>
      </w:r>
      <w:r>
        <w:rPr>
          <w:sz w:val="18"/>
        </w:rPr>
        <w:t>Analysis –</w:t>
      </w:r>
      <w:r>
        <w:rPr>
          <w:spacing w:val="-2"/>
          <w:sz w:val="18"/>
        </w:rPr>
        <w:t xml:space="preserve"> </w:t>
      </w:r>
      <w:r>
        <w:rPr>
          <w:sz w:val="18"/>
        </w:rPr>
        <w:t>data on</w:t>
      </w:r>
      <w:r>
        <w:rPr>
          <w:spacing w:val="-2"/>
          <w:sz w:val="18"/>
        </w:rPr>
        <w:t xml:space="preserve"> </w:t>
      </w:r>
      <w:r>
        <w:rPr>
          <w:sz w:val="18"/>
        </w:rPr>
        <w:t>file</w:t>
      </w:r>
      <w:r>
        <w:rPr>
          <w:spacing w:val="-2"/>
          <w:sz w:val="18"/>
        </w:rPr>
        <w:t xml:space="preserve"> </w:t>
      </w:r>
      <w:r>
        <w:rPr>
          <w:sz w:val="18"/>
        </w:rPr>
        <w:t>with</w:t>
      </w:r>
      <w:r>
        <w:rPr>
          <w:spacing w:val="-2"/>
          <w:sz w:val="18"/>
        </w:rPr>
        <w:t xml:space="preserve"> </w:t>
      </w:r>
      <w:r>
        <w:rPr>
          <w:sz w:val="18"/>
        </w:rPr>
        <w:t>the</w:t>
      </w:r>
      <w:r>
        <w:rPr>
          <w:spacing w:val="-1"/>
          <w:sz w:val="18"/>
        </w:rPr>
        <w:t xml:space="preserve"> </w:t>
      </w:r>
      <w:r>
        <w:rPr>
          <w:spacing w:val="-2"/>
          <w:sz w:val="18"/>
        </w:rPr>
        <w:t>Commission</w:t>
      </w:r>
    </w:p>
    <w:p w:rsidR="00200FDA" w:rsidRDefault="00F76C4C">
      <w:pPr>
        <w:spacing w:line="219" w:lineRule="exact"/>
        <w:ind w:left="140"/>
        <w:rPr>
          <w:sz w:val="18"/>
        </w:rPr>
      </w:pPr>
      <w:r>
        <w:rPr>
          <w:position w:val="5"/>
          <w:sz w:val="12"/>
        </w:rPr>
        <w:t>36</w:t>
      </w:r>
      <w:r>
        <w:rPr>
          <w:spacing w:val="9"/>
          <w:position w:val="5"/>
          <w:sz w:val="12"/>
        </w:rPr>
        <w:t xml:space="preserve"> </w:t>
      </w:r>
      <w:r>
        <w:rPr>
          <w:sz w:val="18"/>
        </w:rPr>
        <w:t>2021</w:t>
      </w:r>
      <w:r>
        <w:rPr>
          <w:spacing w:val="-1"/>
          <w:sz w:val="18"/>
        </w:rPr>
        <w:t xml:space="preserve"> </w:t>
      </w:r>
      <w:r>
        <w:rPr>
          <w:sz w:val="18"/>
        </w:rPr>
        <w:t>MYRBS</w:t>
      </w:r>
      <w:r>
        <w:rPr>
          <w:spacing w:val="-2"/>
          <w:sz w:val="18"/>
        </w:rPr>
        <w:t xml:space="preserve"> </w:t>
      </w:r>
      <w:r>
        <w:rPr>
          <w:sz w:val="18"/>
        </w:rPr>
        <w:t>Analysis –</w:t>
      </w:r>
      <w:r>
        <w:rPr>
          <w:spacing w:val="-2"/>
          <w:sz w:val="18"/>
        </w:rPr>
        <w:t xml:space="preserve"> </w:t>
      </w:r>
      <w:r>
        <w:rPr>
          <w:sz w:val="18"/>
        </w:rPr>
        <w:t>data on</w:t>
      </w:r>
      <w:r>
        <w:rPr>
          <w:spacing w:val="-2"/>
          <w:sz w:val="18"/>
        </w:rPr>
        <w:t xml:space="preserve"> </w:t>
      </w:r>
      <w:r>
        <w:rPr>
          <w:sz w:val="18"/>
        </w:rPr>
        <w:t>file</w:t>
      </w:r>
      <w:r>
        <w:rPr>
          <w:spacing w:val="-2"/>
          <w:sz w:val="18"/>
        </w:rPr>
        <w:t xml:space="preserve"> </w:t>
      </w:r>
      <w:r>
        <w:rPr>
          <w:sz w:val="18"/>
        </w:rPr>
        <w:t>with</w:t>
      </w:r>
      <w:r>
        <w:rPr>
          <w:spacing w:val="-2"/>
          <w:sz w:val="18"/>
        </w:rPr>
        <w:t xml:space="preserve"> </w:t>
      </w:r>
      <w:r>
        <w:rPr>
          <w:sz w:val="18"/>
        </w:rPr>
        <w:t>the</w:t>
      </w:r>
      <w:r>
        <w:rPr>
          <w:spacing w:val="-1"/>
          <w:sz w:val="18"/>
        </w:rPr>
        <w:t xml:space="preserve"> </w:t>
      </w:r>
      <w:r>
        <w:rPr>
          <w:spacing w:val="-2"/>
          <w:sz w:val="18"/>
        </w:rPr>
        <w:t>Commission</w:t>
      </w:r>
    </w:p>
    <w:p w:rsidR="00200FDA" w:rsidRDefault="00F76C4C">
      <w:pPr>
        <w:spacing w:before="1" w:line="219" w:lineRule="exact"/>
        <w:ind w:left="140"/>
        <w:rPr>
          <w:sz w:val="18"/>
        </w:rPr>
      </w:pPr>
      <w:r>
        <w:rPr>
          <w:position w:val="5"/>
          <w:sz w:val="12"/>
        </w:rPr>
        <w:t>37</w:t>
      </w:r>
      <w:r>
        <w:rPr>
          <w:spacing w:val="9"/>
          <w:position w:val="5"/>
          <w:sz w:val="12"/>
        </w:rPr>
        <w:t xml:space="preserve"> </w:t>
      </w:r>
      <w:r>
        <w:rPr>
          <w:sz w:val="18"/>
        </w:rPr>
        <w:t>2021</w:t>
      </w:r>
      <w:r>
        <w:rPr>
          <w:spacing w:val="-1"/>
          <w:sz w:val="18"/>
        </w:rPr>
        <w:t xml:space="preserve"> </w:t>
      </w:r>
      <w:r>
        <w:rPr>
          <w:sz w:val="18"/>
        </w:rPr>
        <w:t>MYRBS</w:t>
      </w:r>
      <w:r>
        <w:rPr>
          <w:spacing w:val="-2"/>
          <w:sz w:val="18"/>
        </w:rPr>
        <w:t xml:space="preserve"> </w:t>
      </w:r>
      <w:r>
        <w:rPr>
          <w:sz w:val="18"/>
        </w:rPr>
        <w:t>Analysi</w:t>
      </w:r>
      <w:r>
        <w:rPr>
          <w:sz w:val="18"/>
        </w:rPr>
        <w:t>s –</w:t>
      </w:r>
      <w:r>
        <w:rPr>
          <w:spacing w:val="-2"/>
          <w:sz w:val="18"/>
        </w:rPr>
        <w:t xml:space="preserve"> </w:t>
      </w:r>
      <w:r>
        <w:rPr>
          <w:sz w:val="18"/>
        </w:rPr>
        <w:t>data on</w:t>
      </w:r>
      <w:r>
        <w:rPr>
          <w:spacing w:val="-2"/>
          <w:sz w:val="18"/>
        </w:rPr>
        <w:t xml:space="preserve"> </w:t>
      </w:r>
      <w:r>
        <w:rPr>
          <w:sz w:val="18"/>
        </w:rPr>
        <w:t>file</w:t>
      </w:r>
      <w:r>
        <w:rPr>
          <w:spacing w:val="-2"/>
          <w:sz w:val="18"/>
        </w:rPr>
        <w:t xml:space="preserve"> </w:t>
      </w:r>
      <w:r>
        <w:rPr>
          <w:sz w:val="18"/>
        </w:rPr>
        <w:t>with</w:t>
      </w:r>
      <w:r>
        <w:rPr>
          <w:spacing w:val="-2"/>
          <w:sz w:val="18"/>
        </w:rPr>
        <w:t xml:space="preserve"> </w:t>
      </w:r>
      <w:r>
        <w:rPr>
          <w:sz w:val="18"/>
        </w:rPr>
        <w:t>the</w:t>
      </w:r>
      <w:r>
        <w:rPr>
          <w:spacing w:val="-1"/>
          <w:sz w:val="18"/>
        </w:rPr>
        <w:t xml:space="preserve"> </w:t>
      </w:r>
      <w:r>
        <w:rPr>
          <w:spacing w:val="-2"/>
          <w:sz w:val="18"/>
        </w:rPr>
        <w:t>Commission</w:t>
      </w:r>
    </w:p>
    <w:p w:rsidR="00200FDA" w:rsidRDefault="00F76C4C">
      <w:pPr>
        <w:ind w:left="140" w:right="157" w:hanging="1"/>
        <w:rPr>
          <w:sz w:val="18"/>
        </w:rPr>
      </w:pPr>
      <w:r>
        <w:rPr>
          <w:position w:val="5"/>
          <w:sz w:val="12"/>
        </w:rPr>
        <w:t>38</w:t>
      </w:r>
      <w:r>
        <w:rPr>
          <w:spacing w:val="10"/>
          <w:position w:val="5"/>
          <w:sz w:val="12"/>
        </w:rPr>
        <w:t xml:space="preserve"> </w:t>
      </w:r>
      <w:r>
        <w:rPr>
          <w:sz w:val="18"/>
        </w:rPr>
        <w:t>Shannon</w:t>
      </w:r>
      <w:r>
        <w:rPr>
          <w:spacing w:val="-3"/>
          <w:sz w:val="18"/>
        </w:rPr>
        <w:t xml:space="preserve"> </w:t>
      </w:r>
      <w:r>
        <w:rPr>
          <w:sz w:val="18"/>
        </w:rPr>
        <w:t>D.</w:t>
      </w:r>
      <w:r>
        <w:rPr>
          <w:spacing w:val="-2"/>
          <w:sz w:val="18"/>
        </w:rPr>
        <w:t xml:space="preserve"> </w:t>
      </w:r>
      <w:r>
        <w:rPr>
          <w:sz w:val="18"/>
        </w:rPr>
        <w:t>Snapp</w:t>
      </w:r>
      <w:r>
        <w:rPr>
          <w:spacing w:val="-3"/>
          <w:sz w:val="18"/>
        </w:rPr>
        <w:t xml:space="preserve"> </w:t>
      </w:r>
      <w:r>
        <w:rPr>
          <w:sz w:val="18"/>
        </w:rPr>
        <w:t>and</w:t>
      </w:r>
      <w:r>
        <w:rPr>
          <w:spacing w:val="-3"/>
          <w:sz w:val="18"/>
        </w:rPr>
        <w:t xml:space="preserve"> </w:t>
      </w:r>
      <w:r>
        <w:rPr>
          <w:sz w:val="18"/>
        </w:rPr>
        <w:t>Stephen</w:t>
      </w:r>
      <w:r>
        <w:rPr>
          <w:spacing w:val="-1"/>
          <w:sz w:val="18"/>
        </w:rPr>
        <w:t xml:space="preserve"> </w:t>
      </w:r>
      <w:r>
        <w:rPr>
          <w:sz w:val="18"/>
        </w:rPr>
        <w:t>T.</w:t>
      </w:r>
      <w:r>
        <w:rPr>
          <w:spacing w:val="-2"/>
          <w:sz w:val="18"/>
        </w:rPr>
        <w:t xml:space="preserve"> </w:t>
      </w:r>
      <w:r>
        <w:rPr>
          <w:sz w:val="18"/>
        </w:rPr>
        <w:t>Russell,</w:t>
      </w:r>
      <w:r>
        <w:rPr>
          <w:spacing w:val="-2"/>
          <w:sz w:val="18"/>
        </w:rPr>
        <w:t xml:space="preserve"> </w:t>
      </w:r>
      <w:r>
        <w:rPr>
          <w:sz w:val="18"/>
        </w:rPr>
        <w:t>“Discipline</w:t>
      </w:r>
      <w:r>
        <w:rPr>
          <w:spacing w:val="-3"/>
          <w:sz w:val="18"/>
        </w:rPr>
        <w:t xml:space="preserve"> </w:t>
      </w:r>
      <w:r>
        <w:rPr>
          <w:sz w:val="18"/>
        </w:rPr>
        <w:t>Disparities</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Youth:</w:t>
      </w:r>
      <w:r>
        <w:rPr>
          <w:spacing w:val="-3"/>
          <w:sz w:val="18"/>
        </w:rPr>
        <w:t xml:space="preserve"> </w:t>
      </w:r>
      <w:r>
        <w:rPr>
          <w:sz w:val="18"/>
        </w:rPr>
        <w:t>Challenges</w:t>
      </w:r>
      <w:r>
        <w:rPr>
          <w:spacing w:val="-3"/>
          <w:sz w:val="18"/>
        </w:rPr>
        <w:t xml:space="preserve"> </w:t>
      </w:r>
      <w:r>
        <w:rPr>
          <w:sz w:val="18"/>
        </w:rPr>
        <w:t>That Perpetuate</w:t>
      </w:r>
      <w:r>
        <w:rPr>
          <w:spacing w:val="-3"/>
          <w:sz w:val="18"/>
        </w:rPr>
        <w:t xml:space="preserve"> </w:t>
      </w:r>
      <w:r>
        <w:rPr>
          <w:sz w:val="18"/>
        </w:rPr>
        <w:t>Disparities</w:t>
      </w:r>
      <w:r>
        <w:rPr>
          <w:spacing w:val="-3"/>
          <w:sz w:val="18"/>
        </w:rPr>
        <w:t xml:space="preserve"> </w:t>
      </w:r>
      <w:r>
        <w:rPr>
          <w:sz w:val="18"/>
        </w:rPr>
        <w:t xml:space="preserve">and Strategies to Overcome Them,” in </w:t>
      </w:r>
      <w:r>
        <w:rPr>
          <w:i/>
          <w:sz w:val="18"/>
        </w:rPr>
        <w:t>Inequality in School Discipline: Research and Practice to Reduce Disparities</w:t>
      </w:r>
      <w:r>
        <w:rPr>
          <w:sz w:val="18"/>
        </w:rPr>
        <w:t>, ed. Russell J. Skiba, Kavitha Mediratta, and M. Karega Rausch (New York: Palgrave Macmillan US, 2016), 207–23,</w:t>
      </w:r>
      <w:r>
        <w:rPr>
          <w:spacing w:val="40"/>
          <w:sz w:val="18"/>
        </w:rPr>
        <w:t xml:space="preserve"> </w:t>
      </w:r>
      <w:r>
        <w:rPr>
          <w:spacing w:val="-2"/>
          <w:sz w:val="18"/>
        </w:rPr>
        <w:t>https://doi.org/10.1057/978-1-137-51257-4_12.</w:t>
      </w:r>
    </w:p>
    <w:p w:rsidR="00200FDA" w:rsidRDefault="00F76C4C">
      <w:pPr>
        <w:ind w:left="140" w:hanging="1"/>
        <w:rPr>
          <w:sz w:val="18"/>
        </w:rPr>
      </w:pPr>
      <w:r>
        <w:rPr>
          <w:position w:val="5"/>
          <w:sz w:val="12"/>
        </w:rPr>
        <w:t>39</w:t>
      </w:r>
      <w:r>
        <w:rPr>
          <w:spacing w:val="7"/>
          <w:position w:val="5"/>
          <w:sz w:val="12"/>
        </w:rPr>
        <w:t xml:space="preserve"> </w:t>
      </w:r>
      <w:r>
        <w:rPr>
          <w:sz w:val="18"/>
        </w:rPr>
        <w:t>Lambda</w:t>
      </w:r>
      <w:r>
        <w:rPr>
          <w:spacing w:val="-10"/>
          <w:sz w:val="18"/>
        </w:rPr>
        <w:t xml:space="preserve"> </w:t>
      </w:r>
      <w:r>
        <w:rPr>
          <w:sz w:val="18"/>
        </w:rPr>
        <w:t>Legal,</w:t>
      </w:r>
      <w:r>
        <w:rPr>
          <w:spacing w:val="-10"/>
          <w:sz w:val="18"/>
        </w:rPr>
        <w:t xml:space="preserve"> </w:t>
      </w:r>
      <w:r>
        <w:rPr>
          <w:sz w:val="18"/>
        </w:rPr>
        <w:t>“Pro</w:t>
      </w:r>
      <w:r>
        <w:rPr>
          <w:sz w:val="18"/>
        </w:rPr>
        <w:t>tected</w:t>
      </w:r>
      <w:r>
        <w:rPr>
          <w:spacing w:val="-11"/>
          <w:sz w:val="18"/>
        </w:rPr>
        <w:t xml:space="preserve"> </w:t>
      </w:r>
      <w:r>
        <w:rPr>
          <w:sz w:val="18"/>
        </w:rPr>
        <w:t>and</w:t>
      </w:r>
      <w:r>
        <w:rPr>
          <w:spacing w:val="-8"/>
          <w:sz w:val="18"/>
        </w:rPr>
        <w:t xml:space="preserve"> </w:t>
      </w:r>
      <w:r>
        <w:rPr>
          <w:sz w:val="18"/>
        </w:rPr>
        <w:t>Served?</w:t>
      </w:r>
      <w:r>
        <w:rPr>
          <w:spacing w:val="-10"/>
          <w:sz w:val="18"/>
        </w:rPr>
        <w:t xml:space="preserve"> </w:t>
      </w:r>
      <w:r>
        <w:rPr>
          <w:sz w:val="18"/>
        </w:rPr>
        <w:t>School</w:t>
      </w:r>
      <w:r>
        <w:rPr>
          <w:spacing w:val="-11"/>
          <w:sz w:val="18"/>
        </w:rPr>
        <w:t xml:space="preserve"> </w:t>
      </w:r>
      <w:r>
        <w:rPr>
          <w:sz w:val="18"/>
        </w:rPr>
        <w:t>Security,</w:t>
      </w:r>
      <w:r>
        <w:rPr>
          <w:spacing w:val="-7"/>
          <w:sz w:val="18"/>
        </w:rPr>
        <w:t xml:space="preserve"> </w:t>
      </w:r>
      <w:r>
        <w:rPr>
          <w:sz w:val="18"/>
        </w:rPr>
        <w:t>Policing</w:t>
      </w:r>
      <w:r>
        <w:rPr>
          <w:spacing w:val="-11"/>
          <w:sz w:val="18"/>
        </w:rPr>
        <w:t xml:space="preserve"> </w:t>
      </w:r>
      <w:r>
        <w:rPr>
          <w:sz w:val="18"/>
        </w:rPr>
        <w:t>and</w:t>
      </w:r>
      <w:r>
        <w:rPr>
          <w:spacing w:val="-10"/>
          <w:sz w:val="18"/>
        </w:rPr>
        <w:t xml:space="preserve"> </w:t>
      </w:r>
      <w:r>
        <w:rPr>
          <w:sz w:val="18"/>
        </w:rPr>
        <w:t>Discipline,”</w:t>
      </w:r>
      <w:r>
        <w:rPr>
          <w:spacing w:val="-10"/>
          <w:sz w:val="18"/>
        </w:rPr>
        <w:t xml:space="preserve"> </w:t>
      </w:r>
      <w:r>
        <w:rPr>
          <w:sz w:val="18"/>
        </w:rPr>
        <w:t>January</w:t>
      </w:r>
      <w:r>
        <w:rPr>
          <w:spacing w:val="-8"/>
          <w:sz w:val="18"/>
        </w:rPr>
        <w:t xml:space="preserve"> </w:t>
      </w:r>
      <w:r>
        <w:rPr>
          <w:sz w:val="18"/>
        </w:rPr>
        <w:t>7,</w:t>
      </w:r>
      <w:r>
        <w:rPr>
          <w:spacing w:val="-10"/>
          <w:sz w:val="18"/>
        </w:rPr>
        <w:t xml:space="preserve"> </w:t>
      </w:r>
      <w:r>
        <w:rPr>
          <w:sz w:val="18"/>
        </w:rPr>
        <w:t xml:space="preserve">2016, </w:t>
      </w:r>
      <w:r>
        <w:rPr>
          <w:spacing w:val="-2"/>
          <w:sz w:val="18"/>
        </w:rPr>
        <w:t>https://</w:t>
      </w:r>
      <w:hyperlink r:id="rId652">
        <w:r>
          <w:rPr>
            <w:spacing w:val="-2"/>
            <w:sz w:val="18"/>
          </w:rPr>
          <w:t>www.lambdalegal.org/node/30521.</w:t>
        </w:r>
      </w:hyperlink>
    </w:p>
    <w:p w:rsidR="00200FDA" w:rsidRDefault="00F76C4C">
      <w:pPr>
        <w:spacing w:before="1"/>
        <w:ind w:left="140" w:right="413" w:hanging="1"/>
        <w:rPr>
          <w:sz w:val="18"/>
        </w:rPr>
      </w:pPr>
      <w:r>
        <w:rPr>
          <w:position w:val="5"/>
          <w:sz w:val="12"/>
        </w:rPr>
        <w:t>40</w:t>
      </w:r>
      <w:r>
        <w:rPr>
          <w:spacing w:val="9"/>
          <w:position w:val="5"/>
          <w:sz w:val="12"/>
        </w:rPr>
        <w:t xml:space="preserve"> </w:t>
      </w:r>
      <w:r>
        <w:rPr>
          <w:sz w:val="18"/>
        </w:rPr>
        <w:t>“Civil</w:t>
      </w:r>
      <w:r>
        <w:rPr>
          <w:spacing w:val="-4"/>
          <w:sz w:val="18"/>
        </w:rPr>
        <w:t xml:space="preserve"> </w:t>
      </w:r>
      <w:r>
        <w:rPr>
          <w:sz w:val="18"/>
        </w:rPr>
        <w:t>Rights</w:t>
      </w:r>
      <w:r>
        <w:rPr>
          <w:spacing w:val="-4"/>
          <w:sz w:val="18"/>
        </w:rPr>
        <w:t xml:space="preserve"> </w:t>
      </w:r>
      <w:r>
        <w:rPr>
          <w:sz w:val="18"/>
        </w:rPr>
        <w:t>School</w:t>
      </w:r>
      <w:r>
        <w:rPr>
          <w:spacing w:val="-4"/>
          <w:sz w:val="18"/>
        </w:rPr>
        <w:t xml:space="preserve"> </w:t>
      </w:r>
      <w:r>
        <w:rPr>
          <w:sz w:val="18"/>
        </w:rPr>
        <w:t>Climate</w:t>
      </w:r>
      <w:r>
        <w:rPr>
          <w:spacing w:val="-4"/>
          <w:sz w:val="18"/>
        </w:rPr>
        <w:t xml:space="preserve"> </w:t>
      </w:r>
      <w:r>
        <w:rPr>
          <w:sz w:val="18"/>
        </w:rPr>
        <w:t>Principles,”</w:t>
      </w:r>
      <w:r>
        <w:rPr>
          <w:spacing w:val="-4"/>
          <w:sz w:val="18"/>
        </w:rPr>
        <w:t xml:space="preserve"> </w:t>
      </w:r>
      <w:r>
        <w:rPr>
          <w:sz w:val="18"/>
        </w:rPr>
        <w:t>GLSEN,</w:t>
      </w:r>
      <w:r>
        <w:rPr>
          <w:spacing w:val="-3"/>
          <w:sz w:val="18"/>
        </w:rPr>
        <w:t xml:space="preserve"> </w:t>
      </w:r>
      <w:r>
        <w:rPr>
          <w:sz w:val="18"/>
        </w:rPr>
        <w:t>accessed</w:t>
      </w:r>
      <w:r>
        <w:rPr>
          <w:spacing w:val="-4"/>
          <w:sz w:val="18"/>
        </w:rPr>
        <w:t xml:space="preserve"> </w:t>
      </w:r>
      <w:r>
        <w:rPr>
          <w:sz w:val="18"/>
        </w:rPr>
        <w:t>April</w:t>
      </w:r>
      <w:r>
        <w:rPr>
          <w:spacing w:val="-4"/>
          <w:sz w:val="18"/>
        </w:rPr>
        <w:t xml:space="preserve"> </w:t>
      </w:r>
      <w:r>
        <w:rPr>
          <w:sz w:val="18"/>
        </w:rPr>
        <w:t>24,</w:t>
      </w:r>
      <w:r>
        <w:rPr>
          <w:spacing w:val="-1"/>
          <w:sz w:val="18"/>
        </w:rPr>
        <w:t xml:space="preserve"> </w:t>
      </w:r>
      <w:r>
        <w:rPr>
          <w:sz w:val="18"/>
        </w:rPr>
        <w:t>2023,</w:t>
      </w:r>
      <w:r>
        <w:rPr>
          <w:spacing w:val="-3"/>
          <w:sz w:val="18"/>
        </w:rPr>
        <w:t xml:space="preserve"> </w:t>
      </w:r>
      <w:r>
        <w:rPr>
          <w:sz w:val="18"/>
        </w:rPr>
        <w:t>https://</w:t>
      </w:r>
      <w:hyperlink r:id="rId653">
        <w:r>
          <w:rPr>
            <w:sz w:val="18"/>
          </w:rPr>
          <w:t>www.glsen.org/activity/civil-rights-school-</w:t>
        </w:r>
      </w:hyperlink>
      <w:r>
        <w:rPr>
          <w:sz w:val="18"/>
        </w:rPr>
        <w:t xml:space="preserve"> </w:t>
      </w:r>
      <w:r>
        <w:rPr>
          <w:spacing w:val="-2"/>
          <w:sz w:val="18"/>
        </w:rPr>
        <w:t>climate-principles.</w:t>
      </w:r>
    </w:p>
    <w:p w:rsidR="00200FDA" w:rsidRDefault="00F76C4C">
      <w:pPr>
        <w:ind w:left="140" w:right="218" w:hanging="1"/>
        <w:rPr>
          <w:sz w:val="18"/>
        </w:rPr>
      </w:pPr>
      <w:r>
        <w:rPr>
          <w:position w:val="5"/>
          <w:sz w:val="12"/>
        </w:rPr>
        <w:t>41</w:t>
      </w:r>
      <w:r>
        <w:rPr>
          <w:spacing w:val="10"/>
          <w:position w:val="5"/>
          <w:sz w:val="12"/>
        </w:rPr>
        <w:t xml:space="preserve"> </w:t>
      </w:r>
      <w:r>
        <w:rPr>
          <w:sz w:val="18"/>
        </w:rPr>
        <w:t>Loyal</w:t>
      </w:r>
      <w:r>
        <w:rPr>
          <w:spacing w:val="-3"/>
          <w:sz w:val="18"/>
        </w:rPr>
        <w:t xml:space="preserve"> </w:t>
      </w:r>
      <w:r>
        <w:rPr>
          <w:sz w:val="18"/>
        </w:rPr>
        <w:t>|</w:t>
      </w:r>
      <w:r>
        <w:rPr>
          <w:spacing w:val="-1"/>
          <w:sz w:val="18"/>
        </w:rPr>
        <w:t xml:space="preserve"> </w:t>
      </w:r>
      <w:r>
        <w:rPr>
          <w:sz w:val="18"/>
        </w:rPr>
        <w:t>thisisloyal.com,</w:t>
      </w:r>
      <w:r>
        <w:rPr>
          <w:spacing w:val="-2"/>
          <w:sz w:val="18"/>
        </w:rPr>
        <w:t xml:space="preserve"> </w:t>
      </w:r>
      <w:r>
        <w:rPr>
          <w:sz w:val="18"/>
        </w:rPr>
        <w:t>“LGBTQ</w:t>
      </w:r>
      <w:r>
        <w:rPr>
          <w:spacing w:val="-3"/>
          <w:sz w:val="18"/>
        </w:rPr>
        <w:t xml:space="preserve"> </w:t>
      </w:r>
      <w:r>
        <w:rPr>
          <w:sz w:val="18"/>
        </w:rPr>
        <w:t>Youth</w:t>
      </w:r>
      <w:r>
        <w:rPr>
          <w:spacing w:val="-3"/>
          <w:sz w:val="18"/>
        </w:rPr>
        <w:t xml:space="preserve"> </w:t>
      </w:r>
      <w:r>
        <w:rPr>
          <w:sz w:val="18"/>
        </w:rPr>
        <w:t>of</w:t>
      </w:r>
      <w:r>
        <w:rPr>
          <w:spacing w:val="-2"/>
          <w:sz w:val="18"/>
        </w:rPr>
        <w:t xml:space="preserve"> </w:t>
      </w:r>
      <w:r>
        <w:rPr>
          <w:sz w:val="18"/>
        </w:rPr>
        <w:t>Color</w:t>
      </w:r>
      <w:r>
        <w:rPr>
          <w:spacing w:val="-3"/>
          <w:sz w:val="18"/>
        </w:rPr>
        <w:t xml:space="preserve"> </w:t>
      </w:r>
      <w:r>
        <w:rPr>
          <w:sz w:val="18"/>
        </w:rPr>
        <w:t>Impacted</w:t>
      </w:r>
      <w:r>
        <w:rPr>
          <w:spacing w:val="-3"/>
          <w:sz w:val="18"/>
        </w:rPr>
        <w:t xml:space="preserve"> </w:t>
      </w:r>
      <w:r>
        <w:rPr>
          <w:sz w:val="18"/>
        </w:rPr>
        <w:t>by</w:t>
      </w:r>
      <w:r>
        <w:rPr>
          <w:spacing w:val="-2"/>
          <w:sz w:val="18"/>
        </w:rPr>
        <w:t xml:space="preserve"> </w:t>
      </w:r>
      <w:r>
        <w:rPr>
          <w:sz w:val="18"/>
        </w:rPr>
        <w:t>the</w:t>
      </w:r>
      <w:r>
        <w:rPr>
          <w:spacing w:val="-3"/>
          <w:sz w:val="18"/>
        </w:rPr>
        <w:t xml:space="preserve"> </w:t>
      </w:r>
      <w:r>
        <w:rPr>
          <w:sz w:val="18"/>
        </w:rPr>
        <w:t>Child</w:t>
      </w:r>
      <w:r>
        <w:rPr>
          <w:spacing w:val="-3"/>
          <w:sz w:val="18"/>
        </w:rPr>
        <w:t xml:space="preserve"> </w:t>
      </w:r>
      <w:r>
        <w:rPr>
          <w:sz w:val="18"/>
        </w:rPr>
        <w:t>Welfare</w:t>
      </w:r>
      <w:r>
        <w:rPr>
          <w:spacing w:val="-3"/>
          <w:sz w:val="18"/>
        </w:rPr>
        <w:t xml:space="preserve"> </w:t>
      </w:r>
      <w:r>
        <w:rPr>
          <w:sz w:val="18"/>
        </w:rPr>
        <w:t>and</w:t>
      </w:r>
      <w:r>
        <w:rPr>
          <w:spacing w:val="-3"/>
          <w:sz w:val="18"/>
        </w:rPr>
        <w:t xml:space="preserve"> </w:t>
      </w:r>
      <w:r>
        <w:rPr>
          <w:sz w:val="18"/>
        </w:rPr>
        <w:t>Juvenile</w:t>
      </w:r>
      <w:r>
        <w:rPr>
          <w:spacing w:val="-3"/>
          <w:sz w:val="18"/>
        </w:rPr>
        <w:t xml:space="preserve"> </w:t>
      </w:r>
      <w:r>
        <w:rPr>
          <w:sz w:val="18"/>
        </w:rPr>
        <w:t>Justice</w:t>
      </w:r>
      <w:r>
        <w:rPr>
          <w:spacing w:val="-3"/>
          <w:sz w:val="18"/>
        </w:rPr>
        <w:t xml:space="preserve"> </w:t>
      </w:r>
      <w:r>
        <w:rPr>
          <w:sz w:val="18"/>
        </w:rPr>
        <w:t>Systems,”</w:t>
      </w:r>
      <w:r>
        <w:rPr>
          <w:spacing w:val="-3"/>
          <w:sz w:val="18"/>
        </w:rPr>
        <w:t xml:space="preserve"> </w:t>
      </w:r>
      <w:r>
        <w:rPr>
          <w:sz w:val="18"/>
        </w:rPr>
        <w:t>Wil</w:t>
      </w:r>
      <w:r>
        <w:rPr>
          <w:sz w:val="18"/>
        </w:rPr>
        <w:t>liams Institute, accessed April 24, 2023, https://williamsinstitute.law.ucla.edu/publications/lgbtq-yoc-social-services/.</w:t>
      </w:r>
    </w:p>
    <w:p w:rsidR="00200FDA" w:rsidRDefault="00F76C4C">
      <w:pPr>
        <w:ind w:left="140" w:right="351" w:hanging="1"/>
        <w:rPr>
          <w:sz w:val="18"/>
        </w:rPr>
      </w:pPr>
      <w:r>
        <w:rPr>
          <w:position w:val="5"/>
          <w:sz w:val="12"/>
        </w:rPr>
        <w:t>42</w:t>
      </w:r>
      <w:r>
        <w:rPr>
          <w:spacing w:val="10"/>
          <w:position w:val="5"/>
          <w:sz w:val="12"/>
        </w:rPr>
        <w:t xml:space="preserve"> </w:t>
      </w:r>
      <w:r>
        <w:rPr>
          <w:sz w:val="18"/>
        </w:rPr>
        <w:t>Brad</w:t>
      </w:r>
      <w:r>
        <w:rPr>
          <w:spacing w:val="-3"/>
          <w:sz w:val="18"/>
        </w:rPr>
        <w:t xml:space="preserve"> </w:t>
      </w:r>
      <w:r>
        <w:rPr>
          <w:sz w:val="18"/>
        </w:rPr>
        <w:t>Brockmann,</w:t>
      </w:r>
      <w:r>
        <w:rPr>
          <w:spacing w:val="-2"/>
          <w:sz w:val="18"/>
        </w:rPr>
        <w:t xml:space="preserve"> </w:t>
      </w:r>
      <w:r>
        <w:rPr>
          <w:sz w:val="18"/>
        </w:rPr>
        <w:t>et</w:t>
      </w:r>
      <w:r>
        <w:rPr>
          <w:spacing w:val="-3"/>
          <w:sz w:val="18"/>
        </w:rPr>
        <w:t xml:space="preserve"> </w:t>
      </w:r>
      <w:r>
        <w:rPr>
          <w:sz w:val="18"/>
        </w:rPr>
        <w:t>al,</w:t>
      </w:r>
      <w:r>
        <w:rPr>
          <w:spacing w:val="-2"/>
          <w:sz w:val="18"/>
        </w:rPr>
        <w:t xml:space="preserve"> </w:t>
      </w:r>
      <w:r>
        <w:rPr>
          <w:i/>
          <w:sz w:val="18"/>
        </w:rPr>
        <w:t>Emerging</w:t>
      </w:r>
      <w:r>
        <w:rPr>
          <w:i/>
          <w:spacing w:val="-4"/>
          <w:sz w:val="18"/>
        </w:rPr>
        <w:t xml:space="preserve"> </w:t>
      </w:r>
      <w:r>
        <w:rPr>
          <w:i/>
          <w:sz w:val="18"/>
        </w:rPr>
        <w:t>Best</w:t>
      </w:r>
      <w:r>
        <w:rPr>
          <w:i/>
          <w:spacing w:val="-3"/>
          <w:sz w:val="18"/>
        </w:rPr>
        <w:t xml:space="preserve"> </w:t>
      </w:r>
      <w:r>
        <w:rPr>
          <w:i/>
          <w:sz w:val="18"/>
        </w:rPr>
        <w:t>Practices</w:t>
      </w:r>
      <w:r>
        <w:rPr>
          <w:i/>
          <w:spacing w:val="-3"/>
          <w:sz w:val="18"/>
        </w:rPr>
        <w:t xml:space="preserve"> </w:t>
      </w:r>
      <w:r>
        <w:rPr>
          <w:i/>
          <w:sz w:val="18"/>
        </w:rPr>
        <w:t>for</w:t>
      </w:r>
      <w:r>
        <w:rPr>
          <w:i/>
          <w:spacing w:val="-2"/>
          <w:sz w:val="18"/>
        </w:rPr>
        <w:t xml:space="preserve"> </w:t>
      </w:r>
      <w:r>
        <w:rPr>
          <w:i/>
          <w:sz w:val="18"/>
        </w:rPr>
        <w:t>the</w:t>
      </w:r>
      <w:r>
        <w:rPr>
          <w:i/>
          <w:spacing w:val="-2"/>
          <w:sz w:val="18"/>
        </w:rPr>
        <w:t xml:space="preserve"> </w:t>
      </w:r>
      <w:r>
        <w:rPr>
          <w:i/>
          <w:sz w:val="18"/>
        </w:rPr>
        <w:t>Management</w:t>
      </w:r>
      <w:r>
        <w:rPr>
          <w:i/>
          <w:spacing w:val="-3"/>
          <w:sz w:val="18"/>
        </w:rPr>
        <w:t xml:space="preserve"> </w:t>
      </w:r>
      <w:r>
        <w:rPr>
          <w:i/>
          <w:sz w:val="18"/>
        </w:rPr>
        <w:t>and</w:t>
      </w:r>
      <w:r>
        <w:rPr>
          <w:i/>
          <w:spacing w:val="-1"/>
          <w:sz w:val="18"/>
        </w:rPr>
        <w:t xml:space="preserve"> </w:t>
      </w:r>
      <w:r>
        <w:rPr>
          <w:i/>
          <w:sz w:val="18"/>
        </w:rPr>
        <w:t>Treatment</w:t>
      </w:r>
      <w:r>
        <w:rPr>
          <w:i/>
          <w:spacing w:val="-3"/>
          <w:sz w:val="18"/>
        </w:rPr>
        <w:t xml:space="preserve"> </w:t>
      </w:r>
      <w:r>
        <w:rPr>
          <w:i/>
          <w:sz w:val="18"/>
        </w:rPr>
        <w:t>of</w:t>
      </w:r>
      <w:r>
        <w:rPr>
          <w:i/>
          <w:spacing w:val="-2"/>
          <w:sz w:val="18"/>
        </w:rPr>
        <w:t xml:space="preserve"> </w:t>
      </w:r>
      <w:r>
        <w:rPr>
          <w:i/>
          <w:sz w:val="18"/>
        </w:rPr>
        <w:t>Incarcerated</w:t>
      </w:r>
      <w:r>
        <w:rPr>
          <w:i/>
          <w:spacing w:val="-1"/>
          <w:sz w:val="18"/>
        </w:rPr>
        <w:t xml:space="preserve"> </w:t>
      </w:r>
      <w:r>
        <w:rPr>
          <w:i/>
          <w:sz w:val="18"/>
        </w:rPr>
        <w:t>Lesbian,</w:t>
      </w:r>
      <w:r>
        <w:rPr>
          <w:i/>
          <w:spacing w:val="-2"/>
          <w:sz w:val="18"/>
        </w:rPr>
        <w:t xml:space="preserve"> </w:t>
      </w:r>
      <w:r>
        <w:rPr>
          <w:i/>
          <w:sz w:val="18"/>
        </w:rPr>
        <w:t>Gay,</w:t>
      </w:r>
      <w:r>
        <w:rPr>
          <w:i/>
          <w:spacing w:val="-2"/>
          <w:sz w:val="18"/>
        </w:rPr>
        <w:t xml:space="preserve"> </w:t>
      </w:r>
      <w:r>
        <w:rPr>
          <w:i/>
          <w:sz w:val="18"/>
        </w:rPr>
        <w:t>Bisexual,</w:t>
      </w:r>
      <w:r>
        <w:rPr>
          <w:i/>
          <w:sz w:val="18"/>
        </w:rPr>
        <w:t xml:space="preserve"> Transgender, and Intersex (LGBTI) Individuals </w:t>
      </w:r>
      <w:r>
        <w:rPr>
          <w:sz w:val="18"/>
        </w:rPr>
        <w:t xml:space="preserve">(Boston: The Fenway Institute, 2019), tps://fenwayhealth.org/wp- </w:t>
      </w:r>
      <w:r>
        <w:rPr>
          <w:spacing w:val="-4"/>
          <w:sz w:val="18"/>
        </w:rPr>
        <w:t>content/uploads/TFIP-33_Best-Practices-for-LGBTI-Incarcerated-People-Brief_web.pdf</w:t>
      </w:r>
    </w:p>
    <w:p w:rsidR="00200FDA" w:rsidRDefault="00F76C4C">
      <w:pPr>
        <w:ind w:left="140" w:right="428" w:hanging="1"/>
        <w:rPr>
          <w:sz w:val="18"/>
        </w:rPr>
      </w:pPr>
      <w:r>
        <w:rPr>
          <w:position w:val="5"/>
          <w:sz w:val="12"/>
        </w:rPr>
        <w:t>43</w:t>
      </w:r>
      <w:r>
        <w:rPr>
          <w:spacing w:val="10"/>
          <w:position w:val="5"/>
          <w:sz w:val="12"/>
        </w:rPr>
        <w:t xml:space="preserve"> </w:t>
      </w:r>
      <w:r>
        <w:rPr>
          <w:sz w:val="18"/>
        </w:rPr>
        <w:t>Brad</w:t>
      </w:r>
      <w:r>
        <w:rPr>
          <w:spacing w:val="-11"/>
          <w:sz w:val="18"/>
        </w:rPr>
        <w:t xml:space="preserve"> </w:t>
      </w:r>
      <w:r>
        <w:rPr>
          <w:sz w:val="18"/>
        </w:rPr>
        <w:t>Brockmann,</w:t>
      </w:r>
      <w:r>
        <w:rPr>
          <w:spacing w:val="-8"/>
          <w:sz w:val="18"/>
        </w:rPr>
        <w:t xml:space="preserve"> </w:t>
      </w:r>
      <w:r>
        <w:rPr>
          <w:sz w:val="18"/>
        </w:rPr>
        <w:t>et</w:t>
      </w:r>
      <w:r>
        <w:rPr>
          <w:spacing w:val="-7"/>
          <w:sz w:val="18"/>
        </w:rPr>
        <w:t xml:space="preserve"> </w:t>
      </w:r>
      <w:r>
        <w:rPr>
          <w:sz w:val="18"/>
        </w:rPr>
        <w:t>al,</w:t>
      </w:r>
      <w:r>
        <w:rPr>
          <w:spacing w:val="-7"/>
          <w:sz w:val="18"/>
        </w:rPr>
        <w:t xml:space="preserve"> </w:t>
      </w:r>
      <w:r>
        <w:rPr>
          <w:i/>
          <w:sz w:val="18"/>
        </w:rPr>
        <w:t>Emerging</w:t>
      </w:r>
      <w:r>
        <w:rPr>
          <w:i/>
          <w:spacing w:val="-9"/>
          <w:sz w:val="18"/>
        </w:rPr>
        <w:t xml:space="preserve"> </w:t>
      </w:r>
      <w:r>
        <w:rPr>
          <w:i/>
          <w:sz w:val="18"/>
        </w:rPr>
        <w:t>Best</w:t>
      </w:r>
      <w:r>
        <w:rPr>
          <w:i/>
          <w:spacing w:val="-7"/>
          <w:sz w:val="18"/>
        </w:rPr>
        <w:t xml:space="preserve"> </w:t>
      </w:r>
      <w:r>
        <w:rPr>
          <w:i/>
          <w:sz w:val="18"/>
        </w:rPr>
        <w:t>Practices</w:t>
      </w:r>
      <w:r>
        <w:rPr>
          <w:i/>
          <w:spacing w:val="-7"/>
          <w:sz w:val="18"/>
        </w:rPr>
        <w:t xml:space="preserve"> </w:t>
      </w:r>
      <w:r>
        <w:rPr>
          <w:i/>
          <w:sz w:val="18"/>
        </w:rPr>
        <w:t>for</w:t>
      </w:r>
      <w:r>
        <w:rPr>
          <w:i/>
          <w:spacing w:val="-9"/>
          <w:sz w:val="18"/>
        </w:rPr>
        <w:t xml:space="preserve"> </w:t>
      </w:r>
      <w:r>
        <w:rPr>
          <w:i/>
          <w:sz w:val="18"/>
        </w:rPr>
        <w:t>the</w:t>
      </w:r>
      <w:r>
        <w:rPr>
          <w:i/>
          <w:spacing w:val="-9"/>
          <w:sz w:val="18"/>
        </w:rPr>
        <w:t xml:space="preserve"> </w:t>
      </w:r>
      <w:r>
        <w:rPr>
          <w:i/>
          <w:sz w:val="18"/>
        </w:rPr>
        <w:t>Man</w:t>
      </w:r>
      <w:r>
        <w:rPr>
          <w:i/>
          <w:sz w:val="18"/>
        </w:rPr>
        <w:t>agement</w:t>
      </w:r>
      <w:r>
        <w:rPr>
          <w:i/>
          <w:spacing w:val="-10"/>
          <w:sz w:val="18"/>
        </w:rPr>
        <w:t xml:space="preserve"> </w:t>
      </w:r>
      <w:r>
        <w:rPr>
          <w:i/>
          <w:sz w:val="18"/>
        </w:rPr>
        <w:t>and</w:t>
      </w:r>
      <w:r>
        <w:rPr>
          <w:i/>
          <w:spacing w:val="-8"/>
          <w:sz w:val="18"/>
        </w:rPr>
        <w:t xml:space="preserve"> </w:t>
      </w:r>
      <w:r>
        <w:rPr>
          <w:i/>
          <w:sz w:val="18"/>
        </w:rPr>
        <w:t>Treatment</w:t>
      </w:r>
      <w:r>
        <w:rPr>
          <w:i/>
          <w:spacing w:val="-7"/>
          <w:sz w:val="18"/>
        </w:rPr>
        <w:t xml:space="preserve"> </w:t>
      </w:r>
      <w:r>
        <w:rPr>
          <w:i/>
          <w:sz w:val="18"/>
        </w:rPr>
        <w:t>of</w:t>
      </w:r>
      <w:r>
        <w:rPr>
          <w:i/>
          <w:spacing w:val="-9"/>
          <w:sz w:val="18"/>
        </w:rPr>
        <w:t xml:space="preserve"> </w:t>
      </w:r>
      <w:r>
        <w:rPr>
          <w:i/>
          <w:sz w:val="18"/>
        </w:rPr>
        <w:t>Incarcerated</w:t>
      </w:r>
      <w:r>
        <w:rPr>
          <w:i/>
          <w:spacing w:val="-8"/>
          <w:sz w:val="18"/>
        </w:rPr>
        <w:t xml:space="preserve"> </w:t>
      </w:r>
      <w:r>
        <w:rPr>
          <w:i/>
          <w:sz w:val="18"/>
        </w:rPr>
        <w:t>Lesbian,</w:t>
      </w:r>
      <w:r>
        <w:rPr>
          <w:i/>
          <w:spacing w:val="-2"/>
          <w:sz w:val="18"/>
        </w:rPr>
        <w:t xml:space="preserve"> </w:t>
      </w:r>
      <w:r>
        <w:rPr>
          <w:i/>
          <w:sz w:val="18"/>
        </w:rPr>
        <w:t>Gay,</w:t>
      </w:r>
      <w:r>
        <w:rPr>
          <w:i/>
          <w:spacing w:val="-2"/>
          <w:sz w:val="18"/>
        </w:rPr>
        <w:t xml:space="preserve"> </w:t>
      </w:r>
      <w:r>
        <w:rPr>
          <w:i/>
          <w:sz w:val="18"/>
        </w:rPr>
        <w:t xml:space="preserve">Bisexual, Transgender, and Intersex (LGBTI) Individuals </w:t>
      </w:r>
      <w:r>
        <w:rPr>
          <w:sz w:val="18"/>
        </w:rPr>
        <w:t xml:space="preserve">(Boston: The Fenway Institute, 2019), https://fenwayhealth.org/wp- </w:t>
      </w:r>
      <w:r>
        <w:rPr>
          <w:spacing w:val="-2"/>
          <w:sz w:val="18"/>
        </w:rPr>
        <w:t>content/uploads/TFIP-33_Best-Practices-for-LGBTI-Incarcerated-People-</w:t>
      </w:r>
      <w:r>
        <w:rPr>
          <w:spacing w:val="-9"/>
          <w:sz w:val="18"/>
        </w:rPr>
        <w:t xml:space="preserve"> </w:t>
      </w:r>
      <w:r>
        <w:rPr>
          <w:spacing w:val="-2"/>
          <w:sz w:val="18"/>
        </w:rPr>
        <w:t>Brief_web.pdf.</w:t>
      </w:r>
    </w:p>
    <w:p w:rsidR="00200FDA" w:rsidRDefault="00F76C4C">
      <w:pPr>
        <w:ind w:left="140" w:hanging="1"/>
        <w:rPr>
          <w:sz w:val="18"/>
        </w:rPr>
      </w:pPr>
      <w:r>
        <w:rPr>
          <w:position w:val="5"/>
          <w:sz w:val="12"/>
        </w:rPr>
        <w:t>44</w:t>
      </w:r>
      <w:r>
        <w:rPr>
          <w:spacing w:val="9"/>
          <w:position w:val="5"/>
          <w:sz w:val="12"/>
        </w:rPr>
        <w:t xml:space="preserve"> </w:t>
      </w:r>
      <w:r>
        <w:rPr>
          <w:sz w:val="18"/>
        </w:rPr>
        <w:t>Catherine</w:t>
      </w:r>
      <w:r>
        <w:rPr>
          <w:spacing w:val="-10"/>
          <w:sz w:val="18"/>
        </w:rPr>
        <w:t xml:space="preserve"> </w:t>
      </w:r>
      <w:r>
        <w:rPr>
          <w:sz w:val="18"/>
        </w:rPr>
        <w:t>Hanssens</w:t>
      </w:r>
      <w:r>
        <w:rPr>
          <w:spacing w:val="-10"/>
          <w:sz w:val="18"/>
        </w:rPr>
        <w:t xml:space="preserve"> </w:t>
      </w:r>
      <w:r>
        <w:rPr>
          <w:sz w:val="18"/>
        </w:rPr>
        <w:t>and</w:t>
      </w:r>
      <w:r>
        <w:rPr>
          <w:spacing w:val="-11"/>
          <w:sz w:val="18"/>
        </w:rPr>
        <w:t xml:space="preserve"> </w:t>
      </w:r>
      <w:r>
        <w:rPr>
          <w:sz w:val="18"/>
        </w:rPr>
        <w:t>Rene</w:t>
      </w:r>
      <w:r>
        <w:rPr>
          <w:spacing w:val="-7"/>
          <w:sz w:val="18"/>
        </w:rPr>
        <w:t xml:space="preserve"> </w:t>
      </w:r>
      <w:r>
        <w:rPr>
          <w:sz w:val="18"/>
        </w:rPr>
        <w:t>Bennett-Carlson,</w:t>
      </w:r>
      <w:r>
        <w:rPr>
          <w:spacing w:val="-9"/>
          <w:sz w:val="18"/>
        </w:rPr>
        <w:t xml:space="preserve"> </w:t>
      </w:r>
      <w:r>
        <w:rPr>
          <w:i/>
          <w:sz w:val="18"/>
        </w:rPr>
        <w:t>Juvenile</w:t>
      </w:r>
      <w:r>
        <w:rPr>
          <w:i/>
          <w:spacing w:val="-9"/>
          <w:sz w:val="18"/>
        </w:rPr>
        <w:t xml:space="preserve"> </w:t>
      </w:r>
      <w:r>
        <w:rPr>
          <w:i/>
          <w:sz w:val="18"/>
        </w:rPr>
        <w:t>Injustice:</w:t>
      </w:r>
      <w:r>
        <w:rPr>
          <w:i/>
          <w:spacing w:val="-5"/>
          <w:sz w:val="18"/>
        </w:rPr>
        <w:t xml:space="preserve"> </w:t>
      </w:r>
      <w:r>
        <w:rPr>
          <w:i/>
          <w:sz w:val="18"/>
        </w:rPr>
        <w:t>The</w:t>
      </w:r>
      <w:r>
        <w:rPr>
          <w:i/>
          <w:spacing w:val="-9"/>
          <w:sz w:val="18"/>
        </w:rPr>
        <w:t xml:space="preserve"> </w:t>
      </w:r>
      <w:r>
        <w:rPr>
          <w:i/>
          <w:sz w:val="18"/>
        </w:rPr>
        <w:t>Unfulfilled</w:t>
      </w:r>
      <w:r>
        <w:rPr>
          <w:i/>
          <w:spacing w:val="-6"/>
          <w:sz w:val="18"/>
        </w:rPr>
        <w:t xml:space="preserve"> </w:t>
      </w:r>
      <w:r>
        <w:rPr>
          <w:i/>
          <w:sz w:val="18"/>
        </w:rPr>
        <w:t>Rights</w:t>
      </w:r>
      <w:r>
        <w:rPr>
          <w:i/>
          <w:spacing w:val="-10"/>
          <w:sz w:val="18"/>
        </w:rPr>
        <w:t xml:space="preserve"> </w:t>
      </w:r>
      <w:r>
        <w:rPr>
          <w:i/>
          <w:sz w:val="18"/>
        </w:rPr>
        <w:t>of</w:t>
      </w:r>
      <w:r>
        <w:rPr>
          <w:i/>
          <w:spacing w:val="-9"/>
          <w:sz w:val="18"/>
        </w:rPr>
        <w:t xml:space="preserve"> </w:t>
      </w:r>
      <w:r>
        <w:rPr>
          <w:i/>
          <w:sz w:val="18"/>
        </w:rPr>
        <w:t>Youth</w:t>
      </w:r>
      <w:r>
        <w:rPr>
          <w:i/>
          <w:spacing w:val="-6"/>
          <w:sz w:val="18"/>
        </w:rPr>
        <w:t xml:space="preserve"> </w:t>
      </w:r>
      <w:r>
        <w:rPr>
          <w:i/>
          <w:sz w:val="18"/>
        </w:rPr>
        <w:t>in</w:t>
      </w:r>
      <w:r>
        <w:rPr>
          <w:i/>
          <w:spacing w:val="-8"/>
          <w:sz w:val="18"/>
        </w:rPr>
        <w:t xml:space="preserve"> </w:t>
      </w:r>
      <w:r>
        <w:rPr>
          <w:i/>
          <w:sz w:val="18"/>
        </w:rPr>
        <w:t>State</w:t>
      </w:r>
      <w:r>
        <w:rPr>
          <w:i/>
          <w:spacing w:val="-7"/>
          <w:sz w:val="18"/>
        </w:rPr>
        <w:t xml:space="preserve"> </w:t>
      </w:r>
      <w:r>
        <w:rPr>
          <w:i/>
          <w:sz w:val="18"/>
        </w:rPr>
        <w:t>Custody</w:t>
      </w:r>
      <w:r>
        <w:rPr>
          <w:i/>
          <w:spacing w:val="-2"/>
          <w:sz w:val="18"/>
        </w:rPr>
        <w:t xml:space="preserve"> </w:t>
      </w:r>
      <w:r>
        <w:rPr>
          <w:i/>
          <w:sz w:val="18"/>
        </w:rPr>
        <w:t xml:space="preserve">to Comprehensive Sexual Health Care </w:t>
      </w:r>
      <w:r>
        <w:rPr>
          <w:sz w:val="18"/>
        </w:rPr>
        <w:t xml:space="preserve">(New York: The Center for HIV Law and Policy, 2010), </w:t>
      </w:r>
      <w:r>
        <w:rPr>
          <w:spacing w:val="-2"/>
          <w:sz w:val="18"/>
        </w:rPr>
        <w:t>https://</w:t>
      </w:r>
      <w:hyperlink r:id="rId654">
        <w:r>
          <w:rPr>
            <w:spacing w:val="-2"/>
            <w:sz w:val="18"/>
          </w:rPr>
          <w:t>www.hivlawandpolicy.org/sites/default/files/TS%20LRM%20Dec.%202010.pdf.</w:t>
        </w:r>
      </w:hyperlink>
    </w:p>
    <w:p w:rsidR="00200FDA" w:rsidRDefault="00F76C4C">
      <w:pPr>
        <w:ind w:left="139" w:right="156"/>
        <w:rPr>
          <w:sz w:val="18"/>
        </w:rPr>
      </w:pPr>
      <w:r>
        <w:rPr>
          <w:position w:val="5"/>
          <w:sz w:val="12"/>
        </w:rPr>
        <w:t>45</w:t>
      </w:r>
      <w:r>
        <w:rPr>
          <w:sz w:val="18"/>
        </w:rPr>
        <w:t xml:space="preserve">National Immigrant Justice Center, “LGBTQ Immigrants,” </w:t>
      </w:r>
      <w:hyperlink r:id="rId655">
        <w:r>
          <w:rPr>
            <w:color w:val="1154CC"/>
            <w:sz w:val="18"/>
            <w:u w:val="single" w:color="1154CC"/>
          </w:rPr>
          <w:t>https://immigrantjustice.org/stop-abuse-detained-lgbt-immigrants</w:t>
        </w:r>
      </w:hyperlink>
      <w:r>
        <w:rPr>
          <w:color w:val="1154CC"/>
          <w:sz w:val="18"/>
        </w:rPr>
        <w:t xml:space="preserve"> </w:t>
      </w:r>
      <w:r>
        <w:rPr>
          <w:position w:val="5"/>
          <w:sz w:val="12"/>
        </w:rPr>
        <w:t>46</w:t>
      </w:r>
      <w:r>
        <w:rPr>
          <w:sz w:val="18"/>
        </w:rPr>
        <w:t>Valerie</w:t>
      </w:r>
      <w:r>
        <w:rPr>
          <w:spacing w:val="-4"/>
          <w:sz w:val="18"/>
        </w:rPr>
        <w:t xml:space="preserve"> </w:t>
      </w:r>
      <w:r>
        <w:rPr>
          <w:sz w:val="18"/>
        </w:rPr>
        <w:t>Jenness,</w:t>
      </w:r>
      <w:r>
        <w:rPr>
          <w:spacing w:val="-3"/>
          <w:sz w:val="18"/>
        </w:rPr>
        <w:t xml:space="preserve"> </w:t>
      </w:r>
      <w:r>
        <w:rPr>
          <w:sz w:val="18"/>
        </w:rPr>
        <w:t>Cheryl</w:t>
      </w:r>
      <w:r>
        <w:rPr>
          <w:spacing w:val="-4"/>
          <w:sz w:val="18"/>
        </w:rPr>
        <w:t xml:space="preserve"> </w:t>
      </w:r>
      <w:r>
        <w:rPr>
          <w:sz w:val="18"/>
        </w:rPr>
        <w:t>Maxson, Kristy</w:t>
      </w:r>
      <w:r>
        <w:rPr>
          <w:spacing w:val="-3"/>
          <w:sz w:val="18"/>
        </w:rPr>
        <w:t xml:space="preserve"> </w:t>
      </w:r>
      <w:r>
        <w:rPr>
          <w:sz w:val="18"/>
        </w:rPr>
        <w:t>Matsuda,</w:t>
      </w:r>
      <w:r>
        <w:rPr>
          <w:spacing w:val="-3"/>
          <w:sz w:val="18"/>
        </w:rPr>
        <w:t xml:space="preserve"> </w:t>
      </w:r>
      <w:r>
        <w:rPr>
          <w:sz w:val="18"/>
        </w:rPr>
        <w:t>and</w:t>
      </w:r>
      <w:r>
        <w:rPr>
          <w:spacing w:val="-4"/>
          <w:sz w:val="18"/>
        </w:rPr>
        <w:t xml:space="preserve"> </w:t>
      </w:r>
      <w:r>
        <w:rPr>
          <w:sz w:val="18"/>
        </w:rPr>
        <w:t>Jennifer</w:t>
      </w:r>
      <w:r>
        <w:rPr>
          <w:spacing w:val="-4"/>
          <w:sz w:val="18"/>
        </w:rPr>
        <w:t xml:space="preserve"> </w:t>
      </w:r>
      <w:r>
        <w:rPr>
          <w:sz w:val="18"/>
        </w:rPr>
        <w:t>Macy,</w:t>
      </w:r>
      <w:r>
        <w:rPr>
          <w:spacing w:val="-3"/>
          <w:sz w:val="18"/>
        </w:rPr>
        <w:t xml:space="preserve"> </w:t>
      </w:r>
      <w:r>
        <w:rPr>
          <w:sz w:val="18"/>
        </w:rPr>
        <w:t>“Violence</w:t>
      </w:r>
      <w:r>
        <w:rPr>
          <w:spacing w:val="-4"/>
          <w:sz w:val="18"/>
        </w:rPr>
        <w:t xml:space="preserve"> </w:t>
      </w:r>
      <w:r>
        <w:rPr>
          <w:sz w:val="18"/>
        </w:rPr>
        <w:t>in</w:t>
      </w:r>
      <w:r>
        <w:rPr>
          <w:spacing w:val="-4"/>
          <w:sz w:val="18"/>
        </w:rPr>
        <w:t xml:space="preserve"> </w:t>
      </w:r>
      <w:r>
        <w:rPr>
          <w:sz w:val="18"/>
        </w:rPr>
        <w:t>California</w:t>
      </w:r>
      <w:r>
        <w:rPr>
          <w:spacing w:val="-3"/>
          <w:sz w:val="18"/>
        </w:rPr>
        <w:t xml:space="preserve"> </w:t>
      </w:r>
      <w:r>
        <w:rPr>
          <w:sz w:val="18"/>
        </w:rPr>
        <w:t>Correctional</w:t>
      </w:r>
      <w:r>
        <w:rPr>
          <w:spacing w:val="-4"/>
          <w:sz w:val="18"/>
        </w:rPr>
        <w:t xml:space="preserve"> </w:t>
      </w:r>
      <w:r>
        <w:rPr>
          <w:sz w:val="18"/>
        </w:rPr>
        <w:t>Facilities:</w:t>
      </w:r>
      <w:r>
        <w:rPr>
          <w:spacing w:val="-3"/>
          <w:sz w:val="18"/>
        </w:rPr>
        <w:t xml:space="preserve"> </w:t>
      </w:r>
      <w:r>
        <w:rPr>
          <w:sz w:val="18"/>
        </w:rPr>
        <w:t>An</w:t>
      </w:r>
      <w:r>
        <w:rPr>
          <w:spacing w:val="-4"/>
          <w:sz w:val="18"/>
        </w:rPr>
        <w:t xml:space="preserve"> </w:t>
      </w:r>
      <w:r>
        <w:rPr>
          <w:sz w:val="18"/>
        </w:rPr>
        <w:t xml:space="preserve">Empirical Examination of Sexual Assault,” 2007, Center for Evidence-Based Corrections, </w:t>
      </w:r>
      <w:hyperlink r:id="rId656">
        <w:r>
          <w:rPr>
            <w:color w:val="1154CC"/>
            <w:spacing w:val="-2"/>
            <w:sz w:val="18"/>
            <w:u w:val="single" w:color="1154CC"/>
          </w:rPr>
          <w:t>https://www.prearesourcecenter.org/site</w:t>
        </w:r>
        <w:r>
          <w:rPr>
            <w:color w:val="1154CC"/>
            <w:spacing w:val="-2"/>
            <w:sz w:val="18"/>
            <w:u w:val="single" w:color="1154CC"/>
          </w:rPr>
          <w:t>s/default/files/library/55-preapresentationpreareportucijennessetal.pdf</w:t>
        </w:r>
      </w:hyperlink>
    </w:p>
    <w:p w:rsidR="00200FDA" w:rsidRDefault="00F76C4C">
      <w:pPr>
        <w:ind w:left="139" w:right="140"/>
        <w:rPr>
          <w:sz w:val="18"/>
        </w:rPr>
      </w:pPr>
      <w:r>
        <w:rPr>
          <w:position w:val="5"/>
          <w:sz w:val="12"/>
        </w:rPr>
        <w:t>47</w:t>
      </w:r>
      <w:r>
        <w:rPr>
          <w:sz w:val="18"/>
        </w:rPr>
        <w:t xml:space="preserve">Crosby Burns, Ann Garcia, and Philip Wolgin, “Living in Dual Shadows: LGBT Undocumented Immigrants,” 2013, Center for American Progress, </w:t>
      </w:r>
      <w:hyperlink r:id="rId657">
        <w:r>
          <w:rPr>
            <w:color w:val="1154CC"/>
            <w:sz w:val="18"/>
            <w:u w:val="single" w:color="1154CC"/>
          </w:rPr>
          <w:t>https://www.americanprogress.org/wp-content/uploads/2013/04/LGBTUndocumentedReport-6.pdf</w:t>
        </w:r>
      </w:hyperlink>
      <w:r>
        <w:rPr>
          <w:color w:val="1154CC"/>
          <w:sz w:val="18"/>
        </w:rPr>
        <w:t xml:space="preserve"> </w:t>
      </w:r>
      <w:r>
        <w:rPr>
          <w:position w:val="5"/>
          <w:sz w:val="12"/>
        </w:rPr>
        <w:t>48</w:t>
      </w:r>
      <w:r>
        <w:rPr>
          <w:sz w:val="18"/>
        </w:rPr>
        <w:t>National Immigrant Justice Center and Physicians for Human Rights, “Invisible in Isolation - The Use o</w:t>
      </w:r>
      <w:r>
        <w:rPr>
          <w:sz w:val="18"/>
        </w:rPr>
        <w:t>f Segregation and</w:t>
      </w:r>
      <w:r>
        <w:rPr>
          <w:spacing w:val="40"/>
          <w:sz w:val="18"/>
        </w:rPr>
        <w:t xml:space="preserve"> </w:t>
      </w:r>
      <w:r>
        <w:rPr>
          <w:sz w:val="18"/>
        </w:rPr>
        <w:t xml:space="preserve">Solitary Confinement in Immigration Detention,” 2012, </w:t>
      </w:r>
      <w:hyperlink r:id="rId658">
        <w:r>
          <w:rPr>
            <w:color w:val="1154CC"/>
            <w:spacing w:val="-2"/>
            <w:sz w:val="18"/>
            <w:u w:val="single" w:color="1154CC"/>
          </w:rPr>
          <w:t>https://immigrantjustice.org/sites/immigrantjustice.org/files/Invisible%20in%20Isolation-</w:t>
        </w:r>
      </w:hyperlink>
      <w:r>
        <w:rPr>
          <w:color w:val="1154CC"/>
          <w:sz w:val="18"/>
        </w:rPr>
        <w:t xml:space="preserve"> </w:t>
      </w:r>
      <w:hyperlink r:id="rId659">
        <w:r>
          <w:rPr>
            <w:color w:val="1154CC"/>
            <w:spacing w:val="-2"/>
            <w:sz w:val="18"/>
            <w:u w:val="single" w:color="1154CC"/>
          </w:rPr>
          <w:t>The%20Use%20of%20Segregation%20and%20Solitary%20Confinement%20in%20Immigration%20Detention.September%20201</w:t>
        </w:r>
      </w:hyperlink>
      <w:r>
        <w:rPr>
          <w:color w:val="1154CC"/>
          <w:sz w:val="18"/>
        </w:rPr>
        <w:t xml:space="preserve"> </w:t>
      </w:r>
      <w:hyperlink r:id="rId660">
        <w:r>
          <w:rPr>
            <w:color w:val="1154CC"/>
            <w:spacing w:val="-2"/>
            <w:sz w:val="18"/>
            <w:u w:val="single" w:color="1154CC"/>
          </w:rPr>
          <w:t>2_7.pdf</w:t>
        </w:r>
      </w:hyperlink>
    </w:p>
    <w:p w:rsidR="00200FDA" w:rsidRDefault="00F76C4C">
      <w:pPr>
        <w:ind w:left="139"/>
        <w:rPr>
          <w:sz w:val="18"/>
        </w:rPr>
      </w:pPr>
      <w:r>
        <w:rPr>
          <w:position w:val="5"/>
          <w:sz w:val="12"/>
        </w:rPr>
        <w:t>49</w:t>
      </w:r>
      <w:r>
        <w:rPr>
          <w:sz w:val="18"/>
        </w:rPr>
        <w:t>National</w:t>
      </w:r>
      <w:r>
        <w:rPr>
          <w:spacing w:val="-4"/>
          <w:sz w:val="18"/>
        </w:rPr>
        <w:t xml:space="preserve"> </w:t>
      </w:r>
      <w:r>
        <w:rPr>
          <w:sz w:val="18"/>
        </w:rPr>
        <w:t>Center</w:t>
      </w:r>
      <w:r>
        <w:rPr>
          <w:spacing w:val="-4"/>
          <w:sz w:val="18"/>
        </w:rPr>
        <w:t xml:space="preserve"> </w:t>
      </w:r>
      <w:r>
        <w:rPr>
          <w:sz w:val="18"/>
        </w:rPr>
        <w:t>for</w:t>
      </w:r>
      <w:r>
        <w:rPr>
          <w:spacing w:val="-4"/>
          <w:sz w:val="18"/>
        </w:rPr>
        <w:t xml:space="preserve"> </w:t>
      </w:r>
      <w:r>
        <w:rPr>
          <w:sz w:val="18"/>
        </w:rPr>
        <w:t>Transgender</w:t>
      </w:r>
      <w:r>
        <w:rPr>
          <w:spacing w:val="-1"/>
          <w:sz w:val="18"/>
        </w:rPr>
        <w:t xml:space="preserve"> </w:t>
      </w:r>
      <w:r>
        <w:rPr>
          <w:sz w:val="18"/>
        </w:rPr>
        <w:t>Equality,</w:t>
      </w:r>
      <w:r>
        <w:rPr>
          <w:spacing w:val="-3"/>
          <w:sz w:val="18"/>
        </w:rPr>
        <w:t xml:space="preserve"> </w:t>
      </w:r>
      <w:r>
        <w:rPr>
          <w:sz w:val="18"/>
        </w:rPr>
        <w:t>“Our</w:t>
      </w:r>
      <w:r>
        <w:rPr>
          <w:spacing w:val="-4"/>
          <w:sz w:val="18"/>
        </w:rPr>
        <w:t xml:space="preserve"> </w:t>
      </w:r>
      <w:r>
        <w:rPr>
          <w:sz w:val="18"/>
        </w:rPr>
        <w:t>Moment</w:t>
      </w:r>
      <w:r>
        <w:rPr>
          <w:spacing w:val="-4"/>
          <w:sz w:val="18"/>
        </w:rPr>
        <w:t xml:space="preserve"> </w:t>
      </w:r>
      <w:r>
        <w:rPr>
          <w:sz w:val="18"/>
        </w:rPr>
        <w:t>for</w:t>
      </w:r>
      <w:r>
        <w:rPr>
          <w:spacing w:val="-4"/>
          <w:sz w:val="18"/>
        </w:rPr>
        <w:t xml:space="preserve"> </w:t>
      </w:r>
      <w:r>
        <w:rPr>
          <w:sz w:val="18"/>
        </w:rPr>
        <w:t>Reform:</w:t>
      </w:r>
      <w:r>
        <w:rPr>
          <w:spacing w:val="-3"/>
          <w:sz w:val="18"/>
        </w:rPr>
        <w:t xml:space="preserve"> </w:t>
      </w:r>
      <w:r>
        <w:rPr>
          <w:sz w:val="18"/>
        </w:rPr>
        <w:t>Immigration</w:t>
      </w:r>
      <w:r>
        <w:rPr>
          <w:spacing w:val="-4"/>
          <w:sz w:val="18"/>
        </w:rPr>
        <w:t xml:space="preserve"> </w:t>
      </w:r>
      <w:r>
        <w:rPr>
          <w:sz w:val="18"/>
        </w:rPr>
        <w:t>and</w:t>
      </w:r>
      <w:r>
        <w:rPr>
          <w:spacing w:val="-4"/>
          <w:sz w:val="18"/>
        </w:rPr>
        <w:t xml:space="preserve"> </w:t>
      </w:r>
      <w:r>
        <w:rPr>
          <w:sz w:val="18"/>
        </w:rPr>
        <w:t>Transgender</w:t>
      </w:r>
      <w:r>
        <w:rPr>
          <w:spacing w:val="-4"/>
          <w:sz w:val="18"/>
        </w:rPr>
        <w:t xml:space="preserve"> </w:t>
      </w:r>
      <w:r>
        <w:rPr>
          <w:sz w:val="18"/>
        </w:rPr>
        <w:t>People,”</w:t>
      </w:r>
      <w:r>
        <w:rPr>
          <w:spacing w:val="-4"/>
          <w:sz w:val="18"/>
        </w:rPr>
        <w:t xml:space="preserve"> </w:t>
      </w:r>
      <w:r>
        <w:rPr>
          <w:sz w:val="18"/>
        </w:rPr>
        <w:t xml:space="preserve">2013, </w:t>
      </w:r>
      <w:hyperlink r:id="rId661">
        <w:r>
          <w:rPr>
            <w:color w:val="1154CC"/>
            <w:spacing w:val="-2"/>
            <w:sz w:val="18"/>
            <w:u w:val="single" w:color="1154CC"/>
          </w:rPr>
          <w:t>https://transequality.org/sites/default/files/docs/resources/OurMoment_CIR_en.pdf</w:t>
        </w:r>
      </w:hyperlink>
    </w:p>
    <w:p w:rsidR="00200FDA" w:rsidRDefault="00F76C4C">
      <w:pPr>
        <w:ind w:left="140" w:right="218" w:hanging="1"/>
        <w:rPr>
          <w:sz w:val="18"/>
        </w:rPr>
      </w:pPr>
      <w:r>
        <w:rPr>
          <w:position w:val="5"/>
          <w:sz w:val="12"/>
        </w:rPr>
        <w:t>50</w:t>
      </w:r>
      <w:r>
        <w:rPr>
          <w:spacing w:val="10"/>
          <w:position w:val="5"/>
          <w:sz w:val="12"/>
        </w:rPr>
        <w:t xml:space="preserve"> </w:t>
      </w:r>
      <w:r>
        <w:rPr>
          <w:sz w:val="18"/>
        </w:rPr>
        <w:t>U.S.</w:t>
      </w:r>
      <w:r>
        <w:rPr>
          <w:spacing w:val="-2"/>
          <w:sz w:val="18"/>
        </w:rPr>
        <w:t xml:space="preserve"> </w:t>
      </w:r>
      <w:r>
        <w:rPr>
          <w:sz w:val="18"/>
        </w:rPr>
        <w:t>Department</w:t>
      </w:r>
      <w:r>
        <w:rPr>
          <w:spacing w:val="-3"/>
          <w:sz w:val="18"/>
        </w:rPr>
        <w:t xml:space="preserve"> </w:t>
      </w:r>
      <w:r>
        <w:rPr>
          <w:sz w:val="18"/>
        </w:rPr>
        <w:t>of</w:t>
      </w:r>
      <w:r>
        <w:rPr>
          <w:spacing w:val="-2"/>
          <w:sz w:val="18"/>
        </w:rPr>
        <w:t xml:space="preserve"> </w:t>
      </w:r>
      <w:r>
        <w:rPr>
          <w:sz w:val="18"/>
        </w:rPr>
        <w:t>Justice,</w:t>
      </w:r>
      <w:r>
        <w:rPr>
          <w:spacing w:val="-2"/>
          <w:sz w:val="18"/>
        </w:rPr>
        <w:t xml:space="preserve"> </w:t>
      </w:r>
      <w:r>
        <w:rPr>
          <w:sz w:val="18"/>
        </w:rPr>
        <w:t>Office</w:t>
      </w:r>
      <w:r>
        <w:rPr>
          <w:spacing w:val="-3"/>
          <w:sz w:val="18"/>
        </w:rPr>
        <w:t xml:space="preserve"> </w:t>
      </w:r>
      <w:r>
        <w:rPr>
          <w:sz w:val="18"/>
        </w:rPr>
        <w:t>of</w:t>
      </w:r>
      <w:r>
        <w:rPr>
          <w:spacing w:val="-2"/>
          <w:sz w:val="18"/>
        </w:rPr>
        <w:t xml:space="preserve"> </w:t>
      </w:r>
      <w:r>
        <w:rPr>
          <w:sz w:val="18"/>
        </w:rPr>
        <w:t>J</w:t>
      </w:r>
      <w:r>
        <w:rPr>
          <w:sz w:val="18"/>
        </w:rPr>
        <w:t>ustice</w:t>
      </w:r>
      <w:r>
        <w:rPr>
          <w:spacing w:val="-3"/>
          <w:sz w:val="18"/>
        </w:rPr>
        <w:t xml:space="preserve"> </w:t>
      </w:r>
      <w:r>
        <w:rPr>
          <w:sz w:val="18"/>
        </w:rPr>
        <w:t>Programs,</w:t>
      </w:r>
      <w:r>
        <w:rPr>
          <w:spacing w:val="-2"/>
          <w:sz w:val="18"/>
        </w:rPr>
        <w:t xml:space="preserve"> </w:t>
      </w:r>
      <w:r>
        <w:rPr>
          <w:sz w:val="18"/>
        </w:rPr>
        <w:t>Office</w:t>
      </w:r>
      <w:r>
        <w:rPr>
          <w:spacing w:val="-3"/>
          <w:sz w:val="18"/>
        </w:rPr>
        <w:t xml:space="preserve"> </w:t>
      </w:r>
      <w:r>
        <w:rPr>
          <w:sz w:val="18"/>
        </w:rPr>
        <w:t>of</w:t>
      </w:r>
      <w:r>
        <w:rPr>
          <w:spacing w:val="-2"/>
          <w:sz w:val="18"/>
        </w:rPr>
        <w:t xml:space="preserve"> </w:t>
      </w:r>
      <w:r>
        <w:rPr>
          <w:sz w:val="18"/>
        </w:rPr>
        <w:t>Juvenile</w:t>
      </w:r>
      <w:r>
        <w:rPr>
          <w:spacing w:val="-3"/>
          <w:sz w:val="18"/>
        </w:rPr>
        <w:t xml:space="preserve"> </w:t>
      </w:r>
      <w:r>
        <w:rPr>
          <w:sz w:val="18"/>
        </w:rPr>
        <w:t>Justice</w:t>
      </w:r>
      <w:r>
        <w:rPr>
          <w:spacing w:val="-3"/>
          <w:sz w:val="18"/>
        </w:rPr>
        <w:t xml:space="preserve"> </w:t>
      </w:r>
      <w:r>
        <w:rPr>
          <w:sz w:val="18"/>
        </w:rPr>
        <w:t>and</w:t>
      </w:r>
      <w:r>
        <w:rPr>
          <w:spacing w:val="-3"/>
          <w:sz w:val="18"/>
        </w:rPr>
        <w:t xml:space="preserve"> </w:t>
      </w:r>
      <w:r>
        <w:rPr>
          <w:sz w:val="18"/>
        </w:rPr>
        <w:t>Delinquency</w:t>
      </w:r>
      <w:r>
        <w:rPr>
          <w:spacing w:val="-2"/>
          <w:sz w:val="18"/>
        </w:rPr>
        <w:t xml:space="preserve"> </w:t>
      </w:r>
      <w:r>
        <w:rPr>
          <w:sz w:val="18"/>
        </w:rPr>
        <w:t>Prevention.</w:t>
      </w:r>
      <w:r>
        <w:rPr>
          <w:spacing w:val="-2"/>
          <w:sz w:val="18"/>
        </w:rPr>
        <w:t xml:space="preserve"> </w:t>
      </w:r>
      <w:r>
        <w:rPr>
          <w:sz w:val="18"/>
        </w:rPr>
        <w:t>(2015).</w:t>
      </w:r>
      <w:r>
        <w:rPr>
          <w:spacing w:val="-2"/>
          <w:sz w:val="18"/>
        </w:rPr>
        <w:t xml:space="preserve"> </w:t>
      </w:r>
      <w:r>
        <w:rPr>
          <w:sz w:val="18"/>
        </w:rPr>
        <w:t>Sight and</w:t>
      </w:r>
      <w:r>
        <w:rPr>
          <w:spacing w:val="-7"/>
          <w:sz w:val="18"/>
        </w:rPr>
        <w:t xml:space="preserve"> </w:t>
      </w:r>
      <w:r>
        <w:rPr>
          <w:sz w:val="18"/>
        </w:rPr>
        <w:t>Sound</w:t>
      </w:r>
      <w:r>
        <w:rPr>
          <w:spacing w:val="-7"/>
          <w:sz w:val="18"/>
        </w:rPr>
        <w:t xml:space="preserve"> </w:t>
      </w:r>
      <w:r>
        <w:rPr>
          <w:sz w:val="18"/>
        </w:rPr>
        <w:t>Separation,</w:t>
      </w:r>
      <w:r>
        <w:rPr>
          <w:spacing w:val="-6"/>
          <w:sz w:val="18"/>
        </w:rPr>
        <w:t xml:space="preserve"> </w:t>
      </w:r>
      <w:r>
        <w:rPr>
          <w:sz w:val="18"/>
        </w:rPr>
        <w:t>2014.</w:t>
      </w:r>
      <w:r>
        <w:rPr>
          <w:spacing w:val="-6"/>
          <w:sz w:val="18"/>
        </w:rPr>
        <w:t xml:space="preserve"> </w:t>
      </w:r>
      <w:r>
        <w:rPr>
          <w:sz w:val="18"/>
        </w:rPr>
        <w:t>Retrieved</w:t>
      </w:r>
      <w:r>
        <w:rPr>
          <w:spacing w:val="-7"/>
          <w:sz w:val="18"/>
        </w:rPr>
        <w:t xml:space="preserve"> </w:t>
      </w:r>
      <w:r>
        <w:rPr>
          <w:sz w:val="18"/>
        </w:rPr>
        <w:t>from</w:t>
      </w:r>
      <w:r>
        <w:rPr>
          <w:spacing w:val="-6"/>
          <w:sz w:val="18"/>
        </w:rPr>
        <w:t xml:space="preserve"> </w:t>
      </w:r>
      <w:hyperlink r:id="rId662">
        <w:r>
          <w:rPr>
            <w:sz w:val="18"/>
          </w:rPr>
          <w:t>http://www.ojjdp.gov/ojstatbb/struct</w:t>
        </w:r>
        <w:r>
          <w:rPr>
            <w:sz w:val="18"/>
          </w:rPr>
          <w:t>ure_process/qa04306.asp?qaDate=2014</w:t>
        </w:r>
      </w:hyperlink>
    </w:p>
    <w:p w:rsidR="00200FDA" w:rsidRDefault="00F76C4C">
      <w:pPr>
        <w:ind w:left="140" w:hanging="1"/>
        <w:rPr>
          <w:sz w:val="18"/>
        </w:rPr>
      </w:pPr>
      <w:r>
        <w:rPr>
          <w:position w:val="5"/>
          <w:sz w:val="12"/>
        </w:rPr>
        <w:t>51</w:t>
      </w:r>
      <w:r>
        <w:rPr>
          <w:spacing w:val="10"/>
          <w:position w:val="5"/>
          <w:sz w:val="12"/>
        </w:rPr>
        <w:t xml:space="preserve"> </w:t>
      </w:r>
      <w:r>
        <w:rPr>
          <w:sz w:val="18"/>
        </w:rPr>
        <w:t>Shannon</w:t>
      </w:r>
      <w:r>
        <w:rPr>
          <w:spacing w:val="-8"/>
          <w:sz w:val="18"/>
        </w:rPr>
        <w:t xml:space="preserve"> </w:t>
      </w:r>
      <w:r>
        <w:rPr>
          <w:sz w:val="18"/>
        </w:rPr>
        <w:t>Wilber,</w:t>
      </w:r>
      <w:r>
        <w:rPr>
          <w:spacing w:val="-7"/>
          <w:sz w:val="18"/>
        </w:rPr>
        <w:t xml:space="preserve"> </w:t>
      </w:r>
      <w:r>
        <w:rPr>
          <w:i/>
          <w:sz w:val="18"/>
        </w:rPr>
        <w:t>Lesbian,</w:t>
      </w:r>
      <w:r>
        <w:rPr>
          <w:i/>
          <w:spacing w:val="-7"/>
          <w:sz w:val="18"/>
        </w:rPr>
        <w:t xml:space="preserve"> </w:t>
      </w:r>
      <w:r>
        <w:rPr>
          <w:i/>
          <w:sz w:val="18"/>
        </w:rPr>
        <w:t>Gay,</w:t>
      </w:r>
      <w:r>
        <w:rPr>
          <w:i/>
          <w:spacing w:val="-9"/>
          <w:sz w:val="18"/>
        </w:rPr>
        <w:t xml:space="preserve"> </w:t>
      </w:r>
      <w:r>
        <w:rPr>
          <w:i/>
          <w:sz w:val="18"/>
        </w:rPr>
        <w:t>Bisexual</w:t>
      </w:r>
      <w:r>
        <w:rPr>
          <w:i/>
          <w:spacing w:val="-10"/>
          <w:sz w:val="18"/>
        </w:rPr>
        <w:t xml:space="preserve"> </w:t>
      </w:r>
      <w:r>
        <w:rPr>
          <w:i/>
          <w:sz w:val="18"/>
        </w:rPr>
        <w:t>and</w:t>
      </w:r>
      <w:r>
        <w:rPr>
          <w:i/>
          <w:spacing w:val="-6"/>
          <w:sz w:val="18"/>
        </w:rPr>
        <w:t xml:space="preserve"> </w:t>
      </w:r>
      <w:r>
        <w:rPr>
          <w:i/>
          <w:sz w:val="18"/>
        </w:rPr>
        <w:t>Transgender</w:t>
      </w:r>
      <w:r>
        <w:rPr>
          <w:i/>
          <w:spacing w:val="-9"/>
          <w:sz w:val="18"/>
        </w:rPr>
        <w:t xml:space="preserve"> </w:t>
      </w:r>
      <w:r>
        <w:rPr>
          <w:i/>
          <w:sz w:val="18"/>
        </w:rPr>
        <w:t>Youth</w:t>
      </w:r>
      <w:r>
        <w:rPr>
          <w:i/>
          <w:spacing w:val="-6"/>
          <w:sz w:val="18"/>
        </w:rPr>
        <w:t xml:space="preserve"> </w:t>
      </w:r>
      <w:r>
        <w:rPr>
          <w:i/>
          <w:sz w:val="18"/>
        </w:rPr>
        <w:t>in</w:t>
      </w:r>
      <w:r>
        <w:rPr>
          <w:i/>
          <w:spacing w:val="-6"/>
          <w:sz w:val="18"/>
        </w:rPr>
        <w:t xml:space="preserve"> </w:t>
      </w:r>
      <w:r>
        <w:rPr>
          <w:i/>
          <w:sz w:val="18"/>
        </w:rPr>
        <w:t>the</w:t>
      </w:r>
      <w:r>
        <w:rPr>
          <w:i/>
          <w:spacing w:val="-7"/>
          <w:sz w:val="18"/>
        </w:rPr>
        <w:t xml:space="preserve"> </w:t>
      </w:r>
      <w:r>
        <w:rPr>
          <w:i/>
          <w:sz w:val="18"/>
        </w:rPr>
        <w:t>Juvenile</w:t>
      </w:r>
      <w:r>
        <w:rPr>
          <w:i/>
          <w:spacing w:val="-7"/>
          <w:sz w:val="18"/>
        </w:rPr>
        <w:t xml:space="preserve"> </w:t>
      </w:r>
      <w:r>
        <w:rPr>
          <w:i/>
          <w:sz w:val="18"/>
        </w:rPr>
        <w:t>Justice</w:t>
      </w:r>
      <w:r>
        <w:rPr>
          <w:i/>
          <w:spacing w:val="-7"/>
          <w:sz w:val="18"/>
        </w:rPr>
        <w:t xml:space="preserve"> </w:t>
      </w:r>
      <w:r>
        <w:rPr>
          <w:i/>
          <w:sz w:val="18"/>
        </w:rPr>
        <w:t>System:</w:t>
      </w:r>
      <w:r>
        <w:rPr>
          <w:i/>
          <w:spacing w:val="-7"/>
          <w:sz w:val="18"/>
        </w:rPr>
        <w:t xml:space="preserve"> </w:t>
      </w:r>
      <w:r>
        <w:rPr>
          <w:i/>
          <w:sz w:val="18"/>
        </w:rPr>
        <w:t>A</w:t>
      </w:r>
      <w:r>
        <w:rPr>
          <w:i/>
          <w:spacing w:val="-8"/>
          <w:sz w:val="18"/>
        </w:rPr>
        <w:t xml:space="preserve"> </w:t>
      </w:r>
      <w:r>
        <w:rPr>
          <w:i/>
          <w:sz w:val="18"/>
        </w:rPr>
        <w:t>Guide</w:t>
      </w:r>
      <w:r>
        <w:rPr>
          <w:i/>
          <w:spacing w:val="-9"/>
          <w:sz w:val="18"/>
        </w:rPr>
        <w:t xml:space="preserve"> </w:t>
      </w:r>
      <w:r>
        <w:rPr>
          <w:i/>
          <w:sz w:val="18"/>
        </w:rPr>
        <w:t>to</w:t>
      </w:r>
      <w:r>
        <w:rPr>
          <w:i/>
          <w:spacing w:val="-8"/>
          <w:sz w:val="18"/>
        </w:rPr>
        <w:t xml:space="preserve"> </w:t>
      </w:r>
      <w:r>
        <w:rPr>
          <w:i/>
          <w:sz w:val="18"/>
        </w:rPr>
        <w:t>Juvenile</w:t>
      </w:r>
      <w:r>
        <w:rPr>
          <w:i/>
          <w:spacing w:val="-2"/>
          <w:sz w:val="18"/>
        </w:rPr>
        <w:t xml:space="preserve"> </w:t>
      </w:r>
      <w:r>
        <w:rPr>
          <w:i/>
          <w:sz w:val="18"/>
        </w:rPr>
        <w:t xml:space="preserve">Detention Reform </w:t>
      </w:r>
      <w:r>
        <w:rPr>
          <w:sz w:val="18"/>
        </w:rPr>
        <w:t>(Baltimore: The Annie E. Casey Foundation, 2015), https://</w:t>
      </w:r>
      <w:hyperlink r:id="rId663">
        <w:r>
          <w:rPr>
            <w:sz w:val="18"/>
          </w:rPr>
          <w:t>www.nclrights.org/wp-</w:t>
        </w:r>
      </w:hyperlink>
      <w:r>
        <w:rPr>
          <w:sz w:val="18"/>
        </w:rPr>
        <w:t xml:space="preserve"> </w:t>
      </w:r>
      <w:r>
        <w:rPr>
          <w:spacing w:val="-2"/>
          <w:sz w:val="18"/>
        </w:rPr>
        <w:t>content/uploads/2015/09/AECF_LGBTinJJS_FINAL2.pdf</w:t>
      </w:r>
    </w:p>
    <w:p w:rsidR="00200FDA" w:rsidRDefault="00F76C4C">
      <w:pPr>
        <w:ind w:left="140"/>
        <w:rPr>
          <w:sz w:val="18"/>
        </w:rPr>
      </w:pPr>
      <w:r>
        <w:rPr>
          <w:position w:val="5"/>
          <w:sz w:val="12"/>
        </w:rPr>
        <w:t>52</w:t>
      </w:r>
      <w:r>
        <w:rPr>
          <w:spacing w:val="9"/>
          <w:position w:val="5"/>
          <w:sz w:val="12"/>
        </w:rPr>
        <w:t xml:space="preserve"> </w:t>
      </w:r>
      <w:r>
        <w:rPr>
          <w:sz w:val="18"/>
        </w:rPr>
        <w:t>“The</w:t>
      </w:r>
      <w:r>
        <w:rPr>
          <w:spacing w:val="-3"/>
          <w:sz w:val="18"/>
        </w:rPr>
        <w:t xml:space="preserve"> </w:t>
      </w:r>
      <w:r>
        <w:rPr>
          <w:sz w:val="18"/>
        </w:rPr>
        <w:t>Alexia</w:t>
      </w:r>
      <w:r>
        <w:rPr>
          <w:spacing w:val="-1"/>
          <w:sz w:val="18"/>
        </w:rPr>
        <w:t xml:space="preserve"> </w:t>
      </w:r>
      <w:r>
        <w:rPr>
          <w:sz w:val="18"/>
        </w:rPr>
        <w:t>Norena</w:t>
      </w:r>
      <w:r>
        <w:rPr>
          <w:spacing w:val="-2"/>
          <w:sz w:val="18"/>
        </w:rPr>
        <w:t xml:space="preserve"> House.”</w:t>
      </w:r>
    </w:p>
    <w:p w:rsidR="00200FDA" w:rsidRDefault="00200FDA">
      <w:pPr>
        <w:rPr>
          <w:sz w:val="18"/>
        </w:rPr>
        <w:sectPr w:rsidR="00200FDA">
          <w:pgSz w:w="12240" w:h="15840"/>
          <w:pgMar w:top="1380" w:right="1300" w:bottom="1240" w:left="1300" w:header="552" w:footer="1043" w:gutter="0"/>
          <w:cols w:space="720"/>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spacing w:before="2"/>
        <w:rPr>
          <w:sz w:val="19"/>
        </w:rPr>
      </w:pPr>
    </w:p>
    <w:p w:rsidR="00200FDA" w:rsidRDefault="00F76C4C">
      <w:pPr>
        <w:spacing w:before="107"/>
        <w:ind w:left="674"/>
        <w:rPr>
          <w:sz w:val="34"/>
        </w:rPr>
      </w:pPr>
      <w:bookmarkStart w:id="885" w:name="Advancing_Justice.pdf"/>
      <w:bookmarkEnd w:id="885"/>
      <w:r>
        <w:rPr>
          <w:color w:val="FFFFFF"/>
          <w:w w:val="120"/>
          <w:sz w:val="34"/>
        </w:rPr>
        <w:t>COMMISSION</w:t>
      </w:r>
      <w:r>
        <w:rPr>
          <w:color w:val="FFFFFF"/>
          <w:spacing w:val="17"/>
          <w:w w:val="120"/>
          <w:sz w:val="34"/>
        </w:rPr>
        <w:t xml:space="preserve"> </w:t>
      </w:r>
      <w:r>
        <w:rPr>
          <w:color w:val="FFFFFF"/>
          <w:w w:val="120"/>
          <w:sz w:val="34"/>
        </w:rPr>
        <w:t>ON</w:t>
      </w:r>
      <w:r>
        <w:rPr>
          <w:color w:val="FFFFFF"/>
          <w:spacing w:val="17"/>
          <w:w w:val="120"/>
          <w:sz w:val="34"/>
        </w:rPr>
        <w:t xml:space="preserve"> </w:t>
      </w:r>
      <w:r>
        <w:rPr>
          <w:color w:val="FFFFFF"/>
          <w:w w:val="120"/>
          <w:sz w:val="34"/>
        </w:rPr>
        <w:t>LGBTQ</w:t>
      </w:r>
      <w:r>
        <w:rPr>
          <w:color w:val="FFFFFF"/>
          <w:spacing w:val="17"/>
          <w:w w:val="120"/>
          <w:sz w:val="34"/>
        </w:rPr>
        <w:t xml:space="preserve"> </w:t>
      </w:r>
      <w:r>
        <w:rPr>
          <w:color w:val="FFFFFF"/>
          <w:spacing w:val="-2"/>
          <w:w w:val="120"/>
          <w:sz w:val="34"/>
        </w:rPr>
        <w:t>YOUTH</w:t>
      </w:r>
    </w:p>
    <w:p w:rsidR="00200FDA" w:rsidRDefault="00F76C4C">
      <w:pPr>
        <w:spacing w:before="86" w:line="213" w:lineRule="auto"/>
        <w:ind w:left="674" w:right="2721"/>
        <w:rPr>
          <w:b/>
          <w:sz w:val="74"/>
        </w:rPr>
      </w:pPr>
      <w:r>
        <w:rPr>
          <w:b/>
          <w:color w:val="FFFFFF"/>
          <w:spacing w:val="-2"/>
          <w:w w:val="120"/>
          <w:sz w:val="74"/>
        </w:rPr>
        <w:t xml:space="preserve">ADVANCING </w:t>
      </w:r>
      <w:r>
        <w:rPr>
          <w:b/>
          <w:color w:val="FFFFFF"/>
          <w:spacing w:val="-2"/>
          <w:w w:val="125"/>
          <w:sz w:val="74"/>
        </w:rPr>
        <w:t>JUSTICE</w:t>
      </w: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spacing w:before="11"/>
        <w:rPr>
          <w:b/>
          <w:sz w:val="19"/>
        </w:rPr>
      </w:pPr>
    </w:p>
    <w:p w:rsidR="00200FDA" w:rsidRDefault="00200FDA">
      <w:pPr>
        <w:rPr>
          <w:sz w:val="19"/>
        </w:rPr>
        <w:sectPr w:rsidR="00200FDA">
          <w:headerReference w:type="default" r:id="rId664"/>
          <w:footerReference w:type="default" r:id="rId665"/>
          <w:pgSz w:w="12240" w:h="15840"/>
          <w:pgMar w:top="0" w:right="380" w:bottom="280" w:left="920" w:header="0" w:footer="0" w:gutter="0"/>
          <w:cols w:space="720"/>
        </w:sectPr>
      </w:pPr>
    </w:p>
    <w:p w:rsidR="00200FDA" w:rsidRDefault="00F76C4C">
      <w:pPr>
        <w:pStyle w:val="Heading6"/>
      </w:pPr>
      <w:r>
        <w:rPr>
          <w:spacing w:val="11"/>
          <w:w w:val="125"/>
        </w:rPr>
        <w:t>ABOUT</w:t>
      </w:r>
    </w:p>
    <w:p w:rsidR="00200FDA" w:rsidRDefault="00F76C4C">
      <w:pPr>
        <w:spacing w:before="198" w:line="261" w:lineRule="auto"/>
        <w:ind w:left="323" w:right="38"/>
        <w:jc w:val="both"/>
        <w:rPr>
          <w:rFonts w:ascii="Georgia"/>
          <w:sz w:val="23"/>
        </w:rPr>
      </w:pPr>
      <w:r>
        <w:rPr>
          <w:rFonts w:ascii="Georgia"/>
          <w:sz w:val="23"/>
        </w:rPr>
        <w:t>Harassment, bullying, and violence often lead to LGBTQ youth coping through criminalized compensatory</w:t>
      </w:r>
      <w:r>
        <w:rPr>
          <w:rFonts w:ascii="Georgia"/>
          <w:spacing w:val="40"/>
          <w:sz w:val="23"/>
        </w:rPr>
        <w:t xml:space="preserve"> </w:t>
      </w:r>
      <w:r>
        <w:rPr>
          <w:rFonts w:ascii="Georgia"/>
          <w:sz w:val="23"/>
        </w:rPr>
        <w:t>behaviors,</w:t>
      </w:r>
      <w:r>
        <w:rPr>
          <w:rFonts w:ascii="Georgia"/>
          <w:spacing w:val="40"/>
          <w:sz w:val="23"/>
        </w:rPr>
        <w:t xml:space="preserve"> </w:t>
      </w:r>
      <w:r>
        <w:rPr>
          <w:rFonts w:ascii="Georgia"/>
          <w:sz w:val="23"/>
        </w:rPr>
        <w:t>and</w:t>
      </w:r>
      <w:r>
        <w:rPr>
          <w:rFonts w:ascii="Georgia"/>
          <w:spacing w:val="40"/>
          <w:sz w:val="23"/>
        </w:rPr>
        <w:t xml:space="preserve"> </w:t>
      </w:r>
      <w:r>
        <w:rPr>
          <w:rFonts w:ascii="Georgia"/>
          <w:sz w:val="23"/>
        </w:rPr>
        <w:t>survival</w:t>
      </w:r>
      <w:r>
        <w:rPr>
          <w:rFonts w:ascii="Georgia"/>
          <w:spacing w:val="40"/>
          <w:sz w:val="23"/>
        </w:rPr>
        <w:t xml:space="preserve"> </w:t>
      </w:r>
      <w:r>
        <w:rPr>
          <w:rFonts w:ascii="Georgia"/>
          <w:sz w:val="23"/>
        </w:rPr>
        <w:t>economies - such as, sex work and the selling of drugs. Police are also more likely to disproportionately target LGBTQ youth, part</w:t>
      </w:r>
      <w:r>
        <w:rPr>
          <w:rFonts w:ascii="Georgia"/>
          <w:sz w:val="23"/>
        </w:rPr>
        <w:t>icularly youth of color and those</w:t>
      </w:r>
      <w:r>
        <w:rPr>
          <w:rFonts w:ascii="Georgia"/>
          <w:spacing w:val="80"/>
          <w:sz w:val="23"/>
        </w:rPr>
        <w:t xml:space="preserve"> </w:t>
      </w:r>
      <w:r>
        <w:rPr>
          <w:rFonts w:ascii="Georgia"/>
          <w:sz w:val="23"/>
        </w:rPr>
        <w:t>experiencing homelessness.</w:t>
      </w:r>
    </w:p>
    <w:p w:rsidR="00200FDA" w:rsidRDefault="00200FDA">
      <w:pPr>
        <w:pStyle w:val="BodyText"/>
        <w:spacing w:before="2"/>
        <w:rPr>
          <w:rFonts w:ascii="Georgia"/>
          <w:sz w:val="25"/>
        </w:rPr>
      </w:pPr>
    </w:p>
    <w:p w:rsidR="00200FDA" w:rsidRDefault="00F76C4C">
      <w:pPr>
        <w:spacing w:line="261" w:lineRule="auto"/>
        <w:ind w:left="323" w:right="38"/>
        <w:jc w:val="both"/>
        <w:rPr>
          <w:rFonts w:ascii="Georgia"/>
          <w:sz w:val="23"/>
        </w:rPr>
      </w:pPr>
      <w:r>
        <w:rPr>
          <w:rFonts w:ascii="Georgia"/>
          <w:sz w:val="23"/>
        </w:rPr>
        <w:t xml:space="preserve">Traumatic experiences such as interactions with the criminal justice system can have lifelong repercussions, particularly when they occur during adolescence, a critical period of brain </w:t>
      </w:r>
      <w:r>
        <w:rPr>
          <w:rFonts w:ascii="Georgia"/>
          <w:spacing w:val="-2"/>
          <w:sz w:val="23"/>
        </w:rPr>
        <w:t>developme</w:t>
      </w:r>
      <w:r>
        <w:rPr>
          <w:rFonts w:ascii="Georgia"/>
          <w:spacing w:val="-2"/>
          <w:sz w:val="23"/>
        </w:rPr>
        <w:t>nt.</w:t>
      </w:r>
    </w:p>
    <w:p w:rsidR="00200FDA" w:rsidRDefault="00F76C4C">
      <w:pPr>
        <w:spacing w:before="447"/>
        <w:ind w:left="334" w:right="549"/>
        <w:jc w:val="center"/>
        <w:rPr>
          <w:b/>
          <w:sz w:val="77"/>
        </w:rPr>
      </w:pPr>
      <w:r>
        <w:br w:type="column"/>
      </w:r>
      <w:r>
        <w:rPr>
          <w:b/>
          <w:emboss/>
          <w:color w:val="001389"/>
          <w:spacing w:val="20"/>
          <w:w w:val="115"/>
          <w:sz w:val="77"/>
        </w:rPr>
        <w:t>84%</w:t>
      </w:r>
    </w:p>
    <w:p w:rsidR="00200FDA" w:rsidRDefault="00F76C4C">
      <w:pPr>
        <w:pStyle w:val="BodyText"/>
        <w:spacing w:before="20" w:line="266" w:lineRule="auto"/>
        <w:ind w:left="1013" w:right="194" w:hanging="267"/>
        <w:rPr>
          <w:rFonts w:ascii="Georgia"/>
        </w:rPr>
      </w:pPr>
      <w:r>
        <w:rPr>
          <w:rFonts w:ascii="Georgia"/>
          <w:spacing w:val="-2"/>
          <w:w w:val="105"/>
        </w:rPr>
        <w:t>Of</w:t>
      </w:r>
      <w:r>
        <w:rPr>
          <w:rFonts w:ascii="Georgia"/>
          <w:spacing w:val="-9"/>
          <w:w w:val="105"/>
        </w:rPr>
        <w:t xml:space="preserve"> </w:t>
      </w:r>
      <w:r>
        <w:rPr>
          <w:rFonts w:ascii="Georgia"/>
          <w:spacing w:val="-2"/>
          <w:w w:val="105"/>
        </w:rPr>
        <w:t>youth</w:t>
      </w:r>
      <w:r>
        <w:rPr>
          <w:rFonts w:ascii="Georgia"/>
          <w:spacing w:val="-9"/>
          <w:w w:val="105"/>
        </w:rPr>
        <w:t xml:space="preserve"> </w:t>
      </w:r>
      <w:r>
        <w:rPr>
          <w:rFonts w:ascii="Georgia"/>
          <w:spacing w:val="-2"/>
          <w:w w:val="105"/>
        </w:rPr>
        <w:t>in</w:t>
      </w:r>
      <w:r>
        <w:rPr>
          <w:rFonts w:ascii="Georgia"/>
          <w:spacing w:val="-9"/>
          <w:w w:val="105"/>
        </w:rPr>
        <w:t xml:space="preserve"> </w:t>
      </w:r>
      <w:r>
        <w:rPr>
          <w:rFonts w:ascii="Georgia"/>
          <w:spacing w:val="-2"/>
          <w:w w:val="105"/>
        </w:rPr>
        <w:t>the</w:t>
      </w:r>
      <w:r>
        <w:rPr>
          <w:rFonts w:ascii="Georgia"/>
          <w:spacing w:val="-9"/>
          <w:w w:val="105"/>
        </w:rPr>
        <w:t xml:space="preserve"> </w:t>
      </w:r>
      <w:r>
        <w:rPr>
          <w:rFonts w:ascii="Georgia"/>
          <w:spacing w:val="-2"/>
          <w:w w:val="105"/>
        </w:rPr>
        <w:t>Massachusetts</w:t>
      </w:r>
      <w:r>
        <w:rPr>
          <w:rFonts w:ascii="Georgia"/>
          <w:spacing w:val="-9"/>
          <w:w w:val="105"/>
        </w:rPr>
        <w:t xml:space="preserve"> </w:t>
      </w:r>
      <w:r>
        <w:rPr>
          <w:rFonts w:ascii="Georgia"/>
          <w:spacing w:val="-2"/>
          <w:w w:val="105"/>
        </w:rPr>
        <w:t xml:space="preserve">juvenile </w:t>
      </w:r>
      <w:r>
        <w:rPr>
          <w:rFonts w:ascii="Georgia"/>
          <w:w w:val="105"/>
        </w:rPr>
        <w:t>justice system are youth of color.</w:t>
      </w:r>
    </w:p>
    <w:p w:rsidR="00200FDA" w:rsidRDefault="00200FDA">
      <w:pPr>
        <w:pStyle w:val="BodyText"/>
        <w:rPr>
          <w:rFonts w:ascii="Georgia"/>
          <w:sz w:val="24"/>
        </w:rPr>
      </w:pPr>
    </w:p>
    <w:p w:rsidR="00200FDA" w:rsidRDefault="00200FDA">
      <w:pPr>
        <w:pStyle w:val="BodyText"/>
        <w:spacing w:before="11"/>
        <w:rPr>
          <w:rFonts w:ascii="Georgia"/>
          <w:sz w:val="24"/>
        </w:rPr>
      </w:pPr>
    </w:p>
    <w:p w:rsidR="00200FDA" w:rsidRDefault="00F76C4C">
      <w:pPr>
        <w:pStyle w:val="Heading3"/>
        <w:ind w:left="1437"/>
      </w:pPr>
      <w:r>
        <w:rPr>
          <w:emboss/>
          <w:color w:val="001389"/>
          <w:w w:val="115"/>
        </w:rPr>
        <w:t>9</w:t>
      </w:r>
      <w:r>
        <w:rPr>
          <w:color w:val="001389"/>
          <w:spacing w:val="21"/>
          <w:w w:val="150"/>
        </w:rPr>
        <w:t xml:space="preserve"> </w:t>
      </w:r>
      <w:r>
        <w:rPr>
          <w:emboss/>
          <w:color w:val="001389"/>
          <w:spacing w:val="18"/>
          <w:w w:val="115"/>
        </w:rPr>
        <w:t>IN</w:t>
      </w:r>
      <w:r>
        <w:rPr>
          <w:color w:val="001389"/>
          <w:spacing w:val="22"/>
          <w:w w:val="150"/>
        </w:rPr>
        <w:t xml:space="preserve"> </w:t>
      </w:r>
      <w:r>
        <w:rPr>
          <w:emboss/>
          <w:color w:val="001389"/>
          <w:spacing w:val="13"/>
          <w:w w:val="115"/>
        </w:rPr>
        <w:t>10</w:t>
      </w:r>
    </w:p>
    <w:p w:rsidR="00200FDA" w:rsidRDefault="00F76C4C">
      <w:pPr>
        <w:pStyle w:val="BodyText"/>
        <w:spacing w:before="176" w:line="266" w:lineRule="auto"/>
        <w:ind w:left="492" w:right="707" w:hanging="1"/>
        <w:jc w:val="center"/>
        <w:rPr>
          <w:rFonts w:ascii="Georgia"/>
        </w:rPr>
      </w:pPr>
      <w:r>
        <w:rPr>
          <w:rFonts w:ascii="Georgia"/>
          <w:w w:val="105"/>
        </w:rPr>
        <w:t xml:space="preserve">LGBTQ students who experienced </w:t>
      </w:r>
      <w:r>
        <w:rPr>
          <w:rFonts w:ascii="Georgia"/>
        </w:rPr>
        <w:t xml:space="preserve">harassment in Massachusetts high schools </w:t>
      </w:r>
      <w:r>
        <w:rPr>
          <w:rFonts w:ascii="Georgia"/>
          <w:w w:val="105"/>
        </w:rPr>
        <w:t>did</w:t>
      </w:r>
      <w:r>
        <w:rPr>
          <w:rFonts w:ascii="Georgia"/>
          <w:spacing w:val="-9"/>
          <w:w w:val="105"/>
        </w:rPr>
        <w:t xml:space="preserve"> </w:t>
      </w:r>
      <w:r>
        <w:rPr>
          <w:rFonts w:ascii="Georgia"/>
          <w:w w:val="105"/>
        </w:rPr>
        <w:t>not</w:t>
      </w:r>
      <w:r>
        <w:rPr>
          <w:rFonts w:ascii="Georgia"/>
          <w:spacing w:val="-9"/>
          <w:w w:val="105"/>
        </w:rPr>
        <w:t xml:space="preserve"> </w:t>
      </w:r>
      <w:r>
        <w:rPr>
          <w:rFonts w:ascii="Georgia"/>
          <w:w w:val="105"/>
        </w:rPr>
        <w:t>report</w:t>
      </w:r>
      <w:r>
        <w:rPr>
          <w:rFonts w:ascii="Georgia"/>
          <w:spacing w:val="-9"/>
          <w:w w:val="105"/>
        </w:rPr>
        <w:t xml:space="preserve"> </w:t>
      </w:r>
      <w:r>
        <w:rPr>
          <w:rFonts w:ascii="Georgia"/>
          <w:w w:val="105"/>
        </w:rPr>
        <w:t>the</w:t>
      </w:r>
      <w:r>
        <w:rPr>
          <w:rFonts w:ascii="Georgia"/>
          <w:spacing w:val="-9"/>
          <w:w w:val="105"/>
        </w:rPr>
        <w:t xml:space="preserve"> </w:t>
      </w:r>
      <w:r>
        <w:rPr>
          <w:rFonts w:ascii="Georgia"/>
          <w:w w:val="105"/>
        </w:rPr>
        <w:t>incident</w:t>
      </w:r>
      <w:r>
        <w:rPr>
          <w:rFonts w:ascii="Georgia"/>
          <w:spacing w:val="-9"/>
          <w:w w:val="105"/>
        </w:rPr>
        <w:t xml:space="preserve"> </w:t>
      </w:r>
      <w:r>
        <w:rPr>
          <w:rFonts w:ascii="Georgia"/>
          <w:w w:val="105"/>
        </w:rPr>
        <w:t>to</w:t>
      </w:r>
      <w:r>
        <w:rPr>
          <w:rFonts w:ascii="Georgia"/>
          <w:spacing w:val="-9"/>
          <w:w w:val="105"/>
        </w:rPr>
        <w:t xml:space="preserve"> </w:t>
      </w:r>
      <w:r>
        <w:rPr>
          <w:rFonts w:ascii="Georgia"/>
          <w:w w:val="105"/>
        </w:rPr>
        <w:t>school</w:t>
      </w:r>
      <w:r>
        <w:rPr>
          <w:rFonts w:ascii="Georgia"/>
          <w:spacing w:val="-9"/>
          <w:w w:val="105"/>
        </w:rPr>
        <w:t xml:space="preserve"> </w:t>
      </w:r>
      <w:r>
        <w:rPr>
          <w:rFonts w:ascii="Georgia"/>
          <w:w w:val="105"/>
        </w:rPr>
        <w:t>staff.</w:t>
      </w:r>
    </w:p>
    <w:p w:rsidR="00200FDA" w:rsidRDefault="00200FDA">
      <w:pPr>
        <w:pStyle w:val="BodyText"/>
        <w:rPr>
          <w:rFonts w:ascii="Georgia"/>
          <w:sz w:val="24"/>
        </w:rPr>
      </w:pPr>
    </w:p>
    <w:p w:rsidR="00200FDA" w:rsidRDefault="00F76C4C">
      <w:pPr>
        <w:pStyle w:val="Heading3"/>
        <w:spacing w:before="183"/>
        <w:ind w:left="334" w:right="549"/>
        <w:jc w:val="center"/>
      </w:pPr>
      <w:r>
        <w:pict>
          <v:group id="docshapegroup411" o:spid="_x0000_s1183" style="position:absolute;left:0;text-align:left;margin-left:51.6pt;margin-top:22.5pt;width:273.15pt;height:134.1pt;z-index:-21257728;mso-position-horizontal-relative:page" coordorigin="1032,450" coordsize="5463,2682">
            <v:shape id="docshape412" o:spid="_x0000_s1190" style="position:absolute;left:1031;top:449;width:5463;height:2682" coordorigin="1032,450" coordsize="5463,2682" path="m5935,3131r-4333,l1524,3126r-74,-15l1380,3086r-66,-33l1254,3012r-55,-48l1151,2909r-41,-60l1077,2783r-25,-71l1037,2638r-5,-77l1032,1020r5,-78l1052,868r25,-70l1110,732r41,-61l1199,617r55,-49l1314,528r66,-33l1450,470r74,-15l1602,450r4333,l6013,455r74,15l6157,495r66,33l6284,568r54,49l6387,671r41,61l6461,798r24,70l6495,914r,1752l6461,2783r-33,66l6387,2909r-49,55l6284,3012r-61,41l6157,3086r-70,25l6013,3126r-78,5xe" fillcolor="#c4e8e4" stroked="f">
              <v:fill opacity="36497f"/>
              <v:path arrowok="t"/>
            </v:shape>
            <v:shape id="docshape413" o:spid="_x0000_s1189" style="position:absolute;left:1384;top:1089;width:765;height:765" coordorigin="1385,1090" coordsize="765,765" o:spt="100" adj="0,,0" path="m2109,1461r-1,-11l2106,1427r-2,-11l2100,1394r-3,-10l2091,1362r-4,-10l2079,1331r-5,-10l2063,1301r-6,-9l2045,1273r-7,-9l2024,1247r-7,-8l2001,1223r-8,-8l1975,1201r-9,-7l1948,1182r-10,-6l1918,1166r-10,-5l1888,1152r-11,-3l1856,1142r-11,-3l1823,1135r-11,-2l1790,1131r-11,l1756,1131r-11,l1723,1133r-11,2l1690,1139r-11,3l1658,1149r-11,3l1626,1161r-10,5l1597,1176r-10,6l1568,1194r-8,7l1542,1215r-8,8l1518,1239r-7,8l1496,1264r-6,9l1477,1292r-5,9l1461,1321r-5,10l1448,1352r-4,10l1438,1384r-3,10l1430,1416r-1,11l1427,1450r-1,11l1426,1483r1,11l1429,1517r1,11l1435,1550r3,10l1444,1582r4,10l1456,1613r5,10l1472,1643r5,9l1490,1671r6,9l1511,1697r7,8l1534,1721r8,8l1560,1743r8,7l1587,1762r10,6l1616,1778r10,5l1647,1792r11,3l1679,1802r11,3l1712,1809r11,2l1745,1813r11,l1779,1813r11,l1812,1811r11,-2l1845,1805r11,-3l1877,1795r11,-3l1908,1783r10,-5l1938,1768r10,-6l1966,1750r9,-7l1993,1729r8,-8l2017,1705r7,-8l2038,1680r7,-9l2057,1652r6,-9l2074,1623r5,-10l2087,1592r4,-10l2097,1560r3,-10l2104,1528r2,-11l2108,1494r1,-11l2109,1472r,-11xm2150,1472r-8,-77l2124,1336r,136l2116,1544r-20,67l2063,1671r-44,53l1966,1767r-60,33l1839,1821r-72,7l1696,1821r-67,-21l1568,1767r-52,-43l1472,1671r-33,-60l1418,1544r-7,-72l1418,1400r21,-67l1472,1273r44,-53l1568,1177r61,-33l1696,1123r71,-7l1839,1123r67,21l1966,1177r53,43l2063,1273r33,60l2116,1400r8,72l2124,1336r-4,-13l2084,1258r-46,-56l1981,1155r-65,-35l1904,1116r-60,-19l1767,1090r-77,7l1619,1120r-65,35l1497,1202r-47,56l1415,1323r-22,72l1385,1472r8,77l1415,1621r35,65l1497,1742r57,47l1619,1824r71,23l1767,1854r77,-7l1904,1828r12,-4l1981,1789r57,-47l2084,1686r36,-65l2142,1549r8,-77xe" fillcolor="#d9d9d9" stroked="f">
              <v:stroke joinstyle="round"/>
              <v:formulas/>
              <v:path arrowok="t" o:connecttype="segments"/>
            </v:shape>
            <v:shape id="docshape414" o:spid="_x0000_s1188" style="position:absolute;left:1633;top:1243;width:284;height:454" coordorigin="1634,1243" coordsize="284,454" path="m1917,1696r-278,-1l1640,1581r35,l1683,1578r11,-14l1696,1557r1,-156l1634,1401r,-101l1699,1284r20,-41l1862,1243r-1,320l1917,1582r,114xe" stroked="f">
              <v:path arrowok="t"/>
            </v:shape>
            <v:shape id="docshape415" o:spid="_x0000_s1187" style="position:absolute;left:1387;top:2130;width:765;height:765" coordorigin="1387,2130" coordsize="765,765" o:spt="100" adj="0,,0" path="m2111,2501r,-11l2108,2468r-1,-11l2102,2435r-2,-11l2093,2403r-3,-11l2081,2372r-5,-10l2066,2342r-6,-10l2047,2314r-6,-9l2027,2287r-8,-8l2003,2263r-8,-7l1978,2242r-9,-7l1950,2223r-9,-6l1921,2206r-10,-5l1890,2193r-10,-4l1858,2183r-11,-3l1825,2176r-11,-2l1792,2172r-11,-1l1759,2171r-11,1l1725,2174r-11,2l1692,2180r-11,3l1660,2189r-10,4l1629,2201r-10,5l1599,2217r-10,6l1571,2235r-9,7l1545,2256r-9,7l1521,2279r-8,8l1499,2305r-7,9l1480,2332r-6,10l1464,2362r-5,10l1450,2392r-4,11l1440,2424r-3,11l1433,2457r-2,11l1429,2490r-1,11l1428,2524r1,11l1431,2557r2,11l1437,2590r3,11l1446,2622r4,11l1459,2654r5,10l1474,2683r6,10l1492,2712r7,9l1513,2738r8,8l1536,2762r9,7l1562,2784r9,6l1589,2803r10,5l1619,2819r10,5l1650,2832r10,4l1681,2842r11,3l1714,2850r11,1l1748,2853r11,1l1781,2854r11,-1l1814,2851r11,-1l1847,2845r11,-3l1880,2836r10,-4l1911,2824r10,-5l1941,2808r9,-5l1969,2790r9,-6l1995,2769r8,-7l2019,2746r8,-8l2041,2721r6,-9l2060,2693r6,-10l2076,2664r5,-10l2090,2633r3,-11l2100,2601r2,-11l2107,2568r1,-11l2111,2535r,-11l2111,2513r,-12xm2152,2513r-7,-77l2126,2376r,137l2119,2584r-21,67l2065,2712r-43,52l1969,2808r-61,33l1842,2862r-72,7l1698,2862r-67,-21l1571,2808r-53,-44l1474,2712r-32,-61l1421,2584r-7,-71l1421,2441r21,-67l1474,2314r44,-53l1571,2217r60,-33l1698,2164r72,-8l1842,2164r66,20l1969,2217r53,44l2065,2314r33,60l2119,2441r7,72l2126,2376r-4,-12l2087,2299r-47,-57l1984,2196r-65,-36l1906,2156r-59,-18l1770,2130r-77,8l1621,2160r-65,36l1499,2242r-46,57l1417,2364r-22,72l1387,2513r8,77l1417,2661r36,65l1499,2783r57,47l1621,2865r72,22l1770,2895r77,-8l1906,2869r13,-4l1984,2830r56,-47l2087,2726r35,-65l2145,2590r7,-77xe" fillcolor="#001389" stroked="f">
              <v:stroke joinstyle="round"/>
              <v:formulas/>
              <v:path arrowok="t" o:connecttype="segments"/>
            </v:shape>
            <v:shape id="docshape416" o:spid="_x0000_s1186" style="position:absolute;left:1566;top:2264;width:423;height:466" coordorigin="1566,2265" coordsize="423,466" path="m1845,2730r-68,-10l1705,2702r-12,-2l1638,2723r-70,l1574,2661r23,-63l1645,2542r56,-38l1745,2481r10,-6l1808,2431r3,-22l1810,2396r-56,-40l1726,2355r-13,1l1691,2360r-10,3l1671,2368r12,4l1694,2378r21,59l1666,2477r-67,-10l1566,2413r,-15l1591,2332r50,-39l1714,2270r67,-5l1805,2266r65,10l1934,2306r45,57l1986,2404r,16l1962,2482r-49,36l1850,2540r-55,15l1781,2559r-62,26l1671,2629r-6,12l1670,2643r4,-5l1679,2632r71,-39l1763,2591r26,l1800,2592r19,3l1827,2596r36,8l1870,2604r58,-35l1928,2557r61,l1983,2631r-27,62l1901,2725r-41,5l1845,2730xe" stroked="f">
              <v:path arrowok="t"/>
            </v:shape>
            <v:shape id="docshape417" o:spid="_x0000_s1185" type="#_x0000_t202" style="position:absolute;left:1243;top:599;width:5011;height:1237" filled="f" stroked="f">
              <v:textbox inset="0,0,0,0">
                <w:txbxContent>
                  <w:p w:rsidR="00200FDA" w:rsidRDefault="00F76C4C">
                    <w:pPr>
                      <w:spacing w:before="6"/>
                      <w:rPr>
                        <w:b/>
                        <w:i/>
                        <w:sz w:val="34"/>
                      </w:rPr>
                    </w:pPr>
                    <w:r>
                      <w:rPr>
                        <w:b/>
                        <w:i/>
                        <w:spacing w:val="13"/>
                        <w:w w:val="125"/>
                        <w:sz w:val="34"/>
                      </w:rPr>
                      <w:t>RECOMMENDATIONS</w:t>
                    </w:r>
                  </w:p>
                  <w:p w:rsidR="00200FDA" w:rsidRDefault="00F76C4C">
                    <w:pPr>
                      <w:spacing w:before="131" w:line="276" w:lineRule="auto"/>
                      <w:ind w:left="1026"/>
                      <w:rPr>
                        <w:rFonts w:ascii="Georgia"/>
                        <w:sz w:val="18"/>
                      </w:rPr>
                    </w:pPr>
                    <w:r>
                      <w:rPr>
                        <w:rFonts w:ascii="Georgia"/>
                        <w:w w:val="105"/>
                        <w:sz w:val="18"/>
                      </w:rPr>
                      <w:t>Increase SOGI data collection to identify and reduce</w:t>
                    </w:r>
                    <w:r>
                      <w:rPr>
                        <w:rFonts w:ascii="Georgia"/>
                        <w:spacing w:val="-9"/>
                        <w:w w:val="105"/>
                        <w:sz w:val="18"/>
                      </w:rPr>
                      <w:t xml:space="preserve"> </w:t>
                    </w:r>
                    <w:r>
                      <w:rPr>
                        <w:rFonts w:ascii="Georgia"/>
                        <w:w w:val="105"/>
                        <w:sz w:val="18"/>
                      </w:rPr>
                      <w:t>disparities</w:t>
                    </w:r>
                    <w:r>
                      <w:rPr>
                        <w:rFonts w:ascii="Georgia"/>
                        <w:spacing w:val="-9"/>
                        <w:w w:val="105"/>
                        <w:sz w:val="18"/>
                      </w:rPr>
                      <w:t xml:space="preserve"> </w:t>
                    </w:r>
                    <w:r>
                      <w:rPr>
                        <w:rFonts w:ascii="Georgia"/>
                        <w:w w:val="105"/>
                        <w:sz w:val="18"/>
                      </w:rPr>
                      <w:t>throughout</w:t>
                    </w:r>
                    <w:r>
                      <w:rPr>
                        <w:rFonts w:ascii="Georgia"/>
                        <w:spacing w:val="-9"/>
                        <w:w w:val="105"/>
                        <w:sz w:val="18"/>
                      </w:rPr>
                      <w:t xml:space="preserve"> </w:t>
                    </w:r>
                    <w:r>
                      <w:rPr>
                        <w:rFonts w:ascii="Georgia"/>
                        <w:w w:val="105"/>
                        <w:sz w:val="18"/>
                      </w:rPr>
                      <w:t>the</w:t>
                    </w:r>
                    <w:r>
                      <w:rPr>
                        <w:rFonts w:ascii="Georgia"/>
                        <w:spacing w:val="-9"/>
                        <w:w w:val="105"/>
                        <w:sz w:val="18"/>
                      </w:rPr>
                      <w:t xml:space="preserve"> </w:t>
                    </w:r>
                    <w:r>
                      <w:rPr>
                        <w:rFonts w:ascii="Georgia"/>
                        <w:w w:val="105"/>
                        <w:sz w:val="18"/>
                      </w:rPr>
                      <w:t>criminal</w:t>
                    </w:r>
                    <w:r>
                      <w:rPr>
                        <w:rFonts w:ascii="Georgia"/>
                        <w:spacing w:val="-9"/>
                        <w:w w:val="105"/>
                        <w:sz w:val="18"/>
                      </w:rPr>
                      <w:t xml:space="preserve"> </w:t>
                    </w:r>
                    <w:r>
                      <w:rPr>
                        <w:rFonts w:ascii="Georgia"/>
                        <w:w w:val="105"/>
                        <w:sz w:val="18"/>
                      </w:rPr>
                      <w:t xml:space="preserve">legal </w:t>
                    </w:r>
                    <w:r>
                      <w:rPr>
                        <w:rFonts w:ascii="Georgia"/>
                        <w:spacing w:val="-2"/>
                        <w:w w:val="105"/>
                        <w:sz w:val="18"/>
                      </w:rPr>
                      <w:t>systems.</w:t>
                    </w:r>
                  </w:p>
                </w:txbxContent>
              </v:textbox>
            </v:shape>
            <v:shape id="docshape418" o:spid="_x0000_s1184" type="#_x0000_t202" style="position:absolute;left:2269;top:2286;width:3740;height:431" filled="f" stroked="f">
              <v:textbox inset="0,0,0,0">
                <w:txbxContent>
                  <w:p w:rsidR="00200FDA" w:rsidRDefault="00F76C4C">
                    <w:pPr>
                      <w:spacing w:line="264" w:lineRule="auto"/>
                      <w:ind w:right="18"/>
                      <w:rPr>
                        <w:rFonts w:ascii="Georgia"/>
                        <w:sz w:val="18"/>
                      </w:rPr>
                    </w:pPr>
                    <w:r>
                      <w:rPr>
                        <w:rFonts w:ascii="Georgia"/>
                        <w:sz w:val="18"/>
                      </w:rPr>
                      <w:t>Raise the age of the juvenile system to include 18-to</w:t>
                    </w:r>
                    <w:r>
                      <w:rPr>
                        <w:rFonts w:ascii="Georgia"/>
                        <w:spacing w:val="-5"/>
                        <w:sz w:val="18"/>
                      </w:rPr>
                      <w:t xml:space="preserve"> </w:t>
                    </w:r>
                    <w:r>
                      <w:rPr>
                        <w:rFonts w:ascii="Georgia"/>
                        <w:sz w:val="18"/>
                      </w:rPr>
                      <w:t>20-year-olds.</w:t>
                    </w:r>
                  </w:p>
                </w:txbxContent>
              </v:textbox>
            </v:shape>
            <w10:wrap anchorx="page"/>
          </v:group>
        </w:pict>
      </w:r>
      <w:r>
        <w:rPr>
          <w:emboss/>
          <w:color w:val="001389"/>
          <w:spacing w:val="19"/>
          <w:w w:val="110"/>
        </w:rPr>
        <w:t>79%</w:t>
      </w:r>
    </w:p>
    <w:p w:rsidR="00200FDA" w:rsidRDefault="00F76C4C">
      <w:pPr>
        <w:pStyle w:val="BodyText"/>
        <w:spacing w:before="39" w:line="266" w:lineRule="auto"/>
        <w:ind w:left="334" w:right="626"/>
        <w:jc w:val="center"/>
        <w:rPr>
          <w:rFonts w:ascii="Georgia"/>
        </w:rPr>
      </w:pPr>
      <w:r>
        <w:rPr>
          <w:rFonts w:ascii="Georgia"/>
        </w:rPr>
        <w:t xml:space="preserve">of QTBIPOC middle and high school students </w:t>
      </w:r>
      <w:r>
        <w:rPr>
          <w:rFonts w:ascii="Georgia"/>
          <w:w w:val="105"/>
        </w:rPr>
        <w:t>across the nation interacted with</w:t>
      </w:r>
      <w:r>
        <w:rPr>
          <w:rFonts w:ascii="Georgia"/>
          <w:w w:val="105"/>
        </w:rPr>
        <w:t xml:space="preserve"> the police at some point</w:t>
      </w:r>
    </w:p>
    <w:p w:rsidR="00200FDA" w:rsidRDefault="00200FDA">
      <w:pPr>
        <w:spacing w:line="266" w:lineRule="auto"/>
        <w:jc w:val="center"/>
        <w:rPr>
          <w:rFonts w:ascii="Georgia"/>
        </w:rPr>
        <w:sectPr w:rsidR="00200FDA">
          <w:type w:val="continuous"/>
          <w:pgSz w:w="12240" w:h="15840"/>
          <w:pgMar w:top="720" w:right="380" w:bottom="280" w:left="920" w:header="0" w:footer="0" w:gutter="0"/>
          <w:cols w:num="2" w:space="720" w:equalWidth="0">
            <w:col w:w="5432" w:space="95"/>
            <w:col w:w="5413"/>
          </w:cols>
        </w:sectPr>
      </w:pPr>
    </w:p>
    <w:p w:rsidR="00200FDA" w:rsidRDefault="00F76C4C">
      <w:pPr>
        <w:pStyle w:val="BodyText"/>
        <w:rPr>
          <w:rFonts w:ascii="Georgia"/>
          <w:sz w:val="20"/>
        </w:rPr>
      </w:pPr>
      <w:r>
        <w:pict>
          <v:group id="docshapegroup419" o:spid="_x0000_s1176" style="position:absolute;margin-left:0;margin-top:0;width:609.9pt;height:475.7pt;z-index:-21258240;mso-position-horizontal-relative:page;mso-position-vertical-relative:page" coordsize="12198,9514">
            <v:shape id="docshape420" o:spid="_x0000_s1182" type="#_x0000_t75" style="position:absolute;width:12198;height:4912">
              <v:imagedata r:id="rId666" o:title=""/>
            </v:shape>
            <v:shape id="docshape421" o:spid="_x0000_s1181" type="#_x0000_t75" style="position:absolute;left:7839;top:1158;width:2333;height:2332">
              <v:imagedata r:id="rId143" o:title=""/>
            </v:shape>
            <v:shape id="docshape422" o:spid="_x0000_s1180" style="position:absolute;left:7818;top:1136;width:2375;height:2375" coordorigin="7818,1136" coordsize="2375,2375" o:spt="100" adj="0,,0" path="m9006,3511r-75,-2l8857,3502r-72,-11l8714,3475r-69,-20l8577,3431r-66,-27l8448,3372r-61,-35l8328,3298r-57,-41l8218,3211r-51,-48l8118,3112r-45,-54l8031,3002r-38,-59l7958,2882r-32,-64l7898,2752r-24,-67l7855,2616r-16,-71l7828,2473r-7,-74l7818,2324r3,-75l7828,2175r11,-72l7855,2032r19,-69l7898,1895r28,-65l7958,1766r35,-61l8031,1646r42,-56l8118,1536r49,-51l8218,1437r53,-46l8328,1350r59,-39l8448,1276r64,-32l8577,1217r68,-24l8714,1173r71,-16l8857,1146r74,-7l9006,1136r75,3l9155,1146r72,11l9298,1173r24,7l9006,1180r-75,2l8857,1189r-73,12l8714,1218r-69,20l8577,1263r-65,29l8449,1325r-60,36l8330,1401r-55,43l8222,1491r-49,50l8126,1593r-43,56l8043,1707r-37,60l7974,1830r-29,66l7920,1963r-21,69l7883,2103r-12,72l7864,2249r-2,75l7864,2399r7,74l7883,2545r16,71l7920,2685r25,67l7974,2818r32,63l8043,2941r40,58l8126,3055r47,52l8222,3157r53,47l8330,3247r59,40l8449,3323r63,33l8577,3385r68,25l8714,3430r70,17l8857,3459r74,7l9006,3468r316,l9298,3475r-71,16l9155,3502r-74,7l9006,3511xm9322,3468r-316,l9081,3466r74,-7l9227,3447r71,-17l9367,3410r67,-25l9499,3356r63,-33l9623,3287r58,-40l9737,3204r52,-47l9839,3107r47,-52l9929,2999r40,-58l10005,2881r33,-63l10067,2752r25,-67l10112,2616r17,-71l10140,2473r8,-74l10150,2324r-2,-75l10140,2175r-11,-72l10112,2032r-20,-69l10067,1896r-29,-66l10005,1767r-36,-60l9929,1649r-43,-56l9839,1541r-50,-50l9737,1444r-56,-43l9623,1361r-61,-36l9499,1292r-65,-29l9367,1238r-69,-20l9227,1201r-72,-12l9081,1182r-75,-2l9322,1180r45,13l9435,1217r65,27l9564,1276r61,35l9684,1350r56,41l9794,1437r51,48l9893,1536r45,54l9980,1646r39,59l10054,1766r31,64l10113,1896r24,67l10157,2032r16,71l10184,2175r7,74l10193,2324r-2,75l10184,2473r-11,72l10157,2616r-20,69l10113,2753r-28,65l10054,2882r-35,61l9980,3002r-42,56l9893,3112r-48,51l9794,3211r-54,46l9684,3298r-59,39l9564,3372r-64,32l9435,3431r-68,24l9322,3468xe" stroked="f">
              <v:stroke joinstyle="round"/>
              <v:formulas/>
              <v:path arrowok="t" o:connecttype="segments"/>
            </v:shape>
            <v:shape id="docshape423" o:spid="_x0000_s1179" style="position:absolute;left:1031;top:4619;width:5463;height:4880" coordorigin="1032,4620" coordsize="5463,4880" path="m6082,9499r-4627,l1450,9498r-70,-24l1314,9441r-60,-41l1199,9352r-48,-55l1110,9236r-33,-66l1052,9100r-15,-74l1032,8949r,-3759l1037,5112r15,-74l1077,4968r33,-66l1151,4841r48,-54l1254,4739r60,-41l1380,4665r70,-25l1524,4625r78,-5l5935,4620r78,5l6087,4640r70,25l6223,4698r61,41l6338,4787r49,54l6428,4902r33,66l6485,5038r10,47l6495,9054r-34,116l6428,9236r-41,61l6338,9352r-54,48l6223,9441r-66,33l6087,9498r-5,1xe" fillcolor="#c4e8e4" stroked="f">
              <v:fill opacity="36497f"/>
              <v:path arrowok="t"/>
            </v:shape>
            <v:shape id="docshape424" o:spid="_x0000_s1178" type="#_x0000_t75" style="position:absolute;left:6647;top:4069;width:1535;height:1843">
              <v:imagedata r:id="rId667" o:title=""/>
            </v:shape>
            <v:shape id="docshape425" o:spid="_x0000_s1177" style="position:absolute;left:6861;top:6914;width:4366;height:2576" coordorigin="6861,6915" coordsize="4366,2576" o:spt="100" adj="0,,0" path="m6861,6915r4365,m6861,9491r4365,e" filled="f" strokecolor="#001389" strokeweight="2.25pt">
              <v:stroke dashstyle="3 1" joinstyle="round"/>
              <v:formulas/>
              <v:path arrowok="t" o:connecttype="segments"/>
            </v:shape>
            <w10:wrap anchorx="page" anchory="page"/>
          </v:group>
        </w:pict>
      </w:r>
    </w:p>
    <w:p w:rsidR="00200FDA" w:rsidRDefault="00200FDA">
      <w:pPr>
        <w:pStyle w:val="BodyText"/>
        <w:rPr>
          <w:rFonts w:ascii="Georgia"/>
          <w:sz w:val="16"/>
        </w:rPr>
      </w:pPr>
    </w:p>
    <w:p w:rsidR="00200FDA" w:rsidRDefault="00F76C4C">
      <w:pPr>
        <w:tabs>
          <w:tab w:val="left" w:pos="6066"/>
        </w:tabs>
        <w:ind w:left="111"/>
        <w:rPr>
          <w:rFonts w:ascii="Georgia"/>
          <w:sz w:val="20"/>
        </w:rPr>
      </w:pPr>
      <w:r>
        <w:rPr>
          <w:rFonts w:ascii="Georgia"/>
          <w:position w:val="67"/>
          <w:sz w:val="20"/>
        </w:rPr>
      </w:r>
      <w:r>
        <w:rPr>
          <w:rFonts w:ascii="Georgia"/>
          <w:position w:val="67"/>
          <w:sz w:val="20"/>
        </w:rPr>
        <w:pict>
          <v:group id="docshapegroup426" o:spid="_x0000_s1173" style="width:273.15pt;height:84.9pt;mso-position-horizontal-relative:char;mso-position-vertical-relative:line" coordsize="5463,1698">
            <v:shape id="docshape427" o:spid="_x0000_s1175" style="position:absolute;width:5463;height:1698" coordsize="5463,1698" path="m5012,1697r-4550,l418,1688r-70,-24l282,1631r-60,-41l167,1542r-48,-55l78,1426,45,1360,20,1290,5,1216,,1139,,570,5,493,20,418,45,348,78,282r41,-60l167,167r55,-48l282,78,348,45,418,20,493,5,570,,4904,r77,5l5055,20r70,25l5191,78r61,41l5307,167r48,55l5396,282r33,66l5453,418r10,47l5463,1244r-34,116l5396,1426r-41,61l5307,1542r-55,48l5191,1631r-66,33l5055,1688r-43,9xe" fillcolor="#c4e8e4" stroked="f">
              <v:fill opacity="36497f"/>
              <v:path arrowok="t"/>
            </v:shape>
            <v:shape id="docshape428" o:spid="_x0000_s1174" type="#_x0000_t202" style="position:absolute;width:5463;height:1698" filled="f" stroked="f">
              <v:textbox inset="0,0,0,0">
                <w:txbxContent>
                  <w:p w:rsidR="00200FDA" w:rsidRDefault="00F76C4C">
                    <w:pPr>
                      <w:spacing w:before="136"/>
                      <w:ind w:left="211"/>
                      <w:rPr>
                        <w:b/>
                        <w:i/>
                        <w:sz w:val="34"/>
                      </w:rPr>
                    </w:pPr>
                    <w:r>
                      <w:rPr>
                        <w:b/>
                        <w:i/>
                        <w:spacing w:val="11"/>
                        <w:w w:val="130"/>
                        <w:sz w:val="34"/>
                      </w:rPr>
                      <w:t>LEGISLATION</w:t>
                    </w:r>
                  </w:p>
                  <w:p w:rsidR="00200FDA" w:rsidRDefault="00F76C4C">
                    <w:pPr>
                      <w:spacing w:before="122"/>
                      <w:ind w:left="211"/>
                      <w:rPr>
                        <w:rFonts w:ascii="Georgia"/>
                        <w:sz w:val="20"/>
                      </w:rPr>
                    </w:pPr>
                    <w:r>
                      <w:rPr>
                        <w:rFonts w:ascii="Georgia"/>
                        <w:w w:val="90"/>
                        <w:sz w:val="20"/>
                      </w:rPr>
                      <w:t>S.1499/H.2357:</w:t>
                    </w:r>
                    <w:r>
                      <w:rPr>
                        <w:rFonts w:ascii="Georgia"/>
                        <w:spacing w:val="17"/>
                        <w:sz w:val="20"/>
                      </w:rPr>
                      <w:t xml:space="preserve"> </w:t>
                    </w:r>
                    <w:r>
                      <w:rPr>
                        <w:rFonts w:ascii="Georgia"/>
                        <w:w w:val="90"/>
                        <w:sz w:val="20"/>
                      </w:rPr>
                      <w:t>RIGHTS</w:t>
                    </w:r>
                    <w:r>
                      <w:rPr>
                        <w:rFonts w:ascii="Georgia"/>
                        <w:spacing w:val="17"/>
                        <w:sz w:val="20"/>
                      </w:rPr>
                      <w:t xml:space="preserve"> </w:t>
                    </w:r>
                    <w:r>
                      <w:rPr>
                        <w:rFonts w:ascii="Georgia"/>
                        <w:spacing w:val="-5"/>
                        <w:w w:val="90"/>
                        <w:sz w:val="20"/>
                      </w:rPr>
                      <w:t>Act</w:t>
                    </w:r>
                  </w:p>
                  <w:p w:rsidR="00200FDA" w:rsidRDefault="00F76C4C">
                    <w:pPr>
                      <w:spacing w:before="37" w:line="278" w:lineRule="auto"/>
                      <w:ind w:left="211"/>
                      <w:rPr>
                        <w:rFonts w:ascii="Georgia"/>
                        <w:sz w:val="20"/>
                      </w:rPr>
                    </w:pPr>
                    <w:r>
                      <w:rPr>
                        <w:rFonts w:ascii="Georgia"/>
                        <w:spacing w:val="-2"/>
                        <w:sz w:val="20"/>
                      </w:rPr>
                      <w:t>S.931/H.1802:</w:t>
                    </w:r>
                    <w:r>
                      <w:rPr>
                        <w:rFonts w:ascii="Georgia"/>
                        <w:spacing w:val="-5"/>
                        <w:sz w:val="20"/>
                      </w:rPr>
                      <w:t xml:space="preserve"> </w:t>
                    </w:r>
                    <w:r>
                      <w:rPr>
                        <w:rFonts w:ascii="Georgia"/>
                        <w:spacing w:val="-2"/>
                        <w:sz w:val="20"/>
                      </w:rPr>
                      <w:t>Juvenile</w:t>
                    </w:r>
                    <w:r>
                      <w:rPr>
                        <w:rFonts w:ascii="Georgia"/>
                        <w:spacing w:val="-5"/>
                        <w:sz w:val="20"/>
                      </w:rPr>
                      <w:t xml:space="preserve"> </w:t>
                    </w:r>
                    <w:r>
                      <w:rPr>
                        <w:rFonts w:ascii="Georgia"/>
                        <w:spacing w:val="-2"/>
                        <w:sz w:val="20"/>
                      </w:rPr>
                      <w:t>Justice</w:t>
                    </w:r>
                    <w:r>
                      <w:rPr>
                        <w:rFonts w:ascii="Georgia"/>
                        <w:spacing w:val="-5"/>
                        <w:sz w:val="20"/>
                      </w:rPr>
                      <w:t xml:space="preserve"> </w:t>
                    </w:r>
                    <w:r>
                      <w:rPr>
                        <w:rFonts w:ascii="Georgia"/>
                        <w:spacing w:val="-2"/>
                        <w:sz w:val="20"/>
                      </w:rPr>
                      <w:t>Data</w:t>
                    </w:r>
                    <w:r>
                      <w:rPr>
                        <w:rFonts w:ascii="Georgia"/>
                        <w:spacing w:val="-5"/>
                        <w:sz w:val="20"/>
                      </w:rPr>
                      <w:t xml:space="preserve"> </w:t>
                    </w:r>
                    <w:r>
                      <w:rPr>
                        <w:rFonts w:ascii="Georgia"/>
                        <w:spacing w:val="-2"/>
                        <w:sz w:val="20"/>
                      </w:rPr>
                      <w:t xml:space="preserve">Collection </w:t>
                    </w:r>
                    <w:r>
                      <w:rPr>
                        <w:rFonts w:ascii="Georgia"/>
                        <w:sz w:val="20"/>
                      </w:rPr>
                      <w:t>S.942/H.1710: Raise the Age</w:t>
                    </w:r>
                  </w:p>
                </w:txbxContent>
              </v:textbox>
            </v:shape>
            <w10:anchorlock/>
          </v:group>
        </w:pict>
      </w:r>
      <w:r>
        <w:rPr>
          <w:rFonts w:ascii="Georgia"/>
          <w:position w:val="67"/>
          <w:sz w:val="20"/>
        </w:rPr>
        <w:tab/>
      </w:r>
      <w:r>
        <w:rPr>
          <w:rFonts w:ascii="Georgia"/>
          <w:noProof/>
          <w:sz w:val="20"/>
        </w:rPr>
        <w:drawing>
          <wp:inline distT="0" distB="0" distL="0" distR="0">
            <wp:extent cx="2966220" cy="2174938"/>
            <wp:effectExtent l="0" t="0" r="0" b="0"/>
            <wp:docPr id="127"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25.png"/>
                    <pic:cNvPicPr/>
                  </pic:nvPicPr>
                  <pic:blipFill>
                    <a:blip r:embed="rId668" cstate="print"/>
                    <a:stretch>
                      <a:fillRect/>
                    </a:stretch>
                  </pic:blipFill>
                  <pic:spPr>
                    <a:xfrm>
                      <a:off x="0" y="0"/>
                      <a:ext cx="2966220" cy="2174938"/>
                    </a:xfrm>
                    <a:prstGeom prst="rect">
                      <a:avLst/>
                    </a:prstGeom>
                  </pic:spPr>
                </pic:pic>
              </a:graphicData>
            </a:graphic>
          </wp:inline>
        </w:drawing>
      </w:r>
    </w:p>
    <w:p w:rsidR="00200FDA" w:rsidRDefault="00200FDA">
      <w:pPr>
        <w:rPr>
          <w:rFonts w:ascii="Georgia"/>
          <w:sz w:val="20"/>
        </w:rPr>
        <w:sectPr w:rsidR="00200FDA">
          <w:type w:val="continuous"/>
          <w:pgSz w:w="12240" w:h="15840"/>
          <w:pgMar w:top="720" w:right="380" w:bottom="280" w:left="920" w:header="0" w:footer="0" w:gutter="0"/>
          <w:cols w:space="720"/>
        </w:sectPr>
      </w:pPr>
    </w:p>
    <w:p w:rsidR="00200FDA" w:rsidRDefault="00F76C4C">
      <w:pPr>
        <w:spacing w:before="65"/>
        <w:ind w:left="140"/>
        <w:rPr>
          <w:sz w:val="32"/>
        </w:rPr>
      </w:pPr>
      <w:r>
        <w:lastRenderedPageBreak/>
        <w:pict>
          <v:rect id="docshape432" o:spid="_x0000_s1172" style="position:absolute;left:0;text-align:left;margin-left:70.55pt;margin-top:23.75pt;width:470.9pt;height:.5pt;z-index:-15647232;mso-wrap-distance-left:0;mso-wrap-distance-right:0;mso-position-horizontal-relative:page" fillcolor="#0f6ec5" stroked="f">
            <w10:wrap type="topAndBottom" anchorx="page"/>
          </v:rect>
        </w:pict>
      </w:r>
      <w:bookmarkStart w:id="886" w:name="ISP_Report_-_Edited.pdf"/>
      <w:bookmarkStart w:id="887" w:name="Expanding_Inclusive_Service_Provision_fo"/>
      <w:bookmarkStart w:id="888" w:name="_bookmark709"/>
      <w:bookmarkEnd w:id="886"/>
      <w:bookmarkEnd w:id="887"/>
      <w:bookmarkEnd w:id="888"/>
      <w:r>
        <w:fldChar w:fldCharType="begin"/>
      </w:r>
      <w:r>
        <w:instrText xml:space="preserve"> HYPERLINK \l "_bookmark2" </w:instrText>
      </w:r>
      <w:r>
        <w:fldChar w:fldCharType="separate"/>
      </w:r>
      <w:r>
        <w:rPr>
          <w:color w:val="0A5293"/>
          <w:sz w:val="32"/>
        </w:rPr>
        <w:t>Expanding</w:t>
      </w:r>
      <w:r>
        <w:rPr>
          <w:color w:val="0A5293"/>
          <w:spacing w:val="-11"/>
          <w:sz w:val="32"/>
        </w:rPr>
        <w:t xml:space="preserve"> </w:t>
      </w:r>
      <w:r>
        <w:rPr>
          <w:color w:val="0A5293"/>
          <w:sz w:val="32"/>
        </w:rPr>
        <w:t>Inclusive</w:t>
      </w:r>
      <w:r>
        <w:rPr>
          <w:color w:val="0A5293"/>
          <w:spacing w:val="-12"/>
          <w:sz w:val="32"/>
        </w:rPr>
        <w:t xml:space="preserve"> </w:t>
      </w:r>
      <w:r>
        <w:rPr>
          <w:color w:val="0A5293"/>
          <w:sz w:val="32"/>
        </w:rPr>
        <w:t>Service</w:t>
      </w:r>
      <w:r>
        <w:rPr>
          <w:color w:val="0A5293"/>
          <w:spacing w:val="-12"/>
          <w:sz w:val="32"/>
        </w:rPr>
        <w:t xml:space="preserve"> </w:t>
      </w:r>
      <w:r>
        <w:rPr>
          <w:color w:val="0A5293"/>
          <w:sz w:val="32"/>
        </w:rPr>
        <w:t>Provision</w:t>
      </w:r>
      <w:r>
        <w:rPr>
          <w:color w:val="0A5293"/>
          <w:spacing w:val="-10"/>
          <w:sz w:val="32"/>
        </w:rPr>
        <w:t xml:space="preserve"> </w:t>
      </w:r>
      <w:r>
        <w:rPr>
          <w:color w:val="0A5293"/>
          <w:sz w:val="32"/>
        </w:rPr>
        <w:t>for</w:t>
      </w:r>
      <w:r>
        <w:rPr>
          <w:color w:val="0A5293"/>
          <w:spacing w:val="-13"/>
          <w:sz w:val="32"/>
        </w:rPr>
        <w:t xml:space="preserve"> </w:t>
      </w:r>
      <w:r>
        <w:rPr>
          <w:color w:val="0A5293"/>
          <w:sz w:val="32"/>
        </w:rPr>
        <w:t>Foreign-Born</w:t>
      </w:r>
      <w:r>
        <w:rPr>
          <w:color w:val="0A5293"/>
          <w:spacing w:val="-12"/>
          <w:sz w:val="32"/>
        </w:rPr>
        <w:t xml:space="preserve"> </w:t>
      </w:r>
      <w:r>
        <w:rPr>
          <w:color w:val="0A5293"/>
          <w:sz w:val="32"/>
        </w:rPr>
        <w:t>LGBTQ</w:t>
      </w:r>
      <w:r>
        <w:rPr>
          <w:color w:val="0A5293"/>
          <w:spacing w:val="-13"/>
          <w:sz w:val="32"/>
        </w:rPr>
        <w:t xml:space="preserve"> </w:t>
      </w:r>
      <w:r>
        <w:rPr>
          <w:color w:val="0A5293"/>
          <w:spacing w:val="-2"/>
          <w:sz w:val="32"/>
        </w:rPr>
        <w:t>Youth</w:t>
      </w:r>
      <w:r>
        <w:rPr>
          <w:color w:val="0A5293"/>
          <w:spacing w:val="-2"/>
          <w:sz w:val="32"/>
        </w:rPr>
        <w:fldChar w:fldCharType="end"/>
      </w:r>
    </w:p>
    <w:p w:rsidR="00200FDA" w:rsidRDefault="00200FDA">
      <w:pPr>
        <w:pStyle w:val="BodyText"/>
        <w:rPr>
          <w:sz w:val="20"/>
        </w:rPr>
      </w:pPr>
    </w:p>
    <w:p w:rsidR="00200FDA" w:rsidRDefault="00F76C4C">
      <w:pPr>
        <w:pStyle w:val="Heading7"/>
        <w:spacing w:before="187"/>
        <w:ind w:left="140"/>
      </w:pPr>
      <w:r>
        <w:pict>
          <v:rect id="docshape433" o:spid="_x0000_s1171" style="position:absolute;left:0;text-align:left;margin-left:70.55pt;margin-top:27.35pt;width:470.9pt;height:.5pt;z-index:-15646720;mso-wrap-distance-left:0;mso-wrap-distance-right:0;mso-position-horizontal-relative:page" fillcolor="#0f6ec5" stroked="f">
            <w10:wrap type="topAndBottom" anchorx="page"/>
          </v:rect>
        </w:pict>
      </w:r>
      <w:r>
        <w:rPr>
          <w:color w:val="0A5293"/>
          <w:spacing w:val="-2"/>
        </w:rPr>
        <w:t>Introduction</w:t>
      </w:r>
    </w:p>
    <w:p w:rsidR="00200FDA" w:rsidRDefault="00200FDA">
      <w:pPr>
        <w:pStyle w:val="BodyText"/>
        <w:spacing w:before="8"/>
        <w:rPr>
          <w:sz w:val="20"/>
        </w:rPr>
      </w:pPr>
    </w:p>
    <w:p w:rsidR="00200FDA" w:rsidRDefault="00F76C4C">
      <w:pPr>
        <w:pStyle w:val="BodyText"/>
        <w:spacing w:before="56" w:line="276" w:lineRule="auto"/>
        <w:ind w:left="139" w:right="133"/>
        <w:jc w:val="both"/>
      </w:pPr>
      <w:r>
        <w:t>For the first time, the Commission offers a dedicated section on research and recommendations to improve</w:t>
      </w:r>
      <w:r>
        <w:rPr>
          <w:spacing w:val="-6"/>
        </w:rPr>
        <w:t xml:space="preserve"> </w:t>
      </w:r>
      <w:r>
        <w:t>policies,</w:t>
      </w:r>
      <w:r>
        <w:rPr>
          <w:spacing w:val="-9"/>
        </w:rPr>
        <w:t xml:space="preserve"> </w:t>
      </w:r>
      <w:r>
        <w:t>services,</w:t>
      </w:r>
      <w:r>
        <w:rPr>
          <w:spacing w:val="-9"/>
        </w:rPr>
        <w:t xml:space="preserve"> </w:t>
      </w:r>
      <w:r>
        <w:t>and</w:t>
      </w:r>
      <w:r>
        <w:rPr>
          <w:spacing w:val="-7"/>
        </w:rPr>
        <w:t xml:space="preserve"> </w:t>
      </w:r>
      <w:r>
        <w:t>programs</w:t>
      </w:r>
      <w:r>
        <w:rPr>
          <w:spacing w:val="-7"/>
        </w:rPr>
        <w:t xml:space="preserve"> </w:t>
      </w:r>
      <w:r>
        <w:t>for</w:t>
      </w:r>
      <w:r>
        <w:rPr>
          <w:spacing w:val="-7"/>
        </w:rPr>
        <w:t xml:space="preserve"> </w:t>
      </w:r>
      <w:r>
        <w:t>LGBTQ</w:t>
      </w:r>
      <w:r>
        <w:rPr>
          <w:spacing w:val="-6"/>
        </w:rPr>
        <w:t xml:space="preserve"> </w:t>
      </w:r>
      <w:r>
        <w:t>foreign-born</w:t>
      </w:r>
      <w:r>
        <w:rPr>
          <w:spacing w:val="-7"/>
        </w:rPr>
        <w:t xml:space="preserve"> </w:t>
      </w:r>
      <w:r>
        <w:t>Massachusetts</w:t>
      </w:r>
      <w:r>
        <w:rPr>
          <w:spacing w:val="-7"/>
        </w:rPr>
        <w:t xml:space="preserve"> </w:t>
      </w:r>
      <w:r>
        <w:t>residents,</w:t>
      </w:r>
      <w:r>
        <w:rPr>
          <w:spacing w:val="-6"/>
        </w:rPr>
        <w:t xml:space="preserve"> </w:t>
      </w:r>
      <w:r>
        <w:t>including</w:t>
      </w:r>
      <w:r>
        <w:rPr>
          <w:spacing w:val="-7"/>
        </w:rPr>
        <w:t xml:space="preserve"> </w:t>
      </w:r>
      <w:r>
        <w:t xml:space="preserve">first- generation, undocumented, asylee, and refugee youth. </w:t>
      </w:r>
      <w:r>
        <w:t>The Commission uses the term ‘foreign-born’ throughout this report to encompass experiences of those who are legal residents and undocumented residents,</w:t>
      </w:r>
      <w:r>
        <w:rPr>
          <w:spacing w:val="-1"/>
        </w:rPr>
        <w:t xml:space="preserve"> </w:t>
      </w:r>
      <w:r>
        <w:t>as</w:t>
      </w:r>
      <w:r>
        <w:rPr>
          <w:spacing w:val="-1"/>
        </w:rPr>
        <w:t xml:space="preserve"> </w:t>
      </w:r>
      <w:r>
        <w:t>well as</w:t>
      </w:r>
      <w:r>
        <w:rPr>
          <w:spacing w:val="-1"/>
        </w:rPr>
        <w:t xml:space="preserve"> </w:t>
      </w:r>
      <w:r>
        <w:t>those who may have only temporarily migrated</w:t>
      </w:r>
      <w:r>
        <w:rPr>
          <w:spacing w:val="-2"/>
        </w:rPr>
        <w:t xml:space="preserve"> </w:t>
      </w:r>
      <w:r>
        <w:t>to the state. As detailed</w:t>
      </w:r>
      <w:r>
        <w:rPr>
          <w:spacing w:val="-2"/>
        </w:rPr>
        <w:t xml:space="preserve"> </w:t>
      </w:r>
      <w:r>
        <w:t>throughout this secti</w:t>
      </w:r>
      <w:r>
        <w:t>on, there are many reasons that LGBTQ individuals and families may immigrate to the U.S., including to escape persecution, violence, and discrimination in their country of origin. While Massachusetts has made great strides in recent years towards improving</w:t>
      </w:r>
      <w:r>
        <w:t xml:space="preserve"> its service provision for these communities, further steps should still be taken to ensure that all LGBTQ youth have the opportunity to </w:t>
      </w:r>
      <w:r>
        <w:rPr>
          <w:spacing w:val="-2"/>
        </w:rPr>
        <w:t>thrive.</w:t>
      </w:r>
    </w:p>
    <w:p w:rsidR="00200FDA" w:rsidRDefault="00F76C4C">
      <w:pPr>
        <w:pStyle w:val="Heading7"/>
        <w:spacing w:before="121"/>
        <w:ind w:left="140"/>
        <w:jc w:val="both"/>
      </w:pPr>
      <w:r>
        <w:pict>
          <v:rect id="docshape434" o:spid="_x0000_s1170" style="position:absolute;left:0;text-align:left;margin-left:70.55pt;margin-top:24.05pt;width:470.9pt;height:.5pt;z-index:-15646208;mso-wrap-distance-left:0;mso-wrap-distance-right:0;mso-position-horizontal-relative:page" fillcolor="#0f6ec5" stroked="f">
            <w10:wrap type="topAndBottom" anchorx="page"/>
          </v:rect>
        </w:pict>
      </w:r>
      <w:r>
        <w:rPr>
          <w:color w:val="0A5293"/>
        </w:rPr>
        <w:t>FY</w:t>
      </w:r>
      <w:r>
        <w:rPr>
          <w:color w:val="0A5293"/>
          <w:spacing w:val="-7"/>
        </w:rPr>
        <w:t xml:space="preserve"> </w:t>
      </w:r>
      <w:r>
        <w:rPr>
          <w:color w:val="0A5293"/>
        </w:rPr>
        <w:t>2024</w:t>
      </w:r>
      <w:r>
        <w:rPr>
          <w:color w:val="0A5293"/>
          <w:spacing w:val="-6"/>
        </w:rPr>
        <w:t xml:space="preserve"> </w:t>
      </w:r>
      <w:r>
        <w:rPr>
          <w:color w:val="0A5293"/>
        </w:rPr>
        <w:t>Recommendations</w:t>
      </w:r>
      <w:r>
        <w:rPr>
          <w:color w:val="0A5293"/>
          <w:spacing w:val="-5"/>
        </w:rPr>
        <w:t xml:space="preserve"> </w:t>
      </w:r>
      <w:r>
        <w:rPr>
          <w:color w:val="0A5293"/>
        </w:rPr>
        <w:t>to</w:t>
      </w:r>
      <w:r>
        <w:rPr>
          <w:color w:val="0A5293"/>
          <w:spacing w:val="-5"/>
        </w:rPr>
        <w:t xml:space="preserve"> </w:t>
      </w:r>
      <w:r>
        <w:rPr>
          <w:color w:val="0A5293"/>
        </w:rPr>
        <w:t>the</w:t>
      </w:r>
      <w:r>
        <w:rPr>
          <w:color w:val="0A5293"/>
          <w:spacing w:val="-6"/>
        </w:rPr>
        <w:t xml:space="preserve"> </w:t>
      </w:r>
      <w:r>
        <w:rPr>
          <w:color w:val="0A5293"/>
        </w:rPr>
        <w:t>Governor</w:t>
      </w:r>
      <w:r>
        <w:rPr>
          <w:color w:val="0A5293"/>
          <w:spacing w:val="-5"/>
        </w:rPr>
        <w:t xml:space="preserve"> </w:t>
      </w:r>
      <w:r>
        <w:rPr>
          <w:color w:val="0A5293"/>
        </w:rPr>
        <w:t>on</w:t>
      </w:r>
      <w:r>
        <w:rPr>
          <w:color w:val="0A5293"/>
          <w:spacing w:val="-7"/>
        </w:rPr>
        <w:t xml:space="preserve"> </w:t>
      </w:r>
      <w:r>
        <w:rPr>
          <w:color w:val="0A5293"/>
        </w:rPr>
        <w:t>Foreign-Born</w:t>
      </w:r>
      <w:r>
        <w:rPr>
          <w:color w:val="0A5293"/>
          <w:spacing w:val="-7"/>
        </w:rPr>
        <w:t xml:space="preserve"> </w:t>
      </w:r>
      <w:r>
        <w:rPr>
          <w:color w:val="0A5293"/>
        </w:rPr>
        <w:t>LGBTQ</w:t>
      </w:r>
      <w:r>
        <w:rPr>
          <w:color w:val="0A5293"/>
          <w:spacing w:val="-4"/>
        </w:rPr>
        <w:t xml:space="preserve"> </w:t>
      </w:r>
      <w:r>
        <w:rPr>
          <w:color w:val="0A5293"/>
          <w:spacing w:val="-2"/>
        </w:rPr>
        <w:t>Youth</w:t>
      </w:r>
    </w:p>
    <w:p w:rsidR="00200FDA" w:rsidRDefault="00200FDA">
      <w:pPr>
        <w:pStyle w:val="BodyText"/>
        <w:rPr>
          <w:sz w:val="20"/>
        </w:rPr>
      </w:pPr>
    </w:p>
    <w:p w:rsidR="00200FDA" w:rsidRDefault="00F76C4C">
      <w:pPr>
        <w:pStyle w:val="Heading9"/>
        <w:numPr>
          <w:ilvl w:val="0"/>
          <w:numId w:val="26"/>
        </w:numPr>
        <w:tabs>
          <w:tab w:val="left" w:pos="393"/>
        </w:tabs>
        <w:spacing w:before="185" w:line="276" w:lineRule="auto"/>
        <w:ind w:right="135" w:firstLine="0"/>
        <w:jc w:val="both"/>
      </w:pPr>
      <w:r>
        <w:t>Improve the availability of multilingual, LGBTQ-affirming services for foreign-born residents, and increase funding for existing programs.</w:t>
      </w:r>
    </w:p>
    <w:p w:rsidR="00200FDA" w:rsidRDefault="00F76C4C">
      <w:pPr>
        <w:pStyle w:val="BodyText"/>
        <w:spacing w:before="119" w:line="276" w:lineRule="auto"/>
        <w:ind w:left="139" w:right="134"/>
        <w:jc w:val="both"/>
      </w:pPr>
      <w:r>
        <w:t>The Commission recommends that the state increase and improve its current service provision for immigrants, refugees,</w:t>
      </w:r>
      <w:r>
        <w:t xml:space="preserve"> and asylees who are LGBTQ. As explored below, while very little state-specific research and data exists, there remains a great need for affirming services, particularly in the areas of mental health care and housing support. It is clear that organizations</w:t>
      </w:r>
      <w:r>
        <w:t xml:space="preserve"> currently working to serve LGBTQ immigrant, refugee, and asylee populations have limited capacity and funding to meet the demand for their services. For example, the LGBT Asylum Task Force, based in Worcester, is one of very few LGBTQ- specific</w:t>
      </w:r>
      <w:r>
        <w:rPr>
          <w:spacing w:val="-7"/>
        </w:rPr>
        <w:t xml:space="preserve"> </w:t>
      </w:r>
      <w:r>
        <w:t>asylum</w:t>
      </w:r>
      <w:r>
        <w:rPr>
          <w:spacing w:val="-5"/>
        </w:rPr>
        <w:t xml:space="preserve"> </w:t>
      </w:r>
      <w:r>
        <w:t>see</w:t>
      </w:r>
      <w:r>
        <w:t>ker</w:t>
      </w:r>
      <w:r>
        <w:rPr>
          <w:spacing w:val="-7"/>
        </w:rPr>
        <w:t xml:space="preserve"> </w:t>
      </w:r>
      <w:r>
        <w:t>support</w:t>
      </w:r>
      <w:r>
        <w:rPr>
          <w:spacing w:val="-6"/>
        </w:rPr>
        <w:t xml:space="preserve"> </w:t>
      </w:r>
      <w:r>
        <w:t>programs</w:t>
      </w:r>
      <w:r>
        <w:rPr>
          <w:spacing w:val="-7"/>
        </w:rPr>
        <w:t xml:space="preserve"> </w:t>
      </w:r>
      <w:r>
        <w:t>in</w:t>
      </w:r>
      <w:r>
        <w:rPr>
          <w:spacing w:val="-7"/>
        </w:rPr>
        <w:t xml:space="preserve"> </w:t>
      </w:r>
      <w:r>
        <w:t>the</w:t>
      </w:r>
      <w:r>
        <w:rPr>
          <w:spacing w:val="-6"/>
        </w:rPr>
        <w:t xml:space="preserve"> </w:t>
      </w:r>
      <w:r>
        <w:t>whole</w:t>
      </w:r>
      <w:r>
        <w:rPr>
          <w:spacing w:val="-8"/>
        </w:rPr>
        <w:t xml:space="preserve"> </w:t>
      </w:r>
      <w:r>
        <w:t>of</w:t>
      </w:r>
      <w:r>
        <w:rPr>
          <w:spacing w:val="-7"/>
        </w:rPr>
        <w:t xml:space="preserve"> </w:t>
      </w:r>
      <w:r>
        <w:t>the</w:t>
      </w:r>
      <w:r>
        <w:rPr>
          <w:spacing w:val="-6"/>
        </w:rPr>
        <w:t xml:space="preserve"> </w:t>
      </w:r>
      <w:r>
        <w:t>United</w:t>
      </w:r>
      <w:r>
        <w:rPr>
          <w:spacing w:val="-7"/>
        </w:rPr>
        <w:t xml:space="preserve"> </w:t>
      </w:r>
      <w:r>
        <w:t>States,</w:t>
      </w:r>
      <w:r>
        <w:rPr>
          <w:spacing w:val="-7"/>
        </w:rPr>
        <w:t xml:space="preserve"> </w:t>
      </w:r>
      <w:r>
        <w:t>and</w:t>
      </w:r>
      <w:r>
        <w:rPr>
          <w:spacing w:val="-7"/>
        </w:rPr>
        <w:t xml:space="preserve"> </w:t>
      </w:r>
      <w:r>
        <w:t>provides</w:t>
      </w:r>
      <w:r>
        <w:rPr>
          <w:spacing w:val="-7"/>
        </w:rPr>
        <w:t xml:space="preserve"> </w:t>
      </w:r>
      <w:r>
        <w:t>long-term</w:t>
      </w:r>
      <w:r>
        <w:rPr>
          <w:spacing w:val="-5"/>
        </w:rPr>
        <w:t xml:space="preserve"> </w:t>
      </w:r>
      <w:r>
        <w:t>rental assistance to asylum seekers who by law cannot work for at least 180 days after entering the U.S.</w:t>
      </w:r>
    </w:p>
    <w:p w:rsidR="00200FDA" w:rsidRDefault="00F76C4C">
      <w:pPr>
        <w:pStyle w:val="BodyText"/>
        <w:spacing w:before="121" w:line="276" w:lineRule="auto"/>
        <w:ind w:left="139" w:right="134"/>
        <w:jc w:val="both"/>
      </w:pPr>
      <w:r>
        <w:t>Furthermore,</w:t>
      </w:r>
      <w:r>
        <w:rPr>
          <w:spacing w:val="-5"/>
        </w:rPr>
        <w:t xml:space="preserve"> </w:t>
      </w:r>
      <w:r>
        <w:t>the</w:t>
      </w:r>
      <w:r>
        <w:rPr>
          <w:spacing w:val="-5"/>
        </w:rPr>
        <w:t xml:space="preserve"> </w:t>
      </w:r>
      <w:r>
        <w:t>Commission</w:t>
      </w:r>
      <w:r>
        <w:rPr>
          <w:spacing w:val="-4"/>
        </w:rPr>
        <w:t xml:space="preserve"> </w:t>
      </w:r>
      <w:r>
        <w:t>recommends</w:t>
      </w:r>
      <w:r>
        <w:rPr>
          <w:spacing w:val="-3"/>
        </w:rPr>
        <w:t xml:space="preserve"> </w:t>
      </w:r>
      <w:r>
        <w:t>that</w:t>
      </w:r>
      <w:r>
        <w:rPr>
          <w:spacing w:val="-2"/>
        </w:rPr>
        <w:t xml:space="preserve"> </w:t>
      </w:r>
      <w:r>
        <w:t>state</w:t>
      </w:r>
      <w:r>
        <w:rPr>
          <w:spacing w:val="-5"/>
        </w:rPr>
        <w:t xml:space="preserve"> </w:t>
      </w:r>
      <w:r>
        <w:t>agencies,</w:t>
      </w:r>
      <w:r>
        <w:rPr>
          <w:spacing w:val="-5"/>
        </w:rPr>
        <w:t xml:space="preserve"> </w:t>
      </w:r>
      <w:r>
        <w:t>nonprofit</w:t>
      </w:r>
      <w:r>
        <w:rPr>
          <w:spacing w:val="-5"/>
        </w:rPr>
        <w:t xml:space="preserve"> </w:t>
      </w:r>
      <w:r>
        <w:t>organizations,</w:t>
      </w:r>
      <w:r>
        <w:rPr>
          <w:spacing w:val="-3"/>
        </w:rPr>
        <w:t xml:space="preserve"> </w:t>
      </w:r>
      <w:r>
        <w:t>and</w:t>
      </w:r>
      <w:r>
        <w:rPr>
          <w:spacing w:val="-4"/>
        </w:rPr>
        <w:t xml:space="preserve"> </w:t>
      </w:r>
      <w:r>
        <w:t>community programs</w:t>
      </w:r>
      <w:r>
        <w:rPr>
          <w:spacing w:val="-3"/>
        </w:rPr>
        <w:t xml:space="preserve"> </w:t>
      </w:r>
      <w:r>
        <w:t>examine their</w:t>
      </w:r>
      <w:r>
        <w:rPr>
          <w:spacing w:val="-4"/>
        </w:rPr>
        <w:t xml:space="preserve"> </w:t>
      </w:r>
      <w:r>
        <w:t>outreach</w:t>
      </w:r>
      <w:r>
        <w:rPr>
          <w:spacing w:val="-2"/>
        </w:rPr>
        <w:t xml:space="preserve"> </w:t>
      </w:r>
      <w:r>
        <w:t>and</w:t>
      </w:r>
      <w:r>
        <w:rPr>
          <w:spacing w:val="-4"/>
        </w:rPr>
        <w:t xml:space="preserve"> </w:t>
      </w:r>
      <w:r>
        <w:t>accessibility</w:t>
      </w:r>
      <w:r>
        <w:rPr>
          <w:spacing w:val="-2"/>
        </w:rPr>
        <w:t xml:space="preserve"> </w:t>
      </w:r>
      <w:r>
        <w:t>for</w:t>
      </w:r>
      <w:r>
        <w:rPr>
          <w:spacing w:val="-6"/>
        </w:rPr>
        <w:t xml:space="preserve"> </w:t>
      </w:r>
      <w:r>
        <w:t>LGBTQ</w:t>
      </w:r>
      <w:r>
        <w:rPr>
          <w:spacing w:val="-3"/>
        </w:rPr>
        <w:t xml:space="preserve"> </w:t>
      </w:r>
      <w:r>
        <w:t>residents</w:t>
      </w:r>
      <w:r>
        <w:rPr>
          <w:spacing w:val="-3"/>
        </w:rPr>
        <w:t xml:space="preserve"> </w:t>
      </w:r>
      <w:r>
        <w:t>who</w:t>
      </w:r>
      <w:r>
        <w:rPr>
          <w:spacing w:val="-4"/>
        </w:rPr>
        <w:t xml:space="preserve"> </w:t>
      </w:r>
      <w:r>
        <w:t>may</w:t>
      </w:r>
      <w:r>
        <w:rPr>
          <w:spacing w:val="-5"/>
        </w:rPr>
        <w:t xml:space="preserve"> </w:t>
      </w:r>
      <w:r>
        <w:t>not be</w:t>
      </w:r>
      <w:r>
        <w:rPr>
          <w:spacing w:val="-3"/>
        </w:rPr>
        <w:t xml:space="preserve"> </w:t>
      </w:r>
      <w:r>
        <w:t>fluent</w:t>
      </w:r>
      <w:r>
        <w:rPr>
          <w:spacing w:val="-3"/>
        </w:rPr>
        <w:t xml:space="preserve"> </w:t>
      </w:r>
      <w:r>
        <w:t>in</w:t>
      </w:r>
      <w:r>
        <w:rPr>
          <w:spacing w:val="-2"/>
        </w:rPr>
        <w:t xml:space="preserve"> </w:t>
      </w:r>
      <w:r>
        <w:t xml:space="preserve">English. The Commission supports </w:t>
      </w:r>
      <w:r>
        <w:rPr>
          <w:i/>
        </w:rPr>
        <w:t>An Act Relative to Language Access and Inclusion</w:t>
      </w:r>
      <w:r>
        <w:t>, (</w:t>
      </w:r>
      <w:hyperlink r:id="rId669">
        <w:r>
          <w:rPr>
            <w:color w:val="1154CC"/>
            <w:u w:val="single" w:color="1154CC"/>
          </w:rPr>
          <w:t>S.1990</w:t>
        </w:r>
      </w:hyperlink>
      <w:r>
        <w:t>/</w:t>
      </w:r>
      <w:hyperlink r:id="rId670">
        <w:r>
          <w:rPr>
            <w:color w:val="1154CC"/>
            <w:u w:val="single" w:color="1154CC"/>
          </w:rPr>
          <w:t>H.3084</w:t>
        </w:r>
      </w:hyperlink>
      <w:r>
        <w:t>), which would</w:t>
      </w:r>
      <w:r>
        <w:rPr>
          <w:spacing w:val="-12"/>
        </w:rPr>
        <w:t xml:space="preserve"> </w:t>
      </w:r>
      <w:r>
        <w:t>require</w:t>
      </w:r>
      <w:r>
        <w:rPr>
          <w:spacing w:val="-11"/>
        </w:rPr>
        <w:t xml:space="preserve"> </w:t>
      </w:r>
      <w:r>
        <w:t>state</w:t>
      </w:r>
      <w:r>
        <w:rPr>
          <w:spacing w:val="-11"/>
        </w:rPr>
        <w:t xml:space="preserve"> </w:t>
      </w:r>
      <w:r>
        <w:t>agencies</w:t>
      </w:r>
      <w:r>
        <w:rPr>
          <w:spacing w:val="-11"/>
        </w:rPr>
        <w:t xml:space="preserve"> </w:t>
      </w:r>
      <w:r>
        <w:t>to</w:t>
      </w:r>
      <w:r>
        <w:rPr>
          <w:spacing w:val="-10"/>
        </w:rPr>
        <w:t xml:space="preserve"> </w:t>
      </w:r>
      <w:r>
        <w:t>provide</w:t>
      </w:r>
      <w:r>
        <w:rPr>
          <w:spacing w:val="-11"/>
        </w:rPr>
        <w:t xml:space="preserve"> </w:t>
      </w:r>
      <w:r>
        <w:t>public</w:t>
      </w:r>
      <w:r>
        <w:rPr>
          <w:spacing w:val="-11"/>
        </w:rPr>
        <w:t xml:space="preserve"> </w:t>
      </w:r>
      <w:r>
        <w:t>materials</w:t>
      </w:r>
      <w:r>
        <w:rPr>
          <w:spacing w:val="-9"/>
        </w:rPr>
        <w:t xml:space="preserve"> </w:t>
      </w:r>
      <w:r>
        <w:t>and</w:t>
      </w:r>
      <w:r>
        <w:rPr>
          <w:spacing w:val="-10"/>
        </w:rPr>
        <w:t xml:space="preserve"> </w:t>
      </w:r>
      <w:r>
        <w:t>information</w:t>
      </w:r>
      <w:r>
        <w:rPr>
          <w:spacing w:val="-10"/>
        </w:rPr>
        <w:t xml:space="preserve"> </w:t>
      </w:r>
      <w:r>
        <w:t>in</w:t>
      </w:r>
      <w:r>
        <w:rPr>
          <w:spacing w:val="-12"/>
        </w:rPr>
        <w:t xml:space="preserve"> </w:t>
      </w:r>
      <w:r>
        <w:t>the</w:t>
      </w:r>
      <w:r>
        <w:rPr>
          <w:spacing w:val="-11"/>
        </w:rPr>
        <w:t xml:space="preserve"> </w:t>
      </w:r>
      <w:r>
        <w:t>primary</w:t>
      </w:r>
      <w:r>
        <w:rPr>
          <w:spacing w:val="-11"/>
        </w:rPr>
        <w:t xml:space="preserve"> </w:t>
      </w:r>
      <w:r>
        <w:t>languages</w:t>
      </w:r>
      <w:r>
        <w:rPr>
          <w:spacing w:val="-11"/>
        </w:rPr>
        <w:t xml:space="preserve"> </w:t>
      </w:r>
      <w:r>
        <w:t>spoken by Massachusetts residents aside from English. Additionally, to avoid unnecessary obstacles, service providers should ensure that forms are clear to non-native English speakers, and that ID or citizenship information is not required to access servic</w:t>
      </w:r>
      <w:r>
        <w:t>es not dependent on immigration status. Organizations can also improve accessibility by hiring and appropriately compensating bilingual staff, providing materials and signs in multiple languages, and fostering relationships with interpreting services to im</w:t>
      </w:r>
      <w:r>
        <w:t>prove service provision for non-English-speaking clients.</w:t>
      </w:r>
    </w:p>
    <w:p w:rsidR="00200FDA" w:rsidRDefault="00200FDA">
      <w:pPr>
        <w:spacing w:line="276" w:lineRule="auto"/>
        <w:jc w:val="both"/>
        <w:sectPr w:rsidR="00200FDA">
          <w:headerReference w:type="default" r:id="rId671"/>
          <w:footerReference w:type="default" r:id="rId672"/>
          <w:pgSz w:w="12240" w:h="15840"/>
          <w:pgMar w:top="1360" w:right="1300" w:bottom="1240" w:left="1300" w:header="763" w:footer="1043" w:gutter="0"/>
          <w:pgNumType w:start="156"/>
          <w:cols w:space="720"/>
        </w:sectPr>
      </w:pPr>
    </w:p>
    <w:p w:rsidR="00200FDA" w:rsidRDefault="00F76C4C">
      <w:pPr>
        <w:pStyle w:val="Heading9"/>
        <w:numPr>
          <w:ilvl w:val="0"/>
          <w:numId w:val="26"/>
        </w:numPr>
        <w:tabs>
          <w:tab w:val="left" w:pos="361"/>
        </w:tabs>
        <w:spacing w:before="64"/>
        <w:ind w:left="360" w:hanging="221"/>
      </w:pPr>
      <w:r>
        <w:lastRenderedPageBreak/>
        <w:t>Establish</w:t>
      </w:r>
      <w:r>
        <w:rPr>
          <w:spacing w:val="-6"/>
        </w:rPr>
        <w:t xml:space="preserve"> </w:t>
      </w:r>
      <w:r>
        <w:t>an</w:t>
      </w:r>
      <w:r>
        <w:rPr>
          <w:spacing w:val="-4"/>
        </w:rPr>
        <w:t xml:space="preserve"> </w:t>
      </w:r>
      <w:r>
        <w:t>LGBTQ</w:t>
      </w:r>
      <w:r>
        <w:rPr>
          <w:spacing w:val="-6"/>
        </w:rPr>
        <w:t xml:space="preserve"> </w:t>
      </w:r>
      <w:r>
        <w:t>Immigrant</w:t>
      </w:r>
      <w:r>
        <w:rPr>
          <w:spacing w:val="-4"/>
        </w:rPr>
        <w:t xml:space="preserve"> </w:t>
      </w:r>
      <w:r>
        <w:t>&amp;</w:t>
      </w:r>
      <w:r>
        <w:rPr>
          <w:spacing w:val="-5"/>
        </w:rPr>
        <w:t xml:space="preserve"> </w:t>
      </w:r>
      <w:r>
        <w:t>Refugee</w:t>
      </w:r>
      <w:r>
        <w:rPr>
          <w:spacing w:val="-4"/>
        </w:rPr>
        <w:t xml:space="preserve"> </w:t>
      </w:r>
      <w:r>
        <w:t>Task</w:t>
      </w:r>
      <w:r>
        <w:rPr>
          <w:spacing w:val="-5"/>
        </w:rPr>
        <w:t xml:space="preserve"> </w:t>
      </w:r>
      <w:r>
        <w:rPr>
          <w:spacing w:val="-2"/>
        </w:rPr>
        <w:t>Force.</w:t>
      </w:r>
    </w:p>
    <w:p w:rsidR="00200FDA" w:rsidRDefault="00F76C4C">
      <w:pPr>
        <w:pStyle w:val="BodyText"/>
        <w:spacing w:before="161" w:line="276" w:lineRule="auto"/>
        <w:ind w:left="139" w:right="133"/>
        <w:jc w:val="both"/>
      </w:pPr>
      <w:r>
        <w:t>The</w:t>
      </w:r>
      <w:r>
        <w:rPr>
          <w:spacing w:val="-13"/>
        </w:rPr>
        <w:t xml:space="preserve"> </w:t>
      </w:r>
      <w:r>
        <w:t>Commission</w:t>
      </w:r>
      <w:r>
        <w:rPr>
          <w:spacing w:val="-11"/>
        </w:rPr>
        <w:t xml:space="preserve"> </w:t>
      </w:r>
      <w:r>
        <w:t>recommends</w:t>
      </w:r>
      <w:r>
        <w:rPr>
          <w:spacing w:val="-11"/>
        </w:rPr>
        <w:t xml:space="preserve"> </w:t>
      </w:r>
      <w:r>
        <w:t>that</w:t>
      </w:r>
      <w:r>
        <w:rPr>
          <w:spacing w:val="-11"/>
        </w:rPr>
        <w:t xml:space="preserve"> </w:t>
      </w:r>
      <w:r>
        <w:t>Massachusetts</w:t>
      </w:r>
      <w:r>
        <w:rPr>
          <w:spacing w:val="-13"/>
        </w:rPr>
        <w:t xml:space="preserve"> </w:t>
      </w:r>
      <w:r>
        <w:t>explore</w:t>
      </w:r>
      <w:r>
        <w:rPr>
          <w:spacing w:val="-10"/>
        </w:rPr>
        <w:t xml:space="preserve"> </w:t>
      </w:r>
      <w:r>
        <w:t>the</w:t>
      </w:r>
      <w:r>
        <w:rPr>
          <w:spacing w:val="-13"/>
        </w:rPr>
        <w:t xml:space="preserve"> </w:t>
      </w:r>
      <w:r>
        <w:t>creation</w:t>
      </w:r>
      <w:r>
        <w:rPr>
          <w:spacing w:val="-11"/>
        </w:rPr>
        <w:t xml:space="preserve"> </w:t>
      </w:r>
      <w:r>
        <w:t>of</w:t>
      </w:r>
      <w:r>
        <w:rPr>
          <w:spacing w:val="-12"/>
        </w:rPr>
        <w:t xml:space="preserve"> </w:t>
      </w:r>
      <w:r>
        <w:t>an</w:t>
      </w:r>
      <w:r>
        <w:rPr>
          <w:spacing w:val="-13"/>
        </w:rPr>
        <w:t xml:space="preserve"> </w:t>
      </w:r>
      <w:r>
        <w:t>LGBTQ</w:t>
      </w:r>
      <w:r>
        <w:rPr>
          <w:spacing w:val="-10"/>
        </w:rPr>
        <w:t xml:space="preserve"> </w:t>
      </w:r>
      <w:r>
        <w:t>Immigrant</w:t>
      </w:r>
      <w:r>
        <w:rPr>
          <w:spacing w:val="-11"/>
        </w:rPr>
        <w:t xml:space="preserve"> </w:t>
      </w:r>
      <w:r>
        <w:t>&amp;</w:t>
      </w:r>
      <w:r>
        <w:rPr>
          <w:spacing w:val="-13"/>
        </w:rPr>
        <w:t xml:space="preserve"> </w:t>
      </w:r>
      <w:r>
        <w:t>Refugee Task Force composed of LGBTQ refugees, families, first-generation youth, and advocates to inform services at the state and local levels. As demonstrated for three decades by the Commission, having a dedicated</w:t>
      </w:r>
      <w:r>
        <w:rPr>
          <w:spacing w:val="-10"/>
        </w:rPr>
        <w:t xml:space="preserve"> </w:t>
      </w:r>
      <w:r>
        <w:t>voice</w:t>
      </w:r>
      <w:r>
        <w:rPr>
          <w:spacing w:val="-8"/>
        </w:rPr>
        <w:t xml:space="preserve"> </w:t>
      </w:r>
      <w:r>
        <w:t>at</w:t>
      </w:r>
      <w:r>
        <w:rPr>
          <w:spacing w:val="-9"/>
        </w:rPr>
        <w:t xml:space="preserve"> </w:t>
      </w:r>
      <w:r>
        <w:t>the</w:t>
      </w:r>
      <w:r>
        <w:rPr>
          <w:spacing w:val="-6"/>
        </w:rPr>
        <w:t xml:space="preserve"> </w:t>
      </w:r>
      <w:r>
        <w:t>state</w:t>
      </w:r>
      <w:r>
        <w:rPr>
          <w:spacing w:val="-6"/>
        </w:rPr>
        <w:t xml:space="preserve"> </w:t>
      </w:r>
      <w:r>
        <w:t>le</w:t>
      </w:r>
      <w:r>
        <w:t>vel</w:t>
      </w:r>
      <w:r>
        <w:rPr>
          <w:spacing w:val="-9"/>
        </w:rPr>
        <w:t xml:space="preserve"> </w:t>
      </w:r>
      <w:r>
        <w:t>to</w:t>
      </w:r>
      <w:r>
        <w:rPr>
          <w:spacing w:val="-10"/>
        </w:rPr>
        <w:t xml:space="preserve"> </w:t>
      </w:r>
      <w:r>
        <w:t>oversee</w:t>
      </w:r>
      <w:r>
        <w:rPr>
          <w:spacing w:val="-8"/>
        </w:rPr>
        <w:t xml:space="preserve"> </w:t>
      </w:r>
      <w:r>
        <w:t>policy</w:t>
      </w:r>
      <w:r>
        <w:rPr>
          <w:spacing w:val="-6"/>
        </w:rPr>
        <w:t xml:space="preserve"> </w:t>
      </w:r>
      <w:r>
        <w:t>development</w:t>
      </w:r>
      <w:r>
        <w:rPr>
          <w:spacing w:val="-6"/>
        </w:rPr>
        <w:t xml:space="preserve"> </w:t>
      </w:r>
      <w:r>
        <w:t>and</w:t>
      </w:r>
      <w:r>
        <w:rPr>
          <w:spacing w:val="-7"/>
        </w:rPr>
        <w:t xml:space="preserve"> </w:t>
      </w:r>
      <w:r>
        <w:t>service</w:t>
      </w:r>
      <w:r>
        <w:rPr>
          <w:spacing w:val="-6"/>
        </w:rPr>
        <w:t xml:space="preserve"> </w:t>
      </w:r>
      <w:r>
        <w:t>improvement</w:t>
      </w:r>
      <w:r>
        <w:rPr>
          <w:spacing w:val="-6"/>
        </w:rPr>
        <w:t xml:space="preserve"> </w:t>
      </w:r>
      <w:r>
        <w:t>is</w:t>
      </w:r>
      <w:r>
        <w:rPr>
          <w:spacing w:val="-9"/>
        </w:rPr>
        <w:t xml:space="preserve"> </w:t>
      </w:r>
      <w:r>
        <w:t>essential.</w:t>
      </w:r>
      <w:r>
        <w:rPr>
          <w:spacing w:val="-7"/>
        </w:rPr>
        <w:t xml:space="preserve"> </w:t>
      </w:r>
      <w:r>
        <w:t>By establishing a specific task force, those who are often left without a voice in Massachusetts decision- making are able to influence effective change.</w:t>
      </w:r>
    </w:p>
    <w:p w:rsidR="00200FDA" w:rsidRDefault="00200FDA">
      <w:pPr>
        <w:pStyle w:val="BodyText"/>
        <w:spacing w:before="1"/>
        <w:rPr>
          <w:sz w:val="25"/>
        </w:rPr>
      </w:pPr>
    </w:p>
    <w:p w:rsidR="00200FDA" w:rsidRDefault="00F76C4C">
      <w:pPr>
        <w:pStyle w:val="Heading9"/>
        <w:numPr>
          <w:ilvl w:val="0"/>
          <w:numId w:val="26"/>
        </w:numPr>
        <w:tabs>
          <w:tab w:val="left" w:pos="361"/>
        </w:tabs>
        <w:ind w:left="360" w:hanging="222"/>
      </w:pPr>
      <w:r>
        <w:t>Address</w:t>
      </w:r>
      <w:r>
        <w:rPr>
          <w:spacing w:val="-5"/>
        </w:rPr>
        <w:t xml:space="preserve"> </w:t>
      </w:r>
      <w:r>
        <w:t>the</w:t>
      </w:r>
      <w:r>
        <w:rPr>
          <w:spacing w:val="-6"/>
        </w:rPr>
        <w:t xml:space="preserve"> </w:t>
      </w:r>
      <w:r>
        <w:t>concerning</w:t>
      </w:r>
      <w:r>
        <w:rPr>
          <w:spacing w:val="-4"/>
        </w:rPr>
        <w:t xml:space="preserve"> </w:t>
      </w:r>
      <w:r>
        <w:t>lack</w:t>
      </w:r>
      <w:r>
        <w:rPr>
          <w:spacing w:val="-3"/>
        </w:rPr>
        <w:t xml:space="preserve"> </w:t>
      </w:r>
      <w:r>
        <w:t>of</w:t>
      </w:r>
      <w:r>
        <w:rPr>
          <w:spacing w:val="-3"/>
        </w:rPr>
        <w:t xml:space="preserve"> </w:t>
      </w:r>
      <w:r>
        <w:t>SOGIE</w:t>
      </w:r>
      <w:r>
        <w:rPr>
          <w:spacing w:val="-5"/>
        </w:rPr>
        <w:t xml:space="preserve"> </w:t>
      </w:r>
      <w:r>
        <w:t>data</w:t>
      </w:r>
      <w:r>
        <w:rPr>
          <w:spacing w:val="-4"/>
        </w:rPr>
        <w:t xml:space="preserve"> </w:t>
      </w:r>
      <w:r>
        <w:t>collection</w:t>
      </w:r>
      <w:r>
        <w:rPr>
          <w:spacing w:val="-4"/>
        </w:rPr>
        <w:t xml:space="preserve"> </w:t>
      </w:r>
      <w:r>
        <w:t>at</w:t>
      </w:r>
      <w:r>
        <w:rPr>
          <w:spacing w:val="-3"/>
        </w:rPr>
        <w:t xml:space="preserve"> </w:t>
      </w:r>
      <w:r>
        <w:t>the</w:t>
      </w:r>
      <w:r>
        <w:rPr>
          <w:spacing w:val="-3"/>
        </w:rPr>
        <w:t xml:space="preserve"> </w:t>
      </w:r>
      <w:r>
        <w:t>state</w:t>
      </w:r>
      <w:r>
        <w:rPr>
          <w:spacing w:val="-4"/>
        </w:rPr>
        <w:t xml:space="preserve"> </w:t>
      </w:r>
      <w:r>
        <w:rPr>
          <w:spacing w:val="-2"/>
        </w:rPr>
        <w:t>level.</w:t>
      </w:r>
    </w:p>
    <w:p w:rsidR="00200FDA" w:rsidRDefault="00F76C4C">
      <w:pPr>
        <w:pStyle w:val="BodyText"/>
        <w:spacing w:before="162" w:line="276" w:lineRule="auto"/>
        <w:ind w:left="139" w:right="134"/>
        <w:jc w:val="both"/>
      </w:pPr>
      <w:r>
        <w:t>As the Commission works to better understand the experiences of foreign-born LGBTQ youth in Massachusetts, the staggering lack of available data and research at the local, state, and national levels presents</w:t>
      </w:r>
      <w:r>
        <w:rPr>
          <w:spacing w:val="-2"/>
        </w:rPr>
        <w:t xml:space="preserve"> </w:t>
      </w:r>
      <w:r>
        <w:t>a significant</w:t>
      </w:r>
      <w:r>
        <w:rPr>
          <w:spacing w:val="-1"/>
        </w:rPr>
        <w:t xml:space="preserve"> </w:t>
      </w:r>
      <w:r>
        <w:t>barrier. The</w:t>
      </w:r>
      <w:r>
        <w:rPr>
          <w:spacing w:val="-1"/>
        </w:rPr>
        <w:t xml:space="preserve"> </w:t>
      </w:r>
      <w:r>
        <w:t>Commission</w:t>
      </w:r>
      <w:r>
        <w:rPr>
          <w:spacing w:val="-3"/>
        </w:rPr>
        <w:t xml:space="preserve"> </w:t>
      </w:r>
      <w:r>
        <w:t>strongly recommends</w:t>
      </w:r>
      <w:r>
        <w:rPr>
          <w:spacing w:val="-2"/>
        </w:rPr>
        <w:t xml:space="preserve"> </w:t>
      </w:r>
      <w:r>
        <w:t>that</w:t>
      </w:r>
      <w:r>
        <w:rPr>
          <w:spacing w:val="-1"/>
        </w:rPr>
        <w:t xml:space="preserve"> </w:t>
      </w:r>
      <w:r>
        <w:t>all state agencies</w:t>
      </w:r>
      <w:r>
        <w:rPr>
          <w:spacing w:val="-2"/>
        </w:rPr>
        <w:t xml:space="preserve"> </w:t>
      </w:r>
      <w:r>
        <w:t>explore</w:t>
      </w:r>
      <w:r>
        <w:rPr>
          <w:spacing w:val="-1"/>
        </w:rPr>
        <w:t xml:space="preserve"> </w:t>
      </w:r>
      <w:r>
        <w:t>ways to</w:t>
      </w:r>
      <w:r>
        <w:rPr>
          <w:spacing w:val="-10"/>
        </w:rPr>
        <w:t xml:space="preserve"> </w:t>
      </w:r>
      <w:r>
        <w:t>increase</w:t>
      </w:r>
      <w:r>
        <w:rPr>
          <w:spacing w:val="-8"/>
        </w:rPr>
        <w:t xml:space="preserve"> </w:t>
      </w:r>
      <w:r>
        <w:t>their</w:t>
      </w:r>
      <w:r>
        <w:rPr>
          <w:spacing w:val="-9"/>
        </w:rPr>
        <w:t xml:space="preserve"> </w:t>
      </w:r>
      <w:r>
        <w:t>data</w:t>
      </w:r>
      <w:r>
        <w:rPr>
          <w:spacing w:val="-9"/>
        </w:rPr>
        <w:t xml:space="preserve"> </w:t>
      </w:r>
      <w:r>
        <w:t>collection</w:t>
      </w:r>
      <w:r>
        <w:rPr>
          <w:spacing w:val="-10"/>
        </w:rPr>
        <w:t xml:space="preserve"> </w:t>
      </w:r>
      <w:r>
        <w:t>and</w:t>
      </w:r>
      <w:r>
        <w:rPr>
          <w:spacing w:val="-12"/>
        </w:rPr>
        <w:t xml:space="preserve"> </w:t>
      </w:r>
      <w:r>
        <w:t>outreach</w:t>
      </w:r>
      <w:r>
        <w:rPr>
          <w:spacing w:val="-12"/>
        </w:rPr>
        <w:t xml:space="preserve"> </w:t>
      </w:r>
      <w:r>
        <w:t>efforts</w:t>
      </w:r>
      <w:r>
        <w:rPr>
          <w:spacing w:val="-11"/>
        </w:rPr>
        <w:t xml:space="preserve"> </w:t>
      </w:r>
      <w:r>
        <w:t>to</w:t>
      </w:r>
      <w:r>
        <w:rPr>
          <w:spacing w:val="-10"/>
        </w:rPr>
        <w:t xml:space="preserve"> </w:t>
      </w:r>
      <w:r>
        <w:t>better</w:t>
      </w:r>
      <w:r>
        <w:rPr>
          <w:spacing w:val="-12"/>
        </w:rPr>
        <w:t xml:space="preserve"> </w:t>
      </w:r>
      <w:r>
        <w:t>capture</w:t>
      </w:r>
      <w:r>
        <w:rPr>
          <w:spacing w:val="-11"/>
        </w:rPr>
        <w:t xml:space="preserve"> </w:t>
      </w:r>
      <w:r>
        <w:t>the</w:t>
      </w:r>
      <w:r>
        <w:rPr>
          <w:spacing w:val="-11"/>
        </w:rPr>
        <w:t xml:space="preserve"> </w:t>
      </w:r>
      <w:r>
        <w:t>experiences</w:t>
      </w:r>
      <w:r>
        <w:rPr>
          <w:spacing w:val="-11"/>
        </w:rPr>
        <w:t xml:space="preserve"> </w:t>
      </w:r>
      <w:r>
        <w:t>of</w:t>
      </w:r>
      <w:r>
        <w:rPr>
          <w:spacing w:val="-12"/>
        </w:rPr>
        <w:t xml:space="preserve"> </w:t>
      </w:r>
      <w:r>
        <w:t>all</w:t>
      </w:r>
      <w:r>
        <w:rPr>
          <w:spacing w:val="-12"/>
        </w:rPr>
        <w:t xml:space="preserve"> </w:t>
      </w:r>
      <w:r>
        <w:t>LGBTQ</w:t>
      </w:r>
      <w:r>
        <w:rPr>
          <w:spacing w:val="-13"/>
        </w:rPr>
        <w:t xml:space="preserve"> </w:t>
      </w:r>
      <w:r>
        <w:t>youth across the state.</w:t>
      </w:r>
    </w:p>
    <w:p w:rsidR="00200FDA" w:rsidRDefault="00200FDA">
      <w:pPr>
        <w:pStyle w:val="BodyText"/>
        <w:spacing w:before="2"/>
        <w:rPr>
          <w:sz w:val="25"/>
        </w:rPr>
      </w:pPr>
    </w:p>
    <w:p w:rsidR="00200FDA" w:rsidRDefault="00F76C4C">
      <w:pPr>
        <w:pStyle w:val="Heading9"/>
        <w:numPr>
          <w:ilvl w:val="0"/>
          <w:numId w:val="26"/>
        </w:numPr>
        <w:tabs>
          <w:tab w:val="left" w:pos="361"/>
        </w:tabs>
        <w:spacing w:before="1"/>
        <w:ind w:left="360" w:hanging="222"/>
      </w:pPr>
      <w:r>
        <w:t>Protect</w:t>
      </w:r>
      <w:r>
        <w:rPr>
          <w:spacing w:val="-6"/>
        </w:rPr>
        <w:t xml:space="preserve"> </w:t>
      </w:r>
      <w:r>
        <w:t>and</w:t>
      </w:r>
      <w:r>
        <w:rPr>
          <w:spacing w:val="-5"/>
        </w:rPr>
        <w:t xml:space="preserve"> </w:t>
      </w:r>
      <w:r>
        <w:t>support</w:t>
      </w:r>
      <w:r>
        <w:rPr>
          <w:spacing w:val="-6"/>
        </w:rPr>
        <w:t xml:space="preserve"> </w:t>
      </w:r>
      <w:r>
        <w:t>undocumented</w:t>
      </w:r>
      <w:r>
        <w:rPr>
          <w:spacing w:val="-5"/>
        </w:rPr>
        <w:t xml:space="preserve"> </w:t>
      </w:r>
      <w:r>
        <w:rPr>
          <w:spacing w:val="-2"/>
        </w:rPr>
        <w:t>y</w:t>
      </w:r>
      <w:r>
        <w:rPr>
          <w:spacing w:val="-2"/>
        </w:rPr>
        <w:t>outh.</w:t>
      </w:r>
    </w:p>
    <w:p w:rsidR="00200FDA" w:rsidRDefault="00F76C4C">
      <w:pPr>
        <w:pStyle w:val="BodyText"/>
        <w:spacing w:before="161" w:line="276" w:lineRule="auto"/>
        <w:ind w:left="139" w:right="133"/>
        <w:jc w:val="both"/>
      </w:pPr>
      <w:r>
        <w:t>Increasingly, undocumented communities are being targeted across the country by federal, state, and local governments. The Commission recommends that Massachusetts continue to explore ways to increase</w:t>
      </w:r>
      <w:r>
        <w:rPr>
          <w:spacing w:val="-13"/>
        </w:rPr>
        <w:t xml:space="preserve"> </w:t>
      </w:r>
      <w:r>
        <w:t>protections</w:t>
      </w:r>
      <w:r>
        <w:rPr>
          <w:spacing w:val="-12"/>
        </w:rPr>
        <w:t xml:space="preserve"> </w:t>
      </w:r>
      <w:r>
        <w:t>and</w:t>
      </w:r>
      <w:r>
        <w:rPr>
          <w:spacing w:val="-13"/>
        </w:rPr>
        <w:t xml:space="preserve"> </w:t>
      </w:r>
      <w:r>
        <w:t>services</w:t>
      </w:r>
      <w:r>
        <w:rPr>
          <w:spacing w:val="-12"/>
        </w:rPr>
        <w:t xml:space="preserve"> </w:t>
      </w:r>
      <w:r>
        <w:t>for</w:t>
      </w:r>
      <w:r>
        <w:rPr>
          <w:spacing w:val="-13"/>
        </w:rPr>
        <w:t xml:space="preserve"> </w:t>
      </w:r>
      <w:r>
        <w:t>undocumented</w:t>
      </w:r>
      <w:r>
        <w:rPr>
          <w:spacing w:val="-12"/>
        </w:rPr>
        <w:t xml:space="preserve"> </w:t>
      </w:r>
      <w:r>
        <w:t>youth</w:t>
      </w:r>
      <w:r>
        <w:rPr>
          <w:spacing w:val="-13"/>
        </w:rPr>
        <w:t xml:space="preserve"> </w:t>
      </w:r>
      <w:r>
        <w:t>i</w:t>
      </w:r>
      <w:r>
        <w:t>n</w:t>
      </w:r>
      <w:r>
        <w:rPr>
          <w:spacing w:val="-12"/>
        </w:rPr>
        <w:t xml:space="preserve"> </w:t>
      </w:r>
      <w:r>
        <w:t>the</w:t>
      </w:r>
      <w:r>
        <w:rPr>
          <w:spacing w:val="-12"/>
        </w:rPr>
        <w:t xml:space="preserve"> </w:t>
      </w:r>
      <w:r>
        <w:t>Commonwealth.</w:t>
      </w:r>
      <w:r>
        <w:rPr>
          <w:spacing w:val="-13"/>
        </w:rPr>
        <w:t xml:space="preserve"> </w:t>
      </w:r>
      <w:r>
        <w:t>Over</w:t>
      </w:r>
      <w:r>
        <w:rPr>
          <w:spacing w:val="-12"/>
        </w:rPr>
        <w:t xml:space="preserve"> </w:t>
      </w:r>
      <w:r>
        <w:t>the</w:t>
      </w:r>
      <w:r>
        <w:rPr>
          <w:spacing w:val="-13"/>
        </w:rPr>
        <w:t xml:space="preserve"> </w:t>
      </w:r>
      <w:r>
        <w:t>last</w:t>
      </w:r>
      <w:r>
        <w:rPr>
          <w:spacing w:val="-12"/>
        </w:rPr>
        <w:t xml:space="preserve"> </w:t>
      </w:r>
      <w:r>
        <w:t>few</w:t>
      </w:r>
      <w:r>
        <w:rPr>
          <w:spacing w:val="-13"/>
        </w:rPr>
        <w:t xml:space="preserve"> </w:t>
      </w:r>
      <w:r>
        <w:t>years, the</w:t>
      </w:r>
      <w:r>
        <w:rPr>
          <w:spacing w:val="-4"/>
        </w:rPr>
        <w:t xml:space="preserve"> </w:t>
      </w:r>
      <w:r>
        <w:t>state</w:t>
      </w:r>
      <w:r>
        <w:rPr>
          <w:spacing w:val="-4"/>
        </w:rPr>
        <w:t xml:space="preserve"> </w:t>
      </w:r>
      <w:r>
        <w:t>has</w:t>
      </w:r>
      <w:r>
        <w:rPr>
          <w:spacing w:val="-7"/>
        </w:rPr>
        <w:t xml:space="preserve"> </w:t>
      </w:r>
      <w:r>
        <w:t>taken</w:t>
      </w:r>
      <w:r>
        <w:rPr>
          <w:spacing w:val="-5"/>
        </w:rPr>
        <w:t xml:space="preserve"> </w:t>
      </w:r>
      <w:r>
        <w:t>numerous</w:t>
      </w:r>
      <w:r>
        <w:rPr>
          <w:spacing w:val="-4"/>
        </w:rPr>
        <w:t xml:space="preserve"> </w:t>
      </w:r>
      <w:r>
        <w:t>steps</w:t>
      </w:r>
      <w:r>
        <w:rPr>
          <w:spacing w:val="-4"/>
        </w:rPr>
        <w:t xml:space="preserve"> </w:t>
      </w:r>
      <w:r>
        <w:t>that</w:t>
      </w:r>
      <w:r>
        <w:rPr>
          <w:spacing w:val="-6"/>
        </w:rPr>
        <w:t xml:space="preserve"> </w:t>
      </w:r>
      <w:r>
        <w:t>work</w:t>
      </w:r>
      <w:r>
        <w:rPr>
          <w:spacing w:val="-4"/>
        </w:rPr>
        <w:t xml:space="preserve"> </w:t>
      </w:r>
      <w:r>
        <w:t>to</w:t>
      </w:r>
      <w:r>
        <w:rPr>
          <w:spacing w:val="-3"/>
        </w:rPr>
        <w:t xml:space="preserve"> </w:t>
      </w:r>
      <w:r>
        <w:t>address</w:t>
      </w:r>
      <w:r>
        <w:rPr>
          <w:spacing w:val="-4"/>
        </w:rPr>
        <w:t xml:space="preserve"> </w:t>
      </w:r>
      <w:r>
        <w:t>and</w:t>
      </w:r>
      <w:r>
        <w:rPr>
          <w:spacing w:val="-5"/>
        </w:rPr>
        <w:t xml:space="preserve"> </w:t>
      </w:r>
      <w:r>
        <w:t>improve</w:t>
      </w:r>
      <w:r>
        <w:rPr>
          <w:spacing w:val="-4"/>
        </w:rPr>
        <w:t xml:space="preserve"> </w:t>
      </w:r>
      <w:r>
        <w:t>the</w:t>
      </w:r>
      <w:r>
        <w:rPr>
          <w:spacing w:val="-4"/>
        </w:rPr>
        <w:t xml:space="preserve"> </w:t>
      </w:r>
      <w:r>
        <w:t>experiences</w:t>
      </w:r>
      <w:r>
        <w:rPr>
          <w:spacing w:val="-6"/>
        </w:rPr>
        <w:t xml:space="preserve"> </w:t>
      </w:r>
      <w:r>
        <w:t>of</w:t>
      </w:r>
      <w:r>
        <w:rPr>
          <w:spacing w:val="-4"/>
        </w:rPr>
        <w:t xml:space="preserve"> </w:t>
      </w:r>
      <w:r>
        <w:t>undocumented youth. Most recently in January of 2023, Barnstable County Sheriff’s Office, which was the last sheriff’s office in New England to have a formal agreement with the U.S. Immigration and Customs Enforcement (ICE), ended the agreement that empowe</w:t>
      </w:r>
      <w:r>
        <w:t>red Massachusetts sheriffs’ offices to detain, interrogate, and transport</w:t>
      </w:r>
      <w:r>
        <w:rPr>
          <w:spacing w:val="-13"/>
        </w:rPr>
        <w:t xml:space="preserve"> </w:t>
      </w:r>
      <w:r>
        <w:t>residents</w:t>
      </w:r>
      <w:r>
        <w:rPr>
          <w:spacing w:val="-12"/>
        </w:rPr>
        <w:t xml:space="preserve"> </w:t>
      </w:r>
      <w:r>
        <w:t>suspected</w:t>
      </w:r>
      <w:r>
        <w:rPr>
          <w:spacing w:val="-13"/>
        </w:rPr>
        <w:t xml:space="preserve"> </w:t>
      </w:r>
      <w:r>
        <w:t>of</w:t>
      </w:r>
      <w:r>
        <w:rPr>
          <w:spacing w:val="-12"/>
        </w:rPr>
        <w:t xml:space="preserve"> </w:t>
      </w:r>
      <w:r>
        <w:t>being</w:t>
      </w:r>
      <w:r>
        <w:rPr>
          <w:spacing w:val="-13"/>
        </w:rPr>
        <w:t xml:space="preserve"> </w:t>
      </w:r>
      <w:r>
        <w:t>undocumented</w:t>
      </w:r>
      <w:r>
        <w:rPr>
          <w:spacing w:val="-12"/>
        </w:rPr>
        <w:t xml:space="preserve"> </w:t>
      </w:r>
      <w:r>
        <w:t>immigrants.</w:t>
      </w:r>
      <w:hyperlink w:anchor="_bookmark710" w:history="1">
        <w:r>
          <w:rPr>
            <w:vertAlign w:val="superscript"/>
          </w:rPr>
          <w:t>1</w:t>
        </w:r>
      </w:hyperlink>
      <w:r>
        <w:rPr>
          <w:spacing w:val="-6"/>
        </w:rPr>
        <w:t xml:space="preserve"> </w:t>
      </w:r>
      <w:r>
        <w:t>In</w:t>
      </w:r>
      <w:r>
        <w:rPr>
          <w:spacing w:val="-11"/>
        </w:rPr>
        <w:t xml:space="preserve"> </w:t>
      </w:r>
      <w:r>
        <w:t>the</w:t>
      </w:r>
      <w:r>
        <w:rPr>
          <w:spacing w:val="-12"/>
        </w:rPr>
        <w:t xml:space="preserve"> </w:t>
      </w:r>
      <w:r>
        <w:t>same</w:t>
      </w:r>
      <w:r>
        <w:rPr>
          <w:spacing w:val="-13"/>
        </w:rPr>
        <w:t xml:space="preserve"> </w:t>
      </w:r>
      <w:r>
        <w:t>month,</w:t>
      </w:r>
      <w:r>
        <w:rPr>
          <w:spacing w:val="-10"/>
        </w:rPr>
        <w:t xml:space="preserve"> </w:t>
      </w:r>
      <w:r>
        <w:t>in</w:t>
      </w:r>
      <w:r>
        <w:rPr>
          <w:spacing w:val="-13"/>
        </w:rPr>
        <w:t xml:space="preserve"> </w:t>
      </w:r>
      <w:r>
        <w:t>Boston,</w:t>
      </w:r>
      <w:r>
        <w:rPr>
          <w:spacing w:val="-10"/>
        </w:rPr>
        <w:t xml:space="preserve"> </w:t>
      </w:r>
      <w:r>
        <w:t>Boston Police Department (BPD) reported that it had ignored all 1</w:t>
      </w:r>
      <w:r>
        <w:t>2 federal requests to detain suspected undocumented immigrants, and noted that zero residents were detained by BPD in 2022.</w:t>
      </w:r>
      <w:hyperlink w:anchor="_bookmark711" w:history="1">
        <w:r>
          <w:rPr>
            <w:vertAlign w:val="superscript"/>
          </w:rPr>
          <w:t>2</w:t>
        </w:r>
      </w:hyperlink>
    </w:p>
    <w:p w:rsidR="00200FDA" w:rsidRDefault="00F76C4C">
      <w:pPr>
        <w:spacing w:before="121" w:line="276" w:lineRule="auto"/>
        <w:ind w:left="139" w:right="134"/>
        <w:jc w:val="both"/>
      </w:pPr>
      <w:r>
        <w:t>To further extend protections and support to undocumented youth, the Commission recommends that the</w:t>
      </w:r>
      <w:r>
        <w:t xml:space="preserve"> legislature pass </w:t>
      </w:r>
      <w:r>
        <w:rPr>
          <w:i/>
        </w:rPr>
        <w:t xml:space="preserve">An Act to Protect the Civil Rights and Safety of all Massachusetts Residents </w:t>
      </w:r>
      <w:r>
        <w:t>(</w:t>
      </w:r>
      <w:hyperlink r:id="rId673">
        <w:r>
          <w:rPr>
            <w:color w:val="1154CC"/>
            <w:u w:val="single" w:color="1154CC"/>
          </w:rPr>
          <w:t>S.</w:t>
        </w:r>
      </w:hyperlink>
      <w:r>
        <w:rPr>
          <w:color w:val="1154CC"/>
        </w:rPr>
        <w:t xml:space="preserve"> </w:t>
      </w:r>
      <w:hyperlink r:id="rId674">
        <w:r>
          <w:rPr>
            <w:color w:val="1154CC"/>
            <w:u w:val="single" w:color="1154CC"/>
          </w:rPr>
          <w:t>1510</w:t>
        </w:r>
      </w:hyperlink>
      <w:r>
        <w:t>/</w:t>
      </w:r>
      <w:hyperlink r:id="rId675">
        <w:r>
          <w:rPr>
            <w:color w:val="1154CC"/>
            <w:u w:val="single" w:color="1154CC"/>
          </w:rPr>
          <w:t>H.2288</w:t>
        </w:r>
      </w:hyperlink>
      <w:r>
        <w:t>),</w:t>
      </w:r>
      <w:r>
        <w:rPr>
          <w:spacing w:val="-2"/>
        </w:rPr>
        <w:t xml:space="preserve"> </w:t>
      </w:r>
      <w:r>
        <w:t>also</w:t>
      </w:r>
      <w:r>
        <w:rPr>
          <w:spacing w:val="-1"/>
        </w:rPr>
        <w:t xml:space="preserve"> </w:t>
      </w:r>
      <w:r>
        <w:t>known</w:t>
      </w:r>
      <w:r>
        <w:rPr>
          <w:spacing w:val="-5"/>
        </w:rPr>
        <w:t xml:space="preserve"> </w:t>
      </w:r>
      <w:r>
        <w:t>as</w:t>
      </w:r>
      <w:r>
        <w:rPr>
          <w:spacing w:val="-2"/>
        </w:rPr>
        <w:t xml:space="preserve"> </w:t>
      </w:r>
      <w:r>
        <w:t>the</w:t>
      </w:r>
      <w:r>
        <w:rPr>
          <w:spacing w:val="-1"/>
        </w:rPr>
        <w:t xml:space="preserve"> </w:t>
      </w:r>
      <w:r>
        <w:t>Safe</w:t>
      </w:r>
      <w:r>
        <w:rPr>
          <w:spacing w:val="-1"/>
        </w:rPr>
        <w:t xml:space="preserve"> </w:t>
      </w:r>
      <w:r>
        <w:t>Communities</w:t>
      </w:r>
      <w:r>
        <w:rPr>
          <w:spacing w:val="-2"/>
        </w:rPr>
        <w:t xml:space="preserve"> </w:t>
      </w:r>
      <w:r>
        <w:t>Act,</w:t>
      </w:r>
      <w:r>
        <w:rPr>
          <w:spacing w:val="-2"/>
        </w:rPr>
        <w:t xml:space="preserve"> </w:t>
      </w:r>
      <w:r>
        <w:t>which</w:t>
      </w:r>
      <w:r>
        <w:rPr>
          <w:spacing w:val="-3"/>
        </w:rPr>
        <w:t xml:space="preserve"> </w:t>
      </w:r>
      <w:r>
        <w:t>would</w:t>
      </w:r>
      <w:r>
        <w:rPr>
          <w:spacing w:val="-3"/>
        </w:rPr>
        <w:t xml:space="preserve"> </w:t>
      </w:r>
      <w:r>
        <w:t>increase</w:t>
      </w:r>
      <w:r>
        <w:rPr>
          <w:spacing w:val="-1"/>
        </w:rPr>
        <w:t xml:space="preserve"> </w:t>
      </w:r>
      <w:r>
        <w:t>access</w:t>
      </w:r>
      <w:r>
        <w:rPr>
          <w:spacing w:val="-2"/>
        </w:rPr>
        <w:t xml:space="preserve"> </w:t>
      </w:r>
      <w:r>
        <w:t>to</w:t>
      </w:r>
      <w:r>
        <w:rPr>
          <w:spacing w:val="-1"/>
        </w:rPr>
        <w:t xml:space="preserve"> </w:t>
      </w:r>
      <w:r>
        <w:t>court</w:t>
      </w:r>
      <w:r>
        <w:rPr>
          <w:spacing w:val="-1"/>
        </w:rPr>
        <w:t xml:space="preserve"> </w:t>
      </w:r>
      <w:r>
        <w:t>and</w:t>
      </w:r>
      <w:r>
        <w:rPr>
          <w:spacing w:val="-3"/>
        </w:rPr>
        <w:t xml:space="preserve"> </w:t>
      </w:r>
      <w:r>
        <w:t>police protection for undocumented youth by ending local and state involvement in civil immigration enforce</w:t>
      </w:r>
      <w:r>
        <w:t>ment.</w:t>
      </w:r>
      <w:r>
        <w:rPr>
          <w:spacing w:val="-3"/>
        </w:rPr>
        <w:t xml:space="preserve"> </w:t>
      </w:r>
      <w:r>
        <w:t>The Commission</w:t>
      </w:r>
      <w:r>
        <w:rPr>
          <w:spacing w:val="-1"/>
        </w:rPr>
        <w:t xml:space="preserve"> </w:t>
      </w:r>
      <w:r>
        <w:t>further</w:t>
      </w:r>
      <w:r>
        <w:rPr>
          <w:spacing w:val="-1"/>
        </w:rPr>
        <w:t xml:space="preserve"> </w:t>
      </w:r>
      <w:r>
        <w:t>supports</w:t>
      </w:r>
      <w:r>
        <w:rPr>
          <w:spacing w:val="-3"/>
        </w:rPr>
        <w:t xml:space="preserve"> </w:t>
      </w:r>
      <w:r>
        <w:t>the</w:t>
      </w:r>
      <w:r>
        <w:rPr>
          <w:spacing w:val="-2"/>
        </w:rPr>
        <w:t xml:space="preserve"> </w:t>
      </w:r>
      <w:r>
        <w:t>Tuition</w:t>
      </w:r>
      <w:r>
        <w:rPr>
          <w:spacing w:val="-1"/>
        </w:rPr>
        <w:t xml:space="preserve"> </w:t>
      </w:r>
      <w:r>
        <w:t xml:space="preserve">Equity Act, </w:t>
      </w:r>
      <w:r>
        <w:rPr>
          <w:i/>
        </w:rPr>
        <w:t>An</w:t>
      </w:r>
      <w:r>
        <w:rPr>
          <w:i/>
          <w:spacing w:val="-3"/>
        </w:rPr>
        <w:t xml:space="preserve"> </w:t>
      </w:r>
      <w:r>
        <w:rPr>
          <w:i/>
        </w:rPr>
        <w:t>Act</w:t>
      </w:r>
      <w:r>
        <w:rPr>
          <w:i/>
          <w:spacing w:val="-2"/>
        </w:rPr>
        <w:t xml:space="preserve"> </w:t>
      </w:r>
      <w:r>
        <w:rPr>
          <w:i/>
        </w:rPr>
        <w:t>Providing</w:t>
      </w:r>
      <w:r>
        <w:rPr>
          <w:i/>
          <w:spacing w:val="-1"/>
        </w:rPr>
        <w:t xml:space="preserve"> </w:t>
      </w:r>
      <w:r>
        <w:rPr>
          <w:i/>
        </w:rPr>
        <w:t>Access</w:t>
      </w:r>
      <w:r>
        <w:rPr>
          <w:i/>
          <w:spacing w:val="-2"/>
        </w:rPr>
        <w:t xml:space="preserve"> </w:t>
      </w:r>
      <w:r>
        <w:rPr>
          <w:i/>
        </w:rPr>
        <w:t>to</w:t>
      </w:r>
      <w:r>
        <w:rPr>
          <w:i/>
          <w:spacing w:val="-1"/>
        </w:rPr>
        <w:t xml:space="preserve"> </w:t>
      </w:r>
      <w:r>
        <w:rPr>
          <w:i/>
        </w:rPr>
        <w:t xml:space="preserve">Higher Education for High School Graduates in the Commonwealth </w:t>
      </w:r>
      <w:r>
        <w:t>(</w:t>
      </w:r>
      <w:hyperlink r:id="rId676">
        <w:r>
          <w:rPr>
            <w:color w:val="1154CC"/>
            <w:u w:val="single" w:color="1154CC"/>
          </w:rPr>
          <w:t>S. 817</w:t>
        </w:r>
      </w:hyperlink>
      <w:r>
        <w:t>/</w:t>
      </w:r>
      <w:hyperlink r:id="rId677">
        <w:r>
          <w:rPr>
            <w:color w:val="1154CC"/>
            <w:u w:val="single" w:color="1154CC"/>
          </w:rPr>
          <w:t>H.1281</w:t>
        </w:r>
      </w:hyperlink>
      <w:r>
        <w:t>) to increase access to state financial aid and in-state tuition for undocumented youth who graduated from a Massachusetts high school,</w:t>
      </w:r>
      <w:r>
        <w:rPr>
          <w:spacing w:val="-13"/>
        </w:rPr>
        <w:t xml:space="preserve"> </w:t>
      </w:r>
      <w:r>
        <w:t>and</w:t>
      </w:r>
      <w:r>
        <w:rPr>
          <w:spacing w:val="-12"/>
        </w:rPr>
        <w:t xml:space="preserve"> </w:t>
      </w:r>
      <w:r>
        <w:rPr>
          <w:i/>
        </w:rPr>
        <w:t>An</w:t>
      </w:r>
      <w:r>
        <w:rPr>
          <w:i/>
          <w:spacing w:val="-13"/>
        </w:rPr>
        <w:t xml:space="preserve"> </w:t>
      </w:r>
      <w:r>
        <w:rPr>
          <w:i/>
        </w:rPr>
        <w:t>Act</w:t>
      </w:r>
      <w:r>
        <w:rPr>
          <w:i/>
          <w:spacing w:val="-11"/>
        </w:rPr>
        <w:t xml:space="preserve"> </w:t>
      </w:r>
      <w:r>
        <w:rPr>
          <w:i/>
        </w:rPr>
        <w:t>to</w:t>
      </w:r>
      <w:r>
        <w:rPr>
          <w:i/>
          <w:spacing w:val="-13"/>
        </w:rPr>
        <w:t xml:space="preserve"> </w:t>
      </w:r>
      <w:r>
        <w:rPr>
          <w:i/>
        </w:rPr>
        <w:t>Ensure</w:t>
      </w:r>
      <w:r>
        <w:rPr>
          <w:i/>
          <w:spacing w:val="-11"/>
        </w:rPr>
        <w:t xml:space="preserve"> </w:t>
      </w:r>
      <w:r>
        <w:rPr>
          <w:i/>
        </w:rPr>
        <w:t>Equitable</w:t>
      </w:r>
      <w:r>
        <w:rPr>
          <w:i/>
          <w:spacing w:val="-12"/>
        </w:rPr>
        <w:t xml:space="preserve"> </w:t>
      </w:r>
      <w:r>
        <w:rPr>
          <w:i/>
        </w:rPr>
        <w:t>Health</w:t>
      </w:r>
      <w:r>
        <w:rPr>
          <w:i/>
          <w:spacing w:val="-12"/>
        </w:rPr>
        <w:t xml:space="preserve"> </w:t>
      </w:r>
      <w:r>
        <w:rPr>
          <w:i/>
        </w:rPr>
        <w:t>Coverage</w:t>
      </w:r>
      <w:r>
        <w:rPr>
          <w:i/>
          <w:spacing w:val="-12"/>
        </w:rPr>
        <w:t xml:space="preserve"> </w:t>
      </w:r>
      <w:r>
        <w:rPr>
          <w:i/>
        </w:rPr>
        <w:t>for</w:t>
      </w:r>
      <w:r>
        <w:rPr>
          <w:i/>
          <w:spacing w:val="-11"/>
        </w:rPr>
        <w:t xml:space="preserve"> </w:t>
      </w:r>
      <w:r>
        <w:rPr>
          <w:i/>
        </w:rPr>
        <w:t>Children</w:t>
      </w:r>
      <w:r>
        <w:t>,</w:t>
      </w:r>
      <w:r>
        <w:rPr>
          <w:spacing w:val="-11"/>
        </w:rPr>
        <w:t xml:space="preserve"> </w:t>
      </w:r>
      <w:r>
        <w:t>(</w:t>
      </w:r>
      <w:hyperlink r:id="rId678">
        <w:r>
          <w:rPr>
            <w:color w:val="1154CC"/>
            <w:u w:val="single" w:color="1154CC"/>
          </w:rPr>
          <w:t>S.740</w:t>
        </w:r>
      </w:hyperlink>
      <w:r>
        <w:t>/</w:t>
      </w:r>
      <w:hyperlink r:id="rId679">
        <w:r>
          <w:rPr>
            <w:color w:val="1154CC"/>
            <w:u w:val="single" w:color="1154CC"/>
          </w:rPr>
          <w:t>H.1237</w:t>
        </w:r>
      </w:hyperlink>
      <w:r>
        <w:t>)</w:t>
      </w:r>
      <w:r>
        <w:rPr>
          <w:spacing w:val="-12"/>
        </w:rPr>
        <w:t xml:space="preserve"> </w:t>
      </w:r>
      <w:r>
        <w:t>which</w:t>
      </w:r>
      <w:r>
        <w:rPr>
          <w:spacing w:val="-13"/>
        </w:rPr>
        <w:t xml:space="preserve"> </w:t>
      </w:r>
      <w:r>
        <w:t>would</w:t>
      </w:r>
      <w:r>
        <w:rPr>
          <w:spacing w:val="-12"/>
        </w:rPr>
        <w:t xml:space="preserve"> </w:t>
      </w:r>
      <w:r>
        <w:t>broaden youth eligibility for MassHealth coverage.</w:t>
      </w:r>
    </w:p>
    <w:p w:rsidR="00200FDA" w:rsidRDefault="00200FDA">
      <w:pPr>
        <w:spacing w:line="276" w:lineRule="auto"/>
        <w:jc w:val="both"/>
        <w:sectPr w:rsidR="00200FDA">
          <w:pgSz w:w="12240" w:h="15840"/>
          <w:pgMar w:top="1360" w:right="1300" w:bottom="1240" w:left="1300" w:header="763" w:footer="1043" w:gutter="0"/>
          <w:cols w:space="720"/>
        </w:sectPr>
      </w:pPr>
    </w:p>
    <w:p w:rsidR="00200FDA" w:rsidRDefault="00F76C4C">
      <w:pPr>
        <w:pStyle w:val="Heading7"/>
        <w:spacing w:before="64"/>
        <w:ind w:left="140"/>
      </w:pPr>
      <w:r>
        <w:lastRenderedPageBreak/>
        <w:pict>
          <v:rect id="docshape435" o:spid="_x0000_s1169" style="position:absolute;left:0;text-align:left;margin-left:70.55pt;margin-top:21.35pt;width:470.9pt;height:.5pt;z-index:-15645696;mso-wrap-distance-left:0;mso-wrap-distance-right:0;mso-position-horizontal-relative:page" fillcolor="#0f6ec5" stroked="f">
            <w10:wrap type="topAndBottom" anchorx="page"/>
          </v:rect>
        </w:pict>
      </w:r>
      <w:bookmarkStart w:id="889" w:name="National_&amp;_State_Immigration_Context"/>
      <w:bookmarkEnd w:id="889"/>
      <w:r>
        <w:rPr>
          <w:color w:val="0A5293"/>
        </w:rPr>
        <w:t>National</w:t>
      </w:r>
      <w:r>
        <w:rPr>
          <w:color w:val="0A5293"/>
          <w:spacing w:val="-5"/>
        </w:rPr>
        <w:t xml:space="preserve"> </w:t>
      </w:r>
      <w:r>
        <w:rPr>
          <w:color w:val="0A5293"/>
        </w:rPr>
        <w:t>&amp;</w:t>
      </w:r>
      <w:r>
        <w:rPr>
          <w:color w:val="0A5293"/>
          <w:spacing w:val="-5"/>
        </w:rPr>
        <w:t xml:space="preserve"> </w:t>
      </w:r>
      <w:r>
        <w:rPr>
          <w:color w:val="0A5293"/>
        </w:rPr>
        <w:t>State</w:t>
      </w:r>
      <w:r>
        <w:rPr>
          <w:color w:val="0A5293"/>
          <w:spacing w:val="-6"/>
        </w:rPr>
        <w:t xml:space="preserve"> </w:t>
      </w:r>
      <w:r>
        <w:rPr>
          <w:color w:val="0A5293"/>
        </w:rPr>
        <w:t>Immigration</w:t>
      </w:r>
      <w:r>
        <w:rPr>
          <w:color w:val="0A5293"/>
          <w:spacing w:val="-6"/>
        </w:rPr>
        <w:t xml:space="preserve"> </w:t>
      </w:r>
      <w:r>
        <w:rPr>
          <w:color w:val="0A5293"/>
          <w:spacing w:val="-2"/>
        </w:rPr>
        <w:t>Context</w:t>
      </w:r>
    </w:p>
    <w:p w:rsidR="00200FDA" w:rsidRDefault="00200FDA">
      <w:pPr>
        <w:pStyle w:val="BodyText"/>
        <w:rPr>
          <w:sz w:val="15"/>
        </w:rPr>
      </w:pPr>
    </w:p>
    <w:p w:rsidR="00200FDA" w:rsidRDefault="00F76C4C">
      <w:pPr>
        <w:pStyle w:val="BodyText"/>
        <w:spacing w:before="56" w:line="276" w:lineRule="auto"/>
        <w:ind w:left="139" w:right="135"/>
        <w:jc w:val="both"/>
      </w:pPr>
      <w:r>
        <w:t>Individ</w:t>
      </w:r>
      <w:r>
        <w:t>uals</w:t>
      </w:r>
      <w:r>
        <w:rPr>
          <w:spacing w:val="-4"/>
        </w:rPr>
        <w:t xml:space="preserve"> </w:t>
      </w:r>
      <w:r>
        <w:t>choose</w:t>
      </w:r>
      <w:r>
        <w:rPr>
          <w:spacing w:val="-6"/>
        </w:rPr>
        <w:t xml:space="preserve"> </w:t>
      </w:r>
      <w:r>
        <w:t>to</w:t>
      </w:r>
      <w:r>
        <w:rPr>
          <w:spacing w:val="-6"/>
        </w:rPr>
        <w:t xml:space="preserve"> </w:t>
      </w:r>
      <w:r>
        <w:t>immigrate</w:t>
      </w:r>
      <w:r>
        <w:rPr>
          <w:spacing w:val="-6"/>
        </w:rPr>
        <w:t xml:space="preserve"> </w:t>
      </w:r>
      <w:r>
        <w:t>or</w:t>
      </w:r>
      <w:r>
        <w:rPr>
          <w:spacing w:val="-7"/>
        </w:rPr>
        <w:t xml:space="preserve"> </w:t>
      </w:r>
      <w:r>
        <w:t>seek</w:t>
      </w:r>
      <w:r>
        <w:rPr>
          <w:spacing w:val="-6"/>
        </w:rPr>
        <w:t xml:space="preserve"> </w:t>
      </w:r>
      <w:r>
        <w:t>asylum</w:t>
      </w:r>
      <w:r>
        <w:rPr>
          <w:spacing w:val="-3"/>
        </w:rPr>
        <w:t xml:space="preserve"> </w:t>
      </w:r>
      <w:r>
        <w:t>in</w:t>
      </w:r>
      <w:r>
        <w:rPr>
          <w:spacing w:val="-8"/>
        </w:rPr>
        <w:t xml:space="preserve"> </w:t>
      </w:r>
      <w:r>
        <w:t>the</w:t>
      </w:r>
      <w:r>
        <w:rPr>
          <w:spacing w:val="-8"/>
        </w:rPr>
        <w:t xml:space="preserve"> </w:t>
      </w:r>
      <w:r>
        <w:t>United</w:t>
      </w:r>
      <w:r>
        <w:rPr>
          <w:spacing w:val="-5"/>
        </w:rPr>
        <w:t xml:space="preserve"> </w:t>
      </w:r>
      <w:r>
        <w:t>States</w:t>
      </w:r>
      <w:r>
        <w:rPr>
          <w:spacing w:val="-7"/>
        </w:rPr>
        <w:t xml:space="preserve"> </w:t>
      </w:r>
      <w:r>
        <w:t>for</w:t>
      </w:r>
      <w:r>
        <w:rPr>
          <w:spacing w:val="-4"/>
        </w:rPr>
        <w:t xml:space="preserve"> </w:t>
      </w:r>
      <w:r>
        <w:t>a</w:t>
      </w:r>
      <w:r>
        <w:rPr>
          <w:spacing w:val="-7"/>
        </w:rPr>
        <w:t xml:space="preserve"> </w:t>
      </w:r>
      <w:r>
        <w:t>variety</w:t>
      </w:r>
      <w:r>
        <w:rPr>
          <w:spacing w:val="-6"/>
        </w:rPr>
        <w:t xml:space="preserve"> </w:t>
      </w:r>
      <w:r>
        <w:t>of</w:t>
      </w:r>
      <w:r>
        <w:rPr>
          <w:spacing w:val="-5"/>
        </w:rPr>
        <w:t xml:space="preserve"> </w:t>
      </w:r>
      <w:r>
        <w:t>reasons,</w:t>
      </w:r>
      <w:r>
        <w:rPr>
          <w:spacing w:val="-4"/>
        </w:rPr>
        <w:t xml:space="preserve"> </w:t>
      </w:r>
      <w:r>
        <w:t>such</w:t>
      </w:r>
      <w:r>
        <w:rPr>
          <w:spacing w:val="-5"/>
        </w:rPr>
        <w:t xml:space="preserve"> </w:t>
      </w:r>
      <w:r>
        <w:t>as</w:t>
      </w:r>
      <w:r>
        <w:rPr>
          <w:spacing w:val="-7"/>
        </w:rPr>
        <w:t xml:space="preserve"> </w:t>
      </w:r>
      <w:r>
        <w:t>work opportunities, access to education and medical services, and other conditions that influence an individual’s quality of life.</w:t>
      </w:r>
      <w:r>
        <w:rPr>
          <w:spacing w:val="-13"/>
        </w:rPr>
        <w:t xml:space="preserve"> </w:t>
      </w:r>
      <w:hyperlink w:anchor="_bookmark712" w:history="1">
        <w:r>
          <w:rPr>
            <w:vertAlign w:val="superscript"/>
          </w:rPr>
          <w:t>3</w:t>
        </w:r>
      </w:hyperlink>
      <w:r>
        <w:t xml:space="preserve"> LGBTQ individuals often migrate to the U.S. to escape persecution and oppression</w:t>
      </w:r>
      <w:r>
        <w:rPr>
          <w:spacing w:val="-3"/>
        </w:rPr>
        <w:t xml:space="preserve"> </w:t>
      </w:r>
      <w:r>
        <w:t>due</w:t>
      </w:r>
      <w:r>
        <w:rPr>
          <w:spacing w:val="-1"/>
        </w:rPr>
        <w:t xml:space="preserve"> </w:t>
      </w:r>
      <w:r>
        <w:t>to</w:t>
      </w:r>
      <w:r>
        <w:rPr>
          <w:spacing w:val="-1"/>
        </w:rPr>
        <w:t xml:space="preserve"> </w:t>
      </w:r>
      <w:r>
        <w:t>their</w:t>
      </w:r>
      <w:r>
        <w:rPr>
          <w:spacing w:val="-2"/>
        </w:rPr>
        <w:t xml:space="preserve"> </w:t>
      </w:r>
      <w:r>
        <w:t>sexual</w:t>
      </w:r>
      <w:r>
        <w:rPr>
          <w:spacing w:val="-2"/>
        </w:rPr>
        <w:t xml:space="preserve"> </w:t>
      </w:r>
      <w:r>
        <w:t>orientation</w:t>
      </w:r>
      <w:r>
        <w:rPr>
          <w:spacing w:val="-3"/>
        </w:rPr>
        <w:t xml:space="preserve"> </w:t>
      </w:r>
      <w:r>
        <w:t>or</w:t>
      </w:r>
      <w:r>
        <w:rPr>
          <w:spacing w:val="-2"/>
        </w:rPr>
        <w:t xml:space="preserve"> </w:t>
      </w:r>
      <w:r>
        <w:t>gender</w:t>
      </w:r>
      <w:r>
        <w:rPr>
          <w:spacing w:val="-2"/>
        </w:rPr>
        <w:t xml:space="preserve"> </w:t>
      </w:r>
      <w:r>
        <w:t>identity.</w:t>
      </w:r>
      <w:r>
        <w:rPr>
          <w:spacing w:val="-2"/>
        </w:rPr>
        <w:t xml:space="preserve"> </w:t>
      </w:r>
      <w:r>
        <w:t>According</w:t>
      </w:r>
      <w:r>
        <w:rPr>
          <w:spacing w:val="-3"/>
        </w:rPr>
        <w:t xml:space="preserve"> </w:t>
      </w:r>
      <w:r>
        <w:t>to</w:t>
      </w:r>
      <w:r>
        <w:rPr>
          <w:spacing w:val="-1"/>
        </w:rPr>
        <w:t xml:space="preserve"> </w:t>
      </w:r>
      <w:r>
        <w:t>Human</w:t>
      </w:r>
      <w:r>
        <w:rPr>
          <w:spacing w:val="-3"/>
        </w:rPr>
        <w:t xml:space="preserve"> </w:t>
      </w:r>
      <w:r>
        <w:t>Rights</w:t>
      </w:r>
      <w:r>
        <w:rPr>
          <w:spacing w:val="-2"/>
        </w:rPr>
        <w:t xml:space="preserve"> </w:t>
      </w:r>
      <w:r>
        <w:t>Watch,</w:t>
      </w:r>
      <w:r>
        <w:rPr>
          <w:spacing w:val="-2"/>
        </w:rPr>
        <w:t xml:space="preserve"> </w:t>
      </w:r>
      <w:r>
        <w:t>at</w:t>
      </w:r>
      <w:r>
        <w:rPr>
          <w:spacing w:val="-1"/>
        </w:rPr>
        <w:t xml:space="preserve"> </w:t>
      </w:r>
      <w:r>
        <w:t>least sixty-seven countries have national laws criminal</w:t>
      </w:r>
      <w:r>
        <w:t>izing same-sex relations between consenting adults.</w:t>
      </w:r>
      <w:hyperlink w:anchor="_bookmark713" w:history="1">
        <w:r>
          <w:rPr>
            <w:vertAlign w:val="superscript"/>
          </w:rPr>
          <w:t>4</w:t>
        </w:r>
      </w:hyperlink>
      <w:r>
        <w:rPr>
          <w:spacing w:val="-2"/>
        </w:rPr>
        <w:t xml:space="preserve"> </w:t>
      </w:r>
      <w:r>
        <w:t>In addition, at least nine countries have national laws criminalizing forms of gender expression that target transgender and gender-nonconforming people.</w:t>
      </w:r>
      <w:hyperlink w:anchor="_bookmark714" w:history="1">
        <w:r>
          <w:rPr>
            <w:vertAlign w:val="superscript"/>
          </w:rPr>
          <w:t>5</w:t>
        </w:r>
      </w:hyperlink>
    </w:p>
    <w:p w:rsidR="00200FDA" w:rsidRDefault="00F76C4C">
      <w:pPr>
        <w:pStyle w:val="BodyText"/>
        <w:spacing w:before="121" w:line="276" w:lineRule="auto"/>
        <w:ind w:left="140" w:right="135" w:hanging="1"/>
        <w:jc w:val="both"/>
      </w:pPr>
      <w:r>
        <w:t>However,</w:t>
      </w:r>
      <w:r>
        <w:rPr>
          <w:spacing w:val="-7"/>
        </w:rPr>
        <w:t xml:space="preserve"> </w:t>
      </w:r>
      <w:r>
        <w:t>despite</w:t>
      </w:r>
      <w:r>
        <w:rPr>
          <w:spacing w:val="-8"/>
        </w:rPr>
        <w:t xml:space="preserve"> </w:t>
      </w:r>
      <w:r>
        <w:t>these</w:t>
      </w:r>
      <w:r>
        <w:rPr>
          <w:spacing w:val="-8"/>
        </w:rPr>
        <w:t xml:space="preserve"> </w:t>
      </w:r>
      <w:r>
        <w:t>reasons,</w:t>
      </w:r>
      <w:r>
        <w:rPr>
          <w:spacing w:val="-9"/>
        </w:rPr>
        <w:t xml:space="preserve"> </w:t>
      </w:r>
      <w:r>
        <w:t>the</w:t>
      </w:r>
      <w:r>
        <w:rPr>
          <w:spacing w:val="-8"/>
        </w:rPr>
        <w:t xml:space="preserve"> </w:t>
      </w:r>
      <w:r>
        <w:t>United</w:t>
      </w:r>
      <w:r>
        <w:rPr>
          <w:spacing w:val="-7"/>
        </w:rPr>
        <w:t xml:space="preserve"> </w:t>
      </w:r>
      <w:r>
        <w:t>States</w:t>
      </w:r>
      <w:r>
        <w:rPr>
          <w:spacing w:val="-9"/>
        </w:rPr>
        <w:t xml:space="preserve"> </w:t>
      </w:r>
      <w:r>
        <w:t>for</w:t>
      </w:r>
      <w:r>
        <w:rPr>
          <w:spacing w:val="-9"/>
        </w:rPr>
        <w:t xml:space="preserve"> </w:t>
      </w:r>
      <w:r>
        <w:t>decades</w:t>
      </w:r>
      <w:r>
        <w:rPr>
          <w:spacing w:val="-6"/>
        </w:rPr>
        <w:t xml:space="preserve"> </w:t>
      </w:r>
      <w:r>
        <w:t>has</w:t>
      </w:r>
      <w:r>
        <w:rPr>
          <w:spacing w:val="-9"/>
        </w:rPr>
        <w:t xml:space="preserve"> </w:t>
      </w:r>
      <w:r>
        <w:t>continued</w:t>
      </w:r>
      <w:r>
        <w:rPr>
          <w:spacing w:val="-10"/>
        </w:rPr>
        <w:t xml:space="preserve"> </w:t>
      </w:r>
      <w:r>
        <w:t>to</w:t>
      </w:r>
      <w:r>
        <w:rPr>
          <w:spacing w:val="-9"/>
        </w:rPr>
        <w:t xml:space="preserve"> </w:t>
      </w:r>
      <w:r>
        <w:t>establish</w:t>
      </w:r>
      <w:r>
        <w:rPr>
          <w:spacing w:val="-7"/>
        </w:rPr>
        <w:t xml:space="preserve"> </w:t>
      </w:r>
      <w:r>
        <w:t>and</w:t>
      </w:r>
      <w:r>
        <w:rPr>
          <w:spacing w:val="-7"/>
        </w:rPr>
        <w:t xml:space="preserve"> </w:t>
      </w:r>
      <w:r>
        <w:t>exacerbate barriers to prevent foreign-born LGBTQ individuals from fully finding integration and affirming spaces across the nation. In 1917, federal law restricted immigration by individuals who</w:t>
      </w:r>
      <w:r>
        <w:rPr>
          <w:spacing w:val="14"/>
        </w:rPr>
        <w:t xml:space="preserve"> </w:t>
      </w:r>
      <w:r>
        <w:t>showed signs of what</w:t>
      </w:r>
    </w:p>
    <w:p w:rsidR="00200FDA" w:rsidRDefault="00F76C4C">
      <w:pPr>
        <w:pStyle w:val="BodyText"/>
        <w:tabs>
          <w:tab w:val="left" w:pos="7001"/>
          <w:tab w:val="left" w:pos="8700"/>
        </w:tabs>
        <w:spacing w:line="276" w:lineRule="auto"/>
        <w:ind w:left="5359" w:right="133"/>
        <w:jc w:val="both"/>
      </w:pPr>
      <w:r>
        <w:rPr>
          <w:noProof/>
        </w:rPr>
        <w:drawing>
          <wp:anchor distT="0" distB="0" distL="0" distR="0" simplePos="0" relativeHeight="15812096" behindDoc="0" locked="0" layoutInCell="1" allowOverlap="1">
            <wp:simplePos x="0" y="0"/>
            <wp:positionH relativeFrom="page">
              <wp:posOffset>914400</wp:posOffset>
            </wp:positionH>
            <wp:positionV relativeFrom="paragraph">
              <wp:posOffset>28958</wp:posOffset>
            </wp:positionV>
            <wp:extent cx="3219449" cy="3202937"/>
            <wp:effectExtent l="0" t="0" r="0" b="0"/>
            <wp:wrapNone/>
            <wp:docPr id="129" name="image126.jpeg" descr="Diagram, text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26.jpeg"/>
                    <pic:cNvPicPr/>
                  </pic:nvPicPr>
                  <pic:blipFill>
                    <a:blip r:embed="rId680" cstate="print"/>
                    <a:stretch>
                      <a:fillRect/>
                    </a:stretch>
                  </pic:blipFill>
                  <pic:spPr>
                    <a:xfrm>
                      <a:off x="0" y="0"/>
                      <a:ext cx="3219449" cy="3202937"/>
                    </a:xfrm>
                    <a:prstGeom prst="rect">
                      <a:avLst/>
                    </a:prstGeom>
                  </pic:spPr>
                </pic:pic>
              </a:graphicData>
            </a:graphic>
          </wp:anchor>
        </w:drawing>
      </w:r>
      <w:r>
        <w:t>Congress called “constitutional psycho</w:t>
      </w:r>
      <w:r>
        <w:t>pathic inferiority.”</w:t>
      </w:r>
      <w:hyperlink w:anchor="_bookmark715" w:history="1">
        <w:r>
          <w:rPr>
            <w:vertAlign w:val="superscript"/>
          </w:rPr>
          <w:t>6</w:t>
        </w:r>
      </w:hyperlink>
      <w:r>
        <w:rPr>
          <w:spacing w:val="-13"/>
        </w:rPr>
        <w:t xml:space="preserve"> </w:t>
      </w:r>
      <w:r>
        <w:t>This</w:t>
      </w:r>
      <w:r>
        <w:rPr>
          <w:spacing w:val="-12"/>
        </w:rPr>
        <w:t xml:space="preserve"> </w:t>
      </w:r>
      <w:r>
        <w:t>law</w:t>
      </w:r>
      <w:r>
        <w:rPr>
          <w:spacing w:val="-13"/>
        </w:rPr>
        <w:t xml:space="preserve"> </w:t>
      </w:r>
      <w:r>
        <w:t>prevented</w:t>
      </w:r>
      <w:r>
        <w:rPr>
          <w:spacing w:val="-12"/>
        </w:rPr>
        <w:t xml:space="preserve"> </w:t>
      </w:r>
      <w:r>
        <w:t>LGBTQ</w:t>
      </w:r>
      <w:r>
        <w:rPr>
          <w:spacing w:val="-13"/>
        </w:rPr>
        <w:t xml:space="preserve"> </w:t>
      </w:r>
      <w:r>
        <w:t>people from immigrating to the United States, even when they faced persecution in their home country. Similarly, the 1952 Immigration and Nationality Act (INA) created new restr</w:t>
      </w:r>
      <w:r>
        <w:t>ictions on admissibility for LGBTQ people.</w:t>
      </w:r>
      <w:r>
        <w:rPr>
          <w:spacing w:val="-13"/>
        </w:rPr>
        <w:t xml:space="preserve"> </w:t>
      </w:r>
      <w:hyperlink w:anchor="_bookmark716" w:history="1">
        <w:r>
          <w:rPr>
            <w:vertAlign w:val="superscript"/>
          </w:rPr>
          <w:t>7</w:t>
        </w:r>
      </w:hyperlink>
      <w:r>
        <w:t xml:space="preserve"> The INA replaced the exclusion for immigrants possessing</w:t>
      </w:r>
      <w:r>
        <w:rPr>
          <w:spacing w:val="-13"/>
        </w:rPr>
        <w:t xml:space="preserve"> </w:t>
      </w:r>
      <w:r>
        <w:t>a</w:t>
      </w:r>
      <w:r>
        <w:rPr>
          <w:spacing w:val="-12"/>
        </w:rPr>
        <w:t xml:space="preserve"> </w:t>
      </w:r>
      <w:r>
        <w:t>“psychopathic</w:t>
      </w:r>
      <w:r>
        <w:rPr>
          <w:spacing w:val="-13"/>
        </w:rPr>
        <w:t xml:space="preserve"> </w:t>
      </w:r>
      <w:r>
        <w:t>personality”</w:t>
      </w:r>
      <w:r>
        <w:rPr>
          <w:spacing w:val="-12"/>
        </w:rPr>
        <w:t xml:space="preserve"> </w:t>
      </w:r>
      <w:r>
        <w:t>with</w:t>
      </w:r>
      <w:r>
        <w:rPr>
          <w:spacing w:val="-13"/>
        </w:rPr>
        <w:t xml:space="preserve"> </w:t>
      </w:r>
      <w:r>
        <w:t>a ban on “sexual deviation,” a catch-all to exclude LGBTQ people from entering the Unite</w:t>
      </w:r>
      <w:r>
        <w:t xml:space="preserve">d States. Although the American </w:t>
      </w:r>
      <w:r>
        <w:rPr>
          <w:spacing w:val="-2"/>
        </w:rPr>
        <w:t>Psychiatric</w:t>
      </w:r>
      <w:r>
        <w:tab/>
      </w:r>
      <w:r>
        <w:rPr>
          <w:spacing w:val="-2"/>
        </w:rPr>
        <w:t>Association</w:t>
      </w:r>
      <w:r>
        <w:tab/>
      </w:r>
      <w:r>
        <w:rPr>
          <w:spacing w:val="-2"/>
        </w:rPr>
        <w:t xml:space="preserve">removed </w:t>
      </w:r>
      <w:r>
        <w:t>homosexuality from its list of medical conditions in 1973, the INA entry restriction remained</w:t>
      </w:r>
      <w:r>
        <w:rPr>
          <w:spacing w:val="-6"/>
        </w:rPr>
        <w:t xml:space="preserve"> </w:t>
      </w:r>
      <w:r>
        <w:t>in</w:t>
      </w:r>
      <w:r>
        <w:rPr>
          <w:spacing w:val="-6"/>
        </w:rPr>
        <w:t xml:space="preserve"> </w:t>
      </w:r>
      <w:r>
        <w:t>place</w:t>
      </w:r>
      <w:r>
        <w:rPr>
          <w:spacing w:val="-4"/>
        </w:rPr>
        <w:t xml:space="preserve"> </w:t>
      </w:r>
      <w:r>
        <w:t>until</w:t>
      </w:r>
      <w:r>
        <w:rPr>
          <w:spacing w:val="-5"/>
        </w:rPr>
        <w:t xml:space="preserve"> </w:t>
      </w:r>
      <w:r>
        <w:t>“sexual</w:t>
      </w:r>
      <w:r>
        <w:rPr>
          <w:spacing w:val="-5"/>
        </w:rPr>
        <w:t xml:space="preserve"> </w:t>
      </w:r>
      <w:r>
        <w:t>deviation”</w:t>
      </w:r>
      <w:r>
        <w:rPr>
          <w:spacing w:val="-4"/>
        </w:rPr>
        <w:t xml:space="preserve"> </w:t>
      </w:r>
      <w:r>
        <w:t>was removed by the Immigration Act of 1990.</w:t>
      </w:r>
      <w:hyperlink w:anchor="_bookmark717" w:history="1">
        <w:r>
          <w:rPr>
            <w:vertAlign w:val="superscript"/>
          </w:rPr>
          <w:t>8</w:t>
        </w:r>
      </w:hyperlink>
    </w:p>
    <w:p w:rsidR="00200FDA" w:rsidRDefault="00F76C4C">
      <w:pPr>
        <w:pStyle w:val="BodyText"/>
        <w:spacing w:before="118" w:line="276" w:lineRule="auto"/>
        <w:ind w:left="139" w:right="135"/>
        <w:jc w:val="both"/>
      </w:pPr>
      <w:r>
        <w:t>Despite this reform, many LGBTQ immigrants were still denied admission to the United States, since the ban on people with HIV entering the country was not lifted until 2010.</w:t>
      </w:r>
      <w:hyperlink w:anchor="_bookmark718" w:history="1">
        <w:r>
          <w:rPr>
            <w:vertAlign w:val="superscript"/>
          </w:rPr>
          <w:t>9</w:t>
        </w:r>
      </w:hyperlink>
      <w:r>
        <w:rPr>
          <w:spacing w:val="-2"/>
        </w:rPr>
        <w:t xml:space="preserve"> </w:t>
      </w:r>
      <w:r>
        <w:t>Similarly, althou</w:t>
      </w:r>
      <w:r>
        <w:t>gh the United States</w:t>
      </w:r>
      <w:r>
        <w:rPr>
          <w:spacing w:val="-2"/>
        </w:rPr>
        <w:t xml:space="preserve"> </w:t>
      </w:r>
      <w:r>
        <w:t>recognized</w:t>
      </w:r>
      <w:r>
        <w:rPr>
          <w:spacing w:val="-3"/>
        </w:rPr>
        <w:t xml:space="preserve"> </w:t>
      </w:r>
      <w:r>
        <w:t>persecution</w:t>
      </w:r>
      <w:r>
        <w:rPr>
          <w:spacing w:val="-3"/>
        </w:rPr>
        <w:t xml:space="preserve"> </w:t>
      </w:r>
      <w:r>
        <w:t>on</w:t>
      </w:r>
      <w:r>
        <w:rPr>
          <w:spacing w:val="-3"/>
        </w:rPr>
        <w:t xml:space="preserve"> </w:t>
      </w:r>
      <w:r>
        <w:t>the</w:t>
      </w:r>
      <w:r>
        <w:rPr>
          <w:spacing w:val="-1"/>
        </w:rPr>
        <w:t xml:space="preserve"> </w:t>
      </w:r>
      <w:r>
        <w:t>basis</w:t>
      </w:r>
      <w:r>
        <w:rPr>
          <w:spacing w:val="-4"/>
        </w:rPr>
        <w:t xml:space="preserve"> </w:t>
      </w:r>
      <w:r>
        <w:t>of</w:t>
      </w:r>
      <w:r>
        <w:rPr>
          <w:spacing w:val="-2"/>
        </w:rPr>
        <w:t xml:space="preserve"> </w:t>
      </w:r>
      <w:r>
        <w:t>sexual</w:t>
      </w:r>
      <w:r>
        <w:rPr>
          <w:spacing w:val="-2"/>
        </w:rPr>
        <w:t xml:space="preserve"> </w:t>
      </w:r>
      <w:r>
        <w:t>orientation</w:t>
      </w:r>
      <w:r>
        <w:rPr>
          <w:spacing w:val="-3"/>
        </w:rPr>
        <w:t xml:space="preserve"> </w:t>
      </w:r>
      <w:r>
        <w:t>as</w:t>
      </w:r>
      <w:r>
        <w:rPr>
          <w:spacing w:val="-2"/>
        </w:rPr>
        <w:t xml:space="preserve"> </w:t>
      </w:r>
      <w:r>
        <w:t>grounds</w:t>
      </w:r>
      <w:r>
        <w:rPr>
          <w:spacing w:val="-2"/>
        </w:rPr>
        <w:t xml:space="preserve"> </w:t>
      </w:r>
      <w:r>
        <w:t>for</w:t>
      </w:r>
      <w:r>
        <w:rPr>
          <w:spacing w:val="-2"/>
        </w:rPr>
        <w:t xml:space="preserve"> </w:t>
      </w:r>
      <w:r>
        <w:t>asylum</w:t>
      </w:r>
      <w:r>
        <w:rPr>
          <w:spacing w:val="-1"/>
        </w:rPr>
        <w:t xml:space="preserve"> </w:t>
      </w:r>
      <w:r>
        <w:t>in</w:t>
      </w:r>
      <w:r>
        <w:rPr>
          <w:spacing w:val="-3"/>
        </w:rPr>
        <w:t xml:space="preserve"> </w:t>
      </w:r>
      <w:r>
        <w:t>1994,</w:t>
      </w:r>
      <w:r>
        <w:rPr>
          <w:spacing w:val="-2"/>
        </w:rPr>
        <w:t xml:space="preserve"> </w:t>
      </w:r>
      <w:r>
        <w:t xml:space="preserve">Congress passed the Defense of Marriage Act (DOMA) in 1996, which openly discriminated against same-sex married couples by denying them access to </w:t>
      </w:r>
      <w:r>
        <w:t>marriage-based federal benefits, including the ability to sponsor a spouse for a green card.</w:t>
      </w:r>
      <w:hyperlink w:anchor="_bookmark719" w:history="1">
        <w:r>
          <w:rPr>
            <w:vertAlign w:val="superscript"/>
          </w:rPr>
          <w:t>10</w:t>
        </w:r>
      </w:hyperlink>
      <w:r>
        <w:rPr>
          <w:spacing w:val="-2"/>
        </w:rPr>
        <w:t xml:space="preserve"> </w:t>
      </w:r>
      <w:r>
        <w:t xml:space="preserve">It was not until 2013, when the Supreme Court found Section 3 of DOMA unconstitutional, that same-sex couples could petition for </w:t>
      </w:r>
      <w:r>
        <w:t>their partners and family members. Although these events demonstrate a stride toward greater freedom and equality, LGBTQ foreign-born undocumented and documented people continue to face barriers to success in the United States.</w:t>
      </w:r>
    </w:p>
    <w:p w:rsidR="00200FDA" w:rsidRDefault="00F76C4C">
      <w:pPr>
        <w:pStyle w:val="BodyText"/>
        <w:spacing w:before="119" w:line="276" w:lineRule="auto"/>
        <w:ind w:left="139" w:right="134"/>
        <w:jc w:val="both"/>
      </w:pPr>
      <w:r>
        <w:t>Although</w:t>
      </w:r>
      <w:r>
        <w:rPr>
          <w:spacing w:val="-2"/>
        </w:rPr>
        <w:t xml:space="preserve"> </w:t>
      </w:r>
      <w:r>
        <w:t>roughly</w:t>
      </w:r>
      <w:r>
        <w:rPr>
          <w:spacing w:val="-3"/>
        </w:rPr>
        <w:t xml:space="preserve"> </w:t>
      </w:r>
      <w:r>
        <w:t>1 in</w:t>
      </w:r>
      <w:r>
        <w:rPr>
          <w:spacing w:val="-2"/>
        </w:rPr>
        <w:t xml:space="preserve"> </w:t>
      </w:r>
      <w:r>
        <w:t>6</w:t>
      </w:r>
      <w:r>
        <w:rPr>
          <w:spacing w:val="-2"/>
        </w:rPr>
        <w:t xml:space="preserve"> </w:t>
      </w:r>
      <w:r>
        <w:t>of</w:t>
      </w:r>
      <w:r>
        <w:rPr>
          <w:spacing w:val="-4"/>
        </w:rPr>
        <w:t xml:space="preserve"> </w:t>
      </w:r>
      <w:r>
        <w:t>M</w:t>
      </w:r>
      <w:r>
        <w:t>assachusetts</w:t>
      </w:r>
      <w:r>
        <w:rPr>
          <w:spacing w:val="-1"/>
        </w:rPr>
        <w:t xml:space="preserve"> </w:t>
      </w:r>
      <w:r>
        <w:t>residents</w:t>
      </w:r>
      <w:r>
        <w:rPr>
          <w:spacing w:val="-3"/>
        </w:rPr>
        <w:t xml:space="preserve"> </w:t>
      </w:r>
      <w:r>
        <w:t>are foreign-born</w:t>
      </w:r>
      <w:r>
        <w:rPr>
          <w:spacing w:val="-1"/>
        </w:rPr>
        <w:t xml:space="preserve"> </w:t>
      </w:r>
      <w:r>
        <w:t>(almost</w:t>
      </w:r>
      <w:r>
        <w:rPr>
          <w:spacing w:val="-3"/>
        </w:rPr>
        <w:t xml:space="preserve"> </w:t>
      </w:r>
      <w:r>
        <w:t>1.2</w:t>
      </w:r>
      <w:r>
        <w:rPr>
          <w:spacing w:val="-2"/>
        </w:rPr>
        <w:t xml:space="preserve"> </w:t>
      </w:r>
      <w:r>
        <w:t>million</w:t>
      </w:r>
      <w:r>
        <w:rPr>
          <w:spacing w:val="-2"/>
        </w:rPr>
        <w:t xml:space="preserve"> </w:t>
      </w:r>
      <w:r>
        <w:t>people,</w:t>
      </w:r>
      <w:r>
        <w:rPr>
          <w:spacing w:val="-3"/>
        </w:rPr>
        <w:t xml:space="preserve"> </w:t>
      </w:r>
      <w:r>
        <w:t>or</w:t>
      </w:r>
      <w:r>
        <w:rPr>
          <w:spacing w:val="-3"/>
        </w:rPr>
        <w:t xml:space="preserve"> </w:t>
      </w:r>
      <w:r>
        <w:t>16.9% of</w:t>
      </w:r>
      <w:r>
        <w:rPr>
          <w:spacing w:val="-2"/>
        </w:rPr>
        <w:t xml:space="preserve"> </w:t>
      </w:r>
      <w:r>
        <w:t>the</w:t>
      </w:r>
      <w:r>
        <w:rPr>
          <w:spacing w:val="-1"/>
        </w:rPr>
        <w:t xml:space="preserve"> </w:t>
      </w:r>
      <w:r>
        <w:t>population)</w:t>
      </w:r>
      <w:r>
        <w:rPr>
          <w:spacing w:val="-2"/>
        </w:rPr>
        <w:t xml:space="preserve"> </w:t>
      </w:r>
      <w:r>
        <w:t>and another</w:t>
      </w:r>
      <w:r>
        <w:rPr>
          <w:spacing w:val="-2"/>
        </w:rPr>
        <w:t xml:space="preserve"> </w:t>
      </w:r>
      <w:r>
        <w:t>1</w:t>
      </w:r>
      <w:r>
        <w:rPr>
          <w:spacing w:val="-1"/>
        </w:rPr>
        <w:t xml:space="preserve"> </w:t>
      </w:r>
      <w:r>
        <w:t>in</w:t>
      </w:r>
      <w:r>
        <w:rPr>
          <w:spacing w:val="-3"/>
        </w:rPr>
        <w:t xml:space="preserve"> </w:t>
      </w:r>
      <w:r>
        <w:t>7</w:t>
      </w:r>
      <w:r>
        <w:rPr>
          <w:spacing w:val="-1"/>
        </w:rPr>
        <w:t xml:space="preserve"> </w:t>
      </w:r>
      <w:r>
        <w:t>are</w:t>
      </w:r>
      <w:r>
        <w:rPr>
          <w:spacing w:val="-1"/>
        </w:rPr>
        <w:t xml:space="preserve"> </w:t>
      </w:r>
      <w:r>
        <w:t>U.S.-born</w:t>
      </w:r>
      <w:r>
        <w:rPr>
          <w:spacing w:val="-2"/>
        </w:rPr>
        <w:t xml:space="preserve"> </w:t>
      </w:r>
      <w:r>
        <w:t>with at</w:t>
      </w:r>
      <w:r>
        <w:rPr>
          <w:spacing w:val="-1"/>
        </w:rPr>
        <w:t xml:space="preserve"> </w:t>
      </w:r>
      <w:r>
        <w:t>least</w:t>
      </w:r>
      <w:r>
        <w:rPr>
          <w:spacing w:val="-1"/>
        </w:rPr>
        <w:t xml:space="preserve"> </w:t>
      </w:r>
      <w:r>
        <w:t>one foreign-born parent,</w:t>
      </w:r>
      <w:r>
        <w:rPr>
          <w:spacing w:val="-4"/>
        </w:rPr>
        <w:t xml:space="preserve"> </w:t>
      </w:r>
      <w:r>
        <w:t>Massachusetts</w:t>
      </w:r>
    </w:p>
    <w:p w:rsidR="00200FDA" w:rsidRDefault="00200FDA">
      <w:pPr>
        <w:spacing w:line="276" w:lineRule="auto"/>
        <w:jc w:val="both"/>
        <w:sectPr w:rsidR="00200FDA">
          <w:pgSz w:w="12240" w:h="15840"/>
          <w:pgMar w:top="1360" w:right="1300" w:bottom="1240" w:left="1300" w:header="763" w:footer="1043" w:gutter="0"/>
          <w:cols w:space="720"/>
        </w:sectPr>
      </w:pPr>
    </w:p>
    <w:p w:rsidR="00200FDA" w:rsidRDefault="00F76C4C">
      <w:pPr>
        <w:pStyle w:val="BodyText"/>
        <w:spacing w:before="64" w:line="276" w:lineRule="auto"/>
        <w:ind w:left="139" w:right="135"/>
        <w:jc w:val="both"/>
      </w:pPr>
      <w:r>
        <w:lastRenderedPageBreak/>
        <w:t>has a mixed history with policy development to benefit foreign-born residents.</w:t>
      </w:r>
      <w:r>
        <w:rPr>
          <w:spacing w:val="-13"/>
        </w:rPr>
        <w:t xml:space="preserve"> </w:t>
      </w:r>
      <w:hyperlink w:anchor="_bookmark720" w:history="1">
        <w:r>
          <w:rPr>
            <w:vertAlign w:val="superscript"/>
          </w:rPr>
          <w:t>11</w:t>
        </w:r>
      </w:hyperlink>
      <w:r>
        <w:t xml:space="preserve"> However, as noted above, in recent years, Massachusetts has taken several strides forward to better support foreign-born individuals,</w:t>
      </w:r>
      <w:r>
        <w:rPr>
          <w:spacing w:val="-3"/>
        </w:rPr>
        <w:t xml:space="preserve"> </w:t>
      </w:r>
      <w:r>
        <w:t>families</w:t>
      </w:r>
      <w:r>
        <w:rPr>
          <w:spacing w:val="-3"/>
        </w:rPr>
        <w:t xml:space="preserve"> </w:t>
      </w:r>
      <w:r>
        <w:t>and</w:t>
      </w:r>
      <w:r>
        <w:rPr>
          <w:spacing w:val="-4"/>
        </w:rPr>
        <w:t xml:space="preserve"> </w:t>
      </w:r>
      <w:r>
        <w:t>communities,</w:t>
      </w:r>
      <w:r>
        <w:rPr>
          <w:spacing w:val="-3"/>
        </w:rPr>
        <w:t xml:space="preserve"> </w:t>
      </w:r>
      <w:r>
        <w:t>but</w:t>
      </w:r>
      <w:r>
        <w:rPr>
          <w:spacing w:val="-5"/>
        </w:rPr>
        <w:t xml:space="preserve"> </w:t>
      </w:r>
      <w:r>
        <w:t>has</w:t>
      </w:r>
      <w:r>
        <w:rPr>
          <w:spacing w:val="-3"/>
        </w:rPr>
        <w:t xml:space="preserve"> </w:t>
      </w:r>
      <w:r>
        <w:t>continued</w:t>
      </w:r>
      <w:r>
        <w:rPr>
          <w:spacing w:val="-4"/>
        </w:rPr>
        <w:t xml:space="preserve"> </w:t>
      </w:r>
      <w:r>
        <w:t>to</w:t>
      </w:r>
      <w:r>
        <w:rPr>
          <w:spacing w:val="-4"/>
        </w:rPr>
        <w:t xml:space="preserve"> </w:t>
      </w:r>
      <w:r>
        <w:t>see</w:t>
      </w:r>
      <w:r>
        <w:rPr>
          <w:spacing w:val="-2"/>
        </w:rPr>
        <w:t xml:space="preserve"> </w:t>
      </w:r>
      <w:r>
        <w:t>controversial</w:t>
      </w:r>
      <w:r>
        <w:rPr>
          <w:spacing w:val="-3"/>
        </w:rPr>
        <w:t xml:space="preserve"> </w:t>
      </w:r>
      <w:r>
        <w:t>challenges</w:t>
      </w:r>
      <w:r>
        <w:rPr>
          <w:spacing w:val="-3"/>
        </w:rPr>
        <w:t xml:space="preserve"> </w:t>
      </w:r>
      <w:r>
        <w:t>to</w:t>
      </w:r>
      <w:r>
        <w:rPr>
          <w:spacing w:val="-2"/>
        </w:rPr>
        <w:t xml:space="preserve"> </w:t>
      </w:r>
      <w:r>
        <w:t>these</w:t>
      </w:r>
      <w:r>
        <w:rPr>
          <w:spacing w:val="-5"/>
        </w:rPr>
        <w:t xml:space="preserve"> </w:t>
      </w:r>
      <w:r>
        <w:t>efforts. For</w:t>
      </w:r>
      <w:r>
        <w:rPr>
          <w:spacing w:val="-9"/>
        </w:rPr>
        <w:t xml:space="preserve"> </w:t>
      </w:r>
      <w:r>
        <w:t>example,</w:t>
      </w:r>
      <w:r>
        <w:rPr>
          <w:spacing w:val="-9"/>
        </w:rPr>
        <w:t xml:space="preserve"> </w:t>
      </w:r>
      <w:r>
        <w:t>though</w:t>
      </w:r>
      <w:r>
        <w:rPr>
          <w:spacing w:val="-10"/>
        </w:rPr>
        <w:t xml:space="preserve"> </w:t>
      </w:r>
      <w:r>
        <w:t>vetoed</w:t>
      </w:r>
      <w:r>
        <w:rPr>
          <w:spacing w:val="-10"/>
        </w:rPr>
        <w:t xml:space="preserve"> </w:t>
      </w:r>
      <w:r>
        <w:t>by</w:t>
      </w:r>
      <w:r>
        <w:rPr>
          <w:spacing w:val="-8"/>
        </w:rPr>
        <w:t xml:space="preserve"> </w:t>
      </w:r>
      <w:r>
        <w:t>former</w:t>
      </w:r>
      <w:r>
        <w:rPr>
          <w:spacing w:val="-9"/>
        </w:rPr>
        <w:t xml:space="preserve"> </w:t>
      </w:r>
      <w:r>
        <w:t>Governor</w:t>
      </w:r>
      <w:r>
        <w:rPr>
          <w:spacing w:val="-9"/>
        </w:rPr>
        <w:t xml:space="preserve"> </w:t>
      </w:r>
      <w:r>
        <w:t>Baker</w:t>
      </w:r>
      <w:r>
        <w:rPr>
          <w:spacing w:val="-9"/>
        </w:rPr>
        <w:t xml:space="preserve"> </w:t>
      </w:r>
      <w:r>
        <w:t>in</w:t>
      </w:r>
      <w:r>
        <w:rPr>
          <w:spacing w:val="-10"/>
        </w:rPr>
        <w:t xml:space="preserve"> </w:t>
      </w:r>
      <w:r>
        <w:t>the</w:t>
      </w:r>
      <w:r>
        <w:rPr>
          <w:spacing w:val="-8"/>
        </w:rPr>
        <w:t xml:space="preserve"> </w:t>
      </w:r>
      <w:r>
        <w:t>summer</w:t>
      </w:r>
      <w:r>
        <w:rPr>
          <w:spacing w:val="-9"/>
        </w:rPr>
        <w:t xml:space="preserve"> </w:t>
      </w:r>
      <w:r>
        <w:t>of</w:t>
      </w:r>
      <w:r>
        <w:rPr>
          <w:spacing w:val="-12"/>
        </w:rPr>
        <w:t xml:space="preserve"> </w:t>
      </w:r>
      <w:r>
        <w:t>2022,</w:t>
      </w:r>
      <w:r>
        <w:rPr>
          <w:spacing w:val="-11"/>
        </w:rPr>
        <w:t xml:space="preserve"> </w:t>
      </w:r>
      <w:r>
        <w:t>Massachusetts</w:t>
      </w:r>
      <w:r>
        <w:rPr>
          <w:spacing w:val="-9"/>
        </w:rPr>
        <w:t xml:space="preserve"> </w:t>
      </w:r>
      <w:r>
        <w:t>lawmakers passed a bill to allow undocumented residents to obtain driver’s licenses through the Registry of Motor Vehicles (RMV) which the</w:t>
      </w:r>
      <w:r>
        <w:rPr>
          <w:spacing w:val="-1"/>
        </w:rPr>
        <w:t xml:space="preserve"> </w:t>
      </w:r>
      <w:r>
        <w:t>Commission had supported for several years. Shortly after, a push to overturn the new law appeared</w:t>
      </w:r>
      <w:r>
        <w:rPr>
          <w:spacing w:val="-3"/>
        </w:rPr>
        <w:t xml:space="preserve"> </w:t>
      </w:r>
      <w:r>
        <w:t>on the midterm bal</w:t>
      </w:r>
      <w:r>
        <w:t>lot</w:t>
      </w:r>
      <w:r>
        <w:rPr>
          <w:spacing w:val="-1"/>
        </w:rPr>
        <w:t xml:space="preserve"> </w:t>
      </w:r>
      <w:r>
        <w:t>as Question 4,</w:t>
      </w:r>
      <w:r>
        <w:rPr>
          <w:spacing w:val="-2"/>
        </w:rPr>
        <w:t xml:space="preserve"> </w:t>
      </w:r>
      <w:r>
        <w:t>which passed</w:t>
      </w:r>
      <w:r>
        <w:rPr>
          <w:spacing w:val="-3"/>
        </w:rPr>
        <w:t xml:space="preserve"> </w:t>
      </w:r>
      <w:r>
        <w:t>by</w:t>
      </w:r>
      <w:r>
        <w:rPr>
          <w:spacing w:val="-1"/>
        </w:rPr>
        <w:t xml:space="preserve"> </w:t>
      </w:r>
      <w:r>
        <w:t>slim</w:t>
      </w:r>
      <w:r>
        <w:rPr>
          <w:spacing w:val="-1"/>
        </w:rPr>
        <w:t xml:space="preserve"> </w:t>
      </w:r>
      <w:r>
        <w:t>margins: about</w:t>
      </w:r>
      <w:r>
        <w:rPr>
          <w:spacing w:val="-1"/>
        </w:rPr>
        <w:t xml:space="preserve"> </w:t>
      </w:r>
      <w:r>
        <w:t>54%</w:t>
      </w:r>
      <w:r>
        <w:rPr>
          <w:spacing w:val="-1"/>
        </w:rPr>
        <w:t xml:space="preserve"> </w:t>
      </w:r>
      <w:r>
        <w:t>of voters supported the measure and 46% did not.</w:t>
      </w:r>
      <w:hyperlink w:anchor="_bookmark721" w:history="1">
        <w:r>
          <w:rPr>
            <w:vertAlign w:val="superscript"/>
          </w:rPr>
          <w:t>12</w:t>
        </w:r>
      </w:hyperlink>
    </w:p>
    <w:p w:rsidR="00200FDA" w:rsidRDefault="00200FDA">
      <w:pPr>
        <w:pStyle w:val="BodyText"/>
        <w:spacing w:before="9"/>
        <w:rPr>
          <w:sz w:val="32"/>
        </w:rPr>
      </w:pPr>
    </w:p>
    <w:p w:rsidR="00200FDA" w:rsidRDefault="00F76C4C">
      <w:pPr>
        <w:pStyle w:val="Heading7"/>
        <w:ind w:left="140"/>
        <w:jc w:val="both"/>
      </w:pPr>
      <w:r>
        <w:pict>
          <v:rect id="docshape436" o:spid="_x0000_s1168" style="position:absolute;left:0;text-align:left;margin-left:70.55pt;margin-top:18.15pt;width:470.9pt;height:.5pt;z-index:-15644672;mso-wrap-distance-left:0;mso-wrap-distance-right:0;mso-position-horizontal-relative:page" fillcolor="#0f6ec5" stroked="f">
            <w10:wrap type="topAndBottom" anchorx="page"/>
          </v:rect>
        </w:pict>
      </w:r>
      <w:bookmarkStart w:id="890" w:name="Research:_Understanding_Policy_and_Resou"/>
      <w:bookmarkEnd w:id="890"/>
      <w:r>
        <w:rPr>
          <w:color w:val="0A5293"/>
        </w:rPr>
        <w:t>Research:</w:t>
      </w:r>
      <w:r>
        <w:rPr>
          <w:color w:val="0A5293"/>
          <w:spacing w:val="-11"/>
        </w:rPr>
        <w:t xml:space="preserve"> </w:t>
      </w:r>
      <w:r>
        <w:rPr>
          <w:color w:val="0A5293"/>
        </w:rPr>
        <w:t>Understanding</w:t>
      </w:r>
      <w:r>
        <w:rPr>
          <w:color w:val="0A5293"/>
          <w:spacing w:val="-8"/>
        </w:rPr>
        <w:t xml:space="preserve"> </w:t>
      </w:r>
      <w:r>
        <w:rPr>
          <w:color w:val="0A5293"/>
        </w:rPr>
        <w:t>Policy</w:t>
      </w:r>
      <w:r>
        <w:rPr>
          <w:color w:val="0A5293"/>
          <w:spacing w:val="-7"/>
        </w:rPr>
        <w:t xml:space="preserve"> </w:t>
      </w:r>
      <w:r>
        <w:rPr>
          <w:color w:val="0A5293"/>
        </w:rPr>
        <w:t>and</w:t>
      </w:r>
      <w:r>
        <w:rPr>
          <w:color w:val="0A5293"/>
          <w:spacing w:val="-9"/>
        </w:rPr>
        <w:t xml:space="preserve"> </w:t>
      </w:r>
      <w:r>
        <w:rPr>
          <w:color w:val="0A5293"/>
        </w:rPr>
        <w:t>Resource</w:t>
      </w:r>
      <w:r>
        <w:rPr>
          <w:color w:val="0A5293"/>
          <w:spacing w:val="-8"/>
        </w:rPr>
        <w:t xml:space="preserve"> </w:t>
      </w:r>
      <w:r>
        <w:rPr>
          <w:color w:val="0A5293"/>
          <w:spacing w:val="-2"/>
        </w:rPr>
        <w:t>Needs</w:t>
      </w:r>
    </w:p>
    <w:p w:rsidR="00200FDA" w:rsidRDefault="00200FDA">
      <w:pPr>
        <w:pStyle w:val="BodyText"/>
        <w:rPr>
          <w:sz w:val="20"/>
        </w:rPr>
      </w:pPr>
    </w:p>
    <w:p w:rsidR="00200FDA" w:rsidRDefault="00200FDA">
      <w:pPr>
        <w:pStyle w:val="BodyText"/>
        <w:spacing w:before="3"/>
        <w:rPr>
          <w:sz w:val="18"/>
        </w:rPr>
      </w:pPr>
    </w:p>
    <w:p w:rsidR="00200FDA" w:rsidRDefault="00F76C4C">
      <w:pPr>
        <w:pStyle w:val="Heading8"/>
      </w:pPr>
      <w:bookmarkStart w:id="891" w:name="Data_Overview_and_Limitations"/>
      <w:bookmarkEnd w:id="891"/>
      <w:r>
        <w:rPr>
          <w:color w:val="0A5293"/>
        </w:rPr>
        <w:t>Data</w:t>
      </w:r>
      <w:r>
        <w:rPr>
          <w:color w:val="0A5293"/>
          <w:spacing w:val="-3"/>
        </w:rPr>
        <w:t xml:space="preserve"> </w:t>
      </w:r>
      <w:r>
        <w:rPr>
          <w:color w:val="0A5293"/>
        </w:rPr>
        <w:t>Overview</w:t>
      </w:r>
      <w:r>
        <w:rPr>
          <w:color w:val="0A5293"/>
          <w:spacing w:val="-2"/>
        </w:rPr>
        <w:t xml:space="preserve"> </w:t>
      </w:r>
      <w:r>
        <w:rPr>
          <w:color w:val="0A5293"/>
        </w:rPr>
        <w:t>and</w:t>
      </w:r>
      <w:r>
        <w:rPr>
          <w:color w:val="0A5293"/>
          <w:spacing w:val="1"/>
        </w:rPr>
        <w:t xml:space="preserve"> </w:t>
      </w:r>
      <w:r>
        <w:rPr>
          <w:color w:val="0A5293"/>
          <w:spacing w:val="-2"/>
        </w:rPr>
        <w:t>Limitations</w:t>
      </w:r>
    </w:p>
    <w:p w:rsidR="00200FDA" w:rsidRDefault="00200FDA">
      <w:pPr>
        <w:pStyle w:val="BodyText"/>
        <w:spacing w:before="4"/>
        <w:rPr>
          <w:sz w:val="25"/>
        </w:rPr>
      </w:pPr>
    </w:p>
    <w:p w:rsidR="00200FDA" w:rsidRDefault="00F76C4C">
      <w:pPr>
        <w:pStyle w:val="BodyText"/>
        <w:spacing w:line="276" w:lineRule="auto"/>
        <w:ind w:left="5299" w:right="132"/>
        <w:jc w:val="both"/>
      </w:pPr>
      <w:r>
        <w:rPr>
          <w:noProof/>
        </w:rPr>
        <w:drawing>
          <wp:anchor distT="0" distB="0" distL="0" distR="0" simplePos="0" relativeHeight="15813120" behindDoc="0" locked="0" layoutInCell="1" allowOverlap="1">
            <wp:simplePos x="0" y="0"/>
            <wp:positionH relativeFrom="page">
              <wp:posOffset>1114010</wp:posOffset>
            </wp:positionH>
            <wp:positionV relativeFrom="paragraph">
              <wp:posOffset>30880</wp:posOffset>
            </wp:positionV>
            <wp:extent cx="2861079" cy="2096894"/>
            <wp:effectExtent l="0" t="0" r="0" b="0"/>
            <wp:wrapNone/>
            <wp:docPr id="131"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27.jpeg"/>
                    <pic:cNvPicPr/>
                  </pic:nvPicPr>
                  <pic:blipFill>
                    <a:blip r:embed="rId681" cstate="print"/>
                    <a:stretch>
                      <a:fillRect/>
                    </a:stretch>
                  </pic:blipFill>
                  <pic:spPr>
                    <a:xfrm>
                      <a:off x="0" y="0"/>
                      <a:ext cx="2861079" cy="2096894"/>
                    </a:xfrm>
                    <a:prstGeom prst="rect">
                      <a:avLst/>
                    </a:prstGeom>
                  </pic:spPr>
                </pic:pic>
              </a:graphicData>
            </a:graphic>
          </wp:anchor>
        </w:drawing>
      </w:r>
      <w:r>
        <w:t>In the United States, little information is available about the number or characteristics of</w:t>
      </w:r>
      <w:r>
        <w:rPr>
          <w:spacing w:val="-7"/>
        </w:rPr>
        <w:t xml:space="preserve"> </w:t>
      </w:r>
      <w:r>
        <w:t>LGBTQ</w:t>
      </w:r>
      <w:r>
        <w:rPr>
          <w:spacing w:val="-8"/>
        </w:rPr>
        <w:t xml:space="preserve"> </w:t>
      </w:r>
      <w:r>
        <w:t>immigrants.</w:t>
      </w:r>
      <w:r>
        <w:rPr>
          <w:spacing w:val="-9"/>
        </w:rPr>
        <w:t xml:space="preserve"> </w:t>
      </w:r>
      <w:r>
        <w:t>Using</w:t>
      </w:r>
      <w:r>
        <w:rPr>
          <w:spacing w:val="-7"/>
        </w:rPr>
        <w:t xml:space="preserve"> </w:t>
      </w:r>
      <w:r>
        <w:t>data</w:t>
      </w:r>
      <w:r>
        <w:rPr>
          <w:spacing w:val="-7"/>
        </w:rPr>
        <w:t xml:space="preserve"> </w:t>
      </w:r>
      <w:r>
        <w:t>from</w:t>
      </w:r>
      <w:r>
        <w:rPr>
          <w:spacing w:val="-7"/>
        </w:rPr>
        <w:t xml:space="preserve"> </w:t>
      </w:r>
      <w:r>
        <w:t>the</w:t>
      </w:r>
      <w:r>
        <w:rPr>
          <w:spacing w:val="-8"/>
        </w:rPr>
        <w:t xml:space="preserve"> </w:t>
      </w:r>
      <w:r>
        <w:t>Pew Research Center, the 2017 Gallup Daily Tracking Survey, and the U.S. Census Bureau’s American</w:t>
      </w:r>
      <w:r>
        <w:rPr>
          <w:spacing w:val="-7"/>
        </w:rPr>
        <w:t xml:space="preserve"> </w:t>
      </w:r>
      <w:r>
        <w:t>Community</w:t>
      </w:r>
      <w:r>
        <w:rPr>
          <w:spacing w:val="-4"/>
        </w:rPr>
        <w:t xml:space="preserve"> </w:t>
      </w:r>
      <w:r>
        <w:t>Survey,</w:t>
      </w:r>
      <w:r>
        <w:rPr>
          <w:spacing w:val="-6"/>
        </w:rPr>
        <w:t xml:space="preserve"> </w:t>
      </w:r>
      <w:r>
        <w:t>UCLA’s</w:t>
      </w:r>
      <w:r>
        <w:rPr>
          <w:spacing w:val="-4"/>
        </w:rPr>
        <w:t xml:space="preserve"> </w:t>
      </w:r>
      <w:r>
        <w:t>Sc</w:t>
      </w:r>
      <w:r>
        <w:t>hool</w:t>
      </w:r>
      <w:r>
        <w:rPr>
          <w:spacing w:val="-6"/>
        </w:rPr>
        <w:t xml:space="preserve"> </w:t>
      </w:r>
      <w:r>
        <w:t>of Law</w:t>
      </w:r>
      <w:r>
        <w:rPr>
          <w:spacing w:val="-4"/>
        </w:rPr>
        <w:t xml:space="preserve"> </w:t>
      </w:r>
      <w:r>
        <w:t>Williams</w:t>
      </w:r>
      <w:r>
        <w:rPr>
          <w:spacing w:val="-3"/>
        </w:rPr>
        <w:t xml:space="preserve"> </w:t>
      </w:r>
      <w:r>
        <w:t>Institute</w:t>
      </w:r>
      <w:r>
        <w:rPr>
          <w:spacing w:val="-4"/>
        </w:rPr>
        <w:t xml:space="preserve"> </w:t>
      </w:r>
      <w:r>
        <w:t>estimates</w:t>
      </w:r>
      <w:r>
        <w:rPr>
          <w:spacing w:val="-3"/>
        </w:rPr>
        <w:t xml:space="preserve"> </w:t>
      </w:r>
      <w:r>
        <w:t>that</w:t>
      </w:r>
      <w:r>
        <w:rPr>
          <w:spacing w:val="-4"/>
        </w:rPr>
        <w:t xml:space="preserve"> </w:t>
      </w:r>
      <w:r>
        <w:t>there</w:t>
      </w:r>
      <w:r>
        <w:rPr>
          <w:spacing w:val="-3"/>
        </w:rPr>
        <w:t xml:space="preserve"> </w:t>
      </w:r>
      <w:r>
        <w:t>are approximately 1,274,500 LGBT foreign-born adults in the U.S., including 289,700 (22.7%) who are undocumented and 984,800 (77.3%) who are</w:t>
      </w:r>
      <w:r>
        <w:rPr>
          <w:spacing w:val="-1"/>
        </w:rPr>
        <w:t xml:space="preserve"> </w:t>
      </w:r>
      <w:r>
        <w:t>documented.</w:t>
      </w:r>
      <w:hyperlink w:anchor="_bookmark722" w:history="1">
        <w:r>
          <w:rPr>
            <w:vertAlign w:val="superscript"/>
          </w:rPr>
          <w:t>13</w:t>
        </w:r>
      </w:hyperlink>
      <w:r>
        <w:rPr>
          <w:spacing w:val="-5"/>
        </w:rPr>
        <w:t xml:space="preserve"> </w:t>
      </w:r>
      <w:r>
        <w:t>Their report</w:t>
      </w:r>
      <w:r>
        <w:rPr>
          <w:spacing w:val="-1"/>
        </w:rPr>
        <w:t xml:space="preserve"> </w:t>
      </w:r>
      <w:r>
        <w:t>foun</w:t>
      </w:r>
      <w:r>
        <w:t>d</w:t>
      </w:r>
      <w:r>
        <w:rPr>
          <w:spacing w:val="-2"/>
        </w:rPr>
        <w:t xml:space="preserve"> </w:t>
      </w:r>
      <w:r>
        <w:t>the following:</w:t>
      </w:r>
      <w:r>
        <w:rPr>
          <w:spacing w:val="57"/>
        </w:rPr>
        <w:t xml:space="preserve">  </w:t>
      </w:r>
      <w:r>
        <w:t>relative</w:t>
      </w:r>
      <w:r>
        <w:rPr>
          <w:spacing w:val="57"/>
        </w:rPr>
        <w:t xml:space="preserve">  </w:t>
      </w:r>
      <w:r>
        <w:t>to</w:t>
      </w:r>
      <w:r>
        <w:rPr>
          <w:spacing w:val="56"/>
        </w:rPr>
        <w:t xml:space="preserve">  </w:t>
      </w:r>
      <w:r>
        <w:t>all</w:t>
      </w:r>
      <w:r>
        <w:rPr>
          <w:spacing w:val="57"/>
        </w:rPr>
        <w:t xml:space="preserve">  </w:t>
      </w:r>
      <w:r>
        <w:rPr>
          <w:spacing w:val="-2"/>
        </w:rPr>
        <w:t>undocumented</w:t>
      </w:r>
    </w:p>
    <w:p w:rsidR="00200FDA" w:rsidRDefault="00F76C4C">
      <w:pPr>
        <w:pStyle w:val="BodyText"/>
        <w:spacing w:line="276" w:lineRule="auto"/>
        <w:ind w:left="139" w:right="137"/>
        <w:jc w:val="both"/>
      </w:pPr>
      <w:r>
        <w:t>immigrants, LGBT undocumented immigrants are more often male, between the ages of 18 and 29, and Latino/a; the same holds true for LGBTQ documented immigrants.</w:t>
      </w:r>
    </w:p>
    <w:p w:rsidR="00200FDA" w:rsidRDefault="00F76C4C">
      <w:pPr>
        <w:pStyle w:val="BodyText"/>
        <w:spacing w:before="121" w:line="276" w:lineRule="auto"/>
        <w:ind w:left="140" w:right="132" w:hanging="1"/>
        <w:jc w:val="both"/>
      </w:pPr>
      <w:r>
        <w:t>Similarly, using data from The Trevor Project’</w:t>
      </w:r>
      <w:r>
        <w:t>s 2020 National Survey on LGBTQ Youth Mental Health,</w:t>
      </w:r>
      <w:hyperlink w:anchor="_bookmark723" w:history="1">
        <w:r>
          <w:rPr>
            <w:vertAlign w:val="superscript"/>
          </w:rPr>
          <w:t>14</w:t>
        </w:r>
      </w:hyperlink>
      <w:r>
        <w:t xml:space="preserve"> researchers</w:t>
      </w:r>
      <w:r>
        <w:rPr>
          <w:spacing w:val="-5"/>
        </w:rPr>
        <w:t xml:space="preserve"> </w:t>
      </w:r>
      <w:r>
        <w:t>found</w:t>
      </w:r>
      <w:r>
        <w:rPr>
          <w:spacing w:val="-6"/>
        </w:rPr>
        <w:t xml:space="preserve"> </w:t>
      </w:r>
      <w:r>
        <w:t>that</w:t>
      </w:r>
      <w:r>
        <w:rPr>
          <w:spacing w:val="-5"/>
        </w:rPr>
        <w:t xml:space="preserve"> </w:t>
      </w:r>
      <w:r>
        <w:t>nearly</w:t>
      </w:r>
      <w:r>
        <w:rPr>
          <w:spacing w:val="-5"/>
        </w:rPr>
        <w:t xml:space="preserve"> </w:t>
      </w:r>
      <w:r>
        <w:t>1</w:t>
      </w:r>
      <w:r>
        <w:rPr>
          <w:spacing w:val="-7"/>
        </w:rPr>
        <w:t xml:space="preserve"> </w:t>
      </w:r>
      <w:r>
        <w:t>out</w:t>
      </w:r>
      <w:r>
        <w:rPr>
          <w:spacing w:val="-8"/>
        </w:rPr>
        <w:t xml:space="preserve"> </w:t>
      </w:r>
      <w:r>
        <w:t>of</w:t>
      </w:r>
      <w:r>
        <w:rPr>
          <w:spacing w:val="-8"/>
        </w:rPr>
        <w:t xml:space="preserve"> </w:t>
      </w:r>
      <w:r>
        <w:t>4</w:t>
      </w:r>
      <w:r>
        <w:rPr>
          <w:spacing w:val="-5"/>
        </w:rPr>
        <w:t xml:space="preserve"> </w:t>
      </w:r>
      <w:r>
        <w:t>LGBTQ</w:t>
      </w:r>
      <w:r>
        <w:rPr>
          <w:spacing w:val="-8"/>
        </w:rPr>
        <w:t xml:space="preserve"> </w:t>
      </w:r>
      <w:r>
        <w:t>youth</w:t>
      </w:r>
      <w:r>
        <w:rPr>
          <w:spacing w:val="-6"/>
        </w:rPr>
        <w:t xml:space="preserve"> </w:t>
      </w:r>
      <w:r>
        <w:t>(24%)</w:t>
      </w:r>
      <w:r>
        <w:rPr>
          <w:spacing w:val="-5"/>
        </w:rPr>
        <w:t xml:space="preserve"> </w:t>
      </w:r>
      <w:r>
        <w:t>in</w:t>
      </w:r>
      <w:r>
        <w:rPr>
          <w:spacing w:val="-6"/>
        </w:rPr>
        <w:t xml:space="preserve"> </w:t>
      </w:r>
      <w:r>
        <w:t>their</w:t>
      </w:r>
      <w:r>
        <w:rPr>
          <w:spacing w:val="-8"/>
        </w:rPr>
        <w:t xml:space="preserve"> </w:t>
      </w:r>
      <w:r>
        <w:t>sample</w:t>
      </w:r>
      <w:r>
        <w:rPr>
          <w:spacing w:val="-5"/>
        </w:rPr>
        <w:t xml:space="preserve"> </w:t>
      </w:r>
      <w:r>
        <w:t>indicated</w:t>
      </w:r>
      <w:r>
        <w:rPr>
          <w:spacing w:val="-6"/>
        </w:rPr>
        <w:t xml:space="preserve"> </w:t>
      </w:r>
      <w:r>
        <w:t>that</w:t>
      </w:r>
      <w:r>
        <w:rPr>
          <w:spacing w:val="-8"/>
        </w:rPr>
        <w:t xml:space="preserve"> </w:t>
      </w:r>
      <w:r>
        <w:t>they</w:t>
      </w:r>
      <w:r>
        <w:rPr>
          <w:spacing w:val="-7"/>
        </w:rPr>
        <w:t xml:space="preserve"> </w:t>
      </w:r>
      <w:r>
        <w:t>are</w:t>
      </w:r>
      <w:r>
        <w:rPr>
          <w:spacing w:val="-5"/>
        </w:rPr>
        <w:t xml:space="preserve"> </w:t>
      </w:r>
      <w:r>
        <w:t>a</w:t>
      </w:r>
      <w:r>
        <w:rPr>
          <w:spacing w:val="-6"/>
        </w:rPr>
        <w:t xml:space="preserve"> </w:t>
      </w:r>
      <w:r>
        <w:t>first- generation youth. However, more research needs to be done to capture the national and state number and characteristics of first-generation LGBTQ youth, and their experiences in state systems.</w:t>
      </w:r>
    </w:p>
    <w:p w:rsidR="00200FDA" w:rsidRDefault="00F76C4C">
      <w:pPr>
        <w:pStyle w:val="BodyText"/>
        <w:spacing w:before="119" w:line="276" w:lineRule="auto"/>
        <w:ind w:left="139" w:right="134"/>
        <w:jc w:val="both"/>
      </w:pPr>
      <w:r>
        <w:t>Representative information about LGBTQ foreign-born youth</w:t>
      </w:r>
      <w:r>
        <w:t xml:space="preserve"> specifically is largely missing for the U.S. population</w:t>
      </w:r>
      <w:r>
        <w:rPr>
          <w:spacing w:val="-11"/>
        </w:rPr>
        <w:t xml:space="preserve"> </w:t>
      </w:r>
      <w:r>
        <w:t>because</w:t>
      </w:r>
      <w:r>
        <w:rPr>
          <w:spacing w:val="-9"/>
        </w:rPr>
        <w:t xml:space="preserve"> </w:t>
      </w:r>
      <w:r>
        <w:t>large</w:t>
      </w:r>
      <w:r>
        <w:rPr>
          <w:spacing w:val="-9"/>
        </w:rPr>
        <w:t xml:space="preserve"> </w:t>
      </w:r>
      <w:r>
        <w:t>surveys</w:t>
      </w:r>
      <w:r>
        <w:rPr>
          <w:spacing w:val="-10"/>
        </w:rPr>
        <w:t xml:space="preserve"> </w:t>
      </w:r>
      <w:r>
        <w:t>conducted</w:t>
      </w:r>
      <w:r>
        <w:rPr>
          <w:spacing w:val="-11"/>
        </w:rPr>
        <w:t xml:space="preserve"> </w:t>
      </w:r>
      <w:r>
        <w:t>by</w:t>
      </w:r>
      <w:r>
        <w:rPr>
          <w:spacing w:val="-11"/>
        </w:rPr>
        <w:t xml:space="preserve"> </w:t>
      </w:r>
      <w:r>
        <w:t>the</w:t>
      </w:r>
      <w:r>
        <w:rPr>
          <w:spacing w:val="-11"/>
        </w:rPr>
        <w:t xml:space="preserve"> </w:t>
      </w:r>
      <w:r>
        <w:t>U.S.</w:t>
      </w:r>
      <w:r>
        <w:rPr>
          <w:spacing w:val="-10"/>
        </w:rPr>
        <w:t xml:space="preserve"> </w:t>
      </w:r>
      <w:r>
        <w:t>Census</w:t>
      </w:r>
      <w:r>
        <w:rPr>
          <w:spacing w:val="-10"/>
        </w:rPr>
        <w:t xml:space="preserve"> </w:t>
      </w:r>
      <w:r>
        <w:t>Bureau,</w:t>
      </w:r>
      <w:r>
        <w:rPr>
          <w:spacing w:val="-11"/>
        </w:rPr>
        <w:t xml:space="preserve"> </w:t>
      </w:r>
      <w:r>
        <w:t>such</w:t>
      </w:r>
      <w:r>
        <w:rPr>
          <w:spacing w:val="-11"/>
        </w:rPr>
        <w:t xml:space="preserve"> </w:t>
      </w:r>
      <w:r>
        <w:t>as</w:t>
      </w:r>
      <w:r>
        <w:rPr>
          <w:spacing w:val="-10"/>
        </w:rPr>
        <w:t xml:space="preserve"> </w:t>
      </w:r>
      <w:r>
        <w:t>the</w:t>
      </w:r>
      <w:r>
        <w:rPr>
          <w:spacing w:val="-9"/>
        </w:rPr>
        <w:t xml:space="preserve"> </w:t>
      </w:r>
      <w:r>
        <w:t>American</w:t>
      </w:r>
      <w:r>
        <w:rPr>
          <w:spacing w:val="-11"/>
        </w:rPr>
        <w:t xml:space="preserve"> </w:t>
      </w:r>
      <w:r>
        <w:t>Community Survey and Current Population Survey, do not collect data about sexual orientation and gender identity or exp</w:t>
      </w:r>
      <w:r>
        <w:t>ression (SOGIE).</w:t>
      </w:r>
      <w:r>
        <w:rPr>
          <w:spacing w:val="-6"/>
        </w:rPr>
        <w:t xml:space="preserve"> </w:t>
      </w:r>
      <w:hyperlink w:anchor="_bookmark724" w:history="1">
        <w:r>
          <w:rPr>
            <w:vertAlign w:val="superscript"/>
          </w:rPr>
          <w:t>15</w:t>
        </w:r>
      </w:hyperlink>
      <w:r>
        <w:t xml:space="preserve"> Additionally, neither federal nor state agencies collect SOGIE data in its immigration</w:t>
      </w:r>
      <w:r>
        <w:rPr>
          <w:spacing w:val="-13"/>
        </w:rPr>
        <w:t xml:space="preserve"> </w:t>
      </w:r>
      <w:r>
        <w:t>programs,</w:t>
      </w:r>
      <w:r>
        <w:rPr>
          <w:spacing w:val="-12"/>
        </w:rPr>
        <w:t xml:space="preserve"> </w:t>
      </w:r>
      <w:r>
        <w:t>making</w:t>
      </w:r>
      <w:r>
        <w:rPr>
          <w:spacing w:val="-13"/>
        </w:rPr>
        <w:t xml:space="preserve"> </w:t>
      </w:r>
      <w:r>
        <w:t>data</w:t>
      </w:r>
      <w:r>
        <w:rPr>
          <w:spacing w:val="-12"/>
        </w:rPr>
        <w:t xml:space="preserve"> </w:t>
      </w:r>
      <w:r>
        <w:t>on</w:t>
      </w:r>
      <w:r>
        <w:rPr>
          <w:spacing w:val="-13"/>
        </w:rPr>
        <w:t xml:space="preserve"> </w:t>
      </w:r>
      <w:r>
        <w:t>this</w:t>
      </w:r>
      <w:r>
        <w:rPr>
          <w:spacing w:val="-12"/>
        </w:rPr>
        <w:t xml:space="preserve"> </w:t>
      </w:r>
      <w:r>
        <w:t>population</w:t>
      </w:r>
      <w:r>
        <w:rPr>
          <w:spacing w:val="-11"/>
        </w:rPr>
        <w:t xml:space="preserve"> </w:t>
      </w:r>
      <w:r>
        <w:t>scarce.</w:t>
      </w:r>
      <w:hyperlink w:anchor="_bookmark725" w:history="1">
        <w:r>
          <w:rPr>
            <w:vertAlign w:val="superscript"/>
          </w:rPr>
          <w:t>16</w:t>
        </w:r>
      </w:hyperlink>
      <w:r>
        <w:rPr>
          <w:spacing w:val="-2"/>
        </w:rPr>
        <w:t xml:space="preserve"> </w:t>
      </w:r>
      <w:r>
        <w:t>Beyond</w:t>
      </w:r>
      <w:r>
        <w:rPr>
          <w:spacing w:val="-13"/>
        </w:rPr>
        <w:t xml:space="preserve"> </w:t>
      </w:r>
      <w:r>
        <w:t>the</w:t>
      </w:r>
      <w:r>
        <w:rPr>
          <w:spacing w:val="-9"/>
        </w:rPr>
        <w:t xml:space="preserve"> </w:t>
      </w:r>
      <w:r>
        <w:t>given</w:t>
      </w:r>
      <w:r>
        <w:rPr>
          <w:spacing w:val="-13"/>
        </w:rPr>
        <w:t xml:space="preserve"> </w:t>
      </w:r>
      <w:r>
        <w:t>estimates</w:t>
      </w:r>
      <w:r>
        <w:rPr>
          <w:spacing w:val="-12"/>
        </w:rPr>
        <w:t xml:space="preserve"> </w:t>
      </w:r>
      <w:r>
        <w:t>in</w:t>
      </w:r>
      <w:r>
        <w:rPr>
          <w:spacing w:val="-13"/>
        </w:rPr>
        <w:t xml:space="preserve"> </w:t>
      </w:r>
      <w:r>
        <w:t>this</w:t>
      </w:r>
      <w:r>
        <w:rPr>
          <w:spacing w:val="-9"/>
        </w:rPr>
        <w:t xml:space="preserve"> </w:t>
      </w:r>
      <w:r>
        <w:t>report, not much is reported about the number of or specific experiences of foreign-born LGBTQ youth in Massachusetts; all of the data presented in this report stems from national research, as there is little to no accessible state-level data available on</w:t>
      </w:r>
      <w:r>
        <w:t xml:space="preserve"> foreign-born LGBTQ youth in Massachusetts.</w:t>
      </w:r>
    </w:p>
    <w:p w:rsidR="00200FDA" w:rsidRDefault="00200FDA">
      <w:pPr>
        <w:spacing w:line="276" w:lineRule="auto"/>
        <w:jc w:val="both"/>
        <w:sectPr w:rsidR="00200FDA">
          <w:pgSz w:w="12240" w:h="15840"/>
          <w:pgMar w:top="1360" w:right="1300" w:bottom="1240" w:left="1300" w:header="763" w:footer="1043" w:gutter="0"/>
          <w:cols w:space="720"/>
        </w:sectPr>
      </w:pPr>
    </w:p>
    <w:p w:rsidR="00200FDA" w:rsidRDefault="00F76C4C">
      <w:pPr>
        <w:pStyle w:val="BodyText"/>
        <w:spacing w:before="64" w:line="276" w:lineRule="auto"/>
        <w:ind w:left="139" w:right="135"/>
        <w:jc w:val="both"/>
      </w:pPr>
      <w:r>
        <w:lastRenderedPageBreak/>
        <w:t>Additionally, in research, scholars of immigration and sexuality have suggested a profound heteronormativity in immigration scholarship and a clear assumption of LGBTQ people possessing citizenship</w:t>
      </w:r>
      <w:r>
        <w:rPr>
          <w:spacing w:val="-13"/>
        </w:rPr>
        <w:t xml:space="preserve"> </w:t>
      </w:r>
      <w:r>
        <w:t>in</w:t>
      </w:r>
      <w:r>
        <w:rPr>
          <w:spacing w:val="-12"/>
        </w:rPr>
        <w:t xml:space="preserve"> </w:t>
      </w:r>
      <w:r>
        <w:t>their</w:t>
      </w:r>
      <w:r>
        <w:rPr>
          <w:spacing w:val="-13"/>
        </w:rPr>
        <w:t xml:space="preserve"> </w:t>
      </w:r>
      <w:r>
        <w:t>country</w:t>
      </w:r>
      <w:r>
        <w:rPr>
          <w:spacing w:val="-12"/>
        </w:rPr>
        <w:t xml:space="preserve"> </w:t>
      </w:r>
      <w:r>
        <w:t>of</w:t>
      </w:r>
      <w:r>
        <w:rPr>
          <w:spacing w:val="-13"/>
        </w:rPr>
        <w:t xml:space="preserve"> </w:t>
      </w:r>
      <w:r>
        <w:t>residence.</w:t>
      </w:r>
      <w:hyperlink w:anchor="_bookmark726" w:history="1">
        <w:r>
          <w:rPr>
            <w:vertAlign w:val="superscript"/>
          </w:rPr>
          <w:t>17</w:t>
        </w:r>
      </w:hyperlink>
      <w:r>
        <w:rPr>
          <w:spacing w:val="-12"/>
        </w:rPr>
        <w:t xml:space="preserve"> </w:t>
      </w:r>
      <w:r>
        <w:t>These</w:t>
      </w:r>
      <w:r>
        <w:rPr>
          <w:spacing w:val="-12"/>
        </w:rPr>
        <w:t xml:space="preserve"> </w:t>
      </w:r>
      <w:r>
        <w:t>blindspots</w:t>
      </w:r>
      <w:r>
        <w:rPr>
          <w:spacing w:val="-12"/>
        </w:rPr>
        <w:t xml:space="preserve"> </w:t>
      </w:r>
      <w:r>
        <w:t>in</w:t>
      </w:r>
      <w:r>
        <w:rPr>
          <w:spacing w:val="-13"/>
        </w:rPr>
        <w:t xml:space="preserve"> </w:t>
      </w:r>
      <w:r>
        <w:t>both</w:t>
      </w:r>
      <w:r>
        <w:rPr>
          <w:spacing w:val="-12"/>
        </w:rPr>
        <w:t xml:space="preserve"> </w:t>
      </w:r>
      <w:r>
        <w:t>kinds</w:t>
      </w:r>
      <w:r>
        <w:rPr>
          <w:spacing w:val="-12"/>
        </w:rPr>
        <w:t xml:space="preserve"> </w:t>
      </w:r>
      <w:r>
        <w:t>of</w:t>
      </w:r>
      <w:r>
        <w:rPr>
          <w:spacing w:val="-13"/>
        </w:rPr>
        <w:t xml:space="preserve"> </w:t>
      </w:r>
      <w:r>
        <w:t>scholarship</w:t>
      </w:r>
      <w:r>
        <w:rPr>
          <w:spacing w:val="-12"/>
        </w:rPr>
        <w:t xml:space="preserve"> </w:t>
      </w:r>
      <w:r>
        <w:t>lead</w:t>
      </w:r>
      <w:r>
        <w:rPr>
          <w:spacing w:val="-13"/>
        </w:rPr>
        <w:t xml:space="preserve"> </w:t>
      </w:r>
      <w:r>
        <w:t>to</w:t>
      </w:r>
      <w:r>
        <w:rPr>
          <w:spacing w:val="-11"/>
        </w:rPr>
        <w:t xml:space="preserve"> </w:t>
      </w:r>
      <w:r>
        <w:t>the</w:t>
      </w:r>
      <w:r>
        <w:rPr>
          <w:spacing w:val="-12"/>
        </w:rPr>
        <w:t xml:space="preserve"> </w:t>
      </w:r>
      <w:r>
        <w:t>erasure of the lives, experiences, and needs of</w:t>
      </w:r>
      <w:r>
        <w:rPr>
          <w:spacing w:val="-1"/>
        </w:rPr>
        <w:t xml:space="preserve"> </w:t>
      </w:r>
      <w:r>
        <w:t>those who are LGBTQ</w:t>
      </w:r>
      <w:r>
        <w:rPr>
          <w:spacing w:val="-1"/>
        </w:rPr>
        <w:t xml:space="preserve"> </w:t>
      </w:r>
      <w:r>
        <w:t>and not a citizen of</w:t>
      </w:r>
      <w:r>
        <w:rPr>
          <w:spacing w:val="-3"/>
        </w:rPr>
        <w:t xml:space="preserve"> </w:t>
      </w:r>
      <w:r>
        <w:t xml:space="preserve">the country where they </w:t>
      </w:r>
      <w:r>
        <w:rPr>
          <w:spacing w:val="-2"/>
        </w:rPr>
        <w:t>reside.</w:t>
      </w:r>
    </w:p>
    <w:p w:rsidR="00200FDA" w:rsidRDefault="00F76C4C">
      <w:pPr>
        <w:pStyle w:val="Heading8"/>
        <w:spacing w:before="160"/>
      </w:pPr>
      <w:bookmarkStart w:id="892" w:name="Note_on_Intersectionality"/>
      <w:bookmarkEnd w:id="892"/>
      <w:r>
        <w:rPr>
          <w:color w:val="0A5293"/>
        </w:rPr>
        <w:t>Note</w:t>
      </w:r>
      <w:r>
        <w:rPr>
          <w:color w:val="0A5293"/>
          <w:spacing w:val="-1"/>
        </w:rPr>
        <w:t xml:space="preserve"> </w:t>
      </w:r>
      <w:r>
        <w:rPr>
          <w:color w:val="0A5293"/>
        </w:rPr>
        <w:t>on</w:t>
      </w:r>
      <w:r>
        <w:rPr>
          <w:color w:val="0A5293"/>
          <w:spacing w:val="2"/>
        </w:rPr>
        <w:t xml:space="preserve"> </w:t>
      </w:r>
      <w:r>
        <w:rPr>
          <w:color w:val="0A5293"/>
          <w:spacing w:val="-2"/>
        </w:rPr>
        <w:t>Inter</w:t>
      </w:r>
      <w:r>
        <w:rPr>
          <w:color w:val="0A5293"/>
          <w:spacing w:val="-2"/>
        </w:rPr>
        <w:t>sectionality</w:t>
      </w:r>
    </w:p>
    <w:p w:rsidR="00200FDA" w:rsidRDefault="00200FDA">
      <w:pPr>
        <w:pStyle w:val="BodyText"/>
        <w:spacing w:before="4"/>
        <w:rPr>
          <w:sz w:val="25"/>
        </w:rPr>
      </w:pPr>
    </w:p>
    <w:p w:rsidR="00200FDA" w:rsidRDefault="00F76C4C">
      <w:pPr>
        <w:pStyle w:val="BodyText"/>
        <w:spacing w:line="276" w:lineRule="auto"/>
        <w:ind w:left="139" w:right="135"/>
        <w:jc w:val="both"/>
      </w:pPr>
      <w:r>
        <w:t>For</w:t>
      </w:r>
      <w:r>
        <w:rPr>
          <w:spacing w:val="-8"/>
        </w:rPr>
        <w:t xml:space="preserve"> </w:t>
      </w:r>
      <w:r>
        <w:t>every</w:t>
      </w:r>
      <w:r>
        <w:rPr>
          <w:spacing w:val="-7"/>
        </w:rPr>
        <w:t xml:space="preserve"> </w:t>
      </w:r>
      <w:r>
        <w:t>LGBTQ</w:t>
      </w:r>
      <w:r>
        <w:rPr>
          <w:spacing w:val="-8"/>
        </w:rPr>
        <w:t xml:space="preserve"> </w:t>
      </w:r>
      <w:r>
        <w:t>person,</w:t>
      </w:r>
      <w:r>
        <w:rPr>
          <w:spacing w:val="-10"/>
        </w:rPr>
        <w:t xml:space="preserve"> </w:t>
      </w:r>
      <w:r>
        <w:t>“coming</w:t>
      </w:r>
      <w:r>
        <w:rPr>
          <w:spacing w:val="-11"/>
        </w:rPr>
        <w:t xml:space="preserve"> </w:t>
      </w:r>
      <w:r>
        <w:t>out”</w:t>
      </w:r>
      <w:r>
        <w:rPr>
          <w:spacing w:val="-7"/>
        </w:rPr>
        <w:t xml:space="preserve"> </w:t>
      </w:r>
      <w:r>
        <w:t>is</w:t>
      </w:r>
      <w:r>
        <w:rPr>
          <w:spacing w:val="-8"/>
        </w:rPr>
        <w:t xml:space="preserve"> </w:t>
      </w:r>
      <w:r>
        <w:t>a</w:t>
      </w:r>
      <w:r>
        <w:rPr>
          <w:spacing w:val="-8"/>
        </w:rPr>
        <w:t xml:space="preserve"> </w:t>
      </w:r>
      <w:r>
        <w:t>process</w:t>
      </w:r>
      <w:r>
        <w:rPr>
          <w:spacing w:val="-10"/>
        </w:rPr>
        <w:t xml:space="preserve"> </w:t>
      </w:r>
      <w:r>
        <w:t>that</w:t>
      </w:r>
      <w:r>
        <w:rPr>
          <w:spacing w:val="-8"/>
        </w:rPr>
        <w:t xml:space="preserve"> </w:t>
      </w:r>
      <w:r>
        <w:t>continues</w:t>
      </w:r>
      <w:r>
        <w:rPr>
          <w:spacing w:val="-8"/>
        </w:rPr>
        <w:t xml:space="preserve"> </w:t>
      </w:r>
      <w:r>
        <w:t>throughout</w:t>
      </w:r>
      <w:r>
        <w:rPr>
          <w:spacing w:val="-8"/>
        </w:rPr>
        <w:t xml:space="preserve"> </w:t>
      </w:r>
      <w:r>
        <w:t>life.</w:t>
      </w:r>
      <w:hyperlink w:anchor="_bookmark727" w:history="1">
        <w:r>
          <w:rPr>
            <w:vertAlign w:val="superscript"/>
          </w:rPr>
          <w:t>18</w:t>
        </w:r>
      </w:hyperlink>
      <w:r>
        <w:rPr>
          <w:spacing w:val="-2"/>
        </w:rPr>
        <w:t xml:space="preserve"> </w:t>
      </w:r>
      <w:r>
        <w:t>Identifying</w:t>
      </w:r>
      <w:r>
        <w:rPr>
          <w:spacing w:val="-9"/>
        </w:rPr>
        <w:t xml:space="preserve"> </w:t>
      </w:r>
      <w:r>
        <w:t>within</w:t>
      </w:r>
      <w:r>
        <w:rPr>
          <w:spacing w:val="-9"/>
        </w:rPr>
        <w:t xml:space="preserve"> </w:t>
      </w:r>
      <w:r>
        <w:t>the LGBTQ</w:t>
      </w:r>
      <w:r>
        <w:rPr>
          <w:spacing w:val="-6"/>
        </w:rPr>
        <w:t xml:space="preserve"> </w:t>
      </w:r>
      <w:r>
        <w:t>community</w:t>
      </w:r>
      <w:r>
        <w:rPr>
          <w:spacing w:val="-6"/>
        </w:rPr>
        <w:t xml:space="preserve"> </w:t>
      </w:r>
      <w:r>
        <w:t>has</w:t>
      </w:r>
      <w:r>
        <w:rPr>
          <w:spacing w:val="-7"/>
        </w:rPr>
        <w:t xml:space="preserve"> </w:t>
      </w:r>
      <w:r>
        <w:t>its</w:t>
      </w:r>
      <w:r>
        <w:rPr>
          <w:spacing w:val="-7"/>
        </w:rPr>
        <w:t xml:space="preserve"> </w:t>
      </w:r>
      <w:r>
        <w:t>coming</w:t>
      </w:r>
      <w:r>
        <w:rPr>
          <w:spacing w:val="-10"/>
        </w:rPr>
        <w:t xml:space="preserve"> </w:t>
      </w:r>
      <w:r>
        <w:t>out</w:t>
      </w:r>
      <w:r>
        <w:rPr>
          <w:spacing w:val="-6"/>
        </w:rPr>
        <w:t xml:space="preserve"> </w:t>
      </w:r>
      <w:r>
        <w:t>process,</w:t>
      </w:r>
      <w:r>
        <w:rPr>
          <w:spacing w:val="-7"/>
        </w:rPr>
        <w:t xml:space="preserve"> </w:t>
      </w:r>
      <w:r>
        <w:t>which</w:t>
      </w:r>
      <w:r>
        <w:rPr>
          <w:spacing w:val="-7"/>
        </w:rPr>
        <w:t xml:space="preserve"> </w:t>
      </w:r>
      <w:r>
        <w:t>can</w:t>
      </w:r>
      <w:r>
        <w:rPr>
          <w:spacing w:val="-7"/>
        </w:rPr>
        <w:t xml:space="preserve"> </w:t>
      </w:r>
      <w:r>
        <w:t>include</w:t>
      </w:r>
      <w:r>
        <w:rPr>
          <w:spacing w:val="-4"/>
        </w:rPr>
        <w:t xml:space="preserve"> </w:t>
      </w:r>
      <w:r>
        <w:t>challenges</w:t>
      </w:r>
      <w:r>
        <w:rPr>
          <w:spacing w:val="-7"/>
        </w:rPr>
        <w:t xml:space="preserve"> </w:t>
      </w:r>
      <w:r>
        <w:t>around</w:t>
      </w:r>
      <w:r>
        <w:rPr>
          <w:spacing w:val="-7"/>
        </w:rPr>
        <w:t xml:space="preserve"> </w:t>
      </w:r>
      <w:r>
        <w:t>personal</w:t>
      </w:r>
      <w:r>
        <w:rPr>
          <w:spacing w:val="-7"/>
        </w:rPr>
        <w:t xml:space="preserve"> </w:t>
      </w:r>
      <w:r>
        <w:t>acceptance, family acceptance, and societal stigmas. Similarly, being part of a family with undocumented or mixed immigration status also comes with unique struggles, including navigating various government systems and institutions, and forcing LGBTQ youth</w:t>
      </w:r>
      <w:r>
        <w:t xml:space="preserve"> to make difficult choices between their well-being and that of their</w:t>
      </w:r>
      <w:r>
        <w:rPr>
          <w:spacing w:val="-7"/>
        </w:rPr>
        <w:t xml:space="preserve"> </w:t>
      </w:r>
      <w:r>
        <w:t>family.</w:t>
      </w:r>
      <w:r>
        <w:rPr>
          <w:spacing w:val="-7"/>
        </w:rPr>
        <w:t xml:space="preserve"> </w:t>
      </w:r>
      <w:r>
        <w:t>Additionally,</w:t>
      </w:r>
      <w:r>
        <w:rPr>
          <w:spacing w:val="-7"/>
        </w:rPr>
        <w:t xml:space="preserve"> </w:t>
      </w:r>
      <w:r>
        <w:t>due</w:t>
      </w:r>
      <w:r>
        <w:rPr>
          <w:spacing w:val="-6"/>
        </w:rPr>
        <w:t xml:space="preserve"> </w:t>
      </w:r>
      <w:r>
        <w:t>to</w:t>
      </w:r>
      <w:r>
        <w:rPr>
          <w:spacing w:val="-8"/>
        </w:rPr>
        <w:t xml:space="preserve"> </w:t>
      </w:r>
      <w:r>
        <w:t>multiple</w:t>
      </w:r>
      <w:r>
        <w:rPr>
          <w:spacing w:val="-6"/>
        </w:rPr>
        <w:t xml:space="preserve"> </w:t>
      </w:r>
      <w:r>
        <w:t>intersecting</w:t>
      </w:r>
      <w:r>
        <w:rPr>
          <w:spacing w:val="-10"/>
        </w:rPr>
        <w:t xml:space="preserve"> </w:t>
      </w:r>
      <w:r>
        <w:t>factors</w:t>
      </w:r>
      <w:r>
        <w:rPr>
          <w:spacing w:val="-6"/>
        </w:rPr>
        <w:t xml:space="preserve"> </w:t>
      </w:r>
      <w:r>
        <w:t>including</w:t>
      </w:r>
      <w:r>
        <w:rPr>
          <w:spacing w:val="-7"/>
        </w:rPr>
        <w:t xml:space="preserve"> </w:t>
      </w:r>
      <w:r>
        <w:t>race,</w:t>
      </w:r>
      <w:r>
        <w:rPr>
          <w:spacing w:val="-9"/>
        </w:rPr>
        <w:t xml:space="preserve"> </w:t>
      </w:r>
      <w:r>
        <w:t>ethnicity,</w:t>
      </w:r>
      <w:r>
        <w:rPr>
          <w:spacing w:val="-7"/>
        </w:rPr>
        <w:t xml:space="preserve"> </w:t>
      </w:r>
      <w:r>
        <w:t>sexual</w:t>
      </w:r>
      <w:r>
        <w:rPr>
          <w:spacing w:val="-7"/>
        </w:rPr>
        <w:t xml:space="preserve"> </w:t>
      </w:r>
      <w:r>
        <w:t>orientation, gender identity, and disability, foreign-born LGBTQ youth can often face compounded stigma and discrimination that contributes to a lack of access to health care, housing, economic security, legal services, and education.</w:t>
      </w:r>
    </w:p>
    <w:p w:rsidR="00200FDA" w:rsidRDefault="00F76C4C">
      <w:pPr>
        <w:pStyle w:val="Heading8"/>
        <w:spacing w:before="161"/>
      </w:pPr>
      <w:bookmarkStart w:id="893" w:name="Mental_Health"/>
      <w:bookmarkEnd w:id="893"/>
      <w:r>
        <w:rPr>
          <w:color w:val="0A5293"/>
        </w:rPr>
        <w:t>Mental</w:t>
      </w:r>
      <w:r>
        <w:rPr>
          <w:color w:val="0A5293"/>
          <w:spacing w:val="1"/>
        </w:rPr>
        <w:t xml:space="preserve"> </w:t>
      </w:r>
      <w:r>
        <w:rPr>
          <w:color w:val="0A5293"/>
          <w:spacing w:val="-2"/>
        </w:rPr>
        <w:t>Health</w:t>
      </w:r>
    </w:p>
    <w:p w:rsidR="00200FDA" w:rsidRDefault="00200FDA">
      <w:pPr>
        <w:pStyle w:val="BodyText"/>
        <w:spacing w:before="1"/>
        <w:rPr>
          <w:sz w:val="25"/>
        </w:rPr>
      </w:pPr>
    </w:p>
    <w:p w:rsidR="00200FDA" w:rsidRDefault="00F76C4C">
      <w:pPr>
        <w:pStyle w:val="BodyText"/>
        <w:spacing w:line="276" w:lineRule="auto"/>
        <w:ind w:left="139" w:right="132"/>
        <w:jc w:val="both"/>
      </w:pPr>
      <w:r>
        <w:rPr>
          <w:noProof/>
        </w:rPr>
        <w:drawing>
          <wp:anchor distT="0" distB="0" distL="0" distR="0" simplePos="0" relativeHeight="15813632" behindDoc="0" locked="0" layoutInCell="1" allowOverlap="1">
            <wp:simplePos x="0" y="0"/>
            <wp:positionH relativeFrom="page">
              <wp:posOffset>3786504</wp:posOffset>
            </wp:positionH>
            <wp:positionV relativeFrom="paragraph">
              <wp:posOffset>1598831</wp:posOffset>
            </wp:positionV>
            <wp:extent cx="3056877" cy="2749546"/>
            <wp:effectExtent l="0" t="0" r="0" b="0"/>
            <wp:wrapNone/>
            <wp:docPr id="133" name="image128.jpeg" descr="Graphical user interface, text, application, chat or text messag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28.jpeg"/>
                    <pic:cNvPicPr/>
                  </pic:nvPicPr>
                  <pic:blipFill>
                    <a:blip r:embed="rId682" cstate="print"/>
                    <a:stretch>
                      <a:fillRect/>
                    </a:stretch>
                  </pic:blipFill>
                  <pic:spPr>
                    <a:xfrm>
                      <a:off x="0" y="0"/>
                      <a:ext cx="3056877" cy="2749546"/>
                    </a:xfrm>
                    <a:prstGeom prst="rect">
                      <a:avLst/>
                    </a:prstGeom>
                  </pic:spPr>
                </pic:pic>
              </a:graphicData>
            </a:graphic>
          </wp:anchor>
        </w:drawing>
      </w:r>
      <w:r>
        <w:t>As di</w:t>
      </w:r>
      <w:r>
        <w:t>scussed in the mental health section of this annual report</w:t>
      </w:r>
      <w:r>
        <w:rPr>
          <w:i/>
        </w:rPr>
        <w:t xml:space="preserve">, </w:t>
      </w:r>
      <w:r>
        <w:t>studies continue to suggest that LGBTQ youth face significant disparities in suicide risk compared to their straight and cisgender peers.</w:t>
      </w:r>
      <w:hyperlink w:anchor="_bookmark728" w:history="1">
        <w:r>
          <w:rPr>
            <w:vertAlign w:val="superscript"/>
          </w:rPr>
          <w:t>19</w:t>
        </w:r>
      </w:hyperlink>
      <w:r>
        <w:rPr>
          <w:spacing w:val="-3"/>
        </w:rPr>
        <w:t xml:space="preserve"> </w:t>
      </w:r>
      <w:r>
        <w:t>LGBTQ youth are not inhe</w:t>
      </w:r>
      <w:r>
        <w:t>rently prone to suicide risk because of their sexual orientation or gender identity, but rather, they are placed at higher risk because of societal the discrimination, stigmatization, and violence stemming</w:t>
      </w:r>
      <w:r>
        <w:rPr>
          <w:spacing w:val="-12"/>
        </w:rPr>
        <w:t xml:space="preserve"> </w:t>
      </w:r>
      <w:r>
        <w:t>from</w:t>
      </w:r>
      <w:r>
        <w:rPr>
          <w:spacing w:val="-10"/>
        </w:rPr>
        <w:t xml:space="preserve"> </w:t>
      </w:r>
      <w:r>
        <w:t>racism,</w:t>
      </w:r>
      <w:r>
        <w:rPr>
          <w:spacing w:val="-11"/>
        </w:rPr>
        <w:t xml:space="preserve"> </w:t>
      </w:r>
      <w:r>
        <w:t>homophobia,</w:t>
      </w:r>
      <w:r>
        <w:rPr>
          <w:spacing w:val="-11"/>
        </w:rPr>
        <w:t xml:space="preserve"> </w:t>
      </w:r>
      <w:r>
        <w:t>and</w:t>
      </w:r>
      <w:r>
        <w:rPr>
          <w:spacing w:val="-12"/>
        </w:rPr>
        <w:t xml:space="preserve"> </w:t>
      </w:r>
      <w:r>
        <w:t>transphobia.</w:t>
      </w:r>
      <w:r>
        <w:rPr>
          <w:spacing w:val="-12"/>
        </w:rPr>
        <w:t xml:space="preserve"> </w:t>
      </w:r>
      <w:r>
        <w:t>LGBTQ</w:t>
      </w:r>
      <w:r>
        <w:rPr>
          <w:spacing w:val="-13"/>
        </w:rPr>
        <w:t xml:space="preserve"> </w:t>
      </w:r>
      <w:r>
        <w:t>yo</w:t>
      </w:r>
      <w:r>
        <w:t>uth</w:t>
      </w:r>
      <w:r>
        <w:rPr>
          <w:spacing w:val="-11"/>
        </w:rPr>
        <w:t xml:space="preserve"> </w:t>
      </w:r>
      <w:r>
        <w:t>living</w:t>
      </w:r>
      <w:r>
        <w:rPr>
          <w:spacing w:val="-12"/>
        </w:rPr>
        <w:t xml:space="preserve"> </w:t>
      </w:r>
      <w:r>
        <w:t>in</w:t>
      </w:r>
      <w:r>
        <w:rPr>
          <w:spacing w:val="-12"/>
        </w:rPr>
        <w:t xml:space="preserve"> </w:t>
      </w:r>
      <w:r>
        <w:t>the</w:t>
      </w:r>
      <w:r>
        <w:rPr>
          <w:spacing w:val="-13"/>
        </w:rPr>
        <w:t xml:space="preserve"> </w:t>
      </w:r>
      <w:r>
        <w:t>U.S.</w:t>
      </w:r>
      <w:r>
        <w:rPr>
          <w:spacing w:val="-11"/>
        </w:rPr>
        <w:t xml:space="preserve"> </w:t>
      </w:r>
      <w:r>
        <w:t>represent</w:t>
      </w:r>
      <w:r>
        <w:rPr>
          <w:spacing w:val="-11"/>
        </w:rPr>
        <w:t xml:space="preserve"> </w:t>
      </w:r>
      <w:r>
        <w:t>a</w:t>
      </w:r>
      <w:r>
        <w:rPr>
          <w:spacing w:val="-12"/>
        </w:rPr>
        <w:t xml:space="preserve"> </w:t>
      </w:r>
      <w:r>
        <w:t>diversity of experiences, including youth who are foreign-born. Studies have shown, however, that foreign-born individuals often experience considerable stressors such as discrimination, acculturation stress, and immigrat</w:t>
      </w:r>
      <w:r>
        <w:t>ion</w:t>
      </w:r>
      <w:r>
        <w:rPr>
          <w:spacing w:val="-2"/>
        </w:rPr>
        <w:t xml:space="preserve"> </w:t>
      </w:r>
      <w:r>
        <w:t>concerns</w:t>
      </w:r>
      <w:r>
        <w:rPr>
          <w:spacing w:val="-1"/>
        </w:rPr>
        <w:t xml:space="preserve"> </w:t>
      </w:r>
      <w:r>
        <w:t>that lead to poor</w:t>
      </w:r>
      <w:r>
        <w:rPr>
          <w:spacing w:val="-1"/>
        </w:rPr>
        <w:t xml:space="preserve"> </w:t>
      </w:r>
      <w:r>
        <w:t>health</w:t>
      </w:r>
      <w:r>
        <w:rPr>
          <w:spacing w:val="-2"/>
        </w:rPr>
        <w:t xml:space="preserve"> </w:t>
      </w:r>
      <w:r>
        <w:t>outcomes.</w:t>
      </w:r>
      <w:hyperlink w:anchor="_bookmark729" w:history="1">
        <w:r>
          <w:rPr>
            <w:vertAlign w:val="superscript"/>
          </w:rPr>
          <w:t>20</w:t>
        </w:r>
      </w:hyperlink>
      <w:r>
        <w:rPr>
          <w:spacing w:val="-2"/>
        </w:rPr>
        <w:t xml:space="preserve"> </w:t>
      </w:r>
      <w:r>
        <w:t>Acculturative stress</w:t>
      </w:r>
      <w:r>
        <w:rPr>
          <w:spacing w:val="-1"/>
        </w:rPr>
        <w:t xml:space="preserve"> </w:t>
      </w:r>
      <w:r>
        <w:t>is</w:t>
      </w:r>
      <w:r>
        <w:rPr>
          <w:spacing w:val="-1"/>
        </w:rPr>
        <w:t xml:space="preserve"> </w:t>
      </w:r>
      <w:r>
        <w:t>the psychosocial</w:t>
      </w:r>
      <w:r>
        <w:rPr>
          <w:spacing w:val="-1"/>
        </w:rPr>
        <w:t xml:space="preserve"> </w:t>
      </w:r>
      <w:r>
        <w:t>strain experienced</w:t>
      </w:r>
      <w:r>
        <w:rPr>
          <w:spacing w:val="80"/>
        </w:rPr>
        <w:t xml:space="preserve"> </w:t>
      </w:r>
      <w:r>
        <w:t>by</w:t>
      </w:r>
      <w:r>
        <w:rPr>
          <w:spacing w:val="80"/>
        </w:rPr>
        <w:t xml:space="preserve"> </w:t>
      </w:r>
      <w:r>
        <w:t>immigrants</w:t>
      </w:r>
      <w:r>
        <w:rPr>
          <w:spacing w:val="80"/>
        </w:rPr>
        <w:t xml:space="preserve"> </w:t>
      </w:r>
      <w:r>
        <w:t>in</w:t>
      </w:r>
      <w:r>
        <w:rPr>
          <w:spacing w:val="80"/>
        </w:rPr>
        <w:t xml:space="preserve"> </w:t>
      </w:r>
      <w:r>
        <w:t>response</w:t>
      </w:r>
      <w:r>
        <w:rPr>
          <w:spacing w:val="80"/>
        </w:rPr>
        <w:t xml:space="preserve"> </w:t>
      </w:r>
      <w:r>
        <w:t>to</w:t>
      </w:r>
    </w:p>
    <w:p w:rsidR="00200FDA" w:rsidRDefault="00F76C4C">
      <w:pPr>
        <w:pStyle w:val="BodyText"/>
        <w:spacing w:before="2" w:line="276" w:lineRule="auto"/>
        <w:ind w:left="139" w:right="5152"/>
        <w:jc w:val="both"/>
      </w:pPr>
      <w:r>
        <w:t>challenges encountered while adapting to cultural differences in a new country. These stressors result from circumstances such as immigration</w:t>
      </w:r>
      <w:r>
        <w:rPr>
          <w:spacing w:val="-4"/>
        </w:rPr>
        <w:t xml:space="preserve"> </w:t>
      </w:r>
      <w:r>
        <w:t>status,</w:t>
      </w:r>
      <w:r>
        <w:rPr>
          <w:spacing w:val="-3"/>
        </w:rPr>
        <w:t xml:space="preserve"> </w:t>
      </w:r>
      <w:r>
        <w:t>language</w:t>
      </w:r>
      <w:r>
        <w:rPr>
          <w:spacing w:val="-1"/>
        </w:rPr>
        <w:t xml:space="preserve"> </w:t>
      </w:r>
      <w:r>
        <w:t>barriers,</w:t>
      </w:r>
      <w:r>
        <w:rPr>
          <w:spacing w:val="-3"/>
        </w:rPr>
        <w:t xml:space="preserve"> </w:t>
      </w:r>
      <w:r>
        <w:t xml:space="preserve">economic deficiencies, disruption in family cohesion, and </w:t>
      </w:r>
      <w:r>
        <w:rPr>
          <w:spacing w:val="-2"/>
        </w:rPr>
        <w:t>discrimination.</w:t>
      </w:r>
      <w:hyperlink w:anchor="_bookmark730" w:history="1">
        <w:r>
          <w:rPr>
            <w:spacing w:val="-2"/>
            <w:vertAlign w:val="superscript"/>
          </w:rPr>
          <w:t>21</w:t>
        </w:r>
      </w:hyperlink>
    </w:p>
    <w:p w:rsidR="00200FDA" w:rsidRDefault="00F76C4C">
      <w:pPr>
        <w:pStyle w:val="BodyText"/>
        <w:spacing w:before="120" w:line="276" w:lineRule="auto"/>
        <w:ind w:left="139" w:right="5151"/>
        <w:jc w:val="both"/>
      </w:pPr>
      <w:r>
        <w:t>Although the process of immigrating to a new country</w:t>
      </w:r>
      <w:r>
        <w:rPr>
          <w:spacing w:val="-3"/>
        </w:rPr>
        <w:t xml:space="preserve"> </w:t>
      </w:r>
      <w:r>
        <w:t>and</w:t>
      </w:r>
      <w:r>
        <w:rPr>
          <w:spacing w:val="-2"/>
        </w:rPr>
        <w:t xml:space="preserve"> </w:t>
      </w:r>
      <w:r>
        <w:t>acculturating</w:t>
      </w:r>
      <w:r>
        <w:rPr>
          <w:spacing w:val="-2"/>
        </w:rPr>
        <w:t xml:space="preserve"> </w:t>
      </w:r>
      <w:r>
        <w:t>to an</w:t>
      </w:r>
      <w:r>
        <w:rPr>
          <w:spacing w:val="-2"/>
        </w:rPr>
        <w:t xml:space="preserve"> </w:t>
      </w:r>
      <w:r>
        <w:t>unfamiliar</w:t>
      </w:r>
      <w:r>
        <w:rPr>
          <w:spacing w:val="-4"/>
        </w:rPr>
        <w:t xml:space="preserve"> </w:t>
      </w:r>
      <w:r>
        <w:t>set</w:t>
      </w:r>
      <w:r>
        <w:rPr>
          <w:spacing w:val="-3"/>
        </w:rPr>
        <w:t xml:space="preserve"> </w:t>
      </w:r>
      <w:r>
        <w:t>of cultural beliefs and societal practices presents challenges for immigrants regardless of gender identity or sexual orientation, research has</w:t>
      </w:r>
      <w:r>
        <w:t xml:space="preserve"> shown</w:t>
      </w:r>
      <w:r>
        <w:rPr>
          <w:spacing w:val="-3"/>
        </w:rPr>
        <w:t xml:space="preserve"> </w:t>
      </w:r>
      <w:r>
        <w:t>that</w:t>
      </w:r>
      <w:r>
        <w:rPr>
          <w:spacing w:val="-2"/>
        </w:rPr>
        <w:t xml:space="preserve"> </w:t>
      </w:r>
      <w:r>
        <w:t>LGBTQ</w:t>
      </w:r>
      <w:r>
        <w:rPr>
          <w:spacing w:val="-2"/>
        </w:rPr>
        <w:t xml:space="preserve"> </w:t>
      </w:r>
      <w:r>
        <w:t>youth</w:t>
      </w:r>
      <w:r>
        <w:rPr>
          <w:spacing w:val="-3"/>
        </w:rPr>
        <w:t xml:space="preserve"> </w:t>
      </w:r>
      <w:r>
        <w:t>face unique</w:t>
      </w:r>
      <w:r>
        <w:rPr>
          <w:spacing w:val="-2"/>
        </w:rPr>
        <w:t xml:space="preserve"> </w:t>
      </w:r>
      <w:r>
        <w:t>challenges in</w:t>
      </w:r>
      <w:r>
        <w:rPr>
          <w:spacing w:val="-13"/>
        </w:rPr>
        <w:t xml:space="preserve"> </w:t>
      </w:r>
      <w:r>
        <w:t>this</w:t>
      </w:r>
      <w:r>
        <w:rPr>
          <w:spacing w:val="-12"/>
        </w:rPr>
        <w:t xml:space="preserve"> </w:t>
      </w:r>
      <w:r>
        <w:t>process.</w:t>
      </w:r>
      <w:r>
        <w:rPr>
          <w:spacing w:val="-13"/>
        </w:rPr>
        <w:t xml:space="preserve"> </w:t>
      </w:r>
      <w:r>
        <w:t>At</w:t>
      </w:r>
      <w:r>
        <w:rPr>
          <w:spacing w:val="-12"/>
        </w:rPr>
        <w:t xml:space="preserve"> </w:t>
      </w:r>
      <w:r>
        <w:t>the</w:t>
      </w:r>
      <w:r>
        <w:rPr>
          <w:spacing w:val="-13"/>
        </w:rPr>
        <w:t xml:space="preserve"> </w:t>
      </w:r>
      <w:r>
        <w:t>intra-individual</w:t>
      </w:r>
      <w:r>
        <w:rPr>
          <w:spacing w:val="-11"/>
        </w:rPr>
        <w:t xml:space="preserve"> </w:t>
      </w:r>
      <w:r>
        <w:t>level,</w:t>
      </w:r>
      <w:r>
        <w:rPr>
          <w:spacing w:val="-12"/>
        </w:rPr>
        <w:t xml:space="preserve"> </w:t>
      </w:r>
      <w:r>
        <w:rPr>
          <w:spacing w:val="-4"/>
        </w:rPr>
        <w:t>some</w:t>
      </w:r>
    </w:p>
    <w:p w:rsidR="00200FDA" w:rsidRDefault="00200FDA">
      <w:pPr>
        <w:spacing w:line="276" w:lineRule="auto"/>
        <w:jc w:val="both"/>
        <w:sectPr w:rsidR="00200FDA">
          <w:pgSz w:w="12240" w:h="15840"/>
          <w:pgMar w:top="1360" w:right="1300" w:bottom="1240" w:left="1300" w:header="763" w:footer="1043" w:gutter="0"/>
          <w:cols w:space="720"/>
        </w:sectPr>
      </w:pPr>
    </w:p>
    <w:p w:rsidR="00200FDA" w:rsidRDefault="00F76C4C">
      <w:pPr>
        <w:pStyle w:val="BodyText"/>
        <w:spacing w:before="64" w:line="276" w:lineRule="auto"/>
        <w:ind w:left="139" w:right="134"/>
        <w:jc w:val="both"/>
      </w:pPr>
      <w:r>
        <w:lastRenderedPageBreak/>
        <w:t>difficulties</w:t>
      </w:r>
      <w:r>
        <w:rPr>
          <w:spacing w:val="-7"/>
        </w:rPr>
        <w:t xml:space="preserve"> </w:t>
      </w:r>
      <w:r>
        <w:t>LGBTQ</w:t>
      </w:r>
      <w:r>
        <w:rPr>
          <w:spacing w:val="-6"/>
        </w:rPr>
        <w:t xml:space="preserve"> </w:t>
      </w:r>
      <w:r>
        <w:t>immigrants</w:t>
      </w:r>
      <w:r>
        <w:rPr>
          <w:spacing w:val="-5"/>
        </w:rPr>
        <w:t xml:space="preserve"> </w:t>
      </w:r>
      <w:r>
        <w:t>may</w:t>
      </w:r>
      <w:r>
        <w:rPr>
          <w:spacing w:val="-6"/>
        </w:rPr>
        <w:t xml:space="preserve"> </w:t>
      </w:r>
      <w:r>
        <w:t>face</w:t>
      </w:r>
      <w:r>
        <w:rPr>
          <w:spacing w:val="-6"/>
        </w:rPr>
        <w:t xml:space="preserve"> </w:t>
      </w:r>
      <w:r>
        <w:t>include</w:t>
      </w:r>
      <w:r>
        <w:rPr>
          <w:spacing w:val="-5"/>
        </w:rPr>
        <w:t xml:space="preserve"> </w:t>
      </w:r>
      <w:r>
        <w:t>racism-related</w:t>
      </w:r>
      <w:r>
        <w:rPr>
          <w:spacing w:val="-6"/>
        </w:rPr>
        <w:t xml:space="preserve"> </w:t>
      </w:r>
      <w:r>
        <w:t>stress</w:t>
      </w:r>
      <w:r>
        <w:rPr>
          <w:spacing w:val="-7"/>
        </w:rPr>
        <w:t xml:space="preserve"> </w:t>
      </w:r>
      <w:r>
        <w:t>and</w:t>
      </w:r>
      <w:r>
        <w:rPr>
          <w:spacing w:val="-6"/>
        </w:rPr>
        <w:t xml:space="preserve"> </w:t>
      </w:r>
      <w:r>
        <w:t>anxiety,</w:t>
      </w:r>
      <w:r>
        <w:rPr>
          <w:spacing w:val="-5"/>
        </w:rPr>
        <w:t xml:space="preserve"> </w:t>
      </w:r>
      <w:r>
        <w:t>chronic</w:t>
      </w:r>
      <w:r>
        <w:rPr>
          <w:spacing w:val="-6"/>
        </w:rPr>
        <w:t xml:space="preserve"> </w:t>
      </w:r>
      <w:r>
        <w:t>expectations</w:t>
      </w:r>
      <w:r>
        <w:rPr>
          <w:spacing w:val="-7"/>
        </w:rPr>
        <w:t xml:space="preserve"> </w:t>
      </w:r>
      <w:r>
        <w:t>of being negatively stereotyped by others, and being hyper-vigilant to potential threats related to their sexual identity.</w:t>
      </w:r>
      <w:hyperlink w:anchor="_bookmark731" w:history="1">
        <w:r>
          <w:rPr>
            <w:vertAlign w:val="superscript"/>
          </w:rPr>
          <w:t>22</w:t>
        </w:r>
      </w:hyperlink>
      <w:r>
        <w:rPr>
          <w:spacing w:val="-2"/>
        </w:rPr>
        <w:t xml:space="preserve"> </w:t>
      </w:r>
      <w:r>
        <w:t>At the interpersonal or intergroup level, conflicts between cultural values or pressures and person</w:t>
      </w:r>
      <w:r>
        <w:t>al beliefs</w:t>
      </w:r>
      <w:r>
        <w:rPr>
          <w:spacing w:val="-2"/>
        </w:rPr>
        <w:t xml:space="preserve"> </w:t>
      </w:r>
      <w:r>
        <w:t>may also present challenges for</w:t>
      </w:r>
      <w:r>
        <w:rPr>
          <w:spacing w:val="-2"/>
        </w:rPr>
        <w:t xml:space="preserve"> </w:t>
      </w:r>
      <w:r>
        <w:t>LGBTQ immigrants. For example, traditional gender role expectations and norms of masculinity and femininity are particularly stringent within Latino communities. For gender non-conforming gay Latinos, the cultural</w:t>
      </w:r>
      <w:r>
        <w:t xml:space="preserve"> value of “machismo”, a strict and idealized form of masculinity for men, may be a source of conflict and challenge.</w:t>
      </w:r>
      <w:hyperlink w:anchor="_bookmark732" w:history="1">
        <w:r>
          <w:rPr>
            <w:vertAlign w:val="superscript"/>
          </w:rPr>
          <w:t>23</w:t>
        </w:r>
      </w:hyperlink>
      <w:r>
        <w:rPr>
          <w:spacing w:val="-2"/>
        </w:rPr>
        <w:t xml:space="preserve"> </w:t>
      </w:r>
      <w:r>
        <w:t xml:space="preserve">Additionally, because of the varying values, norms, and expectations of their various communities, LGBTQ </w:t>
      </w:r>
      <w:r>
        <w:t>immigrants may encounter difficulties with different social groups and communities. For example, LGBTQ foreign-born individuals are often not welcomed or accepted in many ethnic communities, and may then be discouraged from accessing sources of support tha</w:t>
      </w:r>
      <w:r>
        <w:t>t might typically be utilized either in their ethnic community (e.g., family members)</w:t>
      </w:r>
      <w:r>
        <w:rPr>
          <w:spacing w:val="-2"/>
        </w:rPr>
        <w:t xml:space="preserve"> </w:t>
      </w:r>
      <w:r>
        <w:t>or in the LGBTQ community (e.g., support services and organizations) due to overt hostility or the perception of being unwelcome.</w:t>
      </w:r>
      <w:hyperlink w:anchor="_bookmark733" w:history="1">
        <w:r>
          <w:rPr>
            <w:vertAlign w:val="superscript"/>
          </w:rPr>
          <w:t>24</w:t>
        </w:r>
      </w:hyperlink>
    </w:p>
    <w:p w:rsidR="00200FDA" w:rsidRDefault="00F76C4C">
      <w:pPr>
        <w:pStyle w:val="BodyText"/>
        <w:spacing w:before="120" w:line="276" w:lineRule="auto"/>
        <w:ind w:left="139" w:right="132"/>
        <w:jc w:val="both"/>
      </w:pPr>
      <w:r>
        <w:t>In the</w:t>
      </w:r>
      <w:r>
        <w:t xml:space="preserve"> Trevor Project’s recent 2021 research brief “LGBTQ Youth from Immigrant Families,” researchers attempted to examine mental health at the intersection of these two identities;</w:t>
      </w:r>
      <w:hyperlink w:anchor="_bookmark734" w:history="1">
        <w:r>
          <w:rPr>
            <w:vertAlign w:val="superscript"/>
          </w:rPr>
          <w:t>25</w:t>
        </w:r>
      </w:hyperlink>
      <w:r>
        <w:rPr>
          <w:spacing w:val="-2"/>
        </w:rPr>
        <w:t xml:space="preserve"> </w:t>
      </w:r>
      <w:r>
        <w:t>it was found that first- generation</w:t>
      </w:r>
      <w:r>
        <w:rPr>
          <w:spacing w:val="-13"/>
        </w:rPr>
        <w:t xml:space="preserve"> </w:t>
      </w:r>
      <w:r>
        <w:t>LGBTQ</w:t>
      </w:r>
      <w:r>
        <w:rPr>
          <w:spacing w:val="-12"/>
        </w:rPr>
        <w:t xml:space="preserve"> </w:t>
      </w:r>
      <w:r>
        <w:t>yout</w:t>
      </w:r>
      <w:r>
        <w:t>h</w:t>
      </w:r>
      <w:r>
        <w:rPr>
          <w:spacing w:val="-13"/>
        </w:rPr>
        <w:t xml:space="preserve"> </w:t>
      </w:r>
      <w:r>
        <w:t>actually</w:t>
      </w:r>
      <w:r>
        <w:rPr>
          <w:spacing w:val="-12"/>
        </w:rPr>
        <w:t xml:space="preserve"> </w:t>
      </w:r>
      <w:r>
        <w:t>reported</w:t>
      </w:r>
      <w:r>
        <w:rPr>
          <w:spacing w:val="-13"/>
        </w:rPr>
        <w:t xml:space="preserve"> </w:t>
      </w:r>
      <w:r>
        <w:t>slightly</w:t>
      </w:r>
      <w:r>
        <w:rPr>
          <w:spacing w:val="-12"/>
        </w:rPr>
        <w:t xml:space="preserve"> </w:t>
      </w:r>
      <w:r>
        <w:t>lower</w:t>
      </w:r>
      <w:r>
        <w:rPr>
          <w:spacing w:val="-13"/>
        </w:rPr>
        <w:t xml:space="preserve"> </w:t>
      </w:r>
      <w:r>
        <w:t>rates</w:t>
      </w:r>
      <w:r>
        <w:rPr>
          <w:spacing w:val="-12"/>
        </w:rPr>
        <w:t xml:space="preserve"> </w:t>
      </w:r>
      <w:r>
        <w:t>of</w:t>
      </w:r>
      <w:r>
        <w:rPr>
          <w:spacing w:val="-12"/>
        </w:rPr>
        <w:t xml:space="preserve"> </w:t>
      </w:r>
      <w:r>
        <w:t>anxiety,</w:t>
      </w:r>
      <w:r>
        <w:rPr>
          <w:spacing w:val="-13"/>
        </w:rPr>
        <w:t xml:space="preserve"> </w:t>
      </w:r>
      <w:r>
        <w:t>depression,</w:t>
      </w:r>
      <w:r>
        <w:rPr>
          <w:spacing w:val="-12"/>
        </w:rPr>
        <w:t xml:space="preserve"> </w:t>
      </w:r>
      <w:r>
        <w:t>and</w:t>
      </w:r>
      <w:r>
        <w:rPr>
          <w:spacing w:val="-13"/>
        </w:rPr>
        <w:t xml:space="preserve"> </w:t>
      </w:r>
      <w:r>
        <w:t>suicidal</w:t>
      </w:r>
      <w:r>
        <w:rPr>
          <w:spacing w:val="-12"/>
        </w:rPr>
        <w:t xml:space="preserve"> </w:t>
      </w:r>
      <w:r>
        <w:t>ideation compared to LGBTQ youth whose parents were born in the U.S. However, researchers discovered that suicide</w:t>
      </w:r>
      <w:r>
        <w:rPr>
          <w:spacing w:val="-6"/>
        </w:rPr>
        <w:t xml:space="preserve"> </w:t>
      </w:r>
      <w:r>
        <w:t>risk</w:t>
      </w:r>
      <w:r>
        <w:rPr>
          <w:spacing w:val="-6"/>
        </w:rPr>
        <w:t xml:space="preserve"> </w:t>
      </w:r>
      <w:r>
        <w:t>among</w:t>
      </w:r>
      <w:r>
        <w:rPr>
          <w:spacing w:val="-7"/>
        </w:rPr>
        <w:t xml:space="preserve"> </w:t>
      </w:r>
      <w:r>
        <w:t>first-generation</w:t>
      </w:r>
      <w:r>
        <w:rPr>
          <w:spacing w:val="-10"/>
        </w:rPr>
        <w:t xml:space="preserve"> </w:t>
      </w:r>
      <w:r>
        <w:t>LGBTQ</w:t>
      </w:r>
      <w:r>
        <w:rPr>
          <w:spacing w:val="-6"/>
        </w:rPr>
        <w:t xml:space="preserve"> </w:t>
      </w:r>
      <w:r>
        <w:t>youth</w:t>
      </w:r>
      <w:r>
        <w:rPr>
          <w:spacing w:val="-7"/>
        </w:rPr>
        <w:t xml:space="preserve"> </w:t>
      </w:r>
      <w:r>
        <w:t>was</w:t>
      </w:r>
      <w:r>
        <w:rPr>
          <w:spacing w:val="-9"/>
        </w:rPr>
        <w:t xml:space="preserve"> </w:t>
      </w:r>
      <w:r>
        <w:t>more</w:t>
      </w:r>
      <w:r>
        <w:rPr>
          <w:spacing w:val="-6"/>
        </w:rPr>
        <w:t xml:space="preserve"> </w:t>
      </w:r>
      <w:r>
        <w:t>associated</w:t>
      </w:r>
      <w:r>
        <w:rPr>
          <w:spacing w:val="-7"/>
        </w:rPr>
        <w:t xml:space="preserve"> </w:t>
      </w:r>
      <w:r>
        <w:t>with</w:t>
      </w:r>
      <w:r>
        <w:rPr>
          <w:spacing w:val="-7"/>
        </w:rPr>
        <w:t xml:space="preserve"> </w:t>
      </w:r>
      <w:r>
        <w:t>worrying</w:t>
      </w:r>
      <w:r>
        <w:rPr>
          <w:spacing w:val="-7"/>
        </w:rPr>
        <w:t xml:space="preserve"> </w:t>
      </w:r>
      <w:r>
        <w:t>about</w:t>
      </w:r>
      <w:r>
        <w:rPr>
          <w:spacing w:val="-6"/>
        </w:rPr>
        <w:t xml:space="preserve"> </w:t>
      </w:r>
      <w:r>
        <w:t>themselves</w:t>
      </w:r>
      <w:r>
        <w:rPr>
          <w:spacing w:val="-9"/>
        </w:rPr>
        <w:t xml:space="preserve"> </w:t>
      </w:r>
      <w:r>
        <w:t>or a family member being deported due to immigration policies. Roughly 30% of first-generation LGBTQ youth worried “sometimes” or “a lot” about immigration-related detainment or detention compared to 5% of</w:t>
      </w:r>
      <w:r>
        <w:rPr>
          <w:spacing w:val="-1"/>
        </w:rPr>
        <w:t xml:space="preserve"> </w:t>
      </w:r>
      <w:r>
        <w:t>LGBTQ</w:t>
      </w:r>
      <w:r>
        <w:rPr>
          <w:spacing w:val="-1"/>
        </w:rPr>
        <w:t xml:space="preserve"> </w:t>
      </w:r>
      <w:r>
        <w:t>youth whose</w:t>
      </w:r>
      <w:r>
        <w:rPr>
          <w:spacing w:val="-3"/>
        </w:rPr>
        <w:t xml:space="preserve"> </w:t>
      </w:r>
      <w:r>
        <w:t>paren</w:t>
      </w:r>
      <w:r>
        <w:t>ts were born in</w:t>
      </w:r>
      <w:r>
        <w:rPr>
          <w:spacing w:val="-2"/>
        </w:rPr>
        <w:t xml:space="preserve"> </w:t>
      </w:r>
      <w:r>
        <w:t>the U.S. Immigration</w:t>
      </w:r>
      <w:r>
        <w:rPr>
          <w:spacing w:val="-2"/>
        </w:rPr>
        <w:t xml:space="preserve"> </w:t>
      </w:r>
      <w:r>
        <w:t>fears</w:t>
      </w:r>
      <w:r>
        <w:rPr>
          <w:spacing w:val="-1"/>
        </w:rPr>
        <w:t xml:space="preserve"> </w:t>
      </w:r>
      <w:r>
        <w:t>were reported</w:t>
      </w:r>
      <w:r>
        <w:rPr>
          <w:spacing w:val="-2"/>
        </w:rPr>
        <w:t xml:space="preserve"> </w:t>
      </w:r>
      <w:r>
        <w:t>most often</w:t>
      </w:r>
      <w:r>
        <w:rPr>
          <w:spacing w:val="-2"/>
        </w:rPr>
        <w:t xml:space="preserve"> </w:t>
      </w:r>
      <w:r>
        <w:t xml:space="preserve">by first-generation Latinx LGBTQ youth, followed by first-generation LGBTQ youth who are more than one </w:t>
      </w:r>
      <w:r>
        <w:rPr>
          <w:spacing w:val="-2"/>
        </w:rPr>
        <w:t>race/ethnicity.</w:t>
      </w:r>
    </w:p>
    <w:p w:rsidR="00200FDA" w:rsidRDefault="00F76C4C">
      <w:pPr>
        <w:pStyle w:val="BodyText"/>
        <w:spacing w:before="120" w:line="276" w:lineRule="auto"/>
        <w:ind w:left="139" w:right="137"/>
        <w:jc w:val="both"/>
      </w:pPr>
      <w:r>
        <w:t>Overall,</w:t>
      </w:r>
      <w:r>
        <w:rPr>
          <w:spacing w:val="-7"/>
        </w:rPr>
        <w:t xml:space="preserve"> </w:t>
      </w:r>
      <w:r>
        <w:t>first-generation</w:t>
      </w:r>
      <w:r>
        <w:rPr>
          <w:spacing w:val="-5"/>
        </w:rPr>
        <w:t xml:space="preserve"> </w:t>
      </w:r>
      <w:r>
        <w:t>LGBTQ</w:t>
      </w:r>
      <w:r>
        <w:rPr>
          <w:spacing w:val="-6"/>
        </w:rPr>
        <w:t xml:space="preserve"> </w:t>
      </w:r>
      <w:r>
        <w:t>youth</w:t>
      </w:r>
      <w:r>
        <w:rPr>
          <w:spacing w:val="-8"/>
        </w:rPr>
        <w:t xml:space="preserve"> </w:t>
      </w:r>
      <w:r>
        <w:t>who</w:t>
      </w:r>
      <w:r>
        <w:rPr>
          <w:spacing w:val="-3"/>
        </w:rPr>
        <w:t xml:space="preserve"> </w:t>
      </w:r>
      <w:r>
        <w:t>reported</w:t>
      </w:r>
      <w:r>
        <w:rPr>
          <w:spacing w:val="-5"/>
        </w:rPr>
        <w:t xml:space="preserve"> </w:t>
      </w:r>
      <w:r>
        <w:t>being</w:t>
      </w:r>
      <w:r>
        <w:rPr>
          <w:spacing w:val="-5"/>
        </w:rPr>
        <w:t xml:space="preserve"> </w:t>
      </w:r>
      <w:r>
        <w:t>worried</w:t>
      </w:r>
      <w:r>
        <w:rPr>
          <w:spacing w:val="-5"/>
        </w:rPr>
        <w:t xml:space="preserve"> </w:t>
      </w:r>
      <w:r>
        <w:t>abou</w:t>
      </w:r>
      <w:r>
        <w:t>t</w:t>
      </w:r>
      <w:r>
        <w:rPr>
          <w:spacing w:val="-4"/>
        </w:rPr>
        <w:t xml:space="preserve"> </w:t>
      </w:r>
      <w:r>
        <w:t>themselves</w:t>
      </w:r>
      <w:r>
        <w:rPr>
          <w:spacing w:val="-7"/>
        </w:rPr>
        <w:t xml:space="preserve"> </w:t>
      </w:r>
      <w:r>
        <w:t>or</w:t>
      </w:r>
      <w:r>
        <w:rPr>
          <w:spacing w:val="-7"/>
        </w:rPr>
        <w:t xml:space="preserve"> </w:t>
      </w:r>
      <w:r>
        <w:t>a</w:t>
      </w:r>
      <w:r>
        <w:rPr>
          <w:spacing w:val="-5"/>
        </w:rPr>
        <w:t xml:space="preserve"> </w:t>
      </w:r>
      <w:r>
        <w:t>family</w:t>
      </w:r>
      <w:r>
        <w:rPr>
          <w:spacing w:val="-6"/>
        </w:rPr>
        <w:t xml:space="preserve"> </w:t>
      </w:r>
      <w:r>
        <w:t>member being deported had 63% greater odds of reporting a suicide attempt in the past year. Additionally, discrimination</w:t>
      </w:r>
      <w:r>
        <w:rPr>
          <w:spacing w:val="14"/>
        </w:rPr>
        <w:t xml:space="preserve"> </w:t>
      </w:r>
      <w:r>
        <w:t>based</w:t>
      </w:r>
      <w:r>
        <w:rPr>
          <w:spacing w:val="12"/>
        </w:rPr>
        <w:t xml:space="preserve"> </w:t>
      </w:r>
      <w:r>
        <w:t>on</w:t>
      </w:r>
      <w:r>
        <w:rPr>
          <w:spacing w:val="14"/>
        </w:rPr>
        <w:t xml:space="preserve"> </w:t>
      </w:r>
      <w:r>
        <w:t>actual</w:t>
      </w:r>
      <w:r>
        <w:rPr>
          <w:spacing w:val="15"/>
        </w:rPr>
        <w:t xml:space="preserve"> </w:t>
      </w:r>
      <w:r>
        <w:t>or</w:t>
      </w:r>
      <w:r>
        <w:rPr>
          <w:spacing w:val="12"/>
        </w:rPr>
        <w:t xml:space="preserve"> </w:t>
      </w:r>
      <w:r>
        <w:t>perceived</w:t>
      </w:r>
      <w:r>
        <w:rPr>
          <w:spacing w:val="14"/>
        </w:rPr>
        <w:t xml:space="preserve"> </w:t>
      </w:r>
      <w:r>
        <w:t>immigration</w:t>
      </w:r>
      <w:r>
        <w:rPr>
          <w:spacing w:val="14"/>
        </w:rPr>
        <w:t xml:space="preserve"> </w:t>
      </w:r>
      <w:r>
        <w:t>status</w:t>
      </w:r>
      <w:r>
        <w:rPr>
          <w:spacing w:val="13"/>
        </w:rPr>
        <w:t xml:space="preserve"> </w:t>
      </w:r>
      <w:r>
        <w:t>was</w:t>
      </w:r>
      <w:r>
        <w:rPr>
          <w:spacing w:val="13"/>
        </w:rPr>
        <w:t xml:space="preserve"> </w:t>
      </w:r>
      <w:r>
        <w:t>reported</w:t>
      </w:r>
      <w:r>
        <w:rPr>
          <w:spacing w:val="12"/>
        </w:rPr>
        <w:t xml:space="preserve"> </w:t>
      </w:r>
      <w:r>
        <w:t>by</w:t>
      </w:r>
      <w:r>
        <w:rPr>
          <w:spacing w:val="13"/>
        </w:rPr>
        <w:t xml:space="preserve"> </w:t>
      </w:r>
      <w:r>
        <w:t>nearly 1</w:t>
      </w:r>
      <w:r>
        <w:rPr>
          <w:spacing w:val="16"/>
        </w:rPr>
        <w:t xml:space="preserve"> </w:t>
      </w:r>
      <w:r>
        <w:t>in</w:t>
      </w:r>
      <w:r>
        <w:rPr>
          <w:spacing w:val="12"/>
        </w:rPr>
        <w:t xml:space="preserve"> </w:t>
      </w:r>
      <w:r>
        <w:t>10</w:t>
      </w:r>
      <w:r>
        <w:rPr>
          <w:spacing w:val="13"/>
        </w:rPr>
        <w:t xml:space="preserve"> </w:t>
      </w:r>
      <w:r>
        <w:t>of</w:t>
      </w:r>
      <w:r>
        <w:rPr>
          <w:spacing w:val="12"/>
        </w:rPr>
        <w:t xml:space="preserve"> </w:t>
      </w:r>
      <w:r>
        <w:t>first-</w:t>
      </w:r>
    </w:p>
    <w:p w:rsidR="00200FDA" w:rsidRDefault="00F76C4C">
      <w:pPr>
        <w:pStyle w:val="BodyText"/>
        <w:spacing w:line="276" w:lineRule="auto"/>
        <w:ind w:left="4610" w:right="137"/>
        <w:jc w:val="both"/>
      </w:pPr>
      <w:r>
        <w:rPr>
          <w:noProof/>
        </w:rPr>
        <w:drawing>
          <wp:anchor distT="0" distB="0" distL="0" distR="0" simplePos="0" relativeHeight="15814144" behindDoc="0" locked="0" layoutInCell="1" allowOverlap="1">
            <wp:simplePos x="0" y="0"/>
            <wp:positionH relativeFrom="page">
              <wp:posOffset>914400</wp:posOffset>
            </wp:positionH>
            <wp:positionV relativeFrom="paragraph">
              <wp:posOffset>78113</wp:posOffset>
            </wp:positionV>
            <wp:extent cx="2738120" cy="2324728"/>
            <wp:effectExtent l="0" t="0" r="0" b="0"/>
            <wp:wrapNone/>
            <wp:docPr id="135"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29.jpeg"/>
                    <pic:cNvPicPr/>
                  </pic:nvPicPr>
                  <pic:blipFill>
                    <a:blip r:embed="rId683" cstate="print"/>
                    <a:stretch>
                      <a:fillRect/>
                    </a:stretch>
                  </pic:blipFill>
                  <pic:spPr>
                    <a:xfrm>
                      <a:off x="0" y="0"/>
                      <a:ext cx="2738120" cy="2324728"/>
                    </a:xfrm>
                    <a:prstGeom prst="rect">
                      <a:avLst/>
                    </a:prstGeom>
                  </pic:spPr>
                </pic:pic>
              </a:graphicData>
            </a:graphic>
          </wp:anchor>
        </w:drawing>
      </w:r>
      <w:r>
        <w:t>generation LGBTQ youth compared to 2% of LGBTQ youth whose parents were born in the U.S. First- generation LGBTQ youth who faced discrimination based on their actual or perceived immigration status had more than 2.5 times greater odds of attempting suicide</w:t>
      </w:r>
      <w:r>
        <w:rPr>
          <w:spacing w:val="-13"/>
        </w:rPr>
        <w:t xml:space="preserve"> </w:t>
      </w:r>
      <w:r>
        <w:t>compared</w:t>
      </w:r>
      <w:r>
        <w:rPr>
          <w:spacing w:val="-12"/>
        </w:rPr>
        <w:t xml:space="preserve"> </w:t>
      </w:r>
      <w:r>
        <w:t>to</w:t>
      </w:r>
      <w:r>
        <w:rPr>
          <w:spacing w:val="-13"/>
        </w:rPr>
        <w:t xml:space="preserve"> </w:t>
      </w:r>
      <w:r>
        <w:t>first-generation</w:t>
      </w:r>
      <w:r>
        <w:rPr>
          <w:spacing w:val="-12"/>
        </w:rPr>
        <w:t xml:space="preserve"> </w:t>
      </w:r>
      <w:r>
        <w:t>LGBTQ</w:t>
      </w:r>
      <w:r>
        <w:rPr>
          <w:spacing w:val="-13"/>
        </w:rPr>
        <w:t xml:space="preserve"> </w:t>
      </w:r>
      <w:r>
        <w:t>youth</w:t>
      </w:r>
      <w:r>
        <w:rPr>
          <w:spacing w:val="-12"/>
        </w:rPr>
        <w:t xml:space="preserve"> </w:t>
      </w:r>
      <w:r>
        <w:t>who did not.</w:t>
      </w:r>
    </w:p>
    <w:p w:rsidR="00200FDA" w:rsidRDefault="00F76C4C">
      <w:pPr>
        <w:pStyle w:val="BodyText"/>
        <w:spacing w:before="120" w:line="276" w:lineRule="auto"/>
        <w:ind w:left="4610" w:right="133"/>
        <w:jc w:val="both"/>
      </w:pPr>
      <w:r>
        <w:t>The</w:t>
      </w:r>
      <w:r>
        <w:rPr>
          <w:spacing w:val="-9"/>
        </w:rPr>
        <w:t xml:space="preserve"> </w:t>
      </w:r>
      <w:r>
        <w:t>Trevor</w:t>
      </w:r>
      <w:r>
        <w:rPr>
          <w:spacing w:val="-11"/>
        </w:rPr>
        <w:t xml:space="preserve"> </w:t>
      </w:r>
      <w:r>
        <w:t>Project</w:t>
      </w:r>
      <w:r>
        <w:rPr>
          <w:spacing w:val="-9"/>
        </w:rPr>
        <w:t xml:space="preserve"> </w:t>
      </w:r>
      <w:r>
        <w:t>study</w:t>
      </w:r>
      <w:r>
        <w:rPr>
          <w:spacing w:val="-9"/>
        </w:rPr>
        <w:t xml:space="preserve"> </w:t>
      </w:r>
      <w:r>
        <w:t>demonstrates</w:t>
      </w:r>
      <w:r>
        <w:rPr>
          <w:spacing w:val="-9"/>
        </w:rPr>
        <w:t xml:space="preserve"> </w:t>
      </w:r>
      <w:r>
        <w:t>the</w:t>
      </w:r>
      <w:r>
        <w:rPr>
          <w:spacing w:val="-9"/>
        </w:rPr>
        <w:t xml:space="preserve"> </w:t>
      </w:r>
      <w:r>
        <w:t>impact</w:t>
      </w:r>
      <w:r>
        <w:rPr>
          <w:spacing w:val="-9"/>
        </w:rPr>
        <w:t xml:space="preserve"> </w:t>
      </w:r>
      <w:r>
        <w:t>that a young person’s immigration status</w:t>
      </w:r>
      <w:r>
        <w:rPr>
          <w:spacing w:val="-1"/>
        </w:rPr>
        <w:t xml:space="preserve"> </w:t>
      </w:r>
      <w:r>
        <w:t>can have</w:t>
      </w:r>
      <w:r>
        <w:rPr>
          <w:spacing w:val="-1"/>
        </w:rPr>
        <w:t xml:space="preserve"> </w:t>
      </w:r>
      <w:r>
        <w:t>on their mental</w:t>
      </w:r>
      <w:r>
        <w:rPr>
          <w:spacing w:val="-13"/>
        </w:rPr>
        <w:t xml:space="preserve"> </w:t>
      </w:r>
      <w:r>
        <w:t>health,</w:t>
      </w:r>
      <w:r>
        <w:rPr>
          <w:spacing w:val="-12"/>
        </w:rPr>
        <w:t xml:space="preserve"> </w:t>
      </w:r>
      <w:r>
        <w:t>or</w:t>
      </w:r>
      <w:r>
        <w:rPr>
          <w:spacing w:val="-13"/>
        </w:rPr>
        <w:t xml:space="preserve"> </w:t>
      </w:r>
      <w:r>
        <w:t>the</w:t>
      </w:r>
      <w:r>
        <w:rPr>
          <w:spacing w:val="-12"/>
        </w:rPr>
        <w:t xml:space="preserve"> </w:t>
      </w:r>
      <w:r>
        <w:t>immigration</w:t>
      </w:r>
      <w:r>
        <w:rPr>
          <w:spacing w:val="-13"/>
        </w:rPr>
        <w:t xml:space="preserve"> </w:t>
      </w:r>
      <w:r>
        <w:t>status</w:t>
      </w:r>
      <w:r>
        <w:rPr>
          <w:spacing w:val="-12"/>
        </w:rPr>
        <w:t xml:space="preserve"> </w:t>
      </w:r>
      <w:r>
        <w:t>of</w:t>
      </w:r>
      <w:r>
        <w:rPr>
          <w:spacing w:val="-13"/>
        </w:rPr>
        <w:t xml:space="preserve"> </w:t>
      </w:r>
      <w:r>
        <w:t>close</w:t>
      </w:r>
      <w:r>
        <w:rPr>
          <w:spacing w:val="-12"/>
        </w:rPr>
        <w:t xml:space="preserve"> </w:t>
      </w:r>
      <w:r>
        <w:t>family members. As previous research demons</w:t>
      </w:r>
      <w:r>
        <w:t>trates, feeling unsure</w:t>
      </w:r>
      <w:r>
        <w:rPr>
          <w:spacing w:val="-5"/>
        </w:rPr>
        <w:t xml:space="preserve"> </w:t>
      </w:r>
      <w:r>
        <w:t>about</w:t>
      </w:r>
      <w:r>
        <w:rPr>
          <w:spacing w:val="-5"/>
        </w:rPr>
        <w:t xml:space="preserve"> </w:t>
      </w:r>
      <w:r>
        <w:t>access</w:t>
      </w:r>
      <w:r>
        <w:rPr>
          <w:spacing w:val="-5"/>
        </w:rPr>
        <w:t xml:space="preserve"> </w:t>
      </w:r>
      <w:r>
        <w:t>to</w:t>
      </w:r>
      <w:r>
        <w:rPr>
          <w:spacing w:val="-6"/>
        </w:rPr>
        <w:t xml:space="preserve"> </w:t>
      </w:r>
      <w:r>
        <w:t>education,</w:t>
      </w:r>
      <w:r>
        <w:rPr>
          <w:spacing w:val="-4"/>
        </w:rPr>
        <w:t xml:space="preserve"> </w:t>
      </w:r>
      <w:r>
        <w:t>health</w:t>
      </w:r>
      <w:r>
        <w:rPr>
          <w:spacing w:val="-6"/>
        </w:rPr>
        <w:t xml:space="preserve"> </w:t>
      </w:r>
      <w:r>
        <w:t>care,</w:t>
      </w:r>
      <w:r>
        <w:rPr>
          <w:spacing w:val="-5"/>
        </w:rPr>
        <w:t xml:space="preserve"> </w:t>
      </w:r>
      <w:r>
        <w:t>and</w:t>
      </w:r>
      <w:r>
        <w:rPr>
          <w:spacing w:val="-5"/>
        </w:rPr>
        <w:t xml:space="preserve"> the</w:t>
      </w:r>
    </w:p>
    <w:p w:rsidR="00200FDA" w:rsidRDefault="00F76C4C">
      <w:pPr>
        <w:pStyle w:val="BodyText"/>
        <w:spacing w:line="278" w:lineRule="auto"/>
        <w:ind w:left="139" w:right="138"/>
        <w:jc w:val="both"/>
      </w:pPr>
      <w:r>
        <w:t>possibility of deportation can cause a great deal of stress and anxiety that can affect a young person’s sense</w:t>
      </w:r>
      <w:r>
        <w:rPr>
          <w:spacing w:val="21"/>
        </w:rPr>
        <w:t xml:space="preserve"> </w:t>
      </w:r>
      <w:r>
        <w:t>of</w:t>
      </w:r>
      <w:r>
        <w:rPr>
          <w:spacing w:val="23"/>
        </w:rPr>
        <w:t xml:space="preserve"> </w:t>
      </w:r>
      <w:r>
        <w:t>belonging</w:t>
      </w:r>
      <w:r>
        <w:rPr>
          <w:spacing w:val="22"/>
        </w:rPr>
        <w:t xml:space="preserve"> </w:t>
      </w:r>
      <w:r>
        <w:t>and</w:t>
      </w:r>
      <w:r>
        <w:rPr>
          <w:spacing w:val="22"/>
        </w:rPr>
        <w:t xml:space="preserve"> </w:t>
      </w:r>
      <w:r>
        <w:t>well-being.</w:t>
      </w:r>
      <w:hyperlink w:anchor="_bookmark735" w:history="1">
        <w:r>
          <w:rPr>
            <w:vertAlign w:val="superscript"/>
          </w:rPr>
          <w:t>26</w:t>
        </w:r>
      </w:hyperlink>
      <w:r>
        <w:rPr>
          <w:spacing w:val="-2"/>
        </w:rPr>
        <w:t xml:space="preserve"> </w:t>
      </w:r>
      <w:r>
        <w:t>This</w:t>
      </w:r>
      <w:r>
        <w:rPr>
          <w:spacing w:val="23"/>
        </w:rPr>
        <w:t xml:space="preserve"> </w:t>
      </w:r>
      <w:r>
        <w:t>also</w:t>
      </w:r>
      <w:r>
        <w:rPr>
          <w:spacing w:val="22"/>
        </w:rPr>
        <w:t xml:space="preserve"> </w:t>
      </w:r>
      <w:r>
        <w:t>leads</w:t>
      </w:r>
      <w:r>
        <w:rPr>
          <w:spacing w:val="21"/>
        </w:rPr>
        <w:t xml:space="preserve"> </w:t>
      </w:r>
      <w:r>
        <w:t>LGBTQ</w:t>
      </w:r>
      <w:r>
        <w:rPr>
          <w:spacing w:val="21"/>
        </w:rPr>
        <w:t xml:space="preserve"> </w:t>
      </w:r>
      <w:r>
        <w:t>youth</w:t>
      </w:r>
      <w:r>
        <w:rPr>
          <w:spacing w:val="22"/>
        </w:rPr>
        <w:t xml:space="preserve"> </w:t>
      </w:r>
      <w:r>
        <w:t>to</w:t>
      </w:r>
      <w:r>
        <w:rPr>
          <w:spacing w:val="24"/>
        </w:rPr>
        <w:t xml:space="preserve"> </w:t>
      </w:r>
      <w:r>
        <w:t>avoid</w:t>
      </w:r>
      <w:r>
        <w:rPr>
          <w:spacing w:val="20"/>
        </w:rPr>
        <w:t xml:space="preserve"> </w:t>
      </w:r>
      <w:r>
        <w:t>interaction</w:t>
      </w:r>
      <w:r>
        <w:rPr>
          <w:spacing w:val="20"/>
        </w:rPr>
        <w:t xml:space="preserve"> </w:t>
      </w:r>
      <w:r>
        <w:t>with</w:t>
      </w:r>
      <w:r>
        <w:rPr>
          <w:spacing w:val="22"/>
        </w:rPr>
        <w:t xml:space="preserve"> </w:t>
      </w:r>
      <w:r>
        <w:t>police</w:t>
      </w:r>
      <w:r>
        <w:rPr>
          <w:spacing w:val="21"/>
        </w:rPr>
        <w:t xml:space="preserve"> </w:t>
      </w:r>
      <w:r>
        <w:t>and</w:t>
      </w:r>
    </w:p>
    <w:p w:rsidR="00200FDA" w:rsidRDefault="00200FDA">
      <w:pPr>
        <w:spacing w:line="278" w:lineRule="auto"/>
        <w:jc w:val="both"/>
        <w:sectPr w:rsidR="00200FDA">
          <w:pgSz w:w="12240" w:h="15840"/>
          <w:pgMar w:top="1360" w:right="1300" w:bottom="1240" w:left="1300" w:header="763" w:footer="1043" w:gutter="0"/>
          <w:cols w:space="720"/>
        </w:sectPr>
      </w:pPr>
    </w:p>
    <w:p w:rsidR="00200FDA" w:rsidRDefault="00F76C4C">
      <w:pPr>
        <w:pStyle w:val="BodyText"/>
        <w:spacing w:before="64" w:line="276" w:lineRule="auto"/>
        <w:ind w:left="139" w:right="135"/>
        <w:jc w:val="both"/>
      </w:pPr>
      <w:r>
        <w:lastRenderedPageBreak/>
        <w:t>potentially with immigration officials like I.C.E. by avoiding activities such as seeking mental health, or even</w:t>
      </w:r>
      <w:r>
        <w:rPr>
          <w:spacing w:val="-10"/>
        </w:rPr>
        <w:t xml:space="preserve"> </w:t>
      </w:r>
      <w:r>
        <w:t>reporting</w:t>
      </w:r>
      <w:r>
        <w:rPr>
          <w:spacing w:val="-10"/>
        </w:rPr>
        <w:t xml:space="preserve"> </w:t>
      </w:r>
      <w:r>
        <w:t>discrimination</w:t>
      </w:r>
      <w:r>
        <w:rPr>
          <w:spacing w:val="-10"/>
        </w:rPr>
        <w:t xml:space="preserve"> </w:t>
      </w:r>
      <w:r>
        <w:t>or</w:t>
      </w:r>
      <w:r>
        <w:rPr>
          <w:spacing w:val="-12"/>
        </w:rPr>
        <w:t xml:space="preserve"> </w:t>
      </w:r>
      <w:r>
        <w:t>violence,</w:t>
      </w:r>
      <w:r>
        <w:rPr>
          <w:spacing w:val="-9"/>
        </w:rPr>
        <w:t xml:space="preserve"> </w:t>
      </w:r>
      <w:r>
        <w:t>as</w:t>
      </w:r>
      <w:r>
        <w:rPr>
          <w:spacing w:val="-9"/>
        </w:rPr>
        <w:t xml:space="preserve"> </w:t>
      </w:r>
      <w:r>
        <w:t>they</w:t>
      </w:r>
      <w:r>
        <w:rPr>
          <w:spacing w:val="-8"/>
        </w:rPr>
        <w:t xml:space="preserve"> </w:t>
      </w:r>
      <w:r>
        <w:t>may</w:t>
      </w:r>
      <w:r>
        <w:rPr>
          <w:spacing w:val="-11"/>
        </w:rPr>
        <w:t xml:space="preserve"> </w:t>
      </w:r>
      <w:r>
        <w:t>potentially</w:t>
      </w:r>
      <w:r>
        <w:rPr>
          <w:spacing w:val="-8"/>
        </w:rPr>
        <w:t xml:space="preserve"> </w:t>
      </w:r>
      <w:r>
        <w:t>have</w:t>
      </w:r>
      <w:r>
        <w:rPr>
          <w:spacing w:val="-8"/>
        </w:rPr>
        <w:t xml:space="preserve"> </w:t>
      </w:r>
      <w:r>
        <w:t>to</w:t>
      </w:r>
      <w:r>
        <w:rPr>
          <w:spacing w:val="-8"/>
        </w:rPr>
        <w:t xml:space="preserve"> </w:t>
      </w:r>
      <w:r>
        <w:t>reveal</w:t>
      </w:r>
      <w:r>
        <w:rPr>
          <w:spacing w:val="-9"/>
        </w:rPr>
        <w:t xml:space="preserve"> </w:t>
      </w:r>
      <w:r>
        <w:t>their</w:t>
      </w:r>
      <w:r>
        <w:rPr>
          <w:spacing w:val="-9"/>
        </w:rPr>
        <w:t xml:space="preserve"> </w:t>
      </w:r>
      <w:r>
        <w:t>immigration</w:t>
      </w:r>
      <w:r>
        <w:rPr>
          <w:spacing w:val="-10"/>
        </w:rPr>
        <w:t xml:space="preserve"> </w:t>
      </w:r>
      <w:r>
        <w:t>status. This</w:t>
      </w:r>
      <w:r>
        <w:rPr>
          <w:spacing w:val="-2"/>
        </w:rPr>
        <w:t xml:space="preserve"> </w:t>
      </w:r>
      <w:r>
        <w:t>constant</w:t>
      </w:r>
      <w:r>
        <w:rPr>
          <w:spacing w:val="-1"/>
        </w:rPr>
        <w:t xml:space="preserve"> </w:t>
      </w:r>
      <w:r>
        <w:t>self-monitoring</w:t>
      </w:r>
      <w:r>
        <w:rPr>
          <w:spacing w:val="-3"/>
        </w:rPr>
        <w:t xml:space="preserve"> </w:t>
      </w:r>
      <w:r>
        <w:t>and</w:t>
      </w:r>
      <w:r>
        <w:rPr>
          <w:spacing w:val="-3"/>
        </w:rPr>
        <w:t xml:space="preserve"> </w:t>
      </w:r>
      <w:r>
        <w:t>reluctance</w:t>
      </w:r>
      <w:r>
        <w:rPr>
          <w:spacing w:val="-1"/>
        </w:rPr>
        <w:t xml:space="preserve"> </w:t>
      </w:r>
      <w:r>
        <w:t>to</w:t>
      </w:r>
      <w:r>
        <w:rPr>
          <w:spacing w:val="-1"/>
        </w:rPr>
        <w:t xml:space="preserve"> </w:t>
      </w:r>
      <w:r>
        <w:t>seek</w:t>
      </w:r>
      <w:r>
        <w:rPr>
          <w:spacing w:val="-4"/>
        </w:rPr>
        <w:t xml:space="preserve"> </w:t>
      </w:r>
      <w:r>
        <w:t>mental</w:t>
      </w:r>
      <w:r>
        <w:rPr>
          <w:spacing w:val="-2"/>
        </w:rPr>
        <w:t xml:space="preserve"> </w:t>
      </w:r>
      <w:r>
        <w:t>health</w:t>
      </w:r>
      <w:r>
        <w:rPr>
          <w:spacing w:val="-3"/>
        </w:rPr>
        <w:t xml:space="preserve"> </w:t>
      </w:r>
      <w:r>
        <w:t>care</w:t>
      </w:r>
      <w:r>
        <w:rPr>
          <w:spacing w:val="-1"/>
        </w:rPr>
        <w:t xml:space="preserve"> </w:t>
      </w:r>
      <w:r>
        <w:t>as</w:t>
      </w:r>
      <w:r>
        <w:rPr>
          <w:spacing w:val="-2"/>
        </w:rPr>
        <w:t xml:space="preserve"> </w:t>
      </w:r>
      <w:r>
        <w:t>a</w:t>
      </w:r>
      <w:r>
        <w:rPr>
          <w:spacing w:val="-2"/>
        </w:rPr>
        <w:t xml:space="preserve"> </w:t>
      </w:r>
      <w:r>
        <w:t>way</w:t>
      </w:r>
      <w:r>
        <w:rPr>
          <w:spacing w:val="-1"/>
        </w:rPr>
        <w:t xml:space="preserve"> </w:t>
      </w:r>
      <w:r>
        <w:t>to</w:t>
      </w:r>
      <w:r>
        <w:rPr>
          <w:spacing w:val="-1"/>
        </w:rPr>
        <w:t xml:space="preserve"> </w:t>
      </w:r>
      <w:r>
        <w:t>stay</w:t>
      </w:r>
      <w:r>
        <w:rPr>
          <w:spacing w:val="-1"/>
        </w:rPr>
        <w:t xml:space="preserve"> </w:t>
      </w:r>
      <w:r>
        <w:t>under</w:t>
      </w:r>
      <w:r>
        <w:rPr>
          <w:spacing w:val="-2"/>
        </w:rPr>
        <w:t xml:space="preserve"> </w:t>
      </w:r>
      <w:r>
        <w:t>the</w:t>
      </w:r>
      <w:r>
        <w:rPr>
          <w:spacing w:val="-1"/>
        </w:rPr>
        <w:t xml:space="preserve"> </w:t>
      </w:r>
      <w:r>
        <w:t>radar from</w:t>
      </w:r>
      <w:r>
        <w:rPr>
          <w:spacing w:val="-13"/>
        </w:rPr>
        <w:t xml:space="preserve"> </w:t>
      </w:r>
      <w:r>
        <w:t>police</w:t>
      </w:r>
      <w:r>
        <w:rPr>
          <w:spacing w:val="-10"/>
        </w:rPr>
        <w:t xml:space="preserve"> </w:t>
      </w:r>
      <w:r>
        <w:t>and</w:t>
      </w:r>
      <w:r>
        <w:rPr>
          <w:spacing w:val="-12"/>
        </w:rPr>
        <w:t xml:space="preserve"> </w:t>
      </w:r>
      <w:r>
        <w:t>immigration</w:t>
      </w:r>
      <w:r>
        <w:rPr>
          <w:spacing w:val="-12"/>
        </w:rPr>
        <w:t xml:space="preserve"> </w:t>
      </w:r>
      <w:r>
        <w:t>officials,</w:t>
      </w:r>
      <w:r>
        <w:rPr>
          <w:spacing w:val="-11"/>
        </w:rPr>
        <w:t xml:space="preserve"> </w:t>
      </w:r>
      <w:r>
        <w:t>can</w:t>
      </w:r>
      <w:r>
        <w:rPr>
          <w:spacing w:val="-12"/>
        </w:rPr>
        <w:t xml:space="preserve"> </w:t>
      </w:r>
      <w:r>
        <w:t>increase</w:t>
      </w:r>
      <w:r>
        <w:rPr>
          <w:spacing w:val="-13"/>
        </w:rPr>
        <w:t xml:space="preserve"> </w:t>
      </w:r>
      <w:r>
        <w:t>stress</w:t>
      </w:r>
      <w:r>
        <w:rPr>
          <w:spacing w:val="-10"/>
        </w:rPr>
        <w:t xml:space="preserve"> </w:t>
      </w:r>
      <w:r>
        <w:t>and</w:t>
      </w:r>
      <w:r>
        <w:rPr>
          <w:spacing w:val="-12"/>
        </w:rPr>
        <w:t xml:space="preserve"> </w:t>
      </w:r>
      <w:r>
        <w:t>anxiety,</w:t>
      </w:r>
      <w:r>
        <w:rPr>
          <w:spacing w:val="-11"/>
        </w:rPr>
        <w:t xml:space="preserve"> </w:t>
      </w:r>
      <w:r>
        <w:t>and</w:t>
      </w:r>
      <w:r>
        <w:rPr>
          <w:spacing w:val="-12"/>
        </w:rPr>
        <w:t xml:space="preserve"> </w:t>
      </w:r>
      <w:r>
        <w:t>act</w:t>
      </w:r>
      <w:r>
        <w:rPr>
          <w:spacing w:val="-11"/>
        </w:rPr>
        <w:t xml:space="preserve"> </w:t>
      </w:r>
      <w:r>
        <w:t>as</w:t>
      </w:r>
      <w:r>
        <w:rPr>
          <w:spacing w:val="-11"/>
        </w:rPr>
        <w:t xml:space="preserve"> </w:t>
      </w:r>
      <w:r>
        <w:t>a</w:t>
      </w:r>
      <w:r>
        <w:rPr>
          <w:spacing w:val="-13"/>
        </w:rPr>
        <w:t xml:space="preserve"> </w:t>
      </w:r>
      <w:r>
        <w:t>barrier</w:t>
      </w:r>
      <w:r>
        <w:rPr>
          <w:spacing w:val="-10"/>
        </w:rPr>
        <w:t xml:space="preserve"> </w:t>
      </w:r>
      <w:r>
        <w:t>to</w:t>
      </w:r>
      <w:r>
        <w:rPr>
          <w:spacing w:val="-13"/>
        </w:rPr>
        <w:t xml:space="preserve"> </w:t>
      </w:r>
      <w:r>
        <w:t>mental</w:t>
      </w:r>
      <w:r>
        <w:rPr>
          <w:spacing w:val="-11"/>
        </w:rPr>
        <w:t xml:space="preserve"> </w:t>
      </w:r>
      <w:r>
        <w:t>health care. As discussed in the New England-based MIRA Coalition’s 2021 Annual Report, some foreign-born individuals hesitate to reach out even to local nonprofit organizations for resources, for fear of being turned</w:t>
      </w:r>
      <w:r>
        <w:rPr>
          <w:spacing w:val="-13"/>
        </w:rPr>
        <w:t xml:space="preserve"> </w:t>
      </w:r>
      <w:r>
        <w:t>over</w:t>
      </w:r>
      <w:r>
        <w:rPr>
          <w:spacing w:val="-12"/>
        </w:rPr>
        <w:t xml:space="preserve"> </w:t>
      </w:r>
      <w:r>
        <w:t>to</w:t>
      </w:r>
      <w:r>
        <w:rPr>
          <w:spacing w:val="-13"/>
        </w:rPr>
        <w:t xml:space="preserve"> </w:t>
      </w:r>
      <w:r>
        <w:t>ICE,</w:t>
      </w:r>
      <w:r>
        <w:rPr>
          <w:spacing w:val="-12"/>
        </w:rPr>
        <w:t xml:space="preserve"> </w:t>
      </w:r>
      <w:r>
        <w:t>highlighting</w:t>
      </w:r>
      <w:r>
        <w:rPr>
          <w:spacing w:val="-13"/>
        </w:rPr>
        <w:t xml:space="preserve"> </w:t>
      </w:r>
      <w:r>
        <w:t>the</w:t>
      </w:r>
      <w:r>
        <w:rPr>
          <w:spacing w:val="-12"/>
        </w:rPr>
        <w:t xml:space="preserve"> </w:t>
      </w:r>
      <w:r>
        <w:t>critical</w:t>
      </w:r>
      <w:r>
        <w:rPr>
          <w:spacing w:val="-13"/>
        </w:rPr>
        <w:t xml:space="preserve"> </w:t>
      </w:r>
      <w:r>
        <w:t>need</w:t>
      </w:r>
      <w:r>
        <w:rPr>
          <w:spacing w:val="-12"/>
        </w:rPr>
        <w:t xml:space="preserve"> </w:t>
      </w:r>
      <w:r>
        <w:t>of</w:t>
      </w:r>
      <w:r>
        <w:rPr>
          <w:spacing w:val="-12"/>
        </w:rPr>
        <w:t xml:space="preserve"> </w:t>
      </w:r>
      <w:r>
        <w:t>local</w:t>
      </w:r>
      <w:r>
        <w:rPr>
          <w:spacing w:val="-13"/>
        </w:rPr>
        <w:t xml:space="preserve"> </w:t>
      </w:r>
      <w:r>
        <w:t>and</w:t>
      </w:r>
      <w:r>
        <w:rPr>
          <w:spacing w:val="-12"/>
        </w:rPr>
        <w:t xml:space="preserve"> </w:t>
      </w:r>
      <w:r>
        <w:t>state</w:t>
      </w:r>
      <w:r>
        <w:rPr>
          <w:spacing w:val="-13"/>
        </w:rPr>
        <w:t xml:space="preserve"> </w:t>
      </w:r>
      <w:r>
        <w:t>agencies</w:t>
      </w:r>
      <w:r>
        <w:rPr>
          <w:spacing w:val="-12"/>
        </w:rPr>
        <w:t xml:space="preserve"> </w:t>
      </w:r>
      <w:r>
        <w:t>to</w:t>
      </w:r>
      <w:r>
        <w:rPr>
          <w:spacing w:val="-13"/>
        </w:rPr>
        <w:t xml:space="preserve"> </w:t>
      </w:r>
      <w:r>
        <w:t>be</w:t>
      </w:r>
      <w:r>
        <w:rPr>
          <w:spacing w:val="-12"/>
        </w:rPr>
        <w:t xml:space="preserve"> </w:t>
      </w:r>
      <w:r>
        <w:t>intentional</w:t>
      </w:r>
      <w:r>
        <w:rPr>
          <w:spacing w:val="-12"/>
        </w:rPr>
        <w:t xml:space="preserve"> </w:t>
      </w:r>
      <w:r>
        <w:t>about</w:t>
      </w:r>
      <w:r>
        <w:rPr>
          <w:spacing w:val="-13"/>
        </w:rPr>
        <w:t xml:space="preserve"> </w:t>
      </w:r>
      <w:r>
        <w:t>building outreach and trust with foreign-born individuals or families with mixed-resident status.</w:t>
      </w:r>
      <w:hyperlink w:anchor="_bookmark736" w:history="1">
        <w:r>
          <w:rPr>
            <w:vertAlign w:val="superscript"/>
          </w:rPr>
          <w:t>27</w:t>
        </w:r>
      </w:hyperlink>
    </w:p>
    <w:p w:rsidR="00200FDA" w:rsidRDefault="00F76C4C">
      <w:pPr>
        <w:pStyle w:val="BodyText"/>
        <w:spacing w:before="119" w:line="276" w:lineRule="auto"/>
        <w:ind w:left="140" w:right="134"/>
        <w:jc w:val="both"/>
      </w:pPr>
      <w:r>
        <w:t>As</w:t>
      </w:r>
      <w:r>
        <w:rPr>
          <w:spacing w:val="-10"/>
        </w:rPr>
        <w:t xml:space="preserve"> </w:t>
      </w:r>
      <w:r>
        <w:t>noted</w:t>
      </w:r>
      <w:r>
        <w:rPr>
          <w:spacing w:val="-10"/>
        </w:rPr>
        <w:t xml:space="preserve"> </w:t>
      </w:r>
      <w:r>
        <w:t>above,</w:t>
      </w:r>
      <w:r>
        <w:rPr>
          <w:spacing w:val="-9"/>
        </w:rPr>
        <w:t xml:space="preserve"> </w:t>
      </w:r>
      <w:r>
        <w:t>some</w:t>
      </w:r>
      <w:r>
        <w:rPr>
          <w:spacing w:val="-11"/>
        </w:rPr>
        <w:t xml:space="preserve"> </w:t>
      </w:r>
      <w:r>
        <w:t>cities</w:t>
      </w:r>
      <w:r>
        <w:rPr>
          <w:spacing w:val="-9"/>
        </w:rPr>
        <w:t xml:space="preserve"> </w:t>
      </w:r>
      <w:r>
        <w:t>in</w:t>
      </w:r>
      <w:r>
        <w:rPr>
          <w:spacing w:val="-12"/>
        </w:rPr>
        <w:t xml:space="preserve"> </w:t>
      </w:r>
      <w:r>
        <w:t>Massachusetts,</w:t>
      </w:r>
      <w:r>
        <w:rPr>
          <w:spacing w:val="-11"/>
        </w:rPr>
        <w:t xml:space="preserve"> </w:t>
      </w:r>
      <w:r>
        <w:t>such</w:t>
      </w:r>
      <w:r>
        <w:rPr>
          <w:spacing w:val="-10"/>
        </w:rPr>
        <w:t xml:space="preserve"> </w:t>
      </w:r>
      <w:r>
        <w:t>as</w:t>
      </w:r>
      <w:r>
        <w:rPr>
          <w:spacing w:val="-13"/>
        </w:rPr>
        <w:t xml:space="preserve"> </w:t>
      </w:r>
      <w:r>
        <w:t>Boston,</w:t>
      </w:r>
      <w:r>
        <w:rPr>
          <w:spacing w:val="-8"/>
        </w:rPr>
        <w:t xml:space="preserve"> </w:t>
      </w:r>
      <w:r>
        <w:t>have</w:t>
      </w:r>
      <w:r>
        <w:rPr>
          <w:spacing w:val="-11"/>
        </w:rPr>
        <w:t xml:space="preserve"> </w:t>
      </w:r>
      <w:r>
        <w:t>passed</w:t>
      </w:r>
      <w:r>
        <w:rPr>
          <w:spacing w:val="-12"/>
        </w:rPr>
        <w:t xml:space="preserve"> </w:t>
      </w:r>
      <w:r>
        <w:t>legislation</w:t>
      </w:r>
      <w:r>
        <w:rPr>
          <w:spacing w:val="-12"/>
        </w:rPr>
        <w:t xml:space="preserve"> </w:t>
      </w:r>
      <w:r>
        <w:t>that</w:t>
      </w:r>
      <w:r>
        <w:rPr>
          <w:spacing w:val="-9"/>
        </w:rPr>
        <w:t xml:space="preserve"> </w:t>
      </w:r>
      <w:r>
        <w:t>bars</w:t>
      </w:r>
      <w:r>
        <w:rPr>
          <w:spacing w:val="-11"/>
        </w:rPr>
        <w:t xml:space="preserve"> </w:t>
      </w:r>
      <w:r>
        <w:t>city</w:t>
      </w:r>
      <w:r>
        <w:rPr>
          <w:spacing w:val="-8"/>
        </w:rPr>
        <w:t xml:space="preserve"> </w:t>
      </w:r>
      <w:r>
        <w:t>police from</w:t>
      </w:r>
      <w:r>
        <w:rPr>
          <w:spacing w:val="-3"/>
        </w:rPr>
        <w:t xml:space="preserve"> </w:t>
      </w:r>
      <w:r>
        <w:t>cooperating</w:t>
      </w:r>
      <w:r>
        <w:rPr>
          <w:spacing w:val="-5"/>
        </w:rPr>
        <w:t xml:space="preserve"> </w:t>
      </w:r>
      <w:r>
        <w:t>in</w:t>
      </w:r>
      <w:r>
        <w:rPr>
          <w:spacing w:val="-5"/>
        </w:rPr>
        <w:t xml:space="preserve"> </w:t>
      </w:r>
      <w:r>
        <w:t>most</w:t>
      </w:r>
      <w:r>
        <w:rPr>
          <w:spacing w:val="-4"/>
        </w:rPr>
        <w:t xml:space="preserve"> </w:t>
      </w:r>
      <w:r>
        <w:t>cases</w:t>
      </w:r>
      <w:r>
        <w:rPr>
          <w:spacing w:val="-4"/>
        </w:rPr>
        <w:t xml:space="preserve"> </w:t>
      </w:r>
      <w:r>
        <w:t>with</w:t>
      </w:r>
      <w:r>
        <w:rPr>
          <w:spacing w:val="-5"/>
        </w:rPr>
        <w:t xml:space="preserve"> </w:t>
      </w:r>
      <w:r>
        <w:t>federal</w:t>
      </w:r>
      <w:r>
        <w:rPr>
          <w:spacing w:val="-4"/>
        </w:rPr>
        <w:t xml:space="preserve"> </w:t>
      </w:r>
      <w:r>
        <w:t>immigration</w:t>
      </w:r>
      <w:r>
        <w:rPr>
          <w:spacing w:val="-3"/>
        </w:rPr>
        <w:t xml:space="preserve"> </w:t>
      </w:r>
      <w:r>
        <w:t>authorities</w:t>
      </w:r>
      <w:r>
        <w:rPr>
          <w:spacing w:val="-2"/>
        </w:rPr>
        <w:t xml:space="preserve"> </w:t>
      </w:r>
      <w:r>
        <w:t>to</w:t>
      </w:r>
      <w:r>
        <w:rPr>
          <w:spacing w:val="-3"/>
        </w:rPr>
        <w:t xml:space="preserve"> </w:t>
      </w:r>
      <w:r>
        <w:t>detain</w:t>
      </w:r>
      <w:r>
        <w:rPr>
          <w:spacing w:val="-5"/>
        </w:rPr>
        <w:t xml:space="preserve"> </w:t>
      </w:r>
      <w:r>
        <w:t>immigrants</w:t>
      </w:r>
      <w:r>
        <w:rPr>
          <w:spacing w:val="-4"/>
        </w:rPr>
        <w:t xml:space="preserve"> </w:t>
      </w:r>
      <w:r>
        <w:t>who</w:t>
      </w:r>
      <w:r>
        <w:rPr>
          <w:spacing w:val="-1"/>
        </w:rPr>
        <w:t xml:space="preserve"> </w:t>
      </w:r>
      <w:r>
        <w:t>are</w:t>
      </w:r>
      <w:r>
        <w:rPr>
          <w:spacing w:val="-1"/>
        </w:rPr>
        <w:t xml:space="preserve"> </w:t>
      </w:r>
      <w:r>
        <w:t>in</w:t>
      </w:r>
      <w:r>
        <w:rPr>
          <w:spacing w:val="-5"/>
        </w:rPr>
        <w:t xml:space="preserve"> </w:t>
      </w:r>
      <w:r>
        <w:t>the country illegally, and have also ended agreements through county sheriff’s offices with ICE. These measures al</w:t>
      </w:r>
      <w:r>
        <w:t>low Massachusetts to</w:t>
      </w:r>
      <w:r>
        <w:rPr>
          <w:spacing w:val="-1"/>
        </w:rPr>
        <w:t xml:space="preserve"> </w:t>
      </w:r>
      <w:r>
        <w:t>make progress at creating a space where foreign-born undocumented residents can live without fear of being deported.</w:t>
      </w:r>
      <w:hyperlink w:anchor="_bookmark737" w:history="1">
        <w:r>
          <w:rPr>
            <w:vertAlign w:val="superscript"/>
          </w:rPr>
          <w:t>28</w:t>
        </w:r>
      </w:hyperlink>
    </w:p>
    <w:p w:rsidR="00200FDA" w:rsidRDefault="00200FDA">
      <w:pPr>
        <w:pStyle w:val="BodyText"/>
        <w:spacing w:before="1"/>
        <w:rPr>
          <w:sz w:val="24"/>
        </w:rPr>
      </w:pPr>
    </w:p>
    <w:p w:rsidR="00200FDA" w:rsidRDefault="00F76C4C">
      <w:pPr>
        <w:pStyle w:val="Heading8"/>
      </w:pPr>
      <w:bookmarkStart w:id="894" w:name="Criminal_Justice_Involvement"/>
      <w:bookmarkEnd w:id="894"/>
      <w:r>
        <w:rPr>
          <w:color w:val="0A5293"/>
        </w:rPr>
        <w:t>Criminal</w:t>
      </w:r>
      <w:r>
        <w:rPr>
          <w:color w:val="0A5293"/>
          <w:spacing w:val="-1"/>
        </w:rPr>
        <w:t xml:space="preserve"> </w:t>
      </w:r>
      <w:r>
        <w:rPr>
          <w:color w:val="0A5293"/>
        </w:rPr>
        <w:t xml:space="preserve">Justice </w:t>
      </w:r>
      <w:r>
        <w:rPr>
          <w:color w:val="0A5293"/>
          <w:spacing w:val="-2"/>
        </w:rPr>
        <w:t>Involvement</w:t>
      </w:r>
    </w:p>
    <w:p w:rsidR="00200FDA" w:rsidRDefault="00200FDA">
      <w:pPr>
        <w:pStyle w:val="BodyText"/>
        <w:spacing w:before="4"/>
        <w:rPr>
          <w:sz w:val="25"/>
        </w:rPr>
      </w:pPr>
    </w:p>
    <w:p w:rsidR="00200FDA" w:rsidRDefault="00F76C4C">
      <w:pPr>
        <w:pStyle w:val="BodyText"/>
        <w:spacing w:line="276" w:lineRule="auto"/>
        <w:ind w:left="139" w:right="132"/>
        <w:jc w:val="both"/>
      </w:pPr>
      <w:r>
        <w:t>As noted in the criminal justice section of this annual report, research has shown</w:t>
      </w:r>
      <w:r>
        <w:rPr>
          <w:spacing w:val="-2"/>
        </w:rPr>
        <w:t xml:space="preserve"> </w:t>
      </w:r>
      <w:r>
        <w:t>that LGBTQ people are more</w:t>
      </w:r>
      <w:r>
        <w:rPr>
          <w:spacing w:val="-4"/>
        </w:rPr>
        <w:t xml:space="preserve"> </w:t>
      </w:r>
      <w:r>
        <w:t>likely</w:t>
      </w:r>
      <w:r>
        <w:rPr>
          <w:spacing w:val="-3"/>
        </w:rPr>
        <w:t xml:space="preserve"> </w:t>
      </w:r>
      <w:r>
        <w:t>to</w:t>
      </w:r>
      <w:r>
        <w:rPr>
          <w:spacing w:val="-3"/>
        </w:rPr>
        <w:t xml:space="preserve"> </w:t>
      </w:r>
      <w:r>
        <w:t>interact</w:t>
      </w:r>
      <w:r>
        <w:rPr>
          <w:spacing w:val="-4"/>
        </w:rPr>
        <w:t xml:space="preserve"> </w:t>
      </w:r>
      <w:r>
        <w:t>with</w:t>
      </w:r>
      <w:r>
        <w:rPr>
          <w:spacing w:val="-8"/>
        </w:rPr>
        <w:t xml:space="preserve"> </w:t>
      </w:r>
      <w:r>
        <w:t>law</w:t>
      </w:r>
      <w:r>
        <w:rPr>
          <w:spacing w:val="-4"/>
        </w:rPr>
        <w:t xml:space="preserve"> </w:t>
      </w:r>
      <w:r>
        <w:t>enforcement</w:t>
      </w:r>
      <w:r>
        <w:rPr>
          <w:spacing w:val="-4"/>
        </w:rPr>
        <w:t xml:space="preserve"> </w:t>
      </w:r>
      <w:r>
        <w:t>due</w:t>
      </w:r>
      <w:r>
        <w:rPr>
          <w:spacing w:val="-4"/>
        </w:rPr>
        <w:t xml:space="preserve"> </w:t>
      </w:r>
      <w:r>
        <w:t>to</w:t>
      </w:r>
      <w:r>
        <w:rPr>
          <w:spacing w:val="-3"/>
        </w:rPr>
        <w:t xml:space="preserve"> </w:t>
      </w:r>
      <w:r>
        <w:t>discrimination,</w:t>
      </w:r>
      <w:r>
        <w:rPr>
          <w:spacing w:val="-4"/>
        </w:rPr>
        <w:t xml:space="preserve"> </w:t>
      </w:r>
      <w:r>
        <w:t>over-policing,</w:t>
      </w:r>
      <w:r>
        <w:rPr>
          <w:spacing w:val="-7"/>
        </w:rPr>
        <w:t xml:space="preserve"> </w:t>
      </w:r>
      <w:r>
        <w:t>and</w:t>
      </w:r>
      <w:r>
        <w:rPr>
          <w:spacing w:val="-5"/>
        </w:rPr>
        <w:t xml:space="preserve"> </w:t>
      </w:r>
      <w:r>
        <w:t>violence.</w:t>
      </w:r>
      <w:r>
        <w:rPr>
          <w:spacing w:val="-5"/>
        </w:rPr>
        <w:t xml:space="preserve"> </w:t>
      </w:r>
      <w:r>
        <w:t>Although 4.1% of</w:t>
      </w:r>
      <w:r>
        <w:rPr>
          <w:spacing w:val="-1"/>
        </w:rPr>
        <w:t xml:space="preserve"> </w:t>
      </w:r>
      <w:r>
        <w:t>adults in</w:t>
      </w:r>
      <w:r>
        <w:rPr>
          <w:spacing w:val="-2"/>
        </w:rPr>
        <w:t xml:space="preserve"> </w:t>
      </w:r>
      <w:r>
        <w:t>the U.S. identify as</w:t>
      </w:r>
      <w:r>
        <w:rPr>
          <w:spacing w:val="-1"/>
        </w:rPr>
        <w:t xml:space="preserve"> </w:t>
      </w:r>
      <w:r>
        <w:t>LGBTQ,</w:t>
      </w:r>
      <w:r>
        <w:rPr>
          <w:spacing w:val="-1"/>
        </w:rPr>
        <w:t xml:space="preserve"> </w:t>
      </w:r>
      <w:r>
        <w:t>they are three times</w:t>
      </w:r>
      <w:r>
        <w:rPr>
          <w:spacing w:val="-1"/>
        </w:rPr>
        <w:t xml:space="preserve"> </w:t>
      </w:r>
      <w:r>
        <w:t>more likely to be incarcerated</w:t>
      </w:r>
      <w:r>
        <w:rPr>
          <w:spacing w:val="-2"/>
        </w:rPr>
        <w:t xml:space="preserve"> </w:t>
      </w:r>
      <w:r>
        <w:t>than the general population.</w:t>
      </w:r>
      <w:hyperlink w:anchor="_bookmark738" w:history="1">
        <w:r>
          <w:rPr>
            <w:vertAlign w:val="superscript"/>
          </w:rPr>
          <w:t>29</w:t>
        </w:r>
      </w:hyperlink>
      <w:r>
        <w:rPr>
          <w:spacing w:val="-2"/>
        </w:rPr>
        <w:t xml:space="preserve"> </w:t>
      </w:r>
      <w:r>
        <w:t>A large contributing factor to the high incarceration rate of LGBTQ people is the discrimination they face in many aspects of life, includin</w:t>
      </w:r>
      <w:r>
        <w:t>g housing and employment discrimination.</w:t>
      </w:r>
      <w:hyperlink w:anchor="_bookmark739" w:history="1">
        <w:r>
          <w:rPr>
            <w:vertAlign w:val="superscript"/>
          </w:rPr>
          <w:t>30</w:t>
        </w:r>
      </w:hyperlink>
      <w:r>
        <w:t xml:space="preserve"> Without</w:t>
      </w:r>
      <w:r>
        <w:rPr>
          <w:spacing w:val="-3"/>
        </w:rPr>
        <w:t xml:space="preserve"> </w:t>
      </w:r>
      <w:r>
        <w:t>protections</w:t>
      </w:r>
      <w:r>
        <w:rPr>
          <w:spacing w:val="-4"/>
        </w:rPr>
        <w:t xml:space="preserve"> </w:t>
      </w:r>
      <w:r>
        <w:t>for</w:t>
      </w:r>
      <w:r>
        <w:rPr>
          <w:spacing w:val="-3"/>
        </w:rPr>
        <w:t xml:space="preserve"> </w:t>
      </w:r>
      <w:r>
        <w:t>basic</w:t>
      </w:r>
      <w:r>
        <w:rPr>
          <w:spacing w:val="-4"/>
        </w:rPr>
        <w:t xml:space="preserve"> </w:t>
      </w:r>
      <w:r>
        <w:t>necessities,</w:t>
      </w:r>
      <w:r>
        <w:rPr>
          <w:spacing w:val="-3"/>
        </w:rPr>
        <w:t xml:space="preserve"> </w:t>
      </w:r>
      <w:r>
        <w:t>such</w:t>
      </w:r>
      <w:r>
        <w:rPr>
          <w:spacing w:val="-4"/>
        </w:rPr>
        <w:t xml:space="preserve"> </w:t>
      </w:r>
      <w:r>
        <w:t>as</w:t>
      </w:r>
      <w:r>
        <w:rPr>
          <w:spacing w:val="-3"/>
        </w:rPr>
        <w:t xml:space="preserve"> </w:t>
      </w:r>
      <w:r>
        <w:t>employment</w:t>
      </w:r>
      <w:r>
        <w:rPr>
          <w:spacing w:val="-4"/>
        </w:rPr>
        <w:t xml:space="preserve"> </w:t>
      </w:r>
      <w:r>
        <w:t>and</w:t>
      </w:r>
      <w:r>
        <w:rPr>
          <w:spacing w:val="-4"/>
        </w:rPr>
        <w:t xml:space="preserve"> </w:t>
      </w:r>
      <w:r>
        <w:t>safe</w:t>
      </w:r>
      <w:r>
        <w:rPr>
          <w:spacing w:val="-3"/>
        </w:rPr>
        <w:t xml:space="preserve"> </w:t>
      </w:r>
      <w:r>
        <w:t>shelter,</w:t>
      </w:r>
      <w:r>
        <w:rPr>
          <w:spacing w:val="-6"/>
        </w:rPr>
        <w:t xml:space="preserve"> </w:t>
      </w:r>
      <w:r>
        <w:t>LGBTQ</w:t>
      </w:r>
      <w:r>
        <w:rPr>
          <w:spacing w:val="-3"/>
        </w:rPr>
        <w:t xml:space="preserve"> </w:t>
      </w:r>
      <w:r>
        <w:t>people</w:t>
      </w:r>
      <w:r>
        <w:rPr>
          <w:spacing w:val="-4"/>
        </w:rPr>
        <w:t xml:space="preserve"> </w:t>
      </w:r>
      <w:r>
        <w:t>are</w:t>
      </w:r>
      <w:r>
        <w:rPr>
          <w:spacing w:val="-3"/>
        </w:rPr>
        <w:t xml:space="preserve"> </w:t>
      </w:r>
      <w:r>
        <w:t>at</w:t>
      </w:r>
      <w:r>
        <w:rPr>
          <w:spacing w:val="-4"/>
        </w:rPr>
        <w:t xml:space="preserve"> </w:t>
      </w:r>
      <w:r>
        <w:t>risk of</w:t>
      </w:r>
      <w:r>
        <w:rPr>
          <w:spacing w:val="-8"/>
        </w:rPr>
        <w:t xml:space="preserve"> </w:t>
      </w:r>
      <w:r>
        <w:t>being</w:t>
      </w:r>
      <w:r>
        <w:rPr>
          <w:spacing w:val="-9"/>
        </w:rPr>
        <w:t xml:space="preserve"> </w:t>
      </w:r>
      <w:r>
        <w:t>homeless</w:t>
      </w:r>
      <w:r>
        <w:rPr>
          <w:spacing w:val="-13"/>
        </w:rPr>
        <w:t xml:space="preserve"> </w:t>
      </w:r>
      <w:r>
        <w:t>or</w:t>
      </w:r>
      <w:r>
        <w:rPr>
          <w:spacing w:val="-10"/>
        </w:rPr>
        <w:t xml:space="preserve"> </w:t>
      </w:r>
      <w:r>
        <w:t>being</w:t>
      </w:r>
      <w:r>
        <w:rPr>
          <w:spacing w:val="-11"/>
        </w:rPr>
        <w:t xml:space="preserve"> </w:t>
      </w:r>
      <w:r>
        <w:t>forced</w:t>
      </w:r>
      <w:r>
        <w:rPr>
          <w:spacing w:val="-11"/>
        </w:rPr>
        <w:t xml:space="preserve"> </w:t>
      </w:r>
      <w:r>
        <w:t>to</w:t>
      </w:r>
      <w:r>
        <w:rPr>
          <w:spacing w:val="-9"/>
        </w:rPr>
        <w:t xml:space="preserve"> </w:t>
      </w:r>
      <w:r>
        <w:t>rely</w:t>
      </w:r>
      <w:r>
        <w:rPr>
          <w:spacing w:val="-10"/>
        </w:rPr>
        <w:t xml:space="preserve"> </w:t>
      </w:r>
      <w:r>
        <w:t>on</w:t>
      </w:r>
      <w:r>
        <w:rPr>
          <w:spacing w:val="-11"/>
        </w:rPr>
        <w:t xml:space="preserve"> </w:t>
      </w:r>
      <w:r>
        <w:t>survival</w:t>
      </w:r>
      <w:r>
        <w:rPr>
          <w:spacing w:val="-11"/>
        </w:rPr>
        <w:t xml:space="preserve"> </w:t>
      </w:r>
      <w:r>
        <w:t>economies,</w:t>
      </w:r>
      <w:r>
        <w:rPr>
          <w:spacing w:val="-8"/>
        </w:rPr>
        <w:t xml:space="preserve"> </w:t>
      </w:r>
      <w:r>
        <w:t>such</w:t>
      </w:r>
      <w:r>
        <w:rPr>
          <w:spacing w:val="-11"/>
        </w:rPr>
        <w:t xml:space="preserve"> </w:t>
      </w:r>
      <w:r>
        <w:t>as</w:t>
      </w:r>
      <w:r>
        <w:rPr>
          <w:spacing w:val="-10"/>
        </w:rPr>
        <w:t xml:space="preserve"> </w:t>
      </w:r>
      <w:r>
        <w:t>sex</w:t>
      </w:r>
      <w:r>
        <w:rPr>
          <w:spacing w:val="-10"/>
        </w:rPr>
        <w:t xml:space="preserve"> </w:t>
      </w:r>
      <w:r>
        <w:t>work.</w:t>
      </w:r>
      <w:hyperlink w:anchor="_bookmark740" w:history="1">
        <w:r>
          <w:rPr>
            <w:vertAlign w:val="superscript"/>
          </w:rPr>
          <w:t>31</w:t>
        </w:r>
      </w:hyperlink>
      <w:r>
        <w:rPr>
          <w:spacing w:val="-2"/>
        </w:rPr>
        <w:t xml:space="preserve"> </w:t>
      </w:r>
      <w:r>
        <w:t>A</w:t>
      </w:r>
      <w:r>
        <w:rPr>
          <w:spacing w:val="-9"/>
        </w:rPr>
        <w:t xml:space="preserve"> </w:t>
      </w:r>
      <w:r>
        <w:t>2022</w:t>
      </w:r>
      <w:r>
        <w:rPr>
          <w:spacing w:val="-10"/>
        </w:rPr>
        <w:t xml:space="preserve"> </w:t>
      </w:r>
      <w:r>
        <w:t>national</w:t>
      </w:r>
      <w:r>
        <w:rPr>
          <w:spacing w:val="-10"/>
        </w:rPr>
        <w:t xml:space="preserve"> </w:t>
      </w:r>
      <w:r>
        <w:t>study by Lambda Legal found that 57% of LGBTQ people surveyed reported face-to-face contact with police within the past five years; of those individuals, 45% reported that police engaged in misconduc</w:t>
      </w:r>
      <w:r>
        <w:t>t (false accusations, verbal assault, or sexual harassment).</w:t>
      </w:r>
      <w:hyperlink w:anchor="_bookmark741" w:history="1">
        <w:r>
          <w:rPr>
            <w:vertAlign w:val="superscript"/>
          </w:rPr>
          <w:t>32</w:t>
        </w:r>
      </w:hyperlink>
    </w:p>
    <w:p w:rsidR="00200FDA" w:rsidRDefault="00F76C4C">
      <w:pPr>
        <w:pStyle w:val="BodyText"/>
        <w:spacing w:before="121" w:line="276" w:lineRule="auto"/>
        <w:ind w:left="140" w:right="133"/>
        <w:jc w:val="both"/>
      </w:pPr>
      <w:r>
        <w:t>Another factor contributing to the increased interaction between LGBTQ people and law enforcement is the</w:t>
      </w:r>
      <w:r>
        <w:rPr>
          <w:spacing w:val="-4"/>
        </w:rPr>
        <w:t xml:space="preserve"> </w:t>
      </w:r>
      <w:r>
        <w:t>high</w:t>
      </w:r>
      <w:r>
        <w:rPr>
          <w:spacing w:val="-4"/>
        </w:rPr>
        <w:t xml:space="preserve"> </w:t>
      </w:r>
      <w:r>
        <w:t>rate</w:t>
      </w:r>
      <w:r>
        <w:rPr>
          <w:spacing w:val="-4"/>
        </w:rPr>
        <w:t xml:space="preserve"> </w:t>
      </w:r>
      <w:r>
        <w:t>of</w:t>
      </w:r>
      <w:r>
        <w:rPr>
          <w:spacing w:val="-4"/>
        </w:rPr>
        <w:t xml:space="preserve"> </w:t>
      </w:r>
      <w:r>
        <w:t>violence</w:t>
      </w:r>
      <w:r>
        <w:rPr>
          <w:spacing w:val="-4"/>
        </w:rPr>
        <w:t xml:space="preserve"> </w:t>
      </w:r>
      <w:r>
        <w:t>they</w:t>
      </w:r>
      <w:r>
        <w:rPr>
          <w:spacing w:val="-3"/>
        </w:rPr>
        <w:t xml:space="preserve"> </w:t>
      </w:r>
      <w:r>
        <w:t>face.</w:t>
      </w:r>
      <w:r>
        <w:rPr>
          <w:spacing w:val="-4"/>
        </w:rPr>
        <w:t xml:space="preserve"> </w:t>
      </w:r>
      <w:r>
        <w:t>According</w:t>
      </w:r>
      <w:r>
        <w:rPr>
          <w:spacing w:val="-5"/>
        </w:rPr>
        <w:t xml:space="preserve"> </w:t>
      </w:r>
      <w:r>
        <w:t>to</w:t>
      </w:r>
      <w:r>
        <w:rPr>
          <w:spacing w:val="-3"/>
        </w:rPr>
        <w:t xml:space="preserve"> </w:t>
      </w:r>
      <w:r>
        <w:t>the</w:t>
      </w:r>
      <w:r>
        <w:rPr>
          <w:spacing w:val="-4"/>
        </w:rPr>
        <w:t xml:space="preserve"> </w:t>
      </w:r>
      <w:r>
        <w:t>2021</w:t>
      </w:r>
      <w:r>
        <w:rPr>
          <w:spacing w:val="-3"/>
        </w:rPr>
        <w:t xml:space="preserve"> </w:t>
      </w:r>
      <w:r>
        <w:t>Massachusetts</w:t>
      </w:r>
      <w:r>
        <w:rPr>
          <w:spacing w:val="-4"/>
        </w:rPr>
        <w:t xml:space="preserve"> </w:t>
      </w:r>
      <w:r>
        <w:t>Hate</w:t>
      </w:r>
      <w:r>
        <w:rPr>
          <w:spacing w:val="-4"/>
        </w:rPr>
        <w:t xml:space="preserve"> </w:t>
      </w:r>
      <w:r>
        <w:t>Crime</w:t>
      </w:r>
      <w:r>
        <w:rPr>
          <w:spacing w:val="-4"/>
        </w:rPr>
        <w:t xml:space="preserve"> </w:t>
      </w:r>
      <w:r>
        <w:t>Report,</w:t>
      </w:r>
      <w:r>
        <w:rPr>
          <w:spacing w:val="-6"/>
        </w:rPr>
        <w:t xml:space="preserve"> </w:t>
      </w:r>
      <w:r>
        <w:t>the</w:t>
      </w:r>
      <w:r>
        <w:rPr>
          <w:spacing w:val="-4"/>
        </w:rPr>
        <w:t xml:space="preserve"> </w:t>
      </w:r>
      <w:r>
        <w:t>number of hate crime incidents reported by police in Massachusetts rose 4% from 2020 to 2021. The increase, from 386 to 403 incidents, is part of a broader trend in the state that has seen hate crimes increasing every y</w:t>
      </w:r>
      <w:r>
        <w:t xml:space="preserve">ear since 2018. The data reveals that some groups have seen an increase in the number of hate crimes targeted toward them: anti-LGBTQ violent attacks rose from 61 incidents to 74, or 14.3% to </w:t>
      </w:r>
      <w:r>
        <w:rPr>
          <w:spacing w:val="-2"/>
        </w:rPr>
        <w:t>18.6%.</w:t>
      </w:r>
      <w:hyperlink w:anchor="_bookmark742" w:history="1">
        <w:r>
          <w:rPr>
            <w:spacing w:val="-2"/>
            <w:vertAlign w:val="superscript"/>
          </w:rPr>
          <w:t>33</w:t>
        </w:r>
      </w:hyperlink>
    </w:p>
    <w:p w:rsidR="00200FDA" w:rsidRDefault="00F76C4C">
      <w:pPr>
        <w:pStyle w:val="BodyText"/>
        <w:spacing w:before="118" w:line="276" w:lineRule="auto"/>
        <w:ind w:left="139" w:right="133"/>
        <w:jc w:val="both"/>
      </w:pPr>
      <w:r>
        <w:t>The increased police co</w:t>
      </w:r>
      <w:r>
        <w:t>ntacts and violence faced by LGBTQ people are compounded by immigration status.</w:t>
      </w:r>
      <w:r>
        <w:rPr>
          <w:spacing w:val="-11"/>
        </w:rPr>
        <w:t xml:space="preserve"> </w:t>
      </w:r>
      <w:r>
        <w:t>As</w:t>
      </w:r>
      <w:r>
        <w:rPr>
          <w:spacing w:val="-13"/>
        </w:rPr>
        <w:t xml:space="preserve"> </w:t>
      </w:r>
      <w:r>
        <w:t>Legal</w:t>
      </w:r>
      <w:r>
        <w:rPr>
          <w:spacing w:val="-11"/>
        </w:rPr>
        <w:t xml:space="preserve"> </w:t>
      </w:r>
      <w:r>
        <w:t>Services</w:t>
      </w:r>
      <w:r>
        <w:rPr>
          <w:spacing w:val="-11"/>
        </w:rPr>
        <w:t xml:space="preserve"> </w:t>
      </w:r>
      <w:r>
        <w:t>NYC</w:t>
      </w:r>
      <w:r>
        <w:rPr>
          <w:spacing w:val="-9"/>
        </w:rPr>
        <w:t xml:space="preserve"> </w:t>
      </w:r>
      <w:r>
        <w:t>states,</w:t>
      </w:r>
      <w:r>
        <w:rPr>
          <w:spacing w:val="-13"/>
        </w:rPr>
        <w:t xml:space="preserve"> </w:t>
      </w:r>
      <w:r>
        <w:t>“homophobia</w:t>
      </w:r>
      <w:r>
        <w:rPr>
          <w:spacing w:val="-12"/>
        </w:rPr>
        <w:t xml:space="preserve"> </w:t>
      </w:r>
      <w:r>
        <w:t>and</w:t>
      </w:r>
      <w:r>
        <w:rPr>
          <w:spacing w:val="-12"/>
        </w:rPr>
        <w:t xml:space="preserve"> </w:t>
      </w:r>
      <w:r>
        <w:t>transphobia,</w:t>
      </w:r>
      <w:r>
        <w:rPr>
          <w:spacing w:val="-11"/>
        </w:rPr>
        <w:t xml:space="preserve"> </w:t>
      </w:r>
      <w:r>
        <w:t>combined</w:t>
      </w:r>
      <w:r>
        <w:rPr>
          <w:spacing w:val="-12"/>
        </w:rPr>
        <w:t xml:space="preserve"> </w:t>
      </w:r>
      <w:r>
        <w:t>with</w:t>
      </w:r>
      <w:r>
        <w:rPr>
          <w:spacing w:val="-10"/>
        </w:rPr>
        <w:t xml:space="preserve"> </w:t>
      </w:r>
      <w:r>
        <w:t>being</w:t>
      </w:r>
      <w:r>
        <w:rPr>
          <w:spacing w:val="-10"/>
        </w:rPr>
        <w:t xml:space="preserve"> </w:t>
      </w:r>
      <w:r>
        <w:t>undocumented, puts LGBTQ people at greater risks of police contact.”</w:t>
      </w:r>
      <w:r>
        <w:rPr>
          <w:spacing w:val="-13"/>
        </w:rPr>
        <w:t xml:space="preserve"> </w:t>
      </w:r>
      <w:hyperlink w:anchor="_bookmark743" w:history="1">
        <w:r>
          <w:rPr>
            <w:vertAlign w:val="superscript"/>
          </w:rPr>
          <w:t>34</w:t>
        </w:r>
      </w:hyperlink>
      <w:r>
        <w:t xml:space="preserve"> For instance, according to the 2015 U.S. Transgender Survey, the rate of reported incidents of hate violence against LGBTQ undocumented immigrants is rising, from 6% of LGBTQ survivors of hate violence in 2014 to 17% in 2015.</w:t>
      </w:r>
      <w:hyperlink w:anchor="_bookmark744" w:history="1">
        <w:r>
          <w:rPr>
            <w:vertAlign w:val="superscript"/>
          </w:rPr>
          <w:t>35</w:t>
        </w:r>
      </w:hyperlink>
      <w:r>
        <w:rPr>
          <w:spacing w:val="-2"/>
        </w:rPr>
        <w:t xml:space="preserve"> </w:t>
      </w:r>
      <w:r>
        <w:t>Additionally, nearly 1 in 4 transgender unauthorized immigrants reported being physically attacked in the past year.</w:t>
      </w:r>
      <w:hyperlink w:anchor="_bookmark745" w:history="1">
        <w:r>
          <w:rPr>
            <w:vertAlign w:val="superscript"/>
          </w:rPr>
          <w:t>36</w:t>
        </w:r>
      </w:hyperlink>
      <w:r>
        <w:t xml:space="preserve"> Undoubtedly,</w:t>
      </w:r>
      <w:r>
        <w:rPr>
          <w:spacing w:val="37"/>
        </w:rPr>
        <w:t xml:space="preserve"> </w:t>
      </w:r>
      <w:r>
        <w:t>these</w:t>
      </w:r>
      <w:r>
        <w:rPr>
          <w:spacing w:val="40"/>
        </w:rPr>
        <w:t xml:space="preserve"> </w:t>
      </w:r>
      <w:r>
        <w:t>rates</w:t>
      </w:r>
      <w:r>
        <w:rPr>
          <w:spacing w:val="37"/>
        </w:rPr>
        <w:t xml:space="preserve"> </w:t>
      </w:r>
      <w:r>
        <w:t>of</w:t>
      </w:r>
      <w:r>
        <w:rPr>
          <w:spacing w:val="39"/>
        </w:rPr>
        <w:t xml:space="preserve"> </w:t>
      </w:r>
      <w:r>
        <w:t>discrimination</w:t>
      </w:r>
      <w:r>
        <w:rPr>
          <w:spacing w:val="38"/>
        </w:rPr>
        <w:t xml:space="preserve"> </w:t>
      </w:r>
      <w:r>
        <w:t>and</w:t>
      </w:r>
      <w:r>
        <w:rPr>
          <w:spacing w:val="36"/>
        </w:rPr>
        <w:t xml:space="preserve"> </w:t>
      </w:r>
      <w:r>
        <w:t>violence</w:t>
      </w:r>
      <w:r>
        <w:rPr>
          <w:spacing w:val="40"/>
        </w:rPr>
        <w:t xml:space="preserve"> </w:t>
      </w:r>
      <w:r>
        <w:t>have</w:t>
      </w:r>
      <w:r>
        <w:rPr>
          <w:spacing w:val="40"/>
        </w:rPr>
        <w:t xml:space="preserve"> </w:t>
      </w:r>
      <w:r>
        <w:t>likely</w:t>
      </w:r>
      <w:r>
        <w:rPr>
          <w:spacing w:val="40"/>
        </w:rPr>
        <w:t xml:space="preserve"> </w:t>
      </w:r>
      <w:r>
        <w:t>increased</w:t>
      </w:r>
      <w:r>
        <w:rPr>
          <w:spacing w:val="36"/>
        </w:rPr>
        <w:t xml:space="preserve"> </w:t>
      </w:r>
      <w:r>
        <w:t>since</w:t>
      </w:r>
      <w:r>
        <w:rPr>
          <w:spacing w:val="40"/>
        </w:rPr>
        <w:t xml:space="preserve"> </w:t>
      </w:r>
      <w:r>
        <w:t>this</w:t>
      </w:r>
      <w:r>
        <w:rPr>
          <w:spacing w:val="39"/>
        </w:rPr>
        <w:t xml:space="preserve"> </w:t>
      </w:r>
      <w:r>
        <w:t>survey</w:t>
      </w:r>
      <w:r>
        <w:rPr>
          <w:spacing w:val="38"/>
        </w:rPr>
        <w:t xml:space="preserve"> </w:t>
      </w:r>
      <w:r>
        <w:t>was</w:t>
      </w:r>
    </w:p>
    <w:p w:rsidR="00200FDA" w:rsidRDefault="00200FDA">
      <w:pPr>
        <w:spacing w:line="276" w:lineRule="auto"/>
        <w:jc w:val="both"/>
        <w:sectPr w:rsidR="00200FDA">
          <w:pgSz w:w="12240" w:h="15840"/>
          <w:pgMar w:top="1360" w:right="1300" w:bottom="1240" w:left="1300" w:header="763" w:footer="1043" w:gutter="0"/>
          <w:cols w:space="720"/>
        </w:sectPr>
      </w:pPr>
    </w:p>
    <w:p w:rsidR="00200FDA" w:rsidRDefault="00F76C4C">
      <w:pPr>
        <w:pStyle w:val="BodyText"/>
        <w:spacing w:before="64" w:line="276" w:lineRule="auto"/>
        <w:ind w:left="139" w:right="136"/>
        <w:jc w:val="both"/>
      </w:pPr>
      <w:r>
        <w:lastRenderedPageBreak/>
        <w:t xml:space="preserve">conducted, as anti-immigrant rhetoric and misinformation significantly increased across the nation after </w:t>
      </w:r>
      <w:r>
        <w:rPr>
          <w:spacing w:val="-2"/>
        </w:rPr>
        <w:t>2016.</w:t>
      </w:r>
      <w:hyperlink w:anchor="_bookmark746" w:history="1">
        <w:r>
          <w:rPr>
            <w:spacing w:val="-2"/>
            <w:vertAlign w:val="superscript"/>
          </w:rPr>
          <w:t>37</w:t>
        </w:r>
      </w:hyperlink>
    </w:p>
    <w:p w:rsidR="00200FDA" w:rsidRDefault="00F76C4C">
      <w:pPr>
        <w:pStyle w:val="BodyText"/>
        <w:spacing w:before="119" w:line="276" w:lineRule="auto"/>
        <w:ind w:left="139" w:right="136"/>
        <w:jc w:val="both"/>
      </w:pPr>
      <w:r>
        <w:t>One likely explanation for these high rates of violence is the compounded discriminati</w:t>
      </w:r>
      <w:r>
        <w:t>on that LGBTQ foreign-born individuals face living at the intersection of multiple marginalized communities. When law enforcement is working with immigration enforcement, LGBTQ immigrants are reluctant to look to law enforcement for assistance, placing the</w:t>
      </w:r>
      <w:r>
        <w:t>m at an even greater risk of violence and health disparities.</w:t>
      </w:r>
    </w:p>
    <w:p w:rsidR="00200FDA" w:rsidRDefault="00200FDA">
      <w:pPr>
        <w:pStyle w:val="BodyText"/>
        <w:rPr>
          <w:sz w:val="24"/>
        </w:rPr>
      </w:pPr>
    </w:p>
    <w:p w:rsidR="00200FDA" w:rsidRDefault="00F76C4C">
      <w:pPr>
        <w:pStyle w:val="Heading8"/>
        <w:spacing w:before="1"/>
        <w:jc w:val="left"/>
      </w:pPr>
      <w:bookmarkStart w:id="895" w:name="Barriers_to_Accessing_Services"/>
      <w:bookmarkEnd w:id="895"/>
      <w:r>
        <w:rPr>
          <w:color w:val="0A5293"/>
        </w:rPr>
        <w:t>Barriers</w:t>
      </w:r>
      <w:r>
        <w:rPr>
          <w:color w:val="0A5293"/>
          <w:spacing w:val="-1"/>
        </w:rPr>
        <w:t xml:space="preserve"> </w:t>
      </w:r>
      <w:r>
        <w:rPr>
          <w:color w:val="0A5293"/>
        </w:rPr>
        <w:t>to</w:t>
      </w:r>
      <w:r>
        <w:rPr>
          <w:color w:val="0A5293"/>
          <w:spacing w:val="-2"/>
        </w:rPr>
        <w:t xml:space="preserve"> </w:t>
      </w:r>
      <w:r>
        <w:rPr>
          <w:color w:val="0A5293"/>
        </w:rPr>
        <w:t>Accessing</w:t>
      </w:r>
      <w:r>
        <w:rPr>
          <w:color w:val="0A5293"/>
          <w:spacing w:val="-1"/>
        </w:rPr>
        <w:t xml:space="preserve"> </w:t>
      </w:r>
      <w:r>
        <w:rPr>
          <w:color w:val="0A5293"/>
          <w:spacing w:val="-2"/>
        </w:rPr>
        <w:t>Services</w:t>
      </w:r>
    </w:p>
    <w:p w:rsidR="00200FDA" w:rsidRDefault="00200FDA">
      <w:pPr>
        <w:pStyle w:val="BodyText"/>
        <w:spacing w:before="1"/>
        <w:rPr>
          <w:sz w:val="24"/>
        </w:rPr>
      </w:pPr>
    </w:p>
    <w:p w:rsidR="00200FDA" w:rsidRDefault="00F76C4C">
      <w:pPr>
        <w:pStyle w:val="BodyText"/>
        <w:spacing w:line="276" w:lineRule="auto"/>
        <w:ind w:left="139" w:right="132"/>
        <w:jc w:val="both"/>
      </w:pPr>
      <w:r>
        <w:t>As noted above, many LGBTQ foreign-born youth can face significant barriers to accessing affirming services for housing, healthcare, and legal, education, and employment services. The following research section</w:t>
      </w:r>
      <w:r>
        <w:rPr>
          <w:spacing w:val="-10"/>
        </w:rPr>
        <w:t xml:space="preserve"> </w:t>
      </w:r>
      <w:r>
        <w:t>includes</w:t>
      </w:r>
      <w:r>
        <w:rPr>
          <w:spacing w:val="-9"/>
        </w:rPr>
        <w:t xml:space="preserve"> </w:t>
      </w:r>
      <w:r>
        <w:t>information</w:t>
      </w:r>
      <w:r>
        <w:rPr>
          <w:spacing w:val="-10"/>
        </w:rPr>
        <w:t xml:space="preserve"> </w:t>
      </w:r>
      <w:r>
        <w:t>stemming</w:t>
      </w:r>
      <w:r>
        <w:rPr>
          <w:spacing w:val="-10"/>
        </w:rPr>
        <w:t xml:space="preserve"> </w:t>
      </w:r>
      <w:r>
        <w:t>from</w:t>
      </w:r>
      <w:r>
        <w:rPr>
          <w:spacing w:val="-8"/>
        </w:rPr>
        <w:t xml:space="preserve"> </w:t>
      </w:r>
      <w:r>
        <w:t>two</w:t>
      </w:r>
      <w:r>
        <w:rPr>
          <w:spacing w:val="-10"/>
        </w:rPr>
        <w:t xml:space="preserve"> </w:t>
      </w:r>
      <w:r>
        <w:t>major</w:t>
      </w:r>
      <w:r>
        <w:rPr>
          <w:spacing w:val="-9"/>
        </w:rPr>
        <w:t xml:space="preserve"> </w:t>
      </w:r>
      <w:r>
        <w:t>studies</w:t>
      </w:r>
      <w:r>
        <w:rPr>
          <w:spacing w:val="-9"/>
        </w:rPr>
        <w:t xml:space="preserve"> </w:t>
      </w:r>
      <w:r>
        <w:t>centering</w:t>
      </w:r>
      <w:r>
        <w:rPr>
          <w:spacing w:val="-10"/>
        </w:rPr>
        <w:t xml:space="preserve"> </w:t>
      </w:r>
      <w:r>
        <w:t>LGBTQ</w:t>
      </w:r>
      <w:r>
        <w:rPr>
          <w:spacing w:val="-9"/>
        </w:rPr>
        <w:t xml:space="preserve"> </w:t>
      </w:r>
      <w:r>
        <w:t>immigrant</w:t>
      </w:r>
      <w:r>
        <w:rPr>
          <w:spacing w:val="-8"/>
        </w:rPr>
        <w:t xml:space="preserve"> </w:t>
      </w:r>
      <w:r>
        <w:t>communities: a 2017</w:t>
      </w:r>
      <w:r>
        <w:rPr>
          <w:spacing w:val="40"/>
        </w:rPr>
        <w:t xml:space="preserve"> </w:t>
      </w:r>
      <w:r>
        <w:t>report from the Center for American Progress on “Serving LGBTQ Immigrants and Building Welcoming Communities,” detailing services available to LGBTQ immigrants in six major U.S. cities - Chicago, New Yo</w:t>
      </w:r>
      <w:r>
        <w:t>rk, Miami, Houston, Los Angeles, and Washington, D.C</w:t>
      </w:r>
      <w:hyperlink w:anchor="_bookmark747" w:history="1">
        <w:r>
          <w:rPr>
            <w:vertAlign w:val="superscript"/>
          </w:rPr>
          <w:t>38</w:t>
        </w:r>
      </w:hyperlink>
      <w:r>
        <w:t xml:space="preserve"> and a 2011 article detailing findings from a needs assessment conducted in Southern Arizona from LGBTQ foreign-born individuals, as</w:t>
      </w:r>
      <w:r>
        <w:rPr>
          <w:spacing w:val="-13"/>
        </w:rPr>
        <w:t xml:space="preserve"> </w:t>
      </w:r>
      <w:r>
        <w:t>well</w:t>
      </w:r>
      <w:r>
        <w:rPr>
          <w:spacing w:val="-12"/>
        </w:rPr>
        <w:t xml:space="preserve"> </w:t>
      </w:r>
      <w:r>
        <w:t>as</w:t>
      </w:r>
      <w:r>
        <w:rPr>
          <w:spacing w:val="-11"/>
        </w:rPr>
        <w:t xml:space="preserve"> </w:t>
      </w:r>
      <w:r>
        <w:t>service</w:t>
      </w:r>
      <w:r>
        <w:rPr>
          <w:spacing w:val="-13"/>
        </w:rPr>
        <w:t xml:space="preserve"> </w:t>
      </w:r>
      <w:r>
        <w:t>providers.</w:t>
      </w:r>
      <w:hyperlink w:anchor="_bookmark748" w:history="1">
        <w:r>
          <w:rPr>
            <w:color w:val="1F2023"/>
            <w:vertAlign w:val="superscript"/>
          </w:rPr>
          <w:t>39</w:t>
        </w:r>
      </w:hyperlink>
      <w:r>
        <w:rPr>
          <w:color w:val="1F2023"/>
          <w:spacing w:val="-2"/>
        </w:rPr>
        <w:t xml:space="preserve"> </w:t>
      </w:r>
      <w:r>
        <w:rPr>
          <w:color w:val="1F2023"/>
        </w:rPr>
        <w:t>Both</w:t>
      </w:r>
      <w:r>
        <w:rPr>
          <w:color w:val="1F2023"/>
          <w:spacing w:val="-13"/>
        </w:rPr>
        <w:t xml:space="preserve"> </w:t>
      </w:r>
      <w:r>
        <w:rPr>
          <w:color w:val="1F2023"/>
        </w:rPr>
        <w:t>studies</w:t>
      </w:r>
      <w:r>
        <w:rPr>
          <w:color w:val="1F2023"/>
          <w:spacing w:val="-12"/>
        </w:rPr>
        <w:t xml:space="preserve"> </w:t>
      </w:r>
      <w:r>
        <w:rPr>
          <w:color w:val="1F2023"/>
        </w:rPr>
        <w:t>provide</w:t>
      </w:r>
      <w:r>
        <w:rPr>
          <w:color w:val="1F2023"/>
          <w:spacing w:val="-12"/>
        </w:rPr>
        <w:t xml:space="preserve"> </w:t>
      </w:r>
      <w:r>
        <w:rPr>
          <w:color w:val="1F2023"/>
        </w:rPr>
        <w:t>a</w:t>
      </w:r>
      <w:r>
        <w:rPr>
          <w:color w:val="1F2023"/>
          <w:spacing w:val="-13"/>
        </w:rPr>
        <w:t xml:space="preserve"> </w:t>
      </w:r>
      <w:r>
        <w:rPr>
          <w:color w:val="1F2023"/>
        </w:rPr>
        <w:t>starting</w:t>
      </w:r>
      <w:r>
        <w:rPr>
          <w:color w:val="1F2023"/>
          <w:spacing w:val="-11"/>
        </w:rPr>
        <w:t xml:space="preserve"> </w:t>
      </w:r>
      <w:r>
        <w:rPr>
          <w:color w:val="1F2023"/>
        </w:rPr>
        <w:t>point</w:t>
      </w:r>
      <w:r>
        <w:rPr>
          <w:color w:val="1F2023"/>
          <w:spacing w:val="-13"/>
        </w:rPr>
        <w:t xml:space="preserve"> </w:t>
      </w:r>
      <w:r>
        <w:rPr>
          <w:color w:val="1F2023"/>
        </w:rPr>
        <w:t>for</w:t>
      </w:r>
      <w:r>
        <w:rPr>
          <w:color w:val="1F2023"/>
          <w:spacing w:val="-12"/>
        </w:rPr>
        <w:t xml:space="preserve"> </w:t>
      </w:r>
      <w:r>
        <w:rPr>
          <w:color w:val="1F2023"/>
        </w:rPr>
        <w:t>other</w:t>
      </w:r>
      <w:r>
        <w:rPr>
          <w:color w:val="1F2023"/>
          <w:spacing w:val="-10"/>
        </w:rPr>
        <w:t xml:space="preserve"> </w:t>
      </w:r>
      <w:r>
        <w:rPr>
          <w:color w:val="1F2023"/>
        </w:rPr>
        <w:t>scholars</w:t>
      </w:r>
      <w:r>
        <w:rPr>
          <w:color w:val="1F2023"/>
          <w:spacing w:val="-13"/>
        </w:rPr>
        <w:t xml:space="preserve"> </w:t>
      </w:r>
      <w:r>
        <w:rPr>
          <w:color w:val="1F2023"/>
        </w:rPr>
        <w:t>and</w:t>
      </w:r>
      <w:r>
        <w:rPr>
          <w:color w:val="1F2023"/>
          <w:spacing w:val="-11"/>
        </w:rPr>
        <w:t xml:space="preserve"> </w:t>
      </w:r>
      <w:r>
        <w:rPr>
          <w:color w:val="1F2023"/>
        </w:rPr>
        <w:t>service</w:t>
      </w:r>
      <w:r>
        <w:rPr>
          <w:color w:val="1F2023"/>
          <w:spacing w:val="-13"/>
        </w:rPr>
        <w:t xml:space="preserve"> </w:t>
      </w:r>
      <w:r>
        <w:rPr>
          <w:color w:val="1F2023"/>
        </w:rPr>
        <w:t>providers elsewhere</w:t>
      </w:r>
      <w:r>
        <w:rPr>
          <w:color w:val="1F2023"/>
          <w:spacing w:val="-6"/>
        </w:rPr>
        <w:t xml:space="preserve"> </w:t>
      </w:r>
      <w:r>
        <w:rPr>
          <w:color w:val="1F2023"/>
        </w:rPr>
        <w:t>who</w:t>
      </w:r>
      <w:r>
        <w:rPr>
          <w:color w:val="1F2023"/>
          <w:spacing w:val="-6"/>
        </w:rPr>
        <w:t xml:space="preserve"> </w:t>
      </w:r>
      <w:r>
        <w:rPr>
          <w:color w:val="1F2023"/>
        </w:rPr>
        <w:t>are</w:t>
      </w:r>
      <w:r>
        <w:rPr>
          <w:color w:val="1F2023"/>
          <w:spacing w:val="-6"/>
        </w:rPr>
        <w:t xml:space="preserve"> </w:t>
      </w:r>
      <w:r>
        <w:rPr>
          <w:color w:val="1F2023"/>
        </w:rPr>
        <w:t>invested</w:t>
      </w:r>
      <w:r>
        <w:rPr>
          <w:color w:val="1F2023"/>
          <w:spacing w:val="-5"/>
        </w:rPr>
        <w:t xml:space="preserve"> </w:t>
      </w:r>
      <w:r>
        <w:rPr>
          <w:color w:val="1F2023"/>
        </w:rPr>
        <w:t>in</w:t>
      </w:r>
      <w:r>
        <w:rPr>
          <w:color w:val="1F2023"/>
          <w:spacing w:val="-5"/>
        </w:rPr>
        <w:t xml:space="preserve"> </w:t>
      </w:r>
      <w:r>
        <w:rPr>
          <w:color w:val="1F2023"/>
        </w:rPr>
        <w:t>these</w:t>
      </w:r>
      <w:r>
        <w:rPr>
          <w:color w:val="1F2023"/>
          <w:spacing w:val="-4"/>
        </w:rPr>
        <w:t xml:space="preserve"> </w:t>
      </w:r>
      <w:r>
        <w:rPr>
          <w:color w:val="1F2023"/>
        </w:rPr>
        <w:t>communities</w:t>
      </w:r>
      <w:r>
        <w:rPr>
          <w:color w:val="1F2023"/>
          <w:spacing w:val="-4"/>
        </w:rPr>
        <w:t xml:space="preserve"> </w:t>
      </w:r>
      <w:r>
        <w:rPr>
          <w:color w:val="1F2023"/>
        </w:rPr>
        <w:t>and</w:t>
      </w:r>
      <w:r>
        <w:rPr>
          <w:color w:val="1F2023"/>
          <w:spacing w:val="-5"/>
        </w:rPr>
        <w:t xml:space="preserve"> </w:t>
      </w:r>
      <w:r>
        <w:rPr>
          <w:color w:val="1F2023"/>
        </w:rPr>
        <w:t>issues</w:t>
      </w:r>
      <w:r>
        <w:rPr>
          <w:color w:val="1F2023"/>
          <w:spacing w:val="-4"/>
        </w:rPr>
        <w:t xml:space="preserve"> </w:t>
      </w:r>
      <w:r>
        <w:rPr>
          <w:color w:val="1F2023"/>
        </w:rPr>
        <w:t>in</w:t>
      </w:r>
      <w:r>
        <w:rPr>
          <w:color w:val="1F2023"/>
          <w:spacing w:val="-7"/>
        </w:rPr>
        <w:t xml:space="preserve"> </w:t>
      </w:r>
      <w:r>
        <w:rPr>
          <w:color w:val="1F2023"/>
        </w:rPr>
        <w:t>their</w:t>
      </w:r>
      <w:r>
        <w:rPr>
          <w:color w:val="1F2023"/>
          <w:spacing w:val="-7"/>
        </w:rPr>
        <w:t xml:space="preserve"> </w:t>
      </w:r>
      <w:r>
        <w:rPr>
          <w:color w:val="1F2023"/>
        </w:rPr>
        <w:t>own</w:t>
      </w:r>
      <w:r>
        <w:rPr>
          <w:color w:val="1F2023"/>
          <w:spacing w:val="-5"/>
        </w:rPr>
        <w:t xml:space="preserve"> </w:t>
      </w:r>
      <w:r>
        <w:rPr>
          <w:color w:val="1F2023"/>
        </w:rPr>
        <w:t>cities</w:t>
      </w:r>
      <w:r>
        <w:rPr>
          <w:color w:val="1F2023"/>
          <w:spacing w:val="-7"/>
        </w:rPr>
        <w:t xml:space="preserve"> </w:t>
      </w:r>
      <w:r>
        <w:rPr>
          <w:color w:val="1F2023"/>
        </w:rPr>
        <w:t>and</w:t>
      </w:r>
      <w:r>
        <w:rPr>
          <w:color w:val="1F2023"/>
          <w:spacing w:val="-5"/>
        </w:rPr>
        <w:t xml:space="preserve"> </w:t>
      </w:r>
      <w:r>
        <w:rPr>
          <w:color w:val="1F2023"/>
        </w:rPr>
        <w:t>towns.</w:t>
      </w:r>
      <w:r>
        <w:rPr>
          <w:color w:val="1F2023"/>
          <w:spacing w:val="-5"/>
        </w:rPr>
        <w:t xml:space="preserve"> </w:t>
      </w:r>
      <w:r>
        <w:rPr>
          <w:color w:val="1F2023"/>
        </w:rPr>
        <w:t>However,</w:t>
      </w:r>
      <w:r>
        <w:rPr>
          <w:color w:val="1F2023"/>
          <w:spacing w:val="-7"/>
        </w:rPr>
        <w:t xml:space="preserve"> </w:t>
      </w:r>
      <w:r>
        <w:rPr>
          <w:color w:val="1F2023"/>
        </w:rPr>
        <w:t>it</w:t>
      </w:r>
      <w:r>
        <w:rPr>
          <w:color w:val="1F2023"/>
          <w:spacing w:val="-6"/>
        </w:rPr>
        <w:t xml:space="preserve"> </w:t>
      </w:r>
      <w:r>
        <w:rPr>
          <w:color w:val="1F2023"/>
        </w:rPr>
        <w:t>is important to note the age of both reports, with one being more than ten years old; given the limited nature of more recent and inclusive studies, the Commission strongly recommends that Massachusetts conduct a needs assessment for LGBTQ foreign-born res</w:t>
      </w:r>
      <w:r>
        <w:rPr>
          <w:color w:val="1F2023"/>
        </w:rPr>
        <w:t>idents in the next few years.</w:t>
      </w:r>
    </w:p>
    <w:p w:rsidR="00200FDA" w:rsidRDefault="00F76C4C">
      <w:pPr>
        <w:pStyle w:val="BodyText"/>
        <w:spacing w:before="120" w:line="276" w:lineRule="auto"/>
        <w:ind w:left="139" w:right="133"/>
        <w:jc w:val="both"/>
      </w:pPr>
      <w:r>
        <w:t>The first, and sometimes most prevalent, barrier to many LGBTQ foreign-born youth participating in services is often language access. In fact, roughly 1.2 million foreign-born Massachusetts residents have limited</w:t>
      </w:r>
      <w:r>
        <w:rPr>
          <w:spacing w:val="-9"/>
        </w:rPr>
        <w:t xml:space="preserve"> </w:t>
      </w:r>
      <w:r>
        <w:t>English</w:t>
      </w:r>
      <w:r>
        <w:rPr>
          <w:spacing w:val="-6"/>
        </w:rPr>
        <w:t xml:space="preserve"> </w:t>
      </w:r>
      <w:r>
        <w:t>profi</w:t>
      </w:r>
      <w:r>
        <w:t>ciency</w:t>
      </w:r>
      <w:r>
        <w:rPr>
          <w:spacing w:val="-7"/>
        </w:rPr>
        <w:t xml:space="preserve"> </w:t>
      </w:r>
      <w:r>
        <w:t>(LEP).</w:t>
      </w:r>
      <w:hyperlink w:anchor="_bookmark757" w:history="1">
        <w:r>
          <w:rPr>
            <w:vertAlign w:val="superscript"/>
          </w:rPr>
          <w:t>40</w:t>
        </w:r>
      </w:hyperlink>
      <w:r>
        <w:rPr>
          <w:spacing w:val="-2"/>
        </w:rPr>
        <w:t xml:space="preserve"> </w:t>
      </w:r>
      <w:r>
        <w:t>Alarmingly,</w:t>
      </w:r>
      <w:r>
        <w:rPr>
          <w:spacing w:val="-8"/>
        </w:rPr>
        <w:t xml:space="preserve"> </w:t>
      </w:r>
      <w:r>
        <w:t>research</w:t>
      </w:r>
      <w:r>
        <w:rPr>
          <w:spacing w:val="-11"/>
        </w:rPr>
        <w:t xml:space="preserve"> </w:t>
      </w:r>
      <w:r>
        <w:t>has</w:t>
      </w:r>
      <w:r>
        <w:rPr>
          <w:spacing w:val="-6"/>
        </w:rPr>
        <w:t xml:space="preserve"> </w:t>
      </w:r>
      <w:r>
        <w:t>shown</w:t>
      </w:r>
      <w:r>
        <w:rPr>
          <w:spacing w:val="-9"/>
        </w:rPr>
        <w:t xml:space="preserve"> </w:t>
      </w:r>
      <w:r>
        <w:t>that</w:t>
      </w:r>
      <w:r>
        <w:rPr>
          <w:spacing w:val="-5"/>
        </w:rPr>
        <w:t xml:space="preserve"> </w:t>
      </w:r>
      <w:r>
        <w:t>people</w:t>
      </w:r>
      <w:r>
        <w:rPr>
          <w:spacing w:val="-8"/>
        </w:rPr>
        <w:t xml:space="preserve"> </w:t>
      </w:r>
      <w:r>
        <w:t>with</w:t>
      </w:r>
      <w:r>
        <w:rPr>
          <w:spacing w:val="-9"/>
        </w:rPr>
        <w:t xml:space="preserve"> </w:t>
      </w:r>
      <w:r>
        <w:t>LEP</w:t>
      </w:r>
      <w:r>
        <w:rPr>
          <w:spacing w:val="-7"/>
        </w:rPr>
        <w:t xml:space="preserve"> </w:t>
      </w:r>
      <w:r>
        <w:t>are</w:t>
      </w:r>
      <w:r>
        <w:rPr>
          <w:spacing w:val="-8"/>
        </w:rPr>
        <w:t xml:space="preserve"> </w:t>
      </w:r>
      <w:r>
        <w:t>more</w:t>
      </w:r>
      <w:r>
        <w:rPr>
          <w:spacing w:val="-5"/>
        </w:rPr>
        <w:t xml:space="preserve"> </w:t>
      </w:r>
      <w:r>
        <w:t>likely</w:t>
      </w:r>
      <w:r>
        <w:rPr>
          <w:spacing w:val="-7"/>
        </w:rPr>
        <w:t xml:space="preserve"> </w:t>
      </w:r>
      <w:r>
        <w:t>to live in poverty, making access to basic services critical.</w:t>
      </w:r>
      <w:hyperlink w:anchor="_bookmark756" w:history="1">
        <w:r>
          <w:rPr>
            <w:vertAlign w:val="superscript"/>
          </w:rPr>
          <w:t>41</w:t>
        </w:r>
      </w:hyperlink>
      <w:r>
        <w:t xml:space="preserve"> Yet without language access resources, it is</w:t>
      </w:r>
      <w:r>
        <w:t xml:space="preserve"> difficult for these individuals to locate and use services. Similarly, LEP has been linked to poor health outcomes; on a practical level, not speaking English proficiently and needing interpretation services are two</w:t>
      </w:r>
      <w:r>
        <w:rPr>
          <w:spacing w:val="-7"/>
        </w:rPr>
        <w:t xml:space="preserve"> </w:t>
      </w:r>
      <w:r>
        <w:t>major</w:t>
      </w:r>
      <w:r>
        <w:rPr>
          <w:spacing w:val="-6"/>
        </w:rPr>
        <w:t xml:space="preserve"> </w:t>
      </w:r>
      <w:r>
        <w:t>barriers</w:t>
      </w:r>
      <w:r>
        <w:rPr>
          <w:spacing w:val="-6"/>
        </w:rPr>
        <w:t xml:space="preserve"> </w:t>
      </w:r>
      <w:r>
        <w:t>to</w:t>
      </w:r>
      <w:r>
        <w:rPr>
          <w:spacing w:val="-5"/>
        </w:rPr>
        <w:t xml:space="preserve"> </w:t>
      </w:r>
      <w:r>
        <w:t>accessing</w:t>
      </w:r>
      <w:r>
        <w:rPr>
          <w:spacing w:val="-4"/>
        </w:rPr>
        <w:t xml:space="preserve"> </w:t>
      </w:r>
      <w:r>
        <w:t>and</w:t>
      </w:r>
      <w:r>
        <w:rPr>
          <w:spacing w:val="-4"/>
        </w:rPr>
        <w:t xml:space="preserve"> </w:t>
      </w:r>
      <w:r>
        <w:t>remaini</w:t>
      </w:r>
      <w:r>
        <w:t>ng</w:t>
      </w:r>
      <w:r>
        <w:rPr>
          <w:spacing w:val="-6"/>
        </w:rPr>
        <w:t xml:space="preserve"> </w:t>
      </w:r>
      <w:r>
        <w:t>in</w:t>
      </w:r>
      <w:r>
        <w:rPr>
          <w:spacing w:val="-4"/>
        </w:rPr>
        <w:t xml:space="preserve"> </w:t>
      </w:r>
      <w:r>
        <w:t>health</w:t>
      </w:r>
      <w:r>
        <w:rPr>
          <w:spacing w:val="-4"/>
        </w:rPr>
        <w:t xml:space="preserve"> </w:t>
      </w:r>
      <w:r>
        <w:t>care</w:t>
      </w:r>
      <w:r>
        <w:rPr>
          <w:spacing w:val="-5"/>
        </w:rPr>
        <w:t xml:space="preserve"> </w:t>
      </w:r>
      <w:r>
        <w:t>services,</w:t>
      </w:r>
      <w:r>
        <w:rPr>
          <w:spacing w:val="-6"/>
        </w:rPr>
        <w:t xml:space="preserve"> </w:t>
      </w:r>
      <w:r>
        <w:t>including</w:t>
      </w:r>
      <w:r>
        <w:rPr>
          <w:spacing w:val="-6"/>
        </w:rPr>
        <w:t xml:space="preserve"> </w:t>
      </w:r>
      <w:r>
        <w:t>mental</w:t>
      </w:r>
      <w:r>
        <w:rPr>
          <w:spacing w:val="-4"/>
        </w:rPr>
        <w:t xml:space="preserve"> </w:t>
      </w:r>
      <w:r>
        <w:t>health</w:t>
      </w:r>
      <w:r>
        <w:rPr>
          <w:spacing w:val="-7"/>
        </w:rPr>
        <w:t xml:space="preserve"> </w:t>
      </w:r>
      <w:r>
        <w:t>care.</w:t>
      </w:r>
      <w:hyperlink w:anchor="_bookmark755" w:history="1">
        <w:r>
          <w:rPr>
            <w:vertAlign w:val="superscript"/>
          </w:rPr>
          <w:t>42</w:t>
        </w:r>
      </w:hyperlink>
      <w:r>
        <w:rPr>
          <w:spacing w:val="-2"/>
        </w:rPr>
        <w:t xml:space="preserve"> </w:t>
      </w:r>
      <w:r>
        <w:t>The inability</w:t>
      </w:r>
      <w:r>
        <w:rPr>
          <w:spacing w:val="-13"/>
        </w:rPr>
        <w:t xml:space="preserve"> </w:t>
      </w:r>
      <w:r>
        <w:t>to</w:t>
      </w:r>
      <w:r>
        <w:rPr>
          <w:spacing w:val="-12"/>
        </w:rPr>
        <w:t xml:space="preserve"> </w:t>
      </w:r>
      <w:r>
        <w:t>communicate</w:t>
      </w:r>
      <w:r>
        <w:rPr>
          <w:spacing w:val="-13"/>
        </w:rPr>
        <w:t xml:space="preserve"> </w:t>
      </w:r>
      <w:r>
        <w:t>in</w:t>
      </w:r>
      <w:r>
        <w:rPr>
          <w:spacing w:val="-12"/>
        </w:rPr>
        <w:t xml:space="preserve"> </w:t>
      </w:r>
      <w:r>
        <w:t>the</w:t>
      </w:r>
      <w:r>
        <w:rPr>
          <w:spacing w:val="-13"/>
        </w:rPr>
        <w:t xml:space="preserve"> </w:t>
      </w:r>
      <w:r>
        <w:t>dominant</w:t>
      </w:r>
      <w:r>
        <w:rPr>
          <w:spacing w:val="-12"/>
        </w:rPr>
        <w:t xml:space="preserve"> </w:t>
      </w:r>
      <w:r>
        <w:t>language</w:t>
      </w:r>
      <w:r>
        <w:rPr>
          <w:spacing w:val="-13"/>
        </w:rPr>
        <w:t xml:space="preserve"> </w:t>
      </w:r>
      <w:r>
        <w:t>of</w:t>
      </w:r>
      <w:r>
        <w:rPr>
          <w:spacing w:val="-12"/>
        </w:rPr>
        <w:t xml:space="preserve"> </w:t>
      </w:r>
      <w:r>
        <w:t>care</w:t>
      </w:r>
      <w:r>
        <w:rPr>
          <w:spacing w:val="-12"/>
        </w:rPr>
        <w:t xml:space="preserve"> </w:t>
      </w:r>
      <w:r>
        <w:t>space</w:t>
      </w:r>
      <w:r>
        <w:rPr>
          <w:spacing w:val="-13"/>
        </w:rPr>
        <w:t xml:space="preserve"> </w:t>
      </w:r>
      <w:r>
        <w:t>influences</w:t>
      </w:r>
      <w:r>
        <w:rPr>
          <w:spacing w:val="-12"/>
        </w:rPr>
        <w:t xml:space="preserve"> </w:t>
      </w:r>
      <w:r>
        <w:t>health</w:t>
      </w:r>
      <w:r>
        <w:rPr>
          <w:spacing w:val="-13"/>
        </w:rPr>
        <w:t xml:space="preserve"> </w:t>
      </w:r>
      <w:r>
        <w:t>outcomes</w:t>
      </w:r>
      <w:r>
        <w:rPr>
          <w:spacing w:val="-12"/>
        </w:rPr>
        <w:t xml:space="preserve"> </w:t>
      </w:r>
      <w:r>
        <w:t>by</w:t>
      </w:r>
      <w:r>
        <w:rPr>
          <w:spacing w:val="-13"/>
        </w:rPr>
        <w:t xml:space="preserve"> </w:t>
      </w:r>
      <w:r>
        <w:t>producing social isolation, insecurity, lack of access to relevant information, and difficulty establishing social relationships, which in</w:t>
      </w:r>
      <w:r>
        <w:rPr>
          <w:spacing w:val="-1"/>
        </w:rPr>
        <w:t xml:space="preserve"> </w:t>
      </w:r>
      <w:r>
        <w:t>turn impacts self-esteem and position within the family and other social systems.</w:t>
      </w:r>
    </w:p>
    <w:p w:rsidR="00200FDA" w:rsidRDefault="00200FDA">
      <w:pPr>
        <w:pStyle w:val="BodyText"/>
        <w:spacing w:before="12"/>
        <w:rPr>
          <w:sz w:val="27"/>
        </w:rPr>
      </w:pPr>
    </w:p>
    <w:p w:rsidR="00200FDA" w:rsidRDefault="00F76C4C">
      <w:pPr>
        <w:pStyle w:val="Heading8"/>
        <w:jc w:val="left"/>
      </w:pPr>
      <w:bookmarkStart w:id="896" w:name="Housing"/>
      <w:bookmarkEnd w:id="896"/>
      <w:r>
        <w:rPr>
          <w:color w:val="0A5293"/>
          <w:spacing w:val="-2"/>
        </w:rPr>
        <w:t>Housing</w:t>
      </w:r>
    </w:p>
    <w:p w:rsidR="00200FDA" w:rsidRDefault="00200FDA">
      <w:pPr>
        <w:pStyle w:val="BodyText"/>
        <w:spacing w:before="4"/>
        <w:rPr>
          <w:sz w:val="25"/>
        </w:rPr>
      </w:pPr>
    </w:p>
    <w:p w:rsidR="00200FDA" w:rsidRDefault="00F76C4C">
      <w:pPr>
        <w:pStyle w:val="BodyText"/>
        <w:spacing w:line="276" w:lineRule="auto"/>
        <w:ind w:left="139" w:right="132"/>
        <w:jc w:val="both"/>
      </w:pPr>
      <w:r>
        <w:t>As</w:t>
      </w:r>
      <w:r>
        <w:rPr>
          <w:spacing w:val="-6"/>
        </w:rPr>
        <w:t xml:space="preserve"> </w:t>
      </w:r>
      <w:r>
        <w:t>noted</w:t>
      </w:r>
      <w:r>
        <w:rPr>
          <w:spacing w:val="-6"/>
        </w:rPr>
        <w:t xml:space="preserve"> </w:t>
      </w:r>
      <w:r>
        <w:t>in</w:t>
      </w:r>
      <w:r>
        <w:rPr>
          <w:spacing w:val="-6"/>
        </w:rPr>
        <w:t xml:space="preserve"> </w:t>
      </w:r>
      <w:r>
        <w:t>the</w:t>
      </w:r>
      <w:r>
        <w:rPr>
          <w:spacing w:val="-7"/>
        </w:rPr>
        <w:t xml:space="preserve"> </w:t>
      </w:r>
      <w:r>
        <w:t>section</w:t>
      </w:r>
      <w:r>
        <w:rPr>
          <w:spacing w:val="-9"/>
        </w:rPr>
        <w:t xml:space="preserve"> </w:t>
      </w:r>
      <w:r>
        <w:t>o</w:t>
      </w:r>
      <w:r>
        <w:t>f</w:t>
      </w:r>
      <w:r>
        <w:rPr>
          <w:spacing w:val="-6"/>
        </w:rPr>
        <w:t xml:space="preserve"> </w:t>
      </w:r>
      <w:r>
        <w:t>this</w:t>
      </w:r>
      <w:r>
        <w:rPr>
          <w:spacing w:val="-6"/>
        </w:rPr>
        <w:t xml:space="preserve"> </w:t>
      </w:r>
      <w:r>
        <w:t>annual</w:t>
      </w:r>
      <w:r>
        <w:rPr>
          <w:spacing w:val="-6"/>
        </w:rPr>
        <w:t xml:space="preserve"> </w:t>
      </w:r>
      <w:r>
        <w:t>report</w:t>
      </w:r>
      <w:r>
        <w:rPr>
          <w:spacing w:val="-5"/>
        </w:rPr>
        <w:t xml:space="preserve"> </w:t>
      </w:r>
      <w:r>
        <w:t>on</w:t>
      </w:r>
      <w:r>
        <w:rPr>
          <w:spacing w:val="-9"/>
        </w:rPr>
        <w:t xml:space="preserve"> </w:t>
      </w:r>
      <w:r>
        <w:t>youth</w:t>
      </w:r>
      <w:r>
        <w:rPr>
          <w:spacing w:val="-6"/>
        </w:rPr>
        <w:t xml:space="preserve"> </w:t>
      </w:r>
      <w:r>
        <w:t>experiencing</w:t>
      </w:r>
      <w:r>
        <w:rPr>
          <w:spacing w:val="-6"/>
        </w:rPr>
        <w:t xml:space="preserve"> </w:t>
      </w:r>
      <w:r>
        <w:t>homelessness,</w:t>
      </w:r>
      <w:r>
        <w:rPr>
          <w:spacing w:val="-6"/>
        </w:rPr>
        <w:t xml:space="preserve"> </w:t>
      </w:r>
      <w:r>
        <w:t>research</w:t>
      </w:r>
      <w:r>
        <w:rPr>
          <w:spacing w:val="-6"/>
        </w:rPr>
        <w:t xml:space="preserve"> </w:t>
      </w:r>
      <w:r>
        <w:t>indicates</w:t>
      </w:r>
      <w:r>
        <w:rPr>
          <w:spacing w:val="-6"/>
        </w:rPr>
        <w:t xml:space="preserve"> </w:t>
      </w:r>
      <w:r>
        <w:t>that LGBTQ</w:t>
      </w:r>
      <w:r>
        <w:rPr>
          <w:spacing w:val="-13"/>
        </w:rPr>
        <w:t xml:space="preserve"> </w:t>
      </w:r>
      <w:r>
        <w:t>people</w:t>
      </w:r>
      <w:r>
        <w:rPr>
          <w:spacing w:val="-12"/>
        </w:rPr>
        <w:t xml:space="preserve"> </w:t>
      </w:r>
      <w:r>
        <w:t>are</w:t>
      </w:r>
      <w:r>
        <w:rPr>
          <w:spacing w:val="-13"/>
        </w:rPr>
        <w:t xml:space="preserve"> </w:t>
      </w:r>
      <w:r>
        <w:t>disproportionately</w:t>
      </w:r>
      <w:r>
        <w:rPr>
          <w:spacing w:val="-12"/>
        </w:rPr>
        <w:t xml:space="preserve"> </w:t>
      </w:r>
      <w:r>
        <w:t>impacted</w:t>
      </w:r>
      <w:r>
        <w:rPr>
          <w:spacing w:val="-13"/>
        </w:rPr>
        <w:t xml:space="preserve"> </w:t>
      </w:r>
      <w:r>
        <w:t>by</w:t>
      </w:r>
      <w:r>
        <w:rPr>
          <w:spacing w:val="-12"/>
        </w:rPr>
        <w:t xml:space="preserve"> </w:t>
      </w:r>
      <w:r>
        <w:t>homelessness,</w:t>
      </w:r>
      <w:r>
        <w:rPr>
          <w:spacing w:val="-13"/>
        </w:rPr>
        <w:t xml:space="preserve"> </w:t>
      </w:r>
      <w:r>
        <w:t>and</w:t>
      </w:r>
      <w:r>
        <w:rPr>
          <w:spacing w:val="-12"/>
        </w:rPr>
        <w:t xml:space="preserve"> </w:t>
      </w:r>
      <w:r>
        <w:t>LGBTQ</w:t>
      </w:r>
      <w:r>
        <w:rPr>
          <w:spacing w:val="-12"/>
        </w:rPr>
        <w:t xml:space="preserve"> </w:t>
      </w:r>
      <w:r>
        <w:t>foreign-born</w:t>
      </w:r>
      <w:r>
        <w:rPr>
          <w:spacing w:val="-13"/>
        </w:rPr>
        <w:t xml:space="preserve"> </w:t>
      </w:r>
      <w:r>
        <w:t>youth</w:t>
      </w:r>
      <w:r>
        <w:rPr>
          <w:spacing w:val="-12"/>
        </w:rPr>
        <w:t xml:space="preserve"> </w:t>
      </w:r>
      <w:r>
        <w:t>are</w:t>
      </w:r>
      <w:r>
        <w:rPr>
          <w:spacing w:val="-13"/>
        </w:rPr>
        <w:t xml:space="preserve"> </w:t>
      </w:r>
      <w:r>
        <w:t xml:space="preserve">more likely to face challenges to gaining access to housing services. In the 2011 </w:t>
      </w:r>
      <w:r>
        <w:rPr>
          <w:color w:val="1F2023"/>
        </w:rPr>
        <w:t xml:space="preserve">Chávez study, </w:t>
      </w:r>
      <w:r>
        <w:t>undocumented non-citizens were more than twice as likely to report experiencing homelessness, to be physically assaulted in a place of public accommodation, and</w:t>
      </w:r>
      <w:r>
        <w:t xml:space="preserve"> to be evicted because of their gender identity. Additionally, </w:t>
      </w:r>
      <w:r>
        <w:rPr>
          <w:color w:val="1F2023"/>
        </w:rPr>
        <w:t>many participants had or knew someone who had, at various points, been thrown out of their</w:t>
      </w:r>
      <w:r>
        <w:rPr>
          <w:color w:val="1F2023"/>
          <w:spacing w:val="-13"/>
        </w:rPr>
        <w:t xml:space="preserve"> </w:t>
      </w:r>
      <w:r>
        <w:rPr>
          <w:color w:val="1F2023"/>
        </w:rPr>
        <w:t>homes</w:t>
      </w:r>
      <w:r>
        <w:rPr>
          <w:color w:val="1F2023"/>
          <w:spacing w:val="-14"/>
        </w:rPr>
        <w:t xml:space="preserve"> </w:t>
      </w:r>
      <w:r>
        <w:rPr>
          <w:color w:val="1F2023"/>
        </w:rPr>
        <w:t>because</w:t>
      </w:r>
      <w:r>
        <w:rPr>
          <w:color w:val="1F2023"/>
          <w:spacing w:val="-12"/>
        </w:rPr>
        <w:t xml:space="preserve"> </w:t>
      </w:r>
      <w:r>
        <w:rPr>
          <w:color w:val="1F2023"/>
        </w:rPr>
        <w:t>of</w:t>
      </w:r>
      <w:r>
        <w:rPr>
          <w:color w:val="1F2023"/>
          <w:spacing w:val="-14"/>
        </w:rPr>
        <w:t xml:space="preserve"> </w:t>
      </w:r>
      <w:r>
        <w:rPr>
          <w:color w:val="1F2023"/>
        </w:rPr>
        <w:t>their</w:t>
      </w:r>
      <w:r>
        <w:rPr>
          <w:color w:val="1F2023"/>
          <w:spacing w:val="-13"/>
        </w:rPr>
        <w:t xml:space="preserve"> </w:t>
      </w:r>
      <w:r>
        <w:rPr>
          <w:color w:val="1F2023"/>
        </w:rPr>
        <w:t>sexuality</w:t>
      </w:r>
      <w:r>
        <w:rPr>
          <w:color w:val="1F2023"/>
          <w:spacing w:val="-12"/>
        </w:rPr>
        <w:t xml:space="preserve"> </w:t>
      </w:r>
      <w:r>
        <w:rPr>
          <w:color w:val="1F2023"/>
        </w:rPr>
        <w:t>or</w:t>
      </w:r>
      <w:r>
        <w:rPr>
          <w:color w:val="1F2023"/>
          <w:spacing w:val="-13"/>
        </w:rPr>
        <w:t xml:space="preserve"> </w:t>
      </w:r>
      <w:r>
        <w:rPr>
          <w:color w:val="1F2023"/>
        </w:rPr>
        <w:t>gender</w:t>
      </w:r>
      <w:r>
        <w:rPr>
          <w:color w:val="1F2023"/>
          <w:spacing w:val="-12"/>
        </w:rPr>
        <w:t xml:space="preserve"> </w:t>
      </w:r>
      <w:r>
        <w:rPr>
          <w:color w:val="1F2023"/>
        </w:rPr>
        <w:t>identity.</w:t>
      </w:r>
      <w:r>
        <w:rPr>
          <w:color w:val="1F2023"/>
          <w:spacing w:val="-13"/>
        </w:rPr>
        <w:t xml:space="preserve"> </w:t>
      </w:r>
      <w:r>
        <w:rPr>
          <w:color w:val="1F2023"/>
        </w:rPr>
        <w:t>Unfortunately,</w:t>
      </w:r>
      <w:r>
        <w:rPr>
          <w:color w:val="1F2023"/>
          <w:spacing w:val="-14"/>
        </w:rPr>
        <w:t xml:space="preserve"> </w:t>
      </w:r>
      <w:r>
        <w:rPr>
          <w:color w:val="1F2023"/>
        </w:rPr>
        <w:t>more</w:t>
      </w:r>
      <w:r>
        <w:rPr>
          <w:color w:val="1F2023"/>
          <w:spacing w:val="-12"/>
        </w:rPr>
        <w:t xml:space="preserve"> </w:t>
      </w:r>
      <w:r>
        <w:rPr>
          <w:color w:val="1F2023"/>
        </w:rPr>
        <w:t>recent</w:t>
      </w:r>
      <w:r>
        <w:rPr>
          <w:color w:val="1F2023"/>
          <w:spacing w:val="-12"/>
        </w:rPr>
        <w:t xml:space="preserve"> </w:t>
      </w:r>
      <w:r>
        <w:rPr>
          <w:color w:val="1F2023"/>
        </w:rPr>
        <w:t>research</w:t>
      </w:r>
      <w:r>
        <w:rPr>
          <w:color w:val="1F2023"/>
          <w:spacing w:val="-13"/>
        </w:rPr>
        <w:t xml:space="preserve"> </w:t>
      </w:r>
      <w:r>
        <w:rPr>
          <w:color w:val="1F2023"/>
        </w:rPr>
        <w:t>attempting</w:t>
      </w:r>
    </w:p>
    <w:p w:rsidR="00200FDA" w:rsidRDefault="00200FDA">
      <w:pPr>
        <w:spacing w:line="276" w:lineRule="auto"/>
        <w:jc w:val="both"/>
        <w:sectPr w:rsidR="00200FDA">
          <w:pgSz w:w="12240" w:h="15840"/>
          <w:pgMar w:top="1360" w:right="1300" w:bottom="1240" w:left="1300" w:header="763" w:footer="1043" w:gutter="0"/>
          <w:cols w:space="720"/>
        </w:sectPr>
      </w:pPr>
    </w:p>
    <w:p w:rsidR="00200FDA" w:rsidRDefault="00F76C4C">
      <w:pPr>
        <w:pStyle w:val="BodyText"/>
        <w:spacing w:before="64" w:line="276" w:lineRule="auto"/>
        <w:ind w:left="140" w:right="133"/>
        <w:jc w:val="both"/>
      </w:pPr>
      <w:r>
        <w:rPr>
          <w:color w:val="1F2023"/>
        </w:rPr>
        <w:lastRenderedPageBreak/>
        <w:t>to understand experiences of LGBTQ undocumented individuals experiencing homelessness does not currently exist. Most of these individuals turned to other family members or friends as opposed to any service agencies or providers; other than t</w:t>
      </w:r>
      <w:r>
        <w:rPr>
          <w:color w:val="1F2023"/>
        </w:rPr>
        <w:t>hrough friends, most participants had no information about where</w:t>
      </w:r>
      <w:r>
        <w:rPr>
          <w:color w:val="1F2023"/>
          <w:spacing w:val="-11"/>
        </w:rPr>
        <w:t xml:space="preserve"> </w:t>
      </w:r>
      <w:r>
        <w:rPr>
          <w:color w:val="1F2023"/>
        </w:rPr>
        <w:t>to</w:t>
      </w:r>
      <w:r>
        <w:rPr>
          <w:color w:val="1F2023"/>
          <w:spacing w:val="-10"/>
        </w:rPr>
        <w:t xml:space="preserve"> </w:t>
      </w:r>
      <w:r>
        <w:rPr>
          <w:color w:val="1F2023"/>
        </w:rPr>
        <w:t>seek</w:t>
      </w:r>
      <w:r>
        <w:rPr>
          <w:color w:val="1F2023"/>
          <w:spacing w:val="-9"/>
        </w:rPr>
        <w:t xml:space="preserve"> </w:t>
      </w:r>
      <w:r>
        <w:rPr>
          <w:color w:val="1F2023"/>
        </w:rPr>
        <w:t>help</w:t>
      </w:r>
      <w:r>
        <w:rPr>
          <w:color w:val="1F2023"/>
          <w:spacing w:val="-10"/>
        </w:rPr>
        <w:t xml:space="preserve"> </w:t>
      </w:r>
      <w:r>
        <w:rPr>
          <w:color w:val="1F2023"/>
        </w:rPr>
        <w:t>if</w:t>
      </w:r>
      <w:r>
        <w:rPr>
          <w:color w:val="1F2023"/>
          <w:spacing w:val="-9"/>
        </w:rPr>
        <w:t xml:space="preserve"> </w:t>
      </w:r>
      <w:r>
        <w:rPr>
          <w:color w:val="1F2023"/>
        </w:rPr>
        <w:t>they</w:t>
      </w:r>
      <w:r>
        <w:rPr>
          <w:color w:val="1F2023"/>
          <w:spacing w:val="-11"/>
        </w:rPr>
        <w:t xml:space="preserve"> </w:t>
      </w:r>
      <w:r>
        <w:rPr>
          <w:color w:val="1F2023"/>
        </w:rPr>
        <w:t>found</w:t>
      </w:r>
      <w:r>
        <w:rPr>
          <w:color w:val="1F2023"/>
          <w:spacing w:val="-10"/>
        </w:rPr>
        <w:t xml:space="preserve"> </w:t>
      </w:r>
      <w:r>
        <w:rPr>
          <w:color w:val="1F2023"/>
        </w:rPr>
        <w:t>themselves</w:t>
      </w:r>
      <w:r>
        <w:rPr>
          <w:color w:val="1F2023"/>
          <w:spacing w:val="-11"/>
        </w:rPr>
        <w:t xml:space="preserve"> </w:t>
      </w:r>
      <w:r>
        <w:rPr>
          <w:color w:val="1F2023"/>
        </w:rPr>
        <w:t>without</w:t>
      </w:r>
      <w:r>
        <w:rPr>
          <w:color w:val="1F2023"/>
          <w:spacing w:val="-11"/>
        </w:rPr>
        <w:t xml:space="preserve"> </w:t>
      </w:r>
      <w:r>
        <w:rPr>
          <w:color w:val="1F2023"/>
        </w:rPr>
        <w:t>housing.</w:t>
      </w:r>
      <w:r>
        <w:rPr>
          <w:color w:val="1F2023"/>
          <w:spacing w:val="-9"/>
        </w:rPr>
        <w:t xml:space="preserve"> </w:t>
      </w:r>
      <w:r>
        <w:rPr>
          <w:color w:val="1F2023"/>
        </w:rPr>
        <w:t>This</w:t>
      </w:r>
      <w:r>
        <w:rPr>
          <w:color w:val="1F2023"/>
          <w:spacing w:val="-9"/>
        </w:rPr>
        <w:t xml:space="preserve"> </w:t>
      </w:r>
      <w:r>
        <w:rPr>
          <w:color w:val="1F2023"/>
        </w:rPr>
        <w:t>problem</w:t>
      </w:r>
      <w:r>
        <w:rPr>
          <w:color w:val="1F2023"/>
          <w:spacing w:val="-8"/>
        </w:rPr>
        <w:t xml:space="preserve"> </w:t>
      </w:r>
      <w:r>
        <w:rPr>
          <w:color w:val="1F2023"/>
        </w:rPr>
        <w:t>can</w:t>
      </w:r>
      <w:r>
        <w:rPr>
          <w:color w:val="1F2023"/>
          <w:spacing w:val="-12"/>
        </w:rPr>
        <w:t xml:space="preserve"> </w:t>
      </w:r>
      <w:r>
        <w:rPr>
          <w:color w:val="1F2023"/>
        </w:rPr>
        <w:t>be</w:t>
      </w:r>
      <w:r>
        <w:rPr>
          <w:color w:val="1F2023"/>
          <w:spacing w:val="-8"/>
        </w:rPr>
        <w:t xml:space="preserve"> </w:t>
      </w:r>
      <w:r>
        <w:rPr>
          <w:color w:val="1F2023"/>
        </w:rPr>
        <w:t>compounded</w:t>
      </w:r>
      <w:r>
        <w:rPr>
          <w:color w:val="1F2023"/>
          <w:spacing w:val="-11"/>
        </w:rPr>
        <w:t xml:space="preserve"> </w:t>
      </w:r>
      <w:r>
        <w:rPr>
          <w:color w:val="1F2023"/>
        </w:rPr>
        <w:t>for</w:t>
      </w:r>
      <w:r>
        <w:rPr>
          <w:color w:val="1F2023"/>
          <w:spacing w:val="-9"/>
        </w:rPr>
        <w:t xml:space="preserve"> </w:t>
      </w:r>
      <w:r>
        <w:rPr>
          <w:color w:val="1F2023"/>
        </w:rPr>
        <w:t>those with limited English language skills or knowledge of U.S. culture.</w:t>
      </w:r>
      <w:hyperlink w:anchor="_bookmark754" w:history="1">
        <w:r>
          <w:rPr>
            <w:vertAlign w:val="superscript"/>
          </w:rPr>
          <w:t>43</w:t>
        </w:r>
      </w:hyperlink>
    </w:p>
    <w:p w:rsidR="00200FDA" w:rsidRDefault="00F76C4C">
      <w:pPr>
        <w:pStyle w:val="BodyText"/>
        <w:spacing w:before="119" w:line="276" w:lineRule="auto"/>
        <w:ind w:left="139" w:right="133"/>
        <w:jc w:val="both"/>
      </w:pPr>
      <w:r>
        <w:t>In Massachusetts, 30% of respondents in the 2022 Youth Count identified as LGBTQ, 60.2% identified as BIPOC, and 8% were born outside of the U.S.</w:t>
      </w:r>
      <w:r>
        <w:rPr>
          <w:spacing w:val="-13"/>
        </w:rPr>
        <w:t xml:space="preserve"> </w:t>
      </w:r>
      <w:hyperlink w:anchor="_bookmark753" w:history="1">
        <w:r>
          <w:rPr>
            <w:vertAlign w:val="superscript"/>
          </w:rPr>
          <w:t>44</w:t>
        </w:r>
      </w:hyperlink>
      <w:r>
        <w:t xml:space="preserve"> However, the 2022 Youth Count did not incl</w:t>
      </w:r>
      <w:r>
        <w:t>ude a breakdown of youth born outside of the U.S. But, the 2021 Youth Count survey did include a brief breakdown</w:t>
      </w:r>
      <w:r>
        <w:rPr>
          <w:spacing w:val="-7"/>
        </w:rPr>
        <w:t xml:space="preserve"> </w:t>
      </w:r>
      <w:r>
        <w:t>on</w:t>
      </w:r>
      <w:r>
        <w:rPr>
          <w:spacing w:val="-7"/>
        </w:rPr>
        <w:t xml:space="preserve"> </w:t>
      </w:r>
      <w:r>
        <w:t>the</w:t>
      </w:r>
      <w:r>
        <w:rPr>
          <w:spacing w:val="-6"/>
        </w:rPr>
        <w:t xml:space="preserve"> </w:t>
      </w:r>
      <w:r>
        <w:t>challenges</w:t>
      </w:r>
      <w:r>
        <w:rPr>
          <w:spacing w:val="-6"/>
        </w:rPr>
        <w:t xml:space="preserve"> </w:t>
      </w:r>
      <w:r>
        <w:t>faced</w:t>
      </w:r>
      <w:r>
        <w:rPr>
          <w:spacing w:val="-7"/>
        </w:rPr>
        <w:t xml:space="preserve"> </w:t>
      </w:r>
      <w:r>
        <w:t>by</w:t>
      </w:r>
      <w:r>
        <w:rPr>
          <w:spacing w:val="-6"/>
        </w:rPr>
        <w:t xml:space="preserve"> </w:t>
      </w:r>
      <w:r>
        <w:t>youth</w:t>
      </w:r>
      <w:r>
        <w:rPr>
          <w:spacing w:val="-7"/>
        </w:rPr>
        <w:t xml:space="preserve"> </w:t>
      </w:r>
      <w:r>
        <w:t>born</w:t>
      </w:r>
      <w:r>
        <w:rPr>
          <w:spacing w:val="-10"/>
        </w:rPr>
        <w:t xml:space="preserve"> </w:t>
      </w:r>
      <w:r>
        <w:t>outside</w:t>
      </w:r>
      <w:r>
        <w:rPr>
          <w:spacing w:val="-6"/>
        </w:rPr>
        <w:t xml:space="preserve"> </w:t>
      </w:r>
      <w:r>
        <w:t>of</w:t>
      </w:r>
      <w:r>
        <w:rPr>
          <w:spacing w:val="-7"/>
        </w:rPr>
        <w:t xml:space="preserve"> </w:t>
      </w:r>
      <w:r>
        <w:t>the</w:t>
      </w:r>
      <w:r>
        <w:rPr>
          <w:spacing w:val="-6"/>
        </w:rPr>
        <w:t xml:space="preserve"> </w:t>
      </w:r>
      <w:r>
        <w:t>U.S.</w:t>
      </w:r>
      <w:r>
        <w:rPr>
          <w:spacing w:val="-7"/>
        </w:rPr>
        <w:t xml:space="preserve"> </w:t>
      </w:r>
      <w:r>
        <w:t>in</w:t>
      </w:r>
      <w:r>
        <w:rPr>
          <w:spacing w:val="-7"/>
        </w:rPr>
        <w:t xml:space="preserve"> </w:t>
      </w:r>
      <w:r>
        <w:t>accessing</w:t>
      </w:r>
      <w:r>
        <w:rPr>
          <w:spacing w:val="-7"/>
        </w:rPr>
        <w:t xml:space="preserve"> </w:t>
      </w:r>
      <w:r>
        <w:t>housing</w:t>
      </w:r>
      <w:r>
        <w:rPr>
          <w:spacing w:val="-7"/>
        </w:rPr>
        <w:t xml:space="preserve"> </w:t>
      </w:r>
      <w:r>
        <w:t>services</w:t>
      </w:r>
      <w:r>
        <w:rPr>
          <w:spacing w:val="-7"/>
        </w:rPr>
        <w:t xml:space="preserve"> </w:t>
      </w:r>
      <w:r>
        <w:t>during the COVID pandemic, with 55% of youth struggling</w:t>
      </w:r>
      <w:r>
        <w:t xml:space="preserve"> to afford food, 45% to find a place to sleep, and 40% could not access public places (like parks).</w:t>
      </w:r>
      <w:hyperlink w:anchor="_bookmark752" w:history="1">
        <w:r>
          <w:rPr>
            <w:vertAlign w:val="superscript"/>
          </w:rPr>
          <w:t>45</w:t>
        </w:r>
      </w:hyperlink>
    </w:p>
    <w:p w:rsidR="00200FDA" w:rsidRDefault="00F76C4C">
      <w:pPr>
        <w:pStyle w:val="BodyText"/>
        <w:spacing w:before="122" w:line="276" w:lineRule="auto"/>
        <w:ind w:left="139" w:right="132"/>
        <w:jc w:val="both"/>
      </w:pPr>
      <w:r>
        <w:t xml:space="preserve">As mentioned in the homelessness section of this annual report, the Commission recommends that the Massachusetts legislature pass </w:t>
      </w:r>
      <w:r>
        <w:rPr>
          <w:i/>
        </w:rPr>
        <w:t xml:space="preserve">An Act Providing Upstream Homelessness Prevention Assistance to Families, Youth, and Adults </w:t>
      </w:r>
      <w:r>
        <w:t>(</w:t>
      </w:r>
      <w:hyperlink r:id="rId684">
        <w:r>
          <w:rPr>
            <w:color w:val="1154CC"/>
            <w:u w:val="single" w:color="1154CC"/>
          </w:rPr>
          <w:t>S.856</w:t>
        </w:r>
      </w:hyperlink>
      <w:r>
        <w:t>/</w:t>
      </w:r>
      <w:hyperlink r:id="rId685">
        <w:r>
          <w:rPr>
            <w:color w:val="1154CC"/>
            <w:u w:val="single" w:color="1154CC"/>
          </w:rPr>
          <w:t>H.1312</w:t>
        </w:r>
      </w:hyperlink>
      <w:r>
        <w:t xml:space="preserve">), to protect all low-income state residents, which includes LGBTQ foreign-born youth, from eviction or foreclosure by codifying and streamlining access </w:t>
      </w:r>
      <w:r>
        <w:t>to DHCD’s homelessness</w:t>
      </w:r>
      <w:r>
        <w:rPr>
          <w:spacing w:val="-3"/>
        </w:rPr>
        <w:t xml:space="preserve"> </w:t>
      </w:r>
      <w:r>
        <w:t>prevention</w:t>
      </w:r>
      <w:r>
        <w:rPr>
          <w:spacing w:val="-4"/>
        </w:rPr>
        <w:t xml:space="preserve"> </w:t>
      </w:r>
      <w:r>
        <w:t>program,</w:t>
      </w:r>
      <w:r>
        <w:rPr>
          <w:spacing w:val="-3"/>
        </w:rPr>
        <w:t xml:space="preserve"> </w:t>
      </w:r>
      <w:r>
        <w:t>Residential</w:t>
      </w:r>
      <w:r>
        <w:rPr>
          <w:spacing w:val="-3"/>
        </w:rPr>
        <w:t xml:space="preserve"> </w:t>
      </w:r>
      <w:r>
        <w:t>Assistance</w:t>
      </w:r>
      <w:r>
        <w:rPr>
          <w:spacing w:val="-2"/>
        </w:rPr>
        <w:t xml:space="preserve"> </w:t>
      </w:r>
      <w:r>
        <w:t>for</w:t>
      </w:r>
      <w:r>
        <w:rPr>
          <w:spacing w:val="-5"/>
        </w:rPr>
        <w:t xml:space="preserve"> </w:t>
      </w:r>
      <w:r>
        <w:t>Families</w:t>
      </w:r>
      <w:r>
        <w:rPr>
          <w:spacing w:val="-3"/>
        </w:rPr>
        <w:t xml:space="preserve"> </w:t>
      </w:r>
      <w:r>
        <w:t>in</w:t>
      </w:r>
      <w:r>
        <w:rPr>
          <w:spacing w:val="-4"/>
        </w:rPr>
        <w:t xml:space="preserve"> </w:t>
      </w:r>
      <w:r>
        <w:t>Transition</w:t>
      </w:r>
      <w:r>
        <w:rPr>
          <w:spacing w:val="-4"/>
        </w:rPr>
        <w:t xml:space="preserve"> </w:t>
      </w:r>
      <w:r>
        <w:t>(RAFT),</w:t>
      </w:r>
      <w:r>
        <w:rPr>
          <w:spacing w:val="-3"/>
        </w:rPr>
        <w:t xml:space="preserve"> </w:t>
      </w:r>
      <w:r>
        <w:t>and</w:t>
      </w:r>
      <w:r>
        <w:rPr>
          <w:spacing w:val="-4"/>
        </w:rPr>
        <w:t xml:space="preserve"> </w:t>
      </w:r>
      <w:r>
        <w:t>restoring critical COVID-era protections.</w:t>
      </w:r>
      <w:hyperlink w:anchor="_bookmark751" w:history="1">
        <w:r>
          <w:rPr>
            <w:vertAlign w:val="superscript"/>
          </w:rPr>
          <w:t>46</w:t>
        </w:r>
      </w:hyperlink>
    </w:p>
    <w:p w:rsidR="00200FDA" w:rsidRDefault="00200FDA">
      <w:pPr>
        <w:pStyle w:val="BodyText"/>
        <w:spacing w:before="10"/>
        <w:rPr>
          <w:sz w:val="21"/>
        </w:rPr>
      </w:pPr>
    </w:p>
    <w:p w:rsidR="00200FDA" w:rsidRDefault="00F76C4C">
      <w:pPr>
        <w:pStyle w:val="Heading8"/>
        <w:jc w:val="left"/>
      </w:pPr>
      <w:bookmarkStart w:id="897" w:name="Healthcare"/>
      <w:bookmarkEnd w:id="897"/>
      <w:r>
        <w:rPr>
          <w:color w:val="0A5293"/>
          <w:spacing w:val="-2"/>
        </w:rPr>
        <w:t>Healthcare</w:t>
      </w:r>
    </w:p>
    <w:p w:rsidR="00200FDA" w:rsidRDefault="00200FDA">
      <w:pPr>
        <w:pStyle w:val="BodyText"/>
        <w:spacing w:before="4"/>
        <w:rPr>
          <w:sz w:val="25"/>
        </w:rPr>
      </w:pPr>
    </w:p>
    <w:p w:rsidR="00200FDA" w:rsidRDefault="00F76C4C">
      <w:pPr>
        <w:pStyle w:val="BodyText"/>
        <w:spacing w:line="276" w:lineRule="auto"/>
        <w:ind w:left="5119" w:right="132"/>
        <w:jc w:val="both"/>
      </w:pPr>
      <w:r>
        <w:rPr>
          <w:noProof/>
        </w:rPr>
        <w:drawing>
          <wp:anchor distT="0" distB="0" distL="0" distR="0" simplePos="0" relativeHeight="15814656" behindDoc="0" locked="0" layoutInCell="1" allowOverlap="1">
            <wp:simplePos x="0" y="0"/>
            <wp:positionH relativeFrom="page">
              <wp:posOffset>1180237</wp:posOffset>
            </wp:positionH>
            <wp:positionV relativeFrom="paragraph">
              <wp:posOffset>69383</wp:posOffset>
            </wp:positionV>
            <wp:extent cx="2525454" cy="2460993"/>
            <wp:effectExtent l="0" t="0" r="0" b="0"/>
            <wp:wrapNone/>
            <wp:docPr id="137"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30.jpeg"/>
                    <pic:cNvPicPr/>
                  </pic:nvPicPr>
                  <pic:blipFill>
                    <a:blip r:embed="rId686" cstate="print"/>
                    <a:stretch>
                      <a:fillRect/>
                    </a:stretch>
                  </pic:blipFill>
                  <pic:spPr>
                    <a:xfrm>
                      <a:off x="0" y="0"/>
                      <a:ext cx="2525454" cy="2460993"/>
                    </a:xfrm>
                    <a:prstGeom prst="rect">
                      <a:avLst/>
                    </a:prstGeom>
                  </pic:spPr>
                </pic:pic>
              </a:graphicData>
            </a:graphic>
          </wp:anchor>
        </w:drawing>
      </w:r>
      <w:r>
        <w:t>As highlighted in the various health sections of this annual report, LGBTQ youth often receive a lower quality of care than their cisgender, heterosexual</w:t>
      </w:r>
      <w:r>
        <w:rPr>
          <w:spacing w:val="-4"/>
        </w:rPr>
        <w:t xml:space="preserve"> </w:t>
      </w:r>
      <w:r>
        <w:t>peers,</w:t>
      </w:r>
      <w:r>
        <w:rPr>
          <w:spacing w:val="-3"/>
        </w:rPr>
        <w:t xml:space="preserve"> </w:t>
      </w:r>
      <w:r>
        <w:t>particularly</w:t>
      </w:r>
      <w:r>
        <w:rPr>
          <w:spacing w:val="-3"/>
        </w:rPr>
        <w:t xml:space="preserve"> </w:t>
      </w:r>
      <w:r>
        <w:t>as</w:t>
      </w:r>
      <w:r>
        <w:rPr>
          <w:spacing w:val="-3"/>
        </w:rPr>
        <w:t xml:space="preserve"> </w:t>
      </w:r>
      <w:r>
        <w:t>many</w:t>
      </w:r>
      <w:r>
        <w:rPr>
          <w:spacing w:val="-5"/>
        </w:rPr>
        <w:t xml:space="preserve"> </w:t>
      </w:r>
      <w:r>
        <w:t>medical providers display a lack of sensitivity to the unique</w:t>
      </w:r>
      <w:r>
        <w:rPr>
          <w:spacing w:val="-12"/>
        </w:rPr>
        <w:t xml:space="preserve"> </w:t>
      </w:r>
      <w:r>
        <w:t>health</w:t>
      </w:r>
      <w:r>
        <w:rPr>
          <w:spacing w:val="-12"/>
        </w:rPr>
        <w:t xml:space="preserve"> </w:t>
      </w:r>
      <w:r>
        <w:t>care</w:t>
      </w:r>
      <w:r>
        <w:rPr>
          <w:spacing w:val="-11"/>
        </w:rPr>
        <w:t xml:space="preserve"> </w:t>
      </w:r>
      <w:r>
        <w:t>needs</w:t>
      </w:r>
      <w:r>
        <w:rPr>
          <w:spacing w:val="-13"/>
        </w:rPr>
        <w:t xml:space="preserve"> </w:t>
      </w:r>
      <w:r>
        <w:t>of</w:t>
      </w:r>
      <w:r>
        <w:rPr>
          <w:spacing w:val="-11"/>
        </w:rPr>
        <w:t xml:space="preserve"> </w:t>
      </w:r>
      <w:r>
        <w:t>LGBTQ</w:t>
      </w:r>
      <w:r>
        <w:rPr>
          <w:spacing w:val="-12"/>
        </w:rPr>
        <w:t xml:space="preserve"> </w:t>
      </w:r>
      <w:r>
        <w:t>communities. However,</w:t>
      </w:r>
      <w:r>
        <w:rPr>
          <w:spacing w:val="-5"/>
        </w:rPr>
        <w:t xml:space="preserve"> </w:t>
      </w:r>
      <w:r>
        <w:t>the</w:t>
      </w:r>
      <w:r>
        <w:rPr>
          <w:spacing w:val="-4"/>
        </w:rPr>
        <w:t xml:space="preserve"> </w:t>
      </w:r>
      <w:r>
        <w:t>problem</w:t>
      </w:r>
      <w:r>
        <w:rPr>
          <w:spacing w:val="-6"/>
        </w:rPr>
        <w:t xml:space="preserve"> </w:t>
      </w:r>
      <w:r>
        <w:t>is</w:t>
      </w:r>
      <w:r>
        <w:rPr>
          <w:spacing w:val="-7"/>
        </w:rPr>
        <w:t xml:space="preserve"> </w:t>
      </w:r>
      <w:r>
        <w:t>often</w:t>
      </w:r>
      <w:r>
        <w:rPr>
          <w:spacing w:val="-7"/>
        </w:rPr>
        <w:t xml:space="preserve"> </w:t>
      </w:r>
      <w:r>
        <w:t>even</w:t>
      </w:r>
      <w:r>
        <w:rPr>
          <w:spacing w:val="-7"/>
        </w:rPr>
        <w:t xml:space="preserve"> </w:t>
      </w:r>
      <w:r>
        <w:t>more</w:t>
      </w:r>
      <w:r>
        <w:rPr>
          <w:spacing w:val="-7"/>
        </w:rPr>
        <w:t xml:space="preserve"> </w:t>
      </w:r>
      <w:r>
        <w:t>severe for undocumented youth, as undocumented individuals are barred from accessing federally funded insurance plans, and even purchasing insurance</w:t>
      </w:r>
      <w:r>
        <w:rPr>
          <w:spacing w:val="-13"/>
        </w:rPr>
        <w:t xml:space="preserve"> </w:t>
      </w:r>
      <w:r>
        <w:t>in</w:t>
      </w:r>
      <w:r>
        <w:rPr>
          <w:spacing w:val="-12"/>
        </w:rPr>
        <w:t xml:space="preserve"> </w:t>
      </w:r>
      <w:r>
        <w:t>state</w:t>
      </w:r>
      <w:r>
        <w:rPr>
          <w:spacing w:val="-13"/>
        </w:rPr>
        <w:t xml:space="preserve"> </w:t>
      </w:r>
      <w:r>
        <w:t>exchanges.</w:t>
      </w:r>
      <w:hyperlink w:anchor="_bookmark750" w:history="1">
        <w:r>
          <w:rPr>
            <w:vertAlign w:val="superscript"/>
          </w:rPr>
          <w:t>47</w:t>
        </w:r>
      </w:hyperlink>
      <w:r>
        <w:rPr>
          <w:spacing w:val="-12"/>
        </w:rPr>
        <w:t xml:space="preserve"> </w:t>
      </w:r>
      <w:r>
        <w:t>In</w:t>
      </w:r>
      <w:r>
        <w:rPr>
          <w:spacing w:val="-13"/>
        </w:rPr>
        <w:t xml:space="preserve"> </w:t>
      </w:r>
      <w:r>
        <w:t>Massachusetts, MassHealth</w:t>
      </w:r>
      <w:r>
        <w:rPr>
          <w:spacing w:val="-13"/>
        </w:rPr>
        <w:t xml:space="preserve"> </w:t>
      </w:r>
      <w:r>
        <w:t>does</w:t>
      </w:r>
      <w:r>
        <w:rPr>
          <w:spacing w:val="-12"/>
        </w:rPr>
        <w:t xml:space="preserve"> </w:t>
      </w:r>
      <w:r>
        <w:t>offer</w:t>
      </w:r>
      <w:r>
        <w:rPr>
          <w:spacing w:val="-13"/>
        </w:rPr>
        <w:t xml:space="preserve"> </w:t>
      </w:r>
      <w:r>
        <w:t>some</w:t>
      </w:r>
      <w:r>
        <w:rPr>
          <w:spacing w:val="-12"/>
        </w:rPr>
        <w:t xml:space="preserve"> </w:t>
      </w:r>
      <w:r>
        <w:t>healthcare</w:t>
      </w:r>
      <w:r>
        <w:rPr>
          <w:spacing w:val="-13"/>
        </w:rPr>
        <w:t xml:space="preserve"> </w:t>
      </w:r>
      <w:r>
        <w:t>coverage options for undocumented communities, but access</w:t>
      </w:r>
      <w:r>
        <w:rPr>
          <w:spacing w:val="37"/>
        </w:rPr>
        <w:t xml:space="preserve"> </w:t>
      </w:r>
      <w:r>
        <w:t>is</w:t>
      </w:r>
      <w:r>
        <w:rPr>
          <w:spacing w:val="35"/>
        </w:rPr>
        <w:t xml:space="preserve"> </w:t>
      </w:r>
      <w:r>
        <w:t>mostly</w:t>
      </w:r>
      <w:r>
        <w:rPr>
          <w:spacing w:val="38"/>
        </w:rPr>
        <w:t xml:space="preserve"> </w:t>
      </w:r>
      <w:r>
        <w:t>limited</w:t>
      </w:r>
      <w:r>
        <w:rPr>
          <w:spacing w:val="37"/>
        </w:rPr>
        <w:t xml:space="preserve"> </w:t>
      </w:r>
      <w:r>
        <w:t>to</w:t>
      </w:r>
      <w:r>
        <w:rPr>
          <w:spacing w:val="38"/>
        </w:rPr>
        <w:t xml:space="preserve"> </w:t>
      </w:r>
      <w:r>
        <w:t>emergency</w:t>
      </w:r>
      <w:r>
        <w:rPr>
          <w:spacing w:val="39"/>
        </w:rPr>
        <w:t xml:space="preserve"> </w:t>
      </w:r>
      <w:r>
        <w:rPr>
          <w:spacing w:val="-2"/>
        </w:rPr>
        <w:t>services</w:t>
      </w:r>
    </w:p>
    <w:p w:rsidR="00200FDA" w:rsidRDefault="00F76C4C">
      <w:pPr>
        <w:pStyle w:val="BodyText"/>
        <w:spacing w:before="1" w:line="276" w:lineRule="auto"/>
        <w:ind w:left="139" w:right="134"/>
        <w:jc w:val="both"/>
      </w:pPr>
      <w:r>
        <w:t>rather than preventative care.</w:t>
      </w:r>
      <w:hyperlink w:anchor="_bookmark749" w:history="1">
        <w:r>
          <w:rPr>
            <w:vertAlign w:val="superscript"/>
          </w:rPr>
          <w:t>48</w:t>
        </w:r>
      </w:hyperlink>
      <w:r>
        <w:rPr>
          <w:spacing w:val="-2"/>
        </w:rPr>
        <w:t xml:space="preserve"> </w:t>
      </w:r>
      <w:r>
        <w:t>Nati</w:t>
      </w:r>
      <w:r>
        <w:t xml:space="preserve">onally, as of 2021, roughly 1 in 4 lawfully present immigrants, and nearly 1 in 2 undocumented immigrants were uninsured, compared to 8% of non-elderly U.S.-born </w:t>
      </w:r>
      <w:r>
        <w:rPr>
          <w:spacing w:val="-2"/>
        </w:rPr>
        <w:t>citizens.</w:t>
      </w:r>
      <w:hyperlink w:anchor="_bookmark758" w:history="1">
        <w:r>
          <w:rPr>
            <w:spacing w:val="-2"/>
            <w:vertAlign w:val="superscript"/>
          </w:rPr>
          <w:t>49</w:t>
        </w:r>
      </w:hyperlink>
    </w:p>
    <w:p w:rsidR="00200FDA" w:rsidRDefault="00F76C4C">
      <w:pPr>
        <w:pStyle w:val="BodyText"/>
        <w:spacing w:before="120" w:line="276" w:lineRule="auto"/>
        <w:ind w:left="139" w:right="135"/>
        <w:jc w:val="both"/>
      </w:pPr>
      <w:r>
        <w:t>Between</w:t>
      </w:r>
      <w:r>
        <w:rPr>
          <w:spacing w:val="-13"/>
        </w:rPr>
        <w:t xml:space="preserve"> </w:t>
      </w:r>
      <w:r>
        <w:t>a</w:t>
      </w:r>
      <w:r>
        <w:rPr>
          <w:spacing w:val="-12"/>
        </w:rPr>
        <w:t xml:space="preserve"> </w:t>
      </w:r>
      <w:r>
        <w:t>lack</w:t>
      </w:r>
      <w:r>
        <w:rPr>
          <w:spacing w:val="-13"/>
        </w:rPr>
        <w:t xml:space="preserve"> </w:t>
      </w:r>
      <w:r>
        <w:t>of</w:t>
      </w:r>
      <w:r>
        <w:rPr>
          <w:spacing w:val="-12"/>
        </w:rPr>
        <w:t xml:space="preserve"> </w:t>
      </w:r>
      <w:r>
        <w:t>insurance,</w:t>
      </w:r>
      <w:r>
        <w:rPr>
          <w:spacing w:val="-13"/>
        </w:rPr>
        <w:t xml:space="preserve"> </w:t>
      </w:r>
      <w:r>
        <w:t>fear</w:t>
      </w:r>
      <w:r>
        <w:rPr>
          <w:spacing w:val="-12"/>
        </w:rPr>
        <w:t xml:space="preserve"> </w:t>
      </w:r>
      <w:r>
        <w:t>of</w:t>
      </w:r>
      <w:r>
        <w:rPr>
          <w:spacing w:val="-13"/>
        </w:rPr>
        <w:t xml:space="preserve"> </w:t>
      </w:r>
      <w:r>
        <w:t>discrimination</w:t>
      </w:r>
      <w:r>
        <w:rPr>
          <w:spacing w:val="-12"/>
        </w:rPr>
        <w:t xml:space="preserve"> </w:t>
      </w:r>
      <w:r>
        <w:t>and</w:t>
      </w:r>
      <w:r>
        <w:rPr>
          <w:spacing w:val="-12"/>
        </w:rPr>
        <w:t xml:space="preserve"> </w:t>
      </w:r>
      <w:r>
        <w:t>violence,</w:t>
      </w:r>
      <w:r>
        <w:rPr>
          <w:spacing w:val="-13"/>
        </w:rPr>
        <w:t xml:space="preserve"> </w:t>
      </w:r>
      <w:r>
        <w:t>and</w:t>
      </w:r>
      <w:r>
        <w:rPr>
          <w:spacing w:val="-12"/>
        </w:rPr>
        <w:t xml:space="preserve"> </w:t>
      </w:r>
      <w:r>
        <w:t>fear</w:t>
      </w:r>
      <w:r>
        <w:rPr>
          <w:spacing w:val="-13"/>
        </w:rPr>
        <w:t xml:space="preserve"> </w:t>
      </w:r>
      <w:r>
        <w:t>of</w:t>
      </w:r>
      <w:r>
        <w:rPr>
          <w:spacing w:val="-12"/>
        </w:rPr>
        <w:t xml:space="preserve"> </w:t>
      </w:r>
      <w:r>
        <w:t>being</w:t>
      </w:r>
      <w:r>
        <w:rPr>
          <w:spacing w:val="-13"/>
        </w:rPr>
        <w:t xml:space="preserve"> </w:t>
      </w:r>
      <w:r>
        <w:t>reported</w:t>
      </w:r>
      <w:r>
        <w:rPr>
          <w:spacing w:val="-12"/>
        </w:rPr>
        <w:t xml:space="preserve"> </w:t>
      </w:r>
      <w:r>
        <w:t>to</w:t>
      </w:r>
      <w:r>
        <w:rPr>
          <w:spacing w:val="-12"/>
        </w:rPr>
        <w:t xml:space="preserve"> </w:t>
      </w:r>
      <w:r>
        <w:t>immigration authorities, many LGBTQ undocumented youth go without adequate health and gender-affirming care. Furthermore, foreign-born communities also struggle to access care due to factors such a</w:t>
      </w:r>
      <w:r>
        <w:t>s cultural misunderstanding</w:t>
      </w:r>
      <w:r>
        <w:rPr>
          <w:spacing w:val="40"/>
        </w:rPr>
        <w:t xml:space="preserve"> </w:t>
      </w:r>
      <w:r>
        <w:t>and</w:t>
      </w:r>
      <w:r>
        <w:rPr>
          <w:spacing w:val="40"/>
        </w:rPr>
        <w:t xml:space="preserve"> </w:t>
      </w:r>
      <w:r>
        <w:t>insensitivity,</w:t>
      </w:r>
      <w:r>
        <w:rPr>
          <w:spacing w:val="40"/>
        </w:rPr>
        <w:t xml:space="preserve"> </w:t>
      </w:r>
      <w:r>
        <w:t>and</w:t>
      </w:r>
      <w:r>
        <w:rPr>
          <w:spacing w:val="40"/>
        </w:rPr>
        <w:t xml:space="preserve"> </w:t>
      </w:r>
      <w:r>
        <w:t>a</w:t>
      </w:r>
      <w:r>
        <w:rPr>
          <w:spacing w:val="40"/>
        </w:rPr>
        <w:t xml:space="preserve"> </w:t>
      </w:r>
      <w:r>
        <w:t>lack</w:t>
      </w:r>
      <w:r>
        <w:rPr>
          <w:spacing w:val="40"/>
        </w:rPr>
        <w:t xml:space="preserve"> </w:t>
      </w:r>
      <w:r>
        <w:t>of</w:t>
      </w:r>
      <w:r>
        <w:rPr>
          <w:spacing w:val="40"/>
        </w:rPr>
        <w:t xml:space="preserve"> </w:t>
      </w:r>
      <w:r>
        <w:t>translated</w:t>
      </w:r>
      <w:r>
        <w:rPr>
          <w:spacing w:val="40"/>
        </w:rPr>
        <w:t xml:space="preserve"> </w:t>
      </w:r>
      <w:r>
        <w:t>health-related</w:t>
      </w:r>
      <w:r>
        <w:rPr>
          <w:spacing w:val="40"/>
        </w:rPr>
        <w:t xml:space="preserve"> </w:t>
      </w:r>
      <w:r>
        <w:t>information</w:t>
      </w:r>
      <w:r>
        <w:rPr>
          <w:spacing w:val="40"/>
        </w:rPr>
        <w:t xml:space="preserve"> </w:t>
      </w:r>
      <w:r>
        <w:t>held</w:t>
      </w:r>
      <w:r>
        <w:rPr>
          <w:spacing w:val="40"/>
        </w:rPr>
        <w:t xml:space="preserve"> </w:t>
      </w:r>
      <w:r>
        <w:t>by</w:t>
      </w:r>
      <w:r>
        <w:rPr>
          <w:spacing w:val="40"/>
        </w:rPr>
        <w:t xml:space="preserve"> </w:t>
      </w:r>
      <w:r>
        <w:t>and</w:t>
      </w:r>
    </w:p>
    <w:p w:rsidR="00200FDA" w:rsidRDefault="00200FDA">
      <w:pPr>
        <w:spacing w:line="276" w:lineRule="auto"/>
        <w:jc w:val="both"/>
        <w:sectPr w:rsidR="00200FDA">
          <w:pgSz w:w="12240" w:h="15840"/>
          <w:pgMar w:top="1360" w:right="1300" w:bottom="1240" w:left="1300" w:header="763" w:footer="1043" w:gutter="0"/>
          <w:cols w:space="720"/>
        </w:sectPr>
      </w:pPr>
    </w:p>
    <w:p w:rsidR="00200FDA" w:rsidRDefault="00F76C4C">
      <w:pPr>
        <w:pStyle w:val="BodyText"/>
        <w:spacing w:before="64" w:line="276" w:lineRule="auto"/>
        <w:ind w:left="139" w:right="136"/>
        <w:jc w:val="both"/>
      </w:pPr>
      <w:r>
        <w:lastRenderedPageBreak/>
        <w:t>supplied</w:t>
      </w:r>
      <w:r>
        <w:rPr>
          <w:spacing w:val="-13"/>
        </w:rPr>
        <w:t xml:space="preserve"> </w:t>
      </w:r>
      <w:r>
        <w:t>to</w:t>
      </w:r>
      <w:r>
        <w:rPr>
          <w:spacing w:val="-12"/>
        </w:rPr>
        <w:t xml:space="preserve"> </w:t>
      </w:r>
      <w:r>
        <w:t>these</w:t>
      </w:r>
      <w:r>
        <w:rPr>
          <w:spacing w:val="-13"/>
        </w:rPr>
        <w:t xml:space="preserve"> </w:t>
      </w:r>
      <w:r>
        <w:t>diverse</w:t>
      </w:r>
      <w:r>
        <w:rPr>
          <w:spacing w:val="-12"/>
        </w:rPr>
        <w:t xml:space="preserve"> </w:t>
      </w:r>
      <w:r>
        <w:t>communities.</w:t>
      </w:r>
      <w:r>
        <w:rPr>
          <w:spacing w:val="-13"/>
        </w:rPr>
        <w:t xml:space="preserve"> </w:t>
      </w:r>
      <w:r>
        <w:t>Many</w:t>
      </w:r>
      <w:r>
        <w:rPr>
          <w:spacing w:val="-12"/>
        </w:rPr>
        <w:t xml:space="preserve"> </w:t>
      </w:r>
      <w:r>
        <w:t>immigrants</w:t>
      </w:r>
      <w:r>
        <w:rPr>
          <w:spacing w:val="-13"/>
        </w:rPr>
        <w:t xml:space="preserve"> </w:t>
      </w:r>
      <w:r>
        <w:t>either</w:t>
      </w:r>
      <w:r>
        <w:rPr>
          <w:spacing w:val="-12"/>
        </w:rPr>
        <w:t xml:space="preserve"> </w:t>
      </w:r>
      <w:r>
        <w:t>do</w:t>
      </w:r>
      <w:r>
        <w:rPr>
          <w:spacing w:val="-12"/>
        </w:rPr>
        <w:t xml:space="preserve"> </w:t>
      </w:r>
      <w:r>
        <w:t>not</w:t>
      </w:r>
      <w:r>
        <w:rPr>
          <w:spacing w:val="-13"/>
        </w:rPr>
        <w:t xml:space="preserve"> </w:t>
      </w:r>
      <w:r>
        <w:t>seek</w:t>
      </w:r>
      <w:r>
        <w:rPr>
          <w:spacing w:val="-12"/>
        </w:rPr>
        <w:t xml:space="preserve"> </w:t>
      </w:r>
      <w:r>
        <w:t>healthcare</w:t>
      </w:r>
      <w:r>
        <w:rPr>
          <w:spacing w:val="-13"/>
        </w:rPr>
        <w:t xml:space="preserve"> </w:t>
      </w:r>
      <w:r>
        <w:t>or</w:t>
      </w:r>
      <w:r>
        <w:rPr>
          <w:spacing w:val="-12"/>
        </w:rPr>
        <w:t xml:space="preserve"> </w:t>
      </w:r>
      <w:r>
        <w:t>find</w:t>
      </w:r>
      <w:r>
        <w:rPr>
          <w:spacing w:val="-13"/>
        </w:rPr>
        <w:t xml:space="preserve"> </w:t>
      </w:r>
      <w:r>
        <w:t>themselves subject to cultural insensi</w:t>
      </w:r>
      <w:r>
        <w:t>tivity because services are not linguistically appropriate or fail to align with the immigrant group’s cultural values.</w:t>
      </w:r>
      <w:hyperlink w:anchor="_bookmark759" w:history="1">
        <w:r>
          <w:rPr>
            <w:vertAlign w:val="superscript"/>
          </w:rPr>
          <w:t>50</w:t>
        </w:r>
      </w:hyperlink>
    </w:p>
    <w:p w:rsidR="00200FDA" w:rsidRDefault="00F76C4C">
      <w:pPr>
        <w:pStyle w:val="BodyText"/>
        <w:spacing w:before="120" w:line="276" w:lineRule="auto"/>
        <w:ind w:left="139" w:right="133"/>
        <w:jc w:val="both"/>
      </w:pPr>
      <w:r>
        <w:t>Legally, ICE recognizes health care centers as “sensitive locations” and cannot detain Massachusetts r</w:t>
      </w:r>
      <w:r>
        <w:t>esidents at a hospital, doctor’s office, health clinic, or urgent care center, unless there are special circumstances or with prior approval. Furthermore, federal and state privacy laws protect health information</w:t>
      </w:r>
      <w:r>
        <w:rPr>
          <w:spacing w:val="-12"/>
        </w:rPr>
        <w:t xml:space="preserve"> </w:t>
      </w:r>
      <w:r>
        <w:t>held</w:t>
      </w:r>
      <w:r>
        <w:rPr>
          <w:spacing w:val="-10"/>
        </w:rPr>
        <w:t xml:space="preserve"> </w:t>
      </w:r>
      <w:r>
        <w:t>by</w:t>
      </w:r>
      <w:r>
        <w:rPr>
          <w:spacing w:val="-8"/>
        </w:rPr>
        <w:t xml:space="preserve"> </w:t>
      </w:r>
      <w:r>
        <w:t>health</w:t>
      </w:r>
      <w:r>
        <w:rPr>
          <w:spacing w:val="-12"/>
        </w:rPr>
        <w:t xml:space="preserve"> </w:t>
      </w:r>
      <w:r>
        <w:t>care</w:t>
      </w:r>
      <w:r>
        <w:rPr>
          <w:spacing w:val="-9"/>
        </w:rPr>
        <w:t xml:space="preserve"> </w:t>
      </w:r>
      <w:r>
        <w:t>providers,</w:t>
      </w:r>
      <w:r>
        <w:rPr>
          <w:spacing w:val="-11"/>
        </w:rPr>
        <w:t xml:space="preserve"> </w:t>
      </w:r>
      <w:r>
        <w:t>and</w:t>
      </w:r>
      <w:r>
        <w:rPr>
          <w:spacing w:val="-10"/>
        </w:rPr>
        <w:t xml:space="preserve"> </w:t>
      </w:r>
      <w:r>
        <w:t>providers</w:t>
      </w:r>
      <w:r>
        <w:rPr>
          <w:spacing w:val="-9"/>
        </w:rPr>
        <w:t xml:space="preserve"> </w:t>
      </w:r>
      <w:r>
        <w:t>should</w:t>
      </w:r>
      <w:r>
        <w:rPr>
          <w:spacing w:val="-12"/>
        </w:rPr>
        <w:t xml:space="preserve"> </w:t>
      </w:r>
      <w:r>
        <w:t>only</w:t>
      </w:r>
      <w:r>
        <w:rPr>
          <w:spacing w:val="-8"/>
        </w:rPr>
        <w:t xml:space="preserve"> </w:t>
      </w:r>
      <w:r>
        <w:t>collect</w:t>
      </w:r>
      <w:r>
        <w:rPr>
          <w:spacing w:val="-11"/>
        </w:rPr>
        <w:t xml:space="preserve"> </w:t>
      </w:r>
      <w:r>
        <w:t>what</w:t>
      </w:r>
      <w:r>
        <w:rPr>
          <w:spacing w:val="-11"/>
        </w:rPr>
        <w:t xml:space="preserve"> </w:t>
      </w:r>
      <w:r>
        <w:t>information</w:t>
      </w:r>
      <w:r>
        <w:rPr>
          <w:spacing w:val="-12"/>
        </w:rPr>
        <w:t xml:space="preserve"> </w:t>
      </w:r>
      <w:r>
        <w:t>is</w:t>
      </w:r>
      <w:r>
        <w:rPr>
          <w:spacing w:val="-11"/>
        </w:rPr>
        <w:t xml:space="preserve"> </w:t>
      </w:r>
      <w:r>
        <w:t>medically relevant and needed for treatment.</w:t>
      </w:r>
      <w:hyperlink w:anchor="_bookmark760" w:history="1">
        <w:r>
          <w:rPr>
            <w:vertAlign w:val="superscript"/>
          </w:rPr>
          <w:t>51</w:t>
        </w:r>
      </w:hyperlink>
      <w:r>
        <w:t xml:space="preserve"> However, many foreign-born communities continue to express concerns around fear of cultural insensitivity, and being detained b</w:t>
      </w:r>
      <w:r>
        <w:t>y immigration officials when seeking health care.</w:t>
      </w:r>
    </w:p>
    <w:p w:rsidR="00200FDA" w:rsidRDefault="00F76C4C">
      <w:pPr>
        <w:pStyle w:val="BodyText"/>
        <w:spacing w:before="120" w:line="276" w:lineRule="auto"/>
        <w:ind w:left="139" w:right="135"/>
        <w:jc w:val="both"/>
      </w:pPr>
      <w:r>
        <w:rPr>
          <w:color w:val="1F2023"/>
        </w:rPr>
        <w:t>In the 2017 report from the Center for American Progress, twelve of the thirty-two organizations interviewed provided health care services</w:t>
      </w:r>
      <w:r>
        <w:rPr>
          <w:color w:val="1F2023"/>
          <w:spacing w:val="-2"/>
        </w:rPr>
        <w:t xml:space="preserve"> </w:t>
      </w:r>
      <w:r>
        <w:rPr>
          <w:color w:val="1F2023"/>
        </w:rPr>
        <w:t>for</w:t>
      </w:r>
      <w:r>
        <w:rPr>
          <w:color w:val="1F2023"/>
          <w:spacing w:val="-2"/>
        </w:rPr>
        <w:t xml:space="preserve"> </w:t>
      </w:r>
      <w:r>
        <w:rPr>
          <w:color w:val="1F2023"/>
        </w:rPr>
        <w:t>undocumented individuals,</w:t>
      </w:r>
      <w:r>
        <w:rPr>
          <w:color w:val="1F2023"/>
          <w:spacing w:val="-2"/>
        </w:rPr>
        <w:t xml:space="preserve"> </w:t>
      </w:r>
      <w:r>
        <w:rPr>
          <w:color w:val="1F2023"/>
        </w:rPr>
        <w:t>with</w:t>
      </w:r>
      <w:r>
        <w:rPr>
          <w:color w:val="1F2023"/>
          <w:spacing w:val="-3"/>
        </w:rPr>
        <w:t xml:space="preserve"> </w:t>
      </w:r>
      <w:r>
        <w:rPr>
          <w:color w:val="1F2023"/>
        </w:rPr>
        <w:t>the</w:t>
      </w:r>
      <w:r>
        <w:rPr>
          <w:color w:val="1F2023"/>
          <w:spacing w:val="-1"/>
        </w:rPr>
        <w:t xml:space="preserve"> </w:t>
      </w:r>
      <w:r>
        <w:rPr>
          <w:color w:val="1F2023"/>
        </w:rPr>
        <w:t>most common service provided</w:t>
      </w:r>
      <w:r>
        <w:rPr>
          <w:color w:val="1F2023"/>
          <w:spacing w:val="-7"/>
        </w:rPr>
        <w:t xml:space="preserve"> </w:t>
      </w:r>
      <w:r>
        <w:rPr>
          <w:color w:val="1F2023"/>
        </w:rPr>
        <w:t>being</w:t>
      </w:r>
      <w:r>
        <w:rPr>
          <w:color w:val="1F2023"/>
          <w:spacing w:val="-7"/>
        </w:rPr>
        <w:t xml:space="preserve"> </w:t>
      </w:r>
      <w:r>
        <w:rPr>
          <w:color w:val="1F2023"/>
        </w:rPr>
        <w:t>HIV/AIDS</w:t>
      </w:r>
      <w:r>
        <w:rPr>
          <w:color w:val="1F2023"/>
          <w:spacing w:val="-10"/>
        </w:rPr>
        <w:t xml:space="preserve"> </w:t>
      </w:r>
      <w:r>
        <w:rPr>
          <w:color w:val="1F2023"/>
        </w:rPr>
        <w:t>prevention</w:t>
      </w:r>
      <w:r>
        <w:rPr>
          <w:color w:val="1F2023"/>
          <w:spacing w:val="-7"/>
        </w:rPr>
        <w:t xml:space="preserve"> </w:t>
      </w:r>
      <w:r>
        <w:rPr>
          <w:color w:val="1F2023"/>
        </w:rPr>
        <w:t>and</w:t>
      </w:r>
      <w:r>
        <w:rPr>
          <w:color w:val="1F2023"/>
          <w:spacing w:val="-10"/>
        </w:rPr>
        <w:t xml:space="preserve"> </w:t>
      </w:r>
      <w:r>
        <w:rPr>
          <w:color w:val="1F2023"/>
        </w:rPr>
        <w:t>treatment.</w:t>
      </w:r>
      <w:r>
        <w:rPr>
          <w:color w:val="1F2023"/>
          <w:spacing w:val="-7"/>
        </w:rPr>
        <w:t xml:space="preserve"> </w:t>
      </w:r>
      <w:r>
        <w:rPr>
          <w:color w:val="1F2023"/>
        </w:rPr>
        <w:t>The</w:t>
      </w:r>
      <w:r>
        <w:rPr>
          <w:color w:val="1F2023"/>
          <w:spacing w:val="-6"/>
        </w:rPr>
        <w:t xml:space="preserve"> </w:t>
      </w:r>
      <w:r>
        <w:rPr>
          <w:color w:val="1F2023"/>
        </w:rPr>
        <w:t>range</w:t>
      </w:r>
      <w:r>
        <w:rPr>
          <w:color w:val="1F2023"/>
          <w:spacing w:val="-9"/>
        </w:rPr>
        <w:t xml:space="preserve"> </w:t>
      </w:r>
      <w:r>
        <w:rPr>
          <w:color w:val="1F2023"/>
        </w:rPr>
        <w:t>of</w:t>
      </w:r>
      <w:r>
        <w:rPr>
          <w:color w:val="1F2023"/>
          <w:spacing w:val="-7"/>
        </w:rPr>
        <w:t xml:space="preserve"> </w:t>
      </w:r>
      <w:r>
        <w:rPr>
          <w:color w:val="1F2023"/>
        </w:rPr>
        <w:t>health</w:t>
      </w:r>
      <w:r>
        <w:rPr>
          <w:color w:val="1F2023"/>
          <w:spacing w:val="-7"/>
        </w:rPr>
        <w:t xml:space="preserve"> </w:t>
      </w:r>
      <w:r>
        <w:rPr>
          <w:color w:val="1F2023"/>
        </w:rPr>
        <w:t>care</w:t>
      </w:r>
      <w:r>
        <w:rPr>
          <w:color w:val="1F2023"/>
          <w:spacing w:val="-6"/>
        </w:rPr>
        <w:t xml:space="preserve"> </w:t>
      </w:r>
      <w:r>
        <w:rPr>
          <w:color w:val="1F2023"/>
        </w:rPr>
        <w:t>services</w:t>
      </w:r>
      <w:r>
        <w:rPr>
          <w:color w:val="1F2023"/>
          <w:spacing w:val="-9"/>
        </w:rPr>
        <w:t xml:space="preserve"> </w:t>
      </w:r>
      <w:r>
        <w:rPr>
          <w:color w:val="1F2023"/>
        </w:rPr>
        <w:t>offered</w:t>
      </w:r>
      <w:r>
        <w:rPr>
          <w:color w:val="1F2023"/>
          <w:spacing w:val="-7"/>
        </w:rPr>
        <w:t xml:space="preserve"> </w:t>
      </w:r>
      <w:r>
        <w:rPr>
          <w:color w:val="1F2023"/>
        </w:rPr>
        <w:t>by</w:t>
      </w:r>
      <w:r>
        <w:rPr>
          <w:color w:val="1F2023"/>
          <w:spacing w:val="-8"/>
        </w:rPr>
        <w:t xml:space="preserve"> </w:t>
      </w:r>
      <w:r>
        <w:rPr>
          <w:color w:val="1F2023"/>
        </w:rPr>
        <w:t>these</w:t>
      </w:r>
      <w:r>
        <w:rPr>
          <w:color w:val="1F2023"/>
          <w:spacing w:val="-8"/>
        </w:rPr>
        <w:t xml:space="preserve"> </w:t>
      </w:r>
      <w:r>
        <w:rPr>
          <w:color w:val="1F2023"/>
        </w:rPr>
        <w:t>12 organizations</w:t>
      </w:r>
      <w:r>
        <w:rPr>
          <w:color w:val="1F2023"/>
          <w:spacing w:val="-4"/>
        </w:rPr>
        <w:t xml:space="preserve"> </w:t>
      </w:r>
      <w:r>
        <w:rPr>
          <w:color w:val="1F2023"/>
        </w:rPr>
        <w:t>included</w:t>
      </w:r>
      <w:r>
        <w:rPr>
          <w:color w:val="1F2023"/>
          <w:spacing w:val="-5"/>
        </w:rPr>
        <w:t xml:space="preserve"> </w:t>
      </w:r>
      <w:r>
        <w:rPr>
          <w:color w:val="1F2023"/>
        </w:rPr>
        <w:t>mental</w:t>
      </w:r>
      <w:r>
        <w:rPr>
          <w:color w:val="1F2023"/>
          <w:spacing w:val="-2"/>
        </w:rPr>
        <w:t xml:space="preserve"> </w:t>
      </w:r>
      <w:r>
        <w:rPr>
          <w:color w:val="1F2023"/>
        </w:rPr>
        <w:t>health</w:t>
      </w:r>
      <w:r>
        <w:rPr>
          <w:color w:val="1F2023"/>
          <w:spacing w:val="-5"/>
        </w:rPr>
        <w:t xml:space="preserve"> </w:t>
      </w:r>
      <w:r>
        <w:rPr>
          <w:color w:val="1F2023"/>
        </w:rPr>
        <w:t>care,</w:t>
      </w:r>
      <w:r>
        <w:rPr>
          <w:color w:val="1F2023"/>
          <w:spacing w:val="-4"/>
        </w:rPr>
        <w:t xml:space="preserve"> </w:t>
      </w:r>
      <w:r>
        <w:rPr>
          <w:color w:val="1F2023"/>
        </w:rPr>
        <w:t>treatment</w:t>
      </w:r>
      <w:r>
        <w:rPr>
          <w:color w:val="1F2023"/>
          <w:spacing w:val="-4"/>
        </w:rPr>
        <w:t xml:space="preserve"> </w:t>
      </w:r>
      <w:r>
        <w:rPr>
          <w:color w:val="1F2023"/>
        </w:rPr>
        <w:t>for</w:t>
      </w:r>
      <w:r>
        <w:rPr>
          <w:color w:val="1F2023"/>
          <w:spacing w:val="-4"/>
        </w:rPr>
        <w:t xml:space="preserve"> </w:t>
      </w:r>
      <w:r>
        <w:rPr>
          <w:color w:val="1F2023"/>
        </w:rPr>
        <w:t>substance</w:t>
      </w:r>
      <w:r>
        <w:rPr>
          <w:color w:val="1F2023"/>
          <w:spacing w:val="-4"/>
        </w:rPr>
        <w:t xml:space="preserve"> </w:t>
      </w:r>
      <w:r>
        <w:rPr>
          <w:color w:val="1F2023"/>
        </w:rPr>
        <w:t>and</w:t>
      </w:r>
      <w:r>
        <w:rPr>
          <w:color w:val="1F2023"/>
          <w:spacing w:val="-3"/>
        </w:rPr>
        <w:t xml:space="preserve"> </w:t>
      </w:r>
      <w:r>
        <w:rPr>
          <w:color w:val="1F2023"/>
        </w:rPr>
        <w:t>drug</w:t>
      </w:r>
      <w:r>
        <w:rPr>
          <w:color w:val="1F2023"/>
          <w:spacing w:val="-3"/>
        </w:rPr>
        <w:t xml:space="preserve"> </w:t>
      </w:r>
      <w:r>
        <w:rPr>
          <w:color w:val="1F2023"/>
        </w:rPr>
        <w:t>abuse,</w:t>
      </w:r>
      <w:r>
        <w:rPr>
          <w:color w:val="1F2023"/>
          <w:spacing w:val="-4"/>
        </w:rPr>
        <w:t xml:space="preserve"> </w:t>
      </w:r>
      <w:r>
        <w:rPr>
          <w:color w:val="1F2023"/>
        </w:rPr>
        <w:t>medical</w:t>
      </w:r>
      <w:r>
        <w:rPr>
          <w:color w:val="1F2023"/>
          <w:spacing w:val="-4"/>
        </w:rPr>
        <w:t xml:space="preserve"> </w:t>
      </w:r>
      <w:r>
        <w:rPr>
          <w:color w:val="1F2023"/>
        </w:rPr>
        <w:t>care,</w:t>
      </w:r>
      <w:r>
        <w:rPr>
          <w:color w:val="1F2023"/>
          <w:spacing w:val="-4"/>
        </w:rPr>
        <w:t xml:space="preserve"> </w:t>
      </w:r>
      <w:r>
        <w:rPr>
          <w:color w:val="1F2023"/>
        </w:rPr>
        <w:t>health education,</w:t>
      </w:r>
      <w:r>
        <w:rPr>
          <w:color w:val="1F2023"/>
          <w:spacing w:val="-11"/>
        </w:rPr>
        <w:t xml:space="preserve"> </w:t>
      </w:r>
      <w:r>
        <w:rPr>
          <w:color w:val="1F2023"/>
        </w:rPr>
        <w:t>and</w:t>
      </w:r>
      <w:r>
        <w:rPr>
          <w:color w:val="1F2023"/>
          <w:spacing w:val="-10"/>
        </w:rPr>
        <w:t xml:space="preserve"> </w:t>
      </w:r>
      <w:r>
        <w:rPr>
          <w:color w:val="1F2023"/>
        </w:rPr>
        <w:t>prevention</w:t>
      </w:r>
      <w:r>
        <w:rPr>
          <w:color w:val="1F2023"/>
          <w:spacing w:val="-12"/>
        </w:rPr>
        <w:t xml:space="preserve"> </w:t>
      </w:r>
      <w:r>
        <w:rPr>
          <w:color w:val="1F2023"/>
        </w:rPr>
        <w:t>and</w:t>
      </w:r>
      <w:r>
        <w:rPr>
          <w:color w:val="1F2023"/>
          <w:spacing w:val="-10"/>
        </w:rPr>
        <w:t xml:space="preserve"> </w:t>
      </w:r>
      <w:r>
        <w:rPr>
          <w:color w:val="1F2023"/>
        </w:rPr>
        <w:t>testing</w:t>
      </w:r>
      <w:r>
        <w:rPr>
          <w:color w:val="1F2023"/>
          <w:spacing w:val="-10"/>
        </w:rPr>
        <w:t xml:space="preserve"> </w:t>
      </w:r>
      <w:r>
        <w:rPr>
          <w:color w:val="1F2023"/>
        </w:rPr>
        <w:t>for</w:t>
      </w:r>
      <w:r>
        <w:rPr>
          <w:color w:val="1F2023"/>
          <w:spacing w:val="-9"/>
        </w:rPr>
        <w:t xml:space="preserve"> </w:t>
      </w:r>
      <w:r>
        <w:rPr>
          <w:color w:val="1F2023"/>
        </w:rPr>
        <w:t>HIV/AIDS</w:t>
      </w:r>
      <w:r>
        <w:rPr>
          <w:color w:val="1F2023"/>
          <w:spacing w:val="-10"/>
        </w:rPr>
        <w:t xml:space="preserve"> </w:t>
      </w:r>
      <w:r>
        <w:rPr>
          <w:color w:val="1F2023"/>
        </w:rPr>
        <w:t>and</w:t>
      </w:r>
      <w:r>
        <w:rPr>
          <w:color w:val="1F2023"/>
          <w:spacing w:val="-10"/>
        </w:rPr>
        <w:t xml:space="preserve"> </w:t>
      </w:r>
      <w:r>
        <w:rPr>
          <w:color w:val="1F2023"/>
        </w:rPr>
        <w:t>other</w:t>
      </w:r>
      <w:r>
        <w:rPr>
          <w:color w:val="1F2023"/>
          <w:spacing w:val="-12"/>
        </w:rPr>
        <w:t xml:space="preserve"> </w:t>
      </w:r>
      <w:r>
        <w:rPr>
          <w:color w:val="1F2023"/>
        </w:rPr>
        <w:t>sexually</w:t>
      </w:r>
      <w:r>
        <w:rPr>
          <w:color w:val="1F2023"/>
          <w:spacing w:val="-8"/>
        </w:rPr>
        <w:t xml:space="preserve"> </w:t>
      </w:r>
      <w:r>
        <w:rPr>
          <w:color w:val="1F2023"/>
        </w:rPr>
        <w:t>transmitted</w:t>
      </w:r>
      <w:r>
        <w:rPr>
          <w:color w:val="1F2023"/>
          <w:spacing w:val="-10"/>
        </w:rPr>
        <w:t xml:space="preserve"> </w:t>
      </w:r>
      <w:r>
        <w:rPr>
          <w:color w:val="1F2023"/>
        </w:rPr>
        <w:t>infections.</w:t>
      </w:r>
      <w:r>
        <w:rPr>
          <w:color w:val="1F2023"/>
          <w:spacing w:val="-12"/>
        </w:rPr>
        <w:t xml:space="preserve"> </w:t>
      </w:r>
      <w:r>
        <w:rPr>
          <w:color w:val="1F2023"/>
        </w:rPr>
        <w:t>One</w:t>
      </w:r>
      <w:r>
        <w:rPr>
          <w:color w:val="1F2023"/>
          <w:spacing w:val="-11"/>
        </w:rPr>
        <w:t xml:space="preserve"> </w:t>
      </w:r>
      <w:r>
        <w:rPr>
          <w:color w:val="1F2023"/>
        </w:rPr>
        <w:t xml:space="preserve">LGBTQ </w:t>
      </w:r>
      <w:bookmarkStart w:id="898" w:name="_bookmark710"/>
      <w:bookmarkEnd w:id="898"/>
      <w:r>
        <w:rPr>
          <w:color w:val="1F2023"/>
        </w:rPr>
        <w:t>community organization in Houston made a specific accommodation by amending its policies so that interpreters</w:t>
      </w:r>
      <w:r>
        <w:rPr>
          <w:color w:val="1F2023"/>
          <w:spacing w:val="-5"/>
        </w:rPr>
        <w:t xml:space="preserve"> </w:t>
      </w:r>
      <w:r>
        <w:rPr>
          <w:color w:val="1F2023"/>
        </w:rPr>
        <w:t>could</w:t>
      </w:r>
      <w:r>
        <w:rPr>
          <w:color w:val="1F2023"/>
          <w:spacing w:val="-6"/>
        </w:rPr>
        <w:t xml:space="preserve"> </w:t>
      </w:r>
      <w:r>
        <w:rPr>
          <w:color w:val="1F2023"/>
        </w:rPr>
        <w:t>join</w:t>
      </w:r>
      <w:r>
        <w:rPr>
          <w:color w:val="1F2023"/>
          <w:spacing w:val="-6"/>
        </w:rPr>
        <w:t xml:space="preserve"> </w:t>
      </w:r>
      <w:r>
        <w:rPr>
          <w:color w:val="1F2023"/>
        </w:rPr>
        <w:t>clients</w:t>
      </w:r>
      <w:r>
        <w:rPr>
          <w:color w:val="1F2023"/>
          <w:spacing w:val="-5"/>
        </w:rPr>
        <w:t xml:space="preserve"> </w:t>
      </w:r>
      <w:r>
        <w:rPr>
          <w:color w:val="1F2023"/>
        </w:rPr>
        <w:t>in</w:t>
      </w:r>
      <w:r>
        <w:rPr>
          <w:color w:val="1F2023"/>
          <w:spacing w:val="-6"/>
        </w:rPr>
        <w:t xml:space="preserve"> </w:t>
      </w:r>
      <w:r>
        <w:rPr>
          <w:color w:val="1F2023"/>
        </w:rPr>
        <w:t>therapy</w:t>
      </w:r>
      <w:r>
        <w:rPr>
          <w:color w:val="1F2023"/>
          <w:spacing w:val="-4"/>
        </w:rPr>
        <w:t xml:space="preserve"> </w:t>
      </w:r>
      <w:r>
        <w:rPr>
          <w:color w:val="1F2023"/>
        </w:rPr>
        <w:t>sessions,</w:t>
      </w:r>
      <w:r>
        <w:rPr>
          <w:color w:val="1F2023"/>
          <w:spacing w:val="-5"/>
        </w:rPr>
        <w:t xml:space="preserve"> </w:t>
      </w:r>
      <w:r>
        <w:rPr>
          <w:color w:val="1F2023"/>
        </w:rPr>
        <w:t>therefore</w:t>
      </w:r>
      <w:r>
        <w:rPr>
          <w:color w:val="1F2023"/>
          <w:spacing w:val="-5"/>
        </w:rPr>
        <w:t xml:space="preserve"> </w:t>
      </w:r>
      <w:r>
        <w:rPr>
          <w:color w:val="1F2023"/>
        </w:rPr>
        <w:t>ensuring</w:t>
      </w:r>
      <w:r>
        <w:rPr>
          <w:color w:val="1F2023"/>
          <w:spacing w:val="-6"/>
        </w:rPr>
        <w:t xml:space="preserve"> </w:t>
      </w:r>
      <w:r>
        <w:rPr>
          <w:color w:val="1F2023"/>
        </w:rPr>
        <w:t>that</w:t>
      </w:r>
      <w:r>
        <w:rPr>
          <w:color w:val="1F2023"/>
          <w:spacing w:val="-5"/>
        </w:rPr>
        <w:t xml:space="preserve"> </w:t>
      </w:r>
      <w:r>
        <w:rPr>
          <w:color w:val="1F2023"/>
        </w:rPr>
        <w:t>its</w:t>
      </w:r>
      <w:r>
        <w:rPr>
          <w:color w:val="1F2023"/>
          <w:spacing w:val="-9"/>
        </w:rPr>
        <w:t xml:space="preserve"> </w:t>
      </w:r>
      <w:r>
        <w:rPr>
          <w:color w:val="1F2023"/>
        </w:rPr>
        <w:t>mental</w:t>
      </w:r>
      <w:r>
        <w:rPr>
          <w:color w:val="1F2023"/>
          <w:spacing w:val="-6"/>
        </w:rPr>
        <w:t xml:space="preserve"> </w:t>
      </w:r>
      <w:r>
        <w:rPr>
          <w:color w:val="1F2023"/>
        </w:rPr>
        <w:t>health</w:t>
      </w:r>
      <w:r>
        <w:rPr>
          <w:color w:val="1F2023"/>
          <w:spacing w:val="-6"/>
        </w:rPr>
        <w:t xml:space="preserve"> </w:t>
      </w:r>
      <w:r>
        <w:rPr>
          <w:color w:val="1F2023"/>
        </w:rPr>
        <w:t>services</w:t>
      </w:r>
      <w:r>
        <w:rPr>
          <w:color w:val="1F2023"/>
          <w:spacing w:val="-8"/>
        </w:rPr>
        <w:t xml:space="preserve"> </w:t>
      </w:r>
      <w:r>
        <w:rPr>
          <w:color w:val="1F2023"/>
        </w:rPr>
        <w:t xml:space="preserve">were </w:t>
      </w:r>
      <w:bookmarkStart w:id="899" w:name="_bookmark711"/>
      <w:bookmarkEnd w:id="899"/>
      <w:r>
        <w:rPr>
          <w:color w:val="1F2023"/>
        </w:rPr>
        <w:t>a</w:t>
      </w:r>
      <w:r>
        <w:rPr>
          <w:color w:val="1F2023"/>
        </w:rPr>
        <w:t>ccessible</w:t>
      </w:r>
      <w:r>
        <w:rPr>
          <w:color w:val="1F2023"/>
          <w:spacing w:val="-7"/>
        </w:rPr>
        <w:t xml:space="preserve"> </w:t>
      </w:r>
      <w:r>
        <w:rPr>
          <w:color w:val="1F2023"/>
        </w:rPr>
        <w:t>to</w:t>
      </w:r>
      <w:r>
        <w:rPr>
          <w:color w:val="1F2023"/>
          <w:spacing w:val="-4"/>
        </w:rPr>
        <w:t xml:space="preserve"> </w:t>
      </w:r>
      <w:r>
        <w:rPr>
          <w:color w:val="1F2023"/>
        </w:rPr>
        <w:t>immigrants</w:t>
      </w:r>
      <w:r>
        <w:rPr>
          <w:color w:val="1F2023"/>
          <w:spacing w:val="-5"/>
        </w:rPr>
        <w:t xml:space="preserve"> </w:t>
      </w:r>
      <w:r>
        <w:rPr>
          <w:color w:val="1F2023"/>
        </w:rPr>
        <w:t>with</w:t>
      </w:r>
      <w:r>
        <w:rPr>
          <w:color w:val="1F2023"/>
          <w:spacing w:val="-6"/>
        </w:rPr>
        <w:t xml:space="preserve"> </w:t>
      </w:r>
      <w:r>
        <w:rPr>
          <w:color w:val="1F2023"/>
        </w:rPr>
        <w:t>limited</w:t>
      </w:r>
      <w:r>
        <w:rPr>
          <w:color w:val="1F2023"/>
          <w:spacing w:val="-6"/>
        </w:rPr>
        <w:t xml:space="preserve"> </w:t>
      </w:r>
      <w:r>
        <w:rPr>
          <w:color w:val="1F2023"/>
        </w:rPr>
        <w:t>English</w:t>
      </w:r>
      <w:r>
        <w:rPr>
          <w:color w:val="1F2023"/>
          <w:spacing w:val="-6"/>
        </w:rPr>
        <w:t xml:space="preserve"> </w:t>
      </w:r>
      <w:r>
        <w:rPr>
          <w:color w:val="1F2023"/>
        </w:rPr>
        <w:t>language</w:t>
      </w:r>
      <w:r>
        <w:rPr>
          <w:color w:val="1F2023"/>
          <w:spacing w:val="-7"/>
        </w:rPr>
        <w:t xml:space="preserve"> </w:t>
      </w:r>
      <w:r>
        <w:rPr>
          <w:color w:val="1F2023"/>
        </w:rPr>
        <w:t>proficiency.</w:t>
      </w:r>
      <w:r>
        <w:rPr>
          <w:color w:val="1F2023"/>
          <w:spacing w:val="-6"/>
        </w:rPr>
        <w:t xml:space="preserve"> </w:t>
      </w:r>
      <w:r>
        <w:rPr>
          <w:color w:val="1F2023"/>
        </w:rPr>
        <w:t>Providers</w:t>
      </w:r>
      <w:r>
        <w:rPr>
          <w:color w:val="1F2023"/>
          <w:spacing w:val="-5"/>
        </w:rPr>
        <w:t xml:space="preserve"> </w:t>
      </w:r>
      <w:r>
        <w:rPr>
          <w:color w:val="1F2023"/>
        </w:rPr>
        <w:t>indicated</w:t>
      </w:r>
      <w:r>
        <w:rPr>
          <w:color w:val="1F2023"/>
          <w:spacing w:val="-6"/>
        </w:rPr>
        <w:t xml:space="preserve"> </w:t>
      </w:r>
      <w:r>
        <w:rPr>
          <w:color w:val="1F2023"/>
        </w:rPr>
        <w:t>the</w:t>
      </w:r>
      <w:r>
        <w:rPr>
          <w:color w:val="1F2023"/>
          <w:spacing w:val="-7"/>
        </w:rPr>
        <w:t xml:space="preserve"> </w:t>
      </w:r>
      <w:r>
        <w:rPr>
          <w:color w:val="1F2023"/>
        </w:rPr>
        <w:t>importance</w:t>
      </w:r>
      <w:r>
        <w:rPr>
          <w:color w:val="1F2023"/>
          <w:spacing w:val="-7"/>
        </w:rPr>
        <w:t xml:space="preserve"> </w:t>
      </w:r>
      <w:r>
        <w:rPr>
          <w:color w:val="1F2023"/>
        </w:rPr>
        <w:t xml:space="preserve">of </w:t>
      </w:r>
      <w:bookmarkStart w:id="900" w:name="_bookmark712"/>
      <w:bookmarkEnd w:id="900"/>
      <w:r>
        <w:rPr>
          <w:color w:val="1F2023"/>
        </w:rPr>
        <w:t>understanding</w:t>
      </w:r>
      <w:r>
        <w:rPr>
          <w:color w:val="1F2023"/>
          <w:spacing w:val="-13"/>
        </w:rPr>
        <w:t xml:space="preserve"> </w:t>
      </w:r>
      <w:r>
        <w:rPr>
          <w:color w:val="1F2023"/>
        </w:rPr>
        <w:t>the</w:t>
      </w:r>
      <w:r>
        <w:rPr>
          <w:color w:val="1F2023"/>
          <w:spacing w:val="-12"/>
        </w:rPr>
        <w:t xml:space="preserve"> </w:t>
      </w:r>
      <w:r>
        <w:rPr>
          <w:color w:val="1F2023"/>
        </w:rPr>
        <w:t>particular</w:t>
      </w:r>
      <w:r>
        <w:rPr>
          <w:color w:val="1F2023"/>
          <w:spacing w:val="-13"/>
        </w:rPr>
        <w:t xml:space="preserve"> </w:t>
      </w:r>
      <w:r>
        <w:rPr>
          <w:color w:val="1F2023"/>
        </w:rPr>
        <w:t>challenges</w:t>
      </w:r>
      <w:r>
        <w:rPr>
          <w:color w:val="1F2023"/>
          <w:spacing w:val="-12"/>
        </w:rPr>
        <w:t xml:space="preserve"> </w:t>
      </w:r>
      <w:r>
        <w:rPr>
          <w:color w:val="1F2023"/>
        </w:rPr>
        <w:t>faced</w:t>
      </w:r>
      <w:r>
        <w:rPr>
          <w:color w:val="1F2023"/>
          <w:spacing w:val="-13"/>
        </w:rPr>
        <w:t xml:space="preserve"> </w:t>
      </w:r>
      <w:r>
        <w:rPr>
          <w:color w:val="1F2023"/>
        </w:rPr>
        <w:t>by</w:t>
      </w:r>
      <w:r>
        <w:rPr>
          <w:color w:val="1F2023"/>
          <w:spacing w:val="-12"/>
        </w:rPr>
        <w:t xml:space="preserve"> </w:t>
      </w:r>
      <w:r>
        <w:rPr>
          <w:color w:val="1F2023"/>
        </w:rPr>
        <w:t>LGBTQ</w:t>
      </w:r>
      <w:r>
        <w:rPr>
          <w:color w:val="1F2023"/>
          <w:spacing w:val="-13"/>
        </w:rPr>
        <w:t xml:space="preserve"> </w:t>
      </w:r>
      <w:r>
        <w:rPr>
          <w:color w:val="1F2023"/>
        </w:rPr>
        <w:t>immigrants</w:t>
      </w:r>
      <w:r>
        <w:rPr>
          <w:color w:val="1F2023"/>
          <w:spacing w:val="-12"/>
        </w:rPr>
        <w:t xml:space="preserve"> </w:t>
      </w:r>
      <w:r>
        <w:rPr>
          <w:color w:val="1F2023"/>
        </w:rPr>
        <w:t>in</w:t>
      </w:r>
      <w:r>
        <w:rPr>
          <w:color w:val="1F2023"/>
          <w:spacing w:val="-12"/>
        </w:rPr>
        <w:t xml:space="preserve"> </w:t>
      </w:r>
      <w:r>
        <w:rPr>
          <w:color w:val="1F2023"/>
        </w:rPr>
        <w:t>relation</w:t>
      </w:r>
      <w:r>
        <w:rPr>
          <w:color w:val="1F2023"/>
          <w:spacing w:val="-13"/>
        </w:rPr>
        <w:t xml:space="preserve"> </w:t>
      </w:r>
      <w:r>
        <w:rPr>
          <w:color w:val="1F2023"/>
        </w:rPr>
        <w:t>to</w:t>
      </w:r>
      <w:r>
        <w:rPr>
          <w:color w:val="1F2023"/>
          <w:spacing w:val="-12"/>
        </w:rPr>
        <w:t xml:space="preserve"> </w:t>
      </w:r>
      <w:r>
        <w:rPr>
          <w:color w:val="1F2023"/>
        </w:rPr>
        <w:t>their</w:t>
      </w:r>
      <w:r>
        <w:rPr>
          <w:color w:val="1F2023"/>
          <w:spacing w:val="-13"/>
        </w:rPr>
        <w:t xml:space="preserve"> </w:t>
      </w:r>
      <w:r>
        <w:rPr>
          <w:color w:val="1F2023"/>
        </w:rPr>
        <w:t>mental</w:t>
      </w:r>
      <w:r>
        <w:rPr>
          <w:color w:val="1F2023"/>
          <w:spacing w:val="-12"/>
        </w:rPr>
        <w:t xml:space="preserve"> </w:t>
      </w:r>
      <w:r>
        <w:rPr>
          <w:color w:val="1F2023"/>
        </w:rPr>
        <w:t>health</w:t>
      </w:r>
      <w:r>
        <w:rPr>
          <w:color w:val="1F2023"/>
          <w:spacing w:val="-13"/>
        </w:rPr>
        <w:t xml:space="preserve"> </w:t>
      </w:r>
      <w:r>
        <w:rPr>
          <w:color w:val="1F2023"/>
        </w:rPr>
        <w:t xml:space="preserve">such </w:t>
      </w:r>
      <w:r>
        <w:rPr>
          <w:color w:val="1F2023"/>
          <w:spacing w:val="-2"/>
        </w:rPr>
        <w:t>as trauma, substance</w:t>
      </w:r>
      <w:r>
        <w:rPr>
          <w:color w:val="1F2023"/>
          <w:spacing w:val="-4"/>
        </w:rPr>
        <w:t xml:space="preserve"> </w:t>
      </w:r>
      <w:r>
        <w:rPr>
          <w:color w:val="1F2023"/>
          <w:spacing w:val="-2"/>
        </w:rPr>
        <w:t>and</w:t>
      </w:r>
      <w:r>
        <w:rPr>
          <w:color w:val="1F2023"/>
          <w:spacing w:val="-3"/>
        </w:rPr>
        <w:t xml:space="preserve"> </w:t>
      </w:r>
      <w:r>
        <w:rPr>
          <w:color w:val="1F2023"/>
          <w:spacing w:val="-2"/>
        </w:rPr>
        <w:t>drug</w:t>
      </w:r>
      <w:r>
        <w:rPr>
          <w:color w:val="1F2023"/>
          <w:spacing w:val="-3"/>
        </w:rPr>
        <w:t xml:space="preserve"> </w:t>
      </w:r>
      <w:r>
        <w:rPr>
          <w:color w:val="1F2023"/>
          <w:spacing w:val="-2"/>
        </w:rPr>
        <w:t>abuse, domestic</w:t>
      </w:r>
      <w:r>
        <w:rPr>
          <w:color w:val="1F2023"/>
          <w:spacing w:val="-4"/>
        </w:rPr>
        <w:t xml:space="preserve"> </w:t>
      </w:r>
      <w:r>
        <w:rPr>
          <w:color w:val="1F2023"/>
          <w:spacing w:val="-2"/>
        </w:rPr>
        <w:t>violence, sexual abuse,</w:t>
      </w:r>
      <w:r>
        <w:rPr>
          <w:color w:val="1F2023"/>
          <w:spacing w:val="-4"/>
        </w:rPr>
        <w:t xml:space="preserve"> </w:t>
      </w:r>
      <w:r>
        <w:rPr>
          <w:color w:val="1F2023"/>
          <w:spacing w:val="-2"/>
        </w:rPr>
        <w:t>hate</w:t>
      </w:r>
      <w:r>
        <w:rPr>
          <w:color w:val="1F2023"/>
          <w:spacing w:val="-4"/>
        </w:rPr>
        <w:t xml:space="preserve"> </w:t>
      </w:r>
      <w:r>
        <w:rPr>
          <w:color w:val="1F2023"/>
          <w:spacing w:val="-2"/>
        </w:rPr>
        <w:t>crimes, coming</w:t>
      </w:r>
      <w:r>
        <w:rPr>
          <w:color w:val="1F2023"/>
          <w:spacing w:val="-6"/>
        </w:rPr>
        <w:t xml:space="preserve"> </w:t>
      </w:r>
      <w:r>
        <w:rPr>
          <w:color w:val="1F2023"/>
          <w:spacing w:val="-2"/>
        </w:rPr>
        <w:t>out,</w:t>
      </w:r>
      <w:r>
        <w:rPr>
          <w:color w:val="1F2023"/>
          <w:spacing w:val="-4"/>
        </w:rPr>
        <w:t xml:space="preserve"> </w:t>
      </w:r>
      <w:r>
        <w:rPr>
          <w:color w:val="1F2023"/>
          <w:spacing w:val="-2"/>
        </w:rPr>
        <w:t>and</w:t>
      </w:r>
      <w:r>
        <w:rPr>
          <w:color w:val="1F2023"/>
          <w:spacing w:val="-3"/>
        </w:rPr>
        <w:t xml:space="preserve"> </w:t>
      </w:r>
      <w:r>
        <w:rPr>
          <w:color w:val="1F2023"/>
          <w:spacing w:val="-2"/>
        </w:rPr>
        <w:t xml:space="preserve">being </w:t>
      </w:r>
      <w:bookmarkStart w:id="901" w:name="_bookmark713"/>
      <w:bookmarkEnd w:id="901"/>
      <w:r>
        <w:rPr>
          <w:color w:val="1F2023"/>
          <w:spacing w:val="-2"/>
        </w:rPr>
        <w:t>transgender.</w:t>
      </w:r>
      <w:hyperlink w:anchor="_bookmark761" w:history="1">
        <w:r>
          <w:rPr>
            <w:color w:val="1F2023"/>
            <w:spacing w:val="-2"/>
            <w:vertAlign w:val="superscript"/>
          </w:rPr>
          <w:t>52</w:t>
        </w:r>
      </w:hyperlink>
    </w:p>
    <w:p w:rsidR="00200FDA" w:rsidRDefault="00200FDA">
      <w:pPr>
        <w:pStyle w:val="BodyText"/>
        <w:spacing w:before="11"/>
        <w:rPr>
          <w:sz w:val="21"/>
        </w:rPr>
      </w:pPr>
    </w:p>
    <w:p w:rsidR="00200FDA" w:rsidRDefault="00F76C4C">
      <w:pPr>
        <w:pStyle w:val="Heading8"/>
        <w:spacing w:before="1"/>
      </w:pPr>
      <w:bookmarkStart w:id="902" w:name="Legal_&amp;_Employment_Services"/>
      <w:bookmarkStart w:id="903" w:name="_bookmark714"/>
      <w:bookmarkStart w:id="904" w:name="_bookmark715"/>
      <w:bookmarkEnd w:id="902"/>
      <w:bookmarkEnd w:id="903"/>
      <w:bookmarkEnd w:id="904"/>
      <w:r>
        <w:rPr>
          <w:color w:val="0A5293"/>
        </w:rPr>
        <w:t>Legal</w:t>
      </w:r>
      <w:r>
        <w:rPr>
          <w:color w:val="0A5293"/>
          <w:spacing w:val="-2"/>
        </w:rPr>
        <w:t xml:space="preserve"> </w:t>
      </w:r>
      <w:r>
        <w:rPr>
          <w:color w:val="0A5293"/>
        </w:rPr>
        <w:t>&amp;</w:t>
      </w:r>
      <w:r>
        <w:rPr>
          <w:color w:val="0A5293"/>
          <w:spacing w:val="-2"/>
        </w:rPr>
        <w:t xml:space="preserve"> </w:t>
      </w:r>
      <w:r>
        <w:rPr>
          <w:color w:val="0A5293"/>
        </w:rPr>
        <w:t xml:space="preserve">Employment </w:t>
      </w:r>
      <w:r>
        <w:rPr>
          <w:color w:val="0A5293"/>
          <w:spacing w:val="-2"/>
        </w:rPr>
        <w:t>Services</w:t>
      </w:r>
    </w:p>
    <w:p w:rsidR="00200FDA" w:rsidRDefault="00200FDA">
      <w:pPr>
        <w:pStyle w:val="BodyText"/>
        <w:spacing w:before="4"/>
        <w:rPr>
          <w:sz w:val="25"/>
        </w:rPr>
      </w:pPr>
    </w:p>
    <w:p w:rsidR="00200FDA" w:rsidRDefault="00F76C4C">
      <w:pPr>
        <w:pStyle w:val="BodyText"/>
        <w:spacing w:line="276" w:lineRule="auto"/>
        <w:ind w:left="139" w:right="131"/>
        <w:jc w:val="both"/>
      </w:pPr>
      <w:bookmarkStart w:id="905" w:name="_bookmark716"/>
      <w:bookmarkEnd w:id="905"/>
      <w:r>
        <w:t>Research demonstrates that, whether they are seeking asylum or involved in other sorts of legal action, immigrants</w:t>
      </w:r>
      <w:r>
        <w:rPr>
          <w:spacing w:val="-9"/>
        </w:rPr>
        <w:t xml:space="preserve"> </w:t>
      </w:r>
      <w:r>
        <w:t>represented</w:t>
      </w:r>
      <w:r>
        <w:rPr>
          <w:spacing w:val="-10"/>
        </w:rPr>
        <w:t xml:space="preserve"> </w:t>
      </w:r>
      <w:r>
        <w:t>by</w:t>
      </w:r>
      <w:r>
        <w:rPr>
          <w:spacing w:val="-11"/>
        </w:rPr>
        <w:t xml:space="preserve"> </w:t>
      </w:r>
      <w:r>
        <w:t>legal</w:t>
      </w:r>
      <w:r>
        <w:rPr>
          <w:spacing w:val="-9"/>
        </w:rPr>
        <w:t xml:space="preserve"> </w:t>
      </w:r>
      <w:r>
        <w:t>counsel</w:t>
      </w:r>
      <w:r>
        <w:rPr>
          <w:spacing w:val="-12"/>
        </w:rPr>
        <w:t xml:space="preserve"> </w:t>
      </w:r>
      <w:r>
        <w:t>are</w:t>
      </w:r>
      <w:r>
        <w:rPr>
          <w:spacing w:val="-11"/>
        </w:rPr>
        <w:t xml:space="preserve"> </w:t>
      </w:r>
      <w:r>
        <w:t>more</w:t>
      </w:r>
      <w:r>
        <w:rPr>
          <w:spacing w:val="-11"/>
        </w:rPr>
        <w:t xml:space="preserve"> </w:t>
      </w:r>
      <w:r>
        <w:t>likely</w:t>
      </w:r>
      <w:r>
        <w:rPr>
          <w:spacing w:val="-8"/>
        </w:rPr>
        <w:t xml:space="preserve"> </w:t>
      </w:r>
      <w:r>
        <w:t>to</w:t>
      </w:r>
      <w:r>
        <w:rPr>
          <w:spacing w:val="-10"/>
        </w:rPr>
        <w:t xml:space="preserve"> </w:t>
      </w:r>
      <w:r>
        <w:t>win</w:t>
      </w:r>
      <w:r>
        <w:rPr>
          <w:spacing w:val="-12"/>
        </w:rPr>
        <w:t xml:space="preserve"> </w:t>
      </w:r>
      <w:r>
        <w:t>their</w:t>
      </w:r>
      <w:r>
        <w:rPr>
          <w:spacing w:val="-12"/>
        </w:rPr>
        <w:t xml:space="preserve"> </w:t>
      </w:r>
      <w:r>
        <w:t>cases</w:t>
      </w:r>
      <w:r>
        <w:rPr>
          <w:spacing w:val="-9"/>
        </w:rPr>
        <w:t xml:space="preserve"> </w:t>
      </w:r>
      <w:r>
        <w:t>in</w:t>
      </w:r>
      <w:r>
        <w:rPr>
          <w:spacing w:val="-12"/>
        </w:rPr>
        <w:t xml:space="preserve"> </w:t>
      </w:r>
      <w:r>
        <w:t>court.</w:t>
      </w:r>
      <w:r>
        <w:rPr>
          <w:spacing w:val="-9"/>
        </w:rPr>
        <w:t xml:space="preserve"> </w:t>
      </w:r>
      <w:r>
        <w:t>More</w:t>
      </w:r>
      <w:r>
        <w:rPr>
          <w:spacing w:val="-11"/>
        </w:rPr>
        <w:t xml:space="preserve"> </w:t>
      </w:r>
      <w:r>
        <w:t>specifically,</w:t>
      </w:r>
      <w:r>
        <w:rPr>
          <w:spacing w:val="-11"/>
        </w:rPr>
        <w:t xml:space="preserve"> </w:t>
      </w:r>
      <w:r>
        <w:t xml:space="preserve">they </w:t>
      </w:r>
      <w:bookmarkStart w:id="906" w:name="_bookmark717"/>
      <w:bookmarkEnd w:id="906"/>
      <w:r>
        <w:t>are nearly six times more likely to prevail in court than immigrants lacking representation.</w:t>
      </w:r>
      <w:hyperlink w:anchor="_bookmark762" w:history="1">
        <w:r>
          <w:rPr>
            <w:vertAlign w:val="superscript"/>
          </w:rPr>
          <w:t>53</w:t>
        </w:r>
      </w:hyperlink>
      <w:r>
        <w:rPr>
          <w:spacing w:val="-2"/>
        </w:rPr>
        <w:t xml:space="preserve"> </w:t>
      </w:r>
      <w:r>
        <w:t xml:space="preserve">Immigrants </w:t>
      </w:r>
      <w:bookmarkStart w:id="907" w:name="_bookmark718"/>
      <w:bookmarkEnd w:id="907"/>
      <w:r>
        <w:t>in Massachusetts are</w:t>
      </w:r>
      <w:r>
        <w:t xml:space="preserve"> six times more likely to win a deportation case if they have legal representation; </w:t>
      </w:r>
      <w:bookmarkStart w:id="908" w:name="_bookmark719"/>
      <w:bookmarkEnd w:id="908"/>
      <w:r>
        <w:t>62% win their cases when they have representation compared with 10% when they do not.</w:t>
      </w:r>
      <w:hyperlink w:anchor="_bookmark763" w:history="1">
        <w:r>
          <w:rPr>
            <w:vertAlign w:val="superscript"/>
          </w:rPr>
          <w:t>54</w:t>
        </w:r>
      </w:hyperlink>
    </w:p>
    <w:p w:rsidR="00200FDA" w:rsidRDefault="00F76C4C">
      <w:pPr>
        <w:pStyle w:val="BodyText"/>
        <w:spacing w:before="119" w:line="276" w:lineRule="auto"/>
        <w:ind w:left="139" w:right="135"/>
        <w:jc w:val="both"/>
      </w:pPr>
      <w:bookmarkStart w:id="909" w:name="_bookmark720"/>
      <w:bookmarkEnd w:id="909"/>
      <w:r>
        <w:t>Many</w:t>
      </w:r>
      <w:r>
        <w:rPr>
          <w:spacing w:val="-3"/>
        </w:rPr>
        <w:t xml:space="preserve"> </w:t>
      </w:r>
      <w:r>
        <w:t>immigration</w:t>
      </w:r>
      <w:r>
        <w:rPr>
          <w:spacing w:val="-4"/>
        </w:rPr>
        <w:t xml:space="preserve"> </w:t>
      </w:r>
      <w:r>
        <w:t>organizations</w:t>
      </w:r>
      <w:r>
        <w:rPr>
          <w:spacing w:val="-3"/>
        </w:rPr>
        <w:t xml:space="preserve"> </w:t>
      </w:r>
      <w:r>
        <w:t>in</w:t>
      </w:r>
      <w:r>
        <w:rPr>
          <w:spacing w:val="-4"/>
        </w:rPr>
        <w:t xml:space="preserve"> </w:t>
      </w:r>
      <w:r>
        <w:t>the</w:t>
      </w:r>
      <w:r>
        <w:rPr>
          <w:spacing w:val="-3"/>
        </w:rPr>
        <w:t xml:space="preserve"> </w:t>
      </w:r>
      <w:r>
        <w:t>New</w:t>
      </w:r>
      <w:r>
        <w:rPr>
          <w:spacing w:val="-3"/>
        </w:rPr>
        <w:t xml:space="preserve"> </w:t>
      </w:r>
      <w:r>
        <w:t>England</w:t>
      </w:r>
      <w:r>
        <w:rPr>
          <w:spacing w:val="-4"/>
        </w:rPr>
        <w:t xml:space="preserve"> </w:t>
      </w:r>
      <w:r>
        <w:t>area</w:t>
      </w:r>
      <w:r>
        <w:rPr>
          <w:spacing w:val="-3"/>
        </w:rPr>
        <w:t xml:space="preserve"> </w:t>
      </w:r>
      <w:r>
        <w:t>offer</w:t>
      </w:r>
      <w:r>
        <w:rPr>
          <w:spacing w:val="-3"/>
        </w:rPr>
        <w:t xml:space="preserve"> </w:t>
      </w:r>
      <w:r>
        <w:t>a</w:t>
      </w:r>
      <w:r>
        <w:rPr>
          <w:spacing w:val="-6"/>
        </w:rPr>
        <w:t xml:space="preserve"> </w:t>
      </w:r>
      <w:r>
        <w:t>variety</w:t>
      </w:r>
      <w:r>
        <w:rPr>
          <w:spacing w:val="-3"/>
        </w:rPr>
        <w:t xml:space="preserve"> </w:t>
      </w:r>
      <w:r>
        <w:t>of</w:t>
      </w:r>
      <w:r>
        <w:rPr>
          <w:spacing w:val="-3"/>
        </w:rPr>
        <w:t xml:space="preserve"> </w:t>
      </w:r>
      <w:r>
        <w:t>legal</w:t>
      </w:r>
      <w:r>
        <w:rPr>
          <w:spacing w:val="-6"/>
        </w:rPr>
        <w:t xml:space="preserve"> </w:t>
      </w:r>
      <w:r>
        <w:t>services,</w:t>
      </w:r>
      <w:r>
        <w:rPr>
          <w:spacing w:val="-3"/>
        </w:rPr>
        <w:t xml:space="preserve"> </w:t>
      </w:r>
      <w:r>
        <w:t>including</w:t>
      </w:r>
      <w:r>
        <w:rPr>
          <w:spacing w:val="-3"/>
        </w:rPr>
        <w:t xml:space="preserve"> </w:t>
      </w:r>
      <w:r>
        <w:t xml:space="preserve">DACA and naturalization applications, family-based immigration, visas for victims of certain crimes, detention </w:t>
      </w:r>
      <w:bookmarkStart w:id="910" w:name="_bookmark721"/>
      <w:bookmarkStart w:id="911" w:name="_bookmark722"/>
      <w:bookmarkEnd w:id="910"/>
      <w:bookmarkEnd w:id="911"/>
      <w:r>
        <w:t>representation, and work permit renewals.</w:t>
      </w:r>
      <w:hyperlink w:anchor="_bookmark764" w:history="1">
        <w:r>
          <w:rPr>
            <w:vertAlign w:val="superscript"/>
          </w:rPr>
          <w:t>55</w:t>
        </w:r>
      </w:hyperlink>
      <w:r>
        <w:rPr>
          <w:spacing w:val="-2"/>
        </w:rPr>
        <w:t xml:space="preserve"> </w:t>
      </w:r>
      <w:r>
        <w:t>However, it is esse</w:t>
      </w:r>
      <w:r>
        <w:t>ntial that legal resources also advertise LGBTQ-specific</w:t>
      </w:r>
      <w:r>
        <w:rPr>
          <w:spacing w:val="-4"/>
        </w:rPr>
        <w:t xml:space="preserve"> </w:t>
      </w:r>
      <w:r>
        <w:t>legal</w:t>
      </w:r>
      <w:r>
        <w:rPr>
          <w:spacing w:val="-2"/>
        </w:rPr>
        <w:t xml:space="preserve"> </w:t>
      </w:r>
      <w:r>
        <w:t>resources,</w:t>
      </w:r>
      <w:r>
        <w:rPr>
          <w:spacing w:val="-4"/>
        </w:rPr>
        <w:t xml:space="preserve"> </w:t>
      </w:r>
      <w:r>
        <w:t>as</w:t>
      </w:r>
      <w:r>
        <w:rPr>
          <w:spacing w:val="-4"/>
        </w:rPr>
        <w:t xml:space="preserve"> </w:t>
      </w:r>
      <w:r>
        <w:t>LGBTQ</w:t>
      </w:r>
      <w:r>
        <w:rPr>
          <w:spacing w:val="-2"/>
        </w:rPr>
        <w:t xml:space="preserve"> </w:t>
      </w:r>
      <w:r>
        <w:t>immigrants</w:t>
      </w:r>
      <w:r>
        <w:rPr>
          <w:spacing w:val="-4"/>
        </w:rPr>
        <w:t xml:space="preserve"> </w:t>
      </w:r>
      <w:r>
        <w:t>often</w:t>
      </w:r>
      <w:r>
        <w:rPr>
          <w:spacing w:val="-5"/>
        </w:rPr>
        <w:t xml:space="preserve"> </w:t>
      </w:r>
      <w:r>
        <w:t>lack</w:t>
      </w:r>
      <w:r>
        <w:rPr>
          <w:spacing w:val="-4"/>
        </w:rPr>
        <w:t xml:space="preserve"> </w:t>
      </w:r>
      <w:r>
        <w:t>access</w:t>
      </w:r>
      <w:r>
        <w:rPr>
          <w:spacing w:val="-4"/>
        </w:rPr>
        <w:t xml:space="preserve"> </w:t>
      </w:r>
      <w:r>
        <w:t>to</w:t>
      </w:r>
      <w:r>
        <w:rPr>
          <w:spacing w:val="-1"/>
        </w:rPr>
        <w:t xml:space="preserve"> </w:t>
      </w:r>
      <w:r>
        <w:t>counsel,</w:t>
      </w:r>
      <w:r>
        <w:rPr>
          <w:spacing w:val="-2"/>
        </w:rPr>
        <w:t xml:space="preserve"> </w:t>
      </w:r>
      <w:r>
        <w:t>as</w:t>
      </w:r>
      <w:r>
        <w:rPr>
          <w:spacing w:val="-4"/>
        </w:rPr>
        <w:t xml:space="preserve"> </w:t>
      </w:r>
      <w:r>
        <w:t>well</w:t>
      </w:r>
      <w:r>
        <w:rPr>
          <w:spacing w:val="-5"/>
        </w:rPr>
        <w:t xml:space="preserve"> </w:t>
      </w:r>
      <w:r>
        <w:t>as</w:t>
      </w:r>
      <w:r>
        <w:rPr>
          <w:spacing w:val="-2"/>
        </w:rPr>
        <w:t xml:space="preserve"> </w:t>
      </w:r>
      <w:r>
        <w:t xml:space="preserve">immigration </w:t>
      </w:r>
      <w:bookmarkStart w:id="912" w:name="_bookmark723"/>
      <w:bookmarkEnd w:id="912"/>
      <w:r>
        <w:t xml:space="preserve">assistance, to protect themselves against discrimination and bias in areas of housing, employment, and </w:t>
      </w:r>
      <w:bookmarkStart w:id="913" w:name="_bookmark724"/>
      <w:bookmarkStart w:id="914" w:name="_bookmark725"/>
      <w:bookmarkEnd w:id="913"/>
      <w:bookmarkEnd w:id="914"/>
      <w:r>
        <w:t>family</w:t>
      </w:r>
      <w:r>
        <w:t xml:space="preserve"> recognition.</w:t>
      </w:r>
    </w:p>
    <w:p w:rsidR="00200FDA" w:rsidRDefault="00F76C4C">
      <w:pPr>
        <w:pStyle w:val="BodyText"/>
        <w:spacing w:before="119" w:line="276" w:lineRule="auto"/>
        <w:ind w:left="139" w:right="135"/>
        <w:jc w:val="both"/>
      </w:pPr>
      <w:r>
        <w:t>Furthermore,</w:t>
      </w:r>
      <w:r>
        <w:rPr>
          <w:spacing w:val="-4"/>
        </w:rPr>
        <w:t xml:space="preserve"> </w:t>
      </w:r>
      <w:r>
        <w:t>there</w:t>
      </w:r>
      <w:r>
        <w:rPr>
          <w:spacing w:val="-2"/>
        </w:rPr>
        <w:t xml:space="preserve"> </w:t>
      </w:r>
      <w:r>
        <w:t>are</w:t>
      </w:r>
      <w:r>
        <w:rPr>
          <w:spacing w:val="-2"/>
        </w:rPr>
        <w:t xml:space="preserve"> </w:t>
      </w:r>
      <w:r>
        <w:t>a</w:t>
      </w:r>
      <w:r>
        <w:rPr>
          <w:spacing w:val="-2"/>
        </w:rPr>
        <w:t xml:space="preserve"> </w:t>
      </w:r>
      <w:r>
        <w:t>number</w:t>
      </w:r>
      <w:r>
        <w:rPr>
          <w:spacing w:val="-4"/>
        </w:rPr>
        <w:t xml:space="preserve"> </w:t>
      </w:r>
      <w:r>
        <w:t>of</w:t>
      </w:r>
      <w:r>
        <w:rPr>
          <w:spacing w:val="-2"/>
        </w:rPr>
        <w:t xml:space="preserve"> </w:t>
      </w:r>
      <w:r>
        <w:t>barriers</w:t>
      </w:r>
      <w:r>
        <w:rPr>
          <w:spacing w:val="-4"/>
        </w:rPr>
        <w:t xml:space="preserve"> </w:t>
      </w:r>
      <w:r>
        <w:t>that</w:t>
      </w:r>
      <w:r>
        <w:rPr>
          <w:spacing w:val="-4"/>
        </w:rPr>
        <w:t xml:space="preserve"> </w:t>
      </w:r>
      <w:r>
        <w:t>LGBTQ</w:t>
      </w:r>
      <w:r>
        <w:rPr>
          <w:spacing w:val="-2"/>
        </w:rPr>
        <w:t xml:space="preserve"> </w:t>
      </w:r>
      <w:r>
        <w:t>foreign-born</w:t>
      </w:r>
      <w:r>
        <w:rPr>
          <w:spacing w:val="-5"/>
        </w:rPr>
        <w:t xml:space="preserve"> </w:t>
      </w:r>
      <w:r>
        <w:t>youth</w:t>
      </w:r>
      <w:r>
        <w:rPr>
          <w:spacing w:val="-3"/>
        </w:rPr>
        <w:t xml:space="preserve"> </w:t>
      </w:r>
      <w:r>
        <w:t>encounter</w:t>
      </w:r>
      <w:r>
        <w:rPr>
          <w:spacing w:val="-4"/>
        </w:rPr>
        <w:t xml:space="preserve"> </w:t>
      </w:r>
      <w:r>
        <w:t>when</w:t>
      </w:r>
      <w:r>
        <w:rPr>
          <w:spacing w:val="-3"/>
        </w:rPr>
        <w:t xml:space="preserve"> </w:t>
      </w:r>
      <w:r>
        <w:t xml:space="preserve">attempting </w:t>
      </w:r>
      <w:bookmarkStart w:id="915" w:name="_bookmark726"/>
      <w:bookmarkEnd w:id="915"/>
      <w:r>
        <w:t xml:space="preserve">to find employment which might include unfamiliarity with the U.S. job market; legal barriers, such as </w:t>
      </w:r>
      <w:bookmarkStart w:id="916" w:name="_bookmark727"/>
      <w:bookmarkEnd w:id="916"/>
      <w:r>
        <w:t>asylum</w:t>
      </w:r>
      <w:r>
        <w:rPr>
          <w:spacing w:val="-5"/>
        </w:rPr>
        <w:t xml:space="preserve"> </w:t>
      </w:r>
      <w:r>
        <w:t>seekers</w:t>
      </w:r>
      <w:r>
        <w:rPr>
          <w:spacing w:val="-4"/>
        </w:rPr>
        <w:t xml:space="preserve"> </w:t>
      </w:r>
      <w:r>
        <w:t>not</w:t>
      </w:r>
      <w:r>
        <w:rPr>
          <w:spacing w:val="-6"/>
        </w:rPr>
        <w:t xml:space="preserve"> </w:t>
      </w:r>
      <w:r>
        <w:t>being</w:t>
      </w:r>
      <w:r>
        <w:rPr>
          <w:spacing w:val="-7"/>
        </w:rPr>
        <w:t xml:space="preserve"> </w:t>
      </w:r>
      <w:r>
        <w:t>able</w:t>
      </w:r>
      <w:r>
        <w:rPr>
          <w:spacing w:val="-4"/>
        </w:rPr>
        <w:t xml:space="preserve"> </w:t>
      </w:r>
      <w:r>
        <w:t>to</w:t>
      </w:r>
      <w:r>
        <w:rPr>
          <w:spacing w:val="-5"/>
        </w:rPr>
        <w:t xml:space="preserve"> </w:t>
      </w:r>
      <w:r>
        <w:t>work</w:t>
      </w:r>
      <w:r>
        <w:rPr>
          <w:spacing w:val="-6"/>
        </w:rPr>
        <w:t xml:space="preserve"> </w:t>
      </w:r>
      <w:r>
        <w:t>for</w:t>
      </w:r>
      <w:r>
        <w:rPr>
          <w:spacing w:val="-7"/>
        </w:rPr>
        <w:t xml:space="preserve"> </w:t>
      </w:r>
      <w:r>
        <w:t>at</w:t>
      </w:r>
      <w:r>
        <w:rPr>
          <w:spacing w:val="-6"/>
        </w:rPr>
        <w:t xml:space="preserve"> </w:t>
      </w:r>
      <w:r>
        <w:t>least</w:t>
      </w:r>
      <w:r>
        <w:rPr>
          <w:spacing w:val="-6"/>
        </w:rPr>
        <w:t xml:space="preserve"> </w:t>
      </w:r>
      <w:r>
        <w:t>180</w:t>
      </w:r>
      <w:r>
        <w:rPr>
          <w:spacing w:val="-8"/>
        </w:rPr>
        <w:t xml:space="preserve"> </w:t>
      </w:r>
      <w:r>
        <w:t>days</w:t>
      </w:r>
      <w:r>
        <w:rPr>
          <w:spacing w:val="-4"/>
        </w:rPr>
        <w:t xml:space="preserve"> </w:t>
      </w:r>
      <w:r>
        <w:t>after</w:t>
      </w:r>
      <w:r>
        <w:rPr>
          <w:spacing w:val="-7"/>
        </w:rPr>
        <w:t xml:space="preserve"> </w:t>
      </w:r>
      <w:r>
        <w:t>arrival;</w:t>
      </w:r>
      <w:r>
        <w:rPr>
          <w:spacing w:val="-6"/>
        </w:rPr>
        <w:t xml:space="preserve"> </w:t>
      </w:r>
      <w:r>
        <w:t>lack</w:t>
      </w:r>
      <w:r>
        <w:rPr>
          <w:spacing w:val="-9"/>
        </w:rPr>
        <w:t xml:space="preserve"> </w:t>
      </w:r>
      <w:r>
        <w:t>of</w:t>
      </w:r>
      <w:r>
        <w:rPr>
          <w:spacing w:val="-5"/>
        </w:rPr>
        <w:t xml:space="preserve"> </w:t>
      </w:r>
      <w:r>
        <w:t>appropriate</w:t>
      </w:r>
      <w:r>
        <w:rPr>
          <w:spacing w:val="-6"/>
        </w:rPr>
        <w:t xml:space="preserve"> </w:t>
      </w:r>
      <w:r>
        <w:t>identification or</w:t>
      </w:r>
      <w:r>
        <w:rPr>
          <w:spacing w:val="-2"/>
        </w:rPr>
        <w:t xml:space="preserve"> </w:t>
      </w:r>
      <w:r>
        <w:t>legal</w:t>
      </w:r>
      <w:r>
        <w:rPr>
          <w:spacing w:val="-2"/>
        </w:rPr>
        <w:t xml:space="preserve"> </w:t>
      </w:r>
      <w:r>
        <w:t>documents;</w:t>
      </w:r>
      <w:r>
        <w:rPr>
          <w:spacing w:val="-1"/>
        </w:rPr>
        <w:t xml:space="preserve"> </w:t>
      </w:r>
      <w:r>
        <w:t>lack</w:t>
      </w:r>
      <w:r>
        <w:rPr>
          <w:spacing w:val="-1"/>
        </w:rPr>
        <w:t xml:space="preserve"> </w:t>
      </w:r>
      <w:r>
        <w:t>of</w:t>
      </w:r>
      <w:r>
        <w:rPr>
          <w:spacing w:val="-4"/>
        </w:rPr>
        <w:t xml:space="preserve"> </w:t>
      </w:r>
      <w:r>
        <w:t>stable</w:t>
      </w:r>
      <w:r>
        <w:rPr>
          <w:spacing w:val="-2"/>
        </w:rPr>
        <w:t xml:space="preserve"> </w:t>
      </w:r>
      <w:r>
        <w:t>housing</w:t>
      </w:r>
      <w:r>
        <w:rPr>
          <w:spacing w:val="-3"/>
        </w:rPr>
        <w:t xml:space="preserve"> </w:t>
      </w:r>
      <w:r>
        <w:t>or</w:t>
      </w:r>
      <w:r>
        <w:rPr>
          <w:spacing w:val="-2"/>
        </w:rPr>
        <w:t xml:space="preserve"> </w:t>
      </w:r>
      <w:r>
        <w:t>financial</w:t>
      </w:r>
      <w:r>
        <w:rPr>
          <w:spacing w:val="-5"/>
        </w:rPr>
        <w:t xml:space="preserve"> </w:t>
      </w:r>
      <w:r>
        <w:t>security;</w:t>
      </w:r>
      <w:r>
        <w:rPr>
          <w:spacing w:val="-1"/>
        </w:rPr>
        <w:t xml:space="preserve"> </w:t>
      </w:r>
      <w:r>
        <w:t>skills</w:t>
      </w:r>
      <w:r>
        <w:rPr>
          <w:spacing w:val="-4"/>
        </w:rPr>
        <w:t xml:space="preserve"> </w:t>
      </w:r>
      <w:r>
        <w:t>or</w:t>
      </w:r>
      <w:r>
        <w:rPr>
          <w:spacing w:val="-2"/>
        </w:rPr>
        <w:t xml:space="preserve"> </w:t>
      </w:r>
      <w:r>
        <w:t>certifications</w:t>
      </w:r>
      <w:r>
        <w:rPr>
          <w:spacing w:val="-2"/>
        </w:rPr>
        <w:t xml:space="preserve"> </w:t>
      </w:r>
      <w:r>
        <w:t>that</w:t>
      </w:r>
      <w:r>
        <w:rPr>
          <w:spacing w:val="-1"/>
        </w:rPr>
        <w:t xml:space="preserve"> </w:t>
      </w:r>
      <w:r>
        <w:t>do</w:t>
      </w:r>
      <w:r>
        <w:rPr>
          <w:spacing w:val="-1"/>
        </w:rPr>
        <w:t xml:space="preserve"> </w:t>
      </w:r>
      <w:r>
        <w:t>not</w:t>
      </w:r>
      <w:r>
        <w:rPr>
          <w:spacing w:val="-1"/>
        </w:rPr>
        <w:t xml:space="preserve"> </w:t>
      </w:r>
      <w:r>
        <w:t>transfer between</w:t>
      </w:r>
      <w:r>
        <w:rPr>
          <w:spacing w:val="18"/>
        </w:rPr>
        <w:t xml:space="preserve"> </w:t>
      </w:r>
      <w:r>
        <w:t>countries;</w:t>
      </w:r>
      <w:r>
        <w:rPr>
          <w:spacing w:val="17"/>
        </w:rPr>
        <w:t xml:space="preserve"> </w:t>
      </w:r>
      <w:r>
        <w:t>and</w:t>
      </w:r>
      <w:r>
        <w:rPr>
          <w:spacing w:val="18"/>
        </w:rPr>
        <w:t xml:space="preserve"> </w:t>
      </w:r>
      <w:r>
        <w:t>language</w:t>
      </w:r>
      <w:r>
        <w:rPr>
          <w:spacing w:val="19"/>
        </w:rPr>
        <w:t xml:space="preserve"> </w:t>
      </w:r>
      <w:r>
        <w:t>barriers.</w:t>
      </w:r>
      <w:r>
        <w:rPr>
          <w:spacing w:val="18"/>
        </w:rPr>
        <w:t xml:space="preserve"> </w:t>
      </w:r>
      <w:r>
        <w:t>Consequently,</w:t>
      </w:r>
      <w:r>
        <w:rPr>
          <w:spacing w:val="19"/>
        </w:rPr>
        <w:t xml:space="preserve"> </w:t>
      </w:r>
      <w:r>
        <w:t>when</w:t>
      </w:r>
      <w:r>
        <w:rPr>
          <w:spacing w:val="18"/>
        </w:rPr>
        <w:t xml:space="preserve"> </w:t>
      </w:r>
      <w:r>
        <w:t>foreign-born</w:t>
      </w:r>
      <w:r>
        <w:rPr>
          <w:spacing w:val="18"/>
        </w:rPr>
        <w:t xml:space="preserve"> </w:t>
      </w:r>
      <w:r>
        <w:t>youth</w:t>
      </w:r>
      <w:r>
        <w:rPr>
          <w:spacing w:val="18"/>
        </w:rPr>
        <w:t xml:space="preserve"> </w:t>
      </w:r>
      <w:r>
        <w:t>do</w:t>
      </w:r>
      <w:r>
        <w:rPr>
          <w:spacing w:val="20"/>
        </w:rPr>
        <w:t xml:space="preserve"> </w:t>
      </w:r>
      <w:r>
        <w:t>manage</w:t>
      </w:r>
      <w:r>
        <w:rPr>
          <w:spacing w:val="19"/>
        </w:rPr>
        <w:t xml:space="preserve"> </w:t>
      </w:r>
      <w:r>
        <w:t>to</w:t>
      </w:r>
      <w:r>
        <w:rPr>
          <w:spacing w:val="20"/>
        </w:rPr>
        <w:t xml:space="preserve"> </w:t>
      </w:r>
      <w:r>
        <w:t>find</w:t>
      </w:r>
    </w:p>
    <w:p w:rsidR="00200FDA" w:rsidRDefault="00200FDA">
      <w:pPr>
        <w:spacing w:line="276" w:lineRule="auto"/>
        <w:jc w:val="both"/>
        <w:sectPr w:rsidR="00200FDA">
          <w:pgSz w:w="12240" w:h="15840"/>
          <w:pgMar w:top="1360" w:right="1300" w:bottom="1240" w:left="1300" w:header="763" w:footer="1043" w:gutter="0"/>
          <w:cols w:space="720"/>
        </w:sectPr>
      </w:pPr>
    </w:p>
    <w:p w:rsidR="00200FDA" w:rsidRDefault="00F76C4C">
      <w:pPr>
        <w:pStyle w:val="BodyText"/>
        <w:spacing w:before="64" w:line="276" w:lineRule="auto"/>
        <w:ind w:left="140" w:right="131"/>
        <w:jc w:val="both"/>
      </w:pPr>
      <w:bookmarkStart w:id="917" w:name="_bookmark757"/>
      <w:bookmarkStart w:id="918" w:name="_bookmark756"/>
      <w:bookmarkStart w:id="919" w:name="_bookmark755"/>
      <w:bookmarkStart w:id="920" w:name="_bookmark754"/>
      <w:bookmarkStart w:id="921" w:name="_bookmark753"/>
      <w:bookmarkStart w:id="922" w:name="_bookmark752"/>
      <w:bookmarkStart w:id="923" w:name="_bookmark751"/>
      <w:bookmarkStart w:id="924" w:name="_bookmark750"/>
      <w:bookmarkStart w:id="925" w:name="_bookmark749"/>
      <w:bookmarkStart w:id="926" w:name="_bookmark728"/>
      <w:bookmarkEnd w:id="917"/>
      <w:bookmarkEnd w:id="918"/>
      <w:bookmarkEnd w:id="919"/>
      <w:bookmarkEnd w:id="920"/>
      <w:bookmarkEnd w:id="921"/>
      <w:bookmarkEnd w:id="922"/>
      <w:bookmarkEnd w:id="923"/>
      <w:bookmarkEnd w:id="924"/>
      <w:bookmarkEnd w:id="925"/>
      <w:bookmarkEnd w:id="926"/>
      <w:r>
        <w:lastRenderedPageBreak/>
        <w:t>work, they are often exploited by their employers and have few avenues for recourse, or choose not to report the exploitation for fear of being detained and/or deported.</w:t>
      </w:r>
      <w:hyperlink w:anchor="_bookmark765" w:history="1">
        <w:r>
          <w:rPr>
            <w:vertAlign w:val="superscript"/>
          </w:rPr>
          <w:t>56</w:t>
        </w:r>
      </w:hyperlink>
      <w:r>
        <w:rPr>
          <w:spacing w:val="-2"/>
        </w:rPr>
        <w:t xml:space="preserve"> </w:t>
      </w:r>
      <w:r>
        <w:t xml:space="preserve">The Commission recommends that when agencies, such as MassHire, provide job readiness and placement services they identify LGBTQ- </w:t>
      </w:r>
      <w:bookmarkStart w:id="927" w:name="_bookmark729"/>
      <w:bookmarkEnd w:id="927"/>
      <w:r>
        <w:t xml:space="preserve">friendly workplaces, and also ensure that LGBTQ foreign-born youth understand their legal rights and </w:t>
      </w:r>
      <w:bookmarkStart w:id="928" w:name="_bookmark730"/>
      <w:bookmarkEnd w:id="928"/>
      <w:r>
        <w:t>resources for reporting e</w:t>
      </w:r>
      <w:r>
        <w:t>xploitation, assault, or discrimination.</w:t>
      </w:r>
    </w:p>
    <w:p w:rsidR="00200FDA" w:rsidRDefault="00F76C4C">
      <w:pPr>
        <w:pStyle w:val="BodyText"/>
        <w:spacing w:before="119" w:line="276" w:lineRule="auto"/>
        <w:ind w:left="139" w:right="135"/>
        <w:jc w:val="both"/>
      </w:pPr>
      <w:bookmarkStart w:id="929" w:name="_bookmark731"/>
      <w:bookmarkEnd w:id="929"/>
      <w:r>
        <w:t>Many foreign-born individuals may have limited educational opportunities in their country of origin, particularly</w:t>
      </w:r>
      <w:r>
        <w:rPr>
          <w:spacing w:val="-1"/>
        </w:rPr>
        <w:t xml:space="preserve"> </w:t>
      </w:r>
      <w:r>
        <w:t>for</w:t>
      </w:r>
      <w:r>
        <w:rPr>
          <w:spacing w:val="-4"/>
        </w:rPr>
        <w:t xml:space="preserve"> </w:t>
      </w:r>
      <w:r>
        <w:t>those</w:t>
      </w:r>
      <w:r>
        <w:rPr>
          <w:spacing w:val="-4"/>
        </w:rPr>
        <w:t xml:space="preserve"> </w:t>
      </w:r>
      <w:r>
        <w:t>coming</w:t>
      </w:r>
      <w:r>
        <w:rPr>
          <w:spacing w:val="-3"/>
        </w:rPr>
        <w:t xml:space="preserve"> </w:t>
      </w:r>
      <w:r>
        <w:t>from</w:t>
      </w:r>
      <w:r>
        <w:rPr>
          <w:spacing w:val="-1"/>
        </w:rPr>
        <w:t xml:space="preserve"> </w:t>
      </w:r>
      <w:r>
        <w:t>countries</w:t>
      </w:r>
      <w:r>
        <w:rPr>
          <w:spacing w:val="-2"/>
        </w:rPr>
        <w:t xml:space="preserve"> </w:t>
      </w:r>
      <w:r>
        <w:t>at</w:t>
      </w:r>
      <w:r>
        <w:rPr>
          <w:spacing w:val="-4"/>
        </w:rPr>
        <w:t xml:space="preserve"> </w:t>
      </w:r>
      <w:r>
        <w:t>war.</w:t>
      </w:r>
      <w:r>
        <w:rPr>
          <w:spacing w:val="-5"/>
        </w:rPr>
        <w:t xml:space="preserve"> </w:t>
      </w:r>
      <w:r>
        <w:t>As</w:t>
      </w:r>
      <w:r>
        <w:rPr>
          <w:spacing w:val="-2"/>
        </w:rPr>
        <w:t xml:space="preserve"> </w:t>
      </w:r>
      <w:r>
        <w:t>mentioned</w:t>
      </w:r>
      <w:r>
        <w:rPr>
          <w:spacing w:val="-3"/>
        </w:rPr>
        <w:t xml:space="preserve"> </w:t>
      </w:r>
      <w:r>
        <w:t>above,</w:t>
      </w:r>
      <w:r>
        <w:rPr>
          <w:spacing w:val="-4"/>
        </w:rPr>
        <w:t xml:space="preserve"> </w:t>
      </w:r>
      <w:r>
        <w:t>even</w:t>
      </w:r>
      <w:r>
        <w:rPr>
          <w:spacing w:val="-3"/>
        </w:rPr>
        <w:t xml:space="preserve"> </w:t>
      </w:r>
      <w:r>
        <w:t>those</w:t>
      </w:r>
      <w:r>
        <w:rPr>
          <w:spacing w:val="-4"/>
        </w:rPr>
        <w:t xml:space="preserve"> </w:t>
      </w:r>
      <w:r>
        <w:t>who</w:t>
      </w:r>
      <w:r>
        <w:rPr>
          <w:spacing w:val="-3"/>
        </w:rPr>
        <w:t xml:space="preserve"> </w:t>
      </w:r>
      <w:r>
        <w:t>have</w:t>
      </w:r>
      <w:r>
        <w:rPr>
          <w:spacing w:val="-1"/>
        </w:rPr>
        <w:t xml:space="preserve"> </w:t>
      </w:r>
      <w:r>
        <w:t xml:space="preserve">achieved </w:t>
      </w:r>
      <w:bookmarkStart w:id="930" w:name="_bookmark732"/>
      <w:bookmarkEnd w:id="930"/>
      <w:r>
        <w:t>educational</w:t>
      </w:r>
      <w:r>
        <w:rPr>
          <w:spacing w:val="-2"/>
        </w:rPr>
        <w:t xml:space="preserve"> </w:t>
      </w:r>
      <w:r>
        <w:t>degrees</w:t>
      </w:r>
      <w:r>
        <w:rPr>
          <w:spacing w:val="-2"/>
        </w:rPr>
        <w:t xml:space="preserve"> </w:t>
      </w:r>
      <w:r>
        <w:t>or</w:t>
      </w:r>
      <w:r>
        <w:rPr>
          <w:spacing w:val="-2"/>
        </w:rPr>
        <w:t xml:space="preserve"> </w:t>
      </w:r>
      <w:r>
        <w:t>certification</w:t>
      </w:r>
      <w:r>
        <w:rPr>
          <w:spacing w:val="-5"/>
        </w:rPr>
        <w:t xml:space="preserve"> </w:t>
      </w:r>
      <w:r>
        <w:t>may</w:t>
      </w:r>
      <w:r>
        <w:rPr>
          <w:spacing w:val="-1"/>
        </w:rPr>
        <w:t xml:space="preserve"> </w:t>
      </w:r>
      <w:r>
        <w:t>have</w:t>
      </w:r>
      <w:r>
        <w:rPr>
          <w:spacing w:val="-1"/>
        </w:rPr>
        <w:t xml:space="preserve"> </w:t>
      </w:r>
      <w:r>
        <w:t>difficulty</w:t>
      </w:r>
      <w:r>
        <w:rPr>
          <w:spacing w:val="-1"/>
        </w:rPr>
        <w:t xml:space="preserve"> </w:t>
      </w:r>
      <w:r>
        <w:t>transferring</w:t>
      </w:r>
      <w:r>
        <w:rPr>
          <w:spacing w:val="-3"/>
        </w:rPr>
        <w:t xml:space="preserve"> </w:t>
      </w:r>
      <w:r>
        <w:t>the</w:t>
      </w:r>
      <w:r>
        <w:rPr>
          <w:spacing w:val="-1"/>
        </w:rPr>
        <w:t xml:space="preserve"> </w:t>
      </w:r>
      <w:r>
        <w:t>credentials</w:t>
      </w:r>
      <w:r>
        <w:rPr>
          <w:spacing w:val="-2"/>
        </w:rPr>
        <w:t xml:space="preserve"> </w:t>
      </w:r>
      <w:r>
        <w:t>from</w:t>
      </w:r>
      <w:r>
        <w:rPr>
          <w:spacing w:val="-3"/>
        </w:rPr>
        <w:t xml:space="preserve"> </w:t>
      </w:r>
      <w:r>
        <w:t>their</w:t>
      </w:r>
      <w:r>
        <w:rPr>
          <w:spacing w:val="-2"/>
        </w:rPr>
        <w:t xml:space="preserve"> </w:t>
      </w:r>
      <w:r>
        <w:t>country</w:t>
      </w:r>
      <w:r>
        <w:rPr>
          <w:spacing w:val="-3"/>
        </w:rPr>
        <w:t xml:space="preserve"> </w:t>
      </w:r>
      <w:r>
        <w:t>of origin</w:t>
      </w:r>
      <w:r>
        <w:rPr>
          <w:spacing w:val="-13"/>
        </w:rPr>
        <w:t xml:space="preserve"> </w:t>
      </w:r>
      <w:r>
        <w:t>to</w:t>
      </w:r>
      <w:r>
        <w:rPr>
          <w:spacing w:val="-12"/>
        </w:rPr>
        <w:t xml:space="preserve"> </w:t>
      </w:r>
      <w:r>
        <w:t>the</w:t>
      </w:r>
      <w:r>
        <w:rPr>
          <w:spacing w:val="-12"/>
        </w:rPr>
        <w:t xml:space="preserve"> </w:t>
      </w:r>
      <w:r>
        <w:t>U.S.</w:t>
      </w:r>
      <w:hyperlink w:anchor="_bookmark766" w:history="1">
        <w:r>
          <w:rPr>
            <w:vertAlign w:val="superscript"/>
          </w:rPr>
          <w:t>57</w:t>
        </w:r>
      </w:hyperlink>
      <w:r>
        <w:rPr>
          <w:spacing w:val="-3"/>
        </w:rPr>
        <w:t xml:space="preserve"> </w:t>
      </w:r>
      <w:r>
        <w:t>Transferring</w:t>
      </w:r>
      <w:r>
        <w:rPr>
          <w:spacing w:val="-11"/>
        </w:rPr>
        <w:t xml:space="preserve"> </w:t>
      </w:r>
      <w:r>
        <w:t>degrees,</w:t>
      </w:r>
      <w:r>
        <w:rPr>
          <w:spacing w:val="-10"/>
        </w:rPr>
        <w:t xml:space="preserve"> </w:t>
      </w:r>
      <w:r>
        <w:t>like</w:t>
      </w:r>
      <w:r>
        <w:rPr>
          <w:spacing w:val="-10"/>
        </w:rPr>
        <w:t xml:space="preserve"> </w:t>
      </w:r>
      <w:r>
        <w:t>licenses</w:t>
      </w:r>
      <w:r>
        <w:rPr>
          <w:spacing w:val="-10"/>
        </w:rPr>
        <w:t xml:space="preserve"> </w:t>
      </w:r>
      <w:r>
        <w:t>and</w:t>
      </w:r>
      <w:r>
        <w:rPr>
          <w:spacing w:val="-11"/>
        </w:rPr>
        <w:t xml:space="preserve"> </w:t>
      </w:r>
      <w:r>
        <w:t>certificates,</w:t>
      </w:r>
      <w:r>
        <w:rPr>
          <w:spacing w:val="-10"/>
        </w:rPr>
        <w:t xml:space="preserve"> </w:t>
      </w:r>
      <w:r>
        <w:t>is</w:t>
      </w:r>
      <w:r>
        <w:rPr>
          <w:spacing w:val="-10"/>
        </w:rPr>
        <w:t xml:space="preserve"> </w:t>
      </w:r>
      <w:r>
        <w:t>often</w:t>
      </w:r>
      <w:r>
        <w:rPr>
          <w:spacing w:val="-13"/>
        </w:rPr>
        <w:t xml:space="preserve"> </w:t>
      </w:r>
      <w:r>
        <w:t>expensive</w:t>
      </w:r>
      <w:r>
        <w:rPr>
          <w:spacing w:val="-10"/>
        </w:rPr>
        <w:t xml:space="preserve"> </w:t>
      </w:r>
      <w:r>
        <w:t>and</w:t>
      </w:r>
      <w:r>
        <w:rPr>
          <w:spacing w:val="-11"/>
        </w:rPr>
        <w:t xml:space="preserve"> </w:t>
      </w:r>
      <w:r>
        <w:t>complex,</w:t>
      </w:r>
      <w:r>
        <w:rPr>
          <w:spacing w:val="-13"/>
        </w:rPr>
        <w:t xml:space="preserve"> </w:t>
      </w:r>
      <w:r>
        <w:t xml:space="preserve">and </w:t>
      </w:r>
      <w:bookmarkStart w:id="931" w:name="_bookmark733"/>
      <w:bookmarkEnd w:id="931"/>
      <w:r>
        <w:t>is</w:t>
      </w:r>
      <w:r>
        <w:rPr>
          <w:spacing w:val="-7"/>
        </w:rPr>
        <w:t xml:space="preserve"> </w:t>
      </w:r>
      <w:r>
        <w:t>one</w:t>
      </w:r>
      <w:r>
        <w:rPr>
          <w:spacing w:val="-8"/>
        </w:rPr>
        <w:t xml:space="preserve"> </w:t>
      </w:r>
      <w:r>
        <w:t>of</w:t>
      </w:r>
      <w:r>
        <w:rPr>
          <w:spacing w:val="-9"/>
        </w:rPr>
        <w:t xml:space="preserve"> </w:t>
      </w:r>
      <w:r>
        <w:t>the</w:t>
      </w:r>
      <w:r>
        <w:rPr>
          <w:spacing w:val="-8"/>
        </w:rPr>
        <w:t xml:space="preserve"> </w:t>
      </w:r>
      <w:r>
        <w:t>most</w:t>
      </w:r>
      <w:r>
        <w:rPr>
          <w:spacing w:val="-8"/>
        </w:rPr>
        <w:t xml:space="preserve"> </w:t>
      </w:r>
      <w:r>
        <w:t>time-consuming</w:t>
      </w:r>
      <w:r>
        <w:rPr>
          <w:spacing w:val="-7"/>
        </w:rPr>
        <w:t xml:space="preserve"> </w:t>
      </w:r>
      <w:r>
        <w:t>parts</w:t>
      </w:r>
      <w:r>
        <w:rPr>
          <w:spacing w:val="-11"/>
        </w:rPr>
        <w:t xml:space="preserve"> </w:t>
      </w:r>
      <w:r>
        <w:t>of</w:t>
      </w:r>
      <w:r>
        <w:rPr>
          <w:spacing w:val="-7"/>
        </w:rPr>
        <w:t xml:space="preserve"> </w:t>
      </w:r>
      <w:r>
        <w:t>an</w:t>
      </w:r>
      <w:r>
        <w:rPr>
          <w:spacing w:val="-10"/>
        </w:rPr>
        <w:t xml:space="preserve"> </w:t>
      </w:r>
      <w:r>
        <w:t>immigrant’s</w:t>
      </w:r>
      <w:r>
        <w:rPr>
          <w:spacing w:val="-7"/>
        </w:rPr>
        <w:t xml:space="preserve"> </w:t>
      </w:r>
      <w:r>
        <w:t>career</w:t>
      </w:r>
      <w:r>
        <w:rPr>
          <w:spacing w:val="-9"/>
        </w:rPr>
        <w:t xml:space="preserve"> </w:t>
      </w:r>
      <w:r>
        <w:t>process,</w:t>
      </w:r>
      <w:r>
        <w:rPr>
          <w:spacing w:val="-9"/>
        </w:rPr>
        <w:t xml:space="preserve"> </w:t>
      </w:r>
      <w:r>
        <w:t>and</w:t>
      </w:r>
      <w:r>
        <w:rPr>
          <w:spacing w:val="-10"/>
        </w:rPr>
        <w:t xml:space="preserve"> </w:t>
      </w:r>
      <w:r>
        <w:t>can</w:t>
      </w:r>
      <w:r>
        <w:rPr>
          <w:spacing w:val="-7"/>
        </w:rPr>
        <w:t xml:space="preserve"> </w:t>
      </w:r>
      <w:r>
        <w:t>take</w:t>
      </w:r>
      <w:r>
        <w:rPr>
          <w:spacing w:val="-6"/>
        </w:rPr>
        <w:t xml:space="preserve"> </w:t>
      </w:r>
      <w:r>
        <w:t>as</w:t>
      </w:r>
      <w:r>
        <w:rPr>
          <w:spacing w:val="-9"/>
        </w:rPr>
        <w:t xml:space="preserve"> </w:t>
      </w:r>
      <w:r>
        <w:t>little</w:t>
      </w:r>
      <w:r>
        <w:rPr>
          <w:spacing w:val="-6"/>
        </w:rPr>
        <w:t xml:space="preserve"> </w:t>
      </w:r>
      <w:r>
        <w:t>as</w:t>
      </w:r>
      <w:r>
        <w:rPr>
          <w:spacing w:val="-6"/>
        </w:rPr>
        <w:t xml:space="preserve"> </w:t>
      </w:r>
      <w:r>
        <w:t xml:space="preserve">several </w:t>
      </w:r>
      <w:bookmarkStart w:id="932" w:name="_bookmark734"/>
      <w:bookmarkEnd w:id="932"/>
      <w:r>
        <w:t>weeks or as long as several months to complete - or</w:t>
      </w:r>
      <w:r>
        <w:rPr>
          <w:spacing w:val="-1"/>
        </w:rPr>
        <w:t xml:space="preserve"> </w:t>
      </w:r>
      <w:r>
        <w:t>may not happen at all. For</w:t>
      </w:r>
      <w:r>
        <w:rPr>
          <w:spacing w:val="-1"/>
        </w:rPr>
        <w:t xml:space="preserve"> </w:t>
      </w:r>
      <w:r>
        <w:t xml:space="preserve">those who lack access to </w:t>
      </w:r>
      <w:bookmarkStart w:id="933" w:name="_bookmark735"/>
      <w:bookmarkEnd w:id="933"/>
      <w:r>
        <w:t>their</w:t>
      </w:r>
      <w:r>
        <w:rPr>
          <w:spacing w:val="-7"/>
        </w:rPr>
        <w:t xml:space="preserve"> </w:t>
      </w:r>
      <w:r>
        <w:t>transcripts</w:t>
      </w:r>
      <w:r>
        <w:rPr>
          <w:spacing w:val="-9"/>
        </w:rPr>
        <w:t xml:space="preserve"> </w:t>
      </w:r>
      <w:r>
        <w:t>of</w:t>
      </w:r>
      <w:r>
        <w:rPr>
          <w:spacing w:val="-7"/>
        </w:rPr>
        <w:t xml:space="preserve"> </w:t>
      </w:r>
      <w:r>
        <w:t>documentation,</w:t>
      </w:r>
      <w:r>
        <w:rPr>
          <w:spacing w:val="-6"/>
        </w:rPr>
        <w:t xml:space="preserve"> </w:t>
      </w:r>
      <w:r>
        <w:t>it</w:t>
      </w:r>
      <w:r>
        <w:rPr>
          <w:spacing w:val="-9"/>
        </w:rPr>
        <w:t xml:space="preserve"> </w:t>
      </w:r>
      <w:r>
        <w:t>can</w:t>
      </w:r>
      <w:r>
        <w:rPr>
          <w:spacing w:val="-7"/>
        </w:rPr>
        <w:t xml:space="preserve"> </w:t>
      </w:r>
      <w:r>
        <w:t>be</w:t>
      </w:r>
      <w:r>
        <w:rPr>
          <w:spacing w:val="-6"/>
        </w:rPr>
        <w:t xml:space="preserve"> </w:t>
      </w:r>
      <w:r>
        <w:t>almost</w:t>
      </w:r>
      <w:r>
        <w:rPr>
          <w:spacing w:val="-6"/>
        </w:rPr>
        <w:t xml:space="preserve"> </w:t>
      </w:r>
      <w:r>
        <w:t>impossible</w:t>
      </w:r>
      <w:r>
        <w:rPr>
          <w:spacing w:val="-6"/>
        </w:rPr>
        <w:t xml:space="preserve"> </w:t>
      </w:r>
      <w:r>
        <w:t>to</w:t>
      </w:r>
      <w:r>
        <w:rPr>
          <w:spacing w:val="-5"/>
        </w:rPr>
        <w:t xml:space="preserve"> </w:t>
      </w:r>
      <w:r>
        <w:t>transfer</w:t>
      </w:r>
      <w:r>
        <w:rPr>
          <w:spacing w:val="-7"/>
        </w:rPr>
        <w:t xml:space="preserve"> </w:t>
      </w:r>
      <w:r>
        <w:t>credentials</w:t>
      </w:r>
      <w:r>
        <w:rPr>
          <w:spacing w:val="-7"/>
        </w:rPr>
        <w:t xml:space="preserve"> </w:t>
      </w:r>
      <w:r>
        <w:t>to</w:t>
      </w:r>
      <w:r>
        <w:rPr>
          <w:spacing w:val="-8"/>
        </w:rPr>
        <w:t xml:space="preserve"> </w:t>
      </w:r>
      <w:r>
        <w:t>the</w:t>
      </w:r>
      <w:r>
        <w:rPr>
          <w:spacing w:val="-6"/>
        </w:rPr>
        <w:t xml:space="preserve"> </w:t>
      </w:r>
      <w:r>
        <w:t>U.S.,</w:t>
      </w:r>
      <w:r>
        <w:rPr>
          <w:spacing w:val="-7"/>
        </w:rPr>
        <w:t xml:space="preserve"> </w:t>
      </w:r>
      <w:r>
        <w:t>with</w:t>
      </w:r>
      <w:r>
        <w:rPr>
          <w:spacing w:val="-7"/>
        </w:rPr>
        <w:t xml:space="preserve"> </w:t>
      </w:r>
      <w:r>
        <w:t xml:space="preserve">no </w:t>
      </w:r>
      <w:bookmarkStart w:id="934" w:name="_bookmark736"/>
      <w:bookmarkEnd w:id="934"/>
      <w:r>
        <w:t>federal standards or regulations to assist them.</w:t>
      </w:r>
    </w:p>
    <w:p w:rsidR="00200FDA" w:rsidRDefault="00F76C4C">
      <w:pPr>
        <w:pStyle w:val="BodyText"/>
        <w:spacing w:before="121" w:line="276" w:lineRule="auto"/>
        <w:ind w:left="139" w:right="133"/>
        <w:jc w:val="both"/>
      </w:pPr>
      <w:bookmarkStart w:id="935" w:name="_bookmark737"/>
      <w:bookmarkEnd w:id="935"/>
      <w:r>
        <w:t>Additionally,</w:t>
      </w:r>
      <w:r>
        <w:rPr>
          <w:spacing w:val="-8"/>
        </w:rPr>
        <w:t xml:space="preserve"> </w:t>
      </w:r>
      <w:r>
        <w:t>some</w:t>
      </w:r>
      <w:r>
        <w:rPr>
          <w:spacing w:val="-9"/>
        </w:rPr>
        <w:t xml:space="preserve"> </w:t>
      </w:r>
      <w:r>
        <w:t>foreign-born</w:t>
      </w:r>
      <w:r>
        <w:rPr>
          <w:spacing w:val="-8"/>
        </w:rPr>
        <w:t xml:space="preserve"> </w:t>
      </w:r>
      <w:r>
        <w:t>individuals</w:t>
      </w:r>
      <w:r>
        <w:rPr>
          <w:spacing w:val="-10"/>
        </w:rPr>
        <w:t xml:space="preserve"> </w:t>
      </w:r>
      <w:r>
        <w:t>may</w:t>
      </w:r>
      <w:r>
        <w:rPr>
          <w:spacing w:val="-9"/>
        </w:rPr>
        <w:t xml:space="preserve"> </w:t>
      </w:r>
      <w:r>
        <w:t>have</w:t>
      </w:r>
      <w:r>
        <w:rPr>
          <w:spacing w:val="-7"/>
        </w:rPr>
        <w:t xml:space="preserve"> </w:t>
      </w:r>
      <w:r>
        <w:t>to</w:t>
      </w:r>
      <w:r>
        <w:rPr>
          <w:spacing w:val="-6"/>
        </w:rPr>
        <w:t xml:space="preserve"> </w:t>
      </w:r>
      <w:r>
        <w:t>retake</w:t>
      </w:r>
      <w:r>
        <w:rPr>
          <w:spacing w:val="-7"/>
        </w:rPr>
        <w:t xml:space="preserve"> </w:t>
      </w:r>
      <w:r>
        <w:t>licensing</w:t>
      </w:r>
      <w:r>
        <w:rPr>
          <w:spacing w:val="-11"/>
        </w:rPr>
        <w:t xml:space="preserve"> </w:t>
      </w:r>
      <w:r>
        <w:t>exams,</w:t>
      </w:r>
      <w:r>
        <w:rPr>
          <w:spacing w:val="-10"/>
        </w:rPr>
        <w:t xml:space="preserve"> </w:t>
      </w:r>
      <w:r>
        <w:t>degree</w:t>
      </w:r>
      <w:r>
        <w:rPr>
          <w:spacing w:val="-7"/>
        </w:rPr>
        <w:t xml:space="preserve"> </w:t>
      </w:r>
      <w:r>
        <w:t>programs,</w:t>
      </w:r>
      <w:r>
        <w:rPr>
          <w:spacing w:val="-8"/>
        </w:rPr>
        <w:t xml:space="preserve"> </w:t>
      </w:r>
      <w:r>
        <w:t>and/or trainings. One study found that 25% of immigran</w:t>
      </w:r>
      <w:r>
        <w:t xml:space="preserve">ts with foreign degrees are underemployed or </w:t>
      </w:r>
      <w:bookmarkStart w:id="936" w:name="_bookmark738"/>
      <w:bookmarkEnd w:id="936"/>
      <w:r>
        <w:t>unemployed,</w:t>
      </w:r>
      <w:r>
        <w:rPr>
          <w:spacing w:val="-8"/>
        </w:rPr>
        <w:t xml:space="preserve"> </w:t>
      </w:r>
      <w:r>
        <w:t>compared</w:t>
      </w:r>
      <w:r>
        <w:rPr>
          <w:spacing w:val="-9"/>
        </w:rPr>
        <w:t xml:space="preserve"> </w:t>
      </w:r>
      <w:r>
        <w:t>to</w:t>
      </w:r>
      <w:r>
        <w:rPr>
          <w:spacing w:val="-9"/>
        </w:rPr>
        <w:t xml:space="preserve"> </w:t>
      </w:r>
      <w:r>
        <w:t>17%</w:t>
      </w:r>
      <w:r>
        <w:rPr>
          <w:spacing w:val="-7"/>
        </w:rPr>
        <w:t xml:space="preserve"> </w:t>
      </w:r>
      <w:r>
        <w:t>of</w:t>
      </w:r>
      <w:r>
        <w:rPr>
          <w:spacing w:val="-8"/>
        </w:rPr>
        <w:t xml:space="preserve"> </w:t>
      </w:r>
      <w:r>
        <w:t>those</w:t>
      </w:r>
      <w:r>
        <w:rPr>
          <w:spacing w:val="-7"/>
        </w:rPr>
        <w:t xml:space="preserve"> </w:t>
      </w:r>
      <w:r>
        <w:t>born</w:t>
      </w:r>
      <w:r>
        <w:rPr>
          <w:spacing w:val="-9"/>
        </w:rPr>
        <w:t xml:space="preserve"> </w:t>
      </w:r>
      <w:r>
        <w:t>in</w:t>
      </w:r>
      <w:r>
        <w:rPr>
          <w:spacing w:val="-9"/>
        </w:rPr>
        <w:t xml:space="preserve"> </w:t>
      </w:r>
      <w:r>
        <w:t>the</w:t>
      </w:r>
      <w:r>
        <w:rPr>
          <w:spacing w:val="-7"/>
        </w:rPr>
        <w:t xml:space="preserve"> </w:t>
      </w:r>
      <w:r>
        <w:t>U.S.</w:t>
      </w:r>
      <w:r>
        <w:rPr>
          <w:spacing w:val="-8"/>
        </w:rPr>
        <w:t xml:space="preserve"> </w:t>
      </w:r>
      <w:r>
        <w:t>with</w:t>
      </w:r>
      <w:r>
        <w:rPr>
          <w:spacing w:val="-9"/>
        </w:rPr>
        <w:t xml:space="preserve"> </w:t>
      </w:r>
      <w:r>
        <w:t>degrees.</w:t>
      </w:r>
      <w:hyperlink w:anchor="_bookmark767" w:history="1">
        <w:r>
          <w:rPr>
            <w:vertAlign w:val="superscript"/>
          </w:rPr>
          <w:t>58</w:t>
        </w:r>
      </w:hyperlink>
      <w:r>
        <w:rPr>
          <w:spacing w:val="-2"/>
        </w:rPr>
        <w:t xml:space="preserve"> </w:t>
      </w:r>
      <w:r>
        <w:t>This</w:t>
      </w:r>
      <w:r>
        <w:rPr>
          <w:spacing w:val="-8"/>
        </w:rPr>
        <w:t xml:space="preserve"> </w:t>
      </w:r>
      <w:r>
        <w:t>problem</w:t>
      </w:r>
      <w:r>
        <w:rPr>
          <w:spacing w:val="-7"/>
        </w:rPr>
        <w:t xml:space="preserve"> </w:t>
      </w:r>
      <w:r>
        <w:t>is</w:t>
      </w:r>
      <w:r>
        <w:rPr>
          <w:spacing w:val="-8"/>
        </w:rPr>
        <w:t xml:space="preserve"> </w:t>
      </w:r>
      <w:r>
        <w:t>particularly</w:t>
      </w:r>
      <w:r>
        <w:rPr>
          <w:spacing w:val="-7"/>
        </w:rPr>
        <w:t xml:space="preserve"> </w:t>
      </w:r>
      <w:r>
        <w:t>acute in</w:t>
      </w:r>
      <w:r>
        <w:rPr>
          <w:spacing w:val="-13"/>
        </w:rPr>
        <w:t xml:space="preserve"> </w:t>
      </w:r>
      <w:r>
        <w:t>health</w:t>
      </w:r>
      <w:r>
        <w:rPr>
          <w:spacing w:val="-12"/>
        </w:rPr>
        <w:t xml:space="preserve"> </w:t>
      </w:r>
      <w:r>
        <w:t>care,</w:t>
      </w:r>
      <w:r>
        <w:rPr>
          <w:spacing w:val="-13"/>
        </w:rPr>
        <w:t xml:space="preserve"> </w:t>
      </w:r>
      <w:r>
        <w:t>where</w:t>
      </w:r>
      <w:r>
        <w:rPr>
          <w:spacing w:val="-12"/>
        </w:rPr>
        <w:t xml:space="preserve"> </w:t>
      </w:r>
      <w:r>
        <w:t>more</w:t>
      </w:r>
      <w:r>
        <w:rPr>
          <w:spacing w:val="-13"/>
        </w:rPr>
        <w:t xml:space="preserve"> </w:t>
      </w:r>
      <w:r>
        <w:t>than</w:t>
      </w:r>
      <w:r>
        <w:rPr>
          <w:spacing w:val="-12"/>
        </w:rPr>
        <w:t xml:space="preserve"> </w:t>
      </w:r>
      <w:r>
        <w:t>20%</w:t>
      </w:r>
      <w:r>
        <w:rPr>
          <w:spacing w:val="-13"/>
        </w:rPr>
        <w:t xml:space="preserve"> </w:t>
      </w:r>
      <w:r>
        <w:t>of</w:t>
      </w:r>
      <w:r>
        <w:rPr>
          <w:spacing w:val="-12"/>
        </w:rPr>
        <w:t xml:space="preserve"> </w:t>
      </w:r>
      <w:r>
        <w:t>immigrants</w:t>
      </w:r>
      <w:r>
        <w:rPr>
          <w:spacing w:val="-12"/>
        </w:rPr>
        <w:t xml:space="preserve"> </w:t>
      </w:r>
      <w:r>
        <w:t>with</w:t>
      </w:r>
      <w:r>
        <w:rPr>
          <w:spacing w:val="-13"/>
        </w:rPr>
        <w:t xml:space="preserve"> </w:t>
      </w:r>
      <w:r>
        <w:t>foreign</w:t>
      </w:r>
      <w:r>
        <w:rPr>
          <w:spacing w:val="-12"/>
        </w:rPr>
        <w:t xml:space="preserve"> </w:t>
      </w:r>
      <w:r>
        <w:t>medical</w:t>
      </w:r>
      <w:r>
        <w:rPr>
          <w:spacing w:val="-13"/>
        </w:rPr>
        <w:t xml:space="preserve"> </w:t>
      </w:r>
      <w:r>
        <w:t>credentials</w:t>
      </w:r>
      <w:r>
        <w:rPr>
          <w:spacing w:val="-12"/>
        </w:rPr>
        <w:t xml:space="preserve"> </w:t>
      </w:r>
      <w:r>
        <w:t>are</w:t>
      </w:r>
      <w:r>
        <w:rPr>
          <w:spacing w:val="-13"/>
        </w:rPr>
        <w:t xml:space="preserve"> </w:t>
      </w:r>
      <w:r>
        <w:t>unable</w:t>
      </w:r>
      <w:r>
        <w:rPr>
          <w:spacing w:val="-12"/>
        </w:rPr>
        <w:t xml:space="preserve"> </w:t>
      </w:r>
      <w:r>
        <w:t>to</w:t>
      </w:r>
      <w:r>
        <w:rPr>
          <w:spacing w:val="-12"/>
        </w:rPr>
        <w:t xml:space="preserve"> </w:t>
      </w:r>
      <w:r>
        <w:t xml:space="preserve">practice </w:t>
      </w:r>
      <w:bookmarkStart w:id="937" w:name="_bookmark739"/>
      <w:bookmarkEnd w:id="937"/>
      <w:r>
        <w:t>in</w:t>
      </w:r>
      <w:r>
        <w:rPr>
          <w:spacing w:val="-11"/>
        </w:rPr>
        <w:t xml:space="preserve"> </w:t>
      </w:r>
      <w:r>
        <w:t>Massachusetts</w:t>
      </w:r>
      <w:r>
        <w:rPr>
          <w:spacing w:val="-10"/>
        </w:rPr>
        <w:t xml:space="preserve"> </w:t>
      </w:r>
      <w:r>
        <w:t>due</w:t>
      </w:r>
      <w:r>
        <w:rPr>
          <w:spacing w:val="-12"/>
        </w:rPr>
        <w:t xml:space="preserve"> </w:t>
      </w:r>
      <w:r>
        <w:t>to</w:t>
      </w:r>
      <w:r>
        <w:rPr>
          <w:spacing w:val="-11"/>
        </w:rPr>
        <w:t xml:space="preserve"> </w:t>
      </w:r>
      <w:r>
        <w:t>“costly</w:t>
      </w:r>
      <w:r>
        <w:rPr>
          <w:spacing w:val="-9"/>
        </w:rPr>
        <w:t xml:space="preserve"> </w:t>
      </w:r>
      <w:r>
        <w:t>licensing</w:t>
      </w:r>
      <w:r>
        <w:rPr>
          <w:spacing w:val="-11"/>
        </w:rPr>
        <w:t xml:space="preserve"> </w:t>
      </w:r>
      <w:r>
        <w:t>requirements,</w:t>
      </w:r>
      <w:r>
        <w:rPr>
          <w:spacing w:val="-10"/>
        </w:rPr>
        <w:t xml:space="preserve"> </w:t>
      </w:r>
      <w:r>
        <w:t>language</w:t>
      </w:r>
      <w:r>
        <w:rPr>
          <w:spacing w:val="-9"/>
        </w:rPr>
        <w:t xml:space="preserve"> </w:t>
      </w:r>
      <w:r>
        <w:t>barriers,</w:t>
      </w:r>
      <w:r>
        <w:rPr>
          <w:spacing w:val="-12"/>
        </w:rPr>
        <w:t xml:space="preserve"> </w:t>
      </w:r>
      <w:r>
        <w:t>lack</w:t>
      </w:r>
      <w:r>
        <w:rPr>
          <w:spacing w:val="-13"/>
        </w:rPr>
        <w:t xml:space="preserve"> </w:t>
      </w:r>
      <w:r>
        <w:t>of</w:t>
      </w:r>
      <w:r>
        <w:rPr>
          <w:spacing w:val="-12"/>
        </w:rPr>
        <w:t xml:space="preserve"> </w:t>
      </w:r>
      <w:r>
        <w:t>targeted</w:t>
      </w:r>
      <w:r>
        <w:rPr>
          <w:spacing w:val="-12"/>
        </w:rPr>
        <w:t xml:space="preserve"> </w:t>
      </w:r>
      <w:r>
        <w:t>career</w:t>
      </w:r>
      <w:r>
        <w:rPr>
          <w:spacing w:val="-12"/>
        </w:rPr>
        <w:t xml:space="preserve"> </w:t>
      </w:r>
      <w:r>
        <w:t xml:space="preserve">services and other factors.” </w:t>
      </w:r>
      <w:hyperlink w:anchor="_bookmark768" w:history="1">
        <w:r>
          <w:rPr>
            <w:vertAlign w:val="superscript"/>
          </w:rPr>
          <w:t>59</w:t>
        </w:r>
      </w:hyperlink>
      <w:r>
        <w:t xml:space="preserve"> Helping these practitioners gain accreditation in Massachu</w:t>
      </w:r>
      <w:r>
        <w:t xml:space="preserve">setts through </w:t>
      </w:r>
      <w:bookmarkStart w:id="938" w:name="_bookmark740"/>
      <w:bookmarkEnd w:id="938"/>
      <w:r>
        <w:t>comprehensive</w:t>
      </w:r>
      <w:r>
        <w:rPr>
          <w:spacing w:val="-9"/>
        </w:rPr>
        <w:t xml:space="preserve"> </w:t>
      </w:r>
      <w:r>
        <w:t>training</w:t>
      </w:r>
      <w:r>
        <w:rPr>
          <w:spacing w:val="-10"/>
        </w:rPr>
        <w:t xml:space="preserve"> </w:t>
      </w:r>
      <w:r>
        <w:t>and</w:t>
      </w:r>
      <w:r>
        <w:rPr>
          <w:spacing w:val="-10"/>
        </w:rPr>
        <w:t xml:space="preserve"> </w:t>
      </w:r>
      <w:r>
        <w:t>language</w:t>
      </w:r>
      <w:r>
        <w:rPr>
          <w:spacing w:val="-9"/>
        </w:rPr>
        <w:t xml:space="preserve"> </w:t>
      </w:r>
      <w:r>
        <w:t>programs,</w:t>
      </w:r>
      <w:r>
        <w:rPr>
          <w:spacing w:val="-11"/>
        </w:rPr>
        <w:t xml:space="preserve"> </w:t>
      </w:r>
      <w:r>
        <w:t>or</w:t>
      </w:r>
      <w:r>
        <w:rPr>
          <w:spacing w:val="-10"/>
        </w:rPr>
        <w:t xml:space="preserve"> </w:t>
      </w:r>
      <w:r>
        <w:t>by</w:t>
      </w:r>
      <w:r>
        <w:rPr>
          <w:spacing w:val="-10"/>
        </w:rPr>
        <w:t xml:space="preserve"> </w:t>
      </w:r>
      <w:r>
        <w:t>modifying</w:t>
      </w:r>
      <w:r>
        <w:rPr>
          <w:spacing w:val="-10"/>
        </w:rPr>
        <w:t xml:space="preserve"> </w:t>
      </w:r>
      <w:r>
        <w:t>license</w:t>
      </w:r>
      <w:r>
        <w:rPr>
          <w:spacing w:val="-9"/>
        </w:rPr>
        <w:t xml:space="preserve"> </w:t>
      </w:r>
      <w:r>
        <w:t>requirements,</w:t>
      </w:r>
      <w:r>
        <w:rPr>
          <w:spacing w:val="-10"/>
        </w:rPr>
        <w:t xml:space="preserve"> </w:t>
      </w:r>
      <w:r>
        <w:t>would</w:t>
      </w:r>
      <w:r>
        <w:rPr>
          <w:spacing w:val="-10"/>
        </w:rPr>
        <w:t xml:space="preserve"> </w:t>
      </w:r>
      <w:r>
        <w:t>ensure</w:t>
      </w:r>
      <w:r>
        <w:rPr>
          <w:spacing w:val="-9"/>
        </w:rPr>
        <w:t xml:space="preserve"> </w:t>
      </w:r>
      <w:r>
        <w:t>that the Commonwealth avoids underutilizing an important, readily available talent resource.</w:t>
      </w:r>
    </w:p>
    <w:p w:rsidR="00200FDA" w:rsidRDefault="00200FDA">
      <w:pPr>
        <w:pStyle w:val="BodyText"/>
        <w:spacing w:before="11"/>
        <w:rPr>
          <w:sz w:val="21"/>
        </w:rPr>
      </w:pPr>
    </w:p>
    <w:p w:rsidR="00200FDA" w:rsidRDefault="00F76C4C">
      <w:pPr>
        <w:pStyle w:val="Heading8"/>
        <w:spacing w:before="1"/>
      </w:pPr>
      <w:bookmarkStart w:id="939" w:name="Education_Access_&amp;_DACA"/>
      <w:bookmarkStart w:id="940" w:name="_bookmark741"/>
      <w:bookmarkStart w:id="941" w:name="_bookmark742"/>
      <w:bookmarkEnd w:id="939"/>
      <w:bookmarkEnd w:id="940"/>
      <w:bookmarkEnd w:id="941"/>
      <w:r>
        <w:rPr>
          <w:color w:val="0A5293"/>
        </w:rPr>
        <w:t>Education</w:t>
      </w:r>
      <w:r>
        <w:rPr>
          <w:color w:val="0A5293"/>
          <w:spacing w:val="-3"/>
        </w:rPr>
        <w:t xml:space="preserve"> </w:t>
      </w:r>
      <w:r>
        <w:rPr>
          <w:color w:val="0A5293"/>
        </w:rPr>
        <w:t>Access</w:t>
      </w:r>
      <w:r>
        <w:rPr>
          <w:color w:val="0A5293"/>
          <w:spacing w:val="-1"/>
        </w:rPr>
        <w:t xml:space="preserve"> </w:t>
      </w:r>
      <w:r>
        <w:rPr>
          <w:color w:val="0A5293"/>
        </w:rPr>
        <w:t>&amp;</w:t>
      </w:r>
      <w:r>
        <w:rPr>
          <w:color w:val="0A5293"/>
          <w:spacing w:val="-1"/>
        </w:rPr>
        <w:t xml:space="preserve"> </w:t>
      </w:r>
      <w:r>
        <w:rPr>
          <w:color w:val="0A5293"/>
          <w:spacing w:val="-4"/>
        </w:rPr>
        <w:t>DACA</w:t>
      </w:r>
    </w:p>
    <w:p w:rsidR="00200FDA" w:rsidRDefault="00200FDA">
      <w:pPr>
        <w:pStyle w:val="BodyText"/>
        <w:spacing w:before="4"/>
        <w:rPr>
          <w:sz w:val="25"/>
        </w:rPr>
      </w:pPr>
    </w:p>
    <w:p w:rsidR="00200FDA" w:rsidRDefault="00F76C4C">
      <w:pPr>
        <w:pStyle w:val="BodyText"/>
        <w:spacing w:line="276" w:lineRule="auto"/>
        <w:ind w:left="139" w:right="131"/>
        <w:jc w:val="both"/>
      </w:pPr>
      <w:bookmarkStart w:id="942" w:name="_bookmark743"/>
      <w:bookmarkEnd w:id="942"/>
      <w:r>
        <w:t xml:space="preserve">The Deferred Action for Childhood Arrivals (DACA) program provides temporary protection from deportation for Dreamers, the term used to refer to people who would have been protected by the yet- </w:t>
      </w:r>
      <w:bookmarkStart w:id="943" w:name="_bookmark744"/>
      <w:bookmarkEnd w:id="943"/>
      <w:r>
        <w:t>to-pass federal “Dream Act” which would protect undocumented y</w:t>
      </w:r>
      <w:r>
        <w:t>outh who migrated to the U.S. as children, but may be vulnerable to deportation.</w:t>
      </w:r>
      <w:r>
        <w:rPr>
          <w:spacing w:val="-13"/>
        </w:rPr>
        <w:t xml:space="preserve"> </w:t>
      </w:r>
      <w:hyperlink w:anchor="_bookmark769" w:history="1">
        <w:r>
          <w:rPr>
            <w:vertAlign w:val="superscript"/>
          </w:rPr>
          <w:t>60</w:t>
        </w:r>
      </w:hyperlink>
      <w:r>
        <w:t xml:space="preserve"> Since the program was established in 2012, DACA </w:t>
      </w:r>
      <w:bookmarkStart w:id="944" w:name="_bookmark745"/>
      <w:bookmarkEnd w:id="944"/>
      <w:r>
        <w:t>recipients</w:t>
      </w:r>
      <w:r>
        <w:rPr>
          <w:spacing w:val="-7"/>
        </w:rPr>
        <w:t xml:space="preserve"> </w:t>
      </w:r>
      <w:r>
        <w:t>have</w:t>
      </w:r>
      <w:r>
        <w:rPr>
          <w:spacing w:val="-8"/>
        </w:rPr>
        <w:t xml:space="preserve"> </w:t>
      </w:r>
      <w:r>
        <w:t>been</w:t>
      </w:r>
      <w:r>
        <w:rPr>
          <w:spacing w:val="-10"/>
        </w:rPr>
        <w:t xml:space="preserve"> </w:t>
      </w:r>
      <w:r>
        <w:t>able</w:t>
      </w:r>
      <w:r>
        <w:rPr>
          <w:spacing w:val="-9"/>
        </w:rPr>
        <w:t xml:space="preserve"> </w:t>
      </w:r>
      <w:r>
        <w:t>to</w:t>
      </w:r>
      <w:r>
        <w:rPr>
          <w:spacing w:val="-5"/>
        </w:rPr>
        <w:t xml:space="preserve"> </w:t>
      </w:r>
      <w:r>
        <w:t>pursue</w:t>
      </w:r>
      <w:r>
        <w:rPr>
          <w:spacing w:val="-8"/>
        </w:rPr>
        <w:t xml:space="preserve"> </w:t>
      </w:r>
      <w:r>
        <w:t>higher</w:t>
      </w:r>
      <w:r>
        <w:rPr>
          <w:spacing w:val="-7"/>
        </w:rPr>
        <w:t xml:space="preserve"> </w:t>
      </w:r>
      <w:r>
        <w:t>education,</w:t>
      </w:r>
      <w:r>
        <w:rPr>
          <w:spacing w:val="-9"/>
        </w:rPr>
        <w:t xml:space="preserve"> </w:t>
      </w:r>
      <w:r>
        <w:t>participate</w:t>
      </w:r>
      <w:r>
        <w:rPr>
          <w:spacing w:val="-6"/>
        </w:rPr>
        <w:t xml:space="preserve"> </w:t>
      </w:r>
      <w:r>
        <w:t>fully</w:t>
      </w:r>
      <w:r>
        <w:rPr>
          <w:spacing w:val="-6"/>
        </w:rPr>
        <w:t xml:space="preserve"> </w:t>
      </w:r>
      <w:r>
        <w:t>in</w:t>
      </w:r>
      <w:r>
        <w:rPr>
          <w:spacing w:val="-10"/>
        </w:rPr>
        <w:t xml:space="preserve"> </w:t>
      </w:r>
      <w:r>
        <w:t>the</w:t>
      </w:r>
      <w:r>
        <w:rPr>
          <w:spacing w:val="-6"/>
        </w:rPr>
        <w:t xml:space="preserve"> </w:t>
      </w:r>
      <w:r>
        <w:t>labor</w:t>
      </w:r>
      <w:r>
        <w:rPr>
          <w:spacing w:val="-7"/>
        </w:rPr>
        <w:t xml:space="preserve"> </w:t>
      </w:r>
      <w:r>
        <w:t>force,</w:t>
      </w:r>
      <w:r>
        <w:rPr>
          <w:spacing w:val="-6"/>
        </w:rPr>
        <w:t xml:space="preserve"> </w:t>
      </w:r>
      <w:r>
        <w:t>purchase</w:t>
      </w:r>
      <w:r>
        <w:rPr>
          <w:spacing w:val="-6"/>
        </w:rPr>
        <w:t xml:space="preserve"> </w:t>
      </w:r>
      <w:r>
        <w:t xml:space="preserve">homes </w:t>
      </w:r>
      <w:bookmarkStart w:id="945" w:name="_bookmark746"/>
      <w:bookmarkEnd w:id="945"/>
      <w:r>
        <w:t>and cars, and support their</w:t>
      </w:r>
      <w:r>
        <w:rPr>
          <w:spacing w:val="-1"/>
        </w:rPr>
        <w:t xml:space="preserve"> </w:t>
      </w:r>
      <w:r>
        <w:t>families. For</w:t>
      </w:r>
      <w:r>
        <w:rPr>
          <w:spacing w:val="-1"/>
        </w:rPr>
        <w:t xml:space="preserve"> </w:t>
      </w:r>
      <w:r>
        <w:t>DACA recipients who identify as</w:t>
      </w:r>
      <w:r>
        <w:rPr>
          <w:spacing w:val="-1"/>
        </w:rPr>
        <w:t xml:space="preserve"> </w:t>
      </w:r>
      <w:r>
        <w:t>LGBTQ,</w:t>
      </w:r>
      <w:r>
        <w:rPr>
          <w:spacing w:val="-1"/>
        </w:rPr>
        <w:t xml:space="preserve"> </w:t>
      </w:r>
      <w:r>
        <w:t>the program has</w:t>
      </w:r>
      <w:r>
        <w:rPr>
          <w:spacing w:val="-1"/>
        </w:rPr>
        <w:t xml:space="preserve"> </w:t>
      </w:r>
      <w:r>
        <w:t xml:space="preserve">meant </w:t>
      </w:r>
      <w:bookmarkStart w:id="946" w:name="_bookmark747"/>
      <w:bookmarkStart w:id="947" w:name="_bookmark748"/>
      <w:bookmarkEnd w:id="946"/>
      <w:bookmarkEnd w:id="947"/>
      <w:r>
        <w:t>even more: it has allowed them to openly be themselves, free from the daily fear of deportation.</w:t>
      </w:r>
    </w:p>
    <w:p w:rsidR="00200FDA" w:rsidRDefault="00200FDA">
      <w:pPr>
        <w:spacing w:line="276" w:lineRule="auto"/>
        <w:jc w:val="both"/>
        <w:sectPr w:rsidR="00200FDA">
          <w:pgSz w:w="12240" w:h="15840"/>
          <w:pgMar w:top="1360" w:right="1300" w:bottom="1240" w:left="1300" w:header="763" w:footer="1043" w:gutter="0"/>
          <w:cols w:space="720"/>
        </w:sectPr>
      </w:pPr>
    </w:p>
    <w:p w:rsidR="00200FDA" w:rsidRDefault="00200FDA">
      <w:pPr>
        <w:pStyle w:val="BodyText"/>
        <w:spacing w:before="3"/>
        <w:rPr>
          <w:sz w:val="5"/>
        </w:rPr>
      </w:pPr>
    </w:p>
    <w:p w:rsidR="00200FDA" w:rsidRDefault="00F76C4C">
      <w:pPr>
        <w:pStyle w:val="BodyText"/>
        <w:ind w:left="1505"/>
        <w:rPr>
          <w:sz w:val="20"/>
        </w:rPr>
      </w:pPr>
      <w:r>
        <w:rPr>
          <w:noProof/>
          <w:sz w:val="20"/>
        </w:rPr>
        <w:drawing>
          <wp:inline distT="0" distB="0" distL="0" distR="0">
            <wp:extent cx="4178397" cy="4005643"/>
            <wp:effectExtent l="0" t="0" r="0" b="0"/>
            <wp:docPr id="139" name="image131.jpeg" descr="Diagram, text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31.jpeg"/>
                    <pic:cNvPicPr/>
                  </pic:nvPicPr>
                  <pic:blipFill>
                    <a:blip r:embed="rId687" cstate="print"/>
                    <a:stretch>
                      <a:fillRect/>
                    </a:stretch>
                  </pic:blipFill>
                  <pic:spPr>
                    <a:xfrm>
                      <a:off x="0" y="0"/>
                      <a:ext cx="4178397" cy="4005643"/>
                    </a:xfrm>
                    <a:prstGeom prst="rect">
                      <a:avLst/>
                    </a:prstGeom>
                  </pic:spPr>
                </pic:pic>
              </a:graphicData>
            </a:graphic>
          </wp:inline>
        </w:drawing>
      </w:r>
    </w:p>
    <w:p w:rsidR="00200FDA" w:rsidRDefault="00200FDA">
      <w:pPr>
        <w:pStyle w:val="BodyText"/>
        <w:spacing w:before="9"/>
        <w:rPr>
          <w:sz w:val="12"/>
        </w:rPr>
      </w:pPr>
    </w:p>
    <w:p w:rsidR="00200FDA" w:rsidRDefault="00F76C4C">
      <w:pPr>
        <w:pStyle w:val="BodyText"/>
        <w:spacing w:before="56" w:line="276" w:lineRule="auto"/>
        <w:ind w:left="139" w:right="131"/>
        <w:jc w:val="both"/>
      </w:pPr>
      <w:bookmarkStart w:id="948" w:name="_bookmark758"/>
      <w:bookmarkStart w:id="949" w:name="_bookmark759"/>
      <w:bookmarkStart w:id="950" w:name="_bookmark760"/>
      <w:bookmarkStart w:id="951" w:name="_bookmark761"/>
      <w:bookmarkStart w:id="952" w:name="_bookmark762"/>
      <w:bookmarkStart w:id="953" w:name="_bookmark763"/>
      <w:bookmarkStart w:id="954" w:name="_bookmark764"/>
      <w:bookmarkStart w:id="955" w:name="_bookmark765"/>
      <w:bookmarkStart w:id="956" w:name="_bookmark766"/>
      <w:bookmarkStart w:id="957" w:name="_bookmark767"/>
      <w:bookmarkStart w:id="958" w:name="_bookmark768"/>
      <w:bookmarkStart w:id="959" w:name="_bookmark769"/>
      <w:bookmarkStart w:id="960" w:name="_bookmark770"/>
      <w:bookmarkStart w:id="961" w:name="_bookmark771"/>
      <w:bookmarkStart w:id="962" w:name="_bookmark772"/>
      <w:bookmarkStart w:id="963" w:name="_bookmark773"/>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r>
        <w:t>The Williams</w:t>
      </w:r>
      <w:r>
        <w:rPr>
          <w:spacing w:val="-1"/>
        </w:rPr>
        <w:t xml:space="preserve"> </w:t>
      </w:r>
      <w:r>
        <w:t>Institute estimated in</w:t>
      </w:r>
      <w:r>
        <w:rPr>
          <w:spacing w:val="-2"/>
        </w:rPr>
        <w:t xml:space="preserve"> </w:t>
      </w:r>
      <w:r>
        <w:t>2020 that around</w:t>
      </w:r>
      <w:r>
        <w:rPr>
          <w:spacing w:val="-2"/>
        </w:rPr>
        <w:t xml:space="preserve"> </w:t>
      </w:r>
      <w:r>
        <w:t>36,000 LGBTQ</w:t>
      </w:r>
      <w:r>
        <w:rPr>
          <w:spacing w:val="-1"/>
        </w:rPr>
        <w:t xml:space="preserve"> </w:t>
      </w:r>
      <w:r>
        <w:t>people may be enrolled</w:t>
      </w:r>
      <w:r>
        <w:rPr>
          <w:spacing w:val="-1"/>
        </w:rPr>
        <w:t xml:space="preserve"> </w:t>
      </w:r>
      <w:r>
        <w:t xml:space="preserve">in the DACA </w:t>
      </w:r>
      <w:bookmarkStart w:id="964" w:name="_bookmark774"/>
      <w:bookmarkEnd w:id="964"/>
      <w:r>
        <w:t>program;</w:t>
      </w:r>
      <w:hyperlink w:anchor="_bookmark770" w:history="1">
        <w:r>
          <w:rPr>
            <w:vertAlign w:val="superscript"/>
          </w:rPr>
          <w:t>61</w:t>
        </w:r>
      </w:hyperlink>
      <w:r>
        <w:rPr>
          <w:spacing w:val="-2"/>
        </w:rPr>
        <w:t xml:space="preserve"> </w:t>
      </w:r>
      <w:r>
        <w:t>and a previous 2017 survey found that approximately 10% of DACA recipients identified as LGBTQ.</w:t>
      </w:r>
      <w:r>
        <w:rPr>
          <w:spacing w:val="-13"/>
        </w:rPr>
        <w:t xml:space="preserve"> </w:t>
      </w:r>
      <w:hyperlink w:anchor="_bookmark771" w:history="1">
        <w:r>
          <w:rPr>
            <w:vertAlign w:val="superscript"/>
          </w:rPr>
          <w:t>62</w:t>
        </w:r>
      </w:hyperlink>
      <w:r>
        <w:t xml:space="preserve"> DACA has helped LGBTQ young people improve their economic security and meet their education goals. According to the survey, 76.4% of LGBTQ respondents reported that, with DACA, they have been able to earn</w:t>
      </w:r>
      <w:r>
        <w:rPr>
          <w:spacing w:val="-2"/>
        </w:rPr>
        <w:t xml:space="preserve"> </w:t>
      </w:r>
      <w:r>
        <w:t>more money and become financially independent</w:t>
      </w:r>
      <w:r>
        <w:t>.</w:t>
      </w:r>
      <w:hyperlink w:anchor="_bookmark772" w:history="1">
        <w:r>
          <w:rPr>
            <w:vertAlign w:val="superscript"/>
          </w:rPr>
          <w:t>63</w:t>
        </w:r>
      </w:hyperlink>
      <w:r>
        <w:rPr>
          <w:spacing w:val="-2"/>
        </w:rPr>
        <w:t xml:space="preserve"> </w:t>
      </w:r>
      <w:r>
        <w:t>In addition, 94.5% of</w:t>
      </w:r>
      <w:r>
        <w:rPr>
          <w:spacing w:val="-1"/>
        </w:rPr>
        <w:t xml:space="preserve"> </w:t>
      </w:r>
      <w:r>
        <w:t>LGBTQ survey respondents were currently employed compared with 55.8% who were employed before they received DACA. Not only were more LGBTQ individuals able to obtain employment with DACA, but they a</w:t>
      </w:r>
      <w:r>
        <w:t>lso obtained higher-paying jobs with benefits. Average hourly wages rose 73.7%, and 63.4% of LGBTQ respondents had jobs with health insurance or other benefits since receiving DACA. Among those currently in school, 92.8% said that with DACA they could purs</w:t>
      </w:r>
      <w:r>
        <w:t>ue educational opportunities they previously</w:t>
      </w:r>
      <w:r>
        <w:rPr>
          <w:spacing w:val="-13"/>
        </w:rPr>
        <w:t xml:space="preserve"> </w:t>
      </w:r>
      <w:r>
        <w:t>could</w:t>
      </w:r>
      <w:r>
        <w:rPr>
          <w:spacing w:val="-12"/>
        </w:rPr>
        <w:t xml:space="preserve"> </w:t>
      </w:r>
      <w:r>
        <w:t>not,</w:t>
      </w:r>
      <w:r>
        <w:rPr>
          <w:spacing w:val="-13"/>
        </w:rPr>
        <w:t xml:space="preserve"> </w:t>
      </w:r>
      <w:r>
        <w:t>and</w:t>
      </w:r>
      <w:r>
        <w:rPr>
          <w:spacing w:val="-12"/>
        </w:rPr>
        <w:t xml:space="preserve"> </w:t>
      </w:r>
      <w:r>
        <w:t>49.2%</w:t>
      </w:r>
      <w:r>
        <w:rPr>
          <w:spacing w:val="-13"/>
        </w:rPr>
        <w:t xml:space="preserve"> </w:t>
      </w:r>
      <w:r>
        <w:t>were</w:t>
      </w:r>
      <w:r>
        <w:rPr>
          <w:spacing w:val="-12"/>
        </w:rPr>
        <w:t xml:space="preserve"> </w:t>
      </w:r>
      <w:r>
        <w:t>currently</w:t>
      </w:r>
      <w:r>
        <w:rPr>
          <w:spacing w:val="-13"/>
        </w:rPr>
        <w:t xml:space="preserve"> </w:t>
      </w:r>
      <w:r>
        <w:t>enrolled</w:t>
      </w:r>
      <w:r>
        <w:rPr>
          <w:spacing w:val="-12"/>
        </w:rPr>
        <w:t xml:space="preserve"> </w:t>
      </w:r>
      <w:r>
        <w:t>in</w:t>
      </w:r>
      <w:r>
        <w:rPr>
          <w:spacing w:val="-12"/>
        </w:rPr>
        <w:t xml:space="preserve"> </w:t>
      </w:r>
      <w:r>
        <w:t>school</w:t>
      </w:r>
      <w:r>
        <w:rPr>
          <w:spacing w:val="-13"/>
        </w:rPr>
        <w:t xml:space="preserve"> </w:t>
      </w:r>
      <w:r>
        <w:t>with</w:t>
      </w:r>
      <w:r>
        <w:rPr>
          <w:spacing w:val="-12"/>
        </w:rPr>
        <w:t xml:space="preserve"> </w:t>
      </w:r>
      <w:r>
        <w:t>77.6%</w:t>
      </w:r>
      <w:r>
        <w:rPr>
          <w:spacing w:val="-13"/>
        </w:rPr>
        <w:t xml:space="preserve"> </w:t>
      </w:r>
      <w:r>
        <w:t>pursuing</w:t>
      </w:r>
      <w:r>
        <w:rPr>
          <w:spacing w:val="-12"/>
        </w:rPr>
        <w:t xml:space="preserve"> </w:t>
      </w:r>
      <w:r>
        <w:t>a</w:t>
      </w:r>
      <w:r>
        <w:rPr>
          <w:spacing w:val="-13"/>
        </w:rPr>
        <w:t xml:space="preserve"> </w:t>
      </w:r>
      <w:r>
        <w:t>bachelor’s</w:t>
      </w:r>
      <w:r>
        <w:rPr>
          <w:spacing w:val="-12"/>
        </w:rPr>
        <w:t xml:space="preserve"> </w:t>
      </w:r>
      <w:r>
        <w:t>degree or higher.</w:t>
      </w:r>
    </w:p>
    <w:p w:rsidR="00200FDA" w:rsidRDefault="00F76C4C">
      <w:pPr>
        <w:pStyle w:val="BodyText"/>
        <w:spacing w:before="119" w:line="276" w:lineRule="auto"/>
        <w:ind w:left="139" w:right="133"/>
        <w:jc w:val="both"/>
      </w:pPr>
      <w:r>
        <w:t>In recent years, the fate of DACA has been uncertain, receiving scrutiny from courts and government attempts to terminate the program. The Trump administration ended the program in 2017, a decision overturned</w:t>
      </w:r>
      <w:r>
        <w:rPr>
          <w:spacing w:val="-4"/>
        </w:rPr>
        <w:t xml:space="preserve"> </w:t>
      </w:r>
      <w:r>
        <w:t>by</w:t>
      </w:r>
      <w:r>
        <w:rPr>
          <w:spacing w:val="-5"/>
        </w:rPr>
        <w:t xml:space="preserve"> </w:t>
      </w:r>
      <w:r>
        <w:t>the</w:t>
      </w:r>
      <w:r>
        <w:rPr>
          <w:spacing w:val="-3"/>
        </w:rPr>
        <w:t xml:space="preserve"> </w:t>
      </w:r>
      <w:r>
        <w:t>U.S.</w:t>
      </w:r>
      <w:r>
        <w:rPr>
          <w:spacing w:val="-4"/>
        </w:rPr>
        <w:t xml:space="preserve"> </w:t>
      </w:r>
      <w:r>
        <w:t>Supreme</w:t>
      </w:r>
      <w:r>
        <w:rPr>
          <w:spacing w:val="-3"/>
        </w:rPr>
        <w:t xml:space="preserve"> </w:t>
      </w:r>
      <w:r>
        <w:t>Court</w:t>
      </w:r>
      <w:r>
        <w:rPr>
          <w:spacing w:val="-3"/>
        </w:rPr>
        <w:t xml:space="preserve"> </w:t>
      </w:r>
      <w:r>
        <w:t>in</w:t>
      </w:r>
      <w:r>
        <w:rPr>
          <w:spacing w:val="-4"/>
        </w:rPr>
        <w:t xml:space="preserve"> </w:t>
      </w:r>
      <w:r>
        <w:t>June</w:t>
      </w:r>
      <w:r>
        <w:rPr>
          <w:spacing w:val="-3"/>
        </w:rPr>
        <w:t xml:space="preserve"> </w:t>
      </w:r>
      <w:r>
        <w:t>2022.</w:t>
      </w:r>
      <w:hyperlink w:anchor="_bookmark773" w:history="1">
        <w:r>
          <w:rPr>
            <w:vertAlign w:val="superscript"/>
          </w:rPr>
          <w:t>64</w:t>
        </w:r>
      </w:hyperlink>
      <w:r>
        <w:rPr>
          <w:spacing w:val="-2"/>
        </w:rPr>
        <w:t xml:space="preserve"> </w:t>
      </w:r>
      <w:r>
        <w:t>As</w:t>
      </w:r>
      <w:r>
        <w:rPr>
          <w:spacing w:val="-3"/>
        </w:rPr>
        <w:t xml:space="preserve"> </w:t>
      </w:r>
      <w:r>
        <w:t>of</w:t>
      </w:r>
      <w:r>
        <w:rPr>
          <w:spacing w:val="-4"/>
        </w:rPr>
        <w:t xml:space="preserve"> </w:t>
      </w:r>
      <w:r>
        <w:t>today,</w:t>
      </w:r>
      <w:r>
        <w:rPr>
          <w:spacing w:val="-3"/>
        </w:rPr>
        <w:t xml:space="preserve"> </w:t>
      </w:r>
      <w:r>
        <w:t>Dreamers</w:t>
      </w:r>
      <w:r>
        <w:rPr>
          <w:spacing w:val="-3"/>
        </w:rPr>
        <w:t xml:space="preserve"> </w:t>
      </w:r>
      <w:r>
        <w:t>are</w:t>
      </w:r>
      <w:r>
        <w:rPr>
          <w:spacing w:val="-3"/>
        </w:rPr>
        <w:t xml:space="preserve"> </w:t>
      </w:r>
      <w:r>
        <w:t>still</w:t>
      </w:r>
      <w:r>
        <w:rPr>
          <w:spacing w:val="-4"/>
        </w:rPr>
        <w:t xml:space="preserve"> </w:t>
      </w:r>
      <w:r>
        <w:t>waiting</w:t>
      </w:r>
      <w:r>
        <w:rPr>
          <w:spacing w:val="-4"/>
        </w:rPr>
        <w:t xml:space="preserve"> </w:t>
      </w:r>
      <w:r>
        <w:t>on</w:t>
      </w:r>
      <w:r>
        <w:rPr>
          <w:spacing w:val="-4"/>
        </w:rPr>
        <w:t xml:space="preserve"> </w:t>
      </w:r>
      <w:r>
        <w:t>Congress to pass legislation that provides them with the permanent protection they need and deserve. If LGBTQ DACA</w:t>
      </w:r>
      <w:r>
        <w:rPr>
          <w:spacing w:val="-1"/>
        </w:rPr>
        <w:t xml:space="preserve"> </w:t>
      </w:r>
      <w:r>
        <w:t>recipients</w:t>
      </w:r>
      <w:r>
        <w:rPr>
          <w:spacing w:val="-3"/>
        </w:rPr>
        <w:t xml:space="preserve"> </w:t>
      </w:r>
      <w:r>
        <w:t>lose</w:t>
      </w:r>
      <w:r>
        <w:rPr>
          <w:spacing w:val="-3"/>
        </w:rPr>
        <w:t xml:space="preserve"> </w:t>
      </w:r>
      <w:r>
        <w:t>their</w:t>
      </w:r>
      <w:r>
        <w:rPr>
          <w:spacing w:val="-3"/>
        </w:rPr>
        <w:t xml:space="preserve"> </w:t>
      </w:r>
      <w:r>
        <w:t>protected</w:t>
      </w:r>
      <w:r>
        <w:rPr>
          <w:spacing w:val="-4"/>
        </w:rPr>
        <w:t xml:space="preserve"> </w:t>
      </w:r>
      <w:r>
        <w:t>status,</w:t>
      </w:r>
      <w:r>
        <w:rPr>
          <w:spacing w:val="-3"/>
        </w:rPr>
        <w:t xml:space="preserve"> </w:t>
      </w:r>
      <w:r>
        <w:t>not</w:t>
      </w:r>
      <w:r>
        <w:rPr>
          <w:spacing w:val="-3"/>
        </w:rPr>
        <w:t xml:space="preserve"> </w:t>
      </w:r>
      <w:r>
        <w:t>only</w:t>
      </w:r>
      <w:r>
        <w:rPr>
          <w:spacing w:val="-5"/>
        </w:rPr>
        <w:t xml:space="preserve"> </w:t>
      </w:r>
      <w:r>
        <w:t>will</w:t>
      </w:r>
      <w:r>
        <w:rPr>
          <w:spacing w:val="-1"/>
        </w:rPr>
        <w:t xml:space="preserve"> </w:t>
      </w:r>
      <w:r>
        <w:t>they no lon</w:t>
      </w:r>
      <w:r>
        <w:t>ger</w:t>
      </w:r>
      <w:r>
        <w:rPr>
          <w:spacing w:val="-1"/>
        </w:rPr>
        <w:t xml:space="preserve"> </w:t>
      </w:r>
      <w:r>
        <w:t>be able</w:t>
      </w:r>
      <w:r>
        <w:rPr>
          <w:spacing w:val="-5"/>
        </w:rPr>
        <w:t xml:space="preserve"> </w:t>
      </w:r>
      <w:r>
        <w:t>to</w:t>
      </w:r>
      <w:r>
        <w:rPr>
          <w:spacing w:val="-2"/>
        </w:rPr>
        <w:t xml:space="preserve"> </w:t>
      </w:r>
      <w:r>
        <w:t>work and</w:t>
      </w:r>
      <w:r>
        <w:rPr>
          <w:spacing w:val="-4"/>
        </w:rPr>
        <w:t xml:space="preserve"> </w:t>
      </w:r>
      <w:r>
        <w:t>thrive in</w:t>
      </w:r>
      <w:r>
        <w:rPr>
          <w:spacing w:val="-4"/>
        </w:rPr>
        <w:t xml:space="preserve"> </w:t>
      </w:r>
      <w:r>
        <w:t>the U.S., but they will also face deportation to countries they may not have set foot in since childhood and where their lives could be in danger. Before being deported, LGBTQ immigrants would likely spend time in a detent</w:t>
      </w:r>
      <w:r>
        <w:t>ion facility, an environment where horrific abuse is well-documented.</w:t>
      </w:r>
    </w:p>
    <w:p w:rsidR="00200FDA" w:rsidRDefault="00200FDA">
      <w:pPr>
        <w:spacing w:line="276" w:lineRule="auto"/>
        <w:jc w:val="both"/>
        <w:sectPr w:rsidR="00200FDA">
          <w:pgSz w:w="12240" w:h="15840"/>
          <w:pgMar w:top="1360" w:right="1300" w:bottom="1240" w:left="1300" w:header="763" w:footer="1043" w:gutter="0"/>
          <w:cols w:space="720"/>
        </w:sectPr>
      </w:pPr>
    </w:p>
    <w:p w:rsidR="00200FDA" w:rsidRDefault="00F76C4C">
      <w:pPr>
        <w:pStyle w:val="BodyText"/>
        <w:spacing w:before="64" w:line="276" w:lineRule="auto"/>
        <w:ind w:left="140" w:right="136"/>
        <w:jc w:val="both"/>
      </w:pPr>
      <w:r>
        <w:lastRenderedPageBreak/>
        <w:t>Currently,</w:t>
      </w:r>
      <w:r>
        <w:rPr>
          <w:spacing w:val="-2"/>
        </w:rPr>
        <w:t xml:space="preserve"> </w:t>
      </w:r>
      <w:r>
        <w:t>Massachusetts</w:t>
      </w:r>
      <w:r>
        <w:rPr>
          <w:spacing w:val="-2"/>
        </w:rPr>
        <w:t xml:space="preserve"> </w:t>
      </w:r>
      <w:r>
        <w:t>only allows</w:t>
      </w:r>
      <w:r>
        <w:rPr>
          <w:spacing w:val="-2"/>
        </w:rPr>
        <w:t xml:space="preserve"> </w:t>
      </w:r>
      <w:r>
        <w:t>students</w:t>
      </w:r>
      <w:r>
        <w:rPr>
          <w:spacing w:val="-2"/>
        </w:rPr>
        <w:t xml:space="preserve"> </w:t>
      </w:r>
      <w:r>
        <w:t>holding</w:t>
      </w:r>
      <w:r>
        <w:rPr>
          <w:spacing w:val="-3"/>
        </w:rPr>
        <w:t xml:space="preserve"> </w:t>
      </w:r>
      <w:r>
        <w:t>some</w:t>
      </w:r>
      <w:r>
        <w:rPr>
          <w:spacing w:val="-1"/>
        </w:rPr>
        <w:t xml:space="preserve"> </w:t>
      </w:r>
      <w:r>
        <w:t>form</w:t>
      </w:r>
      <w:r>
        <w:rPr>
          <w:spacing w:val="-3"/>
        </w:rPr>
        <w:t xml:space="preserve"> </w:t>
      </w:r>
      <w:r>
        <w:t>of federal documentation</w:t>
      </w:r>
      <w:r>
        <w:rPr>
          <w:spacing w:val="-3"/>
        </w:rPr>
        <w:t xml:space="preserve"> </w:t>
      </w:r>
      <w:r>
        <w:t>(e.g.,</w:t>
      </w:r>
      <w:r>
        <w:rPr>
          <w:spacing w:val="-2"/>
        </w:rPr>
        <w:t xml:space="preserve"> </w:t>
      </w:r>
      <w:r>
        <w:t>DACA) to pay in-state tuition,</w:t>
      </w:r>
      <w:r>
        <w:rPr>
          <w:spacing w:val="-2"/>
        </w:rPr>
        <w:t xml:space="preserve"> </w:t>
      </w:r>
      <w:r>
        <w:t>even as many</w:t>
      </w:r>
      <w:r>
        <w:rPr>
          <w:spacing w:val="-1"/>
        </w:rPr>
        <w:t xml:space="preserve"> </w:t>
      </w:r>
      <w:r>
        <w:t>other states allow all status and non-status</w:t>
      </w:r>
      <w:r>
        <w:rPr>
          <w:spacing w:val="-2"/>
        </w:rPr>
        <w:t xml:space="preserve"> </w:t>
      </w:r>
      <w:r>
        <w:t>holding students to pay in-state prices.</w:t>
      </w:r>
      <w:hyperlink w:anchor="_bookmark774" w:history="1">
        <w:r>
          <w:rPr>
            <w:vertAlign w:val="superscript"/>
          </w:rPr>
          <w:t>65</w:t>
        </w:r>
      </w:hyperlink>
      <w:r>
        <w:t xml:space="preserve"> Some states further allow these students access to financial aid, though this is less common. These policies can yield real benefits for</w:t>
      </w:r>
      <w:r>
        <w:t xml:space="preserve"> students because in-state tuition is often significantly cheaper. Extending in-state tuition benefits to all immigrants regardless of status is one way to ensure that all young people who grew up in Massachusetts can continue their studies, allowing youth</w:t>
      </w:r>
      <w:r>
        <w:t xml:space="preserve"> not covered by DACA to attend public colleges and universities.</w:t>
      </w:r>
    </w:p>
    <w:p w:rsidR="00200FDA" w:rsidRDefault="00200FDA">
      <w:pPr>
        <w:pStyle w:val="BodyText"/>
        <w:spacing w:before="11"/>
        <w:rPr>
          <w:sz w:val="32"/>
        </w:rPr>
      </w:pPr>
    </w:p>
    <w:p w:rsidR="00200FDA" w:rsidRDefault="00F76C4C">
      <w:pPr>
        <w:ind w:left="140"/>
        <w:rPr>
          <w:sz w:val="32"/>
        </w:rPr>
      </w:pPr>
      <w:r>
        <w:pict>
          <v:rect id="docshape437" o:spid="_x0000_s1167" style="position:absolute;left:0;text-align:left;margin-left:70.55pt;margin-top:20.4pt;width:470.9pt;height:.5pt;z-index:-15642112;mso-wrap-distance-left:0;mso-wrap-distance-right:0;mso-position-horizontal-relative:page" fillcolor="#0f6ec5" stroked="f">
            <w10:wrap type="topAndBottom" anchorx="page"/>
          </v:rect>
        </w:pict>
      </w:r>
      <w:bookmarkStart w:id="965" w:name="Resources"/>
      <w:bookmarkEnd w:id="965"/>
      <w:r>
        <w:rPr>
          <w:color w:val="0A5293"/>
          <w:spacing w:val="-2"/>
          <w:sz w:val="32"/>
        </w:rPr>
        <w:t>Resources</w:t>
      </w:r>
    </w:p>
    <w:p w:rsidR="00200FDA" w:rsidRDefault="00200FDA">
      <w:pPr>
        <w:pStyle w:val="BodyText"/>
        <w:rPr>
          <w:sz w:val="24"/>
        </w:rPr>
      </w:pPr>
    </w:p>
    <w:p w:rsidR="00200FDA" w:rsidRDefault="00F76C4C">
      <w:pPr>
        <w:pStyle w:val="BodyText"/>
        <w:spacing w:before="56" w:line="276" w:lineRule="auto"/>
        <w:ind w:left="139" w:right="133"/>
        <w:jc w:val="both"/>
      </w:pPr>
      <w:r>
        <w:t>The</w:t>
      </w:r>
      <w:r>
        <w:rPr>
          <w:spacing w:val="-1"/>
        </w:rPr>
        <w:t xml:space="preserve"> </w:t>
      </w:r>
      <w:r>
        <w:t>above</w:t>
      </w:r>
      <w:r>
        <w:rPr>
          <w:spacing w:val="-1"/>
        </w:rPr>
        <w:t xml:space="preserve"> </w:t>
      </w:r>
      <w:r>
        <w:t>information</w:t>
      </w:r>
      <w:r>
        <w:rPr>
          <w:spacing w:val="-3"/>
        </w:rPr>
        <w:t xml:space="preserve"> </w:t>
      </w:r>
      <w:r>
        <w:t>provides</w:t>
      </w:r>
      <w:r>
        <w:rPr>
          <w:spacing w:val="-2"/>
        </w:rPr>
        <w:t xml:space="preserve"> </w:t>
      </w:r>
      <w:r>
        <w:t>numerous</w:t>
      </w:r>
      <w:r>
        <w:rPr>
          <w:spacing w:val="-2"/>
        </w:rPr>
        <w:t xml:space="preserve"> </w:t>
      </w:r>
      <w:r>
        <w:t>questions</w:t>
      </w:r>
      <w:r>
        <w:rPr>
          <w:spacing w:val="-4"/>
        </w:rPr>
        <w:t xml:space="preserve"> </w:t>
      </w:r>
      <w:r>
        <w:t>around</w:t>
      </w:r>
      <w:r>
        <w:rPr>
          <w:spacing w:val="-3"/>
        </w:rPr>
        <w:t xml:space="preserve"> </w:t>
      </w:r>
      <w:r>
        <w:t>the</w:t>
      </w:r>
      <w:r>
        <w:rPr>
          <w:spacing w:val="-1"/>
        </w:rPr>
        <w:t xml:space="preserve"> </w:t>
      </w:r>
      <w:r>
        <w:t>reality</w:t>
      </w:r>
      <w:r>
        <w:rPr>
          <w:spacing w:val="-1"/>
        </w:rPr>
        <w:t xml:space="preserve"> </w:t>
      </w:r>
      <w:r>
        <w:t>of</w:t>
      </w:r>
      <w:r>
        <w:rPr>
          <w:spacing w:val="-2"/>
        </w:rPr>
        <w:t xml:space="preserve"> </w:t>
      </w:r>
      <w:r>
        <w:t>the</w:t>
      </w:r>
      <w:r>
        <w:rPr>
          <w:spacing w:val="-1"/>
        </w:rPr>
        <w:t xml:space="preserve"> </w:t>
      </w:r>
      <w:r>
        <w:t>day-to-day</w:t>
      </w:r>
      <w:r>
        <w:rPr>
          <w:spacing w:val="-1"/>
        </w:rPr>
        <w:t xml:space="preserve"> </w:t>
      </w:r>
      <w:r>
        <w:t>experiences</w:t>
      </w:r>
      <w:r>
        <w:rPr>
          <w:spacing w:val="-2"/>
        </w:rPr>
        <w:t xml:space="preserve"> </w:t>
      </w:r>
      <w:r>
        <w:t>of LGBTQ foreign-born youth in Massachusetts. The Commission hopes that this ne</w:t>
      </w:r>
      <w:r>
        <w:t>w section in its annual report</w:t>
      </w:r>
      <w:r>
        <w:rPr>
          <w:spacing w:val="-12"/>
        </w:rPr>
        <w:t xml:space="preserve"> </w:t>
      </w:r>
      <w:r>
        <w:t>encourages</w:t>
      </w:r>
      <w:r>
        <w:rPr>
          <w:spacing w:val="-10"/>
        </w:rPr>
        <w:t xml:space="preserve"> </w:t>
      </w:r>
      <w:r>
        <w:t>policymakers</w:t>
      </w:r>
      <w:r>
        <w:rPr>
          <w:spacing w:val="-10"/>
        </w:rPr>
        <w:t xml:space="preserve"> </w:t>
      </w:r>
      <w:r>
        <w:t>and</w:t>
      </w:r>
      <w:r>
        <w:rPr>
          <w:spacing w:val="-13"/>
        </w:rPr>
        <w:t xml:space="preserve"> </w:t>
      </w:r>
      <w:r>
        <w:t>advocates</w:t>
      </w:r>
      <w:r>
        <w:rPr>
          <w:spacing w:val="-9"/>
        </w:rPr>
        <w:t xml:space="preserve"> </w:t>
      </w:r>
      <w:r>
        <w:t>to</w:t>
      </w:r>
      <w:r>
        <w:rPr>
          <w:spacing w:val="-9"/>
        </w:rPr>
        <w:t xml:space="preserve"> </w:t>
      </w:r>
      <w:r>
        <w:t>better</w:t>
      </w:r>
      <w:r>
        <w:rPr>
          <w:spacing w:val="-10"/>
        </w:rPr>
        <w:t xml:space="preserve"> </w:t>
      </w:r>
      <w:r>
        <w:t>understand</w:t>
      </w:r>
      <w:r>
        <w:rPr>
          <w:spacing w:val="-13"/>
        </w:rPr>
        <w:t xml:space="preserve"> </w:t>
      </w:r>
      <w:r>
        <w:t>the</w:t>
      </w:r>
      <w:r>
        <w:rPr>
          <w:spacing w:val="-8"/>
        </w:rPr>
        <w:t xml:space="preserve"> </w:t>
      </w:r>
      <w:r>
        <w:t>intersecting</w:t>
      </w:r>
      <w:r>
        <w:rPr>
          <w:spacing w:val="-11"/>
        </w:rPr>
        <w:t xml:space="preserve"> </w:t>
      </w:r>
      <w:r>
        <w:t>identities</w:t>
      </w:r>
      <w:r>
        <w:rPr>
          <w:spacing w:val="-12"/>
        </w:rPr>
        <w:t xml:space="preserve"> </w:t>
      </w:r>
      <w:r>
        <w:t>that</w:t>
      </w:r>
      <w:r>
        <w:rPr>
          <w:spacing w:val="-12"/>
        </w:rPr>
        <w:t xml:space="preserve"> </w:t>
      </w:r>
      <w:r>
        <w:t>many LGBTQ youth in Massachusetts face.</w:t>
      </w:r>
    </w:p>
    <w:p w:rsidR="00200FDA" w:rsidRDefault="00F76C4C">
      <w:pPr>
        <w:pStyle w:val="BodyText"/>
        <w:spacing w:before="121" w:line="381" w:lineRule="auto"/>
        <w:ind w:left="139" w:right="871"/>
        <w:jc w:val="both"/>
      </w:pPr>
      <w:r>
        <w:t>Below</w:t>
      </w:r>
      <w:r>
        <w:rPr>
          <w:spacing w:val="-1"/>
        </w:rPr>
        <w:t xml:space="preserve"> </w:t>
      </w:r>
      <w:r>
        <w:t>is</w:t>
      </w:r>
      <w:r>
        <w:rPr>
          <w:spacing w:val="-2"/>
        </w:rPr>
        <w:t xml:space="preserve"> </w:t>
      </w:r>
      <w:r>
        <w:t>a</w:t>
      </w:r>
      <w:r>
        <w:rPr>
          <w:spacing w:val="-4"/>
        </w:rPr>
        <w:t xml:space="preserve"> </w:t>
      </w:r>
      <w:r>
        <w:t>list</w:t>
      </w:r>
      <w:r>
        <w:rPr>
          <w:spacing w:val="-4"/>
        </w:rPr>
        <w:t xml:space="preserve"> </w:t>
      </w:r>
      <w:r>
        <w:t>of</w:t>
      </w:r>
      <w:r>
        <w:rPr>
          <w:spacing w:val="-2"/>
        </w:rPr>
        <w:t xml:space="preserve"> </w:t>
      </w:r>
      <w:r>
        <w:t>programs</w:t>
      </w:r>
      <w:r>
        <w:rPr>
          <w:spacing w:val="-3"/>
        </w:rPr>
        <w:t xml:space="preserve"> </w:t>
      </w:r>
      <w:r>
        <w:t>and</w:t>
      </w:r>
      <w:r>
        <w:rPr>
          <w:spacing w:val="-3"/>
        </w:rPr>
        <w:t xml:space="preserve"> </w:t>
      </w:r>
      <w:r>
        <w:t>services</w:t>
      </w:r>
      <w:r>
        <w:rPr>
          <w:spacing w:val="-2"/>
        </w:rPr>
        <w:t xml:space="preserve"> </w:t>
      </w:r>
      <w:r>
        <w:t>available</w:t>
      </w:r>
      <w:r>
        <w:rPr>
          <w:spacing w:val="-4"/>
        </w:rPr>
        <w:t xml:space="preserve"> </w:t>
      </w:r>
      <w:r>
        <w:t>to</w:t>
      </w:r>
      <w:r>
        <w:rPr>
          <w:spacing w:val="-3"/>
        </w:rPr>
        <w:t xml:space="preserve"> </w:t>
      </w:r>
      <w:r>
        <w:t>LGBTQ</w:t>
      </w:r>
      <w:r>
        <w:rPr>
          <w:spacing w:val="-2"/>
        </w:rPr>
        <w:t xml:space="preserve"> </w:t>
      </w:r>
      <w:r>
        <w:t>foreign-born</w:t>
      </w:r>
      <w:r>
        <w:rPr>
          <w:spacing w:val="-5"/>
        </w:rPr>
        <w:t xml:space="preserve"> </w:t>
      </w:r>
      <w:r>
        <w:t>youth</w:t>
      </w:r>
      <w:r>
        <w:rPr>
          <w:spacing w:val="-3"/>
        </w:rPr>
        <w:t xml:space="preserve"> </w:t>
      </w:r>
      <w:r>
        <w:t>in</w:t>
      </w:r>
      <w:r>
        <w:rPr>
          <w:spacing w:val="-3"/>
        </w:rPr>
        <w:t xml:space="preserve"> </w:t>
      </w:r>
      <w:r>
        <w:t xml:space="preserve">Massachusetts. </w:t>
      </w:r>
      <w:hyperlink r:id="rId688">
        <w:r>
          <w:rPr>
            <w:color w:val="1154CC"/>
            <w:u w:val="single" w:color="1154CC"/>
          </w:rPr>
          <w:t>The Office for Refugees and Immigrants (ORI)</w:t>
        </w:r>
      </w:hyperlink>
    </w:p>
    <w:p w:rsidR="00200FDA" w:rsidRDefault="00F76C4C">
      <w:pPr>
        <w:pStyle w:val="BodyText"/>
        <w:spacing w:before="3" w:line="276" w:lineRule="auto"/>
        <w:ind w:left="140" w:right="133"/>
        <w:jc w:val="both"/>
      </w:pPr>
      <w:r>
        <w:t>The</w:t>
      </w:r>
      <w:r>
        <w:rPr>
          <w:spacing w:val="-4"/>
        </w:rPr>
        <w:t xml:space="preserve"> </w:t>
      </w:r>
      <w:r>
        <w:t>ORI</w:t>
      </w:r>
      <w:r>
        <w:rPr>
          <w:spacing w:val="-7"/>
        </w:rPr>
        <w:t xml:space="preserve"> </w:t>
      </w:r>
      <w:r>
        <w:t>supports</w:t>
      </w:r>
      <w:r>
        <w:rPr>
          <w:spacing w:val="-4"/>
        </w:rPr>
        <w:t xml:space="preserve"> </w:t>
      </w:r>
      <w:r>
        <w:t>services</w:t>
      </w:r>
      <w:r>
        <w:rPr>
          <w:spacing w:val="-7"/>
        </w:rPr>
        <w:t xml:space="preserve"> </w:t>
      </w:r>
      <w:r>
        <w:t>that</w:t>
      </w:r>
      <w:r>
        <w:rPr>
          <w:spacing w:val="-4"/>
        </w:rPr>
        <w:t xml:space="preserve"> </w:t>
      </w:r>
      <w:r>
        <w:t>meet</w:t>
      </w:r>
      <w:r>
        <w:rPr>
          <w:spacing w:val="-6"/>
        </w:rPr>
        <w:t xml:space="preserve"> </w:t>
      </w:r>
      <w:r>
        <w:t>the</w:t>
      </w:r>
      <w:r>
        <w:rPr>
          <w:spacing w:val="-6"/>
        </w:rPr>
        <w:t xml:space="preserve"> </w:t>
      </w:r>
      <w:r>
        <w:t>cultural</w:t>
      </w:r>
      <w:r>
        <w:rPr>
          <w:spacing w:val="-7"/>
        </w:rPr>
        <w:t xml:space="preserve"> </w:t>
      </w:r>
      <w:r>
        <w:t>and</w:t>
      </w:r>
      <w:r>
        <w:rPr>
          <w:spacing w:val="-5"/>
        </w:rPr>
        <w:t xml:space="preserve"> </w:t>
      </w:r>
      <w:r>
        <w:t>linguistic</w:t>
      </w:r>
      <w:r>
        <w:rPr>
          <w:spacing w:val="-4"/>
        </w:rPr>
        <w:t xml:space="preserve"> </w:t>
      </w:r>
      <w:r>
        <w:t>needs</w:t>
      </w:r>
      <w:r>
        <w:rPr>
          <w:spacing w:val="-7"/>
        </w:rPr>
        <w:t xml:space="preserve"> </w:t>
      </w:r>
      <w:r>
        <w:t>of</w:t>
      </w:r>
      <w:r>
        <w:rPr>
          <w:spacing w:val="-7"/>
        </w:rPr>
        <w:t xml:space="preserve"> </w:t>
      </w:r>
      <w:r>
        <w:t>refugees</w:t>
      </w:r>
      <w:r>
        <w:rPr>
          <w:spacing w:val="-7"/>
        </w:rPr>
        <w:t xml:space="preserve"> </w:t>
      </w:r>
      <w:r>
        <w:t>and</w:t>
      </w:r>
      <w:r>
        <w:rPr>
          <w:spacing w:val="-5"/>
        </w:rPr>
        <w:t xml:space="preserve"> </w:t>
      </w:r>
      <w:r>
        <w:t>immigrants</w:t>
      </w:r>
      <w:r>
        <w:rPr>
          <w:spacing w:val="-7"/>
        </w:rPr>
        <w:t xml:space="preserve"> </w:t>
      </w:r>
      <w:r>
        <w:t>through a network o</w:t>
      </w:r>
      <w:r>
        <w:t>f service providers in Massachusetts. There are, however, no programs specifically tailored for</w:t>
      </w:r>
      <w:r>
        <w:rPr>
          <w:spacing w:val="-8"/>
        </w:rPr>
        <w:t xml:space="preserve"> </w:t>
      </w:r>
      <w:r>
        <w:t>LGBTQ</w:t>
      </w:r>
      <w:r>
        <w:rPr>
          <w:spacing w:val="-8"/>
        </w:rPr>
        <w:t xml:space="preserve"> </w:t>
      </w:r>
      <w:r>
        <w:t>communities,</w:t>
      </w:r>
      <w:r>
        <w:rPr>
          <w:spacing w:val="-6"/>
        </w:rPr>
        <w:t xml:space="preserve"> </w:t>
      </w:r>
      <w:r>
        <w:t>nor</w:t>
      </w:r>
      <w:r>
        <w:rPr>
          <w:spacing w:val="-6"/>
        </w:rPr>
        <w:t xml:space="preserve"> </w:t>
      </w:r>
      <w:r>
        <w:t>does</w:t>
      </w:r>
      <w:r>
        <w:rPr>
          <w:spacing w:val="-8"/>
        </w:rPr>
        <w:t xml:space="preserve"> </w:t>
      </w:r>
      <w:r>
        <w:t>ORI</w:t>
      </w:r>
      <w:r>
        <w:rPr>
          <w:spacing w:val="-8"/>
        </w:rPr>
        <w:t xml:space="preserve"> </w:t>
      </w:r>
      <w:r>
        <w:t>collect</w:t>
      </w:r>
      <w:r>
        <w:rPr>
          <w:spacing w:val="-8"/>
        </w:rPr>
        <w:t xml:space="preserve"> </w:t>
      </w:r>
      <w:r>
        <w:t>any</w:t>
      </w:r>
      <w:r>
        <w:rPr>
          <w:spacing w:val="-7"/>
        </w:rPr>
        <w:t xml:space="preserve"> </w:t>
      </w:r>
      <w:r>
        <w:t>data</w:t>
      </w:r>
      <w:r>
        <w:rPr>
          <w:spacing w:val="-8"/>
        </w:rPr>
        <w:t xml:space="preserve"> </w:t>
      </w:r>
      <w:r>
        <w:t>or</w:t>
      </w:r>
      <w:r>
        <w:rPr>
          <w:spacing w:val="-6"/>
        </w:rPr>
        <w:t xml:space="preserve"> </w:t>
      </w:r>
      <w:r>
        <w:t>information</w:t>
      </w:r>
      <w:r>
        <w:rPr>
          <w:spacing w:val="-9"/>
        </w:rPr>
        <w:t xml:space="preserve"> </w:t>
      </w:r>
      <w:r>
        <w:t>on</w:t>
      </w:r>
      <w:r>
        <w:rPr>
          <w:spacing w:val="-9"/>
        </w:rPr>
        <w:t xml:space="preserve"> </w:t>
      </w:r>
      <w:r>
        <w:t>the</w:t>
      </w:r>
      <w:r>
        <w:rPr>
          <w:spacing w:val="-7"/>
        </w:rPr>
        <w:t xml:space="preserve"> </w:t>
      </w:r>
      <w:r>
        <w:t>LGBTQ</w:t>
      </w:r>
      <w:r>
        <w:rPr>
          <w:spacing w:val="-5"/>
        </w:rPr>
        <w:t xml:space="preserve"> </w:t>
      </w:r>
      <w:r>
        <w:t>populations</w:t>
      </w:r>
      <w:r>
        <w:rPr>
          <w:spacing w:val="-6"/>
        </w:rPr>
        <w:t xml:space="preserve"> </w:t>
      </w:r>
      <w:r>
        <w:t>it</w:t>
      </w:r>
      <w:r>
        <w:rPr>
          <w:spacing w:val="-8"/>
        </w:rPr>
        <w:t xml:space="preserve"> </w:t>
      </w:r>
      <w:r>
        <w:t>serves.</w:t>
      </w:r>
    </w:p>
    <w:p w:rsidR="00200FDA" w:rsidRDefault="00F76C4C">
      <w:pPr>
        <w:pStyle w:val="BodyText"/>
        <w:spacing w:before="120"/>
        <w:ind w:left="140"/>
        <w:jc w:val="both"/>
      </w:pPr>
      <w:hyperlink r:id="rId689">
        <w:r>
          <w:rPr>
            <w:color w:val="1154CC"/>
            <w:u w:val="single" w:color="1154CC"/>
          </w:rPr>
          <w:t>De</w:t>
        </w:r>
        <w:r>
          <w:rPr>
            <w:color w:val="1154CC"/>
            <w:spacing w:val="1"/>
            <w:u w:val="single" w:color="1154CC"/>
          </w:rPr>
          <w:t xml:space="preserve"> </w:t>
        </w:r>
        <w:r>
          <w:rPr>
            <w:color w:val="1154CC"/>
            <w:spacing w:val="-4"/>
            <w:u w:val="single" w:color="1154CC"/>
          </w:rPr>
          <w:t>Novo</w:t>
        </w:r>
      </w:hyperlink>
    </w:p>
    <w:p w:rsidR="00200FDA" w:rsidRDefault="00F76C4C">
      <w:pPr>
        <w:pStyle w:val="BodyText"/>
        <w:spacing w:before="161" w:line="276" w:lineRule="auto"/>
        <w:ind w:left="139" w:right="134"/>
        <w:jc w:val="both"/>
      </w:pPr>
      <w:r>
        <w:t>Provides high-quality, free legal assistance to low-income immigrants and asylum seekers who are living in MA. They assist with asylum cases, which deal with immigrants who flee their home country because of past persecution or fear of persecution bec</w:t>
      </w:r>
      <w:r>
        <w:t>ause of race, religion, gender, nationality, social group, or political views. De Novo also assists torture survivors, victims of LGBTQ or gender-based violence, and unaccompanied minors, among other special vulnerable populations.</w:t>
      </w:r>
    </w:p>
    <w:p w:rsidR="00200FDA" w:rsidRDefault="00F76C4C">
      <w:pPr>
        <w:pStyle w:val="BodyText"/>
        <w:spacing w:before="119"/>
        <w:ind w:left="139"/>
        <w:jc w:val="both"/>
      </w:pPr>
      <w:hyperlink r:id="rId690">
        <w:r>
          <w:rPr>
            <w:color w:val="1154CC"/>
            <w:u w:val="single" w:color="1154CC"/>
          </w:rPr>
          <w:t>The</w:t>
        </w:r>
        <w:r>
          <w:rPr>
            <w:color w:val="1154CC"/>
            <w:spacing w:val="-5"/>
            <w:u w:val="single" w:color="1154CC"/>
          </w:rPr>
          <w:t xml:space="preserve"> </w:t>
        </w:r>
        <w:r>
          <w:rPr>
            <w:color w:val="1154CC"/>
            <w:u w:val="single" w:color="1154CC"/>
          </w:rPr>
          <w:t>Department</w:t>
        </w:r>
        <w:r>
          <w:rPr>
            <w:color w:val="1154CC"/>
            <w:spacing w:val="-6"/>
            <w:u w:val="single" w:color="1154CC"/>
          </w:rPr>
          <w:t xml:space="preserve"> </w:t>
        </w:r>
        <w:r>
          <w:rPr>
            <w:color w:val="1154CC"/>
            <w:u w:val="single" w:color="1154CC"/>
          </w:rPr>
          <w:t>of</w:t>
        </w:r>
        <w:r>
          <w:rPr>
            <w:color w:val="1154CC"/>
            <w:spacing w:val="-5"/>
            <w:u w:val="single" w:color="1154CC"/>
          </w:rPr>
          <w:t xml:space="preserve"> </w:t>
        </w:r>
        <w:r>
          <w:rPr>
            <w:color w:val="1154CC"/>
            <w:u w:val="single" w:color="1154CC"/>
          </w:rPr>
          <w:t>Mental</w:t>
        </w:r>
        <w:r>
          <w:rPr>
            <w:color w:val="1154CC"/>
            <w:spacing w:val="-6"/>
            <w:u w:val="single" w:color="1154CC"/>
          </w:rPr>
          <w:t xml:space="preserve"> </w:t>
        </w:r>
        <w:r>
          <w:rPr>
            <w:color w:val="1154CC"/>
            <w:u w:val="single" w:color="1154CC"/>
          </w:rPr>
          <w:t>Health</w:t>
        </w:r>
        <w:r>
          <w:rPr>
            <w:color w:val="1154CC"/>
            <w:spacing w:val="-4"/>
            <w:u w:val="single" w:color="1154CC"/>
          </w:rPr>
          <w:t xml:space="preserve"> </w:t>
        </w:r>
        <w:r>
          <w:rPr>
            <w:color w:val="1154CC"/>
            <w:u w:val="single" w:color="1154CC"/>
          </w:rPr>
          <w:t>-</w:t>
        </w:r>
        <w:r>
          <w:rPr>
            <w:color w:val="1154CC"/>
            <w:spacing w:val="-6"/>
            <w:u w:val="single" w:color="1154CC"/>
          </w:rPr>
          <w:t xml:space="preserve"> </w:t>
        </w:r>
        <w:r>
          <w:rPr>
            <w:color w:val="1154CC"/>
            <w:u w:val="single" w:color="1154CC"/>
          </w:rPr>
          <w:t>Multicultural</w:t>
        </w:r>
        <w:r>
          <w:rPr>
            <w:color w:val="1154CC"/>
            <w:spacing w:val="-6"/>
            <w:u w:val="single" w:color="1154CC"/>
          </w:rPr>
          <w:t xml:space="preserve"> </w:t>
        </w:r>
        <w:r>
          <w:rPr>
            <w:color w:val="1154CC"/>
            <w:u w:val="single" w:color="1154CC"/>
          </w:rPr>
          <w:t>Mental</w:t>
        </w:r>
        <w:r>
          <w:rPr>
            <w:color w:val="1154CC"/>
            <w:spacing w:val="-4"/>
            <w:u w:val="single" w:color="1154CC"/>
          </w:rPr>
          <w:t xml:space="preserve"> </w:t>
        </w:r>
        <w:r>
          <w:rPr>
            <w:color w:val="1154CC"/>
            <w:u w:val="single" w:color="1154CC"/>
          </w:rPr>
          <w:t>Health</w:t>
        </w:r>
        <w:r>
          <w:rPr>
            <w:color w:val="1154CC"/>
            <w:spacing w:val="-4"/>
            <w:u w:val="single" w:color="1154CC"/>
          </w:rPr>
          <w:t xml:space="preserve"> </w:t>
        </w:r>
        <w:r>
          <w:rPr>
            <w:color w:val="1154CC"/>
            <w:u w:val="single" w:color="1154CC"/>
          </w:rPr>
          <w:t>Resource</w:t>
        </w:r>
        <w:r>
          <w:rPr>
            <w:color w:val="1154CC"/>
            <w:spacing w:val="-5"/>
            <w:u w:val="single" w:color="1154CC"/>
          </w:rPr>
          <w:t xml:space="preserve"> </w:t>
        </w:r>
        <w:r>
          <w:rPr>
            <w:color w:val="1154CC"/>
            <w:spacing w:val="-2"/>
            <w:u w:val="single" w:color="1154CC"/>
          </w:rPr>
          <w:t>Directory</w:t>
        </w:r>
      </w:hyperlink>
    </w:p>
    <w:p w:rsidR="00200FDA" w:rsidRDefault="00F76C4C">
      <w:pPr>
        <w:pStyle w:val="BodyText"/>
        <w:spacing w:before="161" w:line="276" w:lineRule="auto"/>
        <w:ind w:left="139" w:right="135"/>
        <w:jc w:val="both"/>
      </w:pPr>
      <w:r>
        <w:t>This Directory contains information about organizations in Massachusetts that offer culturally and linguistically appropriate services for communities of</w:t>
      </w:r>
      <w:r>
        <w:rPr>
          <w:spacing w:val="-2"/>
        </w:rPr>
        <w:t xml:space="preserve"> </w:t>
      </w:r>
      <w:r>
        <w:t>color, the LGBTQ community, the Deaf and hard of hearing community, immigrants, and refugees. Although</w:t>
      </w:r>
      <w:r>
        <w:t xml:space="preserve"> this Directory contains information about a variety of organizations in MA that offer culturally and linguistically appropriate services for both immigrants and the LGBTQ community, there are no organizations that offer services for LGBTQ immigrant youth </w:t>
      </w:r>
      <w:r>
        <w:t>specifically.</w:t>
      </w:r>
    </w:p>
    <w:p w:rsidR="00200FDA" w:rsidRDefault="00F76C4C">
      <w:pPr>
        <w:pStyle w:val="BodyText"/>
        <w:spacing w:before="119"/>
        <w:ind w:left="139"/>
        <w:jc w:val="both"/>
      </w:pPr>
      <w:hyperlink r:id="rId691">
        <w:r>
          <w:rPr>
            <w:color w:val="1154CC"/>
            <w:u w:val="single" w:color="1154CC"/>
          </w:rPr>
          <w:t>LGBT</w:t>
        </w:r>
        <w:r>
          <w:rPr>
            <w:color w:val="1154CC"/>
            <w:spacing w:val="-6"/>
            <w:u w:val="single" w:color="1154CC"/>
          </w:rPr>
          <w:t xml:space="preserve"> </w:t>
        </w:r>
        <w:r>
          <w:rPr>
            <w:color w:val="1154CC"/>
            <w:u w:val="single" w:color="1154CC"/>
          </w:rPr>
          <w:t>Asylum</w:t>
        </w:r>
        <w:r>
          <w:rPr>
            <w:color w:val="1154CC"/>
            <w:spacing w:val="-4"/>
            <w:u w:val="single" w:color="1154CC"/>
          </w:rPr>
          <w:t xml:space="preserve"> </w:t>
        </w:r>
        <w:r>
          <w:rPr>
            <w:color w:val="1154CC"/>
            <w:u w:val="single" w:color="1154CC"/>
          </w:rPr>
          <w:t>Task</w:t>
        </w:r>
        <w:r>
          <w:rPr>
            <w:color w:val="1154CC"/>
            <w:spacing w:val="-4"/>
            <w:u w:val="single" w:color="1154CC"/>
          </w:rPr>
          <w:t xml:space="preserve"> Force</w:t>
        </w:r>
      </w:hyperlink>
    </w:p>
    <w:p w:rsidR="00200FDA" w:rsidRDefault="00F76C4C">
      <w:pPr>
        <w:pStyle w:val="BodyText"/>
        <w:spacing w:before="162" w:line="276" w:lineRule="auto"/>
        <w:ind w:left="139" w:right="134"/>
        <w:jc w:val="both"/>
      </w:pPr>
      <w:r>
        <w:t xml:space="preserve">Provides shared housing for LGBTQ asylum seekers in Worcester, Massachusetts. If funds are available, they provide a small monthly stipend to pay for food, transportation, </w:t>
      </w:r>
      <w:r>
        <w:t>and other basic expenses. Housing and</w:t>
      </w:r>
      <w:r>
        <w:rPr>
          <w:spacing w:val="-5"/>
        </w:rPr>
        <w:t xml:space="preserve"> </w:t>
      </w:r>
      <w:r>
        <w:t>stipend</w:t>
      </w:r>
      <w:r>
        <w:rPr>
          <w:spacing w:val="-5"/>
        </w:rPr>
        <w:t xml:space="preserve"> </w:t>
      </w:r>
      <w:r>
        <w:t>support</w:t>
      </w:r>
      <w:r>
        <w:rPr>
          <w:spacing w:val="-4"/>
        </w:rPr>
        <w:t xml:space="preserve"> </w:t>
      </w:r>
      <w:r>
        <w:t>continues</w:t>
      </w:r>
      <w:r>
        <w:rPr>
          <w:spacing w:val="-4"/>
        </w:rPr>
        <w:t xml:space="preserve"> </w:t>
      </w:r>
      <w:r>
        <w:t>until</w:t>
      </w:r>
      <w:r>
        <w:rPr>
          <w:spacing w:val="-5"/>
        </w:rPr>
        <w:t xml:space="preserve"> </w:t>
      </w:r>
      <w:r>
        <w:t>asylum</w:t>
      </w:r>
      <w:r>
        <w:rPr>
          <w:spacing w:val="-3"/>
        </w:rPr>
        <w:t xml:space="preserve"> </w:t>
      </w:r>
      <w:r>
        <w:t>seekers</w:t>
      </w:r>
      <w:r>
        <w:rPr>
          <w:spacing w:val="-4"/>
        </w:rPr>
        <w:t xml:space="preserve"> </w:t>
      </w:r>
      <w:r>
        <w:t>receive</w:t>
      </w:r>
      <w:r>
        <w:rPr>
          <w:spacing w:val="-4"/>
        </w:rPr>
        <w:t xml:space="preserve"> </w:t>
      </w:r>
      <w:r>
        <w:t>their</w:t>
      </w:r>
      <w:r>
        <w:rPr>
          <w:spacing w:val="-7"/>
        </w:rPr>
        <w:t xml:space="preserve"> </w:t>
      </w:r>
      <w:r>
        <w:t>work</w:t>
      </w:r>
      <w:r>
        <w:rPr>
          <w:spacing w:val="-4"/>
        </w:rPr>
        <w:t xml:space="preserve"> </w:t>
      </w:r>
      <w:r>
        <w:t>permits</w:t>
      </w:r>
      <w:r>
        <w:rPr>
          <w:spacing w:val="-4"/>
        </w:rPr>
        <w:t xml:space="preserve"> </w:t>
      </w:r>
      <w:r>
        <w:t>(EAD).</w:t>
      </w:r>
      <w:r>
        <w:rPr>
          <w:spacing w:val="-5"/>
        </w:rPr>
        <w:t xml:space="preserve"> </w:t>
      </w:r>
      <w:r>
        <w:t>They</w:t>
      </w:r>
      <w:r>
        <w:rPr>
          <w:spacing w:val="-3"/>
        </w:rPr>
        <w:t xml:space="preserve"> </w:t>
      </w:r>
      <w:r>
        <w:t>also</w:t>
      </w:r>
      <w:r>
        <w:rPr>
          <w:spacing w:val="-3"/>
        </w:rPr>
        <w:t xml:space="preserve"> </w:t>
      </w:r>
      <w:r>
        <w:t>provide</w:t>
      </w:r>
      <w:r>
        <w:rPr>
          <w:spacing w:val="-4"/>
        </w:rPr>
        <w:t xml:space="preserve"> </w:t>
      </w:r>
      <w:r>
        <w:t>a list</w:t>
      </w:r>
      <w:r>
        <w:rPr>
          <w:spacing w:val="23"/>
        </w:rPr>
        <w:t xml:space="preserve"> </w:t>
      </w:r>
      <w:r>
        <w:t>of</w:t>
      </w:r>
      <w:r>
        <w:rPr>
          <w:spacing w:val="23"/>
        </w:rPr>
        <w:t xml:space="preserve"> </w:t>
      </w:r>
      <w:r>
        <w:t>pro</w:t>
      </w:r>
      <w:r>
        <w:rPr>
          <w:spacing w:val="24"/>
        </w:rPr>
        <w:t xml:space="preserve"> </w:t>
      </w:r>
      <w:r>
        <w:t>bono</w:t>
      </w:r>
      <w:r>
        <w:rPr>
          <w:spacing w:val="24"/>
        </w:rPr>
        <w:t xml:space="preserve"> </w:t>
      </w:r>
      <w:r>
        <w:t>immigration</w:t>
      </w:r>
      <w:r>
        <w:rPr>
          <w:spacing w:val="22"/>
        </w:rPr>
        <w:t xml:space="preserve"> </w:t>
      </w:r>
      <w:r>
        <w:t>lawyers</w:t>
      </w:r>
      <w:r>
        <w:rPr>
          <w:spacing w:val="23"/>
        </w:rPr>
        <w:t xml:space="preserve"> </w:t>
      </w:r>
      <w:r>
        <w:t>that</w:t>
      </w:r>
      <w:r>
        <w:rPr>
          <w:spacing w:val="21"/>
        </w:rPr>
        <w:t xml:space="preserve"> </w:t>
      </w:r>
      <w:r>
        <w:t>might</w:t>
      </w:r>
      <w:r>
        <w:rPr>
          <w:spacing w:val="23"/>
        </w:rPr>
        <w:t xml:space="preserve"> </w:t>
      </w:r>
      <w:r>
        <w:t>be</w:t>
      </w:r>
      <w:r>
        <w:rPr>
          <w:spacing w:val="21"/>
        </w:rPr>
        <w:t xml:space="preserve"> </w:t>
      </w:r>
      <w:r>
        <w:t>able</w:t>
      </w:r>
      <w:r>
        <w:rPr>
          <w:spacing w:val="23"/>
        </w:rPr>
        <w:t xml:space="preserve"> </w:t>
      </w:r>
      <w:r>
        <w:t>to</w:t>
      </w:r>
      <w:r>
        <w:rPr>
          <w:spacing w:val="24"/>
        </w:rPr>
        <w:t xml:space="preserve"> </w:t>
      </w:r>
      <w:r>
        <w:t>assist</w:t>
      </w:r>
      <w:r>
        <w:rPr>
          <w:spacing w:val="23"/>
        </w:rPr>
        <w:t xml:space="preserve"> </w:t>
      </w:r>
      <w:r>
        <w:t>asylum</w:t>
      </w:r>
      <w:r>
        <w:rPr>
          <w:spacing w:val="24"/>
        </w:rPr>
        <w:t xml:space="preserve"> </w:t>
      </w:r>
      <w:r>
        <w:t>seekers</w:t>
      </w:r>
      <w:r>
        <w:rPr>
          <w:spacing w:val="23"/>
        </w:rPr>
        <w:t xml:space="preserve"> </w:t>
      </w:r>
      <w:r>
        <w:t>with</w:t>
      </w:r>
      <w:r>
        <w:rPr>
          <w:spacing w:val="22"/>
        </w:rPr>
        <w:t xml:space="preserve"> </w:t>
      </w:r>
      <w:r>
        <w:t>the</w:t>
      </w:r>
      <w:r>
        <w:rPr>
          <w:spacing w:val="23"/>
        </w:rPr>
        <w:t xml:space="preserve"> </w:t>
      </w:r>
      <w:r>
        <w:t>application</w:t>
      </w:r>
    </w:p>
    <w:p w:rsidR="00200FDA" w:rsidRDefault="00200FDA">
      <w:pPr>
        <w:spacing w:line="276" w:lineRule="auto"/>
        <w:jc w:val="both"/>
        <w:sectPr w:rsidR="00200FDA">
          <w:pgSz w:w="12240" w:h="15840"/>
          <w:pgMar w:top="1360" w:right="1300" w:bottom="1240" w:left="1300" w:header="763" w:footer="1043" w:gutter="0"/>
          <w:cols w:space="720"/>
        </w:sectPr>
      </w:pPr>
    </w:p>
    <w:p w:rsidR="00200FDA" w:rsidRDefault="00F76C4C">
      <w:pPr>
        <w:pStyle w:val="BodyText"/>
        <w:spacing w:before="64" w:line="276" w:lineRule="auto"/>
        <w:ind w:left="140" w:right="136"/>
        <w:jc w:val="both"/>
      </w:pPr>
      <w:r>
        <w:lastRenderedPageBreak/>
        <w:t>process. Additionally, they help asylum seekers to get connected to a doctor and therapist at the local health center.</w:t>
      </w:r>
    </w:p>
    <w:p w:rsidR="00200FDA" w:rsidRDefault="00F76C4C">
      <w:pPr>
        <w:pStyle w:val="BodyText"/>
        <w:spacing w:before="119"/>
        <w:ind w:left="139"/>
        <w:jc w:val="both"/>
      </w:pPr>
      <w:hyperlink r:id="rId692">
        <w:r>
          <w:rPr>
            <w:color w:val="1154CC"/>
            <w:u w:val="single" w:color="1154CC"/>
          </w:rPr>
          <w:t>Greater</w:t>
        </w:r>
        <w:r>
          <w:rPr>
            <w:color w:val="1154CC"/>
            <w:spacing w:val="-7"/>
            <w:u w:val="single" w:color="1154CC"/>
          </w:rPr>
          <w:t xml:space="preserve"> </w:t>
        </w:r>
        <w:r>
          <w:rPr>
            <w:color w:val="1154CC"/>
            <w:u w:val="single" w:color="1154CC"/>
          </w:rPr>
          <w:t>Boston</w:t>
        </w:r>
        <w:r>
          <w:rPr>
            <w:color w:val="1154CC"/>
            <w:spacing w:val="-4"/>
            <w:u w:val="single" w:color="1154CC"/>
          </w:rPr>
          <w:t xml:space="preserve"> </w:t>
        </w:r>
        <w:r>
          <w:rPr>
            <w:color w:val="1154CC"/>
            <w:u w:val="single" w:color="1154CC"/>
          </w:rPr>
          <w:t>Immigrant</w:t>
        </w:r>
        <w:r>
          <w:rPr>
            <w:color w:val="1154CC"/>
            <w:spacing w:val="-6"/>
            <w:u w:val="single" w:color="1154CC"/>
          </w:rPr>
          <w:t xml:space="preserve"> </w:t>
        </w:r>
        <w:r>
          <w:rPr>
            <w:color w:val="1154CC"/>
            <w:u w:val="single" w:color="1154CC"/>
          </w:rPr>
          <w:t>Defense</w:t>
        </w:r>
        <w:r>
          <w:rPr>
            <w:color w:val="1154CC"/>
            <w:spacing w:val="-3"/>
            <w:u w:val="single" w:color="1154CC"/>
          </w:rPr>
          <w:t xml:space="preserve"> </w:t>
        </w:r>
        <w:r>
          <w:rPr>
            <w:color w:val="1154CC"/>
            <w:u w:val="single" w:color="1154CC"/>
          </w:rPr>
          <w:t>Fund</w:t>
        </w:r>
      </w:hyperlink>
      <w:r>
        <w:rPr>
          <w:color w:val="1154CC"/>
          <w:spacing w:val="-4"/>
        </w:rPr>
        <w:t xml:space="preserve"> </w:t>
      </w:r>
      <w:r>
        <w:t>&amp;</w:t>
      </w:r>
      <w:r>
        <w:rPr>
          <w:spacing w:val="-6"/>
        </w:rPr>
        <w:t xml:space="preserve"> </w:t>
      </w:r>
      <w:hyperlink r:id="rId693">
        <w:r>
          <w:rPr>
            <w:color w:val="1154CC"/>
            <w:u w:val="single" w:color="1154CC"/>
          </w:rPr>
          <w:t>United</w:t>
        </w:r>
        <w:r>
          <w:rPr>
            <w:color w:val="1154CC"/>
            <w:spacing w:val="-6"/>
            <w:u w:val="single" w:color="1154CC"/>
          </w:rPr>
          <w:t xml:space="preserve"> </w:t>
        </w:r>
        <w:r>
          <w:rPr>
            <w:color w:val="1154CC"/>
            <w:u w:val="single" w:color="1154CC"/>
          </w:rPr>
          <w:t>Legal</w:t>
        </w:r>
        <w:r>
          <w:rPr>
            <w:color w:val="1154CC"/>
            <w:spacing w:val="-4"/>
            <w:u w:val="single" w:color="1154CC"/>
          </w:rPr>
          <w:t xml:space="preserve"> </w:t>
        </w:r>
        <w:r>
          <w:rPr>
            <w:color w:val="1154CC"/>
            <w:u w:val="single" w:color="1154CC"/>
          </w:rPr>
          <w:t>Defense</w:t>
        </w:r>
        <w:r>
          <w:rPr>
            <w:color w:val="1154CC"/>
            <w:spacing w:val="-2"/>
            <w:u w:val="single" w:color="1154CC"/>
          </w:rPr>
          <w:t xml:space="preserve"> </w:t>
        </w:r>
        <w:r>
          <w:rPr>
            <w:color w:val="1154CC"/>
            <w:u w:val="single" w:color="1154CC"/>
          </w:rPr>
          <w:t>Fund</w:t>
        </w:r>
        <w:r>
          <w:rPr>
            <w:color w:val="1154CC"/>
            <w:spacing w:val="-5"/>
            <w:u w:val="single" w:color="1154CC"/>
          </w:rPr>
          <w:t xml:space="preserve"> </w:t>
        </w:r>
        <w:r>
          <w:rPr>
            <w:color w:val="1154CC"/>
            <w:u w:val="single" w:color="1154CC"/>
          </w:rPr>
          <w:t>for</w:t>
        </w:r>
        <w:r>
          <w:rPr>
            <w:color w:val="1154CC"/>
            <w:spacing w:val="-3"/>
            <w:u w:val="single" w:color="1154CC"/>
          </w:rPr>
          <w:t xml:space="preserve"> </w:t>
        </w:r>
        <w:r>
          <w:rPr>
            <w:color w:val="1154CC"/>
            <w:spacing w:val="-2"/>
            <w:u w:val="single" w:color="1154CC"/>
          </w:rPr>
          <w:t>Immigrants</w:t>
        </w:r>
      </w:hyperlink>
    </w:p>
    <w:p w:rsidR="00200FDA" w:rsidRDefault="00F76C4C">
      <w:pPr>
        <w:pStyle w:val="BodyText"/>
        <w:spacing w:before="161" w:line="276" w:lineRule="auto"/>
        <w:ind w:left="140" w:right="135"/>
        <w:jc w:val="both"/>
      </w:pPr>
      <w:r>
        <w:t>Both</w:t>
      </w:r>
      <w:r>
        <w:rPr>
          <w:spacing w:val="-5"/>
        </w:rPr>
        <w:t xml:space="preserve"> </w:t>
      </w:r>
      <w:r>
        <w:t>of</w:t>
      </w:r>
      <w:r>
        <w:rPr>
          <w:spacing w:val="-5"/>
        </w:rPr>
        <w:t xml:space="preserve"> </w:t>
      </w:r>
      <w:r>
        <w:t>these</w:t>
      </w:r>
      <w:r>
        <w:rPr>
          <w:spacing w:val="-4"/>
        </w:rPr>
        <w:t xml:space="preserve"> </w:t>
      </w:r>
      <w:r>
        <w:t>Funds</w:t>
      </w:r>
      <w:r>
        <w:rPr>
          <w:spacing w:val="-2"/>
        </w:rPr>
        <w:t xml:space="preserve"> </w:t>
      </w:r>
      <w:r>
        <w:t>support</w:t>
      </w:r>
      <w:r>
        <w:rPr>
          <w:spacing w:val="-1"/>
        </w:rPr>
        <w:t xml:space="preserve"> </w:t>
      </w:r>
      <w:r>
        <w:t>local</w:t>
      </w:r>
      <w:r>
        <w:rPr>
          <w:spacing w:val="-4"/>
        </w:rPr>
        <w:t xml:space="preserve"> </w:t>
      </w:r>
      <w:r>
        <w:t>organizations</w:t>
      </w:r>
      <w:r>
        <w:rPr>
          <w:spacing w:val="-4"/>
        </w:rPr>
        <w:t xml:space="preserve"> </w:t>
      </w:r>
      <w:r>
        <w:t>that</w:t>
      </w:r>
      <w:r>
        <w:rPr>
          <w:spacing w:val="-4"/>
        </w:rPr>
        <w:t xml:space="preserve"> </w:t>
      </w:r>
      <w:r>
        <w:t>provide</w:t>
      </w:r>
      <w:r>
        <w:rPr>
          <w:spacing w:val="-4"/>
        </w:rPr>
        <w:t xml:space="preserve"> </w:t>
      </w:r>
      <w:r>
        <w:t>representation</w:t>
      </w:r>
      <w:r>
        <w:rPr>
          <w:spacing w:val="-5"/>
        </w:rPr>
        <w:t xml:space="preserve"> </w:t>
      </w:r>
      <w:r>
        <w:t>to</w:t>
      </w:r>
      <w:r>
        <w:rPr>
          <w:spacing w:val="-3"/>
        </w:rPr>
        <w:t xml:space="preserve"> </w:t>
      </w:r>
      <w:r>
        <w:t>individuals</w:t>
      </w:r>
      <w:r>
        <w:rPr>
          <w:spacing w:val="-2"/>
        </w:rPr>
        <w:t xml:space="preserve"> </w:t>
      </w:r>
      <w:r>
        <w:t>in</w:t>
      </w:r>
      <w:r>
        <w:rPr>
          <w:spacing w:val="-3"/>
        </w:rPr>
        <w:t xml:space="preserve"> </w:t>
      </w:r>
      <w:r>
        <w:t>deportation proceedings who are otherw</w:t>
      </w:r>
      <w:r>
        <w:t>ise unable to afford it. In addition to legal representation, both these Funds support</w:t>
      </w:r>
      <w:r>
        <w:rPr>
          <w:spacing w:val="-5"/>
        </w:rPr>
        <w:t xml:space="preserve"> </w:t>
      </w:r>
      <w:r>
        <w:t>nonprofits</w:t>
      </w:r>
      <w:r>
        <w:rPr>
          <w:spacing w:val="-5"/>
        </w:rPr>
        <w:t xml:space="preserve"> </w:t>
      </w:r>
      <w:r>
        <w:t>running</w:t>
      </w:r>
      <w:r>
        <w:rPr>
          <w:spacing w:val="-6"/>
        </w:rPr>
        <w:t xml:space="preserve"> </w:t>
      </w:r>
      <w:r>
        <w:t>legal</w:t>
      </w:r>
      <w:r>
        <w:rPr>
          <w:spacing w:val="-6"/>
        </w:rPr>
        <w:t xml:space="preserve"> </w:t>
      </w:r>
      <w:r>
        <w:t>education</w:t>
      </w:r>
      <w:r>
        <w:rPr>
          <w:spacing w:val="-6"/>
        </w:rPr>
        <w:t xml:space="preserve"> </w:t>
      </w:r>
      <w:r>
        <w:t>programs</w:t>
      </w:r>
      <w:r>
        <w:rPr>
          <w:spacing w:val="-5"/>
        </w:rPr>
        <w:t xml:space="preserve"> </w:t>
      </w:r>
      <w:r>
        <w:t>for</w:t>
      </w:r>
      <w:r>
        <w:rPr>
          <w:spacing w:val="-5"/>
        </w:rPr>
        <w:t xml:space="preserve"> </w:t>
      </w:r>
      <w:r>
        <w:t>immigrants</w:t>
      </w:r>
      <w:r>
        <w:rPr>
          <w:spacing w:val="-5"/>
        </w:rPr>
        <w:t xml:space="preserve"> </w:t>
      </w:r>
      <w:r>
        <w:t>such</w:t>
      </w:r>
      <w:r>
        <w:rPr>
          <w:spacing w:val="-6"/>
        </w:rPr>
        <w:t xml:space="preserve"> </w:t>
      </w:r>
      <w:r>
        <w:t>as</w:t>
      </w:r>
      <w:r>
        <w:rPr>
          <w:spacing w:val="-5"/>
        </w:rPr>
        <w:t xml:space="preserve"> </w:t>
      </w:r>
      <w:r>
        <w:t>“know</w:t>
      </w:r>
      <w:r>
        <w:rPr>
          <w:spacing w:val="-5"/>
        </w:rPr>
        <w:t xml:space="preserve"> </w:t>
      </w:r>
      <w:r>
        <w:t>your</w:t>
      </w:r>
      <w:r>
        <w:rPr>
          <w:spacing w:val="-5"/>
        </w:rPr>
        <w:t xml:space="preserve"> </w:t>
      </w:r>
      <w:r>
        <w:t>rights”</w:t>
      </w:r>
      <w:r>
        <w:rPr>
          <w:spacing w:val="-4"/>
        </w:rPr>
        <w:t xml:space="preserve"> </w:t>
      </w:r>
      <w:r>
        <w:t>trainings to</w:t>
      </w:r>
      <w:r>
        <w:rPr>
          <w:spacing w:val="-3"/>
        </w:rPr>
        <w:t xml:space="preserve"> </w:t>
      </w:r>
      <w:r>
        <w:t>prevent</w:t>
      </w:r>
      <w:r>
        <w:rPr>
          <w:spacing w:val="-4"/>
        </w:rPr>
        <w:t xml:space="preserve"> </w:t>
      </w:r>
      <w:r>
        <w:t>detention</w:t>
      </w:r>
      <w:r>
        <w:rPr>
          <w:spacing w:val="-5"/>
        </w:rPr>
        <w:t xml:space="preserve"> </w:t>
      </w:r>
      <w:r>
        <w:t>and</w:t>
      </w:r>
      <w:r>
        <w:rPr>
          <w:spacing w:val="-8"/>
        </w:rPr>
        <w:t xml:space="preserve"> </w:t>
      </w:r>
      <w:r>
        <w:t>deportation,</w:t>
      </w:r>
      <w:r>
        <w:rPr>
          <w:spacing w:val="-7"/>
        </w:rPr>
        <w:t xml:space="preserve"> </w:t>
      </w:r>
      <w:r>
        <w:t>and</w:t>
      </w:r>
      <w:r>
        <w:rPr>
          <w:spacing w:val="-5"/>
        </w:rPr>
        <w:t xml:space="preserve"> </w:t>
      </w:r>
      <w:r>
        <w:t>help</w:t>
      </w:r>
      <w:r>
        <w:rPr>
          <w:spacing w:val="-5"/>
        </w:rPr>
        <w:t xml:space="preserve"> </w:t>
      </w:r>
      <w:r>
        <w:t>immigrants</w:t>
      </w:r>
      <w:r>
        <w:rPr>
          <w:spacing w:val="-4"/>
        </w:rPr>
        <w:t xml:space="preserve"> </w:t>
      </w:r>
      <w:r>
        <w:t>navigate</w:t>
      </w:r>
      <w:r>
        <w:rPr>
          <w:spacing w:val="-6"/>
        </w:rPr>
        <w:t xml:space="preserve"> </w:t>
      </w:r>
      <w:r>
        <w:t>application</w:t>
      </w:r>
      <w:r>
        <w:rPr>
          <w:spacing w:val="-10"/>
        </w:rPr>
        <w:t xml:space="preserve"> </w:t>
      </w:r>
      <w:r>
        <w:t>processes.</w:t>
      </w:r>
      <w:r>
        <w:rPr>
          <w:spacing w:val="-5"/>
        </w:rPr>
        <w:t xml:space="preserve"> </w:t>
      </w:r>
      <w:r>
        <w:t>In</w:t>
      </w:r>
      <w:r>
        <w:rPr>
          <w:spacing w:val="-8"/>
        </w:rPr>
        <w:t xml:space="preserve"> </w:t>
      </w:r>
      <w:r>
        <w:t>the</w:t>
      </w:r>
      <w:r>
        <w:rPr>
          <w:spacing w:val="-6"/>
        </w:rPr>
        <w:t xml:space="preserve"> </w:t>
      </w:r>
      <w:r>
        <w:t>case</w:t>
      </w:r>
      <w:r>
        <w:rPr>
          <w:spacing w:val="-8"/>
        </w:rPr>
        <w:t xml:space="preserve"> </w:t>
      </w:r>
      <w:r>
        <w:t>of the United Legal Defense Fund, this support extends to covering court or other fees.</w:t>
      </w:r>
    </w:p>
    <w:p w:rsidR="00200FDA" w:rsidRDefault="00200FDA">
      <w:pPr>
        <w:pStyle w:val="BodyText"/>
        <w:spacing w:before="10"/>
        <w:rPr>
          <w:sz w:val="32"/>
        </w:rPr>
      </w:pPr>
    </w:p>
    <w:p w:rsidR="00200FDA" w:rsidRDefault="00F76C4C">
      <w:pPr>
        <w:ind w:left="140"/>
        <w:jc w:val="both"/>
        <w:rPr>
          <w:sz w:val="32"/>
        </w:rPr>
      </w:pPr>
      <w:r>
        <w:pict>
          <v:rect id="docshape438" o:spid="_x0000_s1166" style="position:absolute;left:0;text-align:left;margin-left:70.55pt;margin-top:20.5pt;width:470.9pt;height:.5pt;z-index:-15641600;mso-wrap-distance-left:0;mso-wrap-distance-right:0;mso-position-horizontal-relative:page" fillcolor="#0f6ec5" stroked="f">
            <w10:wrap type="topAndBottom" anchorx="page"/>
          </v:rect>
        </w:pict>
      </w:r>
      <w:r>
        <w:rPr>
          <w:color w:val="0A5293"/>
          <w:sz w:val="32"/>
        </w:rPr>
        <w:t>Acknowledgments</w:t>
      </w:r>
      <w:r>
        <w:rPr>
          <w:color w:val="0A5293"/>
          <w:spacing w:val="-15"/>
          <w:sz w:val="32"/>
        </w:rPr>
        <w:t xml:space="preserve"> </w:t>
      </w:r>
      <w:r>
        <w:rPr>
          <w:color w:val="0A5293"/>
          <w:sz w:val="32"/>
        </w:rPr>
        <w:t>&amp;</w:t>
      </w:r>
      <w:r>
        <w:rPr>
          <w:color w:val="0A5293"/>
          <w:spacing w:val="-15"/>
          <w:sz w:val="32"/>
        </w:rPr>
        <w:t xml:space="preserve"> </w:t>
      </w:r>
      <w:r>
        <w:rPr>
          <w:color w:val="0A5293"/>
          <w:spacing w:val="-2"/>
          <w:sz w:val="32"/>
        </w:rPr>
        <w:t>Citations</w:t>
      </w:r>
    </w:p>
    <w:p w:rsidR="00200FDA" w:rsidRDefault="00200FDA">
      <w:pPr>
        <w:pStyle w:val="BodyText"/>
        <w:rPr>
          <w:sz w:val="20"/>
        </w:rPr>
      </w:pPr>
    </w:p>
    <w:p w:rsidR="00200FDA" w:rsidRDefault="00200FDA">
      <w:pPr>
        <w:pStyle w:val="BodyText"/>
        <w:spacing w:before="1"/>
        <w:rPr>
          <w:sz w:val="16"/>
        </w:rPr>
      </w:pPr>
    </w:p>
    <w:p w:rsidR="00200FDA" w:rsidRDefault="00F76C4C">
      <w:pPr>
        <w:ind w:left="140"/>
        <w:rPr>
          <w:i/>
          <w:sz w:val="21"/>
        </w:rPr>
      </w:pPr>
      <w:r>
        <w:rPr>
          <w:i/>
          <w:sz w:val="21"/>
        </w:rPr>
        <w:t>Acknowledgments:</w:t>
      </w:r>
      <w:r>
        <w:rPr>
          <w:i/>
          <w:spacing w:val="-11"/>
          <w:sz w:val="21"/>
        </w:rPr>
        <w:t xml:space="preserve"> </w:t>
      </w:r>
      <w:r>
        <w:rPr>
          <w:i/>
          <w:sz w:val="21"/>
        </w:rPr>
        <w:t>Karina</w:t>
      </w:r>
      <w:r>
        <w:rPr>
          <w:i/>
          <w:spacing w:val="-8"/>
          <w:sz w:val="21"/>
        </w:rPr>
        <w:t xml:space="preserve"> </w:t>
      </w:r>
      <w:r>
        <w:rPr>
          <w:i/>
          <w:sz w:val="21"/>
        </w:rPr>
        <w:t>Zeferino,</w:t>
      </w:r>
      <w:r>
        <w:rPr>
          <w:i/>
          <w:spacing w:val="-8"/>
          <w:sz w:val="21"/>
        </w:rPr>
        <w:t xml:space="preserve"> </w:t>
      </w:r>
      <w:r>
        <w:rPr>
          <w:i/>
          <w:sz w:val="21"/>
        </w:rPr>
        <w:t>lead</w:t>
      </w:r>
      <w:r>
        <w:rPr>
          <w:i/>
          <w:spacing w:val="-9"/>
          <w:sz w:val="21"/>
        </w:rPr>
        <w:t xml:space="preserve"> </w:t>
      </w:r>
      <w:r>
        <w:rPr>
          <w:i/>
          <w:sz w:val="21"/>
        </w:rPr>
        <w:t>researcher</w:t>
      </w:r>
      <w:r>
        <w:rPr>
          <w:i/>
          <w:spacing w:val="-7"/>
          <w:sz w:val="21"/>
        </w:rPr>
        <w:t xml:space="preserve"> </w:t>
      </w:r>
      <w:r>
        <w:rPr>
          <w:i/>
          <w:sz w:val="21"/>
        </w:rPr>
        <w:t>and</w:t>
      </w:r>
      <w:r>
        <w:rPr>
          <w:i/>
          <w:spacing w:val="-10"/>
          <w:sz w:val="21"/>
        </w:rPr>
        <w:t xml:space="preserve"> </w:t>
      </w:r>
      <w:r>
        <w:rPr>
          <w:i/>
          <w:spacing w:val="-2"/>
          <w:sz w:val="21"/>
        </w:rPr>
        <w:t>author</w:t>
      </w:r>
    </w:p>
    <w:p w:rsidR="00200FDA" w:rsidRDefault="00200FDA">
      <w:pPr>
        <w:pStyle w:val="BodyText"/>
        <w:rPr>
          <w:i/>
          <w:sz w:val="20"/>
        </w:rPr>
      </w:pPr>
    </w:p>
    <w:p w:rsidR="00200FDA" w:rsidRDefault="00200FDA">
      <w:pPr>
        <w:pStyle w:val="BodyText"/>
        <w:rPr>
          <w:i/>
          <w:sz w:val="20"/>
        </w:rPr>
      </w:pPr>
    </w:p>
    <w:p w:rsidR="00200FDA" w:rsidRDefault="00200FDA">
      <w:pPr>
        <w:pStyle w:val="BodyText"/>
        <w:spacing w:before="5"/>
        <w:rPr>
          <w:i/>
          <w:sz w:val="27"/>
        </w:rPr>
      </w:pPr>
    </w:p>
    <w:p w:rsidR="00200FDA" w:rsidRDefault="00F76C4C">
      <w:pPr>
        <w:spacing w:before="1"/>
        <w:ind w:left="140" w:right="951" w:hanging="1"/>
        <w:rPr>
          <w:sz w:val="18"/>
        </w:rPr>
      </w:pPr>
      <w:r>
        <w:rPr>
          <w:position w:val="5"/>
          <w:sz w:val="12"/>
        </w:rPr>
        <w:t>1</w:t>
      </w:r>
      <w:r>
        <w:rPr>
          <w:spacing w:val="22"/>
          <w:position w:val="5"/>
          <w:sz w:val="12"/>
        </w:rPr>
        <w:t xml:space="preserve"> </w:t>
      </w:r>
      <w:r>
        <w:rPr>
          <w:sz w:val="18"/>
        </w:rPr>
        <w:t xml:space="preserve">Associated Press, “Massachusetts Sheriff Ends Enforcement Agreement with ICE,” January 5, 2023, </w:t>
      </w:r>
      <w:r>
        <w:rPr>
          <w:spacing w:val="-2"/>
          <w:sz w:val="18"/>
        </w:rPr>
        <w:t>https://</w:t>
      </w:r>
      <w:hyperlink r:id="rId694">
        <w:r>
          <w:rPr>
            <w:spacing w:val="-2"/>
            <w:sz w:val="18"/>
          </w:rPr>
          <w:t>www.wgbh.org/news/local-news</w:t>
        </w:r>
        <w:r>
          <w:rPr>
            <w:spacing w:val="-2"/>
            <w:sz w:val="18"/>
          </w:rPr>
          <w:t>/2023/01/05/massachusetts-sheriff-ends-enforcement-agreement-with-ice.</w:t>
        </w:r>
      </w:hyperlink>
    </w:p>
    <w:p w:rsidR="00200FDA" w:rsidRDefault="00F76C4C">
      <w:pPr>
        <w:ind w:left="140" w:right="255"/>
        <w:rPr>
          <w:sz w:val="18"/>
        </w:rPr>
      </w:pPr>
      <w:r>
        <w:rPr>
          <w:position w:val="5"/>
          <w:sz w:val="12"/>
        </w:rPr>
        <w:t>2</w:t>
      </w:r>
      <w:r>
        <w:rPr>
          <w:spacing w:val="19"/>
          <w:position w:val="5"/>
          <w:sz w:val="12"/>
        </w:rPr>
        <w:t xml:space="preserve"> </w:t>
      </w:r>
      <w:r>
        <w:rPr>
          <w:sz w:val="18"/>
        </w:rPr>
        <w:t xml:space="preserve">Sean Philip Cotter, “Boston Police Say They Received, Ignored 12 ICE Immigration Detainer Requests,” January 9, 2023, </w:t>
      </w:r>
      <w:r>
        <w:rPr>
          <w:spacing w:val="-2"/>
          <w:sz w:val="18"/>
        </w:rPr>
        <w:t>https://</w:t>
      </w:r>
      <w:hyperlink r:id="rId695">
        <w:r>
          <w:rPr>
            <w:spacing w:val="-2"/>
            <w:sz w:val="18"/>
          </w:rPr>
          <w:t>www.bostonherald.com/2023/01/09/boston-police-say-they-received-ignored-12-ice-immigration-detainer-requests/.</w:t>
        </w:r>
      </w:hyperlink>
      <w:r>
        <w:rPr>
          <w:spacing w:val="80"/>
          <w:sz w:val="18"/>
        </w:rPr>
        <w:t xml:space="preserve">  </w:t>
      </w:r>
      <w:r>
        <w:rPr>
          <w:position w:val="5"/>
          <w:sz w:val="12"/>
        </w:rPr>
        <w:t>3</w:t>
      </w:r>
      <w:r>
        <w:rPr>
          <w:spacing w:val="19"/>
          <w:position w:val="5"/>
          <w:sz w:val="12"/>
        </w:rPr>
        <w:t xml:space="preserve"> </w:t>
      </w:r>
      <w:r>
        <w:rPr>
          <w:sz w:val="18"/>
        </w:rPr>
        <w:t>Adi Daniels, “Why Do People Immigrate? - The Different Causes o</w:t>
      </w:r>
      <w:r>
        <w:rPr>
          <w:sz w:val="18"/>
        </w:rPr>
        <w:t xml:space="preserve">f Immigration,” </w:t>
      </w:r>
      <w:r>
        <w:rPr>
          <w:i/>
          <w:sz w:val="18"/>
        </w:rPr>
        <w:t xml:space="preserve">LIRS </w:t>
      </w:r>
      <w:r>
        <w:rPr>
          <w:sz w:val="18"/>
        </w:rPr>
        <w:t xml:space="preserve">(blog), July 15, 2021, </w:t>
      </w:r>
      <w:r>
        <w:rPr>
          <w:spacing w:val="-2"/>
          <w:sz w:val="18"/>
        </w:rPr>
        <w:t>https://</w:t>
      </w:r>
      <w:hyperlink r:id="rId696">
        <w:r>
          <w:rPr>
            <w:spacing w:val="-2"/>
            <w:sz w:val="18"/>
          </w:rPr>
          <w:t>www.lirs.org/causes-of-immigration/.</w:t>
        </w:r>
      </w:hyperlink>
    </w:p>
    <w:p w:rsidR="00200FDA" w:rsidRDefault="00F76C4C">
      <w:pPr>
        <w:ind w:left="140" w:hanging="1"/>
        <w:rPr>
          <w:sz w:val="18"/>
        </w:rPr>
      </w:pPr>
      <w:r>
        <w:rPr>
          <w:position w:val="5"/>
          <w:sz w:val="12"/>
        </w:rPr>
        <w:t>4</w:t>
      </w:r>
      <w:r>
        <w:rPr>
          <w:spacing w:val="10"/>
          <w:position w:val="5"/>
          <w:sz w:val="12"/>
        </w:rPr>
        <w:t xml:space="preserve"> </w:t>
      </w:r>
      <w:r>
        <w:rPr>
          <w:sz w:val="18"/>
        </w:rPr>
        <w:t>“#OUTLAWED:</w:t>
      </w:r>
      <w:r>
        <w:rPr>
          <w:spacing w:val="-2"/>
          <w:sz w:val="18"/>
        </w:rPr>
        <w:t xml:space="preserve"> </w:t>
      </w:r>
      <w:r>
        <w:rPr>
          <w:sz w:val="18"/>
        </w:rPr>
        <w:t>‘The</w:t>
      </w:r>
      <w:r>
        <w:rPr>
          <w:spacing w:val="-3"/>
          <w:sz w:val="18"/>
        </w:rPr>
        <w:t xml:space="preserve"> </w:t>
      </w:r>
      <w:r>
        <w:rPr>
          <w:sz w:val="18"/>
        </w:rPr>
        <w:t>Love</w:t>
      </w:r>
      <w:r>
        <w:rPr>
          <w:spacing w:val="-3"/>
          <w:sz w:val="18"/>
        </w:rPr>
        <w:t xml:space="preserve"> </w:t>
      </w:r>
      <w:r>
        <w:rPr>
          <w:sz w:val="18"/>
        </w:rPr>
        <w:t>That</w:t>
      </w:r>
      <w:r>
        <w:rPr>
          <w:spacing w:val="-3"/>
          <w:sz w:val="18"/>
        </w:rPr>
        <w:t xml:space="preserve"> </w:t>
      </w:r>
      <w:r>
        <w:rPr>
          <w:sz w:val="18"/>
        </w:rPr>
        <w:t>Dare</w:t>
      </w:r>
      <w:r>
        <w:rPr>
          <w:spacing w:val="-3"/>
          <w:sz w:val="18"/>
        </w:rPr>
        <w:t xml:space="preserve"> </w:t>
      </w:r>
      <w:r>
        <w:rPr>
          <w:sz w:val="18"/>
        </w:rPr>
        <w:t>Not</w:t>
      </w:r>
      <w:r>
        <w:rPr>
          <w:spacing w:val="-3"/>
          <w:sz w:val="18"/>
        </w:rPr>
        <w:t xml:space="preserve"> </w:t>
      </w:r>
      <w:r>
        <w:rPr>
          <w:sz w:val="18"/>
        </w:rPr>
        <w:t>Speak</w:t>
      </w:r>
      <w:r>
        <w:rPr>
          <w:spacing w:val="-3"/>
          <w:sz w:val="18"/>
        </w:rPr>
        <w:t xml:space="preserve"> </w:t>
      </w:r>
      <w:r>
        <w:rPr>
          <w:sz w:val="18"/>
        </w:rPr>
        <w:t>Its</w:t>
      </w:r>
      <w:r>
        <w:rPr>
          <w:spacing w:val="-3"/>
          <w:sz w:val="18"/>
        </w:rPr>
        <w:t xml:space="preserve"> </w:t>
      </w:r>
      <w:r>
        <w:rPr>
          <w:sz w:val="18"/>
        </w:rPr>
        <w:t>Name,’”</w:t>
      </w:r>
      <w:r>
        <w:rPr>
          <w:spacing w:val="-3"/>
          <w:sz w:val="18"/>
        </w:rPr>
        <w:t xml:space="preserve"> </w:t>
      </w:r>
      <w:r>
        <w:rPr>
          <w:sz w:val="18"/>
        </w:rPr>
        <w:t>accessed</w:t>
      </w:r>
      <w:r>
        <w:rPr>
          <w:spacing w:val="-3"/>
          <w:sz w:val="18"/>
        </w:rPr>
        <w:t xml:space="preserve"> </w:t>
      </w:r>
      <w:r>
        <w:rPr>
          <w:sz w:val="18"/>
        </w:rPr>
        <w:t>April</w:t>
      </w:r>
      <w:r>
        <w:rPr>
          <w:spacing w:val="-3"/>
          <w:sz w:val="18"/>
        </w:rPr>
        <w:t xml:space="preserve"> </w:t>
      </w:r>
      <w:r>
        <w:rPr>
          <w:sz w:val="18"/>
        </w:rPr>
        <w:t>3,</w:t>
      </w:r>
      <w:r>
        <w:rPr>
          <w:spacing w:val="-2"/>
          <w:sz w:val="18"/>
        </w:rPr>
        <w:t xml:space="preserve"> </w:t>
      </w:r>
      <w:r>
        <w:rPr>
          <w:sz w:val="18"/>
        </w:rPr>
        <w:t xml:space="preserve">2023, </w:t>
      </w:r>
      <w:r>
        <w:rPr>
          <w:spacing w:val="-2"/>
          <w:sz w:val="18"/>
        </w:rPr>
        <w:t>https://features.hrw.org/features/features/lgbt_laws.</w:t>
      </w:r>
    </w:p>
    <w:p w:rsidR="00200FDA" w:rsidRDefault="00F76C4C">
      <w:pPr>
        <w:spacing w:line="219" w:lineRule="exact"/>
        <w:ind w:left="140"/>
        <w:rPr>
          <w:sz w:val="18"/>
        </w:rPr>
      </w:pPr>
      <w:r>
        <w:rPr>
          <w:position w:val="5"/>
          <w:sz w:val="12"/>
        </w:rPr>
        <w:t>5</w:t>
      </w:r>
      <w:r>
        <w:rPr>
          <w:spacing w:val="10"/>
          <w:position w:val="5"/>
          <w:sz w:val="12"/>
        </w:rPr>
        <w:t xml:space="preserve"> </w:t>
      </w:r>
      <w:r>
        <w:rPr>
          <w:spacing w:val="-2"/>
          <w:sz w:val="18"/>
        </w:rPr>
        <w:t>“#OUTLAWED.”</w:t>
      </w:r>
    </w:p>
    <w:p w:rsidR="00200FDA" w:rsidRDefault="00F76C4C">
      <w:pPr>
        <w:ind w:left="140" w:right="2855" w:hanging="1"/>
        <w:rPr>
          <w:sz w:val="18"/>
        </w:rPr>
      </w:pPr>
      <w:r>
        <w:rPr>
          <w:position w:val="5"/>
          <w:sz w:val="12"/>
        </w:rPr>
        <w:t>6</w:t>
      </w:r>
      <w:r>
        <w:rPr>
          <w:spacing w:val="10"/>
          <w:position w:val="5"/>
          <w:sz w:val="12"/>
        </w:rPr>
        <w:t xml:space="preserve"> </w:t>
      </w:r>
      <w:r>
        <w:rPr>
          <w:sz w:val="18"/>
        </w:rPr>
        <w:t>Hasalyn</w:t>
      </w:r>
      <w:r>
        <w:rPr>
          <w:spacing w:val="-3"/>
          <w:sz w:val="18"/>
        </w:rPr>
        <w:t xml:space="preserve"> </w:t>
      </w:r>
      <w:r>
        <w:rPr>
          <w:sz w:val="18"/>
        </w:rPr>
        <w:t>Modine,</w:t>
      </w:r>
      <w:r>
        <w:rPr>
          <w:spacing w:val="-2"/>
          <w:sz w:val="18"/>
        </w:rPr>
        <w:t xml:space="preserve"> </w:t>
      </w:r>
      <w:r>
        <w:rPr>
          <w:sz w:val="18"/>
        </w:rPr>
        <w:t>“A</w:t>
      </w:r>
      <w:r>
        <w:rPr>
          <w:spacing w:val="-3"/>
          <w:sz w:val="18"/>
        </w:rPr>
        <w:t xml:space="preserve"> </w:t>
      </w:r>
      <w:r>
        <w:rPr>
          <w:sz w:val="18"/>
        </w:rPr>
        <w:t>Short</w:t>
      </w:r>
      <w:r>
        <w:rPr>
          <w:spacing w:val="-3"/>
          <w:sz w:val="18"/>
        </w:rPr>
        <w:t xml:space="preserve"> </w:t>
      </w:r>
      <w:r>
        <w:rPr>
          <w:sz w:val="18"/>
        </w:rPr>
        <w:t>History</w:t>
      </w:r>
      <w:r>
        <w:rPr>
          <w:spacing w:val="-2"/>
          <w:sz w:val="18"/>
        </w:rPr>
        <w:t xml:space="preserve"> </w:t>
      </w:r>
      <w:r>
        <w:rPr>
          <w:sz w:val="18"/>
        </w:rPr>
        <w:t>of</w:t>
      </w:r>
      <w:r>
        <w:rPr>
          <w:spacing w:val="-2"/>
          <w:sz w:val="18"/>
        </w:rPr>
        <w:t xml:space="preserve"> </w:t>
      </w:r>
      <w:r>
        <w:rPr>
          <w:sz w:val="18"/>
        </w:rPr>
        <w:t>LGBTQ</w:t>
      </w:r>
      <w:r>
        <w:rPr>
          <w:spacing w:val="-3"/>
          <w:sz w:val="18"/>
        </w:rPr>
        <w:t xml:space="preserve"> </w:t>
      </w:r>
      <w:r>
        <w:rPr>
          <w:sz w:val="18"/>
        </w:rPr>
        <w:t>Immigration</w:t>
      </w:r>
      <w:r>
        <w:rPr>
          <w:spacing w:val="-3"/>
          <w:sz w:val="18"/>
        </w:rPr>
        <w:t xml:space="preserve"> </w:t>
      </w:r>
      <w:r>
        <w:rPr>
          <w:sz w:val="18"/>
        </w:rPr>
        <w:t>Policy,”</w:t>
      </w:r>
      <w:r>
        <w:rPr>
          <w:spacing w:val="-6"/>
          <w:sz w:val="18"/>
        </w:rPr>
        <w:t xml:space="preserve"> </w:t>
      </w:r>
      <w:r>
        <w:rPr>
          <w:sz w:val="18"/>
        </w:rPr>
        <w:t>Boundless,</w:t>
      </w:r>
      <w:r>
        <w:rPr>
          <w:spacing w:val="-2"/>
          <w:sz w:val="18"/>
        </w:rPr>
        <w:t xml:space="preserve"> </w:t>
      </w:r>
      <w:r>
        <w:rPr>
          <w:sz w:val="18"/>
        </w:rPr>
        <w:t>June</w:t>
      </w:r>
      <w:r>
        <w:rPr>
          <w:spacing w:val="-3"/>
          <w:sz w:val="18"/>
        </w:rPr>
        <w:t xml:space="preserve"> </w:t>
      </w:r>
      <w:r>
        <w:rPr>
          <w:sz w:val="18"/>
        </w:rPr>
        <w:t>6,</w:t>
      </w:r>
      <w:r>
        <w:rPr>
          <w:spacing w:val="-2"/>
          <w:sz w:val="18"/>
        </w:rPr>
        <w:t xml:space="preserve"> </w:t>
      </w:r>
      <w:r>
        <w:rPr>
          <w:sz w:val="18"/>
        </w:rPr>
        <w:t xml:space="preserve">2022, </w:t>
      </w:r>
      <w:r>
        <w:rPr>
          <w:spacing w:val="-2"/>
          <w:sz w:val="18"/>
        </w:rPr>
        <w:t>https://</w:t>
      </w:r>
      <w:hyperlink r:id="rId697">
        <w:r>
          <w:rPr>
            <w:spacing w:val="-2"/>
            <w:sz w:val="18"/>
          </w:rPr>
          <w:t>www.boundless.com/blog/a-short-history-lgbtq-immigration-policy/.</w:t>
        </w:r>
      </w:hyperlink>
    </w:p>
    <w:p w:rsidR="00200FDA" w:rsidRDefault="00F76C4C">
      <w:pPr>
        <w:ind w:left="140" w:right="617" w:hanging="1"/>
        <w:rPr>
          <w:sz w:val="18"/>
        </w:rPr>
      </w:pPr>
      <w:r>
        <w:rPr>
          <w:position w:val="5"/>
          <w:sz w:val="12"/>
        </w:rPr>
        <w:t>7</w:t>
      </w:r>
      <w:r>
        <w:rPr>
          <w:spacing w:val="11"/>
          <w:position w:val="5"/>
          <w:sz w:val="12"/>
        </w:rPr>
        <w:t xml:space="preserve"> </w:t>
      </w:r>
      <w:r>
        <w:rPr>
          <w:sz w:val="18"/>
        </w:rPr>
        <w:t>Sharita</w:t>
      </w:r>
      <w:r>
        <w:rPr>
          <w:spacing w:val="-1"/>
          <w:sz w:val="18"/>
        </w:rPr>
        <w:t xml:space="preserve"> </w:t>
      </w:r>
      <w:r>
        <w:rPr>
          <w:sz w:val="18"/>
        </w:rPr>
        <w:t>Gruberg,</w:t>
      </w:r>
      <w:r>
        <w:rPr>
          <w:spacing w:val="-1"/>
          <w:sz w:val="18"/>
        </w:rPr>
        <w:t xml:space="preserve"> </w:t>
      </w:r>
      <w:r>
        <w:rPr>
          <w:sz w:val="18"/>
        </w:rPr>
        <w:t>“On</w:t>
      </w:r>
      <w:r>
        <w:rPr>
          <w:spacing w:val="-2"/>
          <w:sz w:val="18"/>
        </w:rPr>
        <w:t xml:space="preserve"> </w:t>
      </w:r>
      <w:r>
        <w:rPr>
          <w:sz w:val="18"/>
        </w:rPr>
        <w:t>the</w:t>
      </w:r>
      <w:r>
        <w:rPr>
          <w:spacing w:val="-2"/>
          <w:sz w:val="18"/>
        </w:rPr>
        <w:t xml:space="preserve"> </w:t>
      </w:r>
      <w:r>
        <w:rPr>
          <w:sz w:val="18"/>
        </w:rPr>
        <w:t>50th</w:t>
      </w:r>
      <w:r>
        <w:rPr>
          <w:spacing w:val="-2"/>
          <w:sz w:val="18"/>
        </w:rPr>
        <w:t xml:space="preserve"> </w:t>
      </w:r>
      <w:r>
        <w:rPr>
          <w:sz w:val="18"/>
        </w:rPr>
        <w:t>Anniversary</w:t>
      </w:r>
      <w:r>
        <w:rPr>
          <w:spacing w:val="-1"/>
          <w:sz w:val="18"/>
        </w:rPr>
        <w:t xml:space="preserve"> </w:t>
      </w:r>
      <w:r>
        <w:rPr>
          <w:sz w:val="18"/>
        </w:rPr>
        <w:t>of</w:t>
      </w:r>
      <w:r>
        <w:rPr>
          <w:spacing w:val="-1"/>
          <w:sz w:val="18"/>
        </w:rPr>
        <w:t xml:space="preserve"> </w:t>
      </w:r>
      <w:r>
        <w:rPr>
          <w:sz w:val="18"/>
        </w:rPr>
        <w:t>the</w:t>
      </w:r>
      <w:r>
        <w:rPr>
          <w:spacing w:val="-2"/>
          <w:sz w:val="18"/>
        </w:rPr>
        <w:t xml:space="preserve"> </w:t>
      </w:r>
      <w:r>
        <w:rPr>
          <w:sz w:val="18"/>
        </w:rPr>
        <w:t>Immigration</w:t>
      </w:r>
      <w:r>
        <w:rPr>
          <w:spacing w:val="-2"/>
          <w:sz w:val="18"/>
        </w:rPr>
        <w:t xml:space="preserve"> </w:t>
      </w:r>
      <w:r>
        <w:rPr>
          <w:sz w:val="18"/>
        </w:rPr>
        <w:t>and</w:t>
      </w:r>
      <w:r>
        <w:rPr>
          <w:spacing w:val="-2"/>
          <w:sz w:val="18"/>
        </w:rPr>
        <w:t xml:space="preserve"> </w:t>
      </w:r>
      <w:r>
        <w:rPr>
          <w:sz w:val="18"/>
        </w:rPr>
        <w:t>Nationality Act,</w:t>
      </w:r>
      <w:r>
        <w:rPr>
          <w:spacing w:val="-1"/>
          <w:sz w:val="18"/>
        </w:rPr>
        <w:t xml:space="preserve"> </w:t>
      </w:r>
      <w:r>
        <w:rPr>
          <w:sz w:val="18"/>
        </w:rPr>
        <w:t>Changes</w:t>
      </w:r>
      <w:r>
        <w:rPr>
          <w:spacing w:val="-2"/>
          <w:sz w:val="18"/>
        </w:rPr>
        <w:t xml:space="preserve"> </w:t>
      </w:r>
      <w:r>
        <w:rPr>
          <w:sz w:val="18"/>
        </w:rPr>
        <w:t>Are</w:t>
      </w:r>
      <w:r>
        <w:rPr>
          <w:spacing w:val="-2"/>
          <w:sz w:val="18"/>
        </w:rPr>
        <w:t xml:space="preserve"> </w:t>
      </w:r>
      <w:r>
        <w:rPr>
          <w:sz w:val="18"/>
        </w:rPr>
        <w:t>Needed</w:t>
      </w:r>
      <w:r>
        <w:rPr>
          <w:spacing w:val="-2"/>
          <w:sz w:val="18"/>
        </w:rPr>
        <w:t xml:space="preserve"> </w:t>
      </w:r>
      <w:r>
        <w:rPr>
          <w:sz w:val="18"/>
        </w:rPr>
        <w:t>to Protect</w:t>
      </w:r>
      <w:r>
        <w:rPr>
          <w:spacing w:val="-2"/>
          <w:sz w:val="18"/>
        </w:rPr>
        <w:t xml:space="preserve"> </w:t>
      </w:r>
      <w:r>
        <w:rPr>
          <w:sz w:val="18"/>
        </w:rPr>
        <w:t>LGBT Immigrants - Center for American Progress,” Center for American Progr</w:t>
      </w:r>
      <w:r>
        <w:rPr>
          <w:sz w:val="18"/>
        </w:rPr>
        <w:t xml:space="preserve">ess, March 23, 2015, </w:t>
      </w:r>
      <w:r>
        <w:rPr>
          <w:spacing w:val="-2"/>
          <w:sz w:val="18"/>
        </w:rPr>
        <w:t>https://</w:t>
      </w:r>
      <w:hyperlink r:id="rId698">
        <w:r>
          <w:rPr>
            <w:spacing w:val="-2"/>
            <w:sz w:val="18"/>
          </w:rPr>
          <w:t>www.americanprogress.org/article/on-the-50th-anniversary-of-the-immigration-and-nationality-act-changes-are-</w:t>
        </w:r>
      </w:hyperlink>
      <w:r>
        <w:rPr>
          <w:sz w:val="18"/>
        </w:rPr>
        <w:t xml:space="preserve"> </w:t>
      </w:r>
      <w:r>
        <w:rPr>
          <w:spacing w:val="-2"/>
          <w:sz w:val="18"/>
        </w:rPr>
        <w:t>needed-to-protect-lgbt-immigrants/.</w:t>
      </w:r>
    </w:p>
    <w:p w:rsidR="00200FDA" w:rsidRDefault="00F76C4C">
      <w:pPr>
        <w:spacing w:line="219" w:lineRule="exact"/>
        <w:ind w:left="140"/>
        <w:rPr>
          <w:sz w:val="18"/>
        </w:rPr>
      </w:pPr>
      <w:r>
        <w:rPr>
          <w:position w:val="5"/>
          <w:sz w:val="12"/>
        </w:rPr>
        <w:t>8</w:t>
      </w:r>
      <w:r>
        <w:rPr>
          <w:spacing w:val="12"/>
          <w:position w:val="5"/>
          <w:sz w:val="12"/>
        </w:rPr>
        <w:t xml:space="preserve"> </w:t>
      </w:r>
      <w:r>
        <w:rPr>
          <w:spacing w:val="-2"/>
          <w:sz w:val="18"/>
        </w:rPr>
        <w:t>Gruberg.</w:t>
      </w:r>
    </w:p>
    <w:p w:rsidR="00200FDA" w:rsidRDefault="00F76C4C">
      <w:pPr>
        <w:spacing w:before="1"/>
        <w:ind w:left="140" w:right="1407" w:hanging="1"/>
        <w:rPr>
          <w:sz w:val="18"/>
        </w:rPr>
      </w:pPr>
      <w:r>
        <w:rPr>
          <w:position w:val="5"/>
          <w:sz w:val="12"/>
        </w:rPr>
        <w:t>9</w:t>
      </w:r>
      <w:r>
        <w:rPr>
          <w:spacing w:val="10"/>
          <w:position w:val="5"/>
          <w:sz w:val="12"/>
        </w:rPr>
        <w:t xml:space="preserve"> </w:t>
      </w:r>
      <w:r>
        <w:rPr>
          <w:sz w:val="18"/>
        </w:rPr>
        <w:t>Devin</w:t>
      </w:r>
      <w:r>
        <w:rPr>
          <w:spacing w:val="-3"/>
          <w:sz w:val="18"/>
        </w:rPr>
        <w:t xml:space="preserve"> </w:t>
      </w:r>
      <w:r>
        <w:rPr>
          <w:sz w:val="18"/>
        </w:rPr>
        <w:t>Dwyer,</w:t>
      </w:r>
      <w:r>
        <w:rPr>
          <w:spacing w:val="-2"/>
          <w:sz w:val="18"/>
        </w:rPr>
        <w:t xml:space="preserve"> </w:t>
      </w:r>
      <w:r>
        <w:rPr>
          <w:sz w:val="18"/>
        </w:rPr>
        <w:t>“U.S.</w:t>
      </w:r>
      <w:r>
        <w:rPr>
          <w:spacing w:val="-2"/>
          <w:sz w:val="18"/>
        </w:rPr>
        <w:t xml:space="preserve"> </w:t>
      </w:r>
      <w:r>
        <w:rPr>
          <w:sz w:val="18"/>
        </w:rPr>
        <w:t>Ban</w:t>
      </w:r>
      <w:r>
        <w:rPr>
          <w:spacing w:val="-3"/>
          <w:sz w:val="18"/>
        </w:rPr>
        <w:t xml:space="preserve"> </w:t>
      </w:r>
      <w:r>
        <w:rPr>
          <w:sz w:val="18"/>
        </w:rPr>
        <w:t>on</w:t>
      </w:r>
      <w:r>
        <w:rPr>
          <w:spacing w:val="-3"/>
          <w:sz w:val="18"/>
        </w:rPr>
        <w:t xml:space="preserve"> </w:t>
      </w:r>
      <w:r>
        <w:rPr>
          <w:sz w:val="18"/>
        </w:rPr>
        <w:t>HIV-Positive</w:t>
      </w:r>
      <w:r>
        <w:rPr>
          <w:spacing w:val="-3"/>
          <w:sz w:val="18"/>
        </w:rPr>
        <w:t xml:space="preserve"> </w:t>
      </w:r>
      <w:r>
        <w:rPr>
          <w:sz w:val="18"/>
        </w:rPr>
        <w:t>Visitors,</w:t>
      </w:r>
      <w:r>
        <w:rPr>
          <w:spacing w:val="-2"/>
          <w:sz w:val="18"/>
        </w:rPr>
        <w:t xml:space="preserve"> </w:t>
      </w:r>
      <w:r>
        <w:rPr>
          <w:sz w:val="18"/>
        </w:rPr>
        <w:t>Immigrants</w:t>
      </w:r>
      <w:r>
        <w:rPr>
          <w:spacing w:val="-3"/>
          <w:sz w:val="18"/>
        </w:rPr>
        <w:t xml:space="preserve"> </w:t>
      </w:r>
      <w:r>
        <w:rPr>
          <w:sz w:val="18"/>
        </w:rPr>
        <w:t>Expires</w:t>
      </w:r>
      <w:r>
        <w:rPr>
          <w:spacing w:val="-3"/>
          <w:sz w:val="18"/>
        </w:rPr>
        <w:t xml:space="preserve"> </w:t>
      </w:r>
      <w:r>
        <w:rPr>
          <w:sz w:val="18"/>
        </w:rPr>
        <w:t>-</w:t>
      </w:r>
      <w:r>
        <w:rPr>
          <w:spacing w:val="-3"/>
          <w:sz w:val="18"/>
        </w:rPr>
        <w:t xml:space="preserve"> </w:t>
      </w:r>
      <w:r>
        <w:rPr>
          <w:sz w:val="18"/>
        </w:rPr>
        <w:t>ABC</w:t>
      </w:r>
      <w:r>
        <w:rPr>
          <w:spacing w:val="-2"/>
          <w:sz w:val="18"/>
        </w:rPr>
        <w:t xml:space="preserve"> </w:t>
      </w:r>
      <w:r>
        <w:rPr>
          <w:sz w:val="18"/>
        </w:rPr>
        <w:t>News,”</w:t>
      </w:r>
      <w:r>
        <w:rPr>
          <w:spacing w:val="-1"/>
          <w:sz w:val="18"/>
        </w:rPr>
        <w:t xml:space="preserve"> </w:t>
      </w:r>
      <w:r>
        <w:rPr>
          <w:sz w:val="18"/>
        </w:rPr>
        <w:t>ABC</w:t>
      </w:r>
      <w:r>
        <w:rPr>
          <w:spacing w:val="-2"/>
          <w:sz w:val="18"/>
        </w:rPr>
        <w:t xml:space="preserve"> </w:t>
      </w:r>
      <w:r>
        <w:rPr>
          <w:sz w:val="18"/>
        </w:rPr>
        <w:t>News,</w:t>
      </w:r>
      <w:r>
        <w:rPr>
          <w:spacing w:val="-2"/>
          <w:sz w:val="18"/>
        </w:rPr>
        <w:t xml:space="preserve"> </w:t>
      </w:r>
      <w:r>
        <w:rPr>
          <w:sz w:val="18"/>
        </w:rPr>
        <w:t>January</w:t>
      </w:r>
      <w:r>
        <w:rPr>
          <w:spacing w:val="-2"/>
          <w:sz w:val="18"/>
        </w:rPr>
        <w:t xml:space="preserve"> </w:t>
      </w:r>
      <w:r>
        <w:rPr>
          <w:sz w:val="18"/>
        </w:rPr>
        <w:t>5,</w:t>
      </w:r>
      <w:r>
        <w:rPr>
          <w:spacing w:val="-2"/>
          <w:sz w:val="18"/>
        </w:rPr>
        <w:t xml:space="preserve"> </w:t>
      </w:r>
      <w:r>
        <w:rPr>
          <w:sz w:val="18"/>
        </w:rPr>
        <w:t xml:space="preserve">2010, </w:t>
      </w:r>
      <w:r>
        <w:rPr>
          <w:spacing w:val="-2"/>
          <w:sz w:val="18"/>
        </w:rPr>
        <w:t>https://abcnews.go.com/Politics/united-states-ends-22-year-hiv-travel-ban/story?id=9482817.</w:t>
      </w:r>
    </w:p>
    <w:p w:rsidR="00200FDA" w:rsidRDefault="00F76C4C">
      <w:pPr>
        <w:ind w:left="140" w:hanging="1"/>
        <w:rPr>
          <w:sz w:val="18"/>
        </w:rPr>
      </w:pPr>
      <w:r>
        <w:rPr>
          <w:position w:val="5"/>
          <w:sz w:val="12"/>
        </w:rPr>
        <w:t>10</w:t>
      </w:r>
      <w:r>
        <w:rPr>
          <w:spacing w:val="10"/>
          <w:position w:val="5"/>
          <w:sz w:val="12"/>
        </w:rPr>
        <w:t xml:space="preserve"> </w:t>
      </w:r>
      <w:r>
        <w:rPr>
          <w:sz w:val="18"/>
        </w:rPr>
        <w:t>Gruberg,</w:t>
      </w:r>
      <w:r>
        <w:rPr>
          <w:spacing w:val="-2"/>
          <w:sz w:val="18"/>
        </w:rPr>
        <w:t xml:space="preserve"> </w:t>
      </w:r>
      <w:r>
        <w:rPr>
          <w:sz w:val="18"/>
        </w:rPr>
        <w:t>“On</w:t>
      </w:r>
      <w:r>
        <w:rPr>
          <w:spacing w:val="-3"/>
          <w:sz w:val="18"/>
        </w:rPr>
        <w:t xml:space="preserve"> </w:t>
      </w:r>
      <w:r>
        <w:rPr>
          <w:sz w:val="18"/>
        </w:rPr>
        <w:t>the</w:t>
      </w:r>
      <w:r>
        <w:rPr>
          <w:spacing w:val="-3"/>
          <w:sz w:val="18"/>
        </w:rPr>
        <w:t xml:space="preserve"> </w:t>
      </w:r>
      <w:r>
        <w:rPr>
          <w:sz w:val="18"/>
        </w:rPr>
        <w:t>50th</w:t>
      </w:r>
      <w:r>
        <w:rPr>
          <w:spacing w:val="-1"/>
          <w:sz w:val="18"/>
        </w:rPr>
        <w:t xml:space="preserve"> </w:t>
      </w:r>
      <w:r>
        <w:rPr>
          <w:sz w:val="18"/>
        </w:rPr>
        <w:t>Anniversary</w:t>
      </w:r>
      <w:r>
        <w:rPr>
          <w:spacing w:val="-2"/>
          <w:sz w:val="18"/>
        </w:rPr>
        <w:t xml:space="preserve"> </w:t>
      </w:r>
      <w:r>
        <w:rPr>
          <w:sz w:val="18"/>
        </w:rPr>
        <w:t>of</w:t>
      </w:r>
      <w:r>
        <w:rPr>
          <w:spacing w:val="-2"/>
          <w:sz w:val="18"/>
        </w:rPr>
        <w:t xml:space="preserve"> </w:t>
      </w:r>
      <w:r>
        <w:rPr>
          <w:sz w:val="18"/>
        </w:rPr>
        <w:t>the</w:t>
      </w:r>
      <w:r>
        <w:rPr>
          <w:spacing w:val="-3"/>
          <w:sz w:val="18"/>
        </w:rPr>
        <w:t xml:space="preserve"> </w:t>
      </w:r>
      <w:r>
        <w:rPr>
          <w:sz w:val="18"/>
        </w:rPr>
        <w:t>Immigration</w:t>
      </w:r>
      <w:r>
        <w:rPr>
          <w:spacing w:val="-3"/>
          <w:sz w:val="18"/>
        </w:rPr>
        <w:t xml:space="preserve"> </w:t>
      </w:r>
      <w:r>
        <w:rPr>
          <w:sz w:val="18"/>
        </w:rPr>
        <w:t>and</w:t>
      </w:r>
      <w:r>
        <w:rPr>
          <w:spacing w:val="-3"/>
          <w:sz w:val="18"/>
        </w:rPr>
        <w:t xml:space="preserve"> </w:t>
      </w:r>
      <w:r>
        <w:rPr>
          <w:sz w:val="18"/>
        </w:rPr>
        <w:t>Nationality</w:t>
      </w:r>
      <w:r>
        <w:rPr>
          <w:spacing w:val="-2"/>
          <w:sz w:val="18"/>
        </w:rPr>
        <w:t xml:space="preserve"> </w:t>
      </w:r>
      <w:r>
        <w:rPr>
          <w:sz w:val="18"/>
        </w:rPr>
        <w:t>Act,</w:t>
      </w:r>
      <w:r>
        <w:rPr>
          <w:spacing w:val="-2"/>
          <w:sz w:val="18"/>
        </w:rPr>
        <w:t xml:space="preserve"> </w:t>
      </w:r>
      <w:r>
        <w:rPr>
          <w:sz w:val="18"/>
        </w:rPr>
        <w:t>Changes</w:t>
      </w:r>
      <w:r>
        <w:rPr>
          <w:spacing w:val="-3"/>
          <w:sz w:val="18"/>
        </w:rPr>
        <w:t xml:space="preserve"> </w:t>
      </w:r>
      <w:r>
        <w:rPr>
          <w:sz w:val="18"/>
        </w:rPr>
        <w:t>Are</w:t>
      </w:r>
      <w:r>
        <w:rPr>
          <w:spacing w:val="-3"/>
          <w:sz w:val="18"/>
        </w:rPr>
        <w:t xml:space="preserve"> </w:t>
      </w:r>
      <w:r>
        <w:rPr>
          <w:sz w:val="18"/>
        </w:rPr>
        <w:t>Needed</w:t>
      </w:r>
      <w:r>
        <w:rPr>
          <w:spacing w:val="-3"/>
          <w:sz w:val="18"/>
        </w:rPr>
        <w:t xml:space="preserve"> </w:t>
      </w:r>
      <w:r>
        <w:rPr>
          <w:sz w:val="18"/>
        </w:rPr>
        <w:t>to Protect</w:t>
      </w:r>
      <w:r>
        <w:rPr>
          <w:spacing w:val="-3"/>
          <w:sz w:val="18"/>
        </w:rPr>
        <w:t xml:space="preserve"> </w:t>
      </w:r>
      <w:r>
        <w:rPr>
          <w:sz w:val="18"/>
        </w:rPr>
        <w:t>LGBT</w:t>
      </w:r>
      <w:r>
        <w:rPr>
          <w:spacing w:val="-1"/>
          <w:sz w:val="18"/>
        </w:rPr>
        <w:t xml:space="preserve"> </w:t>
      </w:r>
      <w:r>
        <w:rPr>
          <w:sz w:val="18"/>
        </w:rPr>
        <w:t>Immigrants</w:t>
      </w:r>
      <w:r>
        <w:rPr>
          <w:spacing w:val="-3"/>
          <w:sz w:val="18"/>
        </w:rPr>
        <w:t xml:space="preserve"> </w:t>
      </w:r>
      <w:r>
        <w:rPr>
          <w:sz w:val="18"/>
        </w:rPr>
        <w:t>- Center for American Progress.</w:t>
      </w:r>
      <w:r>
        <w:rPr>
          <w:sz w:val="18"/>
        </w:rPr>
        <w:t>”</w:t>
      </w:r>
    </w:p>
    <w:p w:rsidR="00200FDA" w:rsidRDefault="00F76C4C">
      <w:pPr>
        <w:ind w:left="140" w:right="241" w:hanging="1"/>
        <w:rPr>
          <w:sz w:val="18"/>
        </w:rPr>
      </w:pPr>
      <w:r>
        <w:rPr>
          <w:position w:val="5"/>
          <w:sz w:val="12"/>
        </w:rPr>
        <w:t>11</w:t>
      </w:r>
      <w:r>
        <w:rPr>
          <w:spacing w:val="7"/>
          <w:position w:val="5"/>
          <w:sz w:val="12"/>
        </w:rPr>
        <w:t xml:space="preserve"> </w:t>
      </w:r>
      <w:r>
        <w:rPr>
          <w:sz w:val="18"/>
        </w:rPr>
        <w:t>MIRA</w:t>
      </w:r>
      <w:r>
        <w:rPr>
          <w:spacing w:val="-6"/>
          <w:sz w:val="18"/>
        </w:rPr>
        <w:t xml:space="preserve"> </w:t>
      </w:r>
      <w:r>
        <w:rPr>
          <w:sz w:val="18"/>
        </w:rPr>
        <w:t>Coalition,</w:t>
      </w:r>
      <w:r>
        <w:rPr>
          <w:spacing w:val="-5"/>
          <w:sz w:val="18"/>
        </w:rPr>
        <w:t xml:space="preserve"> </w:t>
      </w:r>
      <w:r>
        <w:rPr>
          <w:sz w:val="18"/>
        </w:rPr>
        <w:t>“Immigrants</w:t>
      </w:r>
      <w:r>
        <w:rPr>
          <w:spacing w:val="-6"/>
          <w:sz w:val="18"/>
        </w:rPr>
        <w:t xml:space="preserve"> </w:t>
      </w:r>
      <w:r>
        <w:rPr>
          <w:sz w:val="18"/>
        </w:rPr>
        <w:t>Are</w:t>
      </w:r>
      <w:r>
        <w:rPr>
          <w:spacing w:val="-4"/>
          <w:sz w:val="18"/>
        </w:rPr>
        <w:t xml:space="preserve"> </w:t>
      </w:r>
      <w:r>
        <w:rPr>
          <w:sz w:val="18"/>
        </w:rPr>
        <w:t>Our</w:t>
      </w:r>
      <w:r>
        <w:rPr>
          <w:spacing w:val="-6"/>
          <w:sz w:val="18"/>
        </w:rPr>
        <w:t xml:space="preserve"> </w:t>
      </w:r>
      <w:r>
        <w:rPr>
          <w:sz w:val="18"/>
        </w:rPr>
        <w:t>Commonwealth,”</w:t>
      </w:r>
      <w:r>
        <w:rPr>
          <w:spacing w:val="-6"/>
          <w:sz w:val="18"/>
        </w:rPr>
        <w:t xml:space="preserve"> </w:t>
      </w:r>
      <w:r>
        <w:rPr>
          <w:sz w:val="18"/>
        </w:rPr>
        <w:t>2019,</w:t>
      </w:r>
      <w:r>
        <w:rPr>
          <w:spacing w:val="-5"/>
          <w:sz w:val="18"/>
        </w:rPr>
        <w:t xml:space="preserve"> </w:t>
      </w:r>
      <w:r>
        <w:rPr>
          <w:sz w:val="18"/>
        </w:rPr>
        <w:t xml:space="preserve">https://miracoalition.org/wp-content/uploads/2020/01/Mass- </w:t>
      </w:r>
      <w:r>
        <w:rPr>
          <w:spacing w:val="-2"/>
          <w:sz w:val="18"/>
        </w:rPr>
        <w:t>Immigrant-Facts-Jan2019.pdf.</w:t>
      </w:r>
    </w:p>
    <w:p w:rsidR="00200FDA" w:rsidRDefault="00F76C4C">
      <w:pPr>
        <w:spacing w:line="219" w:lineRule="exact"/>
        <w:ind w:left="140"/>
        <w:rPr>
          <w:sz w:val="18"/>
        </w:rPr>
      </w:pPr>
      <w:r>
        <w:rPr>
          <w:position w:val="5"/>
          <w:sz w:val="12"/>
        </w:rPr>
        <w:t>12</w:t>
      </w:r>
      <w:r>
        <w:rPr>
          <w:spacing w:val="6"/>
          <w:position w:val="5"/>
          <w:sz w:val="12"/>
        </w:rPr>
        <w:t xml:space="preserve"> </w:t>
      </w:r>
      <w:r>
        <w:rPr>
          <w:sz w:val="18"/>
        </w:rPr>
        <w:t>“2022</w:t>
      </w:r>
      <w:r>
        <w:rPr>
          <w:spacing w:val="-3"/>
          <w:sz w:val="18"/>
        </w:rPr>
        <w:t xml:space="preserve"> </w:t>
      </w:r>
      <w:r>
        <w:rPr>
          <w:sz w:val="18"/>
        </w:rPr>
        <w:t>Election</w:t>
      </w:r>
      <w:r>
        <w:rPr>
          <w:spacing w:val="-5"/>
          <w:sz w:val="18"/>
        </w:rPr>
        <w:t xml:space="preserve"> </w:t>
      </w:r>
      <w:r>
        <w:rPr>
          <w:sz w:val="18"/>
        </w:rPr>
        <w:t>Results</w:t>
      </w:r>
      <w:r>
        <w:rPr>
          <w:spacing w:val="-4"/>
          <w:sz w:val="18"/>
        </w:rPr>
        <w:t xml:space="preserve"> </w:t>
      </w:r>
      <w:r>
        <w:rPr>
          <w:sz w:val="18"/>
        </w:rPr>
        <w:t>Live,”</w:t>
      </w:r>
      <w:r>
        <w:rPr>
          <w:spacing w:val="-4"/>
          <w:sz w:val="18"/>
        </w:rPr>
        <w:t xml:space="preserve"> </w:t>
      </w:r>
      <w:r>
        <w:rPr>
          <w:sz w:val="18"/>
        </w:rPr>
        <w:t>NPR,</w:t>
      </w:r>
      <w:r>
        <w:rPr>
          <w:spacing w:val="-4"/>
          <w:sz w:val="18"/>
        </w:rPr>
        <w:t xml:space="preserve"> </w:t>
      </w:r>
      <w:r>
        <w:rPr>
          <w:sz w:val="18"/>
        </w:rPr>
        <w:t>accessed</w:t>
      </w:r>
      <w:r>
        <w:rPr>
          <w:spacing w:val="-4"/>
          <w:sz w:val="18"/>
        </w:rPr>
        <w:t xml:space="preserve"> </w:t>
      </w:r>
      <w:r>
        <w:rPr>
          <w:sz w:val="18"/>
        </w:rPr>
        <w:t>April</w:t>
      </w:r>
      <w:r>
        <w:rPr>
          <w:spacing w:val="-5"/>
          <w:sz w:val="18"/>
        </w:rPr>
        <w:t xml:space="preserve"> </w:t>
      </w:r>
      <w:r>
        <w:rPr>
          <w:sz w:val="18"/>
        </w:rPr>
        <w:t>24,</w:t>
      </w:r>
      <w:r>
        <w:rPr>
          <w:spacing w:val="-3"/>
          <w:sz w:val="18"/>
        </w:rPr>
        <w:t xml:space="preserve"> </w:t>
      </w:r>
      <w:r>
        <w:rPr>
          <w:sz w:val="18"/>
        </w:rPr>
        <w:t>2023,</w:t>
      </w:r>
      <w:r>
        <w:rPr>
          <w:spacing w:val="-3"/>
          <w:sz w:val="18"/>
        </w:rPr>
        <w:t xml:space="preserve"> </w:t>
      </w:r>
      <w:r>
        <w:rPr>
          <w:sz w:val="18"/>
        </w:rPr>
        <w:t>https://apps.npr.org/election-results-live-</w:t>
      </w:r>
      <w:r>
        <w:rPr>
          <w:spacing w:val="-2"/>
          <w:sz w:val="18"/>
        </w:rPr>
        <w:t>2022/.</w:t>
      </w:r>
    </w:p>
    <w:p w:rsidR="00200FDA" w:rsidRDefault="00F76C4C">
      <w:pPr>
        <w:ind w:left="140" w:right="573" w:hanging="1"/>
        <w:rPr>
          <w:sz w:val="18"/>
        </w:rPr>
      </w:pPr>
      <w:r>
        <w:rPr>
          <w:position w:val="5"/>
          <w:sz w:val="12"/>
        </w:rPr>
        <w:t>13</w:t>
      </w:r>
      <w:r>
        <w:rPr>
          <w:spacing w:val="10"/>
          <w:position w:val="5"/>
          <w:sz w:val="12"/>
        </w:rPr>
        <w:t xml:space="preserve"> </w:t>
      </w:r>
      <w:r>
        <w:rPr>
          <w:sz w:val="18"/>
        </w:rPr>
        <w:t>Shoshana</w:t>
      </w:r>
      <w:r>
        <w:rPr>
          <w:spacing w:val="-1"/>
          <w:sz w:val="18"/>
        </w:rPr>
        <w:t xml:space="preserve"> </w:t>
      </w:r>
      <w:r>
        <w:rPr>
          <w:sz w:val="18"/>
        </w:rPr>
        <w:t>Goldberg</w:t>
      </w:r>
      <w:r>
        <w:rPr>
          <w:spacing w:val="-3"/>
          <w:sz w:val="18"/>
        </w:rPr>
        <w:t xml:space="preserve"> </w:t>
      </w:r>
      <w:r>
        <w:rPr>
          <w:sz w:val="18"/>
        </w:rPr>
        <w:t>and</w:t>
      </w:r>
      <w:r>
        <w:rPr>
          <w:spacing w:val="-3"/>
          <w:sz w:val="18"/>
        </w:rPr>
        <w:t xml:space="preserve"> </w:t>
      </w:r>
      <w:r>
        <w:rPr>
          <w:sz w:val="18"/>
        </w:rPr>
        <w:t>Kerith</w:t>
      </w:r>
      <w:r>
        <w:rPr>
          <w:spacing w:val="-3"/>
          <w:sz w:val="18"/>
        </w:rPr>
        <w:t xml:space="preserve"> </w:t>
      </w:r>
      <w:r>
        <w:rPr>
          <w:sz w:val="18"/>
        </w:rPr>
        <w:t>Conron,</w:t>
      </w:r>
      <w:r>
        <w:rPr>
          <w:spacing w:val="-3"/>
          <w:sz w:val="18"/>
        </w:rPr>
        <w:t xml:space="preserve"> </w:t>
      </w:r>
      <w:r>
        <w:rPr>
          <w:sz w:val="18"/>
        </w:rPr>
        <w:t>“LGBT</w:t>
      </w:r>
      <w:r>
        <w:rPr>
          <w:spacing w:val="-2"/>
          <w:sz w:val="18"/>
        </w:rPr>
        <w:t xml:space="preserve"> </w:t>
      </w:r>
      <w:r>
        <w:rPr>
          <w:sz w:val="18"/>
        </w:rPr>
        <w:t>Adult</w:t>
      </w:r>
      <w:r>
        <w:rPr>
          <w:spacing w:val="-3"/>
          <w:sz w:val="18"/>
        </w:rPr>
        <w:t xml:space="preserve"> </w:t>
      </w:r>
      <w:r>
        <w:rPr>
          <w:sz w:val="18"/>
        </w:rPr>
        <w:t>Immigrants</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United</w:t>
      </w:r>
      <w:r>
        <w:rPr>
          <w:spacing w:val="-3"/>
          <w:sz w:val="18"/>
        </w:rPr>
        <w:t xml:space="preserve"> </w:t>
      </w:r>
      <w:r>
        <w:rPr>
          <w:sz w:val="18"/>
        </w:rPr>
        <w:t>States,”</w:t>
      </w:r>
      <w:r>
        <w:rPr>
          <w:spacing w:val="-3"/>
          <w:sz w:val="18"/>
        </w:rPr>
        <w:t xml:space="preserve"> </w:t>
      </w:r>
      <w:r>
        <w:rPr>
          <w:sz w:val="18"/>
        </w:rPr>
        <w:t>Williams</w:t>
      </w:r>
      <w:r>
        <w:rPr>
          <w:spacing w:val="-3"/>
          <w:sz w:val="18"/>
        </w:rPr>
        <w:t xml:space="preserve"> </w:t>
      </w:r>
      <w:r>
        <w:rPr>
          <w:sz w:val="18"/>
        </w:rPr>
        <w:t>Institute,</w:t>
      </w:r>
      <w:r>
        <w:rPr>
          <w:spacing w:val="-3"/>
          <w:sz w:val="18"/>
        </w:rPr>
        <w:t xml:space="preserve"> </w:t>
      </w:r>
      <w:r>
        <w:rPr>
          <w:sz w:val="18"/>
        </w:rPr>
        <w:t>February</w:t>
      </w:r>
      <w:r>
        <w:rPr>
          <w:spacing w:val="-3"/>
          <w:sz w:val="18"/>
        </w:rPr>
        <w:t xml:space="preserve"> </w:t>
      </w:r>
      <w:r>
        <w:rPr>
          <w:sz w:val="18"/>
        </w:rPr>
        <w:t xml:space="preserve">2021, </w:t>
      </w:r>
      <w:r>
        <w:rPr>
          <w:spacing w:val="-2"/>
          <w:sz w:val="18"/>
        </w:rPr>
        <w:t>https://williamsinstitute.law.ucla.edu/publications/lgbt-immigrants-in-the-us/.</w:t>
      </w:r>
    </w:p>
    <w:p w:rsidR="00200FDA" w:rsidRDefault="00F76C4C">
      <w:pPr>
        <w:spacing w:line="219" w:lineRule="exact"/>
        <w:ind w:left="140"/>
        <w:rPr>
          <w:sz w:val="18"/>
        </w:rPr>
      </w:pPr>
      <w:r>
        <w:rPr>
          <w:position w:val="5"/>
          <w:sz w:val="12"/>
        </w:rPr>
        <w:t>14</w:t>
      </w:r>
      <w:r>
        <w:rPr>
          <w:spacing w:val="6"/>
          <w:position w:val="5"/>
          <w:sz w:val="12"/>
        </w:rPr>
        <w:t xml:space="preserve"> </w:t>
      </w:r>
      <w:r>
        <w:rPr>
          <w:sz w:val="18"/>
        </w:rPr>
        <w:t>“The</w:t>
      </w:r>
      <w:r>
        <w:rPr>
          <w:spacing w:val="-5"/>
          <w:sz w:val="18"/>
        </w:rPr>
        <w:t xml:space="preserve"> </w:t>
      </w:r>
      <w:r>
        <w:rPr>
          <w:sz w:val="18"/>
        </w:rPr>
        <w:t>Trevor</w:t>
      </w:r>
      <w:r>
        <w:rPr>
          <w:spacing w:val="-4"/>
          <w:sz w:val="18"/>
        </w:rPr>
        <w:t xml:space="preserve"> </w:t>
      </w:r>
      <w:r>
        <w:rPr>
          <w:sz w:val="18"/>
        </w:rPr>
        <w:t>Project</w:t>
      </w:r>
      <w:r>
        <w:rPr>
          <w:spacing w:val="-5"/>
          <w:sz w:val="18"/>
        </w:rPr>
        <w:t xml:space="preserve"> </w:t>
      </w:r>
      <w:r>
        <w:rPr>
          <w:sz w:val="18"/>
        </w:rPr>
        <w:t>National</w:t>
      </w:r>
      <w:r>
        <w:rPr>
          <w:spacing w:val="-4"/>
          <w:sz w:val="18"/>
        </w:rPr>
        <w:t xml:space="preserve"> </w:t>
      </w:r>
      <w:r>
        <w:rPr>
          <w:sz w:val="18"/>
        </w:rPr>
        <w:t>Survey</w:t>
      </w:r>
      <w:r>
        <w:rPr>
          <w:spacing w:val="-4"/>
          <w:sz w:val="18"/>
        </w:rPr>
        <w:t xml:space="preserve"> </w:t>
      </w:r>
      <w:r>
        <w:rPr>
          <w:sz w:val="18"/>
        </w:rPr>
        <w:t>2020,”</w:t>
      </w:r>
      <w:r>
        <w:rPr>
          <w:spacing w:val="-5"/>
          <w:sz w:val="18"/>
        </w:rPr>
        <w:t xml:space="preserve"> </w:t>
      </w:r>
      <w:r>
        <w:rPr>
          <w:sz w:val="18"/>
        </w:rPr>
        <w:t>accessed</w:t>
      </w:r>
      <w:r>
        <w:rPr>
          <w:spacing w:val="-3"/>
          <w:sz w:val="18"/>
        </w:rPr>
        <w:t xml:space="preserve"> </w:t>
      </w:r>
      <w:r>
        <w:rPr>
          <w:sz w:val="18"/>
        </w:rPr>
        <w:t>April</w:t>
      </w:r>
      <w:r>
        <w:rPr>
          <w:spacing w:val="-4"/>
          <w:sz w:val="18"/>
        </w:rPr>
        <w:t xml:space="preserve"> </w:t>
      </w:r>
      <w:r>
        <w:rPr>
          <w:sz w:val="18"/>
        </w:rPr>
        <w:t>3,</w:t>
      </w:r>
      <w:r>
        <w:rPr>
          <w:spacing w:val="-4"/>
          <w:sz w:val="18"/>
        </w:rPr>
        <w:t xml:space="preserve"> </w:t>
      </w:r>
      <w:r>
        <w:rPr>
          <w:sz w:val="18"/>
        </w:rPr>
        <w:t>2023,</w:t>
      </w:r>
      <w:r>
        <w:rPr>
          <w:spacing w:val="-3"/>
          <w:sz w:val="18"/>
        </w:rPr>
        <w:t xml:space="preserve"> </w:t>
      </w:r>
      <w:r>
        <w:rPr>
          <w:sz w:val="18"/>
        </w:rPr>
        <w:t>https://</w:t>
      </w:r>
      <w:hyperlink r:id="rId699">
        <w:r>
          <w:rPr>
            <w:sz w:val="18"/>
          </w:rPr>
          <w:t>www.thetrevorproject.org/survey-</w:t>
        </w:r>
        <w:r>
          <w:rPr>
            <w:spacing w:val="-2"/>
            <w:sz w:val="18"/>
          </w:rPr>
          <w:t>2020/.</w:t>
        </w:r>
      </w:hyperlink>
    </w:p>
    <w:p w:rsidR="00200FDA" w:rsidRDefault="00F76C4C">
      <w:pPr>
        <w:spacing w:line="219" w:lineRule="exact"/>
        <w:ind w:left="140"/>
        <w:rPr>
          <w:sz w:val="18"/>
        </w:rPr>
      </w:pPr>
      <w:r>
        <w:rPr>
          <w:position w:val="5"/>
          <w:sz w:val="12"/>
        </w:rPr>
        <w:t>15</w:t>
      </w:r>
      <w:r>
        <w:rPr>
          <w:spacing w:val="10"/>
          <w:position w:val="5"/>
          <w:sz w:val="12"/>
        </w:rPr>
        <w:t xml:space="preserve"> </w:t>
      </w:r>
      <w:r>
        <w:rPr>
          <w:sz w:val="18"/>
        </w:rPr>
        <w:t>Goldberg</w:t>
      </w:r>
      <w:r>
        <w:rPr>
          <w:spacing w:val="-3"/>
          <w:sz w:val="18"/>
        </w:rPr>
        <w:t xml:space="preserve"> </w:t>
      </w:r>
      <w:r>
        <w:rPr>
          <w:sz w:val="18"/>
        </w:rPr>
        <w:t>and</w:t>
      </w:r>
      <w:r>
        <w:rPr>
          <w:spacing w:val="-3"/>
          <w:sz w:val="18"/>
        </w:rPr>
        <w:t xml:space="preserve"> </w:t>
      </w:r>
      <w:r>
        <w:rPr>
          <w:sz w:val="18"/>
        </w:rPr>
        <w:t>Conron,</w:t>
      </w:r>
      <w:r>
        <w:rPr>
          <w:spacing w:val="-1"/>
          <w:sz w:val="18"/>
        </w:rPr>
        <w:t xml:space="preserve"> </w:t>
      </w:r>
      <w:r>
        <w:rPr>
          <w:sz w:val="18"/>
        </w:rPr>
        <w:t>“LGBT</w:t>
      </w:r>
      <w:r>
        <w:rPr>
          <w:spacing w:val="-1"/>
          <w:sz w:val="18"/>
        </w:rPr>
        <w:t xml:space="preserve"> </w:t>
      </w:r>
      <w:r>
        <w:rPr>
          <w:sz w:val="18"/>
        </w:rPr>
        <w:t>Adult</w:t>
      </w:r>
      <w:r>
        <w:rPr>
          <w:spacing w:val="-3"/>
          <w:sz w:val="18"/>
        </w:rPr>
        <w:t xml:space="preserve"> </w:t>
      </w:r>
      <w:r>
        <w:rPr>
          <w:sz w:val="18"/>
        </w:rPr>
        <w:t>Immigrants</w:t>
      </w:r>
      <w:r>
        <w:rPr>
          <w:spacing w:val="-2"/>
          <w:sz w:val="18"/>
        </w:rPr>
        <w:t xml:space="preserve"> </w:t>
      </w:r>
      <w:r>
        <w:rPr>
          <w:sz w:val="18"/>
        </w:rPr>
        <w:t>in</w:t>
      </w:r>
      <w:r>
        <w:rPr>
          <w:spacing w:val="-1"/>
          <w:sz w:val="18"/>
        </w:rPr>
        <w:t xml:space="preserve"> </w:t>
      </w:r>
      <w:r>
        <w:rPr>
          <w:sz w:val="18"/>
        </w:rPr>
        <w:t>the</w:t>
      </w:r>
      <w:r>
        <w:rPr>
          <w:spacing w:val="-3"/>
          <w:sz w:val="18"/>
        </w:rPr>
        <w:t xml:space="preserve"> </w:t>
      </w:r>
      <w:r>
        <w:rPr>
          <w:sz w:val="18"/>
        </w:rPr>
        <w:t>United</w:t>
      </w:r>
      <w:r>
        <w:rPr>
          <w:spacing w:val="-2"/>
          <w:sz w:val="18"/>
        </w:rPr>
        <w:t xml:space="preserve"> States.”</w:t>
      </w:r>
    </w:p>
    <w:p w:rsidR="00200FDA" w:rsidRDefault="00F76C4C">
      <w:pPr>
        <w:spacing w:before="1"/>
        <w:ind w:left="140" w:right="404" w:hanging="1"/>
        <w:jc w:val="both"/>
        <w:rPr>
          <w:sz w:val="18"/>
        </w:rPr>
      </w:pPr>
      <w:r>
        <w:rPr>
          <w:position w:val="5"/>
          <w:sz w:val="12"/>
        </w:rPr>
        <w:t>16</w:t>
      </w:r>
      <w:r>
        <w:rPr>
          <w:spacing w:val="11"/>
          <w:position w:val="5"/>
          <w:sz w:val="12"/>
        </w:rPr>
        <w:t xml:space="preserve"> </w:t>
      </w:r>
      <w:r>
        <w:rPr>
          <w:sz w:val="18"/>
        </w:rPr>
        <w:t>Sharita</w:t>
      </w:r>
      <w:r>
        <w:rPr>
          <w:spacing w:val="-2"/>
          <w:sz w:val="18"/>
        </w:rPr>
        <w:t xml:space="preserve"> </w:t>
      </w:r>
      <w:r>
        <w:rPr>
          <w:sz w:val="18"/>
        </w:rPr>
        <w:t>Gruberg,</w:t>
      </w:r>
      <w:r>
        <w:rPr>
          <w:spacing w:val="-2"/>
          <w:sz w:val="18"/>
        </w:rPr>
        <w:t xml:space="preserve"> </w:t>
      </w:r>
      <w:r>
        <w:rPr>
          <w:sz w:val="18"/>
        </w:rPr>
        <w:t>Caitlin</w:t>
      </w:r>
      <w:r>
        <w:rPr>
          <w:spacing w:val="-3"/>
          <w:sz w:val="18"/>
        </w:rPr>
        <w:t xml:space="preserve"> </w:t>
      </w:r>
      <w:r>
        <w:rPr>
          <w:sz w:val="18"/>
        </w:rPr>
        <w:t>Rooney,</w:t>
      </w:r>
      <w:r>
        <w:rPr>
          <w:spacing w:val="-2"/>
          <w:sz w:val="18"/>
        </w:rPr>
        <w:t xml:space="preserve"> </w:t>
      </w:r>
      <w:r>
        <w:rPr>
          <w:sz w:val="18"/>
        </w:rPr>
        <w:t>and</w:t>
      </w:r>
      <w:r>
        <w:rPr>
          <w:spacing w:val="-3"/>
          <w:sz w:val="18"/>
        </w:rPr>
        <w:t xml:space="preserve"> </w:t>
      </w:r>
      <w:r>
        <w:rPr>
          <w:sz w:val="18"/>
        </w:rPr>
        <w:t>Ashe</w:t>
      </w:r>
      <w:r>
        <w:rPr>
          <w:spacing w:val="-3"/>
          <w:sz w:val="18"/>
        </w:rPr>
        <w:t xml:space="preserve"> </w:t>
      </w:r>
      <w:r>
        <w:rPr>
          <w:sz w:val="18"/>
        </w:rPr>
        <w:t>McGovern,</w:t>
      </w:r>
      <w:r>
        <w:rPr>
          <w:spacing w:val="-2"/>
          <w:sz w:val="18"/>
        </w:rPr>
        <w:t xml:space="preserve"> </w:t>
      </w:r>
      <w:r>
        <w:rPr>
          <w:sz w:val="18"/>
        </w:rPr>
        <w:t>“Serving</w:t>
      </w:r>
      <w:r>
        <w:rPr>
          <w:spacing w:val="-3"/>
          <w:sz w:val="18"/>
        </w:rPr>
        <w:t xml:space="preserve"> </w:t>
      </w:r>
      <w:r>
        <w:rPr>
          <w:sz w:val="18"/>
        </w:rPr>
        <w:t>LGBTQ</w:t>
      </w:r>
      <w:r>
        <w:rPr>
          <w:spacing w:val="-3"/>
          <w:sz w:val="18"/>
        </w:rPr>
        <w:t xml:space="preserve"> </w:t>
      </w:r>
      <w:r>
        <w:rPr>
          <w:sz w:val="18"/>
        </w:rPr>
        <w:t>Immigrants</w:t>
      </w:r>
      <w:r>
        <w:rPr>
          <w:spacing w:val="-3"/>
          <w:sz w:val="18"/>
        </w:rPr>
        <w:t xml:space="preserve"> </w:t>
      </w:r>
      <w:r>
        <w:rPr>
          <w:sz w:val="18"/>
        </w:rPr>
        <w:t>and</w:t>
      </w:r>
      <w:r>
        <w:rPr>
          <w:spacing w:val="-3"/>
          <w:sz w:val="18"/>
        </w:rPr>
        <w:t xml:space="preserve"> </w:t>
      </w:r>
      <w:r>
        <w:rPr>
          <w:sz w:val="18"/>
        </w:rPr>
        <w:t>Building</w:t>
      </w:r>
      <w:r>
        <w:rPr>
          <w:spacing w:val="-3"/>
          <w:sz w:val="18"/>
        </w:rPr>
        <w:t xml:space="preserve"> </w:t>
      </w:r>
      <w:r>
        <w:rPr>
          <w:sz w:val="18"/>
        </w:rPr>
        <w:t>Welcoming</w:t>
      </w:r>
      <w:r>
        <w:rPr>
          <w:spacing w:val="-3"/>
          <w:sz w:val="18"/>
        </w:rPr>
        <w:t xml:space="preserve"> </w:t>
      </w:r>
      <w:r>
        <w:rPr>
          <w:sz w:val="18"/>
        </w:rPr>
        <w:t xml:space="preserve">Communities,” </w:t>
      </w:r>
      <w:r>
        <w:rPr>
          <w:i/>
          <w:sz w:val="18"/>
        </w:rPr>
        <w:t>Center</w:t>
      </w:r>
      <w:r>
        <w:rPr>
          <w:i/>
          <w:spacing w:val="-6"/>
          <w:sz w:val="18"/>
        </w:rPr>
        <w:t xml:space="preserve"> </w:t>
      </w:r>
      <w:r>
        <w:rPr>
          <w:i/>
          <w:sz w:val="18"/>
        </w:rPr>
        <w:t>for</w:t>
      </w:r>
      <w:r>
        <w:rPr>
          <w:i/>
          <w:spacing w:val="-6"/>
          <w:sz w:val="18"/>
        </w:rPr>
        <w:t xml:space="preserve"> </w:t>
      </w:r>
      <w:r>
        <w:rPr>
          <w:i/>
          <w:sz w:val="18"/>
        </w:rPr>
        <w:t>American</w:t>
      </w:r>
      <w:r>
        <w:rPr>
          <w:i/>
          <w:spacing w:val="-5"/>
          <w:sz w:val="18"/>
        </w:rPr>
        <w:t xml:space="preserve"> </w:t>
      </w:r>
      <w:r>
        <w:rPr>
          <w:i/>
          <w:sz w:val="18"/>
        </w:rPr>
        <w:t>Progress</w:t>
      </w:r>
      <w:r>
        <w:rPr>
          <w:i/>
          <w:spacing w:val="-6"/>
          <w:sz w:val="18"/>
        </w:rPr>
        <w:t xml:space="preserve"> </w:t>
      </w:r>
      <w:r>
        <w:rPr>
          <w:sz w:val="18"/>
        </w:rPr>
        <w:t>(blog),</w:t>
      </w:r>
      <w:r>
        <w:rPr>
          <w:spacing w:val="-6"/>
          <w:sz w:val="18"/>
        </w:rPr>
        <w:t xml:space="preserve"> </w:t>
      </w:r>
      <w:r>
        <w:rPr>
          <w:sz w:val="18"/>
        </w:rPr>
        <w:t>January</w:t>
      </w:r>
      <w:r>
        <w:rPr>
          <w:spacing w:val="-6"/>
          <w:sz w:val="18"/>
        </w:rPr>
        <w:t xml:space="preserve"> </w:t>
      </w:r>
      <w:r>
        <w:rPr>
          <w:sz w:val="18"/>
        </w:rPr>
        <w:t>24,</w:t>
      </w:r>
      <w:r>
        <w:rPr>
          <w:spacing w:val="-6"/>
          <w:sz w:val="18"/>
        </w:rPr>
        <w:t xml:space="preserve"> </w:t>
      </w:r>
      <w:r>
        <w:rPr>
          <w:sz w:val="18"/>
        </w:rPr>
        <w:t>2018,</w:t>
      </w:r>
      <w:r>
        <w:rPr>
          <w:spacing w:val="-6"/>
          <w:sz w:val="18"/>
        </w:rPr>
        <w:t xml:space="preserve"> </w:t>
      </w:r>
      <w:r>
        <w:rPr>
          <w:sz w:val="18"/>
        </w:rPr>
        <w:t>https://</w:t>
      </w:r>
      <w:hyperlink r:id="rId700">
        <w:r>
          <w:rPr>
            <w:sz w:val="18"/>
          </w:rPr>
          <w:t>www.americanprogress.org/article/serving-lgbtq-immigrants-</w:t>
        </w:r>
      </w:hyperlink>
      <w:r>
        <w:rPr>
          <w:sz w:val="18"/>
        </w:rPr>
        <w:t xml:space="preserve"> </w:t>
      </w:r>
      <w:r>
        <w:rPr>
          <w:spacing w:val="-2"/>
          <w:sz w:val="18"/>
        </w:rPr>
        <w:t>building-welcoming-communities/.</w:t>
      </w:r>
    </w:p>
    <w:p w:rsidR="00200FDA" w:rsidRDefault="00F76C4C">
      <w:pPr>
        <w:spacing w:line="218" w:lineRule="exact"/>
        <w:ind w:left="140"/>
        <w:rPr>
          <w:i/>
          <w:sz w:val="18"/>
        </w:rPr>
      </w:pPr>
      <w:r>
        <w:rPr>
          <w:position w:val="5"/>
          <w:sz w:val="12"/>
        </w:rPr>
        <w:t>17</w:t>
      </w:r>
      <w:r>
        <w:rPr>
          <w:spacing w:val="8"/>
          <w:position w:val="5"/>
          <w:sz w:val="12"/>
        </w:rPr>
        <w:t xml:space="preserve"> </w:t>
      </w:r>
      <w:r>
        <w:rPr>
          <w:sz w:val="18"/>
        </w:rPr>
        <w:t>Karma</w:t>
      </w:r>
      <w:r>
        <w:rPr>
          <w:spacing w:val="-1"/>
          <w:sz w:val="18"/>
        </w:rPr>
        <w:t xml:space="preserve"> </w:t>
      </w:r>
      <w:r>
        <w:rPr>
          <w:sz w:val="18"/>
        </w:rPr>
        <w:t>R.</w:t>
      </w:r>
      <w:r>
        <w:rPr>
          <w:spacing w:val="-1"/>
          <w:sz w:val="18"/>
        </w:rPr>
        <w:t xml:space="preserve"> </w:t>
      </w:r>
      <w:r>
        <w:rPr>
          <w:sz w:val="18"/>
        </w:rPr>
        <w:t>Chavez,</w:t>
      </w:r>
      <w:r>
        <w:rPr>
          <w:spacing w:val="-1"/>
          <w:sz w:val="18"/>
        </w:rPr>
        <w:t xml:space="preserve"> </w:t>
      </w:r>
      <w:r>
        <w:rPr>
          <w:sz w:val="18"/>
        </w:rPr>
        <w:t>“Identifying</w:t>
      </w:r>
      <w:r>
        <w:rPr>
          <w:spacing w:val="-3"/>
          <w:sz w:val="18"/>
        </w:rPr>
        <w:t xml:space="preserve"> </w:t>
      </w:r>
      <w:r>
        <w:rPr>
          <w:sz w:val="18"/>
        </w:rPr>
        <w:t>the</w:t>
      </w:r>
      <w:r>
        <w:rPr>
          <w:spacing w:val="-2"/>
          <w:sz w:val="18"/>
        </w:rPr>
        <w:t xml:space="preserve"> </w:t>
      </w:r>
      <w:r>
        <w:rPr>
          <w:sz w:val="18"/>
        </w:rPr>
        <w:t>Needs</w:t>
      </w:r>
      <w:r>
        <w:rPr>
          <w:spacing w:val="-2"/>
          <w:sz w:val="18"/>
        </w:rPr>
        <w:t xml:space="preserve"> </w:t>
      </w:r>
      <w:r>
        <w:rPr>
          <w:sz w:val="18"/>
        </w:rPr>
        <w:t>of</w:t>
      </w:r>
      <w:r>
        <w:rPr>
          <w:spacing w:val="-1"/>
          <w:sz w:val="18"/>
        </w:rPr>
        <w:t xml:space="preserve"> </w:t>
      </w:r>
      <w:r>
        <w:rPr>
          <w:sz w:val="18"/>
        </w:rPr>
        <w:t>LGBTQ</w:t>
      </w:r>
      <w:r>
        <w:rPr>
          <w:spacing w:val="-3"/>
          <w:sz w:val="18"/>
        </w:rPr>
        <w:t xml:space="preserve"> </w:t>
      </w:r>
      <w:r>
        <w:rPr>
          <w:sz w:val="18"/>
        </w:rPr>
        <w:t>Immigrants</w:t>
      </w:r>
      <w:r>
        <w:rPr>
          <w:spacing w:val="-2"/>
          <w:sz w:val="18"/>
        </w:rPr>
        <w:t xml:space="preserve"> </w:t>
      </w:r>
      <w:r>
        <w:rPr>
          <w:sz w:val="18"/>
        </w:rPr>
        <w:t>and</w:t>
      </w:r>
      <w:r>
        <w:rPr>
          <w:spacing w:val="-2"/>
          <w:sz w:val="18"/>
        </w:rPr>
        <w:t xml:space="preserve"> </w:t>
      </w:r>
      <w:r>
        <w:rPr>
          <w:sz w:val="18"/>
        </w:rPr>
        <w:t>Refugees</w:t>
      </w:r>
      <w:r>
        <w:rPr>
          <w:spacing w:val="-2"/>
          <w:sz w:val="18"/>
        </w:rPr>
        <w:t xml:space="preserve"> </w:t>
      </w:r>
      <w:r>
        <w:rPr>
          <w:sz w:val="18"/>
        </w:rPr>
        <w:t>in</w:t>
      </w:r>
      <w:r>
        <w:rPr>
          <w:spacing w:val="-2"/>
          <w:sz w:val="18"/>
        </w:rPr>
        <w:t xml:space="preserve"> </w:t>
      </w:r>
      <w:r>
        <w:rPr>
          <w:sz w:val="18"/>
        </w:rPr>
        <w:t>Southern</w:t>
      </w:r>
      <w:r>
        <w:rPr>
          <w:spacing w:val="-1"/>
          <w:sz w:val="18"/>
        </w:rPr>
        <w:t xml:space="preserve"> </w:t>
      </w:r>
      <w:r>
        <w:rPr>
          <w:sz w:val="18"/>
        </w:rPr>
        <w:t xml:space="preserve">Arizona,” </w:t>
      </w:r>
      <w:r>
        <w:rPr>
          <w:i/>
          <w:sz w:val="18"/>
        </w:rPr>
        <w:t>Journal</w:t>
      </w:r>
      <w:r>
        <w:rPr>
          <w:i/>
          <w:spacing w:val="-2"/>
          <w:sz w:val="18"/>
        </w:rPr>
        <w:t xml:space="preserve"> </w:t>
      </w:r>
      <w:r>
        <w:rPr>
          <w:i/>
          <w:sz w:val="18"/>
        </w:rPr>
        <w:t>of</w:t>
      </w:r>
      <w:r>
        <w:rPr>
          <w:i/>
          <w:spacing w:val="-1"/>
          <w:sz w:val="18"/>
        </w:rPr>
        <w:t xml:space="preserve"> </w:t>
      </w:r>
      <w:r>
        <w:rPr>
          <w:i/>
          <w:spacing w:val="-2"/>
          <w:sz w:val="18"/>
        </w:rPr>
        <w:t>Homosexuality</w:t>
      </w:r>
    </w:p>
    <w:p w:rsidR="00200FDA" w:rsidRDefault="00F76C4C">
      <w:pPr>
        <w:spacing w:before="2"/>
        <w:ind w:left="140"/>
        <w:rPr>
          <w:sz w:val="18"/>
        </w:rPr>
      </w:pPr>
      <w:r>
        <w:rPr>
          <w:sz w:val="18"/>
        </w:rPr>
        <w:t>58,</w:t>
      </w:r>
      <w:r>
        <w:rPr>
          <w:spacing w:val="-1"/>
          <w:sz w:val="18"/>
        </w:rPr>
        <w:t xml:space="preserve"> </w:t>
      </w:r>
      <w:r>
        <w:rPr>
          <w:sz w:val="18"/>
        </w:rPr>
        <w:t>no. 2</w:t>
      </w:r>
      <w:r>
        <w:rPr>
          <w:spacing w:val="-1"/>
          <w:sz w:val="18"/>
        </w:rPr>
        <w:t xml:space="preserve"> </w:t>
      </w:r>
      <w:r>
        <w:rPr>
          <w:sz w:val="18"/>
        </w:rPr>
        <w:t xml:space="preserve">(2011): 189–218, </w:t>
      </w:r>
      <w:r>
        <w:rPr>
          <w:spacing w:val="-2"/>
          <w:sz w:val="18"/>
        </w:rPr>
        <w:t>https://doi.org/10.1080/00918369.2011.540175.</w:t>
      </w:r>
    </w:p>
    <w:p w:rsidR="00200FDA" w:rsidRDefault="00F76C4C">
      <w:pPr>
        <w:spacing w:before="1"/>
        <w:ind w:left="139" w:right="206"/>
        <w:rPr>
          <w:sz w:val="18"/>
        </w:rPr>
      </w:pPr>
      <w:r>
        <w:rPr>
          <w:position w:val="5"/>
          <w:sz w:val="12"/>
        </w:rPr>
        <w:t>18</w:t>
      </w:r>
      <w:r>
        <w:rPr>
          <w:spacing w:val="20"/>
          <w:position w:val="5"/>
          <w:sz w:val="12"/>
        </w:rPr>
        <w:t xml:space="preserve"> </w:t>
      </w:r>
      <w:r>
        <w:rPr>
          <w:sz w:val="18"/>
        </w:rPr>
        <w:t>“Latinx LGBTQ+ Immigrant Youth / Jovenes Inmigrantes Latinx LGBTQ+ Provider Fact Sheet,” Each Mind Matters Resource Center,</w:t>
      </w:r>
      <w:r>
        <w:rPr>
          <w:spacing w:val="-9"/>
          <w:sz w:val="18"/>
        </w:rPr>
        <w:t xml:space="preserve"> </w:t>
      </w:r>
      <w:r>
        <w:rPr>
          <w:sz w:val="18"/>
        </w:rPr>
        <w:t>accessed</w:t>
      </w:r>
      <w:r>
        <w:rPr>
          <w:spacing w:val="-10"/>
          <w:sz w:val="18"/>
        </w:rPr>
        <w:t xml:space="preserve"> </w:t>
      </w:r>
      <w:r>
        <w:rPr>
          <w:sz w:val="18"/>
        </w:rPr>
        <w:t>April</w:t>
      </w:r>
      <w:r>
        <w:rPr>
          <w:spacing w:val="-10"/>
          <w:sz w:val="18"/>
        </w:rPr>
        <w:t xml:space="preserve"> </w:t>
      </w:r>
      <w:r>
        <w:rPr>
          <w:sz w:val="18"/>
        </w:rPr>
        <w:t>24,</w:t>
      </w:r>
      <w:r>
        <w:rPr>
          <w:spacing w:val="-9"/>
          <w:sz w:val="18"/>
        </w:rPr>
        <w:t xml:space="preserve"> </w:t>
      </w:r>
      <w:r>
        <w:rPr>
          <w:sz w:val="18"/>
        </w:rPr>
        <w:t>2023,</w:t>
      </w:r>
      <w:r>
        <w:rPr>
          <w:spacing w:val="-7"/>
          <w:sz w:val="18"/>
        </w:rPr>
        <w:t xml:space="preserve"> </w:t>
      </w:r>
      <w:r>
        <w:rPr>
          <w:sz w:val="18"/>
        </w:rPr>
        <w:t>https://emmresourcecenter.org/resources/latinx-lgbtq-immig</w:t>
      </w:r>
      <w:r>
        <w:rPr>
          <w:sz w:val="18"/>
        </w:rPr>
        <w:t xml:space="preserve">rant-youth-jovenes-inmigrantes- </w:t>
      </w:r>
      <w:r>
        <w:rPr>
          <w:spacing w:val="-2"/>
          <w:sz w:val="18"/>
        </w:rPr>
        <w:t>latinx-lgbtq-provider-fact-sheet.</w:t>
      </w:r>
    </w:p>
    <w:p w:rsidR="00200FDA" w:rsidRDefault="00200FDA">
      <w:pPr>
        <w:rPr>
          <w:sz w:val="18"/>
        </w:rPr>
        <w:sectPr w:rsidR="00200FDA">
          <w:pgSz w:w="12240" w:h="15840"/>
          <w:pgMar w:top="1360" w:right="1300" w:bottom="1240" w:left="1300" w:header="763" w:footer="1043" w:gutter="0"/>
          <w:cols w:space="720"/>
        </w:sectPr>
      </w:pPr>
    </w:p>
    <w:p w:rsidR="00200FDA" w:rsidRDefault="00200FDA">
      <w:pPr>
        <w:pStyle w:val="BodyText"/>
        <w:spacing w:before="10"/>
        <w:rPr>
          <w:sz w:val="19"/>
        </w:rPr>
      </w:pPr>
    </w:p>
    <w:p w:rsidR="00200FDA" w:rsidRDefault="00F76C4C">
      <w:pPr>
        <w:spacing w:before="69"/>
        <w:ind w:left="140" w:hanging="1"/>
        <w:rPr>
          <w:sz w:val="18"/>
        </w:rPr>
      </w:pPr>
      <w:r>
        <w:rPr>
          <w:position w:val="5"/>
          <w:sz w:val="12"/>
        </w:rPr>
        <w:t>19</w:t>
      </w:r>
      <w:r>
        <w:rPr>
          <w:spacing w:val="18"/>
          <w:position w:val="5"/>
          <w:sz w:val="12"/>
        </w:rPr>
        <w:t xml:space="preserve"> </w:t>
      </w:r>
      <w:r>
        <w:rPr>
          <w:sz w:val="18"/>
        </w:rPr>
        <w:t>Michelle M. Johns et al., “Transgender Identity and Experiences of Violence Victimization, Substance Use, Suicide Risk, and Sexual</w:t>
      </w:r>
      <w:r>
        <w:rPr>
          <w:spacing w:val="-3"/>
          <w:sz w:val="18"/>
        </w:rPr>
        <w:t xml:space="preserve"> </w:t>
      </w:r>
      <w:r>
        <w:rPr>
          <w:sz w:val="18"/>
        </w:rPr>
        <w:t>Risk</w:t>
      </w:r>
      <w:r>
        <w:rPr>
          <w:spacing w:val="-3"/>
          <w:sz w:val="18"/>
        </w:rPr>
        <w:t xml:space="preserve"> </w:t>
      </w:r>
      <w:r>
        <w:rPr>
          <w:sz w:val="18"/>
        </w:rPr>
        <w:t>Behaviors</w:t>
      </w:r>
      <w:r>
        <w:rPr>
          <w:spacing w:val="-3"/>
          <w:sz w:val="18"/>
        </w:rPr>
        <w:t xml:space="preserve"> </w:t>
      </w:r>
      <w:r>
        <w:rPr>
          <w:sz w:val="18"/>
        </w:rPr>
        <w:t>Among</w:t>
      </w:r>
      <w:r>
        <w:rPr>
          <w:spacing w:val="-3"/>
          <w:sz w:val="18"/>
        </w:rPr>
        <w:t xml:space="preserve"> </w:t>
      </w:r>
      <w:r>
        <w:rPr>
          <w:sz w:val="18"/>
        </w:rPr>
        <w:t>High</w:t>
      </w:r>
      <w:r>
        <w:rPr>
          <w:spacing w:val="-3"/>
          <w:sz w:val="18"/>
        </w:rPr>
        <w:t xml:space="preserve"> </w:t>
      </w:r>
      <w:r>
        <w:rPr>
          <w:sz w:val="18"/>
        </w:rPr>
        <w:t>School</w:t>
      </w:r>
      <w:r>
        <w:rPr>
          <w:spacing w:val="-3"/>
          <w:sz w:val="18"/>
        </w:rPr>
        <w:t xml:space="preserve"> </w:t>
      </w:r>
      <w:r>
        <w:rPr>
          <w:sz w:val="18"/>
        </w:rPr>
        <w:t>Students</w:t>
      </w:r>
      <w:r>
        <w:rPr>
          <w:spacing w:val="-3"/>
          <w:sz w:val="18"/>
        </w:rPr>
        <w:t xml:space="preserve"> </w:t>
      </w:r>
      <w:r>
        <w:rPr>
          <w:sz w:val="18"/>
        </w:rPr>
        <w:t>—</w:t>
      </w:r>
      <w:r>
        <w:rPr>
          <w:spacing w:val="-2"/>
          <w:sz w:val="18"/>
        </w:rPr>
        <w:t xml:space="preserve"> </w:t>
      </w:r>
      <w:r>
        <w:rPr>
          <w:sz w:val="18"/>
        </w:rPr>
        <w:t>19</w:t>
      </w:r>
      <w:r>
        <w:rPr>
          <w:spacing w:val="-2"/>
          <w:sz w:val="18"/>
        </w:rPr>
        <w:t xml:space="preserve"> </w:t>
      </w:r>
      <w:r>
        <w:rPr>
          <w:sz w:val="18"/>
        </w:rPr>
        <w:t>States</w:t>
      </w:r>
      <w:r>
        <w:rPr>
          <w:spacing w:val="-3"/>
          <w:sz w:val="18"/>
        </w:rPr>
        <w:t xml:space="preserve"> </w:t>
      </w:r>
      <w:r>
        <w:rPr>
          <w:sz w:val="18"/>
        </w:rPr>
        <w:t>and</w:t>
      </w:r>
      <w:r>
        <w:rPr>
          <w:spacing w:val="-3"/>
          <w:sz w:val="18"/>
        </w:rPr>
        <w:t xml:space="preserve"> </w:t>
      </w:r>
      <w:r>
        <w:rPr>
          <w:sz w:val="18"/>
        </w:rPr>
        <w:t>Large</w:t>
      </w:r>
      <w:r>
        <w:rPr>
          <w:spacing w:val="-3"/>
          <w:sz w:val="18"/>
        </w:rPr>
        <w:t xml:space="preserve"> </w:t>
      </w:r>
      <w:r>
        <w:rPr>
          <w:sz w:val="18"/>
        </w:rPr>
        <w:t>Urban</w:t>
      </w:r>
      <w:r>
        <w:rPr>
          <w:spacing w:val="-3"/>
          <w:sz w:val="18"/>
        </w:rPr>
        <w:t xml:space="preserve"> </w:t>
      </w:r>
      <w:r>
        <w:rPr>
          <w:sz w:val="18"/>
        </w:rPr>
        <w:t>School</w:t>
      </w:r>
      <w:r>
        <w:rPr>
          <w:spacing w:val="-3"/>
          <w:sz w:val="18"/>
        </w:rPr>
        <w:t xml:space="preserve"> </w:t>
      </w:r>
      <w:r>
        <w:rPr>
          <w:sz w:val="18"/>
        </w:rPr>
        <w:t>Districts,</w:t>
      </w:r>
      <w:r>
        <w:rPr>
          <w:spacing w:val="-2"/>
          <w:sz w:val="18"/>
        </w:rPr>
        <w:t xml:space="preserve"> </w:t>
      </w:r>
      <w:r>
        <w:rPr>
          <w:sz w:val="18"/>
        </w:rPr>
        <w:t>2017,”</w:t>
      </w:r>
      <w:r>
        <w:rPr>
          <w:spacing w:val="-3"/>
          <w:sz w:val="18"/>
        </w:rPr>
        <w:t xml:space="preserve"> </w:t>
      </w:r>
      <w:r>
        <w:rPr>
          <w:i/>
          <w:sz w:val="18"/>
        </w:rPr>
        <w:t>MMWR.</w:t>
      </w:r>
      <w:r>
        <w:rPr>
          <w:i/>
          <w:spacing w:val="-2"/>
          <w:sz w:val="18"/>
        </w:rPr>
        <w:t xml:space="preserve"> </w:t>
      </w:r>
      <w:r>
        <w:rPr>
          <w:i/>
          <w:sz w:val="18"/>
        </w:rPr>
        <w:t>Morbidity</w:t>
      </w:r>
      <w:r>
        <w:rPr>
          <w:i/>
          <w:spacing w:val="-1"/>
          <w:sz w:val="18"/>
        </w:rPr>
        <w:t xml:space="preserve"> </w:t>
      </w:r>
      <w:r>
        <w:rPr>
          <w:i/>
          <w:sz w:val="18"/>
        </w:rPr>
        <w:t xml:space="preserve">and Mortality Weekly Report </w:t>
      </w:r>
      <w:r>
        <w:rPr>
          <w:sz w:val="18"/>
        </w:rPr>
        <w:t>68 (2019), https://doi.org/10.15585/mmwr.mm6803a3.</w:t>
      </w:r>
    </w:p>
    <w:p w:rsidR="00200FDA" w:rsidRDefault="00F76C4C">
      <w:pPr>
        <w:spacing w:before="1"/>
        <w:ind w:left="140" w:right="148" w:hanging="1"/>
        <w:rPr>
          <w:sz w:val="18"/>
        </w:rPr>
      </w:pPr>
      <w:r>
        <w:rPr>
          <w:position w:val="5"/>
          <w:sz w:val="12"/>
        </w:rPr>
        <w:t>20</w:t>
      </w:r>
      <w:r>
        <w:rPr>
          <w:spacing w:val="10"/>
          <w:position w:val="5"/>
          <w:sz w:val="12"/>
        </w:rPr>
        <w:t xml:space="preserve"> </w:t>
      </w:r>
      <w:r>
        <w:rPr>
          <w:sz w:val="18"/>
        </w:rPr>
        <w:t>Margarita</w:t>
      </w:r>
      <w:r>
        <w:rPr>
          <w:spacing w:val="-2"/>
          <w:sz w:val="18"/>
        </w:rPr>
        <w:t xml:space="preserve"> </w:t>
      </w:r>
      <w:r>
        <w:rPr>
          <w:sz w:val="18"/>
        </w:rPr>
        <w:t>Alegría,</w:t>
      </w:r>
      <w:r>
        <w:rPr>
          <w:spacing w:val="-2"/>
          <w:sz w:val="18"/>
        </w:rPr>
        <w:t xml:space="preserve"> </w:t>
      </w:r>
      <w:r>
        <w:rPr>
          <w:sz w:val="18"/>
        </w:rPr>
        <w:t>Kiara</w:t>
      </w:r>
      <w:r>
        <w:rPr>
          <w:spacing w:val="-1"/>
          <w:sz w:val="18"/>
        </w:rPr>
        <w:t xml:space="preserve"> </w:t>
      </w:r>
      <w:r>
        <w:rPr>
          <w:sz w:val="18"/>
        </w:rPr>
        <w:t>Álvarez,</w:t>
      </w:r>
      <w:r>
        <w:rPr>
          <w:spacing w:val="-2"/>
          <w:sz w:val="18"/>
        </w:rPr>
        <w:t xml:space="preserve"> </w:t>
      </w:r>
      <w:r>
        <w:rPr>
          <w:sz w:val="18"/>
        </w:rPr>
        <w:t>and</w:t>
      </w:r>
      <w:r>
        <w:rPr>
          <w:spacing w:val="-3"/>
          <w:sz w:val="18"/>
        </w:rPr>
        <w:t xml:space="preserve"> </w:t>
      </w:r>
      <w:r>
        <w:rPr>
          <w:sz w:val="18"/>
        </w:rPr>
        <w:t>Karissa</w:t>
      </w:r>
      <w:r>
        <w:rPr>
          <w:spacing w:val="-2"/>
          <w:sz w:val="18"/>
        </w:rPr>
        <w:t xml:space="preserve"> </w:t>
      </w:r>
      <w:r>
        <w:rPr>
          <w:sz w:val="18"/>
        </w:rPr>
        <w:t>DiMarzio,</w:t>
      </w:r>
      <w:r>
        <w:rPr>
          <w:spacing w:val="-2"/>
          <w:sz w:val="18"/>
        </w:rPr>
        <w:t xml:space="preserve"> </w:t>
      </w:r>
      <w:r>
        <w:rPr>
          <w:sz w:val="18"/>
        </w:rPr>
        <w:t>“Immigration</w:t>
      </w:r>
      <w:r>
        <w:rPr>
          <w:spacing w:val="-3"/>
          <w:sz w:val="18"/>
        </w:rPr>
        <w:t xml:space="preserve"> </w:t>
      </w:r>
      <w:r>
        <w:rPr>
          <w:sz w:val="18"/>
        </w:rPr>
        <w:t>and</w:t>
      </w:r>
      <w:r>
        <w:rPr>
          <w:spacing w:val="-3"/>
          <w:sz w:val="18"/>
        </w:rPr>
        <w:t xml:space="preserve"> </w:t>
      </w:r>
      <w:r>
        <w:rPr>
          <w:sz w:val="18"/>
        </w:rPr>
        <w:t>Mental</w:t>
      </w:r>
      <w:r>
        <w:rPr>
          <w:spacing w:val="-3"/>
          <w:sz w:val="18"/>
        </w:rPr>
        <w:t xml:space="preserve"> </w:t>
      </w:r>
      <w:r>
        <w:rPr>
          <w:sz w:val="18"/>
        </w:rPr>
        <w:t>Health,”</w:t>
      </w:r>
      <w:r>
        <w:rPr>
          <w:spacing w:val="-3"/>
          <w:sz w:val="18"/>
        </w:rPr>
        <w:t xml:space="preserve"> </w:t>
      </w:r>
      <w:r>
        <w:rPr>
          <w:i/>
          <w:sz w:val="18"/>
        </w:rPr>
        <w:t>Current</w:t>
      </w:r>
      <w:r>
        <w:rPr>
          <w:i/>
          <w:spacing w:val="-3"/>
          <w:sz w:val="18"/>
        </w:rPr>
        <w:t xml:space="preserve"> </w:t>
      </w:r>
      <w:r>
        <w:rPr>
          <w:i/>
          <w:sz w:val="18"/>
        </w:rPr>
        <w:t>Epidemiology</w:t>
      </w:r>
      <w:r>
        <w:rPr>
          <w:i/>
          <w:spacing w:val="-1"/>
          <w:sz w:val="18"/>
        </w:rPr>
        <w:t xml:space="preserve"> </w:t>
      </w:r>
      <w:r>
        <w:rPr>
          <w:i/>
          <w:sz w:val="18"/>
        </w:rPr>
        <w:t>Reports</w:t>
      </w:r>
      <w:r>
        <w:rPr>
          <w:i/>
          <w:spacing w:val="-3"/>
          <w:sz w:val="18"/>
        </w:rPr>
        <w:t xml:space="preserve"> </w:t>
      </w:r>
      <w:r>
        <w:rPr>
          <w:sz w:val="18"/>
        </w:rPr>
        <w:t>4,</w:t>
      </w:r>
      <w:r>
        <w:rPr>
          <w:spacing w:val="-2"/>
          <w:sz w:val="18"/>
        </w:rPr>
        <w:t xml:space="preserve"> </w:t>
      </w:r>
      <w:r>
        <w:rPr>
          <w:sz w:val="18"/>
        </w:rPr>
        <w:t>no. 2 (June 2017): 145, https://doi.org/10.1007/s40471-017-0111-2.</w:t>
      </w:r>
    </w:p>
    <w:p w:rsidR="00200FDA" w:rsidRDefault="00F76C4C">
      <w:pPr>
        <w:ind w:left="140" w:right="258"/>
        <w:rPr>
          <w:sz w:val="18"/>
        </w:rPr>
      </w:pPr>
      <w:r>
        <w:rPr>
          <w:position w:val="5"/>
          <w:sz w:val="12"/>
        </w:rPr>
        <w:t>21</w:t>
      </w:r>
      <w:r>
        <w:rPr>
          <w:spacing w:val="20"/>
          <w:position w:val="5"/>
          <w:sz w:val="12"/>
        </w:rPr>
        <w:t xml:space="preserve"> </w:t>
      </w:r>
      <w:r>
        <w:rPr>
          <w:sz w:val="18"/>
        </w:rPr>
        <w:t>Consuelo Arbona et al., “Acculturative Stress Among Documented and Undocumented Latino Immigrants in the United States,”</w:t>
      </w:r>
      <w:r>
        <w:rPr>
          <w:spacing w:val="-4"/>
          <w:sz w:val="18"/>
        </w:rPr>
        <w:t xml:space="preserve"> </w:t>
      </w:r>
      <w:r>
        <w:rPr>
          <w:i/>
          <w:sz w:val="18"/>
        </w:rPr>
        <w:t>Hispanic</w:t>
      </w:r>
      <w:r>
        <w:rPr>
          <w:i/>
          <w:spacing w:val="-4"/>
          <w:sz w:val="18"/>
        </w:rPr>
        <w:t xml:space="preserve"> </w:t>
      </w:r>
      <w:r>
        <w:rPr>
          <w:i/>
          <w:sz w:val="18"/>
        </w:rPr>
        <w:t>Journal</w:t>
      </w:r>
      <w:r>
        <w:rPr>
          <w:i/>
          <w:spacing w:val="-4"/>
          <w:sz w:val="18"/>
        </w:rPr>
        <w:t xml:space="preserve"> </w:t>
      </w:r>
      <w:r>
        <w:rPr>
          <w:i/>
          <w:sz w:val="18"/>
        </w:rPr>
        <w:t>of</w:t>
      </w:r>
      <w:r>
        <w:rPr>
          <w:i/>
          <w:spacing w:val="-3"/>
          <w:sz w:val="18"/>
        </w:rPr>
        <w:t xml:space="preserve"> </w:t>
      </w:r>
      <w:r>
        <w:rPr>
          <w:i/>
          <w:sz w:val="18"/>
        </w:rPr>
        <w:t>Behavioral</w:t>
      </w:r>
      <w:r>
        <w:rPr>
          <w:i/>
          <w:spacing w:val="-4"/>
          <w:sz w:val="18"/>
        </w:rPr>
        <w:t xml:space="preserve"> </w:t>
      </w:r>
      <w:r>
        <w:rPr>
          <w:i/>
          <w:sz w:val="18"/>
        </w:rPr>
        <w:t>Sciences</w:t>
      </w:r>
      <w:r>
        <w:rPr>
          <w:i/>
          <w:spacing w:val="-4"/>
          <w:sz w:val="18"/>
        </w:rPr>
        <w:t xml:space="preserve"> </w:t>
      </w:r>
      <w:r>
        <w:rPr>
          <w:sz w:val="18"/>
        </w:rPr>
        <w:t>3</w:t>
      </w:r>
      <w:r>
        <w:rPr>
          <w:sz w:val="18"/>
        </w:rPr>
        <w:t>2,</w:t>
      </w:r>
      <w:r>
        <w:rPr>
          <w:spacing w:val="-3"/>
          <w:sz w:val="18"/>
        </w:rPr>
        <w:t xml:space="preserve"> </w:t>
      </w:r>
      <w:r>
        <w:rPr>
          <w:sz w:val="18"/>
        </w:rPr>
        <w:t>no.</w:t>
      </w:r>
      <w:r>
        <w:rPr>
          <w:spacing w:val="-3"/>
          <w:sz w:val="18"/>
        </w:rPr>
        <w:t xml:space="preserve"> </w:t>
      </w:r>
      <w:r>
        <w:rPr>
          <w:sz w:val="18"/>
        </w:rPr>
        <w:t>3</w:t>
      </w:r>
      <w:r>
        <w:rPr>
          <w:spacing w:val="-3"/>
          <w:sz w:val="18"/>
        </w:rPr>
        <w:t xml:space="preserve"> </w:t>
      </w:r>
      <w:r>
        <w:rPr>
          <w:sz w:val="18"/>
        </w:rPr>
        <w:t>(August</w:t>
      </w:r>
      <w:r>
        <w:rPr>
          <w:spacing w:val="-1"/>
          <w:sz w:val="18"/>
        </w:rPr>
        <w:t xml:space="preserve"> </w:t>
      </w:r>
      <w:r>
        <w:rPr>
          <w:sz w:val="18"/>
        </w:rPr>
        <w:t>2010):</w:t>
      </w:r>
      <w:r>
        <w:rPr>
          <w:spacing w:val="-3"/>
          <w:sz w:val="18"/>
        </w:rPr>
        <w:t xml:space="preserve"> </w:t>
      </w:r>
      <w:r>
        <w:rPr>
          <w:sz w:val="18"/>
        </w:rPr>
        <w:t>362–84,</w:t>
      </w:r>
      <w:r>
        <w:rPr>
          <w:spacing w:val="-3"/>
          <w:sz w:val="18"/>
        </w:rPr>
        <w:t xml:space="preserve"> </w:t>
      </w:r>
      <w:r>
        <w:rPr>
          <w:sz w:val="18"/>
        </w:rPr>
        <w:t xml:space="preserve">https://doi.org/10.1177/0739986310373210. </w:t>
      </w:r>
      <w:r>
        <w:rPr>
          <w:position w:val="5"/>
          <w:sz w:val="12"/>
        </w:rPr>
        <w:t>22</w:t>
      </w:r>
      <w:r>
        <w:rPr>
          <w:spacing w:val="11"/>
          <w:position w:val="5"/>
          <w:sz w:val="12"/>
        </w:rPr>
        <w:t xml:space="preserve"> </w:t>
      </w:r>
      <w:r>
        <w:rPr>
          <w:sz w:val="18"/>
        </w:rPr>
        <w:t>Nicole</w:t>
      </w:r>
      <w:r>
        <w:rPr>
          <w:spacing w:val="-2"/>
          <w:sz w:val="18"/>
        </w:rPr>
        <w:t xml:space="preserve"> </w:t>
      </w:r>
      <w:r>
        <w:rPr>
          <w:sz w:val="18"/>
        </w:rPr>
        <w:t>N.</w:t>
      </w:r>
      <w:r>
        <w:rPr>
          <w:spacing w:val="-1"/>
          <w:sz w:val="18"/>
        </w:rPr>
        <w:t xml:space="preserve"> </w:t>
      </w:r>
      <w:r>
        <w:rPr>
          <w:sz w:val="18"/>
        </w:rPr>
        <w:t>Gray,</w:t>
      </w:r>
      <w:r>
        <w:rPr>
          <w:spacing w:val="-1"/>
          <w:sz w:val="18"/>
        </w:rPr>
        <w:t xml:space="preserve"> </w:t>
      </w:r>
      <w:r>
        <w:rPr>
          <w:sz w:val="18"/>
        </w:rPr>
        <w:t>David</w:t>
      </w:r>
      <w:r>
        <w:rPr>
          <w:spacing w:val="-2"/>
          <w:sz w:val="18"/>
        </w:rPr>
        <w:t xml:space="preserve"> </w:t>
      </w:r>
      <w:r>
        <w:rPr>
          <w:sz w:val="18"/>
        </w:rPr>
        <w:t>M.</w:t>
      </w:r>
      <w:r>
        <w:rPr>
          <w:spacing w:val="-1"/>
          <w:sz w:val="18"/>
        </w:rPr>
        <w:t xml:space="preserve"> </w:t>
      </w:r>
      <w:r>
        <w:rPr>
          <w:sz w:val="18"/>
        </w:rPr>
        <w:t>Mendelsohn,</w:t>
      </w:r>
      <w:r>
        <w:rPr>
          <w:spacing w:val="-1"/>
          <w:sz w:val="18"/>
        </w:rPr>
        <w:t xml:space="preserve"> </w:t>
      </w:r>
      <w:r>
        <w:rPr>
          <w:sz w:val="18"/>
        </w:rPr>
        <w:t>and</w:t>
      </w:r>
      <w:r>
        <w:rPr>
          <w:spacing w:val="-2"/>
          <w:sz w:val="18"/>
        </w:rPr>
        <w:t xml:space="preserve"> </w:t>
      </w:r>
      <w:r>
        <w:rPr>
          <w:sz w:val="18"/>
        </w:rPr>
        <w:t>Allen</w:t>
      </w:r>
      <w:r>
        <w:rPr>
          <w:spacing w:val="-2"/>
          <w:sz w:val="18"/>
        </w:rPr>
        <w:t xml:space="preserve"> </w:t>
      </w:r>
      <w:r>
        <w:rPr>
          <w:sz w:val="18"/>
        </w:rPr>
        <w:t>M.</w:t>
      </w:r>
      <w:r>
        <w:rPr>
          <w:spacing w:val="-1"/>
          <w:sz w:val="18"/>
        </w:rPr>
        <w:t xml:space="preserve"> </w:t>
      </w:r>
      <w:r>
        <w:rPr>
          <w:sz w:val="18"/>
        </w:rPr>
        <w:t>Omoto,</w:t>
      </w:r>
      <w:r>
        <w:rPr>
          <w:spacing w:val="-1"/>
          <w:sz w:val="18"/>
        </w:rPr>
        <w:t xml:space="preserve"> </w:t>
      </w:r>
      <w:r>
        <w:rPr>
          <w:sz w:val="18"/>
        </w:rPr>
        <w:t>“Community</w:t>
      </w:r>
      <w:r>
        <w:rPr>
          <w:spacing w:val="-1"/>
          <w:sz w:val="18"/>
        </w:rPr>
        <w:t xml:space="preserve"> </w:t>
      </w:r>
      <w:r>
        <w:rPr>
          <w:sz w:val="18"/>
        </w:rPr>
        <w:t>Connectedness,</w:t>
      </w:r>
      <w:r>
        <w:rPr>
          <w:spacing w:val="-1"/>
          <w:sz w:val="18"/>
        </w:rPr>
        <w:t xml:space="preserve"> </w:t>
      </w:r>
      <w:r>
        <w:rPr>
          <w:sz w:val="18"/>
        </w:rPr>
        <w:t>Challenges,</w:t>
      </w:r>
      <w:r>
        <w:rPr>
          <w:spacing w:val="-1"/>
          <w:sz w:val="18"/>
        </w:rPr>
        <w:t xml:space="preserve"> </w:t>
      </w:r>
      <w:r>
        <w:rPr>
          <w:sz w:val="18"/>
        </w:rPr>
        <w:t>and</w:t>
      </w:r>
      <w:r>
        <w:rPr>
          <w:spacing w:val="-2"/>
          <w:sz w:val="18"/>
        </w:rPr>
        <w:t xml:space="preserve"> </w:t>
      </w:r>
      <w:r>
        <w:rPr>
          <w:sz w:val="18"/>
        </w:rPr>
        <w:t>Resilience</w:t>
      </w:r>
      <w:r>
        <w:rPr>
          <w:spacing w:val="-2"/>
          <w:sz w:val="18"/>
        </w:rPr>
        <w:t xml:space="preserve"> </w:t>
      </w:r>
      <w:r>
        <w:rPr>
          <w:sz w:val="18"/>
        </w:rPr>
        <w:t xml:space="preserve">Among Gay Latino Immigrants,” </w:t>
      </w:r>
      <w:r>
        <w:rPr>
          <w:i/>
          <w:sz w:val="18"/>
        </w:rPr>
        <w:t xml:space="preserve">American Journal of Community Psychology </w:t>
      </w:r>
      <w:r>
        <w:rPr>
          <w:sz w:val="18"/>
        </w:rPr>
        <w:t xml:space="preserve">55, no. 0 (March 2015): 202, </w:t>
      </w:r>
      <w:r>
        <w:rPr>
          <w:spacing w:val="-2"/>
          <w:sz w:val="18"/>
        </w:rPr>
        <w:t>https://doi.org/10.1007/s10464-014-9697-4.</w:t>
      </w:r>
    </w:p>
    <w:p w:rsidR="00200FDA" w:rsidRDefault="00F76C4C">
      <w:pPr>
        <w:ind w:left="140" w:hanging="1"/>
        <w:rPr>
          <w:sz w:val="18"/>
        </w:rPr>
      </w:pPr>
      <w:r>
        <w:rPr>
          <w:position w:val="5"/>
          <w:sz w:val="12"/>
        </w:rPr>
        <w:t>23</w:t>
      </w:r>
      <w:r>
        <w:rPr>
          <w:spacing w:val="10"/>
          <w:position w:val="5"/>
          <w:sz w:val="12"/>
        </w:rPr>
        <w:t xml:space="preserve"> </w:t>
      </w:r>
      <w:r>
        <w:rPr>
          <w:sz w:val="18"/>
        </w:rPr>
        <w:t>Fernando</w:t>
      </w:r>
      <w:r>
        <w:rPr>
          <w:spacing w:val="-1"/>
          <w:sz w:val="18"/>
        </w:rPr>
        <w:t xml:space="preserve"> </w:t>
      </w:r>
      <w:r>
        <w:rPr>
          <w:sz w:val="18"/>
        </w:rPr>
        <w:t>Estrada</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“Machismo</w:t>
      </w:r>
      <w:r>
        <w:rPr>
          <w:spacing w:val="-1"/>
          <w:sz w:val="18"/>
        </w:rPr>
        <w:t xml:space="preserve"> </w:t>
      </w:r>
      <w:r>
        <w:rPr>
          <w:sz w:val="18"/>
        </w:rPr>
        <w:t>and</w:t>
      </w:r>
      <w:r>
        <w:rPr>
          <w:spacing w:val="-3"/>
          <w:sz w:val="18"/>
        </w:rPr>
        <w:t xml:space="preserve"> </w:t>
      </w:r>
      <w:r>
        <w:rPr>
          <w:sz w:val="18"/>
        </w:rPr>
        <w:t>Mexican</w:t>
      </w:r>
      <w:r>
        <w:rPr>
          <w:spacing w:val="-1"/>
          <w:sz w:val="18"/>
        </w:rPr>
        <w:t xml:space="preserve"> </w:t>
      </w:r>
      <w:r>
        <w:rPr>
          <w:sz w:val="18"/>
        </w:rPr>
        <w:t>American</w:t>
      </w:r>
      <w:r>
        <w:rPr>
          <w:spacing w:val="-3"/>
          <w:sz w:val="18"/>
        </w:rPr>
        <w:t xml:space="preserve"> </w:t>
      </w:r>
      <w:r>
        <w:rPr>
          <w:sz w:val="18"/>
        </w:rPr>
        <w:t>Men: An</w:t>
      </w:r>
      <w:r>
        <w:rPr>
          <w:spacing w:val="-3"/>
          <w:sz w:val="18"/>
        </w:rPr>
        <w:t xml:space="preserve"> </w:t>
      </w:r>
      <w:r>
        <w:rPr>
          <w:sz w:val="18"/>
        </w:rPr>
        <w:t>Empirical</w:t>
      </w:r>
      <w:r>
        <w:rPr>
          <w:spacing w:val="-3"/>
          <w:sz w:val="18"/>
        </w:rPr>
        <w:t xml:space="preserve"> </w:t>
      </w:r>
      <w:r>
        <w:rPr>
          <w:sz w:val="18"/>
        </w:rPr>
        <w:t>Understanding</w:t>
      </w:r>
      <w:r>
        <w:rPr>
          <w:spacing w:val="-3"/>
          <w:sz w:val="18"/>
        </w:rPr>
        <w:t xml:space="preserve"> </w:t>
      </w:r>
      <w:r>
        <w:rPr>
          <w:sz w:val="18"/>
        </w:rPr>
        <w:t>Using</w:t>
      </w:r>
      <w:r>
        <w:rPr>
          <w:spacing w:val="-3"/>
          <w:sz w:val="18"/>
        </w:rPr>
        <w:t xml:space="preserve"> </w:t>
      </w:r>
      <w:r>
        <w:rPr>
          <w:sz w:val="18"/>
        </w:rPr>
        <w:t>a</w:t>
      </w:r>
      <w:r>
        <w:rPr>
          <w:spacing w:val="-2"/>
          <w:sz w:val="18"/>
        </w:rPr>
        <w:t xml:space="preserve"> </w:t>
      </w:r>
      <w:r>
        <w:rPr>
          <w:sz w:val="18"/>
        </w:rPr>
        <w:t>Gay</w:t>
      </w:r>
      <w:r>
        <w:rPr>
          <w:spacing w:val="-2"/>
          <w:sz w:val="18"/>
        </w:rPr>
        <w:t xml:space="preserve"> </w:t>
      </w:r>
      <w:r>
        <w:rPr>
          <w:sz w:val="18"/>
        </w:rPr>
        <w:t>Sample,”</w:t>
      </w:r>
      <w:r>
        <w:rPr>
          <w:spacing w:val="-3"/>
          <w:sz w:val="18"/>
        </w:rPr>
        <w:t xml:space="preserve"> </w:t>
      </w:r>
      <w:r>
        <w:rPr>
          <w:i/>
          <w:sz w:val="18"/>
        </w:rPr>
        <w:t>Journal</w:t>
      </w:r>
      <w:r>
        <w:rPr>
          <w:i/>
          <w:spacing w:val="-3"/>
          <w:sz w:val="18"/>
        </w:rPr>
        <w:t xml:space="preserve"> </w:t>
      </w:r>
      <w:r>
        <w:rPr>
          <w:i/>
          <w:sz w:val="18"/>
        </w:rPr>
        <w:t>of Counseling Psycholog</w:t>
      </w:r>
      <w:r>
        <w:rPr>
          <w:i/>
          <w:sz w:val="18"/>
        </w:rPr>
        <w:t xml:space="preserve">y </w:t>
      </w:r>
      <w:r>
        <w:rPr>
          <w:sz w:val="18"/>
        </w:rPr>
        <w:t>58, no. 3 (July 2011): 358–67, https://doi.org/10.1037/a0023122.</w:t>
      </w:r>
    </w:p>
    <w:p w:rsidR="00200FDA" w:rsidRDefault="00F76C4C">
      <w:pPr>
        <w:spacing w:line="219" w:lineRule="exact"/>
        <w:ind w:left="140"/>
        <w:rPr>
          <w:sz w:val="18"/>
        </w:rPr>
      </w:pPr>
      <w:r>
        <w:rPr>
          <w:position w:val="5"/>
          <w:sz w:val="12"/>
        </w:rPr>
        <w:t>24</w:t>
      </w:r>
      <w:r>
        <w:rPr>
          <w:spacing w:val="8"/>
          <w:position w:val="5"/>
          <w:sz w:val="12"/>
        </w:rPr>
        <w:t xml:space="preserve"> </w:t>
      </w:r>
      <w:r>
        <w:rPr>
          <w:sz w:val="18"/>
        </w:rPr>
        <w:t>The</w:t>
      </w:r>
      <w:r>
        <w:rPr>
          <w:spacing w:val="-3"/>
          <w:sz w:val="18"/>
        </w:rPr>
        <w:t xml:space="preserve"> </w:t>
      </w:r>
      <w:r>
        <w:rPr>
          <w:sz w:val="18"/>
        </w:rPr>
        <w:t>APA</w:t>
      </w:r>
      <w:r>
        <w:rPr>
          <w:spacing w:val="-3"/>
          <w:sz w:val="18"/>
        </w:rPr>
        <w:t xml:space="preserve"> </w:t>
      </w:r>
      <w:r>
        <w:rPr>
          <w:sz w:val="18"/>
        </w:rPr>
        <w:t>Presidential</w:t>
      </w:r>
      <w:r>
        <w:rPr>
          <w:spacing w:val="-2"/>
          <w:sz w:val="18"/>
        </w:rPr>
        <w:t xml:space="preserve"> </w:t>
      </w:r>
      <w:r>
        <w:rPr>
          <w:sz w:val="18"/>
        </w:rPr>
        <w:t>Task</w:t>
      </w:r>
      <w:r>
        <w:rPr>
          <w:spacing w:val="-3"/>
          <w:sz w:val="18"/>
        </w:rPr>
        <w:t xml:space="preserve"> </w:t>
      </w:r>
      <w:r>
        <w:rPr>
          <w:sz w:val="18"/>
        </w:rPr>
        <w:t>Force</w:t>
      </w:r>
      <w:r>
        <w:rPr>
          <w:spacing w:val="-1"/>
          <w:sz w:val="18"/>
        </w:rPr>
        <w:t xml:space="preserve"> </w:t>
      </w:r>
      <w:r>
        <w:rPr>
          <w:sz w:val="18"/>
        </w:rPr>
        <w:t>on</w:t>
      </w:r>
      <w:r>
        <w:rPr>
          <w:spacing w:val="-2"/>
          <w:sz w:val="18"/>
        </w:rPr>
        <w:t xml:space="preserve"> </w:t>
      </w:r>
      <w:r>
        <w:rPr>
          <w:sz w:val="18"/>
        </w:rPr>
        <w:t>Immigration.</w:t>
      </w:r>
      <w:r>
        <w:rPr>
          <w:spacing w:val="-2"/>
          <w:sz w:val="18"/>
        </w:rPr>
        <w:t xml:space="preserve"> </w:t>
      </w:r>
      <w:r>
        <w:rPr>
          <w:sz w:val="18"/>
        </w:rPr>
        <w:t>(2013).</w:t>
      </w:r>
      <w:r>
        <w:rPr>
          <w:spacing w:val="-2"/>
          <w:sz w:val="18"/>
        </w:rPr>
        <w:t xml:space="preserve"> </w:t>
      </w:r>
      <w:r>
        <w:rPr>
          <w:sz w:val="18"/>
        </w:rPr>
        <w:t>Crossroads:</w:t>
      </w:r>
      <w:r>
        <w:rPr>
          <w:spacing w:val="-3"/>
          <w:sz w:val="18"/>
        </w:rPr>
        <w:t xml:space="preserve"> </w:t>
      </w:r>
      <w:r>
        <w:rPr>
          <w:sz w:val="18"/>
        </w:rPr>
        <w:t>The</w:t>
      </w:r>
      <w:r>
        <w:rPr>
          <w:spacing w:val="-2"/>
          <w:sz w:val="18"/>
        </w:rPr>
        <w:t xml:space="preserve"> </w:t>
      </w:r>
      <w:r>
        <w:rPr>
          <w:sz w:val="18"/>
        </w:rPr>
        <w:t>psychology</w:t>
      </w:r>
      <w:r>
        <w:rPr>
          <w:spacing w:val="-2"/>
          <w:sz w:val="18"/>
        </w:rPr>
        <w:t xml:space="preserve"> </w:t>
      </w:r>
      <w:r>
        <w:rPr>
          <w:sz w:val="18"/>
        </w:rPr>
        <w:t>of</w:t>
      </w:r>
      <w:r>
        <w:rPr>
          <w:spacing w:val="-2"/>
          <w:sz w:val="18"/>
        </w:rPr>
        <w:t xml:space="preserve"> </w:t>
      </w:r>
      <w:r>
        <w:rPr>
          <w:sz w:val="18"/>
        </w:rPr>
        <w:t>immigration</w:t>
      </w:r>
      <w:r>
        <w:rPr>
          <w:spacing w:val="-2"/>
          <w:sz w:val="18"/>
        </w:rPr>
        <w:t xml:space="preserve"> </w:t>
      </w:r>
      <w:r>
        <w:rPr>
          <w:sz w:val="18"/>
        </w:rPr>
        <w:t>in</w:t>
      </w:r>
      <w:r>
        <w:rPr>
          <w:spacing w:val="-3"/>
          <w:sz w:val="18"/>
        </w:rPr>
        <w:t xml:space="preserve"> </w:t>
      </w:r>
      <w:r>
        <w:rPr>
          <w:sz w:val="18"/>
        </w:rPr>
        <w:t>the</w:t>
      </w:r>
      <w:r>
        <w:rPr>
          <w:spacing w:val="-3"/>
          <w:sz w:val="18"/>
        </w:rPr>
        <w:t xml:space="preserve"> </w:t>
      </w:r>
      <w:r>
        <w:rPr>
          <w:sz w:val="18"/>
        </w:rPr>
        <w:t xml:space="preserve">new </w:t>
      </w:r>
      <w:r>
        <w:rPr>
          <w:spacing w:val="-2"/>
          <w:sz w:val="18"/>
        </w:rPr>
        <w:t>century.</w:t>
      </w:r>
    </w:p>
    <w:p w:rsidR="00200FDA" w:rsidRDefault="00F76C4C">
      <w:pPr>
        <w:spacing w:line="219" w:lineRule="exact"/>
        <w:ind w:left="140"/>
        <w:rPr>
          <w:sz w:val="18"/>
        </w:rPr>
      </w:pPr>
      <w:r>
        <w:rPr>
          <w:i/>
          <w:sz w:val="18"/>
        </w:rPr>
        <w:t>Journal</w:t>
      </w:r>
      <w:r>
        <w:rPr>
          <w:i/>
          <w:spacing w:val="-5"/>
          <w:sz w:val="18"/>
        </w:rPr>
        <w:t xml:space="preserve"> </w:t>
      </w:r>
      <w:r>
        <w:rPr>
          <w:i/>
          <w:sz w:val="18"/>
        </w:rPr>
        <w:t>of</w:t>
      </w:r>
      <w:r>
        <w:rPr>
          <w:i/>
          <w:spacing w:val="-2"/>
          <w:sz w:val="18"/>
        </w:rPr>
        <w:t xml:space="preserve"> </w:t>
      </w:r>
      <w:r>
        <w:rPr>
          <w:i/>
          <w:sz w:val="18"/>
        </w:rPr>
        <w:t>Latina/o</w:t>
      </w:r>
      <w:r>
        <w:rPr>
          <w:i/>
          <w:spacing w:val="-3"/>
          <w:sz w:val="18"/>
        </w:rPr>
        <w:t xml:space="preserve"> </w:t>
      </w:r>
      <w:r>
        <w:rPr>
          <w:i/>
          <w:sz w:val="18"/>
        </w:rPr>
        <w:t>Psychology,</w:t>
      </w:r>
      <w:r>
        <w:rPr>
          <w:i/>
          <w:spacing w:val="-2"/>
          <w:sz w:val="18"/>
        </w:rPr>
        <w:t xml:space="preserve"> </w:t>
      </w:r>
      <w:r>
        <w:rPr>
          <w:i/>
          <w:sz w:val="18"/>
        </w:rPr>
        <w:t>1</w:t>
      </w:r>
      <w:r>
        <w:rPr>
          <w:sz w:val="18"/>
        </w:rPr>
        <w:t>(3),</w:t>
      </w:r>
      <w:r>
        <w:rPr>
          <w:spacing w:val="-2"/>
          <w:sz w:val="18"/>
        </w:rPr>
        <w:t xml:space="preserve"> </w:t>
      </w:r>
      <w:r>
        <w:rPr>
          <w:sz w:val="18"/>
        </w:rPr>
        <w:t>133–148.</w:t>
      </w:r>
      <w:r>
        <w:rPr>
          <w:spacing w:val="-1"/>
          <w:sz w:val="18"/>
        </w:rPr>
        <w:t xml:space="preserve"> </w:t>
      </w:r>
      <w:hyperlink r:id="rId701">
        <w:r>
          <w:rPr>
            <w:color w:val="0000FF"/>
            <w:spacing w:val="-2"/>
            <w:sz w:val="18"/>
            <w:u w:val="single" w:color="0000FF"/>
          </w:rPr>
          <w:t>https://doi.org/10.1037/lat0000001</w:t>
        </w:r>
      </w:hyperlink>
    </w:p>
    <w:p w:rsidR="00200FDA" w:rsidRDefault="00F76C4C">
      <w:pPr>
        <w:spacing w:before="1"/>
        <w:ind w:left="140" w:right="2789" w:hanging="1"/>
        <w:rPr>
          <w:sz w:val="18"/>
        </w:rPr>
      </w:pPr>
      <w:r>
        <w:rPr>
          <w:position w:val="5"/>
          <w:sz w:val="12"/>
        </w:rPr>
        <w:t>25</w:t>
      </w:r>
      <w:r>
        <w:rPr>
          <w:spacing w:val="23"/>
          <w:position w:val="5"/>
          <w:sz w:val="12"/>
        </w:rPr>
        <w:t xml:space="preserve"> </w:t>
      </w:r>
      <w:r>
        <w:rPr>
          <w:sz w:val="18"/>
        </w:rPr>
        <w:t xml:space="preserve">“LGBTQ Youth from Immigrant Families,” </w:t>
      </w:r>
      <w:r>
        <w:rPr>
          <w:i/>
          <w:sz w:val="18"/>
        </w:rPr>
        <w:t xml:space="preserve">The Trevor Project </w:t>
      </w:r>
      <w:r>
        <w:rPr>
          <w:sz w:val="18"/>
        </w:rPr>
        <w:t xml:space="preserve">(blog), April 30, 2021, </w:t>
      </w:r>
      <w:r>
        <w:rPr>
          <w:spacing w:val="-2"/>
          <w:sz w:val="18"/>
        </w:rPr>
        <w:t>https://</w:t>
      </w:r>
      <w:hyperlink r:id="rId702">
        <w:r>
          <w:rPr>
            <w:spacing w:val="-2"/>
            <w:sz w:val="18"/>
          </w:rPr>
          <w:t>www.thetrevorproject.org/research-briefs/lgbtq-youth-from-immigrant-families-2/.</w:t>
        </w:r>
      </w:hyperlink>
    </w:p>
    <w:p w:rsidR="00200FDA" w:rsidRDefault="00F76C4C">
      <w:pPr>
        <w:spacing w:line="219" w:lineRule="exact"/>
        <w:ind w:left="140"/>
        <w:rPr>
          <w:sz w:val="18"/>
        </w:rPr>
      </w:pPr>
      <w:r>
        <w:rPr>
          <w:position w:val="5"/>
          <w:sz w:val="12"/>
        </w:rPr>
        <w:t>26</w:t>
      </w:r>
      <w:r>
        <w:rPr>
          <w:spacing w:val="10"/>
          <w:position w:val="5"/>
          <w:sz w:val="12"/>
        </w:rPr>
        <w:t xml:space="preserve"> </w:t>
      </w:r>
      <w:r>
        <w:rPr>
          <w:sz w:val="18"/>
        </w:rPr>
        <w:t>“Latinx</w:t>
      </w:r>
      <w:r>
        <w:rPr>
          <w:spacing w:val="-3"/>
          <w:sz w:val="18"/>
        </w:rPr>
        <w:t xml:space="preserve"> </w:t>
      </w:r>
      <w:r>
        <w:rPr>
          <w:sz w:val="18"/>
        </w:rPr>
        <w:t>LGBTQ+</w:t>
      </w:r>
      <w:r>
        <w:rPr>
          <w:spacing w:val="-3"/>
          <w:sz w:val="18"/>
        </w:rPr>
        <w:t xml:space="preserve"> </w:t>
      </w:r>
      <w:r>
        <w:rPr>
          <w:sz w:val="18"/>
        </w:rPr>
        <w:t>Immigrant</w:t>
      </w:r>
      <w:r>
        <w:rPr>
          <w:spacing w:val="-2"/>
          <w:sz w:val="18"/>
        </w:rPr>
        <w:t xml:space="preserve"> </w:t>
      </w:r>
      <w:r>
        <w:rPr>
          <w:sz w:val="18"/>
        </w:rPr>
        <w:t>Youth</w:t>
      </w:r>
      <w:r>
        <w:rPr>
          <w:spacing w:val="-1"/>
          <w:sz w:val="18"/>
        </w:rPr>
        <w:t xml:space="preserve"> </w:t>
      </w:r>
      <w:r>
        <w:rPr>
          <w:sz w:val="18"/>
        </w:rPr>
        <w:t>/</w:t>
      </w:r>
      <w:r>
        <w:rPr>
          <w:spacing w:val="-2"/>
          <w:sz w:val="18"/>
        </w:rPr>
        <w:t xml:space="preserve"> </w:t>
      </w:r>
      <w:r>
        <w:rPr>
          <w:sz w:val="18"/>
        </w:rPr>
        <w:t>Jovenes</w:t>
      </w:r>
      <w:r>
        <w:rPr>
          <w:spacing w:val="-2"/>
          <w:sz w:val="18"/>
        </w:rPr>
        <w:t xml:space="preserve"> </w:t>
      </w:r>
      <w:r>
        <w:rPr>
          <w:sz w:val="18"/>
        </w:rPr>
        <w:t>Inmigrantes</w:t>
      </w:r>
      <w:r>
        <w:rPr>
          <w:spacing w:val="-3"/>
          <w:sz w:val="18"/>
        </w:rPr>
        <w:t xml:space="preserve"> </w:t>
      </w:r>
      <w:r>
        <w:rPr>
          <w:sz w:val="18"/>
        </w:rPr>
        <w:t>Latinx</w:t>
      </w:r>
      <w:r>
        <w:rPr>
          <w:spacing w:val="-3"/>
          <w:sz w:val="18"/>
        </w:rPr>
        <w:t xml:space="preserve"> </w:t>
      </w:r>
      <w:r>
        <w:rPr>
          <w:sz w:val="18"/>
        </w:rPr>
        <w:t>LGBTQ+</w:t>
      </w:r>
      <w:r>
        <w:rPr>
          <w:spacing w:val="-2"/>
          <w:sz w:val="18"/>
        </w:rPr>
        <w:t xml:space="preserve"> </w:t>
      </w:r>
      <w:r>
        <w:rPr>
          <w:sz w:val="18"/>
        </w:rPr>
        <w:t>Provider</w:t>
      </w:r>
      <w:r>
        <w:rPr>
          <w:spacing w:val="-3"/>
          <w:sz w:val="18"/>
        </w:rPr>
        <w:t xml:space="preserve"> </w:t>
      </w:r>
      <w:r>
        <w:rPr>
          <w:sz w:val="18"/>
        </w:rPr>
        <w:t>Fact</w:t>
      </w:r>
      <w:r>
        <w:rPr>
          <w:spacing w:val="-2"/>
          <w:sz w:val="18"/>
        </w:rPr>
        <w:t xml:space="preserve"> Sheet.”</w:t>
      </w:r>
    </w:p>
    <w:p w:rsidR="00200FDA" w:rsidRDefault="00F76C4C">
      <w:pPr>
        <w:spacing w:before="1"/>
        <w:ind w:left="140" w:hanging="1"/>
        <w:rPr>
          <w:sz w:val="18"/>
        </w:rPr>
      </w:pPr>
      <w:r>
        <w:rPr>
          <w:position w:val="5"/>
          <w:sz w:val="12"/>
        </w:rPr>
        <w:t>27</w:t>
      </w:r>
      <w:r>
        <w:rPr>
          <w:spacing w:val="8"/>
          <w:position w:val="5"/>
          <w:sz w:val="12"/>
        </w:rPr>
        <w:t xml:space="preserve"> </w:t>
      </w:r>
      <w:r>
        <w:rPr>
          <w:sz w:val="18"/>
        </w:rPr>
        <w:t>MIRA</w:t>
      </w:r>
      <w:r>
        <w:rPr>
          <w:spacing w:val="-5"/>
          <w:sz w:val="18"/>
        </w:rPr>
        <w:t xml:space="preserve"> </w:t>
      </w:r>
      <w:r>
        <w:rPr>
          <w:sz w:val="18"/>
        </w:rPr>
        <w:t>Coalition,</w:t>
      </w:r>
      <w:r>
        <w:rPr>
          <w:spacing w:val="-4"/>
          <w:sz w:val="18"/>
        </w:rPr>
        <w:t xml:space="preserve"> </w:t>
      </w:r>
      <w:r>
        <w:rPr>
          <w:sz w:val="18"/>
        </w:rPr>
        <w:t>“2021</w:t>
      </w:r>
      <w:r>
        <w:rPr>
          <w:spacing w:val="-4"/>
          <w:sz w:val="18"/>
        </w:rPr>
        <w:t xml:space="preserve"> </w:t>
      </w:r>
      <w:r>
        <w:rPr>
          <w:sz w:val="18"/>
        </w:rPr>
        <w:t>MIRA</w:t>
      </w:r>
      <w:r>
        <w:rPr>
          <w:spacing w:val="-5"/>
          <w:sz w:val="18"/>
        </w:rPr>
        <w:t xml:space="preserve"> </w:t>
      </w:r>
      <w:r>
        <w:rPr>
          <w:sz w:val="18"/>
        </w:rPr>
        <w:t>Coalition</w:t>
      </w:r>
      <w:r>
        <w:rPr>
          <w:spacing w:val="-5"/>
          <w:sz w:val="18"/>
        </w:rPr>
        <w:t xml:space="preserve"> </w:t>
      </w:r>
      <w:r>
        <w:rPr>
          <w:sz w:val="18"/>
        </w:rPr>
        <w:t>Annual</w:t>
      </w:r>
      <w:r>
        <w:rPr>
          <w:spacing w:val="-5"/>
          <w:sz w:val="18"/>
        </w:rPr>
        <w:t xml:space="preserve"> </w:t>
      </w:r>
      <w:r>
        <w:rPr>
          <w:sz w:val="18"/>
        </w:rPr>
        <w:t>Report,”</w:t>
      </w:r>
      <w:r>
        <w:rPr>
          <w:spacing w:val="-5"/>
          <w:sz w:val="18"/>
        </w:rPr>
        <w:t xml:space="preserve"> </w:t>
      </w:r>
      <w:r>
        <w:rPr>
          <w:sz w:val="18"/>
        </w:rPr>
        <w:t>2021,</w:t>
      </w:r>
      <w:r>
        <w:rPr>
          <w:spacing w:val="-4"/>
          <w:sz w:val="18"/>
        </w:rPr>
        <w:t xml:space="preserve"> </w:t>
      </w:r>
      <w:r>
        <w:rPr>
          <w:sz w:val="18"/>
        </w:rPr>
        <w:t xml:space="preserve">https://miracoalition.org/wp- </w:t>
      </w:r>
      <w:r>
        <w:rPr>
          <w:spacing w:val="-2"/>
          <w:sz w:val="18"/>
        </w:rPr>
        <w:t>content/uploads/2022/09/MIRAAnnualReport2021Final.pdf.</w:t>
      </w:r>
    </w:p>
    <w:p w:rsidR="00200FDA" w:rsidRDefault="00F76C4C">
      <w:pPr>
        <w:ind w:left="140" w:right="218" w:hanging="1"/>
        <w:rPr>
          <w:sz w:val="18"/>
        </w:rPr>
      </w:pPr>
      <w:r>
        <w:rPr>
          <w:position w:val="5"/>
          <w:sz w:val="12"/>
        </w:rPr>
        <w:t>28</w:t>
      </w:r>
      <w:r>
        <w:rPr>
          <w:spacing w:val="9"/>
          <w:position w:val="5"/>
          <w:sz w:val="12"/>
        </w:rPr>
        <w:t xml:space="preserve"> </w:t>
      </w:r>
      <w:r>
        <w:rPr>
          <w:sz w:val="18"/>
        </w:rPr>
        <w:t>Sarah</w:t>
      </w:r>
      <w:r>
        <w:rPr>
          <w:spacing w:val="-4"/>
          <w:sz w:val="18"/>
        </w:rPr>
        <w:t xml:space="preserve"> </w:t>
      </w:r>
      <w:r>
        <w:rPr>
          <w:sz w:val="18"/>
        </w:rPr>
        <w:t>Betancourt,</w:t>
      </w:r>
      <w:r>
        <w:rPr>
          <w:spacing w:val="-3"/>
          <w:sz w:val="18"/>
        </w:rPr>
        <w:t xml:space="preserve"> </w:t>
      </w:r>
      <w:r>
        <w:rPr>
          <w:sz w:val="18"/>
        </w:rPr>
        <w:t>“Walsh,</w:t>
      </w:r>
      <w:r>
        <w:rPr>
          <w:spacing w:val="-3"/>
          <w:sz w:val="18"/>
        </w:rPr>
        <w:t xml:space="preserve"> </w:t>
      </w:r>
      <w:r>
        <w:rPr>
          <w:sz w:val="18"/>
        </w:rPr>
        <w:t>Zakim</w:t>
      </w:r>
      <w:r>
        <w:rPr>
          <w:spacing w:val="-1"/>
          <w:sz w:val="18"/>
        </w:rPr>
        <w:t xml:space="preserve"> </w:t>
      </w:r>
      <w:r>
        <w:rPr>
          <w:sz w:val="18"/>
        </w:rPr>
        <w:t>Submit</w:t>
      </w:r>
      <w:r>
        <w:rPr>
          <w:spacing w:val="-4"/>
          <w:sz w:val="18"/>
        </w:rPr>
        <w:t xml:space="preserve"> </w:t>
      </w:r>
      <w:r>
        <w:rPr>
          <w:sz w:val="18"/>
        </w:rPr>
        <w:t>Changes</w:t>
      </w:r>
      <w:r>
        <w:rPr>
          <w:spacing w:val="-4"/>
          <w:sz w:val="18"/>
        </w:rPr>
        <w:t xml:space="preserve"> </w:t>
      </w:r>
      <w:r>
        <w:rPr>
          <w:sz w:val="18"/>
        </w:rPr>
        <w:t>to</w:t>
      </w:r>
      <w:r>
        <w:rPr>
          <w:spacing w:val="-2"/>
          <w:sz w:val="18"/>
        </w:rPr>
        <w:t xml:space="preserve"> </w:t>
      </w:r>
      <w:r>
        <w:rPr>
          <w:sz w:val="18"/>
        </w:rPr>
        <w:t>Immigrant</w:t>
      </w:r>
      <w:r>
        <w:rPr>
          <w:spacing w:val="-4"/>
          <w:sz w:val="18"/>
        </w:rPr>
        <w:t xml:space="preserve"> </w:t>
      </w:r>
      <w:r>
        <w:rPr>
          <w:sz w:val="18"/>
        </w:rPr>
        <w:t>Trust</w:t>
      </w:r>
      <w:r>
        <w:rPr>
          <w:spacing w:val="-4"/>
          <w:sz w:val="18"/>
        </w:rPr>
        <w:t xml:space="preserve"> </w:t>
      </w:r>
      <w:r>
        <w:rPr>
          <w:sz w:val="18"/>
        </w:rPr>
        <w:t>Act,”</w:t>
      </w:r>
      <w:r>
        <w:rPr>
          <w:spacing w:val="-4"/>
          <w:sz w:val="18"/>
        </w:rPr>
        <w:t xml:space="preserve"> </w:t>
      </w:r>
      <w:r>
        <w:rPr>
          <w:i/>
          <w:sz w:val="18"/>
        </w:rPr>
        <w:t>CommonWealth</w:t>
      </w:r>
      <w:r>
        <w:rPr>
          <w:i/>
          <w:spacing w:val="-2"/>
          <w:sz w:val="18"/>
        </w:rPr>
        <w:t xml:space="preserve"> </w:t>
      </w:r>
      <w:r>
        <w:rPr>
          <w:i/>
          <w:sz w:val="18"/>
        </w:rPr>
        <w:t>Magazine</w:t>
      </w:r>
      <w:r>
        <w:rPr>
          <w:i/>
          <w:spacing w:val="-2"/>
          <w:sz w:val="18"/>
        </w:rPr>
        <w:t xml:space="preserve"> </w:t>
      </w:r>
      <w:r>
        <w:rPr>
          <w:sz w:val="18"/>
        </w:rPr>
        <w:t>(blog),</w:t>
      </w:r>
      <w:r>
        <w:rPr>
          <w:spacing w:val="-3"/>
          <w:sz w:val="18"/>
        </w:rPr>
        <w:t xml:space="preserve"> </w:t>
      </w:r>
      <w:r>
        <w:rPr>
          <w:sz w:val="18"/>
        </w:rPr>
        <w:t>December</w:t>
      </w:r>
      <w:r>
        <w:rPr>
          <w:spacing w:val="-4"/>
          <w:sz w:val="18"/>
        </w:rPr>
        <w:t xml:space="preserve"> </w:t>
      </w:r>
      <w:r>
        <w:rPr>
          <w:sz w:val="18"/>
        </w:rPr>
        <w:t>9, 2019, https://commonwealthmagazi</w:t>
      </w:r>
      <w:r>
        <w:rPr>
          <w:sz w:val="18"/>
        </w:rPr>
        <w:t>ne.org/immigration/walsh-zakim-submit-changes-to-immigrant-trust-act/.</w:t>
      </w:r>
    </w:p>
    <w:p w:rsidR="00200FDA" w:rsidRDefault="00F76C4C">
      <w:pPr>
        <w:ind w:left="140" w:right="318" w:hanging="1"/>
        <w:rPr>
          <w:sz w:val="18"/>
        </w:rPr>
      </w:pPr>
      <w:r>
        <w:rPr>
          <w:position w:val="5"/>
          <w:sz w:val="12"/>
        </w:rPr>
        <w:t>29</w:t>
      </w:r>
      <w:r>
        <w:rPr>
          <w:spacing w:val="10"/>
          <w:position w:val="5"/>
          <w:sz w:val="12"/>
        </w:rPr>
        <w:t xml:space="preserve"> </w:t>
      </w:r>
      <w:r>
        <w:rPr>
          <w:sz w:val="18"/>
        </w:rPr>
        <w:t>Ilan</w:t>
      </w:r>
      <w:r>
        <w:rPr>
          <w:spacing w:val="-3"/>
          <w:sz w:val="18"/>
        </w:rPr>
        <w:t xml:space="preserve"> </w:t>
      </w:r>
      <w:r>
        <w:rPr>
          <w:sz w:val="18"/>
        </w:rPr>
        <w:t>H.</w:t>
      </w:r>
      <w:r>
        <w:rPr>
          <w:spacing w:val="-2"/>
          <w:sz w:val="18"/>
        </w:rPr>
        <w:t xml:space="preserve"> </w:t>
      </w:r>
      <w:r>
        <w:rPr>
          <w:sz w:val="18"/>
        </w:rPr>
        <w:t>Meyer</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“Incarceration</w:t>
      </w:r>
      <w:r>
        <w:rPr>
          <w:spacing w:val="-3"/>
          <w:sz w:val="18"/>
        </w:rPr>
        <w:t xml:space="preserve"> </w:t>
      </w:r>
      <w:r>
        <w:rPr>
          <w:sz w:val="18"/>
        </w:rPr>
        <w:t>Rates</w:t>
      </w:r>
      <w:r>
        <w:rPr>
          <w:spacing w:val="-3"/>
          <w:sz w:val="18"/>
        </w:rPr>
        <w:t xml:space="preserve"> </w:t>
      </w:r>
      <w:r>
        <w:rPr>
          <w:sz w:val="18"/>
        </w:rPr>
        <w:t>and</w:t>
      </w:r>
      <w:r>
        <w:rPr>
          <w:spacing w:val="-3"/>
          <w:sz w:val="18"/>
        </w:rPr>
        <w:t xml:space="preserve"> </w:t>
      </w:r>
      <w:r>
        <w:rPr>
          <w:sz w:val="18"/>
        </w:rPr>
        <w:t>Traits</w:t>
      </w:r>
      <w:r>
        <w:rPr>
          <w:spacing w:val="-3"/>
          <w:sz w:val="18"/>
        </w:rPr>
        <w:t xml:space="preserve"> </w:t>
      </w:r>
      <w:r>
        <w:rPr>
          <w:sz w:val="18"/>
        </w:rPr>
        <w:t>of</w:t>
      </w:r>
      <w:r>
        <w:rPr>
          <w:spacing w:val="-2"/>
          <w:sz w:val="18"/>
        </w:rPr>
        <w:t xml:space="preserve"> </w:t>
      </w:r>
      <w:r>
        <w:rPr>
          <w:sz w:val="18"/>
        </w:rPr>
        <w:t>Sexual Minorities</w:t>
      </w:r>
      <w:r>
        <w:rPr>
          <w:spacing w:val="-3"/>
          <w:sz w:val="18"/>
        </w:rPr>
        <w:t xml:space="preserve"> </w:t>
      </w:r>
      <w:r>
        <w:rPr>
          <w:sz w:val="18"/>
        </w:rPr>
        <w:t>in</w:t>
      </w:r>
      <w:r>
        <w:rPr>
          <w:spacing w:val="-1"/>
          <w:sz w:val="18"/>
        </w:rPr>
        <w:t xml:space="preserve"> </w:t>
      </w:r>
      <w:r>
        <w:rPr>
          <w:sz w:val="18"/>
        </w:rPr>
        <w:t>the</w:t>
      </w:r>
      <w:r>
        <w:rPr>
          <w:spacing w:val="-3"/>
          <w:sz w:val="18"/>
        </w:rPr>
        <w:t xml:space="preserve"> </w:t>
      </w:r>
      <w:r>
        <w:rPr>
          <w:sz w:val="18"/>
        </w:rPr>
        <w:t>United</w:t>
      </w:r>
      <w:r>
        <w:rPr>
          <w:spacing w:val="-3"/>
          <w:sz w:val="18"/>
        </w:rPr>
        <w:t xml:space="preserve"> </w:t>
      </w:r>
      <w:r>
        <w:rPr>
          <w:sz w:val="18"/>
        </w:rPr>
        <w:t>States: National</w:t>
      </w:r>
      <w:r>
        <w:rPr>
          <w:spacing w:val="-3"/>
          <w:sz w:val="18"/>
        </w:rPr>
        <w:t xml:space="preserve"> </w:t>
      </w:r>
      <w:r>
        <w:rPr>
          <w:sz w:val="18"/>
        </w:rPr>
        <w:t>Inmate</w:t>
      </w:r>
      <w:r>
        <w:rPr>
          <w:spacing w:val="-1"/>
          <w:sz w:val="18"/>
        </w:rPr>
        <w:t xml:space="preserve"> </w:t>
      </w:r>
      <w:r>
        <w:rPr>
          <w:sz w:val="18"/>
        </w:rPr>
        <w:t>Survey,</w:t>
      </w:r>
      <w:r>
        <w:rPr>
          <w:spacing w:val="-2"/>
          <w:sz w:val="18"/>
        </w:rPr>
        <w:t xml:space="preserve"> </w:t>
      </w:r>
      <w:r>
        <w:rPr>
          <w:sz w:val="18"/>
        </w:rPr>
        <w:t xml:space="preserve">2011- 2012,” </w:t>
      </w:r>
      <w:r>
        <w:rPr>
          <w:i/>
          <w:sz w:val="18"/>
        </w:rPr>
        <w:t xml:space="preserve">American Journal of Public Health </w:t>
      </w:r>
      <w:r>
        <w:rPr>
          <w:sz w:val="18"/>
        </w:rPr>
        <w:t xml:space="preserve">107, no. 2 (February 2017): 267–73, https://doi.org/10.2105/AJPH.2016.303576; Gallup Inc, “LGBT Identification in U.S. Ticks Up to 7.1%,” Gallup.com, February 17, 2022, </w:t>
      </w:r>
      <w:r>
        <w:rPr>
          <w:spacing w:val="-2"/>
          <w:sz w:val="18"/>
        </w:rPr>
        <w:t>https://news.gallup.com/poll/389792/lgbt-identification-ticks-up.aspx.</w:t>
      </w:r>
    </w:p>
    <w:p w:rsidR="00200FDA" w:rsidRDefault="00F76C4C">
      <w:pPr>
        <w:ind w:left="140" w:right="212" w:hanging="1"/>
        <w:rPr>
          <w:sz w:val="18"/>
        </w:rPr>
      </w:pPr>
      <w:r>
        <w:rPr>
          <w:position w:val="5"/>
          <w:sz w:val="12"/>
        </w:rPr>
        <w:t>30</w:t>
      </w:r>
      <w:r>
        <w:rPr>
          <w:spacing w:val="10"/>
          <w:position w:val="5"/>
          <w:sz w:val="12"/>
        </w:rPr>
        <w:t xml:space="preserve"> </w:t>
      </w:r>
      <w:r>
        <w:rPr>
          <w:sz w:val="18"/>
        </w:rPr>
        <w:t>Sarah</w:t>
      </w:r>
      <w:r>
        <w:rPr>
          <w:spacing w:val="-3"/>
          <w:sz w:val="18"/>
        </w:rPr>
        <w:t xml:space="preserve"> </w:t>
      </w:r>
      <w:r>
        <w:rPr>
          <w:sz w:val="18"/>
        </w:rPr>
        <w:t>McBride</w:t>
      </w:r>
      <w:r>
        <w:rPr>
          <w:sz w:val="18"/>
        </w:rPr>
        <w:t>,</w:t>
      </w:r>
      <w:r>
        <w:rPr>
          <w:spacing w:val="-2"/>
          <w:sz w:val="18"/>
        </w:rPr>
        <w:t xml:space="preserve"> </w:t>
      </w:r>
      <w:r>
        <w:rPr>
          <w:sz w:val="18"/>
        </w:rPr>
        <w:t>Laura</w:t>
      </w:r>
      <w:r>
        <w:rPr>
          <w:spacing w:val="-2"/>
          <w:sz w:val="18"/>
        </w:rPr>
        <w:t xml:space="preserve"> </w:t>
      </w:r>
      <w:r>
        <w:rPr>
          <w:sz w:val="18"/>
        </w:rPr>
        <w:t>Durso,</w:t>
      </w:r>
      <w:r>
        <w:rPr>
          <w:spacing w:val="-2"/>
          <w:sz w:val="18"/>
        </w:rPr>
        <w:t xml:space="preserve"> </w:t>
      </w:r>
      <w:r>
        <w:rPr>
          <w:sz w:val="18"/>
        </w:rPr>
        <w:t>and</w:t>
      </w:r>
      <w:r>
        <w:rPr>
          <w:spacing w:val="-1"/>
          <w:sz w:val="18"/>
        </w:rPr>
        <w:t xml:space="preserve"> </w:t>
      </w:r>
      <w:r>
        <w:rPr>
          <w:sz w:val="18"/>
        </w:rPr>
        <w:t>Hannah</w:t>
      </w:r>
      <w:r>
        <w:rPr>
          <w:spacing w:val="-3"/>
          <w:sz w:val="18"/>
        </w:rPr>
        <w:t xml:space="preserve"> </w:t>
      </w:r>
      <w:r>
        <w:rPr>
          <w:sz w:val="18"/>
        </w:rPr>
        <w:t>Hussey,</w:t>
      </w:r>
      <w:r>
        <w:rPr>
          <w:spacing w:val="-2"/>
          <w:sz w:val="18"/>
        </w:rPr>
        <w:t xml:space="preserve"> </w:t>
      </w:r>
      <w:r>
        <w:rPr>
          <w:sz w:val="18"/>
        </w:rPr>
        <w:t>“We</w:t>
      </w:r>
      <w:r>
        <w:rPr>
          <w:spacing w:val="-3"/>
          <w:sz w:val="18"/>
        </w:rPr>
        <w:t xml:space="preserve"> </w:t>
      </w:r>
      <w:r>
        <w:rPr>
          <w:sz w:val="18"/>
        </w:rPr>
        <w:t>the</w:t>
      </w:r>
      <w:r>
        <w:rPr>
          <w:spacing w:val="-3"/>
          <w:sz w:val="18"/>
        </w:rPr>
        <w:t xml:space="preserve"> </w:t>
      </w:r>
      <w:r>
        <w:rPr>
          <w:sz w:val="18"/>
        </w:rPr>
        <w:t>People,”</w:t>
      </w:r>
      <w:r>
        <w:rPr>
          <w:spacing w:val="-3"/>
          <w:sz w:val="18"/>
        </w:rPr>
        <w:t xml:space="preserve"> </w:t>
      </w:r>
      <w:r>
        <w:rPr>
          <w:i/>
          <w:sz w:val="18"/>
        </w:rPr>
        <w:t>Center</w:t>
      </w:r>
      <w:r>
        <w:rPr>
          <w:i/>
          <w:spacing w:val="-2"/>
          <w:sz w:val="18"/>
        </w:rPr>
        <w:t xml:space="preserve"> </w:t>
      </w:r>
      <w:r>
        <w:rPr>
          <w:i/>
          <w:sz w:val="18"/>
        </w:rPr>
        <w:t>for</w:t>
      </w:r>
      <w:r>
        <w:rPr>
          <w:i/>
          <w:spacing w:val="-2"/>
          <w:sz w:val="18"/>
        </w:rPr>
        <w:t xml:space="preserve"> </w:t>
      </w:r>
      <w:r>
        <w:rPr>
          <w:i/>
          <w:sz w:val="18"/>
        </w:rPr>
        <w:t>American</w:t>
      </w:r>
      <w:r>
        <w:rPr>
          <w:i/>
          <w:spacing w:val="-1"/>
          <w:sz w:val="18"/>
        </w:rPr>
        <w:t xml:space="preserve"> </w:t>
      </w:r>
      <w:r>
        <w:rPr>
          <w:i/>
          <w:sz w:val="18"/>
        </w:rPr>
        <w:t>Progress</w:t>
      </w:r>
      <w:r>
        <w:rPr>
          <w:i/>
          <w:spacing w:val="-3"/>
          <w:sz w:val="18"/>
        </w:rPr>
        <w:t xml:space="preserve"> </w:t>
      </w:r>
      <w:r>
        <w:rPr>
          <w:sz w:val="18"/>
        </w:rPr>
        <w:t>(blog),</w:t>
      </w:r>
      <w:r>
        <w:rPr>
          <w:spacing w:val="-2"/>
          <w:sz w:val="18"/>
        </w:rPr>
        <w:t xml:space="preserve"> </w:t>
      </w:r>
      <w:r>
        <w:rPr>
          <w:sz w:val="18"/>
        </w:rPr>
        <w:t>December</w:t>
      </w:r>
      <w:r>
        <w:rPr>
          <w:spacing w:val="-3"/>
          <w:sz w:val="18"/>
        </w:rPr>
        <w:t xml:space="preserve"> </w:t>
      </w:r>
      <w:r>
        <w:rPr>
          <w:sz w:val="18"/>
        </w:rPr>
        <w:t>10,</w:t>
      </w:r>
      <w:r>
        <w:rPr>
          <w:spacing w:val="-2"/>
          <w:sz w:val="18"/>
        </w:rPr>
        <w:t xml:space="preserve"> </w:t>
      </w:r>
      <w:r>
        <w:rPr>
          <w:sz w:val="18"/>
        </w:rPr>
        <w:t xml:space="preserve">2014, </w:t>
      </w:r>
      <w:r>
        <w:rPr>
          <w:spacing w:val="-2"/>
          <w:sz w:val="18"/>
        </w:rPr>
        <w:t>https://</w:t>
      </w:r>
      <w:hyperlink r:id="rId703">
        <w:r>
          <w:rPr>
            <w:spacing w:val="-2"/>
            <w:sz w:val="18"/>
          </w:rPr>
          <w:t>www.americanprogress.org/article/we-the-people-2/.</w:t>
        </w:r>
      </w:hyperlink>
    </w:p>
    <w:p w:rsidR="00200FDA" w:rsidRDefault="00F76C4C">
      <w:pPr>
        <w:ind w:left="140" w:right="195" w:hanging="1"/>
        <w:rPr>
          <w:sz w:val="18"/>
        </w:rPr>
      </w:pPr>
      <w:r>
        <w:rPr>
          <w:position w:val="5"/>
          <w:sz w:val="12"/>
        </w:rPr>
        <w:t>31</w:t>
      </w:r>
      <w:r>
        <w:rPr>
          <w:spacing w:val="20"/>
          <w:position w:val="5"/>
          <w:sz w:val="12"/>
        </w:rPr>
        <w:t xml:space="preserve"> </w:t>
      </w:r>
      <w:r>
        <w:rPr>
          <w:sz w:val="18"/>
        </w:rPr>
        <w:t>Movement Ad</w:t>
      </w:r>
      <w:r>
        <w:rPr>
          <w:sz w:val="18"/>
        </w:rPr>
        <w:t>vancement Project and Center for American Progress, “Movement Advancement Project | Unjust: How the Broken</w:t>
      </w:r>
      <w:r>
        <w:rPr>
          <w:spacing w:val="-5"/>
          <w:sz w:val="18"/>
        </w:rPr>
        <w:t xml:space="preserve"> </w:t>
      </w:r>
      <w:r>
        <w:rPr>
          <w:sz w:val="18"/>
        </w:rPr>
        <w:t>Criminal</w:t>
      </w:r>
      <w:r>
        <w:rPr>
          <w:spacing w:val="-5"/>
          <w:sz w:val="18"/>
        </w:rPr>
        <w:t xml:space="preserve"> </w:t>
      </w:r>
      <w:r>
        <w:rPr>
          <w:sz w:val="18"/>
        </w:rPr>
        <w:t>Justice</w:t>
      </w:r>
      <w:r>
        <w:rPr>
          <w:spacing w:val="-3"/>
          <w:sz w:val="18"/>
        </w:rPr>
        <w:t xml:space="preserve"> </w:t>
      </w:r>
      <w:r>
        <w:rPr>
          <w:sz w:val="18"/>
        </w:rPr>
        <w:t>System</w:t>
      </w:r>
      <w:r>
        <w:rPr>
          <w:spacing w:val="-2"/>
          <w:sz w:val="18"/>
        </w:rPr>
        <w:t xml:space="preserve"> </w:t>
      </w:r>
      <w:r>
        <w:rPr>
          <w:sz w:val="18"/>
        </w:rPr>
        <w:t>Fails</w:t>
      </w:r>
      <w:r>
        <w:rPr>
          <w:spacing w:val="-5"/>
          <w:sz w:val="18"/>
        </w:rPr>
        <w:t xml:space="preserve"> </w:t>
      </w:r>
      <w:r>
        <w:rPr>
          <w:sz w:val="18"/>
        </w:rPr>
        <w:t>LGBT</w:t>
      </w:r>
      <w:r>
        <w:rPr>
          <w:spacing w:val="-3"/>
          <w:sz w:val="18"/>
        </w:rPr>
        <w:t xml:space="preserve"> </w:t>
      </w:r>
      <w:r>
        <w:rPr>
          <w:sz w:val="18"/>
        </w:rPr>
        <w:t>People</w:t>
      </w:r>
      <w:r>
        <w:rPr>
          <w:spacing w:val="-5"/>
          <w:sz w:val="18"/>
        </w:rPr>
        <w:t xml:space="preserve"> </w:t>
      </w:r>
      <w:r>
        <w:rPr>
          <w:sz w:val="18"/>
        </w:rPr>
        <w:t>of</w:t>
      </w:r>
      <w:r>
        <w:rPr>
          <w:spacing w:val="-4"/>
          <w:sz w:val="18"/>
        </w:rPr>
        <w:t xml:space="preserve"> </w:t>
      </w:r>
      <w:r>
        <w:rPr>
          <w:sz w:val="18"/>
        </w:rPr>
        <w:t>Color,”</w:t>
      </w:r>
      <w:r>
        <w:rPr>
          <w:spacing w:val="-5"/>
          <w:sz w:val="18"/>
        </w:rPr>
        <w:t xml:space="preserve"> </w:t>
      </w:r>
      <w:r>
        <w:rPr>
          <w:sz w:val="18"/>
        </w:rPr>
        <w:t>2016,</w:t>
      </w:r>
      <w:r>
        <w:rPr>
          <w:spacing w:val="-6"/>
          <w:sz w:val="18"/>
        </w:rPr>
        <w:t xml:space="preserve"> </w:t>
      </w:r>
      <w:r>
        <w:rPr>
          <w:sz w:val="18"/>
        </w:rPr>
        <w:t>https://</w:t>
      </w:r>
      <w:hyperlink r:id="rId704">
        <w:r>
          <w:rPr>
            <w:sz w:val="18"/>
          </w:rPr>
          <w:t>www.lgbtmap.org/policy-and-issue-analysis/criminal-</w:t>
        </w:r>
      </w:hyperlink>
      <w:r>
        <w:rPr>
          <w:sz w:val="18"/>
        </w:rPr>
        <w:t xml:space="preserve"> </w:t>
      </w:r>
      <w:r>
        <w:rPr>
          <w:spacing w:val="-2"/>
          <w:sz w:val="18"/>
        </w:rPr>
        <w:t>justice-poc.</w:t>
      </w:r>
    </w:p>
    <w:p w:rsidR="00200FDA" w:rsidRDefault="00F76C4C">
      <w:pPr>
        <w:ind w:left="140" w:right="218" w:hanging="1"/>
        <w:rPr>
          <w:sz w:val="18"/>
        </w:rPr>
      </w:pPr>
      <w:r>
        <w:rPr>
          <w:position w:val="5"/>
          <w:sz w:val="12"/>
        </w:rPr>
        <w:t>32</w:t>
      </w:r>
      <w:r>
        <w:rPr>
          <w:spacing w:val="10"/>
          <w:position w:val="5"/>
          <w:sz w:val="12"/>
        </w:rPr>
        <w:t xml:space="preserve"> </w:t>
      </w:r>
      <w:r>
        <w:rPr>
          <w:sz w:val="18"/>
        </w:rPr>
        <w:t>Lambda</w:t>
      </w:r>
      <w:r>
        <w:rPr>
          <w:spacing w:val="-2"/>
          <w:sz w:val="18"/>
        </w:rPr>
        <w:t xml:space="preserve"> </w:t>
      </w:r>
      <w:r>
        <w:rPr>
          <w:sz w:val="18"/>
        </w:rPr>
        <w:t>Legal</w:t>
      </w:r>
      <w:r>
        <w:rPr>
          <w:spacing w:val="-3"/>
          <w:sz w:val="18"/>
        </w:rPr>
        <w:t xml:space="preserve"> </w:t>
      </w:r>
      <w:r>
        <w:rPr>
          <w:sz w:val="18"/>
        </w:rPr>
        <w:t>and</w:t>
      </w:r>
      <w:r>
        <w:rPr>
          <w:spacing w:val="-3"/>
          <w:sz w:val="18"/>
        </w:rPr>
        <w:t xml:space="preserve"> </w:t>
      </w:r>
      <w:r>
        <w:rPr>
          <w:sz w:val="18"/>
        </w:rPr>
        <w:t>Black</w:t>
      </w:r>
      <w:r>
        <w:rPr>
          <w:spacing w:val="-3"/>
          <w:sz w:val="18"/>
        </w:rPr>
        <w:t xml:space="preserve"> </w:t>
      </w:r>
      <w:r>
        <w:rPr>
          <w:sz w:val="18"/>
        </w:rPr>
        <w:t>&amp;</w:t>
      </w:r>
      <w:r>
        <w:rPr>
          <w:spacing w:val="-3"/>
          <w:sz w:val="18"/>
        </w:rPr>
        <w:t xml:space="preserve"> </w:t>
      </w:r>
      <w:r>
        <w:rPr>
          <w:sz w:val="18"/>
        </w:rPr>
        <w:t>Pink National,</w:t>
      </w:r>
      <w:r>
        <w:rPr>
          <w:spacing w:val="-2"/>
          <w:sz w:val="18"/>
        </w:rPr>
        <w:t xml:space="preserve"> </w:t>
      </w:r>
      <w:r>
        <w:rPr>
          <w:sz w:val="18"/>
        </w:rPr>
        <w:t>“Projected</w:t>
      </w:r>
      <w:r>
        <w:rPr>
          <w:spacing w:val="-3"/>
          <w:sz w:val="18"/>
        </w:rPr>
        <w:t xml:space="preserve"> </w:t>
      </w:r>
      <w:r>
        <w:rPr>
          <w:sz w:val="18"/>
        </w:rPr>
        <w:t>&amp;</w:t>
      </w:r>
      <w:r>
        <w:rPr>
          <w:spacing w:val="-3"/>
          <w:sz w:val="18"/>
        </w:rPr>
        <w:t xml:space="preserve"> </w:t>
      </w:r>
      <w:r>
        <w:rPr>
          <w:sz w:val="18"/>
        </w:rPr>
        <w:t>Served?</w:t>
      </w:r>
      <w:r>
        <w:rPr>
          <w:spacing w:val="-2"/>
          <w:sz w:val="18"/>
        </w:rPr>
        <w:t xml:space="preserve"> </w:t>
      </w:r>
      <w:r>
        <w:rPr>
          <w:sz w:val="18"/>
        </w:rPr>
        <w:t>2022</w:t>
      </w:r>
      <w:r>
        <w:rPr>
          <w:spacing w:val="-2"/>
          <w:sz w:val="18"/>
        </w:rPr>
        <w:t xml:space="preserve"> </w:t>
      </w:r>
      <w:r>
        <w:rPr>
          <w:sz w:val="18"/>
        </w:rPr>
        <w:t>Annual</w:t>
      </w:r>
      <w:r>
        <w:rPr>
          <w:spacing w:val="-3"/>
          <w:sz w:val="18"/>
        </w:rPr>
        <w:t xml:space="preserve"> </w:t>
      </w:r>
      <w:r>
        <w:rPr>
          <w:sz w:val="18"/>
        </w:rPr>
        <w:t>Report:</w:t>
      </w:r>
      <w:r>
        <w:rPr>
          <w:spacing w:val="-2"/>
          <w:sz w:val="18"/>
        </w:rPr>
        <w:t xml:space="preserve"> </w:t>
      </w:r>
      <w:r>
        <w:rPr>
          <w:sz w:val="18"/>
        </w:rPr>
        <w:t>Executive</w:t>
      </w:r>
      <w:r>
        <w:rPr>
          <w:spacing w:val="-1"/>
          <w:sz w:val="18"/>
        </w:rPr>
        <w:t xml:space="preserve"> </w:t>
      </w:r>
      <w:r>
        <w:rPr>
          <w:sz w:val="18"/>
        </w:rPr>
        <w:t>Summary,”</w:t>
      </w:r>
      <w:r>
        <w:rPr>
          <w:spacing w:val="-3"/>
          <w:sz w:val="18"/>
        </w:rPr>
        <w:t xml:space="preserve"> </w:t>
      </w:r>
      <w:r>
        <w:rPr>
          <w:sz w:val="18"/>
        </w:rPr>
        <w:t>Protected</w:t>
      </w:r>
      <w:r>
        <w:rPr>
          <w:spacing w:val="-3"/>
          <w:sz w:val="18"/>
        </w:rPr>
        <w:t xml:space="preserve"> </w:t>
      </w:r>
      <w:r>
        <w:rPr>
          <w:sz w:val="18"/>
        </w:rPr>
        <w:t>&amp; Served?, accessed April 24, 2023, https://</w:t>
      </w:r>
      <w:hyperlink r:id="rId705">
        <w:r>
          <w:rPr>
            <w:sz w:val="18"/>
          </w:rPr>
          <w:t>www.protectedandserved.org/2022-report-executive-summary.</w:t>
        </w:r>
      </w:hyperlink>
    </w:p>
    <w:p w:rsidR="00200FDA" w:rsidRDefault="00F76C4C">
      <w:pPr>
        <w:ind w:left="140" w:right="1745" w:hanging="1"/>
        <w:rPr>
          <w:sz w:val="18"/>
        </w:rPr>
      </w:pPr>
      <w:r>
        <w:rPr>
          <w:position w:val="5"/>
          <w:sz w:val="12"/>
        </w:rPr>
        <w:t>33</w:t>
      </w:r>
      <w:r>
        <w:rPr>
          <w:spacing w:val="9"/>
          <w:position w:val="5"/>
          <w:sz w:val="12"/>
        </w:rPr>
        <w:t xml:space="preserve"> </w:t>
      </w:r>
      <w:r>
        <w:rPr>
          <w:sz w:val="18"/>
        </w:rPr>
        <w:t>Massachusetts</w:t>
      </w:r>
      <w:r>
        <w:rPr>
          <w:spacing w:val="-4"/>
          <w:sz w:val="18"/>
        </w:rPr>
        <w:t xml:space="preserve"> </w:t>
      </w:r>
      <w:r>
        <w:rPr>
          <w:sz w:val="18"/>
        </w:rPr>
        <w:t>Executive</w:t>
      </w:r>
      <w:r>
        <w:rPr>
          <w:spacing w:val="-4"/>
          <w:sz w:val="18"/>
        </w:rPr>
        <w:t xml:space="preserve"> </w:t>
      </w:r>
      <w:r>
        <w:rPr>
          <w:sz w:val="18"/>
        </w:rPr>
        <w:t>Office</w:t>
      </w:r>
      <w:r>
        <w:rPr>
          <w:spacing w:val="-2"/>
          <w:sz w:val="18"/>
        </w:rPr>
        <w:t xml:space="preserve"> </w:t>
      </w:r>
      <w:r>
        <w:rPr>
          <w:sz w:val="18"/>
        </w:rPr>
        <w:t>of</w:t>
      </w:r>
      <w:r>
        <w:rPr>
          <w:spacing w:val="-3"/>
          <w:sz w:val="18"/>
        </w:rPr>
        <w:t xml:space="preserve"> </w:t>
      </w:r>
      <w:r>
        <w:rPr>
          <w:sz w:val="18"/>
        </w:rPr>
        <w:t>Public</w:t>
      </w:r>
      <w:r>
        <w:rPr>
          <w:spacing w:val="-3"/>
          <w:sz w:val="18"/>
        </w:rPr>
        <w:t xml:space="preserve"> </w:t>
      </w:r>
      <w:r>
        <w:rPr>
          <w:sz w:val="18"/>
        </w:rPr>
        <w:t>Safety</w:t>
      </w:r>
      <w:r>
        <w:rPr>
          <w:spacing w:val="-3"/>
          <w:sz w:val="18"/>
        </w:rPr>
        <w:t xml:space="preserve"> </w:t>
      </w:r>
      <w:r>
        <w:rPr>
          <w:sz w:val="18"/>
        </w:rPr>
        <w:t>&amp;</w:t>
      </w:r>
      <w:r>
        <w:rPr>
          <w:spacing w:val="-4"/>
          <w:sz w:val="18"/>
        </w:rPr>
        <w:t xml:space="preserve"> </w:t>
      </w:r>
      <w:r>
        <w:rPr>
          <w:sz w:val="18"/>
        </w:rPr>
        <w:t>Security,</w:t>
      </w:r>
      <w:r>
        <w:rPr>
          <w:spacing w:val="-3"/>
          <w:sz w:val="18"/>
        </w:rPr>
        <w:t xml:space="preserve"> </w:t>
      </w:r>
      <w:r>
        <w:rPr>
          <w:sz w:val="18"/>
        </w:rPr>
        <w:t>“Hate</w:t>
      </w:r>
      <w:r>
        <w:rPr>
          <w:spacing w:val="-2"/>
          <w:sz w:val="18"/>
        </w:rPr>
        <w:t xml:space="preserve"> </w:t>
      </w:r>
      <w:r>
        <w:rPr>
          <w:sz w:val="18"/>
        </w:rPr>
        <w:t>Crimes</w:t>
      </w:r>
      <w:r>
        <w:rPr>
          <w:spacing w:val="-4"/>
          <w:sz w:val="18"/>
        </w:rPr>
        <w:t xml:space="preserve"> </w:t>
      </w:r>
      <w:r>
        <w:rPr>
          <w:sz w:val="18"/>
        </w:rPr>
        <w:t>in</w:t>
      </w:r>
      <w:r>
        <w:rPr>
          <w:spacing w:val="-2"/>
          <w:sz w:val="18"/>
        </w:rPr>
        <w:t xml:space="preserve"> </w:t>
      </w:r>
      <w:r>
        <w:rPr>
          <w:sz w:val="18"/>
        </w:rPr>
        <w:t>Massachusetts</w:t>
      </w:r>
      <w:r>
        <w:rPr>
          <w:spacing w:val="-4"/>
          <w:sz w:val="18"/>
        </w:rPr>
        <w:t xml:space="preserve"> </w:t>
      </w:r>
      <w:r>
        <w:rPr>
          <w:sz w:val="18"/>
        </w:rPr>
        <w:t>2021,”</w:t>
      </w:r>
      <w:r>
        <w:rPr>
          <w:spacing w:val="-2"/>
          <w:sz w:val="18"/>
        </w:rPr>
        <w:t xml:space="preserve"> </w:t>
      </w:r>
      <w:r>
        <w:rPr>
          <w:sz w:val="18"/>
        </w:rPr>
        <w:t xml:space="preserve">2022, </w:t>
      </w:r>
      <w:hyperlink r:id="rId706">
        <w:r>
          <w:rPr>
            <w:color w:val="1154CC"/>
            <w:spacing w:val="-2"/>
            <w:sz w:val="18"/>
            <w:u w:val="single" w:color="1154CC"/>
          </w:rPr>
          <w:t>https://www.mass.gov/doc/2021-massachusetts-hate-crime-report/download</w:t>
        </w:r>
      </w:hyperlink>
    </w:p>
    <w:p w:rsidR="00200FDA" w:rsidRDefault="00F76C4C">
      <w:pPr>
        <w:ind w:left="140" w:right="400" w:hanging="1"/>
        <w:rPr>
          <w:sz w:val="18"/>
        </w:rPr>
      </w:pPr>
      <w:r>
        <w:rPr>
          <w:position w:val="5"/>
          <w:sz w:val="12"/>
        </w:rPr>
        <w:t>34</w:t>
      </w:r>
      <w:r>
        <w:rPr>
          <w:spacing w:val="10"/>
          <w:position w:val="5"/>
          <w:sz w:val="12"/>
        </w:rPr>
        <w:t xml:space="preserve"> </w:t>
      </w:r>
      <w:r>
        <w:rPr>
          <w:sz w:val="18"/>
        </w:rPr>
        <w:t>Sharita</w:t>
      </w:r>
      <w:r>
        <w:rPr>
          <w:spacing w:val="-2"/>
          <w:sz w:val="18"/>
        </w:rPr>
        <w:t xml:space="preserve"> </w:t>
      </w:r>
      <w:r>
        <w:rPr>
          <w:sz w:val="18"/>
        </w:rPr>
        <w:t>Gruberg,</w:t>
      </w:r>
      <w:r>
        <w:rPr>
          <w:spacing w:val="-2"/>
          <w:sz w:val="18"/>
        </w:rPr>
        <w:t xml:space="preserve"> </w:t>
      </w:r>
      <w:r>
        <w:rPr>
          <w:sz w:val="18"/>
        </w:rPr>
        <w:t>“How</w:t>
      </w:r>
      <w:r>
        <w:rPr>
          <w:spacing w:val="-1"/>
          <w:sz w:val="18"/>
        </w:rPr>
        <w:t xml:space="preserve"> </w:t>
      </w:r>
      <w:r>
        <w:rPr>
          <w:sz w:val="18"/>
        </w:rPr>
        <w:t>Police</w:t>
      </w:r>
      <w:r>
        <w:rPr>
          <w:spacing w:val="-3"/>
          <w:sz w:val="18"/>
        </w:rPr>
        <w:t xml:space="preserve"> </w:t>
      </w:r>
      <w:r>
        <w:rPr>
          <w:sz w:val="18"/>
        </w:rPr>
        <w:t>Entanglement</w:t>
      </w:r>
      <w:r>
        <w:rPr>
          <w:spacing w:val="-3"/>
          <w:sz w:val="18"/>
        </w:rPr>
        <w:t xml:space="preserve"> </w:t>
      </w:r>
      <w:r>
        <w:rPr>
          <w:sz w:val="18"/>
        </w:rPr>
        <w:t>with</w:t>
      </w:r>
      <w:r>
        <w:rPr>
          <w:spacing w:val="-3"/>
          <w:sz w:val="18"/>
        </w:rPr>
        <w:t xml:space="preserve"> </w:t>
      </w:r>
      <w:r>
        <w:rPr>
          <w:sz w:val="18"/>
        </w:rPr>
        <w:t>Immigration</w:t>
      </w:r>
      <w:r>
        <w:rPr>
          <w:spacing w:val="-3"/>
          <w:sz w:val="18"/>
        </w:rPr>
        <w:t xml:space="preserve"> </w:t>
      </w:r>
      <w:r>
        <w:rPr>
          <w:sz w:val="18"/>
        </w:rPr>
        <w:t>Enforcement</w:t>
      </w:r>
      <w:r>
        <w:rPr>
          <w:spacing w:val="-3"/>
          <w:sz w:val="18"/>
        </w:rPr>
        <w:t xml:space="preserve"> </w:t>
      </w:r>
      <w:r>
        <w:rPr>
          <w:sz w:val="18"/>
        </w:rPr>
        <w:t>Puts</w:t>
      </w:r>
      <w:r>
        <w:rPr>
          <w:spacing w:val="-3"/>
          <w:sz w:val="18"/>
        </w:rPr>
        <w:t xml:space="preserve"> </w:t>
      </w:r>
      <w:r>
        <w:rPr>
          <w:sz w:val="18"/>
        </w:rPr>
        <w:t>LGBTQ</w:t>
      </w:r>
      <w:r>
        <w:rPr>
          <w:spacing w:val="-3"/>
          <w:sz w:val="18"/>
        </w:rPr>
        <w:t xml:space="preserve"> </w:t>
      </w:r>
      <w:r>
        <w:rPr>
          <w:sz w:val="18"/>
        </w:rPr>
        <w:t>Lives</w:t>
      </w:r>
      <w:r>
        <w:rPr>
          <w:spacing w:val="-3"/>
          <w:sz w:val="18"/>
        </w:rPr>
        <w:t xml:space="preserve"> </w:t>
      </w:r>
      <w:r>
        <w:rPr>
          <w:sz w:val="18"/>
        </w:rPr>
        <w:t>at</w:t>
      </w:r>
      <w:r>
        <w:rPr>
          <w:spacing w:val="-3"/>
          <w:sz w:val="18"/>
        </w:rPr>
        <w:t xml:space="preserve"> </w:t>
      </w:r>
      <w:r>
        <w:rPr>
          <w:sz w:val="18"/>
        </w:rPr>
        <w:t>Ris</w:t>
      </w:r>
      <w:r>
        <w:rPr>
          <w:sz w:val="18"/>
        </w:rPr>
        <w:t>k,”</w:t>
      </w:r>
      <w:r>
        <w:rPr>
          <w:spacing w:val="-3"/>
          <w:sz w:val="18"/>
        </w:rPr>
        <w:t xml:space="preserve"> </w:t>
      </w:r>
      <w:r>
        <w:rPr>
          <w:i/>
          <w:sz w:val="18"/>
        </w:rPr>
        <w:t>Center</w:t>
      </w:r>
      <w:r>
        <w:rPr>
          <w:i/>
          <w:spacing w:val="-2"/>
          <w:sz w:val="18"/>
        </w:rPr>
        <w:t xml:space="preserve"> </w:t>
      </w:r>
      <w:r>
        <w:rPr>
          <w:i/>
          <w:sz w:val="18"/>
        </w:rPr>
        <w:t>for</w:t>
      </w:r>
      <w:r>
        <w:rPr>
          <w:i/>
          <w:spacing w:val="-2"/>
          <w:sz w:val="18"/>
        </w:rPr>
        <w:t xml:space="preserve"> </w:t>
      </w:r>
      <w:r>
        <w:rPr>
          <w:i/>
          <w:sz w:val="18"/>
        </w:rPr>
        <w:t xml:space="preserve">American Progress </w:t>
      </w:r>
      <w:r>
        <w:rPr>
          <w:sz w:val="18"/>
        </w:rPr>
        <w:t>(blog), April 12, 2017, https://</w:t>
      </w:r>
      <w:hyperlink r:id="rId707">
        <w:r>
          <w:rPr>
            <w:sz w:val="18"/>
          </w:rPr>
          <w:t>www.americanprogress.org/article/police-entanglement-immigration-enforcement-</w:t>
        </w:r>
      </w:hyperlink>
      <w:r>
        <w:rPr>
          <w:sz w:val="18"/>
        </w:rPr>
        <w:t xml:space="preserve"> </w:t>
      </w:r>
      <w:r>
        <w:rPr>
          <w:spacing w:val="-2"/>
          <w:sz w:val="18"/>
        </w:rPr>
        <w:t>puts-lgbt</w:t>
      </w:r>
      <w:r>
        <w:rPr>
          <w:spacing w:val="-2"/>
          <w:sz w:val="18"/>
        </w:rPr>
        <w:t>q-lives-risk/.</w:t>
      </w:r>
    </w:p>
    <w:p w:rsidR="00200FDA" w:rsidRDefault="00F76C4C">
      <w:pPr>
        <w:ind w:left="139" w:right="541"/>
        <w:jc w:val="both"/>
        <w:rPr>
          <w:sz w:val="18"/>
        </w:rPr>
      </w:pPr>
      <w:r>
        <w:rPr>
          <w:position w:val="5"/>
          <w:sz w:val="12"/>
        </w:rPr>
        <w:t>35</w:t>
      </w:r>
      <w:r>
        <w:rPr>
          <w:spacing w:val="12"/>
          <w:position w:val="5"/>
          <w:sz w:val="12"/>
        </w:rPr>
        <w:t xml:space="preserve"> </w:t>
      </w:r>
      <w:r>
        <w:rPr>
          <w:sz w:val="18"/>
        </w:rPr>
        <w:t>S. E. James</w:t>
      </w:r>
      <w:r>
        <w:rPr>
          <w:spacing w:val="-1"/>
          <w:sz w:val="18"/>
        </w:rPr>
        <w:t xml:space="preserve"> </w:t>
      </w:r>
      <w:r>
        <w:rPr>
          <w:sz w:val="18"/>
        </w:rPr>
        <w:t>et</w:t>
      </w:r>
      <w:r>
        <w:rPr>
          <w:spacing w:val="-1"/>
          <w:sz w:val="18"/>
        </w:rPr>
        <w:t xml:space="preserve"> </w:t>
      </w:r>
      <w:r>
        <w:rPr>
          <w:sz w:val="18"/>
        </w:rPr>
        <w:t>al., “The</w:t>
      </w:r>
      <w:r>
        <w:rPr>
          <w:spacing w:val="-1"/>
          <w:sz w:val="18"/>
        </w:rPr>
        <w:t xml:space="preserve"> </w:t>
      </w:r>
      <w:r>
        <w:rPr>
          <w:sz w:val="18"/>
        </w:rPr>
        <w:t>Report</w:t>
      </w:r>
      <w:r>
        <w:rPr>
          <w:spacing w:val="-1"/>
          <w:sz w:val="18"/>
        </w:rPr>
        <w:t xml:space="preserve"> </w:t>
      </w:r>
      <w:r>
        <w:rPr>
          <w:sz w:val="18"/>
        </w:rPr>
        <w:t>of the</w:t>
      </w:r>
      <w:r>
        <w:rPr>
          <w:spacing w:val="-1"/>
          <w:sz w:val="18"/>
        </w:rPr>
        <w:t xml:space="preserve"> </w:t>
      </w:r>
      <w:r>
        <w:rPr>
          <w:sz w:val="18"/>
        </w:rPr>
        <w:t>2015 U.S. Transgender</w:t>
      </w:r>
      <w:r>
        <w:rPr>
          <w:spacing w:val="-1"/>
          <w:sz w:val="18"/>
        </w:rPr>
        <w:t xml:space="preserve"> </w:t>
      </w:r>
      <w:r>
        <w:rPr>
          <w:sz w:val="18"/>
        </w:rPr>
        <w:t>Survey”</w:t>
      </w:r>
      <w:r>
        <w:rPr>
          <w:spacing w:val="-1"/>
          <w:sz w:val="18"/>
        </w:rPr>
        <w:t xml:space="preserve"> </w:t>
      </w:r>
      <w:r>
        <w:rPr>
          <w:sz w:val="18"/>
        </w:rPr>
        <w:t>(Washington, D.C.: National</w:t>
      </w:r>
      <w:r>
        <w:rPr>
          <w:spacing w:val="-1"/>
          <w:sz w:val="18"/>
        </w:rPr>
        <w:t xml:space="preserve"> </w:t>
      </w:r>
      <w:r>
        <w:rPr>
          <w:sz w:val="18"/>
        </w:rPr>
        <w:t>Center</w:t>
      </w:r>
      <w:r>
        <w:rPr>
          <w:spacing w:val="-1"/>
          <w:sz w:val="18"/>
        </w:rPr>
        <w:t xml:space="preserve"> </w:t>
      </w:r>
      <w:r>
        <w:rPr>
          <w:sz w:val="18"/>
        </w:rPr>
        <w:t>for</w:t>
      </w:r>
      <w:r>
        <w:rPr>
          <w:spacing w:val="-1"/>
          <w:sz w:val="18"/>
        </w:rPr>
        <w:t xml:space="preserve"> </w:t>
      </w:r>
      <w:r>
        <w:rPr>
          <w:sz w:val="18"/>
        </w:rPr>
        <w:t>Transgender Equality</w:t>
      </w:r>
      <w:r>
        <w:rPr>
          <w:spacing w:val="-5"/>
          <w:sz w:val="18"/>
        </w:rPr>
        <w:t xml:space="preserve"> </w:t>
      </w:r>
      <w:r>
        <w:rPr>
          <w:sz w:val="18"/>
        </w:rPr>
        <w:t>and</w:t>
      </w:r>
      <w:r>
        <w:rPr>
          <w:spacing w:val="-6"/>
          <w:sz w:val="18"/>
        </w:rPr>
        <w:t xml:space="preserve"> </w:t>
      </w:r>
      <w:r>
        <w:rPr>
          <w:sz w:val="18"/>
        </w:rPr>
        <w:t>National</w:t>
      </w:r>
      <w:r>
        <w:rPr>
          <w:spacing w:val="-3"/>
          <w:sz w:val="18"/>
        </w:rPr>
        <w:t xml:space="preserve"> </w:t>
      </w:r>
      <w:r>
        <w:rPr>
          <w:sz w:val="18"/>
        </w:rPr>
        <w:t>Gay</w:t>
      </w:r>
      <w:r>
        <w:rPr>
          <w:spacing w:val="-5"/>
          <w:sz w:val="18"/>
        </w:rPr>
        <w:t xml:space="preserve"> </w:t>
      </w:r>
      <w:r>
        <w:rPr>
          <w:sz w:val="18"/>
        </w:rPr>
        <w:t>and</w:t>
      </w:r>
      <w:r>
        <w:rPr>
          <w:spacing w:val="-6"/>
          <w:sz w:val="18"/>
        </w:rPr>
        <w:t xml:space="preserve"> </w:t>
      </w:r>
      <w:r>
        <w:rPr>
          <w:sz w:val="18"/>
        </w:rPr>
        <w:t>Lesbian</w:t>
      </w:r>
      <w:r>
        <w:rPr>
          <w:spacing w:val="-6"/>
          <w:sz w:val="18"/>
        </w:rPr>
        <w:t xml:space="preserve"> </w:t>
      </w:r>
      <w:r>
        <w:rPr>
          <w:sz w:val="18"/>
        </w:rPr>
        <w:t>Task</w:t>
      </w:r>
      <w:r>
        <w:rPr>
          <w:spacing w:val="-3"/>
          <w:sz w:val="18"/>
        </w:rPr>
        <w:t xml:space="preserve"> </w:t>
      </w:r>
      <w:r>
        <w:rPr>
          <w:sz w:val="18"/>
        </w:rPr>
        <w:t>Force,</w:t>
      </w:r>
      <w:r>
        <w:rPr>
          <w:spacing w:val="-5"/>
          <w:sz w:val="18"/>
        </w:rPr>
        <w:t xml:space="preserve"> </w:t>
      </w:r>
      <w:r>
        <w:rPr>
          <w:sz w:val="18"/>
        </w:rPr>
        <w:t>2016),</w:t>
      </w:r>
      <w:r>
        <w:rPr>
          <w:spacing w:val="-5"/>
          <w:sz w:val="18"/>
        </w:rPr>
        <w:t xml:space="preserve"> </w:t>
      </w:r>
      <w:r>
        <w:rPr>
          <w:sz w:val="18"/>
        </w:rPr>
        <w:t xml:space="preserve">https://transequality.org/sites/default/files/docs/usts/USTS-Full- </w:t>
      </w:r>
      <w:r>
        <w:rPr>
          <w:spacing w:val="-2"/>
          <w:sz w:val="18"/>
        </w:rPr>
        <w:t>Report-Dec17.pdf.</w:t>
      </w:r>
    </w:p>
    <w:p w:rsidR="00200FDA" w:rsidRDefault="00F76C4C">
      <w:pPr>
        <w:spacing w:line="218" w:lineRule="exact"/>
        <w:ind w:left="140"/>
        <w:rPr>
          <w:sz w:val="18"/>
        </w:rPr>
      </w:pPr>
      <w:r>
        <w:rPr>
          <w:position w:val="5"/>
          <w:sz w:val="12"/>
        </w:rPr>
        <w:t>36</w:t>
      </w:r>
      <w:r>
        <w:rPr>
          <w:spacing w:val="11"/>
          <w:position w:val="5"/>
          <w:sz w:val="12"/>
        </w:rPr>
        <w:t xml:space="preserve"> </w:t>
      </w:r>
      <w:r>
        <w:rPr>
          <w:sz w:val="18"/>
        </w:rPr>
        <w:t>James</w:t>
      </w:r>
      <w:r>
        <w:rPr>
          <w:spacing w:val="-2"/>
          <w:sz w:val="18"/>
        </w:rPr>
        <w:t xml:space="preserve"> </w:t>
      </w:r>
      <w:r>
        <w:rPr>
          <w:sz w:val="18"/>
        </w:rPr>
        <w:t>et</w:t>
      </w:r>
      <w:r>
        <w:rPr>
          <w:spacing w:val="-2"/>
          <w:sz w:val="18"/>
        </w:rPr>
        <w:t xml:space="preserve"> </w:t>
      </w:r>
      <w:r>
        <w:rPr>
          <w:spacing w:val="-5"/>
          <w:sz w:val="18"/>
        </w:rPr>
        <w:t>al.</w:t>
      </w:r>
    </w:p>
    <w:p w:rsidR="00200FDA" w:rsidRDefault="00F76C4C">
      <w:pPr>
        <w:spacing w:before="1" w:line="219" w:lineRule="exact"/>
        <w:ind w:left="140"/>
        <w:rPr>
          <w:sz w:val="18"/>
        </w:rPr>
      </w:pPr>
      <w:r>
        <w:rPr>
          <w:position w:val="5"/>
          <w:sz w:val="12"/>
        </w:rPr>
        <w:t>37</w:t>
      </w:r>
      <w:r>
        <w:rPr>
          <w:spacing w:val="8"/>
          <w:position w:val="5"/>
          <w:sz w:val="12"/>
        </w:rPr>
        <w:t xml:space="preserve"> </w:t>
      </w:r>
      <w:r>
        <w:rPr>
          <w:sz w:val="18"/>
        </w:rPr>
        <w:t>Gruberg,</w:t>
      </w:r>
      <w:r>
        <w:rPr>
          <w:spacing w:val="-2"/>
          <w:sz w:val="18"/>
        </w:rPr>
        <w:t xml:space="preserve"> </w:t>
      </w:r>
      <w:r>
        <w:rPr>
          <w:sz w:val="18"/>
        </w:rPr>
        <w:t>“How</w:t>
      </w:r>
      <w:r>
        <w:rPr>
          <w:spacing w:val="-1"/>
          <w:sz w:val="18"/>
        </w:rPr>
        <w:t xml:space="preserve"> </w:t>
      </w:r>
      <w:r>
        <w:rPr>
          <w:sz w:val="18"/>
        </w:rPr>
        <w:t>Police</w:t>
      </w:r>
      <w:r>
        <w:rPr>
          <w:spacing w:val="-3"/>
          <w:sz w:val="18"/>
        </w:rPr>
        <w:t xml:space="preserve"> </w:t>
      </w:r>
      <w:r>
        <w:rPr>
          <w:sz w:val="18"/>
        </w:rPr>
        <w:t>Entanglement</w:t>
      </w:r>
      <w:r>
        <w:rPr>
          <w:spacing w:val="-2"/>
          <w:sz w:val="18"/>
        </w:rPr>
        <w:t xml:space="preserve"> </w:t>
      </w:r>
      <w:r>
        <w:rPr>
          <w:sz w:val="18"/>
        </w:rPr>
        <w:t>with</w:t>
      </w:r>
      <w:r>
        <w:rPr>
          <w:spacing w:val="-3"/>
          <w:sz w:val="18"/>
        </w:rPr>
        <w:t xml:space="preserve"> </w:t>
      </w:r>
      <w:r>
        <w:rPr>
          <w:sz w:val="18"/>
        </w:rPr>
        <w:t>Immigration</w:t>
      </w:r>
      <w:r>
        <w:rPr>
          <w:spacing w:val="-3"/>
          <w:sz w:val="18"/>
        </w:rPr>
        <w:t xml:space="preserve"> </w:t>
      </w:r>
      <w:r>
        <w:rPr>
          <w:sz w:val="18"/>
        </w:rPr>
        <w:t>Enforcement</w:t>
      </w:r>
      <w:r>
        <w:rPr>
          <w:spacing w:val="-3"/>
          <w:sz w:val="18"/>
        </w:rPr>
        <w:t xml:space="preserve"> </w:t>
      </w:r>
      <w:r>
        <w:rPr>
          <w:sz w:val="18"/>
        </w:rPr>
        <w:t>Puts</w:t>
      </w:r>
      <w:r>
        <w:rPr>
          <w:spacing w:val="-2"/>
          <w:sz w:val="18"/>
        </w:rPr>
        <w:t xml:space="preserve"> </w:t>
      </w:r>
      <w:r>
        <w:rPr>
          <w:sz w:val="18"/>
        </w:rPr>
        <w:t>LGBTQ</w:t>
      </w:r>
      <w:r>
        <w:rPr>
          <w:spacing w:val="-3"/>
          <w:sz w:val="18"/>
        </w:rPr>
        <w:t xml:space="preserve"> </w:t>
      </w:r>
      <w:r>
        <w:rPr>
          <w:sz w:val="18"/>
        </w:rPr>
        <w:t>Lives</w:t>
      </w:r>
      <w:r>
        <w:rPr>
          <w:spacing w:val="-3"/>
          <w:sz w:val="18"/>
        </w:rPr>
        <w:t xml:space="preserve"> </w:t>
      </w:r>
      <w:r>
        <w:rPr>
          <w:sz w:val="18"/>
        </w:rPr>
        <w:t>at</w:t>
      </w:r>
      <w:r>
        <w:rPr>
          <w:spacing w:val="-2"/>
          <w:sz w:val="18"/>
        </w:rPr>
        <w:t xml:space="preserve"> Risk.”</w:t>
      </w:r>
    </w:p>
    <w:p w:rsidR="00200FDA" w:rsidRDefault="00F76C4C">
      <w:pPr>
        <w:spacing w:line="219" w:lineRule="exact"/>
        <w:ind w:left="140"/>
        <w:rPr>
          <w:sz w:val="18"/>
        </w:rPr>
      </w:pPr>
      <w:r>
        <w:rPr>
          <w:position w:val="5"/>
          <w:sz w:val="12"/>
        </w:rPr>
        <w:t>38</w:t>
      </w:r>
      <w:r>
        <w:rPr>
          <w:spacing w:val="7"/>
          <w:position w:val="5"/>
          <w:sz w:val="12"/>
        </w:rPr>
        <w:t xml:space="preserve"> </w:t>
      </w:r>
      <w:r>
        <w:rPr>
          <w:sz w:val="18"/>
        </w:rPr>
        <w:t>Gruberg,</w:t>
      </w:r>
      <w:r>
        <w:rPr>
          <w:spacing w:val="-2"/>
          <w:sz w:val="18"/>
        </w:rPr>
        <w:t xml:space="preserve"> </w:t>
      </w:r>
      <w:r>
        <w:rPr>
          <w:sz w:val="18"/>
        </w:rPr>
        <w:t>Rooney,</w:t>
      </w:r>
      <w:r>
        <w:rPr>
          <w:spacing w:val="-2"/>
          <w:sz w:val="18"/>
        </w:rPr>
        <w:t xml:space="preserve"> </w:t>
      </w:r>
      <w:r>
        <w:rPr>
          <w:sz w:val="18"/>
        </w:rPr>
        <w:t>and</w:t>
      </w:r>
      <w:r>
        <w:rPr>
          <w:spacing w:val="-3"/>
          <w:sz w:val="18"/>
        </w:rPr>
        <w:t xml:space="preserve"> </w:t>
      </w:r>
      <w:r>
        <w:rPr>
          <w:sz w:val="18"/>
        </w:rPr>
        <w:t>McGovern,</w:t>
      </w:r>
      <w:r>
        <w:rPr>
          <w:spacing w:val="-2"/>
          <w:sz w:val="18"/>
        </w:rPr>
        <w:t xml:space="preserve"> </w:t>
      </w:r>
      <w:r>
        <w:rPr>
          <w:sz w:val="18"/>
        </w:rPr>
        <w:t>“Serving</w:t>
      </w:r>
      <w:r>
        <w:rPr>
          <w:spacing w:val="-3"/>
          <w:sz w:val="18"/>
        </w:rPr>
        <w:t xml:space="preserve"> </w:t>
      </w:r>
      <w:r>
        <w:rPr>
          <w:sz w:val="18"/>
        </w:rPr>
        <w:t>LGBTQ</w:t>
      </w:r>
      <w:r>
        <w:rPr>
          <w:spacing w:val="-3"/>
          <w:sz w:val="18"/>
        </w:rPr>
        <w:t xml:space="preserve"> </w:t>
      </w:r>
      <w:r>
        <w:rPr>
          <w:sz w:val="18"/>
        </w:rPr>
        <w:t>Immigrants</w:t>
      </w:r>
      <w:r>
        <w:rPr>
          <w:spacing w:val="-3"/>
          <w:sz w:val="18"/>
        </w:rPr>
        <w:t xml:space="preserve"> </w:t>
      </w:r>
      <w:r>
        <w:rPr>
          <w:sz w:val="18"/>
        </w:rPr>
        <w:t>and</w:t>
      </w:r>
      <w:r>
        <w:rPr>
          <w:spacing w:val="-1"/>
          <w:sz w:val="18"/>
        </w:rPr>
        <w:t xml:space="preserve"> </w:t>
      </w:r>
      <w:r>
        <w:rPr>
          <w:sz w:val="18"/>
        </w:rPr>
        <w:t>Building</w:t>
      </w:r>
      <w:r>
        <w:rPr>
          <w:spacing w:val="-3"/>
          <w:sz w:val="18"/>
        </w:rPr>
        <w:t xml:space="preserve"> </w:t>
      </w:r>
      <w:r>
        <w:rPr>
          <w:sz w:val="18"/>
        </w:rPr>
        <w:t>Welcoming</w:t>
      </w:r>
      <w:r>
        <w:rPr>
          <w:spacing w:val="-3"/>
          <w:sz w:val="18"/>
        </w:rPr>
        <w:t xml:space="preserve"> </w:t>
      </w:r>
      <w:r>
        <w:rPr>
          <w:spacing w:val="-2"/>
          <w:sz w:val="18"/>
        </w:rPr>
        <w:t>Communities.”</w:t>
      </w:r>
    </w:p>
    <w:p w:rsidR="00200FDA" w:rsidRDefault="00F76C4C">
      <w:pPr>
        <w:spacing w:before="1" w:line="219" w:lineRule="exact"/>
        <w:ind w:left="140"/>
        <w:rPr>
          <w:sz w:val="18"/>
        </w:rPr>
      </w:pPr>
      <w:r>
        <w:rPr>
          <w:position w:val="5"/>
          <w:sz w:val="12"/>
        </w:rPr>
        <w:t>39</w:t>
      </w:r>
      <w:r>
        <w:rPr>
          <w:spacing w:val="8"/>
          <w:position w:val="5"/>
          <w:sz w:val="12"/>
        </w:rPr>
        <w:t xml:space="preserve"> </w:t>
      </w:r>
      <w:r>
        <w:rPr>
          <w:sz w:val="18"/>
        </w:rPr>
        <w:t>Chavez,</w:t>
      </w:r>
      <w:r>
        <w:rPr>
          <w:spacing w:val="-1"/>
          <w:sz w:val="18"/>
        </w:rPr>
        <w:t xml:space="preserve"> </w:t>
      </w:r>
      <w:r>
        <w:rPr>
          <w:sz w:val="18"/>
        </w:rPr>
        <w:t>“Identifying</w:t>
      </w:r>
      <w:r>
        <w:rPr>
          <w:spacing w:val="-2"/>
          <w:sz w:val="18"/>
        </w:rPr>
        <w:t xml:space="preserve"> </w:t>
      </w:r>
      <w:r>
        <w:rPr>
          <w:sz w:val="18"/>
        </w:rPr>
        <w:t>the</w:t>
      </w:r>
      <w:r>
        <w:rPr>
          <w:spacing w:val="-2"/>
          <w:sz w:val="18"/>
        </w:rPr>
        <w:t xml:space="preserve"> </w:t>
      </w:r>
      <w:r>
        <w:rPr>
          <w:sz w:val="18"/>
        </w:rPr>
        <w:t>Needs</w:t>
      </w:r>
      <w:r>
        <w:rPr>
          <w:spacing w:val="-2"/>
          <w:sz w:val="18"/>
        </w:rPr>
        <w:t xml:space="preserve"> </w:t>
      </w:r>
      <w:r>
        <w:rPr>
          <w:sz w:val="18"/>
        </w:rPr>
        <w:t>of</w:t>
      </w:r>
      <w:r>
        <w:rPr>
          <w:spacing w:val="-2"/>
          <w:sz w:val="18"/>
        </w:rPr>
        <w:t xml:space="preserve"> </w:t>
      </w:r>
      <w:r>
        <w:rPr>
          <w:sz w:val="18"/>
        </w:rPr>
        <w:t>LGBTQ</w:t>
      </w:r>
      <w:r>
        <w:rPr>
          <w:spacing w:val="-2"/>
          <w:sz w:val="18"/>
        </w:rPr>
        <w:t xml:space="preserve"> </w:t>
      </w:r>
      <w:r>
        <w:rPr>
          <w:sz w:val="18"/>
        </w:rPr>
        <w:t>Immigrants</w:t>
      </w:r>
      <w:r>
        <w:rPr>
          <w:spacing w:val="-2"/>
          <w:sz w:val="18"/>
        </w:rPr>
        <w:t xml:space="preserve"> </w:t>
      </w:r>
      <w:r>
        <w:rPr>
          <w:sz w:val="18"/>
        </w:rPr>
        <w:t>and</w:t>
      </w:r>
      <w:r>
        <w:rPr>
          <w:spacing w:val="-2"/>
          <w:sz w:val="18"/>
        </w:rPr>
        <w:t xml:space="preserve"> </w:t>
      </w:r>
      <w:r>
        <w:rPr>
          <w:sz w:val="18"/>
        </w:rPr>
        <w:t>Refugees</w:t>
      </w:r>
      <w:r>
        <w:rPr>
          <w:spacing w:val="-2"/>
          <w:sz w:val="18"/>
        </w:rPr>
        <w:t xml:space="preserve"> </w:t>
      </w:r>
      <w:r>
        <w:rPr>
          <w:sz w:val="18"/>
        </w:rPr>
        <w:t>in</w:t>
      </w:r>
      <w:r>
        <w:rPr>
          <w:spacing w:val="-2"/>
          <w:sz w:val="18"/>
        </w:rPr>
        <w:t xml:space="preserve"> </w:t>
      </w:r>
      <w:r>
        <w:rPr>
          <w:sz w:val="18"/>
        </w:rPr>
        <w:t>Southern</w:t>
      </w:r>
      <w:r>
        <w:rPr>
          <w:spacing w:val="-2"/>
          <w:sz w:val="18"/>
        </w:rPr>
        <w:t xml:space="preserve"> Arizona.”</w:t>
      </w:r>
    </w:p>
    <w:p w:rsidR="00200FDA" w:rsidRDefault="00F76C4C">
      <w:pPr>
        <w:ind w:left="140" w:right="218" w:hanging="1"/>
        <w:rPr>
          <w:sz w:val="18"/>
        </w:rPr>
      </w:pPr>
      <w:r>
        <w:rPr>
          <w:position w:val="5"/>
          <w:sz w:val="12"/>
        </w:rPr>
        <w:t>40</w:t>
      </w:r>
      <w:r>
        <w:rPr>
          <w:spacing w:val="10"/>
          <w:position w:val="5"/>
          <w:sz w:val="12"/>
        </w:rPr>
        <w:t xml:space="preserve"> </w:t>
      </w:r>
      <w:r>
        <w:rPr>
          <w:sz w:val="18"/>
        </w:rPr>
        <w:t>Simon</w:t>
      </w:r>
      <w:r>
        <w:rPr>
          <w:spacing w:val="-3"/>
          <w:sz w:val="18"/>
        </w:rPr>
        <w:t xml:space="preserve"> </w:t>
      </w:r>
      <w:r>
        <w:rPr>
          <w:sz w:val="18"/>
        </w:rPr>
        <w:t>Rios,</w:t>
      </w:r>
      <w:r>
        <w:rPr>
          <w:spacing w:val="-2"/>
          <w:sz w:val="18"/>
        </w:rPr>
        <w:t xml:space="preserve"> </w:t>
      </w:r>
      <w:r>
        <w:rPr>
          <w:sz w:val="18"/>
        </w:rPr>
        <w:t>“For</w:t>
      </w:r>
      <w:r>
        <w:rPr>
          <w:spacing w:val="-3"/>
          <w:sz w:val="18"/>
        </w:rPr>
        <w:t xml:space="preserve"> </w:t>
      </w:r>
      <w:r>
        <w:rPr>
          <w:sz w:val="18"/>
        </w:rPr>
        <w:t>Non-English</w:t>
      </w:r>
      <w:r>
        <w:rPr>
          <w:spacing w:val="-2"/>
          <w:sz w:val="18"/>
        </w:rPr>
        <w:t xml:space="preserve"> </w:t>
      </w:r>
      <w:r>
        <w:rPr>
          <w:sz w:val="18"/>
        </w:rPr>
        <w:t>Speakers,</w:t>
      </w:r>
      <w:r>
        <w:rPr>
          <w:spacing w:val="-2"/>
          <w:sz w:val="18"/>
        </w:rPr>
        <w:t xml:space="preserve"> </w:t>
      </w:r>
      <w:r>
        <w:rPr>
          <w:sz w:val="18"/>
        </w:rPr>
        <w:t>Difficult</w:t>
      </w:r>
      <w:r>
        <w:rPr>
          <w:spacing w:val="-3"/>
          <w:sz w:val="18"/>
        </w:rPr>
        <w:t xml:space="preserve"> </w:t>
      </w:r>
      <w:r>
        <w:rPr>
          <w:sz w:val="18"/>
        </w:rPr>
        <w:t>Language</w:t>
      </w:r>
      <w:r>
        <w:rPr>
          <w:spacing w:val="-3"/>
          <w:sz w:val="18"/>
        </w:rPr>
        <w:t xml:space="preserve"> </w:t>
      </w:r>
      <w:r>
        <w:rPr>
          <w:sz w:val="18"/>
        </w:rPr>
        <w:t>Barriers</w:t>
      </w:r>
      <w:r>
        <w:rPr>
          <w:spacing w:val="-3"/>
          <w:sz w:val="18"/>
        </w:rPr>
        <w:t xml:space="preserve"> </w:t>
      </w:r>
      <w:r>
        <w:rPr>
          <w:sz w:val="18"/>
        </w:rPr>
        <w:t>Become</w:t>
      </w:r>
      <w:r>
        <w:rPr>
          <w:spacing w:val="-3"/>
          <w:sz w:val="18"/>
        </w:rPr>
        <w:t xml:space="preserve"> </w:t>
      </w:r>
      <w:r>
        <w:rPr>
          <w:sz w:val="18"/>
        </w:rPr>
        <w:t>Dire</w:t>
      </w:r>
      <w:r>
        <w:rPr>
          <w:spacing w:val="-3"/>
          <w:sz w:val="18"/>
        </w:rPr>
        <w:t xml:space="preserve"> </w:t>
      </w:r>
      <w:r>
        <w:rPr>
          <w:sz w:val="18"/>
        </w:rPr>
        <w:t>Amid</w:t>
      </w:r>
      <w:r>
        <w:rPr>
          <w:spacing w:val="-3"/>
          <w:sz w:val="18"/>
        </w:rPr>
        <w:t xml:space="preserve"> </w:t>
      </w:r>
      <w:r>
        <w:rPr>
          <w:sz w:val="18"/>
        </w:rPr>
        <w:t>Outbreak,”</w:t>
      </w:r>
      <w:r>
        <w:rPr>
          <w:spacing w:val="-2"/>
          <w:sz w:val="18"/>
        </w:rPr>
        <w:t xml:space="preserve"> </w:t>
      </w:r>
      <w:r>
        <w:rPr>
          <w:sz w:val="18"/>
        </w:rPr>
        <w:t>WBUR,</w:t>
      </w:r>
      <w:r>
        <w:rPr>
          <w:spacing w:val="-2"/>
          <w:sz w:val="18"/>
        </w:rPr>
        <w:t xml:space="preserve"> </w:t>
      </w:r>
      <w:r>
        <w:rPr>
          <w:sz w:val="18"/>
        </w:rPr>
        <w:t>accessed</w:t>
      </w:r>
      <w:r>
        <w:rPr>
          <w:spacing w:val="-3"/>
          <w:sz w:val="18"/>
        </w:rPr>
        <w:t xml:space="preserve"> </w:t>
      </w:r>
      <w:r>
        <w:rPr>
          <w:sz w:val="18"/>
        </w:rPr>
        <w:t>April</w:t>
      </w:r>
      <w:r>
        <w:rPr>
          <w:spacing w:val="-3"/>
          <w:sz w:val="18"/>
        </w:rPr>
        <w:t xml:space="preserve"> </w:t>
      </w:r>
      <w:r>
        <w:rPr>
          <w:sz w:val="18"/>
        </w:rPr>
        <w:t>24, 2023, https://</w:t>
      </w:r>
      <w:hyperlink r:id="rId708">
        <w:r>
          <w:rPr>
            <w:sz w:val="18"/>
          </w:rPr>
          <w:t>www.wbur.org/news/2020/04/07/coronavirus-translation-problems.</w:t>
        </w:r>
      </w:hyperlink>
    </w:p>
    <w:p w:rsidR="00200FDA" w:rsidRDefault="00F76C4C">
      <w:pPr>
        <w:spacing w:before="2" w:line="219" w:lineRule="exact"/>
        <w:ind w:left="140"/>
        <w:rPr>
          <w:sz w:val="18"/>
        </w:rPr>
      </w:pPr>
      <w:r>
        <w:rPr>
          <w:position w:val="5"/>
          <w:sz w:val="12"/>
        </w:rPr>
        <w:t>41</w:t>
      </w:r>
      <w:r>
        <w:rPr>
          <w:spacing w:val="11"/>
          <w:position w:val="5"/>
          <w:sz w:val="12"/>
        </w:rPr>
        <w:t xml:space="preserve"> </w:t>
      </w:r>
      <w:r>
        <w:rPr>
          <w:spacing w:val="-4"/>
          <w:sz w:val="18"/>
        </w:rPr>
        <w:t>Rios.</w:t>
      </w:r>
    </w:p>
    <w:p w:rsidR="00200FDA" w:rsidRDefault="00F76C4C">
      <w:pPr>
        <w:ind w:left="140" w:right="218"/>
        <w:rPr>
          <w:sz w:val="18"/>
        </w:rPr>
      </w:pPr>
      <w:r>
        <w:rPr>
          <w:position w:val="5"/>
          <w:sz w:val="12"/>
        </w:rPr>
        <w:t>42</w:t>
      </w:r>
      <w:r>
        <w:rPr>
          <w:spacing w:val="9"/>
          <w:position w:val="5"/>
          <w:sz w:val="12"/>
        </w:rPr>
        <w:t xml:space="preserve"> </w:t>
      </w:r>
      <w:r>
        <w:rPr>
          <w:sz w:val="18"/>
        </w:rPr>
        <w:t>Jason</w:t>
      </w:r>
      <w:r>
        <w:rPr>
          <w:spacing w:val="-4"/>
          <w:sz w:val="18"/>
        </w:rPr>
        <w:t xml:space="preserve"> </w:t>
      </w:r>
      <w:r>
        <w:rPr>
          <w:sz w:val="18"/>
        </w:rPr>
        <w:t>Espinoza</w:t>
      </w:r>
      <w:r>
        <w:rPr>
          <w:spacing w:val="-3"/>
          <w:sz w:val="18"/>
        </w:rPr>
        <w:t xml:space="preserve"> </w:t>
      </w:r>
      <w:r>
        <w:rPr>
          <w:sz w:val="18"/>
        </w:rPr>
        <w:t>and</w:t>
      </w:r>
      <w:r>
        <w:rPr>
          <w:spacing w:val="-4"/>
          <w:sz w:val="18"/>
        </w:rPr>
        <w:t xml:space="preserve"> </w:t>
      </w:r>
      <w:r>
        <w:rPr>
          <w:sz w:val="18"/>
        </w:rPr>
        <w:t>Sabrina</w:t>
      </w:r>
      <w:r>
        <w:rPr>
          <w:spacing w:val="-3"/>
          <w:sz w:val="18"/>
        </w:rPr>
        <w:t xml:space="preserve"> </w:t>
      </w:r>
      <w:r>
        <w:rPr>
          <w:sz w:val="18"/>
        </w:rPr>
        <w:t>Derrington,</w:t>
      </w:r>
      <w:r>
        <w:rPr>
          <w:spacing w:val="-3"/>
          <w:sz w:val="18"/>
        </w:rPr>
        <w:t xml:space="preserve"> </w:t>
      </w:r>
      <w:r>
        <w:rPr>
          <w:sz w:val="18"/>
        </w:rPr>
        <w:t>“How</w:t>
      </w:r>
      <w:r>
        <w:rPr>
          <w:spacing w:val="-2"/>
          <w:sz w:val="18"/>
        </w:rPr>
        <w:t xml:space="preserve"> </w:t>
      </w:r>
      <w:r>
        <w:rPr>
          <w:sz w:val="18"/>
        </w:rPr>
        <w:t>Should</w:t>
      </w:r>
      <w:r>
        <w:rPr>
          <w:spacing w:val="-4"/>
          <w:sz w:val="18"/>
        </w:rPr>
        <w:t xml:space="preserve"> </w:t>
      </w:r>
      <w:r>
        <w:rPr>
          <w:sz w:val="18"/>
        </w:rPr>
        <w:t>Clinicians</w:t>
      </w:r>
      <w:r>
        <w:rPr>
          <w:spacing w:val="-4"/>
          <w:sz w:val="18"/>
        </w:rPr>
        <w:t xml:space="preserve"> </w:t>
      </w:r>
      <w:r>
        <w:rPr>
          <w:sz w:val="18"/>
        </w:rPr>
        <w:t>Respond</w:t>
      </w:r>
      <w:r>
        <w:rPr>
          <w:spacing w:val="-4"/>
          <w:sz w:val="18"/>
        </w:rPr>
        <w:t xml:space="preserve"> </w:t>
      </w:r>
      <w:r>
        <w:rPr>
          <w:sz w:val="18"/>
        </w:rPr>
        <w:t>to</w:t>
      </w:r>
      <w:r>
        <w:rPr>
          <w:spacing w:val="-2"/>
          <w:sz w:val="18"/>
        </w:rPr>
        <w:t xml:space="preserve"> </w:t>
      </w:r>
      <w:r>
        <w:rPr>
          <w:sz w:val="18"/>
        </w:rPr>
        <w:t>Language</w:t>
      </w:r>
      <w:r>
        <w:rPr>
          <w:spacing w:val="-4"/>
          <w:sz w:val="18"/>
        </w:rPr>
        <w:t xml:space="preserve"> </w:t>
      </w:r>
      <w:r>
        <w:rPr>
          <w:sz w:val="18"/>
        </w:rPr>
        <w:t>Barriers</w:t>
      </w:r>
      <w:r>
        <w:rPr>
          <w:spacing w:val="-4"/>
          <w:sz w:val="18"/>
        </w:rPr>
        <w:t xml:space="preserve"> </w:t>
      </w:r>
      <w:r>
        <w:rPr>
          <w:sz w:val="18"/>
        </w:rPr>
        <w:t>That</w:t>
      </w:r>
      <w:r>
        <w:rPr>
          <w:spacing w:val="-1"/>
          <w:sz w:val="18"/>
        </w:rPr>
        <w:t xml:space="preserve"> </w:t>
      </w:r>
      <w:r>
        <w:rPr>
          <w:sz w:val="18"/>
        </w:rPr>
        <w:t>Exacerbate</w:t>
      </w:r>
      <w:r>
        <w:rPr>
          <w:spacing w:val="-4"/>
          <w:sz w:val="18"/>
        </w:rPr>
        <w:t xml:space="preserve"> </w:t>
      </w:r>
      <w:r>
        <w:rPr>
          <w:sz w:val="18"/>
        </w:rPr>
        <w:t xml:space="preserve">Health Inequity?,” </w:t>
      </w:r>
      <w:r>
        <w:rPr>
          <w:i/>
          <w:sz w:val="18"/>
        </w:rPr>
        <w:t xml:space="preserve">AMA Journal of Ethics </w:t>
      </w:r>
      <w:r>
        <w:rPr>
          <w:sz w:val="18"/>
        </w:rPr>
        <w:t>23, no. 2 (February 1, 2021): 109–16, https://doi.org/10.1001/amajethics.2021.109.</w:t>
      </w:r>
    </w:p>
    <w:p w:rsidR="00200FDA" w:rsidRDefault="00F76C4C">
      <w:pPr>
        <w:spacing w:line="219" w:lineRule="exact"/>
        <w:ind w:left="140"/>
        <w:rPr>
          <w:sz w:val="18"/>
        </w:rPr>
      </w:pPr>
      <w:r>
        <w:rPr>
          <w:position w:val="5"/>
          <w:sz w:val="12"/>
        </w:rPr>
        <w:t>43</w:t>
      </w:r>
      <w:r>
        <w:rPr>
          <w:spacing w:val="10"/>
          <w:position w:val="5"/>
          <w:sz w:val="12"/>
        </w:rPr>
        <w:t xml:space="preserve"> </w:t>
      </w:r>
      <w:r>
        <w:rPr>
          <w:sz w:val="18"/>
        </w:rPr>
        <w:t>Espinoza</w:t>
      </w:r>
      <w:r>
        <w:rPr>
          <w:spacing w:val="-2"/>
          <w:sz w:val="18"/>
        </w:rPr>
        <w:t xml:space="preserve"> </w:t>
      </w:r>
      <w:r>
        <w:rPr>
          <w:sz w:val="18"/>
        </w:rPr>
        <w:t>and</w:t>
      </w:r>
      <w:r>
        <w:rPr>
          <w:spacing w:val="-3"/>
          <w:sz w:val="18"/>
        </w:rPr>
        <w:t xml:space="preserve"> </w:t>
      </w:r>
      <w:r>
        <w:rPr>
          <w:spacing w:val="-2"/>
          <w:sz w:val="18"/>
        </w:rPr>
        <w:t>Derrington.</w:t>
      </w:r>
    </w:p>
    <w:p w:rsidR="00200FDA" w:rsidRDefault="00F76C4C">
      <w:pPr>
        <w:spacing w:before="1" w:line="233" w:lineRule="exact"/>
        <w:ind w:left="140"/>
        <w:jc w:val="both"/>
        <w:rPr>
          <w:rFonts w:ascii="Cambria"/>
          <w:sz w:val="20"/>
        </w:rPr>
      </w:pPr>
      <w:r>
        <w:rPr>
          <w:rFonts w:ascii="Cambria"/>
          <w:position w:val="5"/>
          <w:sz w:val="13"/>
        </w:rPr>
        <w:t>44</w:t>
      </w:r>
      <w:r>
        <w:rPr>
          <w:rFonts w:ascii="Cambria"/>
          <w:spacing w:val="12"/>
          <w:position w:val="5"/>
          <w:sz w:val="13"/>
        </w:rPr>
        <w:t xml:space="preserve"> </w:t>
      </w:r>
      <w:r>
        <w:rPr>
          <w:rFonts w:ascii="Cambria"/>
          <w:spacing w:val="-2"/>
          <w:sz w:val="20"/>
        </w:rPr>
        <w:t>{Citation}</w:t>
      </w:r>
    </w:p>
    <w:p w:rsidR="00200FDA" w:rsidRDefault="00F76C4C">
      <w:pPr>
        <w:spacing w:line="219" w:lineRule="exact"/>
        <w:ind w:left="140"/>
        <w:rPr>
          <w:sz w:val="18"/>
        </w:rPr>
      </w:pPr>
      <w:r>
        <w:rPr>
          <w:position w:val="5"/>
          <w:sz w:val="12"/>
        </w:rPr>
        <w:t>45</w:t>
      </w:r>
      <w:r>
        <w:rPr>
          <w:spacing w:val="7"/>
          <w:position w:val="5"/>
          <w:sz w:val="12"/>
        </w:rPr>
        <w:t xml:space="preserve"> </w:t>
      </w:r>
      <w:r>
        <w:rPr>
          <w:sz w:val="18"/>
        </w:rPr>
        <w:t>Laurie</w:t>
      </w:r>
      <w:r>
        <w:rPr>
          <w:spacing w:val="-4"/>
          <w:sz w:val="18"/>
        </w:rPr>
        <w:t xml:space="preserve"> </w:t>
      </w:r>
      <w:r>
        <w:rPr>
          <w:sz w:val="18"/>
        </w:rPr>
        <w:t>Ross,</w:t>
      </w:r>
      <w:r>
        <w:rPr>
          <w:spacing w:val="-3"/>
          <w:sz w:val="18"/>
        </w:rPr>
        <w:t xml:space="preserve"> </w:t>
      </w:r>
      <w:r>
        <w:rPr>
          <w:sz w:val="18"/>
        </w:rPr>
        <w:t>“Massachusetts</w:t>
      </w:r>
      <w:r>
        <w:rPr>
          <w:spacing w:val="-4"/>
          <w:sz w:val="18"/>
        </w:rPr>
        <w:t xml:space="preserve"> </w:t>
      </w:r>
      <w:r>
        <w:rPr>
          <w:sz w:val="18"/>
        </w:rPr>
        <w:t>2021</w:t>
      </w:r>
      <w:r>
        <w:rPr>
          <w:spacing w:val="-3"/>
          <w:sz w:val="18"/>
        </w:rPr>
        <w:t xml:space="preserve"> </w:t>
      </w:r>
      <w:r>
        <w:rPr>
          <w:sz w:val="18"/>
        </w:rPr>
        <w:t>Youth</w:t>
      </w:r>
      <w:r>
        <w:rPr>
          <w:spacing w:val="-4"/>
          <w:sz w:val="18"/>
        </w:rPr>
        <w:t xml:space="preserve"> </w:t>
      </w:r>
      <w:r>
        <w:rPr>
          <w:sz w:val="18"/>
        </w:rPr>
        <w:t>Count,”</w:t>
      </w:r>
      <w:r>
        <w:rPr>
          <w:spacing w:val="-4"/>
          <w:sz w:val="18"/>
        </w:rPr>
        <w:t xml:space="preserve"> </w:t>
      </w:r>
      <w:r>
        <w:rPr>
          <w:sz w:val="18"/>
        </w:rPr>
        <w:t>2021,</w:t>
      </w:r>
      <w:r>
        <w:rPr>
          <w:spacing w:val="-2"/>
          <w:sz w:val="18"/>
        </w:rPr>
        <w:t xml:space="preserve"> </w:t>
      </w:r>
      <w:r>
        <w:rPr>
          <w:sz w:val="18"/>
        </w:rPr>
        <w:t>https://</w:t>
      </w:r>
      <w:hyperlink r:id="rId709">
        <w:r>
          <w:rPr>
            <w:sz w:val="18"/>
          </w:rPr>
          <w:t>www.mass.gov/doc/2021-youth-count-</w:t>
        </w:r>
        <w:r>
          <w:rPr>
            <w:spacing w:val="-2"/>
            <w:sz w:val="18"/>
          </w:rPr>
          <w:t>report/download.</w:t>
        </w:r>
      </w:hyperlink>
    </w:p>
    <w:p w:rsidR="00200FDA" w:rsidRDefault="00F76C4C">
      <w:pPr>
        <w:spacing w:before="1"/>
        <w:ind w:left="140" w:hanging="1"/>
        <w:rPr>
          <w:sz w:val="18"/>
        </w:rPr>
      </w:pPr>
      <w:r>
        <w:rPr>
          <w:position w:val="5"/>
          <w:sz w:val="12"/>
        </w:rPr>
        <w:t>46</w:t>
      </w:r>
      <w:r>
        <w:rPr>
          <w:spacing w:val="10"/>
          <w:position w:val="5"/>
          <w:sz w:val="12"/>
        </w:rPr>
        <w:t xml:space="preserve"> </w:t>
      </w:r>
      <w:r>
        <w:rPr>
          <w:sz w:val="18"/>
        </w:rPr>
        <w:t>Senate</w:t>
      </w:r>
      <w:r>
        <w:rPr>
          <w:spacing w:val="-3"/>
          <w:sz w:val="18"/>
        </w:rPr>
        <w:t xml:space="preserve"> </w:t>
      </w:r>
      <w:r>
        <w:rPr>
          <w:sz w:val="18"/>
        </w:rPr>
        <w:t>and</w:t>
      </w:r>
      <w:r>
        <w:rPr>
          <w:spacing w:val="-3"/>
          <w:sz w:val="18"/>
        </w:rPr>
        <w:t xml:space="preserve"> </w:t>
      </w:r>
      <w:r>
        <w:rPr>
          <w:sz w:val="18"/>
        </w:rPr>
        <w:t>House</w:t>
      </w:r>
      <w:r>
        <w:rPr>
          <w:spacing w:val="-3"/>
          <w:sz w:val="18"/>
        </w:rPr>
        <w:t xml:space="preserve"> </w:t>
      </w:r>
      <w:r>
        <w:rPr>
          <w:sz w:val="18"/>
        </w:rPr>
        <w:t>of</w:t>
      </w:r>
      <w:r>
        <w:rPr>
          <w:spacing w:val="-2"/>
          <w:sz w:val="18"/>
        </w:rPr>
        <w:t xml:space="preserve"> </w:t>
      </w:r>
      <w:r>
        <w:rPr>
          <w:sz w:val="18"/>
        </w:rPr>
        <w:t>Representative</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Commonwealth</w:t>
      </w:r>
      <w:r>
        <w:rPr>
          <w:spacing w:val="-3"/>
          <w:sz w:val="18"/>
        </w:rPr>
        <w:t xml:space="preserve"> </w:t>
      </w:r>
      <w:r>
        <w:rPr>
          <w:sz w:val="18"/>
        </w:rPr>
        <w:t>of</w:t>
      </w:r>
      <w:r>
        <w:rPr>
          <w:spacing w:val="-2"/>
          <w:sz w:val="18"/>
        </w:rPr>
        <w:t xml:space="preserve"> </w:t>
      </w:r>
      <w:r>
        <w:rPr>
          <w:sz w:val="18"/>
        </w:rPr>
        <w:t>Massachusetts,</w:t>
      </w:r>
      <w:r>
        <w:rPr>
          <w:spacing w:val="-2"/>
          <w:sz w:val="18"/>
        </w:rPr>
        <w:t xml:space="preserve"> </w:t>
      </w:r>
      <w:r>
        <w:rPr>
          <w:i/>
          <w:sz w:val="18"/>
        </w:rPr>
        <w:t>An</w:t>
      </w:r>
      <w:r>
        <w:rPr>
          <w:i/>
          <w:spacing w:val="-2"/>
          <w:sz w:val="18"/>
        </w:rPr>
        <w:t xml:space="preserve"> </w:t>
      </w:r>
      <w:r>
        <w:rPr>
          <w:i/>
          <w:sz w:val="18"/>
        </w:rPr>
        <w:t>Act</w:t>
      </w:r>
      <w:r>
        <w:rPr>
          <w:i/>
          <w:spacing w:val="-3"/>
          <w:sz w:val="18"/>
        </w:rPr>
        <w:t xml:space="preserve"> </w:t>
      </w:r>
      <w:r>
        <w:rPr>
          <w:i/>
          <w:sz w:val="18"/>
        </w:rPr>
        <w:t>providing</w:t>
      </w:r>
      <w:r>
        <w:rPr>
          <w:i/>
          <w:spacing w:val="-2"/>
          <w:sz w:val="18"/>
        </w:rPr>
        <w:t xml:space="preserve"> </w:t>
      </w:r>
      <w:r>
        <w:rPr>
          <w:i/>
          <w:sz w:val="18"/>
        </w:rPr>
        <w:t>upstream</w:t>
      </w:r>
      <w:r>
        <w:rPr>
          <w:i/>
          <w:spacing w:val="-3"/>
          <w:sz w:val="18"/>
        </w:rPr>
        <w:t xml:space="preserve"> </w:t>
      </w:r>
      <w:r>
        <w:rPr>
          <w:i/>
          <w:sz w:val="18"/>
        </w:rPr>
        <w:t>homelessness</w:t>
      </w:r>
      <w:r>
        <w:rPr>
          <w:i/>
          <w:sz w:val="18"/>
        </w:rPr>
        <w:t xml:space="preserve"> prevention assistance to families, youth, and adults</w:t>
      </w:r>
      <w:r>
        <w:rPr>
          <w:sz w:val="18"/>
        </w:rPr>
        <w:t>, SD. 1169, https://malegislature.gov/Bills/193/SD1169</w:t>
      </w:r>
    </w:p>
    <w:p w:rsidR="00200FDA" w:rsidRDefault="00F76C4C">
      <w:pPr>
        <w:ind w:left="140" w:hanging="1"/>
        <w:rPr>
          <w:sz w:val="18"/>
        </w:rPr>
      </w:pPr>
      <w:r>
        <w:rPr>
          <w:position w:val="5"/>
          <w:sz w:val="12"/>
        </w:rPr>
        <w:t>47</w:t>
      </w:r>
      <w:r>
        <w:rPr>
          <w:spacing w:val="10"/>
          <w:position w:val="5"/>
          <w:sz w:val="12"/>
        </w:rPr>
        <w:t xml:space="preserve"> </w:t>
      </w:r>
      <w:r>
        <w:rPr>
          <w:sz w:val="18"/>
        </w:rPr>
        <w:t>National</w:t>
      </w:r>
      <w:r>
        <w:rPr>
          <w:spacing w:val="-3"/>
          <w:sz w:val="18"/>
        </w:rPr>
        <w:t xml:space="preserve"> </w:t>
      </w:r>
      <w:r>
        <w:rPr>
          <w:sz w:val="18"/>
        </w:rPr>
        <w:t>Immigration</w:t>
      </w:r>
      <w:r>
        <w:rPr>
          <w:spacing w:val="-3"/>
          <w:sz w:val="18"/>
        </w:rPr>
        <w:t xml:space="preserve"> </w:t>
      </w:r>
      <w:r>
        <w:rPr>
          <w:sz w:val="18"/>
        </w:rPr>
        <w:t>Law</w:t>
      </w:r>
      <w:r>
        <w:rPr>
          <w:spacing w:val="-2"/>
          <w:sz w:val="18"/>
        </w:rPr>
        <w:t xml:space="preserve"> </w:t>
      </w:r>
      <w:r>
        <w:rPr>
          <w:sz w:val="18"/>
        </w:rPr>
        <w:t>Center,</w:t>
      </w:r>
      <w:r>
        <w:rPr>
          <w:spacing w:val="-2"/>
          <w:sz w:val="18"/>
        </w:rPr>
        <w:t xml:space="preserve"> </w:t>
      </w:r>
      <w:r>
        <w:rPr>
          <w:sz w:val="18"/>
        </w:rPr>
        <w:t>“A</w:t>
      </w:r>
      <w:r>
        <w:rPr>
          <w:spacing w:val="-3"/>
          <w:sz w:val="18"/>
        </w:rPr>
        <w:t xml:space="preserve"> </w:t>
      </w:r>
      <w:r>
        <w:rPr>
          <w:sz w:val="18"/>
        </w:rPr>
        <w:t>Quick</w:t>
      </w:r>
      <w:r>
        <w:rPr>
          <w:spacing w:val="-3"/>
          <w:sz w:val="18"/>
        </w:rPr>
        <w:t xml:space="preserve"> </w:t>
      </w:r>
      <w:r>
        <w:rPr>
          <w:sz w:val="18"/>
        </w:rPr>
        <w:t>Guide</w:t>
      </w:r>
      <w:r>
        <w:rPr>
          <w:spacing w:val="-3"/>
          <w:sz w:val="18"/>
        </w:rPr>
        <w:t xml:space="preserve"> </w:t>
      </w:r>
      <w:r>
        <w:rPr>
          <w:sz w:val="18"/>
        </w:rPr>
        <w:t>to</w:t>
      </w:r>
      <w:r>
        <w:rPr>
          <w:spacing w:val="-2"/>
          <w:sz w:val="18"/>
        </w:rPr>
        <w:t xml:space="preserve"> </w:t>
      </w:r>
      <w:r>
        <w:rPr>
          <w:sz w:val="18"/>
        </w:rPr>
        <w:t>Immigrant</w:t>
      </w:r>
      <w:r>
        <w:rPr>
          <w:spacing w:val="-3"/>
          <w:sz w:val="18"/>
        </w:rPr>
        <w:t xml:space="preserve"> </w:t>
      </w:r>
      <w:r>
        <w:rPr>
          <w:sz w:val="18"/>
        </w:rPr>
        <w:t>Eligibility</w:t>
      </w:r>
      <w:r>
        <w:rPr>
          <w:spacing w:val="-2"/>
          <w:sz w:val="18"/>
        </w:rPr>
        <w:t xml:space="preserve"> </w:t>
      </w:r>
      <w:r>
        <w:rPr>
          <w:sz w:val="18"/>
        </w:rPr>
        <w:t>for</w:t>
      </w:r>
      <w:r>
        <w:rPr>
          <w:spacing w:val="-3"/>
          <w:sz w:val="18"/>
        </w:rPr>
        <w:t xml:space="preserve"> </w:t>
      </w:r>
      <w:r>
        <w:rPr>
          <w:sz w:val="18"/>
        </w:rPr>
        <w:t>ACA</w:t>
      </w:r>
      <w:r>
        <w:rPr>
          <w:spacing w:val="-3"/>
          <w:sz w:val="18"/>
        </w:rPr>
        <w:t xml:space="preserve"> </w:t>
      </w:r>
      <w:r>
        <w:rPr>
          <w:sz w:val="18"/>
        </w:rPr>
        <w:t>and</w:t>
      </w:r>
      <w:r>
        <w:rPr>
          <w:spacing w:val="-3"/>
          <w:sz w:val="18"/>
        </w:rPr>
        <w:t xml:space="preserve"> </w:t>
      </w:r>
      <w:r>
        <w:rPr>
          <w:sz w:val="18"/>
        </w:rPr>
        <w:t>Key</w:t>
      </w:r>
      <w:r>
        <w:rPr>
          <w:spacing w:val="-2"/>
          <w:sz w:val="18"/>
        </w:rPr>
        <w:t xml:space="preserve"> </w:t>
      </w:r>
      <w:r>
        <w:rPr>
          <w:sz w:val="18"/>
        </w:rPr>
        <w:t>Federal</w:t>
      </w:r>
      <w:r>
        <w:rPr>
          <w:spacing w:val="-1"/>
          <w:sz w:val="18"/>
        </w:rPr>
        <w:t xml:space="preserve"> </w:t>
      </w:r>
      <w:r>
        <w:rPr>
          <w:sz w:val="18"/>
        </w:rPr>
        <w:t>Means-Tested</w:t>
      </w:r>
      <w:r>
        <w:rPr>
          <w:spacing w:val="-3"/>
          <w:sz w:val="18"/>
        </w:rPr>
        <w:t xml:space="preserve"> </w:t>
      </w:r>
      <w:r>
        <w:rPr>
          <w:sz w:val="18"/>
        </w:rPr>
        <w:t>Programs,” April 2018, https://</w:t>
      </w:r>
      <w:hyperlink r:id="rId710">
        <w:r>
          <w:rPr>
            <w:sz w:val="18"/>
          </w:rPr>
          <w:t>www.nilc.org/issues/economic-support/quick-guide-aca-means-tested-programs/.</w:t>
        </w:r>
      </w:hyperlink>
    </w:p>
    <w:p w:rsidR="00200FDA" w:rsidRDefault="00F76C4C">
      <w:pPr>
        <w:ind w:left="140" w:right="218" w:hanging="1"/>
        <w:rPr>
          <w:sz w:val="18"/>
        </w:rPr>
      </w:pPr>
      <w:r>
        <w:rPr>
          <w:position w:val="5"/>
          <w:sz w:val="12"/>
        </w:rPr>
        <w:t>48</w:t>
      </w:r>
      <w:r>
        <w:rPr>
          <w:spacing w:val="20"/>
          <w:position w:val="5"/>
          <w:sz w:val="12"/>
        </w:rPr>
        <w:t xml:space="preserve"> </w:t>
      </w:r>
      <w:r>
        <w:rPr>
          <w:sz w:val="18"/>
        </w:rPr>
        <w:t>“Information for Immigrant Patients and Their Health Care Providers on Immigration Enforcement | Mass.Gov,” accessed April</w:t>
      </w:r>
      <w:r>
        <w:rPr>
          <w:spacing w:val="-11"/>
          <w:sz w:val="18"/>
        </w:rPr>
        <w:t xml:space="preserve"> </w:t>
      </w:r>
      <w:r>
        <w:rPr>
          <w:sz w:val="18"/>
        </w:rPr>
        <w:t>24,</w:t>
      </w:r>
      <w:r>
        <w:rPr>
          <w:spacing w:val="-10"/>
          <w:sz w:val="18"/>
        </w:rPr>
        <w:t xml:space="preserve"> </w:t>
      </w:r>
      <w:r>
        <w:rPr>
          <w:sz w:val="18"/>
        </w:rPr>
        <w:t>2023,</w:t>
      </w:r>
      <w:r>
        <w:rPr>
          <w:spacing w:val="-10"/>
          <w:sz w:val="18"/>
        </w:rPr>
        <w:t xml:space="preserve"> </w:t>
      </w:r>
      <w:r>
        <w:rPr>
          <w:sz w:val="18"/>
        </w:rPr>
        <w:t>https://</w:t>
      </w:r>
      <w:hyperlink r:id="rId711">
        <w:r>
          <w:rPr>
            <w:sz w:val="18"/>
          </w:rPr>
          <w:t>www.mass.gov/service-details/information-for-immigrant-patients-and-their-health-care-providers-on-</w:t>
        </w:r>
      </w:hyperlink>
    </w:p>
    <w:p w:rsidR="00200FDA" w:rsidRDefault="00200FDA">
      <w:pPr>
        <w:rPr>
          <w:sz w:val="18"/>
        </w:rPr>
        <w:sectPr w:rsidR="00200FDA">
          <w:pgSz w:w="12240" w:h="15840"/>
          <w:pgMar w:top="1360" w:right="1300" w:bottom="1240" w:left="1300" w:header="763" w:footer="1043" w:gutter="0"/>
          <w:cols w:space="720"/>
        </w:sectPr>
      </w:pPr>
    </w:p>
    <w:p w:rsidR="00200FDA" w:rsidRDefault="00200FDA">
      <w:pPr>
        <w:pStyle w:val="BodyText"/>
        <w:spacing w:before="3"/>
        <w:rPr>
          <w:sz w:val="20"/>
        </w:rPr>
      </w:pPr>
    </w:p>
    <w:p w:rsidR="00200FDA" w:rsidRDefault="00F76C4C">
      <w:pPr>
        <w:spacing w:before="64"/>
        <w:ind w:left="140"/>
        <w:rPr>
          <w:sz w:val="18"/>
        </w:rPr>
      </w:pPr>
      <w:r>
        <w:rPr>
          <w:spacing w:val="-2"/>
          <w:sz w:val="18"/>
        </w:rPr>
        <w:t>immigration-enforcement.</w:t>
      </w:r>
    </w:p>
    <w:p w:rsidR="00200FDA" w:rsidRDefault="00F76C4C">
      <w:pPr>
        <w:spacing w:before="1"/>
        <w:ind w:left="140" w:right="622" w:hanging="1"/>
        <w:rPr>
          <w:sz w:val="18"/>
        </w:rPr>
      </w:pPr>
      <w:r>
        <w:rPr>
          <w:position w:val="5"/>
          <w:sz w:val="12"/>
        </w:rPr>
        <w:t>49</w:t>
      </w:r>
      <w:r>
        <w:rPr>
          <w:spacing w:val="9"/>
          <w:position w:val="5"/>
          <w:sz w:val="12"/>
        </w:rPr>
        <w:t xml:space="preserve"> </w:t>
      </w:r>
      <w:r>
        <w:rPr>
          <w:sz w:val="18"/>
        </w:rPr>
        <w:t>KFF,</w:t>
      </w:r>
      <w:r>
        <w:rPr>
          <w:spacing w:val="-3"/>
          <w:sz w:val="18"/>
        </w:rPr>
        <w:t xml:space="preserve"> </w:t>
      </w:r>
      <w:r>
        <w:rPr>
          <w:sz w:val="18"/>
        </w:rPr>
        <w:t>“Health</w:t>
      </w:r>
      <w:r>
        <w:rPr>
          <w:spacing w:val="-4"/>
          <w:sz w:val="18"/>
        </w:rPr>
        <w:t xml:space="preserve"> </w:t>
      </w:r>
      <w:r>
        <w:rPr>
          <w:sz w:val="18"/>
        </w:rPr>
        <w:t>Coverage</w:t>
      </w:r>
      <w:r>
        <w:rPr>
          <w:spacing w:val="-4"/>
          <w:sz w:val="18"/>
        </w:rPr>
        <w:t xml:space="preserve"> </w:t>
      </w:r>
      <w:r>
        <w:rPr>
          <w:sz w:val="18"/>
        </w:rPr>
        <w:t>and</w:t>
      </w:r>
      <w:r>
        <w:rPr>
          <w:spacing w:val="-4"/>
          <w:sz w:val="18"/>
        </w:rPr>
        <w:t xml:space="preserve"> </w:t>
      </w:r>
      <w:r>
        <w:rPr>
          <w:sz w:val="18"/>
        </w:rPr>
        <w:t>Care</w:t>
      </w:r>
      <w:r>
        <w:rPr>
          <w:spacing w:val="-2"/>
          <w:sz w:val="18"/>
        </w:rPr>
        <w:t xml:space="preserve"> </w:t>
      </w:r>
      <w:r>
        <w:rPr>
          <w:sz w:val="18"/>
        </w:rPr>
        <w:t>of</w:t>
      </w:r>
      <w:r>
        <w:rPr>
          <w:spacing w:val="-3"/>
          <w:sz w:val="18"/>
        </w:rPr>
        <w:t xml:space="preserve"> </w:t>
      </w:r>
      <w:r>
        <w:rPr>
          <w:sz w:val="18"/>
        </w:rPr>
        <w:t>Immigrants,”</w:t>
      </w:r>
      <w:r>
        <w:rPr>
          <w:spacing w:val="-4"/>
          <w:sz w:val="18"/>
        </w:rPr>
        <w:t xml:space="preserve"> </w:t>
      </w:r>
      <w:r>
        <w:rPr>
          <w:i/>
          <w:sz w:val="18"/>
        </w:rPr>
        <w:t>KFF</w:t>
      </w:r>
      <w:r>
        <w:rPr>
          <w:i/>
          <w:spacing w:val="-5"/>
          <w:sz w:val="18"/>
        </w:rPr>
        <w:t xml:space="preserve"> </w:t>
      </w:r>
      <w:r>
        <w:rPr>
          <w:sz w:val="18"/>
        </w:rPr>
        <w:t>(blog),</w:t>
      </w:r>
      <w:r>
        <w:rPr>
          <w:spacing w:val="-3"/>
          <w:sz w:val="18"/>
        </w:rPr>
        <w:t xml:space="preserve"> </w:t>
      </w:r>
      <w:r>
        <w:rPr>
          <w:sz w:val="18"/>
        </w:rPr>
        <w:t>December</w:t>
      </w:r>
      <w:r>
        <w:rPr>
          <w:spacing w:val="-4"/>
          <w:sz w:val="18"/>
        </w:rPr>
        <w:t xml:space="preserve"> </w:t>
      </w:r>
      <w:r>
        <w:rPr>
          <w:sz w:val="18"/>
        </w:rPr>
        <w:t>20,</w:t>
      </w:r>
      <w:r>
        <w:rPr>
          <w:spacing w:val="-3"/>
          <w:sz w:val="18"/>
        </w:rPr>
        <w:t xml:space="preserve"> </w:t>
      </w:r>
      <w:r>
        <w:rPr>
          <w:sz w:val="18"/>
        </w:rPr>
        <w:t>2022,</w:t>
      </w:r>
      <w:r>
        <w:rPr>
          <w:spacing w:val="-3"/>
          <w:sz w:val="18"/>
        </w:rPr>
        <w:t xml:space="preserve"> </w:t>
      </w:r>
      <w:r>
        <w:rPr>
          <w:sz w:val="18"/>
        </w:rPr>
        <w:t>https://</w:t>
      </w:r>
      <w:hyperlink r:id="rId712">
        <w:r>
          <w:rPr>
            <w:sz w:val="18"/>
          </w:rPr>
          <w:t>www.kff.org/racial-equity-and-</w:t>
        </w:r>
      </w:hyperlink>
      <w:r>
        <w:rPr>
          <w:sz w:val="18"/>
        </w:rPr>
        <w:t xml:space="preserve"> </w:t>
      </w:r>
      <w:r>
        <w:rPr>
          <w:spacing w:val="-2"/>
          <w:sz w:val="18"/>
        </w:rPr>
        <w:t>health-policy/fact-sheet/health-coverage-and-care-of-immigrants/.</w:t>
      </w:r>
    </w:p>
    <w:p w:rsidR="00200FDA" w:rsidRDefault="00F76C4C">
      <w:pPr>
        <w:spacing w:line="219" w:lineRule="exact"/>
        <w:ind w:left="140"/>
        <w:rPr>
          <w:sz w:val="18"/>
        </w:rPr>
      </w:pPr>
      <w:r>
        <w:rPr>
          <w:position w:val="5"/>
          <w:sz w:val="12"/>
        </w:rPr>
        <w:t>50</w:t>
      </w:r>
      <w:r>
        <w:rPr>
          <w:spacing w:val="8"/>
          <w:position w:val="5"/>
          <w:sz w:val="12"/>
        </w:rPr>
        <w:t xml:space="preserve"> </w:t>
      </w:r>
      <w:r>
        <w:rPr>
          <w:sz w:val="18"/>
        </w:rPr>
        <w:t>Chavez,</w:t>
      </w:r>
      <w:r>
        <w:rPr>
          <w:spacing w:val="-1"/>
          <w:sz w:val="18"/>
        </w:rPr>
        <w:t xml:space="preserve"> </w:t>
      </w:r>
      <w:r>
        <w:rPr>
          <w:sz w:val="18"/>
        </w:rPr>
        <w:t>“Identifying</w:t>
      </w:r>
      <w:r>
        <w:rPr>
          <w:spacing w:val="-2"/>
          <w:sz w:val="18"/>
        </w:rPr>
        <w:t xml:space="preserve"> </w:t>
      </w:r>
      <w:r>
        <w:rPr>
          <w:sz w:val="18"/>
        </w:rPr>
        <w:t>the</w:t>
      </w:r>
      <w:r>
        <w:rPr>
          <w:spacing w:val="-2"/>
          <w:sz w:val="18"/>
        </w:rPr>
        <w:t xml:space="preserve"> </w:t>
      </w:r>
      <w:r>
        <w:rPr>
          <w:sz w:val="18"/>
        </w:rPr>
        <w:t>Needs</w:t>
      </w:r>
      <w:r>
        <w:rPr>
          <w:spacing w:val="-2"/>
          <w:sz w:val="18"/>
        </w:rPr>
        <w:t xml:space="preserve"> </w:t>
      </w:r>
      <w:r>
        <w:rPr>
          <w:sz w:val="18"/>
        </w:rPr>
        <w:t>of</w:t>
      </w:r>
      <w:r>
        <w:rPr>
          <w:spacing w:val="-2"/>
          <w:sz w:val="18"/>
        </w:rPr>
        <w:t xml:space="preserve"> </w:t>
      </w:r>
      <w:r>
        <w:rPr>
          <w:sz w:val="18"/>
        </w:rPr>
        <w:t>LGBTQ</w:t>
      </w:r>
      <w:r>
        <w:rPr>
          <w:spacing w:val="-2"/>
          <w:sz w:val="18"/>
        </w:rPr>
        <w:t xml:space="preserve"> </w:t>
      </w:r>
      <w:r>
        <w:rPr>
          <w:sz w:val="18"/>
        </w:rPr>
        <w:t>Immigrants</w:t>
      </w:r>
      <w:r>
        <w:rPr>
          <w:spacing w:val="-2"/>
          <w:sz w:val="18"/>
        </w:rPr>
        <w:t xml:space="preserve"> </w:t>
      </w:r>
      <w:r>
        <w:rPr>
          <w:sz w:val="18"/>
        </w:rPr>
        <w:t>and</w:t>
      </w:r>
      <w:r>
        <w:rPr>
          <w:spacing w:val="-2"/>
          <w:sz w:val="18"/>
        </w:rPr>
        <w:t xml:space="preserve"> </w:t>
      </w:r>
      <w:r>
        <w:rPr>
          <w:sz w:val="18"/>
        </w:rPr>
        <w:t>Refugees</w:t>
      </w:r>
      <w:r>
        <w:rPr>
          <w:spacing w:val="-2"/>
          <w:sz w:val="18"/>
        </w:rPr>
        <w:t xml:space="preserve"> </w:t>
      </w:r>
      <w:r>
        <w:rPr>
          <w:sz w:val="18"/>
        </w:rPr>
        <w:t>in</w:t>
      </w:r>
      <w:r>
        <w:rPr>
          <w:spacing w:val="-2"/>
          <w:sz w:val="18"/>
        </w:rPr>
        <w:t xml:space="preserve"> </w:t>
      </w:r>
      <w:r>
        <w:rPr>
          <w:sz w:val="18"/>
        </w:rPr>
        <w:t>Southern</w:t>
      </w:r>
      <w:r>
        <w:rPr>
          <w:spacing w:val="-2"/>
          <w:sz w:val="18"/>
        </w:rPr>
        <w:t xml:space="preserve"> Arizona.”</w:t>
      </w:r>
    </w:p>
    <w:p w:rsidR="00200FDA" w:rsidRDefault="00F76C4C">
      <w:pPr>
        <w:spacing w:line="219" w:lineRule="exact"/>
        <w:ind w:left="140"/>
        <w:rPr>
          <w:sz w:val="18"/>
        </w:rPr>
      </w:pPr>
      <w:r>
        <w:rPr>
          <w:position w:val="5"/>
          <w:sz w:val="12"/>
        </w:rPr>
        <w:t>51</w:t>
      </w:r>
      <w:r>
        <w:rPr>
          <w:spacing w:val="8"/>
          <w:position w:val="5"/>
          <w:sz w:val="12"/>
        </w:rPr>
        <w:t xml:space="preserve"> </w:t>
      </w:r>
      <w:r>
        <w:rPr>
          <w:sz w:val="18"/>
        </w:rPr>
        <w:t>“Information</w:t>
      </w:r>
      <w:r>
        <w:rPr>
          <w:spacing w:val="-2"/>
          <w:sz w:val="18"/>
        </w:rPr>
        <w:t xml:space="preserve"> </w:t>
      </w:r>
      <w:r>
        <w:rPr>
          <w:sz w:val="18"/>
        </w:rPr>
        <w:t>for</w:t>
      </w:r>
      <w:r>
        <w:rPr>
          <w:spacing w:val="-3"/>
          <w:sz w:val="18"/>
        </w:rPr>
        <w:t xml:space="preserve"> </w:t>
      </w:r>
      <w:r>
        <w:rPr>
          <w:sz w:val="18"/>
        </w:rPr>
        <w:t>Immigrant</w:t>
      </w:r>
      <w:r>
        <w:rPr>
          <w:spacing w:val="-2"/>
          <w:sz w:val="18"/>
        </w:rPr>
        <w:t xml:space="preserve"> </w:t>
      </w:r>
      <w:r>
        <w:rPr>
          <w:sz w:val="18"/>
        </w:rPr>
        <w:t>Patients</w:t>
      </w:r>
      <w:r>
        <w:rPr>
          <w:spacing w:val="-3"/>
          <w:sz w:val="18"/>
        </w:rPr>
        <w:t xml:space="preserve"> </w:t>
      </w:r>
      <w:r>
        <w:rPr>
          <w:sz w:val="18"/>
        </w:rPr>
        <w:t>and</w:t>
      </w:r>
      <w:r>
        <w:rPr>
          <w:spacing w:val="-2"/>
          <w:sz w:val="18"/>
        </w:rPr>
        <w:t xml:space="preserve"> </w:t>
      </w:r>
      <w:r>
        <w:rPr>
          <w:sz w:val="18"/>
        </w:rPr>
        <w:t>Their</w:t>
      </w:r>
      <w:r>
        <w:rPr>
          <w:spacing w:val="-2"/>
          <w:sz w:val="18"/>
        </w:rPr>
        <w:t xml:space="preserve"> </w:t>
      </w:r>
      <w:r>
        <w:rPr>
          <w:sz w:val="18"/>
        </w:rPr>
        <w:t>Health</w:t>
      </w:r>
      <w:r>
        <w:rPr>
          <w:spacing w:val="-3"/>
          <w:sz w:val="18"/>
        </w:rPr>
        <w:t xml:space="preserve"> </w:t>
      </w:r>
      <w:r>
        <w:rPr>
          <w:sz w:val="18"/>
        </w:rPr>
        <w:t>Care</w:t>
      </w:r>
      <w:r>
        <w:rPr>
          <w:spacing w:val="-2"/>
          <w:sz w:val="18"/>
        </w:rPr>
        <w:t xml:space="preserve"> </w:t>
      </w:r>
      <w:r>
        <w:rPr>
          <w:sz w:val="18"/>
        </w:rPr>
        <w:t>Providers</w:t>
      </w:r>
      <w:r>
        <w:rPr>
          <w:spacing w:val="-3"/>
          <w:sz w:val="18"/>
        </w:rPr>
        <w:t xml:space="preserve"> </w:t>
      </w:r>
      <w:r>
        <w:rPr>
          <w:sz w:val="18"/>
        </w:rPr>
        <w:t>on</w:t>
      </w:r>
      <w:r>
        <w:rPr>
          <w:spacing w:val="-2"/>
          <w:sz w:val="18"/>
        </w:rPr>
        <w:t xml:space="preserve"> </w:t>
      </w:r>
      <w:r>
        <w:rPr>
          <w:sz w:val="18"/>
        </w:rPr>
        <w:t>Immigration</w:t>
      </w:r>
      <w:r>
        <w:rPr>
          <w:spacing w:val="-2"/>
          <w:sz w:val="18"/>
        </w:rPr>
        <w:t xml:space="preserve"> </w:t>
      </w:r>
      <w:r>
        <w:rPr>
          <w:sz w:val="18"/>
        </w:rPr>
        <w:t xml:space="preserve">Enforcement | </w:t>
      </w:r>
      <w:r>
        <w:rPr>
          <w:spacing w:val="-2"/>
          <w:sz w:val="18"/>
        </w:rPr>
        <w:t>Mass.Gov.”</w:t>
      </w:r>
    </w:p>
    <w:p w:rsidR="00200FDA" w:rsidRDefault="00F76C4C">
      <w:pPr>
        <w:spacing w:before="1" w:line="219" w:lineRule="exact"/>
        <w:ind w:left="140"/>
        <w:rPr>
          <w:sz w:val="18"/>
        </w:rPr>
      </w:pPr>
      <w:r>
        <w:rPr>
          <w:position w:val="5"/>
          <w:sz w:val="12"/>
        </w:rPr>
        <w:t>52</w:t>
      </w:r>
      <w:r>
        <w:rPr>
          <w:spacing w:val="7"/>
          <w:position w:val="5"/>
          <w:sz w:val="12"/>
        </w:rPr>
        <w:t xml:space="preserve"> </w:t>
      </w:r>
      <w:r>
        <w:rPr>
          <w:sz w:val="18"/>
        </w:rPr>
        <w:t>Gruberg,</w:t>
      </w:r>
      <w:r>
        <w:rPr>
          <w:spacing w:val="-2"/>
          <w:sz w:val="18"/>
        </w:rPr>
        <w:t xml:space="preserve"> </w:t>
      </w:r>
      <w:r>
        <w:rPr>
          <w:sz w:val="18"/>
        </w:rPr>
        <w:t>Rooney,</w:t>
      </w:r>
      <w:r>
        <w:rPr>
          <w:spacing w:val="-2"/>
          <w:sz w:val="18"/>
        </w:rPr>
        <w:t xml:space="preserve"> </w:t>
      </w:r>
      <w:r>
        <w:rPr>
          <w:sz w:val="18"/>
        </w:rPr>
        <w:t>and</w:t>
      </w:r>
      <w:r>
        <w:rPr>
          <w:spacing w:val="-3"/>
          <w:sz w:val="18"/>
        </w:rPr>
        <w:t xml:space="preserve"> </w:t>
      </w:r>
      <w:r>
        <w:rPr>
          <w:sz w:val="18"/>
        </w:rPr>
        <w:t>McGovern,</w:t>
      </w:r>
      <w:r>
        <w:rPr>
          <w:spacing w:val="-2"/>
          <w:sz w:val="18"/>
        </w:rPr>
        <w:t xml:space="preserve"> </w:t>
      </w:r>
      <w:r>
        <w:rPr>
          <w:sz w:val="18"/>
        </w:rPr>
        <w:t>“Serving</w:t>
      </w:r>
      <w:r>
        <w:rPr>
          <w:spacing w:val="-3"/>
          <w:sz w:val="18"/>
        </w:rPr>
        <w:t xml:space="preserve"> </w:t>
      </w:r>
      <w:r>
        <w:rPr>
          <w:sz w:val="18"/>
        </w:rPr>
        <w:t>LGBTQ</w:t>
      </w:r>
      <w:r>
        <w:rPr>
          <w:spacing w:val="-3"/>
          <w:sz w:val="18"/>
        </w:rPr>
        <w:t xml:space="preserve"> </w:t>
      </w:r>
      <w:r>
        <w:rPr>
          <w:sz w:val="18"/>
        </w:rPr>
        <w:t>Immigrants</w:t>
      </w:r>
      <w:r>
        <w:rPr>
          <w:spacing w:val="-3"/>
          <w:sz w:val="18"/>
        </w:rPr>
        <w:t xml:space="preserve"> </w:t>
      </w:r>
      <w:r>
        <w:rPr>
          <w:sz w:val="18"/>
        </w:rPr>
        <w:t>and</w:t>
      </w:r>
      <w:r>
        <w:rPr>
          <w:spacing w:val="-1"/>
          <w:sz w:val="18"/>
        </w:rPr>
        <w:t xml:space="preserve"> </w:t>
      </w:r>
      <w:r>
        <w:rPr>
          <w:sz w:val="18"/>
        </w:rPr>
        <w:t>Building</w:t>
      </w:r>
      <w:r>
        <w:rPr>
          <w:spacing w:val="-3"/>
          <w:sz w:val="18"/>
        </w:rPr>
        <w:t xml:space="preserve"> </w:t>
      </w:r>
      <w:r>
        <w:rPr>
          <w:sz w:val="18"/>
        </w:rPr>
        <w:t>Welcoming</w:t>
      </w:r>
      <w:r>
        <w:rPr>
          <w:spacing w:val="-3"/>
          <w:sz w:val="18"/>
        </w:rPr>
        <w:t xml:space="preserve"> </w:t>
      </w:r>
      <w:r>
        <w:rPr>
          <w:spacing w:val="-2"/>
          <w:sz w:val="18"/>
        </w:rPr>
        <w:t>Communities.”</w:t>
      </w:r>
    </w:p>
    <w:p w:rsidR="00200FDA" w:rsidRDefault="00F76C4C">
      <w:pPr>
        <w:ind w:left="139" w:right="218"/>
        <w:rPr>
          <w:sz w:val="18"/>
        </w:rPr>
      </w:pPr>
      <w:r>
        <w:rPr>
          <w:position w:val="5"/>
          <w:sz w:val="12"/>
        </w:rPr>
        <w:t>53</w:t>
      </w:r>
      <w:r>
        <w:rPr>
          <w:spacing w:val="10"/>
          <w:position w:val="5"/>
          <w:sz w:val="12"/>
        </w:rPr>
        <w:t xml:space="preserve"> </w:t>
      </w:r>
      <w:r>
        <w:rPr>
          <w:sz w:val="18"/>
        </w:rPr>
        <w:t>Peter</w:t>
      </w:r>
      <w:r>
        <w:rPr>
          <w:spacing w:val="-3"/>
          <w:sz w:val="18"/>
        </w:rPr>
        <w:t xml:space="preserve"> </w:t>
      </w:r>
      <w:r>
        <w:rPr>
          <w:sz w:val="18"/>
        </w:rPr>
        <w:t>Markowitz</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“Accessing</w:t>
      </w:r>
      <w:r>
        <w:rPr>
          <w:spacing w:val="-3"/>
          <w:sz w:val="18"/>
        </w:rPr>
        <w:t xml:space="preserve"> </w:t>
      </w:r>
      <w:r>
        <w:rPr>
          <w:sz w:val="18"/>
        </w:rPr>
        <w:t>Justice:</w:t>
      </w:r>
      <w:r>
        <w:rPr>
          <w:spacing w:val="-2"/>
          <w:sz w:val="18"/>
        </w:rPr>
        <w:t xml:space="preserve"> </w:t>
      </w:r>
      <w:r>
        <w:rPr>
          <w:sz w:val="18"/>
        </w:rPr>
        <w:t>The</w:t>
      </w:r>
      <w:r>
        <w:rPr>
          <w:spacing w:val="-3"/>
          <w:sz w:val="18"/>
        </w:rPr>
        <w:t xml:space="preserve"> </w:t>
      </w:r>
      <w:r>
        <w:rPr>
          <w:sz w:val="18"/>
        </w:rPr>
        <w:t>Available</w:t>
      </w:r>
      <w:r>
        <w:rPr>
          <w:spacing w:val="-3"/>
          <w:sz w:val="18"/>
        </w:rPr>
        <w:t xml:space="preserve"> </w:t>
      </w:r>
      <w:r>
        <w:rPr>
          <w:sz w:val="18"/>
        </w:rPr>
        <w:t>and</w:t>
      </w:r>
      <w:r>
        <w:rPr>
          <w:spacing w:val="-3"/>
          <w:sz w:val="18"/>
        </w:rPr>
        <w:t xml:space="preserve"> </w:t>
      </w:r>
      <w:r>
        <w:rPr>
          <w:sz w:val="18"/>
        </w:rPr>
        <w:t>Adequacy</w:t>
      </w:r>
      <w:r>
        <w:rPr>
          <w:spacing w:val="-2"/>
          <w:sz w:val="18"/>
        </w:rPr>
        <w:t xml:space="preserve"> </w:t>
      </w:r>
      <w:r>
        <w:rPr>
          <w:sz w:val="18"/>
        </w:rPr>
        <w:t>of</w:t>
      </w:r>
      <w:r>
        <w:rPr>
          <w:spacing w:val="-2"/>
          <w:sz w:val="18"/>
        </w:rPr>
        <w:t xml:space="preserve"> </w:t>
      </w:r>
      <w:r>
        <w:rPr>
          <w:sz w:val="18"/>
        </w:rPr>
        <w:t>Counsel</w:t>
      </w:r>
      <w:r>
        <w:rPr>
          <w:spacing w:val="-3"/>
          <w:sz w:val="18"/>
        </w:rPr>
        <w:t xml:space="preserve"> </w:t>
      </w:r>
      <w:r>
        <w:rPr>
          <w:sz w:val="18"/>
        </w:rPr>
        <w:t>in</w:t>
      </w:r>
      <w:r>
        <w:rPr>
          <w:spacing w:val="-3"/>
          <w:sz w:val="18"/>
        </w:rPr>
        <w:t xml:space="preserve"> </w:t>
      </w:r>
      <w:r>
        <w:rPr>
          <w:sz w:val="18"/>
        </w:rPr>
        <w:t>Removal</w:t>
      </w:r>
      <w:r>
        <w:rPr>
          <w:spacing w:val="-3"/>
          <w:sz w:val="18"/>
        </w:rPr>
        <w:t xml:space="preserve"> </w:t>
      </w:r>
      <w:r>
        <w:rPr>
          <w:sz w:val="18"/>
        </w:rPr>
        <w:t>Proceedings,”</w:t>
      </w:r>
      <w:r>
        <w:rPr>
          <w:spacing w:val="-2"/>
          <w:sz w:val="18"/>
        </w:rPr>
        <w:t xml:space="preserve"> </w:t>
      </w:r>
      <w:r>
        <w:rPr>
          <w:i/>
          <w:sz w:val="18"/>
        </w:rPr>
        <w:t>Cardozo</w:t>
      </w:r>
      <w:r>
        <w:rPr>
          <w:i/>
          <w:spacing w:val="-4"/>
          <w:sz w:val="18"/>
        </w:rPr>
        <w:t xml:space="preserve"> </w:t>
      </w:r>
      <w:r>
        <w:rPr>
          <w:i/>
          <w:sz w:val="18"/>
        </w:rPr>
        <w:t xml:space="preserve">Law Review </w:t>
      </w:r>
      <w:r>
        <w:rPr>
          <w:sz w:val="18"/>
        </w:rPr>
        <w:t>33 (December 1, 2011): 357.</w:t>
      </w:r>
    </w:p>
    <w:p w:rsidR="00200FDA" w:rsidRDefault="00F76C4C">
      <w:pPr>
        <w:spacing w:before="1"/>
        <w:ind w:left="140" w:right="1656" w:hanging="1"/>
        <w:rPr>
          <w:sz w:val="18"/>
        </w:rPr>
      </w:pPr>
      <w:r>
        <w:rPr>
          <w:position w:val="5"/>
          <w:sz w:val="12"/>
        </w:rPr>
        <w:t>54</w:t>
      </w:r>
      <w:r>
        <w:rPr>
          <w:spacing w:val="10"/>
          <w:position w:val="5"/>
          <w:sz w:val="12"/>
        </w:rPr>
        <w:t xml:space="preserve"> </w:t>
      </w:r>
      <w:r>
        <w:rPr>
          <w:sz w:val="18"/>
        </w:rPr>
        <w:t>Trevor</w:t>
      </w:r>
      <w:r>
        <w:rPr>
          <w:spacing w:val="-4"/>
          <w:sz w:val="18"/>
        </w:rPr>
        <w:t xml:space="preserve"> </w:t>
      </w:r>
      <w:r>
        <w:rPr>
          <w:sz w:val="18"/>
        </w:rPr>
        <w:t>Mattos,</w:t>
      </w:r>
      <w:r>
        <w:rPr>
          <w:spacing w:val="-3"/>
          <w:sz w:val="18"/>
        </w:rPr>
        <w:t xml:space="preserve"> </w:t>
      </w:r>
      <w:r>
        <w:rPr>
          <w:sz w:val="18"/>
        </w:rPr>
        <w:t>Andre</w:t>
      </w:r>
      <w:r>
        <w:rPr>
          <w:spacing w:val="-4"/>
          <w:sz w:val="18"/>
        </w:rPr>
        <w:t xml:space="preserve"> </w:t>
      </w:r>
      <w:r>
        <w:rPr>
          <w:sz w:val="18"/>
        </w:rPr>
        <w:t>Lima,</w:t>
      </w:r>
      <w:r>
        <w:rPr>
          <w:spacing w:val="-3"/>
          <w:sz w:val="18"/>
        </w:rPr>
        <w:t xml:space="preserve"> </w:t>
      </w:r>
      <w:r>
        <w:rPr>
          <w:sz w:val="18"/>
        </w:rPr>
        <w:t>and</w:t>
      </w:r>
      <w:r>
        <w:rPr>
          <w:spacing w:val="-2"/>
          <w:sz w:val="18"/>
        </w:rPr>
        <w:t xml:space="preserve"> </w:t>
      </w:r>
      <w:r>
        <w:rPr>
          <w:sz w:val="18"/>
        </w:rPr>
        <w:t>Peter</w:t>
      </w:r>
      <w:r>
        <w:rPr>
          <w:spacing w:val="-4"/>
          <w:sz w:val="18"/>
        </w:rPr>
        <w:t xml:space="preserve"> </w:t>
      </w:r>
      <w:r>
        <w:rPr>
          <w:sz w:val="18"/>
        </w:rPr>
        <w:t>Ciurczak,</w:t>
      </w:r>
      <w:r>
        <w:rPr>
          <w:spacing w:val="-3"/>
          <w:sz w:val="18"/>
        </w:rPr>
        <w:t xml:space="preserve"> </w:t>
      </w:r>
      <w:r>
        <w:rPr>
          <w:sz w:val="18"/>
        </w:rPr>
        <w:t>“Growing</w:t>
      </w:r>
      <w:r>
        <w:rPr>
          <w:spacing w:val="-4"/>
          <w:sz w:val="18"/>
        </w:rPr>
        <w:t xml:space="preserve"> </w:t>
      </w:r>
      <w:r>
        <w:rPr>
          <w:sz w:val="18"/>
        </w:rPr>
        <w:t>Wave</w:t>
      </w:r>
      <w:r>
        <w:rPr>
          <w:spacing w:val="-4"/>
          <w:sz w:val="18"/>
        </w:rPr>
        <w:t xml:space="preserve"> </w:t>
      </w:r>
      <w:r>
        <w:rPr>
          <w:sz w:val="18"/>
        </w:rPr>
        <w:t>of</w:t>
      </w:r>
      <w:r>
        <w:rPr>
          <w:spacing w:val="-3"/>
          <w:sz w:val="18"/>
        </w:rPr>
        <w:t xml:space="preserve"> </w:t>
      </w:r>
      <w:r>
        <w:rPr>
          <w:sz w:val="18"/>
        </w:rPr>
        <w:t>Restrictions,”</w:t>
      </w:r>
      <w:r>
        <w:rPr>
          <w:spacing w:val="-4"/>
          <w:sz w:val="18"/>
        </w:rPr>
        <w:t xml:space="preserve"> </w:t>
      </w:r>
      <w:r>
        <w:rPr>
          <w:sz w:val="18"/>
        </w:rPr>
        <w:t>Boston</w:t>
      </w:r>
      <w:r>
        <w:rPr>
          <w:spacing w:val="-4"/>
          <w:sz w:val="18"/>
        </w:rPr>
        <w:t xml:space="preserve"> </w:t>
      </w:r>
      <w:r>
        <w:rPr>
          <w:sz w:val="18"/>
        </w:rPr>
        <w:t>Indicators,</w:t>
      </w:r>
      <w:r>
        <w:rPr>
          <w:spacing w:val="-3"/>
          <w:sz w:val="18"/>
        </w:rPr>
        <w:t xml:space="preserve"> </w:t>
      </w:r>
      <w:r>
        <w:rPr>
          <w:sz w:val="18"/>
        </w:rPr>
        <w:t xml:space="preserve">2019, </w:t>
      </w:r>
      <w:r>
        <w:rPr>
          <w:spacing w:val="-2"/>
          <w:sz w:val="18"/>
        </w:rPr>
        <w:t>https://</w:t>
      </w:r>
      <w:hyperlink r:id="rId713">
        <w:r>
          <w:rPr>
            <w:spacing w:val="-2"/>
            <w:sz w:val="18"/>
          </w:rPr>
          <w:t>www.bostonindicators.org/reports/report-website-pages/growing-wave-of-restrictions.</w:t>
        </w:r>
      </w:hyperlink>
    </w:p>
    <w:p w:rsidR="00200FDA" w:rsidRDefault="00F76C4C">
      <w:pPr>
        <w:spacing w:line="219" w:lineRule="exact"/>
        <w:ind w:left="140"/>
        <w:rPr>
          <w:sz w:val="18"/>
        </w:rPr>
      </w:pPr>
      <w:r>
        <w:rPr>
          <w:position w:val="5"/>
          <w:sz w:val="12"/>
        </w:rPr>
        <w:t>55</w:t>
      </w:r>
      <w:r>
        <w:rPr>
          <w:spacing w:val="6"/>
          <w:position w:val="5"/>
          <w:sz w:val="12"/>
        </w:rPr>
        <w:t xml:space="preserve"> </w:t>
      </w:r>
      <w:r>
        <w:rPr>
          <w:sz w:val="18"/>
        </w:rPr>
        <w:t>“Legal</w:t>
      </w:r>
      <w:r>
        <w:rPr>
          <w:spacing w:val="-6"/>
          <w:sz w:val="18"/>
        </w:rPr>
        <w:t xml:space="preserve"> </w:t>
      </w:r>
      <w:r>
        <w:rPr>
          <w:sz w:val="18"/>
        </w:rPr>
        <w:t>Services,”</w:t>
      </w:r>
      <w:r>
        <w:rPr>
          <w:spacing w:val="-5"/>
          <w:sz w:val="18"/>
        </w:rPr>
        <w:t xml:space="preserve"> </w:t>
      </w:r>
      <w:r>
        <w:rPr>
          <w:i/>
          <w:sz w:val="18"/>
        </w:rPr>
        <w:t>MIRA</w:t>
      </w:r>
      <w:r>
        <w:rPr>
          <w:i/>
          <w:spacing w:val="-5"/>
          <w:sz w:val="18"/>
        </w:rPr>
        <w:t xml:space="preserve"> </w:t>
      </w:r>
      <w:r>
        <w:rPr>
          <w:i/>
          <w:sz w:val="18"/>
        </w:rPr>
        <w:t>Coalition</w:t>
      </w:r>
      <w:r>
        <w:rPr>
          <w:i/>
          <w:spacing w:val="-4"/>
          <w:sz w:val="18"/>
        </w:rPr>
        <w:t xml:space="preserve"> </w:t>
      </w:r>
      <w:r>
        <w:rPr>
          <w:sz w:val="18"/>
        </w:rPr>
        <w:t>(blog),</w:t>
      </w:r>
      <w:r>
        <w:rPr>
          <w:spacing w:val="-4"/>
          <w:sz w:val="18"/>
        </w:rPr>
        <w:t xml:space="preserve"> </w:t>
      </w:r>
      <w:r>
        <w:rPr>
          <w:sz w:val="18"/>
        </w:rPr>
        <w:t>accessed</w:t>
      </w:r>
      <w:r>
        <w:rPr>
          <w:spacing w:val="-5"/>
          <w:sz w:val="18"/>
        </w:rPr>
        <w:t xml:space="preserve"> </w:t>
      </w:r>
      <w:r>
        <w:rPr>
          <w:sz w:val="18"/>
        </w:rPr>
        <w:t>April</w:t>
      </w:r>
      <w:r>
        <w:rPr>
          <w:spacing w:val="-5"/>
          <w:sz w:val="18"/>
        </w:rPr>
        <w:t xml:space="preserve"> </w:t>
      </w:r>
      <w:r>
        <w:rPr>
          <w:sz w:val="18"/>
        </w:rPr>
        <w:t>24,</w:t>
      </w:r>
      <w:r>
        <w:rPr>
          <w:spacing w:val="-4"/>
          <w:sz w:val="18"/>
        </w:rPr>
        <w:t xml:space="preserve"> </w:t>
      </w:r>
      <w:r>
        <w:rPr>
          <w:sz w:val="18"/>
        </w:rPr>
        <w:t>2023,</w:t>
      </w:r>
      <w:r>
        <w:rPr>
          <w:spacing w:val="-4"/>
          <w:sz w:val="18"/>
        </w:rPr>
        <w:t xml:space="preserve"> </w:t>
      </w:r>
      <w:r>
        <w:rPr>
          <w:sz w:val="18"/>
        </w:rPr>
        <w:t>https://miracoalition.org/resources/legal-</w:t>
      </w:r>
      <w:r>
        <w:rPr>
          <w:spacing w:val="-2"/>
          <w:sz w:val="18"/>
        </w:rPr>
        <w:t>services/.</w:t>
      </w:r>
    </w:p>
    <w:p w:rsidR="00200FDA" w:rsidRDefault="00F76C4C">
      <w:pPr>
        <w:ind w:left="140" w:right="263" w:hanging="1"/>
        <w:rPr>
          <w:sz w:val="18"/>
        </w:rPr>
      </w:pPr>
      <w:r>
        <w:rPr>
          <w:position w:val="5"/>
          <w:sz w:val="12"/>
        </w:rPr>
        <w:t>56</w:t>
      </w:r>
      <w:r>
        <w:rPr>
          <w:spacing w:val="9"/>
          <w:position w:val="5"/>
          <w:sz w:val="12"/>
        </w:rPr>
        <w:t xml:space="preserve"> </w:t>
      </w:r>
      <w:r>
        <w:rPr>
          <w:sz w:val="18"/>
        </w:rPr>
        <w:t>Josselyn</w:t>
      </w:r>
      <w:r>
        <w:rPr>
          <w:spacing w:val="-4"/>
          <w:sz w:val="18"/>
        </w:rPr>
        <w:t xml:space="preserve"> </w:t>
      </w:r>
      <w:r>
        <w:rPr>
          <w:sz w:val="18"/>
        </w:rPr>
        <w:t>Andrea</w:t>
      </w:r>
      <w:r>
        <w:rPr>
          <w:spacing w:val="-3"/>
          <w:sz w:val="18"/>
        </w:rPr>
        <w:t xml:space="preserve"> </w:t>
      </w:r>
      <w:r>
        <w:rPr>
          <w:sz w:val="18"/>
        </w:rPr>
        <w:t>Garcia</w:t>
      </w:r>
      <w:r>
        <w:rPr>
          <w:spacing w:val="-3"/>
          <w:sz w:val="18"/>
        </w:rPr>
        <w:t xml:space="preserve"> </w:t>
      </w:r>
      <w:r>
        <w:rPr>
          <w:sz w:val="18"/>
        </w:rPr>
        <w:t>Quijano,</w:t>
      </w:r>
      <w:r>
        <w:rPr>
          <w:spacing w:val="-3"/>
          <w:sz w:val="18"/>
        </w:rPr>
        <w:t xml:space="preserve"> </w:t>
      </w:r>
      <w:r>
        <w:rPr>
          <w:sz w:val="18"/>
        </w:rPr>
        <w:t>“Workplace</w:t>
      </w:r>
      <w:r>
        <w:rPr>
          <w:spacing w:val="-4"/>
          <w:sz w:val="18"/>
        </w:rPr>
        <w:t xml:space="preserve"> </w:t>
      </w:r>
      <w:r>
        <w:rPr>
          <w:sz w:val="18"/>
        </w:rPr>
        <w:t>Discrimination</w:t>
      </w:r>
      <w:r>
        <w:rPr>
          <w:spacing w:val="-4"/>
          <w:sz w:val="18"/>
        </w:rPr>
        <w:t xml:space="preserve"> </w:t>
      </w:r>
      <w:r>
        <w:rPr>
          <w:sz w:val="18"/>
        </w:rPr>
        <w:t>and</w:t>
      </w:r>
      <w:r>
        <w:rPr>
          <w:spacing w:val="-4"/>
          <w:sz w:val="18"/>
        </w:rPr>
        <w:t xml:space="preserve"> </w:t>
      </w:r>
      <w:r>
        <w:rPr>
          <w:sz w:val="18"/>
        </w:rPr>
        <w:t>Undocumented</w:t>
      </w:r>
      <w:r>
        <w:rPr>
          <w:spacing w:val="-4"/>
          <w:sz w:val="18"/>
        </w:rPr>
        <w:t xml:space="preserve"> </w:t>
      </w:r>
      <w:r>
        <w:rPr>
          <w:sz w:val="18"/>
        </w:rPr>
        <w:t>First-Generation</w:t>
      </w:r>
      <w:r>
        <w:rPr>
          <w:spacing w:val="-4"/>
          <w:sz w:val="18"/>
        </w:rPr>
        <w:t xml:space="preserve"> </w:t>
      </w:r>
      <w:r>
        <w:rPr>
          <w:sz w:val="18"/>
        </w:rPr>
        <w:t>Latinx</w:t>
      </w:r>
      <w:r>
        <w:rPr>
          <w:spacing w:val="-4"/>
          <w:sz w:val="18"/>
        </w:rPr>
        <w:t xml:space="preserve"> </w:t>
      </w:r>
      <w:r>
        <w:rPr>
          <w:sz w:val="18"/>
        </w:rPr>
        <w:t>Immigrants,”</w:t>
      </w:r>
      <w:r>
        <w:rPr>
          <w:spacing w:val="-4"/>
          <w:sz w:val="18"/>
        </w:rPr>
        <w:t xml:space="preserve"> </w:t>
      </w:r>
      <w:r>
        <w:rPr>
          <w:sz w:val="18"/>
        </w:rPr>
        <w:t xml:space="preserve">Crown Family School of Social Work, Policy, and Practice, accessed April 24, 2023, https://crownschool.uchicago.edu/student- </w:t>
      </w:r>
      <w:r>
        <w:rPr>
          <w:spacing w:val="-2"/>
          <w:sz w:val="18"/>
        </w:rPr>
        <w:t>life/advocates-for</w:t>
      </w:r>
      <w:r>
        <w:rPr>
          <w:spacing w:val="-2"/>
          <w:sz w:val="18"/>
        </w:rPr>
        <w:t>um/workplace-discrimination-and-undocumented-first-generation-latinx.</w:t>
      </w:r>
    </w:p>
    <w:p w:rsidR="00200FDA" w:rsidRDefault="00F76C4C">
      <w:pPr>
        <w:ind w:left="140" w:right="1397" w:hanging="1"/>
        <w:rPr>
          <w:sz w:val="18"/>
        </w:rPr>
      </w:pPr>
      <w:r>
        <w:rPr>
          <w:position w:val="5"/>
          <w:sz w:val="12"/>
        </w:rPr>
        <w:t>57</w:t>
      </w:r>
      <w:r>
        <w:rPr>
          <w:spacing w:val="19"/>
          <w:position w:val="5"/>
          <w:sz w:val="12"/>
        </w:rPr>
        <w:t xml:space="preserve"> </w:t>
      </w:r>
      <w:r>
        <w:rPr>
          <w:sz w:val="18"/>
        </w:rPr>
        <w:t xml:space="preserve">Cassie Arnita, “Barriers to Career Advancement Among Skilled Immigrants in the US,” Ballard Brief, 2022, </w:t>
      </w:r>
      <w:r>
        <w:rPr>
          <w:spacing w:val="-2"/>
          <w:sz w:val="18"/>
        </w:rPr>
        <w:t>https://ballardbrief.byu.edu/issue-briefs/barriers-to-career-advancement-among</w:t>
      </w:r>
      <w:r>
        <w:rPr>
          <w:spacing w:val="-2"/>
          <w:sz w:val="18"/>
        </w:rPr>
        <w:t>-skilled-immigrants-in-the-us.</w:t>
      </w:r>
    </w:p>
    <w:p w:rsidR="00200FDA" w:rsidRDefault="00F76C4C">
      <w:pPr>
        <w:ind w:left="140" w:right="234"/>
        <w:rPr>
          <w:sz w:val="18"/>
        </w:rPr>
      </w:pPr>
      <w:r>
        <w:rPr>
          <w:position w:val="5"/>
          <w:sz w:val="12"/>
        </w:rPr>
        <w:t>58</w:t>
      </w:r>
      <w:r>
        <w:rPr>
          <w:spacing w:val="19"/>
          <w:position w:val="5"/>
          <w:sz w:val="12"/>
        </w:rPr>
        <w:t xml:space="preserve"> </w:t>
      </w:r>
      <w:r>
        <w:rPr>
          <w:sz w:val="18"/>
        </w:rPr>
        <w:t>James D. Bachmeier, Jeanne Batalova, and Michael Fix, “Untapped Talent: The Costs of Brain Waste among Highly Skilled Immigrants in the United States,” migrationpolicy.org, December 2, 2016,</w:t>
      </w:r>
      <w:r>
        <w:rPr>
          <w:spacing w:val="40"/>
          <w:sz w:val="18"/>
        </w:rPr>
        <w:t xml:space="preserve"> </w:t>
      </w:r>
      <w:r>
        <w:rPr>
          <w:spacing w:val="-2"/>
          <w:sz w:val="18"/>
        </w:rPr>
        <w:t>https://</w:t>
      </w:r>
      <w:hyperlink r:id="rId714">
        <w:r>
          <w:rPr>
            <w:spacing w:val="-2"/>
            <w:sz w:val="18"/>
          </w:rPr>
          <w:t>www.migrationpolicy.org/research/untapped-talent-costs-brain-waste-among-highly-skilled-immigrants-united-states.</w:t>
        </w:r>
      </w:hyperlink>
    </w:p>
    <w:p w:rsidR="00200FDA" w:rsidRDefault="00F76C4C">
      <w:pPr>
        <w:spacing w:before="1" w:line="219" w:lineRule="exact"/>
        <w:ind w:left="140"/>
        <w:rPr>
          <w:sz w:val="18"/>
        </w:rPr>
      </w:pPr>
      <w:r>
        <w:rPr>
          <w:position w:val="5"/>
          <w:sz w:val="12"/>
        </w:rPr>
        <w:t>59</w:t>
      </w:r>
      <w:r>
        <w:rPr>
          <w:spacing w:val="10"/>
          <w:position w:val="5"/>
          <w:sz w:val="12"/>
        </w:rPr>
        <w:t xml:space="preserve"> </w:t>
      </w:r>
      <w:r>
        <w:rPr>
          <w:sz w:val="18"/>
        </w:rPr>
        <w:t>Mattos,</w:t>
      </w:r>
      <w:r>
        <w:rPr>
          <w:spacing w:val="-1"/>
          <w:sz w:val="18"/>
        </w:rPr>
        <w:t xml:space="preserve"> </w:t>
      </w:r>
      <w:r>
        <w:rPr>
          <w:sz w:val="18"/>
        </w:rPr>
        <w:t>Lima,</w:t>
      </w:r>
      <w:r>
        <w:rPr>
          <w:spacing w:val="-2"/>
          <w:sz w:val="18"/>
        </w:rPr>
        <w:t xml:space="preserve"> </w:t>
      </w:r>
      <w:r>
        <w:rPr>
          <w:sz w:val="18"/>
        </w:rPr>
        <w:t>and</w:t>
      </w:r>
      <w:r>
        <w:rPr>
          <w:spacing w:val="-2"/>
          <w:sz w:val="18"/>
        </w:rPr>
        <w:t xml:space="preserve"> </w:t>
      </w:r>
      <w:r>
        <w:rPr>
          <w:sz w:val="18"/>
        </w:rPr>
        <w:t>Ciurc</w:t>
      </w:r>
      <w:r>
        <w:rPr>
          <w:sz w:val="18"/>
        </w:rPr>
        <w:t>zak,</w:t>
      </w:r>
      <w:r>
        <w:rPr>
          <w:spacing w:val="-2"/>
          <w:sz w:val="18"/>
        </w:rPr>
        <w:t xml:space="preserve"> </w:t>
      </w:r>
      <w:r>
        <w:rPr>
          <w:sz w:val="18"/>
        </w:rPr>
        <w:t>“Growing</w:t>
      </w:r>
      <w:r>
        <w:rPr>
          <w:spacing w:val="-2"/>
          <w:sz w:val="18"/>
        </w:rPr>
        <w:t xml:space="preserve"> </w:t>
      </w:r>
      <w:r>
        <w:rPr>
          <w:sz w:val="18"/>
        </w:rPr>
        <w:t>Wave</w:t>
      </w:r>
      <w:r>
        <w:rPr>
          <w:spacing w:val="-3"/>
          <w:sz w:val="18"/>
        </w:rPr>
        <w:t xml:space="preserve"> </w:t>
      </w:r>
      <w:r>
        <w:rPr>
          <w:sz w:val="18"/>
        </w:rPr>
        <w:t>of</w:t>
      </w:r>
      <w:r>
        <w:rPr>
          <w:spacing w:val="-1"/>
          <w:sz w:val="18"/>
        </w:rPr>
        <w:t xml:space="preserve"> </w:t>
      </w:r>
      <w:r>
        <w:rPr>
          <w:spacing w:val="-2"/>
          <w:sz w:val="18"/>
        </w:rPr>
        <w:t>Restrictions.”</w:t>
      </w:r>
    </w:p>
    <w:p w:rsidR="00200FDA" w:rsidRDefault="00F76C4C">
      <w:pPr>
        <w:ind w:left="140" w:right="770" w:hanging="1"/>
        <w:rPr>
          <w:sz w:val="18"/>
        </w:rPr>
      </w:pPr>
      <w:r>
        <w:rPr>
          <w:position w:val="5"/>
          <w:sz w:val="12"/>
        </w:rPr>
        <w:t>60</w:t>
      </w:r>
      <w:r>
        <w:rPr>
          <w:spacing w:val="10"/>
          <w:position w:val="5"/>
          <w:sz w:val="12"/>
        </w:rPr>
        <w:t xml:space="preserve"> </w:t>
      </w:r>
      <w:r>
        <w:rPr>
          <w:sz w:val="18"/>
        </w:rPr>
        <w:t>Sharita</w:t>
      </w:r>
      <w:r>
        <w:rPr>
          <w:spacing w:val="-2"/>
          <w:sz w:val="18"/>
        </w:rPr>
        <w:t xml:space="preserve"> </w:t>
      </w:r>
      <w:r>
        <w:rPr>
          <w:sz w:val="18"/>
        </w:rPr>
        <w:t>Gruberg,</w:t>
      </w:r>
      <w:r>
        <w:rPr>
          <w:spacing w:val="-2"/>
          <w:sz w:val="18"/>
        </w:rPr>
        <w:t xml:space="preserve"> </w:t>
      </w:r>
      <w:r>
        <w:rPr>
          <w:sz w:val="18"/>
        </w:rPr>
        <w:t>“What</w:t>
      </w:r>
      <w:r>
        <w:rPr>
          <w:spacing w:val="-3"/>
          <w:sz w:val="18"/>
        </w:rPr>
        <w:t xml:space="preserve"> </w:t>
      </w:r>
      <w:r>
        <w:rPr>
          <w:sz w:val="18"/>
        </w:rPr>
        <w:t>Ending</w:t>
      </w:r>
      <w:r>
        <w:rPr>
          <w:spacing w:val="-3"/>
          <w:sz w:val="18"/>
        </w:rPr>
        <w:t xml:space="preserve"> </w:t>
      </w:r>
      <w:r>
        <w:rPr>
          <w:sz w:val="18"/>
        </w:rPr>
        <w:t>DACA</w:t>
      </w:r>
      <w:r>
        <w:rPr>
          <w:spacing w:val="-3"/>
          <w:sz w:val="18"/>
        </w:rPr>
        <w:t xml:space="preserve"> </w:t>
      </w:r>
      <w:r>
        <w:rPr>
          <w:sz w:val="18"/>
        </w:rPr>
        <w:t>Means</w:t>
      </w:r>
      <w:r>
        <w:rPr>
          <w:spacing w:val="-3"/>
          <w:sz w:val="18"/>
        </w:rPr>
        <w:t xml:space="preserve"> </w:t>
      </w:r>
      <w:r>
        <w:rPr>
          <w:sz w:val="18"/>
        </w:rPr>
        <w:t>for</w:t>
      </w:r>
      <w:r>
        <w:rPr>
          <w:spacing w:val="-3"/>
          <w:sz w:val="18"/>
        </w:rPr>
        <w:t xml:space="preserve"> </w:t>
      </w:r>
      <w:r>
        <w:rPr>
          <w:sz w:val="18"/>
        </w:rPr>
        <w:t>LGBTQ</w:t>
      </w:r>
      <w:r>
        <w:rPr>
          <w:spacing w:val="-3"/>
          <w:sz w:val="18"/>
        </w:rPr>
        <w:t xml:space="preserve"> </w:t>
      </w:r>
      <w:r>
        <w:rPr>
          <w:sz w:val="18"/>
        </w:rPr>
        <w:t>Dreamers</w:t>
      </w:r>
      <w:r>
        <w:rPr>
          <w:spacing w:val="-2"/>
          <w:sz w:val="18"/>
        </w:rPr>
        <w:t xml:space="preserve"> </w:t>
      </w:r>
      <w:r>
        <w:rPr>
          <w:sz w:val="18"/>
        </w:rPr>
        <w:t>-</w:t>
      </w:r>
      <w:r>
        <w:rPr>
          <w:spacing w:val="-2"/>
          <w:sz w:val="18"/>
        </w:rPr>
        <w:t xml:space="preserve"> </w:t>
      </w:r>
      <w:r>
        <w:rPr>
          <w:sz w:val="18"/>
        </w:rPr>
        <w:t>Center</w:t>
      </w:r>
      <w:r>
        <w:rPr>
          <w:spacing w:val="-3"/>
          <w:sz w:val="18"/>
        </w:rPr>
        <w:t xml:space="preserve"> </w:t>
      </w:r>
      <w:r>
        <w:rPr>
          <w:sz w:val="18"/>
        </w:rPr>
        <w:t>for</w:t>
      </w:r>
      <w:r>
        <w:rPr>
          <w:spacing w:val="-3"/>
          <w:sz w:val="18"/>
        </w:rPr>
        <w:t xml:space="preserve"> </w:t>
      </w:r>
      <w:r>
        <w:rPr>
          <w:sz w:val="18"/>
        </w:rPr>
        <w:t>American</w:t>
      </w:r>
      <w:r>
        <w:rPr>
          <w:spacing w:val="-3"/>
          <w:sz w:val="18"/>
        </w:rPr>
        <w:t xml:space="preserve"> </w:t>
      </w:r>
      <w:r>
        <w:rPr>
          <w:sz w:val="18"/>
        </w:rPr>
        <w:t>Progress,”</w:t>
      </w:r>
      <w:r>
        <w:rPr>
          <w:spacing w:val="-1"/>
          <w:sz w:val="18"/>
        </w:rPr>
        <w:t xml:space="preserve"> </w:t>
      </w:r>
      <w:r>
        <w:rPr>
          <w:sz w:val="18"/>
        </w:rPr>
        <w:t>October</w:t>
      </w:r>
      <w:r>
        <w:rPr>
          <w:spacing w:val="-3"/>
          <w:sz w:val="18"/>
        </w:rPr>
        <w:t xml:space="preserve"> </w:t>
      </w:r>
      <w:r>
        <w:rPr>
          <w:sz w:val="18"/>
        </w:rPr>
        <w:t>11,</w:t>
      </w:r>
      <w:r>
        <w:rPr>
          <w:spacing w:val="-2"/>
          <w:sz w:val="18"/>
        </w:rPr>
        <w:t xml:space="preserve"> </w:t>
      </w:r>
      <w:r>
        <w:rPr>
          <w:sz w:val="18"/>
        </w:rPr>
        <w:t xml:space="preserve">2017, </w:t>
      </w:r>
      <w:r>
        <w:rPr>
          <w:spacing w:val="-2"/>
          <w:sz w:val="18"/>
        </w:rPr>
        <w:t>https://</w:t>
      </w:r>
      <w:hyperlink r:id="rId715">
        <w:r>
          <w:rPr>
            <w:spacing w:val="-2"/>
            <w:sz w:val="18"/>
          </w:rPr>
          <w:t>www.americanprogress.org/article/ending-daca-means-lgbtq-dreamers/.</w:t>
        </w:r>
      </w:hyperlink>
    </w:p>
    <w:p w:rsidR="00200FDA" w:rsidRDefault="00F76C4C">
      <w:pPr>
        <w:ind w:left="140" w:hanging="1"/>
        <w:rPr>
          <w:sz w:val="18"/>
        </w:rPr>
      </w:pPr>
      <w:r>
        <w:rPr>
          <w:position w:val="5"/>
          <w:sz w:val="12"/>
        </w:rPr>
        <w:t>61</w:t>
      </w:r>
      <w:r>
        <w:rPr>
          <w:spacing w:val="10"/>
          <w:position w:val="5"/>
          <w:sz w:val="12"/>
        </w:rPr>
        <w:t xml:space="preserve"> </w:t>
      </w:r>
      <w:r>
        <w:rPr>
          <w:sz w:val="18"/>
        </w:rPr>
        <w:t>Kerith</w:t>
      </w:r>
      <w:r>
        <w:rPr>
          <w:spacing w:val="-3"/>
          <w:sz w:val="18"/>
        </w:rPr>
        <w:t xml:space="preserve"> </w:t>
      </w:r>
      <w:r>
        <w:rPr>
          <w:sz w:val="18"/>
        </w:rPr>
        <w:t>Conron,</w:t>
      </w:r>
      <w:r>
        <w:rPr>
          <w:spacing w:val="-2"/>
          <w:sz w:val="18"/>
        </w:rPr>
        <w:t xml:space="preserve"> </w:t>
      </w:r>
      <w:r>
        <w:rPr>
          <w:sz w:val="18"/>
        </w:rPr>
        <w:t>Winston</w:t>
      </w:r>
      <w:r>
        <w:rPr>
          <w:spacing w:val="-3"/>
          <w:sz w:val="18"/>
        </w:rPr>
        <w:t xml:space="preserve"> </w:t>
      </w:r>
      <w:r>
        <w:rPr>
          <w:sz w:val="18"/>
        </w:rPr>
        <w:t>Luhur,</w:t>
      </w:r>
      <w:r>
        <w:rPr>
          <w:spacing w:val="-2"/>
          <w:sz w:val="18"/>
        </w:rPr>
        <w:t xml:space="preserve"> </w:t>
      </w:r>
      <w:r>
        <w:rPr>
          <w:sz w:val="18"/>
        </w:rPr>
        <w:t>and</w:t>
      </w:r>
      <w:r>
        <w:rPr>
          <w:spacing w:val="-3"/>
          <w:sz w:val="18"/>
        </w:rPr>
        <w:t xml:space="preserve"> </w:t>
      </w:r>
      <w:r>
        <w:rPr>
          <w:sz w:val="18"/>
        </w:rPr>
        <w:t>Taylor</w:t>
      </w:r>
      <w:r>
        <w:rPr>
          <w:spacing w:val="-3"/>
          <w:sz w:val="18"/>
        </w:rPr>
        <w:t xml:space="preserve"> </w:t>
      </w:r>
      <w:r>
        <w:rPr>
          <w:sz w:val="18"/>
        </w:rPr>
        <w:t>N.T.</w:t>
      </w:r>
      <w:r>
        <w:rPr>
          <w:spacing w:val="-2"/>
          <w:sz w:val="18"/>
        </w:rPr>
        <w:t xml:space="preserve"> </w:t>
      </w:r>
      <w:r>
        <w:rPr>
          <w:sz w:val="18"/>
        </w:rPr>
        <w:t>Brown,</w:t>
      </w:r>
      <w:r>
        <w:rPr>
          <w:spacing w:val="-2"/>
          <w:sz w:val="18"/>
        </w:rPr>
        <w:t xml:space="preserve"> </w:t>
      </w:r>
      <w:r>
        <w:rPr>
          <w:sz w:val="18"/>
        </w:rPr>
        <w:t>“LGBT</w:t>
      </w:r>
      <w:r>
        <w:rPr>
          <w:spacing w:val="-4"/>
          <w:sz w:val="18"/>
        </w:rPr>
        <w:t xml:space="preserve"> </w:t>
      </w:r>
      <w:r>
        <w:rPr>
          <w:sz w:val="18"/>
        </w:rPr>
        <w:t>‘Dreamers’</w:t>
      </w:r>
      <w:r>
        <w:rPr>
          <w:spacing w:val="-2"/>
          <w:sz w:val="18"/>
        </w:rPr>
        <w:t xml:space="preserve"> </w:t>
      </w:r>
      <w:r>
        <w:rPr>
          <w:sz w:val="18"/>
        </w:rPr>
        <w:t>and</w:t>
      </w:r>
      <w:r>
        <w:rPr>
          <w:spacing w:val="-3"/>
          <w:sz w:val="18"/>
        </w:rPr>
        <w:t xml:space="preserve"> </w:t>
      </w:r>
      <w:r>
        <w:rPr>
          <w:sz w:val="18"/>
        </w:rPr>
        <w:t>Deferred</w:t>
      </w:r>
      <w:r>
        <w:rPr>
          <w:spacing w:val="-3"/>
          <w:sz w:val="18"/>
        </w:rPr>
        <w:t xml:space="preserve"> </w:t>
      </w:r>
      <w:r>
        <w:rPr>
          <w:sz w:val="18"/>
        </w:rPr>
        <w:t>Action</w:t>
      </w:r>
      <w:r>
        <w:rPr>
          <w:spacing w:val="-3"/>
          <w:sz w:val="18"/>
        </w:rPr>
        <w:t xml:space="preserve"> </w:t>
      </w:r>
      <w:r>
        <w:rPr>
          <w:sz w:val="18"/>
        </w:rPr>
        <w:t>for</w:t>
      </w:r>
      <w:r>
        <w:rPr>
          <w:spacing w:val="-3"/>
          <w:sz w:val="18"/>
        </w:rPr>
        <w:t xml:space="preserve"> </w:t>
      </w:r>
      <w:r>
        <w:rPr>
          <w:sz w:val="18"/>
        </w:rPr>
        <w:t>Childhood</w:t>
      </w:r>
      <w:r>
        <w:rPr>
          <w:spacing w:val="-3"/>
          <w:sz w:val="18"/>
        </w:rPr>
        <w:t xml:space="preserve"> </w:t>
      </w:r>
      <w:r>
        <w:rPr>
          <w:sz w:val="18"/>
        </w:rPr>
        <w:t>Arrivals</w:t>
      </w:r>
      <w:r>
        <w:rPr>
          <w:spacing w:val="-3"/>
          <w:sz w:val="18"/>
        </w:rPr>
        <w:t xml:space="preserve"> </w:t>
      </w:r>
      <w:r>
        <w:rPr>
          <w:sz w:val="18"/>
        </w:rPr>
        <w:t>(DACA),” Williams Institute, June 2020, https://williamsinstitute.law.uc</w:t>
      </w:r>
      <w:r>
        <w:rPr>
          <w:sz w:val="18"/>
        </w:rPr>
        <w:t>la.edu/publications/lgbt-dreamers-daca/.</w:t>
      </w:r>
    </w:p>
    <w:p w:rsidR="00200FDA" w:rsidRDefault="00F76C4C">
      <w:pPr>
        <w:ind w:left="139" w:right="618"/>
        <w:rPr>
          <w:sz w:val="18"/>
        </w:rPr>
      </w:pPr>
      <w:r>
        <w:rPr>
          <w:position w:val="5"/>
          <w:sz w:val="12"/>
        </w:rPr>
        <w:t>62</w:t>
      </w:r>
      <w:r>
        <w:rPr>
          <w:spacing w:val="14"/>
          <w:position w:val="5"/>
          <w:sz w:val="12"/>
        </w:rPr>
        <w:t xml:space="preserve"> </w:t>
      </w:r>
      <w:r>
        <w:rPr>
          <w:sz w:val="18"/>
        </w:rPr>
        <w:t>Tom K. Wong, Greisa Martinez Rosas, and Adam Luna, “DACA Recipients’ Economic and Educational Gains Continue to Grow,”</w:t>
      </w:r>
      <w:r>
        <w:rPr>
          <w:spacing w:val="-5"/>
          <w:sz w:val="18"/>
        </w:rPr>
        <w:t xml:space="preserve"> </w:t>
      </w:r>
      <w:r>
        <w:rPr>
          <w:i/>
          <w:sz w:val="18"/>
        </w:rPr>
        <w:t>Center</w:t>
      </w:r>
      <w:r>
        <w:rPr>
          <w:i/>
          <w:spacing w:val="-4"/>
          <w:sz w:val="18"/>
        </w:rPr>
        <w:t xml:space="preserve"> </w:t>
      </w:r>
      <w:r>
        <w:rPr>
          <w:i/>
          <w:sz w:val="18"/>
        </w:rPr>
        <w:t>for</w:t>
      </w:r>
      <w:r>
        <w:rPr>
          <w:i/>
          <w:spacing w:val="-4"/>
          <w:sz w:val="18"/>
        </w:rPr>
        <w:t xml:space="preserve"> </w:t>
      </w:r>
      <w:r>
        <w:rPr>
          <w:i/>
          <w:sz w:val="18"/>
        </w:rPr>
        <w:t>American</w:t>
      </w:r>
      <w:r>
        <w:rPr>
          <w:i/>
          <w:spacing w:val="-6"/>
          <w:sz w:val="18"/>
        </w:rPr>
        <w:t xml:space="preserve"> </w:t>
      </w:r>
      <w:r>
        <w:rPr>
          <w:i/>
          <w:sz w:val="18"/>
        </w:rPr>
        <w:t>Progress</w:t>
      </w:r>
      <w:r>
        <w:rPr>
          <w:i/>
          <w:spacing w:val="-5"/>
          <w:sz w:val="18"/>
        </w:rPr>
        <w:t xml:space="preserve"> </w:t>
      </w:r>
      <w:r>
        <w:rPr>
          <w:sz w:val="18"/>
        </w:rPr>
        <w:t>(blog),</w:t>
      </w:r>
      <w:r>
        <w:rPr>
          <w:spacing w:val="-4"/>
          <w:sz w:val="18"/>
        </w:rPr>
        <w:t xml:space="preserve"> </w:t>
      </w:r>
      <w:r>
        <w:rPr>
          <w:sz w:val="18"/>
        </w:rPr>
        <w:t>August</w:t>
      </w:r>
      <w:r>
        <w:rPr>
          <w:spacing w:val="-5"/>
          <w:sz w:val="18"/>
        </w:rPr>
        <w:t xml:space="preserve"> </w:t>
      </w:r>
      <w:r>
        <w:rPr>
          <w:sz w:val="18"/>
        </w:rPr>
        <w:t>28,</w:t>
      </w:r>
      <w:r>
        <w:rPr>
          <w:spacing w:val="-4"/>
          <w:sz w:val="18"/>
        </w:rPr>
        <w:t xml:space="preserve"> </w:t>
      </w:r>
      <w:r>
        <w:rPr>
          <w:sz w:val="18"/>
        </w:rPr>
        <w:t>2017,</w:t>
      </w:r>
      <w:r>
        <w:rPr>
          <w:spacing w:val="-4"/>
          <w:sz w:val="18"/>
        </w:rPr>
        <w:t xml:space="preserve"> </w:t>
      </w:r>
      <w:r>
        <w:rPr>
          <w:sz w:val="18"/>
        </w:rPr>
        <w:t>https://</w:t>
      </w:r>
      <w:hyperlink r:id="rId716">
        <w:r>
          <w:rPr>
            <w:sz w:val="18"/>
          </w:rPr>
          <w:t>www.americanprogress.org/article/daca-recipients-</w:t>
        </w:r>
      </w:hyperlink>
      <w:r>
        <w:rPr>
          <w:sz w:val="18"/>
        </w:rPr>
        <w:t xml:space="preserve"> </w:t>
      </w:r>
      <w:r>
        <w:rPr>
          <w:spacing w:val="-2"/>
          <w:sz w:val="18"/>
        </w:rPr>
        <w:t>economic-educational-gains-continue-grow/.</w:t>
      </w:r>
    </w:p>
    <w:p w:rsidR="00200FDA" w:rsidRDefault="00F76C4C">
      <w:pPr>
        <w:ind w:left="140"/>
        <w:rPr>
          <w:sz w:val="18"/>
        </w:rPr>
      </w:pPr>
      <w:r>
        <w:rPr>
          <w:position w:val="5"/>
          <w:sz w:val="12"/>
        </w:rPr>
        <w:t>63</w:t>
      </w:r>
      <w:r>
        <w:rPr>
          <w:spacing w:val="10"/>
          <w:position w:val="5"/>
          <w:sz w:val="12"/>
        </w:rPr>
        <w:t xml:space="preserve"> </w:t>
      </w:r>
      <w:r>
        <w:rPr>
          <w:sz w:val="18"/>
        </w:rPr>
        <w:t>Wong,</w:t>
      </w:r>
      <w:r>
        <w:rPr>
          <w:spacing w:val="-1"/>
          <w:sz w:val="18"/>
        </w:rPr>
        <w:t xml:space="preserve"> </w:t>
      </w:r>
      <w:r>
        <w:rPr>
          <w:sz w:val="18"/>
        </w:rPr>
        <w:t>Rosas,</w:t>
      </w:r>
      <w:r>
        <w:rPr>
          <w:spacing w:val="-1"/>
          <w:sz w:val="18"/>
        </w:rPr>
        <w:t xml:space="preserve"> </w:t>
      </w:r>
      <w:r>
        <w:rPr>
          <w:sz w:val="18"/>
        </w:rPr>
        <w:t>and</w:t>
      </w:r>
      <w:r>
        <w:rPr>
          <w:spacing w:val="-2"/>
          <w:sz w:val="18"/>
        </w:rPr>
        <w:t xml:space="preserve"> Luna.</w:t>
      </w:r>
    </w:p>
    <w:p w:rsidR="00200FDA" w:rsidRDefault="00F76C4C">
      <w:pPr>
        <w:spacing w:before="1"/>
        <w:ind w:left="140" w:right="197" w:hanging="1"/>
        <w:rPr>
          <w:sz w:val="18"/>
        </w:rPr>
      </w:pPr>
      <w:r>
        <w:rPr>
          <w:position w:val="5"/>
          <w:sz w:val="12"/>
        </w:rPr>
        <w:t>64</w:t>
      </w:r>
      <w:r>
        <w:rPr>
          <w:spacing w:val="9"/>
          <w:position w:val="5"/>
          <w:sz w:val="12"/>
        </w:rPr>
        <w:t xml:space="preserve"> </w:t>
      </w:r>
      <w:r>
        <w:rPr>
          <w:sz w:val="18"/>
        </w:rPr>
        <w:t>Asumi</w:t>
      </w:r>
      <w:r>
        <w:rPr>
          <w:spacing w:val="-1"/>
          <w:sz w:val="18"/>
        </w:rPr>
        <w:t xml:space="preserve"> </w:t>
      </w:r>
      <w:r>
        <w:rPr>
          <w:sz w:val="18"/>
        </w:rPr>
        <w:t>Shuda,</w:t>
      </w:r>
      <w:r>
        <w:rPr>
          <w:spacing w:val="-3"/>
          <w:sz w:val="18"/>
        </w:rPr>
        <w:t xml:space="preserve"> </w:t>
      </w:r>
      <w:r>
        <w:rPr>
          <w:sz w:val="18"/>
        </w:rPr>
        <w:t>“New</w:t>
      </w:r>
      <w:r>
        <w:rPr>
          <w:spacing w:val="-2"/>
          <w:sz w:val="18"/>
        </w:rPr>
        <w:t xml:space="preserve"> </w:t>
      </w:r>
      <w:r>
        <w:rPr>
          <w:sz w:val="18"/>
        </w:rPr>
        <w:t>Department</w:t>
      </w:r>
      <w:r>
        <w:rPr>
          <w:spacing w:val="-1"/>
          <w:sz w:val="18"/>
        </w:rPr>
        <w:t xml:space="preserve"> </w:t>
      </w:r>
      <w:r>
        <w:rPr>
          <w:sz w:val="18"/>
        </w:rPr>
        <w:t>of</w:t>
      </w:r>
      <w:r>
        <w:rPr>
          <w:spacing w:val="-3"/>
          <w:sz w:val="18"/>
        </w:rPr>
        <w:t xml:space="preserve"> </w:t>
      </w:r>
      <w:r>
        <w:rPr>
          <w:sz w:val="18"/>
        </w:rPr>
        <w:t>Homeland</w:t>
      </w:r>
      <w:r>
        <w:rPr>
          <w:spacing w:val="-4"/>
          <w:sz w:val="18"/>
        </w:rPr>
        <w:t xml:space="preserve"> </w:t>
      </w:r>
      <w:r>
        <w:rPr>
          <w:sz w:val="18"/>
        </w:rPr>
        <w:t>Security</w:t>
      </w:r>
      <w:r>
        <w:rPr>
          <w:spacing w:val="-3"/>
          <w:sz w:val="18"/>
        </w:rPr>
        <w:t xml:space="preserve"> </w:t>
      </w:r>
      <w:r>
        <w:rPr>
          <w:sz w:val="18"/>
        </w:rPr>
        <w:t>Rule</w:t>
      </w:r>
      <w:r>
        <w:rPr>
          <w:spacing w:val="-4"/>
          <w:sz w:val="18"/>
        </w:rPr>
        <w:t xml:space="preserve"> </w:t>
      </w:r>
      <w:r>
        <w:rPr>
          <w:sz w:val="18"/>
        </w:rPr>
        <w:t>Aims</w:t>
      </w:r>
      <w:r>
        <w:rPr>
          <w:spacing w:val="-2"/>
          <w:sz w:val="18"/>
        </w:rPr>
        <w:t xml:space="preserve"> </w:t>
      </w:r>
      <w:r>
        <w:rPr>
          <w:sz w:val="18"/>
        </w:rPr>
        <w:t>to</w:t>
      </w:r>
      <w:r>
        <w:rPr>
          <w:spacing w:val="-2"/>
          <w:sz w:val="18"/>
        </w:rPr>
        <w:t xml:space="preserve"> </w:t>
      </w:r>
      <w:r>
        <w:rPr>
          <w:sz w:val="18"/>
        </w:rPr>
        <w:t>Preserve</w:t>
      </w:r>
      <w:r>
        <w:rPr>
          <w:spacing w:val="-4"/>
          <w:sz w:val="18"/>
        </w:rPr>
        <w:t xml:space="preserve"> </w:t>
      </w:r>
      <w:r>
        <w:rPr>
          <w:sz w:val="18"/>
        </w:rPr>
        <w:t>Deferred</w:t>
      </w:r>
      <w:r>
        <w:rPr>
          <w:spacing w:val="-4"/>
          <w:sz w:val="18"/>
        </w:rPr>
        <w:t xml:space="preserve"> </w:t>
      </w:r>
      <w:r>
        <w:rPr>
          <w:sz w:val="18"/>
        </w:rPr>
        <w:t>Action</w:t>
      </w:r>
      <w:r>
        <w:rPr>
          <w:spacing w:val="-4"/>
          <w:sz w:val="18"/>
        </w:rPr>
        <w:t xml:space="preserve"> </w:t>
      </w:r>
      <w:r>
        <w:rPr>
          <w:sz w:val="18"/>
        </w:rPr>
        <w:t>for</w:t>
      </w:r>
      <w:r>
        <w:rPr>
          <w:spacing w:val="-4"/>
          <w:sz w:val="18"/>
        </w:rPr>
        <w:t xml:space="preserve"> </w:t>
      </w:r>
      <w:r>
        <w:rPr>
          <w:sz w:val="18"/>
        </w:rPr>
        <w:t>Childhood</w:t>
      </w:r>
      <w:r>
        <w:rPr>
          <w:spacing w:val="-4"/>
          <w:sz w:val="18"/>
        </w:rPr>
        <w:t xml:space="preserve"> </w:t>
      </w:r>
      <w:r>
        <w:rPr>
          <w:sz w:val="18"/>
        </w:rPr>
        <w:t>Arrivals</w:t>
      </w:r>
      <w:r>
        <w:rPr>
          <w:spacing w:val="-4"/>
          <w:sz w:val="18"/>
        </w:rPr>
        <w:t xml:space="preserve"> </w:t>
      </w:r>
      <w:r>
        <w:rPr>
          <w:sz w:val="18"/>
        </w:rPr>
        <w:t xml:space="preserve">Program amid Court Scrutiny | The Daily Nexus,” November 12, 2022, https://dailynexus.com/2022-11-12/new-department-of- </w:t>
      </w:r>
      <w:r>
        <w:rPr>
          <w:spacing w:val="-2"/>
          <w:sz w:val="18"/>
        </w:rPr>
        <w:t>homeland-security-rule-aims-to-preserve-deferred-action-for-childhood-arrivals-progra</w:t>
      </w:r>
      <w:r>
        <w:rPr>
          <w:spacing w:val="-2"/>
          <w:sz w:val="18"/>
        </w:rPr>
        <w:t>m-amid-court-scrutiny/.</w:t>
      </w:r>
    </w:p>
    <w:p w:rsidR="00200FDA" w:rsidRDefault="00F76C4C">
      <w:pPr>
        <w:spacing w:line="218" w:lineRule="exact"/>
        <w:ind w:left="140"/>
        <w:rPr>
          <w:sz w:val="18"/>
        </w:rPr>
      </w:pPr>
      <w:r>
        <w:rPr>
          <w:position w:val="5"/>
          <w:sz w:val="12"/>
        </w:rPr>
        <w:t>65</w:t>
      </w:r>
      <w:r>
        <w:rPr>
          <w:spacing w:val="10"/>
          <w:position w:val="5"/>
          <w:sz w:val="12"/>
        </w:rPr>
        <w:t xml:space="preserve"> </w:t>
      </w:r>
      <w:r>
        <w:rPr>
          <w:sz w:val="18"/>
        </w:rPr>
        <w:t>Mattos,</w:t>
      </w:r>
      <w:r>
        <w:rPr>
          <w:spacing w:val="-2"/>
          <w:sz w:val="18"/>
        </w:rPr>
        <w:t xml:space="preserve"> </w:t>
      </w:r>
      <w:r>
        <w:rPr>
          <w:sz w:val="18"/>
        </w:rPr>
        <w:t>Lima,</w:t>
      </w:r>
      <w:r>
        <w:rPr>
          <w:spacing w:val="-1"/>
          <w:sz w:val="18"/>
        </w:rPr>
        <w:t xml:space="preserve"> </w:t>
      </w:r>
      <w:r>
        <w:rPr>
          <w:sz w:val="18"/>
        </w:rPr>
        <w:t>and</w:t>
      </w:r>
      <w:r>
        <w:rPr>
          <w:spacing w:val="-3"/>
          <w:sz w:val="18"/>
        </w:rPr>
        <w:t xml:space="preserve"> </w:t>
      </w:r>
      <w:r>
        <w:rPr>
          <w:sz w:val="18"/>
        </w:rPr>
        <w:t>Ciurczak,</w:t>
      </w:r>
      <w:r>
        <w:rPr>
          <w:spacing w:val="-2"/>
          <w:sz w:val="18"/>
        </w:rPr>
        <w:t xml:space="preserve"> </w:t>
      </w:r>
      <w:r>
        <w:rPr>
          <w:sz w:val="18"/>
        </w:rPr>
        <w:t>“Growing</w:t>
      </w:r>
      <w:r>
        <w:rPr>
          <w:spacing w:val="-2"/>
          <w:sz w:val="18"/>
        </w:rPr>
        <w:t xml:space="preserve"> </w:t>
      </w:r>
      <w:r>
        <w:rPr>
          <w:sz w:val="18"/>
        </w:rPr>
        <w:t>Wave</w:t>
      </w:r>
      <w:r>
        <w:rPr>
          <w:spacing w:val="-3"/>
          <w:sz w:val="18"/>
        </w:rPr>
        <w:t xml:space="preserve"> </w:t>
      </w:r>
      <w:r>
        <w:rPr>
          <w:sz w:val="18"/>
        </w:rPr>
        <w:t>of</w:t>
      </w:r>
      <w:r>
        <w:rPr>
          <w:spacing w:val="-1"/>
          <w:sz w:val="18"/>
        </w:rPr>
        <w:t xml:space="preserve"> </w:t>
      </w:r>
      <w:r>
        <w:rPr>
          <w:spacing w:val="-2"/>
          <w:sz w:val="18"/>
        </w:rPr>
        <w:t>Restrictions.”</w:t>
      </w:r>
    </w:p>
    <w:p w:rsidR="00200FDA" w:rsidRDefault="00200FDA">
      <w:pPr>
        <w:spacing w:line="218" w:lineRule="exact"/>
        <w:rPr>
          <w:sz w:val="18"/>
        </w:rPr>
        <w:sectPr w:rsidR="00200FDA">
          <w:pgSz w:w="12240" w:h="15840"/>
          <w:pgMar w:top="1360" w:right="1300" w:bottom="1240" w:left="1300" w:header="763" w:footer="1043" w:gutter="0"/>
          <w:cols w:space="720"/>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spacing w:before="8"/>
        <w:rPr>
          <w:sz w:val="18"/>
        </w:rPr>
      </w:pPr>
    </w:p>
    <w:p w:rsidR="00200FDA" w:rsidRDefault="00F76C4C">
      <w:pPr>
        <w:spacing w:before="107"/>
        <w:ind w:left="323"/>
        <w:rPr>
          <w:sz w:val="34"/>
        </w:rPr>
      </w:pPr>
      <w:bookmarkStart w:id="966" w:name="ISP.pdf"/>
      <w:bookmarkEnd w:id="966"/>
      <w:r>
        <w:rPr>
          <w:color w:val="5854A2"/>
          <w:w w:val="120"/>
          <w:sz w:val="34"/>
        </w:rPr>
        <w:t>COMMISSION</w:t>
      </w:r>
      <w:r>
        <w:rPr>
          <w:color w:val="5854A2"/>
          <w:spacing w:val="17"/>
          <w:w w:val="120"/>
          <w:sz w:val="34"/>
        </w:rPr>
        <w:t xml:space="preserve"> </w:t>
      </w:r>
      <w:r>
        <w:rPr>
          <w:color w:val="5854A2"/>
          <w:w w:val="120"/>
          <w:sz w:val="34"/>
        </w:rPr>
        <w:t>ON</w:t>
      </w:r>
      <w:r>
        <w:rPr>
          <w:color w:val="5854A2"/>
          <w:spacing w:val="18"/>
          <w:w w:val="120"/>
          <w:sz w:val="34"/>
        </w:rPr>
        <w:t xml:space="preserve"> </w:t>
      </w:r>
      <w:r>
        <w:rPr>
          <w:color w:val="5854A2"/>
          <w:w w:val="120"/>
          <w:sz w:val="34"/>
        </w:rPr>
        <w:t>LGBTQ</w:t>
      </w:r>
      <w:r>
        <w:rPr>
          <w:color w:val="5854A2"/>
          <w:spacing w:val="18"/>
          <w:w w:val="120"/>
          <w:sz w:val="34"/>
        </w:rPr>
        <w:t xml:space="preserve"> </w:t>
      </w:r>
      <w:r>
        <w:rPr>
          <w:color w:val="5854A2"/>
          <w:spacing w:val="-2"/>
          <w:w w:val="120"/>
          <w:sz w:val="34"/>
        </w:rPr>
        <w:t>YOUTH</w:t>
      </w:r>
    </w:p>
    <w:p w:rsidR="00200FDA" w:rsidRDefault="00F76C4C">
      <w:pPr>
        <w:spacing w:before="224" w:line="216" w:lineRule="auto"/>
        <w:ind w:left="323" w:right="3755"/>
        <w:rPr>
          <w:b/>
          <w:sz w:val="45"/>
        </w:rPr>
      </w:pPr>
      <w:r>
        <w:rPr>
          <w:b/>
          <w:color w:val="FFFFFF"/>
          <w:w w:val="125"/>
          <w:sz w:val="45"/>
        </w:rPr>
        <w:t>INCLUSIVE SERVICE PROVISION FOR FOREIGN- BORN LGBTQ YOUTH</w:t>
      </w: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spacing w:before="4"/>
        <w:rPr>
          <w:b/>
          <w:sz w:val="19"/>
        </w:rPr>
      </w:pPr>
    </w:p>
    <w:p w:rsidR="00200FDA" w:rsidRDefault="00200FDA">
      <w:pPr>
        <w:rPr>
          <w:sz w:val="19"/>
        </w:rPr>
        <w:sectPr w:rsidR="00200FDA">
          <w:headerReference w:type="default" r:id="rId717"/>
          <w:footerReference w:type="default" r:id="rId718"/>
          <w:pgSz w:w="12240" w:h="15840"/>
          <w:pgMar w:top="0" w:right="340" w:bottom="280" w:left="920" w:header="0" w:footer="0" w:gutter="0"/>
          <w:cols w:space="720"/>
        </w:sectPr>
      </w:pPr>
    </w:p>
    <w:p w:rsidR="00200FDA" w:rsidRDefault="00F76C4C">
      <w:pPr>
        <w:pStyle w:val="Heading6"/>
      </w:pPr>
      <w:r>
        <w:rPr>
          <w:spacing w:val="11"/>
          <w:w w:val="125"/>
        </w:rPr>
        <w:t>ABOUT</w:t>
      </w:r>
    </w:p>
    <w:p w:rsidR="00200FDA" w:rsidRDefault="00F76C4C">
      <w:pPr>
        <w:tabs>
          <w:tab w:val="left" w:pos="2092"/>
          <w:tab w:val="left" w:pos="3979"/>
        </w:tabs>
        <w:spacing w:before="62" w:line="278" w:lineRule="auto"/>
        <w:ind w:left="323" w:right="38"/>
        <w:jc w:val="both"/>
        <w:rPr>
          <w:rFonts w:ascii="Georgia"/>
          <w:sz w:val="24"/>
        </w:rPr>
      </w:pPr>
      <w:r>
        <w:pict>
          <v:group id="docshapegroup439" o:spid="_x0000_s1162" style="position:absolute;left:0;text-align:left;margin-left:51.6pt;margin-top:188.4pt;width:273.15pt;height:187.2pt;z-index:-21249536;mso-position-horizontal-relative:page" coordorigin="1032,3768" coordsize="5463,3744">
            <v:shape id="docshape440" o:spid="_x0000_s1165" type="#_x0000_t75" style="position:absolute;left:1031;top:3768;width:5463;height:3744">
              <v:imagedata r:id="rId719" o:title=""/>
            </v:shape>
            <v:shape id="docshape441" o:spid="_x0000_s1164" type="#_x0000_t202" style="position:absolute;left:1312;top:3976;width:5117;height:2415" filled="f" stroked="f">
              <v:textbox inset="0,0,0,0">
                <w:txbxContent>
                  <w:p w:rsidR="00200FDA" w:rsidRDefault="00F76C4C">
                    <w:pPr>
                      <w:spacing w:before="6"/>
                      <w:rPr>
                        <w:b/>
                        <w:i/>
                        <w:sz w:val="34"/>
                      </w:rPr>
                    </w:pPr>
                    <w:r>
                      <w:rPr>
                        <w:b/>
                        <w:i/>
                        <w:spacing w:val="13"/>
                        <w:w w:val="125"/>
                        <w:sz w:val="34"/>
                      </w:rPr>
                      <w:t>RECOMMENDATIONS</w:t>
                    </w:r>
                  </w:p>
                  <w:p w:rsidR="00200FDA" w:rsidRDefault="00F76C4C">
                    <w:pPr>
                      <w:spacing w:before="44" w:line="276" w:lineRule="auto"/>
                      <w:ind w:left="623"/>
                      <w:rPr>
                        <w:rFonts w:ascii="Georgia"/>
                        <w:sz w:val="18"/>
                      </w:rPr>
                    </w:pPr>
                    <w:r>
                      <w:rPr>
                        <w:rFonts w:ascii="Georgia"/>
                        <w:w w:val="105"/>
                        <w:sz w:val="18"/>
                      </w:rPr>
                      <w:t>Improve</w:t>
                    </w:r>
                    <w:r>
                      <w:rPr>
                        <w:rFonts w:ascii="Georgia"/>
                        <w:spacing w:val="-4"/>
                        <w:w w:val="105"/>
                        <w:sz w:val="18"/>
                      </w:rPr>
                      <w:t xml:space="preserve"> </w:t>
                    </w:r>
                    <w:r>
                      <w:rPr>
                        <w:rFonts w:ascii="Georgia"/>
                        <w:w w:val="105"/>
                        <w:sz w:val="18"/>
                      </w:rPr>
                      <w:t>the</w:t>
                    </w:r>
                    <w:r>
                      <w:rPr>
                        <w:rFonts w:ascii="Georgia"/>
                        <w:spacing w:val="-4"/>
                        <w:w w:val="105"/>
                        <w:sz w:val="18"/>
                      </w:rPr>
                      <w:t xml:space="preserve"> </w:t>
                    </w:r>
                    <w:r>
                      <w:rPr>
                        <w:rFonts w:ascii="Georgia"/>
                        <w:w w:val="105"/>
                        <w:sz w:val="18"/>
                      </w:rPr>
                      <w:t>availability</w:t>
                    </w:r>
                    <w:r>
                      <w:rPr>
                        <w:rFonts w:ascii="Georgia"/>
                        <w:spacing w:val="-4"/>
                        <w:w w:val="105"/>
                        <w:sz w:val="18"/>
                      </w:rPr>
                      <w:t xml:space="preserve"> </w:t>
                    </w:r>
                    <w:r>
                      <w:rPr>
                        <w:rFonts w:ascii="Georgia"/>
                        <w:w w:val="105"/>
                        <w:sz w:val="18"/>
                      </w:rPr>
                      <w:t>of</w:t>
                    </w:r>
                    <w:r>
                      <w:rPr>
                        <w:rFonts w:ascii="Georgia"/>
                        <w:spacing w:val="-4"/>
                        <w:w w:val="105"/>
                        <w:sz w:val="18"/>
                      </w:rPr>
                      <w:t xml:space="preserve"> </w:t>
                    </w:r>
                    <w:r>
                      <w:rPr>
                        <w:rFonts w:ascii="Georgia"/>
                        <w:w w:val="105"/>
                        <w:sz w:val="18"/>
                      </w:rPr>
                      <w:t>multilingual,</w:t>
                    </w:r>
                    <w:r>
                      <w:rPr>
                        <w:rFonts w:ascii="Georgia"/>
                        <w:spacing w:val="-4"/>
                        <w:w w:val="105"/>
                        <w:sz w:val="18"/>
                      </w:rPr>
                      <w:t xml:space="preserve"> </w:t>
                    </w:r>
                    <w:r>
                      <w:rPr>
                        <w:rFonts w:ascii="Georgia"/>
                        <w:w w:val="105"/>
                        <w:sz w:val="18"/>
                      </w:rPr>
                      <w:t>LGBTQ- affirming</w:t>
                    </w:r>
                    <w:r>
                      <w:rPr>
                        <w:rFonts w:ascii="Georgia"/>
                        <w:spacing w:val="-10"/>
                        <w:w w:val="105"/>
                        <w:sz w:val="18"/>
                      </w:rPr>
                      <w:t xml:space="preserve"> </w:t>
                    </w:r>
                    <w:r>
                      <w:rPr>
                        <w:rFonts w:ascii="Georgia"/>
                        <w:w w:val="105"/>
                        <w:sz w:val="18"/>
                      </w:rPr>
                      <w:t>services</w:t>
                    </w:r>
                    <w:r>
                      <w:rPr>
                        <w:rFonts w:ascii="Georgia"/>
                        <w:spacing w:val="-10"/>
                        <w:w w:val="105"/>
                        <w:sz w:val="18"/>
                      </w:rPr>
                      <w:t xml:space="preserve"> </w:t>
                    </w:r>
                    <w:r>
                      <w:rPr>
                        <w:rFonts w:ascii="Georgia"/>
                        <w:w w:val="105"/>
                        <w:sz w:val="18"/>
                      </w:rPr>
                      <w:t>for</w:t>
                    </w:r>
                    <w:r>
                      <w:rPr>
                        <w:rFonts w:ascii="Georgia"/>
                        <w:spacing w:val="-10"/>
                        <w:w w:val="105"/>
                        <w:sz w:val="18"/>
                      </w:rPr>
                      <w:t xml:space="preserve"> </w:t>
                    </w:r>
                    <w:r>
                      <w:rPr>
                        <w:rFonts w:ascii="Georgia"/>
                        <w:w w:val="105"/>
                        <w:sz w:val="18"/>
                      </w:rPr>
                      <w:t>foreign-born</w:t>
                    </w:r>
                    <w:r>
                      <w:rPr>
                        <w:rFonts w:ascii="Georgia"/>
                        <w:spacing w:val="-10"/>
                        <w:w w:val="105"/>
                        <w:sz w:val="18"/>
                      </w:rPr>
                      <w:t xml:space="preserve"> </w:t>
                    </w:r>
                    <w:r>
                      <w:rPr>
                        <w:rFonts w:ascii="Georgia"/>
                        <w:w w:val="105"/>
                        <w:sz w:val="18"/>
                      </w:rPr>
                      <w:t>residents,</w:t>
                    </w:r>
                    <w:r>
                      <w:rPr>
                        <w:rFonts w:ascii="Georgia"/>
                        <w:spacing w:val="-10"/>
                        <w:w w:val="105"/>
                        <w:sz w:val="18"/>
                      </w:rPr>
                      <w:t xml:space="preserve"> </w:t>
                    </w:r>
                    <w:r>
                      <w:rPr>
                        <w:rFonts w:ascii="Georgia"/>
                        <w:w w:val="105"/>
                        <w:sz w:val="18"/>
                      </w:rPr>
                      <w:t>and increase funding for existing programs.</w:t>
                    </w:r>
                  </w:p>
                  <w:p w:rsidR="00200FDA" w:rsidRDefault="00200FDA">
                    <w:pPr>
                      <w:rPr>
                        <w:rFonts w:ascii="Georgia"/>
                        <w:sz w:val="20"/>
                      </w:rPr>
                    </w:pPr>
                  </w:p>
                  <w:p w:rsidR="00200FDA" w:rsidRDefault="00F76C4C">
                    <w:pPr>
                      <w:ind w:left="623"/>
                      <w:rPr>
                        <w:rFonts w:ascii="Georgia"/>
                        <w:sz w:val="18"/>
                      </w:rPr>
                    </w:pPr>
                    <w:r>
                      <w:rPr>
                        <w:rFonts w:ascii="Georgia"/>
                        <w:sz w:val="18"/>
                      </w:rPr>
                      <w:t>Establish</w:t>
                    </w:r>
                    <w:r>
                      <w:rPr>
                        <w:rFonts w:ascii="Georgia"/>
                        <w:spacing w:val="11"/>
                        <w:sz w:val="18"/>
                      </w:rPr>
                      <w:t xml:space="preserve"> </w:t>
                    </w:r>
                    <w:r>
                      <w:rPr>
                        <w:rFonts w:ascii="Georgia"/>
                        <w:sz w:val="18"/>
                      </w:rPr>
                      <w:t>an</w:t>
                    </w:r>
                    <w:r>
                      <w:rPr>
                        <w:rFonts w:ascii="Georgia"/>
                        <w:spacing w:val="11"/>
                        <w:sz w:val="18"/>
                      </w:rPr>
                      <w:t xml:space="preserve"> </w:t>
                    </w:r>
                    <w:r>
                      <w:rPr>
                        <w:rFonts w:ascii="Georgia"/>
                        <w:sz w:val="18"/>
                      </w:rPr>
                      <w:t>LGBTQ</w:t>
                    </w:r>
                    <w:r>
                      <w:rPr>
                        <w:rFonts w:ascii="Georgia"/>
                        <w:spacing w:val="12"/>
                        <w:sz w:val="18"/>
                      </w:rPr>
                      <w:t xml:space="preserve"> </w:t>
                    </w:r>
                    <w:r>
                      <w:rPr>
                        <w:rFonts w:ascii="Georgia"/>
                        <w:sz w:val="18"/>
                      </w:rPr>
                      <w:t>Immigrant</w:t>
                    </w:r>
                    <w:r>
                      <w:rPr>
                        <w:rFonts w:ascii="Georgia"/>
                        <w:spacing w:val="11"/>
                        <w:sz w:val="18"/>
                      </w:rPr>
                      <w:t xml:space="preserve"> </w:t>
                    </w:r>
                    <w:r>
                      <w:rPr>
                        <w:rFonts w:ascii="Georgia"/>
                        <w:sz w:val="18"/>
                      </w:rPr>
                      <w:t>&amp;</w:t>
                    </w:r>
                    <w:r>
                      <w:rPr>
                        <w:rFonts w:ascii="Georgia"/>
                        <w:spacing w:val="12"/>
                        <w:sz w:val="18"/>
                      </w:rPr>
                      <w:t xml:space="preserve"> </w:t>
                    </w:r>
                    <w:r>
                      <w:rPr>
                        <w:rFonts w:ascii="Georgia"/>
                        <w:sz w:val="18"/>
                      </w:rPr>
                      <w:t>Refugee</w:t>
                    </w:r>
                    <w:r>
                      <w:rPr>
                        <w:rFonts w:ascii="Georgia"/>
                        <w:spacing w:val="11"/>
                        <w:sz w:val="18"/>
                      </w:rPr>
                      <w:t xml:space="preserve"> </w:t>
                    </w:r>
                    <w:r>
                      <w:rPr>
                        <w:rFonts w:ascii="Georgia"/>
                        <w:sz w:val="18"/>
                      </w:rPr>
                      <w:t>Task</w:t>
                    </w:r>
                    <w:r>
                      <w:rPr>
                        <w:rFonts w:ascii="Georgia"/>
                        <w:spacing w:val="12"/>
                        <w:sz w:val="18"/>
                      </w:rPr>
                      <w:t xml:space="preserve"> </w:t>
                    </w:r>
                    <w:r>
                      <w:rPr>
                        <w:rFonts w:ascii="Georgia"/>
                        <w:spacing w:val="-2"/>
                        <w:sz w:val="18"/>
                      </w:rPr>
                      <w:t>Force.</w:t>
                    </w:r>
                  </w:p>
                  <w:p w:rsidR="00200FDA" w:rsidRDefault="00200FDA">
                    <w:pPr>
                      <w:rPr>
                        <w:rFonts w:ascii="Georgia"/>
                        <w:sz w:val="20"/>
                      </w:rPr>
                    </w:pPr>
                  </w:p>
                  <w:p w:rsidR="00200FDA" w:rsidRDefault="00F76C4C">
                    <w:pPr>
                      <w:spacing w:before="136" w:line="276" w:lineRule="auto"/>
                      <w:ind w:left="594" w:right="19"/>
                      <w:rPr>
                        <w:rFonts w:ascii="Georgia"/>
                        <w:sz w:val="18"/>
                      </w:rPr>
                    </w:pPr>
                    <w:r>
                      <w:rPr>
                        <w:rFonts w:ascii="Georgia"/>
                        <w:w w:val="105"/>
                        <w:sz w:val="18"/>
                      </w:rPr>
                      <w:t>Address</w:t>
                    </w:r>
                    <w:r>
                      <w:rPr>
                        <w:rFonts w:ascii="Georgia"/>
                        <w:spacing w:val="-12"/>
                        <w:w w:val="105"/>
                        <w:sz w:val="18"/>
                      </w:rPr>
                      <w:t xml:space="preserve"> </w:t>
                    </w:r>
                    <w:r>
                      <w:rPr>
                        <w:rFonts w:ascii="Georgia"/>
                        <w:w w:val="105"/>
                        <w:sz w:val="18"/>
                      </w:rPr>
                      <w:t>the</w:t>
                    </w:r>
                    <w:r>
                      <w:rPr>
                        <w:rFonts w:ascii="Georgia"/>
                        <w:spacing w:val="-11"/>
                        <w:w w:val="105"/>
                        <w:sz w:val="18"/>
                      </w:rPr>
                      <w:t xml:space="preserve"> </w:t>
                    </w:r>
                    <w:r>
                      <w:rPr>
                        <w:rFonts w:ascii="Georgia"/>
                        <w:w w:val="105"/>
                        <w:sz w:val="18"/>
                      </w:rPr>
                      <w:t>concerning</w:t>
                    </w:r>
                    <w:r>
                      <w:rPr>
                        <w:rFonts w:ascii="Georgia"/>
                        <w:spacing w:val="-12"/>
                        <w:w w:val="105"/>
                        <w:sz w:val="18"/>
                      </w:rPr>
                      <w:t xml:space="preserve"> </w:t>
                    </w:r>
                    <w:r>
                      <w:rPr>
                        <w:rFonts w:ascii="Georgia"/>
                        <w:w w:val="105"/>
                        <w:sz w:val="18"/>
                      </w:rPr>
                      <w:t>lack</w:t>
                    </w:r>
                    <w:r>
                      <w:rPr>
                        <w:rFonts w:ascii="Georgia"/>
                        <w:spacing w:val="-11"/>
                        <w:w w:val="105"/>
                        <w:sz w:val="18"/>
                      </w:rPr>
                      <w:t xml:space="preserve"> </w:t>
                    </w:r>
                    <w:r>
                      <w:rPr>
                        <w:rFonts w:ascii="Georgia"/>
                        <w:w w:val="105"/>
                        <w:sz w:val="18"/>
                      </w:rPr>
                      <w:t>of</w:t>
                    </w:r>
                    <w:r>
                      <w:rPr>
                        <w:rFonts w:ascii="Georgia"/>
                        <w:spacing w:val="-11"/>
                        <w:w w:val="105"/>
                        <w:sz w:val="18"/>
                      </w:rPr>
                      <w:t xml:space="preserve"> </w:t>
                    </w:r>
                    <w:r>
                      <w:rPr>
                        <w:rFonts w:ascii="Georgia"/>
                        <w:w w:val="105"/>
                        <w:sz w:val="18"/>
                      </w:rPr>
                      <w:t>SOGIE</w:t>
                    </w:r>
                    <w:r>
                      <w:rPr>
                        <w:rFonts w:ascii="Georgia"/>
                        <w:spacing w:val="-12"/>
                        <w:w w:val="105"/>
                        <w:sz w:val="18"/>
                      </w:rPr>
                      <w:t xml:space="preserve"> </w:t>
                    </w:r>
                    <w:r>
                      <w:rPr>
                        <w:rFonts w:ascii="Georgia"/>
                        <w:w w:val="105"/>
                        <w:sz w:val="18"/>
                      </w:rPr>
                      <w:t>data</w:t>
                    </w:r>
                    <w:r>
                      <w:rPr>
                        <w:rFonts w:ascii="Georgia"/>
                        <w:spacing w:val="-11"/>
                        <w:w w:val="105"/>
                        <w:sz w:val="18"/>
                      </w:rPr>
                      <w:t xml:space="preserve"> </w:t>
                    </w:r>
                    <w:r>
                      <w:rPr>
                        <w:rFonts w:ascii="Georgia"/>
                        <w:w w:val="105"/>
                        <w:sz w:val="18"/>
                      </w:rPr>
                      <w:t>collection at the state level.</w:t>
                    </w:r>
                  </w:p>
                </w:txbxContent>
              </v:textbox>
            </v:shape>
            <v:shape id="docshape442" o:spid="_x0000_s1163" type="#_x0000_t202" style="position:absolute;left:1907;top:6813;width:3565;height:212" filled="f" stroked="f">
              <v:textbox inset="0,0,0,0">
                <w:txbxContent>
                  <w:p w:rsidR="00200FDA" w:rsidRDefault="00F76C4C">
                    <w:pPr>
                      <w:spacing w:before="3"/>
                      <w:rPr>
                        <w:rFonts w:ascii="Georgia"/>
                        <w:sz w:val="18"/>
                      </w:rPr>
                    </w:pPr>
                    <w:r>
                      <w:rPr>
                        <w:rFonts w:ascii="Georgia"/>
                        <w:w w:val="105"/>
                        <w:sz w:val="18"/>
                      </w:rPr>
                      <w:t>Protect</w:t>
                    </w:r>
                    <w:r>
                      <w:rPr>
                        <w:rFonts w:ascii="Georgia"/>
                        <w:spacing w:val="-11"/>
                        <w:w w:val="105"/>
                        <w:sz w:val="18"/>
                      </w:rPr>
                      <w:t xml:space="preserve"> </w:t>
                    </w:r>
                    <w:r>
                      <w:rPr>
                        <w:rFonts w:ascii="Georgia"/>
                        <w:w w:val="105"/>
                        <w:sz w:val="18"/>
                      </w:rPr>
                      <w:t>and</w:t>
                    </w:r>
                    <w:r>
                      <w:rPr>
                        <w:rFonts w:ascii="Georgia"/>
                        <w:spacing w:val="-10"/>
                        <w:w w:val="105"/>
                        <w:sz w:val="18"/>
                      </w:rPr>
                      <w:t xml:space="preserve"> </w:t>
                    </w:r>
                    <w:r>
                      <w:rPr>
                        <w:rFonts w:ascii="Georgia"/>
                        <w:w w:val="105"/>
                        <w:sz w:val="18"/>
                      </w:rPr>
                      <w:t>support</w:t>
                    </w:r>
                    <w:r>
                      <w:rPr>
                        <w:rFonts w:ascii="Georgia"/>
                        <w:spacing w:val="-10"/>
                        <w:w w:val="105"/>
                        <w:sz w:val="18"/>
                      </w:rPr>
                      <w:t xml:space="preserve"> </w:t>
                    </w:r>
                    <w:r>
                      <w:rPr>
                        <w:rFonts w:ascii="Georgia"/>
                        <w:w w:val="105"/>
                        <w:sz w:val="18"/>
                      </w:rPr>
                      <w:t>undocumented</w:t>
                    </w:r>
                    <w:r>
                      <w:rPr>
                        <w:rFonts w:ascii="Georgia"/>
                        <w:spacing w:val="-10"/>
                        <w:w w:val="105"/>
                        <w:sz w:val="18"/>
                      </w:rPr>
                      <w:t xml:space="preserve"> </w:t>
                    </w:r>
                    <w:r>
                      <w:rPr>
                        <w:rFonts w:ascii="Georgia"/>
                        <w:spacing w:val="-2"/>
                        <w:w w:val="105"/>
                        <w:sz w:val="18"/>
                      </w:rPr>
                      <w:t>youth.</w:t>
                    </w:r>
                  </w:p>
                </w:txbxContent>
              </v:textbox>
            </v:shape>
            <w10:wrap anchorx="page"/>
          </v:group>
        </w:pict>
      </w:r>
      <w:r>
        <w:rPr>
          <w:rFonts w:ascii="Georgia"/>
          <w:w w:val="105"/>
          <w:sz w:val="24"/>
        </w:rPr>
        <w:t>For LGBTQ foreign-born youth who face discrimination based on their sexual orientation and gender identity as well as their immigration status, the state of Massachusetts must work to remove these barriers</w:t>
      </w:r>
      <w:r>
        <w:rPr>
          <w:rFonts w:ascii="Georgia"/>
          <w:spacing w:val="-16"/>
          <w:w w:val="105"/>
          <w:sz w:val="24"/>
        </w:rPr>
        <w:t xml:space="preserve"> </w:t>
      </w:r>
      <w:r>
        <w:rPr>
          <w:rFonts w:ascii="Georgia"/>
          <w:w w:val="105"/>
          <w:sz w:val="24"/>
        </w:rPr>
        <w:t>to</w:t>
      </w:r>
      <w:r>
        <w:rPr>
          <w:rFonts w:ascii="Georgia"/>
          <w:spacing w:val="-15"/>
          <w:w w:val="105"/>
          <w:sz w:val="24"/>
        </w:rPr>
        <w:t xml:space="preserve"> </w:t>
      </w:r>
      <w:r>
        <w:rPr>
          <w:rFonts w:ascii="Georgia"/>
          <w:w w:val="105"/>
          <w:sz w:val="24"/>
        </w:rPr>
        <w:t>integ</w:t>
      </w:r>
      <w:r>
        <w:rPr>
          <w:rFonts w:ascii="Georgia"/>
          <w:w w:val="105"/>
          <w:sz w:val="24"/>
        </w:rPr>
        <w:t>ration.</w:t>
      </w:r>
      <w:r>
        <w:rPr>
          <w:rFonts w:ascii="Georgia"/>
          <w:spacing w:val="-15"/>
          <w:w w:val="105"/>
          <w:sz w:val="24"/>
        </w:rPr>
        <w:t xml:space="preserve"> </w:t>
      </w:r>
      <w:r>
        <w:rPr>
          <w:rFonts w:ascii="Georgia"/>
          <w:w w:val="105"/>
          <w:sz w:val="24"/>
        </w:rPr>
        <w:t>To</w:t>
      </w:r>
      <w:r>
        <w:rPr>
          <w:rFonts w:ascii="Georgia"/>
          <w:spacing w:val="-15"/>
          <w:w w:val="105"/>
          <w:sz w:val="24"/>
        </w:rPr>
        <w:t xml:space="preserve"> </w:t>
      </w:r>
      <w:r>
        <w:rPr>
          <w:rFonts w:ascii="Georgia"/>
          <w:w w:val="105"/>
          <w:sz w:val="24"/>
        </w:rPr>
        <w:t>ensure</w:t>
      </w:r>
      <w:r>
        <w:rPr>
          <w:rFonts w:ascii="Georgia"/>
          <w:spacing w:val="-15"/>
          <w:w w:val="105"/>
          <w:sz w:val="24"/>
        </w:rPr>
        <w:t xml:space="preserve"> </w:t>
      </w:r>
      <w:r>
        <w:rPr>
          <w:rFonts w:ascii="Georgia"/>
          <w:w w:val="105"/>
          <w:sz w:val="24"/>
        </w:rPr>
        <w:t>that</w:t>
      </w:r>
      <w:r>
        <w:rPr>
          <w:rFonts w:ascii="Georgia"/>
          <w:spacing w:val="-16"/>
          <w:w w:val="105"/>
          <w:sz w:val="24"/>
        </w:rPr>
        <w:t xml:space="preserve"> </w:t>
      </w:r>
      <w:r>
        <w:rPr>
          <w:rFonts w:ascii="Georgia"/>
          <w:w w:val="105"/>
          <w:sz w:val="24"/>
        </w:rPr>
        <w:t xml:space="preserve">LGBTQ youth thrive, it is critical to invest in </w:t>
      </w:r>
      <w:r>
        <w:rPr>
          <w:rFonts w:ascii="Georgia"/>
          <w:spacing w:val="-2"/>
          <w:w w:val="105"/>
          <w:sz w:val="24"/>
        </w:rPr>
        <w:t>culturally</w:t>
      </w:r>
      <w:r>
        <w:rPr>
          <w:rFonts w:ascii="Georgia"/>
          <w:sz w:val="24"/>
        </w:rPr>
        <w:tab/>
      </w:r>
      <w:r>
        <w:rPr>
          <w:rFonts w:ascii="Georgia"/>
          <w:spacing w:val="-2"/>
          <w:w w:val="105"/>
          <w:sz w:val="24"/>
        </w:rPr>
        <w:t>competent</w:t>
      </w:r>
      <w:r>
        <w:rPr>
          <w:rFonts w:ascii="Georgia"/>
          <w:sz w:val="24"/>
        </w:rPr>
        <w:tab/>
      </w:r>
      <w:r>
        <w:rPr>
          <w:rFonts w:ascii="Georgia"/>
          <w:spacing w:val="-2"/>
          <w:w w:val="105"/>
          <w:sz w:val="24"/>
        </w:rPr>
        <w:t xml:space="preserve">immigration </w:t>
      </w:r>
      <w:r>
        <w:rPr>
          <w:rFonts w:ascii="Georgia"/>
          <w:w w:val="105"/>
          <w:sz w:val="24"/>
        </w:rPr>
        <w:t>integration resources that are responsive to the needs of diverse communities.</w:t>
      </w:r>
    </w:p>
    <w:p w:rsidR="00200FDA" w:rsidRDefault="00F76C4C">
      <w:pPr>
        <w:pStyle w:val="Heading2"/>
        <w:spacing w:before="764"/>
        <w:ind w:left="1382"/>
      </w:pPr>
      <w:r>
        <w:rPr>
          <w:b w:val="0"/>
        </w:rPr>
        <w:br w:type="column"/>
      </w:r>
      <w:r>
        <w:rPr>
          <w:emboss/>
          <w:color w:val="001389"/>
        </w:rPr>
        <w:t>1</w:t>
      </w:r>
      <w:r>
        <w:rPr>
          <w:color w:val="001389"/>
          <w:spacing w:val="68"/>
        </w:rPr>
        <w:t xml:space="preserve"> </w:t>
      </w:r>
      <w:r>
        <w:rPr>
          <w:emboss/>
          <w:color w:val="001389"/>
          <w:spacing w:val="19"/>
          <w:w w:val="110"/>
        </w:rPr>
        <w:t>IN</w:t>
      </w:r>
      <w:r>
        <w:rPr>
          <w:color w:val="001389"/>
          <w:spacing w:val="51"/>
          <w:w w:val="110"/>
        </w:rPr>
        <w:t xml:space="preserve"> </w:t>
      </w:r>
      <w:r>
        <w:rPr>
          <w:emboss/>
          <w:color w:val="001389"/>
          <w:spacing w:val="-12"/>
          <w:w w:val="110"/>
        </w:rPr>
        <w:t>6</w:t>
      </w:r>
    </w:p>
    <w:p w:rsidR="00200FDA" w:rsidRDefault="00F76C4C">
      <w:pPr>
        <w:pStyle w:val="BodyText"/>
        <w:spacing w:before="21" w:line="266" w:lineRule="auto"/>
        <w:ind w:left="1832" w:right="1267" w:hanging="886"/>
        <w:rPr>
          <w:rFonts w:ascii="Georgia"/>
        </w:rPr>
      </w:pPr>
      <w:r>
        <w:rPr>
          <w:rFonts w:ascii="Georgia"/>
        </w:rPr>
        <w:t xml:space="preserve">of Massachusetts residents are </w:t>
      </w:r>
      <w:r>
        <w:rPr>
          <w:rFonts w:ascii="Georgia"/>
          <w:spacing w:val="-2"/>
          <w:w w:val="105"/>
        </w:rPr>
        <w:t>foreign-born</w:t>
      </w:r>
    </w:p>
    <w:p w:rsidR="00200FDA" w:rsidRDefault="00200FDA">
      <w:pPr>
        <w:pStyle w:val="BodyText"/>
        <w:rPr>
          <w:rFonts w:ascii="Georgia"/>
          <w:sz w:val="24"/>
        </w:rPr>
      </w:pPr>
    </w:p>
    <w:p w:rsidR="00200FDA" w:rsidRDefault="00200FDA">
      <w:pPr>
        <w:pStyle w:val="BodyText"/>
        <w:spacing w:before="3"/>
        <w:rPr>
          <w:rFonts w:ascii="Georgia"/>
          <w:sz w:val="27"/>
        </w:rPr>
      </w:pPr>
    </w:p>
    <w:p w:rsidR="00200FDA" w:rsidRDefault="00F76C4C">
      <w:pPr>
        <w:pStyle w:val="Heading2"/>
        <w:spacing w:line="932" w:lineRule="exact"/>
        <w:ind w:left="1620"/>
      </w:pPr>
      <w:r>
        <w:rPr>
          <w:emboss/>
          <w:color w:val="001389"/>
          <w:spacing w:val="20"/>
          <w:w w:val="120"/>
        </w:rPr>
        <w:t>30%</w:t>
      </w:r>
    </w:p>
    <w:p w:rsidR="00200FDA" w:rsidRDefault="00F76C4C">
      <w:pPr>
        <w:pStyle w:val="BodyText"/>
        <w:spacing w:line="266" w:lineRule="auto"/>
        <w:ind w:left="898" w:right="1342"/>
        <w:jc w:val="center"/>
        <w:rPr>
          <w:rFonts w:ascii="Georgia"/>
        </w:rPr>
      </w:pPr>
      <w:r>
        <w:rPr>
          <w:rFonts w:ascii="Georgia"/>
        </w:rPr>
        <w:t>of first-generation LGBTQ youth worry about deportation "sometimes" or "a lot"</w:t>
      </w:r>
    </w:p>
    <w:p w:rsidR="00200FDA" w:rsidRDefault="00F76C4C">
      <w:pPr>
        <w:pStyle w:val="BodyText"/>
        <w:spacing w:before="2"/>
        <w:rPr>
          <w:rFonts w:ascii="Georgia"/>
          <w:sz w:val="12"/>
        </w:rPr>
      </w:pPr>
      <w:r>
        <w:pict>
          <v:shape id="docshape443" o:spid="_x0000_s1161" style="position:absolute;margin-left:342.8pt;margin-top:8.1pt;width:218.3pt;height:.1pt;z-index:-15641088;mso-wrap-distance-left:0;mso-wrap-distance-right:0;mso-position-horizontal-relative:page" coordorigin="6856,162" coordsize="4366,0" path="m6856,162r4365,e" filled="f" strokecolor="#001389" strokeweight="2.25pt">
            <v:stroke dashstyle="3 1"/>
            <v:path arrowok="t"/>
            <w10:wrap type="topAndBottom" anchorx="page"/>
          </v:shape>
        </w:pict>
      </w:r>
    </w:p>
    <w:p w:rsidR="00200FDA" w:rsidRDefault="00F76C4C">
      <w:pPr>
        <w:spacing w:before="188"/>
        <w:ind w:left="1212"/>
        <w:rPr>
          <w:b/>
          <w:sz w:val="71"/>
        </w:rPr>
      </w:pPr>
      <w:r>
        <w:rPr>
          <w:b/>
          <w:emboss/>
          <w:color w:val="001389"/>
          <w:sz w:val="71"/>
        </w:rPr>
        <w:t>1</w:t>
      </w:r>
      <w:r>
        <w:rPr>
          <w:b/>
          <w:color w:val="001389"/>
          <w:spacing w:val="1"/>
          <w:w w:val="150"/>
          <w:sz w:val="71"/>
        </w:rPr>
        <w:t xml:space="preserve"> </w:t>
      </w:r>
      <w:r>
        <w:rPr>
          <w:b/>
          <w:emboss/>
          <w:color w:val="001389"/>
          <w:spacing w:val="17"/>
          <w:w w:val="105"/>
          <w:sz w:val="71"/>
        </w:rPr>
        <w:t>IN</w:t>
      </w:r>
      <w:r>
        <w:rPr>
          <w:b/>
          <w:color w:val="001389"/>
          <w:spacing w:val="74"/>
          <w:w w:val="105"/>
          <w:sz w:val="71"/>
        </w:rPr>
        <w:t xml:space="preserve"> </w:t>
      </w:r>
      <w:r>
        <w:rPr>
          <w:b/>
          <w:emboss/>
          <w:color w:val="001389"/>
          <w:spacing w:val="12"/>
          <w:w w:val="105"/>
          <w:sz w:val="71"/>
        </w:rPr>
        <w:t>10</w:t>
      </w:r>
    </w:p>
    <w:p w:rsidR="00200FDA" w:rsidRDefault="00F76C4C">
      <w:pPr>
        <w:pStyle w:val="BodyText"/>
        <w:spacing w:before="16" w:line="266" w:lineRule="auto"/>
        <w:ind w:left="355" w:right="809"/>
        <w:jc w:val="center"/>
        <w:rPr>
          <w:rFonts w:ascii="Georgia"/>
        </w:rPr>
      </w:pPr>
      <w:r>
        <w:rPr>
          <w:rFonts w:ascii="Georgia"/>
        </w:rPr>
        <w:t xml:space="preserve">of first-generation LGBTQ youth reported </w:t>
      </w:r>
      <w:r>
        <w:rPr>
          <w:rFonts w:ascii="Georgia"/>
          <w:w w:val="105"/>
        </w:rPr>
        <w:t>experiencing discrimination based on actual or perceived immigration status</w:t>
      </w:r>
    </w:p>
    <w:p w:rsidR="00200FDA" w:rsidRDefault="00200FDA">
      <w:pPr>
        <w:spacing w:line="266" w:lineRule="auto"/>
        <w:jc w:val="center"/>
        <w:rPr>
          <w:rFonts w:ascii="Georgia"/>
        </w:rPr>
        <w:sectPr w:rsidR="00200FDA">
          <w:type w:val="continuous"/>
          <w:pgSz w:w="12240" w:h="15840"/>
          <w:pgMar w:top="720" w:right="340" w:bottom="280" w:left="920" w:header="0" w:footer="0" w:gutter="0"/>
          <w:cols w:num="2" w:space="720" w:equalWidth="0">
            <w:col w:w="5414" w:space="302"/>
            <w:col w:w="5264"/>
          </w:cols>
        </w:sectPr>
      </w:pPr>
    </w:p>
    <w:p w:rsidR="00200FDA" w:rsidRDefault="00F76C4C">
      <w:pPr>
        <w:pStyle w:val="BodyText"/>
        <w:rPr>
          <w:rFonts w:ascii="Georgia"/>
          <w:sz w:val="20"/>
        </w:rPr>
      </w:pPr>
      <w:r>
        <w:pict>
          <v:group id="docshapegroup444" o:spid="_x0000_s1137" style="position:absolute;margin-left:0;margin-top:0;width:609.9pt;height:432.55pt;z-index:-21250048;mso-position-horizontal-relative:page;mso-position-vertical-relative:page" coordsize="12198,8651">
            <v:shape id="docshape445" o:spid="_x0000_s1160" type="#_x0000_t75" style="position:absolute;width:12198;height:4912">
              <v:imagedata r:id="rId720" o:title=""/>
            </v:shape>
            <v:shape id="docshape446" o:spid="_x0000_s1159" type="#_x0000_t75" style="position:absolute;left:8262;top:1158;width:2333;height:2332">
              <v:imagedata r:id="rId143" o:title=""/>
            </v:shape>
            <v:shape id="docshape447" o:spid="_x0000_s1158" style="position:absolute;left:8241;top:1136;width:2375;height:2375" coordorigin="8241,1136" coordsize="2375,2375" o:spt="100" adj="0,,0" path="m9429,3511r-75,-2l9280,3502r-73,-11l9136,3475r-69,-20l9000,3431r-66,-27l8871,3372r-62,-35l8751,3298r-57,-41l8640,3211r-51,-48l8541,3112r-45,-54l8454,3002r-39,-59l8380,2882r-31,-64l8321,2752r-24,-67l8277,2616r-15,-71l8250,2473r-7,-74l8241,2324r2,-75l8250,2175r12,-72l8277,2032r20,-69l8321,1895r28,-65l8380,1766r35,-61l8454,1646r42,-56l8541,1536r48,-51l8640,1437r54,-46l8751,1350r58,-39l8871,1276r63,-32l9000,1217r67,-24l9136,1173r71,-16l9280,1146r74,-7l9429,1136r75,3l9577,1146r73,11l9721,1173r24,7l9429,1180r-76,2l9280,1189r-73,12l9136,1218r-69,20l9000,1263r-65,29l8872,1324r-61,37l8753,1401r-55,43l8645,1491r-50,50l8549,1593r-44,56l8465,1707r-36,60l8396,1830r-28,66l8343,1963r-21,69l8306,2103r-12,72l8287,2249r-3,75l8287,2399r7,74l8306,2545r16,71l8343,2685r25,67l8396,2818r33,63l8465,2941r40,58l8549,3055r46,52l8645,3157r53,47l8753,3247r58,40l8872,3323r63,33l9000,3385r67,25l9136,3430r71,17l9280,3459r73,7l9429,3468r316,l9721,3475r-71,16l9577,3502r-73,7l9429,3511xm9745,3468r-316,l9504,3466r73,-7l9650,3447r71,-17l9790,3410r67,-25l9922,3356r63,-33l10046,3287r58,-40l10159,3204r53,-47l10262,3107r46,-52l10352,2999r40,-58l10428,2881r33,-63l10490,2752r24,-67l10535,2616r16,-71l10563,2473r7,-74l10573,2324r-3,-75l10563,2175r-12,-72l10535,2032r-21,-69l10490,1896r-29,-66l10428,1767r-36,-60l10352,1649r-44,-56l10262,1541r-50,-50l10159,1444r-55,-43l10046,1361r-61,-37l9922,1292r-65,-29l9790,1238r-69,-20l9650,1201r-73,-12l9504,1182r-75,-2l9745,1180r45,13l9857,1217r66,27l9986,1276r62,35l10107,1350r56,41l10217,1437r51,48l10316,1536r45,54l10403,1646r39,59l10477,1766r31,64l10536,1896r24,67l10580,2032r15,71l10607,2175r7,74l10616,2324r-2,75l10607,2473r-12,72l10580,2616r-20,69l10536,2753r-28,65l10477,2882r-35,61l10403,3002r-42,56l10316,3112r-48,51l10217,3211r-54,46l10107,3298r-59,39l9986,3372r-63,32l9857,3431r-67,24l9745,3468xe" stroked="f">
              <v:stroke joinstyle="round"/>
              <v:formulas/>
              <v:path arrowok="t" o:connecttype="segments"/>
            </v:shape>
            <v:shape id="docshape448" o:spid="_x0000_s1157" type="#_x0000_t75" style="position:absolute;left:11343;top:4744;width:120;height:146">
              <v:imagedata r:id="rId721" o:title=""/>
            </v:shape>
            <v:shape id="docshape449" o:spid="_x0000_s1156" style="position:absolute;left:10657;top:4734;width:120;height:129" coordorigin="10658,4734" coordsize="120,129" path="m10714,4863r-23,-7l10673,4841r-12,-21l10658,4794r6,-24l10678,4750r19,-12l10721,4734r23,7l10762,4756r12,22l10777,4803r-6,25l10757,4848r-20,12l10714,4863xe" fillcolor="#242f33" stroked="f">
              <v:path arrowok="t"/>
            </v:shape>
            <v:shape id="docshape450" o:spid="_x0000_s1155" style="position:absolute;left:10727;top:4755;width:50;height:107" coordorigin="10728,4755" coordsize="50,107" path="m10728,4861r29,-55l10753,4789r-7,-13l10741,4769r19,-14l10762,4756r12,22l10777,4803r-6,25l10757,4848r-20,12l10728,4861xe" fillcolor="#9a2f59" stroked="f">
              <v:path arrowok="t"/>
            </v:shape>
            <v:shape id="docshape451" o:spid="_x0000_s1154" type="#_x0000_t75" style="position:absolute;left:11121;top:4821;width:163;height:179">
              <v:imagedata r:id="rId722" o:title=""/>
            </v:shape>
            <v:shape id="docshape452" o:spid="_x0000_s1153" style="position:absolute;left:10490;top:4760;width:147;height:154" coordorigin="10490,4760" coordsize="147,154" path="m10560,4914r-28,-8l10509,4887r-14,-25l10490,4831r8,-29l10515,4779r24,-15l10568,4760r28,9l10619,4787r14,25l10637,4843r-7,29l10613,4895r-24,15l10560,4914xe" fillcolor="#242f33" stroked="f">
              <v:path arrowok="t"/>
            </v:shape>
            <v:shape id="docshape453" o:spid="_x0000_s1152" style="position:absolute;left:10571;top:4764;width:65;height:149" coordorigin="10572,4764" coordsize="65,149" path="m10572,4912r15,-8l10605,4885r11,-31l10614,4828r-8,-26l10591,4781r-19,-13l10581,4764r15,5l10619,4787r13,22l10636,4847r-3,12l10623,4881r-10,14l10600,4903r-27,9l10572,4912xe" fillcolor="#9a2f59" stroked="f">
              <v:path arrowok="t"/>
            </v:shape>
            <v:shape id="docshape454" o:spid="_x0000_s1151" style="position:absolute;left:10428;top:3350;width:1031;height:1536" coordorigin="10429,3350" coordsize="1031,1536" path="m11200,4886r-61,-5l11057,4871r-95,-14l10860,4840r-103,-19l10662,4801r-82,-21l10519,4761r-48,-44l10449,4608r-8,-77l10435,4442r-4,-97l10429,4243r,-106l10430,4031r1,-103l10434,3831r3,-89l10441,3664r4,-64l10454,3526r79,-106l10591,3376r96,-26l10754,3350r79,4l10922,3362r92,11l11108,3388r90,18l11280,3428r72,25l11407,3481r50,65l11457,3597r2,336l11459,4033r,101l11459,4231r,91l11458,4403r-1,67l11453,4576r-7,109l11413,4792r-63,44l11281,4868r-47,16l11200,4886xe" fillcolor="#62abab" stroked="f">
              <v:path arrowok="t"/>
            </v:shape>
            <v:shape id="docshape455" o:spid="_x0000_s1150" style="position:absolute;left:10542;top:3412;width:839;height:1134" coordorigin="10543,3413" coordsize="839,1134" path="m10543,3413r17,2l10604,3420r31,4l10679,3428r44,4l10766,3437r44,4l10862,3446r71,5l11015,3459r86,12l11186,3488r75,25l11321,3547r47,83l11375,3695r4,86l11381,3882r1,110l11380,4105r-2,112l11375,4320r-3,91l11370,4482r-3,47l11367,4546e" filled="f" strokecolor="#242f33" strokeweight=".60975mm">
              <v:path arrowok="t"/>
            </v:shape>
            <v:shape id="docshape456" o:spid="_x0000_s1149" style="position:absolute;left:11231;top:3561;width:212;height:1257" coordorigin="11232,3562" coordsize="212,1257" o:spt="100" adj="0,,0" path="m11244,3783r2,-5l11243,3794r,5l11242,3809r,10l11241,3828r-1,18l11240,3864r-1,18l11239,3900r-2,56l11236,4013r-2,56l11233,4126r,76l11235,4279r2,77l11240,4434r2,77l11243,4588r-1,77l11239,4742r-7,76m11443,3562r-48,20l11341,3617r-53,49l11245,3727e" filled="f" strokecolor="#242f33" strokeweight=".27942mm">
              <v:stroke joinstyle="round"/>
              <v:formulas/>
              <v:path arrowok="t" o:connecttype="segments"/>
            </v:shape>
            <v:shape id="docshape457" o:spid="_x0000_s1148" style="position:absolute;left:10657;top:3552;width:451;height:161" coordorigin="10658,3553" coordsize="451,161" path="m11066,3713r-61,-8l10868,3684r-138,-25l10661,3640r-3,-21l10665,3591r12,-25l10689,3554r56,-1l10846,3563r116,16l11059,3596r44,14l11108,3632r-5,33l11089,3696r-23,17xe" fillcolor="#294448" stroked="f">
              <v:path arrowok="t"/>
            </v:shape>
            <v:shape id="docshape458" o:spid="_x0000_s1147" style="position:absolute;left:10741;top:3254;width:267;height:391" coordorigin="10741,3254" coordsize="267,391" o:spt="100" adj="0,,0" path="m11008,3305r-5,340m10743,3254r-2,86l10741,3429r1,89l10742,3604e" filled="f" strokecolor="#171b1b" strokeweight=".93978mm">
              <v:stroke joinstyle="round"/>
              <v:formulas/>
              <v:path arrowok="t" o:connecttype="segments"/>
            </v:shape>
            <v:shape id="docshape459" o:spid="_x0000_s1146" style="position:absolute;left:10730;top:3216;width:284;height:121" coordorigin="10730,3216" coordsize="284,121" path="m10732,3292r-1,-10l10730,3261r4,-24l10748,3220r49,-4l10877,3222r78,11l10997,3247r12,24l11013,3301r,25l11012,3337e" filled="f" strokecolor="#171b1b" strokeweight="1.65008mm">
              <v:path arrowok="t"/>
            </v:shape>
            <v:shape id="docshape460" o:spid="_x0000_s1145" type="#_x0000_t75" style="position:absolute;left:10619;top:4028;width:109;height:148">
              <v:imagedata r:id="rId723" o:title=""/>
            </v:shape>
            <v:shape id="docshape461" o:spid="_x0000_s1144" type="#_x0000_t75" style="position:absolute;left:10795;top:4214;width:230;height:284">
              <v:imagedata r:id="rId724" o:title=""/>
            </v:shape>
            <v:shape id="docshape462" o:spid="_x0000_s1143" style="position:absolute;left:10468;top:3459;width:961;height:1025" coordorigin="10468,3459" coordsize="961,1025" o:spt="100" adj="0,,0" path="m11161,4130r-1,l11161,4133r,l11161,4144r1,11l11162,4166r,11m11161,4216r-1,l11160,4219r,1l11160,4235r,15l11161,4266r,15l11160,4332r-1,50l11158,4433r,51m11321,3470r,l11302,3461r-5,-2m11428,3534r-10,-12l11396,3505r-25,-15l11349,3481t-146,198l11201,3680r6,-6l11209,3671r5,-7l11220,3657r7,-7l11239,3638r13,-12l11266,3615r15,-10m10470,3612r-1,1l10469,3617r,1l10469,3633r,16l10468,3664r,15e" filled="f" strokecolor="#e3e7c1" strokeweight=".33017mm">
              <v:stroke joinstyle="round"/>
              <v:formulas/>
              <v:path arrowok="t" o:connecttype="segments"/>
            </v:shape>
            <v:shape id="docshape463" o:spid="_x0000_s1142" type="#_x0000_t75" style="position:absolute;left:10469;top:3447;width:101;height:112">
              <v:imagedata r:id="rId725" o:title=""/>
            </v:shape>
            <v:shape id="docshape464" o:spid="_x0000_s1141" style="position:absolute;left:11098;top:3766;width:81;height:287" coordorigin="11098,3766" coordsize="81,287" path="m11098,3766r13,3l11139,3775r28,11l11179,3800r-3,74l11173,3957r-3,67l11169,4052e" filled="f" strokecolor="#e3e7c1" strokeweight=".33039mm">
              <v:path arrowok="t"/>
            </v:shape>
            <v:shape id="docshape465" o:spid="_x0000_s1140" style="position:absolute;left:10755;top:3197;width:284;height:339" coordorigin="10756,3198" coordsize="284,339" o:spt="100" adj="0,,0" path="m10758,3429r-2,1l10758,3443r,2m10758,3341r-2,11l10756,3369r1,17l10758,3399t261,102l11019,3500r,4l11019,3505r,3l11019,3510r,3l11019,3521r-1,7l11018,3536t3,-147l11021,3388r,3l11022,3392r,2l11022,3396r,2l11022,3404r-1,7l11021,3417r,15l11021,3446r,15l11021,3475t-50,-274l10972,3201r-2,-1l10970,3200r-1,l10968,3200r-2,l10963,3199r-3,-1l10957,3198t82,54l11040,3253r-1,-3l11039,3249r-1,-2l11037,3245r-1,-2l11034,3238r-2,-6l11028,3227r-9,-8l11008,3214r-12,-4l10985,3206e" filled="f" strokecolor="#e3e7c1" strokeweight=".127mm">
              <v:stroke joinstyle="round"/>
              <v:formulas/>
              <v:path arrowok="t" o:connecttype="segments"/>
            </v:shape>
            <v:shape id="docshape466" o:spid="_x0000_s1139" style="position:absolute;left:1031;top:4619;width:5463;height:4031" coordorigin="1032,4620" coordsize="5463,4031" path="m6054,8651r-4571,l1450,8644r-70,-25l1314,8586r-60,-41l1199,8497r-48,-55l1110,8382r-33,-66l1052,8246r-15,-75l1032,8094r,-2904l1037,5112r15,-74l1077,4968r33,-66l1151,4841r48,-54l1254,4739r60,-41l1380,4665r70,-25l1524,4625r78,-5l5935,4620r78,5l6087,4640r70,25l6223,4698r61,41l6338,4787r49,54l6428,4902r33,66l6485,5038r10,47l6495,8199r-34,117l6428,8382r-41,60l6338,8497r-54,48l6223,8586r-66,33l6087,8644r-33,7xe" fillcolor="#29bed0" stroked="f">
              <v:fill opacity="36497f"/>
              <v:path arrowok="t"/>
            </v:shape>
            <v:line id="_x0000_s1138" style="position:absolute" from="6861,7204" to="11226,7204" strokecolor="#001389" strokeweight="2.25pt">
              <v:stroke dashstyle="3 1"/>
            </v:line>
            <w10:wrap anchorx="page" anchory="page"/>
          </v:group>
        </w:pict>
      </w:r>
    </w:p>
    <w:p w:rsidR="00200FDA" w:rsidRDefault="00200FDA">
      <w:pPr>
        <w:pStyle w:val="BodyText"/>
        <w:spacing w:before="7"/>
        <w:rPr>
          <w:rFonts w:ascii="Georgia"/>
          <w:sz w:val="13"/>
        </w:rPr>
      </w:pPr>
    </w:p>
    <w:p w:rsidR="00200FDA" w:rsidRDefault="00F76C4C">
      <w:pPr>
        <w:tabs>
          <w:tab w:val="left" w:pos="6927"/>
        </w:tabs>
        <w:ind w:left="111"/>
        <w:rPr>
          <w:rFonts w:ascii="Georgia"/>
          <w:sz w:val="20"/>
        </w:rPr>
      </w:pPr>
      <w:r>
        <w:rPr>
          <w:rFonts w:ascii="Georgia"/>
          <w:position w:val="77"/>
          <w:sz w:val="20"/>
        </w:rPr>
      </w:r>
      <w:r>
        <w:rPr>
          <w:rFonts w:ascii="Georgia"/>
          <w:position w:val="77"/>
          <w:sz w:val="20"/>
        </w:rPr>
        <w:pict>
          <v:group id="docshapegroup467" o:spid="_x0000_s1134" style="width:273.15pt;height:84.9pt;mso-position-horizontal-relative:char;mso-position-vertical-relative:line" coordsize="5463,1698">
            <v:shape id="docshape468" o:spid="_x0000_s1136" style="position:absolute;width:5463;height:1698" coordsize="5463,1698" path="m5012,1697r-4550,l418,1688r-70,-24l282,1631r-60,-41l167,1542r-48,-55l78,1426,45,1360,20,1290,5,1216,,1139,,570,5,493,20,418,45,348,78,282r41,-60l167,167r55,-48l282,78,348,45,418,20,493,5,570,,4904,r77,5l5055,20r70,25l5191,78r61,41l5307,167r48,55l5396,282r33,66l5453,418r10,47l5463,1244r-34,116l5396,1426r-41,61l5307,1542r-55,48l5191,1631r-66,33l5055,1688r-43,9xe" fillcolor="#29bed0" stroked="f">
              <v:fill opacity="36497f"/>
              <v:path arrowok="t"/>
            </v:shape>
            <v:shape id="docshape469" o:spid="_x0000_s1135" type="#_x0000_t202" style="position:absolute;width:5463;height:1698" filled="f" stroked="f">
              <v:textbox inset="0,0,0,0">
                <w:txbxContent>
                  <w:p w:rsidR="00200FDA" w:rsidRDefault="00F76C4C">
                    <w:pPr>
                      <w:spacing w:before="86"/>
                      <w:ind w:left="251"/>
                      <w:rPr>
                        <w:b/>
                        <w:i/>
                        <w:sz w:val="34"/>
                      </w:rPr>
                    </w:pPr>
                    <w:r>
                      <w:rPr>
                        <w:b/>
                        <w:i/>
                        <w:spacing w:val="11"/>
                        <w:w w:val="130"/>
                        <w:sz w:val="34"/>
                      </w:rPr>
                      <w:t>LEGISLATION</w:t>
                    </w:r>
                  </w:p>
                  <w:p w:rsidR="00200FDA" w:rsidRDefault="00F76C4C">
                    <w:pPr>
                      <w:spacing w:before="89" w:line="271" w:lineRule="auto"/>
                      <w:ind w:left="280" w:right="265"/>
                      <w:rPr>
                        <w:rFonts w:ascii="Georgia"/>
                        <w:sz w:val="21"/>
                      </w:rPr>
                    </w:pPr>
                    <w:r>
                      <w:rPr>
                        <w:rFonts w:ascii="Georgia"/>
                        <w:sz w:val="21"/>
                      </w:rPr>
                      <w:t>S. 1510/H.2288: Safe Communities Act S.817/H.1281:</w:t>
                    </w:r>
                    <w:r>
                      <w:rPr>
                        <w:rFonts w:ascii="Georgia"/>
                        <w:spacing w:val="-7"/>
                        <w:sz w:val="21"/>
                      </w:rPr>
                      <w:t xml:space="preserve"> </w:t>
                    </w:r>
                    <w:r>
                      <w:rPr>
                        <w:rFonts w:ascii="Georgia"/>
                        <w:sz w:val="21"/>
                      </w:rPr>
                      <w:t>Access</w:t>
                    </w:r>
                    <w:r>
                      <w:rPr>
                        <w:rFonts w:ascii="Georgia"/>
                        <w:spacing w:val="-7"/>
                        <w:sz w:val="21"/>
                      </w:rPr>
                      <w:t xml:space="preserve"> </w:t>
                    </w:r>
                    <w:r>
                      <w:rPr>
                        <w:rFonts w:ascii="Georgia"/>
                        <w:sz w:val="21"/>
                      </w:rPr>
                      <w:t>to</w:t>
                    </w:r>
                    <w:r>
                      <w:rPr>
                        <w:rFonts w:ascii="Georgia"/>
                        <w:spacing w:val="-7"/>
                        <w:sz w:val="21"/>
                      </w:rPr>
                      <w:t xml:space="preserve"> </w:t>
                    </w:r>
                    <w:r>
                      <w:rPr>
                        <w:rFonts w:ascii="Georgia"/>
                        <w:sz w:val="21"/>
                      </w:rPr>
                      <w:t>Higher</w:t>
                    </w:r>
                    <w:r>
                      <w:rPr>
                        <w:rFonts w:ascii="Georgia"/>
                        <w:spacing w:val="-7"/>
                        <w:sz w:val="21"/>
                      </w:rPr>
                      <w:t xml:space="preserve"> </w:t>
                    </w:r>
                    <w:r>
                      <w:rPr>
                        <w:rFonts w:ascii="Georgia"/>
                        <w:sz w:val="21"/>
                      </w:rPr>
                      <w:t>Education S.740/H.1237: MassHealth coverage</w:t>
                    </w:r>
                  </w:p>
                </w:txbxContent>
              </v:textbox>
            </v:shape>
            <w10:anchorlock/>
          </v:group>
        </w:pict>
      </w:r>
      <w:r>
        <w:rPr>
          <w:rFonts w:ascii="Georgia"/>
          <w:position w:val="77"/>
          <w:sz w:val="20"/>
        </w:rPr>
        <w:tab/>
      </w:r>
      <w:r>
        <w:rPr>
          <w:rFonts w:ascii="Georgia"/>
          <w:noProof/>
          <w:sz w:val="20"/>
        </w:rPr>
        <w:drawing>
          <wp:inline distT="0" distB="0" distL="0" distR="0">
            <wp:extent cx="2448982" cy="2310288"/>
            <wp:effectExtent l="0" t="0" r="0" b="0"/>
            <wp:docPr id="141"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39.png"/>
                    <pic:cNvPicPr/>
                  </pic:nvPicPr>
                  <pic:blipFill>
                    <a:blip r:embed="rId726" cstate="print"/>
                    <a:stretch>
                      <a:fillRect/>
                    </a:stretch>
                  </pic:blipFill>
                  <pic:spPr>
                    <a:xfrm>
                      <a:off x="0" y="0"/>
                      <a:ext cx="2448982" cy="2310288"/>
                    </a:xfrm>
                    <a:prstGeom prst="rect">
                      <a:avLst/>
                    </a:prstGeom>
                  </pic:spPr>
                </pic:pic>
              </a:graphicData>
            </a:graphic>
          </wp:inline>
        </w:drawing>
      </w:r>
    </w:p>
    <w:p w:rsidR="00200FDA" w:rsidRDefault="00200FDA">
      <w:pPr>
        <w:rPr>
          <w:rFonts w:ascii="Georgia"/>
          <w:sz w:val="20"/>
        </w:rPr>
        <w:sectPr w:rsidR="00200FDA">
          <w:type w:val="continuous"/>
          <w:pgSz w:w="12240" w:h="15840"/>
          <w:pgMar w:top="720" w:right="340" w:bottom="280" w:left="920" w:header="0" w:footer="0" w:gutter="0"/>
          <w:cols w:space="720"/>
        </w:sectPr>
      </w:pPr>
    </w:p>
    <w:p w:rsidR="00200FDA" w:rsidRDefault="00F76C4C">
      <w:pPr>
        <w:spacing w:before="47"/>
        <w:ind w:left="140"/>
        <w:rPr>
          <w:sz w:val="32"/>
        </w:rPr>
      </w:pPr>
      <w:r>
        <w:lastRenderedPageBreak/>
        <w:pict>
          <v:rect id="docshape473" o:spid="_x0000_s1133" style="position:absolute;left:0;text-align:left;margin-left:70.55pt;margin-top:22.85pt;width:470.9pt;height:.5pt;z-index:-15639040;mso-wrap-distance-left:0;mso-wrap-distance-right:0;mso-position-horizontal-relative:page" fillcolor="#4471c4" stroked="f">
            <w10:wrap type="topAndBottom" anchorx="page"/>
          </v:rect>
        </w:pict>
      </w:r>
      <w:bookmarkStart w:id="967" w:name="EJ_Report_-_Edited.pdf"/>
      <w:bookmarkStart w:id="968" w:name="Understanding_Environmental_Justice"/>
      <w:bookmarkStart w:id="969" w:name="_bookmark775"/>
      <w:bookmarkEnd w:id="967"/>
      <w:bookmarkEnd w:id="968"/>
      <w:bookmarkEnd w:id="969"/>
      <w:r>
        <w:fldChar w:fldCharType="begin"/>
      </w:r>
      <w:r>
        <w:instrText xml:space="preserve"> HYPERLINK \l "_bookmark2" </w:instrText>
      </w:r>
      <w:r>
        <w:fldChar w:fldCharType="separate"/>
      </w:r>
      <w:r>
        <w:rPr>
          <w:color w:val="2E5395"/>
          <w:spacing w:val="-2"/>
          <w:sz w:val="32"/>
        </w:rPr>
        <w:t>Understanding</w:t>
      </w:r>
      <w:r>
        <w:rPr>
          <w:color w:val="2E5395"/>
          <w:spacing w:val="5"/>
          <w:sz w:val="32"/>
        </w:rPr>
        <w:t xml:space="preserve"> </w:t>
      </w:r>
      <w:r>
        <w:rPr>
          <w:color w:val="2E5395"/>
          <w:spacing w:val="-2"/>
          <w:sz w:val="32"/>
        </w:rPr>
        <w:t>Environmental</w:t>
      </w:r>
      <w:r>
        <w:rPr>
          <w:color w:val="2E5395"/>
          <w:spacing w:val="6"/>
          <w:sz w:val="32"/>
        </w:rPr>
        <w:t xml:space="preserve"> </w:t>
      </w:r>
      <w:r>
        <w:rPr>
          <w:color w:val="2E5395"/>
          <w:spacing w:val="-2"/>
          <w:sz w:val="32"/>
        </w:rPr>
        <w:t>Justice</w:t>
      </w:r>
      <w:r>
        <w:rPr>
          <w:color w:val="2E5395"/>
          <w:spacing w:val="-2"/>
          <w:sz w:val="32"/>
        </w:rPr>
        <w:fldChar w:fldCharType="end"/>
      </w:r>
    </w:p>
    <w:p w:rsidR="00200FDA" w:rsidRDefault="00200FDA">
      <w:pPr>
        <w:pStyle w:val="BodyText"/>
        <w:rPr>
          <w:sz w:val="20"/>
        </w:rPr>
      </w:pPr>
    </w:p>
    <w:p w:rsidR="00200FDA" w:rsidRDefault="00200FDA">
      <w:pPr>
        <w:pStyle w:val="BodyText"/>
        <w:rPr>
          <w:sz w:val="20"/>
        </w:rPr>
      </w:pPr>
    </w:p>
    <w:p w:rsidR="00200FDA" w:rsidRDefault="00F76C4C">
      <w:pPr>
        <w:pStyle w:val="Heading7"/>
        <w:spacing w:before="183"/>
        <w:ind w:left="140"/>
      </w:pPr>
      <w:r>
        <w:pict>
          <v:rect id="docshape474" o:spid="_x0000_s1132" style="position:absolute;left:0;text-align:left;margin-left:70.55pt;margin-top:27.15pt;width:470.9pt;height:.5pt;z-index:-15638528;mso-wrap-distance-left:0;mso-wrap-distance-right:0;mso-position-horizontal-relative:page" fillcolor="#4471c4" stroked="f">
            <w10:wrap type="topAndBottom" anchorx="page"/>
          </v:rect>
        </w:pict>
      </w:r>
      <w:r>
        <w:rPr>
          <w:color w:val="2E5395"/>
          <w:spacing w:val="-2"/>
        </w:rPr>
        <w:t>Introduction</w:t>
      </w:r>
    </w:p>
    <w:p w:rsidR="00200FDA" w:rsidRDefault="00200FDA">
      <w:pPr>
        <w:pStyle w:val="BodyText"/>
        <w:rPr>
          <w:sz w:val="20"/>
        </w:rPr>
      </w:pPr>
    </w:p>
    <w:p w:rsidR="00200FDA" w:rsidRDefault="00200FDA">
      <w:pPr>
        <w:pStyle w:val="BodyText"/>
        <w:spacing w:before="4"/>
        <w:rPr>
          <w:sz w:val="20"/>
        </w:rPr>
      </w:pPr>
    </w:p>
    <w:p w:rsidR="00200FDA" w:rsidRDefault="00F76C4C">
      <w:pPr>
        <w:pStyle w:val="BodyText"/>
        <w:spacing w:before="56" w:line="276" w:lineRule="auto"/>
        <w:ind w:left="139" w:right="132"/>
        <w:jc w:val="both"/>
      </w:pPr>
      <w:r>
        <w:t xml:space="preserve">Research examining the environmental justice needs of LGBTQ communities is still emerging, but a growing body of evidence indicates that environmental justice is a key element of the complex web of inequities that impact the health and well-being of LGBTQ </w:t>
      </w:r>
      <w:r>
        <w:t>youth, particularly LGBTQ youth of color and Indigenous, immigrant, disabled, and low-income LGBTQ youth. The necessity of examining the undue environmental</w:t>
      </w:r>
      <w:r>
        <w:rPr>
          <w:spacing w:val="-1"/>
        </w:rPr>
        <w:t xml:space="preserve"> </w:t>
      </w:r>
      <w:r>
        <w:t>burdens placed</w:t>
      </w:r>
      <w:r>
        <w:rPr>
          <w:spacing w:val="-1"/>
        </w:rPr>
        <w:t xml:space="preserve"> </w:t>
      </w:r>
      <w:r>
        <w:t>on</w:t>
      </w:r>
      <w:r>
        <w:rPr>
          <w:spacing w:val="-4"/>
        </w:rPr>
        <w:t xml:space="preserve"> </w:t>
      </w:r>
      <w:r>
        <w:t>LGBTQ youth</w:t>
      </w:r>
      <w:r>
        <w:rPr>
          <w:spacing w:val="-1"/>
        </w:rPr>
        <w:t xml:space="preserve"> </w:t>
      </w:r>
      <w:r>
        <w:t>is undeniable; exposure to environmental</w:t>
      </w:r>
      <w:r>
        <w:rPr>
          <w:spacing w:val="-1"/>
        </w:rPr>
        <w:t xml:space="preserve"> </w:t>
      </w:r>
      <w:r>
        <w:t>stressors such as</w:t>
      </w:r>
      <w:r>
        <w:rPr>
          <w:spacing w:val="-11"/>
        </w:rPr>
        <w:t xml:space="preserve"> </w:t>
      </w:r>
      <w:r>
        <w:t>air</w:t>
      </w:r>
      <w:r>
        <w:rPr>
          <w:spacing w:val="-12"/>
        </w:rPr>
        <w:t xml:space="preserve"> </w:t>
      </w:r>
      <w:r>
        <w:t>pollut</w:t>
      </w:r>
      <w:r>
        <w:t>ion</w:t>
      </w:r>
      <w:r>
        <w:rPr>
          <w:spacing w:val="-12"/>
        </w:rPr>
        <w:t xml:space="preserve"> </w:t>
      </w:r>
      <w:r>
        <w:t>and</w:t>
      </w:r>
      <w:r>
        <w:rPr>
          <w:spacing w:val="-12"/>
        </w:rPr>
        <w:t xml:space="preserve"> </w:t>
      </w:r>
      <w:r>
        <w:t>toxic</w:t>
      </w:r>
      <w:r>
        <w:rPr>
          <w:spacing w:val="-11"/>
        </w:rPr>
        <w:t xml:space="preserve"> </w:t>
      </w:r>
      <w:r>
        <w:t>chemicals</w:t>
      </w:r>
      <w:r>
        <w:rPr>
          <w:spacing w:val="-11"/>
        </w:rPr>
        <w:t xml:space="preserve"> </w:t>
      </w:r>
      <w:r>
        <w:t>exacerbates</w:t>
      </w:r>
      <w:r>
        <w:rPr>
          <w:spacing w:val="-11"/>
        </w:rPr>
        <w:t xml:space="preserve"> </w:t>
      </w:r>
      <w:r>
        <w:t>the</w:t>
      </w:r>
      <w:r>
        <w:rPr>
          <w:spacing w:val="-11"/>
        </w:rPr>
        <w:t xml:space="preserve"> </w:t>
      </w:r>
      <w:r>
        <w:t>health</w:t>
      </w:r>
      <w:r>
        <w:rPr>
          <w:spacing w:val="-12"/>
        </w:rPr>
        <w:t xml:space="preserve"> </w:t>
      </w:r>
      <w:r>
        <w:t>and</w:t>
      </w:r>
      <w:r>
        <w:rPr>
          <w:spacing w:val="-12"/>
        </w:rPr>
        <w:t xml:space="preserve"> </w:t>
      </w:r>
      <w:r>
        <w:t>economic</w:t>
      </w:r>
      <w:r>
        <w:rPr>
          <w:spacing w:val="-11"/>
        </w:rPr>
        <w:t xml:space="preserve"> </w:t>
      </w:r>
      <w:r>
        <w:t>inequalities</w:t>
      </w:r>
      <w:r>
        <w:rPr>
          <w:spacing w:val="-11"/>
        </w:rPr>
        <w:t xml:space="preserve"> </w:t>
      </w:r>
      <w:r>
        <w:t>LGBTQ</w:t>
      </w:r>
      <w:r>
        <w:rPr>
          <w:spacing w:val="-11"/>
        </w:rPr>
        <w:t xml:space="preserve"> </w:t>
      </w:r>
      <w:r>
        <w:t>communities already face. Those who hold multiple marginalized identities, such as QTBIPOC youth, experience compounding effects from multiple overlapping systems of oppression.</w:t>
      </w:r>
      <w:r>
        <w:t xml:space="preserve"> Developing a more complete picture of the burdens and injustices faced by LGBTQ youth in Massachusetts, a population which itself holds great diversity, requires bringing intersectionality to the forefront and understanding the interactions</w:t>
      </w:r>
      <w:r>
        <w:rPr>
          <w:spacing w:val="-6"/>
        </w:rPr>
        <w:t xml:space="preserve"> </w:t>
      </w:r>
      <w:r>
        <w:t>between</w:t>
      </w:r>
      <w:r>
        <w:rPr>
          <w:spacing w:val="-10"/>
        </w:rPr>
        <w:t xml:space="preserve"> </w:t>
      </w:r>
      <w:r>
        <w:t>the</w:t>
      </w:r>
      <w:r>
        <w:rPr>
          <w:spacing w:val="-8"/>
        </w:rPr>
        <w:t xml:space="preserve"> </w:t>
      </w:r>
      <w:r>
        <w:t>mu</w:t>
      </w:r>
      <w:r>
        <w:t>ltiple</w:t>
      </w:r>
      <w:r>
        <w:rPr>
          <w:spacing w:val="-6"/>
        </w:rPr>
        <w:t xml:space="preserve"> </w:t>
      </w:r>
      <w:r>
        <w:t>social,</w:t>
      </w:r>
      <w:r>
        <w:rPr>
          <w:spacing w:val="-9"/>
        </w:rPr>
        <w:t xml:space="preserve"> </w:t>
      </w:r>
      <w:r>
        <w:t>economic,</w:t>
      </w:r>
      <w:r>
        <w:rPr>
          <w:spacing w:val="-9"/>
        </w:rPr>
        <w:t xml:space="preserve"> </w:t>
      </w:r>
      <w:r>
        <w:t>environmental,</w:t>
      </w:r>
      <w:r>
        <w:rPr>
          <w:spacing w:val="-7"/>
        </w:rPr>
        <w:t xml:space="preserve"> </w:t>
      </w:r>
      <w:r>
        <w:t>and</w:t>
      </w:r>
      <w:r>
        <w:rPr>
          <w:spacing w:val="-7"/>
        </w:rPr>
        <w:t xml:space="preserve"> </w:t>
      </w:r>
      <w:r>
        <w:t>institutional</w:t>
      </w:r>
      <w:r>
        <w:rPr>
          <w:spacing w:val="-7"/>
        </w:rPr>
        <w:t xml:space="preserve"> </w:t>
      </w:r>
      <w:r>
        <w:t>systems</w:t>
      </w:r>
      <w:r>
        <w:rPr>
          <w:spacing w:val="-7"/>
        </w:rPr>
        <w:t xml:space="preserve"> </w:t>
      </w:r>
      <w:r>
        <w:t>that</w:t>
      </w:r>
      <w:r>
        <w:rPr>
          <w:spacing w:val="-6"/>
        </w:rPr>
        <w:t xml:space="preserve"> </w:t>
      </w:r>
      <w:r>
        <w:t xml:space="preserve">impact LGBTQ youth. As environmental justice and climate justice become increasingly high policy priorities in Massachusetts under the leadership of Governor Maura Healey, we must make </w:t>
      </w:r>
      <w:r>
        <w:t>sure that the needs of diverse</w:t>
      </w:r>
      <w:r>
        <w:rPr>
          <w:spacing w:val="-12"/>
        </w:rPr>
        <w:t xml:space="preserve"> </w:t>
      </w:r>
      <w:r>
        <w:t>LGBTQ</w:t>
      </w:r>
      <w:r>
        <w:rPr>
          <w:spacing w:val="-10"/>
        </w:rPr>
        <w:t xml:space="preserve"> </w:t>
      </w:r>
      <w:r>
        <w:t>communities</w:t>
      </w:r>
      <w:r>
        <w:rPr>
          <w:spacing w:val="-10"/>
        </w:rPr>
        <w:t xml:space="preserve"> </w:t>
      </w:r>
      <w:r>
        <w:t>are</w:t>
      </w:r>
      <w:r>
        <w:rPr>
          <w:spacing w:val="-10"/>
        </w:rPr>
        <w:t xml:space="preserve"> </w:t>
      </w:r>
      <w:r>
        <w:t>meaningfully</w:t>
      </w:r>
      <w:r>
        <w:rPr>
          <w:spacing w:val="-9"/>
        </w:rPr>
        <w:t xml:space="preserve"> </w:t>
      </w:r>
      <w:r>
        <w:t>incorporated</w:t>
      </w:r>
      <w:r>
        <w:rPr>
          <w:spacing w:val="-11"/>
        </w:rPr>
        <w:t xml:space="preserve"> </w:t>
      </w:r>
      <w:r>
        <w:t>into</w:t>
      </w:r>
      <w:r>
        <w:rPr>
          <w:spacing w:val="-11"/>
        </w:rPr>
        <w:t xml:space="preserve"> </w:t>
      </w:r>
      <w:r>
        <w:t>environmental</w:t>
      </w:r>
      <w:r>
        <w:rPr>
          <w:spacing w:val="-10"/>
        </w:rPr>
        <w:t xml:space="preserve"> </w:t>
      </w:r>
      <w:r>
        <w:t>and</w:t>
      </w:r>
      <w:r>
        <w:rPr>
          <w:spacing w:val="-11"/>
        </w:rPr>
        <w:t xml:space="preserve"> </w:t>
      </w:r>
      <w:r>
        <w:t>climate</w:t>
      </w:r>
      <w:r>
        <w:rPr>
          <w:spacing w:val="-9"/>
        </w:rPr>
        <w:t xml:space="preserve"> </w:t>
      </w:r>
      <w:r>
        <w:t>policymaking.</w:t>
      </w:r>
    </w:p>
    <w:p w:rsidR="00200FDA" w:rsidRDefault="00200FDA">
      <w:pPr>
        <w:pStyle w:val="BodyText"/>
        <w:spacing w:before="6"/>
        <w:rPr>
          <w:sz w:val="19"/>
        </w:rPr>
      </w:pPr>
    </w:p>
    <w:p w:rsidR="00200FDA" w:rsidRDefault="00F76C4C">
      <w:pPr>
        <w:pStyle w:val="BodyText"/>
        <w:spacing w:line="276" w:lineRule="auto"/>
        <w:ind w:left="139" w:right="131"/>
        <w:jc w:val="both"/>
      </w:pPr>
      <w:r>
        <w:t>In this new section of the Commission’s annual report, the environmental justice needs of LGBTQ youth in Massachusetts will be explored. First, we will review what is meant by “environmental justice” and discuss the importance of intersectionality in exami</w:t>
      </w:r>
      <w:r>
        <w:t>ning the needs of LGBTQ youth and understanding environmental injustice. Next, two conceptual frameworks from public health</w:t>
      </w:r>
      <w:r>
        <w:rPr>
          <w:spacing w:val="-1"/>
        </w:rPr>
        <w:t xml:space="preserve"> </w:t>
      </w:r>
      <w:r>
        <w:t>– Cumulative Impacts and Social Determinants of Health – will be introduced to inform our understanding of how environmental exposur</w:t>
      </w:r>
      <w:r>
        <w:t>es lead to outcomes in health and well-being. With these frameworks in mind, we will discuss certain environmental exposures which disproportionately affect LGBTQ populations, including ambient air</w:t>
      </w:r>
      <w:r>
        <w:rPr>
          <w:spacing w:val="-3"/>
        </w:rPr>
        <w:t xml:space="preserve"> </w:t>
      </w:r>
      <w:r>
        <w:t>pollution,</w:t>
      </w:r>
      <w:r>
        <w:rPr>
          <w:spacing w:val="-6"/>
        </w:rPr>
        <w:t xml:space="preserve"> </w:t>
      </w:r>
      <w:r>
        <w:t>secondhand</w:t>
      </w:r>
      <w:r>
        <w:rPr>
          <w:spacing w:val="-4"/>
        </w:rPr>
        <w:t xml:space="preserve"> </w:t>
      </w:r>
      <w:r>
        <w:t>smoke,</w:t>
      </w:r>
      <w:r>
        <w:rPr>
          <w:spacing w:val="-6"/>
        </w:rPr>
        <w:t xml:space="preserve"> </w:t>
      </w:r>
      <w:r>
        <w:t>and</w:t>
      </w:r>
      <w:r>
        <w:rPr>
          <w:spacing w:val="-4"/>
        </w:rPr>
        <w:t xml:space="preserve"> </w:t>
      </w:r>
      <w:r>
        <w:t>toxic</w:t>
      </w:r>
      <w:r>
        <w:rPr>
          <w:spacing w:val="-3"/>
        </w:rPr>
        <w:t xml:space="preserve"> </w:t>
      </w:r>
      <w:r>
        <w:t>chemicals</w:t>
      </w:r>
      <w:r>
        <w:rPr>
          <w:spacing w:val="-3"/>
        </w:rPr>
        <w:t xml:space="preserve"> </w:t>
      </w:r>
      <w:r>
        <w:t>in</w:t>
      </w:r>
      <w:r>
        <w:rPr>
          <w:spacing w:val="-4"/>
        </w:rPr>
        <w:t xml:space="preserve"> </w:t>
      </w:r>
      <w:r>
        <w:t>beauty</w:t>
      </w:r>
      <w:r>
        <w:rPr>
          <w:spacing w:val="-2"/>
        </w:rPr>
        <w:t xml:space="preserve"> </w:t>
      </w:r>
      <w:r>
        <w:t>and</w:t>
      </w:r>
      <w:r>
        <w:rPr>
          <w:spacing w:val="-4"/>
        </w:rPr>
        <w:t xml:space="preserve"> </w:t>
      </w:r>
      <w:r>
        <w:t>personal</w:t>
      </w:r>
      <w:r>
        <w:rPr>
          <w:spacing w:val="-4"/>
        </w:rPr>
        <w:t xml:space="preserve"> </w:t>
      </w:r>
      <w:r>
        <w:t>care</w:t>
      </w:r>
      <w:r>
        <w:rPr>
          <w:spacing w:val="-5"/>
        </w:rPr>
        <w:t xml:space="preserve"> </w:t>
      </w:r>
      <w:r>
        <w:t>products.</w:t>
      </w:r>
      <w:r>
        <w:rPr>
          <w:spacing w:val="-4"/>
        </w:rPr>
        <w:t xml:space="preserve"> </w:t>
      </w:r>
      <w:r>
        <w:t>Next,</w:t>
      </w:r>
      <w:r>
        <w:rPr>
          <w:spacing w:val="-6"/>
        </w:rPr>
        <w:t xml:space="preserve"> </w:t>
      </w:r>
      <w:r>
        <w:t>we</w:t>
      </w:r>
      <w:r>
        <w:rPr>
          <w:spacing w:val="-5"/>
        </w:rPr>
        <w:t xml:space="preserve"> </w:t>
      </w:r>
      <w:r>
        <w:t>will investigate the links between disproportionate environmental exposures and health disparities, examining how underlying health challenges disproportionately affecting LGBTQ communities, barriers accessing health c</w:t>
      </w:r>
      <w:r>
        <w:t>are, and other socioeconomic factors worsen the health impacts of exposure. Finally, we will discuss the disproportionate impacts of climate change on LGBTQ populations and the unique needs</w:t>
      </w:r>
      <w:r>
        <w:rPr>
          <w:spacing w:val="-9"/>
        </w:rPr>
        <w:t xml:space="preserve"> </w:t>
      </w:r>
      <w:r>
        <w:t>of</w:t>
      </w:r>
      <w:r>
        <w:rPr>
          <w:spacing w:val="-7"/>
        </w:rPr>
        <w:t xml:space="preserve"> </w:t>
      </w:r>
      <w:r>
        <w:t>LGBTQ</w:t>
      </w:r>
      <w:r>
        <w:rPr>
          <w:spacing w:val="-9"/>
        </w:rPr>
        <w:t xml:space="preserve"> </w:t>
      </w:r>
      <w:r>
        <w:t>youth</w:t>
      </w:r>
      <w:r>
        <w:rPr>
          <w:spacing w:val="-7"/>
        </w:rPr>
        <w:t xml:space="preserve"> </w:t>
      </w:r>
      <w:r>
        <w:t>related</w:t>
      </w:r>
      <w:r>
        <w:rPr>
          <w:spacing w:val="-7"/>
        </w:rPr>
        <w:t xml:space="preserve"> </w:t>
      </w:r>
      <w:r>
        <w:t>to</w:t>
      </w:r>
      <w:r>
        <w:rPr>
          <w:spacing w:val="-8"/>
        </w:rPr>
        <w:t xml:space="preserve"> </w:t>
      </w:r>
      <w:r>
        <w:t>climate</w:t>
      </w:r>
      <w:r>
        <w:rPr>
          <w:spacing w:val="-9"/>
        </w:rPr>
        <w:t xml:space="preserve"> </w:t>
      </w:r>
      <w:r>
        <w:t>justice,</w:t>
      </w:r>
      <w:r>
        <w:rPr>
          <w:spacing w:val="-7"/>
        </w:rPr>
        <w:t xml:space="preserve"> </w:t>
      </w:r>
      <w:r>
        <w:t>such</w:t>
      </w:r>
      <w:r>
        <w:rPr>
          <w:spacing w:val="-10"/>
        </w:rPr>
        <w:t xml:space="preserve"> </w:t>
      </w:r>
      <w:r>
        <w:t>as</w:t>
      </w:r>
      <w:r>
        <w:rPr>
          <w:spacing w:val="-7"/>
        </w:rPr>
        <w:t xml:space="preserve"> </w:t>
      </w:r>
      <w:r>
        <w:t>the</w:t>
      </w:r>
      <w:r>
        <w:rPr>
          <w:spacing w:val="-6"/>
        </w:rPr>
        <w:t xml:space="preserve"> </w:t>
      </w:r>
      <w:r>
        <w:t>need</w:t>
      </w:r>
      <w:r>
        <w:rPr>
          <w:spacing w:val="-7"/>
        </w:rPr>
        <w:t xml:space="preserve"> </w:t>
      </w:r>
      <w:r>
        <w:t>for</w:t>
      </w:r>
      <w:r>
        <w:rPr>
          <w:spacing w:val="-7"/>
        </w:rPr>
        <w:t xml:space="preserve"> </w:t>
      </w:r>
      <w:r>
        <w:t>in</w:t>
      </w:r>
      <w:r>
        <w:t>clusive</w:t>
      </w:r>
      <w:r>
        <w:rPr>
          <w:spacing w:val="-6"/>
        </w:rPr>
        <w:t xml:space="preserve"> </w:t>
      </w:r>
      <w:r>
        <w:t>disaster</w:t>
      </w:r>
      <w:r>
        <w:rPr>
          <w:spacing w:val="-7"/>
        </w:rPr>
        <w:t xml:space="preserve"> </w:t>
      </w:r>
      <w:r>
        <w:t>response</w:t>
      </w:r>
      <w:r>
        <w:rPr>
          <w:spacing w:val="-6"/>
        </w:rPr>
        <w:t xml:space="preserve"> </w:t>
      </w:r>
      <w:r>
        <w:t>systems.</w:t>
      </w:r>
    </w:p>
    <w:p w:rsidR="00200FDA" w:rsidRDefault="00200FDA">
      <w:pPr>
        <w:spacing w:line="276" w:lineRule="auto"/>
        <w:jc w:val="both"/>
        <w:sectPr w:rsidR="00200FDA">
          <w:headerReference w:type="default" r:id="rId727"/>
          <w:footerReference w:type="default" r:id="rId728"/>
          <w:pgSz w:w="12240" w:h="15840"/>
          <w:pgMar w:top="1380" w:right="1300" w:bottom="1480" w:left="1300" w:header="758" w:footer="1297" w:gutter="0"/>
          <w:pgNumType w:start="172"/>
          <w:cols w:space="720"/>
        </w:sectPr>
      </w:pPr>
    </w:p>
    <w:p w:rsidR="00200FDA" w:rsidRDefault="00F76C4C">
      <w:pPr>
        <w:pStyle w:val="Heading7"/>
        <w:spacing w:before="46"/>
        <w:ind w:left="140" w:right="139"/>
      </w:pPr>
      <w:r>
        <w:lastRenderedPageBreak/>
        <w:pict>
          <v:rect id="docshape475" o:spid="_x0000_s1131" style="position:absolute;left:0;text-align:left;margin-left:70.55pt;margin-top:37.45pt;width:470.9pt;height:.5pt;z-index:-15638016;mso-wrap-distance-left:0;mso-wrap-distance-right:0;mso-position-horizontal-relative:page" fillcolor="#4471c4" stroked="f">
            <w10:wrap type="topAndBottom" anchorx="page"/>
          </v:rect>
        </w:pict>
      </w:r>
      <w:bookmarkStart w:id="970" w:name="FY_2024_Recommendations_to_the_Governor_"/>
      <w:bookmarkEnd w:id="970"/>
      <w:r>
        <w:rPr>
          <w:color w:val="2E5395"/>
        </w:rPr>
        <w:t>FY</w:t>
      </w:r>
      <w:r>
        <w:rPr>
          <w:color w:val="2E5395"/>
          <w:spacing w:val="-4"/>
        </w:rPr>
        <w:t xml:space="preserve"> </w:t>
      </w:r>
      <w:r>
        <w:rPr>
          <w:color w:val="2E5395"/>
        </w:rPr>
        <w:t>2024</w:t>
      </w:r>
      <w:r>
        <w:rPr>
          <w:color w:val="2E5395"/>
          <w:spacing w:val="-5"/>
        </w:rPr>
        <w:t xml:space="preserve"> </w:t>
      </w:r>
      <w:r>
        <w:rPr>
          <w:color w:val="2E5395"/>
        </w:rPr>
        <w:t>Recommendations</w:t>
      </w:r>
      <w:r>
        <w:rPr>
          <w:color w:val="2E5395"/>
          <w:spacing w:val="-4"/>
        </w:rPr>
        <w:t xml:space="preserve"> </w:t>
      </w:r>
      <w:r>
        <w:rPr>
          <w:color w:val="2E5395"/>
        </w:rPr>
        <w:t>to</w:t>
      </w:r>
      <w:r>
        <w:rPr>
          <w:color w:val="2E5395"/>
          <w:spacing w:val="-4"/>
        </w:rPr>
        <w:t xml:space="preserve"> </w:t>
      </w:r>
      <w:r>
        <w:rPr>
          <w:color w:val="2E5395"/>
        </w:rPr>
        <w:t>the</w:t>
      </w:r>
      <w:r>
        <w:rPr>
          <w:color w:val="2E5395"/>
          <w:spacing w:val="-5"/>
        </w:rPr>
        <w:t xml:space="preserve"> </w:t>
      </w:r>
      <w:r>
        <w:rPr>
          <w:color w:val="2E5395"/>
        </w:rPr>
        <w:t>Governor</w:t>
      </w:r>
      <w:r>
        <w:rPr>
          <w:color w:val="2E5395"/>
          <w:spacing w:val="-4"/>
        </w:rPr>
        <w:t xml:space="preserve"> </w:t>
      </w:r>
      <w:r>
        <w:rPr>
          <w:color w:val="2E5395"/>
        </w:rPr>
        <w:t>and</w:t>
      </w:r>
      <w:r>
        <w:rPr>
          <w:color w:val="2E5395"/>
          <w:spacing w:val="-6"/>
        </w:rPr>
        <w:t xml:space="preserve"> </w:t>
      </w:r>
      <w:r>
        <w:rPr>
          <w:color w:val="2E5395"/>
        </w:rPr>
        <w:t>Legislature</w:t>
      </w:r>
      <w:r>
        <w:rPr>
          <w:color w:val="2E5395"/>
          <w:spacing w:val="-5"/>
        </w:rPr>
        <w:t xml:space="preserve"> </w:t>
      </w:r>
      <w:r>
        <w:rPr>
          <w:color w:val="2E5395"/>
        </w:rPr>
        <w:t>on</w:t>
      </w:r>
      <w:r>
        <w:rPr>
          <w:color w:val="2E5395"/>
          <w:spacing w:val="-6"/>
        </w:rPr>
        <w:t xml:space="preserve"> </w:t>
      </w:r>
      <w:r>
        <w:rPr>
          <w:color w:val="2E5395"/>
        </w:rPr>
        <w:t xml:space="preserve">Environmental </w:t>
      </w:r>
      <w:r>
        <w:rPr>
          <w:color w:val="2E5395"/>
          <w:spacing w:val="-2"/>
        </w:rPr>
        <w:t>Justice</w:t>
      </w:r>
    </w:p>
    <w:p w:rsidR="00200FDA" w:rsidRDefault="00200FDA">
      <w:pPr>
        <w:pStyle w:val="BodyText"/>
        <w:rPr>
          <w:sz w:val="15"/>
        </w:rPr>
      </w:pPr>
    </w:p>
    <w:p w:rsidR="00200FDA" w:rsidRDefault="00F76C4C">
      <w:pPr>
        <w:pStyle w:val="Heading9"/>
        <w:numPr>
          <w:ilvl w:val="0"/>
          <w:numId w:val="25"/>
        </w:numPr>
        <w:tabs>
          <w:tab w:val="left" w:pos="376"/>
        </w:tabs>
        <w:spacing w:before="56" w:line="276" w:lineRule="auto"/>
        <w:ind w:right="133" w:firstLine="0"/>
      </w:pPr>
      <w:r>
        <w:t>Expand existing policies and programs addressing environmental inequities to include and address the unique impacts on LGBTQ youth across the Commonwealth.</w:t>
      </w:r>
    </w:p>
    <w:p w:rsidR="00200FDA" w:rsidRDefault="00200FDA">
      <w:pPr>
        <w:pStyle w:val="BodyText"/>
        <w:spacing w:before="9"/>
        <w:rPr>
          <w:b/>
          <w:sz w:val="19"/>
        </w:rPr>
      </w:pPr>
    </w:p>
    <w:p w:rsidR="00200FDA" w:rsidRDefault="00F76C4C">
      <w:pPr>
        <w:pStyle w:val="BodyText"/>
        <w:spacing w:line="276" w:lineRule="auto"/>
        <w:ind w:left="139" w:right="135"/>
        <w:jc w:val="both"/>
      </w:pPr>
      <w:r>
        <w:t>The Commission recommends that the Commonwealth examine and expand existing policies and programs working to address environmental inequities to ensure that this critical work is addressing unique</w:t>
      </w:r>
      <w:r>
        <w:rPr>
          <w:spacing w:val="-4"/>
        </w:rPr>
        <w:t xml:space="preserve"> </w:t>
      </w:r>
      <w:r>
        <w:t>impacts</w:t>
      </w:r>
      <w:r>
        <w:rPr>
          <w:spacing w:val="-7"/>
        </w:rPr>
        <w:t xml:space="preserve"> </w:t>
      </w:r>
      <w:r>
        <w:t>on</w:t>
      </w:r>
      <w:r>
        <w:rPr>
          <w:spacing w:val="-7"/>
        </w:rPr>
        <w:t xml:space="preserve"> </w:t>
      </w:r>
      <w:r>
        <w:t>LGBTQ</w:t>
      </w:r>
      <w:r>
        <w:rPr>
          <w:spacing w:val="-6"/>
        </w:rPr>
        <w:t xml:space="preserve"> </w:t>
      </w:r>
      <w:r>
        <w:t>youth,</w:t>
      </w:r>
      <w:r>
        <w:rPr>
          <w:spacing w:val="-4"/>
        </w:rPr>
        <w:t xml:space="preserve"> </w:t>
      </w:r>
      <w:r>
        <w:t>particularly</w:t>
      </w:r>
      <w:r>
        <w:rPr>
          <w:spacing w:val="-6"/>
        </w:rPr>
        <w:t xml:space="preserve"> </w:t>
      </w:r>
      <w:r>
        <w:t>BIPOC</w:t>
      </w:r>
      <w:r>
        <w:rPr>
          <w:spacing w:val="-7"/>
        </w:rPr>
        <w:t xml:space="preserve"> </w:t>
      </w:r>
      <w:r>
        <w:t>youth,</w:t>
      </w:r>
      <w:r>
        <w:rPr>
          <w:spacing w:val="-4"/>
        </w:rPr>
        <w:t xml:space="preserve"> </w:t>
      </w:r>
      <w:r>
        <w:t>youth</w:t>
      </w:r>
      <w:r>
        <w:rPr>
          <w:spacing w:val="-8"/>
        </w:rPr>
        <w:t xml:space="preserve"> </w:t>
      </w:r>
      <w:r>
        <w:t>with</w:t>
      </w:r>
      <w:r>
        <w:rPr>
          <w:spacing w:val="-8"/>
        </w:rPr>
        <w:t xml:space="preserve"> </w:t>
      </w:r>
      <w:r>
        <w:t>disabilities,</w:t>
      </w:r>
      <w:r>
        <w:rPr>
          <w:spacing w:val="-7"/>
        </w:rPr>
        <w:t xml:space="preserve"> </w:t>
      </w:r>
      <w:r>
        <w:t>and</w:t>
      </w:r>
      <w:r>
        <w:rPr>
          <w:spacing w:val="-5"/>
        </w:rPr>
        <w:t xml:space="preserve"> </w:t>
      </w:r>
      <w:r>
        <w:t>low-income</w:t>
      </w:r>
      <w:r>
        <w:rPr>
          <w:spacing w:val="-6"/>
        </w:rPr>
        <w:t xml:space="preserve"> </w:t>
      </w:r>
      <w:r>
        <w:t xml:space="preserve">youth. In January 2023, Governor Maura Healey signed an Executive Order to establish the Office of Climate Innovation and Resilience to coordinate climate policy across state agencies and communities; the Commission urges </w:t>
      </w:r>
      <w:r>
        <w:t>this new office to center QTBIPOC communities in its work, and to take a broad understanding of how to tackle climate justice.</w:t>
      </w:r>
    </w:p>
    <w:p w:rsidR="00200FDA" w:rsidRDefault="00200FDA">
      <w:pPr>
        <w:pStyle w:val="BodyText"/>
        <w:spacing w:before="6"/>
        <w:rPr>
          <w:sz w:val="19"/>
        </w:rPr>
      </w:pPr>
    </w:p>
    <w:p w:rsidR="00200FDA" w:rsidRDefault="00F76C4C">
      <w:pPr>
        <w:pStyle w:val="Heading9"/>
        <w:numPr>
          <w:ilvl w:val="0"/>
          <w:numId w:val="25"/>
        </w:numPr>
        <w:tabs>
          <w:tab w:val="left" w:pos="385"/>
        </w:tabs>
        <w:spacing w:line="276" w:lineRule="auto"/>
        <w:ind w:left="139" w:right="134" w:firstLine="0"/>
      </w:pPr>
      <w:r>
        <w:t>Promote QTBIPOC youth voice in environmental justice initiatives, research, working groups, and</w:t>
      </w:r>
      <w:r>
        <w:rPr>
          <w:spacing w:val="40"/>
        </w:rPr>
        <w:t xml:space="preserve"> </w:t>
      </w:r>
      <w:r>
        <w:t>task forces.</w:t>
      </w:r>
    </w:p>
    <w:p w:rsidR="00200FDA" w:rsidRDefault="00200FDA">
      <w:pPr>
        <w:pStyle w:val="BodyText"/>
        <w:spacing w:before="10"/>
        <w:rPr>
          <w:b/>
          <w:sz w:val="19"/>
        </w:rPr>
      </w:pPr>
    </w:p>
    <w:p w:rsidR="00200FDA" w:rsidRDefault="00F76C4C">
      <w:pPr>
        <w:pStyle w:val="BodyText"/>
        <w:spacing w:line="276" w:lineRule="auto"/>
        <w:ind w:left="139" w:right="134"/>
        <w:jc w:val="both"/>
      </w:pPr>
      <w:r>
        <w:t>As the Commonwealt</w:t>
      </w:r>
      <w:r>
        <w:t>h further explores its engagement in environmental and climate justice, the Commission strongly recommends that policymakers and agencies engage QTBIPOC youth in important discussions in recognition of their presence in environmental justice communities. F</w:t>
      </w:r>
      <w:r>
        <w:t xml:space="preserve">urthermore, the Commission advises that the state should engage LGBTQ youth in community-based participatory approaches when considering policies addressing toxic chemicals in makeup, and tobacco cessation </w:t>
      </w:r>
      <w:r>
        <w:rPr>
          <w:spacing w:val="-2"/>
        </w:rPr>
        <w:t>campaigns.</w:t>
      </w:r>
    </w:p>
    <w:p w:rsidR="00200FDA" w:rsidRDefault="00200FDA">
      <w:pPr>
        <w:pStyle w:val="BodyText"/>
        <w:spacing w:before="7"/>
        <w:rPr>
          <w:sz w:val="19"/>
        </w:rPr>
      </w:pPr>
    </w:p>
    <w:p w:rsidR="00200FDA" w:rsidRDefault="00F76C4C">
      <w:pPr>
        <w:pStyle w:val="Heading9"/>
        <w:numPr>
          <w:ilvl w:val="0"/>
          <w:numId w:val="25"/>
        </w:numPr>
        <w:tabs>
          <w:tab w:val="left" w:pos="361"/>
        </w:tabs>
        <w:ind w:left="360" w:hanging="222"/>
      </w:pPr>
      <w:r>
        <w:t>Improve</w:t>
      </w:r>
      <w:r>
        <w:rPr>
          <w:spacing w:val="-8"/>
        </w:rPr>
        <w:t xml:space="preserve"> </w:t>
      </w:r>
      <w:r>
        <w:t>access</w:t>
      </w:r>
      <w:r>
        <w:rPr>
          <w:spacing w:val="-3"/>
        </w:rPr>
        <w:t xml:space="preserve"> </w:t>
      </w:r>
      <w:r>
        <w:t>to</w:t>
      </w:r>
      <w:r>
        <w:rPr>
          <w:spacing w:val="-5"/>
        </w:rPr>
        <w:t xml:space="preserve"> </w:t>
      </w:r>
      <w:r>
        <w:t>quality</w:t>
      </w:r>
      <w:r>
        <w:rPr>
          <w:spacing w:val="-3"/>
        </w:rPr>
        <w:t xml:space="preserve"> </w:t>
      </w:r>
      <w:r>
        <w:t>health</w:t>
      </w:r>
      <w:r>
        <w:rPr>
          <w:spacing w:val="-7"/>
        </w:rPr>
        <w:t xml:space="preserve"> </w:t>
      </w:r>
      <w:r>
        <w:t>care,</w:t>
      </w:r>
      <w:r>
        <w:rPr>
          <w:spacing w:val="-4"/>
        </w:rPr>
        <w:t xml:space="preserve"> </w:t>
      </w:r>
      <w:r>
        <w:t>affordable</w:t>
      </w:r>
      <w:r>
        <w:rPr>
          <w:spacing w:val="-5"/>
        </w:rPr>
        <w:t xml:space="preserve"> </w:t>
      </w:r>
      <w:r>
        <w:t>housing,</w:t>
      </w:r>
      <w:r>
        <w:rPr>
          <w:spacing w:val="-3"/>
        </w:rPr>
        <w:t xml:space="preserve"> </w:t>
      </w:r>
      <w:r>
        <w:t>and</w:t>
      </w:r>
      <w:r>
        <w:rPr>
          <w:spacing w:val="-5"/>
        </w:rPr>
        <w:t xml:space="preserve"> </w:t>
      </w:r>
      <w:r>
        <w:t>stable</w:t>
      </w:r>
      <w:r>
        <w:rPr>
          <w:spacing w:val="-5"/>
        </w:rPr>
        <w:t xml:space="preserve"> </w:t>
      </w:r>
      <w:r>
        <w:rPr>
          <w:spacing w:val="-2"/>
        </w:rPr>
        <w:t>income.</w:t>
      </w:r>
    </w:p>
    <w:p w:rsidR="00200FDA" w:rsidRDefault="00200FDA">
      <w:pPr>
        <w:pStyle w:val="BodyText"/>
        <w:rPr>
          <w:b/>
          <w:sz w:val="23"/>
        </w:rPr>
      </w:pPr>
    </w:p>
    <w:p w:rsidR="00200FDA" w:rsidRDefault="00F76C4C">
      <w:pPr>
        <w:pStyle w:val="BodyText"/>
        <w:spacing w:before="1" w:line="276" w:lineRule="auto"/>
        <w:ind w:left="139" w:right="135"/>
        <w:jc w:val="both"/>
      </w:pPr>
      <w:r>
        <w:t>As</w:t>
      </w:r>
      <w:r>
        <w:rPr>
          <w:spacing w:val="-3"/>
        </w:rPr>
        <w:t xml:space="preserve"> </w:t>
      </w:r>
      <w:r>
        <w:t>detailed</w:t>
      </w:r>
      <w:r>
        <w:rPr>
          <w:spacing w:val="-6"/>
        </w:rPr>
        <w:t xml:space="preserve"> </w:t>
      </w:r>
      <w:r>
        <w:t>throughout</w:t>
      </w:r>
      <w:r>
        <w:rPr>
          <w:spacing w:val="-3"/>
        </w:rPr>
        <w:t xml:space="preserve"> </w:t>
      </w:r>
      <w:r>
        <w:t>the</w:t>
      </w:r>
      <w:r>
        <w:rPr>
          <w:spacing w:val="-7"/>
        </w:rPr>
        <w:t xml:space="preserve"> </w:t>
      </w:r>
      <w:r>
        <w:t>annual</w:t>
      </w:r>
      <w:r>
        <w:rPr>
          <w:spacing w:val="-4"/>
        </w:rPr>
        <w:t xml:space="preserve"> </w:t>
      </w:r>
      <w:r>
        <w:t>report,</w:t>
      </w:r>
      <w:r>
        <w:rPr>
          <w:spacing w:val="-6"/>
        </w:rPr>
        <w:t xml:space="preserve"> </w:t>
      </w:r>
      <w:r>
        <w:t>LGBTQ</w:t>
      </w:r>
      <w:r>
        <w:rPr>
          <w:spacing w:val="-5"/>
        </w:rPr>
        <w:t xml:space="preserve"> </w:t>
      </w:r>
      <w:r>
        <w:t>youth</w:t>
      </w:r>
      <w:r>
        <w:rPr>
          <w:spacing w:val="-4"/>
        </w:rPr>
        <w:t xml:space="preserve"> </w:t>
      </w:r>
      <w:r>
        <w:t>well-being</w:t>
      </w:r>
      <w:r>
        <w:rPr>
          <w:spacing w:val="-4"/>
        </w:rPr>
        <w:t xml:space="preserve"> </w:t>
      </w:r>
      <w:r>
        <w:t>is</w:t>
      </w:r>
      <w:r>
        <w:rPr>
          <w:spacing w:val="-3"/>
        </w:rPr>
        <w:t xml:space="preserve"> </w:t>
      </w:r>
      <w:r>
        <w:t>affected</w:t>
      </w:r>
      <w:r>
        <w:rPr>
          <w:spacing w:val="-4"/>
        </w:rPr>
        <w:t xml:space="preserve"> </w:t>
      </w:r>
      <w:r>
        <w:t>by</w:t>
      </w:r>
      <w:r>
        <w:rPr>
          <w:spacing w:val="-7"/>
        </w:rPr>
        <w:t xml:space="preserve"> </w:t>
      </w:r>
      <w:r>
        <w:t>a</w:t>
      </w:r>
      <w:r>
        <w:rPr>
          <w:spacing w:val="-4"/>
        </w:rPr>
        <w:t xml:space="preserve"> </w:t>
      </w:r>
      <w:r>
        <w:t>wide</w:t>
      </w:r>
      <w:r>
        <w:rPr>
          <w:spacing w:val="-3"/>
        </w:rPr>
        <w:t xml:space="preserve"> </w:t>
      </w:r>
      <w:r>
        <w:t>array</w:t>
      </w:r>
      <w:r>
        <w:rPr>
          <w:spacing w:val="-5"/>
        </w:rPr>
        <w:t xml:space="preserve"> </w:t>
      </w:r>
      <w:r>
        <w:t>of</w:t>
      </w:r>
      <w:r>
        <w:rPr>
          <w:spacing w:val="-6"/>
        </w:rPr>
        <w:t xml:space="preserve"> </w:t>
      </w:r>
      <w:r>
        <w:t>systemic inequities. In order to best address environmental well-being for LGBTQ youth, the state must simultaneously i</w:t>
      </w:r>
      <w:r>
        <w:t>mprove access to quality health care; increase access to affordable, accessible, stable, and safe housing; and</w:t>
      </w:r>
      <w:r>
        <w:rPr>
          <w:spacing w:val="-1"/>
        </w:rPr>
        <w:t xml:space="preserve"> </w:t>
      </w:r>
      <w:r>
        <w:t>address the significant wealth inequities disproportionately affecting</w:t>
      </w:r>
      <w:r>
        <w:rPr>
          <w:spacing w:val="-1"/>
        </w:rPr>
        <w:t xml:space="preserve"> </w:t>
      </w:r>
      <w:r>
        <w:t>BIPOC</w:t>
      </w:r>
      <w:r>
        <w:rPr>
          <w:spacing w:val="-1"/>
        </w:rPr>
        <w:t xml:space="preserve"> </w:t>
      </w:r>
      <w:r>
        <w:t>youth in Massachusetts.</w:t>
      </w:r>
    </w:p>
    <w:p w:rsidR="00200FDA" w:rsidRDefault="00200FDA">
      <w:pPr>
        <w:pStyle w:val="BodyText"/>
        <w:spacing w:before="10"/>
        <w:rPr>
          <w:sz w:val="32"/>
        </w:rPr>
      </w:pPr>
    </w:p>
    <w:p w:rsidR="00200FDA" w:rsidRDefault="00F76C4C">
      <w:pPr>
        <w:pStyle w:val="Heading7"/>
        <w:ind w:left="140"/>
        <w:jc w:val="both"/>
      </w:pPr>
      <w:r>
        <w:pict>
          <v:rect id="docshape476" o:spid="_x0000_s1130" style="position:absolute;left:0;text-align:left;margin-left:70.55pt;margin-top:18pt;width:470.9pt;height:.5pt;z-index:-15637504;mso-wrap-distance-left:0;mso-wrap-distance-right:0;mso-position-horizontal-relative:page" fillcolor="#4471c4" stroked="f">
            <w10:wrap type="topAndBottom" anchorx="page"/>
          </v:rect>
        </w:pict>
      </w:r>
      <w:bookmarkStart w:id="971" w:name="Research:_Understanding_Environmental_Ju"/>
      <w:bookmarkEnd w:id="971"/>
      <w:r>
        <w:rPr>
          <w:color w:val="2E5395"/>
        </w:rPr>
        <w:t>Research:</w:t>
      </w:r>
      <w:r>
        <w:rPr>
          <w:color w:val="2E5395"/>
          <w:spacing w:val="-11"/>
        </w:rPr>
        <w:t xml:space="preserve"> </w:t>
      </w:r>
      <w:r>
        <w:rPr>
          <w:color w:val="2E5395"/>
        </w:rPr>
        <w:t>Understanding</w:t>
      </w:r>
      <w:r>
        <w:rPr>
          <w:color w:val="2E5395"/>
          <w:spacing w:val="-9"/>
        </w:rPr>
        <w:t xml:space="preserve"> </w:t>
      </w:r>
      <w:r>
        <w:rPr>
          <w:color w:val="2E5395"/>
        </w:rPr>
        <w:t>Environmental</w:t>
      </w:r>
      <w:r>
        <w:rPr>
          <w:color w:val="2E5395"/>
          <w:spacing w:val="-8"/>
        </w:rPr>
        <w:t xml:space="preserve"> </w:t>
      </w:r>
      <w:r>
        <w:rPr>
          <w:color w:val="2E5395"/>
        </w:rPr>
        <w:t>Justice</w:t>
      </w:r>
      <w:r>
        <w:rPr>
          <w:color w:val="2E5395"/>
          <w:spacing w:val="-9"/>
        </w:rPr>
        <w:t xml:space="preserve"> </w:t>
      </w:r>
      <w:r>
        <w:rPr>
          <w:color w:val="2E5395"/>
        </w:rPr>
        <w:t>and</w:t>
      </w:r>
      <w:r>
        <w:rPr>
          <w:color w:val="2E5395"/>
          <w:spacing w:val="-10"/>
        </w:rPr>
        <w:t xml:space="preserve"> </w:t>
      </w:r>
      <w:r>
        <w:rPr>
          <w:color w:val="2E5395"/>
        </w:rPr>
        <w:t>LGBTQ</w:t>
      </w:r>
      <w:r>
        <w:rPr>
          <w:color w:val="2E5395"/>
          <w:spacing w:val="-7"/>
        </w:rPr>
        <w:t xml:space="preserve"> </w:t>
      </w:r>
      <w:r>
        <w:rPr>
          <w:color w:val="2E5395"/>
          <w:spacing w:val="-2"/>
        </w:rPr>
        <w:t>Youth</w:t>
      </w:r>
    </w:p>
    <w:p w:rsidR="00200FDA" w:rsidRDefault="00200FDA">
      <w:pPr>
        <w:pStyle w:val="BodyText"/>
        <w:rPr>
          <w:sz w:val="20"/>
        </w:rPr>
      </w:pPr>
    </w:p>
    <w:p w:rsidR="00200FDA" w:rsidRDefault="00200FDA">
      <w:pPr>
        <w:pStyle w:val="BodyText"/>
        <w:spacing w:before="4"/>
        <w:rPr>
          <w:sz w:val="20"/>
        </w:rPr>
      </w:pPr>
    </w:p>
    <w:p w:rsidR="00200FDA" w:rsidRDefault="00F76C4C">
      <w:pPr>
        <w:pStyle w:val="BodyText"/>
        <w:spacing w:before="56" w:line="276" w:lineRule="auto"/>
        <w:ind w:left="139" w:right="134"/>
        <w:jc w:val="both"/>
      </w:pPr>
      <w:r>
        <w:t>Environmental justice describes the right of all people to be protected from environmental hazards and to enjoy the benefits of a clean, healthy environment. Historically, environmental justice organizing emerged</w:t>
      </w:r>
      <w:r>
        <w:rPr>
          <w:spacing w:val="-13"/>
        </w:rPr>
        <w:t xml:space="preserve"> </w:t>
      </w:r>
      <w:r>
        <w:t>out</w:t>
      </w:r>
      <w:r>
        <w:rPr>
          <w:spacing w:val="-12"/>
        </w:rPr>
        <w:t xml:space="preserve"> </w:t>
      </w:r>
      <w:r>
        <w:t>of</w:t>
      </w:r>
      <w:r>
        <w:rPr>
          <w:spacing w:val="-13"/>
        </w:rPr>
        <w:t xml:space="preserve"> </w:t>
      </w:r>
      <w:r>
        <w:t>grassroots</w:t>
      </w:r>
      <w:r>
        <w:rPr>
          <w:spacing w:val="-12"/>
        </w:rPr>
        <w:t xml:space="preserve"> </w:t>
      </w:r>
      <w:r>
        <w:t>activism</w:t>
      </w:r>
      <w:r>
        <w:rPr>
          <w:spacing w:val="-13"/>
        </w:rPr>
        <w:t xml:space="preserve"> </w:t>
      </w:r>
      <w:r>
        <w:t>that</w:t>
      </w:r>
      <w:r>
        <w:rPr>
          <w:spacing w:val="-12"/>
        </w:rPr>
        <w:t xml:space="preserve"> </w:t>
      </w:r>
      <w:r>
        <w:t>sought</w:t>
      </w:r>
      <w:r>
        <w:rPr>
          <w:spacing w:val="-13"/>
        </w:rPr>
        <w:t xml:space="preserve"> </w:t>
      </w:r>
      <w:r>
        <w:t>to</w:t>
      </w:r>
      <w:r>
        <w:rPr>
          <w:spacing w:val="-9"/>
        </w:rPr>
        <w:t xml:space="preserve"> </w:t>
      </w:r>
      <w:r>
        <w:t>address</w:t>
      </w:r>
      <w:r>
        <w:rPr>
          <w:spacing w:val="-11"/>
        </w:rPr>
        <w:t xml:space="preserve"> </w:t>
      </w:r>
      <w:r>
        <w:t>the</w:t>
      </w:r>
      <w:r>
        <w:rPr>
          <w:spacing w:val="-11"/>
        </w:rPr>
        <w:t xml:space="preserve"> </w:t>
      </w:r>
      <w:r>
        <w:t>unfair</w:t>
      </w:r>
      <w:r>
        <w:rPr>
          <w:spacing w:val="-12"/>
        </w:rPr>
        <w:t xml:space="preserve"> </w:t>
      </w:r>
      <w:r>
        <w:t>exposure</w:t>
      </w:r>
      <w:r>
        <w:rPr>
          <w:spacing w:val="-12"/>
        </w:rPr>
        <w:t xml:space="preserve"> </w:t>
      </w:r>
      <w:r>
        <w:t>of</w:t>
      </w:r>
      <w:r>
        <w:rPr>
          <w:spacing w:val="-13"/>
        </w:rPr>
        <w:t xml:space="preserve"> </w:t>
      </w:r>
      <w:r>
        <w:t>poor,</w:t>
      </w:r>
      <w:r>
        <w:rPr>
          <w:spacing w:val="-12"/>
        </w:rPr>
        <w:t xml:space="preserve"> </w:t>
      </w:r>
      <w:r>
        <w:t>Black</w:t>
      </w:r>
      <w:r>
        <w:rPr>
          <w:spacing w:val="-13"/>
        </w:rPr>
        <w:t xml:space="preserve"> </w:t>
      </w:r>
      <w:r>
        <w:t>communities to industrial pollution and hazardous land uses through the lens of civil rights.</w:t>
      </w:r>
      <w:hyperlink w:anchor="_bookmark776" w:history="1">
        <w:r>
          <w:rPr>
            <w:vertAlign w:val="superscript"/>
          </w:rPr>
          <w:t>1</w:t>
        </w:r>
      </w:hyperlink>
      <w:r>
        <w:rPr>
          <w:spacing w:val="-3"/>
        </w:rPr>
        <w:t xml:space="preserve"> </w:t>
      </w:r>
      <w:r>
        <w:t>Environmental justice is also inextricably tied to Indigenous</w:t>
      </w:r>
      <w:r>
        <w:t xml:space="preserve"> rights and movements for Landback.</w:t>
      </w:r>
      <w:hyperlink w:anchor="_bookmark777" w:history="1">
        <w:r>
          <w:rPr>
            <w:vertAlign w:val="superscript"/>
          </w:rPr>
          <w:t>2</w:t>
        </w:r>
      </w:hyperlink>
      <w:r>
        <w:rPr>
          <w:spacing w:val="-2"/>
        </w:rPr>
        <w:t xml:space="preserve"> </w:t>
      </w:r>
      <w:r>
        <w:t>Indigenous communities are leaders</w:t>
      </w:r>
      <w:r>
        <w:rPr>
          <w:spacing w:val="-6"/>
        </w:rPr>
        <w:t xml:space="preserve"> </w:t>
      </w:r>
      <w:r>
        <w:t>in</w:t>
      </w:r>
      <w:r>
        <w:rPr>
          <w:spacing w:val="-7"/>
        </w:rPr>
        <w:t xml:space="preserve"> </w:t>
      </w:r>
      <w:r>
        <w:t>fighting</w:t>
      </w:r>
      <w:r>
        <w:rPr>
          <w:spacing w:val="-7"/>
        </w:rPr>
        <w:t xml:space="preserve"> </w:t>
      </w:r>
      <w:r>
        <w:t>fossil</w:t>
      </w:r>
      <w:r>
        <w:rPr>
          <w:spacing w:val="-6"/>
        </w:rPr>
        <w:t xml:space="preserve"> </w:t>
      </w:r>
      <w:r>
        <w:t>fuel</w:t>
      </w:r>
      <w:r>
        <w:rPr>
          <w:spacing w:val="-7"/>
        </w:rPr>
        <w:t xml:space="preserve"> </w:t>
      </w:r>
      <w:r>
        <w:t>expansion</w:t>
      </w:r>
      <w:r>
        <w:rPr>
          <w:spacing w:val="-7"/>
        </w:rPr>
        <w:t xml:space="preserve"> </w:t>
      </w:r>
      <w:r>
        <w:t>and</w:t>
      </w:r>
      <w:r>
        <w:rPr>
          <w:spacing w:val="-7"/>
        </w:rPr>
        <w:t xml:space="preserve"> </w:t>
      </w:r>
      <w:r>
        <w:t>industrial</w:t>
      </w:r>
      <w:r>
        <w:rPr>
          <w:spacing w:val="-7"/>
        </w:rPr>
        <w:t xml:space="preserve"> </w:t>
      </w:r>
      <w:r>
        <w:t>pollution,</w:t>
      </w:r>
      <w:r>
        <w:rPr>
          <w:spacing w:val="-6"/>
        </w:rPr>
        <w:t xml:space="preserve"> </w:t>
      </w:r>
      <w:r>
        <w:t>protecting</w:t>
      </w:r>
      <w:r>
        <w:rPr>
          <w:spacing w:val="-7"/>
        </w:rPr>
        <w:t xml:space="preserve"> </w:t>
      </w:r>
      <w:r>
        <w:t>shared</w:t>
      </w:r>
      <w:r>
        <w:rPr>
          <w:spacing w:val="-10"/>
        </w:rPr>
        <w:t xml:space="preserve"> </w:t>
      </w:r>
      <w:r>
        <w:t>resources</w:t>
      </w:r>
      <w:r>
        <w:rPr>
          <w:spacing w:val="-7"/>
        </w:rPr>
        <w:t xml:space="preserve"> </w:t>
      </w:r>
      <w:r>
        <w:t>such</w:t>
      </w:r>
      <w:r>
        <w:rPr>
          <w:spacing w:val="-7"/>
        </w:rPr>
        <w:t xml:space="preserve"> </w:t>
      </w:r>
      <w:r>
        <w:t>as</w:t>
      </w:r>
      <w:r>
        <w:rPr>
          <w:spacing w:val="-9"/>
        </w:rPr>
        <w:t xml:space="preserve"> </w:t>
      </w:r>
      <w:r>
        <w:t>clean</w:t>
      </w:r>
    </w:p>
    <w:p w:rsidR="00200FDA" w:rsidRDefault="00200FDA">
      <w:pPr>
        <w:spacing w:line="276" w:lineRule="auto"/>
        <w:jc w:val="both"/>
        <w:sectPr w:rsidR="00200FDA">
          <w:pgSz w:w="12240" w:h="15840"/>
          <w:pgMar w:top="1380" w:right="1300" w:bottom="1540" w:left="1300" w:header="758" w:footer="1297" w:gutter="0"/>
          <w:cols w:space="720"/>
        </w:sectPr>
      </w:pPr>
    </w:p>
    <w:p w:rsidR="00200FDA" w:rsidRDefault="00F76C4C">
      <w:pPr>
        <w:pStyle w:val="BodyText"/>
        <w:spacing w:before="46" w:line="276" w:lineRule="auto"/>
        <w:ind w:left="140" w:right="135"/>
        <w:jc w:val="both"/>
      </w:pPr>
      <w:r>
        <w:lastRenderedPageBreak/>
        <w:t>water,</w:t>
      </w:r>
      <w:r>
        <w:rPr>
          <w:spacing w:val="-9"/>
        </w:rPr>
        <w:t xml:space="preserve"> </w:t>
      </w:r>
      <w:r>
        <w:t>and</w:t>
      </w:r>
      <w:r>
        <w:rPr>
          <w:spacing w:val="-10"/>
        </w:rPr>
        <w:t xml:space="preserve"> </w:t>
      </w:r>
      <w:r>
        <w:t>stewarding</w:t>
      </w:r>
      <w:r>
        <w:rPr>
          <w:spacing w:val="-10"/>
        </w:rPr>
        <w:t xml:space="preserve"> </w:t>
      </w:r>
      <w:r>
        <w:t>the</w:t>
      </w:r>
      <w:r>
        <w:rPr>
          <w:spacing w:val="-8"/>
        </w:rPr>
        <w:t xml:space="preserve"> </w:t>
      </w:r>
      <w:r>
        <w:t>land</w:t>
      </w:r>
      <w:r>
        <w:rPr>
          <w:spacing w:val="-10"/>
        </w:rPr>
        <w:t xml:space="preserve"> </w:t>
      </w:r>
      <w:r>
        <w:t>and</w:t>
      </w:r>
      <w:r>
        <w:rPr>
          <w:spacing w:val="-10"/>
        </w:rPr>
        <w:t xml:space="preserve"> </w:t>
      </w:r>
      <w:r>
        <w:t>its</w:t>
      </w:r>
      <w:r>
        <w:rPr>
          <w:spacing w:val="-9"/>
        </w:rPr>
        <w:t xml:space="preserve"> </w:t>
      </w:r>
      <w:r>
        <w:t>biological</w:t>
      </w:r>
      <w:r>
        <w:rPr>
          <w:spacing w:val="-9"/>
        </w:rPr>
        <w:t xml:space="preserve"> </w:t>
      </w:r>
      <w:r>
        <w:t>diversity</w:t>
      </w:r>
      <w:r>
        <w:rPr>
          <w:spacing w:val="-8"/>
        </w:rPr>
        <w:t xml:space="preserve"> </w:t>
      </w:r>
      <w:r>
        <w:t>in</w:t>
      </w:r>
      <w:r>
        <w:rPr>
          <w:spacing w:val="-10"/>
        </w:rPr>
        <w:t xml:space="preserve"> </w:t>
      </w:r>
      <w:r>
        <w:t>Massachusetts,</w:t>
      </w:r>
      <w:r>
        <w:rPr>
          <w:spacing w:val="-9"/>
        </w:rPr>
        <w:t xml:space="preserve"> </w:t>
      </w:r>
      <w:r>
        <w:t>the</w:t>
      </w:r>
      <w:r>
        <w:rPr>
          <w:spacing w:val="-8"/>
        </w:rPr>
        <w:t xml:space="preserve"> </w:t>
      </w:r>
      <w:r>
        <w:t>United</w:t>
      </w:r>
      <w:r>
        <w:rPr>
          <w:spacing w:val="-10"/>
        </w:rPr>
        <w:t xml:space="preserve"> </w:t>
      </w:r>
      <w:r>
        <w:t>States,</w:t>
      </w:r>
      <w:r>
        <w:rPr>
          <w:spacing w:val="-9"/>
        </w:rPr>
        <w:t xml:space="preserve"> </w:t>
      </w:r>
      <w:r>
        <w:t>and</w:t>
      </w:r>
      <w:r>
        <w:rPr>
          <w:spacing w:val="-10"/>
        </w:rPr>
        <w:t xml:space="preserve"> </w:t>
      </w:r>
      <w:r>
        <w:t>across the globe.</w:t>
      </w:r>
      <w:hyperlink w:anchor="_bookmark778" w:history="1">
        <w:r>
          <w:rPr>
            <w:vertAlign w:val="superscript"/>
          </w:rPr>
          <w:t>3</w:t>
        </w:r>
      </w:hyperlink>
      <w:r>
        <w:rPr>
          <w:vertAlign w:val="superscript"/>
        </w:rPr>
        <w:t>,</w:t>
      </w:r>
      <w:hyperlink w:anchor="_bookmark779" w:history="1">
        <w:r>
          <w:rPr>
            <w:vertAlign w:val="superscript"/>
          </w:rPr>
          <w:t>4</w:t>
        </w:r>
      </w:hyperlink>
      <w:r>
        <w:t xml:space="preserve"> Restoring lands to Indigenous control is a crucial aspect of environmental justice.</w:t>
      </w:r>
      <w:hyperlink w:anchor="_bookmark780" w:history="1">
        <w:r>
          <w:rPr>
            <w:vertAlign w:val="superscript"/>
          </w:rPr>
          <w:t>5</w:t>
        </w:r>
      </w:hyperlink>
    </w:p>
    <w:p w:rsidR="00200FDA" w:rsidRDefault="00200FDA">
      <w:pPr>
        <w:pStyle w:val="BodyText"/>
        <w:spacing w:before="7"/>
        <w:rPr>
          <w:sz w:val="19"/>
        </w:rPr>
      </w:pPr>
    </w:p>
    <w:p w:rsidR="00200FDA" w:rsidRDefault="00F76C4C">
      <w:pPr>
        <w:pStyle w:val="BodyText"/>
        <w:spacing w:line="276" w:lineRule="auto"/>
        <w:ind w:left="139" w:right="135"/>
        <w:jc w:val="both"/>
      </w:pPr>
      <w:r>
        <w:t>One of the tenets of environmental justice as defined by the Massachusetts Executive Office of Energy and Environmental Affairs (EEA) is the “equal protection and meaningful involvement of all people and communities” in the environmental polic</w:t>
      </w:r>
      <w:r>
        <w:t>ymaking process.</w:t>
      </w:r>
      <w:hyperlink w:anchor="_bookmark781" w:history="1">
        <w:r>
          <w:rPr>
            <w:vertAlign w:val="superscript"/>
          </w:rPr>
          <w:t>6</w:t>
        </w:r>
      </w:hyperlink>
      <w:r>
        <w:rPr>
          <w:spacing w:val="-3"/>
        </w:rPr>
        <w:t xml:space="preserve"> </w:t>
      </w:r>
      <w:r>
        <w:t>Environmental justice principles have been incorporated into policies and programs at the federal, state, and local level to help address the disproportionate share of environmental burdens experienced by low-income communities and communities of color and</w:t>
      </w:r>
      <w:r>
        <w:t xml:space="preserve"> ensure a more equitable distribution of environmental assets, such as green space.</w:t>
      </w:r>
      <w:hyperlink w:anchor="_bookmark782" w:history="1">
        <w:r>
          <w:rPr>
            <w:vertAlign w:val="superscript"/>
          </w:rPr>
          <w:t>7</w:t>
        </w:r>
      </w:hyperlink>
      <w:r>
        <w:t xml:space="preserve"> Many of these programs and policies rely on identifying “environmental justice populations” based</w:t>
      </w:r>
      <w:r>
        <w:rPr>
          <w:spacing w:val="-10"/>
        </w:rPr>
        <w:t xml:space="preserve"> </w:t>
      </w:r>
      <w:r>
        <w:t>on</w:t>
      </w:r>
      <w:r>
        <w:rPr>
          <w:spacing w:val="-7"/>
        </w:rPr>
        <w:t xml:space="preserve"> </w:t>
      </w:r>
      <w:r>
        <w:t>census</w:t>
      </w:r>
      <w:r>
        <w:rPr>
          <w:spacing w:val="-7"/>
        </w:rPr>
        <w:t xml:space="preserve"> </w:t>
      </w:r>
      <w:r>
        <w:t>data</w:t>
      </w:r>
      <w:r>
        <w:rPr>
          <w:spacing w:val="-9"/>
        </w:rPr>
        <w:t xml:space="preserve"> </w:t>
      </w:r>
      <w:r>
        <w:t>on</w:t>
      </w:r>
      <w:r>
        <w:rPr>
          <w:spacing w:val="-10"/>
        </w:rPr>
        <w:t xml:space="preserve"> </w:t>
      </w:r>
      <w:r>
        <w:t>income,</w:t>
      </w:r>
      <w:r>
        <w:rPr>
          <w:spacing w:val="-9"/>
        </w:rPr>
        <w:t xml:space="preserve"> </w:t>
      </w:r>
      <w:r>
        <w:t>race,</w:t>
      </w:r>
      <w:r>
        <w:rPr>
          <w:spacing w:val="-9"/>
        </w:rPr>
        <w:t xml:space="preserve"> </w:t>
      </w:r>
      <w:r>
        <w:t>ethnicity</w:t>
      </w:r>
      <w:r>
        <w:t>,</w:t>
      </w:r>
      <w:r>
        <w:rPr>
          <w:spacing w:val="-9"/>
        </w:rPr>
        <w:t xml:space="preserve"> </w:t>
      </w:r>
      <w:r>
        <w:t>and</w:t>
      </w:r>
      <w:r>
        <w:rPr>
          <w:spacing w:val="-7"/>
        </w:rPr>
        <w:t xml:space="preserve"> </w:t>
      </w:r>
      <w:r>
        <w:t>English</w:t>
      </w:r>
      <w:r>
        <w:rPr>
          <w:spacing w:val="-7"/>
        </w:rPr>
        <w:t xml:space="preserve"> </w:t>
      </w:r>
      <w:r>
        <w:t>language</w:t>
      </w:r>
      <w:r>
        <w:rPr>
          <w:spacing w:val="-6"/>
        </w:rPr>
        <w:t xml:space="preserve"> </w:t>
      </w:r>
      <w:r>
        <w:t>proficiency.</w:t>
      </w:r>
      <w:hyperlink w:anchor="_bookmark783" w:history="1">
        <w:r>
          <w:rPr>
            <w:vertAlign w:val="superscript"/>
          </w:rPr>
          <w:t>8</w:t>
        </w:r>
      </w:hyperlink>
      <w:r>
        <w:rPr>
          <w:spacing w:val="-3"/>
        </w:rPr>
        <w:t xml:space="preserve"> </w:t>
      </w:r>
      <w:r>
        <w:t>In</w:t>
      </w:r>
      <w:r>
        <w:rPr>
          <w:spacing w:val="-7"/>
        </w:rPr>
        <w:t xml:space="preserve"> </w:t>
      </w:r>
      <w:r>
        <w:t>Massachusetts,</w:t>
      </w:r>
      <w:r>
        <w:rPr>
          <w:spacing w:val="-9"/>
        </w:rPr>
        <w:t xml:space="preserve"> </w:t>
      </w:r>
      <w:r>
        <w:t xml:space="preserve">the </w:t>
      </w:r>
      <w:bookmarkStart w:id="972" w:name="_bookmark776"/>
      <w:bookmarkEnd w:id="972"/>
      <w:r>
        <w:t xml:space="preserve">EEA works to engage environmental justice populations in environmental decision-making, improve </w:t>
      </w:r>
      <w:bookmarkStart w:id="973" w:name="_bookmark777"/>
      <w:bookmarkEnd w:id="973"/>
      <w:r>
        <w:t>neighborhood</w:t>
      </w:r>
      <w:r>
        <w:rPr>
          <w:spacing w:val="-6"/>
        </w:rPr>
        <w:t xml:space="preserve"> </w:t>
      </w:r>
      <w:r>
        <w:t>environmental</w:t>
      </w:r>
      <w:r>
        <w:rPr>
          <w:spacing w:val="-6"/>
        </w:rPr>
        <w:t xml:space="preserve"> </w:t>
      </w:r>
      <w:r>
        <w:t>quality,</w:t>
      </w:r>
      <w:r>
        <w:rPr>
          <w:spacing w:val="-5"/>
        </w:rPr>
        <w:t xml:space="preserve"> </w:t>
      </w:r>
      <w:r>
        <w:t>and</w:t>
      </w:r>
      <w:r>
        <w:rPr>
          <w:spacing w:val="-6"/>
        </w:rPr>
        <w:t xml:space="preserve"> </w:t>
      </w:r>
      <w:r>
        <w:t>protect</w:t>
      </w:r>
      <w:r>
        <w:rPr>
          <w:spacing w:val="-7"/>
        </w:rPr>
        <w:t xml:space="preserve"> </w:t>
      </w:r>
      <w:r>
        <w:t>communities</w:t>
      </w:r>
      <w:r>
        <w:rPr>
          <w:spacing w:val="-5"/>
        </w:rPr>
        <w:t xml:space="preserve"> </w:t>
      </w:r>
      <w:r>
        <w:t>from</w:t>
      </w:r>
      <w:r>
        <w:rPr>
          <w:spacing w:val="-4"/>
        </w:rPr>
        <w:t xml:space="preserve"> </w:t>
      </w:r>
      <w:r>
        <w:t>poll</w:t>
      </w:r>
      <w:r>
        <w:t>ution</w:t>
      </w:r>
      <w:r>
        <w:rPr>
          <w:spacing w:val="-6"/>
        </w:rPr>
        <w:t xml:space="preserve"> </w:t>
      </w:r>
      <w:r>
        <w:t>through</w:t>
      </w:r>
      <w:r>
        <w:rPr>
          <w:spacing w:val="-6"/>
        </w:rPr>
        <w:t xml:space="preserve"> </w:t>
      </w:r>
      <w:r>
        <w:t>its</w:t>
      </w:r>
      <w:r>
        <w:rPr>
          <w:spacing w:val="-5"/>
        </w:rPr>
        <w:t xml:space="preserve"> </w:t>
      </w:r>
      <w:r>
        <w:t xml:space="preserve">Environmental </w:t>
      </w:r>
      <w:bookmarkStart w:id="974" w:name="_bookmark778"/>
      <w:bookmarkEnd w:id="974"/>
      <w:r>
        <w:t>Justice Policy.</w:t>
      </w:r>
      <w:hyperlink w:anchor="_bookmark784" w:history="1">
        <w:r>
          <w:rPr>
            <w:vertAlign w:val="superscript"/>
          </w:rPr>
          <w:t>9</w:t>
        </w:r>
      </w:hyperlink>
    </w:p>
    <w:p w:rsidR="00200FDA" w:rsidRDefault="00200FDA">
      <w:pPr>
        <w:pStyle w:val="BodyText"/>
        <w:spacing w:before="9"/>
        <w:rPr>
          <w:sz w:val="19"/>
        </w:rPr>
      </w:pPr>
    </w:p>
    <w:p w:rsidR="00200FDA" w:rsidRDefault="00F76C4C">
      <w:pPr>
        <w:pStyle w:val="BodyText"/>
        <w:spacing w:line="276" w:lineRule="auto"/>
        <w:ind w:left="139" w:right="135"/>
        <w:jc w:val="both"/>
      </w:pPr>
      <w:bookmarkStart w:id="975" w:name="_bookmark779"/>
      <w:bookmarkEnd w:id="975"/>
      <w:r>
        <w:t xml:space="preserve">While environmental justice has traditionally focused on the disproportionate burdens faced by low- </w:t>
      </w:r>
      <w:bookmarkStart w:id="976" w:name="_bookmark780"/>
      <w:bookmarkEnd w:id="976"/>
      <w:r>
        <w:t>income communities of color, researchers and activists are increasingly re</w:t>
      </w:r>
      <w:r>
        <w:t>cognizing disparities in the environment</w:t>
      </w:r>
      <w:r>
        <w:rPr>
          <w:spacing w:val="-6"/>
        </w:rPr>
        <w:t xml:space="preserve"> </w:t>
      </w:r>
      <w:r>
        <w:t>based</w:t>
      </w:r>
      <w:r>
        <w:rPr>
          <w:spacing w:val="-7"/>
        </w:rPr>
        <w:t xml:space="preserve"> </w:t>
      </w:r>
      <w:r>
        <w:t>on</w:t>
      </w:r>
      <w:r>
        <w:rPr>
          <w:spacing w:val="-10"/>
        </w:rPr>
        <w:t xml:space="preserve"> </w:t>
      </w:r>
      <w:r>
        <w:t>many</w:t>
      </w:r>
      <w:r>
        <w:rPr>
          <w:spacing w:val="-6"/>
        </w:rPr>
        <w:t xml:space="preserve"> </w:t>
      </w:r>
      <w:r>
        <w:t>axes</w:t>
      </w:r>
      <w:r>
        <w:rPr>
          <w:spacing w:val="-9"/>
        </w:rPr>
        <w:t xml:space="preserve"> </w:t>
      </w:r>
      <w:r>
        <w:t>of</w:t>
      </w:r>
      <w:r>
        <w:rPr>
          <w:spacing w:val="-7"/>
        </w:rPr>
        <w:t xml:space="preserve"> </w:t>
      </w:r>
      <w:r>
        <w:t>oppression,</w:t>
      </w:r>
      <w:r>
        <w:rPr>
          <w:spacing w:val="-6"/>
        </w:rPr>
        <w:t xml:space="preserve"> </w:t>
      </w:r>
      <w:r>
        <w:t>such</w:t>
      </w:r>
      <w:r>
        <w:rPr>
          <w:spacing w:val="-10"/>
        </w:rPr>
        <w:t xml:space="preserve"> </w:t>
      </w:r>
      <w:r>
        <w:t>as</w:t>
      </w:r>
      <w:r>
        <w:rPr>
          <w:spacing w:val="-6"/>
        </w:rPr>
        <w:t xml:space="preserve"> </w:t>
      </w:r>
      <w:r>
        <w:t>gender,</w:t>
      </w:r>
      <w:r>
        <w:rPr>
          <w:spacing w:val="-7"/>
        </w:rPr>
        <w:t xml:space="preserve"> </w:t>
      </w:r>
      <w:r>
        <w:t>age,</w:t>
      </w:r>
      <w:r>
        <w:rPr>
          <w:spacing w:val="-6"/>
        </w:rPr>
        <w:t xml:space="preserve"> </w:t>
      </w:r>
      <w:r>
        <w:t>religion,</w:t>
      </w:r>
      <w:r>
        <w:rPr>
          <w:spacing w:val="-7"/>
        </w:rPr>
        <w:t xml:space="preserve"> </w:t>
      </w:r>
      <w:r>
        <w:t>immigration</w:t>
      </w:r>
      <w:r>
        <w:rPr>
          <w:spacing w:val="-7"/>
        </w:rPr>
        <w:t xml:space="preserve"> </w:t>
      </w:r>
      <w:r>
        <w:t>status,</w:t>
      </w:r>
      <w:r>
        <w:rPr>
          <w:spacing w:val="-6"/>
        </w:rPr>
        <w:t xml:space="preserve"> </w:t>
      </w:r>
      <w:r>
        <w:t xml:space="preserve">ability, </w:t>
      </w:r>
      <w:bookmarkStart w:id="977" w:name="_bookmark781"/>
      <w:bookmarkEnd w:id="977"/>
      <w:r>
        <w:t>and</w:t>
      </w:r>
      <w:r>
        <w:rPr>
          <w:spacing w:val="-7"/>
        </w:rPr>
        <w:t xml:space="preserve"> </w:t>
      </w:r>
      <w:r>
        <w:t>sexual</w:t>
      </w:r>
      <w:r>
        <w:rPr>
          <w:spacing w:val="-9"/>
        </w:rPr>
        <w:t xml:space="preserve"> </w:t>
      </w:r>
      <w:r>
        <w:t>orientation.</w:t>
      </w:r>
      <w:hyperlink w:anchor="_bookmark785" w:history="1">
        <w:r>
          <w:rPr>
            <w:vertAlign w:val="superscript"/>
          </w:rPr>
          <w:t>10</w:t>
        </w:r>
      </w:hyperlink>
      <w:r>
        <w:rPr>
          <w:spacing w:val="-3"/>
        </w:rPr>
        <w:t xml:space="preserve"> </w:t>
      </w:r>
      <w:r>
        <w:t>Intersectionality</w:t>
      </w:r>
      <w:r>
        <w:rPr>
          <w:spacing w:val="-6"/>
        </w:rPr>
        <w:t xml:space="preserve"> </w:t>
      </w:r>
      <w:r>
        <w:t>reminds</w:t>
      </w:r>
      <w:r>
        <w:rPr>
          <w:spacing w:val="-7"/>
        </w:rPr>
        <w:t xml:space="preserve"> </w:t>
      </w:r>
      <w:r>
        <w:t>us</w:t>
      </w:r>
      <w:r>
        <w:rPr>
          <w:spacing w:val="-9"/>
        </w:rPr>
        <w:t xml:space="preserve"> </w:t>
      </w:r>
      <w:r>
        <w:t>that</w:t>
      </w:r>
      <w:r>
        <w:rPr>
          <w:spacing w:val="-6"/>
        </w:rPr>
        <w:t xml:space="preserve"> </w:t>
      </w:r>
      <w:r>
        <w:t>examining</w:t>
      </w:r>
      <w:r>
        <w:rPr>
          <w:spacing w:val="-7"/>
        </w:rPr>
        <w:t xml:space="preserve"> </w:t>
      </w:r>
      <w:r>
        <w:t>environmental</w:t>
      </w:r>
      <w:r>
        <w:rPr>
          <w:spacing w:val="-7"/>
        </w:rPr>
        <w:t xml:space="preserve"> </w:t>
      </w:r>
      <w:r>
        <w:t>injustice</w:t>
      </w:r>
      <w:r>
        <w:rPr>
          <w:spacing w:val="-8"/>
        </w:rPr>
        <w:t xml:space="preserve"> </w:t>
      </w:r>
      <w:r>
        <w:t>through</w:t>
      </w:r>
      <w:r>
        <w:rPr>
          <w:spacing w:val="-10"/>
        </w:rPr>
        <w:t xml:space="preserve"> </w:t>
      </w:r>
      <w:r>
        <w:t xml:space="preserve">the </w:t>
      </w:r>
      <w:bookmarkStart w:id="978" w:name="_bookmark782"/>
      <w:bookmarkEnd w:id="978"/>
      <w:r>
        <w:t>lenses</w:t>
      </w:r>
      <w:r>
        <w:rPr>
          <w:spacing w:val="-4"/>
        </w:rPr>
        <w:t xml:space="preserve"> </w:t>
      </w:r>
      <w:r>
        <w:t>of</w:t>
      </w:r>
      <w:r>
        <w:rPr>
          <w:spacing w:val="-4"/>
        </w:rPr>
        <w:t xml:space="preserve"> </w:t>
      </w:r>
      <w:r>
        <w:t>race</w:t>
      </w:r>
      <w:r>
        <w:rPr>
          <w:spacing w:val="-4"/>
        </w:rPr>
        <w:t xml:space="preserve"> </w:t>
      </w:r>
      <w:r>
        <w:t>and</w:t>
      </w:r>
      <w:r>
        <w:rPr>
          <w:spacing w:val="-3"/>
        </w:rPr>
        <w:t xml:space="preserve"> </w:t>
      </w:r>
      <w:r>
        <w:t>class</w:t>
      </w:r>
      <w:r>
        <w:rPr>
          <w:spacing w:val="-2"/>
        </w:rPr>
        <w:t xml:space="preserve"> </w:t>
      </w:r>
      <w:r>
        <w:t>alone</w:t>
      </w:r>
      <w:r>
        <w:rPr>
          <w:spacing w:val="-1"/>
        </w:rPr>
        <w:t xml:space="preserve"> </w:t>
      </w:r>
      <w:r>
        <w:t>is</w:t>
      </w:r>
      <w:r>
        <w:rPr>
          <w:spacing w:val="-2"/>
        </w:rPr>
        <w:t xml:space="preserve"> </w:t>
      </w:r>
      <w:r>
        <w:t>not</w:t>
      </w:r>
      <w:r>
        <w:rPr>
          <w:spacing w:val="-4"/>
        </w:rPr>
        <w:t xml:space="preserve"> </w:t>
      </w:r>
      <w:r>
        <w:t>enough</w:t>
      </w:r>
      <w:r>
        <w:rPr>
          <w:spacing w:val="-4"/>
        </w:rPr>
        <w:t xml:space="preserve"> </w:t>
      </w:r>
      <w:r>
        <w:t>–</w:t>
      </w:r>
      <w:r>
        <w:rPr>
          <w:spacing w:val="-4"/>
        </w:rPr>
        <w:t xml:space="preserve"> </w:t>
      </w:r>
      <w:r>
        <w:t>we</w:t>
      </w:r>
      <w:r>
        <w:rPr>
          <w:spacing w:val="-4"/>
        </w:rPr>
        <w:t xml:space="preserve"> </w:t>
      </w:r>
      <w:r>
        <w:t>must</w:t>
      </w:r>
      <w:r>
        <w:rPr>
          <w:spacing w:val="-1"/>
        </w:rPr>
        <w:t xml:space="preserve"> </w:t>
      </w:r>
      <w:r>
        <w:t>consider</w:t>
      </w:r>
      <w:r>
        <w:rPr>
          <w:spacing w:val="-4"/>
        </w:rPr>
        <w:t xml:space="preserve"> </w:t>
      </w:r>
      <w:r>
        <w:t>the</w:t>
      </w:r>
      <w:r>
        <w:rPr>
          <w:spacing w:val="-1"/>
        </w:rPr>
        <w:t xml:space="preserve"> </w:t>
      </w:r>
      <w:r>
        <w:t>unique</w:t>
      </w:r>
      <w:r>
        <w:rPr>
          <w:spacing w:val="-4"/>
        </w:rPr>
        <w:t xml:space="preserve"> </w:t>
      </w:r>
      <w:r>
        <w:t>environmental</w:t>
      </w:r>
      <w:r>
        <w:rPr>
          <w:spacing w:val="-2"/>
        </w:rPr>
        <w:t xml:space="preserve"> </w:t>
      </w:r>
      <w:r>
        <w:t>injustices</w:t>
      </w:r>
      <w:r>
        <w:rPr>
          <w:spacing w:val="-4"/>
        </w:rPr>
        <w:t xml:space="preserve"> </w:t>
      </w:r>
      <w:r>
        <w:t xml:space="preserve">that </w:t>
      </w:r>
      <w:bookmarkStart w:id="979" w:name="_bookmark783"/>
      <w:bookmarkEnd w:id="979"/>
      <w:r>
        <w:t>LGBTQ, Indigenous, immigrant, and disabled communities experience, and, most crucially of all, the compounding</w:t>
      </w:r>
      <w:r>
        <w:rPr>
          <w:spacing w:val="-3"/>
        </w:rPr>
        <w:t xml:space="preserve"> </w:t>
      </w:r>
      <w:r>
        <w:t>injustices</w:t>
      </w:r>
      <w:r>
        <w:rPr>
          <w:spacing w:val="-4"/>
        </w:rPr>
        <w:t xml:space="preserve"> </w:t>
      </w:r>
      <w:r>
        <w:t>experienced</w:t>
      </w:r>
      <w:r>
        <w:rPr>
          <w:spacing w:val="-3"/>
        </w:rPr>
        <w:t xml:space="preserve"> </w:t>
      </w:r>
      <w:r>
        <w:t>by</w:t>
      </w:r>
      <w:r>
        <w:rPr>
          <w:spacing w:val="-1"/>
        </w:rPr>
        <w:t xml:space="preserve"> </w:t>
      </w:r>
      <w:r>
        <w:t>people</w:t>
      </w:r>
      <w:r>
        <w:rPr>
          <w:spacing w:val="-4"/>
        </w:rPr>
        <w:t xml:space="preserve"> </w:t>
      </w:r>
      <w:r>
        <w:t>who</w:t>
      </w:r>
      <w:r>
        <w:rPr>
          <w:spacing w:val="-1"/>
        </w:rPr>
        <w:t xml:space="preserve"> </w:t>
      </w:r>
      <w:r>
        <w:t>hold</w:t>
      </w:r>
      <w:r>
        <w:rPr>
          <w:spacing w:val="-3"/>
        </w:rPr>
        <w:t xml:space="preserve"> </w:t>
      </w:r>
      <w:r>
        <w:t>multiple</w:t>
      </w:r>
      <w:r>
        <w:rPr>
          <w:spacing w:val="-4"/>
        </w:rPr>
        <w:t xml:space="preserve"> </w:t>
      </w:r>
      <w:r>
        <w:t>oppressed</w:t>
      </w:r>
      <w:r>
        <w:rPr>
          <w:spacing w:val="-3"/>
        </w:rPr>
        <w:t xml:space="preserve"> </w:t>
      </w:r>
      <w:r>
        <w:t>identities,</w:t>
      </w:r>
      <w:r>
        <w:rPr>
          <w:spacing w:val="-2"/>
        </w:rPr>
        <w:t xml:space="preserve"> </w:t>
      </w:r>
      <w:r>
        <w:t>such</w:t>
      </w:r>
      <w:r>
        <w:rPr>
          <w:spacing w:val="-3"/>
        </w:rPr>
        <w:t xml:space="preserve"> </w:t>
      </w:r>
      <w:r>
        <w:t>as</w:t>
      </w:r>
      <w:r>
        <w:rPr>
          <w:spacing w:val="-4"/>
        </w:rPr>
        <w:t xml:space="preserve"> </w:t>
      </w:r>
      <w:r>
        <w:t xml:space="preserve">QTBIPOC </w:t>
      </w:r>
      <w:bookmarkStart w:id="980" w:name="_bookmark784"/>
      <w:bookmarkEnd w:id="980"/>
      <w:r>
        <w:rPr>
          <w:spacing w:val="-2"/>
        </w:rPr>
        <w:t>youth.</w:t>
      </w:r>
      <w:hyperlink w:anchor="_bookmark786" w:history="1">
        <w:r>
          <w:rPr>
            <w:spacing w:val="-2"/>
            <w:vertAlign w:val="superscript"/>
          </w:rPr>
          <w:t>11</w:t>
        </w:r>
      </w:hyperlink>
    </w:p>
    <w:p w:rsidR="00200FDA" w:rsidRDefault="00200FDA">
      <w:pPr>
        <w:pStyle w:val="BodyText"/>
        <w:spacing w:before="1"/>
        <w:rPr>
          <w:sz w:val="35"/>
        </w:rPr>
      </w:pPr>
    </w:p>
    <w:p w:rsidR="00200FDA" w:rsidRDefault="00F76C4C">
      <w:pPr>
        <w:pStyle w:val="Heading8"/>
        <w:spacing w:before="1"/>
      </w:pPr>
      <w:bookmarkStart w:id="981" w:name="Cumulative_Impacts_and_Social_Determinan"/>
      <w:bookmarkStart w:id="982" w:name="_bookmark785"/>
      <w:bookmarkStart w:id="983" w:name="_bookmark786"/>
      <w:bookmarkEnd w:id="981"/>
      <w:bookmarkEnd w:id="982"/>
      <w:bookmarkEnd w:id="983"/>
      <w:r>
        <w:rPr>
          <w:color w:val="2E5395"/>
        </w:rPr>
        <w:t>Cumulative</w:t>
      </w:r>
      <w:r>
        <w:rPr>
          <w:color w:val="2E5395"/>
          <w:spacing w:val="-5"/>
        </w:rPr>
        <w:t xml:space="preserve"> </w:t>
      </w:r>
      <w:r>
        <w:rPr>
          <w:color w:val="2E5395"/>
        </w:rPr>
        <w:t>Impacts</w:t>
      </w:r>
      <w:r>
        <w:rPr>
          <w:color w:val="2E5395"/>
          <w:spacing w:val="-2"/>
        </w:rPr>
        <w:t xml:space="preserve"> </w:t>
      </w:r>
      <w:r>
        <w:rPr>
          <w:color w:val="2E5395"/>
        </w:rPr>
        <w:t>and</w:t>
      </w:r>
      <w:r>
        <w:rPr>
          <w:color w:val="2E5395"/>
          <w:spacing w:val="-2"/>
        </w:rPr>
        <w:t xml:space="preserve"> </w:t>
      </w:r>
      <w:r>
        <w:rPr>
          <w:color w:val="2E5395"/>
        </w:rPr>
        <w:t>Social</w:t>
      </w:r>
      <w:r>
        <w:rPr>
          <w:color w:val="2E5395"/>
          <w:spacing w:val="-2"/>
        </w:rPr>
        <w:t xml:space="preserve"> </w:t>
      </w:r>
      <w:r>
        <w:rPr>
          <w:color w:val="2E5395"/>
        </w:rPr>
        <w:t>Determinants</w:t>
      </w:r>
      <w:r>
        <w:rPr>
          <w:color w:val="2E5395"/>
          <w:spacing w:val="-2"/>
        </w:rPr>
        <w:t xml:space="preserve"> </w:t>
      </w:r>
      <w:r>
        <w:rPr>
          <w:color w:val="2E5395"/>
        </w:rPr>
        <w:t>of</w:t>
      </w:r>
      <w:r>
        <w:rPr>
          <w:color w:val="2E5395"/>
          <w:spacing w:val="1"/>
        </w:rPr>
        <w:t xml:space="preserve"> </w:t>
      </w:r>
      <w:r>
        <w:rPr>
          <w:color w:val="2E5395"/>
          <w:spacing w:val="-2"/>
        </w:rPr>
        <w:t>Health</w:t>
      </w:r>
    </w:p>
    <w:p w:rsidR="00200FDA" w:rsidRDefault="00200FDA">
      <w:pPr>
        <w:pStyle w:val="BodyText"/>
        <w:spacing w:before="7"/>
        <w:rPr>
          <w:sz w:val="19"/>
        </w:rPr>
      </w:pPr>
    </w:p>
    <w:p w:rsidR="00200FDA" w:rsidRDefault="00F76C4C">
      <w:pPr>
        <w:pStyle w:val="BodyText"/>
        <w:spacing w:line="276" w:lineRule="auto"/>
        <w:ind w:left="139" w:right="134"/>
        <w:jc w:val="both"/>
      </w:pPr>
      <w:bookmarkStart w:id="984" w:name="_bookmark787"/>
      <w:bookmarkEnd w:id="984"/>
      <w:r>
        <w:t>Before</w:t>
      </w:r>
      <w:r>
        <w:rPr>
          <w:spacing w:val="-6"/>
        </w:rPr>
        <w:t xml:space="preserve"> </w:t>
      </w:r>
      <w:r>
        <w:t>we</w:t>
      </w:r>
      <w:r>
        <w:rPr>
          <w:spacing w:val="-6"/>
        </w:rPr>
        <w:t xml:space="preserve"> </w:t>
      </w:r>
      <w:r>
        <w:t>explore</w:t>
      </w:r>
      <w:r>
        <w:rPr>
          <w:spacing w:val="-8"/>
        </w:rPr>
        <w:t xml:space="preserve"> </w:t>
      </w:r>
      <w:r>
        <w:t>research</w:t>
      </w:r>
      <w:r>
        <w:rPr>
          <w:spacing w:val="-10"/>
        </w:rPr>
        <w:t xml:space="preserve"> </w:t>
      </w:r>
      <w:r>
        <w:t>on</w:t>
      </w:r>
      <w:r>
        <w:rPr>
          <w:spacing w:val="-7"/>
        </w:rPr>
        <w:t xml:space="preserve"> </w:t>
      </w:r>
      <w:r>
        <w:t>environmental</w:t>
      </w:r>
      <w:r>
        <w:rPr>
          <w:spacing w:val="-7"/>
        </w:rPr>
        <w:t xml:space="preserve"> </w:t>
      </w:r>
      <w:r>
        <w:t>inequities</w:t>
      </w:r>
      <w:r>
        <w:rPr>
          <w:spacing w:val="-7"/>
        </w:rPr>
        <w:t xml:space="preserve"> </w:t>
      </w:r>
      <w:r>
        <w:t>impacting</w:t>
      </w:r>
      <w:r>
        <w:rPr>
          <w:spacing w:val="-7"/>
        </w:rPr>
        <w:t xml:space="preserve"> </w:t>
      </w:r>
      <w:r>
        <w:t>LGBTQ</w:t>
      </w:r>
      <w:r>
        <w:rPr>
          <w:spacing w:val="-9"/>
        </w:rPr>
        <w:t xml:space="preserve"> </w:t>
      </w:r>
      <w:r>
        <w:t>youth,</w:t>
      </w:r>
      <w:r>
        <w:rPr>
          <w:spacing w:val="-9"/>
        </w:rPr>
        <w:t xml:space="preserve"> </w:t>
      </w:r>
      <w:r>
        <w:t>let’s</w:t>
      </w:r>
      <w:r>
        <w:rPr>
          <w:spacing w:val="-6"/>
        </w:rPr>
        <w:t xml:space="preserve"> </w:t>
      </w:r>
      <w:r>
        <w:t>first</w:t>
      </w:r>
      <w:r>
        <w:rPr>
          <w:spacing w:val="-6"/>
        </w:rPr>
        <w:t xml:space="preserve"> </w:t>
      </w:r>
      <w:r>
        <w:t>consider</w:t>
      </w:r>
      <w:r>
        <w:rPr>
          <w:spacing w:val="-7"/>
        </w:rPr>
        <w:t xml:space="preserve"> </w:t>
      </w:r>
      <w:r>
        <w:t>a</w:t>
      </w:r>
      <w:r>
        <w:rPr>
          <w:spacing w:val="-7"/>
        </w:rPr>
        <w:t xml:space="preserve"> </w:t>
      </w:r>
      <w:r>
        <w:t xml:space="preserve">few frameworks from public health that may help us better understand the relationship between exposures </w:t>
      </w:r>
      <w:bookmarkStart w:id="985" w:name="_bookmark788"/>
      <w:bookmarkEnd w:id="985"/>
      <w:r>
        <w:t>to toxic chemicals in the environment and negative health impacts, particularly for communities facing multiple stressors such as</w:t>
      </w:r>
      <w:r>
        <w:t xml:space="preserve"> LGBTQ youth. The relationship between exposure to pollution and the long- </w:t>
      </w:r>
      <w:bookmarkStart w:id="986" w:name="_bookmark789"/>
      <w:bookmarkEnd w:id="986"/>
      <w:r>
        <w:t xml:space="preserve">term impacts of that exposure on your health is rarely straightforward. First, there is often a time lag </w:t>
      </w:r>
      <w:bookmarkStart w:id="987" w:name="_bookmark790"/>
      <w:bookmarkEnd w:id="987"/>
      <w:r>
        <w:t>between the exposure and the development of a disease which makes it difficu</w:t>
      </w:r>
      <w:r>
        <w:t xml:space="preserve">lt to link the two. Furthermore, the long-term health conditions that are caused by toxic chemicals and environmental </w:t>
      </w:r>
      <w:bookmarkStart w:id="988" w:name="_bookmark791"/>
      <w:bookmarkEnd w:id="988"/>
      <w:r>
        <w:t>hazards</w:t>
      </w:r>
      <w:r>
        <w:rPr>
          <w:spacing w:val="-4"/>
        </w:rPr>
        <w:t xml:space="preserve"> </w:t>
      </w:r>
      <w:r>
        <w:t>are</w:t>
      </w:r>
      <w:r>
        <w:rPr>
          <w:spacing w:val="-6"/>
        </w:rPr>
        <w:t xml:space="preserve"> </w:t>
      </w:r>
      <w:r>
        <w:t>often</w:t>
      </w:r>
      <w:r>
        <w:rPr>
          <w:spacing w:val="-7"/>
        </w:rPr>
        <w:t xml:space="preserve"> </w:t>
      </w:r>
      <w:r>
        <w:t>complex</w:t>
      </w:r>
      <w:r>
        <w:rPr>
          <w:spacing w:val="-6"/>
        </w:rPr>
        <w:t xml:space="preserve"> </w:t>
      </w:r>
      <w:r>
        <w:t>and</w:t>
      </w:r>
      <w:r>
        <w:rPr>
          <w:spacing w:val="-5"/>
        </w:rPr>
        <w:t xml:space="preserve"> </w:t>
      </w:r>
      <w:r>
        <w:t>influenced</w:t>
      </w:r>
      <w:r>
        <w:rPr>
          <w:spacing w:val="-5"/>
        </w:rPr>
        <w:t xml:space="preserve"> </w:t>
      </w:r>
      <w:r>
        <w:t>by</w:t>
      </w:r>
      <w:r>
        <w:rPr>
          <w:spacing w:val="-6"/>
        </w:rPr>
        <w:t xml:space="preserve"> </w:t>
      </w:r>
      <w:r>
        <w:t>many</w:t>
      </w:r>
      <w:r>
        <w:rPr>
          <w:spacing w:val="-6"/>
        </w:rPr>
        <w:t xml:space="preserve"> </w:t>
      </w:r>
      <w:r>
        <w:t>genetic</w:t>
      </w:r>
      <w:r>
        <w:rPr>
          <w:spacing w:val="-4"/>
        </w:rPr>
        <w:t xml:space="preserve"> </w:t>
      </w:r>
      <w:r>
        <w:t>and</w:t>
      </w:r>
      <w:r>
        <w:rPr>
          <w:spacing w:val="-8"/>
        </w:rPr>
        <w:t xml:space="preserve"> </w:t>
      </w:r>
      <w:r>
        <w:t>environmental</w:t>
      </w:r>
      <w:r>
        <w:rPr>
          <w:spacing w:val="-7"/>
        </w:rPr>
        <w:t xml:space="preserve"> </w:t>
      </w:r>
      <w:r>
        <w:t>risk</w:t>
      </w:r>
      <w:r>
        <w:rPr>
          <w:spacing w:val="-4"/>
        </w:rPr>
        <w:t xml:space="preserve"> </w:t>
      </w:r>
      <w:r>
        <w:t>factors,</w:t>
      </w:r>
      <w:r>
        <w:rPr>
          <w:spacing w:val="-7"/>
        </w:rPr>
        <w:t xml:space="preserve"> </w:t>
      </w:r>
      <w:r>
        <w:t>making</w:t>
      </w:r>
      <w:r>
        <w:rPr>
          <w:spacing w:val="-7"/>
        </w:rPr>
        <w:t xml:space="preserve"> </w:t>
      </w:r>
      <w:r>
        <w:t>it</w:t>
      </w:r>
      <w:r>
        <w:rPr>
          <w:spacing w:val="-6"/>
        </w:rPr>
        <w:t xml:space="preserve"> </w:t>
      </w:r>
      <w:r>
        <w:t>very difficult to prove that a specific</w:t>
      </w:r>
      <w:r>
        <w:t xml:space="preserve"> exposure was the cause of a condition such as cancer or heart disease.</w:t>
      </w:r>
    </w:p>
    <w:p w:rsidR="00200FDA" w:rsidRDefault="00200FDA">
      <w:pPr>
        <w:pStyle w:val="BodyText"/>
        <w:spacing w:before="8"/>
        <w:rPr>
          <w:sz w:val="19"/>
        </w:rPr>
      </w:pPr>
    </w:p>
    <w:p w:rsidR="00200FDA" w:rsidRDefault="00F76C4C">
      <w:pPr>
        <w:pStyle w:val="BodyText"/>
        <w:spacing w:line="276" w:lineRule="auto"/>
        <w:ind w:left="139" w:right="133"/>
        <w:jc w:val="both"/>
      </w:pPr>
      <w:bookmarkStart w:id="989" w:name="_bookmark792"/>
      <w:bookmarkStart w:id="990" w:name="_bookmark793"/>
      <w:bookmarkEnd w:id="989"/>
      <w:bookmarkEnd w:id="990"/>
      <w:r>
        <w:t>To</w:t>
      </w:r>
      <w:r>
        <w:rPr>
          <w:spacing w:val="-8"/>
        </w:rPr>
        <w:t xml:space="preserve"> </w:t>
      </w:r>
      <w:r>
        <w:t>make</w:t>
      </w:r>
      <w:r>
        <w:rPr>
          <w:spacing w:val="-6"/>
        </w:rPr>
        <w:t xml:space="preserve"> </w:t>
      </w:r>
      <w:r>
        <w:t>matters</w:t>
      </w:r>
      <w:r>
        <w:rPr>
          <w:spacing w:val="-7"/>
        </w:rPr>
        <w:t xml:space="preserve"> </w:t>
      </w:r>
      <w:r>
        <w:t>even</w:t>
      </w:r>
      <w:r>
        <w:rPr>
          <w:spacing w:val="-10"/>
        </w:rPr>
        <w:t xml:space="preserve"> </w:t>
      </w:r>
      <w:r>
        <w:t>more</w:t>
      </w:r>
      <w:r>
        <w:rPr>
          <w:spacing w:val="-6"/>
        </w:rPr>
        <w:t xml:space="preserve"> </w:t>
      </w:r>
      <w:r>
        <w:t>complicated,</w:t>
      </w:r>
      <w:r>
        <w:rPr>
          <w:spacing w:val="-9"/>
        </w:rPr>
        <w:t xml:space="preserve"> </w:t>
      </w:r>
      <w:r>
        <w:t>most</w:t>
      </w:r>
      <w:r>
        <w:rPr>
          <w:spacing w:val="-6"/>
        </w:rPr>
        <w:t xml:space="preserve"> </w:t>
      </w:r>
      <w:r>
        <w:t>people</w:t>
      </w:r>
      <w:r>
        <w:rPr>
          <w:spacing w:val="-6"/>
        </w:rPr>
        <w:t xml:space="preserve"> </w:t>
      </w:r>
      <w:r>
        <w:t>are</w:t>
      </w:r>
      <w:r>
        <w:rPr>
          <w:spacing w:val="-6"/>
        </w:rPr>
        <w:t xml:space="preserve"> </w:t>
      </w:r>
      <w:r>
        <w:t>exposed</w:t>
      </w:r>
      <w:r>
        <w:rPr>
          <w:spacing w:val="-7"/>
        </w:rPr>
        <w:t xml:space="preserve"> </w:t>
      </w:r>
      <w:r>
        <w:t>to</w:t>
      </w:r>
      <w:r>
        <w:rPr>
          <w:spacing w:val="-5"/>
        </w:rPr>
        <w:t xml:space="preserve"> </w:t>
      </w:r>
      <w:r>
        <w:t>many</w:t>
      </w:r>
      <w:r>
        <w:rPr>
          <w:spacing w:val="-6"/>
        </w:rPr>
        <w:t xml:space="preserve"> </w:t>
      </w:r>
      <w:r>
        <w:t>chemicals</w:t>
      </w:r>
      <w:r>
        <w:rPr>
          <w:spacing w:val="-9"/>
        </w:rPr>
        <w:t xml:space="preserve"> </w:t>
      </w:r>
      <w:r>
        <w:t>over</w:t>
      </w:r>
      <w:r>
        <w:rPr>
          <w:spacing w:val="-7"/>
        </w:rPr>
        <w:t xml:space="preserve"> </w:t>
      </w:r>
      <w:r>
        <w:t>the</w:t>
      </w:r>
      <w:r>
        <w:rPr>
          <w:spacing w:val="-8"/>
        </w:rPr>
        <w:t xml:space="preserve"> </w:t>
      </w:r>
      <w:r>
        <w:t>course</w:t>
      </w:r>
      <w:r>
        <w:rPr>
          <w:spacing w:val="-8"/>
        </w:rPr>
        <w:t xml:space="preserve"> </w:t>
      </w:r>
      <w:r>
        <w:t xml:space="preserve">of </w:t>
      </w:r>
      <w:bookmarkStart w:id="991" w:name="_bookmark794"/>
      <w:bookmarkEnd w:id="991"/>
      <w:r>
        <w:t>their lifetime, and health conditions might not be caused by one specific exposure,</w:t>
      </w:r>
      <w:r>
        <w:t xml:space="preserve"> but they may rather </w:t>
      </w:r>
      <w:bookmarkStart w:id="992" w:name="_bookmark795"/>
      <w:bookmarkEnd w:id="992"/>
      <w:r>
        <w:t>be a result of the cumulative impact of all of these exposures added together over time. There are also many</w:t>
      </w:r>
      <w:r>
        <w:rPr>
          <w:spacing w:val="-6"/>
        </w:rPr>
        <w:t xml:space="preserve"> </w:t>
      </w:r>
      <w:r>
        <w:t>socioeconomic</w:t>
      </w:r>
      <w:r>
        <w:rPr>
          <w:spacing w:val="-7"/>
        </w:rPr>
        <w:t xml:space="preserve"> </w:t>
      </w:r>
      <w:r>
        <w:t>factors</w:t>
      </w:r>
      <w:r>
        <w:rPr>
          <w:spacing w:val="-4"/>
        </w:rPr>
        <w:t xml:space="preserve"> </w:t>
      </w:r>
      <w:r>
        <w:t>that</w:t>
      </w:r>
      <w:r>
        <w:rPr>
          <w:spacing w:val="-6"/>
        </w:rPr>
        <w:t xml:space="preserve"> </w:t>
      </w:r>
      <w:r>
        <w:t>play</w:t>
      </w:r>
      <w:r>
        <w:rPr>
          <w:spacing w:val="-6"/>
        </w:rPr>
        <w:t xml:space="preserve"> </w:t>
      </w:r>
      <w:r>
        <w:t>important</w:t>
      </w:r>
      <w:r>
        <w:rPr>
          <w:spacing w:val="-6"/>
        </w:rPr>
        <w:t xml:space="preserve"> </w:t>
      </w:r>
      <w:r>
        <w:t>mediating</w:t>
      </w:r>
      <w:r>
        <w:rPr>
          <w:spacing w:val="-5"/>
        </w:rPr>
        <w:t xml:space="preserve"> </w:t>
      </w:r>
      <w:r>
        <w:t>roles</w:t>
      </w:r>
      <w:r>
        <w:rPr>
          <w:spacing w:val="-4"/>
        </w:rPr>
        <w:t xml:space="preserve"> </w:t>
      </w:r>
      <w:r>
        <w:t>in</w:t>
      </w:r>
      <w:r>
        <w:rPr>
          <w:spacing w:val="-8"/>
        </w:rPr>
        <w:t xml:space="preserve"> </w:t>
      </w:r>
      <w:r>
        <w:t>determining</w:t>
      </w:r>
      <w:r>
        <w:rPr>
          <w:spacing w:val="-7"/>
        </w:rPr>
        <w:t xml:space="preserve"> </w:t>
      </w:r>
      <w:r>
        <w:t>the</w:t>
      </w:r>
      <w:r>
        <w:rPr>
          <w:spacing w:val="-4"/>
        </w:rPr>
        <w:t xml:space="preserve"> </w:t>
      </w:r>
      <w:r>
        <w:t>level</w:t>
      </w:r>
      <w:r>
        <w:rPr>
          <w:spacing w:val="-7"/>
        </w:rPr>
        <w:t xml:space="preserve"> </w:t>
      </w:r>
      <w:r>
        <w:t>of</w:t>
      </w:r>
      <w:r>
        <w:rPr>
          <w:spacing w:val="-7"/>
        </w:rPr>
        <w:t xml:space="preserve"> </w:t>
      </w:r>
      <w:r>
        <w:t>risk</w:t>
      </w:r>
      <w:r>
        <w:rPr>
          <w:spacing w:val="-6"/>
        </w:rPr>
        <w:t xml:space="preserve"> </w:t>
      </w:r>
      <w:r>
        <w:t>posed</w:t>
      </w:r>
      <w:r>
        <w:rPr>
          <w:spacing w:val="-5"/>
        </w:rPr>
        <w:t xml:space="preserve"> </w:t>
      </w:r>
      <w:r>
        <w:t xml:space="preserve">by </w:t>
      </w:r>
      <w:bookmarkStart w:id="993" w:name="_bookmark796"/>
      <w:bookmarkEnd w:id="993"/>
      <w:r>
        <w:t>a</w:t>
      </w:r>
      <w:r>
        <w:t>n exposure. For example, someone with stable access to food, housing, health care, and employment will</w:t>
      </w:r>
      <w:r>
        <w:rPr>
          <w:spacing w:val="-8"/>
        </w:rPr>
        <w:t xml:space="preserve"> </w:t>
      </w:r>
      <w:r>
        <w:t>likely</w:t>
      </w:r>
      <w:r>
        <w:rPr>
          <w:spacing w:val="-7"/>
        </w:rPr>
        <w:t xml:space="preserve"> </w:t>
      </w:r>
      <w:r>
        <w:t>be</w:t>
      </w:r>
      <w:r>
        <w:rPr>
          <w:spacing w:val="-10"/>
        </w:rPr>
        <w:t xml:space="preserve"> </w:t>
      </w:r>
      <w:r>
        <w:t>more</w:t>
      </w:r>
      <w:r>
        <w:rPr>
          <w:spacing w:val="-7"/>
        </w:rPr>
        <w:t xml:space="preserve"> </w:t>
      </w:r>
      <w:r>
        <w:t>resilient</w:t>
      </w:r>
      <w:r>
        <w:rPr>
          <w:spacing w:val="-10"/>
        </w:rPr>
        <w:t xml:space="preserve"> </w:t>
      </w:r>
      <w:r>
        <w:t>in</w:t>
      </w:r>
      <w:r>
        <w:rPr>
          <w:spacing w:val="-9"/>
        </w:rPr>
        <w:t xml:space="preserve"> </w:t>
      </w:r>
      <w:r>
        <w:t>the</w:t>
      </w:r>
      <w:r>
        <w:rPr>
          <w:spacing w:val="-7"/>
        </w:rPr>
        <w:t xml:space="preserve"> </w:t>
      </w:r>
      <w:r>
        <w:t>face</w:t>
      </w:r>
      <w:r>
        <w:rPr>
          <w:spacing w:val="-7"/>
        </w:rPr>
        <w:t xml:space="preserve"> </w:t>
      </w:r>
      <w:r>
        <w:t>of</w:t>
      </w:r>
      <w:r>
        <w:rPr>
          <w:spacing w:val="-8"/>
        </w:rPr>
        <w:t xml:space="preserve"> </w:t>
      </w:r>
      <w:r>
        <w:t>an</w:t>
      </w:r>
      <w:r>
        <w:rPr>
          <w:spacing w:val="-9"/>
        </w:rPr>
        <w:t xml:space="preserve"> </w:t>
      </w:r>
      <w:r>
        <w:t>exposure</w:t>
      </w:r>
      <w:r>
        <w:rPr>
          <w:spacing w:val="-7"/>
        </w:rPr>
        <w:t xml:space="preserve"> </w:t>
      </w:r>
      <w:r>
        <w:t>than</w:t>
      </w:r>
      <w:r>
        <w:rPr>
          <w:spacing w:val="-9"/>
        </w:rPr>
        <w:t xml:space="preserve"> </w:t>
      </w:r>
      <w:r>
        <w:t>someone</w:t>
      </w:r>
      <w:r>
        <w:rPr>
          <w:spacing w:val="-10"/>
        </w:rPr>
        <w:t xml:space="preserve"> </w:t>
      </w:r>
      <w:r>
        <w:t>who</w:t>
      </w:r>
      <w:r>
        <w:rPr>
          <w:spacing w:val="-7"/>
        </w:rPr>
        <w:t xml:space="preserve"> </w:t>
      </w:r>
      <w:r>
        <w:t>faces</w:t>
      </w:r>
      <w:r>
        <w:rPr>
          <w:spacing w:val="-8"/>
        </w:rPr>
        <w:t xml:space="preserve"> </w:t>
      </w:r>
      <w:r>
        <w:t>barriers</w:t>
      </w:r>
      <w:r>
        <w:rPr>
          <w:spacing w:val="-8"/>
        </w:rPr>
        <w:t xml:space="preserve"> </w:t>
      </w:r>
      <w:r>
        <w:t>to</w:t>
      </w:r>
      <w:r>
        <w:rPr>
          <w:spacing w:val="-7"/>
        </w:rPr>
        <w:t xml:space="preserve"> </w:t>
      </w:r>
      <w:r>
        <w:t>accessing</w:t>
      </w:r>
      <w:r>
        <w:rPr>
          <w:spacing w:val="-9"/>
        </w:rPr>
        <w:t xml:space="preserve"> </w:t>
      </w:r>
      <w:r>
        <w:t>these</w:t>
      </w:r>
    </w:p>
    <w:p w:rsidR="00200FDA" w:rsidRDefault="00200FDA">
      <w:pPr>
        <w:spacing w:line="276" w:lineRule="auto"/>
        <w:jc w:val="both"/>
        <w:sectPr w:rsidR="00200FDA">
          <w:pgSz w:w="12240" w:h="15840"/>
          <w:pgMar w:top="1380" w:right="1300" w:bottom="1540" w:left="1300" w:header="758" w:footer="1297" w:gutter="0"/>
          <w:cols w:space="720"/>
        </w:sectPr>
      </w:pPr>
    </w:p>
    <w:p w:rsidR="00200FDA" w:rsidRDefault="00F76C4C">
      <w:pPr>
        <w:pStyle w:val="BodyText"/>
        <w:spacing w:before="46" w:line="276" w:lineRule="auto"/>
        <w:ind w:left="140" w:right="133"/>
        <w:jc w:val="both"/>
      </w:pPr>
      <w:bookmarkStart w:id="994" w:name="_bookmark797"/>
      <w:bookmarkEnd w:id="994"/>
      <w:r>
        <w:lastRenderedPageBreak/>
        <w:t>resources. So, in light of these complexities, how can we make sense of the impacts of the environment on communities facing environmental injustice?</w:t>
      </w:r>
    </w:p>
    <w:p w:rsidR="00200FDA" w:rsidRDefault="00200FDA">
      <w:pPr>
        <w:pStyle w:val="BodyText"/>
        <w:spacing w:before="7"/>
        <w:rPr>
          <w:sz w:val="19"/>
        </w:rPr>
      </w:pPr>
    </w:p>
    <w:p w:rsidR="00200FDA" w:rsidRDefault="00F76C4C">
      <w:pPr>
        <w:pStyle w:val="BodyText"/>
        <w:spacing w:line="276" w:lineRule="auto"/>
        <w:ind w:left="139" w:right="133"/>
        <w:jc w:val="both"/>
      </w:pPr>
      <w:bookmarkStart w:id="995" w:name="_bookmark798"/>
      <w:bookmarkEnd w:id="995"/>
      <w:r>
        <w:t xml:space="preserve">Cumulative Impacts and Social Determinants of Health are two frameworks from environmental and </w:t>
      </w:r>
      <w:bookmarkStart w:id="996" w:name="_bookmark799"/>
      <w:bookmarkEnd w:id="996"/>
      <w:r>
        <w:t>public</w:t>
      </w:r>
      <w:r>
        <w:rPr>
          <w:spacing w:val="-11"/>
        </w:rPr>
        <w:t xml:space="preserve"> </w:t>
      </w:r>
      <w:r>
        <w:t>hea</w:t>
      </w:r>
      <w:r>
        <w:t>lth</w:t>
      </w:r>
      <w:r>
        <w:rPr>
          <w:spacing w:val="-11"/>
        </w:rPr>
        <w:t xml:space="preserve"> </w:t>
      </w:r>
      <w:r>
        <w:t>that</w:t>
      </w:r>
      <w:r>
        <w:rPr>
          <w:spacing w:val="-11"/>
        </w:rPr>
        <w:t xml:space="preserve"> </w:t>
      </w:r>
      <w:r>
        <w:t>can</w:t>
      </w:r>
      <w:r>
        <w:rPr>
          <w:spacing w:val="-12"/>
        </w:rPr>
        <w:t xml:space="preserve"> </w:t>
      </w:r>
      <w:r>
        <w:t>help</w:t>
      </w:r>
      <w:r>
        <w:rPr>
          <w:spacing w:val="-13"/>
        </w:rPr>
        <w:t xml:space="preserve"> </w:t>
      </w:r>
      <w:r>
        <w:t>us</w:t>
      </w:r>
      <w:r>
        <w:rPr>
          <w:spacing w:val="-9"/>
        </w:rPr>
        <w:t xml:space="preserve"> </w:t>
      </w:r>
      <w:r>
        <w:t>understand</w:t>
      </w:r>
      <w:r>
        <w:rPr>
          <w:spacing w:val="-12"/>
        </w:rPr>
        <w:t xml:space="preserve"> </w:t>
      </w:r>
      <w:r>
        <w:t>the</w:t>
      </w:r>
      <w:r>
        <w:rPr>
          <w:spacing w:val="-11"/>
        </w:rPr>
        <w:t xml:space="preserve"> </w:t>
      </w:r>
      <w:r>
        <w:t>relationship</w:t>
      </w:r>
      <w:r>
        <w:rPr>
          <w:spacing w:val="-10"/>
        </w:rPr>
        <w:t xml:space="preserve"> </w:t>
      </w:r>
      <w:r>
        <w:t>between</w:t>
      </w:r>
      <w:r>
        <w:rPr>
          <w:spacing w:val="-12"/>
        </w:rPr>
        <w:t xml:space="preserve"> </w:t>
      </w:r>
      <w:r>
        <w:t>exposure</w:t>
      </w:r>
      <w:r>
        <w:rPr>
          <w:spacing w:val="-11"/>
        </w:rPr>
        <w:t xml:space="preserve"> </w:t>
      </w:r>
      <w:r>
        <w:t>to</w:t>
      </w:r>
      <w:r>
        <w:rPr>
          <w:spacing w:val="-10"/>
        </w:rPr>
        <w:t xml:space="preserve"> </w:t>
      </w:r>
      <w:r>
        <w:t>pollution</w:t>
      </w:r>
      <w:r>
        <w:rPr>
          <w:spacing w:val="-12"/>
        </w:rPr>
        <w:t xml:space="preserve"> </w:t>
      </w:r>
      <w:r>
        <w:t>and</w:t>
      </w:r>
      <w:r>
        <w:rPr>
          <w:spacing w:val="-10"/>
        </w:rPr>
        <w:t xml:space="preserve"> </w:t>
      </w:r>
      <w:r>
        <w:t xml:space="preserve">detrimental long-term health outcomes. The Cumulative Impacts model of environmental health highlights the fact </w:t>
      </w:r>
      <w:bookmarkStart w:id="997" w:name="_bookmark800"/>
      <w:bookmarkEnd w:id="997"/>
      <w:r>
        <w:t>that,</w:t>
      </w:r>
      <w:r>
        <w:rPr>
          <w:spacing w:val="-1"/>
        </w:rPr>
        <w:t xml:space="preserve"> </w:t>
      </w:r>
      <w:r>
        <w:t>in</w:t>
      </w:r>
      <w:r>
        <w:rPr>
          <w:spacing w:val="-2"/>
        </w:rPr>
        <w:t xml:space="preserve"> </w:t>
      </w:r>
      <w:r>
        <w:t>the real</w:t>
      </w:r>
      <w:r>
        <w:rPr>
          <w:spacing w:val="-1"/>
        </w:rPr>
        <w:t xml:space="preserve"> </w:t>
      </w:r>
      <w:r>
        <w:t>world,</w:t>
      </w:r>
      <w:r>
        <w:rPr>
          <w:spacing w:val="-1"/>
        </w:rPr>
        <w:t xml:space="preserve"> </w:t>
      </w:r>
      <w:r>
        <w:t>people</w:t>
      </w:r>
      <w:r>
        <w:rPr>
          <w:spacing w:val="-1"/>
        </w:rPr>
        <w:t xml:space="preserve"> </w:t>
      </w:r>
      <w:r>
        <w:t>are rarely exposed</w:t>
      </w:r>
      <w:r>
        <w:rPr>
          <w:spacing w:val="-2"/>
        </w:rPr>
        <w:t xml:space="preserve"> </w:t>
      </w:r>
      <w:r>
        <w:t>to a</w:t>
      </w:r>
      <w:r>
        <w:rPr>
          <w:spacing w:val="-3"/>
        </w:rPr>
        <w:t xml:space="preserve"> </w:t>
      </w:r>
      <w:r>
        <w:t>single</w:t>
      </w:r>
      <w:r>
        <w:rPr>
          <w:spacing w:val="-1"/>
        </w:rPr>
        <w:t xml:space="preserve"> </w:t>
      </w:r>
      <w:r>
        <w:t>pollutant at a</w:t>
      </w:r>
      <w:r>
        <w:rPr>
          <w:spacing w:val="-1"/>
        </w:rPr>
        <w:t xml:space="preserve"> </w:t>
      </w:r>
      <w:r>
        <w:t>high</w:t>
      </w:r>
      <w:r>
        <w:rPr>
          <w:spacing w:val="-2"/>
        </w:rPr>
        <w:t xml:space="preserve"> </w:t>
      </w:r>
      <w:r>
        <w:t>concentration,</w:t>
      </w:r>
      <w:r>
        <w:rPr>
          <w:spacing w:val="-1"/>
        </w:rPr>
        <w:t xml:space="preserve"> </w:t>
      </w:r>
      <w:r>
        <w:t xml:space="preserve">but rather accumulate multiple burdens of chemical exposures and nonchemical co-stressors from many different </w:t>
      </w:r>
      <w:bookmarkStart w:id="998" w:name="_bookmark801"/>
      <w:bookmarkEnd w:id="998"/>
      <w:r>
        <w:t>exposures over their lifespan. Nonchemical co-stressors refer to factors that can worsen the health impa</w:t>
      </w:r>
      <w:r>
        <w:t xml:space="preserve">cts of exposure to pollution, such as access to health care, housing, and economic stability. The </w:t>
      </w:r>
      <w:bookmarkStart w:id="999" w:name="_bookmark802"/>
      <w:bookmarkEnd w:id="999"/>
      <w:r>
        <w:t xml:space="preserve">Cumulative Impacts approach reflects growing recognition that the health impacts of exposure to </w:t>
      </w:r>
      <w:bookmarkStart w:id="1000" w:name="_bookmark803"/>
      <w:bookmarkEnd w:id="1000"/>
      <w:r>
        <w:t>pollution must be examined in the context of socioeconomic sta</w:t>
      </w:r>
      <w:r>
        <w:t>tus, preexisting health conditions, and other</w:t>
      </w:r>
      <w:r>
        <w:rPr>
          <w:spacing w:val="-9"/>
        </w:rPr>
        <w:t xml:space="preserve"> </w:t>
      </w:r>
      <w:r>
        <w:t>environmental</w:t>
      </w:r>
      <w:r>
        <w:rPr>
          <w:spacing w:val="-7"/>
        </w:rPr>
        <w:t xml:space="preserve"> </w:t>
      </w:r>
      <w:r>
        <w:t>stressors</w:t>
      </w:r>
      <w:r>
        <w:rPr>
          <w:spacing w:val="-6"/>
        </w:rPr>
        <w:t xml:space="preserve"> </w:t>
      </w:r>
      <w:r>
        <w:t>such</w:t>
      </w:r>
      <w:r>
        <w:rPr>
          <w:spacing w:val="-7"/>
        </w:rPr>
        <w:t xml:space="preserve"> </w:t>
      </w:r>
      <w:r>
        <w:t>as</w:t>
      </w:r>
      <w:r>
        <w:rPr>
          <w:spacing w:val="-9"/>
        </w:rPr>
        <w:t xml:space="preserve"> </w:t>
      </w:r>
      <w:r>
        <w:t>extreme</w:t>
      </w:r>
      <w:r>
        <w:rPr>
          <w:spacing w:val="-8"/>
        </w:rPr>
        <w:t xml:space="preserve"> </w:t>
      </w:r>
      <w:r>
        <w:t>temperatures</w:t>
      </w:r>
      <w:r>
        <w:rPr>
          <w:spacing w:val="-7"/>
        </w:rPr>
        <w:t xml:space="preserve"> </w:t>
      </w:r>
      <w:r>
        <w:t>and</w:t>
      </w:r>
      <w:r>
        <w:rPr>
          <w:spacing w:val="-7"/>
        </w:rPr>
        <w:t xml:space="preserve"> </w:t>
      </w:r>
      <w:r>
        <w:t>lack</w:t>
      </w:r>
      <w:r>
        <w:rPr>
          <w:spacing w:val="-6"/>
        </w:rPr>
        <w:t xml:space="preserve"> </w:t>
      </w:r>
      <w:r>
        <w:t>of</w:t>
      </w:r>
      <w:r>
        <w:rPr>
          <w:spacing w:val="-9"/>
        </w:rPr>
        <w:t xml:space="preserve"> </w:t>
      </w:r>
      <w:r>
        <w:t>access</w:t>
      </w:r>
      <w:r>
        <w:rPr>
          <w:spacing w:val="-7"/>
        </w:rPr>
        <w:t xml:space="preserve"> </w:t>
      </w:r>
      <w:r>
        <w:t>to</w:t>
      </w:r>
      <w:r>
        <w:rPr>
          <w:spacing w:val="-5"/>
        </w:rPr>
        <w:t xml:space="preserve"> </w:t>
      </w:r>
      <w:r>
        <w:t>green</w:t>
      </w:r>
      <w:r>
        <w:rPr>
          <w:spacing w:val="-10"/>
        </w:rPr>
        <w:t xml:space="preserve"> </w:t>
      </w:r>
      <w:r>
        <w:t>space</w:t>
      </w:r>
      <w:r>
        <w:rPr>
          <w:spacing w:val="-8"/>
        </w:rPr>
        <w:t xml:space="preserve"> </w:t>
      </w:r>
      <w:r>
        <w:t>which</w:t>
      </w:r>
      <w:r>
        <w:rPr>
          <w:spacing w:val="-7"/>
        </w:rPr>
        <w:t xml:space="preserve"> </w:t>
      </w:r>
      <w:r>
        <w:t xml:space="preserve">can </w:t>
      </w:r>
      <w:bookmarkStart w:id="1001" w:name="_bookmark804"/>
      <w:bookmarkEnd w:id="1001"/>
      <w:r>
        <w:t xml:space="preserve">exacerbate the effects of exposure. </w:t>
      </w:r>
      <w:hyperlink w:anchor="_bookmark787" w:history="1">
        <w:r>
          <w:rPr>
            <w:vertAlign w:val="superscript"/>
          </w:rPr>
          <w:t>12</w:t>
        </w:r>
      </w:hyperlink>
      <w:r>
        <w:t xml:space="preserve"> Communities experiencing a disproportionat</w:t>
      </w:r>
      <w:r>
        <w:t xml:space="preserve">e burden of </w:t>
      </w:r>
      <w:bookmarkStart w:id="1002" w:name="_bookmark805"/>
      <w:bookmarkEnd w:id="1002"/>
      <w:r>
        <w:t xml:space="preserve">environmental health risks, often due to multiple environmental and socioeconomic stressors which act cumulatively to create persistent environmental health disparities, are sometimes referred to as </w:t>
      </w:r>
      <w:bookmarkStart w:id="1003" w:name="_bookmark806"/>
      <w:bookmarkEnd w:id="1003"/>
      <w:r>
        <w:t>“overburdened communities.”</w:t>
      </w:r>
      <w:hyperlink w:anchor="_bookmark788" w:history="1">
        <w:r>
          <w:rPr>
            <w:vertAlign w:val="superscript"/>
          </w:rPr>
          <w:t>13</w:t>
        </w:r>
      </w:hyperlink>
    </w:p>
    <w:p w:rsidR="00200FDA" w:rsidRDefault="00200FDA">
      <w:pPr>
        <w:pStyle w:val="BodyText"/>
        <w:spacing w:before="9"/>
        <w:rPr>
          <w:sz w:val="19"/>
        </w:rPr>
      </w:pPr>
    </w:p>
    <w:p w:rsidR="00200FDA" w:rsidRDefault="00F76C4C">
      <w:pPr>
        <w:pStyle w:val="BodyText"/>
        <w:spacing w:line="276" w:lineRule="auto"/>
        <w:ind w:left="139" w:right="132"/>
        <w:jc w:val="both"/>
      </w:pPr>
      <w:bookmarkStart w:id="1004" w:name="_bookmark807"/>
      <w:bookmarkStart w:id="1005" w:name="_bookmark808"/>
      <w:bookmarkEnd w:id="1004"/>
      <w:bookmarkEnd w:id="1005"/>
      <w:r>
        <w:t>Social</w:t>
      </w:r>
      <w:r>
        <w:rPr>
          <w:spacing w:val="-7"/>
        </w:rPr>
        <w:t xml:space="preserve"> </w:t>
      </w:r>
      <w:r>
        <w:t>Determinants</w:t>
      </w:r>
      <w:r>
        <w:rPr>
          <w:spacing w:val="-7"/>
        </w:rPr>
        <w:t xml:space="preserve"> </w:t>
      </w:r>
      <w:r>
        <w:t>of</w:t>
      </w:r>
      <w:r>
        <w:rPr>
          <w:spacing w:val="-5"/>
        </w:rPr>
        <w:t xml:space="preserve"> </w:t>
      </w:r>
      <w:r>
        <w:t>Health</w:t>
      </w:r>
      <w:r>
        <w:rPr>
          <w:spacing w:val="-5"/>
        </w:rPr>
        <w:t xml:space="preserve"> </w:t>
      </w:r>
      <w:r>
        <w:t>is</w:t>
      </w:r>
      <w:r>
        <w:rPr>
          <w:spacing w:val="-4"/>
        </w:rPr>
        <w:t xml:space="preserve"> </w:t>
      </w:r>
      <w:r>
        <w:t>another</w:t>
      </w:r>
      <w:r>
        <w:rPr>
          <w:spacing w:val="-7"/>
        </w:rPr>
        <w:t xml:space="preserve"> </w:t>
      </w:r>
      <w:r>
        <w:t>framework</w:t>
      </w:r>
      <w:r>
        <w:rPr>
          <w:spacing w:val="-6"/>
        </w:rPr>
        <w:t xml:space="preserve"> </w:t>
      </w:r>
      <w:r>
        <w:t>that</w:t>
      </w:r>
      <w:r>
        <w:rPr>
          <w:spacing w:val="-4"/>
        </w:rPr>
        <w:t xml:space="preserve"> </w:t>
      </w:r>
      <w:r>
        <w:t>describes</w:t>
      </w:r>
      <w:r>
        <w:rPr>
          <w:spacing w:val="-4"/>
        </w:rPr>
        <w:t xml:space="preserve"> </w:t>
      </w:r>
      <w:r>
        <w:t>how</w:t>
      </w:r>
      <w:r>
        <w:rPr>
          <w:spacing w:val="-6"/>
        </w:rPr>
        <w:t xml:space="preserve"> </w:t>
      </w:r>
      <w:r>
        <w:t>inequitable</w:t>
      </w:r>
      <w:r>
        <w:rPr>
          <w:spacing w:val="-4"/>
        </w:rPr>
        <w:t xml:space="preserve"> </w:t>
      </w:r>
      <w:r>
        <w:t>social</w:t>
      </w:r>
      <w:r>
        <w:rPr>
          <w:spacing w:val="-5"/>
        </w:rPr>
        <w:t xml:space="preserve"> </w:t>
      </w:r>
      <w:r>
        <w:t>systems</w:t>
      </w:r>
      <w:r>
        <w:rPr>
          <w:spacing w:val="-4"/>
        </w:rPr>
        <w:t xml:space="preserve"> </w:t>
      </w:r>
      <w:r>
        <w:t>create conditions for health inequalities among marginalized populations.</w:t>
      </w:r>
      <w:hyperlink w:anchor="_bookmark789" w:history="1">
        <w:r>
          <w:rPr>
            <w:vertAlign w:val="superscript"/>
          </w:rPr>
          <w:t>14</w:t>
        </w:r>
      </w:hyperlink>
      <w:r>
        <w:t xml:space="preserve"> Due to their marginalized status, </w:t>
      </w:r>
      <w:bookmarkStart w:id="1006" w:name="_bookmark809"/>
      <w:bookmarkEnd w:id="1006"/>
      <w:r>
        <w:t xml:space="preserve">residents of environmental justice communities may both bear a disproportionate burden of environmental health risk, and face additional barriers and burdens that contribute to worse health </w:t>
      </w:r>
      <w:bookmarkStart w:id="1007" w:name="_bookmark810"/>
      <w:bookmarkEnd w:id="1007"/>
      <w:r>
        <w:t>outcomes after exposure.</w:t>
      </w:r>
      <w:r>
        <w:rPr>
          <w:spacing w:val="-13"/>
        </w:rPr>
        <w:t xml:space="preserve"> </w:t>
      </w:r>
      <w:hyperlink w:anchor="_bookmark790" w:history="1">
        <w:r>
          <w:rPr>
            <w:vertAlign w:val="superscript"/>
          </w:rPr>
          <w:t>15</w:t>
        </w:r>
      </w:hyperlink>
      <w:r>
        <w:t xml:space="preserve"> For example, inequitable social systems affecting LGBTQ youth impede economic stability, prevent access to health care, increase rates of homelessness, and contribute to </w:t>
      </w:r>
      <w:bookmarkStart w:id="1008" w:name="_bookmark811"/>
      <w:bookmarkEnd w:id="1008"/>
      <w:r>
        <w:t>preexisting mental and physical health burdens. These fac</w:t>
      </w:r>
      <w:r>
        <w:t xml:space="preserve">tors both increase the risk of exposure to </w:t>
      </w:r>
      <w:bookmarkStart w:id="1009" w:name="_bookmark812"/>
      <w:bookmarkEnd w:id="1009"/>
      <w:r>
        <w:t>harmful pollution and reduce the capacity to respond to environmental harm, such as by accessing necessary</w:t>
      </w:r>
      <w:r>
        <w:rPr>
          <w:spacing w:val="-2"/>
        </w:rPr>
        <w:t xml:space="preserve"> </w:t>
      </w:r>
      <w:r>
        <w:t>health</w:t>
      </w:r>
      <w:r>
        <w:rPr>
          <w:spacing w:val="-4"/>
        </w:rPr>
        <w:t xml:space="preserve"> </w:t>
      </w:r>
      <w:r>
        <w:t>care.</w:t>
      </w:r>
      <w:hyperlink w:anchor="_bookmark791" w:history="1">
        <w:r>
          <w:rPr>
            <w:vertAlign w:val="superscript"/>
          </w:rPr>
          <w:t>16</w:t>
        </w:r>
      </w:hyperlink>
      <w:r>
        <w:rPr>
          <w:spacing w:val="-2"/>
        </w:rPr>
        <w:t xml:space="preserve"> </w:t>
      </w:r>
      <w:r>
        <w:t>Who</w:t>
      </w:r>
      <w:r>
        <w:rPr>
          <w:spacing w:val="-2"/>
        </w:rPr>
        <w:t xml:space="preserve"> </w:t>
      </w:r>
      <w:r>
        <w:t>can</w:t>
      </w:r>
      <w:r>
        <w:rPr>
          <w:spacing w:val="-6"/>
        </w:rPr>
        <w:t xml:space="preserve"> </w:t>
      </w:r>
      <w:r>
        <w:t>take</w:t>
      </w:r>
      <w:r>
        <w:rPr>
          <w:spacing w:val="-3"/>
        </w:rPr>
        <w:t xml:space="preserve"> </w:t>
      </w:r>
      <w:r>
        <w:t>paid</w:t>
      </w:r>
      <w:r>
        <w:rPr>
          <w:spacing w:val="-6"/>
        </w:rPr>
        <w:t xml:space="preserve"> </w:t>
      </w:r>
      <w:r>
        <w:t>time</w:t>
      </w:r>
      <w:r>
        <w:rPr>
          <w:spacing w:val="-5"/>
        </w:rPr>
        <w:t xml:space="preserve"> </w:t>
      </w:r>
      <w:r>
        <w:t>off</w:t>
      </w:r>
      <w:r>
        <w:rPr>
          <w:spacing w:val="-6"/>
        </w:rPr>
        <w:t xml:space="preserve"> </w:t>
      </w:r>
      <w:r>
        <w:t>work</w:t>
      </w:r>
      <w:r>
        <w:rPr>
          <w:spacing w:val="-3"/>
        </w:rPr>
        <w:t xml:space="preserve"> </w:t>
      </w:r>
      <w:r>
        <w:t>due</w:t>
      </w:r>
      <w:r>
        <w:rPr>
          <w:spacing w:val="-5"/>
        </w:rPr>
        <w:t xml:space="preserve"> </w:t>
      </w:r>
      <w:r>
        <w:t>to</w:t>
      </w:r>
      <w:r>
        <w:rPr>
          <w:spacing w:val="-5"/>
        </w:rPr>
        <w:t xml:space="preserve"> </w:t>
      </w:r>
      <w:r>
        <w:t>a</w:t>
      </w:r>
      <w:r>
        <w:rPr>
          <w:spacing w:val="-6"/>
        </w:rPr>
        <w:t xml:space="preserve"> </w:t>
      </w:r>
      <w:r>
        <w:t>medical</w:t>
      </w:r>
      <w:r>
        <w:rPr>
          <w:spacing w:val="-4"/>
        </w:rPr>
        <w:t xml:space="preserve"> </w:t>
      </w:r>
      <w:r>
        <w:t>condition,</w:t>
      </w:r>
      <w:r>
        <w:rPr>
          <w:spacing w:val="-3"/>
        </w:rPr>
        <w:t xml:space="preserve"> </w:t>
      </w:r>
      <w:r>
        <w:t>and</w:t>
      </w:r>
      <w:r>
        <w:rPr>
          <w:spacing w:val="-6"/>
        </w:rPr>
        <w:t xml:space="preserve"> </w:t>
      </w:r>
      <w:r>
        <w:t>who</w:t>
      </w:r>
      <w:r>
        <w:rPr>
          <w:spacing w:val="-7"/>
        </w:rPr>
        <w:t xml:space="preserve"> </w:t>
      </w:r>
      <w:r>
        <w:t>might</w:t>
      </w:r>
      <w:r>
        <w:rPr>
          <w:spacing w:val="-3"/>
        </w:rPr>
        <w:t xml:space="preserve"> </w:t>
      </w:r>
      <w:r>
        <w:t xml:space="preserve">lose </w:t>
      </w:r>
      <w:bookmarkStart w:id="1010" w:name="_bookmark813"/>
      <w:bookmarkStart w:id="1011" w:name="_bookmark814"/>
      <w:bookmarkEnd w:id="1010"/>
      <w:bookmarkEnd w:id="1011"/>
      <w:r>
        <w:t>their</w:t>
      </w:r>
      <w:r>
        <w:rPr>
          <w:spacing w:val="-2"/>
        </w:rPr>
        <w:t xml:space="preserve"> </w:t>
      </w:r>
      <w:r>
        <w:t>source</w:t>
      </w:r>
      <w:r>
        <w:rPr>
          <w:spacing w:val="-4"/>
        </w:rPr>
        <w:t xml:space="preserve"> </w:t>
      </w:r>
      <w:r>
        <w:t>of</w:t>
      </w:r>
      <w:r>
        <w:rPr>
          <w:spacing w:val="-4"/>
        </w:rPr>
        <w:t xml:space="preserve"> </w:t>
      </w:r>
      <w:r>
        <w:t>income</w:t>
      </w:r>
      <w:r>
        <w:rPr>
          <w:spacing w:val="-1"/>
        </w:rPr>
        <w:t xml:space="preserve"> </w:t>
      </w:r>
      <w:r>
        <w:t>as</w:t>
      </w:r>
      <w:r>
        <w:rPr>
          <w:spacing w:val="-2"/>
        </w:rPr>
        <w:t xml:space="preserve"> </w:t>
      </w:r>
      <w:r>
        <w:t>a</w:t>
      </w:r>
      <w:r>
        <w:rPr>
          <w:spacing w:val="-7"/>
        </w:rPr>
        <w:t xml:space="preserve"> </w:t>
      </w:r>
      <w:r>
        <w:t>result?</w:t>
      </w:r>
      <w:r>
        <w:rPr>
          <w:spacing w:val="-3"/>
        </w:rPr>
        <w:t xml:space="preserve"> </w:t>
      </w:r>
      <w:r>
        <w:t>Who</w:t>
      </w:r>
      <w:r>
        <w:rPr>
          <w:spacing w:val="-3"/>
        </w:rPr>
        <w:t xml:space="preserve"> </w:t>
      </w:r>
      <w:r>
        <w:t>has</w:t>
      </w:r>
      <w:r>
        <w:rPr>
          <w:spacing w:val="-4"/>
        </w:rPr>
        <w:t xml:space="preserve"> </w:t>
      </w:r>
      <w:r>
        <w:t>access</w:t>
      </w:r>
      <w:r>
        <w:rPr>
          <w:spacing w:val="-4"/>
        </w:rPr>
        <w:t xml:space="preserve"> </w:t>
      </w:r>
      <w:r>
        <w:t>to</w:t>
      </w:r>
      <w:r>
        <w:rPr>
          <w:spacing w:val="-3"/>
        </w:rPr>
        <w:t xml:space="preserve"> </w:t>
      </w:r>
      <w:r>
        <w:t>regular</w:t>
      </w:r>
      <w:r>
        <w:rPr>
          <w:spacing w:val="-2"/>
        </w:rPr>
        <w:t xml:space="preserve"> </w:t>
      </w:r>
      <w:r>
        <w:t>cancer</w:t>
      </w:r>
      <w:r>
        <w:rPr>
          <w:spacing w:val="-4"/>
        </w:rPr>
        <w:t xml:space="preserve"> </w:t>
      </w:r>
      <w:r>
        <w:t>screenings,</w:t>
      </w:r>
      <w:r>
        <w:rPr>
          <w:spacing w:val="-2"/>
        </w:rPr>
        <w:t xml:space="preserve"> </w:t>
      </w:r>
      <w:r>
        <w:t>and</w:t>
      </w:r>
      <w:r>
        <w:rPr>
          <w:spacing w:val="-3"/>
        </w:rPr>
        <w:t xml:space="preserve"> </w:t>
      </w:r>
      <w:r>
        <w:t>who</w:t>
      </w:r>
      <w:r>
        <w:rPr>
          <w:spacing w:val="-5"/>
        </w:rPr>
        <w:t xml:space="preserve"> </w:t>
      </w:r>
      <w:r>
        <w:t>might</w:t>
      </w:r>
      <w:r>
        <w:rPr>
          <w:spacing w:val="-4"/>
        </w:rPr>
        <w:t xml:space="preserve"> </w:t>
      </w:r>
      <w:r>
        <w:t>not</w:t>
      </w:r>
      <w:r>
        <w:rPr>
          <w:spacing w:val="-4"/>
        </w:rPr>
        <w:t xml:space="preserve"> </w:t>
      </w:r>
      <w:r>
        <w:t xml:space="preserve">have regular access to a doctor, resulting in a later diagnosis? Who has greater access to green space, which </w:t>
      </w:r>
      <w:bookmarkStart w:id="1012" w:name="_bookmark815"/>
      <w:bookmarkEnd w:id="1012"/>
      <w:r>
        <w:t>h</w:t>
      </w:r>
      <w:r>
        <w:t xml:space="preserve">as been shown to support mental and physical health? Social Determinants of Health reminds us that </w:t>
      </w:r>
      <w:bookmarkStart w:id="1013" w:name="_bookmark816"/>
      <w:bookmarkEnd w:id="1013"/>
      <w:r>
        <w:t xml:space="preserve">while it is important to examine disparities in who is exposed to pollution, exposure is only half of the </w:t>
      </w:r>
      <w:bookmarkStart w:id="1014" w:name="_bookmark817"/>
      <w:bookmarkEnd w:id="1014"/>
      <w:r>
        <w:t>story. We must also consider who experiences the co</w:t>
      </w:r>
      <w:r>
        <w:t>nditions for health and wellbeing, and who is at greater</w:t>
      </w:r>
      <w:r>
        <w:rPr>
          <w:spacing w:val="-9"/>
        </w:rPr>
        <w:t xml:space="preserve"> </w:t>
      </w:r>
      <w:r>
        <w:t>risk</w:t>
      </w:r>
      <w:r>
        <w:rPr>
          <w:spacing w:val="-9"/>
        </w:rPr>
        <w:t xml:space="preserve"> </w:t>
      </w:r>
      <w:r>
        <w:t>of</w:t>
      </w:r>
      <w:r>
        <w:rPr>
          <w:spacing w:val="-9"/>
        </w:rPr>
        <w:t xml:space="preserve"> </w:t>
      </w:r>
      <w:r>
        <w:t>harm</w:t>
      </w:r>
      <w:r>
        <w:rPr>
          <w:spacing w:val="-9"/>
        </w:rPr>
        <w:t xml:space="preserve"> </w:t>
      </w:r>
      <w:r>
        <w:t>due</w:t>
      </w:r>
      <w:r>
        <w:rPr>
          <w:spacing w:val="-9"/>
        </w:rPr>
        <w:t xml:space="preserve"> </w:t>
      </w:r>
      <w:r>
        <w:t>to</w:t>
      </w:r>
      <w:r>
        <w:rPr>
          <w:spacing w:val="-10"/>
        </w:rPr>
        <w:t xml:space="preserve"> </w:t>
      </w:r>
      <w:r>
        <w:t>the</w:t>
      </w:r>
      <w:r>
        <w:rPr>
          <w:spacing w:val="-9"/>
        </w:rPr>
        <w:t xml:space="preserve"> </w:t>
      </w:r>
      <w:r>
        <w:t>social</w:t>
      </w:r>
      <w:r>
        <w:rPr>
          <w:spacing w:val="-9"/>
        </w:rPr>
        <w:t xml:space="preserve"> </w:t>
      </w:r>
      <w:r>
        <w:t>and</w:t>
      </w:r>
      <w:r>
        <w:rPr>
          <w:spacing w:val="-10"/>
        </w:rPr>
        <w:t xml:space="preserve"> </w:t>
      </w:r>
      <w:r>
        <w:t>institutional</w:t>
      </w:r>
      <w:r>
        <w:rPr>
          <w:spacing w:val="-9"/>
        </w:rPr>
        <w:t xml:space="preserve"> </w:t>
      </w:r>
      <w:r>
        <w:t>marginalization</w:t>
      </w:r>
      <w:r>
        <w:rPr>
          <w:spacing w:val="-10"/>
        </w:rPr>
        <w:t xml:space="preserve"> </w:t>
      </w:r>
      <w:r>
        <w:t>that</w:t>
      </w:r>
      <w:r>
        <w:rPr>
          <w:spacing w:val="-9"/>
        </w:rPr>
        <w:t xml:space="preserve"> </w:t>
      </w:r>
      <w:r>
        <w:t>accompanies</w:t>
      </w:r>
      <w:r>
        <w:rPr>
          <w:spacing w:val="-9"/>
        </w:rPr>
        <w:t xml:space="preserve"> </w:t>
      </w:r>
      <w:r>
        <w:t xml:space="preserve">disproportionate </w:t>
      </w:r>
      <w:bookmarkStart w:id="1015" w:name="_bookmark818"/>
      <w:bookmarkEnd w:id="1015"/>
      <w:r>
        <w:rPr>
          <w:spacing w:val="-2"/>
        </w:rPr>
        <w:t>exposure.</w:t>
      </w:r>
    </w:p>
    <w:p w:rsidR="00200FDA" w:rsidRDefault="00200FDA">
      <w:pPr>
        <w:pStyle w:val="BodyText"/>
      </w:pPr>
    </w:p>
    <w:p w:rsidR="00200FDA" w:rsidRDefault="00200FDA">
      <w:pPr>
        <w:pStyle w:val="BodyText"/>
        <w:spacing w:before="1"/>
        <w:rPr>
          <w:sz w:val="19"/>
        </w:rPr>
      </w:pPr>
    </w:p>
    <w:p w:rsidR="00200FDA" w:rsidRDefault="00F76C4C">
      <w:pPr>
        <w:pStyle w:val="Heading8"/>
        <w:spacing w:before="1"/>
      </w:pPr>
      <w:bookmarkStart w:id="1016" w:name="Data_Limitations"/>
      <w:bookmarkStart w:id="1017" w:name="_bookmark819"/>
      <w:bookmarkStart w:id="1018" w:name="_bookmark820"/>
      <w:bookmarkEnd w:id="1016"/>
      <w:bookmarkEnd w:id="1017"/>
      <w:bookmarkEnd w:id="1018"/>
      <w:r>
        <w:rPr>
          <w:color w:val="2E5395"/>
        </w:rPr>
        <w:t xml:space="preserve">Data </w:t>
      </w:r>
      <w:r>
        <w:rPr>
          <w:color w:val="2E5395"/>
          <w:spacing w:val="-2"/>
        </w:rPr>
        <w:t>Limitations</w:t>
      </w:r>
    </w:p>
    <w:p w:rsidR="00200FDA" w:rsidRDefault="00200FDA">
      <w:pPr>
        <w:pStyle w:val="BodyText"/>
        <w:spacing w:before="7"/>
        <w:rPr>
          <w:sz w:val="19"/>
        </w:rPr>
      </w:pPr>
    </w:p>
    <w:p w:rsidR="00200FDA" w:rsidRDefault="00F76C4C">
      <w:pPr>
        <w:pStyle w:val="BodyText"/>
        <w:spacing w:line="276" w:lineRule="auto"/>
        <w:ind w:left="140" w:right="133"/>
        <w:jc w:val="both"/>
      </w:pPr>
      <w:bookmarkStart w:id="1019" w:name="_bookmark821"/>
      <w:bookmarkEnd w:id="1019"/>
      <w:r>
        <w:t>Unfortunately, there are significant data gaps when it comes to examin</w:t>
      </w:r>
      <w:r>
        <w:t xml:space="preserve">ing the environmental justice </w:t>
      </w:r>
      <w:bookmarkStart w:id="1020" w:name="_bookmark822"/>
      <w:bookmarkEnd w:id="1020"/>
      <w:r>
        <w:t xml:space="preserve">needs of LGBTQ youth. Gender and sexuality are still not commonly considered as important factors in </w:t>
      </w:r>
      <w:bookmarkStart w:id="1021" w:name="_bookmark823"/>
      <w:bookmarkEnd w:id="1021"/>
      <w:r>
        <w:t>environmental justice research, and there are limited studies and data sources that explore the intersections</w:t>
      </w:r>
      <w:r>
        <w:rPr>
          <w:spacing w:val="20"/>
        </w:rPr>
        <w:t xml:space="preserve"> </w:t>
      </w:r>
      <w:r>
        <w:t>of</w:t>
      </w:r>
      <w:r>
        <w:rPr>
          <w:spacing w:val="22"/>
        </w:rPr>
        <w:t xml:space="preserve"> </w:t>
      </w:r>
      <w:r>
        <w:t>gender</w:t>
      </w:r>
      <w:r>
        <w:rPr>
          <w:spacing w:val="22"/>
        </w:rPr>
        <w:t xml:space="preserve"> </w:t>
      </w:r>
      <w:r>
        <w:t>and</w:t>
      </w:r>
      <w:r>
        <w:rPr>
          <w:spacing w:val="21"/>
        </w:rPr>
        <w:t xml:space="preserve"> </w:t>
      </w:r>
      <w:r>
        <w:t>s</w:t>
      </w:r>
      <w:r>
        <w:t>exuality</w:t>
      </w:r>
      <w:r>
        <w:rPr>
          <w:spacing w:val="21"/>
        </w:rPr>
        <w:t xml:space="preserve"> </w:t>
      </w:r>
      <w:r>
        <w:t>with</w:t>
      </w:r>
      <w:r>
        <w:rPr>
          <w:spacing w:val="21"/>
        </w:rPr>
        <w:t xml:space="preserve"> </w:t>
      </w:r>
      <w:r>
        <w:t>access</w:t>
      </w:r>
      <w:r>
        <w:rPr>
          <w:spacing w:val="22"/>
        </w:rPr>
        <w:t xml:space="preserve"> </w:t>
      </w:r>
      <w:r>
        <w:t>to</w:t>
      </w:r>
      <w:r>
        <w:rPr>
          <w:spacing w:val="21"/>
        </w:rPr>
        <w:t xml:space="preserve"> </w:t>
      </w:r>
      <w:r>
        <w:t>environmental</w:t>
      </w:r>
      <w:r>
        <w:rPr>
          <w:spacing w:val="22"/>
        </w:rPr>
        <w:t xml:space="preserve"> </w:t>
      </w:r>
      <w:r>
        <w:t>benefits</w:t>
      </w:r>
      <w:r>
        <w:rPr>
          <w:spacing w:val="22"/>
        </w:rPr>
        <w:t xml:space="preserve"> </w:t>
      </w:r>
      <w:r>
        <w:t>and</w:t>
      </w:r>
      <w:r>
        <w:rPr>
          <w:spacing w:val="21"/>
        </w:rPr>
        <w:t xml:space="preserve"> </w:t>
      </w:r>
      <w:r>
        <w:t>exposure</w:t>
      </w:r>
      <w:r>
        <w:rPr>
          <w:spacing w:val="20"/>
        </w:rPr>
        <w:t xml:space="preserve"> </w:t>
      </w:r>
      <w:r>
        <w:t>to</w:t>
      </w:r>
      <w:r>
        <w:rPr>
          <w:spacing w:val="23"/>
        </w:rPr>
        <w:t xml:space="preserve"> </w:t>
      </w:r>
      <w:r>
        <w:t>hazards.</w:t>
      </w:r>
    </w:p>
    <w:p w:rsidR="00200FDA" w:rsidRDefault="00200FDA">
      <w:pPr>
        <w:spacing w:line="276" w:lineRule="auto"/>
        <w:jc w:val="both"/>
        <w:sectPr w:rsidR="00200FDA">
          <w:pgSz w:w="12240" w:h="15840"/>
          <w:pgMar w:top="1380" w:right="1300" w:bottom="1540" w:left="1300" w:header="758" w:footer="1297" w:gutter="0"/>
          <w:cols w:space="720"/>
        </w:sectPr>
      </w:pPr>
    </w:p>
    <w:p w:rsidR="00200FDA" w:rsidRDefault="00F76C4C">
      <w:pPr>
        <w:pStyle w:val="BodyText"/>
        <w:spacing w:before="46" w:line="276" w:lineRule="auto"/>
        <w:ind w:left="139" w:right="133"/>
        <w:jc w:val="both"/>
      </w:pPr>
      <w:bookmarkStart w:id="1022" w:name="_bookmark824"/>
      <w:bookmarkEnd w:id="1022"/>
      <w:r>
        <w:lastRenderedPageBreak/>
        <w:t>Overall,</w:t>
      </w:r>
      <w:r>
        <w:rPr>
          <w:spacing w:val="-2"/>
        </w:rPr>
        <w:t xml:space="preserve"> </w:t>
      </w:r>
      <w:r>
        <w:t>there</w:t>
      </w:r>
      <w:r>
        <w:rPr>
          <w:spacing w:val="-1"/>
        </w:rPr>
        <w:t xml:space="preserve"> </w:t>
      </w:r>
      <w:r>
        <w:t>is limited data on where LGBTQ people</w:t>
      </w:r>
      <w:r>
        <w:rPr>
          <w:spacing w:val="-2"/>
        </w:rPr>
        <w:t xml:space="preserve"> </w:t>
      </w:r>
      <w:r>
        <w:t>live,</w:t>
      </w:r>
      <w:r>
        <w:rPr>
          <w:spacing w:val="-2"/>
        </w:rPr>
        <w:t xml:space="preserve"> </w:t>
      </w:r>
      <w:r>
        <w:t>which poses a challenge to understanding the environmental injustices faced by LGBTQ communities since much of environmental justice research depends</w:t>
      </w:r>
      <w:r>
        <w:rPr>
          <w:spacing w:val="-6"/>
        </w:rPr>
        <w:t xml:space="preserve"> </w:t>
      </w:r>
      <w:r>
        <w:t>on</w:t>
      </w:r>
      <w:r>
        <w:rPr>
          <w:spacing w:val="-6"/>
        </w:rPr>
        <w:t xml:space="preserve"> </w:t>
      </w:r>
      <w:r>
        <w:t>residence</w:t>
      </w:r>
      <w:r>
        <w:rPr>
          <w:spacing w:val="-5"/>
        </w:rPr>
        <w:t xml:space="preserve"> </w:t>
      </w:r>
      <w:r>
        <w:t>data.</w:t>
      </w:r>
      <w:r>
        <w:rPr>
          <w:spacing w:val="-6"/>
        </w:rPr>
        <w:t xml:space="preserve"> </w:t>
      </w:r>
      <w:r>
        <w:t>For</w:t>
      </w:r>
      <w:r>
        <w:rPr>
          <w:spacing w:val="-6"/>
        </w:rPr>
        <w:t xml:space="preserve"> </w:t>
      </w:r>
      <w:r>
        <w:t>instance,</w:t>
      </w:r>
      <w:r>
        <w:rPr>
          <w:spacing w:val="-6"/>
        </w:rPr>
        <w:t xml:space="preserve"> </w:t>
      </w:r>
      <w:r>
        <w:t>U.S.</w:t>
      </w:r>
      <w:r>
        <w:rPr>
          <w:spacing w:val="-6"/>
        </w:rPr>
        <w:t xml:space="preserve"> </w:t>
      </w:r>
      <w:r>
        <w:t>Census</w:t>
      </w:r>
      <w:r>
        <w:rPr>
          <w:spacing w:val="-8"/>
        </w:rPr>
        <w:t xml:space="preserve"> </w:t>
      </w:r>
      <w:r>
        <w:t>Bureau</w:t>
      </w:r>
      <w:r>
        <w:rPr>
          <w:spacing w:val="-6"/>
        </w:rPr>
        <w:t xml:space="preserve"> </w:t>
      </w:r>
      <w:r>
        <w:t>data</w:t>
      </w:r>
      <w:r>
        <w:rPr>
          <w:spacing w:val="-6"/>
        </w:rPr>
        <w:t xml:space="preserve"> </w:t>
      </w:r>
      <w:r>
        <w:t>is</w:t>
      </w:r>
      <w:r>
        <w:rPr>
          <w:spacing w:val="-6"/>
        </w:rPr>
        <w:t xml:space="preserve"> </w:t>
      </w:r>
      <w:r>
        <w:t>widely</w:t>
      </w:r>
      <w:r>
        <w:rPr>
          <w:spacing w:val="-5"/>
        </w:rPr>
        <w:t xml:space="preserve"> </w:t>
      </w:r>
      <w:r>
        <w:t>used</w:t>
      </w:r>
      <w:r>
        <w:rPr>
          <w:spacing w:val="-9"/>
        </w:rPr>
        <w:t xml:space="preserve"> </w:t>
      </w:r>
      <w:r>
        <w:t>to</w:t>
      </w:r>
      <w:r>
        <w:rPr>
          <w:spacing w:val="-4"/>
        </w:rPr>
        <w:t xml:space="preserve"> </w:t>
      </w:r>
      <w:r>
        <w:t>examine</w:t>
      </w:r>
      <w:r>
        <w:rPr>
          <w:spacing w:val="-5"/>
        </w:rPr>
        <w:t xml:space="preserve"> </w:t>
      </w:r>
      <w:r>
        <w:t>disparities</w:t>
      </w:r>
      <w:r>
        <w:rPr>
          <w:spacing w:val="-6"/>
        </w:rPr>
        <w:t xml:space="preserve"> </w:t>
      </w:r>
      <w:r>
        <w:t xml:space="preserve">in </w:t>
      </w:r>
      <w:bookmarkStart w:id="1023" w:name="_bookmark825"/>
      <w:bookmarkEnd w:id="1023"/>
      <w:r>
        <w:t>exposure</w:t>
      </w:r>
      <w:r>
        <w:t xml:space="preserve"> to environmental hazards and access to environmental benefits and does not typically include </w:t>
      </w:r>
      <w:bookmarkStart w:id="1024" w:name="_bookmark826"/>
      <w:bookmarkEnd w:id="1024"/>
      <w:r>
        <w:t>expansive SOGIE (sexual orientation and gender identity/expression) data. The 2020 Census did give people the option to identify a relationship as same-sex for th</w:t>
      </w:r>
      <w:r>
        <w:t xml:space="preserve">e first time, but this comes nowhere close </w:t>
      </w:r>
      <w:bookmarkStart w:id="1025" w:name="_bookmark827"/>
      <w:bookmarkEnd w:id="1025"/>
      <w:r>
        <w:t xml:space="preserve">to encompassing the diversity of LGBTQ communities. Data on same-sex households omits partners that don’t live together, single LGBTQ people, most LGBTQ youth, many bisexual and trans people, and still </w:t>
      </w:r>
      <w:bookmarkStart w:id="1026" w:name="_bookmark828"/>
      <w:bookmarkEnd w:id="1026"/>
      <w:r>
        <w:t>operates</w:t>
      </w:r>
      <w:r>
        <w:rPr>
          <w:spacing w:val="-2"/>
        </w:rPr>
        <w:t xml:space="preserve"> </w:t>
      </w:r>
      <w:r>
        <w:t>wi</w:t>
      </w:r>
      <w:r>
        <w:t>thin the gender</w:t>
      </w:r>
      <w:r>
        <w:rPr>
          <w:spacing w:val="-2"/>
        </w:rPr>
        <w:t xml:space="preserve"> </w:t>
      </w:r>
      <w:r>
        <w:t>binary,</w:t>
      </w:r>
      <w:r>
        <w:rPr>
          <w:spacing w:val="-2"/>
        </w:rPr>
        <w:t xml:space="preserve"> </w:t>
      </w:r>
      <w:r>
        <w:t>excluding nonbinary and intersex people.</w:t>
      </w:r>
      <w:hyperlink w:anchor="_bookmark792" w:history="1">
        <w:r>
          <w:rPr>
            <w:vertAlign w:val="superscript"/>
          </w:rPr>
          <w:t>17</w:t>
        </w:r>
      </w:hyperlink>
      <w:r>
        <w:rPr>
          <w:spacing w:val="-3"/>
        </w:rPr>
        <w:t xml:space="preserve"> </w:t>
      </w:r>
      <w:r>
        <w:t>Collecting</w:t>
      </w:r>
      <w:r>
        <w:rPr>
          <w:spacing w:val="-3"/>
        </w:rPr>
        <w:t xml:space="preserve"> </w:t>
      </w:r>
      <w:r>
        <w:t>more</w:t>
      </w:r>
      <w:r>
        <w:rPr>
          <w:spacing w:val="-1"/>
        </w:rPr>
        <w:t xml:space="preserve"> </w:t>
      </w:r>
      <w:r>
        <w:t>complete LGBTQ</w:t>
      </w:r>
      <w:r>
        <w:rPr>
          <w:spacing w:val="-6"/>
        </w:rPr>
        <w:t xml:space="preserve"> </w:t>
      </w:r>
      <w:r>
        <w:t>residence</w:t>
      </w:r>
      <w:r>
        <w:rPr>
          <w:spacing w:val="-6"/>
        </w:rPr>
        <w:t xml:space="preserve"> </w:t>
      </w:r>
      <w:r>
        <w:t>data</w:t>
      </w:r>
      <w:r>
        <w:rPr>
          <w:spacing w:val="-7"/>
        </w:rPr>
        <w:t xml:space="preserve"> </w:t>
      </w:r>
      <w:r>
        <w:t>will</w:t>
      </w:r>
      <w:r>
        <w:rPr>
          <w:spacing w:val="-9"/>
        </w:rPr>
        <w:t xml:space="preserve"> </w:t>
      </w:r>
      <w:r>
        <w:t>be</w:t>
      </w:r>
      <w:r>
        <w:rPr>
          <w:spacing w:val="-6"/>
        </w:rPr>
        <w:t xml:space="preserve"> </w:t>
      </w:r>
      <w:r>
        <w:t>crucial</w:t>
      </w:r>
      <w:r>
        <w:rPr>
          <w:spacing w:val="-7"/>
        </w:rPr>
        <w:t xml:space="preserve"> </w:t>
      </w:r>
      <w:r>
        <w:t>for</w:t>
      </w:r>
      <w:r>
        <w:rPr>
          <w:spacing w:val="-7"/>
        </w:rPr>
        <w:t xml:space="preserve"> </w:t>
      </w:r>
      <w:r>
        <w:t>deeper</w:t>
      </w:r>
      <w:r>
        <w:rPr>
          <w:spacing w:val="-7"/>
        </w:rPr>
        <w:t xml:space="preserve"> </w:t>
      </w:r>
      <w:r>
        <w:t>analysis</w:t>
      </w:r>
      <w:r>
        <w:rPr>
          <w:spacing w:val="-7"/>
        </w:rPr>
        <w:t xml:space="preserve"> </w:t>
      </w:r>
      <w:r>
        <w:t>of</w:t>
      </w:r>
      <w:r>
        <w:rPr>
          <w:spacing w:val="-7"/>
        </w:rPr>
        <w:t xml:space="preserve"> </w:t>
      </w:r>
      <w:r>
        <w:t>environmental</w:t>
      </w:r>
      <w:r>
        <w:rPr>
          <w:spacing w:val="-7"/>
        </w:rPr>
        <w:t xml:space="preserve"> </w:t>
      </w:r>
      <w:r>
        <w:t>disparities</w:t>
      </w:r>
      <w:r>
        <w:rPr>
          <w:spacing w:val="-7"/>
        </w:rPr>
        <w:t xml:space="preserve"> </w:t>
      </w:r>
      <w:r>
        <w:t>facing</w:t>
      </w:r>
      <w:r>
        <w:rPr>
          <w:spacing w:val="-7"/>
        </w:rPr>
        <w:t xml:space="preserve"> </w:t>
      </w:r>
      <w:r>
        <w:t>LGBTQ</w:t>
      </w:r>
      <w:r>
        <w:rPr>
          <w:spacing w:val="-6"/>
        </w:rPr>
        <w:t xml:space="preserve"> </w:t>
      </w:r>
      <w:r>
        <w:t>youth.</w:t>
      </w:r>
    </w:p>
    <w:p w:rsidR="00200FDA" w:rsidRDefault="00200FDA">
      <w:pPr>
        <w:pStyle w:val="BodyText"/>
        <w:spacing w:before="8"/>
        <w:rPr>
          <w:sz w:val="19"/>
        </w:rPr>
      </w:pPr>
    </w:p>
    <w:p w:rsidR="00200FDA" w:rsidRDefault="00F76C4C">
      <w:pPr>
        <w:pStyle w:val="BodyText"/>
        <w:spacing w:line="276" w:lineRule="auto"/>
        <w:ind w:left="139" w:right="132"/>
        <w:jc w:val="both"/>
      </w:pPr>
      <w:bookmarkStart w:id="1027" w:name="_bookmark829"/>
      <w:bookmarkEnd w:id="1027"/>
      <w:r>
        <w:t xml:space="preserve">There are also numerous barriers to response when collecting data on sexuality and gender identity, </w:t>
      </w:r>
      <w:bookmarkStart w:id="1028" w:name="_bookmark830"/>
      <w:bookmarkEnd w:id="1028"/>
      <w:r>
        <w:t>particularly when surveying LGBTQ youth. LGBTQ people responding to a survey may not reveal their identity due to institutional discrimination, social stigm</w:t>
      </w:r>
      <w:r>
        <w:t xml:space="preserve">a, or to maintain their safety. In addition, gender </w:t>
      </w:r>
      <w:bookmarkStart w:id="1029" w:name="_bookmark831"/>
      <w:bookmarkEnd w:id="1029"/>
      <w:r>
        <w:t>and</w:t>
      </w:r>
      <w:r>
        <w:rPr>
          <w:spacing w:val="-4"/>
        </w:rPr>
        <w:t xml:space="preserve"> </w:t>
      </w:r>
      <w:r>
        <w:t>sexuality</w:t>
      </w:r>
      <w:r>
        <w:rPr>
          <w:spacing w:val="-2"/>
        </w:rPr>
        <w:t xml:space="preserve"> </w:t>
      </w:r>
      <w:r>
        <w:t>are</w:t>
      </w:r>
      <w:r>
        <w:rPr>
          <w:spacing w:val="-3"/>
        </w:rPr>
        <w:t xml:space="preserve"> </w:t>
      </w:r>
      <w:r>
        <w:t>fluid</w:t>
      </w:r>
      <w:r>
        <w:rPr>
          <w:spacing w:val="-4"/>
        </w:rPr>
        <w:t xml:space="preserve"> </w:t>
      </w:r>
      <w:r>
        <w:t>and</w:t>
      </w:r>
      <w:r>
        <w:rPr>
          <w:spacing w:val="-4"/>
        </w:rPr>
        <w:t xml:space="preserve"> </w:t>
      </w:r>
      <w:r>
        <w:t>people</w:t>
      </w:r>
      <w:r>
        <w:rPr>
          <w:spacing w:val="-5"/>
        </w:rPr>
        <w:t xml:space="preserve"> </w:t>
      </w:r>
      <w:r>
        <w:t>may</w:t>
      </w:r>
      <w:r>
        <w:rPr>
          <w:spacing w:val="-5"/>
        </w:rPr>
        <w:t xml:space="preserve"> </w:t>
      </w:r>
      <w:r>
        <w:t>change</w:t>
      </w:r>
      <w:r>
        <w:rPr>
          <w:spacing w:val="-3"/>
        </w:rPr>
        <w:t xml:space="preserve"> </w:t>
      </w:r>
      <w:r>
        <w:t>how</w:t>
      </w:r>
      <w:r>
        <w:rPr>
          <w:spacing w:val="-3"/>
        </w:rPr>
        <w:t xml:space="preserve"> </w:t>
      </w:r>
      <w:r>
        <w:t>they</w:t>
      </w:r>
      <w:r>
        <w:rPr>
          <w:spacing w:val="-2"/>
        </w:rPr>
        <w:t xml:space="preserve"> </w:t>
      </w:r>
      <w:r>
        <w:t>identify</w:t>
      </w:r>
      <w:r>
        <w:rPr>
          <w:spacing w:val="-3"/>
        </w:rPr>
        <w:t xml:space="preserve"> </w:t>
      </w:r>
      <w:r>
        <w:t>over</w:t>
      </w:r>
      <w:r>
        <w:rPr>
          <w:spacing w:val="-6"/>
        </w:rPr>
        <w:t xml:space="preserve"> </w:t>
      </w:r>
      <w:r>
        <w:t>time.</w:t>
      </w:r>
      <w:r>
        <w:rPr>
          <w:spacing w:val="-4"/>
        </w:rPr>
        <w:t xml:space="preserve"> </w:t>
      </w:r>
      <w:r>
        <w:t>The</w:t>
      </w:r>
      <w:r>
        <w:rPr>
          <w:spacing w:val="-3"/>
        </w:rPr>
        <w:t xml:space="preserve"> </w:t>
      </w:r>
      <w:r>
        <w:t>process</w:t>
      </w:r>
      <w:r>
        <w:rPr>
          <w:spacing w:val="-3"/>
        </w:rPr>
        <w:t xml:space="preserve"> </w:t>
      </w:r>
      <w:r>
        <w:t>of</w:t>
      </w:r>
      <w:r>
        <w:rPr>
          <w:spacing w:val="-6"/>
        </w:rPr>
        <w:t xml:space="preserve"> </w:t>
      </w:r>
      <w:r>
        <w:t>exploring</w:t>
      </w:r>
      <w:r>
        <w:rPr>
          <w:spacing w:val="-4"/>
        </w:rPr>
        <w:t xml:space="preserve"> </w:t>
      </w:r>
      <w:r>
        <w:t>how you relate to gender and sexuality, prefer to identify, and express yourself is a continuous, lifelo</w:t>
      </w:r>
      <w:r>
        <w:t xml:space="preserve">ng </w:t>
      </w:r>
      <w:bookmarkStart w:id="1030" w:name="_bookmark832"/>
      <w:bookmarkEnd w:id="1030"/>
      <w:r>
        <w:t>journey.</w:t>
      </w:r>
      <w:r>
        <w:rPr>
          <w:spacing w:val="-2"/>
        </w:rPr>
        <w:t xml:space="preserve"> </w:t>
      </w:r>
      <w:r>
        <w:t>To</w:t>
      </w:r>
      <w:r>
        <w:rPr>
          <w:spacing w:val="-1"/>
        </w:rPr>
        <w:t xml:space="preserve"> </w:t>
      </w:r>
      <w:r>
        <w:t>capture</w:t>
      </w:r>
      <w:r>
        <w:rPr>
          <w:spacing w:val="-1"/>
        </w:rPr>
        <w:t xml:space="preserve"> </w:t>
      </w:r>
      <w:r>
        <w:t>the complexity</w:t>
      </w:r>
      <w:r>
        <w:rPr>
          <w:spacing w:val="-1"/>
        </w:rPr>
        <w:t xml:space="preserve"> </w:t>
      </w:r>
      <w:r>
        <w:t>of</w:t>
      </w:r>
      <w:r>
        <w:rPr>
          <w:spacing w:val="-2"/>
        </w:rPr>
        <w:t xml:space="preserve"> </w:t>
      </w:r>
      <w:r>
        <w:t>LGBTQ</w:t>
      </w:r>
      <w:r>
        <w:rPr>
          <w:spacing w:val="-2"/>
        </w:rPr>
        <w:t xml:space="preserve"> </w:t>
      </w:r>
      <w:r>
        <w:t>identities and experiences, surveys should include not</w:t>
      </w:r>
      <w:r>
        <w:rPr>
          <w:spacing w:val="-1"/>
        </w:rPr>
        <w:t xml:space="preserve"> </w:t>
      </w:r>
      <w:r>
        <w:t xml:space="preserve">only </w:t>
      </w:r>
      <w:bookmarkStart w:id="1031" w:name="_bookmark833"/>
      <w:bookmarkEnd w:id="1031"/>
      <w:r>
        <w:t>identity</w:t>
      </w:r>
      <w:r>
        <w:rPr>
          <w:spacing w:val="-13"/>
        </w:rPr>
        <w:t xml:space="preserve"> </w:t>
      </w:r>
      <w:r>
        <w:t>but</w:t>
      </w:r>
      <w:r>
        <w:rPr>
          <w:spacing w:val="-12"/>
        </w:rPr>
        <w:t xml:space="preserve"> </w:t>
      </w:r>
      <w:r>
        <w:t>also</w:t>
      </w:r>
      <w:r>
        <w:rPr>
          <w:spacing w:val="-13"/>
        </w:rPr>
        <w:t xml:space="preserve"> </w:t>
      </w:r>
      <w:r>
        <w:t>attraction</w:t>
      </w:r>
      <w:r>
        <w:rPr>
          <w:spacing w:val="-12"/>
        </w:rPr>
        <w:t xml:space="preserve"> </w:t>
      </w:r>
      <w:r>
        <w:t>and</w:t>
      </w:r>
      <w:r>
        <w:rPr>
          <w:spacing w:val="-13"/>
        </w:rPr>
        <w:t xml:space="preserve"> </w:t>
      </w:r>
      <w:r>
        <w:t>behavior.</w:t>
      </w:r>
      <w:r>
        <w:rPr>
          <w:spacing w:val="-12"/>
        </w:rPr>
        <w:t xml:space="preserve"> </w:t>
      </w:r>
      <w:r>
        <w:t>Very</w:t>
      </w:r>
      <w:r>
        <w:rPr>
          <w:spacing w:val="-13"/>
        </w:rPr>
        <w:t xml:space="preserve"> </w:t>
      </w:r>
      <w:r>
        <w:t>few</w:t>
      </w:r>
      <w:r>
        <w:rPr>
          <w:spacing w:val="-12"/>
        </w:rPr>
        <w:t xml:space="preserve"> </w:t>
      </w:r>
      <w:r>
        <w:t>surveys</w:t>
      </w:r>
      <w:r>
        <w:rPr>
          <w:spacing w:val="-12"/>
        </w:rPr>
        <w:t xml:space="preserve"> </w:t>
      </w:r>
      <w:r>
        <w:t>currently</w:t>
      </w:r>
      <w:r>
        <w:rPr>
          <w:spacing w:val="-13"/>
        </w:rPr>
        <w:t xml:space="preserve"> </w:t>
      </w:r>
      <w:r>
        <w:t>do</w:t>
      </w:r>
      <w:r>
        <w:rPr>
          <w:spacing w:val="-12"/>
        </w:rPr>
        <w:t xml:space="preserve"> </w:t>
      </w:r>
      <w:r>
        <w:t>so.</w:t>
      </w:r>
      <w:r>
        <w:rPr>
          <w:spacing w:val="-13"/>
        </w:rPr>
        <w:t xml:space="preserve"> </w:t>
      </w:r>
      <w:r>
        <w:t>The</w:t>
      </w:r>
      <w:r>
        <w:rPr>
          <w:spacing w:val="-12"/>
        </w:rPr>
        <w:t xml:space="preserve"> </w:t>
      </w:r>
      <w:r>
        <w:t>Centers</w:t>
      </w:r>
      <w:r>
        <w:rPr>
          <w:spacing w:val="-13"/>
        </w:rPr>
        <w:t xml:space="preserve"> </w:t>
      </w:r>
      <w:r>
        <w:t>for</w:t>
      </w:r>
      <w:r>
        <w:rPr>
          <w:spacing w:val="-12"/>
        </w:rPr>
        <w:t xml:space="preserve"> </w:t>
      </w:r>
      <w:r>
        <w:t>Disease</w:t>
      </w:r>
      <w:r>
        <w:rPr>
          <w:spacing w:val="-12"/>
        </w:rPr>
        <w:t xml:space="preserve"> </w:t>
      </w:r>
      <w:r>
        <w:t>Control Youth Risk Behavior Survey provides a go</w:t>
      </w:r>
      <w:r>
        <w:t xml:space="preserve">od example in its questions about both gender identity and </w:t>
      </w:r>
      <w:bookmarkStart w:id="1032" w:name="_bookmark834"/>
      <w:bookmarkStart w:id="1033" w:name="_bookmark835"/>
      <w:bookmarkEnd w:id="1032"/>
      <w:bookmarkEnd w:id="1033"/>
      <w:r>
        <w:t>sexual contacts, but could also include questions about attraction to capture an even more comprehensive picture.</w:t>
      </w:r>
    </w:p>
    <w:p w:rsidR="00200FDA" w:rsidRDefault="00200FDA">
      <w:pPr>
        <w:pStyle w:val="BodyText"/>
        <w:spacing w:before="8"/>
        <w:rPr>
          <w:sz w:val="19"/>
        </w:rPr>
      </w:pPr>
    </w:p>
    <w:p w:rsidR="00200FDA" w:rsidRDefault="00F76C4C">
      <w:pPr>
        <w:pStyle w:val="BodyText"/>
        <w:spacing w:line="276" w:lineRule="auto"/>
        <w:ind w:left="139" w:right="133"/>
        <w:jc w:val="both"/>
      </w:pPr>
      <w:bookmarkStart w:id="1034" w:name="_bookmark836"/>
      <w:bookmarkStart w:id="1035" w:name="_bookmark837"/>
      <w:bookmarkEnd w:id="1034"/>
      <w:bookmarkEnd w:id="1035"/>
      <w:r>
        <w:t xml:space="preserve">Although more data explicitly exploring the intersections of gender and sexuality with environmental </w:t>
      </w:r>
      <w:bookmarkStart w:id="1036" w:name="_bookmark838"/>
      <w:bookmarkEnd w:id="1036"/>
      <w:r>
        <w:t>justice</w:t>
      </w:r>
      <w:r>
        <w:rPr>
          <w:spacing w:val="-13"/>
        </w:rPr>
        <w:t xml:space="preserve"> </w:t>
      </w:r>
      <w:r>
        <w:t>is</w:t>
      </w:r>
      <w:r>
        <w:rPr>
          <w:spacing w:val="-12"/>
        </w:rPr>
        <w:t xml:space="preserve"> </w:t>
      </w:r>
      <w:r>
        <w:t>urgently</w:t>
      </w:r>
      <w:r>
        <w:rPr>
          <w:spacing w:val="-13"/>
        </w:rPr>
        <w:t xml:space="preserve"> </w:t>
      </w:r>
      <w:r>
        <w:t>needed,</w:t>
      </w:r>
      <w:r>
        <w:rPr>
          <w:spacing w:val="-12"/>
        </w:rPr>
        <w:t xml:space="preserve"> </w:t>
      </w:r>
      <w:r>
        <w:t>we</w:t>
      </w:r>
      <w:r>
        <w:rPr>
          <w:spacing w:val="-13"/>
        </w:rPr>
        <w:t xml:space="preserve"> </w:t>
      </w:r>
      <w:r>
        <w:t>can</w:t>
      </w:r>
      <w:r>
        <w:rPr>
          <w:spacing w:val="-12"/>
        </w:rPr>
        <w:t xml:space="preserve"> </w:t>
      </w:r>
      <w:r>
        <w:t>begin</w:t>
      </w:r>
      <w:r>
        <w:rPr>
          <w:spacing w:val="-13"/>
        </w:rPr>
        <w:t xml:space="preserve"> </w:t>
      </w:r>
      <w:r>
        <w:t>to</w:t>
      </w:r>
      <w:r>
        <w:rPr>
          <w:spacing w:val="-12"/>
        </w:rPr>
        <w:t xml:space="preserve"> </w:t>
      </w:r>
      <w:r>
        <w:t>examine</w:t>
      </w:r>
      <w:r>
        <w:rPr>
          <w:spacing w:val="-12"/>
        </w:rPr>
        <w:t xml:space="preserve"> </w:t>
      </w:r>
      <w:r>
        <w:t>the</w:t>
      </w:r>
      <w:r>
        <w:rPr>
          <w:spacing w:val="-12"/>
        </w:rPr>
        <w:t xml:space="preserve"> </w:t>
      </w:r>
      <w:r>
        <w:t>environmental</w:t>
      </w:r>
      <w:r>
        <w:rPr>
          <w:spacing w:val="-11"/>
        </w:rPr>
        <w:t xml:space="preserve"> </w:t>
      </w:r>
      <w:r>
        <w:t>justice</w:t>
      </w:r>
      <w:r>
        <w:rPr>
          <w:spacing w:val="-13"/>
        </w:rPr>
        <w:t xml:space="preserve"> </w:t>
      </w:r>
      <w:r>
        <w:t>needs</w:t>
      </w:r>
      <w:r>
        <w:rPr>
          <w:spacing w:val="-12"/>
        </w:rPr>
        <w:t xml:space="preserve"> </w:t>
      </w:r>
      <w:r>
        <w:t>of</w:t>
      </w:r>
      <w:r>
        <w:rPr>
          <w:spacing w:val="-13"/>
        </w:rPr>
        <w:t xml:space="preserve"> </w:t>
      </w:r>
      <w:r>
        <w:t>LGBTQ</w:t>
      </w:r>
      <w:r>
        <w:rPr>
          <w:spacing w:val="-12"/>
        </w:rPr>
        <w:t xml:space="preserve"> </w:t>
      </w:r>
      <w:r>
        <w:t>youth</w:t>
      </w:r>
      <w:r>
        <w:rPr>
          <w:spacing w:val="-13"/>
        </w:rPr>
        <w:t xml:space="preserve"> </w:t>
      </w:r>
      <w:r>
        <w:t xml:space="preserve">using </w:t>
      </w:r>
      <w:bookmarkStart w:id="1037" w:name="_bookmark839"/>
      <w:bookmarkEnd w:id="1037"/>
      <w:r>
        <w:t>data</w:t>
      </w:r>
      <w:r>
        <w:rPr>
          <w:spacing w:val="-2"/>
        </w:rPr>
        <w:t xml:space="preserve"> </w:t>
      </w:r>
      <w:r>
        <w:t>about</w:t>
      </w:r>
      <w:r>
        <w:rPr>
          <w:spacing w:val="-1"/>
        </w:rPr>
        <w:t xml:space="preserve"> </w:t>
      </w:r>
      <w:r>
        <w:t>socioeconomic</w:t>
      </w:r>
      <w:r>
        <w:rPr>
          <w:spacing w:val="-4"/>
        </w:rPr>
        <w:t xml:space="preserve"> </w:t>
      </w:r>
      <w:r>
        <w:t>factors</w:t>
      </w:r>
      <w:r>
        <w:rPr>
          <w:spacing w:val="-4"/>
        </w:rPr>
        <w:t xml:space="preserve"> </w:t>
      </w:r>
      <w:r>
        <w:t>that</w:t>
      </w:r>
      <w:r>
        <w:rPr>
          <w:spacing w:val="-1"/>
        </w:rPr>
        <w:t xml:space="preserve"> </w:t>
      </w:r>
      <w:r>
        <w:t>cause</w:t>
      </w:r>
      <w:r>
        <w:rPr>
          <w:spacing w:val="-4"/>
        </w:rPr>
        <w:t xml:space="preserve"> </w:t>
      </w:r>
      <w:r>
        <w:t>LGBTQ</w:t>
      </w:r>
      <w:r>
        <w:rPr>
          <w:spacing w:val="-4"/>
        </w:rPr>
        <w:t xml:space="preserve"> </w:t>
      </w:r>
      <w:r>
        <w:t>youth</w:t>
      </w:r>
      <w:r>
        <w:rPr>
          <w:spacing w:val="-3"/>
        </w:rPr>
        <w:t xml:space="preserve"> </w:t>
      </w:r>
      <w:r>
        <w:t>to</w:t>
      </w:r>
      <w:r>
        <w:rPr>
          <w:spacing w:val="-1"/>
        </w:rPr>
        <w:t xml:space="preserve"> </w:t>
      </w:r>
      <w:r>
        <w:t>be</w:t>
      </w:r>
      <w:r>
        <w:rPr>
          <w:spacing w:val="-1"/>
        </w:rPr>
        <w:t xml:space="preserve"> </w:t>
      </w:r>
      <w:r>
        <w:t>disproportionately</w:t>
      </w:r>
      <w:r>
        <w:rPr>
          <w:spacing w:val="-1"/>
        </w:rPr>
        <w:t xml:space="preserve"> </w:t>
      </w:r>
      <w:r>
        <w:t>exposed</w:t>
      </w:r>
      <w:r>
        <w:rPr>
          <w:spacing w:val="-2"/>
        </w:rPr>
        <w:t xml:space="preserve"> </w:t>
      </w:r>
      <w:r>
        <w:t>to</w:t>
      </w:r>
      <w:r>
        <w:rPr>
          <w:spacing w:val="-1"/>
        </w:rPr>
        <w:t xml:space="preserve"> </w:t>
      </w:r>
      <w:r>
        <w:t>pollution and social determinants of health that worsen the impacts of exposure. In addition, it is important to consider the value of multiple types of knowledge. Although data is a powerful tool, it also has many</w:t>
      </w:r>
      <w:r>
        <w:t xml:space="preserve"> </w:t>
      </w:r>
      <w:bookmarkStart w:id="1038" w:name="_bookmark840"/>
      <w:bookmarkStart w:id="1039" w:name="_bookmark841"/>
      <w:bookmarkEnd w:id="1038"/>
      <w:bookmarkEnd w:id="1039"/>
      <w:r>
        <w:t>limitations and uncertainties. In the sections that follow, we will not only consider surveys and studies that use numerical</w:t>
      </w:r>
      <w:r>
        <w:rPr>
          <w:spacing w:val="-2"/>
        </w:rPr>
        <w:t xml:space="preserve"> </w:t>
      </w:r>
      <w:r>
        <w:t>data</w:t>
      </w:r>
      <w:r>
        <w:rPr>
          <w:spacing w:val="-2"/>
        </w:rPr>
        <w:t xml:space="preserve"> </w:t>
      </w:r>
      <w:r>
        <w:t>to</w:t>
      </w:r>
      <w:r>
        <w:rPr>
          <w:spacing w:val="-2"/>
        </w:rPr>
        <w:t xml:space="preserve"> </w:t>
      </w:r>
      <w:r>
        <w:t>draw conclusions, but</w:t>
      </w:r>
      <w:r>
        <w:rPr>
          <w:spacing w:val="-2"/>
        </w:rPr>
        <w:t xml:space="preserve"> </w:t>
      </w:r>
      <w:r>
        <w:t>also</w:t>
      </w:r>
      <w:r>
        <w:rPr>
          <w:spacing w:val="-2"/>
        </w:rPr>
        <w:t xml:space="preserve"> </w:t>
      </w:r>
      <w:r>
        <w:t>draw</w:t>
      </w:r>
      <w:r>
        <w:rPr>
          <w:spacing w:val="-2"/>
        </w:rPr>
        <w:t xml:space="preserve"> </w:t>
      </w:r>
      <w:r>
        <w:t>on</w:t>
      </w:r>
      <w:r>
        <w:rPr>
          <w:spacing w:val="-3"/>
        </w:rPr>
        <w:t xml:space="preserve"> </w:t>
      </w:r>
      <w:r>
        <w:t>experiential</w:t>
      </w:r>
      <w:r>
        <w:rPr>
          <w:spacing w:val="-2"/>
        </w:rPr>
        <w:t xml:space="preserve"> </w:t>
      </w:r>
      <w:r>
        <w:t>knowledge shared</w:t>
      </w:r>
      <w:r>
        <w:rPr>
          <w:spacing w:val="-1"/>
        </w:rPr>
        <w:t xml:space="preserve"> </w:t>
      </w:r>
      <w:r>
        <w:t>directly</w:t>
      </w:r>
      <w:r>
        <w:rPr>
          <w:spacing w:val="-2"/>
        </w:rPr>
        <w:t xml:space="preserve"> </w:t>
      </w:r>
      <w:r>
        <w:t xml:space="preserve">by </w:t>
      </w:r>
      <w:bookmarkStart w:id="1040" w:name="_bookmark842"/>
      <w:bookmarkStart w:id="1041" w:name="_bookmark843"/>
      <w:bookmarkEnd w:id="1040"/>
      <w:bookmarkEnd w:id="1041"/>
      <w:r>
        <w:t>community members.</w:t>
      </w:r>
    </w:p>
    <w:p w:rsidR="00200FDA" w:rsidRDefault="00200FDA">
      <w:pPr>
        <w:pStyle w:val="BodyText"/>
      </w:pPr>
    </w:p>
    <w:p w:rsidR="00200FDA" w:rsidRDefault="00F76C4C">
      <w:pPr>
        <w:pStyle w:val="Heading8"/>
        <w:spacing w:before="161"/>
      </w:pPr>
      <w:bookmarkStart w:id="1042" w:name="Exposure_to_Pollution_and_Environmental_"/>
      <w:bookmarkEnd w:id="1042"/>
      <w:r>
        <w:rPr>
          <w:color w:val="2E5395"/>
        </w:rPr>
        <w:t>Exposure</w:t>
      </w:r>
      <w:r>
        <w:rPr>
          <w:color w:val="2E5395"/>
          <w:spacing w:val="-4"/>
        </w:rPr>
        <w:t xml:space="preserve"> </w:t>
      </w:r>
      <w:r>
        <w:rPr>
          <w:color w:val="2E5395"/>
        </w:rPr>
        <w:t>to</w:t>
      </w:r>
      <w:r>
        <w:rPr>
          <w:color w:val="2E5395"/>
          <w:spacing w:val="-3"/>
        </w:rPr>
        <w:t xml:space="preserve"> </w:t>
      </w:r>
      <w:r>
        <w:rPr>
          <w:color w:val="2E5395"/>
        </w:rPr>
        <w:t>Pollution</w:t>
      </w:r>
      <w:r>
        <w:rPr>
          <w:color w:val="2E5395"/>
          <w:spacing w:val="-3"/>
        </w:rPr>
        <w:t xml:space="preserve"> </w:t>
      </w:r>
      <w:r>
        <w:rPr>
          <w:color w:val="2E5395"/>
        </w:rPr>
        <w:t>and</w:t>
      </w:r>
      <w:r>
        <w:rPr>
          <w:color w:val="2E5395"/>
          <w:spacing w:val="-1"/>
        </w:rPr>
        <w:t xml:space="preserve"> </w:t>
      </w:r>
      <w:r>
        <w:rPr>
          <w:color w:val="2E5395"/>
        </w:rPr>
        <w:t>Environmental</w:t>
      </w:r>
      <w:r>
        <w:rPr>
          <w:color w:val="2E5395"/>
          <w:spacing w:val="-1"/>
        </w:rPr>
        <w:t xml:space="preserve"> </w:t>
      </w:r>
      <w:r>
        <w:rPr>
          <w:color w:val="2E5395"/>
          <w:spacing w:val="-2"/>
        </w:rPr>
        <w:t>Hazards</w:t>
      </w:r>
    </w:p>
    <w:p w:rsidR="00200FDA" w:rsidRDefault="00200FDA">
      <w:pPr>
        <w:pStyle w:val="BodyText"/>
        <w:spacing w:before="7"/>
        <w:rPr>
          <w:sz w:val="19"/>
        </w:rPr>
      </w:pPr>
    </w:p>
    <w:p w:rsidR="00200FDA" w:rsidRDefault="00F76C4C">
      <w:pPr>
        <w:pStyle w:val="BodyText"/>
        <w:spacing w:before="1" w:line="276" w:lineRule="auto"/>
        <w:ind w:left="139" w:right="130"/>
        <w:jc w:val="both"/>
      </w:pPr>
      <w:r>
        <w:t>Research on LGBTQ health disparities is vast but has historically left out the role of the physical environment.</w:t>
      </w:r>
      <w:hyperlink w:anchor="_bookmark793" w:history="1">
        <w:r>
          <w:rPr>
            <w:vertAlign w:val="superscript"/>
          </w:rPr>
          <w:t>18</w:t>
        </w:r>
      </w:hyperlink>
      <w:r>
        <w:t xml:space="preserve"> However, there is mounting evidence that LGBTQ communities are disproportionately exp</w:t>
      </w:r>
      <w:r>
        <w:t>osed to pollution and environmental hazards; it is especially important to consider the disproportionate</w:t>
      </w:r>
      <w:r>
        <w:rPr>
          <w:spacing w:val="-2"/>
        </w:rPr>
        <w:t xml:space="preserve"> </w:t>
      </w:r>
      <w:r>
        <w:t>environmental</w:t>
      </w:r>
      <w:r>
        <w:rPr>
          <w:spacing w:val="-3"/>
        </w:rPr>
        <w:t xml:space="preserve"> </w:t>
      </w:r>
      <w:r>
        <w:t>exposures</w:t>
      </w:r>
      <w:r>
        <w:rPr>
          <w:spacing w:val="-3"/>
        </w:rPr>
        <w:t xml:space="preserve"> </w:t>
      </w:r>
      <w:r>
        <w:t>faced</w:t>
      </w:r>
      <w:r>
        <w:rPr>
          <w:spacing w:val="-4"/>
        </w:rPr>
        <w:t xml:space="preserve"> </w:t>
      </w:r>
      <w:r>
        <w:t>by</w:t>
      </w:r>
      <w:r>
        <w:rPr>
          <w:spacing w:val="-4"/>
        </w:rPr>
        <w:t xml:space="preserve"> </w:t>
      </w:r>
      <w:r>
        <w:t>LGBTQ</w:t>
      </w:r>
      <w:r>
        <w:rPr>
          <w:spacing w:val="-3"/>
        </w:rPr>
        <w:t xml:space="preserve"> </w:t>
      </w:r>
      <w:r>
        <w:t>populations</w:t>
      </w:r>
      <w:r>
        <w:rPr>
          <w:spacing w:val="-5"/>
        </w:rPr>
        <w:t xml:space="preserve"> </w:t>
      </w:r>
      <w:r>
        <w:t>affected</w:t>
      </w:r>
      <w:r>
        <w:rPr>
          <w:spacing w:val="-6"/>
        </w:rPr>
        <w:t xml:space="preserve"> </w:t>
      </w:r>
      <w:r>
        <w:t>by</w:t>
      </w:r>
      <w:r>
        <w:rPr>
          <w:spacing w:val="-4"/>
        </w:rPr>
        <w:t xml:space="preserve"> </w:t>
      </w:r>
      <w:r>
        <w:t>multiple</w:t>
      </w:r>
      <w:r>
        <w:rPr>
          <w:spacing w:val="-3"/>
        </w:rPr>
        <w:t xml:space="preserve"> </w:t>
      </w:r>
      <w:r>
        <w:t>intersecting systems</w:t>
      </w:r>
      <w:r>
        <w:rPr>
          <w:spacing w:val="-6"/>
        </w:rPr>
        <w:t xml:space="preserve"> </w:t>
      </w:r>
      <w:r>
        <w:t>of</w:t>
      </w:r>
      <w:r>
        <w:rPr>
          <w:spacing w:val="-4"/>
        </w:rPr>
        <w:t xml:space="preserve"> </w:t>
      </w:r>
      <w:r>
        <w:t>oppression.</w:t>
      </w:r>
      <w:r>
        <w:rPr>
          <w:spacing w:val="-4"/>
        </w:rPr>
        <w:t xml:space="preserve"> </w:t>
      </w:r>
      <w:r>
        <w:t>Research</w:t>
      </w:r>
      <w:r>
        <w:rPr>
          <w:spacing w:val="-2"/>
        </w:rPr>
        <w:t xml:space="preserve"> </w:t>
      </w:r>
      <w:r>
        <w:t>and</w:t>
      </w:r>
      <w:r>
        <w:rPr>
          <w:spacing w:val="-4"/>
        </w:rPr>
        <w:t xml:space="preserve"> </w:t>
      </w:r>
      <w:r>
        <w:t>organizing</w:t>
      </w:r>
      <w:r>
        <w:rPr>
          <w:spacing w:val="-2"/>
        </w:rPr>
        <w:t xml:space="preserve"> </w:t>
      </w:r>
      <w:r>
        <w:t>around</w:t>
      </w:r>
      <w:r>
        <w:rPr>
          <w:spacing w:val="-2"/>
        </w:rPr>
        <w:t xml:space="preserve"> </w:t>
      </w:r>
      <w:r>
        <w:t>disparities</w:t>
      </w:r>
      <w:r>
        <w:rPr>
          <w:spacing w:val="-3"/>
        </w:rPr>
        <w:t xml:space="preserve"> </w:t>
      </w:r>
      <w:r>
        <w:t>in</w:t>
      </w:r>
      <w:r>
        <w:rPr>
          <w:spacing w:val="-4"/>
        </w:rPr>
        <w:t xml:space="preserve"> </w:t>
      </w:r>
      <w:r>
        <w:t>exposures</w:t>
      </w:r>
      <w:r>
        <w:rPr>
          <w:spacing w:val="-3"/>
        </w:rPr>
        <w:t xml:space="preserve"> </w:t>
      </w:r>
      <w:r>
        <w:t>based</w:t>
      </w:r>
      <w:r>
        <w:rPr>
          <w:spacing w:val="-4"/>
        </w:rPr>
        <w:t xml:space="preserve"> </w:t>
      </w:r>
      <w:r>
        <w:t>on</w:t>
      </w:r>
      <w:r>
        <w:rPr>
          <w:spacing w:val="-2"/>
        </w:rPr>
        <w:t xml:space="preserve"> </w:t>
      </w:r>
      <w:r>
        <w:t>race,</w:t>
      </w:r>
      <w:r>
        <w:rPr>
          <w:spacing w:val="-3"/>
        </w:rPr>
        <w:t xml:space="preserve"> </w:t>
      </w:r>
      <w:r>
        <w:t>class,</w:t>
      </w:r>
      <w:r>
        <w:rPr>
          <w:spacing w:val="-3"/>
        </w:rPr>
        <w:t xml:space="preserve"> </w:t>
      </w:r>
      <w:r>
        <w:t>and Indigeneity are extensive and clearly demonstrate that low-income communities</w:t>
      </w:r>
      <w:r>
        <w:rPr>
          <w:spacing w:val="-2"/>
        </w:rPr>
        <w:t xml:space="preserve"> </w:t>
      </w:r>
      <w:r>
        <w:t xml:space="preserve">of color experience the greatest exposure to pollution in the places they live, work, and play, as well as the consumer products they use. </w:t>
      </w:r>
      <w:r>
        <w:t>Black and Indigenous communities bear particularly high burdens of pollution and environmental</w:t>
      </w:r>
      <w:r>
        <w:rPr>
          <w:spacing w:val="65"/>
        </w:rPr>
        <w:t xml:space="preserve"> </w:t>
      </w:r>
      <w:r>
        <w:t>health</w:t>
      </w:r>
      <w:r>
        <w:rPr>
          <w:spacing w:val="65"/>
        </w:rPr>
        <w:t xml:space="preserve"> </w:t>
      </w:r>
      <w:r>
        <w:t>risk.</w:t>
      </w:r>
      <w:r>
        <w:rPr>
          <w:spacing w:val="65"/>
        </w:rPr>
        <w:t xml:space="preserve"> </w:t>
      </w:r>
      <w:r>
        <w:t>When</w:t>
      </w:r>
      <w:r>
        <w:rPr>
          <w:spacing w:val="65"/>
        </w:rPr>
        <w:t xml:space="preserve"> </w:t>
      </w:r>
      <w:r>
        <w:t>considering</w:t>
      </w:r>
      <w:r>
        <w:rPr>
          <w:spacing w:val="65"/>
        </w:rPr>
        <w:t xml:space="preserve"> </w:t>
      </w:r>
      <w:r>
        <w:t>the</w:t>
      </w:r>
      <w:r>
        <w:rPr>
          <w:spacing w:val="66"/>
        </w:rPr>
        <w:t xml:space="preserve"> </w:t>
      </w:r>
      <w:r>
        <w:t>impacts</w:t>
      </w:r>
      <w:r>
        <w:rPr>
          <w:spacing w:val="63"/>
        </w:rPr>
        <w:t xml:space="preserve"> </w:t>
      </w:r>
      <w:r>
        <w:t>of</w:t>
      </w:r>
      <w:r>
        <w:rPr>
          <w:spacing w:val="66"/>
        </w:rPr>
        <w:t xml:space="preserve"> </w:t>
      </w:r>
      <w:r>
        <w:t>environmental</w:t>
      </w:r>
      <w:r>
        <w:rPr>
          <w:spacing w:val="63"/>
        </w:rPr>
        <w:t xml:space="preserve"> </w:t>
      </w:r>
      <w:r>
        <w:t>exposures</w:t>
      </w:r>
      <w:r>
        <w:rPr>
          <w:spacing w:val="66"/>
        </w:rPr>
        <w:t xml:space="preserve"> </w:t>
      </w:r>
      <w:r>
        <w:t>on</w:t>
      </w:r>
      <w:r>
        <w:rPr>
          <w:spacing w:val="65"/>
        </w:rPr>
        <w:t xml:space="preserve"> </w:t>
      </w:r>
      <w:r>
        <w:t>LGBTQ</w:t>
      </w:r>
    </w:p>
    <w:p w:rsidR="00200FDA" w:rsidRDefault="00200FDA">
      <w:pPr>
        <w:spacing w:line="276" w:lineRule="auto"/>
        <w:jc w:val="both"/>
        <w:sectPr w:rsidR="00200FDA">
          <w:pgSz w:w="12240" w:h="15840"/>
          <w:pgMar w:top="1380" w:right="1300" w:bottom="1480" w:left="1300" w:header="758" w:footer="1297" w:gutter="0"/>
          <w:cols w:space="720"/>
        </w:sectPr>
      </w:pPr>
    </w:p>
    <w:p w:rsidR="00200FDA" w:rsidRDefault="00F76C4C">
      <w:pPr>
        <w:pStyle w:val="BodyText"/>
        <w:spacing w:before="46" w:line="276" w:lineRule="auto"/>
        <w:ind w:left="139" w:right="135"/>
        <w:jc w:val="both"/>
      </w:pPr>
      <w:r>
        <w:lastRenderedPageBreak/>
        <w:t>populations, it is crucial to highlight that QTBIPOC youth and low-income LGBTQ youth may experience multiple compounding burdens of environmental exposure.</w:t>
      </w:r>
    </w:p>
    <w:p w:rsidR="00200FDA" w:rsidRDefault="00200FDA">
      <w:pPr>
        <w:pStyle w:val="BodyText"/>
        <w:spacing w:before="7"/>
        <w:rPr>
          <w:sz w:val="19"/>
        </w:rPr>
      </w:pPr>
    </w:p>
    <w:p w:rsidR="00200FDA" w:rsidRDefault="00F76C4C">
      <w:pPr>
        <w:pStyle w:val="BodyText"/>
        <w:spacing w:line="276" w:lineRule="auto"/>
        <w:ind w:left="139" w:right="134"/>
        <w:jc w:val="both"/>
      </w:pPr>
      <w:r>
        <w:t>First,</w:t>
      </w:r>
      <w:r>
        <w:rPr>
          <w:spacing w:val="-4"/>
        </w:rPr>
        <w:t xml:space="preserve"> </w:t>
      </w:r>
      <w:r>
        <w:t>there</w:t>
      </w:r>
      <w:r>
        <w:rPr>
          <w:spacing w:val="-4"/>
        </w:rPr>
        <w:t xml:space="preserve"> </w:t>
      </w:r>
      <w:r>
        <w:t>is</w:t>
      </w:r>
      <w:r>
        <w:rPr>
          <w:spacing w:val="-4"/>
        </w:rPr>
        <w:t xml:space="preserve"> </w:t>
      </w:r>
      <w:r>
        <w:t>growing</w:t>
      </w:r>
      <w:r>
        <w:rPr>
          <w:spacing w:val="-5"/>
        </w:rPr>
        <w:t xml:space="preserve"> </w:t>
      </w:r>
      <w:r>
        <w:t>evidence</w:t>
      </w:r>
      <w:r>
        <w:rPr>
          <w:spacing w:val="-4"/>
        </w:rPr>
        <w:t xml:space="preserve"> </w:t>
      </w:r>
      <w:r>
        <w:t>that</w:t>
      </w:r>
      <w:r>
        <w:rPr>
          <w:spacing w:val="-4"/>
        </w:rPr>
        <w:t xml:space="preserve"> </w:t>
      </w:r>
      <w:r>
        <w:t>ambient</w:t>
      </w:r>
      <w:r>
        <w:rPr>
          <w:spacing w:val="-4"/>
        </w:rPr>
        <w:t xml:space="preserve"> </w:t>
      </w:r>
      <w:r>
        <w:t>air</w:t>
      </w:r>
      <w:r>
        <w:rPr>
          <w:spacing w:val="-5"/>
        </w:rPr>
        <w:t xml:space="preserve"> </w:t>
      </w:r>
      <w:r>
        <w:t>pollution</w:t>
      </w:r>
      <w:r>
        <w:rPr>
          <w:spacing w:val="-5"/>
        </w:rPr>
        <w:t xml:space="preserve"> </w:t>
      </w:r>
      <w:r>
        <w:t>disproportionally</w:t>
      </w:r>
      <w:r>
        <w:rPr>
          <w:spacing w:val="-4"/>
        </w:rPr>
        <w:t xml:space="preserve"> </w:t>
      </w:r>
      <w:r>
        <w:t>affects</w:t>
      </w:r>
      <w:r>
        <w:rPr>
          <w:spacing w:val="-4"/>
        </w:rPr>
        <w:t xml:space="preserve"> </w:t>
      </w:r>
      <w:r>
        <w:t>LGBTQ</w:t>
      </w:r>
      <w:r>
        <w:rPr>
          <w:spacing w:val="-4"/>
        </w:rPr>
        <w:t xml:space="preserve"> </w:t>
      </w:r>
      <w:r>
        <w:t>youth</w:t>
      </w:r>
      <w:r>
        <w:rPr>
          <w:spacing w:val="-5"/>
        </w:rPr>
        <w:t xml:space="preserve"> </w:t>
      </w:r>
      <w:r>
        <w:t>because of the places LGBTQ people live. Due to higher rates of poverty compared to non-LGBTQ populations, LGBTQ people may be more likely to live in neighborhoods where they will face higher exposure to air pollution. In 2021, survey data from the Behavio</w:t>
      </w:r>
      <w:r>
        <w:t>ral Risk Factor Surveillance System (BRFSS) and the U.S. Census Household Pulse System (HPS)</w:t>
      </w:r>
      <w:r>
        <w:rPr>
          <w:spacing w:val="-2"/>
        </w:rPr>
        <w:t xml:space="preserve"> </w:t>
      </w:r>
      <w:r>
        <w:t>showed that</w:t>
      </w:r>
      <w:r>
        <w:rPr>
          <w:spacing w:val="-1"/>
        </w:rPr>
        <w:t xml:space="preserve"> </w:t>
      </w:r>
      <w:r>
        <w:t>17% of</w:t>
      </w:r>
      <w:r>
        <w:rPr>
          <w:spacing w:val="-2"/>
        </w:rPr>
        <w:t xml:space="preserve"> </w:t>
      </w:r>
      <w:r>
        <w:t>LGBTQ people, 21%</w:t>
      </w:r>
      <w:r>
        <w:rPr>
          <w:spacing w:val="-1"/>
        </w:rPr>
        <w:t xml:space="preserve"> </w:t>
      </w:r>
      <w:r>
        <w:t>of</w:t>
      </w:r>
      <w:r>
        <w:rPr>
          <w:spacing w:val="-2"/>
        </w:rPr>
        <w:t xml:space="preserve"> </w:t>
      </w:r>
      <w:r>
        <w:t>trans people, and 25% of</w:t>
      </w:r>
      <w:r>
        <w:rPr>
          <w:spacing w:val="-1"/>
        </w:rPr>
        <w:t xml:space="preserve"> </w:t>
      </w:r>
      <w:r>
        <w:t>LGBTQ</w:t>
      </w:r>
      <w:r>
        <w:rPr>
          <w:spacing w:val="-1"/>
        </w:rPr>
        <w:t xml:space="preserve"> </w:t>
      </w:r>
      <w:r>
        <w:t>people</w:t>
      </w:r>
      <w:r>
        <w:rPr>
          <w:spacing w:val="-1"/>
        </w:rPr>
        <w:t xml:space="preserve"> </w:t>
      </w:r>
      <w:r>
        <w:t>of</w:t>
      </w:r>
      <w:r>
        <w:rPr>
          <w:spacing w:val="-1"/>
        </w:rPr>
        <w:t xml:space="preserve"> </w:t>
      </w:r>
      <w:r>
        <w:t>color</w:t>
      </w:r>
      <w:r>
        <w:rPr>
          <w:spacing w:val="-1"/>
        </w:rPr>
        <w:t xml:space="preserve"> </w:t>
      </w:r>
      <w:r>
        <w:t>lived</w:t>
      </w:r>
      <w:r>
        <w:rPr>
          <w:spacing w:val="-2"/>
        </w:rPr>
        <w:t xml:space="preserve"> </w:t>
      </w:r>
      <w:r>
        <w:t>in</w:t>
      </w:r>
      <w:r>
        <w:rPr>
          <w:spacing w:val="-2"/>
        </w:rPr>
        <w:t xml:space="preserve"> </w:t>
      </w:r>
      <w:r>
        <w:t>poverty in</w:t>
      </w:r>
      <w:r>
        <w:rPr>
          <w:spacing w:val="-2"/>
        </w:rPr>
        <w:t xml:space="preserve"> </w:t>
      </w:r>
      <w:r>
        <w:t>the U.S.,</w:t>
      </w:r>
      <w:r>
        <w:rPr>
          <w:spacing w:val="-1"/>
        </w:rPr>
        <w:t xml:space="preserve"> </w:t>
      </w:r>
      <w:r>
        <w:t>compared</w:t>
      </w:r>
      <w:r>
        <w:rPr>
          <w:spacing w:val="-2"/>
        </w:rPr>
        <w:t xml:space="preserve"> </w:t>
      </w:r>
      <w:r>
        <w:t>to</w:t>
      </w:r>
      <w:r>
        <w:rPr>
          <w:spacing w:val="-2"/>
        </w:rPr>
        <w:t xml:space="preserve"> </w:t>
      </w:r>
      <w:r>
        <w:t>12% of</w:t>
      </w:r>
      <w:r>
        <w:rPr>
          <w:spacing w:val="-1"/>
        </w:rPr>
        <w:t xml:space="preserve"> </w:t>
      </w:r>
      <w:r>
        <w:t>non-LGBTQ</w:t>
      </w:r>
      <w:r>
        <w:rPr>
          <w:spacing w:val="-1"/>
        </w:rPr>
        <w:t xml:space="preserve"> </w:t>
      </w:r>
      <w:r>
        <w:t>people and</w:t>
      </w:r>
      <w:r>
        <w:rPr>
          <w:spacing w:val="-2"/>
        </w:rPr>
        <w:t xml:space="preserve"> </w:t>
      </w:r>
      <w:r>
        <w:t>20% of non-LGBTQ</w:t>
      </w:r>
      <w:r>
        <w:rPr>
          <w:spacing w:val="-1"/>
        </w:rPr>
        <w:t xml:space="preserve"> </w:t>
      </w:r>
      <w:r>
        <w:t>people</w:t>
      </w:r>
      <w:r>
        <w:rPr>
          <w:spacing w:val="-3"/>
        </w:rPr>
        <w:t xml:space="preserve"> </w:t>
      </w:r>
      <w:r>
        <w:t>of</w:t>
      </w:r>
      <w:r>
        <w:rPr>
          <w:spacing w:val="-1"/>
        </w:rPr>
        <w:t xml:space="preserve"> </w:t>
      </w:r>
      <w:r>
        <w:t>color.</w:t>
      </w:r>
      <w:hyperlink w:anchor="_bookmark794" w:history="1">
        <w:r>
          <w:rPr>
            <w:vertAlign w:val="superscript"/>
          </w:rPr>
          <w:t>19</w:t>
        </w:r>
      </w:hyperlink>
      <w:r>
        <w:rPr>
          <w:spacing w:val="-2"/>
        </w:rPr>
        <w:t xml:space="preserve"> </w:t>
      </w:r>
      <w:r>
        <w:t>The last</w:t>
      </w:r>
      <w:r>
        <w:rPr>
          <w:spacing w:val="-3"/>
        </w:rPr>
        <w:t xml:space="preserve"> </w:t>
      </w:r>
      <w:r>
        <w:t>state-level</w:t>
      </w:r>
      <w:r>
        <w:rPr>
          <w:spacing w:val="-1"/>
        </w:rPr>
        <w:t xml:space="preserve"> </w:t>
      </w:r>
      <w:r>
        <w:t>analysis of</w:t>
      </w:r>
      <w:r>
        <w:rPr>
          <w:spacing w:val="-3"/>
        </w:rPr>
        <w:t xml:space="preserve"> </w:t>
      </w:r>
      <w:r>
        <w:t>LGBTQ</w:t>
      </w:r>
      <w:r>
        <w:rPr>
          <w:spacing w:val="-1"/>
        </w:rPr>
        <w:t xml:space="preserve"> </w:t>
      </w:r>
      <w:r>
        <w:t>poverty</w:t>
      </w:r>
      <w:r>
        <w:rPr>
          <w:spacing w:val="-2"/>
        </w:rPr>
        <w:t xml:space="preserve"> </w:t>
      </w:r>
      <w:r>
        <w:t>rates</w:t>
      </w:r>
      <w:r>
        <w:rPr>
          <w:spacing w:val="-6"/>
        </w:rPr>
        <w:t xml:space="preserve"> </w:t>
      </w:r>
      <w:r>
        <w:t>was</w:t>
      </w:r>
      <w:r>
        <w:rPr>
          <w:spacing w:val="-1"/>
        </w:rPr>
        <w:t xml:space="preserve"> </w:t>
      </w:r>
      <w:r>
        <w:t>completed</w:t>
      </w:r>
      <w:r>
        <w:rPr>
          <w:spacing w:val="-4"/>
        </w:rPr>
        <w:t xml:space="preserve"> </w:t>
      </w:r>
      <w:r>
        <w:t>in</w:t>
      </w:r>
      <w:r>
        <w:rPr>
          <w:spacing w:val="-2"/>
        </w:rPr>
        <w:t xml:space="preserve"> </w:t>
      </w:r>
      <w:r>
        <w:t>2019 using BRFSS survey data from 2015-2017. In this dataset, the poverty rate was higher for LGBTQ people in Massachu</w:t>
      </w:r>
      <w:r>
        <w:t>setts (13%) than for cis straight people (9%), LGBTQ people of color (26%) had a higher poverty rate than white LGBTQ people (9%), and LGBTQ people aged 18-44 (16%) had a higher poverty rate</w:t>
      </w:r>
      <w:r>
        <w:rPr>
          <w:spacing w:val="-5"/>
        </w:rPr>
        <w:t xml:space="preserve"> </w:t>
      </w:r>
      <w:r>
        <w:t>than</w:t>
      </w:r>
      <w:r>
        <w:rPr>
          <w:spacing w:val="-9"/>
        </w:rPr>
        <w:t xml:space="preserve"> </w:t>
      </w:r>
      <w:r>
        <w:t>LGBTQ</w:t>
      </w:r>
      <w:r>
        <w:rPr>
          <w:spacing w:val="-5"/>
        </w:rPr>
        <w:t xml:space="preserve"> </w:t>
      </w:r>
      <w:r>
        <w:t>people</w:t>
      </w:r>
      <w:r>
        <w:rPr>
          <w:spacing w:val="-8"/>
        </w:rPr>
        <w:t xml:space="preserve"> </w:t>
      </w:r>
      <w:r>
        <w:t>aged</w:t>
      </w:r>
      <w:r>
        <w:rPr>
          <w:spacing w:val="-6"/>
        </w:rPr>
        <w:t xml:space="preserve"> </w:t>
      </w:r>
      <w:r>
        <w:t>45</w:t>
      </w:r>
      <w:r>
        <w:rPr>
          <w:spacing w:val="-7"/>
        </w:rPr>
        <w:t xml:space="preserve"> </w:t>
      </w:r>
      <w:r>
        <w:t>or</w:t>
      </w:r>
      <w:r>
        <w:rPr>
          <w:spacing w:val="-8"/>
        </w:rPr>
        <w:t xml:space="preserve"> </w:t>
      </w:r>
      <w:r>
        <w:t>older</w:t>
      </w:r>
      <w:r>
        <w:rPr>
          <w:spacing w:val="-6"/>
        </w:rPr>
        <w:t xml:space="preserve"> </w:t>
      </w:r>
      <w:r>
        <w:t>(8%).</w:t>
      </w:r>
      <w:hyperlink w:anchor="_bookmark795" w:history="1">
        <w:r>
          <w:rPr>
            <w:vertAlign w:val="superscript"/>
          </w:rPr>
          <w:t>20</w:t>
        </w:r>
      </w:hyperlink>
      <w:r>
        <w:rPr>
          <w:spacing w:val="-2"/>
        </w:rPr>
        <w:t xml:space="preserve"> </w:t>
      </w:r>
      <w:r>
        <w:t>Disparities</w:t>
      </w:r>
      <w:r>
        <w:rPr>
          <w:spacing w:val="-5"/>
        </w:rPr>
        <w:t xml:space="preserve"> </w:t>
      </w:r>
      <w:r>
        <w:t>in</w:t>
      </w:r>
      <w:r>
        <w:rPr>
          <w:spacing w:val="-9"/>
        </w:rPr>
        <w:t xml:space="preserve"> </w:t>
      </w:r>
      <w:r>
        <w:t>exposure</w:t>
      </w:r>
      <w:r>
        <w:rPr>
          <w:spacing w:val="-5"/>
        </w:rPr>
        <w:t xml:space="preserve"> </w:t>
      </w:r>
      <w:r>
        <w:t>to</w:t>
      </w:r>
      <w:r>
        <w:rPr>
          <w:spacing w:val="-4"/>
        </w:rPr>
        <w:t xml:space="preserve"> </w:t>
      </w:r>
      <w:r>
        <w:t>ambient</w:t>
      </w:r>
      <w:r>
        <w:rPr>
          <w:spacing w:val="-7"/>
        </w:rPr>
        <w:t xml:space="preserve"> </w:t>
      </w:r>
      <w:r>
        <w:t>air</w:t>
      </w:r>
      <w:r>
        <w:rPr>
          <w:spacing w:val="-6"/>
        </w:rPr>
        <w:t xml:space="preserve"> </w:t>
      </w:r>
      <w:r>
        <w:t>pollution</w:t>
      </w:r>
      <w:r>
        <w:rPr>
          <w:spacing w:val="-6"/>
        </w:rPr>
        <w:t xml:space="preserve"> </w:t>
      </w:r>
      <w:r>
        <w:t>based</w:t>
      </w:r>
      <w:r>
        <w:rPr>
          <w:spacing w:val="-9"/>
        </w:rPr>
        <w:t xml:space="preserve"> </w:t>
      </w:r>
      <w:r>
        <w:t>on race</w:t>
      </w:r>
      <w:r>
        <w:rPr>
          <w:spacing w:val="-13"/>
        </w:rPr>
        <w:t xml:space="preserve"> </w:t>
      </w:r>
      <w:r>
        <w:t>and</w:t>
      </w:r>
      <w:r>
        <w:rPr>
          <w:spacing w:val="-12"/>
        </w:rPr>
        <w:t xml:space="preserve"> </w:t>
      </w:r>
      <w:r>
        <w:t>class</w:t>
      </w:r>
      <w:r>
        <w:rPr>
          <w:spacing w:val="-13"/>
        </w:rPr>
        <w:t xml:space="preserve"> </w:t>
      </w:r>
      <w:r>
        <w:t>are</w:t>
      </w:r>
      <w:r>
        <w:rPr>
          <w:spacing w:val="-12"/>
        </w:rPr>
        <w:t xml:space="preserve"> </w:t>
      </w:r>
      <w:r>
        <w:t>well-documented</w:t>
      </w:r>
      <w:r>
        <w:rPr>
          <w:spacing w:val="-13"/>
        </w:rPr>
        <w:t xml:space="preserve"> </w:t>
      </w:r>
      <w:r>
        <w:t>in</w:t>
      </w:r>
      <w:r>
        <w:rPr>
          <w:spacing w:val="-12"/>
        </w:rPr>
        <w:t xml:space="preserve"> </w:t>
      </w:r>
      <w:r>
        <w:t>Massachusetts</w:t>
      </w:r>
      <w:r>
        <w:rPr>
          <w:spacing w:val="-13"/>
        </w:rPr>
        <w:t xml:space="preserve"> </w:t>
      </w:r>
      <w:r>
        <w:t>and</w:t>
      </w:r>
      <w:r>
        <w:rPr>
          <w:spacing w:val="-12"/>
        </w:rPr>
        <w:t xml:space="preserve"> </w:t>
      </w:r>
      <w:r>
        <w:t>across</w:t>
      </w:r>
      <w:r>
        <w:rPr>
          <w:spacing w:val="-12"/>
        </w:rPr>
        <w:t xml:space="preserve"> </w:t>
      </w:r>
      <w:r>
        <w:t>the</w:t>
      </w:r>
      <w:r>
        <w:rPr>
          <w:spacing w:val="-13"/>
        </w:rPr>
        <w:t xml:space="preserve"> </w:t>
      </w:r>
      <w:r>
        <w:t>United</w:t>
      </w:r>
      <w:r>
        <w:rPr>
          <w:spacing w:val="-12"/>
        </w:rPr>
        <w:t xml:space="preserve"> </w:t>
      </w:r>
      <w:r>
        <w:t>States,</w:t>
      </w:r>
      <w:r>
        <w:rPr>
          <w:spacing w:val="-13"/>
        </w:rPr>
        <w:t xml:space="preserve"> </w:t>
      </w:r>
      <w:r>
        <w:t>further</w:t>
      </w:r>
      <w:r>
        <w:rPr>
          <w:spacing w:val="-12"/>
        </w:rPr>
        <w:t xml:space="preserve"> </w:t>
      </w:r>
      <w:r>
        <w:t>demonstrating that low-income QTBIPOC</w:t>
      </w:r>
      <w:r>
        <w:rPr>
          <w:spacing w:val="-1"/>
        </w:rPr>
        <w:t xml:space="preserve"> </w:t>
      </w:r>
      <w:r>
        <w:t>youth in particular face particularly disproportionate burdens of air pollution. There are many reasons why low-income and communities of color often face higher exposure to pollutants,</w:t>
      </w:r>
      <w:r>
        <w:rPr>
          <w:spacing w:val="-11"/>
        </w:rPr>
        <w:t xml:space="preserve"> </w:t>
      </w:r>
      <w:r>
        <w:t>including</w:t>
      </w:r>
      <w:r>
        <w:rPr>
          <w:spacing w:val="-9"/>
        </w:rPr>
        <w:t xml:space="preserve"> </w:t>
      </w:r>
      <w:r>
        <w:t>discriminatory</w:t>
      </w:r>
      <w:r>
        <w:rPr>
          <w:spacing w:val="-10"/>
        </w:rPr>
        <w:t xml:space="preserve"> </w:t>
      </w:r>
      <w:r>
        <w:t>housing</w:t>
      </w:r>
      <w:r>
        <w:rPr>
          <w:spacing w:val="-12"/>
        </w:rPr>
        <w:t xml:space="preserve"> </w:t>
      </w:r>
      <w:r>
        <w:t>policies</w:t>
      </w:r>
      <w:r>
        <w:rPr>
          <w:spacing w:val="-9"/>
        </w:rPr>
        <w:t xml:space="preserve"> </w:t>
      </w:r>
      <w:r>
        <w:t>and</w:t>
      </w:r>
      <w:r>
        <w:rPr>
          <w:spacing w:val="-9"/>
        </w:rPr>
        <w:t xml:space="preserve"> </w:t>
      </w:r>
      <w:r>
        <w:t>urban</w:t>
      </w:r>
      <w:r>
        <w:rPr>
          <w:spacing w:val="-9"/>
        </w:rPr>
        <w:t xml:space="preserve"> </w:t>
      </w:r>
      <w:r>
        <w:t>planning</w:t>
      </w:r>
      <w:r>
        <w:rPr>
          <w:spacing w:val="-9"/>
        </w:rPr>
        <w:t xml:space="preserve"> </w:t>
      </w:r>
      <w:r>
        <w:t>decisions</w:t>
      </w:r>
      <w:r>
        <w:rPr>
          <w:spacing w:val="-8"/>
        </w:rPr>
        <w:t xml:space="preserve"> </w:t>
      </w:r>
      <w:r>
        <w:t>that</w:t>
      </w:r>
      <w:r>
        <w:rPr>
          <w:spacing w:val="-11"/>
        </w:rPr>
        <w:t xml:space="preserve"> </w:t>
      </w:r>
      <w:r>
        <w:t>disproportionately locate</w:t>
      </w:r>
      <w:r>
        <w:rPr>
          <w:spacing w:val="-6"/>
        </w:rPr>
        <w:t xml:space="preserve"> </w:t>
      </w:r>
      <w:r>
        <w:t>hazardous</w:t>
      </w:r>
      <w:r>
        <w:rPr>
          <w:spacing w:val="-6"/>
        </w:rPr>
        <w:t xml:space="preserve"> </w:t>
      </w:r>
      <w:r>
        <w:t>land</w:t>
      </w:r>
      <w:r>
        <w:rPr>
          <w:spacing w:val="-7"/>
        </w:rPr>
        <w:t xml:space="preserve"> </w:t>
      </w:r>
      <w:r>
        <w:t>uses</w:t>
      </w:r>
      <w:r>
        <w:rPr>
          <w:spacing w:val="-9"/>
        </w:rPr>
        <w:t xml:space="preserve"> </w:t>
      </w:r>
      <w:r>
        <w:t>such</w:t>
      </w:r>
      <w:r>
        <w:rPr>
          <w:spacing w:val="-7"/>
        </w:rPr>
        <w:t xml:space="preserve"> </w:t>
      </w:r>
      <w:r>
        <w:t>as</w:t>
      </w:r>
      <w:r>
        <w:rPr>
          <w:spacing w:val="-6"/>
        </w:rPr>
        <w:t xml:space="preserve"> </w:t>
      </w:r>
      <w:r>
        <w:t>landfills,</w:t>
      </w:r>
      <w:r>
        <w:rPr>
          <w:spacing w:val="-7"/>
        </w:rPr>
        <w:t xml:space="preserve"> </w:t>
      </w:r>
      <w:r>
        <w:t>power</w:t>
      </w:r>
      <w:r>
        <w:rPr>
          <w:spacing w:val="-7"/>
        </w:rPr>
        <w:t xml:space="preserve"> </w:t>
      </w:r>
      <w:r>
        <w:t>plants,</w:t>
      </w:r>
      <w:r>
        <w:rPr>
          <w:spacing w:val="-7"/>
        </w:rPr>
        <w:t xml:space="preserve"> </w:t>
      </w:r>
      <w:r>
        <w:t>and</w:t>
      </w:r>
      <w:r>
        <w:rPr>
          <w:spacing w:val="-7"/>
        </w:rPr>
        <w:t xml:space="preserve"> </w:t>
      </w:r>
      <w:r>
        <w:t>major</w:t>
      </w:r>
      <w:r>
        <w:rPr>
          <w:spacing w:val="-7"/>
        </w:rPr>
        <w:t xml:space="preserve"> </w:t>
      </w:r>
      <w:r>
        <w:t>highways</w:t>
      </w:r>
      <w:r>
        <w:rPr>
          <w:spacing w:val="-7"/>
        </w:rPr>
        <w:t xml:space="preserve"> </w:t>
      </w:r>
      <w:r>
        <w:t>in</w:t>
      </w:r>
      <w:r>
        <w:rPr>
          <w:spacing w:val="-10"/>
        </w:rPr>
        <w:t xml:space="preserve"> </w:t>
      </w:r>
      <w:r>
        <w:t>lower</w:t>
      </w:r>
      <w:r>
        <w:rPr>
          <w:spacing w:val="-7"/>
        </w:rPr>
        <w:t xml:space="preserve"> </w:t>
      </w:r>
      <w:r>
        <w:t>income</w:t>
      </w:r>
      <w:r>
        <w:rPr>
          <w:spacing w:val="-8"/>
        </w:rPr>
        <w:t xml:space="preserve"> </w:t>
      </w:r>
      <w:r>
        <w:t>areas</w:t>
      </w:r>
      <w:r>
        <w:rPr>
          <w:spacing w:val="-7"/>
        </w:rPr>
        <w:t xml:space="preserve"> </w:t>
      </w:r>
      <w:r>
        <w:t>and communities of color.</w:t>
      </w:r>
      <w:hyperlink w:anchor="_bookmark796" w:history="1">
        <w:r>
          <w:rPr>
            <w:vertAlign w:val="superscript"/>
          </w:rPr>
          <w:t>21</w:t>
        </w:r>
      </w:hyperlink>
      <w:r>
        <w:rPr>
          <w:vertAlign w:val="superscript"/>
        </w:rPr>
        <w:t>,</w:t>
      </w:r>
      <w:hyperlink w:anchor="_bookmark797" w:history="1">
        <w:r>
          <w:rPr>
            <w:vertAlign w:val="superscript"/>
          </w:rPr>
          <w:t>22</w:t>
        </w:r>
      </w:hyperlink>
    </w:p>
    <w:p w:rsidR="00200FDA" w:rsidRDefault="00200FDA">
      <w:pPr>
        <w:pStyle w:val="BodyText"/>
        <w:spacing w:before="9"/>
        <w:rPr>
          <w:sz w:val="19"/>
        </w:rPr>
      </w:pPr>
    </w:p>
    <w:p w:rsidR="00200FDA" w:rsidRDefault="00F76C4C">
      <w:pPr>
        <w:pStyle w:val="BodyText"/>
        <w:spacing w:line="276" w:lineRule="auto"/>
        <w:ind w:left="139" w:right="134"/>
        <w:jc w:val="both"/>
      </w:pPr>
      <w:r>
        <w:t>Research directly relating air pollution to the places</w:t>
      </w:r>
      <w:r>
        <w:rPr>
          <w:spacing w:val="-2"/>
        </w:rPr>
        <w:t xml:space="preserve"> </w:t>
      </w:r>
      <w:r>
        <w:t>where LGBTQ people live is limited, but</w:t>
      </w:r>
      <w:r>
        <w:rPr>
          <w:spacing w:val="-1"/>
        </w:rPr>
        <w:t xml:space="preserve"> </w:t>
      </w:r>
      <w:r>
        <w:t>two studies, one</w:t>
      </w:r>
      <w:r>
        <w:rPr>
          <w:spacing w:val="-3"/>
        </w:rPr>
        <w:t xml:space="preserve"> </w:t>
      </w:r>
      <w:r>
        <w:t>focusing</w:t>
      </w:r>
      <w:r>
        <w:rPr>
          <w:spacing w:val="-2"/>
        </w:rPr>
        <w:t xml:space="preserve"> </w:t>
      </w:r>
      <w:r>
        <w:t>on</w:t>
      </w:r>
      <w:r>
        <w:rPr>
          <w:spacing w:val="-4"/>
        </w:rPr>
        <w:t xml:space="preserve"> </w:t>
      </w:r>
      <w:r>
        <w:t>Houston,</w:t>
      </w:r>
      <w:r>
        <w:rPr>
          <w:spacing w:val="-3"/>
        </w:rPr>
        <w:t xml:space="preserve"> </w:t>
      </w:r>
      <w:r>
        <w:t>Texas,</w:t>
      </w:r>
      <w:r>
        <w:rPr>
          <w:spacing w:val="-3"/>
        </w:rPr>
        <w:t xml:space="preserve"> </w:t>
      </w:r>
      <w:r>
        <w:t>and</w:t>
      </w:r>
      <w:r>
        <w:rPr>
          <w:spacing w:val="-4"/>
        </w:rPr>
        <w:t xml:space="preserve"> </w:t>
      </w:r>
      <w:r>
        <w:t>one</w:t>
      </w:r>
      <w:r>
        <w:rPr>
          <w:spacing w:val="-3"/>
        </w:rPr>
        <w:t xml:space="preserve"> </w:t>
      </w:r>
      <w:r>
        <w:t>examining</w:t>
      </w:r>
      <w:r>
        <w:rPr>
          <w:spacing w:val="-4"/>
        </w:rPr>
        <w:t xml:space="preserve"> </w:t>
      </w:r>
      <w:r>
        <w:t>trends</w:t>
      </w:r>
      <w:r>
        <w:rPr>
          <w:spacing w:val="-3"/>
        </w:rPr>
        <w:t xml:space="preserve"> </w:t>
      </w:r>
      <w:r>
        <w:t>on</w:t>
      </w:r>
      <w:r>
        <w:rPr>
          <w:spacing w:val="-2"/>
        </w:rPr>
        <w:t xml:space="preserve"> </w:t>
      </w:r>
      <w:r>
        <w:t>a</w:t>
      </w:r>
      <w:r>
        <w:rPr>
          <w:spacing w:val="-3"/>
        </w:rPr>
        <w:t xml:space="preserve"> </w:t>
      </w:r>
      <w:r>
        <w:t>national</w:t>
      </w:r>
      <w:r>
        <w:rPr>
          <w:spacing w:val="-1"/>
        </w:rPr>
        <w:t xml:space="preserve"> </w:t>
      </w:r>
      <w:r>
        <w:t>scale,</w:t>
      </w:r>
      <w:r>
        <w:rPr>
          <w:spacing w:val="-3"/>
        </w:rPr>
        <w:t xml:space="preserve"> </w:t>
      </w:r>
      <w:r>
        <w:t>have</w:t>
      </w:r>
      <w:r>
        <w:rPr>
          <w:spacing w:val="-3"/>
        </w:rPr>
        <w:t xml:space="preserve"> </w:t>
      </w:r>
      <w:r>
        <w:t>used</w:t>
      </w:r>
      <w:r>
        <w:rPr>
          <w:spacing w:val="-4"/>
        </w:rPr>
        <w:t xml:space="preserve"> </w:t>
      </w:r>
      <w:r>
        <w:t>census</w:t>
      </w:r>
      <w:r>
        <w:rPr>
          <w:spacing w:val="-3"/>
        </w:rPr>
        <w:t xml:space="preserve"> </w:t>
      </w:r>
      <w:r>
        <w:t>data</w:t>
      </w:r>
      <w:r>
        <w:rPr>
          <w:spacing w:val="-6"/>
        </w:rPr>
        <w:t xml:space="preserve"> </w:t>
      </w:r>
      <w:r>
        <w:t xml:space="preserve">on same-sex couples to examine the relationship </w:t>
      </w:r>
      <w:r>
        <w:t>between same-sex enclaves and air pollution.</w:t>
      </w:r>
      <w:hyperlink w:anchor="_bookmark798" w:history="1">
        <w:r>
          <w:rPr>
            <w:vertAlign w:val="superscript"/>
          </w:rPr>
          <w:t>23</w:t>
        </w:r>
      </w:hyperlink>
      <w:r>
        <w:rPr>
          <w:vertAlign w:val="superscript"/>
        </w:rPr>
        <w:t>,</w:t>
      </w:r>
      <w:hyperlink w:anchor="_bookmark799" w:history="1">
        <w:r>
          <w:rPr>
            <w:vertAlign w:val="superscript"/>
          </w:rPr>
          <w:t>24</w:t>
        </w:r>
      </w:hyperlink>
      <w:r>
        <w:rPr>
          <w:spacing w:val="-2"/>
        </w:rPr>
        <w:t xml:space="preserve"> </w:t>
      </w:r>
      <w:r>
        <w:t>These early analyses indicate that sexual orientation, even when accounting for race, is a strong indicator of living in an area with higher l</w:t>
      </w:r>
      <w:r>
        <w:t xml:space="preserve">evels of air pollution. Similar disparities may exist for different types of neighborhood environmental exposures such as water and soil contamination, and should be studied </w:t>
      </w:r>
      <w:r>
        <w:rPr>
          <w:spacing w:val="-2"/>
        </w:rPr>
        <w:t>further.</w:t>
      </w:r>
    </w:p>
    <w:p w:rsidR="00200FDA" w:rsidRDefault="00200FDA">
      <w:pPr>
        <w:pStyle w:val="BodyText"/>
        <w:spacing w:before="8"/>
        <w:rPr>
          <w:sz w:val="19"/>
        </w:rPr>
      </w:pPr>
    </w:p>
    <w:p w:rsidR="00200FDA" w:rsidRDefault="00F76C4C">
      <w:pPr>
        <w:pStyle w:val="BodyText"/>
        <w:spacing w:line="276" w:lineRule="auto"/>
        <w:ind w:left="139" w:right="133"/>
        <w:jc w:val="both"/>
      </w:pPr>
      <w:r>
        <w:t>Higher rates of homelessness and housing instability among LGBTQ youth m</w:t>
      </w:r>
      <w:r>
        <w:t>ay also result in greater exposure to</w:t>
      </w:r>
      <w:r>
        <w:rPr>
          <w:spacing w:val="-2"/>
        </w:rPr>
        <w:t xml:space="preserve"> </w:t>
      </w:r>
      <w:r>
        <w:t>environmental</w:t>
      </w:r>
      <w:r>
        <w:rPr>
          <w:spacing w:val="-3"/>
        </w:rPr>
        <w:t xml:space="preserve"> </w:t>
      </w:r>
      <w:r>
        <w:t>hazards.</w:t>
      </w:r>
      <w:r>
        <w:rPr>
          <w:spacing w:val="-1"/>
        </w:rPr>
        <w:t xml:space="preserve"> </w:t>
      </w:r>
      <w:r>
        <w:t>People</w:t>
      </w:r>
      <w:r>
        <w:rPr>
          <w:spacing w:val="-2"/>
        </w:rPr>
        <w:t xml:space="preserve"> </w:t>
      </w:r>
      <w:r>
        <w:t>experiencing</w:t>
      </w:r>
      <w:r>
        <w:rPr>
          <w:spacing w:val="-1"/>
        </w:rPr>
        <w:t xml:space="preserve"> </w:t>
      </w:r>
      <w:r>
        <w:t>homelessness frequently face high</w:t>
      </w:r>
      <w:r>
        <w:rPr>
          <w:spacing w:val="-1"/>
        </w:rPr>
        <w:t xml:space="preserve"> </w:t>
      </w:r>
      <w:r>
        <w:t>exposure</w:t>
      </w:r>
      <w:r>
        <w:rPr>
          <w:spacing w:val="-2"/>
        </w:rPr>
        <w:t xml:space="preserve"> </w:t>
      </w:r>
      <w:r>
        <w:t>to ambient air pollution, soil contamination, and water pollution due to living outdoors, often near major roadways and other emissi</w:t>
      </w:r>
      <w:r>
        <w:t>on sources.</w:t>
      </w:r>
      <w:hyperlink w:anchor="_bookmark800" w:history="1">
        <w:r>
          <w:rPr>
            <w:vertAlign w:val="superscript"/>
          </w:rPr>
          <w:t>25</w:t>
        </w:r>
      </w:hyperlink>
      <w:r>
        <w:rPr>
          <w:spacing w:val="-2"/>
        </w:rPr>
        <w:t xml:space="preserve"> </w:t>
      </w:r>
      <w:r>
        <w:t>Criminalization worsens exposures, as police sweeps may force people into more environmentally hazardous areas such as freeway underpasses.</w:t>
      </w:r>
      <w:hyperlink w:anchor="_bookmark801" w:history="1">
        <w:r>
          <w:rPr>
            <w:vertAlign w:val="superscript"/>
          </w:rPr>
          <w:t>26</w:t>
        </w:r>
      </w:hyperlink>
      <w:r>
        <w:t xml:space="preserve"> LGBTQ youth are more</w:t>
      </w:r>
      <w:r>
        <w:rPr>
          <w:spacing w:val="-4"/>
        </w:rPr>
        <w:t xml:space="preserve"> </w:t>
      </w:r>
      <w:r>
        <w:t>likely</w:t>
      </w:r>
      <w:r>
        <w:rPr>
          <w:spacing w:val="-4"/>
        </w:rPr>
        <w:t xml:space="preserve"> </w:t>
      </w:r>
      <w:r>
        <w:t>to</w:t>
      </w:r>
      <w:r>
        <w:rPr>
          <w:spacing w:val="-3"/>
        </w:rPr>
        <w:t xml:space="preserve"> </w:t>
      </w:r>
      <w:r>
        <w:t>experience</w:t>
      </w:r>
      <w:r>
        <w:rPr>
          <w:spacing w:val="-4"/>
        </w:rPr>
        <w:t xml:space="preserve"> </w:t>
      </w:r>
      <w:r>
        <w:t>housing</w:t>
      </w:r>
      <w:r>
        <w:rPr>
          <w:spacing w:val="-5"/>
        </w:rPr>
        <w:t xml:space="preserve"> </w:t>
      </w:r>
      <w:r>
        <w:t>instability</w:t>
      </w:r>
      <w:r>
        <w:rPr>
          <w:spacing w:val="-3"/>
        </w:rPr>
        <w:t xml:space="preserve"> </w:t>
      </w:r>
      <w:r>
        <w:t>and</w:t>
      </w:r>
      <w:r>
        <w:rPr>
          <w:spacing w:val="-5"/>
        </w:rPr>
        <w:t xml:space="preserve"> </w:t>
      </w:r>
      <w:r>
        <w:t>homelessness</w:t>
      </w:r>
      <w:r>
        <w:rPr>
          <w:spacing w:val="-4"/>
        </w:rPr>
        <w:t xml:space="preserve"> </w:t>
      </w:r>
      <w:r>
        <w:t>in</w:t>
      </w:r>
      <w:r>
        <w:rPr>
          <w:spacing w:val="-7"/>
        </w:rPr>
        <w:t xml:space="preserve"> </w:t>
      </w:r>
      <w:r>
        <w:t>Massachusetts,</w:t>
      </w:r>
      <w:r>
        <w:rPr>
          <w:spacing w:val="-7"/>
        </w:rPr>
        <w:t xml:space="preserve"> </w:t>
      </w:r>
      <w:r>
        <w:t>and</w:t>
      </w:r>
      <w:r>
        <w:rPr>
          <w:spacing w:val="-5"/>
        </w:rPr>
        <w:t xml:space="preserve"> </w:t>
      </w:r>
      <w:r>
        <w:t>thus</w:t>
      </w:r>
      <w:r>
        <w:rPr>
          <w:spacing w:val="-4"/>
        </w:rPr>
        <w:t xml:space="preserve"> </w:t>
      </w:r>
      <w:r>
        <w:t>at</w:t>
      </w:r>
      <w:r>
        <w:rPr>
          <w:spacing w:val="-4"/>
        </w:rPr>
        <w:t xml:space="preserve"> </w:t>
      </w:r>
      <w:r>
        <w:t>greater</w:t>
      </w:r>
      <w:r>
        <w:rPr>
          <w:spacing w:val="-7"/>
        </w:rPr>
        <w:t xml:space="preserve"> </w:t>
      </w:r>
      <w:r>
        <w:t>risk of facing associated environmental injustices. In a dataset from the 2022 Massachusetts Youth Count annual survey which seeks to learn about the needs of youth who a</w:t>
      </w:r>
      <w:r>
        <w:t>re unstably housed or experiencing homelessness, 12% of LGBTQ youth experiencing homelessness reported being unsheltered the night before.</w:t>
      </w:r>
      <w:hyperlink w:anchor="_bookmark802" w:history="1">
        <w:r>
          <w:rPr>
            <w:vertAlign w:val="superscript"/>
          </w:rPr>
          <w:t>27</w:t>
        </w:r>
      </w:hyperlink>
      <w:r>
        <w:rPr>
          <w:spacing w:val="-2"/>
        </w:rPr>
        <w:t xml:space="preserve"> </w:t>
      </w:r>
      <w:r>
        <w:t>Working to decrease rates of homelessness and housing instability among LGBTQ youth</w:t>
      </w:r>
      <w:r>
        <w:t xml:space="preserve"> and improve access to services is vital to reducing unjust environmental exposures faced by LGBTQ youth.</w:t>
      </w:r>
    </w:p>
    <w:p w:rsidR="00200FDA" w:rsidRDefault="00200FDA">
      <w:pPr>
        <w:spacing w:line="276" w:lineRule="auto"/>
        <w:jc w:val="both"/>
        <w:sectPr w:rsidR="00200FDA">
          <w:pgSz w:w="12240" w:h="15840"/>
          <w:pgMar w:top="1380" w:right="1300" w:bottom="1540" w:left="1300" w:header="758" w:footer="1297" w:gutter="0"/>
          <w:cols w:space="720"/>
        </w:sectPr>
      </w:pPr>
    </w:p>
    <w:p w:rsidR="00200FDA" w:rsidRDefault="00F76C4C">
      <w:pPr>
        <w:pStyle w:val="BodyText"/>
        <w:spacing w:before="46" w:line="276" w:lineRule="auto"/>
        <w:ind w:left="139" w:right="133"/>
        <w:jc w:val="both"/>
      </w:pPr>
      <w:r>
        <w:lastRenderedPageBreak/>
        <w:t>Exposure</w:t>
      </w:r>
      <w:r>
        <w:rPr>
          <w:spacing w:val="-8"/>
        </w:rPr>
        <w:t xml:space="preserve"> </w:t>
      </w:r>
      <w:r>
        <w:t>to</w:t>
      </w:r>
      <w:r>
        <w:rPr>
          <w:spacing w:val="-8"/>
        </w:rPr>
        <w:t xml:space="preserve"> </w:t>
      </w:r>
      <w:r>
        <w:t>tobacco</w:t>
      </w:r>
      <w:r>
        <w:rPr>
          <w:spacing w:val="-8"/>
        </w:rPr>
        <w:t xml:space="preserve"> </w:t>
      </w:r>
      <w:r>
        <w:t>smoke</w:t>
      </w:r>
      <w:r>
        <w:rPr>
          <w:spacing w:val="-8"/>
        </w:rPr>
        <w:t xml:space="preserve"> </w:t>
      </w:r>
      <w:r>
        <w:t>is</w:t>
      </w:r>
      <w:r>
        <w:rPr>
          <w:spacing w:val="-9"/>
        </w:rPr>
        <w:t xml:space="preserve"> </w:t>
      </w:r>
      <w:r>
        <w:t>another</w:t>
      </w:r>
      <w:r>
        <w:rPr>
          <w:spacing w:val="-9"/>
        </w:rPr>
        <w:t xml:space="preserve"> </w:t>
      </w:r>
      <w:r>
        <w:t>environmental</w:t>
      </w:r>
      <w:r>
        <w:rPr>
          <w:spacing w:val="-9"/>
        </w:rPr>
        <w:t xml:space="preserve"> </w:t>
      </w:r>
      <w:r>
        <w:t>justice</w:t>
      </w:r>
      <w:r>
        <w:rPr>
          <w:spacing w:val="-8"/>
        </w:rPr>
        <w:t xml:space="preserve"> </w:t>
      </w:r>
      <w:r>
        <w:t>concern</w:t>
      </w:r>
      <w:r>
        <w:rPr>
          <w:spacing w:val="-10"/>
        </w:rPr>
        <w:t xml:space="preserve"> </w:t>
      </w:r>
      <w:r>
        <w:t>for</w:t>
      </w:r>
      <w:r>
        <w:rPr>
          <w:spacing w:val="-12"/>
        </w:rPr>
        <w:t xml:space="preserve"> </w:t>
      </w:r>
      <w:r>
        <w:t>LGBTQ</w:t>
      </w:r>
      <w:r>
        <w:rPr>
          <w:spacing w:val="-11"/>
        </w:rPr>
        <w:t xml:space="preserve"> </w:t>
      </w:r>
      <w:r>
        <w:t>youth.</w:t>
      </w:r>
      <w:r>
        <w:rPr>
          <w:spacing w:val="-7"/>
        </w:rPr>
        <w:t xml:space="preserve"> </w:t>
      </w:r>
      <w:r>
        <w:t>Numerous</w:t>
      </w:r>
      <w:r>
        <w:rPr>
          <w:spacing w:val="-9"/>
        </w:rPr>
        <w:t xml:space="preserve"> </w:t>
      </w:r>
      <w:r>
        <w:t>studies show that LGBTQ populations are mor</w:t>
      </w:r>
      <w:r>
        <w:t>e likely to smoke cigarettes than non-LGBTQ populations.</w:t>
      </w:r>
      <w:hyperlink w:anchor="_bookmark803" w:history="1">
        <w:r>
          <w:rPr>
            <w:vertAlign w:val="superscript"/>
          </w:rPr>
          <w:t>28</w:t>
        </w:r>
      </w:hyperlink>
      <w:r>
        <w:t xml:space="preserve"> In Massachusetts,</w:t>
      </w:r>
      <w:r>
        <w:rPr>
          <w:spacing w:val="-9"/>
        </w:rPr>
        <w:t xml:space="preserve"> </w:t>
      </w:r>
      <w:r>
        <w:t>the</w:t>
      </w:r>
      <w:r>
        <w:rPr>
          <w:spacing w:val="-9"/>
        </w:rPr>
        <w:t xml:space="preserve"> </w:t>
      </w:r>
      <w:r>
        <w:t>2019</w:t>
      </w:r>
      <w:r>
        <w:rPr>
          <w:spacing w:val="-6"/>
        </w:rPr>
        <w:t xml:space="preserve"> </w:t>
      </w:r>
      <w:r>
        <w:t>Youth</w:t>
      </w:r>
      <w:r>
        <w:rPr>
          <w:spacing w:val="-7"/>
        </w:rPr>
        <w:t xml:space="preserve"> </w:t>
      </w:r>
      <w:r>
        <w:t>Risk</w:t>
      </w:r>
      <w:r>
        <w:rPr>
          <w:spacing w:val="-6"/>
        </w:rPr>
        <w:t xml:space="preserve"> </w:t>
      </w:r>
      <w:r>
        <w:t>Behavior</w:t>
      </w:r>
      <w:r>
        <w:rPr>
          <w:spacing w:val="-7"/>
        </w:rPr>
        <w:t xml:space="preserve"> </w:t>
      </w:r>
      <w:r>
        <w:t>Survey</w:t>
      </w:r>
      <w:r>
        <w:rPr>
          <w:spacing w:val="-8"/>
        </w:rPr>
        <w:t xml:space="preserve"> </w:t>
      </w:r>
      <w:r>
        <w:t>(MYRBS)</w:t>
      </w:r>
      <w:r>
        <w:rPr>
          <w:spacing w:val="-9"/>
        </w:rPr>
        <w:t xml:space="preserve"> </w:t>
      </w:r>
      <w:r>
        <w:t>data</w:t>
      </w:r>
      <w:r>
        <w:rPr>
          <w:spacing w:val="-7"/>
        </w:rPr>
        <w:t xml:space="preserve"> </w:t>
      </w:r>
      <w:r>
        <w:t>showed</w:t>
      </w:r>
      <w:r>
        <w:rPr>
          <w:spacing w:val="-7"/>
        </w:rPr>
        <w:t xml:space="preserve"> </w:t>
      </w:r>
      <w:r>
        <w:t>that</w:t>
      </w:r>
      <w:r>
        <w:rPr>
          <w:spacing w:val="-6"/>
        </w:rPr>
        <w:t xml:space="preserve"> </w:t>
      </w:r>
      <w:r>
        <w:t>LGBTQ</w:t>
      </w:r>
      <w:r>
        <w:rPr>
          <w:spacing w:val="-9"/>
        </w:rPr>
        <w:t xml:space="preserve"> </w:t>
      </w:r>
      <w:r>
        <w:t>youth</w:t>
      </w:r>
      <w:r>
        <w:rPr>
          <w:spacing w:val="-7"/>
        </w:rPr>
        <w:t xml:space="preserve"> </w:t>
      </w:r>
      <w:r>
        <w:t>(12%)</w:t>
      </w:r>
      <w:r>
        <w:rPr>
          <w:spacing w:val="-6"/>
        </w:rPr>
        <w:t xml:space="preserve"> </w:t>
      </w:r>
      <w:r>
        <w:t>were more likely to smoke cigarettes than non-LGBTQ youth (5%).</w:t>
      </w:r>
      <w:r>
        <w:rPr>
          <w:spacing w:val="-13"/>
        </w:rPr>
        <w:t xml:space="preserve"> </w:t>
      </w:r>
      <w:hyperlink w:anchor="_bookmark804" w:history="1">
        <w:r>
          <w:rPr>
            <w:vertAlign w:val="superscript"/>
          </w:rPr>
          <w:t>29</w:t>
        </w:r>
      </w:hyperlink>
      <w:r>
        <w:t xml:space="preserve"> Higher rates of smoking in LGBTQ communities</w:t>
      </w:r>
      <w:r>
        <w:rPr>
          <w:spacing w:val="-12"/>
        </w:rPr>
        <w:t xml:space="preserve"> </w:t>
      </w:r>
      <w:r>
        <w:t>also</w:t>
      </w:r>
      <w:r>
        <w:rPr>
          <w:spacing w:val="-13"/>
        </w:rPr>
        <w:t xml:space="preserve"> </w:t>
      </w:r>
      <w:r>
        <w:t>mean</w:t>
      </w:r>
      <w:r>
        <w:rPr>
          <w:spacing w:val="-11"/>
        </w:rPr>
        <w:t xml:space="preserve"> </w:t>
      </w:r>
      <w:r>
        <w:t>higher</w:t>
      </w:r>
      <w:r>
        <w:rPr>
          <w:spacing w:val="-12"/>
        </w:rPr>
        <w:t xml:space="preserve"> </w:t>
      </w:r>
      <w:r>
        <w:t>exposure</w:t>
      </w:r>
      <w:r>
        <w:rPr>
          <w:spacing w:val="-11"/>
        </w:rPr>
        <w:t xml:space="preserve"> </w:t>
      </w:r>
      <w:r>
        <w:t>to</w:t>
      </w:r>
      <w:r>
        <w:rPr>
          <w:spacing w:val="-10"/>
        </w:rPr>
        <w:t xml:space="preserve"> </w:t>
      </w:r>
      <w:r>
        <w:t>secondhand</w:t>
      </w:r>
      <w:r>
        <w:rPr>
          <w:spacing w:val="-12"/>
        </w:rPr>
        <w:t xml:space="preserve"> </w:t>
      </w:r>
      <w:r>
        <w:t>smoke</w:t>
      </w:r>
      <w:r>
        <w:rPr>
          <w:spacing w:val="-11"/>
        </w:rPr>
        <w:t xml:space="preserve"> </w:t>
      </w:r>
      <w:r>
        <w:t>in</w:t>
      </w:r>
      <w:r>
        <w:rPr>
          <w:spacing w:val="-12"/>
        </w:rPr>
        <w:t xml:space="preserve"> </w:t>
      </w:r>
      <w:r>
        <w:t>the</w:t>
      </w:r>
      <w:r>
        <w:rPr>
          <w:spacing w:val="-13"/>
        </w:rPr>
        <w:t xml:space="preserve"> </w:t>
      </w:r>
      <w:r>
        <w:t>places</w:t>
      </w:r>
      <w:r>
        <w:rPr>
          <w:spacing w:val="-12"/>
        </w:rPr>
        <w:t xml:space="preserve"> </w:t>
      </w:r>
      <w:r>
        <w:t>where</w:t>
      </w:r>
      <w:r>
        <w:rPr>
          <w:spacing w:val="-11"/>
        </w:rPr>
        <w:t xml:space="preserve"> </w:t>
      </w:r>
      <w:r>
        <w:t>LGBTQ</w:t>
      </w:r>
      <w:r>
        <w:rPr>
          <w:spacing w:val="-11"/>
        </w:rPr>
        <w:t xml:space="preserve"> </w:t>
      </w:r>
      <w:r>
        <w:t>people</w:t>
      </w:r>
      <w:r>
        <w:rPr>
          <w:spacing w:val="-11"/>
        </w:rPr>
        <w:t xml:space="preserve"> </w:t>
      </w:r>
      <w:r>
        <w:t>live</w:t>
      </w:r>
      <w:r>
        <w:rPr>
          <w:spacing w:val="-11"/>
        </w:rPr>
        <w:t xml:space="preserve"> </w:t>
      </w:r>
      <w:r>
        <w:t>and socialize. One study in California found that LGBTQ people were twice as likely to be expo</w:t>
      </w:r>
      <w:r>
        <w:t>sed to secondhand</w:t>
      </w:r>
      <w:r>
        <w:rPr>
          <w:spacing w:val="-13"/>
        </w:rPr>
        <w:t xml:space="preserve"> </w:t>
      </w:r>
      <w:r>
        <w:t>smoke</w:t>
      </w:r>
      <w:r>
        <w:rPr>
          <w:spacing w:val="-12"/>
        </w:rPr>
        <w:t xml:space="preserve"> </w:t>
      </w:r>
      <w:r>
        <w:t>in</w:t>
      </w:r>
      <w:r>
        <w:rPr>
          <w:spacing w:val="-13"/>
        </w:rPr>
        <w:t xml:space="preserve"> </w:t>
      </w:r>
      <w:r>
        <w:t>their</w:t>
      </w:r>
      <w:r>
        <w:rPr>
          <w:spacing w:val="-12"/>
        </w:rPr>
        <w:t xml:space="preserve"> </w:t>
      </w:r>
      <w:r>
        <w:t>household.</w:t>
      </w:r>
      <w:hyperlink w:anchor="_bookmark805" w:history="1">
        <w:r>
          <w:rPr>
            <w:vertAlign w:val="superscript"/>
          </w:rPr>
          <w:t>30</w:t>
        </w:r>
      </w:hyperlink>
      <w:r>
        <w:rPr>
          <w:spacing w:val="-13"/>
        </w:rPr>
        <w:t xml:space="preserve"> </w:t>
      </w:r>
      <w:r>
        <w:t>Another</w:t>
      </w:r>
      <w:r>
        <w:rPr>
          <w:spacing w:val="-12"/>
        </w:rPr>
        <w:t xml:space="preserve"> </w:t>
      </w:r>
      <w:r>
        <w:t>study</w:t>
      </w:r>
      <w:r>
        <w:rPr>
          <w:spacing w:val="-11"/>
        </w:rPr>
        <w:t xml:space="preserve"> </w:t>
      </w:r>
      <w:r>
        <w:t>found</w:t>
      </w:r>
      <w:r>
        <w:rPr>
          <w:spacing w:val="-13"/>
        </w:rPr>
        <w:t xml:space="preserve"> </w:t>
      </w:r>
      <w:r>
        <w:t>that</w:t>
      </w:r>
      <w:r>
        <w:rPr>
          <w:spacing w:val="-11"/>
        </w:rPr>
        <w:t xml:space="preserve"> </w:t>
      </w:r>
      <w:r>
        <w:t>visitors</w:t>
      </w:r>
      <w:r>
        <w:rPr>
          <w:spacing w:val="-12"/>
        </w:rPr>
        <w:t xml:space="preserve"> </w:t>
      </w:r>
      <w:r>
        <w:t>of</w:t>
      </w:r>
      <w:r>
        <w:rPr>
          <w:spacing w:val="-13"/>
        </w:rPr>
        <w:t xml:space="preserve"> </w:t>
      </w:r>
      <w:r>
        <w:t>LGBTQ</w:t>
      </w:r>
      <w:r>
        <w:rPr>
          <w:spacing w:val="-12"/>
        </w:rPr>
        <w:t xml:space="preserve"> </w:t>
      </w:r>
      <w:r>
        <w:t>bars</w:t>
      </w:r>
      <w:r>
        <w:rPr>
          <w:spacing w:val="-13"/>
        </w:rPr>
        <w:t xml:space="preserve"> </w:t>
      </w:r>
      <w:r>
        <w:t>and</w:t>
      </w:r>
      <w:r>
        <w:rPr>
          <w:spacing w:val="-12"/>
        </w:rPr>
        <w:t xml:space="preserve"> </w:t>
      </w:r>
      <w:r>
        <w:t>venues</w:t>
      </w:r>
      <w:r>
        <w:rPr>
          <w:spacing w:val="-13"/>
        </w:rPr>
        <w:t xml:space="preserve"> </w:t>
      </w:r>
      <w:r>
        <w:t>were 38%</w:t>
      </w:r>
      <w:r>
        <w:rPr>
          <w:spacing w:val="-6"/>
        </w:rPr>
        <w:t xml:space="preserve"> </w:t>
      </w:r>
      <w:r>
        <w:t>more</w:t>
      </w:r>
      <w:r>
        <w:rPr>
          <w:spacing w:val="-8"/>
        </w:rPr>
        <w:t xml:space="preserve"> </w:t>
      </w:r>
      <w:r>
        <w:t>likely</w:t>
      </w:r>
      <w:r>
        <w:rPr>
          <w:spacing w:val="-6"/>
        </w:rPr>
        <w:t xml:space="preserve"> </w:t>
      </w:r>
      <w:r>
        <w:t>to</w:t>
      </w:r>
      <w:r>
        <w:rPr>
          <w:spacing w:val="-5"/>
        </w:rPr>
        <w:t xml:space="preserve"> </w:t>
      </w:r>
      <w:r>
        <w:t>be</w:t>
      </w:r>
      <w:r>
        <w:rPr>
          <w:spacing w:val="-6"/>
        </w:rPr>
        <w:t xml:space="preserve"> </w:t>
      </w:r>
      <w:r>
        <w:t>exposed</w:t>
      </w:r>
      <w:r>
        <w:rPr>
          <w:spacing w:val="-7"/>
        </w:rPr>
        <w:t xml:space="preserve"> </w:t>
      </w:r>
      <w:r>
        <w:t>to</w:t>
      </w:r>
      <w:r>
        <w:rPr>
          <w:spacing w:val="-8"/>
        </w:rPr>
        <w:t xml:space="preserve"> </w:t>
      </w:r>
      <w:r>
        <w:t>secondhand</w:t>
      </w:r>
      <w:r>
        <w:rPr>
          <w:spacing w:val="-7"/>
        </w:rPr>
        <w:t xml:space="preserve"> </w:t>
      </w:r>
      <w:r>
        <w:t>smoke</w:t>
      </w:r>
      <w:r>
        <w:rPr>
          <w:spacing w:val="-8"/>
        </w:rPr>
        <w:t xml:space="preserve"> </w:t>
      </w:r>
      <w:r>
        <w:t>than</w:t>
      </w:r>
      <w:r>
        <w:rPr>
          <w:spacing w:val="-7"/>
        </w:rPr>
        <w:t xml:space="preserve"> </w:t>
      </w:r>
      <w:r>
        <w:t>non-LGBTQ</w:t>
      </w:r>
      <w:r>
        <w:rPr>
          <w:spacing w:val="-8"/>
        </w:rPr>
        <w:t xml:space="preserve"> </w:t>
      </w:r>
      <w:r>
        <w:t>venues.</w:t>
      </w:r>
      <w:hyperlink w:anchor="_bookmark806" w:history="1">
        <w:r>
          <w:rPr>
            <w:vertAlign w:val="superscript"/>
          </w:rPr>
          <w:t>31</w:t>
        </w:r>
      </w:hyperlink>
      <w:r>
        <w:rPr>
          <w:spacing w:val="-3"/>
        </w:rPr>
        <w:t xml:space="preserve"> </w:t>
      </w:r>
      <w:r>
        <w:t>Exposure</w:t>
      </w:r>
      <w:r>
        <w:rPr>
          <w:spacing w:val="-6"/>
        </w:rPr>
        <w:t xml:space="preserve"> </w:t>
      </w:r>
      <w:r>
        <w:t>to</w:t>
      </w:r>
      <w:r>
        <w:rPr>
          <w:spacing w:val="-5"/>
        </w:rPr>
        <w:t xml:space="preserve"> </w:t>
      </w:r>
      <w:r>
        <w:t>secondhand smoke is associated with respiratory illnesses, cancer, and heart disease.</w:t>
      </w:r>
      <w:hyperlink w:anchor="_bookmark807" w:history="1">
        <w:r>
          <w:rPr>
            <w:vertAlign w:val="superscript"/>
          </w:rPr>
          <w:t>32</w:t>
        </w:r>
      </w:hyperlink>
    </w:p>
    <w:p w:rsidR="00200FDA" w:rsidRDefault="00200FDA">
      <w:pPr>
        <w:pStyle w:val="BodyText"/>
        <w:spacing w:before="7"/>
        <w:rPr>
          <w:sz w:val="19"/>
        </w:rPr>
      </w:pPr>
    </w:p>
    <w:p w:rsidR="00200FDA" w:rsidRDefault="00F76C4C">
      <w:pPr>
        <w:pStyle w:val="BodyText"/>
        <w:spacing w:before="1" w:line="276" w:lineRule="auto"/>
        <w:ind w:left="139" w:right="134"/>
        <w:jc w:val="both"/>
      </w:pPr>
      <w:r>
        <w:t>As further evidence of disproportionate exposure, health conditions linked to air pollution and secondhand smoke have been found at disproportionate rates among LGBTQ communities, including LGBTQ</w:t>
      </w:r>
      <w:r>
        <w:rPr>
          <w:spacing w:val="-6"/>
        </w:rPr>
        <w:t xml:space="preserve"> </w:t>
      </w:r>
      <w:r>
        <w:t>youth.</w:t>
      </w:r>
      <w:r>
        <w:rPr>
          <w:spacing w:val="-5"/>
        </w:rPr>
        <w:t xml:space="preserve"> </w:t>
      </w:r>
      <w:r>
        <w:t>Multiple</w:t>
      </w:r>
      <w:r>
        <w:rPr>
          <w:spacing w:val="-2"/>
        </w:rPr>
        <w:t xml:space="preserve"> </w:t>
      </w:r>
      <w:r>
        <w:t>analyses</w:t>
      </w:r>
      <w:r>
        <w:rPr>
          <w:spacing w:val="-4"/>
        </w:rPr>
        <w:t xml:space="preserve"> </w:t>
      </w:r>
      <w:r>
        <w:t>have</w:t>
      </w:r>
      <w:r>
        <w:rPr>
          <w:spacing w:val="-2"/>
        </w:rPr>
        <w:t xml:space="preserve"> </w:t>
      </w:r>
      <w:r>
        <w:t>found</w:t>
      </w:r>
      <w:r>
        <w:rPr>
          <w:spacing w:val="-5"/>
        </w:rPr>
        <w:t xml:space="preserve"> </w:t>
      </w:r>
      <w:r>
        <w:t>that</w:t>
      </w:r>
      <w:r>
        <w:rPr>
          <w:spacing w:val="-2"/>
        </w:rPr>
        <w:t xml:space="preserve"> </w:t>
      </w:r>
      <w:r>
        <w:t>asthma</w:t>
      </w:r>
      <w:r>
        <w:rPr>
          <w:spacing w:val="-4"/>
        </w:rPr>
        <w:t xml:space="preserve"> </w:t>
      </w:r>
      <w:r>
        <w:t>and</w:t>
      </w:r>
      <w:r>
        <w:rPr>
          <w:spacing w:val="-3"/>
        </w:rPr>
        <w:t xml:space="preserve"> </w:t>
      </w:r>
      <w:r>
        <w:t>chronic</w:t>
      </w:r>
      <w:r>
        <w:rPr>
          <w:spacing w:val="-4"/>
        </w:rPr>
        <w:t xml:space="preserve"> </w:t>
      </w:r>
      <w:r>
        <w:t>obstructive</w:t>
      </w:r>
      <w:r>
        <w:rPr>
          <w:spacing w:val="-4"/>
        </w:rPr>
        <w:t xml:space="preserve"> </w:t>
      </w:r>
      <w:r>
        <w:t>pulmonary</w:t>
      </w:r>
      <w:r>
        <w:rPr>
          <w:spacing w:val="-4"/>
        </w:rPr>
        <w:t xml:space="preserve"> </w:t>
      </w:r>
      <w:r>
        <w:t>disease,</w:t>
      </w:r>
      <w:r>
        <w:rPr>
          <w:spacing w:val="-4"/>
        </w:rPr>
        <w:t xml:space="preserve"> </w:t>
      </w:r>
      <w:r>
        <w:t>two respiratory illnesses related to environmental exposures such as air pollution and smoking, disproportionately</w:t>
      </w:r>
      <w:r>
        <w:rPr>
          <w:spacing w:val="-5"/>
        </w:rPr>
        <w:t xml:space="preserve"> </w:t>
      </w:r>
      <w:r>
        <w:t>affect LGBTQ populations.</w:t>
      </w:r>
      <w:hyperlink w:anchor="_bookmark808" w:history="1">
        <w:r>
          <w:rPr>
            <w:vertAlign w:val="superscript"/>
          </w:rPr>
          <w:t>33</w:t>
        </w:r>
      </w:hyperlink>
      <w:r>
        <w:rPr>
          <w:vertAlign w:val="superscript"/>
        </w:rPr>
        <w:t>,</w:t>
      </w:r>
      <w:hyperlink w:anchor="_bookmark809" w:history="1">
        <w:r>
          <w:rPr>
            <w:vertAlign w:val="superscript"/>
          </w:rPr>
          <w:t>34</w:t>
        </w:r>
      </w:hyperlink>
      <w:r>
        <w:rPr>
          <w:spacing w:val="-13"/>
        </w:rPr>
        <w:t xml:space="preserve"> </w:t>
      </w:r>
      <w:r>
        <w:rPr>
          <w:vertAlign w:val="superscript"/>
        </w:rPr>
        <w:t>,</w:t>
      </w:r>
      <w:hyperlink w:anchor="_bookmark810" w:history="1">
        <w:r>
          <w:rPr>
            <w:vertAlign w:val="superscript"/>
          </w:rPr>
          <w:t>35</w:t>
        </w:r>
      </w:hyperlink>
      <w:r>
        <w:rPr>
          <w:vertAlign w:val="superscript"/>
        </w:rPr>
        <w:t>,</w:t>
      </w:r>
      <w:hyperlink w:anchor="_bookmark811" w:history="1">
        <w:r>
          <w:rPr>
            <w:vertAlign w:val="superscript"/>
          </w:rPr>
          <w:t>36</w:t>
        </w:r>
      </w:hyperlink>
      <w:r>
        <w:t xml:space="preserve"> One study based on national YRBS data found that rates of asthma are significantly higher among LGBTQ youth (28%) compared to non-LGBTQ youth (21%);</w:t>
      </w:r>
      <w:hyperlink w:anchor="_bookmark812" w:history="1">
        <w:r>
          <w:rPr>
            <w:vertAlign w:val="superscript"/>
          </w:rPr>
          <w:t>37</w:t>
        </w:r>
      </w:hyperlink>
      <w:r>
        <w:rPr>
          <w:spacing w:val="-1"/>
        </w:rPr>
        <w:t xml:space="preserve"> </w:t>
      </w:r>
      <w:r>
        <w:t>YBRS</w:t>
      </w:r>
      <w:r>
        <w:rPr>
          <w:spacing w:val="-5"/>
        </w:rPr>
        <w:t xml:space="preserve"> </w:t>
      </w:r>
      <w:r>
        <w:t>data</w:t>
      </w:r>
      <w:r>
        <w:rPr>
          <w:spacing w:val="-7"/>
        </w:rPr>
        <w:t xml:space="preserve"> </w:t>
      </w:r>
      <w:r>
        <w:t>on</w:t>
      </w:r>
      <w:r>
        <w:rPr>
          <w:spacing w:val="-5"/>
        </w:rPr>
        <w:t xml:space="preserve"> </w:t>
      </w:r>
      <w:r>
        <w:t>asthma</w:t>
      </w:r>
      <w:r>
        <w:rPr>
          <w:spacing w:val="-5"/>
        </w:rPr>
        <w:t xml:space="preserve"> </w:t>
      </w:r>
      <w:r>
        <w:t>rates</w:t>
      </w:r>
      <w:r>
        <w:rPr>
          <w:spacing w:val="-5"/>
        </w:rPr>
        <w:t xml:space="preserve"> </w:t>
      </w:r>
      <w:r>
        <w:t>among</w:t>
      </w:r>
      <w:r>
        <w:rPr>
          <w:spacing w:val="-8"/>
        </w:rPr>
        <w:t xml:space="preserve"> </w:t>
      </w:r>
      <w:r>
        <w:t>Massachusetts</w:t>
      </w:r>
      <w:r>
        <w:rPr>
          <w:spacing w:val="-5"/>
        </w:rPr>
        <w:t xml:space="preserve"> </w:t>
      </w:r>
      <w:r>
        <w:t>youth</w:t>
      </w:r>
      <w:r>
        <w:rPr>
          <w:spacing w:val="-5"/>
        </w:rPr>
        <w:t xml:space="preserve"> </w:t>
      </w:r>
      <w:r>
        <w:t>is</w:t>
      </w:r>
      <w:r>
        <w:rPr>
          <w:spacing w:val="-5"/>
        </w:rPr>
        <w:t xml:space="preserve"> </w:t>
      </w:r>
      <w:r>
        <w:t>not</w:t>
      </w:r>
      <w:r>
        <w:rPr>
          <w:spacing w:val="-4"/>
        </w:rPr>
        <w:t xml:space="preserve"> </w:t>
      </w:r>
      <w:r>
        <w:t>currently</w:t>
      </w:r>
      <w:r>
        <w:rPr>
          <w:spacing w:val="-4"/>
        </w:rPr>
        <w:t xml:space="preserve"> </w:t>
      </w:r>
      <w:r>
        <w:t>available.</w:t>
      </w:r>
      <w:hyperlink w:anchor="_bookmark813" w:history="1">
        <w:r>
          <w:rPr>
            <w:vertAlign w:val="superscript"/>
          </w:rPr>
          <w:t>38</w:t>
        </w:r>
      </w:hyperlink>
      <w:r>
        <w:rPr>
          <w:spacing w:val="-1"/>
        </w:rPr>
        <w:t xml:space="preserve"> </w:t>
      </w:r>
      <w:r>
        <w:t>Studies</w:t>
      </w:r>
      <w:r>
        <w:rPr>
          <w:spacing w:val="-5"/>
        </w:rPr>
        <w:t xml:space="preserve"> </w:t>
      </w:r>
      <w:r>
        <w:t xml:space="preserve">have also found higher rates of cardiovascular diseases linked to environmental exposures in some LGBTQ </w:t>
      </w:r>
      <w:r>
        <w:rPr>
          <w:spacing w:val="-2"/>
        </w:rPr>
        <w:t>subpopulations.</w:t>
      </w:r>
      <w:hyperlink w:anchor="_bookmark814" w:history="1">
        <w:r>
          <w:rPr>
            <w:spacing w:val="-2"/>
            <w:vertAlign w:val="superscript"/>
          </w:rPr>
          <w:t>39</w:t>
        </w:r>
      </w:hyperlink>
    </w:p>
    <w:p w:rsidR="00200FDA" w:rsidRDefault="00200FDA">
      <w:pPr>
        <w:pStyle w:val="BodyText"/>
        <w:rPr>
          <w:sz w:val="24"/>
        </w:rPr>
      </w:pPr>
    </w:p>
    <w:p w:rsidR="00200FDA" w:rsidRDefault="00F76C4C">
      <w:pPr>
        <w:pStyle w:val="Heading8"/>
        <w:spacing w:before="208"/>
      </w:pPr>
      <w:bookmarkStart w:id="1043" w:name="Chemical_Exposures_from_Beauty_and_Perso"/>
      <w:bookmarkEnd w:id="1043"/>
      <w:r>
        <w:rPr>
          <w:color w:val="2E5395"/>
        </w:rPr>
        <w:t>Chemical</w:t>
      </w:r>
      <w:r>
        <w:rPr>
          <w:color w:val="2E5395"/>
          <w:spacing w:val="-3"/>
        </w:rPr>
        <w:t xml:space="preserve"> </w:t>
      </w:r>
      <w:r>
        <w:rPr>
          <w:color w:val="2E5395"/>
        </w:rPr>
        <w:t>Exposures</w:t>
      </w:r>
      <w:r>
        <w:rPr>
          <w:color w:val="2E5395"/>
          <w:spacing w:val="-3"/>
        </w:rPr>
        <w:t xml:space="preserve"> </w:t>
      </w:r>
      <w:r>
        <w:rPr>
          <w:color w:val="2E5395"/>
        </w:rPr>
        <w:t>from Beauty</w:t>
      </w:r>
      <w:r>
        <w:rPr>
          <w:color w:val="2E5395"/>
          <w:spacing w:val="-4"/>
        </w:rPr>
        <w:t xml:space="preserve"> </w:t>
      </w:r>
      <w:r>
        <w:rPr>
          <w:color w:val="2E5395"/>
        </w:rPr>
        <w:t>and</w:t>
      </w:r>
      <w:r>
        <w:rPr>
          <w:color w:val="2E5395"/>
          <w:spacing w:val="1"/>
        </w:rPr>
        <w:t xml:space="preserve"> </w:t>
      </w:r>
      <w:r>
        <w:rPr>
          <w:color w:val="2E5395"/>
        </w:rPr>
        <w:t>Personal</w:t>
      </w:r>
      <w:r>
        <w:rPr>
          <w:color w:val="2E5395"/>
          <w:spacing w:val="-3"/>
        </w:rPr>
        <w:t xml:space="preserve"> </w:t>
      </w:r>
      <w:r>
        <w:rPr>
          <w:color w:val="2E5395"/>
        </w:rPr>
        <w:t xml:space="preserve">Care </w:t>
      </w:r>
      <w:r>
        <w:rPr>
          <w:color w:val="2E5395"/>
          <w:spacing w:val="-2"/>
        </w:rPr>
        <w:t>Products</w:t>
      </w:r>
    </w:p>
    <w:p w:rsidR="00200FDA" w:rsidRDefault="00200FDA">
      <w:pPr>
        <w:pStyle w:val="BodyText"/>
        <w:spacing w:before="8"/>
        <w:rPr>
          <w:sz w:val="19"/>
        </w:rPr>
      </w:pPr>
    </w:p>
    <w:p w:rsidR="00200FDA" w:rsidRDefault="00F76C4C">
      <w:pPr>
        <w:pStyle w:val="BodyText"/>
        <w:spacing w:line="276" w:lineRule="auto"/>
        <w:ind w:left="140" w:right="133"/>
        <w:jc w:val="both"/>
      </w:pPr>
      <w:r>
        <w:t>Consumer products such as beauty and personal care products are another source of environmental chemical</w:t>
      </w:r>
      <w:r>
        <w:rPr>
          <w:spacing w:val="-5"/>
        </w:rPr>
        <w:t xml:space="preserve"> </w:t>
      </w:r>
      <w:r>
        <w:t>exposure</w:t>
      </w:r>
      <w:r>
        <w:rPr>
          <w:spacing w:val="-6"/>
        </w:rPr>
        <w:t xml:space="preserve"> </w:t>
      </w:r>
      <w:r>
        <w:t>that</w:t>
      </w:r>
      <w:r>
        <w:rPr>
          <w:spacing w:val="-6"/>
        </w:rPr>
        <w:t xml:space="preserve"> </w:t>
      </w:r>
      <w:r>
        <w:t>may</w:t>
      </w:r>
      <w:r>
        <w:rPr>
          <w:spacing w:val="-4"/>
        </w:rPr>
        <w:t xml:space="preserve"> </w:t>
      </w:r>
      <w:r>
        <w:t>disproportionately</w:t>
      </w:r>
      <w:r>
        <w:rPr>
          <w:spacing w:val="-4"/>
        </w:rPr>
        <w:t xml:space="preserve"> </w:t>
      </w:r>
      <w:r>
        <w:t>affect</w:t>
      </w:r>
      <w:r>
        <w:rPr>
          <w:spacing w:val="-6"/>
        </w:rPr>
        <w:t xml:space="preserve"> </w:t>
      </w:r>
      <w:r>
        <w:t>LGBTQ</w:t>
      </w:r>
      <w:r>
        <w:rPr>
          <w:spacing w:val="-7"/>
        </w:rPr>
        <w:t xml:space="preserve"> </w:t>
      </w:r>
      <w:r>
        <w:t>and</w:t>
      </w:r>
      <w:r>
        <w:rPr>
          <w:spacing w:val="-5"/>
        </w:rPr>
        <w:t xml:space="preserve"> </w:t>
      </w:r>
      <w:r>
        <w:t>QTBIPOC</w:t>
      </w:r>
      <w:r>
        <w:rPr>
          <w:spacing w:val="-7"/>
        </w:rPr>
        <w:t xml:space="preserve"> </w:t>
      </w:r>
      <w:r>
        <w:t>youth.</w:t>
      </w:r>
      <w:r>
        <w:rPr>
          <w:spacing w:val="-5"/>
        </w:rPr>
        <w:t xml:space="preserve"> </w:t>
      </w:r>
      <w:r>
        <w:t>Many</w:t>
      </w:r>
      <w:r>
        <w:rPr>
          <w:spacing w:val="-4"/>
        </w:rPr>
        <w:t xml:space="preserve"> </w:t>
      </w:r>
      <w:r>
        <w:t>beauty</w:t>
      </w:r>
      <w:r>
        <w:rPr>
          <w:spacing w:val="-6"/>
        </w:rPr>
        <w:t xml:space="preserve"> </w:t>
      </w:r>
      <w:r>
        <w:t>products that are used and sold widely in the United States contain toxic chemicals that can harm health, such as phthalates, parabens, formaldehyde, lead, mercury, and other compounds that are linked to endocrine disruption,</w:t>
      </w:r>
      <w:r>
        <w:rPr>
          <w:spacing w:val="-4"/>
        </w:rPr>
        <w:t xml:space="preserve"> </w:t>
      </w:r>
      <w:r>
        <w:t>cancer,</w:t>
      </w:r>
      <w:r>
        <w:rPr>
          <w:spacing w:val="-4"/>
        </w:rPr>
        <w:t xml:space="preserve"> </w:t>
      </w:r>
      <w:r>
        <w:t>reproductive</w:t>
      </w:r>
      <w:r>
        <w:rPr>
          <w:spacing w:val="-6"/>
        </w:rPr>
        <w:t xml:space="preserve"> </w:t>
      </w:r>
      <w:r>
        <w:t>harm,</w:t>
      </w:r>
      <w:r>
        <w:rPr>
          <w:spacing w:val="-4"/>
        </w:rPr>
        <w:t xml:space="preserve"> </w:t>
      </w:r>
      <w:r>
        <w:t>and</w:t>
      </w:r>
      <w:r>
        <w:rPr>
          <w:spacing w:val="-8"/>
        </w:rPr>
        <w:t xml:space="preserve"> </w:t>
      </w:r>
      <w:r>
        <w:t>neurodevelopmental</w:t>
      </w:r>
      <w:r>
        <w:rPr>
          <w:spacing w:val="-5"/>
        </w:rPr>
        <w:t xml:space="preserve"> </w:t>
      </w:r>
      <w:r>
        <w:t>harm</w:t>
      </w:r>
      <w:r>
        <w:rPr>
          <w:spacing w:val="-5"/>
        </w:rPr>
        <w:t xml:space="preserve"> </w:t>
      </w:r>
      <w:r>
        <w:t>in</w:t>
      </w:r>
      <w:r>
        <w:rPr>
          <w:spacing w:val="-5"/>
        </w:rPr>
        <w:t xml:space="preserve"> </w:t>
      </w:r>
      <w:r>
        <w:t>children.</w:t>
      </w:r>
      <w:hyperlink w:anchor="_bookmark815" w:history="1">
        <w:r>
          <w:rPr>
            <w:vertAlign w:val="superscript"/>
          </w:rPr>
          <w:t>40</w:t>
        </w:r>
      </w:hyperlink>
      <w:r>
        <w:rPr>
          <w:spacing w:val="40"/>
        </w:rPr>
        <w:t xml:space="preserve"> </w:t>
      </w:r>
      <w:r>
        <w:t>A</w:t>
      </w:r>
      <w:r>
        <w:rPr>
          <w:spacing w:val="-5"/>
        </w:rPr>
        <w:t xml:space="preserve"> </w:t>
      </w:r>
      <w:r>
        <w:t>new</w:t>
      </w:r>
      <w:r>
        <w:rPr>
          <w:spacing w:val="-4"/>
        </w:rPr>
        <w:t xml:space="preserve"> </w:t>
      </w:r>
      <w:r>
        <w:t>study</w:t>
      </w:r>
      <w:r>
        <w:rPr>
          <w:spacing w:val="-3"/>
        </w:rPr>
        <w:t xml:space="preserve"> </w:t>
      </w:r>
      <w:r>
        <w:t>in</w:t>
      </w:r>
      <w:r>
        <w:rPr>
          <w:spacing w:val="-8"/>
        </w:rPr>
        <w:t xml:space="preserve"> </w:t>
      </w:r>
      <w:r>
        <w:t>2021 found that over half of cosmetic products sold in the US contain PFAS, a “forever chemical” associated with serious health conditions such as cancer and pregnancy c</w:t>
      </w:r>
      <w:r>
        <w:t>omplications.</w:t>
      </w:r>
      <w:hyperlink w:anchor="_bookmark816" w:history="1">
        <w:r>
          <w:rPr>
            <w:vertAlign w:val="superscript"/>
          </w:rPr>
          <w:t>41</w:t>
        </w:r>
      </w:hyperlink>
    </w:p>
    <w:p w:rsidR="00200FDA" w:rsidRDefault="00200FDA">
      <w:pPr>
        <w:pStyle w:val="BodyText"/>
        <w:spacing w:before="8"/>
        <w:rPr>
          <w:sz w:val="19"/>
        </w:rPr>
      </w:pPr>
    </w:p>
    <w:p w:rsidR="00200FDA" w:rsidRDefault="00F76C4C">
      <w:pPr>
        <w:pStyle w:val="BodyText"/>
        <w:spacing w:line="276" w:lineRule="auto"/>
        <w:ind w:left="140" w:right="133"/>
        <w:jc w:val="both"/>
      </w:pPr>
      <w:r>
        <w:t xml:space="preserve">The burdens of toxic chemical exposures from beauty and personal care products are not distributed equally. Socioeconomic factors, systemic racism, and societal norms impact the type and quality of products </w:t>
      </w:r>
      <w:r>
        <w:t>that people use, affecting their exposure to toxic chemicals and posing risks to their health.</w:t>
      </w:r>
      <w:hyperlink w:anchor="_bookmark817" w:history="1">
        <w:r>
          <w:rPr>
            <w:vertAlign w:val="superscript"/>
          </w:rPr>
          <w:t>42</w:t>
        </w:r>
      </w:hyperlink>
      <w:r>
        <w:t xml:space="preserve"> Although much more research is needed in this area, LGBTQ people, particularly drag communities and LGBTQ youth, may face unequ</w:t>
      </w:r>
      <w:r>
        <w:t>al chemical burdens from beauty and personal care products. In a 2021 discussion hosted by West Harlem Environmental Action, also known as WE ACT for Environmental Justice, a panel of researchers, advocates, and queer drag performers discussed the impact o</w:t>
      </w:r>
      <w:r>
        <w:t xml:space="preserve">f toxic chemicals found in beauty and personal care products on the queer community. For example, a panelist mentioned that young people who are first starting out in drag or are exploring gender expression may use cheaper products that contain more toxic </w:t>
      </w:r>
      <w:r>
        <w:t>chemicals due to budget and availability constraints.</w:t>
      </w:r>
      <w:hyperlink w:anchor="_bookmark818" w:history="1">
        <w:r>
          <w:rPr>
            <w:vertAlign w:val="superscript"/>
          </w:rPr>
          <w:t>43</w:t>
        </w:r>
      </w:hyperlink>
    </w:p>
    <w:p w:rsidR="00200FDA" w:rsidRDefault="00200FDA">
      <w:pPr>
        <w:spacing w:line="276" w:lineRule="auto"/>
        <w:jc w:val="both"/>
        <w:sectPr w:rsidR="00200FDA">
          <w:pgSz w:w="12240" w:h="15840"/>
          <w:pgMar w:top="1380" w:right="1300" w:bottom="1540" w:left="1300" w:header="758" w:footer="1297" w:gutter="0"/>
          <w:cols w:space="720"/>
        </w:sectPr>
      </w:pPr>
    </w:p>
    <w:p w:rsidR="00200FDA" w:rsidRDefault="00F76C4C">
      <w:pPr>
        <w:pStyle w:val="BodyText"/>
        <w:spacing w:before="46" w:line="276" w:lineRule="auto"/>
        <w:ind w:left="139" w:right="133"/>
        <w:jc w:val="both"/>
      </w:pPr>
      <w:r>
        <w:lastRenderedPageBreak/>
        <w:t>As</w:t>
      </w:r>
      <w:r>
        <w:rPr>
          <w:spacing w:val="-2"/>
        </w:rPr>
        <w:t xml:space="preserve"> </w:t>
      </w:r>
      <w:r>
        <w:t>an</w:t>
      </w:r>
      <w:r>
        <w:rPr>
          <w:spacing w:val="-3"/>
        </w:rPr>
        <w:t xml:space="preserve"> </w:t>
      </w:r>
      <w:r>
        <w:t>increasing</w:t>
      </w:r>
      <w:r>
        <w:rPr>
          <w:spacing w:val="-3"/>
        </w:rPr>
        <w:t xml:space="preserve"> </w:t>
      </w:r>
      <w:r>
        <w:t>number</w:t>
      </w:r>
      <w:r>
        <w:rPr>
          <w:spacing w:val="-4"/>
        </w:rPr>
        <w:t xml:space="preserve"> </w:t>
      </w:r>
      <w:r>
        <w:t>of</w:t>
      </w:r>
      <w:r>
        <w:rPr>
          <w:spacing w:val="-4"/>
        </w:rPr>
        <w:t xml:space="preserve"> </w:t>
      </w:r>
      <w:r>
        <w:t>studies</w:t>
      </w:r>
      <w:r>
        <w:rPr>
          <w:spacing w:val="-2"/>
        </w:rPr>
        <w:t xml:space="preserve"> </w:t>
      </w:r>
      <w:r>
        <w:t>reveal</w:t>
      </w:r>
      <w:r>
        <w:rPr>
          <w:spacing w:val="-2"/>
        </w:rPr>
        <w:t xml:space="preserve"> </w:t>
      </w:r>
      <w:r>
        <w:t>the</w:t>
      </w:r>
      <w:r>
        <w:rPr>
          <w:spacing w:val="-1"/>
        </w:rPr>
        <w:t xml:space="preserve"> </w:t>
      </w:r>
      <w:r>
        <w:t>widespread</w:t>
      </w:r>
      <w:r>
        <w:rPr>
          <w:spacing w:val="-3"/>
        </w:rPr>
        <w:t xml:space="preserve"> </w:t>
      </w:r>
      <w:r>
        <w:t>use</w:t>
      </w:r>
      <w:r>
        <w:rPr>
          <w:spacing w:val="-4"/>
        </w:rPr>
        <w:t xml:space="preserve"> </w:t>
      </w:r>
      <w:r>
        <w:t>of</w:t>
      </w:r>
      <w:r>
        <w:rPr>
          <w:spacing w:val="-4"/>
        </w:rPr>
        <w:t xml:space="preserve"> </w:t>
      </w:r>
      <w:r>
        <w:t>toxic</w:t>
      </w:r>
      <w:r>
        <w:rPr>
          <w:spacing w:val="-2"/>
        </w:rPr>
        <w:t xml:space="preserve"> </w:t>
      </w:r>
      <w:r>
        <w:t>substances</w:t>
      </w:r>
      <w:r>
        <w:rPr>
          <w:spacing w:val="-4"/>
        </w:rPr>
        <w:t xml:space="preserve"> </w:t>
      </w:r>
      <w:r>
        <w:t>in</w:t>
      </w:r>
      <w:r>
        <w:rPr>
          <w:spacing w:val="-3"/>
        </w:rPr>
        <w:t xml:space="preserve"> </w:t>
      </w:r>
      <w:r>
        <w:t>beauty</w:t>
      </w:r>
      <w:r>
        <w:rPr>
          <w:spacing w:val="-3"/>
        </w:rPr>
        <w:t xml:space="preserve"> </w:t>
      </w:r>
      <w:r>
        <w:t>and</w:t>
      </w:r>
      <w:r>
        <w:rPr>
          <w:spacing w:val="-3"/>
        </w:rPr>
        <w:t xml:space="preserve"> </w:t>
      </w:r>
      <w:r>
        <w:t>personal care products sold in the U.S., many states are taking legislative action to ban toxic ingredients in cosmetics. Action at the state level is crucial to fill gaps posed by the federal government’s limited authority to regulate the cosmetics indust</w:t>
      </w:r>
      <w:r>
        <w:t xml:space="preserve">ry. In 2023, at least 12 states including Washington, Hawaii, Illinois, Massachusetts, Michigan, Nevada, New Jersey, New York, North Carolina, Oregon, Rhode Island, </w:t>
      </w:r>
      <w:r>
        <w:rPr>
          <w:spacing w:val="-2"/>
        </w:rPr>
        <w:t>Texas,</w:t>
      </w:r>
      <w:r>
        <w:rPr>
          <w:spacing w:val="-4"/>
        </w:rPr>
        <w:t xml:space="preserve"> </w:t>
      </w:r>
      <w:r>
        <w:rPr>
          <w:spacing w:val="-2"/>
        </w:rPr>
        <w:t>and</w:t>
      </w:r>
      <w:r>
        <w:rPr>
          <w:spacing w:val="-3"/>
        </w:rPr>
        <w:t xml:space="preserve"> </w:t>
      </w:r>
      <w:r>
        <w:rPr>
          <w:spacing w:val="-2"/>
        </w:rPr>
        <w:t>Vermont are considering</w:t>
      </w:r>
      <w:r>
        <w:rPr>
          <w:spacing w:val="-3"/>
        </w:rPr>
        <w:t xml:space="preserve"> </w:t>
      </w:r>
      <w:r>
        <w:rPr>
          <w:spacing w:val="-2"/>
        </w:rPr>
        <w:t>policies to restrict</w:t>
      </w:r>
      <w:r>
        <w:rPr>
          <w:spacing w:val="-4"/>
        </w:rPr>
        <w:t xml:space="preserve"> </w:t>
      </w:r>
      <w:r>
        <w:rPr>
          <w:spacing w:val="-2"/>
        </w:rPr>
        <w:t>or require disclosure</w:t>
      </w:r>
      <w:r>
        <w:rPr>
          <w:spacing w:val="-4"/>
        </w:rPr>
        <w:t xml:space="preserve"> </w:t>
      </w:r>
      <w:r>
        <w:rPr>
          <w:spacing w:val="-2"/>
        </w:rPr>
        <w:t>of</w:t>
      </w:r>
      <w:r>
        <w:rPr>
          <w:spacing w:val="-4"/>
        </w:rPr>
        <w:t xml:space="preserve"> </w:t>
      </w:r>
      <w:r>
        <w:rPr>
          <w:spacing w:val="-2"/>
        </w:rPr>
        <w:t>toxic chem</w:t>
      </w:r>
      <w:r>
        <w:rPr>
          <w:spacing w:val="-2"/>
        </w:rPr>
        <w:t>icals</w:t>
      </w:r>
      <w:r>
        <w:rPr>
          <w:spacing w:val="-4"/>
        </w:rPr>
        <w:t xml:space="preserve"> </w:t>
      </w:r>
      <w:r>
        <w:rPr>
          <w:spacing w:val="-2"/>
        </w:rPr>
        <w:t>in</w:t>
      </w:r>
      <w:r>
        <w:rPr>
          <w:spacing w:val="-3"/>
        </w:rPr>
        <w:t xml:space="preserve"> </w:t>
      </w:r>
      <w:r>
        <w:rPr>
          <w:spacing w:val="-2"/>
        </w:rPr>
        <w:t xml:space="preserve">cosmetics </w:t>
      </w:r>
      <w:r>
        <w:t>and</w:t>
      </w:r>
      <w:r>
        <w:rPr>
          <w:spacing w:val="-4"/>
        </w:rPr>
        <w:t xml:space="preserve"> </w:t>
      </w:r>
      <w:r>
        <w:t>personal</w:t>
      </w:r>
      <w:r>
        <w:rPr>
          <w:spacing w:val="-4"/>
        </w:rPr>
        <w:t xml:space="preserve"> </w:t>
      </w:r>
      <w:r>
        <w:t>care</w:t>
      </w:r>
      <w:r>
        <w:rPr>
          <w:spacing w:val="-3"/>
        </w:rPr>
        <w:t xml:space="preserve"> </w:t>
      </w:r>
      <w:r>
        <w:t>products.</w:t>
      </w:r>
      <w:hyperlink w:anchor="_bookmark819" w:history="1">
        <w:r>
          <w:rPr>
            <w:vertAlign w:val="superscript"/>
          </w:rPr>
          <w:t>44</w:t>
        </w:r>
      </w:hyperlink>
      <w:r>
        <w:rPr>
          <w:spacing w:val="-2"/>
        </w:rPr>
        <w:t xml:space="preserve"> </w:t>
      </w:r>
      <w:r>
        <w:t>Some</w:t>
      </w:r>
      <w:r>
        <w:rPr>
          <w:spacing w:val="-3"/>
        </w:rPr>
        <w:t xml:space="preserve"> </w:t>
      </w:r>
      <w:r>
        <w:t>states</w:t>
      </w:r>
      <w:r>
        <w:rPr>
          <w:spacing w:val="-3"/>
        </w:rPr>
        <w:t xml:space="preserve"> </w:t>
      </w:r>
      <w:r>
        <w:t>have</w:t>
      </w:r>
      <w:r>
        <w:rPr>
          <w:spacing w:val="-3"/>
        </w:rPr>
        <w:t xml:space="preserve"> </w:t>
      </w:r>
      <w:r>
        <w:t>already</w:t>
      </w:r>
      <w:r>
        <w:rPr>
          <w:spacing w:val="-5"/>
        </w:rPr>
        <w:t xml:space="preserve"> </w:t>
      </w:r>
      <w:r>
        <w:t>taken</w:t>
      </w:r>
      <w:r>
        <w:rPr>
          <w:spacing w:val="-4"/>
        </w:rPr>
        <w:t xml:space="preserve"> </w:t>
      </w:r>
      <w:r>
        <w:t>significant</w:t>
      </w:r>
      <w:r>
        <w:rPr>
          <w:spacing w:val="-3"/>
        </w:rPr>
        <w:t xml:space="preserve"> </w:t>
      </w:r>
      <w:r>
        <w:t>actions</w:t>
      </w:r>
      <w:r>
        <w:rPr>
          <w:spacing w:val="-6"/>
        </w:rPr>
        <w:t xml:space="preserve"> </w:t>
      </w:r>
      <w:r>
        <w:t>to</w:t>
      </w:r>
      <w:r>
        <w:rPr>
          <w:spacing w:val="-4"/>
        </w:rPr>
        <w:t xml:space="preserve"> </w:t>
      </w:r>
      <w:r>
        <w:t>regulate</w:t>
      </w:r>
      <w:r>
        <w:rPr>
          <w:spacing w:val="-3"/>
        </w:rPr>
        <w:t xml:space="preserve"> </w:t>
      </w:r>
      <w:r>
        <w:t>the</w:t>
      </w:r>
      <w:r>
        <w:rPr>
          <w:spacing w:val="-5"/>
        </w:rPr>
        <w:t xml:space="preserve"> </w:t>
      </w:r>
      <w:r>
        <w:t>safety</w:t>
      </w:r>
      <w:r>
        <w:rPr>
          <w:spacing w:val="-2"/>
        </w:rPr>
        <w:t xml:space="preserve"> </w:t>
      </w:r>
      <w:r>
        <w:t>of personal care products. California has passed several laws that regulate cosmetics ingredients and</w:t>
      </w:r>
      <w:r>
        <w:t xml:space="preserve"> labeling, including the California Safe Cosmetics Act in 2005, the California Toxic-Free Cosmetic Act in 2020,</w:t>
      </w:r>
      <w:r>
        <w:rPr>
          <w:spacing w:val="-3"/>
        </w:rPr>
        <w:t xml:space="preserve"> </w:t>
      </w:r>
      <w:r>
        <w:t>and</w:t>
      </w:r>
      <w:r>
        <w:rPr>
          <w:spacing w:val="-4"/>
        </w:rPr>
        <w:t xml:space="preserve"> </w:t>
      </w:r>
      <w:r>
        <w:t>a</w:t>
      </w:r>
      <w:r>
        <w:rPr>
          <w:spacing w:val="-3"/>
        </w:rPr>
        <w:t xml:space="preserve"> </w:t>
      </w:r>
      <w:r>
        <w:t>ban</w:t>
      </w:r>
      <w:r>
        <w:rPr>
          <w:spacing w:val="-6"/>
        </w:rPr>
        <w:t xml:space="preserve"> </w:t>
      </w:r>
      <w:r>
        <w:t>on</w:t>
      </w:r>
      <w:r>
        <w:rPr>
          <w:spacing w:val="-4"/>
        </w:rPr>
        <w:t xml:space="preserve"> </w:t>
      </w:r>
      <w:r>
        <w:t>PFAS</w:t>
      </w:r>
      <w:r>
        <w:rPr>
          <w:spacing w:val="-4"/>
        </w:rPr>
        <w:t xml:space="preserve"> </w:t>
      </w:r>
      <w:r>
        <w:t>in</w:t>
      </w:r>
      <w:r>
        <w:rPr>
          <w:spacing w:val="-6"/>
        </w:rPr>
        <w:t xml:space="preserve"> </w:t>
      </w:r>
      <w:r>
        <w:t>personal</w:t>
      </w:r>
      <w:r>
        <w:rPr>
          <w:spacing w:val="-4"/>
        </w:rPr>
        <w:t xml:space="preserve"> </w:t>
      </w:r>
      <w:r>
        <w:t>care</w:t>
      </w:r>
      <w:r>
        <w:rPr>
          <w:spacing w:val="-3"/>
        </w:rPr>
        <w:t xml:space="preserve"> </w:t>
      </w:r>
      <w:r>
        <w:t>products.</w:t>
      </w:r>
      <w:hyperlink w:anchor="_bookmark820" w:history="1">
        <w:r>
          <w:rPr>
            <w:vertAlign w:val="superscript"/>
          </w:rPr>
          <w:t>45</w:t>
        </w:r>
      </w:hyperlink>
      <w:r>
        <w:rPr>
          <w:spacing w:val="-2"/>
        </w:rPr>
        <w:t xml:space="preserve"> </w:t>
      </w:r>
      <w:r>
        <w:t>In</w:t>
      </w:r>
      <w:r>
        <w:rPr>
          <w:spacing w:val="-4"/>
        </w:rPr>
        <w:t xml:space="preserve"> </w:t>
      </w:r>
      <w:r>
        <w:t>Massachusetts,</w:t>
      </w:r>
      <w:r>
        <w:rPr>
          <w:spacing w:val="-6"/>
        </w:rPr>
        <w:t xml:space="preserve"> </w:t>
      </w:r>
      <w:r>
        <w:t>a</w:t>
      </w:r>
      <w:r>
        <w:rPr>
          <w:spacing w:val="-4"/>
        </w:rPr>
        <w:t xml:space="preserve"> </w:t>
      </w:r>
      <w:r>
        <w:t>bill</w:t>
      </w:r>
      <w:r>
        <w:rPr>
          <w:spacing w:val="-4"/>
        </w:rPr>
        <w:t xml:space="preserve"> </w:t>
      </w:r>
      <w:r>
        <w:t>to</w:t>
      </w:r>
      <w:r>
        <w:rPr>
          <w:spacing w:val="-2"/>
        </w:rPr>
        <w:t xml:space="preserve"> </w:t>
      </w:r>
      <w:r>
        <w:t>ban</w:t>
      </w:r>
      <w:r>
        <w:rPr>
          <w:spacing w:val="-4"/>
        </w:rPr>
        <w:t xml:space="preserve"> </w:t>
      </w:r>
      <w:r>
        <w:t>PFAS</w:t>
      </w:r>
      <w:r>
        <w:rPr>
          <w:spacing w:val="-4"/>
        </w:rPr>
        <w:t xml:space="preserve"> </w:t>
      </w:r>
      <w:r>
        <w:t>from</w:t>
      </w:r>
      <w:r>
        <w:rPr>
          <w:spacing w:val="-2"/>
        </w:rPr>
        <w:t xml:space="preserve"> </w:t>
      </w:r>
      <w:r>
        <w:t>consumer products, including personal care products, was filed in February 2023.</w:t>
      </w:r>
      <w:hyperlink w:anchor="_bookmark821" w:history="1">
        <w:r>
          <w:rPr>
            <w:vertAlign w:val="superscript"/>
          </w:rPr>
          <w:t>46</w:t>
        </w:r>
      </w:hyperlink>
    </w:p>
    <w:p w:rsidR="00200FDA" w:rsidRDefault="00200FDA">
      <w:pPr>
        <w:pStyle w:val="BodyText"/>
        <w:spacing w:before="1"/>
        <w:rPr>
          <w:sz w:val="35"/>
        </w:rPr>
      </w:pPr>
    </w:p>
    <w:p w:rsidR="00200FDA" w:rsidRDefault="00F76C4C">
      <w:pPr>
        <w:pStyle w:val="Heading8"/>
      </w:pPr>
      <w:bookmarkStart w:id="1044" w:name="From_Environmental_Exposures_to_Health_O"/>
      <w:bookmarkEnd w:id="1044"/>
      <w:r>
        <w:rPr>
          <w:color w:val="2E5395"/>
        </w:rPr>
        <w:t>From</w:t>
      </w:r>
      <w:r>
        <w:rPr>
          <w:color w:val="2E5395"/>
          <w:spacing w:val="-2"/>
        </w:rPr>
        <w:t xml:space="preserve"> </w:t>
      </w:r>
      <w:r>
        <w:rPr>
          <w:color w:val="2E5395"/>
        </w:rPr>
        <w:t>Environmental</w:t>
      </w:r>
      <w:r>
        <w:rPr>
          <w:color w:val="2E5395"/>
          <w:spacing w:val="-1"/>
        </w:rPr>
        <w:t xml:space="preserve"> </w:t>
      </w:r>
      <w:r>
        <w:rPr>
          <w:color w:val="2E5395"/>
        </w:rPr>
        <w:t>Exposures</w:t>
      </w:r>
      <w:r>
        <w:rPr>
          <w:color w:val="2E5395"/>
          <w:spacing w:val="-3"/>
        </w:rPr>
        <w:t xml:space="preserve"> </w:t>
      </w:r>
      <w:r>
        <w:rPr>
          <w:color w:val="2E5395"/>
        </w:rPr>
        <w:t>to</w:t>
      </w:r>
      <w:r>
        <w:rPr>
          <w:color w:val="2E5395"/>
          <w:spacing w:val="-2"/>
        </w:rPr>
        <w:t xml:space="preserve"> </w:t>
      </w:r>
      <w:r>
        <w:rPr>
          <w:color w:val="2E5395"/>
        </w:rPr>
        <w:t>Health</w:t>
      </w:r>
      <w:r>
        <w:rPr>
          <w:color w:val="2E5395"/>
          <w:spacing w:val="-2"/>
        </w:rPr>
        <w:t xml:space="preserve"> Outcomes</w:t>
      </w:r>
    </w:p>
    <w:p w:rsidR="00200FDA" w:rsidRDefault="00200FDA">
      <w:pPr>
        <w:pStyle w:val="BodyText"/>
        <w:spacing w:before="8"/>
        <w:rPr>
          <w:sz w:val="19"/>
        </w:rPr>
      </w:pPr>
    </w:p>
    <w:p w:rsidR="00200FDA" w:rsidRDefault="00F76C4C">
      <w:pPr>
        <w:pStyle w:val="BodyText"/>
        <w:spacing w:line="276" w:lineRule="auto"/>
        <w:ind w:left="139" w:right="134"/>
        <w:jc w:val="both"/>
      </w:pPr>
      <w:r>
        <w:t>In addition to disparities in exposure, LGBTQ communities are likely to experience more ser</w:t>
      </w:r>
      <w:r>
        <w:t>ious health impacts from those exposures due to socioeconomic inequities and preexisting conditions. In epidemiology,</w:t>
      </w:r>
      <w:r>
        <w:rPr>
          <w:spacing w:val="-7"/>
        </w:rPr>
        <w:t xml:space="preserve"> </w:t>
      </w:r>
      <w:r>
        <w:t>effect</w:t>
      </w:r>
      <w:r>
        <w:rPr>
          <w:spacing w:val="-9"/>
        </w:rPr>
        <w:t xml:space="preserve"> </w:t>
      </w:r>
      <w:r>
        <w:t>modification</w:t>
      </w:r>
      <w:r>
        <w:rPr>
          <w:spacing w:val="-7"/>
        </w:rPr>
        <w:t xml:space="preserve"> </w:t>
      </w:r>
      <w:r>
        <w:t>refers</w:t>
      </w:r>
      <w:r>
        <w:rPr>
          <w:spacing w:val="-9"/>
        </w:rPr>
        <w:t xml:space="preserve"> </w:t>
      </w:r>
      <w:r>
        <w:t>to</w:t>
      </w:r>
      <w:r>
        <w:rPr>
          <w:spacing w:val="-5"/>
        </w:rPr>
        <w:t xml:space="preserve"> </w:t>
      </w:r>
      <w:r>
        <w:t>a</w:t>
      </w:r>
      <w:r>
        <w:rPr>
          <w:spacing w:val="-9"/>
        </w:rPr>
        <w:t xml:space="preserve"> </w:t>
      </w:r>
      <w:r>
        <w:t>situation</w:t>
      </w:r>
      <w:r>
        <w:rPr>
          <w:spacing w:val="-10"/>
        </w:rPr>
        <w:t xml:space="preserve"> </w:t>
      </w:r>
      <w:r>
        <w:t>where</w:t>
      </w:r>
      <w:r>
        <w:rPr>
          <w:spacing w:val="-6"/>
        </w:rPr>
        <w:t xml:space="preserve"> </w:t>
      </w:r>
      <w:r>
        <w:t>the</w:t>
      </w:r>
      <w:r>
        <w:rPr>
          <w:spacing w:val="-6"/>
        </w:rPr>
        <w:t xml:space="preserve"> </w:t>
      </w:r>
      <w:r>
        <w:t>impact</w:t>
      </w:r>
      <w:r>
        <w:rPr>
          <w:spacing w:val="-6"/>
        </w:rPr>
        <w:t xml:space="preserve"> </w:t>
      </w:r>
      <w:r>
        <w:t>that</w:t>
      </w:r>
      <w:r>
        <w:rPr>
          <w:spacing w:val="-6"/>
        </w:rPr>
        <w:t xml:space="preserve"> </w:t>
      </w:r>
      <w:r>
        <w:t>an</w:t>
      </w:r>
      <w:r>
        <w:rPr>
          <w:spacing w:val="-7"/>
        </w:rPr>
        <w:t xml:space="preserve"> </w:t>
      </w:r>
      <w:r>
        <w:t>exposure</w:t>
      </w:r>
      <w:r>
        <w:rPr>
          <w:spacing w:val="-6"/>
        </w:rPr>
        <w:t xml:space="preserve"> </w:t>
      </w:r>
      <w:r>
        <w:t>has</w:t>
      </w:r>
      <w:r>
        <w:rPr>
          <w:spacing w:val="-9"/>
        </w:rPr>
        <w:t xml:space="preserve"> </w:t>
      </w:r>
      <w:r>
        <w:t>on</w:t>
      </w:r>
      <w:r>
        <w:rPr>
          <w:spacing w:val="-7"/>
        </w:rPr>
        <w:t xml:space="preserve"> </w:t>
      </w:r>
      <w:r>
        <w:t>a</w:t>
      </w:r>
      <w:r>
        <w:rPr>
          <w:spacing w:val="-7"/>
        </w:rPr>
        <w:t xml:space="preserve"> </w:t>
      </w:r>
      <w:r>
        <w:t>health outcome is affected by a third variable, such as access to health care or a preexisting health condition. Not</w:t>
      </w:r>
      <w:r>
        <w:rPr>
          <w:spacing w:val="-13"/>
        </w:rPr>
        <w:t xml:space="preserve"> </w:t>
      </w:r>
      <w:r>
        <w:t>only</w:t>
      </w:r>
      <w:r>
        <w:rPr>
          <w:spacing w:val="-12"/>
        </w:rPr>
        <w:t xml:space="preserve"> </w:t>
      </w:r>
      <w:r>
        <w:t>do</w:t>
      </w:r>
      <w:r>
        <w:rPr>
          <w:spacing w:val="-13"/>
        </w:rPr>
        <w:t xml:space="preserve"> </w:t>
      </w:r>
      <w:r>
        <w:t>LGBTQ</w:t>
      </w:r>
      <w:r>
        <w:rPr>
          <w:spacing w:val="-12"/>
        </w:rPr>
        <w:t xml:space="preserve"> </w:t>
      </w:r>
      <w:r>
        <w:t>populations</w:t>
      </w:r>
      <w:r>
        <w:rPr>
          <w:spacing w:val="-13"/>
        </w:rPr>
        <w:t xml:space="preserve"> </w:t>
      </w:r>
      <w:r>
        <w:t>experience</w:t>
      </w:r>
      <w:r>
        <w:rPr>
          <w:spacing w:val="-12"/>
        </w:rPr>
        <w:t xml:space="preserve"> </w:t>
      </w:r>
      <w:r>
        <w:t>disproportionate</w:t>
      </w:r>
      <w:r>
        <w:rPr>
          <w:spacing w:val="-13"/>
        </w:rPr>
        <w:t xml:space="preserve"> </w:t>
      </w:r>
      <w:r>
        <w:t>exposure</w:t>
      </w:r>
      <w:r>
        <w:rPr>
          <w:spacing w:val="-12"/>
        </w:rPr>
        <w:t xml:space="preserve"> </w:t>
      </w:r>
      <w:r>
        <w:t>to</w:t>
      </w:r>
      <w:r>
        <w:rPr>
          <w:spacing w:val="-12"/>
        </w:rPr>
        <w:t xml:space="preserve"> </w:t>
      </w:r>
      <w:r>
        <w:t>environmental</w:t>
      </w:r>
      <w:r>
        <w:rPr>
          <w:spacing w:val="-13"/>
        </w:rPr>
        <w:t xml:space="preserve"> </w:t>
      </w:r>
      <w:r>
        <w:t>hazards,</w:t>
      </w:r>
      <w:r>
        <w:rPr>
          <w:spacing w:val="-12"/>
        </w:rPr>
        <w:t xml:space="preserve"> </w:t>
      </w:r>
      <w:r>
        <w:t>but</w:t>
      </w:r>
      <w:r>
        <w:rPr>
          <w:spacing w:val="-13"/>
        </w:rPr>
        <w:t xml:space="preserve"> </w:t>
      </w:r>
      <w:r>
        <w:t>they also likely experience more severe health</w:t>
      </w:r>
      <w:r>
        <w:t xml:space="preserve"> outcomes from those exposures. Underlying health conditions disproportionately</w:t>
      </w:r>
      <w:r>
        <w:rPr>
          <w:spacing w:val="-2"/>
        </w:rPr>
        <w:t xml:space="preserve"> </w:t>
      </w:r>
      <w:r>
        <w:t>affecting</w:t>
      </w:r>
      <w:r>
        <w:rPr>
          <w:spacing w:val="-1"/>
        </w:rPr>
        <w:t xml:space="preserve"> </w:t>
      </w:r>
      <w:r>
        <w:t>LGBTQ</w:t>
      </w:r>
      <w:r>
        <w:rPr>
          <w:spacing w:val="-3"/>
        </w:rPr>
        <w:t xml:space="preserve"> </w:t>
      </w:r>
      <w:r>
        <w:t>communities,</w:t>
      </w:r>
      <w:r>
        <w:rPr>
          <w:spacing w:val="-3"/>
        </w:rPr>
        <w:t xml:space="preserve"> </w:t>
      </w:r>
      <w:r>
        <w:t>challenges accessing</w:t>
      </w:r>
      <w:r>
        <w:rPr>
          <w:spacing w:val="-1"/>
        </w:rPr>
        <w:t xml:space="preserve"> </w:t>
      </w:r>
      <w:r>
        <w:t>health</w:t>
      </w:r>
      <w:r>
        <w:rPr>
          <w:spacing w:val="-4"/>
        </w:rPr>
        <w:t xml:space="preserve"> </w:t>
      </w:r>
      <w:r>
        <w:t>care, and</w:t>
      </w:r>
      <w:r>
        <w:rPr>
          <w:spacing w:val="-4"/>
        </w:rPr>
        <w:t xml:space="preserve"> </w:t>
      </w:r>
      <w:r>
        <w:t>stressors</w:t>
      </w:r>
      <w:r>
        <w:rPr>
          <w:spacing w:val="-3"/>
        </w:rPr>
        <w:t xml:space="preserve"> </w:t>
      </w:r>
      <w:r>
        <w:t>such</w:t>
      </w:r>
      <w:r>
        <w:rPr>
          <w:spacing w:val="-1"/>
        </w:rPr>
        <w:t xml:space="preserve"> </w:t>
      </w:r>
      <w:r>
        <w:t>as economic instability and housing insecurity may worsen the health impacts of exposure.</w:t>
      </w:r>
      <w:r>
        <w:rPr>
          <w:spacing w:val="-6"/>
        </w:rPr>
        <w:t xml:space="preserve"> </w:t>
      </w:r>
      <w:hyperlink w:anchor="_bookmark822" w:history="1">
        <w:r>
          <w:rPr>
            <w:vertAlign w:val="superscript"/>
          </w:rPr>
          <w:t>47</w:t>
        </w:r>
      </w:hyperlink>
      <w:r>
        <w:t xml:space="preserve"> Black, Indigenous, immigrant, disabled, and low-income LGBTQ communities facing the combined burdens of heightened environmental exposures and structural racism, colonialism, ableism, and poverty are particularly</w:t>
      </w:r>
      <w:r>
        <w:rPr>
          <w:spacing w:val="-4"/>
        </w:rPr>
        <w:t xml:space="preserve"> </w:t>
      </w:r>
      <w:r>
        <w:t>at</w:t>
      </w:r>
      <w:r>
        <w:rPr>
          <w:spacing w:val="-6"/>
        </w:rPr>
        <w:t xml:space="preserve"> </w:t>
      </w:r>
      <w:r>
        <w:t>risk</w:t>
      </w:r>
      <w:r>
        <w:rPr>
          <w:spacing w:val="-4"/>
        </w:rPr>
        <w:t xml:space="preserve"> </w:t>
      </w:r>
      <w:r>
        <w:t>for</w:t>
      </w:r>
      <w:r>
        <w:rPr>
          <w:spacing w:val="-4"/>
        </w:rPr>
        <w:t xml:space="preserve"> </w:t>
      </w:r>
      <w:r>
        <w:t>health</w:t>
      </w:r>
      <w:r>
        <w:rPr>
          <w:spacing w:val="-5"/>
        </w:rPr>
        <w:t xml:space="preserve"> </w:t>
      </w:r>
      <w:r>
        <w:t>disparities.</w:t>
      </w:r>
      <w:r>
        <w:rPr>
          <w:spacing w:val="-5"/>
        </w:rPr>
        <w:t xml:space="preserve"> </w:t>
      </w:r>
      <w:r>
        <w:t>For</w:t>
      </w:r>
      <w:r>
        <w:rPr>
          <w:spacing w:val="-7"/>
        </w:rPr>
        <w:t xml:space="preserve"> </w:t>
      </w:r>
      <w:r>
        <w:t>example,</w:t>
      </w:r>
      <w:r>
        <w:rPr>
          <w:spacing w:val="-9"/>
        </w:rPr>
        <w:t xml:space="preserve"> </w:t>
      </w:r>
      <w:r>
        <w:t>research</w:t>
      </w:r>
      <w:r>
        <w:rPr>
          <w:spacing w:val="-7"/>
        </w:rPr>
        <w:t xml:space="preserve"> </w:t>
      </w:r>
      <w:r>
        <w:t>on</w:t>
      </w:r>
      <w:r>
        <w:rPr>
          <w:spacing w:val="-5"/>
        </w:rPr>
        <w:t xml:space="preserve"> </w:t>
      </w:r>
      <w:r>
        <w:t>the</w:t>
      </w:r>
      <w:r>
        <w:rPr>
          <w:spacing w:val="-4"/>
        </w:rPr>
        <w:t xml:space="preserve"> </w:t>
      </w:r>
      <w:r>
        <w:t>socioeconomic</w:t>
      </w:r>
      <w:r>
        <w:rPr>
          <w:spacing w:val="-4"/>
        </w:rPr>
        <w:t xml:space="preserve"> </w:t>
      </w:r>
      <w:r>
        <w:t>status</w:t>
      </w:r>
      <w:r>
        <w:rPr>
          <w:spacing w:val="-4"/>
        </w:rPr>
        <w:t xml:space="preserve"> </w:t>
      </w:r>
      <w:r>
        <w:t>of</w:t>
      </w:r>
      <w:r>
        <w:rPr>
          <w:spacing w:val="-7"/>
        </w:rPr>
        <w:t xml:space="preserve"> </w:t>
      </w:r>
      <w:r>
        <w:t>Two-Spirit and</w:t>
      </w:r>
      <w:r>
        <w:rPr>
          <w:spacing w:val="-1"/>
        </w:rPr>
        <w:t xml:space="preserve"> </w:t>
      </w:r>
      <w:r>
        <w:t>LGBTQ Indigenous people has found</w:t>
      </w:r>
      <w:r>
        <w:rPr>
          <w:spacing w:val="-1"/>
        </w:rPr>
        <w:t xml:space="preserve"> </w:t>
      </w:r>
      <w:r>
        <w:t>that</w:t>
      </w:r>
      <w:r>
        <w:rPr>
          <w:spacing w:val="-2"/>
        </w:rPr>
        <w:t xml:space="preserve"> </w:t>
      </w:r>
      <w:r>
        <w:t>26% are</w:t>
      </w:r>
      <w:r>
        <w:rPr>
          <w:spacing w:val="-2"/>
        </w:rPr>
        <w:t xml:space="preserve"> </w:t>
      </w:r>
      <w:r>
        <w:t>unemployed,</w:t>
      </w:r>
      <w:r>
        <w:rPr>
          <w:spacing w:val="-2"/>
        </w:rPr>
        <w:t xml:space="preserve"> </w:t>
      </w:r>
      <w:r>
        <w:t>55%</w:t>
      </w:r>
      <w:r>
        <w:rPr>
          <w:spacing w:val="-2"/>
        </w:rPr>
        <w:t xml:space="preserve"> </w:t>
      </w:r>
      <w:r>
        <w:t>experience food</w:t>
      </w:r>
      <w:r>
        <w:rPr>
          <w:spacing w:val="-4"/>
        </w:rPr>
        <w:t xml:space="preserve"> </w:t>
      </w:r>
      <w:r>
        <w:t>insecurity,</w:t>
      </w:r>
      <w:r>
        <w:rPr>
          <w:spacing w:val="-3"/>
        </w:rPr>
        <w:t xml:space="preserve"> </w:t>
      </w:r>
      <w:r>
        <w:t xml:space="preserve">and 23% live in extreme poverty due to discrimination, marginalization, stigmatization, and historical </w:t>
      </w:r>
      <w:r>
        <w:rPr>
          <w:spacing w:val="-2"/>
        </w:rPr>
        <w:t>trauma.</w:t>
      </w:r>
      <w:hyperlink w:anchor="_bookmark823" w:history="1">
        <w:r>
          <w:rPr>
            <w:spacing w:val="-2"/>
            <w:vertAlign w:val="superscript"/>
          </w:rPr>
          <w:t>48</w:t>
        </w:r>
      </w:hyperlink>
      <w:r>
        <w:rPr>
          <w:spacing w:val="-2"/>
          <w:vertAlign w:val="superscript"/>
        </w:rPr>
        <w:t>,</w:t>
      </w:r>
      <w:hyperlink w:anchor="_bookmark824" w:history="1">
        <w:r>
          <w:rPr>
            <w:spacing w:val="-2"/>
            <w:vertAlign w:val="superscript"/>
          </w:rPr>
          <w:t>49</w:t>
        </w:r>
      </w:hyperlink>
    </w:p>
    <w:p w:rsidR="00200FDA" w:rsidRDefault="00200FDA">
      <w:pPr>
        <w:pStyle w:val="BodyText"/>
        <w:spacing w:before="9"/>
        <w:rPr>
          <w:sz w:val="19"/>
        </w:rPr>
      </w:pPr>
    </w:p>
    <w:p w:rsidR="00200FDA" w:rsidRDefault="00F76C4C">
      <w:pPr>
        <w:pStyle w:val="BodyText"/>
        <w:spacing w:line="276" w:lineRule="auto"/>
        <w:ind w:left="139" w:right="132"/>
        <w:jc w:val="both"/>
      </w:pPr>
      <w:r>
        <w:t>Preexisting health conditions among</w:t>
      </w:r>
      <w:r>
        <w:rPr>
          <w:spacing w:val="-3"/>
        </w:rPr>
        <w:t xml:space="preserve"> </w:t>
      </w:r>
      <w:r>
        <w:t>LGBTQ+ populations, such</w:t>
      </w:r>
      <w:r>
        <w:rPr>
          <w:spacing w:val="-3"/>
        </w:rPr>
        <w:t xml:space="preserve"> </w:t>
      </w:r>
      <w:r>
        <w:t>as HIV,</w:t>
      </w:r>
      <w:r>
        <w:rPr>
          <w:spacing w:val="-2"/>
        </w:rPr>
        <w:t xml:space="preserve"> </w:t>
      </w:r>
      <w:r>
        <w:t>can</w:t>
      </w:r>
      <w:r>
        <w:rPr>
          <w:spacing w:val="-3"/>
        </w:rPr>
        <w:t xml:space="preserve"> </w:t>
      </w:r>
      <w:r>
        <w:t>wo</w:t>
      </w:r>
      <w:r>
        <w:t>rsen the</w:t>
      </w:r>
      <w:r>
        <w:rPr>
          <w:spacing w:val="-1"/>
        </w:rPr>
        <w:t xml:space="preserve"> </w:t>
      </w:r>
      <w:r>
        <w:t>health impacts</w:t>
      </w:r>
      <w:r>
        <w:rPr>
          <w:spacing w:val="-2"/>
        </w:rPr>
        <w:t xml:space="preserve"> </w:t>
      </w:r>
      <w:r>
        <w:t>of pollution. Since HIV compromises the immune system, people with HIV are particularly susceptible to negative health consequences from exposure to environmental hazards such as air pollution. Numerous studies have investigated how</w:t>
      </w:r>
      <w:r>
        <w:t xml:space="preserve"> exposure to air pollution exacerbates HIV; air pollution can cause and worsen conditions like pneumocystis pneumonia and tuberculosis (TB). One study linked exposure to particulate</w:t>
      </w:r>
      <w:r>
        <w:rPr>
          <w:spacing w:val="-13"/>
        </w:rPr>
        <w:t xml:space="preserve"> </w:t>
      </w:r>
      <w:r>
        <w:t>matter,</w:t>
      </w:r>
      <w:r>
        <w:rPr>
          <w:spacing w:val="-12"/>
        </w:rPr>
        <w:t xml:space="preserve"> </w:t>
      </w:r>
      <w:r>
        <w:t>nitrogen</w:t>
      </w:r>
      <w:r>
        <w:rPr>
          <w:spacing w:val="-13"/>
        </w:rPr>
        <w:t xml:space="preserve"> </w:t>
      </w:r>
      <w:r>
        <w:t>dioxide</w:t>
      </w:r>
      <w:r>
        <w:rPr>
          <w:spacing w:val="-12"/>
        </w:rPr>
        <w:t xml:space="preserve"> </w:t>
      </w:r>
      <w:r>
        <w:t>and</w:t>
      </w:r>
      <w:r>
        <w:rPr>
          <w:spacing w:val="-13"/>
        </w:rPr>
        <w:t xml:space="preserve"> </w:t>
      </w:r>
      <w:r>
        <w:t>ozone,</w:t>
      </w:r>
      <w:r>
        <w:rPr>
          <w:spacing w:val="-12"/>
        </w:rPr>
        <w:t xml:space="preserve"> </w:t>
      </w:r>
      <w:r>
        <w:t>three</w:t>
      </w:r>
      <w:r>
        <w:rPr>
          <w:spacing w:val="-13"/>
        </w:rPr>
        <w:t xml:space="preserve"> </w:t>
      </w:r>
      <w:r>
        <w:t>of</w:t>
      </w:r>
      <w:r>
        <w:rPr>
          <w:spacing w:val="-12"/>
        </w:rPr>
        <w:t xml:space="preserve"> </w:t>
      </w:r>
      <w:r>
        <w:t>the</w:t>
      </w:r>
      <w:r>
        <w:rPr>
          <w:spacing w:val="-12"/>
        </w:rPr>
        <w:t xml:space="preserve"> </w:t>
      </w:r>
      <w:r>
        <w:t>most</w:t>
      </w:r>
      <w:r>
        <w:rPr>
          <w:spacing w:val="-13"/>
        </w:rPr>
        <w:t xml:space="preserve"> </w:t>
      </w:r>
      <w:r>
        <w:t>common</w:t>
      </w:r>
      <w:r>
        <w:rPr>
          <w:spacing w:val="-12"/>
        </w:rPr>
        <w:t xml:space="preserve"> </w:t>
      </w:r>
      <w:r>
        <w:t>air</w:t>
      </w:r>
      <w:r>
        <w:rPr>
          <w:spacing w:val="-12"/>
        </w:rPr>
        <w:t xml:space="preserve"> </w:t>
      </w:r>
      <w:r>
        <w:t>pollutants,</w:t>
      </w:r>
      <w:r>
        <w:rPr>
          <w:spacing w:val="-13"/>
        </w:rPr>
        <w:t xml:space="preserve"> </w:t>
      </w:r>
      <w:r>
        <w:t>with</w:t>
      </w:r>
      <w:r>
        <w:rPr>
          <w:spacing w:val="-11"/>
        </w:rPr>
        <w:t xml:space="preserve"> </w:t>
      </w:r>
      <w:r>
        <w:t>pneumonia hospitalization in people with HIV.</w:t>
      </w:r>
      <w:hyperlink w:anchor="_bookmark825" w:history="1">
        <w:r>
          <w:rPr>
            <w:vertAlign w:val="superscript"/>
          </w:rPr>
          <w:t>50</w:t>
        </w:r>
      </w:hyperlink>
      <w:r>
        <w:rPr>
          <w:spacing w:val="-2"/>
        </w:rPr>
        <w:t xml:space="preserve"> </w:t>
      </w:r>
      <w:r>
        <w:t>Another found positive association between carbon monoxide and nitrogen dioxide exposure and contracting TB.</w:t>
      </w:r>
      <w:hyperlink w:anchor="_bookmark826" w:history="1">
        <w:r>
          <w:rPr>
            <w:vertAlign w:val="superscript"/>
          </w:rPr>
          <w:t>51</w:t>
        </w:r>
      </w:hyperlink>
      <w:r>
        <w:t xml:space="preserve"> Studies also sug</w:t>
      </w:r>
      <w:r>
        <w:t>gest that the combined effects of air pollution and HIV may amplify the development of cardiovascular disease.</w:t>
      </w:r>
      <w:hyperlink w:anchor="_bookmark827" w:history="1">
        <w:r>
          <w:rPr>
            <w:vertAlign w:val="superscript"/>
          </w:rPr>
          <w:t>52</w:t>
        </w:r>
      </w:hyperlink>
    </w:p>
    <w:p w:rsidR="00200FDA" w:rsidRDefault="00200FDA">
      <w:pPr>
        <w:pStyle w:val="BodyText"/>
        <w:spacing w:before="8"/>
        <w:rPr>
          <w:sz w:val="19"/>
        </w:rPr>
      </w:pPr>
    </w:p>
    <w:p w:rsidR="00200FDA" w:rsidRDefault="00F76C4C">
      <w:pPr>
        <w:pStyle w:val="BodyText"/>
        <w:spacing w:line="276" w:lineRule="auto"/>
        <w:ind w:left="139" w:right="134"/>
        <w:jc w:val="both"/>
      </w:pPr>
      <w:r>
        <w:t>Hazardous environmental conditions can also exacerbate the high mental health burdens that LGBTQ youth already face. The link between environmental exposures and mental health challenges is understudied,</w:t>
      </w:r>
      <w:r>
        <w:rPr>
          <w:spacing w:val="40"/>
        </w:rPr>
        <w:t xml:space="preserve"> </w:t>
      </w:r>
      <w:r>
        <w:t>but</w:t>
      </w:r>
      <w:r>
        <w:rPr>
          <w:spacing w:val="40"/>
        </w:rPr>
        <w:t xml:space="preserve"> </w:t>
      </w:r>
      <w:r>
        <w:t>emerging</w:t>
      </w:r>
      <w:r>
        <w:rPr>
          <w:spacing w:val="40"/>
        </w:rPr>
        <w:t xml:space="preserve"> </w:t>
      </w:r>
      <w:r>
        <w:t>research</w:t>
      </w:r>
      <w:r>
        <w:rPr>
          <w:spacing w:val="40"/>
        </w:rPr>
        <w:t xml:space="preserve"> </w:t>
      </w:r>
      <w:r>
        <w:t>demonstrates</w:t>
      </w:r>
      <w:r>
        <w:rPr>
          <w:spacing w:val="40"/>
        </w:rPr>
        <w:t xml:space="preserve"> </w:t>
      </w:r>
      <w:r>
        <w:t>that</w:t>
      </w:r>
      <w:r>
        <w:rPr>
          <w:spacing w:val="40"/>
        </w:rPr>
        <w:t xml:space="preserve"> </w:t>
      </w:r>
      <w:r>
        <w:t>exposure</w:t>
      </w:r>
      <w:r>
        <w:rPr>
          <w:spacing w:val="40"/>
        </w:rPr>
        <w:t xml:space="preserve"> </w:t>
      </w:r>
      <w:r>
        <w:t>to</w:t>
      </w:r>
      <w:r>
        <w:rPr>
          <w:spacing w:val="40"/>
        </w:rPr>
        <w:t xml:space="preserve"> </w:t>
      </w:r>
      <w:r>
        <w:t>air</w:t>
      </w:r>
      <w:r>
        <w:rPr>
          <w:spacing w:val="40"/>
        </w:rPr>
        <w:t xml:space="preserve"> </w:t>
      </w:r>
      <w:r>
        <w:t>pollution,</w:t>
      </w:r>
      <w:r>
        <w:rPr>
          <w:spacing w:val="40"/>
        </w:rPr>
        <w:t xml:space="preserve"> </w:t>
      </w:r>
      <w:r>
        <w:t>noise</w:t>
      </w:r>
      <w:r>
        <w:rPr>
          <w:spacing w:val="40"/>
        </w:rPr>
        <w:t xml:space="preserve"> </w:t>
      </w:r>
      <w:r>
        <w:t>pollution,</w:t>
      </w:r>
    </w:p>
    <w:p w:rsidR="00200FDA" w:rsidRDefault="00200FDA">
      <w:pPr>
        <w:spacing w:line="276" w:lineRule="auto"/>
        <w:jc w:val="both"/>
        <w:sectPr w:rsidR="00200FDA">
          <w:pgSz w:w="12240" w:h="15840"/>
          <w:pgMar w:top="1380" w:right="1300" w:bottom="1480" w:left="1300" w:header="758" w:footer="1297" w:gutter="0"/>
          <w:cols w:space="720"/>
        </w:sectPr>
      </w:pPr>
    </w:p>
    <w:p w:rsidR="00200FDA" w:rsidRDefault="00F76C4C">
      <w:pPr>
        <w:pStyle w:val="BodyText"/>
        <w:spacing w:before="46" w:line="276" w:lineRule="auto"/>
        <w:ind w:left="139" w:right="135"/>
        <w:jc w:val="both"/>
      </w:pPr>
      <w:r>
        <w:lastRenderedPageBreak/>
        <w:t>extreme weather, and environmental disasters can increase the risk of mental health conditions such as depression.</w:t>
      </w:r>
      <w:hyperlink w:anchor="_bookmark828" w:history="1">
        <w:r>
          <w:rPr>
            <w:vertAlign w:val="superscript"/>
          </w:rPr>
          <w:t>53</w:t>
        </w:r>
      </w:hyperlink>
      <w:r>
        <w:rPr>
          <w:vertAlign w:val="superscript"/>
        </w:rPr>
        <w:t>,</w:t>
      </w:r>
      <w:hyperlink w:anchor="_bookmark829" w:history="1">
        <w:r>
          <w:rPr>
            <w:vertAlign w:val="superscript"/>
          </w:rPr>
          <w:t>54</w:t>
        </w:r>
      </w:hyperlink>
      <w:r>
        <w:rPr>
          <w:vertAlign w:val="superscript"/>
        </w:rPr>
        <w:t>,</w:t>
      </w:r>
      <w:hyperlink w:anchor="_bookmark830" w:history="1">
        <w:r>
          <w:rPr>
            <w:vertAlign w:val="superscript"/>
          </w:rPr>
          <w:t>55</w:t>
        </w:r>
      </w:hyperlink>
      <w:r>
        <w:rPr>
          <w:spacing w:val="-1"/>
        </w:rPr>
        <w:t xml:space="preserve"> </w:t>
      </w:r>
      <w:r>
        <w:t>More research into the connection between pollution exposure and mental health is extremely important for understanding the needs LGBTQ youth, who already face heightened risks to their mental health and wellbeing.</w:t>
      </w:r>
    </w:p>
    <w:p w:rsidR="00200FDA" w:rsidRDefault="00200FDA">
      <w:pPr>
        <w:pStyle w:val="BodyText"/>
        <w:spacing w:before="8"/>
        <w:rPr>
          <w:sz w:val="19"/>
        </w:rPr>
      </w:pPr>
    </w:p>
    <w:p w:rsidR="00200FDA" w:rsidRDefault="00F76C4C">
      <w:pPr>
        <w:pStyle w:val="BodyText"/>
        <w:spacing w:line="276" w:lineRule="auto"/>
        <w:ind w:left="139" w:right="133"/>
        <w:jc w:val="both"/>
      </w:pPr>
      <w:r>
        <w:t>In addition to risks from preex</w:t>
      </w:r>
      <w:r>
        <w:t>isting conditions, LGBTQ populations may have a decreased capacity to respond</w:t>
      </w:r>
      <w:r>
        <w:rPr>
          <w:spacing w:val="-12"/>
        </w:rPr>
        <w:t xml:space="preserve"> </w:t>
      </w:r>
      <w:r>
        <w:t>to</w:t>
      </w:r>
      <w:r>
        <w:rPr>
          <w:spacing w:val="-10"/>
        </w:rPr>
        <w:t xml:space="preserve"> </w:t>
      </w:r>
      <w:r>
        <w:t>the</w:t>
      </w:r>
      <w:r>
        <w:rPr>
          <w:spacing w:val="-11"/>
        </w:rPr>
        <w:t xml:space="preserve"> </w:t>
      </w:r>
      <w:r>
        <w:t>health</w:t>
      </w:r>
      <w:r>
        <w:rPr>
          <w:spacing w:val="-12"/>
        </w:rPr>
        <w:t xml:space="preserve"> </w:t>
      </w:r>
      <w:r>
        <w:t>impacts</w:t>
      </w:r>
      <w:r>
        <w:rPr>
          <w:spacing w:val="-11"/>
        </w:rPr>
        <w:t xml:space="preserve"> </w:t>
      </w:r>
      <w:r>
        <w:t>of</w:t>
      </w:r>
      <w:r>
        <w:rPr>
          <w:spacing w:val="-12"/>
        </w:rPr>
        <w:t xml:space="preserve"> </w:t>
      </w:r>
      <w:r>
        <w:t>pollution</w:t>
      </w:r>
      <w:r>
        <w:rPr>
          <w:spacing w:val="-12"/>
        </w:rPr>
        <w:t xml:space="preserve"> </w:t>
      </w:r>
      <w:r>
        <w:t>due</w:t>
      </w:r>
      <w:r>
        <w:rPr>
          <w:spacing w:val="-11"/>
        </w:rPr>
        <w:t xml:space="preserve"> </w:t>
      </w:r>
      <w:r>
        <w:t>to</w:t>
      </w:r>
      <w:r>
        <w:rPr>
          <w:spacing w:val="-10"/>
        </w:rPr>
        <w:t xml:space="preserve"> </w:t>
      </w:r>
      <w:r>
        <w:t>barriers</w:t>
      </w:r>
      <w:r>
        <w:rPr>
          <w:spacing w:val="-11"/>
        </w:rPr>
        <w:t xml:space="preserve"> </w:t>
      </w:r>
      <w:r>
        <w:t>to</w:t>
      </w:r>
      <w:r>
        <w:rPr>
          <w:spacing w:val="-13"/>
        </w:rPr>
        <w:t xml:space="preserve"> </w:t>
      </w:r>
      <w:r>
        <w:t>obtaining</w:t>
      </w:r>
      <w:r>
        <w:rPr>
          <w:spacing w:val="-11"/>
        </w:rPr>
        <w:t xml:space="preserve"> </w:t>
      </w:r>
      <w:r>
        <w:t>medical</w:t>
      </w:r>
      <w:r>
        <w:rPr>
          <w:spacing w:val="-12"/>
        </w:rPr>
        <w:t xml:space="preserve"> </w:t>
      </w:r>
      <w:r>
        <w:t>care</w:t>
      </w:r>
      <w:r>
        <w:rPr>
          <w:spacing w:val="-11"/>
        </w:rPr>
        <w:t xml:space="preserve"> </w:t>
      </w:r>
      <w:r>
        <w:t>and</w:t>
      </w:r>
      <w:r>
        <w:rPr>
          <w:spacing w:val="-12"/>
        </w:rPr>
        <w:t xml:space="preserve"> </w:t>
      </w:r>
      <w:r>
        <w:t>difficulty</w:t>
      </w:r>
      <w:r>
        <w:rPr>
          <w:spacing w:val="-11"/>
        </w:rPr>
        <w:t xml:space="preserve"> </w:t>
      </w:r>
      <w:r>
        <w:t>avoiding hazardous</w:t>
      </w:r>
      <w:r>
        <w:rPr>
          <w:spacing w:val="-9"/>
        </w:rPr>
        <w:t xml:space="preserve"> </w:t>
      </w:r>
      <w:r>
        <w:t>environmental</w:t>
      </w:r>
      <w:r>
        <w:rPr>
          <w:spacing w:val="-9"/>
        </w:rPr>
        <w:t xml:space="preserve"> </w:t>
      </w:r>
      <w:r>
        <w:t>conditions.</w:t>
      </w:r>
      <w:r>
        <w:rPr>
          <w:spacing w:val="-9"/>
        </w:rPr>
        <w:t xml:space="preserve"> </w:t>
      </w:r>
      <w:r>
        <w:t>The</w:t>
      </w:r>
      <w:r>
        <w:rPr>
          <w:spacing w:val="-8"/>
        </w:rPr>
        <w:t xml:space="preserve"> </w:t>
      </w:r>
      <w:r>
        <w:t>challenges</w:t>
      </w:r>
      <w:r>
        <w:rPr>
          <w:spacing w:val="-11"/>
        </w:rPr>
        <w:t xml:space="preserve"> </w:t>
      </w:r>
      <w:r>
        <w:t>LGBTQ</w:t>
      </w:r>
      <w:r>
        <w:rPr>
          <w:spacing w:val="-9"/>
        </w:rPr>
        <w:t xml:space="preserve"> </w:t>
      </w:r>
      <w:r>
        <w:t>people</w:t>
      </w:r>
      <w:r>
        <w:rPr>
          <w:spacing w:val="-11"/>
        </w:rPr>
        <w:t xml:space="preserve"> </w:t>
      </w:r>
      <w:r>
        <w:t>often</w:t>
      </w:r>
      <w:r>
        <w:rPr>
          <w:spacing w:val="-10"/>
        </w:rPr>
        <w:t xml:space="preserve"> </w:t>
      </w:r>
      <w:r>
        <w:t>face</w:t>
      </w:r>
      <w:r>
        <w:rPr>
          <w:spacing w:val="-8"/>
        </w:rPr>
        <w:t xml:space="preserve"> </w:t>
      </w:r>
      <w:r>
        <w:t>in</w:t>
      </w:r>
      <w:r>
        <w:rPr>
          <w:spacing w:val="-10"/>
        </w:rPr>
        <w:t xml:space="preserve"> </w:t>
      </w:r>
      <w:r>
        <w:t>receiving</w:t>
      </w:r>
      <w:r>
        <w:rPr>
          <w:spacing w:val="-10"/>
        </w:rPr>
        <w:t xml:space="preserve"> </w:t>
      </w:r>
      <w:r>
        <w:t>health</w:t>
      </w:r>
      <w:r>
        <w:rPr>
          <w:spacing w:val="-10"/>
        </w:rPr>
        <w:t xml:space="preserve"> </w:t>
      </w:r>
      <w:r>
        <w:t>care</w:t>
      </w:r>
      <w:r>
        <w:rPr>
          <w:spacing w:val="-9"/>
        </w:rPr>
        <w:t xml:space="preserve"> </w:t>
      </w:r>
      <w:r>
        <w:t>are well-documented.</w:t>
      </w:r>
      <w:r>
        <w:rPr>
          <w:spacing w:val="-7"/>
        </w:rPr>
        <w:t xml:space="preserve"> </w:t>
      </w:r>
      <w:r>
        <w:t>LGBTQ</w:t>
      </w:r>
      <w:r>
        <w:rPr>
          <w:spacing w:val="-4"/>
        </w:rPr>
        <w:t xml:space="preserve"> </w:t>
      </w:r>
      <w:r>
        <w:t>people</w:t>
      </w:r>
      <w:r>
        <w:rPr>
          <w:spacing w:val="-6"/>
        </w:rPr>
        <w:t xml:space="preserve"> </w:t>
      </w:r>
      <w:r>
        <w:t>are</w:t>
      </w:r>
      <w:r>
        <w:rPr>
          <w:spacing w:val="-6"/>
        </w:rPr>
        <w:t xml:space="preserve"> </w:t>
      </w:r>
      <w:r>
        <w:t>less</w:t>
      </w:r>
      <w:r>
        <w:rPr>
          <w:spacing w:val="-4"/>
        </w:rPr>
        <w:t xml:space="preserve"> </w:t>
      </w:r>
      <w:r>
        <w:t>likely</w:t>
      </w:r>
      <w:r>
        <w:rPr>
          <w:spacing w:val="-6"/>
        </w:rPr>
        <w:t xml:space="preserve"> </w:t>
      </w:r>
      <w:r>
        <w:t>to</w:t>
      </w:r>
      <w:r>
        <w:rPr>
          <w:spacing w:val="-3"/>
        </w:rPr>
        <w:t xml:space="preserve"> </w:t>
      </w:r>
      <w:r>
        <w:t>seek</w:t>
      </w:r>
      <w:r>
        <w:rPr>
          <w:spacing w:val="-6"/>
        </w:rPr>
        <w:t xml:space="preserve"> </w:t>
      </w:r>
      <w:r>
        <w:t>medical</w:t>
      </w:r>
      <w:r>
        <w:rPr>
          <w:spacing w:val="-7"/>
        </w:rPr>
        <w:t xml:space="preserve"> </w:t>
      </w:r>
      <w:r>
        <w:t>care</w:t>
      </w:r>
      <w:r>
        <w:rPr>
          <w:spacing w:val="-6"/>
        </w:rPr>
        <w:t xml:space="preserve"> </w:t>
      </w:r>
      <w:r>
        <w:t>until</w:t>
      </w:r>
      <w:r>
        <w:rPr>
          <w:spacing w:val="-5"/>
        </w:rPr>
        <w:t xml:space="preserve"> </w:t>
      </w:r>
      <w:r>
        <w:t>they</w:t>
      </w:r>
      <w:r>
        <w:rPr>
          <w:spacing w:val="-6"/>
        </w:rPr>
        <w:t xml:space="preserve"> </w:t>
      </w:r>
      <w:r>
        <w:t>have</w:t>
      </w:r>
      <w:r>
        <w:rPr>
          <w:spacing w:val="-4"/>
        </w:rPr>
        <w:t xml:space="preserve"> </w:t>
      </w:r>
      <w:r>
        <w:t>a</w:t>
      </w:r>
      <w:r>
        <w:rPr>
          <w:spacing w:val="-7"/>
        </w:rPr>
        <w:t xml:space="preserve"> </w:t>
      </w:r>
      <w:r>
        <w:t>serious</w:t>
      </w:r>
      <w:r>
        <w:rPr>
          <w:spacing w:val="-4"/>
        </w:rPr>
        <w:t xml:space="preserve"> </w:t>
      </w:r>
      <w:r>
        <w:t>health</w:t>
      </w:r>
      <w:r>
        <w:rPr>
          <w:spacing w:val="-5"/>
        </w:rPr>
        <w:t xml:space="preserve"> </w:t>
      </w:r>
      <w:r>
        <w:t>issue because</w:t>
      </w:r>
      <w:r>
        <w:rPr>
          <w:spacing w:val="-4"/>
        </w:rPr>
        <w:t xml:space="preserve"> </w:t>
      </w:r>
      <w:r>
        <w:t>of</w:t>
      </w:r>
      <w:r>
        <w:rPr>
          <w:spacing w:val="-3"/>
        </w:rPr>
        <w:t xml:space="preserve"> </w:t>
      </w:r>
      <w:r>
        <w:t>fear</w:t>
      </w:r>
      <w:r>
        <w:rPr>
          <w:spacing w:val="-5"/>
        </w:rPr>
        <w:t xml:space="preserve"> </w:t>
      </w:r>
      <w:r>
        <w:t>of</w:t>
      </w:r>
      <w:r>
        <w:rPr>
          <w:spacing w:val="-3"/>
        </w:rPr>
        <w:t xml:space="preserve"> </w:t>
      </w:r>
      <w:r>
        <w:t>discrimination</w:t>
      </w:r>
      <w:r>
        <w:rPr>
          <w:spacing w:val="-3"/>
        </w:rPr>
        <w:t xml:space="preserve"> </w:t>
      </w:r>
      <w:r>
        <w:t>or</w:t>
      </w:r>
      <w:r>
        <w:rPr>
          <w:spacing w:val="-2"/>
        </w:rPr>
        <w:t xml:space="preserve"> </w:t>
      </w:r>
      <w:r>
        <w:t>costs.</w:t>
      </w:r>
      <w:hyperlink w:anchor="_bookmark831" w:history="1">
        <w:r>
          <w:rPr>
            <w:vertAlign w:val="superscript"/>
          </w:rPr>
          <w:t>56</w:t>
        </w:r>
      </w:hyperlink>
      <w:r>
        <w:rPr>
          <w:spacing w:val="-1"/>
        </w:rPr>
        <w:t xml:space="preserve"> </w:t>
      </w:r>
      <w:r>
        <w:t>One</w:t>
      </w:r>
      <w:r>
        <w:rPr>
          <w:spacing w:val="-2"/>
        </w:rPr>
        <w:t xml:space="preserve"> </w:t>
      </w:r>
      <w:r>
        <w:t>study</w:t>
      </w:r>
      <w:r>
        <w:rPr>
          <w:spacing w:val="-4"/>
        </w:rPr>
        <w:t xml:space="preserve"> </w:t>
      </w:r>
      <w:r>
        <w:t>found</w:t>
      </w:r>
      <w:r>
        <w:rPr>
          <w:spacing w:val="-3"/>
        </w:rPr>
        <w:t xml:space="preserve"> </w:t>
      </w:r>
      <w:r>
        <w:t>that</w:t>
      </w:r>
      <w:r>
        <w:rPr>
          <w:spacing w:val="-2"/>
        </w:rPr>
        <w:t xml:space="preserve"> </w:t>
      </w:r>
      <w:r>
        <w:t>more</w:t>
      </w:r>
      <w:r>
        <w:rPr>
          <w:spacing w:val="-4"/>
        </w:rPr>
        <w:t xml:space="preserve"> </w:t>
      </w:r>
      <w:r>
        <w:t>than</w:t>
      </w:r>
      <w:r>
        <w:rPr>
          <w:spacing w:val="-3"/>
        </w:rPr>
        <w:t xml:space="preserve"> </w:t>
      </w:r>
      <w:r>
        <w:t>1</w:t>
      </w:r>
      <w:r>
        <w:rPr>
          <w:spacing w:val="-1"/>
        </w:rPr>
        <w:t xml:space="preserve"> </w:t>
      </w:r>
      <w:r>
        <w:t>in</w:t>
      </w:r>
      <w:r>
        <w:rPr>
          <w:spacing w:val="-5"/>
        </w:rPr>
        <w:t xml:space="preserve"> </w:t>
      </w:r>
      <w:r>
        <w:t>6</w:t>
      </w:r>
      <w:r>
        <w:rPr>
          <w:spacing w:val="-1"/>
        </w:rPr>
        <w:t xml:space="preserve"> </w:t>
      </w:r>
      <w:r>
        <w:t>LGBTQ</w:t>
      </w:r>
      <w:r>
        <w:rPr>
          <w:spacing w:val="-2"/>
        </w:rPr>
        <w:t xml:space="preserve"> </w:t>
      </w:r>
      <w:r>
        <w:t>adults</w:t>
      </w:r>
      <w:r>
        <w:rPr>
          <w:spacing w:val="-2"/>
        </w:rPr>
        <w:t xml:space="preserve"> </w:t>
      </w:r>
      <w:r>
        <w:t>avoided seeking</w:t>
      </w:r>
      <w:r>
        <w:rPr>
          <w:spacing w:val="-6"/>
        </w:rPr>
        <w:t xml:space="preserve"> </w:t>
      </w:r>
      <w:r>
        <w:t>health</w:t>
      </w:r>
      <w:r>
        <w:rPr>
          <w:spacing w:val="-9"/>
        </w:rPr>
        <w:t xml:space="preserve"> </w:t>
      </w:r>
      <w:r>
        <w:t>care</w:t>
      </w:r>
      <w:r>
        <w:rPr>
          <w:spacing w:val="-8"/>
        </w:rPr>
        <w:t xml:space="preserve"> </w:t>
      </w:r>
      <w:r>
        <w:t>because</w:t>
      </w:r>
      <w:r>
        <w:rPr>
          <w:spacing w:val="-7"/>
        </w:rPr>
        <w:t xml:space="preserve"> </w:t>
      </w:r>
      <w:r>
        <w:t>of</w:t>
      </w:r>
      <w:r>
        <w:rPr>
          <w:spacing w:val="-6"/>
        </w:rPr>
        <w:t xml:space="preserve"> </w:t>
      </w:r>
      <w:r>
        <w:t>anticipated</w:t>
      </w:r>
      <w:r>
        <w:rPr>
          <w:spacing w:val="-9"/>
        </w:rPr>
        <w:t xml:space="preserve"> </w:t>
      </w:r>
      <w:r>
        <w:t>discrimination.</w:t>
      </w:r>
      <w:hyperlink w:anchor="_bookmark832" w:history="1">
        <w:r>
          <w:rPr>
            <w:vertAlign w:val="superscript"/>
          </w:rPr>
          <w:t>57</w:t>
        </w:r>
      </w:hyperlink>
      <w:r>
        <w:rPr>
          <w:spacing w:val="-3"/>
        </w:rPr>
        <w:t xml:space="preserve"> </w:t>
      </w:r>
      <w:r>
        <w:t>Another</w:t>
      </w:r>
      <w:r>
        <w:rPr>
          <w:spacing w:val="-8"/>
        </w:rPr>
        <w:t xml:space="preserve"> </w:t>
      </w:r>
      <w:r>
        <w:t>study</w:t>
      </w:r>
      <w:r>
        <w:rPr>
          <w:spacing w:val="-7"/>
        </w:rPr>
        <w:t xml:space="preserve"> </w:t>
      </w:r>
      <w:r>
        <w:t>on</w:t>
      </w:r>
      <w:r>
        <w:rPr>
          <w:spacing w:val="-9"/>
        </w:rPr>
        <w:t xml:space="preserve"> </w:t>
      </w:r>
      <w:r>
        <w:t>LGBTQ</w:t>
      </w:r>
      <w:r>
        <w:rPr>
          <w:spacing w:val="-5"/>
        </w:rPr>
        <w:t xml:space="preserve"> </w:t>
      </w:r>
      <w:r>
        <w:t>youth’s</w:t>
      </w:r>
      <w:r>
        <w:rPr>
          <w:spacing w:val="-8"/>
        </w:rPr>
        <w:t xml:space="preserve"> </w:t>
      </w:r>
      <w:r>
        <w:t>perceptions of</w:t>
      </w:r>
      <w:r>
        <w:rPr>
          <w:spacing w:val="-4"/>
        </w:rPr>
        <w:t xml:space="preserve"> </w:t>
      </w:r>
      <w:r>
        <w:t>health</w:t>
      </w:r>
      <w:r>
        <w:rPr>
          <w:spacing w:val="-5"/>
        </w:rPr>
        <w:t xml:space="preserve"> </w:t>
      </w:r>
      <w:r>
        <w:t>care</w:t>
      </w:r>
      <w:r>
        <w:rPr>
          <w:spacing w:val="-4"/>
        </w:rPr>
        <w:t xml:space="preserve"> </w:t>
      </w:r>
      <w:r>
        <w:t>revealed</w:t>
      </w:r>
      <w:r>
        <w:rPr>
          <w:spacing w:val="-5"/>
        </w:rPr>
        <w:t xml:space="preserve"> </w:t>
      </w:r>
      <w:r>
        <w:t>that</w:t>
      </w:r>
      <w:r>
        <w:rPr>
          <w:spacing w:val="-4"/>
        </w:rPr>
        <w:t xml:space="preserve"> </w:t>
      </w:r>
      <w:r>
        <w:t>most</w:t>
      </w:r>
      <w:r>
        <w:rPr>
          <w:spacing w:val="-4"/>
        </w:rPr>
        <w:t xml:space="preserve"> </w:t>
      </w:r>
      <w:r>
        <w:t>youth</w:t>
      </w:r>
      <w:r>
        <w:rPr>
          <w:spacing w:val="-7"/>
        </w:rPr>
        <w:t xml:space="preserve"> </w:t>
      </w:r>
      <w:r>
        <w:t>did</w:t>
      </w:r>
      <w:r>
        <w:rPr>
          <w:spacing w:val="-5"/>
        </w:rPr>
        <w:t xml:space="preserve"> </w:t>
      </w:r>
      <w:r>
        <w:t>not</w:t>
      </w:r>
      <w:r>
        <w:rPr>
          <w:spacing w:val="-6"/>
        </w:rPr>
        <w:t xml:space="preserve"> </w:t>
      </w:r>
      <w:r>
        <w:t>feel</w:t>
      </w:r>
      <w:r>
        <w:rPr>
          <w:spacing w:val="-4"/>
        </w:rPr>
        <w:t xml:space="preserve"> </w:t>
      </w:r>
      <w:r>
        <w:t>their</w:t>
      </w:r>
      <w:r>
        <w:rPr>
          <w:spacing w:val="-4"/>
        </w:rPr>
        <w:t xml:space="preserve"> </w:t>
      </w:r>
      <w:r>
        <w:t>health</w:t>
      </w:r>
      <w:r>
        <w:rPr>
          <w:spacing w:val="-7"/>
        </w:rPr>
        <w:t xml:space="preserve"> </w:t>
      </w:r>
      <w:r>
        <w:t>care</w:t>
      </w:r>
      <w:r>
        <w:rPr>
          <w:spacing w:val="-6"/>
        </w:rPr>
        <w:t xml:space="preserve"> </w:t>
      </w:r>
      <w:r>
        <w:t>needs</w:t>
      </w:r>
      <w:r>
        <w:rPr>
          <w:spacing w:val="-7"/>
        </w:rPr>
        <w:t xml:space="preserve"> </w:t>
      </w:r>
      <w:r>
        <w:t>were</w:t>
      </w:r>
      <w:r>
        <w:rPr>
          <w:spacing w:val="-8"/>
        </w:rPr>
        <w:t xml:space="preserve"> </w:t>
      </w:r>
      <w:r>
        <w:t>well</w:t>
      </w:r>
      <w:r>
        <w:rPr>
          <w:spacing w:val="-7"/>
        </w:rPr>
        <w:t xml:space="preserve"> </w:t>
      </w:r>
      <w:r>
        <w:t>met</w:t>
      </w:r>
      <w:r>
        <w:rPr>
          <w:spacing w:val="-4"/>
        </w:rPr>
        <w:t xml:space="preserve"> </w:t>
      </w:r>
      <w:r>
        <w:t>and</w:t>
      </w:r>
      <w:r>
        <w:rPr>
          <w:spacing w:val="-7"/>
        </w:rPr>
        <w:t xml:space="preserve"> </w:t>
      </w:r>
      <w:r>
        <w:t>expressed concerns</w:t>
      </w:r>
      <w:r>
        <w:rPr>
          <w:spacing w:val="-7"/>
        </w:rPr>
        <w:t xml:space="preserve"> </w:t>
      </w:r>
      <w:r>
        <w:t>about</w:t>
      </w:r>
      <w:r>
        <w:rPr>
          <w:spacing w:val="-4"/>
        </w:rPr>
        <w:t xml:space="preserve"> </w:t>
      </w:r>
      <w:r>
        <w:t>disrespectful</w:t>
      </w:r>
      <w:r>
        <w:rPr>
          <w:spacing w:val="-5"/>
        </w:rPr>
        <w:t xml:space="preserve"> </w:t>
      </w:r>
      <w:r>
        <w:t>behavior,</w:t>
      </w:r>
      <w:r>
        <w:rPr>
          <w:spacing w:val="-4"/>
        </w:rPr>
        <w:t xml:space="preserve"> </w:t>
      </w:r>
      <w:r>
        <w:t>poor</w:t>
      </w:r>
      <w:r>
        <w:rPr>
          <w:spacing w:val="-4"/>
        </w:rPr>
        <w:t xml:space="preserve"> </w:t>
      </w:r>
      <w:r>
        <w:t>communication,</w:t>
      </w:r>
      <w:r>
        <w:rPr>
          <w:spacing w:val="-7"/>
        </w:rPr>
        <w:t xml:space="preserve"> </w:t>
      </w:r>
      <w:r>
        <w:t>lack</w:t>
      </w:r>
      <w:r>
        <w:rPr>
          <w:spacing w:val="-9"/>
        </w:rPr>
        <w:t xml:space="preserve"> </w:t>
      </w:r>
      <w:r>
        <w:t>of</w:t>
      </w:r>
      <w:r>
        <w:rPr>
          <w:spacing w:val="-5"/>
        </w:rPr>
        <w:t xml:space="preserve"> </w:t>
      </w:r>
      <w:r>
        <w:t>confidentiality,</w:t>
      </w:r>
      <w:r>
        <w:rPr>
          <w:spacing w:val="-7"/>
        </w:rPr>
        <w:t xml:space="preserve"> </w:t>
      </w:r>
      <w:r>
        <w:t>and</w:t>
      </w:r>
      <w:r>
        <w:rPr>
          <w:spacing w:val="-5"/>
        </w:rPr>
        <w:t xml:space="preserve"> </w:t>
      </w:r>
      <w:r>
        <w:t>discrimination.</w:t>
      </w:r>
      <w:hyperlink w:anchor="_bookmark833" w:history="1">
        <w:r>
          <w:rPr>
            <w:vertAlign w:val="superscript"/>
          </w:rPr>
          <w:t>58</w:t>
        </w:r>
      </w:hyperlink>
      <w:r>
        <w:t xml:space="preserve"> These realities</w:t>
      </w:r>
      <w:r>
        <w:rPr>
          <w:spacing w:val="-3"/>
        </w:rPr>
        <w:t xml:space="preserve"> </w:t>
      </w:r>
      <w:r>
        <w:t>place</w:t>
      </w:r>
      <w:r>
        <w:rPr>
          <w:spacing w:val="-3"/>
        </w:rPr>
        <w:t xml:space="preserve"> </w:t>
      </w:r>
      <w:r>
        <w:t>LGBTQ</w:t>
      </w:r>
      <w:r>
        <w:rPr>
          <w:spacing w:val="-1"/>
        </w:rPr>
        <w:t xml:space="preserve"> </w:t>
      </w:r>
      <w:r>
        <w:t>youth</w:t>
      </w:r>
      <w:r>
        <w:rPr>
          <w:spacing w:val="-2"/>
        </w:rPr>
        <w:t xml:space="preserve"> </w:t>
      </w:r>
      <w:r>
        <w:t>in</w:t>
      </w:r>
      <w:r>
        <w:rPr>
          <w:spacing w:val="-2"/>
        </w:rPr>
        <w:t xml:space="preserve"> </w:t>
      </w:r>
      <w:r>
        <w:t>a</w:t>
      </w:r>
      <w:r>
        <w:rPr>
          <w:spacing w:val="-3"/>
        </w:rPr>
        <w:t xml:space="preserve"> </w:t>
      </w:r>
      <w:r>
        <w:t>more</w:t>
      </w:r>
      <w:r>
        <w:rPr>
          <w:spacing w:val="-3"/>
        </w:rPr>
        <w:t xml:space="preserve"> </w:t>
      </w:r>
      <w:r>
        <w:t>vulnerable</w:t>
      </w:r>
      <w:r>
        <w:rPr>
          <w:spacing w:val="-1"/>
        </w:rPr>
        <w:t xml:space="preserve"> </w:t>
      </w:r>
      <w:r>
        <w:t>position</w:t>
      </w:r>
      <w:r>
        <w:rPr>
          <w:spacing w:val="-2"/>
        </w:rPr>
        <w:t xml:space="preserve"> </w:t>
      </w:r>
      <w:r>
        <w:t>when</w:t>
      </w:r>
      <w:r>
        <w:rPr>
          <w:spacing w:val="-2"/>
        </w:rPr>
        <w:t xml:space="preserve"> </w:t>
      </w:r>
      <w:r>
        <w:t>dealing with</w:t>
      </w:r>
      <w:r>
        <w:rPr>
          <w:spacing w:val="-2"/>
        </w:rPr>
        <w:t xml:space="preserve"> </w:t>
      </w:r>
      <w:r>
        <w:t>the health</w:t>
      </w:r>
      <w:r>
        <w:rPr>
          <w:spacing w:val="-2"/>
        </w:rPr>
        <w:t xml:space="preserve"> </w:t>
      </w:r>
      <w:r>
        <w:t>impacts</w:t>
      </w:r>
      <w:r>
        <w:rPr>
          <w:spacing w:val="-3"/>
        </w:rPr>
        <w:t xml:space="preserve"> </w:t>
      </w:r>
      <w:r>
        <w:t>of envi</w:t>
      </w:r>
      <w:r>
        <w:t>ronmental</w:t>
      </w:r>
      <w:r>
        <w:rPr>
          <w:spacing w:val="-8"/>
        </w:rPr>
        <w:t xml:space="preserve"> </w:t>
      </w:r>
      <w:r>
        <w:t>exposures</w:t>
      </w:r>
      <w:r>
        <w:rPr>
          <w:spacing w:val="-8"/>
        </w:rPr>
        <w:t xml:space="preserve"> </w:t>
      </w:r>
      <w:r>
        <w:t>if</w:t>
      </w:r>
      <w:r>
        <w:rPr>
          <w:spacing w:val="-11"/>
        </w:rPr>
        <w:t xml:space="preserve"> </w:t>
      </w:r>
      <w:r>
        <w:t>they</w:t>
      </w:r>
      <w:r>
        <w:rPr>
          <w:spacing w:val="-7"/>
        </w:rPr>
        <w:t xml:space="preserve"> </w:t>
      </w:r>
      <w:r>
        <w:t>are</w:t>
      </w:r>
      <w:r>
        <w:rPr>
          <w:spacing w:val="-8"/>
        </w:rPr>
        <w:t xml:space="preserve"> </w:t>
      </w:r>
      <w:r>
        <w:t>less</w:t>
      </w:r>
      <w:r>
        <w:rPr>
          <w:spacing w:val="-8"/>
        </w:rPr>
        <w:t xml:space="preserve"> </w:t>
      </w:r>
      <w:r>
        <w:t>willing</w:t>
      </w:r>
      <w:r>
        <w:rPr>
          <w:spacing w:val="-9"/>
        </w:rPr>
        <w:t xml:space="preserve"> </w:t>
      </w:r>
      <w:r>
        <w:t>or</w:t>
      </w:r>
      <w:r>
        <w:rPr>
          <w:spacing w:val="-8"/>
        </w:rPr>
        <w:t xml:space="preserve"> </w:t>
      </w:r>
      <w:r>
        <w:t>able</w:t>
      </w:r>
      <w:r>
        <w:rPr>
          <w:spacing w:val="-10"/>
        </w:rPr>
        <w:t xml:space="preserve"> </w:t>
      </w:r>
      <w:r>
        <w:t>to</w:t>
      </w:r>
      <w:r>
        <w:rPr>
          <w:spacing w:val="-7"/>
        </w:rPr>
        <w:t xml:space="preserve"> </w:t>
      </w:r>
      <w:r>
        <w:t>access</w:t>
      </w:r>
      <w:r>
        <w:rPr>
          <w:spacing w:val="-8"/>
        </w:rPr>
        <w:t xml:space="preserve"> </w:t>
      </w:r>
      <w:r>
        <w:t>comprehensive</w:t>
      </w:r>
      <w:r>
        <w:rPr>
          <w:spacing w:val="-7"/>
        </w:rPr>
        <w:t xml:space="preserve"> </w:t>
      </w:r>
      <w:r>
        <w:t>health</w:t>
      </w:r>
      <w:r>
        <w:rPr>
          <w:spacing w:val="-9"/>
        </w:rPr>
        <w:t xml:space="preserve"> </w:t>
      </w:r>
      <w:r>
        <w:t>care.</w:t>
      </w:r>
      <w:r>
        <w:rPr>
          <w:spacing w:val="-8"/>
        </w:rPr>
        <w:t xml:space="preserve"> </w:t>
      </w:r>
      <w:r>
        <w:t>Higher</w:t>
      </w:r>
      <w:r>
        <w:rPr>
          <w:spacing w:val="-8"/>
        </w:rPr>
        <w:t xml:space="preserve"> </w:t>
      </w:r>
      <w:r>
        <w:t>rates of</w:t>
      </w:r>
      <w:r>
        <w:rPr>
          <w:spacing w:val="-13"/>
        </w:rPr>
        <w:t xml:space="preserve"> </w:t>
      </w:r>
      <w:r>
        <w:t>poverty,</w:t>
      </w:r>
      <w:r>
        <w:rPr>
          <w:spacing w:val="-12"/>
        </w:rPr>
        <w:t xml:space="preserve"> </w:t>
      </w:r>
      <w:r>
        <w:t>unemployment,</w:t>
      </w:r>
      <w:r>
        <w:rPr>
          <w:spacing w:val="-13"/>
        </w:rPr>
        <w:t xml:space="preserve"> </w:t>
      </w:r>
      <w:r>
        <w:t>and</w:t>
      </w:r>
      <w:r>
        <w:rPr>
          <w:spacing w:val="-12"/>
        </w:rPr>
        <w:t xml:space="preserve"> </w:t>
      </w:r>
      <w:r>
        <w:t>homelessness</w:t>
      </w:r>
      <w:r>
        <w:rPr>
          <w:spacing w:val="-13"/>
        </w:rPr>
        <w:t xml:space="preserve"> </w:t>
      </w:r>
      <w:r>
        <w:t>among</w:t>
      </w:r>
      <w:r>
        <w:rPr>
          <w:spacing w:val="-12"/>
        </w:rPr>
        <w:t xml:space="preserve"> </w:t>
      </w:r>
      <w:r>
        <w:t>LGBTQ</w:t>
      </w:r>
      <w:r>
        <w:rPr>
          <w:spacing w:val="-13"/>
        </w:rPr>
        <w:t xml:space="preserve"> </w:t>
      </w:r>
      <w:r>
        <w:t>youth</w:t>
      </w:r>
      <w:r>
        <w:rPr>
          <w:spacing w:val="-12"/>
        </w:rPr>
        <w:t xml:space="preserve"> </w:t>
      </w:r>
      <w:r>
        <w:t>can</w:t>
      </w:r>
      <w:r>
        <w:rPr>
          <w:spacing w:val="-12"/>
        </w:rPr>
        <w:t xml:space="preserve"> </w:t>
      </w:r>
      <w:r>
        <w:t>be</w:t>
      </w:r>
      <w:r>
        <w:rPr>
          <w:spacing w:val="-13"/>
        </w:rPr>
        <w:t xml:space="preserve"> </w:t>
      </w:r>
      <w:r>
        <w:t>additional</w:t>
      </w:r>
      <w:r>
        <w:rPr>
          <w:spacing w:val="-12"/>
        </w:rPr>
        <w:t xml:space="preserve"> </w:t>
      </w:r>
      <w:r>
        <w:t>barriers</w:t>
      </w:r>
      <w:r>
        <w:rPr>
          <w:spacing w:val="-13"/>
        </w:rPr>
        <w:t xml:space="preserve"> </w:t>
      </w:r>
      <w:r>
        <w:t>to</w:t>
      </w:r>
      <w:r>
        <w:rPr>
          <w:spacing w:val="-12"/>
        </w:rPr>
        <w:t xml:space="preserve"> </w:t>
      </w:r>
      <w:r>
        <w:t xml:space="preserve">accessing adequate health care. As previously discussed, these factors may also force LGBTQ youth to live in environmentally hazardous living situations or make it challenging for them to change hazardous </w:t>
      </w:r>
      <w:r>
        <w:rPr>
          <w:spacing w:val="-2"/>
        </w:rPr>
        <w:t>conditions.</w:t>
      </w:r>
    </w:p>
    <w:p w:rsidR="00200FDA" w:rsidRDefault="00200FDA">
      <w:pPr>
        <w:pStyle w:val="BodyText"/>
        <w:spacing w:before="7"/>
        <w:rPr>
          <w:sz w:val="19"/>
        </w:rPr>
      </w:pPr>
    </w:p>
    <w:p w:rsidR="00200FDA" w:rsidRDefault="00F76C4C">
      <w:pPr>
        <w:pStyle w:val="BodyText"/>
        <w:spacing w:line="276" w:lineRule="auto"/>
        <w:ind w:left="140" w:right="132"/>
        <w:jc w:val="both"/>
      </w:pPr>
      <w:r>
        <w:t>All in all, it is clear that LGBTQ you</w:t>
      </w:r>
      <w:r>
        <w:t>th not only face higher exposure to environmental hazards, but are likely to experience worse health outcomes from those exposures due to these additional burdens and risk</w:t>
      </w:r>
      <w:r>
        <w:rPr>
          <w:spacing w:val="-6"/>
        </w:rPr>
        <w:t xml:space="preserve"> </w:t>
      </w:r>
      <w:r>
        <w:t>factors.</w:t>
      </w:r>
      <w:r>
        <w:rPr>
          <w:spacing w:val="-7"/>
        </w:rPr>
        <w:t xml:space="preserve"> </w:t>
      </w:r>
      <w:r>
        <w:t>Holistic</w:t>
      </w:r>
      <w:r>
        <w:rPr>
          <w:spacing w:val="-9"/>
        </w:rPr>
        <w:t xml:space="preserve"> </w:t>
      </w:r>
      <w:r>
        <w:t>actions</w:t>
      </w:r>
      <w:r>
        <w:rPr>
          <w:spacing w:val="-9"/>
        </w:rPr>
        <w:t xml:space="preserve"> </w:t>
      </w:r>
      <w:r>
        <w:t>to</w:t>
      </w:r>
      <w:r>
        <w:rPr>
          <w:spacing w:val="-8"/>
        </w:rPr>
        <w:t xml:space="preserve"> </w:t>
      </w:r>
      <w:r>
        <w:t>decrease</w:t>
      </w:r>
      <w:r>
        <w:rPr>
          <w:spacing w:val="-6"/>
        </w:rPr>
        <w:t xml:space="preserve"> </w:t>
      </w:r>
      <w:r>
        <w:t>health</w:t>
      </w:r>
      <w:r>
        <w:rPr>
          <w:spacing w:val="-7"/>
        </w:rPr>
        <w:t xml:space="preserve"> </w:t>
      </w:r>
      <w:r>
        <w:t>disparities</w:t>
      </w:r>
      <w:r>
        <w:rPr>
          <w:spacing w:val="-7"/>
        </w:rPr>
        <w:t xml:space="preserve"> </w:t>
      </w:r>
      <w:r>
        <w:t>and</w:t>
      </w:r>
      <w:r>
        <w:rPr>
          <w:spacing w:val="-7"/>
        </w:rPr>
        <w:t xml:space="preserve"> </w:t>
      </w:r>
      <w:r>
        <w:t>support</w:t>
      </w:r>
      <w:r>
        <w:rPr>
          <w:spacing w:val="-9"/>
        </w:rPr>
        <w:t xml:space="preserve"> </w:t>
      </w:r>
      <w:r>
        <w:t>the</w:t>
      </w:r>
      <w:r>
        <w:rPr>
          <w:spacing w:val="-8"/>
        </w:rPr>
        <w:t xml:space="preserve"> </w:t>
      </w:r>
      <w:r>
        <w:t>wellbeing</w:t>
      </w:r>
      <w:r>
        <w:rPr>
          <w:spacing w:val="-7"/>
        </w:rPr>
        <w:t xml:space="preserve"> </w:t>
      </w:r>
      <w:r>
        <w:t>o</w:t>
      </w:r>
      <w:r>
        <w:t>f</w:t>
      </w:r>
      <w:r>
        <w:rPr>
          <w:spacing w:val="-7"/>
        </w:rPr>
        <w:t xml:space="preserve"> </w:t>
      </w:r>
      <w:r>
        <w:t>LGBTQ</w:t>
      </w:r>
      <w:r>
        <w:rPr>
          <w:spacing w:val="-9"/>
        </w:rPr>
        <w:t xml:space="preserve"> </w:t>
      </w:r>
      <w:r>
        <w:t>youth</w:t>
      </w:r>
      <w:r>
        <w:rPr>
          <w:spacing w:val="-7"/>
        </w:rPr>
        <w:t xml:space="preserve"> </w:t>
      </w:r>
      <w:r>
        <w:t>such as reducing rates of poverty, increasing access to health care, and ensuring access to mental health support are crucial to working towards environmental justice.</w:t>
      </w:r>
    </w:p>
    <w:p w:rsidR="00200FDA" w:rsidRDefault="00200FDA">
      <w:pPr>
        <w:pStyle w:val="BodyText"/>
      </w:pPr>
    </w:p>
    <w:p w:rsidR="00200FDA" w:rsidRDefault="00F76C4C">
      <w:pPr>
        <w:pStyle w:val="Heading8"/>
        <w:spacing w:before="160"/>
      </w:pPr>
      <w:bookmarkStart w:id="1045" w:name="Climate_Justice_and_Inclusive_Disaster_R"/>
      <w:bookmarkEnd w:id="1045"/>
      <w:r>
        <w:rPr>
          <w:color w:val="2E5395"/>
        </w:rPr>
        <w:t>Climate</w:t>
      </w:r>
      <w:r>
        <w:rPr>
          <w:color w:val="2E5395"/>
          <w:spacing w:val="-2"/>
        </w:rPr>
        <w:t xml:space="preserve"> </w:t>
      </w:r>
      <w:r>
        <w:rPr>
          <w:color w:val="2E5395"/>
        </w:rPr>
        <w:t>Justice</w:t>
      </w:r>
      <w:r>
        <w:rPr>
          <w:color w:val="2E5395"/>
          <w:spacing w:val="-2"/>
        </w:rPr>
        <w:t xml:space="preserve"> </w:t>
      </w:r>
      <w:r>
        <w:rPr>
          <w:color w:val="2E5395"/>
        </w:rPr>
        <w:t>and</w:t>
      </w:r>
      <w:r>
        <w:rPr>
          <w:color w:val="2E5395"/>
          <w:spacing w:val="-3"/>
        </w:rPr>
        <w:t xml:space="preserve"> </w:t>
      </w:r>
      <w:r>
        <w:rPr>
          <w:color w:val="2E5395"/>
        </w:rPr>
        <w:t>Inclusive</w:t>
      </w:r>
      <w:r>
        <w:rPr>
          <w:color w:val="2E5395"/>
          <w:spacing w:val="-1"/>
        </w:rPr>
        <w:t xml:space="preserve"> </w:t>
      </w:r>
      <w:r>
        <w:rPr>
          <w:color w:val="2E5395"/>
        </w:rPr>
        <w:t>Disaster</w:t>
      </w:r>
      <w:r>
        <w:rPr>
          <w:color w:val="2E5395"/>
          <w:spacing w:val="-1"/>
        </w:rPr>
        <w:t xml:space="preserve"> </w:t>
      </w:r>
      <w:r>
        <w:rPr>
          <w:color w:val="2E5395"/>
          <w:spacing w:val="-2"/>
        </w:rPr>
        <w:t>Response</w:t>
      </w:r>
    </w:p>
    <w:p w:rsidR="00200FDA" w:rsidRDefault="00200FDA">
      <w:pPr>
        <w:pStyle w:val="BodyText"/>
        <w:spacing w:before="8"/>
        <w:rPr>
          <w:sz w:val="19"/>
        </w:rPr>
      </w:pPr>
    </w:p>
    <w:p w:rsidR="00200FDA" w:rsidRDefault="00F76C4C">
      <w:pPr>
        <w:pStyle w:val="BodyText"/>
        <w:spacing w:line="276" w:lineRule="auto"/>
        <w:ind w:left="139" w:right="134"/>
        <w:jc w:val="both"/>
      </w:pPr>
      <w:r>
        <w:t>Climate justice is a framework that addresses the disproportionate impacts of climate change on historically marginalized groups. It is abundantly clear that the negative social, economic, and health impacts of climate change will disproportionately affect</w:t>
      </w:r>
      <w:r>
        <w:t xml:space="preserve"> communities already facing marginalization; climate change will exacerbate existing inequalities. Globally, nationally, regionally, and locally, low- income</w:t>
      </w:r>
      <w:r>
        <w:rPr>
          <w:spacing w:val="-2"/>
        </w:rPr>
        <w:t xml:space="preserve"> </w:t>
      </w:r>
      <w:r>
        <w:t>communities, communities</w:t>
      </w:r>
      <w:r>
        <w:rPr>
          <w:spacing w:val="-5"/>
        </w:rPr>
        <w:t xml:space="preserve"> </w:t>
      </w:r>
      <w:r>
        <w:t>of</w:t>
      </w:r>
      <w:r>
        <w:rPr>
          <w:spacing w:val="-3"/>
        </w:rPr>
        <w:t xml:space="preserve"> </w:t>
      </w:r>
      <w:r>
        <w:t>color,</w:t>
      </w:r>
      <w:r>
        <w:rPr>
          <w:spacing w:val="-3"/>
        </w:rPr>
        <w:t xml:space="preserve"> </w:t>
      </w:r>
      <w:r>
        <w:t>Indigenous communities, and</w:t>
      </w:r>
      <w:r>
        <w:rPr>
          <w:spacing w:val="-4"/>
        </w:rPr>
        <w:t xml:space="preserve"> </w:t>
      </w:r>
      <w:r>
        <w:t>people</w:t>
      </w:r>
      <w:r>
        <w:rPr>
          <w:spacing w:val="-2"/>
        </w:rPr>
        <w:t xml:space="preserve"> </w:t>
      </w:r>
      <w:r>
        <w:t>with</w:t>
      </w:r>
      <w:r>
        <w:rPr>
          <w:spacing w:val="-1"/>
        </w:rPr>
        <w:t xml:space="preserve"> </w:t>
      </w:r>
      <w:r>
        <w:t>disabilities</w:t>
      </w:r>
      <w:r>
        <w:rPr>
          <w:spacing w:val="-3"/>
        </w:rPr>
        <w:t xml:space="preserve"> </w:t>
      </w:r>
      <w:r>
        <w:t>are</w:t>
      </w:r>
      <w:r>
        <w:rPr>
          <w:spacing w:val="-2"/>
        </w:rPr>
        <w:t xml:space="preserve"> </w:t>
      </w:r>
      <w:r>
        <w:t>on the</w:t>
      </w:r>
      <w:r>
        <w:rPr>
          <w:spacing w:val="-4"/>
        </w:rPr>
        <w:t xml:space="preserve"> </w:t>
      </w:r>
      <w:r>
        <w:t>frontlines</w:t>
      </w:r>
      <w:r>
        <w:rPr>
          <w:spacing w:val="-6"/>
        </w:rPr>
        <w:t xml:space="preserve"> </w:t>
      </w:r>
      <w:r>
        <w:t>of</w:t>
      </w:r>
      <w:r>
        <w:rPr>
          <w:spacing w:val="-7"/>
        </w:rPr>
        <w:t xml:space="preserve"> </w:t>
      </w:r>
      <w:r>
        <w:t>climate</w:t>
      </w:r>
      <w:r>
        <w:rPr>
          <w:spacing w:val="-4"/>
        </w:rPr>
        <w:t xml:space="preserve"> </w:t>
      </w:r>
      <w:r>
        <w:t>impacts</w:t>
      </w:r>
      <w:r>
        <w:rPr>
          <w:spacing w:val="-4"/>
        </w:rPr>
        <w:t xml:space="preserve"> </w:t>
      </w:r>
      <w:r>
        <w:t>such</w:t>
      </w:r>
      <w:r>
        <w:rPr>
          <w:spacing w:val="-5"/>
        </w:rPr>
        <w:t xml:space="preserve"> </w:t>
      </w:r>
      <w:r>
        <w:t>as</w:t>
      </w:r>
      <w:r>
        <w:rPr>
          <w:spacing w:val="-4"/>
        </w:rPr>
        <w:t xml:space="preserve"> </w:t>
      </w:r>
      <w:r>
        <w:t>extreme</w:t>
      </w:r>
      <w:r>
        <w:rPr>
          <w:spacing w:val="-6"/>
        </w:rPr>
        <w:t xml:space="preserve"> </w:t>
      </w:r>
      <w:r>
        <w:t>weather,</w:t>
      </w:r>
      <w:r>
        <w:rPr>
          <w:spacing w:val="-4"/>
        </w:rPr>
        <w:t xml:space="preserve"> </w:t>
      </w:r>
      <w:r>
        <w:t>flooding,</w:t>
      </w:r>
      <w:r>
        <w:rPr>
          <w:spacing w:val="-4"/>
        </w:rPr>
        <w:t xml:space="preserve"> </w:t>
      </w:r>
      <w:r>
        <w:t>heat,</w:t>
      </w:r>
      <w:r>
        <w:rPr>
          <w:spacing w:val="-4"/>
        </w:rPr>
        <w:t xml:space="preserve"> </w:t>
      </w:r>
      <w:r>
        <w:t>poor</w:t>
      </w:r>
      <w:r>
        <w:rPr>
          <w:spacing w:val="-7"/>
        </w:rPr>
        <w:t xml:space="preserve"> </w:t>
      </w:r>
      <w:r>
        <w:t>air</w:t>
      </w:r>
      <w:r>
        <w:rPr>
          <w:spacing w:val="-4"/>
        </w:rPr>
        <w:t xml:space="preserve"> </w:t>
      </w:r>
      <w:r>
        <w:t>quality,</w:t>
      </w:r>
      <w:r>
        <w:rPr>
          <w:spacing w:val="-4"/>
        </w:rPr>
        <w:t xml:space="preserve"> </w:t>
      </w:r>
      <w:r>
        <w:t>access</w:t>
      </w:r>
      <w:r>
        <w:rPr>
          <w:spacing w:val="-4"/>
        </w:rPr>
        <w:t xml:space="preserve"> </w:t>
      </w:r>
      <w:r>
        <w:t>to</w:t>
      </w:r>
      <w:r>
        <w:rPr>
          <w:spacing w:val="-3"/>
        </w:rPr>
        <w:t xml:space="preserve"> </w:t>
      </w:r>
      <w:r>
        <w:t>food and clean water, and sea level rise. Not only are marginalized communities experiencing the worst impacts, but they also face barriers to adaptation an</w:t>
      </w:r>
      <w:r>
        <w:t>d resilience.</w:t>
      </w:r>
      <w:hyperlink w:anchor="_bookmark834" w:history="1">
        <w:r>
          <w:rPr>
            <w:vertAlign w:val="superscript"/>
          </w:rPr>
          <w:t>59</w:t>
        </w:r>
      </w:hyperlink>
      <w:r>
        <w:rPr>
          <w:spacing w:val="-2"/>
        </w:rPr>
        <w:t xml:space="preserve"> </w:t>
      </w:r>
      <w:r>
        <w:t>In Massachusetts, climate justice and resilience is becoming a top policy priority, as evidenced by Governor Maura Healey’s Executive Order establishing the first ever Climate Chief position and Office of Cli</w:t>
      </w:r>
      <w:r>
        <w:t>mate Innovation and Resilience on her first day in office in January 2023.</w:t>
      </w:r>
      <w:r>
        <w:rPr>
          <w:spacing w:val="-13"/>
        </w:rPr>
        <w:t xml:space="preserve"> </w:t>
      </w:r>
      <w:hyperlink w:anchor="_bookmark835" w:history="1">
        <w:r>
          <w:rPr>
            <w:vertAlign w:val="superscript"/>
          </w:rPr>
          <w:t>60</w:t>
        </w:r>
      </w:hyperlink>
      <w:r>
        <w:t xml:space="preserve"> LGBTQ youth are another key group that may be particularly vulnerable to the impacts of climate change, and unique considerations to include this </w:t>
      </w:r>
      <w:r>
        <w:t>population in climate justice efforts should be taken into account.</w:t>
      </w:r>
    </w:p>
    <w:p w:rsidR="00200FDA" w:rsidRDefault="00200FDA">
      <w:pPr>
        <w:spacing w:line="276" w:lineRule="auto"/>
        <w:jc w:val="both"/>
        <w:sectPr w:rsidR="00200FDA">
          <w:pgSz w:w="12240" w:h="15840"/>
          <w:pgMar w:top="1380" w:right="1300" w:bottom="1540" w:left="1300" w:header="758" w:footer="1297" w:gutter="0"/>
          <w:cols w:space="720"/>
        </w:sectPr>
      </w:pPr>
    </w:p>
    <w:p w:rsidR="00200FDA" w:rsidRDefault="00F76C4C">
      <w:pPr>
        <w:pStyle w:val="BodyText"/>
        <w:spacing w:before="46" w:line="276" w:lineRule="auto"/>
        <w:ind w:left="139" w:right="133"/>
        <w:jc w:val="both"/>
      </w:pPr>
      <w:r>
        <w:lastRenderedPageBreak/>
        <w:t>First,</w:t>
      </w:r>
      <w:r>
        <w:rPr>
          <w:spacing w:val="-9"/>
        </w:rPr>
        <w:t xml:space="preserve"> </w:t>
      </w:r>
      <w:r>
        <w:t>supporting</w:t>
      </w:r>
      <w:r>
        <w:rPr>
          <w:spacing w:val="-10"/>
        </w:rPr>
        <w:t xml:space="preserve"> </w:t>
      </w:r>
      <w:r>
        <w:t>LGBTQ</w:t>
      </w:r>
      <w:r>
        <w:rPr>
          <w:spacing w:val="-11"/>
        </w:rPr>
        <w:t xml:space="preserve"> </w:t>
      </w:r>
      <w:r>
        <w:t>youth</w:t>
      </w:r>
      <w:r>
        <w:rPr>
          <w:spacing w:val="-10"/>
        </w:rPr>
        <w:t xml:space="preserve"> </w:t>
      </w:r>
      <w:r>
        <w:t>in</w:t>
      </w:r>
      <w:r>
        <w:rPr>
          <w:spacing w:val="-10"/>
        </w:rPr>
        <w:t xml:space="preserve"> </w:t>
      </w:r>
      <w:r>
        <w:t>securing</w:t>
      </w:r>
      <w:r>
        <w:rPr>
          <w:spacing w:val="-10"/>
        </w:rPr>
        <w:t xml:space="preserve"> </w:t>
      </w:r>
      <w:r>
        <w:t>stable</w:t>
      </w:r>
      <w:r>
        <w:rPr>
          <w:spacing w:val="-8"/>
        </w:rPr>
        <w:t xml:space="preserve"> </w:t>
      </w:r>
      <w:r>
        <w:t>housing</w:t>
      </w:r>
      <w:r>
        <w:rPr>
          <w:spacing w:val="-10"/>
        </w:rPr>
        <w:t xml:space="preserve"> </w:t>
      </w:r>
      <w:r>
        <w:t>and</w:t>
      </w:r>
      <w:r>
        <w:rPr>
          <w:spacing w:val="-10"/>
        </w:rPr>
        <w:t xml:space="preserve"> </w:t>
      </w:r>
      <w:r>
        <w:t>economic</w:t>
      </w:r>
      <w:r>
        <w:rPr>
          <w:spacing w:val="-11"/>
        </w:rPr>
        <w:t xml:space="preserve"> </w:t>
      </w:r>
      <w:r>
        <w:t>opportunities</w:t>
      </w:r>
      <w:r>
        <w:rPr>
          <w:spacing w:val="-9"/>
        </w:rPr>
        <w:t xml:space="preserve"> </w:t>
      </w:r>
      <w:r>
        <w:t>is</w:t>
      </w:r>
      <w:r>
        <w:rPr>
          <w:spacing w:val="-9"/>
        </w:rPr>
        <w:t xml:space="preserve"> </w:t>
      </w:r>
      <w:r>
        <w:t>crucial</w:t>
      </w:r>
      <w:r>
        <w:rPr>
          <w:spacing w:val="-12"/>
        </w:rPr>
        <w:t xml:space="preserve"> </w:t>
      </w:r>
      <w:r>
        <w:t>for</w:t>
      </w:r>
      <w:r>
        <w:rPr>
          <w:spacing w:val="-11"/>
        </w:rPr>
        <w:t xml:space="preserve"> </w:t>
      </w:r>
      <w:r>
        <w:t>climate justice. LGBTQ youth who are facing housing instability, experiencing homelessness, or living in less climate-resilient areas due</w:t>
      </w:r>
      <w:r>
        <w:rPr>
          <w:spacing w:val="-4"/>
        </w:rPr>
        <w:t xml:space="preserve"> </w:t>
      </w:r>
      <w:r>
        <w:t>to lower</w:t>
      </w:r>
      <w:r>
        <w:rPr>
          <w:spacing w:val="-3"/>
        </w:rPr>
        <w:t xml:space="preserve"> </w:t>
      </w:r>
      <w:r>
        <w:t>economic</w:t>
      </w:r>
      <w:r>
        <w:rPr>
          <w:spacing w:val="-3"/>
        </w:rPr>
        <w:t xml:space="preserve"> </w:t>
      </w:r>
      <w:r>
        <w:t>opportunities</w:t>
      </w:r>
      <w:r>
        <w:rPr>
          <w:spacing w:val="-3"/>
        </w:rPr>
        <w:t xml:space="preserve"> </w:t>
      </w:r>
      <w:r>
        <w:t>may</w:t>
      </w:r>
      <w:r>
        <w:rPr>
          <w:spacing w:val="-2"/>
        </w:rPr>
        <w:t xml:space="preserve"> </w:t>
      </w:r>
      <w:r>
        <w:t>face greater</w:t>
      </w:r>
      <w:r>
        <w:rPr>
          <w:spacing w:val="-3"/>
        </w:rPr>
        <w:t xml:space="preserve"> </w:t>
      </w:r>
      <w:r>
        <w:t>exposure</w:t>
      </w:r>
      <w:r>
        <w:rPr>
          <w:spacing w:val="-2"/>
        </w:rPr>
        <w:t xml:space="preserve"> </w:t>
      </w:r>
      <w:r>
        <w:t>to extreme heat, flooding,</w:t>
      </w:r>
      <w:r>
        <w:rPr>
          <w:spacing w:val="-2"/>
        </w:rPr>
        <w:t xml:space="preserve"> </w:t>
      </w:r>
      <w:r>
        <w:t>storms,</w:t>
      </w:r>
      <w:r>
        <w:rPr>
          <w:spacing w:val="-2"/>
        </w:rPr>
        <w:t xml:space="preserve"> </w:t>
      </w:r>
      <w:r>
        <w:t>and</w:t>
      </w:r>
      <w:r>
        <w:rPr>
          <w:spacing w:val="-3"/>
        </w:rPr>
        <w:t xml:space="preserve"> </w:t>
      </w:r>
      <w:r>
        <w:t>environmental</w:t>
      </w:r>
      <w:r>
        <w:rPr>
          <w:spacing w:val="-2"/>
        </w:rPr>
        <w:t xml:space="preserve"> </w:t>
      </w:r>
      <w:r>
        <w:t>disaste</w:t>
      </w:r>
      <w:r>
        <w:t>rs</w:t>
      </w:r>
      <w:r>
        <w:rPr>
          <w:spacing w:val="-2"/>
        </w:rPr>
        <w:t xml:space="preserve"> </w:t>
      </w:r>
      <w:r>
        <w:t>such</w:t>
      </w:r>
      <w:r>
        <w:rPr>
          <w:spacing w:val="-3"/>
        </w:rPr>
        <w:t xml:space="preserve"> </w:t>
      </w:r>
      <w:r>
        <w:t>as</w:t>
      </w:r>
      <w:r>
        <w:rPr>
          <w:spacing w:val="-4"/>
        </w:rPr>
        <w:t xml:space="preserve"> </w:t>
      </w:r>
      <w:r>
        <w:t>hurricanes</w:t>
      </w:r>
      <w:r>
        <w:rPr>
          <w:spacing w:val="-2"/>
        </w:rPr>
        <w:t xml:space="preserve"> </w:t>
      </w:r>
      <w:r>
        <w:t>and</w:t>
      </w:r>
      <w:r>
        <w:rPr>
          <w:spacing w:val="-3"/>
        </w:rPr>
        <w:t xml:space="preserve"> </w:t>
      </w:r>
      <w:r>
        <w:t>wildfires.</w:t>
      </w:r>
      <w:r>
        <w:rPr>
          <w:spacing w:val="-2"/>
        </w:rPr>
        <w:t xml:space="preserve"> </w:t>
      </w:r>
      <w:r>
        <w:t>LGBTQ</w:t>
      </w:r>
      <w:r>
        <w:rPr>
          <w:spacing w:val="-2"/>
        </w:rPr>
        <w:t xml:space="preserve"> </w:t>
      </w:r>
      <w:r>
        <w:t>communities</w:t>
      </w:r>
      <w:r>
        <w:rPr>
          <w:spacing w:val="-2"/>
        </w:rPr>
        <w:t xml:space="preserve"> </w:t>
      </w:r>
      <w:r>
        <w:t>may also be more susceptible to the health impacts of climate change due to preexisting conditions and challenges accessing adequate health care. LGBTQ people who face barriers accessing medical care o</w:t>
      </w:r>
      <w:r>
        <w:t>r who</w:t>
      </w:r>
      <w:r>
        <w:rPr>
          <w:spacing w:val="-8"/>
        </w:rPr>
        <w:t xml:space="preserve"> </w:t>
      </w:r>
      <w:r>
        <w:t>have</w:t>
      </w:r>
      <w:r>
        <w:rPr>
          <w:spacing w:val="-8"/>
        </w:rPr>
        <w:t xml:space="preserve"> </w:t>
      </w:r>
      <w:r>
        <w:t>preexisting</w:t>
      </w:r>
      <w:r>
        <w:rPr>
          <w:spacing w:val="-10"/>
        </w:rPr>
        <w:t xml:space="preserve"> </w:t>
      </w:r>
      <w:r>
        <w:t>health</w:t>
      </w:r>
      <w:r>
        <w:rPr>
          <w:spacing w:val="-10"/>
        </w:rPr>
        <w:t xml:space="preserve"> </w:t>
      </w:r>
      <w:r>
        <w:t>conditions</w:t>
      </w:r>
      <w:r>
        <w:rPr>
          <w:spacing w:val="-9"/>
        </w:rPr>
        <w:t xml:space="preserve"> </w:t>
      </w:r>
      <w:r>
        <w:t>such</w:t>
      </w:r>
      <w:r>
        <w:rPr>
          <w:spacing w:val="-10"/>
        </w:rPr>
        <w:t xml:space="preserve"> </w:t>
      </w:r>
      <w:r>
        <w:t>as</w:t>
      </w:r>
      <w:r>
        <w:rPr>
          <w:spacing w:val="-9"/>
        </w:rPr>
        <w:t xml:space="preserve"> </w:t>
      </w:r>
      <w:r>
        <w:t>HIV</w:t>
      </w:r>
      <w:r>
        <w:rPr>
          <w:spacing w:val="-9"/>
        </w:rPr>
        <w:t xml:space="preserve"> </w:t>
      </w:r>
      <w:r>
        <w:t>may</w:t>
      </w:r>
      <w:r>
        <w:rPr>
          <w:spacing w:val="-8"/>
        </w:rPr>
        <w:t xml:space="preserve"> </w:t>
      </w:r>
      <w:r>
        <w:t>be</w:t>
      </w:r>
      <w:r>
        <w:rPr>
          <w:spacing w:val="-8"/>
        </w:rPr>
        <w:t xml:space="preserve"> </w:t>
      </w:r>
      <w:r>
        <w:t>particularly</w:t>
      </w:r>
      <w:r>
        <w:rPr>
          <w:spacing w:val="-8"/>
        </w:rPr>
        <w:t xml:space="preserve"> </w:t>
      </w:r>
      <w:r>
        <w:t>impacted</w:t>
      </w:r>
      <w:r>
        <w:rPr>
          <w:spacing w:val="-12"/>
        </w:rPr>
        <w:t xml:space="preserve"> </w:t>
      </w:r>
      <w:r>
        <w:t>by</w:t>
      </w:r>
      <w:r>
        <w:rPr>
          <w:spacing w:val="-8"/>
        </w:rPr>
        <w:t xml:space="preserve"> </w:t>
      </w:r>
      <w:r>
        <w:t>extreme</w:t>
      </w:r>
      <w:r>
        <w:rPr>
          <w:spacing w:val="-8"/>
        </w:rPr>
        <w:t xml:space="preserve"> </w:t>
      </w:r>
      <w:r>
        <w:t>heat</w:t>
      </w:r>
      <w:r>
        <w:rPr>
          <w:spacing w:val="-9"/>
        </w:rPr>
        <w:t xml:space="preserve"> </w:t>
      </w:r>
      <w:r>
        <w:t>or</w:t>
      </w:r>
      <w:r>
        <w:rPr>
          <w:spacing w:val="-9"/>
        </w:rPr>
        <w:t xml:space="preserve"> </w:t>
      </w:r>
      <w:r>
        <w:t>poor air and water quality caused by environmental disasters. For instance, people with HIV may be more seriously affected by mold in their homes caused by water damage from flooding.</w:t>
      </w:r>
      <w:r>
        <w:rPr>
          <w:spacing w:val="-13"/>
        </w:rPr>
        <w:t xml:space="preserve"> </w:t>
      </w:r>
      <w:hyperlink w:anchor="_bookmark836" w:history="1">
        <w:r>
          <w:rPr>
            <w:vertAlign w:val="superscript"/>
          </w:rPr>
          <w:t>61</w:t>
        </w:r>
      </w:hyperlink>
      <w:r>
        <w:t xml:space="preserve"> Environmental disasters and hardships</w:t>
      </w:r>
      <w:r>
        <w:t xml:space="preserve"> due to</w:t>
      </w:r>
      <w:r>
        <w:rPr>
          <w:spacing w:val="-1"/>
        </w:rPr>
        <w:t xml:space="preserve"> </w:t>
      </w:r>
      <w:r>
        <w:t>climate impacts can also have immediate</w:t>
      </w:r>
      <w:r>
        <w:rPr>
          <w:spacing w:val="-1"/>
        </w:rPr>
        <w:t xml:space="preserve"> </w:t>
      </w:r>
      <w:r>
        <w:t>mental</w:t>
      </w:r>
      <w:r>
        <w:rPr>
          <w:spacing w:val="-2"/>
        </w:rPr>
        <w:t xml:space="preserve"> </w:t>
      </w:r>
      <w:r>
        <w:t>health impacts and may exacerbate existing mental health challenges LGBTQ populations face.</w:t>
      </w:r>
      <w:hyperlink w:anchor="_bookmark837" w:history="1">
        <w:r>
          <w:rPr>
            <w:vertAlign w:val="superscript"/>
          </w:rPr>
          <w:t>62</w:t>
        </w:r>
      </w:hyperlink>
    </w:p>
    <w:p w:rsidR="00200FDA" w:rsidRDefault="00200FDA">
      <w:pPr>
        <w:pStyle w:val="BodyText"/>
        <w:spacing w:before="9"/>
        <w:rPr>
          <w:sz w:val="19"/>
        </w:rPr>
      </w:pPr>
    </w:p>
    <w:p w:rsidR="00200FDA" w:rsidRDefault="00F76C4C">
      <w:pPr>
        <w:pStyle w:val="BodyText"/>
        <w:spacing w:line="276" w:lineRule="auto"/>
        <w:ind w:left="139" w:right="135"/>
        <w:jc w:val="both"/>
      </w:pPr>
      <w:r>
        <w:t>Discriminatory disaster response policies and services also cause LGBTQ communities to bear a greater burden of climate impacts. A growing body of research into the unique marginalization and vulnerability LGBTQ populations face during environmental disast</w:t>
      </w:r>
      <w:r>
        <w:t>ers demonstrates that LGBTQ populations bear greater</w:t>
      </w:r>
      <w:r>
        <w:rPr>
          <w:spacing w:val="-5"/>
        </w:rPr>
        <w:t xml:space="preserve"> </w:t>
      </w:r>
      <w:r>
        <w:t>impacts</w:t>
      </w:r>
      <w:r>
        <w:rPr>
          <w:spacing w:val="-2"/>
        </w:rPr>
        <w:t xml:space="preserve"> </w:t>
      </w:r>
      <w:r>
        <w:t>from</w:t>
      </w:r>
      <w:r>
        <w:rPr>
          <w:spacing w:val="-3"/>
        </w:rPr>
        <w:t xml:space="preserve"> </w:t>
      </w:r>
      <w:r>
        <w:t>environmental</w:t>
      </w:r>
      <w:r>
        <w:rPr>
          <w:spacing w:val="-2"/>
        </w:rPr>
        <w:t xml:space="preserve"> </w:t>
      </w:r>
      <w:r>
        <w:t>disasters</w:t>
      </w:r>
      <w:r>
        <w:rPr>
          <w:spacing w:val="-4"/>
        </w:rPr>
        <w:t xml:space="preserve"> </w:t>
      </w:r>
      <w:r>
        <w:t>due</w:t>
      </w:r>
      <w:r>
        <w:rPr>
          <w:spacing w:val="-4"/>
        </w:rPr>
        <w:t xml:space="preserve"> </w:t>
      </w:r>
      <w:r>
        <w:t>to</w:t>
      </w:r>
      <w:r>
        <w:rPr>
          <w:spacing w:val="-5"/>
        </w:rPr>
        <w:t xml:space="preserve"> </w:t>
      </w:r>
      <w:r>
        <w:t>hindered</w:t>
      </w:r>
      <w:r>
        <w:rPr>
          <w:spacing w:val="-3"/>
        </w:rPr>
        <w:t xml:space="preserve"> </w:t>
      </w:r>
      <w:r>
        <w:t>access</w:t>
      </w:r>
      <w:r>
        <w:rPr>
          <w:spacing w:val="-4"/>
        </w:rPr>
        <w:t xml:space="preserve"> </w:t>
      </w:r>
      <w:r>
        <w:t>to</w:t>
      </w:r>
      <w:r>
        <w:rPr>
          <w:spacing w:val="-3"/>
        </w:rPr>
        <w:t xml:space="preserve"> </w:t>
      </w:r>
      <w:r>
        <w:t>disaster</w:t>
      </w:r>
      <w:r>
        <w:rPr>
          <w:spacing w:val="-4"/>
        </w:rPr>
        <w:t xml:space="preserve"> </w:t>
      </w:r>
      <w:r>
        <w:t>response</w:t>
      </w:r>
      <w:r>
        <w:rPr>
          <w:spacing w:val="-1"/>
        </w:rPr>
        <w:t xml:space="preserve"> </w:t>
      </w:r>
      <w:r>
        <w:t>resources</w:t>
      </w:r>
      <w:r>
        <w:rPr>
          <w:spacing w:val="-4"/>
        </w:rPr>
        <w:t xml:space="preserve"> </w:t>
      </w:r>
      <w:r>
        <w:t>and discrimination</w:t>
      </w:r>
      <w:r>
        <w:rPr>
          <w:spacing w:val="-6"/>
        </w:rPr>
        <w:t xml:space="preserve"> </w:t>
      </w:r>
      <w:r>
        <w:t>from</w:t>
      </w:r>
      <w:r>
        <w:rPr>
          <w:spacing w:val="-7"/>
        </w:rPr>
        <w:t xml:space="preserve"> </w:t>
      </w:r>
      <w:r>
        <w:t>disaster</w:t>
      </w:r>
      <w:r>
        <w:rPr>
          <w:spacing w:val="-6"/>
        </w:rPr>
        <w:t xml:space="preserve"> </w:t>
      </w:r>
      <w:r>
        <w:t>response</w:t>
      </w:r>
      <w:r>
        <w:rPr>
          <w:spacing w:val="-7"/>
        </w:rPr>
        <w:t xml:space="preserve"> </w:t>
      </w:r>
      <w:r>
        <w:t>services.</w:t>
      </w:r>
      <w:hyperlink w:anchor="_bookmark838" w:history="1">
        <w:r>
          <w:rPr>
            <w:vertAlign w:val="superscript"/>
          </w:rPr>
          <w:t>63</w:t>
        </w:r>
      </w:hyperlink>
      <w:r>
        <w:rPr>
          <w:vertAlign w:val="superscript"/>
        </w:rPr>
        <w:t>,</w:t>
      </w:r>
      <w:hyperlink w:anchor="_bookmark839" w:history="1">
        <w:r>
          <w:rPr>
            <w:vertAlign w:val="superscript"/>
          </w:rPr>
          <w:t>64</w:t>
        </w:r>
      </w:hyperlink>
      <w:r>
        <w:rPr>
          <w:spacing w:val="-2"/>
        </w:rPr>
        <w:t xml:space="preserve"> </w:t>
      </w:r>
      <w:r>
        <w:t>For</w:t>
      </w:r>
      <w:r>
        <w:rPr>
          <w:spacing w:val="-8"/>
        </w:rPr>
        <w:t xml:space="preserve"> </w:t>
      </w:r>
      <w:r>
        <w:t>example,</w:t>
      </w:r>
      <w:r>
        <w:rPr>
          <w:spacing w:val="-8"/>
        </w:rPr>
        <w:t xml:space="preserve"> </w:t>
      </w:r>
      <w:r>
        <w:t>the</w:t>
      </w:r>
      <w:r>
        <w:rPr>
          <w:spacing w:val="-7"/>
        </w:rPr>
        <w:t xml:space="preserve"> </w:t>
      </w:r>
      <w:r>
        <w:t>prevalence</w:t>
      </w:r>
      <w:r>
        <w:rPr>
          <w:spacing w:val="-7"/>
        </w:rPr>
        <w:t xml:space="preserve"> </w:t>
      </w:r>
      <w:r>
        <w:t>of</w:t>
      </w:r>
      <w:r>
        <w:rPr>
          <w:spacing w:val="-8"/>
        </w:rPr>
        <w:t xml:space="preserve"> </w:t>
      </w:r>
      <w:r>
        <w:t>religious</w:t>
      </w:r>
      <w:r>
        <w:rPr>
          <w:spacing w:val="-8"/>
        </w:rPr>
        <w:t xml:space="preserve"> </w:t>
      </w:r>
      <w:r>
        <w:t>organizations in disaster relief services can be a barrier to access, particularly for trans individuals.</w:t>
      </w:r>
      <w:r>
        <w:rPr>
          <w:spacing w:val="-13"/>
        </w:rPr>
        <w:t xml:space="preserve"> </w:t>
      </w:r>
      <w:hyperlink w:anchor="_bookmark840" w:history="1">
        <w:r>
          <w:rPr>
            <w:vertAlign w:val="superscript"/>
          </w:rPr>
          <w:t>65</w:t>
        </w:r>
      </w:hyperlink>
      <w:r>
        <w:t xml:space="preserve"> Furthermore, staying in an emergency shelter can be a dangerous and traumatic experience for some LGBTQ communities,</w:t>
      </w:r>
      <w:r>
        <w:rPr>
          <w:spacing w:val="-10"/>
        </w:rPr>
        <w:t xml:space="preserve"> </w:t>
      </w:r>
      <w:r>
        <w:t>particularly</w:t>
      </w:r>
      <w:r>
        <w:rPr>
          <w:spacing w:val="-9"/>
        </w:rPr>
        <w:t xml:space="preserve"> </w:t>
      </w:r>
      <w:r>
        <w:t>Black</w:t>
      </w:r>
      <w:r>
        <w:rPr>
          <w:spacing w:val="-10"/>
        </w:rPr>
        <w:t xml:space="preserve"> </w:t>
      </w:r>
      <w:r>
        <w:t>trans</w:t>
      </w:r>
      <w:r>
        <w:rPr>
          <w:spacing w:val="-12"/>
        </w:rPr>
        <w:t xml:space="preserve"> </w:t>
      </w:r>
      <w:r>
        <w:t>women.</w:t>
      </w:r>
      <w:r>
        <w:rPr>
          <w:spacing w:val="-10"/>
        </w:rPr>
        <w:t xml:space="preserve"> </w:t>
      </w:r>
      <w:r>
        <w:t>In</w:t>
      </w:r>
      <w:r>
        <w:rPr>
          <w:spacing w:val="-11"/>
        </w:rPr>
        <w:t xml:space="preserve"> </w:t>
      </w:r>
      <w:r>
        <w:t>one</w:t>
      </w:r>
      <w:r>
        <w:rPr>
          <w:spacing w:val="-9"/>
        </w:rPr>
        <w:t xml:space="preserve"> </w:t>
      </w:r>
      <w:r>
        <w:t>reported</w:t>
      </w:r>
      <w:r>
        <w:rPr>
          <w:spacing w:val="-11"/>
        </w:rPr>
        <w:t xml:space="preserve"> </w:t>
      </w:r>
      <w:r>
        <w:t>case</w:t>
      </w:r>
      <w:r>
        <w:rPr>
          <w:spacing w:val="-9"/>
        </w:rPr>
        <w:t xml:space="preserve"> </w:t>
      </w:r>
      <w:r>
        <w:t>following</w:t>
      </w:r>
      <w:r>
        <w:rPr>
          <w:spacing w:val="-11"/>
        </w:rPr>
        <w:t xml:space="preserve"> </w:t>
      </w:r>
      <w:r>
        <w:t>Hurricane</w:t>
      </w:r>
      <w:r>
        <w:rPr>
          <w:spacing w:val="-9"/>
        </w:rPr>
        <w:t xml:space="preserve"> </w:t>
      </w:r>
      <w:r>
        <w:t>Katrina,</w:t>
      </w:r>
      <w:r>
        <w:rPr>
          <w:spacing w:val="-10"/>
        </w:rPr>
        <w:t xml:space="preserve"> </w:t>
      </w:r>
      <w:r>
        <w:t>two</w:t>
      </w:r>
      <w:r>
        <w:rPr>
          <w:spacing w:val="-9"/>
        </w:rPr>
        <w:t xml:space="preserve"> </w:t>
      </w:r>
      <w:r>
        <w:t>Black trans women were arrested after using the wome</w:t>
      </w:r>
      <w:r>
        <w:t>n’s restroom at an emergency shelter.</w:t>
      </w:r>
      <w:hyperlink w:anchor="_bookmark841" w:history="1">
        <w:r>
          <w:rPr>
            <w:vertAlign w:val="superscript"/>
          </w:rPr>
          <w:t>66</w:t>
        </w:r>
      </w:hyperlink>
      <w:r>
        <w:rPr>
          <w:spacing w:val="-2"/>
        </w:rPr>
        <w:t xml:space="preserve"> </w:t>
      </w:r>
      <w:r>
        <w:t>For trans and undocumented people, identification requirements can pose another barrier to accessing federal emergency relief services.</w:t>
      </w:r>
      <w:hyperlink w:anchor="_bookmark842" w:history="1">
        <w:r>
          <w:rPr>
            <w:vertAlign w:val="superscript"/>
          </w:rPr>
          <w:t>67</w:t>
        </w:r>
      </w:hyperlink>
    </w:p>
    <w:p w:rsidR="00200FDA" w:rsidRDefault="00200FDA">
      <w:pPr>
        <w:pStyle w:val="BodyText"/>
        <w:spacing w:before="7"/>
        <w:rPr>
          <w:sz w:val="19"/>
        </w:rPr>
      </w:pPr>
    </w:p>
    <w:p w:rsidR="00200FDA" w:rsidRDefault="00F76C4C">
      <w:pPr>
        <w:pStyle w:val="BodyText"/>
        <w:spacing w:line="276" w:lineRule="auto"/>
        <w:ind w:left="139" w:right="135"/>
        <w:jc w:val="both"/>
      </w:pPr>
      <w:r>
        <w:t>Lack</w:t>
      </w:r>
      <w:r>
        <w:rPr>
          <w:spacing w:val="-9"/>
        </w:rPr>
        <w:t xml:space="preserve"> </w:t>
      </w:r>
      <w:r>
        <w:t>of</w:t>
      </w:r>
      <w:r>
        <w:rPr>
          <w:spacing w:val="-9"/>
        </w:rPr>
        <w:t xml:space="preserve"> </w:t>
      </w:r>
      <w:r>
        <w:t>stron</w:t>
      </w:r>
      <w:r>
        <w:t>g</w:t>
      </w:r>
      <w:r>
        <w:rPr>
          <w:spacing w:val="-7"/>
        </w:rPr>
        <w:t xml:space="preserve"> </w:t>
      </w:r>
      <w:r>
        <w:t>legal</w:t>
      </w:r>
      <w:r>
        <w:rPr>
          <w:spacing w:val="-7"/>
        </w:rPr>
        <w:t xml:space="preserve"> </w:t>
      </w:r>
      <w:r>
        <w:t>protections</w:t>
      </w:r>
      <w:r>
        <w:rPr>
          <w:spacing w:val="-7"/>
        </w:rPr>
        <w:t xml:space="preserve"> </w:t>
      </w:r>
      <w:r>
        <w:t>for</w:t>
      </w:r>
      <w:r>
        <w:rPr>
          <w:spacing w:val="-9"/>
        </w:rPr>
        <w:t xml:space="preserve"> </w:t>
      </w:r>
      <w:r>
        <w:t>LGBTQ</w:t>
      </w:r>
      <w:r>
        <w:rPr>
          <w:spacing w:val="-9"/>
        </w:rPr>
        <w:t xml:space="preserve"> </w:t>
      </w:r>
      <w:r>
        <w:t>communities</w:t>
      </w:r>
      <w:r>
        <w:rPr>
          <w:spacing w:val="-6"/>
        </w:rPr>
        <w:t xml:space="preserve"> </w:t>
      </w:r>
      <w:r>
        <w:t>in</w:t>
      </w:r>
      <w:r>
        <w:rPr>
          <w:spacing w:val="-7"/>
        </w:rPr>
        <w:t xml:space="preserve"> </w:t>
      </w:r>
      <w:r>
        <w:t>disaster</w:t>
      </w:r>
      <w:r>
        <w:rPr>
          <w:spacing w:val="-7"/>
        </w:rPr>
        <w:t xml:space="preserve"> </w:t>
      </w:r>
      <w:r>
        <w:t>response</w:t>
      </w:r>
      <w:r>
        <w:rPr>
          <w:spacing w:val="-8"/>
        </w:rPr>
        <w:t xml:space="preserve"> </w:t>
      </w:r>
      <w:r>
        <w:t>programs</w:t>
      </w:r>
      <w:r>
        <w:rPr>
          <w:spacing w:val="-7"/>
        </w:rPr>
        <w:t xml:space="preserve"> </w:t>
      </w:r>
      <w:r>
        <w:t>and</w:t>
      </w:r>
      <w:r>
        <w:rPr>
          <w:spacing w:val="-7"/>
        </w:rPr>
        <w:t xml:space="preserve"> </w:t>
      </w:r>
      <w:r>
        <w:t>policies</w:t>
      </w:r>
      <w:r>
        <w:rPr>
          <w:spacing w:val="-7"/>
        </w:rPr>
        <w:t xml:space="preserve"> </w:t>
      </w:r>
      <w:r>
        <w:t>allows discrimination in disaster response services to continue. However, laws protecting LGBTQ people from discrimination and</w:t>
      </w:r>
      <w:r>
        <w:rPr>
          <w:spacing w:val="-1"/>
        </w:rPr>
        <w:t xml:space="preserve"> </w:t>
      </w:r>
      <w:r>
        <w:t>requiring local</w:t>
      </w:r>
      <w:r>
        <w:rPr>
          <w:spacing w:val="-1"/>
        </w:rPr>
        <w:t xml:space="preserve"> </w:t>
      </w:r>
      <w:r>
        <w:t>governments to</w:t>
      </w:r>
      <w:r>
        <w:rPr>
          <w:spacing w:val="-2"/>
        </w:rPr>
        <w:t xml:space="preserve"> </w:t>
      </w:r>
      <w:r>
        <w:t>work collaboratively with</w:t>
      </w:r>
      <w:r>
        <w:rPr>
          <w:spacing w:val="-1"/>
        </w:rPr>
        <w:t xml:space="preserve"> </w:t>
      </w:r>
      <w:r>
        <w:t>LGBTQ communities to plan for</w:t>
      </w:r>
      <w:r>
        <w:rPr>
          <w:spacing w:val="-10"/>
        </w:rPr>
        <w:t xml:space="preserve"> </w:t>
      </w:r>
      <w:r>
        <w:t>disasters</w:t>
      </w:r>
      <w:r>
        <w:rPr>
          <w:spacing w:val="-10"/>
        </w:rPr>
        <w:t xml:space="preserve"> </w:t>
      </w:r>
      <w:r>
        <w:t>can</w:t>
      </w:r>
      <w:r>
        <w:rPr>
          <w:spacing w:val="-11"/>
        </w:rPr>
        <w:t xml:space="preserve"> </w:t>
      </w:r>
      <w:r>
        <w:t>be</w:t>
      </w:r>
      <w:r>
        <w:rPr>
          <w:spacing w:val="-10"/>
        </w:rPr>
        <w:t xml:space="preserve"> </w:t>
      </w:r>
      <w:r>
        <w:t>passed</w:t>
      </w:r>
      <w:r>
        <w:rPr>
          <w:spacing w:val="-13"/>
        </w:rPr>
        <w:t xml:space="preserve"> </w:t>
      </w:r>
      <w:r>
        <w:t>at</w:t>
      </w:r>
      <w:r>
        <w:rPr>
          <w:spacing w:val="-8"/>
        </w:rPr>
        <w:t xml:space="preserve"> </w:t>
      </w:r>
      <w:r>
        <w:t>the</w:t>
      </w:r>
      <w:r>
        <w:rPr>
          <w:spacing w:val="-10"/>
        </w:rPr>
        <w:t xml:space="preserve"> </w:t>
      </w:r>
      <w:r>
        <w:t>state</w:t>
      </w:r>
      <w:r>
        <w:rPr>
          <w:spacing w:val="-10"/>
        </w:rPr>
        <w:t xml:space="preserve"> </w:t>
      </w:r>
      <w:r>
        <w:t>level.</w:t>
      </w:r>
      <w:r>
        <w:rPr>
          <w:spacing w:val="-11"/>
        </w:rPr>
        <w:t xml:space="preserve"> </w:t>
      </w:r>
      <w:r>
        <w:t>In</w:t>
      </w:r>
      <w:r>
        <w:rPr>
          <w:spacing w:val="-11"/>
        </w:rPr>
        <w:t xml:space="preserve"> </w:t>
      </w:r>
      <w:r>
        <w:t>2012,</w:t>
      </w:r>
      <w:r>
        <w:rPr>
          <w:spacing w:val="-10"/>
        </w:rPr>
        <w:t xml:space="preserve"> </w:t>
      </w:r>
      <w:r>
        <w:t>the</w:t>
      </w:r>
      <w:r>
        <w:rPr>
          <w:spacing w:val="-8"/>
        </w:rPr>
        <w:t xml:space="preserve"> </w:t>
      </w:r>
      <w:r>
        <w:t>Human</w:t>
      </w:r>
      <w:r>
        <w:rPr>
          <w:spacing w:val="-11"/>
        </w:rPr>
        <w:t xml:space="preserve"> </w:t>
      </w:r>
      <w:r>
        <w:t>Rights</w:t>
      </w:r>
      <w:r>
        <w:rPr>
          <w:spacing w:val="-10"/>
        </w:rPr>
        <w:t xml:space="preserve"> </w:t>
      </w:r>
      <w:r>
        <w:t>Campaign</w:t>
      </w:r>
      <w:r>
        <w:rPr>
          <w:spacing w:val="-9"/>
        </w:rPr>
        <w:t xml:space="preserve"> </w:t>
      </w:r>
      <w:r>
        <w:t>(HRC)</w:t>
      </w:r>
      <w:r>
        <w:rPr>
          <w:spacing w:val="-10"/>
        </w:rPr>
        <w:t xml:space="preserve"> </w:t>
      </w:r>
      <w:r>
        <w:t>released</w:t>
      </w:r>
      <w:r>
        <w:rPr>
          <w:spacing w:val="-11"/>
        </w:rPr>
        <w:t xml:space="preserve"> </w:t>
      </w:r>
      <w:r>
        <w:t>a</w:t>
      </w:r>
      <w:r>
        <w:rPr>
          <w:spacing w:val="-8"/>
        </w:rPr>
        <w:t xml:space="preserve"> </w:t>
      </w:r>
      <w:r>
        <w:t>report on</w:t>
      </w:r>
      <w:r>
        <w:rPr>
          <w:spacing w:val="-10"/>
        </w:rPr>
        <w:t xml:space="preserve"> </w:t>
      </w:r>
      <w:r>
        <w:t>how</w:t>
      </w:r>
      <w:r>
        <w:rPr>
          <w:spacing w:val="-8"/>
        </w:rPr>
        <w:t xml:space="preserve"> </w:t>
      </w:r>
      <w:r>
        <w:t>best</w:t>
      </w:r>
      <w:r>
        <w:rPr>
          <w:spacing w:val="-9"/>
        </w:rPr>
        <w:t xml:space="preserve"> </w:t>
      </w:r>
      <w:r>
        <w:t>to</w:t>
      </w:r>
      <w:r>
        <w:rPr>
          <w:spacing w:val="-8"/>
        </w:rPr>
        <w:t xml:space="preserve"> </w:t>
      </w:r>
      <w:r>
        <w:t>eliminate</w:t>
      </w:r>
      <w:r>
        <w:rPr>
          <w:spacing w:val="-8"/>
        </w:rPr>
        <w:t xml:space="preserve"> </w:t>
      </w:r>
      <w:r>
        <w:t>discrimination</w:t>
      </w:r>
      <w:r>
        <w:rPr>
          <w:spacing w:val="-10"/>
        </w:rPr>
        <w:t xml:space="preserve"> </w:t>
      </w:r>
      <w:r>
        <w:t>in</w:t>
      </w:r>
      <w:r>
        <w:rPr>
          <w:spacing w:val="-10"/>
        </w:rPr>
        <w:t xml:space="preserve"> </w:t>
      </w:r>
      <w:r>
        <w:t>disaster</w:t>
      </w:r>
      <w:r>
        <w:rPr>
          <w:spacing w:val="-9"/>
        </w:rPr>
        <w:t xml:space="preserve"> </w:t>
      </w:r>
      <w:r>
        <w:t>preparation</w:t>
      </w:r>
      <w:r>
        <w:rPr>
          <w:spacing w:val="-10"/>
        </w:rPr>
        <w:t xml:space="preserve"> </w:t>
      </w:r>
      <w:r>
        <w:t>and</w:t>
      </w:r>
      <w:r>
        <w:rPr>
          <w:spacing w:val="-10"/>
        </w:rPr>
        <w:t xml:space="preserve"> </w:t>
      </w:r>
      <w:r>
        <w:t>response</w:t>
      </w:r>
      <w:r>
        <w:rPr>
          <w:spacing w:val="-8"/>
        </w:rPr>
        <w:t xml:space="preserve"> </w:t>
      </w:r>
      <w:r>
        <w:t>including</w:t>
      </w:r>
      <w:r>
        <w:rPr>
          <w:spacing w:val="-10"/>
        </w:rPr>
        <w:t xml:space="preserve"> </w:t>
      </w:r>
      <w:r>
        <w:t>recommenda</w:t>
      </w:r>
      <w:r>
        <w:t>tions about</w:t>
      </w:r>
      <w:r>
        <w:rPr>
          <w:spacing w:val="-2"/>
        </w:rPr>
        <w:t xml:space="preserve"> </w:t>
      </w:r>
      <w:r>
        <w:t>including</w:t>
      </w:r>
      <w:r>
        <w:rPr>
          <w:spacing w:val="-4"/>
        </w:rPr>
        <w:t xml:space="preserve"> </w:t>
      </w:r>
      <w:r>
        <w:t>members</w:t>
      </w:r>
      <w:r>
        <w:rPr>
          <w:spacing w:val="-5"/>
        </w:rPr>
        <w:t xml:space="preserve"> </w:t>
      </w:r>
      <w:r>
        <w:t>of</w:t>
      </w:r>
      <w:r>
        <w:rPr>
          <w:spacing w:val="-3"/>
        </w:rPr>
        <w:t xml:space="preserve"> </w:t>
      </w:r>
      <w:r>
        <w:t>the</w:t>
      </w:r>
      <w:r>
        <w:rPr>
          <w:spacing w:val="-5"/>
        </w:rPr>
        <w:t xml:space="preserve"> </w:t>
      </w:r>
      <w:r>
        <w:t>LGBTQ</w:t>
      </w:r>
      <w:r>
        <w:rPr>
          <w:spacing w:val="-3"/>
        </w:rPr>
        <w:t xml:space="preserve"> </w:t>
      </w:r>
      <w:r>
        <w:t>community</w:t>
      </w:r>
      <w:r>
        <w:rPr>
          <w:spacing w:val="-2"/>
        </w:rPr>
        <w:t xml:space="preserve"> </w:t>
      </w:r>
      <w:r>
        <w:t>in</w:t>
      </w:r>
      <w:r>
        <w:rPr>
          <w:spacing w:val="-6"/>
        </w:rPr>
        <w:t xml:space="preserve"> </w:t>
      </w:r>
      <w:r>
        <w:t>the</w:t>
      </w:r>
      <w:r>
        <w:rPr>
          <w:spacing w:val="-2"/>
        </w:rPr>
        <w:t xml:space="preserve"> </w:t>
      </w:r>
      <w:r>
        <w:t>disaster</w:t>
      </w:r>
      <w:r>
        <w:rPr>
          <w:spacing w:val="-3"/>
        </w:rPr>
        <w:t xml:space="preserve"> </w:t>
      </w:r>
      <w:r>
        <w:t>response</w:t>
      </w:r>
      <w:r>
        <w:rPr>
          <w:spacing w:val="-2"/>
        </w:rPr>
        <w:t xml:space="preserve"> </w:t>
      </w:r>
      <w:r>
        <w:t>planning</w:t>
      </w:r>
      <w:r>
        <w:rPr>
          <w:spacing w:val="-4"/>
        </w:rPr>
        <w:t xml:space="preserve"> </w:t>
      </w:r>
      <w:r>
        <w:t>process,</w:t>
      </w:r>
      <w:r>
        <w:rPr>
          <w:spacing w:val="-5"/>
        </w:rPr>
        <w:t xml:space="preserve"> </w:t>
      </w:r>
      <w:r>
        <w:t>respecting family structure and relationship status, and ensuring safety in emergency shelters.</w:t>
      </w:r>
      <w:hyperlink w:anchor="_bookmark843" w:history="1">
        <w:r>
          <w:rPr>
            <w:vertAlign w:val="superscript"/>
          </w:rPr>
          <w:t>68</w:t>
        </w:r>
      </w:hyperlink>
      <w:r>
        <w:rPr>
          <w:spacing w:val="-3"/>
        </w:rPr>
        <w:t xml:space="preserve"> </w:t>
      </w:r>
      <w:r>
        <w:t>Massachusetts has an opportunity to lead in this space by putting HRC’s guidance into action, since very few states or local governments have incorporated the recommendations into disaster response efforts so far.</w:t>
      </w:r>
    </w:p>
    <w:p w:rsidR="00200FDA" w:rsidRDefault="00200FDA">
      <w:pPr>
        <w:pStyle w:val="BodyText"/>
        <w:spacing w:before="7"/>
        <w:rPr>
          <w:sz w:val="19"/>
        </w:rPr>
      </w:pPr>
    </w:p>
    <w:p w:rsidR="00200FDA" w:rsidRDefault="00F76C4C">
      <w:pPr>
        <w:pStyle w:val="BodyText"/>
        <w:spacing w:before="1" w:line="276" w:lineRule="auto"/>
        <w:ind w:left="139" w:right="132"/>
        <w:jc w:val="both"/>
      </w:pPr>
      <w:r>
        <w:t>The</w:t>
      </w:r>
      <w:r>
        <w:rPr>
          <w:spacing w:val="-4"/>
        </w:rPr>
        <w:t xml:space="preserve"> </w:t>
      </w:r>
      <w:r>
        <w:t>importance</w:t>
      </w:r>
      <w:r>
        <w:rPr>
          <w:spacing w:val="-6"/>
        </w:rPr>
        <w:t xml:space="preserve"> </w:t>
      </w:r>
      <w:r>
        <w:t>of</w:t>
      </w:r>
      <w:r>
        <w:rPr>
          <w:spacing w:val="-5"/>
        </w:rPr>
        <w:t xml:space="preserve"> </w:t>
      </w:r>
      <w:r>
        <w:t>environmental</w:t>
      </w:r>
      <w:r>
        <w:rPr>
          <w:spacing w:val="-7"/>
        </w:rPr>
        <w:t xml:space="preserve"> </w:t>
      </w:r>
      <w:r>
        <w:t>justice</w:t>
      </w:r>
      <w:r>
        <w:rPr>
          <w:spacing w:val="-6"/>
        </w:rPr>
        <w:t xml:space="preserve"> </w:t>
      </w:r>
      <w:r>
        <w:t>t</w:t>
      </w:r>
      <w:r>
        <w:t>o</w:t>
      </w:r>
      <w:r>
        <w:rPr>
          <w:spacing w:val="-3"/>
        </w:rPr>
        <w:t xml:space="preserve"> </w:t>
      </w:r>
      <w:r>
        <w:t>the</w:t>
      </w:r>
      <w:r>
        <w:rPr>
          <w:spacing w:val="-6"/>
        </w:rPr>
        <w:t xml:space="preserve"> </w:t>
      </w:r>
      <w:r>
        <w:t>health</w:t>
      </w:r>
      <w:r>
        <w:rPr>
          <w:spacing w:val="-5"/>
        </w:rPr>
        <w:t xml:space="preserve"> </w:t>
      </w:r>
      <w:r>
        <w:t>and</w:t>
      </w:r>
      <w:r>
        <w:rPr>
          <w:spacing w:val="-5"/>
        </w:rPr>
        <w:t xml:space="preserve"> </w:t>
      </w:r>
      <w:r>
        <w:t>wellbeing</w:t>
      </w:r>
      <w:r>
        <w:rPr>
          <w:spacing w:val="-7"/>
        </w:rPr>
        <w:t xml:space="preserve"> </w:t>
      </w:r>
      <w:r>
        <w:t>of</w:t>
      </w:r>
      <w:r>
        <w:rPr>
          <w:spacing w:val="-4"/>
        </w:rPr>
        <w:t xml:space="preserve"> </w:t>
      </w:r>
      <w:r>
        <w:t>LGBTQ</w:t>
      </w:r>
      <w:r>
        <w:rPr>
          <w:spacing w:val="-6"/>
        </w:rPr>
        <w:t xml:space="preserve"> </w:t>
      </w:r>
      <w:r>
        <w:t>youth</w:t>
      </w:r>
      <w:r>
        <w:rPr>
          <w:spacing w:val="-5"/>
        </w:rPr>
        <w:t xml:space="preserve"> </w:t>
      </w:r>
      <w:r>
        <w:t>is</w:t>
      </w:r>
      <w:r>
        <w:rPr>
          <w:spacing w:val="-4"/>
        </w:rPr>
        <w:t xml:space="preserve"> </w:t>
      </w:r>
      <w:r>
        <w:t>abundantly</w:t>
      </w:r>
      <w:r>
        <w:rPr>
          <w:spacing w:val="-6"/>
        </w:rPr>
        <w:t xml:space="preserve"> </w:t>
      </w:r>
      <w:r>
        <w:t>clear. The specific needs of LGBTQ populations must be incorporated into environmental and environmental justice policy in Massachusetts, particularly during this time of exciting innovation in enviro</w:t>
      </w:r>
      <w:r>
        <w:t>nmental policymaking under the leadership of Governor Maura Healey. More research examining the environmental</w:t>
      </w:r>
      <w:r>
        <w:rPr>
          <w:spacing w:val="-10"/>
        </w:rPr>
        <w:t xml:space="preserve"> </w:t>
      </w:r>
      <w:r>
        <w:t>justice</w:t>
      </w:r>
      <w:r>
        <w:rPr>
          <w:spacing w:val="-9"/>
        </w:rPr>
        <w:t xml:space="preserve"> </w:t>
      </w:r>
      <w:r>
        <w:t>needs</w:t>
      </w:r>
      <w:r>
        <w:rPr>
          <w:spacing w:val="-10"/>
        </w:rPr>
        <w:t xml:space="preserve"> </w:t>
      </w:r>
      <w:r>
        <w:t>of</w:t>
      </w:r>
      <w:r>
        <w:rPr>
          <w:spacing w:val="-13"/>
        </w:rPr>
        <w:t xml:space="preserve"> </w:t>
      </w:r>
      <w:r>
        <w:t>LGBTQ</w:t>
      </w:r>
      <w:r>
        <w:rPr>
          <w:spacing w:val="-11"/>
        </w:rPr>
        <w:t xml:space="preserve"> </w:t>
      </w:r>
      <w:r>
        <w:t>communities</w:t>
      </w:r>
      <w:r>
        <w:rPr>
          <w:spacing w:val="-12"/>
        </w:rPr>
        <w:t xml:space="preserve"> </w:t>
      </w:r>
      <w:r>
        <w:t>is</w:t>
      </w:r>
      <w:r>
        <w:rPr>
          <w:spacing w:val="-12"/>
        </w:rPr>
        <w:t xml:space="preserve"> </w:t>
      </w:r>
      <w:r>
        <w:t>needed</w:t>
      </w:r>
      <w:r>
        <w:rPr>
          <w:spacing w:val="-11"/>
        </w:rPr>
        <w:t xml:space="preserve"> </w:t>
      </w:r>
      <w:r>
        <w:t>to</w:t>
      </w:r>
      <w:r>
        <w:rPr>
          <w:spacing w:val="-9"/>
        </w:rPr>
        <w:t xml:space="preserve"> </w:t>
      </w:r>
      <w:r>
        <w:t>better</w:t>
      </w:r>
      <w:r>
        <w:rPr>
          <w:spacing w:val="-10"/>
        </w:rPr>
        <w:t xml:space="preserve"> </w:t>
      </w:r>
      <w:r>
        <w:t>understand</w:t>
      </w:r>
      <w:r>
        <w:rPr>
          <w:spacing w:val="-11"/>
        </w:rPr>
        <w:t xml:space="preserve"> </w:t>
      </w:r>
      <w:r>
        <w:t>the</w:t>
      </w:r>
      <w:r>
        <w:rPr>
          <w:spacing w:val="-9"/>
        </w:rPr>
        <w:t xml:space="preserve"> </w:t>
      </w:r>
      <w:r>
        <w:t>unique</w:t>
      </w:r>
      <w:r>
        <w:rPr>
          <w:spacing w:val="-9"/>
        </w:rPr>
        <w:t xml:space="preserve"> </w:t>
      </w:r>
      <w:r>
        <w:t>disparities in environmental exposures and health outcomes that LGBTQ</w:t>
      </w:r>
      <w:r>
        <w:t xml:space="preserve"> communities face. However, existing research</w:t>
      </w:r>
      <w:r>
        <w:rPr>
          <w:spacing w:val="-13"/>
        </w:rPr>
        <w:t xml:space="preserve"> </w:t>
      </w:r>
      <w:r>
        <w:t>clearly</w:t>
      </w:r>
      <w:r>
        <w:rPr>
          <w:spacing w:val="-12"/>
        </w:rPr>
        <w:t xml:space="preserve"> </w:t>
      </w:r>
      <w:r>
        <w:t>shows</w:t>
      </w:r>
      <w:r>
        <w:rPr>
          <w:spacing w:val="-13"/>
        </w:rPr>
        <w:t xml:space="preserve"> </w:t>
      </w:r>
      <w:r>
        <w:t>that</w:t>
      </w:r>
      <w:r>
        <w:rPr>
          <w:spacing w:val="-12"/>
        </w:rPr>
        <w:t xml:space="preserve"> </w:t>
      </w:r>
      <w:r>
        <w:t>environmental</w:t>
      </w:r>
      <w:r>
        <w:rPr>
          <w:spacing w:val="-13"/>
        </w:rPr>
        <w:t xml:space="preserve"> </w:t>
      </w:r>
      <w:r>
        <w:t>justice</w:t>
      </w:r>
      <w:r>
        <w:rPr>
          <w:spacing w:val="-12"/>
        </w:rPr>
        <w:t xml:space="preserve"> </w:t>
      </w:r>
      <w:r>
        <w:t>is</w:t>
      </w:r>
      <w:r>
        <w:rPr>
          <w:spacing w:val="-13"/>
        </w:rPr>
        <w:t xml:space="preserve"> </w:t>
      </w:r>
      <w:r>
        <w:t>a</w:t>
      </w:r>
      <w:r>
        <w:rPr>
          <w:spacing w:val="-12"/>
        </w:rPr>
        <w:t xml:space="preserve"> </w:t>
      </w:r>
      <w:r>
        <w:t>key</w:t>
      </w:r>
      <w:r>
        <w:rPr>
          <w:spacing w:val="-12"/>
        </w:rPr>
        <w:t xml:space="preserve"> </w:t>
      </w:r>
      <w:r>
        <w:t>element</w:t>
      </w:r>
      <w:r>
        <w:rPr>
          <w:spacing w:val="-13"/>
        </w:rPr>
        <w:t xml:space="preserve"> </w:t>
      </w:r>
      <w:r>
        <w:t>of</w:t>
      </w:r>
      <w:r>
        <w:rPr>
          <w:spacing w:val="-12"/>
        </w:rPr>
        <w:t xml:space="preserve"> </w:t>
      </w:r>
      <w:r>
        <w:t>the</w:t>
      </w:r>
      <w:r>
        <w:rPr>
          <w:spacing w:val="-13"/>
        </w:rPr>
        <w:t xml:space="preserve"> </w:t>
      </w:r>
      <w:r>
        <w:t>multifaceted</w:t>
      </w:r>
      <w:r>
        <w:rPr>
          <w:spacing w:val="-12"/>
        </w:rPr>
        <w:t xml:space="preserve"> </w:t>
      </w:r>
      <w:r>
        <w:t>system</w:t>
      </w:r>
      <w:r>
        <w:rPr>
          <w:spacing w:val="-13"/>
        </w:rPr>
        <w:t xml:space="preserve"> </w:t>
      </w:r>
      <w:r>
        <w:t>of</w:t>
      </w:r>
      <w:r>
        <w:rPr>
          <w:spacing w:val="-12"/>
        </w:rPr>
        <w:t xml:space="preserve"> </w:t>
      </w:r>
      <w:r>
        <w:t>inequities that impact the health and</w:t>
      </w:r>
      <w:r>
        <w:rPr>
          <w:spacing w:val="-2"/>
        </w:rPr>
        <w:t xml:space="preserve"> </w:t>
      </w:r>
      <w:r>
        <w:t>wellbeing of</w:t>
      </w:r>
      <w:r>
        <w:rPr>
          <w:spacing w:val="-1"/>
        </w:rPr>
        <w:t xml:space="preserve"> </w:t>
      </w:r>
      <w:r>
        <w:t>LGBTQ youth,</w:t>
      </w:r>
      <w:r>
        <w:rPr>
          <w:spacing w:val="-1"/>
        </w:rPr>
        <w:t xml:space="preserve"> </w:t>
      </w:r>
      <w:r>
        <w:t>particularly LGBTQ</w:t>
      </w:r>
      <w:r>
        <w:rPr>
          <w:spacing w:val="-1"/>
        </w:rPr>
        <w:t xml:space="preserve"> </w:t>
      </w:r>
      <w:r>
        <w:t>youth</w:t>
      </w:r>
      <w:r>
        <w:rPr>
          <w:spacing w:val="-2"/>
        </w:rPr>
        <w:t xml:space="preserve"> </w:t>
      </w:r>
      <w:r>
        <w:t>of color and Indigenous,</w:t>
      </w:r>
    </w:p>
    <w:p w:rsidR="00200FDA" w:rsidRDefault="00200FDA">
      <w:pPr>
        <w:spacing w:line="276" w:lineRule="auto"/>
        <w:jc w:val="both"/>
        <w:sectPr w:rsidR="00200FDA">
          <w:pgSz w:w="12240" w:h="15840"/>
          <w:pgMar w:top="1380" w:right="1300" w:bottom="1540" w:left="1300" w:header="758" w:footer="1297" w:gutter="0"/>
          <w:cols w:space="720"/>
        </w:sectPr>
      </w:pPr>
    </w:p>
    <w:p w:rsidR="00200FDA" w:rsidRDefault="00F76C4C">
      <w:pPr>
        <w:pStyle w:val="BodyText"/>
        <w:spacing w:before="46" w:line="276" w:lineRule="auto"/>
        <w:ind w:left="139" w:right="139"/>
      </w:pPr>
      <w:r>
        <w:lastRenderedPageBreak/>
        <w:t>immigrant,</w:t>
      </w:r>
      <w:r>
        <w:rPr>
          <w:spacing w:val="67"/>
        </w:rPr>
        <w:t xml:space="preserve"> </w:t>
      </w:r>
      <w:r>
        <w:t>disabled,</w:t>
      </w:r>
      <w:r>
        <w:rPr>
          <w:spacing w:val="67"/>
        </w:rPr>
        <w:t xml:space="preserve"> </w:t>
      </w:r>
      <w:r>
        <w:t>and</w:t>
      </w:r>
      <w:r>
        <w:rPr>
          <w:spacing w:val="40"/>
        </w:rPr>
        <w:t xml:space="preserve"> </w:t>
      </w:r>
      <w:r>
        <w:t>low-income</w:t>
      </w:r>
      <w:r>
        <w:rPr>
          <w:spacing w:val="67"/>
        </w:rPr>
        <w:t xml:space="preserve"> </w:t>
      </w:r>
      <w:r>
        <w:t>LGBTQ</w:t>
      </w:r>
      <w:r>
        <w:rPr>
          <w:spacing w:val="65"/>
        </w:rPr>
        <w:t xml:space="preserve"> </w:t>
      </w:r>
      <w:r>
        <w:t>youth.</w:t>
      </w:r>
      <w:r>
        <w:rPr>
          <w:spacing w:val="66"/>
        </w:rPr>
        <w:t xml:space="preserve"> </w:t>
      </w:r>
      <w:r>
        <w:t>By</w:t>
      </w:r>
      <w:r>
        <w:rPr>
          <w:spacing w:val="68"/>
        </w:rPr>
        <w:t xml:space="preserve"> </w:t>
      </w:r>
      <w:r>
        <w:t>embracing</w:t>
      </w:r>
      <w:r>
        <w:rPr>
          <w:spacing w:val="66"/>
        </w:rPr>
        <w:t xml:space="preserve"> </w:t>
      </w:r>
      <w:r>
        <w:t>the</w:t>
      </w:r>
      <w:r>
        <w:rPr>
          <w:spacing w:val="67"/>
        </w:rPr>
        <w:t xml:space="preserve"> </w:t>
      </w:r>
      <w:r>
        <w:t>needs</w:t>
      </w:r>
      <w:r>
        <w:rPr>
          <w:spacing w:val="67"/>
        </w:rPr>
        <w:t xml:space="preserve"> </w:t>
      </w:r>
      <w:r>
        <w:t>of</w:t>
      </w:r>
      <w:r>
        <w:rPr>
          <w:spacing w:val="67"/>
        </w:rPr>
        <w:t xml:space="preserve"> </w:t>
      </w:r>
      <w:r>
        <w:t>QTBIPOC</w:t>
      </w:r>
      <w:r>
        <w:rPr>
          <w:spacing w:val="40"/>
        </w:rPr>
        <w:t xml:space="preserve"> </w:t>
      </w:r>
      <w:r>
        <w:t>youth, Massachusetts can be a leader in working towards environmental justice for all.</w:t>
      </w:r>
    </w:p>
    <w:p w:rsidR="00200FDA" w:rsidRDefault="00200FDA">
      <w:pPr>
        <w:pStyle w:val="BodyText"/>
      </w:pPr>
    </w:p>
    <w:p w:rsidR="00200FDA" w:rsidRDefault="00200FDA">
      <w:pPr>
        <w:pStyle w:val="BodyText"/>
      </w:pPr>
    </w:p>
    <w:p w:rsidR="00200FDA" w:rsidRDefault="00200FDA">
      <w:pPr>
        <w:pStyle w:val="BodyText"/>
      </w:pPr>
    </w:p>
    <w:p w:rsidR="00200FDA" w:rsidRDefault="00F76C4C">
      <w:pPr>
        <w:pStyle w:val="Heading7"/>
        <w:spacing w:before="144"/>
        <w:ind w:left="140"/>
      </w:pPr>
      <w:r>
        <w:pict>
          <v:rect id="docshape477" o:spid="_x0000_s1129" style="position:absolute;left:0;text-align:left;margin-left:70.55pt;margin-top:25.2pt;width:470.9pt;height:.5pt;z-index:-15636992;mso-wrap-distance-left:0;mso-wrap-distance-right:0;mso-position-horizontal-relative:page" fillcolor="#4471c4" stroked="f">
            <w10:wrap type="topAndBottom" anchorx="page"/>
          </v:rect>
        </w:pict>
      </w:r>
      <w:bookmarkStart w:id="1046" w:name="Acknowledgments_&amp;_Citations"/>
      <w:bookmarkEnd w:id="1046"/>
      <w:r>
        <w:rPr>
          <w:color w:val="2E5395"/>
        </w:rPr>
        <w:t>Acknowledgments</w:t>
      </w:r>
      <w:r>
        <w:rPr>
          <w:color w:val="2E5395"/>
          <w:spacing w:val="-9"/>
        </w:rPr>
        <w:t xml:space="preserve"> </w:t>
      </w:r>
      <w:r>
        <w:rPr>
          <w:color w:val="2E5395"/>
        </w:rPr>
        <w:t>&amp;</w:t>
      </w:r>
      <w:r>
        <w:rPr>
          <w:color w:val="2E5395"/>
          <w:spacing w:val="-8"/>
        </w:rPr>
        <w:t xml:space="preserve"> </w:t>
      </w:r>
      <w:r>
        <w:rPr>
          <w:color w:val="2E5395"/>
          <w:spacing w:val="-2"/>
        </w:rPr>
        <w:t>Citations</w:t>
      </w:r>
    </w:p>
    <w:p w:rsidR="00200FDA" w:rsidRDefault="00200FDA">
      <w:pPr>
        <w:pStyle w:val="BodyText"/>
        <w:rPr>
          <w:sz w:val="20"/>
        </w:rPr>
      </w:pPr>
    </w:p>
    <w:p w:rsidR="00200FDA" w:rsidRDefault="00200FDA">
      <w:pPr>
        <w:pStyle w:val="BodyText"/>
        <w:spacing w:before="1"/>
        <w:rPr>
          <w:sz w:val="16"/>
        </w:rPr>
      </w:pPr>
    </w:p>
    <w:p w:rsidR="00200FDA" w:rsidRDefault="00F76C4C">
      <w:pPr>
        <w:ind w:left="140"/>
        <w:rPr>
          <w:i/>
          <w:sz w:val="21"/>
        </w:rPr>
      </w:pPr>
      <w:r>
        <w:rPr>
          <w:i/>
          <w:sz w:val="21"/>
        </w:rPr>
        <w:t>Acknowledgments:</w:t>
      </w:r>
      <w:r>
        <w:rPr>
          <w:i/>
          <w:spacing w:val="-8"/>
          <w:sz w:val="21"/>
        </w:rPr>
        <w:t xml:space="preserve"> </w:t>
      </w:r>
      <w:r>
        <w:rPr>
          <w:i/>
          <w:sz w:val="21"/>
        </w:rPr>
        <w:t>Leija</w:t>
      </w:r>
      <w:r>
        <w:rPr>
          <w:i/>
          <w:spacing w:val="-7"/>
          <w:sz w:val="21"/>
        </w:rPr>
        <w:t xml:space="preserve"> </w:t>
      </w:r>
      <w:r>
        <w:rPr>
          <w:i/>
          <w:sz w:val="21"/>
        </w:rPr>
        <w:t>Helling,</w:t>
      </w:r>
      <w:r>
        <w:rPr>
          <w:i/>
          <w:spacing w:val="-7"/>
          <w:sz w:val="21"/>
        </w:rPr>
        <w:t xml:space="preserve"> </w:t>
      </w:r>
      <w:r>
        <w:rPr>
          <w:i/>
          <w:sz w:val="21"/>
        </w:rPr>
        <w:t>lead</w:t>
      </w:r>
      <w:r>
        <w:rPr>
          <w:i/>
          <w:spacing w:val="-8"/>
          <w:sz w:val="21"/>
        </w:rPr>
        <w:t xml:space="preserve"> </w:t>
      </w:r>
      <w:r>
        <w:rPr>
          <w:i/>
          <w:sz w:val="21"/>
        </w:rPr>
        <w:t>researcher</w:t>
      </w:r>
      <w:r>
        <w:rPr>
          <w:i/>
          <w:spacing w:val="-7"/>
          <w:sz w:val="21"/>
        </w:rPr>
        <w:t xml:space="preserve"> </w:t>
      </w:r>
      <w:r>
        <w:rPr>
          <w:i/>
          <w:sz w:val="21"/>
        </w:rPr>
        <w:t>and</w:t>
      </w:r>
      <w:r>
        <w:rPr>
          <w:i/>
          <w:spacing w:val="-7"/>
          <w:sz w:val="21"/>
        </w:rPr>
        <w:t xml:space="preserve"> </w:t>
      </w:r>
      <w:r>
        <w:rPr>
          <w:i/>
          <w:spacing w:val="-2"/>
          <w:sz w:val="21"/>
        </w:rPr>
        <w:t>author</w:t>
      </w:r>
    </w:p>
    <w:p w:rsidR="00200FDA" w:rsidRDefault="00200FDA">
      <w:pPr>
        <w:pStyle w:val="BodyText"/>
        <w:rPr>
          <w:i/>
          <w:sz w:val="20"/>
        </w:rPr>
      </w:pPr>
    </w:p>
    <w:p w:rsidR="00200FDA" w:rsidRDefault="00200FDA">
      <w:pPr>
        <w:pStyle w:val="BodyText"/>
        <w:rPr>
          <w:i/>
          <w:sz w:val="20"/>
        </w:rPr>
      </w:pPr>
    </w:p>
    <w:p w:rsidR="00200FDA" w:rsidRDefault="00200FDA">
      <w:pPr>
        <w:pStyle w:val="BodyText"/>
        <w:spacing w:before="1"/>
        <w:rPr>
          <w:i/>
          <w:sz w:val="26"/>
        </w:rPr>
      </w:pPr>
    </w:p>
    <w:p w:rsidR="00200FDA" w:rsidRDefault="00F76C4C">
      <w:pPr>
        <w:ind w:left="140" w:right="3066" w:hanging="1"/>
        <w:rPr>
          <w:sz w:val="18"/>
        </w:rPr>
      </w:pPr>
      <w:r>
        <w:rPr>
          <w:position w:val="5"/>
          <w:sz w:val="12"/>
        </w:rPr>
        <w:t>1</w:t>
      </w:r>
      <w:r>
        <w:rPr>
          <w:spacing w:val="9"/>
          <w:position w:val="5"/>
          <w:sz w:val="12"/>
        </w:rPr>
        <w:t xml:space="preserve"> </w:t>
      </w:r>
      <w:r>
        <w:rPr>
          <w:sz w:val="18"/>
        </w:rPr>
        <w:t>OEJECR</w:t>
      </w:r>
      <w:r>
        <w:rPr>
          <w:spacing w:val="-5"/>
          <w:sz w:val="18"/>
        </w:rPr>
        <w:t xml:space="preserve"> </w:t>
      </w:r>
      <w:r>
        <w:rPr>
          <w:sz w:val="18"/>
        </w:rPr>
        <w:t>US</w:t>
      </w:r>
      <w:r>
        <w:rPr>
          <w:spacing w:val="-4"/>
          <w:sz w:val="18"/>
        </w:rPr>
        <w:t xml:space="preserve"> </w:t>
      </w:r>
      <w:r>
        <w:rPr>
          <w:sz w:val="18"/>
        </w:rPr>
        <w:t>EPA,</w:t>
      </w:r>
      <w:r>
        <w:rPr>
          <w:spacing w:val="-3"/>
          <w:sz w:val="18"/>
        </w:rPr>
        <w:t xml:space="preserve"> </w:t>
      </w:r>
      <w:r>
        <w:rPr>
          <w:sz w:val="18"/>
        </w:rPr>
        <w:t>“Environmental</w:t>
      </w:r>
      <w:r>
        <w:rPr>
          <w:spacing w:val="-1"/>
          <w:sz w:val="18"/>
        </w:rPr>
        <w:t xml:space="preserve"> </w:t>
      </w:r>
      <w:r>
        <w:rPr>
          <w:sz w:val="18"/>
        </w:rPr>
        <w:t>Justice</w:t>
      </w:r>
      <w:r>
        <w:rPr>
          <w:spacing w:val="-4"/>
          <w:sz w:val="18"/>
        </w:rPr>
        <w:t xml:space="preserve"> </w:t>
      </w:r>
      <w:r>
        <w:rPr>
          <w:sz w:val="18"/>
        </w:rPr>
        <w:t>Timeline,”</w:t>
      </w:r>
      <w:r>
        <w:rPr>
          <w:spacing w:val="-4"/>
          <w:sz w:val="18"/>
        </w:rPr>
        <w:t xml:space="preserve"> </w:t>
      </w:r>
      <w:r>
        <w:rPr>
          <w:sz w:val="18"/>
        </w:rPr>
        <w:t>Collections</w:t>
      </w:r>
      <w:r>
        <w:rPr>
          <w:spacing w:val="-4"/>
          <w:sz w:val="18"/>
        </w:rPr>
        <w:t xml:space="preserve"> </w:t>
      </w:r>
      <w:r>
        <w:rPr>
          <w:sz w:val="18"/>
        </w:rPr>
        <w:t>and</w:t>
      </w:r>
      <w:r>
        <w:rPr>
          <w:spacing w:val="-2"/>
          <w:sz w:val="18"/>
        </w:rPr>
        <w:t xml:space="preserve"> </w:t>
      </w:r>
      <w:r>
        <w:rPr>
          <w:sz w:val="18"/>
        </w:rPr>
        <w:t>Lists,</w:t>
      </w:r>
      <w:r>
        <w:rPr>
          <w:spacing w:val="-3"/>
          <w:sz w:val="18"/>
        </w:rPr>
        <w:t xml:space="preserve"> </w:t>
      </w:r>
      <w:r>
        <w:rPr>
          <w:sz w:val="18"/>
        </w:rPr>
        <w:t>April</w:t>
      </w:r>
      <w:r>
        <w:rPr>
          <w:spacing w:val="-4"/>
          <w:sz w:val="18"/>
        </w:rPr>
        <w:t xml:space="preserve"> </w:t>
      </w:r>
      <w:r>
        <w:rPr>
          <w:sz w:val="18"/>
        </w:rPr>
        <w:t>15,</w:t>
      </w:r>
      <w:r>
        <w:rPr>
          <w:spacing w:val="-3"/>
          <w:sz w:val="18"/>
        </w:rPr>
        <w:t xml:space="preserve"> </w:t>
      </w:r>
      <w:r>
        <w:rPr>
          <w:sz w:val="18"/>
        </w:rPr>
        <w:t xml:space="preserve">2015, </w:t>
      </w:r>
      <w:r>
        <w:rPr>
          <w:spacing w:val="-2"/>
          <w:sz w:val="18"/>
        </w:rPr>
        <w:t>https://</w:t>
      </w:r>
      <w:hyperlink r:id="rId729">
        <w:r>
          <w:rPr>
            <w:spacing w:val="-2"/>
            <w:sz w:val="18"/>
          </w:rPr>
          <w:t>www.epa.gov/environmentaljustice/environmen</w:t>
        </w:r>
        <w:r>
          <w:rPr>
            <w:spacing w:val="-2"/>
            <w:sz w:val="18"/>
          </w:rPr>
          <w:t>tal-justice-timeline.</w:t>
        </w:r>
      </w:hyperlink>
    </w:p>
    <w:p w:rsidR="00200FDA" w:rsidRDefault="00F76C4C">
      <w:pPr>
        <w:spacing w:line="219" w:lineRule="exact"/>
        <w:ind w:left="140"/>
        <w:rPr>
          <w:sz w:val="18"/>
        </w:rPr>
      </w:pPr>
      <w:r>
        <w:rPr>
          <w:position w:val="5"/>
          <w:sz w:val="12"/>
        </w:rPr>
        <w:t>2</w:t>
      </w:r>
      <w:r>
        <w:rPr>
          <w:spacing w:val="7"/>
          <w:position w:val="5"/>
          <w:sz w:val="12"/>
        </w:rPr>
        <w:t xml:space="preserve"> </w:t>
      </w:r>
      <w:r>
        <w:rPr>
          <w:sz w:val="18"/>
        </w:rPr>
        <w:t>“LANDBACK</w:t>
      </w:r>
      <w:r>
        <w:rPr>
          <w:spacing w:val="-2"/>
          <w:sz w:val="18"/>
        </w:rPr>
        <w:t xml:space="preserve"> </w:t>
      </w:r>
      <w:r>
        <w:rPr>
          <w:sz w:val="18"/>
        </w:rPr>
        <w:t>Manifesto,”</w:t>
      </w:r>
      <w:r>
        <w:rPr>
          <w:spacing w:val="-4"/>
          <w:sz w:val="18"/>
        </w:rPr>
        <w:t xml:space="preserve"> </w:t>
      </w:r>
      <w:r>
        <w:rPr>
          <w:sz w:val="18"/>
        </w:rPr>
        <w:t>LANDBACK,</w:t>
      </w:r>
      <w:r>
        <w:rPr>
          <w:spacing w:val="-2"/>
          <w:sz w:val="18"/>
        </w:rPr>
        <w:t xml:space="preserve"> </w:t>
      </w:r>
      <w:r>
        <w:rPr>
          <w:sz w:val="18"/>
        </w:rPr>
        <w:t>accessed</w:t>
      </w:r>
      <w:r>
        <w:rPr>
          <w:spacing w:val="-3"/>
          <w:sz w:val="18"/>
        </w:rPr>
        <w:t xml:space="preserve"> </w:t>
      </w:r>
      <w:r>
        <w:rPr>
          <w:sz w:val="18"/>
        </w:rPr>
        <w:t>April</w:t>
      </w:r>
      <w:r>
        <w:rPr>
          <w:spacing w:val="-4"/>
          <w:sz w:val="18"/>
        </w:rPr>
        <w:t xml:space="preserve"> </w:t>
      </w:r>
      <w:r>
        <w:rPr>
          <w:sz w:val="18"/>
        </w:rPr>
        <w:t>2,</w:t>
      </w:r>
      <w:r>
        <w:rPr>
          <w:spacing w:val="-2"/>
          <w:sz w:val="18"/>
        </w:rPr>
        <w:t xml:space="preserve"> </w:t>
      </w:r>
      <w:r>
        <w:rPr>
          <w:sz w:val="18"/>
        </w:rPr>
        <w:t>2023,</w:t>
      </w:r>
      <w:r>
        <w:rPr>
          <w:spacing w:val="-2"/>
          <w:sz w:val="18"/>
        </w:rPr>
        <w:t xml:space="preserve"> https://landback.org/manifesto/.</w:t>
      </w:r>
    </w:p>
    <w:p w:rsidR="00200FDA" w:rsidRDefault="00F76C4C">
      <w:pPr>
        <w:spacing w:before="1" w:line="219" w:lineRule="exact"/>
        <w:ind w:left="140"/>
        <w:rPr>
          <w:sz w:val="18"/>
        </w:rPr>
      </w:pPr>
      <w:r>
        <w:rPr>
          <w:position w:val="5"/>
          <w:sz w:val="12"/>
        </w:rPr>
        <w:t>3</w:t>
      </w:r>
      <w:r>
        <w:rPr>
          <w:spacing w:val="7"/>
          <w:position w:val="5"/>
          <w:sz w:val="12"/>
        </w:rPr>
        <w:t xml:space="preserve"> </w:t>
      </w:r>
      <w:r>
        <w:rPr>
          <w:sz w:val="18"/>
        </w:rPr>
        <w:t>“About</w:t>
      </w:r>
      <w:r>
        <w:rPr>
          <w:spacing w:val="-3"/>
          <w:sz w:val="18"/>
        </w:rPr>
        <w:t xml:space="preserve"> </w:t>
      </w:r>
      <w:r>
        <w:rPr>
          <w:sz w:val="18"/>
        </w:rPr>
        <w:t>|</w:t>
      </w:r>
      <w:r>
        <w:rPr>
          <w:spacing w:val="-1"/>
          <w:sz w:val="18"/>
        </w:rPr>
        <w:t xml:space="preserve"> </w:t>
      </w:r>
      <w:r>
        <w:rPr>
          <w:sz w:val="18"/>
        </w:rPr>
        <w:t>Indigenous</w:t>
      </w:r>
      <w:r>
        <w:rPr>
          <w:spacing w:val="-3"/>
          <w:sz w:val="18"/>
        </w:rPr>
        <w:t xml:space="preserve"> </w:t>
      </w:r>
      <w:r>
        <w:rPr>
          <w:sz w:val="18"/>
        </w:rPr>
        <w:t>Environmental</w:t>
      </w:r>
      <w:r>
        <w:rPr>
          <w:spacing w:val="-4"/>
          <w:sz w:val="18"/>
        </w:rPr>
        <w:t xml:space="preserve"> </w:t>
      </w:r>
      <w:r>
        <w:rPr>
          <w:sz w:val="18"/>
        </w:rPr>
        <w:t>Network,”</w:t>
      </w:r>
      <w:r>
        <w:rPr>
          <w:spacing w:val="-3"/>
          <w:sz w:val="18"/>
        </w:rPr>
        <w:t xml:space="preserve"> </w:t>
      </w:r>
      <w:r>
        <w:rPr>
          <w:sz w:val="18"/>
        </w:rPr>
        <w:t>December</w:t>
      </w:r>
      <w:r>
        <w:rPr>
          <w:spacing w:val="-3"/>
          <w:sz w:val="18"/>
        </w:rPr>
        <w:t xml:space="preserve"> </w:t>
      </w:r>
      <w:r>
        <w:rPr>
          <w:sz w:val="18"/>
        </w:rPr>
        <w:t>30,</w:t>
      </w:r>
      <w:r>
        <w:rPr>
          <w:spacing w:val="-2"/>
          <w:sz w:val="18"/>
        </w:rPr>
        <w:t xml:space="preserve"> </w:t>
      </w:r>
      <w:r>
        <w:rPr>
          <w:sz w:val="18"/>
        </w:rPr>
        <w:t>2012,</w:t>
      </w:r>
      <w:r>
        <w:rPr>
          <w:spacing w:val="-2"/>
          <w:sz w:val="18"/>
        </w:rPr>
        <w:t xml:space="preserve"> https://</w:t>
      </w:r>
      <w:hyperlink r:id="rId730">
        <w:r>
          <w:rPr>
            <w:spacing w:val="-2"/>
            <w:sz w:val="18"/>
          </w:rPr>
          <w:t>www.ienearth.org/about/.</w:t>
        </w:r>
      </w:hyperlink>
    </w:p>
    <w:p w:rsidR="00200FDA" w:rsidRDefault="00F76C4C">
      <w:pPr>
        <w:ind w:left="140" w:right="396" w:hanging="1"/>
        <w:rPr>
          <w:sz w:val="18"/>
        </w:rPr>
      </w:pPr>
      <w:r>
        <w:rPr>
          <w:position w:val="5"/>
          <w:sz w:val="12"/>
        </w:rPr>
        <w:t>4</w:t>
      </w:r>
      <w:r>
        <w:rPr>
          <w:spacing w:val="14"/>
          <w:position w:val="5"/>
          <w:sz w:val="12"/>
        </w:rPr>
        <w:t xml:space="preserve"> </w:t>
      </w:r>
      <w:r>
        <w:rPr>
          <w:sz w:val="18"/>
        </w:rPr>
        <w:t xml:space="preserve">Eve Zuckoff, “On Martha’s Vineyard, Tribal Elders Work to Restore Land to Its Pre-Colonial State,” </w:t>
      </w:r>
      <w:r>
        <w:rPr>
          <w:i/>
          <w:sz w:val="18"/>
        </w:rPr>
        <w:t>NPR</w:t>
      </w:r>
      <w:r>
        <w:rPr>
          <w:sz w:val="18"/>
        </w:rPr>
        <w:t>, June 29, 2022, sec. National,</w:t>
      </w:r>
      <w:r>
        <w:rPr>
          <w:spacing w:val="-11"/>
          <w:sz w:val="18"/>
        </w:rPr>
        <w:t xml:space="preserve"> </w:t>
      </w:r>
      <w:r>
        <w:rPr>
          <w:sz w:val="18"/>
        </w:rPr>
        <w:t>https://</w:t>
      </w:r>
      <w:hyperlink r:id="rId731">
        <w:r>
          <w:rPr>
            <w:sz w:val="18"/>
          </w:rPr>
          <w:t>www.npr.org/2022/06/29/1106404838/on-marthas-vineyard-tribal-elders-work-to-restore-land-to-its-pre-</w:t>
        </w:r>
      </w:hyperlink>
      <w:r>
        <w:rPr>
          <w:sz w:val="18"/>
        </w:rPr>
        <w:t xml:space="preserve"> </w:t>
      </w:r>
      <w:r>
        <w:rPr>
          <w:spacing w:val="-2"/>
          <w:sz w:val="18"/>
        </w:rPr>
        <w:t>colonial-state.</w:t>
      </w:r>
    </w:p>
    <w:p w:rsidR="00200FDA" w:rsidRDefault="00F76C4C">
      <w:pPr>
        <w:ind w:left="140" w:right="1451" w:hanging="1"/>
        <w:rPr>
          <w:sz w:val="18"/>
        </w:rPr>
      </w:pPr>
      <w:r>
        <w:rPr>
          <w:position w:val="5"/>
          <w:sz w:val="12"/>
        </w:rPr>
        <w:t>5</w:t>
      </w:r>
      <w:r>
        <w:rPr>
          <w:spacing w:val="21"/>
          <w:position w:val="5"/>
          <w:sz w:val="12"/>
        </w:rPr>
        <w:t xml:space="preserve"> </w:t>
      </w:r>
      <w:r>
        <w:rPr>
          <w:sz w:val="18"/>
        </w:rPr>
        <w:t xml:space="preserve">Dina Gilio-Whitaker, “Environmental Justice Is Only the Beginning,” </w:t>
      </w:r>
      <w:r>
        <w:rPr>
          <w:i/>
          <w:sz w:val="18"/>
        </w:rPr>
        <w:t>High Country News</w:t>
      </w:r>
      <w:r>
        <w:rPr>
          <w:sz w:val="18"/>
        </w:rPr>
        <w:t>, July 1, 20</w:t>
      </w:r>
      <w:r>
        <w:rPr>
          <w:sz w:val="18"/>
        </w:rPr>
        <w:t xml:space="preserve">22, </w:t>
      </w:r>
      <w:r>
        <w:rPr>
          <w:spacing w:val="-2"/>
          <w:sz w:val="18"/>
        </w:rPr>
        <w:t>https://</w:t>
      </w:r>
      <w:hyperlink r:id="rId732">
        <w:r>
          <w:rPr>
            <w:spacing w:val="-2"/>
            <w:sz w:val="18"/>
          </w:rPr>
          <w:t>www.hcn.org/issues/54.7/indigenous-affairs-perspective-environmental-justice-is-only-the-beginning.</w:t>
        </w:r>
      </w:hyperlink>
    </w:p>
    <w:p w:rsidR="00200FDA" w:rsidRDefault="00F76C4C">
      <w:pPr>
        <w:ind w:left="140" w:right="200" w:hanging="1"/>
        <w:rPr>
          <w:sz w:val="18"/>
        </w:rPr>
      </w:pPr>
      <w:r>
        <w:rPr>
          <w:position w:val="5"/>
          <w:sz w:val="12"/>
        </w:rPr>
        <w:t>6</w:t>
      </w:r>
      <w:r>
        <w:rPr>
          <w:spacing w:val="8"/>
          <w:position w:val="5"/>
          <w:sz w:val="12"/>
        </w:rPr>
        <w:t xml:space="preserve"> </w:t>
      </w:r>
      <w:r>
        <w:rPr>
          <w:sz w:val="18"/>
        </w:rPr>
        <w:t>“Environmental</w:t>
      </w:r>
      <w:r>
        <w:rPr>
          <w:spacing w:val="-5"/>
          <w:sz w:val="18"/>
        </w:rPr>
        <w:t xml:space="preserve"> </w:t>
      </w:r>
      <w:r>
        <w:rPr>
          <w:sz w:val="18"/>
        </w:rPr>
        <w:t>Ju</w:t>
      </w:r>
      <w:r>
        <w:rPr>
          <w:sz w:val="18"/>
        </w:rPr>
        <w:t>stice</w:t>
      </w:r>
      <w:r>
        <w:rPr>
          <w:spacing w:val="-5"/>
          <w:sz w:val="18"/>
        </w:rPr>
        <w:t xml:space="preserve"> </w:t>
      </w:r>
      <w:r>
        <w:rPr>
          <w:sz w:val="18"/>
        </w:rPr>
        <w:t>Policy</w:t>
      </w:r>
      <w:r>
        <w:rPr>
          <w:spacing w:val="-4"/>
          <w:sz w:val="18"/>
        </w:rPr>
        <w:t xml:space="preserve"> </w:t>
      </w:r>
      <w:r>
        <w:rPr>
          <w:sz w:val="18"/>
        </w:rPr>
        <w:t>|</w:t>
      </w:r>
      <w:r>
        <w:rPr>
          <w:spacing w:val="-3"/>
          <w:sz w:val="18"/>
        </w:rPr>
        <w:t xml:space="preserve"> </w:t>
      </w:r>
      <w:r>
        <w:rPr>
          <w:sz w:val="18"/>
        </w:rPr>
        <w:t>Mass.Gov,”</w:t>
      </w:r>
      <w:r>
        <w:rPr>
          <w:spacing w:val="-5"/>
          <w:sz w:val="18"/>
        </w:rPr>
        <w:t xml:space="preserve"> </w:t>
      </w:r>
      <w:r>
        <w:rPr>
          <w:sz w:val="18"/>
        </w:rPr>
        <w:t>accessed</w:t>
      </w:r>
      <w:r>
        <w:rPr>
          <w:spacing w:val="-5"/>
          <w:sz w:val="18"/>
        </w:rPr>
        <w:t xml:space="preserve"> </w:t>
      </w:r>
      <w:r>
        <w:rPr>
          <w:sz w:val="18"/>
        </w:rPr>
        <w:t>February</w:t>
      </w:r>
      <w:r>
        <w:rPr>
          <w:spacing w:val="-4"/>
          <w:sz w:val="18"/>
        </w:rPr>
        <w:t xml:space="preserve"> </w:t>
      </w:r>
      <w:r>
        <w:rPr>
          <w:sz w:val="18"/>
        </w:rPr>
        <w:t>5,</w:t>
      </w:r>
      <w:r>
        <w:rPr>
          <w:spacing w:val="-2"/>
          <w:sz w:val="18"/>
        </w:rPr>
        <w:t xml:space="preserve"> </w:t>
      </w:r>
      <w:r>
        <w:rPr>
          <w:sz w:val="18"/>
        </w:rPr>
        <w:t>2023,</w:t>
      </w:r>
      <w:r>
        <w:rPr>
          <w:spacing w:val="-4"/>
          <w:sz w:val="18"/>
        </w:rPr>
        <w:t xml:space="preserve"> </w:t>
      </w:r>
      <w:r>
        <w:rPr>
          <w:sz w:val="18"/>
        </w:rPr>
        <w:t>https://</w:t>
      </w:r>
      <w:hyperlink r:id="rId733">
        <w:r>
          <w:rPr>
            <w:sz w:val="18"/>
          </w:rPr>
          <w:t>www.mass.gov/service-details/environmental-</w:t>
        </w:r>
      </w:hyperlink>
      <w:r>
        <w:rPr>
          <w:sz w:val="18"/>
        </w:rPr>
        <w:t xml:space="preserve"> </w:t>
      </w:r>
      <w:r>
        <w:rPr>
          <w:spacing w:val="-2"/>
          <w:sz w:val="18"/>
        </w:rPr>
        <w:t>justice-policy.</w:t>
      </w:r>
    </w:p>
    <w:p w:rsidR="00200FDA" w:rsidRDefault="00F76C4C">
      <w:pPr>
        <w:ind w:left="140" w:right="1263" w:hanging="1"/>
        <w:rPr>
          <w:sz w:val="18"/>
        </w:rPr>
      </w:pPr>
      <w:r>
        <w:rPr>
          <w:position w:val="5"/>
          <w:sz w:val="12"/>
        </w:rPr>
        <w:t>7</w:t>
      </w:r>
      <w:r>
        <w:rPr>
          <w:spacing w:val="8"/>
          <w:position w:val="5"/>
          <w:sz w:val="12"/>
        </w:rPr>
        <w:t xml:space="preserve"> </w:t>
      </w:r>
      <w:r>
        <w:rPr>
          <w:sz w:val="18"/>
        </w:rPr>
        <w:t>“Objectives</w:t>
      </w:r>
      <w:r>
        <w:rPr>
          <w:spacing w:val="-5"/>
          <w:sz w:val="18"/>
        </w:rPr>
        <w:t xml:space="preserve"> </w:t>
      </w:r>
      <w:r>
        <w:rPr>
          <w:sz w:val="18"/>
        </w:rPr>
        <w:t>of</w:t>
      </w:r>
      <w:r>
        <w:rPr>
          <w:spacing w:val="-4"/>
          <w:sz w:val="18"/>
        </w:rPr>
        <w:t xml:space="preserve"> </w:t>
      </w:r>
      <w:r>
        <w:rPr>
          <w:sz w:val="18"/>
        </w:rPr>
        <w:t>Environmental</w:t>
      </w:r>
      <w:r>
        <w:rPr>
          <w:spacing w:val="-5"/>
          <w:sz w:val="18"/>
        </w:rPr>
        <w:t xml:space="preserve"> </w:t>
      </w:r>
      <w:r>
        <w:rPr>
          <w:sz w:val="18"/>
        </w:rPr>
        <w:t>Justice</w:t>
      </w:r>
      <w:r>
        <w:rPr>
          <w:spacing w:val="-5"/>
          <w:sz w:val="18"/>
        </w:rPr>
        <w:t xml:space="preserve"> </w:t>
      </w:r>
      <w:r>
        <w:rPr>
          <w:sz w:val="18"/>
        </w:rPr>
        <w:t>|</w:t>
      </w:r>
      <w:r>
        <w:rPr>
          <w:spacing w:val="-3"/>
          <w:sz w:val="18"/>
        </w:rPr>
        <w:t xml:space="preserve"> </w:t>
      </w:r>
      <w:r>
        <w:rPr>
          <w:sz w:val="18"/>
        </w:rPr>
        <w:t>Mass.Gov,”</w:t>
      </w:r>
      <w:r>
        <w:rPr>
          <w:spacing w:val="-5"/>
          <w:sz w:val="18"/>
        </w:rPr>
        <w:t xml:space="preserve"> </w:t>
      </w:r>
      <w:r>
        <w:rPr>
          <w:sz w:val="18"/>
        </w:rPr>
        <w:t>accessed</w:t>
      </w:r>
      <w:r>
        <w:rPr>
          <w:spacing w:val="-3"/>
          <w:sz w:val="18"/>
        </w:rPr>
        <w:t xml:space="preserve"> </w:t>
      </w:r>
      <w:r>
        <w:rPr>
          <w:sz w:val="18"/>
        </w:rPr>
        <w:t>February</w:t>
      </w:r>
      <w:r>
        <w:rPr>
          <w:spacing w:val="-4"/>
          <w:sz w:val="18"/>
        </w:rPr>
        <w:t xml:space="preserve"> </w:t>
      </w:r>
      <w:r>
        <w:rPr>
          <w:sz w:val="18"/>
        </w:rPr>
        <w:t>17,</w:t>
      </w:r>
      <w:r>
        <w:rPr>
          <w:spacing w:val="-4"/>
          <w:sz w:val="18"/>
        </w:rPr>
        <w:t xml:space="preserve"> </w:t>
      </w:r>
      <w:r>
        <w:rPr>
          <w:sz w:val="18"/>
        </w:rPr>
        <w:t>2023,</w:t>
      </w:r>
      <w:r>
        <w:rPr>
          <w:spacing w:val="-4"/>
          <w:sz w:val="18"/>
        </w:rPr>
        <w:t xml:space="preserve"> </w:t>
      </w:r>
      <w:r>
        <w:rPr>
          <w:sz w:val="18"/>
        </w:rPr>
        <w:t>https://</w:t>
      </w:r>
      <w:hyperlink r:id="rId734">
        <w:r>
          <w:rPr>
            <w:sz w:val="18"/>
          </w:rPr>
          <w:t>www.mass.gov/service-</w:t>
        </w:r>
      </w:hyperlink>
      <w:r>
        <w:rPr>
          <w:sz w:val="18"/>
        </w:rPr>
        <w:t xml:space="preserve"> </w:t>
      </w:r>
      <w:r>
        <w:rPr>
          <w:spacing w:val="-2"/>
          <w:sz w:val="18"/>
        </w:rPr>
        <w:t>details/objectives-of-environmental-justice.</w:t>
      </w:r>
    </w:p>
    <w:p w:rsidR="00200FDA" w:rsidRDefault="00F76C4C">
      <w:pPr>
        <w:ind w:left="140" w:right="274" w:hanging="1"/>
        <w:rPr>
          <w:sz w:val="18"/>
        </w:rPr>
      </w:pPr>
      <w:r>
        <w:rPr>
          <w:position w:val="5"/>
          <w:sz w:val="12"/>
        </w:rPr>
        <w:t>8</w:t>
      </w:r>
      <w:r>
        <w:rPr>
          <w:spacing w:val="9"/>
          <w:position w:val="5"/>
          <w:sz w:val="12"/>
        </w:rPr>
        <w:t xml:space="preserve"> </w:t>
      </w:r>
      <w:r>
        <w:rPr>
          <w:sz w:val="18"/>
        </w:rPr>
        <w:t>“Environmental</w:t>
      </w:r>
      <w:r>
        <w:rPr>
          <w:spacing w:val="-4"/>
          <w:sz w:val="18"/>
        </w:rPr>
        <w:t xml:space="preserve"> </w:t>
      </w:r>
      <w:r>
        <w:rPr>
          <w:sz w:val="18"/>
        </w:rPr>
        <w:t>Justice</w:t>
      </w:r>
      <w:r>
        <w:rPr>
          <w:spacing w:val="-4"/>
          <w:sz w:val="18"/>
        </w:rPr>
        <w:t xml:space="preserve"> </w:t>
      </w:r>
      <w:r>
        <w:rPr>
          <w:sz w:val="18"/>
        </w:rPr>
        <w:t>Populations</w:t>
      </w:r>
      <w:r>
        <w:rPr>
          <w:spacing w:val="-4"/>
          <w:sz w:val="18"/>
        </w:rPr>
        <w:t xml:space="preserve"> </w:t>
      </w:r>
      <w:r>
        <w:rPr>
          <w:sz w:val="18"/>
        </w:rPr>
        <w:t>in</w:t>
      </w:r>
      <w:r>
        <w:rPr>
          <w:spacing w:val="-4"/>
          <w:sz w:val="18"/>
        </w:rPr>
        <w:t xml:space="preserve"> </w:t>
      </w:r>
      <w:r>
        <w:rPr>
          <w:sz w:val="18"/>
        </w:rPr>
        <w:t>Massachusetts</w:t>
      </w:r>
      <w:r>
        <w:rPr>
          <w:spacing w:val="-4"/>
          <w:sz w:val="18"/>
        </w:rPr>
        <w:t xml:space="preserve"> </w:t>
      </w:r>
      <w:r>
        <w:rPr>
          <w:sz w:val="18"/>
        </w:rPr>
        <w:t>|</w:t>
      </w:r>
      <w:r>
        <w:rPr>
          <w:spacing w:val="-2"/>
          <w:sz w:val="18"/>
        </w:rPr>
        <w:t xml:space="preserve"> </w:t>
      </w:r>
      <w:r>
        <w:rPr>
          <w:sz w:val="18"/>
        </w:rPr>
        <w:t>Mass.Gov,”</w:t>
      </w:r>
      <w:r>
        <w:rPr>
          <w:spacing w:val="-4"/>
          <w:sz w:val="18"/>
        </w:rPr>
        <w:t xml:space="preserve"> </w:t>
      </w:r>
      <w:r>
        <w:rPr>
          <w:sz w:val="18"/>
        </w:rPr>
        <w:t>accessed</w:t>
      </w:r>
      <w:r>
        <w:rPr>
          <w:spacing w:val="-2"/>
          <w:sz w:val="18"/>
        </w:rPr>
        <w:t xml:space="preserve"> </w:t>
      </w:r>
      <w:r>
        <w:rPr>
          <w:sz w:val="18"/>
        </w:rPr>
        <w:t>February</w:t>
      </w:r>
      <w:r>
        <w:rPr>
          <w:spacing w:val="-3"/>
          <w:sz w:val="18"/>
        </w:rPr>
        <w:t xml:space="preserve"> </w:t>
      </w:r>
      <w:r>
        <w:rPr>
          <w:sz w:val="18"/>
        </w:rPr>
        <w:t>17,</w:t>
      </w:r>
      <w:r>
        <w:rPr>
          <w:spacing w:val="-3"/>
          <w:sz w:val="18"/>
        </w:rPr>
        <w:t xml:space="preserve"> </w:t>
      </w:r>
      <w:r>
        <w:rPr>
          <w:sz w:val="18"/>
        </w:rPr>
        <w:t>2023,</w:t>
      </w:r>
      <w:r>
        <w:rPr>
          <w:spacing w:val="-3"/>
          <w:sz w:val="18"/>
        </w:rPr>
        <w:t xml:space="preserve"> </w:t>
      </w:r>
      <w:r>
        <w:rPr>
          <w:sz w:val="18"/>
        </w:rPr>
        <w:t>https://</w:t>
      </w:r>
      <w:hyperlink r:id="rId735">
        <w:r>
          <w:rPr>
            <w:sz w:val="18"/>
          </w:rPr>
          <w:t>www.mass.gov/info-</w:t>
        </w:r>
      </w:hyperlink>
      <w:r>
        <w:rPr>
          <w:sz w:val="18"/>
        </w:rPr>
        <w:t xml:space="preserve"> </w:t>
      </w:r>
      <w:r>
        <w:rPr>
          <w:spacing w:val="-2"/>
          <w:sz w:val="18"/>
        </w:rPr>
        <w:t>details/environmental-justice-populations-in-massachusetts.</w:t>
      </w:r>
    </w:p>
    <w:p w:rsidR="00200FDA" w:rsidRDefault="00F76C4C">
      <w:pPr>
        <w:spacing w:line="219" w:lineRule="exact"/>
        <w:ind w:left="140"/>
        <w:rPr>
          <w:sz w:val="18"/>
        </w:rPr>
      </w:pPr>
      <w:r>
        <w:rPr>
          <w:position w:val="5"/>
          <w:sz w:val="12"/>
        </w:rPr>
        <w:t>9</w:t>
      </w:r>
      <w:r>
        <w:rPr>
          <w:spacing w:val="10"/>
          <w:position w:val="5"/>
          <w:sz w:val="12"/>
        </w:rPr>
        <w:t xml:space="preserve"> </w:t>
      </w:r>
      <w:r>
        <w:rPr>
          <w:sz w:val="18"/>
        </w:rPr>
        <w:t>“Objectives</w:t>
      </w:r>
      <w:r>
        <w:rPr>
          <w:spacing w:val="-3"/>
          <w:sz w:val="18"/>
        </w:rPr>
        <w:t xml:space="preserve"> </w:t>
      </w:r>
      <w:r>
        <w:rPr>
          <w:sz w:val="18"/>
        </w:rPr>
        <w:t>of</w:t>
      </w:r>
      <w:r>
        <w:rPr>
          <w:spacing w:val="-2"/>
          <w:sz w:val="18"/>
        </w:rPr>
        <w:t xml:space="preserve"> </w:t>
      </w:r>
      <w:r>
        <w:rPr>
          <w:sz w:val="18"/>
        </w:rPr>
        <w:t>Environmental</w:t>
      </w:r>
      <w:r>
        <w:rPr>
          <w:spacing w:val="-3"/>
          <w:sz w:val="18"/>
        </w:rPr>
        <w:t xml:space="preserve"> </w:t>
      </w:r>
      <w:r>
        <w:rPr>
          <w:sz w:val="18"/>
        </w:rPr>
        <w:t>Justice</w:t>
      </w:r>
      <w:r>
        <w:rPr>
          <w:spacing w:val="-3"/>
          <w:sz w:val="18"/>
        </w:rPr>
        <w:t xml:space="preserve"> </w:t>
      </w:r>
      <w:r>
        <w:rPr>
          <w:sz w:val="18"/>
        </w:rPr>
        <w:t xml:space="preserve">| </w:t>
      </w:r>
      <w:r>
        <w:rPr>
          <w:spacing w:val="-2"/>
          <w:sz w:val="18"/>
        </w:rPr>
        <w:t>Mass.Gov.”</w:t>
      </w:r>
    </w:p>
    <w:p w:rsidR="00200FDA" w:rsidRDefault="00F76C4C">
      <w:pPr>
        <w:spacing w:before="1"/>
        <w:ind w:left="140" w:right="368" w:hanging="1"/>
        <w:rPr>
          <w:sz w:val="18"/>
        </w:rPr>
      </w:pPr>
      <w:r>
        <w:rPr>
          <w:position w:val="5"/>
          <w:sz w:val="12"/>
        </w:rPr>
        <w:t>10</w:t>
      </w:r>
      <w:r>
        <w:rPr>
          <w:spacing w:val="10"/>
          <w:position w:val="5"/>
          <w:sz w:val="12"/>
        </w:rPr>
        <w:t xml:space="preserve"> </w:t>
      </w:r>
      <w:r>
        <w:rPr>
          <w:sz w:val="18"/>
        </w:rPr>
        <w:t>Timothy</w:t>
      </w:r>
      <w:r>
        <w:rPr>
          <w:spacing w:val="-2"/>
          <w:sz w:val="18"/>
        </w:rPr>
        <w:t xml:space="preserve"> </w:t>
      </w:r>
      <w:r>
        <w:rPr>
          <w:sz w:val="18"/>
        </w:rPr>
        <w:t>W.</w:t>
      </w:r>
      <w:r>
        <w:rPr>
          <w:spacing w:val="-2"/>
          <w:sz w:val="18"/>
        </w:rPr>
        <w:t xml:space="preserve"> </w:t>
      </w:r>
      <w:r>
        <w:rPr>
          <w:sz w:val="18"/>
        </w:rPr>
        <w:t>Collins,</w:t>
      </w:r>
      <w:r>
        <w:rPr>
          <w:spacing w:val="-2"/>
          <w:sz w:val="18"/>
        </w:rPr>
        <w:t xml:space="preserve"> </w:t>
      </w:r>
      <w:r>
        <w:rPr>
          <w:sz w:val="18"/>
        </w:rPr>
        <w:t>Sara</w:t>
      </w:r>
      <w:r>
        <w:rPr>
          <w:spacing w:val="-2"/>
          <w:sz w:val="18"/>
        </w:rPr>
        <w:t xml:space="preserve"> </w:t>
      </w:r>
      <w:r>
        <w:rPr>
          <w:sz w:val="18"/>
        </w:rPr>
        <w:t>E.</w:t>
      </w:r>
      <w:r>
        <w:rPr>
          <w:spacing w:val="-2"/>
          <w:sz w:val="18"/>
        </w:rPr>
        <w:t xml:space="preserve"> </w:t>
      </w:r>
      <w:r>
        <w:rPr>
          <w:sz w:val="18"/>
        </w:rPr>
        <w:t>Grineski,</w:t>
      </w:r>
      <w:r>
        <w:rPr>
          <w:spacing w:val="-2"/>
          <w:sz w:val="18"/>
        </w:rPr>
        <w:t xml:space="preserve"> </w:t>
      </w:r>
      <w:r>
        <w:rPr>
          <w:sz w:val="18"/>
        </w:rPr>
        <w:t>and</w:t>
      </w:r>
      <w:r>
        <w:rPr>
          <w:spacing w:val="-3"/>
          <w:sz w:val="18"/>
        </w:rPr>
        <w:t xml:space="preserve"> </w:t>
      </w:r>
      <w:r>
        <w:rPr>
          <w:sz w:val="18"/>
        </w:rPr>
        <w:t>Danielle</w:t>
      </w:r>
      <w:r>
        <w:rPr>
          <w:spacing w:val="-3"/>
          <w:sz w:val="18"/>
        </w:rPr>
        <w:t xml:space="preserve"> </w:t>
      </w:r>
      <w:r>
        <w:rPr>
          <w:sz w:val="18"/>
        </w:rPr>
        <w:t>X.</w:t>
      </w:r>
      <w:r>
        <w:rPr>
          <w:spacing w:val="-2"/>
          <w:sz w:val="18"/>
        </w:rPr>
        <w:t xml:space="preserve"> </w:t>
      </w:r>
      <w:r>
        <w:rPr>
          <w:sz w:val="18"/>
        </w:rPr>
        <w:t>Morales,</w:t>
      </w:r>
      <w:r>
        <w:rPr>
          <w:spacing w:val="-2"/>
          <w:sz w:val="18"/>
        </w:rPr>
        <w:t xml:space="preserve"> </w:t>
      </w:r>
      <w:r>
        <w:rPr>
          <w:sz w:val="18"/>
        </w:rPr>
        <w:t>“We</w:t>
      </w:r>
      <w:r>
        <w:rPr>
          <w:spacing w:val="-1"/>
          <w:sz w:val="18"/>
        </w:rPr>
        <w:t xml:space="preserve"> </w:t>
      </w:r>
      <w:r>
        <w:rPr>
          <w:sz w:val="18"/>
        </w:rPr>
        <w:t>Need</w:t>
      </w:r>
      <w:r>
        <w:rPr>
          <w:spacing w:val="-3"/>
          <w:sz w:val="18"/>
        </w:rPr>
        <w:t xml:space="preserve"> </w:t>
      </w:r>
      <w:r>
        <w:rPr>
          <w:sz w:val="18"/>
        </w:rPr>
        <w:t>Environmental</w:t>
      </w:r>
      <w:r>
        <w:rPr>
          <w:spacing w:val="-3"/>
          <w:sz w:val="18"/>
        </w:rPr>
        <w:t xml:space="preserve"> </w:t>
      </w:r>
      <w:r>
        <w:rPr>
          <w:sz w:val="18"/>
        </w:rPr>
        <w:t>Health</w:t>
      </w:r>
      <w:r>
        <w:rPr>
          <w:spacing w:val="-3"/>
          <w:sz w:val="18"/>
        </w:rPr>
        <w:t xml:space="preserve"> </w:t>
      </w:r>
      <w:r>
        <w:rPr>
          <w:sz w:val="18"/>
        </w:rPr>
        <w:t>Justice</w:t>
      </w:r>
      <w:r>
        <w:rPr>
          <w:spacing w:val="-3"/>
          <w:sz w:val="18"/>
        </w:rPr>
        <w:t xml:space="preserve"> </w:t>
      </w:r>
      <w:r>
        <w:rPr>
          <w:sz w:val="18"/>
        </w:rPr>
        <w:t>Research</w:t>
      </w:r>
      <w:r>
        <w:rPr>
          <w:spacing w:val="-3"/>
          <w:sz w:val="18"/>
        </w:rPr>
        <w:t xml:space="preserve"> </w:t>
      </w:r>
      <w:r>
        <w:rPr>
          <w:sz w:val="18"/>
        </w:rPr>
        <w:t>and</w:t>
      </w:r>
      <w:r>
        <w:rPr>
          <w:spacing w:val="-3"/>
          <w:sz w:val="18"/>
        </w:rPr>
        <w:t xml:space="preserve"> </w:t>
      </w:r>
      <w:r>
        <w:rPr>
          <w:sz w:val="18"/>
        </w:rPr>
        <w:t xml:space="preserve">Action for LGBTQ+ People,” </w:t>
      </w:r>
      <w:r>
        <w:rPr>
          <w:i/>
          <w:sz w:val="18"/>
        </w:rPr>
        <w:t xml:space="preserve">American Journal of Public Health </w:t>
      </w:r>
      <w:r>
        <w:rPr>
          <w:sz w:val="18"/>
        </w:rPr>
        <w:t xml:space="preserve">112, no. 1 (January 2022): 54–56, </w:t>
      </w:r>
      <w:r>
        <w:rPr>
          <w:spacing w:val="-2"/>
          <w:sz w:val="18"/>
        </w:rPr>
        <w:t>https://doi.org/10.2105/AJPH.2021.306477.</w:t>
      </w:r>
    </w:p>
    <w:p w:rsidR="00200FDA" w:rsidRDefault="00F76C4C">
      <w:pPr>
        <w:ind w:left="140" w:hanging="1"/>
        <w:rPr>
          <w:sz w:val="18"/>
        </w:rPr>
      </w:pPr>
      <w:r>
        <w:rPr>
          <w:position w:val="5"/>
          <w:sz w:val="12"/>
        </w:rPr>
        <w:t>11</w:t>
      </w:r>
      <w:r>
        <w:rPr>
          <w:spacing w:val="9"/>
          <w:position w:val="5"/>
          <w:sz w:val="12"/>
        </w:rPr>
        <w:t xml:space="preserve"> </w:t>
      </w:r>
      <w:r>
        <w:rPr>
          <w:sz w:val="18"/>
        </w:rPr>
        <w:t>Kimberlé</w:t>
      </w:r>
      <w:r>
        <w:rPr>
          <w:spacing w:val="-4"/>
          <w:sz w:val="18"/>
        </w:rPr>
        <w:t xml:space="preserve"> </w:t>
      </w:r>
      <w:r>
        <w:rPr>
          <w:sz w:val="18"/>
        </w:rPr>
        <w:t>Crenshaw,</w:t>
      </w:r>
      <w:r>
        <w:rPr>
          <w:spacing w:val="-3"/>
          <w:sz w:val="18"/>
        </w:rPr>
        <w:t xml:space="preserve"> </w:t>
      </w:r>
      <w:r>
        <w:rPr>
          <w:sz w:val="18"/>
        </w:rPr>
        <w:t>“Kimberlé</w:t>
      </w:r>
      <w:r>
        <w:rPr>
          <w:spacing w:val="-4"/>
          <w:sz w:val="18"/>
        </w:rPr>
        <w:t xml:space="preserve"> </w:t>
      </w:r>
      <w:r>
        <w:rPr>
          <w:sz w:val="18"/>
        </w:rPr>
        <w:t>Crenshaw:</w:t>
      </w:r>
      <w:r>
        <w:rPr>
          <w:spacing w:val="-3"/>
          <w:sz w:val="18"/>
        </w:rPr>
        <w:t xml:space="preserve"> </w:t>
      </w:r>
      <w:r>
        <w:rPr>
          <w:sz w:val="18"/>
        </w:rPr>
        <w:t>The</w:t>
      </w:r>
      <w:r>
        <w:rPr>
          <w:spacing w:val="-4"/>
          <w:sz w:val="18"/>
        </w:rPr>
        <w:t xml:space="preserve"> </w:t>
      </w:r>
      <w:r>
        <w:rPr>
          <w:sz w:val="18"/>
        </w:rPr>
        <w:t>Urgency</w:t>
      </w:r>
      <w:r>
        <w:rPr>
          <w:spacing w:val="-3"/>
          <w:sz w:val="18"/>
        </w:rPr>
        <w:t xml:space="preserve"> </w:t>
      </w:r>
      <w:r>
        <w:rPr>
          <w:sz w:val="18"/>
        </w:rPr>
        <w:t>of</w:t>
      </w:r>
      <w:r>
        <w:rPr>
          <w:spacing w:val="-3"/>
          <w:sz w:val="18"/>
        </w:rPr>
        <w:t xml:space="preserve"> </w:t>
      </w:r>
      <w:r>
        <w:rPr>
          <w:sz w:val="18"/>
        </w:rPr>
        <w:t>Intersectionality</w:t>
      </w:r>
      <w:r>
        <w:rPr>
          <w:spacing w:val="-3"/>
          <w:sz w:val="18"/>
        </w:rPr>
        <w:t xml:space="preserve"> </w:t>
      </w:r>
      <w:r>
        <w:rPr>
          <w:sz w:val="18"/>
        </w:rPr>
        <w:t>|</w:t>
      </w:r>
      <w:r>
        <w:rPr>
          <w:spacing w:val="-2"/>
          <w:sz w:val="18"/>
        </w:rPr>
        <w:t xml:space="preserve"> </w:t>
      </w:r>
      <w:r>
        <w:rPr>
          <w:sz w:val="18"/>
        </w:rPr>
        <w:t>TED</w:t>
      </w:r>
      <w:r>
        <w:rPr>
          <w:spacing w:val="-4"/>
          <w:sz w:val="18"/>
        </w:rPr>
        <w:t xml:space="preserve"> </w:t>
      </w:r>
      <w:r>
        <w:rPr>
          <w:sz w:val="18"/>
        </w:rPr>
        <w:t>Talk,”</w:t>
      </w:r>
      <w:r>
        <w:rPr>
          <w:spacing w:val="-4"/>
          <w:sz w:val="18"/>
        </w:rPr>
        <w:t xml:space="preserve"> </w:t>
      </w:r>
      <w:r>
        <w:rPr>
          <w:sz w:val="18"/>
        </w:rPr>
        <w:t>acc</w:t>
      </w:r>
      <w:r>
        <w:rPr>
          <w:sz w:val="18"/>
        </w:rPr>
        <w:t>essed</w:t>
      </w:r>
      <w:r>
        <w:rPr>
          <w:spacing w:val="-4"/>
          <w:sz w:val="18"/>
        </w:rPr>
        <w:t xml:space="preserve"> </w:t>
      </w:r>
      <w:r>
        <w:rPr>
          <w:sz w:val="18"/>
        </w:rPr>
        <w:t>February</w:t>
      </w:r>
      <w:r>
        <w:rPr>
          <w:spacing w:val="-3"/>
          <w:sz w:val="18"/>
        </w:rPr>
        <w:t xml:space="preserve"> </w:t>
      </w:r>
      <w:r>
        <w:rPr>
          <w:sz w:val="18"/>
        </w:rPr>
        <w:t>17,</w:t>
      </w:r>
      <w:r>
        <w:rPr>
          <w:spacing w:val="-3"/>
          <w:sz w:val="18"/>
        </w:rPr>
        <w:t xml:space="preserve"> </w:t>
      </w:r>
      <w:r>
        <w:rPr>
          <w:sz w:val="18"/>
        </w:rPr>
        <w:t xml:space="preserve">2023, </w:t>
      </w:r>
      <w:r>
        <w:rPr>
          <w:spacing w:val="-2"/>
          <w:sz w:val="18"/>
        </w:rPr>
        <w:t>https://</w:t>
      </w:r>
      <w:hyperlink r:id="rId736">
        <w:r>
          <w:rPr>
            <w:spacing w:val="-2"/>
            <w:sz w:val="18"/>
          </w:rPr>
          <w:t>www.ted.com/talks/kimberle_crenshaw_the_urgency_of_intersectionality.</w:t>
        </w:r>
      </w:hyperlink>
    </w:p>
    <w:p w:rsidR="00200FDA" w:rsidRDefault="00F76C4C">
      <w:pPr>
        <w:ind w:left="140" w:right="656" w:hanging="1"/>
        <w:rPr>
          <w:sz w:val="18"/>
        </w:rPr>
      </w:pPr>
      <w:r>
        <w:rPr>
          <w:position w:val="5"/>
          <w:sz w:val="12"/>
        </w:rPr>
        <w:t>12</w:t>
      </w:r>
      <w:r>
        <w:rPr>
          <w:spacing w:val="10"/>
          <w:position w:val="5"/>
          <w:sz w:val="12"/>
        </w:rPr>
        <w:t xml:space="preserve"> </w:t>
      </w:r>
      <w:r>
        <w:rPr>
          <w:sz w:val="18"/>
        </w:rPr>
        <w:t>ORD</w:t>
      </w:r>
      <w:r>
        <w:rPr>
          <w:spacing w:val="-3"/>
          <w:sz w:val="18"/>
        </w:rPr>
        <w:t xml:space="preserve"> </w:t>
      </w:r>
      <w:r>
        <w:rPr>
          <w:sz w:val="18"/>
        </w:rPr>
        <w:t>US</w:t>
      </w:r>
      <w:r>
        <w:rPr>
          <w:spacing w:val="-3"/>
          <w:sz w:val="18"/>
        </w:rPr>
        <w:t xml:space="preserve"> </w:t>
      </w:r>
      <w:r>
        <w:rPr>
          <w:sz w:val="18"/>
        </w:rPr>
        <w:t>EPA,</w:t>
      </w:r>
      <w:r>
        <w:rPr>
          <w:spacing w:val="-2"/>
          <w:sz w:val="18"/>
        </w:rPr>
        <w:t xml:space="preserve"> </w:t>
      </w:r>
      <w:r>
        <w:rPr>
          <w:sz w:val="18"/>
        </w:rPr>
        <w:t>“EPA</w:t>
      </w:r>
      <w:r>
        <w:rPr>
          <w:spacing w:val="-3"/>
          <w:sz w:val="18"/>
        </w:rPr>
        <w:t xml:space="preserve"> </w:t>
      </w:r>
      <w:r>
        <w:rPr>
          <w:sz w:val="18"/>
        </w:rPr>
        <w:t>Researchers</w:t>
      </w:r>
      <w:r>
        <w:rPr>
          <w:spacing w:val="-3"/>
          <w:sz w:val="18"/>
        </w:rPr>
        <w:t xml:space="preserve"> </w:t>
      </w:r>
      <w:r>
        <w:rPr>
          <w:sz w:val="18"/>
        </w:rPr>
        <w:t>Release</w:t>
      </w:r>
      <w:r>
        <w:rPr>
          <w:spacing w:val="-3"/>
          <w:sz w:val="18"/>
        </w:rPr>
        <w:t xml:space="preserve"> </w:t>
      </w:r>
      <w:r>
        <w:rPr>
          <w:sz w:val="18"/>
        </w:rPr>
        <w:t>Cumulative</w:t>
      </w:r>
      <w:r>
        <w:rPr>
          <w:spacing w:val="-3"/>
          <w:sz w:val="18"/>
        </w:rPr>
        <w:t xml:space="preserve"> </w:t>
      </w:r>
      <w:r>
        <w:rPr>
          <w:sz w:val="18"/>
        </w:rPr>
        <w:t>Impacts</w:t>
      </w:r>
      <w:r>
        <w:rPr>
          <w:spacing w:val="-3"/>
          <w:sz w:val="18"/>
        </w:rPr>
        <w:t xml:space="preserve"> </w:t>
      </w:r>
      <w:r>
        <w:rPr>
          <w:sz w:val="18"/>
        </w:rPr>
        <w:t>Report,</w:t>
      </w:r>
      <w:r>
        <w:rPr>
          <w:spacing w:val="-2"/>
          <w:sz w:val="18"/>
        </w:rPr>
        <w:t xml:space="preserve"> </w:t>
      </w:r>
      <w:r>
        <w:rPr>
          <w:sz w:val="18"/>
        </w:rPr>
        <w:t>Prioritizing</w:t>
      </w:r>
      <w:r>
        <w:rPr>
          <w:spacing w:val="-3"/>
          <w:sz w:val="18"/>
        </w:rPr>
        <w:t xml:space="preserve"> </w:t>
      </w:r>
      <w:r>
        <w:rPr>
          <w:sz w:val="18"/>
        </w:rPr>
        <w:t>Environmental</w:t>
      </w:r>
      <w:r>
        <w:rPr>
          <w:spacing w:val="-3"/>
          <w:sz w:val="18"/>
        </w:rPr>
        <w:t xml:space="preserve"> </w:t>
      </w:r>
      <w:r>
        <w:rPr>
          <w:sz w:val="18"/>
        </w:rPr>
        <w:t>Justice</w:t>
      </w:r>
      <w:r>
        <w:rPr>
          <w:spacing w:val="-3"/>
          <w:sz w:val="18"/>
        </w:rPr>
        <w:t xml:space="preserve"> </w:t>
      </w:r>
      <w:r>
        <w:rPr>
          <w:sz w:val="18"/>
        </w:rPr>
        <w:t>in</w:t>
      </w:r>
      <w:r>
        <w:rPr>
          <w:spacing w:val="-3"/>
          <w:sz w:val="18"/>
        </w:rPr>
        <w:t xml:space="preserve"> </w:t>
      </w:r>
      <w:r>
        <w:rPr>
          <w:sz w:val="18"/>
        </w:rPr>
        <w:t>New</w:t>
      </w:r>
      <w:r>
        <w:rPr>
          <w:spacing w:val="-1"/>
          <w:sz w:val="18"/>
        </w:rPr>
        <w:t xml:space="preserve"> </w:t>
      </w:r>
      <w:r>
        <w:rPr>
          <w:sz w:val="18"/>
        </w:rPr>
        <w:t>Research Cycle,” Overviews and Factsheets, October 11, 2022, https://</w:t>
      </w:r>
      <w:hyperlink r:id="rId737">
        <w:r>
          <w:rPr>
            <w:sz w:val="18"/>
          </w:rPr>
          <w:t>www.epa.gov/sciencematters/epa-researchers-release-</w:t>
        </w:r>
      </w:hyperlink>
      <w:r>
        <w:rPr>
          <w:sz w:val="18"/>
        </w:rPr>
        <w:t xml:space="preserve"> </w:t>
      </w:r>
      <w:r>
        <w:rPr>
          <w:spacing w:val="-2"/>
          <w:sz w:val="18"/>
        </w:rPr>
        <w:t>cumula</w:t>
      </w:r>
      <w:r>
        <w:rPr>
          <w:spacing w:val="-2"/>
          <w:sz w:val="18"/>
        </w:rPr>
        <w:t>tive-impacts-report-prioritizing-environmental-justice.</w:t>
      </w:r>
    </w:p>
    <w:p w:rsidR="00200FDA" w:rsidRDefault="00F76C4C">
      <w:pPr>
        <w:ind w:left="140" w:hanging="1"/>
        <w:rPr>
          <w:sz w:val="18"/>
        </w:rPr>
      </w:pPr>
      <w:r>
        <w:rPr>
          <w:position w:val="5"/>
          <w:sz w:val="12"/>
        </w:rPr>
        <w:t>13</w:t>
      </w:r>
      <w:r>
        <w:rPr>
          <w:spacing w:val="9"/>
          <w:position w:val="5"/>
          <w:sz w:val="12"/>
        </w:rPr>
        <w:t xml:space="preserve"> </w:t>
      </w:r>
      <w:r>
        <w:rPr>
          <w:sz w:val="18"/>
        </w:rPr>
        <w:t>OEJECR</w:t>
      </w:r>
      <w:r>
        <w:rPr>
          <w:spacing w:val="-5"/>
          <w:sz w:val="18"/>
        </w:rPr>
        <w:t xml:space="preserve"> </w:t>
      </w:r>
      <w:r>
        <w:rPr>
          <w:sz w:val="18"/>
        </w:rPr>
        <w:t>US</w:t>
      </w:r>
      <w:r>
        <w:rPr>
          <w:spacing w:val="-4"/>
          <w:sz w:val="18"/>
        </w:rPr>
        <w:t xml:space="preserve"> </w:t>
      </w:r>
      <w:r>
        <w:rPr>
          <w:sz w:val="18"/>
        </w:rPr>
        <w:t>EPA,</w:t>
      </w:r>
      <w:r>
        <w:rPr>
          <w:spacing w:val="-3"/>
          <w:sz w:val="18"/>
        </w:rPr>
        <w:t xml:space="preserve"> </w:t>
      </w:r>
      <w:r>
        <w:rPr>
          <w:sz w:val="18"/>
        </w:rPr>
        <w:t>“EJ</w:t>
      </w:r>
      <w:r>
        <w:rPr>
          <w:spacing w:val="-3"/>
          <w:sz w:val="18"/>
        </w:rPr>
        <w:t xml:space="preserve"> </w:t>
      </w:r>
      <w:r>
        <w:rPr>
          <w:sz w:val="18"/>
        </w:rPr>
        <w:t>2020</w:t>
      </w:r>
      <w:r>
        <w:rPr>
          <w:spacing w:val="-3"/>
          <w:sz w:val="18"/>
        </w:rPr>
        <w:t xml:space="preserve"> </w:t>
      </w:r>
      <w:r>
        <w:rPr>
          <w:sz w:val="18"/>
        </w:rPr>
        <w:t>Glossary,”</w:t>
      </w:r>
      <w:r>
        <w:rPr>
          <w:spacing w:val="-4"/>
          <w:sz w:val="18"/>
        </w:rPr>
        <w:t xml:space="preserve"> </w:t>
      </w:r>
      <w:r>
        <w:rPr>
          <w:sz w:val="18"/>
        </w:rPr>
        <w:t>Data</w:t>
      </w:r>
      <w:r>
        <w:rPr>
          <w:spacing w:val="-3"/>
          <w:sz w:val="18"/>
        </w:rPr>
        <w:t xml:space="preserve"> </w:t>
      </w:r>
      <w:r>
        <w:rPr>
          <w:sz w:val="18"/>
        </w:rPr>
        <w:t>and</w:t>
      </w:r>
      <w:r>
        <w:rPr>
          <w:spacing w:val="-4"/>
          <w:sz w:val="18"/>
        </w:rPr>
        <w:t xml:space="preserve"> </w:t>
      </w:r>
      <w:r>
        <w:rPr>
          <w:sz w:val="18"/>
        </w:rPr>
        <w:t>Tools,</w:t>
      </w:r>
      <w:r>
        <w:rPr>
          <w:spacing w:val="-3"/>
          <w:sz w:val="18"/>
        </w:rPr>
        <w:t xml:space="preserve"> </w:t>
      </w:r>
      <w:r>
        <w:rPr>
          <w:sz w:val="18"/>
        </w:rPr>
        <w:t>October</w:t>
      </w:r>
      <w:r>
        <w:rPr>
          <w:spacing w:val="-4"/>
          <w:sz w:val="18"/>
        </w:rPr>
        <w:t xml:space="preserve"> </w:t>
      </w:r>
      <w:r>
        <w:rPr>
          <w:sz w:val="18"/>
        </w:rPr>
        <w:t>20,</w:t>
      </w:r>
      <w:r>
        <w:rPr>
          <w:spacing w:val="-3"/>
          <w:sz w:val="18"/>
        </w:rPr>
        <w:t xml:space="preserve"> </w:t>
      </w:r>
      <w:r>
        <w:rPr>
          <w:sz w:val="18"/>
        </w:rPr>
        <w:t>2016,</w:t>
      </w:r>
      <w:r>
        <w:rPr>
          <w:spacing w:val="-3"/>
          <w:sz w:val="18"/>
        </w:rPr>
        <w:t xml:space="preserve"> </w:t>
      </w:r>
      <w:r>
        <w:rPr>
          <w:sz w:val="18"/>
        </w:rPr>
        <w:t>https://</w:t>
      </w:r>
      <w:hyperlink r:id="rId738">
        <w:r>
          <w:rPr>
            <w:sz w:val="18"/>
          </w:rPr>
          <w:t>www.epa.gov/environmentaljustice/ej-2020-</w:t>
        </w:r>
      </w:hyperlink>
      <w:r>
        <w:rPr>
          <w:sz w:val="18"/>
        </w:rPr>
        <w:t xml:space="preserve"> </w:t>
      </w:r>
      <w:r>
        <w:rPr>
          <w:spacing w:val="-2"/>
          <w:sz w:val="18"/>
        </w:rPr>
        <w:t>glossary.</w:t>
      </w:r>
    </w:p>
    <w:p w:rsidR="00200FDA" w:rsidRDefault="00F76C4C">
      <w:pPr>
        <w:spacing w:before="1"/>
        <w:ind w:left="140" w:right="2216" w:hanging="1"/>
        <w:rPr>
          <w:sz w:val="18"/>
        </w:rPr>
      </w:pPr>
      <w:r>
        <w:rPr>
          <w:position w:val="5"/>
          <w:sz w:val="12"/>
        </w:rPr>
        <w:t>14</w:t>
      </w:r>
      <w:r>
        <w:rPr>
          <w:spacing w:val="9"/>
          <w:position w:val="5"/>
          <w:sz w:val="12"/>
        </w:rPr>
        <w:t xml:space="preserve"> </w:t>
      </w:r>
      <w:r>
        <w:rPr>
          <w:sz w:val="18"/>
        </w:rPr>
        <w:t>“Social</w:t>
      </w:r>
      <w:r>
        <w:rPr>
          <w:spacing w:val="-4"/>
          <w:sz w:val="18"/>
        </w:rPr>
        <w:t xml:space="preserve"> </w:t>
      </w:r>
      <w:r>
        <w:rPr>
          <w:sz w:val="18"/>
        </w:rPr>
        <w:t>Determinants</w:t>
      </w:r>
      <w:r>
        <w:rPr>
          <w:spacing w:val="-4"/>
          <w:sz w:val="18"/>
        </w:rPr>
        <w:t xml:space="preserve"> </w:t>
      </w:r>
      <w:r>
        <w:rPr>
          <w:sz w:val="18"/>
        </w:rPr>
        <w:t>of</w:t>
      </w:r>
      <w:r>
        <w:rPr>
          <w:spacing w:val="-3"/>
          <w:sz w:val="18"/>
        </w:rPr>
        <w:t xml:space="preserve"> </w:t>
      </w:r>
      <w:r>
        <w:rPr>
          <w:sz w:val="18"/>
        </w:rPr>
        <w:t>Health</w:t>
      </w:r>
      <w:r>
        <w:rPr>
          <w:spacing w:val="-4"/>
          <w:sz w:val="18"/>
        </w:rPr>
        <w:t xml:space="preserve"> </w:t>
      </w:r>
      <w:r>
        <w:rPr>
          <w:sz w:val="18"/>
        </w:rPr>
        <w:t>-</w:t>
      </w:r>
      <w:r>
        <w:rPr>
          <w:spacing w:val="-1"/>
          <w:sz w:val="18"/>
        </w:rPr>
        <w:t xml:space="preserve"> </w:t>
      </w:r>
      <w:r>
        <w:rPr>
          <w:sz w:val="18"/>
        </w:rPr>
        <w:t>Healthy</w:t>
      </w:r>
      <w:r>
        <w:rPr>
          <w:spacing w:val="-3"/>
          <w:sz w:val="18"/>
        </w:rPr>
        <w:t xml:space="preserve"> </w:t>
      </w:r>
      <w:r>
        <w:rPr>
          <w:sz w:val="18"/>
        </w:rPr>
        <w:t>People</w:t>
      </w:r>
      <w:r>
        <w:rPr>
          <w:spacing w:val="-4"/>
          <w:sz w:val="18"/>
        </w:rPr>
        <w:t xml:space="preserve"> </w:t>
      </w:r>
      <w:r>
        <w:rPr>
          <w:sz w:val="18"/>
        </w:rPr>
        <w:t>2030</w:t>
      </w:r>
      <w:r>
        <w:rPr>
          <w:spacing w:val="-3"/>
          <w:sz w:val="18"/>
        </w:rPr>
        <w:t xml:space="preserve"> </w:t>
      </w:r>
      <w:r>
        <w:rPr>
          <w:sz w:val="18"/>
        </w:rPr>
        <w:t>|</w:t>
      </w:r>
      <w:r>
        <w:rPr>
          <w:spacing w:val="-2"/>
          <w:sz w:val="18"/>
        </w:rPr>
        <w:t xml:space="preserve"> </w:t>
      </w:r>
      <w:r>
        <w:rPr>
          <w:sz w:val="18"/>
        </w:rPr>
        <w:t>Health.Gov,”</w:t>
      </w:r>
      <w:r>
        <w:rPr>
          <w:spacing w:val="-4"/>
          <w:sz w:val="18"/>
        </w:rPr>
        <w:t xml:space="preserve"> </w:t>
      </w:r>
      <w:r>
        <w:rPr>
          <w:sz w:val="18"/>
        </w:rPr>
        <w:t>accessed</w:t>
      </w:r>
      <w:r>
        <w:rPr>
          <w:spacing w:val="-4"/>
          <w:sz w:val="18"/>
        </w:rPr>
        <w:t xml:space="preserve"> </w:t>
      </w:r>
      <w:r>
        <w:rPr>
          <w:sz w:val="18"/>
        </w:rPr>
        <w:t>February</w:t>
      </w:r>
      <w:r>
        <w:rPr>
          <w:spacing w:val="-3"/>
          <w:sz w:val="18"/>
        </w:rPr>
        <w:t xml:space="preserve"> </w:t>
      </w:r>
      <w:r>
        <w:rPr>
          <w:sz w:val="18"/>
        </w:rPr>
        <w:t>17,</w:t>
      </w:r>
      <w:r>
        <w:rPr>
          <w:spacing w:val="-3"/>
          <w:sz w:val="18"/>
        </w:rPr>
        <w:t xml:space="preserve"> </w:t>
      </w:r>
      <w:r>
        <w:rPr>
          <w:sz w:val="18"/>
        </w:rPr>
        <w:t xml:space="preserve">2023, </w:t>
      </w:r>
      <w:r>
        <w:rPr>
          <w:spacing w:val="-2"/>
          <w:sz w:val="18"/>
        </w:rPr>
        <w:t>https://health.gov/healthypeople/priority-areas/social-determinants-health.</w:t>
      </w:r>
    </w:p>
    <w:p w:rsidR="00200FDA" w:rsidRDefault="00F76C4C">
      <w:pPr>
        <w:ind w:left="140" w:right="211" w:hanging="1"/>
        <w:jc w:val="both"/>
        <w:rPr>
          <w:sz w:val="18"/>
        </w:rPr>
      </w:pPr>
      <w:r>
        <w:rPr>
          <w:position w:val="5"/>
          <w:sz w:val="12"/>
        </w:rPr>
        <w:t>15</w:t>
      </w:r>
      <w:r>
        <w:rPr>
          <w:spacing w:val="10"/>
          <w:position w:val="5"/>
          <w:sz w:val="12"/>
        </w:rPr>
        <w:t xml:space="preserve"> </w:t>
      </w:r>
      <w:r>
        <w:rPr>
          <w:sz w:val="18"/>
        </w:rPr>
        <w:t>John</w:t>
      </w:r>
      <w:r>
        <w:rPr>
          <w:spacing w:val="-3"/>
          <w:sz w:val="18"/>
        </w:rPr>
        <w:t xml:space="preserve"> </w:t>
      </w:r>
      <w:r>
        <w:rPr>
          <w:sz w:val="18"/>
        </w:rPr>
        <w:t>D.</w:t>
      </w:r>
      <w:r>
        <w:rPr>
          <w:spacing w:val="-2"/>
          <w:sz w:val="18"/>
        </w:rPr>
        <w:t xml:space="preserve"> </w:t>
      </w:r>
      <w:r>
        <w:rPr>
          <w:sz w:val="18"/>
        </w:rPr>
        <w:t>Prochaska</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“Social Determinants</w:t>
      </w:r>
      <w:r>
        <w:rPr>
          <w:spacing w:val="-3"/>
          <w:sz w:val="18"/>
        </w:rPr>
        <w:t xml:space="preserve"> </w:t>
      </w:r>
      <w:r>
        <w:rPr>
          <w:sz w:val="18"/>
        </w:rPr>
        <w:t>of</w:t>
      </w:r>
      <w:r>
        <w:rPr>
          <w:spacing w:val="-2"/>
          <w:sz w:val="18"/>
        </w:rPr>
        <w:t xml:space="preserve"> </w:t>
      </w:r>
      <w:r>
        <w:rPr>
          <w:sz w:val="18"/>
        </w:rPr>
        <w:t>Health</w:t>
      </w:r>
      <w:r>
        <w:rPr>
          <w:spacing w:val="-1"/>
          <w:sz w:val="18"/>
        </w:rPr>
        <w:t xml:space="preserve"> </w:t>
      </w:r>
      <w:r>
        <w:rPr>
          <w:sz w:val="18"/>
        </w:rPr>
        <w:t>in</w:t>
      </w:r>
      <w:r>
        <w:rPr>
          <w:spacing w:val="-3"/>
          <w:sz w:val="18"/>
        </w:rPr>
        <w:t xml:space="preserve"> </w:t>
      </w:r>
      <w:r>
        <w:rPr>
          <w:sz w:val="18"/>
        </w:rPr>
        <w:t>Environmental</w:t>
      </w:r>
      <w:r>
        <w:rPr>
          <w:spacing w:val="-3"/>
          <w:sz w:val="18"/>
        </w:rPr>
        <w:t xml:space="preserve"> </w:t>
      </w:r>
      <w:r>
        <w:rPr>
          <w:sz w:val="18"/>
        </w:rPr>
        <w:t>Justice</w:t>
      </w:r>
      <w:r>
        <w:rPr>
          <w:spacing w:val="-3"/>
          <w:sz w:val="18"/>
        </w:rPr>
        <w:t xml:space="preserve"> </w:t>
      </w:r>
      <w:r>
        <w:rPr>
          <w:sz w:val="18"/>
        </w:rPr>
        <w:t>Communities:</w:t>
      </w:r>
      <w:r>
        <w:rPr>
          <w:spacing w:val="-2"/>
          <w:sz w:val="18"/>
        </w:rPr>
        <w:t xml:space="preserve"> </w:t>
      </w:r>
      <w:r>
        <w:rPr>
          <w:sz w:val="18"/>
        </w:rPr>
        <w:t>Examining</w:t>
      </w:r>
      <w:r>
        <w:rPr>
          <w:spacing w:val="-3"/>
          <w:sz w:val="18"/>
        </w:rPr>
        <w:t xml:space="preserve"> </w:t>
      </w:r>
      <w:r>
        <w:rPr>
          <w:sz w:val="18"/>
        </w:rPr>
        <w:t>Cumulative</w:t>
      </w:r>
      <w:r>
        <w:rPr>
          <w:spacing w:val="-3"/>
          <w:sz w:val="18"/>
        </w:rPr>
        <w:t xml:space="preserve"> </w:t>
      </w:r>
      <w:r>
        <w:rPr>
          <w:sz w:val="18"/>
        </w:rPr>
        <w:t>Risk</w:t>
      </w:r>
      <w:r>
        <w:rPr>
          <w:spacing w:val="-3"/>
          <w:sz w:val="18"/>
        </w:rPr>
        <w:t xml:space="preserve"> </w:t>
      </w:r>
      <w:r>
        <w:rPr>
          <w:sz w:val="18"/>
        </w:rPr>
        <w:t>in Terms</w:t>
      </w:r>
      <w:r>
        <w:rPr>
          <w:spacing w:val="-2"/>
          <w:sz w:val="18"/>
        </w:rPr>
        <w:t xml:space="preserve"> </w:t>
      </w:r>
      <w:r>
        <w:rPr>
          <w:sz w:val="18"/>
        </w:rPr>
        <w:t>of</w:t>
      </w:r>
      <w:r>
        <w:rPr>
          <w:spacing w:val="-1"/>
          <w:sz w:val="18"/>
        </w:rPr>
        <w:t xml:space="preserve"> </w:t>
      </w:r>
      <w:r>
        <w:rPr>
          <w:sz w:val="18"/>
        </w:rPr>
        <w:t>Environmental</w:t>
      </w:r>
      <w:r>
        <w:rPr>
          <w:spacing w:val="-2"/>
          <w:sz w:val="18"/>
        </w:rPr>
        <w:t xml:space="preserve"> </w:t>
      </w:r>
      <w:r>
        <w:rPr>
          <w:sz w:val="18"/>
        </w:rPr>
        <w:t>Exposures</w:t>
      </w:r>
      <w:r>
        <w:rPr>
          <w:spacing w:val="-2"/>
          <w:sz w:val="18"/>
        </w:rPr>
        <w:t xml:space="preserve"> </w:t>
      </w:r>
      <w:r>
        <w:rPr>
          <w:sz w:val="18"/>
        </w:rPr>
        <w:t>and Social</w:t>
      </w:r>
      <w:r>
        <w:rPr>
          <w:spacing w:val="-2"/>
          <w:sz w:val="18"/>
        </w:rPr>
        <w:t xml:space="preserve"> </w:t>
      </w:r>
      <w:r>
        <w:rPr>
          <w:sz w:val="18"/>
        </w:rPr>
        <w:t>Determinants</w:t>
      </w:r>
      <w:r>
        <w:rPr>
          <w:spacing w:val="-2"/>
          <w:sz w:val="18"/>
        </w:rPr>
        <w:t xml:space="preserve"> </w:t>
      </w:r>
      <w:r>
        <w:rPr>
          <w:sz w:val="18"/>
        </w:rPr>
        <w:t>of</w:t>
      </w:r>
      <w:r>
        <w:rPr>
          <w:spacing w:val="-1"/>
          <w:sz w:val="18"/>
        </w:rPr>
        <w:t xml:space="preserve"> </w:t>
      </w:r>
      <w:r>
        <w:rPr>
          <w:sz w:val="18"/>
        </w:rPr>
        <w:t>Health,”</w:t>
      </w:r>
      <w:r>
        <w:rPr>
          <w:spacing w:val="-2"/>
          <w:sz w:val="18"/>
        </w:rPr>
        <w:t xml:space="preserve"> </w:t>
      </w:r>
      <w:r>
        <w:rPr>
          <w:i/>
          <w:sz w:val="18"/>
        </w:rPr>
        <w:t>Human and Ecological</w:t>
      </w:r>
      <w:r>
        <w:rPr>
          <w:i/>
          <w:spacing w:val="-2"/>
          <w:sz w:val="18"/>
        </w:rPr>
        <w:t xml:space="preserve"> </w:t>
      </w:r>
      <w:r>
        <w:rPr>
          <w:i/>
          <w:sz w:val="18"/>
        </w:rPr>
        <w:t>Risk</w:t>
      </w:r>
      <w:r>
        <w:rPr>
          <w:i/>
          <w:spacing w:val="-2"/>
          <w:sz w:val="18"/>
        </w:rPr>
        <w:t xml:space="preserve"> </w:t>
      </w:r>
      <w:r>
        <w:rPr>
          <w:i/>
          <w:sz w:val="18"/>
        </w:rPr>
        <w:t>Assessment:</w:t>
      </w:r>
      <w:r>
        <w:rPr>
          <w:i/>
          <w:spacing w:val="-1"/>
          <w:sz w:val="18"/>
        </w:rPr>
        <w:t xml:space="preserve"> </w:t>
      </w:r>
      <w:r>
        <w:rPr>
          <w:i/>
          <w:sz w:val="18"/>
        </w:rPr>
        <w:t>HERA</w:t>
      </w:r>
      <w:r>
        <w:rPr>
          <w:i/>
          <w:spacing w:val="-2"/>
          <w:sz w:val="18"/>
        </w:rPr>
        <w:t xml:space="preserve"> </w:t>
      </w:r>
      <w:r>
        <w:rPr>
          <w:sz w:val="18"/>
        </w:rPr>
        <w:t>20,</w:t>
      </w:r>
      <w:r>
        <w:rPr>
          <w:spacing w:val="-1"/>
          <w:sz w:val="18"/>
        </w:rPr>
        <w:t xml:space="preserve"> </w:t>
      </w:r>
      <w:r>
        <w:rPr>
          <w:sz w:val="18"/>
        </w:rPr>
        <w:t>no.</w:t>
      </w:r>
      <w:r>
        <w:rPr>
          <w:spacing w:val="-1"/>
          <w:sz w:val="18"/>
        </w:rPr>
        <w:t xml:space="preserve"> </w:t>
      </w:r>
      <w:r>
        <w:rPr>
          <w:sz w:val="18"/>
        </w:rPr>
        <w:t>4 (2014): 980–94, https://doi.org/10.1080/10807039.2013.805957.</w:t>
      </w:r>
    </w:p>
    <w:p w:rsidR="00200FDA" w:rsidRDefault="00F76C4C">
      <w:pPr>
        <w:ind w:left="139" w:right="280"/>
        <w:jc w:val="both"/>
        <w:rPr>
          <w:sz w:val="18"/>
        </w:rPr>
      </w:pPr>
      <w:r>
        <w:rPr>
          <w:position w:val="5"/>
          <w:sz w:val="12"/>
        </w:rPr>
        <w:t>16</w:t>
      </w:r>
      <w:r>
        <w:rPr>
          <w:spacing w:val="10"/>
          <w:position w:val="5"/>
          <w:sz w:val="12"/>
        </w:rPr>
        <w:t xml:space="preserve"> </w:t>
      </w:r>
      <w:r>
        <w:rPr>
          <w:sz w:val="18"/>
        </w:rPr>
        <w:t>Leo</w:t>
      </w:r>
      <w:r>
        <w:rPr>
          <w:spacing w:val="-1"/>
          <w:sz w:val="18"/>
        </w:rPr>
        <w:t xml:space="preserve"> </w:t>
      </w:r>
      <w:r>
        <w:rPr>
          <w:sz w:val="18"/>
        </w:rPr>
        <w:t>Goldsmith</w:t>
      </w:r>
      <w:r>
        <w:rPr>
          <w:spacing w:val="-3"/>
          <w:sz w:val="18"/>
        </w:rPr>
        <w:t xml:space="preserve"> </w:t>
      </w:r>
      <w:r>
        <w:rPr>
          <w:sz w:val="18"/>
        </w:rPr>
        <w:t>and</w:t>
      </w:r>
      <w:r>
        <w:rPr>
          <w:spacing w:val="-3"/>
          <w:sz w:val="18"/>
        </w:rPr>
        <w:t xml:space="preserve"> </w:t>
      </w:r>
      <w:r>
        <w:rPr>
          <w:sz w:val="18"/>
        </w:rPr>
        <w:t>Michelle</w:t>
      </w:r>
      <w:r>
        <w:rPr>
          <w:spacing w:val="-3"/>
          <w:sz w:val="18"/>
        </w:rPr>
        <w:t xml:space="preserve"> </w:t>
      </w:r>
      <w:r>
        <w:rPr>
          <w:sz w:val="18"/>
        </w:rPr>
        <w:t>L.</w:t>
      </w:r>
      <w:r>
        <w:rPr>
          <w:spacing w:val="-2"/>
          <w:sz w:val="18"/>
        </w:rPr>
        <w:t xml:space="preserve"> </w:t>
      </w:r>
      <w:r>
        <w:rPr>
          <w:sz w:val="18"/>
        </w:rPr>
        <w:t>Bell,</w:t>
      </w:r>
      <w:r>
        <w:rPr>
          <w:spacing w:val="-2"/>
          <w:sz w:val="18"/>
        </w:rPr>
        <w:t xml:space="preserve"> </w:t>
      </w:r>
      <w:r>
        <w:rPr>
          <w:sz w:val="18"/>
        </w:rPr>
        <w:t>“Queering</w:t>
      </w:r>
      <w:r>
        <w:rPr>
          <w:spacing w:val="-3"/>
          <w:sz w:val="18"/>
        </w:rPr>
        <w:t xml:space="preserve"> </w:t>
      </w:r>
      <w:r>
        <w:rPr>
          <w:sz w:val="18"/>
        </w:rPr>
        <w:t>Environmental</w:t>
      </w:r>
      <w:r>
        <w:rPr>
          <w:spacing w:val="-3"/>
          <w:sz w:val="18"/>
        </w:rPr>
        <w:t xml:space="preserve"> </w:t>
      </w:r>
      <w:r>
        <w:rPr>
          <w:sz w:val="18"/>
        </w:rPr>
        <w:t>Justice:</w:t>
      </w:r>
      <w:r>
        <w:rPr>
          <w:spacing w:val="-2"/>
          <w:sz w:val="18"/>
        </w:rPr>
        <w:t xml:space="preserve"> </w:t>
      </w:r>
      <w:r>
        <w:rPr>
          <w:sz w:val="18"/>
        </w:rPr>
        <w:t>Unequal</w:t>
      </w:r>
      <w:r>
        <w:rPr>
          <w:spacing w:val="-3"/>
          <w:sz w:val="18"/>
        </w:rPr>
        <w:t xml:space="preserve"> </w:t>
      </w:r>
      <w:r>
        <w:rPr>
          <w:sz w:val="18"/>
        </w:rPr>
        <w:t>Environmental</w:t>
      </w:r>
      <w:r>
        <w:rPr>
          <w:spacing w:val="-3"/>
          <w:sz w:val="18"/>
        </w:rPr>
        <w:t xml:space="preserve"> </w:t>
      </w:r>
      <w:r>
        <w:rPr>
          <w:sz w:val="18"/>
        </w:rPr>
        <w:t>Health</w:t>
      </w:r>
      <w:r>
        <w:rPr>
          <w:spacing w:val="-3"/>
          <w:sz w:val="18"/>
        </w:rPr>
        <w:t xml:space="preserve"> </w:t>
      </w:r>
      <w:r>
        <w:rPr>
          <w:sz w:val="18"/>
        </w:rPr>
        <w:t>Burden</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LGBTQ+ Community,”</w:t>
      </w:r>
      <w:r>
        <w:rPr>
          <w:spacing w:val="-4"/>
          <w:sz w:val="18"/>
        </w:rPr>
        <w:t xml:space="preserve"> </w:t>
      </w:r>
      <w:r>
        <w:rPr>
          <w:i/>
          <w:sz w:val="18"/>
        </w:rPr>
        <w:t>American</w:t>
      </w:r>
      <w:r>
        <w:rPr>
          <w:i/>
          <w:spacing w:val="-2"/>
          <w:sz w:val="18"/>
        </w:rPr>
        <w:t xml:space="preserve"> </w:t>
      </w:r>
      <w:r>
        <w:rPr>
          <w:i/>
          <w:sz w:val="18"/>
        </w:rPr>
        <w:t>Journal</w:t>
      </w:r>
      <w:r>
        <w:rPr>
          <w:i/>
          <w:spacing w:val="-4"/>
          <w:sz w:val="18"/>
        </w:rPr>
        <w:t xml:space="preserve"> </w:t>
      </w:r>
      <w:r>
        <w:rPr>
          <w:i/>
          <w:sz w:val="18"/>
        </w:rPr>
        <w:t>of</w:t>
      </w:r>
      <w:r>
        <w:rPr>
          <w:i/>
          <w:spacing w:val="-3"/>
          <w:sz w:val="18"/>
        </w:rPr>
        <w:t xml:space="preserve"> </w:t>
      </w:r>
      <w:r>
        <w:rPr>
          <w:i/>
          <w:sz w:val="18"/>
        </w:rPr>
        <w:t>Public</w:t>
      </w:r>
      <w:r>
        <w:rPr>
          <w:i/>
          <w:spacing w:val="-4"/>
          <w:sz w:val="18"/>
        </w:rPr>
        <w:t xml:space="preserve"> </w:t>
      </w:r>
      <w:r>
        <w:rPr>
          <w:i/>
          <w:sz w:val="18"/>
        </w:rPr>
        <w:t>Health</w:t>
      </w:r>
      <w:r>
        <w:rPr>
          <w:i/>
          <w:spacing w:val="-3"/>
          <w:sz w:val="18"/>
        </w:rPr>
        <w:t xml:space="preserve"> </w:t>
      </w:r>
      <w:r>
        <w:rPr>
          <w:sz w:val="18"/>
        </w:rPr>
        <w:t>112,</w:t>
      </w:r>
      <w:r>
        <w:rPr>
          <w:spacing w:val="-3"/>
          <w:sz w:val="18"/>
        </w:rPr>
        <w:t xml:space="preserve"> </w:t>
      </w:r>
      <w:r>
        <w:rPr>
          <w:sz w:val="18"/>
        </w:rPr>
        <w:t>no.</w:t>
      </w:r>
      <w:r>
        <w:rPr>
          <w:spacing w:val="-3"/>
          <w:sz w:val="18"/>
        </w:rPr>
        <w:t xml:space="preserve"> </w:t>
      </w:r>
      <w:r>
        <w:rPr>
          <w:sz w:val="18"/>
        </w:rPr>
        <w:t>1</w:t>
      </w:r>
      <w:r>
        <w:rPr>
          <w:spacing w:val="-3"/>
          <w:sz w:val="18"/>
        </w:rPr>
        <w:t xml:space="preserve"> </w:t>
      </w:r>
      <w:r>
        <w:rPr>
          <w:sz w:val="18"/>
        </w:rPr>
        <w:t>(January</w:t>
      </w:r>
      <w:r>
        <w:rPr>
          <w:spacing w:val="-3"/>
          <w:sz w:val="18"/>
        </w:rPr>
        <w:t xml:space="preserve"> </w:t>
      </w:r>
      <w:r>
        <w:rPr>
          <w:sz w:val="18"/>
        </w:rPr>
        <w:t>2022):</w:t>
      </w:r>
      <w:r>
        <w:rPr>
          <w:spacing w:val="-3"/>
          <w:sz w:val="18"/>
        </w:rPr>
        <w:t xml:space="preserve"> </w:t>
      </w:r>
      <w:r>
        <w:rPr>
          <w:sz w:val="18"/>
        </w:rPr>
        <w:t>79–87,</w:t>
      </w:r>
      <w:r>
        <w:rPr>
          <w:spacing w:val="-3"/>
          <w:sz w:val="18"/>
        </w:rPr>
        <w:t xml:space="preserve"> </w:t>
      </w:r>
      <w:r>
        <w:rPr>
          <w:sz w:val="18"/>
        </w:rPr>
        <w:t xml:space="preserve">https://doi.org/10.2105/AJPH.2021.306406. </w:t>
      </w:r>
      <w:r>
        <w:rPr>
          <w:position w:val="5"/>
          <w:sz w:val="12"/>
        </w:rPr>
        <w:t>17</w:t>
      </w:r>
      <w:r>
        <w:rPr>
          <w:spacing w:val="10"/>
          <w:position w:val="5"/>
          <w:sz w:val="12"/>
        </w:rPr>
        <w:t xml:space="preserve"> </w:t>
      </w:r>
      <w:r>
        <w:rPr>
          <w:sz w:val="18"/>
        </w:rPr>
        <w:t>Leo</w:t>
      </w:r>
      <w:r>
        <w:rPr>
          <w:spacing w:val="-1"/>
          <w:sz w:val="18"/>
        </w:rPr>
        <w:t xml:space="preserve"> </w:t>
      </w:r>
      <w:r>
        <w:rPr>
          <w:sz w:val="18"/>
        </w:rPr>
        <w:t>Goldsmith</w:t>
      </w:r>
      <w:r>
        <w:rPr>
          <w:spacing w:val="-3"/>
          <w:sz w:val="18"/>
        </w:rPr>
        <w:t xml:space="preserve"> </w:t>
      </w:r>
      <w:r>
        <w:rPr>
          <w:sz w:val="18"/>
        </w:rPr>
        <w:t>and</w:t>
      </w:r>
      <w:r>
        <w:rPr>
          <w:spacing w:val="-3"/>
          <w:sz w:val="18"/>
        </w:rPr>
        <w:t xml:space="preserve"> </w:t>
      </w:r>
      <w:r>
        <w:rPr>
          <w:sz w:val="18"/>
        </w:rPr>
        <w:t>Michelle</w:t>
      </w:r>
      <w:r>
        <w:rPr>
          <w:spacing w:val="-3"/>
          <w:sz w:val="18"/>
        </w:rPr>
        <w:t xml:space="preserve"> </w:t>
      </w:r>
      <w:r>
        <w:rPr>
          <w:sz w:val="18"/>
        </w:rPr>
        <w:t>L.</w:t>
      </w:r>
      <w:r>
        <w:rPr>
          <w:spacing w:val="-2"/>
          <w:sz w:val="18"/>
        </w:rPr>
        <w:t xml:space="preserve"> </w:t>
      </w:r>
      <w:r>
        <w:rPr>
          <w:sz w:val="18"/>
        </w:rPr>
        <w:t>Bell,</w:t>
      </w:r>
      <w:r>
        <w:rPr>
          <w:spacing w:val="-2"/>
          <w:sz w:val="18"/>
        </w:rPr>
        <w:t xml:space="preserve"> </w:t>
      </w:r>
      <w:r>
        <w:rPr>
          <w:sz w:val="18"/>
        </w:rPr>
        <w:t>“Queering</w:t>
      </w:r>
      <w:r>
        <w:rPr>
          <w:spacing w:val="-3"/>
          <w:sz w:val="18"/>
        </w:rPr>
        <w:t xml:space="preserve"> </w:t>
      </w:r>
      <w:r>
        <w:rPr>
          <w:sz w:val="18"/>
        </w:rPr>
        <w:t>Environmental</w:t>
      </w:r>
      <w:r>
        <w:rPr>
          <w:spacing w:val="-3"/>
          <w:sz w:val="18"/>
        </w:rPr>
        <w:t xml:space="preserve"> </w:t>
      </w:r>
      <w:r>
        <w:rPr>
          <w:sz w:val="18"/>
        </w:rPr>
        <w:t>Justice:</w:t>
      </w:r>
      <w:r>
        <w:rPr>
          <w:spacing w:val="-2"/>
          <w:sz w:val="18"/>
        </w:rPr>
        <w:t xml:space="preserve"> </w:t>
      </w:r>
      <w:r>
        <w:rPr>
          <w:sz w:val="18"/>
        </w:rPr>
        <w:t>Unequal</w:t>
      </w:r>
      <w:r>
        <w:rPr>
          <w:spacing w:val="-3"/>
          <w:sz w:val="18"/>
        </w:rPr>
        <w:t xml:space="preserve"> </w:t>
      </w:r>
      <w:r>
        <w:rPr>
          <w:sz w:val="18"/>
        </w:rPr>
        <w:t>Environmental</w:t>
      </w:r>
      <w:r>
        <w:rPr>
          <w:spacing w:val="-3"/>
          <w:sz w:val="18"/>
        </w:rPr>
        <w:t xml:space="preserve"> </w:t>
      </w:r>
      <w:r>
        <w:rPr>
          <w:sz w:val="18"/>
        </w:rPr>
        <w:t>Health</w:t>
      </w:r>
      <w:r>
        <w:rPr>
          <w:spacing w:val="-3"/>
          <w:sz w:val="18"/>
        </w:rPr>
        <w:t xml:space="preserve"> </w:t>
      </w:r>
      <w:r>
        <w:rPr>
          <w:sz w:val="18"/>
        </w:rPr>
        <w:t>Burden</w:t>
      </w:r>
      <w:r>
        <w:rPr>
          <w:spacing w:val="-2"/>
          <w:sz w:val="18"/>
        </w:rPr>
        <w:t xml:space="preserve"> </w:t>
      </w:r>
      <w:r>
        <w:rPr>
          <w:sz w:val="18"/>
        </w:rPr>
        <w:t>on</w:t>
      </w:r>
      <w:r>
        <w:rPr>
          <w:spacing w:val="-3"/>
          <w:sz w:val="18"/>
        </w:rPr>
        <w:t xml:space="preserve"> </w:t>
      </w:r>
      <w:r>
        <w:rPr>
          <w:sz w:val="18"/>
        </w:rPr>
        <w:t>the</w:t>
      </w:r>
      <w:r>
        <w:rPr>
          <w:spacing w:val="-3"/>
          <w:sz w:val="18"/>
        </w:rPr>
        <w:t xml:space="preserve"> </w:t>
      </w:r>
      <w:r>
        <w:rPr>
          <w:sz w:val="18"/>
        </w:rPr>
        <w:t>LGBTQ+ Community,”</w:t>
      </w:r>
      <w:r>
        <w:rPr>
          <w:spacing w:val="-5"/>
          <w:sz w:val="18"/>
        </w:rPr>
        <w:t xml:space="preserve"> </w:t>
      </w:r>
      <w:r>
        <w:rPr>
          <w:i/>
          <w:sz w:val="18"/>
        </w:rPr>
        <w:t>American Journal</w:t>
      </w:r>
      <w:r>
        <w:rPr>
          <w:i/>
          <w:spacing w:val="-3"/>
          <w:sz w:val="18"/>
        </w:rPr>
        <w:t xml:space="preserve"> </w:t>
      </w:r>
      <w:r>
        <w:rPr>
          <w:i/>
          <w:sz w:val="18"/>
        </w:rPr>
        <w:t>of</w:t>
      </w:r>
      <w:r>
        <w:rPr>
          <w:i/>
          <w:spacing w:val="-1"/>
          <w:sz w:val="18"/>
        </w:rPr>
        <w:t xml:space="preserve"> </w:t>
      </w:r>
      <w:r>
        <w:rPr>
          <w:i/>
          <w:sz w:val="18"/>
        </w:rPr>
        <w:t>Public</w:t>
      </w:r>
      <w:r>
        <w:rPr>
          <w:i/>
          <w:spacing w:val="-3"/>
          <w:sz w:val="18"/>
        </w:rPr>
        <w:t xml:space="preserve"> </w:t>
      </w:r>
      <w:r>
        <w:rPr>
          <w:i/>
          <w:sz w:val="18"/>
        </w:rPr>
        <w:t>Health</w:t>
      </w:r>
      <w:r>
        <w:rPr>
          <w:i/>
          <w:spacing w:val="-1"/>
          <w:sz w:val="18"/>
        </w:rPr>
        <w:t xml:space="preserve"> </w:t>
      </w:r>
      <w:r>
        <w:rPr>
          <w:sz w:val="18"/>
        </w:rPr>
        <w:t>112,</w:t>
      </w:r>
      <w:r>
        <w:rPr>
          <w:spacing w:val="-1"/>
          <w:sz w:val="18"/>
        </w:rPr>
        <w:t xml:space="preserve"> </w:t>
      </w:r>
      <w:r>
        <w:rPr>
          <w:sz w:val="18"/>
        </w:rPr>
        <w:t>no.</w:t>
      </w:r>
      <w:r>
        <w:rPr>
          <w:spacing w:val="-2"/>
          <w:sz w:val="18"/>
        </w:rPr>
        <w:t xml:space="preserve"> </w:t>
      </w:r>
      <w:r>
        <w:rPr>
          <w:sz w:val="18"/>
        </w:rPr>
        <w:t>1</w:t>
      </w:r>
      <w:r>
        <w:rPr>
          <w:spacing w:val="-1"/>
          <w:sz w:val="18"/>
        </w:rPr>
        <w:t xml:space="preserve"> </w:t>
      </w:r>
      <w:r>
        <w:rPr>
          <w:sz w:val="18"/>
        </w:rPr>
        <w:t>(January</w:t>
      </w:r>
      <w:r>
        <w:rPr>
          <w:spacing w:val="-2"/>
          <w:sz w:val="18"/>
        </w:rPr>
        <w:t xml:space="preserve"> </w:t>
      </w:r>
      <w:r>
        <w:rPr>
          <w:sz w:val="18"/>
        </w:rPr>
        <w:t>2022):</w:t>
      </w:r>
      <w:r>
        <w:rPr>
          <w:spacing w:val="-1"/>
          <w:sz w:val="18"/>
        </w:rPr>
        <w:t xml:space="preserve"> </w:t>
      </w:r>
      <w:r>
        <w:rPr>
          <w:sz w:val="18"/>
        </w:rPr>
        <w:t>79–87,</w:t>
      </w:r>
      <w:r>
        <w:rPr>
          <w:spacing w:val="-1"/>
          <w:sz w:val="18"/>
        </w:rPr>
        <w:t xml:space="preserve"> </w:t>
      </w:r>
      <w:r>
        <w:rPr>
          <w:spacing w:val="-2"/>
          <w:sz w:val="18"/>
        </w:rPr>
        <w:t>https://doi.org/10.2105/AJPH.2021.306406.</w:t>
      </w:r>
    </w:p>
    <w:p w:rsidR="00200FDA" w:rsidRDefault="00F76C4C">
      <w:pPr>
        <w:spacing w:line="219" w:lineRule="exact"/>
        <w:ind w:left="140"/>
        <w:jc w:val="both"/>
        <w:rPr>
          <w:sz w:val="18"/>
        </w:rPr>
      </w:pPr>
      <w:r>
        <w:rPr>
          <w:position w:val="5"/>
          <w:sz w:val="12"/>
        </w:rPr>
        <w:t>18</w:t>
      </w:r>
      <w:r>
        <w:rPr>
          <w:spacing w:val="8"/>
          <w:position w:val="5"/>
          <w:sz w:val="12"/>
        </w:rPr>
        <w:t xml:space="preserve"> </w:t>
      </w:r>
      <w:r>
        <w:rPr>
          <w:sz w:val="18"/>
        </w:rPr>
        <w:t>Collins,</w:t>
      </w:r>
      <w:r>
        <w:rPr>
          <w:spacing w:val="-2"/>
          <w:sz w:val="18"/>
        </w:rPr>
        <w:t xml:space="preserve"> </w:t>
      </w:r>
      <w:r>
        <w:rPr>
          <w:sz w:val="18"/>
        </w:rPr>
        <w:t>Grineski,</w:t>
      </w:r>
      <w:r>
        <w:rPr>
          <w:spacing w:val="-1"/>
          <w:sz w:val="18"/>
        </w:rPr>
        <w:t xml:space="preserve"> </w:t>
      </w:r>
      <w:r>
        <w:rPr>
          <w:sz w:val="18"/>
        </w:rPr>
        <w:t>and</w:t>
      </w:r>
      <w:r>
        <w:rPr>
          <w:spacing w:val="-3"/>
          <w:sz w:val="18"/>
        </w:rPr>
        <w:t xml:space="preserve"> </w:t>
      </w:r>
      <w:r>
        <w:rPr>
          <w:sz w:val="18"/>
        </w:rPr>
        <w:t>Morales,</w:t>
      </w:r>
      <w:r>
        <w:rPr>
          <w:spacing w:val="-2"/>
          <w:sz w:val="18"/>
        </w:rPr>
        <w:t xml:space="preserve"> </w:t>
      </w:r>
      <w:r>
        <w:rPr>
          <w:sz w:val="18"/>
        </w:rPr>
        <w:t>“We</w:t>
      </w:r>
      <w:r>
        <w:rPr>
          <w:spacing w:val="-2"/>
          <w:sz w:val="18"/>
        </w:rPr>
        <w:t xml:space="preserve"> </w:t>
      </w:r>
      <w:r>
        <w:rPr>
          <w:sz w:val="18"/>
        </w:rPr>
        <w:t>Need</w:t>
      </w:r>
      <w:r>
        <w:rPr>
          <w:spacing w:val="-3"/>
          <w:sz w:val="18"/>
        </w:rPr>
        <w:t xml:space="preserve"> </w:t>
      </w:r>
      <w:r>
        <w:rPr>
          <w:sz w:val="18"/>
        </w:rPr>
        <w:t>E</w:t>
      </w:r>
      <w:r>
        <w:rPr>
          <w:sz w:val="18"/>
        </w:rPr>
        <w:t>nvironmental</w:t>
      </w:r>
      <w:r>
        <w:rPr>
          <w:spacing w:val="-2"/>
          <w:sz w:val="18"/>
        </w:rPr>
        <w:t xml:space="preserve"> </w:t>
      </w:r>
      <w:r>
        <w:rPr>
          <w:sz w:val="18"/>
        </w:rPr>
        <w:t>Health</w:t>
      </w:r>
      <w:r>
        <w:rPr>
          <w:spacing w:val="-3"/>
          <w:sz w:val="18"/>
        </w:rPr>
        <w:t xml:space="preserve"> </w:t>
      </w:r>
      <w:r>
        <w:rPr>
          <w:sz w:val="18"/>
        </w:rPr>
        <w:t>Justice</w:t>
      </w:r>
      <w:r>
        <w:rPr>
          <w:spacing w:val="-3"/>
          <w:sz w:val="18"/>
        </w:rPr>
        <w:t xml:space="preserve"> </w:t>
      </w:r>
      <w:r>
        <w:rPr>
          <w:sz w:val="18"/>
        </w:rPr>
        <w:t>Research</w:t>
      </w:r>
      <w:r>
        <w:rPr>
          <w:spacing w:val="-2"/>
          <w:sz w:val="18"/>
        </w:rPr>
        <w:t xml:space="preserve"> </w:t>
      </w:r>
      <w:r>
        <w:rPr>
          <w:sz w:val="18"/>
        </w:rPr>
        <w:t>and</w:t>
      </w:r>
      <w:r>
        <w:rPr>
          <w:spacing w:val="-3"/>
          <w:sz w:val="18"/>
        </w:rPr>
        <w:t xml:space="preserve"> </w:t>
      </w:r>
      <w:r>
        <w:rPr>
          <w:sz w:val="18"/>
        </w:rPr>
        <w:t>Action</w:t>
      </w:r>
      <w:r>
        <w:rPr>
          <w:spacing w:val="-2"/>
          <w:sz w:val="18"/>
        </w:rPr>
        <w:t xml:space="preserve"> </w:t>
      </w:r>
      <w:r>
        <w:rPr>
          <w:sz w:val="18"/>
        </w:rPr>
        <w:t>for</w:t>
      </w:r>
      <w:r>
        <w:rPr>
          <w:spacing w:val="-3"/>
          <w:sz w:val="18"/>
        </w:rPr>
        <w:t xml:space="preserve"> </w:t>
      </w:r>
      <w:r>
        <w:rPr>
          <w:sz w:val="18"/>
        </w:rPr>
        <w:t>LGBTQ+</w:t>
      </w:r>
      <w:r>
        <w:rPr>
          <w:spacing w:val="-2"/>
          <w:sz w:val="18"/>
        </w:rPr>
        <w:t xml:space="preserve"> People.”</w:t>
      </w:r>
    </w:p>
    <w:p w:rsidR="00200FDA" w:rsidRDefault="00F76C4C">
      <w:pPr>
        <w:ind w:left="140" w:right="218"/>
        <w:rPr>
          <w:sz w:val="18"/>
        </w:rPr>
      </w:pPr>
      <w:r>
        <w:rPr>
          <w:position w:val="5"/>
          <w:sz w:val="12"/>
        </w:rPr>
        <w:t>19</w:t>
      </w:r>
      <w:r>
        <w:rPr>
          <w:spacing w:val="18"/>
          <w:position w:val="5"/>
          <w:sz w:val="12"/>
        </w:rPr>
        <w:t xml:space="preserve"> </w:t>
      </w:r>
      <w:r>
        <w:rPr>
          <w:sz w:val="18"/>
        </w:rPr>
        <w:t>Bianca D M Wilson et al., “LGBTQ Poverty in the United States: Trends at the Onset of COVID-19” (Williams Institute, UCLA School</w:t>
      </w:r>
      <w:r>
        <w:rPr>
          <w:spacing w:val="-8"/>
          <w:sz w:val="18"/>
        </w:rPr>
        <w:t xml:space="preserve"> </w:t>
      </w:r>
      <w:r>
        <w:rPr>
          <w:sz w:val="18"/>
        </w:rPr>
        <w:t>of</w:t>
      </w:r>
      <w:r>
        <w:rPr>
          <w:spacing w:val="-8"/>
          <w:sz w:val="18"/>
        </w:rPr>
        <w:t xml:space="preserve"> </w:t>
      </w:r>
      <w:r>
        <w:rPr>
          <w:sz w:val="18"/>
        </w:rPr>
        <w:t>Law,</w:t>
      </w:r>
      <w:r>
        <w:rPr>
          <w:spacing w:val="-8"/>
          <w:sz w:val="18"/>
        </w:rPr>
        <w:t xml:space="preserve"> </w:t>
      </w:r>
      <w:r>
        <w:rPr>
          <w:sz w:val="18"/>
        </w:rPr>
        <w:t>February</w:t>
      </w:r>
      <w:r>
        <w:rPr>
          <w:spacing w:val="-8"/>
          <w:sz w:val="18"/>
        </w:rPr>
        <w:t xml:space="preserve"> </w:t>
      </w:r>
      <w:r>
        <w:rPr>
          <w:sz w:val="18"/>
        </w:rPr>
        <w:t>2023),</w:t>
      </w:r>
      <w:r>
        <w:rPr>
          <w:spacing w:val="-8"/>
          <w:sz w:val="18"/>
        </w:rPr>
        <w:t xml:space="preserve"> </w:t>
      </w:r>
      <w:r>
        <w:rPr>
          <w:sz w:val="18"/>
        </w:rPr>
        <w:t xml:space="preserve">https://williamsinstitute.law.ucla.edu/wp-content/uploads/LGBT-Poverty-COVID-Feb-2023.pdf. </w:t>
      </w:r>
      <w:r>
        <w:rPr>
          <w:position w:val="5"/>
          <w:sz w:val="12"/>
        </w:rPr>
        <w:t>20</w:t>
      </w:r>
      <w:r>
        <w:rPr>
          <w:spacing w:val="18"/>
          <w:position w:val="5"/>
          <w:sz w:val="12"/>
        </w:rPr>
        <w:t xml:space="preserve"> </w:t>
      </w:r>
      <w:r>
        <w:rPr>
          <w:sz w:val="18"/>
        </w:rPr>
        <w:t>Soon Kyu Cho, M.V. Lee Badgett, and Bianca D.M. Wilson, “State Profiles of LGBT Poverty in the United States” (Williams Institute, UCLA School of Law, December 20</w:t>
      </w:r>
      <w:r>
        <w:rPr>
          <w:sz w:val="18"/>
        </w:rPr>
        <w:t>19), https://doi.org/10.4324/9780429397868-75.</w:t>
      </w:r>
    </w:p>
    <w:p w:rsidR="00200FDA" w:rsidRDefault="00F76C4C">
      <w:pPr>
        <w:ind w:left="140" w:right="2070" w:hanging="1"/>
        <w:rPr>
          <w:sz w:val="18"/>
        </w:rPr>
      </w:pPr>
      <w:r>
        <w:rPr>
          <w:position w:val="5"/>
          <w:sz w:val="12"/>
        </w:rPr>
        <w:t>21</w:t>
      </w:r>
      <w:r>
        <w:rPr>
          <w:spacing w:val="9"/>
          <w:position w:val="5"/>
          <w:sz w:val="12"/>
        </w:rPr>
        <w:t xml:space="preserve"> </w:t>
      </w:r>
      <w:r>
        <w:rPr>
          <w:sz w:val="18"/>
        </w:rPr>
        <w:t>American</w:t>
      </w:r>
      <w:r>
        <w:rPr>
          <w:spacing w:val="-4"/>
          <w:sz w:val="18"/>
        </w:rPr>
        <w:t xml:space="preserve"> </w:t>
      </w:r>
      <w:r>
        <w:rPr>
          <w:sz w:val="18"/>
        </w:rPr>
        <w:t>Lung</w:t>
      </w:r>
      <w:r>
        <w:rPr>
          <w:spacing w:val="-4"/>
          <w:sz w:val="18"/>
        </w:rPr>
        <w:t xml:space="preserve"> </w:t>
      </w:r>
      <w:r>
        <w:rPr>
          <w:sz w:val="18"/>
        </w:rPr>
        <w:t>Association,</w:t>
      </w:r>
      <w:r>
        <w:rPr>
          <w:spacing w:val="-3"/>
          <w:sz w:val="18"/>
        </w:rPr>
        <w:t xml:space="preserve"> </w:t>
      </w:r>
      <w:r>
        <w:rPr>
          <w:sz w:val="18"/>
        </w:rPr>
        <w:t>“Disparities</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Impact</w:t>
      </w:r>
      <w:r>
        <w:rPr>
          <w:spacing w:val="-4"/>
          <w:sz w:val="18"/>
        </w:rPr>
        <w:t xml:space="preserve"> </w:t>
      </w:r>
      <w:r>
        <w:rPr>
          <w:sz w:val="18"/>
        </w:rPr>
        <w:t>of</w:t>
      </w:r>
      <w:r>
        <w:rPr>
          <w:spacing w:val="-3"/>
          <w:sz w:val="18"/>
        </w:rPr>
        <w:t xml:space="preserve"> </w:t>
      </w:r>
      <w:r>
        <w:rPr>
          <w:sz w:val="18"/>
        </w:rPr>
        <w:t>Air</w:t>
      </w:r>
      <w:r>
        <w:rPr>
          <w:spacing w:val="-3"/>
          <w:sz w:val="18"/>
        </w:rPr>
        <w:t xml:space="preserve"> </w:t>
      </w:r>
      <w:r>
        <w:rPr>
          <w:sz w:val="18"/>
        </w:rPr>
        <w:t>Pollution,”</w:t>
      </w:r>
      <w:r>
        <w:rPr>
          <w:spacing w:val="-4"/>
          <w:sz w:val="18"/>
        </w:rPr>
        <w:t xml:space="preserve"> </w:t>
      </w:r>
      <w:r>
        <w:rPr>
          <w:sz w:val="18"/>
        </w:rPr>
        <w:t>accessed</w:t>
      </w:r>
      <w:r>
        <w:rPr>
          <w:spacing w:val="-2"/>
          <w:sz w:val="18"/>
        </w:rPr>
        <w:t xml:space="preserve"> </w:t>
      </w:r>
      <w:r>
        <w:rPr>
          <w:sz w:val="18"/>
        </w:rPr>
        <w:t>February</w:t>
      </w:r>
      <w:r>
        <w:rPr>
          <w:spacing w:val="-3"/>
          <w:sz w:val="18"/>
        </w:rPr>
        <w:t xml:space="preserve"> </w:t>
      </w:r>
      <w:r>
        <w:rPr>
          <w:sz w:val="18"/>
        </w:rPr>
        <w:t>19,</w:t>
      </w:r>
      <w:r>
        <w:rPr>
          <w:spacing w:val="-3"/>
          <w:sz w:val="18"/>
        </w:rPr>
        <w:t xml:space="preserve"> </w:t>
      </w:r>
      <w:r>
        <w:rPr>
          <w:sz w:val="18"/>
        </w:rPr>
        <w:t xml:space="preserve">2023, </w:t>
      </w:r>
      <w:r>
        <w:rPr>
          <w:spacing w:val="-2"/>
          <w:sz w:val="18"/>
        </w:rPr>
        <w:t>https://</w:t>
      </w:r>
      <w:hyperlink r:id="rId739">
        <w:r>
          <w:rPr>
            <w:spacing w:val="-2"/>
            <w:sz w:val="18"/>
          </w:rPr>
          <w:t>www.lung.org</w:t>
        </w:r>
        <w:r>
          <w:rPr>
            <w:spacing w:val="-2"/>
            <w:sz w:val="18"/>
          </w:rPr>
          <w:t>/clean-air/outdoors/who-is-at-risk/disparities.</w:t>
        </w:r>
      </w:hyperlink>
    </w:p>
    <w:p w:rsidR="00200FDA" w:rsidRDefault="00200FDA">
      <w:pPr>
        <w:rPr>
          <w:sz w:val="18"/>
        </w:rPr>
        <w:sectPr w:rsidR="00200FDA">
          <w:pgSz w:w="12240" w:h="15840"/>
          <w:pgMar w:top="1380" w:right="1300" w:bottom="1540" w:left="1300" w:header="758" w:footer="1297" w:gutter="0"/>
          <w:cols w:space="720"/>
        </w:sectPr>
      </w:pPr>
    </w:p>
    <w:p w:rsidR="00200FDA" w:rsidRDefault="00200FDA">
      <w:pPr>
        <w:pStyle w:val="BodyText"/>
        <w:spacing w:before="1"/>
        <w:rPr>
          <w:sz w:val="19"/>
        </w:rPr>
      </w:pPr>
    </w:p>
    <w:p w:rsidR="00200FDA" w:rsidRDefault="00F76C4C">
      <w:pPr>
        <w:spacing w:before="69"/>
        <w:ind w:left="140"/>
        <w:rPr>
          <w:sz w:val="18"/>
        </w:rPr>
      </w:pPr>
      <w:r>
        <w:rPr>
          <w:position w:val="5"/>
          <w:sz w:val="12"/>
        </w:rPr>
        <w:t>22</w:t>
      </w:r>
      <w:r>
        <w:rPr>
          <w:spacing w:val="8"/>
          <w:position w:val="5"/>
          <w:sz w:val="12"/>
        </w:rPr>
        <w:t xml:space="preserve"> </w:t>
      </w:r>
      <w:r>
        <w:rPr>
          <w:sz w:val="18"/>
        </w:rPr>
        <w:t>Jiawen</w:t>
      </w:r>
      <w:r>
        <w:rPr>
          <w:spacing w:val="-2"/>
          <w:sz w:val="18"/>
        </w:rPr>
        <w:t xml:space="preserve"> </w:t>
      </w:r>
      <w:r>
        <w:rPr>
          <w:sz w:val="18"/>
        </w:rPr>
        <w:t>Liu</w:t>
      </w:r>
      <w:r>
        <w:rPr>
          <w:spacing w:val="-3"/>
          <w:sz w:val="18"/>
        </w:rPr>
        <w:t xml:space="preserve"> </w:t>
      </w:r>
      <w:r>
        <w:rPr>
          <w:sz w:val="18"/>
        </w:rPr>
        <w:t>et</w:t>
      </w:r>
      <w:r>
        <w:rPr>
          <w:spacing w:val="-2"/>
          <w:sz w:val="18"/>
        </w:rPr>
        <w:t xml:space="preserve"> </w:t>
      </w:r>
      <w:r>
        <w:rPr>
          <w:sz w:val="18"/>
        </w:rPr>
        <w:t>al.,</w:t>
      </w:r>
      <w:r>
        <w:rPr>
          <w:spacing w:val="-2"/>
          <w:sz w:val="18"/>
        </w:rPr>
        <w:t xml:space="preserve"> </w:t>
      </w:r>
      <w:r>
        <w:rPr>
          <w:sz w:val="18"/>
        </w:rPr>
        <w:t>“Disparities in</w:t>
      </w:r>
      <w:r>
        <w:rPr>
          <w:spacing w:val="-3"/>
          <w:sz w:val="18"/>
        </w:rPr>
        <w:t xml:space="preserve"> </w:t>
      </w:r>
      <w:r>
        <w:rPr>
          <w:sz w:val="18"/>
        </w:rPr>
        <w:t>Air</w:t>
      </w:r>
      <w:r>
        <w:rPr>
          <w:spacing w:val="-2"/>
          <w:sz w:val="18"/>
        </w:rPr>
        <w:t xml:space="preserve"> </w:t>
      </w:r>
      <w:r>
        <w:rPr>
          <w:sz w:val="18"/>
        </w:rPr>
        <w:t>Pollution</w:t>
      </w:r>
      <w:r>
        <w:rPr>
          <w:spacing w:val="-2"/>
          <w:sz w:val="18"/>
        </w:rPr>
        <w:t xml:space="preserve"> </w:t>
      </w:r>
      <w:r>
        <w:rPr>
          <w:sz w:val="18"/>
        </w:rPr>
        <w:t>Exposure</w:t>
      </w:r>
      <w:r>
        <w:rPr>
          <w:spacing w:val="-3"/>
          <w:sz w:val="18"/>
        </w:rPr>
        <w:t xml:space="preserve"> </w:t>
      </w:r>
      <w:r>
        <w:rPr>
          <w:sz w:val="18"/>
        </w:rPr>
        <w:t>in</w:t>
      </w:r>
      <w:r>
        <w:rPr>
          <w:spacing w:val="-2"/>
          <w:sz w:val="18"/>
        </w:rPr>
        <w:t xml:space="preserve"> </w:t>
      </w:r>
      <w:r>
        <w:rPr>
          <w:sz w:val="18"/>
        </w:rPr>
        <w:t>the</w:t>
      </w:r>
      <w:r>
        <w:rPr>
          <w:spacing w:val="-3"/>
          <w:sz w:val="18"/>
        </w:rPr>
        <w:t xml:space="preserve"> </w:t>
      </w:r>
      <w:r>
        <w:rPr>
          <w:sz w:val="18"/>
        </w:rPr>
        <w:t>United</w:t>
      </w:r>
      <w:r>
        <w:rPr>
          <w:spacing w:val="-2"/>
          <w:sz w:val="18"/>
        </w:rPr>
        <w:t xml:space="preserve"> </w:t>
      </w:r>
      <w:r>
        <w:rPr>
          <w:sz w:val="18"/>
        </w:rPr>
        <w:t>States</w:t>
      </w:r>
      <w:r>
        <w:rPr>
          <w:spacing w:val="-3"/>
          <w:sz w:val="18"/>
        </w:rPr>
        <w:t xml:space="preserve"> </w:t>
      </w:r>
      <w:r>
        <w:rPr>
          <w:sz w:val="18"/>
        </w:rPr>
        <w:t>by</w:t>
      </w:r>
      <w:r>
        <w:rPr>
          <w:spacing w:val="-1"/>
          <w:sz w:val="18"/>
        </w:rPr>
        <w:t xml:space="preserve"> </w:t>
      </w:r>
      <w:r>
        <w:rPr>
          <w:sz w:val="18"/>
        </w:rPr>
        <w:t>Race/Ethnicity</w:t>
      </w:r>
      <w:r>
        <w:rPr>
          <w:spacing w:val="-2"/>
          <w:sz w:val="18"/>
        </w:rPr>
        <w:t xml:space="preserve"> </w:t>
      </w:r>
      <w:r>
        <w:rPr>
          <w:sz w:val="18"/>
        </w:rPr>
        <w:t>and</w:t>
      </w:r>
      <w:r>
        <w:rPr>
          <w:spacing w:val="-2"/>
          <w:sz w:val="18"/>
        </w:rPr>
        <w:t xml:space="preserve"> </w:t>
      </w:r>
      <w:r>
        <w:rPr>
          <w:sz w:val="18"/>
        </w:rPr>
        <w:t>Income,</w:t>
      </w:r>
      <w:r>
        <w:rPr>
          <w:spacing w:val="-1"/>
          <w:sz w:val="18"/>
        </w:rPr>
        <w:t xml:space="preserve"> </w:t>
      </w:r>
      <w:r>
        <w:rPr>
          <w:spacing w:val="-2"/>
          <w:sz w:val="18"/>
        </w:rPr>
        <w:t>1990–2010,”</w:t>
      </w:r>
    </w:p>
    <w:p w:rsidR="00200FDA" w:rsidRDefault="00F76C4C">
      <w:pPr>
        <w:spacing w:before="2" w:line="219" w:lineRule="exact"/>
        <w:ind w:left="140"/>
        <w:rPr>
          <w:sz w:val="18"/>
        </w:rPr>
      </w:pPr>
      <w:r>
        <w:rPr>
          <w:i/>
          <w:sz w:val="18"/>
        </w:rPr>
        <w:t>Environmental</w:t>
      </w:r>
      <w:r>
        <w:rPr>
          <w:i/>
          <w:spacing w:val="-5"/>
          <w:sz w:val="18"/>
        </w:rPr>
        <w:t xml:space="preserve"> </w:t>
      </w:r>
      <w:r>
        <w:rPr>
          <w:i/>
          <w:sz w:val="18"/>
        </w:rPr>
        <w:t>Health</w:t>
      </w:r>
      <w:r>
        <w:rPr>
          <w:i/>
          <w:spacing w:val="-1"/>
          <w:sz w:val="18"/>
        </w:rPr>
        <w:t xml:space="preserve"> </w:t>
      </w:r>
      <w:r>
        <w:rPr>
          <w:i/>
          <w:sz w:val="18"/>
        </w:rPr>
        <w:t>Perspectives</w:t>
      </w:r>
      <w:r>
        <w:rPr>
          <w:i/>
          <w:spacing w:val="-3"/>
          <w:sz w:val="18"/>
        </w:rPr>
        <w:t xml:space="preserve"> </w:t>
      </w:r>
      <w:r>
        <w:rPr>
          <w:sz w:val="18"/>
        </w:rPr>
        <w:t>129,</w:t>
      </w:r>
      <w:r>
        <w:rPr>
          <w:spacing w:val="-2"/>
          <w:sz w:val="18"/>
        </w:rPr>
        <w:t xml:space="preserve"> </w:t>
      </w:r>
      <w:r>
        <w:rPr>
          <w:sz w:val="18"/>
        </w:rPr>
        <w:t>no.</w:t>
      </w:r>
      <w:r>
        <w:rPr>
          <w:spacing w:val="-2"/>
          <w:sz w:val="18"/>
        </w:rPr>
        <w:t xml:space="preserve"> </w:t>
      </w:r>
      <w:r>
        <w:rPr>
          <w:sz w:val="18"/>
        </w:rPr>
        <w:t>12</w:t>
      </w:r>
      <w:r>
        <w:rPr>
          <w:spacing w:val="-2"/>
          <w:sz w:val="18"/>
        </w:rPr>
        <w:t xml:space="preserve"> </w:t>
      </w:r>
      <w:r>
        <w:rPr>
          <w:sz w:val="18"/>
        </w:rPr>
        <w:t>(n.d.):</w:t>
      </w:r>
      <w:r>
        <w:rPr>
          <w:spacing w:val="-2"/>
          <w:sz w:val="18"/>
        </w:rPr>
        <w:t xml:space="preserve"> </w:t>
      </w:r>
      <w:r>
        <w:rPr>
          <w:sz w:val="18"/>
        </w:rPr>
        <w:t>127005,</w:t>
      </w:r>
      <w:r>
        <w:rPr>
          <w:spacing w:val="-1"/>
          <w:sz w:val="18"/>
        </w:rPr>
        <w:t xml:space="preserve"> </w:t>
      </w:r>
      <w:r>
        <w:rPr>
          <w:spacing w:val="-2"/>
          <w:sz w:val="18"/>
        </w:rPr>
        <w:t>https://doi.org/10.1289/EHP8584.</w:t>
      </w:r>
    </w:p>
    <w:p w:rsidR="00200FDA" w:rsidRDefault="00F76C4C">
      <w:pPr>
        <w:ind w:left="140" w:right="218" w:hanging="1"/>
        <w:rPr>
          <w:sz w:val="18"/>
        </w:rPr>
      </w:pPr>
      <w:r>
        <w:rPr>
          <w:position w:val="5"/>
          <w:sz w:val="12"/>
        </w:rPr>
        <w:t>23</w:t>
      </w:r>
      <w:r>
        <w:rPr>
          <w:spacing w:val="19"/>
          <w:position w:val="5"/>
          <w:sz w:val="12"/>
        </w:rPr>
        <w:t xml:space="preserve"> </w:t>
      </w:r>
      <w:r>
        <w:rPr>
          <w:sz w:val="18"/>
        </w:rPr>
        <w:t>Timothy W. Collins, Sara E. Grineski, and Danielle X. Morales, “Sexual Orientation, Gender, and Environmental Injustice: Unequal</w:t>
      </w:r>
      <w:r>
        <w:rPr>
          <w:spacing w:val="-3"/>
          <w:sz w:val="18"/>
        </w:rPr>
        <w:t xml:space="preserve"> </w:t>
      </w:r>
      <w:r>
        <w:rPr>
          <w:sz w:val="18"/>
        </w:rPr>
        <w:t>Carcinogenic</w:t>
      </w:r>
      <w:r>
        <w:rPr>
          <w:spacing w:val="-2"/>
          <w:sz w:val="18"/>
        </w:rPr>
        <w:t xml:space="preserve"> </w:t>
      </w:r>
      <w:r>
        <w:rPr>
          <w:sz w:val="18"/>
        </w:rPr>
        <w:t>Air</w:t>
      </w:r>
      <w:r>
        <w:rPr>
          <w:spacing w:val="-3"/>
          <w:sz w:val="18"/>
        </w:rPr>
        <w:t xml:space="preserve"> </w:t>
      </w:r>
      <w:r>
        <w:rPr>
          <w:sz w:val="18"/>
        </w:rPr>
        <w:t>Pollution</w:t>
      </w:r>
      <w:r>
        <w:rPr>
          <w:spacing w:val="-3"/>
          <w:sz w:val="18"/>
        </w:rPr>
        <w:t xml:space="preserve"> </w:t>
      </w:r>
      <w:r>
        <w:rPr>
          <w:sz w:val="18"/>
        </w:rPr>
        <w:t>Risks</w:t>
      </w:r>
      <w:r>
        <w:rPr>
          <w:spacing w:val="-3"/>
          <w:sz w:val="18"/>
        </w:rPr>
        <w:t xml:space="preserve"> </w:t>
      </w:r>
      <w:r>
        <w:rPr>
          <w:sz w:val="18"/>
        </w:rPr>
        <w:t>in</w:t>
      </w:r>
      <w:r>
        <w:rPr>
          <w:spacing w:val="-3"/>
          <w:sz w:val="18"/>
        </w:rPr>
        <w:t xml:space="preserve"> </w:t>
      </w:r>
      <w:r>
        <w:rPr>
          <w:sz w:val="18"/>
        </w:rPr>
        <w:t>Greater</w:t>
      </w:r>
      <w:r>
        <w:rPr>
          <w:spacing w:val="-3"/>
          <w:sz w:val="18"/>
        </w:rPr>
        <w:t xml:space="preserve"> </w:t>
      </w:r>
      <w:r>
        <w:rPr>
          <w:sz w:val="18"/>
        </w:rPr>
        <w:t>Houston,”</w:t>
      </w:r>
      <w:r>
        <w:rPr>
          <w:spacing w:val="-3"/>
          <w:sz w:val="18"/>
        </w:rPr>
        <w:t xml:space="preserve"> </w:t>
      </w:r>
      <w:r>
        <w:rPr>
          <w:i/>
          <w:sz w:val="18"/>
        </w:rPr>
        <w:t>Annals</w:t>
      </w:r>
      <w:r>
        <w:rPr>
          <w:i/>
          <w:spacing w:val="-3"/>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American</w:t>
      </w:r>
      <w:r>
        <w:rPr>
          <w:i/>
          <w:spacing w:val="-1"/>
          <w:sz w:val="18"/>
        </w:rPr>
        <w:t xml:space="preserve"> </w:t>
      </w:r>
      <w:r>
        <w:rPr>
          <w:i/>
          <w:sz w:val="18"/>
        </w:rPr>
        <w:t>Association</w:t>
      </w:r>
      <w:r>
        <w:rPr>
          <w:i/>
          <w:spacing w:val="-1"/>
          <w:sz w:val="18"/>
        </w:rPr>
        <w:t xml:space="preserve"> </w:t>
      </w:r>
      <w:r>
        <w:rPr>
          <w:i/>
          <w:sz w:val="18"/>
        </w:rPr>
        <w:t>of</w:t>
      </w:r>
      <w:r>
        <w:rPr>
          <w:i/>
          <w:spacing w:val="-2"/>
          <w:sz w:val="18"/>
        </w:rPr>
        <w:t xml:space="preserve"> </w:t>
      </w:r>
      <w:r>
        <w:rPr>
          <w:i/>
          <w:sz w:val="18"/>
        </w:rPr>
        <w:t>Geographers</w:t>
      </w:r>
      <w:r>
        <w:rPr>
          <w:i/>
          <w:spacing w:val="-3"/>
          <w:sz w:val="18"/>
        </w:rPr>
        <w:t xml:space="preserve"> </w:t>
      </w:r>
      <w:r>
        <w:rPr>
          <w:sz w:val="18"/>
        </w:rPr>
        <w:t>107,</w:t>
      </w:r>
      <w:r>
        <w:rPr>
          <w:spacing w:val="-2"/>
          <w:sz w:val="18"/>
        </w:rPr>
        <w:t xml:space="preserve"> </w:t>
      </w:r>
      <w:r>
        <w:rPr>
          <w:sz w:val="18"/>
        </w:rPr>
        <w:t>no.</w:t>
      </w:r>
      <w:r>
        <w:rPr>
          <w:spacing w:val="-2"/>
          <w:sz w:val="18"/>
        </w:rPr>
        <w:t xml:space="preserve"> </w:t>
      </w:r>
      <w:r>
        <w:rPr>
          <w:sz w:val="18"/>
        </w:rPr>
        <w:t>1 (January 2, 2017): 72–92, https://doi.org/10.1080/24694452.2016.1218270.</w:t>
      </w:r>
    </w:p>
    <w:p w:rsidR="00200FDA" w:rsidRDefault="00F76C4C">
      <w:pPr>
        <w:ind w:left="139" w:right="161"/>
        <w:rPr>
          <w:sz w:val="18"/>
        </w:rPr>
      </w:pPr>
      <w:r>
        <w:rPr>
          <w:position w:val="5"/>
          <w:sz w:val="12"/>
        </w:rPr>
        <w:t>24</w:t>
      </w:r>
      <w:r>
        <w:rPr>
          <w:spacing w:val="9"/>
          <w:position w:val="5"/>
          <w:sz w:val="12"/>
        </w:rPr>
        <w:t xml:space="preserve"> </w:t>
      </w:r>
      <w:r>
        <w:rPr>
          <w:sz w:val="18"/>
        </w:rPr>
        <w:t>Timothy</w:t>
      </w:r>
      <w:r>
        <w:rPr>
          <w:spacing w:val="-3"/>
          <w:sz w:val="18"/>
        </w:rPr>
        <w:t xml:space="preserve"> </w:t>
      </w:r>
      <w:r>
        <w:rPr>
          <w:sz w:val="18"/>
        </w:rPr>
        <w:t>W.</w:t>
      </w:r>
      <w:r>
        <w:rPr>
          <w:spacing w:val="-3"/>
          <w:sz w:val="18"/>
        </w:rPr>
        <w:t xml:space="preserve"> </w:t>
      </w:r>
      <w:r>
        <w:rPr>
          <w:sz w:val="18"/>
        </w:rPr>
        <w:t>Collins,</w:t>
      </w:r>
      <w:r>
        <w:rPr>
          <w:spacing w:val="-3"/>
          <w:sz w:val="18"/>
        </w:rPr>
        <w:t xml:space="preserve"> </w:t>
      </w:r>
      <w:r>
        <w:rPr>
          <w:sz w:val="18"/>
        </w:rPr>
        <w:t>Sara</w:t>
      </w:r>
      <w:r>
        <w:rPr>
          <w:spacing w:val="-3"/>
          <w:sz w:val="18"/>
        </w:rPr>
        <w:t xml:space="preserve"> </w:t>
      </w:r>
      <w:r>
        <w:rPr>
          <w:sz w:val="18"/>
        </w:rPr>
        <w:t>E.</w:t>
      </w:r>
      <w:r>
        <w:rPr>
          <w:spacing w:val="-3"/>
          <w:sz w:val="18"/>
        </w:rPr>
        <w:t xml:space="preserve"> </w:t>
      </w:r>
      <w:r>
        <w:rPr>
          <w:sz w:val="18"/>
        </w:rPr>
        <w:t>Grineski,</w:t>
      </w:r>
      <w:r>
        <w:rPr>
          <w:spacing w:val="-3"/>
          <w:sz w:val="18"/>
        </w:rPr>
        <w:t xml:space="preserve"> </w:t>
      </w:r>
      <w:r>
        <w:rPr>
          <w:sz w:val="18"/>
        </w:rPr>
        <w:t>and</w:t>
      </w:r>
      <w:r>
        <w:rPr>
          <w:spacing w:val="-4"/>
          <w:sz w:val="18"/>
        </w:rPr>
        <w:t xml:space="preserve"> </w:t>
      </w:r>
      <w:r>
        <w:rPr>
          <w:sz w:val="18"/>
        </w:rPr>
        <w:t>Danielle</w:t>
      </w:r>
      <w:r>
        <w:rPr>
          <w:spacing w:val="-4"/>
          <w:sz w:val="18"/>
        </w:rPr>
        <w:t xml:space="preserve"> </w:t>
      </w:r>
      <w:r>
        <w:rPr>
          <w:sz w:val="18"/>
        </w:rPr>
        <w:t>X.</w:t>
      </w:r>
      <w:r>
        <w:rPr>
          <w:spacing w:val="-3"/>
          <w:sz w:val="18"/>
        </w:rPr>
        <w:t xml:space="preserve"> </w:t>
      </w:r>
      <w:r>
        <w:rPr>
          <w:sz w:val="18"/>
        </w:rPr>
        <w:t>Morales,</w:t>
      </w:r>
      <w:r>
        <w:rPr>
          <w:spacing w:val="-3"/>
          <w:sz w:val="18"/>
        </w:rPr>
        <w:t xml:space="preserve"> </w:t>
      </w:r>
      <w:r>
        <w:rPr>
          <w:sz w:val="18"/>
        </w:rPr>
        <w:t>“Environmental</w:t>
      </w:r>
      <w:r>
        <w:rPr>
          <w:spacing w:val="-4"/>
          <w:sz w:val="18"/>
        </w:rPr>
        <w:t xml:space="preserve"> </w:t>
      </w:r>
      <w:r>
        <w:rPr>
          <w:sz w:val="18"/>
        </w:rPr>
        <w:t>Injustice</w:t>
      </w:r>
      <w:r>
        <w:rPr>
          <w:spacing w:val="-4"/>
          <w:sz w:val="18"/>
        </w:rPr>
        <w:t xml:space="preserve"> </w:t>
      </w:r>
      <w:r>
        <w:rPr>
          <w:sz w:val="18"/>
        </w:rPr>
        <w:t>and</w:t>
      </w:r>
      <w:r>
        <w:rPr>
          <w:spacing w:val="-2"/>
          <w:sz w:val="18"/>
        </w:rPr>
        <w:t xml:space="preserve"> </w:t>
      </w:r>
      <w:r>
        <w:rPr>
          <w:sz w:val="18"/>
        </w:rPr>
        <w:t>Sexual</w:t>
      </w:r>
      <w:r>
        <w:rPr>
          <w:spacing w:val="-1"/>
          <w:sz w:val="18"/>
        </w:rPr>
        <w:t xml:space="preserve"> </w:t>
      </w:r>
      <w:r>
        <w:rPr>
          <w:sz w:val="18"/>
        </w:rPr>
        <w:t>Minority</w:t>
      </w:r>
      <w:r>
        <w:rPr>
          <w:spacing w:val="-3"/>
          <w:sz w:val="18"/>
        </w:rPr>
        <w:t xml:space="preserve"> </w:t>
      </w:r>
      <w:r>
        <w:rPr>
          <w:sz w:val="18"/>
        </w:rPr>
        <w:t>Health</w:t>
      </w:r>
      <w:r>
        <w:rPr>
          <w:spacing w:val="-2"/>
          <w:sz w:val="18"/>
        </w:rPr>
        <w:t xml:space="preserve"> </w:t>
      </w:r>
      <w:r>
        <w:rPr>
          <w:sz w:val="18"/>
        </w:rPr>
        <w:t xml:space="preserve">Disparities: A National Study of Inequitable Health Risks from Air Pollution among Same-Sex Partners,” </w:t>
      </w:r>
      <w:r>
        <w:rPr>
          <w:i/>
          <w:sz w:val="18"/>
        </w:rPr>
        <w:t xml:space="preserve">Social Science &amp; Medicine </w:t>
      </w:r>
      <w:r>
        <w:rPr>
          <w:sz w:val="18"/>
        </w:rPr>
        <w:t>191 (October 1, 2017): 38–47, https://doi.org/10.1016/j.socscimed.2017.08.040.</w:t>
      </w:r>
    </w:p>
    <w:p w:rsidR="00200FDA" w:rsidRDefault="00F76C4C">
      <w:pPr>
        <w:spacing w:line="219" w:lineRule="exact"/>
        <w:ind w:left="140"/>
        <w:rPr>
          <w:sz w:val="18"/>
        </w:rPr>
      </w:pPr>
      <w:r>
        <w:rPr>
          <w:position w:val="5"/>
          <w:sz w:val="12"/>
        </w:rPr>
        <w:t>25</w:t>
      </w:r>
      <w:r>
        <w:rPr>
          <w:spacing w:val="7"/>
          <w:position w:val="5"/>
          <w:sz w:val="12"/>
        </w:rPr>
        <w:t xml:space="preserve"> </w:t>
      </w:r>
      <w:r>
        <w:rPr>
          <w:sz w:val="18"/>
        </w:rPr>
        <w:t>Maeve</w:t>
      </w:r>
      <w:r>
        <w:rPr>
          <w:spacing w:val="-3"/>
          <w:sz w:val="18"/>
        </w:rPr>
        <w:t xml:space="preserve"> </w:t>
      </w:r>
      <w:r>
        <w:rPr>
          <w:sz w:val="18"/>
        </w:rPr>
        <w:t>G.</w:t>
      </w:r>
      <w:r>
        <w:rPr>
          <w:spacing w:val="-2"/>
          <w:sz w:val="18"/>
        </w:rPr>
        <w:t xml:space="preserve"> </w:t>
      </w:r>
      <w:r>
        <w:rPr>
          <w:sz w:val="18"/>
        </w:rPr>
        <w:t>MacMurdo</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“Ambient</w:t>
      </w:r>
      <w:r>
        <w:rPr>
          <w:spacing w:val="-1"/>
          <w:sz w:val="18"/>
        </w:rPr>
        <w:t xml:space="preserve"> </w:t>
      </w:r>
      <w:r>
        <w:rPr>
          <w:sz w:val="18"/>
        </w:rPr>
        <w:t>Air</w:t>
      </w:r>
      <w:r>
        <w:rPr>
          <w:spacing w:val="-3"/>
          <w:sz w:val="18"/>
        </w:rPr>
        <w:t xml:space="preserve"> </w:t>
      </w:r>
      <w:r>
        <w:rPr>
          <w:sz w:val="18"/>
        </w:rPr>
        <w:t>Pollut</w:t>
      </w:r>
      <w:r>
        <w:rPr>
          <w:sz w:val="18"/>
        </w:rPr>
        <w:t>ion</w:t>
      </w:r>
      <w:r>
        <w:rPr>
          <w:spacing w:val="-3"/>
          <w:sz w:val="18"/>
        </w:rPr>
        <w:t xml:space="preserve"> </w:t>
      </w:r>
      <w:r>
        <w:rPr>
          <w:sz w:val="18"/>
        </w:rPr>
        <w:t>Exposure</w:t>
      </w:r>
      <w:r>
        <w:rPr>
          <w:spacing w:val="-3"/>
          <w:sz w:val="18"/>
        </w:rPr>
        <w:t xml:space="preserve"> </w:t>
      </w:r>
      <w:r>
        <w:rPr>
          <w:sz w:val="18"/>
        </w:rPr>
        <w:t>among</w:t>
      </w:r>
      <w:r>
        <w:rPr>
          <w:spacing w:val="-3"/>
          <w:sz w:val="18"/>
        </w:rPr>
        <w:t xml:space="preserve"> </w:t>
      </w:r>
      <w:r>
        <w:rPr>
          <w:sz w:val="18"/>
        </w:rPr>
        <w:t>Individuals</w:t>
      </w:r>
      <w:r>
        <w:rPr>
          <w:spacing w:val="-3"/>
          <w:sz w:val="18"/>
        </w:rPr>
        <w:t xml:space="preserve"> </w:t>
      </w:r>
      <w:r>
        <w:rPr>
          <w:sz w:val="18"/>
        </w:rPr>
        <w:t>Experiencing</w:t>
      </w:r>
      <w:r>
        <w:rPr>
          <w:spacing w:val="-3"/>
          <w:sz w:val="18"/>
        </w:rPr>
        <w:t xml:space="preserve"> </w:t>
      </w:r>
      <w:r>
        <w:rPr>
          <w:sz w:val="18"/>
        </w:rPr>
        <w:t>Unsheltered</w:t>
      </w:r>
      <w:r>
        <w:rPr>
          <w:spacing w:val="-3"/>
          <w:sz w:val="18"/>
        </w:rPr>
        <w:t xml:space="preserve"> </w:t>
      </w:r>
      <w:r>
        <w:rPr>
          <w:spacing w:val="-2"/>
          <w:sz w:val="18"/>
        </w:rPr>
        <w:t>Homelessness,”</w:t>
      </w:r>
    </w:p>
    <w:p w:rsidR="00200FDA" w:rsidRDefault="00F76C4C">
      <w:pPr>
        <w:spacing w:line="219" w:lineRule="exact"/>
        <w:ind w:left="140"/>
        <w:rPr>
          <w:sz w:val="18"/>
        </w:rPr>
      </w:pPr>
      <w:r>
        <w:rPr>
          <w:i/>
          <w:sz w:val="18"/>
        </w:rPr>
        <w:t>Environmental</w:t>
      </w:r>
      <w:r>
        <w:rPr>
          <w:i/>
          <w:spacing w:val="-5"/>
          <w:sz w:val="18"/>
        </w:rPr>
        <w:t xml:space="preserve"> </w:t>
      </w:r>
      <w:r>
        <w:rPr>
          <w:i/>
          <w:sz w:val="18"/>
        </w:rPr>
        <w:t>Health</w:t>
      </w:r>
      <w:r>
        <w:rPr>
          <w:i/>
          <w:spacing w:val="-1"/>
          <w:sz w:val="18"/>
        </w:rPr>
        <w:t xml:space="preserve"> </w:t>
      </w:r>
      <w:r>
        <w:rPr>
          <w:i/>
          <w:sz w:val="18"/>
        </w:rPr>
        <w:t>Perspectives</w:t>
      </w:r>
      <w:r>
        <w:rPr>
          <w:i/>
          <w:spacing w:val="-3"/>
          <w:sz w:val="18"/>
        </w:rPr>
        <w:t xml:space="preserve"> </w:t>
      </w:r>
      <w:r>
        <w:rPr>
          <w:sz w:val="18"/>
        </w:rPr>
        <w:t>130,</w:t>
      </w:r>
      <w:r>
        <w:rPr>
          <w:spacing w:val="-2"/>
          <w:sz w:val="18"/>
        </w:rPr>
        <w:t xml:space="preserve"> </w:t>
      </w:r>
      <w:r>
        <w:rPr>
          <w:sz w:val="18"/>
        </w:rPr>
        <w:t>no.</w:t>
      </w:r>
      <w:r>
        <w:rPr>
          <w:spacing w:val="-2"/>
          <w:sz w:val="18"/>
        </w:rPr>
        <w:t xml:space="preserve"> </w:t>
      </w:r>
      <w:r>
        <w:rPr>
          <w:sz w:val="18"/>
        </w:rPr>
        <w:t>2</w:t>
      </w:r>
      <w:r>
        <w:rPr>
          <w:spacing w:val="-2"/>
          <w:sz w:val="18"/>
        </w:rPr>
        <w:t xml:space="preserve"> </w:t>
      </w:r>
      <w:r>
        <w:rPr>
          <w:sz w:val="18"/>
        </w:rPr>
        <w:t>(n.d.):</w:t>
      </w:r>
      <w:r>
        <w:rPr>
          <w:spacing w:val="-2"/>
          <w:sz w:val="18"/>
        </w:rPr>
        <w:t xml:space="preserve"> </w:t>
      </w:r>
      <w:r>
        <w:rPr>
          <w:sz w:val="18"/>
        </w:rPr>
        <w:t>027701,</w:t>
      </w:r>
      <w:r>
        <w:rPr>
          <w:spacing w:val="-1"/>
          <w:sz w:val="18"/>
        </w:rPr>
        <w:t xml:space="preserve"> </w:t>
      </w:r>
      <w:r>
        <w:rPr>
          <w:spacing w:val="-2"/>
          <w:sz w:val="18"/>
        </w:rPr>
        <w:t>https://doi.org/10.1289/EHP10414.</w:t>
      </w:r>
    </w:p>
    <w:p w:rsidR="00200FDA" w:rsidRDefault="00F76C4C">
      <w:pPr>
        <w:spacing w:before="2"/>
        <w:ind w:left="140" w:hanging="1"/>
        <w:rPr>
          <w:sz w:val="18"/>
        </w:rPr>
      </w:pPr>
      <w:r>
        <w:rPr>
          <w:position w:val="5"/>
          <w:sz w:val="12"/>
        </w:rPr>
        <w:t>26</w:t>
      </w:r>
      <w:r>
        <w:rPr>
          <w:spacing w:val="10"/>
          <w:position w:val="5"/>
          <w:sz w:val="12"/>
        </w:rPr>
        <w:t xml:space="preserve"> </w:t>
      </w:r>
      <w:r>
        <w:rPr>
          <w:sz w:val="18"/>
        </w:rPr>
        <w:t>Erin</w:t>
      </w:r>
      <w:r>
        <w:rPr>
          <w:spacing w:val="-3"/>
          <w:sz w:val="18"/>
        </w:rPr>
        <w:t xml:space="preserve"> </w:t>
      </w:r>
      <w:r>
        <w:rPr>
          <w:sz w:val="18"/>
        </w:rPr>
        <w:t>Goodling,</w:t>
      </w:r>
      <w:r>
        <w:rPr>
          <w:spacing w:val="-2"/>
          <w:sz w:val="18"/>
        </w:rPr>
        <w:t xml:space="preserve"> </w:t>
      </w:r>
      <w:r>
        <w:rPr>
          <w:sz w:val="18"/>
        </w:rPr>
        <w:t>“Intersecting</w:t>
      </w:r>
      <w:r>
        <w:rPr>
          <w:spacing w:val="-3"/>
          <w:sz w:val="18"/>
        </w:rPr>
        <w:t xml:space="preserve"> </w:t>
      </w:r>
      <w:r>
        <w:rPr>
          <w:sz w:val="18"/>
        </w:rPr>
        <w:t>Hazards,</w:t>
      </w:r>
      <w:r>
        <w:rPr>
          <w:spacing w:val="-2"/>
          <w:sz w:val="18"/>
        </w:rPr>
        <w:t xml:space="preserve"> </w:t>
      </w:r>
      <w:r>
        <w:rPr>
          <w:sz w:val="18"/>
        </w:rPr>
        <w:t>Intersectional</w:t>
      </w:r>
      <w:r>
        <w:rPr>
          <w:spacing w:val="-3"/>
          <w:sz w:val="18"/>
        </w:rPr>
        <w:t xml:space="preserve"> </w:t>
      </w:r>
      <w:r>
        <w:rPr>
          <w:sz w:val="18"/>
        </w:rPr>
        <w:t>Identities:</w:t>
      </w:r>
      <w:r>
        <w:rPr>
          <w:spacing w:val="-2"/>
          <w:sz w:val="18"/>
        </w:rPr>
        <w:t xml:space="preserve"> </w:t>
      </w:r>
      <w:r>
        <w:rPr>
          <w:sz w:val="18"/>
        </w:rPr>
        <w:t>A</w:t>
      </w:r>
      <w:r>
        <w:rPr>
          <w:spacing w:val="-3"/>
          <w:sz w:val="18"/>
        </w:rPr>
        <w:t xml:space="preserve"> </w:t>
      </w:r>
      <w:r>
        <w:rPr>
          <w:sz w:val="18"/>
        </w:rPr>
        <w:t>Baseline</w:t>
      </w:r>
      <w:r>
        <w:rPr>
          <w:spacing w:val="-3"/>
          <w:sz w:val="18"/>
        </w:rPr>
        <w:t xml:space="preserve"> </w:t>
      </w:r>
      <w:r>
        <w:rPr>
          <w:sz w:val="18"/>
        </w:rPr>
        <w:t>Critical</w:t>
      </w:r>
      <w:r>
        <w:rPr>
          <w:spacing w:val="-3"/>
          <w:sz w:val="18"/>
        </w:rPr>
        <w:t xml:space="preserve"> </w:t>
      </w:r>
      <w:r>
        <w:rPr>
          <w:sz w:val="18"/>
        </w:rPr>
        <w:t>Environmental</w:t>
      </w:r>
      <w:r>
        <w:rPr>
          <w:spacing w:val="-3"/>
          <w:sz w:val="18"/>
        </w:rPr>
        <w:t xml:space="preserve"> </w:t>
      </w:r>
      <w:r>
        <w:rPr>
          <w:sz w:val="18"/>
        </w:rPr>
        <w:t>Justice</w:t>
      </w:r>
      <w:r>
        <w:rPr>
          <w:spacing w:val="-3"/>
          <w:sz w:val="18"/>
        </w:rPr>
        <w:t xml:space="preserve"> </w:t>
      </w:r>
      <w:r>
        <w:rPr>
          <w:sz w:val="18"/>
        </w:rPr>
        <w:t>Analysis</w:t>
      </w:r>
      <w:r>
        <w:rPr>
          <w:spacing w:val="-3"/>
          <w:sz w:val="18"/>
        </w:rPr>
        <w:t xml:space="preserve"> </w:t>
      </w:r>
      <w:r>
        <w:rPr>
          <w:sz w:val="18"/>
        </w:rPr>
        <w:t>of</w:t>
      </w:r>
      <w:r>
        <w:rPr>
          <w:spacing w:val="-2"/>
          <w:sz w:val="18"/>
        </w:rPr>
        <w:t xml:space="preserve"> </w:t>
      </w:r>
      <w:r>
        <w:rPr>
          <w:sz w:val="18"/>
        </w:rPr>
        <w:t xml:space="preserve">US Homelessness,” </w:t>
      </w:r>
      <w:r>
        <w:rPr>
          <w:i/>
          <w:sz w:val="18"/>
        </w:rPr>
        <w:t xml:space="preserve">Environment and Planning E: Nature and Space </w:t>
      </w:r>
      <w:r>
        <w:rPr>
          <w:sz w:val="18"/>
        </w:rPr>
        <w:t xml:space="preserve">3, no. 3 (September 1, 2020): 833–56, </w:t>
      </w:r>
      <w:r>
        <w:rPr>
          <w:spacing w:val="-2"/>
          <w:sz w:val="18"/>
        </w:rPr>
        <w:t>https://doi.org/10.1177/2514848619892433.</w:t>
      </w:r>
    </w:p>
    <w:p w:rsidR="00200FDA" w:rsidRDefault="00F76C4C">
      <w:pPr>
        <w:ind w:left="139" w:right="1869"/>
        <w:rPr>
          <w:sz w:val="18"/>
        </w:rPr>
      </w:pPr>
      <w:r>
        <w:rPr>
          <w:position w:val="5"/>
          <w:sz w:val="12"/>
        </w:rPr>
        <w:t>27</w:t>
      </w:r>
      <w:r>
        <w:rPr>
          <w:spacing w:val="9"/>
          <w:position w:val="5"/>
          <w:sz w:val="12"/>
        </w:rPr>
        <w:t xml:space="preserve"> </w:t>
      </w:r>
      <w:r>
        <w:rPr>
          <w:sz w:val="18"/>
        </w:rPr>
        <w:t>Massachusetts</w:t>
      </w:r>
      <w:r>
        <w:rPr>
          <w:spacing w:val="-4"/>
          <w:sz w:val="18"/>
        </w:rPr>
        <w:t xml:space="preserve"> </w:t>
      </w:r>
      <w:r>
        <w:rPr>
          <w:sz w:val="18"/>
        </w:rPr>
        <w:t>Commission</w:t>
      </w:r>
      <w:r>
        <w:rPr>
          <w:spacing w:val="-4"/>
          <w:sz w:val="18"/>
        </w:rPr>
        <w:t xml:space="preserve"> </w:t>
      </w:r>
      <w:r>
        <w:rPr>
          <w:sz w:val="18"/>
        </w:rPr>
        <w:t>on</w:t>
      </w:r>
      <w:r>
        <w:rPr>
          <w:spacing w:val="-4"/>
          <w:sz w:val="18"/>
        </w:rPr>
        <w:t xml:space="preserve"> </w:t>
      </w:r>
      <w:r>
        <w:rPr>
          <w:sz w:val="18"/>
        </w:rPr>
        <w:t>Unaccompanied</w:t>
      </w:r>
      <w:r>
        <w:rPr>
          <w:spacing w:val="-4"/>
          <w:sz w:val="18"/>
        </w:rPr>
        <w:t xml:space="preserve"> </w:t>
      </w:r>
      <w:r>
        <w:rPr>
          <w:sz w:val="18"/>
        </w:rPr>
        <w:t>Homeless</w:t>
      </w:r>
      <w:r>
        <w:rPr>
          <w:spacing w:val="-4"/>
          <w:sz w:val="18"/>
        </w:rPr>
        <w:t xml:space="preserve"> </w:t>
      </w:r>
      <w:r>
        <w:rPr>
          <w:sz w:val="18"/>
        </w:rPr>
        <w:t>Youth,</w:t>
      </w:r>
      <w:r>
        <w:rPr>
          <w:spacing w:val="-4"/>
          <w:sz w:val="18"/>
        </w:rPr>
        <w:t xml:space="preserve"> </w:t>
      </w:r>
      <w:r>
        <w:rPr>
          <w:sz w:val="18"/>
        </w:rPr>
        <w:t>“Massachusetts</w:t>
      </w:r>
      <w:r>
        <w:rPr>
          <w:spacing w:val="-4"/>
          <w:sz w:val="18"/>
        </w:rPr>
        <w:t xml:space="preserve"> </w:t>
      </w:r>
      <w:r>
        <w:rPr>
          <w:sz w:val="18"/>
        </w:rPr>
        <w:t>You</w:t>
      </w:r>
      <w:r>
        <w:rPr>
          <w:sz w:val="18"/>
        </w:rPr>
        <w:t>th</w:t>
      </w:r>
      <w:r>
        <w:rPr>
          <w:spacing w:val="-4"/>
          <w:sz w:val="18"/>
        </w:rPr>
        <w:t xml:space="preserve"> </w:t>
      </w:r>
      <w:r>
        <w:rPr>
          <w:sz w:val="18"/>
        </w:rPr>
        <w:t>Count,”</w:t>
      </w:r>
      <w:r>
        <w:rPr>
          <w:spacing w:val="-4"/>
          <w:sz w:val="18"/>
        </w:rPr>
        <w:t xml:space="preserve"> </w:t>
      </w:r>
      <w:r>
        <w:rPr>
          <w:sz w:val="18"/>
        </w:rPr>
        <w:t xml:space="preserve">2022, </w:t>
      </w:r>
      <w:r>
        <w:rPr>
          <w:spacing w:val="-2"/>
          <w:sz w:val="18"/>
        </w:rPr>
        <w:t>https://</w:t>
      </w:r>
      <w:hyperlink r:id="rId740">
        <w:r>
          <w:rPr>
            <w:spacing w:val="-2"/>
            <w:sz w:val="18"/>
          </w:rPr>
          <w:t>www.mass.gov/doc/2022-massachusetts-youth-count/download.</w:t>
        </w:r>
      </w:hyperlink>
    </w:p>
    <w:p w:rsidR="00200FDA" w:rsidRDefault="00F76C4C">
      <w:pPr>
        <w:ind w:left="140" w:right="161" w:hanging="1"/>
        <w:rPr>
          <w:sz w:val="18"/>
        </w:rPr>
      </w:pPr>
      <w:r>
        <w:rPr>
          <w:position w:val="5"/>
          <w:sz w:val="12"/>
        </w:rPr>
        <w:t>28</w:t>
      </w:r>
      <w:r>
        <w:rPr>
          <w:spacing w:val="10"/>
          <w:position w:val="5"/>
          <w:sz w:val="12"/>
        </w:rPr>
        <w:t xml:space="preserve"> </w:t>
      </w:r>
      <w:r>
        <w:rPr>
          <w:sz w:val="18"/>
        </w:rPr>
        <w:t>CDCTobaccoFree,</w:t>
      </w:r>
      <w:r>
        <w:rPr>
          <w:spacing w:val="-2"/>
          <w:sz w:val="18"/>
        </w:rPr>
        <w:t xml:space="preserve"> </w:t>
      </w:r>
      <w:r>
        <w:rPr>
          <w:sz w:val="18"/>
        </w:rPr>
        <w:t>“LGBTQ+</w:t>
      </w:r>
      <w:r>
        <w:rPr>
          <w:spacing w:val="-3"/>
          <w:sz w:val="18"/>
        </w:rPr>
        <w:t xml:space="preserve"> </w:t>
      </w:r>
      <w:r>
        <w:rPr>
          <w:sz w:val="18"/>
        </w:rPr>
        <w:t>People</w:t>
      </w:r>
      <w:r>
        <w:rPr>
          <w:spacing w:val="-3"/>
          <w:sz w:val="18"/>
        </w:rPr>
        <w:t xml:space="preserve"> </w:t>
      </w:r>
      <w:r>
        <w:rPr>
          <w:sz w:val="18"/>
        </w:rPr>
        <w:t>and</w:t>
      </w:r>
      <w:r>
        <w:rPr>
          <w:spacing w:val="-3"/>
          <w:sz w:val="18"/>
        </w:rPr>
        <w:t xml:space="preserve"> </w:t>
      </w:r>
      <w:r>
        <w:rPr>
          <w:sz w:val="18"/>
        </w:rPr>
        <w:t>Commercial</w:t>
      </w:r>
      <w:r>
        <w:rPr>
          <w:spacing w:val="-3"/>
          <w:sz w:val="18"/>
        </w:rPr>
        <w:t xml:space="preserve"> </w:t>
      </w:r>
      <w:r>
        <w:rPr>
          <w:sz w:val="18"/>
        </w:rPr>
        <w:t>Tobacco:</w:t>
      </w:r>
      <w:r>
        <w:rPr>
          <w:spacing w:val="-2"/>
          <w:sz w:val="18"/>
        </w:rPr>
        <w:t xml:space="preserve"> </w:t>
      </w:r>
      <w:r>
        <w:rPr>
          <w:sz w:val="18"/>
        </w:rPr>
        <w:t>Health</w:t>
      </w:r>
      <w:r>
        <w:rPr>
          <w:spacing w:val="-3"/>
          <w:sz w:val="18"/>
        </w:rPr>
        <w:t xml:space="preserve"> </w:t>
      </w:r>
      <w:r>
        <w:rPr>
          <w:sz w:val="18"/>
        </w:rPr>
        <w:t>Disparities</w:t>
      </w:r>
      <w:r>
        <w:rPr>
          <w:spacing w:val="-3"/>
          <w:sz w:val="18"/>
        </w:rPr>
        <w:t xml:space="preserve"> </w:t>
      </w:r>
      <w:r>
        <w:rPr>
          <w:sz w:val="18"/>
        </w:rPr>
        <w:t>and</w:t>
      </w:r>
      <w:r>
        <w:rPr>
          <w:spacing w:val="-3"/>
          <w:sz w:val="18"/>
        </w:rPr>
        <w:t xml:space="preserve"> </w:t>
      </w:r>
      <w:r>
        <w:rPr>
          <w:sz w:val="18"/>
        </w:rPr>
        <w:t>Ways</w:t>
      </w:r>
      <w:r>
        <w:rPr>
          <w:spacing w:val="-3"/>
          <w:sz w:val="18"/>
        </w:rPr>
        <w:t xml:space="preserve"> </w:t>
      </w:r>
      <w:r>
        <w:rPr>
          <w:sz w:val="18"/>
        </w:rPr>
        <w:t>to</w:t>
      </w:r>
      <w:r>
        <w:rPr>
          <w:spacing w:val="-1"/>
          <w:sz w:val="18"/>
        </w:rPr>
        <w:t xml:space="preserve"> </w:t>
      </w:r>
      <w:r>
        <w:rPr>
          <w:sz w:val="18"/>
        </w:rPr>
        <w:t>Advance</w:t>
      </w:r>
      <w:r>
        <w:rPr>
          <w:spacing w:val="-3"/>
          <w:sz w:val="18"/>
        </w:rPr>
        <w:t xml:space="preserve"> </w:t>
      </w:r>
      <w:r>
        <w:rPr>
          <w:sz w:val="18"/>
        </w:rPr>
        <w:t>Health</w:t>
      </w:r>
      <w:r>
        <w:rPr>
          <w:spacing w:val="-3"/>
          <w:sz w:val="18"/>
        </w:rPr>
        <w:t xml:space="preserve"> </w:t>
      </w:r>
      <w:r>
        <w:rPr>
          <w:sz w:val="18"/>
        </w:rPr>
        <w:t>Equity,”</w:t>
      </w:r>
      <w:r>
        <w:rPr>
          <w:spacing w:val="-3"/>
          <w:sz w:val="18"/>
        </w:rPr>
        <w:t xml:space="preserve"> </w:t>
      </w:r>
      <w:r>
        <w:rPr>
          <w:sz w:val="18"/>
        </w:rPr>
        <w:t>Centers for Disease Control and Prevention, June 24, 2022, https://</w:t>
      </w:r>
      <w:hyperlink r:id="rId741">
        <w:r>
          <w:rPr>
            <w:sz w:val="18"/>
          </w:rPr>
          <w:t>www.cdc.gov/tobacco/health-equity/lgbtq/index.html.</w:t>
        </w:r>
      </w:hyperlink>
    </w:p>
    <w:p w:rsidR="00200FDA" w:rsidRDefault="00F76C4C">
      <w:pPr>
        <w:ind w:left="140" w:right="654" w:hanging="1"/>
        <w:rPr>
          <w:sz w:val="18"/>
        </w:rPr>
      </w:pPr>
      <w:r>
        <w:rPr>
          <w:position w:val="5"/>
          <w:sz w:val="12"/>
        </w:rPr>
        <w:t>29</w:t>
      </w:r>
      <w:r>
        <w:rPr>
          <w:spacing w:val="8"/>
          <w:position w:val="5"/>
          <w:sz w:val="12"/>
        </w:rPr>
        <w:t xml:space="preserve"> </w:t>
      </w:r>
      <w:r>
        <w:rPr>
          <w:sz w:val="18"/>
        </w:rPr>
        <w:t>“Youth</w:t>
      </w:r>
      <w:r>
        <w:rPr>
          <w:spacing w:val="-5"/>
          <w:sz w:val="18"/>
        </w:rPr>
        <w:t xml:space="preserve"> </w:t>
      </w:r>
      <w:r>
        <w:rPr>
          <w:sz w:val="18"/>
        </w:rPr>
        <w:t>Risk</w:t>
      </w:r>
      <w:r>
        <w:rPr>
          <w:spacing w:val="-5"/>
          <w:sz w:val="18"/>
        </w:rPr>
        <w:t xml:space="preserve"> </w:t>
      </w:r>
      <w:r>
        <w:rPr>
          <w:sz w:val="18"/>
        </w:rPr>
        <w:t>Behavior</w:t>
      </w:r>
      <w:r>
        <w:rPr>
          <w:spacing w:val="-5"/>
          <w:sz w:val="18"/>
        </w:rPr>
        <w:t xml:space="preserve"> </w:t>
      </w:r>
      <w:r>
        <w:rPr>
          <w:sz w:val="18"/>
        </w:rPr>
        <w:t>Surveillance</w:t>
      </w:r>
      <w:r>
        <w:rPr>
          <w:spacing w:val="-5"/>
          <w:sz w:val="18"/>
        </w:rPr>
        <w:t xml:space="preserve"> </w:t>
      </w:r>
      <w:r>
        <w:rPr>
          <w:sz w:val="18"/>
        </w:rPr>
        <w:t>System</w:t>
      </w:r>
      <w:r>
        <w:rPr>
          <w:spacing w:val="-4"/>
          <w:sz w:val="18"/>
        </w:rPr>
        <w:t xml:space="preserve"> </w:t>
      </w:r>
      <w:r>
        <w:rPr>
          <w:sz w:val="18"/>
        </w:rPr>
        <w:t>(YBSS),”</w:t>
      </w:r>
      <w:r>
        <w:rPr>
          <w:spacing w:val="-5"/>
          <w:sz w:val="18"/>
        </w:rPr>
        <w:t xml:space="preserve"> </w:t>
      </w:r>
      <w:r>
        <w:rPr>
          <w:sz w:val="18"/>
        </w:rPr>
        <w:t>January</w:t>
      </w:r>
      <w:r>
        <w:rPr>
          <w:spacing w:val="-4"/>
          <w:sz w:val="18"/>
        </w:rPr>
        <w:t xml:space="preserve"> </w:t>
      </w:r>
      <w:r>
        <w:rPr>
          <w:sz w:val="18"/>
        </w:rPr>
        <w:t>18,</w:t>
      </w:r>
      <w:r>
        <w:rPr>
          <w:spacing w:val="-4"/>
          <w:sz w:val="18"/>
        </w:rPr>
        <w:t xml:space="preserve"> </w:t>
      </w:r>
      <w:r>
        <w:rPr>
          <w:sz w:val="18"/>
        </w:rPr>
        <w:t xml:space="preserve">2023, </w:t>
      </w:r>
      <w:r>
        <w:rPr>
          <w:spacing w:val="-2"/>
          <w:sz w:val="18"/>
        </w:rPr>
        <w:t>https:</w:t>
      </w:r>
      <w:hyperlink r:id="rId742">
        <w:r>
          <w:rPr>
            <w:spacing w:val="-2"/>
            <w:sz w:val="18"/>
          </w:rPr>
          <w:t>//w</w:t>
        </w:r>
      </w:hyperlink>
      <w:r>
        <w:rPr>
          <w:spacing w:val="-2"/>
          <w:sz w:val="18"/>
        </w:rPr>
        <w:t>ww</w:t>
      </w:r>
      <w:hyperlink r:id="rId743">
        <w:r>
          <w:rPr>
            <w:spacing w:val="-2"/>
            <w:sz w:val="18"/>
          </w:rPr>
          <w:t>.cdc.gov/healthyyouth/data/yrbs/index.htm.</w:t>
        </w:r>
      </w:hyperlink>
    </w:p>
    <w:p w:rsidR="00200FDA" w:rsidRDefault="00F76C4C">
      <w:pPr>
        <w:spacing w:line="219" w:lineRule="exact"/>
        <w:ind w:left="140"/>
        <w:rPr>
          <w:sz w:val="18"/>
        </w:rPr>
      </w:pPr>
      <w:r>
        <w:rPr>
          <w:position w:val="5"/>
          <w:sz w:val="12"/>
        </w:rPr>
        <w:t>30</w:t>
      </w:r>
      <w:r>
        <w:rPr>
          <w:spacing w:val="8"/>
          <w:position w:val="5"/>
          <w:sz w:val="12"/>
        </w:rPr>
        <w:t xml:space="preserve"> </w:t>
      </w:r>
      <w:r>
        <w:rPr>
          <w:sz w:val="18"/>
        </w:rPr>
        <w:t>Wendy</w:t>
      </w:r>
      <w:r>
        <w:rPr>
          <w:spacing w:val="-2"/>
          <w:sz w:val="18"/>
        </w:rPr>
        <w:t xml:space="preserve"> </w:t>
      </w:r>
      <w:r>
        <w:rPr>
          <w:sz w:val="18"/>
        </w:rPr>
        <w:t>B.</w:t>
      </w:r>
      <w:r>
        <w:rPr>
          <w:spacing w:val="-1"/>
          <w:sz w:val="18"/>
        </w:rPr>
        <w:t xml:space="preserve"> </w:t>
      </w:r>
      <w:r>
        <w:rPr>
          <w:sz w:val="18"/>
        </w:rPr>
        <w:t>Max</w:t>
      </w:r>
      <w:r>
        <w:rPr>
          <w:spacing w:val="-3"/>
          <w:sz w:val="18"/>
        </w:rPr>
        <w:t xml:space="preserve"> </w:t>
      </w:r>
      <w:r>
        <w:rPr>
          <w:sz w:val="18"/>
        </w:rPr>
        <w:t>et</w:t>
      </w:r>
      <w:r>
        <w:rPr>
          <w:spacing w:val="-2"/>
          <w:sz w:val="18"/>
        </w:rPr>
        <w:t xml:space="preserve"> </w:t>
      </w:r>
      <w:r>
        <w:rPr>
          <w:sz w:val="18"/>
        </w:rPr>
        <w:t>al.,</w:t>
      </w:r>
      <w:r>
        <w:rPr>
          <w:spacing w:val="-2"/>
          <w:sz w:val="18"/>
        </w:rPr>
        <w:t xml:space="preserve"> </w:t>
      </w:r>
      <w:r>
        <w:rPr>
          <w:sz w:val="18"/>
        </w:rPr>
        <w:t>“</w:t>
      </w:r>
      <w:r>
        <w:rPr>
          <w:sz w:val="18"/>
        </w:rPr>
        <w:t>Sexual</w:t>
      </w:r>
      <w:r>
        <w:rPr>
          <w:spacing w:val="-2"/>
          <w:sz w:val="18"/>
        </w:rPr>
        <w:t xml:space="preserve"> </w:t>
      </w:r>
      <w:r>
        <w:rPr>
          <w:sz w:val="18"/>
        </w:rPr>
        <w:t>Identity</w:t>
      </w:r>
      <w:r>
        <w:rPr>
          <w:spacing w:val="-2"/>
          <w:sz w:val="18"/>
        </w:rPr>
        <w:t xml:space="preserve"> </w:t>
      </w:r>
      <w:r>
        <w:rPr>
          <w:sz w:val="18"/>
        </w:rPr>
        <w:t>Disparities</w:t>
      </w:r>
      <w:r>
        <w:rPr>
          <w:spacing w:val="-2"/>
          <w:sz w:val="18"/>
        </w:rPr>
        <w:t xml:space="preserve"> </w:t>
      </w:r>
      <w:r>
        <w:rPr>
          <w:sz w:val="18"/>
        </w:rPr>
        <w:t>in</w:t>
      </w:r>
      <w:r>
        <w:rPr>
          <w:spacing w:val="-3"/>
          <w:sz w:val="18"/>
        </w:rPr>
        <w:t xml:space="preserve"> </w:t>
      </w:r>
      <w:r>
        <w:rPr>
          <w:sz w:val="18"/>
        </w:rPr>
        <w:t>Smoking</w:t>
      </w:r>
      <w:r>
        <w:rPr>
          <w:spacing w:val="-2"/>
          <w:sz w:val="18"/>
        </w:rPr>
        <w:t xml:space="preserve"> </w:t>
      </w:r>
      <w:r>
        <w:rPr>
          <w:sz w:val="18"/>
        </w:rPr>
        <w:t>and</w:t>
      </w:r>
      <w:r>
        <w:rPr>
          <w:spacing w:val="-1"/>
          <w:sz w:val="18"/>
        </w:rPr>
        <w:t xml:space="preserve"> </w:t>
      </w:r>
      <w:r>
        <w:rPr>
          <w:sz w:val="18"/>
        </w:rPr>
        <w:t>Secondhand</w:t>
      </w:r>
      <w:r>
        <w:rPr>
          <w:spacing w:val="-2"/>
          <w:sz w:val="18"/>
        </w:rPr>
        <w:t xml:space="preserve"> </w:t>
      </w:r>
      <w:r>
        <w:rPr>
          <w:sz w:val="18"/>
        </w:rPr>
        <w:t>Smoke</w:t>
      </w:r>
      <w:r>
        <w:rPr>
          <w:spacing w:val="-3"/>
          <w:sz w:val="18"/>
        </w:rPr>
        <w:t xml:space="preserve"> </w:t>
      </w:r>
      <w:r>
        <w:rPr>
          <w:sz w:val="18"/>
        </w:rPr>
        <w:t>Exposure</w:t>
      </w:r>
      <w:r>
        <w:rPr>
          <w:spacing w:val="-2"/>
          <w:sz w:val="18"/>
        </w:rPr>
        <w:t xml:space="preserve"> </w:t>
      </w:r>
      <w:r>
        <w:rPr>
          <w:sz w:val="18"/>
        </w:rPr>
        <w:t>in</w:t>
      </w:r>
      <w:r>
        <w:rPr>
          <w:spacing w:val="-3"/>
          <w:sz w:val="18"/>
        </w:rPr>
        <w:t xml:space="preserve"> </w:t>
      </w:r>
      <w:r>
        <w:rPr>
          <w:sz w:val="18"/>
        </w:rPr>
        <w:t>California:</w:t>
      </w:r>
      <w:r>
        <w:rPr>
          <w:spacing w:val="-1"/>
          <w:sz w:val="18"/>
        </w:rPr>
        <w:t xml:space="preserve"> </w:t>
      </w:r>
      <w:r>
        <w:rPr>
          <w:spacing w:val="-2"/>
          <w:sz w:val="18"/>
        </w:rPr>
        <w:t>2003–2013,”</w:t>
      </w:r>
    </w:p>
    <w:p w:rsidR="00200FDA" w:rsidRDefault="00F76C4C">
      <w:pPr>
        <w:spacing w:line="219" w:lineRule="exact"/>
        <w:ind w:left="139"/>
        <w:rPr>
          <w:sz w:val="18"/>
        </w:rPr>
      </w:pPr>
      <w:r>
        <w:rPr>
          <w:i/>
          <w:sz w:val="18"/>
        </w:rPr>
        <w:t>American</w:t>
      </w:r>
      <w:r>
        <w:rPr>
          <w:i/>
          <w:spacing w:val="-3"/>
          <w:sz w:val="18"/>
        </w:rPr>
        <w:t xml:space="preserve"> </w:t>
      </w:r>
      <w:r>
        <w:rPr>
          <w:i/>
          <w:sz w:val="18"/>
        </w:rPr>
        <w:t>Journal</w:t>
      </w:r>
      <w:r>
        <w:rPr>
          <w:i/>
          <w:spacing w:val="-2"/>
          <w:sz w:val="18"/>
        </w:rPr>
        <w:t xml:space="preserve"> </w:t>
      </w:r>
      <w:r>
        <w:rPr>
          <w:i/>
          <w:sz w:val="18"/>
        </w:rPr>
        <w:t>of</w:t>
      </w:r>
      <w:r>
        <w:rPr>
          <w:i/>
          <w:spacing w:val="-1"/>
          <w:sz w:val="18"/>
        </w:rPr>
        <w:t xml:space="preserve"> </w:t>
      </w:r>
      <w:r>
        <w:rPr>
          <w:i/>
          <w:sz w:val="18"/>
        </w:rPr>
        <w:t>Public</w:t>
      </w:r>
      <w:r>
        <w:rPr>
          <w:i/>
          <w:spacing w:val="-2"/>
          <w:sz w:val="18"/>
        </w:rPr>
        <w:t xml:space="preserve"> </w:t>
      </w:r>
      <w:r>
        <w:rPr>
          <w:i/>
          <w:sz w:val="18"/>
        </w:rPr>
        <w:t>Health</w:t>
      </w:r>
      <w:r>
        <w:rPr>
          <w:i/>
          <w:spacing w:val="-1"/>
          <w:sz w:val="18"/>
        </w:rPr>
        <w:t xml:space="preserve"> </w:t>
      </w:r>
      <w:r>
        <w:rPr>
          <w:sz w:val="18"/>
        </w:rPr>
        <w:t>106,</w:t>
      </w:r>
      <w:r>
        <w:rPr>
          <w:spacing w:val="-2"/>
          <w:sz w:val="18"/>
        </w:rPr>
        <w:t xml:space="preserve"> </w:t>
      </w:r>
      <w:r>
        <w:rPr>
          <w:sz w:val="18"/>
        </w:rPr>
        <w:t>no.</w:t>
      </w:r>
      <w:r>
        <w:rPr>
          <w:spacing w:val="-1"/>
          <w:sz w:val="18"/>
        </w:rPr>
        <w:t xml:space="preserve"> </w:t>
      </w:r>
      <w:r>
        <w:rPr>
          <w:sz w:val="18"/>
        </w:rPr>
        <w:t>6</w:t>
      </w:r>
      <w:r>
        <w:rPr>
          <w:spacing w:val="-1"/>
          <w:sz w:val="18"/>
        </w:rPr>
        <w:t xml:space="preserve"> </w:t>
      </w:r>
      <w:r>
        <w:rPr>
          <w:sz w:val="18"/>
        </w:rPr>
        <w:t>(June</w:t>
      </w:r>
      <w:r>
        <w:rPr>
          <w:spacing w:val="-2"/>
          <w:sz w:val="18"/>
        </w:rPr>
        <w:t xml:space="preserve"> </w:t>
      </w:r>
      <w:r>
        <w:rPr>
          <w:sz w:val="18"/>
        </w:rPr>
        <w:t>2016):</w:t>
      </w:r>
      <w:r>
        <w:rPr>
          <w:spacing w:val="-1"/>
          <w:sz w:val="18"/>
        </w:rPr>
        <w:t xml:space="preserve"> </w:t>
      </w:r>
      <w:r>
        <w:rPr>
          <w:sz w:val="18"/>
        </w:rPr>
        <w:t>1136–42,</w:t>
      </w:r>
      <w:r>
        <w:rPr>
          <w:spacing w:val="-1"/>
          <w:sz w:val="18"/>
        </w:rPr>
        <w:t xml:space="preserve"> </w:t>
      </w:r>
      <w:r>
        <w:rPr>
          <w:spacing w:val="-2"/>
          <w:sz w:val="18"/>
        </w:rPr>
        <w:t>https://doi.org/10.2105/AJPH.2016.303071.</w:t>
      </w:r>
    </w:p>
    <w:p w:rsidR="00200FDA" w:rsidRDefault="00F76C4C">
      <w:pPr>
        <w:spacing w:before="1"/>
        <w:ind w:left="140"/>
        <w:rPr>
          <w:sz w:val="18"/>
        </w:rPr>
      </w:pPr>
      <w:r>
        <w:rPr>
          <w:position w:val="5"/>
          <w:sz w:val="12"/>
        </w:rPr>
        <w:t>31</w:t>
      </w:r>
      <w:r>
        <w:rPr>
          <w:spacing w:val="10"/>
          <w:position w:val="5"/>
          <w:sz w:val="12"/>
        </w:rPr>
        <w:t xml:space="preserve"> </w:t>
      </w:r>
      <w:r>
        <w:rPr>
          <w:sz w:val="18"/>
        </w:rPr>
        <w:t>Amanda</w:t>
      </w:r>
      <w:r>
        <w:rPr>
          <w:spacing w:val="-2"/>
          <w:sz w:val="18"/>
        </w:rPr>
        <w:t xml:space="preserve"> </w:t>
      </w:r>
      <w:r>
        <w:rPr>
          <w:sz w:val="18"/>
        </w:rPr>
        <w:t>Fallin et</w:t>
      </w:r>
      <w:r>
        <w:rPr>
          <w:spacing w:val="-3"/>
          <w:sz w:val="18"/>
        </w:rPr>
        <w:t xml:space="preserve"> </w:t>
      </w:r>
      <w:r>
        <w:rPr>
          <w:sz w:val="18"/>
        </w:rPr>
        <w:t>al.,</w:t>
      </w:r>
      <w:r>
        <w:rPr>
          <w:spacing w:val="-1"/>
          <w:sz w:val="18"/>
        </w:rPr>
        <w:t xml:space="preserve"> </w:t>
      </w:r>
      <w:r>
        <w:rPr>
          <w:sz w:val="18"/>
        </w:rPr>
        <w:t>“Secondhand</w:t>
      </w:r>
      <w:r>
        <w:rPr>
          <w:spacing w:val="-3"/>
          <w:sz w:val="18"/>
        </w:rPr>
        <w:t xml:space="preserve"> </w:t>
      </w:r>
      <w:r>
        <w:rPr>
          <w:sz w:val="18"/>
        </w:rPr>
        <w:t>Smoke</w:t>
      </w:r>
      <w:r>
        <w:rPr>
          <w:spacing w:val="-2"/>
          <w:sz w:val="18"/>
        </w:rPr>
        <w:t xml:space="preserve"> </w:t>
      </w:r>
      <w:r>
        <w:rPr>
          <w:sz w:val="18"/>
        </w:rPr>
        <w:t>Exposure</w:t>
      </w:r>
      <w:r>
        <w:rPr>
          <w:spacing w:val="-3"/>
          <w:sz w:val="18"/>
        </w:rPr>
        <w:t xml:space="preserve"> </w:t>
      </w:r>
      <w:r>
        <w:rPr>
          <w:sz w:val="18"/>
        </w:rPr>
        <w:t>Among</w:t>
      </w:r>
      <w:r>
        <w:rPr>
          <w:spacing w:val="-3"/>
          <w:sz w:val="18"/>
        </w:rPr>
        <w:t xml:space="preserve"> </w:t>
      </w:r>
      <w:r>
        <w:rPr>
          <w:sz w:val="18"/>
        </w:rPr>
        <w:t>Young Adult</w:t>
      </w:r>
      <w:r>
        <w:rPr>
          <w:spacing w:val="-3"/>
          <w:sz w:val="18"/>
        </w:rPr>
        <w:t xml:space="preserve"> </w:t>
      </w:r>
      <w:r>
        <w:rPr>
          <w:sz w:val="18"/>
        </w:rPr>
        <w:t>Sexual</w:t>
      </w:r>
      <w:r>
        <w:rPr>
          <w:spacing w:val="-2"/>
          <w:sz w:val="18"/>
        </w:rPr>
        <w:t xml:space="preserve"> </w:t>
      </w:r>
      <w:r>
        <w:rPr>
          <w:sz w:val="18"/>
        </w:rPr>
        <w:t>Minority</w:t>
      </w:r>
      <w:r>
        <w:rPr>
          <w:spacing w:val="-2"/>
          <w:sz w:val="18"/>
        </w:rPr>
        <w:t xml:space="preserve"> </w:t>
      </w:r>
      <w:r>
        <w:rPr>
          <w:sz w:val="18"/>
        </w:rPr>
        <w:t>Bar</w:t>
      </w:r>
      <w:r>
        <w:rPr>
          <w:spacing w:val="-2"/>
          <w:sz w:val="18"/>
        </w:rPr>
        <w:t xml:space="preserve"> </w:t>
      </w:r>
      <w:r>
        <w:rPr>
          <w:sz w:val="18"/>
        </w:rPr>
        <w:t>and</w:t>
      </w:r>
      <w:r>
        <w:rPr>
          <w:spacing w:val="-3"/>
          <w:sz w:val="18"/>
        </w:rPr>
        <w:t xml:space="preserve"> </w:t>
      </w:r>
      <w:r>
        <w:rPr>
          <w:sz w:val="18"/>
        </w:rPr>
        <w:t>Nightclub</w:t>
      </w:r>
      <w:r>
        <w:rPr>
          <w:spacing w:val="-2"/>
          <w:sz w:val="18"/>
        </w:rPr>
        <w:t xml:space="preserve"> Patrons,”</w:t>
      </w:r>
    </w:p>
    <w:p w:rsidR="00200FDA" w:rsidRDefault="00F76C4C">
      <w:pPr>
        <w:spacing w:before="1" w:line="219" w:lineRule="exact"/>
        <w:ind w:left="140"/>
        <w:rPr>
          <w:sz w:val="18"/>
        </w:rPr>
      </w:pPr>
      <w:r>
        <w:rPr>
          <w:i/>
          <w:sz w:val="18"/>
        </w:rPr>
        <w:t>American</w:t>
      </w:r>
      <w:r>
        <w:rPr>
          <w:i/>
          <w:spacing w:val="-3"/>
          <w:sz w:val="18"/>
        </w:rPr>
        <w:t xml:space="preserve"> </w:t>
      </w:r>
      <w:r>
        <w:rPr>
          <w:i/>
          <w:sz w:val="18"/>
        </w:rPr>
        <w:t>Journal</w:t>
      </w:r>
      <w:r>
        <w:rPr>
          <w:i/>
          <w:spacing w:val="-3"/>
          <w:sz w:val="18"/>
        </w:rPr>
        <w:t xml:space="preserve"> </w:t>
      </w:r>
      <w:r>
        <w:rPr>
          <w:i/>
          <w:sz w:val="18"/>
        </w:rPr>
        <w:t>of</w:t>
      </w:r>
      <w:r>
        <w:rPr>
          <w:i/>
          <w:spacing w:val="-1"/>
          <w:sz w:val="18"/>
        </w:rPr>
        <w:t xml:space="preserve"> </w:t>
      </w:r>
      <w:r>
        <w:rPr>
          <w:i/>
          <w:sz w:val="18"/>
        </w:rPr>
        <w:t>Public</w:t>
      </w:r>
      <w:r>
        <w:rPr>
          <w:i/>
          <w:spacing w:val="-3"/>
          <w:sz w:val="18"/>
        </w:rPr>
        <w:t xml:space="preserve"> </w:t>
      </w:r>
      <w:r>
        <w:rPr>
          <w:i/>
          <w:sz w:val="18"/>
        </w:rPr>
        <w:t>Health</w:t>
      </w:r>
      <w:r>
        <w:rPr>
          <w:i/>
          <w:spacing w:val="-1"/>
          <w:sz w:val="18"/>
        </w:rPr>
        <w:t xml:space="preserve"> </w:t>
      </w:r>
      <w:r>
        <w:rPr>
          <w:sz w:val="18"/>
        </w:rPr>
        <w:t>104,</w:t>
      </w:r>
      <w:r>
        <w:rPr>
          <w:spacing w:val="-2"/>
          <w:sz w:val="18"/>
        </w:rPr>
        <w:t xml:space="preserve"> </w:t>
      </w:r>
      <w:r>
        <w:rPr>
          <w:sz w:val="18"/>
        </w:rPr>
        <w:t>no.</w:t>
      </w:r>
      <w:r>
        <w:rPr>
          <w:spacing w:val="-1"/>
          <w:sz w:val="18"/>
        </w:rPr>
        <w:t xml:space="preserve"> </w:t>
      </w:r>
      <w:r>
        <w:rPr>
          <w:sz w:val="18"/>
        </w:rPr>
        <w:t>2</w:t>
      </w:r>
      <w:r>
        <w:rPr>
          <w:spacing w:val="-2"/>
          <w:sz w:val="18"/>
        </w:rPr>
        <w:t xml:space="preserve"> </w:t>
      </w:r>
      <w:r>
        <w:rPr>
          <w:sz w:val="18"/>
        </w:rPr>
        <w:t>(February</w:t>
      </w:r>
      <w:r>
        <w:rPr>
          <w:spacing w:val="-1"/>
          <w:sz w:val="18"/>
        </w:rPr>
        <w:t xml:space="preserve"> </w:t>
      </w:r>
      <w:r>
        <w:rPr>
          <w:sz w:val="18"/>
        </w:rPr>
        <w:t>2014):</w:t>
      </w:r>
      <w:r>
        <w:rPr>
          <w:spacing w:val="-2"/>
          <w:sz w:val="18"/>
        </w:rPr>
        <w:t xml:space="preserve"> </w:t>
      </w:r>
      <w:r>
        <w:rPr>
          <w:sz w:val="18"/>
        </w:rPr>
        <w:t>e148–53,</w:t>
      </w:r>
      <w:r>
        <w:rPr>
          <w:spacing w:val="-1"/>
          <w:sz w:val="18"/>
        </w:rPr>
        <w:t xml:space="preserve"> </w:t>
      </w:r>
      <w:r>
        <w:rPr>
          <w:spacing w:val="-2"/>
          <w:sz w:val="18"/>
        </w:rPr>
        <w:t>https://doi.org/10.2105/AJPH.2013.301657.</w:t>
      </w:r>
    </w:p>
    <w:p w:rsidR="00200FDA" w:rsidRDefault="00F76C4C">
      <w:pPr>
        <w:spacing w:line="219" w:lineRule="exact"/>
        <w:ind w:left="140"/>
        <w:rPr>
          <w:sz w:val="18"/>
        </w:rPr>
      </w:pPr>
      <w:r>
        <w:rPr>
          <w:position w:val="5"/>
          <w:sz w:val="12"/>
        </w:rPr>
        <w:t>32</w:t>
      </w:r>
      <w:r>
        <w:rPr>
          <w:spacing w:val="10"/>
          <w:position w:val="5"/>
          <w:sz w:val="12"/>
        </w:rPr>
        <w:t xml:space="preserve"> </w:t>
      </w:r>
      <w:r>
        <w:rPr>
          <w:sz w:val="18"/>
        </w:rPr>
        <w:t>Goldsmith</w:t>
      </w:r>
      <w:r>
        <w:rPr>
          <w:spacing w:val="-3"/>
          <w:sz w:val="18"/>
        </w:rPr>
        <w:t xml:space="preserve"> </w:t>
      </w:r>
      <w:r>
        <w:rPr>
          <w:sz w:val="18"/>
        </w:rPr>
        <w:t>and</w:t>
      </w:r>
      <w:r>
        <w:rPr>
          <w:spacing w:val="-3"/>
          <w:sz w:val="18"/>
        </w:rPr>
        <w:t xml:space="preserve"> </w:t>
      </w:r>
      <w:r>
        <w:rPr>
          <w:sz w:val="18"/>
        </w:rPr>
        <w:t>Bell,</w:t>
      </w:r>
      <w:r>
        <w:rPr>
          <w:spacing w:val="-2"/>
          <w:sz w:val="18"/>
        </w:rPr>
        <w:t xml:space="preserve"> </w:t>
      </w:r>
      <w:r>
        <w:rPr>
          <w:sz w:val="18"/>
        </w:rPr>
        <w:t>“Queering</w:t>
      </w:r>
      <w:r>
        <w:rPr>
          <w:spacing w:val="-3"/>
          <w:sz w:val="18"/>
        </w:rPr>
        <w:t xml:space="preserve"> </w:t>
      </w:r>
      <w:r>
        <w:rPr>
          <w:sz w:val="18"/>
        </w:rPr>
        <w:t>Environmental</w:t>
      </w:r>
      <w:r>
        <w:rPr>
          <w:spacing w:val="-2"/>
          <w:sz w:val="18"/>
        </w:rPr>
        <w:t xml:space="preserve"> Justice.”</w:t>
      </w:r>
    </w:p>
    <w:p w:rsidR="00200FDA" w:rsidRDefault="00F76C4C">
      <w:pPr>
        <w:spacing w:before="1"/>
        <w:ind w:left="140" w:right="300" w:hanging="1"/>
        <w:rPr>
          <w:sz w:val="18"/>
        </w:rPr>
      </w:pPr>
      <w:r>
        <w:rPr>
          <w:position w:val="5"/>
          <w:sz w:val="12"/>
        </w:rPr>
        <w:t>33</w:t>
      </w:r>
      <w:r>
        <w:rPr>
          <w:spacing w:val="20"/>
          <w:position w:val="5"/>
          <w:sz w:val="12"/>
        </w:rPr>
        <w:t xml:space="preserve"> </w:t>
      </w:r>
      <w:r>
        <w:rPr>
          <w:sz w:val="18"/>
        </w:rPr>
        <w:t xml:space="preserve">“CDC Confirms LGB People at Greater Risk of COVID-19,” Human Rights Campaign, February 4, 2021, </w:t>
      </w:r>
      <w:r>
        <w:rPr>
          <w:spacing w:val="-2"/>
          <w:sz w:val="18"/>
        </w:rPr>
        <w:t>https://</w:t>
      </w:r>
      <w:hyperlink r:id="rId744">
        <w:r>
          <w:rPr>
            <w:spacing w:val="-2"/>
            <w:sz w:val="18"/>
          </w:rPr>
          <w:t>www.hrc.or</w:t>
        </w:r>
        <w:r>
          <w:rPr>
            <w:spacing w:val="-2"/>
            <w:sz w:val="18"/>
          </w:rPr>
          <w:t>g/press-releases/cdc-releases-report-confirming-lesbian-gay-and-bisexual-people-at-greater-risk-of-covid-</w:t>
        </w:r>
      </w:hyperlink>
      <w:r>
        <w:rPr>
          <w:spacing w:val="40"/>
          <w:sz w:val="18"/>
        </w:rPr>
        <w:t xml:space="preserve"> </w:t>
      </w:r>
      <w:r>
        <w:rPr>
          <w:spacing w:val="-2"/>
          <w:sz w:val="18"/>
        </w:rPr>
        <w:t>19-illness-calls-for-more-data-collection.</w:t>
      </w:r>
    </w:p>
    <w:p w:rsidR="00200FDA" w:rsidRDefault="00F76C4C">
      <w:pPr>
        <w:ind w:left="139" w:right="139"/>
        <w:rPr>
          <w:sz w:val="18"/>
        </w:rPr>
      </w:pPr>
      <w:r>
        <w:rPr>
          <w:position w:val="5"/>
          <w:sz w:val="12"/>
        </w:rPr>
        <w:t>34</w:t>
      </w:r>
      <w:r>
        <w:rPr>
          <w:spacing w:val="10"/>
          <w:position w:val="5"/>
          <w:sz w:val="12"/>
        </w:rPr>
        <w:t xml:space="preserve"> </w:t>
      </w:r>
      <w:r>
        <w:rPr>
          <w:sz w:val="18"/>
        </w:rPr>
        <w:t>John</w:t>
      </w:r>
      <w:r>
        <w:rPr>
          <w:spacing w:val="-4"/>
          <w:sz w:val="18"/>
        </w:rPr>
        <w:t xml:space="preserve"> </w:t>
      </w:r>
      <w:r>
        <w:rPr>
          <w:sz w:val="18"/>
        </w:rPr>
        <w:t>R.</w:t>
      </w:r>
      <w:r>
        <w:rPr>
          <w:spacing w:val="-3"/>
          <w:sz w:val="18"/>
        </w:rPr>
        <w:t xml:space="preserve"> </w:t>
      </w:r>
      <w:r>
        <w:rPr>
          <w:sz w:val="18"/>
        </w:rPr>
        <w:t>Blosnich</w:t>
      </w:r>
      <w:r>
        <w:rPr>
          <w:spacing w:val="-4"/>
          <w:sz w:val="18"/>
        </w:rPr>
        <w:t xml:space="preserve"> </w:t>
      </w:r>
      <w:r>
        <w:rPr>
          <w:sz w:val="18"/>
        </w:rPr>
        <w:t>et</w:t>
      </w:r>
      <w:r>
        <w:rPr>
          <w:spacing w:val="-4"/>
          <w:sz w:val="18"/>
        </w:rPr>
        <w:t xml:space="preserve"> </w:t>
      </w:r>
      <w:r>
        <w:rPr>
          <w:sz w:val="18"/>
        </w:rPr>
        <w:t>al.,</w:t>
      </w:r>
      <w:r>
        <w:rPr>
          <w:spacing w:val="-3"/>
          <w:sz w:val="18"/>
        </w:rPr>
        <w:t xml:space="preserve"> </w:t>
      </w:r>
      <w:r>
        <w:rPr>
          <w:sz w:val="18"/>
        </w:rPr>
        <w:t>“Asthma</w:t>
      </w:r>
      <w:r>
        <w:rPr>
          <w:spacing w:val="-1"/>
          <w:sz w:val="18"/>
        </w:rPr>
        <w:t xml:space="preserve"> </w:t>
      </w:r>
      <w:r>
        <w:rPr>
          <w:sz w:val="18"/>
        </w:rPr>
        <w:t>Disparities</w:t>
      </w:r>
      <w:r>
        <w:rPr>
          <w:spacing w:val="-4"/>
          <w:sz w:val="18"/>
        </w:rPr>
        <w:t xml:space="preserve"> </w:t>
      </w:r>
      <w:r>
        <w:rPr>
          <w:sz w:val="18"/>
        </w:rPr>
        <w:t>and</w:t>
      </w:r>
      <w:r>
        <w:rPr>
          <w:spacing w:val="-4"/>
          <w:sz w:val="18"/>
        </w:rPr>
        <w:t xml:space="preserve"> </w:t>
      </w:r>
      <w:r>
        <w:rPr>
          <w:sz w:val="18"/>
        </w:rPr>
        <w:t>Within-Group</w:t>
      </w:r>
      <w:r>
        <w:rPr>
          <w:spacing w:val="-4"/>
          <w:sz w:val="18"/>
        </w:rPr>
        <w:t xml:space="preserve"> </w:t>
      </w:r>
      <w:r>
        <w:rPr>
          <w:sz w:val="18"/>
        </w:rPr>
        <w:t>Differences</w:t>
      </w:r>
      <w:r>
        <w:rPr>
          <w:spacing w:val="-4"/>
          <w:sz w:val="18"/>
        </w:rPr>
        <w:t xml:space="preserve"> </w:t>
      </w:r>
      <w:r>
        <w:rPr>
          <w:sz w:val="18"/>
        </w:rPr>
        <w:t>in</w:t>
      </w:r>
      <w:r>
        <w:rPr>
          <w:spacing w:val="-4"/>
          <w:sz w:val="18"/>
        </w:rPr>
        <w:t xml:space="preserve"> </w:t>
      </w:r>
      <w:r>
        <w:rPr>
          <w:sz w:val="18"/>
        </w:rPr>
        <w:t>a</w:t>
      </w:r>
      <w:r>
        <w:rPr>
          <w:spacing w:val="-3"/>
          <w:sz w:val="18"/>
        </w:rPr>
        <w:t xml:space="preserve"> </w:t>
      </w:r>
      <w:r>
        <w:rPr>
          <w:sz w:val="18"/>
        </w:rPr>
        <w:t>National,</w:t>
      </w:r>
      <w:r>
        <w:rPr>
          <w:spacing w:val="-3"/>
          <w:sz w:val="18"/>
        </w:rPr>
        <w:t xml:space="preserve"> </w:t>
      </w:r>
      <w:r>
        <w:rPr>
          <w:sz w:val="18"/>
        </w:rPr>
        <w:t>Probability</w:t>
      </w:r>
      <w:r>
        <w:rPr>
          <w:spacing w:val="-1"/>
          <w:sz w:val="18"/>
        </w:rPr>
        <w:t xml:space="preserve"> </w:t>
      </w:r>
      <w:r>
        <w:rPr>
          <w:sz w:val="18"/>
        </w:rPr>
        <w:t>Sam</w:t>
      </w:r>
      <w:r>
        <w:rPr>
          <w:sz w:val="18"/>
        </w:rPr>
        <w:t>ple</w:t>
      </w:r>
      <w:r>
        <w:rPr>
          <w:spacing w:val="-4"/>
          <w:sz w:val="18"/>
        </w:rPr>
        <w:t xml:space="preserve"> </w:t>
      </w:r>
      <w:r>
        <w:rPr>
          <w:sz w:val="18"/>
        </w:rPr>
        <w:t>of</w:t>
      </w:r>
      <w:r>
        <w:rPr>
          <w:spacing w:val="-3"/>
          <w:sz w:val="18"/>
        </w:rPr>
        <w:t xml:space="preserve"> </w:t>
      </w:r>
      <w:r>
        <w:rPr>
          <w:sz w:val="18"/>
        </w:rPr>
        <w:t xml:space="preserve">Same-Sex Partnered Adults,” </w:t>
      </w:r>
      <w:r>
        <w:rPr>
          <w:i/>
          <w:sz w:val="18"/>
        </w:rPr>
        <w:t xml:space="preserve">American Journal of Public Health </w:t>
      </w:r>
      <w:r>
        <w:rPr>
          <w:sz w:val="18"/>
        </w:rPr>
        <w:t xml:space="preserve">103, no. 9 (September 2013): e83-87, </w:t>
      </w:r>
      <w:r>
        <w:rPr>
          <w:spacing w:val="-2"/>
          <w:sz w:val="18"/>
        </w:rPr>
        <w:t>https://doi.org/10.2105/AJPH.2013.301217.</w:t>
      </w:r>
    </w:p>
    <w:p w:rsidR="00200FDA" w:rsidRDefault="00F76C4C">
      <w:pPr>
        <w:ind w:left="140" w:hanging="1"/>
        <w:rPr>
          <w:sz w:val="18"/>
        </w:rPr>
      </w:pPr>
      <w:r>
        <w:rPr>
          <w:position w:val="5"/>
          <w:sz w:val="12"/>
        </w:rPr>
        <w:t>35</w:t>
      </w:r>
      <w:r>
        <w:rPr>
          <w:spacing w:val="10"/>
          <w:position w:val="5"/>
          <w:sz w:val="12"/>
        </w:rPr>
        <w:t xml:space="preserve"> </w:t>
      </w:r>
      <w:r>
        <w:rPr>
          <w:sz w:val="18"/>
        </w:rPr>
        <w:t>Jason</w:t>
      </w:r>
      <w:r>
        <w:rPr>
          <w:spacing w:val="-3"/>
          <w:sz w:val="18"/>
        </w:rPr>
        <w:t xml:space="preserve"> </w:t>
      </w:r>
      <w:r>
        <w:rPr>
          <w:sz w:val="18"/>
        </w:rPr>
        <w:t>M.</w:t>
      </w:r>
      <w:r>
        <w:rPr>
          <w:spacing w:val="-2"/>
          <w:sz w:val="18"/>
        </w:rPr>
        <w:t xml:space="preserve"> </w:t>
      </w:r>
      <w:r>
        <w:rPr>
          <w:sz w:val="18"/>
        </w:rPr>
        <w:t>Nagata</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“Disparities</w:t>
      </w:r>
      <w:r>
        <w:rPr>
          <w:spacing w:val="-3"/>
          <w:sz w:val="18"/>
        </w:rPr>
        <w:t xml:space="preserve"> </w:t>
      </w:r>
      <w:r>
        <w:rPr>
          <w:sz w:val="18"/>
        </w:rPr>
        <w:t>across</w:t>
      </w:r>
      <w:r>
        <w:rPr>
          <w:spacing w:val="-3"/>
          <w:sz w:val="18"/>
        </w:rPr>
        <w:t xml:space="preserve"> </w:t>
      </w:r>
      <w:r>
        <w:rPr>
          <w:sz w:val="18"/>
        </w:rPr>
        <w:t>Sexual</w:t>
      </w:r>
      <w:r>
        <w:rPr>
          <w:spacing w:val="-3"/>
          <w:sz w:val="18"/>
        </w:rPr>
        <w:t xml:space="preserve"> </w:t>
      </w:r>
      <w:r>
        <w:rPr>
          <w:sz w:val="18"/>
        </w:rPr>
        <w:t>Orientation</w:t>
      </w:r>
      <w:r>
        <w:rPr>
          <w:spacing w:val="-3"/>
          <w:sz w:val="18"/>
        </w:rPr>
        <w:t xml:space="preserve"> </w:t>
      </w:r>
      <w:r>
        <w:rPr>
          <w:sz w:val="18"/>
        </w:rPr>
        <w:t>in</w:t>
      </w:r>
      <w:r>
        <w:rPr>
          <w:spacing w:val="-3"/>
          <w:sz w:val="18"/>
        </w:rPr>
        <w:t xml:space="preserve"> </w:t>
      </w:r>
      <w:r>
        <w:rPr>
          <w:sz w:val="18"/>
        </w:rPr>
        <w:t>Obstructive</w:t>
      </w:r>
      <w:r>
        <w:rPr>
          <w:spacing w:val="-3"/>
          <w:sz w:val="18"/>
        </w:rPr>
        <w:t xml:space="preserve"> </w:t>
      </w:r>
      <w:r>
        <w:rPr>
          <w:sz w:val="18"/>
        </w:rPr>
        <w:t>Airway</w:t>
      </w:r>
      <w:r>
        <w:rPr>
          <w:spacing w:val="-2"/>
          <w:sz w:val="18"/>
        </w:rPr>
        <w:t xml:space="preserve"> </w:t>
      </w:r>
      <w:r>
        <w:rPr>
          <w:sz w:val="18"/>
        </w:rPr>
        <w:t>Disease</w:t>
      </w:r>
      <w:r>
        <w:rPr>
          <w:spacing w:val="-3"/>
          <w:sz w:val="18"/>
        </w:rPr>
        <w:t xml:space="preserve"> </w:t>
      </w:r>
      <w:r>
        <w:rPr>
          <w:sz w:val="18"/>
        </w:rPr>
        <w:t>among</w:t>
      </w:r>
      <w:r>
        <w:rPr>
          <w:spacing w:val="-1"/>
          <w:sz w:val="18"/>
        </w:rPr>
        <w:t xml:space="preserve"> </w:t>
      </w:r>
      <w:r>
        <w:rPr>
          <w:sz w:val="18"/>
        </w:rPr>
        <w:t>U.S.</w:t>
      </w:r>
      <w:r>
        <w:rPr>
          <w:spacing w:val="-2"/>
          <w:sz w:val="18"/>
        </w:rPr>
        <w:t xml:space="preserve"> </w:t>
      </w:r>
      <w:r>
        <w:rPr>
          <w:sz w:val="18"/>
        </w:rPr>
        <w:t>Adults,”</w:t>
      </w:r>
      <w:r>
        <w:rPr>
          <w:spacing w:val="-2"/>
          <w:sz w:val="18"/>
        </w:rPr>
        <w:t xml:space="preserve"> </w:t>
      </w:r>
      <w:r>
        <w:rPr>
          <w:i/>
          <w:sz w:val="18"/>
        </w:rPr>
        <w:t>Annals</w:t>
      </w:r>
      <w:r>
        <w:rPr>
          <w:i/>
          <w:spacing w:val="-3"/>
          <w:sz w:val="18"/>
        </w:rPr>
        <w:t xml:space="preserve"> </w:t>
      </w:r>
      <w:r>
        <w:rPr>
          <w:i/>
          <w:sz w:val="18"/>
        </w:rPr>
        <w:t>of</w:t>
      </w:r>
      <w:r>
        <w:rPr>
          <w:i/>
          <w:spacing w:val="-2"/>
          <w:sz w:val="18"/>
        </w:rPr>
        <w:t xml:space="preserve"> </w:t>
      </w:r>
      <w:r>
        <w:rPr>
          <w:i/>
          <w:sz w:val="18"/>
        </w:rPr>
        <w:t xml:space="preserve">the American Thoracic Society </w:t>
      </w:r>
      <w:r>
        <w:rPr>
          <w:sz w:val="18"/>
        </w:rPr>
        <w:t>19, no. 3 (March 2022): 500–503, https://doi.org/10.1513/AnnalsATS.202104-513RL.</w:t>
      </w:r>
    </w:p>
    <w:p w:rsidR="00200FDA" w:rsidRDefault="00F76C4C">
      <w:pPr>
        <w:spacing w:line="219" w:lineRule="exact"/>
        <w:ind w:left="140"/>
        <w:rPr>
          <w:sz w:val="18"/>
        </w:rPr>
      </w:pPr>
      <w:r>
        <w:rPr>
          <w:position w:val="5"/>
          <w:sz w:val="12"/>
        </w:rPr>
        <w:t>36</w:t>
      </w:r>
      <w:r>
        <w:rPr>
          <w:spacing w:val="10"/>
          <w:position w:val="5"/>
          <w:sz w:val="12"/>
        </w:rPr>
        <w:t xml:space="preserve"> </w:t>
      </w:r>
      <w:r>
        <w:rPr>
          <w:sz w:val="18"/>
        </w:rPr>
        <w:t>Brian</w:t>
      </w:r>
      <w:r>
        <w:rPr>
          <w:spacing w:val="-3"/>
          <w:sz w:val="18"/>
        </w:rPr>
        <w:t xml:space="preserve"> </w:t>
      </w:r>
      <w:r>
        <w:rPr>
          <w:sz w:val="18"/>
        </w:rPr>
        <w:t>W.</w:t>
      </w:r>
      <w:r>
        <w:rPr>
          <w:spacing w:val="-2"/>
          <w:sz w:val="18"/>
        </w:rPr>
        <w:t xml:space="preserve"> </w:t>
      </w:r>
      <w:r>
        <w:rPr>
          <w:sz w:val="18"/>
        </w:rPr>
        <w:t>Ward,</w:t>
      </w:r>
      <w:r>
        <w:rPr>
          <w:spacing w:val="-2"/>
          <w:sz w:val="18"/>
        </w:rPr>
        <w:t xml:space="preserve"> </w:t>
      </w:r>
      <w:r>
        <w:rPr>
          <w:sz w:val="18"/>
        </w:rPr>
        <w:t>“Selected</w:t>
      </w:r>
      <w:r>
        <w:rPr>
          <w:spacing w:val="-3"/>
          <w:sz w:val="18"/>
        </w:rPr>
        <w:t xml:space="preserve"> </w:t>
      </w:r>
      <w:r>
        <w:rPr>
          <w:sz w:val="18"/>
        </w:rPr>
        <w:t>Diagnosed</w:t>
      </w:r>
      <w:r>
        <w:rPr>
          <w:spacing w:val="-3"/>
          <w:sz w:val="18"/>
        </w:rPr>
        <w:t xml:space="preserve"> </w:t>
      </w:r>
      <w:r>
        <w:rPr>
          <w:sz w:val="18"/>
        </w:rPr>
        <w:t>Chronic</w:t>
      </w:r>
      <w:r>
        <w:rPr>
          <w:spacing w:val="-2"/>
          <w:sz w:val="18"/>
        </w:rPr>
        <w:t xml:space="preserve"> </w:t>
      </w:r>
      <w:r>
        <w:rPr>
          <w:sz w:val="18"/>
        </w:rPr>
        <w:t>Conditions</w:t>
      </w:r>
      <w:r>
        <w:rPr>
          <w:spacing w:val="-2"/>
          <w:sz w:val="18"/>
        </w:rPr>
        <w:t xml:space="preserve"> </w:t>
      </w:r>
      <w:r>
        <w:rPr>
          <w:sz w:val="18"/>
        </w:rPr>
        <w:t>by</w:t>
      </w:r>
      <w:r>
        <w:rPr>
          <w:spacing w:val="-2"/>
          <w:sz w:val="18"/>
        </w:rPr>
        <w:t xml:space="preserve"> </w:t>
      </w:r>
      <w:r>
        <w:rPr>
          <w:sz w:val="18"/>
        </w:rPr>
        <w:t>Sexual</w:t>
      </w:r>
      <w:r>
        <w:rPr>
          <w:spacing w:val="-1"/>
          <w:sz w:val="18"/>
        </w:rPr>
        <w:t xml:space="preserve"> </w:t>
      </w:r>
      <w:r>
        <w:rPr>
          <w:sz w:val="18"/>
        </w:rPr>
        <w:t>Orientation: A</w:t>
      </w:r>
      <w:r>
        <w:rPr>
          <w:spacing w:val="-3"/>
          <w:sz w:val="18"/>
        </w:rPr>
        <w:t xml:space="preserve"> </w:t>
      </w:r>
      <w:r>
        <w:rPr>
          <w:sz w:val="18"/>
        </w:rPr>
        <w:t>National</w:t>
      </w:r>
      <w:r>
        <w:rPr>
          <w:spacing w:val="-1"/>
          <w:sz w:val="18"/>
        </w:rPr>
        <w:t xml:space="preserve"> </w:t>
      </w:r>
      <w:r>
        <w:rPr>
          <w:sz w:val="18"/>
        </w:rPr>
        <w:t>Study</w:t>
      </w:r>
      <w:r>
        <w:rPr>
          <w:spacing w:val="-2"/>
          <w:sz w:val="18"/>
        </w:rPr>
        <w:t xml:space="preserve"> </w:t>
      </w:r>
      <w:r>
        <w:rPr>
          <w:sz w:val="18"/>
        </w:rPr>
        <w:t>of</w:t>
      </w:r>
      <w:r>
        <w:rPr>
          <w:spacing w:val="-2"/>
          <w:sz w:val="18"/>
        </w:rPr>
        <w:t xml:space="preserve"> </w:t>
      </w:r>
      <w:r>
        <w:rPr>
          <w:sz w:val="18"/>
        </w:rPr>
        <w:t>US</w:t>
      </w:r>
      <w:r>
        <w:rPr>
          <w:spacing w:val="-3"/>
          <w:sz w:val="18"/>
        </w:rPr>
        <w:t xml:space="preserve"> </w:t>
      </w:r>
      <w:r>
        <w:rPr>
          <w:sz w:val="18"/>
        </w:rPr>
        <w:t>Adults,</w:t>
      </w:r>
      <w:r>
        <w:rPr>
          <w:spacing w:val="-1"/>
          <w:sz w:val="18"/>
        </w:rPr>
        <w:t xml:space="preserve"> </w:t>
      </w:r>
      <w:r>
        <w:rPr>
          <w:spacing w:val="-2"/>
          <w:sz w:val="18"/>
        </w:rPr>
        <w:t>2013,”</w:t>
      </w:r>
    </w:p>
    <w:p w:rsidR="00200FDA" w:rsidRDefault="00F76C4C">
      <w:pPr>
        <w:spacing w:before="1" w:line="219" w:lineRule="exact"/>
        <w:ind w:left="140"/>
        <w:rPr>
          <w:sz w:val="18"/>
        </w:rPr>
      </w:pPr>
      <w:r>
        <w:rPr>
          <w:i/>
          <w:sz w:val="18"/>
        </w:rPr>
        <w:t>Preventi</w:t>
      </w:r>
      <w:r>
        <w:rPr>
          <w:i/>
          <w:sz w:val="18"/>
        </w:rPr>
        <w:t>ng</w:t>
      </w:r>
      <w:r>
        <w:rPr>
          <w:i/>
          <w:spacing w:val="-2"/>
          <w:sz w:val="18"/>
        </w:rPr>
        <w:t xml:space="preserve"> </w:t>
      </w:r>
      <w:r>
        <w:rPr>
          <w:i/>
          <w:sz w:val="18"/>
        </w:rPr>
        <w:t>Chronic</w:t>
      </w:r>
      <w:r>
        <w:rPr>
          <w:i/>
          <w:spacing w:val="-3"/>
          <w:sz w:val="18"/>
        </w:rPr>
        <w:t xml:space="preserve"> </w:t>
      </w:r>
      <w:r>
        <w:rPr>
          <w:i/>
          <w:sz w:val="18"/>
        </w:rPr>
        <w:t>Disease</w:t>
      </w:r>
      <w:r>
        <w:rPr>
          <w:i/>
          <w:spacing w:val="-3"/>
          <w:sz w:val="18"/>
        </w:rPr>
        <w:t xml:space="preserve"> </w:t>
      </w:r>
      <w:r>
        <w:rPr>
          <w:sz w:val="18"/>
        </w:rPr>
        <w:t>12</w:t>
      </w:r>
      <w:r>
        <w:rPr>
          <w:spacing w:val="-2"/>
          <w:sz w:val="18"/>
        </w:rPr>
        <w:t xml:space="preserve"> </w:t>
      </w:r>
      <w:r>
        <w:rPr>
          <w:sz w:val="18"/>
        </w:rPr>
        <w:t>(2015),</w:t>
      </w:r>
      <w:r>
        <w:rPr>
          <w:spacing w:val="-2"/>
          <w:sz w:val="18"/>
        </w:rPr>
        <w:t xml:space="preserve"> https://doi.org/10.5888/pcd12.150292.</w:t>
      </w:r>
    </w:p>
    <w:p w:rsidR="00200FDA" w:rsidRDefault="00F76C4C">
      <w:pPr>
        <w:spacing w:line="219" w:lineRule="exact"/>
        <w:ind w:left="140"/>
        <w:rPr>
          <w:sz w:val="18"/>
        </w:rPr>
      </w:pPr>
      <w:r>
        <w:rPr>
          <w:position w:val="5"/>
          <w:sz w:val="12"/>
        </w:rPr>
        <w:t>37</w:t>
      </w:r>
      <w:r>
        <w:rPr>
          <w:spacing w:val="8"/>
          <w:position w:val="5"/>
          <w:sz w:val="12"/>
        </w:rPr>
        <w:t xml:space="preserve"> </w:t>
      </w:r>
      <w:r>
        <w:rPr>
          <w:sz w:val="18"/>
        </w:rPr>
        <w:t>Cindy</w:t>
      </w:r>
      <w:r>
        <w:rPr>
          <w:spacing w:val="-1"/>
          <w:sz w:val="18"/>
        </w:rPr>
        <w:t xml:space="preserve"> </w:t>
      </w:r>
      <w:r>
        <w:rPr>
          <w:sz w:val="18"/>
        </w:rPr>
        <w:t>B.</w:t>
      </w:r>
      <w:r>
        <w:rPr>
          <w:spacing w:val="-2"/>
          <w:sz w:val="18"/>
        </w:rPr>
        <w:t xml:space="preserve"> </w:t>
      </w:r>
      <w:r>
        <w:rPr>
          <w:sz w:val="18"/>
        </w:rPr>
        <w:t>Veldhuis</w:t>
      </w:r>
      <w:r>
        <w:rPr>
          <w:spacing w:val="-1"/>
          <w:sz w:val="18"/>
        </w:rPr>
        <w:t xml:space="preserve"> </w:t>
      </w:r>
      <w:r>
        <w:rPr>
          <w:sz w:val="18"/>
        </w:rPr>
        <w:t>et</w:t>
      </w:r>
      <w:r>
        <w:rPr>
          <w:spacing w:val="-2"/>
          <w:sz w:val="18"/>
        </w:rPr>
        <w:t xml:space="preserve"> </w:t>
      </w:r>
      <w:r>
        <w:rPr>
          <w:sz w:val="18"/>
        </w:rPr>
        <w:t>al.,</w:t>
      </w:r>
      <w:r>
        <w:rPr>
          <w:spacing w:val="-2"/>
          <w:sz w:val="18"/>
        </w:rPr>
        <w:t xml:space="preserve"> </w:t>
      </w:r>
      <w:r>
        <w:rPr>
          <w:sz w:val="18"/>
        </w:rPr>
        <w:t>“The Association</w:t>
      </w:r>
      <w:r>
        <w:rPr>
          <w:spacing w:val="-3"/>
          <w:sz w:val="18"/>
        </w:rPr>
        <w:t xml:space="preserve"> </w:t>
      </w:r>
      <w:r>
        <w:rPr>
          <w:sz w:val="18"/>
        </w:rPr>
        <w:t>of</w:t>
      </w:r>
      <w:r>
        <w:rPr>
          <w:spacing w:val="-1"/>
          <w:sz w:val="18"/>
        </w:rPr>
        <w:t xml:space="preserve"> </w:t>
      </w:r>
      <w:r>
        <w:rPr>
          <w:sz w:val="18"/>
        </w:rPr>
        <w:t>Asthma,</w:t>
      </w:r>
      <w:r>
        <w:rPr>
          <w:spacing w:val="-2"/>
          <w:sz w:val="18"/>
        </w:rPr>
        <w:t xml:space="preserve"> </w:t>
      </w:r>
      <w:r>
        <w:rPr>
          <w:sz w:val="18"/>
        </w:rPr>
        <w:t>Sexual</w:t>
      </w:r>
      <w:r>
        <w:rPr>
          <w:spacing w:val="-2"/>
          <w:sz w:val="18"/>
        </w:rPr>
        <w:t xml:space="preserve"> </w:t>
      </w:r>
      <w:r>
        <w:rPr>
          <w:sz w:val="18"/>
        </w:rPr>
        <w:t>Identity,</w:t>
      </w:r>
      <w:r>
        <w:rPr>
          <w:spacing w:val="-2"/>
          <w:sz w:val="18"/>
        </w:rPr>
        <w:t xml:space="preserve"> </w:t>
      </w:r>
      <w:r>
        <w:rPr>
          <w:sz w:val="18"/>
        </w:rPr>
        <w:t>and</w:t>
      </w:r>
      <w:r>
        <w:rPr>
          <w:spacing w:val="-2"/>
          <w:sz w:val="18"/>
        </w:rPr>
        <w:t xml:space="preserve"> </w:t>
      </w:r>
      <w:r>
        <w:rPr>
          <w:sz w:val="18"/>
        </w:rPr>
        <w:t>Inhaled</w:t>
      </w:r>
      <w:r>
        <w:rPr>
          <w:spacing w:val="-3"/>
          <w:sz w:val="18"/>
        </w:rPr>
        <w:t xml:space="preserve"> </w:t>
      </w:r>
      <w:r>
        <w:rPr>
          <w:sz w:val="18"/>
        </w:rPr>
        <w:t>Substance</w:t>
      </w:r>
      <w:r>
        <w:rPr>
          <w:spacing w:val="-2"/>
          <w:sz w:val="18"/>
        </w:rPr>
        <w:t xml:space="preserve"> </w:t>
      </w:r>
      <w:r>
        <w:rPr>
          <w:sz w:val="18"/>
        </w:rPr>
        <w:t>Use</w:t>
      </w:r>
      <w:r>
        <w:rPr>
          <w:spacing w:val="-2"/>
          <w:sz w:val="18"/>
        </w:rPr>
        <w:t xml:space="preserve"> </w:t>
      </w:r>
      <w:r>
        <w:rPr>
          <w:sz w:val="18"/>
        </w:rPr>
        <w:t>among</w:t>
      </w:r>
      <w:r>
        <w:rPr>
          <w:spacing w:val="-3"/>
          <w:sz w:val="18"/>
        </w:rPr>
        <w:t xml:space="preserve"> </w:t>
      </w:r>
      <w:r>
        <w:rPr>
          <w:sz w:val="18"/>
        </w:rPr>
        <w:t>U.S.</w:t>
      </w:r>
      <w:r>
        <w:rPr>
          <w:spacing w:val="-1"/>
          <w:sz w:val="18"/>
        </w:rPr>
        <w:t xml:space="preserve"> </w:t>
      </w:r>
      <w:r>
        <w:rPr>
          <w:spacing w:val="-2"/>
          <w:sz w:val="18"/>
        </w:rPr>
        <w:t>Adolescents,”</w:t>
      </w:r>
    </w:p>
    <w:p w:rsidR="00200FDA" w:rsidRDefault="00F76C4C">
      <w:pPr>
        <w:spacing w:before="1" w:line="219" w:lineRule="exact"/>
        <w:ind w:left="140"/>
        <w:rPr>
          <w:sz w:val="18"/>
        </w:rPr>
      </w:pPr>
      <w:r>
        <w:rPr>
          <w:i/>
          <w:sz w:val="18"/>
        </w:rPr>
        <w:t>Annals</w:t>
      </w:r>
      <w:r>
        <w:rPr>
          <w:i/>
          <w:spacing w:val="-4"/>
          <w:sz w:val="18"/>
        </w:rPr>
        <w:t xml:space="preserve"> </w:t>
      </w:r>
      <w:r>
        <w:rPr>
          <w:i/>
          <w:sz w:val="18"/>
        </w:rPr>
        <w:t>of</w:t>
      </w:r>
      <w:r>
        <w:rPr>
          <w:i/>
          <w:spacing w:val="-3"/>
          <w:sz w:val="18"/>
        </w:rPr>
        <w:t xml:space="preserve"> </w:t>
      </w:r>
      <w:r>
        <w:rPr>
          <w:i/>
          <w:sz w:val="18"/>
        </w:rPr>
        <w:t>the</w:t>
      </w:r>
      <w:r>
        <w:rPr>
          <w:i/>
          <w:spacing w:val="-2"/>
          <w:sz w:val="18"/>
        </w:rPr>
        <w:t xml:space="preserve"> </w:t>
      </w:r>
      <w:r>
        <w:rPr>
          <w:i/>
          <w:sz w:val="18"/>
        </w:rPr>
        <w:t>American</w:t>
      </w:r>
      <w:r>
        <w:rPr>
          <w:i/>
          <w:spacing w:val="-2"/>
          <w:sz w:val="18"/>
        </w:rPr>
        <w:t xml:space="preserve"> </w:t>
      </w:r>
      <w:r>
        <w:rPr>
          <w:i/>
          <w:sz w:val="18"/>
        </w:rPr>
        <w:t>Thoracic</w:t>
      </w:r>
      <w:r>
        <w:rPr>
          <w:i/>
          <w:spacing w:val="-6"/>
          <w:sz w:val="18"/>
        </w:rPr>
        <w:t xml:space="preserve"> </w:t>
      </w:r>
      <w:r>
        <w:rPr>
          <w:i/>
          <w:sz w:val="18"/>
        </w:rPr>
        <w:t>Society</w:t>
      </w:r>
      <w:r>
        <w:rPr>
          <w:i/>
          <w:spacing w:val="-2"/>
          <w:sz w:val="18"/>
        </w:rPr>
        <w:t xml:space="preserve"> </w:t>
      </w:r>
      <w:r>
        <w:rPr>
          <w:sz w:val="18"/>
        </w:rPr>
        <w:t>18,</w:t>
      </w:r>
      <w:r>
        <w:rPr>
          <w:spacing w:val="-3"/>
          <w:sz w:val="18"/>
        </w:rPr>
        <w:t xml:space="preserve"> </w:t>
      </w:r>
      <w:r>
        <w:rPr>
          <w:sz w:val="18"/>
        </w:rPr>
        <w:t>no.</w:t>
      </w:r>
      <w:r>
        <w:rPr>
          <w:spacing w:val="-3"/>
          <w:sz w:val="18"/>
        </w:rPr>
        <w:t xml:space="preserve"> </w:t>
      </w:r>
      <w:r>
        <w:rPr>
          <w:sz w:val="18"/>
        </w:rPr>
        <w:t>2</w:t>
      </w:r>
      <w:r>
        <w:rPr>
          <w:spacing w:val="-2"/>
          <w:sz w:val="18"/>
        </w:rPr>
        <w:t xml:space="preserve"> </w:t>
      </w:r>
      <w:r>
        <w:rPr>
          <w:sz w:val="18"/>
        </w:rPr>
        <w:t>(February</w:t>
      </w:r>
      <w:r>
        <w:rPr>
          <w:spacing w:val="-3"/>
          <w:sz w:val="18"/>
        </w:rPr>
        <w:t xml:space="preserve"> </w:t>
      </w:r>
      <w:r>
        <w:rPr>
          <w:sz w:val="18"/>
        </w:rPr>
        <w:t>2021):</w:t>
      </w:r>
      <w:r>
        <w:rPr>
          <w:spacing w:val="-1"/>
          <w:sz w:val="18"/>
        </w:rPr>
        <w:t xml:space="preserve"> </w:t>
      </w:r>
      <w:r>
        <w:rPr>
          <w:sz w:val="18"/>
        </w:rPr>
        <w:t>273–80,</w:t>
      </w:r>
      <w:r>
        <w:rPr>
          <w:spacing w:val="-2"/>
          <w:sz w:val="18"/>
        </w:rPr>
        <w:t xml:space="preserve"> </w:t>
      </w:r>
      <w:r>
        <w:rPr>
          <w:sz w:val="18"/>
        </w:rPr>
        <w:t>https://doi.org/10.1513/AnnalsATS.202001-</w:t>
      </w:r>
      <w:r>
        <w:rPr>
          <w:spacing w:val="-2"/>
          <w:sz w:val="18"/>
        </w:rPr>
        <w:t>062OC.</w:t>
      </w:r>
    </w:p>
    <w:p w:rsidR="00200FDA" w:rsidRDefault="00F76C4C">
      <w:pPr>
        <w:spacing w:line="219" w:lineRule="exact"/>
        <w:ind w:left="140"/>
        <w:rPr>
          <w:sz w:val="18"/>
        </w:rPr>
      </w:pPr>
      <w:r>
        <w:rPr>
          <w:position w:val="5"/>
          <w:sz w:val="12"/>
        </w:rPr>
        <w:t>38</w:t>
      </w:r>
      <w:r>
        <w:rPr>
          <w:spacing w:val="10"/>
          <w:position w:val="5"/>
          <w:sz w:val="12"/>
        </w:rPr>
        <w:t xml:space="preserve"> </w:t>
      </w:r>
      <w:r>
        <w:rPr>
          <w:sz w:val="18"/>
        </w:rPr>
        <w:t>“Youth</w:t>
      </w:r>
      <w:r>
        <w:rPr>
          <w:spacing w:val="-3"/>
          <w:sz w:val="18"/>
        </w:rPr>
        <w:t xml:space="preserve"> </w:t>
      </w:r>
      <w:r>
        <w:rPr>
          <w:sz w:val="18"/>
        </w:rPr>
        <w:t>Risk</w:t>
      </w:r>
      <w:r>
        <w:rPr>
          <w:spacing w:val="-3"/>
          <w:sz w:val="18"/>
        </w:rPr>
        <w:t xml:space="preserve"> </w:t>
      </w:r>
      <w:r>
        <w:rPr>
          <w:sz w:val="18"/>
        </w:rPr>
        <w:t>Behavior</w:t>
      </w:r>
      <w:r>
        <w:rPr>
          <w:spacing w:val="-3"/>
          <w:sz w:val="18"/>
        </w:rPr>
        <w:t xml:space="preserve"> </w:t>
      </w:r>
      <w:r>
        <w:rPr>
          <w:sz w:val="18"/>
        </w:rPr>
        <w:t>Surveillance</w:t>
      </w:r>
      <w:r>
        <w:rPr>
          <w:spacing w:val="-3"/>
          <w:sz w:val="18"/>
        </w:rPr>
        <w:t xml:space="preserve"> </w:t>
      </w:r>
      <w:r>
        <w:rPr>
          <w:sz w:val="18"/>
        </w:rPr>
        <w:t>System</w:t>
      </w:r>
      <w:r>
        <w:rPr>
          <w:spacing w:val="-2"/>
          <w:sz w:val="18"/>
        </w:rPr>
        <w:t xml:space="preserve"> (YBSS).”</w:t>
      </w:r>
    </w:p>
    <w:p w:rsidR="00200FDA" w:rsidRDefault="00F76C4C">
      <w:pPr>
        <w:spacing w:before="1"/>
        <w:ind w:left="139" w:right="153"/>
        <w:rPr>
          <w:sz w:val="18"/>
        </w:rPr>
      </w:pPr>
      <w:r>
        <w:rPr>
          <w:position w:val="5"/>
          <w:sz w:val="12"/>
        </w:rPr>
        <w:t>39</w:t>
      </w:r>
      <w:r>
        <w:rPr>
          <w:spacing w:val="9"/>
          <w:position w:val="5"/>
          <w:sz w:val="12"/>
        </w:rPr>
        <w:t xml:space="preserve"> </w:t>
      </w:r>
      <w:r>
        <w:rPr>
          <w:sz w:val="18"/>
        </w:rPr>
        <w:t>Catherine</w:t>
      </w:r>
      <w:r>
        <w:rPr>
          <w:spacing w:val="-4"/>
          <w:sz w:val="18"/>
        </w:rPr>
        <w:t xml:space="preserve"> </w:t>
      </w:r>
      <w:r>
        <w:rPr>
          <w:sz w:val="18"/>
        </w:rPr>
        <w:t>Meads</w:t>
      </w:r>
      <w:r>
        <w:rPr>
          <w:spacing w:val="-4"/>
          <w:sz w:val="18"/>
        </w:rPr>
        <w:t xml:space="preserve"> </w:t>
      </w:r>
      <w:r>
        <w:rPr>
          <w:sz w:val="18"/>
        </w:rPr>
        <w:t>et</w:t>
      </w:r>
      <w:r>
        <w:rPr>
          <w:spacing w:val="-4"/>
          <w:sz w:val="18"/>
        </w:rPr>
        <w:t xml:space="preserve"> </w:t>
      </w:r>
      <w:r>
        <w:rPr>
          <w:sz w:val="18"/>
        </w:rPr>
        <w:t>al.,</w:t>
      </w:r>
      <w:r>
        <w:rPr>
          <w:spacing w:val="-3"/>
          <w:sz w:val="18"/>
        </w:rPr>
        <w:t xml:space="preserve"> </w:t>
      </w:r>
      <w:r>
        <w:rPr>
          <w:sz w:val="18"/>
        </w:rPr>
        <w:t>“Systematic</w:t>
      </w:r>
      <w:r>
        <w:rPr>
          <w:spacing w:val="-3"/>
          <w:sz w:val="18"/>
        </w:rPr>
        <w:t xml:space="preserve"> </w:t>
      </w:r>
      <w:r>
        <w:rPr>
          <w:sz w:val="18"/>
        </w:rPr>
        <w:t>Review</w:t>
      </w:r>
      <w:r>
        <w:rPr>
          <w:spacing w:val="-2"/>
          <w:sz w:val="18"/>
        </w:rPr>
        <w:t xml:space="preserve"> </w:t>
      </w:r>
      <w:r>
        <w:rPr>
          <w:sz w:val="18"/>
        </w:rPr>
        <w:t>and</w:t>
      </w:r>
      <w:r>
        <w:rPr>
          <w:spacing w:val="-4"/>
          <w:sz w:val="18"/>
        </w:rPr>
        <w:t xml:space="preserve"> </w:t>
      </w:r>
      <w:r>
        <w:rPr>
          <w:sz w:val="18"/>
        </w:rPr>
        <w:t>Meta-Analysis</w:t>
      </w:r>
      <w:r>
        <w:rPr>
          <w:spacing w:val="-4"/>
          <w:sz w:val="18"/>
        </w:rPr>
        <w:t xml:space="preserve"> </w:t>
      </w:r>
      <w:r>
        <w:rPr>
          <w:sz w:val="18"/>
        </w:rPr>
        <w:t>of</w:t>
      </w:r>
      <w:r>
        <w:rPr>
          <w:spacing w:val="-3"/>
          <w:sz w:val="18"/>
        </w:rPr>
        <w:t xml:space="preserve"> </w:t>
      </w:r>
      <w:r>
        <w:rPr>
          <w:sz w:val="18"/>
        </w:rPr>
        <w:t>Diabetes</w:t>
      </w:r>
      <w:r>
        <w:rPr>
          <w:spacing w:val="-4"/>
          <w:sz w:val="18"/>
        </w:rPr>
        <w:t xml:space="preserve"> </w:t>
      </w:r>
      <w:r>
        <w:rPr>
          <w:sz w:val="18"/>
        </w:rPr>
        <w:t>Mellitus,</w:t>
      </w:r>
      <w:r>
        <w:rPr>
          <w:spacing w:val="-3"/>
          <w:sz w:val="18"/>
        </w:rPr>
        <w:t xml:space="preserve"> </w:t>
      </w:r>
      <w:r>
        <w:rPr>
          <w:sz w:val="18"/>
        </w:rPr>
        <w:t>Cardiovascular</w:t>
      </w:r>
      <w:r>
        <w:rPr>
          <w:spacing w:val="-1"/>
          <w:sz w:val="18"/>
        </w:rPr>
        <w:t xml:space="preserve"> </w:t>
      </w:r>
      <w:r>
        <w:rPr>
          <w:sz w:val="18"/>
        </w:rPr>
        <w:t>and</w:t>
      </w:r>
      <w:r>
        <w:rPr>
          <w:spacing w:val="-4"/>
          <w:sz w:val="18"/>
        </w:rPr>
        <w:t xml:space="preserve"> </w:t>
      </w:r>
      <w:r>
        <w:rPr>
          <w:sz w:val="18"/>
        </w:rPr>
        <w:t>Respiratory</w:t>
      </w:r>
      <w:r>
        <w:rPr>
          <w:spacing w:val="-3"/>
          <w:sz w:val="18"/>
        </w:rPr>
        <w:t xml:space="preserve"> </w:t>
      </w:r>
      <w:r>
        <w:rPr>
          <w:sz w:val="18"/>
        </w:rPr>
        <w:t xml:space="preserve">Condition Epidemiology in Sexual Minority Women,” </w:t>
      </w:r>
      <w:r>
        <w:rPr>
          <w:i/>
          <w:sz w:val="18"/>
        </w:rPr>
        <w:t xml:space="preserve">BMJ Open </w:t>
      </w:r>
      <w:r>
        <w:rPr>
          <w:sz w:val="18"/>
        </w:rPr>
        <w:t xml:space="preserve">8, no. 4 (April 17, 2018): e020776, https://doi.org/10.1136/bmjopen- </w:t>
      </w:r>
      <w:r>
        <w:rPr>
          <w:spacing w:val="-2"/>
          <w:sz w:val="18"/>
        </w:rPr>
        <w:t>2017-020776.</w:t>
      </w:r>
    </w:p>
    <w:p w:rsidR="00200FDA" w:rsidRDefault="00F76C4C">
      <w:pPr>
        <w:spacing w:line="218" w:lineRule="exact"/>
        <w:ind w:left="140"/>
        <w:rPr>
          <w:sz w:val="18"/>
        </w:rPr>
      </w:pPr>
      <w:r>
        <w:rPr>
          <w:position w:val="5"/>
          <w:sz w:val="12"/>
        </w:rPr>
        <w:t>40</w:t>
      </w:r>
      <w:r>
        <w:rPr>
          <w:spacing w:val="8"/>
          <w:position w:val="5"/>
          <w:sz w:val="12"/>
        </w:rPr>
        <w:t xml:space="preserve"> </w:t>
      </w:r>
      <w:r>
        <w:rPr>
          <w:i/>
          <w:sz w:val="18"/>
        </w:rPr>
        <w:t>Toxics</w:t>
      </w:r>
      <w:r>
        <w:rPr>
          <w:i/>
          <w:spacing w:val="-3"/>
          <w:sz w:val="18"/>
        </w:rPr>
        <w:t xml:space="preserve"> </w:t>
      </w:r>
      <w:r>
        <w:rPr>
          <w:i/>
          <w:sz w:val="18"/>
        </w:rPr>
        <w:t>Are</w:t>
      </w:r>
      <w:r>
        <w:rPr>
          <w:i/>
          <w:spacing w:val="-2"/>
          <w:sz w:val="18"/>
        </w:rPr>
        <w:t xml:space="preserve"> </w:t>
      </w:r>
      <w:r>
        <w:rPr>
          <w:i/>
          <w:sz w:val="18"/>
        </w:rPr>
        <w:t>a</w:t>
      </w:r>
      <w:r>
        <w:rPr>
          <w:i/>
          <w:spacing w:val="-1"/>
          <w:sz w:val="18"/>
        </w:rPr>
        <w:t xml:space="preserve"> </w:t>
      </w:r>
      <w:r>
        <w:rPr>
          <w:i/>
          <w:sz w:val="18"/>
        </w:rPr>
        <w:t>Drag:</w:t>
      </w:r>
      <w:r>
        <w:rPr>
          <w:i/>
          <w:spacing w:val="-3"/>
          <w:sz w:val="18"/>
        </w:rPr>
        <w:t xml:space="preserve"> </w:t>
      </w:r>
      <w:r>
        <w:rPr>
          <w:i/>
          <w:sz w:val="18"/>
        </w:rPr>
        <w:t>June</w:t>
      </w:r>
      <w:r>
        <w:rPr>
          <w:i/>
          <w:spacing w:val="-2"/>
          <w:sz w:val="18"/>
        </w:rPr>
        <w:t xml:space="preserve"> </w:t>
      </w:r>
      <w:r>
        <w:rPr>
          <w:i/>
          <w:sz w:val="18"/>
        </w:rPr>
        <w:t>2021</w:t>
      </w:r>
      <w:r>
        <w:rPr>
          <w:i/>
          <w:spacing w:val="-2"/>
          <w:sz w:val="18"/>
        </w:rPr>
        <w:t xml:space="preserve"> </w:t>
      </w:r>
      <w:r>
        <w:rPr>
          <w:i/>
          <w:sz w:val="18"/>
        </w:rPr>
        <w:t>Uptown</w:t>
      </w:r>
      <w:r>
        <w:rPr>
          <w:i/>
          <w:spacing w:val="-1"/>
          <w:sz w:val="18"/>
        </w:rPr>
        <w:t xml:space="preserve"> </w:t>
      </w:r>
      <w:r>
        <w:rPr>
          <w:i/>
          <w:sz w:val="18"/>
        </w:rPr>
        <w:t>Chats</w:t>
      </w:r>
      <w:r>
        <w:rPr>
          <w:sz w:val="18"/>
        </w:rPr>
        <w:t>,</w:t>
      </w:r>
      <w:r>
        <w:rPr>
          <w:spacing w:val="-2"/>
          <w:sz w:val="18"/>
        </w:rPr>
        <w:t xml:space="preserve"> </w:t>
      </w:r>
      <w:r>
        <w:rPr>
          <w:sz w:val="18"/>
        </w:rPr>
        <w:t>2021,</w:t>
      </w:r>
      <w:r>
        <w:rPr>
          <w:spacing w:val="-2"/>
          <w:sz w:val="18"/>
        </w:rPr>
        <w:t xml:space="preserve"> https://</w:t>
      </w:r>
      <w:hyperlink r:id="rId745">
        <w:r>
          <w:rPr>
            <w:spacing w:val="-2"/>
            <w:sz w:val="18"/>
          </w:rPr>
          <w:t>www.youtube.com/watch?v=1jgchaRTc_Y.</w:t>
        </w:r>
      </w:hyperlink>
    </w:p>
    <w:p w:rsidR="00200FDA" w:rsidRDefault="00F76C4C">
      <w:pPr>
        <w:spacing w:before="1"/>
        <w:ind w:left="140" w:right="189"/>
        <w:rPr>
          <w:sz w:val="18"/>
        </w:rPr>
      </w:pPr>
      <w:r>
        <w:rPr>
          <w:position w:val="5"/>
          <w:sz w:val="12"/>
        </w:rPr>
        <w:t>41</w:t>
      </w:r>
      <w:r>
        <w:rPr>
          <w:spacing w:val="20"/>
          <w:position w:val="5"/>
          <w:sz w:val="12"/>
        </w:rPr>
        <w:t xml:space="preserve"> </w:t>
      </w:r>
      <w:r>
        <w:rPr>
          <w:sz w:val="18"/>
        </w:rPr>
        <w:t xml:space="preserve">“Study: Half of US Cosmetics Contain Toxic Chemicals | AP News,” accessed March 13, 2023, </w:t>
      </w:r>
      <w:r>
        <w:rPr>
          <w:spacing w:val="-2"/>
          <w:sz w:val="18"/>
        </w:rPr>
        <w:t>https://apnews.com/article/canada-science-health-business-governme</w:t>
      </w:r>
      <w:r>
        <w:rPr>
          <w:spacing w:val="-2"/>
          <w:sz w:val="18"/>
        </w:rPr>
        <w:t>nt-and-politics-769d9740a0ddc8a4fe72619885511a23.</w:t>
      </w:r>
      <w:r>
        <w:rPr>
          <w:spacing w:val="80"/>
          <w:sz w:val="18"/>
        </w:rPr>
        <w:t xml:space="preserve">  </w:t>
      </w:r>
      <w:r>
        <w:rPr>
          <w:position w:val="5"/>
          <w:sz w:val="12"/>
        </w:rPr>
        <w:t>42</w:t>
      </w:r>
      <w:r>
        <w:rPr>
          <w:spacing w:val="10"/>
          <w:position w:val="5"/>
          <w:sz w:val="12"/>
        </w:rPr>
        <w:t xml:space="preserve"> </w:t>
      </w:r>
      <w:r>
        <w:rPr>
          <w:sz w:val="18"/>
        </w:rPr>
        <w:t>Jasmine</w:t>
      </w:r>
      <w:r>
        <w:rPr>
          <w:spacing w:val="-3"/>
          <w:sz w:val="18"/>
        </w:rPr>
        <w:t xml:space="preserve"> </w:t>
      </w:r>
      <w:r>
        <w:rPr>
          <w:sz w:val="18"/>
        </w:rPr>
        <w:t>A.</w:t>
      </w:r>
      <w:r>
        <w:rPr>
          <w:spacing w:val="-2"/>
          <w:sz w:val="18"/>
        </w:rPr>
        <w:t xml:space="preserve"> </w:t>
      </w:r>
      <w:r>
        <w:rPr>
          <w:sz w:val="18"/>
        </w:rPr>
        <w:t>McDonald</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“The</w:t>
      </w:r>
      <w:r>
        <w:rPr>
          <w:spacing w:val="-1"/>
          <w:sz w:val="18"/>
        </w:rPr>
        <w:t xml:space="preserve"> </w:t>
      </w:r>
      <w:r>
        <w:rPr>
          <w:sz w:val="18"/>
        </w:rPr>
        <w:t>Environmental</w:t>
      </w:r>
      <w:r>
        <w:rPr>
          <w:spacing w:val="-3"/>
          <w:sz w:val="18"/>
        </w:rPr>
        <w:t xml:space="preserve"> </w:t>
      </w:r>
      <w:r>
        <w:rPr>
          <w:sz w:val="18"/>
        </w:rPr>
        <w:t>Injustice</w:t>
      </w:r>
      <w:r>
        <w:rPr>
          <w:spacing w:val="-3"/>
          <w:sz w:val="18"/>
        </w:rPr>
        <w:t xml:space="preserve"> </w:t>
      </w:r>
      <w:r>
        <w:rPr>
          <w:sz w:val="18"/>
        </w:rPr>
        <w:t>of</w:t>
      </w:r>
      <w:r>
        <w:rPr>
          <w:spacing w:val="-2"/>
          <w:sz w:val="18"/>
        </w:rPr>
        <w:t xml:space="preserve"> </w:t>
      </w:r>
      <w:r>
        <w:rPr>
          <w:sz w:val="18"/>
        </w:rPr>
        <w:t>Beauty</w:t>
      </w:r>
      <w:r>
        <w:rPr>
          <w:spacing w:val="-2"/>
          <w:sz w:val="18"/>
        </w:rPr>
        <w:t xml:space="preserve"> </w:t>
      </w:r>
      <w:r>
        <w:rPr>
          <w:sz w:val="18"/>
        </w:rPr>
        <w:t>Products:</w:t>
      </w:r>
      <w:r>
        <w:rPr>
          <w:spacing w:val="-2"/>
          <w:sz w:val="18"/>
        </w:rPr>
        <w:t xml:space="preserve"> </w:t>
      </w:r>
      <w:r>
        <w:rPr>
          <w:sz w:val="18"/>
        </w:rPr>
        <w:t>Toward</w:t>
      </w:r>
      <w:r>
        <w:rPr>
          <w:spacing w:val="-3"/>
          <w:sz w:val="18"/>
        </w:rPr>
        <w:t xml:space="preserve"> </w:t>
      </w:r>
      <w:r>
        <w:rPr>
          <w:sz w:val="18"/>
        </w:rPr>
        <w:t>Clean</w:t>
      </w:r>
      <w:r>
        <w:rPr>
          <w:spacing w:val="-3"/>
          <w:sz w:val="18"/>
        </w:rPr>
        <w:t xml:space="preserve"> </w:t>
      </w:r>
      <w:r>
        <w:rPr>
          <w:sz w:val="18"/>
        </w:rPr>
        <w:t>and</w:t>
      </w:r>
      <w:r>
        <w:rPr>
          <w:spacing w:val="-3"/>
          <w:sz w:val="18"/>
        </w:rPr>
        <w:t xml:space="preserve"> </w:t>
      </w:r>
      <w:r>
        <w:rPr>
          <w:sz w:val="18"/>
        </w:rPr>
        <w:t>Equitable</w:t>
      </w:r>
      <w:r>
        <w:rPr>
          <w:spacing w:val="-3"/>
          <w:sz w:val="18"/>
        </w:rPr>
        <w:t xml:space="preserve"> </w:t>
      </w:r>
      <w:r>
        <w:rPr>
          <w:sz w:val="18"/>
        </w:rPr>
        <w:t>Beauty,”</w:t>
      </w:r>
      <w:r>
        <w:rPr>
          <w:spacing w:val="-1"/>
          <w:sz w:val="18"/>
        </w:rPr>
        <w:t xml:space="preserve"> </w:t>
      </w:r>
      <w:r>
        <w:rPr>
          <w:i/>
          <w:sz w:val="18"/>
        </w:rPr>
        <w:t xml:space="preserve">American Journal of Public Health </w:t>
      </w:r>
      <w:r>
        <w:rPr>
          <w:sz w:val="18"/>
        </w:rPr>
        <w:t>112, no. 1 (January 2022): 50–53, https://doi.org/10.21</w:t>
      </w:r>
      <w:r>
        <w:rPr>
          <w:sz w:val="18"/>
        </w:rPr>
        <w:t>05/AJPH.2021.306606.</w:t>
      </w:r>
    </w:p>
    <w:p w:rsidR="00200FDA" w:rsidRDefault="00F76C4C">
      <w:pPr>
        <w:spacing w:line="219" w:lineRule="exact"/>
        <w:ind w:left="140"/>
        <w:rPr>
          <w:sz w:val="18"/>
        </w:rPr>
      </w:pPr>
      <w:r>
        <w:rPr>
          <w:position w:val="5"/>
          <w:sz w:val="12"/>
        </w:rPr>
        <w:t>43</w:t>
      </w:r>
      <w:r>
        <w:rPr>
          <w:spacing w:val="10"/>
          <w:position w:val="5"/>
          <w:sz w:val="12"/>
        </w:rPr>
        <w:t xml:space="preserve"> </w:t>
      </w:r>
      <w:r>
        <w:rPr>
          <w:i/>
          <w:sz w:val="18"/>
        </w:rPr>
        <w:t>Toxics</w:t>
      </w:r>
      <w:r>
        <w:rPr>
          <w:i/>
          <w:spacing w:val="-3"/>
          <w:sz w:val="18"/>
        </w:rPr>
        <w:t xml:space="preserve"> </w:t>
      </w:r>
      <w:r>
        <w:rPr>
          <w:i/>
          <w:sz w:val="18"/>
        </w:rPr>
        <w:t>Are</w:t>
      </w:r>
      <w:r>
        <w:rPr>
          <w:i/>
          <w:spacing w:val="-2"/>
          <w:sz w:val="18"/>
        </w:rPr>
        <w:t xml:space="preserve"> </w:t>
      </w:r>
      <w:r>
        <w:rPr>
          <w:i/>
          <w:sz w:val="18"/>
        </w:rPr>
        <w:t xml:space="preserve">a </w:t>
      </w:r>
      <w:r>
        <w:rPr>
          <w:i/>
          <w:spacing w:val="-2"/>
          <w:sz w:val="18"/>
        </w:rPr>
        <w:t>Drag</w:t>
      </w:r>
      <w:r>
        <w:rPr>
          <w:spacing w:val="-2"/>
          <w:sz w:val="18"/>
        </w:rPr>
        <w:t>.</w:t>
      </w:r>
    </w:p>
    <w:p w:rsidR="00200FDA" w:rsidRDefault="00F76C4C">
      <w:pPr>
        <w:spacing w:before="1"/>
        <w:ind w:left="140" w:right="458" w:hanging="1"/>
        <w:rPr>
          <w:sz w:val="18"/>
        </w:rPr>
      </w:pPr>
      <w:r>
        <w:rPr>
          <w:position w:val="5"/>
          <w:sz w:val="12"/>
        </w:rPr>
        <w:t>44</w:t>
      </w:r>
      <w:r>
        <w:rPr>
          <w:spacing w:val="19"/>
          <w:position w:val="5"/>
          <w:sz w:val="12"/>
        </w:rPr>
        <w:t xml:space="preserve"> </w:t>
      </w:r>
      <w:r>
        <w:rPr>
          <w:sz w:val="18"/>
        </w:rPr>
        <w:t xml:space="preserve">Michael Scaturro, “States Seek Crackdown on Toxic Ingredients in Cosmetics to Close Gaps in Federal Oversight,” </w:t>
      </w:r>
      <w:r>
        <w:rPr>
          <w:i/>
          <w:sz w:val="18"/>
        </w:rPr>
        <w:t>Kaiser Health</w:t>
      </w:r>
      <w:r>
        <w:rPr>
          <w:i/>
          <w:spacing w:val="-7"/>
          <w:sz w:val="18"/>
        </w:rPr>
        <w:t xml:space="preserve"> </w:t>
      </w:r>
      <w:r>
        <w:rPr>
          <w:i/>
          <w:sz w:val="18"/>
        </w:rPr>
        <w:t>News</w:t>
      </w:r>
      <w:r>
        <w:rPr>
          <w:sz w:val="18"/>
        </w:rPr>
        <w:t>,</w:t>
      </w:r>
      <w:r>
        <w:rPr>
          <w:spacing w:val="-8"/>
          <w:sz w:val="18"/>
        </w:rPr>
        <w:t xml:space="preserve"> </w:t>
      </w:r>
      <w:r>
        <w:rPr>
          <w:sz w:val="18"/>
        </w:rPr>
        <w:t>February</w:t>
      </w:r>
      <w:r>
        <w:rPr>
          <w:spacing w:val="-8"/>
          <w:sz w:val="18"/>
        </w:rPr>
        <w:t xml:space="preserve"> </w:t>
      </w:r>
      <w:r>
        <w:rPr>
          <w:sz w:val="18"/>
        </w:rPr>
        <w:t>23,</w:t>
      </w:r>
      <w:r>
        <w:rPr>
          <w:spacing w:val="-8"/>
          <w:sz w:val="18"/>
        </w:rPr>
        <w:t xml:space="preserve"> </w:t>
      </w:r>
      <w:r>
        <w:rPr>
          <w:sz w:val="18"/>
        </w:rPr>
        <w:t>2023,</w:t>
      </w:r>
      <w:r>
        <w:rPr>
          <w:spacing w:val="-8"/>
          <w:sz w:val="18"/>
        </w:rPr>
        <w:t xml:space="preserve"> </w:t>
      </w:r>
      <w:r>
        <w:rPr>
          <w:sz w:val="18"/>
        </w:rPr>
        <w:t xml:space="preserve">https://khn.org/news/article/states-seek-crackdown-on-toxic-ingredients-in-cosmetics-to- </w:t>
      </w:r>
      <w:r>
        <w:rPr>
          <w:spacing w:val="-2"/>
          <w:sz w:val="18"/>
        </w:rPr>
        <w:t>close-gaps-in-federal-oversight/.</w:t>
      </w:r>
    </w:p>
    <w:p w:rsidR="00200FDA" w:rsidRDefault="00F76C4C">
      <w:pPr>
        <w:ind w:left="140" w:right="1035" w:hanging="1"/>
        <w:rPr>
          <w:sz w:val="18"/>
        </w:rPr>
      </w:pPr>
      <w:r>
        <w:rPr>
          <w:position w:val="5"/>
          <w:sz w:val="12"/>
        </w:rPr>
        <w:t>45</w:t>
      </w:r>
      <w:r>
        <w:rPr>
          <w:spacing w:val="10"/>
          <w:position w:val="5"/>
          <w:sz w:val="12"/>
        </w:rPr>
        <w:t xml:space="preserve"> </w:t>
      </w:r>
      <w:r>
        <w:rPr>
          <w:sz w:val="18"/>
        </w:rPr>
        <w:t>“Safer</w:t>
      </w:r>
      <w:r>
        <w:rPr>
          <w:spacing w:val="-3"/>
          <w:sz w:val="18"/>
        </w:rPr>
        <w:t xml:space="preserve"> </w:t>
      </w:r>
      <w:r>
        <w:rPr>
          <w:sz w:val="18"/>
        </w:rPr>
        <w:t>Beauty</w:t>
      </w:r>
      <w:r>
        <w:rPr>
          <w:spacing w:val="-2"/>
          <w:sz w:val="18"/>
        </w:rPr>
        <w:t xml:space="preserve"> </w:t>
      </w:r>
      <w:r>
        <w:rPr>
          <w:sz w:val="18"/>
        </w:rPr>
        <w:t>&amp;</w:t>
      </w:r>
      <w:r>
        <w:rPr>
          <w:spacing w:val="-3"/>
          <w:sz w:val="18"/>
        </w:rPr>
        <w:t xml:space="preserve"> </w:t>
      </w:r>
      <w:r>
        <w:rPr>
          <w:sz w:val="18"/>
        </w:rPr>
        <w:t>Cosmetics</w:t>
      </w:r>
      <w:r>
        <w:rPr>
          <w:spacing w:val="-1"/>
          <w:sz w:val="18"/>
        </w:rPr>
        <w:t xml:space="preserve"> </w:t>
      </w:r>
      <w:r>
        <w:rPr>
          <w:sz w:val="18"/>
        </w:rPr>
        <w:t>State</w:t>
      </w:r>
      <w:r>
        <w:rPr>
          <w:spacing w:val="-1"/>
          <w:sz w:val="18"/>
        </w:rPr>
        <w:t xml:space="preserve"> </w:t>
      </w:r>
      <w:r>
        <w:rPr>
          <w:sz w:val="18"/>
        </w:rPr>
        <w:t>Laws,”</w:t>
      </w:r>
      <w:r>
        <w:rPr>
          <w:spacing w:val="-3"/>
          <w:sz w:val="18"/>
        </w:rPr>
        <w:t xml:space="preserve"> </w:t>
      </w:r>
      <w:r>
        <w:rPr>
          <w:i/>
          <w:sz w:val="18"/>
        </w:rPr>
        <w:t>Breast</w:t>
      </w:r>
      <w:r>
        <w:rPr>
          <w:i/>
          <w:spacing w:val="-3"/>
          <w:sz w:val="18"/>
        </w:rPr>
        <w:t xml:space="preserve"> </w:t>
      </w:r>
      <w:r>
        <w:rPr>
          <w:i/>
          <w:sz w:val="18"/>
        </w:rPr>
        <w:t>Cancer</w:t>
      </w:r>
      <w:r>
        <w:rPr>
          <w:i/>
          <w:spacing w:val="-4"/>
          <w:sz w:val="18"/>
        </w:rPr>
        <w:t xml:space="preserve"> </w:t>
      </w:r>
      <w:r>
        <w:rPr>
          <w:i/>
          <w:sz w:val="18"/>
        </w:rPr>
        <w:t>Prevention</w:t>
      </w:r>
      <w:r>
        <w:rPr>
          <w:i/>
          <w:spacing w:val="-4"/>
          <w:sz w:val="18"/>
        </w:rPr>
        <w:t xml:space="preserve"> </w:t>
      </w:r>
      <w:r>
        <w:rPr>
          <w:i/>
          <w:sz w:val="18"/>
        </w:rPr>
        <w:t>Partners</w:t>
      </w:r>
      <w:r>
        <w:rPr>
          <w:i/>
          <w:spacing w:val="-3"/>
          <w:sz w:val="18"/>
        </w:rPr>
        <w:t xml:space="preserve"> </w:t>
      </w:r>
      <w:r>
        <w:rPr>
          <w:i/>
          <w:sz w:val="18"/>
        </w:rPr>
        <w:t>(BCPP)</w:t>
      </w:r>
      <w:r>
        <w:rPr>
          <w:i/>
          <w:spacing w:val="-2"/>
          <w:sz w:val="18"/>
        </w:rPr>
        <w:t xml:space="preserve"> </w:t>
      </w:r>
      <w:r>
        <w:rPr>
          <w:sz w:val="18"/>
        </w:rPr>
        <w:t>(blog),</w:t>
      </w:r>
      <w:r>
        <w:rPr>
          <w:spacing w:val="-2"/>
          <w:sz w:val="18"/>
        </w:rPr>
        <w:t xml:space="preserve"> </w:t>
      </w:r>
      <w:r>
        <w:rPr>
          <w:sz w:val="18"/>
        </w:rPr>
        <w:t>accessed</w:t>
      </w:r>
      <w:r>
        <w:rPr>
          <w:spacing w:val="-1"/>
          <w:sz w:val="18"/>
        </w:rPr>
        <w:t xml:space="preserve"> </w:t>
      </w:r>
      <w:r>
        <w:rPr>
          <w:sz w:val="18"/>
        </w:rPr>
        <w:t>March</w:t>
      </w:r>
      <w:r>
        <w:rPr>
          <w:spacing w:val="-3"/>
          <w:sz w:val="18"/>
        </w:rPr>
        <w:t xml:space="preserve"> </w:t>
      </w:r>
      <w:r>
        <w:rPr>
          <w:sz w:val="18"/>
        </w:rPr>
        <w:t>6,</w:t>
      </w:r>
      <w:r>
        <w:rPr>
          <w:spacing w:val="-2"/>
          <w:sz w:val="18"/>
        </w:rPr>
        <w:t xml:space="preserve"> </w:t>
      </w:r>
      <w:r>
        <w:rPr>
          <w:sz w:val="18"/>
        </w:rPr>
        <w:t xml:space="preserve">2023, </w:t>
      </w:r>
      <w:r>
        <w:rPr>
          <w:spacing w:val="-2"/>
          <w:sz w:val="18"/>
        </w:rPr>
        <w:t>https://</w:t>
      </w:r>
      <w:hyperlink r:id="rId746">
        <w:r>
          <w:rPr>
            <w:spacing w:val="-2"/>
            <w:sz w:val="18"/>
          </w:rPr>
          <w:t>www.bcpp.org/resource/safer-beauty-and-cosmetics-state-laws/.</w:t>
        </w:r>
      </w:hyperlink>
    </w:p>
    <w:p w:rsidR="00200FDA" w:rsidRDefault="00F76C4C">
      <w:pPr>
        <w:spacing w:before="1" w:line="219" w:lineRule="exact"/>
        <w:ind w:left="140"/>
        <w:rPr>
          <w:sz w:val="18"/>
        </w:rPr>
      </w:pPr>
      <w:r>
        <w:rPr>
          <w:position w:val="5"/>
          <w:sz w:val="12"/>
        </w:rPr>
        <w:t>46</w:t>
      </w:r>
      <w:r>
        <w:rPr>
          <w:spacing w:val="11"/>
          <w:position w:val="5"/>
          <w:sz w:val="12"/>
        </w:rPr>
        <w:t xml:space="preserve"> </w:t>
      </w:r>
      <w:r>
        <w:rPr>
          <w:sz w:val="18"/>
        </w:rPr>
        <w:t>“Bill</w:t>
      </w:r>
      <w:r>
        <w:rPr>
          <w:spacing w:val="-2"/>
          <w:sz w:val="18"/>
        </w:rPr>
        <w:t xml:space="preserve"> </w:t>
      </w:r>
      <w:r>
        <w:rPr>
          <w:sz w:val="18"/>
        </w:rPr>
        <w:t>H.2197,”</w:t>
      </w:r>
      <w:r>
        <w:rPr>
          <w:spacing w:val="-2"/>
          <w:sz w:val="18"/>
        </w:rPr>
        <w:t xml:space="preserve"> </w:t>
      </w:r>
      <w:r>
        <w:rPr>
          <w:sz w:val="18"/>
        </w:rPr>
        <w:t>accessed</w:t>
      </w:r>
      <w:r>
        <w:rPr>
          <w:spacing w:val="-2"/>
          <w:sz w:val="18"/>
        </w:rPr>
        <w:t xml:space="preserve"> </w:t>
      </w:r>
      <w:r>
        <w:rPr>
          <w:sz w:val="18"/>
        </w:rPr>
        <w:t>March</w:t>
      </w:r>
      <w:r>
        <w:rPr>
          <w:spacing w:val="-2"/>
          <w:sz w:val="18"/>
        </w:rPr>
        <w:t xml:space="preserve"> </w:t>
      </w:r>
      <w:r>
        <w:rPr>
          <w:sz w:val="18"/>
        </w:rPr>
        <w:t>13,</w:t>
      </w:r>
      <w:r>
        <w:rPr>
          <w:spacing w:val="-1"/>
          <w:sz w:val="18"/>
        </w:rPr>
        <w:t xml:space="preserve"> </w:t>
      </w:r>
      <w:r>
        <w:rPr>
          <w:sz w:val="18"/>
        </w:rPr>
        <w:t xml:space="preserve">2023, </w:t>
      </w:r>
      <w:r>
        <w:rPr>
          <w:spacing w:val="-2"/>
          <w:sz w:val="18"/>
        </w:rPr>
        <w:t>https://malegislature.gov/Bills/193/HD3324.</w:t>
      </w:r>
    </w:p>
    <w:p w:rsidR="00200FDA" w:rsidRDefault="00F76C4C">
      <w:pPr>
        <w:ind w:left="140" w:right="281"/>
        <w:rPr>
          <w:sz w:val="18"/>
        </w:rPr>
      </w:pPr>
      <w:r>
        <w:rPr>
          <w:position w:val="5"/>
          <w:sz w:val="12"/>
        </w:rPr>
        <w:t>47</w:t>
      </w:r>
      <w:r>
        <w:rPr>
          <w:spacing w:val="10"/>
          <w:position w:val="5"/>
          <w:sz w:val="12"/>
        </w:rPr>
        <w:t xml:space="preserve"> </w:t>
      </w:r>
      <w:r>
        <w:rPr>
          <w:sz w:val="18"/>
        </w:rPr>
        <w:t>Leo</w:t>
      </w:r>
      <w:r>
        <w:rPr>
          <w:spacing w:val="-1"/>
          <w:sz w:val="18"/>
        </w:rPr>
        <w:t xml:space="preserve"> </w:t>
      </w:r>
      <w:r>
        <w:rPr>
          <w:sz w:val="18"/>
        </w:rPr>
        <w:t>Goldsmith</w:t>
      </w:r>
      <w:r>
        <w:rPr>
          <w:spacing w:val="-3"/>
          <w:sz w:val="18"/>
        </w:rPr>
        <w:t xml:space="preserve"> </w:t>
      </w:r>
      <w:r>
        <w:rPr>
          <w:sz w:val="18"/>
        </w:rPr>
        <w:t>and</w:t>
      </w:r>
      <w:r>
        <w:rPr>
          <w:spacing w:val="-3"/>
          <w:sz w:val="18"/>
        </w:rPr>
        <w:t xml:space="preserve"> </w:t>
      </w:r>
      <w:r>
        <w:rPr>
          <w:sz w:val="18"/>
        </w:rPr>
        <w:t>Michelle</w:t>
      </w:r>
      <w:r>
        <w:rPr>
          <w:spacing w:val="-3"/>
          <w:sz w:val="18"/>
        </w:rPr>
        <w:t xml:space="preserve"> </w:t>
      </w:r>
      <w:r>
        <w:rPr>
          <w:sz w:val="18"/>
        </w:rPr>
        <w:t>L.</w:t>
      </w:r>
      <w:r>
        <w:rPr>
          <w:spacing w:val="-2"/>
          <w:sz w:val="18"/>
        </w:rPr>
        <w:t xml:space="preserve"> </w:t>
      </w:r>
      <w:r>
        <w:rPr>
          <w:sz w:val="18"/>
        </w:rPr>
        <w:t>Bell,</w:t>
      </w:r>
      <w:r>
        <w:rPr>
          <w:spacing w:val="-2"/>
          <w:sz w:val="18"/>
        </w:rPr>
        <w:t xml:space="preserve"> </w:t>
      </w:r>
      <w:r>
        <w:rPr>
          <w:sz w:val="18"/>
        </w:rPr>
        <w:t>“Queering</w:t>
      </w:r>
      <w:r>
        <w:rPr>
          <w:spacing w:val="-3"/>
          <w:sz w:val="18"/>
        </w:rPr>
        <w:t xml:space="preserve"> </w:t>
      </w:r>
      <w:r>
        <w:rPr>
          <w:sz w:val="18"/>
        </w:rPr>
        <w:t>Environmental</w:t>
      </w:r>
      <w:r>
        <w:rPr>
          <w:spacing w:val="-3"/>
          <w:sz w:val="18"/>
        </w:rPr>
        <w:t xml:space="preserve"> </w:t>
      </w:r>
      <w:r>
        <w:rPr>
          <w:sz w:val="18"/>
        </w:rPr>
        <w:t>Justice:</w:t>
      </w:r>
      <w:r>
        <w:rPr>
          <w:spacing w:val="-2"/>
          <w:sz w:val="18"/>
        </w:rPr>
        <w:t xml:space="preserve"> </w:t>
      </w:r>
      <w:r>
        <w:rPr>
          <w:sz w:val="18"/>
        </w:rPr>
        <w:t>Unequal</w:t>
      </w:r>
      <w:r>
        <w:rPr>
          <w:spacing w:val="-3"/>
          <w:sz w:val="18"/>
        </w:rPr>
        <w:t xml:space="preserve"> </w:t>
      </w:r>
      <w:r>
        <w:rPr>
          <w:sz w:val="18"/>
        </w:rPr>
        <w:t>Environmental</w:t>
      </w:r>
      <w:r>
        <w:rPr>
          <w:spacing w:val="-3"/>
          <w:sz w:val="18"/>
        </w:rPr>
        <w:t xml:space="preserve"> </w:t>
      </w:r>
      <w:r>
        <w:rPr>
          <w:sz w:val="18"/>
        </w:rPr>
        <w:t>Health</w:t>
      </w:r>
      <w:r>
        <w:rPr>
          <w:spacing w:val="-3"/>
          <w:sz w:val="18"/>
        </w:rPr>
        <w:t xml:space="preserve"> </w:t>
      </w:r>
      <w:r>
        <w:rPr>
          <w:sz w:val="18"/>
        </w:rPr>
        <w:t>Burden</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LGBTQ+ Community,”</w:t>
      </w:r>
      <w:r>
        <w:rPr>
          <w:spacing w:val="-4"/>
          <w:sz w:val="18"/>
        </w:rPr>
        <w:t xml:space="preserve"> </w:t>
      </w:r>
      <w:r>
        <w:rPr>
          <w:i/>
          <w:sz w:val="18"/>
        </w:rPr>
        <w:t>American</w:t>
      </w:r>
      <w:r>
        <w:rPr>
          <w:i/>
          <w:spacing w:val="-2"/>
          <w:sz w:val="18"/>
        </w:rPr>
        <w:t xml:space="preserve"> </w:t>
      </w:r>
      <w:r>
        <w:rPr>
          <w:i/>
          <w:sz w:val="18"/>
        </w:rPr>
        <w:t>Journal</w:t>
      </w:r>
      <w:r>
        <w:rPr>
          <w:i/>
          <w:spacing w:val="-4"/>
          <w:sz w:val="18"/>
        </w:rPr>
        <w:t xml:space="preserve"> </w:t>
      </w:r>
      <w:r>
        <w:rPr>
          <w:i/>
          <w:sz w:val="18"/>
        </w:rPr>
        <w:t>of</w:t>
      </w:r>
      <w:r>
        <w:rPr>
          <w:i/>
          <w:spacing w:val="-3"/>
          <w:sz w:val="18"/>
        </w:rPr>
        <w:t xml:space="preserve"> </w:t>
      </w:r>
      <w:r>
        <w:rPr>
          <w:i/>
          <w:sz w:val="18"/>
        </w:rPr>
        <w:t>Public</w:t>
      </w:r>
      <w:r>
        <w:rPr>
          <w:i/>
          <w:spacing w:val="-4"/>
          <w:sz w:val="18"/>
        </w:rPr>
        <w:t xml:space="preserve"> </w:t>
      </w:r>
      <w:r>
        <w:rPr>
          <w:i/>
          <w:sz w:val="18"/>
        </w:rPr>
        <w:t>Health</w:t>
      </w:r>
      <w:r>
        <w:rPr>
          <w:i/>
          <w:spacing w:val="-3"/>
          <w:sz w:val="18"/>
        </w:rPr>
        <w:t xml:space="preserve"> </w:t>
      </w:r>
      <w:r>
        <w:rPr>
          <w:sz w:val="18"/>
        </w:rPr>
        <w:t>112,</w:t>
      </w:r>
      <w:r>
        <w:rPr>
          <w:spacing w:val="-3"/>
          <w:sz w:val="18"/>
        </w:rPr>
        <w:t xml:space="preserve"> </w:t>
      </w:r>
      <w:r>
        <w:rPr>
          <w:sz w:val="18"/>
        </w:rPr>
        <w:t>no.</w:t>
      </w:r>
      <w:r>
        <w:rPr>
          <w:spacing w:val="-3"/>
          <w:sz w:val="18"/>
        </w:rPr>
        <w:t xml:space="preserve"> </w:t>
      </w:r>
      <w:r>
        <w:rPr>
          <w:sz w:val="18"/>
        </w:rPr>
        <w:t>1</w:t>
      </w:r>
      <w:r>
        <w:rPr>
          <w:spacing w:val="-3"/>
          <w:sz w:val="18"/>
        </w:rPr>
        <w:t xml:space="preserve"> </w:t>
      </w:r>
      <w:r>
        <w:rPr>
          <w:sz w:val="18"/>
        </w:rPr>
        <w:t>(January</w:t>
      </w:r>
      <w:r>
        <w:rPr>
          <w:spacing w:val="-4"/>
          <w:sz w:val="18"/>
        </w:rPr>
        <w:t xml:space="preserve"> </w:t>
      </w:r>
      <w:r>
        <w:rPr>
          <w:sz w:val="18"/>
        </w:rPr>
        <w:t>2022):</w:t>
      </w:r>
      <w:r>
        <w:rPr>
          <w:spacing w:val="-3"/>
          <w:sz w:val="18"/>
        </w:rPr>
        <w:t xml:space="preserve"> </w:t>
      </w:r>
      <w:r>
        <w:rPr>
          <w:sz w:val="18"/>
        </w:rPr>
        <w:t>79–87,</w:t>
      </w:r>
      <w:r>
        <w:rPr>
          <w:spacing w:val="-3"/>
          <w:sz w:val="18"/>
        </w:rPr>
        <w:t xml:space="preserve"> </w:t>
      </w:r>
      <w:r>
        <w:rPr>
          <w:sz w:val="18"/>
        </w:rPr>
        <w:t xml:space="preserve">https://doi.org/10.2105/AJPH.2021.306406. </w:t>
      </w:r>
      <w:r>
        <w:rPr>
          <w:position w:val="5"/>
          <w:sz w:val="12"/>
        </w:rPr>
        <w:t>48</w:t>
      </w:r>
      <w:r>
        <w:rPr>
          <w:spacing w:val="19"/>
          <w:position w:val="5"/>
          <w:sz w:val="12"/>
        </w:rPr>
        <w:t xml:space="preserve"> </w:t>
      </w:r>
      <w:r>
        <w:rPr>
          <w:sz w:val="18"/>
        </w:rPr>
        <w:t>National Congress of American Indians P</w:t>
      </w:r>
      <w:r>
        <w:rPr>
          <w:sz w:val="18"/>
        </w:rPr>
        <w:t>olicy Research Center, “A Spotlight on Two Spirit (Native LGBT) Communities,” accessed April 2, 2023, https://</w:t>
      </w:r>
      <w:hyperlink r:id="rId747">
        <w:r>
          <w:rPr>
            <w:sz w:val="18"/>
          </w:rPr>
          <w:t>www.ncai.org/policy-research-center/research-data/prc-</w:t>
        </w:r>
      </w:hyperlink>
      <w:r>
        <w:rPr>
          <w:sz w:val="18"/>
        </w:rPr>
        <w:t xml:space="preserve"> </w:t>
      </w:r>
      <w:r>
        <w:rPr>
          <w:spacing w:val="-2"/>
          <w:sz w:val="18"/>
        </w:rPr>
        <w:t>publicatio</w:t>
      </w:r>
      <w:r>
        <w:rPr>
          <w:spacing w:val="-2"/>
          <w:sz w:val="18"/>
        </w:rPr>
        <w:t>ns/A_Spotlight_on_Native_LGBT.pdf.</w:t>
      </w:r>
    </w:p>
    <w:p w:rsidR="00200FDA" w:rsidRDefault="00200FDA">
      <w:pPr>
        <w:rPr>
          <w:sz w:val="18"/>
        </w:rPr>
        <w:sectPr w:rsidR="00200FDA">
          <w:pgSz w:w="12240" w:h="15840"/>
          <w:pgMar w:top="1380" w:right="1300" w:bottom="1540" w:left="1300" w:header="758" w:footer="1297" w:gutter="0"/>
          <w:cols w:space="720"/>
        </w:sectPr>
      </w:pPr>
    </w:p>
    <w:p w:rsidR="00200FDA" w:rsidRDefault="00200FDA">
      <w:pPr>
        <w:pStyle w:val="BodyText"/>
        <w:spacing w:before="1"/>
        <w:rPr>
          <w:sz w:val="19"/>
        </w:rPr>
      </w:pPr>
    </w:p>
    <w:p w:rsidR="00200FDA" w:rsidRDefault="00F76C4C">
      <w:pPr>
        <w:spacing w:before="69"/>
        <w:ind w:left="140" w:right="503" w:hanging="1"/>
        <w:rPr>
          <w:sz w:val="18"/>
        </w:rPr>
      </w:pPr>
      <w:r>
        <w:rPr>
          <w:position w:val="5"/>
          <w:sz w:val="12"/>
        </w:rPr>
        <w:t>49</w:t>
      </w:r>
      <w:r>
        <w:rPr>
          <w:spacing w:val="9"/>
          <w:position w:val="5"/>
          <w:sz w:val="12"/>
        </w:rPr>
        <w:t xml:space="preserve"> </w:t>
      </w:r>
      <w:r>
        <w:rPr>
          <w:sz w:val="18"/>
        </w:rPr>
        <w:t>The</w:t>
      </w:r>
      <w:r>
        <w:rPr>
          <w:spacing w:val="-4"/>
          <w:sz w:val="18"/>
        </w:rPr>
        <w:t xml:space="preserve"> </w:t>
      </w:r>
      <w:r>
        <w:rPr>
          <w:sz w:val="18"/>
        </w:rPr>
        <w:t>Fenway</w:t>
      </w:r>
      <w:r>
        <w:rPr>
          <w:spacing w:val="-3"/>
          <w:sz w:val="18"/>
        </w:rPr>
        <w:t xml:space="preserve"> </w:t>
      </w:r>
      <w:r>
        <w:rPr>
          <w:sz w:val="18"/>
        </w:rPr>
        <w:t>Institute,</w:t>
      </w:r>
      <w:r>
        <w:rPr>
          <w:spacing w:val="-3"/>
          <w:sz w:val="18"/>
        </w:rPr>
        <w:t xml:space="preserve"> </w:t>
      </w:r>
      <w:r>
        <w:rPr>
          <w:sz w:val="18"/>
        </w:rPr>
        <w:t>“Health</w:t>
      </w:r>
      <w:r>
        <w:rPr>
          <w:spacing w:val="-4"/>
          <w:sz w:val="18"/>
        </w:rPr>
        <w:t xml:space="preserve"> </w:t>
      </w:r>
      <w:r>
        <w:rPr>
          <w:sz w:val="18"/>
        </w:rPr>
        <w:t>Care</w:t>
      </w:r>
      <w:r>
        <w:rPr>
          <w:spacing w:val="-4"/>
          <w:sz w:val="18"/>
        </w:rPr>
        <w:t xml:space="preserve"> </w:t>
      </w:r>
      <w:r>
        <w:rPr>
          <w:sz w:val="18"/>
        </w:rPr>
        <w:t>Considerations</w:t>
      </w:r>
      <w:r>
        <w:rPr>
          <w:spacing w:val="-4"/>
          <w:sz w:val="18"/>
        </w:rPr>
        <w:t xml:space="preserve"> </w:t>
      </w:r>
      <w:r>
        <w:rPr>
          <w:sz w:val="18"/>
        </w:rPr>
        <w:t>for</w:t>
      </w:r>
      <w:r>
        <w:rPr>
          <w:spacing w:val="-4"/>
          <w:sz w:val="18"/>
        </w:rPr>
        <w:t xml:space="preserve"> </w:t>
      </w:r>
      <w:r>
        <w:rPr>
          <w:sz w:val="18"/>
        </w:rPr>
        <w:t>Two</w:t>
      </w:r>
      <w:r>
        <w:rPr>
          <w:spacing w:val="-2"/>
          <w:sz w:val="18"/>
        </w:rPr>
        <w:t xml:space="preserve"> </w:t>
      </w:r>
      <w:r>
        <w:rPr>
          <w:sz w:val="18"/>
        </w:rPr>
        <w:t>Spirit</w:t>
      </w:r>
      <w:r>
        <w:rPr>
          <w:spacing w:val="-4"/>
          <w:sz w:val="18"/>
        </w:rPr>
        <w:t xml:space="preserve"> </w:t>
      </w:r>
      <w:r>
        <w:rPr>
          <w:sz w:val="18"/>
        </w:rPr>
        <w:t>and</w:t>
      </w:r>
      <w:r>
        <w:rPr>
          <w:spacing w:val="-4"/>
          <w:sz w:val="18"/>
        </w:rPr>
        <w:t xml:space="preserve"> </w:t>
      </w:r>
      <w:r>
        <w:rPr>
          <w:sz w:val="18"/>
        </w:rPr>
        <w:t>LGBTQIA+</w:t>
      </w:r>
      <w:r>
        <w:rPr>
          <w:spacing w:val="-4"/>
          <w:sz w:val="18"/>
        </w:rPr>
        <w:t xml:space="preserve"> </w:t>
      </w:r>
      <w:r>
        <w:rPr>
          <w:sz w:val="18"/>
        </w:rPr>
        <w:t>Indigenous</w:t>
      </w:r>
      <w:r>
        <w:rPr>
          <w:spacing w:val="-4"/>
          <w:sz w:val="18"/>
        </w:rPr>
        <w:t xml:space="preserve"> </w:t>
      </w:r>
      <w:r>
        <w:rPr>
          <w:sz w:val="18"/>
        </w:rPr>
        <w:t>Communities,”</w:t>
      </w:r>
      <w:r>
        <w:rPr>
          <w:spacing w:val="-4"/>
          <w:sz w:val="18"/>
        </w:rPr>
        <w:t xml:space="preserve"> </w:t>
      </w:r>
      <w:r>
        <w:rPr>
          <w:sz w:val="18"/>
        </w:rPr>
        <w:t>January</w:t>
      </w:r>
      <w:r>
        <w:rPr>
          <w:spacing w:val="-3"/>
          <w:sz w:val="18"/>
        </w:rPr>
        <w:t xml:space="preserve"> </w:t>
      </w:r>
      <w:r>
        <w:rPr>
          <w:sz w:val="18"/>
        </w:rPr>
        <w:t xml:space="preserve">2022, </w:t>
      </w:r>
      <w:r>
        <w:rPr>
          <w:spacing w:val="-2"/>
          <w:sz w:val="18"/>
        </w:rPr>
        <w:t>https://</w:t>
      </w:r>
      <w:hyperlink r:id="rId748">
        <w:r>
          <w:rPr>
            <w:spacing w:val="-2"/>
            <w:sz w:val="18"/>
          </w:rPr>
          <w:t>www.lgbtqiahealtheducation.org/publication/health-care-considerations-for-two-spirit-and-lgbtqia-indigenous-</w:t>
        </w:r>
      </w:hyperlink>
      <w:r>
        <w:rPr>
          <w:sz w:val="18"/>
        </w:rPr>
        <w:t xml:space="preserve"> </w:t>
      </w:r>
      <w:r>
        <w:rPr>
          <w:spacing w:val="-2"/>
          <w:sz w:val="18"/>
        </w:rPr>
        <w:t>communities/.</w:t>
      </w:r>
    </w:p>
    <w:p w:rsidR="00200FDA" w:rsidRDefault="00F76C4C">
      <w:pPr>
        <w:spacing w:before="1"/>
        <w:ind w:left="140" w:right="218" w:hanging="1"/>
        <w:rPr>
          <w:sz w:val="18"/>
        </w:rPr>
      </w:pPr>
      <w:r>
        <w:rPr>
          <w:position w:val="5"/>
          <w:sz w:val="12"/>
        </w:rPr>
        <w:t>50</w:t>
      </w:r>
      <w:r>
        <w:rPr>
          <w:spacing w:val="9"/>
          <w:position w:val="5"/>
          <w:sz w:val="12"/>
        </w:rPr>
        <w:t xml:space="preserve"> </w:t>
      </w:r>
      <w:r>
        <w:rPr>
          <w:sz w:val="18"/>
        </w:rPr>
        <w:t>Alejandro</w:t>
      </w:r>
      <w:r>
        <w:rPr>
          <w:spacing w:val="-2"/>
          <w:sz w:val="18"/>
        </w:rPr>
        <w:t xml:space="preserve"> </w:t>
      </w:r>
      <w:r>
        <w:rPr>
          <w:sz w:val="18"/>
        </w:rPr>
        <w:t>Alvaro-Meca</w:t>
      </w:r>
      <w:r>
        <w:rPr>
          <w:spacing w:val="-3"/>
          <w:sz w:val="18"/>
        </w:rPr>
        <w:t xml:space="preserve"> </w:t>
      </w:r>
      <w:r>
        <w:rPr>
          <w:sz w:val="18"/>
        </w:rPr>
        <w:t>et</w:t>
      </w:r>
      <w:r>
        <w:rPr>
          <w:spacing w:val="-4"/>
          <w:sz w:val="18"/>
        </w:rPr>
        <w:t xml:space="preserve"> </w:t>
      </w:r>
      <w:r>
        <w:rPr>
          <w:sz w:val="18"/>
        </w:rPr>
        <w:t>al.,</w:t>
      </w:r>
      <w:r>
        <w:rPr>
          <w:spacing w:val="-3"/>
          <w:sz w:val="18"/>
        </w:rPr>
        <w:t xml:space="preserve"> </w:t>
      </w:r>
      <w:r>
        <w:rPr>
          <w:sz w:val="18"/>
        </w:rPr>
        <w:t>“Pneumocystis</w:t>
      </w:r>
      <w:r>
        <w:rPr>
          <w:spacing w:val="-4"/>
          <w:sz w:val="18"/>
        </w:rPr>
        <w:t xml:space="preserve"> </w:t>
      </w:r>
      <w:r>
        <w:rPr>
          <w:sz w:val="18"/>
        </w:rPr>
        <w:t>Pneumonia</w:t>
      </w:r>
      <w:r>
        <w:rPr>
          <w:spacing w:val="-3"/>
          <w:sz w:val="18"/>
        </w:rPr>
        <w:t xml:space="preserve"> </w:t>
      </w:r>
      <w:r>
        <w:rPr>
          <w:sz w:val="18"/>
        </w:rPr>
        <w:t>in</w:t>
      </w:r>
      <w:r>
        <w:rPr>
          <w:spacing w:val="-4"/>
          <w:sz w:val="18"/>
        </w:rPr>
        <w:t xml:space="preserve"> </w:t>
      </w:r>
      <w:r>
        <w:rPr>
          <w:sz w:val="18"/>
        </w:rPr>
        <w:t>HIV-Positive</w:t>
      </w:r>
      <w:r>
        <w:rPr>
          <w:spacing w:val="-4"/>
          <w:sz w:val="18"/>
        </w:rPr>
        <w:t xml:space="preserve"> </w:t>
      </w:r>
      <w:r>
        <w:rPr>
          <w:sz w:val="18"/>
        </w:rPr>
        <w:t>Patients</w:t>
      </w:r>
      <w:r>
        <w:rPr>
          <w:spacing w:val="-4"/>
          <w:sz w:val="18"/>
        </w:rPr>
        <w:t xml:space="preserve"> </w:t>
      </w:r>
      <w:r>
        <w:rPr>
          <w:sz w:val="18"/>
        </w:rPr>
        <w:t>in</w:t>
      </w:r>
      <w:r>
        <w:rPr>
          <w:spacing w:val="-2"/>
          <w:sz w:val="18"/>
        </w:rPr>
        <w:t xml:space="preserve"> </w:t>
      </w:r>
      <w:r>
        <w:rPr>
          <w:sz w:val="18"/>
        </w:rPr>
        <w:t>Spain:</w:t>
      </w:r>
      <w:r>
        <w:rPr>
          <w:spacing w:val="-4"/>
          <w:sz w:val="18"/>
        </w:rPr>
        <w:t xml:space="preserve"> </w:t>
      </w:r>
      <w:r>
        <w:rPr>
          <w:sz w:val="18"/>
        </w:rPr>
        <w:t>Epidemiology</w:t>
      </w:r>
      <w:r>
        <w:rPr>
          <w:spacing w:val="-3"/>
          <w:sz w:val="18"/>
        </w:rPr>
        <w:t xml:space="preserve"> </w:t>
      </w:r>
      <w:r>
        <w:rPr>
          <w:sz w:val="18"/>
        </w:rPr>
        <w:t>and</w:t>
      </w:r>
      <w:r>
        <w:rPr>
          <w:spacing w:val="-4"/>
          <w:sz w:val="18"/>
        </w:rPr>
        <w:t xml:space="preserve"> </w:t>
      </w:r>
      <w:r>
        <w:rPr>
          <w:sz w:val="18"/>
        </w:rPr>
        <w:t xml:space="preserve">Environmental Risk Factors,” </w:t>
      </w:r>
      <w:r>
        <w:rPr>
          <w:i/>
          <w:sz w:val="18"/>
        </w:rPr>
        <w:t xml:space="preserve">Journal of the International AIDS Society </w:t>
      </w:r>
      <w:r>
        <w:rPr>
          <w:sz w:val="18"/>
        </w:rPr>
        <w:t>18, no. 1 (2015): 19906, https://doi.org/10.7448/IAS.18.1.19906.</w:t>
      </w:r>
    </w:p>
    <w:p w:rsidR="00200FDA" w:rsidRDefault="00F76C4C">
      <w:pPr>
        <w:ind w:left="140" w:right="818" w:hanging="1"/>
        <w:rPr>
          <w:sz w:val="18"/>
        </w:rPr>
      </w:pPr>
      <w:r>
        <w:rPr>
          <w:position w:val="5"/>
          <w:sz w:val="12"/>
        </w:rPr>
        <w:t>51</w:t>
      </w:r>
      <w:r>
        <w:rPr>
          <w:spacing w:val="10"/>
          <w:position w:val="5"/>
          <w:sz w:val="12"/>
        </w:rPr>
        <w:t xml:space="preserve"> </w:t>
      </w:r>
      <w:r>
        <w:rPr>
          <w:sz w:val="18"/>
        </w:rPr>
        <w:t>Geneé</w:t>
      </w:r>
      <w:r>
        <w:rPr>
          <w:spacing w:val="-3"/>
          <w:sz w:val="18"/>
        </w:rPr>
        <w:t xml:space="preserve"> </w:t>
      </w:r>
      <w:r>
        <w:rPr>
          <w:sz w:val="18"/>
        </w:rPr>
        <w:t>S.</w:t>
      </w:r>
      <w:r>
        <w:rPr>
          <w:spacing w:val="-2"/>
          <w:sz w:val="18"/>
        </w:rPr>
        <w:t xml:space="preserve"> </w:t>
      </w:r>
      <w:r>
        <w:rPr>
          <w:sz w:val="18"/>
        </w:rPr>
        <w:t>Smith</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“Air</w:t>
      </w:r>
      <w:r>
        <w:rPr>
          <w:spacing w:val="-3"/>
          <w:sz w:val="18"/>
        </w:rPr>
        <w:t xml:space="preserve"> </w:t>
      </w:r>
      <w:r>
        <w:rPr>
          <w:sz w:val="18"/>
        </w:rPr>
        <w:t>Pollution</w:t>
      </w:r>
      <w:r>
        <w:rPr>
          <w:spacing w:val="-3"/>
          <w:sz w:val="18"/>
        </w:rPr>
        <w:t xml:space="preserve"> </w:t>
      </w:r>
      <w:r>
        <w:rPr>
          <w:sz w:val="18"/>
        </w:rPr>
        <w:t>and</w:t>
      </w:r>
      <w:r>
        <w:rPr>
          <w:spacing w:val="-3"/>
          <w:sz w:val="18"/>
        </w:rPr>
        <w:t xml:space="preserve"> </w:t>
      </w:r>
      <w:r>
        <w:rPr>
          <w:sz w:val="18"/>
        </w:rPr>
        <w:t>Pulmonary</w:t>
      </w:r>
      <w:r>
        <w:rPr>
          <w:spacing w:val="-2"/>
          <w:sz w:val="18"/>
        </w:rPr>
        <w:t xml:space="preserve"> </w:t>
      </w:r>
      <w:r>
        <w:rPr>
          <w:sz w:val="18"/>
        </w:rPr>
        <w:t>Tuberculosis:</w:t>
      </w:r>
      <w:r>
        <w:rPr>
          <w:spacing w:val="-2"/>
          <w:sz w:val="18"/>
        </w:rPr>
        <w:t xml:space="preserve"> </w:t>
      </w:r>
      <w:r>
        <w:rPr>
          <w:sz w:val="18"/>
        </w:rPr>
        <w:t>A</w:t>
      </w:r>
      <w:r>
        <w:rPr>
          <w:spacing w:val="-3"/>
          <w:sz w:val="18"/>
        </w:rPr>
        <w:t xml:space="preserve"> </w:t>
      </w:r>
      <w:r>
        <w:rPr>
          <w:sz w:val="18"/>
        </w:rPr>
        <w:t>Nested</w:t>
      </w:r>
      <w:r>
        <w:rPr>
          <w:spacing w:val="-3"/>
          <w:sz w:val="18"/>
        </w:rPr>
        <w:t xml:space="preserve"> </w:t>
      </w:r>
      <w:r>
        <w:rPr>
          <w:sz w:val="18"/>
        </w:rPr>
        <w:t>Case–Control</w:t>
      </w:r>
      <w:r>
        <w:rPr>
          <w:spacing w:val="-1"/>
          <w:sz w:val="18"/>
        </w:rPr>
        <w:t xml:space="preserve"> </w:t>
      </w:r>
      <w:r>
        <w:rPr>
          <w:sz w:val="18"/>
        </w:rPr>
        <w:t>Study</w:t>
      </w:r>
      <w:r>
        <w:rPr>
          <w:spacing w:val="-2"/>
          <w:sz w:val="18"/>
        </w:rPr>
        <w:t xml:space="preserve"> </w:t>
      </w:r>
      <w:r>
        <w:rPr>
          <w:sz w:val="18"/>
        </w:rPr>
        <w:t>among</w:t>
      </w:r>
      <w:r>
        <w:rPr>
          <w:spacing w:val="-3"/>
          <w:sz w:val="18"/>
        </w:rPr>
        <w:t xml:space="preserve"> </w:t>
      </w:r>
      <w:r>
        <w:rPr>
          <w:sz w:val="18"/>
        </w:rPr>
        <w:t>Members</w:t>
      </w:r>
      <w:r>
        <w:rPr>
          <w:spacing w:val="-3"/>
          <w:sz w:val="18"/>
        </w:rPr>
        <w:t xml:space="preserve"> </w:t>
      </w:r>
      <w:r>
        <w:rPr>
          <w:sz w:val="18"/>
        </w:rPr>
        <w:t>of</w:t>
      </w:r>
      <w:r>
        <w:rPr>
          <w:spacing w:val="-2"/>
          <w:sz w:val="18"/>
        </w:rPr>
        <w:t xml:space="preserve"> </w:t>
      </w:r>
      <w:r>
        <w:rPr>
          <w:sz w:val="18"/>
        </w:rPr>
        <w:t xml:space="preserve">a Northern California Health Plan,” </w:t>
      </w:r>
      <w:r>
        <w:rPr>
          <w:i/>
          <w:sz w:val="18"/>
        </w:rPr>
        <w:t xml:space="preserve">Environmental Health Perspectives </w:t>
      </w:r>
      <w:r>
        <w:rPr>
          <w:sz w:val="18"/>
        </w:rPr>
        <w:t xml:space="preserve">124, no. 6 (June 2016): 761–68, </w:t>
      </w:r>
      <w:r>
        <w:rPr>
          <w:spacing w:val="-2"/>
          <w:sz w:val="18"/>
        </w:rPr>
        <w:t>https://doi.org/10.1289/ehp.1408166.</w:t>
      </w:r>
    </w:p>
    <w:p w:rsidR="00200FDA" w:rsidRDefault="00F76C4C">
      <w:pPr>
        <w:spacing w:before="1"/>
        <w:ind w:left="140" w:hanging="1"/>
        <w:rPr>
          <w:sz w:val="18"/>
        </w:rPr>
      </w:pPr>
      <w:r>
        <w:rPr>
          <w:position w:val="5"/>
          <w:sz w:val="12"/>
        </w:rPr>
        <w:t>52</w:t>
      </w:r>
      <w:r>
        <w:rPr>
          <w:spacing w:val="10"/>
          <w:position w:val="5"/>
          <w:sz w:val="12"/>
        </w:rPr>
        <w:t xml:space="preserve"> </w:t>
      </w:r>
      <w:r>
        <w:rPr>
          <w:sz w:val="18"/>
        </w:rPr>
        <w:t>Sophia</w:t>
      </w:r>
      <w:r>
        <w:rPr>
          <w:spacing w:val="-2"/>
          <w:sz w:val="18"/>
        </w:rPr>
        <w:t xml:space="preserve"> </w:t>
      </w:r>
      <w:r>
        <w:rPr>
          <w:sz w:val="18"/>
        </w:rPr>
        <w:t>Toe</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“Ambient</w:t>
      </w:r>
      <w:r>
        <w:rPr>
          <w:spacing w:val="-3"/>
          <w:sz w:val="18"/>
        </w:rPr>
        <w:t xml:space="preserve"> </w:t>
      </w:r>
      <w:r>
        <w:rPr>
          <w:sz w:val="18"/>
        </w:rPr>
        <w:t>Air</w:t>
      </w:r>
      <w:r>
        <w:rPr>
          <w:spacing w:val="-3"/>
          <w:sz w:val="18"/>
        </w:rPr>
        <w:t xml:space="preserve"> </w:t>
      </w:r>
      <w:r>
        <w:rPr>
          <w:sz w:val="18"/>
        </w:rPr>
        <w:t>Pollution</w:t>
      </w:r>
      <w:r>
        <w:rPr>
          <w:spacing w:val="-3"/>
          <w:sz w:val="18"/>
        </w:rPr>
        <w:t xml:space="preserve"> </w:t>
      </w:r>
      <w:r>
        <w:rPr>
          <w:sz w:val="18"/>
        </w:rPr>
        <w:t>Is</w:t>
      </w:r>
      <w:r>
        <w:rPr>
          <w:spacing w:val="-3"/>
          <w:sz w:val="18"/>
        </w:rPr>
        <w:t xml:space="preserve"> </w:t>
      </w:r>
      <w:r>
        <w:rPr>
          <w:sz w:val="18"/>
        </w:rPr>
        <w:t>Associated</w:t>
      </w:r>
      <w:r>
        <w:rPr>
          <w:spacing w:val="-3"/>
          <w:sz w:val="18"/>
        </w:rPr>
        <w:t xml:space="preserve"> </w:t>
      </w:r>
      <w:r>
        <w:rPr>
          <w:sz w:val="18"/>
        </w:rPr>
        <w:t>with</w:t>
      </w:r>
      <w:r>
        <w:rPr>
          <w:spacing w:val="-3"/>
          <w:sz w:val="18"/>
        </w:rPr>
        <w:t xml:space="preserve"> </w:t>
      </w:r>
      <w:r>
        <w:rPr>
          <w:sz w:val="18"/>
        </w:rPr>
        <w:t>Vascular</w:t>
      </w:r>
      <w:r>
        <w:rPr>
          <w:spacing w:val="-3"/>
          <w:sz w:val="18"/>
        </w:rPr>
        <w:t xml:space="preserve"> </w:t>
      </w:r>
      <w:r>
        <w:rPr>
          <w:sz w:val="18"/>
        </w:rPr>
        <w:t>Disease</w:t>
      </w:r>
      <w:r>
        <w:rPr>
          <w:spacing w:val="-3"/>
          <w:sz w:val="18"/>
        </w:rPr>
        <w:t xml:space="preserve"> </w:t>
      </w:r>
      <w:r>
        <w:rPr>
          <w:sz w:val="18"/>
        </w:rPr>
        <w:t>in</w:t>
      </w:r>
      <w:r>
        <w:rPr>
          <w:spacing w:val="-3"/>
          <w:sz w:val="18"/>
        </w:rPr>
        <w:t xml:space="preserve"> </w:t>
      </w:r>
      <w:r>
        <w:rPr>
          <w:sz w:val="18"/>
        </w:rPr>
        <w:t>Ugandan</w:t>
      </w:r>
      <w:r>
        <w:rPr>
          <w:spacing w:val="-3"/>
          <w:sz w:val="18"/>
        </w:rPr>
        <w:t xml:space="preserve"> </w:t>
      </w:r>
      <w:r>
        <w:rPr>
          <w:sz w:val="18"/>
        </w:rPr>
        <w:t>HIV-Positive</w:t>
      </w:r>
      <w:r>
        <w:rPr>
          <w:spacing w:val="-3"/>
          <w:sz w:val="18"/>
        </w:rPr>
        <w:t xml:space="preserve"> </w:t>
      </w:r>
      <w:r>
        <w:rPr>
          <w:sz w:val="18"/>
        </w:rPr>
        <w:t>Adolescents,”</w:t>
      </w:r>
      <w:r>
        <w:rPr>
          <w:spacing w:val="-1"/>
          <w:sz w:val="18"/>
        </w:rPr>
        <w:t xml:space="preserve"> </w:t>
      </w:r>
      <w:r>
        <w:rPr>
          <w:i/>
          <w:sz w:val="18"/>
        </w:rPr>
        <w:t xml:space="preserve">AIDS (London, England) </w:t>
      </w:r>
      <w:r>
        <w:rPr>
          <w:sz w:val="18"/>
        </w:rPr>
        <w:t>36, no. 6 (May 1, 2022): 863–70, https://doi.org/10.1097/QAD.0000000000003186.</w:t>
      </w:r>
    </w:p>
    <w:p w:rsidR="00200FDA" w:rsidRDefault="00F76C4C">
      <w:pPr>
        <w:ind w:left="140" w:right="218" w:hanging="1"/>
        <w:rPr>
          <w:sz w:val="18"/>
        </w:rPr>
      </w:pPr>
      <w:r>
        <w:rPr>
          <w:position w:val="5"/>
          <w:sz w:val="12"/>
        </w:rPr>
        <w:t>53</w:t>
      </w:r>
      <w:r>
        <w:rPr>
          <w:spacing w:val="9"/>
          <w:position w:val="5"/>
          <w:sz w:val="12"/>
        </w:rPr>
        <w:t xml:space="preserve"> </w:t>
      </w:r>
      <w:r>
        <w:rPr>
          <w:sz w:val="18"/>
        </w:rPr>
        <w:t>Cristina</w:t>
      </w:r>
      <w:r>
        <w:rPr>
          <w:spacing w:val="-3"/>
          <w:sz w:val="18"/>
        </w:rPr>
        <w:t xml:space="preserve"> </w:t>
      </w:r>
      <w:r>
        <w:rPr>
          <w:sz w:val="18"/>
        </w:rPr>
        <w:t>Vert</w:t>
      </w:r>
      <w:r>
        <w:rPr>
          <w:spacing w:val="-1"/>
          <w:sz w:val="18"/>
        </w:rPr>
        <w:t xml:space="preserve"> </w:t>
      </w:r>
      <w:r>
        <w:rPr>
          <w:sz w:val="18"/>
        </w:rPr>
        <w:t>et</w:t>
      </w:r>
      <w:r>
        <w:rPr>
          <w:spacing w:val="-4"/>
          <w:sz w:val="18"/>
        </w:rPr>
        <w:t xml:space="preserve"> </w:t>
      </w:r>
      <w:r>
        <w:rPr>
          <w:sz w:val="18"/>
        </w:rPr>
        <w:t>al.,</w:t>
      </w:r>
      <w:r>
        <w:rPr>
          <w:spacing w:val="-3"/>
          <w:sz w:val="18"/>
        </w:rPr>
        <w:t xml:space="preserve"> </w:t>
      </w:r>
      <w:r>
        <w:rPr>
          <w:sz w:val="18"/>
        </w:rPr>
        <w:t>“Effect</w:t>
      </w:r>
      <w:r>
        <w:rPr>
          <w:spacing w:val="-4"/>
          <w:sz w:val="18"/>
        </w:rPr>
        <w:t xml:space="preserve"> </w:t>
      </w:r>
      <w:r>
        <w:rPr>
          <w:sz w:val="18"/>
        </w:rPr>
        <w:t>of</w:t>
      </w:r>
      <w:r>
        <w:rPr>
          <w:spacing w:val="-3"/>
          <w:sz w:val="18"/>
        </w:rPr>
        <w:t xml:space="preserve"> </w:t>
      </w:r>
      <w:r>
        <w:rPr>
          <w:sz w:val="18"/>
        </w:rPr>
        <w:t>Long-Term</w:t>
      </w:r>
      <w:r>
        <w:rPr>
          <w:spacing w:val="-3"/>
          <w:sz w:val="18"/>
        </w:rPr>
        <w:t xml:space="preserve"> </w:t>
      </w:r>
      <w:r>
        <w:rPr>
          <w:sz w:val="18"/>
        </w:rPr>
        <w:t>Exp</w:t>
      </w:r>
      <w:r>
        <w:rPr>
          <w:sz w:val="18"/>
        </w:rPr>
        <w:t>osure</w:t>
      </w:r>
      <w:r>
        <w:rPr>
          <w:spacing w:val="-2"/>
          <w:sz w:val="18"/>
        </w:rPr>
        <w:t xml:space="preserve"> </w:t>
      </w:r>
      <w:r>
        <w:rPr>
          <w:sz w:val="18"/>
        </w:rPr>
        <w:t>to</w:t>
      </w:r>
      <w:r>
        <w:rPr>
          <w:spacing w:val="-2"/>
          <w:sz w:val="18"/>
        </w:rPr>
        <w:t xml:space="preserve"> </w:t>
      </w:r>
      <w:r>
        <w:rPr>
          <w:sz w:val="18"/>
        </w:rPr>
        <w:t>Air</w:t>
      </w:r>
      <w:r>
        <w:rPr>
          <w:spacing w:val="-4"/>
          <w:sz w:val="18"/>
        </w:rPr>
        <w:t xml:space="preserve"> </w:t>
      </w:r>
      <w:r>
        <w:rPr>
          <w:sz w:val="18"/>
        </w:rPr>
        <w:t>Pollution</w:t>
      </w:r>
      <w:r>
        <w:rPr>
          <w:spacing w:val="-2"/>
          <w:sz w:val="18"/>
        </w:rPr>
        <w:t xml:space="preserve"> </w:t>
      </w:r>
      <w:r>
        <w:rPr>
          <w:sz w:val="18"/>
        </w:rPr>
        <w:t>on</w:t>
      </w:r>
      <w:r>
        <w:rPr>
          <w:spacing w:val="-4"/>
          <w:sz w:val="18"/>
        </w:rPr>
        <w:t xml:space="preserve"> </w:t>
      </w:r>
      <w:r>
        <w:rPr>
          <w:sz w:val="18"/>
        </w:rPr>
        <w:t>Anxiety</w:t>
      </w:r>
      <w:r>
        <w:rPr>
          <w:spacing w:val="-3"/>
          <w:sz w:val="18"/>
        </w:rPr>
        <w:t xml:space="preserve"> </w:t>
      </w:r>
      <w:r>
        <w:rPr>
          <w:sz w:val="18"/>
        </w:rPr>
        <w:t>and</w:t>
      </w:r>
      <w:r>
        <w:rPr>
          <w:spacing w:val="-4"/>
          <w:sz w:val="18"/>
        </w:rPr>
        <w:t xml:space="preserve"> </w:t>
      </w:r>
      <w:r>
        <w:rPr>
          <w:sz w:val="18"/>
        </w:rPr>
        <w:t>Depression</w:t>
      </w:r>
      <w:r>
        <w:rPr>
          <w:spacing w:val="-4"/>
          <w:sz w:val="18"/>
        </w:rPr>
        <w:t xml:space="preserve"> </w:t>
      </w:r>
      <w:r>
        <w:rPr>
          <w:sz w:val="18"/>
        </w:rPr>
        <w:t>in</w:t>
      </w:r>
      <w:r>
        <w:rPr>
          <w:spacing w:val="-2"/>
          <w:sz w:val="18"/>
        </w:rPr>
        <w:t xml:space="preserve"> </w:t>
      </w:r>
      <w:r>
        <w:rPr>
          <w:sz w:val="18"/>
        </w:rPr>
        <w:t>Adults:</w:t>
      </w:r>
      <w:r>
        <w:rPr>
          <w:spacing w:val="-1"/>
          <w:sz w:val="18"/>
        </w:rPr>
        <w:t xml:space="preserve"> </w:t>
      </w:r>
      <w:r>
        <w:rPr>
          <w:sz w:val="18"/>
        </w:rPr>
        <w:t>A</w:t>
      </w:r>
      <w:r>
        <w:rPr>
          <w:spacing w:val="-4"/>
          <w:sz w:val="18"/>
        </w:rPr>
        <w:t xml:space="preserve"> </w:t>
      </w:r>
      <w:r>
        <w:rPr>
          <w:sz w:val="18"/>
        </w:rPr>
        <w:t xml:space="preserve">Cross-Sectional Study,” </w:t>
      </w:r>
      <w:r>
        <w:rPr>
          <w:i/>
          <w:sz w:val="18"/>
        </w:rPr>
        <w:t xml:space="preserve">International Journal of Hygiene and Environmental Health </w:t>
      </w:r>
      <w:r>
        <w:rPr>
          <w:sz w:val="18"/>
        </w:rPr>
        <w:t xml:space="preserve">220, no. 6 (August 1, 2017): 1074–80, </w:t>
      </w:r>
      <w:r>
        <w:rPr>
          <w:spacing w:val="-2"/>
          <w:sz w:val="18"/>
        </w:rPr>
        <w:t>https://doi.org/10.1016/j.ijheh.2017.06.009.</w:t>
      </w:r>
    </w:p>
    <w:p w:rsidR="00200FDA" w:rsidRDefault="00F76C4C">
      <w:pPr>
        <w:ind w:left="140" w:right="159" w:hanging="1"/>
        <w:jc w:val="both"/>
        <w:rPr>
          <w:sz w:val="18"/>
        </w:rPr>
      </w:pPr>
      <w:r>
        <w:rPr>
          <w:position w:val="5"/>
          <w:sz w:val="12"/>
        </w:rPr>
        <w:t>54</w:t>
      </w:r>
      <w:r>
        <w:rPr>
          <w:spacing w:val="10"/>
          <w:position w:val="5"/>
          <w:sz w:val="12"/>
        </w:rPr>
        <w:t xml:space="preserve"> </w:t>
      </w:r>
      <w:r>
        <w:rPr>
          <w:sz w:val="18"/>
        </w:rPr>
        <w:t>Joanne</w:t>
      </w:r>
      <w:r>
        <w:rPr>
          <w:spacing w:val="-3"/>
          <w:sz w:val="18"/>
        </w:rPr>
        <w:t xml:space="preserve"> </w:t>
      </w:r>
      <w:r>
        <w:rPr>
          <w:sz w:val="18"/>
        </w:rPr>
        <w:t>B.</w:t>
      </w:r>
      <w:r>
        <w:rPr>
          <w:spacing w:val="-2"/>
          <w:sz w:val="18"/>
        </w:rPr>
        <w:t xml:space="preserve"> </w:t>
      </w:r>
      <w:r>
        <w:rPr>
          <w:sz w:val="18"/>
        </w:rPr>
        <w:t>Newbury et</w:t>
      </w:r>
      <w:r>
        <w:rPr>
          <w:spacing w:val="-3"/>
          <w:sz w:val="18"/>
        </w:rPr>
        <w:t xml:space="preserve"> </w:t>
      </w:r>
      <w:r>
        <w:rPr>
          <w:sz w:val="18"/>
        </w:rPr>
        <w:t>al.,</w:t>
      </w:r>
      <w:r>
        <w:rPr>
          <w:spacing w:val="-2"/>
          <w:sz w:val="18"/>
        </w:rPr>
        <w:t xml:space="preserve"> </w:t>
      </w:r>
      <w:r>
        <w:rPr>
          <w:sz w:val="18"/>
        </w:rPr>
        <w:t>“Association</w:t>
      </w:r>
      <w:r>
        <w:rPr>
          <w:spacing w:val="-3"/>
          <w:sz w:val="18"/>
        </w:rPr>
        <w:t xml:space="preserve"> </w:t>
      </w:r>
      <w:r>
        <w:rPr>
          <w:sz w:val="18"/>
        </w:rPr>
        <w:t>between</w:t>
      </w:r>
      <w:r>
        <w:rPr>
          <w:spacing w:val="-3"/>
          <w:sz w:val="18"/>
        </w:rPr>
        <w:t xml:space="preserve"> </w:t>
      </w:r>
      <w:r>
        <w:rPr>
          <w:sz w:val="18"/>
        </w:rPr>
        <w:t>Air</w:t>
      </w:r>
      <w:r>
        <w:rPr>
          <w:spacing w:val="-3"/>
          <w:sz w:val="18"/>
        </w:rPr>
        <w:t xml:space="preserve"> </w:t>
      </w:r>
      <w:r>
        <w:rPr>
          <w:sz w:val="18"/>
        </w:rPr>
        <w:t>Pollution</w:t>
      </w:r>
      <w:r>
        <w:rPr>
          <w:spacing w:val="-3"/>
          <w:sz w:val="18"/>
        </w:rPr>
        <w:t xml:space="preserve"> </w:t>
      </w:r>
      <w:r>
        <w:rPr>
          <w:sz w:val="18"/>
        </w:rPr>
        <w:t>Exposure</w:t>
      </w:r>
      <w:r>
        <w:rPr>
          <w:spacing w:val="-3"/>
          <w:sz w:val="18"/>
        </w:rPr>
        <w:t xml:space="preserve"> </w:t>
      </w:r>
      <w:r>
        <w:rPr>
          <w:sz w:val="18"/>
        </w:rPr>
        <w:t>and</w:t>
      </w:r>
      <w:r>
        <w:rPr>
          <w:spacing w:val="-3"/>
          <w:sz w:val="18"/>
        </w:rPr>
        <w:t xml:space="preserve"> </w:t>
      </w:r>
      <w:r>
        <w:rPr>
          <w:sz w:val="18"/>
        </w:rPr>
        <w:t>Mental</w:t>
      </w:r>
      <w:r>
        <w:rPr>
          <w:spacing w:val="-3"/>
          <w:sz w:val="18"/>
        </w:rPr>
        <w:t xml:space="preserve"> </w:t>
      </w:r>
      <w:r>
        <w:rPr>
          <w:sz w:val="18"/>
        </w:rPr>
        <w:t>Health</w:t>
      </w:r>
      <w:r>
        <w:rPr>
          <w:spacing w:val="-3"/>
          <w:sz w:val="18"/>
        </w:rPr>
        <w:t xml:space="preserve"> </w:t>
      </w:r>
      <w:r>
        <w:rPr>
          <w:sz w:val="18"/>
        </w:rPr>
        <w:t>Service</w:t>
      </w:r>
      <w:r>
        <w:rPr>
          <w:spacing w:val="-3"/>
          <w:sz w:val="18"/>
        </w:rPr>
        <w:t xml:space="preserve"> </w:t>
      </w:r>
      <w:r>
        <w:rPr>
          <w:sz w:val="18"/>
        </w:rPr>
        <w:t>Use</w:t>
      </w:r>
      <w:r>
        <w:rPr>
          <w:spacing w:val="-3"/>
          <w:sz w:val="18"/>
        </w:rPr>
        <w:t xml:space="preserve"> </w:t>
      </w:r>
      <w:r>
        <w:rPr>
          <w:sz w:val="18"/>
        </w:rPr>
        <w:t>among</w:t>
      </w:r>
      <w:r>
        <w:rPr>
          <w:spacing w:val="-3"/>
          <w:sz w:val="18"/>
        </w:rPr>
        <w:t xml:space="preserve"> </w:t>
      </w:r>
      <w:r>
        <w:rPr>
          <w:sz w:val="18"/>
        </w:rPr>
        <w:t>Individuals</w:t>
      </w:r>
      <w:r>
        <w:rPr>
          <w:spacing w:val="-3"/>
          <w:sz w:val="18"/>
        </w:rPr>
        <w:t xml:space="preserve"> </w:t>
      </w:r>
      <w:r>
        <w:rPr>
          <w:sz w:val="18"/>
        </w:rPr>
        <w:t>with First</w:t>
      </w:r>
      <w:r>
        <w:rPr>
          <w:spacing w:val="-2"/>
          <w:sz w:val="18"/>
        </w:rPr>
        <w:t xml:space="preserve"> </w:t>
      </w:r>
      <w:r>
        <w:rPr>
          <w:sz w:val="18"/>
        </w:rPr>
        <w:t>Presentations</w:t>
      </w:r>
      <w:r>
        <w:rPr>
          <w:spacing w:val="-2"/>
          <w:sz w:val="18"/>
        </w:rPr>
        <w:t xml:space="preserve"> </w:t>
      </w:r>
      <w:r>
        <w:rPr>
          <w:sz w:val="18"/>
        </w:rPr>
        <w:t>of</w:t>
      </w:r>
      <w:r>
        <w:rPr>
          <w:spacing w:val="-1"/>
          <w:sz w:val="18"/>
        </w:rPr>
        <w:t xml:space="preserve"> </w:t>
      </w:r>
      <w:r>
        <w:rPr>
          <w:sz w:val="18"/>
        </w:rPr>
        <w:t>Psychotic</w:t>
      </w:r>
      <w:r>
        <w:rPr>
          <w:spacing w:val="-1"/>
          <w:sz w:val="18"/>
        </w:rPr>
        <w:t xml:space="preserve"> </w:t>
      </w:r>
      <w:r>
        <w:rPr>
          <w:sz w:val="18"/>
        </w:rPr>
        <w:t>and</w:t>
      </w:r>
      <w:r>
        <w:rPr>
          <w:spacing w:val="-2"/>
          <w:sz w:val="18"/>
        </w:rPr>
        <w:t xml:space="preserve"> </w:t>
      </w:r>
      <w:r>
        <w:rPr>
          <w:sz w:val="18"/>
        </w:rPr>
        <w:t>Mood</w:t>
      </w:r>
      <w:r>
        <w:rPr>
          <w:spacing w:val="-2"/>
          <w:sz w:val="18"/>
        </w:rPr>
        <w:t xml:space="preserve"> </w:t>
      </w:r>
      <w:r>
        <w:rPr>
          <w:sz w:val="18"/>
        </w:rPr>
        <w:t>Disorders:</w:t>
      </w:r>
      <w:r>
        <w:rPr>
          <w:spacing w:val="-1"/>
          <w:sz w:val="18"/>
        </w:rPr>
        <w:t xml:space="preserve"> </w:t>
      </w:r>
      <w:r>
        <w:rPr>
          <w:sz w:val="18"/>
        </w:rPr>
        <w:t>Retrospective</w:t>
      </w:r>
      <w:r>
        <w:rPr>
          <w:spacing w:val="-2"/>
          <w:sz w:val="18"/>
        </w:rPr>
        <w:t xml:space="preserve"> </w:t>
      </w:r>
      <w:r>
        <w:rPr>
          <w:sz w:val="18"/>
        </w:rPr>
        <w:t>Cohort</w:t>
      </w:r>
      <w:r>
        <w:rPr>
          <w:spacing w:val="-2"/>
          <w:sz w:val="18"/>
        </w:rPr>
        <w:t xml:space="preserve"> </w:t>
      </w:r>
      <w:r>
        <w:rPr>
          <w:sz w:val="18"/>
        </w:rPr>
        <w:t>Study,”</w:t>
      </w:r>
      <w:r>
        <w:rPr>
          <w:spacing w:val="-2"/>
          <w:sz w:val="18"/>
        </w:rPr>
        <w:t xml:space="preserve"> </w:t>
      </w:r>
      <w:r>
        <w:rPr>
          <w:i/>
          <w:sz w:val="18"/>
        </w:rPr>
        <w:t>The</w:t>
      </w:r>
      <w:r>
        <w:rPr>
          <w:i/>
          <w:spacing w:val="-1"/>
          <w:sz w:val="18"/>
        </w:rPr>
        <w:t xml:space="preserve"> </w:t>
      </w:r>
      <w:r>
        <w:rPr>
          <w:i/>
          <w:sz w:val="18"/>
        </w:rPr>
        <w:t>British Journal</w:t>
      </w:r>
      <w:r>
        <w:rPr>
          <w:i/>
          <w:spacing w:val="-2"/>
          <w:sz w:val="18"/>
        </w:rPr>
        <w:t xml:space="preserve"> </w:t>
      </w:r>
      <w:r>
        <w:rPr>
          <w:i/>
          <w:sz w:val="18"/>
        </w:rPr>
        <w:t>of</w:t>
      </w:r>
      <w:r>
        <w:rPr>
          <w:i/>
          <w:spacing w:val="-1"/>
          <w:sz w:val="18"/>
        </w:rPr>
        <w:t xml:space="preserve"> </w:t>
      </w:r>
      <w:r>
        <w:rPr>
          <w:i/>
          <w:sz w:val="18"/>
        </w:rPr>
        <w:t>Psychiatry:</w:t>
      </w:r>
      <w:r>
        <w:rPr>
          <w:i/>
          <w:spacing w:val="-2"/>
          <w:sz w:val="18"/>
        </w:rPr>
        <w:t xml:space="preserve"> </w:t>
      </w:r>
      <w:r>
        <w:rPr>
          <w:i/>
          <w:sz w:val="18"/>
        </w:rPr>
        <w:t>The</w:t>
      </w:r>
      <w:r>
        <w:rPr>
          <w:i/>
          <w:spacing w:val="-1"/>
          <w:sz w:val="18"/>
        </w:rPr>
        <w:t xml:space="preserve"> </w:t>
      </w:r>
      <w:r>
        <w:rPr>
          <w:i/>
          <w:sz w:val="18"/>
        </w:rPr>
        <w:t xml:space="preserve">Journal of Mental Science </w:t>
      </w:r>
      <w:r>
        <w:rPr>
          <w:sz w:val="18"/>
        </w:rPr>
        <w:t>219, no. 6 (December 2021): 678–85, https://doi.org/10.1192/bjp.2021.119.</w:t>
      </w:r>
    </w:p>
    <w:p w:rsidR="00200FDA" w:rsidRDefault="00F76C4C">
      <w:pPr>
        <w:ind w:left="140" w:right="139" w:hanging="1"/>
        <w:rPr>
          <w:sz w:val="18"/>
        </w:rPr>
      </w:pPr>
      <w:r>
        <w:rPr>
          <w:position w:val="5"/>
          <w:sz w:val="12"/>
        </w:rPr>
        <w:t>55</w:t>
      </w:r>
      <w:r>
        <w:rPr>
          <w:spacing w:val="10"/>
          <w:position w:val="5"/>
          <w:sz w:val="12"/>
        </w:rPr>
        <w:t xml:space="preserve"> </w:t>
      </w:r>
      <w:r>
        <w:rPr>
          <w:sz w:val="18"/>
        </w:rPr>
        <w:t>Antonio</w:t>
      </w:r>
      <w:r>
        <w:rPr>
          <w:spacing w:val="-1"/>
          <w:sz w:val="18"/>
        </w:rPr>
        <w:t xml:space="preserve"> </w:t>
      </w:r>
      <w:r>
        <w:rPr>
          <w:sz w:val="18"/>
        </w:rPr>
        <w:t>Ventriglio</w:t>
      </w:r>
      <w:r>
        <w:rPr>
          <w:spacing w:val="-1"/>
          <w:sz w:val="18"/>
        </w:rPr>
        <w:t xml:space="preserve"> </w:t>
      </w:r>
      <w:r>
        <w:rPr>
          <w:sz w:val="18"/>
        </w:rPr>
        <w:t>et</w:t>
      </w:r>
      <w:r>
        <w:rPr>
          <w:spacing w:val="-3"/>
          <w:sz w:val="18"/>
        </w:rPr>
        <w:t xml:space="preserve"> </w:t>
      </w:r>
      <w:r>
        <w:rPr>
          <w:sz w:val="18"/>
        </w:rPr>
        <w:t>al.,</w:t>
      </w:r>
      <w:r>
        <w:rPr>
          <w:spacing w:val="-2"/>
          <w:sz w:val="18"/>
        </w:rPr>
        <w:t xml:space="preserve"> </w:t>
      </w:r>
      <w:r>
        <w:rPr>
          <w:sz w:val="18"/>
        </w:rPr>
        <w:t>“Environmental</w:t>
      </w:r>
      <w:r>
        <w:rPr>
          <w:spacing w:val="-3"/>
          <w:sz w:val="18"/>
        </w:rPr>
        <w:t xml:space="preserve"> </w:t>
      </w:r>
      <w:r>
        <w:rPr>
          <w:sz w:val="18"/>
        </w:rPr>
        <w:t>Pollution</w:t>
      </w:r>
      <w:r>
        <w:rPr>
          <w:spacing w:val="-3"/>
          <w:sz w:val="18"/>
        </w:rPr>
        <w:t xml:space="preserve"> </w:t>
      </w:r>
      <w:r>
        <w:rPr>
          <w:sz w:val="18"/>
        </w:rPr>
        <w:t>and</w:t>
      </w:r>
      <w:r>
        <w:rPr>
          <w:spacing w:val="-3"/>
          <w:sz w:val="18"/>
        </w:rPr>
        <w:t xml:space="preserve"> </w:t>
      </w:r>
      <w:r>
        <w:rPr>
          <w:sz w:val="18"/>
        </w:rPr>
        <w:t>Mental</w:t>
      </w:r>
      <w:r>
        <w:rPr>
          <w:spacing w:val="-3"/>
          <w:sz w:val="18"/>
        </w:rPr>
        <w:t xml:space="preserve"> </w:t>
      </w:r>
      <w:r>
        <w:rPr>
          <w:sz w:val="18"/>
        </w:rPr>
        <w:t>Health:</w:t>
      </w:r>
      <w:r>
        <w:rPr>
          <w:spacing w:val="-3"/>
          <w:sz w:val="18"/>
        </w:rPr>
        <w:t xml:space="preserve"> </w:t>
      </w:r>
      <w:r>
        <w:rPr>
          <w:sz w:val="18"/>
        </w:rPr>
        <w:t>A</w:t>
      </w:r>
      <w:r>
        <w:rPr>
          <w:spacing w:val="-3"/>
          <w:sz w:val="18"/>
        </w:rPr>
        <w:t xml:space="preserve"> </w:t>
      </w:r>
      <w:r>
        <w:rPr>
          <w:sz w:val="18"/>
        </w:rPr>
        <w:t>Narrative</w:t>
      </w:r>
      <w:r>
        <w:rPr>
          <w:spacing w:val="-3"/>
          <w:sz w:val="18"/>
        </w:rPr>
        <w:t xml:space="preserve"> </w:t>
      </w:r>
      <w:r>
        <w:rPr>
          <w:sz w:val="18"/>
        </w:rPr>
        <w:t>Review</w:t>
      </w:r>
      <w:r>
        <w:rPr>
          <w:spacing w:val="-1"/>
          <w:sz w:val="18"/>
        </w:rPr>
        <w:t xml:space="preserve"> </w:t>
      </w:r>
      <w:r>
        <w:rPr>
          <w:sz w:val="18"/>
        </w:rPr>
        <w:t>of</w:t>
      </w:r>
      <w:r>
        <w:rPr>
          <w:spacing w:val="-2"/>
          <w:sz w:val="18"/>
        </w:rPr>
        <w:t xml:space="preserve"> </w:t>
      </w:r>
      <w:r>
        <w:rPr>
          <w:sz w:val="18"/>
        </w:rPr>
        <w:t>Literature,”</w:t>
      </w:r>
      <w:r>
        <w:rPr>
          <w:spacing w:val="-3"/>
          <w:sz w:val="18"/>
        </w:rPr>
        <w:t xml:space="preserve"> </w:t>
      </w:r>
      <w:r>
        <w:rPr>
          <w:i/>
          <w:sz w:val="18"/>
        </w:rPr>
        <w:t>CNS</w:t>
      </w:r>
      <w:r>
        <w:rPr>
          <w:i/>
          <w:spacing w:val="-2"/>
          <w:sz w:val="18"/>
        </w:rPr>
        <w:t xml:space="preserve"> </w:t>
      </w:r>
      <w:r>
        <w:rPr>
          <w:i/>
          <w:sz w:val="18"/>
        </w:rPr>
        <w:t>Spectrums</w:t>
      </w:r>
      <w:r>
        <w:rPr>
          <w:i/>
          <w:spacing w:val="-3"/>
          <w:sz w:val="18"/>
        </w:rPr>
        <w:t xml:space="preserve"> </w:t>
      </w:r>
      <w:r>
        <w:rPr>
          <w:sz w:val="18"/>
        </w:rPr>
        <w:t>26, no. 1 (February 2021): 51–61, https://doi.org/10.1017/S</w:t>
      </w:r>
      <w:r>
        <w:rPr>
          <w:sz w:val="18"/>
        </w:rPr>
        <w:t>1092852920001303.</w:t>
      </w:r>
    </w:p>
    <w:p w:rsidR="00200FDA" w:rsidRDefault="00F76C4C">
      <w:pPr>
        <w:ind w:left="140" w:hanging="1"/>
        <w:rPr>
          <w:sz w:val="18"/>
        </w:rPr>
      </w:pPr>
      <w:r>
        <w:rPr>
          <w:position w:val="5"/>
          <w:sz w:val="12"/>
        </w:rPr>
        <w:t>56</w:t>
      </w:r>
      <w:r>
        <w:rPr>
          <w:spacing w:val="10"/>
          <w:position w:val="5"/>
          <w:sz w:val="12"/>
        </w:rPr>
        <w:t xml:space="preserve"> </w:t>
      </w:r>
      <w:r>
        <w:rPr>
          <w:sz w:val="18"/>
        </w:rPr>
        <w:t>Gwendolyn</w:t>
      </w:r>
      <w:r>
        <w:rPr>
          <w:spacing w:val="-4"/>
          <w:sz w:val="18"/>
        </w:rPr>
        <w:t xml:space="preserve"> </w:t>
      </w:r>
      <w:r>
        <w:rPr>
          <w:sz w:val="18"/>
        </w:rPr>
        <w:t>P.</w:t>
      </w:r>
      <w:r>
        <w:rPr>
          <w:spacing w:val="-3"/>
          <w:sz w:val="18"/>
        </w:rPr>
        <w:t xml:space="preserve"> </w:t>
      </w:r>
      <w:r>
        <w:rPr>
          <w:sz w:val="18"/>
        </w:rPr>
        <w:t>Quinn</w:t>
      </w:r>
      <w:r>
        <w:rPr>
          <w:spacing w:val="-4"/>
          <w:sz w:val="18"/>
        </w:rPr>
        <w:t xml:space="preserve"> </w:t>
      </w:r>
      <w:r>
        <w:rPr>
          <w:sz w:val="18"/>
        </w:rPr>
        <w:t>et</w:t>
      </w:r>
      <w:r>
        <w:rPr>
          <w:spacing w:val="-4"/>
          <w:sz w:val="18"/>
        </w:rPr>
        <w:t xml:space="preserve"> </w:t>
      </w:r>
      <w:r>
        <w:rPr>
          <w:sz w:val="18"/>
        </w:rPr>
        <w:t>al.,</w:t>
      </w:r>
      <w:r>
        <w:rPr>
          <w:spacing w:val="-3"/>
          <w:sz w:val="18"/>
        </w:rPr>
        <w:t xml:space="preserve"> </w:t>
      </w:r>
      <w:r>
        <w:rPr>
          <w:sz w:val="18"/>
        </w:rPr>
        <w:t>“Lesbian,</w:t>
      </w:r>
      <w:r>
        <w:rPr>
          <w:spacing w:val="-3"/>
          <w:sz w:val="18"/>
        </w:rPr>
        <w:t xml:space="preserve"> </w:t>
      </w:r>
      <w:r>
        <w:rPr>
          <w:sz w:val="18"/>
        </w:rPr>
        <w:t>Gay,</w:t>
      </w:r>
      <w:r>
        <w:rPr>
          <w:spacing w:val="-3"/>
          <w:sz w:val="18"/>
        </w:rPr>
        <w:t xml:space="preserve"> </w:t>
      </w:r>
      <w:r>
        <w:rPr>
          <w:sz w:val="18"/>
        </w:rPr>
        <w:t>Bisexual,</w:t>
      </w:r>
      <w:r>
        <w:rPr>
          <w:spacing w:val="-3"/>
          <w:sz w:val="18"/>
        </w:rPr>
        <w:t xml:space="preserve"> </w:t>
      </w:r>
      <w:r>
        <w:rPr>
          <w:sz w:val="18"/>
        </w:rPr>
        <w:t>Transgender,</w:t>
      </w:r>
      <w:r>
        <w:rPr>
          <w:spacing w:val="-3"/>
          <w:sz w:val="18"/>
        </w:rPr>
        <w:t xml:space="preserve"> </w:t>
      </w:r>
      <w:r>
        <w:rPr>
          <w:sz w:val="18"/>
        </w:rPr>
        <w:t>Queer/Questioning</w:t>
      </w:r>
      <w:r>
        <w:rPr>
          <w:spacing w:val="-4"/>
          <w:sz w:val="18"/>
        </w:rPr>
        <w:t xml:space="preserve"> </w:t>
      </w:r>
      <w:r>
        <w:rPr>
          <w:sz w:val="18"/>
        </w:rPr>
        <w:t>(LGBTQ)</w:t>
      </w:r>
      <w:r>
        <w:rPr>
          <w:spacing w:val="-3"/>
          <w:sz w:val="18"/>
        </w:rPr>
        <w:t xml:space="preserve"> </w:t>
      </w:r>
      <w:r>
        <w:rPr>
          <w:sz w:val="18"/>
        </w:rPr>
        <w:t>Perceptions</w:t>
      </w:r>
      <w:r>
        <w:rPr>
          <w:spacing w:val="-4"/>
          <w:sz w:val="18"/>
        </w:rPr>
        <w:t xml:space="preserve"> </w:t>
      </w:r>
      <w:r>
        <w:rPr>
          <w:sz w:val="18"/>
        </w:rPr>
        <w:t>and</w:t>
      </w:r>
      <w:r>
        <w:rPr>
          <w:spacing w:val="-4"/>
          <w:sz w:val="18"/>
        </w:rPr>
        <w:t xml:space="preserve"> </w:t>
      </w:r>
      <w:r>
        <w:rPr>
          <w:sz w:val="18"/>
        </w:rPr>
        <w:t>Health</w:t>
      </w:r>
      <w:r>
        <w:rPr>
          <w:spacing w:val="-4"/>
          <w:sz w:val="18"/>
        </w:rPr>
        <w:t xml:space="preserve"> </w:t>
      </w:r>
      <w:r>
        <w:rPr>
          <w:sz w:val="18"/>
        </w:rPr>
        <w:t xml:space="preserve">Care Experiences,” </w:t>
      </w:r>
      <w:r>
        <w:rPr>
          <w:i/>
          <w:sz w:val="18"/>
        </w:rPr>
        <w:t xml:space="preserve">Journal of Gay &amp; Lesbian Social Services </w:t>
      </w:r>
      <w:r>
        <w:rPr>
          <w:sz w:val="18"/>
        </w:rPr>
        <w:t xml:space="preserve">27, no. 2 (April 3, 2015): 246–61, </w:t>
      </w:r>
      <w:r>
        <w:rPr>
          <w:spacing w:val="-2"/>
          <w:sz w:val="18"/>
        </w:rPr>
        <w:t>https://doi.org/10.1080/10538720.2015.1022273.</w:t>
      </w:r>
    </w:p>
    <w:p w:rsidR="00200FDA" w:rsidRDefault="00F76C4C">
      <w:pPr>
        <w:ind w:left="140" w:hanging="1"/>
        <w:rPr>
          <w:sz w:val="18"/>
        </w:rPr>
      </w:pPr>
      <w:r>
        <w:rPr>
          <w:position w:val="5"/>
          <w:sz w:val="12"/>
        </w:rPr>
        <w:t>57</w:t>
      </w:r>
      <w:r>
        <w:rPr>
          <w:spacing w:val="10"/>
          <w:position w:val="5"/>
          <w:sz w:val="12"/>
        </w:rPr>
        <w:t xml:space="preserve"> </w:t>
      </w:r>
      <w:r>
        <w:rPr>
          <w:sz w:val="18"/>
        </w:rPr>
        <w:t>Logan</w:t>
      </w:r>
      <w:r>
        <w:rPr>
          <w:spacing w:val="-3"/>
          <w:sz w:val="18"/>
        </w:rPr>
        <w:t xml:space="preserve"> </w:t>
      </w:r>
      <w:r>
        <w:rPr>
          <w:sz w:val="18"/>
        </w:rPr>
        <w:t>S.</w:t>
      </w:r>
      <w:r>
        <w:rPr>
          <w:spacing w:val="-2"/>
          <w:sz w:val="18"/>
        </w:rPr>
        <w:t xml:space="preserve"> </w:t>
      </w:r>
      <w:r>
        <w:rPr>
          <w:sz w:val="18"/>
        </w:rPr>
        <w:t>Casey</w:t>
      </w:r>
      <w:r>
        <w:rPr>
          <w:spacing w:val="-2"/>
          <w:sz w:val="18"/>
        </w:rPr>
        <w:t xml:space="preserve"> </w:t>
      </w:r>
      <w:r>
        <w:rPr>
          <w:sz w:val="18"/>
        </w:rPr>
        <w:t>et</w:t>
      </w:r>
      <w:r>
        <w:rPr>
          <w:spacing w:val="-3"/>
          <w:sz w:val="18"/>
        </w:rPr>
        <w:t xml:space="preserve"> </w:t>
      </w:r>
      <w:r>
        <w:rPr>
          <w:sz w:val="18"/>
        </w:rPr>
        <w:t>al.,</w:t>
      </w:r>
      <w:r>
        <w:rPr>
          <w:spacing w:val="-2"/>
          <w:sz w:val="18"/>
        </w:rPr>
        <w:t xml:space="preserve"> </w:t>
      </w:r>
      <w:r>
        <w:rPr>
          <w:sz w:val="18"/>
        </w:rPr>
        <w:t>“Discrimination</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United</w:t>
      </w:r>
      <w:r>
        <w:rPr>
          <w:spacing w:val="-1"/>
          <w:sz w:val="18"/>
        </w:rPr>
        <w:t xml:space="preserve"> </w:t>
      </w:r>
      <w:r>
        <w:rPr>
          <w:sz w:val="18"/>
        </w:rPr>
        <w:t>States:</w:t>
      </w:r>
      <w:r>
        <w:rPr>
          <w:spacing w:val="-2"/>
          <w:sz w:val="18"/>
        </w:rPr>
        <w:t xml:space="preserve"> </w:t>
      </w:r>
      <w:r>
        <w:rPr>
          <w:sz w:val="18"/>
        </w:rPr>
        <w:t>Experiences</w:t>
      </w:r>
      <w:r>
        <w:rPr>
          <w:spacing w:val="-3"/>
          <w:sz w:val="18"/>
        </w:rPr>
        <w:t xml:space="preserve"> </w:t>
      </w:r>
      <w:r>
        <w:rPr>
          <w:sz w:val="18"/>
        </w:rPr>
        <w:t>of</w:t>
      </w:r>
      <w:r>
        <w:rPr>
          <w:spacing w:val="-2"/>
          <w:sz w:val="18"/>
        </w:rPr>
        <w:t xml:space="preserve"> </w:t>
      </w:r>
      <w:r>
        <w:rPr>
          <w:sz w:val="18"/>
        </w:rPr>
        <w:t>Lesbian,</w:t>
      </w:r>
      <w:r>
        <w:rPr>
          <w:spacing w:val="-2"/>
          <w:sz w:val="18"/>
        </w:rPr>
        <w:t xml:space="preserve"> </w:t>
      </w:r>
      <w:r>
        <w:rPr>
          <w:sz w:val="18"/>
        </w:rPr>
        <w:t>Gay,</w:t>
      </w:r>
      <w:r>
        <w:rPr>
          <w:spacing w:val="-2"/>
          <w:sz w:val="18"/>
        </w:rPr>
        <w:t xml:space="preserve"> </w:t>
      </w:r>
      <w:r>
        <w:rPr>
          <w:sz w:val="18"/>
        </w:rPr>
        <w:t>Bisexual,</w:t>
      </w:r>
      <w:r>
        <w:rPr>
          <w:spacing w:val="-2"/>
          <w:sz w:val="18"/>
        </w:rPr>
        <w:t xml:space="preserve"> </w:t>
      </w:r>
      <w:r>
        <w:rPr>
          <w:sz w:val="18"/>
        </w:rPr>
        <w:t>Transgender,</w:t>
      </w:r>
      <w:r>
        <w:rPr>
          <w:spacing w:val="-2"/>
          <w:sz w:val="18"/>
        </w:rPr>
        <w:t xml:space="preserve"> </w:t>
      </w:r>
      <w:r>
        <w:rPr>
          <w:sz w:val="18"/>
        </w:rPr>
        <w:t>and</w:t>
      </w:r>
      <w:r>
        <w:rPr>
          <w:spacing w:val="-3"/>
          <w:sz w:val="18"/>
        </w:rPr>
        <w:t xml:space="preserve"> </w:t>
      </w:r>
      <w:r>
        <w:rPr>
          <w:sz w:val="18"/>
        </w:rPr>
        <w:t xml:space="preserve">Queer Americans,” </w:t>
      </w:r>
      <w:r>
        <w:rPr>
          <w:i/>
          <w:sz w:val="18"/>
        </w:rPr>
        <w:t xml:space="preserve">Health Services Research </w:t>
      </w:r>
      <w:r>
        <w:rPr>
          <w:sz w:val="18"/>
        </w:rPr>
        <w:t>54, no. S2 (2019): 1454–66, https://doi.org/10</w:t>
      </w:r>
      <w:r>
        <w:rPr>
          <w:sz w:val="18"/>
        </w:rPr>
        <w:t>.1111/1475-6773.13229.</w:t>
      </w:r>
    </w:p>
    <w:p w:rsidR="00200FDA" w:rsidRDefault="00F76C4C">
      <w:pPr>
        <w:ind w:left="140" w:right="234" w:hanging="1"/>
        <w:rPr>
          <w:sz w:val="18"/>
        </w:rPr>
      </w:pPr>
      <w:r>
        <w:rPr>
          <w:position w:val="5"/>
          <w:sz w:val="12"/>
        </w:rPr>
        <w:t>58</w:t>
      </w:r>
      <w:r>
        <w:rPr>
          <w:spacing w:val="10"/>
          <w:position w:val="5"/>
          <w:sz w:val="12"/>
        </w:rPr>
        <w:t xml:space="preserve"> </w:t>
      </w:r>
      <w:r>
        <w:rPr>
          <w:sz w:val="18"/>
        </w:rPr>
        <w:t>Barbara</w:t>
      </w:r>
      <w:r>
        <w:rPr>
          <w:spacing w:val="-2"/>
          <w:sz w:val="18"/>
        </w:rPr>
        <w:t xml:space="preserve"> </w:t>
      </w:r>
      <w:r>
        <w:rPr>
          <w:sz w:val="18"/>
        </w:rPr>
        <w:t>K.</w:t>
      </w:r>
      <w:r>
        <w:rPr>
          <w:spacing w:val="-2"/>
          <w:sz w:val="18"/>
        </w:rPr>
        <w:t xml:space="preserve"> </w:t>
      </w:r>
      <w:r>
        <w:rPr>
          <w:sz w:val="18"/>
        </w:rPr>
        <w:t>Snyder,</w:t>
      </w:r>
      <w:r>
        <w:rPr>
          <w:spacing w:val="-2"/>
          <w:sz w:val="18"/>
        </w:rPr>
        <w:t xml:space="preserve"> </w:t>
      </w:r>
      <w:r>
        <w:rPr>
          <w:sz w:val="18"/>
        </w:rPr>
        <w:t>Gail</w:t>
      </w:r>
      <w:r>
        <w:rPr>
          <w:spacing w:val="-3"/>
          <w:sz w:val="18"/>
        </w:rPr>
        <w:t xml:space="preserve"> </w:t>
      </w:r>
      <w:r>
        <w:rPr>
          <w:sz w:val="18"/>
        </w:rPr>
        <w:t>D.</w:t>
      </w:r>
      <w:r>
        <w:rPr>
          <w:spacing w:val="-2"/>
          <w:sz w:val="18"/>
        </w:rPr>
        <w:t xml:space="preserve"> </w:t>
      </w:r>
      <w:r>
        <w:rPr>
          <w:sz w:val="18"/>
        </w:rPr>
        <w:t>Burack,</w:t>
      </w:r>
      <w:r>
        <w:rPr>
          <w:spacing w:val="-2"/>
          <w:sz w:val="18"/>
        </w:rPr>
        <w:t xml:space="preserve"> </w:t>
      </w:r>
      <w:r>
        <w:rPr>
          <w:sz w:val="18"/>
        </w:rPr>
        <w:t>and</w:t>
      </w:r>
      <w:r>
        <w:rPr>
          <w:spacing w:val="-3"/>
          <w:sz w:val="18"/>
        </w:rPr>
        <w:t xml:space="preserve"> </w:t>
      </w:r>
      <w:r>
        <w:rPr>
          <w:sz w:val="18"/>
        </w:rPr>
        <w:t>Anna</w:t>
      </w:r>
      <w:r>
        <w:rPr>
          <w:spacing w:val="-2"/>
          <w:sz w:val="18"/>
        </w:rPr>
        <w:t xml:space="preserve"> </w:t>
      </w:r>
      <w:r>
        <w:rPr>
          <w:sz w:val="18"/>
        </w:rPr>
        <w:t>Petrova,</w:t>
      </w:r>
      <w:r>
        <w:rPr>
          <w:spacing w:val="-2"/>
          <w:sz w:val="18"/>
        </w:rPr>
        <w:t xml:space="preserve"> </w:t>
      </w:r>
      <w:r>
        <w:rPr>
          <w:sz w:val="18"/>
        </w:rPr>
        <w:t>“LGBTQ</w:t>
      </w:r>
      <w:r>
        <w:rPr>
          <w:spacing w:val="-3"/>
          <w:sz w:val="18"/>
        </w:rPr>
        <w:t xml:space="preserve"> </w:t>
      </w:r>
      <w:r>
        <w:rPr>
          <w:sz w:val="18"/>
        </w:rPr>
        <w:t>Youth’s</w:t>
      </w:r>
      <w:r>
        <w:rPr>
          <w:spacing w:val="-3"/>
          <w:sz w:val="18"/>
        </w:rPr>
        <w:t xml:space="preserve"> </w:t>
      </w:r>
      <w:r>
        <w:rPr>
          <w:sz w:val="18"/>
        </w:rPr>
        <w:t>Perceptions</w:t>
      </w:r>
      <w:r>
        <w:rPr>
          <w:spacing w:val="-3"/>
          <w:sz w:val="18"/>
        </w:rPr>
        <w:t xml:space="preserve"> </w:t>
      </w:r>
      <w:r>
        <w:rPr>
          <w:sz w:val="18"/>
        </w:rPr>
        <w:t>of</w:t>
      </w:r>
      <w:r>
        <w:rPr>
          <w:spacing w:val="-2"/>
          <w:sz w:val="18"/>
        </w:rPr>
        <w:t xml:space="preserve"> </w:t>
      </w:r>
      <w:r>
        <w:rPr>
          <w:sz w:val="18"/>
        </w:rPr>
        <w:t>Primary</w:t>
      </w:r>
      <w:r>
        <w:rPr>
          <w:spacing w:val="-2"/>
          <w:sz w:val="18"/>
        </w:rPr>
        <w:t xml:space="preserve"> </w:t>
      </w:r>
      <w:r>
        <w:rPr>
          <w:sz w:val="18"/>
        </w:rPr>
        <w:t>Care,”</w:t>
      </w:r>
      <w:r>
        <w:rPr>
          <w:spacing w:val="-1"/>
          <w:sz w:val="18"/>
        </w:rPr>
        <w:t xml:space="preserve"> </w:t>
      </w:r>
      <w:r>
        <w:rPr>
          <w:i/>
          <w:sz w:val="18"/>
        </w:rPr>
        <w:t>Clinical</w:t>
      </w:r>
      <w:r>
        <w:rPr>
          <w:i/>
          <w:spacing w:val="-3"/>
          <w:sz w:val="18"/>
        </w:rPr>
        <w:t xml:space="preserve"> </w:t>
      </w:r>
      <w:r>
        <w:rPr>
          <w:i/>
          <w:sz w:val="18"/>
        </w:rPr>
        <w:t>Pediatrics</w:t>
      </w:r>
      <w:r>
        <w:rPr>
          <w:i/>
          <w:spacing w:val="-3"/>
          <w:sz w:val="18"/>
        </w:rPr>
        <w:t xml:space="preserve"> </w:t>
      </w:r>
      <w:r>
        <w:rPr>
          <w:sz w:val="18"/>
        </w:rPr>
        <w:t>56,</w:t>
      </w:r>
      <w:r>
        <w:rPr>
          <w:spacing w:val="-2"/>
          <w:sz w:val="18"/>
        </w:rPr>
        <w:t xml:space="preserve"> </w:t>
      </w:r>
      <w:r>
        <w:rPr>
          <w:sz w:val="18"/>
        </w:rPr>
        <w:t>no. 5 (May 1, 2017): 443–50, https://doi.org/10.1177/0009922816673306.</w:t>
      </w:r>
    </w:p>
    <w:p w:rsidR="00200FDA" w:rsidRDefault="00F76C4C">
      <w:pPr>
        <w:spacing w:line="219" w:lineRule="exact"/>
        <w:ind w:left="140"/>
        <w:rPr>
          <w:sz w:val="18"/>
        </w:rPr>
      </w:pPr>
      <w:r>
        <w:rPr>
          <w:position w:val="5"/>
          <w:sz w:val="12"/>
        </w:rPr>
        <w:t>59</w:t>
      </w:r>
      <w:r>
        <w:rPr>
          <w:spacing w:val="6"/>
          <w:position w:val="5"/>
          <w:sz w:val="12"/>
        </w:rPr>
        <w:t xml:space="preserve"> </w:t>
      </w:r>
      <w:r>
        <w:rPr>
          <w:sz w:val="18"/>
        </w:rPr>
        <w:t>“Environment</w:t>
      </w:r>
      <w:r>
        <w:rPr>
          <w:spacing w:val="-5"/>
          <w:sz w:val="18"/>
        </w:rPr>
        <w:t xml:space="preserve"> </w:t>
      </w:r>
      <w:r>
        <w:rPr>
          <w:sz w:val="18"/>
        </w:rPr>
        <w:t>&amp;</w:t>
      </w:r>
      <w:r>
        <w:rPr>
          <w:spacing w:val="-5"/>
          <w:sz w:val="18"/>
        </w:rPr>
        <w:t xml:space="preserve"> </w:t>
      </w:r>
      <w:r>
        <w:rPr>
          <w:sz w:val="18"/>
        </w:rPr>
        <w:t>Climate</w:t>
      </w:r>
      <w:r>
        <w:rPr>
          <w:spacing w:val="-5"/>
          <w:sz w:val="18"/>
        </w:rPr>
        <w:t xml:space="preserve"> </w:t>
      </w:r>
      <w:r>
        <w:rPr>
          <w:sz w:val="18"/>
        </w:rPr>
        <w:t>Justice,”</w:t>
      </w:r>
      <w:r>
        <w:rPr>
          <w:spacing w:val="-5"/>
          <w:sz w:val="18"/>
        </w:rPr>
        <w:t xml:space="preserve"> </w:t>
      </w:r>
      <w:r>
        <w:rPr>
          <w:sz w:val="18"/>
        </w:rPr>
        <w:t>accessed</w:t>
      </w:r>
      <w:r>
        <w:rPr>
          <w:spacing w:val="-3"/>
          <w:sz w:val="18"/>
        </w:rPr>
        <w:t xml:space="preserve"> </w:t>
      </w:r>
      <w:r>
        <w:rPr>
          <w:sz w:val="18"/>
        </w:rPr>
        <w:t>February</w:t>
      </w:r>
      <w:r>
        <w:rPr>
          <w:spacing w:val="-4"/>
          <w:sz w:val="18"/>
        </w:rPr>
        <w:t xml:space="preserve"> </w:t>
      </w:r>
      <w:r>
        <w:rPr>
          <w:sz w:val="18"/>
        </w:rPr>
        <w:t>17,</w:t>
      </w:r>
      <w:r>
        <w:rPr>
          <w:spacing w:val="-4"/>
          <w:sz w:val="18"/>
        </w:rPr>
        <w:t xml:space="preserve"> </w:t>
      </w:r>
      <w:r>
        <w:rPr>
          <w:sz w:val="18"/>
        </w:rPr>
        <w:t>2023,</w:t>
      </w:r>
      <w:r>
        <w:rPr>
          <w:spacing w:val="-3"/>
          <w:sz w:val="18"/>
        </w:rPr>
        <w:t xml:space="preserve"> </w:t>
      </w:r>
      <w:r>
        <w:rPr>
          <w:sz w:val="18"/>
        </w:rPr>
        <w:t>https://naacp.org/know-issues/environmental-climate-</w:t>
      </w:r>
      <w:r>
        <w:rPr>
          <w:spacing w:val="-2"/>
          <w:sz w:val="18"/>
        </w:rPr>
        <w:t>justice.</w:t>
      </w:r>
    </w:p>
    <w:p w:rsidR="00200FDA" w:rsidRDefault="00F76C4C">
      <w:pPr>
        <w:ind w:left="140" w:right="218"/>
        <w:rPr>
          <w:sz w:val="18"/>
        </w:rPr>
      </w:pPr>
      <w:r>
        <w:rPr>
          <w:position w:val="5"/>
          <w:sz w:val="12"/>
        </w:rPr>
        <w:t>60</w:t>
      </w:r>
      <w:r>
        <w:rPr>
          <w:spacing w:val="10"/>
          <w:position w:val="5"/>
          <w:sz w:val="12"/>
        </w:rPr>
        <w:t xml:space="preserve"> </w:t>
      </w:r>
      <w:r>
        <w:rPr>
          <w:sz w:val="18"/>
        </w:rPr>
        <w:t>“Governor</w:t>
      </w:r>
      <w:r>
        <w:rPr>
          <w:spacing w:val="-3"/>
          <w:sz w:val="18"/>
        </w:rPr>
        <w:t xml:space="preserve"> </w:t>
      </w:r>
      <w:r>
        <w:rPr>
          <w:sz w:val="18"/>
        </w:rPr>
        <w:t>Healey</w:t>
      </w:r>
      <w:r>
        <w:rPr>
          <w:spacing w:val="-1"/>
          <w:sz w:val="18"/>
        </w:rPr>
        <w:t xml:space="preserve"> </w:t>
      </w:r>
      <w:r>
        <w:rPr>
          <w:sz w:val="18"/>
        </w:rPr>
        <w:t>Signs</w:t>
      </w:r>
      <w:r>
        <w:rPr>
          <w:spacing w:val="-3"/>
          <w:sz w:val="18"/>
        </w:rPr>
        <w:t xml:space="preserve"> </w:t>
      </w:r>
      <w:r>
        <w:rPr>
          <w:sz w:val="18"/>
        </w:rPr>
        <w:t>Executive</w:t>
      </w:r>
      <w:r>
        <w:rPr>
          <w:spacing w:val="-3"/>
          <w:sz w:val="18"/>
        </w:rPr>
        <w:t xml:space="preserve"> </w:t>
      </w:r>
      <w:r>
        <w:rPr>
          <w:sz w:val="18"/>
        </w:rPr>
        <w:t>Order</w:t>
      </w:r>
      <w:r>
        <w:rPr>
          <w:spacing w:val="-3"/>
          <w:sz w:val="18"/>
        </w:rPr>
        <w:t xml:space="preserve"> </w:t>
      </w:r>
      <w:r>
        <w:rPr>
          <w:sz w:val="18"/>
        </w:rPr>
        <w:t>Creating</w:t>
      </w:r>
      <w:r>
        <w:rPr>
          <w:spacing w:val="-3"/>
          <w:sz w:val="18"/>
        </w:rPr>
        <w:t xml:space="preserve"> </w:t>
      </w:r>
      <w:r>
        <w:rPr>
          <w:sz w:val="18"/>
        </w:rPr>
        <w:t>Massachusetts’</w:t>
      </w:r>
      <w:r>
        <w:rPr>
          <w:spacing w:val="-3"/>
          <w:sz w:val="18"/>
        </w:rPr>
        <w:t xml:space="preserve"> </w:t>
      </w:r>
      <w:r>
        <w:rPr>
          <w:sz w:val="18"/>
        </w:rPr>
        <w:t>First</w:t>
      </w:r>
      <w:r>
        <w:rPr>
          <w:spacing w:val="-3"/>
          <w:sz w:val="18"/>
        </w:rPr>
        <w:t xml:space="preserve"> </w:t>
      </w:r>
      <w:r>
        <w:rPr>
          <w:sz w:val="18"/>
        </w:rPr>
        <w:t>Ever</w:t>
      </w:r>
      <w:r>
        <w:rPr>
          <w:spacing w:val="-3"/>
          <w:sz w:val="18"/>
        </w:rPr>
        <w:t xml:space="preserve"> </w:t>
      </w:r>
      <w:r>
        <w:rPr>
          <w:sz w:val="18"/>
        </w:rPr>
        <w:t>Climate</w:t>
      </w:r>
      <w:r>
        <w:rPr>
          <w:spacing w:val="-3"/>
          <w:sz w:val="18"/>
        </w:rPr>
        <w:t xml:space="preserve"> </w:t>
      </w:r>
      <w:r>
        <w:rPr>
          <w:sz w:val="18"/>
        </w:rPr>
        <w:t>Chief</w:t>
      </w:r>
      <w:r>
        <w:rPr>
          <w:spacing w:val="-3"/>
          <w:sz w:val="18"/>
        </w:rPr>
        <w:t xml:space="preserve"> </w:t>
      </w:r>
      <w:r>
        <w:rPr>
          <w:sz w:val="18"/>
        </w:rPr>
        <w:t>|</w:t>
      </w:r>
      <w:r>
        <w:rPr>
          <w:spacing w:val="-2"/>
          <w:sz w:val="18"/>
        </w:rPr>
        <w:t xml:space="preserve"> </w:t>
      </w:r>
      <w:r>
        <w:rPr>
          <w:sz w:val="18"/>
        </w:rPr>
        <w:t>Mass.Gov,”</w:t>
      </w:r>
      <w:r>
        <w:rPr>
          <w:spacing w:val="-3"/>
          <w:sz w:val="18"/>
        </w:rPr>
        <w:t xml:space="preserve"> </w:t>
      </w:r>
      <w:r>
        <w:rPr>
          <w:sz w:val="18"/>
        </w:rPr>
        <w:t>accessed</w:t>
      </w:r>
      <w:r>
        <w:rPr>
          <w:spacing w:val="-3"/>
          <w:sz w:val="18"/>
        </w:rPr>
        <w:t xml:space="preserve"> </w:t>
      </w:r>
      <w:r>
        <w:rPr>
          <w:sz w:val="18"/>
        </w:rPr>
        <w:t>March</w:t>
      </w:r>
      <w:r>
        <w:rPr>
          <w:spacing w:val="-3"/>
          <w:sz w:val="18"/>
        </w:rPr>
        <w:t xml:space="preserve"> </w:t>
      </w:r>
      <w:r>
        <w:rPr>
          <w:sz w:val="18"/>
        </w:rPr>
        <w:t>14, 2023, https://</w:t>
      </w:r>
      <w:hyperlink r:id="rId749">
        <w:r>
          <w:rPr>
            <w:sz w:val="18"/>
          </w:rPr>
          <w:t>www.mass.gov/news/governor-healey-signs-executive-order-creating-massachusetts-first-ever-climate-chief.</w:t>
        </w:r>
      </w:hyperlink>
    </w:p>
    <w:p w:rsidR="00200FDA" w:rsidRDefault="00F76C4C">
      <w:pPr>
        <w:spacing w:line="219" w:lineRule="exact"/>
        <w:ind w:left="140"/>
        <w:rPr>
          <w:sz w:val="18"/>
        </w:rPr>
      </w:pPr>
      <w:r>
        <w:rPr>
          <w:position w:val="5"/>
          <w:sz w:val="12"/>
        </w:rPr>
        <w:t>61</w:t>
      </w:r>
      <w:r>
        <w:rPr>
          <w:spacing w:val="10"/>
          <w:position w:val="5"/>
          <w:sz w:val="12"/>
        </w:rPr>
        <w:t xml:space="preserve"> </w:t>
      </w:r>
      <w:r>
        <w:rPr>
          <w:sz w:val="18"/>
        </w:rPr>
        <w:t>Goldsmith</w:t>
      </w:r>
      <w:r>
        <w:rPr>
          <w:spacing w:val="-3"/>
          <w:sz w:val="18"/>
        </w:rPr>
        <w:t xml:space="preserve"> </w:t>
      </w:r>
      <w:r>
        <w:rPr>
          <w:sz w:val="18"/>
        </w:rPr>
        <w:t>and</w:t>
      </w:r>
      <w:r>
        <w:rPr>
          <w:spacing w:val="-3"/>
          <w:sz w:val="18"/>
        </w:rPr>
        <w:t xml:space="preserve"> </w:t>
      </w:r>
      <w:r>
        <w:rPr>
          <w:sz w:val="18"/>
        </w:rPr>
        <w:t>Bell,</w:t>
      </w:r>
      <w:r>
        <w:rPr>
          <w:spacing w:val="-2"/>
          <w:sz w:val="18"/>
        </w:rPr>
        <w:t xml:space="preserve"> </w:t>
      </w:r>
      <w:r>
        <w:rPr>
          <w:sz w:val="18"/>
        </w:rPr>
        <w:t>“Queering</w:t>
      </w:r>
      <w:r>
        <w:rPr>
          <w:spacing w:val="-3"/>
          <w:sz w:val="18"/>
        </w:rPr>
        <w:t xml:space="preserve"> </w:t>
      </w:r>
      <w:r>
        <w:rPr>
          <w:sz w:val="18"/>
        </w:rPr>
        <w:t>Environmental</w:t>
      </w:r>
      <w:r>
        <w:rPr>
          <w:spacing w:val="-2"/>
          <w:sz w:val="18"/>
        </w:rPr>
        <w:t xml:space="preserve"> Just</w:t>
      </w:r>
      <w:r>
        <w:rPr>
          <w:spacing w:val="-2"/>
          <w:sz w:val="18"/>
        </w:rPr>
        <w:t>ice.”</w:t>
      </w:r>
    </w:p>
    <w:p w:rsidR="00200FDA" w:rsidRDefault="00F76C4C">
      <w:pPr>
        <w:ind w:left="140" w:right="139" w:hanging="1"/>
        <w:rPr>
          <w:sz w:val="18"/>
        </w:rPr>
      </w:pPr>
      <w:r>
        <w:rPr>
          <w:position w:val="5"/>
          <w:sz w:val="12"/>
        </w:rPr>
        <w:t>62</w:t>
      </w:r>
      <w:r>
        <w:rPr>
          <w:spacing w:val="10"/>
          <w:position w:val="5"/>
          <w:sz w:val="12"/>
        </w:rPr>
        <w:t xml:space="preserve"> </w:t>
      </w:r>
      <w:r>
        <w:rPr>
          <w:sz w:val="18"/>
        </w:rPr>
        <w:t>American</w:t>
      </w:r>
      <w:r>
        <w:rPr>
          <w:spacing w:val="-3"/>
          <w:sz w:val="18"/>
        </w:rPr>
        <w:t xml:space="preserve"> </w:t>
      </w:r>
      <w:r>
        <w:rPr>
          <w:sz w:val="18"/>
        </w:rPr>
        <w:t>Psychological</w:t>
      </w:r>
      <w:r>
        <w:rPr>
          <w:spacing w:val="-3"/>
          <w:sz w:val="18"/>
        </w:rPr>
        <w:t xml:space="preserve"> </w:t>
      </w:r>
      <w:r>
        <w:rPr>
          <w:sz w:val="18"/>
        </w:rPr>
        <w:t>Association</w:t>
      </w:r>
      <w:r>
        <w:rPr>
          <w:spacing w:val="-3"/>
          <w:sz w:val="18"/>
        </w:rPr>
        <w:t xml:space="preserve"> </w:t>
      </w:r>
      <w:r>
        <w:rPr>
          <w:sz w:val="18"/>
        </w:rPr>
        <w:t>and</w:t>
      </w:r>
      <w:r>
        <w:rPr>
          <w:spacing w:val="-3"/>
          <w:sz w:val="18"/>
        </w:rPr>
        <w:t xml:space="preserve"> </w:t>
      </w:r>
      <w:r>
        <w:rPr>
          <w:sz w:val="18"/>
        </w:rPr>
        <w:t>ecoAmerica,</w:t>
      </w:r>
      <w:r>
        <w:rPr>
          <w:spacing w:val="-2"/>
          <w:sz w:val="18"/>
        </w:rPr>
        <w:t xml:space="preserve"> </w:t>
      </w:r>
      <w:r>
        <w:rPr>
          <w:sz w:val="18"/>
        </w:rPr>
        <w:t>“Mental</w:t>
      </w:r>
      <w:r>
        <w:rPr>
          <w:spacing w:val="-3"/>
          <w:sz w:val="18"/>
        </w:rPr>
        <w:t xml:space="preserve"> </w:t>
      </w:r>
      <w:r>
        <w:rPr>
          <w:sz w:val="18"/>
        </w:rPr>
        <w:t>Health</w:t>
      </w:r>
      <w:r>
        <w:rPr>
          <w:spacing w:val="-3"/>
          <w:sz w:val="18"/>
        </w:rPr>
        <w:t xml:space="preserve"> </w:t>
      </w:r>
      <w:r>
        <w:rPr>
          <w:sz w:val="18"/>
        </w:rPr>
        <w:t>and</w:t>
      </w:r>
      <w:r>
        <w:rPr>
          <w:spacing w:val="-3"/>
          <w:sz w:val="18"/>
        </w:rPr>
        <w:t xml:space="preserve"> </w:t>
      </w:r>
      <w:r>
        <w:rPr>
          <w:sz w:val="18"/>
        </w:rPr>
        <w:t>Our</w:t>
      </w:r>
      <w:r>
        <w:rPr>
          <w:spacing w:val="-3"/>
          <w:sz w:val="18"/>
        </w:rPr>
        <w:t xml:space="preserve"> </w:t>
      </w:r>
      <w:r>
        <w:rPr>
          <w:sz w:val="18"/>
        </w:rPr>
        <w:t>Changing</w:t>
      </w:r>
      <w:r>
        <w:rPr>
          <w:spacing w:val="-3"/>
          <w:sz w:val="18"/>
        </w:rPr>
        <w:t xml:space="preserve"> </w:t>
      </w:r>
      <w:r>
        <w:rPr>
          <w:sz w:val="18"/>
        </w:rPr>
        <w:t>Climate:</w:t>
      </w:r>
      <w:r>
        <w:rPr>
          <w:spacing w:val="-2"/>
          <w:sz w:val="18"/>
        </w:rPr>
        <w:t xml:space="preserve"> </w:t>
      </w:r>
      <w:r>
        <w:rPr>
          <w:sz w:val="18"/>
        </w:rPr>
        <w:t>Impacts,</w:t>
      </w:r>
      <w:r>
        <w:rPr>
          <w:spacing w:val="-2"/>
          <w:sz w:val="18"/>
        </w:rPr>
        <w:t xml:space="preserve"> </w:t>
      </w:r>
      <w:r>
        <w:rPr>
          <w:sz w:val="18"/>
        </w:rPr>
        <w:t>Implications,</w:t>
      </w:r>
      <w:r>
        <w:rPr>
          <w:spacing w:val="-2"/>
          <w:sz w:val="18"/>
        </w:rPr>
        <w:t xml:space="preserve"> </w:t>
      </w:r>
      <w:r>
        <w:rPr>
          <w:sz w:val="18"/>
        </w:rPr>
        <w:t>and Guidance: (503122017-001)” (American Psychological Association, 2017), https://doi.org/10.1037/e503122017-001.</w:t>
      </w:r>
    </w:p>
    <w:p w:rsidR="00200FDA" w:rsidRDefault="00F76C4C">
      <w:pPr>
        <w:ind w:left="140" w:right="139" w:hanging="1"/>
        <w:rPr>
          <w:sz w:val="18"/>
        </w:rPr>
      </w:pPr>
      <w:r>
        <w:rPr>
          <w:position w:val="5"/>
          <w:sz w:val="12"/>
        </w:rPr>
        <w:t>63</w:t>
      </w:r>
      <w:r>
        <w:rPr>
          <w:spacing w:val="9"/>
          <w:position w:val="5"/>
          <w:sz w:val="12"/>
        </w:rPr>
        <w:t xml:space="preserve"> </w:t>
      </w:r>
      <w:r>
        <w:rPr>
          <w:sz w:val="18"/>
        </w:rPr>
        <w:t>Leo</w:t>
      </w:r>
      <w:r>
        <w:rPr>
          <w:spacing w:val="-2"/>
          <w:sz w:val="18"/>
        </w:rPr>
        <w:t xml:space="preserve"> </w:t>
      </w:r>
      <w:r>
        <w:rPr>
          <w:sz w:val="18"/>
        </w:rPr>
        <w:t>Goldsmith,</w:t>
      </w:r>
      <w:r>
        <w:rPr>
          <w:spacing w:val="-3"/>
          <w:sz w:val="18"/>
        </w:rPr>
        <w:t xml:space="preserve"> </w:t>
      </w:r>
      <w:r>
        <w:rPr>
          <w:sz w:val="18"/>
        </w:rPr>
        <w:t>Vanessa</w:t>
      </w:r>
      <w:r>
        <w:rPr>
          <w:spacing w:val="-3"/>
          <w:sz w:val="18"/>
        </w:rPr>
        <w:t xml:space="preserve"> </w:t>
      </w:r>
      <w:r>
        <w:rPr>
          <w:sz w:val="18"/>
        </w:rPr>
        <w:t>Raditz,</w:t>
      </w:r>
      <w:r>
        <w:rPr>
          <w:spacing w:val="-3"/>
          <w:sz w:val="18"/>
        </w:rPr>
        <w:t xml:space="preserve"> </w:t>
      </w:r>
      <w:r>
        <w:rPr>
          <w:sz w:val="18"/>
        </w:rPr>
        <w:t>and</w:t>
      </w:r>
      <w:r>
        <w:rPr>
          <w:spacing w:val="-4"/>
          <w:sz w:val="18"/>
        </w:rPr>
        <w:t xml:space="preserve"> </w:t>
      </w:r>
      <w:r>
        <w:rPr>
          <w:sz w:val="18"/>
        </w:rPr>
        <w:t>Michael</w:t>
      </w:r>
      <w:r>
        <w:rPr>
          <w:spacing w:val="-4"/>
          <w:sz w:val="18"/>
        </w:rPr>
        <w:t xml:space="preserve"> </w:t>
      </w:r>
      <w:r>
        <w:rPr>
          <w:sz w:val="18"/>
        </w:rPr>
        <w:t>Méndez,</w:t>
      </w:r>
      <w:r>
        <w:rPr>
          <w:spacing w:val="-3"/>
          <w:sz w:val="18"/>
        </w:rPr>
        <w:t xml:space="preserve"> </w:t>
      </w:r>
      <w:r>
        <w:rPr>
          <w:sz w:val="18"/>
        </w:rPr>
        <w:t>“Queer</w:t>
      </w:r>
      <w:r>
        <w:rPr>
          <w:spacing w:val="-4"/>
          <w:sz w:val="18"/>
        </w:rPr>
        <w:t xml:space="preserve"> </w:t>
      </w:r>
      <w:r>
        <w:rPr>
          <w:sz w:val="18"/>
        </w:rPr>
        <w:t>and</w:t>
      </w:r>
      <w:r>
        <w:rPr>
          <w:spacing w:val="-2"/>
          <w:sz w:val="18"/>
        </w:rPr>
        <w:t xml:space="preserve"> </w:t>
      </w:r>
      <w:r>
        <w:rPr>
          <w:sz w:val="18"/>
        </w:rPr>
        <w:t>Present</w:t>
      </w:r>
      <w:r>
        <w:rPr>
          <w:spacing w:val="-1"/>
          <w:sz w:val="18"/>
        </w:rPr>
        <w:t xml:space="preserve"> </w:t>
      </w:r>
      <w:r>
        <w:rPr>
          <w:sz w:val="18"/>
        </w:rPr>
        <w:t>Danger:</w:t>
      </w:r>
      <w:r>
        <w:rPr>
          <w:spacing w:val="-3"/>
          <w:sz w:val="18"/>
        </w:rPr>
        <w:t xml:space="preserve"> </w:t>
      </w:r>
      <w:r>
        <w:rPr>
          <w:sz w:val="18"/>
        </w:rPr>
        <w:t>Understanding</w:t>
      </w:r>
      <w:r>
        <w:rPr>
          <w:spacing w:val="-4"/>
          <w:sz w:val="18"/>
        </w:rPr>
        <w:t xml:space="preserve"> </w:t>
      </w:r>
      <w:r>
        <w:rPr>
          <w:sz w:val="18"/>
        </w:rPr>
        <w:t>the</w:t>
      </w:r>
      <w:r>
        <w:rPr>
          <w:spacing w:val="-4"/>
          <w:sz w:val="18"/>
        </w:rPr>
        <w:t xml:space="preserve"> </w:t>
      </w:r>
      <w:r>
        <w:rPr>
          <w:sz w:val="18"/>
        </w:rPr>
        <w:t>Disparate</w:t>
      </w:r>
      <w:r>
        <w:rPr>
          <w:spacing w:val="-4"/>
          <w:sz w:val="18"/>
        </w:rPr>
        <w:t xml:space="preserve"> </w:t>
      </w:r>
      <w:r>
        <w:rPr>
          <w:sz w:val="18"/>
        </w:rPr>
        <w:t>Impacts</w:t>
      </w:r>
      <w:r>
        <w:rPr>
          <w:spacing w:val="-4"/>
          <w:sz w:val="18"/>
        </w:rPr>
        <w:t xml:space="preserve"> </w:t>
      </w:r>
      <w:r>
        <w:rPr>
          <w:sz w:val="18"/>
        </w:rPr>
        <w:t xml:space="preserve">of Disasters on LGBTQ+ Communities,” </w:t>
      </w:r>
      <w:r>
        <w:rPr>
          <w:i/>
          <w:sz w:val="18"/>
        </w:rPr>
        <w:t xml:space="preserve">Disasters </w:t>
      </w:r>
      <w:r>
        <w:rPr>
          <w:sz w:val="18"/>
        </w:rPr>
        <w:t>46, no. 4 (2022): 946–73, https://doi.org/10.1111/disa.12509.</w:t>
      </w:r>
    </w:p>
    <w:p w:rsidR="00200FDA" w:rsidRDefault="00F76C4C">
      <w:pPr>
        <w:spacing w:before="1"/>
        <w:ind w:left="140" w:hanging="1"/>
        <w:rPr>
          <w:sz w:val="18"/>
        </w:rPr>
      </w:pPr>
      <w:r>
        <w:rPr>
          <w:position w:val="5"/>
          <w:sz w:val="12"/>
        </w:rPr>
        <w:t>64</w:t>
      </w:r>
      <w:r>
        <w:rPr>
          <w:spacing w:val="10"/>
          <w:position w:val="5"/>
          <w:sz w:val="12"/>
        </w:rPr>
        <w:t xml:space="preserve"> </w:t>
      </w:r>
      <w:r>
        <w:rPr>
          <w:sz w:val="18"/>
        </w:rPr>
        <w:t>Dale</w:t>
      </w:r>
      <w:r>
        <w:rPr>
          <w:spacing w:val="-3"/>
          <w:sz w:val="18"/>
        </w:rPr>
        <w:t xml:space="preserve"> </w:t>
      </w:r>
      <w:r>
        <w:rPr>
          <w:sz w:val="18"/>
        </w:rPr>
        <w:t>Dominey-Howes,</w:t>
      </w:r>
      <w:r>
        <w:rPr>
          <w:spacing w:val="-2"/>
          <w:sz w:val="18"/>
        </w:rPr>
        <w:t xml:space="preserve"> </w:t>
      </w:r>
      <w:r>
        <w:rPr>
          <w:sz w:val="18"/>
        </w:rPr>
        <w:t>Andrew</w:t>
      </w:r>
      <w:r>
        <w:rPr>
          <w:spacing w:val="-1"/>
          <w:sz w:val="18"/>
        </w:rPr>
        <w:t xml:space="preserve"> </w:t>
      </w:r>
      <w:r>
        <w:rPr>
          <w:sz w:val="18"/>
        </w:rPr>
        <w:t>Gorman-Murray,</w:t>
      </w:r>
      <w:r>
        <w:rPr>
          <w:spacing w:val="-2"/>
          <w:sz w:val="18"/>
        </w:rPr>
        <w:t xml:space="preserve"> </w:t>
      </w:r>
      <w:r>
        <w:rPr>
          <w:sz w:val="18"/>
        </w:rPr>
        <w:t>and</w:t>
      </w:r>
      <w:r>
        <w:rPr>
          <w:spacing w:val="-3"/>
          <w:sz w:val="18"/>
        </w:rPr>
        <w:t xml:space="preserve"> </w:t>
      </w:r>
      <w:r>
        <w:rPr>
          <w:sz w:val="18"/>
        </w:rPr>
        <w:t>Scott</w:t>
      </w:r>
      <w:r>
        <w:rPr>
          <w:spacing w:val="-3"/>
          <w:sz w:val="18"/>
        </w:rPr>
        <w:t xml:space="preserve"> </w:t>
      </w:r>
      <w:r>
        <w:rPr>
          <w:sz w:val="18"/>
        </w:rPr>
        <w:t>McKinnon,</w:t>
      </w:r>
      <w:r>
        <w:rPr>
          <w:spacing w:val="-2"/>
          <w:sz w:val="18"/>
        </w:rPr>
        <w:t xml:space="preserve"> </w:t>
      </w:r>
      <w:r>
        <w:rPr>
          <w:sz w:val="18"/>
        </w:rPr>
        <w:t>“Queering</w:t>
      </w:r>
      <w:r>
        <w:rPr>
          <w:spacing w:val="-3"/>
          <w:sz w:val="18"/>
        </w:rPr>
        <w:t xml:space="preserve"> </w:t>
      </w:r>
      <w:r>
        <w:rPr>
          <w:sz w:val="18"/>
        </w:rPr>
        <w:t>Disasters:</w:t>
      </w:r>
      <w:r>
        <w:rPr>
          <w:spacing w:val="-2"/>
          <w:sz w:val="18"/>
        </w:rPr>
        <w:t xml:space="preserve"> </w:t>
      </w:r>
      <w:r>
        <w:rPr>
          <w:sz w:val="18"/>
        </w:rPr>
        <w:t>On</w:t>
      </w:r>
      <w:r>
        <w:rPr>
          <w:spacing w:val="-3"/>
          <w:sz w:val="18"/>
        </w:rPr>
        <w:t xml:space="preserve"> </w:t>
      </w:r>
      <w:r>
        <w:rPr>
          <w:sz w:val="18"/>
        </w:rPr>
        <w:t>the</w:t>
      </w:r>
      <w:r>
        <w:rPr>
          <w:spacing w:val="-1"/>
          <w:sz w:val="18"/>
        </w:rPr>
        <w:t xml:space="preserve"> </w:t>
      </w:r>
      <w:r>
        <w:rPr>
          <w:sz w:val="18"/>
        </w:rPr>
        <w:t>Need</w:t>
      </w:r>
      <w:r>
        <w:rPr>
          <w:spacing w:val="-1"/>
          <w:sz w:val="18"/>
        </w:rPr>
        <w:t xml:space="preserve"> </w:t>
      </w:r>
      <w:r>
        <w:rPr>
          <w:sz w:val="18"/>
        </w:rPr>
        <w:t>to</w:t>
      </w:r>
      <w:r>
        <w:rPr>
          <w:spacing w:val="-1"/>
          <w:sz w:val="18"/>
        </w:rPr>
        <w:t xml:space="preserve"> </w:t>
      </w:r>
      <w:r>
        <w:rPr>
          <w:sz w:val="18"/>
        </w:rPr>
        <w:t>Account</w:t>
      </w:r>
      <w:r>
        <w:rPr>
          <w:spacing w:val="-3"/>
          <w:sz w:val="18"/>
        </w:rPr>
        <w:t xml:space="preserve"> </w:t>
      </w:r>
      <w:r>
        <w:rPr>
          <w:sz w:val="18"/>
        </w:rPr>
        <w:t>for</w:t>
      </w:r>
      <w:r>
        <w:rPr>
          <w:spacing w:val="-3"/>
          <w:sz w:val="18"/>
        </w:rPr>
        <w:t xml:space="preserve"> </w:t>
      </w:r>
      <w:r>
        <w:rPr>
          <w:sz w:val="18"/>
        </w:rPr>
        <w:t xml:space="preserve">LGBTI Experiences in Natural Disaster Contexts,” </w:t>
      </w:r>
      <w:r>
        <w:rPr>
          <w:i/>
          <w:sz w:val="18"/>
        </w:rPr>
        <w:t xml:space="preserve">Gender, Place &amp; Culture </w:t>
      </w:r>
      <w:r>
        <w:rPr>
          <w:sz w:val="18"/>
        </w:rPr>
        <w:t xml:space="preserve">21, no. 7 (August 9, 2014): 905–18, </w:t>
      </w:r>
      <w:r>
        <w:rPr>
          <w:spacing w:val="-2"/>
          <w:sz w:val="18"/>
        </w:rPr>
        <w:t>https://doi.org/10.1080/0966369X.2013.802673.</w:t>
      </w:r>
    </w:p>
    <w:p w:rsidR="00200FDA" w:rsidRDefault="00F76C4C">
      <w:pPr>
        <w:spacing w:line="218" w:lineRule="exact"/>
        <w:ind w:left="140"/>
        <w:rPr>
          <w:sz w:val="18"/>
        </w:rPr>
      </w:pPr>
      <w:r>
        <w:rPr>
          <w:position w:val="5"/>
          <w:sz w:val="12"/>
        </w:rPr>
        <w:t>65</w:t>
      </w:r>
      <w:r>
        <w:rPr>
          <w:spacing w:val="9"/>
          <w:position w:val="5"/>
          <w:sz w:val="12"/>
        </w:rPr>
        <w:t xml:space="preserve"> </w:t>
      </w:r>
      <w:r>
        <w:rPr>
          <w:sz w:val="18"/>
        </w:rPr>
        <w:t>Goldsmith,</w:t>
      </w:r>
      <w:r>
        <w:rPr>
          <w:spacing w:val="-2"/>
          <w:sz w:val="18"/>
        </w:rPr>
        <w:t xml:space="preserve"> </w:t>
      </w:r>
      <w:r>
        <w:rPr>
          <w:sz w:val="18"/>
        </w:rPr>
        <w:t>Raditz,</w:t>
      </w:r>
      <w:r>
        <w:rPr>
          <w:spacing w:val="-3"/>
          <w:sz w:val="18"/>
        </w:rPr>
        <w:t xml:space="preserve"> </w:t>
      </w:r>
      <w:r>
        <w:rPr>
          <w:sz w:val="18"/>
        </w:rPr>
        <w:t>and</w:t>
      </w:r>
      <w:r>
        <w:rPr>
          <w:spacing w:val="-3"/>
          <w:sz w:val="18"/>
        </w:rPr>
        <w:t xml:space="preserve"> </w:t>
      </w:r>
      <w:r>
        <w:rPr>
          <w:sz w:val="18"/>
        </w:rPr>
        <w:t>Méndez,</w:t>
      </w:r>
      <w:r>
        <w:rPr>
          <w:spacing w:val="-2"/>
          <w:sz w:val="18"/>
        </w:rPr>
        <w:t xml:space="preserve"> </w:t>
      </w:r>
      <w:r>
        <w:rPr>
          <w:sz w:val="18"/>
        </w:rPr>
        <w:t>“Queer</w:t>
      </w:r>
      <w:r>
        <w:rPr>
          <w:spacing w:val="-4"/>
          <w:sz w:val="18"/>
        </w:rPr>
        <w:t xml:space="preserve"> </w:t>
      </w:r>
      <w:r>
        <w:rPr>
          <w:sz w:val="18"/>
        </w:rPr>
        <w:t>and</w:t>
      </w:r>
      <w:r>
        <w:rPr>
          <w:spacing w:val="-3"/>
          <w:sz w:val="18"/>
        </w:rPr>
        <w:t xml:space="preserve"> </w:t>
      </w:r>
      <w:r>
        <w:rPr>
          <w:sz w:val="18"/>
        </w:rPr>
        <w:t>Present</w:t>
      </w:r>
      <w:r>
        <w:rPr>
          <w:spacing w:val="-3"/>
          <w:sz w:val="18"/>
        </w:rPr>
        <w:t xml:space="preserve"> </w:t>
      </w:r>
      <w:r>
        <w:rPr>
          <w:spacing w:val="-2"/>
          <w:sz w:val="18"/>
        </w:rPr>
        <w:t>Danger.”</w:t>
      </w:r>
    </w:p>
    <w:p w:rsidR="00200FDA" w:rsidRDefault="00F76C4C">
      <w:pPr>
        <w:spacing w:before="1"/>
        <w:ind w:left="140" w:right="1567"/>
        <w:rPr>
          <w:sz w:val="18"/>
        </w:rPr>
      </w:pPr>
      <w:r>
        <w:rPr>
          <w:position w:val="5"/>
          <w:sz w:val="12"/>
        </w:rPr>
        <w:t>66</w:t>
      </w:r>
      <w:r>
        <w:rPr>
          <w:spacing w:val="26"/>
          <w:position w:val="5"/>
          <w:sz w:val="12"/>
        </w:rPr>
        <w:t xml:space="preserve"> </w:t>
      </w:r>
      <w:r>
        <w:rPr>
          <w:sz w:val="18"/>
        </w:rPr>
        <w:t xml:space="preserve">“Transgender Evacuee Survives All Obstacles,” accessed March 14, 2023, </w:t>
      </w:r>
      <w:r>
        <w:rPr>
          <w:spacing w:val="-2"/>
          <w:sz w:val="18"/>
        </w:rPr>
        <w:t>https://</w:t>
      </w:r>
      <w:hyperlink r:id="rId750">
        <w:r>
          <w:rPr>
            <w:spacing w:val="-2"/>
            <w:sz w:val="18"/>
          </w:rPr>
          <w:t>www.chron.com/news/hurrica</w:t>
        </w:r>
        <w:r>
          <w:rPr>
            <w:spacing w:val="-2"/>
            <w:sz w:val="18"/>
          </w:rPr>
          <w:t>nes/article/Transgender-evacuee-survives-all-obstacles-1931933.php.</w:t>
        </w:r>
      </w:hyperlink>
    </w:p>
    <w:p w:rsidR="00200FDA" w:rsidRDefault="00F76C4C">
      <w:pPr>
        <w:spacing w:line="219" w:lineRule="exact"/>
        <w:ind w:left="140"/>
        <w:rPr>
          <w:sz w:val="18"/>
        </w:rPr>
      </w:pPr>
      <w:r>
        <w:rPr>
          <w:position w:val="5"/>
          <w:sz w:val="12"/>
        </w:rPr>
        <w:t>67</w:t>
      </w:r>
      <w:r>
        <w:rPr>
          <w:spacing w:val="9"/>
          <w:position w:val="5"/>
          <w:sz w:val="12"/>
        </w:rPr>
        <w:t xml:space="preserve"> </w:t>
      </w:r>
      <w:r>
        <w:rPr>
          <w:sz w:val="18"/>
        </w:rPr>
        <w:t>Goldsmith,</w:t>
      </w:r>
      <w:r>
        <w:rPr>
          <w:spacing w:val="-2"/>
          <w:sz w:val="18"/>
        </w:rPr>
        <w:t xml:space="preserve"> </w:t>
      </w:r>
      <w:r>
        <w:rPr>
          <w:sz w:val="18"/>
        </w:rPr>
        <w:t>Raditz,</w:t>
      </w:r>
      <w:r>
        <w:rPr>
          <w:spacing w:val="-3"/>
          <w:sz w:val="18"/>
        </w:rPr>
        <w:t xml:space="preserve"> </w:t>
      </w:r>
      <w:r>
        <w:rPr>
          <w:sz w:val="18"/>
        </w:rPr>
        <w:t>and</w:t>
      </w:r>
      <w:r>
        <w:rPr>
          <w:spacing w:val="-3"/>
          <w:sz w:val="18"/>
        </w:rPr>
        <w:t xml:space="preserve"> </w:t>
      </w:r>
      <w:r>
        <w:rPr>
          <w:sz w:val="18"/>
        </w:rPr>
        <w:t>Méndez,</w:t>
      </w:r>
      <w:r>
        <w:rPr>
          <w:spacing w:val="-2"/>
          <w:sz w:val="18"/>
        </w:rPr>
        <w:t xml:space="preserve"> </w:t>
      </w:r>
      <w:r>
        <w:rPr>
          <w:sz w:val="18"/>
        </w:rPr>
        <w:t>“Queer</w:t>
      </w:r>
      <w:r>
        <w:rPr>
          <w:spacing w:val="-4"/>
          <w:sz w:val="18"/>
        </w:rPr>
        <w:t xml:space="preserve"> </w:t>
      </w:r>
      <w:r>
        <w:rPr>
          <w:sz w:val="18"/>
        </w:rPr>
        <w:t>and</w:t>
      </w:r>
      <w:r>
        <w:rPr>
          <w:spacing w:val="-3"/>
          <w:sz w:val="18"/>
        </w:rPr>
        <w:t xml:space="preserve"> </w:t>
      </w:r>
      <w:r>
        <w:rPr>
          <w:sz w:val="18"/>
        </w:rPr>
        <w:t>Present</w:t>
      </w:r>
      <w:r>
        <w:rPr>
          <w:spacing w:val="-3"/>
          <w:sz w:val="18"/>
        </w:rPr>
        <w:t xml:space="preserve"> </w:t>
      </w:r>
      <w:r>
        <w:rPr>
          <w:spacing w:val="-2"/>
          <w:sz w:val="18"/>
        </w:rPr>
        <w:t>Danger.”</w:t>
      </w:r>
    </w:p>
    <w:p w:rsidR="00200FDA" w:rsidRDefault="00F76C4C">
      <w:pPr>
        <w:ind w:left="140" w:right="368" w:hanging="1"/>
        <w:rPr>
          <w:sz w:val="18"/>
        </w:rPr>
      </w:pPr>
      <w:r>
        <w:rPr>
          <w:position w:val="5"/>
          <w:sz w:val="12"/>
        </w:rPr>
        <w:t>68</w:t>
      </w:r>
      <w:r>
        <w:rPr>
          <w:spacing w:val="9"/>
          <w:position w:val="5"/>
          <w:sz w:val="12"/>
        </w:rPr>
        <w:t xml:space="preserve"> </w:t>
      </w:r>
      <w:r>
        <w:rPr>
          <w:sz w:val="18"/>
        </w:rPr>
        <w:t>Human</w:t>
      </w:r>
      <w:r>
        <w:rPr>
          <w:spacing w:val="-4"/>
          <w:sz w:val="18"/>
        </w:rPr>
        <w:t xml:space="preserve"> </w:t>
      </w:r>
      <w:r>
        <w:rPr>
          <w:sz w:val="18"/>
        </w:rPr>
        <w:t>Rights</w:t>
      </w:r>
      <w:r>
        <w:rPr>
          <w:spacing w:val="-4"/>
          <w:sz w:val="18"/>
        </w:rPr>
        <w:t xml:space="preserve"> </w:t>
      </w:r>
      <w:r>
        <w:rPr>
          <w:sz w:val="18"/>
        </w:rPr>
        <w:t>Campaign, “Working</w:t>
      </w:r>
      <w:r>
        <w:rPr>
          <w:spacing w:val="-4"/>
          <w:sz w:val="18"/>
        </w:rPr>
        <w:t xml:space="preserve"> </w:t>
      </w:r>
      <w:r>
        <w:rPr>
          <w:sz w:val="18"/>
        </w:rPr>
        <w:t>with</w:t>
      </w:r>
      <w:r>
        <w:rPr>
          <w:spacing w:val="-4"/>
          <w:sz w:val="18"/>
        </w:rPr>
        <w:t xml:space="preserve"> </w:t>
      </w:r>
      <w:r>
        <w:rPr>
          <w:sz w:val="18"/>
        </w:rPr>
        <w:t>the</w:t>
      </w:r>
      <w:r>
        <w:rPr>
          <w:spacing w:val="-4"/>
          <w:sz w:val="18"/>
        </w:rPr>
        <w:t xml:space="preserve"> </w:t>
      </w:r>
      <w:r>
        <w:rPr>
          <w:sz w:val="18"/>
        </w:rPr>
        <w:t>LGBTQ</w:t>
      </w:r>
      <w:r>
        <w:rPr>
          <w:spacing w:val="-4"/>
          <w:sz w:val="18"/>
        </w:rPr>
        <w:t xml:space="preserve"> </w:t>
      </w:r>
      <w:r>
        <w:rPr>
          <w:sz w:val="18"/>
        </w:rPr>
        <w:t>Community:</w:t>
      </w:r>
      <w:r>
        <w:rPr>
          <w:spacing w:val="-3"/>
          <w:sz w:val="18"/>
        </w:rPr>
        <w:t xml:space="preserve"> </w:t>
      </w:r>
      <w:r>
        <w:rPr>
          <w:sz w:val="18"/>
        </w:rPr>
        <w:t>A</w:t>
      </w:r>
      <w:r>
        <w:rPr>
          <w:spacing w:val="-2"/>
          <w:sz w:val="18"/>
        </w:rPr>
        <w:t xml:space="preserve"> </w:t>
      </w:r>
      <w:r>
        <w:rPr>
          <w:sz w:val="18"/>
        </w:rPr>
        <w:t>Cultural</w:t>
      </w:r>
      <w:r>
        <w:rPr>
          <w:spacing w:val="-4"/>
          <w:sz w:val="18"/>
        </w:rPr>
        <w:t xml:space="preserve"> </w:t>
      </w:r>
      <w:r>
        <w:rPr>
          <w:sz w:val="18"/>
        </w:rPr>
        <w:t>Competence</w:t>
      </w:r>
      <w:r>
        <w:rPr>
          <w:spacing w:val="-2"/>
          <w:sz w:val="18"/>
        </w:rPr>
        <w:t xml:space="preserve"> </w:t>
      </w:r>
      <w:r>
        <w:rPr>
          <w:sz w:val="18"/>
        </w:rPr>
        <w:t>Guide</w:t>
      </w:r>
      <w:r>
        <w:rPr>
          <w:spacing w:val="-4"/>
          <w:sz w:val="18"/>
        </w:rPr>
        <w:t xml:space="preserve"> </w:t>
      </w:r>
      <w:r>
        <w:rPr>
          <w:sz w:val="18"/>
        </w:rPr>
        <w:t>for</w:t>
      </w:r>
      <w:r>
        <w:rPr>
          <w:spacing w:val="-4"/>
          <w:sz w:val="18"/>
        </w:rPr>
        <w:t xml:space="preserve"> </w:t>
      </w:r>
      <w:r>
        <w:rPr>
          <w:sz w:val="18"/>
        </w:rPr>
        <w:t>Emergency</w:t>
      </w:r>
      <w:r>
        <w:rPr>
          <w:spacing w:val="-3"/>
          <w:sz w:val="18"/>
        </w:rPr>
        <w:t xml:space="preserve"> </w:t>
      </w:r>
      <w:r>
        <w:rPr>
          <w:sz w:val="18"/>
        </w:rPr>
        <w:t>Responders and Volunteers,” 2012, https://assets2.hrc.org/files/assets/resources/EmergencyResponders_-_LGBT_Competency.pdf.</w:t>
      </w:r>
    </w:p>
    <w:p w:rsidR="00200FDA" w:rsidRDefault="00200FDA">
      <w:pPr>
        <w:rPr>
          <w:sz w:val="18"/>
        </w:rPr>
        <w:sectPr w:rsidR="00200FDA">
          <w:pgSz w:w="12240" w:h="15840"/>
          <w:pgMar w:top="1380" w:right="1300" w:bottom="1540" w:left="1300" w:header="758" w:footer="1297" w:gutter="0"/>
          <w:cols w:space="720"/>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spacing w:before="2"/>
        <w:rPr>
          <w:sz w:val="19"/>
        </w:rPr>
      </w:pPr>
    </w:p>
    <w:p w:rsidR="00200FDA" w:rsidRDefault="00F76C4C">
      <w:pPr>
        <w:spacing w:before="107"/>
        <w:ind w:left="454"/>
        <w:rPr>
          <w:sz w:val="34"/>
        </w:rPr>
      </w:pPr>
      <w:bookmarkStart w:id="1047" w:name="Environmental.pdf"/>
      <w:bookmarkEnd w:id="1047"/>
      <w:r>
        <w:rPr>
          <w:color w:val="FFFFFF"/>
          <w:w w:val="120"/>
          <w:sz w:val="34"/>
        </w:rPr>
        <w:t>COMMISSION</w:t>
      </w:r>
      <w:r>
        <w:rPr>
          <w:color w:val="FFFFFF"/>
          <w:spacing w:val="17"/>
          <w:w w:val="120"/>
          <w:sz w:val="34"/>
        </w:rPr>
        <w:t xml:space="preserve"> </w:t>
      </w:r>
      <w:r>
        <w:rPr>
          <w:color w:val="FFFFFF"/>
          <w:w w:val="120"/>
          <w:sz w:val="34"/>
        </w:rPr>
        <w:t>ON</w:t>
      </w:r>
      <w:r>
        <w:rPr>
          <w:color w:val="FFFFFF"/>
          <w:spacing w:val="17"/>
          <w:w w:val="120"/>
          <w:sz w:val="34"/>
        </w:rPr>
        <w:t xml:space="preserve"> </w:t>
      </w:r>
      <w:r>
        <w:rPr>
          <w:color w:val="FFFFFF"/>
          <w:w w:val="120"/>
          <w:sz w:val="34"/>
        </w:rPr>
        <w:t>LGBTQ</w:t>
      </w:r>
      <w:r>
        <w:rPr>
          <w:color w:val="FFFFFF"/>
          <w:spacing w:val="17"/>
          <w:w w:val="120"/>
          <w:sz w:val="34"/>
        </w:rPr>
        <w:t xml:space="preserve"> </w:t>
      </w:r>
      <w:r>
        <w:rPr>
          <w:color w:val="FFFFFF"/>
          <w:spacing w:val="-2"/>
          <w:w w:val="120"/>
          <w:sz w:val="34"/>
        </w:rPr>
        <w:t>YOUTH</w:t>
      </w:r>
    </w:p>
    <w:p w:rsidR="00200FDA" w:rsidRDefault="00F76C4C">
      <w:pPr>
        <w:spacing w:before="175" w:line="213" w:lineRule="auto"/>
        <w:ind w:left="454" w:right="760"/>
        <w:rPr>
          <w:b/>
          <w:sz w:val="74"/>
        </w:rPr>
      </w:pPr>
      <w:r>
        <w:rPr>
          <w:b/>
          <w:color w:val="FFFFFF"/>
          <w:spacing w:val="-2"/>
          <w:w w:val="120"/>
          <w:sz w:val="74"/>
        </w:rPr>
        <w:t xml:space="preserve">ENVIRONMENTAL </w:t>
      </w:r>
      <w:r>
        <w:rPr>
          <w:b/>
          <w:color w:val="FFFFFF"/>
          <w:spacing w:val="-2"/>
          <w:w w:val="125"/>
          <w:sz w:val="74"/>
        </w:rPr>
        <w:t>JUSTICE</w:t>
      </w: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pStyle w:val="BodyText"/>
        <w:rPr>
          <w:b/>
          <w:sz w:val="20"/>
        </w:rPr>
      </w:pPr>
    </w:p>
    <w:p w:rsidR="00200FDA" w:rsidRDefault="00200FDA">
      <w:pPr>
        <w:rPr>
          <w:sz w:val="20"/>
        </w:rPr>
        <w:sectPr w:rsidR="00200FDA">
          <w:headerReference w:type="default" r:id="rId751"/>
          <w:footerReference w:type="default" r:id="rId752"/>
          <w:pgSz w:w="12240" w:h="15840"/>
          <w:pgMar w:top="0" w:right="340" w:bottom="280" w:left="1140" w:header="0" w:footer="0" w:gutter="0"/>
          <w:cols w:space="720"/>
        </w:sectPr>
      </w:pPr>
    </w:p>
    <w:p w:rsidR="00200FDA" w:rsidRDefault="00F76C4C">
      <w:pPr>
        <w:pStyle w:val="Heading6"/>
        <w:spacing w:before="261"/>
        <w:ind w:left="103"/>
      </w:pPr>
      <w:r>
        <w:rPr>
          <w:spacing w:val="11"/>
          <w:w w:val="125"/>
        </w:rPr>
        <w:t>ABOUT</w:t>
      </w:r>
    </w:p>
    <w:p w:rsidR="00200FDA" w:rsidRDefault="00F76C4C">
      <w:pPr>
        <w:spacing w:before="12" w:line="278" w:lineRule="auto"/>
        <w:ind w:left="103" w:right="38"/>
        <w:jc w:val="both"/>
        <w:rPr>
          <w:rFonts w:ascii="Georgia"/>
          <w:sz w:val="19"/>
        </w:rPr>
      </w:pPr>
      <w:r>
        <w:rPr>
          <w:rFonts w:ascii="Georgia"/>
          <w:w w:val="105"/>
          <w:sz w:val="19"/>
        </w:rPr>
        <w:t>Environmental justice is a key element</w:t>
      </w:r>
      <w:r>
        <w:rPr>
          <w:rFonts w:ascii="Georgia"/>
          <w:w w:val="105"/>
          <w:sz w:val="19"/>
        </w:rPr>
        <w:t xml:space="preserve"> of the complex</w:t>
      </w:r>
      <w:r>
        <w:rPr>
          <w:rFonts w:ascii="Georgia"/>
          <w:spacing w:val="40"/>
          <w:w w:val="105"/>
          <w:sz w:val="19"/>
        </w:rPr>
        <w:t xml:space="preserve"> </w:t>
      </w:r>
      <w:r>
        <w:rPr>
          <w:rFonts w:ascii="Georgia"/>
          <w:w w:val="105"/>
          <w:sz w:val="19"/>
        </w:rPr>
        <w:t>web of inequities that impact the health and well-being of LGBTQ youth, particularly LGBTQ youth of color and Indigenous,</w:t>
      </w:r>
      <w:r>
        <w:rPr>
          <w:rFonts w:ascii="Georgia"/>
          <w:spacing w:val="-7"/>
          <w:w w:val="105"/>
          <w:sz w:val="19"/>
        </w:rPr>
        <w:t xml:space="preserve"> </w:t>
      </w:r>
      <w:r>
        <w:rPr>
          <w:rFonts w:ascii="Georgia"/>
          <w:w w:val="105"/>
          <w:sz w:val="19"/>
        </w:rPr>
        <w:t>immigrant,</w:t>
      </w:r>
      <w:r>
        <w:rPr>
          <w:rFonts w:ascii="Georgia"/>
          <w:spacing w:val="-7"/>
          <w:w w:val="105"/>
          <w:sz w:val="19"/>
        </w:rPr>
        <w:t xml:space="preserve"> </w:t>
      </w:r>
      <w:r>
        <w:rPr>
          <w:rFonts w:ascii="Georgia"/>
          <w:w w:val="105"/>
          <w:sz w:val="19"/>
        </w:rPr>
        <w:t>disabled,</w:t>
      </w:r>
      <w:r>
        <w:rPr>
          <w:rFonts w:ascii="Georgia"/>
          <w:spacing w:val="-7"/>
          <w:w w:val="105"/>
          <w:sz w:val="19"/>
        </w:rPr>
        <w:t xml:space="preserve"> </w:t>
      </w:r>
      <w:r>
        <w:rPr>
          <w:rFonts w:ascii="Georgia"/>
          <w:w w:val="105"/>
          <w:sz w:val="19"/>
        </w:rPr>
        <w:t>and</w:t>
      </w:r>
      <w:r>
        <w:rPr>
          <w:rFonts w:ascii="Georgia"/>
          <w:spacing w:val="-7"/>
          <w:w w:val="105"/>
          <w:sz w:val="19"/>
        </w:rPr>
        <w:t xml:space="preserve"> </w:t>
      </w:r>
      <w:r>
        <w:rPr>
          <w:rFonts w:ascii="Georgia"/>
          <w:w w:val="105"/>
          <w:sz w:val="19"/>
        </w:rPr>
        <w:t>low-income</w:t>
      </w:r>
      <w:r>
        <w:rPr>
          <w:rFonts w:ascii="Georgia"/>
          <w:spacing w:val="-7"/>
          <w:w w:val="105"/>
          <w:sz w:val="19"/>
        </w:rPr>
        <w:t xml:space="preserve"> </w:t>
      </w:r>
      <w:r>
        <w:rPr>
          <w:rFonts w:ascii="Georgia"/>
          <w:w w:val="105"/>
          <w:sz w:val="19"/>
        </w:rPr>
        <w:t>LGBTQ youth. The necessity of examining the undue environmental burdens placed on</w:t>
      </w:r>
      <w:r>
        <w:rPr>
          <w:rFonts w:ascii="Georgia"/>
          <w:w w:val="105"/>
          <w:sz w:val="19"/>
        </w:rPr>
        <w:t xml:space="preserve"> LGBTQ youth is undeniable; exposure to environmental stressors such as air pollution and toxic chemicals exacerbates the health and economic inequalities LGBTQ communities already face. QTBIPOC youth experience compounding effects from multiple overlappin</w:t>
      </w:r>
      <w:r>
        <w:rPr>
          <w:rFonts w:ascii="Georgia"/>
          <w:w w:val="105"/>
          <w:sz w:val="19"/>
        </w:rPr>
        <w:t>g systems of oppression. Developing a more complete picture of the burdens and injustices faced by LGBTQ youth in Massachusetts requires bringing intersectionality to the forefront and understanding the interactions between the multiple social,</w:t>
      </w:r>
      <w:r>
        <w:rPr>
          <w:rFonts w:ascii="Georgia"/>
          <w:spacing w:val="-13"/>
          <w:w w:val="105"/>
          <w:sz w:val="19"/>
        </w:rPr>
        <w:t xml:space="preserve"> </w:t>
      </w:r>
      <w:r>
        <w:rPr>
          <w:rFonts w:ascii="Georgia"/>
          <w:w w:val="105"/>
          <w:sz w:val="19"/>
        </w:rPr>
        <w:t>economic,</w:t>
      </w:r>
      <w:r>
        <w:rPr>
          <w:rFonts w:ascii="Georgia"/>
          <w:spacing w:val="-12"/>
          <w:w w:val="105"/>
          <w:sz w:val="19"/>
        </w:rPr>
        <w:t xml:space="preserve"> </w:t>
      </w:r>
      <w:r>
        <w:rPr>
          <w:rFonts w:ascii="Georgia"/>
          <w:w w:val="105"/>
          <w:sz w:val="19"/>
        </w:rPr>
        <w:t>e</w:t>
      </w:r>
      <w:r>
        <w:rPr>
          <w:rFonts w:ascii="Georgia"/>
          <w:w w:val="105"/>
          <w:sz w:val="19"/>
        </w:rPr>
        <w:t>nvironmental,</w:t>
      </w:r>
      <w:r>
        <w:rPr>
          <w:rFonts w:ascii="Georgia"/>
          <w:spacing w:val="-12"/>
          <w:w w:val="105"/>
          <w:sz w:val="19"/>
        </w:rPr>
        <w:t xml:space="preserve"> </w:t>
      </w:r>
      <w:r>
        <w:rPr>
          <w:rFonts w:ascii="Georgia"/>
          <w:w w:val="105"/>
          <w:sz w:val="19"/>
        </w:rPr>
        <w:t>and</w:t>
      </w:r>
      <w:r>
        <w:rPr>
          <w:rFonts w:ascii="Georgia"/>
          <w:spacing w:val="-12"/>
          <w:w w:val="105"/>
          <w:sz w:val="19"/>
        </w:rPr>
        <w:t xml:space="preserve"> </w:t>
      </w:r>
      <w:r>
        <w:rPr>
          <w:rFonts w:ascii="Georgia"/>
          <w:w w:val="105"/>
          <w:sz w:val="19"/>
        </w:rPr>
        <w:t>institutional</w:t>
      </w:r>
      <w:r>
        <w:rPr>
          <w:rFonts w:ascii="Georgia"/>
          <w:spacing w:val="-12"/>
          <w:w w:val="105"/>
          <w:sz w:val="19"/>
        </w:rPr>
        <w:t xml:space="preserve"> </w:t>
      </w:r>
      <w:r>
        <w:rPr>
          <w:rFonts w:ascii="Georgia"/>
          <w:w w:val="105"/>
          <w:sz w:val="19"/>
        </w:rPr>
        <w:t>systems that impact LGBTQ youth.</w:t>
      </w:r>
    </w:p>
    <w:p w:rsidR="00200FDA" w:rsidRDefault="00F76C4C">
      <w:pPr>
        <w:spacing w:before="662" w:line="740" w:lineRule="exact"/>
        <w:ind w:left="656" w:right="964"/>
        <w:jc w:val="center"/>
        <w:rPr>
          <w:b/>
          <w:sz w:val="61"/>
        </w:rPr>
      </w:pPr>
      <w:r>
        <w:br w:type="column"/>
      </w:r>
      <w:r>
        <w:rPr>
          <w:b/>
          <w:emboss/>
          <w:color w:val="00BE62"/>
          <w:spacing w:val="15"/>
          <w:w w:val="115"/>
          <w:sz w:val="61"/>
        </w:rPr>
        <w:t>38%</w:t>
      </w:r>
    </w:p>
    <w:p w:rsidR="00200FDA" w:rsidRDefault="00F76C4C">
      <w:pPr>
        <w:spacing w:line="278" w:lineRule="auto"/>
        <w:ind w:left="656" w:right="1161"/>
        <w:jc w:val="center"/>
        <w:rPr>
          <w:rFonts w:ascii="Georgia"/>
          <w:sz w:val="20"/>
        </w:rPr>
      </w:pPr>
      <w:r>
        <w:rPr>
          <w:rFonts w:ascii="Georgia"/>
          <w:w w:val="105"/>
          <w:sz w:val="20"/>
        </w:rPr>
        <w:t>more</w:t>
      </w:r>
      <w:r>
        <w:rPr>
          <w:rFonts w:ascii="Georgia"/>
          <w:spacing w:val="-12"/>
          <w:w w:val="105"/>
          <w:sz w:val="20"/>
        </w:rPr>
        <w:t xml:space="preserve"> </w:t>
      </w:r>
      <w:r>
        <w:rPr>
          <w:rFonts w:ascii="Georgia"/>
          <w:w w:val="105"/>
          <w:sz w:val="20"/>
        </w:rPr>
        <w:t>likely</w:t>
      </w:r>
      <w:r>
        <w:rPr>
          <w:rFonts w:ascii="Georgia"/>
          <w:spacing w:val="-12"/>
          <w:w w:val="105"/>
          <w:sz w:val="20"/>
        </w:rPr>
        <w:t xml:space="preserve"> </w:t>
      </w:r>
      <w:r>
        <w:rPr>
          <w:rFonts w:ascii="Georgia"/>
          <w:w w:val="105"/>
          <w:sz w:val="20"/>
        </w:rPr>
        <w:t>to</w:t>
      </w:r>
      <w:r>
        <w:rPr>
          <w:rFonts w:ascii="Georgia"/>
          <w:spacing w:val="-13"/>
          <w:w w:val="105"/>
          <w:sz w:val="20"/>
        </w:rPr>
        <w:t xml:space="preserve"> </w:t>
      </w:r>
      <w:r>
        <w:rPr>
          <w:rFonts w:ascii="Georgia"/>
          <w:w w:val="105"/>
          <w:sz w:val="20"/>
        </w:rPr>
        <w:t>be</w:t>
      </w:r>
      <w:r>
        <w:rPr>
          <w:rFonts w:ascii="Georgia"/>
          <w:spacing w:val="-12"/>
          <w:w w:val="105"/>
          <w:sz w:val="20"/>
        </w:rPr>
        <w:t xml:space="preserve"> </w:t>
      </w:r>
      <w:r>
        <w:rPr>
          <w:rFonts w:ascii="Georgia"/>
          <w:w w:val="105"/>
          <w:sz w:val="20"/>
        </w:rPr>
        <w:t>exposed</w:t>
      </w:r>
      <w:r>
        <w:rPr>
          <w:rFonts w:ascii="Georgia"/>
          <w:spacing w:val="-12"/>
          <w:w w:val="105"/>
          <w:sz w:val="20"/>
        </w:rPr>
        <w:t xml:space="preserve"> </w:t>
      </w:r>
      <w:r>
        <w:rPr>
          <w:rFonts w:ascii="Georgia"/>
          <w:w w:val="105"/>
          <w:sz w:val="20"/>
        </w:rPr>
        <w:t>to</w:t>
      </w:r>
      <w:r>
        <w:rPr>
          <w:rFonts w:ascii="Georgia"/>
          <w:spacing w:val="-12"/>
          <w:w w:val="105"/>
          <w:sz w:val="20"/>
        </w:rPr>
        <w:t xml:space="preserve"> </w:t>
      </w:r>
      <w:r>
        <w:rPr>
          <w:rFonts w:ascii="Georgia"/>
          <w:w w:val="105"/>
          <w:sz w:val="20"/>
        </w:rPr>
        <w:t>second- hand</w:t>
      </w:r>
      <w:r>
        <w:rPr>
          <w:rFonts w:ascii="Georgia"/>
          <w:spacing w:val="-6"/>
          <w:w w:val="105"/>
          <w:sz w:val="20"/>
        </w:rPr>
        <w:t xml:space="preserve"> </w:t>
      </w:r>
      <w:r>
        <w:rPr>
          <w:rFonts w:ascii="Georgia"/>
          <w:w w:val="105"/>
          <w:sz w:val="20"/>
        </w:rPr>
        <w:t>smoke</w:t>
      </w:r>
      <w:r>
        <w:rPr>
          <w:rFonts w:ascii="Georgia"/>
          <w:spacing w:val="-6"/>
          <w:w w:val="105"/>
          <w:sz w:val="20"/>
        </w:rPr>
        <w:t xml:space="preserve"> </w:t>
      </w:r>
      <w:r>
        <w:rPr>
          <w:rFonts w:ascii="Georgia"/>
          <w:w w:val="105"/>
          <w:sz w:val="20"/>
        </w:rPr>
        <w:t>in</w:t>
      </w:r>
      <w:r>
        <w:rPr>
          <w:rFonts w:ascii="Georgia"/>
          <w:spacing w:val="-6"/>
          <w:w w:val="105"/>
          <w:sz w:val="20"/>
        </w:rPr>
        <w:t xml:space="preserve"> </w:t>
      </w:r>
      <w:r>
        <w:rPr>
          <w:rFonts w:ascii="Georgia"/>
          <w:w w:val="105"/>
          <w:sz w:val="20"/>
        </w:rPr>
        <w:t>LGBTQ</w:t>
      </w:r>
      <w:r>
        <w:rPr>
          <w:rFonts w:ascii="Georgia"/>
          <w:spacing w:val="-6"/>
          <w:w w:val="105"/>
          <w:sz w:val="20"/>
        </w:rPr>
        <w:t xml:space="preserve"> </w:t>
      </w:r>
      <w:r>
        <w:rPr>
          <w:rFonts w:ascii="Georgia"/>
          <w:w w:val="105"/>
          <w:sz w:val="20"/>
        </w:rPr>
        <w:t>bars/venues than in non-LGBTQ bars</w:t>
      </w:r>
    </w:p>
    <w:p w:rsidR="00200FDA" w:rsidRDefault="00200FDA">
      <w:pPr>
        <w:pStyle w:val="BodyText"/>
        <w:rPr>
          <w:rFonts w:ascii="Georgia"/>
        </w:rPr>
      </w:pPr>
    </w:p>
    <w:p w:rsidR="00200FDA" w:rsidRDefault="00200FDA">
      <w:pPr>
        <w:pStyle w:val="BodyText"/>
        <w:rPr>
          <w:rFonts w:ascii="Georgia"/>
        </w:rPr>
      </w:pPr>
    </w:p>
    <w:p w:rsidR="00200FDA" w:rsidRDefault="00F76C4C">
      <w:pPr>
        <w:pStyle w:val="Heading4"/>
        <w:spacing w:before="158" w:line="744" w:lineRule="exact"/>
        <w:ind w:right="963"/>
      </w:pPr>
      <w:r>
        <w:rPr>
          <w:emboss/>
          <w:color w:val="00BE62"/>
          <w:spacing w:val="15"/>
          <w:w w:val="115"/>
        </w:rPr>
        <w:t>28%</w:t>
      </w:r>
    </w:p>
    <w:p w:rsidR="00200FDA" w:rsidRDefault="00F76C4C">
      <w:pPr>
        <w:spacing w:line="278" w:lineRule="auto"/>
        <w:ind w:left="1051" w:right="1541"/>
        <w:jc w:val="center"/>
        <w:rPr>
          <w:rFonts w:ascii="Georgia"/>
          <w:sz w:val="20"/>
        </w:rPr>
      </w:pPr>
      <w:r>
        <w:rPr>
          <w:rFonts w:ascii="Georgia"/>
          <w:spacing w:val="-2"/>
          <w:w w:val="105"/>
          <w:sz w:val="20"/>
        </w:rPr>
        <w:t>of</w:t>
      </w:r>
      <w:r>
        <w:rPr>
          <w:rFonts w:ascii="Georgia"/>
          <w:spacing w:val="-11"/>
          <w:w w:val="105"/>
          <w:sz w:val="20"/>
        </w:rPr>
        <w:t xml:space="preserve"> </w:t>
      </w:r>
      <w:r>
        <w:rPr>
          <w:rFonts w:ascii="Georgia"/>
          <w:spacing w:val="-2"/>
          <w:w w:val="105"/>
          <w:sz w:val="20"/>
        </w:rPr>
        <w:t>LGBTQ</w:t>
      </w:r>
      <w:r>
        <w:rPr>
          <w:rFonts w:ascii="Georgia"/>
          <w:spacing w:val="-11"/>
          <w:w w:val="105"/>
          <w:sz w:val="20"/>
        </w:rPr>
        <w:t xml:space="preserve"> </w:t>
      </w:r>
      <w:r>
        <w:rPr>
          <w:rFonts w:ascii="Georgia"/>
          <w:spacing w:val="-2"/>
          <w:w w:val="105"/>
          <w:sz w:val="20"/>
        </w:rPr>
        <w:t>youth</w:t>
      </w:r>
      <w:r>
        <w:rPr>
          <w:rFonts w:ascii="Georgia"/>
          <w:spacing w:val="-10"/>
          <w:w w:val="105"/>
          <w:sz w:val="20"/>
        </w:rPr>
        <w:t xml:space="preserve"> </w:t>
      </w:r>
      <w:r>
        <w:rPr>
          <w:rFonts w:ascii="Georgia"/>
          <w:spacing w:val="-2"/>
          <w:w w:val="105"/>
          <w:sz w:val="20"/>
        </w:rPr>
        <w:t>suffer</w:t>
      </w:r>
      <w:r>
        <w:rPr>
          <w:rFonts w:ascii="Georgia"/>
          <w:spacing w:val="-11"/>
          <w:w w:val="105"/>
          <w:sz w:val="20"/>
        </w:rPr>
        <w:t xml:space="preserve"> </w:t>
      </w:r>
      <w:r>
        <w:rPr>
          <w:rFonts w:ascii="Georgia"/>
          <w:spacing w:val="-2"/>
          <w:w w:val="105"/>
          <w:sz w:val="20"/>
        </w:rPr>
        <w:t>from asthma</w:t>
      </w:r>
    </w:p>
    <w:p w:rsidR="00200FDA" w:rsidRDefault="00200FDA">
      <w:pPr>
        <w:pStyle w:val="BodyText"/>
        <w:rPr>
          <w:rFonts w:ascii="Georgia"/>
        </w:rPr>
      </w:pPr>
    </w:p>
    <w:p w:rsidR="00200FDA" w:rsidRDefault="00200FDA">
      <w:pPr>
        <w:pStyle w:val="BodyText"/>
        <w:rPr>
          <w:rFonts w:ascii="Georgia"/>
        </w:rPr>
      </w:pPr>
    </w:p>
    <w:p w:rsidR="00200FDA" w:rsidRDefault="00F76C4C">
      <w:pPr>
        <w:pStyle w:val="Heading4"/>
      </w:pPr>
      <w:r>
        <w:rPr>
          <w:emboss/>
          <w:color w:val="00BE62"/>
          <w:spacing w:val="15"/>
          <w:w w:val="110"/>
        </w:rPr>
        <w:t>23%</w:t>
      </w:r>
    </w:p>
    <w:p w:rsidR="00200FDA" w:rsidRDefault="00F76C4C">
      <w:pPr>
        <w:spacing w:line="278" w:lineRule="auto"/>
        <w:ind w:left="133" w:right="661"/>
        <w:jc w:val="center"/>
        <w:rPr>
          <w:rFonts w:ascii="Georgia"/>
          <w:sz w:val="20"/>
        </w:rPr>
      </w:pPr>
      <w:r>
        <w:rPr>
          <w:rFonts w:ascii="Georgia"/>
          <w:sz w:val="20"/>
        </w:rPr>
        <w:t xml:space="preserve">of Two-Spirit and LGBTQ Indigenous people live </w:t>
      </w:r>
      <w:r>
        <w:rPr>
          <w:rFonts w:ascii="Georgia"/>
          <w:w w:val="105"/>
          <w:sz w:val="20"/>
        </w:rPr>
        <w:t xml:space="preserve">in extreme poverty due to discrimination, marginalization, stigmatization, and historical </w:t>
      </w:r>
      <w:r>
        <w:rPr>
          <w:rFonts w:ascii="Georgia"/>
          <w:spacing w:val="-2"/>
          <w:w w:val="105"/>
          <w:sz w:val="20"/>
        </w:rPr>
        <w:t>trauma</w:t>
      </w:r>
    </w:p>
    <w:p w:rsidR="00200FDA" w:rsidRDefault="00200FDA">
      <w:pPr>
        <w:spacing w:line="278" w:lineRule="auto"/>
        <w:jc w:val="center"/>
        <w:rPr>
          <w:rFonts w:ascii="Georgia"/>
          <w:sz w:val="20"/>
        </w:rPr>
        <w:sectPr w:rsidR="00200FDA">
          <w:type w:val="continuous"/>
          <w:pgSz w:w="12240" w:h="15840"/>
          <w:pgMar w:top="720" w:right="340" w:bottom="280" w:left="1140" w:header="0" w:footer="0" w:gutter="0"/>
          <w:cols w:num="2" w:space="720" w:equalWidth="0">
            <w:col w:w="5257" w:space="361"/>
            <w:col w:w="5142"/>
          </w:cols>
        </w:sectPr>
      </w:pPr>
    </w:p>
    <w:p w:rsidR="00200FDA" w:rsidRDefault="00F76C4C">
      <w:pPr>
        <w:pStyle w:val="BodyText"/>
        <w:rPr>
          <w:rFonts w:ascii="Georgia"/>
          <w:sz w:val="20"/>
        </w:rPr>
      </w:pPr>
      <w:r>
        <w:pict>
          <v:group id="docshapegroup478" o:spid="_x0000_s1121" style="position:absolute;margin-left:0;margin-top:0;width:609.9pt;height:481.75pt;z-index:-21246464;mso-position-horizontal-relative:page;mso-position-vertical-relative:page" coordsize="12198,9635">
            <v:shape id="docshape479" o:spid="_x0000_s1128" type="#_x0000_t75" style="position:absolute;width:12198;height:4912">
              <v:imagedata r:id="rId753" o:title=""/>
            </v:shape>
            <v:shape id="docshape480" o:spid="_x0000_s1127" type="#_x0000_t75" style="position:absolute;left:8815;top:1021;width:2333;height:2332">
              <v:imagedata r:id="rId143" o:title=""/>
            </v:shape>
            <v:shape id="docshape481" o:spid="_x0000_s1126" style="position:absolute;left:8793;top:1000;width:2375;height:2375" coordorigin="8793,1000" coordsize="2375,2375" o:spt="100" adj="0,,0" path="m9981,3375r-75,-2l9832,3366r-72,-12l9689,3339r-69,-20l9552,3295r-65,-28l9423,3236r-61,-35l9303,3162r-56,-42l9193,3075r-51,-48l9094,2976r-46,-54l9007,2866r-39,-59l8933,2745r-32,-63l8873,2616r-23,-67l8830,2480r-16,-71l8803,2336r-7,-73l8793,2188r3,-76l8803,2039r11,-73l8830,1895r20,-69l8874,1759r27,-66l8933,1630r35,-61l9007,1510r41,-57l9094,1399r48,-51l9193,1300r54,-45l9303,1213r59,-38l9423,1139r64,-31l9552,1080r68,-24l9689,1036r71,-15l9832,1009r74,-7l9981,1000r75,2l10130,1009r72,12l10273,1036r24,7l9981,1043r-75,3l9832,1053r-72,12l9689,1081r-69,21l9552,1127r-65,28l9424,1188r-60,36l9306,1264r-56,44l9198,1354r-50,50l9101,1457r-43,55l9018,1570r-37,61l8949,1694r-29,65l8895,1826r-20,70l8858,1966r-12,73l8839,2113r-2,75l8839,2263r7,74l8858,2409r17,71l8895,2549r25,67l8949,2681r32,63l9018,2805r40,58l9101,2918r47,53l9198,3021r52,46l9306,3111r58,40l9424,3187r63,33l9552,3249r68,24l9689,3294r71,16l9832,3322r74,7l9981,3332r316,l10273,3339r-71,15l10130,3366r-74,7l9981,3375xm10297,3332r-316,l10056,3329r74,-7l10202,3310r71,-16l10342,3273r67,-24l10475,3220r63,-33l10598,3151r58,-40l10712,3067r52,-46l10814,2971r47,-53l10904,2863r40,-58l10980,2744r33,-63l11042,2616r25,-67l11087,2480r17,-71l11116,2336r7,-73l11125,2188r-2,-76l11116,2039r-12,-73l11087,1895r-20,-69l11042,1759r-29,-65l10980,1631r-36,-61l10904,1512r-43,-55l10814,1404r-50,-50l10712,1308r-56,-44l10598,1224r-60,-36l10475,1155r-66,-28l10342,1102r-69,-21l10202,1065r-72,-12l10056,1046r-75,-3l10297,1043r45,13l10410,1080r65,28l10539,1139r61,36l10659,1213r56,42l10769,1300r51,48l10868,1399r45,54l10955,1510r39,59l11029,1630r32,63l11088,1759r24,67l11132,1896r16,70l11159,2039r7,74l11168,2188r-2,75l11159,2337r-11,72l11132,2480r-20,69l11088,2616r-27,66l11029,2745r-35,62l10955,2866r-42,56l10868,2976r-48,51l10769,3075r-54,45l10659,3162r-59,39l10539,3236r-64,31l10410,3295r-68,24l10297,3332xe" stroked="f">
              <v:stroke joinstyle="round"/>
              <v:formulas/>
              <v:path arrowok="t" o:connecttype="segments"/>
            </v:shape>
            <v:shape id="docshape482" o:spid="_x0000_s1125" style="position:absolute;left:1031;top:4619;width:5463;height:5015" coordorigin="1032,4620" coordsize="5463,5015" path="m5935,9635r-4333,l1524,9630r-74,-16l1380,9590r-66,-33l1254,9516r-55,-48l1151,9413r-41,-61l1077,9287r-25,-71l1037,9142r-5,-77l1032,5190r5,-78l1052,5038r25,-70l1110,4902r41,-61l1199,4787r55,-48l1314,4698r66,-33l1450,4640r74,-15l1602,4620r4333,l6013,4625r74,15l6157,4665r66,33l6284,4739r54,48l6387,4841r41,61l6461,4968r24,70l6495,5085r,4085l6461,9287r-33,65l6387,9413r-49,55l6284,9516r-61,41l6157,9590r-70,24l6013,9630r-78,5xe" fillcolor="#00be62" stroked="f">
              <v:fill opacity="36497f"/>
              <v:path arrowok="t"/>
            </v:shape>
            <v:line id="_x0000_s1124" style="position:absolute" from="6899,6996" to="11264,6996" strokecolor="#1b6a4e" strokeweight="2.25pt">
              <v:stroke dashstyle="3 1"/>
            </v:line>
            <v:line id="_x0000_s1123" style="position:absolute" from="6861,8935" to="11226,8935" strokecolor="#1b6a4e" strokeweight="2.25pt">
              <v:stroke dashstyle="3 1"/>
            </v:line>
            <v:shape id="docshape483" o:spid="_x0000_s1122" style="position:absolute;left:6505;top:2732;width:1495;height:1642" coordorigin="6505,2733" coordsize="1495,1642" o:spt="100" adj="0,,0" path="m7278,3766r-35,-31l7237,3728r-53,66l7144,3857r-29,64l7097,3987r-10,70l7073,4021r-21,-43l7023,3930r-38,-52l6983,3887r-7,16l6930,3846r-56,-58l6807,3732r-79,-53l6811,3723r69,49l6938,3824r47,54l6987,3874r1,-3l6958,3656r-171,-96l6596,3536r-91,2l6519,3560r33,58l6593,3702r39,99l6659,3859r38,52l6744,3953r51,29l6847,3996r50,-7l6942,3960r34,-57l7015,3968r27,66l7073,4131r2,67l7080,4255r13,111l7102,4370r20,5l7145,4368r17,-30l7151,4306r-8,-54l7139,4181r3,-83l7156,4010r25,-89l7221,3838r57,-72xm8000,3170r-6,-77l7981,3016r-19,-74l7936,2869r-32,-70l7864,2733r-65,99l7742,2906r-54,54l7636,2999r-52,28l7528,3051r-62,23l7396,3101r-49,26l7299,3163r-46,43l7211,3257r-36,55l7146,3372r-18,62l7120,3497r6,62l7146,3619r37,57l7238,3728r71,-77l7357,3602r39,-34l7440,3533r-18,-95l7436,3334r25,-83l7474,3217r-14,113l7462,3419r9,58l7477,3501r80,-57l7608,3403r46,-46l7647,3275r14,-72l7682,3150r11,-20l7685,3181r-3,56l7690,3309r66,-107l7800,3112r25,-63l7833,3026r-1,26l7822,3120r-31,99l7729,3335r69,-10l7849,3309r32,-14l7893,3289r-16,15l7834,3336r-64,32l7692,3381r-44,47l7590,3478r-52,40l7512,3538r39,8l7612,3552r78,-3l7784,3532r-33,13l7671,3570r-101,16l7475,3573r-68,58l7359,3677r-40,43l7278,3766r28,22l7344,3813r46,24l7442,3857r58,12l7563,3871r66,-11l7698,3831r70,-49l7840,3709r38,-53l7912,3598r29,-64l7964,3466r18,-71l7994,3322r6,-76l8000,3170xe" stroked="f">
              <v:stroke joinstyle="round"/>
              <v:formulas/>
              <v:path arrowok="t" o:connecttype="segments"/>
            </v:shape>
            <w10:wrap anchorx="page" anchory="page"/>
          </v:group>
        </w:pict>
      </w:r>
      <w:r>
        <w:pict>
          <v:group id="docshapegroup484" o:spid="_x0000_s1116" style="position:absolute;margin-left:26.4pt;margin-top:491.45pt;width:298.3pt;height:247.45pt;z-index:15821312;mso-position-horizontal-relative:page;mso-position-vertical-relative:page" coordorigin="528,9829" coordsize="5966,4949">
            <v:shape id="docshape485" o:spid="_x0000_s1120" type="#_x0000_t75" style="position:absolute;left:528;top:9828;width:5966;height:4949">
              <v:imagedata r:id="rId754" o:title=""/>
            </v:shape>
            <v:shape id="docshape486" o:spid="_x0000_s1119" type="#_x0000_t202" style="position:absolute;left:1243;top:9978;width:4933;height:1445" filled="f" stroked="f">
              <v:textbox inset="0,0,0,0">
                <w:txbxContent>
                  <w:p w:rsidR="00200FDA" w:rsidRDefault="00F76C4C">
                    <w:pPr>
                      <w:spacing w:before="6"/>
                      <w:rPr>
                        <w:b/>
                        <w:i/>
                        <w:sz w:val="34"/>
                      </w:rPr>
                    </w:pPr>
                    <w:r>
                      <w:rPr>
                        <w:b/>
                        <w:i/>
                        <w:spacing w:val="13"/>
                        <w:w w:val="125"/>
                        <w:sz w:val="34"/>
                      </w:rPr>
                      <w:t>RECOMMENDATIONS</w:t>
                    </w:r>
                  </w:p>
                  <w:p w:rsidR="00200FDA" w:rsidRDefault="00F76C4C">
                    <w:pPr>
                      <w:spacing w:before="270" w:line="250" w:lineRule="atLeast"/>
                      <w:ind w:left="798"/>
                      <w:rPr>
                        <w:rFonts w:ascii="Georgia"/>
                        <w:sz w:val="19"/>
                      </w:rPr>
                    </w:pPr>
                    <w:r>
                      <w:rPr>
                        <w:rFonts w:ascii="Georgia"/>
                        <w:w w:val="105"/>
                        <w:sz w:val="19"/>
                      </w:rPr>
                      <w:t>Expand existing policies and programs addressing</w:t>
                    </w:r>
                    <w:r>
                      <w:rPr>
                        <w:rFonts w:ascii="Georgia"/>
                        <w:spacing w:val="-13"/>
                        <w:w w:val="105"/>
                        <w:sz w:val="19"/>
                      </w:rPr>
                      <w:t xml:space="preserve"> </w:t>
                    </w:r>
                    <w:r>
                      <w:rPr>
                        <w:rFonts w:ascii="Georgia"/>
                        <w:w w:val="105"/>
                        <w:sz w:val="19"/>
                      </w:rPr>
                      <w:t>environmental</w:t>
                    </w:r>
                    <w:r>
                      <w:rPr>
                        <w:rFonts w:ascii="Georgia"/>
                        <w:spacing w:val="-12"/>
                        <w:w w:val="105"/>
                        <w:sz w:val="19"/>
                      </w:rPr>
                      <w:t xml:space="preserve"> </w:t>
                    </w:r>
                    <w:r>
                      <w:rPr>
                        <w:rFonts w:ascii="Georgia"/>
                        <w:w w:val="105"/>
                        <w:sz w:val="19"/>
                      </w:rPr>
                      <w:t>inequities</w:t>
                    </w:r>
                    <w:r>
                      <w:rPr>
                        <w:rFonts w:ascii="Georgia"/>
                        <w:spacing w:val="-12"/>
                        <w:w w:val="105"/>
                        <w:sz w:val="19"/>
                      </w:rPr>
                      <w:t xml:space="preserve"> </w:t>
                    </w:r>
                    <w:r>
                      <w:rPr>
                        <w:rFonts w:ascii="Georgia"/>
                        <w:w w:val="105"/>
                        <w:sz w:val="19"/>
                      </w:rPr>
                      <w:t>to</w:t>
                    </w:r>
                    <w:r>
                      <w:rPr>
                        <w:rFonts w:ascii="Georgia"/>
                        <w:spacing w:val="-12"/>
                        <w:w w:val="105"/>
                        <w:sz w:val="19"/>
                      </w:rPr>
                      <w:t xml:space="preserve"> </w:t>
                    </w:r>
                    <w:r>
                      <w:rPr>
                        <w:rFonts w:ascii="Georgia"/>
                        <w:w w:val="105"/>
                        <w:sz w:val="19"/>
                      </w:rPr>
                      <w:t>include and</w:t>
                    </w:r>
                    <w:r>
                      <w:rPr>
                        <w:rFonts w:ascii="Georgia"/>
                        <w:spacing w:val="40"/>
                        <w:w w:val="105"/>
                        <w:sz w:val="19"/>
                      </w:rPr>
                      <w:t xml:space="preserve"> </w:t>
                    </w:r>
                    <w:r>
                      <w:rPr>
                        <w:rFonts w:ascii="Georgia"/>
                        <w:w w:val="105"/>
                        <w:sz w:val="19"/>
                      </w:rPr>
                      <w:t>LGBTQ</w:t>
                    </w:r>
                    <w:r>
                      <w:rPr>
                        <w:rFonts w:ascii="Georgia"/>
                        <w:spacing w:val="-1"/>
                        <w:w w:val="105"/>
                        <w:sz w:val="19"/>
                      </w:rPr>
                      <w:t xml:space="preserve"> </w:t>
                    </w:r>
                    <w:r>
                      <w:rPr>
                        <w:rFonts w:ascii="Georgia"/>
                        <w:w w:val="105"/>
                        <w:sz w:val="19"/>
                      </w:rPr>
                      <w:t>youth</w:t>
                    </w:r>
                    <w:r>
                      <w:rPr>
                        <w:rFonts w:ascii="Georgia"/>
                        <w:spacing w:val="-1"/>
                        <w:w w:val="105"/>
                        <w:sz w:val="19"/>
                      </w:rPr>
                      <w:t xml:space="preserve"> </w:t>
                    </w:r>
                    <w:r>
                      <w:rPr>
                        <w:rFonts w:ascii="Georgia"/>
                        <w:w w:val="105"/>
                        <w:sz w:val="19"/>
                      </w:rPr>
                      <w:t>across</w:t>
                    </w:r>
                    <w:r>
                      <w:rPr>
                        <w:rFonts w:ascii="Georgia"/>
                        <w:spacing w:val="-1"/>
                        <w:w w:val="105"/>
                        <w:sz w:val="19"/>
                      </w:rPr>
                      <w:t xml:space="preserve"> </w:t>
                    </w:r>
                    <w:r>
                      <w:rPr>
                        <w:rFonts w:ascii="Georgia"/>
                        <w:w w:val="105"/>
                        <w:sz w:val="19"/>
                      </w:rPr>
                      <w:t>the</w:t>
                    </w:r>
                    <w:r>
                      <w:rPr>
                        <w:rFonts w:ascii="Georgia"/>
                        <w:spacing w:val="-1"/>
                        <w:w w:val="105"/>
                        <w:sz w:val="19"/>
                      </w:rPr>
                      <w:t xml:space="preserve"> </w:t>
                    </w:r>
                    <w:r>
                      <w:rPr>
                        <w:rFonts w:ascii="Georgia"/>
                        <w:w w:val="105"/>
                        <w:sz w:val="19"/>
                      </w:rPr>
                      <w:t>Commonwealth.</w:t>
                    </w:r>
                  </w:p>
                </w:txbxContent>
              </v:textbox>
            </v:shape>
            <v:shape id="docshape487" o:spid="_x0000_s1118" type="#_x0000_t202" style="position:absolute;left:2041;top:12015;width:2849;height:222" filled="f" stroked="f">
              <v:textbox inset="0,0,0,0">
                <w:txbxContent>
                  <w:p w:rsidR="00200FDA" w:rsidRDefault="00F76C4C">
                    <w:pPr>
                      <w:spacing w:before="2"/>
                      <w:rPr>
                        <w:rFonts w:ascii="Georgia"/>
                        <w:sz w:val="19"/>
                      </w:rPr>
                    </w:pPr>
                    <w:r>
                      <w:rPr>
                        <w:rFonts w:ascii="Georgia"/>
                        <w:sz w:val="19"/>
                      </w:rPr>
                      <w:t>Promote</w:t>
                    </w:r>
                    <w:r>
                      <w:rPr>
                        <w:rFonts w:ascii="Georgia"/>
                        <w:spacing w:val="16"/>
                        <w:sz w:val="19"/>
                      </w:rPr>
                      <w:t xml:space="preserve"> </w:t>
                    </w:r>
                    <w:r>
                      <w:rPr>
                        <w:rFonts w:ascii="Georgia"/>
                        <w:sz w:val="19"/>
                      </w:rPr>
                      <w:t>QTBIPOC</w:t>
                    </w:r>
                    <w:r>
                      <w:rPr>
                        <w:rFonts w:ascii="Georgia"/>
                        <w:spacing w:val="16"/>
                        <w:sz w:val="19"/>
                      </w:rPr>
                      <w:t xml:space="preserve"> </w:t>
                    </w:r>
                    <w:r>
                      <w:rPr>
                        <w:rFonts w:ascii="Georgia"/>
                        <w:sz w:val="19"/>
                      </w:rPr>
                      <w:t>youth</w:t>
                    </w:r>
                    <w:r>
                      <w:rPr>
                        <w:rFonts w:ascii="Georgia"/>
                        <w:spacing w:val="16"/>
                        <w:sz w:val="19"/>
                      </w:rPr>
                      <w:t xml:space="preserve"> </w:t>
                    </w:r>
                    <w:r>
                      <w:rPr>
                        <w:rFonts w:ascii="Georgia"/>
                        <w:spacing w:val="-2"/>
                        <w:sz w:val="19"/>
                      </w:rPr>
                      <w:t>voices.</w:t>
                    </w:r>
                  </w:p>
                </w:txbxContent>
              </v:textbox>
            </v:shape>
            <v:shape id="docshape488" o:spid="_x0000_s1117" type="#_x0000_t202" style="position:absolute;left:2041;top:12775;width:3360;height:472" filled="f" stroked="f">
              <v:textbox inset="0,0,0,0">
                <w:txbxContent>
                  <w:p w:rsidR="00200FDA" w:rsidRDefault="00F76C4C">
                    <w:pPr>
                      <w:spacing w:before="2"/>
                      <w:rPr>
                        <w:rFonts w:ascii="Georgia"/>
                        <w:sz w:val="19"/>
                      </w:rPr>
                    </w:pPr>
                    <w:r>
                      <w:rPr>
                        <w:rFonts w:ascii="Georgia"/>
                        <w:w w:val="105"/>
                        <w:sz w:val="19"/>
                      </w:rPr>
                      <w:t>Improve</w:t>
                    </w:r>
                    <w:r>
                      <w:rPr>
                        <w:rFonts w:ascii="Georgia"/>
                        <w:spacing w:val="-7"/>
                        <w:w w:val="105"/>
                        <w:sz w:val="19"/>
                      </w:rPr>
                      <w:t xml:space="preserve"> </w:t>
                    </w:r>
                    <w:r>
                      <w:rPr>
                        <w:rFonts w:ascii="Georgia"/>
                        <w:w w:val="105"/>
                        <w:sz w:val="19"/>
                      </w:rPr>
                      <w:t>access</w:t>
                    </w:r>
                    <w:r>
                      <w:rPr>
                        <w:rFonts w:ascii="Georgia"/>
                        <w:spacing w:val="-7"/>
                        <w:w w:val="105"/>
                        <w:sz w:val="19"/>
                      </w:rPr>
                      <w:t xml:space="preserve"> </w:t>
                    </w:r>
                    <w:r>
                      <w:rPr>
                        <w:rFonts w:ascii="Georgia"/>
                        <w:w w:val="105"/>
                        <w:sz w:val="19"/>
                      </w:rPr>
                      <w:t>to</w:t>
                    </w:r>
                    <w:r>
                      <w:rPr>
                        <w:rFonts w:ascii="Georgia"/>
                        <w:spacing w:val="-6"/>
                        <w:w w:val="105"/>
                        <w:sz w:val="19"/>
                      </w:rPr>
                      <w:t xml:space="preserve"> </w:t>
                    </w:r>
                    <w:r>
                      <w:rPr>
                        <w:rFonts w:ascii="Georgia"/>
                        <w:w w:val="105"/>
                        <w:sz w:val="19"/>
                      </w:rPr>
                      <w:t>quality</w:t>
                    </w:r>
                    <w:r>
                      <w:rPr>
                        <w:rFonts w:ascii="Georgia"/>
                        <w:spacing w:val="-7"/>
                        <w:w w:val="105"/>
                        <w:sz w:val="19"/>
                      </w:rPr>
                      <w:t xml:space="preserve"> </w:t>
                    </w:r>
                    <w:r>
                      <w:rPr>
                        <w:rFonts w:ascii="Georgia"/>
                        <w:w w:val="105"/>
                        <w:sz w:val="19"/>
                      </w:rPr>
                      <w:t>health</w:t>
                    </w:r>
                    <w:r>
                      <w:rPr>
                        <w:rFonts w:ascii="Georgia"/>
                        <w:spacing w:val="-7"/>
                        <w:w w:val="105"/>
                        <w:sz w:val="19"/>
                      </w:rPr>
                      <w:t xml:space="preserve"> </w:t>
                    </w:r>
                    <w:r>
                      <w:rPr>
                        <w:rFonts w:ascii="Georgia"/>
                        <w:spacing w:val="-2"/>
                        <w:w w:val="105"/>
                        <w:sz w:val="19"/>
                      </w:rPr>
                      <w:t>care,</w:t>
                    </w:r>
                  </w:p>
                  <w:p w:rsidR="00200FDA" w:rsidRDefault="00F76C4C">
                    <w:pPr>
                      <w:spacing w:before="34"/>
                      <w:rPr>
                        <w:rFonts w:ascii="Georgia"/>
                        <w:sz w:val="19"/>
                      </w:rPr>
                    </w:pPr>
                    <w:r>
                      <w:rPr>
                        <w:rFonts w:ascii="Georgia"/>
                        <w:sz w:val="19"/>
                      </w:rPr>
                      <w:t>affordable</w:t>
                    </w:r>
                    <w:r>
                      <w:rPr>
                        <w:rFonts w:ascii="Georgia"/>
                        <w:spacing w:val="16"/>
                        <w:sz w:val="19"/>
                      </w:rPr>
                      <w:t xml:space="preserve"> </w:t>
                    </w:r>
                    <w:r>
                      <w:rPr>
                        <w:rFonts w:ascii="Georgia"/>
                        <w:sz w:val="19"/>
                      </w:rPr>
                      <w:t>housing,</w:t>
                    </w:r>
                    <w:r>
                      <w:rPr>
                        <w:rFonts w:ascii="Georgia"/>
                        <w:spacing w:val="16"/>
                        <w:sz w:val="19"/>
                      </w:rPr>
                      <w:t xml:space="preserve"> </w:t>
                    </w:r>
                    <w:r>
                      <w:rPr>
                        <w:rFonts w:ascii="Georgia"/>
                        <w:sz w:val="19"/>
                      </w:rPr>
                      <w:t>and</w:t>
                    </w:r>
                    <w:r>
                      <w:rPr>
                        <w:rFonts w:ascii="Georgia"/>
                        <w:spacing w:val="16"/>
                        <w:sz w:val="19"/>
                      </w:rPr>
                      <w:t xml:space="preserve"> </w:t>
                    </w:r>
                    <w:r>
                      <w:rPr>
                        <w:rFonts w:ascii="Georgia"/>
                        <w:sz w:val="19"/>
                      </w:rPr>
                      <w:t>stable</w:t>
                    </w:r>
                    <w:r>
                      <w:rPr>
                        <w:rFonts w:ascii="Georgia"/>
                        <w:spacing w:val="16"/>
                        <w:sz w:val="19"/>
                      </w:rPr>
                      <w:t xml:space="preserve"> </w:t>
                    </w:r>
                    <w:r>
                      <w:rPr>
                        <w:rFonts w:ascii="Georgia"/>
                        <w:spacing w:val="-2"/>
                        <w:sz w:val="19"/>
                      </w:rPr>
                      <w:t>income.</w:t>
                    </w:r>
                  </w:p>
                </w:txbxContent>
              </v:textbox>
            </v:shape>
            <w10:wrap anchorx="page" anchory="page"/>
          </v:group>
        </w:pict>
      </w:r>
    </w:p>
    <w:p w:rsidR="00200FDA" w:rsidRDefault="00200FDA">
      <w:pPr>
        <w:pStyle w:val="BodyText"/>
        <w:spacing w:before="5"/>
        <w:rPr>
          <w:rFonts w:ascii="Georgia"/>
          <w:sz w:val="12"/>
        </w:rPr>
      </w:pPr>
    </w:p>
    <w:p w:rsidR="00200FDA" w:rsidRDefault="00F76C4C">
      <w:pPr>
        <w:pStyle w:val="BodyText"/>
        <w:ind w:left="6057"/>
        <w:rPr>
          <w:rFonts w:ascii="Georgia"/>
          <w:sz w:val="20"/>
        </w:rPr>
      </w:pPr>
      <w:r>
        <w:rPr>
          <w:rFonts w:ascii="Georgia"/>
          <w:noProof/>
          <w:sz w:val="20"/>
        </w:rPr>
        <w:drawing>
          <wp:inline distT="0" distB="0" distL="0" distR="0">
            <wp:extent cx="2865346" cy="2454973"/>
            <wp:effectExtent l="0" t="0" r="0" b="0"/>
            <wp:docPr id="143"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42.png"/>
                    <pic:cNvPicPr/>
                  </pic:nvPicPr>
                  <pic:blipFill>
                    <a:blip r:embed="rId755" cstate="print"/>
                    <a:stretch>
                      <a:fillRect/>
                    </a:stretch>
                  </pic:blipFill>
                  <pic:spPr>
                    <a:xfrm>
                      <a:off x="0" y="0"/>
                      <a:ext cx="2865346" cy="2454973"/>
                    </a:xfrm>
                    <a:prstGeom prst="rect">
                      <a:avLst/>
                    </a:prstGeom>
                  </pic:spPr>
                </pic:pic>
              </a:graphicData>
            </a:graphic>
          </wp:inline>
        </w:drawing>
      </w:r>
    </w:p>
    <w:p w:rsidR="00200FDA" w:rsidRDefault="00200FDA">
      <w:pPr>
        <w:rPr>
          <w:rFonts w:ascii="Georgia"/>
          <w:sz w:val="20"/>
        </w:rPr>
        <w:sectPr w:rsidR="00200FDA">
          <w:type w:val="continuous"/>
          <w:pgSz w:w="12240" w:h="15840"/>
          <w:pgMar w:top="720" w:right="340" w:bottom="280" w:left="1140" w:header="0" w:footer="0" w:gutter="0"/>
          <w:cols w:space="720"/>
        </w:sectPr>
      </w:pPr>
    </w:p>
    <w:p w:rsidR="00200FDA" w:rsidRDefault="00200FDA">
      <w:pPr>
        <w:pStyle w:val="BodyText"/>
        <w:spacing w:before="9"/>
        <w:rPr>
          <w:rFonts w:ascii="Georgia"/>
          <w:sz w:val="11"/>
        </w:rPr>
      </w:pPr>
    </w:p>
    <w:bookmarkStart w:id="1048" w:name="EBS_Report_-_Edited.pdf"/>
    <w:bookmarkStart w:id="1049" w:name="Eliminating_Barriers_to_Service"/>
    <w:bookmarkStart w:id="1050" w:name="_bookmark844"/>
    <w:bookmarkEnd w:id="1048"/>
    <w:bookmarkEnd w:id="1049"/>
    <w:bookmarkEnd w:id="1050"/>
    <w:p w:rsidR="00200FDA" w:rsidRDefault="00F76C4C">
      <w:pPr>
        <w:spacing w:before="35"/>
        <w:ind w:left="280"/>
        <w:rPr>
          <w:sz w:val="32"/>
        </w:rPr>
      </w:pPr>
      <w:r>
        <w:fldChar w:fldCharType="begin"/>
      </w:r>
      <w:r>
        <w:instrText xml:space="preserve"> HYPERLINK \l "_bookmark2" </w:instrText>
      </w:r>
      <w:r>
        <w:fldChar w:fldCharType="separate"/>
      </w:r>
      <w:r>
        <w:rPr>
          <w:color w:val="365F91"/>
          <w:sz w:val="32"/>
        </w:rPr>
        <w:t>Eliminating</w:t>
      </w:r>
      <w:r>
        <w:rPr>
          <w:color w:val="365F91"/>
          <w:spacing w:val="-10"/>
          <w:sz w:val="32"/>
        </w:rPr>
        <w:t xml:space="preserve"> </w:t>
      </w:r>
      <w:r>
        <w:rPr>
          <w:color w:val="365F91"/>
          <w:sz w:val="32"/>
        </w:rPr>
        <w:t>Barriers</w:t>
      </w:r>
      <w:r>
        <w:rPr>
          <w:color w:val="365F91"/>
          <w:spacing w:val="-10"/>
          <w:sz w:val="32"/>
        </w:rPr>
        <w:t xml:space="preserve"> </w:t>
      </w:r>
      <w:r>
        <w:rPr>
          <w:color w:val="365F91"/>
          <w:sz w:val="32"/>
        </w:rPr>
        <w:t>to</w:t>
      </w:r>
      <w:r>
        <w:rPr>
          <w:color w:val="365F91"/>
          <w:spacing w:val="-10"/>
          <w:sz w:val="32"/>
        </w:rPr>
        <w:t xml:space="preserve"> </w:t>
      </w:r>
      <w:r>
        <w:rPr>
          <w:color w:val="365F91"/>
          <w:spacing w:val="-2"/>
          <w:sz w:val="32"/>
        </w:rPr>
        <w:t>Service</w:t>
      </w:r>
      <w:r>
        <w:rPr>
          <w:color w:val="365F91"/>
          <w:spacing w:val="-2"/>
          <w:sz w:val="32"/>
        </w:rPr>
        <w:fldChar w:fldCharType="end"/>
      </w:r>
    </w:p>
    <w:p w:rsidR="00200FDA" w:rsidRDefault="00F76C4C">
      <w:pPr>
        <w:pStyle w:val="BodyText"/>
        <w:spacing w:before="4"/>
        <w:rPr>
          <w:sz w:val="4"/>
        </w:rPr>
      </w:pPr>
      <w:r>
        <w:pict>
          <v:rect id="docshape492" o:spid="_x0000_s1115" style="position:absolute;margin-left:70.55pt;margin-top:3.9pt;width:470.9pt;height:.5pt;z-index:-15635456;mso-wrap-distance-left:0;mso-wrap-distance-right:0;mso-position-horizontal-relative:page" fillcolor="#4f81bc" stroked="f">
            <w10:wrap type="topAndBottom" anchorx="page"/>
          </v:rect>
        </w:pict>
      </w:r>
    </w:p>
    <w:p w:rsidR="00200FDA" w:rsidRDefault="00200FDA">
      <w:pPr>
        <w:pStyle w:val="BodyText"/>
        <w:spacing w:before="6"/>
        <w:rPr>
          <w:sz w:val="20"/>
        </w:rPr>
      </w:pPr>
    </w:p>
    <w:p w:rsidR="00200FDA" w:rsidRDefault="00F76C4C">
      <w:pPr>
        <w:pStyle w:val="ListParagraph"/>
        <w:numPr>
          <w:ilvl w:val="0"/>
          <w:numId w:val="24"/>
        </w:numPr>
        <w:tabs>
          <w:tab w:val="left" w:pos="1001"/>
        </w:tabs>
        <w:spacing w:before="56"/>
      </w:pPr>
      <w:r>
        <w:t>Improve</w:t>
      </w:r>
      <w:r>
        <w:rPr>
          <w:spacing w:val="-5"/>
        </w:rPr>
        <w:t xml:space="preserve"> </w:t>
      </w:r>
      <w:r>
        <w:t>SOGIE</w:t>
      </w:r>
      <w:r>
        <w:rPr>
          <w:spacing w:val="-6"/>
        </w:rPr>
        <w:t xml:space="preserve"> </w:t>
      </w:r>
      <w:r>
        <w:t>data</w:t>
      </w:r>
      <w:r>
        <w:rPr>
          <w:spacing w:val="-5"/>
        </w:rPr>
        <w:t xml:space="preserve"> </w:t>
      </w:r>
      <w:r>
        <w:t>collection</w:t>
      </w:r>
      <w:r>
        <w:rPr>
          <w:spacing w:val="-6"/>
        </w:rPr>
        <w:t xml:space="preserve"> </w:t>
      </w:r>
      <w:r>
        <w:rPr>
          <w:spacing w:val="-2"/>
        </w:rPr>
        <w:t>practices.</w:t>
      </w:r>
    </w:p>
    <w:p w:rsidR="00200FDA" w:rsidRDefault="00F76C4C">
      <w:pPr>
        <w:pStyle w:val="ListParagraph"/>
        <w:numPr>
          <w:ilvl w:val="0"/>
          <w:numId w:val="24"/>
        </w:numPr>
        <w:tabs>
          <w:tab w:val="left" w:pos="1001"/>
        </w:tabs>
        <w:spacing w:before="135" w:line="360" w:lineRule="auto"/>
        <w:ind w:right="275"/>
      </w:pPr>
      <w:r>
        <w:t>Mandate</w:t>
      </w:r>
      <w:r>
        <w:rPr>
          <w:spacing w:val="29"/>
        </w:rPr>
        <w:t xml:space="preserve"> </w:t>
      </w:r>
      <w:r>
        <w:t>that</w:t>
      </w:r>
      <w:r>
        <w:rPr>
          <w:spacing w:val="29"/>
        </w:rPr>
        <w:t xml:space="preserve"> </w:t>
      </w:r>
      <w:r>
        <w:t>all</w:t>
      </w:r>
      <w:r>
        <w:rPr>
          <w:spacing w:val="29"/>
        </w:rPr>
        <w:t xml:space="preserve"> </w:t>
      </w:r>
      <w:r>
        <w:t>state</w:t>
      </w:r>
      <w:r>
        <w:rPr>
          <w:spacing w:val="29"/>
        </w:rPr>
        <w:t xml:space="preserve"> </w:t>
      </w:r>
      <w:r>
        <w:t>agencies</w:t>
      </w:r>
      <w:r>
        <w:rPr>
          <w:spacing w:val="29"/>
        </w:rPr>
        <w:t xml:space="preserve"> </w:t>
      </w:r>
      <w:r>
        <w:t>develop</w:t>
      </w:r>
      <w:r>
        <w:rPr>
          <w:spacing w:val="28"/>
        </w:rPr>
        <w:t xml:space="preserve"> </w:t>
      </w:r>
      <w:r>
        <w:t>a</w:t>
      </w:r>
      <w:r>
        <w:rPr>
          <w:spacing w:val="29"/>
        </w:rPr>
        <w:t xml:space="preserve"> </w:t>
      </w:r>
      <w:r>
        <w:t>nondiscrimination</w:t>
      </w:r>
      <w:r>
        <w:rPr>
          <w:spacing w:val="28"/>
        </w:rPr>
        <w:t xml:space="preserve"> </w:t>
      </w:r>
      <w:r>
        <w:t>policy,</w:t>
      </w:r>
      <w:r>
        <w:rPr>
          <w:spacing w:val="29"/>
        </w:rPr>
        <w:t xml:space="preserve"> </w:t>
      </w:r>
      <w:r>
        <w:t>and</w:t>
      </w:r>
      <w:r>
        <w:rPr>
          <w:spacing w:val="28"/>
        </w:rPr>
        <w:t xml:space="preserve"> </w:t>
      </w:r>
      <w:r>
        <w:t>a</w:t>
      </w:r>
      <w:r>
        <w:rPr>
          <w:spacing w:val="29"/>
        </w:rPr>
        <w:t xml:space="preserve"> </w:t>
      </w:r>
      <w:r>
        <w:t>plan</w:t>
      </w:r>
      <w:r>
        <w:rPr>
          <w:spacing w:val="28"/>
        </w:rPr>
        <w:t xml:space="preserve"> </w:t>
      </w:r>
      <w:r>
        <w:t>to</w:t>
      </w:r>
      <w:r>
        <w:rPr>
          <w:spacing w:val="30"/>
        </w:rPr>
        <w:t xml:space="preserve"> </w:t>
      </w:r>
      <w:r>
        <w:t>update</w:t>
      </w:r>
      <w:r>
        <w:rPr>
          <w:spacing w:val="29"/>
        </w:rPr>
        <w:t xml:space="preserve"> </w:t>
      </w:r>
      <w:r>
        <w:t>all relevant state forms asking about sex, gender, and sexual orientation demographics.</w:t>
      </w:r>
    </w:p>
    <w:p w:rsidR="00200FDA" w:rsidRDefault="00F76C4C">
      <w:pPr>
        <w:pStyle w:val="ListParagraph"/>
        <w:numPr>
          <w:ilvl w:val="0"/>
          <w:numId w:val="24"/>
        </w:numPr>
        <w:tabs>
          <w:tab w:val="left" w:pos="1001"/>
        </w:tabs>
      </w:pPr>
      <w:r>
        <w:t>Ensure</w:t>
      </w:r>
      <w:r>
        <w:rPr>
          <w:spacing w:val="-6"/>
        </w:rPr>
        <w:t xml:space="preserve"> </w:t>
      </w:r>
      <w:r>
        <w:t>that</w:t>
      </w:r>
      <w:r>
        <w:rPr>
          <w:spacing w:val="-6"/>
        </w:rPr>
        <w:t xml:space="preserve"> </w:t>
      </w:r>
      <w:r>
        <w:t>all</w:t>
      </w:r>
      <w:r>
        <w:rPr>
          <w:spacing w:val="-5"/>
        </w:rPr>
        <w:t xml:space="preserve"> </w:t>
      </w:r>
      <w:r>
        <w:t>agencies</w:t>
      </w:r>
      <w:r>
        <w:rPr>
          <w:spacing w:val="-4"/>
        </w:rPr>
        <w:t xml:space="preserve"> </w:t>
      </w:r>
      <w:r>
        <w:t>are</w:t>
      </w:r>
      <w:r>
        <w:rPr>
          <w:spacing w:val="-6"/>
        </w:rPr>
        <w:t xml:space="preserve"> </w:t>
      </w:r>
      <w:r>
        <w:t>providing</w:t>
      </w:r>
      <w:r>
        <w:rPr>
          <w:spacing w:val="-7"/>
        </w:rPr>
        <w:t xml:space="preserve"> </w:t>
      </w:r>
      <w:r>
        <w:t>mandated</w:t>
      </w:r>
      <w:r>
        <w:rPr>
          <w:spacing w:val="-7"/>
        </w:rPr>
        <w:t xml:space="preserve"> </w:t>
      </w:r>
      <w:r>
        <w:t>LGBTQ</w:t>
      </w:r>
      <w:r>
        <w:rPr>
          <w:spacing w:val="-5"/>
        </w:rPr>
        <w:t xml:space="preserve"> </w:t>
      </w:r>
      <w:r>
        <w:t>cultural</w:t>
      </w:r>
      <w:r>
        <w:rPr>
          <w:spacing w:val="-4"/>
        </w:rPr>
        <w:t xml:space="preserve"> </w:t>
      </w:r>
      <w:r>
        <w:t>awareness</w:t>
      </w:r>
      <w:r>
        <w:rPr>
          <w:spacing w:val="-4"/>
        </w:rPr>
        <w:t xml:space="preserve"> </w:t>
      </w:r>
      <w:r>
        <w:rPr>
          <w:spacing w:val="-2"/>
        </w:rPr>
        <w:t>trainings.</w:t>
      </w:r>
    </w:p>
    <w:p w:rsidR="00200FDA" w:rsidRDefault="00F76C4C">
      <w:pPr>
        <w:pStyle w:val="ListParagraph"/>
        <w:numPr>
          <w:ilvl w:val="0"/>
          <w:numId w:val="24"/>
        </w:numPr>
        <w:tabs>
          <w:tab w:val="left" w:pos="1001"/>
        </w:tabs>
        <w:spacing w:before="135" w:line="360" w:lineRule="auto"/>
        <w:ind w:right="276" w:hanging="360"/>
      </w:pPr>
      <w:r>
        <w:t>Develop a Youth Risk Behavior Survey at the</w:t>
      </w:r>
      <w:r>
        <w:rPr>
          <w:spacing w:val="-1"/>
        </w:rPr>
        <w:t xml:space="preserve"> </w:t>
      </w:r>
      <w:r>
        <w:t>middle-school level, and conduct an assessment on the needs of parents and elementary school educators.</w:t>
      </w:r>
    </w:p>
    <w:p w:rsidR="00200FDA" w:rsidRDefault="00F76C4C">
      <w:pPr>
        <w:pStyle w:val="ListParagraph"/>
        <w:numPr>
          <w:ilvl w:val="0"/>
          <w:numId w:val="24"/>
        </w:numPr>
        <w:tabs>
          <w:tab w:val="left" w:pos="1001"/>
        </w:tabs>
        <w:spacing w:line="267" w:lineRule="exact"/>
      </w:pPr>
      <w:r>
        <w:t>Codify</w:t>
      </w:r>
      <w:r>
        <w:rPr>
          <w:spacing w:val="-5"/>
        </w:rPr>
        <w:t xml:space="preserve"> </w:t>
      </w:r>
      <w:r>
        <w:t>provisions</w:t>
      </w:r>
      <w:r>
        <w:rPr>
          <w:spacing w:val="-5"/>
        </w:rPr>
        <w:t xml:space="preserve"> </w:t>
      </w:r>
      <w:r>
        <w:t>to</w:t>
      </w:r>
      <w:r>
        <w:rPr>
          <w:spacing w:val="-4"/>
        </w:rPr>
        <w:t xml:space="preserve"> </w:t>
      </w:r>
      <w:r>
        <w:t>allow</w:t>
      </w:r>
      <w:r>
        <w:rPr>
          <w:spacing w:val="-2"/>
        </w:rPr>
        <w:t xml:space="preserve"> </w:t>
      </w:r>
      <w:r>
        <w:t>residents</w:t>
      </w:r>
      <w:r>
        <w:rPr>
          <w:spacing w:val="-6"/>
        </w:rPr>
        <w:t xml:space="preserve"> </w:t>
      </w:r>
      <w:r>
        <w:t>to</w:t>
      </w:r>
      <w:r>
        <w:rPr>
          <w:spacing w:val="-4"/>
        </w:rPr>
        <w:t xml:space="preserve"> </w:t>
      </w:r>
      <w:r>
        <w:t>change</w:t>
      </w:r>
      <w:r>
        <w:rPr>
          <w:spacing w:val="-2"/>
        </w:rPr>
        <w:t xml:space="preserve"> </w:t>
      </w:r>
      <w:r>
        <w:t>gender</w:t>
      </w:r>
      <w:r>
        <w:rPr>
          <w:spacing w:val="-8"/>
        </w:rPr>
        <w:t xml:space="preserve"> </w:t>
      </w:r>
      <w:r>
        <w:t>markers</w:t>
      </w:r>
      <w:r>
        <w:rPr>
          <w:spacing w:val="-5"/>
        </w:rPr>
        <w:t xml:space="preserve"> </w:t>
      </w:r>
      <w:r>
        <w:t>on</w:t>
      </w:r>
      <w:r>
        <w:rPr>
          <w:spacing w:val="-4"/>
        </w:rPr>
        <w:t xml:space="preserve"> </w:t>
      </w:r>
      <w:r>
        <w:t>birth</w:t>
      </w:r>
      <w:r>
        <w:rPr>
          <w:spacing w:val="-4"/>
        </w:rPr>
        <w:t xml:space="preserve"> </w:t>
      </w:r>
      <w:r>
        <w:rPr>
          <w:spacing w:val="-2"/>
        </w:rPr>
        <w:t>certificates.</w:t>
      </w:r>
    </w:p>
    <w:p w:rsidR="00200FDA" w:rsidRDefault="00F76C4C">
      <w:pPr>
        <w:pStyle w:val="ListParagraph"/>
        <w:numPr>
          <w:ilvl w:val="0"/>
          <w:numId w:val="24"/>
        </w:numPr>
        <w:tabs>
          <w:tab w:val="left" w:pos="1001"/>
        </w:tabs>
        <w:spacing w:before="135"/>
      </w:pPr>
      <w:r>
        <w:t>Update</w:t>
      </w:r>
      <w:r>
        <w:rPr>
          <w:spacing w:val="-5"/>
        </w:rPr>
        <w:t xml:space="preserve"> </w:t>
      </w:r>
      <w:r>
        <w:t>the</w:t>
      </w:r>
      <w:r>
        <w:rPr>
          <w:spacing w:val="-5"/>
        </w:rPr>
        <w:t xml:space="preserve"> </w:t>
      </w:r>
      <w:r>
        <w:t>state</w:t>
      </w:r>
      <w:r>
        <w:rPr>
          <w:spacing w:val="-3"/>
        </w:rPr>
        <w:t xml:space="preserve"> </w:t>
      </w:r>
      <w:r>
        <w:t>plumbing</w:t>
      </w:r>
      <w:r>
        <w:rPr>
          <w:spacing w:val="-4"/>
        </w:rPr>
        <w:t xml:space="preserve"> </w:t>
      </w:r>
      <w:r>
        <w:t>code</w:t>
      </w:r>
      <w:r>
        <w:rPr>
          <w:spacing w:val="-5"/>
        </w:rPr>
        <w:t xml:space="preserve"> </w:t>
      </w:r>
      <w:r>
        <w:t>to</w:t>
      </w:r>
      <w:r>
        <w:rPr>
          <w:spacing w:val="-5"/>
        </w:rPr>
        <w:t xml:space="preserve"> </w:t>
      </w:r>
      <w:r>
        <w:t>allow</w:t>
      </w:r>
      <w:r>
        <w:rPr>
          <w:spacing w:val="-2"/>
        </w:rPr>
        <w:t xml:space="preserve"> </w:t>
      </w:r>
      <w:r>
        <w:t>for</w:t>
      </w:r>
      <w:r>
        <w:rPr>
          <w:spacing w:val="-3"/>
        </w:rPr>
        <w:t xml:space="preserve"> </w:t>
      </w:r>
      <w:r>
        <w:t>the</w:t>
      </w:r>
      <w:r>
        <w:rPr>
          <w:spacing w:val="-3"/>
        </w:rPr>
        <w:t xml:space="preserve"> </w:t>
      </w:r>
      <w:r>
        <w:t>creation</w:t>
      </w:r>
      <w:r>
        <w:rPr>
          <w:spacing w:val="-4"/>
        </w:rPr>
        <w:t xml:space="preserve"> </w:t>
      </w:r>
      <w:r>
        <w:t>of</w:t>
      </w:r>
      <w:r>
        <w:rPr>
          <w:spacing w:val="-5"/>
        </w:rPr>
        <w:t xml:space="preserve"> </w:t>
      </w:r>
      <w:r>
        <w:t>multi-stall</w:t>
      </w:r>
      <w:r>
        <w:rPr>
          <w:spacing w:val="-4"/>
        </w:rPr>
        <w:t xml:space="preserve"> </w:t>
      </w:r>
      <w:r>
        <w:t>all</w:t>
      </w:r>
      <w:r>
        <w:rPr>
          <w:spacing w:val="-3"/>
        </w:rPr>
        <w:t xml:space="preserve"> </w:t>
      </w:r>
      <w:r>
        <w:t>gender</w:t>
      </w:r>
      <w:r>
        <w:rPr>
          <w:spacing w:val="-5"/>
        </w:rPr>
        <w:t xml:space="preserve"> </w:t>
      </w:r>
      <w:r>
        <w:rPr>
          <w:spacing w:val="-2"/>
        </w:rPr>
        <w:t>restrooms.</w:t>
      </w:r>
    </w:p>
    <w:p w:rsidR="00200FDA" w:rsidRDefault="00F76C4C">
      <w:pPr>
        <w:pStyle w:val="ListParagraph"/>
        <w:numPr>
          <w:ilvl w:val="0"/>
          <w:numId w:val="24"/>
        </w:numPr>
        <w:tabs>
          <w:tab w:val="left" w:pos="1001"/>
        </w:tabs>
        <w:spacing w:before="134"/>
      </w:pPr>
      <w:r>
        <w:t>Eliminate</w:t>
      </w:r>
      <w:r>
        <w:rPr>
          <w:spacing w:val="-10"/>
        </w:rPr>
        <w:t xml:space="preserve"> </w:t>
      </w:r>
      <w:r>
        <w:t>archaic</w:t>
      </w:r>
      <w:r>
        <w:rPr>
          <w:spacing w:val="-7"/>
        </w:rPr>
        <w:t xml:space="preserve"> </w:t>
      </w:r>
      <w:r>
        <w:t>homophobic</w:t>
      </w:r>
      <w:r>
        <w:rPr>
          <w:spacing w:val="-5"/>
        </w:rPr>
        <w:t xml:space="preserve"> </w:t>
      </w:r>
      <w:r>
        <w:t>and</w:t>
      </w:r>
      <w:r>
        <w:rPr>
          <w:spacing w:val="-6"/>
        </w:rPr>
        <w:t xml:space="preserve"> </w:t>
      </w:r>
      <w:r>
        <w:t>transphobic</w:t>
      </w:r>
      <w:r>
        <w:rPr>
          <w:spacing w:val="-5"/>
        </w:rPr>
        <w:t xml:space="preserve"> </w:t>
      </w:r>
      <w:r>
        <w:t>language</w:t>
      </w:r>
      <w:r>
        <w:rPr>
          <w:spacing w:val="-5"/>
        </w:rPr>
        <w:t xml:space="preserve"> </w:t>
      </w:r>
      <w:r>
        <w:t>in</w:t>
      </w:r>
      <w:r>
        <w:rPr>
          <w:spacing w:val="-6"/>
        </w:rPr>
        <w:t xml:space="preserve"> </w:t>
      </w:r>
      <w:r>
        <w:t>the</w:t>
      </w:r>
      <w:r>
        <w:rPr>
          <w:spacing w:val="-7"/>
        </w:rPr>
        <w:t xml:space="preserve"> </w:t>
      </w:r>
      <w:r>
        <w:t>Massachusetts</w:t>
      </w:r>
      <w:r>
        <w:rPr>
          <w:spacing w:val="-5"/>
        </w:rPr>
        <w:t xml:space="preserve"> </w:t>
      </w:r>
      <w:r>
        <w:t>General</w:t>
      </w:r>
      <w:r>
        <w:rPr>
          <w:spacing w:val="-5"/>
        </w:rPr>
        <w:t xml:space="preserve"> </w:t>
      </w:r>
      <w:r>
        <w:rPr>
          <w:spacing w:val="-2"/>
        </w:rPr>
        <w:t>Laws.</w:t>
      </w:r>
    </w:p>
    <w:p w:rsidR="00200FDA" w:rsidRDefault="00200FDA">
      <w:pPr>
        <w:pStyle w:val="BodyText"/>
      </w:pPr>
    </w:p>
    <w:p w:rsidR="00200FDA" w:rsidRDefault="00200FDA">
      <w:pPr>
        <w:pStyle w:val="BodyText"/>
        <w:spacing w:before="1"/>
      </w:pPr>
    </w:p>
    <w:p w:rsidR="00200FDA" w:rsidRDefault="00F76C4C">
      <w:pPr>
        <w:pStyle w:val="Heading7"/>
        <w:spacing w:before="1"/>
      </w:pPr>
      <w:r>
        <w:pict>
          <v:rect id="docshape493" o:spid="_x0000_s1114" style="position:absolute;left:0;text-align:left;margin-left:70.55pt;margin-top:18.05pt;width:470.9pt;height:.5pt;z-index:-15634944;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spacing w:before="12"/>
        <w:rPr>
          <w:sz w:val="27"/>
        </w:rPr>
      </w:pPr>
    </w:p>
    <w:p w:rsidR="00200FDA" w:rsidRDefault="00F76C4C">
      <w:pPr>
        <w:pStyle w:val="BodyText"/>
        <w:spacing w:before="56" w:line="276" w:lineRule="auto"/>
        <w:ind w:left="280" w:right="273"/>
        <w:jc w:val="both"/>
      </w:pPr>
      <w:r>
        <w:t>Supporting</w:t>
      </w:r>
      <w:r>
        <w:rPr>
          <w:spacing w:val="-11"/>
        </w:rPr>
        <w:t xml:space="preserve"> </w:t>
      </w:r>
      <w:r>
        <w:t>and</w:t>
      </w:r>
      <w:r>
        <w:rPr>
          <w:spacing w:val="-10"/>
        </w:rPr>
        <w:t xml:space="preserve"> </w:t>
      </w:r>
      <w:r>
        <w:t>affirming</w:t>
      </w:r>
      <w:r>
        <w:rPr>
          <w:spacing w:val="-12"/>
        </w:rPr>
        <w:t xml:space="preserve"> </w:t>
      </w:r>
      <w:r>
        <w:t>LGBTQ</w:t>
      </w:r>
      <w:r>
        <w:rPr>
          <w:spacing w:val="-11"/>
        </w:rPr>
        <w:t xml:space="preserve"> </w:t>
      </w:r>
      <w:r>
        <w:t>youth</w:t>
      </w:r>
      <w:r>
        <w:rPr>
          <w:spacing w:val="-12"/>
        </w:rPr>
        <w:t xml:space="preserve"> </w:t>
      </w:r>
      <w:r>
        <w:t>in</w:t>
      </w:r>
      <w:r>
        <w:rPr>
          <w:spacing w:val="-12"/>
        </w:rPr>
        <w:t xml:space="preserve"> </w:t>
      </w:r>
      <w:r>
        <w:t>Massachusetts</w:t>
      </w:r>
      <w:r>
        <w:rPr>
          <w:spacing w:val="-11"/>
        </w:rPr>
        <w:t xml:space="preserve"> </w:t>
      </w:r>
      <w:r>
        <w:t>requires</w:t>
      </w:r>
      <w:r>
        <w:rPr>
          <w:spacing w:val="-11"/>
        </w:rPr>
        <w:t xml:space="preserve"> </w:t>
      </w:r>
      <w:r>
        <w:t>an</w:t>
      </w:r>
      <w:r>
        <w:rPr>
          <w:spacing w:val="-12"/>
        </w:rPr>
        <w:t xml:space="preserve"> </w:t>
      </w:r>
      <w:r>
        <w:t>integrated</w:t>
      </w:r>
      <w:r>
        <w:rPr>
          <w:spacing w:val="-10"/>
        </w:rPr>
        <w:t xml:space="preserve"> </w:t>
      </w:r>
      <w:r>
        <w:t>and</w:t>
      </w:r>
      <w:r>
        <w:rPr>
          <w:spacing w:val="-10"/>
        </w:rPr>
        <w:t xml:space="preserve"> </w:t>
      </w:r>
      <w:r>
        <w:t>comprehensive</w:t>
      </w:r>
      <w:r>
        <w:rPr>
          <w:spacing w:val="-13"/>
        </w:rPr>
        <w:t xml:space="preserve"> </w:t>
      </w:r>
      <w:r>
        <w:t>effort by all state systems, leaders, educators, providers, and advocates. In the development of the Commission’s FY 2024 annual report, it noted many overarching themes of gaps in data collection, a greater need fo</w:t>
      </w:r>
      <w:r>
        <w:t>r mandatory and comprehensive trainings, and expanded policy development across the state. Throughout this report, the Commission has highlighted numerous areas in its core sections and below</w:t>
      </w:r>
      <w:r>
        <w:rPr>
          <w:spacing w:val="-13"/>
        </w:rPr>
        <w:t xml:space="preserve"> </w:t>
      </w:r>
      <w:r>
        <w:t>agency</w:t>
      </w:r>
      <w:r>
        <w:rPr>
          <w:spacing w:val="-12"/>
        </w:rPr>
        <w:t xml:space="preserve"> </w:t>
      </w:r>
      <w:r>
        <w:t>sections</w:t>
      </w:r>
      <w:r>
        <w:rPr>
          <w:spacing w:val="-13"/>
        </w:rPr>
        <w:t xml:space="preserve"> </w:t>
      </w:r>
      <w:r>
        <w:t>that</w:t>
      </w:r>
      <w:r>
        <w:rPr>
          <w:spacing w:val="-12"/>
        </w:rPr>
        <w:t xml:space="preserve"> </w:t>
      </w:r>
      <w:r>
        <w:t>Massachusetts</w:t>
      </w:r>
      <w:r>
        <w:rPr>
          <w:spacing w:val="-13"/>
        </w:rPr>
        <w:t xml:space="preserve"> </w:t>
      </w:r>
      <w:r>
        <w:t>must</w:t>
      </w:r>
      <w:r>
        <w:rPr>
          <w:spacing w:val="-12"/>
        </w:rPr>
        <w:t xml:space="preserve"> </w:t>
      </w:r>
      <w:r>
        <w:t>address</w:t>
      </w:r>
      <w:r>
        <w:rPr>
          <w:spacing w:val="-13"/>
        </w:rPr>
        <w:t xml:space="preserve"> </w:t>
      </w:r>
      <w:r>
        <w:t>to</w:t>
      </w:r>
      <w:r>
        <w:rPr>
          <w:spacing w:val="-12"/>
        </w:rPr>
        <w:t xml:space="preserve"> </w:t>
      </w:r>
      <w:r>
        <w:t>better</w:t>
      </w:r>
      <w:r>
        <w:rPr>
          <w:spacing w:val="-12"/>
        </w:rPr>
        <w:t xml:space="preserve"> </w:t>
      </w:r>
      <w:r>
        <w:t>suppor</w:t>
      </w:r>
      <w:r>
        <w:t>t</w:t>
      </w:r>
      <w:r>
        <w:rPr>
          <w:spacing w:val="-13"/>
        </w:rPr>
        <w:t xml:space="preserve"> </w:t>
      </w:r>
      <w:r>
        <w:t>the</w:t>
      </w:r>
      <w:r>
        <w:rPr>
          <w:spacing w:val="-12"/>
        </w:rPr>
        <w:t xml:space="preserve"> </w:t>
      </w:r>
      <w:r>
        <w:t>overall</w:t>
      </w:r>
      <w:r>
        <w:rPr>
          <w:spacing w:val="-13"/>
        </w:rPr>
        <w:t xml:space="preserve"> </w:t>
      </w:r>
      <w:r>
        <w:t>well-being</w:t>
      </w:r>
      <w:r>
        <w:rPr>
          <w:spacing w:val="-12"/>
        </w:rPr>
        <w:t xml:space="preserve"> </w:t>
      </w:r>
      <w:r>
        <w:t>of</w:t>
      </w:r>
      <w:r>
        <w:rPr>
          <w:spacing w:val="-13"/>
        </w:rPr>
        <w:t xml:space="preserve"> </w:t>
      </w:r>
      <w:r>
        <w:t>LGBTQ youth and families.</w:t>
      </w:r>
    </w:p>
    <w:p w:rsidR="00200FDA" w:rsidRDefault="00200FDA">
      <w:pPr>
        <w:pStyle w:val="BodyText"/>
        <w:spacing w:before="8"/>
        <w:rPr>
          <w:sz w:val="19"/>
        </w:rPr>
      </w:pPr>
    </w:p>
    <w:p w:rsidR="00200FDA" w:rsidRDefault="00F76C4C">
      <w:pPr>
        <w:pStyle w:val="BodyText"/>
        <w:spacing w:line="264" w:lineRule="auto"/>
        <w:ind w:left="280" w:right="274"/>
        <w:jc w:val="both"/>
      </w:pPr>
      <w:r>
        <w:t>This</w:t>
      </w:r>
      <w:r>
        <w:rPr>
          <w:spacing w:val="-7"/>
        </w:rPr>
        <w:t xml:space="preserve"> </w:t>
      </w:r>
      <w:r>
        <w:t>section</w:t>
      </w:r>
      <w:r>
        <w:rPr>
          <w:spacing w:val="-7"/>
        </w:rPr>
        <w:t xml:space="preserve"> </w:t>
      </w:r>
      <w:r>
        <w:t>provides</w:t>
      </w:r>
      <w:r>
        <w:rPr>
          <w:spacing w:val="-7"/>
        </w:rPr>
        <w:t xml:space="preserve"> </w:t>
      </w:r>
      <w:r>
        <w:t>an</w:t>
      </w:r>
      <w:r>
        <w:rPr>
          <w:spacing w:val="-7"/>
        </w:rPr>
        <w:t xml:space="preserve"> </w:t>
      </w:r>
      <w:r>
        <w:t>overview</w:t>
      </w:r>
      <w:r>
        <w:rPr>
          <w:spacing w:val="-8"/>
        </w:rPr>
        <w:t xml:space="preserve"> </w:t>
      </w:r>
      <w:r>
        <w:t>of</w:t>
      </w:r>
      <w:r>
        <w:rPr>
          <w:spacing w:val="-7"/>
        </w:rPr>
        <w:t xml:space="preserve"> </w:t>
      </w:r>
      <w:r>
        <w:t>the</w:t>
      </w:r>
      <w:r>
        <w:rPr>
          <w:spacing w:val="-8"/>
        </w:rPr>
        <w:t xml:space="preserve"> </w:t>
      </w:r>
      <w:r>
        <w:t>Commission’s</w:t>
      </w:r>
      <w:r>
        <w:rPr>
          <w:spacing w:val="-9"/>
        </w:rPr>
        <w:t xml:space="preserve"> </w:t>
      </w:r>
      <w:r>
        <w:t>recommendations</w:t>
      </w:r>
      <w:r>
        <w:rPr>
          <w:spacing w:val="-9"/>
        </w:rPr>
        <w:t xml:space="preserve"> </w:t>
      </w:r>
      <w:r>
        <w:t>on</w:t>
      </w:r>
      <w:r>
        <w:rPr>
          <w:spacing w:val="-7"/>
        </w:rPr>
        <w:t xml:space="preserve"> </w:t>
      </w:r>
      <w:r>
        <w:t>thematic</w:t>
      </w:r>
      <w:r>
        <w:rPr>
          <w:spacing w:val="-9"/>
        </w:rPr>
        <w:t xml:space="preserve"> </w:t>
      </w:r>
      <w:r>
        <w:t>areas</w:t>
      </w:r>
      <w:r>
        <w:rPr>
          <w:spacing w:val="-6"/>
        </w:rPr>
        <w:t xml:space="preserve"> </w:t>
      </w:r>
      <w:r>
        <w:t>applicable</w:t>
      </w:r>
      <w:r>
        <w:rPr>
          <w:spacing w:val="-6"/>
        </w:rPr>
        <w:t xml:space="preserve"> </w:t>
      </w:r>
      <w:r>
        <w:t>to the whole state, as well as suggested revisions to existing Massachusetts laws. With this section, the Commission advises the state on recommendations that broadly intersect the core sections of the Commission’s</w:t>
      </w:r>
      <w:r>
        <w:rPr>
          <w:spacing w:val="-10"/>
        </w:rPr>
        <w:t xml:space="preserve"> </w:t>
      </w:r>
      <w:r>
        <w:t>annual</w:t>
      </w:r>
      <w:r>
        <w:rPr>
          <w:spacing w:val="-10"/>
        </w:rPr>
        <w:t xml:space="preserve"> </w:t>
      </w:r>
      <w:r>
        <w:t>report</w:t>
      </w:r>
      <w:r>
        <w:rPr>
          <w:spacing w:val="-10"/>
        </w:rPr>
        <w:t xml:space="preserve"> </w:t>
      </w:r>
      <w:r>
        <w:t>and</w:t>
      </w:r>
      <w:r>
        <w:rPr>
          <w:spacing w:val="-11"/>
        </w:rPr>
        <w:t xml:space="preserve"> </w:t>
      </w:r>
      <w:r>
        <w:t>the</w:t>
      </w:r>
      <w:r>
        <w:rPr>
          <w:spacing w:val="-9"/>
        </w:rPr>
        <w:t xml:space="preserve"> </w:t>
      </w:r>
      <w:r>
        <w:t>below</w:t>
      </w:r>
      <w:r>
        <w:rPr>
          <w:spacing w:val="-9"/>
        </w:rPr>
        <w:t xml:space="preserve"> </w:t>
      </w:r>
      <w:r>
        <w:t>agency</w:t>
      </w:r>
      <w:r>
        <w:rPr>
          <w:spacing w:val="-9"/>
        </w:rPr>
        <w:t xml:space="preserve"> </w:t>
      </w:r>
      <w:r>
        <w:t>recomm</w:t>
      </w:r>
      <w:r>
        <w:t>endations</w:t>
      </w:r>
      <w:r>
        <w:rPr>
          <w:spacing w:val="-12"/>
        </w:rPr>
        <w:t xml:space="preserve"> </w:t>
      </w:r>
      <w:r>
        <w:t>to</w:t>
      </w:r>
      <w:r>
        <w:rPr>
          <w:spacing w:val="-9"/>
        </w:rPr>
        <w:t xml:space="preserve"> </w:t>
      </w:r>
      <w:r>
        <w:t>affirm</w:t>
      </w:r>
      <w:r>
        <w:rPr>
          <w:spacing w:val="-11"/>
        </w:rPr>
        <w:t xml:space="preserve"> </w:t>
      </w:r>
      <w:r>
        <w:t>and</w:t>
      </w:r>
      <w:r>
        <w:rPr>
          <w:spacing w:val="-11"/>
        </w:rPr>
        <w:t xml:space="preserve"> </w:t>
      </w:r>
      <w:r>
        <w:t>support</w:t>
      </w:r>
      <w:r>
        <w:rPr>
          <w:spacing w:val="-9"/>
        </w:rPr>
        <w:t xml:space="preserve"> </w:t>
      </w:r>
      <w:r>
        <w:t>LGBTQ</w:t>
      </w:r>
      <w:r>
        <w:rPr>
          <w:spacing w:val="-12"/>
        </w:rPr>
        <w:t xml:space="preserve"> </w:t>
      </w:r>
      <w:r>
        <w:t>youth. The Commission appreciates the ongoing collaboration opportunities with its community and agency partners, legislators, and youth throughout FY 2023 and into FY 2024.</w:t>
      </w:r>
    </w:p>
    <w:p w:rsidR="00200FDA" w:rsidRDefault="00200FDA">
      <w:pPr>
        <w:pStyle w:val="BodyText"/>
      </w:pPr>
    </w:p>
    <w:p w:rsidR="00200FDA" w:rsidRDefault="00F76C4C">
      <w:pPr>
        <w:pStyle w:val="Heading7"/>
        <w:spacing w:before="197"/>
        <w:jc w:val="both"/>
      </w:pPr>
      <w:r>
        <w:pict>
          <v:rect id="docshape494" o:spid="_x0000_s1113" style="position:absolute;left:0;text-align:left;margin-left:70.55pt;margin-top:27.85pt;width:470.9pt;height:.5pt;z-index:-15634432;mso-wrap-distance-left:0;mso-wrap-distance-right:0;mso-position-horizontal-relative:page" fillcolor="#4f81bc" stroked="f">
            <w10:wrap type="topAndBottom" anchorx="page"/>
          </v:rect>
        </w:pict>
      </w:r>
      <w:bookmarkStart w:id="1051" w:name="FY_2024_Expanded_Recommendations_to_the_"/>
      <w:bookmarkEnd w:id="1051"/>
      <w:r>
        <w:rPr>
          <w:color w:val="365F91"/>
        </w:rPr>
        <w:t>FY</w:t>
      </w:r>
      <w:r>
        <w:rPr>
          <w:color w:val="365F91"/>
          <w:spacing w:val="-6"/>
        </w:rPr>
        <w:t xml:space="preserve"> </w:t>
      </w:r>
      <w:r>
        <w:rPr>
          <w:color w:val="365F91"/>
        </w:rPr>
        <w:t>2024</w:t>
      </w:r>
      <w:r>
        <w:rPr>
          <w:color w:val="365F91"/>
          <w:spacing w:val="-7"/>
        </w:rPr>
        <w:t xml:space="preserve"> </w:t>
      </w:r>
      <w:r>
        <w:rPr>
          <w:color w:val="365F91"/>
        </w:rPr>
        <w:t>Expanded</w:t>
      </w:r>
      <w:r>
        <w:rPr>
          <w:color w:val="365F91"/>
          <w:spacing w:val="-4"/>
        </w:rPr>
        <w:t xml:space="preserve"> </w:t>
      </w:r>
      <w:r>
        <w:rPr>
          <w:color w:val="365F91"/>
        </w:rPr>
        <w:t>Recommendations</w:t>
      </w:r>
      <w:r>
        <w:rPr>
          <w:color w:val="365F91"/>
          <w:spacing w:val="-5"/>
        </w:rPr>
        <w:t xml:space="preserve"> </w:t>
      </w:r>
      <w:r>
        <w:rPr>
          <w:color w:val="365F91"/>
        </w:rPr>
        <w:t>to</w:t>
      </w:r>
      <w:r>
        <w:rPr>
          <w:color w:val="365F91"/>
          <w:spacing w:val="-6"/>
        </w:rPr>
        <w:t xml:space="preserve"> </w:t>
      </w:r>
      <w:r>
        <w:rPr>
          <w:color w:val="365F91"/>
        </w:rPr>
        <w:t>the</w:t>
      </w:r>
      <w:r>
        <w:rPr>
          <w:color w:val="365F91"/>
          <w:spacing w:val="-6"/>
        </w:rPr>
        <w:t xml:space="preserve"> </w:t>
      </w:r>
      <w:r>
        <w:rPr>
          <w:color w:val="365F91"/>
          <w:spacing w:val="-2"/>
        </w:rPr>
        <w:t>State</w:t>
      </w:r>
    </w:p>
    <w:p w:rsidR="00200FDA" w:rsidRDefault="00200FDA">
      <w:pPr>
        <w:pStyle w:val="BodyText"/>
        <w:spacing w:before="12"/>
        <w:rPr>
          <w:sz w:val="27"/>
        </w:rPr>
      </w:pPr>
    </w:p>
    <w:p w:rsidR="00200FDA" w:rsidRDefault="00F76C4C">
      <w:pPr>
        <w:pStyle w:val="Heading9"/>
        <w:numPr>
          <w:ilvl w:val="0"/>
          <w:numId w:val="23"/>
        </w:numPr>
        <w:tabs>
          <w:tab w:val="left" w:pos="489"/>
        </w:tabs>
        <w:spacing w:before="56" w:line="276" w:lineRule="auto"/>
        <w:ind w:left="279" w:right="275" w:firstLine="0"/>
        <w:jc w:val="both"/>
      </w:pPr>
      <w:r>
        <w:t>Improve</w:t>
      </w:r>
      <w:r>
        <w:rPr>
          <w:spacing w:val="-13"/>
        </w:rPr>
        <w:t xml:space="preserve"> </w:t>
      </w:r>
      <w:r>
        <w:t>and</w:t>
      </w:r>
      <w:r>
        <w:rPr>
          <w:spacing w:val="-12"/>
        </w:rPr>
        <w:t xml:space="preserve"> </w:t>
      </w:r>
      <w:r>
        <w:t>standardize</w:t>
      </w:r>
      <w:r>
        <w:rPr>
          <w:spacing w:val="-13"/>
        </w:rPr>
        <w:t xml:space="preserve"> </w:t>
      </w:r>
      <w:r>
        <w:t>SOGIE</w:t>
      </w:r>
      <w:r>
        <w:rPr>
          <w:spacing w:val="-12"/>
        </w:rPr>
        <w:t xml:space="preserve"> </w:t>
      </w:r>
      <w:r>
        <w:t>data</w:t>
      </w:r>
      <w:r>
        <w:rPr>
          <w:spacing w:val="-13"/>
        </w:rPr>
        <w:t xml:space="preserve"> </w:t>
      </w:r>
      <w:r>
        <w:t>collection</w:t>
      </w:r>
      <w:r>
        <w:rPr>
          <w:spacing w:val="-12"/>
        </w:rPr>
        <w:t xml:space="preserve"> </w:t>
      </w:r>
      <w:r>
        <w:t>practices</w:t>
      </w:r>
      <w:r>
        <w:rPr>
          <w:spacing w:val="-13"/>
        </w:rPr>
        <w:t xml:space="preserve"> </w:t>
      </w:r>
      <w:r>
        <w:t>to</w:t>
      </w:r>
      <w:r>
        <w:rPr>
          <w:spacing w:val="-12"/>
        </w:rPr>
        <w:t xml:space="preserve"> </w:t>
      </w:r>
      <w:r>
        <w:t>allow</w:t>
      </w:r>
      <w:r>
        <w:rPr>
          <w:spacing w:val="-12"/>
        </w:rPr>
        <w:t xml:space="preserve"> </w:t>
      </w:r>
      <w:r>
        <w:t>for</w:t>
      </w:r>
      <w:r>
        <w:rPr>
          <w:spacing w:val="-13"/>
        </w:rPr>
        <w:t xml:space="preserve"> </w:t>
      </w:r>
      <w:r>
        <w:t>more</w:t>
      </w:r>
      <w:r>
        <w:rPr>
          <w:spacing w:val="-12"/>
        </w:rPr>
        <w:t xml:space="preserve"> </w:t>
      </w:r>
      <w:r>
        <w:t>cross-agency</w:t>
      </w:r>
      <w:r>
        <w:rPr>
          <w:spacing w:val="-13"/>
        </w:rPr>
        <w:t xml:space="preserve"> </w:t>
      </w:r>
      <w:r>
        <w:t>data</w:t>
      </w:r>
      <w:r>
        <w:rPr>
          <w:spacing w:val="-12"/>
        </w:rPr>
        <w:t xml:space="preserve"> </w:t>
      </w:r>
      <w:r>
        <w:t>analysis, and develop a plan to</w:t>
      </w:r>
      <w:r>
        <w:rPr>
          <w:spacing w:val="-1"/>
        </w:rPr>
        <w:t xml:space="preserve"> </w:t>
      </w:r>
      <w:r>
        <w:t>update all</w:t>
      </w:r>
      <w:r>
        <w:rPr>
          <w:spacing w:val="-1"/>
        </w:rPr>
        <w:t xml:space="preserve"> </w:t>
      </w:r>
      <w:r>
        <w:t>relevant</w:t>
      </w:r>
      <w:r>
        <w:rPr>
          <w:spacing w:val="-2"/>
        </w:rPr>
        <w:t xml:space="preserve"> </w:t>
      </w:r>
      <w:r>
        <w:t>state forms asking about sex,</w:t>
      </w:r>
      <w:r>
        <w:rPr>
          <w:spacing w:val="-1"/>
        </w:rPr>
        <w:t xml:space="preserve"> </w:t>
      </w:r>
      <w:r>
        <w:t xml:space="preserve">gender, and sexual orientation </w:t>
      </w:r>
      <w:r>
        <w:rPr>
          <w:spacing w:val="-2"/>
        </w:rPr>
        <w:t>demographics.</w:t>
      </w:r>
    </w:p>
    <w:p w:rsidR="00200FDA" w:rsidRDefault="00200FDA">
      <w:pPr>
        <w:pStyle w:val="BodyText"/>
        <w:spacing w:before="10"/>
        <w:rPr>
          <w:b/>
          <w:sz w:val="32"/>
        </w:rPr>
      </w:pPr>
    </w:p>
    <w:p w:rsidR="00200FDA" w:rsidRDefault="00F76C4C">
      <w:pPr>
        <w:pStyle w:val="BodyText"/>
        <w:spacing w:line="276" w:lineRule="auto"/>
        <w:ind w:left="279"/>
      </w:pPr>
      <w:r>
        <w:t>One of the core aspects of the Commission’s work with state agencies is to advise on best practices for SOGIE</w:t>
      </w:r>
      <w:r>
        <w:rPr>
          <w:spacing w:val="31"/>
        </w:rPr>
        <w:t xml:space="preserve"> </w:t>
      </w:r>
      <w:r>
        <w:t>data</w:t>
      </w:r>
      <w:r>
        <w:rPr>
          <w:spacing w:val="34"/>
        </w:rPr>
        <w:t xml:space="preserve"> </w:t>
      </w:r>
      <w:r>
        <w:t>collection</w:t>
      </w:r>
      <w:r>
        <w:rPr>
          <w:spacing w:val="33"/>
        </w:rPr>
        <w:t xml:space="preserve"> </w:t>
      </w:r>
      <w:r>
        <w:t>through</w:t>
      </w:r>
      <w:r>
        <w:rPr>
          <w:spacing w:val="33"/>
        </w:rPr>
        <w:t xml:space="preserve"> </w:t>
      </w:r>
      <w:r>
        <w:t>state</w:t>
      </w:r>
      <w:r>
        <w:rPr>
          <w:spacing w:val="33"/>
        </w:rPr>
        <w:t xml:space="preserve"> </w:t>
      </w:r>
      <w:r>
        <w:t>forms</w:t>
      </w:r>
      <w:r>
        <w:rPr>
          <w:spacing w:val="34"/>
        </w:rPr>
        <w:t xml:space="preserve"> </w:t>
      </w:r>
      <w:r>
        <w:t>and</w:t>
      </w:r>
      <w:r>
        <w:rPr>
          <w:spacing w:val="33"/>
        </w:rPr>
        <w:t xml:space="preserve"> </w:t>
      </w:r>
      <w:r>
        <w:t>survey</w:t>
      </w:r>
      <w:r>
        <w:rPr>
          <w:spacing w:val="35"/>
        </w:rPr>
        <w:t xml:space="preserve"> </w:t>
      </w:r>
      <w:r>
        <w:t>development.</w:t>
      </w:r>
      <w:r>
        <w:rPr>
          <w:spacing w:val="32"/>
        </w:rPr>
        <w:t xml:space="preserve"> </w:t>
      </w:r>
      <w:r>
        <w:t>As</w:t>
      </w:r>
      <w:r>
        <w:rPr>
          <w:spacing w:val="34"/>
        </w:rPr>
        <w:t xml:space="preserve"> </w:t>
      </w:r>
      <w:r>
        <w:t>language</w:t>
      </w:r>
      <w:r>
        <w:rPr>
          <w:spacing w:val="34"/>
        </w:rPr>
        <w:t xml:space="preserve"> </w:t>
      </w:r>
      <w:r>
        <w:t>naturally</w:t>
      </w:r>
      <w:r>
        <w:rPr>
          <w:spacing w:val="35"/>
        </w:rPr>
        <w:t xml:space="preserve"> </w:t>
      </w:r>
      <w:r>
        <w:rPr>
          <w:spacing w:val="-2"/>
        </w:rPr>
        <w:t>develops</w:t>
      </w:r>
    </w:p>
    <w:p w:rsidR="00200FDA" w:rsidRDefault="00200FDA">
      <w:pPr>
        <w:spacing w:line="276" w:lineRule="auto"/>
        <w:sectPr w:rsidR="00200FDA">
          <w:headerReference w:type="default" r:id="rId756"/>
          <w:footerReference w:type="default" r:id="rId757"/>
          <w:pgSz w:w="12240" w:h="15840"/>
          <w:pgMar w:top="1260" w:right="1160" w:bottom="1260" w:left="1160" w:header="761" w:footer="1062" w:gutter="0"/>
          <w:pgNumType w:start="185"/>
          <w:cols w:space="720"/>
        </w:sectPr>
      </w:pPr>
    </w:p>
    <w:p w:rsidR="00200FDA" w:rsidRDefault="00200FDA">
      <w:pPr>
        <w:pStyle w:val="BodyText"/>
        <w:rPr>
          <w:sz w:val="9"/>
        </w:rPr>
      </w:pPr>
    </w:p>
    <w:p w:rsidR="00200FDA" w:rsidRDefault="00F76C4C">
      <w:pPr>
        <w:pStyle w:val="BodyText"/>
        <w:spacing w:before="56" w:line="276" w:lineRule="auto"/>
        <w:ind w:left="279" w:right="272"/>
        <w:jc w:val="both"/>
      </w:pPr>
      <w:r>
        <w:t>among LGBTQ communities, data collection standards must also continuously evolve to remain appropriately</w:t>
      </w:r>
      <w:r>
        <w:rPr>
          <w:spacing w:val="-7"/>
        </w:rPr>
        <w:t xml:space="preserve"> </w:t>
      </w:r>
      <w:r>
        <w:t>inclusive</w:t>
      </w:r>
      <w:r>
        <w:rPr>
          <w:spacing w:val="-9"/>
        </w:rPr>
        <w:t xml:space="preserve"> </w:t>
      </w:r>
      <w:r>
        <w:t>of</w:t>
      </w:r>
      <w:r>
        <w:rPr>
          <w:spacing w:val="-8"/>
        </w:rPr>
        <w:t xml:space="preserve"> </w:t>
      </w:r>
      <w:r>
        <w:t>LGBTQ</w:t>
      </w:r>
      <w:r>
        <w:rPr>
          <w:spacing w:val="-7"/>
        </w:rPr>
        <w:t xml:space="preserve"> </w:t>
      </w:r>
      <w:r>
        <w:t>identities.</w:t>
      </w:r>
      <w:r>
        <w:rPr>
          <w:spacing w:val="-10"/>
        </w:rPr>
        <w:t xml:space="preserve"> </w:t>
      </w:r>
      <w:r>
        <w:t>The</w:t>
      </w:r>
      <w:r>
        <w:rPr>
          <w:spacing w:val="-7"/>
        </w:rPr>
        <w:t xml:space="preserve"> </w:t>
      </w:r>
      <w:r>
        <w:t>Commission</w:t>
      </w:r>
      <w:r>
        <w:rPr>
          <w:spacing w:val="-8"/>
        </w:rPr>
        <w:t xml:space="preserve"> </w:t>
      </w:r>
      <w:r>
        <w:t>appreciates</w:t>
      </w:r>
      <w:r>
        <w:rPr>
          <w:spacing w:val="-10"/>
        </w:rPr>
        <w:t xml:space="preserve"> </w:t>
      </w:r>
      <w:r>
        <w:t>the</w:t>
      </w:r>
      <w:r>
        <w:rPr>
          <w:spacing w:val="-7"/>
        </w:rPr>
        <w:t xml:space="preserve"> </w:t>
      </w:r>
      <w:r>
        <w:t>dedication</w:t>
      </w:r>
      <w:r>
        <w:rPr>
          <w:spacing w:val="-10"/>
        </w:rPr>
        <w:t xml:space="preserve"> </w:t>
      </w:r>
      <w:r>
        <w:t>that</w:t>
      </w:r>
      <w:r>
        <w:rPr>
          <w:spacing w:val="-7"/>
        </w:rPr>
        <w:t xml:space="preserve"> </w:t>
      </w:r>
      <w:r>
        <w:t>several</w:t>
      </w:r>
      <w:r>
        <w:rPr>
          <w:spacing w:val="-8"/>
        </w:rPr>
        <w:t xml:space="preserve"> </w:t>
      </w:r>
      <w:r>
        <w:t xml:space="preserve">state agencies and lawmakers have shown </w:t>
      </w:r>
      <w:r>
        <w:t>in updating internal systems and state laws to allow for the expansion</w:t>
      </w:r>
      <w:r>
        <w:rPr>
          <w:spacing w:val="-13"/>
        </w:rPr>
        <w:t xml:space="preserve"> </w:t>
      </w:r>
      <w:r>
        <w:t>of</w:t>
      </w:r>
      <w:r>
        <w:rPr>
          <w:spacing w:val="-12"/>
        </w:rPr>
        <w:t xml:space="preserve"> </w:t>
      </w:r>
      <w:r>
        <w:t>SOGIE</w:t>
      </w:r>
      <w:r>
        <w:rPr>
          <w:spacing w:val="-13"/>
        </w:rPr>
        <w:t xml:space="preserve"> </w:t>
      </w:r>
      <w:r>
        <w:t>data</w:t>
      </w:r>
      <w:r>
        <w:rPr>
          <w:spacing w:val="-12"/>
        </w:rPr>
        <w:t xml:space="preserve"> </w:t>
      </w:r>
      <w:r>
        <w:t>collection</w:t>
      </w:r>
      <w:r>
        <w:rPr>
          <w:spacing w:val="-13"/>
        </w:rPr>
        <w:t xml:space="preserve"> </w:t>
      </w:r>
      <w:r>
        <w:t>where</w:t>
      </w:r>
      <w:r>
        <w:rPr>
          <w:spacing w:val="-12"/>
        </w:rPr>
        <w:t xml:space="preserve"> </w:t>
      </w:r>
      <w:r>
        <w:t>relevant.</w:t>
      </w:r>
      <w:r>
        <w:rPr>
          <w:spacing w:val="-13"/>
        </w:rPr>
        <w:t xml:space="preserve"> </w:t>
      </w:r>
      <w:r>
        <w:t>The</w:t>
      </w:r>
      <w:r>
        <w:rPr>
          <w:spacing w:val="-12"/>
        </w:rPr>
        <w:t xml:space="preserve"> </w:t>
      </w:r>
      <w:r>
        <w:t>Commission</w:t>
      </w:r>
      <w:r>
        <w:rPr>
          <w:spacing w:val="-12"/>
        </w:rPr>
        <w:t xml:space="preserve"> </w:t>
      </w:r>
      <w:r>
        <w:t>understands</w:t>
      </w:r>
      <w:r>
        <w:rPr>
          <w:spacing w:val="-13"/>
        </w:rPr>
        <w:t xml:space="preserve"> </w:t>
      </w:r>
      <w:r>
        <w:t>that</w:t>
      </w:r>
      <w:r>
        <w:rPr>
          <w:spacing w:val="-12"/>
        </w:rPr>
        <w:t xml:space="preserve"> </w:t>
      </w:r>
      <w:r>
        <w:t>there</w:t>
      </w:r>
      <w:r>
        <w:rPr>
          <w:spacing w:val="-13"/>
        </w:rPr>
        <w:t xml:space="preserve"> </w:t>
      </w:r>
      <w:r>
        <w:t>are</w:t>
      </w:r>
      <w:r>
        <w:rPr>
          <w:spacing w:val="-12"/>
        </w:rPr>
        <w:t xml:space="preserve"> </w:t>
      </w:r>
      <w:r>
        <w:t>numerous scenarios where it is inappropriate for the state to ask about sexual orientation in its serv</w:t>
      </w:r>
      <w:r>
        <w:t>ice provision, but further notes that many, many state forms and systems look for demographic information on biological sex, rather than gender identity. The Federal Evidence Agenda on LGBTQI+ Equity serves as a helpful guide for agencies looking to improv</w:t>
      </w:r>
      <w:r>
        <w:t>e their data collection.</w:t>
      </w:r>
      <w:hyperlink w:anchor="_bookmark845" w:history="1">
        <w:r>
          <w:rPr>
            <w:vertAlign w:val="superscript"/>
          </w:rPr>
          <w:t>1</w:t>
        </w:r>
      </w:hyperlink>
    </w:p>
    <w:p w:rsidR="00200FDA" w:rsidRDefault="00200FDA">
      <w:pPr>
        <w:pStyle w:val="BodyText"/>
        <w:spacing w:before="7"/>
        <w:rPr>
          <w:sz w:val="32"/>
        </w:rPr>
      </w:pPr>
    </w:p>
    <w:p w:rsidR="00200FDA" w:rsidRDefault="00F76C4C">
      <w:pPr>
        <w:pStyle w:val="BodyText"/>
        <w:spacing w:line="276" w:lineRule="auto"/>
        <w:ind w:left="280" w:right="272"/>
        <w:jc w:val="both"/>
      </w:pPr>
      <w:r>
        <w:t>The Commission’s overarching recommendation is that the state must improve its SOGIE data collection in all relevant areas to better understand the number of LGBTQ individuals receiving services and disparities in access or care. One possibility is for the</w:t>
      </w:r>
      <w:r>
        <w:t xml:space="preserve"> Governor or legislature to create a statewide task force or committee to examine SOGIE data collection standards across agencies, investigate areas of improvement, and create work plans for state agencies to work on internally. The Commission advises that</w:t>
      </w:r>
      <w:r>
        <w:rPr>
          <w:spacing w:val="-10"/>
        </w:rPr>
        <w:t xml:space="preserve"> </w:t>
      </w:r>
      <w:r>
        <w:t>a</w:t>
      </w:r>
      <w:r>
        <w:rPr>
          <w:spacing w:val="-11"/>
        </w:rPr>
        <w:t xml:space="preserve"> </w:t>
      </w:r>
      <w:r>
        <w:t>priority</w:t>
      </w:r>
      <w:r>
        <w:rPr>
          <w:spacing w:val="-12"/>
        </w:rPr>
        <w:t xml:space="preserve"> </w:t>
      </w:r>
      <w:r>
        <w:t>of</w:t>
      </w:r>
      <w:r>
        <w:rPr>
          <w:spacing w:val="-11"/>
        </w:rPr>
        <w:t xml:space="preserve"> </w:t>
      </w:r>
      <w:r>
        <w:t>the</w:t>
      </w:r>
      <w:r>
        <w:rPr>
          <w:spacing w:val="-10"/>
        </w:rPr>
        <w:t xml:space="preserve"> </w:t>
      </w:r>
      <w:r>
        <w:t>task</w:t>
      </w:r>
      <w:r>
        <w:rPr>
          <w:spacing w:val="-10"/>
        </w:rPr>
        <w:t xml:space="preserve"> </w:t>
      </w:r>
      <w:r>
        <w:t>force</w:t>
      </w:r>
      <w:r>
        <w:rPr>
          <w:spacing w:val="-10"/>
        </w:rPr>
        <w:t xml:space="preserve"> </w:t>
      </w:r>
      <w:r>
        <w:t>-</w:t>
      </w:r>
      <w:r>
        <w:rPr>
          <w:spacing w:val="-11"/>
        </w:rPr>
        <w:t xml:space="preserve"> </w:t>
      </w:r>
      <w:r>
        <w:t>or</w:t>
      </w:r>
      <w:r>
        <w:rPr>
          <w:spacing w:val="-10"/>
        </w:rPr>
        <w:t xml:space="preserve"> </w:t>
      </w:r>
      <w:r>
        <w:t>state</w:t>
      </w:r>
      <w:r>
        <w:rPr>
          <w:spacing w:val="-10"/>
        </w:rPr>
        <w:t xml:space="preserve"> </w:t>
      </w:r>
      <w:r>
        <w:t>agencies</w:t>
      </w:r>
      <w:r>
        <w:rPr>
          <w:spacing w:val="-10"/>
        </w:rPr>
        <w:t xml:space="preserve"> </w:t>
      </w:r>
      <w:r>
        <w:t>-</w:t>
      </w:r>
      <w:r>
        <w:rPr>
          <w:spacing w:val="-11"/>
        </w:rPr>
        <w:t xml:space="preserve"> </w:t>
      </w:r>
      <w:r>
        <w:t>should</w:t>
      </w:r>
      <w:r>
        <w:rPr>
          <w:spacing w:val="-11"/>
        </w:rPr>
        <w:t xml:space="preserve"> </w:t>
      </w:r>
      <w:r>
        <w:t>be</w:t>
      </w:r>
      <w:r>
        <w:rPr>
          <w:spacing w:val="-10"/>
        </w:rPr>
        <w:t xml:space="preserve"> </w:t>
      </w:r>
      <w:r>
        <w:t>to</w:t>
      </w:r>
      <w:r>
        <w:rPr>
          <w:spacing w:val="-9"/>
        </w:rPr>
        <w:t xml:space="preserve"> </w:t>
      </w:r>
      <w:r>
        <w:t>collaborate</w:t>
      </w:r>
      <w:r>
        <w:rPr>
          <w:spacing w:val="-12"/>
        </w:rPr>
        <w:t xml:space="preserve"> </w:t>
      </w:r>
      <w:r>
        <w:t>on</w:t>
      </w:r>
      <w:r>
        <w:rPr>
          <w:spacing w:val="-11"/>
        </w:rPr>
        <w:t xml:space="preserve"> </w:t>
      </w:r>
      <w:r>
        <w:t>the</w:t>
      </w:r>
      <w:r>
        <w:rPr>
          <w:spacing w:val="-12"/>
        </w:rPr>
        <w:t xml:space="preserve"> </w:t>
      </w:r>
      <w:r>
        <w:t>development</w:t>
      </w:r>
      <w:r>
        <w:rPr>
          <w:spacing w:val="-10"/>
        </w:rPr>
        <w:t xml:space="preserve"> </w:t>
      </w:r>
      <w:r>
        <w:t>or</w:t>
      </w:r>
      <w:r>
        <w:rPr>
          <w:spacing w:val="-11"/>
        </w:rPr>
        <w:t xml:space="preserve"> </w:t>
      </w:r>
      <w:r>
        <w:t>review of data standards to better standardize, offer feedback, and overall improve data collection to allow for cross-agency analysis, and identify gaps in data collection. As the Commission has noted throughout this annual</w:t>
      </w:r>
      <w:r>
        <w:rPr>
          <w:spacing w:val="-4"/>
        </w:rPr>
        <w:t xml:space="preserve"> </w:t>
      </w:r>
      <w:r>
        <w:t>report,</w:t>
      </w:r>
      <w:r>
        <w:rPr>
          <w:spacing w:val="-6"/>
        </w:rPr>
        <w:t xml:space="preserve"> </w:t>
      </w:r>
      <w:r>
        <w:t>there</w:t>
      </w:r>
      <w:r>
        <w:rPr>
          <w:spacing w:val="-5"/>
        </w:rPr>
        <w:t xml:space="preserve"> </w:t>
      </w:r>
      <w:r>
        <w:t>are</w:t>
      </w:r>
      <w:r>
        <w:rPr>
          <w:spacing w:val="-5"/>
        </w:rPr>
        <w:t xml:space="preserve"> </w:t>
      </w:r>
      <w:r>
        <w:t>several</w:t>
      </w:r>
      <w:r>
        <w:rPr>
          <w:spacing w:val="-6"/>
        </w:rPr>
        <w:t xml:space="preserve"> </w:t>
      </w:r>
      <w:r>
        <w:t>criti</w:t>
      </w:r>
      <w:r>
        <w:t>cal</w:t>
      </w:r>
      <w:r>
        <w:rPr>
          <w:spacing w:val="-6"/>
        </w:rPr>
        <w:t xml:space="preserve"> </w:t>
      </w:r>
      <w:r>
        <w:t>areas</w:t>
      </w:r>
      <w:r>
        <w:rPr>
          <w:spacing w:val="-6"/>
        </w:rPr>
        <w:t xml:space="preserve"> </w:t>
      </w:r>
      <w:r>
        <w:t>of</w:t>
      </w:r>
      <w:r>
        <w:rPr>
          <w:spacing w:val="-6"/>
        </w:rPr>
        <w:t xml:space="preserve"> </w:t>
      </w:r>
      <w:r>
        <w:t>missing</w:t>
      </w:r>
      <w:r>
        <w:rPr>
          <w:spacing w:val="-4"/>
        </w:rPr>
        <w:t xml:space="preserve"> </w:t>
      </w:r>
      <w:r>
        <w:t>data,</w:t>
      </w:r>
      <w:r>
        <w:rPr>
          <w:spacing w:val="-6"/>
        </w:rPr>
        <w:t xml:space="preserve"> </w:t>
      </w:r>
      <w:r>
        <w:t>including</w:t>
      </w:r>
      <w:r>
        <w:rPr>
          <w:spacing w:val="-4"/>
        </w:rPr>
        <w:t xml:space="preserve"> </w:t>
      </w:r>
      <w:r>
        <w:t>on</w:t>
      </w:r>
      <w:r>
        <w:rPr>
          <w:spacing w:val="-7"/>
        </w:rPr>
        <w:t xml:space="preserve"> </w:t>
      </w:r>
      <w:r>
        <w:t>LGBTQ</w:t>
      </w:r>
      <w:r>
        <w:rPr>
          <w:spacing w:val="-8"/>
        </w:rPr>
        <w:t xml:space="preserve"> </w:t>
      </w:r>
      <w:r>
        <w:t>foreign-born</w:t>
      </w:r>
      <w:r>
        <w:rPr>
          <w:spacing w:val="-7"/>
        </w:rPr>
        <w:t xml:space="preserve"> </w:t>
      </w:r>
      <w:r>
        <w:t>youth</w:t>
      </w:r>
      <w:r>
        <w:rPr>
          <w:spacing w:val="-4"/>
        </w:rPr>
        <w:t xml:space="preserve"> </w:t>
      </w:r>
      <w:r>
        <w:t>and LGBTQ</w:t>
      </w:r>
      <w:r>
        <w:rPr>
          <w:spacing w:val="-6"/>
        </w:rPr>
        <w:t xml:space="preserve"> </w:t>
      </w:r>
      <w:r>
        <w:t>pregnancy</w:t>
      </w:r>
      <w:r>
        <w:rPr>
          <w:spacing w:val="-6"/>
        </w:rPr>
        <w:t xml:space="preserve"> </w:t>
      </w:r>
      <w:r>
        <w:t>care.</w:t>
      </w:r>
      <w:r>
        <w:rPr>
          <w:spacing w:val="-5"/>
        </w:rPr>
        <w:t xml:space="preserve"> </w:t>
      </w:r>
      <w:r>
        <w:t>While</w:t>
      </w:r>
      <w:r>
        <w:rPr>
          <w:spacing w:val="-4"/>
        </w:rPr>
        <w:t xml:space="preserve"> </w:t>
      </w:r>
      <w:r>
        <w:t>the</w:t>
      </w:r>
      <w:r>
        <w:rPr>
          <w:spacing w:val="-6"/>
        </w:rPr>
        <w:t xml:space="preserve"> </w:t>
      </w:r>
      <w:r>
        <w:t>Commission</w:t>
      </w:r>
      <w:r>
        <w:rPr>
          <w:spacing w:val="-5"/>
        </w:rPr>
        <w:t xml:space="preserve"> </w:t>
      </w:r>
      <w:r>
        <w:t>appreciates</w:t>
      </w:r>
      <w:r>
        <w:rPr>
          <w:spacing w:val="-7"/>
        </w:rPr>
        <w:t xml:space="preserve"> </w:t>
      </w:r>
      <w:r>
        <w:t>the</w:t>
      </w:r>
      <w:r>
        <w:rPr>
          <w:spacing w:val="-4"/>
        </w:rPr>
        <w:t xml:space="preserve"> </w:t>
      </w:r>
      <w:r>
        <w:t>need</w:t>
      </w:r>
      <w:r>
        <w:rPr>
          <w:spacing w:val="-5"/>
        </w:rPr>
        <w:t xml:space="preserve"> </w:t>
      </w:r>
      <w:r>
        <w:t>for</w:t>
      </w:r>
      <w:r>
        <w:rPr>
          <w:spacing w:val="-4"/>
        </w:rPr>
        <w:t xml:space="preserve"> </w:t>
      </w:r>
      <w:r>
        <w:t>unique</w:t>
      </w:r>
      <w:r>
        <w:rPr>
          <w:spacing w:val="-4"/>
        </w:rPr>
        <w:t xml:space="preserve"> </w:t>
      </w:r>
      <w:r>
        <w:t>and</w:t>
      </w:r>
      <w:r>
        <w:rPr>
          <w:spacing w:val="-5"/>
        </w:rPr>
        <w:t xml:space="preserve"> </w:t>
      </w:r>
      <w:r>
        <w:t>targeted</w:t>
      </w:r>
      <w:r>
        <w:rPr>
          <w:spacing w:val="-8"/>
        </w:rPr>
        <w:t xml:space="preserve"> </w:t>
      </w:r>
      <w:r>
        <w:t>questions</w:t>
      </w:r>
      <w:r>
        <w:rPr>
          <w:spacing w:val="-4"/>
        </w:rPr>
        <w:t xml:space="preserve"> </w:t>
      </w:r>
      <w:r>
        <w:t>in some areas, in many cases it has seen agencies struggling to update their data standar</w:t>
      </w:r>
      <w:r>
        <w:t>ds which another agency had already resolved.</w:t>
      </w:r>
    </w:p>
    <w:p w:rsidR="00200FDA" w:rsidRDefault="00200FDA">
      <w:pPr>
        <w:pStyle w:val="BodyText"/>
        <w:spacing w:before="9"/>
        <w:rPr>
          <w:sz w:val="32"/>
        </w:rPr>
      </w:pPr>
    </w:p>
    <w:p w:rsidR="00200FDA" w:rsidRDefault="00F76C4C">
      <w:pPr>
        <w:pStyle w:val="BodyText"/>
        <w:spacing w:line="276" w:lineRule="auto"/>
        <w:ind w:left="280" w:right="273"/>
        <w:jc w:val="both"/>
      </w:pPr>
      <w:r>
        <w:t>The</w:t>
      </w:r>
      <w:r>
        <w:rPr>
          <w:spacing w:val="-1"/>
        </w:rPr>
        <w:t xml:space="preserve"> </w:t>
      </w:r>
      <w:r>
        <w:t>Commission</w:t>
      </w:r>
      <w:r>
        <w:rPr>
          <w:spacing w:val="-3"/>
        </w:rPr>
        <w:t xml:space="preserve"> </w:t>
      </w:r>
      <w:r>
        <w:t>attends</w:t>
      </w:r>
      <w:r>
        <w:rPr>
          <w:spacing w:val="-2"/>
        </w:rPr>
        <w:t xml:space="preserve"> </w:t>
      </w:r>
      <w:r>
        <w:t>a</w:t>
      </w:r>
      <w:r>
        <w:rPr>
          <w:spacing w:val="-4"/>
        </w:rPr>
        <w:t xml:space="preserve"> </w:t>
      </w:r>
      <w:r>
        <w:t>quarterly</w:t>
      </w:r>
      <w:r>
        <w:rPr>
          <w:spacing w:val="-1"/>
        </w:rPr>
        <w:t xml:space="preserve"> </w:t>
      </w:r>
      <w:r>
        <w:t>EOHHS</w:t>
      </w:r>
      <w:r>
        <w:rPr>
          <w:spacing w:val="-3"/>
        </w:rPr>
        <w:t xml:space="preserve"> </w:t>
      </w:r>
      <w:r>
        <w:t>Interagency</w:t>
      </w:r>
      <w:r>
        <w:rPr>
          <w:spacing w:val="-1"/>
        </w:rPr>
        <w:t xml:space="preserve"> </w:t>
      </w:r>
      <w:r>
        <w:t>Working</w:t>
      </w:r>
      <w:r>
        <w:rPr>
          <w:spacing w:val="-3"/>
        </w:rPr>
        <w:t xml:space="preserve"> </w:t>
      </w:r>
      <w:r>
        <w:t>Group</w:t>
      </w:r>
      <w:r>
        <w:rPr>
          <w:spacing w:val="-3"/>
        </w:rPr>
        <w:t xml:space="preserve"> </w:t>
      </w:r>
      <w:r>
        <w:t>which</w:t>
      </w:r>
      <w:r>
        <w:rPr>
          <w:spacing w:val="-3"/>
        </w:rPr>
        <w:t xml:space="preserve"> </w:t>
      </w:r>
      <w:r>
        <w:t>works</w:t>
      </w:r>
      <w:r>
        <w:rPr>
          <w:spacing w:val="-2"/>
        </w:rPr>
        <w:t xml:space="preserve"> </w:t>
      </w:r>
      <w:r>
        <w:t>to</w:t>
      </w:r>
      <w:r>
        <w:rPr>
          <w:spacing w:val="-1"/>
        </w:rPr>
        <w:t xml:space="preserve"> </w:t>
      </w:r>
      <w:r>
        <w:t>provide</w:t>
      </w:r>
      <w:r>
        <w:rPr>
          <w:spacing w:val="-1"/>
        </w:rPr>
        <w:t xml:space="preserve"> </w:t>
      </w:r>
      <w:r>
        <w:t xml:space="preserve">updates on progress towards the Commission’s recommendations, and identifies problems and solutions collaboratively. The Commission advises that a much larger quarterly meeting could occur with more youth-serving state agencies to better identify systemic </w:t>
      </w:r>
      <w:r>
        <w:t>barriers and administrative (or legislative) solutions, including for data collection.</w:t>
      </w:r>
    </w:p>
    <w:p w:rsidR="00200FDA" w:rsidRDefault="00200FDA">
      <w:pPr>
        <w:pStyle w:val="BodyText"/>
        <w:spacing w:before="9"/>
        <w:rPr>
          <w:sz w:val="32"/>
        </w:rPr>
      </w:pPr>
    </w:p>
    <w:p w:rsidR="00200FDA" w:rsidRDefault="00F76C4C">
      <w:pPr>
        <w:pStyle w:val="Heading9"/>
        <w:numPr>
          <w:ilvl w:val="0"/>
          <w:numId w:val="23"/>
        </w:numPr>
        <w:tabs>
          <w:tab w:val="left" w:pos="501"/>
        </w:tabs>
        <w:spacing w:line="278" w:lineRule="auto"/>
        <w:ind w:right="275" w:firstLine="0"/>
      </w:pPr>
      <w:r>
        <w:t>Mandate</w:t>
      </w:r>
      <w:r>
        <w:rPr>
          <w:spacing w:val="-5"/>
        </w:rPr>
        <w:t xml:space="preserve"> </w:t>
      </w:r>
      <w:r>
        <w:t>that</w:t>
      </w:r>
      <w:r>
        <w:rPr>
          <w:spacing w:val="-4"/>
        </w:rPr>
        <w:t xml:space="preserve"> </w:t>
      </w:r>
      <w:r>
        <w:t>all</w:t>
      </w:r>
      <w:r>
        <w:rPr>
          <w:spacing w:val="-6"/>
        </w:rPr>
        <w:t xml:space="preserve"> </w:t>
      </w:r>
      <w:r>
        <w:t>state</w:t>
      </w:r>
      <w:r>
        <w:rPr>
          <w:spacing w:val="-5"/>
        </w:rPr>
        <w:t xml:space="preserve"> </w:t>
      </w:r>
      <w:r>
        <w:t>agencies</w:t>
      </w:r>
      <w:r>
        <w:rPr>
          <w:spacing w:val="-4"/>
        </w:rPr>
        <w:t xml:space="preserve"> </w:t>
      </w:r>
      <w:r>
        <w:t>develop</w:t>
      </w:r>
      <w:r>
        <w:rPr>
          <w:spacing w:val="-5"/>
        </w:rPr>
        <w:t xml:space="preserve"> </w:t>
      </w:r>
      <w:r>
        <w:t>a</w:t>
      </w:r>
      <w:r>
        <w:rPr>
          <w:spacing w:val="-5"/>
        </w:rPr>
        <w:t xml:space="preserve"> </w:t>
      </w:r>
      <w:r>
        <w:t>nondiscrimination</w:t>
      </w:r>
      <w:r>
        <w:rPr>
          <w:spacing w:val="-5"/>
        </w:rPr>
        <w:t xml:space="preserve"> </w:t>
      </w:r>
      <w:r>
        <w:t>policy,</w:t>
      </w:r>
      <w:r>
        <w:rPr>
          <w:spacing w:val="-4"/>
        </w:rPr>
        <w:t xml:space="preserve"> </w:t>
      </w:r>
      <w:r>
        <w:t>and</w:t>
      </w:r>
      <w:r>
        <w:rPr>
          <w:spacing w:val="-5"/>
        </w:rPr>
        <w:t xml:space="preserve"> </w:t>
      </w:r>
      <w:r>
        <w:t>a</w:t>
      </w:r>
      <w:r>
        <w:rPr>
          <w:spacing w:val="-5"/>
        </w:rPr>
        <w:t xml:space="preserve"> </w:t>
      </w:r>
      <w:r>
        <w:t>plan</w:t>
      </w:r>
      <w:r>
        <w:rPr>
          <w:spacing w:val="-5"/>
        </w:rPr>
        <w:t xml:space="preserve"> </w:t>
      </w:r>
      <w:r>
        <w:t>to</w:t>
      </w:r>
      <w:r>
        <w:rPr>
          <w:spacing w:val="-5"/>
        </w:rPr>
        <w:t xml:space="preserve"> </w:t>
      </w:r>
      <w:r>
        <w:t>review</w:t>
      </w:r>
      <w:r>
        <w:rPr>
          <w:spacing w:val="-3"/>
        </w:rPr>
        <w:t xml:space="preserve"> </w:t>
      </w:r>
      <w:r>
        <w:t>all</w:t>
      </w:r>
      <w:r>
        <w:rPr>
          <w:spacing w:val="-3"/>
        </w:rPr>
        <w:t xml:space="preserve"> </w:t>
      </w:r>
      <w:r>
        <w:t>relevant internal policies to ensure LGBTQ-inclusivity.</w:t>
      </w:r>
    </w:p>
    <w:p w:rsidR="00200FDA" w:rsidRDefault="00200FDA">
      <w:pPr>
        <w:pStyle w:val="BodyText"/>
        <w:spacing w:before="4"/>
        <w:rPr>
          <w:b/>
          <w:sz w:val="32"/>
        </w:rPr>
      </w:pPr>
    </w:p>
    <w:p w:rsidR="00200FDA" w:rsidRDefault="00F76C4C">
      <w:pPr>
        <w:pStyle w:val="BodyText"/>
        <w:spacing w:line="276" w:lineRule="auto"/>
        <w:ind w:left="280" w:right="275"/>
        <w:jc w:val="both"/>
      </w:pPr>
      <w:r>
        <w:t>As historically di</w:t>
      </w:r>
      <w:r>
        <w:t>scussed, as well as through several of this year’s FY 2024 agency recommendations, the Commission</w:t>
      </w:r>
      <w:r>
        <w:rPr>
          <w:spacing w:val="-8"/>
        </w:rPr>
        <w:t xml:space="preserve"> </w:t>
      </w:r>
      <w:r>
        <w:t>advises</w:t>
      </w:r>
      <w:r>
        <w:rPr>
          <w:spacing w:val="-5"/>
        </w:rPr>
        <w:t xml:space="preserve"> </w:t>
      </w:r>
      <w:r>
        <w:t>that</w:t>
      </w:r>
      <w:r>
        <w:rPr>
          <w:spacing w:val="-5"/>
        </w:rPr>
        <w:t xml:space="preserve"> </w:t>
      </w:r>
      <w:r>
        <w:t>all</w:t>
      </w:r>
      <w:r>
        <w:rPr>
          <w:spacing w:val="-6"/>
        </w:rPr>
        <w:t xml:space="preserve"> </w:t>
      </w:r>
      <w:r>
        <w:t>agencies</w:t>
      </w:r>
      <w:r>
        <w:rPr>
          <w:spacing w:val="-8"/>
        </w:rPr>
        <w:t xml:space="preserve"> </w:t>
      </w:r>
      <w:r>
        <w:t>have</w:t>
      </w:r>
      <w:r>
        <w:rPr>
          <w:spacing w:val="-5"/>
        </w:rPr>
        <w:t xml:space="preserve"> </w:t>
      </w:r>
      <w:r>
        <w:t>an</w:t>
      </w:r>
      <w:r>
        <w:rPr>
          <w:spacing w:val="-8"/>
        </w:rPr>
        <w:t xml:space="preserve"> </w:t>
      </w:r>
      <w:r>
        <w:t>explicit</w:t>
      </w:r>
      <w:r>
        <w:rPr>
          <w:spacing w:val="-7"/>
        </w:rPr>
        <w:t xml:space="preserve"> </w:t>
      </w:r>
      <w:r>
        <w:t>nondiscrimination</w:t>
      </w:r>
      <w:r>
        <w:rPr>
          <w:spacing w:val="-6"/>
        </w:rPr>
        <w:t xml:space="preserve"> </w:t>
      </w:r>
      <w:r>
        <w:t>policy</w:t>
      </w:r>
      <w:r>
        <w:rPr>
          <w:spacing w:val="-4"/>
        </w:rPr>
        <w:t xml:space="preserve"> </w:t>
      </w:r>
      <w:r>
        <w:t>that</w:t>
      </w:r>
      <w:r>
        <w:rPr>
          <w:spacing w:val="-5"/>
        </w:rPr>
        <w:t xml:space="preserve"> </w:t>
      </w:r>
      <w:r>
        <w:t>is</w:t>
      </w:r>
      <w:r>
        <w:rPr>
          <w:spacing w:val="-5"/>
        </w:rPr>
        <w:t xml:space="preserve"> </w:t>
      </w:r>
      <w:r>
        <w:t>publicly</w:t>
      </w:r>
      <w:r>
        <w:rPr>
          <w:spacing w:val="-4"/>
        </w:rPr>
        <w:t xml:space="preserve"> </w:t>
      </w:r>
      <w:r>
        <w:t>available</w:t>
      </w:r>
      <w:r>
        <w:rPr>
          <w:spacing w:val="-7"/>
        </w:rPr>
        <w:t xml:space="preserve"> </w:t>
      </w:r>
      <w:r>
        <w:t xml:space="preserve">to indicate the agency’s commitment to supporting its LGBTQ clients, employees, and contractors. The Commission supports </w:t>
      </w:r>
      <w:r>
        <w:rPr>
          <w:i/>
        </w:rPr>
        <w:t xml:space="preserve">An Act Relative to Nondiscrimination </w:t>
      </w:r>
      <w:r>
        <w:t>(</w:t>
      </w:r>
      <w:hyperlink r:id="rId758">
        <w:r>
          <w:rPr>
            <w:color w:val="1154CC"/>
            <w:u w:val="single" w:color="1154CC"/>
          </w:rPr>
          <w:t>S.1160</w:t>
        </w:r>
      </w:hyperlink>
      <w:r>
        <w:t>), which would require all st</w:t>
      </w:r>
      <w:r>
        <w:t>ate agencies</w:t>
      </w:r>
      <w:r>
        <w:rPr>
          <w:spacing w:val="-7"/>
        </w:rPr>
        <w:t xml:space="preserve"> </w:t>
      </w:r>
      <w:r>
        <w:t>to</w:t>
      </w:r>
      <w:r>
        <w:rPr>
          <w:spacing w:val="-6"/>
        </w:rPr>
        <w:t xml:space="preserve"> </w:t>
      </w:r>
      <w:r>
        <w:t>develop</w:t>
      </w:r>
      <w:r>
        <w:rPr>
          <w:spacing w:val="-5"/>
        </w:rPr>
        <w:t xml:space="preserve"> </w:t>
      </w:r>
      <w:r>
        <w:t>and</w:t>
      </w:r>
      <w:r>
        <w:rPr>
          <w:spacing w:val="-8"/>
        </w:rPr>
        <w:t xml:space="preserve"> </w:t>
      </w:r>
      <w:r>
        <w:t>implement</w:t>
      </w:r>
      <w:r>
        <w:rPr>
          <w:spacing w:val="-6"/>
        </w:rPr>
        <w:t xml:space="preserve"> </w:t>
      </w:r>
      <w:r>
        <w:t>a</w:t>
      </w:r>
      <w:r>
        <w:rPr>
          <w:spacing w:val="-7"/>
        </w:rPr>
        <w:t xml:space="preserve"> </w:t>
      </w:r>
      <w:r>
        <w:t>plan</w:t>
      </w:r>
      <w:r>
        <w:rPr>
          <w:spacing w:val="-5"/>
        </w:rPr>
        <w:t xml:space="preserve"> </w:t>
      </w:r>
      <w:r>
        <w:t>to</w:t>
      </w:r>
      <w:r>
        <w:rPr>
          <w:spacing w:val="-5"/>
        </w:rPr>
        <w:t xml:space="preserve"> </w:t>
      </w:r>
      <w:r>
        <w:t>create</w:t>
      </w:r>
      <w:r>
        <w:rPr>
          <w:spacing w:val="-6"/>
        </w:rPr>
        <w:t xml:space="preserve"> </w:t>
      </w:r>
      <w:r>
        <w:t>a</w:t>
      </w:r>
      <w:r>
        <w:rPr>
          <w:spacing w:val="-7"/>
        </w:rPr>
        <w:t xml:space="preserve"> </w:t>
      </w:r>
      <w:r>
        <w:t>nondiscrimination</w:t>
      </w:r>
      <w:r>
        <w:rPr>
          <w:spacing w:val="-5"/>
        </w:rPr>
        <w:t xml:space="preserve"> </w:t>
      </w:r>
      <w:r>
        <w:t>policy,</w:t>
      </w:r>
      <w:r>
        <w:rPr>
          <w:spacing w:val="-4"/>
        </w:rPr>
        <w:t xml:space="preserve"> </w:t>
      </w:r>
      <w:r>
        <w:t>as</w:t>
      </w:r>
      <w:r>
        <w:rPr>
          <w:spacing w:val="-4"/>
        </w:rPr>
        <w:t xml:space="preserve"> </w:t>
      </w:r>
      <w:r>
        <w:t>well</w:t>
      </w:r>
      <w:r>
        <w:rPr>
          <w:spacing w:val="-5"/>
        </w:rPr>
        <w:t xml:space="preserve"> </w:t>
      </w:r>
      <w:r>
        <w:t>as</w:t>
      </w:r>
      <w:r>
        <w:rPr>
          <w:spacing w:val="-7"/>
        </w:rPr>
        <w:t xml:space="preserve"> </w:t>
      </w:r>
      <w:r>
        <w:t>a</w:t>
      </w:r>
      <w:r>
        <w:rPr>
          <w:spacing w:val="-5"/>
        </w:rPr>
        <w:t xml:space="preserve"> </w:t>
      </w:r>
      <w:r>
        <w:t>plan</w:t>
      </w:r>
      <w:r>
        <w:rPr>
          <w:spacing w:val="-8"/>
        </w:rPr>
        <w:t xml:space="preserve"> </w:t>
      </w:r>
      <w:r>
        <w:t>detailing recourse</w:t>
      </w:r>
      <w:r>
        <w:rPr>
          <w:spacing w:val="-12"/>
        </w:rPr>
        <w:t xml:space="preserve"> </w:t>
      </w:r>
      <w:r>
        <w:t>in</w:t>
      </w:r>
      <w:r>
        <w:rPr>
          <w:spacing w:val="-12"/>
        </w:rPr>
        <w:t xml:space="preserve"> </w:t>
      </w:r>
      <w:r>
        <w:t>the</w:t>
      </w:r>
      <w:r>
        <w:rPr>
          <w:spacing w:val="-13"/>
        </w:rPr>
        <w:t xml:space="preserve"> </w:t>
      </w:r>
      <w:r>
        <w:t>case</w:t>
      </w:r>
      <w:r>
        <w:rPr>
          <w:spacing w:val="-12"/>
        </w:rPr>
        <w:t xml:space="preserve"> </w:t>
      </w:r>
      <w:r>
        <w:t>of</w:t>
      </w:r>
      <w:r>
        <w:rPr>
          <w:spacing w:val="-12"/>
        </w:rPr>
        <w:t xml:space="preserve"> </w:t>
      </w:r>
      <w:r>
        <w:t>discrimination</w:t>
      </w:r>
      <w:r>
        <w:rPr>
          <w:spacing w:val="-12"/>
        </w:rPr>
        <w:t xml:space="preserve"> </w:t>
      </w:r>
      <w:r>
        <w:t>and</w:t>
      </w:r>
      <w:r>
        <w:rPr>
          <w:spacing w:val="-12"/>
        </w:rPr>
        <w:t xml:space="preserve"> </w:t>
      </w:r>
      <w:r>
        <w:t>timelines</w:t>
      </w:r>
      <w:r>
        <w:rPr>
          <w:spacing w:val="-11"/>
        </w:rPr>
        <w:t xml:space="preserve"> </w:t>
      </w:r>
      <w:r>
        <w:t>for</w:t>
      </w:r>
      <w:r>
        <w:rPr>
          <w:spacing w:val="-13"/>
        </w:rPr>
        <w:t xml:space="preserve"> </w:t>
      </w:r>
      <w:r>
        <w:t>personnel</w:t>
      </w:r>
      <w:r>
        <w:rPr>
          <w:spacing w:val="-11"/>
        </w:rPr>
        <w:t xml:space="preserve"> </w:t>
      </w:r>
      <w:r>
        <w:t>training</w:t>
      </w:r>
      <w:r>
        <w:rPr>
          <w:spacing w:val="-12"/>
        </w:rPr>
        <w:t xml:space="preserve"> </w:t>
      </w:r>
      <w:r>
        <w:t>on</w:t>
      </w:r>
      <w:r>
        <w:rPr>
          <w:spacing w:val="-12"/>
        </w:rPr>
        <w:t xml:space="preserve"> </w:t>
      </w:r>
      <w:r>
        <w:t>nondiscrimination</w:t>
      </w:r>
      <w:r>
        <w:rPr>
          <w:spacing w:val="-12"/>
        </w:rPr>
        <w:t xml:space="preserve"> </w:t>
      </w:r>
      <w:r>
        <w:t>and</w:t>
      </w:r>
      <w:r>
        <w:rPr>
          <w:spacing w:val="-12"/>
        </w:rPr>
        <w:t xml:space="preserve"> </w:t>
      </w:r>
      <w:r>
        <w:t xml:space="preserve">equal </w:t>
      </w:r>
      <w:r>
        <w:rPr>
          <w:spacing w:val="-2"/>
        </w:rPr>
        <w:t>access.</w:t>
      </w:r>
    </w:p>
    <w:p w:rsidR="00200FDA" w:rsidRDefault="00200FDA">
      <w:pPr>
        <w:spacing w:line="276" w:lineRule="auto"/>
        <w:jc w:val="both"/>
        <w:sectPr w:rsidR="00200FDA">
          <w:pgSz w:w="12240" w:h="15840"/>
          <w:pgMar w:top="1260" w:right="1160" w:bottom="1260" w:left="1160" w:header="761" w:footer="1062" w:gutter="0"/>
          <w:cols w:space="720"/>
        </w:sectPr>
      </w:pPr>
    </w:p>
    <w:p w:rsidR="00200FDA" w:rsidRDefault="00200FDA">
      <w:pPr>
        <w:pStyle w:val="BodyText"/>
        <w:spacing w:before="9"/>
        <w:rPr>
          <w:sz w:val="8"/>
        </w:rPr>
      </w:pPr>
    </w:p>
    <w:p w:rsidR="00200FDA" w:rsidRDefault="00F76C4C">
      <w:pPr>
        <w:pStyle w:val="Heading9"/>
        <w:numPr>
          <w:ilvl w:val="0"/>
          <w:numId w:val="23"/>
        </w:numPr>
        <w:tabs>
          <w:tab w:val="left" w:pos="501"/>
        </w:tabs>
        <w:spacing w:before="57"/>
        <w:ind w:left="500" w:hanging="221"/>
      </w:pPr>
      <w:r>
        <w:t>Ensure</w:t>
      </w:r>
      <w:r>
        <w:rPr>
          <w:spacing w:val="-8"/>
        </w:rPr>
        <w:t xml:space="preserve"> </w:t>
      </w:r>
      <w:r>
        <w:t>that</w:t>
      </w:r>
      <w:r>
        <w:rPr>
          <w:spacing w:val="-4"/>
        </w:rPr>
        <w:t xml:space="preserve"> </w:t>
      </w:r>
      <w:r>
        <w:t>all</w:t>
      </w:r>
      <w:r>
        <w:rPr>
          <w:spacing w:val="-4"/>
        </w:rPr>
        <w:t xml:space="preserve"> </w:t>
      </w:r>
      <w:r>
        <w:t>agencies</w:t>
      </w:r>
      <w:r>
        <w:rPr>
          <w:spacing w:val="-6"/>
        </w:rPr>
        <w:t xml:space="preserve"> </w:t>
      </w:r>
      <w:r>
        <w:t>are</w:t>
      </w:r>
      <w:r>
        <w:rPr>
          <w:spacing w:val="-6"/>
        </w:rPr>
        <w:t xml:space="preserve"> </w:t>
      </w:r>
      <w:r>
        <w:t>providing</w:t>
      </w:r>
      <w:r>
        <w:rPr>
          <w:spacing w:val="-5"/>
        </w:rPr>
        <w:t xml:space="preserve"> </w:t>
      </w:r>
      <w:r>
        <w:t>mandated</w:t>
      </w:r>
      <w:r>
        <w:rPr>
          <w:spacing w:val="-5"/>
        </w:rPr>
        <w:t xml:space="preserve"> </w:t>
      </w:r>
      <w:r>
        <w:t>LGBTQ</w:t>
      </w:r>
      <w:r>
        <w:rPr>
          <w:spacing w:val="-7"/>
        </w:rPr>
        <w:t xml:space="preserve"> </w:t>
      </w:r>
      <w:r>
        <w:t>cultural</w:t>
      </w:r>
      <w:r>
        <w:rPr>
          <w:spacing w:val="-3"/>
        </w:rPr>
        <w:t xml:space="preserve"> </w:t>
      </w:r>
      <w:r>
        <w:t>awareness</w:t>
      </w:r>
      <w:r>
        <w:rPr>
          <w:spacing w:val="-6"/>
        </w:rPr>
        <w:t xml:space="preserve"> </w:t>
      </w:r>
      <w:r>
        <w:rPr>
          <w:spacing w:val="-2"/>
        </w:rPr>
        <w:t>trainings.</w:t>
      </w:r>
    </w:p>
    <w:p w:rsidR="00200FDA" w:rsidRDefault="00200FDA">
      <w:pPr>
        <w:pStyle w:val="BodyText"/>
        <w:rPr>
          <w:b/>
        </w:rPr>
      </w:pPr>
    </w:p>
    <w:p w:rsidR="00200FDA" w:rsidRDefault="00F76C4C">
      <w:pPr>
        <w:pStyle w:val="BodyText"/>
        <w:spacing w:before="173" w:line="276" w:lineRule="auto"/>
        <w:ind w:left="280" w:right="272"/>
        <w:jc w:val="both"/>
      </w:pPr>
      <w:r>
        <w:t>The Commission recommends that all agencies engage their employees and contracted providers in mandatory,</w:t>
      </w:r>
      <w:r>
        <w:rPr>
          <w:spacing w:val="-13"/>
        </w:rPr>
        <w:t xml:space="preserve"> </w:t>
      </w:r>
      <w:r>
        <w:t>recurring,</w:t>
      </w:r>
      <w:r>
        <w:rPr>
          <w:spacing w:val="-12"/>
        </w:rPr>
        <w:t xml:space="preserve"> </w:t>
      </w:r>
      <w:r>
        <w:t>and</w:t>
      </w:r>
      <w:r>
        <w:rPr>
          <w:spacing w:val="-13"/>
        </w:rPr>
        <w:t xml:space="preserve"> </w:t>
      </w:r>
      <w:r>
        <w:t>in-person</w:t>
      </w:r>
      <w:r>
        <w:rPr>
          <w:spacing w:val="-12"/>
        </w:rPr>
        <w:t xml:space="preserve"> </w:t>
      </w:r>
      <w:r>
        <w:t>LGBTQ</w:t>
      </w:r>
      <w:r>
        <w:rPr>
          <w:spacing w:val="-13"/>
        </w:rPr>
        <w:t xml:space="preserve"> </w:t>
      </w:r>
      <w:r>
        <w:t>cultural</w:t>
      </w:r>
      <w:r>
        <w:rPr>
          <w:spacing w:val="-12"/>
        </w:rPr>
        <w:t xml:space="preserve"> </w:t>
      </w:r>
      <w:r>
        <w:t>awareness</w:t>
      </w:r>
      <w:r>
        <w:rPr>
          <w:spacing w:val="-13"/>
        </w:rPr>
        <w:t xml:space="preserve"> </w:t>
      </w:r>
      <w:r>
        <w:t>trainings.</w:t>
      </w:r>
      <w:r>
        <w:rPr>
          <w:spacing w:val="-12"/>
        </w:rPr>
        <w:t xml:space="preserve"> </w:t>
      </w:r>
      <w:r>
        <w:t>The</w:t>
      </w:r>
      <w:r>
        <w:rPr>
          <w:spacing w:val="-12"/>
        </w:rPr>
        <w:t xml:space="preserve"> </w:t>
      </w:r>
      <w:r>
        <w:t>Commission</w:t>
      </w:r>
      <w:r>
        <w:rPr>
          <w:spacing w:val="-13"/>
        </w:rPr>
        <w:t xml:space="preserve"> </w:t>
      </w:r>
      <w:r>
        <w:t>appr</w:t>
      </w:r>
      <w:r>
        <w:t>eciates</w:t>
      </w:r>
      <w:r>
        <w:rPr>
          <w:spacing w:val="-12"/>
        </w:rPr>
        <w:t xml:space="preserve"> </w:t>
      </w:r>
      <w:r>
        <w:t>the additions of LGBTQ-inclusive practices in various statewide online training portals for onboarding and annual reviews,</w:t>
      </w:r>
      <w:r>
        <w:rPr>
          <w:spacing w:val="-2"/>
        </w:rPr>
        <w:t xml:space="preserve"> </w:t>
      </w:r>
      <w:r>
        <w:t>and is</w:t>
      </w:r>
      <w:r>
        <w:rPr>
          <w:spacing w:val="-2"/>
        </w:rPr>
        <w:t xml:space="preserve"> </w:t>
      </w:r>
      <w:r>
        <w:t>excited to continue</w:t>
      </w:r>
      <w:r>
        <w:rPr>
          <w:spacing w:val="-1"/>
        </w:rPr>
        <w:t xml:space="preserve"> </w:t>
      </w:r>
      <w:r>
        <w:t>working</w:t>
      </w:r>
      <w:r>
        <w:rPr>
          <w:spacing w:val="-3"/>
        </w:rPr>
        <w:t xml:space="preserve"> </w:t>
      </w:r>
      <w:r>
        <w:t>with state agencies</w:t>
      </w:r>
      <w:r>
        <w:rPr>
          <w:spacing w:val="-2"/>
        </w:rPr>
        <w:t xml:space="preserve"> </w:t>
      </w:r>
      <w:r>
        <w:t>on</w:t>
      </w:r>
      <w:r>
        <w:rPr>
          <w:spacing w:val="-3"/>
        </w:rPr>
        <w:t xml:space="preserve"> </w:t>
      </w:r>
      <w:r>
        <w:t>further</w:t>
      </w:r>
      <w:r>
        <w:rPr>
          <w:spacing w:val="-2"/>
        </w:rPr>
        <w:t xml:space="preserve"> </w:t>
      </w:r>
      <w:r>
        <w:t>development</w:t>
      </w:r>
      <w:r>
        <w:rPr>
          <w:spacing w:val="-4"/>
        </w:rPr>
        <w:t xml:space="preserve"> </w:t>
      </w:r>
      <w:r>
        <w:t>of</w:t>
      </w:r>
      <w:r>
        <w:rPr>
          <w:spacing w:val="-2"/>
        </w:rPr>
        <w:t xml:space="preserve"> </w:t>
      </w:r>
      <w:r>
        <w:t>online curriculum units for state employees.</w:t>
      </w:r>
      <w:r>
        <w:t xml:space="preserve"> However, extensive research has shown the benefits of recurring, scenario-based and in-person professional development opportunities particularly for direct service and client-facing</w:t>
      </w:r>
      <w:r>
        <w:rPr>
          <w:spacing w:val="-5"/>
        </w:rPr>
        <w:t xml:space="preserve"> </w:t>
      </w:r>
      <w:r>
        <w:t>providers.</w:t>
      </w:r>
      <w:r>
        <w:rPr>
          <w:spacing w:val="-5"/>
        </w:rPr>
        <w:t xml:space="preserve"> </w:t>
      </w:r>
      <w:r>
        <w:t>It</w:t>
      </w:r>
      <w:r>
        <w:rPr>
          <w:spacing w:val="-4"/>
        </w:rPr>
        <w:t xml:space="preserve"> </w:t>
      </w:r>
      <w:r>
        <w:t>is</w:t>
      </w:r>
      <w:r>
        <w:rPr>
          <w:spacing w:val="-9"/>
        </w:rPr>
        <w:t xml:space="preserve"> </w:t>
      </w:r>
      <w:r>
        <w:t>essential</w:t>
      </w:r>
      <w:r>
        <w:rPr>
          <w:spacing w:val="-7"/>
        </w:rPr>
        <w:t xml:space="preserve"> </w:t>
      </w:r>
      <w:r>
        <w:t>that</w:t>
      </w:r>
      <w:r>
        <w:rPr>
          <w:spacing w:val="-6"/>
        </w:rPr>
        <w:t xml:space="preserve"> </w:t>
      </w:r>
      <w:r>
        <w:t>state</w:t>
      </w:r>
      <w:r>
        <w:rPr>
          <w:spacing w:val="-6"/>
        </w:rPr>
        <w:t xml:space="preserve"> </w:t>
      </w:r>
      <w:r>
        <w:t>employees</w:t>
      </w:r>
      <w:r>
        <w:rPr>
          <w:spacing w:val="-7"/>
        </w:rPr>
        <w:t xml:space="preserve"> </w:t>
      </w:r>
      <w:r>
        <w:t>and</w:t>
      </w:r>
      <w:r>
        <w:rPr>
          <w:spacing w:val="-5"/>
        </w:rPr>
        <w:t xml:space="preserve"> </w:t>
      </w:r>
      <w:r>
        <w:t>contractors</w:t>
      </w:r>
      <w:r>
        <w:rPr>
          <w:spacing w:val="-4"/>
        </w:rPr>
        <w:t xml:space="preserve"> </w:t>
      </w:r>
      <w:r>
        <w:t>are</w:t>
      </w:r>
      <w:r>
        <w:rPr>
          <w:spacing w:val="-6"/>
        </w:rPr>
        <w:t xml:space="preserve"> </w:t>
      </w:r>
      <w:r>
        <w:t>able</w:t>
      </w:r>
      <w:r>
        <w:rPr>
          <w:spacing w:val="-4"/>
        </w:rPr>
        <w:t xml:space="preserve"> </w:t>
      </w:r>
      <w:r>
        <w:t>to</w:t>
      </w:r>
      <w:r>
        <w:rPr>
          <w:spacing w:val="-6"/>
        </w:rPr>
        <w:t xml:space="preserve"> </w:t>
      </w:r>
      <w:r>
        <w:t>deliver</w:t>
      </w:r>
      <w:r>
        <w:rPr>
          <w:spacing w:val="-7"/>
        </w:rPr>
        <w:t xml:space="preserve"> </w:t>
      </w:r>
      <w:r>
        <w:t>competent, equitable, and affirming services to LGBTQ clients and residents, and learn how to work professionally and</w:t>
      </w:r>
      <w:r>
        <w:rPr>
          <w:spacing w:val="-13"/>
        </w:rPr>
        <w:t xml:space="preserve"> </w:t>
      </w:r>
      <w:r>
        <w:t>respectfully</w:t>
      </w:r>
      <w:r>
        <w:rPr>
          <w:spacing w:val="-12"/>
        </w:rPr>
        <w:t xml:space="preserve"> </w:t>
      </w:r>
      <w:r>
        <w:t>with</w:t>
      </w:r>
      <w:r>
        <w:rPr>
          <w:spacing w:val="-13"/>
        </w:rPr>
        <w:t xml:space="preserve"> </w:t>
      </w:r>
      <w:r>
        <w:t>LGBTQ</w:t>
      </w:r>
      <w:r>
        <w:rPr>
          <w:spacing w:val="-12"/>
        </w:rPr>
        <w:t xml:space="preserve"> </w:t>
      </w:r>
      <w:r>
        <w:t>colleagues.</w:t>
      </w:r>
      <w:r>
        <w:rPr>
          <w:spacing w:val="-13"/>
        </w:rPr>
        <w:t xml:space="preserve"> </w:t>
      </w:r>
      <w:r>
        <w:t>Additionally,</w:t>
      </w:r>
      <w:r>
        <w:rPr>
          <w:spacing w:val="-12"/>
        </w:rPr>
        <w:t xml:space="preserve"> </w:t>
      </w:r>
      <w:r>
        <w:t>as</w:t>
      </w:r>
      <w:r>
        <w:rPr>
          <w:spacing w:val="-13"/>
        </w:rPr>
        <w:t xml:space="preserve"> </w:t>
      </w:r>
      <w:r>
        <w:t>is</w:t>
      </w:r>
      <w:r>
        <w:rPr>
          <w:spacing w:val="-12"/>
        </w:rPr>
        <w:t xml:space="preserve"> </w:t>
      </w:r>
      <w:r>
        <w:t>true</w:t>
      </w:r>
      <w:r>
        <w:rPr>
          <w:spacing w:val="-12"/>
        </w:rPr>
        <w:t xml:space="preserve"> </w:t>
      </w:r>
      <w:r>
        <w:t>with</w:t>
      </w:r>
      <w:r>
        <w:rPr>
          <w:spacing w:val="-13"/>
        </w:rPr>
        <w:t xml:space="preserve"> </w:t>
      </w:r>
      <w:r>
        <w:t>the</w:t>
      </w:r>
      <w:r>
        <w:rPr>
          <w:spacing w:val="-12"/>
        </w:rPr>
        <w:t xml:space="preserve"> </w:t>
      </w:r>
      <w:r>
        <w:t>Commission’s</w:t>
      </w:r>
      <w:r>
        <w:rPr>
          <w:spacing w:val="-13"/>
        </w:rPr>
        <w:t xml:space="preserve"> </w:t>
      </w:r>
      <w:r>
        <w:t>training</w:t>
      </w:r>
      <w:r>
        <w:rPr>
          <w:spacing w:val="-12"/>
        </w:rPr>
        <w:t xml:space="preserve"> </w:t>
      </w:r>
      <w:r>
        <w:t>curriculum, training opportunities</w:t>
      </w:r>
      <w:r>
        <w:t xml:space="preserve"> should center concepts of intersectionality and issues particular to QTBIPOC communities. The Commission believes that by uplifting the most marginalized youth among us, we can uplift all youth.</w:t>
      </w:r>
    </w:p>
    <w:p w:rsidR="00200FDA" w:rsidRDefault="00200FDA">
      <w:pPr>
        <w:pStyle w:val="BodyText"/>
        <w:spacing w:before="9"/>
        <w:rPr>
          <w:sz w:val="32"/>
        </w:rPr>
      </w:pPr>
    </w:p>
    <w:p w:rsidR="00200FDA" w:rsidRDefault="00F76C4C">
      <w:pPr>
        <w:pStyle w:val="BodyText"/>
        <w:spacing w:line="276" w:lineRule="auto"/>
        <w:ind w:left="280" w:right="273"/>
        <w:jc w:val="both"/>
      </w:pPr>
      <w:r>
        <w:t>For the last few years, the Commission has been grateful for the support and collaboration with the Executive Office of Health and Human Services (EOHHS) on the development and implementation of a statewide LGBTQ training curriculum. In November of 2022, t</w:t>
      </w:r>
      <w:r>
        <w:t>he Commission and EOHHS officially launched</w:t>
      </w:r>
      <w:r>
        <w:rPr>
          <w:spacing w:val="-5"/>
        </w:rPr>
        <w:t xml:space="preserve"> </w:t>
      </w:r>
      <w:r>
        <w:t>a</w:t>
      </w:r>
      <w:r>
        <w:rPr>
          <w:spacing w:val="-4"/>
        </w:rPr>
        <w:t xml:space="preserve"> </w:t>
      </w:r>
      <w:r>
        <w:t>statewide</w:t>
      </w:r>
      <w:r>
        <w:rPr>
          <w:spacing w:val="-4"/>
        </w:rPr>
        <w:t xml:space="preserve"> </w:t>
      </w:r>
      <w:r>
        <w:t>agency</w:t>
      </w:r>
      <w:r>
        <w:rPr>
          <w:spacing w:val="-6"/>
        </w:rPr>
        <w:t xml:space="preserve"> </w:t>
      </w:r>
      <w:r>
        <w:t>training</w:t>
      </w:r>
      <w:r>
        <w:rPr>
          <w:spacing w:val="-5"/>
        </w:rPr>
        <w:t xml:space="preserve"> </w:t>
      </w:r>
      <w:r>
        <w:t>request</w:t>
      </w:r>
      <w:r>
        <w:rPr>
          <w:spacing w:val="-6"/>
        </w:rPr>
        <w:t xml:space="preserve"> </w:t>
      </w:r>
      <w:r>
        <w:t>system,</w:t>
      </w:r>
      <w:r>
        <w:rPr>
          <w:spacing w:val="-9"/>
        </w:rPr>
        <w:t xml:space="preserve"> </w:t>
      </w:r>
      <w:r>
        <w:t>and</w:t>
      </w:r>
      <w:r>
        <w:rPr>
          <w:spacing w:val="-5"/>
        </w:rPr>
        <w:t xml:space="preserve"> </w:t>
      </w:r>
      <w:r>
        <w:t>have</w:t>
      </w:r>
      <w:r>
        <w:rPr>
          <w:spacing w:val="-6"/>
        </w:rPr>
        <w:t xml:space="preserve"> </w:t>
      </w:r>
      <w:r>
        <w:t>launched</w:t>
      </w:r>
      <w:r>
        <w:rPr>
          <w:spacing w:val="-5"/>
        </w:rPr>
        <w:t xml:space="preserve"> </w:t>
      </w:r>
      <w:r>
        <w:t>a</w:t>
      </w:r>
      <w:r>
        <w:rPr>
          <w:spacing w:val="-7"/>
        </w:rPr>
        <w:t xml:space="preserve"> </w:t>
      </w:r>
      <w:r>
        <w:t>brand</w:t>
      </w:r>
      <w:r>
        <w:rPr>
          <w:spacing w:val="-7"/>
        </w:rPr>
        <w:t xml:space="preserve"> </w:t>
      </w:r>
      <w:r>
        <w:t>new</w:t>
      </w:r>
      <w:r>
        <w:rPr>
          <w:spacing w:val="-3"/>
        </w:rPr>
        <w:t xml:space="preserve"> </w:t>
      </w:r>
      <w:r>
        <w:t>series</w:t>
      </w:r>
      <w:r>
        <w:rPr>
          <w:spacing w:val="-7"/>
        </w:rPr>
        <w:t xml:space="preserve"> </w:t>
      </w:r>
      <w:r>
        <w:t>of</w:t>
      </w:r>
      <w:r>
        <w:rPr>
          <w:spacing w:val="-7"/>
        </w:rPr>
        <w:t xml:space="preserve"> </w:t>
      </w:r>
      <w:r>
        <w:t>train-the- trainer</w:t>
      </w:r>
      <w:r>
        <w:rPr>
          <w:spacing w:val="-13"/>
        </w:rPr>
        <w:t xml:space="preserve"> </w:t>
      </w:r>
      <w:r>
        <w:t>sessions</w:t>
      </w:r>
      <w:r>
        <w:rPr>
          <w:spacing w:val="-12"/>
        </w:rPr>
        <w:t xml:space="preserve"> </w:t>
      </w:r>
      <w:r>
        <w:t>to</w:t>
      </w:r>
      <w:r>
        <w:rPr>
          <w:spacing w:val="-13"/>
        </w:rPr>
        <w:t xml:space="preserve"> </w:t>
      </w:r>
      <w:r>
        <w:t>build</w:t>
      </w:r>
      <w:r>
        <w:rPr>
          <w:spacing w:val="-12"/>
        </w:rPr>
        <w:t xml:space="preserve"> </w:t>
      </w:r>
      <w:r>
        <w:t>internal</w:t>
      </w:r>
      <w:r>
        <w:rPr>
          <w:spacing w:val="-13"/>
        </w:rPr>
        <w:t xml:space="preserve"> </w:t>
      </w:r>
      <w:r>
        <w:t>training</w:t>
      </w:r>
      <w:r>
        <w:rPr>
          <w:spacing w:val="-12"/>
        </w:rPr>
        <w:t xml:space="preserve"> </w:t>
      </w:r>
      <w:r>
        <w:t>capacity</w:t>
      </w:r>
      <w:r>
        <w:rPr>
          <w:spacing w:val="-13"/>
        </w:rPr>
        <w:t xml:space="preserve"> </w:t>
      </w:r>
      <w:r>
        <w:t>within</w:t>
      </w:r>
      <w:r>
        <w:rPr>
          <w:spacing w:val="-12"/>
        </w:rPr>
        <w:t xml:space="preserve"> </w:t>
      </w:r>
      <w:r>
        <w:t>seven</w:t>
      </w:r>
      <w:r>
        <w:rPr>
          <w:spacing w:val="-12"/>
        </w:rPr>
        <w:t xml:space="preserve"> </w:t>
      </w:r>
      <w:r>
        <w:t>state</w:t>
      </w:r>
      <w:r>
        <w:rPr>
          <w:spacing w:val="-13"/>
        </w:rPr>
        <w:t xml:space="preserve"> </w:t>
      </w:r>
      <w:r>
        <w:t>agencies.</w:t>
      </w:r>
      <w:r>
        <w:rPr>
          <w:spacing w:val="-12"/>
        </w:rPr>
        <w:t xml:space="preserve"> </w:t>
      </w:r>
      <w:r>
        <w:t>The</w:t>
      </w:r>
      <w:r>
        <w:rPr>
          <w:spacing w:val="-13"/>
        </w:rPr>
        <w:t xml:space="preserve"> </w:t>
      </w:r>
      <w:r>
        <w:t>Commission</w:t>
      </w:r>
      <w:r>
        <w:rPr>
          <w:spacing w:val="-12"/>
        </w:rPr>
        <w:t xml:space="preserve"> </w:t>
      </w:r>
      <w:r>
        <w:t>has</w:t>
      </w:r>
      <w:r>
        <w:rPr>
          <w:spacing w:val="-13"/>
        </w:rPr>
        <w:t xml:space="preserve"> </w:t>
      </w:r>
      <w:r>
        <w:t>further begun conversations with the Department of Early Education and Care (EEC) and the Executive Office of Public Safety and Services (EOPSS) for trainings in the summer of FY 2024. In FY 2024, the Commission hopes</w:t>
      </w:r>
      <w:r>
        <w:rPr>
          <w:spacing w:val="-13"/>
        </w:rPr>
        <w:t xml:space="preserve"> </w:t>
      </w:r>
      <w:r>
        <w:t>to</w:t>
      </w:r>
      <w:r>
        <w:rPr>
          <w:spacing w:val="-12"/>
        </w:rPr>
        <w:t xml:space="preserve"> </w:t>
      </w:r>
      <w:r>
        <w:t>build</w:t>
      </w:r>
      <w:r>
        <w:rPr>
          <w:spacing w:val="-13"/>
        </w:rPr>
        <w:t xml:space="preserve"> </w:t>
      </w:r>
      <w:r>
        <w:t>on</w:t>
      </w:r>
      <w:r>
        <w:rPr>
          <w:spacing w:val="-12"/>
        </w:rPr>
        <w:t xml:space="preserve"> </w:t>
      </w:r>
      <w:r>
        <w:t>this</w:t>
      </w:r>
      <w:r>
        <w:rPr>
          <w:spacing w:val="-13"/>
        </w:rPr>
        <w:t xml:space="preserve"> </w:t>
      </w:r>
      <w:r>
        <w:t>system</w:t>
      </w:r>
      <w:r>
        <w:rPr>
          <w:spacing w:val="-12"/>
        </w:rPr>
        <w:t xml:space="preserve"> </w:t>
      </w:r>
      <w:r>
        <w:t>by</w:t>
      </w:r>
      <w:r>
        <w:rPr>
          <w:spacing w:val="-13"/>
        </w:rPr>
        <w:t xml:space="preserve"> </w:t>
      </w:r>
      <w:r>
        <w:t>partnering</w:t>
      </w:r>
      <w:r>
        <w:rPr>
          <w:spacing w:val="-12"/>
        </w:rPr>
        <w:t xml:space="preserve"> </w:t>
      </w:r>
      <w:r>
        <w:t>with</w:t>
      </w:r>
      <w:r>
        <w:rPr>
          <w:spacing w:val="-12"/>
        </w:rPr>
        <w:t xml:space="preserve"> </w:t>
      </w:r>
      <w:r>
        <w:t>health-based</w:t>
      </w:r>
      <w:r>
        <w:rPr>
          <w:spacing w:val="-13"/>
        </w:rPr>
        <w:t xml:space="preserve"> </w:t>
      </w:r>
      <w:r>
        <w:t>community</w:t>
      </w:r>
      <w:r>
        <w:rPr>
          <w:spacing w:val="-12"/>
        </w:rPr>
        <w:t xml:space="preserve"> </w:t>
      </w:r>
      <w:r>
        <w:t>organizations,</w:t>
      </w:r>
      <w:r>
        <w:rPr>
          <w:spacing w:val="-13"/>
        </w:rPr>
        <w:t xml:space="preserve"> </w:t>
      </w:r>
      <w:r>
        <w:t>medical</w:t>
      </w:r>
      <w:r>
        <w:rPr>
          <w:spacing w:val="-12"/>
        </w:rPr>
        <w:t xml:space="preserve"> </w:t>
      </w:r>
      <w:r>
        <w:t>facilities, and state agencies to launch a training initiative to support health care providers improve their services for LGBTQ youth, particularly in areas of mental health and gender-affirming care.</w:t>
      </w:r>
    </w:p>
    <w:p w:rsidR="00200FDA" w:rsidRDefault="00200FDA">
      <w:pPr>
        <w:pStyle w:val="BodyText"/>
        <w:spacing w:before="8"/>
        <w:rPr>
          <w:sz w:val="32"/>
        </w:rPr>
      </w:pPr>
    </w:p>
    <w:p w:rsidR="00200FDA" w:rsidRDefault="00F76C4C">
      <w:pPr>
        <w:pStyle w:val="Heading9"/>
        <w:numPr>
          <w:ilvl w:val="0"/>
          <w:numId w:val="23"/>
        </w:numPr>
        <w:tabs>
          <w:tab w:val="left" w:pos="504"/>
        </w:tabs>
        <w:spacing w:line="276" w:lineRule="auto"/>
        <w:ind w:left="279" w:right="277" w:firstLine="0"/>
      </w:pPr>
      <w:r>
        <w:t>De</w:t>
      </w:r>
      <w:r>
        <w:t>velop</w:t>
      </w:r>
      <w:r>
        <w:rPr>
          <w:spacing w:val="-3"/>
        </w:rPr>
        <w:t xml:space="preserve"> </w:t>
      </w:r>
      <w:r>
        <w:t>a</w:t>
      </w:r>
      <w:r>
        <w:rPr>
          <w:spacing w:val="-3"/>
        </w:rPr>
        <w:t xml:space="preserve"> </w:t>
      </w:r>
      <w:r>
        <w:t>Youth</w:t>
      </w:r>
      <w:r>
        <w:rPr>
          <w:spacing w:val="-3"/>
        </w:rPr>
        <w:t xml:space="preserve"> </w:t>
      </w:r>
      <w:r>
        <w:t>Risk</w:t>
      </w:r>
      <w:r>
        <w:rPr>
          <w:spacing w:val="-2"/>
        </w:rPr>
        <w:t xml:space="preserve"> </w:t>
      </w:r>
      <w:r>
        <w:t>Behavior</w:t>
      </w:r>
      <w:r>
        <w:rPr>
          <w:spacing w:val="-1"/>
        </w:rPr>
        <w:t xml:space="preserve"> </w:t>
      </w:r>
      <w:r>
        <w:t>Survey</w:t>
      </w:r>
      <w:r>
        <w:rPr>
          <w:spacing w:val="-2"/>
        </w:rPr>
        <w:t xml:space="preserve"> </w:t>
      </w:r>
      <w:r>
        <w:t>at</w:t>
      </w:r>
      <w:r>
        <w:rPr>
          <w:spacing w:val="-2"/>
        </w:rPr>
        <w:t xml:space="preserve"> </w:t>
      </w:r>
      <w:r>
        <w:t>the</w:t>
      </w:r>
      <w:r>
        <w:rPr>
          <w:spacing w:val="-2"/>
        </w:rPr>
        <w:t xml:space="preserve"> </w:t>
      </w:r>
      <w:r>
        <w:t>middle-school</w:t>
      </w:r>
      <w:r>
        <w:rPr>
          <w:spacing w:val="-1"/>
        </w:rPr>
        <w:t xml:space="preserve"> </w:t>
      </w:r>
      <w:r>
        <w:t>level,</w:t>
      </w:r>
      <w:r>
        <w:rPr>
          <w:spacing w:val="-2"/>
        </w:rPr>
        <w:t xml:space="preserve"> </w:t>
      </w:r>
      <w:r>
        <w:t>and</w:t>
      </w:r>
      <w:r>
        <w:rPr>
          <w:spacing w:val="-3"/>
        </w:rPr>
        <w:t xml:space="preserve"> </w:t>
      </w:r>
      <w:r>
        <w:t>conduct</w:t>
      </w:r>
      <w:r>
        <w:rPr>
          <w:spacing w:val="-2"/>
        </w:rPr>
        <w:t xml:space="preserve"> </w:t>
      </w:r>
      <w:r>
        <w:t>an</w:t>
      </w:r>
      <w:r>
        <w:rPr>
          <w:spacing w:val="-3"/>
        </w:rPr>
        <w:t xml:space="preserve"> </w:t>
      </w:r>
      <w:r>
        <w:t>assessment</w:t>
      </w:r>
      <w:r>
        <w:rPr>
          <w:spacing w:val="-2"/>
        </w:rPr>
        <w:t xml:space="preserve"> </w:t>
      </w:r>
      <w:r>
        <w:t>on</w:t>
      </w:r>
      <w:r>
        <w:rPr>
          <w:spacing w:val="-3"/>
        </w:rPr>
        <w:t xml:space="preserve"> </w:t>
      </w:r>
      <w:r>
        <w:t>the needs of parents and elementary school educators.</w:t>
      </w:r>
    </w:p>
    <w:p w:rsidR="00200FDA" w:rsidRDefault="00200FDA">
      <w:pPr>
        <w:pStyle w:val="BodyText"/>
        <w:spacing w:before="9"/>
        <w:rPr>
          <w:b/>
          <w:sz w:val="32"/>
        </w:rPr>
      </w:pPr>
    </w:p>
    <w:p w:rsidR="00200FDA" w:rsidRDefault="00F76C4C">
      <w:pPr>
        <w:pStyle w:val="BodyText"/>
        <w:spacing w:before="1" w:line="276" w:lineRule="auto"/>
        <w:ind w:left="279" w:right="273"/>
        <w:jc w:val="both"/>
      </w:pPr>
      <w:r>
        <w:t>The Commission</w:t>
      </w:r>
      <w:r>
        <w:rPr>
          <w:spacing w:val="-3"/>
        </w:rPr>
        <w:t xml:space="preserve"> </w:t>
      </w:r>
      <w:r>
        <w:t>recommends that</w:t>
      </w:r>
      <w:r>
        <w:rPr>
          <w:spacing w:val="-2"/>
        </w:rPr>
        <w:t xml:space="preserve"> </w:t>
      </w:r>
      <w:r>
        <w:t>the</w:t>
      </w:r>
      <w:r>
        <w:rPr>
          <w:spacing w:val="-2"/>
        </w:rPr>
        <w:t xml:space="preserve"> </w:t>
      </w:r>
      <w:r>
        <w:t>state</w:t>
      </w:r>
      <w:r>
        <w:rPr>
          <w:spacing w:val="-2"/>
        </w:rPr>
        <w:t xml:space="preserve"> </w:t>
      </w:r>
      <w:r>
        <w:t>develop</w:t>
      </w:r>
      <w:r>
        <w:rPr>
          <w:spacing w:val="-3"/>
        </w:rPr>
        <w:t xml:space="preserve"> </w:t>
      </w:r>
      <w:r>
        <w:t>and</w:t>
      </w:r>
      <w:r>
        <w:rPr>
          <w:spacing w:val="-1"/>
        </w:rPr>
        <w:t xml:space="preserve"> </w:t>
      </w:r>
      <w:r>
        <w:t>conduct</w:t>
      </w:r>
      <w:r>
        <w:rPr>
          <w:spacing w:val="-2"/>
        </w:rPr>
        <w:t xml:space="preserve"> </w:t>
      </w:r>
      <w:r>
        <w:t>a</w:t>
      </w:r>
      <w:r>
        <w:rPr>
          <w:spacing w:val="-3"/>
        </w:rPr>
        <w:t xml:space="preserve"> </w:t>
      </w:r>
      <w:r>
        <w:t>biannual</w:t>
      </w:r>
      <w:r>
        <w:rPr>
          <w:spacing w:val="-1"/>
        </w:rPr>
        <w:t xml:space="preserve"> </w:t>
      </w:r>
      <w:r>
        <w:t>Youth</w:t>
      </w:r>
      <w:r>
        <w:rPr>
          <w:spacing w:val="-1"/>
        </w:rPr>
        <w:t xml:space="preserve"> </w:t>
      </w:r>
      <w:r>
        <w:t>Risk</w:t>
      </w:r>
      <w:r>
        <w:rPr>
          <w:spacing w:val="-2"/>
        </w:rPr>
        <w:t xml:space="preserve"> </w:t>
      </w:r>
      <w:r>
        <w:t>Behavior</w:t>
      </w:r>
      <w:r>
        <w:rPr>
          <w:spacing w:val="-1"/>
        </w:rPr>
        <w:t xml:space="preserve"> </w:t>
      </w:r>
      <w:r>
        <w:t>Survey at the middle-school level to better capture experiences of LGBTQ youth in public middle schools. As discussed throughout this annual report, the Massachusetts Youth Risk Behavior Survey (MYRBS) is one of</w:t>
      </w:r>
      <w:r>
        <w:rPr>
          <w:spacing w:val="-1"/>
        </w:rPr>
        <w:t xml:space="preserve"> </w:t>
      </w:r>
      <w:r>
        <w:t>the</w:t>
      </w:r>
      <w:r>
        <w:rPr>
          <w:spacing w:val="-1"/>
        </w:rPr>
        <w:t xml:space="preserve"> </w:t>
      </w:r>
      <w:r>
        <w:t>largest</w:t>
      </w:r>
      <w:r>
        <w:rPr>
          <w:spacing w:val="-1"/>
        </w:rPr>
        <w:t xml:space="preserve"> </w:t>
      </w:r>
      <w:r>
        <w:t>statewide</w:t>
      </w:r>
      <w:r>
        <w:rPr>
          <w:spacing w:val="-1"/>
        </w:rPr>
        <w:t xml:space="preserve"> </w:t>
      </w:r>
      <w:r>
        <w:t>data</w:t>
      </w:r>
      <w:r>
        <w:rPr>
          <w:spacing w:val="-1"/>
        </w:rPr>
        <w:t xml:space="preserve"> </w:t>
      </w:r>
      <w:r>
        <w:t>sources</w:t>
      </w:r>
      <w:r>
        <w:rPr>
          <w:spacing w:val="-1"/>
        </w:rPr>
        <w:t xml:space="preserve"> </w:t>
      </w:r>
      <w:r>
        <w:t>on</w:t>
      </w:r>
      <w:r>
        <w:rPr>
          <w:spacing w:val="-2"/>
        </w:rPr>
        <w:t xml:space="preserve"> </w:t>
      </w:r>
      <w:r>
        <w:t>LGBTQ</w:t>
      </w:r>
      <w:r>
        <w:rPr>
          <w:spacing w:val="-3"/>
        </w:rPr>
        <w:t xml:space="preserve"> </w:t>
      </w:r>
      <w:r>
        <w:t>youth</w:t>
      </w:r>
      <w:r>
        <w:rPr>
          <w:spacing w:val="-2"/>
        </w:rPr>
        <w:t xml:space="preserve"> </w:t>
      </w:r>
      <w:r>
        <w:t>experiences</w:t>
      </w:r>
      <w:r>
        <w:rPr>
          <w:spacing w:val="-1"/>
        </w:rPr>
        <w:t xml:space="preserve"> </w:t>
      </w:r>
      <w:r>
        <w:t>at</w:t>
      </w:r>
      <w:r>
        <w:rPr>
          <w:spacing w:val="-1"/>
        </w:rPr>
        <w:t xml:space="preserve"> </w:t>
      </w:r>
      <w:r>
        <w:t>the</w:t>
      </w:r>
      <w:r>
        <w:rPr>
          <w:spacing w:val="-1"/>
        </w:rPr>
        <w:t xml:space="preserve"> </w:t>
      </w:r>
      <w:r>
        <w:t>high</w:t>
      </w:r>
      <w:r>
        <w:rPr>
          <w:spacing w:val="-2"/>
        </w:rPr>
        <w:t xml:space="preserve"> </w:t>
      </w:r>
      <w:r>
        <w:t>school</w:t>
      </w:r>
      <w:r>
        <w:rPr>
          <w:spacing w:val="-1"/>
        </w:rPr>
        <w:t xml:space="preserve"> </w:t>
      </w:r>
      <w:r>
        <w:t>level.</w:t>
      </w:r>
      <w:r>
        <w:rPr>
          <w:spacing w:val="-1"/>
        </w:rPr>
        <w:t xml:space="preserve"> </w:t>
      </w:r>
      <w:r>
        <w:t>The</w:t>
      </w:r>
      <w:r>
        <w:rPr>
          <w:spacing w:val="-1"/>
        </w:rPr>
        <w:t xml:space="preserve"> </w:t>
      </w:r>
      <w:r>
        <w:t>MYRBS</w:t>
      </w:r>
      <w:r>
        <w:rPr>
          <w:spacing w:val="-2"/>
        </w:rPr>
        <w:t xml:space="preserve"> </w:t>
      </w:r>
      <w:r>
        <w:t>is conducted by the Department of Elementary and Secondary Education (DESE) in collaboration with the Department of Public Health (DPH) and the Centers for Disease Control and Prevention (CDC) on odd nu</w:t>
      </w:r>
      <w:r>
        <w:t>mbered years in randomly-selected high schools. The survey provides a wide array of questions on health and sexual behaviors which help determine strategies and plans to improving the health and education</w:t>
      </w:r>
      <w:r>
        <w:rPr>
          <w:spacing w:val="-4"/>
        </w:rPr>
        <w:t xml:space="preserve"> </w:t>
      </w:r>
      <w:r>
        <w:t>of</w:t>
      </w:r>
      <w:r>
        <w:rPr>
          <w:spacing w:val="-4"/>
        </w:rPr>
        <w:t xml:space="preserve"> </w:t>
      </w:r>
      <w:r>
        <w:t>youth</w:t>
      </w:r>
      <w:r>
        <w:rPr>
          <w:spacing w:val="-4"/>
        </w:rPr>
        <w:t xml:space="preserve"> </w:t>
      </w:r>
      <w:r>
        <w:t>across</w:t>
      </w:r>
      <w:r>
        <w:rPr>
          <w:spacing w:val="-1"/>
        </w:rPr>
        <w:t xml:space="preserve"> </w:t>
      </w:r>
      <w:r>
        <w:t>the state.</w:t>
      </w:r>
      <w:r>
        <w:rPr>
          <w:spacing w:val="-1"/>
        </w:rPr>
        <w:t xml:space="preserve"> </w:t>
      </w:r>
      <w:r>
        <w:t>This</w:t>
      </w:r>
      <w:r>
        <w:rPr>
          <w:spacing w:val="-1"/>
        </w:rPr>
        <w:t xml:space="preserve"> </w:t>
      </w:r>
      <w:r>
        <w:t>FY</w:t>
      </w:r>
      <w:r>
        <w:rPr>
          <w:spacing w:val="-3"/>
        </w:rPr>
        <w:t xml:space="preserve"> </w:t>
      </w:r>
      <w:r>
        <w:t>2024 annual</w:t>
      </w:r>
      <w:r>
        <w:rPr>
          <w:spacing w:val="-1"/>
        </w:rPr>
        <w:t xml:space="preserve"> </w:t>
      </w:r>
      <w:r>
        <w:t>repo</w:t>
      </w:r>
      <w:r>
        <w:t>rt</w:t>
      </w:r>
      <w:r>
        <w:rPr>
          <w:spacing w:val="-3"/>
        </w:rPr>
        <w:t xml:space="preserve"> </w:t>
      </w:r>
      <w:r>
        <w:t>provides</w:t>
      </w:r>
      <w:r>
        <w:rPr>
          <w:spacing w:val="-1"/>
        </w:rPr>
        <w:t xml:space="preserve"> </w:t>
      </w:r>
      <w:r>
        <w:t>an</w:t>
      </w:r>
      <w:r>
        <w:rPr>
          <w:spacing w:val="-2"/>
        </w:rPr>
        <w:t xml:space="preserve"> </w:t>
      </w:r>
      <w:r>
        <w:t>analysis</w:t>
      </w:r>
      <w:r>
        <w:rPr>
          <w:spacing w:val="-1"/>
        </w:rPr>
        <w:t xml:space="preserve"> </w:t>
      </w:r>
      <w:r>
        <w:t>on</w:t>
      </w:r>
      <w:r>
        <w:rPr>
          <w:spacing w:val="-2"/>
        </w:rPr>
        <w:t xml:space="preserve"> </w:t>
      </w:r>
      <w:r>
        <w:t>the 2021</w:t>
      </w:r>
      <w:r>
        <w:rPr>
          <w:spacing w:val="-2"/>
        </w:rPr>
        <w:t xml:space="preserve"> </w:t>
      </w:r>
      <w:r>
        <w:t>MYRBS, and captures an estimated number of total LGBTQ youth across the state.</w:t>
      </w:r>
    </w:p>
    <w:p w:rsidR="00200FDA" w:rsidRDefault="00200FDA">
      <w:pPr>
        <w:spacing w:line="276" w:lineRule="auto"/>
        <w:jc w:val="both"/>
        <w:sectPr w:rsidR="00200FDA">
          <w:pgSz w:w="12240" w:h="15840"/>
          <w:pgMar w:top="1260" w:right="1160" w:bottom="1260" w:left="1160" w:header="761" w:footer="1062" w:gutter="0"/>
          <w:cols w:space="720"/>
        </w:sectPr>
      </w:pPr>
    </w:p>
    <w:p w:rsidR="00200FDA" w:rsidRDefault="00200FDA">
      <w:pPr>
        <w:pStyle w:val="BodyText"/>
        <w:spacing w:before="9"/>
        <w:rPr>
          <w:sz w:val="8"/>
        </w:rPr>
      </w:pPr>
    </w:p>
    <w:p w:rsidR="00200FDA" w:rsidRDefault="00F76C4C">
      <w:pPr>
        <w:pStyle w:val="BodyText"/>
        <w:spacing w:before="57" w:line="276" w:lineRule="auto"/>
        <w:ind w:left="279" w:right="273"/>
        <w:jc w:val="both"/>
      </w:pPr>
      <w:bookmarkStart w:id="1052" w:name="_bookmark845"/>
      <w:bookmarkEnd w:id="1052"/>
      <w:r>
        <w:t>However, for</w:t>
      </w:r>
      <w:r>
        <w:rPr>
          <w:spacing w:val="-2"/>
        </w:rPr>
        <w:t xml:space="preserve"> </w:t>
      </w:r>
      <w:r>
        <w:t>several</w:t>
      </w:r>
      <w:r>
        <w:rPr>
          <w:spacing w:val="-2"/>
        </w:rPr>
        <w:t xml:space="preserve"> </w:t>
      </w:r>
      <w:r>
        <w:t>years,</w:t>
      </w:r>
      <w:r>
        <w:rPr>
          <w:spacing w:val="-2"/>
        </w:rPr>
        <w:t xml:space="preserve"> </w:t>
      </w:r>
      <w:r>
        <w:t>the</w:t>
      </w:r>
      <w:r>
        <w:rPr>
          <w:spacing w:val="-1"/>
        </w:rPr>
        <w:t xml:space="preserve"> </w:t>
      </w:r>
      <w:r>
        <w:t>Commission has</w:t>
      </w:r>
      <w:r>
        <w:rPr>
          <w:spacing w:val="-2"/>
        </w:rPr>
        <w:t xml:space="preserve"> </w:t>
      </w:r>
      <w:r>
        <w:t>discussed the</w:t>
      </w:r>
      <w:r>
        <w:rPr>
          <w:spacing w:val="-1"/>
        </w:rPr>
        <w:t xml:space="preserve"> </w:t>
      </w:r>
      <w:r>
        <w:t>benefits</w:t>
      </w:r>
      <w:r>
        <w:rPr>
          <w:spacing w:val="-2"/>
        </w:rPr>
        <w:t xml:space="preserve"> </w:t>
      </w:r>
      <w:r>
        <w:t>of</w:t>
      </w:r>
      <w:r>
        <w:rPr>
          <w:spacing w:val="-2"/>
        </w:rPr>
        <w:t xml:space="preserve"> </w:t>
      </w:r>
      <w:r>
        <w:t>developing a statewide</w:t>
      </w:r>
      <w:r>
        <w:rPr>
          <w:spacing w:val="-1"/>
        </w:rPr>
        <w:t xml:space="preserve"> </w:t>
      </w:r>
      <w:r>
        <w:t>middle school survey to better</w:t>
      </w:r>
      <w:r>
        <w:t xml:space="preserve"> understand and address risk behaviors occurring during early adolescence. According to the 2021 Trevor Project survey, bullying was reported much more often by LGBTQ middle </w:t>
      </w:r>
      <w:bookmarkStart w:id="1053" w:name="_bookmark846"/>
      <w:bookmarkEnd w:id="1053"/>
      <w:r>
        <w:t>school students at 65%, compared to 49% high school students. Among these middle s</w:t>
      </w:r>
      <w:r>
        <w:t>chool youth, 29% attempted</w:t>
      </w:r>
      <w:r>
        <w:rPr>
          <w:spacing w:val="-3"/>
        </w:rPr>
        <w:t xml:space="preserve"> </w:t>
      </w:r>
      <w:r>
        <w:t>suicide in</w:t>
      </w:r>
      <w:r>
        <w:rPr>
          <w:spacing w:val="-3"/>
        </w:rPr>
        <w:t xml:space="preserve"> </w:t>
      </w:r>
      <w:r>
        <w:t>the past year due</w:t>
      </w:r>
      <w:r>
        <w:rPr>
          <w:spacing w:val="-1"/>
        </w:rPr>
        <w:t xml:space="preserve"> </w:t>
      </w:r>
      <w:r>
        <w:t>to experiences with in-person</w:t>
      </w:r>
      <w:r>
        <w:rPr>
          <w:spacing w:val="-3"/>
        </w:rPr>
        <w:t xml:space="preserve"> </w:t>
      </w:r>
      <w:r>
        <w:t>or</w:t>
      </w:r>
      <w:r>
        <w:rPr>
          <w:spacing w:val="-2"/>
        </w:rPr>
        <w:t xml:space="preserve"> </w:t>
      </w:r>
      <w:r>
        <w:t>cyberbullying, compared</w:t>
      </w:r>
      <w:r>
        <w:rPr>
          <w:spacing w:val="-3"/>
        </w:rPr>
        <w:t xml:space="preserve"> </w:t>
      </w:r>
      <w:r>
        <w:t>to 25% of high school students.</w:t>
      </w:r>
      <w:hyperlink w:anchor="_bookmark846" w:history="1">
        <w:r>
          <w:rPr>
            <w:vertAlign w:val="superscript"/>
          </w:rPr>
          <w:t>2</w:t>
        </w:r>
      </w:hyperlink>
    </w:p>
    <w:p w:rsidR="00200FDA" w:rsidRDefault="00200FDA">
      <w:pPr>
        <w:pStyle w:val="BodyText"/>
        <w:spacing w:before="10"/>
        <w:rPr>
          <w:sz w:val="32"/>
        </w:rPr>
      </w:pPr>
    </w:p>
    <w:p w:rsidR="00200FDA" w:rsidRDefault="00F76C4C">
      <w:pPr>
        <w:pStyle w:val="Heading9"/>
        <w:numPr>
          <w:ilvl w:val="0"/>
          <w:numId w:val="23"/>
        </w:numPr>
        <w:tabs>
          <w:tab w:val="left" w:pos="501"/>
        </w:tabs>
        <w:ind w:left="500" w:hanging="221"/>
      </w:pPr>
      <w:r>
        <w:t>Codify</w:t>
      </w:r>
      <w:r>
        <w:rPr>
          <w:spacing w:val="-7"/>
        </w:rPr>
        <w:t xml:space="preserve"> </w:t>
      </w:r>
      <w:r>
        <w:t>provisions</w:t>
      </w:r>
      <w:r>
        <w:rPr>
          <w:spacing w:val="-4"/>
        </w:rPr>
        <w:t xml:space="preserve"> </w:t>
      </w:r>
      <w:r>
        <w:t>to</w:t>
      </w:r>
      <w:r>
        <w:rPr>
          <w:spacing w:val="-5"/>
        </w:rPr>
        <w:t xml:space="preserve"> </w:t>
      </w:r>
      <w:r>
        <w:t>allow</w:t>
      </w:r>
      <w:r>
        <w:rPr>
          <w:spacing w:val="-3"/>
        </w:rPr>
        <w:t xml:space="preserve"> </w:t>
      </w:r>
      <w:r>
        <w:t>residents</w:t>
      </w:r>
      <w:r>
        <w:rPr>
          <w:spacing w:val="-6"/>
        </w:rPr>
        <w:t xml:space="preserve"> </w:t>
      </w:r>
      <w:r>
        <w:t>to</w:t>
      </w:r>
      <w:r>
        <w:rPr>
          <w:spacing w:val="-5"/>
        </w:rPr>
        <w:t xml:space="preserve"> </w:t>
      </w:r>
      <w:r>
        <w:t>change</w:t>
      </w:r>
      <w:r>
        <w:rPr>
          <w:spacing w:val="-6"/>
        </w:rPr>
        <w:t xml:space="preserve"> </w:t>
      </w:r>
      <w:r>
        <w:t>gender</w:t>
      </w:r>
      <w:r>
        <w:rPr>
          <w:spacing w:val="-3"/>
        </w:rPr>
        <w:t xml:space="preserve"> </w:t>
      </w:r>
      <w:r>
        <w:t>markers</w:t>
      </w:r>
      <w:r>
        <w:rPr>
          <w:spacing w:val="-4"/>
        </w:rPr>
        <w:t xml:space="preserve"> </w:t>
      </w:r>
      <w:r>
        <w:t>on</w:t>
      </w:r>
      <w:r>
        <w:rPr>
          <w:spacing w:val="-5"/>
        </w:rPr>
        <w:t xml:space="preserve"> </w:t>
      </w:r>
      <w:r>
        <w:t>birth</w:t>
      </w:r>
      <w:r>
        <w:rPr>
          <w:spacing w:val="-4"/>
        </w:rPr>
        <w:t xml:space="preserve"> </w:t>
      </w:r>
      <w:r>
        <w:rPr>
          <w:spacing w:val="-2"/>
        </w:rPr>
        <w:t>certificates.</w:t>
      </w:r>
    </w:p>
    <w:p w:rsidR="00200FDA" w:rsidRDefault="00200FDA">
      <w:pPr>
        <w:pStyle w:val="BodyText"/>
        <w:rPr>
          <w:b/>
        </w:rPr>
      </w:pPr>
    </w:p>
    <w:p w:rsidR="00200FDA" w:rsidRDefault="00F76C4C">
      <w:pPr>
        <w:pStyle w:val="BodyText"/>
        <w:spacing w:before="171" w:line="276" w:lineRule="auto"/>
        <w:ind w:left="280" w:right="273"/>
        <w:jc w:val="both"/>
      </w:pPr>
      <w:r>
        <w:t>As noted throughout this annual report, youth without access to appropriate identification documents experience higher rates of mental distress, and barriers to services or affirming care. The Commission supports and encourages the passage o</w:t>
      </w:r>
      <w:r>
        <w:t xml:space="preserve">f </w:t>
      </w:r>
      <w:r>
        <w:rPr>
          <w:i/>
        </w:rPr>
        <w:t>An Act Relative to Gender Identity on Massachusetts Identification</w:t>
      </w:r>
      <w:r>
        <w:rPr>
          <w:i/>
          <w:spacing w:val="-13"/>
        </w:rPr>
        <w:t xml:space="preserve"> </w:t>
      </w:r>
      <w:r>
        <w:t>(</w:t>
      </w:r>
      <w:hyperlink r:id="rId759">
        <w:r>
          <w:rPr>
            <w:color w:val="1154CC"/>
            <w:u w:val="single" w:color="1154CC"/>
          </w:rPr>
          <w:t>S.2207</w:t>
        </w:r>
      </w:hyperlink>
      <w:r>
        <w:t>/</w:t>
      </w:r>
      <w:hyperlink r:id="rId760">
        <w:r>
          <w:rPr>
            <w:color w:val="1154CC"/>
            <w:u w:val="single" w:color="1154CC"/>
          </w:rPr>
          <w:t>H.3017</w:t>
        </w:r>
      </w:hyperlink>
      <w:r>
        <w:t>),</w:t>
      </w:r>
      <w:r>
        <w:rPr>
          <w:spacing w:val="-12"/>
        </w:rPr>
        <w:t xml:space="preserve"> </w:t>
      </w:r>
      <w:r>
        <w:t>also</w:t>
      </w:r>
      <w:r>
        <w:rPr>
          <w:spacing w:val="-13"/>
        </w:rPr>
        <w:t xml:space="preserve"> </w:t>
      </w:r>
      <w:r>
        <w:t>known</w:t>
      </w:r>
      <w:r>
        <w:rPr>
          <w:spacing w:val="-12"/>
        </w:rPr>
        <w:t xml:space="preserve"> </w:t>
      </w:r>
      <w:r>
        <w:t>as</w:t>
      </w:r>
      <w:r>
        <w:rPr>
          <w:spacing w:val="-13"/>
        </w:rPr>
        <w:t xml:space="preserve"> </w:t>
      </w:r>
      <w:r>
        <w:t>the</w:t>
      </w:r>
      <w:r>
        <w:rPr>
          <w:spacing w:val="-10"/>
        </w:rPr>
        <w:t xml:space="preserve"> </w:t>
      </w:r>
      <w:r>
        <w:t>Gender</w:t>
      </w:r>
      <w:r>
        <w:rPr>
          <w:spacing w:val="-11"/>
        </w:rPr>
        <w:t xml:space="preserve"> </w:t>
      </w:r>
      <w:r>
        <w:t>“X”</w:t>
      </w:r>
      <w:r>
        <w:rPr>
          <w:spacing w:val="-10"/>
        </w:rPr>
        <w:t xml:space="preserve"> </w:t>
      </w:r>
      <w:r>
        <w:t>bill,</w:t>
      </w:r>
      <w:r>
        <w:rPr>
          <w:spacing w:val="-11"/>
        </w:rPr>
        <w:t xml:space="preserve"> </w:t>
      </w:r>
      <w:r>
        <w:t>which</w:t>
      </w:r>
      <w:r>
        <w:rPr>
          <w:spacing w:val="-13"/>
        </w:rPr>
        <w:t xml:space="preserve"> </w:t>
      </w:r>
      <w:r>
        <w:t>would</w:t>
      </w:r>
      <w:r>
        <w:rPr>
          <w:spacing w:val="-11"/>
        </w:rPr>
        <w:t xml:space="preserve"> </w:t>
      </w:r>
      <w:r>
        <w:t>allow</w:t>
      </w:r>
      <w:r>
        <w:rPr>
          <w:spacing w:val="-11"/>
        </w:rPr>
        <w:t xml:space="preserve"> </w:t>
      </w:r>
      <w:r>
        <w:t>individuals</w:t>
      </w:r>
      <w:r>
        <w:rPr>
          <w:spacing w:val="-13"/>
        </w:rPr>
        <w:t xml:space="preserve"> </w:t>
      </w:r>
      <w:r>
        <w:t>to</w:t>
      </w:r>
      <w:r>
        <w:rPr>
          <w:spacing w:val="-9"/>
        </w:rPr>
        <w:t xml:space="preserve"> </w:t>
      </w:r>
      <w:r>
        <w:t>change their gender designation on a birth certificate to a nonbinary “X” marker without requiring medical documentation,</w:t>
      </w:r>
      <w:r>
        <w:rPr>
          <w:spacing w:val="-2"/>
        </w:rPr>
        <w:t xml:space="preserve"> </w:t>
      </w:r>
      <w:r>
        <w:t>court</w:t>
      </w:r>
      <w:r>
        <w:rPr>
          <w:spacing w:val="-1"/>
        </w:rPr>
        <w:t xml:space="preserve"> </w:t>
      </w:r>
      <w:r>
        <w:t>order,</w:t>
      </w:r>
      <w:r>
        <w:rPr>
          <w:spacing w:val="-2"/>
        </w:rPr>
        <w:t xml:space="preserve"> </w:t>
      </w:r>
      <w:r>
        <w:t>or proof</w:t>
      </w:r>
      <w:r>
        <w:rPr>
          <w:spacing w:val="-2"/>
        </w:rPr>
        <w:t xml:space="preserve"> </w:t>
      </w:r>
      <w:r>
        <w:t>of</w:t>
      </w:r>
      <w:r>
        <w:rPr>
          <w:spacing w:val="-2"/>
        </w:rPr>
        <w:t xml:space="preserve"> </w:t>
      </w:r>
      <w:r>
        <w:t>name</w:t>
      </w:r>
      <w:r>
        <w:rPr>
          <w:spacing w:val="-1"/>
        </w:rPr>
        <w:t xml:space="preserve"> </w:t>
      </w:r>
      <w:r>
        <w:t>change.</w:t>
      </w:r>
      <w:r>
        <w:rPr>
          <w:spacing w:val="-2"/>
        </w:rPr>
        <w:t xml:space="preserve"> </w:t>
      </w:r>
      <w:r>
        <w:t>Furthermore,</w:t>
      </w:r>
      <w:r>
        <w:rPr>
          <w:spacing w:val="-2"/>
        </w:rPr>
        <w:t xml:space="preserve"> </w:t>
      </w:r>
      <w:r>
        <w:t>the</w:t>
      </w:r>
      <w:r>
        <w:rPr>
          <w:spacing w:val="-1"/>
        </w:rPr>
        <w:t xml:space="preserve"> </w:t>
      </w:r>
      <w:r>
        <w:t>bill</w:t>
      </w:r>
      <w:r>
        <w:rPr>
          <w:spacing w:val="-2"/>
        </w:rPr>
        <w:t xml:space="preserve"> </w:t>
      </w:r>
      <w:r>
        <w:t>would</w:t>
      </w:r>
      <w:r>
        <w:rPr>
          <w:spacing w:val="-3"/>
        </w:rPr>
        <w:t xml:space="preserve"> </w:t>
      </w:r>
      <w:r>
        <w:t>require</w:t>
      </w:r>
      <w:r>
        <w:rPr>
          <w:spacing w:val="-2"/>
        </w:rPr>
        <w:t xml:space="preserve"> </w:t>
      </w:r>
      <w:r>
        <w:t>the Secretary of</w:t>
      </w:r>
      <w:r>
        <w:rPr>
          <w:spacing w:val="-2"/>
        </w:rPr>
        <w:t xml:space="preserve"> </w:t>
      </w:r>
      <w:r>
        <w:t>Administration</w:t>
      </w:r>
      <w:r>
        <w:rPr>
          <w:spacing w:val="-3"/>
        </w:rPr>
        <w:t xml:space="preserve"> </w:t>
      </w:r>
      <w:r>
        <w:t>and</w:t>
      </w:r>
      <w:r>
        <w:rPr>
          <w:spacing w:val="-3"/>
        </w:rPr>
        <w:t xml:space="preserve"> </w:t>
      </w:r>
      <w:r>
        <w:t>Finance</w:t>
      </w:r>
      <w:r>
        <w:rPr>
          <w:spacing w:val="-1"/>
        </w:rPr>
        <w:t xml:space="preserve"> </w:t>
      </w:r>
      <w:r>
        <w:t>(A&amp;F)</w:t>
      </w:r>
      <w:r>
        <w:rPr>
          <w:spacing w:val="-2"/>
        </w:rPr>
        <w:t xml:space="preserve"> </w:t>
      </w:r>
      <w:r>
        <w:t>to</w:t>
      </w:r>
      <w:r>
        <w:rPr>
          <w:spacing w:val="-1"/>
        </w:rPr>
        <w:t xml:space="preserve"> </w:t>
      </w:r>
      <w:r>
        <w:t>develop</w:t>
      </w:r>
      <w:r>
        <w:rPr>
          <w:spacing w:val="-3"/>
        </w:rPr>
        <w:t xml:space="preserve"> </w:t>
      </w:r>
      <w:r>
        <w:t>a</w:t>
      </w:r>
      <w:r>
        <w:rPr>
          <w:spacing w:val="-2"/>
        </w:rPr>
        <w:t xml:space="preserve"> </w:t>
      </w:r>
      <w:r>
        <w:t>plan</w:t>
      </w:r>
      <w:r>
        <w:rPr>
          <w:spacing w:val="-3"/>
        </w:rPr>
        <w:t xml:space="preserve"> </w:t>
      </w:r>
      <w:r>
        <w:t>to</w:t>
      </w:r>
      <w:r>
        <w:rPr>
          <w:spacing w:val="-1"/>
        </w:rPr>
        <w:t xml:space="preserve"> </w:t>
      </w:r>
      <w:r>
        <w:t>ensure</w:t>
      </w:r>
      <w:r>
        <w:rPr>
          <w:spacing w:val="-1"/>
        </w:rPr>
        <w:t xml:space="preserve"> </w:t>
      </w:r>
      <w:r>
        <w:t>that</w:t>
      </w:r>
      <w:r>
        <w:rPr>
          <w:spacing w:val="-1"/>
        </w:rPr>
        <w:t xml:space="preserve"> </w:t>
      </w:r>
      <w:r>
        <w:t>any</w:t>
      </w:r>
      <w:r>
        <w:rPr>
          <w:spacing w:val="-1"/>
        </w:rPr>
        <w:t xml:space="preserve"> </w:t>
      </w:r>
      <w:r>
        <w:t>state</w:t>
      </w:r>
      <w:r>
        <w:rPr>
          <w:spacing w:val="-1"/>
        </w:rPr>
        <w:t xml:space="preserve"> </w:t>
      </w:r>
      <w:r>
        <w:t>form</w:t>
      </w:r>
      <w:r>
        <w:rPr>
          <w:spacing w:val="-3"/>
        </w:rPr>
        <w:t xml:space="preserve"> </w:t>
      </w:r>
      <w:r>
        <w:t>or</w:t>
      </w:r>
      <w:r>
        <w:rPr>
          <w:spacing w:val="-2"/>
        </w:rPr>
        <w:t xml:space="preserve"> </w:t>
      </w:r>
      <w:r>
        <w:t>document</w:t>
      </w:r>
      <w:r>
        <w:rPr>
          <w:spacing w:val="-1"/>
        </w:rPr>
        <w:t xml:space="preserve"> </w:t>
      </w:r>
      <w:r>
        <w:t>asking about gender would provide opportunities for gender markers other than just male or female. The bill would further require youth-serving state agencies to develop processes to</w:t>
      </w:r>
      <w:r>
        <w:t xml:space="preserve"> assist youth in their care update their documentation.</w:t>
      </w:r>
    </w:p>
    <w:p w:rsidR="00200FDA" w:rsidRDefault="00200FDA">
      <w:pPr>
        <w:pStyle w:val="BodyText"/>
        <w:spacing w:before="10"/>
        <w:rPr>
          <w:sz w:val="32"/>
        </w:rPr>
      </w:pPr>
    </w:p>
    <w:p w:rsidR="00200FDA" w:rsidRDefault="00F76C4C">
      <w:pPr>
        <w:pStyle w:val="Heading9"/>
        <w:numPr>
          <w:ilvl w:val="0"/>
          <w:numId w:val="23"/>
        </w:numPr>
        <w:tabs>
          <w:tab w:val="left" w:pos="504"/>
        </w:tabs>
        <w:ind w:left="503" w:hanging="224"/>
      </w:pPr>
      <w:r>
        <w:t>Update</w:t>
      </w:r>
      <w:r>
        <w:rPr>
          <w:spacing w:val="-7"/>
        </w:rPr>
        <w:t xml:space="preserve"> </w:t>
      </w:r>
      <w:r>
        <w:t>the</w:t>
      </w:r>
      <w:r>
        <w:rPr>
          <w:spacing w:val="-6"/>
        </w:rPr>
        <w:t xml:space="preserve"> </w:t>
      </w:r>
      <w:r>
        <w:t>state</w:t>
      </w:r>
      <w:r>
        <w:rPr>
          <w:spacing w:val="-4"/>
        </w:rPr>
        <w:t xml:space="preserve"> </w:t>
      </w:r>
      <w:r>
        <w:t>plumbing</w:t>
      </w:r>
      <w:r>
        <w:rPr>
          <w:spacing w:val="-3"/>
        </w:rPr>
        <w:t xml:space="preserve"> </w:t>
      </w:r>
      <w:r>
        <w:t>code</w:t>
      </w:r>
      <w:r>
        <w:rPr>
          <w:spacing w:val="-3"/>
        </w:rPr>
        <w:t xml:space="preserve"> </w:t>
      </w:r>
      <w:r>
        <w:t>to</w:t>
      </w:r>
      <w:r>
        <w:rPr>
          <w:spacing w:val="-5"/>
        </w:rPr>
        <w:t xml:space="preserve"> </w:t>
      </w:r>
      <w:r>
        <w:t>allow</w:t>
      </w:r>
      <w:r>
        <w:rPr>
          <w:spacing w:val="-4"/>
        </w:rPr>
        <w:t xml:space="preserve"> </w:t>
      </w:r>
      <w:r>
        <w:t>for</w:t>
      </w:r>
      <w:r>
        <w:rPr>
          <w:spacing w:val="-2"/>
        </w:rPr>
        <w:t xml:space="preserve"> </w:t>
      </w:r>
      <w:r>
        <w:t>the</w:t>
      </w:r>
      <w:r>
        <w:rPr>
          <w:spacing w:val="-7"/>
        </w:rPr>
        <w:t xml:space="preserve"> </w:t>
      </w:r>
      <w:r>
        <w:t>creation</w:t>
      </w:r>
      <w:r>
        <w:rPr>
          <w:spacing w:val="-4"/>
        </w:rPr>
        <w:t xml:space="preserve"> </w:t>
      </w:r>
      <w:r>
        <w:t>of</w:t>
      </w:r>
      <w:r>
        <w:rPr>
          <w:spacing w:val="-3"/>
        </w:rPr>
        <w:t xml:space="preserve"> </w:t>
      </w:r>
      <w:r>
        <w:t>multi-stall</w:t>
      </w:r>
      <w:r>
        <w:rPr>
          <w:spacing w:val="-3"/>
        </w:rPr>
        <w:t xml:space="preserve"> </w:t>
      </w:r>
      <w:r>
        <w:t>all</w:t>
      </w:r>
      <w:r>
        <w:rPr>
          <w:spacing w:val="-4"/>
        </w:rPr>
        <w:t xml:space="preserve"> </w:t>
      </w:r>
      <w:r>
        <w:t>gender</w:t>
      </w:r>
      <w:r>
        <w:rPr>
          <w:spacing w:val="-2"/>
        </w:rPr>
        <w:t xml:space="preserve"> restrooms.</w:t>
      </w:r>
    </w:p>
    <w:p w:rsidR="00200FDA" w:rsidRDefault="00200FDA">
      <w:pPr>
        <w:pStyle w:val="BodyText"/>
        <w:rPr>
          <w:b/>
        </w:rPr>
      </w:pPr>
    </w:p>
    <w:p w:rsidR="00200FDA" w:rsidRDefault="00F76C4C">
      <w:pPr>
        <w:pStyle w:val="BodyText"/>
        <w:spacing w:before="171" w:line="276" w:lineRule="auto"/>
        <w:ind w:left="279" w:right="273"/>
        <w:jc w:val="both"/>
      </w:pPr>
      <w:r>
        <w:t xml:space="preserve">The Commission continues to recommend that the legislature pass </w:t>
      </w:r>
      <w:r>
        <w:rPr>
          <w:i/>
        </w:rPr>
        <w:t>An Act Establishing Gender-Neutral</w:t>
      </w:r>
      <w:r>
        <w:rPr>
          <w:i/>
        </w:rPr>
        <w:t xml:space="preserve"> Bathrooms</w:t>
      </w:r>
      <w:r>
        <w:rPr>
          <w:i/>
          <w:spacing w:val="-8"/>
        </w:rPr>
        <w:t xml:space="preserve"> </w:t>
      </w:r>
      <w:r>
        <w:t>(</w:t>
      </w:r>
      <w:hyperlink r:id="rId761">
        <w:r>
          <w:rPr>
            <w:color w:val="1154CC"/>
            <w:u w:val="single" w:color="1154CC"/>
          </w:rPr>
          <w:t>S.1978</w:t>
        </w:r>
      </w:hyperlink>
      <w:r>
        <w:t>/</w:t>
      </w:r>
      <w:hyperlink r:id="rId762">
        <w:r>
          <w:rPr>
            <w:color w:val="1154CC"/>
            <w:u w:val="single" w:color="1154CC"/>
          </w:rPr>
          <w:t>H.3019</w:t>
        </w:r>
      </w:hyperlink>
      <w:r>
        <w:t>)</w:t>
      </w:r>
      <w:r>
        <w:rPr>
          <w:spacing w:val="-9"/>
        </w:rPr>
        <w:t xml:space="preserve"> </w:t>
      </w:r>
      <w:r>
        <w:t>which</w:t>
      </w:r>
      <w:r>
        <w:rPr>
          <w:spacing w:val="-10"/>
        </w:rPr>
        <w:t xml:space="preserve"> </w:t>
      </w:r>
      <w:r>
        <w:t>would</w:t>
      </w:r>
      <w:r>
        <w:rPr>
          <w:spacing w:val="-10"/>
        </w:rPr>
        <w:t xml:space="preserve"> </w:t>
      </w:r>
      <w:r>
        <w:t>update</w:t>
      </w:r>
      <w:r>
        <w:rPr>
          <w:spacing w:val="-8"/>
        </w:rPr>
        <w:t xml:space="preserve"> </w:t>
      </w:r>
      <w:r>
        <w:t>the</w:t>
      </w:r>
      <w:r>
        <w:rPr>
          <w:spacing w:val="-11"/>
        </w:rPr>
        <w:t xml:space="preserve"> </w:t>
      </w:r>
      <w:r>
        <w:t>Massachusetts</w:t>
      </w:r>
      <w:r>
        <w:rPr>
          <w:spacing w:val="-9"/>
        </w:rPr>
        <w:t xml:space="preserve"> </w:t>
      </w:r>
      <w:r>
        <w:t>plumbing</w:t>
      </w:r>
      <w:r>
        <w:rPr>
          <w:spacing w:val="-10"/>
        </w:rPr>
        <w:t xml:space="preserve"> </w:t>
      </w:r>
      <w:r>
        <w:t>code</w:t>
      </w:r>
      <w:r>
        <w:rPr>
          <w:spacing w:val="-8"/>
        </w:rPr>
        <w:t xml:space="preserve"> </w:t>
      </w:r>
      <w:r>
        <w:t>to</w:t>
      </w:r>
      <w:r>
        <w:rPr>
          <w:spacing w:val="-8"/>
        </w:rPr>
        <w:t xml:space="preserve"> </w:t>
      </w:r>
      <w:r>
        <w:t>allow</w:t>
      </w:r>
      <w:r>
        <w:rPr>
          <w:spacing w:val="-8"/>
        </w:rPr>
        <w:t xml:space="preserve"> </w:t>
      </w:r>
      <w:r>
        <w:t>multi-stall</w:t>
      </w:r>
      <w:r>
        <w:rPr>
          <w:spacing w:val="-9"/>
        </w:rPr>
        <w:t xml:space="preserve"> </w:t>
      </w:r>
      <w:r>
        <w:t xml:space="preserve">all gender restrooms to be built, </w:t>
      </w:r>
      <w:r>
        <w:t>regardless of whether the building is new construction or the bathroom is being</w:t>
      </w:r>
      <w:r>
        <w:rPr>
          <w:spacing w:val="-7"/>
        </w:rPr>
        <w:t xml:space="preserve"> </w:t>
      </w:r>
      <w:r>
        <w:t>renovated</w:t>
      </w:r>
      <w:r>
        <w:rPr>
          <w:spacing w:val="-10"/>
        </w:rPr>
        <w:t xml:space="preserve"> </w:t>
      </w:r>
      <w:r>
        <w:t>or</w:t>
      </w:r>
      <w:r>
        <w:rPr>
          <w:spacing w:val="-9"/>
        </w:rPr>
        <w:t xml:space="preserve"> </w:t>
      </w:r>
      <w:r>
        <w:t>alternated</w:t>
      </w:r>
      <w:r>
        <w:rPr>
          <w:spacing w:val="-7"/>
        </w:rPr>
        <w:t xml:space="preserve"> </w:t>
      </w:r>
      <w:r>
        <w:t>in</w:t>
      </w:r>
      <w:r>
        <w:rPr>
          <w:spacing w:val="-7"/>
        </w:rPr>
        <w:t xml:space="preserve"> </w:t>
      </w:r>
      <w:r>
        <w:t>an</w:t>
      </w:r>
      <w:r>
        <w:rPr>
          <w:spacing w:val="-10"/>
        </w:rPr>
        <w:t xml:space="preserve"> </w:t>
      </w:r>
      <w:r>
        <w:t>existing</w:t>
      </w:r>
      <w:r>
        <w:rPr>
          <w:spacing w:val="-7"/>
        </w:rPr>
        <w:t xml:space="preserve"> </w:t>
      </w:r>
      <w:r>
        <w:t>building.</w:t>
      </w:r>
      <w:r>
        <w:rPr>
          <w:spacing w:val="-7"/>
        </w:rPr>
        <w:t xml:space="preserve"> </w:t>
      </w:r>
      <w:r>
        <w:t>By</w:t>
      </w:r>
      <w:r>
        <w:rPr>
          <w:spacing w:val="-6"/>
        </w:rPr>
        <w:t xml:space="preserve"> </w:t>
      </w:r>
      <w:r>
        <w:t>adjusting</w:t>
      </w:r>
      <w:r>
        <w:rPr>
          <w:spacing w:val="-10"/>
        </w:rPr>
        <w:t xml:space="preserve"> </w:t>
      </w:r>
      <w:r>
        <w:t>the</w:t>
      </w:r>
      <w:r>
        <w:rPr>
          <w:spacing w:val="-8"/>
        </w:rPr>
        <w:t xml:space="preserve"> </w:t>
      </w:r>
      <w:r>
        <w:t>plumbing</w:t>
      </w:r>
      <w:r>
        <w:rPr>
          <w:spacing w:val="-10"/>
        </w:rPr>
        <w:t xml:space="preserve"> </w:t>
      </w:r>
      <w:r>
        <w:t>code,</w:t>
      </w:r>
      <w:r>
        <w:rPr>
          <w:spacing w:val="-7"/>
        </w:rPr>
        <w:t xml:space="preserve"> </w:t>
      </w:r>
      <w:r>
        <w:t>the</w:t>
      </w:r>
      <w:r>
        <w:rPr>
          <w:spacing w:val="-6"/>
        </w:rPr>
        <w:t xml:space="preserve"> </w:t>
      </w:r>
      <w:r>
        <w:t>bill</w:t>
      </w:r>
      <w:r>
        <w:rPr>
          <w:spacing w:val="-9"/>
        </w:rPr>
        <w:t xml:space="preserve"> </w:t>
      </w:r>
      <w:r>
        <w:t>would</w:t>
      </w:r>
      <w:r>
        <w:rPr>
          <w:spacing w:val="-7"/>
        </w:rPr>
        <w:t xml:space="preserve"> </w:t>
      </w:r>
      <w:r>
        <w:t>allow for schools, state agencies, and businesses to create restroom spaces that benefit not only trans and gender expansive youth, but also caregivers to better assist their children and individual with caregivers to assist with disabilities.</w:t>
      </w:r>
    </w:p>
    <w:p w:rsidR="00200FDA" w:rsidRDefault="00200FDA">
      <w:pPr>
        <w:pStyle w:val="BodyText"/>
        <w:spacing w:before="11"/>
        <w:rPr>
          <w:sz w:val="32"/>
        </w:rPr>
      </w:pPr>
    </w:p>
    <w:p w:rsidR="00200FDA" w:rsidRDefault="00F76C4C">
      <w:pPr>
        <w:pStyle w:val="Heading9"/>
        <w:numPr>
          <w:ilvl w:val="0"/>
          <w:numId w:val="23"/>
        </w:numPr>
        <w:tabs>
          <w:tab w:val="left" w:pos="501"/>
        </w:tabs>
        <w:ind w:left="500" w:hanging="221"/>
      </w:pPr>
      <w:r>
        <w:t>Eliminate</w:t>
      </w:r>
      <w:r>
        <w:rPr>
          <w:spacing w:val="-9"/>
        </w:rPr>
        <w:t xml:space="preserve"> </w:t>
      </w:r>
      <w:r>
        <w:t>a</w:t>
      </w:r>
      <w:r>
        <w:t>rchaic</w:t>
      </w:r>
      <w:r>
        <w:rPr>
          <w:spacing w:val="-4"/>
        </w:rPr>
        <w:t xml:space="preserve"> </w:t>
      </w:r>
      <w:r>
        <w:t>homophobic</w:t>
      </w:r>
      <w:r>
        <w:rPr>
          <w:spacing w:val="-5"/>
        </w:rPr>
        <w:t xml:space="preserve"> </w:t>
      </w:r>
      <w:r>
        <w:t>and</w:t>
      </w:r>
      <w:r>
        <w:rPr>
          <w:spacing w:val="-6"/>
        </w:rPr>
        <w:t xml:space="preserve"> </w:t>
      </w:r>
      <w:r>
        <w:t>transphobic</w:t>
      </w:r>
      <w:r>
        <w:rPr>
          <w:spacing w:val="-7"/>
        </w:rPr>
        <w:t xml:space="preserve"> </w:t>
      </w:r>
      <w:r>
        <w:t>language</w:t>
      </w:r>
      <w:r>
        <w:rPr>
          <w:spacing w:val="-6"/>
        </w:rPr>
        <w:t xml:space="preserve"> </w:t>
      </w:r>
      <w:r>
        <w:t>in</w:t>
      </w:r>
      <w:r>
        <w:rPr>
          <w:spacing w:val="-6"/>
        </w:rPr>
        <w:t xml:space="preserve"> </w:t>
      </w:r>
      <w:r>
        <w:t>the</w:t>
      </w:r>
      <w:r>
        <w:rPr>
          <w:spacing w:val="-6"/>
        </w:rPr>
        <w:t xml:space="preserve"> </w:t>
      </w:r>
      <w:r>
        <w:t>Massachusetts</w:t>
      </w:r>
      <w:r>
        <w:rPr>
          <w:spacing w:val="-7"/>
        </w:rPr>
        <w:t xml:space="preserve"> </w:t>
      </w:r>
      <w:r>
        <w:t>General</w:t>
      </w:r>
      <w:r>
        <w:rPr>
          <w:spacing w:val="-4"/>
        </w:rPr>
        <w:t xml:space="preserve"> </w:t>
      </w:r>
      <w:r>
        <w:rPr>
          <w:spacing w:val="-2"/>
        </w:rPr>
        <w:t>Laws.</w:t>
      </w:r>
    </w:p>
    <w:p w:rsidR="00200FDA" w:rsidRDefault="00200FDA">
      <w:pPr>
        <w:pStyle w:val="BodyText"/>
        <w:rPr>
          <w:b/>
        </w:rPr>
      </w:pPr>
    </w:p>
    <w:p w:rsidR="00200FDA" w:rsidRDefault="00F76C4C">
      <w:pPr>
        <w:pStyle w:val="BodyText"/>
        <w:spacing w:before="171" w:line="276" w:lineRule="auto"/>
        <w:ind w:left="279" w:right="274"/>
        <w:jc w:val="both"/>
      </w:pPr>
      <w:r>
        <w:t xml:space="preserve">The Commission recommends that Massachusetts establish a permanent commission or task force directed to review the laws and statues of the Commonwealth to eliminate archaic and </w:t>
      </w:r>
      <w:r>
        <w:t>inequitable homophobic</w:t>
      </w:r>
      <w:r>
        <w:rPr>
          <w:spacing w:val="-7"/>
        </w:rPr>
        <w:t xml:space="preserve"> </w:t>
      </w:r>
      <w:r>
        <w:t>and</w:t>
      </w:r>
      <w:r>
        <w:rPr>
          <w:spacing w:val="-6"/>
        </w:rPr>
        <w:t xml:space="preserve"> </w:t>
      </w:r>
      <w:r>
        <w:t>transphobic</w:t>
      </w:r>
      <w:r>
        <w:rPr>
          <w:spacing w:val="-5"/>
        </w:rPr>
        <w:t xml:space="preserve"> </w:t>
      </w:r>
      <w:r>
        <w:t>language.</w:t>
      </w:r>
      <w:r>
        <w:rPr>
          <w:spacing w:val="-6"/>
        </w:rPr>
        <w:t xml:space="preserve"> </w:t>
      </w:r>
      <w:r>
        <w:t>As</w:t>
      </w:r>
      <w:r>
        <w:rPr>
          <w:spacing w:val="-5"/>
        </w:rPr>
        <w:t xml:space="preserve"> </w:t>
      </w:r>
      <w:r>
        <w:t>anti-LGBTQ</w:t>
      </w:r>
      <w:r>
        <w:rPr>
          <w:spacing w:val="-5"/>
        </w:rPr>
        <w:t xml:space="preserve"> </w:t>
      </w:r>
      <w:r>
        <w:t>rhetoric</w:t>
      </w:r>
      <w:r>
        <w:rPr>
          <w:spacing w:val="-5"/>
        </w:rPr>
        <w:t xml:space="preserve"> </w:t>
      </w:r>
      <w:r>
        <w:t>and</w:t>
      </w:r>
      <w:r>
        <w:rPr>
          <w:spacing w:val="-6"/>
        </w:rPr>
        <w:t xml:space="preserve"> </w:t>
      </w:r>
      <w:r>
        <w:t>legislation</w:t>
      </w:r>
      <w:r>
        <w:rPr>
          <w:spacing w:val="-6"/>
        </w:rPr>
        <w:t xml:space="preserve"> </w:t>
      </w:r>
      <w:r>
        <w:t>continues</w:t>
      </w:r>
      <w:r>
        <w:rPr>
          <w:spacing w:val="-8"/>
        </w:rPr>
        <w:t xml:space="preserve"> </w:t>
      </w:r>
      <w:r>
        <w:t>to</w:t>
      </w:r>
      <w:r>
        <w:rPr>
          <w:spacing w:val="-6"/>
        </w:rPr>
        <w:t xml:space="preserve"> </w:t>
      </w:r>
      <w:r>
        <w:t>sweep</w:t>
      </w:r>
      <w:r>
        <w:rPr>
          <w:spacing w:val="-6"/>
        </w:rPr>
        <w:t xml:space="preserve"> </w:t>
      </w:r>
      <w:r>
        <w:t>across the nation and in Massachusetts, it is essential for lawmakers to eliminate laws that - while not enforceable</w:t>
      </w:r>
      <w:r>
        <w:rPr>
          <w:spacing w:val="-1"/>
        </w:rPr>
        <w:t xml:space="preserve"> </w:t>
      </w:r>
      <w:r>
        <w:t>in</w:t>
      </w:r>
      <w:r>
        <w:rPr>
          <w:spacing w:val="-3"/>
        </w:rPr>
        <w:t xml:space="preserve"> </w:t>
      </w:r>
      <w:r>
        <w:t>the</w:t>
      </w:r>
      <w:r>
        <w:rPr>
          <w:spacing w:val="-4"/>
        </w:rPr>
        <w:t xml:space="preserve"> </w:t>
      </w:r>
      <w:r>
        <w:t>modern</w:t>
      </w:r>
      <w:r>
        <w:rPr>
          <w:spacing w:val="-5"/>
        </w:rPr>
        <w:t xml:space="preserve"> </w:t>
      </w:r>
      <w:r>
        <w:t>day</w:t>
      </w:r>
      <w:r>
        <w:rPr>
          <w:spacing w:val="-1"/>
        </w:rPr>
        <w:t xml:space="preserve"> </w:t>
      </w:r>
      <w:r>
        <w:t>-</w:t>
      </w:r>
      <w:r>
        <w:rPr>
          <w:spacing w:val="-2"/>
        </w:rPr>
        <w:t xml:space="preserve"> </w:t>
      </w:r>
      <w:r>
        <w:t>still</w:t>
      </w:r>
      <w:r>
        <w:rPr>
          <w:spacing w:val="-2"/>
        </w:rPr>
        <w:t xml:space="preserve"> </w:t>
      </w:r>
      <w:r>
        <w:t>remain</w:t>
      </w:r>
      <w:r>
        <w:rPr>
          <w:spacing w:val="-3"/>
        </w:rPr>
        <w:t xml:space="preserve"> </w:t>
      </w:r>
      <w:r>
        <w:t>on</w:t>
      </w:r>
      <w:r>
        <w:rPr>
          <w:spacing w:val="-5"/>
        </w:rPr>
        <w:t xml:space="preserve"> </w:t>
      </w:r>
      <w:r>
        <w:t>the</w:t>
      </w:r>
      <w:r>
        <w:rPr>
          <w:spacing w:val="-1"/>
        </w:rPr>
        <w:t xml:space="preserve"> </w:t>
      </w:r>
      <w:r>
        <w:t>books</w:t>
      </w:r>
      <w:r>
        <w:rPr>
          <w:spacing w:val="-2"/>
        </w:rPr>
        <w:t xml:space="preserve"> </w:t>
      </w:r>
      <w:r>
        <w:t>as</w:t>
      </w:r>
      <w:r>
        <w:rPr>
          <w:spacing w:val="-2"/>
        </w:rPr>
        <w:t xml:space="preserve"> </w:t>
      </w:r>
      <w:r>
        <w:t>a</w:t>
      </w:r>
      <w:r>
        <w:rPr>
          <w:spacing w:val="-2"/>
        </w:rPr>
        <w:t xml:space="preserve"> </w:t>
      </w:r>
      <w:r>
        <w:t>living</w:t>
      </w:r>
      <w:r>
        <w:rPr>
          <w:spacing w:val="-3"/>
        </w:rPr>
        <w:t xml:space="preserve"> </w:t>
      </w:r>
      <w:r>
        <w:t>reminder</w:t>
      </w:r>
      <w:r>
        <w:rPr>
          <w:spacing w:val="-4"/>
        </w:rPr>
        <w:t xml:space="preserve"> </w:t>
      </w:r>
      <w:r>
        <w:t>of</w:t>
      </w:r>
      <w:r>
        <w:rPr>
          <w:spacing w:val="-2"/>
        </w:rPr>
        <w:t xml:space="preserve"> </w:t>
      </w:r>
      <w:r>
        <w:t>the</w:t>
      </w:r>
      <w:r>
        <w:rPr>
          <w:spacing w:val="-1"/>
        </w:rPr>
        <w:t xml:space="preserve"> </w:t>
      </w:r>
      <w:r>
        <w:t>legal</w:t>
      </w:r>
      <w:r>
        <w:rPr>
          <w:spacing w:val="-2"/>
        </w:rPr>
        <w:t xml:space="preserve"> </w:t>
      </w:r>
      <w:r>
        <w:t>attacks</w:t>
      </w:r>
      <w:r>
        <w:rPr>
          <w:spacing w:val="-4"/>
        </w:rPr>
        <w:t xml:space="preserve"> </w:t>
      </w:r>
      <w:r>
        <w:t>against LGBTQ communities.</w:t>
      </w:r>
    </w:p>
    <w:p w:rsidR="00200FDA" w:rsidRDefault="00200FDA">
      <w:pPr>
        <w:spacing w:line="276" w:lineRule="auto"/>
        <w:jc w:val="both"/>
        <w:sectPr w:rsidR="00200FDA">
          <w:pgSz w:w="12240" w:h="15840"/>
          <w:pgMar w:top="1260" w:right="1160" w:bottom="1260" w:left="1160" w:header="761" w:footer="1062" w:gutter="0"/>
          <w:cols w:space="720"/>
        </w:sectPr>
      </w:pPr>
    </w:p>
    <w:p w:rsidR="00200FDA" w:rsidRDefault="00200FDA">
      <w:pPr>
        <w:pStyle w:val="BodyText"/>
        <w:spacing w:before="11"/>
        <w:rPr>
          <w:sz w:val="28"/>
        </w:rPr>
      </w:pPr>
    </w:p>
    <w:p w:rsidR="00200FDA" w:rsidRDefault="00F76C4C">
      <w:pPr>
        <w:spacing w:before="70"/>
        <w:ind w:left="280" w:right="308" w:hanging="1"/>
        <w:rPr>
          <w:sz w:val="18"/>
        </w:rPr>
      </w:pPr>
      <w:r>
        <w:rPr>
          <w:position w:val="5"/>
          <w:sz w:val="12"/>
        </w:rPr>
        <w:t>1</w:t>
      </w:r>
      <w:r>
        <w:rPr>
          <w:spacing w:val="9"/>
          <w:position w:val="5"/>
          <w:sz w:val="12"/>
        </w:rPr>
        <w:t xml:space="preserve"> </w:t>
      </w:r>
      <w:r>
        <w:rPr>
          <w:sz w:val="18"/>
        </w:rPr>
        <w:t>“FACT</w:t>
      </w:r>
      <w:r>
        <w:rPr>
          <w:spacing w:val="-2"/>
          <w:sz w:val="18"/>
        </w:rPr>
        <w:t xml:space="preserve"> </w:t>
      </w:r>
      <w:r>
        <w:rPr>
          <w:sz w:val="18"/>
        </w:rPr>
        <w:t>SHEET:</w:t>
      </w:r>
      <w:r>
        <w:rPr>
          <w:spacing w:val="-3"/>
          <w:sz w:val="18"/>
        </w:rPr>
        <w:t xml:space="preserve"> </w:t>
      </w:r>
      <w:r>
        <w:rPr>
          <w:sz w:val="18"/>
        </w:rPr>
        <w:t>Biden-Harris</w:t>
      </w:r>
      <w:r>
        <w:rPr>
          <w:spacing w:val="-2"/>
          <w:sz w:val="18"/>
        </w:rPr>
        <w:t xml:space="preserve"> </w:t>
      </w:r>
      <w:r>
        <w:rPr>
          <w:sz w:val="18"/>
        </w:rPr>
        <w:t>Administration</w:t>
      </w:r>
      <w:r>
        <w:rPr>
          <w:spacing w:val="-4"/>
          <w:sz w:val="18"/>
        </w:rPr>
        <w:t xml:space="preserve"> </w:t>
      </w:r>
      <w:r>
        <w:rPr>
          <w:sz w:val="18"/>
        </w:rPr>
        <w:t>Releases</w:t>
      </w:r>
      <w:r>
        <w:rPr>
          <w:spacing w:val="-4"/>
          <w:sz w:val="18"/>
        </w:rPr>
        <w:t xml:space="preserve"> </w:t>
      </w:r>
      <w:r>
        <w:rPr>
          <w:sz w:val="18"/>
        </w:rPr>
        <w:t>First-Ever</w:t>
      </w:r>
      <w:r>
        <w:rPr>
          <w:spacing w:val="-1"/>
          <w:sz w:val="18"/>
        </w:rPr>
        <w:t xml:space="preserve"> </w:t>
      </w:r>
      <w:r>
        <w:rPr>
          <w:sz w:val="18"/>
        </w:rPr>
        <w:t>Federal</w:t>
      </w:r>
      <w:r>
        <w:rPr>
          <w:spacing w:val="-4"/>
          <w:sz w:val="18"/>
        </w:rPr>
        <w:t xml:space="preserve"> </w:t>
      </w:r>
      <w:r>
        <w:rPr>
          <w:sz w:val="18"/>
        </w:rPr>
        <w:t>Evidence</w:t>
      </w:r>
      <w:r>
        <w:rPr>
          <w:spacing w:val="-2"/>
          <w:sz w:val="18"/>
        </w:rPr>
        <w:t xml:space="preserve"> </w:t>
      </w:r>
      <w:r>
        <w:rPr>
          <w:sz w:val="18"/>
        </w:rPr>
        <w:t>Agenda</w:t>
      </w:r>
      <w:r>
        <w:rPr>
          <w:spacing w:val="-3"/>
          <w:sz w:val="18"/>
        </w:rPr>
        <w:t xml:space="preserve"> </w:t>
      </w:r>
      <w:r>
        <w:rPr>
          <w:sz w:val="18"/>
        </w:rPr>
        <w:t>on</w:t>
      </w:r>
      <w:r>
        <w:rPr>
          <w:spacing w:val="-4"/>
          <w:sz w:val="18"/>
        </w:rPr>
        <w:t xml:space="preserve"> </w:t>
      </w:r>
      <w:r>
        <w:rPr>
          <w:sz w:val="18"/>
        </w:rPr>
        <w:t>LGBTQI+</w:t>
      </w:r>
      <w:r>
        <w:rPr>
          <w:spacing w:val="-4"/>
          <w:sz w:val="18"/>
        </w:rPr>
        <w:t xml:space="preserve"> </w:t>
      </w:r>
      <w:r>
        <w:rPr>
          <w:sz w:val="18"/>
        </w:rPr>
        <w:t>Equity</w:t>
      </w:r>
      <w:r>
        <w:rPr>
          <w:spacing w:val="-3"/>
          <w:sz w:val="18"/>
        </w:rPr>
        <w:t xml:space="preserve"> </w:t>
      </w:r>
      <w:r>
        <w:rPr>
          <w:sz w:val="18"/>
        </w:rPr>
        <w:t>|</w:t>
      </w:r>
      <w:r>
        <w:rPr>
          <w:spacing w:val="-2"/>
          <w:sz w:val="18"/>
        </w:rPr>
        <w:t xml:space="preserve"> </w:t>
      </w:r>
      <w:r>
        <w:rPr>
          <w:sz w:val="18"/>
        </w:rPr>
        <w:t>OSTP,”</w:t>
      </w:r>
      <w:r>
        <w:rPr>
          <w:spacing w:val="-4"/>
          <w:sz w:val="18"/>
        </w:rPr>
        <w:t xml:space="preserve"> </w:t>
      </w:r>
      <w:r>
        <w:rPr>
          <w:sz w:val="18"/>
        </w:rPr>
        <w:t>The</w:t>
      </w:r>
      <w:r>
        <w:rPr>
          <w:spacing w:val="-4"/>
          <w:sz w:val="18"/>
        </w:rPr>
        <w:t xml:space="preserve"> </w:t>
      </w:r>
      <w:r>
        <w:rPr>
          <w:sz w:val="18"/>
        </w:rPr>
        <w:t>White House, January 24, 2023, https://</w:t>
      </w:r>
      <w:hyperlink r:id="rId763">
        <w:r>
          <w:rPr>
            <w:sz w:val="18"/>
          </w:rPr>
          <w:t>www.whitehouse.gov/ostp/news-updates/2023/01/24/fact-sheet-biden-harris-</w:t>
        </w:r>
      </w:hyperlink>
      <w:r>
        <w:rPr>
          <w:sz w:val="18"/>
        </w:rPr>
        <w:t xml:space="preserve"> </w:t>
      </w:r>
      <w:r>
        <w:rPr>
          <w:spacing w:val="-2"/>
          <w:sz w:val="18"/>
        </w:rPr>
        <w:t>administration-releases-first-ever-federal-evidence-agenda-on-lgbtqi-equity/.</w:t>
      </w:r>
    </w:p>
    <w:p w:rsidR="00200FDA" w:rsidRDefault="00F76C4C">
      <w:pPr>
        <w:ind w:left="280" w:right="2531" w:hanging="1"/>
        <w:rPr>
          <w:sz w:val="18"/>
        </w:rPr>
      </w:pPr>
      <w:r>
        <w:rPr>
          <w:position w:val="5"/>
          <w:sz w:val="12"/>
        </w:rPr>
        <w:t>2</w:t>
      </w:r>
      <w:r>
        <w:rPr>
          <w:spacing w:val="21"/>
          <w:position w:val="5"/>
          <w:sz w:val="12"/>
        </w:rPr>
        <w:t xml:space="preserve"> </w:t>
      </w:r>
      <w:r>
        <w:rPr>
          <w:sz w:val="18"/>
        </w:rPr>
        <w:t>“Bull</w:t>
      </w:r>
      <w:r>
        <w:rPr>
          <w:sz w:val="18"/>
        </w:rPr>
        <w:t xml:space="preserve">ying and Suicide Risk among LGBTQ Youth,” </w:t>
      </w:r>
      <w:r>
        <w:rPr>
          <w:i/>
          <w:sz w:val="18"/>
        </w:rPr>
        <w:t xml:space="preserve">The Trevor Project </w:t>
      </w:r>
      <w:r>
        <w:rPr>
          <w:sz w:val="18"/>
        </w:rPr>
        <w:t xml:space="preserve">(blog), October 14, 2021, </w:t>
      </w:r>
      <w:r>
        <w:rPr>
          <w:spacing w:val="-2"/>
          <w:sz w:val="18"/>
        </w:rPr>
        <w:t>https://</w:t>
      </w:r>
      <w:hyperlink r:id="rId764">
        <w:r>
          <w:rPr>
            <w:spacing w:val="-2"/>
            <w:sz w:val="18"/>
          </w:rPr>
          <w:t>www.thetrevorproject.org/research-briefs/bullying</w:t>
        </w:r>
        <w:r>
          <w:rPr>
            <w:spacing w:val="-2"/>
            <w:sz w:val="18"/>
          </w:rPr>
          <w:t>-and-suicide-risk-among-lgbtq-youth/.</w:t>
        </w:r>
      </w:hyperlink>
    </w:p>
    <w:p w:rsidR="00200FDA" w:rsidRDefault="00200FDA">
      <w:pPr>
        <w:rPr>
          <w:sz w:val="18"/>
        </w:rPr>
        <w:sectPr w:rsidR="00200FDA">
          <w:pgSz w:w="12240" w:h="15840"/>
          <w:pgMar w:top="1260" w:right="1160" w:bottom="1260" w:left="1160" w:header="761" w:footer="1062" w:gutter="0"/>
          <w:cols w:space="720"/>
        </w:sectPr>
      </w:pPr>
    </w:p>
    <w:p w:rsidR="00200FDA" w:rsidRDefault="00200FDA">
      <w:pPr>
        <w:pStyle w:val="BodyText"/>
        <w:rPr>
          <w:sz w:val="20"/>
        </w:rPr>
      </w:pPr>
    </w:p>
    <w:p w:rsidR="00200FDA" w:rsidRDefault="00200FDA">
      <w:pPr>
        <w:pStyle w:val="BodyText"/>
        <w:spacing w:before="8"/>
        <w:rPr>
          <w:sz w:val="23"/>
        </w:rPr>
      </w:pPr>
    </w:p>
    <w:p w:rsidR="00200FDA" w:rsidRDefault="00F76C4C">
      <w:pPr>
        <w:spacing w:before="35"/>
        <w:ind w:left="280"/>
        <w:rPr>
          <w:sz w:val="32"/>
        </w:rPr>
      </w:pPr>
      <w:r>
        <w:pict>
          <v:rect id="docshape498" o:spid="_x0000_s1112" style="position:absolute;left:0;text-align:left;margin-left:70.55pt;margin-top:22.25pt;width:470.9pt;height:.5pt;z-index:-15633920;mso-wrap-distance-left:0;mso-wrap-distance-right:0;mso-position-horizontal-relative:page" fillcolor="#4f81bc" stroked="f">
            <w10:wrap type="topAndBottom" anchorx="page"/>
          </v:rect>
        </w:pict>
      </w:r>
      <w:bookmarkStart w:id="1054" w:name="FY24_EEC_Recommendations_-_Final.pdf"/>
      <w:bookmarkStart w:id="1055" w:name="Executive_Office_of_Education_Recommenda"/>
      <w:bookmarkStart w:id="1056" w:name="_bookmark847"/>
      <w:bookmarkEnd w:id="1054"/>
      <w:bookmarkEnd w:id="1055"/>
      <w:bookmarkEnd w:id="1056"/>
      <w:r>
        <w:rPr>
          <w:color w:val="365F91"/>
          <w:sz w:val="32"/>
        </w:rPr>
        <w:t>Executive</w:t>
      </w:r>
      <w:r>
        <w:rPr>
          <w:color w:val="365F91"/>
          <w:spacing w:val="-11"/>
          <w:sz w:val="32"/>
        </w:rPr>
        <w:t xml:space="preserve"> </w:t>
      </w:r>
      <w:r>
        <w:rPr>
          <w:color w:val="365F91"/>
          <w:sz w:val="32"/>
        </w:rPr>
        <w:t>Office</w:t>
      </w:r>
      <w:r>
        <w:rPr>
          <w:color w:val="365F91"/>
          <w:spacing w:val="-10"/>
          <w:sz w:val="32"/>
        </w:rPr>
        <w:t xml:space="preserve"> </w:t>
      </w:r>
      <w:r>
        <w:rPr>
          <w:color w:val="365F91"/>
          <w:sz w:val="32"/>
        </w:rPr>
        <w:t>of</w:t>
      </w:r>
      <w:r>
        <w:rPr>
          <w:color w:val="365F91"/>
          <w:spacing w:val="-6"/>
          <w:sz w:val="32"/>
        </w:rPr>
        <w:t xml:space="preserve"> </w:t>
      </w:r>
      <w:r>
        <w:rPr>
          <w:color w:val="365F91"/>
          <w:sz w:val="32"/>
        </w:rPr>
        <w:t>Education</w:t>
      </w:r>
      <w:r>
        <w:rPr>
          <w:color w:val="365F91"/>
          <w:spacing w:val="-9"/>
          <w:sz w:val="32"/>
        </w:rPr>
        <w:t xml:space="preserve"> </w:t>
      </w:r>
      <w:r>
        <w:rPr>
          <w:color w:val="365F91"/>
          <w:spacing w:val="-2"/>
          <w:sz w:val="32"/>
        </w:rPr>
        <w:t>Recommendations</w:t>
      </w:r>
    </w:p>
    <w:p w:rsidR="00200FDA" w:rsidRDefault="00200FDA">
      <w:pPr>
        <w:pStyle w:val="BodyText"/>
        <w:rPr>
          <w:sz w:val="20"/>
        </w:rPr>
      </w:pPr>
    </w:p>
    <w:p w:rsidR="00200FDA" w:rsidRDefault="00F76C4C">
      <w:pPr>
        <w:pStyle w:val="BodyText"/>
        <w:spacing w:before="184" w:line="276" w:lineRule="auto"/>
        <w:ind w:left="280" w:right="272"/>
        <w:jc w:val="both"/>
      </w:pPr>
      <w:r>
        <w:t>The Commission has for many years enjoyed a particularly strong relationship with the Department of Elementary and Secondary Education (DESE). The work of the Commission is closely tied to that of DESE through the Commission’s founding legislation, the fun</w:t>
      </w:r>
      <w:r>
        <w:t>ding it receives to implement anti-bullying work, and the relationships that the Safe Schools Program—which today is co-sponsored by the Commission and DESE—has forged with the Department. More recently, the Commission has also developed fruitful relations</w:t>
      </w:r>
      <w:r>
        <w:t>hips with the Department of Early Education and Care (EEC) and the Department of Higher Education (DHE), both of which are represented along with DESE in the sections that follow.</w:t>
      </w:r>
    </w:p>
    <w:p w:rsidR="00200FDA" w:rsidRDefault="00200FDA">
      <w:pPr>
        <w:pStyle w:val="BodyText"/>
        <w:spacing w:before="5"/>
        <w:rPr>
          <w:sz w:val="25"/>
        </w:rPr>
      </w:pPr>
    </w:p>
    <w:p w:rsidR="00200FDA" w:rsidRDefault="00F76C4C">
      <w:pPr>
        <w:pStyle w:val="BodyText"/>
        <w:spacing w:line="276" w:lineRule="auto"/>
        <w:ind w:left="280" w:right="273" w:hanging="1"/>
        <w:jc w:val="both"/>
      </w:pPr>
      <w:r>
        <w:t>The Commission looks forward to increasing its collaboration with and betwe</w:t>
      </w:r>
      <w:r>
        <w:t>en these three agencies to ensure that the policies it recommends have maximum effect. For example, public school students in Massachusetts</w:t>
      </w:r>
      <w:r>
        <w:rPr>
          <w:spacing w:val="-1"/>
        </w:rPr>
        <w:t xml:space="preserve"> </w:t>
      </w:r>
      <w:r>
        <w:t>can</w:t>
      </w:r>
      <w:r>
        <w:rPr>
          <w:spacing w:val="-2"/>
        </w:rPr>
        <w:t xml:space="preserve"> </w:t>
      </w:r>
      <w:r>
        <w:t>presently elect to use a third,</w:t>
      </w:r>
      <w:r>
        <w:rPr>
          <w:spacing w:val="-1"/>
        </w:rPr>
        <w:t xml:space="preserve"> </w:t>
      </w:r>
      <w:r>
        <w:t>nonbinary gender</w:t>
      </w:r>
      <w:r>
        <w:rPr>
          <w:spacing w:val="-3"/>
        </w:rPr>
        <w:t xml:space="preserve"> </w:t>
      </w:r>
      <w:r>
        <w:t>marker in lieu</w:t>
      </w:r>
      <w:r>
        <w:rPr>
          <w:spacing w:val="-2"/>
        </w:rPr>
        <w:t xml:space="preserve"> </w:t>
      </w:r>
      <w:r>
        <w:t>of</w:t>
      </w:r>
      <w:r>
        <w:rPr>
          <w:spacing w:val="-3"/>
        </w:rPr>
        <w:t xml:space="preserve"> </w:t>
      </w:r>
      <w:r>
        <w:t>“male”</w:t>
      </w:r>
      <w:r>
        <w:rPr>
          <w:spacing w:val="-2"/>
        </w:rPr>
        <w:t xml:space="preserve"> </w:t>
      </w:r>
      <w:r>
        <w:t>or</w:t>
      </w:r>
      <w:r>
        <w:rPr>
          <w:spacing w:val="-1"/>
        </w:rPr>
        <w:t xml:space="preserve"> </w:t>
      </w:r>
      <w:r>
        <w:t>“female,” due</w:t>
      </w:r>
      <w:r>
        <w:rPr>
          <w:spacing w:val="-6"/>
        </w:rPr>
        <w:t xml:space="preserve"> </w:t>
      </w:r>
      <w:r>
        <w:t>to</w:t>
      </w:r>
      <w:r>
        <w:rPr>
          <w:spacing w:val="-8"/>
        </w:rPr>
        <w:t xml:space="preserve"> </w:t>
      </w:r>
      <w:r>
        <w:t>a</w:t>
      </w:r>
      <w:r>
        <w:rPr>
          <w:spacing w:val="-7"/>
        </w:rPr>
        <w:t xml:space="preserve"> </w:t>
      </w:r>
      <w:r>
        <w:t>policy</w:t>
      </w:r>
      <w:r>
        <w:rPr>
          <w:spacing w:val="-8"/>
        </w:rPr>
        <w:t xml:space="preserve"> </w:t>
      </w:r>
      <w:r>
        <w:t>change</w:t>
      </w:r>
      <w:r>
        <w:rPr>
          <w:spacing w:val="-8"/>
        </w:rPr>
        <w:t xml:space="preserve"> </w:t>
      </w:r>
      <w:r>
        <w:t>at</w:t>
      </w:r>
      <w:r>
        <w:rPr>
          <w:spacing w:val="-9"/>
        </w:rPr>
        <w:t xml:space="preserve"> </w:t>
      </w:r>
      <w:r>
        <w:t>DESE.</w:t>
      </w:r>
      <w:r>
        <w:rPr>
          <w:spacing w:val="-7"/>
        </w:rPr>
        <w:t xml:space="preserve"> </w:t>
      </w:r>
      <w:r>
        <w:t>However,</w:t>
      </w:r>
      <w:r>
        <w:rPr>
          <w:spacing w:val="-9"/>
        </w:rPr>
        <w:t xml:space="preserve"> </w:t>
      </w:r>
      <w:r>
        <w:t>many</w:t>
      </w:r>
      <w:r>
        <w:rPr>
          <w:spacing w:val="-6"/>
        </w:rPr>
        <w:t xml:space="preserve"> </w:t>
      </w:r>
      <w:r>
        <w:t>colleges</w:t>
      </w:r>
      <w:r>
        <w:rPr>
          <w:spacing w:val="-6"/>
        </w:rPr>
        <w:t xml:space="preserve"> </w:t>
      </w:r>
      <w:r>
        <w:t>and</w:t>
      </w:r>
      <w:r>
        <w:rPr>
          <w:spacing w:val="-7"/>
        </w:rPr>
        <w:t xml:space="preserve"> </w:t>
      </w:r>
      <w:r>
        <w:t>universities</w:t>
      </w:r>
      <w:r>
        <w:rPr>
          <w:spacing w:val="-7"/>
        </w:rPr>
        <w:t xml:space="preserve"> </w:t>
      </w:r>
      <w:r>
        <w:t>in</w:t>
      </w:r>
      <w:r>
        <w:rPr>
          <w:spacing w:val="-7"/>
        </w:rPr>
        <w:t xml:space="preserve"> </w:t>
      </w:r>
      <w:r>
        <w:t>the</w:t>
      </w:r>
      <w:r>
        <w:rPr>
          <w:spacing w:val="-6"/>
        </w:rPr>
        <w:t xml:space="preserve"> </w:t>
      </w:r>
      <w:r>
        <w:t>state</w:t>
      </w:r>
      <w:r>
        <w:rPr>
          <w:spacing w:val="-6"/>
        </w:rPr>
        <w:t xml:space="preserve"> </w:t>
      </w:r>
      <w:r>
        <w:t>do</w:t>
      </w:r>
      <w:r>
        <w:rPr>
          <w:spacing w:val="-5"/>
        </w:rPr>
        <w:t xml:space="preserve"> </w:t>
      </w:r>
      <w:r>
        <w:t>not</w:t>
      </w:r>
      <w:r>
        <w:rPr>
          <w:spacing w:val="-9"/>
        </w:rPr>
        <w:t xml:space="preserve"> </w:t>
      </w:r>
      <w:r>
        <w:t>offer</w:t>
      </w:r>
      <w:r>
        <w:rPr>
          <w:spacing w:val="-9"/>
        </w:rPr>
        <w:t xml:space="preserve"> </w:t>
      </w:r>
      <w:r>
        <w:t>a</w:t>
      </w:r>
      <w:r>
        <w:rPr>
          <w:spacing w:val="-7"/>
        </w:rPr>
        <w:t xml:space="preserve"> </w:t>
      </w:r>
      <w:r>
        <w:t>similar option, leaving open an opportunity that DHE and the Commission could potentially work together to support. This is but one example of how increasing collaboration and coordination of the Commission’s recommendations to EEC, DESE, and DHE could imp</w:t>
      </w:r>
      <w:r>
        <w:t>rove service delivery for all three agencies and have an even greater impact for the Commonwealth’s LGBTQ youth.</w:t>
      </w:r>
    </w:p>
    <w:p w:rsidR="00200FDA" w:rsidRDefault="00200FDA">
      <w:pPr>
        <w:pStyle w:val="BodyText"/>
      </w:pPr>
    </w:p>
    <w:p w:rsidR="00200FDA" w:rsidRDefault="00F76C4C">
      <w:pPr>
        <w:spacing w:before="164"/>
        <w:ind w:left="280"/>
        <w:jc w:val="both"/>
        <w:rPr>
          <w:sz w:val="32"/>
        </w:rPr>
      </w:pPr>
      <w:r>
        <w:pict>
          <v:rect id="docshape499" o:spid="_x0000_s1111" style="position:absolute;left:0;text-align:left;margin-left:70.55pt;margin-top:28.7pt;width:470.9pt;height:.5pt;z-index:-15633408;mso-wrap-distance-left:0;mso-wrap-distance-right:0;mso-position-horizontal-relative:page" fillcolor="#4f81bc" stroked="f">
            <w10:wrap type="topAndBottom" anchorx="page"/>
          </v:rect>
        </w:pict>
      </w:r>
      <w:bookmarkStart w:id="1057" w:name="Department_of_Early_Education_and_Care"/>
      <w:bookmarkEnd w:id="1057"/>
      <w:r>
        <w:rPr>
          <w:color w:val="365F91"/>
          <w:sz w:val="32"/>
        </w:rPr>
        <w:t>Department</w:t>
      </w:r>
      <w:r>
        <w:rPr>
          <w:color w:val="365F91"/>
          <w:spacing w:val="-7"/>
          <w:sz w:val="32"/>
        </w:rPr>
        <w:t xml:space="preserve"> </w:t>
      </w:r>
      <w:r>
        <w:rPr>
          <w:color w:val="365F91"/>
          <w:sz w:val="32"/>
        </w:rPr>
        <w:t>of</w:t>
      </w:r>
      <w:r>
        <w:rPr>
          <w:color w:val="365F91"/>
          <w:spacing w:val="-9"/>
          <w:sz w:val="32"/>
        </w:rPr>
        <w:t xml:space="preserve"> </w:t>
      </w:r>
      <w:r>
        <w:rPr>
          <w:color w:val="365F91"/>
          <w:sz w:val="32"/>
        </w:rPr>
        <w:t>Early</w:t>
      </w:r>
      <w:r>
        <w:rPr>
          <w:color w:val="365F91"/>
          <w:spacing w:val="-10"/>
          <w:sz w:val="32"/>
        </w:rPr>
        <w:t xml:space="preserve"> </w:t>
      </w:r>
      <w:r>
        <w:rPr>
          <w:color w:val="365F91"/>
          <w:sz w:val="32"/>
        </w:rPr>
        <w:t>Education</w:t>
      </w:r>
      <w:r>
        <w:rPr>
          <w:color w:val="365F91"/>
          <w:spacing w:val="-9"/>
          <w:sz w:val="32"/>
        </w:rPr>
        <w:t xml:space="preserve"> </w:t>
      </w:r>
      <w:r>
        <w:rPr>
          <w:color w:val="365F91"/>
          <w:sz w:val="32"/>
        </w:rPr>
        <w:t>and</w:t>
      </w:r>
      <w:r>
        <w:rPr>
          <w:color w:val="365F91"/>
          <w:spacing w:val="-10"/>
          <w:sz w:val="32"/>
        </w:rPr>
        <w:t xml:space="preserve"> </w:t>
      </w:r>
      <w:r>
        <w:rPr>
          <w:color w:val="365F91"/>
          <w:spacing w:val="-4"/>
          <w:sz w:val="32"/>
        </w:rPr>
        <w:t>Care</w:t>
      </w:r>
    </w:p>
    <w:p w:rsidR="00200FDA" w:rsidRDefault="00200FDA">
      <w:pPr>
        <w:pStyle w:val="BodyText"/>
        <w:rPr>
          <w:sz w:val="20"/>
        </w:rPr>
      </w:pPr>
    </w:p>
    <w:p w:rsidR="00200FDA" w:rsidRDefault="00200FDA">
      <w:pPr>
        <w:pStyle w:val="BodyText"/>
        <w:spacing w:before="7"/>
        <w:rPr>
          <w:sz w:val="21"/>
        </w:rPr>
      </w:pPr>
    </w:p>
    <w:p w:rsidR="00200FDA" w:rsidRDefault="00F76C4C">
      <w:pPr>
        <w:pStyle w:val="Heading7"/>
        <w:spacing w:before="44"/>
      </w:pPr>
      <w:r>
        <w:pict>
          <v:rect id="docshape500" o:spid="_x0000_s1110" style="position:absolute;left:0;text-align:left;margin-left:70.55pt;margin-top:20.1pt;width:470.9pt;height:.5pt;z-index:-15632896;mso-wrap-distance-left:0;mso-wrap-distance-right:0;mso-position-horizontal-relative:page" fillcolor="#4f81bc" stroked="f">
            <w10:wrap type="topAndBottom" anchorx="page"/>
          </v:rect>
        </w:pict>
      </w:r>
      <w:r>
        <w:rPr>
          <w:color w:val="365F91"/>
        </w:rPr>
        <w:t>FY2024</w:t>
      </w:r>
      <w:r>
        <w:rPr>
          <w:color w:val="365F91"/>
          <w:spacing w:val="-6"/>
        </w:rPr>
        <w:t xml:space="preserve"> </w:t>
      </w:r>
      <w:r>
        <w:rPr>
          <w:color w:val="365F91"/>
          <w:spacing w:val="-2"/>
        </w:rPr>
        <w:t>Recommendations</w:t>
      </w:r>
    </w:p>
    <w:p w:rsidR="00200FDA" w:rsidRDefault="00200FDA">
      <w:pPr>
        <w:pStyle w:val="BodyText"/>
        <w:rPr>
          <w:sz w:val="20"/>
        </w:rPr>
      </w:pPr>
    </w:p>
    <w:p w:rsidR="00200FDA" w:rsidRDefault="00200FDA">
      <w:pPr>
        <w:pStyle w:val="BodyText"/>
        <w:rPr>
          <w:sz w:val="20"/>
        </w:rPr>
      </w:pPr>
    </w:p>
    <w:p w:rsidR="00200FDA" w:rsidRDefault="00F76C4C">
      <w:pPr>
        <w:pStyle w:val="ListParagraph"/>
        <w:numPr>
          <w:ilvl w:val="1"/>
          <w:numId w:val="23"/>
        </w:numPr>
        <w:tabs>
          <w:tab w:val="left" w:pos="1001"/>
        </w:tabs>
        <w:spacing w:before="180" w:line="360" w:lineRule="auto"/>
        <w:ind w:right="334"/>
        <w:jc w:val="both"/>
      </w:pPr>
      <w:r>
        <w:t>Develop an online training module on best practices for serving LGBTQ yout</w:t>
      </w:r>
      <w:r>
        <w:t>h and families, and offer in-person cultural awareness trainings for EEC staff.</w:t>
      </w:r>
    </w:p>
    <w:p w:rsidR="00200FDA" w:rsidRDefault="00F76C4C">
      <w:pPr>
        <w:pStyle w:val="ListParagraph"/>
        <w:numPr>
          <w:ilvl w:val="1"/>
          <w:numId w:val="23"/>
        </w:numPr>
        <w:tabs>
          <w:tab w:val="left" w:pos="1000"/>
        </w:tabs>
        <w:spacing w:before="1"/>
        <w:ind w:left="999"/>
        <w:jc w:val="both"/>
      </w:pPr>
      <w:r>
        <w:t>Clarify</w:t>
      </w:r>
      <w:r>
        <w:rPr>
          <w:spacing w:val="-5"/>
        </w:rPr>
        <w:t xml:space="preserve"> </w:t>
      </w:r>
      <w:r>
        <w:t>that</w:t>
      </w:r>
      <w:r>
        <w:rPr>
          <w:spacing w:val="-5"/>
        </w:rPr>
        <w:t xml:space="preserve"> </w:t>
      </w:r>
      <w:r>
        <w:t>providers</w:t>
      </w:r>
      <w:r>
        <w:rPr>
          <w:spacing w:val="-5"/>
        </w:rPr>
        <w:t xml:space="preserve"> </w:t>
      </w:r>
      <w:r>
        <w:t>can</w:t>
      </w:r>
      <w:r>
        <w:rPr>
          <w:spacing w:val="-4"/>
        </w:rPr>
        <w:t xml:space="preserve"> </w:t>
      </w:r>
      <w:r>
        <w:t>and</w:t>
      </w:r>
      <w:r>
        <w:rPr>
          <w:spacing w:val="-4"/>
        </w:rPr>
        <w:t xml:space="preserve"> </w:t>
      </w:r>
      <w:r>
        <w:t>should</w:t>
      </w:r>
      <w:r>
        <w:rPr>
          <w:spacing w:val="-5"/>
        </w:rPr>
        <w:t xml:space="preserve"> </w:t>
      </w:r>
      <w:r>
        <w:t>house</w:t>
      </w:r>
      <w:r>
        <w:rPr>
          <w:spacing w:val="-5"/>
        </w:rPr>
        <w:t xml:space="preserve"> </w:t>
      </w:r>
      <w:r>
        <w:t>transgender</w:t>
      </w:r>
      <w:r>
        <w:rPr>
          <w:spacing w:val="-4"/>
        </w:rPr>
        <w:t xml:space="preserve"> </w:t>
      </w:r>
      <w:r>
        <w:t>youth</w:t>
      </w:r>
      <w:r>
        <w:rPr>
          <w:spacing w:val="-4"/>
        </w:rPr>
        <w:t xml:space="preserve"> </w:t>
      </w:r>
      <w:r>
        <w:t>based</w:t>
      </w:r>
      <w:r>
        <w:rPr>
          <w:spacing w:val="-4"/>
        </w:rPr>
        <w:t xml:space="preserve"> </w:t>
      </w:r>
      <w:r>
        <w:t>on</w:t>
      </w:r>
      <w:r>
        <w:rPr>
          <w:spacing w:val="-7"/>
        </w:rPr>
        <w:t xml:space="preserve"> </w:t>
      </w:r>
      <w:r>
        <w:t>their</w:t>
      </w:r>
      <w:r>
        <w:rPr>
          <w:spacing w:val="-3"/>
        </w:rPr>
        <w:t xml:space="preserve"> </w:t>
      </w:r>
      <w:r>
        <w:t>gender</w:t>
      </w:r>
      <w:r>
        <w:rPr>
          <w:spacing w:val="-3"/>
        </w:rPr>
        <w:t xml:space="preserve"> </w:t>
      </w:r>
      <w:r>
        <w:rPr>
          <w:spacing w:val="-2"/>
        </w:rPr>
        <w:t>identity.</w:t>
      </w:r>
    </w:p>
    <w:p w:rsidR="00200FDA" w:rsidRDefault="00F76C4C">
      <w:pPr>
        <w:pStyle w:val="ListParagraph"/>
        <w:numPr>
          <w:ilvl w:val="1"/>
          <w:numId w:val="23"/>
        </w:numPr>
        <w:tabs>
          <w:tab w:val="left" w:pos="1001"/>
        </w:tabs>
        <w:spacing w:before="135" w:line="360" w:lineRule="auto"/>
        <w:ind w:right="334"/>
        <w:jc w:val="both"/>
      </w:pPr>
      <w:r>
        <w:t>Continue</w:t>
      </w:r>
      <w:r>
        <w:rPr>
          <w:spacing w:val="-13"/>
        </w:rPr>
        <w:t xml:space="preserve"> </w:t>
      </w:r>
      <w:r>
        <w:t>to</w:t>
      </w:r>
      <w:r>
        <w:rPr>
          <w:spacing w:val="-11"/>
        </w:rPr>
        <w:t xml:space="preserve"> </w:t>
      </w:r>
      <w:r>
        <w:t>collaborate</w:t>
      </w:r>
      <w:r>
        <w:rPr>
          <w:spacing w:val="-12"/>
        </w:rPr>
        <w:t xml:space="preserve"> </w:t>
      </w:r>
      <w:r>
        <w:t>with</w:t>
      </w:r>
      <w:r>
        <w:rPr>
          <w:spacing w:val="-13"/>
        </w:rPr>
        <w:t xml:space="preserve"> </w:t>
      </w:r>
      <w:r>
        <w:t>the</w:t>
      </w:r>
      <w:r>
        <w:rPr>
          <w:spacing w:val="-11"/>
        </w:rPr>
        <w:t xml:space="preserve"> </w:t>
      </w:r>
      <w:r>
        <w:t>Department</w:t>
      </w:r>
      <w:r>
        <w:rPr>
          <w:spacing w:val="-13"/>
        </w:rPr>
        <w:t xml:space="preserve"> </w:t>
      </w:r>
      <w:r>
        <w:t>of</w:t>
      </w:r>
      <w:r>
        <w:rPr>
          <w:spacing w:val="-12"/>
        </w:rPr>
        <w:t xml:space="preserve"> </w:t>
      </w:r>
      <w:r>
        <w:t>Elementary</w:t>
      </w:r>
      <w:r>
        <w:rPr>
          <w:spacing w:val="-12"/>
        </w:rPr>
        <w:t xml:space="preserve"> </w:t>
      </w:r>
      <w:r>
        <w:t>and</w:t>
      </w:r>
      <w:r>
        <w:rPr>
          <w:spacing w:val="-13"/>
        </w:rPr>
        <w:t xml:space="preserve"> </w:t>
      </w:r>
      <w:r>
        <w:t>Secondary</w:t>
      </w:r>
      <w:r>
        <w:rPr>
          <w:spacing w:val="-11"/>
        </w:rPr>
        <w:t xml:space="preserve"> </w:t>
      </w:r>
      <w:r>
        <w:t>Education</w:t>
      </w:r>
      <w:r>
        <w:rPr>
          <w:spacing w:val="-13"/>
        </w:rPr>
        <w:t xml:space="preserve"> </w:t>
      </w:r>
      <w:r>
        <w:t>(DESE)</w:t>
      </w:r>
      <w:r>
        <w:rPr>
          <w:spacing w:val="-11"/>
        </w:rPr>
        <w:t xml:space="preserve"> </w:t>
      </w:r>
      <w:r>
        <w:t>and other state agencies on the Statewide Family Engagement Framework (prenatal through post- secondary) to ensure that LGBTQ content and family diversity are well-represented.</w:t>
      </w:r>
    </w:p>
    <w:p w:rsidR="00200FDA" w:rsidRDefault="00F76C4C">
      <w:pPr>
        <w:pStyle w:val="ListParagraph"/>
        <w:numPr>
          <w:ilvl w:val="1"/>
          <w:numId w:val="23"/>
        </w:numPr>
        <w:tabs>
          <w:tab w:val="left" w:pos="1001"/>
        </w:tabs>
        <w:spacing w:line="267" w:lineRule="exact"/>
        <w:ind w:hanging="362"/>
        <w:jc w:val="both"/>
      </w:pPr>
      <w:r>
        <w:t>Include</w:t>
      </w:r>
      <w:r>
        <w:rPr>
          <w:spacing w:val="-5"/>
        </w:rPr>
        <w:t xml:space="preserve"> </w:t>
      </w:r>
      <w:r>
        <w:t>a</w:t>
      </w:r>
      <w:r>
        <w:rPr>
          <w:spacing w:val="-4"/>
        </w:rPr>
        <w:t xml:space="preserve"> </w:t>
      </w:r>
      <w:r>
        <w:t>non-binary</w:t>
      </w:r>
      <w:r>
        <w:rPr>
          <w:spacing w:val="-3"/>
        </w:rPr>
        <w:t xml:space="preserve"> </w:t>
      </w:r>
      <w:r>
        <w:t>gender</w:t>
      </w:r>
      <w:r>
        <w:rPr>
          <w:spacing w:val="-4"/>
        </w:rPr>
        <w:t xml:space="preserve"> </w:t>
      </w:r>
      <w:r>
        <w:t>marker</w:t>
      </w:r>
      <w:r>
        <w:rPr>
          <w:spacing w:val="-6"/>
        </w:rPr>
        <w:t xml:space="preserve"> </w:t>
      </w:r>
      <w:r>
        <w:t>option</w:t>
      </w:r>
      <w:r>
        <w:rPr>
          <w:spacing w:val="-5"/>
        </w:rPr>
        <w:t xml:space="preserve"> </w:t>
      </w:r>
      <w:r>
        <w:t>during</w:t>
      </w:r>
      <w:r>
        <w:rPr>
          <w:spacing w:val="-4"/>
        </w:rPr>
        <w:t xml:space="preserve"> </w:t>
      </w:r>
      <w:r>
        <w:t>the</w:t>
      </w:r>
      <w:r>
        <w:rPr>
          <w:spacing w:val="-6"/>
        </w:rPr>
        <w:t xml:space="preserve"> </w:t>
      </w:r>
      <w:r>
        <w:t>development</w:t>
      </w:r>
      <w:r>
        <w:rPr>
          <w:spacing w:val="-6"/>
        </w:rPr>
        <w:t xml:space="preserve"> </w:t>
      </w:r>
      <w:r>
        <w:t>of</w:t>
      </w:r>
      <w:r>
        <w:rPr>
          <w:spacing w:val="-4"/>
        </w:rPr>
        <w:t xml:space="preserve"> </w:t>
      </w:r>
      <w:r>
        <w:t>EEC’</w:t>
      </w:r>
      <w:r>
        <w:t>s</w:t>
      </w:r>
      <w:r>
        <w:rPr>
          <w:spacing w:val="-6"/>
        </w:rPr>
        <w:t xml:space="preserve"> </w:t>
      </w:r>
      <w:r>
        <w:t>online</w:t>
      </w:r>
      <w:r>
        <w:rPr>
          <w:spacing w:val="-2"/>
        </w:rPr>
        <w:t xml:space="preserve"> applications.</w:t>
      </w:r>
    </w:p>
    <w:p w:rsidR="00200FDA" w:rsidRDefault="00F76C4C">
      <w:pPr>
        <w:pStyle w:val="ListParagraph"/>
        <w:numPr>
          <w:ilvl w:val="1"/>
          <w:numId w:val="23"/>
        </w:numPr>
        <w:tabs>
          <w:tab w:val="left" w:pos="1001"/>
        </w:tabs>
        <w:spacing w:before="134"/>
        <w:ind w:hanging="362"/>
        <w:jc w:val="both"/>
      </w:pPr>
      <w:r>
        <w:t>Share</w:t>
      </w:r>
      <w:r>
        <w:rPr>
          <w:spacing w:val="-6"/>
        </w:rPr>
        <w:t xml:space="preserve"> </w:t>
      </w:r>
      <w:r>
        <w:t>information</w:t>
      </w:r>
      <w:r>
        <w:rPr>
          <w:spacing w:val="-5"/>
        </w:rPr>
        <w:t xml:space="preserve"> </w:t>
      </w:r>
      <w:r>
        <w:t>and</w:t>
      </w:r>
      <w:r>
        <w:rPr>
          <w:spacing w:val="-5"/>
        </w:rPr>
        <w:t xml:space="preserve"> </w:t>
      </w:r>
      <w:r>
        <w:t>best</w:t>
      </w:r>
      <w:r>
        <w:rPr>
          <w:spacing w:val="-6"/>
        </w:rPr>
        <w:t xml:space="preserve"> </w:t>
      </w:r>
      <w:r>
        <w:t>practices</w:t>
      </w:r>
      <w:r>
        <w:rPr>
          <w:spacing w:val="-6"/>
        </w:rPr>
        <w:t xml:space="preserve"> </w:t>
      </w:r>
      <w:r>
        <w:t>related</w:t>
      </w:r>
      <w:r>
        <w:rPr>
          <w:spacing w:val="-5"/>
        </w:rPr>
        <w:t xml:space="preserve"> </w:t>
      </w:r>
      <w:r>
        <w:t>to</w:t>
      </w:r>
      <w:r>
        <w:rPr>
          <w:spacing w:val="-5"/>
        </w:rPr>
        <w:t xml:space="preserve"> </w:t>
      </w:r>
      <w:r>
        <w:t>early</w:t>
      </w:r>
      <w:r>
        <w:rPr>
          <w:spacing w:val="-5"/>
        </w:rPr>
        <w:t xml:space="preserve"> </w:t>
      </w:r>
      <w:r>
        <w:t>education</w:t>
      </w:r>
      <w:r>
        <w:rPr>
          <w:spacing w:val="-5"/>
        </w:rPr>
        <w:t xml:space="preserve"> </w:t>
      </w:r>
      <w:r>
        <w:rPr>
          <w:spacing w:val="-2"/>
        </w:rPr>
        <w:t>populations.</w:t>
      </w:r>
    </w:p>
    <w:p w:rsidR="00200FDA" w:rsidRDefault="00200FDA">
      <w:pPr>
        <w:jc w:val="both"/>
        <w:sectPr w:rsidR="00200FDA">
          <w:headerReference w:type="default" r:id="rId765"/>
          <w:footerReference w:type="default" r:id="rId766"/>
          <w:pgSz w:w="12240" w:h="15840"/>
          <w:pgMar w:top="1260" w:right="1160" w:bottom="1240" w:left="1160" w:header="761" w:footer="1043" w:gutter="0"/>
          <w:cols w:space="720"/>
        </w:sectPr>
      </w:pPr>
    </w:p>
    <w:p w:rsidR="00200FDA" w:rsidRDefault="00200FDA">
      <w:pPr>
        <w:pStyle w:val="BodyText"/>
        <w:rPr>
          <w:sz w:val="10"/>
        </w:rPr>
      </w:pPr>
    </w:p>
    <w:p w:rsidR="00200FDA" w:rsidRDefault="00F76C4C">
      <w:pPr>
        <w:pStyle w:val="Heading7"/>
        <w:spacing w:before="44"/>
      </w:pPr>
      <w:r>
        <w:pict>
          <v:rect id="docshape501" o:spid="_x0000_s1109" style="position:absolute;left:0;text-align:left;margin-left:70.55pt;margin-top:20.35pt;width:470.9pt;height:.5pt;z-index:-15632384;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20"/>
        </w:rPr>
      </w:pPr>
    </w:p>
    <w:p w:rsidR="00200FDA" w:rsidRDefault="00200FDA">
      <w:pPr>
        <w:pStyle w:val="BodyText"/>
        <w:spacing w:before="4"/>
        <w:rPr>
          <w:sz w:val="20"/>
        </w:rPr>
      </w:pPr>
    </w:p>
    <w:p w:rsidR="00200FDA" w:rsidRDefault="00F76C4C">
      <w:pPr>
        <w:pStyle w:val="BodyText"/>
        <w:spacing w:before="56" w:line="276" w:lineRule="auto"/>
        <w:ind w:left="279" w:right="272"/>
        <w:jc w:val="both"/>
      </w:pPr>
      <w:r>
        <w:t>The</w:t>
      </w:r>
      <w:r>
        <w:rPr>
          <w:spacing w:val="-10"/>
        </w:rPr>
        <w:t xml:space="preserve"> </w:t>
      </w:r>
      <w:r>
        <w:t>Department</w:t>
      </w:r>
      <w:r>
        <w:rPr>
          <w:spacing w:val="-10"/>
        </w:rPr>
        <w:t xml:space="preserve"> </w:t>
      </w:r>
      <w:r>
        <w:t>of</w:t>
      </w:r>
      <w:r>
        <w:rPr>
          <w:spacing w:val="-11"/>
        </w:rPr>
        <w:t xml:space="preserve"> </w:t>
      </w:r>
      <w:r>
        <w:t>Early</w:t>
      </w:r>
      <w:r>
        <w:rPr>
          <w:spacing w:val="-10"/>
        </w:rPr>
        <w:t xml:space="preserve"> </w:t>
      </w:r>
      <w:r>
        <w:t>Education</w:t>
      </w:r>
      <w:r>
        <w:rPr>
          <w:spacing w:val="-11"/>
        </w:rPr>
        <w:t xml:space="preserve"> </w:t>
      </w:r>
      <w:r>
        <w:t>and</w:t>
      </w:r>
      <w:r>
        <w:rPr>
          <w:spacing w:val="-11"/>
        </w:rPr>
        <w:t xml:space="preserve"> </w:t>
      </w:r>
      <w:r>
        <w:t>Care</w:t>
      </w:r>
      <w:r>
        <w:rPr>
          <w:spacing w:val="-10"/>
        </w:rPr>
        <w:t xml:space="preserve"> </w:t>
      </w:r>
      <w:r>
        <w:t>(EEC)</w:t>
      </w:r>
      <w:r>
        <w:rPr>
          <w:spacing w:val="-10"/>
        </w:rPr>
        <w:t xml:space="preserve"> </w:t>
      </w:r>
      <w:r>
        <w:t>not</w:t>
      </w:r>
      <w:r>
        <w:rPr>
          <w:spacing w:val="-12"/>
        </w:rPr>
        <w:t xml:space="preserve"> </w:t>
      </w:r>
      <w:r>
        <w:t>only</w:t>
      </w:r>
      <w:r>
        <w:rPr>
          <w:spacing w:val="-10"/>
        </w:rPr>
        <w:t xml:space="preserve"> </w:t>
      </w:r>
      <w:r>
        <w:t>provides</w:t>
      </w:r>
      <w:r>
        <w:rPr>
          <w:spacing w:val="-10"/>
        </w:rPr>
        <w:t xml:space="preserve"> </w:t>
      </w:r>
      <w:r>
        <w:t>guidance</w:t>
      </w:r>
      <w:r>
        <w:rPr>
          <w:spacing w:val="-12"/>
        </w:rPr>
        <w:t xml:space="preserve"> </w:t>
      </w:r>
      <w:r>
        <w:t>on</w:t>
      </w:r>
      <w:r>
        <w:rPr>
          <w:spacing w:val="-11"/>
        </w:rPr>
        <w:t xml:space="preserve"> </w:t>
      </w:r>
      <w:r>
        <w:t>early</w:t>
      </w:r>
      <w:r>
        <w:rPr>
          <w:spacing w:val="-10"/>
        </w:rPr>
        <w:t xml:space="preserve"> </w:t>
      </w:r>
      <w:r>
        <w:t>education,</w:t>
      </w:r>
      <w:r>
        <w:rPr>
          <w:spacing w:val="-10"/>
        </w:rPr>
        <w:t xml:space="preserve"> </w:t>
      </w:r>
      <w:r>
        <w:t>but</w:t>
      </w:r>
      <w:r>
        <w:rPr>
          <w:spacing w:val="-10"/>
        </w:rPr>
        <w:t xml:space="preserve"> </w:t>
      </w:r>
      <w:r>
        <w:t>also assists teenage parents, and licenses child-serving organizations that work with the state government, including temporary shelters and foster homes. The Commission has worked with EEC for several years and is appreciative of EEC’s comm</w:t>
      </w:r>
      <w:r>
        <w:t>itment to youth of all ages under its care.</w:t>
      </w:r>
    </w:p>
    <w:p w:rsidR="00200FDA" w:rsidRDefault="00200FDA">
      <w:pPr>
        <w:pStyle w:val="BodyText"/>
        <w:spacing w:before="6"/>
        <w:rPr>
          <w:sz w:val="19"/>
        </w:rPr>
      </w:pPr>
    </w:p>
    <w:p w:rsidR="00200FDA" w:rsidRDefault="00F76C4C">
      <w:pPr>
        <w:pStyle w:val="BodyText"/>
        <w:spacing w:line="276" w:lineRule="auto"/>
        <w:ind w:left="280" w:right="332"/>
        <w:jc w:val="both"/>
      </w:pPr>
      <w:r>
        <w:t>EEC is well-positioned to support youth in early education programs, as well as LGBTQ youth impacted by systemic oppression through its process of licensing child-serving organizations, including temporary shelt</w:t>
      </w:r>
      <w:r>
        <w:t>ers and foster homes.</w:t>
      </w:r>
      <w:r>
        <w:rPr>
          <w:spacing w:val="-2"/>
        </w:rPr>
        <w:t xml:space="preserve"> </w:t>
      </w:r>
      <w:r>
        <w:t>The Commission continues</w:t>
      </w:r>
      <w:r>
        <w:rPr>
          <w:spacing w:val="-2"/>
        </w:rPr>
        <w:t xml:space="preserve"> </w:t>
      </w:r>
      <w:r>
        <w:t>to hear</w:t>
      </w:r>
      <w:r>
        <w:rPr>
          <w:spacing w:val="-2"/>
        </w:rPr>
        <w:t xml:space="preserve"> </w:t>
      </w:r>
      <w:r>
        <w:t>that agencies</w:t>
      </w:r>
      <w:r>
        <w:rPr>
          <w:spacing w:val="-2"/>
        </w:rPr>
        <w:t xml:space="preserve"> </w:t>
      </w:r>
      <w:r>
        <w:t>managing group homes are unsure of best practices for serving LGBTQ youth, and in particular that they believe existing licensing requirements</w:t>
      </w:r>
      <w:r>
        <w:rPr>
          <w:spacing w:val="-13"/>
        </w:rPr>
        <w:t xml:space="preserve"> </w:t>
      </w:r>
      <w:r>
        <w:t>are</w:t>
      </w:r>
      <w:r>
        <w:rPr>
          <w:spacing w:val="-12"/>
        </w:rPr>
        <w:t xml:space="preserve"> </w:t>
      </w:r>
      <w:r>
        <w:t>a</w:t>
      </w:r>
      <w:r>
        <w:rPr>
          <w:spacing w:val="-13"/>
        </w:rPr>
        <w:t xml:space="preserve"> </w:t>
      </w:r>
      <w:r>
        <w:t>barrier</w:t>
      </w:r>
      <w:r>
        <w:rPr>
          <w:spacing w:val="-12"/>
        </w:rPr>
        <w:t xml:space="preserve"> </w:t>
      </w:r>
      <w:r>
        <w:t>to</w:t>
      </w:r>
      <w:r>
        <w:rPr>
          <w:spacing w:val="-10"/>
        </w:rPr>
        <w:t xml:space="preserve"> </w:t>
      </w:r>
      <w:r>
        <w:t>housing</w:t>
      </w:r>
      <w:r>
        <w:rPr>
          <w:spacing w:val="-12"/>
        </w:rPr>
        <w:t xml:space="preserve"> </w:t>
      </w:r>
      <w:r>
        <w:t>transgender</w:t>
      </w:r>
      <w:r>
        <w:rPr>
          <w:spacing w:val="-13"/>
        </w:rPr>
        <w:t xml:space="preserve"> </w:t>
      </w:r>
      <w:r>
        <w:t>young</w:t>
      </w:r>
      <w:r>
        <w:rPr>
          <w:spacing w:val="-12"/>
        </w:rPr>
        <w:t xml:space="preserve"> </w:t>
      </w:r>
      <w:r>
        <w:t>p</w:t>
      </w:r>
      <w:r>
        <w:t>eople</w:t>
      </w:r>
      <w:r>
        <w:rPr>
          <w:spacing w:val="-11"/>
        </w:rPr>
        <w:t xml:space="preserve"> </w:t>
      </w:r>
      <w:r>
        <w:t>according</w:t>
      </w:r>
      <w:r>
        <w:rPr>
          <w:spacing w:val="-12"/>
        </w:rPr>
        <w:t xml:space="preserve"> </w:t>
      </w:r>
      <w:r>
        <w:t>to</w:t>
      </w:r>
      <w:r>
        <w:rPr>
          <w:spacing w:val="-10"/>
        </w:rPr>
        <w:t xml:space="preserve"> </w:t>
      </w:r>
      <w:r>
        <w:t>their</w:t>
      </w:r>
      <w:r>
        <w:rPr>
          <w:spacing w:val="-11"/>
        </w:rPr>
        <w:t xml:space="preserve"> </w:t>
      </w:r>
      <w:r>
        <w:t>gender</w:t>
      </w:r>
      <w:r>
        <w:rPr>
          <w:spacing w:val="-11"/>
        </w:rPr>
        <w:t xml:space="preserve"> </w:t>
      </w:r>
      <w:r>
        <w:t>identity</w:t>
      </w:r>
      <w:r>
        <w:rPr>
          <w:spacing w:val="-11"/>
        </w:rPr>
        <w:t xml:space="preserve"> </w:t>
      </w:r>
      <w:r>
        <w:t>rather than sex assigned at birth.</w:t>
      </w:r>
    </w:p>
    <w:p w:rsidR="00200FDA" w:rsidRDefault="00200FDA">
      <w:pPr>
        <w:pStyle w:val="BodyText"/>
        <w:spacing w:before="8"/>
        <w:rPr>
          <w:sz w:val="19"/>
        </w:rPr>
      </w:pPr>
    </w:p>
    <w:p w:rsidR="00200FDA" w:rsidRDefault="00F76C4C">
      <w:pPr>
        <w:pStyle w:val="BodyText"/>
        <w:spacing w:line="276" w:lineRule="auto"/>
        <w:ind w:left="280" w:right="276" w:firstLine="50"/>
        <w:jc w:val="both"/>
      </w:pPr>
      <w:r>
        <w:t>Beyond the recommendations issued below, the Commission looks forward to working with EEC to examine</w:t>
      </w:r>
      <w:r>
        <w:rPr>
          <w:spacing w:val="-13"/>
        </w:rPr>
        <w:t xml:space="preserve"> </w:t>
      </w:r>
      <w:r>
        <w:t>how</w:t>
      </w:r>
      <w:r>
        <w:rPr>
          <w:spacing w:val="-14"/>
        </w:rPr>
        <w:t xml:space="preserve"> </w:t>
      </w:r>
      <w:r>
        <w:t>LGBTQ</w:t>
      </w:r>
      <w:r>
        <w:rPr>
          <w:spacing w:val="-12"/>
        </w:rPr>
        <w:t xml:space="preserve"> </w:t>
      </w:r>
      <w:r>
        <w:t>competencies</w:t>
      </w:r>
      <w:r>
        <w:rPr>
          <w:spacing w:val="-13"/>
        </w:rPr>
        <w:t xml:space="preserve"> </w:t>
      </w:r>
      <w:r>
        <w:t>might</w:t>
      </w:r>
      <w:r>
        <w:rPr>
          <w:spacing w:val="-12"/>
        </w:rPr>
        <w:t xml:space="preserve"> </w:t>
      </w:r>
      <w:r>
        <w:t>be</w:t>
      </w:r>
      <w:r>
        <w:rPr>
          <w:spacing w:val="-13"/>
        </w:rPr>
        <w:t xml:space="preserve"> </w:t>
      </w:r>
      <w:r>
        <w:t>included</w:t>
      </w:r>
      <w:r>
        <w:rPr>
          <w:spacing w:val="-13"/>
        </w:rPr>
        <w:t xml:space="preserve"> </w:t>
      </w:r>
      <w:r>
        <w:t>in</w:t>
      </w:r>
      <w:r>
        <w:rPr>
          <w:spacing w:val="-12"/>
        </w:rPr>
        <w:t xml:space="preserve"> </w:t>
      </w:r>
      <w:r>
        <w:t>the</w:t>
      </w:r>
      <w:r>
        <w:rPr>
          <w:spacing w:val="-13"/>
        </w:rPr>
        <w:t xml:space="preserve"> </w:t>
      </w:r>
      <w:r>
        <w:t>Professional</w:t>
      </w:r>
      <w:r>
        <w:rPr>
          <w:spacing w:val="-12"/>
        </w:rPr>
        <w:t xml:space="preserve"> </w:t>
      </w:r>
      <w:r>
        <w:t>Qualifications</w:t>
      </w:r>
      <w:r>
        <w:rPr>
          <w:spacing w:val="-12"/>
        </w:rPr>
        <w:t xml:space="preserve"> </w:t>
      </w:r>
      <w:r>
        <w:t>Re</w:t>
      </w:r>
      <w:r>
        <w:t>gistry</w:t>
      </w:r>
      <w:r>
        <w:rPr>
          <w:spacing w:val="-13"/>
        </w:rPr>
        <w:t xml:space="preserve"> </w:t>
      </w:r>
      <w:r>
        <w:t>database.</w:t>
      </w:r>
    </w:p>
    <w:p w:rsidR="00200FDA" w:rsidRDefault="00200FDA">
      <w:pPr>
        <w:pStyle w:val="BodyText"/>
      </w:pPr>
    </w:p>
    <w:p w:rsidR="00200FDA" w:rsidRDefault="00200FDA">
      <w:pPr>
        <w:pStyle w:val="BodyText"/>
      </w:pPr>
    </w:p>
    <w:p w:rsidR="00200FDA" w:rsidRDefault="00200FDA">
      <w:pPr>
        <w:pStyle w:val="BodyText"/>
        <w:spacing w:before="2"/>
        <w:rPr>
          <w:sz w:val="17"/>
        </w:rPr>
      </w:pPr>
    </w:p>
    <w:p w:rsidR="00200FDA" w:rsidRDefault="00F76C4C">
      <w:pPr>
        <w:pStyle w:val="Heading7"/>
        <w:jc w:val="both"/>
      </w:pPr>
      <w:r>
        <w:pict>
          <v:rect id="docshape502" o:spid="_x0000_s1108" style="position:absolute;left:0;text-align:left;margin-left:70.55pt;margin-top:17.9pt;width:470.9pt;height:.5pt;z-index:-15631872;mso-wrap-distance-left:0;mso-wrap-distance-right:0;mso-position-horizontal-relative:page" fillcolor="#4f81bc" stroked="f">
            <w10:wrap type="topAndBottom" anchorx="page"/>
          </v:rect>
        </w:pict>
      </w:r>
      <w:bookmarkStart w:id="1058" w:name="FY_2024_Expanded_EEC_Recommendations"/>
      <w:bookmarkEnd w:id="1058"/>
      <w:r>
        <w:rPr>
          <w:color w:val="365F91"/>
        </w:rPr>
        <w:t>FY</w:t>
      </w:r>
      <w:r>
        <w:rPr>
          <w:color w:val="365F91"/>
          <w:spacing w:val="-4"/>
        </w:rPr>
        <w:t xml:space="preserve"> </w:t>
      </w:r>
      <w:r>
        <w:rPr>
          <w:color w:val="365F91"/>
        </w:rPr>
        <w:t>2024</w:t>
      </w:r>
      <w:r>
        <w:rPr>
          <w:color w:val="365F91"/>
          <w:spacing w:val="-5"/>
        </w:rPr>
        <w:t xml:space="preserve"> </w:t>
      </w:r>
      <w:r>
        <w:rPr>
          <w:color w:val="365F91"/>
        </w:rPr>
        <w:t>Expanded</w:t>
      </w:r>
      <w:r>
        <w:rPr>
          <w:color w:val="365F91"/>
          <w:spacing w:val="-2"/>
        </w:rPr>
        <w:t xml:space="preserve"> </w:t>
      </w:r>
      <w:r>
        <w:rPr>
          <w:color w:val="365F91"/>
        </w:rPr>
        <w:t>EEC</w:t>
      </w:r>
      <w:r>
        <w:rPr>
          <w:color w:val="365F91"/>
          <w:spacing w:val="-4"/>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22"/>
        </w:numPr>
        <w:tabs>
          <w:tab w:val="left" w:pos="499"/>
        </w:tabs>
        <w:spacing w:before="56" w:line="276" w:lineRule="auto"/>
        <w:ind w:right="338" w:firstLine="0"/>
      </w:pPr>
      <w:r>
        <w:t>Develop</w:t>
      </w:r>
      <w:r>
        <w:rPr>
          <w:spacing w:val="-7"/>
        </w:rPr>
        <w:t xml:space="preserve"> </w:t>
      </w:r>
      <w:r>
        <w:t>an</w:t>
      </w:r>
      <w:r>
        <w:rPr>
          <w:spacing w:val="-7"/>
        </w:rPr>
        <w:t xml:space="preserve"> </w:t>
      </w:r>
      <w:r>
        <w:t>online</w:t>
      </w:r>
      <w:r>
        <w:rPr>
          <w:spacing w:val="-7"/>
        </w:rPr>
        <w:t xml:space="preserve"> </w:t>
      </w:r>
      <w:r>
        <w:t>training</w:t>
      </w:r>
      <w:r>
        <w:rPr>
          <w:spacing w:val="-6"/>
        </w:rPr>
        <w:t xml:space="preserve"> </w:t>
      </w:r>
      <w:r>
        <w:t>module</w:t>
      </w:r>
      <w:r>
        <w:rPr>
          <w:spacing w:val="-7"/>
        </w:rPr>
        <w:t xml:space="preserve"> </w:t>
      </w:r>
      <w:r>
        <w:t>on</w:t>
      </w:r>
      <w:r>
        <w:rPr>
          <w:spacing w:val="-7"/>
        </w:rPr>
        <w:t xml:space="preserve"> </w:t>
      </w:r>
      <w:r>
        <w:t>best</w:t>
      </w:r>
      <w:r>
        <w:rPr>
          <w:spacing w:val="-6"/>
        </w:rPr>
        <w:t xml:space="preserve"> </w:t>
      </w:r>
      <w:r>
        <w:t>practices</w:t>
      </w:r>
      <w:r>
        <w:rPr>
          <w:spacing w:val="-6"/>
        </w:rPr>
        <w:t xml:space="preserve"> </w:t>
      </w:r>
      <w:r>
        <w:t>for</w:t>
      </w:r>
      <w:r>
        <w:rPr>
          <w:spacing w:val="-6"/>
        </w:rPr>
        <w:t xml:space="preserve"> </w:t>
      </w:r>
      <w:r>
        <w:t>serving</w:t>
      </w:r>
      <w:r>
        <w:rPr>
          <w:spacing w:val="-6"/>
        </w:rPr>
        <w:t xml:space="preserve"> </w:t>
      </w:r>
      <w:r>
        <w:t>LGBTQ</w:t>
      </w:r>
      <w:r>
        <w:rPr>
          <w:spacing w:val="-9"/>
        </w:rPr>
        <w:t xml:space="preserve"> </w:t>
      </w:r>
      <w:r>
        <w:t>youth</w:t>
      </w:r>
      <w:r>
        <w:rPr>
          <w:spacing w:val="-7"/>
        </w:rPr>
        <w:t xml:space="preserve"> </w:t>
      </w:r>
      <w:r>
        <w:t>and</w:t>
      </w:r>
      <w:r>
        <w:rPr>
          <w:spacing w:val="-7"/>
        </w:rPr>
        <w:t xml:space="preserve"> </w:t>
      </w:r>
      <w:r>
        <w:t>families,</w:t>
      </w:r>
      <w:r>
        <w:rPr>
          <w:spacing w:val="-6"/>
        </w:rPr>
        <w:t xml:space="preserve"> </w:t>
      </w:r>
      <w:r>
        <w:t>and</w:t>
      </w:r>
      <w:r>
        <w:rPr>
          <w:spacing w:val="-10"/>
        </w:rPr>
        <w:t xml:space="preserve"> </w:t>
      </w:r>
      <w:r>
        <w:t>offer in-person cultural awareness trainings for EEC staff.</w:t>
      </w:r>
    </w:p>
    <w:p w:rsidR="00200FDA" w:rsidRDefault="00200FDA">
      <w:pPr>
        <w:pStyle w:val="BodyText"/>
        <w:spacing w:before="10"/>
        <w:rPr>
          <w:b/>
          <w:sz w:val="19"/>
        </w:rPr>
      </w:pPr>
    </w:p>
    <w:p w:rsidR="00200FDA" w:rsidRDefault="00F76C4C">
      <w:pPr>
        <w:pStyle w:val="BodyText"/>
        <w:spacing w:line="276" w:lineRule="auto"/>
        <w:ind w:left="279" w:right="316"/>
        <w:jc w:val="both"/>
      </w:pPr>
      <w:r>
        <w:t>Like many state agencies, EEC relies on online training modules for many of its trainings. Therefore, the Commission recommends that in the upcoming fiscal year EEC develops a regularly-updated module, or continuing</w:t>
      </w:r>
      <w:r>
        <w:rPr>
          <w:spacing w:val="-13"/>
        </w:rPr>
        <w:t xml:space="preserve"> </w:t>
      </w:r>
      <w:r>
        <w:t>education</w:t>
      </w:r>
      <w:r>
        <w:rPr>
          <w:spacing w:val="-12"/>
        </w:rPr>
        <w:t xml:space="preserve"> </w:t>
      </w:r>
      <w:r>
        <w:t>unit,</w:t>
      </w:r>
      <w:r>
        <w:rPr>
          <w:spacing w:val="-13"/>
        </w:rPr>
        <w:t xml:space="preserve"> </w:t>
      </w:r>
      <w:r>
        <w:t>that</w:t>
      </w:r>
      <w:r>
        <w:rPr>
          <w:spacing w:val="-12"/>
        </w:rPr>
        <w:t xml:space="preserve"> </w:t>
      </w:r>
      <w:r>
        <w:t>incorporates</w:t>
      </w:r>
      <w:r>
        <w:rPr>
          <w:spacing w:val="-13"/>
        </w:rPr>
        <w:t xml:space="preserve"> </w:t>
      </w:r>
      <w:r>
        <w:t>agency</w:t>
      </w:r>
      <w:r>
        <w:t>-specific</w:t>
      </w:r>
      <w:r>
        <w:rPr>
          <w:spacing w:val="-12"/>
        </w:rPr>
        <w:t xml:space="preserve"> </w:t>
      </w:r>
      <w:r>
        <w:t>information</w:t>
      </w:r>
      <w:r>
        <w:rPr>
          <w:spacing w:val="-13"/>
        </w:rPr>
        <w:t xml:space="preserve"> </w:t>
      </w:r>
      <w:r>
        <w:t>around</w:t>
      </w:r>
      <w:r>
        <w:rPr>
          <w:spacing w:val="-12"/>
        </w:rPr>
        <w:t xml:space="preserve"> </w:t>
      </w:r>
      <w:r>
        <w:t>supporting</w:t>
      </w:r>
      <w:r>
        <w:rPr>
          <w:spacing w:val="-12"/>
        </w:rPr>
        <w:t xml:space="preserve"> </w:t>
      </w:r>
      <w:r>
        <w:t>LGBTQ</w:t>
      </w:r>
      <w:r>
        <w:rPr>
          <w:spacing w:val="-13"/>
        </w:rPr>
        <w:t xml:space="preserve"> </w:t>
      </w:r>
      <w:r>
        <w:t>youth and families. The Commission and its Safe Schools Program have been in conversations for a handful of years</w:t>
      </w:r>
      <w:r>
        <w:rPr>
          <w:spacing w:val="-9"/>
        </w:rPr>
        <w:t xml:space="preserve"> </w:t>
      </w:r>
      <w:r>
        <w:t>about</w:t>
      </w:r>
      <w:r>
        <w:rPr>
          <w:spacing w:val="-8"/>
        </w:rPr>
        <w:t xml:space="preserve"> </w:t>
      </w:r>
      <w:r>
        <w:t>how</w:t>
      </w:r>
      <w:r>
        <w:rPr>
          <w:spacing w:val="-8"/>
        </w:rPr>
        <w:t xml:space="preserve"> </w:t>
      </w:r>
      <w:r>
        <w:t>best</w:t>
      </w:r>
      <w:r>
        <w:rPr>
          <w:spacing w:val="-8"/>
        </w:rPr>
        <w:t xml:space="preserve"> </w:t>
      </w:r>
      <w:r>
        <w:t>to</w:t>
      </w:r>
      <w:r>
        <w:rPr>
          <w:spacing w:val="-8"/>
        </w:rPr>
        <w:t xml:space="preserve"> </w:t>
      </w:r>
      <w:r>
        <w:t>develop</w:t>
      </w:r>
      <w:r>
        <w:rPr>
          <w:spacing w:val="-10"/>
        </w:rPr>
        <w:t xml:space="preserve"> </w:t>
      </w:r>
      <w:r>
        <w:t>this</w:t>
      </w:r>
      <w:r>
        <w:rPr>
          <w:spacing w:val="-9"/>
        </w:rPr>
        <w:t xml:space="preserve"> </w:t>
      </w:r>
      <w:r>
        <w:t>training,</w:t>
      </w:r>
      <w:r>
        <w:rPr>
          <w:spacing w:val="-9"/>
        </w:rPr>
        <w:t xml:space="preserve"> </w:t>
      </w:r>
      <w:r>
        <w:t>and</w:t>
      </w:r>
      <w:r>
        <w:rPr>
          <w:spacing w:val="-10"/>
        </w:rPr>
        <w:t xml:space="preserve"> </w:t>
      </w:r>
      <w:r>
        <w:t>look</w:t>
      </w:r>
      <w:r>
        <w:rPr>
          <w:spacing w:val="-11"/>
        </w:rPr>
        <w:t xml:space="preserve"> </w:t>
      </w:r>
      <w:r>
        <w:t>forward</w:t>
      </w:r>
      <w:r>
        <w:rPr>
          <w:spacing w:val="-12"/>
        </w:rPr>
        <w:t xml:space="preserve"> </w:t>
      </w:r>
      <w:r>
        <w:t>to</w:t>
      </w:r>
      <w:r>
        <w:rPr>
          <w:spacing w:val="-10"/>
        </w:rPr>
        <w:t xml:space="preserve"> </w:t>
      </w:r>
      <w:r>
        <w:t>continuing</w:t>
      </w:r>
      <w:r>
        <w:rPr>
          <w:spacing w:val="-10"/>
        </w:rPr>
        <w:t xml:space="preserve"> </w:t>
      </w:r>
      <w:r>
        <w:t>to</w:t>
      </w:r>
      <w:r>
        <w:rPr>
          <w:spacing w:val="-8"/>
        </w:rPr>
        <w:t xml:space="preserve"> </w:t>
      </w:r>
      <w:r>
        <w:t>support</w:t>
      </w:r>
      <w:r>
        <w:rPr>
          <w:spacing w:val="-8"/>
        </w:rPr>
        <w:t xml:space="preserve"> </w:t>
      </w:r>
      <w:r>
        <w:t>as</w:t>
      </w:r>
      <w:r>
        <w:rPr>
          <w:spacing w:val="-9"/>
        </w:rPr>
        <w:t xml:space="preserve"> </w:t>
      </w:r>
      <w:r>
        <w:t>EEC</w:t>
      </w:r>
      <w:r>
        <w:rPr>
          <w:spacing w:val="-9"/>
        </w:rPr>
        <w:t xml:space="preserve"> </w:t>
      </w:r>
      <w:r>
        <w:t>navigates this development.</w:t>
      </w:r>
    </w:p>
    <w:p w:rsidR="00200FDA" w:rsidRDefault="00200FDA">
      <w:pPr>
        <w:pStyle w:val="BodyText"/>
        <w:spacing w:before="7"/>
        <w:rPr>
          <w:sz w:val="19"/>
        </w:rPr>
      </w:pPr>
    </w:p>
    <w:p w:rsidR="00200FDA" w:rsidRDefault="00F76C4C">
      <w:pPr>
        <w:pStyle w:val="BodyText"/>
        <w:spacing w:line="276" w:lineRule="auto"/>
        <w:ind w:left="279" w:right="315"/>
        <w:jc w:val="both"/>
      </w:pPr>
      <w:r>
        <w:t>Furthermore, the Commission recommends that EEC offer mandatory in-person LGBTQ cultural awareness trainings for its staff that includes information on best practices for creating safe, affirming, and trauma-informed environments for LGBTQ youth and famili</w:t>
      </w:r>
      <w:r>
        <w:t>es. Training should also include an analysis of structural issues and systems of oppression impacting LGBTQ youth, and how EEC fits within the work of interrupting those systems. The Commission urges EEC to collaborate with community partners and other sta</w:t>
      </w:r>
      <w:r>
        <w:t>te agencies to ensure that educators and staff receive in-depth training and professional development on a recurring basis. Over FY 2023, the Commission and EEC have been engaged in conversations around facilitating training sessions through the Commission</w:t>
      </w:r>
      <w:r>
        <w:t xml:space="preserve">’s own agency training system, and the Commission looks forward to continuing these conversations in the upcoming </w:t>
      </w:r>
      <w:r>
        <w:rPr>
          <w:spacing w:val="-2"/>
        </w:rPr>
        <w:t>weeks.</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20"/>
        </w:rPr>
      </w:pPr>
    </w:p>
    <w:p w:rsidR="00200FDA" w:rsidRDefault="00200FDA">
      <w:pPr>
        <w:pStyle w:val="BodyText"/>
        <w:spacing w:before="11"/>
        <w:rPr>
          <w:sz w:val="18"/>
        </w:rPr>
      </w:pPr>
    </w:p>
    <w:p w:rsidR="00200FDA" w:rsidRDefault="00F76C4C">
      <w:pPr>
        <w:pStyle w:val="Heading9"/>
        <w:numPr>
          <w:ilvl w:val="0"/>
          <w:numId w:val="22"/>
        </w:numPr>
        <w:tabs>
          <w:tab w:val="left" w:pos="501"/>
        </w:tabs>
        <w:spacing w:before="1"/>
        <w:ind w:left="500" w:hanging="221"/>
        <w:jc w:val="both"/>
      </w:pPr>
      <w:r>
        <w:t>Clarify</w:t>
      </w:r>
      <w:r>
        <w:rPr>
          <w:spacing w:val="-5"/>
        </w:rPr>
        <w:t xml:space="preserve"> </w:t>
      </w:r>
      <w:r>
        <w:t>that</w:t>
      </w:r>
      <w:r>
        <w:rPr>
          <w:spacing w:val="-4"/>
        </w:rPr>
        <w:t xml:space="preserve"> </w:t>
      </w:r>
      <w:r>
        <w:t>providers</w:t>
      </w:r>
      <w:r>
        <w:rPr>
          <w:spacing w:val="-3"/>
        </w:rPr>
        <w:t xml:space="preserve"> </w:t>
      </w:r>
      <w:r>
        <w:t>can</w:t>
      </w:r>
      <w:r>
        <w:rPr>
          <w:spacing w:val="-5"/>
        </w:rPr>
        <w:t xml:space="preserve"> </w:t>
      </w:r>
      <w:r>
        <w:t>and</w:t>
      </w:r>
      <w:r>
        <w:rPr>
          <w:spacing w:val="-5"/>
        </w:rPr>
        <w:t xml:space="preserve"> </w:t>
      </w:r>
      <w:r>
        <w:t>should</w:t>
      </w:r>
      <w:r>
        <w:rPr>
          <w:spacing w:val="-5"/>
        </w:rPr>
        <w:t xml:space="preserve"> </w:t>
      </w:r>
      <w:r>
        <w:t>house</w:t>
      </w:r>
      <w:r>
        <w:rPr>
          <w:spacing w:val="-4"/>
        </w:rPr>
        <w:t xml:space="preserve"> </w:t>
      </w:r>
      <w:r>
        <w:t>transgender</w:t>
      </w:r>
      <w:r>
        <w:rPr>
          <w:spacing w:val="-3"/>
        </w:rPr>
        <w:t xml:space="preserve"> </w:t>
      </w:r>
      <w:r>
        <w:t>youth</w:t>
      </w:r>
      <w:r>
        <w:rPr>
          <w:spacing w:val="-5"/>
        </w:rPr>
        <w:t xml:space="preserve"> </w:t>
      </w:r>
      <w:r>
        <w:t>based</w:t>
      </w:r>
      <w:r>
        <w:rPr>
          <w:spacing w:val="-5"/>
        </w:rPr>
        <w:t xml:space="preserve"> </w:t>
      </w:r>
      <w:r>
        <w:t>on</w:t>
      </w:r>
      <w:r>
        <w:rPr>
          <w:spacing w:val="-5"/>
        </w:rPr>
        <w:t xml:space="preserve"> </w:t>
      </w:r>
      <w:r>
        <w:t>their</w:t>
      </w:r>
      <w:r>
        <w:rPr>
          <w:spacing w:val="-3"/>
        </w:rPr>
        <w:t xml:space="preserve"> </w:t>
      </w:r>
      <w:r>
        <w:t>gender</w:t>
      </w:r>
      <w:r>
        <w:rPr>
          <w:spacing w:val="-5"/>
        </w:rPr>
        <w:t xml:space="preserve"> </w:t>
      </w:r>
      <w:r>
        <w:rPr>
          <w:spacing w:val="-2"/>
        </w:rPr>
        <w:t>identity.</w:t>
      </w:r>
    </w:p>
    <w:p w:rsidR="00200FDA" w:rsidRDefault="00200FDA">
      <w:pPr>
        <w:pStyle w:val="BodyText"/>
        <w:spacing w:before="9"/>
        <w:rPr>
          <w:b/>
        </w:rPr>
      </w:pPr>
    </w:p>
    <w:p w:rsidR="00200FDA" w:rsidRDefault="00F76C4C">
      <w:pPr>
        <w:pStyle w:val="BodyText"/>
        <w:spacing w:before="1" w:line="276" w:lineRule="auto"/>
        <w:ind w:left="279" w:right="334"/>
        <w:jc w:val="both"/>
      </w:pPr>
      <w:r>
        <w:t>Without affirming placem</w:t>
      </w:r>
      <w:r>
        <w:t>ents, transgender young people experience barriers to success and stability. Where relevant, the Commission continues to recommend that EEC update the Residential and Placement regulations to include protection against discrimination based on gender identi</w:t>
      </w:r>
      <w:r>
        <w:t>ty and to include youth voice and autonomy in decision-making around room assignments and programming. These</w:t>
      </w:r>
      <w:r>
        <w:rPr>
          <w:spacing w:val="-12"/>
        </w:rPr>
        <w:t xml:space="preserve"> </w:t>
      </w:r>
      <w:r>
        <w:t>updates</w:t>
      </w:r>
      <w:r>
        <w:rPr>
          <w:spacing w:val="-13"/>
        </w:rPr>
        <w:t xml:space="preserve"> </w:t>
      </w:r>
      <w:r>
        <w:t>would</w:t>
      </w:r>
      <w:r>
        <w:rPr>
          <w:spacing w:val="-11"/>
        </w:rPr>
        <w:t xml:space="preserve"> </w:t>
      </w:r>
      <w:r>
        <w:t>ensure</w:t>
      </w:r>
      <w:r>
        <w:rPr>
          <w:spacing w:val="-11"/>
        </w:rPr>
        <w:t xml:space="preserve"> </w:t>
      </w:r>
      <w:r>
        <w:t>that</w:t>
      </w:r>
      <w:r>
        <w:rPr>
          <w:spacing w:val="-11"/>
        </w:rPr>
        <w:t xml:space="preserve"> </w:t>
      </w:r>
      <w:r>
        <w:t>licensees</w:t>
      </w:r>
      <w:r>
        <w:rPr>
          <w:spacing w:val="-13"/>
        </w:rPr>
        <w:t xml:space="preserve"> </w:t>
      </w:r>
      <w:r>
        <w:t>make</w:t>
      </w:r>
      <w:r>
        <w:rPr>
          <w:spacing w:val="-10"/>
        </w:rPr>
        <w:t xml:space="preserve"> </w:t>
      </w:r>
      <w:r>
        <w:t>housing</w:t>
      </w:r>
      <w:r>
        <w:rPr>
          <w:spacing w:val="-12"/>
        </w:rPr>
        <w:t xml:space="preserve"> </w:t>
      </w:r>
      <w:r>
        <w:t>and</w:t>
      </w:r>
      <w:r>
        <w:rPr>
          <w:spacing w:val="-12"/>
        </w:rPr>
        <w:t xml:space="preserve"> </w:t>
      </w:r>
      <w:r>
        <w:t>placement</w:t>
      </w:r>
      <w:r>
        <w:rPr>
          <w:spacing w:val="-11"/>
        </w:rPr>
        <w:t xml:space="preserve"> </w:t>
      </w:r>
      <w:r>
        <w:t>decisions</w:t>
      </w:r>
      <w:r>
        <w:rPr>
          <w:spacing w:val="-13"/>
        </w:rPr>
        <w:t xml:space="preserve"> </w:t>
      </w:r>
      <w:r>
        <w:t>for</w:t>
      </w:r>
      <w:r>
        <w:rPr>
          <w:spacing w:val="-11"/>
        </w:rPr>
        <w:t xml:space="preserve"> </w:t>
      </w:r>
      <w:r>
        <w:t>transgender</w:t>
      </w:r>
      <w:r>
        <w:rPr>
          <w:spacing w:val="-12"/>
        </w:rPr>
        <w:t xml:space="preserve"> </w:t>
      </w:r>
      <w:r>
        <w:t>youth in residential programs based on their gender identities, consistent with best practices and the preferences of the young person. When any young person expresses safety-based concerns, EEC should support licensed programs in making individualized hou</w:t>
      </w:r>
      <w:r>
        <w:t xml:space="preserve">sing and placement decisions for the young </w:t>
      </w:r>
      <w:r>
        <w:rPr>
          <w:spacing w:val="-2"/>
        </w:rPr>
        <w:t>person.</w:t>
      </w:r>
    </w:p>
    <w:p w:rsidR="00200FDA" w:rsidRDefault="00200FDA">
      <w:pPr>
        <w:pStyle w:val="BodyText"/>
        <w:spacing w:before="9"/>
        <w:rPr>
          <w:sz w:val="19"/>
        </w:rPr>
      </w:pPr>
    </w:p>
    <w:p w:rsidR="00200FDA" w:rsidRDefault="00F76C4C">
      <w:pPr>
        <w:pStyle w:val="BodyText"/>
        <w:ind w:left="279"/>
        <w:jc w:val="both"/>
      </w:pPr>
      <w:r>
        <w:t>Specifically,</w:t>
      </w:r>
      <w:r>
        <w:rPr>
          <w:spacing w:val="-9"/>
        </w:rPr>
        <w:t xml:space="preserve"> </w:t>
      </w:r>
      <w:r>
        <w:t>the</w:t>
      </w:r>
      <w:r>
        <w:rPr>
          <w:spacing w:val="-6"/>
        </w:rPr>
        <w:t xml:space="preserve"> </w:t>
      </w:r>
      <w:r>
        <w:t>Commission</w:t>
      </w:r>
      <w:r>
        <w:rPr>
          <w:spacing w:val="-7"/>
        </w:rPr>
        <w:t xml:space="preserve"> </w:t>
      </w:r>
      <w:r>
        <w:t>recommends</w:t>
      </w:r>
      <w:r>
        <w:rPr>
          <w:spacing w:val="-8"/>
        </w:rPr>
        <w:t xml:space="preserve"> </w:t>
      </w:r>
      <w:r>
        <w:rPr>
          <w:spacing w:val="-4"/>
        </w:rPr>
        <w:t>that:</w:t>
      </w:r>
    </w:p>
    <w:p w:rsidR="00200FDA" w:rsidRDefault="00200FDA">
      <w:pPr>
        <w:pStyle w:val="BodyText"/>
        <w:spacing w:before="10"/>
      </w:pPr>
    </w:p>
    <w:p w:rsidR="00200FDA" w:rsidRDefault="00F76C4C">
      <w:pPr>
        <w:pStyle w:val="ListParagraph"/>
        <w:numPr>
          <w:ilvl w:val="1"/>
          <w:numId w:val="22"/>
        </w:numPr>
        <w:tabs>
          <w:tab w:val="left" w:pos="1000"/>
        </w:tabs>
        <w:spacing w:line="276" w:lineRule="auto"/>
        <w:ind w:right="335"/>
      </w:pPr>
      <w:r>
        <w:t>EEC</w:t>
      </w:r>
      <w:r>
        <w:rPr>
          <w:spacing w:val="40"/>
        </w:rPr>
        <w:t xml:space="preserve"> </w:t>
      </w:r>
      <w:r>
        <w:t>update</w:t>
      </w:r>
      <w:r>
        <w:rPr>
          <w:spacing w:val="40"/>
        </w:rPr>
        <w:t xml:space="preserve"> </w:t>
      </w:r>
      <w:r>
        <w:t>the</w:t>
      </w:r>
      <w:r>
        <w:rPr>
          <w:spacing w:val="40"/>
        </w:rPr>
        <w:t xml:space="preserve"> </w:t>
      </w:r>
      <w:r>
        <w:t>Residential</w:t>
      </w:r>
      <w:r>
        <w:rPr>
          <w:spacing w:val="40"/>
        </w:rPr>
        <w:t xml:space="preserve"> </w:t>
      </w:r>
      <w:r>
        <w:t>and</w:t>
      </w:r>
      <w:r>
        <w:rPr>
          <w:spacing w:val="40"/>
        </w:rPr>
        <w:t xml:space="preserve"> </w:t>
      </w:r>
      <w:r>
        <w:t>Placement</w:t>
      </w:r>
      <w:r>
        <w:rPr>
          <w:spacing w:val="40"/>
        </w:rPr>
        <w:t xml:space="preserve"> </w:t>
      </w:r>
      <w:r>
        <w:t>regulation</w:t>
      </w:r>
      <w:r>
        <w:rPr>
          <w:spacing w:val="40"/>
        </w:rPr>
        <w:t xml:space="preserve"> </w:t>
      </w:r>
      <w:r>
        <w:t>3.04</w:t>
      </w:r>
      <w:r>
        <w:rPr>
          <w:spacing w:val="40"/>
        </w:rPr>
        <w:t xml:space="preserve"> </w:t>
      </w:r>
      <w:r>
        <w:t>(03)(l)</w:t>
      </w:r>
      <w:r>
        <w:rPr>
          <w:spacing w:val="40"/>
        </w:rPr>
        <w:t xml:space="preserve"> </w:t>
      </w:r>
      <w:r>
        <w:t>to</w:t>
      </w:r>
      <w:r>
        <w:rPr>
          <w:spacing w:val="40"/>
        </w:rPr>
        <w:t xml:space="preserve"> </w:t>
      </w:r>
      <w:r>
        <w:t>include</w:t>
      </w:r>
      <w:r>
        <w:rPr>
          <w:spacing w:val="40"/>
        </w:rPr>
        <w:t xml:space="preserve"> </w:t>
      </w:r>
      <w:r>
        <w:t>discrimination protections for gender identity:</w:t>
      </w:r>
    </w:p>
    <w:p w:rsidR="00200FDA" w:rsidRDefault="00200FDA">
      <w:pPr>
        <w:pStyle w:val="BodyText"/>
      </w:pPr>
    </w:p>
    <w:p w:rsidR="00200FDA" w:rsidRDefault="00200FDA">
      <w:pPr>
        <w:pStyle w:val="BodyText"/>
      </w:pPr>
    </w:p>
    <w:p w:rsidR="00200FDA" w:rsidRDefault="00200FDA">
      <w:pPr>
        <w:pStyle w:val="BodyText"/>
        <w:spacing w:before="8"/>
        <w:rPr>
          <w:sz w:val="20"/>
        </w:rPr>
      </w:pPr>
    </w:p>
    <w:p w:rsidR="00200FDA" w:rsidRDefault="00F76C4C">
      <w:pPr>
        <w:spacing w:before="1" w:line="252" w:lineRule="auto"/>
        <w:ind w:left="1201" w:right="1201" w:firstLine="2"/>
        <w:jc w:val="center"/>
        <w:rPr>
          <w:rFonts w:ascii="Cambria" w:hAnsi="Cambria"/>
          <w:i/>
          <w:sz w:val="21"/>
        </w:rPr>
      </w:pPr>
      <w:r>
        <w:rPr>
          <w:rFonts w:ascii="Cambria" w:hAnsi="Cambria"/>
          <w:i/>
          <w:sz w:val="21"/>
        </w:rPr>
        <w:t>“(l) The licensee may not discriminate in providing services to children and their families on the basis of race, religion, ethnic background, cultural heritage, national origin,</w:t>
      </w:r>
      <w:r>
        <w:rPr>
          <w:rFonts w:ascii="Cambria" w:hAnsi="Cambria"/>
          <w:i/>
          <w:spacing w:val="-3"/>
          <w:sz w:val="21"/>
        </w:rPr>
        <w:t xml:space="preserve"> </w:t>
      </w:r>
      <w:r>
        <w:rPr>
          <w:rFonts w:ascii="Cambria" w:hAnsi="Cambria"/>
          <w:i/>
          <w:sz w:val="21"/>
        </w:rPr>
        <w:t>marital</w:t>
      </w:r>
      <w:r>
        <w:rPr>
          <w:rFonts w:ascii="Cambria" w:hAnsi="Cambria"/>
          <w:i/>
          <w:spacing w:val="-5"/>
          <w:sz w:val="21"/>
        </w:rPr>
        <w:t xml:space="preserve"> </w:t>
      </w:r>
      <w:r>
        <w:rPr>
          <w:rFonts w:ascii="Cambria" w:hAnsi="Cambria"/>
          <w:i/>
          <w:sz w:val="21"/>
        </w:rPr>
        <w:t>status,</w:t>
      </w:r>
      <w:r>
        <w:rPr>
          <w:rFonts w:ascii="Cambria" w:hAnsi="Cambria"/>
          <w:i/>
          <w:spacing w:val="-3"/>
          <w:sz w:val="21"/>
        </w:rPr>
        <w:t xml:space="preserve"> </w:t>
      </w:r>
      <w:r>
        <w:rPr>
          <w:rFonts w:ascii="Cambria" w:hAnsi="Cambria"/>
          <w:i/>
          <w:sz w:val="21"/>
        </w:rPr>
        <w:t>sexual</w:t>
      </w:r>
      <w:r>
        <w:rPr>
          <w:rFonts w:ascii="Cambria" w:hAnsi="Cambria"/>
          <w:i/>
          <w:spacing w:val="-5"/>
          <w:sz w:val="21"/>
        </w:rPr>
        <w:t xml:space="preserve"> </w:t>
      </w:r>
      <w:r>
        <w:rPr>
          <w:rFonts w:ascii="Cambria" w:hAnsi="Cambria"/>
          <w:i/>
          <w:sz w:val="21"/>
        </w:rPr>
        <w:t>orientation,</w:t>
      </w:r>
      <w:r>
        <w:rPr>
          <w:rFonts w:ascii="Cambria" w:hAnsi="Cambria"/>
          <w:i/>
          <w:spacing w:val="-3"/>
          <w:sz w:val="21"/>
        </w:rPr>
        <w:t xml:space="preserve"> </w:t>
      </w:r>
      <w:r>
        <w:rPr>
          <w:rFonts w:ascii="Cambria" w:hAnsi="Cambria"/>
          <w:i/>
          <w:sz w:val="21"/>
        </w:rPr>
        <w:t>gender</w:t>
      </w:r>
      <w:r>
        <w:rPr>
          <w:rFonts w:ascii="Cambria" w:hAnsi="Cambria"/>
          <w:i/>
          <w:spacing w:val="-4"/>
          <w:sz w:val="21"/>
        </w:rPr>
        <w:t xml:space="preserve"> </w:t>
      </w:r>
      <w:r>
        <w:rPr>
          <w:rFonts w:ascii="Cambria" w:hAnsi="Cambria"/>
          <w:i/>
          <w:sz w:val="21"/>
        </w:rPr>
        <w:t>identity,</w:t>
      </w:r>
      <w:r>
        <w:rPr>
          <w:rFonts w:ascii="Cambria" w:hAnsi="Cambria"/>
          <w:i/>
          <w:spacing w:val="-3"/>
          <w:sz w:val="21"/>
        </w:rPr>
        <w:t xml:space="preserve"> </w:t>
      </w:r>
      <w:r>
        <w:rPr>
          <w:rFonts w:ascii="Cambria" w:hAnsi="Cambria"/>
          <w:i/>
          <w:sz w:val="21"/>
        </w:rPr>
        <w:t>or</w:t>
      </w:r>
      <w:r>
        <w:rPr>
          <w:rFonts w:ascii="Cambria" w:hAnsi="Cambria"/>
          <w:i/>
          <w:spacing w:val="-4"/>
          <w:sz w:val="21"/>
        </w:rPr>
        <w:t xml:space="preserve"> </w:t>
      </w:r>
      <w:r>
        <w:rPr>
          <w:rFonts w:ascii="Cambria" w:hAnsi="Cambria"/>
          <w:i/>
          <w:sz w:val="21"/>
        </w:rPr>
        <w:t>disability,</w:t>
      </w:r>
      <w:r>
        <w:rPr>
          <w:rFonts w:ascii="Cambria" w:hAnsi="Cambria"/>
          <w:i/>
          <w:spacing w:val="-3"/>
          <w:sz w:val="21"/>
        </w:rPr>
        <w:t xml:space="preserve"> </w:t>
      </w:r>
      <w:r>
        <w:rPr>
          <w:rFonts w:ascii="Cambria" w:hAnsi="Cambria"/>
          <w:i/>
          <w:sz w:val="21"/>
        </w:rPr>
        <w:t>or</w:t>
      </w:r>
      <w:r>
        <w:rPr>
          <w:rFonts w:ascii="Cambria" w:hAnsi="Cambria"/>
          <w:i/>
          <w:spacing w:val="-4"/>
          <w:sz w:val="21"/>
        </w:rPr>
        <w:t xml:space="preserve"> </w:t>
      </w:r>
      <w:r>
        <w:rPr>
          <w:rFonts w:ascii="Cambria" w:hAnsi="Cambria"/>
          <w:i/>
          <w:sz w:val="21"/>
        </w:rPr>
        <w:t>in</w:t>
      </w:r>
      <w:r>
        <w:rPr>
          <w:rFonts w:ascii="Cambria" w:hAnsi="Cambria"/>
          <w:i/>
          <w:spacing w:val="-4"/>
          <w:sz w:val="21"/>
        </w:rPr>
        <w:t xml:space="preserve"> </w:t>
      </w:r>
      <w:r>
        <w:rPr>
          <w:rFonts w:ascii="Cambria" w:hAnsi="Cambria"/>
          <w:i/>
          <w:sz w:val="21"/>
        </w:rPr>
        <w:t>approving shelter home parent applicants on the basis of age, sex, race, religion, ethnic background, cultural heritage, national origin, marital status, sexual orientation, gender identity or disability.”</w:t>
      </w:r>
    </w:p>
    <w:p w:rsidR="00200FDA" w:rsidRDefault="00200FDA">
      <w:pPr>
        <w:pStyle w:val="BodyText"/>
        <w:spacing w:before="6"/>
        <w:rPr>
          <w:rFonts w:ascii="Cambria"/>
          <w:i/>
          <w:sz w:val="20"/>
        </w:rPr>
      </w:pPr>
    </w:p>
    <w:p w:rsidR="00200FDA" w:rsidRDefault="00F76C4C">
      <w:pPr>
        <w:pStyle w:val="ListParagraph"/>
        <w:numPr>
          <w:ilvl w:val="1"/>
          <w:numId w:val="22"/>
        </w:numPr>
        <w:tabs>
          <w:tab w:val="left" w:pos="1000"/>
        </w:tabs>
        <w:spacing w:before="1" w:line="273" w:lineRule="auto"/>
        <w:ind w:right="335"/>
      </w:pPr>
      <w:r>
        <w:t>EEC</w:t>
      </w:r>
      <w:r>
        <w:rPr>
          <w:spacing w:val="36"/>
        </w:rPr>
        <w:t xml:space="preserve"> </w:t>
      </w:r>
      <w:r>
        <w:t>update</w:t>
      </w:r>
      <w:r>
        <w:rPr>
          <w:spacing w:val="36"/>
        </w:rPr>
        <w:t xml:space="preserve"> </w:t>
      </w:r>
      <w:r>
        <w:t>Residential</w:t>
      </w:r>
      <w:r>
        <w:rPr>
          <w:spacing w:val="33"/>
        </w:rPr>
        <w:t xml:space="preserve"> </w:t>
      </w:r>
      <w:r>
        <w:t>and</w:t>
      </w:r>
      <w:r>
        <w:rPr>
          <w:spacing w:val="35"/>
        </w:rPr>
        <w:t xml:space="preserve"> </w:t>
      </w:r>
      <w:r>
        <w:t>Placement</w:t>
      </w:r>
      <w:r>
        <w:rPr>
          <w:spacing w:val="36"/>
        </w:rPr>
        <w:t xml:space="preserve"> </w:t>
      </w:r>
      <w:r>
        <w:t>regulation</w:t>
      </w:r>
      <w:r>
        <w:rPr>
          <w:spacing w:val="35"/>
        </w:rPr>
        <w:t xml:space="preserve"> </w:t>
      </w:r>
      <w:r>
        <w:t>3</w:t>
      </w:r>
      <w:r>
        <w:t>.07(3)</w:t>
      </w:r>
      <w:r>
        <w:rPr>
          <w:spacing w:val="34"/>
        </w:rPr>
        <w:t xml:space="preserve"> </w:t>
      </w:r>
      <w:r>
        <w:t>to</w:t>
      </w:r>
      <w:r>
        <w:rPr>
          <w:spacing w:val="37"/>
        </w:rPr>
        <w:t xml:space="preserve"> </w:t>
      </w:r>
      <w:r>
        <w:t>include</w:t>
      </w:r>
      <w:r>
        <w:rPr>
          <w:spacing w:val="34"/>
        </w:rPr>
        <w:t xml:space="preserve"> </w:t>
      </w:r>
      <w:r>
        <w:t>youth</w:t>
      </w:r>
      <w:r>
        <w:rPr>
          <w:spacing w:val="33"/>
        </w:rPr>
        <w:t xml:space="preserve"> </w:t>
      </w:r>
      <w:r>
        <w:t>voice</w:t>
      </w:r>
      <w:r>
        <w:rPr>
          <w:spacing w:val="36"/>
        </w:rPr>
        <w:t xml:space="preserve"> </w:t>
      </w:r>
      <w:r>
        <w:t>in</w:t>
      </w:r>
      <w:r>
        <w:rPr>
          <w:spacing w:val="35"/>
        </w:rPr>
        <w:t xml:space="preserve"> </w:t>
      </w:r>
      <w:r>
        <w:t>decision making around room assignment and programming:</w:t>
      </w:r>
    </w:p>
    <w:p w:rsidR="00200FDA" w:rsidRDefault="00200FDA">
      <w:pPr>
        <w:pStyle w:val="BodyText"/>
        <w:rPr>
          <w:sz w:val="20"/>
        </w:rPr>
      </w:pPr>
    </w:p>
    <w:p w:rsidR="00200FDA" w:rsidRDefault="00F76C4C">
      <w:pPr>
        <w:spacing w:line="252" w:lineRule="auto"/>
        <w:ind w:left="1236" w:right="1235"/>
        <w:jc w:val="center"/>
        <w:rPr>
          <w:rFonts w:ascii="Cambria" w:hAnsi="Cambria"/>
          <w:i/>
          <w:sz w:val="21"/>
        </w:rPr>
      </w:pPr>
      <w:r>
        <w:rPr>
          <w:rFonts w:ascii="Cambria" w:hAnsi="Cambria"/>
          <w:i/>
          <w:sz w:val="21"/>
        </w:rPr>
        <w:t>“(a) The licensee shall assure that all room assignments are appropriate, taking into consideration</w:t>
      </w:r>
      <w:r>
        <w:rPr>
          <w:rFonts w:ascii="Cambria" w:hAnsi="Cambria"/>
          <w:i/>
          <w:spacing w:val="-3"/>
          <w:sz w:val="21"/>
        </w:rPr>
        <w:t xml:space="preserve"> </w:t>
      </w:r>
      <w:r>
        <w:rPr>
          <w:rFonts w:ascii="Cambria" w:hAnsi="Cambria"/>
          <w:i/>
          <w:sz w:val="21"/>
        </w:rPr>
        <w:t>the</w:t>
      </w:r>
      <w:r>
        <w:rPr>
          <w:rFonts w:ascii="Cambria" w:hAnsi="Cambria"/>
          <w:i/>
          <w:spacing w:val="-4"/>
          <w:sz w:val="21"/>
        </w:rPr>
        <w:t xml:space="preserve"> </w:t>
      </w:r>
      <w:r>
        <w:rPr>
          <w:rFonts w:ascii="Cambria" w:hAnsi="Cambria"/>
          <w:i/>
          <w:sz w:val="21"/>
        </w:rPr>
        <w:t>ages</w:t>
      </w:r>
      <w:r>
        <w:rPr>
          <w:rFonts w:ascii="Cambria" w:hAnsi="Cambria"/>
          <w:i/>
          <w:spacing w:val="-2"/>
          <w:sz w:val="21"/>
        </w:rPr>
        <w:t xml:space="preserve"> </w:t>
      </w:r>
      <w:r>
        <w:rPr>
          <w:rFonts w:ascii="Cambria" w:hAnsi="Cambria"/>
          <w:i/>
          <w:sz w:val="21"/>
        </w:rPr>
        <w:t>and</w:t>
      </w:r>
      <w:r>
        <w:rPr>
          <w:rFonts w:ascii="Cambria" w:hAnsi="Cambria"/>
          <w:i/>
          <w:spacing w:val="-6"/>
          <w:sz w:val="21"/>
        </w:rPr>
        <w:t xml:space="preserve"> </w:t>
      </w:r>
      <w:r>
        <w:rPr>
          <w:rFonts w:ascii="Cambria" w:hAnsi="Cambria"/>
          <w:i/>
          <w:sz w:val="21"/>
        </w:rPr>
        <w:t>needs</w:t>
      </w:r>
      <w:r>
        <w:rPr>
          <w:rFonts w:ascii="Cambria" w:hAnsi="Cambria"/>
          <w:i/>
          <w:spacing w:val="-2"/>
          <w:sz w:val="21"/>
        </w:rPr>
        <w:t xml:space="preserve"> </w:t>
      </w:r>
      <w:r>
        <w:rPr>
          <w:rFonts w:ascii="Cambria" w:hAnsi="Cambria"/>
          <w:i/>
          <w:sz w:val="21"/>
        </w:rPr>
        <w:t>of</w:t>
      </w:r>
      <w:r>
        <w:rPr>
          <w:rFonts w:ascii="Cambria" w:hAnsi="Cambria"/>
          <w:i/>
          <w:spacing w:val="-2"/>
          <w:sz w:val="21"/>
        </w:rPr>
        <w:t xml:space="preserve"> </w:t>
      </w:r>
      <w:r>
        <w:rPr>
          <w:rFonts w:ascii="Cambria" w:hAnsi="Cambria"/>
          <w:i/>
          <w:sz w:val="21"/>
        </w:rPr>
        <w:t>residents</w:t>
      </w:r>
      <w:r>
        <w:rPr>
          <w:rFonts w:ascii="Cambria" w:hAnsi="Cambria"/>
          <w:i/>
          <w:spacing w:val="-5"/>
          <w:sz w:val="21"/>
        </w:rPr>
        <w:t xml:space="preserve"> </w:t>
      </w:r>
      <w:r>
        <w:rPr>
          <w:rFonts w:ascii="Cambria" w:hAnsi="Cambria"/>
          <w:i/>
          <w:sz w:val="21"/>
        </w:rPr>
        <w:t>by</w:t>
      </w:r>
      <w:r>
        <w:rPr>
          <w:rFonts w:ascii="Cambria" w:hAnsi="Cambria"/>
          <w:i/>
          <w:spacing w:val="-4"/>
          <w:sz w:val="21"/>
        </w:rPr>
        <w:t xml:space="preserve"> </w:t>
      </w:r>
      <w:r>
        <w:rPr>
          <w:rFonts w:ascii="Cambria" w:hAnsi="Cambria"/>
          <w:i/>
          <w:sz w:val="21"/>
        </w:rPr>
        <w:t>collaborating</w:t>
      </w:r>
      <w:r>
        <w:rPr>
          <w:rFonts w:ascii="Cambria" w:hAnsi="Cambria"/>
          <w:i/>
          <w:spacing w:val="-3"/>
          <w:sz w:val="21"/>
        </w:rPr>
        <w:t xml:space="preserve"> </w:t>
      </w:r>
      <w:r>
        <w:rPr>
          <w:rFonts w:ascii="Cambria" w:hAnsi="Cambria"/>
          <w:i/>
          <w:sz w:val="21"/>
        </w:rPr>
        <w:t>with</w:t>
      </w:r>
      <w:r>
        <w:rPr>
          <w:rFonts w:ascii="Cambria" w:hAnsi="Cambria"/>
          <w:i/>
          <w:spacing w:val="-2"/>
          <w:sz w:val="21"/>
        </w:rPr>
        <w:t xml:space="preserve"> </w:t>
      </w:r>
      <w:r>
        <w:rPr>
          <w:rFonts w:ascii="Cambria" w:hAnsi="Cambria"/>
          <w:i/>
          <w:sz w:val="21"/>
        </w:rPr>
        <w:t>youth,</w:t>
      </w:r>
      <w:r>
        <w:rPr>
          <w:rFonts w:ascii="Cambria" w:hAnsi="Cambria"/>
          <w:i/>
          <w:spacing w:val="-2"/>
          <w:sz w:val="21"/>
        </w:rPr>
        <w:t xml:space="preserve"> </w:t>
      </w:r>
      <w:r>
        <w:rPr>
          <w:rFonts w:ascii="Cambria" w:hAnsi="Cambria"/>
          <w:i/>
          <w:sz w:val="21"/>
        </w:rPr>
        <w:t>the</w:t>
      </w:r>
      <w:r>
        <w:rPr>
          <w:rFonts w:ascii="Cambria" w:hAnsi="Cambria"/>
          <w:i/>
          <w:spacing w:val="-4"/>
          <w:sz w:val="21"/>
        </w:rPr>
        <w:t xml:space="preserve"> </w:t>
      </w:r>
      <w:r>
        <w:rPr>
          <w:rFonts w:ascii="Cambria" w:hAnsi="Cambria"/>
          <w:i/>
          <w:sz w:val="21"/>
        </w:rPr>
        <w:t>clinical team, guardian and referral source.</w:t>
      </w:r>
    </w:p>
    <w:p w:rsidR="00200FDA" w:rsidRDefault="00200FDA">
      <w:pPr>
        <w:pStyle w:val="BodyText"/>
        <w:spacing w:before="3"/>
        <w:rPr>
          <w:rFonts w:ascii="Cambria"/>
          <w:i/>
          <w:sz w:val="20"/>
        </w:rPr>
      </w:pPr>
    </w:p>
    <w:p w:rsidR="00200FDA" w:rsidRDefault="00F76C4C">
      <w:pPr>
        <w:spacing w:line="252" w:lineRule="auto"/>
        <w:ind w:left="1477" w:right="1095" w:hanging="252"/>
        <w:rPr>
          <w:i/>
        </w:rPr>
      </w:pPr>
      <w:r>
        <w:rPr>
          <w:rFonts w:ascii="Cambria"/>
          <w:i/>
          <w:sz w:val="21"/>
        </w:rPr>
        <w:t>(b)</w:t>
      </w:r>
      <w:r>
        <w:rPr>
          <w:rFonts w:ascii="Cambria"/>
          <w:i/>
          <w:spacing w:val="-4"/>
          <w:sz w:val="21"/>
        </w:rPr>
        <w:t xml:space="preserve"> </w:t>
      </w:r>
      <w:r>
        <w:rPr>
          <w:i/>
        </w:rPr>
        <w:t>The</w:t>
      </w:r>
      <w:r>
        <w:rPr>
          <w:i/>
          <w:spacing w:val="-3"/>
        </w:rPr>
        <w:t xml:space="preserve"> </w:t>
      </w:r>
      <w:r>
        <w:rPr>
          <w:i/>
        </w:rPr>
        <w:t>licensee</w:t>
      </w:r>
      <w:r>
        <w:rPr>
          <w:i/>
          <w:spacing w:val="-5"/>
        </w:rPr>
        <w:t xml:space="preserve"> </w:t>
      </w:r>
      <w:r>
        <w:rPr>
          <w:i/>
        </w:rPr>
        <w:t>shall</w:t>
      </w:r>
      <w:r>
        <w:rPr>
          <w:i/>
          <w:spacing w:val="-3"/>
        </w:rPr>
        <w:t xml:space="preserve"> </w:t>
      </w:r>
      <w:r>
        <w:rPr>
          <w:i/>
        </w:rPr>
        <w:t>assure</w:t>
      </w:r>
      <w:r>
        <w:rPr>
          <w:i/>
          <w:spacing w:val="-3"/>
        </w:rPr>
        <w:t xml:space="preserve"> </w:t>
      </w:r>
      <w:r>
        <w:rPr>
          <w:i/>
        </w:rPr>
        <w:t>that</w:t>
      </w:r>
      <w:r>
        <w:rPr>
          <w:i/>
          <w:spacing w:val="-2"/>
        </w:rPr>
        <w:t xml:space="preserve"> </w:t>
      </w:r>
      <w:r>
        <w:rPr>
          <w:i/>
        </w:rPr>
        <w:t>appropriate</w:t>
      </w:r>
      <w:r>
        <w:rPr>
          <w:i/>
          <w:spacing w:val="-3"/>
        </w:rPr>
        <w:t xml:space="preserve"> </w:t>
      </w:r>
      <w:r>
        <w:rPr>
          <w:i/>
        </w:rPr>
        <w:t>programming</w:t>
      </w:r>
      <w:r>
        <w:rPr>
          <w:i/>
          <w:spacing w:val="-4"/>
        </w:rPr>
        <w:t xml:space="preserve"> </w:t>
      </w:r>
      <w:r>
        <w:rPr>
          <w:i/>
        </w:rPr>
        <w:t>is</w:t>
      </w:r>
      <w:r>
        <w:rPr>
          <w:i/>
          <w:spacing w:val="-2"/>
        </w:rPr>
        <w:t xml:space="preserve"> </w:t>
      </w:r>
      <w:r>
        <w:rPr>
          <w:i/>
        </w:rPr>
        <w:t>provided</w:t>
      </w:r>
      <w:r>
        <w:rPr>
          <w:i/>
          <w:spacing w:val="-4"/>
        </w:rPr>
        <w:t xml:space="preserve"> </w:t>
      </w:r>
      <w:r>
        <w:rPr>
          <w:i/>
        </w:rPr>
        <w:t>for</w:t>
      </w:r>
      <w:r>
        <w:rPr>
          <w:i/>
          <w:spacing w:val="-2"/>
        </w:rPr>
        <w:t xml:space="preserve"> </w:t>
      </w:r>
      <w:r>
        <w:rPr>
          <w:i/>
        </w:rPr>
        <w:t>each</w:t>
      </w:r>
      <w:r>
        <w:rPr>
          <w:i/>
          <w:spacing w:val="-6"/>
        </w:rPr>
        <w:t xml:space="preserve"> </w:t>
      </w:r>
      <w:r>
        <w:rPr>
          <w:i/>
        </w:rPr>
        <w:t>age group served by collaborating with youth, clinical team, guardian, and referral</w:t>
      </w:r>
    </w:p>
    <w:p w:rsidR="00200FDA" w:rsidRDefault="00F76C4C">
      <w:pPr>
        <w:ind w:left="4640"/>
        <w:rPr>
          <w:i/>
        </w:rPr>
      </w:pPr>
      <w:r>
        <w:rPr>
          <w:i/>
          <w:spacing w:val="-2"/>
        </w:rPr>
        <w:t>source.</w:t>
      </w:r>
    </w:p>
    <w:p w:rsidR="00200FDA" w:rsidRDefault="00200FDA">
      <w:pPr>
        <w:pStyle w:val="BodyText"/>
        <w:rPr>
          <w:i/>
        </w:rPr>
      </w:pPr>
    </w:p>
    <w:p w:rsidR="00200FDA" w:rsidRDefault="00200FDA">
      <w:pPr>
        <w:pStyle w:val="BodyText"/>
        <w:spacing w:before="2"/>
        <w:rPr>
          <w:i/>
          <w:sz w:val="24"/>
        </w:rPr>
      </w:pPr>
    </w:p>
    <w:p w:rsidR="00200FDA" w:rsidRDefault="00F76C4C">
      <w:pPr>
        <w:pStyle w:val="Heading9"/>
        <w:numPr>
          <w:ilvl w:val="0"/>
          <w:numId w:val="22"/>
        </w:numPr>
        <w:tabs>
          <w:tab w:val="left" w:pos="518"/>
        </w:tabs>
        <w:spacing w:before="1" w:line="276" w:lineRule="auto"/>
        <w:ind w:left="279" w:right="335" w:firstLine="0"/>
        <w:jc w:val="both"/>
      </w:pPr>
      <w:r>
        <w:t>Continue to collaborate with the Dep</w:t>
      </w:r>
      <w:r>
        <w:t>artment of Elementary and Secondary Education (DESE) and other state agencies on the Statewide Family Engagement Framework (prenatal through post- secondary) to ensure that LGBTQ content and family diversity are well-represented.</w:t>
      </w:r>
    </w:p>
    <w:p w:rsidR="00200FDA" w:rsidRDefault="00200FDA">
      <w:pPr>
        <w:pStyle w:val="BodyText"/>
        <w:spacing w:before="7"/>
        <w:rPr>
          <w:b/>
          <w:sz w:val="19"/>
        </w:rPr>
      </w:pPr>
    </w:p>
    <w:p w:rsidR="00200FDA" w:rsidRDefault="00F76C4C">
      <w:pPr>
        <w:spacing w:line="276" w:lineRule="auto"/>
        <w:ind w:left="279" w:right="333"/>
        <w:jc w:val="both"/>
      </w:pPr>
      <w:r>
        <w:t>The</w:t>
      </w:r>
      <w:r>
        <w:rPr>
          <w:spacing w:val="-4"/>
        </w:rPr>
        <w:t xml:space="preserve"> </w:t>
      </w:r>
      <w:r>
        <w:t>Commission</w:t>
      </w:r>
      <w:r>
        <w:rPr>
          <w:spacing w:val="-5"/>
        </w:rPr>
        <w:t xml:space="preserve"> </w:t>
      </w:r>
      <w:r>
        <w:t>encourages</w:t>
      </w:r>
      <w:r>
        <w:rPr>
          <w:spacing w:val="-4"/>
        </w:rPr>
        <w:t xml:space="preserve"> </w:t>
      </w:r>
      <w:r>
        <w:t>EEC</w:t>
      </w:r>
      <w:r>
        <w:rPr>
          <w:spacing w:val="-7"/>
        </w:rPr>
        <w:t xml:space="preserve"> </w:t>
      </w:r>
      <w:r>
        <w:t>to</w:t>
      </w:r>
      <w:r>
        <w:rPr>
          <w:spacing w:val="-6"/>
        </w:rPr>
        <w:t xml:space="preserve"> </w:t>
      </w:r>
      <w:r>
        <w:t>continue</w:t>
      </w:r>
      <w:r>
        <w:rPr>
          <w:spacing w:val="-4"/>
        </w:rPr>
        <w:t xml:space="preserve"> </w:t>
      </w:r>
      <w:r>
        <w:t>its</w:t>
      </w:r>
      <w:r>
        <w:rPr>
          <w:spacing w:val="-7"/>
        </w:rPr>
        <w:t xml:space="preserve"> </w:t>
      </w:r>
      <w:r>
        <w:t>collaboration</w:t>
      </w:r>
      <w:r>
        <w:rPr>
          <w:spacing w:val="-5"/>
        </w:rPr>
        <w:t xml:space="preserve"> </w:t>
      </w:r>
      <w:r>
        <w:t>with</w:t>
      </w:r>
      <w:r>
        <w:rPr>
          <w:spacing w:val="-7"/>
        </w:rPr>
        <w:t xml:space="preserve"> </w:t>
      </w:r>
      <w:r>
        <w:t>DESE</w:t>
      </w:r>
      <w:r>
        <w:rPr>
          <w:spacing w:val="-6"/>
        </w:rPr>
        <w:t xml:space="preserve"> </w:t>
      </w:r>
      <w:r>
        <w:t>and</w:t>
      </w:r>
      <w:r>
        <w:rPr>
          <w:spacing w:val="-5"/>
        </w:rPr>
        <w:t xml:space="preserve"> </w:t>
      </w:r>
      <w:r>
        <w:t>other</w:t>
      </w:r>
      <w:r>
        <w:rPr>
          <w:spacing w:val="-4"/>
        </w:rPr>
        <w:t xml:space="preserve"> </w:t>
      </w:r>
      <w:r>
        <w:t>state</w:t>
      </w:r>
      <w:r>
        <w:rPr>
          <w:spacing w:val="-4"/>
        </w:rPr>
        <w:t xml:space="preserve"> </w:t>
      </w:r>
      <w:r>
        <w:t>agencies</w:t>
      </w:r>
      <w:r>
        <w:rPr>
          <w:spacing w:val="-6"/>
        </w:rPr>
        <w:t xml:space="preserve"> </w:t>
      </w:r>
      <w:r>
        <w:t>on</w:t>
      </w:r>
      <w:r>
        <w:rPr>
          <w:spacing w:val="-5"/>
        </w:rPr>
        <w:t xml:space="preserve"> </w:t>
      </w:r>
      <w:r>
        <w:t xml:space="preserve">the Statewide Family Engagement Framework, </w:t>
      </w:r>
      <w:hyperlink r:id="rId767">
        <w:r>
          <w:rPr>
            <w:i/>
            <w:color w:val="1154CC"/>
            <w:u w:val="single" w:color="1154CC"/>
          </w:rPr>
          <w:t>STRENGTHENING</w:t>
        </w:r>
      </w:hyperlink>
      <w:r>
        <w:rPr>
          <w:i/>
          <w:color w:val="1154CC"/>
        </w:rPr>
        <w:t xml:space="preserve"> </w:t>
      </w:r>
      <w:hyperlink r:id="rId768">
        <w:r>
          <w:rPr>
            <w:i/>
            <w:color w:val="1154CC"/>
            <w:u w:val="single" w:color="1154CC"/>
          </w:rPr>
          <w:t>PARTNERSHIPS A Framework for Prenatal</w:t>
        </w:r>
      </w:hyperlink>
      <w:r>
        <w:rPr>
          <w:i/>
          <w:color w:val="1154CC"/>
        </w:rPr>
        <w:t xml:space="preserve"> </w:t>
      </w:r>
      <w:hyperlink r:id="rId769">
        <w:r>
          <w:rPr>
            <w:i/>
            <w:color w:val="1154CC"/>
            <w:u w:val="single" w:color="1154CC"/>
          </w:rPr>
          <w:t>through</w:t>
        </w:r>
        <w:r>
          <w:rPr>
            <w:i/>
            <w:color w:val="1154CC"/>
            <w:spacing w:val="26"/>
            <w:u w:val="single" w:color="1154CC"/>
          </w:rPr>
          <w:t xml:space="preserve"> </w:t>
        </w:r>
        <w:r>
          <w:rPr>
            <w:i/>
            <w:color w:val="1154CC"/>
            <w:u w:val="single" w:color="1154CC"/>
          </w:rPr>
          <w:t>Young</w:t>
        </w:r>
        <w:r>
          <w:rPr>
            <w:i/>
            <w:color w:val="1154CC"/>
            <w:spacing w:val="26"/>
            <w:u w:val="single" w:color="1154CC"/>
          </w:rPr>
          <w:t xml:space="preserve"> </w:t>
        </w:r>
        <w:r>
          <w:rPr>
            <w:i/>
            <w:color w:val="1154CC"/>
            <w:u w:val="single" w:color="1154CC"/>
          </w:rPr>
          <w:t>Adulthood</w:t>
        </w:r>
        <w:r>
          <w:rPr>
            <w:i/>
            <w:color w:val="1154CC"/>
            <w:spacing w:val="23"/>
            <w:u w:val="single" w:color="1154CC"/>
          </w:rPr>
          <w:t xml:space="preserve"> </w:t>
        </w:r>
        <w:r>
          <w:rPr>
            <w:i/>
            <w:color w:val="1154CC"/>
            <w:u w:val="single" w:color="1154CC"/>
          </w:rPr>
          <w:t>Family</w:t>
        </w:r>
        <w:r>
          <w:rPr>
            <w:i/>
            <w:color w:val="1154CC"/>
            <w:spacing w:val="26"/>
            <w:u w:val="single" w:color="1154CC"/>
          </w:rPr>
          <w:t xml:space="preserve"> </w:t>
        </w:r>
        <w:r>
          <w:rPr>
            <w:i/>
            <w:color w:val="1154CC"/>
            <w:u w:val="single" w:color="1154CC"/>
          </w:rPr>
          <w:t>Engagement</w:t>
        </w:r>
      </w:hyperlink>
      <w:r>
        <w:rPr>
          <w:i/>
          <w:color w:val="1154CC"/>
          <w:spacing w:val="27"/>
        </w:rPr>
        <w:t xml:space="preserve"> </w:t>
      </w:r>
      <w:hyperlink r:id="rId770">
        <w:r>
          <w:rPr>
            <w:i/>
            <w:color w:val="1154CC"/>
            <w:u w:val="single" w:color="1154CC"/>
          </w:rPr>
          <w:t>in</w:t>
        </w:r>
        <w:r>
          <w:rPr>
            <w:i/>
            <w:color w:val="1154CC"/>
            <w:spacing w:val="23"/>
            <w:u w:val="single" w:color="1154CC"/>
          </w:rPr>
          <w:t xml:space="preserve"> </w:t>
        </w:r>
        <w:r>
          <w:rPr>
            <w:i/>
            <w:color w:val="1154CC"/>
            <w:u w:val="single" w:color="1154CC"/>
          </w:rPr>
          <w:t>Massachusetts</w:t>
        </w:r>
        <w:r>
          <w:t>.</w:t>
        </w:r>
      </w:hyperlink>
      <w:r>
        <w:rPr>
          <w:spacing w:val="26"/>
        </w:rPr>
        <w:t xml:space="preserve"> </w:t>
      </w:r>
      <w:r>
        <w:t>This</w:t>
      </w:r>
      <w:r>
        <w:rPr>
          <w:spacing w:val="24"/>
        </w:rPr>
        <w:t xml:space="preserve"> </w:t>
      </w:r>
      <w:r>
        <w:t>effort</w:t>
      </w:r>
      <w:r>
        <w:rPr>
          <w:spacing w:val="27"/>
        </w:rPr>
        <w:t xml:space="preserve"> </w:t>
      </w:r>
      <w:r>
        <w:t>was</w:t>
      </w:r>
      <w:r>
        <w:rPr>
          <w:spacing w:val="26"/>
        </w:rPr>
        <w:t xml:space="preserve"> </w:t>
      </w:r>
      <w:r>
        <w:t>informed</w:t>
      </w:r>
      <w:r>
        <w:rPr>
          <w:spacing w:val="25"/>
        </w:rPr>
        <w:t xml:space="preserve"> </w:t>
      </w:r>
      <w:r>
        <w:t>by</w:t>
      </w:r>
      <w:r>
        <w:rPr>
          <w:spacing w:val="27"/>
        </w:rPr>
        <w:t xml:space="preserve"> </w:t>
      </w:r>
      <w:r>
        <w:t>affinity</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right="330"/>
        <w:jc w:val="both"/>
      </w:pPr>
      <w:r>
        <w:t>listening</w:t>
      </w:r>
      <w:r>
        <w:rPr>
          <w:spacing w:val="-11"/>
        </w:rPr>
        <w:t xml:space="preserve"> </w:t>
      </w:r>
      <w:r>
        <w:t>groups</w:t>
      </w:r>
      <w:r>
        <w:rPr>
          <w:spacing w:val="-11"/>
        </w:rPr>
        <w:t xml:space="preserve"> </w:t>
      </w:r>
      <w:r>
        <w:t>for</w:t>
      </w:r>
      <w:r>
        <w:rPr>
          <w:spacing w:val="-9"/>
        </w:rPr>
        <w:t xml:space="preserve"> </w:t>
      </w:r>
      <w:r>
        <w:t>several</w:t>
      </w:r>
      <w:r>
        <w:rPr>
          <w:spacing w:val="-11"/>
        </w:rPr>
        <w:t xml:space="preserve"> </w:t>
      </w:r>
      <w:r>
        <w:t>populations,</w:t>
      </w:r>
      <w:r>
        <w:rPr>
          <w:spacing w:val="-11"/>
        </w:rPr>
        <w:t xml:space="preserve"> </w:t>
      </w:r>
      <w:r>
        <w:t>including</w:t>
      </w:r>
      <w:r>
        <w:rPr>
          <w:spacing w:val="-10"/>
        </w:rPr>
        <w:t xml:space="preserve"> </w:t>
      </w:r>
      <w:r>
        <w:t>a</w:t>
      </w:r>
      <w:r>
        <w:rPr>
          <w:spacing w:val="-12"/>
        </w:rPr>
        <w:t xml:space="preserve"> </w:t>
      </w:r>
      <w:r>
        <w:t>group</w:t>
      </w:r>
      <w:r>
        <w:rPr>
          <w:spacing w:val="-10"/>
        </w:rPr>
        <w:t xml:space="preserve"> </w:t>
      </w:r>
      <w:r>
        <w:t>for</w:t>
      </w:r>
      <w:r>
        <w:rPr>
          <w:spacing w:val="-12"/>
        </w:rPr>
        <w:t xml:space="preserve"> </w:t>
      </w:r>
      <w:r>
        <w:t>LGBTQ+</w:t>
      </w:r>
      <w:r>
        <w:rPr>
          <w:spacing w:val="-11"/>
        </w:rPr>
        <w:t xml:space="preserve"> </w:t>
      </w:r>
      <w:r>
        <w:t>families</w:t>
      </w:r>
      <w:r>
        <w:rPr>
          <w:spacing w:val="-11"/>
        </w:rPr>
        <w:t xml:space="preserve"> </w:t>
      </w:r>
      <w:r>
        <w:t>conducted</w:t>
      </w:r>
      <w:r>
        <w:rPr>
          <w:spacing w:val="-10"/>
        </w:rPr>
        <w:t xml:space="preserve"> </w:t>
      </w:r>
      <w:r>
        <w:t>by</w:t>
      </w:r>
      <w:r>
        <w:rPr>
          <w:spacing w:val="-11"/>
        </w:rPr>
        <w:t xml:space="preserve"> </w:t>
      </w:r>
      <w:r>
        <w:t>Jeff</w:t>
      </w:r>
      <w:r>
        <w:rPr>
          <w:spacing w:val="-13"/>
        </w:rPr>
        <w:t xml:space="preserve"> </w:t>
      </w:r>
      <w:r>
        <w:t>Perrotti, Senior Consultant for the Safe Schools Program for LGBTQ Students. This report informs the Commission’s work on family acceptance which is important for reducing family rejection of LGBTQ youth. The Office of Student and Family Support also hosts</w:t>
      </w:r>
      <w:r>
        <w:t xml:space="preserve"> a number of additional resources for family engagement </w:t>
      </w:r>
      <w:hyperlink r:id="rId771">
        <w:r>
          <w:rPr>
            <w:color w:val="1154CC"/>
            <w:u w:val="single" w:color="1154CC"/>
          </w:rPr>
          <w:t>on their website.</w:t>
        </w:r>
      </w:hyperlink>
    </w:p>
    <w:p w:rsidR="00200FDA" w:rsidRDefault="00200FDA">
      <w:pPr>
        <w:pStyle w:val="BodyText"/>
      </w:pPr>
    </w:p>
    <w:p w:rsidR="00200FDA" w:rsidRDefault="00200FDA">
      <w:pPr>
        <w:pStyle w:val="BodyText"/>
        <w:spacing w:before="11"/>
      </w:pPr>
    </w:p>
    <w:p w:rsidR="00200FDA" w:rsidRDefault="00F76C4C">
      <w:pPr>
        <w:pStyle w:val="Heading9"/>
        <w:numPr>
          <w:ilvl w:val="0"/>
          <w:numId w:val="22"/>
        </w:numPr>
        <w:tabs>
          <w:tab w:val="left" w:pos="500"/>
        </w:tabs>
        <w:ind w:left="499" w:hanging="220"/>
      </w:pPr>
      <w:r>
        <w:t>Include</w:t>
      </w:r>
      <w:r>
        <w:rPr>
          <w:spacing w:val="-7"/>
        </w:rPr>
        <w:t xml:space="preserve"> </w:t>
      </w:r>
      <w:r>
        <w:t>a</w:t>
      </w:r>
      <w:r>
        <w:rPr>
          <w:spacing w:val="-5"/>
        </w:rPr>
        <w:t xml:space="preserve"> </w:t>
      </w:r>
      <w:r>
        <w:t>nonbinary</w:t>
      </w:r>
      <w:r>
        <w:rPr>
          <w:spacing w:val="-5"/>
        </w:rPr>
        <w:t xml:space="preserve"> </w:t>
      </w:r>
      <w:r>
        <w:t>gender</w:t>
      </w:r>
      <w:r>
        <w:rPr>
          <w:spacing w:val="-3"/>
        </w:rPr>
        <w:t xml:space="preserve"> </w:t>
      </w:r>
      <w:r>
        <w:t>marker</w:t>
      </w:r>
      <w:r>
        <w:rPr>
          <w:spacing w:val="-3"/>
        </w:rPr>
        <w:t xml:space="preserve"> </w:t>
      </w:r>
      <w:r>
        <w:t>option</w:t>
      </w:r>
      <w:r>
        <w:rPr>
          <w:spacing w:val="-6"/>
        </w:rPr>
        <w:t xml:space="preserve"> </w:t>
      </w:r>
      <w:r>
        <w:t>during</w:t>
      </w:r>
      <w:r>
        <w:rPr>
          <w:spacing w:val="-5"/>
        </w:rPr>
        <w:t xml:space="preserve"> </w:t>
      </w:r>
      <w:r>
        <w:t>the</w:t>
      </w:r>
      <w:r>
        <w:rPr>
          <w:spacing w:val="-4"/>
        </w:rPr>
        <w:t xml:space="preserve"> </w:t>
      </w:r>
      <w:r>
        <w:t>development</w:t>
      </w:r>
      <w:r>
        <w:rPr>
          <w:spacing w:val="-4"/>
        </w:rPr>
        <w:t xml:space="preserve"> </w:t>
      </w:r>
      <w:r>
        <w:t>of</w:t>
      </w:r>
      <w:r>
        <w:rPr>
          <w:spacing w:val="-4"/>
        </w:rPr>
        <w:t xml:space="preserve"> </w:t>
      </w:r>
      <w:r>
        <w:t>EEC’s</w:t>
      </w:r>
      <w:r>
        <w:rPr>
          <w:spacing w:val="-6"/>
        </w:rPr>
        <w:t xml:space="preserve"> </w:t>
      </w:r>
      <w:r>
        <w:t>online</w:t>
      </w:r>
      <w:r>
        <w:rPr>
          <w:spacing w:val="-4"/>
        </w:rPr>
        <w:t xml:space="preserve"> </w:t>
      </w:r>
      <w:r>
        <w:rPr>
          <w:spacing w:val="-2"/>
        </w:rPr>
        <w:t>applications.</w:t>
      </w:r>
    </w:p>
    <w:p w:rsidR="00200FDA" w:rsidRDefault="00200FDA">
      <w:pPr>
        <w:pStyle w:val="BodyText"/>
        <w:spacing w:before="1"/>
        <w:rPr>
          <w:b/>
          <w:sz w:val="23"/>
        </w:rPr>
      </w:pPr>
    </w:p>
    <w:p w:rsidR="00200FDA" w:rsidRDefault="00F76C4C">
      <w:pPr>
        <w:pStyle w:val="BodyText"/>
        <w:spacing w:line="276" w:lineRule="auto"/>
        <w:ind w:left="280" w:right="330"/>
        <w:jc w:val="both"/>
      </w:pPr>
      <w:r>
        <w:t>EEC created the option of a nonbinary gender marker for its new Professional Qualifications Registry database in FY 2021. This adds EEC to the growing number of state agencies within and beyond Massachusetts who are providing a third gender marker, includi</w:t>
      </w:r>
      <w:r>
        <w:t>ng the Department of Elementary and Secondary</w:t>
      </w:r>
      <w:r>
        <w:rPr>
          <w:spacing w:val="-6"/>
        </w:rPr>
        <w:t xml:space="preserve"> </w:t>
      </w:r>
      <w:r>
        <w:t>Education,</w:t>
      </w:r>
      <w:r>
        <w:rPr>
          <w:spacing w:val="-7"/>
        </w:rPr>
        <w:t xml:space="preserve"> </w:t>
      </w:r>
      <w:r>
        <w:t>which</w:t>
      </w:r>
      <w:r>
        <w:rPr>
          <w:spacing w:val="-5"/>
        </w:rPr>
        <w:t xml:space="preserve"> </w:t>
      </w:r>
      <w:r>
        <w:t>has</w:t>
      </w:r>
      <w:r>
        <w:rPr>
          <w:spacing w:val="-4"/>
        </w:rPr>
        <w:t xml:space="preserve"> </w:t>
      </w:r>
      <w:r>
        <w:t>created</w:t>
      </w:r>
      <w:r>
        <w:rPr>
          <w:spacing w:val="-7"/>
        </w:rPr>
        <w:t xml:space="preserve"> </w:t>
      </w:r>
      <w:r>
        <w:t>such</w:t>
      </w:r>
      <w:r>
        <w:rPr>
          <w:spacing w:val="-7"/>
        </w:rPr>
        <w:t xml:space="preserve"> </w:t>
      </w:r>
      <w:r>
        <w:t>an</w:t>
      </w:r>
      <w:r>
        <w:rPr>
          <w:spacing w:val="-7"/>
        </w:rPr>
        <w:t xml:space="preserve"> </w:t>
      </w:r>
      <w:r>
        <w:t>option</w:t>
      </w:r>
      <w:r>
        <w:rPr>
          <w:spacing w:val="-5"/>
        </w:rPr>
        <w:t xml:space="preserve"> </w:t>
      </w:r>
      <w:r>
        <w:t>for</w:t>
      </w:r>
      <w:r>
        <w:rPr>
          <w:spacing w:val="-7"/>
        </w:rPr>
        <w:t xml:space="preserve"> </w:t>
      </w:r>
      <w:r>
        <w:t>public</w:t>
      </w:r>
      <w:r>
        <w:rPr>
          <w:spacing w:val="-4"/>
        </w:rPr>
        <w:t xml:space="preserve"> </w:t>
      </w:r>
      <w:r>
        <w:t>school</w:t>
      </w:r>
      <w:r>
        <w:rPr>
          <w:spacing w:val="-7"/>
        </w:rPr>
        <w:t xml:space="preserve"> </w:t>
      </w:r>
      <w:r>
        <w:t>students.</w:t>
      </w:r>
      <w:r>
        <w:rPr>
          <w:spacing w:val="-5"/>
        </w:rPr>
        <w:t xml:space="preserve"> </w:t>
      </w:r>
      <w:r>
        <w:t>Discussions</w:t>
      </w:r>
      <w:r>
        <w:rPr>
          <w:spacing w:val="-7"/>
        </w:rPr>
        <w:t xml:space="preserve"> </w:t>
      </w:r>
      <w:r>
        <w:t>with</w:t>
      </w:r>
      <w:r>
        <w:rPr>
          <w:spacing w:val="-7"/>
        </w:rPr>
        <w:t xml:space="preserve"> </w:t>
      </w:r>
      <w:r>
        <w:t>staff working on the registry have focused on better understanding the workforce being served to help with data collectio</w:t>
      </w:r>
      <w:r>
        <w:t>n to form a baseline data plan for recruitment retention. The EEC is also exploring opportunities to update its Educator Registry to better reflect LGBTQ identities.</w:t>
      </w:r>
    </w:p>
    <w:p w:rsidR="00200FDA" w:rsidRDefault="00200FDA">
      <w:pPr>
        <w:pStyle w:val="BodyText"/>
      </w:pPr>
    </w:p>
    <w:p w:rsidR="00200FDA" w:rsidRDefault="00200FDA">
      <w:pPr>
        <w:pStyle w:val="BodyText"/>
      </w:pPr>
    </w:p>
    <w:p w:rsidR="00200FDA" w:rsidRDefault="00200FDA">
      <w:pPr>
        <w:pStyle w:val="BodyText"/>
        <w:spacing w:before="6"/>
        <w:rPr>
          <w:sz w:val="20"/>
        </w:rPr>
      </w:pPr>
    </w:p>
    <w:p w:rsidR="00200FDA" w:rsidRDefault="00F76C4C">
      <w:pPr>
        <w:pStyle w:val="Heading9"/>
        <w:numPr>
          <w:ilvl w:val="0"/>
          <w:numId w:val="22"/>
        </w:numPr>
        <w:tabs>
          <w:tab w:val="left" w:pos="503"/>
        </w:tabs>
        <w:ind w:left="502" w:hanging="223"/>
      </w:pPr>
      <w:r>
        <w:t>Share</w:t>
      </w:r>
      <w:r>
        <w:rPr>
          <w:spacing w:val="-10"/>
        </w:rPr>
        <w:t xml:space="preserve"> </w:t>
      </w:r>
      <w:r>
        <w:t>information</w:t>
      </w:r>
      <w:r>
        <w:rPr>
          <w:spacing w:val="-7"/>
        </w:rPr>
        <w:t xml:space="preserve"> </w:t>
      </w:r>
      <w:r>
        <w:t>and</w:t>
      </w:r>
      <w:r>
        <w:rPr>
          <w:spacing w:val="-6"/>
        </w:rPr>
        <w:t xml:space="preserve"> </w:t>
      </w:r>
      <w:r>
        <w:t>best</w:t>
      </w:r>
      <w:r>
        <w:rPr>
          <w:spacing w:val="-5"/>
        </w:rPr>
        <w:t xml:space="preserve"> </w:t>
      </w:r>
      <w:r>
        <w:t>practices</w:t>
      </w:r>
      <w:r>
        <w:rPr>
          <w:spacing w:val="-7"/>
        </w:rPr>
        <w:t xml:space="preserve"> </w:t>
      </w:r>
      <w:r>
        <w:t>related</w:t>
      </w:r>
      <w:r>
        <w:rPr>
          <w:spacing w:val="-6"/>
        </w:rPr>
        <w:t xml:space="preserve"> </w:t>
      </w:r>
      <w:r>
        <w:t>to</w:t>
      </w:r>
      <w:r>
        <w:rPr>
          <w:spacing w:val="-6"/>
        </w:rPr>
        <w:t xml:space="preserve"> </w:t>
      </w:r>
      <w:r>
        <w:t>early</w:t>
      </w:r>
      <w:r>
        <w:rPr>
          <w:spacing w:val="-4"/>
        </w:rPr>
        <w:t xml:space="preserve"> </w:t>
      </w:r>
      <w:r>
        <w:t>education</w:t>
      </w:r>
      <w:r>
        <w:rPr>
          <w:spacing w:val="-6"/>
        </w:rPr>
        <w:t xml:space="preserve"> </w:t>
      </w:r>
      <w:r>
        <w:rPr>
          <w:spacing w:val="-2"/>
        </w:rPr>
        <w:t>populations.</w:t>
      </w:r>
    </w:p>
    <w:p w:rsidR="00200FDA" w:rsidRDefault="00200FDA">
      <w:pPr>
        <w:pStyle w:val="BodyText"/>
        <w:rPr>
          <w:b/>
          <w:sz w:val="23"/>
        </w:rPr>
      </w:pPr>
    </w:p>
    <w:p w:rsidR="00200FDA" w:rsidRDefault="00F76C4C">
      <w:pPr>
        <w:pStyle w:val="BodyText"/>
        <w:spacing w:line="276" w:lineRule="auto"/>
        <w:ind w:left="279" w:right="331"/>
        <w:jc w:val="both"/>
      </w:pPr>
      <w:r>
        <w:t xml:space="preserve">The Safe </w:t>
      </w:r>
      <w:r>
        <w:t>Schools Program for LGBTQ Students has received an increase in requests for elementary trainings, as well as requests for technical assistance related to the formation of Rainbow Clubs or GSA groups at the elementary level. The Commission invites EEC to co</w:t>
      </w:r>
      <w:r>
        <w:t>ntinue sharing new research and best practices</w:t>
      </w:r>
      <w:r>
        <w:rPr>
          <w:spacing w:val="40"/>
        </w:rPr>
        <w:t xml:space="preserve"> </w:t>
      </w:r>
      <w:r>
        <w:t>with</w:t>
      </w:r>
      <w:r>
        <w:rPr>
          <w:spacing w:val="40"/>
        </w:rPr>
        <w:t xml:space="preserve"> </w:t>
      </w:r>
      <w:r>
        <w:t>the</w:t>
      </w:r>
      <w:r>
        <w:rPr>
          <w:spacing w:val="40"/>
        </w:rPr>
        <w:t xml:space="preserve"> </w:t>
      </w:r>
      <w:r>
        <w:t>Safe</w:t>
      </w:r>
      <w:r>
        <w:rPr>
          <w:spacing w:val="40"/>
        </w:rPr>
        <w:t xml:space="preserve"> </w:t>
      </w:r>
      <w:r>
        <w:t>Schools</w:t>
      </w:r>
      <w:r>
        <w:rPr>
          <w:spacing w:val="40"/>
        </w:rPr>
        <w:t xml:space="preserve"> </w:t>
      </w:r>
      <w:r>
        <w:t>Program</w:t>
      </w:r>
      <w:r>
        <w:rPr>
          <w:spacing w:val="40"/>
        </w:rPr>
        <w:t xml:space="preserve"> </w:t>
      </w:r>
      <w:r>
        <w:t>for</w:t>
      </w:r>
      <w:r>
        <w:rPr>
          <w:spacing w:val="40"/>
        </w:rPr>
        <w:t xml:space="preserve"> </w:t>
      </w:r>
      <w:r>
        <w:t>LGBTQ</w:t>
      </w:r>
      <w:r>
        <w:rPr>
          <w:spacing w:val="40"/>
        </w:rPr>
        <w:t xml:space="preserve"> </w:t>
      </w:r>
      <w:r>
        <w:t>Students</w:t>
      </w:r>
      <w:r>
        <w:rPr>
          <w:spacing w:val="40"/>
        </w:rPr>
        <w:t xml:space="preserve"> </w:t>
      </w:r>
      <w:r>
        <w:t>in</w:t>
      </w:r>
      <w:r>
        <w:rPr>
          <w:spacing w:val="40"/>
        </w:rPr>
        <w:t xml:space="preserve"> </w:t>
      </w:r>
      <w:r>
        <w:t>order</w:t>
      </w:r>
      <w:r>
        <w:rPr>
          <w:spacing w:val="40"/>
        </w:rPr>
        <w:t xml:space="preserve"> </w:t>
      </w:r>
      <w:r>
        <w:t>to</w:t>
      </w:r>
      <w:r>
        <w:rPr>
          <w:spacing w:val="40"/>
        </w:rPr>
        <w:t xml:space="preserve"> </w:t>
      </w:r>
      <w:r>
        <w:t>strengthen</w:t>
      </w:r>
      <w:r>
        <w:rPr>
          <w:spacing w:val="40"/>
        </w:rPr>
        <w:t xml:space="preserve"> </w:t>
      </w:r>
      <w:r>
        <w:t>its</w:t>
      </w:r>
      <w:r>
        <w:rPr>
          <w:spacing w:val="40"/>
        </w:rPr>
        <w:t xml:space="preserve"> </w:t>
      </w:r>
      <w:r>
        <w:t>training and</w:t>
      </w:r>
      <w:r>
        <w:rPr>
          <w:spacing w:val="40"/>
        </w:rPr>
        <w:t xml:space="preserve"> </w:t>
      </w:r>
      <w:r>
        <w:t>technical assistance programming.</w:t>
      </w:r>
    </w:p>
    <w:p w:rsidR="00200FDA" w:rsidRDefault="00200FDA">
      <w:pPr>
        <w:pStyle w:val="BodyText"/>
        <w:spacing w:before="4"/>
        <w:rPr>
          <w:sz w:val="25"/>
        </w:rPr>
      </w:pPr>
    </w:p>
    <w:p w:rsidR="00200FDA" w:rsidRDefault="00F76C4C">
      <w:pPr>
        <w:spacing w:before="1"/>
        <w:ind w:left="280"/>
        <w:jc w:val="both"/>
        <w:rPr>
          <w:i/>
        </w:rPr>
      </w:pPr>
      <w:r>
        <w:rPr>
          <w:i/>
        </w:rPr>
        <w:t>Acknowledgments:</w:t>
      </w:r>
      <w:r>
        <w:rPr>
          <w:i/>
          <w:spacing w:val="-6"/>
        </w:rPr>
        <w:t xml:space="preserve"> </w:t>
      </w:r>
      <w:r>
        <w:rPr>
          <w:i/>
        </w:rPr>
        <w:t>The</w:t>
      </w:r>
      <w:r>
        <w:rPr>
          <w:i/>
          <w:spacing w:val="-3"/>
        </w:rPr>
        <w:t xml:space="preserve"> </w:t>
      </w:r>
      <w:r>
        <w:rPr>
          <w:i/>
        </w:rPr>
        <w:t>Commission</w:t>
      </w:r>
      <w:r>
        <w:rPr>
          <w:i/>
          <w:spacing w:val="-4"/>
        </w:rPr>
        <w:t xml:space="preserve"> </w:t>
      </w:r>
      <w:r>
        <w:rPr>
          <w:i/>
        </w:rPr>
        <w:t>appreciates</w:t>
      </w:r>
      <w:r>
        <w:rPr>
          <w:i/>
          <w:spacing w:val="-3"/>
        </w:rPr>
        <w:t xml:space="preserve"> </w:t>
      </w:r>
      <w:r>
        <w:rPr>
          <w:i/>
        </w:rPr>
        <w:t>the</w:t>
      </w:r>
      <w:r>
        <w:rPr>
          <w:i/>
          <w:spacing w:val="-3"/>
        </w:rPr>
        <w:t xml:space="preserve"> </w:t>
      </w:r>
      <w:r>
        <w:rPr>
          <w:i/>
        </w:rPr>
        <w:t>contributions</w:t>
      </w:r>
      <w:r>
        <w:rPr>
          <w:i/>
          <w:spacing w:val="-3"/>
        </w:rPr>
        <w:t xml:space="preserve"> </w:t>
      </w:r>
      <w:r>
        <w:rPr>
          <w:i/>
        </w:rPr>
        <w:t>of</w:t>
      </w:r>
      <w:r>
        <w:rPr>
          <w:i/>
          <w:spacing w:val="-3"/>
        </w:rPr>
        <w:t xml:space="preserve"> </w:t>
      </w:r>
      <w:r>
        <w:rPr>
          <w:i/>
        </w:rPr>
        <w:t>its</w:t>
      </w:r>
      <w:r>
        <w:rPr>
          <w:i/>
          <w:spacing w:val="-4"/>
        </w:rPr>
        <w:t xml:space="preserve"> </w:t>
      </w:r>
      <w:r>
        <w:rPr>
          <w:i/>
        </w:rPr>
        <w:t>EEC</w:t>
      </w:r>
      <w:r>
        <w:rPr>
          <w:i/>
          <w:spacing w:val="-3"/>
        </w:rPr>
        <w:t xml:space="preserve"> </w:t>
      </w:r>
      <w:r>
        <w:rPr>
          <w:i/>
        </w:rPr>
        <w:t>agency</w:t>
      </w:r>
      <w:r>
        <w:rPr>
          <w:i/>
          <w:spacing w:val="-3"/>
        </w:rPr>
        <w:t xml:space="preserve"> </w:t>
      </w:r>
      <w:r>
        <w:rPr>
          <w:i/>
          <w:spacing w:val="-2"/>
        </w:rPr>
        <w:t>liaisons.</w:t>
      </w:r>
    </w:p>
    <w:p w:rsidR="00200FDA" w:rsidRDefault="00200FDA">
      <w:pPr>
        <w:jc w:val="both"/>
        <w:sectPr w:rsidR="00200FDA">
          <w:pgSz w:w="12240" w:h="15840"/>
          <w:pgMar w:top="1260" w:right="1160" w:bottom="1240" w:left="1160" w:header="761" w:footer="1043" w:gutter="0"/>
          <w:cols w:space="720"/>
        </w:sectPr>
      </w:pPr>
    </w:p>
    <w:p w:rsidR="00200FDA" w:rsidRDefault="00200FDA">
      <w:pPr>
        <w:pStyle w:val="BodyText"/>
        <w:spacing w:before="10"/>
        <w:rPr>
          <w:i/>
          <w:sz w:val="10"/>
        </w:rPr>
      </w:pPr>
    </w:p>
    <w:p w:rsidR="00200FDA" w:rsidRDefault="00F76C4C">
      <w:pPr>
        <w:spacing w:before="35"/>
        <w:ind w:left="280"/>
        <w:rPr>
          <w:sz w:val="32"/>
        </w:rPr>
      </w:pPr>
      <w:r>
        <w:pict>
          <v:rect id="docshape506" o:spid="_x0000_s1107" style="position:absolute;left:0;text-align:left;margin-left:70.55pt;margin-top:22.25pt;width:470.9pt;height:.5pt;z-index:-15631360;mso-wrap-distance-left:0;mso-wrap-distance-right:0;mso-position-horizontal-relative:page" fillcolor="#4f81bc" stroked="f">
            <w10:wrap type="topAndBottom" anchorx="page"/>
          </v:rect>
        </w:pict>
      </w:r>
      <w:bookmarkStart w:id="1059" w:name="FY24_DHE_Recommendations_-_Final.pdf"/>
      <w:bookmarkStart w:id="1060" w:name="Department_of_Higher_Education"/>
      <w:bookmarkStart w:id="1061" w:name="_bookmark848"/>
      <w:bookmarkEnd w:id="1059"/>
      <w:bookmarkEnd w:id="1060"/>
      <w:bookmarkEnd w:id="1061"/>
      <w:r>
        <w:rPr>
          <w:color w:val="365F91"/>
          <w:sz w:val="32"/>
        </w:rPr>
        <w:t>Department</w:t>
      </w:r>
      <w:r>
        <w:rPr>
          <w:color w:val="365F91"/>
          <w:spacing w:val="-8"/>
          <w:sz w:val="32"/>
        </w:rPr>
        <w:t xml:space="preserve"> </w:t>
      </w:r>
      <w:r>
        <w:rPr>
          <w:color w:val="365F91"/>
          <w:sz w:val="32"/>
        </w:rPr>
        <w:t>of</w:t>
      </w:r>
      <w:r>
        <w:rPr>
          <w:color w:val="365F91"/>
          <w:spacing w:val="-11"/>
          <w:sz w:val="32"/>
        </w:rPr>
        <w:t xml:space="preserve"> </w:t>
      </w:r>
      <w:r>
        <w:rPr>
          <w:color w:val="365F91"/>
          <w:sz w:val="32"/>
        </w:rPr>
        <w:t>Higher</w:t>
      </w:r>
      <w:r>
        <w:rPr>
          <w:color w:val="365F91"/>
          <w:spacing w:val="-12"/>
          <w:sz w:val="32"/>
        </w:rPr>
        <w:t xml:space="preserve"> </w:t>
      </w:r>
      <w:r>
        <w:rPr>
          <w:color w:val="365F91"/>
          <w:spacing w:val="-2"/>
          <w:sz w:val="32"/>
        </w:rPr>
        <w:t>Education</w:t>
      </w:r>
    </w:p>
    <w:p w:rsidR="00200FDA" w:rsidRDefault="00200FDA">
      <w:pPr>
        <w:pStyle w:val="BodyText"/>
        <w:rPr>
          <w:sz w:val="20"/>
        </w:rPr>
      </w:pPr>
    </w:p>
    <w:p w:rsidR="00200FDA" w:rsidRDefault="00200FDA">
      <w:pPr>
        <w:pStyle w:val="BodyText"/>
        <w:spacing w:before="1"/>
        <w:rPr>
          <w:sz w:val="15"/>
        </w:rPr>
      </w:pPr>
    </w:p>
    <w:p w:rsidR="00200FDA" w:rsidRDefault="00F76C4C">
      <w:pPr>
        <w:pStyle w:val="Heading7"/>
        <w:spacing w:before="44"/>
      </w:pPr>
      <w:r>
        <w:pict>
          <v:rect id="docshape507" o:spid="_x0000_s1106" style="position:absolute;left:0;text-align:left;margin-left:70.55pt;margin-top:20.1pt;width:470.9pt;height:.5pt;z-index:-15630848;mso-wrap-distance-left:0;mso-wrap-distance-right:0;mso-position-horizontal-relative:page" fillcolor="#4f81bc" stroked="f">
            <w10:wrap type="topAndBottom" anchorx="page"/>
          </v:rect>
        </w:pict>
      </w:r>
      <w:r>
        <w:rPr>
          <w:color w:val="365F91"/>
        </w:rPr>
        <w:t>FY</w:t>
      </w:r>
      <w:r>
        <w:rPr>
          <w:color w:val="365F91"/>
          <w:spacing w:val="-3"/>
        </w:rPr>
        <w:t xml:space="preserve"> </w:t>
      </w:r>
      <w:r>
        <w:rPr>
          <w:color w:val="365F91"/>
        </w:rPr>
        <w:t>2024</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ListParagraph"/>
        <w:numPr>
          <w:ilvl w:val="0"/>
          <w:numId w:val="21"/>
        </w:numPr>
        <w:tabs>
          <w:tab w:val="left" w:pos="1001"/>
        </w:tabs>
        <w:spacing w:before="56" w:line="360" w:lineRule="auto"/>
        <w:ind w:right="275" w:hanging="360"/>
        <w:jc w:val="both"/>
      </w:pPr>
      <w:r>
        <w:t>Encourage public and private higher education institutions to enact anti-discrimination policies and best practices that include sex, gender identity, gender expression, and sexual orientation.</w:t>
      </w:r>
    </w:p>
    <w:p w:rsidR="00200FDA" w:rsidRDefault="00F76C4C">
      <w:pPr>
        <w:pStyle w:val="ListParagraph"/>
        <w:numPr>
          <w:ilvl w:val="0"/>
          <w:numId w:val="21"/>
        </w:numPr>
        <w:tabs>
          <w:tab w:val="left" w:pos="1001"/>
        </w:tabs>
        <w:spacing w:before="1" w:line="360" w:lineRule="auto"/>
        <w:ind w:right="275"/>
        <w:jc w:val="both"/>
      </w:pPr>
      <w:r>
        <w:t>Continue</w:t>
      </w:r>
      <w:r>
        <w:rPr>
          <w:spacing w:val="-1"/>
        </w:rPr>
        <w:t xml:space="preserve"> </w:t>
      </w:r>
      <w:r>
        <w:t>to</w:t>
      </w:r>
      <w:r>
        <w:rPr>
          <w:spacing w:val="-1"/>
        </w:rPr>
        <w:t xml:space="preserve"> </w:t>
      </w:r>
      <w:r>
        <w:t>support</w:t>
      </w:r>
      <w:r>
        <w:rPr>
          <w:spacing w:val="-1"/>
        </w:rPr>
        <w:t xml:space="preserve"> </w:t>
      </w:r>
      <w:r>
        <w:t>quantitative</w:t>
      </w:r>
      <w:r>
        <w:rPr>
          <w:spacing w:val="-1"/>
        </w:rPr>
        <w:t xml:space="preserve"> </w:t>
      </w:r>
      <w:r>
        <w:t>and</w:t>
      </w:r>
      <w:r>
        <w:rPr>
          <w:spacing w:val="-3"/>
        </w:rPr>
        <w:t xml:space="preserve"> </w:t>
      </w:r>
      <w:r>
        <w:t>qualitative</w:t>
      </w:r>
      <w:r>
        <w:rPr>
          <w:spacing w:val="-1"/>
        </w:rPr>
        <w:t xml:space="preserve"> </w:t>
      </w:r>
      <w:r>
        <w:t>data</w:t>
      </w:r>
      <w:r>
        <w:rPr>
          <w:spacing w:val="-4"/>
        </w:rPr>
        <w:t xml:space="preserve"> </w:t>
      </w:r>
      <w:r>
        <w:t>collecti</w:t>
      </w:r>
      <w:r>
        <w:t>on</w:t>
      </w:r>
      <w:r>
        <w:rPr>
          <w:spacing w:val="-5"/>
        </w:rPr>
        <w:t xml:space="preserve"> </w:t>
      </w:r>
      <w:r>
        <w:t>measures</w:t>
      </w:r>
      <w:r>
        <w:rPr>
          <w:spacing w:val="-2"/>
        </w:rPr>
        <w:t xml:space="preserve"> </w:t>
      </w:r>
      <w:r>
        <w:t>across</w:t>
      </w:r>
      <w:r>
        <w:rPr>
          <w:spacing w:val="-4"/>
        </w:rPr>
        <w:t xml:space="preserve"> </w:t>
      </w:r>
      <w:r>
        <w:t>both</w:t>
      </w:r>
      <w:r>
        <w:rPr>
          <w:spacing w:val="-3"/>
        </w:rPr>
        <w:t xml:space="preserve"> </w:t>
      </w:r>
      <w:r>
        <w:t>the</w:t>
      </w:r>
      <w:r>
        <w:rPr>
          <w:spacing w:val="-1"/>
        </w:rPr>
        <w:t xml:space="preserve"> </w:t>
      </w:r>
      <w:r>
        <w:t>public and private higher education sectors to address potential inequities in sexual misconduct occurrence among LGBTQ students versus their non-LGBTQ counterparts.</w:t>
      </w:r>
    </w:p>
    <w:p w:rsidR="00200FDA" w:rsidRDefault="00F76C4C">
      <w:pPr>
        <w:pStyle w:val="ListParagraph"/>
        <w:numPr>
          <w:ilvl w:val="0"/>
          <w:numId w:val="21"/>
        </w:numPr>
        <w:tabs>
          <w:tab w:val="left" w:pos="1001"/>
        </w:tabs>
        <w:spacing w:line="360" w:lineRule="auto"/>
        <w:ind w:right="271"/>
        <w:jc w:val="both"/>
      </w:pPr>
      <w:r>
        <w:t>Host listening sessions to identify the unique needs of studen</w:t>
      </w:r>
      <w:r>
        <w:t>ts related to community college access, housing, mental health, among other issues.</w:t>
      </w:r>
    </w:p>
    <w:p w:rsidR="00200FDA" w:rsidRDefault="00F76C4C">
      <w:pPr>
        <w:pStyle w:val="ListParagraph"/>
        <w:numPr>
          <w:ilvl w:val="0"/>
          <w:numId w:val="21"/>
        </w:numPr>
        <w:tabs>
          <w:tab w:val="left" w:pos="1001"/>
        </w:tabs>
        <w:jc w:val="both"/>
      </w:pPr>
      <w:r>
        <w:t>Collaborate</w:t>
      </w:r>
      <w:r>
        <w:rPr>
          <w:spacing w:val="-8"/>
        </w:rPr>
        <w:t xml:space="preserve"> </w:t>
      </w:r>
      <w:r>
        <w:t>with</w:t>
      </w:r>
      <w:r>
        <w:rPr>
          <w:spacing w:val="-5"/>
        </w:rPr>
        <w:t xml:space="preserve"> </w:t>
      </w:r>
      <w:r>
        <w:t>community</w:t>
      </w:r>
      <w:r>
        <w:rPr>
          <w:spacing w:val="-4"/>
        </w:rPr>
        <w:t xml:space="preserve"> </w:t>
      </w:r>
      <w:r>
        <w:t>colleges</w:t>
      </w:r>
      <w:r>
        <w:rPr>
          <w:spacing w:val="-6"/>
        </w:rPr>
        <w:t xml:space="preserve"> </w:t>
      </w:r>
      <w:r>
        <w:t>to</w:t>
      </w:r>
      <w:r>
        <w:rPr>
          <w:spacing w:val="-3"/>
        </w:rPr>
        <w:t xml:space="preserve"> </w:t>
      </w:r>
      <w:r>
        <w:t>develop</w:t>
      </w:r>
      <w:r>
        <w:rPr>
          <w:spacing w:val="-5"/>
        </w:rPr>
        <w:t xml:space="preserve"> </w:t>
      </w:r>
      <w:r>
        <w:t>resources</w:t>
      </w:r>
      <w:r>
        <w:rPr>
          <w:spacing w:val="-4"/>
        </w:rPr>
        <w:t xml:space="preserve"> </w:t>
      </w:r>
      <w:r>
        <w:t>for</w:t>
      </w:r>
      <w:r>
        <w:rPr>
          <w:spacing w:val="-6"/>
        </w:rPr>
        <w:t xml:space="preserve"> </w:t>
      </w:r>
      <w:r>
        <w:t>LGBTQ</w:t>
      </w:r>
      <w:r>
        <w:rPr>
          <w:spacing w:val="-6"/>
        </w:rPr>
        <w:t xml:space="preserve"> </w:t>
      </w:r>
      <w:r>
        <w:t>youth</w:t>
      </w:r>
      <w:r>
        <w:rPr>
          <w:spacing w:val="-6"/>
        </w:rPr>
        <w:t xml:space="preserve"> </w:t>
      </w:r>
      <w:r>
        <w:t>on</w:t>
      </w:r>
      <w:r>
        <w:rPr>
          <w:spacing w:val="-5"/>
        </w:rPr>
        <w:t xml:space="preserve"> </w:t>
      </w:r>
      <w:r>
        <w:rPr>
          <w:spacing w:val="-2"/>
        </w:rPr>
        <w:t>campus.</w:t>
      </w:r>
    </w:p>
    <w:p w:rsidR="00200FDA" w:rsidRDefault="00200FDA">
      <w:pPr>
        <w:pStyle w:val="BodyText"/>
      </w:pPr>
    </w:p>
    <w:p w:rsidR="00200FDA" w:rsidRDefault="00200FDA">
      <w:pPr>
        <w:pStyle w:val="BodyText"/>
        <w:spacing w:before="10"/>
        <w:rPr>
          <w:sz w:val="21"/>
        </w:rPr>
      </w:pPr>
    </w:p>
    <w:p w:rsidR="00200FDA" w:rsidRDefault="00F76C4C">
      <w:pPr>
        <w:pStyle w:val="Heading7"/>
        <w:spacing w:before="1"/>
      </w:pPr>
      <w:r>
        <w:pict>
          <v:rect id="docshape508" o:spid="_x0000_s1105" style="position:absolute;left:0;text-align:left;margin-left:70.55pt;margin-top:18.05pt;width:470.9pt;height:.5pt;z-index:-15630336;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line="276" w:lineRule="auto"/>
        <w:ind w:left="279" w:right="413"/>
        <w:jc w:val="both"/>
      </w:pPr>
      <w:r>
        <w:t>The Department of Higher Education (DHE) offers vital educational opportunities to nearly 300,000 students at 15 community colleges, nine state universities, and the five campuses of the University of Massachusetts. DHE seeks to provide accessible and rele</w:t>
      </w:r>
      <w:r>
        <w:t>vant programs that meet the changing individual and societal needs for education and employment in the Commonwealth. The Commission began meeting with</w:t>
      </w:r>
      <w:r>
        <w:rPr>
          <w:spacing w:val="-3"/>
        </w:rPr>
        <w:t xml:space="preserve"> </w:t>
      </w:r>
      <w:r>
        <w:t>DHE in</w:t>
      </w:r>
      <w:r>
        <w:rPr>
          <w:spacing w:val="-3"/>
        </w:rPr>
        <w:t xml:space="preserve"> </w:t>
      </w:r>
      <w:r>
        <w:t>2013</w:t>
      </w:r>
      <w:r>
        <w:rPr>
          <w:spacing w:val="-1"/>
        </w:rPr>
        <w:t xml:space="preserve"> </w:t>
      </w:r>
      <w:r>
        <w:t>to</w:t>
      </w:r>
      <w:r>
        <w:rPr>
          <w:spacing w:val="-1"/>
        </w:rPr>
        <w:t xml:space="preserve"> </w:t>
      </w:r>
      <w:r>
        <w:t>promote inclusive</w:t>
      </w:r>
      <w:r>
        <w:rPr>
          <w:spacing w:val="-1"/>
        </w:rPr>
        <w:t xml:space="preserve"> </w:t>
      </w:r>
      <w:r>
        <w:t>and welcoming campus climates and to improve educational outcomes for LG</w:t>
      </w:r>
      <w:r>
        <w:t>BTQ students at the collegiate level. Through our work together, DHE has ensured that state campuses consider LGBTQ identities in model guidance and best practices; has updated its campus safety and violence prevention regulations; has committed to ensurin</w:t>
      </w:r>
      <w:r>
        <w:t>g the protection</w:t>
      </w:r>
      <w:r>
        <w:rPr>
          <w:spacing w:val="-10"/>
        </w:rPr>
        <w:t xml:space="preserve"> </w:t>
      </w:r>
      <w:r>
        <w:t>of</w:t>
      </w:r>
      <w:r>
        <w:rPr>
          <w:spacing w:val="-9"/>
        </w:rPr>
        <w:t xml:space="preserve"> </w:t>
      </w:r>
      <w:r>
        <w:t>LGBTQ</w:t>
      </w:r>
      <w:r>
        <w:rPr>
          <w:spacing w:val="-6"/>
        </w:rPr>
        <w:t xml:space="preserve"> </w:t>
      </w:r>
      <w:r>
        <w:t>students</w:t>
      </w:r>
      <w:r>
        <w:rPr>
          <w:spacing w:val="-7"/>
        </w:rPr>
        <w:t xml:space="preserve"> </w:t>
      </w:r>
      <w:r>
        <w:t>and</w:t>
      </w:r>
      <w:r>
        <w:rPr>
          <w:spacing w:val="-7"/>
        </w:rPr>
        <w:t xml:space="preserve"> </w:t>
      </w:r>
      <w:r>
        <w:t>students</w:t>
      </w:r>
      <w:r>
        <w:rPr>
          <w:spacing w:val="-9"/>
        </w:rPr>
        <w:t xml:space="preserve"> </w:t>
      </w:r>
      <w:r>
        <w:t>of</w:t>
      </w:r>
      <w:r>
        <w:rPr>
          <w:spacing w:val="-9"/>
        </w:rPr>
        <w:t xml:space="preserve"> </w:t>
      </w:r>
      <w:r>
        <w:t>color;</w:t>
      </w:r>
      <w:r>
        <w:rPr>
          <w:spacing w:val="-6"/>
        </w:rPr>
        <w:t xml:space="preserve"> </w:t>
      </w:r>
      <w:r>
        <w:t>and</w:t>
      </w:r>
      <w:r>
        <w:rPr>
          <w:spacing w:val="-7"/>
        </w:rPr>
        <w:t xml:space="preserve"> </w:t>
      </w:r>
      <w:r>
        <w:t>has</w:t>
      </w:r>
      <w:r>
        <w:rPr>
          <w:spacing w:val="-7"/>
        </w:rPr>
        <w:t xml:space="preserve"> </w:t>
      </w:r>
      <w:r>
        <w:t>researched</w:t>
      </w:r>
      <w:r>
        <w:rPr>
          <w:spacing w:val="-7"/>
        </w:rPr>
        <w:t xml:space="preserve"> </w:t>
      </w:r>
      <w:r>
        <w:t>the</w:t>
      </w:r>
      <w:r>
        <w:rPr>
          <w:spacing w:val="-6"/>
        </w:rPr>
        <w:t xml:space="preserve"> </w:t>
      </w:r>
      <w:r>
        <w:t>inclusion</w:t>
      </w:r>
      <w:r>
        <w:rPr>
          <w:spacing w:val="-10"/>
        </w:rPr>
        <w:t xml:space="preserve"> </w:t>
      </w:r>
      <w:r>
        <w:t>of</w:t>
      </w:r>
      <w:r>
        <w:rPr>
          <w:spacing w:val="-7"/>
        </w:rPr>
        <w:t xml:space="preserve"> </w:t>
      </w:r>
      <w:r>
        <w:t>gender</w:t>
      </w:r>
      <w:r>
        <w:rPr>
          <w:spacing w:val="-9"/>
        </w:rPr>
        <w:t xml:space="preserve"> </w:t>
      </w:r>
      <w:r>
        <w:t>identity and sexual orientation in college and university anti-discrimination statements.</w:t>
      </w:r>
    </w:p>
    <w:p w:rsidR="00200FDA" w:rsidRDefault="00200FDA">
      <w:pPr>
        <w:pStyle w:val="BodyText"/>
        <w:spacing w:before="8"/>
        <w:rPr>
          <w:sz w:val="19"/>
        </w:rPr>
      </w:pPr>
    </w:p>
    <w:p w:rsidR="00200FDA" w:rsidRDefault="00F76C4C">
      <w:pPr>
        <w:pStyle w:val="BodyText"/>
        <w:spacing w:line="276" w:lineRule="auto"/>
        <w:ind w:left="280" w:right="414"/>
        <w:jc w:val="both"/>
      </w:pPr>
      <w:r>
        <w:t>While</w:t>
      </w:r>
      <w:r>
        <w:rPr>
          <w:spacing w:val="-2"/>
        </w:rPr>
        <w:t xml:space="preserve"> </w:t>
      </w:r>
      <w:r>
        <w:t>there</w:t>
      </w:r>
      <w:r>
        <w:rPr>
          <w:spacing w:val="-4"/>
        </w:rPr>
        <w:t xml:space="preserve"> </w:t>
      </w:r>
      <w:r>
        <w:t>is</w:t>
      </w:r>
      <w:r>
        <w:rPr>
          <w:spacing w:val="-2"/>
        </w:rPr>
        <w:t xml:space="preserve"> </w:t>
      </w:r>
      <w:r>
        <w:t>limited</w:t>
      </w:r>
      <w:r>
        <w:rPr>
          <w:spacing w:val="-3"/>
        </w:rPr>
        <w:t xml:space="preserve"> </w:t>
      </w:r>
      <w:r>
        <w:t>information</w:t>
      </w:r>
      <w:r>
        <w:rPr>
          <w:spacing w:val="-3"/>
        </w:rPr>
        <w:t xml:space="preserve"> </w:t>
      </w:r>
      <w:r>
        <w:t>regarding</w:t>
      </w:r>
      <w:r>
        <w:rPr>
          <w:spacing w:val="-3"/>
        </w:rPr>
        <w:t xml:space="preserve"> </w:t>
      </w:r>
      <w:r>
        <w:t>the</w:t>
      </w:r>
      <w:r>
        <w:rPr>
          <w:spacing w:val="-4"/>
        </w:rPr>
        <w:t xml:space="preserve"> </w:t>
      </w:r>
      <w:r>
        <w:t>experience</w:t>
      </w:r>
      <w:r>
        <w:rPr>
          <w:spacing w:val="-1"/>
        </w:rPr>
        <w:t xml:space="preserve"> </w:t>
      </w:r>
      <w:r>
        <w:t>and</w:t>
      </w:r>
      <w:r>
        <w:rPr>
          <w:spacing w:val="-5"/>
        </w:rPr>
        <w:t xml:space="preserve"> </w:t>
      </w:r>
      <w:r>
        <w:t>outcomes</w:t>
      </w:r>
      <w:r>
        <w:rPr>
          <w:spacing w:val="-4"/>
        </w:rPr>
        <w:t xml:space="preserve"> </w:t>
      </w:r>
      <w:r>
        <w:t>of</w:t>
      </w:r>
      <w:r>
        <w:rPr>
          <w:spacing w:val="-5"/>
        </w:rPr>
        <w:t xml:space="preserve"> </w:t>
      </w:r>
      <w:r>
        <w:t>LGBTQ</w:t>
      </w:r>
      <w:r>
        <w:rPr>
          <w:spacing w:val="-2"/>
        </w:rPr>
        <w:t xml:space="preserve"> </w:t>
      </w:r>
      <w:r>
        <w:t>students</w:t>
      </w:r>
      <w:r>
        <w:rPr>
          <w:spacing w:val="-4"/>
        </w:rPr>
        <w:t xml:space="preserve"> </w:t>
      </w:r>
      <w:r>
        <w:t>on</w:t>
      </w:r>
      <w:r>
        <w:rPr>
          <w:spacing w:val="-3"/>
        </w:rPr>
        <w:t xml:space="preserve"> </w:t>
      </w:r>
      <w:r>
        <w:t>public university and college campuses across the country, including in Massachusetts, national research suggests that LGBTQ college students face barriers to access and achievement in higher education programs. Despite the ex</w:t>
      </w:r>
      <w:r>
        <w:t>istence of inclusive anti-discrimination policies at some institutions, many LGBTQ students and staff members face harassment or feel pressured to hide their sexual orientation or</w:t>
      </w:r>
      <w:r>
        <w:rPr>
          <w:spacing w:val="-4"/>
        </w:rPr>
        <w:t xml:space="preserve"> </w:t>
      </w:r>
      <w:r>
        <w:t>gender</w:t>
      </w:r>
      <w:r>
        <w:rPr>
          <w:spacing w:val="-7"/>
        </w:rPr>
        <w:t xml:space="preserve"> </w:t>
      </w:r>
      <w:r>
        <w:t>identity</w:t>
      </w:r>
      <w:r>
        <w:rPr>
          <w:spacing w:val="-6"/>
        </w:rPr>
        <w:t xml:space="preserve"> </w:t>
      </w:r>
      <w:r>
        <w:t>on</w:t>
      </w:r>
      <w:r>
        <w:rPr>
          <w:spacing w:val="-5"/>
        </w:rPr>
        <w:t xml:space="preserve"> </w:t>
      </w:r>
      <w:r>
        <w:t>campus.</w:t>
      </w:r>
      <w:r>
        <w:rPr>
          <w:spacing w:val="-5"/>
        </w:rPr>
        <w:t xml:space="preserve"> </w:t>
      </w:r>
      <w:r>
        <w:t>Indeed,</w:t>
      </w:r>
      <w:r>
        <w:rPr>
          <w:spacing w:val="-4"/>
        </w:rPr>
        <w:t xml:space="preserve"> </w:t>
      </w:r>
      <w:r>
        <w:t>the</w:t>
      </w:r>
      <w:r>
        <w:rPr>
          <w:spacing w:val="-6"/>
        </w:rPr>
        <w:t xml:space="preserve"> </w:t>
      </w:r>
      <w:r>
        <w:t>harassment</w:t>
      </w:r>
      <w:r>
        <w:rPr>
          <w:spacing w:val="-6"/>
        </w:rPr>
        <w:t xml:space="preserve"> </w:t>
      </w:r>
      <w:r>
        <w:t>and</w:t>
      </w:r>
      <w:r>
        <w:rPr>
          <w:spacing w:val="-5"/>
        </w:rPr>
        <w:t xml:space="preserve"> </w:t>
      </w:r>
      <w:r>
        <w:t>discrimination</w:t>
      </w:r>
      <w:r>
        <w:rPr>
          <w:spacing w:val="-7"/>
        </w:rPr>
        <w:t xml:space="preserve"> </w:t>
      </w:r>
      <w:r>
        <w:t>that</w:t>
      </w:r>
      <w:r>
        <w:rPr>
          <w:spacing w:val="-6"/>
        </w:rPr>
        <w:t xml:space="preserve"> </w:t>
      </w:r>
      <w:r>
        <w:t>many</w:t>
      </w:r>
      <w:r>
        <w:rPr>
          <w:spacing w:val="-3"/>
        </w:rPr>
        <w:t xml:space="preserve"> </w:t>
      </w:r>
      <w:r>
        <w:t>LGBTQ</w:t>
      </w:r>
      <w:r>
        <w:rPr>
          <w:spacing w:val="-4"/>
        </w:rPr>
        <w:t xml:space="preserve"> </w:t>
      </w:r>
      <w:r>
        <w:t>high</w:t>
      </w:r>
      <w:r>
        <w:rPr>
          <w:spacing w:val="-5"/>
        </w:rPr>
        <w:t xml:space="preserve"> </w:t>
      </w:r>
      <w:r>
        <w:t>school students</w:t>
      </w:r>
      <w:r>
        <w:rPr>
          <w:spacing w:val="-10"/>
        </w:rPr>
        <w:t xml:space="preserve"> </w:t>
      </w:r>
      <w:r>
        <w:t>experience</w:t>
      </w:r>
      <w:r>
        <w:rPr>
          <w:spacing w:val="-9"/>
        </w:rPr>
        <w:t xml:space="preserve"> </w:t>
      </w:r>
      <w:r>
        <w:t>continues</w:t>
      </w:r>
      <w:r>
        <w:rPr>
          <w:spacing w:val="-8"/>
        </w:rPr>
        <w:t xml:space="preserve"> </w:t>
      </w:r>
      <w:r>
        <w:t>beyond</w:t>
      </w:r>
      <w:r>
        <w:rPr>
          <w:spacing w:val="-11"/>
        </w:rPr>
        <w:t xml:space="preserve"> </w:t>
      </w:r>
      <w:r>
        <w:t>secondary</w:t>
      </w:r>
      <w:r>
        <w:rPr>
          <w:spacing w:val="-9"/>
        </w:rPr>
        <w:t xml:space="preserve"> </w:t>
      </w:r>
      <w:r>
        <w:t>school</w:t>
      </w:r>
      <w:r>
        <w:rPr>
          <w:spacing w:val="-8"/>
        </w:rPr>
        <w:t xml:space="preserve"> </w:t>
      </w:r>
      <w:r>
        <w:t>and</w:t>
      </w:r>
      <w:r>
        <w:rPr>
          <w:spacing w:val="-8"/>
        </w:rPr>
        <w:t xml:space="preserve"> </w:t>
      </w:r>
      <w:r>
        <w:t>into</w:t>
      </w:r>
      <w:r>
        <w:rPr>
          <w:spacing w:val="-9"/>
        </w:rPr>
        <w:t xml:space="preserve"> </w:t>
      </w:r>
      <w:r>
        <w:t>higher</w:t>
      </w:r>
      <w:r>
        <w:rPr>
          <w:spacing w:val="-8"/>
        </w:rPr>
        <w:t xml:space="preserve"> </w:t>
      </w:r>
      <w:r>
        <w:t>education.</w:t>
      </w:r>
      <w:r>
        <w:rPr>
          <w:spacing w:val="-8"/>
        </w:rPr>
        <w:t xml:space="preserve"> </w:t>
      </w:r>
      <w:r>
        <w:t>A</w:t>
      </w:r>
      <w:r>
        <w:rPr>
          <w:spacing w:val="-8"/>
        </w:rPr>
        <w:t xml:space="preserve"> </w:t>
      </w:r>
      <w:r>
        <w:t>report</w:t>
      </w:r>
      <w:r>
        <w:rPr>
          <w:spacing w:val="-7"/>
        </w:rPr>
        <w:t xml:space="preserve"> </w:t>
      </w:r>
      <w:r>
        <w:t>by</w:t>
      </w:r>
      <w:r>
        <w:rPr>
          <w:spacing w:val="-7"/>
        </w:rPr>
        <w:t xml:space="preserve"> </w:t>
      </w:r>
      <w:r>
        <w:t>Campus Pride, an organization that rates universities and colleges based on LGBTQ inclusion, indicates that LGBTQ individuals are significan</w:t>
      </w:r>
      <w:r>
        <w:t>tly more likely to experience harassment on</w:t>
      </w:r>
      <w:r>
        <w:rPr>
          <w:spacing w:val="-1"/>
        </w:rPr>
        <w:t xml:space="preserve"> </w:t>
      </w:r>
      <w:r>
        <w:t>campus compared</w:t>
      </w:r>
      <w:r>
        <w:rPr>
          <w:spacing w:val="-1"/>
        </w:rPr>
        <w:t xml:space="preserve"> </w:t>
      </w:r>
      <w:r>
        <w:t>to their non-LGBTQ peers.</w:t>
      </w:r>
      <w:hyperlink w:anchor="_bookmark849" w:history="1">
        <w:r>
          <w:rPr>
            <w:vertAlign w:val="superscript"/>
          </w:rPr>
          <w:t>1</w:t>
        </w:r>
      </w:hyperlink>
      <w:r>
        <w:rPr>
          <w:spacing w:val="-2"/>
        </w:rPr>
        <w:t xml:space="preserve"> </w:t>
      </w:r>
      <w:r>
        <w:t>Harassment based on sexual orientation or gender identity may also intersect with racial bias, resulting in even higher levels of harassm</w:t>
      </w:r>
      <w:r>
        <w:t>ent for LGBTQ students of color in higher educational settings.</w:t>
      </w:r>
      <w:hyperlink w:anchor="_bookmark850" w:history="1">
        <w:r>
          <w:rPr>
            <w:vertAlign w:val="superscript"/>
          </w:rPr>
          <w:t>2</w:t>
        </w:r>
      </w:hyperlink>
    </w:p>
    <w:p w:rsidR="00200FDA" w:rsidRDefault="00200FDA">
      <w:pPr>
        <w:spacing w:line="276" w:lineRule="auto"/>
        <w:jc w:val="both"/>
        <w:sectPr w:rsidR="00200FDA">
          <w:headerReference w:type="default" r:id="rId772"/>
          <w:footerReference w:type="default" r:id="rId773"/>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79" w:right="412"/>
        <w:jc w:val="both"/>
      </w:pPr>
      <w:r>
        <w:t>Additionally,</w:t>
      </w:r>
      <w:r>
        <w:rPr>
          <w:spacing w:val="-9"/>
        </w:rPr>
        <w:t xml:space="preserve"> </w:t>
      </w:r>
      <w:r>
        <w:t>the</w:t>
      </w:r>
      <w:r>
        <w:rPr>
          <w:spacing w:val="-8"/>
        </w:rPr>
        <w:t xml:space="preserve"> </w:t>
      </w:r>
      <w:r>
        <w:t>sexual</w:t>
      </w:r>
      <w:r>
        <w:rPr>
          <w:spacing w:val="-9"/>
        </w:rPr>
        <w:t xml:space="preserve"> </w:t>
      </w:r>
      <w:r>
        <w:t>violence</w:t>
      </w:r>
      <w:r>
        <w:rPr>
          <w:spacing w:val="-8"/>
        </w:rPr>
        <w:t xml:space="preserve"> </w:t>
      </w:r>
      <w:r>
        <w:t>that</w:t>
      </w:r>
      <w:r>
        <w:rPr>
          <w:spacing w:val="-6"/>
        </w:rPr>
        <w:t xml:space="preserve"> </w:t>
      </w:r>
      <w:r>
        <w:t>is</w:t>
      </w:r>
      <w:r>
        <w:rPr>
          <w:spacing w:val="-9"/>
        </w:rPr>
        <w:t xml:space="preserve"> </w:t>
      </w:r>
      <w:r>
        <w:t>pervasive</w:t>
      </w:r>
      <w:r>
        <w:rPr>
          <w:spacing w:val="-8"/>
        </w:rPr>
        <w:t xml:space="preserve"> </w:t>
      </w:r>
      <w:r>
        <w:t>on</w:t>
      </w:r>
      <w:r>
        <w:rPr>
          <w:spacing w:val="-10"/>
        </w:rPr>
        <w:t xml:space="preserve"> </w:t>
      </w:r>
      <w:r>
        <w:t>college</w:t>
      </w:r>
      <w:r>
        <w:rPr>
          <w:spacing w:val="-6"/>
        </w:rPr>
        <w:t xml:space="preserve"> </w:t>
      </w:r>
      <w:r>
        <w:t>campuses</w:t>
      </w:r>
      <w:r>
        <w:rPr>
          <w:spacing w:val="-9"/>
        </w:rPr>
        <w:t xml:space="preserve"> </w:t>
      </w:r>
      <w:r>
        <w:t>across</w:t>
      </w:r>
      <w:r>
        <w:rPr>
          <w:spacing w:val="-9"/>
        </w:rPr>
        <w:t xml:space="preserve"> </w:t>
      </w:r>
      <w:r>
        <w:t>the</w:t>
      </w:r>
      <w:r>
        <w:rPr>
          <w:spacing w:val="-8"/>
        </w:rPr>
        <w:t xml:space="preserve"> </w:t>
      </w:r>
      <w:r>
        <w:t>country</w:t>
      </w:r>
      <w:r>
        <w:rPr>
          <w:spacing w:val="-8"/>
        </w:rPr>
        <w:t xml:space="preserve"> </w:t>
      </w:r>
      <w:r>
        <w:t>affects</w:t>
      </w:r>
      <w:r>
        <w:rPr>
          <w:spacing w:val="-9"/>
        </w:rPr>
        <w:t xml:space="preserve"> </w:t>
      </w:r>
      <w:r>
        <w:t>LGBTQ students</w:t>
      </w:r>
      <w:r>
        <w:rPr>
          <w:spacing w:val="-6"/>
        </w:rPr>
        <w:t xml:space="preserve"> </w:t>
      </w:r>
      <w:r>
        <w:t>at</w:t>
      </w:r>
      <w:r>
        <w:rPr>
          <w:spacing w:val="-6"/>
        </w:rPr>
        <w:t xml:space="preserve"> </w:t>
      </w:r>
      <w:r>
        <w:t>disproportionate</w:t>
      </w:r>
      <w:r>
        <w:rPr>
          <w:spacing w:val="-6"/>
        </w:rPr>
        <w:t xml:space="preserve"> </w:t>
      </w:r>
      <w:r>
        <w:t>rates.</w:t>
      </w:r>
      <w:r>
        <w:rPr>
          <w:spacing w:val="-7"/>
        </w:rPr>
        <w:t xml:space="preserve"> </w:t>
      </w:r>
      <w:r>
        <w:t>For</w:t>
      </w:r>
      <w:r>
        <w:rPr>
          <w:spacing w:val="-7"/>
        </w:rPr>
        <w:t xml:space="preserve"> </w:t>
      </w:r>
      <w:r>
        <w:t>instance,</w:t>
      </w:r>
      <w:r>
        <w:rPr>
          <w:spacing w:val="-7"/>
        </w:rPr>
        <w:t xml:space="preserve"> </w:t>
      </w:r>
      <w:r>
        <w:t>a</w:t>
      </w:r>
      <w:r>
        <w:rPr>
          <w:spacing w:val="-9"/>
        </w:rPr>
        <w:t xml:space="preserve"> </w:t>
      </w:r>
      <w:r>
        <w:t>survey</w:t>
      </w:r>
      <w:r>
        <w:rPr>
          <w:spacing w:val="-8"/>
        </w:rPr>
        <w:t xml:space="preserve"> </w:t>
      </w:r>
      <w:r>
        <w:t>of</w:t>
      </w:r>
      <w:r>
        <w:rPr>
          <w:spacing w:val="-9"/>
        </w:rPr>
        <w:t xml:space="preserve"> </w:t>
      </w:r>
      <w:r>
        <w:t>Minnesota</w:t>
      </w:r>
      <w:r>
        <w:rPr>
          <w:spacing w:val="-9"/>
        </w:rPr>
        <w:t xml:space="preserve"> </w:t>
      </w:r>
      <w:r>
        <w:t>college</w:t>
      </w:r>
      <w:r>
        <w:rPr>
          <w:spacing w:val="-8"/>
        </w:rPr>
        <w:t xml:space="preserve"> </w:t>
      </w:r>
      <w:r>
        <w:t>students</w:t>
      </w:r>
      <w:r>
        <w:rPr>
          <w:spacing w:val="-7"/>
        </w:rPr>
        <w:t xml:space="preserve"> </w:t>
      </w:r>
      <w:r>
        <w:t>found</w:t>
      </w:r>
      <w:r>
        <w:rPr>
          <w:spacing w:val="-7"/>
        </w:rPr>
        <w:t xml:space="preserve"> </w:t>
      </w:r>
      <w:r>
        <w:t>that</w:t>
      </w:r>
      <w:r>
        <w:rPr>
          <w:spacing w:val="-9"/>
        </w:rPr>
        <w:t xml:space="preserve"> </w:t>
      </w:r>
      <w:r>
        <w:t>12% of</w:t>
      </w:r>
      <w:r>
        <w:rPr>
          <w:spacing w:val="-6"/>
        </w:rPr>
        <w:t xml:space="preserve"> </w:t>
      </w:r>
      <w:r>
        <w:t>bisexual</w:t>
      </w:r>
      <w:r>
        <w:rPr>
          <w:spacing w:val="-6"/>
        </w:rPr>
        <w:t xml:space="preserve"> </w:t>
      </w:r>
      <w:r>
        <w:t>students</w:t>
      </w:r>
      <w:r>
        <w:rPr>
          <w:spacing w:val="-6"/>
        </w:rPr>
        <w:t xml:space="preserve"> </w:t>
      </w:r>
      <w:r>
        <w:t>and</w:t>
      </w:r>
      <w:r>
        <w:rPr>
          <w:spacing w:val="-6"/>
        </w:rPr>
        <w:t xml:space="preserve"> </w:t>
      </w:r>
      <w:r>
        <w:t>7%</w:t>
      </w:r>
      <w:r>
        <w:rPr>
          <w:spacing w:val="-5"/>
        </w:rPr>
        <w:t xml:space="preserve"> </w:t>
      </w:r>
      <w:r>
        <w:t>of</w:t>
      </w:r>
      <w:r>
        <w:rPr>
          <w:spacing w:val="-6"/>
        </w:rPr>
        <w:t xml:space="preserve"> </w:t>
      </w:r>
      <w:r>
        <w:t>gay</w:t>
      </w:r>
      <w:r>
        <w:rPr>
          <w:spacing w:val="-5"/>
        </w:rPr>
        <w:t xml:space="preserve"> </w:t>
      </w:r>
      <w:r>
        <w:t>and</w:t>
      </w:r>
      <w:r>
        <w:rPr>
          <w:spacing w:val="-6"/>
        </w:rPr>
        <w:t xml:space="preserve"> </w:t>
      </w:r>
      <w:r>
        <w:t>lesbian</w:t>
      </w:r>
      <w:r>
        <w:rPr>
          <w:spacing w:val="-6"/>
        </w:rPr>
        <w:t xml:space="preserve"> </w:t>
      </w:r>
      <w:r>
        <w:t>students,</w:t>
      </w:r>
      <w:r>
        <w:rPr>
          <w:spacing w:val="-6"/>
        </w:rPr>
        <w:t xml:space="preserve"> </w:t>
      </w:r>
      <w:r>
        <w:t>as</w:t>
      </w:r>
      <w:r>
        <w:rPr>
          <w:spacing w:val="-6"/>
        </w:rPr>
        <w:t xml:space="preserve"> </w:t>
      </w:r>
      <w:r>
        <w:t>compared</w:t>
      </w:r>
      <w:r>
        <w:rPr>
          <w:spacing w:val="-6"/>
        </w:rPr>
        <w:t xml:space="preserve"> </w:t>
      </w:r>
      <w:r>
        <w:t>to</w:t>
      </w:r>
      <w:r>
        <w:rPr>
          <w:spacing w:val="-5"/>
        </w:rPr>
        <w:t xml:space="preserve"> </w:t>
      </w:r>
      <w:r>
        <w:t>3.3%</w:t>
      </w:r>
      <w:r>
        <w:rPr>
          <w:spacing w:val="-7"/>
        </w:rPr>
        <w:t xml:space="preserve"> </w:t>
      </w:r>
      <w:r>
        <w:t>of</w:t>
      </w:r>
      <w:r>
        <w:rPr>
          <w:spacing w:val="-6"/>
        </w:rPr>
        <w:t xml:space="preserve"> </w:t>
      </w:r>
      <w:r>
        <w:t>heterosexual</w:t>
      </w:r>
      <w:r>
        <w:rPr>
          <w:spacing w:val="-6"/>
        </w:rPr>
        <w:t xml:space="preserve"> </w:t>
      </w:r>
      <w:r>
        <w:t>students, reported a sexual assault in the past year. The same study found that 47% of bisexual college students and 33% of gay and lesbian students, versus only 17% of heterosexual students, reported one or more incidents of sexual assault in their lifeti</w:t>
      </w:r>
      <w:r>
        <w:t xml:space="preserve">me. </w:t>
      </w:r>
      <w:hyperlink w:anchor="_bookmark851" w:history="1">
        <w:r>
          <w:rPr>
            <w:vertAlign w:val="superscript"/>
          </w:rPr>
          <w:t>3</w:t>
        </w:r>
      </w:hyperlink>
      <w:r>
        <w:rPr>
          <w:spacing w:val="-2"/>
        </w:rPr>
        <w:t xml:space="preserve"> </w:t>
      </w:r>
      <w:r>
        <w:t>LGBTQ students are already more likely to begin higher education having been exposed to unwanted sexual contact, with 21.8% of LGBTQ students in Massachusetts reporting such an experience compared to 7.4% of their non-</w:t>
      </w:r>
      <w:r>
        <w:t>LGBTQ peers.</w:t>
      </w:r>
      <w:hyperlink w:anchor="_bookmark852" w:history="1">
        <w:r>
          <w:rPr>
            <w:vertAlign w:val="superscript"/>
          </w:rPr>
          <w:t>4</w:t>
        </w:r>
      </w:hyperlink>
      <w:r>
        <w:rPr>
          <w:spacing w:val="-13"/>
        </w:rPr>
        <w:t xml:space="preserve"> </w:t>
      </w:r>
      <w:r>
        <w:t>However, the Commission is encouraged by the steps being taken by Massachusetts and DHE through the implementation of the 2021 Campus Sexual Assault Law.</w:t>
      </w:r>
      <w:hyperlink w:anchor="_bookmark853" w:history="1">
        <w:r>
          <w:rPr>
            <w:vertAlign w:val="superscript"/>
          </w:rPr>
          <w:t>5</w:t>
        </w:r>
      </w:hyperlink>
    </w:p>
    <w:p w:rsidR="00200FDA" w:rsidRDefault="00200FDA">
      <w:pPr>
        <w:pStyle w:val="BodyText"/>
        <w:spacing w:before="8"/>
        <w:rPr>
          <w:sz w:val="19"/>
        </w:rPr>
      </w:pPr>
    </w:p>
    <w:p w:rsidR="00200FDA" w:rsidRDefault="00F76C4C">
      <w:pPr>
        <w:pStyle w:val="BodyText"/>
        <w:spacing w:line="276" w:lineRule="auto"/>
        <w:ind w:left="279" w:right="411"/>
        <w:jc w:val="both"/>
      </w:pPr>
      <w:r>
        <w:t>Overall,</w:t>
      </w:r>
      <w:r>
        <w:rPr>
          <w:spacing w:val="-6"/>
        </w:rPr>
        <w:t xml:space="preserve"> </w:t>
      </w:r>
      <w:r>
        <w:t>five</w:t>
      </w:r>
      <w:r>
        <w:rPr>
          <w:spacing w:val="-5"/>
        </w:rPr>
        <w:t xml:space="preserve"> </w:t>
      </w:r>
      <w:r>
        <w:t>of</w:t>
      </w:r>
      <w:r>
        <w:rPr>
          <w:spacing w:val="-6"/>
        </w:rPr>
        <w:t xml:space="preserve"> </w:t>
      </w:r>
      <w:r>
        <w:t>Massachusetts’</w:t>
      </w:r>
      <w:r>
        <w:rPr>
          <w:spacing w:val="-6"/>
        </w:rPr>
        <w:t xml:space="preserve"> </w:t>
      </w:r>
      <w:r>
        <w:t>twenty-nine</w:t>
      </w:r>
      <w:r>
        <w:rPr>
          <w:spacing w:val="-3"/>
        </w:rPr>
        <w:t xml:space="preserve"> </w:t>
      </w:r>
      <w:r>
        <w:t>public</w:t>
      </w:r>
      <w:r>
        <w:rPr>
          <w:spacing w:val="-6"/>
        </w:rPr>
        <w:t xml:space="preserve"> </w:t>
      </w:r>
      <w:r>
        <w:t>and</w:t>
      </w:r>
      <w:r>
        <w:rPr>
          <w:spacing w:val="-6"/>
        </w:rPr>
        <w:t xml:space="preserve"> </w:t>
      </w:r>
      <w:r>
        <w:t>private</w:t>
      </w:r>
      <w:r>
        <w:rPr>
          <w:spacing w:val="-5"/>
        </w:rPr>
        <w:t xml:space="preserve"> </w:t>
      </w:r>
      <w:r>
        <w:t>colleges</w:t>
      </w:r>
      <w:r>
        <w:rPr>
          <w:spacing w:val="-6"/>
        </w:rPr>
        <w:t xml:space="preserve"> </w:t>
      </w:r>
      <w:r>
        <w:t>and</w:t>
      </w:r>
      <w:r>
        <w:rPr>
          <w:spacing w:val="-4"/>
        </w:rPr>
        <w:t xml:space="preserve"> </w:t>
      </w:r>
      <w:r>
        <w:t>universities</w:t>
      </w:r>
      <w:r>
        <w:rPr>
          <w:spacing w:val="-3"/>
        </w:rPr>
        <w:t xml:space="preserve"> </w:t>
      </w:r>
      <w:r>
        <w:t>are</w:t>
      </w:r>
      <w:r>
        <w:rPr>
          <w:spacing w:val="-3"/>
        </w:rPr>
        <w:t xml:space="preserve"> </w:t>
      </w:r>
      <w:r>
        <w:t>listed</w:t>
      </w:r>
      <w:r>
        <w:rPr>
          <w:spacing w:val="-6"/>
        </w:rPr>
        <w:t xml:space="preserve"> </w:t>
      </w:r>
      <w:r>
        <w:t>on</w:t>
      </w:r>
      <w:r>
        <w:rPr>
          <w:spacing w:val="-6"/>
        </w:rPr>
        <w:t xml:space="preserve"> </w:t>
      </w:r>
      <w:r>
        <w:t>the national</w:t>
      </w:r>
      <w:r>
        <w:rPr>
          <w:spacing w:val="-1"/>
        </w:rPr>
        <w:t xml:space="preserve"> </w:t>
      </w:r>
      <w:r>
        <w:t>Campus</w:t>
      </w:r>
      <w:r>
        <w:rPr>
          <w:spacing w:val="-3"/>
        </w:rPr>
        <w:t xml:space="preserve"> </w:t>
      </w:r>
      <w:r>
        <w:t>Pride index.</w:t>
      </w:r>
      <w:r>
        <w:rPr>
          <w:spacing w:val="-1"/>
        </w:rPr>
        <w:t xml:space="preserve"> </w:t>
      </w:r>
      <w:r>
        <w:t>The Campus</w:t>
      </w:r>
      <w:r>
        <w:rPr>
          <w:spacing w:val="-3"/>
        </w:rPr>
        <w:t xml:space="preserve"> </w:t>
      </w:r>
      <w:r>
        <w:t>Pride Index issues</w:t>
      </w:r>
      <w:r>
        <w:rPr>
          <w:spacing w:val="-1"/>
        </w:rPr>
        <w:t xml:space="preserve"> </w:t>
      </w:r>
      <w:r>
        <w:t>each</w:t>
      </w:r>
      <w:r>
        <w:rPr>
          <w:spacing w:val="-2"/>
        </w:rPr>
        <w:t xml:space="preserve"> </w:t>
      </w:r>
      <w:r>
        <w:t>campus a</w:t>
      </w:r>
      <w:r>
        <w:rPr>
          <w:spacing w:val="-1"/>
        </w:rPr>
        <w:t xml:space="preserve"> </w:t>
      </w:r>
      <w:r>
        <w:t>rating out</w:t>
      </w:r>
      <w:r>
        <w:rPr>
          <w:spacing w:val="-3"/>
        </w:rPr>
        <w:t xml:space="preserve"> </w:t>
      </w:r>
      <w:r>
        <w:t>of five stars</w:t>
      </w:r>
      <w:r>
        <w:rPr>
          <w:spacing w:val="-1"/>
        </w:rPr>
        <w:t xml:space="preserve"> </w:t>
      </w:r>
      <w:r>
        <w:t>that are determined by the existence of and commitment to forms of LGBTQ student inclusion, such as inclusion policies, institutional support, academic life, housing and residence life, student life, campus safety, counseling and health, and LGBTQ recruitm</w:t>
      </w:r>
      <w:r>
        <w:t xml:space="preserve">ent and retention efforts. Of those listed, UMass Dartmouth earned a three-star rating; Salem State University, Bridgewater State University, and Worcester State University earned a four-and-a-half-star rating; and UMass Amherst earned a five-star </w:t>
      </w:r>
      <w:r>
        <w:rPr>
          <w:spacing w:val="-2"/>
        </w:rPr>
        <w:t>rating.</w:t>
      </w:r>
      <w:hyperlink w:anchor="_bookmark854" w:history="1">
        <w:r>
          <w:rPr>
            <w:spacing w:val="-2"/>
            <w:vertAlign w:val="superscript"/>
          </w:rPr>
          <w:t>6</w:t>
        </w:r>
      </w:hyperlink>
    </w:p>
    <w:p w:rsidR="00200FDA" w:rsidRDefault="00200FDA">
      <w:pPr>
        <w:pStyle w:val="BodyText"/>
        <w:spacing w:before="7"/>
        <w:rPr>
          <w:sz w:val="19"/>
        </w:rPr>
      </w:pPr>
    </w:p>
    <w:p w:rsidR="00200FDA" w:rsidRDefault="00F76C4C">
      <w:pPr>
        <w:pStyle w:val="BodyText"/>
        <w:spacing w:line="276" w:lineRule="auto"/>
        <w:ind w:left="279" w:right="274"/>
        <w:jc w:val="both"/>
      </w:pPr>
      <w:r>
        <w:t>Stress</w:t>
      </w:r>
      <w:r>
        <w:rPr>
          <w:spacing w:val="-8"/>
        </w:rPr>
        <w:t xml:space="preserve"> </w:t>
      </w:r>
      <w:r>
        <w:t>and</w:t>
      </w:r>
      <w:r>
        <w:rPr>
          <w:spacing w:val="-9"/>
        </w:rPr>
        <w:t xml:space="preserve"> </w:t>
      </w:r>
      <w:r>
        <w:t>concerns</w:t>
      </w:r>
      <w:r>
        <w:rPr>
          <w:spacing w:val="-8"/>
        </w:rPr>
        <w:t xml:space="preserve"> </w:t>
      </w:r>
      <w:r>
        <w:t>induced</w:t>
      </w:r>
      <w:r>
        <w:rPr>
          <w:spacing w:val="-9"/>
        </w:rPr>
        <w:t xml:space="preserve"> </w:t>
      </w:r>
      <w:r>
        <w:t>by</w:t>
      </w:r>
      <w:r>
        <w:rPr>
          <w:spacing w:val="-7"/>
        </w:rPr>
        <w:t xml:space="preserve"> </w:t>
      </w:r>
      <w:r>
        <w:t>anti-LGBTQ</w:t>
      </w:r>
      <w:r>
        <w:rPr>
          <w:spacing w:val="-10"/>
        </w:rPr>
        <w:t xml:space="preserve"> </w:t>
      </w:r>
      <w:r>
        <w:t>campus</w:t>
      </w:r>
      <w:r>
        <w:rPr>
          <w:spacing w:val="-8"/>
        </w:rPr>
        <w:t xml:space="preserve"> </w:t>
      </w:r>
      <w:r>
        <w:t>climate</w:t>
      </w:r>
      <w:r>
        <w:rPr>
          <w:spacing w:val="-7"/>
        </w:rPr>
        <w:t xml:space="preserve"> </w:t>
      </w:r>
      <w:r>
        <w:t>-</w:t>
      </w:r>
      <w:r>
        <w:rPr>
          <w:spacing w:val="-8"/>
        </w:rPr>
        <w:t xml:space="preserve"> </w:t>
      </w:r>
      <w:r>
        <w:t>whether</w:t>
      </w:r>
      <w:r>
        <w:rPr>
          <w:spacing w:val="-10"/>
        </w:rPr>
        <w:t xml:space="preserve"> </w:t>
      </w:r>
      <w:r>
        <w:t>through</w:t>
      </w:r>
      <w:r>
        <w:rPr>
          <w:spacing w:val="-9"/>
        </w:rPr>
        <w:t xml:space="preserve"> </w:t>
      </w:r>
      <w:r>
        <w:t>lack</w:t>
      </w:r>
      <w:r>
        <w:rPr>
          <w:spacing w:val="-8"/>
        </w:rPr>
        <w:t xml:space="preserve"> </w:t>
      </w:r>
      <w:r>
        <w:t>of</w:t>
      </w:r>
      <w:r>
        <w:rPr>
          <w:spacing w:val="-8"/>
        </w:rPr>
        <w:t xml:space="preserve"> </w:t>
      </w:r>
      <w:r>
        <w:t>support</w:t>
      </w:r>
      <w:r>
        <w:rPr>
          <w:spacing w:val="-10"/>
        </w:rPr>
        <w:t xml:space="preserve"> </w:t>
      </w:r>
      <w:r>
        <w:t>or</w:t>
      </w:r>
      <w:r>
        <w:rPr>
          <w:spacing w:val="-8"/>
        </w:rPr>
        <w:t xml:space="preserve"> </w:t>
      </w:r>
      <w:r>
        <w:t>targeted acts</w:t>
      </w:r>
      <w:r>
        <w:rPr>
          <w:spacing w:val="-10"/>
        </w:rPr>
        <w:t xml:space="preserve"> </w:t>
      </w:r>
      <w:r>
        <w:t>of</w:t>
      </w:r>
      <w:r>
        <w:rPr>
          <w:spacing w:val="-8"/>
        </w:rPr>
        <w:t xml:space="preserve"> </w:t>
      </w:r>
      <w:r>
        <w:t>hate</w:t>
      </w:r>
      <w:r>
        <w:rPr>
          <w:spacing w:val="-7"/>
        </w:rPr>
        <w:t xml:space="preserve"> </w:t>
      </w:r>
      <w:r>
        <w:t>-</w:t>
      </w:r>
      <w:r>
        <w:rPr>
          <w:spacing w:val="-11"/>
        </w:rPr>
        <w:t xml:space="preserve"> </w:t>
      </w:r>
      <w:r>
        <w:t>can</w:t>
      </w:r>
      <w:r>
        <w:rPr>
          <w:spacing w:val="-9"/>
        </w:rPr>
        <w:t xml:space="preserve"> </w:t>
      </w:r>
      <w:r>
        <w:t>interfere</w:t>
      </w:r>
      <w:r>
        <w:rPr>
          <w:spacing w:val="-10"/>
        </w:rPr>
        <w:t xml:space="preserve"> </w:t>
      </w:r>
      <w:r>
        <w:t>with</w:t>
      </w:r>
      <w:r>
        <w:rPr>
          <w:spacing w:val="-9"/>
        </w:rPr>
        <w:t xml:space="preserve"> </w:t>
      </w:r>
      <w:r>
        <w:t>the</w:t>
      </w:r>
      <w:r>
        <w:rPr>
          <w:spacing w:val="-10"/>
        </w:rPr>
        <w:t xml:space="preserve"> </w:t>
      </w:r>
      <w:r>
        <w:t>education</w:t>
      </w:r>
      <w:r>
        <w:rPr>
          <w:spacing w:val="-9"/>
        </w:rPr>
        <w:t xml:space="preserve"> </w:t>
      </w:r>
      <w:r>
        <w:t>of</w:t>
      </w:r>
      <w:r>
        <w:rPr>
          <w:spacing w:val="-11"/>
        </w:rPr>
        <w:t xml:space="preserve"> </w:t>
      </w:r>
      <w:r>
        <w:t>LGBTQ</w:t>
      </w:r>
      <w:r>
        <w:rPr>
          <w:spacing w:val="-8"/>
        </w:rPr>
        <w:t xml:space="preserve"> </w:t>
      </w:r>
      <w:r>
        <w:t>students.</w:t>
      </w:r>
      <w:r>
        <w:rPr>
          <w:spacing w:val="-8"/>
        </w:rPr>
        <w:t xml:space="preserve"> </w:t>
      </w:r>
      <w:r>
        <w:t>The</w:t>
      </w:r>
      <w:r>
        <w:rPr>
          <w:spacing w:val="-7"/>
        </w:rPr>
        <w:t xml:space="preserve"> </w:t>
      </w:r>
      <w:r>
        <w:t>Commission</w:t>
      </w:r>
      <w:r>
        <w:rPr>
          <w:spacing w:val="-9"/>
        </w:rPr>
        <w:t xml:space="preserve"> </w:t>
      </w:r>
      <w:r>
        <w:t>surveyed</w:t>
      </w:r>
      <w:r>
        <w:rPr>
          <w:spacing w:val="-9"/>
        </w:rPr>
        <w:t xml:space="preserve"> </w:t>
      </w:r>
      <w:r>
        <w:t>students</w:t>
      </w:r>
      <w:r>
        <w:rPr>
          <w:spacing w:val="-8"/>
        </w:rPr>
        <w:t xml:space="preserve"> </w:t>
      </w:r>
      <w:r>
        <w:t>and campus professionals in 2015 and found that LGBTQ college students are more likely to consider withdrawing from their institution and more likely to fear for their physical safety on campus than their non-LGBTQ</w:t>
      </w:r>
      <w:r>
        <w:rPr>
          <w:spacing w:val="-3"/>
        </w:rPr>
        <w:t xml:space="preserve"> </w:t>
      </w:r>
      <w:r>
        <w:t>peers.</w:t>
      </w:r>
      <w:r>
        <w:rPr>
          <w:spacing w:val="-3"/>
        </w:rPr>
        <w:t xml:space="preserve"> </w:t>
      </w:r>
      <w:r>
        <w:t>Additionally,</w:t>
      </w:r>
      <w:r>
        <w:rPr>
          <w:spacing w:val="-5"/>
        </w:rPr>
        <w:t xml:space="preserve"> </w:t>
      </w:r>
      <w:r>
        <w:t>LGBTQ</w:t>
      </w:r>
      <w:r>
        <w:rPr>
          <w:spacing w:val="-5"/>
        </w:rPr>
        <w:t xml:space="preserve"> </w:t>
      </w:r>
      <w:r>
        <w:t>students</w:t>
      </w:r>
      <w:r>
        <w:rPr>
          <w:spacing w:val="-5"/>
        </w:rPr>
        <w:t xml:space="preserve"> </w:t>
      </w:r>
      <w:r>
        <w:t>often</w:t>
      </w:r>
      <w:r>
        <w:rPr>
          <w:spacing w:val="-7"/>
        </w:rPr>
        <w:t xml:space="preserve"> </w:t>
      </w:r>
      <w:r>
        <w:t>feel</w:t>
      </w:r>
      <w:r>
        <w:rPr>
          <w:spacing w:val="-3"/>
        </w:rPr>
        <w:t xml:space="preserve"> </w:t>
      </w:r>
      <w:r>
        <w:t>that</w:t>
      </w:r>
      <w:r>
        <w:rPr>
          <w:spacing w:val="-2"/>
        </w:rPr>
        <w:t xml:space="preserve"> </w:t>
      </w:r>
      <w:r>
        <w:t>their</w:t>
      </w:r>
      <w:r>
        <w:rPr>
          <w:spacing w:val="-3"/>
        </w:rPr>
        <w:t xml:space="preserve"> </w:t>
      </w:r>
      <w:r>
        <w:t>public</w:t>
      </w:r>
      <w:r>
        <w:rPr>
          <w:spacing w:val="-3"/>
        </w:rPr>
        <w:t xml:space="preserve"> </w:t>
      </w:r>
      <w:r>
        <w:t>college</w:t>
      </w:r>
      <w:r>
        <w:rPr>
          <w:spacing w:val="-2"/>
        </w:rPr>
        <w:t xml:space="preserve"> </w:t>
      </w:r>
      <w:r>
        <w:t>or</w:t>
      </w:r>
      <w:r>
        <w:rPr>
          <w:spacing w:val="-3"/>
        </w:rPr>
        <w:t xml:space="preserve"> </w:t>
      </w:r>
      <w:r>
        <w:t>university</w:t>
      </w:r>
      <w:r>
        <w:rPr>
          <w:spacing w:val="-2"/>
        </w:rPr>
        <w:t xml:space="preserve"> </w:t>
      </w:r>
      <w:r>
        <w:t>does</w:t>
      </w:r>
      <w:r>
        <w:rPr>
          <w:spacing w:val="-3"/>
        </w:rPr>
        <w:t xml:space="preserve"> </w:t>
      </w:r>
      <w:r>
        <w:t>not provide adequate resources on LGBTQ issues or respond appropriately to incidents of harassment on campus. The Commission is particularly concerned that this is the reality on some public campuses, espe</w:t>
      </w:r>
      <w:r>
        <w:t>cially at community colleges where limited resources exist for student services.</w:t>
      </w:r>
    </w:p>
    <w:p w:rsidR="00200FDA" w:rsidRDefault="00200FDA">
      <w:pPr>
        <w:pStyle w:val="BodyText"/>
        <w:spacing w:before="9"/>
        <w:rPr>
          <w:sz w:val="19"/>
        </w:rPr>
      </w:pPr>
    </w:p>
    <w:p w:rsidR="00200FDA" w:rsidRDefault="00F76C4C">
      <w:pPr>
        <w:pStyle w:val="BodyText"/>
        <w:spacing w:line="276" w:lineRule="auto"/>
        <w:ind w:left="279" w:right="272"/>
        <w:jc w:val="both"/>
      </w:pPr>
      <w:r>
        <w:t>In</w:t>
      </w:r>
      <w:r>
        <w:rPr>
          <w:spacing w:val="-7"/>
        </w:rPr>
        <w:t xml:space="preserve"> </w:t>
      </w:r>
      <w:r>
        <w:t>November</w:t>
      </w:r>
      <w:r>
        <w:rPr>
          <w:spacing w:val="-9"/>
        </w:rPr>
        <w:t xml:space="preserve"> </w:t>
      </w:r>
      <w:r>
        <w:t>of</w:t>
      </w:r>
      <w:r>
        <w:rPr>
          <w:spacing w:val="-9"/>
        </w:rPr>
        <w:t xml:space="preserve"> </w:t>
      </w:r>
      <w:r>
        <w:t>2022,</w:t>
      </w:r>
      <w:r>
        <w:rPr>
          <w:spacing w:val="-9"/>
        </w:rPr>
        <w:t xml:space="preserve"> </w:t>
      </w:r>
      <w:r>
        <w:t>the</w:t>
      </w:r>
      <w:r>
        <w:rPr>
          <w:spacing w:val="-8"/>
        </w:rPr>
        <w:t xml:space="preserve"> </w:t>
      </w:r>
      <w:r>
        <w:t>Boston</w:t>
      </w:r>
      <w:r>
        <w:rPr>
          <w:spacing w:val="-7"/>
        </w:rPr>
        <w:t xml:space="preserve"> </w:t>
      </w:r>
      <w:r>
        <w:t>University</w:t>
      </w:r>
      <w:r>
        <w:rPr>
          <w:spacing w:val="-8"/>
        </w:rPr>
        <w:t xml:space="preserve"> </w:t>
      </w:r>
      <w:r>
        <w:t>Student</w:t>
      </w:r>
      <w:r>
        <w:rPr>
          <w:spacing w:val="-9"/>
        </w:rPr>
        <w:t xml:space="preserve"> </w:t>
      </w:r>
      <w:r>
        <w:t>Task</w:t>
      </w:r>
      <w:r>
        <w:rPr>
          <w:spacing w:val="-6"/>
        </w:rPr>
        <w:t xml:space="preserve"> </w:t>
      </w:r>
      <w:r>
        <w:t>Force</w:t>
      </w:r>
      <w:r>
        <w:rPr>
          <w:spacing w:val="-11"/>
        </w:rPr>
        <w:t xml:space="preserve"> </w:t>
      </w:r>
      <w:r>
        <w:t>on</w:t>
      </w:r>
      <w:r>
        <w:rPr>
          <w:spacing w:val="-7"/>
        </w:rPr>
        <w:t xml:space="preserve"> </w:t>
      </w:r>
      <w:r>
        <w:t>LGBTQIA+</w:t>
      </w:r>
      <w:r>
        <w:rPr>
          <w:spacing w:val="-6"/>
        </w:rPr>
        <w:t xml:space="preserve"> </w:t>
      </w:r>
      <w:r>
        <w:t>Students</w:t>
      </w:r>
      <w:r>
        <w:rPr>
          <w:spacing w:val="-7"/>
        </w:rPr>
        <w:t xml:space="preserve"> </w:t>
      </w:r>
      <w:r>
        <w:t>published</w:t>
      </w:r>
      <w:r>
        <w:rPr>
          <w:spacing w:val="-7"/>
        </w:rPr>
        <w:t xml:space="preserve"> </w:t>
      </w:r>
      <w:r>
        <w:t>a</w:t>
      </w:r>
      <w:r>
        <w:rPr>
          <w:spacing w:val="-9"/>
        </w:rPr>
        <w:t xml:space="preserve"> </w:t>
      </w:r>
      <w:r>
        <w:t xml:space="preserve">report detailing a series of recommendations and results from a climate survey </w:t>
      </w:r>
      <w:r>
        <w:t>from 156 LGBTQIA+ Boston University</w:t>
      </w:r>
      <w:r>
        <w:rPr>
          <w:spacing w:val="-6"/>
        </w:rPr>
        <w:t xml:space="preserve"> </w:t>
      </w:r>
      <w:r>
        <w:t>(BU)</w:t>
      </w:r>
      <w:r>
        <w:rPr>
          <w:spacing w:val="-6"/>
        </w:rPr>
        <w:t xml:space="preserve"> </w:t>
      </w:r>
      <w:r>
        <w:t>graduate</w:t>
      </w:r>
      <w:r>
        <w:rPr>
          <w:spacing w:val="-6"/>
        </w:rPr>
        <w:t xml:space="preserve"> </w:t>
      </w:r>
      <w:r>
        <w:t>and</w:t>
      </w:r>
      <w:r>
        <w:rPr>
          <w:spacing w:val="-7"/>
        </w:rPr>
        <w:t xml:space="preserve"> </w:t>
      </w:r>
      <w:r>
        <w:t>undergraduate</w:t>
      </w:r>
      <w:r>
        <w:rPr>
          <w:spacing w:val="-6"/>
        </w:rPr>
        <w:t xml:space="preserve"> </w:t>
      </w:r>
      <w:r>
        <w:t>students.</w:t>
      </w:r>
      <w:r>
        <w:rPr>
          <w:spacing w:val="-7"/>
        </w:rPr>
        <w:t xml:space="preserve"> </w:t>
      </w:r>
      <w:r>
        <w:t>In</w:t>
      </w:r>
      <w:r>
        <w:rPr>
          <w:spacing w:val="-7"/>
        </w:rPr>
        <w:t xml:space="preserve"> </w:t>
      </w:r>
      <w:r>
        <w:t>the</w:t>
      </w:r>
      <w:r>
        <w:rPr>
          <w:spacing w:val="-6"/>
        </w:rPr>
        <w:t xml:space="preserve"> </w:t>
      </w:r>
      <w:r>
        <w:t>survey,</w:t>
      </w:r>
      <w:r>
        <w:rPr>
          <w:spacing w:val="-7"/>
        </w:rPr>
        <w:t xml:space="preserve"> </w:t>
      </w:r>
      <w:r>
        <w:t>27.6%</w:t>
      </w:r>
      <w:r>
        <w:rPr>
          <w:spacing w:val="-6"/>
        </w:rPr>
        <w:t xml:space="preserve"> </w:t>
      </w:r>
      <w:r>
        <w:t>of</w:t>
      </w:r>
      <w:r>
        <w:rPr>
          <w:spacing w:val="-7"/>
        </w:rPr>
        <w:t xml:space="preserve"> </w:t>
      </w:r>
      <w:r>
        <w:t>respondents</w:t>
      </w:r>
      <w:r>
        <w:rPr>
          <w:spacing w:val="-7"/>
        </w:rPr>
        <w:t xml:space="preserve"> </w:t>
      </w:r>
      <w:r>
        <w:t>indicated</w:t>
      </w:r>
      <w:r>
        <w:rPr>
          <w:spacing w:val="-10"/>
        </w:rPr>
        <w:t xml:space="preserve"> </w:t>
      </w:r>
      <w:r>
        <w:t>that they were very unsatisfied with BU’s LGBTQIA+ resources, and a further 35.9% indicated that they were merely unsatisfied, rather than very.</w:t>
      </w:r>
      <w:hyperlink w:anchor="_bookmark855" w:history="1">
        <w:r>
          <w:rPr>
            <w:vertAlign w:val="superscript"/>
          </w:rPr>
          <w:t>7</w:t>
        </w:r>
      </w:hyperlink>
      <w:r>
        <w:rPr>
          <w:spacing w:val="-2"/>
        </w:rPr>
        <w:t xml:space="preserve"> </w:t>
      </w:r>
      <w:r>
        <w:t>As a result, in February of 2023, BU announced the opening of a new LGBTQIA+ S</w:t>
      </w:r>
      <w:r>
        <w:t>tudent Resource Center, which is expected to open at the beginning of the 2023-24 academic year.</w:t>
      </w:r>
      <w:hyperlink w:anchor="_bookmark856" w:history="1">
        <w:r>
          <w:rPr>
            <w:vertAlign w:val="superscript"/>
          </w:rPr>
          <w:t>8</w:t>
        </w:r>
      </w:hyperlink>
    </w:p>
    <w:p w:rsidR="00200FDA" w:rsidRDefault="00200FDA">
      <w:pPr>
        <w:pStyle w:val="BodyText"/>
        <w:spacing w:before="9"/>
        <w:rPr>
          <w:sz w:val="19"/>
        </w:rPr>
      </w:pPr>
    </w:p>
    <w:p w:rsidR="00200FDA" w:rsidRDefault="00F76C4C">
      <w:pPr>
        <w:pStyle w:val="BodyText"/>
        <w:spacing w:line="276" w:lineRule="auto"/>
        <w:ind w:left="279" w:right="411"/>
        <w:jc w:val="both"/>
      </w:pPr>
      <w:r>
        <w:t xml:space="preserve">LGBTQ students interact with every facet of the higher education system. Best practices in policies related to housing, bias </w:t>
      </w:r>
      <w:r>
        <w:t>incident reporting protocols, health services, health insurance plans, and changing identity documents are increasingly addressing LGBTQ student needs on campuses nationwide.</w:t>
      </w:r>
      <w:r>
        <w:rPr>
          <w:spacing w:val="-6"/>
        </w:rPr>
        <w:t xml:space="preserve"> </w:t>
      </w:r>
      <w:r>
        <w:t>The</w:t>
      </w:r>
      <w:r>
        <w:rPr>
          <w:spacing w:val="-3"/>
        </w:rPr>
        <w:t xml:space="preserve"> </w:t>
      </w:r>
      <w:r>
        <w:t>Commission</w:t>
      </w:r>
      <w:r>
        <w:rPr>
          <w:spacing w:val="-4"/>
        </w:rPr>
        <w:t xml:space="preserve"> </w:t>
      </w:r>
      <w:r>
        <w:t>is</w:t>
      </w:r>
      <w:r>
        <w:rPr>
          <w:spacing w:val="-3"/>
        </w:rPr>
        <w:t xml:space="preserve"> </w:t>
      </w:r>
      <w:r>
        <w:t>eager</w:t>
      </w:r>
      <w:r>
        <w:rPr>
          <w:spacing w:val="-6"/>
        </w:rPr>
        <w:t xml:space="preserve"> </w:t>
      </w:r>
      <w:r>
        <w:t>to</w:t>
      </w:r>
      <w:r>
        <w:rPr>
          <w:spacing w:val="-4"/>
        </w:rPr>
        <w:t xml:space="preserve"> </w:t>
      </w:r>
      <w:r>
        <w:t>work</w:t>
      </w:r>
      <w:r>
        <w:rPr>
          <w:spacing w:val="-5"/>
        </w:rPr>
        <w:t xml:space="preserve"> </w:t>
      </w:r>
      <w:r>
        <w:t>with</w:t>
      </w:r>
      <w:r>
        <w:rPr>
          <w:spacing w:val="-4"/>
        </w:rPr>
        <w:t xml:space="preserve"> </w:t>
      </w:r>
      <w:r>
        <w:t>DHE</w:t>
      </w:r>
      <w:r>
        <w:rPr>
          <w:spacing w:val="-3"/>
        </w:rPr>
        <w:t xml:space="preserve"> </w:t>
      </w:r>
      <w:r>
        <w:t>to</w:t>
      </w:r>
      <w:r>
        <w:rPr>
          <w:spacing w:val="-4"/>
        </w:rPr>
        <w:t xml:space="preserve"> </w:t>
      </w:r>
      <w:r>
        <w:t>ensure</w:t>
      </w:r>
      <w:r>
        <w:rPr>
          <w:spacing w:val="-3"/>
        </w:rPr>
        <w:t xml:space="preserve"> </w:t>
      </w:r>
      <w:r>
        <w:t>that</w:t>
      </w:r>
      <w:r>
        <w:rPr>
          <w:spacing w:val="-5"/>
        </w:rPr>
        <w:t xml:space="preserve"> </w:t>
      </w:r>
      <w:r>
        <w:t>our</w:t>
      </w:r>
      <w:r>
        <w:rPr>
          <w:spacing w:val="-3"/>
        </w:rPr>
        <w:t xml:space="preserve"> </w:t>
      </w:r>
      <w:r>
        <w:t>public</w:t>
      </w:r>
      <w:r>
        <w:rPr>
          <w:spacing w:val="-3"/>
        </w:rPr>
        <w:t xml:space="preserve"> </w:t>
      </w:r>
      <w:r>
        <w:t>campuses</w:t>
      </w:r>
      <w:r>
        <w:rPr>
          <w:spacing w:val="-3"/>
        </w:rPr>
        <w:t xml:space="preserve"> </w:t>
      </w:r>
      <w:r>
        <w:t>have</w:t>
      </w:r>
      <w:r>
        <w:rPr>
          <w:spacing w:val="-3"/>
        </w:rPr>
        <w:t xml:space="preserve"> </w:t>
      </w:r>
      <w:r>
        <w:t>access to</w:t>
      </w:r>
      <w:r>
        <w:rPr>
          <w:spacing w:val="-8"/>
        </w:rPr>
        <w:t xml:space="preserve"> </w:t>
      </w:r>
      <w:r>
        <w:t>the</w:t>
      </w:r>
      <w:r>
        <w:rPr>
          <w:spacing w:val="-8"/>
        </w:rPr>
        <w:t xml:space="preserve"> </w:t>
      </w:r>
      <w:r>
        <w:t>resources</w:t>
      </w:r>
      <w:r>
        <w:rPr>
          <w:spacing w:val="-9"/>
        </w:rPr>
        <w:t xml:space="preserve"> </w:t>
      </w:r>
      <w:r>
        <w:t>they</w:t>
      </w:r>
      <w:r>
        <w:rPr>
          <w:spacing w:val="-8"/>
        </w:rPr>
        <w:t xml:space="preserve"> </w:t>
      </w:r>
      <w:r>
        <w:t>need</w:t>
      </w:r>
      <w:r>
        <w:rPr>
          <w:spacing w:val="-10"/>
        </w:rPr>
        <w:t xml:space="preserve"> </w:t>
      </w:r>
      <w:r>
        <w:t>to</w:t>
      </w:r>
      <w:r>
        <w:rPr>
          <w:spacing w:val="-8"/>
        </w:rPr>
        <w:t xml:space="preserve"> </w:t>
      </w:r>
      <w:r>
        <w:t>develop</w:t>
      </w:r>
      <w:r>
        <w:rPr>
          <w:spacing w:val="-10"/>
        </w:rPr>
        <w:t xml:space="preserve"> </w:t>
      </w:r>
      <w:r>
        <w:t>the</w:t>
      </w:r>
      <w:r>
        <w:rPr>
          <w:spacing w:val="-8"/>
        </w:rPr>
        <w:t xml:space="preserve"> </w:t>
      </w:r>
      <w:r>
        <w:t>internal</w:t>
      </w:r>
      <w:r>
        <w:rPr>
          <w:spacing w:val="-9"/>
        </w:rPr>
        <w:t xml:space="preserve"> </w:t>
      </w:r>
      <w:r>
        <w:t>policies,</w:t>
      </w:r>
      <w:r>
        <w:rPr>
          <w:spacing w:val="-9"/>
        </w:rPr>
        <w:t xml:space="preserve"> </w:t>
      </w:r>
      <w:r>
        <w:t>procedures,</w:t>
      </w:r>
      <w:r>
        <w:rPr>
          <w:spacing w:val="-9"/>
        </w:rPr>
        <w:t xml:space="preserve"> </w:t>
      </w:r>
      <w:r>
        <w:t>and</w:t>
      </w:r>
      <w:r>
        <w:rPr>
          <w:spacing w:val="-10"/>
        </w:rPr>
        <w:t xml:space="preserve"> </w:t>
      </w:r>
      <w:r>
        <w:t>best</w:t>
      </w:r>
      <w:r>
        <w:rPr>
          <w:spacing w:val="-8"/>
        </w:rPr>
        <w:t xml:space="preserve"> </w:t>
      </w:r>
      <w:r>
        <w:t>practices</w:t>
      </w:r>
      <w:r>
        <w:rPr>
          <w:spacing w:val="-9"/>
        </w:rPr>
        <w:t xml:space="preserve"> </w:t>
      </w:r>
      <w:r>
        <w:t>necessary</w:t>
      </w:r>
      <w:r>
        <w:rPr>
          <w:spacing w:val="-8"/>
        </w:rPr>
        <w:t xml:space="preserve"> </w:t>
      </w:r>
      <w:r>
        <w:t>for our campuses to exceed national standards for LGBTQ student support.</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10"/>
        </w:rPr>
      </w:pPr>
    </w:p>
    <w:p w:rsidR="00200FDA" w:rsidRDefault="00F76C4C">
      <w:pPr>
        <w:pStyle w:val="Heading7"/>
        <w:spacing w:before="44"/>
      </w:pPr>
      <w:r>
        <w:pict>
          <v:rect id="docshape509" o:spid="_x0000_s1104" style="position:absolute;left:0;text-align:left;margin-left:70.55pt;margin-top:20.35pt;width:470.9pt;height:.5pt;z-index:-15629824;mso-wrap-distance-left:0;mso-wrap-distance-right:0;mso-position-horizontal-relative:page" fillcolor="#4f81bc" stroked="f">
            <w10:wrap type="topAndBottom" anchorx="page"/>
          </v:rect>
        </w:pict>
      </w:r>
      <w:bookmarkStart w:id="1062" w:name="FY_2024_Expanded_DHE_Recommendations"/>
      <w:bookmarkEnd w:id="1062"/>
      <w:r>
        <w:rPr>
          <w:color w:val="365F91"/>
        </w:rPr>
        <w:t>FY</w:t>
      </w:r>
      <w:r>
        <w:rPr>
          <w:color w:val="365F91"/>
          <w:spacing w:val="-4"/>
        </w:rPr>
        <w:t xml:space="preserve"> </w:t>
      </w:r>
      <w:r>
        <w:rPr>
          <w:color w:val="365F91"/>
        </w:rPr>
        <w:t>2024</w:t>
      </w:r>
      <w:r>
        <w:rPr>
          <w:color w:val="365F91"/>
          <w:spacing w:val="-4"/>
        </w:rPr>
        <w:t xml:space="preserve"> </w:t>
      </w:r>
      <w:r>
        <w:rPr>
          <w:color w:val="365F91"/>
        </w:rPr>
        <w:t>Expanded</w:t>
      </w:r>
      <w:r>
        <w:rPr>
          <w:color w:val="365F91"/>
          <w:spacing w:val="-2"/>
        </w:rPr>
        <w:t xml:space="preserve"> </w:t>
      </w:r>
      <w:r>
        <w:rPr>
          <w:color w:val="365F91"/>
        </w:rPr>
        <w:t>DHE</w:t>
      </w:r>
      <w:r>
        <w:rPr>
          <w:color w:val="365F91"/>
          <w:spacing w:val="-4"/>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20"/>
        </w:numPr>
        <w:tabs>
          <w:tab w:val="left" w:pos="508"/>
        </w:tabs>
        <w:spacing w:before="56" w:line="273" w:lineRule="auto"/>
        <w:ind w:right="275" w:firstLine="0"/>
        <w:jc w:val="both"/>
      </w:pPr>
      <w:r>
        <w:t>Encourage public and private higher education institutions to enact anti-discrimination policies and best practices that include sex, gender identity, gender expression, and sexual orientation.</w:t>
      </w:r>
    </w:p>
    <w:p w:rsidR="00200FDA" w:rsidRDefault="00200FDA">
      <w:pPr>
        <w:pStyle w:val="BodyText"/>
        <w:rPr>
          <w:b/>
          <w:sz w:val="20"/>
        </w:rPr>
      </w:pPr>
    </w:p>
    <w:p w:rsidR="00200FDA" w:rsidRDefault="00F76C4C">
      <w:pPr>
        <w:pStyle w:val="BodyText"/>
        <w:spacing w:before="1" w:line="276" w:lineRule="auto"/>
        <w:ind w:left="279" w:right="274"/>
        <w:jc w:val="both"/>
      </w:pPr>
      <w:r>
        <w:t>As with younger students, scholars in higher education progra</w:t>
      </w:r>
      <w:r>
        <w:t xml:space="preserve">ms do best when their classrooms and campuses offer a safe and supportive climate free from violence, discrimination, or harassment. DHE is uniquely positioned to support institutions in establishing policies and guidance that provide campus professionals </w:t>
      </w:r>
      <w:r>
        <w:t>with the tools they need to support LGBTQ young people. While DHE has a limited role in the affairs of individual institutions, the Commission strongly urges DHE to act as a role model and encourage higher education institutions to pursue anti-discriminati</w:t>
      </w:r>
      <w:r>
        <w:t>on policies above and beyond the baseline required by state law.</w:t>
      </w:r>
    </w:p>
    <w:p w:rsidR="00200FDA" w:rsidRDefault="00200FDA">
      <w:pPr>
        <w:pStyle w:val="BodyText"/>
        <w:spacing w:before="8"/>
        <w:rPr>
          <w:sz w:val="19"/>
        </w:rPr>
      </w:pPr>
    </w:p>
    <w:p w:rsidR="00200FDA" w:rsidRDefault="00F76C4C">
      <w:pPr>
        <w:pStyle w:val="BodyText"/>
        <w:spacing w:line="276" w:lineRule="auto"/>
        <w:ind w:left="279" w:right="273"/>
        <w:jc w:val="both"/>
      </w:pPr>
      <w:r>
        <w:t>In</w:t>
      </w:r>
      <w:r>
        <w:rPr>
          <w:spacing w:val="-9"/>
        </w:rPr>
        <w:t xml:space="preserve"> </w:t>
      </w:r>
      <w:r>
        <w:t>DHE’s</w:t>
      </w:r>
      <w:r>
        <w:rPr>
          <w:spacing w:val="-8"/>
        </w:rPr>
        <w:t xml:space="preserve"> </w:t>
      </w:r>
      <w:r>
        <w:t>recent</w:t>
      </w:r>
      <w:r>
        <w:rPr>
          <w:spacing w:val="-7"/>
        </w:rPr>
        <w:t xml:space="preserve"> </w:t>
      </w:r>
      <w:r>
        <w:t>review</w:t>
      </w:r>
      <w:r>
        <w:rPr>
          <w:spacing w:val="-10"/>
        </w:rPr>
        <w:t xml:space="preserve"> </w:t>
      </w:r>
      <w:r>
        <w:t>of</w:t>
      </w:r>
      <w:r>
        <w:rPr>
          <w:spacing w:val="-8"/>
        </w:rPr>
        <w:t xml:space="preserve"> </w:t>
      </w:r>
      <w:r>
        <w:t>current</w:t>
      </w:r>
      <w:r>
        <w:rPr>
          <w:spacing w:val="-7"/>
        </w:rPr>
        <w:t xml:space="preserve"> </w:t>
      </w:r>
      <w:r>
        <w:t>anti-discrimination</w:t>
      </w:r>
      <w:r>
        <w:rPr>
          <w:spacing w:val="-11"/>
        </w:rPr>
        <w:t xml:space="preserve"> </w:t>
      </w:r>
      <w:r>
        <w:t>policies</w:t>
      </w:r>
      <w:r>
        <w:rPr>
          <w:spacing w:val="-8"/>
        </w:rPr>
        <w:t xml:space="preserve"> </w:t>
      </w:r>
      <w:r>
        <w:t>in</w:t>
      </w:r>
      <w:r>
        <w:rPr>
          <w:spacing w:val="-9"/>
        </w:rPr>
        <w:t xml:space="preserve"> </w:t>
      </w:r>
      <w:r>
        <w:t>place</w:t>
      </w:r>
      <w:r>
        <w:rPr>
          <w:spacing w:val="-7"/>
        </w:rPr>
        <w:t xml:space="preserve"> </w:t>
      </w:r>
      <w:r>
        <w:t>at</w:t>
      </w:r>
      <w:r>
        <w:rPr>
          <w:spacing w:val="-8"/>
        </w:rPr>
        <w:t xml:space="preserve"> </w:t>
      </w:r>
      <w:r>
        <w:t>all</w:t>
      </w:r>
      <w:r>
        <w:rPr>
          <w:spacing w:val="-11"/>
        </w:rPr>
        <w:t xml:space="preserve"> </w:t>
      </w:r>
      <w:r>
        <w:t>115</w:t>
      </w:r>
      <w:r>
        <w:rPr>
          <w:spacing w:val="-7"/>
        </w:rPr>
        <w:t xml:space="preserve"> </w:t>
      </w:r>
      <w:r>
        <w:t>public</w:t>
      </w:r>
      <w:r>
        <w:rPr>
          <w:spacing w:val="-8"/>
        </w:rPr>
        <w:t xml:space="preserve"> </w:t>
      </w:r>
      <w:r>
        <w:t>and</w:t>
      </w:r>
      <w:r>
        <w:rPr>
          <w:spacing w:val="-9"/>
        </w:rPr>
        <w:t xml:space="preserve"> </w:t>
      </w:r>
      <w:r>
        <w:t>private</w:t>
      </w:r>
      <w:r>
        <w:rPr>
          <w:spacing w:val="-7"/>
        </w:rPr>
        <w:t xml:space="preserve"> </w:t>
      </w:r>
      <w:r>
        <w:t>colleges and</w:t>
      </w:r>
      <w:r>
        <w:rPr>
          <w:spacing w:val="-3"/>
        </w:rPr>
        <w:t xml:space="preserve"> </w:t>
      </w:r>
      <w:r>
        <w:t>universities</w:t>
      </w:r>
      <w:r>
        <w:rPr>
          <w:spacing w:val="-2"/>
        </w:rPr>
        <w:t xml:space="preserve"> </w:t>
      </w:r>
      <w:r>
        <w:t>located</w:t>
      </w:r>
      <w:r>
        <w:rPr>
          <w:spacing w:val="-3"/>
        </w:rPr>
        <w:t xml:space="preserve"> </w:t>
      </w:r>
      <w:r>
        <w:t>and</w:t>
      </w:r>
      <w:r>
        <w:rPr>
          <w:spacing w:val="-3"/>
        </w:rPr>
        <w:t xml:space="preserve"> </w:t>
      </w:r>
      <w:r>
        <w:t>operating</w:t>
      </w:r>
      <w:r>
        <w:rPr>
          <w:spacing w:val="-3"/>
        </w:rPr>
        <w:t xml:space="preserve"> </w:t>
      </w:r>
      <w:r>
        <w:t>in</w:t>
      </w:r>
      <w:r>
        <w:rPr>
          <w:spacing w:val="-3"/>
        </w:rPr>
        <w:t xml:space="preserve"> </w:t>
      </w:r>
      <w:r>
        <w:t>the</w:t>
      </w:r>
      <w:r>
        <w:rPr>
          <w:spacing w:val="-1"/>
        </w:rPr>
        <w:t xml:space="preserve"> </w:t>
      </w:r>
      <w:r>
        <w:t>Commonwealth,</w:t>
      </w:r>
      <w:r>
        <w:rPr>
          <w:spacing w:val="-2"/>
        </w:rPr>
        <w:t xml:space="preserve"> </w:t>
      </w:r>
      <w:r>
        <w:t>it</w:t>
      </w:r>
      <w:r>
        <w:rPr>
          <w:spacing w:val="-2"/>
        </w:rPr>
        <w:t xml:space="preserve"> </w:t>
      </w:r>
      <w:r>
        <w:t>found</w:t>
      </w:r>
      <w:r>
        <w:rPr>
          <w:spacing w:val="-3"/>
        </w:rPr>
        <w:t xml:space="preserve"> </w:t>
      </w:r>
      <w:r>
        <w:t>that</w:t>
      </w:r>
      <w:r>
        <w:rPr>
          <w:spacing w:val="-1"/>
        </w:rPr>
        <w:t xml:space="preserve"> </w:t>
      </w:r>
      <w:r>
        <w:t>the</w:t>
      </w:r>
      <w:r>
        <w:rPr>
          <w:spacing w:val="-4"/>
        </w:rPr>
        <w:t xml:space="preserve"> </w:t>
      </w:r>
      <w:r>
        <w:t>vast</w:t>
      </w:r>
      <w:r>
        <w:rPr>
          <w:spacing w:val="-1"/>
        </w:rPr>
        <w:t xml:space="preserve"> </w:t>
      </w:r>
      <w:r>
        <w:t>majority</w:t>
      </w:r>
      <w:r>
        <w:rPr>
          <w:spacing w:val="-1"/>
        </w:rPr>
        <w:t xml:space="preserve"> </w:t>
      </w:r>
      <w:r>
        <w:t>have</w:t>
      </w:r>
      <w:r>
        <w:rPr>
          <w:spacing w:val="-1"/>
        </w:rPr>
        <w:t xml:space="preserve"> </w:t>
      </w:r>
      <w:r>
        <w:t>sexual orientation included in their anti-discrimination policy (103). However, less include gender (97), gender identity (88), sex (81), and even less for gender expression. This signals the opportunity for greater emphasis on and resou</w:t>
      </w:r>
      <w:r>
        <w:t>rces related to gender identity protections. The Commission urges DHE to create educational</w:t>
      </w:r>
      <w:r>
        <w:rPr>
          <w:spacing w:val="-2"/>
        </w:rPr>
        <w:t xml:space="preserve"> </w:t>
      </w:r>
      <w:r>
        <w:t>materials to inform colleges and universities of the importance of anti-discrimination policy, including this data and sample statements.</w:t>
      </w:r>
    </w:p>
    <w:p w:rsidR="00200FDA" w:rsidRDefault="00200FDA">
      <w:pPr>
        <w:pStyle w:val="BodyText"/>
      </w:pPr>
    </w:p>
    <w:p w:rsidR="00200FDA" w:rsidRDefault="00200FDA">
      <w:pPr>
        <w:pStyle w:val="BodyText"/>
        <w:spacing w:before="10"/>
      </w:pPr>
    </w:p>
    <w:p w:rsidR="00200FDA" w:rsidRDefault="00F76C4C">
      <w:pPr>
        <w:pStyle w:val="Heading9"/>
        <w:numPr>
          <w:ilvl w:val="0"/>
          <w:numId w:val="20"/>
        </w:numPr>
        <w:tabs>
          <w:tab w:val="left" w:pos="491"/>
        </w:tabs>
        <w:spacing w:line="276" w:lineRule="auto"/>
        <w:ind w:right="273" w:firstLine="0"/>
        <w:jc w:val="both"/>
      </w:pPr>
      <w:r>
        <w:t>Continue</w:t>
      </w:r>
      <w:r>
        <w:rPr>
          <w:spacing w:val="-8"/>
        </w:rPr>
        <w:t xml:space="preserve"> </w:t>
      </w:r>
      <w:r>
        <w:t>to</w:t>
      </w:r>
      <w:r>
        <w:rPr>
          <w:spacing w:val="-11"/>
        </w:rPr>
        <w:t xml:space="preserve"> </w:t>
      </w:r>
      <w:r>
        <w:t>support</w:t>
      </w:r>
      <w:r>
        <w:rPr>
          <w:spacing w:val="-7"/>
        </w:rPr>
        <w:t xml:space="preserve"> </w:t>
      </w:r>
      <w:r>
        <w:t>quan</w:t>
      </w:r>
      <w:r>
        <w:t>titative</w:t>
      </w:r>
      <w:r>
        <w:rPr>
          <w:spacing w:val="-8"/>
        </w:rPr>
        <w:t xml:space="preserve"> </w:t>
      </w:r>
      <w:r>
        <w:t>and</w:t>
      </w:r>
      <w:r>
        <w:rPr>
          <w:spacing w:val="-8"/>
        </w:rPr>
        <w:t xml:space="preserve"> </w:t>
      </w:r>
      <w:r>
        <w:t>qualitative</w:t>
      </w:r>
      <w:r>
        <w:rPr>
          <w:spacing w:val="-11"/>
        </w:rPr>
        <w:t xml:space="preserve"> </w:t>
      </w:r>
      <w:r>
        <w:t>data</w:t>
      </w:r>
      <w:r>
        <w:rPr>
          <w:spacing w:val="-9"/>
        </w:rPr>
        <w:t xml:space="preserve"> </w:t>
      </w:r>
      <w:r>
        <w:t>collection</w:t>
      </w:r>
      <w:r>
        <w:rPr>
          <w:spacing w:val="-11"/>
        </w:rPr>
        <w:t xml:space="preserve"> </w:t>
      </w:r>
      <w:r>
        <w:t>measures</w:t>
      </w:r>
      <w:r>
        <w:rPr>
          <w:spacing w:val="-9"/>
        </w:rPr>
        <w:t xml:space="preserve"> </w:t>
      </w:r>
      <w:r>
        <w:t>across</w:t>
      </w:r>
      <w:r>
        <w:rPr>
          <w:spacing w:val="-9"/>
        </w:rPr>
        <w:t xml:space="preserve"> </w:t>
      </w:r>
      <w:r>
        <w:t>both</w:t>
      </w:r>
      <w:r>
        <w:rPr>
          <w:spacing w:val="-8"/>
        </w:rPr>
        <w:t xml:space="preserve"> </w:t>
      </w:r>
      <w:r>
        <w:t>the</w:t>
      </w:r>
      <w:r>
        <w:rPr>
          <w:spacing w:val="-8"/>
        </w:rPr>
        <w:t xml:space="preserve"> </w:t>
      </w:r>
      <w:r>
        <w:t>public</w:t>
      </w:r>
      <w:r>
        <w:rPr>
          <w:spacing w:val="-9"/>
        </w:rPr>
        <w:t xml:space="preserve"> </w:t>
      </w:r>
      <w:r>
        <w:t>and private</w:t>
      </w:r>
      <w:r>
        <w:rPr>
          <w:spacing w:val="-13"/>
        </w:rPr>
        <w:t xml:space="preserve"> </w:t>
      </w:r>
      <w:r>
        <w:t>higher</w:t>
      </w:r>
      <w:r>
        <w:rPr>
          <w:spacing w:val="-12"/>
        </w:rPr>
        <w:t xml:space="preserve"> </w:t>
      </w:r>
      <w:r>
        <w:t>education</w:t>
      </w:r>
      <w:r>
        <w:rPr>
          <w:spacing w:val="-13"/>
        </w:rPr>
        <w:t xml:space="preserve"> </w:t>
      </w:r>
      <w:r>
        <w:t>sectors</w:t>
      </w:r>
      <w:r>
        <w:rPr>
          <w:spacing w:val="-12"/>
        </w:rPr>
        <w:t xml:space="preserve"> </w:t>
      </w:r>
      <w:r>
        <w:t>to</w:t>
      </w:r>
      <w:r>
        <w:rPr>
          <w:spacing w:val="-13"/>
        </w:rPr>
        <w:t xml:space="preserve"> </w:t>
      </w:r>
      <w:r>
        <w:t>address</w:t>
      </w:r>
      <w:r>
        <w:rPr>
          <w:spacing w:val="-12"/>
        </w:rPr>
        <w:t xml:space="preserve"> </w:t>
      </w:r>
      <w:r>
        <w:t>potential</w:t>
      </w:r>
      <w:r>
        <w:rPr>
          <w:spacing w:val="-13"/>
        </w:rPr>
        <w:t xml:space="preserve"> </w:t>
      </w:r>
      <w:r>
        <w:t>inequities</w:t>
      </w:r>
      <w:r>
        <w:rPr>
          <w:spacing w:val="-12"/>
        </w:rPr>
        <w:t xml:space="preserve"> </w:t>
      </w:r>
      <w:r>
        <w:t>in</w:t>
      </w:r>
      <w:r>
        <w:rPr>
          <w:spacing w:val="-12"/>
        </w:rPr>
        <w:t xml:space="preserve"> </w:t>
      </w:r>
      <w:r>
        <w:t>sexual</w:t>
      </w:r>
      <w:r>
        <w:rPr>
          <w:spacing w:val="-13"/>
        </w:rPr>
        <w:t xml:space="preserve"> </w:t>
      </w:r>
      <w:r>
        <w:t>misconduct</w:t>
      </w:r>
      <w:r>
        <w:rPr>
          <w:spacing w:val="-12"/>
        </w:rPr>
        <w:t xml:space="preserve"> </w:t>
      </w:r>
      <w:r>
        <w:t>occurrence</w:t>
      </w:r>
      <w:r>
        <w:rPr>
          <w:spacing w:val="-13"/>
        </w:rPr>
        <w:t xml:space="preserve"> </w:t>
      </w:r>
      <w:r>
        <w:t>among LGBTQ students versus their non-LGBTQ counterparts.</w:t>
      </w:r>
    </w:p>
    <w:p w:rsidR="00200FDA" w:rsidRDefault="00200FDA">
      <w:pPr>
        <w:pStyle w:val="BodyText"/>
        <w:spacing w:before="8"/>
        <w:rPr>
          <w:b/>
          <w:sz w:val="19"/>
        </w:rPr>
      </w:pPr>
    </w:p>
    <w:p w:rsidR="00200FDA" w:rsidRDefault="00F76C4C">
      <w:pPr>
        <w:pStyle w:val="BodyText"/>
        <w:spacing w:line="276" w:lineRule="auto"/>
        <w:ind w:left="279" w:right="272"/>
        <w:jc w:val="both"/>
      </w:pPr>
      <w:r>
        <w:t>National data indicates</w:t>
      </w:r>
      <w:r>
        <w:t xml:space="preserve"> that sexual violence continues to have a disproportionate impact on LGBTQ students. In the 2019-2020 legislative session, 2021 Campus Sexual Assault Law was signed into law by Governor</w:t>
      </w:r>
      <w:r>
        <w:rPr>
          <w:spacing w:val="-13"/>
        </w:rPr>
        <w:t xml:space="preserve"> </w:t>
      </w:r>
      <w:r>
        <w:t>Baker</w:t>
      </w:r>
      <w:r>
        <w:rPr>
          <w:spacing w:val="-12"/>
        </w:rPr>
        <w:t xml:space="preserve"> </w:t>
      </w:r>
      <w:r>
        <w:t>(Ch.</w:t>
      </w:r>
      <w:r>
        <w:rPr>
          <w:spacing w:val="-13"/>
        </w:rPr>
        <w:t xml:space="preserve"> </w:t>
      </w:r>
      <w:r>
        <w:t>337</w:t>
      </w:r>
      <w:r>
        <w:rPr>
          <w:spacing w:val="-12"/>
        </w:rPr>
        <w:t xml:space="preserve"> </w:t>
      </w:r>
      <w:r>
        <w:t>of</w:t>
      </w:r>
      <w:r>
        <w:rPr>
          <w:spacing w:val="-13"/>
        </w:rPr>
        <w:t xml:space="preserve"> </w:t>
      </w:r>
      <w:r>
        <w:t>the</w:t>
      </w:r>
      <w:r>
        <w:rPr>
          <w:spacing w:val="-12"/>
        </w:rPr>
        <w:t xml:space="preserve"> </w:t>
      </w:r>
      <w:r>
        <w:t>Acts</w:t>
      </w:r>
      <w:r>
        <w:rPr>
          <w:spacing w:val="-13"/>
        </w:rPr>
        <w:t xml:space="preserve"> </w:t>
      </w:r>
      <w:r>
        <w:t>of</w:t>
      </w:r>
      <w:r>
        <w:rPr>
          <w:spacing w:val="-12"/>
        </w:rPr>
        <w:t xml:space="preserve"> </w:t>
      </w:r>
      <w:r>
        <w:t>2020).</w:t>
      </w:r>
      <w:r>
        <w:rPr>
          <w:spacing w:val="-12"/>
        </w:rPr>
        <w:t xml:space="preserve"> </w:t>
      </w:r>
      <w:r>
        <w:t>This</w:t>
      </w:r>
      <w:r>
        <w:rPr>
          <w:spacing w:val="-13"/>
        </w:rPr>
        <w:t xml:space="preserve"> </w:t>
      </w:r>
      <w:r>
        <w:t>legislation</w:t>
      </w:r>
      <w:r>
        <w:rPr>
          <w:spacing w:val="-12"/>
        </w:rPr>
        <w:t xml:space="preserve"> </w:t>
      </w:r>
      <w:r>
        <w:t>established</w:t>
      </w:r>
      <w:r>
        <w:rPr>
          <w:spacing w:val="-13"/>
        </w:rPr>
        <w:t xml:space="preserve"> </w:t>
      </w:r>
      <w:r>
        <w:t>a</w:t>
      </w:r>
      <w:r>
        <w:rPr>
          <w:spacing w:val="-12"/>
        </w:rPr>
        <w:t xml:space="preserve"> </w:t>
      </w:r>
      <w:r>
        <w:t>task</w:t>
      </w:r>
      <w:r>
        <w:rPr>
          <w:spacing w:val="-13"/>
        </w:rPr>
        <w:t xml:space="preserve"> </w:t>
      </w:r>
      <w:r>
        <w:t>force</w:t>
      </w:r>
      <w:r>
        <w:rPr>
          <w:spacing w:val="-12"/>
        </w:rPr>
        <w:t xml:space="preserve"> </w:t>
      </w:r>
      <w:r>
        <w:t>on</w:t>
      </w:r>
      <w:r>
        <w:rPr>
          <w:spacing w:val="-12"/>
        </w:rPr>
        <w:t xml:space="preserve"> </w:t>
      </w:r>
      <w:r>
        <w:t>sexual</w:t>
      </w:r>
      <w:r>
        <w:rPr>
          <w:spacing w:val="-13"/>
        </w:rPr>
        <w:t xml:space="preserve"> </w:t>
      </w:r>
      <w:r>
        <w:t xml:space="preserve">misconduct surveys and gave the Commission the power to nominate a task force member for appointment; </w:t>
      </w:r>
      <w:bookmarkStart w:id="1063" w:name="_bookmark849"/>
      <w:bookmarkEnd w:id="1063"/>
      <w:r>
        <w:t>Commission</w:t>
      </w:r>
      <w:r>
        <w:rPr>
          <w:spacing w:val="-6"/>
        </w:rPr>
        <w:t xml:space="preserve"> </w:t>
      </w:r>
      <w:r>
        <w:t>member</w:t>
      </w:r>
      <w:r>
        <w:rPr>
          <w:spacing w:val="-6"/>
        </w:rPr>
        <w:t xml:space="preserve"> </w:t>
      </w:r>
      <w:r>
        <w:t>Fahmina</w:t>
      </w:r>
      <w:r>
        <w:rPr>
          <w:spacing w:val="-4"/>
        </w:rPr>
        <w:t xml:space="preserve"> </w:t>
      </w:r>
      <w:r>
        <w:t>Zaman</w:t>
      </w:r>
      <w:r>
        <w:rPr>
          <w:spacing w:val="-6"/>
        </w:rPr>
        <w:t xml:space="preserve"> </w:t>
      </w:r>
      <w:r>
        <w:t>was</w:t>
      </w:r>
      <w:r>
        <w:rPr>
          <w:spacing w:val="-3"/>
        </w:rPr>
        <w:t xml:space="preserve"> </w:t>
      </w:r>
      <w:r>
        <w:t>appointed</w:t>
      </w:r>
      <w:r>
        <w:rPr>
          <w:spacing w:val="-4"/>
        </w:rPr>
        <w:t xml:space="preserve"> </w:t>
      </w:r>
      <w:r>
        <w:t>to</w:t>
      </w:r>
      <w:r>
        <w:rPr>
          <w:spacing w:val="-2"/>
        </w:rPr>
        <w:t xml:space="preserve"> </w:t>
      </w:r>
      <w:r>
        <w:t>the</w:t>
      </w:r>
      <w:r>
        <w:rPr>
          <w:spacing w:val="-5"/>
        </w:rPr>
        <w:t xml:space="preserve"> </w:t>
      </w:r>
      <w:r>
        <w:t>task</w:t>
      </w:r>
      <w:r>
        <w:rPr>
          <w:spacing w:val="-5"/>
        </w:rPr>
        <w:t xml:space="preserve"> </w:t>
      </w:r>
      <w:r>
        <w:t>force</w:t>
      </w:r>
      <w:r>
        <w:rPr>
          <w:spacing w:val="-3"/>
        </w:rPr>
        <w:t xml:space="preserve"> </w:t>
      </w:r>
      <w:r>
        <w:t>along</w:t>
      </w:r>
      <w:r>
        <w:rPr>
          <w:spacing w:val="-4"/>
        </w:rPr>
        <w:t xml:space="preserve"> </w:t>
      </w:r>
      <w:r>
        <w:t>with</w:t>
      </w:r>
      <w:r>
        <w:rPr>
          <w:spacing w:val="-6"/>
        </w:rPr>
        <w:t xml:space="preserve"> </w:t>
      </w:r>
      <w:r>
        <w:t>26</w:t>
      </w:r>
      <w:r>
        <w:rPr>
          <w:spacing w:val="-5"/>
        </w:rPr>
        <w:t xml:space="preserve"> </w:t>
      </w:r>
      <w:r>
        <w:t>other</w:t>
      </w:r>
      <w:r>
        <w:rPr>
          <w:spacing w:val="-6"/>
        </w:rPr>
        <w:t xml:space="preserve"> </w:t>
      </w:r>
      <w:r>
        <w:t>members.</w:t>
      </w:r>
      <w:r>
        <w:rPr>
          <w:spacing w:val="-4"/>
        </w:rPr>
        <w:t xml:space="preserve"> </w:t>
      </w:r>
      <w:r>
        <w:t xml:space="preserve">The “Commonwealth of Massachusetts Task </w:t>
      </w:r>
      <w:r>
        <w:t xml:space="preserve">Force Report on Sexual Misconduct Surveys” was released on </w:t>
      </w:r>
      <w:bookmarkStart w:id="1064" w:name="_bookmark850"/>
      <w:bookmarkEnd w:id="1064"/>
      <w:r>
        <w:t>May 3, 2022, and provided a model campus climate survey to the Commissioner of Higher Education, as well as recommendations related to “the content, timing, and application of the surveys.” While t</w:t>
      </w:r>
      <w:r>
        <w:t xml:space="preserve">here </w:t>
      </w:r>
      <w:bookmarkStart w:id="1065" w:name="_bookmark851"/>
      <w:bookmarkEnd w:id="1065"/>
      <w:r>
        <w:t xml:space="preserve">were some limitations to what the task force could recommend in relation to SOGI data collection to </w:t>
      </w:r>
      <w:bookmarkStart w:id="1066" w:name="_bookmark852"/>
      <w:bookmarkEnd w:id="1066"/>
      <w:r>
        <w:t>protect</w:t>
      </w:r>
      <w:r>
        <w:rPr>
          <w:spacing w:val="-8"/>
        </w:rPr>
        <w:t xml:space="preserve"> </w:t>
      </w:r>
      <w:r>
        <w:t>student</w:t>
      </w:r>
      <w:r>
        <w:rPr>
          <w:spacing w:val="-8"/>
        </w:rPr>
        <w:t xml:space="preserve"> </w:t>
      </w:r>
      <w:r>
        <w:t>anonymity,</w:t>
      </w:r>
      <w:r>
        <w:rPr>
          <w:spacing w:val="-11"/>
        </w:rPr>
        <w:t xml:space="preserve"> </w:t>
      </w:r>
      <w:r>
        <w:t>the</w:t>
      </w:r>
      <w:r>
        <w:rPr>
          <w:spacing w:val="-8"/>
        </w:rPr>
        <w:t xml:space="preserve"> </w:t>
      </w:r>
      <w:r>
        <w:t>Commission</w:t>
      </w:r>
      <w:r>
        <w:rPr>
          <w:spacing w:val="-10"/>
        </w:rPr>
        <w:t xml:space="preserve"> </w:t>
      </w:r>
      <w:r>
        <w:t>looks</w:t>
      </w:r>
      <w:r>
        <w:rPr>
          <w:spacing w:val="-9"/>
        </w:rPr>
        <w:t xml:space="preserve"> </w:t>
      </w:r>
      <w:r>
        <w:t>forward</w:t>
      </w:r>
      <w:r>
        <w:rPr>
          <w:spacing w:val="-10"/>
        </w:rPr>
        <w:t xml:space="preserve"> </w:t>
      </w:r>
      <w:r>
        <w:t>to</w:t>
      </w:r>
      <w:r>
        <w:rPr>
          <w:spacing w:val="-8"/>
        </w:rPr>
        <w:t xml:space="preserve"> </w:t>
      </w:r>
      <w:r>
        <w:t>reviewing</w:t>
      </w:r>
      <w:r>
        <w:rPr>
          <w:spacing w:val="-10"/>
        </w:rPr>
        <w:t xml:space="preserve"> </w:t>
      </w:r>
      <w:r>
        <w:t>next</w:t>
      </w:r>
      <w:r>
        <w:rPr>
          <w:spacing w:val="-8"/>
        </w:rPr>
        <w:t xml:space="preserve"> </w:t>
      </w:r>
      <w:r>
        <w:t>steps</w:t>
      </w:r>
      <w:r>
        <w:rPr>
          <w:spacing w:val="-11"/>
        </w:rPr>
        <w:t xml:space="preserve"> </w:t>
      </w:r>
      <w:r>
        <w:t>with</w:t>
      </w:r>
      <w:r>
        <w:rPr>
          <w:spacing w:val="-10"/>
        </w:rPr>
        <w:t xml:space="preserve"> </w:t>
      </w:r>
      <w:r>
        <w:t>the</w:t>
      </w:r>
      <w:r>
        <w:rPr>
          <w:spacing w:val="-8"/>
        </w:rPr>
        <w:t xml:space="preserve"> </w:t>
      </w:r>
      <w:r>
        <w:t>task</w:t>
      </w:r>
      <w:r>
        <w:rPr>
          <w:spacing w:val="-9"/>
        </w:rPr>
        <w:t xml:space="preserve"> </w:t>
      </w:r>
      <w:r>
        <w:t>force</w:t>
      </w:r>
      <w:r>
        <w:rPr>
          <w:spacing w:val="-8"/>
        </w:rPr>
        <w:t xml:space="preserve"> </w:t>
      </w:r>
      <w:r>
        <w:t xml:space="preserve">and </w:t>
      </w:r>
      <w:bookmarkStart w:id="1067" w:name="_bookmark853"/>
      <w:bookmarkEnd w:id="1067"/>
      <w:r>
        <w:t>DHE in FY23.</w:t>
      </w:r>
    </w:p>
    <w:p w:rsidR="00200FDA" w:rsidRDefault="00200FDA">
      <w:pPr>
        <w:pStyle w:val="BodyText"/>
        <w:spacing w:before="8"/>
        <w:rPr>
          <w:sz w:val="19"/>
        </w:rPr>
      </w:pPr>
    </w:p>
    <w:p w:rsidR="00200FDA" w:rsidRDefault="00F76C4C">
      <w:pPr>
        <w:pStyle w:val="BodyText"/>
        <w:spacing w:before="1" w:line="276" w:lineRule="auto"/>
        <w:ind w:left="279" w:right="275"/>
        <w:jc w:val="both"/>
      </w:pPr>
      <w:bookmarkStart w:id="1068" w:name="_bookmark854"/>
      <w:bookmarkEnd w:id="1068"/>
      <w:r>
        <w:t>In</w:t>
      </w:r>
      <w:r>
        <w:rPr>
          <w:spacing w:val="-10"/>
        </w:rPr>
        <w:t xml:space="preserve"> </w:t>
      </w:r>
      <w:r>
        <w:t>addition,</w:t>
      </w:r>
      <w:r>
        <w:rPr>
          <w:spacing w:val="-9"/>
        </w:rPr>
        <w:t xml:space="preserve"> </w:t>
      </w:r>
      <w:r>
        <w:t>the</w:t>
      </w:r>
      <w:r>
        <w:rPr>
          <w:spacing w:val="-11"/>
        </w:rPr>
        <w:t xml:space="preserve"> </w:t>
      </w:r>
      <w:r>
        <w:t>DHE</w:t>
      </w:r>
      <w:r>
        <w:rPr>
          <w:spacing w:val="-9"/>
        </w:rPr>
        <w:t xml:space="preserve"> </w:t>
      </w:r>
      <w:r>
        <w:t>has</w:t>
      </w:r>
      <w:r>
        <w:rPr>
          <w:spacing w:val="-9"/>
        </w:rPr>
        <w:t xml:space="preserve"> </w:t>
      </w:r>
      <w:r>
        <w:t>begun</w:t>
      </w:r>
      <w:r>
        <w:rPr>
          <w:spacing w:val="-10"/>
        </w:rPr>
        <w:t xml:space="preserve"> </w:t>
      </w:r>
      <w:r>
        <w:t>to</w:t>
      </w:r>
      <w:r>
        <w:rPr>
          <w:spacing w:val="-8"/>
        </w:rPr>
        <w:t xml:space="preserve"> </w:t>
      </w:r>
      <w:r>
        <w:t>work</w:t>
      </w:r>
      <w:r>
        <w:rPr>
          <w:spacing w:val="-11"/>
        </w:rPr>
        <w:t xml:space="preserve"> </w:t>
      </w:r>
      <w:r>
        <w:t>with</w:t>
      </w:r>
      <w:r>
        <w:rPr>
          <w:spacing w:val="-10"/>
        </w:rPr>
        <w:t xml:space="preserve"> </w:t>
      </w:r>
      <w:r>
        <w:t>Commonwealth’s</w:t>
      </w:r>
      <w:r>
        <w:rPr>
          <w:spacing w:val="-9"/>
        </w:rPr>
        <w:t xml:space="preserve"> </w:t>
      </w:r>
      <w:r>
        <w:t>higher</w:t>
      </w:r>
      <w:r>
        <w:rPr>
          <w:spacing w:val="-12"/>
        </w:rPr>
        <w:t xml:space="preserve"> </w:t>
      </w:r>
      <w:r>
        <w:t>education</w:t>
      </w:r>
      <w:r>
        <w:rPr>
          <w:spacing w:val="-10"/>
        </w:rPr>
        <w:t xml:space="preserve"> </w:t>
      </w:r>
      <w:r>
        <w:t>institutions</w:t>
      </w:r>
      <w:r>
        <w:rPr>
          <w:spacing w:val="-11"/>
        </w:rPr>
        <w:t xml:space="preserve"> </w:t>
      </w:r>
      <w:r>
        <w:t>to</w:t>
      </w:r>
      <w:r>
        <w:rPr>
          <w:spacing w:val="-8"/>
        </w:rPr>
        <w:t xml:space="preserve"> </w:t>
      </w:r>
      <w:r>
        <w:t xml:space="preserve">implement </w:t>
      </w:r>
      <w:bookmarkStart w:id="1069" w:name="_bookmark855"/>
      <w:bookmarkEnd w:id="1069"/>
      <w:r>
        <w:t xml:space="preserve">the new law’s requirement that institutions provide sexual assault crisis services, or alternatively, enter </w:t>
      </w:r>
      <w:bookmarkStart w:id="1070" w:name="_bookmark856"/>
      <w:bookmarkEnd w:id="1070"/>
      <w:r>
        <w:t>into MOUs</w:t>
      </w:r>
      <w:r>
        <w:rPr>
          <w:spacing w:val="-3"/>
        </w:rPr>
        <w:t xml:space="preserve"> </w:t>
      </w:r>
      <w:r>
        <w:t>with</w:t>
      </w:r>
      <w:r>
        <w:rPr>
          <w:spacing w:val="-1"/>
        </w:rPr>
        <w:t xml:space="preserve"> </w:t>
      </w:r>
      <w:r>
        <w:t>community-based</w:t>
      </w:r>
      <w:r>
        <w:rPr>
          <w:spacing w:val="-1"/>
        </w:rPr>
        <w:t xml:space="preserve"> </w:t>
      </w:r>
      <w:r>
        <w:t>sexual</w:t>
      </w:r>
      <w:r>
        <w:rPr>
          <w:spacing w:val="-1"/>
        </w:rPr>
        <w:t xml:space="preserve"> </w:t>
      </w:r>
      <w:r>
        <w:t>assault crisis service centers and</w:t>
      </w:r>
      <w:r>
        <w:rPr>
          <w:spacing w:val="-1"/>
        </w:rPr>
        <w:t xml:space="preserve"> </w:t>
      </w:r>
      <w:r>
        <w:t>domest</w:t>
      </w:r>
      <w:r>
        <w:t>ic violence prevention programs</w:t>
      </w:r>
      <w:r>
        <w:rPr>
          <w:spacing w:val="-6"/>
        </w:rPr>
        <w:t xml:space="preserve"> </w:t>
      </w:r>
      <w:r>
        <w:t>funded</w:t>
      </w:r>
      <w:r>
        <w:rPr>
          <w:spacing w:val="-2"/>
        </w:rPr>
        <w:t xml:space="preserve"> </w:t>
      </w:r>
      <w:r>
        <w:t>by</w:t>
      </w:r>
      <w:r>
        <w:rPr>
          <w:spacing w:val="-2"/>
        </w:rPr>
        <w:t xml:space="preserve"> </w:t>
      </w:r>
      <w:r>
        <w:t>DPH</w:t>
      </w:r>
      <w:r>
        <w:rPr>
          <w:spacing w:val="-2"/>
        </w:rPr>
        <w:t xml:space="preserve"> </w:t>
      </w:r>
      <w:r>
        <w:t>to provide</w:t>
      </w:r>
      <w:r>
        <w:rPr>
          <w:spacing w:val="-1"/>
        </w:rPr>
        <w:t xml:space="preserve"> </w:t>
      </w:r>
      <w:r>
        <w:t>survivor</w:t>
      </w:r>
      <w:r>
        <w:rPr>
          <w:spacing w:val="-3"/>
        </w:rPr>
        <w:t xml:space="preserve"> </w:t>
      </w:r>
      <w:r>
        <w:t>services</w:t>
      </w:r>
      <w:r>
        <w:rPr>
          <w:spacing w:val="-4"/>
        </w:rPr>
        <w:t xml:space="preserve"> </w:t>
      </w:r>
      <w:r>
        <w:t>to</w:t>
      </w:r>
      <w:r>
        <w:rPr>
          <w:spacing w:val="-2"/>
        </w:rPr>
        <w:t xml:space="preserve"> </w:t>
      </w:r>
      <w:r>
        <w:t>students</w:t>
      </w:r>
      <w:r>
        <w:rPr>
          <w:spacing w:val="-4"/>
        </w:rPr>
        <w:t xml:space="preserve"> </w:t>
      </w:r>
      <w:r>
        <w:t>and</w:t>
      </w:r>
      <w:r>
        <w:rPr>
          <w:spacing w:val="-4"/>
        </w:rPr>
        <w:t xml:space="preserve"> </w:t>
      </w:r>
      <w:r>
        <w:t>employees.</w:t>
      </w:r>
      <w:r>
        <w:rPr>
          <w:spacing w:val="-2"/>
        </w:rPr>
        <w:t xml:space="preserve"> </w:t>
      </w:r>
      <w:r>
        <w:t>The</w:t>
      </w:r>
      <w:r>
        <w:rPr>
          <w:spacing w:val="-3"/>
        </w:rPr>
        <w:t xml:space="preserve"> </w:t>
      </w:r>
      <w:r>
        <w:t>Commission</w:t>
      </w:r>
      <w:r>
        <w:rPr>
          <w:spacing w:val="-1"/>
        </w:rPr>
        <w:t xml:space="preserve"> </w:t>
      </w:r>
      <w:r>
        <w:rPr>
          <w:spacing w:val="-2"/>
        </w:rPr>
        <w:t>urges</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right="275"/>
        <w:jc w:val="both"/>
      </w:pPr>
      <w:r>
        <w:t>DHE to encourage institutions to</w:t>
      </w:r>
      <w:r>
        <w:rPr>
          <w:spacing w:val="-1"/>
        </w:rPr>
        <w:t xml:space="preserve"> </w:t>
      </w:r>
      <w:r>
        <w:t>make</w:t>
      </w:r>
      <w:r>
        <w:rPr>
          <w:spacing w:val="-1"/>
        </w:rPr>
        <w:t xml:space="preserve"> </w:t>
      </w:r>
      <w:r>
        <w:t>explicit</w:t>
      </w:r>
      <w:r>
        <w:rPr>
          <w:spacing w:val="-1"/>
        </w:rPr>
        <w:t xml:space="preserve"> </w:t>
      </w:r>
      <w:r>
        <w:t>provisions in these MOUs that provide</w:t>
      </w:r>
      <w:r>
        <w:rPr>
          <w:spacing w:val="-1"/>
        </w:rPr>
        <w:t xml:space="preserve"> </w:t>
      </w:r>
      <w:r>
        <w:t>for</w:t>
      </w:r>
      <w:r>
        <w:rPr>
          <w:spacing w:val="-2"/>
        </w:rPr>
        <w:t xml:space="preserve"> </w:t>
      </w:r>
      <w:r>
        <w:t>LGBTQ-specific cultural compe</w:t>
      </w:r>
      <w:r>
        <w:t xml:space="preserve">tency trainings around the delivery of sexual assault services to LGBTQ students and </w:t>
      </w:r>
      <w:r>
        <w:rPr>
          <w:spacing w:val="-2"/>
        </w:rPr>
        <w:t>employees.</w:t>
      </w:r>
    </w:p>
    <w:p w:rsidR="00200FDA" w:rsidRDefault="00200FDA">
      <w:pPr>
        <w:pStyle w:val="BodyText"/>
        <w:spacing w:before="8"/>
        <w:rPr>
          <w:sz w:val="19"/>
        </w:rPr>
      </w:pPr>
    </w:p>
    <w:p w:rsidR="00200FDA" w:rsidRDefault="00F76C4C">
      <w:pPr>
        <w:pStyle w:val="BodyText"/>
        <w:spacing w:line="276" w:lineRule="auto"/>
        <w:ind w:left="280" w:right="274"/>
        <w:jc w:val="both"/>
      </w:pPr>
      <w:r>
        <w:t>The Commission further urges DHE to continue supporting data collection efforts that allow Massachusetts</w:t>
      </w:r>
      <w:r>
        <w:rPr>
          <w:spacing w:val="-4"/>
        </w:rPr>
        <w:t xml:space="preserve"> </w:t>
      </w:r>
      <w:r>
        <w:t>institutions</w:t>
      </w:r>
      <w:r>
        <w:rPr>
          <w:spacing w:val="-4"/>
        </w:rPr>
        <w:t xml:space="preserve"> </w:t>
      </w:r>
      <w:r>
        <w:t>to</w:t>
      </w:r>
      <w:r>
        <w:rPr>
          <w:spacing w:val="-1"/>
        </w:rPr>
        <w:t xml:space="preserve"> </w:t>
      </w:r>
      <w:r>
        <w:t>identify</w:t>
      </w:r>
      <w:r>
        <w:rPr>
          <w:spacing w:val="-1"/>
        </w:rPr>
        <w:t xml:space="preserve"> </w:t>
      </w:r>
      <w:r>
        <w:t>disparities</w:t>
      </w:r>
      <w:r>
        <w:rPr>
          <w:spacing w:val="-2"/>
        </w:rPr>
        <w:t xml:space="preserve"> </w:t>
      </w:r>
      <w:r>
        <w:t>in</w:t>
      </w:r>
      <w:r>
        <w:rPr>
          <w:spacing w:val="-3"/>
        </w:rPr>
        <w:t xml:space="preserve"> </w:t>
      </w:r>
      <w:r>
        <w:t>student</w:t>
      </w:r>
      <w:r>
        <w:rPr>
          <w:spacing w:val="-1"/>
        </w:rPr>
        <w:t xml:space="preserve"> </w:t>
      </w:r>
      <w:r>
        <w:t>success</w:t>
      </w:r>
      <w:r>
        <w:rPr>
          <w:spacing w:val="-2"/>
        </w:rPr>
        <w:t xml:space="preserve"> </w:t>
      </w:r>
      <w:r>
        <w:t>and</w:t>
      </w:r>
      <w:r>
        <w:rPr>
          <w:spacing w:val="-3"/>
        </w:rPr>
        <w:t xml:space="preserve"> </w:t>
      </w:r>
      <w:r>
        <w:t>inclusion</w:t>
      </w:r>
      <w:r>
        <w:rPr>
          <w:spacing w:val="-5"/>
        </w:rPr>
        <w:t xml:space="preserve"> </w:t>
      </w:r>
      <w:r>
        <w:t>on</w:t>
      </w:r>
      <w:r>
        <w:rPr>
          <w:spacing w:val="-3"/>
        </w:rPr>
        <w:t xml:space="preserve"> </w:t>
      </w:r>
      <w:r>
        <w:t>their</w:t>
      </w:r>
      <w:r>
        <w:rPr>
          <w:spacing w:val="-4"/>
        </w:rPr>
        <w:t xml:space="preserve"> </w:t>
      </w:r>
      <w:r>
        <w:t>campuses,</w:t>
      </w:r>
      <w:r>
        <w:rPr>
          <w:spacing w:val="-4"/>
        </w:rPr>
        <w:t xml:space="preserve"> </w:t>
      </w:r>
      <w:r>
        <w:t xml:space="preserve">and to develop inclusive policy and programmatic solutions to end them. Additionally, the Commission encourages DHE to provide LGBTQ cultural competency trainings to its own staff as it reviews internal policies as </w:t>
      </w:r>
      <w:r>
        <w:t>they relate to nondiscrimination and intersectionality.</w:t>
      </w:r>
    </w:p>
    <w:p w:rsidR="00200FDA" w:rsidRDefault="00200FDA">
      <w:pPr>
        <w:pStyle w:val="BodyText"/>
      </w:pPr>
    </w:p>
    <w:p w:rsidR="00200FDA" w:rsidRDefault="00200FDA">
      <w:pPr>
        <w:pStyle w:val="BodyText"/>
        <w:spacing w:before="11"/>
      </w:pPr>
    </w:p>
    <w:p w:rsidR="00200FDA" w:rsidRDefault="00F76C4C">
      <w:pPr>
        <w:pStyle w:val="Heading9"/>
        <w:numPr>
          <w:ilvl w:val="0"/>
          <w:numId w:val="20"/>
        </w:numPr>
        <w:tabs>
          <w:tab w:val="left" w:pos="520"/>
        </w:tabs>
        <w:spacing w:line="276" w:lineRule="auto"/>
        <w:ind w:left="280" w:right="274" w:firstLine="0"/>
      </w:pPr>
      <w:r>
        <w:t>Host listening sessions to identify the unique needs of students and faculty related to community</w:t>
      </w:r>
      <w:r>
        <w:rPr>
          <w:spacing w:val="40"/>
        </w:rPr>
        <w:t xml:space="preserve"> </w:t>
      </w:r>
      <w:r>
        <w:t>college access, housing, mental health, among other issues.</w:t>
      </w:r>
    </w:p>
    <w:p w:rsidR="00200FDA" w:rsidRDefault="00200FDA">
      <w:pPr>
        <w:pStyle w:val="BodyText"/>
        <w:spacing w:before="9"/>
        <w:rPr>
          <w:b/>
          <w:sz w:val="19"/>
        </w:rPr>
      </w:pPr>
    </w:p>
    <w:p w:rsidR="00200FDA" w:rsidRDefault="00F76C4C">
      <w:pPr>
        <w:pStyle w:val="BodyText"/>
        <w:spacing w:before="1" w:line="276" w:lineRule="auto"/>
        <w:ind w:left="280" w:right="273"/>
        <w:jc w:val="both"/>
      </w:pPr>
      <w:r>
        <w:t>The Commission</w:t>
      </w:r>
      <w:r>
        <w:rPr>
          <w:spacing w:val="-1"/>
        </w:rPr>
        <w:t xml:space="preserve"> </w:t>
      </w:r>
      <w:r>
        <w:t>recommends that</w:t>
      </w:r>
      <w:r>
        <w:rPr>
          <w:spacing w:val="-2"/>
        </w:rPr>
        <w:t xml:space="preserve"> </w:t>
      </w:r>
      <w:r>
        <w:t>DHE host</w:t>
      </w:r>
      <w:r>
        <w:rPr>
          <w:spacing w:val="-2"/>
        </w:rPr>
        <w:t xml:space="preserve"> </w:t>
      </w:r>
      <w:r>
        <w:t>listening</w:t>
      </w:r>
      <w:r>
        <w:rPr>
          <w:spacing w:val="-4"/>
        </w:rPr>
        <w:t xml:space="preserve"> </w:t>
      </w:r>
      <w:r>
        <w:t>sessions across the</w:t>
      </w:r>
      <w:r>
        <w:rPr>
          <w:spacing w:val="-2"/>
        </w:rPr>
        <w:t xml:space="preserve"> </w:t>
      </w:r>
      <w:r>
        <w:t>Commonwealth</w:t>
      </w:r>
      <w:r>
        <w:rPr>
          <w:spacing w:val="-1"/>
        </w:rPr>
        <w:t xml:space="preserve"> </w:t>
      </w:r>
      <w:r>
        <w:t>to identify</w:t>
      </w:r>
      <w:r>
        <w:rPr>
          <w:spacing w:val="-2"/>
        </w:rPr>
        <w:t xml:space="preserve"> </w:t>
      </w:r>
      <w:r>
        <w:t>the unique needs of LGBTQ students, as well as faculty, as it relates to access in the areas of education, housing, and mental health. Furthermore, the Commission encourages DHE to examine the need fo</w:t>
      </w:r>
      <w:r>
        <w:t>r LGBTQ</w:t>
      </w:r>
      <w:r>
        <w:rPr>
          <w:spacing w:val="-7"/>
        </w:rPr>
        <w:t xml:space="preserve"> </w:t>
      </w:r>
      <w:r>
        <w:t>cultural</w:t>
      </w:r>
      <w:r>
        <w:rPr>
          <w:spacing w:val="-5"/>
        </w:rPr>
        <w:t xml:space="preserve"> </w:t>
      </w:r>
      <w:r>
        <w:t>competency</w:t>
      </w:r>
      <w:r>
        <w:rPr>
          <w:spacing w:val="-4"/>
        </w:rPr>
        <w:t xml:space="preserve"> </w:t>
      </w:r>
      <w:r>
        <w:t>professional</w:t>
      </w:r>
      <w:r>
        <w:rPr>
          <w:spacing w:val="-6"/>
        </w:rPr>
        <w:t xml:space="preserve"> </w:t>
      </w:r>
      <w:r>
        <w:t>development</w:t>
      </w:r>
      <w:r>
        <w:rPr>
          <w:spacing w:val="-5"/>
        </w:rPr>
        <w:t xml:space="preserve"> </w:t>
      </w:r>
      <w:r>
        <w:t>for</w:t>
      </w:r>
      <w:r>
        <w:rPr>
          <w:spacing w:val="-8"/>
        </w:rPr>
        <w:t xml:space="preserve"> </w:t>
      </w:r>
      <w:r>
        <w:t>college</w:t>
      </w:r>
      <w:r>
        <w:rPr>
          <w:spacing w:val="-5"/>
        </w:rPr>
        <w:t xml:space="preserve"> </w:t>
      </w:r>
      <w:r>
        <w:t>staff</w:t>
      </w:r>
      <w:r>
        <w:rPr>
          <w:spacing w:val="-6"/>
        </w:rPr>
        <w:t xml:space="preserve"> </w:t>
      </w:r>
      <w:r>
        <w:t>and</w:t>
      </w:r>
      <w:r>
        <w:rPr>
          <w:spacing w:val="-6"/>
        </w:rPr>
        <w:t xml:space="preserve"> </w:t>
      </w:r>
      <w:r>
        <w:t>faculty,</w:t>
      </w:r>
      <w:r>
        <w:rPr>
          <w:spacing w:val="-5"/>
        </w:rPr>
        <w:t xml:space="preserve"> </w:t>
      </w:r>
      <w:r>
        <w:t>and</w:t>
      </w:r>
      <w:r>
        <w:rPr>
          <w:spacing w:val="-6"/>
        </w:rPr>
        <w:t xml:space="preserve"> </w:t>
      </w:r>
      <w:r>
        <w:t>guide</w:t>
      </w:r>
      <w:r>
        <w:rPr>
          <w:spacing w:val="-5"/>
        </w:rPr>
        <w:t xml:space="preserve"> </w:t>
      </w:r>
      <w:r>
        <w:t>colleges</w:t>
      </w:r>
      <w:r>
        <w:rPr>
          <w:spacing w:val="-5"/>
        </w:rPr>
        <w:t xml:space="preserve"> </w:t>
      </w:r>
      <w:r>
        <w:t>on the development of a strategic plan to address these needs.</w:t>
      </w:r>
    </w:p>
    <w:p w:rsidR="00200FDA" w:rsidRDefault="00200FDA">
      <w:pPr>
        <w:pStyle w:val="BodyText"/>
      </w:pPr>
    </w:p>
    <w:p w:rsidR="00200FDA" w:rsidRDefault="00200FDA">
      <w:pPr>
        <w:pStyle w:val="BodyText"/>
        <w:spacing w:before="11"/>
      </w:pPr>
    </w:p>
    <w:p w:rsidR="00200FDA" w:rsidRDefault="00F76C4C">
      <w:pPr>
        <w:pStyle w:val="Heading9"/>
        <w:numPr>
          <w:ilvl w:val="0"/>
          <w:numId w:val="20"/>
        </w:numPr>
        <w:tabs>
          <w:tab w:val="left" w:pos="501"/>
        </w:tabs>
        <w:ind w:left="500" w:hanging="221"/>
      </w:pPr>
      <w:r>
        <w:t>Collaborate</w:t>
      </w:r>
      <w:r>
        <w:rPr>
          <w:spacing w:val="-9"/>
        </w:rPr>
        <w:t xml:space="preserve"> </w:t>
      </w:r>
      <w:r>
        <w:t>with</w:t>
      </w:r>
      <w:r>
        <w:rPr>
          <w:spacing w:val="-6"/>
        </w:rPr>
        <w:t xml:space="preserve"> </w:t>
      </w:r>
      <w:r>
        <w:t>community</w:t>
      </w:r>
      <w:r>
        <w:rPr>
          <w:spacing w:val="-5"/>
        </w:rPr>
        <w:t xml:space="preserve"> </w:t>
      </w:r>
      <w:r>
        <w:t>colleges</w:t>
      </w:r>
      <w:r>
        <w:rPr>
          <w:spacing w:val="-6"/>
        </w:rPr>
        <w:t xml:space="preserve"> </w:t>
      </w:r>
      <w:r>
        <w:t>to</w:t>
      </w:r>
      <w:r>
        <w:rPr>
          <w:spacing w:val="-5"/>
        </w:rPr>
        <w:t xml:space="preserve"> </w:t>
      </w:r>
      <w:r>
        <w:t>develop</w:t>
      </w:r>
      <w:r>
        <w:rPr>
          <w:spacing w:val="-5"/>
        </w:rPr>
        <w:t xml:space="preserve"> </w:t>
      </w:r>
      <w:r>
        <w:t>resources</w:t>
      </w:r>
      <w:r>
        <w:rPr>
          <w:spacing w:val="-4"/>
        </w:rPr>
        <w:t xml:space="preserve"> </w:t>
      </w:r>
      <w:r>
        <w:t>for</w:t>
      </w:r>
      <w:r>
        <w:rPr>
          <w:spacing w:val="-3"/>
        </w:rPr>
        <w:t xml:space="preserve"> </w:t>
      </w:r>
      <w:r>
        <w:t>LGBTQ</w:t>
      </w:r>
      <w:r>
        <w:rPr>
          <w:spacing w:val="-7"/>
        </w:rPr>
        <w:t xml:space="preserve"> </w:t>
      </w:r>
      <w:r>
        <w:t>youth</w:t>
      </w:r>
      <w:r>
        <w:rPr>
          <w:spacing w:val="-7"/>
        </w:rPr>
        <w:t xml:space="preserve"> </w:t>
      </w:r>
      <w:r>
        <w:t>on</w:t>
      </w:r>
      <w:r>
        <w:rPr>
          <w:spacing w:val="-5"/>
        </w:rPr>
        <w:t xml:space="preserve"> </w:t>
      </w:r>
      <w:r>
        <w:rPr>
          <w:spacing w:val="-2"/>
        </w:rPr>
        <w:t>campus.</w:t>
      </w:r>
    </w:p>
    <w:p w:rsidR="00200FDA" w:rsidRDefault="00200FDA">
      <w:pPr>
        <w:pStyle w:val="BodyText"/>
        <w:spacing w:before="10"/>
        <w:rPr>
          <w:b/>
        </w:rPr>
      </w:pPr>
    </w:p>
    <w:p w:rsidR="00200FDA" w:rsidRDefault="00F76C4C">
      <w:pPr>
        <w:pStyle w:val="BodyText"/>
        <w:spacing w:line="276" w:lineRule="auto"/>
        <w:ind w:left="280" w:right="275"/>
        <w:jc w:val="both"/>
      </w:pPr>
      <w:r>
        <w:t>Finally,</w:t>
      </w:r>
      <w:r>
        <w:rPr>
          <w:spacing w:val="-8"/>
        </w:rPr>
        <w:t xml:space="preserve"> </w:t>
      </w:r>
      <w:r>
        <w:t>the</w:t>
      </w:r>
      <w:r>
        <w:rPr>
          <w:spacing w:val="-7"/>
        </w:rPr>
        <w:t xml:space="preserve"> </w:t>
      </w:r>
      <w:r>
        <w:t>Commission</w:t>
      </w:r>
      <w:r>
        <w:rPr>
          <w:spacing w:val="-10"/>
        </w:rPr>
        <w:t xml:space="preserve"> </w:t>
      </w:r>
      <w:r>
        <w:t>recommends</w:t>
      </w:r>
      <w:r>
        <w:rPr>
          <w:spacing w:val="-8"/>
        </w:rPr>
        <w:t xml:space="preserve"> </w:t>
      </w:r>
      <w:r>
        <w:t>that</w:t>
      </w:r>
      <w:r>
        <w:rPr>
          <w:spacing w:val="-9"/>
        </w:rPr>
        <w:t xml:space="preserve"> </w:t>
      </w:r>
      <w:r>
        <w:t>DHE</w:t>
      </w:r>
      <w:r>
        <w:rPr>
          <w:spacing w:val="-7"/>
        </w:rPr>
        <w:t xml:space="preserve"> </w:t>
      </w:r>
      <w:r>
        <w:t>partner</w:t>
      </w:r>
      <w:r>
        <w:rPr>
          <w:spacing w:val="-9"/>
        </w:rPr>
        <w:t xml:space="preserve"> </w:t>
      </w:r>
      <w:r>
        <w:t>with</w:t>
      </w:r>
      <w:r>
        <w:rPr>
          <w:spacing w:val="-8"/>
        </w:rPr>
        <w:t xml:space="preserve"> </w:t>
      </w:r>
      <w:r>
        <w:t>community</w:t>
      </w:r>
      <w:r>
        <w:rPr>
          <w:spacing w:val="-7"/>
        </w:rPr>
        <w:t xml:space="preserve"> </w:t>
      </w:r>
      <w:r>
        <w:t>colleges</w:t>
      </w:r>
      <w:r>
        <w:rPr>
          <w:spacing w:val="-8"/>
        </w:rPr>
        <w:t xml:space="preserve"> </w:t>
      </w:r>
      <w:r>
        <w:t>across</w:t>
      </w:r>
      <w:r>
        <w:rPr>
          <w:spacing w:val="-9"/>
        </w:rPr>
        <w:t xml:space="preserve"> </w:t>
      </w:r>
      <w:r>
        <w:t>Massachusetts</w:t>
      </w:r>
      <w:r>
        <w:rPr>
          <w:spacing w:val="-8"/>
        </w:rPr>
        <w:t xml:space="preserve"> </w:t>
      </w:r>
      <w:r>
        <w:t>to understand</w:t>
      </w:r>
      <w:r>
        <w:rPr>
          <w:spacing w:val="-5"/>
        </w:rPr>
        <w:t xml:space="preserve"> </w:t>
      </w:r>
      <w:r>
        <w:t>the</w:t>
      </w:r>
      <w:r>
        <w:rPr>
          <w:spacing w:val="-6"/>
        </w:rPr>
        <w:t xml:space="preserve"> </w:t>
      </w:r>
      <w:r>
        <w:t>specific</w:t>
      </w:r>
      <w:r>
        <w:rPr>
          <w:spacing w:val="-4"/>
        </w:rPr>
        <w:t xml:space="preserve"> </w:t>
      </w:r>
      <w:r>
        <w:t>needs</w:t>
      </w:r>
      <w:r>
        <w:rPr>
          <w:spacing w:val="-7"/>
        </w:rPr>
        <w:t xml:space="preserve"> </w:t>
      </w:r>
      <w:r>
        <w:t>of</w:t>
      </w:r>
      <w:r>
        <w:rPr>
          <w:spacing w:val="-7"/>
        </w:rPr>
        <w:t xml:space="preserve"> </w:t>
      </w:r>
      <w:r>
        <w:t>LGBTQ</w:t>
      </w:r>
      <w:r>
        <w:rPr>
          <w:spacing w:val="-6"/>
        </w:rPr>
        <w:t xml:space="preserve"> </w:t>
      </w:r>
      <w:r>
        <w:t>youth,</w:t>
      </w:r>
      <w:r>
        <w:rPr>
          <w:spacing w:val="-4"/>
        </w:rPr>
        <w:t xml:space="preserve"> </w:t>
      </w:r>
      <w:r>
        <w:t>and</w:t>
      </w:r>
      <w:r>
        <w:rPr>
          <w:spacing w:val="-5"/>
        </w:rPr>
        <w:t xml:space="preserve"> </w:t>
      </w:r>
      <w:r>
        <w:t>provide</w:t>
      </w:r>
      <w:r>
        <w:rPr>
          <w:spacing w:val="-6"/>
        </w:rPr>
        <w:t xml:space="preserve"> </w:t>
      </w:r>
      <w:r>
        <w:t>guidance</w:t>
      </w:r>
      <w:r>
        <w:rPr>
          <w:spacing w:val="-6"/>
        </w:rPr>
        <w:t xml:space="preserve"> </w:t>
      </w:r>
      <w:r>
        <w:t>on</w:t>
      </w:r>
      <w:r>
        <w:rPr>
          <w:spacing w:val="-8"/>
        </w:rPr>
        <w:t xml:space="preserve"> </w:t>
      </w:r>
      <w:r>
        <w:t>the</w:t>
      </w:r>
      <w:r>
        <w:rPr>
          <w:spacing w:val="-6"/>
        </w:rPr>
        <w:t xml:space="preserve"> </w:t>
      </w:r>
      <w:r>
        <w:t>development</w:t>
      </w:r>
      <w:r>
        <w:rPr>
          <w:spacing w:val="-6"/>
        </w:rPr>
        <w:t xml:space="preserve"> </w:t>
      </w:r>
      <w:r>
        <w:t>of</w:t>
      </w:r>
      <w:r>
        <w:rPr>
          <w:spacing w:val="-7"/>
        </w:rPr>
        <w:t xml:space="preserve"> </w:t>
      </w:r>
      <w:r>
        <w:t>resources</w:t>
      </w:r>
      <w:r>
        <w:rPr>
          <w:spacing w:val="-7"/>
        </w:rPr>
        <w:t xml:space="preserve"> </w:t>
      </w:r>
      <w:r>
        <w:t>in partnership with colleges and youth.</w:t>
      </w:r>
    </w:p>
    <w:p w:rsidR="00200FDA" w:rsidRDefault="00200FDA">
      <w:pPr>
        <w:pStyle w:val="BodyText"/>
      </w:pPr>
    </w:p>
    <w:p w:rsidR="00200FDA" w:rsidRDefault="00200FDA">
      <w:pPr>
        <w:pStyle w:val="BodyText"/>
      </w:pPr>
    </w:p>
    <w:p w:rsidR="00200FDA" w:rsidRDefault="00200FDA">
      <w:pPr>
        <w:pStyle w:val="BodyText"/>
        <w:spacing w:before="8"/>
        <w:rPr>
          <w:sz w:val="20"/>
        </w:rPr>
      </w:pPr>
    </w:p>
    <w:p w:rsidR="00200FDA" w:rsidRDefault="00F76C4C">
      <w:pPr>
        <w:ind w:left="280"/>
        <w:jc w:val="both"/>
        <w:rPr>
          <w:i/>
        </w:rPr>
      </w:pPr>
      <w:r>
        <w:rPr>
          <w:i/>
        </w:rPr>
        <w:t>Acknowledgment</w:t>
      </w:r>
      <w:r>
        <w:rPr>
          <w:i/>
        </w:rPr>
        <w:t>s:</w:t>
      </w:r>
      <w:r>
        <w:rPr>
          <w:i/>
          <w:spacing w:val="-8"/>
        </w:rPr>
        <w:t xml:space="preserve"> </w:t>
      </w:r>
      <w:r>
        <w:rPr>
          <w:i/>
        </w:rPr>
        <w:t>The</w:t>
      </w:r>
      <w:r>
        <w:rPr>
          <w:i/>
          <w:spacing w:val="-4"/>
        </w:rPr>
        <w:t xml:space="preserve"> </w:t>
      </w:r>
      <w:r>
        <w:rPr>
          <w:i/>
        </w:rPr>
        <w:t>Commission</w:t>
      </w:r>
      <w:r>
        <w:rPr>
          <w:i/>
          <w:spacing w:val="-5"/>
        </w:rPr>
        <w:t xml:space="preserve"> </w:t>
      </w:r>
      <w:r>
        <w:rPr>
          <w:i/>
        </w:rPr>
        <w:t>sincerely</w:t>
      </w:r>
      <w:r>
        <w:rPr>
          <w:i/>
          <w:spacing w:val="-5"/>
        </w:rPr>
        <w:t xml:space="preserve"> </w:t>
      </w:r>
      <w:r>
        <w:rPr>
          <w:i/>
        </w:rPr>
        <w:t>thanks</w:t>
      </w:r>
      <w:r>
        <w:rPr>
          <w:i/>
          <w:spacing w:val="-6"/>
        </w:rPr>
        <w:t xml:space="preserve"> </w:t>
      </w:r>
      <w:r>
        <w:rPr>
          <w:i/>
        </w:rPr>
        <w:t>the</w:t>
      </w:r>
      <w:r>
        <w:rPr>
          <w:i/>
          <w:spacing w:val="-4"/>
        </w:rPr>
        <w:t xml:space="preserve"> </w:t>
      </w:r>
      <w:r>
        <w:rPr>
          <w:i/>
        </w:rPr>
        <w:t>contributions</w:t>
      </w:r>
      <w:r>
        <w:rPr>
          <w:i/>
          <w:spacing w:val="-4"/>
        </w:rPr>
        <w:t xml:space="preserve"> </w:t>
      </w:r>
      <w:r>
        <w:rPr>
          <w:i/>
        </w:rPr>
        <w:t>of</w:t>
      </w:r>
      <w:r>
        <w:rPr>
          <w:i/>
          <w:spacing w:val="-6"/>
        </w:rPr>
        <w:t xml:space="preserve"> </w:t>
      </w:r>
      <w:r>
        <w:rPr>
          <w:i/>
        </w:rPr>
        <w:t>its</w:t>
      </w:r>
      <w:r>
        <w:rPr>
          <w:i/>
          <w:spacing w:val="-6"/>
        </w:rPr>
        <w:t xml:space="preserve"> </w:t>
      </w:r>
      <w:r>
        <w:rPr>
          <w:i/>
        </w:rPr>
        <w:t>DHE</w:t>
      </w:r>
      <w:r>
        <w:rPr>
          <w:i/>
          <w:spacing w:val="-6"/>
        </w:rPr>
        <w:t xml:space="preserve"> </w:t>
      </w:r>
      <w:r>
        <w:rPr>
          <w:i/>
        </w:rPr>
        <w:t>agency</w:t>
      </w:r>
      <w:r>
        <w:rPr>
          <w:i/>
          <w:spacing w:val="-4"/>
        </w:rPr>
        <w:t xml:space="preserve"> </w:t>
      </w:r>
      <w:r>
        <w:rPr>
          <w:i/>
          <w:spacing w:val="-2"/>
        </w:rPr>
        <w:t>liaisons.</w:t>
      </w:r>
    </w:p>
    <w:p w:rsidR="00200FDA" w:rsidRDefault="00200FDA">
      <w:pPr>
        <w:pStyle w:val="BodyText"/>
        <w:rPr>
          <w:i/>
        </w:rPr>
      </w:pPr>
    </w:p>
    <w:p w:rsidR="00200FDA" w:rsidRDefault="00200FDA">
      <w:pPr>
        <w:pStyle w:val="BodyText"/>
        <w:spacing w:before="2"/>
        <w:rPr>
          <w:i/>
          <w:sz w:val="31"/>
        </w:rPr>
      </w:pPr>
    </w:p>
    <w:p w:rsidR="00200FDA" w:rsidRDefault="00F76C4C">
      <w:pPr>
        <w:ind w:left="280" w:right="308" w:hanging="1"/>
        <w:rPr>
          <w:sz w:val="18"/>
        </w:rPr>
      </w:pPr>
      <w:r>
        <w:rPr>
          <w:position w:val="5"/>
          <w:sz w:val="12"/>
        </w:rPr>
        <w:t>1</w:t>
      </w:r>
      <w:r>
        <w:rPr>
          <w:spacing w:val="10"/>
          <w:position w:val="5"/>
          <w:sz w:val="12"/>
        </w:rPr>
        <w:t xml:space="preserve"> </w:t>
      </w:r>
      <w:r>
        <w:rPr>
          <w:sz w:val="18"/>
        </w:rPr>
        <w:t>Rankin,</w:t>
      </w:r>
      <w:r>
        <w:rPr>
          <w:spacing w:val="-2"/>
          <w:sz w:val="18"/>
        </w:rPr>
        <w:t xml:space="preserve"> </w:t>
      </w:r>
      <w:r>
        <w:rPr>
          <w:sz w:val="18"/>
        </w:rPr>
        <w:t>S.,</w:t>
      </w:r>
      <w:r>
        <w:rPr>
          <w:spacing w:val="-2"/>
          <w:sz w:val="18"/>
        </w:rPr>
        <w:t xml:space="preserve"> </w:t>
      </w:r>
      <w:r>
        <w:rPr>
          <w:sz w:val="18"/>
        </w:rPr>
        <w:t>Weber,</w:t>
      </w:r>
      <w:r>
        <w:rPr>
          <w:spacing w:val="-2"/>
          <w:sz w:val="18"/>
        </w:rPr>
        <w:t xml:space="preserve"> </w:t>
      </w:r>
      <w:r>
        <w:rPr>
          <w:sz w:val="18"/>
        </w:rPr>
        <w:t>G.,</w:t>
      </w:r>
      <w:r>
        <w:rPr>
          <w:spacing w:val="-2"/>
          <w:sz w:val="18"/>
        </w:rPr>
        <w:t xml:space="preserve"> </w:t>
      </w:r>
      <w:r>
        <w:rPr>
          <w:sz w:val="18"/>
        </w:rPr>
        <w:t>Blumenfeld,</w:t>
      </w:r>
      <w:r>
        <w:rPr>
          <w:spacing w:val="-2"/>
          <w:sz w:val="18"/>
        </w:rPr>
        <w:t xml:space="preserve"> </w:t>
      </w:r>
      <w:r>
        <w:rPr>
          <w:sz w:val="18"/>
        </w:rPr>
        <w:t>W.,</w:t>
      </w:r>
      <w:r>
        <w:rPr>
          <w:spacing w:val="-2"/>
          <w:sz w:val="18"/>
        </w:rPr>
        <w:t xml:space="preserve"> </w:t>
      </w:r>
      <w:r>
        <w:rPr>
          <w:sz w:val="18"/>
        </w:rPr>
        <w:t>&amp;</w:t>
      </w:r>
      <w:r>
        <w:rPr>
          <w:spacing w:val="-3"/>
          <w:sz w:val="18"/>
        </w:rPr>
        <w:t xml:space="preserve"> </w:t>
      </w:r>
      <w:r>
        <w:rPr>
          <w:sz w:val="18"/>
        </w:rPr>
        <w:t>Frazer,</w:t>
      </w:r>
      <w:r>
        <w:rPr>
          <w:spacing w:val="-2"/>
          <w:sz w:val="18"/>
        </w:rPr>
        <w:t xml:space="preserve"> </w:t>
      </w:r>
      <w:r>
        <w:rPr>
          <w:sz w:val="18"/>
        </w:rPr>
        <w:t>S.</w:t>
      </w:r>
      <w:r>
        <w:rPr>
          <w:spacing w:val="-2"/>
          <w:sz w:val="18"/>
        </w:rPr>
        <w:t xml:space="preserve"> </w:t>
      </w:r>
      <w:r>
        <w:rPr>
          <w:sz w:val="18"/>
        </w:rPr>
        <w:t>(2010).</w:t>
      </w:r>
      <w:r>
        <w:rPr>
          <w:spacing w:val="-2"/>
          <w:sz w:val="18"/>
        </w:rPr>
        <w:t xml:space="preserve"> </w:t>
      </w:r>
      <w:r>
        <w:rPr>
          <w:sz w:val="18"/>
        </w:rPr>
        <w:t>2010</w:t>
      </w:r>
      <w:r>
        <w:rPr>
          <w:spacing w:val="-2"/>
          <w:sz w:val="18"/>
        </w:rPr>
        <w:t xml:space="preserve"> </w:t>
      </w:r>
      <w:r>
        <w:rPr>
          <w:sz w:val="18"/>
        </w:rPr>
        <w:t>state</w:t>
      </w:r>
      <w:r>
        <w:rPr>
          <w:spacing w:val="-3"/>
          <w:sz w:val="18"/>
        </w:rPr>
        <w:t xml:space="preserve"> </w:t>
      </w:r>
      <w:r>
        <w:rPr>
          <w:sz w:val="18"/>
        </w:rPr>
        <w:t>of</w:t>
      </w:r>
      <w:r>
        <w:rPr>
          <w:spacing w:val="-2"/>
          <w:sz w:val="18"/>
        </w:rPr>
        <w:t xml:space="preserve"> </w:t>
      </w:r>
      <w:r>
        <w:rPr>
          <w:sz w:val="18"/>
        </w:rPr>
        <w:t>higher</w:t>
      </w:r>
      <w:r>
        <w:rPr>
          <w:spacing w:val="-3"/>
          <w:sz w:val="18"/>
        </w:rPr>
        <w:t xml:space="preserve"> </w:t>
      </w:r>
      <w:r>
        <w:rPr>
          <w:sz w:val="18"/>
        </w:rPr>
        <w:t>education</w:t>
      </w:r>
      <w:r>
        <w:rPr>
          <w:spacing w:val="-3"/>
          <w:sz w:val="18"/>
        </w:rPr>
        <w:t xml:space="preserve"> </w:t>
      </w:r>
      <w:r>
        <w:rPr>
          <w:sz w:val="18"/>
        </w:rPr>
        <w:t>for</w:t>
      </w:r>
      <w:r>
        <w:rPr>
          <w:spacing w:val="-3"/>
          <w:sz w:val="18"/>
        </w:rPr>
        <w:t xml:space="preserve"> </w:t>
      </w:r>
      <w:r>
        <w:rPr>
          <w:sz w:val="18"/>
        </w:rPr>
        <w:t>lesbian,</w:t>
      </w:r>
      <w:r>
        <w:rPr>
          <w:spacing w:val="-2"/>
          <w:sz w:val="18"/>
        </w:rPr>
        <w:t xml:space="preserve"> </w:t>
      </w:r>
      <w:r>
        <w:rPr>
          <w:sz w:val="18"/>
        </w:rPr>
        <w:t>gay,</w:t>
      </w:r>
      <w:r>
        <w:rPr>
          <w:spacing w:val="-2"/>
          <w:sz w:val="18"/>
        </w:rPr>
        <w:t xml:space="preserve"> </w:t>
      </w:r>
      <w:r>
        <w:rPr>
          <w:sz w:val="18"/>
        </w:rPr>
        <w:t>bisexual,</w:t>
      </w:r>
      <w:r>
        <w:rPr>
          <w:spacing w:val="-2"/>
          <w:sz w:val="18"/>
        </w:rPr>
        <w:t xml:space="preserve"> </w:t>
      </w:r>
      <w:r>
        <w:rPr>
          <w:sz w:val="18"/>
        </w:rPr>
        <w:t xml:space="preserve">and transgender people. Campus Pride. Retrieved from </w:t>
      </w:r>
      <w:hyperlink r:id="rId774">
        <w:r>
          <w:rPr>
            <w:sz w:val="18"/>
          </w:rPr>
          <w:t>http://www.campuspride.org/</w:t>
        </w:r>
      </w:hyperlink>
      <w:r>
        <w:rPr>
          <w:sz w:val="18"/>
        </w:rPr>
        <w:t xml:space="preserve"> </w:t>
      </w:r>
      <w:r>
        <w:rPr>
          <w:spacing w:val="-2"/>
          <w:sz w:val="18"/>
        </w:rPr>
        <w:t>Campus%20Pride%202010%20LGBT%20Report%20Summary.pdf</w:t>
      </w:r>
    </w:p>
    <w:p w:rsidR="00200FDA" w:rsidRDefault="00F76C4C">
      <w:pPr>
        <w:ind w:left="280" w:right="1095" w:hanging="1"/>
        <w:rPr>
          <w:sz w:val="18"/>
        </w:rPr>
      </w:pPr>
      <w:r>
        <w:rPr>
          <w:position w:val="5"/>
          <w:sz w:val="12"/>
        </w:rPr>
        <w:t>2</w:t>
      </w:r>
      <w:r>
        <w:rPr>
          <w:spacing w:val="15"/>
          <w:position w:val="5"/>
          <w:sz w:val="12"/>
        </w:rPr>
        <w:t xml:space="preserve"> </w:t>
      </w:r>
      <w:r>
        <w:rPr>
          <w:sz w:val="18"/>
        </w:rPr>
        <w:t>Lust, K. (2011). College Student Health Survey Report 2007–2011: Health an</w:t>
      </w:r>
      <w:r>
        <w:rPr>
          <w:sz w:val="18"/>
        </w:rPr>
        <w:t>d Health-Related Behaviors Minnesota Postsecondary</w:t>
      </w:r>
      <w:r>
        <w:rPr>
          <w:spacing w:val="-3"/>
          <w:sz w:val="18"/>
        </w:rPr>
        <w:t xml:space="preserve"> </w:t>
      </w:r>
      <w:r>
        <w:rPr>
          <w:sz w:val="18"/>
        </w:rPr>
        <w:t>Lesbian,</w:t>
      </w:r>
      <w:r>
        <w:rPr>
          <w:spacing w:val="-3"/>
          <w:sz w:val="18"/>
        </w:rPr>
        <w:t xml:space="preserve"> </w:t>
      </w:r>
      <w:r>
        <w:rPr>
          <w:sz w:val="18"/>
        </w:rPr>
        <w:t>Gay,</w:t>
      </w:r>
      <w:r>
        <w:rPr>
          <w:spacing w:val="-3"/>
          <w:sz w:val="18"/>
        </w:rPr>
        <w:t xml:space="preserve"> </w:t>
      </w:r>
      <w:r>
        <w:rPr>
          <w:sz w:val="18"/>
        </w:rPr>
        <w:t>and</w:t>
      </w:r>
      <w:r>
        <w:rPr>
          <w:spacing w:val="-2"/>
          <w:sz w:val="18"/>
        </w:rPr>
        <w:t xml:space="preserve"> </w:t>
      </w:r>
      <w:r>
        <w:rPr>
          <w:sz w:val="18"/>
        </w:rPr>
        <w:t>Bisexual</w:t>
      </w:r>
      <w:r>
        <w:rPr>
          <w:spacing w:val="-4"/>
          <w:sz w:val="18"/>
        </w:rPr>
        <w:t xml:space="preserve"> </w:t>
      </w:r>
      <w:r>
        <w:rPr>
          <w:sz w:val="18"/>
        </w:rPr>
        <w:t>Students.</w:t>
      </w:r>
      <w:r>
        <w:rPr>
          <w:spacing w:val="-3"/>
          <w:sz w:val="18"/>
        </w:rPr>
        <w:t xml:space="preserve"> </w:t>
      </w:r>
      <w:r>
        <w:rPr>
          <w:sz w:val="18"/>
        </w:rPr>
        <w:t>Boynton</w:t>
      </w:r>
      <w:r>
        <w:rPr>
          <w:spacing w:val="-4"/>
          <w:sz w:val="18"/>
        </w:rPr>
        <w:t xml:space="preserve"> </w:t>
      </w:r>
      <w:r>
        <w:rPr>
          <w:sz w:val="18"/>
        </w:rPr>
        <w:t>Health</w:t>
      </w:r>
      <w:r>
        <w:rPr>
          <w:spacing w:val="-4"/>
          <w:sz w:val="18"/>
        </w:rPr>
        <w:t xml:space="preserve"> </w:t>
      </w:r>
      <w:r>
        <w:rPr>
          <w:sz w:val="18"/>
        </w:rPr>
        <w:t>Service,</w:t>
      </w:r>
      <w:r>
        <w:rPr>
          <w:spacing w:val="-3"/>
          <w:sz w:val="18"/>
        </w:rPr>
        <w:t xml:space="preserve"> </w:t>
      </w:r>
      <w:r>
        <w:rPr>
          <w:sz w:val="18"/>
        </w:rPr>
        <w:t>University</w:t>
      </w:r>
      <w:r>
        <w:rPr>
          <w:spacing w:val="-3"/>
          <w:sz w:val="18"/>
        </w:rPr>
        <w:t xml:space="preserve"> </w:t>
      </w:r>
      <w:r>
        <w:rPr>
          <w:sz w:val="18"/>
        </w:rPr>
        <w:t>of</w:t>
      </w:r>
      <w:r>
        <w:rPr>
          <w:spacing w:val="-3"/>
          <w:sz w:val="18"/>
        </w:rPr>
        <w:t xml:space="preserve"> </w:t>
      </w:r>
      <w:r>
        <w:rPr>
          <w:sz w:val="18"/>
        </w:rPr>
        <w:t>Minnesota.</w:t>
      </w:r>
      <w:r>
        <w:rPr>
          <w:spacing w:val="-3"/>
          <w:sz w:val="18"/>
        </w:rPr>
        <w:t xml:space="preserve"> </w:t>
      </w:r>
      <w:r>
        <w:rPr>
          <w:sz w:val="18"/>
        </w:rPr>
        <w:t>Retrieved</w:t>
      </w:r>
      <w:r>
        <w:rPr>
          <w:spacing w:val="-4"/>
          <w:sz w:val="18"/>
        </w:rPr>
        <w:t xml:space="preserve"> </w:t>
      </w:r>
      <w:r>
        <w:rPr>
          <w:sz w:val="18"/>
        </w:rPr>
        <w:t xml:space="preserve">from </w:t>
      </w:r>
      <w:hyperlink r:id="rId775">
        <w:r>
          <w:rPr>
            <w:spacing w:val="-2"/>
            <w:sz w:val="18"/>
          </w:rPr>
          <w:t>http://www.bhs.umn.edu/surveys/survey-results/2007-2011_LGB_CSHSReport.pdf</w:t>
        </w:r>
      </w:hyperlink>
    </w:p>
    <w:p w:rsidR="00200FDA" w:rsidRDefault="00F76C4C">
      <w:pPr>
        <w:ind w:left="280"/>
        <w:rPr>
          <w:sz w:val="18"/>
        </w:rPr>
      </w:pPr>
      <w:r>
        <w:rPr>
          <w:position w:val="5"/>
          <w:sz w:val="12"/>
        </w:rPr>
        <w:t>3</w:t>
      </w:r>
      <w:r>
        <w:rPr>
          <w:spacing w:val="11"/>
          <w:position w:val="5"/>
          <w:sz w:val="12"/>
        </w:rPr>
        <w:t xml:space="preserve"> </w:t>
      </w:r>
      <w:r>
        <w:rPr>
          <w:sz w:val="18"/>
        </w:rPr>
        <w:t>Lust,</w:t>
      </w:r>
      <w:r>
        <w:rPr>
          <w:spacing w:val="-1"/>
          <w:sz w:val="18"/>
        </w:rPr>
        <w:t xml:space="preserve"> </w:t>
      </w:r>
      <w:r>
        <w:rPr>
          <w:spacing w:val="-5"/>
          <w:sz w:val="18"/>
        </w:rPr>
        <w:t>K.</w:t>
      </w:r>
    </w:p>
    <w:p w:rsidR="00200FDA" w:rsidRDefault="00F76C4C">
      <w:pPr>
        <w:ind w:left="280" w:right="139" w:hanging="1"/>
        <w:rPr>
          <w:sz w:val="18"/>
        </w:rPr>
      </w:pPr>
      <w:r>
        <w:rPr>
          <w:position w:val="5"/>
          <w:sz w:val="12"/>
        </w:rPr>
        <w:t>4</w:t>
      </w:r>
      <w:r>
        <w:rPr>
          <w:spacing w:val="10"/>
          <w:position w:val="5"/>
          <w:sz w:val="12"/>
        </w:rPr>
        <w:t xml:space="preserve"> </w:t>
      </w:r>
      <w:r>
        <w:rPr>
          <w:color w:val="313131"/>
          <w:sz w:val="18"/>
        </w:rPr>
        <w:t>Heck,</w:t>
      </w:r>
      <w:r>
        <w:rPr>
          <w:color w:val="313131"/>
          <w:spacing w:val="-2"/>
          <w:sz w:val="18"/>
        </w:rPr>
        <w:t xml:space="preserve"> </w:t>
      </w:r>
      <w:r>
        <w:rPr>
          <w:color w:val="313131"/>
          <w:sz w:val="18"/>
        </w:rPr>
        <w:t>N.</w:t>
      </w:r>
      <w:r>
        <w:rPr>
          <w:color w:val="313131"/>
          <w:spacing w:val="-2"/>
          <w:sz w:val="18"/>
        </w:rPr>
        <w:t xml:space="preserve"> </w:t>
      </w:r>
      <w:r>
        <w:rPr>
          <w:color w:val="313131"/>
          <w:sz w:val="18"/>
        </w:rPr>
        <w:t>C.,</w:t>
      </w:r>
      <w:r>
        <w:rPr>
          <w:color w:val="313131"/>
          <w:spacing w:val="-2"/>
          <w:sz w:val="18"/>
        </w:rPr>
        <w:t xml:space="preserve"> </w:t>
      </w:r>
      <w:r>
        <w:rPr>
          <w:color w:val="313131"/>
          <w:sz w:val="18"/>
        </w:rPr>
        <w:t>Poteat,</w:t>
      </w:r>
      <w:r>
        <w:rPr>
          <w:color w:val="313131"/>
          <w:spacing w:val="-4"/>
          <w:sz w:val="18"/>
        </w:rPr>
        <w:t xml:space="preserve"> </w:t>
      </w:r>
      <w:r>
        <w:rPr>
          <w:color w:val="313131"/>
          <w:sz w:val="18"/>
        </w:rPr>
        <w:t>V.</w:t>
      </w:r>
      <w:r>
        <w:rPr>
          <w:color w:val="313131"/>
          <w:spacing w:val="-2"/>
          <w:sz w:val="18"/>
        </w:rPr>
        <w:t xml:space="preserve"> </w:t>
      </w:r>
      <w:r>
        <w:rPr>
          <w:color w:val="313131"/>
          <w:sz w:val="18"/>
        </w:rPr>
        <w:t>P.,</w:t>
      </w:r>
      <w:r>
        <w:rPr>
          <w:color w:val="313131"/>
          <w:spacing w:val="-2"/>
          <w:sz w:val="18"/>
        </w:rPr>
        <w:t xml:space="preserve"> </w:t>
      </w:r>
      <w:r>
        <w:rPr>
          <w:color w:val="313131"/>
          <w:sz w:val="18"/>
        </w:rPr>
        <w:t>&amp;</w:t>
      </w:r>
      <w:r>
        <w:rPr>
          <w:color w:val="313131"/>
          <w:spacing w:val="-3"/>
          <w:sz w:val="18"/>
        </w:rPr>
        <w:t xml:space="preserve"> </w:t>
      </w:r>
      <w:r>
        <w:rPr>
          <w:color w:val="313131"/>
          <w:sz w:val="18"/>
        </w:rPr>
        <w:t>Goodenow,</w:t>
      </w:r>
      <w:r>
        <w:rPr>
          <w:color w:val="313131"/>
          <w:spacing w:val="-2"/>
          <w:sz w:val="18"/>
        </w:rPr>
        <w:t xml:space="preserve"> </w:t>
      </w:r>
      <w:r>
        <w:rPr>
          <w:color w:val="313131"/>
          <w:sz w:val="18"/>
        </w:rPr>
        <w:t>C.</w:t>
      </w:r>
      <w:r>
        <w:rPr>
          <w:color w:val="313131"/>
          <w:spacing w:val="-2"/>
          <w:sz w:val="18"/>
        </w:rPr>
        <w:t xml:space="preserve"> </w:t>
      </w:r>
      <w:r>
        <w:rPr>
          <w:color w:val="313131"/>
          <w:sz w:val="18"/>
        </w:rPr>
        <w:t>S.</w:t>
      </w:r>
      <w:r>
        <w:rPr>
          <w:color w:val="313131"/>
          <w:spacing w:val="-2"/>
          <w:sz w:val="18"/>
        </w:rPr>
        <w:t xml:space="preserve"> </w:t>
      </w:r>
      <w:r>
        <w:rPr>
          <w:color w:val="313131"/>
          <w:sz w:val="18"/>
        </w:rPr>
        <w:t>(2016).</w:t>
      </w:r>
      <w:r>
        <w:rPr>
          <w:color w:val="313131"/>
          <w:spacing w:val="-2"/>
          <w:sz w:val="18"/>
        </w:rPr>
        <w:t xml:space="preserve"> </w:t>
      </w:r>
      <w:r>
        <w:rPr>
          <w:color w:val="313131"/>
          <w:sz w:val="18"/>
        </w:rPr>
        <w:t>Advances</w:t>
      </w:r>
      <w:r>
        <w:rPr>
          <w:color w:val="313131"/>
          <w:spacing w:val="-3"/>
          <w:sz w:val="18"/>
        </w:rPr>
        <w:t xml:space="preserve"> </w:t>
      </w:r>
      <w:r>
        <w:rPr>
          <w:color w:val="313131"/>
          <w:sz w:val="18"/>
        </w:rPr>
        <w:t>in</w:t>
      </w:r>
      <w:r>
        <w:rPr>
          <w:color w:val="313131"/>
          <w:spacing w:val="-1"/>
          <w:sz w:val="18"/>
        </w:rPr>
        <w:t xml:space="preserve"> </w:t>
      </w:r>
      <w:r>
        <w:rPr>
          <w:color w:val="313131"/>
          <w:sz w:val="18"/>
        </w:rPr>
        <w:t>research</w:t>
      </w:r>
      <w:r>
        <w:rPr>
          <w:color w:val="313131"/>
          <w:spacing w:val="-3"/>
          <w:sz w:val="18"/>
        </w:rPr>
        <w:t xml:space="preserve"> </w:t>
      </w:r>
      <w:r>
        <w:rPr>
          <w:color w:val="313131"/>
          <w:sz w:val="18"/>
        </w:rPr>
        <w:t>with</w:t>
      </w:r>
      <w:r>
        <w:rPr>
          <w:color w:val="313131"/>
          <w:spacing w:val="-3"/>
          <w:sz w:val="18"/>
        </w:rPr>
        <w:t xml:space="preserve"> </w:t>
      </w:r>
      <w:r>
        <w:rPr>
          <w:color w:val="313131"/>
          <w:sz w:val="18"/>
        </w:rPr>
        <w:t>LGBTQ</w:t>
      </w:r>
      <w:r>
        <w:rPr>
          <w:color w:val="313131"/>
          <w:spacing w:val="-3"/>
          <w:sz w:val="18"/>
        </w:rPr>
        <w:t xml:space="preserve"> </w:t>
      </w:r>
      <w:r>
        <w:rPr>
          <w:color w:val="313131"/>
          <w:sz w:val="18"/>
        </w:rPr>
        <w:t>youth</w:t>
      </w:r>
      <w:r>
        <w:rPr>
          <w:color w:val="313131"/>
          <w:spacing w:val="-3"/>
          <w:sz w:val="18"/>
        </w:rPr>
        <w:t xml:space="preserve"> </w:t>
      </w:r>
      <w:r>
        <w:rPr>
          <w:color w:val="313131"/>
          <w:sz w:val="18"/>
        </w:rPr>
        <w:t>in</w:t>
      </w:r>
      <w:r>
        <w:rPr>
          <w:color w:val="313131"/>
          <w:spacing w:val="-1"/>
          <w:sz w:val="18"/>
        </w:rPr>
        <w:t xml:space="preserve"> </w:t>
      </w:r>
      <w:r>
        <w:rPr>
          <w:color w:val="313131"/>
          <w:sz w:val="18"/>
        </w:rPr>
        <w:t>schools.</w:t>
      </w:r>
      <w:r>
        <w:rPr>
          <w:color w:val="313131"/>
          <w:spacing w:val="-2"/>
          <w:sz w:val="18"/>
        </w:rPr>
        <w:t xml:space="preserve"> </w:t>
      </w:r>
      <w:r>
        <w:rPr>
          <w:i/>
          <w:color w:val="313131"/>
          <w:sz w:val="18"/>
        </w:rPr>
        <w:t>Psychology</w:t>
      </w:r>
      <w:r>
        <w:rPr>
          <w:i/>
          <w:color w:val="313131"/>
          <w:spacing w:val="-1"/>
          <w:sz w:val="18"/>
        </w:rPr>
        <w:t xml:space="preserve"> </w:t>
      </w:r>
      <w:r>
        <w:rPr>
          <w:i/>
          <w:color w:val="313131"/>
          <w:sz w:val="18"/>
        </w:rPr>
        <w:t>of</w:t>
      </w:r>
      <w:r>
        <w:rPr>
          <w:i/>
          <w:color w:val="313131"/>
          <w:spacing w:val="-2"/>
          <w:sz w:val="18"/>
        </w:rPr>
        <w:t xml:space="preserve"> </w:t>
      </w:r>
      <w:r>
        <w:rPr>
          <w:i/>
          <w:color w:val="313131"/>
          <w:sz w:val="18"/>
        </w:rPr>
        <w:t>Sexual Orientation and Gender Diversity, 3</w:t>
      </w:r>
      <w:r>
        <w:rPr>
          <w:color w:val="313131"/>
          <w:sz w:val="18"/>
        </w:rPr>
        <w:t>(4), 381–385. https://doi.org/10.1037/sgd0000206</w:t>
      </w:r>
    </w:p>
    <w:p w:rsidR="00200FDA" w:rsidRDefault="00F76C4C">
      <w:pPr>
        <w:ind w:left="280" w:right="139" w:hanging="1"/>
        <w:rPr>
          <w:sz w:val="18"/>
        </w:rPr>
      </w:pPr>
      <w:r>
        <w:rPr>
          <w:position w:val="5"/>
          <w:sz w:val="12"/>
        </w:rPr>
        <w:t>5</w:t>
      </w:r>
      <w:r>
        <w:rPr>
          <w:spacing w:val="10"/>
          <w:position w:val="5"/>
          <w:sz w:val="12"/>
        </w:rPr>
        <w:t xml:space="preserve"> </w:t>
      </w:r>
      <w:r>
        <w:rPr>
          <w:sz w:val="18"/>
        </w:rPr>
        <w:t>“Campus</w:t>
      </w:r>
      <w:r>
        <w:rPr>
          <w:spacing w:val="-1"/>
          <w:sz w:val="18"/>
        </w:rPr>
        <w:t xml:space="preserve"> </w:t>
      </w:r>
      <w:r>
        <w:rPr>
          <w:sz w:val="18"/>
        </w:rPr>
        <w:t>Safety</w:t>
      </w:r>
      <w:r>
        <w:rPr>
          <w:spacing w:val="-2"/>
          <w:sz w:val="18"/>
        </w:rPr>
        <w:t xml:space="preserve"> </w:t>
      </w:r>
      <w:r>
        <w:rPr>
          <w:sz w:val="18"/>
        </w:rPr>
        <w:t>&amp;</w:t>
      </w:r>
      <w:r>
        <w:rPr>
          <w:spacing w:val="-3"/>
          <w:sz w:val="18"/>
        </w:rPr>
        <w:t xml:space="preserve"> </w:t>
      </w:r>
      <w:r>
        <w:rPr>
          <w:sz w:val="18"/>
        </w:rPr>
        <w:t>Violence</w:t>
      </w:r>
      <w:r>
        <w:rPr>
          <w:spacing w:val="-3"/>
          <w:sz w:val="18"/>
        </w:rPr>
        <w:t xml:space="preserve"> </w:t>
      </w:r>
      <w:r>
        <w:rPr>
          <w:sz w:val="18"/>
        </w:rPr>
        <w:t>Prevention</w:t>
      </w:r>
      <w:r>
        <w:rPr>
          <w:spacing w:val="-3"/>
          <w:sz w:val="18"/>
        </w:rPr>
        <w:t xml:space="preserve"> </w:t>
      </w:r>
      <w:r>
        <w:rPr>
          <w:sz w:val="18"/>
        </w:rPr>
        <w:t>/</w:t>
      </w:r>
      <w:r>
        <w:rPr>
          <w:spacing w:val="-2"/>
          <w:sz w:val="18"/>
        </w:rPr>
        <w:t xml:space="preserve"> </w:t>
      </w:r>
      <w:r>
        <w:rPr>
          <w:sz w:val="18"/>
        </w:rPr>
        <w:t>Strategic</w:t>
      </w:r>
      <w:r>
        <w:rPr>
          <w:spacing w:val="-2"/>
          <w:sz w:val="18"/>
        </w:rPr>
        <w:t xml:space="preserve"> </w:t>
      </w:r>
      <w:r>
        <w:rPr>
          <w:sz w:val="18"/>
        </w:rPr>
        <w:t>Initiatives</w:t>
      </w:r>
      <w:r>
        <w:rPr>
          <w:spacing w:val="-3"/>
          <w:sz w:val="18"/>
        </w:rPr>
        <w:t xml:space="preserve"> </w:t>
      </w:r>
      <w:r>
        <w:rPr>
          <w:sz w:val="18"/>
        </w:rPr>
        <w:t>/</w:t>
      </w:r>
      <w:r>
        <w:rPr>
          <w:spacing w:val="-2"/>
          <w:sz w:val="18"/>
        </w:rPr>
        <w:t xml:space="preserve"> </w:t>
      </w:r>
      <w:r>
        <w:rPr>
          <w:sz w:val="18"/>
        </w:rPr>
        <w:t>Massachusetts</w:t>
      </w:r>
      <w:r>
        <w:rPr>
          <w:spacing w:val="-3"/>
          <w:sz w:val="18"/>
        </w:rPr>
        <w:t xml:space="preserve"> </w:t>
      </w:r>
      <w:r>
        <w:rPr>
          <w:sz w:val="18"/>
        </w:rPr>
        <w:t>Department</w:t>
      </w:r>
      <w:r>
        <w:rPr>
          <w:spacing w:val="-3"/>
          <w:sz w:val="18"/>
        </w:rPr>
        <w:t xml:space="preserve"> </w:t>
      </w:r>
      <w:r>
        <w:rPr>
          <w:sz w:val="18"/>
        </w:rPr>
        <w:t>of</w:t>
      </w:r>
      <w:r>
        <w:rPr>
          <w:spacing w:val="-2"/>
          <w:sz w:val="18"/>
        </w:rPr>
        <w:t xml:space="preserve"> </w:t>
      </w:r>
      <w:r>
        <w:rPr>
          <w:sz w:val="18"/>
        </w:rPr>
        <w:t>Higher</w:t>
      </w:r>
      <w:r>
        <w:rPr>
          <w:spacing w:val="-3"/>
          <w:sz w:val="18"/>
        </w:rPr>
        <w:t xml:space="preserve"> </w:t>
      </w:r>
      <w:r>
        <w:rPr>
          <w:sz w:val="18"/>
        </w:rPr>
        <w:t>Education,”</w:t>
      </w:r>
      <w:r>
        <w:rPr>
          <w:spacing w:val="-3"/>
          <w:sz w:val="18"/>
        </w:rPr>
        <w:t xml:space="preserve"> </w:t>
      </w:r>
      <w:r>
        <w:rPr>
          <w:sz w:val="18"/>
        </w:rPr>
        <w:t>accessed</w:t>
      </w:r>
      <w:r>
        <w:rPr>
          <w:spacing w:val="-3"/>
          <w:sz w:val="18"/>
        </w:rPr>
        <w:t xml:space="preserve"> </w:t>
      </w:r>
      <w:r>
        <w:rPr>
          <w:sz w:val="18"/>
        </w:rPr>
        <w:t>April 25, 2023, https://</w:t>
      </w:r>
      <w:hyperlink r:id="rId776">
        <w:r>
          <w:rPr>
            <w:sz w:val="18"/>
          </w:rPr>
          <w:t>www.</w:t>
        </w:r>
        <w:r>
          <w:rPr>
            <w:sz w:val="18"/>
          </w:rPr>
          <w:t>mass.edu/strategic/csvp.asp.</w:t>
        </w:r>
      </w:hyperlink>
    </w:p>
    <w:p w:rsidR="00200FDA" w:rsidRDefault="00F76C4C">
      <w:pPr>
        <w:spacing w:line="219" w:lineRule="exact"/>
        <w:ind w:left="280"/>
        <w:rPr>
          <w:sz w:val="18"/>
        </w:rPr>
      </w:pPr>
      <w:r>
        <w:rPr>
          <w:position w:val="5"/>
          <w:sz w:val="12"/>
        </w:rPr>
        <w:t>6</w:t>
      </w:r>
      <w:r>
        <w:rPr>
          <w:spacing w:val="7"/>
          <w:position w:val="5"/>
          <w:sz w:val="12"/>
        </w:rPr>
        <w:t xml:space="preserve"> </w:t>
      </w:r>
      <w:r>
        <w:rPr>
          <w:sz w:val="18"/>
        </w:rPr>
        <w:t>“Campus</w:t>
      </w:r>
      <w:r>
        <w:rPr>
          <w:spacing w:val="-3"/>
          <w:sz w:val="18"/>
        </w:rPr>
        <w:t xml:space="preserve"> </w:t>
      </w:r>
      <w:r>
        <w:rPr>
          <w:sz w:val="18"/>
        </w:rPr>
        <w:t>Pride</w:t>
      </w:r>
      <w:r>
        <w:rPr>
          <w:spacing w:val="-3"/>
          <w:sz w:val="18"/>
        </w:rPr>
        <w:t xml:space="preserve"> </w:t>
      </w:r>
      <w:r>
        <w:rPr>
          <w:sz w:val="18"/>
        </w:rPr>
        <w:t>Index,”</w:t>
      </w:r>
      <w:r>
        <w:rPr>
          <w:spacing w:val="-3"/>
          <w:sz w:val="18"/>
        </w:rPr>
        <w:t xml:space="preserve"> </w:t>
      </w:r>
      <w:r>
        <w:rPr>
          <w:sz w:val="18"/>
        </w:rPr>
        <w:t>accessed</w:t>
      </w:r>
      <w:r>
        <w:rPr>
          <w:spacing w:val="-1"/>
          <w:sz w:val="18"/>
        </w:rPr>
        <w:t xml:space="preserve"> </w:t>
      </w:r>
      <w:r>
        <w:rPr>
          <w:sz w:val="18"/>
        </w:rPr>
        <w:t>January</w:t>
      </w:r>
      <w:r>
        <w:rPr>
          <w:spacing w:val="-2"/>
          <w:sz w:val="18"/>
        </w:rPr>
        <w:t xml:space="preserve"> </w:t>
      </w:r>
      <w:r>
        <w:rPr>
          <w:sz w:val="18"/>
        </w:rPr>
        <w:t>5,</w:t>
      </w:r>
      <w:r>
        <w:rPr>
          <w:spacing w:val="-2"/>
          <w:sz w:val="18"/>
        </w:rPr>
        <w:t xml:space="preserve"> </w:t>
      </w:r>
      <w:r>
        <w:rPr>
          <w:sz w:val="18"/>
        </w:rPr>
        <w:t>2023,</w:t>
      </w:r>
      <w:r>
        <w:rPr>
          <w:spacing w:val="-2"/>
          <w:sz w:val="18"/>
        </w:rPr>
        <w:t xml:space="preserve"> https://</w:t>
      </w:r>
      <w:hyperlink r:id="rId777">
        <w:r>
          <w:rPr>
            <w:spacing w:val="-2"/>
            <w:sz w:val="18"/>
          </w:rPr>
          <w:t>www.campusprideindex.org/.</w:t>
        </w:r>
      </w:hyperlink>
    </w:p>
    <w:p w:rsidR="00200FDA" w:rsidRDefault="00F76C4C">
      <w:pPr>
        <w:ind w:left="280" w:right="308" w:hanging="1"/>
        <w:rPr>
          <w:sz w:val="18"/>
        </w:rPr>
      </w:pPr>
      <w:r>
        <w:rPr>
          <w:position w:val="5"/>
          <w:sz w:val="12"/>
        </w:rPr>
        <w:t>7</w:t>
      </w:r>
      <w:r>
        <w:rPr>
          <w:spacing w:val="10"/>
          <w:position w:val="5"/>
          <w:sz w:val="12"/>
        </w:rPr>
        <w:t xml:space="preserve"> </w:t>
      </w:r>
      <w:r>
        <w:rPr>
          <w:sz w:val="18"/>
        </w:rPr>
        <w:t>Alene</w:t>
      </w:r>
      <w:r>
        <w:rPr>
          <w:spacing w:val="-3"/>
          <w:sz w:val="18"/>
        </w:rPr>
        <w:t xml:space="preserve"> </w:t>
      </w:r>
      <w:r>
        <w:rPr>
          <w:sz w:val="18"/>
        </w:rPr>
        <w:t>Bouranova,</w:t>
      </w:r>
      <w:r>
        <w:rPr>
          <w:spacing w:val="-2"/>
          <w:sz w:val="18"/>
        </w:rPr>
        <w:t xml:space="preserve"> </w:t>
      </w:r>
      <w:r>
        <w:rPr>
          <w:sz w:val="18"/>
        </w:rPr>
        <w:t>“LGBTQIA+</w:t>
      </w:r>
      <w:r>
        <w:rPr>
          <w:spacing w:val="-3"/>
          <w:sz w:val="18"/>
        </w:rPr>
        <w:t xml:space="preserve"> </w:t>
      </w:r>
      <w:r>
        <w:rPr>
          <w:sz w:val="18"/>
        </w:rPr>
        <w:t>BU</w:t>
      </w:r>
      <w:r>
        <w:rPr>
          <w:spacing w:val="-3"/>
          <w:sz w:val="18"/>
        </w:rPr>
        <w:t xml:space="preserve"> </w:t>
      </w:r>
      <w:r>
        <w:rPr>
          <w:sz w:val="18"/>
        </w:rPr>
        <w:t>Student</w:t>
      </w:r>
      <w:r>
        <w:rPr>
          <w:spacing w:val="-3"/>
          <w:sz w:val="18"/>
        </w:rPr>
        <w:t xml:space="preserve"> </w:t>
      </w:r>
      <w:r>
        <w:rPr>
          <w:sz w:val="18"/>
        </w:rPr>
        <w:t>Task</w:t>
      </w:r>
      <w:r>
        <w:rPr>
          <w:spacing w:val="-3"/>
          <w:sz w:val="18"/>
        </w:rPr>
        <w:t xml:space="preserve"> </w:t>
      </w:r>
      <w:r>
        <w:rPr>
          <w:sz w:val="18"/>
        </w:rPr>
        <w:t>Force</w:t>
      </w:r>
      <w:r>
        <w:rPr>
          <w:spacing w:val="-3"/>
          <w:sz w:val="18"/>
        </w:rPr>
        <w:t xml:space="preserve"> </w:t>
      </w:r>
      <w:r>
        <w:rPr>
          <w:sz w:val="18"/>
        </w:rPr>
        <w:t>Report</w:t>
      </w:r>
      <w:r>
        <w:rPr>
          <w:spacing w:val="-3"/>
          <w:sz w:val="18"/>
        </w:rPr>
        <w:t xml:space="preserve"> </w:t>
      </w:r>
      <w:r>
        <w:rPr>
          <w:sz w:val="18"/>
        </w:rPr>
        <w:t>Makes</w:t>
      </w:r>
      <w:r>
        <w:rPr>
          <w:spacing w:val="-3"/>
          <w:sz w:val="18"/>
        </w:rPr>
        <w:t xml:space="preserve"> </w:t>
      </w:r>
      <w:r>
        <w:rPr>
          <w:sz w:val="18"/>
        </w:rPr>
        <w:t>Recommendations</w:t>
      </w:r>
      <w:r>
        <w:rPr>
          <w:spacing w:val="-3"/>
          <w:sz w:val="18"/>
        </w:rPr>
        <w:t xml:space="preserve"> </w:t>
      </w:r>
      <w:r>
        <w:rPr>
          <w:sz w:val="18"/>
        </w:rPr>
        <w:t>for</w:t>
      </w:r>
      <w:r>
        <w:rPr>
          <w:spacing w:val="-3"/>
          <w:sz w:val="18"/>
        </w:rPr>
        <w:t xml:space="preserve"> </w:t>
      </w:r>
      <w:r>
        <w:rPr>
          <w:sz w:val="18"/>
        </w:rPr>
        <w:t>Achieving</w:t>
      </w:r>
      <w:r>
        <w:rPr>
          <w:spacing w:val="-3"/>
          <w:sz w:val="18"/>
        </w:rPr>
        <w:t xml:space="preserve"> </w:t>
      </w:r>
      <w:r>
        <w:rPr>
          <w:sz w:val="18"/>
        </w:rPr>
        <w:t>a</w:t>
      </w:r>
      <w:r>
        <w:rPr>
          <w:spacing w:val="-2"/>
          <w:sz w:val="18"/>
        </w:rPr>
        <w:t xml:space="preserve"> </w:t>
      </w:r>
      <w:r>
        <w:rPr>
          <w:sz w:val="18"/>
        </w:rPr>
        <w:t>More</w:t>
      </w:r>
      <w:r>
        <w:rPr>
          <w:spacing w:val="-3"/>
          <w:sz w:val="18"/>
        </w:rPr>
        <w:t xml:space="preserve"> </w:t>
      </w:r>
      <w:r>
        <w:rPr>
          <w:sz w:val="18"/>
        </w:rPr>
        <w:t>Inclusive</w:t>
      </w:r>
      <w:r>
        <w:rPr>
          <w:spacing w:val="-3"/>
          <w:sz w:val="18"/>
        </w:rPr>
        <w:t xml:space="preserve"> </w:t>
      </w:r>
      <w:r>
        <w:rPr>
          <w:sz w:val="18"/>
        </w:rPr>
        <w:t>BU,” Boston University, March 11, 2023, https://</w:t>
      </w:r>
      <w:hyperlink r:id="rId778">
        <w:r>
          <w:rPr>
            <w:sz w:val="18"/>
          </w:rPr>
          <w:t>www.bu.edu/articles/2023/lgbtqia-student-task-force-report-inclusive-bu/.</w:t>
        </w:r>
      </w:hyperlink>
    </w:p>
    <w:p w:rsidR="00200FDA" w:rsidRDefault="00F76C4C">
      <w:pPr>
        <w:spacing w:before="1"/>
        <w:ind w:left="280" w:right="453" w:hanging="1"/>
        <w:rPr>
          <w:sz w:val="18"/>
        </w:rPr>
      </w:pPr>
      <w:r>
        <w:rPr>
          <w:position w:val="5"/>
          <w:sz w:val="12"/>
        </w:rPr>
        <w:t>8</w:t>
      </w:r>
      <w:r>
        <w:rPr>
          <w:spacing w:val="9"/>
          <w:position w:val="5"/>
          <w:sz w:val="12"/>
        </w:rPr>
        <w:t xml:space="preserve"> </w:t>
      </w:r>
      <w:r>
        <w:rPr>
          <w:sz w:val="18"/>
        </w:rPr>
        <w:t>Alene</w:t>
      </w:r>
      <w:r>
        <w:rPr>
          <w:spacing w:val="-4"/>
          <w:sz w:val="18"/>
        </w:rPr>
        <w:t xml:space="preserve"> </w:t>
      </w:r>
      <w:r>
        <w:rPr>
          <w:sz w:val="18"/>
        </w:rPr>
        <w:t>Bouranova,</w:t>
      </w:r>
      <w:r>
        <w:rPr>
          <w:spacing w:val="-3"/>
          <w:sz w:val="18"/>
        </w:rPr>
        <w:t xml:space="preserve"> </w:t>
      </w:r>
      <w:r>
        <w:rPr>
          <w:sz w:val="18"/>
        </w:rPr>
        <w:t>“Boston</w:t>
      </w:r>
      <w:r>
        <w:rPr>
          <w:spacing w:val="-4"/>
          <w:sz w:val="18"/>
        </w:rPr>
        <w:t xml:space="preserve"> </w:t>
      </w:r>
      <w:r>
        <w:rPr>
          <w:sz w:val="18"/>
        </w:rPr>
        <w:t>University</w:t>
      </w:r>
      <w:r>
        <w:rPr>
          <w:spacing w:val="-3"/>
          <w:sz w:val="18"/>
        </w:rPr>
        <w:t xml:space="preserve"> </w:t>
      </w:r>
      <w:r>
        <w:rPr>
          <w:sz w:val="18"/>
        </w:rPr>
        <w:t>to</w:t>
      </w:r>
      <w:r>
        <w:rPr>
          <w:spacing w:val="-2"/>
          <w:sz w:val="18"/>
        </w:rPr>
        <w:t xml:space="preserve"> </w:t>
      </w:r>
      <w:r>
        <w:rPr>
          <w:sz w:val="18"/>
        </w:rPr>
        <w:t>Open</w:t>
      </w:r>
      <w:r>
        <w:rPr>
          <w:spacing w:val="-2"/>
          <w:sz w:val="18"/>
        </w:rPr>
        <w:t xml:space="preserve"> </w:t>
      </w:r>
      <w:r>
        <w:rPr>
          <w:sz w:val="18"/>
        </w:rPr>
        <w:t>New</w:t>
      </w:r>
      <w:r>
        <w:rPr>
          <w:spacing w:val="-2"/>
          <w:sz w:val="18"/>
        </w:rPr>
        <w:t xml:space="preserve"> </w:t>
      </w:r>
      <w:r>
        <w:rPr>
          <w:sz w:val="18"/>
        </w:rPr>
        <w:t>LGBTQIA+</w:t>
      </w:r>
      <w:r>
        <w:rPr>
          <w:spacing w:val="-4"/>
          <w:sz w:val="18"/>
        </w:rPr>
        <w:t xml:space="preserve"> </w:t>
      </w:r>
      <w:r>
        <w:rPr>
          <w:sz w:val="18"/>
        </w:rPr>
        <w:t>Student</w:t>
      </w:r>
      <w:r>
        <w:rPr>
          <w:spacing w:val="-4"/>
          <w:sz w:val="18"/>
        </w:rPr>
        <w:t xml:space="preserve"> </w:t>
      </w:r>
      <w:r>
        <w:rPr>
          <w:sz w:val="18"/>
        </w:rPr>
        <w:t>Resource</w:t>
      </w:r>
      <w:r>
        <w:rPr>
          <w:spacing w:val="-4"/>
          <w:sz w:val="18"/>
        </w:rPr>
        <w:t xml:space="preserve"> </w:t>
      </w:r>
      <w:r>
        <w:rPr>
          <w:sz w:val="18"/>
        </w:rPr>
        <w:t>Center,”</w:t>
      </w:r>
      <w:r>
        <w:rPr>
          <w:spacing w:val="-4"/>
          <w:sz w:val="18"/>
        </w:rPr>
        <w:t xml:space="preserve"> </w:t>
      </w:r>
      <w:r>
        <w:rPr>
          <w:sz w:val="18"/>
        </w:rPr>
        <w:t>Boston</w:t>
      </w:r>
      <w:r>
        <w:rPr>
          <w:spacing w:val="-4"/>
          <w:sz w:val="18"/>
        </w:rPr>
        <w:t xml:space="preserve"> </w:t>
      </w:r>
      <w:r>
        <w:rPr>
          <w:sz w:val="18"/>
        </w:rPr>
        <w:t>University,</w:t>
      </w:r>
      <w:r>
        <w:rPr>
          <w:spacing w:val="-3"/>
          <w:sz w:val="18"/>
        </w:rPr>
        <w:t xml:space="preserve"> </w:t>
      </w:r>
      <w:r>
        <w:rPr>
          <w:sz w:val="18"/>
        </w:rPr>
        <w:t>February</w:t>
      </w:r>
      <w:r>
        <w:rPr>
          <w:spacing w:val="-3"/>
          <w:sz w:val="18"/>
        </w:rPr>
        <w:t xml:space="preserve"> </w:t>
      </w:r>
      <w:r>
        <w:rPr>
          <w:sz w:val="18"/>
        </w:rPr>
        <w:t>23, 2023, https://</w:t>
      </w:r>
      <w:hyperlink r:id="rId779">
        <w:r>
          <w:rPr>
            <w:sz w:val="18"/>
          </w:rPr>
          <w:t>www.bu.edu/articles/2023/boston-university-new-lgbtqia-student-resource-center/.</w:t>
        </w:r>
      </w:hyperlink>
    </w:p>
    <w:p w:rsidR="00200FDA" w:rsidRDefault="00200FDA">
      <w:pPr>
        <w:rPr>
          <w:sz w:val="18"/>
        </w:rPr>
        <w:sectPr w:rsidR="00200FDA">
          <w:pgSz w:w="12240" w:h="15840"/>
          <w:pgMar w:top="1260" w:right="1160" w:bottom="1240" w:left="1160" w:header="761" w:footer="1043" w:gutter="0"/>
          <w:cols w:space="720"/>
        </w:sectPr>
      </w:pPr>
    </w:p>
    <w:p w:rsidR="00200FDA" w:rsidRDefault="00200FDA">
      <w:pPr>
        <w:pStyle w:val="BodyText"/>
        <w:spacing w:before="10"/>
        <w:rPr>
          <w:sz w:val="10"/>
        </w:rPr>
      </w:pPr>
    </w:p>
    <w:p w:rsidR="00200FDA" w:rsidRDefault="00F76C4C">
      <w:pPr>
        <w:spacing w:before="35"/>
        <w:ind w:left="280"/>
        <w:rPr>
          <w:sz w:val="32"/>
        </w:rPr>
      </w:pPr>
      <w:r>
        <w:pict>
          <v:rect id="docshape513" o:spid="_x0000_s1103" style="position:absolute;left:0;text-align:left;margin-left:70.55pt;margin-top:22.25pt;width:470.9pt;height:.5pt;z-index:-15629312;mso-wrap-distance-left:0;mso-wrap-distance-right:0;mso-position-horizontal-relative:page" fillcolor="#4f81bc" stroked="f">
            <w10:wrap type="topAndBottom" anchorx="page"/>
          </v:rect>
        </w:pict>
      </w:r>
      <w:bookmarkStart w:id="1071" w:name="FY2024_DESE_Recommendations_-_Final.pdf"/>
      <w:bookmarkStart w:id="1072" w:name="Department_of_Elementary_and_Secondary_E"/>
      <w:bookmarkStart w:id="1073" w:name="_bookmark857"/>
      <w:bookmarkEnd w:id="1071"/>
      <w:bookmarkEnd w:id="1072"/>
      <w:bookmarkEnd w:id="1073"/>
      <w:r>
        <w:rPr>
          <w:color w:val="365F91"/>
          <w:sz w:val="32"/>
        </w:rPr>
        <w:t>Department</w:t>
      </w:r>
      <w:r>
        <w:rPr>
          <w:color w:val="365F91"/>
          <w:spacing w:val="-9"/>
          <w:sz w:val="32"/>
        </w:rPr>
        <w:t xml:space="preserve"> </w:t>
      </w:r>
      <w:r>
        <w:rPr>
          <w:color w:val="365F91"/>
          <w:sz w:val="32"/>
        </w:rPr>
        <w:t>of</w:t>
      </w:r>
      <w:r>
        <w:rPr>
          <w:color w:val="365F91"/>
          <w:spacing w:val="-12"/>
          <w:sz w:val="32"/>
        </w:rPr>
        <w:t xml:space="preserve"> </w:t>
      </w:r>
      <w:r>
        <w:rPr>
          <w:color w:val="365F91"/>
          <w:sz w:val="32"/>
        </w:rPr>
        <w:t>Elementary</w:t>
      </w:r>
      <w:r>
        <w:rPr>
          <w:color w:val="365F91"/>
          <w:spacing w:val="-12"/>
          <w:sz w:val="32"/>
        </w:rPr>
        <w:t xml:space="preserve"> </w:t>
      </w:r>
      <w:r>
        <w:rPr>
          <w:color w:val="365F91"/>
          <w:sz w:val="32"/>
        </w:rPr>
        <w:t>and</w:t>
      </w:r>
      <w:r>
        <w:rPr>
          <w:color w:val="365F91"/>
          <w:spacing w:val="-9"/>
          <w:sz w:val="32"/>
        </w:rPr>
        <w:t xml:space="preserve"> </w:t>
      </w:r>
      <w:r>
        <w:rPr>
          <w:color w:val="365F91"/>
          <w:sz w:val="32"/>
        </w:rPr>
        <w:t>Secondary</w:t>
      </w:r>
      <w:r>
        <w:rPr>
          <w:color w:val="365F91"/>
          <w:spacing w:val="-12"/>
          <w:sz w:val="32"/>
        </w:rPr>
        <w:t xml:space="preserve"> </w:t>
      </w:r>
      <w:r>
        <w:rPr>
          <w:color w:val="365F91"/>
          <w:spacing w:val="-2"/>
          <w:sz w:val="32"/>
        </w:rPr>
        <w:t>Education</w:t>
      </w:r>
    </w:p>
    <w:p w:rsidR="00200FDA" w:rsidRDefault="00200FDA">
      <w:pPr>
        <w:pStyle w:val="BodyText"/>
        <w:rPr>
          <w:sz w:val="20"/>
        </w:rPr>
      </w:pPr>
    </w:p>
    <w:p w:rsidR="00200FDA" w:rsidRDefault="00200FDA">
      <w:pPr>
        <w:pStyle w:val="BodyText"/>
        <w:spacing w:before="3"/>
        <w:rPr>
          <w:sz w:val="18"/>
        </w:rPr>
      </w:pPr>
    </w:p>
    <w:p w:rsidR="00200FDA" w:rsidRDefault="00F76C4C">
      <w:pPr>
        <w:pStyle w:val="Heading7"/>
        <w:spacing w:before="44"/>
      </w:pPr>
      <w:r>
        <w:pict>
          <v:rect id="docshape514" o:spid="_x0000_s1102" style="position:absolute;left:0;text-align:left;margin-left:70.55pt;margin-top:20.2pt;width:470.9pt;height:.5pt;z-index:-15628800;mso-wrap-distance-left:0;mso-wrap-distance-right:0;mso-position-horizontal-relative:page" fillcolor="#4f81bc" stroked="f">
            <w10:wrap type="topAndBottom" anchorx="page"/>
          </v:rect>
        </w:pict>
      </w:r>
      <w:r>
        <w:rPr>
          <w:color w:val="365F91"/>
        </w:rPr>
        <w:t>FY</w:t>
      </w:r>
      <w:r>
        <w:rPr>
          <w:color w:val="365F91"/>
          <w:spacing w:val="-3"/>
        </w:rPr>
        <w:t xml:space="preserve"> </w:t>
      </w:r>
      <w:r>
        <w:rPr>
          <w:color w:val="365F91"/>
        </w:rPr>
        <w:t>2024</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rPr>
          <w:sz w:val="17"/>
        </w:rPr>
      </w:pPr>
    </w:p>
    <w:p w:rsidR="00200FDA" w:rsidRDefault="00F76C4C">
      <w:pPr>
        <w:pStyle w:val="ListParagraph"/>
        <w:numPr>
          <w:ilvl w:val="1"/>
          <w:numId w:val="20"/>
        </w:numPr>
        <w:tabs>
          <w:tab w:val="left" w:pos="1001"/>
        </w:tabs>
        <w:spacing w:before="56" w:line="360" w:lineRule="auto"/>
        <w:ind w:right="334"/>
        <w:jc w:val="both"/>
      </w:pPr>
      <w:r>
        <w:t>Revise</w:t>
      </w:r>
      <w:r>
        <w:rPr>
          <w:spacing w:val="-9"/>
        </w:rPr>
        <w:t xml:space="preserve"> </w:t>
      </w:r>
      <w:r>
        <w:t>and</w:t>
      </w:r>
      <w:r>
        <w:rPr>
          <w:spacing w:val="-10"/>
        </w:rPr>
        <w:t xml:space="preserve"> </w:t>
      </w:r>
      <w:r>
        <w:t>publish</w:t>
      </w:r>
      <w:r>
        <w:rPr>
          <w:spacing w:val="-10"/>
        </w:rPr>
        <w:t xml:space="preserve"> </w:t>
      </w:r>
      <w:r>
        <w:t>the</w:t>
      </w:r>
      <w:r>
        <w:rPr>
          <w:spacing w:val="-11"/>
        </w:rPr>
        <w:t xml:space="preserve"> </w:t>
      </w:r>
      <w:r>
        <w:rPr>
          <w:i/>
        </w:rPr>
        <w:t>Guidance</w:t>
      </w:r>
      <w:r>
        <w:rPr>
          <w:i/>
          <w:spacing w:val="-9"/>
        </w:rPr>
        <w:t xml:space="preserve"> </w:t>
      </w:r>
      <w:r>
        <w:rPr>
          <w:i/>
        </w:rPr>
        <w:t>for</w:t>
      </w:r>
      <w:r>
        <w:rPr>
          <w:i/>
          <w:spacing w:val="-10"/>
        </w:rPr>
        <w:t xml:space="preserve"> </w:t>
      </w:r>
      <w:r>
        <w:rPr>
          <w:i/>
        </w:rPr>
        <w:t>Massachusetts</w:t>
      </w:r>
      <w:r>
        <w:rPr>
          <w:i/>
          <w:spacing w:val="-11"/>
        </w:rPr>
        <w:t xml:space="preserve"> </w:t>
      </w:r>
      <w:r>
        <w:rPr>
          <w:i/>
        </w:rPr>
        <w:t>Public</w:t>
      </w:r>
      <w:r>
        <w:rPr>
          <w:i/>
          <w:spacing w:val="-10"/>
        </w:rPr>
        <w:t xml:space="preserve"> </w:t>
      </w:r>
      <w:r>
        <w:rPr>
          <w:i/>
        </w:rPr>
        <w:t>Schools</w:t>
      </w:r>
      <w:r>
        <w:rPr>
          <w:i/>
          <w:spacing w:val="-9"/>
        </w:rPr>
        <w:t xml:space="preserve"> </w:t>
      </w:r>
      <w:r>
        <w:rPr>
          <w:i/>
        </w:rPr>
        <w:t>Creating</w:t>
      </w:r>
      <w:r>
        <w:rPr>
          <w:i/>
          <w:spacing w:val="-10"/>
        </w:rPr>
        <w:t xml:space="preserve"> </w:t>
      </w:r>
      <w:r>
        <w:rPr>
          <w:i/>
        </w:rPr>
        <w:t>a</w:t>
      </w:r>
      <w:r>
        <w:rPr>
          <w:i/>
          <w:spacing w:val="-12"/>
        </w:rPr>
        <w:t xml:space="preserve"> </w:t>
      </w:r>
      <w:r>
        <w:rPr>
          <w:i/>
        </w:rPr>
        <w:t>Safe</w:t>
      </w:r>
      <w:r>
        <w:rPr>
          <w:i/>
          <w:spacing w:val="-11"/>
        </w:rPr>
        <w:t xml:space="preserve"> </w:t>
      </w:r>
      <w:r>
        <w:rPr>
          <w:i/>
        </w:rPr>
        <w:t>and</w:t>
      </w:r>
      <w:r>
        <w:rPr>
          <w:i/>
          <w:spacing w:val="-10"/>
        </w:rPr>
        <w:t xml:space="preserve"> </w:t>
      </w:r>
      <w:r>
        <w:rPr>
          <w:i/>
        </w:rPr>
        <w:t xml:space="preserve">Supportive School Environment </w:t>
      </w:r>
      <w:r>
        <w:t>to be implemented in the 2023-2024 school year.</w:t>
      </w:r>
    </w:p>
    <w:p w:rsidR="00200FDA" w:rsidRDefault="00F76C4C">
      <w:pPr>
        <w:pStyle w:val="ListParagraph"/>
        <w:numPr>
          <w:ilvl w:val="1"/>
          <w:numId w:val="20"/>
        </w:numPr>
        <w:tabs>
          <w:tab w:val="left" w:pos="1001"/>
        </w:tabs>
        <w:spacing w:before="1" w:line="360" w:lineRule="auto"/>
        <w:ind w:right="332"/>
        <w:jc w:val="both"/>
      </w:pPr>
      <w:r>
        <w:t>Continue</w:t>
      </w:r>
      <w:r>
        <w:rPr>
          <w:spacing w:val="-10"/>
        </w:rPr>
        <w:t xml:space="preserve"> </w:t>
      </w:r>
      <w:r>
        <w:t>collaboration</w:t>
      </w:r>
      <w:r>
        <w:rPr>
          <w:spacing w:val="-11"/>
        </w:rPr>
        <w:t xml:space="preserve"> </w:t>
      </w:r>
      <w:r>
        <w:t>with</w:t>
      </w:r>
      <w:r>
        <w:rPr>
          <w:spacing w:val="-11"/>
        </w:rPr>
        <w:t xml:space="preserve"> </w:t>
      </w:r>
      <w:r>
        <w:t>the</w:t>
      </w:r>
      <w:r>
        <w:rPr>
          <w:spacing w:val="-9"/>
        </w:rPr>
        <w:t xml:space="preserve"> </w:t>
      </w:r>
      <w:r>
        <w:t>Commission</w:t>
      </w:r>
      <w:r>
        <w:rPr>
          <w:spacing w:val="-12"/>
        </w:rPr>
        <w:t xml:space="preserve"> </w:t>
      </w:r>
      <w:r>
        <w:t>with</w:t>
      </w:r>
      <w:r>
        <w:rPr>
          <w:spacing w:val="-11"/>
        </w:rPr>
        <w:t xml:space="preserve"> </w:t>
      </w:r>
      <w:r>
        <w:t>respect</w:t>
      </w:r>
      <w:r>
        <w:rPr>
          <w:spacing w:val="-9"/>
        </w:rPr>
        <w:t xml:space="preserve"> </w:t>
      </w:r>
      <w:r>
        <w:t>to</w:t>
      </w:r>
      <w:r>
        <w:rPr>
          <w:spacing w:val="-11"/>
        </w:rPr>
        <w:t xml:space="preserve"> </w:t>
      </w:r>
      <w:r>
        <w:t>the</w:t>
      </w:r>
      <w:r>
        <w:rPr>
          <w:spacing w:val="-9"/>
        </w:rPr>
        <w:t xml:space="preserve"> </w:t>
      </w:r>
      <w:r>
        <w:t>Safe</w:t>
      </w:r>
      <w:r>
        <w:rPr>
          <w:spacing w:val="-9"/>
        </w:rPr>
        <w:t xml:space="preserve"> </w:t>
      </w:r>
      <w:r>
        <w:t>Schools</w:t>
      </w:r>
      <w:r>
        <w:rPr>
          <w:spacing w:val="-12"/>
        </w:rPr>
        <w:t xml:space="preserve"> </w:t>
      </w:r>
      <w:r>
        <w:t>Program</w:t>
      </w:r>
      <w:r>
        <w:rPr>
          <w:spacing w:val="-11"/>
        </w:rPr>
        <w:t xml:space="preserve"> </w:t>
      </w:r>
      <w:r>
        <w:t>for</w:t>
      </w:r>
      <w:r>
        <w:rPr>
          <w:spacing w:val="-12"/>
        </w:rPr>
        <w:t xml:space="preserve"> </w:t>
      </w:r>
      <w:r>
        <w:t>LGBTQ Students and programs in special education, early education, adult education, se</w:t>
      </w:r>
      <w:r>
        <w:t>xual health, afterschool programming, curriculum, homeless assistance, family engagement, student leadership, student discipline, college and career technical education, and the Safe and Supportive Schools Commission.</w:t>
      </w:r>
    </w:p>
    <w:p w:rsidR="00200FDA" w:rsidRDefault="00F76C4C">
      <w:pPr>
        <w:pStyle w:val="ListParagraph"/>
        <w:numPr>
          <w:ilvl w:val="1"/>
          <w:numId w:val="20"/>
        </w:numPr>
        <w:tabs>
          <w:tab w:val="left" w:pos="1001"/>
        </w:tabs>
        <w:spacing w:line="360" w:lineRule="auto"/>
        <w:ind w:right="333"/>
        <w:jc w:val="both"/>
      </w:pPr>
      <w:r>
        <w:t>Explore ways to increase data relating</w:t>
      </w:r>
      <w:r>
        <w:t xml:space="preserve"> to sexual orientation, gender identity, and gender </w:t>
      </w:r>
      <w:r>
        <w:rPr>
          <w:spacing w:val="-2"/>
        </w:rPr>
        <w:t>expression.</w:t>
      </w:r>
    </w:p>
    <w:p w:rsidR="00200FDA" w:rsidRDefault="00F76C4C">
      <w:pPr>
        <w:pStyle w:val="ListParagraph"/>
        <w:numPr>
          <w:ilvl w:val="1"/>
          <w:numId w:val="20"/>
        </w:numPr>
        <w:tabs>
          <w:tab w:val="left" w:pos="1001"/>
        </w:tabs>
        <w:spacing w:line="357" w:lineRule="auto"/>
        <w:ind w:right="335"/>
        <w:jc w:val="both"/>
      </w:pPr>
      <w:r>
        <w:t>Ensure LGBTQ inclusivity of all curriculum initiatives, including curriculum frameworks, model curriculum units, and supplementary curricular materials.</w:t>
      </w:r>
    </w:p>
    <w:p w:rsidR="00200FDA" w:rsidRDefault="00F76C4C">
      <w:pPr>
        <w:pStyle w:val="ListParagraph"/>
        <w:numPr>
          <w:ilvl w:val="1"/>
          <w:numId w:val="20"/>
        </w:numPr>
        <w:tabs>
          <w:tab w:val="left" w:pos="1001"/>
        </w:tabs>
        <w:spacing w:before="3" w:line="360" w:lineRule="auto"/>
        <w:ind w:right="332"/>
        <w:jc w:val="both"/>
      </w:pPr>
      <w:r>
        <w:t>Develop and model strategies for school</w:t>
      </w:r>
      <w:r>
        <w:t xml:space="preserve"> districts to recruit and retain a diverse workforce that includes diversity in gender identity and sexual orientation.</w:t>
      </w:r>
    </w:p>
    <w:p w:rsidR="00200FDA" w:rsidRDefault="00F76C4C">
      <w:pPr>
        <w:pStyle w:val="ListParagraph"/>
        <w:numPr>
          <w:ilvl w:val="1"/>
          <w:numId w:val="20"/>
        </w:numPr>
        <w:tabs>
          <w:tab w:val="left" w:pos="1001"/>
        </w:tabs>
        <w:spacing w:before="1" w:line="360" w:lineRule="auto"/>
        <w:ind w:right="252"/>
        <w:jc w:val="both"/>
      </w:pPr>
      <w:r>
        <w:t xml:space="preserve">Partner with the Commission to better understand and meet the needs of BIPOC LGBTQ </w:t>
      </w:r>
      <w:r>
        <w:rPr>
          <w:spacing w:val="-2"/>
        </w:rPr>
        <w:t>students.</w:t>
      </w:r>
    </w:p>
    <w:p w:rsidR="00200FDA" w:rsidRDefault="00F76C4C">
      <w:pPr>
        <w:pStyle w:val="ListParagraph"/>
        <w:numPr>
          <w:ilvl w:val="1"/>
          <w:numId w:val="20"/>
        </w:numPr>
        <w:tabs>
          <w:tab w:val="left" w:pos="1001"/>
        </w:tabs>
        <w:spacing w:before="1" w:line="360" w:lineRule="auto"/>
        <w:ind w:right="334" w:hanging="360"/>
        <w:jc w:val="both"/>
      </w:pPr>
      <w:r>
        <w:t>Work with the Commission to build more inte</w:t>
      </w:r>
      <w:r>
        <w:t>rnal and district-level capacity for trainings and professional development in LGBTQ competency.</w:t>
      </w:r>
    </w:p>
    <w:p w:rsidR="00200FDA" w:rsidRDefault="00F76C4C">
      <w:pPr>
        <w:pStyle w:val="ListParagraph"/>
        <w:numPr>
          <w:ilvl w:val="1"/>
          <w:numId w:val="20"/>
        </w:numPr>
        <w:tabs>
          <w:tab w:val="left" w:pos="1001"/>
        </w:tabs>
        <w:spacing w:line="360" w:lineRule="auto"/>
        <w:ind w:right="337" w:hanging="360"/>
        <w:jc w:val="both"/>
      </w:pPr>
      <w:r>
        <w:t>Continue collaboration with the Commission to find new ways to support nonbinary students, educators, and staff.</w:t>
      </w:r>
    </w:p>
    <w:p w:rsidR="00200FDA" w:rsidRDefault="00F76C4C">
      <w:pPr>
        <w:pStyle w:val="ListParagraph"/>
        <w:numPr>
          <w:ilvl w:val="1"/>
          <w:numId w:val="20"/>
        </w:numPr>
        <w:tabs>
          <w:tab w:val="left" w:pos="1001"/>
        </w:tabs>
        <w:spacing w:line="360" w:lineRule="auto"/>
        <w:ind w:right="336"/>
        <w:jc w:val="both"/>
      </w:pPr>
      <w:r>
        <w:t>Work</w:t>
      </w:r>
      <w:r>
        <w:rPr>
          <w:spacing w:val="-1"/>
        </w:rPr>
        <w:t xml:space="preserve"> </w:t>
      </w:r>
      <w:r>
        <w:t>with administrative</w:t>
      </w:r>
      <w:r>
        <w:rPr>
          <w:spacing w:val="-1"/>
        </w:rPr>
        <w:t xml:space="preserve"> </w:t>
      </w:r>
      <w:r>
        <w:t>leadership to review</w:t>
      </w:r>
      <w:r>
        <w:rPr>
          <w:spacing w:val="-1"/>
        </w:rPr>
        <w:t xml:space="preserve"> </w:t>
      </w:r>
      <w:r>
        <w:t>and update school</w:t>
      </w:r>
      <w:r>
        <w:rPr>
          <w:spacing w:val="-2"/>
        </w:rPr>
        <w:t xml:space="preserve"> </w:t>
      </w:r>
      <w:r>
        <w:t xml:space="preserve">handbook non-discrimination </w:t>
      </w:r>
      <w:r>
        <w:rPr>
          <w:spacing w:val="-2"/>
        </w:rPr>
        <w:t>policies.</w:t>
      </w:r>
    </w:p>
    <w:p w:rsidR="00200FDA" w:rsidRDefault="00F76C4C">
      <w:pPr>
        <w:pStyle w:val="ListParagraph"/>
        <w:numPr>
          <w:ilvl w:val="1"/>
          <w:numId w:val="20"/>
        </w:numPr>
        <w:tabs>
          <w:tab w:val="left" w:pos="1001"/>
        </w:tabs>
        <w:spacing w:line="360" w:lineRule="auto"/>
        <w:ind w:right="332"/>
        <w:jc w:val="both"/>
      </w:pPr>
      <w:r>
        <w:t>Collaborate with the Board of Library Commissioners to align efforts on addressing book challenges, protests, and hate crimes against state and school libraries and staff.</w:t>
      </w:r>
    </w:p>
    <w:p w:rsidR="00200FDA" w:rsidRDefault="00200FDA">
      <w:pPr>
        <w:pStyle w:val="BodyText"/>
        <w:spacing w:before="9"/>
        <w:rPr>
          <w:sz w:val="32"/>
        </w:rPr>
      </w:pPr>
    </w:p>
    <w:p w:rsidR="00200FDA" w:rsidRDefault="00F76C4C">
      <w:pPr>
        <w:pStyle w:val="Heading7"/>
      </w:pPr>
      <w:r>
        <w:pict>
          <v:rect id="docshape515" o:spid="_x0000_s1101" style="position:absolute;left:0;text-align:left;margin-left:70.55pt;margin-top:18.15pt;width:470.9pt;height:.5pt;z-index:-15628288;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ind w:left="280" w:right="334"/>
        <w:jc w:val="both"/>
      </w:pPr>
      <w:r>
        <w:t>The Commission is fortunate to have a strong working relationship with the Massachusetts Department of Elementary and Secondary Education (DESE). At the center of this relationship is the Safe Schools Program</w:t>
      </w:r>
      <w:r>
        <w:rPr>
          <w:spacing w:val="-10"/>
        </w:rPr>
        <w:t xml:space="preserve"> </w:t>
      </w:r>
      <w:r>
        <w:t>for</w:t>
      </w:r>
      <w:r>
        <w:rPr>
          <w:spacing w:val="-13"/>
        </w:rPr>
        <w:t xml:space="preserve"> </w:t>
      </w:r>
      <w:r>
        <w:t>LGBTQ</w:t>
      </w:r>
      <w:r>
        <w:rPr>
          <w:spacing w:val="-8"/>
        </w:rPr>
        <w:t xml:space="preserve"> </w:t>
      </w:r>
      <w:r>
        <w:t>Students,</w:t>
      </w:r>
      <w:r>
        <w:rPr>
          <w:spacing w:val="-9"/>
        </w:rPr>
        <w:t xml:space="preserve"> </w:t>
      </w:r>
      <w:r>
        <w:t>a</w:t>
      </w:r>
      <w:r>
        <w:rPr>
          <w:spacing w:val="-12"/>
        </w:rPr>
        <w:t xml:space="preserve"> </w:t>
      </w:r>
      <w:r>
        <w:t>joint</w:t>
      </w:r>
      <w:r>
        <w:rPr>
          <w:spacing w:val="-11"/>
        </w:rPr>
        <w:t xml:space="preserve"> </w:t>
      </w:r>
      <w:r>
        <w:t>initiative</w:t>
      </w:r>
      <w:r>
        <w:rPr>
          <w:spacing w:val="-11"/>
        </w:rPr>
        <w:t xml:space="preserve"> </w:t>
      </w:r>
      <w:r>
        <w:t>of</w:t>
      </w:r>
      <w:r>
        <w:rPr>
          <w:spacing w:val="-12"/>
        </w:rPr>
        <w:t xml:space="preserve"> </w:t>
      </w:r>
      <w:r>
        <w:t>the</w:t>
      </w:r>
      <w:r>
        <w:rPr>
          <w:spacing w:val="-11"/>
        </w:rPr>
        <w:t xml:space="preserve"> </w:t>
      </w:r>
      <w:r>
        <w:t>C</w:t>
      </w:r>
      <w:r>
        <w:t>ommission</w:t>
      </w:r>
      <w:r>
        <w:rPr>
          <w:spacing w:val="-12"/>
        </w:rPr>
        <w:t xml:space="preserve"> </w:t>
      </w:r>
      <w:r>
        <w:t>and</w:t>
      </w:r>
      <w:r>
        <w:rPr>
          <w:spacing w:val="-12"/>
        </w:rPr>
        <w:t xml:space="preserve"> </w:t>
      </w:r>
      <w:r>
        <w:t>DESE</w:t>
      </w:r>
      <w:r>
        <w:rPr>
          <w:spacing w:val="-11"/>
        </w:rPr>
        <w:t xml:space="preserve"> </w:t>
      </w:r>
      <w:r>
        <w:t>that</w:t>
      </w:r>
      <w:r>
        <w:rPr>
          <w:spacing w:val="-11"/>
        </w:rPr>
        <w:t xml:space="preserve"> </w:t>
      </w:r>
      <w:r>
        <w:t>was</w:t>
      </w:r>
      <w:r>
        <w:rPr>
          <w:spacing w:val="-9"/>
        </w:rPr>
        <w:t xml:space="preserve"> </w:t>
      </w:r>
      <w:r>
        <w:t>founded</w:t>
      </w:r>
      <w:r>
        <w:rPr>
          <w:spacing w:val="-10"/>
        </w:rPr>
        <w:t xml:space="preserve"> </w:t>
      </w:r>
      <w:r>
        <w:t>in</w:t>
      </w:r>
      <w:r>
        <w:rPr>
          <w:spacing w:val="-12"/>
        </w:rPr>
        <w:t xml:space="preserve"> </w:t>
      </w:r>
      <w:r>
        <w:t>1993</w:t>
      </w:r>
      <w:r>
        <w:rPr>
          <w:spacing w:val="31"/>
        </w:rPr>
        <w:t xml:space="preserve"> </w:t>
      </w:r>
      <w:r>
        <w:t>and</w:t>
      </w:r>
    </w:p>
    <w:p w:rsidR="00200FDA" w:rsidRDefault="00200FDA">
      <w:pPr>
        <w:jc w:val="both"/>
        <w:sectPr w:rsidR="00200FDA">
          <w:headerReference w:type="default" r:id="rId780"/>
          <w:footerReference w:type="default" r:id="rId781"/>
          <w:pgSz w:w="12240" w:h="15840"/>
          <w:pgMar w:top="1260" w:right="1160" w:bottom="1180" w:left="1160" w:header="761" w:footer="994" w:gutter="0"/>
          <w:cols w:space="720"/>
        </w:sectPr>
      </w:pPr>
    </w:p>
    <w:p w:rsidR="00200FDA" w:rsidRDefault="00200FDA">
      <w:pPr>
        <w:pStyle w:val="BodyText"/>
        <w:rPr>
          <w:sz w:val="9"/>
        </w:rPr>
      </w:pPr>
    </w:p>
    <w:p w:rsidR="00200FDA" w:rsidRDefault="00F76C4C">
      <w:pPr>
        <w:pStyle w:val="BodyText"/>
        <w:spacing w:before="56"/>
        <w:ind w:left="279" w:right="333"/>
        <w:jc w:val="both"/>
      </w:pPr>
      <w:r>
        <w:t>remains</w:t>
      </w:r>
      <w:r>
        <w:rPr>
          <w:spacing w:val="40"/>
        </w:rPr>
        <w:t xml:space="preserve"> </w:t>
      </w:r>
      <w:r>
        <w:t>a</w:t>
      </w:r>
      <w:r>
        <w:rPr>
          <w:spacing w:val="40"/>
        </w:rPr>
        <w:t xml:space="preserve"> </w:t>
      </w:r>
      <w:r>
        <w:t>national</w:t>
      </w:r>
      <w:r>
        <w:rPr>
          <w:spacing w:val="40"/>
        </w:rPr>
        <w:t xml:space="preserve"> </w:t>
      </w:r>
      <w:r>
        <w:t>leader</w:t>
      </w:r>
      <w:r>
        <w:rPr>
          <w:spacing w:val="40"/>
        </w:rPr>
        <w:t xml:space="preserve"> </w:t>
      </w:r>
      <w:r>
        <w:t>in</w:t>
      </w:r>
      <w:r>
        <w:rPr>
          <w:spacing w:val="40"/>
        </w:rPr>
        <w:t xml:space="preserve"> </w:t>
      </w:r>
      <w:r>
        <w:t>creating</w:t>
      </w:r>
      <w:r>
        <w:rPr>
          <w:spacing w:val="40"/>
        </w:rPr>
        <w:t xml:space="preserve"> </w:t>
      </w:r>
      <w:r>
        <w:t>policies</w:t>
      </w:r>
      <w:r>
        <w:rPr>
          <w:spacing w:val="40"/>
        </w:rPr>
        <w:t xml:space="preserve"> </w:t>
      </w:r>
      <w:r>
        <w:t>and</w:t>
      </w:r>
      <w:r>
        <w:rPr>
          <w:spacing w:val="40"/>
        </w:rPr>
        <w:t xml:space="preserve"> </w:t>
      </w:r>
      <w:r>
        <w:t>programs</w:t>
      </w:r>
      <w:r>
        <w:rPr>
          <w:spacing w:val="40"/>
        </w:rPr>
        <w:t xml:space="preserve"> </w:t>
      </w:r>
      <w:r>
        <w:t>to</w:t>
      </w:r>
      <w:r>
        <w:rPr>
          <w:spacing w:val="40"/>
        </w:rPr>
        <w:t xml:space="preserve"> </w:t>
      </w:r>
      <w:r>
        <w:t>foster</w:t>
      </w:r>
      <w:r>
        <w:rPr>
          <w:spacing w:val="40"/>
        </w:rPr>
        <w:t xml:space="preserve"> </w:t>
      </w:r>
      <w:r>
        <w:t>safe</w:t>
      </w:r>
      <w:r>
        <w:rPr>
          <w:spacing w:val="40"/>
        </w:rPr>
        <w:t xml:space="preserve"> </w:t>
      </w:r>
      <w:r>
        <w:t xml:space="preserve">and supportive environments for LGBTQ students. Through this program, which the Commission administers with financial and in-kind support, as well as invaluable input and mentorship from DESE staff in the Student and Family Support Unit, approximately 200 </w:t>
      </w:r>
      <w:r>
        <w:t>trainings and workshops are held each year on addressing anti-LGBTQ</w:t>
      </w:r>
      <w:r>
        <w:rPr>
          <w:spacing w:val="-7"/>
        </w:rPr>
        <w:t xml:space="preserve"> </w:t>
      </w:r>
      <w:r>
        <w:t>bullying</w:t>
      </w:r>
      <w:r>
        <w:rPr>
          <w:spacing w:val="-11"/>
        </w:rPr>
        <w:t xml:space="preserve"> </w:t>
      </w:r>
      <w:r>
        <w:t>and</w:t>
      </w:r>
      <w:r>
        <w:rPr>
          <w:spacing w:val="-8"/>
        </w:rPr>
        <w:t xml:space="preserve"> </w:t>
      </w:r>
      <w:r>
        <w:t>building</w:t>
      </w:r>
      <w:r>
        <w:rPr>
          <w:spacing w:val="-8"/>
        </w:rPr>
        <w:t xml:space="preserve"> </w:t>
      </w:r>
      <w:r>
        <w:t>safer</w:t>
      </w:r>
      <w:r>
        <w:rPr>
          <w:spacing w:val="-10"/>
        </w:rPr>
        <w:t xml:space="preserve"> </w:t>
      </w:r>
      <w:r>
        <w:t>environments</w:t>
      </w:r>
      <w:r>
        <w:rPr>
          <w:spacing w:val="-10"/>
        </w:rPr>
        <w:t xml:space="preserve"> </w:t>
      </w:r>
      <w:r>
        <w:t>in</w:t>
      </w:r>
      <w:r>
        <w:rPr>
          <w:spacing w:val="-8"/>
        </w:rPr>
        <w:t xml:space="preserve"> </w:t>
      </w:r>
      <w:r>
        <w:t>public</w:t>
      </w:r>
      <w:r>
        <w:rPr>
          <w:spacing w:val="-7"/>
        </w:rPr>
        <w:t xml:space="preserve"> </w:t>
      </w:r>
      <w:r>
        <w:t>schools,</w:t>
      </w:r>
      <w:r>
        <w:rPr>
          <w:spacing w:val="-8"/>
        </w:rPr>
        <w:t xml:space="preserve"> </w:t>
      </w:r>
      <w:r>
        <w:t>in</w:t>
      </w:r>
      <w:r>
        <w:rPr>
          <w:spacing w:val="-11"/>
        </w:rPr>
        <w:t xml:space="preserve"> </w:t>
      </w:r>
      <w:r>
        <w:t>addition</w:t>
      </w:r>
      <w:r>
        <w:rPr>
          <w:spacing w:val="-8"/>
        </w:rPr>
        <w:t xml:space="preserve"> </w:t>
      </w:r>
      <w:r>
        <w:t>to</w:t>
      </w:r>
      <w:r>
        <w:rPr>
          <w:spacing w:val="-9"/>
        </w:rPr>
        <w:t xml:space="preserve"> </w:t>
      </w:r>
      <w:r>
        <w:t>nearly</w:t>
      </w:r>
      <w:r>
        <w:rPr>
          <w:spacing w:val="-9"/>
        </w:rPr>
        <w:t xml:space="preserve"> </w:t>
      </w:r>
      <w:r>
        <w:t>200</w:t>
      </w:r>
      <w:r>
        <w:rPr>
          <w:spacing w:val="-9"/>
        </w:rPr>
        <w:t xml:space="preserve"> </w:t>
      </w:r>
      <w:r>
        <w:t>technical assistance responses. The Program also manages the GSA Student Leadership Council, including</w:t>
      </w:r>
      <w:r>
        <w:t xml:space="preserve"> statewide and regional components that meet monthly throughout the year and include student leadership and teacher professional development components. The Safe Schools Program for LGBTQ Students has collaborated with DESE to increase its capacity to crea</w:t>
      </w:r>
      <w:r>
        <w:t xml:space="preserve">te and implement landmark policies (i.e. </w:t>
      </w:r>
      <w:hyperlink r:id="rId782">
        <w:r>
          <w:rPr>
            <w:color w:val="1154CC"/>
            <w:u w:val="single" w:color="1154CC"/>
          </w:rPr>
          <w:t>Guidance for Massachusetts Public Schools Creating a Safe and Supportive School Environment:</w:t>
        </w:r>
      </w:hyperlink>
      <w:r>
        <w:rPr>
          <w:color w:val="1154CC"/>
        </w:rPr>
        <w:t xml:space="preserve"> </w:t>
      </w:r>
      <w:hyperlink r:id="rId783">
        <w:r>
          <w:rPr>
            <w:color w:val="1154CC"/>
            <w:u w:val="single" w:color="1154CC"/>
          </w:rPr>
          <w:t>Nondiscrimination on the Basis of Gender Identity</w:t>
        </w:r>
      </w:hyperlink>
      <w:r>
        <w:rPr>
          <w:color w:val="1154CC"/>
        </w:rPr>
        <w:t xml:space="preserve"> </w:t>
      </w:r>
      <w:r>
        <w:t xml:space="preserve">(2012), </w:t>
      </w:r>
      <w:hyperlink r:id="rId784">
        <w:r>
          <w:rPr>
            <w:color w:val="1154CC"/>
            <w:u w:val="single" w:color="1154CC"/>
          </w:rPr>
          <w:t>Principles for Ensuring Safe and Support</w:t>
        </w:r>
        <w:r>
          <w:rPr>
            <w:color w:val="1154CC"/>
            <w:u w:val="single" w:color="1154CC"/>
          </w:rPr>
          <w:t>ive</w:t>
        </w:r>
      </w:hyperlink>
      <w:r>
        <w:rPr>
          <w:color w:val="1154CC"/>
        </w:rPr>
        <w:t xml:space="preserve"> </w:t>
      </w:r>
      <w:hyperlink r:id="rId785">
        <w:r>
          <w:rPr>
            <w:color w:val="1154CC"/>
            <w:u w:val="single" w:color="1154CC"/>
          </w:rPr>
          <w:t>Learning Environments for Lesbian, Gay, Bisexual, Transgender, Queer, and Questioning (LGBTQ)</w:t>
        </w:r>
      </w:hyperlink>
      <w:r>
        <w:rPr>
          <w:color w:val="1154CC"/>
        </w:rPr>
        <w:t xml:space="preserve"> </w:t>
      </w:r>
      <w:hyperlink r:id="rId786">
        <w:r>
          <w:rPr>
            <w:color w:val="1154CC"/>
            <w:u w:val="single" w:color="1154CC"/>
          </w:rPr>
          <w:t>Students</w:t>
        </w:r>
      </w:hyperlink>
      <w:r>
        <w:rPr>
          <w:color w:val="1154CC"/>
        </w:rPr>
        <w:t xml:space="preserve"> </w:t>
      </w:r>
      <w:r>
        <w:t>(2015); provide professional development and technical assistance to schools; and promote student leadership throughout the Commonwealth.</w:t>
      </w:r>
    </w:p>
    <w:p w:rsidR="00200FDA" w:rsidRDefault="00200FDA">
      <w:pPr>
        <w:pStyle w:val="BodyText"/>
        <w:spacing w:before="6"/>
        <w:rPr>
          <w:sz w:val="19"/>
        </w:rPr>
      </w:pPr>
    </w:p>
    <w:p w:rsidR="00200FDA" w:rsidRDefault="00F76C4C">
      <w:pPr>
        <w:pStyle w:val="BodyText"/>
        <w:spacing w:before="1"/>
        <w:ind w:left="280" w:right="274" w:firstLine="50"/>
        <w:jc w:val="both"/>
      </w:pPr>
      <w:r>
        <w:t>Since</w:t>
      </w:r>
      <w:r>
        <w:rPr>
          <w:spacing w:val="-4"/>
        </w:rPr>
        <w:t xml:space="preserve"> </w:t>
      </w:r>
      <w:r>
        <w:t>the</w:t>
      </w:r>
      <w:r>
        <w:rPr>
          <w:spacing w:val="-6"/>
        </w:rPr>
        <w:t xml:space="preserve"> </w:t>
      </w:r>
      <w:r>
        <w:t>establishment</w:t>
      </w:r>
      <w:r>
        <w:rPr>
          <w:spacing w:val="-6"/>
        </w:rPr>
        <w:t xml:space="preserve"> </w:t>
      </w:r>
      <w:r>
        <w:t>of</w:t>
      </w:r>
      <w:r>
        <w:rPr>
          <w:spacing w:val="-9"/>
        </w:rPr>
        <w:t xml:space="preserve"> </w:t>
      </w:r>
      <w:r>
        <w:t>a</w:t>
      </w:r>
      <w:r>
        <w:rPr>
          <w:spacing w:val="-4"/>
        </w:rPr>
        <w:t xml:space="preserve"> </w:t>
      </w:r>
      <w:r>
        <w:t>Memorandum</w:t>
      </w:r>
      <w:r>
        <w:rPr>
          <w:spacing w:val="-8"/>
        </w:rPr>
        <w:t xml:space="preserve"> </w:t>
      </w:r>
      <w:r>
        <w:t>of</w:t>
      </w:r>
      <w:r>
        <w:rPr>
          <w:spacing w:val="-4"/>
        </w:rPr>
        <w:t xml:space="preserve"> </w:t>
      </w:r>
      <w:r>
        <w:t>Understanding</w:t>
      </w:r>
      <w:r>
        <w:rPr>
          <w:spacing w:val="-5"/>
        </w:rPr>
        <w:t xml:space="preserve"> </w:t>
      </w:r>
      <w:r>
        <w:t>(MOU)</w:t>
      </w:r>
      <w:r>
        <w:rPr>
          <w:spacing w:val="-6"/>
        </w:rPr>
        <w:t xml:space="preserve"> </w:t>
      </w:r>
      <w:r>
        <w:t>with</w:t>
      </w:r>
      <w:r>
        <w:rPr>
          <w:spacing w:val="-7"/>
        </w:rPr>
        <w:t xml:space="preserve"> </w:t>
      </w:r>
      <w:r>
        <w:t>DESE</w:t>
      </w:r>
      <w:r>
        <w:rPr>
          <w:spacing w:val="-7"/>
        </w:rPr>
        <w:t xml:space="preserve"> </w:t>
      </w:r>
      <w:r>
        <w:t>in</w:t>
      </w:r>
      <w:r>
        <w:rPr>
          <w:spacing w:val="-5"/>
        </w:rPr>
        <w:t xml:space="preserve"> </w:t>
      </w:r>
      <w:r>
        <w:t>2013,</w:t>
      </w:r>
      <w:r>
        <w:rPr>
          <w:spacing w:val="-6"/>
        </w:rPr>
        <w:t xml:space="preserve"> </w:t>
      </w:r>
      <w:r>
        <w:t>the</w:t>
      </w:r>
      <w:r>
        <w:rPr>
          <w:spacing w:val="-4"/>
        </w:rPr>
        <w:t xml:space="preserve"> </w:t>
      </w:r>
      <w:r>
        <w:t>Safe</w:t>
      </w:r>
      <w:r>
        <w:rPr>
          <w:spacing w:val="-4"/>
        </w:rPr>
        <w:t xml:space="preserve"> </w:t>
      </w:r>
      <w:r>
        <w:t>Schools Program for LGBTQ Students has worked on multiple initiatives, including trainings for school personnel on</w:t>
      </w:r>
      <w:r>
        <w:rPr>
          <w:spacing w:val="-13"/>
        </w:rPr>
        <w:t xml:space="preserve"> </w:t>
      </w:r>
      <w:r>
        <w:t>bias-based</w:t>
      </w:r>
      <w:r>
        <w:rPr>
          <w:spacing w:val="-12"/>
        </w:rPr>
        <w:t xml:space="preserve"> </w:t>
      </w:r>
      <w:r>
        <w:t>bullying</w:t>
      </w:r>
      <w:r>
        <w:rPr>
          <w:spacing w:val="-13"/>
        </w:rPr>
        <w:t xml:space="preserve"> </w:t>
      </w:r>
      <w:r>
        <w:t>and</w:t>
      </w:r>
      <w:r>
        <w:rPr>
          <w:spacing w:val="-12"/>
        </w:rPr>
        <w:t xml:space="preserve"> </w:t>
      </w:r>
      <w:r>
        <w:t>policy</w:t>
      </w:r>
      <w:r>
        <w:rPr>
          <w:spacing w:val="-11"/>
        </w:rPr>
        <w:t xml:space="preserve"> </w:t>
      </w:r>
      <w:r>
        <w:t>guidance</w:t>
      </w:r>
      <w:r>
        <w:rPr>
          <w:spacing w:val="-13"/>
        </w:rPr>
        <w:t xml:space="preserve"> </w:t>
      </w:r>
      <w:r>
        <w:t>to</w:t>
      </w:r>
      <w:r>
        <w:rPr>
          <w:spacing w:val="-10"/>
        </w:rPr>
        <w:t xml:space="preserve"> </w:t>
      </w:r>
      <w:r>
        <w:t>implement</w:t>
      </w:r>
      <w:r>
        <w:rPr>
          <w:spacing w:val="-11"/>
        </w:rPr>
        <w:t xml:space="preserve"> </w:t>
      </w:r>
      <w:r>
        <w:t>the</w:t>
      </w:r>
      <w:r>
        <w:rPr>
          <w:spacing w:val="-11"/>
        </w:rPr>
        <w:t xml:space="preserve"> </w:t>
      </w:r>
      <w:r>
        <w:t>landmark</w:t>
      </w:r>
      <w:r>
        <w:rPr>
          <w:spacing w:val="-11"/>
        </w:rPr>
        <w:t xml:space="preserve"> </w:t>
      </w:r>
      <w:r>
        <w:t>policies</w:t>
      </w:r>
      <w:r>
        <w:rPr>
          <w:spacing w:val="-13"/>
        </w:rPr>
        <w:t xml:space="preserve"> </w:t>
      </w:r>
      <w:r>
        <w:t>mentioned</w:t>
      </w:r>
      <w:r>
        <w:rPr>
          <w:spacing w:val="-12"/>
        </w:rPr>
        <w:t xml:space="preserve"> </w:t>
      </w:r>
      <w:r>
        <w:t>previously.</w:t>
      </w:r>
      <w:r>
        <w:rPr>
          <w:spacing w:val="-12"/>
        </w:rPr>
        <w:t xml:space="preserve"> </w:t>
      </w:r>
      <w:r>
        <w:t>The Commission</w:t>
      </w:r>
      <w:r>
        <w:rPr>
          <w:spacing w:val="-5"/>
        </w:rPr>
        <w:t xml:space="preserve"> </w:t>
      </w:r>
      <w:r>
        <w:t>is</w:t>
      </w:r>
      <w:r>
        <w:rPr>
          <w:spacing w:val="-2"/>
        </w:rPr>
        <w:t xml:space="preserve"> </w:t>
      </w:r>
      <w:r>
        <w:t>grateful</w:t>
      </w:r>
      <w:r>
        <w:rPr>
          <w:spacing w:val="-2"/>
        </w:rPr>
        <w:t xml:space="preserve"> </w:t>
      </w:r>
      <w:r>
        <w:t>to</w:t>
      </w:r>
      <w:r>
        <w:rPr>
          <w:spacing w:val="-3"/>
        </w:rPr>
        <w:t xml:space="preserve"> </w:t>
      </w:r>
      <w:r>
        <w:t>DESE</w:t>
      </w:r>
      <w:r>
        <w:rPr>
          <w:spacing w:val="-2"/>
        </w:rPr>
        <w:t xml:space="preserve"> </w:t>
      </w:r>
      <w:r>
        <w:t>for</w:t>
      </w:r>
      <w:r>
        <w:rPr>
          <w:spacing w:val="-2"/>
        </w:rPr>
        <w:t xml:space="preserve"> </w:t>
      </w:r>
      <w:r>
        <w:t>its</w:t>
      </w:r>
      <w:r>
        <w:rPr>
          <w:spacing w:val="-2"/>
        </w:rPr>
        <w:t xml:space="preserve"> </w:t>
      </w:r>
      <w:r>
        <w:t>leadership</w:t>
      </w:r>
      <w:r>
        <w:rPr>
          <w:spacing w:val="-5"/>
        </w:rPr>
        <w:t xml:space="preserve"> </w:t>
      </w:r>
      <w:r>
        <w:t>on</w:t>
      </w:r>
      <w:r>
        <w:rPr>
          <w:spacing w:val="-3"/>
        </w:rPr>
        <w:t xml:space="preserve"> </w:t>
      </w:r>
      <w:r>
        <w:t>these</w:t>
      </w:r>
      <w:r>
        <w:rPr>
          <w:spacing w:val="-1"/>
        </w:rPr>
        <w:t xml:space="preserve"> </w:t>
      </w:r>
      <w:r>
        <w:t>issues,</w:t>
      </w:r>
      <w:r>
        <w:rPr>
          <w:spacing w:val="-4"/>
        </w:rPr>
        <w:t xml:space="preserve"> </w:t>
      </w:r>
      <w:r>
        <w:t>the</w:t>
      </w:r>
      <w:r>
        <w:rPr>
          <w:spacing w:val="-4"/>
        </w:rPr>
        <w:t xml:space="preserve"> </w:t>
      </w:r>
      <w:r>
        <w:t>support</w:t>
      </w:r>
      <w:r>
        <w:rPr>
          <w:spacing w:val="-6"/>
        </w:rPr>
        <w:t xml:space="preserve"> </w:t>
      </w:r>
      <w:r>
        <w:t>of</w:t>
      </w:r>
      <w:r>
        <w:rPr>
          <w:spacing w:val="-4"/>
        </w:rPr>
        <w:t xml:space="preserve"> </w:t>
      </w:r>
      <w:r>
        <w:t>key</w:t>
      </w:r>
      <w:r>
        <w:rPr>
          <w:spacing w:val="-3"/>
        </w:rPr>
        <w:t xml:space="preserve"> </w:t>
      </w:r>
      <w:r>
        <w:t>staff,</w:t>
      </w:r>
      <w:r>
        <w:rPr>
          <w:spacing w:val="-4"/>
        </w:rPr>
        <w:t xml:space="preserve"> </w:t>
      </w:r>
      <w:r>
        <w:t>and</w:t>
      </w:r>
      <w:r>
        <w:rPr>
          <w:spacing w:val="-3"/>
        </w:rPr>
        <w:t xml:space="preserve"> </w:t>
      </w:r>
      <w:r>
        <w:t>the</w:t>
      </w:r>
      <w:r>
        <w:rPr>
          <w:spacing w:val="-3"/>
        </w:rPr>
        <w:t xml:space="preserve"> </w:t>
      </w:r>
      <w:hyperlink r:id="rId787">
        <w:r>
          <w:rPr>
            <w:color w:val="1154CC"/>
            <w:u w:val="single" w:color="1154CC"/>
          </w:rPr>
          <w:t>annual</w:t>
        </w:r>
      </w:hyperlink>
      <w:r>
        <w:rPr>
          <w:color w:val="1154CC"/>
        </w:rPr>
        <w:t xml:space="preserve"> </w:t>
      </w:r>
      <w:hyperlink r:id="rId788">
        <w:r>
          <w:rPr>
            <w:color w:val="1154CC"/>
            <w:u w:val="single" w:color="1154CC"/>
          </w:rPr>
          <w:t>Commissioner's</w:t>
        </w:r>
        <w:r>
          <w:rPr>
            <w:color w:val="1154CC"/>
            <w:spacing w:val="-11"/>
            <w:u w:val="single" w:color="1154CC"/>
          </w:rPr>
          <w:t xml:space="preserve"> </w:t>
        </w:r>
        <w:r>
          <w:rPr>
            <w:color w:val="1154CC"/>
            <w:u w:val="single" w:color="1154CC"/>
          </w:rPr>
          <w:t>letter</w:t>
        </w:r>
        <w:r>
          <w:rPr>
            <w:color w:val="1154CC"/>
            <w:spacing w:val="-11"/>
            <w:u w:val="single" w:color="1154CC"/>
          </w:rPr>
          <w:t xml:space="preserve"> </w:t>
        </w:r>
        <w:r>
          <w:rPr>
            <w:color w:val="1154CC"/>
            <w:u w:val="single" w:color="1154CC"/>
          </w:rPr>
          <w:t>to</w:t>
        </w:r>
        <w:r>
          <w:rPr>
            <w:color w:val="1154CC"/>
            <w:spacing w:val="-10"/>
            <w:u w:val="single" w:color="1154CC"/>
          </w:rPr>
          <w:t xml:space="preserve"> </w:t>
        </w:r>
        <w:r>
          <w:rPr>
            <w:color w:val="1154CC"/>
            <w:u w:val="single" w:color="1154CC"/>
          </w:rPr>
          <w:t>school</w:t>
        </w:r>
        <w:r>
          <w:rPr>
            <w:color w:val="1154CC"/>
            <w:spacing w:val="-12"/>
            <w:u w:val="single" w:color="1154CC"/>
          </w:rPr>
          <w:t xml:space="preserve"> </w:t>
        </w:r>
        <w:r>
          <w:rPr>
            <w:color w:val="1154CC"/>
            <w:u w:val="single" w:color="1154CC"/>
          </w:rPr>
          <w:t>administrators.</w:t>
        </w:r>
      </w:hyperlink>
      <w:r>
        <w:rPr>
          <w:color w:val="1154CC"/>
          <w:spacing w:val="-9"/>
        </w:rPr>
        <w:t xml:space="preserve"> </w:t>
      </w:r>
      <w:r>
        <w:t>The</w:t>
      </w:r>
      <w:r>
        <w:rPr>
          <w:spacing w:val="-11"/>
        </w:rPr>
        <w:t xml:space="preserve"> </w:t>
      </w:r>
      <w:r>
        <w:t>Commission</w:t>
      </w:r>
      <w:r>
        <w:rPr>
          <w:spacing w:val="-12"/>
        </w:rPr>
        <w:t xml:space="preserve"> </w:t>
      </w:r>
      <w:r>
        <w:t>also</w:t>
      </w:r>
      <w:r>
        <w:rPr>
          <w:spacing w:val="-10"/>
        </w:rPr>
        <w:t xml:space="preserve"> </w:t>
      </w:r>
      <w:r>
        <w:t>thanks</w:t>
      </w:r>
      <w:r>
        <w:rPr>
          <w:spacing w:val="-11"/>
        </w:rPr>
        <w:t xml:space="preserve"> </w:t>
      </w:r>
      <w:r>
        <w:t>DESE</w:t>
      </w:r>
      <w:r>
        <w:rPr>
          <w:spacing w:val="-11"/>
        </w:rPr>
        <w:t xml:space="preserve"> </w:t>
      </w:r>
      <w:r>
        <w:t>for</w:t>
      </w:r>
      <w:r>
        <w:rPr>
          <w:spacing w:val="-9"/>
        </w:rPr>
        <w:t xml:space="preserve"> </w:t>
      </w:r>
      <w:r>
        <w:t>providing</w:t>
      </w:r>
      <w:r>
        <w:rPr>
          <w:spacing w:val="-10"/>
        </w:rPr>
        <w:t xml:space="preserve"> </w:t>
      </w:r>
      <w:r>
        <w:t>space</w:t>
      </w:r>
      <w:r>
        <w:rPr>
          <w:spacing w:val="-8"/>
        </w:rPr>
        <w:t xml:space="preserve"> </w:t>
      </w:r>
      <w:r>
        <w:t>and support for the Safe Schools Program for LGBTQ Students.</w:t>
      </w:r>
    </w:p>
    <w:p w:rsidR="00200FDA" w:rsidRDefault="00200FDA">
      <w:pPr>
        <w:pStyle w:val="BodyText"/>
        <w:spacing w:before="9"/>
        <w:rPr>
          <w:sz w:val="19"/>
        </w:rPr>
      </w:pPr>
    </w:p>
    <w:p w:rsidR="00200FDA" w:rsidRDefault="00F76C4C">
      <w:pPr>
        <w:pStyle w:val="BodyText"/>
        <w:ind w:left="280" w:right="272" w:firstLine="50"/>
        <w:jc w:val="both"/>
      </w:pPr>
      <w:r>
        <w:t>Part of the MOU with DESE includes annual meetings with the DESE Commissioner and presentations every other year to the Board of Elementary and Secondary Education. The Commission had its first meeting</w:t>
      </w:r>
      <w:r>
        <w:rPr>
          <w:spacing w:val="-6"/>
        </w:rPr>
        <w:t xml:space="preserve"> </w:t>
      </w:r>
      <w:r>
        <w:t>with</w:t>
      </w:r>
      <w:r>
        <w:rPr>
          <w:spacing w:val="-6"/>
        </w:rPr>
        <w:t xml:space="preserve"> </w:t>
      </w:r>
      <w:r>
        <w:t>current</w:t>
      </w:r>
      <w:r>
        <w:rPr>
          <w:spacing w:val="-5"/>
        </w:rPr>
        <w:t xml:space="preserve"> </w:t>
      </w:r>
      <w:r>
        <w:t>Commissioner</w:t>
      </w:r>
      <w:r>
        <w:rPr>
          <w:spacing w:val="-6"/>
        </w:rPr>
        <w:t xml:space="preserve"> </w:t>
      </w:r>
      <w:r>
        <w:t>Jeffrey</w:t>
      </w:r>
      <w:r>
        <w:rPr>
          <w:spacing w:val="-5"/>
        </w:rPr>
        <w:t xml:space="preserve"> </w:t>
      </w:r>
      <w:r>
        <w:t>C.</w:t>
      </w:r>
      <w:r>
        <w:rPr>
          <w:spacing w:val="-6"/>
        </w:rPr>
        <w:t xml:space="preserve"> </w:t>
      </w:r>
      <w:r>
        <w:t>Riley</w:t>
      </w:r>
      <w:r>
        <w:rPr>
          <w:spacing w:val="-5"/>
        </w:rPr>
        <w:t xml:space="preserve"> </w:t>
      </w:r>
      <w:r>
        <w:t>in</w:t>
      </w:r>
      <w:r>
        <w:rPr>
          <w:spacing w:val="-9"/>
        </w:rPr>
        <w:t xml:space="preserve"> </w:t>
      </w:r>
      <w:r>
        <w:t>the</w:t>
      </w:r>
      <w:r>
        <w:rPr>
          <w:spacing w:val="-5"/>
        </w:rPr>
        <w:t xml:space="preserve"> </w:t>
      </w:r>
      <w:r>
        <w:t>summ</w:t>
      </w:r>
      <w:r>
        <w:t>er</w:t>
      </w:r>
      <w:r>
        <w:rPr>
          <w:spacing w:val="-8"/>
        </w:rPr>
        <w:t xml:space="preserve"> </w:t>
      </w:r>
      <w:r>
        <w:t>of</w:t>
      </w:r>
      <w:r>
        <w:rPr>
          <w:spacing w:val="-8"/>
        </w:rPr>
        <w:t xml:space="preserve"> </w:t>
      </w:r>
      <w:r>
        <w:t>2018,</w:t>
      </w:r>
      <w:r>
        <w:rPr>
          <w:spacing w:val="-8"/>
        </w:rPr>
        <w:t xml:space="preserve"> </w:t>
      </w:r>
      <w:r>
        <w:t>which</w:t>
      </w:r>
      <w:r>
        <w:rPr>
          <w:spacing w:val="-6"/>
        </w:rPr>
        <w:t xml:space="preserve"> </w:t>
      </w:r>
      <w:r>
        <w:t>proved</w:t>
      </w:r>
      <w:r>
        <w:rPr>
          <w:spacing w:val="-9"/>
        </w:rPr>
        <w:t xml:space="preserve"> </w:t>
      </w:r>
      <w:r>
        <w:t>very</w:t>
      </w:r>
      <w:r>
        <w:rPr>
          <w:spacing w:val="-5"/>
        </w:rPr>
        <w:t xml:space="preserve"> </w:t>
      </w:r>
      <w:r>
        <w:t>productive in introducing the Commissioner to the Commission and Safe Schools Program, and identifying shared priorities. Since then, Commissioner Riley has continued to support the Commission and Program, including sending ou</w:t>
      </w:r>
      <w:r>
        <w:t>t the annual Commissioner’s letter to schools explaining the Safe Schools</w:t>
      </w:r>
      <w:r>
        <w:rPr>
          <w:spacing w:val="-3"/>
        </w:rPr>
        <w:t xml:space="preserve"> </w:t>
      </w:r>
      <w:r>
        <w:t>Program’s services.</w:t>
      </w:r>
      <w:r>
        <w:rPr>
          <w:spacing w:val="-1"/>
        </w:rPr>
        <w:t xml:space="preserve"> </w:t>
      </w:r>
      <w:r>
        <w:t>The Commission</w:t>
      </w:r>
      <w:r>
        <w:rPr>
          <w:spacing w:val="-2"/>
        </w:rPr>
        <w:t xml:space="preserve"> </w:t>
      </w:r>
      <w:r>
        <w:t>met</w:t>
      </w:r>
      <w:r>
        <w:rPr>
          <w:spacing w:val="-3"/>
        </w:rPr>
        <w:t xml:space="preserve"> </w:t>
      </w:r>
      <w:r>
        <w:t>with</w:t>
      </w:r>
      <w:r>
        <w:rPr>
          <w:spacing w:val="-2"/>
        </w:rPr>
        <w:t xml:space="preserve"> </w:t>
      </w:r>
      <w:r>
        <w:t>Commissioner</w:t>
      </w:r>
      <w:r>
        <w:rPr>
          <w:spacing w:val="-1"/>
        </w:rPr>
        <w:t xml:space="preserve"> </w:t>
      </w:r>
      <w:r>
        <w:t>Riley and</w:t>
      </w:r>
      <w:r>
        <w:rPr>
          <w:spacing w:val="-2"/>
        </w:rPr>
        <w:t xml:space="preserve"> </w:t>
      </w:r>
      <w:r>
        <w:t>DESE</w:t>
      </w:r>
      <w:r>
        <w:rPr>
          <w:spacing w:val="-1"/>
        </w:rPr>
        <w:t xml:space="preserve"> </w:t>
      </w:r>
      <w:r>
        <w:t>staff</w:t>
      </w:r>
      <w:r>
        <w:rPr>
          <w:spacing w:val="-1"/>
        </w:rPr>
        <w:t xml:space="preserve"> </w:t>
      </w:r>
      <w:r>
        <w:t>in</w:t>
      </w:r>
      <w:r>
        <w:rPr>
          <w:spacing w:val="-2"/>
        </w:rPr>
        <w:t xml:space="preserve"> </w:t>
      </w:r>
      <w:r>
        <w:t>March</w:t>
      </w:r>
      <w:r>
        <w:rPr>
          <w:spacing w:val="-4"/>
        </w:rPr>
        <w:t xml:space="preserve"> </w:t>
      </w:r>
      <w:r>
        <w:t>2020,</w:t>
      </w:r>
      <w:r>
        <w:rPr>
          <w:spacing w:val="-1"/>
        </w:rPr>
        <w:t xml:space="preserve"> </w:t>
      </w:r>
      <w:r>
        <w:t>shortly before the COVID-19 crisis.</w:t>
      </w:r>
    </w:p>
    <w:p w:rsidR="00200FDA" w:rsidRDefault="00200FDA">
      <w:pPr>
        <w:pStyle w:val="BodyText"/>
        <w:spacing w:before="7"/>
        <w:rPr>
          <w:sz w:val="19"/>
        </w:rPr>
      </w:pPr>
    </w:p>
    <w:p w:rsidR="00200FDA" w:rsidRDefault="00F76C4C">
      <w:pPr>
        <w:pStyle w:val="BodyText"/>
        <w:ind w:left="280" w:right="332"/>
        <w:jc w:val="both"/>
      </w:pPr>
      <w:r>
        <w:t>In spring of 2023, Commissioner Riley met with the C</w:t>
      </w:r>
      <w:r>
        <w:t>ommission staff and student members of the GSA Student Leadership Council. The biannual presentation to the Board of Elementary and Secondary Education</w:t>
      </w:r>
      <w:r>
        <w:rPr>
          <w:spacing w:val="-9"/>
        </w:rPr>
        <w:t xml:space="preserve"> </w:t>
      </w:r>
      <w:r>
        <w:t>is</w:t>
      </w:r>
      <w:r>
        <w:rPr>
          <w:spacing w:val="-8"/>
        </w:rPr>
        <w:t xml:space="preserve"> </w:t>
      </w:r>
      <w:r>
        <w:t>anticipated</w:t>
      </w:r>
      <w:r>
        <w:rPr>
          <w:spacing w:val="-9"/>
        </w:rPr>
        <w:t xml:space="preserve"> </w:t>
      </w:r>
      <w:r>
        <w:t>for</w:t>
      </w:r>
      <w:r>
        <w:rPr>
          <w:spacing w:val="-11"/>
        </w:rPr>
        <w:t xml:space="preserve"> </w:t>
      </w:r>
      <w:r>
        <w:t>spring</w:t>
      </w:r>
      <w:r>
        <w:rPr>
          <w:spacing w:val="-9"/>
        </w:rPr>
        <w:t xml:space="preserve"> </w:t>
      </w:r>
      <w:r>
        <w:t>of</w:t>
      </w:r>
      <w:r>
        <w:rPr>
          <w:spacing w:val="-8"/>
        </w:rPr>
        <w:t xml:space="preserve"> </w:t>
      </w:r>
      <w:r>
        <w:t>2023</w:t>
      </w:r>
      <w:r>
        <w:rPr>
          <w:spacing w:val="-7"/>
        </w:rPr>
        <w:t xml:space="preserve"> </w:t>
      </w:r>
      <w:r>
        <w:t>as</w:t>
      </w:r>
      <w:r>
        <w:rPr>
          <w:spacing w:val="-8"/>
        </w:rPr>
        <w:t xml:space="preserve"> </w:t>
      </w:r>
      <w:r>
        <w:t>well.</w:t>
      </w:r>
      <w:r>
        <w:rPr>
          <w:spacing w:val="-8"/>
        </w:rPr>
        <w:t xml:space="preserve"> </w:t>
      </w:r>
      <w:r>
        <w:t>The</w:t>
      </w:r>
      <w:r>
        <w:rPr>
          <w:spacing w:val="-10"/>
        </w:rPr>
        <w:t xml:space="preserve"> </w:t>
      </w:r>
      <w:r>
        <w:t>Safe</w:t>
      </w:r>
      <w:r>
        <w:rPr>
          <w:spacing w:val="-8"/>
        </w:rPr>
        <w:t xml:space="preserve"> </w:t>
      </w:r>
      <w:r>
        <w:t>Schools</w:t>
      </w:r>
      <w:r>
        <w:rPr>
          <w:spacing w:val="-8"/>
        </w:rPr>
        <w:t xml:space="preserve"> </w:t>
      </w:r>
      <w:r>
        <w:t>Program</w:t>
      </w:r>
      <w:r>
        <w:rPr>
          <w:spacing w:val="-7"/>
        </w:rPr>
        <w:t xml:space="preserve"> </w:t>
      </w:r>
      <w:r>
        <w:t>for</w:t>
      </w:r>
      <w:r>
        <w:rPr>
          <w:spacing w:val="-8"/>
        </w:rPr>
        <w:t xml:space="preserve"> </w:t>
      </w:r>
      <w:r>
        <w:t>LGBTQ</w:t>
      </w:r>
      <w:r>
        <w:rPr>
          <w:spacing w:val="-8"/>
        </w:rPr>
        <w:t xml:space="preserve"> </w:t>
      </w:r>
      <w:r>
        <w:t>Students</w:t>
      </w:r>
      <w:r>
        <w:rPr>
          <w:spacing w:val="-8"/>
        </w:rPr>
        <w:t xml:space="preserve"> </w:t>
      </w:r>
      <w:r>
        <w:t>and</w:t>
      </w:r>
      <w:r>
        <w:rPr>
          <w:spacing w:val="-9"/>
        </w:rPr>
        <w:t xml:space="preserve"> </w:t>
      </w:r>
      <w:r>
        <w:t>MA Commission on LGBTQ Youth staff discussed with Commissioner Riley the rise in anti-LGBTQ actions within schools across the state, highlighting opportunities for DESE and the Board of Elementary and Secondary Education to continue its leadership in prote</w:t>
      </w:r>
      <w:r>
        <w:t>cting LGBTQ students of the Commonwealth.</w:t>
      </w:r>
    </w:p>
    <w:p w:rsidR="00200FDA" w:rsidRDefault="00200FDA">
      <w:pPr>
        <w:pStyle w:val="BodyText"/>
      </w:pPr>
    </w:p>
    <w:p w:rsidR="00200FDA" w:rsidRDefault="00F76C4C">
      <w:pPr>
        <w:pStyle w:val="Heading7"/>
        <w:spacing w:before="135"/>
        <w:jc w:val="both"/>
      </w:pPr>
      <w:r>
        <w:pict>
          <v:rect id="docshape516" o:spid="_x0000_s1100" style="position:absolute;left:0;text-align:left;margin-left:70.55pt;margin-top:24.75pt;width:470.9pt;height:.5pt;z-index:-15627776;mso-wrap-distance-left:0;mso-wrap-distance-right:0;mso-position-horizontal-relative:page" fillcolor="#4f81bc" stroked="f">
            <w10:wrap type="topAndBottom" anchorx="page"/>
          </v:rect>
        </w:pict>
      </w:r>
      <w:bookmarkStart w:id="1074" w:name="FY_2024_Expanded_DESE_Recommendations"/>
      <w:bookmarkEnd w:id="1074"/>
      <w:r>
        <w:rPr>
          <w:color w:val="365F91"/>
        </w:rPr>
        <w:t>FY</w:t>
      </w:r>
      <w:r>
        <w:rPr>
          <w:color w:val="365F91"/>
          <w:spacing w:val="-4"/>
        </w:rPr>
        <w:t xml:space="preserve"> </w:t>
      </w:r>
      <w:r>
        <w:rPr>
          <w:color w:val="365F91"/>
        </w:rPr>
        <w:t>2024</w:t>
      </w:r>
      <w:r>
        <w:rPr>
          <w:color w:val="365F91"/>
          <w:spacing w:val="-4"/>
        </w:rPr>
        <w:t xml:space="preserve"> </w:t>
      </w:r>
      <w:r>
        <w:rPr>
          <w:color w:val="365F91"/>
        </w:rPr>
        <w:t>Expanded</w:t>
      </w:r>
      <w:r>
        <w:rPr>
          <w:color w:val="365F91"/>
          <w:spacing w:val="-3"/>
        </w:rPr>
        <w:t xml:space="preserve"> </w:t>
      </w:r>
      <w:r>
        <w:rPr>
          <w:color w:val="365F91"/>
        </w:rPr>
        <w:t>DESE</w:t>
      </w:r>
      <w:r>
        <w:rPr>
          <w:color w:val="365F91"/>
          <w:spacing w:val="-4"/>
        </w:rPr>
        <w:t xml:space="preserve"> </w:t>
      </w:r>
      <w:r>
        <w:rPr>
          <w:color w:val="365F91"/>
          <w:spacing w:val="-2"/>
        </w:rPr>
        <w:t>Recommendations</w:t>
      </w:r>
    </w:p>
    <w:p w:rsidR="00200FDA" w:rsidRDefault="00200FDA">
      <w:pPr>
        <w:pStyle w:val="BodyText"/>
        <w:rPr>
          <w:sz w:val="20"/>
        </w:rPr>
      </w:pPr>
    </w:p>
    <w:p w:rsidR="00200FDA" w:rsidRDefault="00200FDA">
      <w:pPr>
        <w:pStyle w:val="BodyText"/>
        <w:rPr>
          <w:sz w:val="17"/>
        </w:rPr>
      </w:pPr>
    </w:p>
    <w:p w:rsidR="00200FDA" w:rsidRDefault="00F76C4C">
      <w:pPr>
        <w:pStyle w:val="ListParagraph"/>
        <w:numPr>
          <w:ilvl w:val="0"/>
          <w:numId w:val="19"/>
        </w:numPr>
        <w:tabs>
          <w:tab w:val="left" w:pos="511"/>
        </w:tabs>
        <w:spacing w:before="56"/>
        <w:ind w:right="332" w:firstLine="0"/>
        <w:rPr>
          <w:b/>
        </w:rPr>
      </w:pPr>
      <w:r>
        <w:rPr>
          <w:b/>
        </w:rPr>
        <w:t xml:space="preserve">Update and publish the </w:t>
      </w:r>
      <w:r>
        <w:rPr>
          <w:b/>
          <w:i/>
        </w:rPr>
        <w:t xml:space="preserve">Guidance for Massachusetts Public Schools Creating a Safe and Supportive School Environment </w:t>
      </w:r>
      <w:r>
        <w:rPr>
          <w:b/>
        </w:rPr>
        <w:t>to be implemented in the 2023-2024 school year.</w:t>
      </w:r>
    </w:p>
    <w:p w:rsidR="00200FDA" w:rsidRDefault="00200FDA">
      <w:pPr>
        <w:pStyle w:val="BodyText"/>
        <w:spacing w:before="8"/>
        <w:rPr>
          <w:b/>
          <w:sz w:val="19"/>
        </w:rPr>
      </w:pPr>
    </w:p>
    <w:p w:rsidR="00200FDA" w:rsidRDefault="00F76C4C">
      <w:pPr>
        <w:pStyle w:val="BodyText"/>
        <w:ind w:left="279" w:right="333"/>
        <w:jc w:val="both"/>
      </w:pPr>
      <w:r>
        <w:t>Given th</w:t>
      </w:r>
      <w:r>
        <w:t xml:space="preserve">at ten years have passed since the implementation of the updated student anti-discrimination law to include gender identity, and given the increase in requests for clarity on the Guidance, the Commission recommends that DESE revise and publish the </w:t>
      </w:r>
      <w:hyperlink r:id="rId789">
        <w:r>
          <w:rPr>
            <w:color w:val="1154CC"/>
            <w:u w:val="single" w:color="1154CC"/>
          </w:rPr>
          <w:t>Guidance for Massachusetts Public Schools</w:t>
        </w:r>
      </w:hyperlink>
      <w:r>
        <w:rPr>
          <w:color w:val="1154CC"/>
        </w:rPr>
        <w:t xml:space="preserve"> </w:t>
      </w:r>
      <w:hyperlink r:id="rId790">
        <w:r>
          <w:rPr>
            <w:color w:val="1154CC"/>
            <w:u w:val="single" w:color="1154CC"/>
          </w:rPr>
          <w:t>Creating a Safe and Supportive School Environment</w:t>
        </w:r>
      </w:hyperlink>
      <w:r>
        <w:rPr>
          <w:color w:val="1154CC"/>
        </w:rPr>
        <w:t xml:space="preserve"> </w:t>
      </w:r>
      <w:r>
        <w:t xml:space="preserve">to be introduced in the </w:t>
      </w:r>
      <w:r>
        <w:t>2023-2024 school year. We</w:t>
      </w:r>
    </w:p>
    <w:p w:rsidR="00200FDA" w:rsidRDefault="00200FDA">
      <w:pPr>
        <w:jc w:val="both"/>
        <w:sectPr w:rsidR="00200FDA">
          <w:pgSz w:w="12240" w:h="15840"/>
          <w:pgMar w:top="1260" w:right="1160" w:bottom="1240" w:left="1160" w:header="761" w:footer="994" w:gutter="0"/>
          <w:cols w:space="720"/>
        </w:sectPr>
      </w:pPr>
    </w:p>
    <w:p w:rsidR="00200FDA" w:rsidRDefault="00200FDA">
      <w:pPr>
        <w:pStyle w:val="BodyText"/>
        <w:rPr>
          <w:sz w:val="9"/>
        </w:rPr>
      </w:pPr>
    </w:p>
    <w:p w:rsidR="00200FDA" w:rsidRDefault="00F76C4C">
      <w:pPr>
        <w:pStyle w:val="BodyText"/>
        <w:spacing w:before="56"/>
        <w:ind w:left="280" w:right="335"/>
        <w:jc w:val="both"/>
      </w:pPr>
      <w:r>
        <w:t>recommend this happens through a thoughtful facilitated partnership between DESE and the Safe Schools Program for LGBTQ Students staff, including many stakeholders throughout the state to best reflect the current needs of LGBTQ youth across the Commonwealt</w:t>
      </w:r>
      <w:r>
        <w:t>h.</w:t>
      </w:r>
    </w:p>
    <w:p w:rsidR="00200FDA" w:rsidRDefault="00200FDA">
      <w:pPr>
        <w:pStyle w:val="BodyText"/>
      </w:pPr>
    </w:p>
    <w:p w:rsidR="00200FDA" w:rsidRDefault="00200FDA">
      <w:pPr>
        <w:pStyle w:val="BodyText"/>
        <w:spacing w:before="6"/>
        <w:rPr>
          <w:sz w:val="19"/>
        </w:rPr>
      </w:pPr>
    </w:p>
    <w:p w:rsidR="00200FDA" w:rsidRDefault="00F76C4C">
      <w:pPr>
        <w:pStyle w:val="Heading9"/>
        <w:numPr>
          <w:ilvl w:val="0"/>
          <w:numId w:val="19"/>
        </w:numPr>
        <w:tabs>
          <w:tab w:val="left" w:pos="509"/>
        </w:tabs>
        <w:ind w:right="332" w:firstLine="0"/>
        <w:jc w:val="both"/>
      </w:pPr>
      <w:r>
        <w:t>Continue collaboration with the Commission on the Safe Schools Program for LGBTQ Students and programs in special education, early education, adult education, human development and sexual health,</w:t>
      </w:r>
      <w:r>
        <w:rPr>
          <w:spacing w:val="-13"/>
        </w:rPr>
        <w:t xml:space="preserve"> </w:t>
      </w:r>
      <w:r>
        <w:t>mental</w:t>
      </w:r>
      <w:r>
        <w:rPr>
          <w:spacing w:val="-12"/>
        </w:rPr>
        <w:t xml:space="preserve"> </w:t>
      </w:r>
      <w:r>
        <w:t>health,</w:t>
      </w:r>
      <w:r>
        <w:rPr>
          <w:spacing w:val="-13"/>
        </w:rPr>
        <w:t xml:space="preserve"> </w:t>
      </w:r>
      <w:r>
        <w:t>after</w:t>
      </w:r>
      <w:r>
        <w:rPr>
          <w:spacing w:val="-12"/>
        </w:rPr>
        <w:t xml:space="preserve"> </w:t>
      </w:r>
      <w:r>
        <w:t>school</w:t>
      </w:r>
      <w:r>
        <w:rPr>
          <w:spacing w:val="-13"/>
        </w:rPr>
        <w:t xml:space="preserve"> </w:t>
      </w:r>
      <w:r>
        <w:t>programming,</w:t>
      </w:r>
      <w:r>
        <w:rPr>
          <w:spacing w:val="-12"/>
        </w:rPr>
        <w:t xml:space="preserve"> </w:t>
      </w:r>
      <w:r>
        <w:t>curriculum,</w:t>
      </w:r>
      <w:r>
        <w:rPr>
          <w:spacing w:val="-13"/>
        </w:rPr>
        <w:t xml:space="preserve"> </w:t>
      </w:r>
      <w:r>
        <w:t>ho</w:t>
      </w:r>
      <w:r>
        <w:t>meless</w:t>
      </w:r>
      <w:r>
        <w:rPr>
          <w:spacing w:val="-12"/>
        </w:rPr>
        <w:t xml:space="preserve"> </w:t>
      </w:r>
      <w:r>
        <w:t>assistance,</w:t>
      </w:r>
      <w:r>
        <w:rPr>
          <w:spacing w:val="-12"/>
        </w:rPr>
        <w:t xml:space="preserve"> </w:t>
      </w:r>
      <w:r>
        <w:t>family</w:t>
      </w:r>
      <w:r>
        <w:rPr>
          <w:spacing w:val="-13"/>
        </w:rPr>
        <w:t xml:space="preserve"> </w:t>
      </w:r>
      <w:r>
        <w:t>engagement, student leadership, rethinking discipline, and safe and supportive schools.</w:t>
      </w:r>
    </w:p>
    <w:p w:rsidR="00200FDA" w:rsidRDefault="00200FDA">
      <w:pPr>
        <w:pStyle w:val="BodyText"/>
        <w:spacing w:before="9"/>
        <w:rPr>
          <w:b/>
          <w:sz w:val="19"/>
        </w:rPr>
      </w:pPr>
    </w:p>
    <w:p w:rsidR="00200FDA" w:rsidRDefault="00F76C4C">
      <w:pPr>
        <w:pStyle w:val="BodyText"/>
        <w:ind w:left="280" w:right="334"/>
        <w:jc w:val="both"/>
      </w:pPr>
      <w:r>
        <w:t>LGBTQ students and families need safe and supportive learning environments both in and out of the classroom.</w:t>
      </w:r>
      <w:r>
        <w:rPr>
          <w:spacing w:val="-2"/>
        </w:rPr>
        <w:t xml:space="preserve"> </w:t>
      </w:r>
      <w:r>
        <w:t>LGBTQ</w:t>
      </w:r>
      <w:r>
        <w:rPr>
          <w:spacing w:val="-2"/>
        </w:rPr>
        <w:t xml:space="preserve"> </w:t>
      </w:r>
      <w:r>
        <w:t>students</w:t>
      </w:r>
      <w:r>
        <w:rPr>
          <w:spacing w:val="-4"/>
        </w:rPr>
        <w:t xml:space="preserve"> </w:t>
      </w:r>
      <w:r>
        <w:t>may</w:t>
      </w:r>
      <w:r>
        <w:rPr>
          <w:spacing w:val="-3"/>
        </w:rPr>
        <w:t xml:space="preserve"> </w:t>
      </w:r>
      <w:r>
        <w:t>have</w:t>
      </w:r>
      <w:r>
        <w:rPr>
          <w:spacing w:val="-4"/>
        </w:rPr>
        <w:t xml:space="preserve"> </w:t>
      </w:r>
      <w:r>
        <w:t>unique</w:t>
      </w:r>
      <w:r>
        <w:rPr>
          <w:spacing w:val="-1"/>
        </w:rPr>
        <w:t xml:space="preserve"> </w:t>
      </w:r>
      <w:r>
        <w:t>n</w:t>
      </w:r>
      <w:r>
        <w:t>eeds</w:t>
      </w:r>
      <w:r>
        <w:rPr>
          <w:spacing w:val="-2"/>
        </w:rPr>
        <w:t xml:space="preserve"> </w:t>
      </w:r>
      <w:r>
        <w:t>based</w:t>
      </w:r>
      <w:r>
        <w:rPr>
          <w:spacing w:val="-3"/>
        </w:rPr>
        <w:t xml:space="preserve"> </w:t>
      </w:r>
      <w:r>
        <w:t>on</w:t>
      </w:r>
      <w:r>
        <w:rPr>
          <w:spacing w:val="-3"/>
        </w:rPr>
        <w:t xml:space="preserve"> </w:t>
      </w:r>
      <w:r>
        <w:t>race,</w:t>
      </w:r>
      <w:r>
        <w:rPr>
          <w:spacing w:val="-2"/>
        </w:rPr>
        <w:t xml:space="preserve"> </w:t>
      </w:r>
      <w:r>
        <w:t>ethnicity,</w:t>
      </w:r>
      <w:r>
        <w:rPr>
          <w:spacing w:val="-4"/>
        </w:rPr>
        <w:t xml:space="preserve"> </w:t>
      </w:r>
      <w:r>
        <w:t>age,</w:t>
      </w:r>
      <w:r>
        <w:rPr>
          <w:spacing w:val="-4"/>
        </w:rPr>
        <w:t xml:space="preserve"> </w:t>
      </w:r>
      <w:r>
        <w:t>disability,</w:t>
      </w:r>
      <w:r>
        <w:rPr>
          <w:spacing w:val="-2"/>
        </w:rPr>
        <w:t xml:space="preserve"> </w:t>
      </w:r>
      <w:r>
        <w:t>experiences of</w:t>
      </w:r>
      <w:r>
        <w:rPr>
          <w:spacing w:val="-5"/>
        </w:rPr>
        <w:t xml:space="preserve"> </w:t>
      </w:r>
      <w:r>
        <w:t>trauma,</w:t>
      </w:r>
      <w:r>
        <w:rPr>
          <w:spacing w:val="-7"/>
        </w:rPr>
        <w:t xml:space="preserve"> </w:t>
      </w:r>
      <w:r>
        <w:t>and</w:t>
      </w:r>
      <w:r>
        <w:rPr>
          <w:spacing w:val="-5"/>
        </w:rPr>
        <w:t xml:space="preserve"> </w:t>
      </w:r>
      <w:r>
        <w:t>more.</w:t>
      </w:r>
      <w:r>
        <w:rPr>
          <w:spacing w:val="-5"/>
        </w:rPr>
        <w:t xml:space="preserve"> </w:t>
      </w:r>
      <w:r>
        <w:t>By</w:t>
      </w:r>
      <w:r>
        <w:rPr>
          <w:spacing w:val="-6"/>
        </w:rPr>
        <w:t xml:space="preserve"> </w:t>
      </w:r>
      <w:r>
        <w:t>leveraging</w:t>
      </w:r>
      <w:r>
        <w:rPr>
          <w:spacing w:val="-5"/>
        </w:rPr>
        <w:t xml:space="preserve"> </w:t>
      </w:r>
      <w:r>
        <w:t>the</w:t>
      </w:r>
      <w:r>
        <w:rPr>
          <w:spacing w:val="-6"/>
        </w:rPr>
        <w:t xml:space="preserve"> </w:t>
      </w:r>
      <w:r>
        <w:t>resources</w:t>
      </w:r>
      <w:r>
        <w:rPr>
          <w:spacing w:val="-7"/>
        </w:rPr>
        <w:t xml:space="preserve"> </w:t>
      </w:r>
      <w:r>
        <w:t>of</w:t>
      </w:r>
      <w:r>
        <w:rPr>
          <w:spacing w:val="-5"/>
        </w:rPr>
        <w:t xml:space="preserve"> </w:t>
      </w:r>
      <w:r>
        <w:t>the</w:t>
      </w:r>
      <w:r>
        <w:rPr>
          <w:spacing w:val="-4"/>
        </w:rPr>
        <w:t xml:space="preserve"> </w:t>
      </w:r>
      <w:r>
        <w:t>Safe</w:t>
      </w:r>
      <w:r>
        <w:rPr>
          <w:spacing w:val="-4"/>
        </w:rPr>
        <w:t xml:space="preserve"> </w:t>
      </w:r>
      <w:r>
        <w:t>Schools</w:t>
      </w:r>
      <w:r>
        <w:rPr>
          <w:spacing w:val="-7"/>
        </w:rPr>
        <w:t xml:space="preserve"> </w:t>
      </w:r>
      <w:r>
        <w:t>Program</w:t>
      </w:r>
      <w:r>
        <w:rPr>
          <w:spacing w:val="-3"/>
        </w:rPr>
        <w:t xml:space="preserve"> </w:t>
      </w:r>
      <w:r>
        <w:t>for</w:t>
      </w:r>
      <w:r>
        <w:rPr>
          <w:spacing w:val="-4"/>
        </w:rPr>
        <w:t xml:space="preserve"> </w:t>
      </w:r>
      <w:r>
        <w:t>LGBTQ</w:t>
      </w:r>
      <w:r>
        <w:rPr>
          <w:spacing w:val="-4"/>
        </w:rPr>
        <w:t xml:space="preserve"> </w:t>
      </w:r>
      <w:r>
        <w:t>Students,</w:t>
      </w:r>
      <w:r>
        <w:rPr>
          <w:spacing w:val="-7"/>
        </w:rPr>
        <w:t xml:space="preserve"> </w:t>
      </w:r>
      <w:r>
        <w:t>DESE is addressing the needs of young people by incorporating LGBTQ topics in statewide and regional trainings. The Commission recommends that DESE continue to integrate resources and personnel from the Safe Schools Program for LGBTQ Students into programm</w:t>
      </w:r>
      <w:r>
        <w:t>atic work in these areas to maximize the opportunities provided for LGBTQ students and families.</w:t>
      </w:r>
    </w:p>
    <w:p w:rsidR="00200FDA" w:rsidRDefault="00200FDA">
      <w:pPr>
        <w:pStyle w:val="BodyText"/>
        <w:spacing w:before="7"/>
        <w:rPr>
          <w:sz w:val="19"/>
        </w:rPr>
      </w:pPr>
    </w:p>
    <w:p w:rsidR="00200FDA" w:rsidRDefault="00F76C4C">
      <w:pPr>
        <w:pStyle w:val="BodyText"/>
        <w:ind w:left="280" w:right="333"/>
        <w:jc w:val="both"/>
      </w:pPr>
      <w:r>
        <w:t>With the hiring of a Program Manager, Kimm Topping, in February 2021, the program has expanded its capacity</w:t>
      </w:r>
      <w:r>
        <w:rPr>
          <w:spacing w:val="-13"/>
        </w:rPr>
        <w:t xml:space="preserve"> </w:t>
      </w:r>
      <w:r>
        <w:t>with</w:t>
      </w:r>
      <w:r>
        <w:rPr>
          <w:spacing w:val="-12"/>
        </w:rPr>
        <w:t xml:space="preserve"> </w:t>
      </w:r>
      <w:r>
        <w:t>mentorship</w:t>
      </w:r>
      <w:r>
        <w:rPr>
          <w:spacing w:val="-13"/>
        </w:rPr>
        <w:t xml:space="preserve"> </w:t>
      </w:r>
      <w:r>
        <w:t>from</w:t>
      </w:r>
      <w:r>
        <w:rPr>
          <w:spacing w:val="-12"/>
        </w:rPr>
        <w:t xml:space="preserve"> </w:t>
      </w:r>
      <w:r>
        <w:t>Jeff</w:t>
      </w:r>
      <w:r>
        <w:rPr>
          <w:spacing w:val="-12"/>
        </w:rPr>
        <w:t xml:space="preserve"> </w:t>
      </w:r>
      <w:r>
        <w:t>Perrotti,</w:t>
      </w:r>
      <w:r>
        <w:rPr>
          <w:spacing w:val="-11"/>
        </w:rPr>
        <w:t xml:space="preserve"> </w:t>
      </w:r>
      <w:r>
        <w:t>Senior</w:t>
      </w:r>
      <w:r>
        <w:rPr>
          <w:spacing w:val="-12"/>
        </w:rPr>
        <w:t xml:space="preserve"> </w:t>
      </w:r>
      <w:r>
        <w:t>Consult</w:t>
      </w:r>
      <w:r>
        <w:t>ant</w:t>
      </w:r>
      <w:r>
        <w:rPr>
          <w:spacing w:val="-11"/>
        </w:rPr>
        <w:t xml:space="preserve"> </w:t>
      </w:r>
      <w:r>
        <w:t>and</w:t>
      </w:r>
      <w:r>
        <w:rPr>
          <w:spacing w:val="-12"/>
        </w:rPr>
        <w:t xml:space="preserve"> </w:t>
      </w:r>
      <w:r>
        <w:t>Founding</w:t>
      </w:r>
      <w:r>
        <w:rPr>
          <w:spacing w:val="-12"/>
        </w:rPr>
        <w:t xml:space="preserve"> </w:t>
      </w:r>
      <w:r>
        <w:t>Director,</w:t>
      </w:r>
      <w:r>
        <w:rPr>
          <w:spacing w:val="-11"/>
        </w:rPr>
        <w:t xml:space="preserve"> </w:t>
      </w:r>
      <w:r>
        <w:t>to</w:t>
      </w:r>
      <w:r>
        <w:rPr>
          <w:spacing w:val="-11"/>
        </w:rPr>
        <w:t xml:space="preserve"> </w:t>
      </w:r>
      <w:r>
        <w:t>build</w:t>
      </w:r>
      <w:r>
        <w:rPr>
          <w:spacing w:val="-12"/>
        </w:rPr>
        <w:t xml:space="preserve"> </w:t>
      </w:r>
      <w:r>
        <w:t>intentional relationships and document previous and future opportunities for collaboration. The program has expanded</w:t>
      </w:r>
      <w:r>
        <w:rPr>
          <w:spacing w:val="-10"/>
        </w:rPr>
        <w:t xml:space="preserve"> </w:t>
      </w:r>
      <w:r>
        <w:t>its</w:t>
      </w:r>
      <w:r>
        <w:rPr>
          <w:spacing w:val="-11"/>
        </w:rPr>
        <w:t xml:space="preserve"> </w:t>
      </w:r>
      <w:r>
        <w:t>capacity</w:t>
      </w:r>
      <w:r>
        <w:rPr>
          <w:spacing w:val="-11"/>
        </w:rPr>
        <w:t xml:space="preserve"> </w:t>
      </w:r>
      <w:r>
        <w:t>for</w:t>
      </w:r>
      <w:r>
        <w:rPr>
          <w:spacing w:val="-12"/>
        </w:rPr>
        <w:t xml:space="preserve"> </w:t>
      </w:r>
      <w:r>
        <w:t>training</w:t>
      </w:r>
      <w:r>
        <w:rPr>
          <w:spacing w:val="-10"/>
        </w:rPr>
        <w:t xml:space="preserve"> </w:t>
      </w:r>
      <w:r>
        <w:t>and</w:t>
      </w:r>
      <w:r>
        <w:rPr>
          <w:spacing w:val="-10"/>
        </w:rPr>
        <w:t xml:space="preserve"> </w:t>
      </w:r>
      <w:r>
        <w:t>technical</w:t>
      </w:r>
      <w:r>
        <w:rPr>
          <w:spacing w:val="-12"/>
        </w:rPr>
        <w:t xml:space="preserve"> </w:t>
      </w:r>
      <w:r>
        <w:t>assistance</w:t>
      </w:r>
      <w:r>
        <w:rPr>
          <w:spacing w:val="-8"/>
        </w:rPr>
        <w:t xml:space="preserve"> </w:t>
      </w:r>
      <w:r>
        <w:t>with</w:t>
      </w:r>
      <w:r>
        <w:rPr>
          <w:spacing w:val="-10"/>
        </w:rPr>
        <w:t xml:space="preserve"> </w:t>
      </w:r>
      <w:r>
        <w:t>the</w:t>
      </w:r>
      <w:r>
        <w:rPr>
          <w:spacing w:val="-11"/>
        </w:rPr>
        <w:t xml:space="preserve"> </w:t>
      </w:r>
      <w:r>
        <w:t>addition</w:t>
      </w:r>
      <w:r>
        <w:rPr>
          <w:spacing w:val="-12"/>
        </w:rPr>
        <w:t xml:space="preserve"> </w:t>
      </w:r>
      <w:r>
        <w:t>of</w:t>
      </w:r>
      <w:r>
        <w:rPr>
          <w:spacing w:val="-9"/>
        </w:rPr>
        <w:t xml:space="preserve"> </w:t>
      </w:r>
      <w:r>
        <w:t>two</w:t>
      </w:r>
      <w:r>
        <w:rPr>
          <w:spacing w:val="-10"/>
        </w:rPr>
        <w:t xml:space="preserve"> </w:t>
      </w:r>
      <w:r>
        <w:t>Lead</w:t>
      </w:r>
      <w:r>
        <w:rPr>
          <w:spacing w:val="-12"/>
        </w:rPr>
        <w:t xml:space="preserve"> </w:t>
      </w:r>
      <w:r>
        <w:t>Trainers,</w:t>
      </w:r>
      <w:r>
        <w:rPr>
          <w:spacing w:val="-11"/>
        </w:rPr>
        <w:t xml:space="preserve"> </w:t>
      </w:r>
      <w:r>
        <w:t>Landon Calla</w:t>
      </w:r>
      <w:r>
        <w:t>han in Eastern MA and Cas Martin in Western MA. Ev Gilbert, Youth Programs Coordinator, was promoted to a full-time role to better meet the needs of</w:t>
      </w:r>
      <w:r>
        <w:rPr>
          <w:spacing w:val="-2"/>
        </w:rPr>
        <w:t xml:space="preserve"> </w:t>
      </w:r>
      <w:r>
        <w:t>youth programming across the state, primarily through the work of the GSA Student Leadership Council in its</w:t>
      </w:r>
      <w:r>
        <w:t xml:space="preserve"> 13th year.</w:t>
      </w:r>
    </w:p>
    <w:p w:rsidR="00200FDA" w:rsidRDefault="00200FDA">
      <w:pPr>
        <w:pStyle w:val="BodyText"/>
        <w:spacing w:before="9"/>
        <w:rPr>
          <w:sz w:val="19"/>
        </w:rPr>
      </w:pPr>
    </w:p>
    <w:p w:rsidR="00200FDA" w:rsidRDefault="00F76C4C">
      <w:pPr>
        <w:pStyle w:val="BodyText"/>
        <w:ind w:left="280" w:right="334"/>
        <w:jc w:val="both"/>
      </w:pPr>
      <w:r>
        <w:t>The GSA Student Leadership Council works with the State Student Advisory Council (SSAC) to help determine the appointment of a student member to the Safe and Supportive Schools Commission. Alex Nugent, a Concord-Carlisle High School junior, wa</w:t>
      </w:r>
      <w:r>
        <w:t>s appointed in 2023.</w:t>
      </w:r>
    </w:p>
    <w:p w:rsidR="00200FDA" w:rsidRDefault="00200FDA">
      <w:pPr>
        <w:pStyle w:val="BodyText"/>
      </w:pPr>
    </w:p>
    <w:p w:rsidR="00200FDA" w:rsidRDefault="00200FDA">
      <w:pPr>
        <w:pStyle w:val="BodyText"/>
        <w:spacing w:before="7"/>
        <w:rPr>
          <w:sz w:val="19"/>
        </w:rPr>
      </w:pPr>
    </w:p>
    <w:p w:rsidR="00200FDA" w:rsidRDefault="00F76C4C">
      <w:pPr>
        <w:pStyle w:val="Heading9"/>
        <w:numPr>
          <w:ilvl w:val="0"/>
          <w:numId w:val="19"/>
        </w:numPr>
        <w:tabs>
          <w:tab w:val="left" w:pos="501"/>
        </w:tabs>
        <w:ind w:left="330" w:hanging="51"/>
        <w:jc w:val="both"/>
      </w:pPr>
      <w:r>
        <w:t>Explore</w:t>
      </w:r>
      <w:r>
        <w:rPr>
          <w:spacing w:val="-9"/>
        </w:rPr>
        <w:t xml:space="preserve"> </w:t>
      </w:r>
      <w:r>
        <w:t>ways</w:t>
      </w:r>
      <w:r>
        <w:rPr>
          <w:spacing w:val="-8"/>
        </w:rPr>
        <w:t xml:space="preserve"> </w:t>
      </w:r>
      <w:r>
        <w:t>to</w:t>
      </w:r>
      <w:r>
        <w:rPr>
          <w:spacing w:val="-7"/>
        </w:rPr>
        <w:t xml:space="preserve"> </w:t>
      </w:r>
      <w:r>
        <w:t>increase</w:t>
      </w:r>
      <w:r>
        <w:rPr>
          <w:spacing w:val="-7"/>
        </w:rPr>
        <w:t xml:space="preserve"> </w:t>
      </w:r>
      <w:r>
        <w:t>data</w:t>
      </w:r>
      <w:r>
        <w:rPr>
          <w:spacing w:val="-6"/>
        </w:rPr>
        <w:t xml:space="preserve"> </w:t>
      </w:r>
      <w:r>
        <w:t>relating</w:t>
      </w:r>
      <w:r>
        <w:rPr>
          <w:spacing w:val="-5"/>
        </w:rPr>
        <w:t xml:space="preserve"> </w:t>
      </w:r>
      <w:r>
        <w:t>to</w:t>
      </w:r>
      <w:r>
        <w:rPr>
          <w:spacing w:val="-10"/>
        </w:rPr>
        <w:t xml:space="preserve"> </w:t>
      </w:r>
      <w:r>
        <w:t>sexual</w:t>
      </w:r>
      <w:r>
        <w:rPr>
          <w:spacing w:val="-5"/>
        </w:rPr>
        <w:t xml:space="preserve"> </w:t>
      </w:r>
      <w:r>
        <w:t>orientation,</w:t>
      </w:r>
      <w:r>
        <w:rPr>
          <w:spacing w:val="-6"/>
        </w:rPr>
        <w:t xml:space="preserve"> </w:t>
      </w:r>
      <w:r>
        <w:t>gender</w:t>
      </w:r>
      <w:r>
        <w:rPr>
          <w:spacing w:val="-7"/>
        </w:rPr>
        <w:t xml:space="preserve"> </w:t>
      </w:r>
      <w:r>
        <w:t>identity,</w:t>
      </w:r>
      <w:r>
        <w:rPr>
          <w:spacing w:val="-9"/>
        </w:rPr>
        <w:t xml:space="preserve"> </w:t>
      </w:r>
      <w:r>
        <w:t>and</w:t>
      </w:r>
      <w:r>
        <w:rPr>
          <w:spacing w:val="-7"/>
        </w:rPr>
        <w:t xml:space="preserve"> </w:t>
      </w:r>
      <w:r>
        <w:t>gender</w:t>
      </w:r>
      <w:r>
        <w:rPr>
          <w:spacing w:val="-5"/>
        </w:rPr>
        <w:t xml:space="preserve"> </w:t>
      </w:r>
      <w:r>
        <w:rPr>
          <w:spacing w:val="-2"/>
        </w:rPr>
        <w:t>expression.</w:t>
      </w:r>
    </w:p>
    <w:p w:rsidR="00200FDA" w:rsidRDefault="00200FDA">
      <w:pPr>
        <w:pStyle w:val="BodyText"/>
        <w:spacing w:before="8"/>
        <w:rPr>
          <w:b/>
          <w:sz w:val="19"/>
        </w:rPr>
      </w:pPr>
    </w:p>
    <w:p w:rsidR="00200FDA" w:rsidRDefault="00F76C4C">
      <w:pPr>
        <w:pStyle w:val="BodyText"/>
        <w:ind w:left="279" w:right="274" w:firstLine="50"/>
        <w:jc w:val="both"/>
      </w:pPr>
      <w:r>
        <w:t>Massachusetts has made great progress in increasing data on sexual orientation, gender identity, and gender</w:t>
      </w:r>
      <w:r>
        <w:rPr>
          <w:spacing w:val="-2"/>
        </w:rPr>
        <w:t xml:space="preserve"> </w:t>
      </w:r>
      <w:r>
        <w:t>expression</w:t>
      </w:r>
      <w:r>
        <w:rPr>
          <w:spacing w:val="-3"/>
        </w:rPr>
        <w:t xml:space="preserve"> </w:t>
      </w:r>
      <w:r>
        <w:t>(SOGIE)</w:t>
      </w:r>
      <w:r>
        <w:rPr>
          <w:spacing w:val="-4"/>
        </w:rPr>
        <w:t xml:space="preserve"> </w:t>
      </w:r>
      <w:r>
        <w:t>with</w:t>
      </w:r>
      <w:r>
        <w:rPr>
          <w:spacing w:val="-3"/>
        </w:rPr>
        <w:t xml:space="preserve"> </w:t>
      </w:r>
      <w:r>
        <w:t>respect</w:t>
      </w:r>
      <w:r>
        <w:rPr>
          <w:spacing w:val="-4"/>
        </w:rPr>
        <w:t xml:space="preserve"> </w:t>
      </w:r>
      <w:r>
        <w:t>to</w:t>
      </w:r>
      <w:r>
        <w:rPr>
          <w:spacing w:val="-1"/>
        </w:rPr>
        <w:t xml:space="preserve"> </w:t>
      </w:r>
      <w:r>
        <w:t>the</w:t>
      </w:r>
      <w:r>
        <w:rPr>
          <w:spacing w:val="-1"/>
        </w:rPr>
        <w:t xml:space="preserve"> </w:t>
      </w:r>
      <w:r>
        <w:t>student</w:t>
      </w:r>
      <w:r>
        <w:rPr>
          <w:spacing w:val="-4"/>
        </w:rPr>
        <w:t xml:space="preserve"> </w:t>
      </w:r>
      <w:r>
        <w:t>population,</w:t>
      </w:r>
      <w:r>
        <w:rPr>
          <w:spacing w:val="-2"/>
        </w:rPr>
        <w:t xml:space="preserve"> </w:t>
      </w:r>
      <w:r>
        <w:t>which</w:t>
      </w:r>
      <w:r>
        <w:rPr>
          <w:spacing w:val="-5"/>
        </w:rPr>
        <w:t xml:space="preserve"> </w:t>
      </w:r>
      <w:r>
        <w:t>are</w:t>
      </w:r>
      <w:r>
        <w:rPr>
          <w:spacing w:val="-4"/>
        </w:rPr>
        <w:t xml:space="preserve"> </w:t>
      </w:r>
      <w:r>
        <w:t>included</w:t>
      </w:r>
      <w:r>
        <w:rPr>
          <w:spacing w:val="-3"/>
        </w:rPr>
        <w:t xml:space="preserve"> </w:t>
      </w:r>
      <w:r>
        <w:t>in</w:t>
      </w:r>
      <w:r>
        <w:rPr>
          <w:spacing w:val="-3"/>
        </w:rPr>
        <w:t xml:space="preserve"> </w:t>
      </w:r>
      <w:r>
        <w:t>the</w:t>
      </w:r>
      <w:r>
        <w:rPr>
          <w:spacing w:val="-4"/>
        </w:rPr>
        <w:t xml:space="preserve"> </w:t>
      </w:r>
      <w:r>
        <w:t>MYRBS.</w:t>
      </w:r>
      <w:r>
        <w:rPr>
          <w:spacing w:val="-2"/>
        </w:rPr>
        <w:t xml:space="preserve"> </w:t>
      </w:r>
      <w:r>
        <w:t>The Commission encourages DESE to continue exploring how to increase SOGIE data and thus better understand the needs and opportunities to serve LGBTQ students. For example, the Commis</w:t>
      </w:r>
      <w:r>
        <w:t>sion is very interested in how LGBTQ students are affected by school disciplinary measures, but SOGIE data is not currently being collected beyond a student’s gender. Learning how to effectively and safely collect this data could shine new light on whether</w:t>
      </w:r>
      <w:r>
        <w:t xml:space="preserve"> LGBTQ students face disparities with respect to discipline in Massachusetts schools, as seems likely given other available data points on discriminatory and disproportionate discipline of LGBTQ youth at the national level. The Commission also urges DESE t</w:t>
      </w:r>
      <w:r>
        <w:t>o explore ways to include students in SOGIE data collection who may be excluded from surveys and other traditional means of data collection.</w:t>
      </w:r>
    </w:p>
    <w:p w:rsidR="00200FDA" w:rsidRDefault="00200FDA">
      <w:pPr>
        <w:pStyle w:val="BodyText"/>
        <w:spacing w:before="8"/>
        <w:rPr>
          <w:sz w:val="19"/>
        </w:rPr>
      </w:pPr>
    </w:p>
    <w:p w:rsidR="00200FDA" w:rsidRDefault="00F76C4C">
      <w:pPr>
        <w:pStyle w:val="BodyText"/>
        <w:ind w:left="279" w:right="273" w:firstLine="50"/>
        <w:jc w:val="both"/>
      </w:pPr>
      <w:r>
        <w:t>The</w:t>
      </w:r>
      <w:r>
        <w:rPr>
          <w:spacing w:val="-4"/>
        </w:rPr>
        <w:t xml:space="preserve"> </w:t>
      </w:r>
      <w:r>
        <w:t>Commission</w:t>
      </w:r>
      <w:r>
        <w:rPr>
          <w:spacing w:val="-5"/>
        </w:rPr>
        <w:t xml:space="preserve"> </w:t>
      </w:r>
      <w:r>
        <w:t>recommends</w:t>
      </w:r>
      <w:r>
        <w:rPr>
          <w:spacing w:val="-4"/>
        </w:rPr>
        <w:t xml:space="preserve"> </w:t>
      </w:r>
      <w:r>
        <w:t>a</w:t>
      </w:r>
      <w:r>
        <w:rPr>
          <w:spacing w:val="-5"/>
        </w:rPr>
        <w:t xml:space="preserve"> </w:t>
      </w:r>
      <w:r>
        <w:t>twice</w:t>
      </w:r>
      <w:r>
        <w:rPr>
          <w:spacing w:val="-4"/>
        </w:rPr>
        <w:t xml:space="preserve"> </w:t>
      </w:r>
      <w:r>
        <w:t>annual</w:t>
      </w:r>
      <w:r>
        <w:rPr>
          <w:spacing w:val="-7"/>
        </w:rPr>
        <w:t xml:space="preserve"> </w:t>
      </w:r>
      <w:r>
        <w:t>meeting</w:t>
      </w:r>
      <w:r>
        <w:rPr>
          <w:spacing w:val="-5"/>
        </w:rPr>
        <w:t xml:space="preserve"> </w:t>
      </w:r>
      <w:r>
        <w:t>between</w:t>
      </w:r>
      <w:r>
        <w:rPr>
          <w:spacing w:val="-5"/>
        </w:rPr>
        <w:t xml:space="preserve"> </w:t>
      </w:r>
      <w:r>
        <w:t>the</w:t>
      </w:r>
      <w:r>
        <w:rPr>
          <w:spacing w:val="-4"/>
        </w:rPr>
        <w:t xml:space="preserve"> </w:t>
      </w:r>
      <w:r>
        <w:t>staff</w:t>
      </w:r>
      <w:r>
        <w:rPr>
          <w:spacing w:val="-5"/>
        </w:rPr>
        <w:t xml:space="preserve"> </w:t>
      </w:r>
      <w:r>
        <w:t>of</w:t>
      </w:r>
      <w:r>
        <w:rPr>
          <w:spacing w:val="-7"/>
        </w:rPr>
        <w:t xml:space="preserve"> </w:t>
      </w:r>
      <w:r>
        <w:t>the</w:t>
      </w:r>
      <w:r>
        <w:rPr>
          <w:spacing w:val="-4"/>
        </w:rPr>
        <w:t xml:space="preserve"> </w:t>
      </w:r>
      <w:r>
        <w:t>Safe</w:t>
      </w:r>
      <w:r>
        <w:rPr>
          <w:spacing w:val="-4"/>
        </w:rPr>
        <w:t xml:space="preserve"> </w:t>
      </w:r>
      <w:r>
        <w:t>Schools</w:t>
      </w:r>
      <w:r>
        <w:rPr>
          <w:spacing w:val="-4"/>
        </w:rPr>
        <w:t xml:space="preserve"> </w:t>
      </w:r>
      <w:r>
        <w:t>Program</w:t>
      </w:r>
      <w:r>
        <w:rPr>
          <w:spacing w:val="-3"/>
        </w:rPr>
        <w:t xml:space="preserve"> </w:t>
      </w:r>
      <w:r>
        <w:t>for LGBTQ Students and relevant staff members at DESE directly working on data initiatives that include LGBTQ+ people, including but not limited to the YRBS, School Health Profiles, and VOCAL data. This will allow for regular communication of ways to</w:t>
      </w:r>
      <w:r>
        <w:rPr>
          <w:spacing w:val="16"/>
        </w:rPr>
        <w:t xml:space="preserve"> </w:t>
      </w:r>
      <w:r>
        <w:t>improve measurements and opportunities to</w:t>
      </w:r>
      <w:r>
        <w:rPr>
          <w:spacing w:val="16"/>
        </w:rPr>
        <w:t xml:space="preserve"> </w:t>
      </w:r>
      <w:r>
        <w:t>be proactive</w:t>
      </w:r>
    </w:p>
    <w:p w:rsidR="00200FDA" w:rsidRDefault="00200FDA">
      <w:pPr>
        <w:jc w:val="both"/>
        <w:sectPr w:rsidR="00200FDA">
          <w:pgSz w:w="12240" w:h="15840"/>
          <w:pgMar w:top="1260" w:right="1160" w:bottom="1240" w:left="1160" w:header="761" w:footer="994" w:gutter="0"/>
          <w:cols w:space="720"/>
        </w:sectPr>
      </w:pPr>
    </w:p>
    <w:p w:rsidR="00200FDA" w:rsidRDefault="00200FDA">
      <w:pPr>
        <w:pStyle w:val="BodyText"/>
        <w:rPr>
          <w:sz w:val="9"/>
        </w:rPr>
      </w:pPr>
    </w:p>
    <w:p w:rsidR="00200FDA" w:rsidRDefault="00F76C4C">
      <w:pPr>
        <w:pStyle w:val="BodyText"/>
        <w:spacing w:before="56"/>
        <w:ind w:left="280" w:right="275"/>
        <w:jc w:val="both"/>
      </w:pPr>
      <w:r>
        <w:t>about changes in terminology, etc. that impact collection of data. The Commission also recommends additional funding be allocated to developing additional elementary and middle school me</w:t>
      </w:r>
      <w:r>
        <w:t>asurements related to mental health and school climate.</w:t>
      </w:r>
    </w:p>
    <w:p w:rsidR="00200FDA" w:rsidRDefault="00200FDA">
      <w:pPr>
        <w:pStyle w:val="BodyText"/>
        <w:spacing w:before="8"/>
        <w:rPr>
          <w:sz w:val="19"/>
        </w:rPr>
      </w:pPr>
    </w:p>
    <w:p w:rsidR="00200FDA" w:rsidRDefault="00F76C4C">
      <w:pPr>
        <w:pStyle w:val="BodyText"/>
        <w:spacing w:before="1"/>
        <w:ind w:left="279" w:right="333"/>
        <w:jc w:val="both"/>
      </w:pPr>
      <w:r>
        <w:t>Another area in which members of the Commission have expressed interest is data relating to SOGIE status</w:t>
      </w:r>
      <w:r>
        <w:rPr>
          <w:spacing w:val="-2"/>
        </w:rPr>
        <w:t xml:space="preserve"> </w:t>
      </w:r>
      <w:r>
        <w:t>and</w:t>
      </w:r>
      <w:r>
        <w:rPr>
          <w:spacing w:val="-3"/>
        </w:rPr>
        <w:t xml:space="preserve"> </w:t>
      </w:r>
      <w:r>
        <w:t>school</w:t>
      </w:r>
      <w:r>
        <w:rPr>
          <w:spacing w:val="-2"/>
        </w:rPr>
        <w:t xml:space="preserve"> </w:t>
      </w:r>
      <w:r>
        <w:t>performance.</w:t>
      </w:r>
      <w:r>
        <w:rPr>
          <w:spacing w:val="-2"/>
        </w:rPr>
        <w:t xml:space="preserve"> </w:t>
      </w:r>
      <w:r>
        <w:t>Massachusetts</w:t>
      </w:r>
      <w:r>
        <w:rPr>
          <w:spacing w:val="-2"/>
        </w:rPr>
        <w:t xml:space="preserve"> </w:t>
      </w:r>
      <w:r>
        <w:t>law</w:t>
      </w:r>
      <w:r>
        <w:rPr>
          <w:spacing w:val="-1"/>
        </w:rPr>
        <w:t xml:space="preserve"> </w:t>
      </w:r>
      <w:r>
        <w:t>requires</w:t>
      </w:r>
      <w:r>
        <w:rPr>
          <w:spacing w:val="-2"/>
        </w:rPr>
        <w:t xml:space="preserve"> </w:t>
      </w:r>
      <w:r>
        <w:t>DESE</w:t>
      </w:r>
      <w:r>
        <w:rPr>
          <w:spacing w:val="-2"/>
        </w:rPr>
        <w:t xml:space="preserve"> </w:t>
      </w:r>
      <w:r>
        <w:t>to</w:t>
      </w:r>
      <w:r>
        <w:rPr>
          <w:spacing w:val="-1"/>
        </w:rPr>
        <w:t xml:space="preserve"> </w:t>
      </w:r>
      <w:r>
        <w:t>develop</w:t>
      </w:r>
      <w:r>
        <w:rPr>
          <w:spacing w:val="-3"/>
        </w:rPr>
        <w:t xml:space="preserve"> </w:t>
      </w:r>
      <w:r>
        <w:t>a</w:t>
      </w:r>
      <w:r>
        <w:rPr>
          <w:spacing w:val="-2"/>
        </w:rPr>
        <w:t xml:space="preserve"> </w:t>
      </w:r>
      <w:r>
        <w:t>student</w:t>
      </w:r>
      <w:r>
        <w:rPr>
          <w:spacing w:val="-1"/>
        </w:rPr>
        <w:t xml:space="preserve"> </w:t>
      </w:r>
      <w:r>
        <w:t>survey</w:t>
      </w:r>
      <w:r>
        <w:rPr>
          <w:spacing w:val="-1"/>
        </w:rPr>
        <w:t xml:space="preserve"> </w:t>
      </w:r>
      <w:r>
        <w:t>on</w:t>
      </w:r>
      <w:r>
        <w:rPr>
          <w:spacing w:val="-3"/>
        </w:rPr>
        <w:t xml:space="preserve"> </w:t>
      </w:r>
      <w:r>
        <w:t xml:space="preserve">school </w:t>
      </w:r>
      <w:r>
        <w:t>climate to be administered at least once every four years to assess the prevalence, nature, and severity of bullying in schools. For future surveys, the Commission encourages DESE to include more questions that ask if students observe bullying at one’s sch</w:t>
      </w:r>
      <w:r>
        <w:t>ool on the basis of sexual orientation, gender identity, and/or gender</w:t>
      </w:r>
      <w:r>
        <w:rPr>
          <w:spacing w:val="-1"/>
        </w:rPr>
        <w:t xml:space="preserve"> </w:t>
      </w:r>
      <w:r>
        <w:t>expression</w:t>
      </w:r>
      <w:r>
        <w:rPr>
          <w:spacing w:val="-2"/>
        </w:rPr>
        <w:t xml:space="preserve"> </w:t>
      </w:r>
      <w:r>
        <w:t>and whether students themselves</w:t>
      </w:r>
      <w:r>
        <w:rPr>
          <w:spacing w:val="-1"/>
        </w:rPr>
        <w:t xml:space="preserve"> </w:t>
      </w:r>
      <w:r>
        <w:t>experienced bullying based on their real</w:t>
      </w:r>
      <w:r>
        <w:rPr>
          <w:spacing w:val="-1"/>
        </w:rPr>
        <w:t xml:space="preserve"> </w:t>
      </w:r>
      <w:r>
        <w:t xml:space="preserve">or perceived SOGIE status. Additionally, DESE notes that important data on LGBTQ status and bullying </w:t>
      </w:r>
      <w:r>
        <w:t>is already available through the MYRBS. DESE has expressed continued interest in considering and discussing how to best help schools, districts, and the state collect and share information that will be helpful and not potentially harmful to students.</w:t>
      </w:r>
    </w:p>
    <w:p w:rsidR="00200FDA" w:rsidRDefault="00200FDA">
      <w:pPr>
        <w:pStyle w:val="BodyText"/>
        <w:spacing w:before="7"/>
        <w:rPr>
          <w:sz w:val="19"/>
        </w:rPr>
      </w:pPr>
    </w:p>
    <w:p w:rsidR="00200FDA" w:rsidRDefault="00F76C4C">
      <w:pPr>
        <w:pStyle w:val="BodyText"/>
        <w:ind w:left="279" w:right="332"/>
        <w:jc w:val="both"/>
      </w:pPr>
      <w:r>
        <w:t>The</w:t>
      </w:r>
      <w:r>
        <w:rPr>
          <w:spacing w:val="-13"/>
        </w:rPr>
        <w:t xml:space="preserve"> </w:t>
      </w:r>
      <w:r>
        <w:t>Commission</w:t>
      </w:r>
      <w:r>
        <w:rPr>
          <w:spacing w:val="-12"/>
        </w:rPr>
        <w:t xml:space="preserve"> </w:t>
      </w:r>
      <w:r>
        <w:t>recommends</w:t>
      </w:r>
      <w:r>
        <w:rPr>
          <w:spacing w:val="-13"/>
        </w:rPr>
        <w:t xml:space="preserve"> </w:t>
      </w:r>
      <w:r>
        <w:t>more</w:t>
      </w:r>
      <w:r>
        <w:rPr>
          <w:spacing w:val="-12"/>
        </w:rPr>
        <w:t xml:space="preserve"> </w:t>
      </w:r>
      <w:r>
        <w:t>opportunities</w:t>
      </w:r>
      <w:r>
        <w:rPr>
          <w:spacing w:val="-13"/>
        </w:rPr>
        <w:t xml:space="preserve"> </w:t>
      </w:r>
      <w:r>
        <w:t>for</w:t>
      </w:r>
      <w:r>
        <w:rPr>
          <w:spacing w:val="-12"/>
        </w:rPr>
        <w:t xml:space="preserve"> </w:t>
      </w:r>
      <w:r>
        <w:t>student-led</w:t>
      </w:r>
      <w:r>
        <w:rPr>
          <w:spacing w:val="-13"/>
        </w:rPr>
        <w:t xml:space="preserve"> </w:t>
      </w:r>
      <w:r>
        <w:t>and</w:t>
      </w:r>
      <w:r>
        <w:rPr>
          <w:spacing w:val="-12"/>
        </w:rPr>
        <w:t xml:space="preserve"> </w:t>
      </w:r>
      <w:r>
        <w:t>community-led</w:t>
      </w:r>
      <w:r>
        <w:rPr>
          <w:spacing w:val="-12"/>
        </w:rPr>
        <w:t xml:space="preserve"> </w:t>
      </w:r>
      <w:r>
        <w:t>data</w:t>
      </w:r>
      <w:r>
        <w:rPr>
          <w:spacing w:val="-13"/>
        </w:rPr>
        <w:t xml:space="preserve"> </w:t>
      </w:r>
      <w:r>
        <w:t>collection</w:t>
      </w:r>
      <w:r>
        <w:rPr>
          <w:spacing w:val="-12"/>
        </w:rPr>
        <w:t xml:space="preserve"> </w:t>
      </w:r>
      <w:r>
        <w:t>and analysis to provide</w:t>
      </w:r>
      <w:r>
        <w:rPr>
          <w:spacing w:val="-1"/>
        </w:rPr>
        <w:t xml:space="preserve"> </w:t>
      </w:r>
      <w:r>
        <w:t>more local-level information, as well as community conversations around data. In FY 2023, the Safe Schools Program for LGBTQ Students entered</w:t>
      </w:r>
      <w:r>
        <w:t xml:space="preserve"> a partnership with the Getting to “Y” pilot program in collaboration with the Office of Student and Family Support. This partnership provides opportunities for youth leaders of the GSA Student Leadership Council to address local and statewide YRBS data im</w:t>
      </w:r>
      <w:r>
        <w:t>pacting their communities.</w:t>
      </w:r>
    </w:p>
    <w:p w:rsidR="00200FDA" w:rsidRDefault="00200FDA">
      <w:pPr>
        <w:pStyle w:val="BodyText"/>
        <w:spacing w:before="7"/>
        <w:rPr>
          <w:sz w:val="19"/>
        </w:rPr>
      </w:pPr>
    </w:p>
    <w:p w:rsidR="00200FDA" w:rsidRDefault="00F76C4C">
      <w:pPr>
        <w:pStyle w:val="BodyText"/>
        <w:ind w:left="279" w:right="275" w:firstLine="50"/>
        <w:jc w:val="both"/>
      </w:pPr>
      <w:r>
        <w:t>In</w:t>
      </w:r>
      <w:r>
        <w:rPr>
          <w:spacing w:val="-5"/>
        </w:rPr>
        <w:t xml:space="preserve"> </w:t>
      </w:r>
      <w:r>
        <w:t>2016,</w:t>
      </w:r>
      <w:r>
        <w:rPr>
          <w:spacing w:val="-7"/>
        </w:rPr>
        <w:t xml:space="preserve"> </w:t>
      </w:r>
      <w:r>
        <w:t>DESE</w:t>
      </w:r>
      <w:r>
        <w:rPr>
          <w:spacing w:val="-4"/>
        </w:rPr>
        <w:t xml:space="preserve"> </w:t>
      </w:r>
      <w:r>
        <w:t>updated</w:t>
      </w:r>
      <w:r>
        <w:rPr>
          <w:spacing w:val="-5"/>
        </w:rPr>
        <w:t xml:space="preserve"> </w:t>
      </w:r>
      <w:r>
        <w:t>its</w:t>
      </w:r>
      <w:r>
        <w:rPr>
          <w:spacing w:val="-7"/>
        </w:rPr>
        <w:t xml:space="preserve"> </w:t>
      </w:r>
      <w:r>
        <w:t>school</w:t>
      </w:r>
      <w:r>
        <w:rPr>
          <w:spacing w:val="-5"/>
        </w:rPr>
        <w:t xml:space="preserve"> </w:t>
      </w:r>
      <w:r>
        <w:t>records</w:t>
      </w:r>
      <w:r>
        <w:rPr>
          <w:spacing w:val="-4"/>
        </w:rPr>
        <w:t xml:space="preserve"> </w:t>
      </w:r>
      <w:r>
        <w:t>system</w:t>
      </w:r>
      <w:r>
        <w:rPr>
          <w:spacing w:val="-5"/>
        </w:rPr>
        <w:t xml:space="preserve"> </w:t>
      </w:r>
      <w:r>
        <w:t>to</w:t>
      </w:r>
      <w:r>
        <w:rPr>
          <w:spacing w:val="-3"/>
        </w:rPr>
        <w:t xml:space="preserve"> </w:t>
      </w:r>
      <w:r>
        <w:t>include</w:t>
      </w:r>
      <w:r>
        <w:rPr>
          <w:spacing w:val="-4"/>
        </w:rPr>
        <w:t xml:space="preserve"> </w:t>
      </w:r>
      <w:r>
        <w:t>a</w:t>
      </w:r>
      <w:r>
        <w:rPr>
          <w:spacing w:val="-5"/>
        </w:rPr>
        <w:t xml:space="preserve"> </w:t>
      </w:r>
      <w:r>
        <w:t>nonbinary</w:t>
      </w:r>
      <w:r>
        <w:rPr>
          <w:spacing w:val="-6"/>
        </w:rPr>
        <w:t xml:space="preserve"> </w:t>
      </w:r>
      <w:r>
        <w:t>gender</w:t>
      </w:r>
      <w:r>
        <w:rPr>
          <w:spacing w:val="-7"/>
        </w:rPr>
        <w:t xml:space="preserve"> </w:t>
      </w:r>
      <w:r>
        <w:t>marker.</w:t>
      </w:r>
      <w:r>
        <w:rPr>
          <w:spacing w:val="-5"/>
        </w:rPr>
        <w:t xml:space="preserve"> </w:t>
      </w:r>
      <w:r>
        <w:t>This</w:t>
      </w:r>
      <w:r>
        <w:rPr>
          <w:spacing w:val="-4"/>
        </w:rPr>
        <w:t xml:space="preserve"> </w:t>
      </w:r>
      <w:r>
        <w:t>is</w:t>
      </w:r>
      <w:r>
        <w:rPr>
          <w:spacing w:val="-4"/>
        </w:rPr>
        <w:t xml:space="preserve"> </w:t>
      </w:r>
      <w:r>
        <w:t xml:space="preserve">important both on the micro level, in which individual students have their identities recognized and affirmed, and the macro level, as the statewide data could be useful. In 2022, 238 students identified as non-binary based on their State Assigned Student </w:t>
      </w:r>
      <w:r>
        <w:t>Identifiers (SASID) gender marker. In 2023, this increased to 1845 identifying as non-binary, a 675% increase. The Commission will continue to support DESE in helping to ensure that students who wish to use the nonbinary marker are aware of the option. Thi</w:t>
      </w:r>
      <w:r>
        <w:t>s increase also further supports our recommendations focused on more policy-making and school-based supports regarding nonbinary students.</w:t>
      </w:r>
    </w:p>
    <w:p w:rsidR="00200FDA" w:rsidRDefault="00200FDA">
      <w:pPr>
        <w:pStyle w:val="BodyText"/>
      </w:pPr>
    </w:p>
    <w:p w:rsidR="00200FDA" w:rsidRDefault="00200FDA">
      <w:pPr>
        <w:pStyle w:val="BodyText"/>
        <w:spacing w:before="7"/>
        <w:rPr>
          <w:sz w:val="19"/>
        </w:rPr>
      </w:pPr>
    </w:p>
    <w:p w:rsidR="00200FDA" w:rsidRDefault="00F76C4C">
      <w:pPr>
        <w:pStyle w:val="Heading9"/>
        <w:numPr>
          <w:ilvl w:val="0"/>
          <w:numId w:val="19"/>
        </w:numPr>
        <w:tabs>
          <w:tab w:val="left" w:pos="556"/>
        </w:tabs>
        <w:ind w:left="279" w:right="276" w:firstLine="0"/>
      </w:pPr>
      <w:r>
        <w:t>Ensure</w:t>
      </w:r>
      <w:r>
        <w:rPr>
          <w:spacing w:val="40"/>
        </w:rPr>
        <w:t xml:space="preserve"> </w:t>
      </w:r>
      <w:r>
        <w:t>LGBTQ</w:t>
      </w:r>
      <w:r>
        <w:rPr>
          <w:spacing w:val="40"/>
        </w:rPr>
        <w:t xml:space="preserve"> </w:t>
      </w:r>
      <w:r>
        <w:t>inclusivity</w:t>
      </w:r>
      <w:r>
        <w:rPr>
          <w:spacing w:val="40"/>
        </w:rPr>
        <w:t xml:space="preserve"> </w:t>
      </w:r>
      <w:r>
        <w:t>of</w:t>
      </w:r>
      <w:r>
        <w:rPr>
          <w:spacing w:val="40"/>
        </w:rPr>
        <w:t xml:space="preserve"> </w:t>
      </w:r>
      <w:r>
        <w:t>all</w:t>
      </w:r>
      <w:r>
        <w:rPr>
          <w:spacing w:val="40"/>
        </w:rPr>
        <w:t xml:space="preserve"> </w:t>
      </w:r>
      <w:r>
        <w:t>curriculum</w:t>
      </w:r>
      <w:r>
        <w:rPr>
          <w:spacing w:val="40"/>
        </w:rPr>
        <w:t xml:space="preserve"> </w:t>
      </w:r>
      <w:r>
        <w:t>initiatives,</w:t>
      </w:r>
      <w:r>
        <w:rPr>
          <w:spacing w:val="40"/>
        </w:rPr>
        <w:t xml:space="preserve"> </w:t>
      </w:r>
      <w:r>
        <w:t>including</w:t>
      </w:r>
      <w:r>
        <w:rPr>
          <w:spacing w:val="40"/>
        </w:rPr>
        <w:t xml:space="preserve"> </w:t>
      </w:r>
      <w:r>
        <w:t>curriculum</w:t>
      </w:r>
      <w:r>
        <w:rPr>
          <w:spacing w:val="40"/>
        </w:rPr>
        <w:t xml:space="preserve"> </w:t>
      </w:r>
      <w:r>
        <w:t>frameworks,</w:t>
      </w:r>
      <w:r>
        <w:rPr>
          <w:spacing w:val="40"/>
        </w:rPr>
        <w:t xml:space="preserve"> </w:t>
      </w:r>
      <w:r>
        <w:t>model curriculum units, an</w:t>
      </w:r>
      <w:r>
        <w:t>d supplementary curricular materials.</w:t>
      </w:r>
    </w:p>
    <w:p w:rsidR="00200FDA" w:rsidRDefault="00200FDA">
      <w:pPr>
        <w:pStyle w:val="BodyText"/>
        <w:spacing w:before="8"/>
        <w:rPr>
          <w:b/>
          <w:sz w:val="19"/>
        </w:rPr>
      </w:pPr>
    </w:p>
    <w:p w:rsidR="00200FDA" w:rsidRDefault="00F76C4C">
      <w:pPr>
        <w:ind w:left="279" w:right="274" w:firstLine="50"/>
        <w:jc w:val="both"/>
      </w:pPr>
      <w:r>
        <w:t>LGBTQ-inclusive</w:t>
      </w:r>
      <w:r>
        <w:rPr>
          <w:spacing w:val="-1"/>
        </w:rPr>
        <w:t xml:space="preserve"> </w:t>
      </w:r>
      <w:r>
        <w:t>curriculum</w:t>
      </w:r>
      <w:r>
        <w:rPr>
          <w:spacing w:val="-1"/>
        </w:rPr>
        <w:t xml:space="preserve"> </w:t>
      </w:r>
      <w:r>
        <w:t>is</w:t>
      </w:r>
      <w:r>
        <w:rPr>
          <w:spacing w:val="-2"/>
        </w:rPr>
        <w:t xml:space="preserve"> </w:t>
      </w:r>
      <w:r>
        <w:t>shown</w:t>
      </w:r>
      <w:r>
        <w:rPr>
          <w:spacing w:val="-3"/>
        </w:rPr>
        <w:t xml:space="preserve"> </w:t>
      </w:r>
      <w:r>
        <w:t>to</w:t>
      </w:r>
      <w:r>
        <w:rPr>
          <w:spacing w:val="-1"/>
        </w:rPr>
        <w:t xml:space="preserve"> </w:t>
      </w:r>
      <w:r>
        <w:t>improve</w:t>
      </w:r>
      <w:r>
        <w:rPr>
          <w:spacing w:val="-1"/>
        </w:rPr>
        <w:t xml:space="preserve"> </w:t>
      </w:r>
      <w:r>
        <w:t>school</w:t>
      </w:r>
      <w:r>
        <w:rPr>
          <w:spacing w:val="-2"/>
        </w:rPr>
        <w:t xml:space="preserve"> </w:t>
      </w:r>
      <w:r>
        <w:t>climate,</w:t>
      </w:r>
      <w:r>
        <w:rPr>
          <w:spacing w:val="-2"/>
        </w:rPr>
        <w:t xml:space="preserve"> </w:t>
      </w:r>
      <w:r>
        <w:t>according</w:t>
      </w:r>
      <w:r>
        <w:rPr>
          <w:spacing w:val="-3"/>
        </w:rPr>
        <w:t xml:space="preserve"> </w:t>
      </w:r>
      <w:r>
        <w:t>to</w:t>
      </w:r>
      <w:r>
        <w:rPr>
          <w:spacing w:val="-1"/>
        </w:rPr>
        <w:t xml:space="preserve"> </w:t>
      </w:r>
      <w:r>
        <w:t>the</w:t>
      </w:r>
      <w:r>
        <w:rPr>
          <w:spacing w:val="-1"/>
        </w:rPr>
        <w:t xml:space="preserve"> </w:t>
      </w:r>
      <w:r>
        <w:t>GLSEN</w:t>
      </w:r>
      <w:r>
        <w:rPr>
          <w:spacing w:val="-3"/>
        </w:rPr>
        <w:t xml:space="preserve"> </w:t>
      </w:r>
      <w:r>
        <w:t>National</w:t>
      </w:r>
      <w:r>
        <w:rPr>
          <w:spacing w:val="-2"/>
        </w:rPr>
        <w:t xml:space="preserve"> </w:t>
      </w:r>
      <w:r>
        <w:t xml:space="preserve">School Climate Survey (2021). DESE’s regulation, </w:t>
      </w:r>
      <w:r>
        <w:rPr>
          <w:i/>
        </w:rPr>
        <w:t>Access to Equal Educational Opportunity Regulations for the</w:t>
      </w:r>
      <w:r>
        <w:rPr>
          <w:i/>
        </w:rPr>
        <w:t xml:space="preserve"> Student Anti-discrimination Law, </w:t>
      </w:r>
      <w:r>
        <w:t xml:space="preserve">and the </w:t>
      </w:r>
      <w:r>
        <w:rPr>
          <w:i/>
        </w:rPr>
        <w:t>Principles for Ensuring Safe and Supportive Learning Environments</w:t>
      </w:r>
      <w:r>
        <w:rPr>
          <w:i/>
          <w:spacing w:val="-7"/>
        </w:rPr>
        <w:t xml:space="preserve"> </w:t>
      </w:r>
      <w:r>
        <w:rPr>
          <w:i/>
        </w:rPr>
        <w:t>for</w:t>
      </w:r>
      <w:r>
        <w:rPr>
          <w:i/>
          <w:spacing w:val="-7"/>
        </w:rPr>
        <w:t xml:space="preserve"> </w:t>
      </w:r>
      <w:r>
        <w:rPr>
          <w:i/>
        </w:rPr>
        <w:t>LGBTQ</w:t>
      </w:r>
      <w:r>
        <w:rPr>
          <w:i/>
          <w:spacing w:val="-10"/>
        </w:rPr>
        <w:t xml:space="preserve"> </w:t>
      </w:r>
      <w:r>
        <w:rPr>
          <w:i/>
        </w:rPr>
        <w:t>Students</w:t>
      </w:r>
      <w:r>
        <w:t>,</w:t>
      </w:r>
      <w:r>
        <w:rPr>
          <w:spacing w:val="-8"/>
        </w:rPr>
        <w:t xml:space="preserve"> </w:t>
      </w:r>
      <w:r>
        <w:t>both</w:t>
      </w:r>
      <w:r>
        <w:rPr>
          <w:spacing w:val="-8"/>
        </w:rPr>
        <w:t xml:space="preserve"> </w:t>
      </w:r>
      <w:r>
        <w:t>indicate</w:t>
      </w:r>
      <w:r>
        <w:rPr>
          <w:spacing w:val="-9"/>
        </w:rPr>
        <w:t xml:space="preserve"> </w:t>
      </w:r>
      <w:r>
        <w:t>that</w:t>
      </w:r>
      <w:r>
        <w:rPr>
          <w:spacing w:val="-10"/>
        </w:rPr>
        <w:t xml:space="preserve"> </w:t>
      </w:r>
      <w:r>
        <w:t>curricula</w:t>
      </w:r>
      <w:r>
        <w:rPr>
          <w:spacing w:val="-8"/>
        </w:rPr>
        <w:t xml:space="preserve"> </w:t>
      </w:r>
      <w:r>
        <w:t>shall</w:t>
      </w:r>
      <w:r>
        <w:rPr>
          <w:spacing w:val="-8"/>
        </w:rPr>
        <w:t xml:space="preserve"> </w:t>
      </w:r>
      <w:r>
        <w:t>encourage</w:t>
      </w:r>
      <w:r>
        <w:rPr>
          <w:spacing w:val="-7"/>
        </w:rPr>
        <w:t xml:space="preserve"> </w:t>
      </w:r>
      <w:r>
        <w:t>respect</w:t>
      </w:r>
      <w:r>
        <w:rPr>
          <w:spacing w:val="-7"/>
        </w:rPr>
        <w:t xml:space="preserve"> </w:t>
      </w:r>
      <w:r>
        <w:t>for</w:t>
      </w:r>
      <w:r>
        <w:rPr>
          <w:spacing w:val="-8"/>
        </w:rPr>
        <w:t xml:space="preserve"> </w:t>
      </w:r>
      <w:r>
        <w:t>the</w:t>
      </w:r>
      <w:r>
        <w:rPr>
          <w:spacing w:val="-7"/>
        </w:rPr>
        <w:t xml:space="preserve"> </w:t>
      </w:r>
      <w:r>
        <w:t>human</w:t>
      </w:r>
      <w:r>
        <w:rPr>
          <w:spacing w:val="-8"/>
        </w:rPr>
        <w:t xml:space="preserve"> </w:t>
      </w:r>
      <w:r>
        <w:t>and civil rights of all individuals, including LGBTQ individuals. It states:</w:t>
      </w:r>
    </w:p>
    <w:p w:rsidR="00200FDA" w:rsidRDefault="00200FDA">
      <w:pPr>
        <w:pStyle w:val="BodyText"/>
        <w:spacing w:before="11"/>
      </w:pPr>
    </w:p>
    <w:p w:rsidR="00200FDA" w:rsidRDefault="00F76C4C">
      <w:pPr>
        <w:pStyle w:val="BodyText"/>
        <w:spacing w:line="264" w:lineRule="auto"/>
        <w:ind w:left="903" w:right="907" w:firstLine="4"/>
        <w:jc w:val="center"/>
      </w:pPr>
      <w:r>
        <w:rPr>
          <w:color w:val="4F81BC"/>
        </w:rPr>
        <w:t>“Research shows that inclusion of LGBTQ topics in curricula corresponds to all students reporting that they feel safer in school,</w:t>
      </w:r>
      <w:r>
        <w:rPr>
          <w:color w:val="4F81BC"/>
          <w:spacing w:val="-1"/>
        </w:rPr>
        <w:t xml:space="preserve"> </w:t>
      </w:r>
      <w:r>
        <w:rPr>
          <w:color w:val="4F81BC"/>
        </w:rPr>
        <w:t>regardless of</w:t>
      </w:r>
      <w:r>
        <w:rPr>
          <w:color w:val="4F81BC"/>
          <w:spacing w:val="-1"/>
        </w:rPr>
        <w:t xml:space="preserve"> </w:t>
      </w:r>
      <w:r>
        <w:rPr>
          <w:color w:val="4F81BC"/>
        </w:rPr>
        <w:t>sexual orientation</w:t>
      </w:r>
      <w:r>
        <w:rPr>
          <w:color w:val="4F81BC"/>
          <w:spacing w:val="-3"/>
        </w:rPr>
        <w:t xml:space="preserve"> </w:t>
      </w:r>
      <w:r>
        <w:rPr>
          <w:color w:val="4F81BC"/>
        </w:rPr>
        <w:t>or gender</w:t>
      </w:r>
      <w:r>
        <w:rPr>
          <w:color w:val="4F81BC"/>
          <w:spacing w:val="-1"/>
        </w:rPr>
        <w:t xml:space="preserve"> </w:t>
      </w:r>
      <w:r>
        <w:rPr>
          <w:color w:val="4F81BC"/>
        </w:rPr>
        <w:t>ident</w:t>
      </w:r>
      <w:r>
        <w:rPr>
          <w:color w:val="4F81BC"/>
        </w:rPr>
        <w:t>ity. Curricula should reflect issues of sexual orientation and gender identity, as relevant, to be inclusive</w:t>
      </w:r>
      <w:r>
        <w:rPr>
          <w:color w:val="4F81BC"/>
          <w:spacing w:val="-2"/>
        </w:rPr>
        <w:t xml:space="preserve"> </w:t>
      </w:r>
      <w:r>
        <w:rPr>
          <w:color w:val="4F81BC"/>
        </w:rPr>
        <w:t>across</w:t>
      </w:r>
      <w:r>
        <w:rPr>
          <w:color w:val="4F81BC"/>
          <w:spacing w:val="-3"/>
        </w:rPr>
        <w:t xml:space="preserve"> </w:t>
      </w:r>
      <w:r>
        <w:rPr>
          <w:color w:val="4F81BC"/>
        </w:rPr>
        <w:t>subject</w:t>
      </w:r>
      <w:r>
        <w:rPr>
          <w:color w:val="4F81BC"/>
          <w:spacing w:val="-2"/>
        </w:rPr>
        <w:t xml:space="preserve"> </w:t>
      </w:r>
      <w:r>
        <w:rPr>
          <w:color w:val="4F81BC"/>
        </w:rPr>
        <w:t>areas,</w:t>
      </w:r>
      <w:r>
        <w:rPr>
          <w:color w:val="4F81BC"/>
          <w:spacing w:val="-3"/>
        </w:rPr>
        <w:t xml:space="preserve"> </w:t>
      </w:r>
      <w:r>
        <w:rPr>
          <w:color w:val="4F81BC"/>
        </w:rPr>
        <w:t>including,</w:t>
      </w:r>
      <w:r>
        <w:rPr>
          <w:color w:val="4F81BC"/>
          <w:spacing w:val="-3"/>
        </w:rPr>
        <w:t xml:space="preserve"> </w:t>
      </w:r>
      <w:r>
        <w:rPr>
          <w:color w:val="4F81BC"/>
        </w:rPr>
        <w:t>but</w:t>
      </w:r>
      <w:r>
        <w:rPr>
          <w:color w:val="4F81BC"/>
          <w:spacing w:val="-2"/>
        </w:rPr>
        <w:t xml:space="preserve"> </w:t>
      </w:r>
      <w:r>
        <w:rPr>
          <w:color w:val="4F81BC"/>
        </w:rPr>
        <w:t>not</w:t>
      </w:r>
      <w:r>
        <w:rPr>
          <w:color w:val="4F81BC"/>
          <w:spacing w:val="-5"/>
        </w:rPr>
        <w:t xml:space="preserve"> </w:t>
      </w:r>
      <w:r>
        <w:rPr>
          <w:color w:val="4F81BC"/>
        </w:rPr>
        <w:t>limited</w:t>
      </w:r>
      <w:r>
        <w:rPr>
          <w:color w:val="4F81BC"/>
          <w:spacing w:val="-4"/>
        </w:rPr>
        <w:t xml:space="preserve"> </w:t>
      </w:r>
      <w:r>
        <w:rPr>
          <w:color w:val="4F81BC"/>
        </w:rPr>
        <w:t>to,</w:t>
      </w:r>
      <w:r>
        <w:rPr>
          <w:color w:val="4F81BC"/>
          <w:spacing w:val="-3"/>
        </w:rPr>
        <w:t xml:space="preserve"> </w:t>
      </w:r>
      <w:r>
        <w:rPr>
          <w:color w:val="4F81BC"/>
        </w:rPr>
        <w:t>health,</w:t>
      </w:r>
      <w:r>
        <w:rPr>
          <w:color w:val="4F81BC"/>
          <w:spacing w:val="-3"/>
        </w:rPr>
        <w:t xml:space="preserve"> </w:t>
      </w:r>
      <w:r>
        <w:rPr>
          <w:color w:val="4F81BC"/>
        </w:rPr>
        <w:t>social</w:t>
      </w:r>
      <w:r>
        <w:rPr>
          <w:color w:val="4F81BC"/>
          <w:spacing w:val="-6"/>
        </w:rPr>
        <w:t xml:space="preserve"> </w:t>
      </w:r>
      <w:r>
        <w:rPr>
          <w:color w:val="4F81BC"/>
        </w:rPr>
        <w:t>science,</w:t>
      </w:r>
      <w:r>
        <w:rPr>
          <w:color w:val="4F81BC"/>
          <w:spacing w:val="-5"/>
        </w:rPr>
        <w:t xml:space="preserve"> </w:t>
      </w:r>
      <w:r>
        <w:rPr>
          <w:color w:val="4F81BC"/>
        </w:rPr>
        <w:t>language arts, and family life curricula.”</w:t>
      </w:r>
    </w:p>
    <w:p w:rsidR="00200FDA" w:rsidRDefault="00200FDA">
      <w:pPr>
        <w:pStyle w:val="BodyText"/>
        <w:spacing w:before="7"/>
        <w:rPr>
          <w:sz w:val="19"/>
        </w:rPr>
      </w:pPr>
    </w:p>
    <w:p w:rsidR="00200FDA" w:rsidRDefault="00F76C4C">
      <w:pPr>
        <w:pStyle w:val="BodyText"/>
        <w:ind w:left="279" w:right="317"/>
        <w:jc w:val="both"/>
      </w:pPr>
      <w:r>
        <w:t>The Commission appreciates the work that DESE has done in advancing the LGBTQ-inclusive curriculum materials that has been developed in partnership, and hopes that more materials will become available</w:t>
      </w:r>
    </w:p>
    <w:p w:rsidR="00200FDA" w:rsidRDefault="00200FDA">
      <w:pPr>
        <w:jc w:val="both"/>
        <w:sectPr w:rsidR="00200FDA">
          <w:pgSz w:w="12240" w:h="15840"/>
          <w:pgMar w:top="1260" w:right="1160" w:bottom="1180" w:left="1160" w:header="761" w:footer="994" w:gutter="0"/>
          <w:cols w:space="720"/>
        </w:sectPr>
      </w:pPr>
    </w:p>
    <w:p w:rsidR="00200FDA" w:rsidRDefault="00200FDA">
      <w:pPr>
        <w:pStyle w:val="BodyText"/>
        <w:rPr>
          <w:sz w:val="9"/>
        </w:rPr>
      </w:pPr>
    </w:p>
    <w:p w:rsidR="00200FDA" w:rsidRDefault="00F76C4C">
      <w:pPr>
        <w:pStyle w:val="BodyText"/>
        <w:spacing w:before="56"/>
        <w:ind w:left="279" w:right="316"/>
        <w:jc w:val="both"/>
      </w:pPr>
      <w:r>
        <w:t xml:space="preserve">in FY 2024, including resources in STEM </w:t>
      </w:r>
      <w:r>
        <w:t>and Spanish language. The Commission recommends, however, that DESE take more active steps in promoting the LGBTQ-inclusive curriculum materials that are currently available to ensure the materials reach as many educators and students as possible. One tang</w:t>
      </w:r>
      <w:r>
        <w:t>ible recommendation in this area is to co-sponsor an annual conference for educators to receive professional development on how to implement these curriculum units. The Safe Schools Program for LGBTQ Students is also working with a researcher to examine th</w:t>
      </w:r>
      <w:r>
        <w:t xml:space="preserve">e impact of current curricula in MA </w:t>
      </w:r>
      <w:r>
        <w:rPr>
          <w:spacing w:val="-2"/>
        </w:rPr>
        <w:t>schools.</w:t>
      </w:r>
    </w:p>
    <w:p w:rsidR="00200FDA" w:rsidRDefault="00200FDA">
      <w:pPr>
        <w:pStyle w:val="BodyText"/>
        <w:spacing w:before="7"/>
        <w:rPr>
          <w:sz w:val="19"/>
        </w:rPr>
      </w:pPr>
    </w:p>
    <w:p w:rsidR="00200FDA" w:rsidRDefault="00F76C4C">
      <w:pPr>
        <w:pStyle w:val="BodyText"/>
        <w:ind w:left="279" w:right="274"/>
        <w:jc w:val="both"/>
      </w:pPr>
      <w:r>
        <w:t>The Commission also appreciates DESE including its staff and consultants in the comprehensive health framework revision process. The Commission believes that the work done so far is promising in terms of its</w:t>
      </w:r>
      <w:r>
        <w:rPr>
          <w:spacing w:val="-2"/>
        </w:rPr>
        <w:t xml:space="preserve"> </w:t>
      </w:r>
      <w:r>
        <w:t>LG</w:t>
      </w:r>
      <w:r>
        <w:t>BTQ</w:t>
      </w:r>
      <w:r>
        <w:rPr>
          <w:spacing w:val="-2"/>
        </w:rPr>
        <w:t xml:space="preserve"> </w:t>
      </w:r>
      <w:r>
        <w:t>inclusivity,</w:t>
      </w:r>
      <w:r>
        <w:rPr>
          <w:spacing w:val="-4"/>
        </w:rPr>
        <w:t xml:space="preserve"> </w:t>
      </w:r>
      <w:r>
        <w:t>and</w:t>
      </w:r>
      <w:r>
        <w:rPr>
          <w:spacing w:val="-3"/>
        </w:rPr>
        <w:t xml:space="preserve"> </w:t>
      </w:r>
      <w:r>
        <w:t>urges</w:t>
      </w:r>
      <w:r>
        <w:rPr>
          <w:spacing w:val="-2"/>
        </w:rPr>
        <w:t xml:space="preserve"> </w:t>
      </w:r>
      <w:r>
        <w:t>DESE</w:t>
      </w:r>
      <w:r>
        <w:rPr>
          <w:spacing w:val="-4"/>
        </w:rPr>
        <w:t xml:space="preserve"> </w:t>
      </w:r>
      <w:r>
        <w:t>to</w:t>
      </w:r>
      <w:r>
        <w:rPr>
          <w:spacing w:val="-1"/>
        </w:rPr>
        <w:t xml:space="preserve"> </w:t>
      </w:r>
      <w:r>
        <w:t>continue</w:t>
      </w:r>
      <w:r>
        <w:rPr>
          <w:spacing w:val="-1"/>
        </w:rPr>
        <w:t xml:space="preserve"> </w:t>
      </w:r>
      <w:r>
        <w:t>promoting</w:t>
      </w:r>
      <w:r>
        <w:rPr>
          <w:spacing w:val="-3"/>
        </w:rPr>
        <w:t xml:space="preserve"> </w:t>
      </w:r>
      <w:r>
        <w:t>districts’</w:t>
      </w:r>
      <w:r>
        <w:rPr>
          <w:spacing w:val="-2"/>
        </w:rPr>
        <w:t xml:space="preserve"> </w:t>
      </w:r>
      <w:r>
        <w:t>use</w:t>
      </w:r>
      <w:r>
        <w:rPr>
          <w:spacing w:val="-4"/>
        </w:rPr>
        <w:t xml:space="preserve"> </w:t>
      </w:r>
      <w:r>
        <w:t>of</w:t>
      </w:r>
      <w:r>
        <w:rPr>
          <w:spacing w:val="-2"/>
        </w:rPr>
        <w:t xml:space="preserve"> </w:t>
      </w:r>
      <w:r>
        <w:t>sexual</w:t>
      </w:r>
      <w:r>
        <w:rPr>
          <w:spacing w:val="-2"/>
        </w:rPr>
        <w:t xml:space="preserve"> </w:t>
      </w:r>
      <w:r>
        <w:t>health</w:t>
      </w:r>
      <w:r>
        <w:rPr>
          <w:spacing w:val="-3"/>
        </w:rPr>
        <w:t xml:space="preserve"> </w:t>
      </w:r>
      <w:r>
        <w:t>education</w:t>
      </w:r>
      <w:r>
        <w:rPr>
          <w:spacing w:val="-3"/>
        </w:rPr>
        <w:t xml:space="preserve"> </w:t>
      </w:r>
      <w:r>
        <w:t>that is comprehensive, evidence-based, and LGBTQ-inclusive. Making such education available to every student in the Commonwealth is a major priority of the Comm</w:t>
      </w:r>
      <w:r>
        <w:t>ission, as identified in the core recommendations above. The Commission also appreciates DESE’s effort to maintain sexual health education</w:t>
      </w:r>
      <w:r>
        <w:rPr>
          <w:spacing w:val="-7"/>
        </w:rPr>
        <w:t xml:space="preserve"> </w:t>
      </w:r>
      <w:r>
        <w:t>and</w:t>
      </w:r>
      <w:r>
        <w:rPr>
          <w:spacing w:val="-7"/>
        </w:rPr>
        <w:t xml:space="preserve"> </w:t>
      </w:r>
      <w:r>
        <w:t>programming</w:t>
      </w:r>
      <w:r>
        <w:rPr>
          <w:spacing w:val="-7"/>
        </w:rPr>
        <w:t xml:space="preserve"> </w:t>
      </w:r>
      <w:r>
        <w:t>in</w:t>
      </w:r>
      <w:r>
        <w:rPr>
          <w:spacing w:val="-7"/>
        </w:rPr>
        <w:t xml:space="preserve"> </w:t>
      </w:r>
      <w:r>
        <w:t>schools</w:t>
      </w:r>
      <w:r>
        <w:rPr>
          <w:spacing w:val="-7"/>
        </w:rPr>
        <w:t xml:space="preserve"> </w:t>
      </w:r>
      <w:r>
        <w:t>despite</w:t>
      </w:r>
      <w:r>
        <w:rPr>
          <w:spacing w:val="-6"/>
        </w:rPr>
        <w:t xml:space="preserve"> </w:t>
      </w:r>
      <w:r>
        <w:t>some</w:t>
      </w:r>
      <w:r>
        <w:rPr>
          <w:spacing w:val="-6"/>
        </w:rPr>
        <w:t xml:space="preserve"> </w:t>
      </w:r>
      <w:r>
        <w:t>funding</w:t>
      </w:r>
      <w:r>
        <w:rPr>
          <w:spacing w:val="-7"/>
        </w:rPr>
        <w:t xml:space="preserve"> </w:t>
      </w:r>
      <w:r>
        <w:t>cuts</w:t>
      </w:r>
      <w:r>
        <w:rPr>
          <w:spacing w:val="-7"/>
        </w:rPr>
        <w:t xml:space="preserve"> </w:t>
      </w:r>
      <w:r>
        <w:t>at</w:t>
      </w:r>
      <w:r>
        <w:rPr>
          <w:spacing w:val="-6"/>
        </w:rPr>
        <w:t xml:space="preserve"> </w:t>
      </w:r>
      <w:r>
        <w:t>the</w:t>
      </w:r>
      <w:r>
        <w:rPr>
          <w:spacing w:val="-6"/>
        </w:rPr>
        <w:t xml:space="preserve"> </w:t>
      </w:r>
      <w:r>
        <w:t>federal</w:t>
      </w:r>
      <w:r>
        <w:rPr>
          <w:spacing w:val="-7"/>
        </w:rPr>
        <w:t xml:space="preserve"> </w:t>
      </w:r>
      <w:r>
        <w:t>level</w:t>
      </w:r>
      <w:r>
        <w:rPr>
          <w:spacing w:val="-7"/>
        </w:rPr>
        <w:t xml:space="preserve"> </w:t>
      </w:r>
      <w:r>
        <w:t>and</w:t>
      </w:r>
      <w:r>
        <w:rPr>
          <w:spacing w:val="-7"/>
        </w:rPr>
        <w:t xml:space="preserve"> </w:t>
      </w:r>
      <w:r>
        <w:t>encourages</w:t>
      </w:r>
      <w:r>
        <w:rPr>
          <w:spacing w:val="-9"/>
        </w:rPr>
        <w:t xml:space="preserve"> </w:t>
      </w:r>
      <w:r>
        <w:t>the Department to continue s</w:t>
      </w:r>
      <w:r>
        <w:t>eeking funding to do this important work. In FY 23, the Safe Schools Program for</w:t>
      </w:r>
      <w:r>
        <w:rPr>
          <w:spacing w:val="-7"/>
        </w:rPr>
        <w:t xml:space="preserve"> </w:t>
      </w:r>
      <w:r>
        <w:t>LGBTQ</w:t>
      </w:r>
      <w:r>
        <w:rPr>
          <w:spacing w:val="-6"/>
        </w:rPr>
        <w:t xml:space="preserve"> </w:t>
      </w:r>
      <w:r>
        <w:t>Students</w:t>
      </w:r>
      <w:r>
        <w:rPr>
          <w:spacing w:val="-6"/>
        </w:rPr>
        <w:t xml:space="preserve"> </w:t>
      </w:r>
      <w:r>
        <w:t>has</w:t>
      </w:r>
      <w:r>
        <w:rPr>
          <w:spacing w:val="-7"/>
        </w:rPr>
        <w:t xml:space="preserve"> </w:t>
      </w:r>
      <w:r>
        <w:t>noticed</w:t>
      </w:r>
      <w:r>
        <w:rPr>
          <w:spacing w:val="-7"/>
        </w:rPr>
        <w:t xml:space="preserve"> </w:t>
      </w:r>
      <w:r>
        <w:t>an</w:t>
      </w:r>
      <w:r>
        <w:rPr>
          <w:spacing w:val="-7"/>
        </w:rPr>
        <w:t xml:space="preserve"> </w:t>
      </w:r>
      <w:r>
        <w:t>increase</w:t>
      </w:r>
      <w:r>
        <w:rPr>
          <w:spacing w:val="-6"/>
        </w:rPr>
        <w:t xml:space="preserve"> </w:t>
      </w:r>
      <w:r>
        <w:t>in</w:t>
      </w:r>
      <w:r>
        <w:rPr>
          <w:spacing w:val="-7"/>
        </w:rPr>
        <w:t xml:space="preserve"> </w:t>
      </w:r>
      <w:r>
        <w:t>requests</w:t>
      </w:r>
      <w:r>
        <w:rPr>
          <w:spacing w:val="-7"/>
        </w:rPr>
        <w:t xml:space="preserve"> </w:t>
      </w:r>
      <w:r>
        <w:t>from</w:t>
      </w:r>
      <w:r>
        <w:rPr>
          <w:spacing w:val="-5"/>
        </w:rPr>
        <w:t xml:space="preserve"> </w:t>
      </w:r>
      <w:r>
        <w:t>school</w:t>
      </w:r>
      <w:r>
        <w:rPr>
          <w:spacing w:val="-7"/>
        </w:rPr>
        <w:t xml:space="preserve"> </w:t>
      </w:r>
      <w:r>
        <w:t>districts</w:t>
      </w:r>
      <w:r>
        <w:rPr>
          <w:spacing w:val="-7"/>
        </w:rPr>
        <w:t xml:space="preserve"> </w:t>
      </w:r>
      <w:r>
        <w:t>related</w:t>
      </w:r>
      <w:r>
        <w:rPr>
          <w:spacing w:val="-7"/>
        </w:rPr>
        <w:t xml:space="preserve"> </w:t>
      </w:r>
      <w:r>
        <w:t>to</w:t>
      </w:r>
      <w:r>
        <w:rPr>
          <w:spacing w:val="-5"/>
        </w:rPr>
        <w:t xml:space="preserve"> </w:t>
      </w:r>
      <w:r>
        <w:t>health</w:t>
      </w:r>
      <w:r>
        <w:rPr>
          <w:spacing w:val="-7"/>
        </w:rPr>
        <w:t xml:space="preserve"> </w:t>
      </w:r>
      <w:r>
        <w:t>and</w:t>
      </w:r>
      <w:r>
        <w:rPr>
          <w:spacing w:val="-7"/>
        </w:rPr>
        <w:t xml:space="preserve"> </w:t>
      </w:r>
      <w:r>
        <w:t>human development</w:t>
      </w:r>
      <w:r>
        <w:rPr>
          <w:spacing w:val="-1"/>
        </w:rPr>
        <w:t xml:space="preserve"> </w:t>
      </w:r>
      <w:r>
        <w:t>curricula.</w:t>
      </w:r>
      <w:r>
        <w:rPr>
          <w:spacing w:val="-2"/>
        </w:rPr>
        <w:t xml:space="preserve"> </w:t>
      </w:r>
      <w:r>
        <w:t>Looking ahead</w:t>
      </w:r>
      <w:r>
        <w:rPr>
          <w:spacing w:val="-3"/>
        </w:rPr>
        <w:t xml:space="preserve"> </w:t>
      </w:r>
      <w:r>
        <w:t>to</w:t>
      </w:r>
      <w:r>
        <w:rPr>
          <w:spacing w:val="-1"/>
        </w:rPr>
        <w:t xml:space="preserve"> </w:t>
      </w:r>
      <w:r>
        <w:t>the</w:t>
      </w:r>
      <w:r>
        <w:rPr>
          <w:spacing w:val="-1"/>
        </w:rPr>
        <w:t xml:space="preserve"> </w:t>
      </w:r>
      <w:r>
        <w:t>coming</w:t>
      </w:r>
      <w:r>
        <w:rPr>
          <w:spacing w:val="-3"/>
        </w:rPr>
        <w:t xml:space="preserve"> </w:t>
      </w:r>
      <w:r>
        <w:t>school</w:t>
      </w:r>
      <w:r>
        <w:rPr>
          <w:spacing w:val="-4"/>
        </w:rPr>
        <w:t xml:space="preserve"> </w:t>
      </w:r>
      <w:r>
        <w:t>years,</w:t>
      </w:r>
      <w:r>
        <w:rPr>
          <w:spacing w:val="-2"/>
        </w:rPr>
        <w:t xml:space="preserve"> </w:t>
      </w:r>
      <w:r>
        <w:t>the Commission and</w:t>
      </w:r>
      <w:r>
        <w:rPr>
          <w:spacing w:val="-3"/>
        </w:rPr>
        <w:t xml:space="preserve"> </w:t>
      </w:r>
      <w:r>
        <w:t>DESE</w:t>
      </w:r>
      <w:r>
        <w:rPr>
          <w:spacing w:val="-2"/>
        </w:rPr>
        <w:t xml:space="preserve"> </w:t>
      </w:r>
      <w:r>
        <w:t>can</w:t>
      </w:r>
      <w:r>
        <w:rPr>
          <w:spacing w:val="-3"/>
        </w:rPr>
        <w:t xml:space="preserve"> </w:t>
      </w:r>
      <w:r>
        <w:t>further collaborate on staffing resources to reply to this increase of technical assistance requests.</w:t>
      </w:r>
    </w:p>
    <w:p w:rsidR="00200FDA" w:rsidRDefault="00200FDA">
      <w:pPr>
        <w:pStyle w:val="BodyText"/>
      </w:pPr>
    </w:p>
    <w:p w:rsidR="00200FDA" w:rsidRDefault="00200FDA">
      <w:pPr>
        <w:pStyle w:val="BodyText"/>
        <w:spacing w:before="8"/>
        <w:rPr>
          <w:sz w:val="19"/>
        </w:rPr>
      </w:pPr>
    </w:p>
    <w:p w:rsidR="00200FDA" w:rsidRDefault="00F76C4C">
      <w:pPr>
        <w:pStyle w:val="Heading9"/>
        <w:numPr>
          <w:ilvl w:val="0"/>
          <w:numId w:val="19"/>
        </w:numPr>
        <w:tabs>
          <w:tab w:val="left" w:pos="532"/>
        </w:tabs>
        <w:ind w:left="279" w:right="334" w:firstLine="0"/>
      </w:pPr>
      <w:r>
        <w:t>Develop</w:t>
      </w:r>
      <w:r>
        <w:rPr>
          <w:spacing w:val="28"/>
        </w:rPr>
        <w:t xml:space="preserve"> </w:t>
      </w:r>
      <w:r>
        <w:t>and</w:t>
      </w:r>
      <w:r>
        <w:rPr>
          <w:spacing w:val="26"/>
        </w:rPr>
        <w:t xml:space="preserve"> </w:t>
      </w:r>
      <w:r>
        <w:t>model</w:t>
      </w:r>
      <w:r>
        <w:rPr>
          <w:spacing w:val="27"/>
        </w:rPr>
        <w:t xml:space="preserve"> </w:t>
      </w:r>
      <w:r>
        <w:t>strategies</w:t>
      </w:r>
      <w:r>
        <w:rPr>
          <w:spacing w:val="27"/>
        </w:rPr>
        <w:t xml:space="preserve"> </w:t>
      </w:r>
      <w:r>
        <w:t>for</w:t>
      </w:r>
      <w:r>
        <w:rPr>
          <w:spacing w:val="27"/>
        </w:rPr>
        <w:t xml:space="preserve"> </w:t>
      </w:r>
      <w:r>
        <w:t>school</w:t>
      </w:r>
      <w:r>
        <w:rPr>
          <w:spacing w:val="30"/>
        </w:rPr>
        <w:t xml:space="preserve"> </w:t>
      </w:r>
      <w:r>
        <w:t>districts</w:t>
      </w:r>
      <w:r>
        <w:rPr>
          <w:spacing w:val="29"/>
        </w:rPr>
        <w:t xml:space="preserve"> </w:t>
      </w:r>
      <w:r>
        <w:t>to</w:t>
      </w:r>
      <w:r>
        <w:rPr>
          <w:spacing w:val="25"/>
        </w:rPr>
        <w:t xml:space="preserve"> </w:t>
      </w:r>
      <w:r>
        <w:t>recruit</w:t>
      </w:r>
      <w:r>
        <w:rPr>
          <w:spacing w:val="29"/>
        </w:rPr>
        <w:t xml:space="preserve"> </w:t>
      </w:r>
      <w:r>
        <w:t>and</w:t>
      </w:r>
      <w:r>
        <w:rPr>
          <w:spacing w:val="26"/>
        </w:rPr>
        <w:t xml:space="preserve"> </w:t>
      </w:r>
      <w:r>
        <w:t>retain</w:t>
      </w:r>
      <w:r>
        <w:rPr>
          <w:spacing w:val="25"/>
        </w:rPr>
        <w:t xml:space="preserve"> </w:t>
      </w:r>
      <w:r>
        <w:t>a</w:t>
      </w:r>
      <w:r>
        <w:rPr>
          <w:spacing w:val="25"/>
        </w:rPr>
        <w:t xml:space="preserve"> </w:t>
      </w:r>
      <w:r>
        <w:t>diverse</w:t>
      </w:r>
      <w:r>
        <w:rPr>
          <w:spacing w:val="25"/>
        </w:rPr>
        <w:t xml:space="preserve"> </w:t>
      </w:r>
      <w:r>
        <w:t>workforce</w:t>
      </w:r>
      <w:r>
        <w:rPr>
          <w:spacing w:val="25"/>
        </w:rPr>
        <w:t xml:space="preserve"> </w:t>
      </w:r>
      <w:r>
        <w:t>that includes diversity in gende</w:t>
      </w:r>
      <w:r>
        <w:t>r identity and sexual orientation.</w:t>
      </w:r>
    </w:p>
    <w:p w:rsidR="00200FDA" w:rsidRDefault="00200FDA">
      <w:pPr>
        <w:pStyle w:val="BodyText"/>
        <w:spacing w:before="9"/>
        <w:rPr>
          <w:b/>
          <w:sz w:val="19"/>
        </w:rPr>
      </w:pPr>
    </w:p>
    <w:p w:rsidR="00200FDA" w:rsidRDefault="00F76C4C">
      <w:pPr>
        <w:spacing w:before="1"/>
        <w:ind w:left="280" w:right="276" w:firstLine="49"/>
        <w:jc w:val="both"/>
      </w:pPr>
      <w:r>
        <w:t xml:space="preserve">DESE’s </w:t>
      </w:r>
      <w:hyperlink r:id="rId791">
        <w:r>
          <w:rPr>
            <w:i/>
            <w:color w:val="1154CC"/>
            <w:u w:val="single" w:color="1154CC"/>
          </w:rPr>
          <w:t>Principles for Ensuring Safe and Supportive Learning Environments for Lesbian, Gay, Bisexual,</w:t>
        </w:r>
      </w:hyperlink>
      <w:r>
        <w:rPr>
          <w:i/>
          <w:color w:val="1154CC"/>
        </w:rPr>
        <w:t xml:space="preserve"> </w:t>
      </w:r>
      <w:hyperlink r:id="rId792">
        <w:r>
          <w:rPr>
            <w:i/>
            <w:color w:val="1154CC"/>
            <w:u w:val="single" w:color="1154CC"/>
          </w:rPr>
          <w:t>Transgender, Queer, and Questioning (LGBTQ) Students</w:t>
        </w:r>
      </w:hyperlink>
      <w:r>
        <w:rPr>
          <w:i/>
          <w:color w:val="1154CC"/>
        </w:rPr>
        <w:t xml:space="preserve"> </w:t>
      </w:r>
      <w:r>
        <w:t>states, in part:</w:t>
      </w:r>
    </w:p>
    <w:p w:rsidR="00200FDA" w:rsidRDefault="00200FDA">
      <w:pPr>
        <w:pStyle w:val="BodyText"/>
        <w:spacing w:before="5"/>
        <w:rPr>
          <w:sz w:val="18"/>
        </w:rPr>
      </w:pPr>
    </w:p>
    <w:p w:rsidR="00200FDA" w:rsidRDefault="00F76C4C">
      <w:pPr>
        <w:pStyle w:val="BodyText"/>
        <w:spacing w:before="56" w:line="264" w:lineRule="auto"/>
        <w:ind w:left="719" w:right="717" w:hanging="1"/>
        <w:jc w:val="center"/>
      </w:pPr>
      <w:r>
        <w:rPr>
          <w:color w:val="4F81BC"/>
        </w:rPr>
        <w:t>“Schools are encouraged to have a diverse workforce. In order to provide authentic role models</w:t>
      </w:r>
      <w:r>
        <w:rPr>
          <w:color w:val="4F81BC"/>
          <w:spacing w:val="-3"/>
        </w:rPr>
        <w:t xml:space="preserve"> </w:t>
      </w:r>
      <w:r>
        <w:rPr>
          <w:color w:val="4F81BC"/>
        </w:rPr>
        <w:t>for</w:t>
      </w:r>
      <w:r>
        <w:rPr>
          <w:color w:val="4F81BC"/>
          <w:spacing w:val="-3"/>
        </w:rPr>
        <w:t xml:space="preserve"> </w:t>
      </w:r>
      <w:r>
        <w:rPr>
          <w:color w:val="4F81BC"/>
        </w:rPr>
        <w:t>al</w:t>
      </w:r>
      <w:r>
        <w:rPr>
          <w:color w:val="4F81BC"/>
        </w:rPr>
        <w:t>l</w:t>
      </w:r>
      <w:r>
        <w:rPr>
          <w:color w:val="4F81BC"/>
          <w:spacing w:val="-3"/>
        </w:rPr>
        <w:t xml:space="preserve"> </w:t>
      </w:r>
      <w:r>
        <w:rPr>
          <w:color w:val="4F81BC"/>
        </w:rPr>
        <w:t>students,</w:t>
      </w:r>
      <w:r>
        <w:rPr>
          <w:color w:val="4F81BC"/>
          <w:spacing w:val="-5"/>
        </w:rPr>
        <w:t xml:space="preserve"> </w:t>
      </w:r>
      <w:r>
        <w:rPr>
          <w:color w:val="4F81BC"/>
        </w:rPr>
        <w:t>schools</w:t>
      </w:r>
      <w:r>
        <w:rPr>
          <w:color w:val="4F81BC"/>
          <w:spacing w:val="-5"/>
        </w:rPr>
        <w:t xml:space="preserve"> </w:t>
      </w:r>
      <w:r>
        <w:rPr>
          <w:color w:val="4F81BC"/>
        </w:rPr>
        <w:t>are</w:t>
      </w:r>
      <w:r>
        <w:rPr>
          <w:color w:val="4F81BC"/>
          <w:spacing w:val="-5"/>
        </w:rPr>
        <w:t xml:space="preserve"> </w:t>
      </w:r>
      <w:r>
        <w:rPr>
          <w:color w:val="4F81BC"/>
        </w:rPr>
        <w:t>encouraged</w:t>
      </w:r>
      <w:r>
        <w:rPr>
          <w:color w:val="4F81BC"/>
          <w:spacing w:val="-3"/>
        </w:rPr>
        <w:t xml:space="preserve"> </w:t>
      </w:r>
      <w:r>
        <w:rPr>
          <w:color w:val="4F81BC"/>
        </w:rPr>
        <w:t>to</w:t>
      </w:r>
      <w:r>
        <w:rPr>
          <w:color w:val="4F81BC"/>
          <w:spacing w:val="-2"/>
        </w:rPr>
        <w:t xml:space="preserve"> </w:t>
      </w:r>
      <w:r>
        <w:rPr>
          <w:color w:val="4F81BC"/>
        </w:rPr>
        <w:t>have</w:t>
      </w:r>
      <w:r>
        <w:rPr>
          <w:color w:val="4F81BC"/>
          <w:spacing w:val="-2"/>
        </w:rPr>
        <w:t xml:space="preserve"> </w:t>
      </w:r>
      <w:r>
        <w:rPr>
          <w:color w:val="4F81BC"/>
        </w:rPr>
        <w:t>diverse</w:t>
      </w:r>
      <w:r>
        <w:rPr>
          <w:color w:val="4F81BC"/>
          <w:spacing w:val="-2"/>
        </w:rPr>
        <w:t xml:space="preserve"> </w:t>
      </w:r>
      <w:r>
        <w:rPr>
          <w:color w:val="4F81BC"/>
        </w:rPr>
        <w:t>staff</w:t>
      </w:r>
      <w:r>
        <w:rPr>
          <w:color w:val="4F81BC"/>
          <w:spacing w:val="-5"/>
        </w:rPr>
        <w:t xml:space="preserve"> </w:t>
      </w:r>
      <w:r>
        <w:rPr>
          <w:color w:val="4F81BC"/>
        </w:rPr>
        <w:t>who</w:t>
      </w:r>
      <w:r>
        <w:rPr>
          <w:color w:val="4F81BC"/>
          <w:spacing w:val="-2"/>
        </w:rPr>
        <w:t xml:space="preserve"> </w:t>
      </w:r>
      <w:r>
        <w:rPr>
          <w:color w:val="4F81BC"/>
        </w:rPr>
        <w:t>reflect</w:t>
      </w:r>
      <w:r>
        <w:rPr>
          <w:color w:val="4F81BC"/>
          <w:spacing w:val="-2"/>
        </w:rPr>
        <w:t xml:space="preserve"> </w:t>
      </w:r>
      <w:r>
        <w:rPr>
          <w:color w:val="4F81BC"/>
        </w:rPr>
        <w:t>the</w:t>
      </w:r>
      <w:r>
        <w:rPr>
          <w:color w:val="4F81BC"/>
          <w:spacing w:val="-2"/>
        </w:rPr>
        <w:t xml:space="preserve"> </w:t>
      </w:r>
      <w:r>
        <w:rPr>
          <w:color w:val="4F81BC"/>
        </w:rPr>
        <w:t>protected categories in the Student Anti- discrimination Law, including gender identity and sexual orientation… [I]t is important that school</w:t>
      </w:r>
      <w:r>
        <w:rPr>
          <w:color w:val="4F81BC"/>
          <w:spacing w:val="40"/>
        </w:rPr>
        <w:t xml:space="preserve"> </w:t>
      </w:r>
      <w:r>
        <w:rPr>
          <w:color w:val="4F81BC"/>
        </w:rPr>
        <w:t>systems</w:t>
      </w:r>
      <w:r>
        <w:rPr>
          <w:color w:val="4F81BC"/>
          <w:spacing w:val="40"/>
        </w:rPr>
        <w:t xml:space="preserve"> </w:t>
      </w:r>
      <w:r>
        <w:rPr>
          <w:color w:val="4F81BC"/>
        </w:rPr>
        <w:t>have</w:t>
      </w:r>
      <w:r>
        <w:rPr>
          <w:color w:val="4F81BC"/>
          <w:spacing w:val="40"/>
        </w:rPr>
        <w:t xml:space="preserve"> </w:t>
      </w:r>
      <w:r>
        <w:rPr>
          <w:color w:val="4F81BC"/>
        </w:rPr>
        <w:t>work</w:t>
      </w:r>
      <w:r>
        <w:rPr>
          <w:color w:val="4F81BC"/>
          <w:spacing w:val="40"/>
        </w:rPr>
        <w:t xml:space="preserve"> </w:t>
      </w:r>
      <w:r>
        <w:rPr>
          <w:color w:val="4F81BC"/>
        </w:rPr>
        <w:t>environments</w:t>
      </w:r>
      <w:r>
        <w:rPr>
          <w:color w:val="4F81BC"/>
          <w:spacing w:val="40"/>
        </w:rPr>
        <w:t xml:space="preserve"> </w:t>
      </w:r>
      <w:r>
        <w:rPr>
          <w:color w:val="4F81BC"/>
        </w:rPr>
        <w:t>where</w:t>
      </w:r>
      <w:r>
        <w:rPr>
          <w:color w:val="4F81BC"/>
          <w:spacing w:val="40"/>
        </w:rPr>
        <w:t xml:space="preserve"> </w:t>
      </w:r>
      <w:r>
        <w:rPr>
          <w:color w:val="4F81BC"/>
        </w:rPr>
        <w:t>open</w:t>
      </w:r>
      <w:r>
        <w:rPr>
          <w:color w:val="4F81BC"/>
        </w:rPr>
        <w:t>ly LGBTQ</w:t>
      </w:r>
      <w:r>
        <w:rPr>
          <w:color w:val="4F81BC"/>
          <w:spacing w:val="40"/>
        </w:rPr>
        <w:t xml:space="preserve"> </w:t>
      </w:r>
      <w:r>
        <w:rPr>
          <w:color w:val="4F81BC"/>
        </w:rPr>
        <w:t>staff</w:t>
      </w:r>
      <w:r>
        <w:rPr>
          <w:color w:val="4F81BC"/>
          <w:spacing w:val="40"/>
        </w:rPr>
        <w:t xml:space="preserve"> </w:t>
      </w:r>
      <w:r>
        <w:rPr>
          <w:color w:val="4F81BC"/>
        </w:rPr>
        <w:t>members feel</w:t>
      </w:r>
      <w:r>
        <w:rPr>
          <w:color w:val="4F81BC"/>
          <w:spacing w:val="40"/>
        </w:rPr>
        <w:t xml:space="preserve"> </w:t>
      </w:r>
      <w:r>
        <w:rPr>
          <w:color w:val="4F81BC"/>
        </w:rPr>
        <w:t>safe, supported, and valued.”</w:t>
      </w:r>
    </w:p>
    <w:p w:rsidR="00200FDA" w:rsidRDefault="00200FDA">
      <w:pPr>
        <w:pStyle w:val="BodyText"/>
        <w:spacing w:before="7"/>
        <w:rPr>
          <w:sz w:val="19"/>
        </w:rPr>
      </w:pPr>
    </w:p>
    <w:p w:rsidR="00200FDA" w:rsidRDefault="00F76C4C">
      <w:pPr>
        <w:pStyle w:val="BodyText"/>
        <w:ind w:left="280" w:right="314"/>
        <w:jc w:val="both"/>
      </w:pPr>
      <w:r>
        <w:t>In</w:t>
      </w:r>
      <w:r>
        <w:rPr>
          <w:spacing w:val="-7"/>
        </w:rPr>
        <w:t xml:space="preserve"> </w:t>
      </w:r>
      <w:r>
        <w:t>addition</w:t>
      </w:r>
      <w:r>
        <w:rPr>
          <w:spacing w:val="-7"/>
        </w:rPr>
        <w:t xml:space="preserve"> </w:t>
      </w:r>
      <w:r>
        <w:t>to</w:t>
      </w:r>
      <w:r>
        <w:rPr>
          <w:spacing w:val="-8"/>
        </w:rPr>
        <w:t xml:space="preserve"> </w:t>
      </w:r>
      <w:r>
        <w:t>ensuring</w:t>
      </w:r>
      <w:r>
        <w:rPr>
          <w:spacing w:val="-7"/>
        </w:rPr>
        <w:t xml:space="preserve"> </w:t>
      </w:r>
      <w:r>
        <w:t>that</w:t>
      </w:r>
      <w:r>
        <w:rPr>
          <w:spacing w:val="-9"/>
        </w:rPr>
        <w:t xml:space="preserve"> </w:t>
      </w:r>
      <w:r>
        <w:t>non-LGBTQ</w:t>
      </w:r>
      <w:r>
        <w:rPr>
          <w:spacing w:val="-6"/>
        </w:rPr>
        <w:t xml:space="preserve"> </w:t>
      </w:r>
      <w:r>
        <w:t>educators</w:t>
      </w:r>
      <w:r>
        <w:rPr>
          <w:spacing w:val="-9"/>
        </w:rPr>
        <w:t xml:space="preserve"> </w:t>
      </w:r>
      <w:r>
        <w:t>and</w:t>
      </w:r>
      <w:r>
        <w:rPr>
          <w:spacing w:val="-7"/>
        </w:rPr>
        <w:t xml:space="preserve"> </w:t>
      </w:r>
      <w:r>
        <w:t>staff</w:t>
      </w:r>
      <w:r>
        <w:rPr>
          <w:spacing w:val="-7"/>
        </w:rPr>
        <w:t xml:space="preserve"> </w:t>
      </w:r>
      <w:r>
        <w:t>are</w:t>
      </w:r>
      <w:r>
        <w:rPr>
          <w:spacing w:val="-9"/>
        </w:rPr>
        <w:t xml:space="preserve"> </w:t>
      </w:r>
      <w:r>
        <w:t>culturally</w:t>
      </w:r>
      <w:r>
        <w:rPr>
          <w:spacing w:val="-6"/>
        </w:rPr>
        <w:t xml:space="preserve"> </w:t>
      </w:r>
      <w:r>
        <w:t>responsive</w:t>
      </w:r>
      <w:r>
        <w:rPr>
          <w:spacing w:val="-6"/>
        </w:rPr>
        <w:t xml:space="preserve"> </w:t>
      </w:r>
      <w:r>
        <w:t>in</w:t>
      </w:r>
      <w:r>
        <w:rPr>
          <w:spacing w:val="-7"/>
        </w:rPr>
        <w:t xml:space="preserve"> </w:t>
      </w:r>
      <w:r>
        <w:t>LGBTQ</w:t>
      </w:r>
      <w:r>
        <w:rPr>
          <w:spacing w:val="-9"/>
        </w:rPr>
        <w:t xml:space="preserve"> </w:t>
      </w:r>
      <w:r>
        <w:t>issues,</w:t>
      </w:r>
      <w:r>
        <w:rPr>
          <w:spacing w:val="-9"/>
        </w:rPr>
        <w:t xml:space="preserve"> </w:t>
      </w:r>
      <w:r>
        <w:t>the Commission also recommends that DESE state clearly its commitment to foster a diverse workforce by supporting and valuing LGBTQ educators, collecting relevant data and best practices, determining areas to focus attention and resources, and modifying th</w:t>
      </w:r>
      <w:r>
        <w:t>e Educator Licensure And Renewal (ELAR) system to include a nonbinary gender marker.</w:t>
      </w:r>
      <w:r>
        <w:rPr>
          <w:spacing w:val="-1"/>
        </w:rPr>
        <w:t xml:space="preserve"> </w:t>
      </w:r>
      <w:r>
        <w:rPr>
          <w:color w:val="444646"/>
        </w:rPr>
        <w:t>The Education</w:t>
      </w:r>
      <w:r>
        <w:rPr>
          <w:color w:val="444646"/>
          <w:spacing w:val="-1"/>
        </w:rPr>
        <w:t xml:space="preserve"> </w:t>
      </w:r>
      <w:r>
        <w:rPr>
          <w:color w:val="444646"/>
        </w:rPr>
        <w:t>Personnel Information</w:t>
      </w:r>
      <w:r>
        <w:rPr>
          <w:color w:val="444646"/>
          <w:spacing w:val="-1"/>
        </w:rPr>
        <w:t xml:space="preserve"> </w:t>
      </w:r>
      <w:r>
        <w:rPr>
          <w:color w:val="444646"/>
        </w:rPr>
        <w:t>Management System (EPIMS) has offered a third gender marker since 2016.</w:t>
      </w:r>
      <w:r>
        <w:t>The Commission would also appreciate support in sharing the guid</w:t>
      </w:r>
      <w:r>
        <w:t>ance it has issued</w:t>
      </w:r>
      <w:r>
        <w:rPr>
          <w:spacing w:val="-3"/>
        </w:rPr>
        <w:t xml:space="preserve"> </w:t>
      </w:r>
      <w:r>
        <w:t>on making workplaces</w:t>
      </w:r>
      <w:r>
        <w:rPr>
          <w:spacing w:val="-2"/>
        </w:rPr>
        <w:t xml:space="preserve"> </w:t>
      </w:r>
      <w:r>
        <w:t>more inclusive</w:t>
      </w:r>
      <w:r>
        <w:rPr>
          <w:spacing w:val="-1"/>
        </w:rPr>
        <w:t xml:space="preserve"> </w:t>
      </w:r>
      <w:r>
        <w:t>of diverse gender identities, as noted in the core recommendations for FY 2023.</w:t>
      </w:r>
    </w:p>
    <w:p w:rsidR="00200FDA" w:rsidRDefault="00200FDA">
      <w:pPr>
        <w:pStyle w:val="BodyText"/>
        <w:spacing w:before="8"/>
        <w:rPr>
          <w:sz w:val="19"/>
        </w:rPr>
      </w:pPr>
    </w:p>
    <w:p w:rsidR="00200FDA" w:rsidRDefault="00F76C4C">
      <w:pPr>
        <w:pStyle w:val="BodyText"/>
        <w:ind w:left="280" w:right="313"/>
        <w:jc w:val="both"/>
      </w:pPr>
      <w:r>
        <w:t>In recent years, educators have experienced harassment in Massachusetts and nationally for their inclusion</w:t>
      </w:r>
      <w:r>
        <w:rPr>
          <w:spacing w:val="-3"/>
        </w:rPr>
        <w:t xml:space="preserve"> </w:t>
      </w:r>
      <w:r>
        <w:t>of</w:t>
      </w:r>
      <w:r>
        <w:rPr>
          <w:spacing w:val="-2"/>
        </w:rPr>
        <w:t xml:space="preserve"> </w:t>
      </w:r>
      <w:r>
        <w:t>LGBTQ+</w:t>
      </w:r>
      <w:r>
        <w:rPr>
          <w:spacing w:val="-4"/>
        </w:rPr>
        <w:t xml:space="preserve"> </w:t>
      </w:r>
      <w:r>
        <w:t>cur</w:t>
      </w:r>
      <w:r>
        <w:t>riculum</w:t>
      </w:r>
      <w:r>
        <w:rPr>
          <w:spacing w:val="-1"/>
        </w:rPr>
        <w:t xml:space="preserve"> </w:t>
      </w:r>
      <w:r>
        <w:t>and</w:t>
      </w:r>
      <w:r>
        <w:rPr>
          <w:spacing w:val="-3"/>
        </w:rPr>
        <w:t xml:space="preserve"> </w:t>
      </w:r>
      <w:r>
        <w:t>for</w:t>
      </w:r>
      <w:r>
        <w:rPr>
          <w:spacing w:val="-2"/>
        </w:rPr>
        <w:t xml:space="preserve"> </w:t>
      </w:r>
      <w:r>
        <w:t>rightfully</w:t>
      </w:r>
      <w:r>
        <w:rPr>
          <w:spacing w:val="-1"/>
        </w:rPr>
        <w:t xml:space="preserve"> </w:t>
      </w:r>
      <w:r>
        <w:t>supporting</w:t>
      </w:r>
      <w:r>
        <w:rPr>
          <w:spacing w:val="-3"/>
        </w:rPr>
        <w:t xml:space="preserve"> </w:t>
      </w:r>
      <w:r>
        <w:t>students</w:t>
      </w:r>
      <w:r>
        <w:rPr>
          <w:spacing w:val="-2"/>
        </w:rPr>
        <w:t xml:space="preserve"> </w:t>
      </w:r>
      <w:r>
        <w:t>in</w:t>
      </w:r>
      <w:r>
        <w:rPr>
          <w:spacing w:val="-3"/>
        </w:rPr>
        <w:t xml:space="preserve"> </w:t>
      </w:r>
      <w:r>
        <w:t>accordance</w:t>
      </w:r>
      <w:r>
        <w:rPr>
          <w:spacing w:val="-1"/>
        </w:rPr>
        <w:t xml:space="preserve"> </w:t>
      </w:r>
      <w:r>
        <w:t>with</w:t>
      </w:r>
      <w:r>
        <w:rPr>
          <w:spacing w:val="-3"/>
        </w:rPr>
        <w:t xml:space="preserve"> </w:t>
      </w:r>
      <w:r>
        <w:t>Massachusetts best practices. The Commission recommends that the Safe Schools Program for LGBTQ Students and relevant members of the DESE staff continue to work closely on technical assistan</w:t>
      </w:r>
      <w:r>
        <w:t>ce related to teacher support, development, and protection. The staff of the Safe Schools Program for LGBTQ Students have worked closely with several districts in the 2022-2023 school year facing these challenges.</w:t>
      </w:r>
    </w:p>
    <w:p w:rsidR="00200FDA" w:rsidRDefault="00200FDA">
      <w:pPr>
        <w:jc w:val="both"/>
        <w:sectPr w:rsidR="00200FDA">
          <w:pgSz w:w="12240" w:h="15840"/>
          <w:pgMar w:top="1260" w:right="1160" w:bottom="1240" w:left="1160" w:header="761" w:footer="994" w:gutter="0"/>
          <w:cols w:space="720"/>
        </w:sectPr>
      </w:pPr>
    </w:p>
    <w:p w:rsidR="00200FDA" w:rsidRDefault="00200FDA">
      <w:pPr>
        <w:pStyle w:val="BodyText"/>
        <w:rPr>
          <w:sz w:val="9"/>
        </w:rPr>
      </w:pPr>
    </w:p>
    <w:p w:rsidR="00200FDA" w:rsidRDefault="00F76C4C">
      <w:pPr>
        <w:pStyle w:val="BodyText"/>
        <w:spacing w:before="56"/>
        <w:ind w:left="279" w:right="313"/>
        <w:jc w:val="both"/>
      </w:pPr>
      <w:r>
        <w:t xml:space="preserve">We look forward to meeting </w:t>
      </w:r>
      <w:r>
        <w:t>with Commissioner to discuss these challenges and ways that DESE can further support Superintendents in their leadership around preventing and responding to anti-LGBTQ organizing in schools. A regular and direct response is</w:t>
      </w:r>
      <w:r>
        <w:rPr>
          <w:spacing w:val="-2"/>
        </w:rPr>
        <w:t xml:space="preserve"> </w:t>
      </w:r>
      <w:r>
        <w:t>needed to address the rise</w:t>
      </w:r>
      <w:r>
        <w:rPr>
          <w:spacing w:val="-1"/>
        </w:rPr>
        <w:t xml:space="preserve"> </w:t>
      </w:r>
      <w:r>
        <w:t>in an</w:t>
      </w:r>
      <w:r>
        <w:t>ti-LGBTQ rhetoric and action across the state.</w:t>
      </w:r>
    </w:p>
    <w:p w:rsidR="00200FDA" w:rsidRDefault="00200FDA">
      <w:pPr>
        <w:pStyle w:val="BodyText"/>
      </w:pPr>
    </w:p>
    <w:p w:rsidR="00200FDA" w:rsidRDefault="00200FDA">
      <w:pPr>
        <w:pStyle w:val="BodyText"/>
        <w:spacing w:before="6"/>
        <w:rPr>
          <w:sz w:val="19"/>
        </w:rPr>
      </w:pPr>
    </w:p>
    <w:p w:rsidR="00200FDA" w:rsidRDefault="00F76C4C">
      <w:pPr>
        <w:pStyle w:val="Heading9"/>
        <w:numPr>
          <w:ilvl w:val="0"/>
          <w:numId w:val="19"/>
        </w:numPr>
        <w:tabs>
          <w:tab w:val="left" w:pos="501"/>
        </w:tabs>
        <w:ind w:left="500" w:hanging="222"/>
      </w:pPr>
      <w:r>
        <w:t>Partner</w:t>
      </w:r>
      <w:r>
        <w:rPr>
          <w:spacing w:val="-8"/>
        </w:rPr>
        <w:t xml:space="preserve"> </w:t>
      </w:r>
      <w:r>
        <w:t>with</w:t>
      </w:r>
      <w:r>
        <w:rPr>
          <w:spacing w:val="-4"/>
        </w:rPr>
        <w:t xml:space="preserve"> </w:t>
      </w:r>
      <w:r>
        <w:t>the</w:t>
      </w:r>
      <w:r>
        <w:rPr>
          <w:spacing w:val="-3"/>
        </w:rPr>
        <w:t xml:space="preserve"> </w:t>
      </w:r>
      <w:r>
        <w:t>Commission</w:t>
      </w:r>
      <w:r>
        <w:rPr>
          <w:spacing w:val="-5"/>
        </w:rPr>
        <w:t xml:space="preserve"> </w:t>
      </w:r>
      <w:r>
        <w:t>to</w:t>
      </w:r>
      <w:r>
        <w:rPr>
          <w:spacing w:val="-4"/>
        </w:rPr>
        <w:t xml:space="preserve"> </w:t>
      </w:r>
      <w:r>
        <w:t>better</w:t>
      </w:r>
      <w:r>
        <w:rPr>
          <w:spacing w:val="-2"/>
        </w:rPr>
        <w:t xml:space="preserve"> </w:t>
      </w:r>
      <w:r>
        <w:t>understand</w:t>
      </w:r>
      <w:r>
        <w:rPr>
          <w:spacing w:val="-6"/>
        </w:rPr>
        <w:t xml:space="preserve"> </w:t>
      </w:r>
      <w:r>
        <w:t>and</w:t>
      </w:r>
      <w:r>
        <w:rPr>
          <w:spacing w:val="-5"/>
        </w:rPr>
        <w:t xml:space="preserve"> </w:t>
      </w:r>
      <w:r>
        <w:t>meet</w:t>
      </w:r>
      <w:r>
        <w:rPr>
          <w:spacing w:val="-3"/>
        </w:rPr>
        <w:t xml:space="preserve"> </w:t>
      </w:r>
      <w:r>
        <w:t>the</w:t>
      </w:r>
      <w:r>
        <w:rPr>
          <w:spacing w:val="-3"/>
        </w:rPr>
        <w:t xml:space="preserve"> </w:t>
      </w:r>
      <w:r>
        <w:t>needs</w:t>
      </w:r>
      <w:r>
        <w:rPr>
          <w:spacing w:val="-3"/>
        </w:rPr>
        <w:t xml:space="preserve"> </w:t>
      </w:r>
      <w:r>
        <w:t>of</w:t>
      </w:r>
      <w:r>
        <w:rPr>
          <w:spacing w:val="-3"/>
        </w:rPr>
        <w:t xml:space="preserve"> </w:t>
      </w:r>
      <w:r>
        <w:t>BIPOC</w:t>
      </w:r>
      <w:r>
        <w:rPr>
          <w:spacing w:val="-2"/>
        </w:rPr>
        <w:t xml:space="preserve"> </w:t>
      </w:r>
      <w:r>
        <w:t>LGBTQ</w:t>
      </w:r>
      <w:r>
        <w:rPr>
          <w:spacing w:val="-5"/>
        </w:rPr>
        <w:t xml:space="preserve"> </w:t>
      </w:r>
      <w:r>
        <w:rPr>
          <w:spacing w:val="-2"/>
        </w:rPr>
        <w:t>students.</w:t>
      </w:r>
    </w:p>
    <w:p w:rsidR="00200FDA" w:rsidRDefault="00200FDA">
      <w:pPr>
        <w:pStyle w:val="BodyText"/>
        <w:spacing w:before="8"/>
        <w:rPr>
          <w:b/>
          <w:sz w:val="19"/>
        </w:rPr>
      </w:pPr>
    </w:p>
    <w:p w:rsidR="00200FDA" w:rsidRDefault="00F76C4C">
      <w:pPr>
        <w:pStyle w:val="BodyText"/>
        <w:spacing w:before="1"/>
        <w:ind w:left="279" w:right="274" w:firstLine="50"/>
        <w:jc w:val="both"/>
      </w:pPr>
      <w:r>
        <w:t>The Commission</w:t>
      </w:r>
      <w:r>
        <w:rPr>
          <w:spacing w:val="-3"/>
        </w:rPr>
        <w:t xml:space="preserve"> </w:t>
      </w:r>
      <w:r>
        <w:t>recommends that</w:t>
      </w:r>
      <w:r>
        <w:rPr>
          <w:spacing w:val="-1"/>
        </w:rPr>
        <w:t xml:space="preserve"> </w:t>
      </w:r>
      <w:r>
        <w:t>DESE investigate how</w:t>
      </w:r>
      <w:r>
        <w:rPr>
          <w:spacing w:val="-1"/>
        </w:rPr>
        <w:t xml:space="preserve"> </w:t>
      </w:r>
      <w:r>
        <w:t>BIPOC LGBTQ</w:t>
      </w:r>
      <w:r>
        <w:rPr>
          <w:spacing w:val="-2"/>
        </w:rPr>
        <w:t xml:space="preserve"> </w:t>
      </w:r>
      <w:r>
        <w:t>students</w:t>
      </w:r>
      <w:r>
        <w:rPr>
          <w:spacing w:val="-4"/>
        </w:rPr>
        <w:t xml:space="preserve"> </w:t>
      </w:r>
      <w:r>
        <w:t xml:space="preserve">are affected by policies and practices that create barriers to a safe and successful learning experience and develop trauma- informed strategies and interventions to address these barriers. The Commission has been particularly concerned with the impact of </w:t>
      </w:r>
      <w:r>
        <w:t>the school-to-prison pipeline on BIPOC LGBTQ students, and notes that DESE’s guidance on supporting LGBTQ students calls on schools to examine how LGBTQ students are affected by related factors like disciplinary action and involvement in the juvenile justi</w:t>
      </w:r>
      <w:r>
        <w:t>ce system.</w:t>
      </w:r>
    </w:p>
    <w:p w:rsidR="00200FDA" w:rsidRDefault="00200FDA">
      <w:pPr>
        <w:pStyle w:val="BodyText"/>
        <w:spacing w:before="8"/>
        <w:rPr>
          <w:sz w:val="19"/>
        </w:rPr>
      </w:pPr>
    </w:p>
    <w:p w:rsidR="00200FDA" w:rsidRDefault="00F76C4C">
      <w:pPr>
        <w:pStyle w:val="BodyText"/>
        <w:spacing w:before="1"/>
        <w:ind w:left="279" w:right="332"/>
        <w:jc w:val="both"/>
      </w:pPr>
      <w:r>
        <w:t>As</w:t>
      </w:r>
      <w:r>
        <w:rPr>
          <w:spacing w:val="-9"/>
        </w:rPr>
        <w:t xml:space="preserve"> </w:t>
      </w:r>
      <w:r>
        <w:t>the</w:t>
      </w:r>
      <w:r>
        <w:rPr>
          <w:spacing w:val="-11"/>
        </w:rPr>
        <w:t xml:space="preserve"> </w:t>
      </w:r>
      <w:r>
        <w:t>Commission</w:t>
      </w:r>
      <w:r>
        <w:rPr>
          <w:spacing w:val="-12"/>
        </w:rPr>
        <w:t xml:space="preserve"> </w:t>
      </w:r>
      <w:r>
        <w:t>carries</w:t>
      </w:r>
      <w:r>
        <w:rPr>
          <w:spacing w:val="-13"/>
        </w:rPr>
        <w:t xml:space="preserve"> </w:t>
      </w:r>
      <w:r>
        <w:t>out</w:t>
      </w:r>
      <w:r>
        <w:rPr>
          <w:spacing w:val="-8"/>
        </w:rPr>
        <w:t xml:space="preserve"> </w:t>
      </w:r>
      <w:r>
        <w:t>its</w:t>
      </w:r>
      <w:r>
        <w:rPr>
          <w:spacing w:val="-11"/>
        </w:rPr>
        <w:t xml:space="preserve"> </w:t>
      </w:r>
      <w:r>
        <w:t>own</w:t>
      </w:r>
      <w:r>
        <w:rPr>
          <w:spacing w:val="-10"/>
        </w:rPr>
        <w:t xml:space="preserve"> </w:t>
      </w:r>
      <w:r>
        <w:t>work</w:t>
      </w:r>
      <w:r>
        <w:rPr>
          <w:spacing w:val="-13"/>
        </w:rPr>
        <w:t xml:space="preserve"> </w:t>
      </w:r>
      <w:r>
        <w:t>on</w:t>
      </w:r>
      <w:r>
        <w:rPr>
          <w:spacing w:val="-9"/>
        </w:rPr>
        <w:t xml:space="preserve"> </w:t>
      </w:r>
      <w:r>
        <w:t>racial</w:t>
      </w:r>
      <w:r>
        <w:rPr>
          <w:spacing w:val="-9"/>
        </w:rPr>
        <w:t xml:space="preserve"> </w:t>
      </w:r>
      <w:r>
        <w:t>justice,</w:t>
      </w:r>
      <w:r>
        <w:rPr>
          <w:spacing w:val="-11"/>
        </w:rPr>
        <w:t xml:space="preserve"> </w:t>
      </w:r>
      <w:r>
        <w:t>it</w:t>
      </w:r>
      <w:r>
        <w:rPr>
          <w:spacing w:val="-9"/>
        </w:rPr>
        <w:t xml:space="preserve"> </w:t>
      </w:r>
      <w:r>
        <w:t>looks</w:t>
      </w:r>
      <w:r>
        <w:rPr>
          <w:spacing w:val="-11"/>
        </w:rPr>
        <w:t xml:space="preserve"> </w:t>
      </w:r>
      <w:r>
        <w:t>forward</w:t>
      </w:r>
      <w:r>
        <w:rPr>
          <w:spacing w:val="-12"/>
        </w:rPr>
        <w:t xml:space="preserve"> </w:t>
      </w:r>
      <w:r>
        <w:t>to</w:t>
      </w:r>
      <w:r>
        <w:rPr>
          <w:spacing w:val="-10"/>
        </w:rPr>
        <w:t xml:space="preserve"> </w:t>
      </w:r>
      <w:r>
        <w:t>continuing</w:t>
      </w:r>
      <w:r>
        <w:rPr>
          <w:spacing w:val="-10"/>
        </w:rPr>
        <w:t xml:space="preserve"> </w:t>
      </w:r>
      <w:r>
        <w:t>this</w:t>
      </w:r>
      <w:r>
        <w:rPr>
          <w:spacing w:val="-11"/>
        </w:rPr>
        <w:t xml:space="preserve"> </w:t>
      </w:r>
      <w:r>
        <w:t>discussion with</w:t>
      </w:r>
      <w:r>
        <w:rPr>
          <w:spacing w:val="-3"/>
        </w:rPr>
        <w:t xml:space="preserve"> </w:t>
      </w:r>
      <w:r>
        <w:t>DESE,</w:t>
      </w:r>
      <w:r>
        <w:rPr>
          <w:spacing w:val="-2"/>
        </w:rPr>
        <w:t xml:space="preserve"> </w:t>
      </w:r>
      <w:r>
        <w:t>including how</w:t>
      </w:r>
      <w:r>
        <w:rPr>
          <w:spacing w:val="-1"/>
        </w:rPr>
        <w:t xml:space="preserve"> </w:t>
      </w:r>
      <w:r>
        <w:t>shared findings</w:t>
      </w:r>
      <w:r>
        <w:rPr>
          <w:spacing w:val="-2"/>
        </w:rPr>
        <w:t xml:space="preserve"> </w:t>
      </w:r>
      <w:r>
        <w:t>on</w:t>
      </w:r>
      <w:r>
        <w:rPr>
          <w:spacing w:val="-3"/>
        </w:rPr>
        <w:t xml:space="preserve"> </w:t>
      </w:r>
      <w:r>
        <w:t>the needs</w:t>
      </w:r>
      <w:r>
        <w:rPr>
          <w:spacing w:val="-2"/>
        </w:rPr>
        <w:t xml:space="preserve"> </w:t>
      </w:r>
      <w:r>
        <w:t>of BIPOC</w:t>
      </w:r>
      <w:r>
        <w:rPr>
          <w:spacing w:val="-4"/>
        </w:rPr>
        <w:t xml:space="preserve"> </w:t>
      </w:r>
      <w:r>
        <w:t>youth</w:t>
      </w:r>
      <w:r>
        <w:rPr>
          <w:spacing w:val="-3"/>
        </w:rPr>
        <w:t xml:space="preserve"> </w:t>
      </w:r>
      <w:r>
        <w:t>can</w:t>
      </w:r>
      <w:r>
        <w:rPr>
          <w:spacing w:val="-3"/>
        </w:rPr>
        <w:t xml:space="preserve"> </w:t>
      </w:r>
      <w:r>
        <w:t>inform Safe</w:t>
      </w:r>
      <w:r>
        <w:rPr>
          <w:spacing w:val="-1"/>
        </w:rPr>
        <w:t xml:space="preserve"> </w:t>
      </w:r>
      <w:r>
        <w:t>Schools</w:t>
      </w:r>
      <w:r>
        <w:rPr>
          <w:spacing w:val="-2"/>
        </w:rPr>
        <w:t xml:space="preserve"> </w:t>
      </w:r>
      <w:r>
        <w:t>Program for</w:t>
      </w:r>
      <w:r>
        <w:rPr>
          <w:spacing w:val="-2"/>
        </w:rPr>
        <w:t xml:space="preserve"> </w:t>
      </w:r>
      <w:r>
        <w:t>LGBTQ</w:t>
      </w:r>
      <w:r>
        <w:rPr>
          <w:spacing w:val="-2"/>
        </w:rPr>
        <w:t xml:space="preserve"> </w:t>
      </w:r>
      <w:r>
        <w:t>Students</w:t>
      </w:r>
      <w:r>
        <w:rPr>
          <w:spacing w:val="-2"/>
        </w:rPr>
        <w:t xml:space="preserve"> </w:t>
      </w:r>
      <w:r>
        <w:t>delivery.</w:t>
      </w:r>
      <w:r>
        <w:rPr>
          <w:spacing w:val="-2"/>
        </w:rPr>
        <w:t xml:space="preserve"> </w:t>
      </w:r>
      <w:r>
        <w:t>The</w:t>
      </w:r>
      <w:r>
        <w:rPr>
          <w:spacing w:val="-1"/>
        </w:rPr>
        <w:t xml:space="preserve"> </w:t>
      </w:r>
      <w:r>
        <w:t>Safe</w:t>
      </w:r>
      <w:r>
        <w:rPr>
          <w:spacing w:val="-1"/>
        </w:rPr>
        <w:t xml:space="preserve"> </w:t>
      </w:r>
      <w:r>
        <w:t>Schools</w:t>
      </w:r>
      <w:r>
        <w:rPr>
          <w:spacing w:val="-2"/>
        </w:rPr>
        <w:t xml:space="preserve"> </w:t>
      </w:r>
      <w:r>
        <w:t>Program</w:t>
      </w:r>
      <w:r>
        <w:rPr>
          <w:spacing w:val="-1"/>
        </w:rPr>
        <w:t xml:space="preserve"> </w:t>
      </w:r>
      <w:r>
        <w:t>for</w:t>
      </w:r>
      <w:r>
        <w:rPr>
          <w:spacing w:val="-4"/>
        </w:rPr>
        <w:t xml:space="preserve"> </w:t>
      </w:r>
      <w:r>
        <w:t>LGBTQ</w:t>
      </w:r>
      <w:r>
        <w:rPr>
          <w:spacing w:val="-2"/>
        </w:rPr>
        <w:t xml:space="preserve"> </w:t>
      </w:r>
      <w:r>
        <w:t>Students</w:t>
      </w:r>
      <w:r>
        <w:rPr>
          <w:spacing w:val="-2"/>
        </w:rPr>
        <w:t xml:space="preserve"> </w:t>
      </w:r>
      <w:r>
        <w:t>has</w:t>
      </w:r>
      <w:r>
        <w:rPr>
          <w:spacing w:val="-4"/>
        </w:rPr>
        <w:t xml:space="preserve"> </w:t>
      </w:r>
      <w:r>
        <w:t>recently</w:t>
      </w:r>
      <w:r>
        <w:rPr>
          <w:spacing w:val="-1"/>
        </w:rPr>
        <w:t xml:space="preserve"> </w:t>
      </w:r>
      <w:r>
        <w:t>gone</w:t>
      </w:r>
      <w:r>
        <w:rPr>
          <w:spacing w:val="-4"/>
        </w:rPr>
        <w:t xml:space="preserve"> </w:t>
      </w:r>
      <w:r>
        <w:t>through</w:t>
      </w:r>
      <w:r>
        <w:rPr>
          <w:spacing w:val="-3"/>
        </w:rPr>
        <w:t xml:space="preserve"> </w:t>
      </w:r>
      <w:r>
        <w:t>a review</w:t>
      </w:r>
      <w:r>
        <w:rPr>
          <w:spacing w:val="-3"/>
        </w:rPr>
        <w:t xml:space="preserve"> </w:t>
      </w:r>
      <w:r>
        <w:t>process</w:t>
      </w:r>
      <w:r>
        <w:rPr>
          <w:spacing w:val="-6"/>
        </w:rPr>
        <w:t xml:space="preserve"> </w:t>
      </w:r>
      <w:r>
        <w:t>of</w:t>
      </w:r>
      <w:r>
        <w:rPr>
          <w:spacing w:val="-4"/>
        </w:rPr>
        <w:t xml:space="preserve"> </w:t>
      </w:r>
      <w:r>
        <w:t>its</w:t>
      </w:r>
      <w:r>
        <w:rPr>
          <w:spacing w:val="-6"/>
        </w:rPr>
        <w:t xml:space="preserve"> </w:t>
      </w:r>
      <w:r>
        <w:t>curriculum</w:t>
      </w:r>
      <w:r>
        <w:rPr>
          <w:spacing w:val="-2"/>
        </w:rPr>
        <w:t xml:space="preserve"> </w:t>
      </w:r>
      <w:r>
        <w:t>with</w:t>
      </w:r>
      <w:r>
        <w:rPr>
          <w:spacing w:val="-4"/>
        </w:rPr>
        <w:t xml:space="preserve"> </w:t>
      </w:r>
      <w:r>
        <w:t>a</w:t>
      </w:r>
      <w:r>
        <w:rPr>
          <w:spacing w:val="-4"/>
        </w:rPr>
        <w:t xml:space="preserve"> </w:t>
      </w:r>
      <w:r>
        <w:t>Racial</w:t>
      </w:r>
      <w:r>
        <w:rPr>
          <w:spacing w:val="-4"/>
        </w:rPr>
        <w:t xml:space="preserve"> </w:t>
      </w:r>
      <w:r>
        <w:t>Justice</w:t>
      </w:r>
      <w:r>
        <w:rPr>
          <w:spacing w:val="-3"/>
        </w:rPr>
        <w:t xml:space="preserve"> </w:t>
      </w:r>
      <w:r>
        <w:t>Consultant</w:t>
      </w:r>
      <w:r>
        <w:rPr>
          <w:spacing w:val="-3"/>
        </w:rPr>
        <w:t xml:space="preserve"> </w:t>
      </w:r>
      <w:r>
        <w:t>and</w:t>
      </w:r>
      <w:r>
        <w:rPr>
          <w:spacing w:val="-4"/>
        </w:rPr>
        <w:t xml:space="preserve"> </w:t>
      </w:r>
      <w:r>
        <w:t>will</w:t>
      </w:r>
      <w:r>
        <w:rPr>
          <w:spacing w:val="-4"/>
        </w:rPr>
        <w:t xml:space="preserve"> </w:t>
      </w:r>
      <w:r>
        <w:t>be</w:t>
      </w:r>
      <w:r>
        <w:rPr>
          <w:spacing w:val="-3"/>
        </w:rPr>
        <w:t xml:space="preserve"> </w:t>
      </w:r>
      <w:r>
        <w:t>implementing</w:t>
      </w:r>
      <w:r>
        <w:rPr>
          <w:spacing w:val="-4"/>
        </w:rPr>
        <w:t xml:space="preserve"> </w:t>
      </w:r>
      <w:r>
        <w:t>a</w:t>
      </w:r>
      <w:r>
        <w:rPr>
          <w:spacing w:val="-4"/>
        </w:rPr>
        <w:t xml:space="preserve"> </w:t>
      </w:r>
      <w:r>
        <w:t>new</w:t>
      </w:r>
      <w:r>
        <w:rPr>
          <w:spacing w:val="-3"/>
        </w:rPr>
        <w:t xml:space="preserve"> </w:t>
      </w:r>
      <w:r>
        <w:t>training curriculum with greater emphasis on racial equity and global gender diversity in t</w:t>
      </w:r>
      <w:r>
        <w:t xml:space="preserve">he 2023-2024 school </w:t>
      </w:r>
      <w:r>
        <w:rPr>
          <w:spacing w:val="-2"/>
        </w:rPr>
        <w:t>year.</w:t>
      </w:r>
    </w:p>
    <w:p w:rsidR="00200FDA" w:rsidRDefault="00200FDA">
      <w:pPr>
        <w:pStyle w:val="BodyText"/>
        <w:spacing w:before="6"/>
        <w:rPr>
          <w:sz w:val="19"/>
        </w:rPr>
      </w:pPr>
    </w:p>
    <w:p w:rsidR="00200FDA" w:rsidRDefault="00F76C4C">
      <w:pPr>
        <w:pStyle w:val="BodyText"/>
        <w:ind w:left="279" w:right="333"/>
        <w:jc w:val="both"/>
      </w:pPr>
      <w:r>
        <w:t>We also look forward to continuing the DESE Pride Book Club, which has provided student-led, adult- supported</w:t>
      </w:r>
      <w:r>
        <w:rPr>
          <w:spacing w:val="-2"/>
        </w:rPr>
        <w:t xml:space="preserve"> </w:t>
      </w:r>
      <w:r>
        <w:t>opportunities</w:t>
      </w:r>
      <w:r>
        <w:rPr>
          <w:spacing w:val="-3"/>
        </w:rPr>
        <w:t xml:space="preserve"> </w:t>
      </w:r>
      <w:r>
        <w:t>to</w:t>
      </w:r>
      <w:r>
        <w:rPr>
          <w:spacing w:val="-2"/>
        </w:rPr>
        <w:t xml:space="preserve"> </w:t>
      </w:r>
      <w:r>
        <w:t>discuss</w:t>
      </w:r>
      <w:r>
        <w:rPr>
          <w:spacing w:val="-1"/>
        </w:rPr>
        <w:t xml:space="preserve"> </w:t>
      </w:r>
      <w:r>
        <w:t>books</w:t>
      </w:r>
      <w:r>
        <w:rPr>
          <w:spacing w:val="-1"/>
        </w:rPr>
        <w:t xml:space="preserve"> </w:t>
      </w:r>
      <w:r>
        <w:t>centered</w:t>
      </w:r>
      <w:r>
        <w:rPr>
          <w:spacing w:val="-2"/>
        </w:rPr>
        <w:t xml:space="preserve"> </w:t>
      </w:r>
      <w:r>
        <w:t>on</w:t>
      </w:r>
      <w:r>
        <w:rPr>
          <w:spacing w:val="-4"/>
        </w:rPr>
        <w:t xml:space="preserve"> </w:t>
      </w:r>
      <w:r>
        <w:t>BIPOC</w:t>
      </w:r>
      <w:r>
        <w:rPr>
          <w:spacing w:val="-1"/>
        </w:rPr>
        <w:t xml:space="preserve"> </w:t>
      </w:r>
      <w:r>
        <w:t>LGBTQ+ characters.</w:t>
      </w:r>
      <w:r>
        <w:rPr>
          <w:spacing w:val="-4"/>
        </w:rPr>
        <w:t xml:space="preserve"> </w:t>
      </w:r>
      <w:r>
        <w:t>The fourth</w:t>
      </w:r>
      <w:r>
        <w:rPr>
          <w:spacing w:val="-2"/>
        </w:rPr>
        <w:t xml:space="preserve"> </w:t>
      </w:r>
      <w:r>
        <w:t>iteration</w:t>
      </w:r>
      <w:r>
        <w:rPr>
          <w:spacing w:val="-2"/>
        </w:rPr>
        <w:t xml:space="preserve"> </w:t>
      </w:r>
      <w:r>
        <w:t>of this program will be held in June of 2023.</w:t>
      </w:r>
    </w:p>
    <w:p w:rsidR="00200FDA" w:rsidRDefault="00200FDA">
      <w:pPr>
        <w:pStyle w:val="BodyText"/>
        <w:spacing w:before="9"/>
        <w:rPr>
          <w:sz w:val="19"/>
        </w:rPr>
      </w:pPr>
    </w:p>
    <w:p w:rsidR="00200FDA" w:rsidRDefault="00F76C4C">
      <w:pPr>
        <w:pStyle w:val="BodyText"/>
        <w:ind w:left="279" w:right="333"/>
        <w:jc w:val="both"/>
      </w:pPr>
      <w:r>
        <w:t>In</w:t>
      </w:r>
      <w:r>
        <w:rPr>
          <w:spacing w:val="-10"/>
        </w:rPr>
        <w:t xml:space="preserve"> </w:t>
      </w:r>
      <w:r>
        <w:t>an</w:t>
      </w:r>
      <w:r>
        <w:rPr>
          <w:spacing w:val="-10"/>
        </w:rPr>
        <w:t xml:space="preserve"> </w:t>
      </w:r>
      <w:r>
        <w:t>effort</w:t>
      </w:r>
      <w:r>
        <w:rPr>
          <w:spacing w:val="-8"/>
        </w:rPr>
        <w:t xml:space="preserve"> </w:t>
      </w:r>
      <w:r>
        <w:t>to</w:t>
      </w:r>
      <w:r>
        <w:rPr>
          <w:spacing w:val="-8"/>
        </w:rPr>
        <w:t xml:space="preserve"> </w:t>
      </w:r>
      <w:r>
        <w:t>reach</w:t>
      </w:r>
      <w:r>
        <w:rPr>
          <w:spacing w:val="-12"/>
        </w:rPr>
        <w:t xml:space="preserve"> </w:t>
      </w:r>
      <w:r>
        <w:t>more</w:t>
      </w:r>
      <w:r>
        <w:rPr>
          <w:spacing w:val="-8"/>
        </w:rPr>
        <w:t xml:space="preserve"> </w:t>
      </w:r>
      <w:r>
        <w:t>BIPOC</w:t>
      </w:r>
      <w:r>
        <w:rPr>
          <w:spacing w:val="-9"/>
        </w:rPr>
        <w:t xml:space="preserve"> </w:t>
      </w:r>
      <w:r>
        <w:t>students</w:t>
      </w:r>
      <w:r>
        <w:rPr>
          <w:spacing w:val="-9"/>
        </w:rPr>
        <w:t xml:space="preserve"> </w:t>
      </w:r>
      <w:r>
        <w:t>in</w:t>
      </w:r>
      <w:r>
        <w:rPr>
          <w:spacing w:val="-10"/>
        </w:rPr>
        <w:t xml:space="preserve"> </w:t>
      </w:r>
      <w:r>
        <w:t>districts</w:t>
      </w:r>
      <w:r>
        <w:rPr>
          <w:spacing w:val="-11"/>
        </w:rPr>
        <w:t xml:space="preserve"> </w:t>
      </w:r>
      <w:r>
        <w:t>across</w:t>
      </w:r>
      <w:r>
        <w:rPr>
          <w:spacing w:val="-11"/>
        </w:rPr>
        <w:t xml:space="preserve"> </w:t>
      </w:r>
      <w:r>
        <w:t>the</w:t>
      </w:r>
      <w:r>
        <w:rPr>
          <w:spacing w:val="-8"/>
        </w:rPr>
        <w:t xml:space="preserve"> </w:t>
      </w:r>
      <w:r>
        <w:t>state,</w:t>
      </w:r>
      <w:r>
        <w:rPr>
          <w:spacing w:val="-11"/>
        </w:rPr>
        <w:t xml:space="preserve"> </w:t>
      </w:r>
      <w:r>
        <w:t>we</w:t>
      </w:r>
      <w:r>
        <w:rPr>
          <w:spacing w:val="-8"/>
        </w:rPr>
        <w:t xml:space="preserve"> </w:t>
      </w:r>
      <w:r>
        <w:t>invite</w:t>
      </w:r>
      <w:r>
        <w:rPr>
          <w:spacing w:val="-11"/>
        </w:rPr>
        <w:t xml:space="preserve"> </w:t>
      </w:r>
      <w:r>
        <w:t>DESE</w:t>
      </w:r>
      <w:r>
        <w:rPr>
          <w:spacing w:val="-9"/>
        </w:rPr>
        <w:t xml:space="preserve"> </w:t>
      </w:r>
      <w:r>
        <w:t>to</w:t>
      </w:r>
      <w:r>
        <w:rPr>
          <w:spacing w:val="-10"/>
        </w:rPr>
        <w:t xml:space="preserve"> </w:t>
      </w:r>
      <w:r>
        <w:t>work</w:t>
      </w:r>
      <w:r>
        <w:rPr>
          <w:spacing w:val="-11"/>
        </w:rPr>
        <w:t xml:space="preserve"> </w:t>
      </w:r>
      <w:r>
        <w:t>closely</w:t>
      </w:r>
      <w:r>
        <w:rPr>
          <w:spacing w:val="-10"/>
        </w:rPr>
        <w:t xml:space="preserve"> </w:t>
      </w:r>
      <w:r>
        <w:t>with the</w:t>
      </w:r>
      <w:r>
        <w:rPr>
          <w:spacing w:val="-1"/>
        </w:rPr>
        <w:t xml:space="preserve"> </w:t>
      </w:r>
      <w:r>
        <w:t>Safe</w:t>
      </w:r>
      <w:r>
        <w:rPr>
          <w:spacing w:val="-1"/>
        </w:rPr>
        <w:t xml:space="preserve"> </w:t>
      </w:r>
      <w:r>
        <w:t>Schools</w:t>
      </w:r>
      <w:r>
        <w:rPr>
          <w:spacing w:val="-2"/>
        </w:rPr>
        <w:t xml:space="preserve"> </w:t>
      </w:r>
      <w:r>
        <w:t>Program</w:t>
      </w:r>
      <w:r>
        <w:rPr>
          <w:spacing w:val="-1"/>
        </w:rPr>
        <w:t xml:space="preserve"> </w:t>
      </w:r>
      <w:r>
        <w:t>for</w:t>
      </w:r>
      <w:r>
        <w:rPr>
          <w:spacing w:val="-2"/>
        </w:rPr>
        <w:t xml:space="preserve"> </w:t>
      </w:r>
      <w:r>
        <w:t>LGBTQ</w:t>
      </w:r>
      <w:r>
        <w:rPr>
          <w:spacing w:val="-2"/>
        </w:rPr>
        <w:t xml:space="preserve"> </w:t>
      </w:r>
      <w:r>
        <w:t>Students</w:t>
      </w:r>
      <w:r>
        <w:rPr>
          <w:spacing w:val="-2"/>
        </w:rPr>
        <w:t xml:space="preserve"> </w:t>
      </w:r>
      <w:r>
        <w:t>in</w:t>
      </w:r>
      <w:r>
        <w:rPr>
          <w:spacing w:val="-3"/>
        </w:rPr>
        <w:t xml:space="preserve"> </w:t>
      </w:r>
      <w:r>
        <w:t>identifying</w:t>
      </w:r>
      <w:r>
        <w:rPr>
          <w:spacing w:val="-3"/>
        </w:rPr>
        <w:t xml:space="preserve"> </w:t>
      </w:r>
      <w:r>
        <w:t>an</w:t>
      </w:r>
      <w:r>
        <w:rPr>
          <w:spacing w:val="-3"/>
        </w:rPr>
        <w:t xml:space="preserve"> </w:t>
      </w:r>
      <w:r>
        <w:t>outreach</w:t>
      </w:r>
      <w:r>
        <w:rPr>
          <w:spacing w:val="-3"/>
        </w:rPr>
        <w:t xml:space="preserve"> </w:t>
      </w:r>
      <w:r>
        <w:t>plan</w:t>
      </w:r>
      <w:r>
        <w:rPr>
          <w:spacing w:val="-3"/>
        </w:rPr>
        <w:t xml:space="preserve"> </w:t>
      </w:r>
      <w:r>
        <w:t>for</w:t>
      </w:r>
      <w:r>
        <w:rPr>
          <w:spacing w:val="-6"/>
        </w:rPr>
        <w:t xml:space="preserve"> </w:t>
      </w:r>
      <w:r>
        <w:t>priority</w:t>
      </w:r>
      <w:r>
        <w:rPr>
          <w:spacing w:val="-1"/>
        </w:rPr>
        <w:t xml:space="preserve"> </w:t>
      </w:r>
      <w:r>
        <w:t>districts</w:t>
      </w:r>
      <w:r>
        <w:rPr>
          <w:spacing w:val="-4"/>
        </w:rPr>
        <w:t xml:space="preserve"> </w:t>
      </w:r>
      <w:r>
        <w:t>f</w:t>
      </w:r>
      <w:r>
        <w:t>or</w:t>
      </w:r>
      <w:r>
        <w:rPr>
          <w:spacing w:val="-4"/>
        </w:rPr>
        <w:t xml:space="preserve"> </w:t>
      </w:r>
      <w:r>
        <w:t>the 2023-2024 school year. This would include creating strategies for increasing attendance at GSA Student Leadership Council meetings, providing training/technical assistance to districts, and understanding the landscape of BIPOC affinity student groups i</w:t>
      </w:r>
      <w:r>
        <w:t>n schools across the state.</w:t>
      </w:r>
    </w:p>
    <w:p w:rsidR="00200FDA" w:rsidRDefault="00200FDA">
      <w:pPr>
        <w:pStyle w:val="BodyText"/>
        <w:spacing w:before="7"/>
        <w:rPr>
          <w:sz w:val="19"/>
        </w:rPr>
      </w:pPr>
    </w:p>
    <w:p w:rsidR="00200FDA" w:rsidRDefault="00F76C4C">
      <w:pPr>
        <w:pStyle w:val="BodyText"/>
        <w:ind w:left="278" w:right="331"/>
        <w:jc w:val="both"/>
      </w:pPr>
      <w:r>
        <w:t xml:space="preserve">Finally, the Commission recommends that DESE lead additional efforts focused on advocacy and leadership opportunities for BIPOC LGBTQ+ students. Currently, the Department has had success at modeling student leadership councils </w:t>
      </w:r>
      <w:r>
        <w:t>through the Student Advisory Council and the GSA Student Leadership Council, however these Councils are over-represented by white students. There is not yet a student leadership opportunity at the statewide level for BIPOC students to advocate for anti-rac</w:t>
      </w:r>
      <w:r>
        <w:t>ist efforts</w:t>
      </w:r>
      <w:r>
        <w:rPr>
          <w:spacing w:val="-7"/>
        </w:rPr>
        <w:t xml:space="preserve"> </w:t>
      </w:r>
      <w:r>
        <w:t>within</w:t>
      </w:r>
      <w:r>
        <w:rPr>
          <w:spacing w:val="-7"/>
        </w:rPr>
        <w:t xml:space="preserve"> </w:t>
      </w:r>
      <w:r>
        <w:t>their</w:t>
      </w:r>
      <w:r>
        <w:rPr>
          <w:spacing w:val="-7"/>
        </w:rPr>
        <w:t xml:space="preserve"> </w:t>
      </w:r>
      <w:r>
        <w:t>schools</w:t>
      </w:r>
      <w:r>
        <w:rPr>
          <w:spacing w:val="-9"/>
        </w:rPr>
        <w:t xml:space="preserve"> </w:t>
      </w:r>
      <w:r>
        <w:t>and</w:t>
      </w:r>
      <w:r>
        <w:rPr>
          <w:spacing w:val="-7"/>
        </w:rPr>
        <w:t xml:space="preserve"> </w:t>
      </w:r>
      <w:r>
        <w:t>across</w:t>
      </w:r>
      <w:r>
        <w:rPr>
          <w:spacing w:val="-9"/>
        </w:rPr>
        <w:t xml:space="preserve"> </w:t>
      </w:r>
      <w:r>
        <w:t>the</w:t>
      </w:r>
      <w:r>
        <w:rPr>
          <w:spacing w:val="-8"/>
        </w:rPr>
        <w:t xml:space="preserve"> </w:t>
      </w:r>
      <w:r>
        <w:t>state.</w:t>
      </w:r>
      <w:r>
        <w:rPr>
          <w:spacing w:val="-7"/>
        </w:rPr>
        <w:t xml:space="preserve"> </w:t>
      </w:r>
      <w:r>
        <w:t>This</w:t>
      </w:r>
      <w:r>
        <w:rPr>
          <w:spacing w:val="-9"/>
        </w:rPr>
        <w:t xml:space="preserve"> </w:t>
      </w:r>
      <w:r>
        <w:t>would</w:t>
      </w:r>
      <w:r>
        <w:rPr>
          <w:spacing w:val="-7"/>
        </w:rPr>
        <w:t xml:space="preserve"> </w:t>
      </w:r>
      <w:r>
        <w:t>provide</w:t>
      </w:r>
      <w:r>
        <w:rPr>
          <w:spacing w:val="-6"/>
        </w:rPr>
        <w:t xml:space="preserve"> </w:t>
      </w:r>
      <w:r>
        <w:t>an</w:t>
      </w:r>
      <w:r>
        <w:rPr>
          <w:spacing w:val="-7"/>
        </w:rPr>
        <w:t xml:space="preserve"> </w:t>
      </w:r>
      <w:r>
        <w:t>additional</w:t>
      </w:r>
      <w:r>
        <w:rPr>
          <w:spacing w:val="-7"/>
        </w:rPr>
        <w:t xml:space="preserve"> </w:t>
      </w:r>
      <w:r>
        <w:t>leadership</w:t>
      </w:r>
      <w:r>
        <w:rPr>
          <w:spacing w:val="-7"/>
        </w:rPr>
        <w:t xml:space="preserve"> </w:t>
      </w:r>
      <w:r>
        <w:t>opportunity for BIPOC students to influence policy and decision-making at the Department. We recommend investment in both supporting the outreach and recruit</w:t>
      </w:r>
      <w:r>
        <w:t xml:space="preserve">ment for existing councils, and fostering future </w:t>
      </w:r>
      <w:r>
        <w:rPr>
          <w:spacing w:val="-2"/>
        </w:rPr>
        <w:t>opportunities.</w:t>
      </w:r>
    </w:p>
    <w:p w:rsidR="00200FDA" w:rsidRDefault="00200FDA">
      <w:pPr>
        <w:pStyle w:val="BodyText"/>
        <w:spacing w:before="7"/>
        <w:rPr>
          <w:sz w:val="19"/>
        </w:rPr>
      </w:pPr>
    </w:p>
    <w:p w:rsidR="00200FDA" w:rsidRDefault="00F76C4C">
      <w:pPr>
        <w:pStyle w:val="Heading9"/>
        <w:numPr>
          <w:ilvl w:val="0"/>
          <w:numId w:val="19"/>
        </w:numPr>
        <w:tabs>
          <w:tab w:val="left" w:pos="548"/>
        </w:tabs>
        <w:ind w:left="278" w:right="278" w:firstLine="0"/>
      </w:pPr>
      <w:r>
        <w:t>Work</w:t>
      </w:r>
      <w:r>
        <w:rPr>
          <w:spacing w:val="40"/>
        </w:rPr>
        <w:t xml:space="preserve"> </w:t>
      </w:r>
      <w:r>
        <w:t>with</w:t>
      </w:r>
      <w:r>
        <w:rPr>
          <w:spacing w:val="40"/>
        </w:rPr>
        <w:t xml:space="preserve"> </w:t>
      </w:r>
      <w:r>
        <w:t>the</w:t>
      </w:r>
      <w:r>
        <w:rPr>
          <w:spacing w:val="40"/>
        </w:rPr>
        <w:t xml:space="preserve"> </w:t>
      </w:r>
      <w:r>
        <w:t>Commission</w:t>
      </w:r>
      <w:r>
        <w:rPr>
          <w:spacing w:val="40"/>
        </w:rPr>
        <w:t xml:space="preserve"> </w:t>
      </w:r>
      <w:r>
        <w:t>to</w:t>
      </w:r>
      <w:r>
        <w:rPr>
          <w:spacing w:val="40"/>
        </w:rPr>
        <w:t xml:space="preserve"> </w:t>
      </w:r>
      <w:r>
        <w:t>build</w:t>
      </w:r>
      <w:r>
        <w:rPr>
          <w:spacing w:val="40"/>
        </w:rPr>
        <w:t xml:space="preserve"> </w:t>
      </w:r>
      <w:r>
        <w:t>more</w:t>
      </w:r>
      <w:r>
        <w:rPr>
          <w:spacing w:val="40"/>
        </w:rPr>
        <w:t xml:space="preserve"> </w:t>
      </w:r>
      <w:r>
        <w:t>internal</w:t>
      </w:r>
      <w:r>
        <w:rPr>
          <w:spacing w:val="40"/>
        </w:rPr>
        <w:t xml:space="preserve"> </w:t>
      </w:r>
      <w:r>
        <w:t>and</w:t>
      </w:r>
      <w:r>
        <w:rPr>
          <w:spacing w:val="40"/>
        </w:rPr>
        <w:t xml:space="preserve"> </w:t>
      </w:r>
      <w:r>
        <w:t>district-level</w:t>
      </w:r>
      <w:r>
        <w:rPr>
          <w:spacing w:val="40"/>
        </w:rPr>
        <w:t xml:space="preserve"> </w:t>
      </w:r>
      <w:r>
        <w:t>capacity</w:t>
      </w:r>
      <w:r>
        <w:rPr>
          <w:spacing w:val="40"/>
        </w:rPr>
        <w:t xml:space="preserve"> </w:t>
      </w:r>
      <w:r>
        <w:t>for</w:t>
      </w:r>
      <w:r>
        <w:rPr>
          <w:spacing w:val="40"/>
        </w:rPr>
        <w:t xml:space="preserve"> </w:t>
      </w:r>
      <w:r>
        <w:t>trainings</w:t>
      </w:r>
      <w:r>
        <w:rPr>
          <w:spacing w:val="40"/>
        </w:rPr>
        <w:t xml:space="preserve"> </w:t>
      </w:r>
      <w:r>
        <w:t>and professional development in LGBTQ inclusion.</w:t>
      </w:r>
    </w:p>
    <w:p w:rsidR="00200FDA" w:rsidRDefault="00200FDA">
      <w:pPr>
        <w:pStyle w:val="BodyText"/>
        <w:spacing w:before="8"/>
        <w:rPr>
          <w:b/>
          <w:sz w:val="19"/>
        </w:rPr>
      </w:pPr>
    </w:p>
    <w:p w:rsidR="00200FDA" w:rsidRDefault="00F76C4C">
      <w:pPr>
        <w:pStyle w:val="BodyText"/>
        <w:ind w:left="278" w:right="275"/>
        <w:jc w:val="both"/>
      </w:pPr>
      <w:r>
        <w:t>The Commission hopes to work with DESE to develop m</w:t>
      </w:r>
      <w:r>
        <w:t>ore capacity for the Department and individual school districts to carry out initiatives such as district-wide LGBTQ inclusion trainings, training superintendents, and other professional development around LGBTQ issues. The Safe Schools Program for</w:t>
      </w:r>
      <w:r>
        <w:rPr>
          <w:spacing w:val="15"/>
        </w:rPr>
        <w:t xml:space="preserve"> </w:t>
      </w:r>
      <w:r>
        <w:t>LGBTQ</w:t>
      </w:r>
      <w:r>
        <w:rPr>
          <w:spacing w:val="15"/>
        </w:rPr>
        <w:t xml:space="preserve"> </w:t>
      </w:r>
      <w:r>
        <w:t>S</w:t>
      </w:r>
      <w:r>
        <w:t>tudents</w:t>
      </w:r>
      <w:r>
        <w:rPr>
          <w:spacing w:val="15"/>
        </w:rPr>
        <w:t xml:space="preserve"> </w:t>
      </w:r>
      <w:r>
        <w:t>has</w:t>
      </w:r>
      <w:r>
        <w:rPr>
          <w:spacing w:val="15"/>
        </w:rPr>
        <w:t xml:space="preserve"> </w:t>
      </w:r>
      <w:r>
        <w:t>increased</w:t>
      </w:r>
      <w:r>
        <w:rPr>
          <w:spacing w:val="14"/>
        </w:rPr>
        <w:t xml:space="preserve"> </w:t>
      </w:r>
      <w:r>
        <w:t>its capacity</w:t>
      </w:r>
      <w:r>
        <w:rPr>
          <w:spacing w:val="16"/>
        </w:rPr>
        <w:t xml:space="preserve"> </w:t>
      </w:r>
      <w:r>
        <w:t>to</w:t>
      </w:r>
      <w:r>
        <w:rPr>
          <w:spacing w:val="16"/>
        </w:rPr>
        <w:t xml:space="preserve"> </w:t>
      </w:r>
      <w:r>
        <w:t>facilitate</w:t>
      </w:r>
      <w:r>
        <w:rPr>
          <w:spacing w:val="15"/>
        </w:rPr>
        <w:t xml:space="preserve"> </w:t>
      </w:r>
      <w:r>
        <w:t>district-wide</w:t>
      </w:r>
      <w:r>
        <w:rPr>
          <w:spacing w:val="15"/>
        </w:rPr>
        <w:t xml:space="preserve"> </w:t>
      </w:r>
      <w:r>
        <w:t>initiatives</w:t>
      </w:r>
      <w:r>
        <w:rPr>
          <w:spacing w:val="15"/>
        </w:rPr>
        <w:t xml:space="preserve"> </w:t>
      </w:r>
      <w:r>
        <w:t>in</w:t>
      </w:r>
      <w:r>
        <w:rPr>
          <w:spacing w:val="14"/>
        </w:rPr>
        <w:t xml:space="preserve"> </w:t>
      </w:r>
      <w:r>
        <w:t>FY</w:t>
      </w:r>
      <w:r>
        <w:rPr>
          <w:spacing w:val="15"/>
        </w:rPr>
        <w:t xml:space="preserve"> </w:t>
      </w:r>
      <w:r>
        <w:t>2023</w:t>
      </w:r>
      <w:r>
        <w:rPr>
          <w:spacing w:val="16"/>
        </w:rPr>
        <w:t xml:space="preserve"> </w:t>
      </w:r>
      <w:r>
        <w:t>and</w:t>
      </w:r>
      <w:r>
        <w:rPr>
          <w:spacing w:val="14"/>
        </w:rPr>
        <w:t xml:space="preserve"> </w:t>
      </w:r>
      <w:r>
        <w:t>looks</w:t>
      </w:r>
    </w:p>
    <w:p w:rsidR="00200FDA" w:rsidRDefault="00200FDA">
      <w:pPr>
        <w:jc w:val="both"/>
        <w:sectPr w:rsidR="00200FDA">
          <w:pgSz w:w="12240" w:h="15840"/>
          <w:pgMar w:top="1260" w:right="1160" w:bottom="1240" w:left="1160" w:header="761" w:footer="994" w:gutter="0"/>
          <w:cols w:space="720"/>
        </w:sectPr>
      </w:pPr>
    </w:p>
    <w:p w:rsidR="00200FDA" w:rsidRDefault="00200FDA">
      <w:pPr>
        <w:pStyle w:val="BodyText"/>
        <w:rPr>
          <w:sz w:val="9"/>
        </w:rPr>
      </w:pPr>
    </w:p>
    <w:p w:rsidR="00200FDA" w:rsidRDefault="00F76C4C">
      <w:pPr>
        <w:pStyle w:val="BodyText"/>
        <w:spacing w:before="56"/>
        <w:ind w:left="280" w:right="270"/>
        <w:jc w:val="both"/>
      </w:pPr>
      <w:r>
        <w:t>forward to further partnering with DESE, and statewide associations, including but not limited to: Massachusetts</w:t>
      </w:r>
      <w:r>
        <w:rPr>
          <w:spacing w:val="-5"/>
        </w:rPr>
        <w:t xml:space="preserve"> </w:t>
      </w:r>
      <w:r>
        <w:t>Association</w:t>
      </w:r>
      <w:r>
        <w:rPr>
          <w:spacing w:val="-8"/>
        </w:rPr>
        <w:t xml:space="preserve"> </w:t>
      </w:r>
      <w:r>
        <w:t>of</w:t>
      </w:r>
      <w:r>
        <w:rPr>
          <w:spacing w:val="-6"/>
        </w:rPr>
        <w:t xml:space="preserve"> </w:t>
      </w:r>
      <w:r>
        <w:t>School</w:t>
      </w:r>
      <w:r>
        <w:rPr>
          <w:spacing w:val="-6"/>
        </w:rPr>
        <w:t xml:space="preserve"> </w:t>
      </w:r>
      <w:r>
        <w:t>Superintendents,</w:t>
      </w:r>
      <w:r>
        <w:rPr>
          <w:spacing w:val="-8"/>
        </w:rPr>
        <w:t xml:space="preserve"> </w:t>
      </w:r>
      <w:r>
        <w:t>Massachusetts</w:t>
      </w:r>
      <w:r>
        <w:rPr>
          <w:spacing w:val="-8"/>
        </w:rPr>
        <w:t xml:space="preserve"> </w:t>
      </w:r>
      <w:r>
        <w:t>School</w:t>
      </w:r>
      <w:r>
        <w:rPr>
          <w:spacing w:val="-6"/>
        </w:rPr>
        <w:t xml:space="preserve"> </w:t>
      </w:r>
      <w:r>
        <w:t>Administrators</w:t>
      </w:r>
      <w:r>
        <w:rPr>
          <w:spacing w:val="-5"/>
        </w:rPr>
        <w:t xml:space="preserve"> </w:t>
      </w:r>
      <w:r>
        <w:t>Association, Massachusetts</w:t>
      </w:r>
      <w:r>
        <w:rPr>
          <w:spacing w:val="-2"/>
        </w:rPr>
        <w:t xml:space="preserve"> </w:t>
      </w:r>
      <w:r>
        <w:t>Interscholastic Athletic</w:t>
      </w:r>
      <w:r>
        <w:rPr>
          <w:spacing w:val="-2"/>
        </w:rPr>
        <w:t xml:space="preserve"> </w:t>
      </w:r>
      <w:r>
        <w:t>Association,</w:t>
      </w:r>
      <w:r>
        <w:rPr>
          <w:spacing w:val="-2"/>
        </w:rPr>
        <w:t xml:space="preserve"> </w:t>
      </w:r>
      <w:r>
        <w:t>Massachusetts Association</w:t>
      </w:r>
      <w:r>
        <w:rPr>
          <w:spacing w:val="-3"/>
        </w:rPr>
        <w:t xml:space="preserve"> </w:t>
      </w:r>
      <w:r>
        <w:t>of</w:t>
      </w:r>
      <w:r>
        <w:rPr>
          <w:spacing w:val="-2"/>
        </w:rPr>
        <w:t xml:space="preserve"> </w:t>
      </w:r>
      <w:r>
        <w:t>School</w:t>
      </w:r>
      <w:r>
        <w:rPr>
          <w:spacing w:val="-1"/>
        </w:rPr>
        <w:t xml:space="preserve"> </w:t>
      </w:r>
      <w:r>
        <w:t>Committees,</w:t>
      </w:r>
      <w:r>
        <w:rPr>
          <w:spacing w:val="40"/>
        </w:rPr>
        <w:t xml:space="preserve"> </w:t>
      </w:r>
      <w:r>
        <w:t>to create strategic approaches to supporting district leaders.</w:t>
      </w:r>
    </w:p>
    <w:p w:rsidR="00200FDA" w:rsidRDefault="00200FDA">
      <w:pPr>
        <w:pStyle w:val="BodyText"/>
      </w:pPr>
    </w:p>
    <w:p w:rsidR="00200FDA" w:rsidRDefault="00200FDA">
      <w:pPr>
        <w:pStyle w:val="BodyText"/>
        <w:spacing w:before="6"/>
        <w:rPr>
          <w:sz w:val="19"/>
        </w:rPr>
      </w:pPr>
    </w:p>
    <w:p w:rsidR="00200FDA" w:rsidRDefault="00F76C4C">
      <w:pPr>
        <w:pStyle w:val="Heading9"/>
        <w:numPr>
          <w:ilvl w:val="0"/>
          <w:numId w:val="19"/>
        </w:numPr>
        <w:tabs>
          <w:tab w:val="left" w:pos="544"/>
        </w:tabs>
        <w:ind w:right="277" w:firstLine="0"/>
      </w:pPr>
      <w:r>
        <w:t>Continue</w:t>
      </w:r>
      <w:r>
        <w:rPr>
          <w:spacing w:val="40"/>
        </w:rPr>
        <w:t xml:space="preserve"> </w:t>
      </w:r>
      <w:r>
        <w:t>collaboration</w:t>
      </w:r>
      <w:r>
        <w:rPr>
          <w:spacing w:val="37"/>
        </w:rPr>
        <w:t xml:space="preserve"> </w:t>
      </w:r>
      <w:r>
        <w:t>wi</w:t>
      </w:r>
      <w:r>
        <w:t>th</w:t>
      </w:r>
      <w:r>
        <w:rPr>
          <w:spacing w:val="40"/>
        </w:rPr>
        <w:t xml:space="preserve"> </w:t>
      </w:r>
      <w:r>
        <w:t>the</w:t>
      </w:r>
      <w:r>
        <w:rPr>
          <w:spacing w:val="40"/>
        </w:rPr>
        <w:t xml:space="preserve"> </w:t>
      </w:r>
      <w:r>
        <w:t>Commission</w:t>
      </w:r>
      <w:r>
        <w:rPr>
          <w:spacing w:val="40"/>
        </w:rPr>
        <w:t xml:space="preserve"> </w:t>
      </w:r>
      <w:r>
        <w:t>to</w:t>
      </w:r>
      <w:r>
        <w:rPr>
          <w:spacing w:val="37"/>
        </w:rPr>
        <w:t xml:space="preserve"> </w:t>
      </w:r>
      <w:r>
        <w:t>find</w:t>
      </w:r>
      <w:r>
        <w:rPr>
          <w:spacing w:val="40"/>
        </w:rPr>
        <w:t xml:space="preserve"> </w:t>
      </w:r>
      <w:r>
        <w:t>new</w:t>
      </w:r>
      <w:r>
        <w:rPr>
          <w:spacing w:val="39"/>
        </w:rPr>
        <w:t xml:space="preserve"> </w:t>
      </w:r>
      <w:r>
        <w:t>ways</w:t>
      </w:r>
      <w:r>
        <w:rPr>
          <w:spacing w:val="40"/>
        </w:rPr>
        <w:t xml:space="preserve"> </w:t>
      </w:r>
      <w:r>
        <w:t>to</w:t>
      </w:r>
      <w:r>
        <w:rPr>
          <w:spacing w:val="37"/>
        </w:rPr>
        <w:t xml:space="preserve"> </w:t>
      </w:r>
      <w:r>
        <w:t>support</w:t>
      </w:r>
      <w:r>
        <w:rPr>
          <w:spacing w:val="40"/>
        </w:rPr>
        <w:t xml:space="preserve"> </w:t>
      </w:r>
      <w:r>
        <w:t>nonbinary</w:t>
      </w:r>
      <w:r>
        <w:rPr>
          <w:spacing w:val="39"/>
        </w:rPr>
        <w:t xml:space="preserve"> </w:t>
      </w:r>
      <w:r>
        <w:t>students, educators, and staff.</w:t>
      </w:r>
    </w:p>
    <w:p w:rsidR="00200FDA" w:rsidRDefault="00200FDA">
      <w:pPr>
        <w:pStyle w:val="BodyText"/>
        <w:spacing w:before="9"/>
        <w:rPr>
          <w:b/>
          <w:sz w:val="19"/>
        </w:rPr>
      </w:pPr>
    </w:p>
    <w:p w:rsidR="00200FDA" w:rsidRDefault="00F76C4C">
      <w:pPr>
        <w:pStyle w:val="BodyText"/>
        <w:ind w:left="279" w:right="272" w:firstLine="50"/>
        <w:jc w:val="both"/>
      </w:pPr>
      <w:r>
        <w:t>DESE has committed to providing ongoing support of nonbinary students over the past few years. Initiatives such as including a Non-Binary data element in the student i</w:t>
      </w:r>
      <w:r>
        <w:t>nformation management system (SIMS), and collecting data on gender identity and expression through the MYRBS, has provided the Commonwealth with incredibly useful data. The Commission recommends that DESE continue to collaborate with the Commission, GSA St</w:t>
      </w:r>
      <w:r>
        <w:t>udent Leadership Council, and the Safe Schools Program for LGBTQ</w:t>
      </w:r>
      <w:r>
        <w:rPr>
          <w:spacing w:val="-6"/>
        </w:rPr>
        <w:t xml:space="preserve"> </w:t>
      </w:r>
      <w:r>
        <w:t>Students</w:t>
      </w:r>
      <w:r>
        <w:rPr>
          <w:spacing w:val="-4"/>
        </w:rPr>
        <w:t xml:space="preserve"> </w:t>
      </w:r>
      <w:r>
        <w:t>to</w:t>
      </w:r>
      <w:r>
        <w:rPr>
          <w:spacing w:val="-5"/>
        </w:rPr>
        <w:t xml:space="preserve"> </w:t>
      </w:r>
      <w:r>
        <w:t>develop</w:t>
      </w:r>
      <w:r>
        <w:rPr>
          <w:spacing w:val="-5"/>
        </w:rPr>
        <w:t xml:space="preserve"> </w:t>
      </w:r>
      <w:r>
        <w:t>new</w:t>
      </w:r>
      <w:r>
        <w:rPr>
          <w:spacing w:val="-6"/>
        </w:rPr>
        <w:t xml:space="preserve"> </w:t>
      </w:r>
      <w:r>
        <w:t>ways</w:t>
      </w:r>
      <w:r>
        <w:rPr>
          <w:spacing w:val="-7"/>
        </w:rPr>
        <w:t xml:space="preserve"> </w:t>
      </w:r>
      <w:r>
        <w:t>to</w:t>
      </w:r>
      <w:r>
        <w:rPr>
          <w:spacing w:val="-3"/>
        </w:rPr>
        <w:t xml:space="preserve"> </w:t>
      </w:r>
      <w:r>
        <w:t>support</w:t>
      </w:r>
      <w:r>
        <w:rPr>
          <w:spacing w:val="-6"/>
        </w:rPr>
        <w:t xml:space="preserve"> </w:t>
      </w:r>
      <w:r>
        <w:t>nonbinary</w:t>
      </w:r>
      <w:r>
        <w:rPr>
          <w:spacing w:val="-4"/>
        </w:rPr>
        <w:t xml:space="preserve"> </w:t>
      </w:r>
      <w:r>
        <w:t>students,</w:t>
      </w:r>
      <w:r>
        <w:rPr>
          <w:spacing w:val="-7"/>
        </w:rPr>
        <w:t xml:space="preserve"> </w:t>
      </w:r>
      <w:r>
        <w:t>educators,</w:t>
      </w:r>
      <w:r>
        <w:rPr>
          <w:spacing w:val="-9"/>
        </w:rPr>
        <w:t xml:space="preserve"> </w:t>
      </w:r>
      <w:r>
        <w:t>and</w:t>
      </w:r>
      <w:r>
        <w:rPr>
          <w:spacing w:val="-5"/>
        </w:rPr>
        <w:t xml:space="preserve"> </w:t>
      </w:r>
      <w:r>
        <w:t>staff</w:t>
      </w:r>
      <w:r>
        <w:rPr>
          <w:spacing w:val="-7"/>
        </w:rPr>
        <w:t xml:space="preserve"> </w:t>
      </w:r>
      <w:r>
        <w:t>in</w:t>
      </w:r>
      <w:r>
        <w:rPr>
          <w:spacing w:val="-5"/>
        </w:rPr>
        <w:t xml:space="preserve"> </w:t>
      </w:r>
      <w:r>
        <w:t>schools.</w:t>
      </w:r>
      <w:r>
        <w:rPr>
          <w:spacing w:val="-5"/>
        </w:rPr>
        <w:t xml:space="preserve"> </w:t>
      </w:r>
      <w:r>
        <w:t>The Safe Schools Program for LGBTQ Students is actively collaborating with DESE staff to provide all-gender restrooms at the Malden office. In FY 2022, all-gender restrooms were included during GSA Student Leadership Council meetings. In FY 2023, a more pe</w:t>
      </w:r>
      <w:r>
        <w:t>rmanent option was introduced.</w:t>
      </w:r>
    </w:p>
    <w:p w:rsidR="00200FDA" w:rsidRDefault="00200FDA">
      <w:pPr>
        <w:pStyle w:val="BodyText"/>
        <w:spacing w:before="7"/>
        <w:rPr>
          <w:sz w:val="19"/>
        </w:rPr>
      </w:pPr>
    </w:p>
    <w:p w:rsidR="00200FDA" w:rsidRDefault="00F76C4C">
      <w:pPr>
        <w:pStyle w:val="BodyText"/>
        <w:ind w:left="279" w:right="333"/>
        <w:jc w:val="both"/>
      </w:pPr>
      <w:r>
        <w:t>Access to all-gender restrooms is a common challenge among school districts and individual school buildings as well.</w:t>
      </w:r>
      <w:r>
        <w:rPr>
          <w:spacing w:val="-1"/>
        </w:rPr>
        <w:t xml:space="preserve"> </w:t>
      </w:r>
      <w:r>
        <w:t>The Commission</w:t>
      </w:r>
      <w:r>
        <w:rPr>
          <w:spacing w:val="-1"/>
        </w:rPr>
        <w:t xml:space="preserve"> </w:t>
      </w:r>
      <w:r>
        <w:t>recommends convening</w:t>
      </w:r>
      <w:r>
        <w:rPr>
          <w:spacing w:val="-1"/>
        </w:rPr>
        <w:t xml:space="preserve"> </w:t>
      </w:r>
      <w:r>
        <w:t>regular</w:t>
      </w:r>
      <w:r>
        <w:rPr>
          <w:spacing w:val="-1"/>
        </w:rPr>
        <w:t xml:space="preserve"> </w:t>
      </w:r>
      <w:r>
        <w:t>meetings with</w:t>
      </w:r>
      <w:r>
        <w:rPr>
          <w:spacing w:val="-1"/>
        </w:rPr>
        <w:t xml:space="preserve"> </w:t>
      </w:r>
      <w:r>
        <w:t>Commission</w:t>
      </w:r>
      <w:r>
        <w:rPr>
          <w:spacing w:val="-1"/>
        </w:rPr>
        <w:t xml:space="preserve"> </w:t>
      </w:r>
      <w:r>
        <w:t>and</w:t>
      </w:r>
      <w:r>
        <w:rPr>
          <w:spacing w:val="-1"/>
        </w:rPr>
        <w:t xml:space="preserve"> </w:t>
      </w:r>
      <w:r>
        <w:t xml:space="preserve">DESE staff to discuss the ongoing </w:t>
      </w:r>
      <w:r>
        <w:t>challenges and propose solutions.</w:t>
      </w:r>
    </w:p>
    <w:p w:rsidR="00200FDA" w:rsidRDefault="00200FDA">
      <w:pPr>
        <w:pStyle w:val="BodyText"/>
      </w:pPr>
    </w:p>
    <w:p w:rsidR="00200FDA" w:rsidRDefault="00200FDA">
      <w:pPr>
        <w:pStyle w:val="BodyText"/>
        <w:spacing w:before="9"/>
        <w:rPr>
          <w:sz w:val="19"/>
        </w:rPr>
      </w:pPr>
    </w:p>
    <w:p w:rsidR="00200FDA" w:rsidRDefault="00F76C4C">
      <w:pPr>
        <w:pStyle w:val="Heading9"/>
        <w:numPr>
          <w:ilvl w:val="0"/>
          <w:numId w:val="19"/>
        </w:numPr>
        <w:tabs>
          <w:tab w:val="left" w:pos="532"/>
        </w:tabs>
        <w:ind w:right="337" w:firstLine="0"/>
      </w:pPr>
      <w:r>
        <w:t>Work</w:t>
      </w:r>
      <w:r>
        <w:rPr>
          <w:spacing w:val="25"/>
        </w:rPr>
        <w:t xml:space="preserve"> </w:t>
      </w:r>
      <w:r>
        <w:t>with</w:t>
      </w:r>
      <w:r>
        <w:rPr>
          <w:spacing w:val="24"/>
        </w:rPr>
        <w:t xml:space="preserve"> </w:t>
      </w:r>
      <w:r>
        <w:t>administrative</w:t>
      </w:r>
      <w:r>
        <w:rPr>
          <w:spacing w:val="25"/>
        </w:rPr>
        <w:t xml:space="preserve"> </w:t>
      </w:r>
      <w:r>
        <w:t>leadership</w:t>
      </w:r>
      <w:r>
        <w:rPr>
          <w:spacing w:val="25"/>
        </w:rPr>
        <w:t xml:space="preserve"> </w:t>
      </w:r>
      <w:r>
        <w:t>to</w:t>
      </w:r>
      <w:r>
        <w:rPr>
          <w:spacing w:val="24"/>
        </w:rPr>
        <w:t xml:space="preserve"> </w:t>
      </w:r>
      <w:r>
        <w:t>review</w:t>
      </w:r>
      <w:r>
        <w:rPr>
          <w:spacing w:val="26"/>
        </w:rPr>
        <w:t xml:space="preserve"> </w:t>
      </w:r>
      <w:r>
        <w:t>and</w:t>
      </w:r>
      <w:r>
        <w:rPr>
          <w:spacing w:val="25"/>
        </w:rPr>
        <w:t xml:space="preserve"> </w:t>
      </w:r>
      <w:r>
        <w:t>update</w:t>
      </w:r>
      <w:r>
        <w:rPr>
          <w:spacing w:val="25"/>
        </w:rPr>
        <w:t xml:space="preserve"> </w:t>
      </w:r>
      <w:r>
        <w:t>school</w:t>
      </w:r>
      <w:r>
        <w:rPr>
          <w:spacing w:val="26"/>
        </w:rPr>
        <w:t xml:space="preserve"> </w:t>
      </w:r>
      <w:r>
        <w:t>handbook</w:t>
      </w:r>
      <w:r>
        <w:rPr>
          <w:spacing w:val="25"/>
        </w:rPr>
        <w:t xml:space="preserve"> </w:t>
      </w:r>
      <w:r>
        <w:t xml:space="preserve">non-discrimination </w:t>
      </w:r>
      <w:r>
        <w:rPr>
          <w:spacing w:val="-2"/>
        </w:rPr>
        <w:t>policies.</w:t>
      </w:r>
    </w:p>
    <w:p w:rsidR="00200FDA" w:rsidRDefault="00200FDA">
      <w:pPr>
        <w:pStyle w:val="BodyText"/>
        <w:spacing w:before="8"/>
        <w:rPr>
          <w:b/>
          <w:sz w:val="19"/>
        </w:rPr>
      </w:pPr>
    </w:p>
    <w:p w:rsidR="00200FDA" w:rsidRDefault="00F76C4C">
      <w:pPr>
        <w:pStyle w:val="BodyText"/>
        <w:ind w:left="280" w:right="332"/>
        <w:jc w:val="both"/>
      </w:pPr>
      <w:r>
        <w:t>In a study of school handbooks across the state last year, we found that 71% of school handbooks sampled did not ment</w:t>
      </w:r>
      <w:r>
        <w:t>ion lesbian, gay, bisexual, transgender, queer, or questioning students. Similarly, only 25% directly discussed protections for transgender and nonbinary students. We recommend that DESE offers sample language to administrators to be included in school han</w:t>
      </w:r>
      <w:r>
        <w:t>dbooks. The Safe Schools Program for LGBTQ Students is able to support the drafting of such statements.</w:t>
      </w:r>
    </w:p>
    <w:p w:rsidR="00200FDA" w:rsidRDefault="00200FDA">
      <w:pPr>
        <w:pStyle w:val="BodyText"/>
        <w:spacing w:before="11"/>
        <w:rPr>
          <w:sz w:val="32"/>
        </w:rPr>
      </w:pPr>
    </w:p>
    <w:p w:rsidR="00200FDA" w:rsidRDefault="00F76C4C">
      <w:pPr>
        <w:pStyle w:val="Heading9"/>
        <w:numPr>
          <w:ilvl w:val="0"/>
          <w:numId w:val="19"/>
        </w:numPr>
        <w:tabs>
          <w:tab w:val="left" w:pos="602"/>
        </w:tabs>
        <w:spacing w:line="276" w:lineRule="auto"/>
        <w:ind w:right="336" w:firstLine="0"/>
      </w:pPr>
      <w:r>
        <w:t>Collaborate</w:t>
      </w:r>
      <w:r>
        <w:rPr>
          <w:spacing w:val="-13"/>
        </w:rPr>
        <w:t xml:space="preserve"> </w:t>
      </w:r>
      <w:r>
        <w:t>with</w:t>
      </w:r>
      <w:r>
        <w:rPr>
          <w:spacing w:val="-13"/>
        </w:rPr>
        <w:t xml:space="preserve"> </w:t>
      </w:r>
      <w:r>
        <w:t>the</w:t>
      </w:r>
      <w:r>
        <w:rPr>
          <w:spacing w:val="-15"/>
        </w:rPr>
        <w:t xml:space="preserve"> </w:t>
      </w:r>
      <w:r>
        <w:t>Board</w:t>
      </w:r>
      <w:r>
        <w:rPr>
          <w:spacing w:val="-13"/>
        </w:rPr>
        <w:t xml:space="preserve"> </w:t>
      </w:r>
      <w:r>
        <w:t>of</w:t>
      </w:r>
      <w:r>
        <w:rPr>
          <w:spacing w:val="-13"/>
        </w:rPr>
        <w:t xml:space="preserve"> </w:t>
      </w:r>
      <w:r>
        <w:t>Library</w:t>
      </w:r>
      <w:r>
        <w:rPr>
          <w:spacing w:val="-12"/>
        </w:rPr>
        <w:t xml:space="preserve"> </w:t>
      </w:r>
      <w:r>
        <w:t>Commissioners</w:t>
      </w:r>
      <w:r>
        <w:rPr>
          <w:spacing w:val="-13"/>
        </w:rPr>
        <w:t xml:space="preserve"> </w:t>
      </w:r>
      <w:r>
        <w:t>to</w:t>
      </w:r>
      <w:r>
        <w:rPr>
          <w:spacing w:val="-13"/>
        </w:rPr>
        <w:t xml:space="preserve"> </w:t>
      </w:r>
      <w:r>
        <w:t>align</w:t>
      </w:r>
      <w:r>
        <w:rPr>
          <w:spacing w:val="-13"/>
        </w:rPr>
        <w:t xml:space="preserve"> </w:t>
      </w:r>
      <w:r>
        <w:t>efforts</w:t>
      </w:r>
      <w:r>
        <w:rPr>
          <w:spacing w:val="-12"/>
        </w:rPr>
        <w:t xml:space="preserve"> </w:t>
      </w:r>
      <w:r>
        <w:t>on</w:t>
      </w:r>
      <w:r>
        <w:rPr>
          <w:spacing w:val="-13"/>
        </w:rPr>
        <w:t xml:space="preserve"> </w:t>
      </w:r>
      <w:r>
        <w:t>addressing</w:t>
      </w:r>
      <w:r>
        <w:rPr>
          <w:spacing w:val="-13"/>
        </w:rPr>
        <w:t xml:space="preserve"> </w:t>
      </w:r>
      <w:r>
        <w:t>book</w:t>
      </w:r>
      <w:r>
        <w:rPr>
          <w:spacing w:val="-12"/>
        </w:rPr>
        <w:t xml:space="preserve"> </w:t>
      </w:r>
      <w:r>
        <w:t>challenges, protests, and hate crimes against state and school libraries and staff.</w:t>
      </w:r>
    </w:p>
    <w:p w:rsidR="00200FDA" w:rsidRDefault="00200FDA">
      <w:pPr>
        <w:pStyle w:val="BodyText"/>
        <w:spacing w:before="7"/>
        <w:rPr>
          <w:b/>
          <w:sz w:val="19"/>
        </w:rPr>
      </w:pPr>
    </w:p>
    <w:p w:rsidR="00200FDA" w:rsidRDefault="00F76C4C">
      <w:pPr>
        <w:pStyle w:val="BodyText"/>
        <w:ind w:left="279" w:right="184"/>
      </w:pPr>
      <w:r>
        <w:t>In</w:t>
      </w:r>
      <w:r>
        <w:rPr>
          <w:spacing w:val="40"/>
        </w:rPr>
        <w:t xml:space="preserve"> </w:t>
      </w:r>
      <w:r>
        <w:t>response</w:t>
      </w:r>
      <w:r>
        <w:rPr>
          <w:spacing w:val="40"/>
        </w:rPr>
        <w:t xml:space="preserve"> </w:t>
      </w:r>
      <w:r>
        <w:t>to</w:t>
      </w:r>
      <w:r>
        <w:rPr>
          <w:spacing w:val="40"/>
        </w:rPr>
        <w:t xml:space="preserve"> </w:t>
      </w:r>
      <w:r>
        <w:t>a</w:t>
      </w:r>
      <w:r>
        <w:rPr>
          <w:spacing w:val="40"/>
        </w:rPr>
        <w:t xml:space="preserve"> </w:t>
      </w:r>
      <w:r>
        <w:t>rise</w:t>
      </w:r>
      <w:r>
        <w:rPr>
          <w:spacing w:val="40"/>
        </w:rPr>
        <w:t xml:space="preserve"> </w:t>
      </w:r>
      <w:r>
        <w:t>in</w:t>
      </w:r>
      <w:r>
        <w:rPr>
          <w:spacing w:val="40"/>
        </w:rPr>
        <w:t xml:space="preserve"> </w:t>
      </w:r>
      <w:r>
        <w:t>book</w:t>
      </w:r>
      <w:r>
        <w:rPr>
          <w:spacing w:val="40"/>
        </w:rPr>
        <w:t xml:space="preserve"> </w:t>
      </w:r>
      <w:r>
        <w:t>challenges</w:t>
      </w:r>
      <w:r>
        <w:rPr>
          <w:spacing w:val="40"/>
        </w:rPr>
        <w:t xml:space="preserve"> </w:t>
      </w:r>
      <w:r>
        <w:t>as</w:t>
      </w:r>
      <w:r>
        <w:rPr>
          <w:spacing w:val="40"/>
        </w:rPr>
        <w:t xml:space="preserve"> </w:t>
      </w:r>
      <w:r>
        <w:t>well</w:t>
      </w:r>
      <w:r>
        <w:rPr>
          <w:spacing w:val="40"/>
        </w:rPr>
        <w:t xml:space="preserve"> </w:t>
      </w:r>
      <w:r>
        <w:t>as</w:t>
      </w:r>
      <w:r>
        <w:rPr>
          <w:spacing w:val="40"/>
        </w:rPr>
        <w:t xml:space="preserve"> </w:t>
      </w:r>
      <w:r>
        <w:t>requests</w:t>
      </w:r>
      <w:r>
        <w:rPr>
          <w:spacing w:val="40"/>
        </w:rPr>
        <w:t xml:space="preserve"> </w:t>
      </w:r>
      <w:r>
        <w:t>for</w:t>
      </w:r>
      <w:r>
        <w:rPr>
          <w:spacing w:val="40"/>
        </w:rPr>
        <w:t xml:space="preserve"> </w:t>
      </w:r>
      <w:r>
        <w:t>book</w:t>
      </w:r>
      <w:r>
        <w:rPr>
          <w:spacing w:val="40"/>
        </w:rPr>
        <w:t xml:space="preserve"> </w:t>
      </w:r>
      <w:r>
        <w:t>recommendations,</w:t>
      </w:r>
      <w:r>
        <w:rPr>
          <w:spacing w:val="40"/>
        </w:rPr>
        <w:t xml:space="preserve"> </w:t>
      </w:r>
      <w:r>
        <w:t>the</w:t>
      </w:r>
      <w:r>
        <w:rPr>
          <w:spacing w:val="40"/>
        </w:rPr>
        <w:t xml:space="preserve"> </w:t>
      </w:r>
      <w:r>
        <w:t>MA Commission</w:t>
      </w:r>
      <w:r>
        <w:rPr>
          <w:spacing w:val="40"/>
        </w:rPr>
        <w:t xml:space="preserve"> </w:t>
      </w:r>
      <w:r>
        <w:t>on</w:t>
      </w:r>
      <w:r>
        <w:rPr>
          <w:spacing w:val="40"/>
        </w:rPr>
        <w:t xml:space="preserve"> </w:t>
      </w:r>
      <w:r>
        <w:t>LGBTQ</w:t>
      </w:r>
      <w:r>
        <w:rPr>
          <w:spacing w:val="40"/>
        </w:rPr>
        <w:t xml:space="preserve"> </w:t>
      </w:r>
      <w:r>
        <w:t>Youth</w:t>
      </w:r>
      <w:r>
        <w:rPr>
          <w:spacing w:val="40"/>
        </w:rPr>
        <w:t xml:space="preserve"> </w:t>
      </w:r>
      <w:r>
        <w:t>is</w:t>
      </w:r>
      <w:r>
        <w:rPr>
          <w:spacing w:val="40"/>
        </w:rPr>
        <w:t xml:space="preserve"> </w:t>
      </w:r>
      <w:r>
        <w:t>working</w:t>
      </w:r>
      <w:r>
        <w:rPr>
          <w:spacing w:val="40"/>
        </w:rPr>
        <w:t xml:space="preserve"> </w:t>
      </w:r>
      <w:r>
        <w:t>with</w:t>
      </w:r>
      <w:r>
        <w:rPr>
          <w:spacing w:val="40"/>
        </w:rPr>
        <w:t xml:space="preserve"> </w:t>
      </w:r>
      <w:r>
        <w:t>the</w:t>
      </w:r>
      <w:r>
        <w:rPr>
          <w:spacing w:val="40"/>
        </w:rPr>
        <w:t xml:space="preserve"> </w:t>
      </w:r>
      <w:r>
        <w:t>MA</w:t>
      </w:r>
      <w:r>
        <w:rPr>
          <w:spacing w:val="40"/>
        </w:rPr>
        <w:t xml:space="preserve"> </w:t>
      </w:r>
      <w:r>
        <w:t>Board</w:t>
      </w:r>
      <w:r>
        <w:rPr>
          <w:spacing w:val="40"/>
        </w:rPr>
        <w:t xml:space="preserve"> </w:t>
      </w:r>
      <w:r>
        <w:t>of</w:t>
      </w:r>
      <w:r>
        <w:rPr>
          <w:spacing w:val="40"/>
        </w:rPr>
        <w:t xml:space="preserve"> </w:t>
      </w:r>
      <w:r>
        <w:t>Library</w:t>
      </w:r>
      <w:r>
        <w:rPr>
          <w:spacing w:val="40"/>
        </w:rPr>
        <w:t xml:space="preserve"> </w:t>
      </w:r>
      <w:r>
        <w:t>Commissione</w:t>
      </w:r>
      <w:r>
        <w:t>rs</w:t>
      </w:r>
      <w:r>
        <w:rPr>
          <w:spacing w:val="40"/>
        </w:rPr>
        <w:t xml:space="preserve"> </w:t>
      </w:r>
      <w:r>
        <w:t>to</w:t>
      </w:r>
      <w:r>
        <w:rPr>
          <w:spacing w:val="40"/>
        </w:rPr>
        <w:t xml:space="preserve"> </w:t>
      </w:r>
      <w:r>
        <w:t>create</w:t>
      </w:r>
      <w:r>
        <w:rPr>
          <w:spacing w:val="40"/>
        </w:rPr>
        <w:t xml:space="preserve"> </w:t>
      </w:r>
      <w:r>
        <w:t>an updated book recommendation list to be shared with school librarians. The Commission recommends</w:t>
      </w:r>
      <w:r>
        <w:rPr>
          <w:spacing w:val="40"/>
        </w:rPr>
        <w:t xml:space="preserve"> </w:t>
      </w:r>
      <w:r>
        <w:t>that DESE partner with MBLC to better support educators, and address book challenges across the state</w:t>
      </w:r>
      <w:r>
        <w:rPr>
          <w:spacing w:val="40"/>
        </w:rPr>
        <w:t xml:space="preserve"> </w:t>
      </w:r>
      <w:r>
        <w:t>in public and school libraries. One of the major problems with addressing anti-LGBTQ attacks across the state of Massachusetts is the lack of collaboration between state agencies and community organizations to</w:t>
      </w:r>
      <w:r>
        <w:rPr>
          <w:spacing w:val="37"/>
        </w:rPr>
        <w:t xml:space="preserve"> </w:t>
      </w:r>
      <w:r>
        <w:t>support</w:t>
      </w:r>
      <w:r>
        <w:rPr>
          <w:spacing w:val="33"/>
        </w:rPr>
        <w:t xml:space="preserve"> </w:t>
      </w:r>
      <w:r>
        <w:t>ongoing</w:t>
      </w:r>
      <w:r>
        <w:rPr>
          <w:spacing w:val="35"/>
        </w:rPr>
        <w:t xml:space="preserve"> </w:t>
      </w:r>
      <w:r>
        <w:t>work</w:t>
      </w:r>
      <w:r>
        <w:rPr>
          <w:spacing w:val="33"/>
        </w:rPr>
        <w:t xml:space="preserve"> </w:t>
      </w:r>
      <w:r>
        <w:t>across</w:t>
      </w:r>
      <w:r>
        <w:rPr>
          <w:spacing w:val="36"/>
        </w:rPr>
        <w:t xml:space="preserve"> </w:t>
      </w:r>
      <w:r>
        <w:t>institutions.</w:t>
      </w:r>
      <w:r>
        <w:rPr>
          <w:spacing w:val="35"/>
        </w:rPr>
        <w:t xml:space="preserve"> </w:t>
      </w:r>
      <w:r>
        <w:t>In</w:t>
      </w:r>
      <w:r>
        <w:rPr>
          <w:spacing w:val="35"/>
        </w:rPr>
        <w:t xml:space="preserve"> </w:t>
      </w:r>
      <w:r>
        <w:t>p</w:t>
      </w:r>
      <w:r>
        <w:t>articular,</w:t>
      </w:r>
      <w:r>
        <w:rPr>
          <w:spacing w:val="36"/>
        </w:rPr>
        <w:t xml:space="preserve"> </w:t>
      </w:r>
      <w:r>
        <w:t>as</w:t>
      </w:r>
      <w:r>
        <w:rPr>
          <w:spacing w:val="36"/>
        </w:rPr>
        <w:t xml:space="preserve"> </w:t>
      </w:r>
      <w:r>
        <w:t>both</w:t>
      </w:r>
      <w:r>
        <w:rPr>
          <w:spacing w:val="35"/>
        </w:rPr>
        <w:t xml:space="preserve"> </w:t>
      </w:r>
      <w:r>
        <w:t>schools</w:t>
      </w:r>
      <w:r>
        <w:rPr>
          <w:spacing w:val="33"/>
        </w:rPr>
        <w:t xml:space="preserve"> </w:t>
      </w:r>
      <w:r>
        <w:t>and</w:t>
      </w:r>
      <w:r>
        <w:rPr>
          <w:spacing w:val="36"/>
        </w:rPr>
        <w:t xml:space="preserve"> </w:t>
      </w:r>
      <w:r>
        <w:t>libraries</w:t>
      </w:r>
      <w:r>
        <w:rPr>
          <w:spacing w:val="36"/>
        </w:rPr>
        <w:t xml:space="preserve"> </w:t>
      </w:r>
      <w:r>
        <w:t>are</w:t>
      </w:r>
      <w:r>
        <w:rPr>
          <w:spacing w:val="33"/>
        </w:rPr>
        <w:t xml:space="preserve"> </w:t>
      </w:r>
      <w:r>
        <w:t>attacked, collaboration</w:t>
      </w:r>
      <w:r>
        <w:rPr>
          <w:spacing w:val="80"/>
        </w:rPr>
        <w:t xml:space="preserve"> </w:t>
      </w:r>
      <w:r>
        <w:t>between</w:t>
      </w:r>
      <w:r>
        <w:rPr>
          <w:spacing w:val="80"/>
        </w:rPr>
        <w:t xml:space="preserve"> </w:t>
      </w:r>
      <w:r>
        <w:t>the</w:t>
      </w:r>
      <w:r>
        <w:rPr>
          <w:spacing w:val="80"/>
        </w:rPr>
        <w:t xml:space="preserve"> </w:t>
      </w:r>
      <w:r>
        <w:t>Department</w:t>
      </w:r>
      <w:r>
        <w:rPr>
          <w:spacing w:val="80"/>
        </w:rPr>
        <w:t xml:space="preserve"> </w:t>
      </w:r>
      <w:r>
        <w:t>of</w:t>
      </w:r>
      <w:r>
        <w:rPr>
          <w:spacing w:val="80"/>
        </w:rPr>
        <w:t xml:space="preserve"> </w:t>
      </w:r>
      <w:r>
        <w:t>Elementary</w:t>
      </w:r>
      <w:r>
        <w:rPr>
          <w:spacing w:val="80"/>
        </w:rPr>
        <w:t xml:space="preserve"> </w:t>
      </w:r>
      <w:r>
        <w:t>and</w:t>
      </w:r>
      <w:r>
        <w:rPr>
          <w:spacing w:val="80"/>
        </w:rPr>
        <w:t xml:space="preserve"> </w:t>
      </w:r>
      <w:r>
        <w:t>Secondary</w:t>
      </w:r>
      <w:r>
        <w:rPr>
          <w:spacing w:val="80"/>
        </w:rPr>
        <w:t xml:space="preserve"> </w:t>
      </w:r>
      <w:r>
        <w:t>Education</w:t>
      </w:r>
      <w:r>
        <w:rPr>
          <w:spacing w:val="80"/>
        </w:rPr>
        <w:t xml:space="preserve"> </w:t>
      </w:r>
      <w:r>
        <w:t>(DESE),</w:t>
      </w:r>
      <w:r>
        <w:rPr>
          <w:spacing w:val="80"/>
        </w:rPr>
        <w:t xml:space="preserve"> </w:t>
      </w:r>
      <w:r>
        <w:t>the</w:t>
      </w:r>
      <w:r>
        <w:rPr>
          <w:spacing w:val="80"/>
          <w:w w:val="150"/>
        </w:rPr>
        <w:t xml:space="preserve"> </w:t>
      </w:r>
      <w:r>
        <w:t>Massachusetts</w:t>
      </w:r>
      <w:r>
        <w:rPr>
          <w:spacing w:val="40"/>
        </w:rPr>
        <w:t xml:space="preserve"> </w:t>
      </w:r>
      <w:r>
        <w:t>School</w:t>
      </w:r>
      <w:r>
        <w:rPr>
          <w:spacing w:val="40"/>
        </w:rPr>
        <w:t xml:space="preserve"> </w:t>
      </w:r>
      <w:r>
        <w:t>Library</w:t>
      </w:r>
      <w:r>
        <w:rPr>
          <w:spacing w:val="40"/>
        </w:rPr>
        <w:t xml:space="preserve"> </w:t>
      </w:r>
      <w:r>
        <w:t>Association,</w:t>
      </w:r>
      <w:r>
        <w:rPr>
          <w:spacing w:val="40"/>
        </w:rPr>
        <w:t xml:space="preserve"> </w:t>
      </w:r>
      <w:r>
        <w:t>and</w:t>
      </w:r>
      <w:r>
        <w:rPr>
          <w:spacing w:val="40"/>
        </w:rPr>
        <w:t xml:space="preserve"> </w:t>
      </w:r>
      <w:r>
        <w:t>MBLC</w:t>
      </w:r>
      <w:r>
        <w:rPr>
          <w:spacing w:val="39"/>
        </w:rPr>
        <w:t xml:space="preserve"> </w:t>
      </w:r>
      <w:r>
        <w:t>is</w:t>
      </w:r>
      <w:r>
        <w:rPr>
          <w:spacing w:val="40"/>
        </w:rPr>
        <w:t xml:space="preserve"> </w:t>
      </w:r>
      <w:r>
        <w:t>essential</w:t>
      </w:r>
      <w:r>
        <w:rPr>
          <w:spacing w:val="40"/>
        </w:rPr>
        <w:t xml:space="preserve"> </w:t>
      </w:r>
      <w:r>
        <w:t>to</w:t>
      </w:r>
      <w:r>
        <w:rPr>
          <w:spacing w:val="40"/>
        </w:rPr>
        <w:t xml:space="preserve"> </w:t>
      </w:r>
      <w:r>
        <w:t>align</w:t>
      </w:r>
      <w:r>
        <w:rPr>
          <w:spacing w:val="40"/>
        </w:rPr>
        <w:t xml:space="preserve"> </w:t>
      </w:r>
      <w:r>
        <w:t>on</w:t>
      </w:r>
      <w:r>
        <w:rPr>
          <w:spacing w:val="40"/>
        </w:rPr>
        <w:t xml:space="preserve"> </w:t>
      </w:r>
      <w:r>
        <w:t>efforts</w:t>
      </w:r>
      <w:r>
        <w:rPr>
          <w:spacing w:val="40"/>
        </w:rPr>
        <w:t xml:space="preserve"> </w:t>
      </w:r>
      <w:r>
        <w:t>to</w:t>
      </w:r>
      <w:r>
        <w:rPr>
          <w:spacing w:val="40"/>
        </w:rPr>
        <w:t xml:space="preserve"> </w:t>
      </w:r>
      <w:r>
        <w:t>address</w:t>
      </w:r>
      <w:r>
        <w:rPr>
          <w:spacing w:val="40"/>
        </w:rPr>
        <w:t xml:space="preserve"> </w:t>
      </w:r>
      <w:r>
        <w:t>book challenges, an</w:t>
      </w:r>
      <w:r>
        <w:t>d support educators and librarians.</w:t>
      </w:r>
    </w:p>
    <w:p w:rsidR="00200FDA" w:rsidRDefault="00200FDA">
      <w:pPr>
        <w:pStyle w:val="BodyText"/>
        <w:spacing w:before="12"/>
        <w:rPr>
          <w:sz w:val="21"/>
        </w:rPr>
      </w:pPr>
    </w:p>
    <w:p w:rsidR="00200FDA" w:rsidRDefault="00F76C4C">
      <w:pPr>
        <w:ind w:left="280"/>
        <w:rPr>
          <w:i/>
        </w:rPr>
      </w:pPr>
      <w:r>
        <w:rPr>
          <w:i/>
        </w:rPr>
        <w:t>Acknowledgments:</w:t>
      </w:r>
      <w:r>
        <w:rPr>
          <w:i/>
          <w:spacing w:val="-4"/>
        </w:rPr>
        <w:t xml:space="preserve"> </w:t>
      </w:r>
      <w:r>
        <w:rPr>
          <w:i/>
        </w:rPr>
        <w:t>The</w:t>
      </w:r>
      <w:r>
        <w:rPr>
          <w:i/>
          <w:spacing w:val="-3"/>
        </w:rPr>
        <w:t xml:space="preserve"> </w:t>
      </w:r>
      <w:r>
        <w:rPr>
          <w:i/>
        </w:rPr>
        <w:t>Commission</w:t>
      </w:r>
      <w:r>
        <w:rPr>
          <w:i/>
          <w:spacing w:val="-3"/>
        </w:rPr>
        <w:t xml:space="preserve"> </w:t>
      </w:r>
      <w:r>
        <w:rPr>
          <w:i/>
        </w:rPr>
        <w:t>appreciates</w:t>
      </w:r>
      <w:r>
        <w:rPr>
          <w:i/>
          <w:spacing w:val="-3"/>
        </w:rPr>
        <w:t xml:space="preserve"> </w:t>
      </w:r>
      <w:r>
        <w:rPr>
          <w:i/>
        </w:rPr>
        <w:t>the</w:t>
      </w:r>
      <w:r>
        <w:rPr>
          <w:i/>
          <w:spacing w:val="-3"/>
        </w:rPr>
        <w:t xml:space="preserve"> </w:t>
      </w:r>
      <w:r>
        <w:rPr>
          <w:i/>
        </w:rPr>
        <w:t>contributions</w:t>
      </w:r>
      <w:r>
        <w:rPr>
          <w:i/>
          <w:spacing w:val="-4"/>
        </w:rPr>
        <w:t xml:space="preserve"> </w:t>
      </w:r>
      <w:r>
        <w:rPr>
          <w:i/>
        </w:rPr>
        <w:t>of</w:t>
      </w:r>
      <w:r>
        <w:rPr>
          <w:i/>
          <w:spacing w:val="-3"/>
        </w:rPr>
        <w:t xml:space="preserve"> </w:t>
      </w:r>
      <w:r>
        <w:rPr>
          <w:i/>
        </w:rPr>
        <w:t>its</w:t>
      </w:r>
      <w:r>
        <w:rPr>
          <w:i/>
          <w:spacing w:val="-3"/>
        </w:rPr>
        <w:t xml:space="preserve"> </w:t>
      </w:r>
      <w:r>
        <w:rPr>
          <w:i/>
        </w:rPr>
        <w:t>DESE</w:t>
      </w:r>
      <w:r>
        <w:rPr>
          <w:i/>
          <w:spacing w:val="-3"/>
        </w:rPr>
        <w:t xml:space="preserve"> </w:t>
      </w:r>
      <w:r>
        <w:rPr>
          <w:i/>
          <w:spacing w:val="-2"/>
        </w:rPr>
        <w:t>liaisons.</w:t>
      </w:r>
    </w:p>
    <w:p w:rsidR="00200FDA" w:rsidRDefault="00200FDA">
      <w:pPr>
        <w:sectPr w:rsidR="00200FDA">
          <w:pgSz w:w="12240" w:h="15840"/>
          <w:pgMar w:top="1260" w:right="1160" w:bottom="1240" w:left="1160" w:header="761" w:footer="994" w:gutter="0"/>
          <w:cols w:space="720"/>
        </w:sectPr>
      </w:pPr>
    </w:p>
    <w:p w:rsidR="00200FDA" w:rsidRDefault="00200FDA">
      <w:pPr>
        <w:pStyle w:val="BodyText"/>
        <w:spacing w:before="5"/>
        <w:rPr>
          <w:i/>
          <w:sz w:val="11"/>
        </w:rPr>
      </w:pPr>
    </w:p>
    <w:p w:rsidR="00200FDA" w:rsidRDefault="00F76C4C">
      <w:pPr>
        <w:spacing w:before="28"/>
        <w:ind w:left="280"/>
        <w:rPr>
          <w:sz w:val="36"/>
        </w:rPr>
      </w:pPr>
      <w:r>
        <w:pict>
          <v:rect id="docshape520" o:spid="_x0000_s1099" style="position:absolute;left:0;text-align:left;margin-left:70.55pt;margin-top:24.3pt;width:470.9pt;height:.5pt;z-index:-15627264;mso-wrap-distance-left:0;mso-wrap-distance-right:0;mso-position-horizontal-relative:page" fillcolor="#5b9bd4" stroked="f">
            <w10:wrap type="topAndBottom" anchorx="page"/>
          </v:rect>
        </w:pict>
      </w:r>
      <w:bookmarkStart w:id="1075" w:name="Executive_Office_of_Health_and_Human_Ser"/>
      <w:bookmarkEnd w:id="1075"/>
      <w:r>
        <w:rPr>
          <w:color w:val="2D74B5"/>
          <w:sz w:val="36"/>
        </w:rPr>
        <w:t>Executive</w:t>
      </w:r>
      <w:r>
        <w:rPr>
          <w:color w:val="2D74B5"/>
          <w:spacing w:val="-4"/>
          <w:sz w:val="36"/>
        </w:rPr>
        <w:t xml:space="preserve"> </w:t>
      </w:r>
      <w:r>
        <w:rPr>
          <w:color w:val="2D74B5"/>
          <w:sz w:val="36"/>
        </w:rPr>
        <w:t>Office</w:t>
      </w:r>
      <w:r>
        <w:rPr>
          <w:color w:val="2D74B5"/>
          <w:spacing w:val="-2"/>
          <w:sz w:val="36"/>
        </w:rPr>
        <w:t xml:space="preserve"> </w:t>
      </w:r>
      <w:r>
        <w:rPr>
          <w:color w:val="2D74B5"/>
          <w:sz w:val="36"/>
        </w:rPr>
        <w:t>of</w:t>
      </w:r>
      <w:r>
        <w:rPr>
          <w:color w:val="2D74B5"/>
          <w:spacing w:val="-3"/>
          <w:sz w:val="36"/>
        </w:rPr>
        <w:t xml:space="preserve"> </w:t>
      </w:r>
      <w:r>
        <w:rPr>
          <w:color w:val="2D74B5"/>
          <w:sz w:val="36"/>
        </w:rPr>
        <w:t>Health</w:t>
      </w:r>
      <w:r>
        <w:rPr>
          <w:color w:val="2D74B5"/>
          <w:spacing w:val="-3"/>
          <w:sz w:val="36"/>
        </w:rPr>
        <w:t xml:space="preserve"> </w:t>
      </w:r>
      <w:r>
        <w:rPr>
          <w:color w:val="2D74B5"/>
          <w:sz w:val="36"/>
        </w:rPr>
        <w:t>and</w:t>
      </w:r>
      <w:r>
        <w:rPr>
          <w:color w:val="2D74B5"/>
          <w:spacing w:val="-3"/>
          <w:sz w:val="36"/>
        </w:rPr>
        <w:t xml:space="preserve"> </w:t>
      </w:r>
      <w:r>
        <w:rPr>
          <w:color w:val="2D74B5"/>
          <w:sz w:val="36"/>
        </w:rPr>
        <w:t>Human</w:t>
      </w:r>
      <w:r>
        <w:rPr>
          <w:color w:val="2D74B5"/>
          <w:spacing w:val="-1"/>
          <w:sz w:val="36"/>
        </w:rPr>
        <w:t xml:space="preserve"> </w:t>
      </w:r>
      <w:r>
        <w:rPr>
          <w:color w:val="2D74B5"/>
          <w:spacing w:val="-2"/>
          <w:sz w:val="36"/>
        </w:rPr>
        <w:t>Services</w:t>
      </w:r>
    </w:p>
    <w:p w:rsidR="00200FDA" w:rsidRDefault="00200FDA">
      <w:pPr>
        <w:pStyle w:val="BodyText"/>
        <w:rPr>
          <w:sz w:val="20"/>
        </w:rPr>
      </w:pPr>
    </w:p>
    <w:p w:rsidR="00200FDA" w:rsidRDefault="00200FDA">
      <w:pPr>
        <w:pStyle w:val="BodyText"/>
        <w:spacing w:before="6"/>
      </w:pPr>
    </w:p>
    <w:p w:rsidR="00200FDA" w:rsidRDefault="00F76C4C">
      <w:pPr>
        <w:pStyle w:val="BodyText"/>
        <w:spacing w:before="56" w:line="264" w:lineRule="auto"/>
        <w:ind w:left="280" w:right="271"/>
        <w:jc w:val="both"/>
      </w:pPr>
      <w:r>
        <w:t>In</w:t>
      </w:r>
      <w:r>
        <w:rPr>
          <w:spacing w:val="-10"/>
        </w:rPr>
        <w:t xml:space="preserve"> </w:t>
      </w:r>
      <w:r>
        <w:t>FY</w:t>
      </w:r>
      <w:r>
        <w:rPr>
          <w:spacing w:val="-9"/>
        </w:rPr>
        <w:t xml:space="preserve"> </w:t>
      </w:r>
      <w:r>
        <w:t>2017,</w:t>
      </w:r>
      <w:r>
        <w:rPr>
          <w:spacing w:val="-11"/>
        </w:rPr>
        <w:t xml:space="preserve"> </w:t>
      </w:r>
      <w:r>
        <w:t>the</w:t>
      </w:r>
      <w:r>
        <w:rPr>
          <w:spacing w:val="-8"/>
        </w:rPr>
        <w:t xml:space="preserve"> </w:t>
      </w:r>
      <w:r>
        <w:t>Executive</w:t>
      </w:r>
      <w:r>
        <w:rPr>
          <w:spacing w:val="-11"/>
        </w:rPr>
        <w:t xml:space="preserve"> </w:t>
      </w:r>
      <w:r>
        <w:t>Office</w:t>
      </w:r>
      <w:r>
        <w:rPr>
          <w:spacing w:val="-11"/>
        </w:rPr>
        <w:t xml:space="preserve"> </w:t>
      </w:r>
      <w:r>
        <w:t>of</w:t>
      </w:r>
      <w:r>
        <w:rPr>
          <w:spacing w:val="-9"/>
        </w:rPr>
        <w:t xml:space="preserve"> </w:t>
      </w:r>
      <w:r>
        <w:t>Health</w:t>
      </w:r>
      <w:r>
        <w:rPr>
          <w:spacing w:val="-10"/>
        </w:rPr>
        <w:t xml:space="preserve"> </w:t>
      </w:r>
      <w:r>
        <w:t>and</w:t>
      </w:r>
      <w:r>
        <w:rPr>
          <w:spacing w:val="-10"/>
        </w:rPr>
        <w:t xml:space="preserve"> </w:t>
      </w:r>
      <w:r>
        <w:t>Human</w:t>
      </w:r>
      <w:r>
        <w:rPr>
          <w:spacing w:val="-12"/>
        </w:rPr>
        <w:t xml:space="preserve"> </w:t>
      </w:r>
      <w:r>
        <w:t>Services</w:t>
      </w:r>
      <w:r>
        <w:rPr>
          <w:spacing w:val="-9"/>
        </w:rPr>
        <w:t xml:space="preserve"> </w:t>
      </w:r>
      <w:r>
        <w:t>(EOHHS)</w:t>
      </w:r>
      <w:r>
        <w:rPr>
          <w:spacing w:val="-9"/>
        </w:rPr>
        <w:t xml:space="preserve"> </w:t>
      </w:r>
      <w:r>
        <w:t>formed</w:t>
      </w:r>
      <w:r>
        <w:rPr>
          <w:spacing w:val="-9"/>
        </w:rPr>
        <w:t xml:space="preserve"> </w:t>
      </w:r>
      <w:r>
        <w:t>an</w:t>
      </w:r>
      <w:r>
        <w:rPr>
          <w:spacing w:val="-10"/>
        </w:rPr>
        <w:t xml:space="preserve"> </w:t>
      </w:r>
      <w:r>
        <w:t>interagency</w:t>
      </w:r>
      <w:r>
        <w:rPr>
          <w:spacing w:val="-8"/>
        </w:rPr>
        <w:t xml:space="preserve"> </w:t>
      </w:r>
      <w:r>
        <w:t>committee on LGBTQ youth issues co-chaired by the Commission. The Commission appreciates the frequent and thoughtful collaboration with staff of agencies within EOHHS, including taking a coordinated and collaborative approach to addre</w:t>
      </w:r>
      <w:r>
        <w:t xml:space="preserve">ssing the recommendations presented by the Commission to EOHHS </w:t>
      </w:r>
      <w:r>
        <w:rPr>
          <w:spacing w:val="-2"/>
        </w:rPr>
        <w:t>agencies.</w:t>
      </w:r>
    </w:p>
    <w:p w:rsidR="00200FDA" w:rsidRDefault="00200FDA">
      <w:pPr>
        <w:pStyle w:val="BodyText"/>
        <w:spacing w:before="10"/>
        <w:rPr>
          <w:sz w:val="19"/>
        </w:rPr>
      </w:pPr>
    </w:p>
    <w:p w:rsidR="00200FDA" w:rsidRDefault="00F76C4C">
      <w:pPr>
        <w:pStyle w:val="BodyText"/>
        <w:spacing w:line="264" w:lineRule="auto"/>
        <w:ind w:left="280" w:right="270" w:hanging="1"/>
        <w:jc w:val="both"/>
      </w:pPr>
      <w:r>
        <w:t>The EOHHS interagency committee, which the Commission hopes will be a model for other executive offices,</w:t>
      </w:r>
      <w:r>
        <w:rPr>
          <w:spacing w:val="-7"/>
        </w:rPr>
        <w:t xml:space="preserve"> </w:t>
      </w:r>
      <w:r>
        <w:t>is</w:t>
      </w:r>
      <w:r>
        <w:rPr>
          <w:spacing w:val="-6"/>
        </w:rPr>
        <w:t xml:space="preserve"> </w:t>
      </w:r>
      <w:r>
        <w:t>comprised</w:t>
      </w:r>
      <w:r>
        <w:rPr>
          <w:spacing w:val="-10"/>
        </w:rPr>
        <w:t xml:space="preserve"> </w:t>
      </w:r>
      <w:r>
        <w:t>of</w:t>
      </w:r>
      <w:r>
        <w:rPr>
          <w:spacing w:val="-7"/>
        </w:rPr>
        <w:t xml:space="preserve"> </w:t>
      </w:r>
      <w:r>
        <w:t>representatives</w:t>
      </w:r>
      <w:r>
        <w:rPr>
          <w:spacing w:val="-6"/>
        </w:rPr>
        <w:t xml:space="preserve"> </w:t>
      </w:r>
      <w:r>
        <w:t>from</w:t>
      </w:r>
      <w:r>
        <w:rPr>
          <w:spacing w:val="-5"/>
        </w:rPr>
        <w:t xml:space="preserve"> </w:t>
      </w:r>
      <w:r>
        <w:t>each</w:t>
      </w:r>
      <w:r>
        <w:rPr>
          <w:spacing w:val="-10"/>
        </w:rPr>
        <w:t xml:space="preserve"> </w:t>
      </w:r>
      <w:r>
        <w:t>of</w:t>
      </w:r>
      <w:r>
        <w:rPr>
          <w:spacing w:val="-7"/>
        </w:rPr>
        <w:t xml:space="preserve"> </w:t>
      </w:r>
      <w:r>
        <w:t>the</w:t>
      </w:r>
      <w:r>
        <w:rPr>
          <w:spacing w:val="-6"/>
        </w:rPr>
        <w:t xml:space="preserve"> </w:t>
      </w:r>
      <w:r>
        <w:t>relevant</w:t>
      </w:r>
      <w:r>
        <w:rPr>
          <w:spacing w:val="-6"/>
        </w:rPr>
        <w:t xml:space="preserve"> </w:t>
      </w:r>
      <w:r>
        <w:t>EOHHS</w:t>
      </w:r>
      <w:r>
        <w:rPr>
          <w:spacing w:val="-7"/>
        </w:rPr>
        <w:t xml:space="preserve"> </w:t>
      </w:r>
      <w:r>
        <w:t>agencies.</w:t>
      </w:r>
      <w:r>
        <w:rPr>
          <w:spacing w:val="-7"/>
        </w:rPr>
        <w:t xml:space="preserve"> </w:t>
      </w:r>
      <w:r>
        <w:t>The</w:t>
      </w:r>
      <w:r>
        <w:t>se</w:t>
      </w:r>
      <w:r>
        <w:rPr>
          <w:spacing w:val="-6"/>
        </w:rPr>
        <w:t xml:space="preserve"> </w:t>
      </w:r>
      <w:r>
        <w:t>representatives have met regularly since the end of FY 2022 to discuss their individual recommendations from the Commission,</w:t>
      </w:r>
      <w:r>
        <w:rPr>
          <w:spacing w:val="-7"/>
        </w:rPr>
        <w:t xml:space="preserve"> </w:t>
      </w:r>
      <w:r>
        <w:t>the</w:t>
      </w:r>
      <w:r>
        <w:rPr>
          <w:spacing w:val="-6"/>
        </w:rPr>
        <w:t xml:space="preserve"> </w:t>
      </w:r>
      <w:r>
        <w:t>many</w:t>
      </w:r>
      <w:r>
        <w:rPr>
          <w:spacing w:val="-6"/>
        </w:rPr>
        <w:t xml:space="preserve"> </w:t>
      </w:r>
      <w:r>
        <w:t>commonalities,</w:t>
      </w:r>
      <w:r>
        <w:rPr>
          <w:spacing w:val="-6"/>
        </w:rPr>
        <w:t xml:space="preserve"> </w:t>
      </w:r>
      <w:r>
        <w:t>and</w:t>
      </w:r>
      <w:r>
        <w:rPr>
          <w:spacing w:val="-5"/>
        </w:rPr>
        <w:t xml:space="preserve"> </w:t>
      </w:r>
      <w:r>
        <w:t>how</w:t>
      </w:r>
      <w:r>
        <w:rPr>
          <w:spacing w:val="-4"/>
        </w:rPr>
        <w:t xml:space="preserve"> </w:t>
      </w:r>
      <w:r>
        <w:t>they</w:t>
      </w:r>
      <w:r>
        <w:rPr>
          <w:spacing w:val="-6"/>
        </w:rPr>
        <w:t xml:space="preserve"> </w:t>
      </w:r>
      <w:r>
        <w:t>can</w:t>
      </w:r>
      <w:r>
        <w:rPr>
          <w:spacing w:val="-5"/>
        </w:rPr>
        <w:t xml:space="preserve"> </w:t>
      </w:r>
      <w:r>
        <w:t>best</w:t>
      </w:r>
      <w:r>
        <w:rPr>
          <w:spacing w:val="-6"/>
        </w:rPr>
        <w:t xml:space="preserve"> </w:t>
      </w:r>
      <w:r>
        <w:t>work</w:t>
      </w:r>
      <w:r>
        <w:rPr>
          <w:spacing w:val="-6"/>
        </w:rPr>
        <w:t xml:space="preserve"> </w:t>
      </w:r>
      <w:r>
        <w:t>together</w:t>
      </w:r>
      <w:r>
        <w:rPr>
          <w:spacing w:val="-7"/>
        </w:rPr>
        <w:t xml:space="preserve"> </w:t>
      </w:r>
      <w:r>
        <w:t>to</w:t>
      </w:r>
      <w:r>
        <w:rPr>
          <w:spacing w:val="-5"/>
        </w:rPr>
        <w:t xml:space="preserve"> </w:t>
      </w:r>
      <w:r>
        <w:t>effectively</w:t>
      </w:r>
      <w:r>
        <w:rPr>
          <w:spacing w:val="-4"/>
        </w:rPr>
        <w:t xml:space="preserve"> </w:t>
      </w:r>
      <w:r>
        <w:t>and</w:t>
      </w:r>
      <w:r>
        <w:rPr>
          <w:spacing w:val="-7"/>
        </w:rPr>
        <w:t xml:space="preserve"> </w:t>
      </w:r>
      <w:r>
        <w:t>efficiently achieve goals related to LGBTQ youth.</w:t>
      </w:r>
    </w:p>
    <w:p w:rsidR="00200FDA" w:rsidRDefault="00200FDA">
      <w:pPr>
        <w:pStyle w:val="BodyText"/>
        <w:spacing w:before="7"/>
        <w:rPr>
          <w:sz w:val="19"/>
        </w:rPr>
      </w:pPr>
    </w:p>
    <w:p w:rsidR="00200FDA" w:rsidRDefault="00F76C4C">
      <w:pPr>
        <w:pStyle w:val="BodyText"/>
        <w:spacing w:line="264" w:lineRule="auto"/>
        <w:ind w:left="279" w:right="271"/>
        <w:jc w:val="both"/>
      </w:pPr>
      <w:r>
        <w:t>This interagency effort reached a major milestone in November 2019 when an LGBTQ inclusion training resource</w:t>
      </w:r>
      <w:r>
        <w:rPr>
          <w:spacing w:val="-13"/>
        </w:rPr>
        <w:t xml:space="preserve"> </w:t>
      </w:r>
      <w:r>
        <w:t>being</w:t>
      </w:r>
      <w:r>
        <w:rPr>
          <w:spacing w:val="-12"/>
        </w:rPr>
        <w:t xml:space="preserve"> </w:t>
      </w:r>
      <w:r>
        <w:t>developed</w:t>
      </w:r>
      <w:r>
        <w:rPr>
          <w:spacing w:val="-13"/>
        </w:rPr>
        <w:t xml:space="preserve"> </w:t>
      </w:r>
      <w:r>
        <w:t>by</w:t>
      </w:r>
      <w:r>
        <w:rPr>
          <w:spacing w:val="-12"/>
        </w:rPr>
        <w:t xml:space="preserve"> </w:t>
      </w:r>
      <w:r>
        <w:t>the</w:t>
      </w:r>
      <w:r>
        <w:rPr>
          <w:spacing w:val="-13"/>
        </w:rPr>
        <w:t xml:space="preserve"> </w:t>
      </w:r>
      <w:r>
        <w:t>group</w:t>
      </w:r>
      <w:r>
        <w:rPr>
          <w:spacing w:val="-12"/>
        </w:rPr>
        <w:t xml:space="preserve"> </w:t>
      </w:r>
      <w:r>
        <w:t>received</w:t>
      </w:r>
      <w:r>
        <w:rPr>
          <w:spacing w:val="-13"/>
        </w:rPr>
        <w:t xml:space="preserve"> </w:t>
      </w:r>
      <w:r>
        <w:t>the</w:t>
      </w:r>
      <w:r>
        <w:rPr>
          <w:spacing w:val="-12"/>
        </w:rPr>
        <w:t xml:space="preserve"> </w:t>
      </w:r>
      <w:r>
        <w:t>input</w:t>
      </w:r>
      <w:r>
        <w:rPr>
          <w:spacing w:val="-12"/>
        </w:rPr>
        <w:t xml:space="preserve"> </w:t>
      </w:r>
      <w:r>
        <w:t>and</w:t>
      </w:r>
      <w:r>
        <w:rPr>
          <w:spacing w:val="-12"/>
        </w:rPr>
        <w:t xml:space="preserve"> </w:t>
      </w:r>
      <w:r>
        <w:t>feedback</w:t>
      </w:r>
      <w:r>
        <w:rPr>
          <w:spacing w:val="-12"/>
        </w:rPr>
        <w:t xml:space="preserve"> </w:t>
      </w:r>
      <w:r>
        <w:t>of</w:t>
      </w:r>
      <w:r>
        <w:rPr>
          <w:spacing w:val="-13"/>
        </w:rPr>
        <w:t xml:space="preserve"> </w:t>
      </w:r>
      <w:r>
        <w:t>every</w:t>
      </w:r>
      <w:r>
        <w:rPr>
          <w:spacing w:val="-12"/>
        </w:rPr>
        <w:t xml:space="preserve"> </w:t>
      </w:r>
      <w:r>
        <w:t>agency</w:t>
      </w:r>
      <w:r>
        <w:rPr>
          <w:spacing w:val="-11"/>
        </w:rPr>
        <w:t xml:space="preserve"> </w:t>
      </w:r>
      <w:r>
        <w:t>in</w:t>
      </w:r>
      <w:r>
        <w:rPr>
          <w:spacing w:val="-13"/>
        </w:rPr>
        <w:t xml:space="preserve"> </w:t>
      </w:r>
      <w:r>
        <w:t>the</w:t>
      </w:r>
      <w:r>
        <w:rPr>
          <w:spacing w:val="-12"/>
        </w:rPr>
        <w:t xml:space="preserve"> </w:t>
      </w:r>
      <w:r>
        <w:t>secretariat. This resource is a product of the Commission, through a collaboration with EOHHS, which offers a curriculum for agencies to use in training their staff, contractors, and providers in the importance of LGBTQ</w:t>
      </w:r>
      <w:r>
        <w:rPr>
          <w:spacing w:val="-3"/>
        </w:rPr>
        <w:t xml:space="preserve"> </w:t>
      </w:r>
      <w:r>
        <w:t>inclusion.</w:t>
      </w:r>
      <w:r>
        <w:rPr>
          <w:spacing w:val="-4"/>
        </w:rPr>
        <w:t xml:space="preserve"> </w:t>
      </w:r>
      <w:r>
        <w:t>Since</w:t>
      </w:r>
      <w:r>
        <w:rPr>
          <w:spacing w:val="-3"/>
        </w:rPr>
        <w:t xml:space="preserve"> </w:t>
      </w:r>
      <w:r>
        <w:t>the</w:t>
      </w:r>
      <w:r>
        <w:rPr>
          <w:spacing w:val="-5"/>
        </w:rPr>
        <w:t xml:space="preserve"> </w:t>
      </w:r>
      <w:r>
        <w:t>product</w:t>
      </w:r>
      <w:r>
        <w:rPr>
          <w:spacing w:val="-3"/>
        </w:rPr>
        <w:t xml:space="preserve"> </w:t>
      </w:r>
      <w:r>
        <w:t>was</w:t>
      </w:r>
      <w:r>
        <w:rPr>
          <w:spacing w:val="-3"/>
        </w:rPr>
        <w:t xml:space="preserve"> </w:t>
      </w:r>
      <w:r>
        <w:t>fin</w:t>
      </w:r>
      <w:r>
        <w:t>alized</w:t>
      </w:r>
      <w:r>
        <w:rPr>
          <w:spacing w:val="-4"/>
        </w:rPr>
        <w:t xml:space="preserve"> </w:t>
      </w:r>
      <w:r>
        <w:t>and</w:t>
      </w:r>
      <w:r>
        <w:rPr>
          <w:spacing w:val="-4"/>
        </w:rPr>
        <w:t xml:space="preserve"> </w:t>
      </w:r>
      <w:r>
        <w:t>launched</w:t>
      </w:r>
      <w:r>
        <w:rPr>
          <w:spacing w:val="-4"/>
        </w:rPr>
        <w:t xml:space="preserve"> </w:t>
      </w:r>
      <w:r>
        <w:t>in</w:t>
      </w:r>
      <w:r>
        <w:rPr>
          <w:spacing w:val="-4"/>
        </w:rPr>
        <w:t xml:space="preserve"> </w:t>
      </w:r>
      <w:r>
        <w:t>the</w:t>
      </w:r>
      <w:r>
        <w:rPr>
          <w:spacing w:val="-3"/>
        </w:rPr>
        <w:t xml:space="preserve"> </w:t>
      </w:r>
      <w:r>
        <w:t>fall</w:t>
      </w:r>
      <w:r>
        <w:rPr>
          <w:spacing w:val="-3"/>
        </w:rPr>
        <w:t xml:space="preserve"> </w:t>
      </w:r>
      <w:r>
        <w:t>of</w:t>
      </w:r>
      <w:r>
        <w:rPr>
          <w:spacing w:val="-3"/>
        </w:rPr>
        <w:t xml:space="preserve"> </w:t>
      </w:r>
      <w:r>
        <w:t>FY</w:t>
      </w:r>
      <w:r>
        <w:rPr>
          <w:spacing w:val="-5"/>
        </w:rPr>
        <w:t xml:space="preserve"> </w:t>
      </w:r>
      <w:r>
        <w:t>2023,</w:t>
      </w:r>
      <w:r>
        <w:rPr>
          <w:spacing w:val="-3"/>
        </w:rPr>
        <w:t xml:space="preserve"> </w:t>
      </w:r>
      <w:r>
        <w:t>the</w:t>
      </w:r>
      <w:r>
        <w:rPr>
          <w:spacing w:val="-3"/>
        </w:rPr>
        <w:t xml:space="preserve"> </w:t>
      </w:r>
      <w:r>
        <w:t>Commission</w:t>
      </w:r>
      <w:r>
        <w:rPr>
          <w:spacing w:val="-4"/>
        </w:rPr>
        <w:t xml:space="preserve"> </w:t>
      </w:r>
      <w:r>
        <w:t>and EOHHS agencies have</w:t>
      </w:r>
      <w:r>
        <w:rPr>
          <w:spacing w:val="-1"/>
        </w:rPr>
        <w:t xml:space="preserve"> </w:t>
      </w:r>
      <w:r>
        <w:t>worked to arrange both in-person and remote trainings; the feedback thus far has been</w:t>
      </w:r>
      <w:r>
        <w:rPr>
          <w:spacing w:val="-3"/>
        </w:rPr>
        <w:t xml:space="preserve"> </w:t>
      </w:r>
      <w:r>
        <w:t>overwhelmingly</w:t>
      </w:r>
      <w:r>
        <w:rPr>
          <w:spacing w:val="-1"/>
        </w:rPr>
        <w:t xml:space="preserve"> </w:t>
      </w:r>
      <w:r>
        <w:t>positive.</w:t>
      </w:r>
      <w:r>
        <w:rPr>
          <w:spacing w:val="-5"/>
        </w:rPr>
        <w:t xml:space="preserve"> </w:t>
      </w:r>
      <w:r>
        <w:t>The</w:t>
      </w:r>
      <w:r>
        <w:rPr>
          <w:spacing w:val="-1"/>
        </w:rPr>
        <w:t xml:space="preserve"> </w:t>
      </w:r>
      <w:r>
        <w:t>Commission</w:t>
      </w:r>
      <w:r>
        <w:rPr>
          <w:spacing w:val="-5"/>
        </w:rPr>
        <w:t xml:space="preserve"> </w:t>
      </w:r>
      <w:r>
        <w:t>encourages</w:t>
      </w:r>
      <w:r>
        <w:rPr>
          <w:spacing w:val="-2"/>
        </w:rPr>
        <w:t xml:space="preserve"> </w:t>
      </w:r>
      <w:r>
        <w:t>EOHHS</w:t>
      </w:r>
      <w:r>
        <w:rPr>
          <w:spacing w:val="-5"/>
        </w:rPr>
        <w:t xml:space="preserve"> </w:t>
      </w:r>
      <w:r>
        <w:t>to</w:t>
      </w:r>
      <w:r>
        <w:rPr>
          <w:spacing w:val="-4"/>
        </w:rPr>
        <w:t xml:space="preserve"> </w:t>
      </w:r>
      <w:r>
        <w:t>continue</w:t>
      </w:r>
      <w:r>
        <w:rPr>
          <w:spacing w:val="-1"/>
        </w:rPr>
        <w:t xml:space="preserve"> </w:t>
      </w:r>
      <w:r>
        <w:t>to</w:t>
      </w:r>
      <w:r>
        <w:rPr>
          <w:spacing w:val="-1"/>
        </w:rPr>
        <w:t xml:space="preserve"> </w:t>
      </w:r>
      <w:r>
        <w:t>work</w:t>
      </w:r>
      <w:r>
        <w:rPr>
          <w:spacing w:val="-2"/>
        </w:rPr>
        <w:t xml:space="preserve"> </w:t>
      </w:r>
      <w:r>
        <w:t>with</w:t>
      </w:r>
      <w:r>
        <w:rPr>
          <w:spacing w:val="-3"/>
        </w:rPr>
        <w:t xml:space="preserve"> </w:t>
      </w:r>
      <w:r>
        <w:t>its</w:t>
      </w:r>
      <w:r>
        <w:rPr>
          <w:spacing w:val="-4"/>
        </w:rPr>
        <w:t xml:space="preserve"> </w:t>
      </w:r>
      <w:r>
        <w:t>a</w:t>
      </w:r>
      <w:r>
        <w:t>gencies to create comprehensive LGBTQ inclusion policies, which some agencies have already published or drafted, as well as to consider if EOHHS-wide policies would be appropriate. This could include goals around increasing SOGIE data collection, which has</w:t>
      </w:r>
      <w:r>
        <w:t xml:space="preserve"> been another discussion point of the interagency </w:t>
      </w:r>
      <w:r>
        <w:rPr>
          <w:spacing w:val="-2"/>
        </w:rPr>
        <w:t>committee.</w:t>
      </w:r>
    </w:p>
    <w:p w:rsidR="00200FDA" w:rsidRDefault="00200FDA">
      <w:pPr>
        <w:spacing w:line="264" w:lineRule="auto"/>
        <w:jc w:val="both"/>
        <w:sectPr w:rsidR="00200FDA">
          <w:headerReference w:type="default" r:id="rId793"/>
          <w:footerReference w:type="default" r:id="rId794"/>
          <w:pgSz w:w="12240" w:h="15840"/>
          <w:pgMar w:top="1260" w:right="1160" w:bottom="1260" w:left="1160" w:header="761" w:footer="1062" w:gutter="0"/>
          <w:cols w:space="720"/>
        </w:sectPr>
      </w:pPr>
    </w:p>
    <w:p w:rsidR="00200FDA" w:rsidRDefault="00200FDA">
      <w:pPr>
        <w:pStyle w:val="BodyText"/>
        <w:rPr>
          <w:sz w:val="11"/>
        </w:rPr>
      </w:pPr>
    </w:p>
    <w:p w:rsidR="00200FDA" w:rsidRDefault="00F76C4C">
      <w:pPr>
        <w:spacing w:before="35"/>
        <w:ind w:left="280"/>
        <w:rPr>
          <w:sz w:val="32"/>
        </w:rPr>
      </w:pPr>
      <w:bookmarkStart w:id="1076" w:name="FY24_DCF_Recommendations_-_Final.pdf"/>
      <w:bookmarkStart w:id="1077" w:name="Department_of_Children_&amp;_Families"/>
      <w:bookmarkStart w:id="1078" w:name="_bookmark858"/>
      <w:bookmarkEnd w:id="1076"/>
      <w:bookmarkEnd w:id="1077"/>
      <w:bookmarkEnd w:id="1078"/>
      <w:r>
        <w:rPr>
          <w:color w:val="365F91"/>
          <w:sz w:val="32"/>
        </w:rPr>
        <w:t>Department</w:t>
      </w:r>
      <w:r>
        <w:rPr>
          <w:color w:val="365F91"/>
          <w:spacing w:val="-7"/>
          <w:sz w:val="32"/>
        </w:rPr>
        <w:t xml:space="preserve"> </w:t>
      </w:r>
      <w:r>
        <w:rPr>
          <w:color w:val="365F91"/>
          <w:sz w:val="32"/>
        </w:rPr>
        <w:t>of</w:t>
      </w:r>
      <w:r>
        <w:rPr>
          <w:color w:val="365F91"/>
          <w:spacing w:val="-9"/>
          <w:sz w:val="32"/>
        </w:rPr>
        <w:t xml:space="preserve"> </w:t>
      </w:r>
      <w:r>
        <w:rPr>
          <w:color w:val="365F91"/>
          <w:sz w:val="32"/>
        </w:rPr>
        <w:t>Children</w:t>
      </w:r>
      <w:r>
        <w:rPr>
          <w:color w:val="365F91"/>
          <w:spacing w:val="-10"/>
          <w:sz w:val="32"/>
        </w:rPr>
        <w:t xml:space="preserve"> </w:t>
      </w:r>
      <w:r>
        <w:rPr>
          <w:color w:val="365F91"/>
          <w:sz w:val="32"/>
        </w:rPr>
        <w:t>&amp;</w:t>
      </w:r>
      <w:r>
        <w:rPr>
          <w:color w:val="365F91"/>
          <w:spacing w:val="-9"/>
          <w:sz w:val="32"/>
        </w:rPr>
        <w:t xml:space="preserve"> </w:t>
      </w:r>
      <w:r>
        <w:rPr>
          <w:color w:val="365F91"/>
          <w:spacing w:val="-2"/>
          <w:sz w:val="32"/>
        </w:rPr>
        <w:t>Families</w:t>
      </w:r>
    </w:p>
    <w:p w:rsidR="00200FDA" w:rsidRDefault="00F76C4C">
      <w:pPr>
        <w:pStyle w:val="BodyText"/>
        <w:spacing w:before="4"/>
        <w:rPr>
          <w:sz w:val="4"/>
        </w:rPr>
      </w:pPr>
      <w:r>
        <w:pict>
          <v:rect id="docshape524" o:spid="_x0000_s1098" style="position:absolute;margin-left:70.55pt;margin-top:3.85pt;width:470.9pt;height:.5pt;z-index:-15626752;mso-wrap-distance-left:0;mso-wrap-distance-right:0;mso-position-horizontal-relative:page" fillcolor="#4f81bc" stroked="f">
            <w10:wrap type="topAndBottom" anchorx="page"/>
          </v:rect>
        </w:pict>
      </w:r>
    </w:p>
    <w:p w:rsidR="00200FDA" w:rsidRDefault="00200FDA">
      <w:pPr>
        <w:pStyle w:val="BodyText"/>
        <w:rPr>
          <w:sz w:val="20"/>
        </w:rPr>
      </w:pPr>
    </w:p>
    <w:p w:rsidR="00200FDA" w:rsidRDefault="00F76C4C">
      <w:pPr>
        <w:pStyle w:val="Heading7"/>
        <w:spacing w:before="185"/>
      </w:pPr>
      <w:r>
        <w:pict>
          <v:rect id="docshape525" o:spid="_x0000_s1097" style="position:absolute;left:0;text-align:left;margin-left:70.55pt;margin-top:27.25pt;width:470.9pt;height:.5pt;z-index:-15626240;mso-wrap-distance-left:0;mso-wrap-distance-right:0;mso-position-horizontal-relative:page" fillcolor="#4f81bc" stroked="f">
            <w10:wrap type="topAndBottom" anchorx="page"/>
          </v:rect>
        </w:pict>
      </w:r>
      <w:r>
        <w:rPr>
          <w:color w:val="365F91"/>
        </w:rPr>
        <w:t>FY2024</w:t>
      </w:r>
      <w:r>
        <w:rPr>
          <w:color w:val="365F91"/>
          <w:spacing w:val="-6"/>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5"/>
        <w:rPr>
          <w:sz w:val="18"/>
        </w:rPr>
      </w:pPr>
    </w:p>
    <w:p w:rsidR="00200FDA" w:rsidRDefault="00F76C4C">
      <w:pPr>
        <w:pStyle w:val="ListParagraph"/>
        <w:numPr>
          <w:ilvl w:val="1"/>
          <w:numId w:val="19"/>
        </w:numPr>
        <w:tabs>
          <w:tab w:val="left" w:pos="1001"/>
        </w:tabs>
        <w:spacing w:before="1" w:line="357" w:lineRule="auto"/>
        <w:ind w:right="276"/>
      </w:pPr>
      <w:r>
        <w:t>Ensure</w:t>
      </w:r>
      <w:r>
        <w:rPr>
          <w:spacing w:val="72"/>
        </w:rPr>
        <w:t xml:space="preserve"> </w:t>
      </w:r>
      <w:r>
        <w:t>thorough</w:t>
      </w:r>
      <w:r>
        <w:rPr>
          <w:spacing w:val="68"/>
        </w:rPr>
        <w:t xml:space="preserve"> </w:t>
      </w:r>
      <w:r>
        <w:t>and</w:t>
      </w:r>
      <w:r>
        <w:rPr>
          <w:spacing w:val="70"/>
        </w:rPr>
        <w:t xml:space="preserve"> </w:t>
      </w:r>
      <w:r>
        <w:t>accurate</w:t>
      </w:r>
      <w:r>
        <w:rPr>
          <w:spacing w:val="72"/>
        </w:rPr>
        <w:t xml:space="preserve"> </w:t>
      </w:r>
      <w:r>
        <w:t>SOGI</w:t>
      </w:r>
      <w:r>
        <w:rPr>
          <w:spacing w:val="68"/>
        </w:rPr>
        <w:t xml:space="preserve"> </w:t>
      </w:r>
      <w:r>
        <w:t>data</w:t>
      </w:r>
      <w:r>
        <w:rPr>
          <w:spacing w:val="68"/>
        </w:rPr>
        <w:t xml:space="preserve"> </w:t>
      </w:r>
      <w:r>
        <w:t>collection</w:t>
      </w:r>
      <w:r>
        <w:rPr>
          <w:spacing w:val="70"/>
        </w:rPr>
        <w:t xml:space="preserve"> </w:t>
      </w:r>
      <w:r>
        <w:t>through</w:t>
      </w:r>
      <w:r>
        <w:rPr>
          <w:spacing w:val="70"/>
        </w:rPr>
        <w:t xml:space="preserve"> </w:t>
      </w:r>
      <w:r>
        <w:t>implementation</w:t>
      </w:r>
      <w:r>
        <w:rPr>
          <w:spacing w:val="70"/>
        </w:rPr>
        <w:t xml:space="preserve"> </w:t>
      </w:r>
      <w:r>
        <w:t>of</w:t>
      </w:r>
      <w:r>
        <w:rPr>
          <w:spacing w:val="68"/>
        </w:rPr>
        <w:t xml:space="preserve"> </w:t>
      </w:r>
      <w:r>
        <w:t>the</w:t>
      </w:r>
      <w:r>
        <w:rPr>
          <w:spacing w:val="72"/>
        </w:rPr>
        <w:t xml:space="preserve"> </w:t>
      </w:r>
      <w:r>
        <w:t>new mandatory data elements and staff training.</w:t>
      </w:r>
    </w:p>
    <w:p w:rsidR="00200FDA" w:rsidRDefault="00F76C4C">
      <w:pPr>
        <w:pStyle w:val="ListParagraph"/>
        <w:numPr>
          <w:ilvl w:val="1"/>
          <w:numId w:val="19"/>
        </w:numPr>
        <w:tabs>
          <w:tab w:val="left" w:pos="1001"/>
        </w:tabs>
        <w:spacing w:before="3"/>
      </w:pPr>
      <w:r>
        <w:t>Review</w:t>
      </w:r>
      <w:r>
        <w:rPr>
          <w:spacing w:val="-6"/>
        </w:rPr>
        <w:t xml:space="preserve"> </w:t>
      </w:r>
      <w:r>
        <w:t>and</w:t>
      </w:r>
      <w:r>
        <w:rPr>
          <w:spacing w:val="-8"/>
        </w:rPr>
        <w:t xml:space="preserve"> </w:t>
      </w:r>
      <w:r>
        <w:t>continue</w:t>
      </w:r>
      <w:r>
        <w:rPr>
          <w:spacing w:val="-6"/>
        </w:rPr>
        <w:t xml:space="preserve"> </w:t>
      </w:r>
      <w:r>
        <w:t>implementation</w:t>
      </w:r>
      <w:r>
        <w:rPr>
          <w:spacing w:val="-7"/>
        </w:rPr>
        <w:t xml:space="preserve"> </w:t>
      </w:r>
      <w:r>
        <w:t>of</w:t>
      </w:r>
      <w:r>
        <w:rPr>
          <w:spacing w:val="-7"/>
        </w:rPr>
        <w:t xml:space="preserve"> </w:t>
      </w:r>
      <w:r>
        <w:t>LGBTQ-inclusive</w:t>
      </w:r>
      <w:r>
        <w:rPr>
          <w:spacing w:val="-3"/>
        </w:rPr>
        <w:t xml:space="preserve"> </w:t>
      </w:r>
      <w:r>
        <w:rPr>
          <w:spacing w:val="-2"/>
        </w:rPr>
        <w:t>policies.</w:t>
      </w:r>
    </w:p>
    <w:p w:rsidR="00200FDA" w:rsidRDefault="00F76C4C">
      <w:pPr>
        <w:pStyle w:val="ListParagraph"/>
        <w:numPr>
          <w:ilvl w:val="1"/>
          <w:numId w:val="19"/>
        </w:numPr>
        <w:tabs>
          <w:tab w:val="left" w:pos="1001"/>
        </w:tabs>
        <w:spacing w:before="135" w:line="360" w:lineRule="auto"/>
        <w:ind w:right="276"/>
      </w:pPr>
      <w:r>
        <w:t>Update</w:t>
      </w:r>
      <w:r>
        <w:rPr>
          <w:spacing w:val="-1"/>
        </w:rPr>
        <w:t xml:space="preserve"> </w:t>
      </w:r>
      <w:r>
        <w:t>the</w:t>
      </w:r>
      <w:r>
        <w:rPr>
          <w:spacing w:val="-1"/>
        </w:rPr>
        <w:t xml:space="preserve"> </w:t>
      </w:r>
      <w:r>
        <w:t>LGBTQ</w:t>
      </w:r>
      <w:r>
        <w:rPr>
          <w:spacing w:val="-2"/>
        </w:rPr>
        <w:t xml:space="preserve"> </w:t>
      </w:r>
      <w:r>
        <w:t>Guide</w:t>
      </w:r>
      <w:r>
        <w:rPr>
          <w:spacing w:val="-1"/>
        </w:rPr>
        <w:t xml:space="preserve"> </w:t>
      </w:r>
      <w:r>
        <w:t>and ensure</w:t>
      </w:r>
      <w:r>
        <w:rPr>
          <w:spacing w:val="-1"/>
        </w:rPr>
        <w:t xml:space="preserve"> </w:t>
      </w:r>
      <w:r>
        <w:t>that</w:t>
      </w:r>
      <w:r>
        <w:rPr>
          <w:spacing w:val="-1"/>
        </w:rPr>
        <w:t xml:space="preserve"> </w:t>
      </w:r>
      <w:r>
        <w:t>all</w:t>
      </w:r>
      <w:r>
        <w:rPr>
          <w:spacing w:val="-2"/>
        </w:rPr>
        <w:t xml:space="preserve"> </w:t>
      </w:r>
      <w:r>
        <w:t>staff,</w:t>
      </w:r>
      <w:r>
        <w:rPr>
          <w:spacing w:val="-2"/>
        </w:rPr>
        <w:t xml:space="preserve"> </w:t>
      </w:r>
      <w:r>
        <w:t>providers,</w:t>
      </w:r>
      <w:r>
        <w:rPr>
          <w:spacing w:val="-2"/>
        </w:rPr>
        <w:t xml:space="preserve"> </w:t>
      </w:r>
      <w:r>
        <w:t>youth,</w:t>
      </w:r>
      <w:r>
        <w:rPr>
          <w:spacing w:val="-2"/>
        </w:rPr>
        <w:t xml:space="preserve"> </w:t>
      </w:r>
      <w:r>
        <w:t>and families</w:t>
      </w:r>
      <w:r>
        <w:rPr>
          <w:spacing w:val="-4"/>
        </w:rPr>
        <w:t xml:space="preserve"> </w:t>
      </w:r>
      <w:r>
        <w:t>are aware</w:t>
      </w:r>
      <w:r>
        <w:rPr>
          <w:spacing w:val="-4"/>
        </w:rPr>
        <w:t xml:space="preserve"> </w:t>
      </w:r>
      <w:r>
        <w:t>of its existence and able to access a copy.</w:t>
      </w:r>
    </w:p>
    <w:p w:rsidR="00200FDA" w:rsidRDefault="00F76C4C">
      <w:pPr>
        <w:pStyle w:val="ListParagraph"/>
        <w:numPr>
          <w:ilvl w:val="1"/>
          <w:numId w:val="19"/>
        </w:numPr>
        <w:tabs>
          <w:tab w:val="left" w:pos="1001"/>
        </w:tabs>
        <w:spacing w:before="1" w:line="360" w:lineRule="auto"/>
        <w:ind w:right="277"/>
      </w:pPr>
      <w:r>
        <w:t>Ensure</w:t>
      </w:r>
      <w:r>
        <w:rPr>
          <w:spacing w:val="36"/>
        </w:rPr>
        <w:t xml:space="preserve"> </w:t>
      </w:r>
      <w:r>
        <w:t>implementation</w:t>
      </w:r>
      <w:r>
        <w:rPr>
          <w:spacing w:val="33"/>
        </w:rPr>
        <w:t xml:space="preserve"> </w:t>
      </w:r>
      <w:r>
        <w:t>of</w:t>
      </w:r>
      <w:r>
        <w:rPr>
          <w:spacing w:val="33"/>
        </w:rPr>
        <w:t xml:space="preserve"> </w:t>
      </w:r>
      <w:r>
        <w:t>the</w:t>
      </w:r>
      <w:r>
        <w:rPr>
          <w:spacing w:val="36"/>
        </w:rPr>
        <w:t xml:space="preserve"> </w:t>
      </w:r>
      <w:r>
        <w:t>updated</w:t>
      </w:r>
      <w:r>
        <w:rPr>
          <w:spacing w:val="33"/>
        </w:rPr>
        <w:t xml:space="preserve"> </w:t>
      </w:r>
      <w:r>
        <w:t>MAPP</w:t>
      </w:r>
      <w:r>
        <w:rPr>
          <w:spacing w:val="35"/>
        </w:rPr>
        <w:t xml:space="preserve"> </w:t>
      </w:r>
      <w:r>
        <w:t>training</w:t>
      </w:r>
      <w:r>
        <w:rPr>
          <w:spacing w:val="35"/>
        </w:rPr>
        <w:t xml:space="preserve"> </w:t>
      </w:r>
      <w:r>
        <w:t>curriculum,</w:t>
      </w:r>
      <w:r>
        <w:rPr>
          <w:spacing w:val="36"/>
        </w:rPr>
        <w:t xml:space="preserve"> </w:t>
      </w:r>
      <w:r>
        <w:t>and</w:t>
      </w:r>
      <w:r>
        <w:rPr>
          <w:spacing w:val="35"/>
        </w:rPr>
        <w:t xml:space="preserve"> </w:t>
      </w:r>
      <w:r>
        <w:t>establish</w:t>
      </w:r>
      <w:r>
        <w:rPr>
          <w:spacing w:val="35"/>
        </w:rPr>
        <w:t xml:space="preserve"> </w:t>
      </w:r>
      <w:r>
        <w:t>a</w:t>
      </w:r>
      <w:r>
        <w:rPr>
          <w:spacing w:val="36"/>
        </w:rPr>
        <w:t xml:space="preserve"> </w:t>
      </w:r>
      <w:r>
        <w:t>system</w:t>
      </w:r>
      <w:r>
        <w:rPr>
          <w:spacing w:val="35"/>
        </w:rPr>
        <w:t xml:space="preserve"> </w:t>
      </w:r>
      <w:r>
        <w:t>of frequent reviews and updates to assure continued relevance.</w:t>
      </w:r>
    </w:p>
    <w:p w:rsidR="00200FDA" w:rsidRDefault="00F76C4C">
      <w:pPr>
        <w:pStyle w:val="ListParagraph"/>
        <w:numPr>
          <w:ilvl w:val="1"/>
          <w:numId w:val="19"/>
        </w:numPr>
        <w:tabs>
          <w:tab w:val="left" w:pos="1001"/>
        </w:tabs>
        <w:spacing w:line="357" w:lineRule="auto"/>
        <w:ind w:right="275" w:hanging="360"/>
      </w:pPr>
      <w:r>
        <w:t>Improve</w:t>
      </w:r>
      <w:r>
        <w:rPr>
          <w:spacing w:val="38"/>
        </w:rPr>
        <w:t xml:space="preserve"> </w:t>
      </w:r>
      <w:r>
        <w:t>recruitment</w:t>
      </w:r>
      <w:r>
        <w:rPr>
          <w:spacing w:val="38"/>
        </w:rPr>
        <w:t xml:space="preserve"> </w:t>
      </w:r>
      <w:r>
        <w:t>of</w:t>
      </w:r>
      <w:r>
        <w:rPr>
          <w:spacing w:val="36"/>
        </w:rPr>
        <w:t xml:space="preserve"> </w:t>
      </w:r>
      <w:r>
        <w:t>LGBTQ-affirming</w:t>
      </w:r>
      <w:r>
        <w:rPr>
          <w:spacing w:val="36"/>
        </w:rPr>
        <w:t xml:space="preserve"> </w:t>
      </w:r>
      <w:r>
        <w:t>foster</w:t>
      </w:r>
      <w:r>
        <w:rPr>
          <w:spacing w:val="36"/>
        </w:rPr>
        <w:t xml:space="preserve"> </w:t>
      </w:r>
      <w:r>
        <w:t>parents,</w:t>
      </w:r>
      <w:r>
        <w:rPr>
          <w:spacing w:val="37"/>
        </w:rPr>
        <w:t xml:space="preserve"> </w:t>
      </w:r>
      <w:r>
        <w:t>and</w:t>
      </w:r>
      <w:r>
        <w:rPr>
          <w:spacing w:val="36"/>
        </w:rPr>
        <w:t xml:space="preserve"> </w:t>
      </w:r>
      <w:r>
        <w:t>create</w:t>
      </w:r>
      <w:r>
        <w:rPr>
          <w:spacing w:val="38"/>
        </w:rPr>
        <w:t xml:space="preserve"> </w:t>
      </w:r>
      <w:r>
        <w:t>a</w:t>
      </w:r>
      <w:r>
        <w:rPr>
          <w:spacing w:val="37"/>
        </w:rPr>
        <w:t xml:space="preserve"> </w:t>
      </w:r>
      <w:r>
        <w:t>statewide</w:t>
      </w:r>
      <w:r>
        <w:rPr>
          <w:spacing w:val="38"/>
        </w:rPr>
        <w:t xml:space="preserve"> </w:t>
      </w:r>
      <w:r>
        <w:t>database</w:t>
      </w:r>
      <w:r>
        <w:rPr>
          <w:spacing w:val="36"/>
        </w:rPr>
        <w:t xml:space="preserve"> </w:t>
      </w:r>
      <w:r>
        <w:t>of LGBTQ-affirming homes.</w:t>
      </w:r>
    </w:p>
    <w:p w:rsidR="00200FDA" w:rsidRDefault="00F76C4C">
      <w:pPr>
        <w:pStyle w:val="ListParagraph"/>
        <w:numPr>
          <w:ilvl w:val="1"/>
          <w:numId w:val="19"/>
        </w:numPr>
        <w:tabs>
          <w:tab w:val="left" w:pos="1001"/>
        </w:tabs>
        <w:spacing w:before="4"/>
      </w:pPr>
      <w:r>
        <w:t>Hire</w:t>
      </w:r>
      <w:r>
        <w:rPr>
          <w:spacing w:val="-5"/>
        </w:rPr>
        <w:t xml:space="preserve"> </w:t>
      </w:r>
      <w:r>
        <w:t>LGBTQ</w:t>
      </w:r>
      <w:r>
        <w:rPr>
          <w:spacing w:val="-4"/>
        </w:rPr>
        <w:t xml:space="preserve"> </w:t>
      </w:r>
      <w:r>
        <w:t>regional</w:t>
      </w:r>
      <w:r>
        <w:rPr>
          <w:spacing w:val="-4"/>
        </w:rPr>
        <w:t xml:space="preserve"> </w:t>
      </w:r>
      <w:r>
        <w:rPr>
          <w:spacing w:val="-2"/>
        </w:rPr>
        <w:t>specialists.</w:t>
      </w:r>
    </w:p>
    <w:p w:rsidR="00200FDA" w:rsidRDefault="00F76C4C">
      <w:pPr>
        <w:pStyle w:val="ListParagraph"/>
        <w:numPr>
          <w:ilvl w:val="1"/>
          <w:numId w:val="19"/>
        </w:numPr>
        <w:tabs>
          <w:tab w:val="left" w:pos="1001"/>
        </w:tabs>
        <w:spacing w:before="135" w:line="360" w:lineRule="auto"/>
        <w:ind w:right="274"/>
        <w:jc w:val="both"/>
      </w:pPr>
      <w:r>
        <w:t>Partner with LGBTQ youth and organizations to create and disseminate tangible resources for youth, families, and social workers.</w:t>
      </w:r>
    </w:p>
    <w:p w:rsidR="00200FDA" w:rsidRDefault="00F76C4C">
      <w:pPr>
        <w:pStyle w:val="ListParagraph"/>
        <w:numPr>
          <w:ilvl w:val="1"/>
          <w:numId w:val="19"/>
        </w:numPr>
        <w:tabs>
          <w:tab w:val="left" w:pos="1001"/>
        </w:tabs>
        <w:spacing w:line="360" w:lineRule="auto"/>
        <w:ind w:right="275"/>
        <w:jc w:val="both"/>
      </w:pPr>
      <w:r>
        <w:t>Expand and mandate LGBTQ cultural engagement trainings, as well as trainings on racial equity,</w:t>
      </w:r>
      <w:r>
        <w:t xml:space="preserve"> ableism, and adultism.</w:t>
      </w:r>
    </w:p>
    <w:p w:rsidR="00200FDA" w:rsidRDefault="00F76C4C">
      <w:pPr>
        <w:pStyle w:val="ListParagraph"/>
        <w:numPr>
          <w:ilvl w:val="1"/>
          <w:numId w:val="19"/>
        </w:numPr>
        <w:tabs>
          <w:tab w:val="left" w:pos="1001"/>
        </w:tabs>
        <w:spacing w:line="360" w:lineRule="auto"/>
        <w:ind w:right="271" w:hanging="360"/>
        <w:jc w:val="both"/>
      </w:pPr>
      <w:r>
        <w:t>Improve interagency work to support “warm hand-offs” for transition-aged youth attempting to access services, in partnership with the Department of Mental Health, MassHealth, and the Department of Youth Services.</w:t>
      </w:r>
    </w:p>
    <w:p w:rsidR="00200FDA" w:rsidRDefault="00F76C4C">
      <w:pPr>
        <w:pStyle w:val="ListParagraph"/>
        <w:numPr>
          <w:ilvl w:val="1"/>
          <w:numId w:val="19"/>
        </w:numPr>
        <w:tabs>
          <w:tab w:val="left" w:pos="1001"/>
        </w:tabs>
        <w:spacing w:line="360" w:lineRule="auto"/>
        <w:ind w:right="277"/>
        <w:jc w:val="both"/>
      </w:pPr>
      <w:r>
        <w:t>Improve family pres</w:t>
      </w:r>
      <w:r>
        <w:t>ervation services to safely monitor and mitigate concerns that may lead to the removal of a child.</w:t>
      </w:r>
    </w:p>
    <w:p w:rsidR="00200FDA" w:rsidRDefault="00F76C4C">
      <w:pPr>
        <w:pStyle w:val="ListParagraph"/>
        <w:numPr>
          <w:ilvl w:val="1"/>
          <w:numId w:val="19"/>
        </w:numPr>
        <w:tabs>
          <w:tab w:val="left" w:pos="1001"/>
        </w:tabs>
        <w:spacing w:line="360" w:lineRule="auto"/>
        <w:ind w:right="276" w:hanging="360"/>
        <w:jc w:val="both"/>
      </w:pPr>
      <w:r>
        <w:t>Collaborate</w:t>
      </w:r>
      <w:r>
        <w:rPr>
          <w:spacing w:val="-5"/>
        </w:rPr>
        <w:t xml:space="preserve"> </w:t>
      </w:r>
      <w:r>
        <w:t>with</w:t>
      </w:r>
      <w:r>
        <w:rPr>
          <w:spacing w:val="-3"/>
        </w:rPr>
        <w:t xml:space="preserve"> </w:t>
      </w:r>
      <w:r>
        <w:t>the</w:t>
      </w:r>
      <w:r>
        <w:rPr>
          <w:spacing w:val="-2"/>
        </w:rPr>
        <w:t xml:space="preserve"> </w:t>
      </w:r>
      <w:r>
        <w:t>Commission</w:t>
      </w:r>
      <w:r>
        <w:rPr>
          <w:spacing w:val="-4"/>
        </w:rPr>
        <w:t xml:space="preserve"> </w:t>
      </w:r>
      <w:r>
        <w:t>and</w:t>
      </w:r>
      <w:r>
        <w:rPr>
          <w:spacing w:val="-4"/>
        </w:rPr>
        <w:t xml:space="preserve"> </w:t>
      </w:r>
      <w:r>
        <w:t>providers</w:t>
      </w:r>
      <w:r>
        <w:rPr>
          <w:spacing w:val="-5"/>
        </w:rPr>
        <w:t xml:space="preserve"> </w:t>
      </w:r>
      <w:r>
        <w:t>to</w:t>
      </w:r>
      <w:r>
        <w:rPr>
          <w:spacing w:val="-4"/>
        </w:rPr>
        <w:t xml:space="preserve"> </w:t>
      </w:r>
      <w:r>
        <w:t>create</w:t>
      </w:r>
      <w:r>
        <w:rPr>
          <w:spacing w:val="-5"/>
        </w:rPr>
        <w:t xml:space="preserve"> </w:t>
      </w:r>
      <w:r>
        <w:t>an</w:t>
      </w:r>
      <w:r>
        <w:rPr>
          <w:spacing w:val="-4"/>
        </w:rPr>
        <w:t xml:space="preserve"> </w:t>
      </w:r>
      <w:r>
        <w:t>LGBTQ</w:t>
      </w:r>
      <w:r>
        <w:rPr>
          <w:spacing w:val="-3"/>
        </w:rPr>
        <w:t xml:space="preserve"> </w:t>
      </w:r>
      <w:r>
        <w:t>parent</w:t>
      </w:r>
      <w:r>
        <w:rPr>
          <w:spacing w:val="-2"/>
        </w:rPr>
        <w:t xml:space="preserve"> </w:t>
      </w:r>
      <w:r>
        <w:t>education</w:t>
      </w:r>
      <w:r>
        <w:rPr>
          <w:spacing w:val="-4"/>
        </w:rPr>
        <w:t xml:space="preserve"> </w:t>
      </w:r>
      <w:r>
        <w:t>curriculum to better support family preservation services.</w:t>
      </w:r>
    </w:p>
    <w:p w:rsidR="00200FDA" w:rsidRDefault="00F76C4C">
      <w:pPr>
        <w:pStyle w:val="ListParagraph"/>
        <w:numPr>
          <w:ilvl w:val="1"/>
          <w:numId w:val="19"/>
        </w:numPr>
        <w:tabs>
          <w:tab w:val="left" w:pos="1001"/>
        </w:tabs>
        <w:spacing w:line="360" w:lineRule="auto"/>
        <w:ind w:right="273"/>
        <w:jc w:val="both"/>
      </w:pPr>
      <w:r>
        <w:t>Review</w:t>
      </w:r>
      <w:r>
        <w:rPr>
          <w:spacing w:val="-8"/>
        </w:rPr>
        <w:t xml:space="preserve"> </w:t>
      </w:r>
      <w:r>
        <w:t>all</w:t>
      </w:r>
      <w:r>
        <w:rPr>
          <w:spacing w:val="-9"/>
        </w:rPr>
        <w:t xml:space="preserve"> </w:t>
      </w:r>
      <w:r>
        <w:t>internal</w:t>
      </w:r>
      <w:r>
        <w:rPr>
          <w:spacing w:val="-9"/>
        </w:rPr>
        <w:t xml:space="preserve"> </w:t>
      </w:r>
      <w:r>
        <w:t>curriculum</w:t>
      </w:r>
      <w:r>
        <w:rPr>
          <w:spacing w:val="-8"/>
        </w:rPr>
        <w:t xml:space="preserve"> </w:t>
      </w:r>
      <w:r>
        <w:t>provided</w:t>
      </w:r>
      <w:r>
        <w:rPr>
          <w:spacing w:val="-10"/>
        </w:rPr>
        <w:t xml:space="preserve"> </w:t>
      </w:r>
      <w:r>
        <w:t>to</w:t>
      </w:r>
      <w:r>
        <w:rPr>
          <w:spacing w:val="-10"/>
        </w:rPr>
        <w:t xml:space="preserve"> </w:t>
      </w:r>
      <w:r>
        <w:t>youth,</w:t>
      </w:r>
      <w:r>
        <w:rPr>
          <w:spacing w:val="-9"/>
        </w:rPr>
        <w:t xml:space="preserve"> </w:t>
      </w:r>
      <w:r>
        <w:t>and</w:t>
      </w:r>
      <w:r>
        <w:rPr>
          <w:spacing w:val="-10"/>
        </w:rPr>
        <w:t xml:space="preserve"> </w:t>
      </w:r>
      <w:r>
        <w:t>ensure</w:t>
      </w:r>
      <w:r>
        <w:rPr>
          <w:spacing w:val="-8"/>
        </w:rPr>
        <w:t xml:space="preserve"> </w:t>
      </w:r>
      <w:r>
        <w:t>that</w:t>
      </w:r>
      <w:r>
        <w:rPr>
          <w:spacing w:val="-9"/>
        </w:rPr>
        <w:t xml:space="preserve"> </w:t>
      </w:r>
      <w:r>
        <w:t>youth</w:t>
      </w:r>
      <w:r>
        <w:rPr>
          <w:spacing w:val="-10"/>
        </w:rPr>
        <w:t xml:space="preserve"> </w:t>
      </w:r>
      <w:r>
        <w:t>are</w:t>
      </w:r>
      <w:r>
        <w:rPr>
          <w:spacing w:val="-9"/>
        </w:rPr>
        <w:t xml:space="preserve"> </w:t>
      </w:r>
      <w:r>
        <w:t>receiving</w:t>
      </w:r>
      <w:r>
        <w:rPr>
          <w:spacing w:val="-10"/>
        </w:rPr>
        <w:t xml:space="preserve"> </w:t>
      </w:r>
      <w:r>
        <w:t>appropriate sexual health and health care education.</w:t>
      </w:r>
    </w:p>
    <w:p w:rsidR="00200FDA" w:rsidRDefault="00200FDA">
      <w:pPr>
        <w:pStyle w:val="BodyText"/>
        <w:spacing w:before="10"/>
        <w:rPr>
          <w:sz w:val="32"/>
        </w:rPr>
      </w:pPr>
    </w:p>
    <w:p w:rsidR="00200FDA" w:rsidRDefault="00F76C4C">
      <w:pPr>
        <w:spacing w:before="1"/>
        <w:ind w:left="280"/>
        <w:rPr>
          <w:sz w:val="32"/>
        </w:rPr>
      </w:pPr>
      <w:r>
        <w:pict>
          <v:rect id="docshape526" o:spid="_x0000_s1096" style="position:absolute;left:0;text-align:left;margin-left:70.55pt;margin-top:20.55pt;width:470.9pt;height:.5pt;z-index:-15625728;mso-wrap-distance-left:0;mso-wrap-distance-right:0;mso-position-horizontal-relative:page" fillcolor="#4f81bc" stroked="f">
            <w10:wrap type="topAndBottom" anchorx="page"/>
          </v:rect>
        </w:pict>
      </w:r>
      <w:r>
        <w:rPr>
          <w:color w:val="365F91"/>
          <w:spacing w:val="-2"/>
          <w:sz w:val="32"/>
        </w:rPr>
        <w:t>Introduction</w:t>
      </w:r>
    </w:p>
    <w:p w:rsidR="00200FDA" w:rsidRDefault="00200FDA">
      <w:pPr>
        <w:pStyle w:val="BodyText"/>
        <w:rPr>
          <w:sz w:val="15"/>
        </w:rPr>
      </w:pPr>
    </w:p>
    <w:p w:rsidR="00200FDA" w:rsidRDefault="00F76C4C">
      <w:pPr>
        <w:pStyle w:val="BodyText"/>
        <w:spacing w:before="56" w:line="276" w:lineRule="auto"/>
        <w:ind w:left="280"/>
      </w:pPr>
      <w:r>
        <w:t>The</w:t>
      </w:r>
      <w:r>
        <w:rPr>
          <w:spacing w:val="-6"/>
        </w:rPr>
        <w:t xml:space="preserve"> </w:t>
      </w:r>
      <w:r>
        <w:t>Massachusetts</w:t>
      </w:r>
      <w:r>
        <w:rPr>
          <w:spacing w:val="-7"/>
        </w:rPr>
        <w:t xml:space="preserve"> </w:t>
      </w:r>
      <w:hyperlink r:id="rId795">
        <w:r>
          <w:rPr>
            <w:color w:val="1154CC"/>
            <w:u w:val="single" w:color="1154CC"/>
          </w:rPr>
          <w:t>Dep</w:t>
        </w:r>
        <w:r>
          <w:rPr>
            <w:color w:val="1154CC"/>
            <w:u w:val="single" w:color="1154CC"/>
          </w:rPr>
          <w:t>artment</w:t>
        </w:r>
        <w:r>
          <w:rPr>
            <w:color w:val="1154CC"/>
            <w:spacing w:val="-9"/>
            <w:u w:val="single" w:color="1154CC"/>
          </w:rPr>
          <w:t xml:space="preserve"> </w:t>
        </w:r>
        <w:r>
          <w:rPr>
            <w:color w:val="1154CC"/>
            <w:u w:val="single" w:color="1154CC"/>
          </w:rPr>
          <w:t>of</w:t>
        </w:r>
        <w:r>
          <w:rPr>
            <w:color w:val="1154CC"/>
            <w:spacing w:val="-7"/>
            <w:u w:val="single" w:color="1154CC"/>
          </w:rPr>
          <w:t xml:space="preserve"> </w:t>
        </w:r>
        <w:r>
          <w:rPr>
            <w:color w:val="1154CC"/>
            <w:u w:val="single" w:color="1154CC"/>
          </w:rPr>
          <w:t>Children</w:t>
        </w:r>
        <w:r>
          <w:rPr>
            <w:color w:val="1154CC"/>
            <w:spacing w:val="-7"/>
            <w:u w:val="single" w:color="1154CC"/>
          </w:rPr>
          <w:t xml:space="preserve"> </w:t>
        </w:r>
        <w:r>
          <w:rPr>
            <w:color w:val="1154CC"/>
            <w:u w:val="single" w:color="1154CC"/>
          </w:rPr>
          <w:t>and</w:t>
        </w:r>
        <w:r>
          <w:rPr>
            <w:color w:val="1154CC"/>
            <w:spacing w:val="-7"/>
            <w:u w:val="single" w:color="1154CC"/>
          </w:rPr>
          <w:t xml:space="preserve"> </w:t>
        </w:r>
        <w:r>
          <w:rPr>
            <w:color w:val="1154CC"/>
            <w:u w:val="single" w:color="1154CC"/>
          </w:rPr>
          <w:t>Families</w:t>
        </w:r>
        <w:r>
          <w:rPr>
            <w:color w:val="1154CC"/>
            <w:spacing w:val="-7"/>
            <w:u w:val="single" w:color="1154CC"/>
          </w:rPr>
          <w:t xml:space="preserve"> </w:t>
        </w:r>
        <w:r>
          <w:rPr>
            <w:color w:val="1154CC"/>
            <w:u w:val="single" w:color="1154CC"/>
          </w:rPr>
          <w:t>(DCF)</w:t>
        </w:r>
      </w:hyperlink>
      <w:r>
        <w:rPr>
          <w:color w:val="1154CC"/>
          <w:spacing w:val="-6"/>
        </w:rPr>
        <w:t xml:space="preserve"> </w:t>
      </w:r>
      <w:r>
        <w:t>is</w:t>
      </w:r>
      <w:r>
        <w:rPr>
          <w:spacing w:val="-7"/>
        </w:rPr>
        <w:t xml:space="preserve"> </w:t>
      </w:r>
      <w:r>
        <w:t>the</w:t>
      </w:r>
      <w:r>
        <w:rPr>
          <w:spacing w:val="-6"/>
        </w:rPr>
        <w:t xml:space="preserve"> </w:t>
      </w:r>
      <w:r>
        <w:t>state</w:t>
      </w:r>
      <w:r>
        <w:rPr>
          <w:spacing w:val="-6"/>
        </w:rPr>
        <w:t xml:space="preserve"> </w:t>
      </w:r>
      <w:r>
        <w:t>agency</w:t>
      </w:r>
      <w:r>
        <w:rPr>
          <w:spacing w:val="-6"/>
        </w:rPr>
        <w:t xml:space="preserve"> </w:t>
      </w:r>
      <w:r>
        <w:t>directed</w:t>
      </w:r>
      <w:r>
        <w:rPr>
          <w:spacing w:val="-7"/>
        </w:rPr>
        <w:t xml:space="preserve"> </w:t>
      </w:r>
      <w:r>
        <w:t>to</w:t>
      </w:r>
      <w:r>
        <w:rPr>
          <w:spacing w:val="-8"/>
        </w:rPr>
        <w:t xml:space="preserve"> </w:t>
      </w:r>
      <w:r>
        <w:t>support</w:t>
      </w:r>
      <w:r>
        <w:rPr>
          <w:spacing w:val="-6"/>
        </w:rPr>
        <w:t xml:space="preserve"> </w:t>
      </w:r>
      <w:r>
        <w:t>the permanency</w:t>
      </w:r>
      <w:r>
        <w:rPr>
          <w:spacing w:val="35"/>
        </w:rPr>
        <w:t xml:space="preserve"> </w:t>
      </w:r>
      <w:r>
        <w:t>and</w:t>
      </w:r>
      <w:r>
        <w:rPr>
          <w:spacing w:val="33"/>
        </w:rPr>
        <w:t xml:space="preserve"> </w:t>
      </w:r>
      <w:r>
        <w:t>well-being</w:t>
      </w:r>
      <w:r>
        <w:rPr>
          <w:spacing w:val="35"/>
        </w:rPr>
        <w:t xml:space="preserve"> </w:t>
      </w:r>
      <w:r>
        <w:t>of</w:t>
      </w:r>
      <w:r>
        <w:rPr>
          <w:spacing w:val="34"/>
        </w:rPr>
        <w:t xml:space="preserve"> </w:t>
      </w:r>
      <w:r>
        <w:t>children</w:t>
      </w:r>
      <w:r>
        <w:rPr>
          <w:spacing w:val="33"/>
        </w:rPr>
        <w:t xml:space="preserve"> </w:t>
      </w:r>
      <w:r>
        <w:t>in</w:t>
      </w:r>
      <w:r>
        <w:rPr>
          <w:spacing w:val="35"/>
        </w:rPr>
        <w:t xml:space="preserve"> </w:t>
      </w:r>
      <w:r>
        <w:t>the</w:t>
      </w:r>
      <w:r>
        <w:rPr>
          <w:spacing w:val="34"/>
        </w:rPr>
        <w:t xml:space="preserve"> </w:t>
      </w:r>
      <w:r>
        <w:t>Commonwealth.</w:t>
      </w:r>
      <w:r>
        <w:rPr>
          <w:spacing w:val="33"/>
        </w:rPr>
        <w:t xml:space="preserve"> </w:t>
      </w:r>
      <w:r>
        <w:t>Overseeing</w:t>
      </w:r>
      <w:r>
        <w:rPr>
          <w:spacing w:val="33"/>
        </w:rPr>
        <w:t xml:space="preserve"> </w:t>
      </w:r>
      <w:r>
        <w:t>a</w:t>
      </w:r>
      <w:r>
        <w:rPr>
          <w:spacing w:val="34"/>
        </w:rPr>
        <w:t xml:space="preserve"> </w:t>
      </w:r>
      <w:r>
        <w:t>wide</w:t>
      </w:r>
      <w:r>
        <w:rPr>
          <w:spacing w:val="37"/>
        </w:rPr>
        <w:t xml:space="preserve"> </w:t>
      </w:r>
      <w:r>
        <w:t>array</w:t>
      </w:r>
      <w:r>
        <w:rPr>
          <w:spacing w:val="33"/>
        </w:rPr>
        <w:t xml:space="preserve"> </w:t>
      </w:r>
      <w:r>
        <w:t>of</w:t>
      </w:r>
      <w:r>
        <w:rPr>
          <w:spacing w:val="36"/>
        </w:rPr>
        <w:t xml:space="preserve"> </w:t>
      </w:r>
      <w:r>
        <w:rPr>
          <w:spacing w:val="-2"/>
        </w:rPr>
        <w:t>services,</w:t>
      </w:r>
    </w:p>
    <w:p w:rsidR="00200FDA" w:rsidRDefault="00200FDA">
      <w:pPr>
        <w:spacing w:line="276" w:lineRule="auto"/>
        <w:sectPr w:rsidR="00200FDA">
          <w:headerReference w:type="default" r:id="rId796"/>
          <w:footerReference w:type="default" r:id="rId797"/>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right="276"/>
        <w:jc w:val="both"/>
      </w:pPr>
      <w:r>
        <w:t>programs, and systems, DCF strives to protect children from abuse and neglect, and provides support services</w:t>
      </w:r>
      <w:r>
        <w:rPr>
          <w:spacing w:val="-4"/>
        </w:rPr>
        <w:t xml:space="preserve"> </w:t>
      </w:r>
      <w:r>
        <w:t>to</w:t>
      </w:r>
      <w:r>
        <w:rPr>
          <w:spacing w:val="-5"/>
        </w:rPr>
        <w:t xml:space="preserve"> </w:t>
      </w:r>
      <w:r>
        <w:t>youth</w:t>
      </w:r>
      <w:r>
        <w:rPr>
          <w:spacing w:val="-5"/>
        </w:rPr>
        <w:t xml:space="preserve"> </w:t>
      </w:r>
      <w:r>
        <w:t>aged</w:t>
      </w:r>
      <w:r>
        <w:rPr>
          <w:spacing w:val="-5"/>
        </w:rPr>
        <w:t xml:space="preserve"> </w:t>
      </w:r>
      <w:r>
        <w:t>18</w:t>
      </w:r>
      <w:r>
        <w:rPr>
          <w:spacing w:val="-3"/>
        </w:rPr>
        <w:t xml:space="preserve"> </w:t>
      </w:r>
      <w:r>
        <w:t>to</w:t>
      </w:r>
      <w:r>
        <w:rPr>
          <w:spacing w:val="-3"/>
        </w:rPr>
        <w:t xml:space="preserve"> </w:t>
      </w:r>
      <w:r>
        <w:t>22</w:t>
      </w:r>
      <w:r>
        <w:rPr>
          <w:spacing w:val="-3"/>
        </w:rPr>
        <w:t xml:space="preserve"> </w:t>
      </w:r>
      <w:r>
        <w:t>transitioning</w:t>
      </w:r>
      <w:r>
        <w:rPr>
          <w:spacing w:val="-5"/>
        </w:rPr>
        <w:t xml:space="preserve"> </w:t>
      </w:r>
      <w:r>
        <w:t>out</w:t>
      </w:r>
      <w:r>
        <w:rPr>
          <w:spacing w:val="-6"/>
        </w:rPr>
        <w:t xml:space="preserve"> </w:t>
      </w:r>
      <w:r>
        <w:t>of</w:t>
      </w:r>
      <w:r>
        <w:rPr>
          <w:spacing w:val="-5"/>
        </w:rPr>
        <w:t xml:space="preserve"> </w:t>
      </w:r>
      <w:r>
        <w:t>DCF</w:t>
      </w:r>
      <w:r>
        <w:rPr>
          <w:spacing w:val="-3"/>
        </w:rPr>
        <w:t xml:space="preserve"> </w:t>
      </w:r>
      <w:r>
        <w:t>care</w:t>
      </w:r>
      <w:r>
        <w:rPr>
          <w:spacing w:val="-4"/>
        </w:rPr>
        <w:t xml:space="preserve"> </w:t>
      </w:r>
      <w:r>
        <w:t>into</w:t>
      </w:r>
      <w:r>
        <w:rPr>
          <w:spacing w:val="-1"/>
        </w:rPr>
        <w:t xml:space="preserve"> </w:t>
      </w:r>
      <w:r>
        <w:t>independent</w:t>
      </w:r>
      <w:r>
        <w:rPr>
          <w:spacing w:val="-4"/>
        </w:rPr>
        <w:t xml:space="preserve"> </w:t>
      </w:r>
      <w:r>
        <w:t>living.</w:t>
      </w:r>
      <w:r>
        <w:rPr>
          <w:spacing w:val="-2"/>
        </w:rPr>
        <w:t xml:space="preserve"> </w:t>
      </w:r>
      <w:r>
        <w:t>DCF</w:t>
      </w:r>
      <w:r>
        <w:rPr>
          <w:spacing w:val="-5"/>
        </w:rPr>
        <w:t xml:space="preserve"> </w:t>
      </w:r>
      <w:r>
        <w:t>provides</w:t>
      </w:r>
      <w:r>
        <w:rPr>
          <w:spacing w:val="-4"/>
        </w:rPr>
        <w:t xml:space="preserve"> </w:t>
      </w:r>
      <w:r>
        <w:t>foster care services with the ultimate goal of family pr</w:t>
      </w:r>
      <w:r>
        <w:t>eservation and reunification where possible. Where parental</w:t>
      </w:r>
      <w:r>
        <w:rPr>
          <w:spacing w:val="-13"/>
        </w:rPr>
        <w:t xml:space="preserve"> </w:t>
      </w:r>
      <w:r>
        <w:t>reunification</w:t>
      </w:r>
      <w:r>
        <w:rPr>
          <w:spacing w:val="-12"/>
        </w:rPr>
        <w:t xml:space="preserve"> </w:t>
      </w:r>
      <w:r>
        <w:t>is</w:t>
      </w:r>
      <w:r>
        <w:rPr>
          <w:spacing w:val="-13"/>
        </w:rPr>
        <w:t xml:space="preserve"> </w:t>
      </w:r>
      <w:r>
        <w:t>not</w:t>
      </w:r>
      <w:r>
        <w:rPr>
          <w:spacing w:val="-12"/>
        </w:rPr>
        <w:t xml:space="preserve"> </w:t>
      </w:r>
      <w:r>
        <w:t>possible,</w:t>
      </w:r>
      <w:r>
        <w:rPr>
          <w:spacing w:val="-13"/>
        </w:rPr>
        <w:t xml:space="preserve"> </w:t>
      </w:r>
      <w:r>
        <w:t>DCF</w:t>
      </w:r>
      <w:r>
        <w:rPr>
          <w:spacing w:val="-12"/>
        </w:rPr>
        <w:t xml:space="preserve"> </w:t>
      </w:r>
      <w:r>
        <w:t>works</w:t>
      </w:r>
      <w:r>
        <w:rPr>
          <w:spacing w:val="-13"/>
        </w:rPr>
        <w:t xml:space="preserve"> </w:t>
      </w:r>
      <w:r>
        <w:t>to</w:t>
      </w:r>
      <w:r>
        <w:rPr>
          <w:spacing w:val="-12"/>
        </w:rPr>
        <w:t xml:space="preserve"> </w:t>
      </w:r>
      <w:r>
        <w:t>find</w:t>
      </w:r>
      <w:r>
        <w:rPr>
          <w:spacing w:val="-12"/>
        </w:rPr>
        <w:t xml:space="preserve"> </w:t>
      </w:r>
      <w:r>
        <w:t>permanent</w:t>
      </w:r>
      <w:r>
        <w:rPr>
          <w:spacing w:val="-13"/>
        </w:rPr>
        <w:t xml:space="preserve"> </w:t>
      </w:r>
      <w:r>
        <w:t>families</w:t>
      </w:r>
      <w:r>
        <w:rPr>
          <w:spacing w:val="-12"/>
        </w:rPr>
        <w:t xml:space="preserve"> </w:t>
      </w:r>
      <w:r>
        <w:t>through</w:t>
      </w:r>
      <w:r>
        <w:rPr>
          <w:spacing w:val="-13"/>
        </w:rPr>
        <w:t xml:space="preserve"> </w:t>
      </w:r>
      <w:r>
        <w:t>kinship,</w:t>
      </w:r>
      <w:r>
        <w:rPr>
          <w:spacing w:val="-12"/>
        </w:rPr>
        <w:t xml:space="preserve"> </w:t>
      </w:r>
      <w:r>
        <w:t>guardianship, or adoption.</w:t>
      </w:r>
    </w:p>
    <w:p w:rsidR="00200FDA" w:rsidRDefault="00200FDA">
      <w:pPr>
        <w:pStyle w:val="BodyText"/>
        <w:spacing w:before="7"/>
        <w:rPr>
          <w:sz w:val="19"/>
        </w:rPr>
      </w:pPr>
    </w:p>
    <w:p w:rsidR="00200FDA" w:rsidRDefault="00F76C4C">
      <w:pPr>
        <w:pStyle w:val="BodyText"/>
        <w:spacing w:line="276" w:lineRule="auto"/>
        <w:ind w:left="279" w:right="274"/>
        <w:jc w:val="both"/>
      </w:pPr>
      <w:r>
        <w:t>Since 2011, the Commission has issued recommendations to DCF around data collection, policy development, trainings, resources, and structural change to provide more affirming support for LGBTQ youth in the child welfare system. In July of 2021, the Commiss</w:t>
      </w:r>
      <w:r>
        <w:t>ion published a first-of-its-kind report on the experiences of LGBTQ youth in the child welfare system after the Commission identified pervasive threats to the safety, well-being, and permanency of DCF-involved LGBTQ youth.</w:t>
      </w:r>
    </w:p>
    <w:p w:rsidR="00200FDA" w:rsidRDefault="00200FDA">
      <w:pPr>
        <w:pStyle w:val="BodyText"/>
        <w:spacing w:before="9"/>
        <w:rPr>
          <w:sz w:val="19"/>
        </w:rPr>
      </w:pPr>
    </w:p>
    <w:p w:rsidR="00200FDA" w:rsidRDefault="00F76C4C">
      <w:pPr>
        <w:pStyle w:val="BodyText"/>
        <w:spacing w:line="276" w:lineRule="auto"/>
        <w:ind w:left="279" w:right="277"/>
        <w:jc w:val="both"/>
      </w:pPr>
      <w:r>
        <w:t xml:space="preserve">The Commission appreciates the </w:t>
      </w:r>
      <w:r>
        <w:t>ongoing commitment of DCF staff to have monthly conversations to address how best the state can support LGBTQ in foster care, and transition-aged youth leaving care.</w:t>
      </w:r>
    </w:p>
    <w:p w:rsidR="00200FDA" w:rsidRDefault="00200FDA">
      <w:pPr>
        <w:pStyle w:val="BodyText"/>
      </w:pPr>
    </w:p>
    <w:p w:rsidR="00200FDA" w:rsidRDefault="00200FDA">
      <w:pPr>
        <w:pStyle w:val="BodyText"/>
        <w:spacing w:before="6"/>
        <w:rPr>
          <w:sz w:val="16"/>
        </w:rPr>
      </w:pPr>
    </w:p>
    <w:p w:rsidR="00200FDA" w:rsidRDefault="00F76C4C">
      <w:pPr>
        <w:pStyle w:val="Heading8"/>
        <w:ind w:left="280"/>
      </w:pPr>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rPr>
          <w:sz w:val="24"/>
        </w:rPr>
      </w:pPr>
    </w:p>
    <w:p w:rsidR="00200FDA" w:rsidRDefault="00200FDA">
      <w:pPr>
        <w:pStyle w:val="BodyText"/>
        <w:spacing w:before="10"/>
        <w:rPr>
          <w:sz w:val="20"/>
        </w:rPr>
      </w:pPr>
    </w:p>
    <w:p w:rsidR="00200FDA" w:rsidRDefault="00F76C4C">
      <w:pPr>
        <w:pStyle w:val="BodyText"/>
        <w:spacing w:line="276" w:lineRule="auto"/>
        <w:ind w:left="279" w:right="273"/>
        <w:jc w:val="both"/>
      </w:pPr>
      <w:r>
        <w:t>DCF</w:t>
      </w:r>
      <w:r>
        <w:rPr>
          <w:spacing w:val="-7"/>
        </w:rPr>
        <w:t xml:space="preserve"> </w:t>
      </w:r>
      <w:r>
        <w:t>has</w:t>
      </w:r>
      <w:r>
        <w:rPr>
          <w:spacing w:val="-7"/>
        </w:rPr>
        <w:t xml:space="preserve"> </w:t>
      </w:r>
      <w:r>
        <w:t>made</w:t>
      </w:r>
      <w:r>
        <w:rPr>
          <w:spacing w:val="-6"/>
        </w:rPr>
        <w:t xml:space="preserve"> </w:t>
      </w:r>
      <w:r>
        <w:t>progress</w:t>
      </w:r>
      <w:r>
        <w:rPr>
          <w:spacing w:val="-6"/>
        </w:rPr>
        <w:t xml:space="preserve"> </w:t>
      </w:r>
      <w:r>
        <w:t>in</w:t>
      </w:r>
      <w:r>
        <w:rPr>
          <w:spacing w:val="-7"/>
        </w:rPr>
        <w:t xml:space="preserve"> </w:t>
      </w:r>
      <w:r>
        <w:t>addressing</w:t>
      </w:r>
      <w:r>
        <w:rPr>
          <w:spacing w:val="-7"/>
        </w:rPr>
        <w:t xml:space="preserve"> </w:t>
      </w:r>
      <w:r>
        <w:t>many</w:t>
      </w:r>
      <w:r>
        <w:rPr>
          <w:spacing w:val="-8"/>
        </w:rPr>
        <w:t xml:space="preserve"> </w:t>
      </w:r>
      <w:r>
        <w:t>of</w:t>
      </w:r>
      <w:r>
        <w:rPr>
          <w:spacing w:val="-7"/>
        </w:rPr>
        <w:t xml:space="preserve"> </w:t>
      </w:r>
      <w:r>
        <w:t>the</w:t>
      </w:r>
      <w:r>
        <w:rPr>
          <w:spacing w:val="-6"/>
        </w:rPr>
        <w:t xml:space="preserve"> </w:t>
      </w:r>
      <w:r>
        <w:t>recommendations</w:t>
      </w:r>
      <w:r>
        <w:rPr>
          <w:spacing w:val="-7"/>
        </w:rPr>
        <w:t xml:space="preserve"> </w:t>
      </w:r>
      <w:r>
        <w:t>issued</w:t>
      </w:r>
      <w:r>
        <w:rPr>
          <w:spacing w:val="-7"/>
        </w:rPr>
        <w:t xml:space="preserve"> </w:t>
      </w:r>
      <w:r>
        <w:t>by</w:t>
      </w:r>
      <w:r>
        <w:rPr>
          <w:spacing w:val="-6"/>
        </w:rPr>
        <w:t xml:space="preserve"> </w:t>
      </w:r>
      <w:r>
        <w:t>the</w:t>
      </w:r>
      <w:r>
        <w:rPr>
          <w:spacing w:val="-8"/>
        </w:rPr>
        <w:t xml:space="preserve"> </w:t>
      </w:r>
      <w:r>
        <w:t>Commission</w:t>
      </w:r>
      <w:r>
        <w:rPr>
          <w:spacing w:val="-7"/>
        </w:rPr>
        <w:t xml:space="preserve"> </w:t>
      </w:r>
      <w:r>
        <w:t>in</w:t>
      </w:r>
      <w:r>
        <w:rPr>
          <w:spacing w:val="-7"/>
        </w:rPr>
        <w:t xml:space="preserve"> </w:t>
      </w:r>
      <w:r>
        <w:t>the</w:t>
      </w:r>
      <w:r>
        <w:rPr>
          <w:spacing w:val="-6"/>
        </w:rPr>
        <w:t xml:space="preserve"> </w:t>
      </w:r>
      <w:r>
        <w:t xml:space="preserve">last couple of years. In September of 2021, DCF released a new </w:t>
      </w:r>
      <w:hyperlink r:id="rId798">
        <w:r>
          <w:rPr>
            <w:color w:val="1154CC"/>
            <w:u w:val="single" w:color="1154CC"/>
          </w:rPr>
          <w:t>gender-affirming care policy</w:t>
        </w:r>
      </w:hyperlink>
      <w:r>
        <w:rPr>
          <w:color w:val="1154CC"/>
        </w:rPr>
        <w:t xml:space="preserve"> </w:t>
      </w:r>
      <w:r>
        <w:t>outlining the process</w:t>
      </w:r>
      <w:r>
        <w:rPr>
          <w:spacing w:val="-3"/>
        </w:rPr>
        <w:t xml:space="preserve"> </w:t>
      </w:r>
      <w:r>
        <w:t>for</w:t>
      </w:r>
      <w:r>
        <w:rPr>
          <w:spacing w:val="-3"/>
        </w:rPr>
        <w:t xml:space="preserve"> </w:t>
      </w:r>
      <w:r>
        <w:t>ensuring</w:t>
      </w:r>
      <w:r>
        <w:rPr>
          <w:spacing w:val="-2"/>
        </w:rPr>
        <w:t xml:space="preserve"> </w:t>
      </w:r>
      <w:r>
        <w:t>t</w:t>
      </w:r>
      <w:r>
        <w:t>hat</w:t>
      </w:r>
      <w:r>
        <w:rPr>
          <w:spacing w:val="-1"/>
        </w:rPr>
        <w:t xml:space="preserve"> </w:t>
      </w:r>
      <w:r>
        <w:t>LGBTQ</w:t>
      </w:r>
      <w:r>
        <w:rPr>
          <w:spacing w:val="-3"/>
        </w:rPr>
        <w:t xml:space="preserve"> </w:t>
      </w:r>
      <w:r>
        <w:t>youth</w:t>
      </w:r>
      <w:r>
        <w:rPr>
          <w:spacing w:val="-2"/>
        </w:rPr>
        <w:t xml:space="preserve"> </w:t>
      </w:r>
      <w:r>
        <w:t>are</w:t>
      </w:r>
      <w:r>
        <w:rPr>
          <w:spacing w:val="-1"/>
        </w:rPr>
        <w:t xml:space="preserve"> </w:t>
      </w:r>
      <w:r>
        <w:t>able</w:t>
      </w:r>
      <w:r>
        <w:rPr>
          <w:spacing w:val="-3"/>
        </w:rPr>
        <w:t xml:space="preserve"> </w:t>
      </w:r>
      <w:r>
        <w:t>to</w:t>
      </w:r>
      <w:r>
        <w:rPr>
          <w:spacing w:val="-1"/>
        </w:rPr>
        <w:t xml:space="preserve"> </w:t>
      </w:r>
      <w:r>
        <w:t>access</w:t>
      </w:r>
      <w:r>
        <w:rPr>
          <w:spacing w:val="-2"/>
        </w:rPr>
        <w:t xml:space="preserve"> </w:t>
      </w:r>
      <w:r>
        <w:t>affirming</w:t>
      </w:r>
      <w:r>
        <w:rPr>
          <w:spacing w:val="-2"/>
        </w:rPr>
        <w:t xml:space="preserve"> </w:t>
      </w:r>
      <w:r>
        <w:t>healthcare</w:t>
      </w:r>
      <w:r>
        <w:rPr>
          <w:spacing w:val="-1"/>
        </w:rPr>
        <w:t xml:space="preserve"> </w:t>
      </w:r>
      <w:r>
        <w:t>-</w:t>
      </w:r>
      <w:r>
        <w:rPr>
          <w:spacing w:val="-2"/>
        </w:rPr>
        <w:t xml:space="preserve"> </w:t>
      </w:r>
      <w:r>
        <w:t>a</w:t>
      </w:r>
      <w:r>
        <w:rPr>
          <w:spacing w:val="-3"/>
        </w:rPr>
        <w:t xml:space="preserve"> </w:t>
      </w:r>
      <w:r>
        <w:t>particularly</w:t>
      </w:r>
      <w:r>
        <w:rPr>
          <w:spacing w:val="-3"/>
        </w:rPr>
        <w:t xml:space="preserve"> </w:t>
      </w:r>
      <w:r>
        <w:t>meaningful change for transgender youth and their families.</w:t>
      </w:r>
      <w:r>
        <w:rPr>
          <w:spacing w:val="-1"/>
        </w:rPr>
        <w:t xml:space="preserve"> </w:t>
      </w:r>
      <w:r>
        <w:t>The Commission understands</w:t>
      </w:r>
      <w:r>
        <w:rPr>
          <w:spacing w:val="-1"/>
        </w:rPr>
        <w:t xml:space="preserve"> </w:t>
      </w:r>
      <w:r>
        <w:t>that DCF is in the process of completing an annual review of this policy, and looks forward to continuing to discuss how to disseminate</w:t>
      </w:r>
      <w:r>
        <w:rPr>
          <w:spacing w:val="-11"/>
        </w:rPr>
        <w:t xml:space="preserve"> </w:t>
      </w:r>
      <w:r>
        <w:t>much</w:t>
      </w:r>
      <w:r>
        <w:rPr>
          <w:spacing w:val="-10"/>
        </w:rPr>
        <w:t xml:space="preserve"> </w:t>
      </w:r>
      <w:r>
        <w:t>needed</w:t>
      </w:r>
      <w:r>
        <w:rPr>
          <w:spacing w:val="-12"/>
        </w:rPr>
        <w:t xml:space="preserve"> </w:t>
      </w:r>
      <w:r>
        <w:t>resources</w:t>
      </w:r>
      <w:r>
        <w:rPr>
          <w:spacing w:val="-9"/>
        </w:rPr>
        <w:t xml:space="preserve"> </w:t>
      </w:r>
      <w:r>
        <w:t>and</w:t>
      </w:r>
      <w:r>
        <w:rPr>
          <w:spacing w:val="-12"/>
        </w:rPr>
        <w:t xml:space="preserve"> </w:t>
      </w:r>
      <w:r>
        <w:t>information</w:t>
      </w:r>
      <w:r>
        <w:rPr>
          <w:spacing w:val="-10"/>
        </w:rPr>
        <w:t xml:space="preserve"> </w:t>
      </w:r>
      <w:r>
        <w:t>to</w:t>
      </w:r>
      <w:r>
        <w:rPr>
          <w:spacing w:val="-10"/>
        </w:rPr>
        <w:t xml:space="preserve"> </w:t>
      </w:r>
      <w:r>
        <w:t>youth,</w:t>
      </w:r>
      <w:r>
        <w:rPr>
          <w:spacing w:val="-11"/>
        </w:rPr>
        <w:t xml:space="preserve"> </w:t>
      </w:r>
      <w:r>
        <w:t>families,</w:t>
      </w:r>
      <w:r>
        <w:rPr>
          <w:spacing w:val="-11"/>
        </w:rPr>
        <w:t xml:space="preserve"> </w:t>
      </w:r>
      <w:r>
        <w:t>and</w:t>
      </w:r>
      <w:r>
        <w:rPr>
          <w:spacing w:val="-10"/>
        </w:rPr>
        <w:t xml:space="preserve"> </w:t>
      </w:r>
      <w:r>
        <w:t>staff</w:t>
      </w:r>
      <w:r>
        <w:rPr>
          <w:spacing w:val="-12"/>
        </w:rPr>
        <w:t xml:space="preserve"> </w:t>
      </w:r>
      <w:r>
        <w:t>on</w:t>
      </w:r>
      <w:r>
        <w:rPr>
          <w:spacing w:val="-10"/>
        </w:rPr>
        <w:t xml:space="preserve"> </w:t>
      </w:r>
      <w:r>
        <w:t>affirming</w:t>
      </w:r>
      <w:r>
        <w:rPr>
          <w:spacing w:val="-10"/>
        </w:rPr>
        <w:t xml:space="preserve"> </w:t>
      </w:r>
      <w:r>
        <w:t>health</w:t>
      </w:r>
      <w:r>
        <w:rPr>
          <w:spacing w:val="-10"/>
        </w:rPr>
        <w:t xml:space="preserve"> </w:t>
      </w:r>
      <w:r>
        <w:t>care resources. Additional polic</w:t>
      </w:r>
      <w:r>
        <w:t xml:space="preserve">ies were disseminated between June of 2022 and February 2023, fulfilling previous recommendations from the Commission, including DCF’s updated </w:t>
      </w:r>
      <w:hyperlink r:id="rId799">
        <w:r>
          <w:rPr>
            <w:color w:val="1154CC"/>
            <w:u w:val="single" w:color="1154CC"/>
          </w:rPr>
          <w:t>nondiscrimination policy</w:t>
        </w:r>
      </w:hyperlink>
      <w:r>
        <w:t>, a</w:t>
      </w:r>
      <w:r>
        <w:t xml:space="preserve">n updated </w:t>
      </w:r>
      <w:hyperlink r:id="rId800">
        <w:r>
          <w:rPr>
            <w:color w:val="1154CC"/>
            <w:u w:val="single" w:color="1154CC"/>
          </w:rPr>
          <w:t>Safe and Supportive Placements policy</w:t>
        </w:r>
        <w:r>
          <w:t>,</w:t>
        </w:r>
      </w:hyperlink>
      <w:r>
        <w:t xml:space="preserve"> and an updated </w:t>
      </w:r>
      <w:hyperlink r:id="rId801">
        <w:r>
          <w:rPr>
            <w:color w:val="1154CC"/>
            <w:u w:val="single" w:color="1154CC"/>
          </w:rPr>
          <w:t>Licensing of Foster, Pre-Adoptive, and</w:t>
        </w:r>
      </w:hyperlink>
      <w:r>
        <w:rPr>
          <w:color w:val="1154CC"/>
        </w:rPr>
        <w:t xml:space="preserve"> </w:t>
      </w:r>
      <w:hyperlink r:id="rId802">
        <w:r>
          <w:rPr>
            <w:color w:val="1154CC"/>
            <w:u w:val="single" w:color="1154CC"/>
          </w:rPr>
          <w:t>Kinship</w:t>
        </w:r>
        <w:r>
          <w:rPr>
            <w:color w:val="1154CC"/>
            <w:spacing w:val="-5"/>
            <w:u w:val="single" w:color="1154CC"/>
          </w:rPr>
          <w:t xml:space="preserve"> </w:t>
        </w:r>
        <w:r>
          <w:rPr>
            <w:color w:val="1154CC"/>
            <w:u w:val="single" w:color="1154CC"/>
          </w:rPr>
          <w:t>Families</w:t>
        </w:r>
        <w:r>
          <w:rPr>
            <w:color w:val="1154CC"/>
            <w:spacing w:val="-4"/>
            <w:u w:val="single" w:color="1154CC"/>
          </w:rPr>
          <w:t xml:space="preserve"> </w:t>
        </w:r>
        <w:r>
          <w:rPr>
            <w:color w:val="1154CC"/>
            <w:u w:val="single" w:color="1154CC"/>
          </w:rPr>
          <w:t>policy</w:t>
        </w:r>
        <w:r>
          <w:t>.</w:t>
        </w:r>
      </w:hyperlink>
      <w:r>
        <w:rPr>
          <w:spacing w:val="-5"/>
        </w:rPr>
        <w:t xml:space="preserve"> </w:t>
      </w:r>
      <w:r>
        <w:t>As</w:t>
      </w:r>
      <w:r>
        <w:rPr>
          <w:spacing w:val="-9"/>
        </w:rPr>
        <w:t xml:space="preserve"> </w:t>
      </w:r>
      <w:r>
        <w:t>discussed</w:t>
      </w:r>
      <w:r>
        <w:rPr>
          <w:spacing w:val="-5"/>
        </w:rPr>
        <w:t xml:space="preserve"> </w:t>
      </w:r>
      <w:r>
        <w:t>below,</w:t>
      </w:r>
      <w:r>
        <w:rPr>
          <w:spacing w:val="-7"/>
        </w:rPr>
        <w:t xml:space="preserve"> </w:t>
      </w:r>
      <w:r>
        <w:t>DCF</w:t>
      </w:r>
      <w:r>
        <w:rPr>
          <w:spacing w:val="-7"/>
        </w:rPr>
        <w:t xml:space="preserve"> </w:t>
      </w:r>
      <w:r>
        <w:t>has</w:t>
      </w:r>
      <w:r>
        <w:rPr>
          <w:spacing w:val="-4"/>
        </w:rPr>
        <w:t xml:space="preserve"> </w:t>
      </w:r>
      <w:r>
        <w:t>advised</w:t>
      </w:r>
      <w:r>
        <w:rPr>
          <w:spacing w:val="-7"/>
        </w:rPr>
        <w:t xml:space="preserve"> </w:t>
      </w:r>
      <w:r>
        <w:t>that</w:t>
      </w:r>
      <w:r>
        <w:rPr>
          <w:spacing w:val="-6"/>
        </w:rPr>
        <w:t xml:space="preserve"> </w:t>
      </w:r>
      <w:r>
        <w:t>the</w:t>
      </w:r>
      <w:r>
        <w:rPr>
          <w:spacing w:val="-6"/>
        </w:rPr>
        <w:t xml:space="preserve"> </w:t>
      </w:r>
      <w:r>
        <w:t>latter</w:t>
      </w:r>
      <w:r>
        <w:rPr>
          <w:spacing w:val="-7"/>
        </w:rPr>
        <w:t xml:space="preserve"> </w:t>
      </w:r>
      <w:r>
        <w:t>two</w:t>
      </w:r>
      <w:r>
        <w:rPr>
          <w:spacing w:val="-6"/>
        </w:rPr>
        <w:t xml:space="preserve"> </w:t>
      </w:r>
      <w:r>
        <w:t>policies</w:t>
      </w:r>
      <w:r>
        <w:rPr>
          <w:spacing w:val="-7"/>
        </w:rPr>
        <w:t xml:space="preserve"> </w:t>
      </w:r>
      <w:r>
        <w:t>provide</w:t>
      </w:r>
      <w:r>
        <w:rPr>
          <w:spacing w:val="-6"/>
        </w:rPr>
        <w:t xml:space="preserve"> </w:t>
      </w:r>
      <w:r>
        <w:t>a</w:t>
      </w:r>
      <w:r>
        <w:rPr>
          <w:spacing w:val="-7"/>
        </w:rPr>
        <w:t xml:space="preserve"> </w:t>
      </w:r>
      <w:r>
        <w:t>basis</w:t>
      </w:r>
      <w:r>
        <w:rPr>
          <w:spacing w:val="-7"/>
        </w:rPr>
        <w:t xml:space="preserve"> </w:t>
      </w:r>
      <w:r>
        <w:t>to continue</w:t>
      </w:r>
      <w:r>
        <w:rPr>
          <w:spacing w:val="-13"/>
        </w:rPr>
        <w:t xml:space="preserve"> </w:t>
      </w:r>
      <w:r>
        <w:t>to</w:t>
      </w:r>
      <w:r>
        <w:rPr>
          <w:spacing w:val="-12"/>
        </w:rPr>
        <w:t xml:space="preserve"> </w:t>
      </w:r>
      <w:r>
        <w:t>address</w:t>
      </w:r>
      <w:r>
        <w:rPr>
          <w:spacing w:val="-13"/>
        </w:rPr>
        <w:t xml:space="preserve"> </w:t>
      </w:r>
      <w:r>
        <w:t>the</w:t>
      </w:r>
      <w:r>
        <w:rPr>
          <w:spacing w:val="-12"/>
        </w:rPr>
        <w:t xml:space="preserve"> </w:t>
      </w:r>
      <w:r>
        <w:t>Commission’s</w:t>
      </w:r>
      <w:r>
        <w:rPr>
          <w:spacing w:val="-13"/>
        </w:rPr>
        <w:t xml:space="preserve"> </w:t>
      </w:r>
      <w:r>
        <w:t>recommendation</w:t>
      </w:r>
      <w:r>
        <w:rPr>
          <w:spacing w:val="-12"/>
        </w:rPr>
        <w:t xml:space="preserve"> </w:t>
      </w:r>
      <w:r>
        <w:t>around</w:t>
      </w:r>
      <w:r>
        <w:rPr>
          <w:spacing w:val="-13"/>
        </w:rPr>
        <w:t xml:space="preserve"> </w:t>
      </w:r>
      <w:r>
        <w:t>formally</w:t>
      </w:r>
      <w:r>
        <w:rPr>
          <w:spacing w:val="-12"/>
        </w:rPr>
        <w:t xml:space="preserve"> </w:t>
      </w:r>
      <w:r>
        <w:t>identifying</w:t>
      </w:r>
      <w:r>
        <w:rPr>
          <w:spacing w:val="-12"/>
        </w:rPr>
        <w:t xml:space="preserve"> </w:t>
      </w:r>
      <w:r>
        <w:t>and</w:t>
      </w:r>
      <w:r>
        <w:rPr>
          <w:spacing w:val="-13"/>
        </w:rPr>
        <w:t xml:space="preserve"> </w:t>
      </w:r>
      <w:r>
        <w:t>certifying</w:t>
      </w:r>
      <w:r>
        <w:rPr>
          <w:spacing w:val="-12"/>
        </w:rPr>
        <w:t xml:space="preserve"> </w:t>
      </w:r>
      <w:r>
        <w:t>LGBTQ- affirming placements across the state.</w:t>
      </w:r>
    </w:p>
    <w:p w:rsidR="00200FDA" w:rsidRDefault="00200FDA">
      <w:pPr>
        <w:pStyle w:val="BodyText"/>
        <w:spacing w:before="7"/>
        <w:rPr>
          <w:sz w:val="19"/>
        </w:rPr>
      </w:pPr>
    </w:p>
    <w:p w:rsidR="00200FDA" w:rsidRDefault="00F76C4C">
      <w:pPr>
        <w:pStyle w:val="BodyText"/>
        <w:spacing w:before="1" w:line="276" w:lineRule="auto"/>
        <w:ind w:left="279" w:right="273"/>
        <w:jc w:val="both"/>
      </w:pPr>
      <w:r>
        <w:t>DCF</w:t>
      </w:r>
      <w:r>
        <w:rPr>
          <w:spacing w:val="-13"/>
        </w:rPr>
        <w:t xml:space="preserve"> </w:t>
      </w:r>
      <w:r>
        <w:t>has</w:t>
      </w:r>
      <w:r>
        <w:rPr>
          <w:spacing w:val="-12"/>
        </w:rPr>
        <w:t xml:space="preserve"> </w:t>
      </w:r>
      <w:r>
        <w:t>also</w:t>
      </w:r>
      <w:r>
        <w:rPr>
          <w:spacing w:val="-13"/>
        </w:rPr>
        <w:t xml:space="preserve"> </w:t>
      </w:r>
      <w:r>
        <w:t>expanded</w:t>
      </w:r>
      <w:r>
        <w:rPr>
          <w:spacing w:val="-12"/>
        </w:rPr>
        <w:t xml:space="preserve"> </w:t>
      </w:r>
      <w:r>
        <w:t>training</w:t>
      </w:r>
      <w:r>
        <w:rPr>
          <w:spacing w:val="-13"/>
        </w:rPr>
        <w:t xml:space="preserve"> </w:t>
      </w:r>
      <w:r>
        <w:t>opportunities</w:t>
      </w:r>
      <w:r>
        <w:rPr>
          <w:spacing w:val="-12"/>
        </w:rPr>
        <w:t xml:space="preserve"> </w:t>
      </w:r>
      <w:r>
        <w:t>for</w:t>
      </w:r>
      <w:r>
        <w:rPr>
          <w:spacing w:val="-13"/>
        </w:rPr>
        <w:t xml:space="preserve"> </w:t>
      </w:r>
      <w:r>
        <w:t>staff</w:t>
      </w:r>
      <w:r>
        <w:rPr>
          <w:spacing w:val="-12"/>
        </w:rPr>
        <w:t xml:space="preserve"> </w:t>
      </w:r>
      <w:r>
        <w:t>on</w:t>
      </w:r>
      <w:r>
        <w:rPr>
          <w:spacing w:val="-12"/>
        </w:rPr>
        <w:t xml:space="preserve"> </w:t>
      </w:r>
      <w:r>
        <w:t>LGBTQ</w:t>
      </w:r>
      <w:r>
        <w:rPr>
          <w:spacing w:val="-13"/>
        </w:rPr>
        <w:t xml:space="preserve"> </w:t>
      </w:r>
      <w:r>
        <w:t>cultural</w:t>
      </w:r>
      <w:r>
        <w:rPr>
          <w:spacing w:val="-12"/>
        </w:rPr>
        <w:t xml:space="preserve"> </w:t>
      </w:r>
      <w:r>
        <w:t>awareness,</w:t>
      </w:r>
      <w:r>
        <w:rPr>
          <w:spacing w:val="-13"/>
        </w:rPr>
        <w:t xml:space="preserve"> </w:t>
      </w:r>
      <w:r>
        <w:t>though</w:t>
      </w:r>
      <w:r>
        <w:rPr>
          <w:spacing w:val="-12"/>
        </w:rPr>
        <w:t xml:space="preserve"> </w:t>
      </w:r>
      <w:r>
        <w:t>there</w:t>
      </w:r>
      <w:r>
        <w:rPr>
          <w:spacing w:val="-13"/>
        </w:rPr>
        <w:t xml:space="preserve"> </w:t>
      </w:r>
      <w:r>
        <w:t>remains an urg</w:t>
      </w:r>
      <w:r>
        <w:t>ent need for more in-depth training opportunities that reaches all staff, contractors, and foster parents. DCF has advised the Commission that all DCF social workers are required to take 30 hours of training</w:t>
      </w:r>
      <w:r>
        <w:rPr>
          <w:spacing w:val="-13"/>
        </w:rPr>
        <w:t xml:space="preserve"> </w:t>
      </w:r>
      <w:r>
        <w:t>on</w:t>
      </w:r>
      <w:r>
        <w:rPr>
          <w:spacing w:val="-12"/>
        </w:rPr>
        <w:t xml:space="preserve"> </w:t>
      </w:r>
      <w:r>
        <w:t>any</w:t>
      </w:r>
      <w:r>
        <w:rPr>
          <w:spacing w:val="-11"/>
        </w:rPr>
        <w:t xml:space="preserve"> </w:t>
      </w:r>
      <w:r>
        <w:t>topic</w:t>
      </w:r>
      <w:r>
        <w:rPr>
          <w:spacing w:val="-11"/>
        </w:rPr>
        <w:t xml:space="preserve"> </w:t>
      </w:r>
      <w:r>
        <w:t>each</w:t>
      </w:r>
      <w:r>
        <w:rPr>
          <w:spacing w:val="-12"/>
        </w:rPr>
        <w:t xml:space="preserve"> </w:t>
      </w:r>
      <w:r>
        <w:t>year,</w:t>
      </w:r>
      <w:r>
        <w:rPr>
          <w:spacing w:val="-11"/>
        </w:rPr>
        <w:t xml:space="preserve"> </w:t>
      </w:r>
      <w:r>
        <w:t>and</w:t>
      </w:r>
      <w:r>
        <w:rPr>
          <w:spacing w:val="-12"/>
        </w:rPr>
        <w:t xml:space="preserve"> </w:t>
      </w:r>
      <w:r>
        <w:t>trainings</w:t>
      </w:r>
      <w:r>
        <w:rPr>
          <w:spacing w:val="-11"/>
        </w:rPr>
        <w:t xml:space="preserve"> </w:t>
      </w:r>
      <w:r>
        <w:t>on</w:t>
      </w:r>
      <w:r>
        <w:rPr>
          <w:spacing w:val="-13"/>
        </w:rPr>
        <w:t xml:space="preserve"> </w:t>
      </w:r>
      <w:r>
        <w:t>LGBTQ</w:t>
      </w:r>
      <w:r>
        <w:rPr>
          <w:spacing w:val="-10"/>
        </w:rPr>
        <w:t xml:space="preserve"> </w:t>
      </w:r>
      <w:r>
        <w:t>cultural</w:t>
      </w:r>
      <w:r>
        <w:rPr>
          <w:spacing w:val="-11"/>
        </w:rPr>
        <w:t xml:space="preserve"> </w:t>
      </w:r>
      <w:r>
        <w:t>awareness</w:t>
      </w:r>
      <w:r>
        <w:rPr>
          <w:spacing w:val="-13"/>
        </w:rPr>
        <w:t xml:space="preserve"> </w:t>
      </w:r>
      <w:r>
        <w:t>would</w:t>
      </w:r>
      <w:r>
        <w:rPr>
          <w:spacing w:val="-11"/>
        </w:rPr>
        <w:t xml:space="preserve"> </w:t>
      </w:r>
      <w:r>
        <w:t>count</w:t>
      </w:r>
      <w:r>
        <w:rPr>
          <w:spacing w:val="-11"/>
        </w:rPr>
        <w:t xml:space="preserve"> </w:t>
      </w:r>
      <w:r>
        <w:t>-</w:t>
      </w:r>
      <w:r>
        <w:rPr>
          <w:spacing w:val="-12"/>
        </w:rPr>
        <w:t xml:space="preserve"> </w:t>
      </w:r>
      <w:r>
        <w:t>though</w:t>
      </w:r>
      <w:r>
        <w:rPr>
          <w:spacing w:val="-12"/>
        </w:rPr>
        <w:t xml:space="preserve"> </w:t>
      </w:r>
      <w:r>
        <w:t>the</w:t>
      </w:r>
      <w:r>
        <w:rPr>
          <w:spacing w:val="-11"/>
        </w:rPr>
        <w:t xml:space="preserve"> </w:t>
      </w:r>
      <w:r>
        <w:t>topic is not required. Since the spring of 2022, DCF has offered ten training opportunities to DCF staff in partnership with</w:t>
      </w:r>
      <w:r>
        <w:rPr>
          <w:spacing w:val="-3"/>
        </w:rPr>
        <w:t xml:space="preserve"> </w:t>
      </w:r>
      <w:r>
        <w:t>the Commission and EOHHS</w:t>
      </w:r>
      <w:r>
        <w:rPr>
          <w:spacing w:val="-2"/>
        </w:rPr>
        <w:t xml:space="preserve"> </w:t>
      </w:r>
      <w:r>
        <w:t>on LGBTQ+ Inclusive</w:t>
      </w:r>
      <w:r>
        <w:rPr>
          <w:spacing w:val="-1"/>
        </w:rPr>
        <w:t xml:space="preserve"> </w:t>
      </w:r>
      <w:r>
        <w:t>Workplaces</w:t>
      </w:r>
      <w:r>
        <w:rPr>
          <w:spacing w:val="-2"/>
        </w:rPr>
        <w:t xml:space="preserve"> </w:t>
      </w:r>
      <w:r>
        <w:t>(April and May</w:t>
      </w:r>
      <w:r>
        <w:rPr>
          <w:spacing w:val="-1"/>
        </w:rPr>
        <w:t xml:space="preserve"> </w:t>
      </w:r>
      <w:r>
        <w:t>2022) and “Worki</w:t>
      </w:r>
      <w:r>
        <w:t>ng</w:t>
      </w:r>
      <w:r>
        <w:rPr>
          <w:spacing w:val="-5"/>
        </w:rPr>
        <w:t xml:space="preserve"> </w:t>
      </w:r>
      <w:r>
        <w:t>with</w:t>
      </w:r>
      <w:r>
        <w:rPr>
          <w:spacing w:val="-5"/>
        </w:rPr>
        <w:t xml:space="preserve"> </w:t>
      </w:r>
      <w:r>
        <w:t>Families</w:t>
      </w:r>
      <w:r>
        <w:rPr>
          <w:spacing w:val="-4"/>
        </w:rPr>
        <w:t xml:space="preserve"> </w:t>
      </w:r>
      <w:r>
        <w:t>to</w:t>
      </w:r>
      <w:r>
        <w:rPr>
          <w:spacing w:val="-6"/>
        </w:rPr>
        <w:t xml:space="preserve"> </w:t>
      </w:r>
      <w:r>
        <w:t>Support</w:t>
      </w:r>
      <w:r>
        <w:rPr>
          <w:spacing w:val="-1"/>
        </w:rPr>
        <w:t xml:space="preserve"> </w:t>
      </w:r>
      <w:r>
        <w:t>LGBTQIA+</w:t>
      </w:r>
      <w:r>
        <w:rPr>
          <w:spacing w:val="-4"/>
        </w:rPr>
        <w:t xml:space="preserve"> </w:t>
      </w:r>
      <w:r>
        <w:t>Youth”</w:t>
      </w:r>
      <w:r>
        <w:rPr>
          <w:spacing w:val="-3"/>
        </w:rPr>
        <w:t xml:space="preserve"> </w:t>
      </w:r>
      <w:r>
        <w:t>(January</w:t>
      </w:r>
      <w:r>
        <w:rPr>
          <w:spacing w:val="-1"/>
        </w:rPr>
        <w:t xml:space="preserve"> </w:t>
      </w:r>
      <w:r>
        <w:t>and</w:t>
      </w:r>
      <w:r>
        <w:rPr>
          <w:spacing w:val="-5"/>
        </w:rPr>
        <w:t xml:space="preserve"> </w:t>
      </w:r>
      <w:r>
        <w:t>December</w:t>
      </w:r>
      <w:r>
        <w:rPr>
          <w:spacing w:val="-4"/>
        </w:rPr>
        <w:t xml:space="preserve"> </w:t>
      </w:r>
      <w:r>
        <w:t>2022,</w:t>
      </w:r>
      <w:r>
        <w:rPr>
          <w:spacing w:val="-4"/>
        </w:rPr>
        <w:t xml:space="preserve"> </w:t>
      </w:r>
      <w:r>
        <w:t>May</w:t>
      </w:r>
      <w:r>
        <w:rPr>
          <w:spacing w:val="-3"/>
        </w:rPr>
        <w:t xml:space="preserve"> </w:t>
      </w:r>
      <w:r>
        <w:t>2023),</w:t>
      </w:r>
      <w:r>
        <w:rPr>
          <w:spacing w:val="-2"/>
        </w:rPr>
        <w:t xml:space="preserve"> </w:t>
      </w:r>
      <w:r>
        <w:t>as</w:t>
      </w:r>
      <w:r>
        <w:rPr>
          <w:spacing w:val="-4"/>
        </w:rPr>
        <w:t xml:space="preserve"> </w:t>
      </w:r>
      <w:r>
        <w:t>well</w:t>
      </w:r>
      <w:r>
        <w:rPr>
          <w:spacing w:val="-5"/>
        </w:rPr>
        <w:t xml:space="preserve"> </w:t>
      </w:r>
      <w:r>
        <w:t>as two</w:t>
      </w:r>
      <w:r>
        <w:rPr>
          <w:spacing w:val="-8"/>
        </w:rPr>
        <w:t xml:space="preserve"> </w:t>
      </w:r>
      <w:r>
        <w:t>trainings</w:t>
      </w:r>
      <w:r>
        <w:rPr>
          <w:spacing w:val="-9"/>
        </w:rPr>
        <w:t xml:space="preserve"> </w:t>
      </w:r>
      <w:r>
        <w:t>on</w:t>
      </w:r>
      <w:r>
        <w:rPr>
          <w:spacing w:val="-10"/>
        </w:rPr>
        <w:t xml:space="preserve"> </w:t>
      </w:r>
      <w:r>
        <w:t>“(SOGIE)</w:t>
      </w:r>
      <w:r>
        <w:rPr>
          <w:spacing w:val="-9"/>
        </w:rPr>
        <w:t xml:space="preserve"> </w:t>
      </w:r>
      <w:r>
        <w:t>in</w:t>
      </w:r>
      <w:r>
        <w:rPr>
          <w:spacing w:val="-7"/>
        </w:rPr>
        <w:t xml:space="preserve"> </w:t>
      </w:r>
      <w:r>
        <w:t>Youth</w:t>
      </w:r>
      <w:r>
        <w:rPr>
          <w:spacing w:val="-7"/>
        </w:rPr>
        <w:t xml:space="preserve"> </w:t>
      </w:r>
      <w:r>
        <w:t>in</w:t>
      </w:r>
      <w:r>
        <w:rPr>
          <w:spacing w:val="-10"/>
        </w:rPr>
        <w:t xml:space="preserve"> </w:t>
      </w:r>
      <w:r>
        <w:t>Child</w:t>
      </w:r>
      <w:r>
        <w:rPr>
          <w:spacing w:val="-7"/>
        </w:rPr>
        <w:t xml:space="preserve"> </w:t>
      </w:r>
      <w:r>
        <w:t>Welfare”</w:t>
      </w:r>
      <w:r>
        <w:rPr>
          <w:spacing w:val="-5"/>
        </w:rPr>
        <w:t xml:space="preserve"> </w:t>
      </w:r>
      <w:r>
        <w:t>in</w:t>
      </w:r>
      <w:r>
        <w:rPr>
          <w:spacing w:val="-10"/>
        </w:rPr>
        <w:t xml:space="preserve"> </w:t>
      </w:r>
      <w:r>
        <w:t>May</w:t>
      </w:r>
      <w:r>
        <w:rPr>
          <w:spacing w:val="-8"/>
        </w:rPr>
        <w:t xml:space="preserve"> </w:t>
      </w:r>
      <w:r>
        <w:t>of</w:t>
      </w:r>
      <w:r>
        <w:rPr>
          <w:spacing w:val="-9"/>
        </w:rPr>
        <w:t xml:space="preserve"> </w:t>
      </w:r>
      <w:r>
        <w:t>2022</w:t>
      </w:r>
      <w:r>
        <w:rPr>
          <w:spacing w:val="-8"/>
        </w:rPr>
        <w:t xml:space="preserve"> </w:t>
      </w:r>
      <w:r>
        <w:t>and</w:t>
      </w:r>
      <w:r>
        <w:rPr>
          <w:spacing w:val="-7"/>
        </w:rPr>
        <w:t xml:space="preserve"> </w:t>
      </w:r>
      <w:r>
        <w:t>January</w:t>
      </w:r>
      <w:r>
        <w:rPr>
          <w:spacing w:val="-8"/>
        </w:rPr>
        <w:t xml:space="preserve"> </w:t>
      </w:r>
      <w:r>
        <w:t>of</w:t>
      </w:r>
      <w:r>
        <w:rPr>
          <w:spacing w:val="-7"/>
        </w:rPr>
        <w:t xml:space="preserve"> </w:t>
      </w:r>
      <w:r>
        <w:t>2023.</w:t>
      </w:r>
      <w:r>
        <w:rPr>
          <w:spacing w:val="-10"/>
        </w:rPr>
        <w:t xml:space="preserve"> </w:t>
      </w:r>
      <w:r>
        <w:t>The</w:t>
      </w:r>
      <w:r>
        <w:rPr>
          <w:spacing w:val="-8"/>
        </w:rPr>
        <w:t xml:space="preserve"> </w:t>
      </w:r>
      <w:r>
        <w:t>Commission notes</w:t>
      </w:r>
      <w:r>
        <w:rPr>
          <w:spacing w:val="-2"/>
        </w:rPr>
        <w:t xml:space="preserve"> </w:t>
      </w:r>
      <w:r>
        <w:t>below</w:t>
      </w:r>
      <w:r>
        <w:rPr>
          <w:spacing w:val="-4"/>
        </w:rPr>
        <w:t xml:space="preserve"> </w:t>
      </w:r>
      <w:r>
        <w:t>that</w:t>
      </w:r>
      <w:r>
        <w:rPr>
          <w:spacing w:val="-1"/>
        </w:rPr>
        <w:t xml:space="preserve"> </w:t>
      </w:r>
      <w:r>
        <w:t>DCF</w:t>
      </w:r>
      <w:r>
        <w:rPr>
          <w:spacing w:val="-3"/>
        </w:rPr>
        <w:t xml:space="preserve"> </w:t>
      </w:r>
      <w:r>
        <w:t>has</w:t>
      </w:r>
      <w:r>
        <w:rPr>
          <w:spacing w:val="-2"/>
        </w:rPr>
        <w:t xml:space="preserve"> </w:t>
      </w:r>
      <w:r>
        <w:t>continued</w:t>
      </w:r>
      <w:r>
        <w:rPr>
          <w:spacing w:val="-2"/>
        </w:rPr>
        <w:t xml:space="preserve"> </w:t>
      </w:r>
      <w:r>
        <w:t>to</w:t>
      </w:r>
      <w:r>
        <w:rPr>
          <w:spacing w:val="-1"/>
        </w:rPr>
        <w:t xml:space="preserve"> </w:t>
      </w:r>
      <w:r>
        <w:t>participate</w:t>
      </w:r>
      <w:r>
        <w:rPr>
          <w:spacing w:val="-1"/>
        </w:rPr>
        <w:t xml:space="preserve"> </w:t>
      </w:r>
      <w:r>
        <w:t>in</w:t>
      </w:r>
      <w:r>
        <w:rPr>
          <w:spacing w:val="-3"/>
        </w:rPr>
        <w:t xml:space="preserve"> </w:t>
      </w:r>
      <w:r>
        <w:t>internal</w:t>
      </w:r>
      <w:r>
        <w:rPr>
          <w:spacing w:val="-2"/>
        </w:rPr>
        <w:t xml:space="preserve"> </w:t>
      </w:r>
      <w:r>
        <w:t>EOHHS</w:t>
      </w:r>
      <w:r>
        <w:rPr>
          <w:spacing w:val="-3"/>
        </w:rPr>
        <w:t xml:space="preserve"> </w:t>
      </w:r>
      <w:r>
        <w:t>agency</w:t>
      </w:r>
      <w:r>
        <w:rPr>
          <w:spacing w:val="-1"/>
        </w:rPr>
        <w:t xml:space="preserve"> </w:t>
      </w:r>
      <w:r>
        <w:t>train-the-trainer</w:t>
      </w:r>
      <w:r>
        <w:rPr>
          <w:spacing w:val="-2"/>
        </w:rPr>
        <w:t xml:space="preserve"> </w:t>
      </w:r>
      <w:r>
        <w:t>sessions</w:t>
      </w:r>
      <w:r>
        <w:rPr>
          <w:spacing w:val="-2"/>
        </w:rPr>
        <w:t xml:space="preserve"> </w:t>
      </w:r>
      <w:r>
        <w:t>to build internal capacity to deliver LGBTQ cultural awareness trainings throughout DCF.</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79" w:right="273"/>
        <w:jc w:val="both"/>
      </w:pPr>
      <w:r>
        <w:t>The Commission appreciates the attention that DCF has been paying to educating DCF staff on the importa</w:t>
      </w:r>
      <w:r>
        <w:t>nce</w:t>
      </w:r>
      <w:r>
        <w:rPr>
          <w:spacing w:val="-8"/>
        </w:rPr>
        <w:t xml:space="preserve"> </w:t>
      </w:r>
      <w:r>
        <w:t>of</w:t>
      </w:r>
      <w:r>
        <w:rPr>
          <w:spacing w:val="-7"/>
        </w:rPr>
        <w:t xml:space="preserve"> </w:t>
      </w:r>
      <w:r>
        <w:t>SOGI</w:t>
      </w:r>
      <w:r>
        <w:rPr>
          <w:spacing w:val="-7"/>
        </w:rPr>
        <w:t xml:space="preserve"> </w:t>
      </w:r>
      <w:r>
        <w:t>data</w:t>
      </w:r>
      <w:r>
        <w:rPr>
          <w:spacing w:val="-7"/>
        </w:rPr>
        <w:t xml:space="preserve"> </w:t>
      </w:r>
      <w:r>
        <w:t>collection.</w:t>
      </w:r>
      <w:r>
        <w:rPr>
          <w:spacing w:val="-7"/>
        </w:rPr>
        <w:t xml:space="preserve"> </w:t>
      </w:r>
      <w:r>
        <w:t>For</w:t>
      </w:r>
      <w:r>
        <w:rPr>
          <w:spacing w:val="-7"/>
        </w:rPr>
        <w:t xml:space="preserve"> </w:t>
      </w:r>
      <w:r>
        <w:t>decades,</w:t>
      </w:r>
      <w:r>
        <w:rPr>
          <w:spacing w:val="-7"/>
        </w:rPr>
        <w:t xml:space="preserve"> </w:t>
      </w:r>
      <w:r>
        <w:t>a</w:t>
      </w:r>
      <w:r>
        <w:rPr>
          <w:spacing w:val="-7"/>
        </w:rPr>
        <w:t xml:space="preserve"> </w:t>
      </w:r>
      <w:r>
        <w:t>barrier</w:t>
      </w:r>
      <w:r>
        <w:rPr>
          <w:spacing w:val="-7"/>
        </w:rPr>
        <w:t xml:space="preserve"> </w:t>
      </w:r>
      <w:r>
        <w:t>to</w:t>
      </w:r>
      <w:r>
        <w:rPr>
          <w:spacing w:val="-8"/>
        </w:rPr>
        <w:t xml:space="preserve"> </w:t>
      </w:r>
      <w:r>
        <w:t>progress</w:t>
      </w:r>
      <w:r>
        <w:rPr>
          <w:spacing w:val="-7"/>
        </w:rPr>
        <w:t xml:space="preserve"> </w:t>
      </w:r>
      <w:r>
        <w:t>in</w:t>
      </w:r>
      <w:r>
        <w:rPr>
          <w:spacing w:val="-7"/>
        </w:rPr>
        <w:t xml:space="preserve"> </w:t>
      </w:r>
      <w:r>
        <w:t>Massachusetts</w:t>
      </w:r>
      <w:r>
        <w:rPr>
          <w:spacing w:val="-7"/>
        </w:rPr>
        <w:t xml:space="preserve"> </w:t>
      </w:r>
      <w:r>
        <w:t>has</w:t>
      </w:r>
      <w:r>
        <w:rPr>
          <w:spacing w:val="-6"/>
        </w:rPr>
        <w:t xml:space="preserve"> </w:t>
      </w:r>
      <w:r>
        <w:t>been</w:t>
      </w:r>
      <w:r>
        <w:rPr>
          <w:spacing w:val="-7"/>
        </w:rPr>
        <w:t xml:space="preserve"> </w:t>
      </w:r>
      <w:r>
        <w:t>the</w:t>
      </w:r>
      <w:r>
        <w:rPr>
          <w:spacing w:val="-8"/>
        </w:rPr>
        <w:t xml:space="preserve"> </w:t>
      </w:r>
      <w:r>
        <w:t>lack of quantitative information on LGBTQ youth across state agencies - as detailed throughout this annual report. Although DCF initially adopted SOGI data fields</w:t>
      </w:r>
      <w:r>
        <w:t xml:space="preserve"> in 2016, the IT changes were incomplete and remained optional, leading to low completion rates and unreliable data that was later reported in DCF’s FY20 and FY21 annual reports. Done properly, collecting data on sexual orientation and gender identity (SOG</w:t>
      </w:r>
      <w:r>
        <w:t>I)</w:t>
      </w:r>
      <w:r>
        <w:rPr>
          <w:spacing w:val="-11"/>
        </w:rPr>
        <w:t xml:space="preserve"> </w:t>
      </w:r>
      <w:r>
        <w:t>not</w:t>
      </w:r>
      <w:r>
        <w:rPr>
          <w:spacing w:val="-12"/>
        </w:rPr>
        <w:t xml:space="preserve"> </w:t>
      </w:r>
      <w:r>
        <w:t>only</w:t>
      </w:r>
      <w:r>
        <w:rPr>
          <w:spacing w:val="-10"/>
        </w:rPr>
        <w:t xml:space="preserve"> </w:t>
      </w:r>
      <w:r>
        <w:t>provides</w:t>
      </w:r>
      <w:r>
        <w:rPr>
          <w:spacing w:val="-10"/>
        </w:rPr>
        <w:t xml:space="preserve"> </w:t>
      </w:r>
      <w:r>
        <w:t>better</w:t>
      </w:r>
      <w:r>
        <w:rPr>
          <w:spacing w:val="-11"/>
        </w:rPr>
        <w:t xml:space="preserve"> </w:t>
      </w:r>
      <w:r>
        <w:t>information</w:t>
      </w:r>
      <w:r>
        <w:rPr>
          <w:spacing w:val="-11"/>
        </w:rPr>
        <w:t xml:space="preserve"> </w:t>
      </w:r>
      <w:r>
        <w:t>on</w:t>
      </w:r>
      <w:r>
        <w:rPr>
          <w:spacing w:val="-11"/>
        </w:rPr>
        <w:t xml:space="preserve"> </w:t>
      </w:r>
      <w:r>
        <w:t>the</w:t>
      </w:r>
      <w:r>
        <w:rPr>
          <w:spacing w:val="-10"/>
        </w:rPr>
        <w:t xml:space="preserve"> </w:t>
      </w:r>
      <w:r>
        <w:t>experiences</w:t>
      </w:r>
      <w:r>
        <w:rPr>
          <w:spacing w:val="-13"/>
        </w:rPr>
        <w:t xml:space="preserve"> </w:t>
      </w:r>
      <w:r>
        <w:t>of</w:t>
      </w:r>
      <w:r>
        <w:rPr>
          <w:spacing w:val="-11"/>
        </w:rPr>
        <w:t xml:space="preserve"> </w:t>
      </w:r>
      <w:r>
        <w:t>LGBTQ</w:t>
      </w:r>
      <w:r>
        <w:rPr>
          <w:spacing w:val="-10"/>
        </w:rPr>
        <w:t xml:space="preserve"> </w:t>
      </w:r>
      <w:r>
        <w:t>youth</w:t>
      </w:r>
      <w:r>
        <w:rPr>
          <w:spacing w:val="-11"/>
        </w:rPr>
        <w:t xml:space="preserve"> </w:t>
      </w:r>
      <w:r>
        <w:t>in</w:t>
      </w:r>
      <w:r>
        <w:rPr>
          <w:spacing w:val="-11"/>
        </w:rPr>
        <w:t xml:space="preserve"> </w:t>
      </w:r>
      <w:r>
        <w:t>care,</w:t>
      </w:r>
      <w:r>
        <w:rPr>
          <w:spacing w:val="-10"/>
        </w:rPr>
        <w:t xml:space="preserve"> </w:t>
      </w:r>
      <w:r>
        <w:t>but</w:t>
      </w:r>
      <w:r>
        <w:rPr>
          <w:spacing w:val="-10"/>
        </w:rPr>
        <w:t xml:space="preserve"> </w:t>
      </w:r>
      <w:r>
        <w:t>also</w:t>
      </w:r>
      <w:r>
        <w:rPr>
          <w:spacing w:val="-9"/>
        </w:rPr>
        <w:t xml:space="preserve"> </w:t>
      </w:r>
      <w:r>
        <w:t>promotes opportunities</w:t>
      </w:r>
      <w:r>
        <w:rPr>
          <w:spacing w:val="-4"/>
        </w:rPr>
        <w:t xml:space="preserve"> </w:t>
      </w:r>
      <w:r>
        <w:t>for</w:t>
      </w:r>
      <w:r>
        <w:rPr>
          <w:spacing w:val="-7"/>
        </w:rPr>
        <w:t xml:space="preserve"> </w:t>
      </w:r>
      <w:r>
        <w:t>those</w:t>
      </w:r>
      <w:r>
        <w:rPr>
          <w:spacing w:val="-4"/>
        </w:rPr>
        <w:t xml:space="preserve"> </w:t>
      </w:r>
      <w:r>
        <w:t>same</w:t>
      </w:r>
      <w:r>
        <w:rPr>
          <w:spacing w:val="-6"/>
        </w:rPr>
        <w:t xml:space="preserve"> </w:t>
      </w:r>
      <w:r>
        <w:t>youth</w:t>
      </w:r>
      <w:r>
        <w:rPr>
          <w:spacing w:val="-5"/>
        </w:rPr>
        <w:t xml:space="preserve"> </w:t>
      </w:r>
      <w:r>
        <w:t>to</w:t>
      </w:r>
      <w:r>
        <w:rPr>
          <w:spacing w:val="-3"/>
        </w:rPr>
        <w:t xml:space="preserve"> </w:t>
      </w:r>
      <w:r>
        <w:t>discuss</w:t>
      </w:r>
      <w:r>
        <w:rPr>
          <w:spacing w:val="-4"/>
        </w:rPr>
        <w:t xml:space="preserve"> </w:t>
      </w:r>
      <w:r>
        <w:t>their</w:t>
      </w:r>
      <w:r>
        <w:rPr>
          <w:spacing w:val="-4"/>
        </w:rPr>
        <w:t xml:space="preserve"> </w:t>
      </w:r>
      <w:r>
        <w:t>identities</w:t>
      </w:r>
      <w:r>
        <w:rPr>
          <w:spacing w:val="-7"/>
        </w:rPr>
        <w:t xml:space="preserve"> </w:t>
      </w:r>
      <w:r>
        <w:t>without</w:t>
      </w:r>
      <w:r>
        <w:rPr>
          <w:spacing w:val="-4"/>
        </w:rPr>
        <w:t xml:space="preserve"> </w:t>
      </w:r>
      <w:r>
        <w:t>bearing</w:t>
      </w:r>
      <w:r>
        <w:rPr>
          <w:spacing w:val="-5"/>
        </w:rPr>
        <w:t xml:space="preserve"> </w:t>
      </w:r>
      <w:r>
        <w:t>the</w:t>
      </w:r>
      <w:r>
        <w:rPr>
          <w:spacing w:val="-4"/>
        </w:rPr>
        <w:t xml:space="preserve"> </w:t>
      </w:r>
      <w:r>
        <w:t>burden</w:t>
      </w:r>
      <w:r>
        <w:rPr>
          <w:spacing w:val="-7"/>
        </w:rPr>
        <w:t xml:space="preserve"> </w:t>
      </w:r>
      <w:r>
        <w:t>of</w:t>
      </w:r>
      <w:r>
        <w:rPr>
          <w:spacing w:val="-5"/>
        </w:rPr>
        <w:t xml:space="preserve"> </w:t>
      </w:r>
      <w:r>
        <w:t>initiating</w:t>
      </w:r>
      <w:r>
        <w:rPr>
          <w:spacing w:val="-7"/>
        </w:rPr>
        <w:t xml:space="preserve"> </w:t>
      </w:r>
      <w:r>
        <w:t xml:space="preserve">the </w:t>
      </w:r>
      <w:r>
        <w:rPr>
          <w:spacing w:val="-2"/>
        </w:rPr>
        <w:t>conversation.</w:t>
      </w:r>
    </w:p>
    <w:p w:rsidR="00200FDA" w:rsidRDefault="00200FDA">
      <w:pPr>
        <w:pStyle w:val="BodyText"/>
        <w:spacing w:before="7"/>
        <w:rPr>
          <w:sz w:val="19"/>
        </w:rPr>
      </w:pPr>
    </w:p>
    <w:p w:rsidR="00200FDA" w:rsidRDefault="00F76C4C">
      <w:pPr>
        <w:pStyle w:val="BodyText"/>
        <w:spacing w:line="276" w:lineRule="auto"/>
        <w:ind w:left="279" w:right="272"/>
        <w:jc w:val="both"/>
      </w:pPr>
      <w:r>
        <w:t>DCF</w:t>
      </w:r>
      <w:r>
        <w:rPr>
          <w:spacing w:val="-4"/>
        </w:rPr>
        <w:t xml:space="preserve"> </w:t>
      </w:r>
      <w:r>
        <w:t>took</w:t>
      </w:r>
      <w:r>
        <w:rPr>
          <w:spacing w:val="-3"/>
        </w:rPr>
        <w:t xml:space="preserve"> </w:t>
      </w:r>
      <w:r>
        <w:t>a</w:t>
      </w:r>
      <w:r>
        <w:rPr>
          <w:spacing w:val="-4"/>
        </w:rPr>
        <w:t xml:space="preserve"> </w:t>
      </w:r>
      <w:r>
        <w:t>significant</w:t>
      </w:r>
      <w:r>
        <w:rPr>
          <w:spacing w:val="-3"/>
        </w:rPr>
        <w:t xml:space="preserve"> </w:t>
      </w:r>
      <w:r>
        <w:t>step</w:t>
      </w:r>
      <w:r>
        <w:rPr>
          <w:spacing w:val="-4"/>
        </w:rPr>
        <w:t xml:space="preserve"> </w:t>
      </w:r>
      <w:r>
        <w:t>forward</w:t>
      </w:r>
      <w:r>
        <w:rPr>
          <w:spacing w:val="-4"/>
        </w:rPr>
        <w:t xml:space="preserve"> </w:t>
      </w:r>
      <w:r>
        <w:t>in</w:t>
      </w:r>
      <w:r>
        <w:rPr>
          <w:spacing w:val="-4"/>
        </w:rPr>
        <w:t xml:space="preserve"> </w:t>
      </w:r>
      <w:r>
        <w:t>April</w:t>
      </w:r>
      <w:r>
        <w:rPr>
          <w:spacing w:val="-3"/>
        </w:rPr>
        <w:t xml:space="preserve"> </w:t>
      </w:r>
      <w:r>
        <w:t>2022</w:t>
      </w:r>
      <w:r>
        <w:rPr>
          <w:spacing w:val="-2"/>
        </w:rPr>
        <w:t xml:space="preserve"> </w:t>
      </w:r>
      <w:r>
        <w:t>by</w:t>
      </w:r>
      <w:r>
        <w:rPr>
          <w:spacing w:val="-5"/>
        </w:rPr>
        <w:t xml:space="preserve"> </w:t>
      </w:r>
      <w:r>
        <w:t>making</w:t>
      </w:r>
      <w:r>
        <w:rPr>
          <w:spacing w:val="-4"/>
        </w:rPr>
        <w:t xml:space="preserve"> </w:t>
      </w:r>
      <w:r>
        <w:t>SOGI</w:t>
      </w:r>
      <w:r>
        <w:rPr>
          <w:spacing w:val="-4"/>
        </w:rPr>
        <w:t xml:space="preserve"> </w:t>
      </w:r>
      <w:r>
        <w:t>data</w:t>
      </w:r>
      <w:r>
        <w:rPr>
          <w:spacing w:val="-4"/>
        </w:rPr>
        <w:t xml:space="preserve"> </w:t>
      </w:r>
      <w:r>
        <w:t>a</w:t>
      </w:r>
      <w:r>
        <w:rPr>
          <w:spacing w:val="-4"/>
        </w:rPr>
        <w:t xml:space="preserve"> </w:t>
      </w:r>
      <w:r>
        <w:t>mandatory</w:t>
      </w:r>
      <w:r>
        <w:rPr>
          <w:spacing w:val="-2"/>
        </w:rPr>
        <w:t xml:space="preserve"> </w:t>
      </w:r>
      <w:r>
        <w:t>part</w:t>
      </w:r>
      <w:r>
        <w:rPr>
          <w:spacing w:val="-3"/>
        </w:rPr>
        <w:t xml:space="preserve"> </w:t>
      </w:r>
      <w:r>
        <w:t>of</w:t>
      </w:r>
      <w:r>
        <w:rPr>
          <w:spacing w:val="-4"/>
        </w:rPr>
        <w:t xml:space="preserve"> </w:t>
      </w:r>
      <w:r>
        <w:t>its</w:t>
      </w:r>
      <w:r>
        <w:rPr>
          <w:spacing w:val="-3"/>
        </w:rPr>
        <w:t xml:space="preserve"> </w:t>
      </w:r>
      <w:r>
        <w:t>i-FamilyNet system,</w:t>
      </w:r>
      <w:r>
        <w:rPr>
          <w:spacing w:val="-4"/>
        </w:rPr>
        <w:t xml:space="preserve"> </w:t>
      </w:r>
      <w:r>
        <w:t>with</w:t>
      </w:r>
      <w:r>
        <w:rPr>
          <w:spacing w:val="-3"/>
        </w:rPr>
        <w:t xml:space="preserve"> </w:t>
      </w:r>
      <w:r>
        <w:t>further</w:t>
      </w:r>
      <w:r>
        <w:rPr>
          <w:spacing w:val="-4"/>
        </w:rPr>
        <w:t xml:space="preserve"> </w:t>
      </w:r>
      <w:r>
        <w:t>updates</w:t>
      </w:r>
      <w:r>
        <w:rPr>
          <w:spacing w:val="-4"/>
        </w:rPr>
        <w:t xml:space="preserve"> </w:t>
      </w:r>
      <w:r>
        <w:t>occurring</w:t>
      </w:r>
      <w:r>
        <w:rPr>
          <w:spacing w:val="-3"/>
        </w:rPr>
        <w:t xml:space="preserve"> </w:t>
      </w:r>
      <w:r>
        <w:t>in</w:t>
      </w:r>
      <w:r>
        <w:rPr>
          <w:spacing w:val="-3"/>
        </w:rPr>
        <w:t xml:space="preserve"> </w:t>
      </w:r>
      <w:r>
        <w:t>September</w:t>
      </w:r>
      <w:r>
        <w:rPr>
          <w:spacing w:val="-7"/>
        </w:rPr>
        <w:t xml:space="preserve"> </w:t>
      </w:r>
      <w:r>
        <w:t>2022</w:t>
      </w:r>
      <w:r>
        <w:rPr>
          <w:spacing w:val="-3"/>
        </w:rPr>
        <w:t xml:space="preserve"> </w:t>
      </w:r>
      <w:r>
        <w:t>to</w:t>
      </w:r>
      <w:r>
        <w:rPr>
          <w:spacing w:val="-1"/>
        </w:rPr>
        <w:t xml:space="preserve"> </w:t>
      </w:r>
      <w:r>
        <w:t>add</w:t>
      </w:r>
      <w:r>
        <w:rPr>
          <w:spacing w:val="-3"/>
        </w:rPr>
        <w:t xml:space="preserve"> </w:t>
      </w:r>
      <w:r>
        <w:t>fields</w:t>
      </w:r>
      <w:r>
        <w:rPr>
          <w:spacing w:val="-2"/>
        </w:rPr>
        <w:t xml:space="preserve"> </w:t>
      </w:r>
      <w:r>
        <w:t>for</w:t>
      </w:r>
      <w:r>
        <w:rPr>
          <w:spacing w:val="-2"/>
        </w:rPr>
        <w:t xml:space="preserve"> </w:t>
      </w:r>
      <w:r>
        <w:t>pronouns</w:t>
      </w:r>
      <w:r>
        <w:rPr>
          <w:spacing w:val="-2"/>
        </w:rPr>
        <w:t xml:space="preserve"> </w:t>
      </w:r>
      <w:r>
        <w:t>and</w:t>
      </w:r>
      <w:r>
        <w:rPr>
          <w:spacing w:val="-3"/>
        </w:rPr>
        <w:t xml:space="preserve"> </w:t>
      </w:r>
      <w:r>
        <w:t>chosen</w:t>
      </w:r>
      <w:r>
        <w:rPr>
          <w:spacing w:val="-5"/>
        </w:rPr>
        <w:t xml:space="preserve"> </w:t>
      </w:r>
      <w:r>
        <w:t>names. DCF</w:t>
      </w:r>
      <w:r>
        <w:rPr>
          <w:spacing w:val="-13"/>
        </w:rPr>
        <w:t xml:space="preserve"> </w:t>
      </w:r>
      <w:r>
        <w:t>was</w:t>
      </w:r>
      <w:r>
        <w:rPr>
          <w:spacing w:val="-12"/>
        </w:rPr>
        <w:t xml:space="preserve"> </w:t>
      </w:r>
      <w:r>
        <w:t>able</w:t>
      </w:r>
      <w:r>
        <w:rPr>
          <w:spacing w:val="-13"/>
        </w:rPr>
        <w:t xml:space="preserve"> </w:t>
      </w:r>
      <w:r>
        <w:t>to</w:t>
      </w:r>
      <w:r>
        <w:rPr>
          <w:spacing w:val="-12"/>
        </w:rPr>
        <w:t xml:space="preserve"> </w:t>
      </w:r>
      <w:r>
        <w:t>include</w:t>
      </w:r>
      <w:r>
        <w:rPr>
          <w:spacing w:val="-13"/>
        </w:rPr>
        <w:t xml:space="preserve"> </w:t>
      </w:r>
      <w:r>
        <w:t>its</w:t>
      </w:r>
      <w:r>
        <w:rPr>
          <w:spacing w:val="-12"/>
        </w:rPr>
        <w:t xml:space="preserve"> </w:t>
      </w:r>
      <w:r>
        <w:t>initial</w:t>
      </w:r>
      <w:r>
        <w:rPr>
          <w:spacing w:val="-13"/>
        </w:rPr>
        <w:t xml:space="preserve"> </w:t>
      </w:r>
      <w:r>
        <w:t>SOGI</w:t>
      </w:r>
      <w:r>
        <w:rPr>
          <w:spacing w:val="-12"/>
        </w:rPr>
        <w:t xml:space="preserve"> </w:t>
      </w:r>
      <w:r>
        <w:t>data</w:t>
      </w:r>
      <w:r>
        <w:rPr>
          <w:spacing w:val="-12"/>
        </w:rPr>
        <w:t xml:space="preserve"> </w:t>
      </w:r>
      <w:r>
        <w:t>from</w:t>
      </w:r>
      <w:r>
        <w:rPr>
          <w:spacing w:val="-13"/>
        </w:rPr>
        <w:t xml:space="preserve"> </w:t>
      </w:r>
      <w:r>
        <w:t>these</w:t>
      </w:r>
      <w:r>
        <w:rPr>
          <w:spacing w:val="-12"/>
        </w:rPr>
        <w:t xml:space="preserve"> </w:t>
      </w:r>
      <w:r>
        <w:t>update</w:t>
      </w:r>
      <w:r>
        <w:rPr>
          <w:spacing w:val="-11"/>
        </w:rPr>
        <w:t xml:space="preserve"> </w:t>
      </w:r>
      <w:r>
        <w:t>in</w:t>
      </w:r>
      <w:r>
        <w:rPr>
          <w:spacing w:val="-11"/>
        </w:rPr>
        <w:t xml:space="preserve"> </w:t>
      </w:r>
      <w:r>
        <w:t>its</w:t>
      </w:r>
      <w:r>
        <w:rPr>
          <w:spacing w:val="-13"/>
        </w:rPr>
        <w:t xml:space="preserve"> </w:t>
      </w:r>
      <w:r>
        <w:t>most</w:t>
      </w:r>
      <w:r>
        <w:rPr>
          <w:spacing w:val="-12"/>
        </w:rPr>
        <w:t xml:space="preserve"> </w:t>
      </w:r>
      <w:r>
        <w:t>recent</w:t>
      </w:r>
      <w:r>
        <w:rPr>
          <w:spacing w:val="-13"/>
        </w:rPr>
        <w:t xml:space="preserve"> </w:t>
      </w:r>
      <w:hyperlink r:id="rId803">
        <w:r>
          <w:rPr>
            <w:color w:val="1154CC"/>
            <w:u w:val="single" w:color="1154CC"/>
          </w:rPr>
          <w:t>FY23Q2</w:t>
        </w:r>
        <w:r>
          <w:rPr>
            <w:color w:val="1154CC"/>
            <w:spacing w:val="-12"/>
            <w:u w:val="single" w:color="1154CC"/>
          </w:rPr>
          <w:t xml:space="preserve"> </w:t>
        </w:r>
        <w:r>
          <w:rPr>
            <w:color w:val="1154CC"/>
            <w:u w:val="single" w:color="1154CC"/>
          </w:rPr>
          <w:t>Quarterly</w:t>
        </w:r>
        <w:r>
          <w:rPr>
            <w:color w:val="1154CC"/>
            <w:spacing w:val="-13"/>
            <w:u w:val="single" w:color="1154CC"/>
          </w:rPr>
          <w:t xml:space="preserve"> </w:t>
        </w:r>
        <w:r>
          <w:rPr>
            <w:color w:val="1154CC"/>
            <w:u w:val="single" w:color="1154CC"/>
          </w:rPr>
          <w:t>Report</w:t>
        </w:r>
      </w:hyperlink>
      <w:r>
        <w:t>, as noted below. The Commission was pleased to meet DCF’s new LGBTQIA+ Director in early 2023, and learn</w:t>
      </w:r>
      <w:r>
        <w:rPr>
          <w:spacing w:val="-4"/>
        </w:rPr>
        <w:t xml:space="preserve"> </w:t>
      </w:r>
      <w:r>
        <w:t>more about</w:t>
      </w:r>
      <w:r>
        <w:rPr>
          <w:spacing w:val="-3"/>
        </w:rPr>
        <w:t xml:space="preserve"> </w:t>
      </w:r>
      <w:r>
        <w:t>the</w:t>
      </w:r>
      <w:r>
        <w:rPr>
          <w:spacing w:val="-3"/>
        </w:rPr>
        <w:t xml:space="preserve"> </w:t>
      </w:r>
      <w:r>
        <w:t>goals</w:t>
      </w:r>
      <w:r>
        <w:rPr>
          <w:spacing w:val="-3"/>
        </w:rPr>
        <w:t xml:space="preserve"> </w:t>
      </w:r>
      <w:r>
        <w:t>of</w:t>
      </w:r>
      <w:r>
        <w:rPr>
          <w:spacing w:val="-3"/>
        </w:rPr>
        <w:t xml:space="preserve"> </w:t>
      </w:r>
      <w:r>
        <w:t>the</w:t>
      </w:r>
      <w:r>
        <w:rPr>
          <w:spacing w:val="-3"/>
        </w:rPr>
        <w:t xml:space="preserve"> </w:t>
      </w:r>
      <w:r>
        <w:t>new</w:t>
      </w:r>
      <w:r>
        <w:rPr>
          <w:spacing w:val="-3"/>
        </w:rPr>
        <w:t xml:space="preserve"> </w:t>
      </w:r>
      <w:r>
        <w:t>LGBTQIA+ specialist unit.</w:t>
      </w:r>
      <w:r>
        <w:rPr>
          <w:spacing w:val="-4"/>
        </w:rPr>
        <w:t xml:space="preserve"> </w:t>
      </w:r>
      <w:r>
        <w:t>DCF</w:t>
      </w:r>
      <w:r>
        <w:rPr>
          <w:spacing w:val="-2"/>
        </w:rPr>
        <w:t xml:space="preserve"> </w:t>
      </w:r>
      <w:r>
        <w:t>notes</w:t>
      </w:r>
      <w:r>
        <w:rPr>
          <w:spacing w:val="-3"/>
        </w:rPr>
        <w:t xml:space="preserve"> </w:t>
      </w:r>
      <w:r>
        <w:t>that</w:t>
      </w:r>
      <w:r>
        <w:rPr>
          <w:spacing w:val="-3"/>
        </w:rPr>
        <w:t xml:space="preserve"> </w:t>
      </w:r>
      <w:r>
        <w:t>a</w:t>
      </w:r>
      <w:r>
        <w:rPr>
          <w:spacing w:val="-3"/>
        </w:rPr>
        <w:t xml:space="preserve"> </w:t>
      </w:r>
      <w:r>
        <w:t>large part</w:t>
      </w:r>
      <w:r>
        <w:rPr>
          <w:spacing w:val="-3"/>
        </w:rPr>
        <w:t xml:space="preserve"> </w:t>
      </w:r>
      <w:r>
        <w:t>of</w:t>
      </w:r>
      <w:r>
        <w:rPr>
          <w:spacing w:val="-3"/>
        </w:rPr>
        <w:t xml:space="preserve"> </w:t>
      </w:r>
      <w:r>
        <w:t>the</w:t>
      </w:r>
      <w:r>
        <w:rPr>
          <w:spacing w:val="-3"/>
        </w:rPr>
        <w:t xml:space="preserve"> </w:t>
      </w:r>
      <w:r>
        <w:t>role</w:t>
      </w:r>
      <w:r>
        <w:rPr>
          <w:spacing w:val="-3"/>
        </w:rPr>
        <w:t xml:space="preserve"> </w:t>
      </w:r>
      <w:r>
        <w:t>of this</w:t>
      </w:r>
      <w:r>
        <w:rPr>
          <w:spacing w:val="-3"/>
        </w:rPr>
        <w:t xml:space="preserve"> </w:t>
      </w:r>
      <w:r>
        <w:t>new</w:t>
      </w:r>
      <w:r>
        <w:rPr>
          <w:spacing w:val="-3"/>
        </w:rPr>
        <w:t xml:space="preserve"> </w:t>
      </w:r>
      <w:r>
        <w:t>unit</w:t>
      </w:r>
      <w:r>
        <w:rPr>
          <w:spacing w:val="-3"/>
        </w:rPr>
        <w:t xml:space="preserve"> </w:t>
      </w:r>
      <w:r>
        <w:t>will</w:t>
      </w:r>
      <w:r>
        <w:rPr>
          <w:spacing w:val="-4"/>
        </w:rPr>
        <w:t xml:space="preserve"> </w:t>
      </w:r>
      <w:r>
        <w:t>be</w:t>
      </w:r>
      <w:r>
        <w:rPr>
          <w:spacing w:val="-5"/>
        </w:rPr>
        <w:t xml:space="preserve"> </w:t>
      </w:r>
      <w:r>
        <w:t>to</w:t>
      </w:r>
      <w:r>
        <w:rPr>
          <w:spacing w:val="-2"/>
        </w:rPr>
        <w:t xml:space="preserve"> </w:t>
      </w:r>
      <w:r>
        <w:t>take</w:t>
      </w:r>
      <w:r>
        <w:rPr>
          <w:spacing w:val="-3"/>
        </w:rPr>
        <w:t xml:space="preserve"> </w:t>
      </w:r>
      <w:r>
        <w:t>on</w:t>
      </w:r>
      <w:r>
        <w:rPr>
          <w:spacing w:val="-4"/>
        </w:rPr>
        <w:t xml:space="preserve"> </w:t>
      </w:r>
      <w:r>
        <w:t>the</w:t>
      </w:r>
      <w:r>
        <w:rPr>
          <w:spacing w:val="-5"/>
        </w:rPr>
        <w:t xml:space="preserve"> </w:t>
      </w:r>
      <w:r>
        <w:t>continued</w:t>
      </w:r>
      <w:r>
        <w:rPr>
          <w:spacing w:val="-4"/>
        </w:rPr>
        <w:t xml:space="preserve"> </w:t>
      </w:r>
      <w:r>
        <w:t>collection,</w:t>
      </w:r>
      <w:r>
        <w:rPr>
          <w:spacing w:val="-3"/>
        </w:rPr>
        <w:t xml:space="preserve"> </w:t>
      </w:r>
      <w:r>
        <w:t>tracking,</w:t>
      </w:r>
      <w:r>
        <w:rPr>
          <w:spacing w:val="-3"/>
        </w:rPr>
        <w:t xml:space="preserve"> </w:t>
      </w:r>
      <w:r>
        <w:t>and</w:t>
      </w:r>
      <w:r>
        <w:rPr>
          <w:spacing w:val="-4"/>
        </w:rPr>
        <w:t xml:space="preserve"> </w:t>
      </w:r>
      <w:r>
        <w:t>analysis</w:t>
      </w:r>
      <w:r>
        <w:rPr>
          <w:spacing w:val="-3"/>
        </w:rPr>
        <w:t xml:space="preserve"> </w:t>
      </w:r>
      <w:r>
        <w:t>of</w:t>
      </w:r>
      <w:r>
        <w:rPr>
          <w:spacing w:val="-4"/>
        </w:rPr>
        <w:t xml:space="preserve"> </w:t>
      </w:r>
      <w:r>
        <w:t>the</w:t>
      </w:r>
      <w:r>
        <w:rPr>
          <w:spacing w:val="-3"/>
        </w:rPr>
        <w:t xml:space="preserve"> </w:t>
      </w:r>
      <w:r>
        <w:t>SOGI</w:t>
      </w:r>
      <w:r>
        <w:rPr>
          <w:spacing w:val="-4"/>
        </w:rPr>
        <w:t xml:space="preserve"> </w:t>
      </w:r>
      <w:r>
        <w:t>information</w:t>
      </w:r>
      <w:r>
        <w:rPr>
          <w:spacing w:val="-4"/>
        </w:rPr>
        <w:t xml:space="preserve"> </w:t>
      </w:r>
      <w:r>
        <w:t>in order to better inform DCF’s work and resource development.</w:t>
      </w:r>
    </w:p>
    <w:p w:rsidR="00200FDA" w:rsidRDefault="00200FDA">
      <w:pPr>
        <w:pStyle w:val="BodyText"/>
      </w:pPr>
    </w:p>
    <w:p w:rsidR="00200FDA" w:rsidRDefault="00200FDA">
      <w:pPr>
        <w:pStyle w:val="BodyText"/>
      </w:pPr>
    </w:p>
    <w:p w:rsidR="00200FDA" w:rsidRDefault="00F76C4C">
      <w:pPr>
        <w:pStyle w:val="Heading7"/>
        <w:spacing w:before="175"/>
        <w:jc w:val="both"/>
      </w:pPr>
      <w:r>
        <w:pict>
          <v:rect id="docshape527" o:spid="_x0000_s1095" style="position:absolute;left:0;text-align:left;margin-left:70.55pt;margin-top:26.75pt;width:470.9pt;height:.5pt;z-index:-15625216;mso-wrap-distance-left:0;mso-wrap-distance-right:0;mso-position-horizontal-relative:page" fillcolor="#4f81bc" stroked="f">
            <w10:wrap type="topAndBottom" anchorx="page"/>
          </v:rect>
        </w:pict>
      </w:r>
      <w:bookmarkStart w:id="1079" w:name="FY_2024_Expanded_DCF_Recommendations"/>
      <w:bookmarkEnd w:id="1079"/>
      <w:r>
        <w:rPr>
          <w:color w:val="365F91"/>
        </w:rPr>
        <w:t>FY</w:t>
      </w:r>
      <w:r>
        <w:rPr>
          <w:color w:val="365F91"/>
          <w:spacing w:val="-4"/>
        </w:rPr>
        <w:t xml:space="preserve"> </w:t>
      </w:r>
      <w:r>
        <w:rPr>
          <w:color w:val="365F91"/>
        </w:rPr>
        <w:t>2024</w:t>
      </w:r>
      <w:r>
        <w:rPr>
          <w:color w:val="365F91"/>
          <w:spacing w:val="-5"/>
        </w:rPr>
        <w:t xml:space="preserve"> </w:t>
      </w:r>
      <w:r>
        <w:rPr>
          <w:color w:val="365F91"/>
        </w:rPr>
        <w:t>Expanded</w:t>
      </w:r>
      <w:r>
        <w:rPr>
          <w:color w:val="365F91"/>
          <w:spacing w:val="-3"/>
        </w:rPr>
        <w:t xml:space="preserve"> </w:t>
      </w:r>
      <w:r>
        <w:rPr>
          <w:color w:val="365F91"/>
        </w:rPr>
        <w:t>DCF</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8"/>
        <w:rPr>
          <w:sz w:val="23"/>
        </w:rPr>
      </w:pPr>
    </w:p>
    <w:p w:rsidR="00200FDA" w:rsidRDefault="00F76C4C">
      <w:pPr>
        <w:pStyle w:val="Heading9"/>
        <w:numPr>
          <w:ilvl w:val="0"/>
          <w:numId w:val="18"/>
        </w:numPr>
        <w:tabs>
          <w:tab w:val="left" w:pos="508"/>
        </w:tabs>
        <w:spacing w:before="56" w:line="273" w:lineRule="auto"/>
        <w:ind w:right="272" w:firstLine="0"/>
      </w:pPr>
      <w:r>
        <w:t>Ensure thorough and accurate SOGI data collection through implementation of the new mandatory data elements and staff training.</w:t>
      </w:r>
    </w:p>
    <w:p w:rsidR="00200FDA" w:rsidRDefault="00200FDA">
      <w:pPr>
        <w:pStyle w:val="BodyText"/>
        <w:spacing w:before="1"/>
        <w:rPr>
          <w:b/>
          <w:sz w:val="20"/>
        </w:rPr>
      </w:pPr>
    </w:p>
    <w:p w:rsidR="00200FDA" w:rsidRDefault="00F76C4C">
      <w:pPr>
        <w:pStyle w:val="BodyText"/>
        <w:spacing w:line="276" w:lineRule="auto"/>
        <w:ind w:left="280" w:right="274"/>
        <w:jc w:val="both"/>
      </w:pPr>
      <w:r>
        <w:t>The</w:t>
      </w:r>
      <w:r>
        <w:rPr>
          <w:spacing w:val="-4"/>
        </w:rPr>
        <w:t xml:space="preserve"> </w:t>
      </w:r>
      <w:r>
        <w:t>Commission</w:t>
      </w:r>
      <w:r>
        <w:rPr>
          <w:spacing w:val="-5"/>
        </w:rPr>
        <w:t xml:space="preserve"> </w:t>
      </w:r>
      <w:r>
        <w:t>has</w:t>
      </w:r>
      <w:r>
        <w:rPr>
          <w:spacing w:val="-7"/>
        </w:rPr>
        <w:t xml:space="preserve"> </w:t>
      </w:r>
      <w:r>
        <w:t>been</w:t>
      </w:r>
      <w:r>
        <w:rPr>
          <w:spacing w:val="-7"/>
        </w:rPr>
        <w:t xml:space="preserve"> </w:t>
      </w:r>
      <w:r>
        <w:t>pleased</w:t>
      </w:r>
      <w:r>
        <w:rPr>
          <w:spacing w:val="-5"/>
        </w:rPr>
        <w:t xml:space="preserve"> </w:t>
      </w:r>
      <w:r>
        <w:t>with</w:t>
      </w:r>
      <w:r>
        <w:rPr>
          <w:spacing w:val="-5"/>
        </w:rPr>
        <w:t xml:space="preserve"> </w:t>
      </w:r>
      <w:r>
        <w:t>DCF’s</w:t>
      </w:r>
      <w:r>
        <w:rPr>
          <w:spacing w:val="-4"/>
        </w:rPr>
        <w:t xml:space="preserve"> </w:t>
      </w:r>
      <w:r>
        <w:t>recent</w:t>
      </w:r>
      <w:r>
        <w:rPr>
          <w:spacing w:val="-9"/>
        </w:rPr>
        <w:t xml:space="preserve"> </w:t>
      </w:r>
      <w:r>
        <w:t>progress</w:t>
      </w:r>
      <w:r>
        <w:rPr>
          <w:spacing w:val="-7"/>
        </w:rPr>
        <w:t xml:space="preserve"> </w:t>
      </w:r>
      <w:r>
        <w:t>on</w:t>
      </w:r>
      <w:r>
        <w:rPr>
          <w:spacing w:val="-5"/>
        </w:rPr>
        <w:t xml:space="preserve"> </w:t>
      </w:r>
      <w:r>
        <w:t>SOGIE</w:t>
      </w:r>
      <w:r>
        <w:rPr>
          <w:spacing w:val="-4"/>
        </w:rPr>
        <w:t xml:space="preserve"> </w:t>
      </w:r>
      <w:r>
        <w:t>data</w:t>
      </w:r>
      <w:r>
        <w:rPr>
          <w:spacing w:val="-7"/>
        </w:rPr>
        <w:t xml:space="preserve"> </w:t>
      </w:r>
      <w:r>
        <w:t>collection,</w:t>
      </w:r>
      <w:r>
        <w:rPr>
          <w:spacing w:val="-4"/>
        </w:rPr>
        <w:t xml:space="preserve"> </w:t>
      </w:r>
      <w:r>
        <w:t>and</w:t>
      </w:r>
      <w:r>
        <w:rPr>
          <w:spacing w:val="-5"/>
        </w:rPr>
        <w:t xml:space="preserve"> </w:t>
      </w:r>
      <w:r>
        <w:t>was</w:t>
      </w:r>
      <w:r>
        <w:rPr>
          <w:spacing w:val="-4"/>
        </w:rPr>
        <w:t xml:space="preserve"> </w:t>
      </w:r>
      <w:r>
        <w:t>gratified to</w:t>
      </w:r>
      <w:r>
        <w:rPr>
          <w:spacing w:val="-1"/>
        </w:rPr>
        <w:t xml:space="preserve"> </w:t>
      </w:r>
      <w:r>
        <w:t>see</w:t>
      </w:r>
      <w:r>
        <w:rPr>
          <w:spacing w:val="-1"/>
        </w:rPr>
        <w:t xml:space="preserve"> </w:t>
      </w:r>
      <w:r>
        <w:t>its</w:t>
      </w:r>
      <w:r>
        <w:rPr>
          <w:spacing w:val="-2"/>
        </w:rPr>
        <w:t xml:space="preserve"> </w:t>
      </w:r>
      <w:r>
        <w:t>initial resul</w:t>
      </w:r>
      <w:r>
        <w:t>ts</w:t>
      </w:r>
      <w:r>
        <w:rPr>
          <w:spacing w:val="-2"/>
        </w:rPr>
        <w:t xml:space="preserve"> </w:t>
      </w:r>
      <w:r>
        <w:t>in DCF’s</w:t>
      </w:r>
      <w:r>
        <w:rPr>
          <w:spacing w:val="-2"/>
        </w:rPr>
        <w:t xml:space="preserve"> </w:t>
      </w:r>
      <w:r>
        <w:t>most recent</w:t>
      </w:r>
      <w:r>
        <w:rPr>
          <w:spacing w:val="-1"/>
        </w:rPr>
        <w:t xml:space="preserve"> </w:t>
      </w:r>
      <w:hyperlink r:id="rId804">
        <w:r>
          <w:rPr>
            <w:color w:val="1154CC"/>
            <w:u w:val="single" w:color="1154CC"/>
          </w:rPr>
          <w:t>FY23Q2</w:t>
        </w:r>
        <w:r>
          <w:rPr>
            <w:color w:val="1154CC"/>
            <w:spacing w:val="-1"/>
            <w:u w:val="single" w:color="1154CC"/>
          </w:rPr>
          <w:t xml:space="preserve"> </w:t>
        </w:r>
        <w:r>
          <w:rPr>
            <w:color w:val="1154CC"/>
            <w:u w:val="single" w:color="1154CC"/>
          </w:rPr>
          <w:t>Quarterly</w:t>
        </w:r>
        <w:r>
          <w:rPr>
            <w:color w:val="1154CC"/>
            <w:spacing w:val="-1"/>
            <w:u w:val="single" w:color="1154CC"/>
          </w:rPr>
          <w:t xml:space="preserve"> </w:t>
        </w:r>
        <w:r>
          <w:rPr>
            <w:color w:val="1154CC"/>
            <w:u w:val="single" w:color="1154CC"/>
          </w:rPr>
          <w:t>Report</w:t>
        </w:r>
        <w:r>
          <w:t>.</w:t>
        </w:r>
      </w:hyperlink>
      <w:r>
        <w:rPr>
          <w:spacing w:val="-2"/>
        </w:rPr>
        <w:t xml:space="preserve"> </w:t>
      </w:r>
      <w:r>
        <w:t>This data</w:t>
      </w:r>
      <w:r>
        <w:rPr>
          <w:spacing w:val="-2"/>
        </w:rPr>
        <w:t xml:space="preserve"> </w:t>
      </w:r>
      <w:r>
        <w:t>is collected during DCF’s Family Assessment and Action Planning process</w:t>
      </w:r>
      <w:r>
        <w:rPr>
          <w:spacing w:val="-1"/>
        </w:rPr>
        <w:t xml:space="preserve"> </w:t>
      </w:r>
      <w:r>
        <w:t>which</w:t>
      </w:r>
      <w:r>
        <w:rPr>
          <w:spacing w:val="-2"/>
        </w:rPr>
        <w:t xml:space="preserve"> </w:t>
      </w:r>
      <w:r>
        <w:t>occurs</w:t>
      </w:r>
      <w:r>
        <w:rPr>
          <w:spacing w:val="-1"/>
        </w:rPr>
        <w:t xml:space="preserve"> </w:t>
      </w:r>
      <w:r>
        <w:t>every 6 months, and within a year DCF</w:t>
      </w:r>
      <w:r>
        <w:rPr>
          <w:spacing w:val="-1"/>
        </w:rPr>
        <w:t xml:space="preserve"> </w:t>
      </w:r>
      <w:r>
        <w:t>will ideall</w:t>
      </w:r>
      <w:r>
        <w:t>y have a</w:t>
      </w:r>
      <w:r>
        <w:rPr>
          <w:spacing w:val="-1"/>
        </w:rPr>
        <w:t xml:space="preserve"> </w:t>
      </w:r>
      <w:r>
        <w:t>mostly comprehensive report to release. The Commission recommends that DCF</w:t>
      </w:r>
      <w:r>
        <w:rPr>
          <w:spacing w:val="-1"/>
        </w:rPr>
        <w:t xml:space="preserve"> </w:t>
      </w:r>
      <w:r>
        <w:t>continue to review its SOGIE data collection efforts throughout every agency function in it’s data base, and to continuously</w:t>
      </w:r>
      <w:r>
        <w:rPr>
          <w:spacing w:val="-6"/>
        </w:rPr>
        <w:t xml:space="preserve"> </w:t>
      </w:r>
      <w:r>
        <w:t>review</w:t>
      </w:r>
      <w:r>
        <w:rPr>
          <w:spacing w:val="-8"/>
        </w:rPr>
        <w:t xml:space="preserve"> </w:t>
      </w:r>
      <w:r>
        <w:t>its</w:t>
      </w:r>
      <w:r>
        <w:rPr>
          <w:spacing w:val="-9"/>
        </w:rPr>
        <w:t xml:space="preserve"> </w:t>
      </w:r>
      <w:r>
        <w:t>process</w:t>
      </w:r>
      <w:r>
        <w:rPr>
          <w:spacing w:val="-9"/>
        </w:rPr>
        <w:t xml:space="preserve"> </w:t>
      </w:r>
      <w:r>
        <w:t>to</w:t>
      </w:r>
      <w:r>
        <w:rPr>
          <w:spacing w:val="-8"/>
        </w:rPr>
        <w:t xml:space="preserve"> </w:t>
      </w:r>
      <w:r>
        <w:t>ensure</w:t>
      </w:r>
      <w:r>
        <w:rPr>
          <w:spacing w:val="-8"/>
        </w:rPr>
        <w:t xml:space="preserve"> </w:t>
      </w:r>
      <w:r>
        <w:t>that</w:t>
      </w:r>
      <w:r>
        <w:rPr>
          <w:spacing w:val="-9"/>
        </w:rPr>
        <w:t xml:space="preserve"> </w:t>
      </w:r>
      <w:r>
        <w:t>youth</w:t>
      </w:r>
      <w:r>
        <w:rPr>
          <w:spacing w:val="-10"/>
        </w:rPr>
        <w:t xml:space="preserve"> </w:t>
      </w:r>
      <w:r>
        <w:t>are</w:t>
      </w:r>
      <w:r>
        <w:rPr>
          <w:spacing w:val="-6"/>
        </w:rPr>
        <w:t xml:space="preserve"> </w:t>
      </w:r>
      <w:r>
        <w:t>being</w:t>
      </w:r>
      <w:r>
        <w:rPr>
          <w:spacing w:val="-10"/>
        </w:rPr>
        <w:t xml:space="preserve"> </w:t>
      </w:r>
      <w:r>
        <w:t>supported</w:t>
      </w:r>
      <w:r>
        <w:rPr>
          <w:spacing w:val="-10"/>
        </w:rPr>
        <w:t xml:space="preserve"> </w:t>
      </w:r>
      <w:r>
        <w:t>through</w:t>
      </w:r>
      <w:r>
        <w:rPr>
          <w:spacing w:val="-10"/>
        </w:rPr>
        <w:t xml:space="preserve"> </w:t>
      </w:r>
      <w:r>
        <w:t>this</w:t>
      </w:r>
      <w:r>
        <w:rPr>
          <w:spacing w:val="-9"/>
        </w:rPr>
        <w:t xml:space="preserve"> </w:t>
      </w:r>
      <w:r>
        <w:t>data.</w:t>
      </w:r>
      <w:r>
        <w:rPr>
          <w:spacing w:val="-7"/>
        </w:rPr>
        <w:t xml:space="preserve"> </w:t>
      </w:r>
      <w:r>
        <w:t>Furthermore, DCF should ensure that all social workers and foster parents are aware of the need to build trusting relationships</w:t>
      </w:r>
      <w:r>
        <w:rPr>
          <w:spacing w:val="-2"/>
        </w:rPr>
        <w:t xml:space="preserve"> </w:t>
      </w:r>
      <w:r>
        <w:t>with</w:t>
      </w:r>
      <w:r>
        <w:rPr>
          <w:spacing w:val="-3"/>
        </w:rPr>
        <w:t xml:space="preserve"> </w:t>
      </w:r>
      <w:r>
        <w:t>youth and continuously update</w:t>
      </w:r>
      <w:r>
        <w:rPr>
          <w:spacing w:val="-1"/>
        </w:rPr>
        <w:t xml:space="preserve"> </w:t>
      </w:r>
      <w:r>
        <w:t>the</w:t>
      </w:r>
      <w:r>
        <w:rPr>
          <w:spacing w:val="-4"/>
        </w:rPr>
        <w:t xml:space="preserve"> </w:t>
      </w:r>
      <w:r>
        <w:t>demographics</w:t>
      </w:r>
      <w:r>
        <w:rPr>
          <w:spacing w:val="-2"/>
        </w:rPr>
        <w:t xml:space="preserve"> </w:t>
      </w:r>
      <w:r>
        <w:t>of youth</w:t>
      </w:r>
      <w:r>
        <w:rPr>
          <w:spacing w:val="-3"/>
        </w:rPr>
        <w:t xml:space="preserve"> </w:t>
      </w:r>
      <w:r>
        <w:t>within their care</w:t>
      </w:r>
      <w:r>
        <w:rPr>
          <w:spacing w:val="-1"/>
        </w:rPr>
        <w:t xml:space="preserve"> </w:t>
      </w:r>
      <w:r>
        <w:t>to ensure that</w:t>
      </w:r>
      <w:r>
        <w:t xml:space="preserve"> appropriate support is being given. DCF is in the process of hiring new LGBTQIA+ specialist staff, as noted below, that will take on the responsibilities of managing these SOGIE data collection processes.</w:t>
      </w:r>
    </w:p>
    <w:p w:rsidR="00200FDA" w:rsidRDefault="00200FDA">
      <w:pPr>
        <w:pStyle w:val="BodyText"/>
        <w:spacing w:before="8"/>
        <w:rPr>
          <w:sz w:val="19"/>
        </w:rPr>
      </w:pPr>
    </w:p>
    <w:p w:rsidR="00200FDA" w:rsidRDefault="00F76C4C">
      <w:pPr>
        <w:pStyle w:val="BodyText"/>
        <w:spacing w:line="276" w:lineRule="auto"/>
        <w:ind w:left="280" w:right="276"/>
        <w:jc w:val="both"/>
      </w:pPr>
      <w:r>
        <w:t>To</w:t>
      </w:r>
      <w:r>
        <w:rPr>
          <w:spacing w:val="-1"/>
        </w:rPr>
        <w:t xml:space="preserve"> </w:t>
      </w:r>
      <w:r>
        <w:t>further</w:t>
      </w:r>
      <w:r>
        <w:rPr>
          <w:spacing w:val="-2"/>
        </w:rPr>
        <w:t xml:space="preserve"> </w:t>
      </w:r>
      <w:r>
        <w:t>extend</w:t>
      </w:r>
      <w:r>
        <w:rPr>
          <w:spacing w:val="-3"/>
        </w:rPr>
        <w:t xml:space="preserve"> </w:t>
      </w:r>
      <w:r>
        <w:t>their</w:t>
      </w:r>
      <w:r>
        <w:rPr>
          <w:spacing w:val="-2"/>
        </w:rPr>
        <w:t xml:space="preserve"> </w:t>
      </w:r>
      <w:r>
        <w:t>data transparency,</w:t>
      </w:r>
      <w:r>
        <w:rPr>
          <w:spacing w:val="-4"/>
        </w:rPr>
        <w:t xml:space="preserve"> </w:t>
      </w:r>
      <w:r>
        <w:t>DCF is</w:t>
      </w:r>
      <w:r>
        <w:rPr>
          <w:spacing w:val="-2"/>
        </w:rPr>
        <w:t xml:space="preserve"> </w:t>
      </w:r>
      <w:r>
        <w:t>in</w:t>
      </w:r>
      <w:r>
        <w:rPr>
          <w:spacing w:val="-3"/>
        </w:rPr>
        <w:t xml:space="preserve"> </w:t>
      </w:r>
      <w:r>
        <w:t>the process</w:t>
      </w:r>
      <w:r>
        <w:rPr>
          <w:spacing w:val="-2"/>
        </w:rPr>
        <w:t xml:space="preserve"> </w:t>
      </w:r>
      <w:r>
        <w:t>of</w:t>
      </w:r>
      <w:r>
        <w:rPr>
          <w:spacing w:val="-2"/>
        </w:rPr>
        <w:t xml:space="preserve"> </w:t>
      </w:r>
      <w:r>
        <w:t>launching a</w:t>
      </w:r>
      <w:r>
        <w:rPr>
          <w:spacing w:val="-2"/>
        </w:rPr>
        <w:t xml:space="preserve"> </w:t>
      </w:r>
      <w:r>
        <w:t>public dashboard</w:t>
      </w:r>
      <w:r>
        <w:rPr>
          <w:spacing w:val="-3"/>
        </w:rPr>
        <w:t xml:space="preserve"> </w:t>
      </w:r>
      <w:r>
        <w:t>that</w:t>
      </w:r>
      <w:r>
        <w:rPr>
          <w:spacing w:val="-4"/>
        </w:rPr>
        <w:t xml:space="preserve"> </w:t>
      </w:r>
      <w:r>
        <w:t>will allow</w:t>
      </w:r>
      <w:r>
        <w:rPr>
          <w:spacing w:val="-6"/>
        </w:rPr>
        <w:t xml:space="preserve"> </w:t>
      </w:r>
      <w:r>
        <w:t>the</w:t>
      </w:r>
      <w:r>
        <w:rPr>
          <w:spacing w:val="-4"/>
        </w:rPr>
        <w:t xml:space="preserve"> </w:t>
      </w:r>
      <w:r>
        <w:t>public</w:t>
      </w:r>
      <w:r>
        <w:rPr>
          <w:spacing w:val="-4"/>
        </w:rPr>
        <w:t xml:space="preserve"> </w:t>
      </w:r>
      <w:r>
        <w:t>to</w:t>
      </w:r>
      <w:r>
        <w:rPr>
          <w:spacing w:val="-3"/>
        </w:rPr>
        <w:t xml:space="preserve"> </w:t>
      </w:r>
      <w:r>
        <w:t>interact</w:t>
      </w:r>
      <w:r>
        <w:rPr>
          <w:spacing w:val="-6"/>
        </w:rPr>
        <w:t xml:space="preserve"> </w:t>
      </w:r>
      <w:r>
        <w:t>with</w:t>
      </w:r>
      <w:r>
        <w:rPr>
          <w:spacing w:val="-5"/>
        </w:rPr>
        <w:t xml:space="preserve"> </w:t>
      </w:r>
      <w:r>
        <w:t>DCF</w:t>
      </w:r>
      <w:r>
        <w:rPr>
          <w:spacing w:val="-7"/>
        </w:rPr>
        <w:t xml:space="preserve"> </w:t>
      </w:r>
      <w:r>
        <w:t>data</w:t>
      </w:r>
      <w:r>
        <w:rPr>
          <w:spacing w:val="-5"/>
        </w:rPr>
        <w:t xml:space="preserve"> </w:t>
      </w:r>
      <w:r>
        <w:t>by</w:t>
      </w:r>
      <w:r>
        <w:rPr>
          <w:spacing w:val="-6"/>
        </w:rPr>
        <w:t xml:space="preserve"> </w:t>
      </w:r>
      <w:r>
        <w:t>FY</w:t>
      </w:r>
      <w:r>
        <w:rPr>
          <w:spacing w:val="-6"/>
        </w:rPr>
        <w:t xml:space="preserve"> </w:t>
      </w:r>
      <w:r>
        <w:t>2024.</w:t>
      </w:r>
      <w:r>
        <w:rPr>
          <w:spacing w:val="-7"/>
        </w:rPr>
        <w:t xml:space="preserve"> </w:t>
      </w:r>
      <w:r>
        <w:t>The</w:t>
      </w:r>
      <w:r>
        <w:rPr>
          <w:spacing w:val="-4"/>
        </w:rPr>
        <w:t xml:space="preserve"> </w:t>
      </w:r>
      <w:r>
        <w:t>Commission</w:t>
      </w:r>
      <w:r>
        <w:rPr>
          <w:spacing w:val="-5"/>
        </w:rPr>
        <w:t xml:space="preserve"> </w:t>
      </w:r>
      <w:r>
        <w:t>looks</w:t>
      </w:r>
      <w:r>
        <w:rPr>
          <w:spacing w:val="-4"/>
        </w:rPr>
        <w:t xml:space="preserve"> </w:t>
      </w:r>
      <w:r>
        <w:t>forward</w:t>
      </w:r>
      <w:r>
        <w:rPr>
          <w:spacing w:val="-5"/>
        </w:rPr>
        <w:t xml:space="preserve"> </w:t>
      </w:r>
      <w:r>
        <w:t>to</w:t>
      </w:r>
      <w:r>
        <w:rPr>
          <w:spacing w:val="-3"/>
        </w:rPr>
        <w:t xml:space="preserve"> </w:t>
      </w:r>
      <w:r>
        <w:t>seeing</w:t>
      </w:r>
      <w:r>
        <w:rPr>
          <w:spacing w:val="-5"/>
        </w:rPr>
        <w:t xml:space="preserve"> </w:t>
      </w:r>
      <w:r>
        <w:t>a</w:t>
      </w:r>
      <w:r>
        <w:rPr>
          <w:spacing w:val="-5"/>
        </w:rPr>
        <w:t xml:space="preserve"> </w:t>
      </w:r>
      <w:r>
        <w:t>demo</w:t>
      </w:r>
      <w:r>
        <w:rPr>
          <w:spacing w:val="-5"/>
        </w:rPr>
        <w:t xml:space="preserve"> </w:t>
      </w:r>
      <w:r>
        <w:t>of this new system before its launch, which DCF hopes to occur in the summer of FY 2024.</w:t>
      </w:r>
    </w:p>
    <w:p w:rsidR="00200FDA" w:rsidRDefault="00200FDA">
      <w:pPr>
        <w:pStyle w:val="BodyText"/>
        <w:spacing w:before="8"/>
        <w:rPr>
          <w:sz w:val="19"/>
        </w:rPr>
      </w:pPr>
    </w:p>
    <w:p w:rsidR="00200FDA" w:rsidRDefault="00F76C4C">
      <w:pPr>
        <w:pStyle w:val="Heading9"/>
        <w:numPr>
          <w:ilvl w:val="0"/>
          <w:numId w:val="18"/>
        </w:numPr>
        <w:tabs>
          <w:tab w:val="left" w:pos="501"/>
        </w:tabs>
        <w:ind w:left="500" w:hanging="221"/>
      </w:pPr>
      <w:r>
        <w:t>Review</w:t>
      </w:r>
      <w:r>
        <w:rPr>
          <w:spacing w:val="-7"/>
        </w:rPr>
        <w:t xml:space="preserve"> </w:t>
      </w:r>
      <w:r>
        <w:t>and</w:t>
      </w:r>
      <w:r>
        <w:rPr>
          <w:spacing w:val="-9"/>
        </w:rPr>
        <w:t xml:space="preserve"> </w:t>
      </w:r>
      <w:r>
        <w:t>continue</w:t>
      </w:r>
      <w:r>
        <w:rPr>
          <w:spacing w:val="-6"/>
        </w:rPr>
        <w:t xml:space="preserve"> </w:t>
      </w:r>
      <w:r>
        <w:t>implementation</w:t>
      </w:r>
      <w:r>
        <w:rPr>
          <w:spacing w:val="-6"/>
        </w:rPr>
        <w:t xml:space="preserve"> </w:t>
      </w:r>
      <w:r>
        <w:t>of</w:t>
      </w:r>
      <w:r>
        <w:rPr>
          <w:spacing w:val="-6"/>
        </w:rPr>
        <w:t xml:space="preserve"> </w:t>
      </w:r>
      <w:r>
        <w:t>LGBTQ-inclusive</w:t>
      </w:r>
      <w:r>
        <w:rPr>
          <w:spacing w:val="-8"/>
        </w:rPr>
        <w:t xml:space="preserve"> </w:t>
      </w:r>
      <w:r>
        <w:rPr>
          <w:spacing w:val="-2"/>
        </w:rPr>
        <w:t>policies.</w:t>
      </w:r>
    </w:p>
    <w:p w:rsidR="00200FDA" w:rsidRDefault="00200FDA">
      <w:pPr>
        <w:sectPr w:rsidR="00200FDA">
          <w:pgSz w:w="12240" w:h="15840"/>
          <w:pgMar w:top="1260" w:right="1160" w:bottom="1240" w:left="1160" w:header="761" w:footer="1043" w:gutter="0"/>
          <w:cols w:space="720"/>
        </w:sectPr>
      </w:pPr>
    </w:p>
    <w:p w:rsidR="00200FDA" w:rsidRDefault="00200FDA">
      <w:pPr>
        <w:pStyle w:val="BodyText"/>
        <w:rPr>
          <w:b/>
          <w:sz w:val="9"/>
        </w:rPr>
      </w:pPr>
    </w:p>
    <w:p w:rsidR="00200FDA" w:rsidRDefault="00F76C4C">
      <w:pPr>
        <w:pStyle w:val="BodyText"/>
        <w:spacing w:before="56" w:line="276" w:lineRule="auto"/>
        <w:ind w:left="279" w:right="274"/>
        <w:jc w:val="both"/>
      </w:pPr>
      <w:r>
        <w:t>The</w:t>
      </w:r>
      <w:r>
        <w:rPr>
          <w:spacing w:val="-6"/>
        </w:rPr>
        <w:t xml:space="preserve"> </w:t>
      </w:r>
      <w:r>
        <w:t>Commission</w:t>
      </w:r>
      <w:r>
        <w:rPr>
          <w:spacing w:val="-7"/>
        </w:rPr>
        <w:t xml:space="preserve"> </w:t>
      </w:r>
      <w:r>
        <w:t>commends</w:t>
      </w:r>
      <w:r>
        <w:rPr>
          <w:spacing w:val="-7"/>
        </w:rPr>
        <w:t xml:space="preserve"> </w:t>
      </w:r>
      <w:r>
        <w:t>DCF’s</w:t>
      </w:r>
      <w:r>
        <w:rPr>
          <w:spacing w:val="-6"/>
        </w:rPr>
        <w:t xml:space="preserve"> </w:t>
      </w:r>
      <w:r>
        <w:t>progress</w:t>
      </w:r>
      <w:r>
        <w:rPr>
          <w:spacing w:val="-9"/>
        </w:rPr>
        <w:t xml:space="preserve"> </w:t>
      </w:r>
      <w:r>
        <w:t>on</w:t>
      </w:r>
      <w:r>
        <w:rPr>
          <w:spacing w:val="-7"/>
        </w:rPr>
        <w:t xml:space="preserve"> </w:t>
      </w:r>
      <w:r>
        <w:t>releasing</w:t>
      </w:r>
      <w:r>
        <w:rPr>
          <w:spacing w:val="-7"/>
        </w:rPr>
        <w:t xml:space="preserve"> </w:t>
      </w:r>
      <w:r>
        <w:t>its</w:t>
      </w:r>
      <w:r>
        <w:rPr>
          <w:spacing w:val="-7"/>
        </w:rPr>
        <w:t xml:space="preserve"> </w:t>
      </w:r>
      <w:r>
        <w:t>nondiscrimination</w:t>
      </w:r>
      <w:r>
        <w:rPr>
          <w:spacing w:val="-7"/>
        </w:rPr>
        <w:t xml:space="preserve"> </w:t>
      </w:r>
      <w:r>
        <w:t>policy</w:t>
      </w:r>
      <w:r>
        <w:rPr>
          <w:spacing w:val="-6"/>
        </w:rPr>
        <w:t xml:space="preserve"> </w:t>
      </w:r>
      <w:r>
        <w:t>in</w:t>
      </w:r>
      <w:r>
        <w:rPr>
          <w:spacing w:val="-7"/>
        </w:rPr>
        <w:t xml:space="preserve"> </w:t>
      </w:r>
      <w:r>
        <w:t>early</w:t>
      </w:r>
      <w:r>
        <w:rPr>
          <w:spacing w:val="-6"/>
        </w:rPr>
        <w:t xml:space="preserve"> </w:t>
      </w:r>
      <w:r>
        <w:t>FY</w:t>
      </w:r>
      <w:r>
        <w:rPr>
          <w:spacing w:val="-6"/>
        </w:rPr>
        <w:t xml:space="preserve"> </w:t>
      </w:r>
      <w:r>
        <w:t>2023,</w:t>
      </w:r>
      <w:r>
        <w:rPr>
          <w:spacing w:val="-7"/>
        </w:rPr>
        <w:t xml:space="preserve"> </w:t>
      </w:r>
      <w:r>
        <w:t>and appreciates its continued commitment to reviewing internal policies to ensure that providers, families, and</w:t>
      </w:r>
      <w:r>
        <w:rPr>
          <w:spacing w:val="-10"/>
        </w:rPr>
        <w:t xml:space="preserve"> </w:t>
      </w:r>
      <w:r>
        <w:t>youth</w:t>
      </w:r>
      <w:r>
        <w:rPr>
          <w:spacing w:val="-10"/>
        </w:rPr>
        <w:t xml:space="preserve"> </w:t>
      </w:r>
      <w:r>
        <w:t>have</w:t>
      </w:r>
      <w:r>
        <w:rPr>
          <w:spacing w:val="-8"/>
        </w:rPr>
        <w:t xml:space="preserve"> </w:t>
      </w:r>
      <w:r>
        <w:t>clarity</w:t>
      </w:r>
      <w:r>
        <w:rPr>
          <w:spacing w:val="-8"/>
        </w:rPr>
        <w:t xml:space="preserve"> </w:t>
      </w:r>
      <w:r>
        <w:t>and</w:t>
      </w:r>
      <w:r>
        <w:rPr>
          <w:spacing w:val="-12"/>
        </w:rPr>
        <w:t xml:space="preserve"> </w:t>
      </w:r>
      <w:r>
        <w:t>accountability</w:t>
      </w:r>
      <w:r>
        <w:rPr>
          <w:spacing w:val="-8"/>
        </w:rPr>
        <w:t xml:space="preserve"> </w:t>
      </w:r>
      <w:r>
        <w:t>from</w:t>
      </w:r>
      <w:r>
        <w:rPr>
          <w:spacing w:val="-10"/>
        </w:rPr>
        <w:t xml:space="preserve"> </w:t>
      </w:r>
      <w:r>
        <w:t>the</w:t>
      </w:r>
      <w:r>
        <w:rPr>
          <w:spacing w:val="-8"/>
        </w:rPr>
        <w:t xml:space="preserve"> </w:t>
      </w:r>
      <w:r>
        <w:t>agency.</w:t>
      </w:r>
      <w:r>
        <w:rPr>
          <w:spacing w:val="-9"/>
        </w:rPr>
        <w:t xml:space="preserve"> </w:t>
      </w:r>
      <w:r>
        <w:t>Furthermore,</w:t>
      </w:r>
      <w:r>
        <w:rPr>
          <w:spacing w:val="-9"/>
        </w:rPr>
        <w:t xml:space="preserve"> </w:t>
      </w:r>
      <w:r>
        <w:t>as</w:t>
      </w:r>
      <w:r>
        <w:rPr>
          <w:spacing w:val="-9"/>
        </w:rPr>
        <w:t xml:space="preserve"> </w:t>
      </w:r>
      <w:r>
        <w:t>noted</w:t>
      </w:r>
      <w:r>
        <w:rPr>
          <w:spacing w:val="-10"/>
        </w:rPr>
        <w:t xml:space="preserve"> </w:t>
      </w:r>
      <w:r>
        <w:t>above,</w:t>
      </w:r>
      <w:r>
        <w:rPr>
          <w:spacing w:val="-9"/>
        </w:rPr>
        <w:t xml:space="preserve"> </w:t>
      </w:r>
      <w:r>
        <w:t>the</w:t>
      </w:r>
      <w:r>
        <w:rPr>
          <w:spacing w:val="-11"/>
        </w:rPr>
        <w:t xml:space="preserve"> </w:t>
      </w:r>
      <w:r>
        <w:t>Commission highlights</w:t>
      </w:r>
      <w:r>
        <w:rPr>
          <w:spacing w:val="-11"/>
        </w:rPr>
        <w:t xml:space="preserve"> </w:t>
      </w:r>
      <w:r>
        <w:t>the</w:t>
      </w:r>
      <w:r>
        <w:rPr>
          <w:spacing w:val="-11"/>
        </w:rPr>
        <w:t xml:space="preserve"> </w:t>
      </w:r>
      <w:r>
        <w:t>release</w:t>
      </w:r>
      <w:r>
        <w:rPr>
          <w:spacing w:val="-13"/>
        </w:rPr>
        <w:t xml:space="preserve"> </w:t>
      </w:r>
      <w:r>
        <w:t>of</w:t>
      </w:r>
      <w:r>
        <w:rPr>
          <w:spacing w:val="-11"/>
        </w:rPr>
        <w:t xml:space="preserve"> </w:t>
      </w:r>
      <w:r>
        <w:t>the</w:t>
      </w:r>
      <w:r>
        <w:rPr>
          <w:spacing w:val="-11"/>
        </w:rPr>
        <w:t xml:space="preserve"> </w:t>
      </w:r>
      <w:r>
        <w:t>Department’s</w:t>
      </w:r>
      <w:r>
        <w:rPr>
          <w:spacing w:val="-11"/>
        </w:rPr>
        <w:t xml:space="preserve"> </w:t>
      </w:r>
      <w:r>
        <w:t>two</w:t>
      </w:r>
      <w:r>
        <w:rPr>
          <w:spacing w:val="-10"/>
        </w:rPr>
        <w:t xml:space="preserve"> </w:t>
      </w:r>
      <w:r>
        <w:t>new</w:t>
      </w:r>
      <w:r>
        <w:rPr>
          <w:spacing w:val="-11"/>
        </w:rPr>
        <w:t xml:space="preserve"> </w:t>
      </w:r>
      <w:r>
        <w:t>Foster</w:t>
      </w:r>
      <w:r>
        <w:rPr>
          <w:spacing w:val="-11"/>
        </w:rPr>
        <w:t xml:space="preserve"> </w:t>
      </w:r>
      <w:r>
        <w:t>Care</w:t>
      </w:r>
      <w:r>
        <w:rPr>
          <w:spacing w:val="-13"/>
        </w:rPr>
        <w:t xml:space="preserve"> </w:t>
      </w:r>
      <w:r>
        <w:t>Policies</w:t>
      </w:r>
      <w:r>
        <w:rPr>
          <w:spacing w:val="-10"/>
        </w:rPr>
        <w:t xml:space="preserve"> </w:t>
      </w:r>
      <w:r>
        <w:t>in</w:t>
      </w:r>
      <w:r>
        <w:rPr>
          <w:spacing w:val="-12"/>
        </w:rPr>
        <w:t xml:space="preserve"> </w:t>
      </w:r>
      <w:r>
        <w:t>February</w:t>
      </w:r>
      <w:r>
        <w:rPr>
          <w:spacing w:val="-11"/>
        </w:rPr>
        <w:t xml:space="preserve"> </w:t>
      </w:r>
      <w:r>
        <w:t>2023,</w:t>
      </w:r>
      <w:r>
        <w:rPr>
          <w:spacing w:val="-11"/>
        </w:rPr>
        <w:t xml:space="preserve"> </w:t>
      </w:r>
      <w:r>
        <w:t>which</w:t>
      </w:r>
      <w:r>
        <w:rPr>
          <w:spacing w:val="-12"/>
        </w:rPr>
        <w:t xml:space="preserve"> </w:t>
      </w:r>
      <w:r>
        <w:t>also</w:t>
      </w:r>
      <w:r>
        <w:rPr>
          <w:spacing w:val="-10"/>
        </w:rPr>
        <w:t xml:space="preserve"> </w:t>
      </w:r>
      <w:r>
        <w:t>work to</w:t>
      </w:r>
      <w:r>
        <w:rPr>
          <w:spacing w:val="-5"/>
        </w:rPr>
        <w:t xml:space="preserve"> </w:t>
      </w:r>
      <w:r>
        <w:t>clarify</w:t>
      </w:r>
      <w:r>
        <w:rPr>
          <w:spacing w:val="-6"/>
        </w:rPr>
        <w:t xml:space="preserve"> </w:t>
      </w:r>
      <w:r>
        <w:t>the</w:t>
      </w:r>
      <w:r>
        <w:rPr>
          <w:spacing w:val="-6"/>
        </w:rPr>
        <w:t xml:space="preserve"> </w:t>
      </w:r>
      <w:r>
        <w:t>necessity</w:t>
      </w:r>
      <w:r>
        <w:rPr>
          <w:spacing w:val="-6"/>
        </w:rPr>
        <w:t xml:space="preserve"> </w:t>
      </w:r>
      <w:r>
        <w:t>of</w:t>
      </w:r>
      <w:r>
        <w:rPr>
          <w:spacing w:val="-7"/>
        </w:rPr>
        <w:t xml:space="preserve"> </w:t>
      </w:r>
      <w:r>
        <w:t>ensuring</w:t>
      </w:r>
      <w:r>
        <w:rPr>
          <w:spacing w:val="-7"/>
        </w:rPr>
        <w:t xml:space="preserve"> </w:t>
      </w:r>
      <w:r>
        <w:t>youth</w:t>
      </w:r>
      <w:r>
        <w:rPr>
          <w:spacing w:val="-7"/>
        </w:rPr>
        <w:t xml:space="preserve"> </w:t>
      </w:r>
      <w:r>
        <w:t>placement</w:t>
      </w:r>
      <w:r>
        <w:rPr>
          <w:spacing w:val="-6"/>
        </w:rPr>
        <w:t xml:space="preserve"> </w:t>
      </w:r>
      <w:r>
        <w:t>based</w:t>
      </w:r>
      <w:r>
        <w:rPr>
          <w:spacing w:val="-7"/>
        </w:rPr>
        <w:t xml:space="preserve"> </w:t>
      </w:r>
      <w:r>
        <w:t>on</w:t>
      </w:r>
      <w:r>
        <w:rPr>
          <w:spacing w:val="-7"/>
        </w:rPr>
        <w:t xml:space="preserve"> </w:t>
      </w:r>
      <w:r>
        <w:t>gender</w:t>
      </w:r>
      <w:r>
        <w:rPr>
          <w:spacing w:val="-7"/>
        </w:rPr>
        <w:t xml:space="preserve"> </w:t>
      </w:r>
      <w:r>
        <w:t>identity,</w:t>
      </w:r>
      <w:r>
        <w:rPr>
          <w:spacing w:val="-6"/>
        </w:rPr>
        <w:t xml:space="preserve"> </w:t>
      </w:r>
      <w:r>
        <w:t>which</w:t>
      </w:r>
      <w:r>
        <w:rPr>
          <w:spacing w:val="-7"/>
        </w:rPr>
        <w:t xml:space="preserve"> </w:t>
      </w:r>
      <w:r>
        <w:t>had</w:t>
      </w:r>
      <w:r>
        <w:rPr>
          <w:spacing w:val="-7"/>
        </w:rPr>
        <w:t xml:space="preserve"> </w:t>
      </w:r>
      <w:r>
        <w:t>been</w:t>
      </w:r>
      <w:r>
        <w:rPr>
          <w:spacing w:val="-7"/>
        </w:rPr>
        <w:t xml:space="preserve"> </w:t>
      </w:r>
      <w:r>
        <w:t>a</w:t>
      </w:r>
      <w:r>
        <w:rPr>
          <w:spacing w:val="-7"/>
        </w:rPr>
        <w:t xml:space="preserve"> </w:t>
      </w:r>
      <w:r>
        <w:t>separate Commission recommendation for several years. The newly released policies also serve as a</w:t>
      </w:r>
      <w:r>
        <w:t xml:space="preserve"> basis for improving efforts to better identify LGBTQ-affirming homes. The Commission recommends that DCF continue to review and update its policies based on feedback from internal and external stakeholders, while also ensuring that staff, families, and yo</w:t>
      </w:r>
      <w:r>
        <w:t xml:space="preserve">uth are made aware of and trained on these new policy </w:t>
      </w:r>
      <w:r>
        <w:rPr>
          <w:spacing w:val="-2"/>
        </w:rPr>
        <w:t>developments.</w:t>
      </w:r>
    </w:p>
    <w:p w:rsidR="00200FDA" w:rsidRDefault="00200FDA">
      <w:pPr>
        <w:pStyle w:val="BodyText"/>
        <w:spacing w:before="8"/>
        <w:rPr>
          <w:sz w:val="19"/>
        </w:rPr>
      </w:pPr>
    </w:p>
    <w:p w:rsidR="00200FDA" w:rsidRDefault="00F76C4C">
      <w:pPr>
        <w:pStyle w:val="Heading9"/>
        <w:numPr>
          <w:ilvl w:val="0"/>
          <w:numId w:val="18"/>
        </w:numPr>
        <w:tabs>
          <w:tab w:val="left" w:pos="520"/>
        </w:tabs>
        <w:spacing w:line="276" w:lineRule="auto"/>
        <w:ind w:left="279" w:right="274" w:firstLine="0"/>
      </w:pPr>
      <w:r>
        <w:t>Update the LGBTQ Guide and ensure that all staff, providers, youth, and families are aware of its</w:t>
      </w:r>
      <w:r>
        <w:rPr>
          <w:spacing w:val="80"/>
        </w:rPr>
        <w:t xml:space="preserve"> </w:t>
      </w:r>
      <w:r>
        <w:t>existence and able to access a copy.</w:t>
      </w:r>
    </w:p>
    <w:p w:rsidR="00200FDA" w:rsidRDefault="00200FDA">
      <w:pPr>
        <w:pStyle w:val="BodyText"/>
        <w:spacing w:before="7"/>
        <w:rPr>
          <w:b/>
          <w:sz w:val="19"/>
        </w:rPr>
      </w:pPr>
    </w:p>
    <w:p w:rsidR="00200FDA" w:rsidRDefault="00F76C4C">
      <w:pPr>
        <w:pStyle w:val="BodyText"/>
        <w:spacing w:line="276" w:lineRule="auto"/>
        <w:ind w:left="279" w:right="273"/>
        <w:jc w:val="both"/>
      </w:pPr>
      <w:r>
        <w:t>In</w:t>
      </w:r>
      <w:r>
        <w:rPr>
          <w:spacing w:val="-2"/>
        </w:rPr>
        <w:t xml:space="preserve"> </w:t>
      </w:r>
      <w:r>
        <w:t>2015,</w:t>
      </w:r>
      <w:r>
        <w:rPr>
          <w:spacing w:val="-3"/>
        </w:rPr>
        <w:t xml:space="preserve"> </w:t>
      </w:r>
      <w:r>
        <w:t>DCF</w:t>
      </w:r>
      <w:r>
        <w:rPr>
          <w:spacing w:val="-2"/>
        </w:rPr>
        <w:t xml:space="preserve"> </w:t>
      </w:r>
      <w:r>
        <w:t>released</w:t>
      </w:r>
      <w:r>
        <w:rPr>
          <w:spacing w:val="-2"/>
        </w:rPr>
        <w:t xml:space="preserve"> </w:t>
      </w:r>
      <w:r>
        <w:t>an</w:t>
      </w:r>
      <w:r>
        <w:rPr>
          <w:spacing w:val="-2"/>
        </w:rPr>
        <w:t xml:space="preserve"> </w:t>
      </w:r>
      <w:r>
        <w:t>LGBTQ</w:t>
      </w:r>
      <w:r>
        <w:rPr>
          <w:spacing w:val="-1"/>
        </w:rPr>
        <w:t xml:space="preserve"> </w:t>
      </w:r>
      <w:r>
        <w:t>Guide</w:t>
      </w:r>
      <w:r>
        <w:rPr>
          <w:spacing w:val="-3"/>
        </w:rPr>
        <w:t xml:space="preserve"> </w:t>
      </w:r>
      <w:r>
        <w:t>on</w:t>
      </w:r>
      <w:r>
        <w:rPr>
          <w:spacing w:val="-2"/>
        </w:rPr>
        <w:t xml:space="preserve"> </w:t>
      </w:r>
      <w:r>
        <w:t>working</w:t>
      </w:r>
      <w:r>
        <w:rPr>
          <w:spacing w:val="-2"/>
        </w:rPr>
        <w:t xml:space="preserve"> </w:t>
      </w:r>
      <w:r>
        <w:t>with</w:t>
      </w:r>
      <w:r>
        <w:rPr>
          <w:spacing w:val="-2"/>
        </w:rPr>
        <w:t xml:space="preserve"> </w:t>
      </w:r>
      <w:r>
        <w:t>LGBTQ</w:t>
      </w:r>
      <w:r>
        <w:rPr>
          <w:spacing w:val="-3"/>
        </w:rPr>
        <w:t xml:space="preserve"> </w:t>
      </w:r>
      <w:r>
        <w:t>youth</w:t>
      </w:r>
      <w:r>
        <w:rPr>
          <w:spacing w:val="-2"/>
        </w:rPr>
        <w:t xml:space="preserve"> </w:t>
      </w:r>
      <w:r>
        <w:t>and</w:t>
      </w:r>
      <w:r>
        <w:rPr>
          <w:spacing w:val="-2"/>
        </w:rPr>
        <w:t xml:space="preserve"> </w:t>
      </w:r>
      <w:r>
        <w:t>families</w:t>
      </w:r>
      <w:r>
        <w:rPr>
          <w:spacing w:val="-1"/>
        </w:rPr>
        <w:t xml:space="preserve"> </w:t>
      </w:r>
      <w:r>
        <w:t>that was</w:t>
      </w:r>
      <w:r>
        <w:rPr>
          <w:spacing w:val="-1"/>
        </w:rPr>
        <w:t xml:space="preserve"> </w:t>
      </w:r>
      <w:r>
        <w:t>written</w:t>
      </w:r>
      <w:r>
        <w:rPr>
          <w:spacing w:val="-2"/>
        </w:rPr>
        <w:t xml:space="preserve"> </w:t>
      </w:r>
      <w:r>
        <w:t>by its internal</w:t>
      </w:r>
      <w:r>
        <w:rPr>
          <w:spacing w:val="-4"/>
        </w:rPr>
        <w:t xml:space="preserve"> </w:t>
      </w:r>
      <w:r>
        <w:t>LGBTQ</w:t>
      </w:r>
      <w:r>
        <w:rPr>
          <w:spacing w:val="-6"/>
        </w:rPr>
        <w:t xml:space="preserve"> </w:t>
      </w:r>
      <w:r>
        <w:t>Liaisons.</w:t>
      </w:r>
      <w:r>
        <w:rPr>
          <w:spacing w:val="-5"/>
        </w:rPr>
        <w:t xml:space="preserve"> </w:t>
      </w:r>
      <w:r>
        <w:t>However,</w:t>
      </w:r>
      <w:r>
        <w:rPr>
          <w:spacing w:val="-6"/>
        </w:rPr>
        <w:t xml:space="preserve"> </w:t>
      </w:r>
      <w:r>
        <w:t>many</w:t>
      </w:r>
      <w:r>
        <w:rPr>
          <w:spacing w:val="-6"/>
        </w:rPr>
        <w:t xml:space="preserve"> </w:t>
      </w:r>
      <w:r>
        <w:t>workers,</w:t>
      </w:r>
      <w:r>
        <w:rPr>
          <w:spacing w:val="-6"/>
        </w:rPr>
        <w:t xml:space="preserve"> </w:t>
      </w:r>
      <w:r>
        <w:t>youth,</w:t>
      </w:r>
      <w:r>
        <w:rPr>
          <w:spacing w:val="-4"/>
        </w:rPr>
        <w:t xml:space="preserve"> </w:t>
      </w:r>
      <w:r>
        <w:t>families,</w:t>
      </w:r>
      <w:r>
        <w:rPr>
          <w:spacing w:val="-4"/>
        </w:rPr>
        <w:t xml:space="preserve"> </w:t>
      </w:r>
      <w:r>
        <w:t>and</w:t>
      </w:r>
      <w:r>
        <w:rPr>
          <w:spacing w:val="-5"/>
        </w:rPr>
        <w:t xml:space="preserve"> </w:t>
      </w:r>
      <w:r>
        <w:t>providers</w:t>
      </w:r>
      <w:r>
        <w:rPr>
          <w:spacing w:val="-6"/>
        </w:rPr>
        <w:t xml:space="preserve"> </w:t>
      </w:r>
      <w:r>
        <w:t>knew</w:t>
      </w:r>
      <w:r>
        <w:rPr>
          <w:spacing w:val="-6"/>
        </w:rPr>
        <w:t xml:space="preserve"> </w:t>
      </w:r>
      <w:r>
        <w:t>of</w:t>
      </w:r>
      <w:r>
        <w:rPr>
          <w:spacing w:val="-4"/>
        </w:rPr>
        <w:t xml:space="preserve"> </w:t>
      </w:r>
      <w:r>
        <w:t>the</w:t>
      </w:r>
      <w:r>
        <w:rPr>
          <w:spacing w:val="-4"/>
        </w:rPr>
        <w:t xml:space="preserve"> </w:t>
      </w:r>
      <w:r>
        <w:t>existence</w:t>
      </w:r>
      <w:r>
        <w:rPr>
          <w:spacing w:val="-6"/>
        </w:rPr>
        <w:t xml:space="preserve"> </w:t>
      </w:r>
      <w:r>
        <w:t>of the Guide, leading to the incorporation of the Guide into DCF onboarding materials and staff train</w:t>
      </w:r>
      <w:r>
        <w:t>ings. Given the significant cultural shifts that have taken place since its previous update in 2018, the Guide requires yet another update, which DCF has been in the process of organizing since FY 2022. The Commission</w:t>
      </w:r>
      <w:r>
        <w:rPr>
          <w:spacing w:val="-10"/>
        </w:rPr>
        <w:t xml:space="preserve"> </w:t>
      </w:r>
      <w:r>
        <w:t>strongly</w:t>
      </w:r>
      <w:r>
        <w:rPr>
          <w:spacing w:val="-8"/>
        </w:rPr>
        <w:t xml:space="preserve"> </w:t>
      </w:r>
      <w:r>
        <w:t>recommends</w:t>
      </w:r>
      <w:r>
        <w:rPr>
          <w:spacing w:val="-9"/>
        </w:rPr>
        <w:t xml:space="preserve"> </w:t>
      </w:r>
      <w:r>
        <w:t>that</w:t>
      </w:r>
      <w:r>
        <w:rPr>
          <w:spacing w:val="-9"/>
        </w:rPr>
        <w:t xml:space="preserve"> </w:t>
      </w:r>
      <w:r>
        <w:t>DCF</w:t>
      </w:r>
      <w:r>
        <w:rPr>
          <w:spacing w:val="-10"/>
        </w:rPr>
        <w:t xml:space="preserve"> </w:t>
      </w:r>
      <w:r>
        <w:t>work</w:t>
      </w:r>
      <w:r>
        <w:rPr>
          <w:spacing w:val="-9"/>
        </w:rPr>
        <w:t xml:space="preserve"> </w:t>
      </w:r>
      <w:r>
        <w:t>quic</w:t>
      </w:r>
      <w:r>
        <w:t>kly</w:t>
      </w:r>
      <w:r>
        <w:rPr>
          <w:spacing w:val="-8"/>
        </w:rPr>
        <w:t xml:space="preserve"> </w:t>
      </w:r>
      <w:r>
        <w:t>to</w:t>
      </w:r>
      <w:r>
        <w:rPr>
          <w:spacing w:val="-5"/>
        </w:rPr>
        <w:t xml:space="preserve"> </w:t>
      </w:r>
      <w:r>
        <w:t>get</w:t>
      </w:r>
      <w:r>
        <w:rPr>
          <w:spacing w:val="-9"/>
        </w:rPr>
        <w:t xml:space="preserve"> </w:t>
      </w:r>
      <w:r>
        <w:t>the</w:t>
      </w:r>
      <w:r>
        <w:rPr>
          <w:spacing w:val="-8"/>
        </w:rPr>
        <w:t xml:space="preserve"> </w:t>
      </w:r>
      <w:r>
        <w:t>LGBTQ</w:t>
      </w:r>
      <w:r>
        <w:rPr>
          <w:spacing w:val="-9"/>
        </w:rPr>
        <w:t xml:space="preserve"> </w:t>
      </w:r>
      <w:r>
        <w:t>Guide</w:t>
      </w:r>
      <w:r>
        <w:rPr>
          <w:spacing w:val="-6"/>
        </w:rPr>
        <w:t xml:space="preserve"> </w:t>
      </w:r>
      <w:r>
        <w:t>updated</w:t>
      </w:r>
      <w:r>
        <w:rPr>
          <w:spacing w:val="-10"/>
        </w:rPr>
        <w:t xml:space="preserve"> </w:t>
      </w:r>
      <w:r>
        <w:t>in</w:t>
      </w:r>
      <w:r>
        <w:rPr>
          <w:spacing w:val="-7"/>
        </w:rPr>
        <w:t xml:space="preserve"> </w:t>
      </w:r>
      <w:r>
        <w:t>FY</w:t>
      </w:r>
      <w:r>
        <w:rPr>
          <w:spacing w:val="-11"/>
        </w:rPr>
        <w:t xml:space="preserve"> </w:t>
      </w:r>
      <w:r>
        <w:t>2024,</w:t>
      </w:r>
      <w:r>
        <w:rPr>
          <w:spacing w:val="-9"/>
        </w:rPr>
        <w:t xml:space="preserve"> </w:t>
      </w:r>
      <w:r>
        <w:t>and ensure that all staff, providers, families, and youth are aware of the updates to the Guide and able to access</w:t>
      </w:r>
      <w:r>
        <w:rPr>
          <w:spacing w:val="-4"/>
        </w:rPr>
        <w:t xml:space="preserve"> </w:t>
      </w:r>
      <w:r>
        <w:t>a</w:t>
      </w:r>
      <w:r>
        <w:rPr>
          <w:spacing w:val="-2"/>
        </w:rPr>
        <w:t xml:space="preserve"> </w:t>
      </w:r>
      <w:r>
        <w:t>copy.</w:t>
      </w:r>
      <w:r>
        <w:rPr>
          <w:spacing w:val="-2"/>
        </w:rPr>
        <w:t xml:space="preserve"> </w:t>
      </w:r>
      <w:r>
        <w:t>Furthermore,</w:t>
      </w:r>
      <w:r>
        <w:rPr>
          <w:spacing w:val="-2"/>
        </w:rPr>
        <w:t xml:space="preserve"> </w:t>
      </w:r>
      <w:r>
        <w:t>DCF</w:t>
      </w:r>
      <w:r>
        <w:rPr>
          <w:spacing w:val="-3"/>
        </w:rPr>
        <w:t xml:space="preserve"> </w:t>
      </w:r>
      <w:r>
        <w:t>should</w:t>
      </w:r>
      <w:r>
        <w:rPr>
          <w:spacing w:val="-3"/>
        </w:rPr>
        <w:t xml:space="preserve"> </w:t>
      </w:r>
      <w:r>
        <w:t>implement</w:t>
      </w:r>
      <w:r>
        <w:rPr>
          <w:spacing w:val="-1"/>
        </w:rPr>
        <w:t xml:space="preserve"> </w:t>
      </w:r>
      <w:r>
        <w:t>a</w:t>
      </w:r>
      <w:r>
        <w:rPr>
          <w:spacing w:val="-2"/>
        </w:rPr>
        <w:t xml:space="preserve"> </w:t>
      </w:r>
      <w:r>
        <w:t>system</w:t>
      </w:r>
      <w:r>
        <w:rPr>
          <w:spacing w:val="-3"/>
        </w:rPr>
        <w:t xml:space="preserve"> </w:t>
      </w:r>
      <w:r>
        <w:t>to</w:t>
      </w:r>
      <w:r>
        <w:rPr>
          <w:spacing w:val="-3"/>
        </w:rPr>
        <w:t xml:space="preserve"> </w:t>
      </w:r>
      <w:r>
        <w:t>encourage</w:t>
      </w:r>
      <w:r>
        <w:rPr>
          <w:spacing w:val="-1"/>
        </w:rPr>
        <w:t xml:space="preserve"> </w:t>
      </w:r>
      <w:r>
        <w:t>annual</w:t>
      </w:r>
      <w:r>
        <w:rPr>
          <w:spacing w:val="-5"/>
        </w:rPr>
        <w:t xml:space="preserve"> </w:t>
      </w:r>
      <w:r>
        <w:t>review</w:t>
      </w:r>
      <w:r>
        <w:rPr>
          <w:spacing w:val="-1"/>
        </w:rPr>
        <w:t xml:space="preserve"> </w:t>
      </w:r>
      <w:r>
        <w:t>and</w:t>
      </w:r>
      <w:r>
        <w:rPr>
          <w:spacing w:val="-3"/>
        </w:rPr>
        <w:t xml:space="preserve"> </w:t>
      </w:r>
      <w:r>
        <w:t>updates</w:t>
      </w:r>
      <w:r>
        <w:rPr>
          <w:spacing w:val="-2"/>
        </w:rPr>
        <w:t xml:space="preserve"> </w:t>
      </w:r>
      <w:r>
        <w:t>of the</w:t>
      </w:r>
      <w:r>
        <w:rPr>
          <w:spacing w:val="-5"/>
        </w:rPr>
        <w:t xml:space="preserve"> </w:t>
      </w:r>
      <w:r>
        <w:t>Guide.</w:t>
      </w:r>
      <w:r>
        <w:rPr>
          <w:spacing w:val="-9"/>
        </w:rPr>
        <w:t xml:space="preserve"> </w:t>
      </w:r>
      <w:r>
        <w:t>DCF</w:t>
      </w:r>
      <w:r>
        <w:rPr>
          <w:spacing w:val="-9"/>
        </w:rPr>
        <w:t xml:space="preserve"> </w:t>
      </w:r>
      <w:r>
        <w:t>has</w:t>
      </w:r>
      <w:r>
        <w:rPr>
          <w:spacing w:val="-5"/>
        </w:rPr>
        <w:t xml:space="preserve"> </w:t>
      </w:r>
      <w:r>
        <w:t>noted</w:t>
      </w:r>
      <w:r>
        <w:rPr>
          <w:spacing w:val="-9"/>
        </w:rPr>
        <w:t xml:space="preserve"> </w:t>
      </w:r>
      <w:r>
        <w:t>that</w:t>
      </w:r>
      <w:r>
        <w:rPr>
          <w:spacing w:val="-5"/>
        </w:rPr>
        <w:t xml:space="preserve"> </w:t>
      </w:r>
      <w:r>
        <w:t>it</w:t>
      </w:r>
      <w:r>
        <w:rPr>
          <w:spacing w:val="-8"/>
        </w:rPr>
        <w:t xml:space="preserve"> </w:t>
      </w:r>
      <w:r>
        <w:t>hopes</w:t>
      </w:r>
      <w:r>
        <w:rPr>
          <w:spacing w:val="-8"/>
        </w:rPr>
        <w:t xml:space="preserve"> </w:t>
      </w:r>
      <w:r>
        <w:t>its</w:t>
      </w:r>
      <w:r>
        <w:rPr>
          <w:spacing w:val="-8"/>
        </w:rPr>
        <w:t xml:space="preserve"> </w:t>
      </w:r>
      <w:r>
        <w:t>new</w:t>
      </w:r>
      <w:r>
        <w:rPr>
          <w:spacing w:val="-5"/>
        </w:rPr>
        <w:t xml:space="preserve"> </w:t>
      </w:r>
      <w:r>
        <w:t>LGBTQIA+</w:t>
      </w:r>
      <w:r>
        <w:rPr>
          <w:spacing w:val="-5"/>
        </w:rPr>
        <w:t xml:space="preserve"> </w:t>
      </w:r>
      <w:r>
        <w:t>unit</w:t>
      </w:r>
      <w:r>
        <w:rPr>
          <w:spacing w:val="-8"/>
        </w:rPr>
        <w:t xml:space="preserve"> </w:t>
      </w:r>
      <w:r>
        <w:t>will</w:t>
      </w:r>
      <w:r>
        <w:rPr>
          <w:spacing w:val="-6"/>
        </w:rPr>
        <w:t xml:space="preserve"> </w:t>
      </w:r>
      <w:r>
        <w:t>take</w:t>
      </w:r>
      <w:r>
        <w:rPr>
          <w:spacing w:val="-7"/>
        </w:rPr>
        <w:t xml:space="preserve"> </w:t>
      </w:r>
      <w:r>
        <w:t>this</w:t>
      </w:r>
      <w:r>
        <w:rPr>
          <w:spacing w:val="-8"/>
        </w:rPr>
        <w:t xml:space="preserve"> </w:t>
      </w:r>
      <w:r>
        <w:t>project</w:t>
      </w:r>
      <w:r>
        <w:rPr>
          <w:spacing w:val="-5"/>
        </w:rPr>
        <w:t xml:space="preserve"> </w:t>
      </w:r>
      <w:r>
        <w:t>on</w:t>
      </w:r>
      <w:r>
        <w:rPr>
          <w:spacing w:val="-9"/>
        </w:rPr>
        <w:t xml:space="preserve"> </w:t>
      </w:r>
      <w:r>
        <w:t>in</w:t>
      </w:r>
      <w:r>
        <w:rPr>
          <w:spacing w:val="-6"/>
        </w:rPr>
        <w:t xml:space="preserve"> </w:t>
      </w:r>
      <w:r>
        <w:t>FY</w:t>
      </w:r>
      <w:r>
        <w:rPr>
          <w:spacing w:val="-8"/>
        </w:rPr>
        <w:t xml:space="preserve"> </w:t>
      </w:r>
      <w:r>
        <w:t>2024,</w:t>
      </w:r>
      <w:r>
        <w:rPr>
          <w:spacing w:val="-8"/>
        </w:rPr>
        <w:t xml:space="preserve"> </w:t>
      </w:r>
      <w:r>
        <w:t>and</w:t>
      </w:r>
      <w:r>
        <w:rPr>
          <w:spacing w:val="-6"/>
        </w:rPr>
        <w:t xml:space="preserve"> </w:t>
      </w:r>
      <w:r>
        <w:t>that the Guide will ideally be uploaded to a platform that allows for frequent updates, easy access, ADA compliance, and translation services.</w:t>
      </w:r>
    </w:p>
    <w:p w:rsidR="00200FDA" w:rsidRDefault="00200FDA">
      <w:pPr>
        <w:pStyle w:val="BodyText"/>
        <w:spacing w:before="9"/>
        <w:rPr>
          <w:sz w:val="19"/>
        </w:rPr>
      </w:pPr>
    </w:p>
    <w:p w:rsidR="00200FDA" w:rsidRDefault="00F76C4C">
      <w:pPr>
        <w:pStyle w:val="Heading9"/>
        <w:numPr>
          <w:ilvl w:val="0"/>
          <w:numId w:val="18"/>
        </w:numPr>
        <w:tabs>
          <w:tab w:val="left" w:pos="496"/>
        </w:tabs>
        <w:spacing w:line="273" w:lineRule="auto"/>
        <w:ind w:right="276" w:hanging="1"/>
      </w:pPr>
      <w:r>
        <w:t>Ensure</w:t>
      </w:r>
      <w:r>
        <w:rPr>
          <w:spacing w:val="-11"/>
        </w:rPr>
        <w:t xml:space="preserve"> </w:t>
      </w:r>
      <w:r>
        <w:t>implementation</w:t>
      </w:r>
      <w:r>
        <w:rPr>
          <w:spacing w:val="-11"/>
        </w:rPr>
        <w:t xml:space="preserve"> </w:t>
      </w:r>
      <w:r>
        <w:t>of</w:t>
      </w:r>
      <w:r>
        <w:rPr>
          <w:spacing w:val="-8"/>
        </w:rPr>
        <w:t xml:space="preserve"> </w:t>
      </w:r>
      <w:r>
        <w:t>the</w:t>
      </w:r>
      <w:r>
        <w:rPr>
          <w:spacing w:val="-8"/>
        </w:rPr>
        <w:t xml:space="preserve"> </w:t>
      </w:r>
      <w:r>
        <w:t>updated</w:t>
      </w:r>
      <w:r>
        <w:rPr>
          <w:spacing w:val="-8"/>
        </w:rPr>
        <w:t xml:space="preserve"> </w:t>
      </w:r>
      <w:r>
        <w:t>MAPP</w:t>
      </w:r>
      <w:r>
        <w:rPr>
          <w:spacing w:val="-10"/>
        </w:rPr>
        <w:t xml:space="preserve"> </w:t>
      </w:r>
      <w:r>
        <w:t>training</w:t>
      </w:r>
      <w:r>
        <w:rPr>
          <w:spacing w:val="-9"/>
        </w:rPr>
        <w:t xml:space="preserve"> </w:t>
      </w:r>
      <w:r>
        <w:t>curriculum,</w:t>
      </w:r>
      <w:r>
        <w:rPr>
          <w:spacing w:val="-7"/>
        </w:rPr>
        <w:t xml:space="preserve"> </w:t>
      </w:r>
      <w:r>
        <w:t>and</w:t>
      </w:r>
      <w:r>
        <w:rPr>
          <w:spacing w:val="-8"/>
        </w:rPr>
        <w:t xml:space="preserve"> </w:t>
      </w:r>
      <w:r>
        <w:t>establish</w:t>
      </w:r>
      <w:r>
        <w:rPr>
          <w:spacing w:val="-8"/>
        </w:rPr>
        <w:t xml:space="preserve"> </w:t>
      </w:r>
      <w:r>
        <w:t>a</w:t>
      </w:r>
      <w:r>
        <w:rPr>
          <w:spacing w:val="-9"/>
        </w:rPr>
        <w:t xml:space="preserve"> </w:t>
      </w:r>
      <w:r>
        <w:t>system</w:t>
      </w:r>
      <w:r>
        <w:rPr>
          <w:spacing w:val="-10"/>
        </w:rPr>
        <w:t xml:space="preserve"> </w:t>
      </w:r>
      <w:r>
        <w:t>of</w:t>
      </w:r>
      <w:r>
        <w:rPr>
          <w:spacing w:val="-10"/>
        </w:rPr>
        <w:t xml:space="preserve"> </w:t>
      </w:r>
      <w:r>
        <w:t>frequent reviews and updates to assure continued relevance.</w:t>
      </w:r>
    </w:p>
    <w:p w:rsidR="00200FDA" w:rsidRDefault="00200FDA">
      <w:pPr>
        <w:pStyle w:val="BodyText"/>
        <w:rPr>
          <w:b/>
          <w:sz w:val="20"/>
        </w:rPr>
      </w:pPr>
    </w:p>
    <w:p w:rsidR="00200FDA" w:rsidRDefault="00F76C4C">
      <w:pPr>
        <w:pStyle w:val="BodyText"/>
        <w:ind w:left="280"/>
        <w:jc w:val="both"/>
      </w:pPr>
      <w:r>
        <w:t>Over</w:t>
      </w:r>
      <w:r>
        <w:rPr>
          <w:spacing w:val="-12"/>
        </w:rPr>
        <w:t xml:space="preserve"> </w:t>
      </w:r>
      <w:r>
        <w:t>the</w:t>
      </w:r>
      <w:r>
        <w:rPr>
          <w:spacing w:val="-12"/>
        </w:rPr>
        <w:t xml:space="preserve"> </w:t>
      </w:r>
      <w:r>
        <w:t>past</w:t>
      </w:r>
      <w:r>
        <w:rPr>
          <w:spacing w:val="-11"/>
        </w:rPr>
        <w:t xml:space="preserve"> </w:t>
      </w:r>
      <w:r>
        <w:t>few</w:t>
      </w:r>
      <w:r>
        <w:rPr>
          <w:spacing w:val="-12"/>
        </w:rPr>
        <w:t xml:space="preserve"> </w:t>
      </w:r>
      <w:r>
        <w:t>years,</w:t>
      </w:r>
      <w:r>
        <w:rPr>
          <w:spacing w:val="-11"/>
        </w:rPr>
        <w:t xml:space="preserve"> </w:t>
      </w:r>
      <w:r>
        <w:t>DCF</w:t>
      </w:r>
      <w:r>
        <w:rPr>
          <w:spacing w:val="-13"/>
        </w:rPr>
        <w:t xml:space="preserve"> </w:t>
      </w:r>
      <w:r>
        <w:t>has</w:t>
      </w:r>
      <w:r>
        <w:rPr>
          <w:spacing w:val="-11"/>
        </w:rPr>
        <w:t xml:space="preserve"> </w:t>
      </w:r>
      <w:r>
        <w:t>been</w:t>
      </w:r>
      <w:r>
        <w:rPr>
          <w:spacing w:val="-13"/>
        </w:rPr>
        <w:t xml:space="preserve"> </w:t>
      </w:r>
      <w:r>
        <w:t>engaged</w:t>
      </w:r>
      <w:r>
        <w:rPr>
          <w:spacing w:val="-12"/>
        </w:rPr>
        <w:t xml:space="preserve"> </w:t>
      </w:r>
      <w:r>
        <w:t>in</w:t>
      </w:r>
      <w:r>
        <w:rPr>
          <w:spacing w:val="-12"/>
        </w:rPr>
        <w:t xml:space="preserve"> </w:t>
      </w:r>
      <w:r>
        <w:t>a</w:t>
      </w:r>
      <w:r>
        <w:rPr>
          <w:spacing w:val="-13"/>
        </w:rPr>
        <w:t xml:space="preserve"> </w:t>
      </w:r>
      <w:r>
        <w:t>process</w:t>
      </w:r>
      <w:r>
        <w:rPr>
          <w:spacing w:val="-11"/>
        </w:rPr>
        <w:t xml:space="preserve"> </w:t>
      </w:r>
      <w:r>
        <w:t>to</w:t>
      </w:r>
      <w:r>
        <w:rPr>
          <w:spacing w:val="-11"/>
        </w:rPr>
        <w:t xml:space="preserve"> </w:t>
      </w:r>
      <w:r>
        <w:t>update</w:t>
      </w:r>
      <w:r>
        <w:rPr>
          <w:spacing w:val="-12"/>
        </w:rPr>
        <w:t xml:space="preserve"> </w:t>
      </w:r>
      <w:r>
        <w:t>its</w:t>
      </w:r>
      <w:r>
        <w:rPr>
          <w:spacing w:val="-11"/>
        </w:rPr>
        <w:t xml:space="preserve"> </w:t>
      </w:r>
      <w:r>
        <w:t>foster</w:t>
      </w:r>
      <w:r>
        <w:rPr>
          <w:spacing w:val="-12"/>
        </w:rPr>
        <w:t xml:space="preserve"> </w:t>
      </w:r>
      <w:r>
        <w:t>parent</w:t>
      </w:r>
      <w:r>
        <w:rPr>
          <w:spacing w:val="-11"/>
        </w:rPr>
        <w:t xml:space="preserve"> </w:t>
      </w:r>
      <w:r>
        <w:t>training</w:t>
      </w:r>
      <w:r>
        <w:rPr>
          <w:spacing w:val="-12"/>
        </w:rPr>
        <w:t xml:space="preserve"> </w:t>
      </w:r>
      <w:r>
        <w:rPr>
          <w:spacing w:val="-2"/>
        </w:rPr>
        <w:t>curriculum</w:t>
      </w:r>
    </w:p>
    <w:p w:rsidR="00200FDA" w:rsidRDefault="00F76C4C">
      <w:pPr>
        <w:pStyle w:val="BodyText"/>
        <w:spacing w:before="41" w:line="276" w:lineRule="auto"/>
        <w:ind w:left="279" w:right="273"/>
        <w:jc w:val="both"/>
      </w:pPr>
      <w:r>
        <w:t>- Mas</w:t>
      </w:r>
      <w:r>
        <w:t>sachusetts Approach</w:t>
      </w:r>
      <w:r>
        <w:rPr>
          <w:spacing w:val="-4"/>
        </w:rPr>
        <w:t xml:space="preserve"> </w:t>
      </w:r>
      <w:r>
        <w:t>to Partnerships in</w:t>
      </w:r>
      <w:r>
        <w:rPr>
          <w:spacing w:val="-2"/>
        </w:rPr>
        <w:t xml:space="preserve"> </w:t>
      </w:r>
      <w:r>
        <w:t>Parenting (MAPP) - which</w:t>
      </w:r>
      <w:r>
        <w:rPr>
          <w:spacing w:val="-2"/>
        </w:rPr>
        <w:t xml:space="preserve"> </w:t>
      </w:r>
      <w:r>
        <w:t>it has</w:t>
      </w:r>
      <w:r>
        <w:rPr>
          <w:spacing w:val="-1"/>
        </w:rPr>
        <w:t xml:space="preserve"> </w:t>
      </w:r>
      <w:r>
        <w:t>accomplished, and is in</w:t>
      </w:r>
      <w:r>
        <w:rPr>
          <w:spacing w:val="-2"/>
        </w:rPr>
        <w:t xml:space="preserve"> </w:t>
      </w:r>
      <w:r>
        <w:t>the process</w:t>
      </w:r>
      <w:r>
        <w:rPr>
          <w:spacing w:val="-13"/>
        </w:rPr>
        <w:t xml:space="preserve"> </w:t>
      </w:r>
      <w:r>
        <w:t>of</w:t>
      </w:r>
      <w:r>
        <w:rPr>
          <w:spacing w:val="-12"/>
        </w:rPr>
        <w:t xml:space="preserve"> </w:t>
      </w:r>
      <w:r>
        <w:t>preparing</w:t>
      </w:r>
      <w:r>
        <w:rPr>
          <w:spacing w:val="-13"/>
        </w:rPr>
        <w:t xml:space="preserve"> </w:t>
      </w:r>
      <w:r>
        <w:t>for</w:t>
      </w:r>
      <w:r>
        <w:rPr>
          <w:spacing w:val="-12"/>
        </w:rPr>
        <w:t xml:space="preserve"> </w:t>
      </w:r>
      <w:r>
        <w:t>a</w:t>
      </w:r>
      <w:r>
        <w:rPr>
          <w:spacing w:val="-13"/>
        </w:rPr>
        <w:t xml:space="preserve"> </w:t>
      </w:r>
      <w:r>
        <w:t>launch</w:t>
      </w:r>
      <w:r>
        <w:rPr>
          <w:spacing w:val="-12"/>
        </w:rPr>
        <w:t xml:space="preserve"> </w:t>
      </w:r>
      <w:r>
        <w:t>in</w:t>
      </w:r>
      <w:r>
        <w:rPr>
          <w:spacing w:val="-13"/>
        </w:rPr>
        <w:t xml:space="preserve"> </w:t>
      </w:r>
      <w:r>
        <w:t>early</w:t>
      </w:r>
      <w:r>
        <w:rPr>
          <w:spacing w:val="-12"/>
        </w:rPr>
        <w:t xml:space="preserve"> </w:t>
      </w:r>
      <w:r>
        <w:t>FY</w:t>
      </w:r>
      <w:r>
        <w:rPr>
          <w:spacing w:val="-12"/>
        </w:rPr>
        <w:t xml:space="preserve"> </w:t>
      </w:r>
      <w:r>
        <w:t>2024.</w:t>
      </w:r>
      <w:r>
        <w:rPr>
          <w:spacing w:val="-13"/>
        </w:rPr>
        <w:t xml:space="preserve"> </w:t>
      </w:r>
      <w:r>
        <w:t>The</w:t>
      </w:r>
      <w:r>
        <w:rPr>
          <w:spacing w:val="-12"/>
        </w:rPr>
        <w:t xml:space="preserve"> </w:t>
      </w:r>
      <w:r>
        <w:t>Commission</w:t>
      </w:r>
      <w:r>
        <w:rPr>
          <w:spacing w:val="-13"/>
        </w:rPr>
        <w:t xml:space="preserve"> </w:t>
      </w:r>
      <w:r>
        <w:t>strongly</w:t>
      </w:r>
      <w:r>
        <w:rPr>
          <w:spacing w:val="-12"/>
        </w:rPr>
        <w:t xml:space="preserve"> </w:t>
      </w:r>
      <w:r>
        <w:t>recommends</w:t>
      </w:r>
      <w:r>
        <w:rPr>
          <w:spacing w:val="-13"/>
        </w:rPr>
        <w:t xml:space="preserve"> </w:t>
      </w:r>
      <w:r>
        <w:t>that</w:t>
      </w:r>
      <w:r>
        <w:rPr>
          <w:spacing w:val="-12"/>
        </w:rPr>
        <w:t xml:space="preserve"> </w:t>
      </w:r>
      <w:r>
        <w:t>DCF</w:t>
      </w:r>
      <w:r>
        <w:rPr>
          <w:spacing w:val="-12"/>
        </w:rPr>
        <w:t xml:space="preserve"> </w:t>
      </w:r>
      <w:r>
        <w:t>commit to and establish a system of frequent reviews and updates to ensure that the training continues to hold relevance, while also soliciting early feedback from internal and external stakeholders - including foster youth and parents.</w:t>
      </w:r>
    </w:p>
    <w:p w:rsidR="00200FDA" w:rsidRDefault="00200FDA">
      <w:pPr>
        <w:pStyle w:val="BodyText"/>
        <w:spacing w:before="7"/>
        <w:rPr>
          <w:sz w:val="19"/>
        </w:rPr>
      </w:pPr>
    </w:p>
    <w:p w:rsidR="00200FDA" w:rsidRDefault="00F76C4C">
      <w:pPr>
        <w:pStyle w:val="Heading9"/>
        <w:numPr>
          <w:ilvl w:val="0"/>
          <w:numId w:val="18"/>
        </w:numPr>
        <w:tabs>
          <w:tab w:val="left" w:pos="504"/>
        </w:tabs>
        <w:spacing w:line="276" w:lineRule="auto"/>
        <w:ind w:left="279" w:right="275" w:firstLine="0"/>
      </w:pPr>
      <w:r>
        <w:t>Improve</w:t>
      </w:r>
      <w:r>
        <w:rPr>
          <w:spacing w:val="-1"/>
        </w:rPr>
        <w:t xml:space="preserve"> </w:t>
      </w:r>
      <w:r>
        <w:t>recruitmen</w:t>
      </w:r>
      <w:r>
        <w:t>t of</w:t>
      </w:r>
      <w:r>
        <w:rPr>
          <w:spacing w:val="-3"/>
        </w:rPr>
        <w:t xml:space="preserve"> </w:t>
      </w:r>
      <w:r>
        <w:t>LGBTQ-affirming foster parents, and</w:t>
      </w:r>
      <w:r>
        <w:rPr>
          <w:spacing w:val="-1"/>
        </w:rPr>
        <w:t xml:space="preserve"> </w:t>
      </w:r>
      <w:r>
        <w:t>create</w:t>
      </w:r>
      <w:r>
        <w:rPr>
          <w:spacing w:val="-1"/>
        </w:rPr>
        <w:t xml:space="preserve"> </w:t>
      </w:r>
      <w:r>
        <w:t>a</w:t>
      </w:r>
      <w:r>
        <w:rPr>
          <w:spacing w:val="-1"/>
        </w:rPr>
        <w:t xml:space="preserve"> </w:t>
      </w:r>
      <w:r>
        <w:t>statewide</w:t>
      </w:r>
      <w:r>
        <w:rPr>
          <w:spacing w:val="-1"/>
        </w:rPr>
        <w:t xml:space="preserve"> </w:t>
      </w:r>
      <w:r>
        <w:t>database</w:t>
      </w:r>
      <w:r>
        <w:rPr>
          <w:spacing w:val="-1"/>
        </w:rPr>
        <w:t xml:space="preserve"> </w:t>
      </w:r>
      <w:r>
        <w:t>of</w:t>
      </w:r>
      <w:r>
        <w:rPr>
          <w:spacing w:val="-1"/>
        </w:rPr>
        <w:t xml:space="preserve"> </w:t>
      </w:r>
      <w:r>
        <w:t>LGBTQ- affirming homes.</w:t>
      </w:r>
    </w:p>
    <w:p w:rsidR="00200FDA" w:rsidRDefault="00200FDA">
      <w:pPr>
        <w:pStyle w:val="BodyText"/>
        <w:spacing w:before="9"/>
        <w:rPr>
          <w:b/>
          <w:sz w:val="19"/>
        </w:rPr>
      </w:pPr>
    </w:p>
    <w:p w:rsidR="00200FDA" w:rsidRDefault="00F76C4C">
      <w:pPr>
        <w:pStyle w:val="BodyText"/>
        <w:spacing w:line="276" w:lineRule="auto"/>
        <w:ind w:left="279" w:right="274"/>
        <w:jc w:val="both"/>
      </w:pPr>
      <w:r>
        <w:t>The Commission recommends that DCF continue to improve its methods of conducting outreach and recruitment for LGBTQ-affirming foster parents. Furthermore, DCF should create a thorough statewide database</w:t>
      </w:r>
      <w:r>
        <w:rPr>
          <w:spacing w:val="-8"/>
        </w:rPr>
        <w:t xml:space="preserve"> </w:t>
      </w:r>
      <w:r>
        <w:t>of</w:t>
      </w:r>
      <w:r>
        <w:rPr>
          <w:spacing w:val="-7"/>
        </w:rPr>
        <w:t xml:space="preserve"> </w:t>
      </w:r>
      <w:r>
        <w:t>LGBTQ-affirming</w:t>
      </w:r>
      <w:r>
        <w:rPr>
          <w:spacing w:val="-7"/>
        </w:rPr>
        <w:t xml:space="preserve"> </w:t>
      </w:r>
      <w:r>
        <w:t>homes</w:t>
      </w:r>
      <w:r>
        <w:rPr>
          <w:spacing w:val="-7"/>
        </w:rPr>
        <w:t xml:space="preserve"> </w:t>
      </w:r>
      <w:r>
        <w:t>to</w:t>
      </w:r>
      <w:r>
        <w:rPr>
          <w:spacing w:val="-5"/>
        </w:rPr>
        <w:t xml:space="preserve"> </w:t>
      </w:r>
      <w:r>
        <w:t>replace</w:t>
      </w:r>
      <w:r>
        <w:rPr>
          <w:spacing w:val="-6"/>
        </w:rPr>
        <w:t xml:space="preserve"> </w:t>
      </w:r>
      <w:r>
        <w:t>the</w:t>
      </w:r>
      <w:r>
        <w:rPr>
          <w:spacing w:val="-6"/>
        </w:rPr>
        <w:t xml:space="preserve"> </w:t>
      </w:r>
      <w:r>
        <w:t>informal</w:t>
      </w:r>
      <w:r>
        <w:rPr>
          <w:spacing w:val="-7"/>
        </w:rPr>
        <w:t xml:space="preserve"> </w:t>
      </w:r>
      <w:r>
        <w:t>list</w:t>
      </w:r>
      <w:r>
        <w:rPr>
          <w:spacing w:val="-9"/>
        </w:rPr>
        <w:t xml:space="preserve"> </w:t>
      </w:r>
      <w:r>
        <w:t>maintained</w:t>
      </w:r>
      <w:r>
        <w:rPr>
          <w:spacing w:val="-7"/>
        </w:rPr>
        <w:t xml:space="preserve"> </w:t>
      </w:r>
      <w:r>
        <w:t>by</w:t>
      </w:r>
      <w:r>
        <w:rPr>
          <w:spacing w:val="-6"/>
        </w:rPr>
        <w:t xml:space="preserve"> </w:t>
      </w:r>
      <w:r>
        <w:t>DCF</w:t>
      </w:r>
      <w:r>
        <w:rPr>
          <w:spacing w:val="-7"/>
        </w:rPr>
        <w:t xml:space="preserve"> </w:t>
      </w:r>
      <w:r>
        <w:t>Liaisons.</w:t>
      </w:r>
      <w:r>
        <w:rPr>
          <w:spacing w:val="-7"/>
        </w:rPr>
        <w:t xml:space="preserve"> </w:t>
      </w:r>
      <w:r>
        <w:t>In</w:t>
      </w:r>
      <w:r>
        <w:rPr>
          <w:spacing w:val="-7"/>
        </w:rPr>
        <w:t xml:space="preserve"> </w:t>
      </w:r>
      <w:r>
        <w:t>its</w:t>
      </w:r>
      <w:r>
        <w:rPr>
          <w:spacing w:val="-9"/>
        </w:rPr>
        <w:t xml:space="preserve"> </w:t>
      </w:r>
      <w:r>
        <w:t>FY</w:t>
      </w:r>
      <w:r>
        <w:rPr>
          <w:spacing w:val="-6"/>
        </w:rPr>
        <w:t xml:space="preserve"> </w:t>
      </w:r>
      <w:r>
        <w:t>2023 conversations</w:t>
      </w:r>
      <w:r>
        <w:rPr>
          <w:spacing w:val="-11"/>
        </w:rPr>
        <w:t xml:space="preserve"> </w:t>
      </w:r>
      <w:r>
        <w:t>with</w:t>
      </w:r>
      <w:r>
        <w:rPr>
          <w:spacing w:val="-10"/>
        </w:rPr>
        <w:t xml:space="preserve"> </w:t>
      </w:r>
      <w:r>
        <w:t>the</w:t>
      </w:r>
      <w:r>
        <w:rPr>
          <w:spacing w:val="-8"/>
        </w:rPr>
        <w:t xml:space="preserve"> </w:t>
      </w:r>
      <w:r>
        <w:t>Commission,</w:t>
      </w:r>
      <w:r>
        <w:rPr>
          <w:spacing w:val="-11"/>
        </w:rPr>
        <w:t xml:space="preserve"> </w:t>
      </w:r>
      <w:r>
        <w:t>DCF</w:t>
      </w:r>
      <w:r>
        <w:rPr>
          <w:spacing w:val="-12"/>
        </w:rPr>
        <w:t xml:space="preserve"> </w:t>
      </w:r>
      <w:r>
        <w:t>has</w:t>
      </w:r>
      <w:r>
        <w:rPr>
          <w:spacing w:val="-9"/>
        </w:rPr>
        <w:t xml:space="preserve"> </w:t>
      </w:r>
      <w:r>
        <w:t>noted</w:t>
      </w:r>
      <w:r>
        <w:rPr>
          <w:spacing w:val="-12"/>
        </w:rPr>
        <w:t xml:space="preserve"> </w:t>
      </w:r>
      <w:r>
        <w:t>that</w:t>
      </w:r>
      <w:r>
        <w:rPr>
          <w:spacing w:val="-9"/>
        </w:rPr>
        <w:t xml:space="preserve"> </w:t>
      </w:r>
      <w:r>
        <w:t>this</w:t>
      </w:r>
      <w:r>
        <w:rPr>
          <w:spacing w:val="-11"/>
        </w:rPr>
        <w:t xml:space="preserve"> </w:t>
      </w:r>
      <w:r>
        <w:t>work</w:t>
      </w:r>
      <w:r>
        <w:rPr>
          <w:spacing w:val="-9"/>
        </w:rPr>
        <w:t xml:space="preserve"> </w:t>
      </w:r>
      <w:r>
        <w:t>is</w:t>
      </w:r>
      <w:r>
        <w:rPr>
          <w:spacing w:val="-11"/>
        </w:rPr>
        <w:t xml:space="preserve"> </w:t>
      </w:r>
      <w:r>
        <w:t>currently</w:t>
      </w:r>
      <w:r>
        <w:rPr>
          <w:spacing w:val="-8"/>
        </w:rPr>
        <w:t xml:space="preserve"> </w:t>
      </w:r>
      <w:r>
        <w:t>in</w:t>
      </w:r>
      <w:r>
        <w:rPr>
          <w:spacing w:val="-12"/>
        </w:rPr>
        <w:t xml:space="preserve"> </w:t>
      </w:r>
      <w:r>
        <w:t>progress,</w:t>
      </w:r>
      <w:r>
        <w:rPr>
          <w:spacing w:val="-11"/>
        </w:rPr>
        <w:t xml:space="preserve"> </w:t>
      </w:r>
      <w:r>
        <w:t>and</w:t>
      </w:r>
      <w:r>
        <w:rPr>
          <w:spacing w:val="-10"/>
        </w:rPr>
        <w:t xml:space="preserve"> </w:t>
      </w:r>
      <w:r>
        <w:t>has</w:t>
      </w:r>
      <w:r>
        <w:rPr>
          <w:spacing w:val="-9"/>
        </w:rPr>
        <w:t xml:space="preserve"> </w:t>
      </w:r>
      <w:r>
        <w:t>actively</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79" w:right="275"/>
        <w:jc w:val="both"/>
      </w:pPr>
      <w:r>
        <w:t>taken steps to begin this process. As noted above, in February of 2023, DCF released two Foster Care Policies and an IT update that provided the list of LGBTQ-affirming homes through its i-FamilyNet portal for all DCF offices to access. DCF has further not</w:t>
      </w:r>
      <w:r>
        <w:t>ed a need for additional feedback to create a formal process</w:t>
      </w:r>
      <w:r>
        <w:rPr>
          <w:spacing w:val="-4"/>
        </w:rPr>
        <w:t xml:space="preserve"> </w:t>
      </w:r>
      <w:r>
        <w:t>to</w:t>
      </w:r>
      <w:r>
        <w:rPr>
          <w:spacing w:val="-1"/>
        </w:rPr>
        <w:t xml:space="preserve"> </w:t>
      </w:r>
      <w:r>
        <w:t>certify</w:t>
      </w:r>
      <w:r>
        <w:rPr>
          <w:spacing w:val="-1"/>
        </w:rPr>
        <w:t xml:space="preserve"> </w:t>
      </w:r>
      <w:r>
        <w:t>foster</w:t>
      </w:r>
      <w:r>
        <w:rPr>
          <w:spacing w:val="-2"/>
        </w:rPr>
        <w:t xml:space="preserve"> </w:t>
      </w:r>
      <w:r>
        <w:t>homes</w:t>
      </w:r>
      <w:r>
        <w:rPr>
          <w:spacing w:val="-4"/>
        </w:rPr>
        <w:t xml:space="preserve"> </w:t>
      </w:r>
      <w:r>
        <w:t>as</w:t>
      </w:r>
      <w:r>
        <w:rPr>
          <w:spacing w:val="-4"/>
        </w:rPr>
        <w:t xml:space="preserve"> </w:t>
      </w:r>
      <w:r>
        <w:t>LGBTQ-affirming,</w:t>
      </w:r>
      <w:r>
        <w:rPr>
          <w:spacing w:val="-2"/>
        </w:rPr>
        <w:t xml:space="preserve"> </w:t>
      </w:r>
      <w:r>
        <w:t>which</w:t>
      </w:r>
      <w:r>
        <w:rPr>
          <w:spacing w:val="-3"/>
        </w:rPr>
        <w:t xml:space="preserve"> </w:t>
      </w:r>
      <w:r>
        <w:t>the</w:t>
      </w:r>
      <w:r>
        <w:rPr>
          <w:spacing w:val="-1"/>
        </w:rPr>
        <w:t xml:space="preserve"> </w:t>
      </w:r>
      <w:r>
        <w:t>Commission</w:t>
      </w:r>
      <w:r>
        <w:rPr>
          <w:spacing w:val="-5"/>
        </w:rPr>
        <w:t xml:space="preserve"> </w:t>
      </w:r>
      <w:r>
        <w:t>looks</w:t>
      </w:r>
      <w:r>
        <w:rPr>
          <w:spacing w:val="-7"/>
        </w:rPr>
        <w:t xml:space="preserve"> </w:t>
      </w:r>
      <w:r>
        <w:t>forward</w:t>
      </w:r>
      <w:r>
        <w:rPr>
          <w:spacing w:val="-5"/>
        </w:rPr>
        <w:t xml:space="preserve"> </w:t>
      </w:r>
      <w:r>
        <w:t>to</w:t>
      </w:r>
      <w:r>
        <w:rPr>
          <w:spacing w:val="-1"/>
        </w:rPr>
        <w:t xml:space="preserve"> </w:t>
      </w:r>
      <w:r>
        <w:t>discussing</w:t>
      </w:r>
      <w:r>
        <w:rPr>
          <w:spacing w:val="-3"/>
        </w:rPr>
        <w:t xml:space="preserve"> </w:t>
      </w:r>
      <w:r>
        <w:t>in its ongoing meetings with DCF.</w:t>
      </w:r>
    </w:p>
    <w:p w:rsidR="00200FDA" w:rsidRDefault="00200FDA">
      <w:pPr>
        <w:pStyle w:val="BodyText"/>
        <w:spacing w:before="7"/>
        <w:rPr>
          <w:sz w:val="19"/>
        </w:rPr>
      </w:pPr>
    </w:p>
    <w:p w:rsidR="00200FDA" w:rsidRDefault="00F76C4C">
      <w:pPr>
        <w:pStyle w:val="Heading9"/>
        <w:numPr>
          <w:ilvl w:val="0"/>
          <w:numId w:val="18"/>
        </w:numPr>
        <w:tabs>
          <w:tab w:val="left" w:pos="504"/>
        </w:tabs>
        <w:ind w:left="503" w:hanging="225"/>
      </w:pPr>
      <w:r>
        <w:t>Hire</w:t>
      </w:r>
      <w:r>
        <w:rPr>
          <w:spacing w:val="-8"/>
        </w:rPr>
        <w:t xml:space="preserve"> </w:t>
      </w:r>
      <w:r>
        <w:t>LGBTQ</w:t>
      </w:r>
      <w:r>
        <w:rPr>
          <w:spacing w:val="-5"/>
        </w:rPr>
        <w:t xml:space="preserve"> </w:t>
      </w:r>
      <w:r>
        <w:t>regional</w:t>
      </w:r>
      <w:r>
        <w:rPr>
          <w:spacing w:val="-5"/>
        </w:rPr>
        <w:t xml:space="preserve"> </w:t>
      </w:r>
      <w:r>
        <w:rPr>
          <w:spacing w:val="-2"/>
        </w:rPr>
        <w:t>specialists.</w:t>
      </w:r>
    </w:p>
    <w:p w:rsidR="00200FDA" w:rsidRDefault="00200FDA">
      <w:pPr>
        <w:pStyle w:val="BodyText"/>
        <w:rPr>
          <w:b/>
          <w:sz w:val="23"/>
        </w:rPr>
      </w:pPr>
    </w:p>
    <w:p w:rsidR="00200FDA" w:rsidRDefault="00F76C4C">
      <w:pPr>
        <w:pStyle w:val="BodyText"/>
        <w:spacing w:line="276" w:lineRule="auto"/>
        <w:ind w:left="279" w:right="273"/>
        <w:jc w:val="both"/>
      </w:pPr>
      <w:r>
        <w:t>The Commission was delighted to s</w:t>
      </w:r>
      <w:r>
        <w:t>ee DCF make progress on its previous recommendation to hire a dedicated</w:t>
      </w:r>
      <w:r>
        <w:rPr>
          <w:spacing w:val="-5"/>
        </w:rPr>
        <w:t xml:space="preserve"> </w:t>
      </w:r>
      <w:r>
        <w:t>LGBTQ</w:t>
      </w:r>
      <w:r>
        <w:rPr>
          <w:spacing w:val="-6"/>
        </w:rPr>
        <w:t xml:space="preserve"> </w:t>
      </w:r>
      <w:r>
        <w:t>Director</w:t>
      </w:r>
      <w:r>
        <w:rPr>
          <w:spacing w:val="-7"/>
        </w:rPr>
        <w:t xml:space="preserve"> </w:t>
      </w:r>
      <w:r>
        <w:t>position</w:t>
      </w:r>
      <w:r>
        <w:rPr>
          <w:spacing w:val="-5"/>
        </w:rPr>
        <w:t xml:space="preserve"> </w:t>
      </w:r>
      <w:r>
        <w:t>to</w:t>
      </w:r>
      <w:r>
        <w:rPr>
          <w:spacing w:val="-3"/>
        </w:rPr>
        <w:t xml:space="preserve"> </w:t>
      </w:r>
      <w:r>
        <w:t>help</w:t>
      </w:r>
      <w:r>
        <w:rPr>
          <w:spacing w:val="-5"/>
        </w:rPr>
        <w:t xml:space="preserve"> </w:t>
      </w:r>
      <w:r>
        <w:t>guide</w:t>
      </w:r>
      <w:r>
        <w:rPr>
          <w:spacing w:val="-4"/>
        </w:rPr>
        <w:t xml:space="preserve"> </w:t>
      </w:r>
      <w:r>
        <w:t>DCF’s</w:t>
      </w:r>
      <w:r>
        <w:rPr>
          <w:spacing w:val="-4"/>
        </w:rPr>
        <w:t xml:space="preserve"> </w:t>
      </w:r>
      <w:r>
        <w:t>internal</w:t>
      </w:r>
      <w:r>
        <w:rPr>
          <w:spacing w:val="-5"/>
        </w:rPr>
        <w:t xml:space="preserve"> </w:t>
      </w:r>
      <w:r>
        <w:t>and</w:t>
      </w:r>
      <w:r>
        <w:rPr>
          <w:spacing w:val="-5"/>
        </w:rPr>
        <w:t xml:space="preserve"> </w:t>
      </w:r>
      <w:r>
        <w:t>external</w:t>
      </w:r>
      <w:r>
        <w:rPr>
          <w:spacing w:val="-5"/>
        </w:rPr>
        <w:t xml:space="preserve"> </w:t>
      </w:r>
      <w:r>
        <w:t>work</w:t>
      </w:r>
      <w:r>
        <w:rPr>
          <w:spacing w:val="-4"/>
        </w:rPr>
        <w:t xml:space="preserve"> </w:t>
      </w:r>
      <w:r>
        <w:t>to</w:t>
      </w:r>
      <w:r>
        <w:rPr>
          <w:spacing w:val="-3"/>
        </w:rPr>
        <w:t xml:space="preserve"> </w:t>
      </w:r>
      <w:r>
        <w:t>improve</w:t>
      </w:r>
      <w:r>
        <w:rPr>
          <w:spacing w:val="-4"/>
        </w:rPr>
        <w:t xml:space="preserve"> </w:t>
      </w:r>
      <w:r>
        <w:t>services</w:t>
      </w:r>
      <w:r>
        <w:rPr>
          <w:spacing w:val="-4"/>
        </w:rPr>
        <w:t xml:space="preserve"> </w:t>
      </w:r>
      <w:r>
        <w:t>for LGBTQ youth; DCF’s new LGBTQIA+ Director was hired and onboarded at the beginning of 2023. The agency is now in the process of working to hire 3 regional LGBTQIA+ Specialists with the hope of a late spring 2023 hiring timeline. The Commission looks for</w:t>
      </w:r>
      <w:r>
        <w:t>ward to its continued partnership with its DCF liaisons in FY 2024.</w:t>
      </w:r>
    </w:p>
    <w:p w:rsidR="00200FDA" w:rsidRDefault="00200FDA">
      <w:pPr>
        <w:pStyle w:val="BodyText"/>
        <w:spacing w:before="7"/>
        <w:rPr>
          <w:sz w:val="19"/>
        </w:rPr>
      </w:pPr>
    </w:p>
    <w:p w:rsidR="00200FDA" w:rsidRDefault="00F76C4C">
      <w:pPr>
        <w:pStyle w:val="Heading9"/>
        <w:numPr>
          <w:ilvl w:val="0"/>
          <w:numId w:val="18"/>
        </w:numPr>
        <w:tabs>
          <w:tab w:val="left" w:pos="499"/>
        </w:tabs>
        <w:spacing w:before="1" w:line="276" w:lineRule="auto"/>
        <w:ind w:left="279" w:right="278" w:firstLine="0"/>
      </w:pPr>
      <w:r>
        <w:t>Partner</w:t>
      </w:r>
      <w:r>
        <w:rPr>
          <w:spacing w:val="-7"/>
        </w:rPr>
        <w:t xml:space="preserve"> </w:t>
      </w:r>
      <w:r>
        <w:t>with</w:t>
      </w:r>
      <w:r>
        <w:rPr>
          <w:spacing w:val="-6"/>
        </w:rPr>
        <w:t xml:space="preserve"> </w:t>
      </w:r>
      <w:r>
        <w:t>LGBTQ</w:t>
      </w:r>
      <w:r>
        <w:rPr>
          <w:spacing w:val="-8"/>
        </w:rPr>
        <w:t xml:space="preserve"> </w:t>
      </w:r>
      <w:r>
        <w:t>youth</w:t>
      </w:r>
      <w:r>
        <w:rPr>
          <w:spacing w:val="-6"/>
        </w:rPr>
        <w:t xml:space="preserve"> </w:t>
      </w:r>
      <w:r>
        <w:t>and</w:t>
      </w:r>
      <w:r>
        <w:rPr>
          <w:spacing w:val="-6"/>
        </w:rPr>
        <w:t xml:space="preserve"> </w:t>
      </w:r>
      <w:r>
        <w:t>organizations</w:t>
      </w:r>
      <w:r>
        <w:rPr>
          <w:spacing w:val="-7"/>
        </w:rPr>
        <w:t xml:space="preserve"> </w:t>
      </w:r>
      <w:r>
        <w:t>to</w:t>
      </w:r>
      <w:r>
        <w:rPr>
          <w:spacing w:val="-6"/>
        </w:rPr>
        <w:t xml:space="preserve"> </w:t>
      </w:r>
      <w:r>
        <w:t>create</w:t>
      </w:r>
      <w:r>
        <w:rPr>
          <w:spacing w:val="-6"/>
        </w:rPr>
        <w:t xml:space="preserve"> </w:t>
      </w:r>
      <w:r>
        <w:t>and</w:t>
      </w:r>
      <w:r>
        <w:rPr>
          <w:spacing w:val="-6"/>
        </w:rPr>
        <w:t xml:space="preserve"> </w:t>
      </w:r>
      <w:r>
        <w:t>disseminate</w:t>
      </w:r>
      <w:r>
        <w:rPr>
          <w:spacing w:val="-6"/>
        </w:rPr>
        <w:t xml:space="preserve"> </w:t>
      </w:r>
      <w:r>
        <w:t>tangible</w:t>
      </w:r>
      <w:r>
        <w:rPr>
          <w:spacing w:val="-6"/>
        </w:rPr>
        <w:t xml:space="preserve"> </w:t>
      </w:r>
      <w:r>
        <w:t>resources</w:t>
      </w:r>
      <w:r>
        <w:rPr>
          <w:spacing w:val="-7"/>
        </w:rPr>
        <w:t xml:space="preserve"> </w:t>
      </w:r>
      <w:r>
        <w:t>for</w:t>
      </w:r>
      <w:r>
        <w:rPr>
          <w:spacing w:val="-7"/>
        </w:rPr>
        <w:t xml:space="preserve"> </w:t>
      </w:r>
      <w:r>
        <w:t>youth, families, and social workers.</w:t>
      </w:r>
    </w:p>
    <w:p w:rsidR="00200FDA" w:rsidRDefault="00200FDA">
      <w:pPr>
        <w:pStyle w:val="BodyText"/>
        <w:spacing w:before="9"/>
        <w:rPr>
          <w:b/>
          <w:sz w:val="19"/>
        </w:rPr>
      </w:pPr>
    </w:p>
    <w:p w:rsidR="00200FDA" w:rsidRDefault="00F76C4C">
      <w:pPr>
        <w:pStyle w:val="BodyText"/>
        <w:spacing w:line="276" w:lineRule="auto"/>
        <w:ind w:left="279" w:right="273"/>
        <w:jc w:val="both"/>
      </w:pPr>
      <w:r>
        <w:t xml:space="preserve">The Commission strongly recommends that DCF partner with </w:t>
      </w:r>
      <w:r>
        <w:t>LGBTQ youth within care, foster parents, and statewide organizations to create and disseminate tangible LGBTQ-affirming resources for youth, families, and social workers. In particular, the Commission has received feedback indicating a desperate need</w:t>
      </w:r>
      <w:r>
        <w:rPr>
          <w:spacing w:val="-6"/>
        </w:rPr>
        <w:t xml:space="preserve"> </w:t>
      </w:r>
      <w:r>
        <w:t>for</w:t>
      </w:r>
      <w:r>
        <w:rPr>
          <w:spacing w:val="-8"/>
        </w:rPr>
        <w:t xml:space="preserve"> </w:t>
      </w:r>
      <w:r>
        <w:t>e</w:t>
      </w:r>
      <w:r>
        <w:t>ducation</w:t>
      </w:r>
      <w:r>
        <w:rPr>
          <w:spacing w:val="-6"/>
        </w:rPr>
        <w:t xml:space="preserve"> </w:t>
      </w:r>
      <w:r>
        <w:t>and</w:t>
      </w:r>
      <w:r>
        <w:rPr>
          <w:spacing w:val="-6"/>
        </w:rPr>
        <w:t xml:space="preserve"> </w:t>
      </w:r>
      <w:r>
        <w:t>resources</w:t>
      </w:r>
      <w:r>
        <w:rPr>
          <w:spacing w:val="-8"/>
        </w:rPr>
        <w:t xml:space="preserve"> </w:t>
      </w:r>
      <w:r>
        <w:t>on</w:t>
      </w:r>
      <w:r>
        <w:rPr>
          <w:spacing w:val="-9"/>
        </w:rPr>
        <w:t xml:space="preserve"> </w:t>
      </w:r>
      <w:r>
        <w:t>supporting</w:t>
      </w:r>
      <w:r>
        <w:rPr>
          <w:spacing w:val="-6"/>
        </w:rPr>
        <w:t xml:space="preserve"> </w:t>
      </w:r>
      <w:r>
        <w:t>LGBTQ</w:t>
      </w:r>
      <w:r>
        <w:rPr>
          <w:spacing w:val="-5"/>
        </w:rPr>
        <w:t xml:space="preserve"> </w:t>
      </w:r>
      <w:r>
        <w:t>youth</w:t>
      </w:r>
      <w:r>
        <w:rPr>
          <w:spacing w:val="-6"/>
        </w:rPr>
        <w:t xml:space="preserve"> </w:t>
      </w:r>
      <w:r>
        <w:t>under</w:t>
      </w:r>
      <w:r>
        <w:rPr>
          <w:spacing w:val="-8"/>
        </w:rPr>
        <w:t xml:space="preserve"> </w:t>
      </w:r>
      <w:r>
        <w:t>the</w:t>
      </w:r>
      <w:r>
        <w:rPr>
          <w:spacing w:val="-5"/>
        </w:rPr>
        <w:t xml:space="preserve"> </w:t>
      </w:r>
      <w:r>
        <w:t>age</w:t>
      </w:r>
      <w:r>
        <w:rPr>
          <w:spacing w:val="-8"/>
        </w:rPr>
        <w:t xml:space="preserve"> </w:t>
      </w:r>
      <w:r>
        <w:t>of</w:t>
      </w:r>
      <w:r>
        <w:rPr>
          <w:spacing w:val="-8"/>
        </w:rPr>
        <w:t xml:space="preserve"> </w:t>
      </w:r>
      <w:r>
        <w:t>10,</w:t>
      </w:r>
      <w:r>
        <w:rPr>
          <w:spacing w:val="-6"/>
        </w:rPr>
        <w:t xml:space="preserve"> </w:t>
      </w:r>
      <w:r>
        <w:t>as</w:t>
      </w:r>
      <w:r>
        <w:rPr>
          <w:spacing w:val="-8"/>
        </w:rPr>
        <w:t xml:space="preserve"> </w:t>
      </w:r>
      <w:r>
        <w:t>well</w:t>
      </w:r>
      <w:r>
        <w:rPr>
          <w:spacing w:val="-8"/>
        </w:rPr>
        <w:t xml:space="preserve"> </w:t>
      </w:r>
      <w:r>
        <w:t>as</w:t>
      </w:r>
      <w:r>
        <w:rPr>
          <w:spacing w:val="-6"/>
        </w:rPr>
        <w:t xml:space="preserve"> </w:t>
      </w:r>
      <w:r>
        <w:t>the</w:t>
      </w:r>
      <w:r>
        <w:rPr>
          <w:spacing w:val="-5"/>
        </w:rPr>
        <w:t xml:space="preserve"> </w:t>
      </w:r>
      <w:r>
        <w:t>need</w:t>
      </w:r>
      <w:r>
        <w:rPr>
          <w:spacing w:val="-6"/>
        </w:rPr>
        <w:t xml:space="preserve"> </w:t>
      </w:r>
      <w:r>
        <w:t>for further guidance and resources around affirming pediatric health care. DCF has advised the Commission about its intent to have specialists in the new DCF LGBTQIA+ unit to bridge resource needs between community providers and DCF staff to help create an</w:t>
      </w:r>
      <w:r>
        <w:t>d disseminate resources on LGBTQ-affirming care. DCF further notes that it is launching a Support &amp; Stabilization contract Request For Responses (RFR) in the hopes of soliciting additional support services from providers.</w:t>
      </w:r>
    </w:p>
    <w:p w:rsidR="00200FDA" w:rsidRDefault="00200FDA">
      <w:pPr>
        <w:pStyle w:val="BodyText"/>
        <w:spacing w:before="7"/>
        <w:rPr>
          <w:sz w:val="19"/>
        </w:rPr>
      </w:pPr>
    </w:p>
    <w:p w:rsidR="00200FDA" w:rsidRDefault="00F76C4C">
      <w:pPr>
        <w:pStyle w:val="Heading9"/>
        <w:numPr>
          <w:ilvl w:val="0"/>
          <w:numId w:val="18"/>
        </w:numPr>
        <w:tabs>
          <w:tab w:val="left" w:pos="530"/>
        </w:tabs>
        <w:spacing w:line="273" w:lineRule="auto"/>
        <w:ind w:left="279" w:right="273" w:firstLine="0"/>
      </w:pPr>
      <w:r>
        <w:t>Expand</w:t>
      </w:r>
      <w:r>
        <w:rPr>
          <w:spacing w:val="26"/>
        </w:rPr>
        <w:t xml:space="preserve"> </w:t>
      </w:r>
      <w:r>
        <w:t>and</w:t>
      </w:r>
      <w:r>
        <w:rPr>
          <w:spacing w:val="26"/>
        </w:rPr>
        <w:t xml:space="preserve"> </w:t>
      </w:r>
      <w:r>
        <w:t>mandate</w:t>
      </w:r>
      <w:r>
        <w:rPr>
          <w:spacing w:val="26"/>
        </w:rPr>
        <w:t xml:space="preserve"> </w:t>
      </w:r>
      <w:r>
        <w:t>LGBTQ</w:t>
      </w:r>
      <w:r>
        <w:rPr>
          <w:spacing w:val="24"/>
        </w:rPr>
        <w:t xml:space="preserve"> </w:t>
      </w:r>
      <w:r>
        <w:t>cultural</w:t>
      </w:r>
      <w:r>
        <w:rPr>
          <w:spacing w:val="27"/>
        </w:rPr>
        <w:t xml:space="preserve"> </w:t>
      </w:r>
      <w:r>
        <w:t>engagement</w:t>
      </w:r>
      <w:r>
        <w:rPr>
          <w:spacing w:val="27"/>
        </w:rPr>
        <w:t xml:space="preserve"> </w:t>
      </w:r>
      <w:r>
        <w:t>trainings,</w:t>
      </w:r>
      <w:r>
        <w:rPr>
          <w:spacing w:val="27"/>
        </w:rPr>
        <w:t xml:space="preserve"> </w:t>
      </w:r>
      <w:r>
        <w:t>as</w:t>
      </w:r>
      <w:r>
        <w:rPr>
          <w:spacing w:val="25"/>
        </w:rPr>
        <w:t xml:space="preserve"> </w:t>
      </w:r>
      <w:r>
        <w:t>well</w:t>
      </w:r>
      <w:r>
        <w:rPr>
          <w:spacing w:val="25"/>
        </w:rPr>
        <w:t xml:space="preserve"> </w:t>
      </w:r>
      <w:r>
        <w:t>as</w:t>
      </w:r>
      <w:r>
        <w:rPr>
          <w:spacing w:val="27"/>
        </w:rPr>
        <w:t xml:space="preserve"> </w:t>
      </w:r>
      <w:r>
        <w:t>trainings</w:t>
      </w:r>
      <w:r>
        <w:rPr>
          <w:spacing w:val="27"/>
        </w:rPr>
        <w:t xml:space="preserve"> </w:t>
      </w:r>
      <w:r>
        <w:t>on</w:t>
      </w:r>
      <w:r>
        <w:rPr>
          <w:spacing w:val="23"/>
        </w:rPr>
        <w:t xml:space="preserve"> </w:t>
      </w:r>
      <w:r>
        <w:t>racial</w:t>
      </w:r>
      <w:r>
        <w:rPr>
          <w:spacing w:val="27"/>
        </w:rPr>
        <w:t xml:space="preserve"> </w:t>
      </w:r>
      <w:r>
        <w:t>equity, ableism, and adultism.</w:t>
      </w:r>
    </w:p>
    <w:p w:rsidR="00200FDA" w:rsidRDefault="00200FDA">
      <w:pPr>
        <w:pStyle w:val="BodyText"/>
        <w:spacing w:before="1"/>
        <w:rPr>
          <w:b/>
          <w:sz w:val="20"/>
        </w:rPr>
      </w:pPr>
    </w:p>
    <w:p w:rsidR="00200FDA" w:rsidRDefault="00F76C4C">
      <w:pPr>
        <w:pStyle w:val="BodyText"/>
        <w:spacing w:line="276" w:lineRule="auto"/>
        <w:ind w:left="279" w:right="273"/>
        <w:jc w:val="both"/>
      </w:pPr>
      <w:r>
        <w:t>Since the spring of FY 2022, DCF has been engaged in a series of internal trainings on LGBTQ cultural engagement with the Commission. Recently, one DCF staff member commi</w:t>
      </w:r>
      <w:r>
        <w:t>tted to taking part in a cross- agency train-the-trainer series with EOHHS to build internal DCF capacity to deliver trainings to its workforce. Additionally, DCF is in the process of soliciting information on alternative training vendors to continue to bu</w:t>
      </w:r>
      <w:r>
        <w:t>ild upon previous trainings and expanding topics, such as ableism. The Commission appreciates this commitment to diversifying knowledge and skills and further recommends that DCF ensure that mandatory racial equity and adultism trainings are included in it</w:t>
      </w:r>
      <w:r>
        <w:t>s training plans for all staff. DCF further noted in its January 2023 meeting with the Commission that it previously coordinated a vendor to deliver a training on LGBTQ youth who are autistic, with the hopes of delivering this training agency-wide</w:t>
      </w:r>
      <w:r>
        <w:rPr>
          <w:spacing w:val="-8"/>
        </w:rPr>
        <w:t xml:space="preserve"> </w:t>
      </w:r>
      <w:r>
        <w:t>and</w:t>
      </w:r>
      <w:r>
        <w:rPr>
          <w:spacing w:val="-7"/>
        </w:rPr>
        <w:t xml:space="preserve"> </w:t>
      </w:r>
      <w:r>
        <w:t>star</w:t>
      </w:r>
      <w:r>
        <w:t>ting</w:t>
      </w:r>
      <w:r>
        <w:rPr>
          <w:spacing w:val="-7"/>
        </w:rPr>
        <w:t xml:space="preserve"> </w:t>
      </w:r>
      <w:r>
        <w:t>a</w:t>
      </w:r>
      <w:r>
        <w:rPr>
          <w:spacing w:val="-9"/>
        </w:rPr>
        <w:t xml:space="preserve"> </w:t>
      </w:r>
      <w:r>
        <w:t>broader</w:t>
      </w:r>
      <w:r>
        <w:rPr>
          <w:spacing w:val="-7"/>
        </w:rPr>
        <w:t xml:space="preserve"> </w:t>
      </w:r>
      <w:r>
        <w:t>conversation</w:t>
      </w:r>
      <w:r>
        <w:rPr>
          <w:spacing w:val="-7"/>
        </w:rPr>
        <w:t xml:space="preserve"> </w:t>
      </w:r>
      <w:r>
        <w:t>about</w:t>
      </w:r>
      <w:r>
        <w:rPr>
          <w:spacing w:val="-6"/>
        </w:rPr>
        <w:t xml:space="preserve"> </w:t>
      </w:r>
      <w:r>
        <w:t>accessibility.</w:t>
      </w:r>
      <w:r>
        <w:rPr>
          <w:spacing w:val="-10"/>
        </w:rPr>
        <w:t xml:space="preserve"> </w:t>
      </w:r>
      <w:r>
        <w:t>The</w:t>
      </w:r>
      <w:r>
        <w:rPr>
          <w:spacing w:val="-6"/>
        </w:rPr>
        <w:t xml:space="preserve"> </w:t>
      </w:r>
      <w:r>
        <w:t>Commission</w:t>
      </w:r>
      <w:r>
        <w:rPr>
          <w:spacing w:val="-7"/>
        </w:rPr>
        <w:t xml:space="preserve"> </w:t>
      </w:r>
      <w:r>
        <w:t>looks</w:t>
      </w:r>
      <w:r>
        <w:rPr>
          <w:spacing w:val="-7"/>
        </w:rPr>
        <w:t xml:space="preserve"> </w:t>
      </w:r>
      <w:r>
        <w:t>forward</w:t>
      </w:r>
      <w:r>
        <w:rPr>
          <w:spacing w:val="-10"/>
        </w:rPr>
        <w:t xml:space="preserve"> </w:t>
      </w:r>
      <w:r>
        <w:t>to</w:t>
      </w:r>
      <w:r>
        <w:rPr>
          <w:spacing w:val="-8"/>
        </w:rPr>
        <w:t xml:space="preserve"> </w:t>
      </w:r>
      <w:r>
        <w:t xml:space="preserve">its continued partnership with DCF on trainings and exploring further avenues of training topics with the </w:t>
      </w:r>
      <w:r>
        <w:rPr>
          <w:spacing w:val="-2"/>
        </w:rPr>
        <w:t>agency.</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20"/>
        </w:rPr>
      </w:pPr>
    </w:p>
    <w:p w:rsidR="00200FDA" w:rsidRDefault="00200FDA">
      <w:pPr>
        <w:pStyle w:val="BodyText"/>
        <w:spacing w:before="11"/>
        <w:rPr>
          <w:sz w:val="18"/>
        </w:rPr>
      </w:pPr>
    </w:p>
    <w:p w:rsidR="00200FDA" w:rsidRDefault="00F76C4C">
      <w:pPr>
        <w:pStyle w:val="Heading9"/>
        <w:numPr>
          <w:ilvl w:val="0"/>
          <w:numId w:val="18"/>
        </w:numPr>
        <w:tabs>
          <w:tab w:val="left" w:pos="533"/>
        </w:tabs>
        <w:spacing w:before="1" w:line="276" w:lineRule="auto"/>
        <w:ind w:right="273" w:firstLine="0"/>
        <w:jc w:val="both"/>
      </w:pPr>
      <w:r>
        <w:t>Improve interagency work to support “warm han</w:t>
      </w:r>
      <w:r>
        <w:t>d-offs” for transition-aged youth attempting to access</w:t>
      </w:r>
      <w:r>
        <w:rPr>
          <w:spacing w:val="-13"/>
        </w:rPr>
        <w:t xml:space="preserve"> </w:t>
      </w:r>
      <w:r>
        <w:t>services,</w:t>
      </w:r>
      <w:r>
        <w:rPr>
          <w:spacing w:val="-12"/>
        </w:rPr>
        <w:t xml:space="preserve"> </w:t>
      </w:r>
      <w:r>
        <w:t>in</w:t>
      </w:r>
      <w:r>
        <w:rPr>
          <w:spacing w:val="-13"/>
        </w:rPr>
        <w:t xml:space="preserve"> </w:t>
      </w:r>
      <w:r>
        <w:t>partnership</w:t>
      </w:r>
      <w:r>
        <w:rPr>
          <w:spacing w:val="-12"/>
        </w:rPr>
        <w:t xml:space="preserve"> </w:t>
      </w:r>
      <w:r>
        <w:t>with</w:t>
      </w:r>
      <w:r>
        <w:rPr>
          <w:spacing w:val="-13"/>
        </w:rPr>
        <w:t xml:space="preserve"> </w:t>
      </w:r>
      <w:r>
        <w:t>the</w:t>
      </w:r>
      <w:r>
        <w:rPr>
          <w:spacing w:val="-12"/>
        </w:rPr>
        <w:t xml:space="preserve"> </w:t>
      </w:r>
      <w:r>
        <w:t>Department</w:t>
      </w:r>
      <w:r>
        <w:rPr>
          <w:spacing w:val="-13"/>
        </w:rPr>
        <w:t xml:space="preserve"> </w:t>
      </w:r>
      <w:r>
        <w:t>of</w:t>
      </w:r>
      <w:r>
        <w:rPr>
          <w:spacing w:val="-12"/>
        </w:rPr>
        <w:t xml:space="preserve"> </w:t>
      </w:r>
      <w:r>
        <w:t>Mental</w:t>
      </w:r>
      <w:r>
        <w:rPr>
          <w:spacing w:val="-12"/>
        </w:rPr>
        <w:t xml:space="preserve"> </w:t>
      </w:r>
      <w:r>
        <w:t>Health,</w:t>
      </w:r>
      <w:r>
        <w:rPr>
          <w:spacing w:val="-13"/>
        </w:rPr>
        <w:t xml:space="preserve"> </w:t>
      </w:r>
      <w:r>
        <w:t>MassHealth,</w:t>
      </w:r>
      <w:r>
        <w:rPr>
          <w:spacing w:val="-12"/>
        </w:rPr>
        <w:t xml:space="preserve"> </w:t>
      </w:r>
      <w:r>
        <w:t>and</w:t>
      </w:r>
      <w:r>
        <w:rPr>
          <w:spacing w:val="-13"/>
        </w:rPr>
        <w:t xml:space="preserve"> </w:t>
      </w:r>
      <w:r>
        <w:t>the</w:t>
      </w:r>
      <w:r>
        <w:rPr>
          <w:spacing w:val="-12"/>
        </w:rPr>
        <w:t xml:space="preserve"> </w:t>
      </w:r>
      <w:r>
        <w:t>Department of Youth Services.</w:t>
      </w:r>
    </w:p>
    <w:p w:rsidR="00200FDA" w:rsidRDefault="00200FDA">
      <w:pPr>
        <w:pStyle w:val="BodyText"/>
        <w:spacing w:before="7"/>
        <w:rPr>
          <w:b/>
          <w:sz w:val="19"/>
        </w:rPr>
      </w:pPr>
    </w:p>
    <w:p w:rsidR="00200FDA" w:rsidRDefault="00F76C4C">
      <w:pPr>
        <w:pStyle w:val="BodyText"/>
        <w:spacing w:line="276" w:lineRule="auto"/>
        <w:ind w:left="279" w:right="273"/>
        <w:jc w:val="both"/>
      </w:pPr>
      <w:r>
        <w:t>As discussed throughout the Commission’s FY 2024 annual report, multisystem-involved transition-aged youth are often the most marginalized and underserved youth across the Commonwealth. Often, when youth transition between agency systems, such as going fro</w:t>
      </w:r>
      <w:r>
        <w:t>m DYS to DCF or vice versa, some youth experience little to no direct handoff to new services. Unfortunately, this means that youth often fall between</w:t>
      </w:r>
      <w:r>
        <w:rPr>
          <w:spacing w:val="-7"/>
        </w:rPr>
        <w:t xml:space="preserve"> </w:t>
      </w:r>
      <w:r>
        <w:t>systemic</w:t>
      </w:r>
      <w:r>
        <w:rPr>
          <w:spacing w:val="-9"/>
        </w:rPr>
        <w:t xml:space="preserve"> </w:t>
      </w:r>
      <w:r>
        <w:t>cracks</w:t>
      </w:r>
      <w:r>
        <w:rPr>
          <w:spacing w:val="-6"/>
        </w:rPr>
        <w:t xml:space="preserve"> </w:t>
      </w:r>
      <w:r>
        <w:t>as</w:t>
      </w:r>
      <w:r>
        <w:rPr>
          <w:spacing w:val="-9"/>
        </w:rPr>
        <w:t xml:space="preserve"> </w:t>
      </w:r>
      <w:r>
        <w:t>agencies</w:t>
      </w:r>
      <w:r>
        <w:rPr>
          <w:spacing w:val="-7"/>
        </w:rPr>
        <w:t xml:space="preserve"> </w:t>
      </w:r>
      <w:r>
        <w:t>fail</w:t>
      </w:r>
      <w:r>
        <w:rPr>
          <w:spacing w:val="-9"/>
        </w:rPr>
        <w:t xml:space="preserve"> </w:t>
      </w:r>
      <w:r>
        <w:t>to</w:t>
      </w:r>
      <w:r>
        <w:rPr>
          <w:spacing w:val="-5"/>
        </w:rPr>
        <w:t xml:space="preserve"> </w:t>
      </w:r>
      <w:r>
        <w:t>collaborate,</w:t>
      </w:r>
      <w:r>
        <w:rPr>
          <w:spacing w:val="-6"/>
        </w:rPr>
        <w:t xml:space="preserve"> </w:t>
      </w:r>
      <w:r>
        <w:t>leaving</w:t>
      </w:r>
      <w:r>
        <w:rPr>
          <w:spacing w:val="-10"/>
        </w:rPr>
        <w:t xml:space="preserve"> </w:t>
      </w:r>
      <w:r>
        <w:t>youth</w:t>
      </w:r>
      <w:r>
        <w:rPr>
          <w:spacing w:val="-7"/>
        </w:rPr>
        <w:t xml:space="preserve"> </w:t>
      </w:r>
      <w:r>
        <w:t>and</w:t>
      </w:r>
      <w:r>
        <w:rPr>
          <w:spacing w:val="-7"/>
        </w:rPr>
        <w:t xml:space="preserve"> </w:t>
      </w:r>
      <w:r>
        <w:t>their</w:t>
      </w:r>
      <w:r>
        <w:rPr>
          <w:spacing w:val="-7"/>
        </w:rPr>
        <w:t xml:space="preserve"> </w:t>
      </w:r>
      <w:r>
        <w:t>families</w:t>
      </w:r>
      <w:r>
        <w:rPr>
          <w:spacing w:val="-9"/>
        </w:rPr>
        <w:t xml:space="preserve"> </w:t>
      </w:r>
      <w:r>
        <w:t>without</w:t>
      </w:r>
      <w:r>
        <w:rPr>
          <w:spacing w:val="-6"/>
        </w:rPr>
        <w:t xml:space="preserve"> </w:t>
      </w:r>
      <w:r>
        <w:t>any</w:t>
      </w:r>
      <w:r>
        <w:rPr>
          <w:spacing w:val="-8"/>
        </w:rPr>
        <w:t xml:space="preserve"> </w:t>
      </w:r>
      <w:r>
        <w:t>clear guida</w:t>
      </w:r>
      <w:r>
        <w:t>nce or direction for assistance.</w:t>
      </w:r>
    </w:p>
    <w:p w:rsidR="00200FDA" w:rsidRDefault="00200FDA">
      <w:pPr>
        <w:pStyle w:val="BodyText"/>
        <w:spacing w:before="8"/>
        <w:rPr>
          <w:sz w:val="19"/>
        </w:rPr>
      </w:pPr>
    </w:p>
    <w:p w:rsidR="00200FDA" w:rsidRDefault="00F76C4C">
      <w:pPr>
        <w:pStyle w:val="BodyText"/>
        <w:spacing w:line="276" w:lineRule="auto"/>
        <w:ind w:left="279" w:right="273"/>
        <w:jc w:val="both"/>
      </w:pPr>
      <w:r>
        <w:t>The Commission has even received notice from some DCF social workers that agencies have failed to notify</w:t>
      </w:r>
      <w:r>
        <w:rPr>
          <w:spacing w:val="-13"/>
        </w:rPr>
        <w:t xml:space="preserve"> </w:t>
      </w:r>
      <w:r>
        <w:t>them</w:t>
      </w:r>
      <w:r>
        <w:rPr>
          <w:spacing w:val="-12"/>
        </w:rPr>
        <w:t xml:space="preserve"> </w:t>
      </w:r>
      <w:r>
        <w:t>when</w:t>
      </w:r>
      <w:r>
        <w:rPr>
          <w:spacing w:val="-13"/>
        </w:rPr>
        <w:t xml:space="preserve"> </w:t>
      </w:r>
      <w:r>
        <w:t>their</w:t>
      </w:r>
      <w:r>
        <w:rPr>
          <w:spacing w:val="-12"/>
        </w:rPr>
        <w:t xml:space="preserve"> </w:t>
      </w:r>
      <w:r>
        <w:t>youth</w:t>
      </w:r>
      <w:r>
        <w:rPr>
          <w:spacing w:val="-13"/>
        </w:rPr>
        <w:t xml:space="preserve"> </w:t>
      </w:r>
      <w:r>
        <w:t>have</w:t>
      </w:r>
      <w:r>
        <w:rPr>
          <w:spacing w:val="-12"/>
        </w:rPr>
        <w:t xml:space="preserve"> </w:t>
      </w:r>
      <w:r>
        <w:t>been</w:t>
      </w:r>
      <w:r>
        <w:rPr>
          <w:spacing w:val="-13"/>
        </w:rPr>
        <w:t xml:space="preserve"> </w:t>
      </w:r>
      <w:r>
        <w:t>transferred</w:t>
      </w:r>
      <w:r>
        <w:rPr>
          <w:spacing w:val="-12"/>
        </w:rPr>
        <w:t xml:space="preserve"> </w:t>
      </w:r>
      <w:r>
        <w:t>into</w:t>
      </w:r>
      <w:r>
        <w:rPr>
          <w:spacing w:val="-12"/>
        </w:rPr>
        <w:t xml:space="preserve"> </w:t>
      </w:r>
      <w:r>
        <w:t>DYS</w:t>
      </w:r>
      <w:r>
        <w:rPr>
          <w:spacing w:val="-13"/>
        </w:rPr>
        <w:t xml:space="preserve"> </w:t>
      </w:r>
      <w:r>
        <w:t>custody.</w:t>
      </w:r>
      <w:r>
        <w:rPr>
          <w:spacing w:val="-12"/>
        </w:rPr>
        <w:t xml:space="preserve"> </w:t>
      </w:r>
      <w:r>
        <w:t>This</w:t>
      </w:r>
      <w:r>
        <w:rPr>
          <w:spacing w:val="-12"/>
        </w:rPr>
        <w:t xml:space="preserve"> </w:t>
      </w:r>
      <w:r>
        <w:t>is</w:t>
      </w:r>
      <w:r>
        <w:rPr>
          <w:spacing w:val="-13"/>
        </w:rPr>
        <w:t xml:space="preserve"> </w:t>
      </w:r>
      <w:r>
        <w:t>particularly</w:t>
      </w:r>
      <w:r>
        <w:rPr>
          <w:spacing w:val="-10"/>
        </w:rPr>
        <w:t xml:space="preserve"> </w:t>
      </w:r>
      <w:r>
        <w:t>concerning</w:t>
      </w:r>
      <w:r>
        <w:rPr>
          <w:spacing w:val="-12"/>
        </w:rPr>
        <w:t xml:space="preserve"> </w:t>
      </w:r>
      <w:r>
        <w:t>given that cases being monitored by DCF for abuse and neglect are closed if youth are committed by DYS, and also in cases where DCF has custody and care of the youth, which makes DYS the ‘parent’ of the youth. Once</w:t>
      </w:r>
      <w:r>
        <w:rPr>
          <w:spacing w:val="-13"/>
        </w:rPr>
        <w:t xml:space="preserve"> </w:t>
      </w:r>
      <w:r>
        <w:t>they</w:t>
      </w:r>
      <w:r>
        <w:rPr>
          <w:spacing w:val="-12"/>
        </w:rPr>
        <w:t xml:space="preserve"> </w:t>
      </w:r>
      <w:r>
        <w:t>leave</w:t>
      </w:r>
      <w:r>
        <w:rPr>
          <w:spacing w:val="-13"/>
        </w:rPr>
        <w:t xml:space="preserve"> </w:t>
      </w:r>
      <w:r>
        <w:t>DYS</w:t>
      </w:r>
      <w:r>
        <w:rPr>
          <w:spacing w:val="-12"/>
        </w:rPr>
        <w:t xml:space="preserve"> </w:t>
      </w:r>
      <w:r>
        <w:t>custody,</w:t>
      </w:r>
      <w:r>
        <w:rPr>
          <w:spacing w:val="-12"/>
        </w:rPr>
        <w:t xml:space="preserve"> </w:t>
      </w:r>
      <w:r>
        <w:t>the</w:t>
      </w:r>
      <w:r>
        <w:rPr>
          <w:spacing w:val="-10"/>
        </w:rPr>
        <w:t xml:space="preserve"> </w:t>
      </w:r>
      <w:r>
        <w:t>Commission</w:t>
      </w:r>
      <w:r>
        <w:rPr>
          <w:spacing w:val="-12"/>
        </w:rPr>
        <w:t xml:space="preserve"> </w:t>
      </w:r>
      <w:r>
        <w:t>un</w:t>
      </w:r>
      <w:r>
        <w:t>derstands</w:t>
      </w:r>
      <w:r>
        <w:rPr>
          <w:spacing w:val="-12"/>
        </w:rPr>
        <w:t xml:space="preserve"> </w:t>
      </w:r>
      <w:r>
        <w:t>that</w:t>
      </w:r>
      <w:r>
        <w:rPr>
          <w:spacing w:val="-11"/>
        </w:rPr>
        <w:t xml:space="preserve"> </w:t>
      </w:r>
      <w:r>
        <w:t>the</w:t>
      </w:r>
      <w:r>
        <w:rPr>
          <w:spacing w:val="-13"/>
        </w:rPr>
        <w:t xml:space="preserve"> </w:t>
      </w:r>
      <w:r>
        <w:t>youth</w:t>
      </w:r>
      <w:r>
        <w:rPr>
          <w:spacing w:val="-12"/>
        </w:rPr>
        <w:t xml:space="preserve"> </w:t>
      </w:r>
      <w:r>
        <w:t>are</w:t>
      </w:r>
      <w:r>
        <w:rPr>
          <w:spacing w:val="-13"/>
        </w:rPr>
        <w:t xml:space="preserve"> </w:t>
      </w:r>
      <w:r>
        <w:t>often</w:t>
      </w:r>
      <w:r>
        <w:rPr>
          <w:spacing w:val="-11"/>
        </w:rPr>
        <w:t xml:space="preserve"> </w:t>
      </w:r>
      <w:r>
        <w:t>then</w:t>
      </w:r>
      <w:r>
        <w:rPr>
          <w:spacing w:val="-12"/>
        </w:rPr>
        <w:t xml:space="preserve"> </w:t>
      </w:r>
      <w:r>
        <w:t>returned</w:t>
      </w:r>
      <w:r>
        <w:rPr>
          <w:spacing w:val="-13"/>
        </w:rPr>
        <w:t xml:space="preserve"> </w:t>
      </w:r>
      <w:r>
        <w:t>to</w:t>
      </w:r>
      <w:r>
        <w:rPr>
          <w:spacing w:val="-12"/>
        </w:rPr>
        <w:t xml:space="preserve"> </w:t>
      </w:r>
      <w:r>
        <w:t>their family of origin without any further monitoring by DYS or DCF to assess for safety. The Commission is concerned by this process as it does not believe that DYS is equipped with the tools or structur</w:t>
      </w:r>
      <w:r>
        <w:t xml:space="preserve">es to investigate for safety, permanency, or wellbeing to reunify and reconcile family systems that have been </w:t>
      </w:r>
      <w:r>
        <w:rPr>
          <w:spacing w:val="-2"/>
        </w:rPr>
        <w:t>disrupted.</w:t>
      </w:r>
    </w:p>
    <w:p w:rsidR="00200FDA" w:rsidRDefault="00200FDA">
      <w:pPr>
        <w:pStyle w:val="BodyText"/>
        <w:spacing w:before="7"/>
        <w:rPr>
          <w:sz w:val="19"/>
        </w:rPr>
      </w:pPr>
    </w:p>
    <w:p w:rsidR="00200FDA" w:rsidRDefault="00F76C4C">
      <w:pPr>
        <w:pStyle w:val="BodyText"/>
        <w:spacing w:line="276" w:lineRule="auto"/>
        <w:ind w:left="279" w:right="274"/>
        <w:jc w:val="both"/>
      </w:pPr>
      <w:r>
        <w:t>DCF</w:t>
      </w:r>
      <w:r>
        <w:rPr>
          <w:spacing w:val="-13"/>
        </w:rPr>
        <w:t xml:space="preserve"> </w:t>
      </w:r>
      <w:r>
        <w:t>notes</w:t>
      </w:r>
      <w:r>
        <w:rPr>
          <w:spacing w:val="-12"/>
        </w:rPr>
        <w:t xml:space="preserve"> </w:t>
      </w:r>
      <w:r>
        <w:t>that</w:t>
      </w:r>
      <w:r>
        <w:rPr>
          <w:spacing w:val="-13"/>
        </w:rPr>
        <w:t xml:space="preserve"> </w:t>
      </w:r>
      <w:r>
        <w:t>the</w:t>
      </w:r>
      <w:r>
        <w:rPr>
          <w:spacing w:val="-12"/>
        </w:rPr>
        <w:t xml:space="preserve"> </w:t>
      </w:r>
      <w:r>
        <w:t>agency</w:t>
      </w:r>
      <w:r>
        <w:rPr>
          <w:spacing w:val="-13"/>
        </w:rPr>
        <w:t xml:space="preserve"> </w:t>
      </w:r>
      <w:r>
        <w:t>has</w:t>
      </w:r>
      <w:r>
        <w:rPr>
          <w:spacing w:val="-12"/>
        </w:rPr>
        <w:t xml:space="preserve"> </w:t>
      </w:r>
      <w:r>
        <w:t>multiple</w:t>
      </w:r>
      <w:r>
        <w:rPr>
          <w:spacing w:val="-12"/>
        </w:rPr>
        <w:t xml:space="preserve"> </w:t>
      </w:r>
      <w:r>
        <w:t>points</w:t>
      </w:r>
      <w:r>
        <w:rPr>
          <w:spacing w:val="-13"/>
        </w:rPr>
        <w:t xml:space="preserve"> </w:t>
      </w:r>
      <w:r>
        <w:t>of</w:t>
      </w:r>
      <w:r>
        <w:rPr>
          <w:spacing w:val="-12"/>
        </w:rPr>
        <w:t xml:space="preserve"> </w:t>
      </w:r>
      <w:r>
        <w:t>interagency</w:t>
      </w:r>
      <w:r>
        <w:rPr>
          <w:spacing w:val="-11"/>
        </w:rPr>
        <w:t xml:space="preserve"> </w:t>
      </w:r>
      <w:r>
        <w:t>collaboration,</w:t>
      </w:r>
      <w:r>
        <w:rPr>
          <w:spacing w:val="-12"/>
        </w:rPr>
        <w:t xml:space="preserve"> </w:t>
      </w:r>
      <w:r>
        <w:t>including:</w:t>
      </w:r>
      <w:r>
        <w:rPr>
          <w:spacing w:val="-10"/>
        </w:rPr>
        <w:t xml:space="preserve"> </w:t>
      </w:r>
      <w:r>
        <w:t>the</w:t>
      </w:r>
      <w:r>
        <w:rPr>
          <w:spacing w:val="-12"/>
        </w:rPr>
        <w:t xml:space="preserve"> </w:t>
      </w:r>
      <w:r>
        <w:t>implementation of a new complex case resolu</w:t>
      </w:r>
      <w:r>
        <w:t>tion process being developed by EOHHS; transition planning and the 688 process as required by law to support youth with disabilities; an internal Mental Health Specialist Unit collaboration process with DMH; interagency meetings with youth-serving agencies</w:t>
      </w:r>
      <w:r>
        <w:t>; and an MOU with DYS for dual-involved youth being detained pretrial. DCF further notes that if a Care and Protection Petition (C&amp;P) or Child Requiring Assistance (CRA) petition is dismissed in court, and a minor is released from</w:t>
      </w:r>
      <w:r>
        <w:rPr>
          <w:spacing w:val="-13"/>
        </w:rPr>
        <w:t xml:space="preserve"> </w:t>
      </w:r>
      <w:r>
        <w:t>DYS</w:t>
      </w:r>
      <w:r>
        <w:rPr>
          <w:spacing w:val="-12"/>
        </w:rPr>
        <w:t xml:space="preserve"> </w:t>
      </w:r>
      <w:r>
        <w:t>custody,</w:t>
      </w:r>
      <w:r>
        <w:rPr>
          <w:spacing w:val="-12"/>
        </w:rPr>
        <w:t xml:space="preserve"> </w:t>
      </w:r>
      <w:r>
        <w:t>a</w:t>
      </w:r>
      <w:r>
        <w:rPr>
          <w:spacing w:val="-11"/>
        </w:rPr>
        <w:t xml:space="preserve"> </w:t>
      </w:r>
      <w:r>
        <w:t>new</w:t>
      </w:r>
      <w:r>
        <w:rPr>
          <w:spacing w:val="-10"/>
        </w:rPr>
        <w:t xml:space="preserve"> </w:t>
      </w:r>
      <w:r>
        <w:t>51A</w:t>
      </w:r>
      <w:r>
        <w:rPr>
          <w:spacing w:val="-11"/>
        </w:rPr>
        <w:t xml:space="preserve"> </w:t>
      </w:r>
      <w:r>
        <w:t>wo</w:t>
      </w:r>
      <w:r>
        <w:t>uld</w:t>
      </w:r>
      <w:r>
        <w:rPr>
          <w:spacing w:val="-11"/>
        </w:rPr>
        <w:t xml:space="preserve"> </w:t>
      </w:r>
      <w:r>
        <w:t>need</w:t>
      </w:r>
      <w:r>
        <w:rPr>
          <w:spacing w:val="-13"/>
        </w:rPr>
        <w:t xml:space="preserve"> </w:t>
      </w:r>
      <w:r>
        <w:t>to</w:t>
      </w:r>
      <w:r>
        <w:rPr>
          <w:spacing w:val="-9"/>
        </w:rPr>
        <w:t xml:space="preserve"> </w:t>
      </w:r>
      <w:r>
        <w:t>be</w:t>
      </w:r>
      <w:r>
        <w:rPr>
          <w:spacing w:val="-10"/>
        </w:rPr>
        <w:t xml:space="preserve"> </w:t>
      </w:r>
      <w:r>
        <w:t>filed</w:t>
      </w:r>
      <w:r>
        <w:rPr>
          <w:spacing w:val="-11"/>
        </w:rPr>
        <w:t xml:space="preserve"> </w:t>
      </w:r>
      <w:r>
        <w:t>for</w:t>
      </w:r>
      <w:r>
        <w:rPr>
          <w:spacing w:val="-13"/>
        </w:rPr>
        <w:t xml:space="preserve"> </w:t>
      </w:r>
      <w:r>
        <w:t>DCF</w:t>
      </w:r>
      <w:r>
        <w:rPr>
          <w:spacing w:val="-11"/>
        </w:rPr>
        <w:t xml:space="preserve"> </w:t>
      </w:r>
      <w:r>
        <w:t>to</w:t>
      </w:r>
      <w:r>
        <w:rPr>
          <w:spacing w:val="-9"/>
        </w:rPr>
        <w:t xml:space="preserve"> </w:t>
      </w:r>
      <w:r>
        <w:t>become</w:t>
      </w:r>
      <w:r>
        <w:rPr>
          <w:spacing w:val="-10"/>
        </w:rPr>
        <w:t xml:space="preserve"> </w:t>
      </w:r>
      <w:r>
        <w:t>involved</w:t>
      </w:r>
      <w:r>
        <w:rPr>
          <w:spacing w:val="-13"/>
        </w:rPr>
        <w:t xml:space="preserve"> </w:t>
      </w:r>
      <w:r>
        <w:t>once</w:t>
      </w:r>
      <w:r>
        <w:rPr>
          <w:spacing w:val="-10"/>
        </w:rPr>
        <w:t xml:space="preserve"> </w:t>
      </w:r>
      <w:r>
        <w:t>more.</w:t>
      </w:r>
      <w:r>
        <w:rPr>
          <w:spacing w:val="-11"/>
        </w:rPr>
        <w:t xml:space="preserve"> </w:t>
      </w:r>
      <w:r>
        <w:t>Alternatively, if a youth over 18 is released from DYS, and there was not a dismissed C&amp;P or CRA, then youth may be able to sign back in with DCF depending on federal eligibility.</w:t>
      </w:r>
    </w:p>
    <w:p w:rsidR="00200FDA" w:rsidRDefault="00200FDA">
      <w:pPr>
        <w:pStyle w:val="BodyText"/>
        <w:spacing w:before="7"/>
        <w:rPr>
          <w:sz w:val="19"/>
        </w:rPr>
      </w:pPr>
    </w:p>
    <w:p w:rsidR="00200FDA" w:rsidRDefault="00F76C4C">
      <w:pPr>
        <w:pStyle w:val="BodyText"/>
        <w:spacing w:before="1" w:line="276" w:lineRule="auto"/>
        <w:ind w:left="279" w:right="275"/>
        <w:jc w:val="both"/>
      </w:pPr>
      <w:r>
        <w:t>The Commission emphasizes that DCF is not solely responsible for addressing existing gaps in service provision that transition-aged youth are facing; one of the only ways for the state to fully address these gaps is to increase collaboration and center you</w:t>
      </w:r>
      <w:r>
        <w:t>th and families in conversations around how to best improve service provision.</w:t>
      </w:r>
    </w:p>
    <w:p w:rsidR="00200FDA" w:rsidRDefault="00200FDA">
      <w:pPr>
        <w:pStyle w:val="BodyText"/>
        <w:spacing w:before="8"/>
        <w:rPr>
          <w:sz w:val="19"/>
        </w:rPr>
      </w:pPr>
    </w:p>
    <w:p w:rsidR="00200FDA" w:rsidRDefault="00F76C4C">
      <w:pPr>
        <w:pStyle w:val="Heading9"/>
        <w:numPr>
          <w:ilvl w:val="0"/>
          <w:numId w:val="18"/>
        </w:numPr>
        <w:tabs>
          <w:tab w:val="left" w:pos="616"/>
        </w:tabs>
        <w:spacing w:line="276" w:lineRule="auto"/>
        <w:ind w:left="279" w:right="274" w:firstLine="0"/>
        <w:jc w:val="both"/>
      </w:pPr>
      <w:r>
        <w:t>Improve family preservation services to</w:t>
      </w:r>
      <w:r>
        <w:rPr>
          <w:spacing w:val="-1"/>
        </w:rPr>
        <w:t xml:space="preserve"> </w:t>
      </w:r>
      <w:r>
        <w:t>safely monitor and mitigate concerns that may lead to</w:t>
      </w:r>
      <w:r>
        <w:rPr>
          <w:spacing w:val="-1"/>
        </w:rPr>
        <w:t xml:space="preserve"> </w:t>
      </w:r>
      <w:r>
        <w:t>the removal of a child.</w:t>
      </w:r>
    </w:p>
    <w:p w:rsidR="00200FDA" w:rsidRDefault="00200FDA">
      <w:pPr>
        <w:pStyle w:val="BodyText"/>
        <w:spacing w:before="7"/>
        <w:rPr>
          <w:b/>
          <w:sz w:val="19"/>
        </w:rPr>
      </w:pPr>
    </w:p>
    <w:p w:rsidR="00200FDA" w:rsidRDefault="00F76C4C">
      <w:pPr>
        <w:pStyle w:val="BodyText"/>
        <w:spacing w:line="276" w:lineRule="auto"/>
        <w:ind w:left="279" w:right="275"/>
        <w:jc w:val="both"/>
      </w:pPr>
      <w:r>
        <w:t xml:space="preserve">As it continues to work with DCF to improve services and programs engaging LGBTQ youth in the child welfare system, the Commission recommends that DCF work to improve its family preservation services to better monitor and address concerns that may lead to </w:t>
      </w:r>
      <w:r>
        <w:t>the removal of a child. The Commission makes</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right="273"/>
        <w:jc w:val="both"/>
      </w:pPr>
      <w:r>
        <w:t>this recommendation with particular attention to mitigating the disparate experiences that many BIPOC families have that might lead to DCF investigations. In its previous conversations, DCF has no</w:t>
      </w:r>
      <w:r>
        <w:t>ted to the Commission that there is a differential response process that allows the state to provide support to families without opening a case with DCF, which can later lead to negative consequences if a DCF case shows up on a background check.</w:t>
      </w:r>
    </w:p>
    <w:p w:rsidR="00200FDA" w:rsidRDefault="00200FDA">
      <w:pPr>
        <w:pStyle w:val="BodyText"/>
        <w:spacing w:before="7"/>
        <w:rPr>
          <w:sz w:val="19"/>
        </w:rPr>
      </w:pPr>
    </w:p>
    <w:p w:rsidR="00200FDA" w:rsidRDefault="00F76C4C">
      <w:pPr>
        <w:pStyle w:val="BodyText"/>
        <w:spacing w:line="276" w:lineRule="auto"/>
        <w:ind w:left="280" w:right="278"/>
        <w:jc w:val="both"/>
      </w:pPr>
      <w:r>
        <w:t>Additiona</w:t>
      </w:r>
      <w:r>
        <w:t>lly,</w:t>
      </w:r>
      <w:r>
        <w:rPr>
          <w:spacing w:val="-3"/>
        </w:rPr>
        <w:t xml:space="preserve"> </w:t>
      </w:r>
      <w:r>
        <w:t>the Commission</w:t>
      </w:r>
      <w:r>
        <w:rPr>
          <w:spacing w:val="-1"/>
        </w:rPr>
        <w:t xml:space="preserve"> </w:t>
      </w:r>
      <w:r>
        <w:t>advises</w:t>
      </w:r>
      <w:r>
        <w:rPr>
          <w:spacing w:val="-3"/>
        </w:rPr>
        <w:t xml:space="preserve"> </w:t>
      </w:r>
      <w:r>
        <w:t>that</w:t>
      </w:r>
      <w:r>
        <w:rPr>
          <w:spacing w:val="-2"/>
        </w:rPr>
        <w:t xml:space="preserve"> </w:t>
      </w:r>
      <w:r>
        <w:t>DCF</w:t>
      </w:r>
      <w:r>
        <w:rPr>
          <w:spacing w:val="-1"/>
        </w:rPr>
        <w:t xml:space="preserve"> </w:t>
      </w:r>
      <w:r>
        <w:t>should</w:t>
      </w:r>
      <w:r>
        <w:rPr>
          <w:spacing w:val="-4"/>
        </w:rPr>
        <w:t xml:space="preserve"> </w:t>
      </w:r>
      <w:r>
        <w:t>improve its</w:t>
      </w:r>
      <w:r>
        <w:rPr>
          <w:spacing w:val="-3"/>
        </w:rPr>
        <w:t xml:space="preserve"> </w:t>
      </w:r>
      <w:r>
        <w:t>services to better</w:t>
      </w:r>
      <w:r>
        <w:rPr>
          <w:spacing w:val="-1"/>
        </w:rPr>
        <w:t xml:space="preserve"> </w:t>
      </w:r>
      <w:r>
        <w:t>address situations</w:t>
      </w:r>
      <w:r>
        <w:rPr>
          <w:spacing w:val="-3"/>
        </w:rPr>
        <w:t xml:space="preserve"> </w:t>
      </w:r>
      <w:r>
        <w:t xml:space="preserve">in which LGBTQ youth are reunified with families where there is a risk of repeated maltreatment or </w:t>
      </w:r>
      <w:r>
        <w:rPr>
          <w:spacing w:val="-2"/>
        </w:rPr>
        <w:t>removals.</w:t>
      </w:r>
    </w:p>
    <w:p w:rsidR="00200FDA" w:rsidRDefault="00200FDA">
      <w:pPr>
        <w:pStyle w:val="BodyText"/>
        <w:spacing w:before="7"/>
        <w:rPr>
          <w:sz w:val="19"/>
        </w:rPr>
      </w:pPr>
    </w:p>
    <w:p w:rsidR="00200FDA" w:rsidRDefault="00F76C4C">
      <w:pPr>
        <w:pStyle w:val="Heading9"/>
        <w:numPr>
          <w:ilvl w:val="0"/>
          <w:numId w:val="18"/>
        </w:numPr>
        <w:tabs>
          <w:tab w:val="left" w:pos="612"/>
        </w:tabs>
        <w:spacing w:before="1" w:line="276" w:lineRule="auto"/>
        <w:ind w:right="272" w:firstLine="0"/>
      </w:pPr>
      <w:r>
        <w:t>Collaborate</w:t>
      </w:r>
      <w:r>
        <w:rPr>
          <w:spacing w:val="-7"/>
        </w:rPr>
        <w:t xml:space="preserve"> </w:t>
      </w:r>
      <w:r>
        <w:t>with</w:t>
      </w:r>
      <w:r>
        <w:rPr>
          <w:spacing w:val="-8"/>
        </w:rPr>
        <w:t xml:space="preserve"> </w:t>
      </w:r>
      <w:r>
        <w:t>the</w:t>
      </w:r>
      <w:r>
        <w:rPr>
          <w:spacing w:val="-5"/>
        </w:rPr>
        <w:t xml:space="preserve"> </w:t>
      </w:r>
      <w:r>
        <w:t>Commission</w:t>
      </w:r>
      <w:r>
        <w:rPr>
          <w:spacing w:val="-5"/>
        </w:rPr>
        <w:t xml:space="preserve"> </w:t>
      </w:r>
      <w:r>
        <w:t>and</w:t>
      </w:r>
      <w:r>
        <w:rPr>
          <w:spacing w:val="-5"/>
        </w:rPr>
        <w:t xml:space="preserve"> </w:t>
      </w:r>
      <w:r>
        <w:t>providers</w:t>
      </w:r>
      <w:r>
        <w:rPr>
          <w:spacing w:val="-4"/>
        </w:rPr>
        <w:t xml:space="preserve"> </w:t>
      </w:r>
      <w:r>
        <w:t>to</w:t>
      </w:r>
      <w:r>
        <w:rPr>
          <w:spacing w:val="-5"/>
        </w:rPr>
        <w:t xml:space="preserve"> </w:t>
      </w:r>
      <w:r>
        <w:t>cre</w:t>
      </w:r>
      <w:r>
        <w:t>ate</w:t>
      </w:r>
      <w:r>
        <w:rPr>
          <w:spacing w:val="-5"/>
        </w:rPr>
        <w:t xml:space="preserve"> </w:t>
      </w:r>
      <w:r>
        <w:t>an</w:t>
      </w:r>
      <w:r>
        <w:rPr>
          <w:spacing w:val="-5"/>
        </w:rPr>
        <w:t xml:space="preserve"> </w:t>
      </w:r>
      <w:r>
        <w:t>LGBTQ</w:t>
      </w:r>
      <w:r>
        <w:rPr>
          <w:spacing w:val="-7"/>
        </w:rPr>
        <w:t xml:space="preserve"> </w:t>
      </w:r>
      <w:r>
        <w:t>parent</w:t>
      </w:r>
      <w:r>
        <w:rPr>
          <w:spacing w:val="-6"/>
        </w:rPr>
        <w:t xml:space="preserve"> </w:t>
      </w:r>
      <w:r>
        <w:t>education</w:t>
      </w:r>
      <w:r>
        <w:rPr>
          <w:spacing w:val="-5"/>
        </w:rPr>
        <w:t xml:space="preserve"> </w:t>
      </w:r>
      <w:r>
        <w:t>curriculum</w:t>
      </w:r>
      <w:r>
        <w:rPr>
          <w:spacing w:val="-6"/>
        </w:rPr>
        <w:t xml:space="preserve"> </w:t>
      </w:r>
      <w:r>
        <w:t>to better support family preservation services.</w:t>
      </w:r>
    </w:p>
    <w:p w:rsidR="00200FDA" w:rsidRDefault="00200FDA">
      <w:pPr>
        <w:pStyle w:val="BodyText"/>
        <w:spacing w:before="9"/>
        <w:rPr>
          <w:b/>
          <w:sz w:val="19"/>
        </w:rPr>
      </w:pPr>
    </w:p>
    <w:p w:rsidR="00200FDA" w:rsidRDefault="00F76C4C">
      <w:pPr>
        <w:pStyle w:val="BodyText"/>
        <w:spacing w:line="276" w:lineRule="auto"/>
        <w:ind w:left="280" w:right="274"/>
        <w:jc w:val="both"/>
      </w:pPr>
      <w:r>
        <w:t>The Commission strongly recommends that DCF partner with the Commission and other community partners</w:t>
      </w:r>
      <w:r>
        <w:rPr>
          <w:spacing w:val="-13"/>
        </w:rPr>
        <w:t xml:space="preserve"> </w:t>
      </w:r>
      <w:r>
        <w:t>to</w:t>
      </w:r>
      <w:r>
        <w:rPr>
          <w:spacing w:val="-12"/>
        </w:rPr>
        <w:t xml:space="preserve"> </w:t>
      </w:r>
      <w:r>
        <w:t>create</w:t>
      </w:r>
      <w:r>
        <w:rPr>
          <w:spacing w:val="-13"/>
        </w:rPr>
        <w:t xml:space="preserve"> </w:t>
      </w:r>
      <w:r>
        <w:t>an</w:t>
      </w:r>
      <w:r>
        <w:rPr>
          <w:spacing w:val="-12"/>
        </w:rPr>
        <w:t xml:space="preserve"> </w:t>
      </w:r>
      <w:r>
        <w:t>education</w:t>
      </w:r>
      <w:r>
        <w:rPr>
          <w:spacing w:val="-13"/>
        </w:rPr>
        <w:t xml:space="preserve"> </w:t>
      </w:r>
      <w:r>
        <w:t>curriculum</w:t>
      </w:r>
      <w:r>
        <w:rPr>
          <w:spacing w:val="-10"/>
        </w:rPr>
        <w:t xml:space="preserve"> </w:t>
      </w:r>
      <w:r>
        <w:t>for</w:t>
      </w:r>
      <w:r>
        <w:rPr>
          <w:spacing w:val="-11"/>
        </w:rPr>
        <w:t xml:space="preserve"> </w:t>
      </w:r>
      <w:r>
        <w:t>parents</w:t>
      </w:r>
      <w:r>
        <w:rPr>
          <w:spacing w:val="-13"/>
        </w:rPr>
        <w:t xml:space="preserve"> </w:t>
      </w:r>
      <w:r>
        <w:t>of</w:t>
      </w:r>
      <w:r>
        <w:rPr>
          <w:spacing w:val="-12"/>
        </w:rPr>
        <w:t xml:space="preserve"> </w:t>
      </w:r>
      <w:r>
        <w:t>LGBTQ</w:t>
      </w:r>
      <w:r>
        <w:rPr>
          <w:spacing w:val="-13"/>
        </w:rPr>
        <w:t xml:space="preserve"> </w:t>
      </w:r>
      <w:r>
        <w:t>youth</w:t>
      </w:r>
      <w:r>
        <w:rPr>
          <w:spacing w:val="-12"/>
        </w:rPr>
        <w:t xml:space="preserve"> </w:t>
      </w:r>
      <w:r>
        <w:t>to</w:t>
      </w:r>
      <w:r>
        <w:rPr>
          <w:spacing w:val="-13"/>
        </w:rPr>
        <w:t xml:space="preserve"> </w:t>
      </w:r>
      <w:r>
        <w:t>uplift</w:t>
      </w:r>
      <w:r>
        <w:rPr>
          <w:spacing w:val="-10"/>
        </w:rPr>
        <w:t xml:space="preserve"> </w:t>
      </w:r>
      <w:r>
        <w:t>and</w:t>
      </w:r>
      <w:r>
        <w:rPr>
          <w:spacing w:val="-12"/>
        </w:rPr>
        <w:t xml:space="preserve"> </w:t>
      </w:r>
      <w:r>
        <w:t>support</w:t>
      </w:r>
      <w:r>
        <w:rPr>
          <w:spacing w:val="-13"/>
        </w:rPr>
        <w:t xml:space="preserve"> </w:t>
      </w:r>
      <w:r>
        <w:t>youth</w:t>
      </w:r>
      <w:r>
        <w:rPr>
          <w:spacing w:val="-11"/>
        </w:rPr>
        <w:t xml:space="preserve"> </w:t>
      </w:r>
      <w:r>
        <w:t>in</w:t>
      </w:r>
      <w:r>
        <w:rPr>
          <w:spacing w:val="-12"/>
        </w:rPr>
        <w:t xml:space="preserve"> </w:t>
      </w:r>
      <w:r>
        <w:t>need of DCF oversight and services; such a curriculum could work in tandem with existing or new family preservation programs.</w:t>
      </w:r>
    </w:p>
    <w:p w:rsidR="00200FDA" w:rsidRDefault="00200FDA">
      <w:pPr>
        <w:pStyle w:val="BodyText"/>
        <w:spacing w:before="8"/>
        <w:rPr>
          <w:sz w:val="19"/>
        </w:rPr>
      </w:pPr>
    </w:p>
    <w:p w:rsidR="00200FDA" w:rsidRDefault="00F76C4C">
      <w:pPr>
        <w:pStyle w:val="Heading9"/>
        <w:numPr>
          <w:ilvl w:val="0"/>
          <w:numId w:val="18"/>
        </w:numPr>
        <w:tabs>
          <w:tab w:val="left" w:pos="621"/>
        </w:tabs>
        <w:spacing w:before="1" w:line="273" w:lineRule="auto"/>
        <w:ind w:left="279" w:right="271" w:firstLine="0"/>
      </w:pPr>
      <w:r>
        <w:t>Review all internal curriculum provided to youth, and ensure that youth are receiving appropriate sexual health and health care education.</w:t>
      </w:r>
    </w:p>
    <w:p w:rsidR="00200FDA" w:rsidRDefault="00200FDA">
      <w:pPr>
        <w:pStyle w:val="BodyText"/>
        <w:rPr>
          <w:b/>
          <w:sz w:val="20"/>
        </w:rPr>
      </w:pPr>
    </w:p>
    <w:p w:rsidR="00200FDA" w:rsidRDefault="00F76C4C">
      <w:pPr>
        <w:pStyle w:val="BodyText"/>
        <w:spacing w:line="276" w:lineRule="auto"/>
        <w:ind w:left="279" w:right="272"/>
        <w:jc w:val="both"/>
      </w:pPr>
      <w:r>
        <w:t>For</w:t>
      </w:r>
      <w:r>
        <w:rPr>
          <w:spacing w:val="-13"/>
        </w:rPr>
        <w:t xml:space="preserve"> </w:t>
      </w:r>
      <w:r>
        <w:t>many</w:t>
      </w:r>
      <w:r>
        <w:rPr>
          <w:spacing w:val="-12"/>
        </w:rPr>
        <w:t xml:space="preserve"> </w:t>
      </w:r>
      <w:r>
        <w:t>years,</w:t>
      </w:r>
      <w:r>
        <w:rPr>
          <w:spacing w:val="-13"/>
        </w:rPr>
        <w:t xml:space="preserve"> </w:t>
      </w:r>
      <w:r>
        <w:t>the</w:t>
      </w:r>
      <w:r>
        <w:rPr>
          <w:spacing w:val="-12"/>
        </w:rPr>
        <w:t xml:space="preserve"> </w:t>
      </w:r>
      <w:r>
        <w:t>Commission</w:t>
      </w:r>
      <w:r>
        <w:rPr>
          <w:spacing w:val="-13"/>
        </w:rPr>
        <w:t xml:space="preserve"> </w:t>
      </w:r>
      <w:r>
        <w:t>has</w:t>
      </w:r>
      <w:r>
        <w:rPr>
          <w:spacing w:val="-12"/>
        </w:rPr>
        <w:t xml:space="preserve"> </w:t>
      </w:r>
      <w:r>
        <w:t>been</w:t>
      </w:r>
      <w:r>
        <w:rPr>
          <w:spacing w:val="-13"/>
        </w:rPr>
        <w:t xml:space="preserve"> </w:t>
      </w:r>
      <w:r>
        <w:t>concerned</w:t>
      </w:r>
      <w:r>
        <w:rPr>
          <w:spacing w:val="-12"/>
        </w:rPr>
        <w:t xml:space="preserve"> </w:t>
      </w:r>
      <w:r>
        <w:t>about</w:t>
      </w:r>
      <w:r>
        <w:rPr>
          <w:spacing w:val="-12"/>
        </w:rPr>
        <w:t xml:space="preserve"> </w:t>
      </w:r>
      <w:r>
        <w:t>the</w:t>
      </w:r>
      <w:r>
        <w:rPr>
          <w:spacing w:val="-11"/>
        </w:rPr>
        <w:t xml:space="preserve"> </w:t>
      </w:r>
      <w:r>
        <w:t>state</w:t>
      </w:r>
      <w:r>
        <w:rPr>
          <w:spacing w:val="-12"/>
        </w:rPr>
        <w:t xml:space="preserve"> </w:t>
      </w:r>
      <w:r>
        <w:t>of</w:t>
      </w:r>
      <w:r>
        <w:rPr>
          <w:spacing w:val="-13"/>
        </w:rPr>
        <w:t xml:space="preserve"> </w:t>
      </w:r>
      <w:r>
        <w:t>sexual</w:t>
      </w:r>
      <w:r>
        <w:rPr>
          <w:spacing w:val="-11"/>
        </w:rPr>
        <w:t xml:space="preserve"> </w:t>
      </w:r>
      <w:r>
        <w:t>health</w:t>
      </w:r>
      <w:r>
        <w:rPr>
          <w:spacing w:val="-11"/>
        </w:rPr>
        <w:t xml:space="preserve"> </w:t>
      </w:r>
      <w:r>
        <w:t>education</w:t>
      </w:r>
      <w:r>
        <w:rPr>
          <w:spacing w:val="-11"/>
        </w:rPr>
        <w:t xml:space="preserve"> </w:t>
      </w:r>
      <w:r>
        <w:t>in</w:t>
      </w:r>
      <w:r>
        <w:rPr>
          <w:spacing w:val="-13"/>
        </w:rPr>
        <w:t xml:space="preserve"> </w:t>
      </w:r>
      <w:r>
        <w:t>schools for LGBTQ yo</w:t>
      </w:r>
      <w:r>
        <w:t>uth. Often, youth who do not receive appropriate school health education will turn to a parent</w:t>
      </w:r>
      <w:r>
        <w:rPr>
          <w:spacing w:val="-5"/>
        </w:rPr>
        <w:t xml:space="preserve"> </w:t>
      </w:r>
      <w:r>
        <w:t>or</w:t>
      </w:r>
      <w:r>
        <w:rPr>
          <w:spacing w:val="-3"/>
        </w:rPr>
        <w:t xml:space="preserve"> </w:t>
      </w:r>
      <w:r>
        <w:t>the</w:t>
      </w:r>
      <w:r>
        <w:rPr>
          <w:spacing w:val="-3"/>
        </w:rPr>
        <w:t xml:space="preserve"> </w:t>
      </w:r>
      <w:r>
        <w:t>Internet.</w:t>
      </w:r>
      <w:r>
        <w:rPr>
          <w:spacing w:val="-4"/>
        </w:rPr>
        <w:t xml:space="preserve"> </w:t>
      </w:r>
      <w:r>
        <w:t>In</w:t>
      </w:r>
      <w:r>
        <w:rPr>
          <w:spacing w:val="-6"/>
        </w:rPr>
        <w:t xml:space="preserve"> </w:t>
      </w:r>
      <w:r>
        <w:t>the</w:t>
      </w:r>
      <w:r>
        <w:rPr>
          <w:spacing w:val="-3"/>
        </w:rPr>
        <w:t xml:space="preserve"> </w:t>
      </w:r>
      <w:r>
        <w:t>case</w:t>
      </w:r>
      <w:r>
        <w:rPr>
          <w:spacing w:val="-7"/>
        </w:rPr>
        <w:t xml:space="preserve"> </w:t>
      </w:r>
      <w:r>
        <w:t>of</w:t>
      </w:r>
      <w:r>
        <w:rPr>
          <w:spacing w:val="-6"/>
        </w:rPr>
        <w:t xml:space="preserve"> </w:t>
      </w:r>
      <w:r>
        <w:t>youth</w:t>
      </w:r>
      <w:r>
        <w:rPr>
          <w:spacing w:val="-6"/>
        </w:rPr>
        <w:t xml:space="preserve"> </w:t>
      </w:r>
      <w:r>
        <w:t>within</w:t>
      </w:r>
      <w:r>
        <w:rPr>
          <w:spacing w:val="-6"/>
        </w:rPr>
        <w:t xml:space="preserve"> </w:t>
      </w:r>
      <w:r>
        <w:t>the</w:t>
      </w:r>
      <w:r>
        <w:rPr>
          <w:spacing w:val="-5"/>
        </w:rPr>
        <w:t xml:space="preserve"> </w:t>
      </w:r>
      <w:r>
        <w:t>state’s</w:t>
      </w:r>
      <w:r>
        <w:rPr>
          <w:spacing w:val="-6"/>
        </w:rPr>
        <w:t xml:space="preserve"> </w:t>
      </w:r>
      <w:r>
        <w:t>custody,</w:t>
      </w:r>
      <w:r>
        <w:rPr>
          <w:spacing w:val="-6"/>
        </w:rPr>
        <w:t xml:space="preserve"> </w:t>
      </w:r>
      <w:r>
        <w:t>DCF</w:t>
      </w:r>
      <w:r>
        <w:rPr>
          <w:spacing w:val="-6"/>
        </w:rPr>
        <w:t xml:space="preserve"> </w:t>
      </w:r>
      <w:r>
        <w:t>could</w:t>
      </w:r>
      <w:r>
        <w:rPr>
          <w:spacing w:val="-6"/>
        </w:rPr>
        <w:t xml:space="preserve"> </w:t>
      </w:r>
      <w:r>
        <w:t>be</w:t>
      </w:r>
      <w:r>
        <w:rPr>
          <w:spacing w:val="-3"/>
        </w:rPr>
        <w:t xml:space="preserve"> </w:t>
      </w:r>
      <w:r>
        <w:t>the</w:t>
      </w:r>
      <w:r>
        <w:rPr>
          <w:spacing w:val="-5"/>
        </w:rPr>
        <w:t xml:space="preserve"> </w:t>
      </w:r>
      <w:r>
        <w:t>stated</w:t>
      </w:r>
      <w:r>
        <w:rPr>
          <w:spacing w:val="-4"/>
        </w:rPr>
        <w:t xml:space="preserve"> </w:t>
      </w:r>
      <w:r>
        <w:t>‘parent’</w:t>
      </w:r>
      <w:r>
        <w:rPr>
          <w:spacing w:val="-6"/>
        </w:rPr>
        <w:t xml:space="preserve"> </w:t>
      </w:r>
      <w:r>
        <w:t>of the youth, or foster parents who may similarly be unequipped to provide comprehensive sexual health education for youth. Across FY 2023, the Commission and DCF have been in conversations around DCF’s current curriculum being provided to youth through th</w:t>
      </w:r>
      <w:r>
        <w:t>e PAYA program through DCF’s Adolescent Youth Services Unit. The Commission recommends that DCF review the current PAYA curriculum and integrate comprehensive LGBTQ-inclusive, culturally appropriate, and medically-accurate sexual health education for youth</w:t>
      </w:r>
      <w:r>
        <w:t xml:space="preserve"> within its custody in FY 2024.</w:t>
      </w:r>
    </w:p>
    <w:p w:rsidR="00200FDA" w:rsidRDefault="00200FDA">
      <w:pPr>
        <w:pStyle w:val="BodyText"/>
      </w:pPr>
    </w:p>
    <w:p w:rsidR="00200FDA" w:rsidRDefault="00200FDA">
      <w:pPr>
        <w:pStyle w:val="BodyText"/>
      </w:pPr>
    </w:p>
    <w:p w:rsidR="00200FDA" w:rsidRDefault="00200FDA">
      <w:pPr>
        <w:pStyle w:val="BodyText"/>
        <w:spacing w:before="7"/>
        <w:rPr>
          <w:sz w:val="20"/>
        </w:rPr>
      </w:pPr>
    </w:p>
    <w:p w:rsidR="00200FDA" w:rsidRDefault="00F76C4C">
      <w:pPr>
        <w:spacing w:before="1"/>
        <w:ind w:left="280"/>
        <w:jc w:val="both"/>
        <w:rPr>
          <w:i/>
        </w:rPr>
      </w:pPr>
      <w:r>
        <w:rPr>
          <w:i/>
        </w:rPr>
        <w:t>Acknowledgments:</w:t>
      </w:r>
      <w:r>
        <w:rPr>
          <w:i/>
          <w:spacing w:val="-6"/>
        </w:rPr>
        <w:t xml:space="preserve"> </w:t>
      </w:r>
      <w:r>
        <w:rPr>
          <w:i/>
        </w:rPr>
        <w:t>The</w:t>
      </w:r>
      <w:r>
        <w:rPr>
          <w:i/>
          <w:spacing w:val="-4"/>
        </w:rPr>
        <w:t xml:space="preserve"> </w:t>
      </w:r>
      <w:r>
        <w:rPr>
          <w:i/>
        </w:rPr>
        <w:t>Commission</w:t>
      </w:r>
      <w:r>
        <w:rPr>
          <w:i/>
          <w:spacing w:val="-5"/>
        </w:rPr>
        <w:t xml:space="preserve"> </w:t>
      </w:r>
      <w:r>
        <w:rPr>
          <w:i/>
        </w:rPr>
        <w:t>sincerely</w:t>
      </w:r>
      <w:r>
        <w:rPr>
          <w:i/>
          <w:spacing w:val="-4"/>
        </w:rPr>
        <w:t xml:space="preserve"> </w:t>
      </w:r>
      <w:r>
        <w:rPr>
          <w:i/>
        </w:rPr>
        <w:t>thanks</w:t>
      </w:r>
      <w:r>
        <w:rPr>
          <w:i/>
          <w:spacing w:val="-6"/>
        </w:rPr>
        <w:t xml:space="preserve"> </w:t>
      </w:r>
      <w:r>
        <w:rPr>
          <w:i/>
        </w:rPr>
        <w:t>the</w:t>
      </w:r>
      <w:r>
        <w:rPr>
          <w:i/>
          <w:spacing w:val="-4"/>
        </w:rPr>
        <w:t xml:space="preserve"> </w:t>
      </w:r>
      <w:r>
        <w:rPr>
          <w:i/>
        </w:rPr>
        <w:t>contributions</w:t>
      </w:r>
      <w:r>
        <w:rPr>
          <w:i/>
          <w:spacing w:val="-3"/>
        </w:rPr>
        <w:t xml:space="preserve"> </w:t>
      </w:r>
      <w:r>
        <w:rPr>
          <w:i/>
        </w:rPr>
        <w:t>of</w:t>
      </w:r>
      <w:r>
        <w:rPr>
          <w:i/>
          <w:spacing w:val="-6"/>
        </w:rPr>
        <w:t xml:space="preserve"> </w:t>
      </w:r>
      <w:r>
        <w:rPr>
          <w:i/>
        </w:rPr>
        <w:t>its</w:t>
      </w:r>
      <w:r>
        <w:rPr>
          <w:i/>
          <w:spacing w:val="-5"/>
        </w:rPr>
        <w:t xml:space="preserve"> </w:t>
      </w:r>
      <w:r>
        <w:rPr>
          <w:i/>
        </w:rPr>
        <w:t>DCF</w:t>
      </w:r>
      <w:r>
        <w:rPr>
          <w:i/>
          <w:spacing w:val="-7"/>
        </w:rPr>
        <w:t xml:space="preserve"> </w:t>
      </w:r>
      <w:r>
        <w:rPr>
          <w:i/>
        </w:rPr>
        <w:t>staff</w:t>
      </w:r>
      <w:r>
        <w:rPr>
          <w:i/>
          <w:spacing w:val="-4"/>
        </w:rPr>
        <w:t xml:space="preserve"> </w:t>
      </w:r>
      <w:r>
        <w:rPr>
          <w:i/>
          <w:spacing w:val="-2"/>
        </w:rPr>
        <w:t>liaisons.</w:t>
      </w:r>
    </w:p>
    <w:p w:rsidR="00200FDA" w:rsidRDefault="00200FDA">
      <w:pPr>
        <w:jc w:val="both"/>
        <w:sectPr w:rsidR="00200FDA">
          <w:pgSz w:w="12240" w:h="15840"/>
          <w:pgMar w:top="1260" w:right="1160" w:bottom="1240" w:left="1160" w:header="761" w:footer="1043" w:gutter="0"/>
          <w:cols w:space="720"/>
        </w:sectPr>
      </w:pPr>
    </w:p>
    <w:p w:rsidR="00200FDA" w:rsidRDefault="00200FDA">
      <w:pPr>
        <w:pStyle w:val="BodyText"/>
        <w:rPr>
          <w:i/>
          <w:sz w:val="11"/>
        </w:rPr>
      </w:pPr>
    </w:p>
    <w:p w:rsidR="00200FDA" w:rsidRDefault="00F76C4C">
      <w:pPr>
        <w:spacing w:before="35"/>
        <w:ind w:left="280"/>
        <w:rPr>
          <w:sz w:val="32"/>
        </w:rPr>
      </w:pPr>
      <w:bookmarkStart w:id="1080" w:name="FY24_OCA_Recommendations_-_Final.pdf"/>
      <w:bookmarkStart w:id="1081" w:name="Office_of_the_Child_Advocate"/>
      <w:bookmarkStart w:id="1082" w:name="_bookmark859"/>
      <w:bookmarkEnd w:id="1080"/>
      <w:bookmarkEnd w:id="1081"/>
      <w:bookmarkEnd w:id="1082"/>
      <w:r>
        <w:rPr>
          <w:color w:val="365F91"/>
          <w:sz w:val="32"/>
        </w:rPr>
        <w:t>Office</w:t>
      </w:r>
      <w:r>
        <w:rPr>
          <w:color w:val="365F91"/>
          <w:spacing w:val="-7"/>
          <w:sz w:val="32"/>
        </w:rPr>
        <w:t xml:space="preserve"> </w:t>
      </w:r>
      <w:r>
        <w:rPr>
          <w:color w:val="365F91"/>
          <w:sz w:val="32"/>
        </w:rPr>
        <w:t>of</w:t>
      </w:r>
      <w:r>
        <w:rPr>
          <w:color w:val="365F91"/>
          <w:spacing w:val="-5"/>
          <w:sz w:val="32"/>
        </w:rPr>
        <w:t xml:space="preserve"> </w:t>
      </w:r>
      <w:r>
        <w:rPr>
          <w:color w:val="365F91"/>
          <w:sz w:val="32"/>
        </w:rPr>
        <w:t>the</w:t>
      </w:r>
      <w:r>
        <w:rPr>
          <w:color w:val="365F91"/>
          <w:spacing w:val="-6"/>
          <w:sz w:val="32"/>
        </w:rPr>
        <w:t xml:space="preserve"> </w:t>
      </w:r>
      <w:r>
        <w:rPr>
          <w:color w:val="365F91"/>
          <w:sz w:val="32"/>
        </w:rPr>
        <w:t>Child</w:t>
      </w:r>
      <w:r>
        <w:rPr>
          <w:color w:val="365F91"/>
          <w:spacing w:val="-7"/>
          <w:sz w:val="32"/>
        </w:rPr>
        <w:t xml:space="preserve"> </w:t>
      </w:r>
      <w:r>
        <w:rPr>
          <w:color w:val="365F91"/>
          <w:spacing w:val="-2"/>
          <w:sz w:val="32"/>
        </w:rPr>
        <w:t>Advocate</w:t>
      </w:r>
    </w:p>
    <w:p w:rsidR="00200FDA" w:rsidRDefault="00F76C4C">
      <w:pPr>
        <w:pStyle w:val="BodyText"/>
        <w:spacing w:before="4"/>
        <w:rPr>
          <w:sz w:val="4"/>
        </w:rPr>
      </w:pPr>
      <w:r>
        <w:pict>
          <v:rect id="docshape531" o:spid="_x0000_s1094" style="position:absolute;margin-left:70.55pt;margin-top:3.85pt;width:470.9pt;height:.5pt;z-index:-15624704;mso-wrap-distance-left:0;mso-wrap-distance-right:0;mso-position-horizontal-relative:page" fillcolor="#4f81bc" stroked="f">
            <w10:wrap type="topAndBottom" anchorx="page"/>
          </v:rect>
        </w:pict>
      </w:r>
    </w:p>
    <w:p w:rsidR="00200FDA" w:rsidRDefault="00200FDA">
      <w:pPr>
        <w:pStyle w:val="BodyText"/>
        <w:rPr>
          <w:sz w:val="20"/>
        </w:rPr>
      </w:pPr>
    </w:p>
    <w:p w:rsidR="00200FDA" w:rsidRDefault="00200FDA">
      <w:pPr>
        <w:pStyle w:val="BodyText"/>
        <w:rPr>
          <w:sz w:val="20"/>
        </w:rPr>
      </w:pPr>
    </w:p>
    <w:p w:rsidR="00200FDA" w:rsidRDefault="00F76C4C">
      <w:pPr>
        <w:pStyle w:val="Heading7"/>
        <w:spacing w:before="222"/>
      </w:pPr>
      <w:r>
        <w:rPr>
          <w:color w:val="365F91"/>
        </w:rPr>
        <w:t>FY</w:t>
      </w:r>
      <w:r>
        <w:rPr>
          <w:color w:val="365F91"/>
          <w:spacing w:val="-3"/>
        </w:rPr>
        <w:t xml:space="preserve"> </w:t>
      </w:r>
      <w:r>
        <w:rPr>
          <w:color w:val="365F91"/>
        </w:rPr>
        <w:t>2024</w:t>
      </w:r>
      <w:r>
        <w:rPr>
          <w:color w:val="365F91"/>
          <w:spacing w:val="-3"/>
        </w:rPr>
        <w:t xml:space="preserve"> </w:t>
      </w:r>
      <w:r>
        <w:rPr>
          <w:color w:val="365F91"/>
          <w:spacing w:val="-2"/>
        </w:rPr>
        <w:t>Recommendations</w:t>
      </w:r>
    </w:p>
    <w:p w:rsidR="00200FDA" w:rsidRDefault="00F76C4C">
      <w:pPr>
        <w:pStyle w:val="BodyText"/>
        <w:spacing w:before="8"/>
        <w:rPr>
          <w:sz w:val="3"/>
        </w:rPr>
      </w:pPr>
      <w:r>
        <w:pict>
          <v:rect id="docshape532" o:spid="_x0000_s1093" style="position:absolute;margin-left:70.55pt;margin-top:3.45pt;width:470.9pt;height:.5pt;z-index:-15624192;mso-wrap-distance-left:0;mso-wrap-distance-right:0;mso-position-horizontal-relative:page" fillcolor="#4f81bc" stroked="f">
            <w10:wrap type="topAndBottom" anchorx="page"/>
          </v:rect>
        </w:pict>
      </w:r>
    </w:p>
    <w:p w:rsidR="00200FDA" w:rsidRDefault="00200FDA">
      <w:pPr>
        <w:pStyle w:val="BodyText"/>
        <w:rPr>
          <w:sz w:val="24"/>
        </w:rPr>
      </w:pPr>
    </w:p>
    <w:p w:rsidR="00200FDA" w:rsidRDefault="00F76C4C">
      <w:pPr>
        <w:pStyle w:val="ListParagraph"/>
        <w:numPr>
          <w:ilvl w:val="1"/>
          <w:numId w:val="18"/>
        </w:numPr>
        <w:tabs>
          <w:tab w:val="left" w:pos="1001"/>
        </w:tabs>
        <w:spacing w:before="56" w:line="357" w:lineRule="auto"/>
        <w:ind w:right="276"/>
      </w:pPr>
      <w:r>
        <w:t>Fully investigate, respond to, and analyze complaints and requests for assistance from LGBTQ</w:t>
      </w:r>
      <w:r>
        <w:rPr>
          <w:spacing w:val="80"/>
        </w:rPr>
        <w:t xml:space="preserve"> </w:t>
      </w:r>
      <w:r>
        <w:rPr>
          <w:spacing w:val="-2"/>
        </w:rPr>
        <w:t>youth.</w:t>
      </w:r>
    </w:p>
    <w:p w:rsidR="00200FDA" w:rsidRDefault="00F76C4C">
      <w:pPr>
        <w:pStyle w:val="ListParagraph"/>
        <w:numPr>
          <w:ilvl w:val="1"/>
          <w:numId w:val="18"/>
        </w:numPr>
        <w:tabs>
          <w:tab w:val="left" w:pos="1001"/>
        </w:tabs>
        <w:spacing w:before="4"/>
      </w:pPr>
      <w:r>
        <w:t>Visit,</w:t>
      </w:r>
      <w:r>
        <w:rPr>
          <w:spacing w:val="-5"/>
        </w:rPr>
        <w:t xml:space="preserve"> </w:t>
      </w:r>
      <w:r>
        <w:t>investigate,</w:t>
      </w:r>
      <w:r>
        <w:rPr>
          <w:spacing w:val="-5"/>
        </w:rPr>
        <w:t xml:space="preserve"> </w:t>
      </w:r>
      <w:r>
        <w:t>and</w:t>
      </w:r>
      <w:r>
        <w:rPr>
          <w:spacing w:val="-5"/>
        </w:rPr>
        <w:t xml:space="preserve"> </w:t>
      </w:r>
      <w:r>
        <w:t>report</w:t>
      </w:r>
      <w:r>
        <w:rPr>
          <w:spacing w:val="-4"/>
        </w:rPr>
        <w:t xml:space="preserve"> </w:t>
      </w:r>
      <w:r>
        <w:t>on</w:t>
      </w:r>
      <w:r>
        <w:rPr>
          <w:spacing w:val="-7"/>
        </w:rPr>
        <w:t xml:space="preserve"> </w:t>
      </w:r>
      <w:r>
        <w:t>congregate</w:t>
      </w:r>
      <w:r>
        <w:rPr>
          <w:spacing w:val="-4"/>
        </w:rPr>
        <w:t xml:space="preserve"> </w:t>
      </w:r>
      <w:r>
        <w:t>care</w:t>
      </w:r>
      <w:r>
        <w:rPr>
          <w:spacing w:val="-3"/>
        </w:rPr>
        <w:t xml:space="preserve"> </w:t>
      </w:r>
      <w:r>
        <w:rPr>
          <w:spacing w:val="-2"/>
        </w:rPr>
        <w:t>facilities.</w:t>
      </w:r>
    </w:p>
    <w:p w:rsidR="00200FDA" w:rsidRDefault="00F76C4C">
      <w:pPr>
        <w:pStyle w:val="ListParagraph"/>
        <w:numPr>
          <w:ilvl w:val="1"/>
          <w:numId w:val="18"/>
        </w:numPr>
        <w:tabs>
          <w:tab w:val="left" w:pos="1001"/>
        </w:tabs>
        <w:spacing w:before="135"/>
      </w:pPr>
      <w:r>
        <w:t>Conduct</w:t>
      </w:r>
      <w:r>
        <w:rPr>
          <w:spacing w:val="-5"/>
        </w:rPr>
        <w:t xml:space="preserve"> </w:t>
      </w:r>
      <w:r>
        <w:t>a</w:t>
      </w:r>
      <w:r>
        <w:rPr>
          <w:spacing w:val="-6"/>
        </w:rPr>
        <w:t xml:space="preserve"> </w:t>
      </w:r>
      <w:r>
        <w:t>LGBTQ</w:t>
      </w:r>
      <w:r>
        <w:rPr>
          <w:spacing w:val="-3"/>
        </w:rPr>
        <w:t xml:space="preserve"> </w:t>
      </w:r>
      <w:r>
        <w:t>training</w:t>
      </w:r>
      <w:r>
        <w:rPr>
          <w:spacing w:val="-5"/>
        </w:rPr>
        <w:t xml:space="preserve"> </w:t>
      </w:r>
      <w:r>
        <w:t>audit</w:t>
      </w:r>
      <w:r>
        <w:rPr>
          <w:spacing w:val="-3"/>
        </w:rPr>
        <w:t xml:space="preserve"> </w:t>
      </w:r>
      <w:r>
        <w:t>of</w:t>
      </w:r>
      <w:r>
        <w:rPr>
          <w:spacing w:val="-6"/>
        </w:rPr>
        <w:t xml:space="preserve"> </w:t>
      </w:r>
      <w:r>
        <w:t>youth-serving</w:t>
      </w:r>
      <w:r>
        <w:rPr>
          <w:spacing w:val="-4"/>
        </w:rPr>
        <w:t xml:space="preserve"> </w:t>
      </w:r>
      <w:r>
        <w:rPr>
          <w:spacing w:val="-2"/>
        </w:rPr>
        <w:t>facilities.</w:t>
      </w:r>
    </w:p>
    <w:p w:rsidR="00200FDA" w:rsidRDefault="00F76C4C">
      <w:pPr>
        <w:pStyle w:val="ListParagraph"/>
        <w:numPr>
          <w:ilvl w:val="1"/>
          <w:numId w:val="18"/>
        </w:numPr>
        <w:tabs>
          <w:tab w:val="left" w:pos="1001"/>
        </w:tabs>
        <w:spacing w:before="134"/>
      </w:pPr>
      <w:r>
        <w:t>Address</w:t>
      </w:r>
      <w:r>
        <w:rPr>
          <w:spacing w:val="-4"/>
        </w:rPr>
        <w:t xml:space="preserve"> </w:t>
      </w:r>
      <w:r>
        <w:t>LGBTQ</w:t>
      </w:r>
      <w:r>
        <w:rPr>
          <w:spacing w:val="-6"/>
        </w:rPr>
        <w:t xml:space="preserve"> </w:t>
      </w:r>
      <w:r>
        <w:t>youth</w:t>
      </w:r>
      <w:r>
        <w:rPr>
          <w:spacing w:val="-5"/>
        </w:rPr>
        <w:t xml:space="preserve"> </w:t>
      </w:r>
      <w:r>
        <w:t>in</w:t>
      </w:r>
      <w:r>
        <w:rPr>
          <w:spacing w:val="-5"/>
        </w:rPr>
        <w:t xml:space="preserve"> </w:t>
      </w:r>
      <w:r>
        <w:t>public</w:t>
      </w:r>
      <w:r>
        <w:rPr>
          <w:spacing w:val="-4"/>
        </w:rPr>
        <w:t xml:space="preserve"> </w:t>
      </w:r>
      <w:r>
        <w:t>affairs</w:t>
      </w:r>
      <w:r>
        <w:rPr>
          <w:spacing w:val="-3"/>
        </w:rPr>
        <w:t xml:space="preserve"> </w:t>
      </w:r>
      <w:r>
        <w:rPr>
          <w:spacing w:val="-4"/>
        </w:rPr>
        <w:t>work.</w:t>
      </w:r>
    </w:p>
    <w:p w:rsidR="00200FDA" w:rsidRDefault="00F76C4C">
      <w:pPr>
        <w:pStyle w:val="ListParagraph"/>
        <w:numPr>
          <w:ilvl w:val="1"/>
          <w:numId w:val="18"/>
        </w:numPr>
        <w:tabs>
          <w:tab w:val="left" w:pos="1002"/>
        </w:tabs>
        <w:spacing w:before="135"/>
        <w:ind w:left="1001" w:hanging="362"/>
      </w:pPr>
      <w:r>
        <w:t>Support</w:t>
      </w:r>
      <w:r>
        <w:rPr>
          <w:spacing w:val="-5"/>
        </w:rPr>
        <w:t xml:space="preserve"> </w:t>
      </w:r>
      <w:r>
        <w:t>inclusion</w:t>
      </w:r>
      <w:r>
        <w:rPr>
          <w:spacing w:val="-6"/>
        </w:rPr>
        <w:t xml:space="preserve"> </w:t>
      </w:r>
      <w:r>
        <w:t>of</w:t>
      </w:r>
      <w:r>
        <w:rPr>
          <w:spacing w:val="-6"/>
        </w:rPr>
        <w:t xml:space="preserve"> </w:t>
      </w:r>
      <w:r>
        <w:t>LGBTQ</w:t>
      </w:r>
      <w:r>
        <w:rPr>
          <w:spacing w:val="-6"/>
        </w:rPr>
        <w:t xml:space="preserve"> </w:t>
      </w:r>
      <w:r>
        <w:t>experts</w:t>
      </w:r>
      <w:r>
        <w:rPr>
          <w:spacing w:val="-3"/>
        </w:rPr>
        <w:t xml:space="preserve"> </w:t>
      </w:r>
      <w:r>
        <w:t>in</w:t>
      </w:r>
      <w:r>
        <w:rPr>
          <w:spacing w:val="-5"/>
        </w:rPr>
        <w:t xml:space="preserve"> </w:t>
      </w:r>
      <w:r>
        <w:t>Child</w:t>
      </w:r>
      <w:r>
        <w:rPr>
          <w:spacing w:val="-4"/>
        </w:rPr>
        <w:t xml:space="preserve"> </w:t>
      </w:r>
      <w:r>
        <w:t>and</w:t>
      </w:r>
      <w:r>
        <w:rPr>
          <w:spacing w:val="-4"/>
        </w:rPr>
        <w:t xml:space="preserve"> </w:t>
      </w:r>
      <w:r>
        <w:t>Family</w:t>
      </w:r>
      <w:r>
        <w:rPr>
          <w:spacing w:val="-6"/>
        </w:rPr>
        <w:t xml:space="preserve"> </w:t>
      </w:r>
      <w:r>
        <w:t>Service</w:t>
      </w:r>
      <w:r>
        <w:rPr>
          <w:spacing w:val="-2"/>
        </w:rPr>
        <w:t xml:space="preserve"> </w:t>
      </w:r>
      <w:r>
        <w:t>Review</w:t>
      </w:r>
      <w:r>
        <w:rPr>
          <w:spacing w:val="-5"/>
        </w:rPr>
        <w:t xml:space="preserve"> </w:t>
      </w:r>
      <w:r>
        <w:rPr>
          <w:spacing w:val="-2"/>
        </w:rPr>
        <w:t>(CFSR).</w:t>
      </w:r>
    </w:p>
    <w:p w:rsidR="00200FDA" w:rsidRDefault="00F76C4C">
      <w:pPr>
        <w:pStyle w:val="ListParagraph"/>
        <w:numPr>
          <w:ilvl w:val="1"/>
          <w:numId w:val="18"/>
        </w:numPr>
        <w:tabs>
          <w:tab w:val="left" w:pos="1002"/>
        </w:tabs>
        <w:spacing w:before="135"/>
        <w:ind w:left="1001"/>
      </w:pPr>
      <w:r>
        <w:t>Ensure</w:t>
      </w:r>
      <w:r>
        <w:rPr>
          <w:spacing w:val="-8"/>
        </w:rPr>
        <w:t xml:space="preserve"> </w:t>
      </w:r>
      <w:r>
        <w:t>meaningful</w:t>
      </w:r>
      <w:r>
        <w:rPr>
          <w:spacing w:val="-5"/>
        </w:rPr>
        <w:t xml:space="preserve"> </w:t>
      </w:r>
      <w:r>
        <w:t>LGBTQ</w:t>
      </w:r>
      <w:r>
        <w:rPr>
          <w:spacing w:val="-6"/>
        </w:rPr>
        <w:t xml:space="preserve"> </w:t>
      </w:r>
      <w:r>
        <w:t>community</w:t>
      </w:r>
      <w:r>
        <w:rPr>
          <w:spacing w:val="-3"/>
        </w:rPr>
        <w:t xml:space="preserve"> </w:t>
      </w:r>
      <w:r>
        <w:t>participation</w:t>
      </w:r>
      <w:r>
        <w:rPr>
          <w:spacing w:val="-7"/>
        </w:rPr>
        <w:t xml:space="preserve"> </w:t>
      </w:r>
      <w:r>
        <w:t>and</w:t>
      </w:r>
      <w:r>
        <w:rPr>
          <w:spacing w:val="-5"/>
        </w:rPr>
        <w:t xml:space="preserve"> </w:t>
      </w:r>
      <w:r>
        <w:t>input</w:t>
      </w:r>
      <w:r>
        <w:rPr>
          <w:spacing w:val="-3"/>
        </w:rPr>
        <w:t xml:space="preserve"> </w:t>
      </w:r>
      <w:r>
        <w:t>in</w:t>
      </w:r>
      <w:r>
        <w:rPr>
          <w:spacing w:val="-5"/>
        </w:rPr>
        <w:t xml:space="preserve"> </w:t>
      </w:r>
      <w:r>
        <w:t>all</w:t>
      </w:r>
      <w:r>
        <w:rPr>
          <w:spacing w:val="-4"/>
        </w:rPr>
        <w:t xml:space="preserve"> </w:t>
      </w:r>
      <w:r>
        <w:t>projects</w:t>
      </w:r>
      <w:r>
        <w:rPr>
          <w:spacing w:val="-5"/>
        </w:rPr>
        <w:t xml:space="preserve"> </w:t>
      </w:r>
      <w:r>
        <w:t>and</w:t>
      </w:r>
      <w:r>
        <w:rPr>
          <w:spacing w:val="-6"/>
        </w:rPr>
        <w:t xml:space="preserve"> </w:t>
      </w:r>
      <w:r>
        <w:rPr>
          <w:spacing w:val="-2"/>
        </w:rPr>
        <w:t>initiatives.</w:t>
      </w:r>
    </w:p>
    <w:p w:rsidR="00200FDA" w:rsidRDefault="00F76C4C">
      <w:pPr>
        <w:pStyle w:val="ListParagraph"/>
        <w:numPr>
          <w:ilvl w:val="1"/>
          <w:numId w:val="18"/>
        </w:numPr>
        <w:tabs>
          <w:tab w:val="left" w:pos="1002"/>
        </w:tabs>
        <w:spacing w:before="134"/>
        <w:ind w:left="1001"/>
      </w:pPr>
      <w:r>
        <w:t>Address</w:t>
      </w:r>
      <w:r>
        <w:rPr>
          <w:spacing w:val="-4"/>
        </w:rPr>
        <w:t xml:space="preserve"> </w:t>
      </w:r>
      <w:r>
        <w:t>the</w:t>
      </w:r>
      <w:r>
        <w:rPr>
          <w:spacing w:val="-3"/>
        </w:rPr>
        <w:t xml:space="preserve"> </w:t>
      </w:r>
      <w:r>
        <w:t>needs</w:t>
      </w:r>
      <w:r>
        <w:rPr>
          <w:spacing w:val="-6"/>
        </w:rPr>
        <w:t xml:space="preserve"> </w:t>
      </w:r>
      <w:r>
        <w:t>of</w:t>
      </w:r>
      <w:r>
        <w:rPr>
          <w:spacing w:val="-7"/>
        </w:rPr>
        <w:t xml:space="preserve"> </w:t>
      </w:r>
      <w:r>
        <w:t>LGBTQ</w:t>
      </w:r>
      <w:r>
        <w:rPr>
          <w:spacing w:val="-4"/>
        </w:rPr>
        <w:t xml:space="preserve"> </w:t>
      </w:r>
      <w:r>
        <w:t>transition-aged</w:t>
      </w:r>
      <w:r>
        <w:rPr>
          <w:spacing w:val="-6"/>
        </w:rPr>
        <w:t xml:space="preserve"> </w:t>
      </w:r>
      <w:r>
        <w:rPr>
          <w:spacing w:val="-2"/>
        </w:rPr>
        <w:t>youth.</w:t>
      </w:r>
    </w:p>
    <w:p w:rsidR="00200FDA" w:rsidRDefault="00F76C4C">
      <w:pPr>
        <w:pStyle w:val="ListParagraph"/>
        <w:numPr>
          <w:ilvl w:val="1"/>
          <w:numId w:val="18"/>
        </w:numPr>
        <w:tabs>
          <w:tab w:val="left" w:pos="1002"/>
        </w:tabs>
        <w:spacing w:before="132" w:line="360" w:lineRule="auto"/>
        <w:ind w:left="1001" w:right="275"/>
      </w:pPr>
      <w:r>
        <w:t>Request</w:t>
      </w:r>
      <w:r>
        <w:rPr>
          <w:spacing w:val="-6"/>
        </w:rPr>
        <w:t xml:space="preserve"> </w:t>
      </w:r>
      <w:r>
        <w:t>and</w:t>
      </w:r>
      <w:r>
        <w:rPr>
          <w:spacing w:val="-5"/>
        </w:rPr>
        <w:t xml:space="preserve"> </w:t>
      </w:r>
      <w:r>
        <w:t>report</w:t>
      </w:r>
      <w:r>
        <w:rPr>
          <w:spacing w:val="-6"/>
        </w:rPr>
        <w:t xml:space="preserve"> </w:t>
      </w:r>
      <w:r>
        <w:t>on</w:t>
      </w:r>
      <w:r>
        <w:rPr>
          <w:spacing w:val="-5"/>
        </w:rPr>
        <w:t xml:space="preserve"> </w:t>
      </w:r>
      <w:r>
        <w:t>sexual</w:t>
      </w:r>
      <w:r>
        <w:rPr>
          <w:spacing w:val="-5"/>
        </w:rPr>
        <w:t xml:space="preserve"> </w:t>
      </w:r>
      <w:r>
        <w:t>orientation</w:t>
      </w:r>
      <w:r>
        <w:rPr>
          <w:spacing w:val="-8"/>
        </w:rPr>
        <w:t xml:space="preserve"> </w:t>
      </w:r>
      <w:r>
        <w:t>and</w:t>
      </w:r>
      <w:r>
        <w:rPr>
          <w:spacing w:val="-5"/>
        </w:rPr>
        <w:t xml:space="preserve"> </w:t>
      </w:r>
      <w:r>
        <w:t>gender</w:t>
      </w:r>
      <w:r>
        <w:rPr>
          <w:spacing w:val="-7"/>
        </w:rPr>
        <w:t xml:space="preserve"> </w:t>
      </w:r>
      <w:r>
        <w:t>identity</w:t>
      </w:r>
      <w:r>
        <w:rPr>
          <w:spacing w:val="-6"/>
        </w:rPr>
        <w:t xml:space="preserve"> </w:t>
      </w:r>
      <w:r>
        <w:t>(SOGI)</w:t>
      </w:r>
      <w:r>
        <w:rPr>
          <w:spacing w:val="-4"/>
        </w:rPr>
        <w:t xml:space="preserve"> </w:t>
      </w:r>
      <w:r>
        <w:t>data,</w:t>
      </w:r>
      <w:r>
        <w:rPr>
          <w:spacing w:val="-4"/>
        </w:rPr>
        <w:t xml:space="preserve"> </w:t>
      </w:r>
      <w:r>
        <w:t>including</w:t>
      </w:r>
      <w:r>
        <w:rPr>
          <w:spacing w:val="-5"/>
        </w:rPr>
        <w:t xml:space="preserve"> </w:t>
      </w:r>
      <w:r>
        <w:t>child</w:t>
      </w:r>
      <w:r>
        <w:rPr>
          <w:spacing w:val="-5"/>
        </w:rPr>
        <w:t xml:space="preserve"> </w:t>
      </w:r>
      <w:r>
        <w:t xml:space="preserve">welfare </w:t>
      </w:r>
      <w:r>
        <w:rPr>
          <w:spacing w:val="-2"/>
        </w:rPr>
        <w:t>data.</w:t>
      </w:r>
    </w:p>
    <w:p w:rsidR="00200FDA" w:rsidRDefault="00F76C4C">
      <w:pPr>
        <w:pStyle w:val="ListParagraph"/>
        <w:numPr>
          <w:ilvl w:val="1"/>
          <w:numId w:val="18"/>
        </w:numPr>
        <w:tabs>
          <w:tab w:val="left" w:pos="1002"/>
        </w:tabs>
        <w:spacing w:before="1"/>
        <w:ind w:left="1001"/>
      </w:pPr>
      <w:r>
        <w:t>Review,</w:t>
      </w:r>
      <w:r>
        <w:rPr>
          <w:spacing w:val="-5"/>
        </w:rPr>
        <w:t xml:space="preserve"> </w:t>
      </w:r>
      <w:r>
        <w:t>publicize,</w:t>
      </w:r>
      <w:r>
        <w:rPr>
          <w:spacing w:val="-7"/>
        </w:rPr>
        <w:t xml:space="preserve"> </w:t>
      </w:r>
      <w:r>
        <w:t>and</w:t>
      </w:r>
      <w:r>
        <w:rPr>
          <w:spacing w:val="-5"/>
        </w:rPr>
        <w:t xml:space="preserve"> </w:t>
      </w:r>
      <w:r>
        <w:t>address</w:t>
      </w:r>
      <w:r>
        <w:rPr>
          <w:spacing w:val="-5"/>
        </w:rPr>
        <w:t xml:space="preserve"> </w:t>
      </w:r>
      <w:r>
        <w:t>juvenile</w:t>
      </w:r>
      <w:r>
        <w:rPr>
          <w:spacing w:val="-4"/>
        </w:rPr>
        <w:t xml:space="preserve"> </w:t>
      </w:r>
      <w:r>
        <w:t>justice</w:t>
      </w:r>
      <w:r>
        <w:rPr>
          <w:spacing w:val="-4"/>
        </w:rPr>
        <w:t xml:space="preserve"> </w:t>
      </w:r>
      <w:r>
        <w:t>SOGI</w:t>
      </w:r>
      <w:r>
        <w:rPr>
          <w:spacing w:val="-4"/>
        </w:rPr>
        <w:t xml:space="preserve"> data.</w:t>
      </w:r>
    </w:p>
    <w:p w:rsidR="00200FDA" w:rsidRDefault="00F76C4C">
      <w:pPr>
        <w:pStyle w:val="ListParagraph"/>
        <w:numPr>
          <w:ilvl w:val="1"/>
          <w:numId w:val="18"/>
        </w:numPr>
        <w:tabs>
          <w:tab w:val="left" w:pos="1002"/>
        </w:tabs>
        <w:spacing w:before="135" w:line="360" w:lineRule="auto"/>
        <w:ind w:left="1001" w:right="275"/>
      </w:pPr>
      <w:r>
        <w:t>Examine needs of LGBTQ youth in residential schools and identify opportunities to collaborate with the Commission’s</w:t>
      </w:r>
      <w:r>
        <w:t xml:space="preserve"> Safe Schools Program.</w:t>
      </w:r>
    </w:p>
    <w:p w:rsidR="00200FDA" w:rsidRDefault="00F76C4C">
      <w:pPr>
        <w:pStyle w:val="ListParagraph"/>
        <w:numPr>
          <w:ilvl w:val="1"/>
          <w:numId w:val="18"/>
        </w:numPr>
        <w:tabs>
          <w:tab w:val="left" w:pos="1002"/>
        </w:tabs>
        <w:spacing w:line="360" w:lineRule="auto"/>
        <w:ind w:left="1001" w:right="274"/>
      </w:pPr>
      <w:r>
        <w:t>Identify</w:t>
      </w:r>
      <w:r>
        <w:rPr>
          <w:spacing w:val="-10"/>
        </w:rPr>
        <w:t xml:space="preserve"> </w:t>
      </w:r>
      <w:r>
        <w:t>opportunities</w:t>
      </w:r>
      <w:r>
        <w:rPr>
          <w:spacing w:val="-9"/>
        </w:rPr>
        <w:t xml:space="preserve"> </w:t>
      </w:r>
      <w:r>
        <w:t>to</w:t>
      </w:r>
      <w:r>
        <w:rPr>
          <w:spacing w:val="-7"/>
        </w:rPr>
        <w:t xml:space="preserve"> </w:t>
      </w:r>
      <w:r>
        <w:t>address</w:t>
      </w:r>
      <w:r>
        <w:rPr>
          <w:spacing w:val="-9"/>
        </w:rPr>
        <w:t xml:space="preserve"> </w:t>
      </w:r>
      <w:r>
        <w:t>suicidality</w:t>
      </w:r>
      <w:r>
        <w:rPr>
          <w:spacing w:val="-10"/>
        </w:rPr>
        <w:t xml:space="preserve"> </w:t>
      </w:r>
      <w:r>
        <w:t>among</w:t>
      </w:r>
      <w:r>
        <w:rPr>
          <w:spacing w:val="-9"/>
        </w:rPr>
        <w:t xml:space="preserve"> </w:t>
      </w:r>
      <w:r>
        <w:t>LGBTQ</w:t>
      </w:r>
      <w:r>
        <w:rPr>
          <w:spacing w:val="-8"/>
        </w:rPr>
        <w:t xml:space="preserve"> </w:t>
      </w:r>
      <w:r>
        <w:t>youth,</w:t>
      </w:r>
      <w:r>
        <w:rPr>
          <w:spacing w:val="-8"/>
        </w:rPr>
        <w:t xml:space="preserve"> </w:t>
      </w:r>
      <w:r>
        <w:t>including</w:t>
      </w:r>
      <w:r>
        <w:rPr>
          <w:spacing w:val="-9"/>
        </w:rPr>
        <w:t xml:space="preserve"> </w:t>
      </w:r>
      <w:r>
        <w:t>through</w:t>
      </w:r>
      <w:r>
        <w:rPr>
          <w:spacing w:val="-9"/>
        </w:rPr>
        <w:t xml:space="preserve"> </w:t>
      </w:r>
      <w:r>
        <w:t>collaboration with the Commission.</w:t>
      </w:r>
    </w:p>
    <w:p w:rsidR="00200FDA" w:rsidRDefault="00200FDA">
      <w:pPr>
        <w:pStyle w:val="BodyText"/>
        <w:spacing w:before="10"/>
        <w:rPr>
          <w:sz w:val="32"/>
        </w:rPr>
      </w:pPr>
    </w:p>
    <w:p w:rsidR="00200FDA" w:rsidRDefault="00F76C4C">
      <w:pPr>
        <w:pStyle w:val="Heading7"/>
      </w:pPr>
      <w:r>
        <w:pict>
          <v:rect id="docshape533" o:spid="_x0000_s1092" style="position:absolute;left:0;text-align:left;margin-left:70.55pt;margin-top:18.15pt;width:470.9pt;height:.5pt;z-index:-15623680;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spacing w:before="2"/>
        <w:rPr>
          <w:sz w:val="28"/>
        </w:rPr>
      </w:pPr>
    </w:p>
    <w:p w:rsidR="00200FDA" w:rsidRDefault="00F76C4C">
      <w:pPr>
        <w:pStyle w:val="BodyText"/>
        <w:spacing w:before="56" w:line="276" w:lineRule="auto"/>
        <w:ind w:left="280" w:right="273"/>
        <w:jc w:val="both"/>
      </w:pPr>
      <w:r>
        <w:t>In 2021, the Commission published a report illustrating a crisis for LGBTQ youth in the Commonwealth’s foster care system.</w:t>
      </w:r>
      <w:hyperlink w:anchor="_bookmark860" w:history="1">
        <w:r>
          <w:rPr>
            <w:vertAlign w:val="superscript"/>
          </w:rPr>
          <w:t>i</w:t>
        </w:r>
      </w:hyperlink>
      <w:r>
        <w:t xml:space="preserve"> The report highlighted violence, abuse, and discrimination against LGBTQ young people in the child w</w:t>
      </w:r>
      <w:r>
        <w:t>elfare system. The Commission issued a set of recommendations for DCF and has since been working with the agency to implement them.</w:t>
      </w:r>
    </w:p>
    <w:p w:rsidR="00200FDA" w:rsidRDefault="00200FDA">
      <w:pPr>
        <w:pStyle w:val="BodyText"/>
        <w:spacing w:before="6"/>
        <w:rPr>
          <w:sz w:val="32"/>
        </w:rPr>
      </w:pPr>
    </w:p>
    <w:p w:rsidR="00200FDA" w:rsidRDefault="00F76C4C">
      <w:pPr>
        <w:pStyle w:val="BodyText"/>
        <w:spacing w:line="276" w:lineRule="auto"/>
        <w:ind w:left="279" w:right="274"/>
        <w:jc w:val="both"/>
      </w:pPr>
      <w:r>
        <w:t>Sustained, meaningful change for LGBTQ youth in the child welfare system - as well as those interacting with</w:t>
      </w:r>
      <w:r>
        <w:rPr>
          <w:spacing w:val="-10"/>
        </w:rPr>
        <w:t xml:space="preserve"> </w:t>
      </w:r>
      <w:r>
        <w:t>Massachusetts</w:t>
      </w:r>
      <w:r>
        <w:rPr>
          <w:spacing w:val="-9"/>
        </w:rPr>
        <w:t xml:space="preserve"> </w:t>
      </w:r>
      <w:r>
        <w:t>schools,</w:t>
      </w:r>
      <w:r>
        <w:rPr>
          <w:spacing w:val="-9"/>
        </w:rPr>
        <w:t xml:space="preserve"> </w:t>
      </w:r>
      <w:r>
        <w:t>juvenile</w:t>
      </w:r>
      <w:r>
        <w:rPr>
          <w:spacing w:val="-11"/>
        </w:rPr>
        <w:t xml:space="preserve"> </w:t>
      </w:r>
      <w:r>
        <w:t>justice</w:t>
      </w:r>
      <w:r>
        <w:rPr>
          <w:spacing w:val="-8"/>
        </w:rPr>
        <w:t xml:space="preserve"> </w:t>
      </w:r>
      <w:r>
        <w:t>facilities,</w:t>
      </w:r>
      <w:r>
        <w:rPr>
          <w:spacing w:val="-11"/>
        </w:rPr>
        <w:t xml:space="preserve"> </w:t>
      </w:r>
      <w:r>
        <w:t>and</w:t>
      </w:r>
      <w:r>
        <w:rPr>
          <w:spacing w:val="-10"/>
        </w:rPr>
        <w:t xml:space="preserve"> </w:t>
      </w:r>
      <w:r>
        <w:t>other</w:t>
      </w:r>
      <w:r>
        <w:rPr>
          <w:spacing w:val="-11"/>
        </w:rPr>
        <w:t xml:space="preserve"> </w:t>
      </w:r>
      <w:r>
        <w:t>youth-serving</w:t>
      </w:r>
      <w:r>
        <w:rPr>
          <w:spacing w:val="-10"/>
        </w:rPr>
        <w:t xml:space="preserve"> </w:t>
      </w:r>
      <w:r>
        <w:t>entities</w:t>
      </w:r>
      <w:r>
        <w:rPr>
          <w:spacing w:val="-9"/>
        </w:rPr>
        <w:t xml:space="preserve"> </w:t>
      </w:r>
      <w:r>
        <w:t>-</w:t>
      </w:r>
      <w:r>
        <w:rPr>
          <w:spacing w:val="-10"/>
        </w:rPr>
        <w:t xml:space="preserve"> </w:t>
      </w:r>
      <w:r>
        <w:t>requires</w:t>
      </w:r>
      <w:r>
        <w:rPr>
          <w:spacing w:val="-9"/>
        </w:rPr>
        <w:t xml:space="preserve"> </w:t>
      </w:r>
      <w:r>
        <w:t>an</w:t>
      </w:r>
      <w:r>
        <w:rPr>
          <w:spacing w:val="-10"/>
        </w:rPr>
        <w:t xml:space="preserve"> </w:t>
      </w:r>
      <w:r>
        <w:t>active and attentive watchdog. Under statute, this role belongs to OCA. To date, however, efforts to hold DCF and other state agencies accountable for the experiences of L</w:t>
      </w:r>
      <w:r>
        <w:t>GBTQ youth who interact with them have fallen largely to the Commission and to nonprofit organizations, none of whom have the authority to exercise the powers given to OCA under state law, leaving an oversight gap.</w:t>
      </w:r>
    </w:p>
    <w:p w:rsidR="00200FDA" w:rsidRDefault="00200FDA">
      <w:pPr>
        <w:spacing w:line="276" w:lineRule="auto"/>
        <w:jc w:val="both"/>
        <w:sectPr w:rsidR="00200FDA">
          <w:headerReference w:type="default" r:id="rId805"/>
          <w:footerReference w:type="default" r:id="rId806"/>
          <w:pgSz w:w="12240" w:h="15840"/>
          <w:pgMar w:top="1260" w:right="1160" w:bottom="1260" w:left="1160" w:header="761" w:footer="1062" w:gutter="0"/>
          <w:cols w:space="720"/>
        </w:sectPr>
      </w:pPr>
    </w:p>
    <w:p w:rsidR="00200FDA" w:rsidRDefault="00200FDA">
      <w:pPr>
        <w:pStyle w:val="BodyText"/>
        <w:spacing w:before="9"/>
        <w:rPr>
          <w:sz w:val="8"/>
        </w:rPr>
      </w:pPr>
    </w:p>
    <w:p w:rsidR="00200FDA" w:rsidRDefault="00F76C4C">
      <w:pPr>
        <w:pStyle w:val="BodyText"/>
        <w:spacing w:before="57" w:line="276" w:lineRule="auto"/>
        <w:ind w:left="280" w:right="273"/>
        <w:jc w:val="both"/>
      </w:pPr>
      <w:r>
        <w:t>While DCF has engaged with the Commission over the past year to make improvements, quality control over this critically important system for vulnerable youth cannot depend on monitoring by the same agency</w:t>
      </w:r>
      <w:r>
        <w:rPr>
          <w:spacing w:val="-1"/>
        </w:rPr>
        <w:t xml:space="preserve"> </w:t>
      </w:r>
      <w:r>
        <w:t>that</w:t>
      </w:r>
      <w:r>
        <w:rPr>
          <w:spacing w:val="-1"/>
        </w:rPr>
        <w:t xml:space="preserve"> </w:t>
      </w:r>
      <w:r>
        <w:t>delivers</w:t>
      </w:r>
      <w:r>
        <w:rPr>
          <w:spacing w:val="-2"/>
        </w:rPr>
        <w:t xml:space="preserve"> </w:t>
      </w:r>
      <w:r>
        <w:t>the</w:t>
      </w:r>
      <w:r>
        <w:rPr>
          <w:spacing w:val="-1"/>
        </w:rPr>
        <w:t xml:space="preserve"> </w:t>
      </w:r>
      <w:r>
        <w:t>services.</w:t>
      </w:r>
      <w:r>
        <w:rPr>
          <w:spacing w:val="-2"/>
        </w:rPr>
        <w:t xml:space="preserve"> </w:t>
      </w:r>
      <w:r>
        <w:t>It</w:t>
      </w:r>
      <w:r>
        <w:rPr>
          <w:spacing w:val="-1"/>
        </w:rPr>
        <w:t xml:space="preserve"> </w:t>
      </w:r>
      <w:r>
        <w:t>is</w:t>
      </w:r>
      <w:r>
        <w:rPr>
          <w:spacing w:val="-2"/>
        </w:rPr>
        <w:t xml:space="preserve"> </w:t>
      </w:r>
      <w:r>
        <w:t>essential</w:t>
      </w:r>
      <w:r>
        <w:rPr>
          <w:spacing w:val="-5"/>
        </w:rPr>
        <w:t xml:space="preserve"> </w:t>
      </w:r>
      <w:r>
        <w:t>that</w:t>
      </w:r>
      <w:r>
        <w:rPr>
          <w:spacing w:val="-1"/>
        </w:rPr>
        <w:t xml:space="preserve"> </w:t>
      </w:r>
      <w:r>
        <w:t>OCA</w:t>
      </w:r>
      <w:r>
        <w:rPr>
          <w:spacing w:val="-2"/>
        </w:rPr>
        <w:t xml:space="preserve"> </w:t>
      </w:r>
      <w:r>
        <w:t>is</w:t>
      </w:r>
      <w:r>
        <w:rPr>
          <w:spacing w:val="-2"/>
        </w:rPr>
        <w:t xml:space="preserve"> </w:t>
      </w:r>
      <w:r>
        <w:t>responsive</w:t>
      </w:r>
      <w:r>
        <w:rPr>
          <w:spacing w:val="-4"/>
        </w:rPr>
        <w:t xml:space="preserve"> </w:t>
      </w:r>
      <w:r>
        <w:t>to</w:t>
      </w:r>
      <w:r>
        <w:rPr>
          <w:spacing w:val="-1"/>
        </w:rPr>
        <w:t xml:space="preserve"> </w:t>
      </w:r>
      <w:r>
        <w:t>problems</w:t>
      </w:r>
      <w:r>
        <w:rPr>
          <w:spacing w:val="-2"/>
        </w:rPr>
        <w:t xml:space="preserve"> </w:t>
      </w:r>
      <w:r>
        <w:t>in</w:t>
      </w:r>
      <w:r>
        <w:rPr>
          <w:spacing w:val="-3"/>
        </w:rPr>
        <w:t xml:space="preserve"> </w:t>
      </w:r>
      <w:r>
        <w:t>all</w:t>
      </w:r>
      <w:r>
        <w:rPr>
          <w:spacing w:val="-2"/>
        </w:rPr>
        <w:t xml:space="preserve"> </w:t>
      </w:r>
      <w:r>
        <w:t>aspects</w:t>
      </w:r>
      <w:r>
        <w:rPr>
          <w:spacing w:val="-4"/>
        </w:rPr>
        <w:t xml:space="preserve"> </w:t>
      </w:r>
      <w:r>
        <w:t>of</w:t>
      </w:r>
      <w:r>
        <w:rPr>
          <w:spacing w:val="-2"/>
        </w:rPr>
        <w:t xml:space="preserve"> </w:t>
      </w:r>
      <w:r>
        <w:t>foster care services, ranging from</w:t>
      </w:r>
      <w:r>
        <w:rPr>
          <w:spacing w:val="-1"/>
        </w:rPr>
        <w:t xml:space="preserve"> </w:t>
      </w:r>
      <w:r>
        <w:t xml:space="preserve">foster homes to congregate care facilities. The Commission urges OCA to use its authority to the fullest extent to investigate mistreatment of youth by state </w:t>
      </w:r>
      <w:r>
        <w:t>systems and to communicate its findings and its own recommendations to state agencies, legislative policymakers, and the public.</w:t>
      </w:r>
    </w:p>
    <w:p w:rsidR="00200FDA" w:rsidRDefault="00200FDA">
      <w:pPr>
        <w:pStyle w:val="BodyText"/>
        <w:spacing w:before="10"/>
        <w:rPr>
          <w:sz w:val="32"/>
        </w:rPr>
      </w:pPr>
    </w:p>
    <w:p w:rsidR="00200FDA" w:rsidRDefault="00F76C4C">
      <w:pPr>
        <w:pStyle w:val="BodyText"/>
        <w:spacing w:line="276" w:lineRule="auto"/>
        <w:ind w:left="280" w:right="275"/>
        <w:jc w:val="both"/>
      </w:pPr>
      <w:r>
        <w:t>The Commission</w:t>
      </w:r>
      <w:r>
        <w:rPr>
          <w:spacing w:val="-2"/>
        </w:rPr>
        <w:t xml:space="preserve"> </w:t>
      </w:r>
      <w:r>
        <w:t>issued</w:t>
      </w:r>
      <w:r>
        <w:rPr>
          <w:spacing w:val="-2"/>
        </w:rPr>
        <w:t xml:space="preserve"> </w:t>
      </w:r>
      <w:r>
        <w:t>its</w:t>
      </w:r>
      <w:r>
        <w:rPr>
          <w:spacing w:val="-6"/>
        </w:rPr>
        <w:t xml:space="preserve"> </w:t>
      </w:r>
      <w:r>
        <w:t>first set</w:t>
      </w:r>
      <w:r>
        <w:rPr>
          <w:spacing w:val="-3"/>
        </w:rPr>
        <w:t xml:space="preserve"> </w:t>
      </w:r>
      <w:r>
        <w:t>of</w:t>
      </w:r>
      <w:r>
        <w:rPr>
          <w:spacing w:val="-1"/>
        </w:rPr>
        <w:t xml:space="preserve"> </w:t>
      </w:r>
      <w:r>
        <w:t>recommendations</w:t>
      </w:r>
      <w:r>
        <w:rPr>
          <w:spacing w:val="-1"/>
        </w:rPr>
        <w:t xml:space="preserve"> </w:t>
      </w:r>
      <w:r>
        <w:t>to</w:t>
      </w:r>
      <w:r>
        <w:rPr>
          <w:spacing w:val="-2"/>
        </w:rPr>
        <w:t xml:space="preserve"> </w:t>
      </w:r>
      <w:r>
        <w:t>OCA</w:t>
      </w:r>
      <w:r>
        <w:rPr>
          <w:spacing w:val="-1"/>
        </w:rPr>
        <w:t xml:space="preserve"> </w:t>
      </w:r>
      <w:r>
        <w:t>in</w:t>
      </w:r>
      <w:r>
        <w:rPr>
          <w:spacing w:val="-4"/>
        </w:rPr>
        <w:t xml:space="preserve"> </w:t>
      </w:r>
      <w:r>
        <w:t>FY</w:t>
      </w:r>
      <w:r>
        <w:rPr>
          <w:spacing w:val="-3"/>
        </w:rPr>
        <w:t xml:space="preserve"> </w:t>
      </w:r>
      <w:r>
        <w:t>2023,</w:t>
      </w:r>
      <w:r>
        <w:rPr>
          <w:spacing w:val="-3"/>
        </w:rPr>
        <w:t xml:space="preserve"> </w:t>
      </w:r>
      <w:r>
        <w:t>with</w:t>
      </w:r>
      <w:r>
        <w:rPr>
          <w:spacing w:val="-6"/>
        </w:rPr>
        <w:t xml:space="preserve"> </w:t>
      </w:r>
      <w:r>
        <w:t>a</w:t>
      </w:r>
      <w:r>
        <w:rPr>
          <w:spacing w:val="-1"/>
        </w:rPr>
        <w:t xml:space="preserve"> </w:t>
      </w:r>
      <w:r>
        <w:t>focus</w:t>
      </w:r>
      <w:r>
        <w:rPr>
          <w:spacing w:val="-3"/>
        </w:rPr>
        <w:t xml:space="preserve"> </w:t>
      </w:r>
      <w:r>
        <w:t>on</w:t>
      </w:r>
      <w:r>
        <w:rPr>
          <w:spacing w:val="-4"/>
        </w:rPr>
        <w:t xml:space="preserve"> </w:t>
      </w:r>
      <w:r>
        <w:t>state systems of care and custody (i</w:t>
      </w:r>
      <w:r>
        <w:t>ncluding better understanding the concerns of LGBTQ youth in these systems, addressing the needs of LGBTQ youth in proposed reforms, and better data collection and reporting), education,</w:t>
      </w:r>
      <w:r>
        <w:rPr>
          <w:spacing w:val="-9"/>
        </w:rPr>
        <w:t xml:space="preserve"> </w:t>
      </w:r>
      <w:r>
        <w:t>and</w:t>
      </w:r>
      <w:r>
        <w:rPr>
          <w:spacing w:val="-10"/>
        </w:rPr>
        <w:t xml:space="preserve"> </w:t>
      </w:r>
      <w:r>
        <w:t>public</w:t>
      </w:r>
      <w:r>
        <w:rPr>
          <w:spacing w:val="-9"/>
        </w:rPr>
        <w:t xml:space="preserve"> </w:t>
      </w:r>
      <w:r>
        <w:t>health.</w:t>
      </w:r>
      <w:r>
        <w:rPr>
          <w:spacing w:val="-9"/>
        </w:rPr>
        <w:t xml:space="preserve"> </w:t>
      </w:r>
      <w:r>
        <w:t>As</w:t>
      </w:r>
      <w:r>
        <w:rPr>
          <w:spacing w:val="-9"/>
        </w:rPr>
        <w:t xml:space="preserve"> </w:t>
      </w:r>
      <w:r>
        <w:t>detailed</w:t>
      </w:r>
      <w:r>
        <w:rPr>
          <w:spacing w:val="-10"/>
        </w:rPr>
        <w:t xml:space="preserve"> </w:t>
      </w:r>
      <w:r>
        <w:t>below,</w:t>
      </w:r>
      <w:r>
        <w:rPr>
          <w:spacing w:val="-9"/>
        </w:rPr>
        <w:t xml:space="preserve"> </w:t>
      </w:r>
      <w:r>
        <w:t>these</w:t>
      </w:r>
      <w:r>
        <w:rPr>
          <w:spacing w:val="-11"/>
        </w:rPr>
        <w:t xml:space="preserve"> </w:t>
      </w:r>
      <w:r>
        <w:t>recommendations</w:t>
      </w:r>
      <w:r>
        <w:rPr>
          <w:spacing w:val="-9"/>
        </w:rPr>
        <w:t xml:space="preserve"> </w:t>
      </w:r>
      <w:r>
        <w:t>remain</w:t>
      </w:r>
      <w:r>
        <w:rPr>
          <w:spacing w:val="-10"/>
        </w:rPr>
        <w:t xml:space="preserve"> </w:t>
      </w:r>
      <w:r>
        <w:t>just</w:t>
      </w:r>
      <w:r>
        <w:rPr>
          <w:spacing w:val="-9"/>
        </w:rPr>
        <w:t xml:space="preserve"> </w:t>
      </w:r>
      <w:r>
        <w:t>as</w:t>
      </w:r>
      <w:r>
        <w:rPr>
          <w:spacing w:val="-9"/>
        </w:rPr>
        <w:t xml:space="preserve"> </w:t>
      </w:r>
      <w:r>
        <w:t>relevant</w:t>
      </w:r>
      <w:r>
        <w:rPr>
          <w:spacing w:val="-11"/>
        </w:rPr>
        <w:t xml:space="preserve"> </w:t>
      </w:r>
      <w:r>
        <w:t>one</w:t>
      </w:r>
      <w:r>
        <w:rPr>
          <w:spacing w:val="-8"/>
        </w:rPr>
        <w:t xml:space="preserve"> </w:t>
      </w:r>
      <w:r>
        <w:t>year later. Indeed, OCA’s FY</w:t>
      </w:r>
      <w:r>
        <w:rPr>
          <w:spacing w:val="-1"/>
        </w:rPr>
        <w:t xml:space="preserve"> </w:t>
      </w:r>
      <w:r>
        <w:t>2022 annual report is, with a few exceptions, largely silent on patterns impacting and the needs of LGBTQ youth, despite the availability of significant quantitative data and anecdotal reports</w:t>
      </w:r>
      <w:r>
        <w:rPr>
          <w:spacing w:val="-11"/>
        </w:rPr>
        <w:t xml:space="preserve"> </w:t>
      </w:r>
      <w:r>
        <w:t>related</w:t>
      </w:r>
      <w:r>
        <w:rPr>
          <w:spacing w:val="-12"/>
        </w:rPr>
        <w:t xml:space="preserve"> </w:t>
      </w:r>
      <w:r>
        <w:t>to</w:t>
      </w:r>
      <w:r>
        <w:rPr>
          <w:spacing w:val="-10"/>
        </w:rPr>
        <w:t xml:space="preserve"> </w:t>
      </w:r>
      <w:r>
        <w:t>LG</w:t>
      </w:r>
      <w:r>
        <w:t>BTQ</w:t>
      </w:r>
      <w:r>
        <w:rPr>
          <w:spacing w:val="-11"/>
        </w:rPr>
        <w:t xml:space="preserve"> </w:t>
      </w:r>
      <w:r>
        <w:t>youth</w:t>
      </w:r>
      <w:r>
        <w:rPr>
          <w:spacing w:val="-10"/>
        </w:rPr>
        <w:t xml:space="preserve"> </w:t>
      </w:r>
      <w:r>
        <w:t>interacting</w:t>
      </w:r>
      <w:r>
        <w:rPr>
          <w:spacing w:val="-12"/>
        </w:rPr>
        <w:t xml:space="preserve"> </w:t>
      </w:r>
      <w:r>
        <w:t>with</w:t>
      </w:r>
      <w:r>
        <w:rPr>
          <w:spacing w:val="-12"/>
        </w:rPr>
        <w:t xml:space="preserve"> </w:t>
      </w:r>
      <w:r>
        <w:t>state</w:t>
      </w:r>
      <w:r>
        <w:rPr>
          <w:spacing w:val="-13"/>
        </w:rPr>
        <w:t xml:space="preserve"> </w:t>
      </w:r>
      <w:r>
        <w:t>systems.</w:t>
      </w:r>
      <w:r>
        <w:rPr>
          <w:spacing w:val="-11"/>
        </w:rPr>
        <w:t xml:space="preserve"> </w:t>
      </w:r>
      <w:r>
        <w:t>The</w:t>
      </w:r>
      <w:r>
        <w:rPr>
          <w:spacing w:val="-11"/>
        </w:rPr>
        <w:t xml:space="preserve"> </w:t>
      </w:r>
      <w:r>
        <w:t>Commission</w:t>
      </w:r>
      <w:r>
        <w:rPr>
          <w:spacing w:val="-12"/>
        </w:rPr>
        <w:t xml:space="preserve"> </w:t>
      </w:r>
      <w:r>
        <w:t>is</w:t>
      </w:r>
      <w:r>
        <w:rPr>
          <w:spacing w:val="-11"/>
        </w:rPr>
        <w:t xml:space="preserve"> </w:t>
      </w:r>
      <w:r>
        <w:t>available</w:t>
      </w:r>
      <w:r>
        <w:rPr>
          <w:spacing w:val="-8"/>
        </w:rPr>
        <w:t xml:space="preserve"> </w:t>
      </w:r>
      <w:r>
        <w:t>to</w:t>
      </w:r>
      <w:r>
        <w:rPr>
          <w:spacing w:val="-10"/>
        </w:rPr>
        <w:t xml:space="preserve"> </w:t>
      </w:r>
      <w:r>
        <w:t>support</w:t>
      </w:r>
      <w:r>
        <w:rPr>
          <w:spacing w:val="-11"/>
        </w:rPr>
        <w:t xml:space="preserve"> </w:t>
      </w:r>
      <w:r>
        <w:t>the OCA’s implementation of its recommendations and looks forward to being able to describe progress toward them when it releases future sets of recommendations.</w:t>
      </w:r>
    </w:p>
    <w:p w:rsidR="00200FDA" w:rsidRDefault="00200FDA">
      <w:pPr>
        <w:pStyle w:val="BodyText"/>
        <w:spacing w:before="10"/>
        <w:rPr>
          <w:sz w:val="32"/>
        </w:rPr>
      </w:pPr>
    </w:p>
    <w:p w:rsidR="00200FDA" w:rsidRDefault="00F76C4C">
      <w:pPr>
        <w:pStyle w:val="BodyText"/>
        <w:spacing w:line="276" w:lineRule="auto"/>
        <w:ind w:left="279" w:right="273"/>
        <w:jc w:val="both"/>
      </w:pPr>
      <w:r>
        <w:t>OCA’s</w:t>
      </w:r>
      <w:r>
        <w:rPr>
          <w:spacing w:val="-7"/>
        </w:rPr>
        <w:t xml:space="preserve"> </w:t>
      </w:r>
      <w:r>
        <w:t>active</w:t>
      </w:r>
      <w:r>
        <w:rPr>
          <w:spacing w:val="-6"/>
        </w:rPr>
        <w:t xml:space="preserve"> </w:t>
      </w:r>
      <w:r>
        <w:t>and</w:t>
      </w:r>
      <w:r>
        <w:rPr>
          <w:spacing w:val="-10"/>
        </w:rPr>
        <w:t xml:space="preserve"> </w:t>
      </w:r>
      <w:r>
        <w:t>vocal</w:t>
      </w:r>
      <w:r>
        <w:rPr>
          <w:spacing w:val="-7"/>
        </w:rPr>
        <w:t xml:space="preserve"> </w:t>
      </w:r>
      <w:r>
        <w:t>engagement</w:t>
      </w:r>
      <w:r>
        <w:rPr>
          <w:spacing w:val="-9"/>
        </w:rPr>
        <w:t xml:space="preserve"> </w:t>
      </w:r>
      <w:r>
        <w:t>on</w:t>
      </w:r>
      <w:r>
        <w:rPr>
          <w:spacing w:val="-7"/>
        </w:rPr>
        <w:t xml:space="preserve"> </w:t>
      </w:r>
      <w:r>
        <w:t>LGBTQ</w:t>
      </w:r>
      <w:r>
        <w:rPr>
          <w:spacing w:val="-9"/>
        </w:rPr>
        <w:t xml:space="preserve"> </w:t>
      </w:r>
      <w:r>
        <w:t>issues</w:t>
      </w:r>
      <w:r>
        <w:rPr>
          <w:spacing w:val="-11"/>
        </w:rPr>
        <w:t xml:space="preserve"> </w:t>
      </w:r>
      <w:r>
        <w:t>matters</w:t>
      </w:r>
      <w:r>
        <w:rPr>
          <w:spacing w:val="-6"/>
        </w:rPr>
        <w:t xml:space="preserve"> </w:t>
      </w:r>
      <w:r>
        <w:t>now</w:t>
      </w:r>
      <w:r>
        <w:rPr>
          <w:spacing w:val="-8"/>
        </w:rPr>
        <w:t xml:space="preserve"> </w:t>
      </w:r>
      <w:r>
        <w:t>more</w:t>
      </w:r>
      <w:r>
        <w:rPr>
          <w:spacing w:val="-6"/>
        </w:rPr>
        <w:t xml:space="preserve"> </w:t>
      </w:r>
      <w:r>
        <w:t>than</w:t>
      </w:r>
      <w:r>
        <w:rPr>
          <w:spacing w:val="-10"/>
        </w:rPr>
        <w:t xml:space="preserve"> </w:t>
      </w:r>
      <w:r>
        <w:t>ever,</w:t>
      </w:r>
      <w:r>
        <w:rPr>
          <w:spacing w:val="-7"/>
        </w:rPr>
        <w:t xml:space="preserve"> </w:t>
      </w:r>
      <w:r>
        <w:t>given</w:t>
      </w:r>
      <w:r>
        <w:rPr>
          <w:spacing w:val="-7"/>
        </w:rPr>
        <w:t xml:space="preserve"> </w:t>
      </w:r>
      <w:r>
        <w:t>the</w:t>
      </w:r>
      <w:r>
        <w:rPr>
          <w:spacing w:val="-8"/>
        </w:rPr>
        <w:t xml:space="preserve"> </w:t>
      </w:r>
      <w:r>
        <w:t>avalanche</w:t>
      </w:r>
      <w:r>
        <w:rPr>
          <w:spacing w:val="-8"/>
        </w:rPr>
        <w:t xml:space="preserve"> </w:t>
      </w:r>
      <w:r>
        <w:t xml:space="preserve">of anti-LGBTQ legislation and vitriolic attacks across the country targeting transgender youth and LGBTQ young people more broadly. </w:t>
      </w:r>
      <w:hyperlink w:anchor="_bookmark861" w:history="1">
        <w:r>
          <w:rPr>
            <w:vertAlign w:val="superscript"/>
          </w:rPr>
          <w:t>ii</w:t>
        </w:r>
      </w:hyperlink>
      <w:r>
        <w:t xml:space="preserve"> The impact on LGBTQ youth mental health is significant: 90% of Massachusetts</w:t>
      </w:r>
      <w:r>
        <w:rPr>
          <w:spacing w:val="-11"/>
        </w:rPr>
        <w:t xml:space="preserve"> </w:t>
      </w:r>
      <w:r>
        <w:t>LGBTQ</w:t>
      </w:r>
      <w:r>
        <w:rPr>
          <w:spacing w:val="-9"/>
        </w:rPr>
        <w:t xml:space="preserve"> </w:t>
      </w:r>
      <w:r>
        <w:t>youth</w:t>
      </w:r>
      <w:r>
        <w:rPr>
          <w:spacing w:val="-10"/>
        </w:rPr>
        <w:t xml:space="preserve"> </w:t>
      </w:r>
      <w:r>
        <w:t>reported</w:t>
      </w:r>
      <w:r>
        <w:rPr>
          <w:spacing w:val="-12"/>
        </w:rPr>
        <w:t xml:space="preserve"> </w:t>
      </w:r>
      <w:r>
        <w:t>that</w:t>
      </w:r>
      <w:r>
        <w:rPr>
          <w:spacing w:val="-8"/>
        </w:rPr>
        <w:t xml:space="preserve"> </w:t>
      </w:r>
      <w:r>
        <w:t>debates</w:t>
      </w:r>
      <w:r>
        <w:rPr>
          <w:spacing w:val="-9"/>
        </w:rPr>
        <w:t xml:space="preserve"> </w:t>
      </w:r>
      <w:r>
        <w:t>about</w:t>
      </w:r>
      <w:r>
        <w:rPr>
          <w:spacing w:val="-8"/>
        </w:rPr>
        <w:t xml:space="preserve"> </w:t>
      </w:r>
      <w:r>
        <w:t>state</w:t>
      </w:r>
      <w:r>
        <w:rPr>
          <w:spacing w:val="-8"/>
        </w:rPr>
        <w:t xml:space="preserve"> </w:t>
      </w:r>
      <w:r>
        <w:t>laws</w:t>
      </w:r>
      <w:r>
        <w:rPr>
          <w:spacing w:val="-9"/>
        </w:rPr>
        <w:t xml:space="preserve"> </w:t>
      </w:r>
      <w:r>
        <w:t>restricting</w:t>
      </w:r>
      <w:r>
        <w:rPr>
          <w:spacing w:val="-10"/>
        </w:rPr>
        <w:t xml:space="preserve"> </w:t>
      </w:r>
      <w:r>
        <w:t>the</w:t>
      </w:r>
      <w:r>
        <w:rPr>
          <w:spacing w:val="-8"/>
        </w:rPr>
        <w:t xml:space="preserve"> </w:t>
      </w:r>
      <w:r>
        <w:t>rights</w:t>
      </w:r>
      <w:r>
        <w:rPr>
          <w:spacing w:val="-9"/>
        </w:rPr>
        <w:t xml:space="preserve"> </w:t>
      </w:r>
      <w:r>
        <w:t>of</w:t>
      </w:r>
      <w:r>
        <w:rPr>
          <w:spacing w:val="-12"/>
        </w:rPr>
        <w:t xml:space="preserve"> </w:t>
      </w:r>
      <w:r>
        <w:t>LGBTQ</w:t>
      </w:r>
      <w:r>
        <w:rPr>
          <w:spacing w:val="-9"/>
        </w:rPr>
        <w:t xml:space="preserve"> </w:t>
      </w:r>
      <w:r>
        <w:t>young people</w:t>
      </w:r>
      <w:r>
        <w:rPr>
          <w:spacing w:val="-5"/>
        </w:rPr>
        <w:t xml:space="preserve"> </w:t>
      </w:r>
      <w:r>
        <w:t>were</w:t>
      </w:r>
      <w:r>
        <w:rPr>
          <w:spacing w:val="-3"/>
        </w:rPr>
        <w:t xml:space="preserve"> </w:t>
      </w:r>
      <w:r>
        <w:t>impacting</w:t>
      </w:r>
      <w:r>
        <w:rPr>
          <w:spacing w:val="-4"/>
        </w:rPr>
        <w:t xml:space="preserve"> </w:t>
      </w:r>
      <w:r>
        <w:t>their</w:t>
      </w:r>
      <w:r>
        <w:rPr>
          <w:spacing w:val="-3"/>
        </w:rPr>
        <w:t xml:space="preserve"> </w:t>
      </w:r>
      <w:r>
        <w:t>mental</w:t>
      </w:r>
      <w:r>
        <w:rPr>
          <w:spacing w:val="-4"/>
        </w:rPr>
        <w:t xml:space="preserve"> </w:t>
      </w:r>
      <w:r>
        <w:t>health</w:t>
      </w:r>
      <w:r>
        <w:rPr>
          <w:spacing w:val="-4"/>
        </w:rPr>
        <w:t xml:space="preserve"> </w:t>
      </w:r>
      <w:r>
        <w:t>negatively.</w:t>
      </w:r>
      <w:hyperlink w:anchor="_bookmark862" w:history="1">
        <w:r>
          <w:rPr>
            <w:vertAlign w:val="superscript"/>
          </w:rPr>
          <w:t>iii</w:t>
        </w:r>
      </w:hyperlink>
      <w:r>
        <w:rPr>
          <w:spacing w:val="-2"/>
        </w:rPr>
        <w:t xml:space="preserve"> </w:t>
      </w:r>
      <w:r>
        <w:t>Among</w:t>
      </w:r>
      <w:r>
        <w:rPr>
          <w:spacing w:val="-6"/>
        </w:rPr>
        <w:t xml:space="preserve"> </w:t>
      </w:r>
      <w:r>
        <w:t>other</w:t>
      </w:r>
      <w:r>
        <w:rPr>
          <w:spacing w:val="-3"/>
        </w:rPr>
        <w:t xml:space="preserve"> </w:t>
      </w:r>
      <w:r>
        <w:t>issues,</w:t>
      </w:r>
      <w:r>
        <w:rPr>
          <w:spacing w:val="-3"/>
        </w:rPr>
        <w:t xml:space="preserve"> </w:t>
      </w:r>
      <w:r>
        <w:t>the</w:t>
      </w:r>
      <w:r>
        <w:rPr>
          <w:spacing w:val="-5"/>
        </w:rPr>
        <w:t xml:space="preserve"> </w:t>
      </w:r>
      <w:r>
        <w:t>state</w:t>
      </w:r>
      <w:r>
        <w:rPr>
          <w:spacing w:val="-3"/>
        </w:rPr>
        <w:t xml:space="preserve"> </w:t>
      </w:r>
      <w:r>
        <w:t>has</w:t>
      </w:r>
      <w:r>
        <w:rPr>
          <w:spacing w:val="-3"/>
        </w:rPr>
        <w:t xml:space="preserve"> </w:t>
      </w:r>
      <w:r>
        <w:t>seen</w:t>
      </w:r>
      <w:r>
        <w:rPr>
          <w:spacing w:val="-4"/>
        </w:rPr>
        <w:t xml:space="preserve"> </w:t>
      </w:r>
      <w:r>
        <w:t>efforts</w:t>
      </w:r>
      <w:r>
        <w:rPr>
          <w:spacing w:val="-3"/>
        </w:rPr>
        <w:t xml:space="preserve"> </w:t>
      </w:r>
      <w:r>
        <w:t>to dismantle protections for LGBTQ youth in schools, and Boston Children’s Hospital received a barrage of bomb</w:t>
      </w:r>
      <w:r>
        <w:rPr>
          <w:spacing w:val="-13"/>
        </w:rPr>
        <w:t xml:space="preserve"> </w:t>
      </w:r>
      <w:r>
        <w:t>threats,</w:t>
      </w:r>
      <w:r>
        <w:rPr>
          <w:spacing w:val="-12"/>
        </w:rPr>
        <w:t xml:space="preserve"> </w:t>
      </w:r>
      <w:r>
        <w:t>hate</w:t>
      </w:r>
      <w:r>
        <w:rPr>
          <w:spacing w:val="-13"/>
        </w:rPr>
        <w:t xml:space="preserve"> </w:t>
      </w:r>
      <w:r>
        <w:t>mail,</w:t>
      </w:r>
      <w:r>
        <w:rPr>
          <w:spacing w:val="-12"/>
        </w:rPr>
        <w:t xml:space="preserve"> </w:t>
      </w:r>
      <w:r>
        <w:t>and</w:t>
      </w:r>
      <w:r>
        <w:rPr>
          <w:spacing w:val="-13"/>
        </w:rPr>
        <w:t xml:space="preserve"> </w:t>
      </w:r>
      <w:r>
        <w:t>death</w:t>
      </w:r>
      <w:r>
        <w:rPr>
          <w:spacing w:val="-12"/>
        </w:rPr>
        <w:t xml:space="preserve"> </w:t>
      </w:r>
      <w:r>
        <w:t>threats</w:t>
      </w:r>
      <w:r>
        <w:rPr>
          <w:spacing w:val="-13"/>
        </w:rPr>
        <w:t xml:space="preserve"> </w:t>
      </w:r>
      <w:r>
        <w:t>after</w:t>
      </w:r>
      <w:r>
        <w:rPr>
          <w:spacing w:val="-12"/>
        </w:rPr>
        <w:t xml:space="preserve"> </w:t>
      </w:r>
      <w:r>
        <w:t>social</w:t>
      </w:r>
      <w:r>
        <w:rPr>
          <w:spacing w:val="-12"/>
        </w:rPr>
        <w:t xml:space="preserve"> </w:t>
      </w:r>
      <w:r>
        <w:t>media</w:t>
      </w:r>
      <w:r>
        <w:rPr>
          <w:spacing w:val="-13"/>
        </w:rPr>
        <w:t xml:space="preserve"> </w:t>
      </w:r>
      <w:r>
        <w:t>attacks</w:t>
      </w:r>
      <w:r>
        <w:rPr>
          <w:spacing w:val="-12"/>
        </w:rPr>
        <w:t xml:space="preserve"> </w:t>
      </w:r>
      <w:r>
        <w:t>on</w:t>
      </w:r>
      <w:r>
        <w:rPr>
          <w:spacing w:val="-13"/>
        </w:rPr>
        <w:t xml:space="preserve"> </w:t>
      </w:r>
      <w:r>
        <w:t>its</w:t>
      </w:r>
      <w:r>
        <w:rPr>
          <w:spacing w:val="-12"/>
        </w:rPr>
        <w:t xml:space="preserve"> </w:t>
      </w:r>
      <w:r>
        <w:t>program</w:t>
      </w:r>
      <w:r>
        <w:rPr>
          <w:spacing w:val="-13"/>
        </w:rPr>
        <w:t xml:space="preserve"> </w:t>
      </w:r>
      <w:r>
        <w:t>that</w:t>
      </w:r>
      <w:r>
        <w:rPr>
          <w:spacing w:val="-12"/>
        </w:rPr>
        <w:t xml:space="preserve"> </w:t>
      </w:r>
      <w:r>
        <w:t>provides</w:t>
      </w:r>
      <w:r>
        <w:rPr>
          <w:spacing w:val="-12"/>
        </w:rPr>
        <w:t xml:space="preserve"> </w:t>
      </w:r>
      <w:r>
        <w:t>gender- affirming care to transgender youth - which resulted in a lockdown, temporary hospital closure, and removal of educational resources from the hospital’s website.</w:t>
      </w:r>
      <w:r>
        <w:rPr>
          <w:spacing w:val="-13"/>
        </w:rPr>
        <w:t xml:space="preserve"> </w:t>
      </w:r>
      <w:hyperlink w:anchor="_bookmark863" w:history="1">
        <w:r>
          <w:rPr>
            <w:vertAlign w:val="superscript"/>
          </w:rPr>
          <w:t>iv</w:t>
        </w:r>
      </w:hyperlink>
      <w:r>
        <w:t xml:space="preserve"> The Commission understands from conversations</w:t>
      </w:r>
      <w:r>
        <w:rPr>
          <w:spacing w:val="-2"/>
        </w:rPr>
        <w:t xml:space="preserve"> </w:t>
      </w:r>
      <w:r>
        <w:t>with</w:t>
      </w:r>
      <w:r>
        <w:rPr>
          <w:spacing w:val="-3"/>
        </w:rPr>
        <w:t xml:space="preserve"> </w:t>
      </w:r>
      <w:r>
        <w:t>advocates</w:t>
      </w:r>
      <w:r>
        <w:rPr>
          <w:spacing w:val="-2"/>
        </w:rPr>
        <w:t xml:space="preserve"> </w:t>
      </w:r>
      <w:r>
        <w:t>and</w:t>
      </w:r>
      <w:r>
        <w:rPr>
          <w:spacing w:val="-3"/>
        </w:rPr>
        <w:t xml:space="preserve"> </w:t>
      </w:r>
      <w:r>
        <w:t>providers</w:t>
      </w:r>
      <w:r>
        <w:rPr>
          <w:spacing w:val="-2"/>
        </w:rPr>
        <w:t xml:space="preserve"> </w:t>
      </w:r>
      <w:r>
        <w:t>in</w:t>
      </w:r>
      <w:r>
        <w:rPr>
          <w:spacing w:val="-3"/>
        </w:rPr>
        <w:t xml:space="preserve"> </w:t>
      </w:r>
      <w:r>
        <w:t>2023</w:t>
      </w:r>
      <w:r>
        <w:rPr>
          <w:spacing w:val="-1"/>
        </w:rPr>
        <w:t xml:space="preserve"> </w:t>
      </w:r>
      <w:r>
        <w:t>that</w:t>
      </w:r>
      <w:r>
        <w:rPr>
          <w:spacing w:val="-1"/>
        </w:rPr>
        <w:t xml:space="preserve"> </w:t>
      </w:r>
      <w:r>
        <w:t>these</w:t>
      </w:r>
      <w:r>
        <w:rPr>
          <w:spacing w:val="-4"/>
        </w:rPr>
        <w:t xml:space="preserve"> </w:t>
      </w:r>
      <w:r>
        <w:t>security</w:t>
      </w:r>
      <w:r>
        <w:rPr>
          <w:spacing w:val="-1"/>
        </w:rPr>
        <w:t xml:space="preserve"> </w:t>
      </w:r>
      <w:r>
        <w:t>threats</w:t>
      </w:r>
      <w:r>
        <w:rPr>
          <w:spacing w:val="-2"/>
        </w:rPr>
        <w:t xml:space="preserve"> </w:t>
      </w:r>
      <w:r>
        <w:t>against</w:t>
      </w:r>
      <w:r>
        <w:rPr>
          <w:spacing w:val="-1"/>
        </w:rPr>
        <w:t xml:space="preserve"> </w:t>
      </w:r>
      <w:r>
        <w:t>Boston</w:t>
      </w:r>
      <w:r>
        <w:rPr>
          <w:spacing w:val="-3"/>
        </w:rPr>
        <w:t xml:space="preserve"> </w:t>
      </w:r>
      <w:r>
        <w:t>Children’s Hospital and other gender-affirming care providers in the state are ongoing. In this context, silence on LGBTQ youth issues appears, at best, as complacence while LGBTQ y</w:t>
      </w:r>
      <w:r>
        <w:t>outh’s safety, wellbeing, and rights are</w:t>
      </w:r>
      <w:r>
        <w:rPr>
          <w:spacing w:val="-1"/>
        </w:rPr>
        <w:t xml:space="preserve"> </w:t>
      </w:r>
      <w:r>
        <w:t>under</w:t>
      </w:r>
      <w:r>
        <w:rPr>
          <w:spacing w:val="-2"/>
        </w:rPr>
        <w:t xml:space="preserve"> </w:t>
      </w:r>
      <w:r>
        <w:t>attack</w:t>
      </w:r>
      <w:r>
        <w:rPr>
          <w:spacing w:val="-1"/>
        </w:rPr>
        <w:t xml:space="preserve"> </w:t>
      </w:r>
      <w:r>
        <w:t>and,</w:t>
      </w:r>
      <w:r>
        <w:rPr>
          <w:spacing w:val="-2"/>
        </w:rPr>
        <w:t xml:space="preserve"> </w:t>
      </w:r>
      <w:r>
        <w:t>at</w:t>
      </w:r>
      <w:r>
        <w:rPr>
          <w:spacing w:val="-4"/>
        </w:rPr>
        <w:t xml:space="preserve"> </w:t>
      </w:r>
      <w:r>
        <w:t>worst,</w:t>
      </w:r>
      <w:r>
        <w:rPr>
          <w:spacing w:val="-2"/>
        </w:rPr>
        <w:t xml:space="preserve"> </w:t>
      </w:r>
      <w:r>
        <w:t>as</w:t>
      </w:r>
      <w:r>
        <w:rPr>
          <w:spacing w:val="-2"/>
        </w:rPr>
        <w:t xml:space="preserve"> </w:t>
      </w:r>
      <w:r>
        <w:t>condoning</w:t>
      </w:r>
      <w:r>
        <w:rPr>
          <w:spacing w:val="-3"/>
        </w:rPr>
        <w:t xml:space="preserve"> </w:t>
      </w:r>
      <w:r>
        <w:t>this</w:t>
      </w:r>
      <w:r>
        <w:rPr>
          <w:spacing w:val="-2"/>
        </w:rPr>
        <w:t xml:space="preserve"> </w:t>
      </w:r>
      <w:r>
        <w:t>treatment.</w:t>
      </w:r>
      <w:r>
        <w:rPr>
          <w:spacing w:val="-2"/>
        </w:rPr>
        <w:t xml:space="preserve"> </w:t>
      </w:r>
      <w:r>
        <w:t>It</w:t>
      </w:r>
      <w:r>
        <w:rPr>
          <w:spacing w:val="-1"/>
        </w:rPr>
        <w:t xml:space="preserve"> </w:t>
      </w:r>
      <w:r>
        <w:t>is</w:t>
      </w:r>
      <w:r>
        <w:rPr>
          <w:spacing w:val="-2"/>
        </w:rPr>
        <w:t xml:space="preserve"> </w:t>
      </w:r>
      <w:r>
        <w:t>critical</w:t>
      </w:r>
      <w:r>
        <w:rPr>
          <w:spacing w:val="-2"/>
        </w:rPr>
        <w:t xml:space="preserve"> </w:t>
      </w:r>
      <w:r>
        <w:t>that</w:t>
      </w:r>
      <w:r>
        <w:rPr>
          <w:spacing w:val="-4"/>
        </w:rPr>
        <w:t xml:space="preserve"> </w:t>
      </w:r>
      <w:r>
        <w:t>OCA</w:t>
      </w:r>
      <w:r>
        <w:rPr>
          <w:spacing w:val="-2"/>
        </w:rPr>
        <w:t xml:space="preserve"> </w:t>
      </w:r>
      <w:r>
        <w:t>take</w:t>
      </w:r>
      <w:r>
        <w:rPr>
          <w:spacing w:val="-4"/>
        </w:rPr>
        <w:t xml:space="preserve"> </w:t>
      </w:r>
      <w:r>
        <w:t>every</w:t>
      </w:r>
      <w:r>
        <w:rPr>
          <w:spacing w:val="-3"/>
        </w:rPr>
        <w:t xml:space="preserve"> </w:t>
      </w:r>
      <w:r>
        <w:t>opportunity to proactively voice support for LGBTQ youth, and that such expressions of support are rooted in substantive efforts to improve how state government serves LGBTQ young people.</w:t>
      </w:r>
    </w:p>
    <w:p w:rsidR="00200FDA" w:rsidRDefault="00200FDA">
      <w:pPr>
        <w:pStyle w:val="BodyText"/>
        <w:spacing w:before="7"/>
        <w:rPr>
          <w:sz w:val="32"/>
        </w:rPr>
      </w:pPr>
    </w:p>
    <w:p w:rsidR="00200FDA" w:rsidRDefault="00F76C4C">
      <w:pPr>
        <w:pStyle w:val="BodyText"/>
        <w:spacing w:line="276" w:lineRule="auto"/>
        <w:ind w:left="279" w:right="274"/>
        <w:jc w:val="both"/>
      </w:pPr>
      <w:r>
        <w:t>The Commission notes that OCA can most effectively perform its crit</w:t>
      </w:r>
      <w:r>
        <w:t>ical functions when it is fully independent of state executive agencies and when its structure requires incorporating input from community members and advocates, including the queer youth and youth of color who are disproportionately present in foster care</w:t>
      </w:r>
      <w:r>
        <w:t>. Although outside the scope of the Commission’s recommendations to OCA, the Commission urges state policymakers to explore ways to increase the OCA’s</w:t>
      </w:r>
      <w:r>
        <w:rPr>
          <w:spacing w:val="-4"/>
        </w:rPr>
        <w:t xml:space="preserve"> </w:t>
      </w:r>
      <w:r>
        <w:t>efficacy.</w:t>
      </w:r>
      <w:r>
        <w:rPr>
          <w:spacing w:val="-2"/>
        </w:rPr>
        <w:t xml:space="preserve"> </w:t>
      </w:r>
      <w:r>
        <w:t>For</w:t>
      </w:r>
      <w:r>
        <w:rPr>
          <w:spacing w:val="-4"/>
        </w:rPr>
        <w:t xml:space="preserve"> </w:t>
      </w:r>
      <w:r>
        <w:t>instance,</w:t>
      </w:r>
      <w:r>
        <w:rPr>
          <w:spacing w:val="-2"/>
        </w:rPr>
        <w:t xml:space="preserve"> </w:t>
      </w:r>
      <w:r>
        <w:t>the</w:t>
      </w:r>
      <w:r>
        <w:rPr>
          <w:spacing w:val="-4"/>
        </w:rPr>
        <w:t xml:space="preserve"> </w:t>
      </w:r>
      <w:r>
        <w:t>Commission</w:t>
      </w:r>
      <w:r>
        <w:rPr>
          <w:spacing w:val="-5"/>
        </w:rPr>
        <w:t xml:space="preserve"> </w:t>
      </w:r>
      <w:r>
        <w:t>encourages</w:t>
      </w:r>
      <w:r>
        <w:rPr>
          <w:spacing w:val="-2"/>
        </w:rPr>
        <w:t xml:space="preserve"> </w:t>
      </w:r>
      <w:r>
        <w:t>policymakers</w:t>
      </w:r>
      <w:r>
        <w:rPr>
          <w:spacing w:val="-4"/>
        </w:rPr>
        <w:t xml:space="preserve"> </w:t>
      </w:r>
      <w:r>
        <w:t>to</w:t>
      </w:r>
      <w:r>
        <w:rPr>
          <w:spacing w:val="-3"/>
        </w:rPr>
        <w:t xml:space="preserve"> </w:t>
      </w:r>
      <w:r>
        <w:t>ensure</w:t>
      </w:r>
      <w:r>
        <w:rPr>
          <w:spacing w:val="-4"/>
        </w:rPr>
        <w:t xml:space="preserve"> </w:t>
      </w:r>
      <w:r>
        <w:t>that</w:t>
      </w:r>
      <w:r>
        <w:rPr>
          <w:spacing w:val="-4"/>
        </w:rPr>
        <w:t xml:space="preserve"> </w:t>
      </w:r>
      <w:r>
        <w:t>the</w:t>
      </w:r>
      <w:r>
        <w:rPr>
          <w:spacing w:val="-4"/>
        </w:rPr>
        <w:t xml:space="preserve"> </w:t>
      </w:r>
      <w:r>
        <w:t>Child</w:t>
      </w:r>
      <w:r>
        <w:rPr>
          <w:spacing w:val="-5"/>
        </w:rPr>
        <w:t xml:space="preserve"> </w:t>
      </w:r>
      <w:r>
        <w:t>Advocate does</w:t>
      </w:r>
      <w:r>
        <w:rPr>
          <w:spacing w:val="-7"/>
        </w:rPr>
        <w:t xml:space="preserve"> </w:t>
      </w:r>
      <w:r>
        <w:t>not</w:t>
      </w:r>
      <w:r>
        <w:rPr>
          <w:spacing w:val="-9"/>
        </w:rPr>
        <w:t xml:space="preserve"> </w:t>
      </w:r>
      <w:r>
        <w:t>report</w:t>
      </w:r>
      <w:r>
        <w:rPr>
          <w:spacing w:val="-9"/>
        </w:rPr>
        <w:t xml:space="preserve"> </w:t>
      </w:r>
      <w:r>
        <w:t>to</w:t>
      </w:r>
      <w:r>
        <w:rPr>
          <w:spacing w:val="-8"/>
        </w:rPr>
        <w:t xml:space="preserve"> </w:t>
      </w:r>
      <w:r>
        <w:t>the</w:t>
      </w:r>
      <w:r>
        <w:rPr>
          <w:spacing w:val="-6"/>
        </w:rPr>
        <w:t xml:space="preserve"> </w:t>
      </w:r>
      <w:r>
        <w:t>Secretary</w:t>
      </w:r>
      <w:r>
        <w:rPr>
          <w:spacing w:val="-8"/>
        </w:rPr>
        <w:t xml:space="preserve"> </w:t>
      </w:r>
      <w:r>
        <w:t>of</w:t>
      </w:r>
      <w:r>
        <w:rPr>
          <w:spacing w:val="-9"/>
        </w:rPr>
        <w:t xml:space="preserve"> </w:t>
      </w:r>
      <w:r>
        <w:t>HHS</w:t>
      </w:r>
      <w:r>
        <w:rPr>
          <w:spacing w:val="-7"/>
        </w:rPr>
        <w:t xml:space="preserve"> </w:t>
      </w:r>
      <w:r>
        <w:t>in</w:t>
      </w:r>
      <w:r>
        <w:rPr>
          <w:spacing w:val="-7"/>
        </w:rPr>
        <w:t xml:space="preserve"> </w:t>
      </w:r>
      <w:r>
        <w:t>any</w:t>
      </w:r>
      <w:r>
        <w:rPr>
          <w:spacing w:val="-8"/>
        </w:rPr>
        <w:t xml:space="preserve"> </w:t>
      </w:r>
      <w:r>
        <w:t>capacity</w:t>
      </w:r>
      <w:r>
        <w:rPr>
          <w:spacing w:val="-6"/>
        </w:rPr>
        <w:t xml:space="preserve"> </w:t>
      </w:r>
      <w:r>
        <w:t>but</w:t>
      </w:r>
      <w:r>
        <w:rPr>
          <w:spacing w:val="-6"/>
        </w:rPr>
        <w:t xml:space="preserve"> </w:t>
      </w:r>
      <w:r>
        <w:t>rather</w:t>
      </w:r>
      <w:r>
        <w:rPr>
          <w:spacing w:val="-7"/>
        </w:rPr>
        <w:t xml:space="preserve"> </w:t>
      </w:r>
      <w:r>
        <w:t>has</w:t>
      </w:r>
      <w:r>
        <w:rPr>
          <w:spacing w:val="-9"/>
        </w:rPr>
        <w:t xml:space="preserve"> </w:t>
      </w:r>
      <w:r>
        <w:t>a</w:t>
      </w:r>
      <w:r>
        <w:rPr>
          <w:spacing w:val="-7"/>
        </w:rPr>
        <w:t xml:space="preserve"> </w:t>
      </w:r>
      <w:r>
        <w:t>direct</w:t>
      </w:r>
      <w:r>
        <w:rPr>
          <w:spacing w:val="-6"/>
        </w:rPr>
        <w:t xml:space="preserve"> </w:t>
      </w:r>
      <w:r>
        <w:t>line</w:t>
      </w:r>
      <w:r>
        <w:rPr>
          <w:spacing w:val="-6"/>
        </w:rPr>
        <w:t xml:space="preserve"> </w:t>
      </w:r>
      <w:r>
        <w:t>of</w:t>
      </w:r>
      <w:r>
        <w:rPr>
          <w:spacing w:val="-9"/>
        </w:rPr>
        <w:t xml:space="preserve"> </w:t>
      </w:r>
      <w:r>
        <w:t>communication</w:t>
      </w:r>
      <w:r>
        <w:rPr>
          <w:spacing w:val="-10"/>
        </w:rPr>
        <w:t xml:space="preserve"> </w:t>
      </w:r>
      <w:r>
        <w:t>with</w:t>
      </w:r>
    </w:p>
    <w:p w:rsidR="00200FDA" w:rsidRDefault="00200FDA">
      <w:pPr>
        <w:spacing w:line="276" w:lineRule="auto"/>
        <w:jc w:val="both"/>
        <w:sectPr w:rsidR="00200FDA">
          <w:pgSz w:w="12240" w:h="15840"/>
          <w:pgMar w:top="1260" w:right="1160" w:bottom="1260" w:left="1160" w:header="761" w:footer="1062" w:gutter="0"/>
          <w:cols w:space="720"/>
        </w:sectPr>
      </w:pPr>
    </w:p>
    <w:p w:rsidR="00200FDA" w:rsidRDefault="00F76C4C">
      <w:pPr>
        <w:pStyle w:val="BodyText"/>
        <w:spacing w:before="166" w:line="276" w:lineRule="auto"/>
        <w:ind w:left="279" w:right="275"/>
        <w:jc w:val="both"/>
      </w:pPr>
      <w:r>
        <w:lastRenderedPageBreak/>
        <w:t>the</w:t>
      </w:r>
      <w:r>
        <w:rPr>
          <w:spacing w:val="-7"/>
        </w:rPr>
        <w:t xml:space="preserve"> </w:t>
      </w:r>
      <w:r>
        <w:t>Governor’s</w:t>
      </w:r>
      <w:r>
        <w:rPr>
          <w:spacing w:val="-10"/>
        </w:rPr>
        <w:t xml:space="preserve"> </w:t>
      </w:r>
      <w:r>
        <w:t>office</w:t>
      </w:r>
      <w:r>
        <w:rPr>
          <w:spacing w:val="-7"/>
        </w:rPr>
        <w:t xml:space="preserve"> </w:t>
      </w:r>
      <w:r>
        <w:t>along</w:t>
      </w:r>
      <w:r>
        <w:rPr>
          <w:spacing w:val="-11"/>
        </w:rPr>
        <w:t xml:space="preserve"> </w:t>
      </w:r>
      <w:r>
        <w:t>with</w:t>
      </w:r>
      <w:r>
        <w:rPr>
          <w:spacing w:val="-9"/>
        </w:rPr>
        <w:t xml:space="preserve"> </w:t>
      </w:r>
      <w:r>
        <w:t>the</w:t>
      </w:r>
      <w:r>
        <w:rPr>
          <w:spacing w:val="-7"/>
        </w:rPr>
        <w:t xml:space="preserve"> </w:t>
      </w:r>
      <w:r>
        <w:t>Joint</w:t>
      </w:r>
      <w:r>
        <w:rPr>
          <w:spacing w:val="-7"/>
        </w:rPr>
        <w:t xml:space="preserve"> </w:t>
      </w:r>
      <w:r>
        <w:t>Committee</w:t>
      </w:r>
      <w:r>
        <w:rPr>
          <w:spacing w:val="-10"/>
        </w:rPr>
        <w:t xml:space="preserve"> </w:t>
      </w:r>
      <w:r>
        <w:t>on</w:t>
      </w:r>
      <w:r>
        <w:rPr>
          <w:spacing w:val="-9"/>
        </w:rPr>
        <w:t xml:space="preserve"> </w:t>
      </w:r>
      <w:r>
        <w:t>Children,</w:t>
      </w:r>
      <w:r>
        <w:rPr>
          <w:spacing w:val="-8"/>
        </w:rPr>
        <w:t xml:space="preserve"> </w:t>
      </w:r>
      <w:r>
        <w:t>Families,</w:t>
      </w:r>
      <w:r>
        <w:rPr>
          <w:spacing w:val="-10"/>
        </w:rPr>
        <w:t xml:space="preserve"> </w:t>
      </w:r>
      <w:r>
        <w:t>and</w:t>
      </w:r>
      <w:r>
        <w:rPr>
          <w:spacing w:val="-9"/>
        </w:rPr>
        <w:t xml:space="preserve"> </w:t>
      </w:r>
      <w:r>
        <w:t>Persons</w:t>
      </w:r>
      <w:r>
        <w:rPr>
          <w:spacing w:val="-8"/>
        </w:rPr>
        <w:t xml:space="preserve"> </w:t>
      </w:r>
      <w:r>
        <w:t>with</w:t>
      </w:r>
      <w:r>
        <w:rPr>
          <w:spacing w:val="-9"/>
        </w:rPr>
        <w:t xml:space="preserve"> </w:t>
      </w:r>
      <w:r>
        <w:t>Disabilities.</w:t>
      </w:r>
      <w:hyperlink w:anchor="_bookmark864" w:history="1">
        <w:r>
          <w:rPr>
            <w:vertAlign w:val="superscript"/>
          </w:rPr>
          <w:t>v</w:t>
        </w:r>
      </w:hyperlink>
      <w:r>
        <w:t xml:space="preserve"> The Commission also requests that a designee of the Commission - as well as other advocates and individuals with lived experience - be appointed to the OCA Advisory Board and to any commissions or subcommittees convened by OCA in the future.</w:t>
      </w:r>
    </w:p>
    <w:p w:rsidR="00200FDA" w:rsidRDefault="00200FDA">
      <w:pPr>
        <w:pStyle w:val="BodyText"/>
        <w:spacing w:before="11"/>
        <w:rPr>
          <w:sz w:val="32"/>
        </w:rPr>
      </w:pPr>
    </w:p>
    <w:p w:rsidR="00200FDA" w:rsidRDefault="00F76C4C">
      <w:pPr>
        <w:pStyle w:val="Heading7"/>
        <w:jc w:val="both"/>
      </w:pPr>
      <w:r>
        <w:pict>
          <v:rect id="docshape534" o:spid="_x0000_s1091" style="position:absolute;left:0;text-align:left;margin-left:70.55pt;margin-top:18pt;width:470.9pt;height:.5pt;z-index:-15623168;mso-wrap-distance-left:0;mso-wrap-distance-right:0;mso-position-horizontal-relative:page" fillcolor="#4f81bc" stroked="f">
            <w10:wrap type="topAndBottom" anchorx="page"/>
          </v:rect>
        </w:pict>
      </w:r>
      <w:bookmarkStart w:id="1083" w:name="FY_2024_Expanded_OCA_Recommendations"/>
      <w:bookmarkEnd w:id="1083"/>
      <w:r>
        <w:rPr>
          <w:color w:val="365F91"/>
        </w:rPr>
        <w:t>FY</w:t>
      </w:r>
      <w:r>
        <w:rPr>
          <w:color w:val="365F91"/>
          <w:spacing w:val="-4"/>
        </w:rPr>
        <w:t xml:space="preserve"> </w:t>
      </w:r>
      <w:r>
        <w:rPr>
          <w:color w:val="365F91"/>
        </w:rPr>
        <w:t>2024</w:t>
      </w:r>
      <w:r>
        <w:rPr>
          <w:color w:val="365F91"/>
          <w:spacing w:val="-5"/>
        </w:rPr>
        <w:t xml:space="preserve"> </w:t>
      </w:r>
      <w:r>
        <w:rPr>
          <w:color w:val="365F91"/>
        </w:rPr>
        <w:t>Exp</w:t>
      </w:r>
      <w:r>
        <w:rPr>
          <w:color w:val="365F91"/>
        </w:rPr>
        <w:t>anded</w:t>
      </w:r>
      <w:r>
        <w:rPr>
          <w:color w:val="365F91"/>
          <w:spacing w:val="-3"/>
        </w:rPr>
        <w:t xml:space="preserve"> </w:t>
      </w:r>
      <w:r>
        <w:rPr>
          <w:color w:val="365F91"/>
        </w:rPr>
        <w:t>OCA</w:t>
      </w:r>
      <w:r>
        <w:rPr>
          <w:color w:val="365F91"/>
          <w:spacing w:val="-3"/>
        </w:rPr>
        <w:t xml:space="preserve"> </w:t>
      </w:r>
      <w:r>
        <w:rPr>
          <w:color w:val="365F91"/>
          <w:spacing w:val="-2"/>
        </w:rPr>
        <w:t>Recommendations</w:t>
      </w:r>
    </w:p>
    <w:p w:rsidR="00200FDA" w:rsidRDefault="00200FDA">
      <w:pPr>
        <w:pStyle w:val="BodyText"/>
        <w:spacing w:before="2"/>
        <w:rPr>
          <w:sz w:val="28"/>
        </w:rPr>
      </w:pPr>
    </w:p>
    <w:p w:rsidR="00200FDA" w:rsidRDefault="00F76C4C">
      <w:pPr>
        <w:pStyle w:val="Heading9"/>
        <w:numPr>
          <w:ilvl w:val="0"/>
          <w:numId w:val="17"/>
        </w:numPr>
        <w:tabs>
          <w:tab w:val="left" w:pos="501"/>
        </w:tabs>
        <w:spacing w:before="56"/>
        <w:rPr>
          <w:b w:val="0"/>
        </w:rPr>
      </w:pPr>
      <w:r>
        <w:t>Fully</w:t>
      </w:r>
      <w:r>
        <w:rPr>
          <w:spacing w:val="-10"/>
        </w:rPr>
        <w:t xml:space="preserve"> </w:t>
      </w:r>
      <w:r>
        <w:t>investigate,</w:t>
      </w:r>
      <w:r>
        <w:rPr>
          <w:spacing w:val="-7"/>
        </w:rPr>
        <w:t xml:space="preserve"> </w:t>
      </w:r>
      <w:r>
        <w:t>respond</w:t>
      </w:r>
      <w:r>
        <w:rPr>
          <w:spacing w:val="-7"/>
        </w:rPr>
        <w:t xml:space="preserve"> </w:t>
      </w:r>
      <w:r>
        <w:t>to,</w:t>
      </w:r>
      <w:r>
        <w:rPr>
          <w:spacing w:val="-6"/>
        </w:rPr>
        <w:t xml:space="preserve"> </w:t>
      </w:r>
      <w:r>
        <w:t>and</w:t>
      </w:r>
      <w:r>
        <w:rPr>
          <w:spacing w:val="-7"/>
        </w:rPr>
        <w:t xml:space="preserve"> </w:t>
      </w:r>
      <w:r>
        <w:t>analyze</w:t>
      </w:r>
      <w:r>
        <w:rPr>
          <w:spacing w:val="-7"/>
        </w:rPr>
        <w:t xml:space="preserve"> </w:t>
      </w:r>
      <w:r>
        <w:t>complaints</w:t>
      </w:r>
      <w:r>
        <w:rPr>
          <w:spacing w:val="-6"/>
        </w:rPr>
        <w:t xml:space="preserve"> </w:t>
      </w:r>
      <w:r>
        <w:t>and</w:t>
      </w:r>
      <w:r>
        <w:rPr>
          <w:spacing w:val="-7"/>
        </w:rPr>
        <w:t xml:space="preserve"> </w:t>
      </w:r>
      <w:r>
        <w:t>requests</w:t>
      </w:r>
      <w:r>
        <w:rPr>
          <w:spacing w:val="-6"/>
        </w:rPr>
        <w:t xml:space="preserve"> </w:t>
      </w:r>
      <w:r>
        <w:t>for</w:t>
      </w:r>
      <w:r>
        <w:rPr>
          <w:spacing w:val="-6"/>
        </w:rPr>
        <w:t xml:space="preserve"> </w:t>
      </w:r>
      <w:r>
        <w:t>assistance</w:t>
      </w:r>
      <w:r>
        <w:rPr>
          <w:spacing w:val="-7"/>
        </w:rPr>
        <w:t xml:space="preserve"> </w:t>
      </w:r>
      <w:r>
        <w:t>from</w:t>
      </w:r>
      <w:r>
        <w:rPr>
          <w:spacing w:val="-7"/>
        </w:rPr>
        <w:t xml:space="preserve"> </w:t>
      </w:r>
      <w:r>
        <w:t>LGBTQ</w:t>
      </w:r>
      <w:r>
        <w:rPr>
          <w:spacing w:val="-8"/>
        </w:rPr>
        <w:t xml:space="preserve"> </w:t>
      </w:r>
      <w:r>
        <w:rPr>
          <w:spacing w:val="-2"/>
        </w:rPr>
        <w:t>youth</w:t>
      </w:r>
      <w:r>
        <w:rPr>
          <w:b w:val="0"/>
          <w:spacing w:val="-2"/>
        </w:rPr>
        <w:t>.</w:t>
      </w:r>
    </w:p>
    <w:p w:rsidR="00200FDA" w:rsidRDefault="00200FDA">
      <w:pPr>
        <w:pStyle w:val="BodyText"/>
      </w:pPr>
    </w:p>
    <w:p w:rsidR="00200FDA" w:rsidRDefault="00F76C4C">
      <w:pPr>
        <w:pStyle w:val="BodyText"/>
        <w:spacing w:before="171" w:line="276" w:lineRule="auto"/>
        <w:ind w:left="279" w:right="273"/>
        <w:jc w:val="both"/>
      </w:pPr>
      <w:r>
        <w:t>OCA</w:t>
      </w:r>
      <w:r>
        <w:rPr>
          <w:spacing w:val="-10"/>
        </w:rPr>
        <w:t xml:space="preserve"> </w:t>
      </w:r>
      <w:r>
        <w:t>has</w:t>
      </w:r>
      <w:r>
        <w:rPr>
          <w:spacing w:val="-11"/>
        </w:rPr>
        <w:t xml:space="preserve"> </w:t>
      </w:r>
      <w:r>
        <w:t>a</w:t>
      </w:r>
      <w:r>
        <w:rPr>
          <w:spacing w:val="-9"/>
        </w:rPr>
        <w:t xml:space="preserve"> </w:t>
      </w:r>
      <w:r>
        <w:t>statutory</w:t>
      </w:r>
      <w:r>
        <w:rPr>
          <w:spacing w:val="-10"/>
        </w:rPr>
        <w:t xml:space="preserve"> </w:t>
      </w:r>
      <w:r>
        <w:t>duty</w:t>
      </w:r>
      <w:r>
        <w:rPr>
          <w:spacing w:val="-10"/>
        </w:rPr>
        <w:t xml:space="preserve"> </w:t>
      </w:r>
      <w:r>
        <w:t>to</w:t>
      </w:r>
      <w:r>
        <w:rPr>
          <w:spacing w:val="-10"/>
        </w:rPr>
        <w:t xml:space="preserve"> </w:t>
      </w:r>
      <w:r>
        <w:t>receive</w:t>
      </w:r>
      <w:r>
        <w:rPr>
          <w:spacing w:val="-11"/>
        </w:rPr>
        <w:t xml:space="preserve"> </w:t>
      </w:r>
      <w:r>
        <w:t>complaints</w:t>
      </w:r>
      <w:r>
        <w:rPr>
          <w:spacing w:val="-9"/>
        </w:rPr>
        <w:t xml:space="preserve"> </w:t>
      </w:r>
      <w:r>
        <w:t>from</w:t>
      </w:r>
      <w:r>
        <w:rPr>
          <w:spacing w:val="-8"/>
        </w:rPr>
        <w:t xml:space="preserve"> </w:t>
      </w:r>
      <w:r>
        <w:t>children</w:t>
      </w:r>
      <w:r>
        <w:rPr>
          <w:spacing w:val="-10"/>
        </w:rPr>
        <w:t xml:space="preserve"> </w:t>
      </w:r>
      <w:r>
        <w:t>and</w:t>
      </w:r>
      <w:r>
        <w:rPr>
          <w:spacing w:val="-10"/>
        </w:rPr>
        <w:t xml:space="preserve"> </w:t>
      </w:r>
      <w:r>
        <w:t>families,</w:t>
      </w:r>
      <w:r>
        <w:rPr>
          <w:spacing w:val="-11"/>
        </w:rPr>
        <w:t xml:space="preserve"> </w:t>
      </w:r>
      <w:r>
        <w:t>including</w:t>
      </w:r>
      <w:r>
        <w:rPr>
          <w:spacing w:val="-10"/>
        </w:rPr>
        <w:t xml:space="preserve"> </w:t>
      </w:r>
      <w:r>
        <w:t>children</w:t>
      </w:r>
      <w:r>
        <w:rPr>
          <w:spacing w:val="-10"/>
        </w:rPr>
        <w:t xml:space="preserve"> </w:t>
      </w:r>
      <w:r>
        <w:t>in</w:t>
      </w:r>
      <w:r>
        <w:rPr>
          <w:spacing w:val="-10"/>
        </w:rPr>
        <w:t xml:space="preserve"> </w:t>
      </w:r>
      <w:r>
        <w:t>state</w:t>
      </w:r>
      <w:r>
        <w:rPr>
          <w:spacing w:val="-11"/>
        </w:rPr>
        <w:t xml:space="preserve"> </w:t>
      </w:r>
      <w:r>
        <w:t>care, and to assist them in resolving problems and concerns.</w:t>
      </w:r>
      <w:hyperlink w:anchor="_bookmark865" w:history="1">
        <w:r>
          <w:rPr>
            <w:vertAlign w:val="superscript"/>
          </w:rPr>
          <w:t>vi</w:t>
        </w:r>
      </w:hyperlink>
      <w:r>
        <w:rPr>
          <w:spacing w:val="-2"/>
        </w:rPr>
        <w:t xml:space="preserve"> </w:t>
      </w:r>
      <w:r>
        <w:t>Concerns that young people may bring forward include</w:t>
      </w:r>
      <w:r>
        <w:rPr>
          <w:spacing w:val="-4"/>
        </w:rPr>
        <w:t xml:space="preserve"> </w:t>
      </w:r>
      <w:r>
        <w:t>(but</w:t>
      </w:r>
      <w:r>
        <w:rPr>
          <w:spacing w:val="-4"/>
        </w:rPr>
        <w:t xml:space="preserve"> </w:t>
      </w:r>
      <w:r>
        <w:t>are</w:t>
      </w:r>
      <w:r>
        <w:rPr>
          <w:spacing w:val="-4"/>
        </w:rPr>
        <w:t xml:space="preserve"> </w:t>
      </w:r>
      <w:r>
        <w:t>not</w:t>
      </w:r>
      <w:r>
        <w:rPr>
          <w:spacing w:val="-6"/>
        </w:rPr>
        <w:t xml:space="preserve"> </w:t>
      </w:r>
      <w:r>
        <w:t>limited</w:t>
      </w:r>
      <w:r>
        <w:rPr>
          <w:spacing w:val="-8"/>
        </w:rPr>
        <w:t xml:space="preserve"> </w:t>
      </w:r>
      <w:r>
        <w:t>to)</w:t>
      </w:r>
      <w:r>
        <w:rPr>
          <w:spacing w:val="-4"/>
        </w:rPr>
        <w:t xml:space="preserve"> </w:t>
      </w:r>
      <w:r>
        <w:t>those</w:t>
      </w:r>
      <w:r>
        <w:rPr>
          <w:spacing w:val="-6"/>
        </w:rPr>
        <w:t xml:space="preserve"> </w:t>
      </w:r>
      <w:r>
        <w:t>related</w:t>
      </w:r>
      <w:r>
        <w:rPr>
          <w:spacing w:val="-7"/>
        </w:rPr>
        <w:t xml:space="preserve"> </w:t>
      </w:r>
      <w:r>
        <w:t>to</w:t>
      </w:r>
      <w:r>
        <w:rPr>
          <w:spacing w:val="-6"/>
        </w:rPr>
        <w:t xml:space="preserve"> </w:t>
      </w:r>
      <w:r>
        <w:t>placement,</w:t>
      </w:r>
      <w:r>
        <w:rPr>
          <w:spacing w:val="-7"/>
        </w:rPr>
        <w:t xml:space="preserve"> </w:t>
      </w:r>
      <w:r>
        <w:t>access</w:t>
      </w:r>
      <w:r>
        <w:rPr>
          <w:spacing w:val="-7"/>
        </w:rPr>
        <w:t xml:space="preserve"> </w:t>
      </w:r>
      <w:r>
        <w:t>to</w:t>
      </w:r>
      <w:r>
        <w:rPr>
          <w:spacing w:val="-3"/>
        </w:rPr>
        <w:t xml:space="preserve"> </w:t>
      </w:r>
      <w:r>
        <w:t>behavioral</w:t>
      </w:r>
      <w:r>
        <w:rPr>
          <w:spacing w:val="-7"/>
        </w:rPr>
        <w:t xml:space="preserve"> </w:t>
      </w:r>
      <w:r>
        <w:t>health</w:t>
      </w:r>
      <w:r>
        <w:rPr>
          <w:spacing w:val="-5"/>
        </w:rPr>
        <w:t xml:space="preserve"> </w:t>
      </w:r>
      <w:r>
        <w:t>services,</w:t>
      </w:r>
      <w:r>
        <w:rPr>
          <w:spacing w:val="-4"/>
        </w:rPr>
        <w:t xml:space="preserve"> </w:t>
      </w:r>
      <w:r>
        <w:t>plans</w:t>
      </w:r>
      <w:r>
        <w:rPr>
          <w:spacing w:val="-7"/>
        </w:rPr>
        <w:t xml:space="preserve"> </w:t>
      </w:r>
      <w:r>
        <w:t>for lifelong adult connections, and independent living.</w:t>
      </w:r>
      <w:hyperlink w:anchor="_bookmark866" w:history="1">
        <w:r>
          <w:rPr>
            <w:vertAlign w:val="superscript"/>
          </w:rPr>
          <w:t>vii</w:t>
        </w:r>
      </w:hyperlink>
      <w:r>
        <w:rPr>
          <w:spacing w:val="-2"/>
        </w:rPr>
        <w:t xml:space="preserve"> </w:t>
      </w:r>
      <w:r>
        <w:t>The OCA has a specific duty to develop procedures to</w:t>
      </w:r>
      <w:r>
        <w:rPr>
          <w:spacing w:val="-9"/>
        </w:rPr>
        <w:t xml:space="preserve"> </w:t>
      </w:r>
      <w:r>
        <w:t>ensure</w:t>
      </w:r>
      <w:r>
        <w:rPr>
          <w:spacing w:val="-10"/>
        </w:rPr>
        <w:t xml:space="preserve"> </w:t>
      </w:r>
      <w:r>
        <w:t>appropriate</w:t>
      </w:r>
      <w:r>
        <w:rPr>
          <w:spacing w:val="-10"/>
        </w:rPr>
        <w:t xml:space="preserve"> </w:t>
      </w:r>
      <w:r>
        <w:t>responses</w:t>
      </w:r>
      <w:r>
        <w:rPr>
          <w:spacing w:val="-10"/>
        </w:rPr>
        <w:t xml:space="preserve"> </w:t>
      </w:r>
      <w:r>
        <w:t>to</w:t>
      </w:r>
      <w:r>
        <w:rPr>
          <w:spacing w:val="-9"/>
        </w:rPr>
        <w:t xml:space="preserve"> </w:t>
      </w:r>
      <w:r>
        <w:t>the</w:t>
      </w:r>
      <w:r>
        <w:rPr>
          <w:spacing w:val="-12"/>
        </w:rPr>
        <w:t xml:space="preserve"> </w:t>
      </w:r>
      <w:r>
        <w:t>concerns</w:t>
      </w:r>
      <w:r>
        <w:rPr>
          <w:spacing w:val="-10"/>
        </w:rPr>
        <w:t xml:space="preserve"> </w:t>
      </w:r>
      <w:r>
        <w:t>of</w:t>
      </w:r>
      <w:r>
        <w:rPr>
          <w:spacing w:val="-13"/>
        </w:rPr>
        <w:t xml:space="preserve"> </w:t>
      </w:r>
      <w:r>
        <w:t>youth</w:t>
      </w:r>
      <w:r>
        <w:rPr>
          <w:spacing w:val="-10"/>
        </w:rPr>
        <w:t xml:space="preserve"> </w:t>
      </w:r>
      <w:r>
        <w:t>in</w:t>
      </w:r>
      <w:r>
        <w:rPr>
          <w:spacing w:val="-11"/>
        </w:rPr>
        <w:t xml:space="preserve"> </w:t>
      </w:r>
      <w:r>
        <w:t>foster</w:t>
      </w:r>
      <w:r>
        <w:rPr>
          <w:spacing w:val="-11"/>
        </w:rPr>
        <w:t xml:space="preserve"> </w:t>
      </w:r>
      <w:r>
        <w:t>care.</w:t>
      </w:r>
      <w:hyperlink w:anchor="_bookmark867" w:history="1">
        <w:r>
          <w:rPr>
            <w:vertAlign w:val="superscript"/>
          </w:rPr>
          <w:t>viii</w:t>
        </w:r>
      </w:hyperlink>
      <w:r>
        <w:rPr>
          <w:spacing w:val="-2"/>
        </w:rPr>
        <w:t xml:space="preserve"> </w:t>
      </w:r>
      <w:r>
        <w:t>To</w:t>
      </w:r>
      <w:r>
        <w:rPr>
          <w:spacing w:val="-9"/>
        </w:rPr>
        <w:t xml:space="preserve"> </w:t>
      </w:r>
      <w:r>
        <w:t>dat</w:t>
      </w:r>
      <w:r>
        <w:t>e,</w:t>
      </w:r>
      <w:r>
        <w:rPr>
          <w:spacing w:val="-13"/>
        </w:rPr>
        <w:t xml:space="preserve"> </w:t>
      </w:r>
      <w:r>
        <w:t>OCA</w:t>
      </w:r>
      <w:r>
        <w:rPr>
          <w:spacing w:val="-10"/>
        </w:rPr>
        <w:t xml:space="preserve"> </w:t>
      </w:r>
      <w:r>
        <w:t>has</w:t>
      </w:r>
      <w:r>
        <w:rPr>
          <w:spacing w:val="-10"/>
        </w:rPr>
        <w:t xml:space="preserve"> </w:t>
      </w:r>
      <w:r>
        <w:t>not</w:t>
      </w:r>
      <w:r>
        <w:rPr>
          <w:spacing w:val="-10"/>
        </w:rPr>
        <w:t xml:space="preserve"> </w:t>
      </w:r>
      <w:r>
        <w:t>publicized whether it has detected patterns of complaints from LGBTQ youth and their allies, or even whether it receives complaints involving issues related to sexual orientation and gender identity. In its FY 2023 recommendations, the Commi</w:t>
      </w:r>
      <w:r>
        <w:t>ssion urged OCA to make efforts to understand the concerns of LGBTQ youth</w:t>
      </w:r>
      <w:r>
        <w:rPr>
          <w:spacing w:val="-13"/>
        </w:rPr>
        <w:t xml:space="preserve"> </w:t>
      </w:r>
      <w:r>
        <w:t>in</w:t>
      </w:r>
      <w:r>
        <w:rPr>
          <w:spacing w:val="-12"/>
        </w:rPr>
        <w:t xml:space="preserve"> </w:t>
      </w:r>
      <w:r>
        <w:t>state</w:t>
      </w:r>
      <w:r>
        <w:rPr>
          <w:spacing w:val="-13"/>
        </w:rPr>
        <w:t xml:space="preserve"> </w:t>
      </w:r>
      <w:r>
        <w:t>care</w:t>
      </w:r>
      <w:r>
        <w:rPr>
          <w:spacing w:val="-12"/>
        </w:rPr>
        <w:t xml:space="preserve"> </w:t>
      </w:r>
      <w:r>
        <w:t>and</w:t>
      </w:r>
      <w:r>
        <w:rPr>
          <w:spacing w:val="-13"/>
        </w:rPr>
        <w:t xml:space="preserve"> </w:t>
      </w:r>
      <w:r>
        <w:t>custody</w:t>
      </w:r>
      <w:r>
        <w:rPr>
          <w:spacing w:val="-12"/>
        </w:rPr>
        <w:t xml:space="preserve"> </w:t>
      </w:r>
      <w:r>
        <w:t>and</w:t>
      </w:r>
      <w:r>
        <w:rPr>
          <w:spacing w:val="-13"/>
        </w:rPr>
        <w:t xml:space="preserve"> </w:t>
      </w:r>
      <w:r>
        <w:t>to</w:t>
      </w:r>
      <w:r>
        <w:rPr>
          <w:spacing w:val="-9"/>
        </w:rPr>
        <w:t xml:space="preserve"> </w:t>
      </w:r>
      <w:r>
        <w:t>publicize</w:t>
      </w:r>
      <w:r>
        <w:rPr>
          <w:spacing w:val="-10"/>
        </w:rPr>
        <w:t xml:space="preserve"> </w:t>
      </w:r>
      <w:r>
        <w:t>how</w:t>
      </w:r>
      <w:r>
        <w:rPr>
          <w:spacing w:val="-12"/>
        </w:rPr>
        <w:t xml:space="preserve"> </w:t>
      </w:r>
      <w:r>
        <w:t>it</w:t>
      </w:r>
      <w:r>
        <w:rPr>
          <w:spacing w:val="-13"/>
        </w:rPr>
        <w:t xml:space="preserve"> </w:t>
      </w:r>
      <w:r>
        <w:t>responds</w:t>
      </w:r>
      <w:r>
        <w:rPr>
          <w:spacing w:val="-12"/>
        </w:rPr>
        <w:t xml:space="preserve"> </w:t>
      </w:r>
      <w:r>
        <w:t>to</w:t>
      </w:r>
      <w:r>
        <w:rPr>
          <w:spacing w:val="-12"/>
        </w:rPr>
        <w:t xml:space="preserve"> </w:t>
      </w:r>
      <w:r>
        <w:t>those</w:t>
      </w:r>
      <w:r>
        <w:rPr>
          <w:spacing w:val="-12"/>
        </w:rPr>
        <w:t xml:space="preserve"> </w:t>
      </w:r>
      <w:r>
        <w:t>concerns</w:t>
      </w:r>
      <w:r>
        <w:rPr>
          <w:spacing w:val="-13"/>
        </w:rPr>
        <w:t xml:space="preserve"> </w:t>
      </w:r>
      <w:r>
        <w:t>(which</w:t>
      </w:r>
      <w:r>
        <w:rPr>
          <w:spacing w:val="-12"/>
        </w:rPr>
        <w:t xml:space="preserve"> </w:t>
      </w:r>
      <w:r>
        <w:t>the</w:t>
      </w:r>
      <w:r>
        <w:rPr>
          <w:spacing w:val="-12"/>
        </w:rPr>
        <w:t xml:space="preserve"> </w:t>
      </w:r>
      <w:r>
        <w:t xml:space="preserve">Commission </w:t>
      </w:r>
      <w:r>
        <w:rPr>
          <w:spacing w:val="-2"/>
        </w:rPr>
        <w:t>noted</w:t>
      </w:r>
      <w:r>
        <w:rPr>
          <w:spacing w:val="-4"/>
        </w:rPr>
        <w:t xml:space="preserve"> </w:t>
      </w:r>
      <w:r>
        <w:rPr>
          <w:spacing w:val="-2"/>
        </w:rPr>
        <w:t>might include targeted outreach</w:t>
      </w:r>
      <w:r>
        <w:rPr>
          <w:spacing w:val="-4"/>
        </w:rPr>
        <w:t xml:space="preserve"> </w:t>
      </w:r>
      <w:r>
        <w:rPr>
          <w:spacing w:val="-2"/>
        </w:rPr>
        <w:t>to LGBTQ youth and/or</w:t>
      </w:r>
      <w:r>
        <w:rPr>
          <w:spacing w:val="-6"/>
        </w:rPr>
        <w:t xml:space="preserve"> </w:t>
      </w:r>
      <w:r>
        <w:rPr>
          <w:spacing w:val="-2"/>
        </w:rPr>
        <w:t>meetings with LGBTQ youth</w:t>
      </w:r>
      <w:r>
        <w:rPr>
          <w:spacing w:val="-4"/>
        </w:rPr>
        <w:t xml:space="preserve"> </w:t>
      </w:r>
      <w:r>
        <w:rPr>
          <w:spacing w:val="-2"/>
        </w:rPr>
        <w:t xml:space="preserve">organizations). </w:t>
      </w:r>
      <w:r>
        <w:t>The Commission is unaware of any progress toward that recommendation, and offers specific guidance this</w:t>
      </w:r>
      <w:r>
        <w:rPr>
          <w:spacing w:val="-13"/>
        </w:rPr>
        <w:t xml:space="preserve"> </w:t>
      </w:r>
      <w:r>
        <w:t>year</w:t>
      </w:r>
      <w:r>
        <w:rPr>
          <w:spacing w:val="-12"/>
        </w:rPr>
        <w:t xml:space="preserve"> </w:t>
      </w:r>
      <w:r>
        <w:t>on</w:t>
      </w:r>
      <w:r>
        <w:rPr>
          <w:spacing w:val="-13"/>
        </w:rPr>
        <w:t xml:space="preserve"> </w:t>
      </w:r>
      <w:r>
        <w:t>OCA’s</w:t>
      </w:r>
      <w:r>
        <w:rPr>
          <w:spacing w:val="-12"/>
        </w:rPr>
        <w:t xml:space="preserve"> </w:t>
      </w:r>
      <w:r>
        <w:t>complaint</w:t>
      </w:r>
      <w:r>
        <w:rPr>
          <w:spacing w:val="-11"/>
        </w:rPr>
        <w:t xml:space="preserve"> </w:t>
      </w:r>
      <w:r>
        <w:t>line</w:t>
      </w:r>
      <w:r>
        <w:rPr>
          <w:spacing w:val="-10"/>
        </w:rPr>
        <w:t xml:space="preserve"> </w:t>
      </w:r>
      <w:r>
        <w:t>as</w:t>
      </w:r>
      <w:r>
        <w:rPr>
          <w:spacing w:val="-13"/>
        </w:rPr>
        <w:t xml:space="preserve"> </w:t>
      </w:r>
      <w:r>
        <w:t>a</w:t>
      </w:r>
      <w:r>
        <w:rPr>
          <w:spacing w:val="-11"/>
        </w:rPr>
        <w:t xml:space="preserve"> </w:t>
      </w:r>
      <w:r>
        <w:t>way</w:t>
      </w:r>
      <w:r>
        <w:rPr>
          <w:spacing w:val="-13"/>
        </w:rPr>
        <w:t xml:space="preserve"> </w:t>
      </w:r>
      <w:r>
        <w:t>to</w:t>
      </w:r>
      <w:r>
        <w:rPr>
          <w:spacing w:val="-12"/>
        </w:rPr>
        <w:t xml:space="preserve"> </w:t>
      </w:r>
      <w:r>
        <w:t>improve</w:t>
      </w:r>
      <w:r>
        <w:rPr>
          <w:spacing w:val="-10"/>
        </w:rPr>
        <w:t xml:space="preserve"> </w:t>
      </w:r>
      <w:r>
        <w:t>its</w:t>
      </w:r>
      <w:r>
        <w:rPr>
          <w:spacing w:val="-11"/>
        </w:rPr>
        <w:t xml:space="preserve"> </w:t>
      </w:r>
      <w:r>
        <w:t>understanding</w:t>
      </w:r>
      <w:r>
        <w:rPr>
          <w:spacing w:val="-13"/>
        </w:rPr>
        <w:t xml:space="preserve"> </w:t>
      </w:r>
      <w:r>
        <w:t>of</w:t>
      </w:r>
      <w:r>
        <w:rPr>
          <w:spacing w:val="-11"/>
        </w:rPr>
        <w:t xml:space="preserve"> </w:t>
      </w:r>
      <w:r>
        <w:t>and</w:t>
      </w:r>
      <w:r>
        <w:rPr>
          <w:spacing w:val="-12"/>
        </w:rPr>
        <w:t xml:space="preserve"> </w:t>
      </w:r>
      <w:r>
        <w:t>responsiveness</w:t>
      </w:r>
      <w:r>
        <w:rPr>
          <w:spacing w:val="-13"/>
        </w:rPr>
        <w:t xml:space="preserve"> </w:t>
      </w:r>
      <w:r>
        <w:t>to</w:t>
      </w:r>
      <w:r>
        <w:rPr>
          <w:spacing w:val="-12"/>
        </w:rPr>
        <w:t xml:space="preserve"> </w:t>
      </w:r>
      <w:r>
        <w:t>concerns about LGB</w:t>
      </w:r>
      <w:r>
        <w:t>TQ young people.</w:t>
      </w:r>
    </w:p>
    <w:p w:rsidR="00200FDA" w:rsidRDefault="00200FDA">
      <w:pPr>
        <w:pStyle w:val="BodyText"/>
        <w:spacing w:before="8"/>
        <w:rPr>
          <w:sz w:val="32"/>
        </w:rPr>
      </w:pPr>
    </w:p>
    <w:p w:rsidR="00200FDA" w:rsidRDefault="00F76C4C">
      <w:pPr>
        <w:pStyle w:val="BodyText"/>
        <w:spacing w:line="276" w:lineRule="auto"/>
        <w:ind w:left="279" w:right="273"/>
        <w:jc w:val="both"/>
      </w:pPr>
      <w:r>
        <w:t>To ensure that OCA is meeting its duty with regard to LGBTQ youth, the Commission recommends that OCA review one year’s worth of complaints prior to issuing its next annual report to determine whether and to what extent they involve LGBTQ</w:t>
      </w:r>
      <w:r>
        <w:t xml:space="preserve"> youth and/or SOGI-related issues and the extent to which information about race, ethnicity, and disability are available within those complaints. The Commission further recommends that OCA publicize its findings in its annual report. The Commission notes </w:t>
      </w:r>
      <w:r>
        <w:t>that it hears concerns involving LGBTQ youth interacting with state services on a regular basis, both from individuals directly involved as well as from partner organizations. If OCA is not receiving similar complaints, that would suggest further</w:t>
      </w:r>
      <w:r>
        <w:rPr>
          <w:spacing w:val="-2"/>
        </w:rPr>
        <w:t xml:space="preserve"> </w:t>
      </w:r>
      <w:r>
        <w:t>work is</w:t>
      </w:r>
      <w:r>
        <w:rPr>
          <w:spacing w:val="-2"/>
        </w:rPr>
        <w:t xml:space="preserve"> </w:t>
      </w:r>
      <w:r>
        <w:t>n</w:t>
      </w:r>
      <w:r>
        <w:t>ecessary to engage</w:t>
      </w:r>
      <w:r>
        <w:rPr>
          <w:spacing w:val="-1"/>
        </w:rPr>
        <w:t xml:space="preserve"> </w:t>
      </w:r>
      <w:r>
        <w:t>LGBTQ</w:t>
      </w:r>
      <w:r>
        <w:rPr>
          <w:spacing w:val="-2"/>
        </w:rPr>
        <w:t xml:space="preserve"> </w:t>
      </w:r>
      <w:r>
        <w:t>youth communities and</w:t>
      </w:r>
      <w:r>
        <w:rPr>
          <w:spacing w:val="-3"/>
        </w:rPr>
        <w:t xml:space="preserve"> </w:t>
      </w:r>
      <w:r>
        <w:t xml:space="preserve">their allies. Ensuring LGBTQ youth and their allies are able to effectively use the Complaint Line is important both for addressing individual harms and because OCA uses information from the complaint line to </w:t>
      </w:r>
      <w:r>
        <w:t>identify systemic patterns and potential policy changes.</w:t>
      </w:r>
      <w:hyperlink w:anchor="_bookmark868" w:history="1">
        <w:r>
          <w:rPr>
            <w:vertAlign w:val="superscript"/>
          </w:rPr>
          <w:t>ix</w:t>
        </w:r>
      </w:hyperlink>
    </w:p>
    <w:p w:rsidR="00200FDA" w:rsidRDefault="00200FDA">
      <w:pPr>
        <w:pStyle w:val="BodyText"/>
        <w:spacing w:before="9"/>
        <w:rPr>
          <w:sz w:val="32"/>
        </w:rPr>
      </w:pPr>
    </w:p>
    <w:p w:rsidR="00200FDA" w:rsidRDefault="00F76C4C">
      <w:pPr>
        <w:pStyle w:val="BodyText"/>
        <w:spacing w:line="276" w:lineRule="auto"/>
        <w:ind w:left="279" w:right="273"/>
        <w:jc w:val="both"/>
      </w:pPr>
      <w:r>
        <w:t>Echoing last year’s recommendation, the Commission suggests that OCA reach out to and partner with organizations serving LGBTQ youth to ensure they understand the e</w:t>
      </w:r>
      <w:r>
        <w:t>xistence of the OCA complaint line, what to expect when a complaint is filed, and what other kinds of help they can expect from OCA. The Commission</w:t>
      </w:r>
      <w:r>
        <w:rPr>
          <w:spacing w:val="-7"/>
        </w:rPr>
        <w:t xml:space="preserve"> </w:t>
      </w:r>
      <w:r>
        <w:t>is</w:t>
      </w:r>
      <w:r>
        <w:rPr>
          <w:spacing w:val="-7"/>
        </w:rPr>
        <w:t xml:space="preserve"> </w:t>
      </w:r>
      <w:r>
        <w:t>available</w:t>
      </w:r>
      <w:r>
        <w:rPr>
          <w:spacing w:val="-6"/>
        </w:rPr>
        <w:t xml:space="preserve"> </w:t>
      </w:r>
      <w:r>
        <w:t>to</w:t>
      </w:r>
      <w:r>
        <w:rPr>
          <w:spacing w:val="-8"/>
        </w:rPr>
        <w:t xml:space="preserve"> </w:t>
      </w:r>
      <w:r>
        <w:t>assist</w:t>
      </w:r>
      <w:r>
        <w:rPr>
          <w:spacing w:val="-6"/>
        </w:rPr>
        <w:t xml:space="preserve"> </w:t>
      </w:r>
      <w:r>
        <w:t>in</w:t>
      </w:r>
      <w:r>
        <w:rPr>
          <w:spacing w:val="-7"/>
        </w:rPr>
        <w:t xml:space="preserve"> </w:t>
      </w:r>
      <w:r>
        <w:t>that</w:t>
      </w:r>
      <w:r>
        <w:rPr>
          <w:spacing w:val="-6"/>
        </w:rPr>
        <w:t xml:space="preserve"> </w:t>
      </w:r>
      <w:r>
        <w:t>work</w:t>
      </w:r>
      <w:r>
        <w:rPr>
          <w:spacing w:val="-6"/>
        </w:rPr>
        <w:t xml:space="preserve"> </w:t>
      </w:r>
      <w:r>
        <w:t>and</w:t>
      </w:r>
      <w:r>
        <w:rPr>
          <w:spacing w:val="-7"/>
        </w:rPr>
        <w:t xml:space="preserve"> </w:t>
      </w:r>
      <w:r>
        <w:t>invites</w:t>
      </w:r>
      <w:r>
        <w:rPr>
          <w:spacing w:val="-7"/>
        </w:rPr>
        <w:t xml:space="preserve"> </w:t>
      </w:r>
      <w:r>
        <w:t>OCA</w:t>
      </w:r>
      <w:r>
        <w:rPr>
          <w:spacing w:val="-7"/>
        </w:rPr>
        <w:t xml:space="preserve"> </w:t>
      </w:r>
      <w:r>
        <w:t>to</w:t>
      </w:r>
      <w:r>
        <w:rPr>
          <w:spacing w:val="-5"/>
        </w:rPr>
        <w:t xml:space="preserve"> </w:t>
      </w:r>
      <w:r>
        <w:t>attend</w:t>
      </w:r>
      <w:r>
        <w:rPr>
          <w:spacing w:val="-7"/>
        </w:rPr>
        <w:t xml:space="preserve"> </w:t>
      </w:r>
      <w:r>
        <w:t>a</w:t>
      </w:r>
      <w:r>
        <w:rPr>
          <w:spacing w:val="-7"/>
        </w:rPr>
        <w:t xml:space="preserve"> </w:t>
      </w:r>
      <w:r>
        <w:t>Commission</w:t>
      </w:r>
      <w:r>
        <w:rPr>
          <w:spacing w:val="-7"/>
        </w:rPr>
        <w:t xml:space="preserve"> </w:t>
      </w:r>
      <w:r>
        <w:t>meeting</w:t>
      </w:r>
      <w:r>
        <w:rPr>
          <w:spacing w:val="-7"/>
        </w:rPr>
        <w:t xml:space="preserve"> </w:t>
      </w:r>
      <w:r>
        <w:t>to</w:t>
      </w:r>
      <w:r>
        <w:rPr>
          <w:spacing w:val="-5"/>
        </w:rPr>
        <w:t xml:space="preserve"> </w:t>
      </w:r>
      <w:r>
        <w:t>present information</w:t>
      </w:r>
      <w:r>
        <w:rPr>
          <w:spacing w:val="-13"/>
        </w:rPr>
        <w:t xml:space="preserve"> </w:t>
      </w:r>
      <w:r>
        <w:t>regarding</w:t>
      </w:r>
      <w:r>
        <w:rPr>
          <w:spacing w:val="-13"/>
        </w:rPr>
        <w:t xml:space="preserve"> </w:t>
      </w:r>
      <w:r>
        <w:t>the</w:t>
      </w:r>
      <w:r>
        <w:rPr>
          <w:spacing w:val="-13"/>
        </w:rPr>
        <w:t xml:space="preserve"> </w:t>
      </w:r>
      <w:r>
        <w:t>complaint</w:t>
      </w:r>
      <w:r>
        <w:rPr>
          <w:spacing w:val="-12"/>
        </w:rPr>
        <w:t xml:space="preserve"> </w:t>
      </w:r>
      <w:r>
        <w:t>line,</w:t>
      </w:r>
      <w:r>
        <w:rPr>
          <w:spacing w:val="-13"/>
        </w:rPr>
        <w:t xml:space="preserve"> </w:t>
      </w:r>
      <w:r>
        <w:t>including</w:t>
      </w:r>
      <w:r>
        <w:rPr>
          <w:spacing w:val="-13"/>
        </w:rPr>
        <w:t xml:space="preserve"> </w:t>
      </w:r>
      <w:r>
        <w:t>the</w:t>
      </w:r>
      <w:r>
        <w:rPr>
          <w:spacing w:val="-14"/>
        </w:rPr>
        <w:t xml:space="preserve"> </w:t>
      </w:r>
      <w:r>
        <w:t>procedures</w:t>
      </w:r>
      <w:r>
        <w:rPr>
          <w:spacing w:val="-12"/>
        </w:rPr>
        <w:t xml:space="preserve"> </w:t>
      </w:r>
      <w:r>
        <w:t>it</w:t>
      </w:r>
      <w:r>
        <w:rPr>
          <w:spacing w:val="-13"/>
        </w:rPr>
        <w:t xml:space="preserve"> </w:t>
      </w:r>
      <w:r>
        <w:t>has</w:t>
      </w:r>
      <w:r>
        <w:rPr>
          <w:spacing w:val="-12"/>
        </w:rPr>
        <w:t xml:space="preserve"> </w:t>
      </w:r>
      <w:r>
        <w:t>in</w:t>
      </w:r>
      <w:r>
        <w:rPr>
          <w:spacing w:val="-13"/>
        </w:rPr>
        <w:t xml:space="preserve"> </w:t>
      </w:r>
      <w:r>
        <w:t>place</w:t>
      </w:r>
      <w:r>
        <w:rPr>
          <w:spacing w:val="-14"/>
        </w:rPr>
        <w:t xml:space="preserve"> </w:t>
      </w:r>
      <w:r>
        <w:t>to</w:t>
      </w:r>
      <w:r>
        <w:rPr>
          <w:spacing w:val="-13"/>
        </w:rPr>
        <w:t xml:space="preserve"> </w:t>
      </w:r>
      <w:r>
        <w:t>respond</w:t>
      </w:r>
      <w:r>
        <w:rPr>
          <w:spacing w:val="-13"/>
        </w:rPr>
        <w:t xml:space="preserve"> </w:t>
      </w:r>
      <w:r>
        <w:t>to</w:t>
      </w:r>
      <w:r>
        <w:rPr>
          <w:spacing w:val="-13"/>
        </w:rPr>
        <w:t xml:space="preserve"> </w:t>
      </w:r>
      <w:r>
        <w:t>complaints</w:t>
      </w:r>
    </w:p>
    <w:p w:rsidR="00200FDA" w:rsidRDefault="00200FDA">
      <w:pPr>
        <w:spacing w:line="276" w:lineRule="auto"/>
        <w:jc w:val="both"/>
        <w:sectPr w:rsidR="00200FDA">
          <w:pgSz w:w="12240" w:h="15840"/>
          <w:pgMar w:top="1260" w:right="1160" w:bottom="1260" w:left="1160" w:header="761" w:footer="1062" w:gutter="0"/>
          <w:cols w:space="720"/>
        </w:sectPr>
      </w:pPr>
    </w:p>
    <w:p w:rsidR="00200FDA" w:rsidRDefault="00200FDA">
      <w:pPr>
        <w:pStyle w:val="BodyText"/>
        <w:rPr>
          <w:sz w:val="9"/>
        </w:rPr>
      </w:pPr>
    </w:p>
    <w:p w:rsidR="00200FDA" w:rsidRDefault="00F76C4C">
      <w:pPr>
        <w:pStyle w:val="BodyText"/>
        <w:spacing w:before="56" w:line="276" w:lineRule="auto"/>
        <w:ind w:left="280" w:right="273"/>
        <w:jc w:val="both"/>
      </w:pPr>
      <w:r>
        <w:t>and/or requests for assistance from youth in foster care, and to hear questions and feedback from Commission</w:t>
      </w:r>
      <w:r>
        <w:rPr>
          <w:spacing w:val="-7"/>
        </w:rPr>
        <w:t xml:space="preserve"> </w:t>
      </w:r>
      <w:r>
        <w:t>members.</w:t>
      </w:r>
      <w:r>
        <w:rPr>
          <w:spacing w:val="-5"/>
        </w:rPr>
        <w:t xml:space="preserve"> </w:t>
      </w:r>
      <w:r>
        <w:t>To</w:t>
      </w:r>
      <w:r>
        <w:rPr>
          <w:spacing w:val="-5"/>
        </w:rPr>
        <w:t xml:space="preserve"> </w:t>
      </w:r>
      <w:r>
        <w:t>build</w:t>
      </w:r>
      <w:r>
        <w:rPr>
          <w:spacing w:val="-5"/>
        </w:rPr>
        <w:t xml:space="preserve"> </w:t>
      </w:r>
      <w:r>
        <w:t>and</w:t>
      </w:r>
      <w:r>
        <w:rPr>
          <w:spacing w:val="-5"/>
        </w:rPr>
        <w:t xml:space="preserve"> </w:t>
      </w:r>
      <w:r>
        <w:t>maintain</w:t>
      </w:r>
      <w:r>
        <w:rPr>
          <w:spacing w:val="-5"/>
        </w:rPr>
        <w:t xml:space="preserve"> </w:t>
      </w:r>
      <w:r>
        <w:t>commu</w:t>
      </w:r>
      <w:r>
        <w:t>nity</w:t>
      </w:r>
      <w:r>
        <w:rPr>
          <w:spacing w:val="-3"/>
        </w:rPr>
        <w:t xml:space="preserve"> </w:t>
      </w:r>
      <w:r>
        <w:t>trust,</w:t>
      </w:r>
      <w:r>
        <w:rPr>
          <w:spacing w:val="-4"/>
        </w:rPr>
        <w:t xml:space="preserve"> </w:t>
      </w:r>
      <w:r>
        <w:t>it</w:t>
      </w:r>
      <w:r>
        <w:rPr>
          <w:spacing w:val="-6"/>
        </w:rPr>
        <w:t xml:space="preserve"> </w:t>
      </w:r>
      <w:r>
        <w:t>will</w:t>
      </w:r>
      <w:r>
        <w:rPr>
          <w:spacing w:val="-7"/>
        </w:rPr>
        <w:t xml:space="preserve"> </w:t>
      </w:r>
      <w:r>
        <w:t>be</w:t>
      </w:r>
      <w:r>
        <w:rPr>
          <w:spacing w:val="-4"/>
        </w:rPr>
        <w:t xml:space="preserve"> </w:t>
      </w:r>
      <w:r>
        <w:t>critical</w:t>
      </w:r>
      <w:r>
        <w:rPr>
          <w:spacing w:val="-7"/>
        </w:rPr>
        <w:t xml:space="preserve"> </w:t>
      </w:r>
      <w:r>
        <w:t>that</w:t>
      </w:r>
      <w:r>
        <w:rPr>
          <w:spacing w:val="-4"/>
        </w:rPr>
        <w:t xml:space="preserve"> </w:t>
      </w:r>
      <w:r>
        <w:t>OCA</w:t>
      </w:r>
      <w:r>
        <w:rPr>
          <w:spacing w:val="-5"/>
        </w:rPr>
        <w:t xml:space="preserve"> </w:t>
      </w:r>
      <w:r>
        <w:t>respond</w:t>
      </w:r>
      <w:r>
        <w:rPr>
          <w:spacing w:val="-8"/>
        </w:rPr>
        <w:t xml:space="preserve"> </w:t>
      </w:r>
      <w:r>
        <w:t>fully</w:t>
      </w:r>
      <w:r>
        <w:rPr>
          <w:spacing w:val="-6"/>
        </w:rPr>
        <w:t xml:space="preserve"> </w:t>
      </w:r>
      <w:r>
        <w:t>to these complaints, including complaints about individual foster homes. OCA reports that it acts on only a small percentage</w:t>
      </w:r>
      <w:r>
        <w:rPr>
          <w:spacing w:val="-1"/>
        </w:rPr>
        <w:t xml:space="preserve"> </w:t>
      </w:r>
      <w:r>
        <w:t>of the complaints it receives</w:t>
      </w:r>
      <w:r>
        <w:rPr>
          <w:spacing w:val="-2"/>
        </w:rPr>
        <w:t xml:space="preserve"> </w:t>
      </w:r>
      <w:r>
        <w:t>(as</w:t>
      </w:r>
      <w:r>
        <w:rPr>
          <w:spacing w:val="-2"/>
        </w:rPr>
        <w:t xml:space="preserve"> </w:t>
      </w:r>
      <w:r>
        <w:t>opposed to providing the</w:t>
      </w:r>
      <w:r>
        <w:rPr>
          <w:spacing w:val="-1"/>
        </w:rPr>
        <w:t xml:space="preserve"> </w:t>
      </w:r>
      <w:r>
        <w:t>caller</w:t>
      </w:r>
      <w:r>
        <w:rPr>
          <w:spacing w:val="-2"/>
        </w:rPr>
        <w:t xml:space="preserve"> </w:t>
      </w:r>
      <w:r>
        <w:t>with information), and advocates have informed the Commission that callers often receive only referrals to an agency ombudsman or similar role, which they indicate often leaves the young person without the help they need. In many cases, a mere referral to,</w:t>
      </w:r>
      <w:r>
        <w:t xml:space="preserve"> e.g., an ombudsman will be insufficient, particularly where (as with</w:t>
      </w:r>
      <w:r>
        <w:rPr>
          <w:spacing w:val="-7"/>
        </w:rPr>
        <w:t xml:space="preserve"> </w:t>
      </w:r>
      <w:r>
        <w:t>DCF)</w:t>
      </w:r>
      <w:r>
        <w:rPr>
          <w:spacing w:val="-9"/>
        </w:rPr>
        <w:t xml:space="preserve"> </w:t>
      </w:r>
      <w:r>
        <w:t>that</w:t>
      </w:r>
      <w:r>
        <w:rPr>
          <w:spacing w:val="-6"/>
        </w:rPr>
        <w:t xml:space="preserve"> </w:t>
      </w:r>
      <w:r>
        <w:t>role</w:t>
      </w:r>
      <w:r>
        <w:rPr>
          <w:spacing w:val="-6"/>
        </w:rPr>
        <w:t xml:space="preserve"> </w:t>
      </w:r>
      <w:r>
        <w:t>is</w:t>
      </w:r>
      <w:r>
        <w:rPr>
          <w:spacing w:val="-7"/>
        </w:rPr>
        <w:t xml:space="preserve"> </w:t>
      </w:r>
      <w:r>
        <w:t>filled</w:t>
      </w:r>
      <w:r>
        <w:rPr>
          <w:spacing w:val="-10"/>
        </w:rPr>
        <w:t xml:space="preserve"> </w:t>
      </w:r>
      <w:r>
        <w:t>by</w:t>
      </w:r>
      <w:r>
        <w:rPr>
          <w:spacing w:val="-6"/>
        </w:rPr>
        <w:t xml:space="preserve"> </w:t>
      </w:r>
      <w:r>
        <w:t>an</w:t>
      </w:r>
      <w:r>
        <w:rPr>
          <w:spacing w:val="-7"/>
        </w:rPr>
        <w:t xml:space="preserve"> </w:t>
      </w:r>
      <w:r>
        <w:t>agency</w:t>
      </w:r>
      <w:r>
        <w:rPr>
          <w:spacing w:val="-6"/>
        </w:rPr>
        <w:t xml:space="preserve"> </w:t>
      </w:r>
      <w:r>
        <w:t>employee</w:t>
      </w:r>
      <w:r>
        <w:rPr>
          <w:spacing w:val="-6"/>
        </w:rPr>
        <w:t xml:space="preserve"> </w:t>
      </w:r>
      <w:r>
        <w:t>and</w:t>
      </w:r>
      <w:r>
        <w:rPr>
          <w:spacing w:val="-7"/>
        </w:rPr>
        <w:t xml:space="preserve"> </w:t>
      </w:r>
      <w:r>
        <w:t>particularly</w:t>
      </w:r>
      <w:r>
        <w:rPr>
          <w:spacing w:val="-6"/>
        </w:rPr>
        <w:t xml:space="preserve"> </w:t>
      </w:r>
      <w:r>
        <w:t>where</w:t>
      </w:r>
      <w:r>
        <w:rPr>
          <w:spacing w:val="-6"/>
        </w:rPr>
        <w:t xml:space="preserve"> </w:t>
      </w:r>
      <w:r>
        <w:t>there</w:t>
      </w:r>
      <w:r>
        <w:rPr>
          <w:spacing w:val="-8"/>
        </w:rPr>
        <w:t xml:space="preserve"> </w:t>
      </w:r>
      <w:r>
        <w:t>are</w:t>
      </w:r>
      <w:r>
        <w:rPr>
          <w:spacing w:val="-6"/>
        </w:rPr>
        <w:t xml:space="preserve"> </w:t>
      </w:r>
      <w:r>
        <w:t>issues</w:t>
      </w:r>
      <w:r>
        <w:rPr>
          <w:spacing w:val="-7"/>
        </w:rPr>
        <w:t xml:space="preserve"> </w:t>
      </w:r>
      <w:r>
        <w:t>related</w:t>
      </w:r>
      <w:r>
        <w:rPr>
          <w:spacing w:val="-7"/>
        </w:rPr>
        <w:t xml:space="preserve"> </w:t>
      </w:r>
      <w:r>
        <w:t>to</w:t>
      </w:r>
      <w:r>
        <w:rPr>
          <w:spacing w:val="-5"/>
        </w:rPr>
        <w:t xml:space="preserve"> </w:t>
      </w:r>
      <w:r>
        <w:t>bias, harassment, or discrimination.</w:t>
      </w:r>
      <w:hyperlink w:anchor="_bookmark869" w:history="1">
        <w:r>
          <w:rPr>
            <w:vertAlign w:val="superscript"/>
          </w:rPr>
          <w:t>x</w:t>
        </w:r>
      </w:hyperlink>
      <w:r>
        <w:rPr>
          <w:spacing w:val="-2"/>
        </w:rPr>
        <w:t xml:space="preserve"> </w:t>
      </w:r>
      <w:r>
        <w:t>OCA must fully inv</w:t>
      </w:r>
      <w:r>
        <w:t>estigate concerns, contact staff or leadership at other state</w:t>
      </w:r>
      <w:r>
        <w:rPr>
          <w:spacing w:val="-6"/>
        </w:rPr>
        <w:t xml:space="preserve"> </w:t>
      </w:r>
      <w:r>
        <w:t>agencies</w:t>
      </w:r>
      <w:r>
        <w:rPr>
          <w:spacing w:val="-7"/>
        </w:rPr>
        <w:t xml:space="preserve"> </w:t>
      </w:r>
      <w:r>
        <w:t>directly,</w:t>
      </w:r>
      <w:r>
        <w:rPr>
          <w:spacing w:val="-7"/>
        </w:rPr>
        <w:t xml:space="preserve"> </w:t>
      </w:r>
      <w:r>
        <w:t>and</w:t>
      </w:r>
      <w:r>
        <w:rPr>
          <w:spacing w:val="-9"/>
        </w:rPr>
        <w:t xml:space="preserve"> </w:t>
      </w:r>
      <w:r>
        <w:t>follow</w:t>
      </w:r>
      <w:r>
        <w:rPr>
          <w:spacing w:val="-6"/>
        </w:rPr>
        <w:t xml:space="preserve"> </w:t>
      </w:r>
      <w:r>
        <w:t>up</w:t>
      </w:r>
      <w:r>
        <w:rPr>
          <w:spacing w:val="-7"/>
        </w:rPr>
        <w:t xml:space="preserve"> </w:t>
      </w:r>
      <w:r>
        <w:t>to</w:t>
      </w:r>
      <w:r>
        <w:rPr>
          <w:spacing w:val="-5"/>
        </w:rPr>
        <w:t xml:space="preserve"> </w:t>
      </w:r>
      <w:r>
        <w:t>ensure</w:t>
      </w:r>
      <w:r>
        <w:rPr>
          <w:spacing w:val="-6"/>
        </w:rPr>
        <w:t xml:space="preserve"> </w:t>
      </w:r>
      <w:r>
        <w:t>resolution</w:t>
      </w:r>
      <w:r>
        <w:rPr>
          <w:spacing w:val="-7"/>
        </w:rPr>
        <w:t xml:space="preserve"> </w:t>
      </w:r>
      <w:r>
        <w:t>of</w:t>
      </w:r>
      <w:r>
        <w:rPr>
          <w:spacing w:val="-7"/>
        </w:rPr>
        <w:t xml:space="preserve"> </w:t>
      </w:r>
      <w:r>
        <w:t>complaints.</w:t>
      </w:r>
      <w:r>
        <w:rPr>
          <w:spacing w:val="-7"/>
        </w:rPr>
        <w:t xml:space="preserve"> </w:t>
      </w:r>
      <w:r>
        <w:t>It</w:t>
      </w:r>
      <w:r>
        <w:rPr>
          <w:spacing w:val="-6"/>
        </w:rPr>
        <w:t xml:space="preserve"> </w:t>
      </w:r>
      <w:r>
        <w:t>is</w:t>
      </w:r>
      <w:r>
        <w:rPr>
          <w:spacing w:val="-7"/>
        </w:rPr>
        <w:t xml:space="preserve"> </w:t>
      </w:r>
      <w:r>
        <w:t>also</w:t>
      </w:r>
      <w:r>
        <w:rPr>
          <w:spacing w:val="-7"/>
        </w:rPr>
        <w:t xml:space="preserve"> </w:t>
      </w:r>
      <w:r>
        <w:t>critical</w:t>
      </w:r>
      <w:r>
        <w:rPr>
          <w:spacing w:val="-7"/>
        </w:rPr>
        <w:t xml:space="preserve"> </w:t>
      </w:r>
      <w:r>
        <w:t>that</w:t>
      </w:r>
      <w:r>
        <w:rPr>
          <w:spacing w:val="-6"/>
        </w:rPr>
        <w:t xml:space="preserve"> </w:t>
      </w:r>
      <w:r>
        <w:t>OCA</w:t>
      </w:r>
      <w:r>
        <w:rPr>
          <w:spacing w:val="-7"/>
        </w:rPr>
        <w:t xml:space="preserve"> </w:t>
      </w:r>
      <w:r>
        <w:t>inform complainants</w:t>
      </w:r>
      <w:r>
        <w:rPr>
          <w:spacing w:val="-9"/>
        </w:rPr>
        <w:t xml:space="preserve"> </w:t>
      </w:r>
      <w:r>
        <w:t>-</w:t>
      </w:r>
      <w:r>
        <w:rPr>
          <w:spacing w:val="-12"/>
        </w:rPr>
        <w:t xml:space="preserve"> </w:t>
      </w:r>
      <w:r>
        <w:t>online,</w:t>
      </w:r>
      <w:r>
        <w:rPr>
          <w:spacing w:val="-9"/>
        </w:rPr>
        <w:t xml:space="preserve"> </w:t>
      </w:r>
      <w:r>
        <w:t>in</w:t>
      </w:r>
      <w:r>
        <w:rPr>
          <w:spacing w:val="-10"/>
        </w:rPr>
        <w:t xml:space="preserve"> </w:t>
      </w:r>
      <w:r>
        <w:t>emails,</w:t>
      </w:r>
      <w:r>
        <w:rPr>
          <w:spacing w:val="-9"/>
        </w:rPr>
        <w:t xml:space="preserve"> </w:t>
      </w:r>
      <w:r>
        <w:t>and</w:t>
      </w:r>
      <w:r>
        <w:rPr>
          <w:spacing w:val="-10"/>
        </w:rPr>
        <w:t xml:space="preserve"> </w:t>
      </w:r>
      <w:r>
        <w:t>during</w:t>
      </w:r>
      <w:r>
        <w:rPr>
          <w:spacing w:val="-10"/>
        </w:rPr>
        <w:t xml:space="preserve"> </w:t>
      </w:r>
      <w:r>
        <w:t>phone</w:t>
      </w:r>
      <w:r>
        <w:rPr>
          <w:spacing w:val="-11"/>
        </w:rPr>
        <w:t xml:space="preserve"> </w:t>
      </w:r>
      <w:r>
        <w:t>conversations</w:t>
      </w:r>
      <w:r>
        <w:rPr>
          <w:spacing w:val="-9"/>
        </w:rPr>
        <w:t xml:space="preserve"> </w:t>
      </w:r>
      <w:r>
        <w:t>-</w:t>
      </w:r>
      <w:r>
        <w:rPr>
          <w:spacing w:val="-10"/>
        </w:rPr>
        <w:t xml:space="preserve"> </w:t>
      </w:r>
      <w:r>
        <w:t>about</w:t>
      </w:r>
      <w:r>
        <w:rPr>
          <w:spacing w:val="-11"/>
        </w:rPr>
        <w:t xml:space="preserve"> </w:t>
      </w:r>
      <w:r>
        <w:t>the</w:t>
      </w:r>
      <w:r>
        <w:rPr>
          <w:spacing w:val="-8"/>
        </w:rPr>
        <w:t xml:space="preserve"> </w:t>
      </w:r>
      <w:r>
        <w:t>privacy</w:t>
      </w:r>
      <w:r>
        <w:rPr>
          <w:spacing w:val="-8"/>
        </w:rPr>
        <w:t xml:space="preserve"> </w:t>
      </w:r>
      <w:r>
        <w:t>protections</w:t>
      </w:r>
      <w:r>
        <w:rPr>
          <w:spacing w:val="-11"/>
        </w:rPr>
        <w:t xml:space="preserve"> </w:t>
      </w:r>
      <w:r>
        <w:t xml:space="preserve">available to them when filing a complaint. Finally, given that the Commission’s 2021 report revealed that some individuals who have experienced or witnessed mistreatment related to the child welfare system fear retaliation by the Department of </w:t>
      </w:r>
      <w:r>
        <w:t>Children and Families if they come forward, OCA must ensure that appropriate safeguards exist for children and adults who make complaints.</w:t>
      </w:r>
    </w:p>
    <w:p w:rsidR="00200FDA" w:rsidRDefault="00200FDA">
      <w:pPr>
        <w:pStyle w:val="BodyText"/>
        <w:spacing w:before="7"/>
        <w:rPr>
          <w:sz w:val="32"/>
        </w:rPr>
      </w:pPr>
    </w:p>
    <w:p w:rsidR="00200FDA" w:rsidRDefault="00F76C4C">
      <w:pPr>
        <w:pStyle w:val="Heading9"/>
        <w:numPr>
          <w:ilvl w:val="0"/>
          <w:numId w:val="17"/>
        </w:numPr>
        <w:tabs>
          <w:tab w:val="left" w:pos="504"/>
        </w:tabs>
        <w:ind w:left="503" w:hanging="224"/>
        <w:rPr>
          <w:b w:val="0"/>
        </w:rPr>
      </w:pPr>
      <w:r>
        <w:t>Visit,</w:t>
      </w:r>
      <w:r>
        <w:rPr>
          <w:spacing w:val="-7"/>
        </w:rPr>
        <w:t xml:space="preserve"> </w:t>
      </w:r>
      <w:r>
        <w:t>investigate,</w:t>
      </w:r>
      <w:r>
        <w:rPr>
          <w:spacing w:val="-4"/>
        </w:rPr>
        <w:t xml:space="preserve"> </w:t>
      </w:r>
      <w:r>
        <w:t>and</w:t>
      </w:r>
      <w:r>
        <w:rPr>
          <w:spacing w:val="-6"/>
        </w:rPr>
        <w:t xml:space="preserve"> </w:t>
      </w:r>
      <w:r>
        <w:t>report</w:t>
      </w:r>
      <w:r>
        <w:rPr>
          <w:spacing w:val="-5"/>
        </w:rPr>
        <w:t xml:space="preserve"> </w:t>
      </w:r>
      <w:r>
        <w:t>on</w:t>
      </w:r>
      <w:r>
        <w:rPr>
          <w:spacing w:val="-6"/>
        </w:rPr>
        <w:t xml:space="preserve"> </w:t>
      </w:r>
      <w:r>
        <w:t>congregate</w:t>
      </w:r>
      <w:r>
        <w:rPr>
          <w:spacing w:val="-6"/>
        </w:rPr>
        <w:t xml:space="preserve"> </w:t>
      </w:r>
      <w:r>
        <w:t>care</w:t>
      </w:r>
      <w:r>
        <w:rPr>
          <w:spacing w:val="-5"/>
        </w:rPr>
        <w:t xml:space="preserve"> </w:t>
      </w:r>
      <w:r>
        <w:rPr>
          <w:spacing w:val="-2"/>
        </w:rPr>
        <w:t>facilities</w:t>
      </w:r>
      <w:r>
        <w:rPr>
          <w:b w:val="0"/>
          <w:spacing w:val="-2"/>
        </w:rPr>
        <w:t>.</w:t>
      </w:r>
    </w:p>
    <w:p w:rsidR="00200FDA" w:rsidRDefault="00200FDA">
      <w:pPr>
        <w:pStyle w:val="BodyText"/>
      </w:pPr>
    </w:p>
    <w:p w:rsidR="00200FDA" w:rsidRDefault="00F76C4C">
      <w:pPr>
        <w:pStyle w:val="BodyText"/>
        <w:spacing w:before="173" w:line="276" w:lineRule="auto"/>
        <w:ind w:left="280" w:right="272"/>
        <w:jc w:val="both"/>
      </w:pPr>
      <w:r>
        <w:t>The Commission’s 2021 report on experiences of DCF-in</w:t>
      </w:r>
      <w:r>
        <w:t>volved LGBTQ youth revealed alarming safety concerns</w:t>
      </w:r>
      <w:r>
        <w:rPr>
          <w:spacing w:val="-4"/>
        </w:rPr>
        <w:t xml:space="preserve"> </w:t>
      </w:r>
      <w:r>
        <w:t>for</w:t>
      </w:r>
      <w:r>
        <w:rPr>
          <w:spacing w:val="-4"/>
        </w:rPr>
        <w:t xml:space="preserve"> </w:t>
      </w:r>
      <w:r>
        <w:t>LGBTQ</w:t>
      </w:r>
      <w:r>
        <w:rPr>
          <w:spacing w:val="-4"/>
        </w:rPr>
        <w:t xml:space="preserve"> </w:t>
      </w:r>
      <w:r>
        <w:t>youth</w:t>
      </w:r>
      <w:r>
        <w:rPr>
          <w:spacing w:val="-5"/>
        </w:rPr>
        <w:t xml:space="preserve"> </w:t>
      </w:r>
      <w:r>
        <w:t>in</w:t>
      </w:r>
      <w:r>
        <w:rPr>
          <w:spacing w:val="-3"/>
        </w:rPr>
        <w:t xml:space="preserve"> </w:t>
      </w:r>
      <w:r>
        <w:t>group</w:t>
      </w:r>
      <w:r>
        <w:rPr>
          <w:spacing w:val="-3"/>
        </w:rPr>
        <w:t xml:space="preserve"> </w:t>
      </w:r>
      <w:r>
        <w:t>homes,</w:t>
      </w:r>
      <w:r>
        <w:rPr>
          <w:spacing w:val="-4"/>
        </w:rPr>
        <w:t xml:space="preserve"> </w:t>
      </w:r>
      <w:r>
        <w:t>particularly</w:t>
      </w:r>
      <w:r>
        <w:rPr>
          <w:spacing w:val="-1"/>
        </w:rPr>
        <w:t xml:space="preserve"> </w:t>
      </w:r>
      <w:r>
        <w:t>Black</w:t>
      </w:r>
      <w:r>
        <w:rPr>
          <w:spacing w:val="-4"/>
        </w:rPr>
        <w:t xml:space="preserve"> </w:t>
      </w:r>
      <w:r>
        <w:t>and</w:t>
      </w:r>
      <w:r>
        <w:rPr>
          <w:spacing w:val="-3"/>
        </w:rPr>
        <w:t xml:space="preserve"> </w:t>
      </w:r>
      <w:r>
        <w:t>transgender</w:t>
      </w:r>
      <w:r>
        <w:rPr>
          <w:spacing w:val="-4"/>
        </w:rPr>
        <w:t xml:space="preserve"> </w:t>
      </w:r>
      <w:r>
        <w:t>youth.</w:t>
      </w:r>
      <w:r>
        <w:rPr>
          <w:spacing w:val="-2"/>
        </w:rPr>
        <w:t xml:space="preserve"> </w:t>
      </w:r>
      <w:r>
        <w:t>Incidents</w:t>
      </w:r>
      <w:r>
        <w:rPr>
          <w:spacing w:val="-2"/>
        </w:rPr>
        <w:t xml:space="preserve"> </w:t>
      </w:r>
      <w:r>
        <w:t>described by</w:t>
      </w:r>
      <w:r>
        <w:rPr>
          <w:spacing w:val="-7"/>
        </w:rPr>
        <w:t xml:space="preserve"> </w:t>
      </w:r>
      <w:r>
        <w:t>informants</w:t>
      </w:r>
      <w:r>
        <w:rPr>
          <w:spacing w:val="-10"/>
        </w:rPr>
        <w:t xml:space="preserve"> </w:t>
      </w:r>
      <w:r>
        <w:t>included</w:t>
      </w:r>
      <w:r>
        <w:rPr>
          <w:spacing w:val="-11"/>
        </w:rPr>
        <w:t xml:space="preserve"> </w:t>
      </w:r>
      <w:r>
        <w:t>one</w:t>
      </w:r>
      <w:r>
        <w:rPr>
          <w:spacing w:val="-10"/>
        </w:rPr>
        <w:t xml:space="preserve"> </w:t>
      </w:r>
      <w:r>
        <w:t>in</w:t>
      </w:r>
      <w:r>
        <w:rPr>
          <w:spacing w:val="-9"/>
        </w:rPr>
        <w:t xml:space="preserve"> </w:t>
      </w:r>
      <w:r>
        <w:t>which</w:t>
      </w:r>
      <w:r>
        <w:rPr>
          <w:spacing w:val="-9"/>
        </w:rPr>
        <w:t xml:space="preserve"> </w:t>
      </w:r>
      <w:r>
        <w:t>a</w:t>
      </w:r>
      <w:r>
        <w:rPr>
          <w:spacing w:val="-11"/>
        </w:rPr>
        <w:t xml:space="preserve"> </w:t>
      </w:r>
      <w:r>
        <w:t>worker</w:t>
      </w:r>
      <w:r>
        <w:rPr>
          <w:spacing w:val="-11"/>
        </w:rPr>
        <w:t xml:space="preserve"> </w:t>
      </w:r>
      <w:r>
        <w:t>asked</w:t>
      </w:r>
      <w:r>
        <w:rPr>
          <w:spacing w:val="-9"/>
        </w:rPr>
        <w:t xml:space="preserve"> </w:t>
      </w:r>
      <w:r>
        <w:t>relatives</w:t>
      </w:r>
      <w:r>
        <w:rPr>
          <w:spacing w:val="-10"/>
        </w:rPr>
        <w:t xml:space="preserve"> </w:t>
      </w:r>
      <w:r>
        <w:t>to</w:t>
      </w:r>
      <w:r>
        <w:rPr>
          <w:spacing w:val="-7"/>
        </w:rPr>
        <w:t xml:space="preserve"> </w:t>
      </w:r>
      <w:r>
        <w:t>beat</w:t>
      </w:r>
      <w:r>
        <w:rPr>
          <w:spacing w:val="-8"/>
        </w:rPr>
        <w:t xml:space="preserve"> </w:t>
      </w:r>
      <w:r>
        <w:t>up</w:t>
      </w:r>
      <w:r>
        <w:rPr>
          <w:spacing w:val="-9"/>
        </w:rPr>
        <w:t xml:space="preserve"> </w:t>
      </w:r>
      <w:r>
        <w:t>a</w:t>
      </w:r>
      <w:r>
        <w:rPr>
          <w:spacing w:val="-11"/>
        </w:rPr>
        <w:t xml:space="preserve"> </w:t>
      </w:r>
      <w:r>
        <w:t>youth</w:t>
      </w:r>
      <w:r>
        <w:rPr>
          <w:spacing w:val="-9"/>
        </w:rPr>
        <w:t xml:space="preserve"> </w:t>
      </w:r>
      <w:r>
        <w:t>at</w:t>
      </w:r>
      <w:r>
        <w:rPr>
          <w:spacing w:val="-12"/>
        </w:rPr>
        <w:t xml:space="preserve"> </w:t>
      </w:r>
      <w:r>
        <w:t>a</w:t>
      </w:r>
      <w:r>
        <w:rPr>
          <w:spacing w:val="-8"/>
        </w:rPr>
        <w:t xml:space="preserve"> </w:t>
      </w:r>
      <w:r>
        <w:t>group</w:t>
      </w:r>
      <w:r>
        <w:rPr>
          <w:spacing w:val="-9"/>
        </w:rPr>
        <w:t xml:space="preserve"> </w:t>
      </w:r>
      <w:r>
        <w:t>home,</w:t>
      </w:r>
      <w:r>
        <w:rPr>
          <w:spacing w:val="-8"/>
        </w:rPr>
        <w:t xml:space="preserve"> </w:t>
      </w:r>
      <w:r>
        <w:t>a</w:t>
      </w:r>
      <w:r>
        <w:rPr>
          <w:spacing w:val="-11"/>
        </w:rPr>
        <w:t xml:space="preserve"> </w:t>
      </w:r>
      <w:r>
        <w:t>young person</w:t>
      </w:r>
      <w:r>
        <w:rPr>
          <w:spacing w:val="-12"/>
        </w:rPr>
        <w:t xml:space="preserve"> </w:t>
      </w:r>
      <w:r>
        <w:t>who</w:t>
      </w:r>
      <w:r>
        <w:rPr>
          <w:spacing w:val="-9"/>
        </w:rPr>
        <w:t xml:space="preserve"> </w:t>
      </w:r>
      <w:r>
        <w:t>attempted</w:t>
      </w:r>
      <w:r>
        <w:rPr>
          <w:spacing w:val="-11"/>
        </w:rPr>
        <w:t xml:space="preserve"> </w:t>
      </w:r>
      <w:r>
        <w:t>suicide</w:t>
      </w:r>
      <w:r>
        <w:rPr>
          <w:spacing w:val="-9"/>
        </w:rPr>
        <w:t xml:space="preserve"> </w:t>
      </w:r>
      <w:r>
        <w:t>after</w:t>
      </w:r>
      <w:r>
        <w:rPr>
          <w:spacing w:val="-12"/>
        </w:rPr>
        <w:t xml:space="preserve"> </w:t>
      </w:r>
      <w:r>
        <w:t>their</w:t>
      </w:r>
      <w:r>
        <w:rPr>
          <w:spacing w:val="-12"/>
        </w:rPr>
        <w:t xml:space="preserve"> </w:t>
      </w:r>
      <w:r>
        <w:t>program</w:t>
      </w:r>
      <w:r>
        <w:rPr>
          <w:spacing w:val="-11"/>
        </w:rPr>
        <w:t xml:space="preserve"> </w:t>
      </w:r>
      <w:r>
        <w:t>director</w:t>
      </w:r>
      <w:r>
        <w:rPr>
          <w:spacing w:val="-12"/>
        </w:rPr>
        <w:t xml:space="preserve"> </w:t>
      </w:r>
      <w:r>
        <w:t>responded</w:t>
      </w:r>
      <w:r>
        <w:rPr>
          <w:spacing w:val="-12"/>
        </w:rPr>
        <w:t xml:space="preserve"> </w:t>
      </w:r>
      <w:r>
        <w:t>poorly</w:t>
      </w:r>
      <w:r>
        <w:rPr>
          <w:spacing w:val="-11"/>
        </w:rPr>
        <w:t xml:space="preserve"> </w:t>
      </w:r>
      <w:r>
        <w:t>during</w:t>
      </w:r>
      <w:r>
        <w:rPr>
          <w:spacing w:val="-11"/>
        </w:rPr>
        <w:t xml:space="preserve"> </w:t>
      </w:r>
      <w:r>
        <w:t>a</w:t>
      </w:r>
      <w:r>
        <w:rPr>
          <w:spacing w:val="-12"/>
        </w:rPr>
        <w:t xml:space="preserve"> </w:t>
      </w:r>
      <w:r>
        <w:t>conversation</w:t>
      </w:r>
      <w:r>
        <w:rPr>
          <w:spacing w:val="-12"/>
        </w:rPr>
        <w:t xml:space="preserve"> </w:t>
      </w:r>
      <w:r>
        <w:t>about using the youth’s correct pronouns, a worker dismissively responding to abuse against a boy in a group home by referring to the boy as “such a quee</w:t>
      </w:r>
      <w:r>
        <w:t>n,” and exploitation of a transgender girl by other youth in her group home that was so severe that her subsequent caretaker filed a 51A. Given that these reports were anecdotal in nature, the Commission fears that similar incidents occur much more frequen</w:t>
      </w:r>
      <w:r>
        <w:t>tly than state agencies and policymakers realize. Massachusetts law gives the Child Advocate or their designee access to all facilities operated, licensed, and funded by an executive agency.</w:t>
      </w:r>
      <w:hyperlink w:anchor="_bookmark870" w:history="1">
        <w:r>
          <w:rPr>
            <w:vertAlign w:val="superscript"/>
          </w:rPr>
          <w:t>xi</w:t>
        </w:r>
      </w:hyperlink>
    </w:p>
    <w:p w:rsidR="00200FDA" w:rsidRDefault="00200FDA">
      <w:pPr>
        <w:pStyle w:val="BodyText"/>
        <w:spacing w:before="9"/>
        <w:rPr>
          <w:sz w:val="32"/>
        </w:rPr>
      </w:pPr>
    </w:p>
    <w:p w:rsidR="00200FDA" w:rsidRDefault="00F76C4C">
      <w:pPr>
        <w:pStyle w:val="BodyText"/>
        <w:spacing w:line="276" w:lineRule="auto"/>
        <w:ind w:left="279" w:right="273"/>
        <w:jc w:val="both"/>
      </w:pPr>
      <w:r>
        <w:t>Last year, the Commission reco</w:t>
      </w:r>
      <w:r>
        <w:t>mmended that OCA play a more active role in providing oversight of congregate</w:t>
      </w:r>
      <w:r>
        <w:rPr>
          <w:spacing w:val="-11"/>
        </w:rPr>
        <w:t xml:space="preserve"> </w:t>
      </w:r>
      <w:r>
        <w:t>care</w:t>
      </w:r>
      <w:r>
        <w:rPr>
          <w:spacing w:val="-11"/>
        </w:rPr>
        <w:t xml:space="preserve"> </w:t>
      </w:r>
      <w:r>
        <w:t>facilities.</w:t>
      </w:r>
      <w:r>
        <w:rPr>
          <w:spacing w:val="-12"/>
        </w:rPr>
        <w:t xml:space="preserve"> </w:t>
      </w:r>
      <w:r>
        <w:t>The</w:t>
      </w:r>
      <w:r>
        <w:rPr>
          <w:spacing w:val="-8"/>
        </w:rPr>
        <w:t xml:space="preserve"> </w:t>
      </w:r>
      <w:r>
        <w:t>Commission</w:t>
      </w:r>
      <w:r>
        <w:rPr>
          <w:spacing w:val="-12"/>
        </w:rPr>
        <w:t xml:space="preserve"> </w:t>
      </w:r>
      <w:r>
        <w:t>is</w:t>
      </w:r>
      <w:r>
        <w:rPr>
          <w:spacing w:val="-11"/>
        </w:rPr>
        <w:t xml:space="preserve"> </w:t>
      </w:r>
      <w:r>
        <w:t>unaware</w:t>
      </w:r>
      <w:r>
        <w:rPr>
          <w:spacing w:val="-13"/>
        </w:rPr>
        <w:t xml:space="preserve"> </w:t>
      </w:r>
      <w:r>
        <w:t>of</w:t>
      </w:r>
      <w:r>
        <w:rPr>
          <w:spacing w:val="-11"/>
        </w:rPr>
        <w:t xml:space="preserve"> </w:t>
      </w:r>
      <w:r>
        <w:t>any</w:t>
      </w:r>
      <w:r>
        <w:rPr>
          <w:spacing w:val="-10"/>
        </w:rPr>
        <w:t xml:space="preserve"> </w:t>
      </w:r>
      <w:r>
        <w:t>steps</w:t>
      </w:r>
      <w:r>
        <w:rPr>
          <w:spacing w:val="-11"/>
        </w:rPr>
        <w:t xml:space="preserve"> </w:t>
      </w:r>
      <w:r>
        <w:t>taken</w:t>
      </w:r>
      <w:r>
        <w:rPr>
          <w:spacing w:val="-12"/>
        </w:rPr>
        <w:t xml:space="preserve"> </w:t>
      </w:r>
      <w:r>
        <w:t>to</w:t>
      </w:r>
      <w:r>
        <w:rPr>
          <w:spacing w:val="-10"/>
        </w:rPr>
        <w:t xml:space="preserve"> </w:t>
      </w:r>
      <w:r>
        <w:t>make</w:t>
      </w:r>
      <w:r>
        <w:rPr>
          <w:spacing w:val="-13"/>
        </w:rPr>
        <w:t xml:space="preserve"> </w:t>
      </w:r>
      <w:r>
        <w:t>these</w:t>
      </w:r>
      <w:r>
        <w:rPr>
          <w:spacing w:val="-10"/>
        </w:rPr>
        <w:t xml:space="preserve"> </w:t>
      </w:r>
      <w:r>
        <w:t>facilities</w:t>
      </w:r>
      <w:r>
        <w:rPr>
          <w:spacing w:val="-11"/>
        </w:rPr>
        <w:t xml:space="preserve"> </w:t>
      </w:r>
      <w:r>
        <w:t>safer</w:t>
      </w:r>
      <w:r>
        <w:rPr>
          <w:spacing w:val="-12"/>
        </w:rPr>
        <w:t xml:space="preserve"> </w:t>
      </w:r>
      <w:r>
        <w:t>and more</w:t>
      </w:r>
      <w:r>
        <w:rPr>
          <w:spacing w:val="-13"/>
        </w:rPr>
        <w:t xml:space="preserve"> </w:t>
      </w:r>
      <w:r>
        <w:t>affirming</w:t>
      </w:r>
      <w:r>
        <w:rPr>
          <w:spacing w:val="-12"/>
        </w:rPr>
        <w:t xml:space="preserve"> </w:t>
      </w:r>
      <w:r>
        <w:t>for</w:t>
      </w:r>
      <w:r>
        <w:rPr>
          <w:spacing w:val="-13"/>
        </w:rPr>
        <w:t xml:space="preserve"> </w:t>
      </w:r>
      <w:r>
        <w:t>LGBTQ</w:t>
      </w:r>
      <w:r>
        <w:rPr>
          <w:spacing w:val="-12"/>
        </w:rPr>
        <w:t xml:space="preserve"> </w:t>
      </w:r>
      <w:r>
        <w:t>youth</w:t>
      </w:r>
      <w:r>
        <w:rPr>
          <w:spacing w:val="-13"/>
        </w:rPr>
        <w:t xml:space="preserve"> </w:t>
      </w:r>
      <w:r>
        <w:t>since</w:t>
      </w:r>
      <w:r>
        <w:rPr>
          <w:spacing w:val="-12"/>
        </w:rPr>
        <w:t xml:space="preserve"> </w:t>
      </w:r>
      <w:r>
        <w:t>then.</w:t>
      </w:r>
      <w:r>
        <w:rPr>
          <w:spacing w:val="-13"/>
        </w:rPr>
        <w:t xml:space="preserve"> </w:t>
      </w:r>
      <w:r>
        <w:t>The</w:t>
      </w:r>
      <w:r>
        <w:rPr>
          <w:spacing w:val="-12"/>
        </w:rPr>
        <w:t xml:space="preserve"> </w:t>
      </w:r>
      <w:r>
        <w:t>Commission</w:t>
      </w:r>
      <w:r>
        <w:rPr>
          <w:spacing w:val="-12"/>
        </w:rPr>
        <w:t xml:space="preserve"> </w:t>
      </w:r>
      <w:r>
        <w:t>recommends</w:t>
      </w:r>
      <w:r>
        <w:rPr>
          <w:spacing w:val="-13"/>
        </w:rPr>
        <w:t xml:space="preserve"> </w:t>
      </w:r>
      <w:r>
        <w:t>that</w:t>
      </w:r>
      <w:r>
        <w:rPr>
          <w:spacing w:val="-12"/>
        </w:rPr>
        <w:t xml:space="preserve"> </w:t>
      </w:r>
      <w:r>
        <w:t>OCA</w:t>
      </w:r>
      <w:r>
        <w:rPr>
          <w:spacing w:val="-13"/>
        </w:rPr>
        <w:t xml:space="preserve"> </w:t>
      </w:r>
      <w:r>
        <w:t>create</w:t>
      </w:r>
      <w:r>
        <w:rPr>
          <w:spacing w:val="-12"/>
        </w:rPr>
        <w:t xml:space="preserve"> </w:t>
      </w:r>
      <w:r>
        <w:t>and</w:t>
      </w:r>
      <w:r>
        <w:rPr>
          <w:spacing w:val="-13"/>
        </w:rPr>
        <w:t xml:space="preserve"> </w:t>
      </w:r>
      <w:r>
        <w:t>implement a plan to make unannounced visits to every congregate care facility contracted to serve youth in foster care in Massachusetts, including interviews with staff and youth, as well as inquiries into the licensing status</w:t>
      </w:r>
      <w:r>
        <w:rPr>
          <w:spacing w:val="-9"/>
        </w:rPr>
        <w:t xml:space="preserve"> </w:t>
      </w:r>
      <w:r>
        <w:t>and</w:t>
      </w:r>
      <w:r>
        <w:rPr>
          <w:spacing w:val="-10"/>
        </w:rPr>
        <w:t xml:space="preserve"> </w:t>
      </w:r>
      <w:r>
        <w:t>history</w:t>
      </w:r>
      <w:r>
        <w:rPr>
          <w:spacing w:val="-11"/>
        </w:rPr>
        <w:t xml:space="preserve"> </w:t>
      </w:r>
      <w:r>
        <w:t>of</w:t>
      </w:r>
      <w:r>
        <w:rPr>
          <w:spacing w:val="-12"/>
        </w:rPr>
        <w:t xml:space="preserve"> </w:t>
      </w:r>
      <w:r>
        <w:t>eac</w:t>
      </w:r>
      <w:r>
        <w:t>h</w:t>
      </w:r>
      <w:r>
        <w:rPr>
          <w:spacing w:val="-10"/>
        </w:rPr>
        <w:t xml:space="preserve"> </w:t>
      </w:r>
      <w:r>
        <w:t>facility</w:t>
      </w:r>
      <w:r>
        <w:rPr>
          <w:spacing w:val="-8"/>
        </w:rPr>
        <w:t xml:space="preserve"> </w:t>
      </w:r>
      <w:r>
        <w:t>and</w:t>
      </w:r>
      <w:r>
        <w:rPr>
          <w:spacing w:val="-12"/>
        </w:rPr>
        <w:t xml:space="preserve"> </w:t>
      </w:r>
      <w:r>
        <w:t>review</w:t>
      </w:r>
      <w:r>
        <w:rPr>
          <w:spacing w:val="-11"/>
        </w:rPr>
        <w:t xml:space="preserve"> </w:t>
      </w:r>
      <w:r>
        <w:t>of</w:t>
      </w:r>
      <w:r>
        <w:rPr>
          <w:spacing w:val="-12"/>
        </w:rPr>
        <w:t xml:space="preserve"> </w:t>
      </w:r>
      <w:r>
        <w:t>records</w:t>
      </w:r>
      <w:r>
        <w:rPr>
          <w:spacing w:val="-9"/>
        </w:rPr>
        <w:t xml:space="preserve"> </w:t>
      </w:r>
      <w:r>
        <w:t>as</w:t>
      </w:r>
      <w:r>
        <w:rPr>
          <w:spacing w:val="-9"/>
        </w:rPr>
        <w:t xml:space="preserve"> </w:t>
      </w:r>
      <w:r>
        <w:t>appropriate.</w:t>
      </w:r>
      <w:r>
        <w:rPr>
          <w:spacing w:val="-12"/>
        </w:rPr>
        <w:t xml:space="preserve"> </w:t>
      </w:r>
      <w:r>
        <w:t>These</w:t>
      </w:r>
      <w:r>
        <w:rPr>
          <w:spacing w:val="-11"/>
        </w:rPr>
        <w:t xml:space="preserve"> </w:t>
      </w:r>
      <w:r>
        <w:t>visits</w:t>
      </w:r>
      <w:r>
        <w:rPr>
          <w:spacing w:val="-9"/>
        </w:rPr>
        <w:t xml:space="preserve"> </w:t>
      </w:r>
      <w:r>
        <w:t>should</w:t>
      </w:r>
      <w:r>
        <w:rPr>
          <w:spacing w:val="-10"/>
        </w:rPr>
        <w:t xml:space="preserve"> </w:t>
      </w:r>
      <w:r>
        <w:t>include</w:t>
      </w:r>
      <w:r>
        <w:rPr>
          <w:spacing w:val="-11"/>
        </w:rPr>
        <w:t xml:space="preserve"> </w:t>
      </w:r>
      <w:r>
        <w:t>specific inquiries into the prevalence of, and responses to, anti-LGBTQ and racial harassment, violence, and discrimination. They should also examine issues related to the housing</w:t>
      </w:r>
      <w:r>
        <w:t xml:space="preserve"> and placement of transgender youth, including whether they have been placed according to their gender identity and/or stated preference, and for how long they have been in congregate care.</w:t>
      </w:r>
    </w:p>
    <w:p w:rsidR="00200FDA" w:rsidRDefault="00200FDA">
      <w:pPr>
        <w:spacing w:line="276" w:lineRule="auto"/>
        <w:jc w:val="both"/>
        <w:sectPr w:rsidR="00200FDA">
          <w:pgSz w:w="12240" w:h="15840"/>
          <w:pgMar w:top="1260" w:right="1160" w:bottom="1260" w:left="1160" w:header="761" w:footer="1062" w:gutter="0"/>
          <w:cols w:space="720"/>
        </w:sectPr>
      </w:pPr>
    </w:p>
    <w:p w:rsidR="00200FDA" w:rsidRDefault="00200FDA">
      <w:pPr>
        <w:pStyle w:val="BodyText"/>
        <w:spacing w:before="9"/>
        <w:rPr>
          <w:sz w:val="8"/>
        </w:rPr>
      </w:pPr>
    </w:p>
    <w:p w:rsidR="00200FDA" w:rsidRDefault="00F76C4C">
      <w:pPr>
        <w:pStyle w:val="BodyText"/>
        <w:spacing w:before="57" w:line="276" w:lineRule="auto"/>
        <w:ind w:left="279" w:right="272"/>
        <w:jc w:val="both"/>
      </w:pPr>
      <w:r>
        <w:t>This work would be an opportunity to make progress on last year’s recommendations, in which the Commission urged OCA to investigate compliance with nondiscrimination requirements and LGBTQ cultural</w:t>
      </w:r>
      <w:r>
        <w:rPr>
          <w:spacing w:val="-4"/>
        </w:rPr>
        <w:t xml:space="preserve"> </w:t>
      </w:r>
      <w:r>
        <w:t>competence</w:t>
      </w:r>
      <w:r>
        <w:rPr>
          <w:spacing w:val="-4"/>
        </w:rPr>
        <w:t xml:space="preserve"> </w:t>
      </w:r>
      <w:r>
        <w:t>in</w:t>
      </w:r>
      <w:r>
        <w:rPr>
          <w:spacing w:val="-5"/>
        </w:rPr>
        <w:t xml:space="preserve"> </w:t>
      </w:r>
      <w:r>
        <w:t>congregate</w:t>
      </w:r>
      <w:r>
        <w:rPr>
          <w:spacing w:val="-4"/>
        </w:rPr>
        <w:t xml:space="preserve"> </w:t>
      </w:r>
      <w:r>
        <w:t>care</w:t>
      </w:r>
      <w:r>
        <w:rPr>
          <w:spacing w:val="-4"/>
        </w:rPr>
        <w:t xml:space="preserve"> </w:t>
      </w:r>
      <w:r>
        <w:t>facilities.</w:t>
      </w:r>
      <w:r>
        <w:rPr>
          <w:spacing w:val="-5"/>
        </w:rPr>
        <w:t xml:space="preserve"> </w:t>
      </w:r>
      <w:r>
        <w:t>OCA</w:t>
      </w:r>
      <w:r>
        <w:rPr>
          <w:spacing w:val="-7"/>
        </w:rPr>
        <w:t xml:space="preserve"> </w:t>
      </w:r>
      <w:r>
        <w:t>should</w:t>
      </w:r>
      <w:r>
        <w:rPr>
          <w:spacing w:val="-5"/>
        </w:rPr>
        <w:t xml:space="preserve"> </w:t>
      </w:r>
      <w:r>
        <w:t>document</w:t>
      </w:r>
      <w:r>
        <w:rPr>
          <w:spacing w:val="-4"/>
        </w:rPr>
        <w:t xml:space="preserve"> </w:t>
      </w:r>
      <w:r>
        <w:t>its</w:t>
      </w:r>
      <w:r>
        <w:rPr>
          <w:spacing w:val="-4"/>
        </w:rPr>
        <w:t xml:space="preserve"> </w:t>
      </w:r>
      <w:r>
        <w:t>findings</w:t>
      </w:r>
      <w:r>
        <w:rPr>
          <w:spacing w:val="-4"/>
        </w:rPr>
        <w:t xml:space="preserve"> </w:t>
      </w:r>
      <w:r>
        <w:t>in</w:t>
      </w:r>
      <w:r>
        <w:rPr>
          <w:spacing w:val="-5"/>
        </w:rPr>
        <w:t xml:space="preserve"> </w:t>
      </w:r>
      <w:r>
        <w:t>writing</w:t>
      </w:r>
      <w:r>
        <w:rPr>
          <w:spacing w:val="-5"/>
        </w:rPr>
        <w:t xml:space="preserve"> </w:t>
      </w:r>
      <w:r>
        <w:t>and</w:t>
      </w:r>
      <w:r>
        <w:rPr>
          <w:spacing w:val="-5"/>
        </w:rPr>
        <w:t xml:space="preserve"> </w:t>
      </w:r>
      <w:r>
        <w:t xml:space="preserve">should share those findings with the Governor’s Office, the Executive Office of Health and Human Services, the Department of Early Education and Care, the Committee on Children, Families, and Persons with Disabilities, </w:t>
      </w:r>
      <w:r>
        <w:t>and the Commission, along with publishing them in its annual report or a stand-alone document made available to the public online. Finally, OCA should verify that critical incidents occurring in</w:t>
      </w:r>
      <w:r>
        <w:rPr>
          <w:spacing w:val="-13"/>
        </w:rPr>
        <w:t xml:space="preserve"> </w:t>
      </w:r>
      <w:r>
        <w:t>congregate</w:t>
      </w:r>
      <w:r>
        <w:rPr>
          <w:spacing w:val="-12"/>
        </w:rPr>
        <w:t xml:space="preserve"> </w:t>
      </w:r>
      <w:r>
        <w:t>care</w:t>
      </w:r>
      <w:r>
        <w:rPr>
          <w:spacing w:val="-13"/>
        </w:rPr>
        <w:t xml:space="preserve"> </w:t>
      </w:r>
      <w:r>
        <w:t>are</w:t>
      </w:r>
      <w:r>
        <w:rPr>
          <w:spacing w:val="-10"/>
        </w:rPr>
        <w:t xml:space="preserve"> </w:t>
      </w:r>
      <w:r>
        <w:t>being</w:t>
      </w:r>
      <w:r>
        <w:rPr>
          <w:spacing w:val="-11"/>
        </w:rPr>
        <w:t xml:space="preserve"> </w:t>
      </w:r>
      <w:r>
        <w:t>appropriately</w:t>
      </w:r>
      <w:r>
        <w:rPr>
          <w:spacing w:val="-10"/>
        </w:rPr>
        <w:t xml:space="preserve"> </w:t>
      </w:r>
      <w:r>
        <w:t>reported.</w:t>
      </w:r>
      <w:r>
        <w:rPr>
          <w:spacing w:val="-11"/>
        </w:rPr>
        <w:t xml:space="preserve"> </w:t>
      </w:r>
      <w:r>
        <w:t>It</w:t>
      </w:r>
      <w:r>
        <w:rPr>
          <w:spacing w:val="-13"/>
        </w:rPr>
        <w:t xml:space="preserve"> </w:t>
      </w:r>
      <w:r>
        <w:t>should</w:t>
      </w:r>
      <w:r>
        <w:rPr>
          <w:spacing w:val="-11"/>
        </w:rPr>
        <w:t xml:space="preserve"> </w:t>
      </w:r>
      <w:r>
        <w:t>e</w:t>
      </w:r>
      <w:r>
        <w:t>nsure</w:t>
      </w:r>
      <w:r>
        <w:rPr>
          <w:spacing w:val="-10"/>
        </w:rPr>
        <w:t xml:space="preserve"> </w:t>
      </w:r>
      <w:r>
        <w:t>that</w:t>
      </w:r>
      <w:r>
        <w:rPr>
          <w:spacing w:val="-10"/>
        </w:rPr>
        <w:t xml:space="preserve"> </w:t>
      </w:r>
      <w:r>
        <w:t>it</w:t>
      </w:r>
      <w:r>
        <w:rPr>
          <w:spacing w:val="-10"/>
        </w:rPr>
        <w:t xml:space="preserve"> </w:t>
      </w:r>
      <w:r>
        <w:t>is</w:t>
      </w:r>
      <w:r>
        <w:rPr>
          <w:spacing w:val="-13"/>
        </w:rPr>
        <w:t xml:space="preserve"> </w:t>
      </w:r>
      <w:r>
        <w:t>fully</w:t>
      </w:r>
      <w:r>
        <w:rPr>
          <w:spacing w:val="-12"/>
        </w:rPr>
        <w:t xml:space="preserve"> </w:t>
      </w:r>
      <w:r>
        <w:t>investigating</w:t>
      </w:r>
      <w:r>
        <w:rPr>
          <w:spacing w:val="-11"/>
        </w:rPr>
        <w:t xml:space="preserve"> </w:t>
      </w:r>
      <w:r>
        <w:t>each</w:t>
      </w:r>
      <w:r>
        <w:rPr>
          <w:spacing w:val="-13"/>
        </w:rPr>
        <w:t xml:space="preserve"> </w:t>
      </w:r>
      <w:r>
        <w:t>one, and that it is making - and recording in a publicly accessible way - independent recommendations to prevent similar incidents in conjunction with each one.</w:t>
      </w:r>
    </w:p>
    <w:p w:rsidR="00200FDA" w:rsidRDefault="00200FDA">
      <w:pPr>
        <w:pStyle w:val="BodyText"/>
        <w:spacing w:before="10"/>
        <w:rPr>
          <w:sz w:val="32"/>
        </w:rPr>
      </w:pPr>
    </w:p>
    <w:p w:rsidR="00200FDA" w:rsidRDefault="00F76C4C">
      <w:pPr>
        <w:pStyle w:val="Heading9"/>
        <w:numPr>
          <w:ilvl w:val="0"/>
          <w:numId w:val="17"/>
        </w:numPr>
        <w:tabs>
          <w:tab w:val="left" w:pos="501"/>
        </w:tabs>
        <w:ind w:hanging="222"/>
      </w:pPr>
      <w:r>
        <w:t>Conduct</w:t>
      </w:r>
      <w:r>
        <w:rPr>
          <w:spacing w:val="-5"/>
        </w:rPr>
        <w:t xml:space="preserve"> </w:t>
      </w:r>
      <w:r>
        <w:t>a</w:t>
      </w:r>
      <w:r>
        <w:rPr>
          <w:spacing w:val="-5"/>
        </w:rPr>
        <w:t xml:space="preserve"> </w:t>
      </w:r>
      <w:r>
        <w:t>LGBTQ</w:t>
      </w:r>
      <w:r>
        <w:rPr>
          <w:spacing w:val="-7"/>
        </w:rPr>
        <w:t xml:space="preserve"> </w:t>
      </w:r>
      <w:r>
        <w:t>training</w:t>
      </w:r>
      <w:r>
        <w:rPr>
          <w:spacing w:val="-3"/>
        </w:rPr>
        <w:t xml:space="preserve"> </w:t>
      </w:r>
      <w:r>
        <w:t>audit</w:t>
      </w:r>
      <w:r>
        <w:rPr>
          <w:spacing w:val="-4"/>
        </w:rPr>
        <w:t xml:space="preserve"> </w:t>
      </w:r>
      <w:r>
        <w:t>of</w:t>
      </w:r>
      <w:r>
        <w:rPr>
          <w:spacing w:val="-6"/>
        </w:rPr>
        <w:t xml:space="preserve"> </w:t>
      </w:r>
      <w:r>
        <w:t>youth-serving</w:t>
      </w:r>
      <w:r>
        <w:rPr>
          <w:spacing w:val="-3"/>
        </w:rPr>
        <w:t xml:space="preserve"> </w:t>
      </w:r>
      <w:r>
        <w:rPr>
          <w:spacing w:val="-2"/>
        </w:rPr>
        <w:t>faci</w:t>
      </w:r>
      <w:r>
        <w:rPr>
          <w:spacing w:val="-2"/>
        </w:rPr>
        <w:t>lities.</w:t>
      </w:r>
    </w:p>
    <w:p w:rsidR="00200FDA" w:rsidRDefault="00200FDA">
      <w:pPr>
        <w:pStyle w:val="BodyText"/>
        <w:rPr>
          <w:b/>
        </w:rPr>
      </w:pPr>
    </w:p>
    <w:p w:rsidR="00200FDA" w:rsidRDefault="00F76C4C">
      <w:pPr>
        <w:pStyle w:val="BodyText"/>
        <w:spacing w:before="171" w:line="276" w:lineRule="auto"/>
        <w:ind w:left="279" w:right="273"/>
        <w:jc w:val="both"/>
      </w:pPr>
      <w:r>
        <w:t>Adequate training is an important component of improving the skillsets of professionals who work with LGBTQ youth. To that end, OCA should develop and implement a plan to review whether staff at group homes, residential schools, and other youth-se</w:t>
      </w:r>
      <w:r>
        <w:t>rving facilities are receiving training on LGBTQ cultural competency</w:t>
      </w:r>
      <w:r>
        <w:rPr>
          <w:spacing w:val="-7"/>
        </w:rPr>
        <w:t xml:space="preserve"> </w:t>
      </w:r>
      <w:r>
        <w:t>and</w:t>
      </w:r>
      <w:r>
        <w:rPr>
          <w:spacing w:val="-9"/>
        </w:rPr>
        <w:t xml:space="preserve"> </w:t>
      </w:r>
      <w:r>
        <w:t>other</w:t>
      </w:r>
      <w:r>
        <w:rPr>
          <w:spacing w:val="-8"/>
        </w:rPr>
        <w:t xml:space="preserve"> </w:t>
      </w:r>
      <w:r>
        <w:t>LGBTQ-related</w:t>
      </w:r>
      <w:r>
        <w:rPr>
          <w:spacing w:val="-8"/>
        </w:rPr>
        <w:t xml:space="preserve"> </w:t>
      </w:r>
      <w:r>
        <w:t>topics</w:t>
      </w:r>
      <w:r>
        <w:rPr>
          <w:spacing w:val="-8"/>
        </w:rPr>
        <w:t xml:space="preserve"> </w:t>
      </w:r>
      <w:r>
        <w:t>and,</w:t>
      </w:r>
      <w:r>
        <w:rPr>
          <w:spacing w:val="-8"/>
        </w:rPr>
        <w:t xml:space="preserve"> </w:t>
      </w:r>
      <w:r>
        <w:t>if</w:t>
      </w:r>
      <w:r>
        <w:rPr>
          <w:spacing w:val="-8"/>
        </w:rPr>
        <w:t xml:space="preserve"> </w:t>
      </w:r>
      <w:r>
        <w:t>so,</w:t>
      </w:r>
      <w:r>
        <w:rPr>
          <w:spacing w:val="-10"/>
        </w:rPr>
        <w:t xml:space="preserve"> </w:t>
      </w:r>
      <w:r>
        <w:t>the</w:t>
      </w:r>
      <w:r>
        <w:rPr>
          <w:spacing w:val="-7"/>
        </w:rPr>
        <w:t xml:space="preserve"> </w:t>
      </w:r>
      <w:r>
        <w:t>content</w:t>
      </w:r>
      <w:r>
        <w:rPr>
          <w:spacing w:val="-7"/>
        </w:rPr>
        <w:t xml:space="preserve"> </w:t>
      </w:r>
      <w:r>
        <w:t>included</w:t>
      </w:r>
      <w:r>
        <w:rPr>
          <w:spacing w:val="-9"/>
        </w:rPr>
        <w:t xml:space="preserve"> </w:t>
      </w:r>
      <w:r>
        <w:t>in</w:t>
      </w:r>
      <w:r>
        <w:rPr>
          <w:spacing w:val="-9"/>
        </w:rPr>
        <w:t xml:space="preserve"> </w:t>
      </w:r>
      <w:r>
        <w:t>such</w:t>
      </w:r>
      <w:r>
        <w:rPr>
          <w:spacing w:val="-9"/>
        </w:rPr>
        <w:t xml:space="preserve"> </w:t>
      </w:r>
      <w:r>
        <w:t>trainings.</w:t>
      </w:r>
      <w:r>
        <w:rPr>
          <w:spacing w:val="-8"/>
        </w:rPr>
        <w:t xml:space="preserve"> </w:t>
      </w:r>
      <w:r>
        <w:t>OCA</w:t>
      </w:r>
      <w:r>
        <w:rPr>
          <w:spacing w:val="-9"/>
        </w:rPr>
        <w:t xml:space="preserve"> </w:t>
      </w:r>
      <w:r>
        <w:t xml:space="preserve">should work with these entities on measuring the impact of those trainings, such as requiring post-training evaluations or audits at designated time frames (such as six months after the training) to assess their </w:t>
      </w:r>
      <w:r>
        <w:rPr>
          <w:spacing w:val="-2"/>
        </w:rPr>
        <w:t>efficacy.</w:t>
      </w:r>
    </w:p>
    <w:p w:rsidR="00200FDA" w:rsidRDefault="00200FDA">
      <w:pPr>
        <w:pStyle w:val="BodyText"/>
        <w:spacing w:before="10"/>
        <w:rPr>
          <w:sz w:val="32"/>
        </w:rPr>
      </w:pPr>
    </w:p>
    <w:p w:rsidR="00200FDA" w:rsidRDefault="00F76C4C">
      <w:pPr>
        <w:pStyle w:val="Heading9"/>
        <w:numPr>
          <w:ilvl w:val="0"/>
          <w:numId w:val="17"/>
        </w:numPr>
        <w:tabs>
          <w:tab w:val="left" w:pos="501"/>
        </w:tabs>
        <w:spacing w:before="1"/>
        <w:ind w:hanging="222"/>
        <w:rPr>
          <w:b w:val="0"/>
        </w:rPr>
      </w:pPr>
      <w:r>
        <w:t>Address</w:t>
      </w:r>
      <w:r>
        <w:rPr>
          <w:spacing w:val="-4"/>
        </w:rPr>
        <w:t xml:space="preserve"> </w:t>
      </w:r>
      <w:r>
        <w:t>LGBTQ</w:t>
      </w:r>
      <w:r>
        <w:rPr>
          <w:spacing w:val="-5"/>
        </w:rPr>
        <w:t xml:space="preserve"> </w:t>
      </w:r>
      <w:r>
        <w:t>youth</w:t>
      </w:r>
      <w:r>
        <w:rPr>
          <w:spacing w:val="-4"/>
        </w:rPr>
        <w:t xml:space="preserve"> </w:t>
      </w:r>
      <w:r>
        <w:t>in</w:t>
      </w:r>
      <w:r>
        <w:rPr>
          <w:spacing w:val="-6"/>
        </w:rPr>
        <w:t xml:space="preserve"> </w:t>
      </w:r>
      <w:r>
        <w:t>public</w:t>
      </w:r>
      <w:r>
        <w:rPr>
          <w:spacing w:val="-4"/>
        </w:rPr>
        <w:t xml:space="preserve"> </w:t>
      </w:r>
      <w:r>
        <w:t>aff</w:t>
      </w:r>
      <w:r>
        <w:t>airs</w:t>
      </w:r>
      <w:r>
        <w:rPr>
          <w:spacing w:val="-4"/>
        </w:rPr>
        <w:t xml:space="preserve"> work</w:t>
      </w:r>
      <w:r>
        <w:rPr>
          <w:b w:val="0"/>
          <w:spacing w:val="-4"/>
        </w:rPr>
        <w:t>.</w:t>
      </w:r>
    </w:p>
    <w:p w:rsidR="00200FDA" w:rsidRDefault="00200FDA">
      <w:pPr>
        <w:pStyle w:val="BodyText"/>
      </w:pPr>
    </w:p>
    <w:p w:rsidR="00200FDA" w:rsidRDefault="00F76C4C">
      <w:pPr>
        <w:pStyle w:val="BodyText"/>
        <w:spacing w:before="171" w:line="276" w:lineRule="auto"/>
        <w:ind w:left="279" w:right="274"/>
        <w:jc w:val="both"/>
      </w:pPr>
      <w:r>
        <w:t>Last year, the Commission noted that OCA had very little public-facing information available around LGBTQ youth, which could discourage LGBTQ youth and their allies from voicing concerns to or seeking assistance</w:t>
      </w:r>
      <w:r>
        <w:rPr>
          <w:spacing w:val="-1"/>
        </w:rPr>
        <w:t xml:space="preserve"> </w:t>
      </w:r>
      <w:r>
        <w:t>from</w:t>
      </w:r>
      <w:r>
        <w:rPr>
          <w:spacing w:val="-1"/>
        </w:rPr>
        <w:t xml:space="preserve"> </w:t>
      </w:r>
      <w:r>
        <w:t>OCA.</w:t>
      </w:r>
      <w:r>
        <w:rPr>
          <w:spacing w:val="-2"/>
        </w:rPr>
        <w:t xml:space="preserve"> </w:t>
      </w:r>
      <w:r>
        <w:t>That lack</w:t>
      </w:r>
      <w:r>
        <w:rPr>
          <w:spacing w:val="-1"/>
        </w:rPr>
        <w:t xml:space="preserve"> </w:t>
      </w:r>
      <w:r>
        <w:t>of informati</w:t>
      </w:r>
      <w:r>
        <w:t>on</w:t>
      </w:r>
      <w:r>
        <w:rPr>
          <w:spacing w:val="-3"/>
        </w:rPr>
        <w:t xml:space="preserve"> </w:t>
      </w:r>
      <w:r>
        <w:t>continues today</w:t>
      </w:r>
      <w:r>
        <w:rPr>
          <w:spacing w:val="-1"/>
        </w:rPr>
        <w:t xml:space="preserve"> </w:t>
      </w:r>
      <w:r>
        <w:t>and has grown</w:t>
      </w:r>
      <w:r>
        <w:rPr>
          <w:spacing w:val="-3"/>
        </w:rPr>
        <w:t xml:space="preserve"> </w:t>
      </w:r>
      <w:r>
        <w:t>only</w:t>
      </w:r>
      <w:r>
        <w:rPr>
          <w:spacing w:val="-1"/>
        </w:rPr>
        <w:t xml:space="preserve"> </w:t>
      </w:r>
      <w:r>
        <w:t>more troubling in the context</w:t>
      </w:r>
      <w:r>
        <w:rPr>
          <w:spacing w:val="-1"/>
        </w:rPr>
        <w:t xml:space="preserve"> </w:t>
      </w:r>
      <w:r>
        <w:t>of</w:t>
      </w:r>
      <w:r>
        <w:rPr>
          <w:spacing w:val="-2"/>
        </w:rPr>
        <w:t xml:space="preserve"> </w:t>
      </w:r>
      <w:r>
        <w:t>attacks</w:t>
      </w:r>
      <w:r>
        <w:rPr>
          <w:spacing w:val="-2"/>
        </w:rPr>
        <w:t xml:space="preserve"> </w:t>
      </w:r>
      <w:r>
        <w:t>on</w:t>
      </w:r>
      <w:r>
        <w:rPr>
          <w:spacing w:val="-3"/>
        </w:rPr>
        <w:t xml:space="preserve"> </w:t>
      </w:r>
      <w:r>
        <w:t>LGBTQ</w:t>
      </w:r>
      <w:r>
        <w:rPr>
          <w:spacing w:val="-2"/>
        </w:rPr>
        <w:t xml:space="preserve"> </w:t>
      </w:r>
      <w:r>
        <w:t>youth</w:t>
      </w:r>
      <w:r>
        <w:rPr>
          <w:spacing w:val="-3"/>
        </w:rPr>
        <w:t xml:space="preserve"> </w:t>
      </w:r>
      <w:r>
        <w:t>and</w:t>
      </w:r>
      <w:r>
        <w:rPr>
          <w:spacing w:val="-3"/>
        </w:rPr>
        <w:t xml:space="preserve"> </w:t>
      </w:r>
      <w:r>
        <w:t>their</w:t>
      </w:r>
      <w:r>
        <w:rPr>
          <w:spacing w:val="-2"/>
        </w:rPr>
        <w:t xml:space="preserve"> </w:t>
      </w:r>
      <w:r>
        <w:t>allies</w:t>
      </w:r>
      <w:r>
        <w:rPr>
          <w:spacing w:val="-2"/>
        </w:rPr>
        <w:t xml:space="preserve"> </w:t>
      </w:r>
      <w:r>
        <w:t>in</w:t>
      </w:r>
      <w:r>
        <w:rPr>
          <w:spacing w:val="-3"/>
        </w:rPr>
        <w:t xml:space="preserve"> </w:t>
      </w:r>
      <w:r>
        <w:t>Massachusetts</w:t>
      </w:r>
      <w:r>
        <w:rPr>
          <w:spacing w:val="-2"/>
        </w:rPr>
        <w:t xml:space="preserve"> </w:t>
      </w:r>
      <w:r>
        <w:t>and nationally. The Commission</w:t>
      </w:r>
      <w:r>
        <w:rPr>
          <w:spacing w:val="-3"/>
        </w:rPr>
        <w:t xml:space="preserve"> </w:t>
      </w:r>
      <w:r>
        <w:t>and other Massachusetts organizations periodically publicize - through workshops, social media, and other channels - resources to promote health and well-being for LGBTQ youth, as well as to educate young people on their rights. The Commission recommends O</w:t>
      </w:r>
      <w:r>
        <w:t>CA partner with the Commission and with other LGBTQ organizations to amplify messaging, collaborate on events, and build deeper relationships with advocates and providers for LGBTQ youth. The Commission further recommends OCA seek out opportunities to demo</w:t>
      </w:r>
      <w:r>
        <w:t>nstrate support for LGBTQ-affirming policies in Massachusetts and to provide information to LGBTQ youth and the public on nondiscrimination protections in Massachusetts.</w:t>
      </w:r>
    </w:p>
    <w:p w:rsidR="00200FDA" w:rsidRDefault="00200FDA">
      <w:pPr>
        <w:pStyle w:val="BodyText"/>
        <w:spacing w:before="8"/>
        <w:rPr>
          <w:sz w:val="32"/>
        </w:rPr>
      </w:pPr>
    </w:p>
    <w:p w:rsidR="00200FDA" w:rsidRDefault="00F76C4C">
      <w:pPr>
        <w:pStyle w:val="Heading9"/>
        <w:numPr>
          <w:ilvl w:val="0"/>
          <w:numId w:val="17"/>
        </w:numPr>
        <w:tabs>
          <w:tab w:val="left" w:pos="503"/>
        </w:tabs>
        <w:ind w:left="502" w:hanging="224"/>
        <w:rPr>
          <w:b w:val="0"/>
        </w:rPr>
      </w:pPr>
      <w:r>
        <w:t>Support</w:t>
      </w:r>
      <w:r>
        <w:rPr>
          <w:spacing w:val="-9"/>
        </w:rPr>
        <w:t xml:space="preserve"> </w:t>
      </w:r>
      <w:r>
        <w:t>inclusion</w:t>
      </w:r>
      <w:r>
        <w:rPr>
          <w:spacing w:val="-5"/>
        </w:rPr>
        <w:t xml:space="preserve"> </w:t>
      </w:r>
      <w:r>
        <w:t>of</w:t>
      </w:r>
      <w:r>
        <w:rPr>
          <w:spacing w:val="-4"/>
        </w:rPr>
        <w:t xml:space="preserve"> </w:t>
      </w:r>
      <w:r>
        <w:t>LGBTQ</w:t>
      </w:r>
      <w:r>
        <w:rPr>
          <w:spacing w:val="-7"/>
        </w:rPr>
        <w:t xml:space="preserve"> </w:t>
      </w:r>
      <w:r>
        <w:t>experts</w:t>
      </w:r>
      <w:r>
        <w:rPr>
          <w:spacing w:val="-6"/>
        </w:rPr>
        <w:t xml:space="preserve"> </w:t>
      </w:r>
      <w:r>
        <w:t>in</w:t>
      </w:r>
      <w:r>
        <w:rPr>
          <w:spacing w:val="-5"/>
        </w:rPr>
        <w:t xml:space="preserve"> </w:t>
      </w:r>
      <w:r>
        <w:t>Child</w:t>
      </w:r>
      <w:r>
        <w:rPr>
          <w:spacing w:val="-5"/>
        </w:rPr>
        <w:t xml:space="preserve"> </w:t>
      </w:r>
      <w:r>
        <w:t>and</w:t>
      </w:r>
      <w:r>
        <w:rPr>
          <w:spacing w:val="-6"/>
        </w:rPr>
        <w:t xml:space="preserve"> </w:t>
      </w:r>
      <w:r>
        <w:t>Family</w:t>
      </w:r>
      <w:r>
        <w:rPr>
          <w:spacing w:val="-3"/>
        </w:rPr>
        <w:t xml:space="preserve"> </w:t>
      </w:r>
      <w:r>
        <w:t>Service</w:t>
      </w:r>
      <w:r>
        <w:rPr>
          <w:spacing w:val="-5"/>
        </w:rPr>
        <w:t xml:space="preserve"> </w:t>
      </w:r>
      <w:r>
        <w:t>Review</w:t>
      </w:r>
      <w:r>
        <w:rPr>
          <w:spacing w:val="-3"/>
        </w:rPr>
        <w:t xml:space="preserve"> </w:t>
      </w:r>
      <w:r>
        <w:rPr>
          <w:spacing w:val="-2"/>
        </w:rPr>
        <w:t>(CFSR)</w:t>
      </w:r>
      <w:r>
        <w:rPr>
          <w:b w:val="0"/>
          <w:spacing w:val="-2"/>
        </w:rPr>
        <w:t>.</w:t>
      </w:r>
    </w:p>
    <w:p w:rsidR="00200FDA" w:rsidRDefault="00200FDA">
      <w:pPr>
        <w:pStyle w:val="BodyText"/>
      </w:pPr>
    </w:p>
    <w:p w:rsidR="00200FDA" w:rsidRDefault="00F76C4C">
      <w:pPr>
        <w:pStyle w:val="BodyText"/>
        <w:spacing w:before="171" w:line="278" w:lineRule="auto"/>
        <w:ind w:left="279" w:right="276"/>
        <w:jc w:val="both"/>
      </w:pPr>
      <w:r>
        <w:t>The CF</w:t>
      </w:r>
      <w:r>
        <w:t>SR examines the Commonwealth’s compliance with</w:t>
      </w:r>
      <w:r>
        <w:rPr>
          <w:spacing w:val="-1"/>
        </w:rPr>
        <w:t xml:space="preserve"> </w:t>
      </w:r>
      <w:r>
        <w:t>federal</w:t>
      </w:r>
      <w:r>
        <w:rPr>
          <w:spacing w:val="-1"/>
        </w:rPr>
        <w:t xml:space="preserve"> </w:t>
      </w:r>
      <w:r>
        <w:t>requirements, evaluates child</w:t>
      </w:r>
      <w:r>
        <w:rPr>
          <w:spacing w:val="-1"/>
        </w:rPr>
        <w:t xml:space="preserve"> </w:t>
      </w:r>
      <w:r>
        <w:t>welfare system</w:t>
      </w:r>
      <w:r>
        <w:rPr>
          <w:spacing w:val="-13"/>
        </w:rPr>
        <w:t xml:space="preserve"> </w:t>
      </w:r>
      <w:r>
        <w:t>performance,</w:t>
      </w:r>
      <w:r>
        <w:rPr>
          <w:spacing w:val="-11"/>
        </w:rPr>
        <w:t xml:space="preserve"> </w:t>
      </w:r>
      <w:r>
        <w:t>and</w:t>
      </w:r>
      <w:r>
        <w:rPr>
          <w:spacing w:val="-12"/>
        </w:rPr>
        <w:t xml:space="preserve"> </w:t>
      </w:r>
      <w:r>
        <w:t>requires</w:t>
      </w:r>
      <w:r>
        <w:rPr>
          <w:spacing w:val="-11"/>
        </w:rPr>
        <w:t xml:space="preserve"> </w:t>
      </w:r>
      <w:r>
        <w:t>the</w:t>
      </w:r>
      <w:r>
        <w:rPr>
          <w:spacing w:val="-11"/>
        </w:rPr>
        <w:t xml:space="preserve"> </w:t>
      </w:r>
      <w:r>
        <w:t>state</w:t>
      </w:r>
      <w:r>
        <w:rPr>
          <w:spacing w:val="-11"/>
        </w:rPr>
        <w:t xml:space="preserve"> </w:t>
      </w:r>
      <w:r>
        <w:t>to</w:t>
      </w:r>
      <w:r>
        <w:rPr>
          <w:spacing w:val="-13"/>
        </w:rPr>
        <w:t xml:space="preserve"> </w:t>
      </w:r>
      <w:r>
        <w:t>make</w:t>
      </w:r>
      <w:r>
        <w:rPr>
          <w:spacing w:val="-8"/>
        </w:rPr>
        <w:t xml:space="preserve"> </w:t>
      </w:r>
      <w:r>
        <w:t>improvements</w:t>
      </w:r>
      <w:r>
        <w:rPr>
          <w:spacing w:val="-9"/>
        </w:rPr>
        <w:t xml:space="preserve"> </w:t>
      </w:r>
      <w:r>
        <w:t>in</w:t>
      </w:r>
      <w:r>
        <w:rPr>
          <w:spacing w:val="-13"/>
        </w:rPr>
        <w:t xml:space="preserve"> </w:t>
      </w:r>
      <w:r>
        <w:t>outcomes</w:t>
      </w:r>
      <w:r>
        <w:rPr>
          <w:spacing w:val="-12"/>
        </w:rPr>
        <w:t xml:space="preserve"> </w:t>
      </w:r>
      <w:r>
        <w:t>for</w:t>
      </w:r>
      <w:r>
        <w:rPr>
          <w:spacing w:val="-11"/>
        </w:rPr>
        <w:t xml:space="preserve"> </w:t>
      </w:r>
      <w:r>
        <w:t>children</w:t>
      </w:r>
      <w:r>
        <w:rPr>
          <w:spacing w:val="-10"/>
        </w:rPr>
        <w:t xml:space="preserve"> </w:t>
      </w:r>
      <w:r>
        <w:t>and</w:t>
      </w:r>
      <w:r>
        <w:rPr>
          <w:spacing w:val="-12"/>
        </w:rPr>
        <w:t xml:space="preserve"> </w:t>
      </w:r>
      <w:r>
        <w:t>families. The</w:t>
      </w:r>
      <w:r>
        <w:rPr>
          <w:spacing w:val="18"/>
        </w:rPr>
        <w:t xml:space="preserve"> </w:t>
      </w:r>
      <w:r>
        <w:t>federal</w:t>
      </w:r>
      <w:r>
        <w:rPr>
          <w:spacing w:val="17"/>
        </w:rPr>
        <w:t xml:space="preserve"> </w:t>
      </w:r>
      <w:r>
        <w:t>government</w:t>
      </w:r>
      <w:r>
        <w:rPr>
          <w:spacing w:val="18"/>
        </w:rPr>
        <w:t xml:space="preserve"> </w:t>
      </w:r>
      <w:r>
        <w:t>has</w:t>
      </w:r>
      <w:r>
        <w:rPr>
          <w:spacing w:val="17"/>
        </w:rPr>
        <w:t xml:space="preserve"> </w:t>
      </w:r>
      <w:r>
        <w:t>outlined</w:t>
      </w:r>
      <w:r>
        <w:rPr>
          <w:spacing w:val="14"/>
        </w:rPr>
        <w:t xml:space="preserve"> </w:t>
      </w:r>
      <w:r>
        <w:t>opportunities within</w:t>
      </w:r>
      <w:r>
        <w:rPr>
          <w:spacing w:val="16"/>
        </w:rPr>
        <w:t xml:space="preserve"> </w:t>
      </w:r>
      <w:r>
        <w:t>the</w:t>
      </w:r>
      <w:r>
        <w:rPr>
          <w:spacing w:val="16"/>
        </w:rPr>
        <w:t xml:space="preserve"> </w:t>
      </w:r>
      <w:r>
        <w:t>CFSR</w:t>
      </w:r>
      <w:r>
        <w:rPr>
          <w:spacing w:val="17"/>
        </w:rPr>
        <w:t xml:space="preserve"> </w:t>
      </w:r>
      <w:r>
        <w:t>process</w:t>
      </w:r>
      <w:r>
        <w:rPr>
          <w:spacing w:val="15"/>
        </w:rPr>
        <w:t xml:space="preserve"> </w:t>
      </w:r>
      <w:r>
        <w:t>for</w:t>
      </w:r>
      <w:r>
        <w:rPr>
          <w:spacing w:val="17"/>
        </w:rPr>
        <w:t xml:space="preserve"> </w:t>
      </w:r>
      <w:r>
        <w:t>states</w:t>
      </w:r>
      <w:r>
        <w:rPr>
          <w:spacing w:val="17"/>
        </w:rPr>
        <w:t xml:space="preserve"> </w:t>
      </w:r>
      <w:r>
        <w:t>to</w:t>
      </w:r>
      <w:r>
        <w:rPr>
          <w:spacing w:val="16"/>
        </w:rPr>
        <w:t xml:space="preserve"> </w:t>
      </w:r>
      <w:r>
        <w:t>examine</w:t>
      </w:r>
      <w:r>
        <w:rPr>
          <w:spacing w:val="18"/>
        </w:rPr>
        <w:t xml:space="preserve"> </w:t>
      </w:r>
      <w:r>
        <w:t>and</w:t>
      </w:r>
    </w:p>
    <w:p w:rsidR="00200FDA" w:rsidRDefault="00200FDA">
      <w:pPr>
        <w:spacing w:line="278" w:lineRule="auto"/>
        <w:jc w:val="both"/>
        <w:sectPr w:rsidR="00200FDA">
          <w:pgSz w:w="12240" w:h="15840"/>
          <w:pgMar w:top="1260" w:right="1160" w:bottom="1260" w:left="1160" w:header="761" w:footer="1062" w:gutter="0"/>
          <w:cols w:space="720"/>
        </w:sectPr>
      </w:pPr>
    </w:p>
    <w:p w:rsidR="00200FDA" w:rsidRDefault="00F76C4C">
      <w:pPr>
        <w:pStyle w:val="BodyText"/>
        <w:spacing w:before="166" w:line="276" w:lineRule="auto"/>
        <w:ind w:left="280" w:right="275"/>
        <w:jc w:val="both"/>
      </w:pPr>
      <w:r>
        <w:lastRenderedPageBreak/>
        <w:t>advance equity and inclusion in the child welfare system, including attention to LGBTQ individuals.</w:t>
      </w:r>
      <w:hyperlink w:anchor="_bookmark871" w:history="1">
        <w:r>
          <w:rPr>
            <w:vertAlign w:val="superscript"/>
          </w:rPr>
          <w:t>xii</w:t>
        </w:r>
      </w:hyperlink>
      <w:r>
        <w:rPr>
          <w:spacing w:val="-2"/>
        </w:rPr>
        <w:t xml:space="preserve"> </w:t>
      </w:r>
      <w:r>
        <w:t>The Commission has not yet been offered an opportunity to formally participate in the CFSR, nor is it aware of targeted invitations to the state’s leading LGBTQ child welfare advocates. The Commission recommends that the OCA use its platform as an oversigh</w:t>
      </w:r>
      <w:r>
        <w:t>t agency and convener to ensure that the Commission and</w:t>
      </w:r>
      <w:r>
        <w:rPr>
          <w:spacing w:val="-3"/>
        </w:rPr>
        <w:t xml:space="preserve"> </w:t>
      </w:r>
      <w:r>
        <w:t>other</w:t>
      </w:r>
      <w:r>
        <w:rPr>
          <w:spacing w:val="-2"/>
        </w:rPr>
        <w:t xml:space="preserve"> </w:t>
      </w:r>
      <w:r>
        <w:t>LGBTQ child welfare experts</w:t>
      </w:r>
      <w:r>
        <w:rPr>
          <w:spacing w:val="-2"/>
        </w:rPr>
        <w:t xml:space="preserve"> </w:t>
      </w:r>
      <w:r>
        <w:t>are integrated into all</w:t>
      </w:r>
      <w:r>
        <w:rPr>
          <w:spacing w:val="-2"/>
        </w:rPr>
        <w:t xml:space="preserve"> </w:t>
      </w:r>
      <w:r>
        <w:t>remaining aspects</w:t>
      </w:r>
      <w:r>
        <w:rPr>
          <w:spacing w:val="-2"/>
        </w:rPr>
        <w:t xml:space="preserve"> </w:t>
      </w:r>
      <w:r>
        <w:t>of the CFSR process, including stakeholder interviews with state or federal interviewers and Performance Improvement Plan de</w:t>
      </w:r>
      <w:r>
        <w:t>sign and implementation.</w:t>
      </w:r>
    </w:p>
    <w:p w:rsidR="00200FDA" w:rsidRDefault="00200FDA">
      <w:pPr>
        <w:pStyle w:val="BodyText"/>
        <w:spacing w:before="8"/>
        <w:rPr>
          <w:sz w:val="32"/>
        </w:rPr>
      </w:pPr>
    </w:p>
    <w:p w:rsidR="00200FDA" w:rsidRDefault="00F76C4C">
      <w:pPr>
        <w:pStyle w:val="Heading9"/>
        <w:numPr>
          <w:ilvl w:val="0"/>
          <w:numId w:val="17"/>
        </w:numPr>
        <w:tabs>
          <w:tab w:val="left" w:pos="501"/>
        </w:tabs>
      </w:pPr>
      <w:r>
        <w:t>Ensure</w:t>
      </w:r>
      <w:r>
        <w:rPr>
          <w:spacing w:val="-9"/>
        </w:rPr>
        <w:t xml:space="preserve"> </w:t>
      </w:r>
      <w:r>
        <w:t>meaningful</w:t>
      </w:r>
      <w:r>
        <w:rPr>
          <w:spacing w:val="-5"/>
        </w:rPr>
        <w:t xml:space="preserve"> </w:t>
      </w:r>
      <w:r>
        <w:t>LGBTQ</w:t>
      </w:r>
      <w:r>
        <w:rPr>
          <w:spacing w:val="-4"/>
        </w:rPr>
        <w:t xml:space="preserve"> </w:t>
      </w:r>
      <w:r>
        <w:t>community</w:t>
      </w:r>
      <w:r>
        <w:rPr>
          <w:spacing w:val="-4"/>
        </w:rPr>
        <w:t xml:space="preserve"> </w:t>
      </w:r>
      <w:r>
        <w:t>participation</w:t>
      </w:r>
      <w:r>
        <w:rPr>
          <w:spacing w:val="-5"/>
        </w:rPr>
        <w:t xml:space="preserve"> </w:t>
      </w:r>
      <w:r>
        <w:t>and</w:t>
      </w:r>
      <w:r>
        <w:rPr>
          <w:spacing w:val="-5"/>
        </w:rPr>
        <w:t xml:space="preserve"> </w:t>
      </w:r>
      <w:r>
        <w:t>input</w:t>
      </w:r>
      <w:r>
        <w:rPr>
          <w:spacing w:val="-4"/>
        </w:rPr>
        <w:t xml:space="preserve"> </w:t>
      </w:r>
      <w:r>
        <w:t>in</w:t>
      </w:r>
      <w:r>
        <w:rPr>
          <w:spacing w:val="-4"/>
        </w:rPr>
        <w:t xml:space="preserve"> </w:t>
      </w:r>
      <w:r>
        <w:t>all</w:t>
      </w:r>
      <w:r>
        <w:rPr>
          <w:spacing w:val="-5"/>
        </w:rPr>
        <w:t xml:space="preserve"> </w:t>
      </w:r>
      <w:r>
        <w:t>projects</w:t>
      </w:r>
      <w:r>
        <w:rPr>
          <w:spacing w:val="-8"/>
        </w:rPr>
        <w:t xml:space="preserve"> </w:t>
      </w:r>
      <w:r>
        <w:t>and</w:t>
      </w:r>
      <w:r>
        <w:rPr>
          <w:spacing w:val="-4"/>
        </w:rPr>
        <w:t xml:space="preserve"> </w:t>
      </w:r>
      <w:r>
        <w:rPr>
          <w:spacing w:val="-2"/>
        </w:rPr>
        <w:t>initiatives.</w:t>
      </w:r>
    </w:p>
    <w:p w:rsidR="00200FDA" w:rsidRDefault="00200FDA">
      <w:pPr>
        <w:pStyle w:val="BodyText"/>
        <w:rPr>
          <w:b/>
        </w:rPr>
      </w:pPr>
    </w:p>
    <w:p w:rsidR="00200FDA" w:rsidRDefault="00F76C4C">
      <w:pPr>
        <w:pStyle w:val="BodyText"/>
        <w:spacing w:before="171" w:line="276" w:lineRule="auto"/>
        <w:ind w:left="279" w:right="272"/>
        <w:jc w:val="both"/>
      </w:pPr>
      <w:r>
        <w:t>The Commission</w:t>
      </w:r>
      <w:r>
        <w:rPr>
          <w:spacing w:val="-4"/>
        </w:rPr>
        <w:t xml:space="preserve"> </w:t>
      </w:r>
      <w:r>
        <w:t>and</w:t>
      </w:r>
      <w:r>
        <w:rPr>
          <w:spacing w:val="-2"/>
        </w:rPr>
        <w:t xml:space="preserve"> </w:t>
      </w:r>
      <w:r>
        <w:t>LGBTQ</w:t>
      </w:r>
      <w:r>
        <w:rPr>
          <w:spacing w:val="-1"/>
        </w:rPr>
        <w:t xml:space="preserve"> </w:t>
      </w:r>
      <w:r>
        <w:t>providers</w:t>
      </w:r>
      <w:r>
        <w:rPr>
          <w:spacing w:val="-3"/>
        </w:rPr>
        <w:t xml:space="preserve"> </w:t>
      </w:r>
      <w:r>
        <w:t>and</w:t>
      </w:r>
      <w:r>
        <w:rPr>
          <w:spacing w:val="-2"/>
        </w:rPr>
        <w:t xml:space="preserve"> </w:t>
      </w:r>
      <w:r>
        <w:t>advocates</w:t>
      </w:r>
      <w:r>
        <w:rPr>
          <w:spacing w:val="-6"/>
        </w:rPr>
        <w:t xml:space="preserve"> </w:t>
      </w:r>
      <w:r>
        <w:t>across</w:t>
      </w:r>
      <w:r>
        <w:rPr>
          <w:spacing w:val="-3"/>
        </w:rPr>
        <w:t xml:space="preserve"> </w:t>
      </w:r>
      <w:r>
        <w:t>the</w:t>
      </w:r>
      <w:r>
        <w:rPr>
          <w:spacing w:val="-3"/>
        </w:rPr>
        <w:t xml:space="preserve"> </w:t>
      </w:r>
      <w:r>
        <w:t>state have</w:t>
      </w:r>
      <w:r>
        <w:rPr>
          <w:spacing w:val="-3"/>
        </w:rPr>
        <w:t xml:space="preserve"> </w:t>
      </w:r>
      <w:r>
        <w:t>been</w:t>
      </w:r>
      <w:r>
        <w:rPr>
          <w:spacing w:val="-6"/>
        </w:rPr>
        <w:t xml:space="preserve"> </w:t>
      </w:r>
      <w:r>
        <w:t>working</w:t>
      </w:r>
      <w:r>
        <w:rPr>
          <w:spacing w:val="-4"/>
        </w:rPr>
        <w:t xml:space="preserve"> </w:t>
      </w:r>
      <w:r>
        <w:t>on</w:t>
      </w:r>
      <w:r>
        <w:rPr>
          <w:spacing w:val="-4"/>
        </w:rPr>
        <w:t xml:space="preserve"> </w:t>
      </w:r>
      <w:r>
        <w:t>many</w:t>
      </w:r>
      <w:r>
        <w:rPr>
          <w:spacing w:val="-2"/>
        </w:rPr>
        <w:t xml:space="preserve"> </w:t>
      </w:r>
      <w:r>
        <w:t>of</w:t>
      </w:r>
      <w:r>
        <w:rPr>
          <w:spacing w:val="-3"/>
        </w:rPr>
        <w:t xml:space="preserve"> </w:t>
      </w:r>
      <w:r>
        <w:t>the issues</w:t>
      </w:r>
      <w:r>
        <w:rPr>
          <w:spacing w:val="-2"/>
        </w:rPr>
        <w:t xml:space="preserve"> </w:t>
      </w:r>
      <w:r>
        <w:t>relevant</w:t>
      </w:r>
      <w:r>
        <w:rPr>
          <w:spacing w:val="-4"/>
        </w:rPr>
        <w:t xml:space="preserve"> </w:t>
      </w:r>
      <w:r>
        <w:t>to</w:t>
      </w:r>
      <w:r>
        <w:rPr>
          <w:spacing w:val="-3"/>
        </w:rPr>
        <w:t xml:space="preserve"> </w:t>
      </w:r>
      <w:r>
        <w:t>LGBTQ</w:t>
      </w:r>
      <w:r>
        <w:rPr>
          <w:spacing w:val="-4"/>
        </w:rPr>
        <w:t xml:space="preserve"> </w:t>
      </w:r>
      <w:r>
        <w:t>youth</w:t>
      </w:r>
      <w:r>
        <w:rPr>
          <w:spacing w:val="-3"/>
        </w:rPr>
        <w:t xml:space="preserve"> </w:t>
      </w:r>
      <w:r>
        <w:t>interacting</w:t>
      </w:r>
      <w:r>
        <w:rPr>
          <w:spacing w:val="-5"/>
        </w:rPr>
        <w:t xml:space="preserve"> </w:t>
      </w:r>
      <w:r>
        <w:t>with</w:t>
      </w:r>
      <w:r>
        <w:rPr>
          <w:spacing w:val="-5"/>
        </w:rPr>
        <w:t xml:space="preserve"> </w:t>
      </w:r>
      <w:r>
        <w:t>state</w:t>
      </w:r>
      <w:r>
        <w:rPr>
          <w:spacing w:val="-4"/>
        </w:rPr>
        <w:t xml:space="preserve"> </w:t>
      </w:r>
      <w:r>
        <w:t>systems</w:t>
      </w:r>
      <w:r>
        <w:rPr>
          <w:spacing w:val="-4"/>
        </w:rPr>
        <w:t xml:space="preserve"> </w:t>
      </w:r>
      <w:r>
        <w:t>for</w:t>
      </w:r>
      <w:r>
        <w:rPr>
          <w:spacing w:val="-2"/>
        </w:rPr>
        <w:t xml:space="preserve"> </w:t>
      </w:r>
      <w:r>
        <w:t>decades.</w:t>
      </w:r>
      <w:r>
        <w:rPr>
          <w:spacing w:val="-2"/>
        </w:rPr>
        <w:t xml:space="preserve"> </w:t>
      </w:r>
      <w:r>
        <w:t>For</w:t>
      </w:r>
      <w:r>
        <w:rPr>
          <w:spacing w:val="-4"/>
        </w:rPr>
        <w:t xml:space="preserve"> </w:t>
      </w:r>
      <w:r>
        <w:t>OCA</w:t>
      </w:r>
      <w:r>
        <w:rPr>
          <w:spacing w:val="-2"/>
        </w:rPr>
        <w:t xml:space="preserve"> </w:t>
      </w:r>
      <w:r>
        <w:t>to</w:t>
      </w:r>
      <w:r>
        <w:rPr>
          <w:spacing w:val="-1"/>
        </w:rPr>
        <w:t xml:space="preserve"> </w:t>
      </w:r>
      <w:r>
        <w:t>address</w:t>
      </w:r>
      <w:r>
        <w:rPr>
          <w:spacing w:val="-2"/>
        </w:rPr>
        <w:t xml:space="preserve"> </w:t>
      </w:r>
      <w:r>
        <w:t>the</w:t>
      </w:r>
      <w:r>
        <w:rPr>
          <w:spacing w:val="-1"/>
        </w:rPr>
        <w:t xml:space="preserve"> </w:t>
      </w:r>
      <w:r>
        <w:t>needs of</w:t>
      </w:r>
      <w:r>
        <w:rPr>
          <w:spacing w:val="-7"/>
        </w:rPr>
        <w:t xml:space="preserve"> </w:t>
      </w:r>
      <w:r>
        <w:t>this</w:t>
      </w:r>
      <w:r>
        <w:rPr>
          <w:spacing w:val="-4"/>
        </w:rPr>
        <w:t xml:space="preserve"> </w:t>
      </w:r>
      <w:r>
        <w:t>population</w:t>
      </w:r>
      <w:r>
        <w:rPr>
          <w:spacing w:val="-5"/>
        </w:rPr>
        <w:t xml:space="preserve"> </w:t>
      </w:r>
      <w:r>
        <w:t>in</w:t>
      </w:r>
      <w:r>
        <w:rPr>
          <w:spacing w:val="-7"/>
        </w:rPr>
        <w:t xml:space="preserve"> </w:t>
      </w:r>
      <w:r>
        <w:t>more</w:t>
      </w:r>
      <w:r>
        <w:rPr>
          <w:spacing w:val="-6"/>
        </w:rPr>
        <w:t xml:space="preserve"> </w:t>
      </w:r>
      <w:r>
        <w:t>than</w:t>
      </w:r>
      <w:r>
        <w:rPr>
          <w:spacing w:val="-5"/>
        </w:rPr>
        <w:t xml:space="preserve"> </w:t>
      </w:r>
      <w:r>
        <w:t>a</w:t>
      </w:r>
      <w:r>
        <w:rPr>
          <w:spacing w:val="-7"/>
        </w:rPr>
        <w:t xml:space="preserve"> </w:t>
      </w:r>
      <w:r>
        <w:t>tokenizing</w:t>
      </w:r>
      <w:r>
        <w:rPr>
          <w:spacing w:val="-7"/>
        </w:rPr>
        <w:t xml:space="preserve"> </w:t>
      </w:r>
      <w:r>
        <w:t>manner,</w:t>
      </w:r>
      <w:r>
        <w:rPr>
          <w:spacing w:val="-7"/>
        </w:rPr>
        <w:t xml:space="preserve"> </w:t>
      </w:r>
      <w:r>
        <w:t>it</w:t>
      </w:r>
      <w:r>
        <w:rPr>
          <w:spacing w:val="-6"/>
        </w:rPr>
        <w:t xml:space="preserve"> </w:t>
      </w:r>
      <w:r>
        <w:t>is</w:t>
      </w:r>
      <w:r>
        <w:rPr>
          <w:spacing w:val="-7"/>
        </w:rPr>
        <w:t xml:space="preserve"> </w:t>
      </w:r>
      <w:r>
        <w:t>critical</w:t>
      </w:r>
      <w:r>
        <w:rPr>
          <w:spacing w:val="-7"/>
        </w:rPr>
        <w:t xml:space="preserve"> </w:t>
      </w:r>
      <w:r>
        <w:t>that</w:t>
      </w:r>
      <w:r>
        <w:rPr>
          <w:spacing w:val="-6"/>
        </w:rPr>
        <w:t xml:space="preserve"> </w:t>
      </w:r>
      <w:r>
        <w:t>LGBTQ</w:t>
      </w:r>
      <w:r>
        <w:rPr>
          <w:spacing w:val="-6"/>
        </w:rPr>
        <w:t xml:space="preserve"> </w:t>
      </w:r>
      <w:r>
        <w:t>young</w:t>
      </w:r>
      <w:r>
        <w:rPr>
          <w:spacing w:val="-5"/>
        </w:rPr>
        <w:t xml:space="preserve"> </w:t>
      </w:r>
      <w:r>
        <w:t>people</w:t>
      </w:r>
      <w:r>
        <w:rPr>
          <w:spacing w:val="-4"/>
        </w:rPr>
        <w:t xml:space="preserve"> </w:t>
      </w:r>
      <w:r>
        <w:t>and</w:t>
      </w:r>
      <w:r>
        <w:rPr>
          <w:spacing w:val="-7"/>
        </w:rPr>
        <w:t xml:space="preserve"> </w:t>
      </w:r>
      <w:r>
        <w:t>their</w:t>
      </w:r>
      <w:r>
        <w:rPr>
          <w:spacing w:val="-7"/>
        </w:rPr>
        <w:t xml:space="preserve"> </w:t>
      </w:r>
      <w:r>
        <w:t>allies have opportunities to provide input into every OCA initiative. The Commiss</w:t>
      </w:r>
      <w:r>
        <w:t>ion recommends that OCA permit LGBTQ youth and those who work with them to provide input and public comment through a variety</w:t>
      </w:r>
      <w:r>
        <w:rPr>
          <w:spacing w:val="-5"/>
        </w:rPr>
        <w:t xml:space="preserve"> </w:t>
      </w:r>
      <w:r>
        <w:t>of</w:t>
      </w:r>
      <w:r>
        <w:rPr>
          <w:spacing w:val="-6"/>
        </w:rPr>
        <w:t xml:space="preserve"> </w:t>
      </w:r>
      <w:r>
        <w:t>channels</w:t>
      </w:r>
      <w:r>
        <w:rPr>
          <w:spacing w:val="-6"/>
        </w:rPr>
        <w:t xml:space="preserve"> </w:t>
      </w:r>
      <w:r>
        <w:t>-</w:t>
      </w:r>
      <w:r>
        <w:rPr>
          <w:spacing w:val="-6"/>
        </w:rPr>
        <w:t xml:space="preserve"> </w:t>
      </w:r>
      <w:r>
        <w:t>which</w:t>
      </w:r>
      <w:r>
        <w:rPr>
          <w:spacing w:val="-9"/>
        </w:rPr>
        <w:t xml:space="preserve"> </w:t>
      </w:r>
      <w:r>
        <w:t>could</w:t>
      </w:r>
      <w:r>
        <w:rPr>
          <w:spacing w:val="-4"/>
        </w:rPr>
        <w:t xml:space="preserve"> </w:t>
      </w:r>
      <w:r>
        <w:t>include</w:t>
      </w:r>
      <w:r>
        <w:rPr>
          <w:spacing w:val="-7"/>
        </w:rPr>
        <w:t xml:space="preserve"> </w:t>
      </w:r>
      <w:r>
        <w:t>written</w:t>
      </w:r>
      <w:r>
        <w:rPr>
          <w:spacing w:val="-4"/>
        </w:rPr>
        <w:t xml:space="preserve"> </w:t>
      </w:r>
      <w:r>
        <w:t>testimony,</w:t>
      </w:r>
      <w:r>
        <w:rPr>
          <w:spacing w:val="-6"/>
        </w:rPr>
        <w:t xml:space="preserve"> </w:t>
      </w:r>
      <w:r>
        <w:t>video,</w:t>
      </w:r>
      <w:r>
        <w:rPr>
          <w:spacing w:val="-8"/>
        </w:rPr>
        <w:t xml:space="preserve"> </w:t>
      </w:r>
      <w:r>
        <w:t>or</w:t>
      </w:r>
      <w:r>
        <w:rPr>
          <w:spacing w:val="-6"/>
        </w:rPr>
        <w:t xml:space="preserve"> </w:t>
      </w:r>
      <w:r>
        <w:t>other</w:t>
      </w:r>
      <w:r>
        <w:rPr>
          <w:spacing w:val="-3"/>
        </w:rPr>
        <w:t xml:space="preserve"> </w:t>
      </w:r>
      <w:r>
        <w:t>formats</w:t>
      </w:r>
      <w:r>
        <w:rPr>
          <w:spacing w:val="-6"/>
        </w:rPr>
        <w:t xml:space="preserve"> </w:t>
      </w:r>
      <w:r>
        <w:t>that</w:t>
      </w:r>
      <w:r>
        <w:rPr>
          <w:spacing w:val="-5"/>
        </w:rPr>
        <w:t xml:space="preserve"> </w:t>
      </w:r>
      <w:r>
        <w:t>are</w:t>
      </w:r>
      <w:r>
        <w:rPr>
          <w:spacing w:val="-5"/>
        </w:rPr>
        <w:t xml:space="preserve"> </w:t>
      </w:r>
      <w:r>
        <w:t>accessible</w:t>
      </w:r>
      <w:r>
        <w:rPr>
          <w:spacing w:val="-5"/>
        </w:rPr>
        <w:t xml:space="preserve"> </w:t>
      </w:r>
      <w:r>
        <w:t>to young people and that provide assurance that their thoughts will be accurately captured and conveyed. As</w:t>
      </w:r>
      <w:r>
        <w:rPr>
          <w:spacing w:val="-7"/>
        </w:rPr>
        <w:t xml:space="preserve"> </w:t>
      </w:r>
      <w:r>
        <w:t>part</w:t>
      </w:r>
      <w:r>
        <w:rPr>
          <w:spacing w:val="-6"/>
        </w:rPr>
        <w:t xml:space="preserve"> </w:t>
      </w:r>
      <w:r>
        <w:t>of</w:t>
      </w:r>
      <w:r>
        <w:rPr>
          <w:spacing w:val="-7"/>
        </w:rPr>
        <w:t xml:space="preserve"> </w:t>
      </w:r>
      <w:r>
        <w:t>this,</w:t>
      </w:r>
      <w:r>
        <w:rPr>
          <w:spacing w:val="-7"/>
        </w:rPr>
        <w:t xml:space="preserve"> </w:t>
      </w:r>
      <w:r>
        <w:t>OCA</w:t>
      </w:r>
      <w:r>
        <w:rPr>
          <w:spacing w:val="-7"/>
        </w:rPr>
        <w:t xml:space="preserve"> </w:t>
      </w:r>
      <w:r>
        <w:t>should</w:t>
      </w:r>
      <w:r>
        <w:rPr>
          <w:spacing w:val="-7"/>
        </w:rPr>
        <w:t xml:space="preserve"> </w:t>
      </w:r>
      <w:r>
        <w:t>seek</w:t>
      </w:r>
      <w:r>
        <w:rPr>
          <w:spacing w:val="-6"/>
        </w:rPr>
        <w:t xml:space="preserve"> </w:t>
      </w:r>
      <w:r>
        <w:t>expertise</w:t>
      </w:r>
      <w:r>
        <w:rPr>
          <w:spacing w:val="-6"/>
        </w:rPr>
        <w:t xml:space="preserve"> </w:t>
      </w:r>
      <w:r>
        <w:t>from</w:t>
      </w:r>
      <w:r>
        <w:rPr>
          <w:spacing w:val="-8"/>
        </w:rPr>
        <w:t xml:space="preserve"> </w:t>
      </w:r>
      <w:r>
        <w:t>LGBTQ</w:t>
      </w:r>
      <w:r>
        <w:rPr>
          <w:spacing w:val="-9"/>
        </w:rPr>
        <w:t xml:space="preserve"> </w:t>
      </w:r>
      <w:r>
        <w:t>community</w:t>
      </w:r>
      <w:r>
        <w:rPr>
          <w:spacing w:val="-6"/>
        </w:rPr>
        <w:t xml:space="preserve"> </w:t>
      </w:r>
      <w:r>
        <w:t>experts</w:t>
      </w:r>
      <w:r>
        <w:rPr>
          <w:spacing w:val="-7"/>
        </w:rPr>
        <w:t xml:space="preserve"> </w:t>
      </w:r>
      <w:r>
        <w:t>to</w:t>
      </w:r>
      <w:r>
        <w:rPr>
          <w:spacing w:val="-5"/>
        </w:rPr>
        <w:t xml:space="preserve"> </w:t>
      </w:r>
      <w:r>
        <w:t>ensure</w:t>
      </w:r>
      <w:r>
        <w:rPr>
          <w:spacing w:val="-6"/>
        </w:rPr>
        <w:t xml:space="preserve"> </w:t>
      </w:r>
      <w:r>
        <w:t>that</w:t>
      </w:r>
      <w:r>
        <w:rPr>
          <w:spacing w:val="-6"/>
        </w:rPr>
        <w:t xml:space="preserve"> </w:t>
      </w:r>
      <w:r>
        <w:t>the</w:t>
      </w:r>
      <w:r>
        <w:rPr>
          <w:spacing w:val="-6"/>
        </w:rPr>
        <w:t xml:space="preserve"> </w:t>
      </w:r>
      <w:r>
        <w:t>information used to inform important OCA initiatives and par</w:t>
      </w:r>
      <w:r>
        <w:t>tner projects - including the Center on Child Wellbeing and Trauma - incorporates intersectional research, data, and best practices that address the needs of LGBTQ youth and youth of color. As an example, the Commission notes that LGBTQ advocates and commu</w:t>
      </w:r>
      <w:r>
        <w:t>nity members may have valuable expertise to offer to DCF’s Family Support and Stabilization Services</w:t>
      </w:r>
      <w:r>
        <w:rPr>
          <w:spacing w:val="-1"/>
        </w:rPr>
        <w:t xml:space="preserve"> </w:t>
      </w:r>
      <w:r>
        <w:t>Redesign,</w:t>
      </w:r>
      <w:r>
        <w:rPr>
          <w:spacing w:val="-1"/>
        </w:rPr>
        <w:t xml:space="preserve"> </w:t>
      </w:r>
      <w:r>
        <w:t>for</w:t>
      </w:r>
      <w:r>
        <w:rPr>
          <w:spacing w:val="-1"/>
        </w:rPr>
        <w:t xml:space="preserve"> </w:t>
      </w:r>
      <w:r>
        <w:t>which</w:t>
      </w:r>
      <w:r>
        <w:rPr>
          <w:spacing w:val="-2"/>
        </w:rPr>
        <w:t xml:space="preserve"> </w:t>
      </w:r>
      <w:r>
        <w:t>OCA</w:t>
      </w:r>
      <w:r>
        <w:rPr>
          <w:spacing w:val="-1"/>
        </w:rPr>
        <w:t xml:space="preserve"> </w:t>
      </w:r>
      <w:r>
        <w:t>hosted</w:t>
      </w:r>
      <w:r>
        <w:rPr>
          <w:spacing w:val="-2"/>
        </w:rPr>
        <w:t xml:space="preserve"> </w:t>
      </w:r>
      <w:r>
        <w:t>a</w:t>
      </w:r>
      <w:r>
        <w:rPr>
          <w:spacing w:val="-1"/>
        </w:rPr>
        <w:t xml:space="preserve"> </w:t>
      </w:r>
      <w:r>
        <w:t>series</w:t>
      </w:r>
      <w:r>
        <w:rPr>
          <w:spacing w:val="-3"/>
        </w:rPr>
        <w:t xml:space="preserve"> </w:t>
      </w:r>
      <w:r>
        <w:t>of</w:t>
      </w:r>
      <w:r>
        <w:rPr>
          <w:spacing w:val="-1"/>
        </w:rPr>
        <w:t xml:space="preserve"> </w:t>
      </w:r>
      <w:r>
        <w:t>focus</w:t>
      </w:r>
      <w:r>
        <w:rPr>
          <w:spacing w:val="-1"/>
        </w:rPr>
        <w:t xml:space="preserve"> </w:t>
      </w:r>
      <w:r>
        <w:t>groups.</w:t>
      </w:r>
      <w:r>
        <w:rPr>
          <w:spacing w:val="-1"/>
        </w:rPr>
        <w:t xml:space="preserve"> </w:t>
      </w:r>
      <w:r>
        <w:t>Additionally,</w:t>
      </w:r>
      <w:r>
        <w:rPr>
          <w:spacing w:val="-3"/>
        </w:rPr>
        <w:t xml:space="preserve"> </w:t>
      </w:r>
      <w:r>
        <w:t>the Commission</w:t>
      </w:r>
      <w:r>
        <w:rPr>
          <w:spacing w:val="-2"/>
        </w:rPr>
        <w:t xml:space="preserve"> </w:t>
      </w:r>
      <w:r>
        <w:t>asks</w:t>
      </w:r>
      <w:r>
        <w:rPr>
          <w:spacing w:val="-1"/>
        </w:rPr>
        <w:t xml:space="preserve"> </w:t>
      </w:r>
      <w:r>
        <w:t>that a Commission member or Commission designee be formally incl</w:t>
      </w:r>
      <w:r>
        <w:t xml:space="preserve">uded in each task force or work group established by OCA and that it receive formal invitations to those where appointees are selected by the </w:t>
      </w:r>
      <w:r>
        <w:rPr>
          <w:spacing w:val="-2"/>
        </w:rPr>
        <w:t>Legislature.</w:t>
      </w:r>
    </w:p>
    <w:p w:rsidR="00200FDA" w:rsidRDefault="00200FDA">
      <w:pPr>
        <w:pStyle w:val="BodyText"/>
        <w:spacing w:before="10"/>
        <w:rPr>
          <w:sz w:val="32"/>
        </w:rPr>
      </w:pPr>
    </w:p>
    <w:p w:rsidR="00200FDA" w:rsidRDefault="00F76C4C">
      <w:pPr>
        <w:pStyle w:val="Heading9"/>
        <w:numPr>
          <w:ilvl w:val="0"/>
          <w:numId w:val="17"/>
        </w:numPr>
        <w:tabs>
          <w:tab w:val="left" w:pos="501"/>
        </w:tabs>
        <w:ind w:hanging="222"/>
      </w:pPr>
      <w:r>
        <w:t>Address</w:t>
      </w:r>
      <w:r>
        <w:rPr>
          <w:spacing w:val="-4"/>
        </w:rPr>
        <w:t xml:space="preserve"> </w:t>
      </w:r>
      <w:r>
        <w:t>the</w:t>
      </w:r>
      <w:r>
        <w:rPr>
          <w:spacing w:val="-4"/>
        </w:rPr>
        <w:t xml:space="preserve"> </w:t>
      </w:r>
      <w:r>
        <w:t>needs</w:t>
      </w:r>
      <w:r>
        <w:rPr>
          <w:spacing w:val="-4"/>
        </w:rPr>
        <w:t xml:space="preserve"> </w:t>
      </w:r>
      <w:r>
        <w:t>of</w:t>
      </w:r>
      <w:r>
        <w:rPr>
          <w:spacing w:val="-4"/>
        </w:rPr>
        <w:t xml:space="preserve"> </w:t>
      </w:r>
      <w:r>
        <w:t>LGBTQ</w:t>
      </w:r>
      <w:r>
        <w:rPr>
          <w:spacing w:val="-7"/>
        </w:rPr>
        <w:t xml:space="preserve"> </w:t>
      </w:r>
      <w:r>
        <w:t>transition-aged</w:t>
      </w:r>
      <w:r>
        <w:rPr>
          <w:spacing w:val="-7"/>
        </w:rPr>
        <w:t xml:space="preserve"> </w:t>
      </w:r>
      <w:r>
        <w:rPr>
          <w:spacing w:val="-2"/>
        </w:rPr>
        <w:t>youth.</w:t>
      </w:r>
    </w:p>
    <w:p w:rsidR="00200FDA" w:rsidRDefault="00200FDA">
      <w:pPr>
        <w:pStyle w:val="BodyText"/>
        <w:rPr>
          <w:b/>
        </w:rPr>
      </w:pPr>
    </w:p>
    <w:p w:rsidR="00200FDA" w:rsidRDefault="00F76C4C">
      <w:pPr>
        <w:pStyle w:val="BodyText"/>
        <w:spacing w:before="171" w:line="276" w:lineRule="auto"/>
        <w:ind w:left="279" w:right="274"/>
        <w:jc w:val="both"/>
      </w:pPr>
      <w:r>
        <w:t>As</w:t>
      </w:r>
      <w:r>
        <w:rPr>
          <w:spacing w:val="-12"/>
        </w:rPr>
        <w:t xml:space="preserve"> </w:t>
      </w:r>
      <w:r>
        <w:t>it</w:t>
      </w:r>
      <w:r>
        <w:rPr>
          <w:spacing w:val="-11"/>
        </w:rPr>
        <w:t xml:space="preserve"> </w:t>
      </w:r>
      <w:r>
        <w:t>did</w:t>
      </w:r>
      <w:r>
        <w:rPr>
          <w:spacing w:val="-12"/>
        </w:rPr>
        <w:t xml:space="preserve"> </w:t>
      </w:r>
      <w:r>
        <w:t>last</w:t>
      </w:r>
      <w:r>
        <w:rPr>
          <w:spacing w:val="-11"/>
        </w:rPr>
        <w:t xml:space="preserve"> </w:t>
      </w:r>
      <w:r>
        <w:t>year,</w:t>
      </w:r>
      <w:r>
        <w:rPr>
          <w:spacing w:val="-13"/>
        </w:rPr>
        <w:t xml:space="preserve"> </w:t>
      </w:r>
      <w:r>
        <w:t>the</w:t>
      </w:r>
      <w:r>
        <w:rPr>
          <w:spacing w:val="-10"/>
        </w:rPr>
        <w:t xml:space="preserve"> </w:t>
      </w:r>
      <w:r>
        <w:t>Commission</w:t>
      </w:r>
      <w:r>
        <w:rPr>
          <w:spacing w:val="-12"/>
        </w:rPr>
        <w:t xml:space="preserve"> </w:t>
      </w:r>
      <w:r>
        <w:t>urges</w:t>
      </w:r>
      <w:r>
        <w:rPr>
          <w:spacing w:val="-11"/>
        </w:rPr>
        <w:t xml:space="preserve"> </w:t>
      </w:r>
      <w:r>
        <w:t>that</w:t>
      </w:r>
      <w:r>
        <w:rPr>
          <w:spacing w:val="-11"/>
        </w:rPr>
        <w:t xml:space="preserve"> </w:t>
      </w:r>
      <w:r>
        <w:t>OCA</w:t>
      </w:r>
      <w:r>
        <w:rPr>
          <w:spacing w:val="-12"/>
        </w:rPr>
        <w:t xml:space="preserve"> </w:t>
      </w:r>
      <w:r>
        <w:t>incorporate</w:t>
      </w:r>
      <w:r>
        <w:rPr>
          <w:spacing w:val="-11"/>
        </w:rPr>
        <w:t xml:space="preserve"> </w:t>
      </w:r>
      <w:r>
        <w:t>specific</w:t>
      </w:r>
      <w:r>
        <w:rPr>
          <w:spacing w:val="-11"/>
        </w:rPr>
        <w:t xml:space="preserve"> </w:t>
      </w:r>
      <w:r>
        <w:t>challenges</w:t>
      </w:r>
      <w:r>
        <w:rPr>
          <w:spacing w:val="-11"/>
        </w:rPr>
        <w:t xml:space="preserve"> </w:t>
      </w:r>
      <w:r>
        <w:t>for</w:t>
      </w:r>
      <w:r>
        <w:rPr>
          <w:spacing w:val="-11"/>
        </w:rPr>
        <w:t xml:space="preserve"> </w:t>
      </w:r>
      <w:r>
        <w:t>LGBTQ</w:t>
      </w:r>
      <w:r>
        <w:rPr>
          <w:spacing w:val="-13"/>
        </w:rPr>
        <w:t xml:space="preserve"> </w:t>
      </w:r>
      <w:r>
        <w:t>young</w:t>
      </w:r>
      <w:r>
        <w:rPr>
          <w:spacing w:val="-11"/>
        </w:rPr>
        <w:t xml:space="preserve"> </w:t>
      </w:r>
      <w:r>
        <w:t>people into its work on transition-aged youth. The Commission has identified numerous barriers that LGBTQ young adults face - including identity documents with incorrect name and gender marker information</w:t>
      </w:r>
      <w:r>
        <w:t>, barriers to employment, and a shortage of LGBTQ-affirming housing resources - and would be eager to work with OCA to ensure state efforts address these issues. Attention to issues facing transition-aged LGBTQ youth should include work related to the Tran</w:t>
      </w:r>
      <w:r>
        <w:t>sition Age Youth Housing Pilot. While the Commission</w:t>
      </w:r>
      <w:r>
        <w:rPr>
          <w:spacing w:val="-10"/>
        </w:rPr>
        <w:t xml:space="preserve"> </w:t>
      </w:r>
      <w:r>
        <w:t>is</w:t>
      </w:r>
      <w:r>
        <w:rPr>
          <w:spacing w:val="-9"/>
        </w:rPr>
        <w:t xml:space="preserve"> </w:t>
      </w:r>
      <w:r>
        <w:t>aware</w:t>
      </w:r>
      <w:r>
        <w:rPr>
          <w:spacing w:val="-11"/>
        </w:rPr>
        <w:t xml:space="preserve"> </w:t>
      </w:r>
      <w:r>
        <w:t>that</w:t>
      </w:r>
      <w:r>
        <w:rPr>
          <w:spacing w:val="-11"/>
        </w:rPr>
        <w:t xml:space="preserve"> </w:t>
      </w:r>
      <w:r>
        <w:t>the</w:t>
      </w:r>
      <w:r>
        <w:rPr>
          <w:spacing w:val="-8"/>
        </w:rPr>
        <w:t xml:space="preserve"> </w:t>
      </w:r>
      <w:r>
        <w:t>Pilot</w:t>
      </w:r>
      <w:r>
        <w:rPr>
          <w:spacing w:val="-11"/>
        </w:rPr>
        <w:t xml:space="preserve"> </w:t>
      </w:r>
      <w:r>
        <w:t>has</w:t>
      </w:r>
      <w:r>
        <w:rPr>
          <w:spacing w:val="-9"/>
        </w:rPr>
        <w:t xml:space="preserve"> </w:t>
      </w:r>
      <w:r>
        <w:t>reported</w:t>
      </w:r>
      <w:r>
        <w:rPr>
          <w:spacing w:val="-10"/>
        </w:rPr>
        <w:t xml:space="preserve"> </w:t>
      </w:r>
      <w:r>
        <w:t>data</w:t>
      </w:r>
      <w:r>
        <w:rPr>
          <w:spacing w:val="-13"/>
        </w:rPr>
        <w:t xml:space="preserve"> </w:t>
      </w:r>
      <w:r>
        <w:t>on</w:t>
      </w:r>
      <w:r>
        <w:rPr>
          <w:spacing w:val="-9"/>
        </w:rPr>
        <w:t xml:space="preserve"> </w:t>
      </w:r>
      <w:r>
        <w:t>how</w:t>
      </w:r>
      <w:r>
        <w:rPr>
          <w:spacing w:val="-11"/>
        </w:rPr>
        <w:t xml:space="preserve"> </w:t>
      </w:r>
      <w:r>
        <w:t>the</w:t>
      </w:r>
      <w:r>
        <w:rPr>
          <w:spacing w:val="-11"/>
        </w:rPr>
        <w:t xml:space="preserve"> </w:t>
      </w:r>
      <w:r>
        <w:t>percentage</w:t>
      </w:r>
      <w:r>
        <w:rPr>
          <w:spacing w:val="-11"/>
        </w:rPr>
        <w:t xml:space="preserve"> </w:t>
      </w:r>
      <w:r>
        <w:t>of</w:t>
      </w:r>
      <w:r>
        <w:rPr>
          <w:spacing w:val="-12"/>
        </w:rPr>
        <w:t xml:space="preserve"> </w:t>
      </w:r>
      <w:r>
        <w:t>program</w:t>
      </w:r>
      <w:r>
        <w:rPr>
          <w:spacing w:val="-10"/>
        </w:rPr>
        <w:t xml:space="preserve"> </w:t>
      </w:r>
      <w:r>
        <w:t>participants</w:t>
      </w:r>
      <w:r>
        <w:rPr>
          <w:spacing w:val="-11"/>
        </w:rPr>
        <w:t xml:space="preserve"> </w:t>
      </w:r>
      <w:r>
        <w:t>who identify</w:t>
      </w:r>
      <w:r>
        <w:rPr>
          <w:spacing w:val="-4"/>
        </w:rPr>
        <w:t xml:space="preserve"> </w:t>
      </w:r>
      <w:r>
        <w:t>as</w:t>
      </w:r>
      <w:r>
        <w:rPr>
          <w:spacing w:val="-4"/>
        </w:rPr>
        <w:t xml:space="preserve"> </w:t>
      </w:r>
      <w:r>
        <w:t>LGBTQ,</w:t>
      </w:r>
      <w:r>
        <w:rPr>
          <w:spacing w:val="-4"/>
        </w:rPr>
        <w:t xml:space="preserve"> </w:t>
      </w:r>
      <w:r>
        <w:t>future</w:t>
      </w:r>
      <w:r>
        <w:rPr>
          <w:spacing w:val="-4"/>
        </w:rPr>
        <w:t xml:space="preserve"> </w:t>
      </w:r>
      <w:r>
        <w:t>work</w:t>
      </w:r>
      <w:r>
        <w:rPr>
          <w:spacing w:val="-4"/>
        </w:rPr>
        <w:t xml:space="preserve"> </w:t>
      </w:r>
      <w:r>
        <w:t>as</w:t>
      </w:r>
      <w:r>
        <w:rPr>
          <w:spacing w:val="-4"/>
        </w:rPr>
        <w:t xml:space="preserve"> </w:t>
      </w:r>
      <w:r>
        <w:t>part</w:t>
      </w:r>
      <w:r>
        <w:rPr>
          <w:spacing w:val="-4"/>
        </w:rPr>
        <w:t xml:space="preserve"> </w:t>
      </w:r>
      <w:r>
        <w:t>of</w:t>
      </w:r>
      <w:r>
        <w:rPr>
          <w:spacing w:val="-6"/>
        </w:rPr>
        <w:t xml:space="preserve"> </w:t>
      </w:r>
      <w:r>
        <w:t>the</w:t>
      </w:r>
      <w:r>
        <w:rPr>
          <w:spacing w:val="-1"/>
        </w:rPr>
        <w:t xml:space="preserve"> </w:t>
      </w:r>
      <w:r>
        <w:t>pilot</w:t>
      </w:r>
      <w:r>
        <w:rPr>
          <w:spacing w:val="-4"/>
        </w:rPr>
        <w:t xml:space="preserve"> </w:t>
      </w:r>
      <w:r>
        <w:t>should</w:t>
      </w:r>
      <w:r>
        <w:rPr>
          <w:spacing w:val="-3"/>
        </w:rPr>
        <w:t xml:space="preserve"> </w:t>
      </w:r>
      <w:r>
        <w:t>also</w:t>
      </w:r>
      <w:r>
        <w:rPr>
          <w:spacing w:val="-3"/>
        </w:rPr>
        <w:t xml:space="preserve"> </w:t>
      </w:r>
      <w:r>
        <w:t>address</w:t>
      </w:r>
      <w:r>
        <w:rPr>
          <w:spacing w:val="-6"/>
        </w:rPr>
        <w:t xml:space="preserve"> </w:t>
      </w:r>
      <w:r>
        <w:t>the</w:t>
      </w:r>
      <w:r>
        <w:rPr>
          <w:spacing w:val="-4"/>
        </w:rPr>
        <w:t xml:space="preserve"> </w:t>
      </w:r>
      <w:r>
        <w:t>specific</w:t>
      </w:r>
      <w:r>
        <w:rPr>
          <w:spacing w:val="-2"/>
        </w:rPr>
        <w:t xml:space="preserve"> </w:t>
      </w:r>
      <w:r>
        <w:t>needs</w:t>
      </w:r>
      <w:r>
        <w:rPr>
          <w:spacing w:val="-4"/>
        </w:rPr>
        <w:t xml:space="preserve"> </w:t>
      </w:r>
      <w:r>
        <w:t>of</w:t>
      </w:r>
      <w:r>
        <w:rPr>
          <w:spacing w:val="-4"/>
        </w:rPr>
        <w:t xml:space="preserve"> </w:t>
      </w:r>
      <w:r>
        <w:t>LGBTQ</w:t>
      </w:r>
      <w:r>
        <w:rPr>
          <w:spacing w:val="-4"/>
        </w:rPr>
        <w:t xml:space="preserve"> </w:t>
      </w:r>
      <w:r>
        <w:t>young adults and how the pilot program or other resources can meet those needs.</w:t>
      </w:r>
      <w:r>
        <w:rPr>
          <w:spacing w:val="-4"/>
        </w:rPr>
        <w:t xml:space="preserve"> </w:t>
      </w:r>
      <w:hyperlink w:anchor="_bookmark872" w:history="1">
        <w:r>
          <w:rPr>
            <w:vertAlign w:val="superscript"/>
          </w:rPr>
          <w:t>xiii</w:t>
        </w:r>
      </w:hyperlink>
      <w:r>
        <w:t xml:space="preserve"> Additionally, the Commission urges OCA to work with other agencies - particularly DCF and DYS - to reduce the gaps in services</w:t>
      </w:r>
      <w:r>
        <w:rPr>
          <w:spacing w:val="24"/>
        </w:rPr>
        <w:t xml:space="preserve"> </w:t>
      </w:r>
      <w:r>
        <w:t>impacting</w:t>
      </w:r>
      <w:r>
        <w:rPr>
          <w:spacing w:val="23"/>
        </w:rPr>
        <w:t xml:space="preserve"> </w:t>
      </w:r>
      <w:r>
        <w:t>yo</w:t>
      </w:r>
      <w:r>
        <w:t>ung</w:t>
      </w:r>
      <w:r>
        <w:rPr>
          <w:spacing w:val="23"/>
        </w:rPr>
        <w:t xml:space="preserve"> </w:t>
      </w:r>
      <w:r>
        <w:t>people</w:t>
      </w:r>
      <w:r>
        <w:rPr>
          <w:spacing w:val="24"/>
        </w:rPr>
        <w:t xml:space="preserve"> </w:t>
      </w:r>
      <w:r>
        <w:t>who</w:t>
      </w:r>
      <w:r>
        <w:rPr>
          <w:spacing w:val="27"/>
        </w:rPr>
        <w:t xml:space="preserve"> </w:t>
      </w:r>
      <w:r>
        <w:t>are</w:t>
      </w:r>
      <w:r>
        <w:rPr>
          <w:spacing w:val="24"/>
        </w:rPr>
        <w:t xml:space="preserve"> </w:t>
      </w:r>
      <w:r>
        <w:t>dually</w:t>
      </w:r>
      <w:r>
        <w:rPr>
          <w:spacing w:val="27"/>
        </w:rPr>
        <w:t xml:space="preserve"> </w:t>
      </w:r>
      <w:r>
        <w:t>involved</w:t>
      </w:r>
      <w:r>
        <w:rPr>
          <w:spacing w:val="23"/>
        </w:rPr>
        <w:t xml:space="preserve"> </w:t>
      </w:r>
      <w:r>
        <w:t>with</w:t>
      </w:r>
      <w:r>
        <w:rPr>
          <w:spacing w:val="25"/>
        </w:rPr>
        <w:t xml:space="preserve"> </w:t>
      </w:r>
      <w:r>
        <w:t>both</w:t>
      </w:r>
      <w:r>
        <w:rPr>
          <w:spacing w:val="23"/>
        </w:rPr>
        <w:t xml:space="preserve"> </w:t>
      </w:r>
      <w:r>
        <w:t>child</w:t>
      </w:r>
      <w:r>
        <w:rPr>
          <w:spacing w:val="23"/>
        </w:rPr>
        <w:t xml:space="preserve"> </w:t>
      </w:r>
      <w:r>
        <w:t>welfare</w:t>
      </w:r>
      <w:r>
        <w:rPr>
          <w:spacing w:val="27"/>
        </w:rPr>
        <w:t xml:space="preserve"> </w:t>
      </w:r>
      <w:r>
        <w:t>and</w:t>
      </w:r>
      <w:r>
        <w:rPr>
          <w:spacing w:val="23"/>
        </w:rPr>
        <w:t xml:space="preserve"> </w:t>
      </w:r>
      <w:r>
        <w:t>juvenile</w:t>
      </w:r>
      <w:r>
        <w:rPr>
          <w:spacing w:val="27"/>
        </w:rPr>
        <w:t xml:space="preserve"> </w:t>
      </w:r>
      <w:r>
        <w:t>justice</w:t>
      </w:r>
    </w:p>
    <w:p w:rsidR="00200FDA" w:rsidRDefault="00200FDA">
      <w:pPr>
        <w:spacing w:line="276" w:lineRule="auto"/>
        <w:jc w:val="both"/>
        <w:sectPr w:rsidR="00200FDA">
          <w:pgSz w:w="12240" w:h="15840"/>
          <w:pgMar w:top="1260" w:right="1160" w:bottom="1260" w:left="1160" w:header="761" w:footer="1062" w:gutter="0"/>
          <w:cols w:space="720"/>
        </w:sectPr>
      </w:pPr>
    </w:p>
    <w:p w:rsidR="00200FDA" w:rsidRDefault="00200FDA">
      <w:pPr>
        <w:pStyle w:val="BodyText"/>
        <w:rPr>
          <w:sz w:val="9"/>
        </w:rPr>
      </w:pPr>
    </w:p>
    <w:p w:rsidR="00200FDA" w:rsidRDefault="00F76C4C">
      <w:pPr>
        <w:pStyle w:val="BodyText"/>
        <w:spacing w:before="56" w:line="276" w:lineRule="auto"/>
        <w:ind w:left="279" w:right="278"/>
        <w:jc w:val="both"/>
      </w:pPr>
      <w:r>
        <w:t>agencies. A</w:t>
      </w:r>
      <w:r>
        <w:rPr>
          <w:spacing w:val="-2"/>
        </w:rPr>
        <w:t xml:space="preserve"> </w:t>
      </w:r>
      <w:r>
        <w:t>key</w:t>
      </w:r>
      <w:r>
        <w:rPr>
          <w:spacing w:val="-1"/>
        </w:rPr>
        <w:t xml:space="preserve"> </w:t>
      </w:r>
      <w:r>
        <w:t>element</w:t>
      </w:r>
      <w:r>
        <w:rPr>
          <w:spacing w:val="-1"/>
        </w:rPr>
        <w:t xml:space="preserve"> </w:t>
      </w:r>
      <w:r>
        <w:t>of</w:t>
      </w:r>
      <w:r>
        <w:rPr>
          <w:spacing w:val="-4"/>
        </w:rPr>
        <w:t xml:space="preserve"> </w:t>
      </w:r>
      <w:r>
        <w:t>this work</w:t>
      </w:r>
      <w:r>
        <w:rPr>
          <w:spacing w:val="-1"/>
        </w:rPr>
        <w:t xml:space="preserve"> </w:t>
      </w:r>
      <w:r>
        <w:t>should include</w:t>
      </w:r>
      <w:r>
        <w:rPr>
          <w:spacing w:val="-4"/>
        </w:rPr>
        <w:t xml:space="preserve"> </w:t>
      </w:r>
      <w:r>
        <w:t>making low-barrier support</w:t>
      </w:r>
      <w:r>
        <w:rPr>
          <w:spacing w:val="-1"/>
        </w:rPr>
        <w:t xml:space="preserve"> </w:t>
      </w:r>
      <w:r>
        <w:t>services available</w:t>
      </w:r>
      <w:r>
        <w:rPr>
          <w:spacing w:val="-2"/>
        </w:rPr>
        <w:t xml:space="preserve"> </w:t>
      </w:r>
      <w:r>
        <w:t>across agencies to the young people who need them.</w:t>
      </w:r>
    </w:p>
    <w:p w:rsidR="00200FDA" w:rsidRDefault="00200FDA">
      <w:pPr>
        <w:pStyle w:val="BodyText"/>
        <w:spacing w:before="7"/>
        <w:rPr>
          <w:sz w:val="32"/>
        </w:rPr>
      </w:pPr>
    </w:p>
    <w:p w:rsidR="00200FDA" w:rsidRDefault="00F76C4C">
      <w:pPr>
        <w:pStyle w:val="Heading9"/>
        <w:numPr>
          <w:ilvl w:val="0"/>
          <w:numId w:val="17"/>
        </w:numPr>
        <w:tabs>
          <w:tab w:val="left" w:pos="520"/>
        </w:tabs>
        <w:spacing w:line="278" w:lineRule="auto"/>
        <w:ind w:left="279" w:right="272" w:firstLine="0"/>
      </w:pPr>
      <w:r>
        <w:t xml:space="preserve">Request and report on sexual orientation and gender identity (SOGI) data, including child welfare </w:t>
      </w:r>
      <w:r>
        <w:rPr>
          <w:spacing w:val="-2"/>
        </w:rPr>
        <w:t>data.</w:t>
      </w:r>
    </w:p>
    <w:p w:rsidR="00200FDA" w:rsidRDefault="00200FDA">
      <w:pPr>
        <w:pStyle w:val="BodyText"/>
        <w:spacing w:before="4"/>
        <w:rPr>
          <w:b/>
          <w:sz w:val="32"/>
        </w:rPr>
      </w:pPr>
    </w:p>
    <w:p w:rsidR="00200FDA" w:rsidRDefault="00F76C4C">
      <w:pPr>
        <w:pStyle w:val="BodyText"/>
        <w:spacing w:line="276" w:lineRule="auto"/>
        <w:ind w:left="279" w:right="273"/>
        <w:jc w:val="both"/>
      </w:pPr>
      <w:r>
        <w:t>The Commission has worked with a number of child-serving agencies, including DCF, to improve data collection</w:t>
      </w:r>
      <w:r>
        <w:rPr>
          <w:spacing w:val="-3"/>
        </w:rPr>
        <w:t xml:space="preserve"> </w:t>
      </w:r>
      <w:r>
        <w:t>and reporting</w:t>
      </w:r>
      <w:r>
        <w:rPr>
          <w:spacing w:val="-3"/>
        </w:rPr>
        <w:t xml:space="preserve"> </w:t>
      </w:r>
      <w:r>
        <w:t>related</w:t>
      </w:r>
      <w:r>
        <w:rPr>
          <w:spacing w:val="-3"/>
        </w:rPr>
        <w:t xml:space="preserve"> </w:t>
      </w:r>
      <w:r>
        <w:t>to</w:t>
      </w:r>
      <w:r>
        <w:rPr>
          <w:spacing w:val="-1"/>
        </w:rPr>
        <w:t xml:space="preserve"> </w:t>
      </w:r>
      <w:r>
        <w:t>sexual</w:t>
      </w:r>
      <w:r>
        <w:rPr>
          <w:spacing w:val="-2"/>
        </w:rPr>
        <w:t xml:space="preserve"> </w:t>
      </w:r>
      <w:r>
        <w:t>orientatio</w:t>
      </w:r>
      <w:r>
        <w:t>n</w:t>
      </w:r>
      <w:r>
        <w:rPr>
          <w:spacing w:val="-5"/>
        </w:rPr>
        <w:t xml:space="preserve"> </w:t>
      </w:r>
      <w:r>
        <w:t>and gender identity.</w:t>
      </w:r>
      <w:r>
        <w:rPr>
          <w:spacing w:val="-2"/>
        </w:rPr>
        <w:t xml:space="preserve"> </w:t>
      </w:r>
      <w:r>
        <w:t>The</w:t>
      </w:r>
      <w:r>
        <w:rPr>
          <w:spacing w:val="-1"/>
        </w:rPr>
        <w:t xml:space="preserve"> </w:t>
      </w:r>
      <w:r>
        <w:t>Commission</w:t>
      </w:r>
      <w:r>
        <w:rPr>
          <w:spacing w:val="-3"/>
        </w:rPr>
        <w:t xml:space="preserve"> </w:t>
      </w:r>
      <w:r>
        <w:t>recommends that OCA build on and reinforce that work by including SOGI data along with data on race,</w:t>
      </w:r>
      <w:r>
        <w:rPr>
          <w:spacing w:val="-1"/>
        </w:rPr>
        <w:t xml:space="preserve"> </w:t>
      </w:r>
      <w:r>
        <w:t>ethnicity, and disability status in its own data collection and reporting. This should include reporting an intersect</w:t>
      </w:r>
      <w:r>
        <w:t>ional data analysis in its next annual report or in a stand-alone document (combining multiple years of data if necessary</w:t>
      </w:r>
      <w:r>
        <w:rPr>
          <w:spacing w:val="-3"/>
        </w:rPr>
        <w:t xml:space="preserve"> </w:t>
      </w:r>
      <w:r>
        <w:t>to</w:t>
      </w:r>
      <w:r>
        <w:rPr>
          <w:spacing w:val="-3"/>
        </w:rPr>
        <w:t xml:space="preserve"> </w:t>
      </w:r>
      <w:r>
        <w:t>ensure</w:t>
      </w:r>
      <w:r>
        <w:rPr>
          <w:spacing w:val="-4"/>
        </w:rPr>
        <w:t xml:space="preserve"> </w:t>
      </w:r>
      <w:r>
        <w:t>a</w:t>
      </w:r>
      <w:r>
        <w:rPr>
          <w:spacing w:val="-4"/>
        </w:rPr>
        <w:t xml:space="preserve"> </w:t>
      </w:r>
      <w:r>
        <w:t>sufficient</w:t>
      </w:r>
      <w:r>
        <w:rPr>
          <w:spacing w:val="-4"/>
        </w:rPr>
        <w:t xml:space="preserve"> </w:t>
      </w:r>
      <w:r>
        <w:t>sample</w:t>
      </w:r>
      <w:r>
        <w:rPr>
          <w:spacing w:val="-4"/>
        </w:rPr>
        <w:t xml:space="preserve"> </w:t>
      </w:r>
      <w:r>
        <w:t>size),</w:t>
      </w:r>
      <w:r>
        <w:rPr>
          <w:spacing w:val="-4"/>
        </w:rPr>
        <w:t xml:space="preserve"> </w:t>
      </w:r>
      <w:r>
        <w:t>to</w:t>
      </w:r>
      <w:r>
        <w:rPr>
          <w:spacing w:val="-3"/>
        </w:rPr>
        <w:t xml:space="preserve"> </w:t>
      </w:r>
      <w:r>
        <w:t>shine</w:t>
      </w:r>
      <w:r>
        <w:rPr>
          <w:spacing w:val="-5"/>
        </w:rPr>
        <w:t xml:space="preserve"> </w:t>
      </w:r>
      <w:r>
        <w:t>additional</w:t>
      </w:r>
      <w:r>
        <w:rPr>
          <w:spacing w:val="-4"/>
        </w:rPr>
        <w:t xml:space="preserve"> </w:t>
      </w:r>
      <w:r>
        <w:t>light</w:t>
      </w:r>
      <w:r>
        <w:rPr>
          <w:spacing w:val="-4"/>
        </w:rPr>
        <w:t xml:space="preserve"> </w:t>
      </w:r>
      <w:r>
        <w:t>on</w:t>
      </w:r>
      <w:r>
        <w:rPr>
          <w:spacing w:val="-4"/>
        </w:rPr>
        <w:t xml:space="preserve"> </w:t>
      </w:r>
      <w:r>
        <w:t>the</w:t>
      </w:r>
      <w:r>
        <w:rPr>
          <w:spacing w:val="-4"/>
        </w:rPr>
        <w:t xml:space="preserve"> </w:t>
      </w:r>
      <w:r>
        <w:t>experiences</w:t>
      </w:r>
      <w:r>
        <w:rPr>
          <w:spacing w:val="-4"/>
        </w:rPr>
        <w:t xml:space="preserve"> </w:t>
      </w:r>
      <w:r>
        <w:t>of</w:t>
      </w:r>
      <w:r>
        <w:rPr>
          <w:spacing w:val="-6"/>
        </w:rPr>
        <w:t xml:space="preserve"> </w:t>
      </w:r>
      <w:r>
        <w:t>LGBTQ</w:t>
      </w:r>
      <w:r>
        <w:rPr>
          <w:spacing w:val="-4"/>
        </w:rPr>
        <w:t xml:space="preserve"> </w:t>
      </w:r>
      <w:r>
        <w:t>youth of</w:t>
      </w:r>
      <w:r>
        <w:rPr>
          <w:spacing w:val="-13"/>
        </w:rPr>
        <w:t xml:space="preserve"> </w:t>
      </w:r>
      <w:r>
        <w:t>color</w:t>
      </w:r>
      <w:r>
        <w:rPr>
          <w:spacing w:val="-12"/>
        </w:rPr>
        <w:t xml:space="preserve"> </w:t>
      </w:r>
      <w:r>
        <w:t>and</w:t>
      </w:r>
      <w:r>
        <w:rPr>
          <w:spacing w:val="-13"/>
        </w:rPr>
        <w:t xml:space="preserve"> </w:t>
      </w:r>
      <w:r>
        <w:t>LGBTQ</w:t>
      </w:r>
      <w:r>
        <w:rPr>
          <w:spacing w:val="-11"/>
        </w:rPr>
        <w:t xml:space="preserve"> </w:t>
      </w:r>
      <w:r>
        <w:t>youth</w:t>
      </w:r>
      <w:r>
        <w:rPr>
          <w:spacing w:val="-12"/>
        </w:rPr>
        <w:t xml:space="preserve"> </w:t>
      </w:r>
      <w:r>
        <w:t>with</w:t>
      </w:r>
      <w:r>
        <w:rPr>
          <w:spacing w:val="-11"/>
        </w:rPr>
        <w:t xml:space="preserve"> </w:t>
      </w:r>
      <w:r>
        <w:t>disabil</w:t>
      </w:r>
      <w:r>
        <w:t>ities.</w:t>
      </w:r>
      <w:r>
        <w:rPr>
          <w:spacing w:val="-13"/>
        </w:rPr>
        <w:t xml:space="preserve"> </w:t>
      </w:r>
      <w:r>
        <w:t>The</w:t>
      </w:r>
      <w:r>
        <w:rPr>
          <w:spacing w:val="-10"/>
        </w:rPr>
        <w:t xml:space="preserve"> </w:t>
      </w:r>
      <w:r>
        <w:t>Commission</w:t>
      </w:r>
      <w:r>
        <w:rPr>
          <w:spacing w:val="-12"/>
        </w:rPr>
        <w:t xml:space="preserve"> </w:t>
      </w:r>
      <w:r>
        <w:t>appreciates</w:t>
      </w:r>
      <w:r>
        <w:rPr>
          <w:spacing w:val="-13"/>
        </w:rPr>
        <w:t xml:space="preserve"> </w:t>
      </w:r>
      <w:r>
        <w:t>that</w:t>
      </w:r>
      <w:r>
        <w:rPr>
          <w:spacing w:val="-10"/>
        </w:rPr>
        <w:t xml:space="preserve"> </w:t>
      </w:r>
      <w:r>
        <w:t>OCA</w:t>
      </w:r>
      <w:r>
        <w:rPr>
          <w:spacing w:val="-13"/>
        </w:rPr>
        <w:t xml:space="preserve"> </w:t>
      </w:r>
      <w:r>
        <w:t>included</w:t>
      </w:r>
      <w:r>
        <w:rPr>
          <w:spacing w:val="-11"/>
        </w:rPr>
        <w:t xml:space="preserve"> </w:t>
      </w:r>
      <w:r>
        <w:t>the</w:t>
      </w:r>
      <w:r>
        <w:rPr>
          <w:spacing w:val="-11"/>
        </w:rPr>
        <w:t xml:space="preserve"> </w:t>
      </w:r>
      <w:r>
        <w:t>percentage of youth involved in critical incidents who were transgender or gender nonconforming in its FY 2022 annual report (although the Commission notes that those data should be regarded as preliminary, while DCF continues to implement new data collect</w:t>
      </w:r>
      <w:r>
        <w:t>ion procedures).</w:t>
      </w:r>
      <w:hyperlink w:anchor="_bookmark873" w:history="1">
        <w:r>
          <w:rPr>
            <w:vertAlign w:val="superscript"/>
          </w:rPr>
          <w:t>xiv</w:t>
        </w:r>
      </w:hyperlink>
    </w:p>
    <w:p w:rsidR="00200FDA" w:rsidRDefault="00200FDA">
      <w:pPr>
        <w:pStyle w:val="BodyText"/>
        <w:spacing w:before="10"/>
        <w:rPr>
          <w:sz w:val="32"/>
        </w:rPr>
      </w:pPr>
    </w:p>
    <w:p w:rsidR="00200FDA" w:rsidRDefault="00F76C4C">
      <w:pPr>
        <w:pStyle w:val="BodyText"/>
        <w:spacing w:line="276" w:lineRule="auto"/>
        <w:ind w:left="279" w:right="272"/>
        <w:jc w:val="both"/>
      </w:pPr>
      <w:r>
        <w:t>The Commission recommends that in the future, OCA also report on the sexual orientation of youth involved in critical incidents. The Commission further recommends that OCA request and provide SOGI inform</w:t>
      </w:r>
      <w:r>
        <w:t>ation</w:t>
      </w:r>
      <w:r>
        <w:rPr>
          <w:spacing w:val="-10"/>
        </w:rPr>
        <w:t xml:space="preserve"> </w:t>
      </w:r>
      <w:r>
        <w:t>when</w:t>
      </w:r>
      <w:r>
        <w:rPr>
          <w:spacing w:val="-10"/>
        </w:rPr>
        <w:t xml:space="preserve"> </w:t>
      </w:r>
      <w:r>
        <w:t>releasing</w:t>
      </w:r>
      <w:r>
        <w:rPr>
          <w:spacing w:val="-7"/>
        </w:rPr>
        <w:t xml:space="preserve"> </w:t>
      </w:r>
      <w:r>
        <w:t>data</w:t>
      </w:r>
      <w:r>
        <w:rPr>
          <w:spacing w:val="-9"/>
        </w:rPr>
        <w:t xml:space="preserve"> </w:t>
      </w:r>
      <w:r>
        <w:t>on</w:t>
      </w:r>
      <w:r>
        <w:rPr>
          <w:spacing w:val="-7"/>
        </w:rPr>
        <w:t xml:space="preserve"> </w:t>
      </w:r>
      <w:r>
        <w:t>supported</w:t>
      </w:r>
      <w:r>
        <w:rPr>
          <w:spacing w:val="-7"/>
        </w:rPr>
        <w:t xml:space="preserve"> </w:t>
      </w:r>
      <w:r>
        <w:t>reports</w:t>
      </w:r>
      <w:r>
        <w:rPr>
          <w:spacing w:val="-7"/>
        </w:rPr>
        <w:t xml:space="preserve"> </w:t>
      </w:r>
      <w:r>
        <w:t>of</w:t>
      </w:r>
      <w:r>
        <w:rPr>
          <w:spacing w:val="-9"/>
        </w:rPr>
        <w:t xml:space="preserve"> </w:t>
      </w:r>
      <w:r>
        <w:t>abuse</w:t>
      </w:r>
      <w:r>
        <w:rPr>
          <w:spacing w:val="-6"/>
        </w:rPr>
        <w:t xml:space="preserve"> </w:t>
      </w:r>
      <w:r>
        <w:t>and</w:t>
      </w:r>
      <w:r>
        <w:rPr>
          <w:spacing w:val="-10"/>
        </w:rPr>
        <w:t xml:space="preserve"> </w:t>
      </w:r>
      <w:r>
        <w:t>neglect</w:t>
      </w:r>
      <w:r>
        <w:rPr>
          <w:spacing w:val="-8"/>
        </w:rPr>
        <w:t xml:space="preserve"> </w:t>
      </w:r>
      <w:r>
        <w:t>in</w:t>
      </w:r>
      <w:r>
        <w:rPr>
          <w:spacing w:val="-10"/>
        </w:rPr>
        <w:t xml:space="preserve"> </w:t>
      </w:r>
      <w:r>
        <w:t>out-of-home</w:t>
      </w:r>
      <w:r>
        <w:rPr>
          <w:spacing w:val="-8"/>
        </w:rPr>
        <w:t xml:space="preserve"> </w:t>
      </w:r>
      <w:r>
        <w:t>settings.</w:t>
      </w:r>
      <w:r>
        <w:rPr>
          <w:spacing w:val="-7"/>
        </w:rPr>
        <w:t xml:space="preserve"> </w:t>
      </w:r>
      <w:r>
        <w:t>OCA should</w:t>
      </w:r>
      <w:r>
        <w:rPr>
          <w:spacing w:val="-13"/>
        </w:rPr>
        <w:t xml:space="preserve"> </w:t>
      </w:r>
      <w:r>
        <w:t>similarly</w:t>
      </w:r>
      <w:r>
        <w:rPr>
          <w:spacing w:val="-12"/>
        </w:rPr>
        <w:t xml:space="preserve"> </w:t>
      </w:r>
      <w:r>
        <w:t>report</w:t>
      </w:r>
      <w:r>
        <w:rPr>
          <w:spacing w:val="-13"/>
        </w:rPr>
        <w:t xml:space="preserve"> </w:t>
      </w:r>
      <w:r>
        <w:t>data</w:t>
      </w:r>
      <w:r>
        <w:rPr>
          <w:spacing w:val="-12"/>
        </w:rPr>
        <w:t xml:space="preserve"> </w:t>
      </w:r>
      <w:r>
        <w:t>based</w:t>
      </w:r>
      <w:r>
        <w:rPr>
          <w:spacing w:val="-13"/>
        </w:rPr>
        <w:t xml:space="preserve"> </w:t>
      </w:r>
      <w:r>
        <w:t>on</w:t>
      </w:r>
      <w:r>
        <w:rPr>
          <w:spacing w:val="-12"/>
        </w:rPr>
        <w:t xml:space="preserve"> </w:t>
      </w:r>
      <w:r>
        <w:t>race,</w:t>
      </w:r>
      <w:r>
        <w:rPr>
          <w:spacing w:val="-13"/>
        </w:rPr>
        <w:t xml:space="preserve"> </w:t>
      </w:r>
      <w:r>
        <w:t>ethnicity,</w:t>
      </w:r>
      <w:r>
        <w:rPr>
          <w:spacing w:val="-12"/>
        </w:rPr>
        <w:t xml:space="preserve"> </w:t>
      </w:r>
      <w:r>
        <w:t>and</w:t>
      </w:r>
      <w:r>
        <w:rPr>
          <w:spacing w:val="-12"/>
        </w:rPr>
        <w:t xml:space="preserve"> </w:t>
      </w:r>
      <w:r>
        <w:t>disability</w:t>
      </w:r>
      <w:r>
        <w:rPr>
          <w:spacing w:val="-13"/>
        </w:rPr>
        <w:t xml:space="preserve"> </w:t>
      </w:r>
      <w:r>
        <w:t>status.</w:t>
      </w:r>
      <w:r>
        <w:rPr>
          <w:spacing w:val="-12"/>
        </w:rPr>
        <w:t xml:space="preserve"> </w:t>
      </w:r>
      <w:r>
        <w:t>Such</w:t>
      </w:r>
      <w:r>
        <w:rPr>
          <w:spacing w:val="-13"/>
        </w:rPr>
        <w:t xml:space="preserve"> </w:t>
      </w:r>
      <w:r>
        <w:t>data</w:t>
      </w:r>
      <w:r>
        <w:rPr>
          <w:spacing w:val="-12"/>
        </w:rPr>
        <w:t xml:space="preserve"> </w:t>
      </w:r>
      <w:r>
        <w:t>are</w:t>
      </w:r>
      <w:r>
        <w:rPr>
          <w:spacing w:val="-13"/>
        </w:rPr>
        <w:t xml:space="preserve"> </w:t>
      </w:r>
      <w:r>
        <w:t>critical</w:t>
      </w:r>
      <w:r>
        <w:rPr>
          <w:spacing w:val="-12"/>
        </w:rPr>
        <w:t xml:space="preserve"> </w:t>
      </w:r>
      <w:r>
        <w:t>to</w:t>
      </w:r>
      <w:r>
        <w:rPr>
          <w:spacing w:val="-12"/>
        </w:rPr>
        <w:t xml:space="preserve"> </w:t>
      </w:r>
      <w:r>
        <w:t>ensuring that</w:t>
      </w:r>
      <w:r>
        <w:rPr>
          <w:spacing w:val="-1"/>
        </w:rPr>
        <w:t xml:space="preserve"> </w:t>
      </w:r>
      <w:r>
        <w:t>policymakers,</w:t>
      </w:r>
      <w:r>
        <w:rPr>
          <w:spacing w:val="-4"/>
        </w:rPr>
        <w:t xml:space="preserve"> </w:t>
      </w:r>
      <w:r>
        <w:t>advocates,</w:t>
      </w:r>
      <w:r>
        <w:rPr>
          <w:spacing w:val="-2"/>
        </w:rPr>
        <w:t xml:space="preserve"> </w:t>
      </w:r>
      <w:r>
        <w:t>and</w:t>
      </w:r>
      <w:r>
        <w:rPr>
          <w:spacing w:val="-5"/>
        </w:rPr>
        <w:t xml:space="preserve"> </w:t>
      </w:r>
      <w:r>
        <w:t>the</w:t>
      </w:r>
      <w:r>
        <w:rPr>
          <w:spacing w:val="-1"/>
        </w:rPr>
        <w:t xml:space="preserve"> </w:t>
      </w:r>
      <w:r>
        <w:t>public</w:t>
      </w:r>
      <w:r>
        <w:rPr>
          <w:spacing w:val="-4"/>
        </w:rPr>
        <w:t xml:space="preserve"> </w:t>
      </w:r>
      <w:r>
        <w:t>accurately</w:t>
      </w:r>
      <w:r>
        <w:rPr>
          <w:spacing w:val="-1"/>
        </w:rPr>
        <w:t xml:space="preserve"> </w:t>
      </w:r>
      <w:r>
        <w:t>understand</w:t>
      </w:r>
      <w:r>
        <w:rPr>
          <w:spacing w:val="-5"/>
        </w:rPr>
        <w:t xml:space="preserve"> </w:t>
      </w:r>
      <w:r>
        <w:t>the</w:t>
      </w:r>
      <w:r>
        <w:rPr>
          <w:spacing w:val="-4"/>
        </w:rPr>
        <w:t xml:space="preserve"> </w:t>
      </w:r>
      <w:r>
        <w:t>experiences</w:t>
      </w:r>
      <w:r>
        <w:rPr>
          <w:spacing w:val="-2"/>
        </w:rPr>
        <w:t xml:space="preserve"> </w:t>
      </w:r>
      <w:r>
        <w:t>and</w:t>
      </w:r>
      <w:r>
        <w:rPr>
          <w:spacing w:val="-3"/>
        </w:rPr>
        <w:t xml:space="preserve"> </w:t>
      </w:r>
      <w:r>
        <w:t>needs</w:t>
      </w:r>
      <w:r>
        <w:rPr>
          <w:spacing w:val="-4"/>
        </w:rPr>
        <w:t xml:space="preserve"> </w:t>
      </w:r>
      <w:r>
        <w:t>of</w:t>
      </w:r>
      <w:r>
        <w:rPr>
          <w:spacing w:val="-4"/>
        </w:rPr>
        <w:t xml:space="preserve"> </w:t>
      </w:r>
      <w:r>
        <w:t>LGBTQ youth in</w:t>
      </w:r>
      <w:r>
        <w:rPr>
          <w:spacing w:val="-3"/>
        </w:rPr>
        <w:t xml:space="preserve"> </w:t>
      </w:r>
      <w:r>
        <w:t>out-of-home settings. Finally, the Commission urges OCA to address</w:t>
      </w:r>
      <w:r>
        <w:rPr>
          <w:spacing w:val="-2"/>
        </w:rPr>
        <w:t xml:space="preserve"> </w:t>
      </w:r>
      <w:r>
        <w:t>SOGI data anywhere</w:t>
      </w:r>
      <w:r>
        <w:rPr>
          <w:spacing w:val="-1"/>
        </w:rPr>
        <w:t xml:space="preserve"> </w:t>
      </w:r>
      <w:r>
        <w:t xml:space="preserve">else it is available (such as including SOGI data from the Massachusetts Youth Risk Behavior Survey and </w:t>
      </w:r>
      <w:r>
        <w:t>the Massachusetts</w:t>
      </w:r>
      <w:r>
        <w:rPr>
          <w:spacing w:val="-13"/>
        </w:rPr>
        <w:t xml:space="preserve"> </w:t>
      </w:r>
      <w:r>
        <w:t>Youth</w:t>
      </w:r>
      <w:r>
        <w:rPr>
          <w:spacing w:val="-12"/>
        </w:rPr>
        <w:t xml:space="preserve"> </w:t>
      </w:r>
      <w:r>
        <w:t>Count)</w:t>
      </w:r>
      <w:r>
        <w:rPr>
          <w:spacing w:val="-13"/>
        </w:rPr>
        <w:t xml:space="preserve"> </w:t>
      </w:r>
      <w:r>
        <w:t>and</w:t>
      </w:r>
      <w:r>
        <w:rPr>
          <w:spacing w:val="-12"/>
        </w:rPr>
        <w:t xml:space="preserve"> </w:t>
      </w:r>
      <w:r>
        <w:t>incorporate</w:t>
      </w:r>
      <w:r>
        <w:rPr>
          <w:spacing w:val="-13"/>
        </w:rPr>
        <w:t xml:space="preserve"> </w:t>
      </w:r>
      <w:r>
        <w:t>that</w:t>
      </w:r>
      <w:r>
        <w:rPr>
          <w:spacing w:val="-12"/>
        </w:rPr>
        <w:t xml:space="preserve"> </w:t>
      </w:r>
      <w:r>
        <w:t>into</w:t>
      </w:r>
      <w:r>
        <w:rPr>
          <w:spacing w:val="-13"/>
        </w:rPr>
        <w:t xml:space="preserve"> </w:t>
      </w:r>
      <w:r>
        <w:t>other</w:t>
      </w:r>
      <w:r>
        <w:rPr>
          <w:spacing w:val="-12"/>
        </w:rPr>
        <w:t xml:space="preserve"> </w:t>
      </w:r>
      <w:r>
        <w:t>reporting,</w:t>
      </w:r>
      <w:r>
        <w:rPr>
          <w:spacing w:val="-12"/>
        </w:rPr>
        <w:t xml:space="preserve"> </w:t>
      </w:r>
      <w:r>
        <w:t>such</w:t>
      </w:r>
      <w:r>
        <w:rPr>
          <w:spacing w:val="-12"/>
        </w:rPr>
        <w:t xml:space="preserve"> </w:t>
      </w:r>
      <w:r>
        <w:t>as</w:t>
      </w:r>
      <w:r>
        <w:rPr>
          <w:spacing w:val="-13"/>
        </w:rPr>
        <w:t xml:space="preserve"> </w:t>
      </w:r>
      <w:r>
        <w:t>the</w:t>
      </w:r>
      <w:r>
        <w:rPr>
          <w:spacing w:val="-12"/>
        </w:rPr>
        <w:t xml:space="preserve"> </w:t>
      </w:r>
      <w:r>
        <w:t>data</w:t>
      </w:r>
      <w:r>
        <w:rPr>
          <w:spacing w:val="-12"/>
        </w:rPr>
        <w:t xml:space="preserve"> </w:t>
      </w:r>
      <w:r>
        <w:t>snapshot</w:t>
      </w:r>
      <w:r>
        <w:rPr>
          <w:spacing w:val="-13"/>
        </w:rPr>
        <w:t xml:space="preserve"> </w:t>
      </w:r>
      <w:r>
        <w:t>of</w:t>
      </w:r>
      <w:r>
        <w:rPr>
          <w:spacing w:val="-12"/>
        </w:rPr>
        <w:t xml:space="preserve"> </w:t>
      </w:r>
      <w:r>
        <w:t>youth in Massachusetts included in its FY 2022 annual report.</w:t>
      </w:r>
      <w:hyperlink w:anchor="_bookmark874" w:history="1">
        <w:r>
          <w:rPr>
            <w:vertAlign w:val="superscript"/>
          </w:rPr>
          <w:t>xv</w:t>
        </w:r>
      </w:hyperlink>
    </w:p>
    <w:p w:rsidR="00200FDA" w:rsidRDefault="00200FDA">
      <w:pPr>
        <w:pStyle w:val="BodyText"/>
        <w:spacing w:before="10"/>
        <w:rPr>
          <w:sz w:val="32"/>
        </w:rPr>
      </w:pPr>
    </w:p>
    <w:p w:rsidR="00200FDA" w:rsidRDefault="00F76C4C">
      <w:pPr>
        <w:pStyle w:val="Heading9"/>
        <w:numPr>
          <w:ilvl w:val="0"/>
          <w:numId w:val="17"/>
        </w:numPr>
        <w:tabs>
          <w:tab w:val="left" w:pos="501"/>
        </w:tabs>
        <w:ind w:hanging="222"/>
      </w:pPr>
      <w:r>
        <w:t>Review,</w:t>
      </w:r>
      <w:r>
        <w:rPr>
          <w:spacing w:val="-4"/>
        </w:rPr>
        <w:t xml:space="preserve"> </w:t>
      </w:r>
      <w:r>
        <w:t>publicize,</w:t>
      </w:r>
      <w:r>
        <w:rPr>
          <w:spacing w:val="-4"/>
        </w:rPr>
        <w:t xml:space="preserve"> </w:t>
      </w:r>
      <w:r>
        <w:t>and</w:t>
      </w:r>
      <w:r>
        <w:rPr>
          <w:spacing w:val="-6"/>
        </w:rPr>
        <w:t xml:space="preserve"> </w:t>
      </w:r>
      <w:r>
        <w:t>address</w:t>
      </w:r>
      <w:r>
        <w:rPr>
          <w:spacing w:val="-6"/>
        </w:rPr>
        <w:t xml:space="preserve"> </w:t>
      </w:r>
      <w:r>
        <w:t>juvenile</w:t>
      </w:r>
      <w:r>
        <w:rPr>
          <w:spacing w:val="-6"/>
        </w:rPr>
        <w:t xml:space="preserve"> </w:t>
      </w:r>
      <w:r>
        <w:t>justice</w:t>
      </w:r>
      <w:r>
        <w:rPr>
          <w:spacing w:val="-6"/>
        </w:rPr>
        <w:t xml:space="preserve"> </w:t>
      </w:r>
      <w:r>
        <w:t>SOGI</w:t>
      </w:r>
      <w:r>
        <w:rPr>
          <w:spacing w:val="-3"/>
        </w:rPr>
        <w:t xml:space="preserve"> </w:t>
      </w:r>
      <w:r>
        <w:rPr>
          <w:spacing w:val="-2"/>
        </w:rPr>
        <w:t>dat</w:t>
      </w:r>
      <w:r>
        <w:rPr>
          <w:spacing w:val="-2"/>
        </w:rPr>
        <w:t>a.</w:t>
      </w:r>
    </w:p>
    <w:p w:rsidR="00200FDA" w:rsidRDefault="00200FDA">
      <w:pPr>
        <w:pStyle w:val="BodyText"/>
        <w:rPr>
          <w:b/>
        </w:rPr>
      </w:pPr>
    </w:p>
    <w:p w:rsidR="00200FDA" w:rsidRDefault="00F76C4C">
      <w:pPr>
        <w:pStyle w:val="BodyText"/>
        <w:spacing w:before="171" w:line="276" w:lineRule="auto"/>
        <w:ind w:left="279" w:right="273"/>
        <w:jc w:val="both"/>
      </w:pPr>
      <w:r>
        <w:t>OCA</w:t>
      </w:r>
      <w:r>
        <w:rPr>
          <w:spacing w:val="-7"/>
        </w:rPr>
        <w:t xml:space="preserve"> </w:t>
      </w:r>
      <w:r>
        <w:t>should,</w:t>
      </w:r>
      <w:r>
        <w:rPr>
          <w:spacing w:val="-7"/>
        </w:rPr>
        <w:t xml:space="preserve"> </w:t>
      </w:r>
      <w:r>
        <w:t>through</w:t>
      </w:r>
      <w:r>
        <w:rPr>
          <w:spacing w:val="-7"/>
        </w:rPr>
        <w:t xml:space="preserve"> </w:t>
      </w:r>
      <w:r>
        <w:t>the</w:t>
      </w:r>
      <w:r>
        <w:rPr>
          <w:spacing w:val="-6"/>
        </w:rPr>
        <w:t xml:space="preserve"> </w:t>
      </w:r>
      <w:r>
        <w:t>Juvenile</w:t>
      </w:r>
      <w:r>
        <w:rPr>
          <w:spacing w:val="-6"/>
        </w:rPr>
        <w:t xml:space="preserve"> </w:t>
      </w:r>
      <w:r>
        <w:t>Justice</w:t>
      </w:r>
      <w:r>
        <w:rPr>
          <w:spacing w:val="-6"/>
        </w:rPr>
        <w:t xml:space="preserve"> </w:t>
      </w:r>
      <w:r>
        <w:t>Policy</w:t>
      </w:r>
      <w:r>
        <w:rPr>
          <w:spacing w:val="-6"/>
        </w:rPr>
        <w:t xml:space="preserve"> </w:t>
      </w:r>
      <w:r>
        <w:t>and</w:t>
      </w:r>
      <w:r>
        <w:rPr>
          <w:spacing w:val="-10"/>
        </w:rPr>
        <w:t xml:space="preserve"> </w:t>
      </w:r>
      <w:r>
        <w:t>Data</w:t>
      </w:r>
      <w:r>
        <w:rPr>
          <w:spacing w:val="-7"/>
        </w:rPr>
        <w:t xml:space="preserve"> </w:t>
      </w:r>
      <w:r>
        <w:t>Board</w:t>
      </w:r>
      <w:r>
        <w:rPr>
          <w:spacing w:val="-7"/>
        </w:rPr>
        <w:t xml:space="preserve"> </w:t>
      </w:r>
      <w:r>
        <w:t>(JJPAD)</w:t>
      </w:r>
      <w:r>
        <w:rPr>
          <w:spacing w:val="-6"/>
        </w:rPr>
        <w:t xml:space="preserve"> </w:t>
      </w:r>
      <w:r>
        <w:t>and</w:t>
      </w:r>
      <w:r>
        <w:rPr>
          <w:spacing w:val="-7"/>
        </w:rPr>
        <w:t xml:space="preserve"> </w:t>
      </w:r>
      <w:r>
        <w:t>Childhood</w:t>
      </w:r>
      <w:r>
        <w:rPr>
          <w:spacing w:val="-7"/>
        </w:rPr>
        <w:t xml:space="preserve"> </w:t>
      </w:r>
      <w:r>
        <w:t>Trauma</w:t>
      </w:r>
      <w:r>
        <w:rPr>
          <w:spacing w:val="-7"/>
        </w:rPr>
        <w:t xml:space="preserve"> </w:t>
      </w:r>
      <w:r>
        <w:t>Task</w:t>
      </w:r>
      <w:r>
        <w:rPr>
          <w:spacing w:val="-6"/>
        </w:rPr>
        <w:t xml:space="preserve"> </w:t>
      </w:r>
      <w:r>
        <w:t>Force or other appropriate entities, ensure the publication of detailed information regarding LGBTQ youth dually involved in the child</w:t>
      </w:r>
      <w:r>
        <w:rPr>
          <w:spacing w:val="-3"/>
        </w:rPr>
        <w:t xml:space="preserve"> </w:t>
      </w:r>
      <w:r>
        <w:t>welfare</w:t>
      </w:r>
      <w:r>
        <w:rPr>
          <w:spacing w:val="-2"/>
        </w:rPr>
        <w:t xml:space="preserve"> </w:t>
      </w:r>
      <w:r>
        <w:t>and juvenile</w:t>
      </w:r>
      <w:r>
        <w:rPr>
          <w:spacing w:val="-1"/>
        </w:rPr>
        <w:t xml:space="preserve"> </w:t>
      </w:r>
      <w:r>
        <w:t>justice</w:t>
      </w:r>
      <w:r>
        <w:rPr>
          <w:spacing w:val="-1"/>
        </w:rPr>
        <w:t xml:space="preserve"> </w:t>
      </w:r>
      <w:r>
        <w:t>systems. National data suggest that</w:t>
      </w:r>
      <w:r>
        <w:rPr>
          <w:spacing w:val="-1"/>
        </w:rPr>
        <w:t xml:space="preserve"> </w:t>
      </w:r>
      <w:r>
        <w:t>LGBTQ</w:t>
      </w:r>
      <w:r>
        <w:rPr>
          <w:spacing w:val="-2"/>
        </w:rPr>
        <w:t xml:space="preserve"> </w:t>
      </w:r>
      <w:r>
        <w:t>youth in the juvenile justice system are more likely than their non-LGBTQ peers to have histories of removal from their homes and placement in foster care.</w:t>
      </w:r>
      <w:hyperlink w:anchor="_bookmark875" w:history="1">
        <w:r>
          <w:rPr>
            <w:vertAlign w:val="superscript"/>
          </w:rPr>
          <w:t>xvi</w:t>
        </w:r>
      </w:hyperlink>
      <w:r>
        <w:t xml:space="preserve"> Additionally, </w:t>
      </w:r>
      <w:r>
        <w:t>Massachusetts data show that LGBTQ youth in DYS custody reported a history of physical abuse at three times the rate of their straight peers and a history of sexual abuse at five times the rate of their straight peers.</w:t>
      </w:r>
      <w:hyperlink w:anchor="_bookmark876" w:history="1">
        <w:r>
          <w:rPr>
            <w:vertAlign w:val="superscript"/>
          </w:rPr>
          <w:t>xvii</w:t>
        </w:r>
      </w:hyperlink>
      <w:r>
        <w:rPr>
          <w:spacing w:val="-2"/>
        </w:rPr>
        <w:t xml:space="preserve"> </w:t>
      </w:r>
      <w:r>
        <w:t>I</w:t>
      </w:r>
      <w:r>
        <w:t>t is critical that the JJPAD, and the OCA generally, address these patterns in data reporting; the 2022 JJPAD annual report, for instances, shares only limited SOGI data.</w:t>
      </w:r>
      <w:r>
        <w:rPr>
          <w:vertAlign w:val="superscript"/>
        </w:rPr>
        <w:t>xviii</w:t>
      </w:r>
      <w:r>
        <w:t xml:space="preserve"> Massachusetts advocates and policymakers have the data needed to understand how </w:t>
      </w:r>
      <w:r>
        <w:t>LGBTQ youth move between the child welfare and juvenile justice systems, how</w:t>
      </w:r>
      <w:r>
        <w:rPr>
          <w:spacing w:val="-5"/>
        </w:rPr>
        <w:t xml:space="preserve"> </w:t>
      </w:r>
      <w:r>
        <w:t>they</w:t>
      </w:r>
      <w:r>
        <w:rPr>
          <w:spacing w:val="-5"/>
        </w:rPr>
        <w:t xml:space="preserve"> </w:t>
      </w:r>
      <w:r>
        <w:t>are</w:t>
      </w:r>
      <w:r>
        <w:rPr>
          <w:spacing w:val="-5"/>
        </w:rPr>
        <w:t xml:space="preserve"> </w:t>
      </w:r>
      <w:r>
        <w:t>supported,</w:t>
      </w:r>
      <w:r>
        <w:rPr>
          <w:spacing w:val="-6"/>
        </w:rPr>
        <w:t xml:space="preserve"> </w:t>
      </w:r>
      <w:r>
        <w:t>and</w:t>
      </w:r>
      <w:r>
        <w:rPr>
          <w:spacing w:val="-4"/>
        </w:rPr>
        <w:t xml:space="preserve"> </w:t>
      </w:r>
      <w:r>
        <w:t>the</w:t>
      </w:r>
      <w:r>
        <w:rPr>
          <w:spacing w:val="-3"/>
        </w:rPr>
        <w:t xml:space="preserve"> </w:t>
      </w:r>
      <w:r>
        <w:t>extent</w:t>
      </w:r>
      <w:r>
        <w:rPr>
          <w:spacing w:val="-5"/>
        </w:rPr>
        <w:t xml:space="preserve"> </w:t>
      </w:r>
      <w:r>
        <w:t>to</w:t>
      </w:r>
      <w:r>
        <w:rPr>
          <w:spacing w:val="-5"/>
        </w:rPr>
        <w:t xml:space="preserve"> </w:t>
      </w:r>
      <w:r>
        <w:t>which</w:t>
      </w:r>
      <w:r>
        <w:rPr>
          <w:spacing w:val="-6"/>
        </w:rPr>
        <w:t xml:space="preserve"> </w:t>
      </w:r>
      <w:r>
        <w:t>their</w:t>
      </w:r>
      <w:r>
        <w:rPr>
          <w:spacing w:val="-3"/>
        </w:rPr>
        <w:t xml:space="preserve"> </w:t>
      </w:r>
      <w:r>
        <w:t>needs</w:t>
      </w:r>
      <w:r>
        <w:rPr>
          <w:spacing w:val="-3"/>
        </w:rPr>
        <w:t xml:space="preserve"> </w:t>
      </w:r>
      <w:r>
        <w:t>are</w:t>
      </w:r>
      <w:r>
        <w:rPr>
          <w:spacing w:val="-3"/>
        </w:rPr>
        <w:t xml:space="preserve"> </w:t>
      </w:r>
      <w:r>
        <w:t>addressed</w:t>
      </w:r>
      <w:r>
        <w:rPr>
          <w:spacing w:val="-4"/>
        </w:rPr>
        <w:t xml:space="preserve"> </w:t>
      </w:r>
      <w:r>
        <w:t>in</w:t>
      </w:r>
      <w:r>
        <w:rPr>
          <w:spacing w:val="-4"/>
        </w:rPr>
        <w:t xml:space="preserve"> </w:t>
      </w:r>
      <w:r>
        <w:t>that</w:t>
      </w:r>
      <w:r>
        <w:rPr>
          <w:spacing w:val="-3"/>
        </w:rPr>
        <w:t xml:space="preserve"> </w:t>
      </w:r>
      <w:r>
        <w:t>movement.</w:t>
      </w:r>
      <w:r>
        <w:rPr>
          <w:spacing w:val="-6"/>
        </w:rPr>
        <w:t xml:space="preserve"> </w:t>
      </w:r>
      <w:r>
        <w:t>Such</w:t>
      </w:r>
      <w:r>
        <w:rPr>
          <w:spacing w:val="-4"/>
        </w:rPr>
        <w:t xml:space="preserve"> </w:t>
      </w:r>
      <w:r>
        <w:t>data</w:t>
      </w:r>
    </w:p>
    <w:p w:rsidR="00200FDA" w:rsidRDefault="00200FDA">
      <w:pPr>
        <w:spacing w:line="276" w:lineRule="auto"/>
        <w:jc w:val="both"/>
        <w:sectPr w:rsidR="00200FDA">
          <w:pgSz w:w="12240" w:h="15840"/>
          <w:pgMar w:top="1260" w:right="1160" w:bottom="1260" w:left="1160" w:header="761" w:footer="1062" w:gutter="0"/>
          <w:cols w:space="720"/>
        </w:sectPr>
      </w:pPr>
    </w:p>
    <w:p w:rsidR="00200FDA" w:rsidRDefault="00200FDA">
      <w:pPr>
        <w:pStyle w:val="BodyText"/>
        <w:rPr>
          <w:sz w:val="9"/>
        </w:rPr>
      </w:pPr>
    </w:p>
    <w:p w:rsidR="00200FDA" w:rsidRDefault="00F76C4C">
      <w:pPr>
        <w:pStyle w:val="BodyText"/>
        <w:spacing w:before="56" w:line="276" w:lineRule="auto"/>
        <w:ind w:left="280" w:right="273"/>
        <w:jc w:val="both"/>
      </w:pPr>
      <w:r>
        <w:t>should, at a minimum, be disaggregated by race, gender, age, and ethnicity. The Commission also urges OCA</w:t>
      </w:r>
      <w:r>
        <w:rPr>
          <w:spacing w:val="-2"/>
        </w:rPr>
        <w:t xml:space="preserve"> </w:t>
      </w:r>
      <w:r>
        <w:t>to</w:t>
      </w:r>
      <w:r>
        <w:rPr>
          <w:spacing w:val="-1"/>
        </w:rPr>
        <w:t xml:space="preserve"> </w:t>
      </w:r>
      <w:r>
        <w:t>review</w:t>
      </w:r>
      <w:r>
        <w:rPr>
          <w:spacing w:val="-1"/>
        </w:rPr>
        <w:t xml:space="preserve"> </w:t>
      </w:r>
      <w:r>
        <w:t>the</w:t>
      </w:r>
      <w:r>
        <w:rPr>
          <w:spacing w:val="-1"/>
        </w:rPr>
        <w:t xml:space="preserve"> </w:t>
      </w:r>
      <w:r>
        <w:t>SOGI</w:t>
      </w:r>
      <w:r>
        <w:rPr>
          <w:spacing w:val="-2"/>
        </w:rPr>
        <w:t xml:space="preserve"> </w:t>
      </w:r>
      <w:r>
        <w:t>data</w:t>
      </w:r>
      <w:r>
        <w:rPr>
          <w:spacing w:val="-2"/>
        </w:rPr>
        <w:t xml:space="preserve"> </w:t>
      </w:r>
      <w:r>
        <w:t>collected</w:t>
      </w:r>
      <w:r>
        <w:rPr>
          <w:spacing w:val="-3"/>
        </w:rPr>
        <w:t xml:space="preserve"> </w:t>
      </w:r>
      <w:r>
        <w:t>by</w:t>
      </w:r>
      <w:r>
        <w:rPr>
          <w:spacing w:val="-1"/>
        </w:rPr>
        <w:t xml:space="preserve"> </w:t>
      </w:r>
      <w:r>
        <w:t>the</w:t>
      </w:r>
      <w:r>
        <w:rPr>
          <w:spacing w:val="-4"/>
        </w:rPr>
        <w:t xml:space="preserve"> </w:t>
      </w:r>
      <w:r>
        <w:t>Department</w:t>
      </w:r>
      <w:r>
        <w:rPr>
          <w:spacing w:val="-4"/>
        </w:rPr>
        <w:t xml:space="preserve"> </w:t>
      </w:r>
      <w:r>
        <w:t>of</w:t>
      </w:r>
      <w:r>
        <w:rPr>
          <w:spacing w:val="-2"/>
        </w:rPr>
        <w:t xml:space="preserve"> </w:t>
      </w:r>
      <w:r>
        <w:t>Youth</w:t>
      </w:r>
      <w:r>
        <w:rPr>
          <w:spacing w:val="-3"/>
        </w:rPr>
        <w:t xml:space="preserve"> </w:t>
      </w:r>
      <w:r>
        <w:t>Services</w:t>
      </w:r>
      <w:r>
        <w:rPr>
          <w:spacing w:val="-4"/>
        </w:rPr>
        <w:t xml:space="preserve"> </w:t>
      </w:r>
      <w:r>
        <w:t>(DYS)</w:t>
      </w:r>
      <w:r>
        <w:rPr>
          <w:spacing w:val="-2"/>
        </w:rPr>
        <w:t xml:space="preserve"> </w:t>
      </w:r>
      <w:r>
        <w:t>and</w:t>
      </w:r>
      <w:r>
        <w:rPr>
          <w:spacing w:val="-3"/>
        </w:rPr>
        <w:t xml:space="preserve"> </w:t>
      </w:r>
      <w:r>
        <w:t>ensure</w:t>
      </w:r>
      <w:r>
        <w:rPr>
          <w:spacing w:val="-1"/>
        </w:rPr>
        <w:t xml:space="preserve"> </w:t>
      </w:r>
      <w:r>
        <w:t>those</w:t>
      </w:r>
      <w:r>
        <w:rPr>
          <w:spacing w:val="-1"/>
        </w:rPr>
        <w:t xml:space="preserve"> </w:t>
      </w:r>
      <w:r>
        <w:t>data are incorporated into the work of the Juvenile Justi</w:t>
      </w:r>
      <w:r>
        <w:t>ce Policy and Data Board in an ongoing manner.</w:t>
      </w:r>
    </w:p>
    <w:p w:rsidR="00200FDA" w:rsidRDefault="00200FDA">
      <w:pPr>
        <w:pStyle w:val="BodyText"/>
        <w:spacing w:before="7"/>
        <w:rPr>
          <w:sz w:val="32"/>
        </w:rPr>
      </w:pPr>
    </w:p>
    <w:p w:rsidR="00200FDA" w:rsidRDefault="00F76C4C">
      <w:pPr>
        <w:pStyle w:val="Heading9"/>
        <w:numPr>
          <w:ilvl w:val="0"/>
          <w:numId w:val="17"/>
        </w:numPr>
        <w:tabs>
          <w:tab w:val="left" w:pos="612"/>
        </w:tabs>
        <w:spacing w:before="1" w:line="276" w:lineRule="auto"/>
        <w:ind w:left="280" w:right="273" w:firstLine="0"/>
      </w:pPr>
      <w:r>
        <w:t>Examine</w:t>
      </w:r>
      <w:r>
        <w:rPr>
          <w:spacing w:val="-6"/>
        </w:rPr>
        <w:t xml:space="preserve"> </w:t>
      </w:r>
      <w:r>
        <w:t>needs</w:t>
      </w:r>
      <w:r>
        <w:rPr>
          <w:spacing w:val="-5"/>
        </w:rPr>
        <w:t xml:space="preserve"> </w:t>
      </w:r>
      <w:r>
        <w:t>of</w:t>
      </w:r>
      <w:r>
        <w:rPr>
          <w:spacing w:val="-7"/>
        </w:rPr>
        <w:t xml:space="preserve"> </w:t>
      </w:r>
      <w:r>
        <w:t>LGBTQ</w:t>
      </w:r>
      <w:r>
        <w:rPr>
          <w:spacing w:val="-6"/>
        </w:rPr>
        <w:t xml:space="preserve"> </w:t>
      </w:r>
      <w:r>
        <w:t>youth</w:t>
      </w:r>
      <w:r>
        <w:rPr>
          <w:spacing w:val="-7"/>
        </w:rPr>
        <w:t xml:space="preserve"> </w:t>
      </w:r>
      <w:r>
        <w:t>in</w:t>
      </w:r>
      <w:r>
        <w:rPr>
          <w:spacing w:val="-6"/>
        </w:rPr>
        <w:t xml:space="preserve"> </w:t>
      </w:r>
      <w:r>
        <w:t>residential</w:t>
      </w:r>
      <w:r>
        <w:rPr>
          <w:spacing w:val="-7"/>
        </w:rPr>
        <w:t xml:space="preserve"> </w:t>
      </w:r>
      <w:r>
        <w:t>schools</w:t>
      </w:r>
      <w:r>
        <w:rPr>
          <w:spacing w:val="-5"/>
        </w:rPr>
        <w:t xml:space="preserve"> </w:t>
      </w:r>
      <w:r>
        <w:t>and</w:t>
      </w:r>
      <w:r>
        <w:rPr>
          <w:spacing w:val="-6"/>
        </w:rPr>
        <w:t xml:space="preserve"> </w:t>
      </w:r>
      <w:r>
        <w:t>identify</w:t>
      </w:r>
      <w:r>
        <w:rPr>
          <w:spacing w:val="-7"/>
        </w:rPr>
        <w:t xml:space="preserve"> </w:t>
      </w:r>
      <w:r>
        <w:t>opportunities</w:t>
      </w:r>
      <w:r>
        <w:rPr>
          <w:spacing w:val="-5"/>
        </w:rPr>
        <w:t xml:space="preserve"> </w:t>
      </w:r>
      <w:r>
        <w:t>to</w:t>
      </w:r>
      <w:r>
        <w:rPr>
          <w:spacing w:val="-8"/>
        </w:rPr>
        <w:t xml:space="preserve"> </w:t>
      </w:r>
      <w:r>
        <w:t>collaborate</w:t>
      </w:r>
      <w:r>
        <w:rPr>
          <w:spacing w:val="-7"/>
        </w:rPr>
        <w:t xml:space="preserve"> </w:t>
      </w:r>
      <w:r>
        <w:t>with the Commission’s Safe Schools Program.</w:t>
      </w:r>
    </w:p>
    <w:p w:rsidR="00200FDA" w:rsidRDefault="00200FDA">
      <w:pPr>
        <w:pStyle w:val="BodyText"/>
        <w:spacing w:before="9"/>
        <w:rPr>
          <w:b/>
          <w:sz w:val="32"/>
        </w:rPr>
      </w:pPr>
    </w:p>
    <w:p w:rsidR="00200FDA" w:rsidRDefault="00F76C4C">
      <w:pPr>
        <w:pStyle w:val="BodyText"/>
        <w:spacing w:line="276" w:lineRule="auto"/>
        <w:ind w:left="280" w:right="274"/>
        <w:jc w:val="both"/>
      </w:pPr>
      <w:r>
        <w:t>Very little is known about the experiences of LGBTQ youth in residential schools in Massachusetts. The Commission appreciates OCA’s 2017 report of the Interagency Working Group on Residential Schools. In last year’s recommendations, the Commission noted</w:t>
      </w:r>
      <w:r>
        <w:rPr>
          <w:spacing w:val="-3"/>
        </w:rPr>
        <w:t xml:space="preserve"> </w:t>
      </w:r>
      <w:r>
        <w:t>it</w:t>
      </w:r>
      <w:r>
        <w:t xml:space="preserve"> was</w:t>
      </w:r>
      <w:r>
        <w:rPr>
          <w:spacing w:val="-2"/>
        </w:rPr>
        <w:t xml:space="preserve"> </w:t>
      </w:r>
      <w:r>
        <w:t>eager</w:t>
      </w:r>
      <w:r>
        <w:rPr>
          <w:spacing w:val="-2"/>
        </w:rPr>
        <w:t xml:space="preserve"> </w:t>
      </w:r>
      <w:r>
        <w:t>to</w:t>
      </w:r>
      <w:r>
        <w:rPr>
          <w:spacing w:val="-1"/>
        </w:rPr>
        <w:t xml:space="preserve"> </w:t>
      </w:r>
      <w:r>
        <w:t>learn</w:t>
      </w:r>
      <w:r>
        <w:rPr>
          <w:spacing w:val="-3"/>
        </w:rPr>
        <w:t xml:space="preserve"> </w:t>
      </w:r>
      <w:r>
        <w:t>more</w:t>
      </w:r>
      <w:r>
        <w:rPr>
          <w:spacing w:val="-1"/>
        </w:rPr>
        <w:t xml:space="preserve"> </w:t>
      </w:r>
      <w:r>
        <w:t>about any</w:t>
      </w:r>
      <w:r>
        <w:rPr>
          <w:spacing w:val="-1"/>
        </w:rPr>
        <w:t xml:space="preserve"> </w:t>
      </w:r>
      <w:r>
        <w:t>ongoing work resulting from that report and how the Commission and its Safe Schools Program for LGBTQ Students might collaborate with OCA to understand the experiences of LGBTQ youth in residential schools and to contribute to any needed changes. The Commi</w:t>
      </w:r>
      <w:r>
        <w:t>ssion continues to recommend OCA devote attention to this issue.</w:t>
      </w:r>
    </w:p>
    <w:p w:rsidR="00200FDA" w:rsidRDefault="00200FDA">
      <w:pPr>
        <w:pStyle w:val="BodyText"/>
        <w:spacing w:before="10"/>
        <w:rPr>
          <w:sz w:val="32"/>
        </w:rPr>
      </w:pPr>
    </w:p>
    <w:p w:rsidR="00200FDA" w:rsidRDefault="00F76C4C">
      <w:pPr>
        <w:pStyle w:val="Heading9"/>
        <w:numPr>
          <w:ilvl w:val="0"/>
          <w:numId w:val="17"/>
        </w:numPr>
        <w:tabs>
          <w:tab w:val="left" w:pos="626"/>
        </w:tabs>
        <w:spacing w:before="1" w:line="276" w:lineRule="auto"/>
        <w:ind w:left="280" w:right="270" w:firstLine="0"/>
      </w:pPr>
      <w:r>
        <w:t>Identify opportunities to address suicidality among LGBTQ youth, including through collaboration with the Commission.</w:t>
      </w:r>
    </w:p>
    <w:p w:rsidR="00200FDA" w:rsidRDefault="00200FDA">
      <w:pPr>
        <w:pStyle w:val="BodyText"/>
        <w:spacing w:before="9"/>
        <w:rPr>
          <w:b/>
          <w:sz w:val="32"/>
        </w:rPr>
      </w:pPr>
    </w:p>
    <w:p w:rsidR="00200FDA" w:rsidRDefault="00F76C4C">
      <w:pPr>
        <w:pStyle w:val="BodyText"/>
        <w:spacing w:line="276" w:lineRule="auto"/>
        <w:ind w:left="279" w:right="275"/>
        <w:jc w:val="both"/>
      </w:pPr>
      <w:r>
        <w:t>As</w:t>
      </w:r>
      <w:r>
        <w:rPr>
          <w:spacing w:val="-9"/>
        </w:rPr>
        <w:t xml:space="preserve"> </w:t>
      </w:r>
      <w:r>
        <w:t>the</w:t>
      </w:r>
      <w:r>
        <w:rPr>
          <w:spacing w:val="-8"/>
        </w:rPr>
        <w:t xml:space="preserve"> </w:t>
      </w:r>
      <w:r>
        <w:t>Commission</w:t>
      </w:r>
      <w:r>
        <w:rPr>
          <w:spacing w:val="-10"/>
        </w:rPr>
        <w:t xml:space="preserve"> </w:t>
      </w:r>
      <w:r>
        <w:t>has</w:t>
      </w:r>
      <w:r>
        <w:rPr>
          <w:spacing w:val="-9"/>
        </w:rPr>
        <w:t xml:space="preserve"> </w:t>
      </w:r>
      <w:r>
        <w:t>noted</w:t>
      </w:r>
      <w:r>
        <w:rPr>
          <w:spacing w:val="-10"/>
        </w:rPr>
        <w:t xml:space="preserve"> </w:t>
      </w:r>
      <w:r>
        <w:t>for</w:t>
      </w:r>
      <w:r>
        <w:rPr>
          <w:spacing w:val="-9"/>
        </w:rPr>
        <w:t xml:space="preserve"> </w:t>
      </w:r>
      <w:r>
        <w:t>many</w:t>
      </w:r>
      <w:r>
        <w:rPr>
          <w:spacing w:val="-8"/>
        </w:rPr>
        <w:t xml:space="preserve"> </w:t>
      </w:r>
      <w:r>
        <w:t>years</w:t>
      </w:r>
      <w:r>
        <w:rPr>
          <w:spacing w:val="-9"/>
        </w:rPr>
        <w:t xml:space="preserve"> </w:t>
      </w:r>
      <w:r>
        <w:t>in</w:t>
      </w:r>
      <w:r>
        <w:rPr>
          <w:spacing w:val="-10"/>
        </w:rPr>
        <w:t xml:space="preserve"> </w:t>
      </w:r>
      <w:r>
        <w:t>its</w:t>
      </w:r>
      <w:r>
        <w:rPr>
          <w:spacing w:val="-9"/>
        </w:rPr>
        <w:t xml:space="preserve"> </w:t>
      </w:r>
      <w:r>
        <w:t>annual</w:t>
      </w:r>
      <w:r>
        <w:rPr>
          <w:spacing w:val="-9"/>
        </w:rPr>
        <w:t xml:space="preserve"> </w:t>
      </w:r>
      <w:r>
        <w:t>recommendation</w:t>
      </w:r>
      <w:r>
        <w:t>s,</w:t>
      </w:r>
      <w:r>
        <w:rPr>
          <w:spacing w:val="-9"/>
        </w:rPr>
        <w:t xml:space="preserve"> </w:t>
      </w:r>
      <w:r>
        <w:t>LGBTQ</w:t>
      </w:r>
      <w:r>
        <w:rPr>
          <w:spacing w:val="-9"/>
        </w:rPr>
        <w:t xml:space="preserve"> </w:t>
      </w:r>
      <w:r>
        <w:t>youth</w:t>
      </w:r>
      <w:r>
        <w:rPr>
          <w:spacing w:val="-10"/>
        </w:rPr>
        <w:t xml:space="preserve"> </w:t>
      </w:r>
      <w:r>
        <w:t>report</w:t>
      </w:r>
      <w:r>
        <w:rPr>
          <w:spacing w:val="-8"/>
        </w:rPr>
        <w:t xml:space="preserve"> </w:t>
      </w:r>
      <w:r>
        <w:t>suicidal ideation at alarming rates.</w:t>
      </w:r>
      <w:hyperlink w:anchor="_bookmark878" w:history="1">
        <w:r>
          <w:rPr>
            <w:vertAlign w:val="superscript"/>
          </w:rPr>
          <w:t>xix</w:t>
        </w:r>
      </w:hyperlink>
      <w:r>
        <w:rPr>
          <w:spacing w:val="-1"/>
        </w:rPr>
        <w:t xml:space="preserve"> </w:t>
      </w:r>
      <w:r>
        <w:t xml:space="preserve">The Commission has partnered with the Department of Public Health for </w:t>
      </w:r>
      <w:r>
        <w:rPr>
          <w:spacing w:val="-2"/>
        </w:rPr>
        <w:t>many years</w:t>
      </w:r>
      <w:r>
        <w:rPr>
          <w:spacing w:val="-4"/>
        </w:rPr>
        <w:t xml:space="preserve"> </w:t>
      </w:r>
      <w:r>
        <w:rPr>
          <w:spacing w:val="-2"/>
        </w:rPr>
        <w:t>on suicide</w:t>
      </w:r>
      <w:r>
        <w:rPr>
          <w:spacing w:val="-4"/>
        </w:rPr>
        <w:t xml:space="preserve"> </w:t>
      </w:r>
      <w:r>
        <w:rPr>
          <w:spacing w:val="-2"/>
        </w:rPr>
        <w:t>prevention</w:t>
      </w:r>
      <w:r>
        <w:rPr>
          <w:spacing w:val="-5"/>
        </w:rPr>
        <w:t xml:space="preserve"> </w:t>
      </w:r>
      <w:r>
        <w:rPr>
          <w:spacing w:val="-2"/>
        </w:rPr>
        <w:t>efforts</w:t>
      </w:r>
      <w:r>
        <w:rPr>
          <w:spacing w:val="-4"/>
        </w:rPr>
        <w:t xml:space="preserve"> </w:t>
      </w:r>
      <w:r>
        <w:rPr>
          <w:spacing w:val="-2"/>
        </w:rPr>
        <w:t>specific</w:t>
      </w:r>
      <w:r>
        <w:rPr>
          <w:spacing w:val="-4"/>
        </w:rPr>
        <w:t xml:space="preserve"> </w:t>
      </w:r>
      <w:r>
        <w:rPr>
          <w:spacing w:val="-2"/>
        </w:rPr>
        <w:t>to and inclusive</w:t>
      </w:r>
      <w:r>
        <w:rPr>
          <w:spacing w:val="-4"/>
        </w:rPr>
        <w:t xml:space="preserve"> </w:t>
      </w:r>
      <w:r>
        <w:rPr>
          <w:spacing w:val="-2"/>
        </w:rPr>
        <w:t>of</w:t>
      </w:r>
      <w:r>
        <w:rPr>
          <w:spacing w:val="-4"/>
        </w:rPr>
        <w:t xml:space="preserve"> </w:t>
      </w:r>
      <w:r>
        <w:rPr>
          <w:spacing w:val="-2"/>
        </w:rPr>
        <w:t>LGBTQ</w:t>
      </w:r>
      <w:r>
        <w:rPr>
          <w:spacing w:val="-4"/>
        </w:rPr>
        <w:t xml:space="preserve"> </w:t>
      </w:r>
      <w:r>
        <w:rPr>
          <w:spacing w:val="-2"/>
        </w:rPr>
        <w:t>young</w:t>
      </w:r>
      <w:r>
        <w:rPr>
          <w:spacing w:val="-5"/>
        </w:rPr>
        <w:t xml:space="preserve"> </w:t>
      </w:r>
      <w:r>
        <w:rPr>
          <w:spacing w:val="-2"/>
        </w:rPr>
        <w:t>people.</w:t>
      </w:r>
      <w:r>
        <w:rPr>
          <w:spacing w:val="-5"/>
        </w:rPr>
        <w:t xml:space="preserve"> </w:t>
      </w:r>
      <w:r>
        <w:rPr>
          <w:spacing w:val="-2"/>
        </w:rPr>
        <w:t>Th</w:t>
      </w:r>
      <w:r>
        <w:rPr>
          <w:spacing w:val="-2"/>
        </w:rPr>
        <w:t xml:space="preserve">e Commission </w:t>
      </w:r>
      <w:r>
        <w:t>remains eager to learn more about OCA’s work on suicide prevention and opportunities to collaborate.</w:t>
      </w:r>
    </w:p>
    <w:p w:rsidR="00200FDA" w:rsidRDefault="00200FDA">
      <w:pPr>
        <w:pStyle w:val="BodyText"/>
      </w:pPr>
    </w:p>
    <w:p w:rsidR="00200FDA" w:rsidRDefault="00200FDA">
      <w:pPr>
        <w:pStyle w:val="BodyText"/>
      </w:pPr>
    </w:p>
    <w:p w:rsidR="00200FDA" w:rsidRDefault="00200FDA">
      <w:pPr>
        <w:pStyle w:val="BodyText"/>
      </w:pPr>
    </w:p>
    <w:p w:rsidR="00200FDA" w:rsidRDefault="00200FDA">
      <w:pPr>
        <w:pStyle w:val="BodyText"/>
        <w:spacing w:before="8"/>
        <w:rPr>
          <w:sz w:val="24"/>
        </w:rPr>
      </w:pPr>
    </w:p>
    <w:p w:rsidR="00200FDA" w:rsidRDefault="00F76C4C">
      <w:pPr>
        <w:spacing w:line="278" w:lineRule="auto"/>
        <w:ind w:left="279" w:right="275"/>
        <w:jc w:val="both"/>
        <w:rPr>
          <w:i/>
        </w:rPr>
      </w:pPr>
      <w:r>
        <w:rPr>
          <w:i/>
        </w:rPr>
        <w:t>Acknowledgments: The Commission sincerely thanks author Hannah Hussey, and contributors Kate Lowenstein and Polly Crozier.</w:t>
      </w:r>
    </w:p>
    <w:p w:rsidR="00200FDA" w:rsidRDefault="00200FDA">
      <w:pPr>
        <w:pStyle w:val="BodyText"/>
        <w:rPr>
          <w:i/>
        </w:rPr>
      </w:pPr>
    </w:p>
    <w:p w:rsidR="00200FDA" w:rsidRDefault="00200FDA">
      <w:pPr>
        <w:pStyle w:val="BodyText"/>
        <w:rPr>
          <w:i/>
        </w:rPr>
      </w:pPr>
    </w:p>
    <w:p w:rsidR="00200FDA" w:rsidRDefault="00200FDA">
      <w:pPr>
        <w:pStyle w:val="BodyText"/>
        <w:rPr>
          <w:i/>
        </w:rPr>
      </w:pPr>
    </w:p>
    <w:p w:rsidR="00200FDA" w:rsidRDefault="00F76C4C">
      <w:pPr>
        <w:spacing w:before="158"/>
        <w:ind w:left="280" w:hanging="1"/>
        <w:rPr>
          <w:sz w:val="18"/>
        </w:rPr>
      </w:pPr>
      <w:bookmarkStart w:id="1084" w:name="_bookmark860"/>
      <w:bookmarkEnd w:id="1084"/>
      <w:r>
        <w:rPr>
          <w:position w:val="5"/>
          <w:sz w:val="12"/>
        </w:rPr>
        <w:t>i</w:t>
      </w:r>
      <w:r>
        <w:rPr>
          <w:spacing w:val="18"/>
          <w:position w:val="5"/>
          <w:sz w:val="12"/>
        </w:rPr>
        <w:t xml:space="preserve"> </w:t>
      </w:r>
      <w:r>
        <w:rPr>
          <w:sz w:val="18"/>
        </w:rPr>
        <w:t xml:space="preserve">Hannah Hussey. (2021). </w:t>
      </w:r>
      <w:r>
        <w:rPr>
          <w:i/>
          <w:sz w:val="18"/>
        </w:rPr>
        <w:t>LGBTQ Youth in the Massachusetts Child Welfare System: A Report on Pervasive Threats to Safety, Wellbeing,</w:t>
      </w:r>
      <w:r>
        <w:rPr>
          <w:i/>
          <w:spacing w:val="-5"/>
          <w:sz w:val="18"/>
        </w:rPr>
        <w:t xml:space="preserve"> </w:t>
      </w:r>
      <w:r>
        <w:rPr>
          <w:i/>
          <w:sz w:val="18"/>
        </w:rPr>
        <w:t>and</w:t>
      </w:r>
      <w:r>
        <w:rPr>
          <w:i/>
          <w:spacing w:val="-4"/>
          <w:sz w:val="18"/>
        </w:rPr>
        <w:t xml:space="preserve"> </w:t>
      </w:r>
      <w:r>
        <w:rPr>
          <w:i/>
          <w:sz w:val="18"/>
        </w:rPr>
        <w:t>Permanency.</w:t>
      </w:r>
      <w:r>
        <w:rPr>
          <w:i/>
          <w:spacing w:val="-5"/>
          <w:sz w:val="18"/>
        </w:rPr>
        <w:t xml:space="preserve"> </w:t>
      </w:r>
      <w:r>
        <w:rPr>
          <w:sz w:val="18"/>
        </w:rPr>
        <w:t>Massachusetts</w:t>
      </w:r>
      <w:r>
        <w:rPr>
          <w:spacing w:val="-6"/>
          <w:sz w:val="18"/>
        </w:rPr>
        <w:t xml:space="preserve"> </w:t>
      </w:r>
      <w:r>
        <w:rPr>
          <w:sz w:val="18"/>
        </w:rPr>
        <w:t>Commission</w:t>
      </w:r>
      <w:r>
        <w:rPr>
          <w:spacing w:val="-6"/>
          <w:sz w:val="18"/>
        </w:rPr>
        <w:t xml:space="preserve"> </w:t>
      </w:r>
      <w:r>
        <w:rPr>
          <w:sz w:val="18"/>
        </w:rPr>
        <w:t>on</w:t>
      </w:r>
      <w:r>
        <w:rPr>
          <w:spacing w:val="-6"/>
          <w:sz w:val="18"/>
        </w:rPr>
        <w:t xml:space="preserve"> </w:t>
      </w:r>
      <w:r>
        <w:rPr>
          <w:sz w:val="18"/>
        </w:rPr>
        <w:t>LGBTQ</w:t>
      </w:r>
      <w:r>
        <w:rPr>
          <w:spacing w:val="-6"/>
          <w:sz w:val="18"/>
        </w:rPr>
        <w:t xml:space="preserve"> </w:t>
      </w:r>
      <w:r>
        <w:rPr>
          <w:sz w:val="18"/>
        </w:rPr>
        <w:t>Youth.</w:t>
      </w:r>
      <w:r>
        <w:rPr>
          <w:spacing w:val="-5"/>
          <w:sz w:val="18"/>
        </w:rPr>
        <w:t xml:space="preserve"> </w:t>
      </w:r>
      <w:r>
        <w:rPr>
          <w:sz w:val="18"/>
        </w:rPr>
        <w:t>https://</w:t>
      </w:r>
      <w:hyperlink r:id="rId807">
        <w:r>
          <w:rPr>
            <w:sz w:val="18"/>
          </w:rPr>
          <w:t>www.mass.gov/doc/commission-report-on-</w:t>
        </w:r>
      </w:hyperlink>
      <w:r>
        <w:rPr>
          <w:sz w:val="18"/>
        </w:rPr>
        <w:t xml:space="preserve"> </w:t>
      </w:r>
      <w:r>
        <w:rPr>
          <w:spacing w:val="-2"/>
          <w:sz w:val="18"/>
        </w:rPr>
        <w:t>dcf/download.</w:t>
      </w:r>
    </w:p>
    <w:p w:rsidR="00200FDA" w:rsidRDefault="00F76C4C">
      <w:pPr>
        <w:spacing w:before="1"/>
        <w:ind w:left="280" w:right="139" w:hanging="1"/>
        <w:rPr>
          <w:sz w:val="18"/>
        </w:rPr>
      </w:pPr>
      <w:bookmarkStart w:id="1085" w:name="_bookmark861"/>
      <w:bookmarkEnd w:id="1085"/>
      <w:r>
        <w:rPr>
          <w:position w:val="5"/>
          <w:sz w:val="12"/>
        </w:rPr>
        <w:t>ii</w:t>
      </w:r>
      <w:r>
        <w:rPr>
          <w:spacing w:val="9"/>
          <w:position w:val="5"/>
          <w:sz w:val="12"/>
        </w:rPr>
        <w:t xml:space="preserve"> </w:t>
      </w:r>
      <w:r>
        <w:rPr>
          <w:i/>
          <w:sz w:val="18"/>
        </w:rPr>
        <w:t>See,</w:t>
      </w:r>
      <w:r>
        <w:rPr>
          <w:i/>
          <w:spacing w:val="-3"/>
          <w:sz w:val="18"/>
        </w:rPr>
        <w:t xml:space="preserve"> </w:t>
      </w:r>
      <w:r>
        <w:rPr>
          <w:i/>
          <w:sz w:val="18"/>
        </w:rPr>
        <w:t>e.g.</w:t>
      </w:r>
      <w:r>
        <w:rPr>
          <w:sz w:val="18"/>
        </w:rPr>
        <w:t>,</w:t>
      </w:r>
      <w:r>
        <w:rPr>
          <w:spacing w:val="-3"/>
          <w:sz w:val="18"/>
        </w:rPr>
        <w:t xml:space="preserve"> </w:t>
      </w:r>
      <w:r>
        <w:rPr>
          <w:sz w:val="18"/>
        </w:rPr>
        <w:t>Movement</w:t>
      </w:r>
      <w:r>
        <w:rPr>
          <w:spacing w:val="-4"/>
          <w:sz w:val="18"/>
        </w:rPr>
        <w:t xml:space="preserve"> </w:t>
      </w:r>
      <w:r>
        <w:rPr>
          <w:sz w:val="18"/>
        </w:rPr>
        <w:t>Advancement</w:t>
      </w:r>
      <w:r>
        <w:rPr>
          <w:spacing w:val="-4"/>
          <w:sz w:val="18"/>
        </w:rPr>
        <w:t xml:space="preserve"> </w:t>
      </w:r>
      <w:r>
        <w:rPr>
          <w:sz w:val="18"/>
        </w:rPr>
        <w:t>Project.</w:t>
      </w:r>
      <w:r>
        <w:rPr>
          <w:spacing w:val="-3"/>
          <w:sz w:val="18"/>
        </w:rPr>
        <w:t xml:space="preserve"> </w:t>
      </w:r>
      <w:r>
        <w:rPr>
          <w:sz w:val="18"/>
        </w:rPr>
        <w:t>(2023).</w:t>
      </w:r>
      <w:r>
        <w:rPr>
          <w:spacing w:val="-3"/>
          <w:sz w:val="18"/>
        </w:rPr>
        <w:t xml:space="preserve"> </w:t>
      </w:r>
      <w:r>
        <w:rPr>
          <w:i/>
          <w:sz w:val="18"/>
        </w:rPr>
        <w:t>Under</w:t>
      </w:r>
      <w:r>
        <w:rPr>
          <w:i/>
          <w:spacing w:val="-3"/>
          <w:sz w:val="18"/>
        </w:rPr>
        <w:t xml:space="preserve"> </w:t>
      </w:r>
      <w:r>
        <w:rPr>
          <w:i/>
          <w:sz w:val="18"/>
        </w:rPr>
        <w:t>Fire:</w:t>
      </w:r>
      <w:r>
        <w:rPr>
          <w:i/>
          <w:spacing w:val="-3"/>
          <w:sz w:val="18"/>
        </w:rPr>
        <w:t xml:space="preserve"> </w:t>
      </w:r>
      <w:r>
        <w:rPr>
          <w:i/>
          <w:sz w:val="18"/>
        </w:rPr>
        <w:t>The</w:t>
      </w:r>
      <w:r>
        <w:rPr>
          <w:i/>
          <w:spacing w:val="-3"/>
          <w:sz w:val="18"/>
        </w:rPr>
        <w:t xml:space="preserve"> </w:t>
      </w:r>
      <w:r>
        <w:rPr>
          <w:i/>
          <w:sz w:val="18"/>
        </w:rPr>
        <w:t>War</w:t>
      </w:r>
      <w:r>
        <w:rPr>
          <w:i/>
          <w:spacing w:val="-3"/>
          <w:sz w:val="18"/>
        </w:rPr>
        <w:t xml:space="preserve"> </w:t>
      </w:r>
      <w:r>
        <w:rPr>
          <w:i/>
          <w:sz w:val="18"/>
        </w:rPr>
        <w:t>on</w:t>
      </w:r>
      <w:r>
        <w:rPr>
          <w:i/>
          <w:spacing w:val="-5"/>
          <w:sz w:val="18"/>
        </w:rPr>
        <w:t xml:space="preserve"> </w:t>
      </w:r>
      <w:r>
        <w:rPr>
          <w:i/>
          <w:sz w:val="18"/>
        </w:rPr>
        <w:t>LGBTQ</w:t>
      </w:r>
      <w:r>
        <w:rPr>
          <w:i/>
          <w:spacing w:val="-3"/>
          <w:sz w:val="18"/>
        </w:rPr>
        <w:t xml:space="preserve"> </w:t>
      </w:r>
      <w:r>
        <w:rPr>
          <w:i/>
          <w:sz w:val="18"/>
        </w:rPr>
        <w:t>People</w:t>
      </w:r>
      <w:r>
        <w:rPr>
          <w:i/>
          <w:spacing w:val="-3"/>
          <w:sz w:val="18"/>
        </w:rPr>
        <w:t xml:space="preserve"> </w:t>
      </w:r>
      <w:r>
        <w:rPr>
          <w:i/>
          <w:sz w:val="18"/>
        </w:rPr>
        <w:t>in</w:t>
      </w:r>
      <w:r>
        <w:rPr>
          <w:i/>
          <w:spacing w:val="-2"/>
          <w:sz w:val="18"/>
        </w:rPr>
        <w:t xml:space="preserve"> </w:t>
      </w:r>
      <w:r>
        <w:rPr>
          <w:i/>
          <w:sz w:val="18"/>
        </w:rPr>
        <w:t>America</w:t>
      </w:r>
      <w:r>
        <w:rPr>
          <w:sz w:val="18"/>
        </w:rPr>
        <w:t xml:space="preserve">. </w:t>
      </w:r>
      <w:r>
        <w:rPr>
          <w:spacing w:val="-2"/>
          <w:sz w:val="18"/>
        </w:rPr>
        <w:t>https://</w:t>
      </w:r>
      <w:hyperlink r:id="rId808">
        <w:r>
          <w:rPr>
            <w:spacing w:val="-2"/>
            <w:sz w:val="18"/>
          </w:rPr>
          <w:t>www.mapresearch.org/file/Under%20Fire%20report_MAP%202023.pdf.</w:t>
        </w:r>
      </w:hyperlink>
    </w:p>
    <w:p w:rsidR="00200FDA" w:rsidRDefault="00F76C4C">
      <w:pPr>
        <w:ind w:left="280" w:right="453"/>
        <w:rPr>
          <w:sz w:val="18"/>
        </w:rPr>
      </w:pPr>
      <w:bookmarkStart w:id="1086" w:name="_bookmark862"/>
      <w:bookmarkEnd w:id="1086"/>
      <w:r>
        <w:rPr>
          <w:position w:val="5"/>
          <w:sz w:val="12"/>
        </w:rPr>
        <w:t>iii</w:t>
      </w:r>
      <w:r>
        <w:rPr>
          <w:spacing w:val="21"/>
          <w:position w:val="5"/>
          <w:sz w:val="12"/>
        </w:rPr>
        <w:t xml:space="preserve"> </w:t>
      </w:r>
      <w:r>
        <w:rPr>
          <w:sz w:val="18"/>
        </w:rPr>
        <w:t xml:space="preserve">The Trevor Project, “2022 National Survey on LGBTQ Youth Mental Health Massachusetts,” 2022, </w:t>
      </w:r>
      <w:r>
        <w:rPr>
          <w:spacing w:val="-2"/>
          <w:sz w:val="18"/>
        </w:rPr>
        <w:t>https://</w:t>
      </w:r>
      <w:hyperlink r:id="rId809">
        <w:r>
          <w:rPr>
            <w:spacing w:val="-2"/>
            <w:sz w:val="18"/>
          </w:rPr>
          <w:t>www.thetrevorproject.org/wp-content/uploads/2022/12/The-Trevor-Project-2022-National-Survey-on-LGBTQ-Youth-</w:t>
        </w:r>
      </w:hyperlink>
      <w:r>
        <w:rPr>
          <w:sz w:val="18"/>
        </w:rPr>
        <w:t xml:space="preserve"> Mental-Health-by-State-Massachusetts.pdf2022 National Survey on LGBTQ Youth Mental Health Massachusett</w:t>
      </w:r>
      <w:r>
        <w:rPr>
          <w:sz w:val="18"/>
        </w:rPr>
        <w:t>s.</w:t>
      </w:r>
    </w:p>
    <w:p w:rsidR="00200FDA" w:rsidRDefault="00F76C4C">
      <w:pPr>
        <w:ind w:left="280" w:right="392" w:hanging="1"/>
        <w:rPr>
          <w:sz w:val="18"/>
        </w:rPr>
      </w:pPr>
      <w:bookmarkStart w:id="1087" w:name="_bookmark863"/>
      <w:bookmarkEnd w:id="1087"/>
      <w:r>
        <w:rPr>
          <w:position w:val="5"/>
          <w:sz w:val="12"/>
        </w:rPr>
        <w:t>iv</w:t>
      </w:r>
      <w:r>
        <w:rPr>
          <w:spacing w:val="21"/>
          <w:position w:val="5"/>
          <w:sz w:val="12"/>
        </w:rPr>
        <w:t xml:space="preserve"> </w:t>
      </w:r>
      <w:r>
        <w:rPr>
          <w:i/>
          <w:sz w:val="18"/>
        </w:rPr>
        <w:t xml:space="preserve">See </w:t>
      </w:r>
      <w:r>
        <w:rPr>
          <w:sz w:val="18"/>
        </w:rPr>
        <w:t xml:space="preserve">Stephanie Barry. 2022. “Parents File Federal Lawsuit Against Ludlow School Officials over Gender Identity Protocols.” </w:t>
      </w:r>
      <w:r>
        <w:rPr>
          <w:i/>
          <w:sz w:val="18"/>
        </w:rPr>
        <w:t>MassLive</w:t>
      </w:r>
      <w:r>
        <w:rPr>
          <w:sz w:val="18"/>
        </w:rPr>
        <w:t>, April 15, 2022. https://</w:t>
      </w:r>
      <w:hyperlink r:id="rId810">
        <w:r>
          <w:rPr>
            <w:sz w:val="18"/>
          </w:rPr>
          <w:t>www.masslive.com/news/2022/04/parents-file-federal-lawsuit-against-ludlow-school-</w:t>
        </w:r>
      </w:hyperlink>
      <w:r>
        <w:rPr>
          <w:sz w:val="18"/>
        </w:rPr>
        <w:t xml:space="preserve"> officials-over-gender-identity-protocols.html;</w:t>
      </w:r>
      <w:r>
        <w:rPr>
          <w:spacing w:val="-4"/>
          <w:sz w:val="18"/>
        </w:rPr>
        <w:t xml:space="preserve"> </w:t>
      </w:r>
      <w:r>
        <w:rPr>
          <w:sz w:val="18"/>
        </w:rPr>
        <w:t>Abby</w:t>
      </w:r>
      <w:r>
        <w:rPr>
          <w:spacing w:val="-4"/>
          <w:sz w:val="18"/>
        </w:rPr>
        <w:t xml:space="preserve"> </w:t>
      </w:r>
      <w:r>
        <w:rPr>
          <w:sz w:val="18"/>
        </w:rPr>
        <w:t>Patkin.</w:t>
      </w:r>
      <w:r>
        <w:rPr>
          <w:spacing w:val="-4"/>
          <w:sz w:val="18"/>
        </w:rPr>
        <w:t xml:space="preserve"> </w:t>
      </w:r>
      <w:r>
        <w:rPr>
          <w:sz w:val="18"/>
        </w:rPr>
        <w:t>2023.</w:t>
      </w:r>
      <w:r>
        <w:rPr>
          <w:spacing w:val="-4"/>
          <w:sz w:val="18"/>
        </w:rPr>
        <w:t xml:space="preserve"> </w:t>
      </w:r>
      <w:r>
        <w:rPr>
          <w:sz w:val="18"/>
        </w:rPr>
        <w:t>“Stoughton</w:t>
      </w:r>
      <w:r>
        <w:rPr>
          <w:spacing w:val="-5"/>
          <w:sz w:val="18"/>
        </w:rPr>
        <w:t xml:space="preserve"> </w:t>
      </w:r>
      <w:r>
        <w:rPr>
          <w:sz w:val="18"/>
        </w:rPr>
        <w:t>High</w:t>
      </w:r>
      <w:r>
        <w:rPr>
          <w:spacing w:val="-5"/>
          <w:sz w:val="18"/>
        </w:rPr>
        <w:t xml:space="preserve"> </w:t>
      </w:r>
      <w:r>
        <w:rPr>
          <w:sz w:val="18"/>
        </w:rPr>
        <w:t>Senior</w:t>
      </w:r>
      <w:r>
        <w:rPr>
          <w:spacing w:val="-5"/>
          <w:sz w:val="18"/>
        </w:rPr>
        <w:t xml:space="preserve"> </w:t>
      </w:r>
      <w:r>
        <w:rPr>
          <w:sz w:val="18"/>
        </w:rPr>
        <w:t>Leads</w:t>
      </w:r>
      <w:r>
        <w:rPr>
          <w:spacing w:val="-5"/>
          <w:sz w:val="18"/>
        </w:rPr>
        <w:t xml:space="preserve"> </w:t>
      </w:r>
      <w:r>
        <w:rPr>
          <w:sz w:val="18"/>
        </w:rPr>
        <w:t>Growing</w:t>
      </w:r>
      <w:r>
        <w:rPr>
          <w:spacing w:val="-5"/>
          <w:sz w:val="18"/>
        </w:rPr>
        <w:t xml:space="preserve"> </w:t>
      </w:r>
      <w:r>
        <w:rPr>
          <w:sz w:val="18"/>
        </w:rPr>
        <w:t>Movement</w:t>
      </w:r>
      <w:r>
        <w:rPr>
          <w:spacing w:val="-5"/>
          <w:sz w:val="18"/>
        </w:rPr>
        <w:t xml:space="preserve"> </w:t>
      </w:r>
      <w:r>
        <w:rPr>
          <w:sz w:val="18"/>
        </w:rPr>
        <w:t>to</w:t>
      </w:r>
      <w:r>
        <w:rPr>
          <w:spacing w:val="-3"/>
          <w:sz w:val="18"/>
        </w:rPr>
        <w:t xml:space="preserve"> </w:t>
      </w:r>
      <w:r>
        <w:rPr>
          <w:sz w:val="18"/>
        </w:rPr>
        <w:t xml:space="preserve">Restore Pride Flags in Town Schools.” </w:t>
      </w:r>
      <w:r>
        <w:rPr>
          <w:i/>
          <w:sz w:val="18"/>
        </w:rPr>
        <w:t>Boston.</w:t>
      </w:r>
      <w:r>
        <w:rPr>
          <w:i/>
          <w:sz w:val="18"/>
        </w:rPr>
        <w:t>com</w:t>
      </w:r>
      <w:r>
        <w:rPr>
          <w:sz w:val="18"/>
        </w:rPr>
        <w:t>, January 11, 2023. https://</w:t>
      </w:r>
      <w:hyperlink r:id="rId811">
        <w:r>
          <w:rPr>
            <w:sz w:val="18"/>
          </w:rPr>
          <w:t>www.boston.com/news/schools/2023/01/11/stoughton-</w:t>
        </w:r>
      </w:hyperlink>
      <w:r>
        <w:rPr>
          <w:sz w:val="18"/>
        </w:rPr>
        <w:t xml:space="preserve"> high-senior-leads-growing-movement-to-restore-pride-flags-in-town-schools/;</w:t>
      </w:r>
      <w:r>
        <w:rPr>
          <w:spacing w:val="-3"/>
          <w:sz w:val="18"/>
        </w:rPr>
        <w:t xml:space="preserve"> </w:t>
      </w:r>
      <w:r>
        <w:rPr>
          <w:sz w:val="18"/>
        </w:rPr>
        <w:t>Jessica</w:t>
      </w:r>
      <w:r>
        <w:rPr>
          <w:spacing w:val="-3"/>
          <w:sz w:val="18"/>
        </w:rPr>
        <w:t xml:space="preserve"> </w:t>
      </w:r>
      <w:r>
        <w:rPr>
          <w:sz w:val="18"/>
        </w:rPr>
        <w:t>Bartlett.</w:t>
      </w:r>
      <w:r>
        <w:rPr>
          <w:spacing w:val="-3"/>
          <w:sz w:val="18"/>
        </w:rPr>
        <w:t xml:space="preserve"> </w:t>
      </w:r>
      <w:r>
        <w:rPr>
          <w:sz w:val="18"/>
        </w:rPr>
        <w:t>2022.</w:t>
      </w:r>
      <w:r>
        <w:rPr>
          <w:spacing w:val="-3"/>
          <w:sz w:val="18"/>
        </w:rPr>
        <w:t xml:space="preserve"> </w:t>
      </w:r>
      <w:r>
        <w:rPr>
          <w:sz w:val="18"/>
        </w:rPr>
        <w:t>“Boston</w:t>
      </w:r>
      <w:r>
        <w:rPr>
          <w:spacing w:val="-4"/>
          <w:sz w:val="18"/>
        </w:rPr>
        <w:t xml:space="preserve"> </w:t>
      </w:r>
      <w:r>
        <w:rPr>
          <w:sz w:val="18"/>
        </w:rPr>
        <w:t>Children’s</w:t>
      </w:r>
      <w:r>
        <w:rPr>
          <w:spacing w:val="-2"/>
          <w:sz w:val="18"/>
        </w:rPr>
        <w:t xml:space="preserve"> </w:t>
      </w:r>
      <w:r>
        <w:rPr>
          <w:sz w:val="18"/>
        </w:rPr>
        <w:t xml:space="preserve">Faced Months of Death Threats and Hate Mail. Here’s How Staff Members Are Coping.” </w:t>
      </w:r>
      <w:r>
        <w:rPr>
          <w:i/>
          <w:sz w:val="18"/>
        </w:rPr>
        <w:t>Boston Globe</w:t>
      </w:r>
      <w:r>
        <w:rPr>
          <w:sz w:val="18"/>
        </w:rPr>
        <w:t>, December 3, 2022.</w:t>
      </w:r>
    </w:p>
    <w:p w:rsidR="00200FDA" w:rsidRDefault="00200FDA">
      <w:pPr>
        <w:rPr>
          <w:sz w:val="18"/>
        </w:rPr>
        <w:sectPr w:rsidR="00200FDA">
          <w:pgSz w:w="12240" w:h="15840"/>
          <w:pgMar w:top="1260" w:right="1160" w:bottom="1260" w:left="1160" w:header="761" w:footer="1062" w:gutter="0"/>
          <w:cols w:space="720"/>
        </w:sectPr>
      </w:pPr>
    </w:p>
    <w:p w:rsidR="00200FDA" w:rsidRDefault="00200FDA">
      <w:pPr>
        <w:pStyle w:val="BodyText"/>
        <w:spacing w:before="5"/>
        <w:rPr>
          <w:sz w:val="29"/>
        </w:rPr>
      </w:pPr>
    </w:p>
    <w:p w:rsidR="00200FDA" w:rsidRDefault="00F76C4C">
      <w:pPr>
        <w:spacing w:before="63"/>
        <w:ind w:left="280" w:right="450" w:hanging="1"/>
        <w:rPr>
          <w:sz w:val="18"/>
        </w:rPr>
      </w:pPr>
      <w:r>
        <w:rPr>
          <w:spacing w:val="-2"/>
          <w:sz w:val="18"/>
        </w:rPr>
        <w:t>https://</w:t>
      </w:r>
      <w:hyperlink r:id="rId812">
        <w:r>
          <w:rPr>
            <w:spacing w:val="-2"/>
            <w:sz w:val="18"/>
          </w:rPr>
          <w:t>www.bostonglobe.com/2022/12/03/metro/boston-childrens-faced-months-death-threats-hate-mail-heres-how-staff-</w:t>
        </w:r>
      </w:hyperlink>
      <w:r>
        <w:rPr>
          <w:sz w:val="18"/>
        </w:rPr>
        <w:t xml:space="preserve"> are-coping/; Human Rights Foundation. (2022). </w:t>
      </w:r>
      <w:r>
        <w:rPr>
          <w:i/>
          <w:sz w:val="18"/>
        </w:rPr>
        <w:t xml:space="preserve">Online Harassment, Offline Violence: Unchecked Harassment of Gender- Affirming Care Providers and Children’s Hospitals on Social Media, and Its Offline Violent Consequences. </w:t>
      </w:r>
      <w:r>
        <w:rPr>
          <w:sz w:val="18"/>
        </w:rPr>
        <w:t xml:space="preserve">https://hrc-prod- </w:t>
      </w:r>
      <w:r>
        <w:rPr>
          <w:spacing w:val="-2"/>
          <w:sz w:val="18"/>
        </w:rPr>
        <w:t>requests.s3-us-west-2.amazonaws.com/HRCF-OnlineHarassmentOffline</w:t>
      </w:r>
      <w:r>
        <w:rPr>
          <w:spacing w:val="-2"/>
          <w:sz w:val="18"/>
        </w:rPr>
        <w:t>Violence.pdf.</w:t>
      </w:r>
    </w:p>
    <w:p w:rsidR="00200FDA" w:rsidRDefault="00F76C4C">
      <w:pPr>
        <w:spacing w:before="2"/>
        <w:ind w:left="280" w:right="308" w:hanging="1"/>
        <w:rPr>
          <w:sz w:val="18"/>
        </w:rPr>
      </w:pPr>
      <w:bookmarkStart w:id="1088" w:name="_bookmark864"/>
      <w:bookmarkEnd w:id="1088"/>
      <w:r>
        <w:rPr>
          <w:position w:val="5"/>
          <w:sz w:val="12"/>
        </w:rPr>
        <w:t>v</w:t>
      </w:r>
      <w:r>
        <w:rPr>
          <w:spacing w:val="13"/>
          <w:position w:val="5"/>
          <w:sz w:val="12"/>
        </w:rPr>
        <w:t xml:space="preserve"> </w:t>
      </w:r>
      <w:r>
        <w:rPr>
          <w:i/>
          <w:sz w:val="18"/>
        </w:rPr>
        <w:t>See</w:t>
      </w:r>
      <w:r>
        <w:rPr>
          <w:i/>
          <w:spacing w:val="-1"/>
          <w:sz w:val="18"/>
        </w:rPr>
        <w:t xml:space="preserve"> </w:t>
      </w:r>
      <w:r>
        <w:rPr>
          <w:sz w:val="18"/>
        </w:rPr>
        <w:t>Mass.</w:t>
      </w:r>
      <w:r>
        <w:rPr>
          <w:spacing w:val="-1"/>
          <w:sz w:val="18"/>
        </w:rPr>
        <w:t xml:space="preserve"> </w:t>
      </w:r>
      <w:r>
        <w:rPr>
          <w:sz w:val="18"/>
        </w:rPr>
        <w:t>Gen.</w:t>
      </w:r>
      <w:r>
        <w:rPr>
          <w:spacing w:val="-1"/>
          <w:sz w:val="18"/>
        </w:rPr>
        <w:t xml:space="preserve"> </w:t>
      </w:r>
      <w:r>
        <w:rPr>
          <w:sz w:val="18"/>
        </w:rPr>
        <w:t>Laws</w:t>
      </w:r>
      <w:r>
        <w:rPr>
          <w:spacing w:val="-2"/>
          <w:sz w:val="18"/>
        </w:rPr>
        <w:t xml:space="preserve"> </w:t>
      </w:r>
      <w:r>
        <w:rPr>
          <w:sz w:val="18"/>
        </w:rPr>
        <w:t>Ann.</w:t>
      </w:r>
      <w:r>
        <w:rPr>
          <w:spacing w:val="-1"/>
          <w:sz w:val="18"/>
        </w:rPr>
        <w:t xml:space="preserve"> </w:t>
      </w:r>
      <w:r>
        <w:rPr>
          <w:sz w:val="18"/>
        </w:rPr>
        <w:t>ch.</w:t>
      </w:r>
      <w:r>
        <w:rPr>
          <w:spacing w:val="-1"/>
          <w:sz w:val="18"/>
        </w:rPr>
        <w:t xml:space="preserve"> </w:t>
      </w:r>
      <w:r>
        <w:rPr>
          <w:sz w:val="18"/>
        </w:rPr>
        <w:t>18C,</w:t>
      </w:r>
      <w:r>
        <w:rPr>
          <w:spacing w:val="-1"/>
          <w:sz w:val="18"/>
        </w:rPr>
        <w:t xml:space="preserve"> </w:t>
      </w:r>
      <w:r>
        <w:rPr>
          <w:sz w:val="18"/>
        </w:rPr>
        <w:t>§</w:t>
      </w:r>
      <w:r>
        <w:rPr>
          <w:spacing w:val="-2"/>
          <w:sz w:val="18"/>
        </w:rPr>
        <w:t xml:space="preserve"> </w:t>
      </w:r>
      <w:r>
        <w:rPr>
          <w:sz w:val="18"/>
        </w:rPr>
        <w:t>2</w:t>
      </w:r>
      <w:r>
        <w:rPr>
          <w:spacing w:val="-1"/>
          <w:sz w:val="18"/>
        </w:rPr>
        <w:t xml:space="preserve"> </w:t>
      </w:r>
      <w:r>
        <w:rPr>
          <w:sz w:val="18"/>
        </w:rPr>
        <w:t>(“There</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an</w:t>
      </w:r>
      <w:r>
        <w:rPr>
          <w:spacing w:val="-2"/>
          <w:sz w:val="18"/>
        </w:rPr>
        <w:t xml:space="preserve"> </w:t>
      </w:r>
      <w:r>
        <w:rPr>
          <w:sz w:val="18"/>
        </w:rPr>
        <w:t>office</w:t>
      </w:r>
      <w:r>
        <w:rPr>
          <w:spacing w:val="-2"/>
          <w:sz w:val="18"/>
        </w:rPr>
        <w:t xml:space="preserve"> </w:t>
      </w:r>
      <w:r>
        <w:rPr>
          <w:sz w:val="18"/>
        </w:rPr>
        <w:t>of</w:t>
      </w:r>
      <w:r>
        <w:rPr>
          <w:spacing w:val="-1"/>
          <w:sz w:val="18"/>
        </w:rPr>
        <w:t xml:space="preserve"> </w:t>
      </w:r>
      <w:r>
        <w:rPr>
          <w:sz w:val="18"/>
        </w:rPr>
        <w:t>the</w:t>
      </w:r>
      <w:r>
        <w:rPr>
          <w:spacing w:val="-2"/>
          <w:sz w:val="18"/>
        </w:rPr>
        <w:t xml:space="preserve"> </w:t>
      </w:r>
      <w:r>
        <w:rPr>
          <w:sz w:val="18"/>
        </w:rPr>
        <w:t>child</w:t>
      </w:r>
      <w:r>
        <w:rPr>
          <w:spacing w:val="-2"/>
          <w:sz w:val="18"/>
        </w:rPr>
        <w:t xml:space="preserve"> </w:t>
      </w:r>
      <w:r>
        <w:rPr>
          <w:sz w:val="18"/>
        </w:rPr>
        <w:t>advocate</w:t>
      </w:r>
      <w:r>
        <w:rPr>
          <w:spacing w:val="-2"/>
          <w:sz w:val="18"/>
        </w:rPr>
        <w:t xml:space="preserve"> </w:t>
      </w:r>
      <w:r>
        <w:rPr>
          <w:sz w:val="18"/>
        </w:rPr>
        <w:t>which</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independent</w:t>
      </w:r>
      <w:r>
        <w:rPr>
          <w:spacing w:val="-2"/>
          <w:sz w:val="18"/>
        </w:rPr>
        <w:t xml:space="preserve"> </w:t>
      </w:r>
      <w:r>
        <w:rPr>
          <w:sz w:val="18"/>
        </w:rPr>
        <w:t>of</w:t>
      </w:r>
      <w:r>
        <w:rPr>
          <w:spacing w:val="-1"/>
          <w:sz w:val="18"/>
        </w:rPr>
        <w:t xml:space="preserve"> </w:t>
      </w:r>
      <w:r>
        <w:rPr>
          <w:sz w:val="18"/>
        </w:rPr>
        <w:t>any supervision or control by any executive agency”).</w:t>
      </w:r>
    </w:p>
    <w:p w:rsidR="00200FDA" w:rsidRDefault="00F76C4C">
      <w:pPr>
        <w:ind w:left="280" w:right="287"/>
        <w:rPr>
          <w:sz w:val="18"/>
        </w:rPr>
      </w:pPr>
      <w:bookmarkStart w:id="1089" w:name="_bookmark865"/>
      <w:bookmarkEnd w:id="1089"/>
      <w:r>
        <w:rPr>
          <w:position w:val="5"/>
          <w:sz w:val="12"/>
        </w:rPr>
        <w:t>vi</w:t>
      </w:r>
      <w:r>
        <w:rPr>
          <w:spacing w:val="17"/>
          <w:position w:val="5"/>
          <w:sz w:val="12"/>
        </w:rPr>
        <w:t xml:space="preserve"> </w:t>
      </w:r>
      <w:r>
        <w:rPr>
          <w:sz w:val="18"/>
        </w:rPr>
        <w:t>Mass. Gen. Laws ch. 18C, § 5 (“The child advocate shall receive co</w:t>
      </w:r>
      <w:r>
        <w:rPr>
          <w:sz w:val="18"/>
        </w:rPr>
        <w:t>mplaints relative to the provision of services to children by an executive agency and shall review and monitor the complaints that reasonably cause him to believe that a child may be in need of assistance and to ensure that the complaint is resolved. If th</w:t>
      </w:r>
      <w:r>
        <w:rPr>
          <w:sz w:val="18"/>
        </w:rPr>
        <w:t>e complaint is not resolved by the relevant executive agency within a reasonable period of time in light of the circumstances, if the resolution is determined to be unsatisfactory to the</w:t>
      </w:r>
      <w:r>
        <w:rPr>
          <w:spacing w:val="-3"/>
          <w:sz w:val="18"/>
        </w:rPr>
        <w:t xml:space="preserve"> </w:t>
      </w:r>
      <w:r>
        <w:rPr>
          <w:sz w:val="18"/>
        </w:rPr>
        <w:t>child</w:t>
      </w:r>
      <w:r>
        <w:rPr>
          <w:spacing w:val="-3"/>
          <w:sz w:val="18"/>
        </w:rPr>
        <w:t xml:space="preserve"> </w:t>
      </w:r>
      <w:r>
        <w:rPr>
          <w:sz w:val="18"/>
        </w:rPr>
        <w:t>advocate,</w:t>
      </w:r>
      <w:r>
        <w:rPr>
          <w:spacing w:val="-2"/>
          <w:sz w:val="18"/>
        </w:rPr>
        <w:t xml:space="preserve"> </w:t>
      </w:r>
      <w:r>
        <w:rPr>
          <w:sz w:val="18"/>
        </w:rPr>
        <w:t>or</w:t>
      </w:r>
      <w:r>
        <w:rPr>
          <w:spacing w:val="-3"/>
          <w:sz w:val="18"/>
        </w:rPr>
        <w:t xml:space="preserve"> </w:t>
      </w:r>
      <w:r>
        <w:rPr>
          <w:sz w:val="18"/>
        </w:rPr>
        <w:t>if</w:t>
      </w:r>
      <w:r>
        <w:rPr>
          <w:spacing w:val="-2"/>
          <w:sz w:val="18"/>
        </w:rPr>
        <w:t xml:space="preserve"> </w:t>
      </w:r>
      <w:r>
        <w:rPr>
          <w:sz w:val="18"/>
        </w:rPr>
        <w:t>the</w:t>
      </w:r>
      <w:r>
        <w:rPr>
          <w:spacing w:val="-3"/>
          <w:sz w:val="18"/>
        </w:rPr>
        <w:t xml:space="preserve"> </w:t>
      </w:r>
      <w:r>
        <w:rPr>
          <w:sz w:val="18"/>
        </w:rPr>
        <w:t>complaint</w:t>
      </w:r>
      <w:r>
        <w:rPr>
          <w:spacing w:val="-3"/>
          <w:sz w:val="18"/>
        </w:rPr>
        <w:t xml:space="preserve"> </w:t>
      </w:r>
      <w:r>
        <w:rPr>
          <w:sz w:val="18"/>
        </w:rPr>
        <w:t>reasonably</w:t>
      </w:r>
      <w:r>
        <w:rPr>
          <w:spacing w:val="-2"/>
          <w:sz w:val="18"/>
        </w:rPr>
        <w:t xml:space="preserve"> </w:t>
      </w:r>
      <w:r>
        <w:rPr>
          <w:sz w:val="18"/>
        </w:rPr>
        <w:t>causes the</w:t>
      </w:r>
      <w:r>
        <w:rPr>
          <w:spacing w:val="-3"/>
          <w:sz w:val="18"/>
        </w:rPr>
        <w:t xml:space="preserve"> </w:t>
      </w:r>
      <w:r>
        <w:rPr>
          <w:sz w:val="18"/>
        </w:rPr>
        <w:t>child</w:t>
      </w:r>
      <w:r>
        <w:rPr>
          <w:spacing w:val="-3"/>
          <w:sz w:val="18"/>
        </w:rPr>
        <w:t xml:space="preserve"> </w:t>
      </w:r>
      <w:r>
        <w:rPr>
          <w:sz w:val="18"/>
        </w:rPr>
        <w:t>advocate</w:t>
      </w:r>
      <w:r>
        <w:rPr>
          <w:spacing w:val="-3"/>
          <w:sz w:val="18"/>
        </w:rPr>
        <w:t xml:space="preserve"> </w:t>
      </w:r>
      <w:r>
        <w:rPr>
          <w:sz w:val="18"/>
        </w:rPr>
        <w:t>to</w:t>
      </w:r>
      <w:r>
        <w:rPr>
          <w:spacing w:val="-1"/>
          <w:sz w:val="18"/>
        </w:rPr>
        <w:t xml:space="preserve"> </w:t>
      </w:r>
      <w:r>
        <w:rPr>
          <w:sz w:val="18"/>
        </w:rPr>
        <w:t>believe</w:t>
      </w:r>
      <w:r>
        <w:rPr>
          <w:spacing w:val="-1"/>
          <w:sz w:val="18"/>
        </w:rPr>
        <w:t xml:space="preserve"> </w:t>
      </w:r>
      <w:r>
        <w:rPr>
          <w:sz w:val="18"/>
        </w:rPr>
        <w:t>that</w:t>
      </w:r>
      <w:r>
        <w:rPr>
          <w:spacing w:val="-3"/>
          <w:sz w:val="18"/>
        </w:rPr>
        <w:t xml:space="preserve"> </w:t>
      </w:r>
      <w:r>
        <w:rPr>
          <w:sz w:val="18"/>
        </w:rPr>
        <w:t>a</w:t>
      </w:r>
      <w:r>
        <w:rPr>
          <w:spacing w:val="-2"/>
          <w:sz w:val="18"/>
        </w:rPr>
        <w:t xml:space="preserve"> </w:t>
      </w:r>
      <w:r>
        <w:rPr>
          <w:sz w:val="18"/>
        </w:rPr>
        <w:t>child</w:t>
      </w:r>
      <w:r>
        <w:rPr>
          <w:spacing w:val="-1"/>
          <w:sz w:val="18"/>
        </w:rPr>
        <w:t xml:space="preserve"> </w:t>
      </w:r>
      <w:r>
        <w:rPr>
          <w:sz w:val="18"/>
        </w:rPr>
        <w:t>may</w:t>
      </w:r>
      <w:r>
        <w:rPr>
          <w:spacing w:val="-2"/>
          <w:sz w:val="18"/>
        </w:rPr>
        <w:t xml:space="preserve"> </w:t>
      </w:r>
      <w:r>
        <w:rPr>
          <w:sz w:val="18"/>
        </w:rPr>
        <w:t>be</w:t>
      </w:r>
      <w:r>
        <w:rPr>
          <w:spacing w:val="-3"/>
          <w:sz w:val="18"/>
        </w:rPr>
        <w:t xml:space="preserve"> </w:t>
      </w:r>
      <w:r>
        <w:rPr>
          <w:sz w:val="18"/>
        </w:rPr>
        <w:t>in</w:t>
      </w:r>
      <w:r>
        <w:rPr>
          <w:spacing w:val="-3"/>
          <w:sz w:val="18"/>
        </w:rPr>
        <w:t xml:space="preserve"> </w:t>
      </w:r>
      <w:r>
        <w:rPr>
          <w:sz w:val="18"/>
        </w:rPr>
        <w:t>need</w:t>
      </w:r>
      <w:r>
        <w:rPr>
          <w:spacing w:val="-3"/>
          <w:sz w:val="18"/>
        </w:rPr>
        <w:t xml:space="preserve"> </w:t>
      </w:r>
      <w:r>
        <w:rPr>
          <w:sz w:val="18"/>
        </w:rPr>
        <w:t>of</w:t>
      </w:r>
      <w:r>
        <w:rPr>
          <w:spacing w:val="-2"/>
          <w:sz w:val="18"/>
        </w:rPr>
        <w:t xml:space="preserve"> </w:t>
      </w:r>
      <w:r>
        <w:rPr>
          <w:sz w:val="18"/>
        </w:rPr>
        <w:t>immediate assistance, the child advocate may conduct an investigation and upon completion of the investigation, the child advocate may provide</w:t>
      </w:r>
      <w:r>
        <w:rPr>
          <w:spacing w:val="-1"/>
          <w:sz w:val="18"/>
        </w:rPr>
        <w:t xml:space="preserve"> </w:t>
      </w:r>
      <w:r>
        <w:rPr>
          <w:sz w:val="18"/>
        </w:rPr>
        <w:t>relevant</w:t>
      </w:r>
      <w:r>
        <w:rPr>
          <w:spacing w:val="-1"/>
          <w:sz w:val="18"/>
        </w:rPr>
        <w:t xml:space="preserve"> </w:t>
      </w:r>
      <w:r>
        <w:rPr>
          <w:sz w:val="18"/>
        </w:rPr>
        <w:t>information</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form of a report</w:t>
      </w:r>
      <w:r>
        <w:rPr>
          <w:spacing w:val="-1"/>
          <w:sz w:val="18"/>
        </w:rPr>
        <w:t xml:space="preserve"> </w:t>
      </w:r>
      <w:r>
        <w:rPr>
          <w:sz w:val="18"/>
        </w:rPr>
        <w:t>to any</w:t>
      </w:r>
      <w:r>
        <w:rPr>
          <w:spacing w:val="-1"/>
          <w:sz w:val="18"/>
        </w:rPr>
        <w:t xml:space="preserve"> </w:t>
      </w:r>
      <w:r>
        <w:rPr>
          <w:sz w:val="18"/>
        </w:rPr>
        <w:t>relevant</w:t>
      </w:r>
      <w:r>
        <w:rPr>
          <w:spacing w:val="-1"/>
          <w:sz w:val="18"/>
        </w:rPr>
        <w:t xml:space="preserve"> </w:t>
      </w:r>
      <w:r>
        <w:rPr>
          <w:sz w:val="18"/>
        </w:rPr>
        <w:t>a</w:t>
      </w:r>
      <w:r>
        <w:rPr>
          <w:sz w:val="18"/>
        </w:rPr>
        <w:t>gencies</w:t>
      </w:r>
      <w:r>
        <w:rPr>
          <w:spacing w:val="-1"/>
          <w:sz w:val="18"/>
        </w:rPr>
        <w:t xml:space="preserve"> </w:t>
      </w:r>
      <w:r>
        <w:rPr>
          <w:sz w:val="18"/>
        </w:rPr>
        <w:t>and</w:t>
      </w:r>
      <w:r>
        <w:rPr>
          <w:spacing w:val="-1"/>
          <w:sz w:val="18"/>
        </w:rPr>
        <w:t xml:space="preserve"> </w:t>
      </w:r>
      <w:r>
        <w:rPr>
          <w:sz w:val="18"/>
        </w:rPr>
        <w:t>request</w:t>
      </w:r>
      <w:r>
        <w:rPr>
          <w:spacing w:val="-1"/>
          <w:sz w:val="18"/>
        </w:rPr>
        <w:t xml:space="preserve"> </w:t>
      </w:r>
      <w:r>
        <w:rPr>
          <w:sz w:val="18"/>
        </w:rPr>
        <w:t>a meeting, if necessary, to review the investigation and accompanying report”).</w:t>
      </w:r>
    </w:p>
    <w:p w:rsidR="00200FDA" w:rsidRDefault="00F76C4C">
      <w:pPr>
        <w:spacing w:line="219" w:lineRule="exact"/>
        <w:ind w:left="280"/>
        <w:rPr>
          <w:sz w:val="18"/>
        </w:rPr>
      </w:pPr>
      <w:bookmarkStart w:id="1090" w:name="_bookmark866"/>
      <w:bookmarkEnd w:id="1090"/>
      <w:r>
        <w:rPr>
          <w:position w:val="5"/>
          <w:sz w:val="12"/>
        </w:rPr>
        <w:t>vii</w:t>
      </w:r>
      <w:r>
        <w:rPr>
          <w:spacing w:val="11"/>
          <w:position w:val="5"/>
          <w:sz w:val="12"/>
        </w:rPr>
        <w:t xml:space="preserve"> </w:t>
      </w:r>
      <w:r>
        <w:rPr>
          <w:sz w:val="18"/>
        </w:rPr>
        <w:t>Mass.</w:t>
      </w:r>
      <w:r>
        <w:rPr>
          <w:spacing w:val="-1"/>
          <w:sz w:val="18"/>
        </w:rPr>
        <w:t xml:space="preserve"> </w:t>
      </w:r>
      <w:r>
        <w:rPr>
          <w:sz w:val="18"/>
        </w:rPr>
        <w:t>Gen.</w:t>
      </w:r>
      <w:r>
        <w:rPr>
          <w:spacing w:val="-1"/>
          <w:sz w:val="18"/>
        </w:rPr>
        <w:t xml:space="preserve"> </w:t>
      </w:r>
      <w:r>
        <w:rPr>
          <w:sz w:val="18"/>
        </w:rPr>
        <w:t>Laws</w:t>
      </w:r>
      <w:r>
        <w:rPr>
          <w:spacing w:val="-2"/>
          <w:sz w:val="18"/>
        </w:rPr>
        <w:t xml:space="preserve"> </w:t>
      </w:r>
      <w:r>
        <w:rPr>
          <w:sz w:val="18"/>
        </w:rPr>
        <w:t>ch.</w:t>
      </w:r>
      <w:r>
        <w:rPr>
          <w:spacing w:val="-1"/>
          <w:sz w:val="18"/>
        </w:rPr>
        <w:t xml:space="preserve"> </w:t>
      </w:r>
      <w:r>
        <w:rPr>
          <w:sz w:val="18"/>
        </w:rPr>
        <w:t>18C,</w:t>
      </w:r>
      <w:r>
        <w:rPr>
          <w:spacing w:val="-2"/>
          <w:sz w:val="18"/>
        </w:rPr>
        <w:t xml:space="preserve"> </w:t>
      </w:r>
      <w:r>
        <w:rPr>
          <w:sz w:val="18"/>
        </w:rPr>
        <w:t>§</w:t>
      </w:r>
      <w:r>
        <w:rPr>
          <w:spacing w:val="-1"/>
          <w:sz w:val="18"/>
        </w:rPr>
        <w:t xml:space="preserve"> </w:t>
      </w:r>
      <w:r>
        <w:rPr>
          <w:spacing w:val="-7"/>
          <w:sz w:val="18"/>
        </w:rPr>
        <w:t>5.</w:t>
      </w:r>
    </w:p>
    <w:p w:rsidR="00200FDA" w:rsidRDefault="00F76C4C">
      <w:pPr>
        <w:spacing w:before="1" w:line="219" w:lineRule="exact"/>
        <w:ind w:left="280"/>
        <w:rPr>
          <w:sz w:val="18"/>
        </w:rPr>
      </w:pPr>
      <w:bookmarkStart w:id="1091" w:name="_bookmark867"/>
      <w:bookmarkEnd w:id="1091"/>
      <w:r>
        <w:rPr>
          <w:position w:val="5"/>
          <w:sz w:val="12"/>
        </w:rPr>
        <w:t>viii</w:t>
      </w:r>
      <w:r>
        <w:rPr>
          <w:spacing w:val="7"/>
          <w:position w:val="5"/>
          <w:sz w:val="12"/>
        </w:rPr>
        <w:t xml:space="preserve"> </w:t>
      </w:r>
      <w:r>
        <w:rPr>
          <w:i/>
          <w:spacing w:val="-2"/>
          <w:sz w:val="18"/>
        </w:rPr>
        <w:t>Ibid</w:t>
      </w:r>
      <w:r>
        <w:rPr>
          <w:spacing w:val="-2"/>
          <w:sz w:val="18"/>
        </w:rPr>
        <w:t>.</w:t>
      </w:r>
    </w:p>
    <w:p w:rsidR="00200FDA" w:rsidRDefault="00F76C4C">
      <w:pPr>
        <w:ind w:left="279" w:right="2507"/>
        <w:rPr>
          <w:sz w:val="18"/>
        </w:rPr>
      </w:pPr>
      <w:bookmarkStart w:id="1092" w:name="_bookmark868"/>
      <w:bookmarkEnd w:id="1092"/>
      <w:r>
        <w:rPr>
          <w:position w:val="5"/>
          <w:sz w:val="12"/>
        </w:rPr>
        <w:t>ix</w:t>
      </w:r>
      <w:r>
        <w:rPr>
          <w:spacing w:val="12"/>
          <w:position w:val="5"/>
          <w:sz w:val="12"/>
        </w:rPr>
        <w:t xml:space="preserve"> </w:t>
      </w:r>
      <w:r>
        <w:rPr>
          <w:sz w:val="18"/>
        </w:rPr>
        <w:t>Office</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Child</w:t>
      </w:r>
      <w:r>
        <w:rPr>
          <w:spacing w:val="-3"/>
          <w:sz w:val="18"/>
        </w:rPr>
        <w:t xml:space="preserve"> </w:t>
      </w:r>
      <w:r>
        <w:rPr>
          <w:sz w:val="18"/>
        </w:rPr>
        <w:t>Advocate.</w:t>
      </w:r>
      <w:r>
        <w:rPr>
          <w:spacing w:val="-2"/>
          <w:sz w:val="18"/>
        </w:rPr>
        <w:t xml:space="preserve"> </w:t>
      </w:r>
      <w:r>
        <w:rPr>
          <w:sz w:val="18"/>
        </w:rPr>
        <w:t>2023.</w:t>
      </w:r>
      <w:r>
        <w:rPr>
          <w:spacing w:val="-2"/>
          <w:sz w:val="18"/>
        </w:rPr>
        <w:t xml:space="preserve"> </w:t>
      </w:r>
      <w:r>
        <w:rPr>
          <w:i/>
          <w:sz w:val="18"/>
        </w:rPr>
        <w:t>Office</w:t>
      </w:r>
      <w:r>
        <w:rPr>
          <w:i/>
          <w:spacing w:val="-2"/>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Child</w:t>
      </w:r>
      <w:r>
        <w:rPr>
          <w:i/>
          <w:spacing w:val="-1"/>
          <w:sz w:val="18"/>
        </w:rPr>
        <w:t xml:space="preserve"> </w:t>
      </w:r>
      <w:r>
        <w:rPr>
          <w:i/>
          <w:sz w:val="18"/>
        </w:rPr>
        <w:t>Advocate</w:t>
      </w:r>
      <w:r>
        <w:rPr>
          <w:i/>
          <w:spacing w:val="-2"/>
          <w:sz w:val="18"/>
        </w:rPr>
        <w:t xml:space="preserve"> </w:t>
      </w:r>
      <w:r>
        <w:rPr>
          <w:i/>
          <w:sz w:val="18"/>
        </w:rPr>
        <w:t>Annual</w:t>
      </w:r>
      <w:r>
        <w:rPr>
          <w:i/>
          <w:spacing w:val="-3"/>
          <w:sz w:val="18"/>
        </w:rPr>
        <w:t xml:space="preserve"> </w:t>
      </w:r>
      <w:r>
        <w:rPr>
          <w:i/>
          <w:sz w:val="18"/>
        </w:rPr>
        <w:t>Report:</w:t>
      </w:r>
      <w:r>
        <w:rPr>
          <w:i/>
          <w:spacing w:val="-2"/>
          <w:sz w:val="18"/>
        </w:rPr>
        <w:t xml:space="preserve"> </w:t>
      </w:r>
      <w:r>
        <w:rPr>
          <w:i/>
          <w:sz w:val="18"/>
        </w:rPr>
        <w:t>Fiscal</w:t>
      </w:r>
      <w:r>
        <w:rPr>
          <w:i/>
          <w:spacing w:val="-3"/>
          <w:sz w:val="18"/>
        </w:rPr>
        <w:t xml:space="preserve"> </w:t>
      </w:r>
      <w:r>
        <w:rPr>
          <w:i/>
          <w:sz w:val="18"/>
        </w:rPr>
        <w:t>Year</w:t>
      </w:r>
      <w:r>
        <w:rPr>
          <w:i/>
          <w:spacing w:val="-2"/>
          <w:sz w:val="18"/>
        </w:rPr>
        <w:t xml:space="preserve"> </w:t>
      </w:r>
      <w:r>
        <w:rPr>
          <w:i/>
          <w:sz w:val="18"/>
        </w:rPr>
        <w:t>2022</w:t>
      </w:r>
      <w:r>
        <w:rPr>
          <w:sz w:val="18"/>
        </w:rPr>
        <w:t xml:space="preserve">. </w:t>
      </w:r>
      <w:hyperlink r:id="rId813">
        <w:r>
          <w:rPr>
            <w:color w:val="1154CC"/>
            <w:spacing w:val="-2"/>
            <w:sz w:val="18"/>
            <w:u w:val="single" w:color="1154CC"/>
          </w:rPr>
          <w:t>https://www.mass.gov/doc/oca-annual-report-fiscal-year-2022/download</w:t>
        </w:r>
        <w:r>
          <w:rPr>
            <w:spacing w:val="-2"/>
            <w:sz w:val="18"/>
          </w:rPr>
          <w:t>.</w:t>
        </w:r>
      </w:hyperlink>
    </w:p>
    <w:p w:rsidR="00200FDA" w:rsidRDefault="00F76C4C">
      <w:pPr>
        <w:spacing w:line="219" w:lineRule="exact"/>
        <w:ind w:left="280"/>
        <w:rPr>
          <w:i/>
          <w:sz w:val="18"/>
        </w:rPr>
      </w:pPr>
      <w:bookmarkStart w:id="1093" w:name="_bookmark869"/>
      <w:bookmarkEnd w:id="1093"/>
      <w:r>
        <w:rPr>
          <w:position w:val="5"/>
          <w:sz w:val="12"/>
        </w:rPr>
        <w:t>x</w:t>
      </w:r>
      <w:r>
        <w:rPr>
          <w:spacing w:val="12"/>
          <w:position w:val="5"/>
          <w:sz w:val="12"/>
        </w:rPr>
        <w:t xml:space="preserve"> </w:t>
      </w:r>
      <w:r>
        <w:rPr>
          <w:i/>
          <w:spacing w:val="-2"/>
          <w:sz w:val="18"/>
        </w:rPr>
        <w:t>Ibid.</w:t>
      </w:r>
    </w:p>
    <w:p w:rsidR="00200FDA" w:rsidRDefault="00F76C4C">
      <w:pPr>
        <w:spacing w:line="219" w:lineRule="exact"/>
        <w:ind w:left="280"/>
        <w:rPr>
          <w:sz w:val="18"/>
        </w:rPr>
      </w:pPr>
      <w:bookmarkStart w:id="1094" w:name="_bookmark870"/>
      <w:bookmarkEnd w:id="1094"/>
      <w:r>
        <w:rPr>
          <w:position w:val="5"/>
          <w:sz w:val="12"/>
        </w:rPr>
        <w:t>xi</w:t>
      </w:r>
      <w:r>
        <w:rPr>
          <w:spacing w:val="8"/>
          <w:position w:val="5"/>
          <w:sz w:val="12"/>
        </w:rPr>
        <w:t xml:space="preserve"> </w:t>
      </w:r>
      <w:r>
        <w:rPr>
          <w:sz w:val="18"/>
        </w:rPr>
        <w:t>Mass.</w:t>
      </w:r>
      <w:r>
        <w:rPr>
          <w:spacing w:val="-1"/>
          <w:sz w:val="18"/>
        </w:rPr>
        <w:t xml:space="preserve"> </w:t>
      </w:r>
      <w:r>
        <w:rPr>
          <w:sz w:val="18"/>
        </w:rPr>
        <w:t>Gen.</w:t>
      </w:r>
      <w:r>
        <w:rPr>
          <w:spacing w:val="-1"/>
          <w:sz w:val="18"/>
        </w:rPr>
        <w:t xml:space="preserve"> </w:t>
      </w:r>
      <w:r>
        <w:rPr>
          <w:sz w:val="18"/>
        </w:rPr>
        <w:t>Laws</w:t>
      </w:r>
      <w:r>
        <w:rPr>
          <w:spacing w:val="-2"/>
          <w:sz w:val="18"/>
        </w:rPr>
        <w:t xml:space="preserve"> </w:t>
      </w:r>
      <w:r>
        <w:rPr>
          <w:sz w:val="18"/>
        </w:rPr>
        <w:t>Ann.</w:t>
      </w:r>
      <w:r>
        <w:rPr>
          <w:spacing w:val="-1"/>
          <w:sz w:val="18"/>
        </w:rPr>
        <w:t xml:space="preserve"> </w:t>
      </w:r>
      <w:r>
        <w:rPr>
          <w:sz w:val="18"/>
        </w:rPr>
        <w:t>ch.</w:t>
      </w:r>
      <w:r>
        <w:rPr>
          <w:spacing w:val="-1"/>
          <w:sz w:val="18"/>
        </w:rPr>
        <w:t xml:space="preserve"> </w:t>
      </w:r>
      <w:r>
        <w:rPr>
          <w:sz w:val="18"/>
        </w:rPr>
        <w:t>18C,</w:t>
      </w:r>
      <w:r>
        <w:rPr>
          <w:spacing w:val="-1"/>
          <w:sz w:val="18"/>
        </w:rPr>
        <w:t xml:space="preserve"> </w:t>
      </w:r>
      <w:r>
        <w:rPr>
          <w:sz w:val="18"/>
        </w:rPr>
        <w:t xml:space="preserve">§ </w:t>
      </w:r>
      <w:r>
        <w:rPr>
          <w:spacing w:val="-5"/>
          <w:sz w:val="18"/>
        </w:rPr>
        <w:t>6.</w:t>
      </w:r>
    </w:p>
    <w:p w:rsidR="00200FDA" w:rsidRDefault="00F76C4C">
      <w:pPr>
        <w:ind w:left="280" w:right="305"/>
        <w:jc w:val="both"/>
        <w:rPr>
          <w:sz w:val="18"/>
        </w:rPr>
      </w:pPr>
      <w:bookmarkStart w:id="1095" w:name="_bookmark871"/>
      <w:bookmarkEnd w:id="1095"/>
      <w:r>
        <w:rPr>
          <w:position w:val="5"/>
          <w:sz w:val="12"/>
        </w:rPr>
        <w:t>xii</w:t>
      </w:r>
      <w:r>
        <w:rPr>
          <w:spacing w:val="9"/>
          <w:position w:val="5"/>
          <w:sz w:val="12"/>
        </w:rPr>
        <w:t xml:space="preserve"> </w:t>
      </w:r>
      <w:r>
        <w:rPr>
          <w:sz w:val="18"/>
        </w:rPr>
        <w:t>U.S.</w:t>
      </w:r>
      <w:r>
        <w:rPr>
          <w:spacing w:val="-3"/>
          <w:sz w:val="18"/>
        </w:rPr>
        <w:t xml:space="preserve"> </w:t>
      </w:r>
      <w:r>
        <w:rPr>
          <w:sz w:val="18"/>
        </w:rPr>
        <w:t>Administration</w:t>
      </w:r>
      <w:r>
        <w:rPr>
          <w:spacing w:val="-4"/>
          <w:sz w:val="18"/>
        </w:rPr>
        <w:t xml:space="preserve"> </w:t>
      </w:r>
      <w:r>
        <w:rPr>
          <w:sz w:val="18"/>
        </w:rPr>
        <w:t>for</w:t>
      </w:r>
      <w:r>
        <w:rPr>
          <w:spacing w:val="-4"/>
          <w:sz w:val="18"/>
        </w:rPr>
        <w:t xml:space="preserve"> </w:t>
      </w:r>
      <w:r>
        <w:rPr>
          <w:sz w:val="18"/>
        </w:rPr>
        <w:t>Children</w:t>
      </w:r>
      <w:r>
        <w:rPr>
          <w:spacing w:val="-2"/>
          <w:sz w:val="18"/>
        </w:rPr>
        <w:t xml:space="preserve"> </w:t>
      </w:r>
      <w:r>
        <w:rPr>
          <w:sz w:val="18"/>
        </w:rPr>
        <w:t>and</w:t>
      </w:r>
      <w:r>
        <w:rPr>
          <w:spacing w:val="-4"/>
          <w:sz w:val="18"/>
        </w:rPr>
        <w:t xml:space="preserve"> </w:t>
      </w:r>
      <w:r>
        <w:rPr>
          <w:sz w:val="18"/>
        </w:rPr>
        <w:t>Families,</w:t>
      </w:r>
      <w:r>
        <w:rPr>
          <w:spacing w:val="-3"/>
          <w:sz w:val="18"/>
        </w:rPr>
        <w:t xml:space="preserve"> </w:t>
      </w:r>
      <w:r>
        <w:rPr>
          <w:sz w:val="18"/>
        </w:rPr>
        <w:t>Children’s</w:t>
      </w:r>
      <w:r>
        <w:rPr>
          <w:spacing w:val="-4"/>
          <w:sz w:val="18"/>
        </w:rPr>
        <w:t xml:space="preserve"> </w:t>
      </w:r>
      <w:r>
        <w:rPr>
          <w:sz w:val="18"/>
        </w:rPr>
        <w:t>Bureau.</w:t>
      </w:r>
      <w:r>
        <w:rPr>
          <w:spacing w:val="-1"/>
          <w:sz w:val="18"/>
        </w:rPr>
        <w:t xml:space="preserve"> </w:t>
      </w:r>
      <w:r>
        <w:rPr>
          <w:i/>
          <w:sz w:val="18"/>
        </w:rPr>
        <w:t>Advancing</w:t>
      </w:r>
      <w:r>
        <w:rPr>
          <w:i/>
          <w:spacing w:val="-2"/>
          <w:sz w:val="18"/>
        </w:rPr>
        <w:t xml:space="preserve"> </w:t>
      </w:r>
      <w:r>
        <w:rPr>
          <w:i/>
          <w:sz w:val="18"/>
        </w:rPr>
        <w:t>Equity</w:t>
      </w:r>
      <w:r>
        <w:rPr>
          <w:i/>
          <w:spacing w:val="-5"/>
          <w:sz w:val="18"/>
        </w:rPr>
        <w:t xml:space="preserve"> </w:t>
      </w:r>
      <w:r>
        <w:rPr>
          <w:i/>
          <w:sz w:val="18"/>
        </w:rPr>
        <w:t>and</w:t>
      </w:r>
      <w:r>
        <w:rPr>
          <w:i/>
          <w:spacing w:val="-2"/>
          <w:sz w:val="18"/>
        </w:rPr>
        <w:t xml:space="preserve"> </w:t>
      </w:r>
      <w:r>
        <w:rPr>
          <w:i/>
          <w:sz w:val="18"/>
        </w:rPr>
        <w:t>Inclusion</w:t>
      </w:r>
      <w:r>
        <w:rPr>
          <w:i/>
          <w:spacing w:val="-2"/>
          <w:sz w:val="18"/>
        </w:rPr>
        <w:t xml:space="preserve"> </w:t>
      </w:r>
      <w:r>
        <w:rPr>
          <w:i/>
          <w:sz w:val="18"/>
        </w:rPr>
        <w:t>Through</w:t>
      </w:r>
      <w:r>
        <w:rPr>
          <w:i/>
          <w:spacing w:val="-2"/>
          <w:sz w:val="18"/>
        </w:rPr>
        <w:t xml:space="preserve"> </w:t>
      </w:r>
      <w:r>
        <w:rPr>
          <w:i/>
          <w:sz w:val="18"/>
        </w:rPr>
        <w:t>the</w:t>
      </w:r>
      <w:r>
        <w:rPr>
          <w:i/>
          <w:spacing w:val="-3"/>
          <w:sz w:val="18"/>
        </w:rPr>
        <w:t xml:space="preserve"> </w:t>
      </w:r>
      <w:r>
        <w:rPr>
          <w:i/>
          <w:sz w:val="18"/>
        </w:rPr>
        <w:t>Child</w:t>
      </w:r>
      <w:r>
        <w:rPr>
          <w:i/>
          <w:spacing w:val="-5"/>
          <w:sz w:val="18"/>
        </w:rPr>
        <w:t xml:space="preserve"> </w:t>
      </w:r>
      <w:r>
        <w:rPr>
          <w:i/>
          <w:sz w:val="18"/>
        </w:rPr>
        <w:t>and</w:t>
      </w:r>
      <w:r>
        <w:rPr>
          <w:i/>
          <w:spacing w:val="-2"/>
          <w:sz w:val="18"/>
        </w:rPr>
        <w:t xml:space="preserve"> </w:t>
      </w:r>
      <w:r>
        <w:rPr>
          <w:i/>
          <w:sz w:val="18"/>
        </w:rPr>
        <w:t>Family Service</w:t>
      </w:r>
      <w:r>
        <w:rPr>
          <w:i/>
          <w:spacing w:val="-9"/>
          <w:sz w:val="18"/>
        </w:rPr>
        <w:t xml:space="preserve"> </w:t>
      </w:r>
      <w:r>
        <w:rPr>
          <w:i/>
          <w:sz w:val="18"/>
        </w:rPr>
        <w:t>Reviews</w:t>
      </w:r>
      <w:r>
        <w:rPr>
          <w:sz w:val="18"/>
        </w:rPr>
        <w:t>.</w:t>
      </w:r>
      <w:r>
        <w:rPr>
          <w:spacing w:val="-9"/>
          <w:sz w:val="18"/>
        </w:rPr>
        <w:t xml:space="preserve"> </w:t>
      </w:r>
      <w:hyperlink r:id="rId814">
        <w:r>
          <w:rPr>
            <w:color w:val="1154CC"/>
            <w:sz w:val="18"/>
            <w:u w:val="single" w:color="1154CC"/>
          </w:rPr>
          <w:t>https://www.</w:t>
        </w:r>
        <w:r>
          <w:rPr>
            <w:color w:val="1154CC"/>
            <w:sz w:val="18"/>
            <w:u w:val="single" w:color="1154CC"/>
          </w:rPr>
          <w:t>cfsrportal.acf.hhs.gov/resources/round-4-resources/cfsr-round-4-process/advancing-equity-and-</w:t>
        </w:r>
      </w:hyperlink>
      <w:r>
        <w:rPr>
          <w:color w:val="1154CC"/>
          <w:sz w:val="18"/>
        </w:rPr>
        <w:t xml:space="preserve"> </w:t>
      </w:r>
      <w:hyperlink r:id="rId815">
        <w:r>
          <w:rPr>
            <w:color w:val="1154CC"/>
            <w:spacing w:val="-2"/>
            <w:sz w:val="18"/>
            <w:u w:val="single" w:color="1154CC"/>
          </w:rPr>
          <w:t>inclusion-thro</w:t>
        </w:r>
        <w:r>
          <w:rPr>
            <w:color w:val="1154CC"/>
            <w:spacing w:val="-2"/>
            <w:sz w:val="18"/>
            <w:u w:val="single" w:color="1154CC"/>
          </w:rPr>
          <w:t>ugh-cfsrs</w:t>
        </w:r>
      </w:hyperlink>
    </w:p>
    <w:p w:rsidR="00200FDA" w:rsidRDefault="00F76C4C">
      <w:pPr>
        <w:spacing w:before="1"/>
        <w:ind w:left="279" w:right="687"/>
        <w:rPr>
          <w:sz w:val="20"/>
        </w:rPr>
      </w:pPr>
      <w:bookmarkStart w:id="1096" w:name="_bookmark872"/>
      <w:bookmarkEnd w:id="1096"/>
      <w:r>
        <w:rPr>
          <w:sz w:val="20"/>
          <w:vertAlign w:val="superscript"/>
        </w:rPr>
        <w:t>xiii</w:t>
      </w:r>
      <w:r>
        <w:rPr>
          <w:sz w:val="20"/>
        </w:rPr>
        <w:t xml:space="preserve"> Alexis Henry and Carter Pratt, “Evaluation of a Housing Stabilization and Support Program</w:t>
      </w:r>
      <w:r>
        <w:rPr>
          <w:spacing w:val="-1"/>
          <w:sz w:val="20"/>
        </w:rPr>
        <w:t xml:space="preserve"> </w:t>
      </w:r>
      <w:r>
        <w:rPr>
          <w:sz w:val="20"/>
        </w:rPr>
        <w:t>for DCF-Involved Youth</w:t>
      </w:r>
      <w:r>
        <w:rPr>
          <w:spacing w:val="-5"/>
          <w:sz w:val="20"/>
        </w:rPr>
        <w:t xml:space="preserve"> </w:t>
      </w:r>
      <w:r>
        <w:rPr>
          <w:sz w:val="20"/>
        </w:rPr>
        <w:t>and</w:t>
      </w:r>
      <w:r>
        <w:rPr>
          <w:spacing w:val="-5"/>
          <w:sz w:val="20"/>
        </w:rPr>
        <w:t xml:space="preserve"> </w:t>
      </w:r>
      <w:r>
        <w:rPr>
          <w:sz w:val="20"/>
        </w:rPr>
        <w:t>Young</w:t>
      </w:r>
      <w:r>
        <w:rPr>
          <w:spacing w:val="-6"/>
          <w:sz w:val="20"/>
        </w:rPr>
        <w:t xml:space="preserve"> </w:t>
      </w:r>
      <w:r>
        <w:rPr>
          <w:sz w:val="20"/>
        </w:rPr>
        <w:t>Adults:</w:t>
      </w:r>
      <w:r>
        <w:rPr>
          <w:spacing w:val="-7"/>
          <w:sz w:val="20"/>
        </w:rPr>
        <w:t xml:space="preserve"> </w:t>
      </w:r>
      <w:r>
        <w:rPr>
          <w:sz w:val="20"/>
        </w:rPr>
        <w:t>FY22</w:t>
      </w:r>
      <w:r>
        <w:rPr>
          <w:spacing w:val="-4"/>
          <w:sz w:val="20"/>
        </w:rPr>
        <w:t xml:space="preserve"> </w:t>
      </w:r>
      <w:r>
        <w:rPr>
          <w:sz w:val="20"/>
        </w:rPr>
        <w:t>Update,”</w:t>
      </w:r>
      <w:r>
        <w:rPr>
          <w:spacing w:val="-5"/>
          <w:sz w:val="20"/>
        </w:rPr>
        <w:t xml:space="preserve"> </w:t>
      </w:r>
      <w:r>
        <w:rPr>
          <w:sz w:val="20"/>
        </w:rPr>
        <w:t>August</w:t>
      </w:r>
      <w:r>
        <w:rPr>
          <w:spacing w:val="-6"/>
          <w:sz w:val="20"/>
        </w:rPr>
        <w:t xml:space="preserve"> </w:t>
      </w:r>
      <w:r>
        <w:rPr>
          <w:sz w:val="20"/>
        </w:rPr>
        <w:t>2022,</w:t>
      </w:r>
      <w:r>
        <w:rPr>
          <w:spacing w:val="-5"/>
          <w:sz w:val="20"/>
        </w:rPr>
        <w:t xml:space="preserve"> </w:t>
      </w:r>
      <w:r>
        <w:rPr>
          <w:sz w:val="20"/>
        </w:rPr>
        <w:t>https://</w:t>
      </w:r>
      <w:hyperlink r:id="rId816">
        <w:r>
          <w:rPr>
            <w:sz w:val="20"/>
          </w:rPr>
          <w:t>www.mass.gov/doc/a-housing-stabilization-and-</w:t>
        </w:r>
      </w:hyperlink>
      <w:r>
        <w:rPr>
          <w:sz w:val="20"/>
        </w:rPr>
        <w:t xml:space="preserve"> </w:t>
      </w:r>
      <w:r>
        <w:rPr>
          <w:spacing w:val="-2"/>
          <w:sz w:val="20"/>
        </w:rPr>
        <w:t>support-program-for-young-adults-opting-out-of-dcf-care-interim-evaluation-august-2022-update-on-hssp- pilot/download.</w:t>
      </w:r>
    </w:p>
    <w:p w:rsidR="00200FDA" w:rsidRDefault="00F76C4C">
      <w:pPr>
        <w:ind w:left="280" w:right="2452" w:hanging="1"/>
        <w:rPr>
          <w:sz w:val="18"/>
        </w:rPr>
      </w:pPr>
      <w:bookmarkStart w:id="1097" w:name="_bookmark873"/>
      <w:bookmarkEnd w:id="1097"/>
      <w:r>
        <w:rPr>
          <w:position w:val="5"/>
          <w:sz w:val="12"/>
        </w:rPr>
        <w:t>xiv</w:t>
      </w:r>
      <w:r>
        <w:rPr>
          <w:spacing w:val="12"/>
          <w:position w:val="5"/>
          <w:sz w:val="12"/>
        </w:rPr>
        <w:t xml:space="preserve"> </w:t>
      </w:r>
      <w:r>
        <w:rPr>
          <w:sz w:val="18"/>
        </w:rPr>
        <w:t>Office</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Child</w:t>
      </w:r>
      <w:r>
        <w:rPr>
          <w:spacing w:val="-3"/>
          <w:sz w:val="18"/>
        </w:rPr>
        <w:t xml:space="preserve"> </w:t>
      </w:r>
      <w:r>
        <w:rPr>
          <w:sz w:val="18"/>
        </w:rPr>
        <w:t>Advocate.</w:t>
      </w:r>
      <w:r>
        <w:rPr>
          <w:spacing w:val="-2"/>
          <w:sz w:val="18"/>
        </w:rPr>
        <w:t xml:space="preserve"> </w:t>
      </w:r>
      <w:r>
        <w:rPr>
          <w:sz w:val="18"/>
        </w:rPr>
        <w:t>2023.</w:t>
      </w:r>
      <w:r>
        <w:rPr>
          <w:spacing w:val="-2"/>
          <w:sz w:val="18"/>
        </w:rPr>
        <w:t xml:space="preserve"> </w:t>
      </w:r>
      <w:r>
        <w:rPr>
          <w:i/>
          <w:sz w:val="18"/>
        </w:rPr>
        <w:t>Office</w:t>
      </w:r>
      <w:r>
        <w:rPr>
          <w:i/>
          <w:spacing w:val="-2"/>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Child</w:t>
      </w:r>
      <w:r>
        <w:rPr>
          <w:i/>
          <w:spacing w:val="-1"/>
          <w:sz w:val="18"/>
        </w:rPr>
        <w:t xml:space="preserve"> </w:t>
      </w:r>
      <w:r>
        <w:rPr>
          <w:i/>
          <w:sz w:val="18"/>
        </w:rPr>
        <w:t>Advocate</w:t>
      </w:r>
      <w:r>
        <w:rPr>
          <w:i/>
          <w:spacing w:val="-2"/>
          <w:sz w:val="18"/>
        </w:rPr>
        <w:t xml:space="preserve"> </w:t>
      </w:r>
      <w:r>
        <w:rPr>
          <w:i/>
          <w:sz w:val="18"/>
        </w:rPr>
        <w:t>Annual</w:t>
      </w:r>
      <w:r>
        <w:rPr>
          <w:i/>
          <w:spacing w:val="-3"/>
          <w:sz w:val="18"/>
        </w:rPr>
        <w:t xml:space="preserve"> </w:t>
      </w:r>
      <w:r>
        <w:rPr>
          <w:i/>
          <w:sz w:val="18"/>
        </w:rPr>
        <w:t>Report:</w:t>
      </w:r>
      <w:r>
        <w:rPr>
          <w:i/>
          <w:spacing w:val="-2"/>
          <w:sz w:val="18"/>
        </w:rPr>
        <w:t xml:space="preserve"> </w:t>
      </w:r>
      <w:r>
        <w:rPr>
          <w:i/>
          <w:sz w:val="18"/>
        </w:rPr>
        <w:t>Fiscal</w:t>
      </w:r>
      <w:r>
        <w:rPr>
          <w:i/>
          <w:spacing w:val="-3"/>
          <w:sz w:val="18"/>
        </w:rPr>
        <w:t xml:space="preserve"> </w:t>
      </w:r>
      <w:r>
        <w:rPr>
          <w:i/>
          <w:sz w:val="18"/>
        </w:rPr>
        <w:t>Year</w:t>
      </w:r>
      <w:r>
        <w:rPr>
          <w:i/>
          <w:spacing w:val="-3"/>
          <w:sz w:val="18"/>
        </w:rPr>
        <w:t xml:space="preserve"> </w:t>
      </w:r>
      <w:r>
        <w:rPr>
          <w:i/>
          <w:sz w:val="18"/>
        </w:rPr>
        <w:t>2022</w:t>
      </w:r>
      <w:r>
        <w:rPr>
          <w:sz w:val="18"/>
        </w:rPr>
        <w:t xml:space="preserve">. </w:t>
      </w:r>
      <w:hyperlink r:id="rId817">
        <w:r>
          <w:rPr>
            <w:color w:val="1154CC"/>
            <w:spacing w:val="-2"/>
            <w:sz w:val="18"/>
            <w:u w:val="single" w:color="1154CC"/>
          </w:rPr>
          <w:t>https://www.mass.gov/doc/oca-annual-report-fiscal-year-2022/download</w:t>
        </w:r>
        <w:r>
          <w:rPr>
            <w:spacing w:val="-2"/>
            <w:sz w:val="18"/>
          </w:rPr>
          <w:t>.</w:t>
        </w:r>
      </w:hyperlink>
    </w:p>
    <w:p w:rsidR="00200FDA" w:rsidRDefault="00F76C4C">
      <w:pPr>
        <w:spacing w:line="219" w:lineRule="exact"/>
        <w:ind w:left="280"/>
        <w:rPr>
          <w:i/>
          <w:sz w:val="18"/>
        </w:rPr>
      </w:pPr>
      <w:bookmarkStart w:id="1098" w:name="_bookmark874"/>
      <w:bookmarkEnd w:id="1098"/>
      <w:r>
        <w:rPr>
          <w:position w:val="5"/>
          <w:sz w:val="12"/>
        </w:rPr>
        <w:t>xv</w:t>
      </w:r>
      <w:r>
        <w:rPr>
          <w:spacing w:val="14"/>
          <w:position w:val="5"/>
          <w:sz w:val="12"/>
        </w:rPr>
        <w:t xml:space="preserve"> </w:t>
      </w:r>
      <w:r>
        <w:rPr>
          <w:i/>
          <w:spacing w:val="-4"/>
          <w:sz w:val="18"/>
        </w:rPr>
        <w:t>Ibid.</w:t>
      </w:r>
    </w:p>
    <w:p w:rsidR="00200FDA" w:rsidRDefault="00F76C4C">
      <w:pPr>
        <w:spacing w:before="1"/>
        <w:ind w:left="279" w:right="453"/>
        <w:rPr>
          <w:sz w:val="18"/>
        </w:rPr>
      </w:pPr>
      <w:bookmarkStart w:id="1099" w:name="_bookmark875"/>
      <w:bookmarkEnd w:id="1099"/>
      <w:r>
        <w:rPr>
          <w:position w:val="5"/>
          <w:sz w:val="12"/>
        </w:rPr>
        <w:t>xvi</w:t>
      </w:r>
      <w:r>
        <w:rPr>
          <w:spacing w:val="9"/>
          <w:position w:val="5"/>
          <w:sz w:val="12"/>
        </w:rPr>
        <w:t xml:space="preserve"> </w:t>
      </w:r>
      <w:r>
        <w:rPr>
          <w:sz w:val="18"/>
        </w:rPr>
        <w:t>Angela</w:t>
      </w:r>
      <w:r>
        <w:rPr>
          <w:spacing w:val="-3"/>
          <w:sz w:val="18"/>
        </w:rPr>
        <w:t xml:space="preserve"> </w:t>
      </w:r>
      <w:r>
        <w:rPr>
          <w:sz w:val="18"/>
        </w:rPr>
        <w:t>Irvine</w:t>
      </w:r>
      <w:r>
        <w:rPr>
          <w:spacing w:val="-4"/>
          <w:sz w:val="18"/>
        </w:rPr>
        <w:t xml:space="preserve"> </w:t>
      </w:r>
      <w:r>
        <w:rPr>
          <w:sz w:val="18"/>
        </w:rPr>
        <w:t>and</w:t>
      </w:r>
      <w:r>
        <w:rPr>
          <w:spacing w:val="-4"/>
          <w:sz w:val="18"/>
        </w:rPr>
        <w:t xml:space="preserve"> </w:t>
      </w:r>
      <w:r>
        <w:rPr>
          <w:sz w:val="18"/>
        </w:rPr>
        <w:t>Aisha</w:t>
      </w:r>
      <w:r>
        <w:rPr>
          <w:spacing w:val="-3"/>
          <w:sz w:val="18"/>
        </w:rPr>
        <w:t xml:space="preserve"> </w:t>
      </w:r>
      <w:r>
        <w:rPr>
          <w:sz w:val="18"/>
        </w:rPr>
        <w:t>Canfield,</w:t>
      </w:r>
      <w:r>
        <w:rPr>
          <w:spacing w:val="-3"/>
          <w:sz w:val="18"/>
        </w:rPr>
        <w:t xml:space="preserve"> </w:t>
      </w:r>
      <w:r>
        <w:rPr>
          <w:sz w:val="18"/>
        </w:rPr>
        <w:t>“The</w:t>
      </w:r>
      <w:r>
        <w:rPr>
          <w:spacing w:val="-4"/>
          <w:sz w:val="18"/>
        </w:rPr>
        <w:t xml:space="preserve"> </w:t>
      </w:r>
      <w:r>
        <w:rPr>
          <w:sz w:val="18"/>
        </w:rPr>
        <w:t>Overrepresentation</w:t>
      </w:r>
      <w:r>
        <w:rPr>
          <w:spacing w:val="-4"/>
          <w:sz w:val="18"/>
        </w:rPr>
        <w:t xml:space="preserve"> </w:t>
      </w:r>
      <w:r>
        <w:rPr>
          <w:sz w:val="18"/>
        </w:rPr>
        <w:t>of</w:t>
      </w:r>
      <w:r>
        <w:rPr>
          <w:spacing w:val="-3"/>
          <w:sz w:val="18"/>
        </w:rPr>
        <w:t xml:space="preserve"> </w:t>
      </w:r>
      <w:r>
        <w:rPr>
          <w:sz w:val="18"/>
        </w:rPr>
        <w:t>Lesbian,</w:t>
      </w:r>
      <w:r>
        <w:rPr>
          <w:spacing w:val="-3"/>
          <w:sz w:val="18"/>
        </w:rPr>
        <w:t xml:space="preserve"> </w:t>
      </w:r>
      <w:r>
        <w:rPr>
          <w:sz w:val="18"/>
        </w:rPr>
        <w:t>Gay,</w:t>
      </w:r>
      <w:r>
        <w:rPr>
          <w:spacing w:val="-3"/>
          <w:sz w:val="18"/>
        </w:rPr>
        <w:t xml:space="preserve"> </w:t>
      </w:r>
      <w:r>
        <w:rPr>
          <w:sz w:val="18"/>
        </w:rPr>
        <w:t>Bisexual,</w:t>
      </w:r>
      <w:r>
        <w:rPr>
          <w:spacing w:val="-3"/>
          <w:sz w:val="18"/>
        </w:rPr>
        <w:t xml:space="preserve"> </w:t>
      </w:r>
      <w:r>
        <w:rPr>
          <w:sz w:val="18"/>
        </w:rPr>
        <w:t>Questioning,</w:t>
      </w:r>
      <w:r>
        <w:rPr>
          <w:spacing w:val="-3"/>
          <w:sz w:val="18"/>
        </w:rPr>
        <w:t xml:space="preserve"> </w:t>
      </w:r>
      <w:r>
        <w:rPr>
          <w:sz w:val="18"/>
        </w:rPr>
        <w:t>Gender</w:t>
      </w:r>
      <w:r>
        <w:rPr>
          <w:spacing w:val="-4"/>
          <w:sz w:val="18"/>
        </w:rPr>
        <w:t xml:space="preserve"> </w:t>
      </w:r>
      <w:r>
        <w:rPr>
          <w:sz w:val="18"/>
        </w:rPr>
        <w:t>Nonconforming and</w:t>
      </w:r>
      <w:r>
        <w:rPr>
          <w:spacing w:val="-2"/>
          <w:sz w:val="18"/>
        </w:rPr>
        <w:t xml:space="preserve"> </w:t>
      </w:r>
      <w:r>
        <w:rPr>
          <w:sz w:val="18"/>
        </w:rPr>
        <w:t>Transgender</w:t>
      </w:r>
      <w:r>
        <w:rPr>
          <w:spacing w:val="-2"/>
          <w:sz w:val="18"/>
        </w:rPr>
        <w:t xml:space="preserve"> </w:t>
      </w:r>
      <w:r>
        <w:rPr>
          <w:sz w:val="18"/>
        </w:rPr>
        <w:t>Youth</w:t>
      </w:r>
      <w:r>
        <w:rPr>
          <w:spacing w:val="-2"/>
          <w:sz w:val="18"/>
        </w:rPr>
        <w:t xml:space="preserve"> </w:t>
      </w:r>
      <w:r>
        <w:rPr>
          <w:sz w:val="18"/>
        </w:rPr>
        <w:t>Within</w:t>
      </w:r>
      <w:r>
        <w:rPr>
          <w:spacing w:val="-2"/>
          <w:sz w:val="18"/>
        </w:rPr>
        <w:t xml:space="preserve"> </w:t>
      </w:r>
      <w:r>
        <w:rPr>
          <w:sz w:val="18"/>
        </w:rPr>
        <w:t>the</w:t>
      </w:r>
      <w:r>
        <w:rPr>
          <w:spacing w:val="-2"/>
          <w:sz w:val="18"/>
        </w:rPr>
        <w:t xml:space="preserve"> </w:t>
      </w:r>
      <w:r>
        <w:rPr>
          <w:sz w:val="18"/>
        </w:rPr>
        <w:t>Child</w:t>
      </w:r>
      <w:r>
        <w:rPr>
          <w:spacing w:val="-2"/>
          <w:sz w:val="18"/>
        </w:rPr>
        <w:t xml:space="preserve"> </w:t>
      </w:r>
      <w:r>
        <w:rPr>
          <w:sz w:val="18"/>
        </w:rPr>
        <w:t>Welfare</w:t>
      </w:r>
      <w:r>
        <w:rPr>
          <w:spacing w:val="-2"/>
          <w:sz w:val="18"/>
        </w:rPr>
        <w:t xml:space="preserve"> </w:t>
      </w:r>
      <w:r>
        <w:rPr>
          <w:sz w:val="18"/>
        </w:rPr>
        <w:t>to Juvenile</w:t>
      </w:r>
      <w:r>
        <w:rPr>
          <w:spacing w:val="-2"/>
          <w:sz w:val="18"/>
        </w:rPr>
        <w:t xml:space="preserve"> </w:t>
      </w:r>
      <w:r>
        <w:rPr>
          <w:sz w:val="18"/>
        </w:rPr>
        <w:t>Justice</w:t>
      </w:r>
      <w:r>
        <w:rPr>
          <w:spacing w:val="-2"/>
          <w:sz w:val="18"/>
        </w:rPr>
        <w:t xml:space="preserve"> </w:t>
      </w:r>
      <w:r>
        <w:rPr>
          <w:sz w:val="18"/>
        </w:rPr>
        <w:t>Crossover</w:t>
      </w:r>
      <w:r>
        <w:rPr>
          <w:spacing w:val="-2"/>
          <w:sz w:val="18"/>
        </w:rPr>
        <w:t xml:space="preserve"> </w:t>
      </w:r>
      <w:r>
        <w:rPr>
          <w:sz w:val="18"/>
        </w:rPr>
        <w:t>Population,”</w:t>
      </w:r>
      <w:r>
        <w:rPr>
          <w:spacing w:val="-2"/>
          <w:sz w:val="18"/>
        </w:rPr>
        <w:t xml:space="preserve"> </w:t>
      </w:r>
      <w:r>
        <w:rPr>
          <w:sz w:val="18"/>
        </w:rPr>
        <w:t>Journal on</w:t>
      </w:r>
      <w:r>
        <w:rPr>
          <w:spacing w:val="-2"/>
          <w:sz w:val="18"/>
        </w:rPr>
        <w:t xml:space="preserve"> </w:t>
      </w:r>
      <w:r>
        <w:rPr>
          <w:sz w:val="18"/>
        </w:rPr>
        <w:t>Gender,</w:t>
      </w:r>
      <w:r>
        <w:rPr>
          <w:spacing w:val="-1"/>
          <w:sz w:val="18"/>
        </w:rPr>
        <w:t xml:space="preserve"> </w:t>
      </w:r>
      <w:r>
        <w:rPr>
          <w:sz w:val="18"/>
        </w:rPr>
        <w:t>Social</w:t>
      </w:r>
      <w:r>
        <w:rPr>
          <w:spacing w:val="-2"/>
          <w:sz w:val="18"/>
        </w:rPr>
        <w:t xml:space="preserve"> </w:t>
      </w:r>
      <w:r>
        <w:rPr>
          <w:sz w:val="18"/>
        </w:rPr>
        <w:t xml:space="preserve">Policy, and the Law 24, no. 2 (2016): 245. </w:t>
      </w:r>
      <w:r>
        <w:rPr>
          <w:spacing w:val="-2"/>
          <w:sz w:val="18"/>
        </w:rPr>
        <w:t>https://static1.squarespace.com/static/60da0d6e99c93</w:t>
      </w:r>
      <w:r>
        <w:rPr>
          <w:spacing w:val="-2"/>
          <w:sz w:val="18"/>
        </w:rPr>
        <w:t>c16e9951f78/t/60feb3d0735d6f7990c4f328/16273049199</w:t>
      </w:r>
      <w:r>
        <w:rPr>
          <w:sz w:val="18"/>
        </w:rPr>
        <w:t xml:space="preserve"> </w:t>
      </w:r>
      <w:bookmarkStart w:id="1100" w:name="_bookmark876"/>
      <w:bookmarkEnd w:id="1100"/>
      <w:r>
        <w:rPr>
          <w:spacing w:val="-2"/>
          <w:sz w:val="18"/>
        </w:rPr>
        <w:t>84/irvine.canfield.jgspl.2016.pdf.</w:t>
      </w:r>
    </w:p>
    <w:p w:rsidR="00200FDA" w:rsidRDefault="00F76C4C">
      <w:pPr>
        <w:spacing w:line="218" w:lineRule="exact"/>
        <w:ind w:left="280"/>
        <w:rPr>
          <w:sz w:val="18"/>
        </w:rPr>
      </w:pPr>
      <w:r>
        <w:rPr>
          <w:position w:val="5"/>
          <w:sz w:val="12"/>
        </w:rPr>
        <w:t>xvii</w:t>
      </w:r>
      <w:r>
        <w:rPr>
          <w:spacing w:val="11"/>
          <w:position w:val="5"/>
          <w:sz w:val="12"/>
        </w:rPr>
        <w:t xml:space="preserve"> </w:t>
      </w:r>
      <w:bookmarkStart w:id="1101" w:name="_bookmark877"/>
      <w:bookmarkEnd w:id="1101"/>
      <w:r>
        <w:rPr>
          <w:sz w:val="18"/>
        </w:rPr>
        <w:t>Data</w:t>
      </w:r>
      <w:r>
        <w:rPr>
          <w:spacing w:val="-1"/>
          <w:sz w:val="18"/>
        </w:rPr>
        <w:t xml:space="preserve"> </w:t>
      </w:r>
      <w:r>
        <w:rPr>
          <w:sz w:val="18"/>
        </w:rPr>
        <w:t>on</w:t>
      </w:r>
      <w:r>
        <w:rPr>
          <w:spacing w:val="-2"/>
          <w:sz w:val="18"/>
        </w:rPr>
        <w:t xml:space="preserve"> </w:t>
      </w:r>
      <w:r>
        <w:rPr>
          <w:sz w:val="18"/>
        </w:rPr>
        <w:t>file</w:t>
      </w:r>
      <w:r>
        <w:rPr>
          <w:spacing w:val="-2"/>
          <w:sz w:val="18"/>
        </w:rPr>
        <w:t xml:space="preserve"> </w:t>
      </w:r>
      <w:r>
        <w:rPr>
          <w:sz w:val="18"/>
        </w:rPr>
        <w:t>with</w:t>
      </w:r>
      <w:r>
        <w:rPr>
          <w:spacing w:val="-2"/>
          <w:sz w:val="18"/>
        </w:rPr>
        <w:t xml:space="preserve"> </w:t>
      </w:r>
      <w:r>
        <w:rPr>
          <w:sz w:val="18"/>
        </w:rPr>
        <w:t>the</w:t>
      </w:r>
      <w:r>
        <w:rPr>
          <w:spacing w:val="-2"/>
          <w:sz w:val="18"/>
        </w:rPr>
        <w:t xml:space="preserve"> Commission.</w:t>
      </w:r>
    </w:p>
    <w:p w:rsidR="00200FDA" w:rsidRDefault="00F76C4C">
      <w:pPr>
        <w:spacing w:before="1"/>
        <w:ind w:left="280"/>
        <w:rPr>
          <w:i/>
          <w:sz w:val="18"/>
        </w:rPr>
      </w:pPr>
      <w:r>
        <w:rPr>
          <w:position w:val="5"/>
          <w:sz w:val="12"/>
        </w:rPr>
        <w:t>xviii</w:t>
      </w:r>
      <w:r>
        <w:rPr>
          <w:spacing w:val="7"/>
          <w:position w:val="5"/>
          <w:sz w:val="12"/>
        </w:rPr>
        <w:t xml:space="preserve"> </w:t>
      </w:r>
      <w:r>
        <w:rPr>
          <w:sz w:val="18"/>
        </w:rPr>
        <w:t>Juvenile</w:t>
      </w:r>
      <w:r>
        <w:rPr>
          <w:spacing w:val="-3"/>
          <w:sz w:val="18"/>
        </w:rPr>
        <w:t xml:space="preserve"> </w:t>
      </w:r>
      <w:r>
        <w:rPr>
          <w:sz w:val="18"/>
        </w:rPr>
        <w:t>Justice</w:t>
      </w:r>
      <w:r>
        <w:rPr>
          <w:spacing w:val="-3"/>
          <w:sz w:val="18"/>
        </w:rPr>
        <w:t xml:space="preserve"> </w:t>
      </w:r>
      <w:r>
        <w:rPr>
          <w:sz w:val="18"/>
        </w:rPr>
        <w:t>Policy</w:t>
      </w:r>
      <w:r>
        <w:rPr>
          <w:spacing w:val="-2"/>
          <w:sz w:val="18"/>
        </w:rPr>
        <w:t xml:space="preserve"> </w:t>
      </w:r>
      <w:r>
        <w:rPr>
          <w:sz w:val="18"/>
        </w:rPr>
        <w:t>and</w:t>
      </w:r>
      <w:r>
        <w:rPr>
          <w:spacing w:val="-3"/>
          <w:sz w:val="18"/>
        </w:rPr>
        <w:t xml:space="preserve"> </w:t>
      </w:r>
      <w:r>
        <w:rPr>
          <w:sz w:val="18"/>
        </w:rPr>
        <w:t>Data Board.</w:t>
      </w:r>
      <w:r>
        <w:rPr>
          <w:spacing w:val="-2"/>
          <w:sz w:val="18"/>
        </w:rPr>
        <w:t xml:space="preserve"> </w:t>
      </w:r>
      <w:r>
        <w:rPr>
          <w:sz w:val="18"/>
        </w:rPr>
        <w:t>(2023).</w:t>
      </w:r>
      <w:r>
        <w:rPr>
          <w:spacing w:val="-3"/>
          <w:sz w:val="18"/>
        </w:rPr>
        <w:t xml:space="preserve"> </w:t>
      </w:r>
      <w:r>
        <w:rPr>
          <w:i/>
          <w:sz w:val="18"/>
        </w:rPr>
        <w:t>Massachusetts</w:t>
      </w:r>
      <w:r>
        <w:rPr>
          <w:i/>
          <w:spacing w:val="-3"/>
          <w:sz w:val="18"/>
        </w:rPr>
        <w:t xml:space="preserve"> </w:t>
      </w:r>
      <w:r>
        <w:rPr>
          <w:i/>
          <w:sz w:val="18"/>
        </w:rPr>
        <w:t>Juvenile</w:t>
      </w:r>
      <w:r>
        <w:rPr>
          <w:i/>
          <w:spacing w:val="-2"/>
          <w:sz w:val="18"/>
        </w:rPr>
        <w:t xml:space="preserve"> </w:t>
      </w:r>
      <w:r>
        <w:rPr>
          <w:i/>
          <w:sz w:val="18"/>
        </w:rPr>
        <w:t>Justice</w:t>
      </w:r>
      <w:r>
        <w:rPr>
          <w:i/>
          <w:spacing w:val="-2"/>
          <w:sz w:val="18"/>
        </w:rPr>
        <w:t xml:space="preserve"> </w:t>
      </w:r>
      <w:r>
        <w:rPr>
          <w:i/>
          <w:sz w:val="18"/>
        </w:rPr>
        <w:t>System:</w:t>
      </w:r>
      <w:r>
        <w:rPr>
          <w:i/>
          <w:spacing w:val="-2"/>
          <w:sz w:val="18"/>
        </w:rPr>
        <w:t xml:space="preserve"> </w:t>
      </w:r>
      <w:r>
        <w:rPr>
          <w:i/>
          <w:sz w:val="18"/>
        </w:rPr>
        <w:t>2022</w:t>
      </w:r>
      <w:r>
        <w:rPr>
          <w:i/>
          <w:spacing w:val="-2"/>
          <w:sz w:val="18"/>
        </w:rPr>
        <w:t xml:space="preserve"> </w:t>
      </w:r>
      <w:r>
        <w:rPr>
          <w:i/>
          <w:sz w:val="18"/>
        </w:rPr>
        <w:t>JJPAD</w:t>
      </w:r>
      <w:r>
        <w:rPr>
          <w:i/>
          <w:spacing w:val="-3"/>
          <w:sz w:val="18"/>
        </w:rPr>
        <w:t xml:space="preserve"> </w:t>
      </w:r>
      <w:r>
        <w:rPr>
          <w:i/>
          <w:sz w:val="18"/>
        </w:rPr>
        <w:t>Annual</w:t>
      </w:r>
      <w:r>
        <w:rPr>
          <w:i/>
          <w:spacing w:val="-3"/>
          <w:sz w:val="18"/>
        </w:rPr>
        <w:t xml:space="preserve"> </w:t>
      </w:r>
      <w:r>
        <w:rPr>
          <w:i/>
          <w:spacing w:val="-2"/>
          <w:sz w:val="18"/>
        </w:rPr>
        <w:t>Report.</w:t>
      </w:r>
    </w:p>
    <w:p w:rsidR="00200FDA" w:rsidRDefault="00F76C4C">
      <w:pPr>
        <w:spacing w:before="1" w:line="219" w:lineRule="exact"/>
        <w:ind w:left="280"/>
        <w:rPr>
          <w:sz w:val="18"/>
        </w:rPr>
      </w:pPr>
      <w:bookmarkStart w:id="1102" w:name="_bookmark878"/>
      <w:bookmarkEnd w:id="1102"/>
      <w:r>
        <w:rPr>
          <w:spacing w:val="-2"/>
          <w:sz w:val="18"/>
        </w:rPr>
        <w:t>https://</w:t>
      </w:r>
      <w:hyperlink r:id="rId818">
        <w:r>
          <w:rPr>
            <w:spacing w:val="-2"/>
            <w:sz w:val="18"/>
          </w:rPr>
          <w:t>www.mass.gov/doc/jjpad-2022-annual-report/download</w:t>
        </w:r>
      </w:hyperlink>
    </w:p>
    <w:p w:rsidR="00200FDA" w:rsidRDefault="00F76C4C">
      <w:pPr>
        <w:ind w:left="280" w:hanging="1"/>
        <w:rPr>
          <w:sz w:val="18"/>
        </w:rPr>
      </w:pPr>
      <w:r>
        <w:rPr>
          <w:position w:val="5"/>
          <w:sz w:val="12"/>
        </w:rPr>
        <w:t>xix</w:t>
      </w:r>
      <w:r>
        <w:rPr>
          <w:spacing w:val="23"/>
          <w:position w:val="5"/>
          <w:sz w:val="12"/>
        </w:rPr>
        <w:t xml:space="preserve"> </w:t>
      </w:r>
      <w:r>
        <w:rPr>
          <w:sz w:val="18"/>
        </w:rPr>
        <w:t xml:space="preserve">Massachusetts Commission on Lesbian, Gay, Bisexual, Transgender, Queer &amp; Questioning Youth. (2022). </w:t>
      </w:r>
      <w:r>
        <w:rPr>
          <w:i/>
          <w:sz w:val="18"/>
        </w:rPr>
        <w:t>Report and Recommendations</w:t>
      </w:r>
      <w:r>
        <w:rPr>
          <w:i/>
          <w:spacing w:val="-8"/>
          <w:sz w:val="18"/>
        </w:rPr>
        <w:t xml:space="preserve"> </w:t>
      </w:r>
      <w:r>
        <w:rPr>
          <w:i/>
          <w:sz w:val="18"/>
        </w:rPr>
        <w:t>for</w:t>
      </w:r>
      <w:r>
        <w:rPr>
          <w:i/>
          <w:spacing w:val="-8"/>
          <w:sz w:val="18"/>
        </w:rPr>
        <w:t xml:space="preserve"> </w:t>
      </w:r>
      <w:r>
        <w:rPr>
          <w:i/>
          <w:sz w:val="18"/>
        </w:rPr>
        <w:t>Fiscal</w:t>
      </w:r>
      <w:r>
        <w:rPr>
          <w:i/>
          <w:spacing w:val="-8"/>
          <w:sz w:val="18"/>
        </w:rPr>
        <w:t xml:space="preserve"> </w:t>
      </w:r>
      <w:r>
        <w:rPr>
          <w:i/>
          <w:sz w:val="18"/>
        </w:rPr>
        <w:t>Year</w:t>
      </w:r>
      <w:r>
        <w:rPr>
          <w:i/>
          <w:spacing w:val="-9"/>
          <w:sz w:val="18"/>
        </w:rPr>
        <w:t xml:space="preserve"> </w:t>
      </w:r>
      <w:r>
        <w:rPr>
          <w:i/>
          <w:sz w:val="18"/>
        </w:rPr>
        <w:t>2023.</w:t>
      </w:r>
      <w:r>
        <w:rPr>
          <w:i/>
          <w:spacing w:val="-8"/>
          <w:sz w:val="18"/>
        </w:rPr>
        <w:t xml:space="preserve"> </w:t>
      </w:r>
      <w:r>
        <w:rPr>
          <w:sz w:val="18"/>
        </w:rPr>
        <w:t>https://</w:t>
      </w:r>
      <w:hyperlink r:id="rId819">
        <w:r>
          <w:rPr>
            <w:sz w:val="18"/>
          </w:rPr>
          <w:t>www.mass.gov/doc/mclgbtqy-annual-recommendations-fy-2023/download.</w:t>
        </w:r>
      </w:hyperlink>
    </w:p>
    <w:p w:rsidR="00200FDA" w:rsidRDefault="00200FDA">
      <w:pPr>
        <w:rPr>
          <w:sz w:val="18"/>
        </w:rPr>
        <w:sectPr w:rsidR="00200FDA">
          <w:pgSz w:w="12240" w:h="15840"/>
          <w:pgMar w:top="1260" w:right="1160" w:bottom="1260" w:left="1160" w:header="761" w:footer="1062" w:gutter="0"/>
          <w:cols w:space="720"/>
        </w:sectPr>
      </w:pPr>
    </w:p>
    <w:p w:rsidR="00200FDA" w:rsidRDefault="00200FDA">
      <w:pPr>
        <w:pStyle w:val="BodyText"/>
        <w:spacing w:before="2"/>
        <w:rPr>
          <w:sz w:val="10"/>
        </w:rPr>
      </w:pPr>
    </w:p>
    <w:p w:rsidR="00200FDA" w:rsidRDefault="00F76C4C">
      <w:pPr>
        <w:pStyle w:val="Heading7"/>
        <w:spacing w:before="45"/>
      </w:pPr>
      <w:r>
        <w:pict>
          <v:rect id="docshape538" o:spid="_x0000_s1090" style="position:absolute;left:0;text-align:left;margin-left:70.55pt;margin-top:20.25pt;width:470.9pt;height:.5pt;z-index:-15622656;mso-wrap-distance-left:0;mso-wrap-distance-right:0;mso-position-horizontal-relative:page" fillcolor="#4f81bc" stroked="f">
            <w10:wrap type="topAndBottom" anchorx="page"/>
          </v:rect>
        </w:pict>
      </w:r>
      <w:bookmarkStart w:id="1103" w:name="FY24_CAFL_Recommendations_-_Final.pdf"/>
      <w:bookmarkStart w:id="1104" w:name="Committee_for_Public_Counsel_Services"/>
      <w:bookmarkStart w:id="1105" w:name="_bookmark879"/>
      <w:bookmarkEnd w:id="1103"/>
      <w:bookmarkEnd w:id="1104"/>
      <w:bookmarkEnd w:id="1105"/>
      <w:r>
        <w:rPr>
          <w:color w:val="365F91"/>
        </w:rPr>
        <w:t>Committee</w:t>
      </w:r>
      <w:r>
        <w:rPr>
          <w:color w:val="365F91"/>
          <w:spacing w:val="-7"/>
        </w:rPr>
        <w:t xml:space="preserve"> </w:t>
      </w:r>
      <w:r>
        <w:rPr>
          <w:color w:val="365F91"/>
        </w:rPr>
        <w:t>for</w:t>
      </w:r>
      <w:r>
        <w:rPr>
          <w:color w:val="365F91"/>
          <w:spacing w:val="-6"/>
        </w:rPr>
        <w:t xml:space="preserve"> </w:t>
      </w:r>
      <w:r>
        <w:rPr>
          <w:color w:val="365F91"/>
        </w:rPr>
        <w:t>Public</w:t>
      </w:r>
      <w:r>
        <w:rPr>
          <w:color w:val="365F91"/>
          <w:spacing w:val="-5"/>
        </w:rPr>
        <w:t xml:space="preserve"> </w:t>
      </w:r>
      <w:r>
        <w:rPr>
          <w:color w:val="365F91"/>
        </w:rPr>
        <w:t>Counsel</w:t>
      </w:r>
      <w:r>
        <w:rPr>
          <w:color w:val="365F91"/>
          <w:spacing w:val="-6"/>
        </w:rPr>
        <w:t xml:space="preserve"> </w:t>
      </w:r>
      <w:r>
        <w:rPr>
          <w:color w:val="365F91"/>
          <w:spacing w:val="-2"/>
        </w:rPr>
        <w:t>Services</w:t>
      </w:r>
    </w:p>
    <w:p w:rsidR="00200FDA" w:rsidRDefault="00200FDA">
      <w:pPr>
        <w:pStyle w:val="BodyText"/>
        <w:rPr>
          <w:sz w:val="20"/>
        </w:rPr>
      </w:pPr>
    </w:p>
    <w:p w:rsidR="00200FDA" w:rsidRDefault="00200FDA">
      <w:pPr>
        <w:pStyle w:val="BodyText"/>
        <w:spacing w:before="3"/>
        <w:rPr>
          <w:sz w:val="28"/>
        </w:rPr>
      </w:pPr>
    </w:p>
    <w:p w:rsidR="00200FDA" w:rsidRDefault="00F76C4C">
      <w:pPr>
        <w:spacing w:before="44"/>
        <w:ind w:left="280"/>
        <w:rPr>
          <w:sz w:val="28"/>
        </w:rPr>
      </w:pPr>
      <w:r>
        <w:pict>
          <v:rect id="docshape539" o:spid="_x0000_s1089" style="position:absolute;left:0;text-align:left;margin-left:70.55pt;margin-top:20.1pt;width:470.9pt;height:.5pt;z-index:-15622144;mso-wrap-distance-left:0;mso-wrap-distance-right:0;mso-position-horizontal-relative:page" fillcolor="#4f81bc" stroked="f">
            <w10:wrap type="topAndBottom" anchorx="page"/>
          </v:rect>
        </w:pict>
      </w:r>
      <w:r>
        <w:rPr>
          <w:color w:val="365F91"/>
          <w:sz w:val="28"/>
        </w:rPr>
        <w:t>FY</w:t>
      </w:r>
      <w:r>
        <w:rPr>
          <w:color w:val="365F91"/>
          <w:spacing w:val="-3"/>
          <w:sz w:val="28"/>
        </w:rPr>
        <w:t xml:space="preserve"> </w:t>
      </w:r>
      <w:r>
        <w:rPr>
          <w:color w:val="365F91"/>
          <w:sz w:val="28"/>
        </w:rPr>
        <w:t>2024</w:t>
      </w:r>
      <w:r>
        <w:rPr>
          <w:color w:val="365F91"/>
          <w:spacing w:val="-3"/>
          <w:sz w:val="28"/>
        </w:rPr>
        <w:t xml:space="preserve"> </w:t>
      </w:r>
      <w:r>
        <w:rPr>
          <w:color w:val="365F91"/>
          <w:spacing w:val="-2"/>
          <w:sz w:val="28"/>
        </w:rPr>
        <w:t>Recommendations</w:t>
      </w:r>
    </w:p>
    <w:p w:rsidR="00200FDA" w:rsidRDefault="00200FDA">
      <w:pPr>
        <w:pStyle w:val="BodyText"/>
        <w:rPr>
          <w:sz w:val="20"/>
        </w:rPr>
      </w:pPr>
    </w:p>
    <w:p w:rsidR="00200FDA" w:rsidRDefault="00200FDA">
      <w:pPr>
        <w:pStyle w:val="BodyText"/>
        <w:spacing w:before="6"/>
        <w:rPr>
          <w:sz w:val="21"/>
        </w:rPr>
      </w:pPr>
    </w:p>
    <w:p w:rsidR="00200FDA" w:rsidRDefault="00F76C4C">
      <w:pPr>
        <w:pStyle w:val="ListParagraph"/>
        <w:numPr>
          <w:ilvl w:val="1"/>
          <w:numId w:val="17"/>
        </w:numPr>
        <w:tabs>
          <w:tab w:val="left" w:pos="1001"/>
        </w:tabs>
        <w:spacing w:before="57"/>
      </w:pPr>
      <w:r>
        <w:t>Address</w:t>
      </w:r>
      <w:r>
        <w:rPr>
          <w:spacing w:val="-8"/>
        </w:rPr>
        <w:t xml:space="preserve"> </w:t>
      </w:r>
      <w:r>
        <w:t>expectations</w:t>
      </w:r>
      <w:r>
        <w:rPr>
          <w:spacing w:val="-5"/>
        </w:rPr>
        <w:t xml:space="preserve"> </w:t>
      </w:r>
      <w:r>
        <w:t>for</w:t>
      </w:r>
      <w:r>
        <w:rPr>
          <w:spacing w:val="-5"/>
        </w:rPr>
        <w:t xml:space="preserve"> </w:t>
      </w:r>
      <w:r>
        <w:t>representing</w:t>
      </w:r>
      <w:r>
        <w:rPr>
          <w:spacing w:val="-6"/>
        </w:rPr>
        <w:t xml:space="preserve"> </w:t>
      </w:r>
      <w:r>
        <w:t>LGBTQ</w:t>
      </w:r>
      <w:r>
        <w:rPr>
          <w:spacing w:val="-7"/>
        </w:rPr>
        <w:t xml:space="preserve"> </w:t>
      </w:r>
      <w:r>
        <w:t>clients</w:t>
      </w:r>
      <w:r>
        <w:rPr>
          <w:spacing w:val="-7"/>
        </w:rPr>
        <w:t xml:space="preserve"> </w:t>
      </w:r>
      <w:r>
        <w:t>within</w:t>
      </w:r>
      <w:r>
        <w:rPr>
          <w:spacing w:val="-6"/>
        </w:rPr>
        <w:t xml:space="preserve"> </w:t>
      </w:r>
      <w:r>
        <w:t>the</w:t>
      </w:r>
      <w:r>
        <w:rPr>
          <w:spacing w:val="-4"/>
        </w:rPr>
        <w:t xml:space="preserve"> </w:t>
      </w:r>
      <w:r>
        <w:t>CAFL</w:t>
      </w:r>
      <w:r>
        <w:rPr>
          <w:spacing w:val="-7"/>
        </w:rPr>
        <w:t xml:space="preserve"> </w:t>
      </w:r>
      <w:r>
        <w:t>Performance</w:t>
      </w:r>
      <w:r>
        <w:rPr>
          <w:spacing w:val="-6"/>
        </w:rPr>
        <w:t xml:space="preserve"> </w:t>
      </w:r>
      <w:r>
        <w:rPr>
          <w:spacing w:val="-2"/>
        </w:rPr>
        <w:t>Standards.</w:t>
      </w:r>
    </w:p>
    <w:p w:rsidR="00200FDA" w:rsidRDefault="00F76C4C">
      <w:pPr>
        <w:pStyle w:val="ListParagraph"/>
        <w:numPr>
          <w:ilvl w:val="1"/>
          <w:numId w:val="17"/>
        </w:numPr>
        <w:tabs>
          <w:tab w:val="left" w:pos="1001"/>
        </w:tabs>
        <w:spacing w:before="134"/>
      </w:pPr>
      <w:r>
        <w:t>Provide</w:t>
      </w:r>
      <w:r>
        <w:rPr>
          <w:spacing w:val="-8"/>
        </w:rPr>
        <w:t xml:space="preserve"> </w:t>
      </w:r>
      <w:r>
        <w:t>consistent</w:t>
      </w:r>
      <w:r>
        <w:rPr>
          <w:spacing w:val="-6"/>
        </w:rPr>
        <w:t xml:space="preserve"> </w:t>
      </w:r>
      <w:r>
        <w:t>and</w:t>
      </w:r>
      <w:r>
        <w:rPr>
          <w:spacing w:val="-5"/>
        </w:rPr>
        <w:t xml:space="preserve"> </w:t>
      </w:r>
      <w:r>
        <w:t>high-quality</w:t>
      </w:r>
      <w:r>
        <w:rPr>
          <w:spacing w:val="-4"/>
        </w:rPr>
        <w:t xml:space="preserve"> </w:t>
      </w:r>
      <w:r>
        <w:t>training</w:t>
      </w:r>
      <w:r>
        <w:rPr>
          <w:spacing w:val="-5"/>
        </w:rPr>
        <w:t xml:space="preserve"> </w:t>
      </w:r>
      <w:r>
        <w:t>on</w:t>
      </w:r>
      <w:r>
        <w:rPr>
          <w:spacing w:val="-6"/>
        </w:rPr>
        <w:t xml:space="preserve"> </w:t>
      </w:r>
      <w:r>
        <w:t>working</w:t>
      </w:r>
      <w:r>
        <w:rPr>
          <w:spacing w:val="-6"/>
        </w:rPr>
        <w:t xml:space="preserve"> </w:t>
      </w:r>
      <w:r>
        <w:t>with</w:t>
      </w:r>
      <w:r>
        <w:rPr>
          <w:spacing w:val="-5"/>
        </w:rPr>
        <w:t xml:space="preserve"> </w:t>
      </w:r>
      <w:r>
        <w:t>LGBTQ</w:t>
      </w:r>
      <w:r>
        <w:rPr>
          <w:spacing w:val="-5"/>
        </w:rPr>
        <w:t xml:space="preserve"> </w:t>
      </w:r>
      <w:r>
        <w:rPr>
          <w:spacing w:val="-2"/>
        </w:rPr>
        <w:t>clients.</w:t>
      </w:r>
    </w:p>
    <w:p w:rsidR="00200FDA" w:rsidRDefault="00F76C4C">
      <w:pPr>
        <w:pStyle w:val="ListParagraph"/>
        <w:numPr>
          <w:ilvl w:val="1"/>
          <w:numId w:val="17"/>
        </w:numPr>
        <w:tabs>
          <w:tab w:val="left" w:pos="1001"/>
        </w:tabs>
        <w:spacing w:before="135"/>
      </w:pPr>
      <w:r>
        <w:t>Designate</w:t>
      </w:r>
      <w:r>
        <w:rPr>
          <w:spacing w:val="-4"/>
        </w:rPr>
        <w:t xml:space="preserve"> </w:t>
      </w:r>
      <w:r>
        <w:t>one</w:t>
      </w:r>
      <w:r>
        <w:rPr>
          <w:spacing w:val="-5"/>
        </w:rPr>
        <w:t xml:space="preserve"> </w:t>
      </w:r>
      <w:r>
        <w:t>or</w:t>
      </w:r>
      <w:r>
        <w:rPr>
          <w:spacing w:val="-4"/>
        </w:rPr>
        <w:t xml:space="preserve"> </w:t>
      </w:r>
      <w:r>
        <w:t>more</w:t>
      </w:r>
      <w:r>
        <w:rPr>
          <w:spacing w:val="-2"/>
        </w:rPr>
        <w:t xml:space="preserve"> </w:t>
      </w:r>
      <w:r>
        <w:t>point</w:t>
      </w:r>
      <w:r>
        <w:rPr>
          <w:spacing w:val="-2"/>
        </w:rPr>
        <w:t xml:space="preserve"> </w:t>
      </w:r>
      <w:r>
        <w:t>people</w:t>
      </w:r>
      <w:r>
        <w:rPr>
          <w:spacing w:val="-4"/>
        </w:rPr>
        <w:t xml:space="preserve"> </w:t>
      </w:r>
      <w:r>
        <w:t>on</w:t>
      </w:r>
      <w:r>
        <w:rPr>
          <w:spacing w:val="-6"/>
        </w:rPr>
        <w:t xml:space="preserve"> </w:t>
      </w:r>
      <w:r>
        <w:t>LGBTQ</w:t>
      </w:r>
      <w:r>
        <w:rPr>
          <w:spacing w:val="-2"/>
        </w:rPr>
        <w:t xml:space="preserve"> issues.</w:t>
      </w:r>
    </w:p>
    <w:p w:rsidR="00200FDA" w:rsidRDefault="00F76C4C">
      <w:pPr>
        <w:pStyle w:val="ListParagraph"/>
        <w:numPr>
          <w:ilvl w:val="1"/>
          <w:numId w:val="17"/>
        </w:numPr>
        <w:tabs>
          <w:tab w:val="left" w:pos="1001"/>
        </w:tabs>
        <w:spacing w:before="132" w:line="360" w:lineRule="auto"/>
        <w:ind w:right="271"/>
      </w:pPr>
      <w:r>
        <w:t>Ensure that legal</w:t>
      </w:r>
      <w:r>
        <w:rPr>
          <w:spacing w:val="-3"/>
        </w:rPr>
        <w:t xml:space="preserve"> </w:t>
      </w:r>
      <w:r>
        <w:t>case</w:t>
      </w:r>
      <w:r>
        <w:rPr>
          <w:spacing w:val="-2"/>
        </w:rPr>
        <w:t xml:space="preserve"> </w:t>
      </w:r>
      <w:r>
        <w:t>management systems include</w:t>
      </w:r>
      <w:r>
        <w:rPr>
          <w:spacing w:val="-2"/>
        </w:rPr>
        <w:t xml:space="preserve"> </w:t>
      </w:r>
      <w:r>
        <w:t>a</w:t>
      </w:r>
      <w:r>
        <w:rPr>
          <w:spacing w:val="-3"/>
        </w:rPr>
        <w:t xml:space="preserve"> </w:t>
      </w:r>
      <w:r>
        <w:t>field</w:t>
      </w:r>
      <w:r>
        <w:rPr>
          <w:spacing w:val="-1"/>
        </w:rPr>
        <w:t xml:space="preserve"> </w:t>
      </w:r>
      <w:r>
        <w:t>for</w:t>
      </w:r>
      <w:r>
        <w:rPr>
          <w:spacing w:val="-3"/>
        </w:rPr>
        <w:t xml:space="preserve"> </w:t>
      </w:r>
      <w:r>
        <w:t>chosen</w:t>
      </w:r>
      <w:r>
        <w:rPr>
          <w:spacing w:val="-1"/>
        </w:rPr>
        <w:t xml:space="preserve"> </w:t>
      </w:r>
      <w:r>
        <w:t>names and</w:t>
      </w:r>
      <w:r>
        <w:rPr>
          <w:spacing w:val="-1"/>
        </w:rPr>
        <w:t xml:space="preserve"> </w:t>
      </w:r>
      <w:r>
        <w:t>pronouns,</w:t>
      </w:r>
      <w:r>
        <w:rPr>
          <w:spacing w:val="-3"/>
        </w:rPr>
        <w:t xml:space="preserve"> </w:t>
      </w:r>
      <w:r>
        <w:t>and provide</w:t>
      </w:r>
      <w:r>
        <w:rPr>
          <w:spacing w:val="-13"/>
        </w:rPr>
        <w:t xml:space="preserve"> </w:t>
      </w:r>
      <w:r>
        <w:t>support</w:t>
      </w:r>
      <w:r>
        <w:rPr>
          <w:spacing w:val="-12"/>
        </w:rPr>
        <w:t xml:space="preserve"> </w:t>
      </w:r>
      <w:r>
        <w:t>on</w:t>
      </w:r>
      <w:r>
        <w:rPr>
          <w:spacing w:val="-13"/>
        </w:rPr>
        <w:t xml:space="preserve"> </w:t>
      </w:r>
      <w:r>
        <w:t>collecting</w:t>
      </w:r>
      <w:r>
        <w:rPr>
          <w:spacing w:val="-10"/>
        </w:rPr>
        <w:t xml:space="preserve"> </w:t>
      </w:r>
      <w:r>
        <w:t>sexual</w:t>
      </w:r>
      <w:r>
        <w:rPr>
          <w:spacing w:val="-13"/>
        </w:rPr>
        <w:t xml:space="preserve"> </w:t>
      </w:r>
      <w:r>
        <w:t>orientation,</w:t>
      </w:r>
      <w:r>
        <w:rPr>
          <w:spacing w:val="-11"/>
        </w:rPr>
        <w:t xml:space="preserve"> </w:t>
      </w:r>
      <w:r>
        <w:t>gender</w:t>
      </w:r>
      <w:r>
        <w:rPr>
          <w:spacing w:val="-10"/>
        </w:rPr>
        <w:t xml:space="preserve"> </w:t>
      </w:r>
      <w:r>
        <w:t>identity</w:t>
      </w:r>
      <w:r>
        <w:rPr>
          <w:spacing w:val="-11"/>
        </w:rPr>
        <w:t xml:space="preserve"> </w:t>
      </w:r>
      <w:r>
        <w:t>(SOGI),</w:t>
      </w:r>
      <w:r>
        <w:rPr>
          <w:spacing w:val="-12"/>
        </w:rPr>
        <w:t xml:space="preserve"> </w:t>
      </w:r>
      <w:r>
        <w:t>and</w:t>
      </w:r>
      <w:r>
        <w:rPr>
          <w:spacing w:val="-13"/>
        </w:rPr>
        <w:t xml:space="preserve"> </w:t>
      </w:r>
      <w:r>
        <w:t>other</w:t>
      </w:r>
      <w:r>
        <w:rPr>
          <w:spacing w:val="-9"/>
        </w:rPr>
        <w:t xml:space="preserve"> </w:t>
      </w:r>
      <w:r>
        <w:t>demographics.</w:t>
      </w:r>
    </w:p>
    <w:p w:rsidR="00200FDA" w:rsidRDefault="00200FDA">
      <w:pPr>
        <w:pStyle w:val="BodyText"/>
        <w:spacing w:before="11"/>
        <w:rPr>
          <w:sz w:val="32"/>
        </w:rPr>
      </w:pPr>
    </w:p>
    <w:p w:rsidR="00200FDA" w:rsidRDefault="00F76C4C">
      <w:pPr>
        <w:pStyle w:val="Heading7"/>
      </w:pPr>
      <w:r>
        <w:pict>
          <v:rect id="docshape540" o:spid="_x0000_s1088" style="position:absolute;left:0;text-align:left;margin-left:70.55pt;margin-top:18pt;width:470.9pt;height:.5pt;z-index:-15621632;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line="276" w:lineRule="auto"/>
        <w:ind w:left="280" w:right="275"/>
        <w:jc w:val="both"/>
      </w:pPr>
      <w:r>
        <w:t>As part of its ongoing focus on improving the quality of state services for LGBTQ youth involved in the child welfare system, the Commission is pleased to be making its first set of recommendations to the Committee for Public Counsel Services (CPCS) for th</w:t>
      </w:r>
      <w:r>
        <w:t>e Children and Family Law Division (CAFL).</w:t>
      </w:r>
    </w:p>
    <w:p w:rsidR="00200FDA" w:rsidRDefault="00200FDA">
      <w:pPr>
        <w:pStyle w:val="BodyText"/>
        <w:spacing w:before="10"/>
        <w:rPr>
          <w:sz w:val="19"/>
        </w:rPr>
      </w:pPr>
    </w:p>
    <w:p w:rsidR="00200FDA" w:rsidRDefault="00F76C4C">
      <w:pPr>
        <w:pStyle w:val="BodyText"/>
        <w:spacing w:line="276" w:lineRule="auto"/>
        <w:ind w:left="280" w:right="275"/>
        <w:jc w:val="both"/>
      </w:pPr>
      <w:r>
        <w:t>CAFL represents children and parents in care and protection cases in which the Department of Children and</w:t>
      </w:r>
      <w:r>
        <w:rPr>
          <w:spacing w:val="-5"/>
        </w:rPr>
        <w:t xml:space="preserve"> </w:t>
      </w:r>
      <w:r>
        <w:t>Families</w:t>
      </w:r>
      <w:r>
        <w:rPr>
          <w:spacing w:val="-4"/>
        </w:rPr>
        <w:t xml:space="preserve"> </w:t>
      </w:r>
      <w:r>
        <w:t>(DCF)</w:t>
      </w:r>
      <w:r>
        <w:rPr>
          <w:spacing w:val="-6"/>
        </w:rPr>
        <w:t xml:space="preserve"> </w:t>
      </w:r>
      <w:r>
        <w:t>removes</w:t>
      </w:r>
      <w:r>
        <w:rPr>
          <w:spacing w:val="-4"/>
        </w:rPr>
        <w:t xml:space="preserve"> </w:t>
      </w:r>
      <w:r>
        <w:t>children</w:t>
      </w:r>
      <w:r>
        <w:rPr>
          <w:spacing w:val="-8"/>
        </w:rPr>
        <w:t xml:space="preserve"> </w:t>
      </w:r>
      <w:r>
        <w:t>from</w:t>
      </w:r>
      <w:r>
        <w:rPr>
          <w:spacing w:val="-6"/>
        </w:rPr>
        <w:t xml:space="preserve"> </w:t>
      </w:r>
      <w:r>
        <w:t>their</w:t>
      </w:r>
      <w:r>
        <w:rPr>
          <w:spacing w:val="-7"/>
        </w:rPr>
        <w:t xml:space="preserve"> </w:t>
      </w:r>
      <w:r>
        <w:t>homes</w:t>
      </w:r>
      <w:r>
        <w:rPr>
          <w:spacing w:val="-4"/>
        </w:rPr>
        <w:t xml:space="preserve"> </w:t>
      </w:r>
      <w:r>
        <w:t>in</w:t>
      </w:r>
      <w:r>
        <w:rPr>
          <w:spacing w:val="-7"/>
        </w:rPr>
        <w:t xml:space="preserve"> </w:t>
      </w:r>
      <w:r>
        <w:t>connection</w:t>
      </w:r>
      <w:r>
        <w:rPr>
          <w:spacing w:val="-8"/>
        </w:rPr>
        <w:t xml:space="preserve"> </w:t>
      </w:r>
      <w:r>
        <w:t>with</w:t>
      </w:r>
      <w:r>
        <w:rPr>
          <w:spacing w:val="-5"/>
        </w:rPr>
        <w:t xml:space="preserve"> </w:t>
      </w:r>
      <w:r>
        <w:t>allegations</w:t>
      </w:r>
      <w:r>
        <w:rPr>
          <w:spacing w:val="-7"/>
        </w:rPr>
        <w:t xml:space="preserve"> </w:t>
      </w:r>
      <w:r>
        <w:t>of</w:t>
      </w:r>
      <w:r>
        <w:rPr>
          <w:spacing w:val="-7"/>
        </w:rPr>
        <w:t xml:space="preserve"> </w:t>
      </w:r>
      <w:r>
        <w:t>neglect</w:t>
      </w:r>
      <w:r>
        <w:rPr>
          <w:spacing w:val="-6"/>
        </w:rPr>
        <w:t xml:space="preserve"> </w:t>
      </w:r>
      <w:r>
        <w:t>or</w:t>
      </w:r>
      <w:r>
        <w:rPr>
          <w:spacing w:val="-7"/>
        </w:rPr>
        <w:t xml:space="preserve"> </w:t>
      </w:r>
      <w:r>
        <w:t xml:space="preserve">abuse. CAFL </w:t>
      </w:r>
      <w:r>
        <w:t>also represents children</w:t>
      </w:r>
      <w:r>
        <w:rPr>
          <w:spacing w:val="-1"/>
        </w:rPr>
        <w:t xml:space="preserve"> </w:t>
      </w:r>
      <w:r>
        <w:t>and</w:t>
      </w:r>
      <w:r>
        <w:rPr>
          <w:spacing w:val="-1"/>
        </w:rPr>
        <w:t xml:space="preserve"> </w:t>
      </w:r>
      <w:r>
        <w:t>parents in</w:t>
      </w:r>
      <w:r>
        <w:rPr>
          <w:spacing w:val="-1"/>
        </w:rPr>
        <w:t xml:space="preserve"> </w:t>
      </w:r>
      <w:r>
        <w:t>Child</w:t>
      </w:r>
      <w:r>
        <w:rPr>
          <w:spacing w:val="-4"/>
        </w:rPr>
        <w:t xml:space="preserve"> </w:t>
      </w:r>
      <w:r>
        <w:t>Requiring</w:t>
      </w:r>
      <w:r>
        <w:rPr>
          <w:spacing w:val="-1"/>
        </w:rPr>
        <w:t xml:space="preserve"> </w:t>
      </w:r>
      <w:r>
        <w:t>Assistance</w:t>
      </w:r>
      <w:r>
        <w:rPr>
          <w:spacing w:val="-2"/>
        </w:rPr>
        <w:t xml:space="preserve"> </w:t>
      </w:r>
      <w:r>
        <w:t>cases.</w:t>
      </w:r>
      <w:r>
        <w:rPr>
          <w:spacing w:val="-3"/>
        </w:rPr>
        <w:t xml:space="preserve"> </w:t>
      </w:r>
      <w:r>
        <w:t>CAFL lawyers</w:t>
      </w:r>
      <w:r>
        <w:rPr>
          <w:spacing w:val="-3"/>
        </w:rPr>
        <w:t xml:space="preserve"> </w:t>
      </w:r>
      <w:r>
        <w:t>include both private attorneys and CPCS staff members.</w:t>
      </w:r>
    </w:p>
    <w:p w:rsidR="00200FDA" w:rsidRDefault="00200FDA">
      <w:pPr>
        <w:pStyle w:val="BodyText"/>
        <w:spacing w:before="6"/>
        <w:rPr>
          <w:sz w:val="19"/>
        </w:rPr>
      </w:pPr>
    </w:p>
    <w:p w:rsidR="00200FDA" w:rsidRDefault="00F76C4C">
      <w:pPr>
        <w:pStyle w:val="BodyText"/>
        <w:spacing w:line="276" w:lineRule="auto"/>
        <w:ind w:left="279" w:right="274"/>
        <w:jc w:val="both"/>
      </w:pPr>
      <w:r>
        <w:t>LGBTQ</w:t>
      </w:r>
      <w:r>
        <w:rPr>
          <w:spacing w:val="-2"/>
        </w:rPr>
        <w:t xml:space="preserve"> </w:t>
      </w:r>
      <w:r>
        <w:t>youth in</w:t>
      </w:r>
      <w:r>
        <w:rPr>
          <w:spacing w:val="-3"/>
        </w:rPr>
        <w:t xml:space="preserve"> </w:t>
      </w:r>
      <w:r>
        <w:t>foster</w:t>
      </w:r>
      <w:r>
        <w:rPr>
          <w:spacing w:val="-2"/>
        </w:rPr>
        <w:t xml:space="preserve"> </w:t>
      </w:r>
      <w:r>
        <w:t>care</w:t>
      </w:r>
      <w:r>
        <w:rPr>
          <w:spacing w:val="-1"/>
        </w:rPr>
        <w:t xml:space="preserve"> </w:t>
      </w:r>
      <w:r>
        <w:t>routinely face</w:t>
      </w:r>
      <w:r>
        <w:rPr>
          <w:spacing w:val="-1"/>
        </w:rPr>
        <w:t xml:space="preserve"> </w:t>
      </w:r>
      <w:r>
        <w:t>violence, harassment, and</w:t>
      </w:r>
      <w:r>
        <w:rPr>
          <w:spacing w:val="-3"/>
        </w:rPr>
        <w:t xml:space="preserve"> </w:t>
      </w:r>
      <w:r>
        <w:t>discrimination. The</w:t>
      </w:r>
      <w:r>
        <w:rPr>
          <w:spacing w:val="-1"/>
        </w:rPr>
        <w:t xml:space="preserve"> </w:t>
      </w:r>
      <w:r>
        <w:t>Commission has received n</w:t>
      </w:r>
      <w:r>
        <w:t>umerous reports from youth, advocates, and providers about LGBTQ youth who have been abused in congregate care and misgendered and bullied in foster homes.</w:t>
      </w:r>
      <w:hyperlink w:anchor="_bookmark880" w:history="1">
        <w:r>
          <w:rPr>
            <w:vertAlign w:val="superscript"/>
          </w:rPr>
          <w:t>1</w:t>
        </w:r>
      </w:hyperlink>
      <w:r>
        <w:rPr>
          <w:spacing w:val="-2"/>
        </w:rPr>
        <w:t xml:space="preserve"> </w:t>
      </w:r>
      <w:r>
        <w:t>Many LGBTQ youth in foster care</w:t>
      </w:r>
      <w:r>
        <w:rPr>
          <w:spacing w:val="-9"/>
        </w:rPr>
        <w:t xml:space="preserve"> </w:t>
      </w:r>
      <w:r>
        <w:t>also</w:t>
      </w:r>
      <w:r>
        <w:rPr>
          <w:spacing w:val="-8"/>
        </w:rPr>
        <w:t xml:space="preserve"> </w:t>
      </w:r>
      <w:r>
        <w:t>face</w:t>
      </w:r>
      <w:r>
        <w:rPr>
          <w:spacing w:val="-8"/>
        </w:rPr>
        <w:t xml:space="preserve"> </w:t>
      </w:r>
      <w:r>
        <w:t>harassment,</w:t>
      </w:r>
      <w:r>
        <w:rPr>
          <w:spacing w:val="-11"/>
        </w:rPr>
        <w:t xml:space="preserve"> </w:t>
      </w:r>
      <w:r>
        <w:t>discrimination,</w:t>
      </w:r>
      <w:r>
        <w:rPr>
          <w:spacing w:val="-9"/>
        </w:rPr>
        <w:t xml:space="preserve"> </w:t>
      </w:r>
      <w:r>
        <w:t>and</w:t>
      </w:r>
      <w:r>
        <w:rPr>
          <w:spacing w:val="-10"/>
        </w:rPr>
        <w:t xml:space="preserve"> </w:t>
      </w:r>
      <w:r>
        <w:t>unfair</w:t>
      </w:r>
      <w:r>
        <w:rPr>
          <w:spacing w:val="-9"/>
        </w:rPr>
        <w:t xml:space="preserve"> </w:t>
      </w:r>
      <w:r>
        <w:t>disciplinary</w:t>
      </w:r>
      <w:r>
        <w:rPr>
          <w:spacing w:val="-8"/>
        </w:rPr>
        <w:t xml:space="preserve"> </w:t>
      </w:r>
      <w:r>
        <w:t>practices</w:t>
      </w:r>
      <w:r>
        <w:rPr>
          <w:spacing w:val="-9"/>
        </w:rPr>
        <w:t xml:space="preserve"> </w:t>
      </w:r>
      <w:r>
        <w:t>at</w:t>
      </w:r>
      <w:r>
        <w:rPr>
          <w:spacing w:val="-11"/>
        </w:rPr>
        <w:t xml:space="preserve"> </w:t>
      </w:r>
      <w:r>
        <w:t>school.</w:t>
      </w:r>
      <w:hyperlink w:anchor="_bookmark881" w:history="1">
        <w:r>
          <w:rPr>
            <w:vertAlign w:val="superscript"/>
          </w:rPr>
          <w:t>2</w:t>
        </w:r>
      </w:hyperlink>
      <w:r>
        <w:rPr>
          <w:spacing w:val="-3"/>
        </w:rPr>
        <w:t xml:space="preserve"> </w:t>
      </w:r>
      <w:r>
        <w:t>In</w:t>
      </w:r>
      <w:r>
        <w:rPr>
          <w:spacing w:val="-10"/>
        </w:rPr>
        <w:t xml:space="preserve"> </w:t>
      </w:r>
      <w:r>
        <w:t>many</w:t>
      </w:r>
      <w:r>
        <w:rPr>
          <w:spacing w:val="-8"/>
        </w:rPr>
        <w:t xml:space="preserve"> </w:t>
      </w:r>
      <w:r>
        <w:t>cases,</w:t>
      </w:r>
      <w:r>
        <w:rPr>
          <w:spacing w:val="-9"/>
        </w:rPr>
        <w:t xml:space="preserve"> </w:t>
      </w:r>
      <w:r>
        <w:t xml:space="preserve">their parents and other caregivers don’t receive support on how to affirm LGBTQ young people or meet their healthcare needs; and, youth who want a </w:t>
      </w:r>
      <w:r>
        <w:t>legal name change but age out without one face difficulty in getting identity documents consistent with their name and gender identity - a situation that creates challenges</w:t>
      </w:r>
      <w:r>
        <w:rPr>
          <w:spacing w:val="-2"/>
        </w:rPr>
        <w:t xml:space="preserve"> </w:t>
      </w:r>
      <w:r>
        <w:t>in</w:t>
      </w:r>
      <w:r>
        <w:rPr>
          <w:spacing w:val="-3"/>
        </w:rPr>
        <w:t xml:space="preserve"> </w:t>
      </w:r>
      <w:r>
        <w:t>obtaining</w:t>
      </w:r>
      <w:r>
        <w:rPr>
          <w:spacing w:val="-3"/>
        </w:rPr>
        <w:t xml:space="preserve"> </w:t>
      </w:r>
      <w:r>
        <w:t>employment,</w:t>
      </w:r>
      <w:r>
        <w:rPr>
          <w:spacing w:val="-4"/>
        </w:rPr>
        <w:t xml:space="preserve"> </w:t>
      </w:r>
      <w:r>
        <w:t>engaging</w:t>
      </w:r>
      <w:r>
        <w:rPr>
          <w:spacing w:val="-3"/>
        </w:rPr>
        <w:t xml:space="preserve"> </w:t>
      </w:r>
      <w:r>
        <w:t>in</w:t>
      </w:r>
      <w:r>
        <w:rPr>
          <w:spacing w:val="-3"/>
        </w:rPr>
        <w:t xml:space="preserve"> </w:t>
      </w:r>
      <w:r>
        <w:t>educational</w:t>
      </w:r>
      <w:r>
        <w:rPr>
          <w:spacing w:val="-2"/>
        </w:rPr>
        <w:t xml:space="preserve"> </w:t>
      </w:r>
      <w:r>
        <w:t>programs,</w:t>
      </w:r>
      <w:r>
        <w:rPr>
          <w:spacing w:val="-2"/>
        </w:rPr>
        <w:t xml:space="preserve"> </w:t>
      </w:r>
      <w:r>
        <w:t>accessing</w:t>
      </w:r>
      <w:r>
        <w:rPr>
          <w:spacing w:val="-3"/>
        </w:rPr>
        <w:t xml:space="preserve"> </w:t>
      </w:r>
      <w:r>
        <w:t>services,</w:t>
      </w:r>
      <w:r>
        <w:rPr>
          <w:spacing w:val="-2"/>
        </w:rPr>
        <w:t xml:space="preserve"> </w:t>
      </w:r>
      <w:r>
        <w:t>and</w:t>
      </w:r>
      <w:r>
        <w:rPr>
          <w:spacing w:val="-2"/>
        </w:rPr>
        <w:t xml:space="preserve"> </w:t>
      </w:r>
      <w:r>
        <w:t>pursuing other opportunities.</w:t>
      </w:r>
    </w:p>
    <w:p w:rsidR="00200FDA" w:rsidRDefault="00200FDA">
      <w:pPr>
        <w:pStyle w:val="BodyText"/>
        <w:spacing w:before="10"/>
        <w:rPr>
          <w:sz w:val="19"/>
        </w:rPr>
      </w:pPr>
    </w:p>
    <w:p w:rsidR="00200FDA" w:rsidRDefault="00F76C4C">
      <w:pPr>
        <w:pStyle w:val="BodyText"/>
        <w:spacing w:line="276" w:lineRule="auto"/>
        <w:ind w:left="279" w:right="275"/>
        <w:jc w:val="both"/>
      </w:pPr>
      <w:r>
        <w:t>CAFL lawyers have a critical role to ensure that LGBTQ youth have their rights respected while in foster care and that there is appropriate support for them in reunifying with their families, integrating into a new</w:t>
      </w:r>
      <w:r>
        <w:rPr>
          <w:spacing w:val="-8"/>
        </w:rPr>
        <w:t xml:space="preserve"> </w:t>
      </w:r>
      <w:r>
        <w:t>home,</w:t>
      </w:r>
      <w:r>
        <w:rPr>
          <w:spacing w:val="-11"/>
        </w:rPr>
        <w:t xml:space="preserve"> </w:t>
      </w:r>
      <w:r>
        <w:t>or</w:t>
      </w:r>
      <w:r>
        <w:rPr>
          <w:spacing w:val="-9"/>
        </w:rPr>
        <w:t xml:space="preserve"> </w:t>
      </w:r>
      <w:r>
        <w:t>aging</w:t>
      </w:r>
      <w:r>
        <w:rPr>
          <w:spacing w:val="-10"/>
        </w:rPr>
        <w:t xml:space="preserve"> </w:t>
      </w:r>
      <w:r>
        <w:t>out</w:t>
      </w:r>
      <w:r>
        <w:rPr>
          <w:spacing w:val="-8"/>
        </w:rPr>
        <w:t xml:space="preserve"> </w:t>
      </w:r>
      <w:r>
        <w:t>of</w:t>
      </w:r>
      <w:r>
        <w:rPr>
          <w:spacing w:val="-12"/>
        </w:rPr>
        <w:t xml:space="preserve"> </w:t>
      </w:r>
      <w:r>
        <w:t>the</w:t>
      </w:r>
      <w:r>
        <w:rPr>
          <w:spacing w:val="-8"/>
        </w:rPr>
        <w:t xml:space="preserve"> </w:t>
      </w:r>
      <w:r>
        <w:t>system.</w:t>
      </w:r>
      <w:r>
        <w:rPr>
          <w:spacing w:val="-9"/>
        </w:rPr>
        <w:t xml:space="preserve"> </w:t>
      </w:r>
      <w:r>
        <w:t>The</w:t>
      </w:r>
      <w:r>
        <w:rPr>
          <w:spacing w:val="-8"/>
        </w:rPr>
        <w:t xml:space="preserve"> </w:t>
      </w:r>
      <w:r>
        <w:t>Commission</w:t>
      </w:r>
      <w:r>
        <w:rPr>
          <w:spacing w:val="-10"/>
        </w:rPr>
        <w:t xml:space="preserve"> </w:t>
      </w:r>
      <w:r>
        <w:t>understands</w:t>
      </w:r>
      <w:r>
        <w:rPr>
          <w:spacing w:val="-9"/>
        </w:rPr>
        <w:t xml:space="preserve"> </w:t>
      </w:r>
      <w:r>
        <w:t>that</w:t>
      </w:r>
      <w:r>
        <w:rPr>
          <w:spacing w:val="-9"/>
        </w:rPr>
        <w:t xml:space="preserve"> </w:t>
      </w:r>
      <w:r>
        <w:t>CAFL</w:t>
      </w:r>
      <w:r>
        <w:rPr>
          <w:spacing w:val="-8"/>
        </w:rPr>
        <w:t xml:space="preserve"> </w:t>
      </w:r>
      <w:r>
        <w:t>is</w:t>
      </w:r>
      <w:r>
        <w:rPr>
          <w:spacing w:val="-9"/>
        </w:rPr>
        <w:t xml:space="preserve"> </w:t>
      </w:r>
      <w:r>
        <w:t>already</w:t>
      </w:r>
      <w:r>
        <w:rPr>
          <w:spacing w:val="-8"/>
        </w:rPr>
        <w:t xml:space="preserve"> </w:t>
      </w:r>
      <w:r>
        <w:t>considering</w:t>
      </w:r>
      <w:r>
        <w:rPr>
          <w:spacing w:val="-10"/>
        </w:rPr>
        <w:t xml:space="preserve"> </w:t>
      </w:r>
      <w:r>
        <w:t>how to</w:t>
      </w:r>
      <w:r>
        <w:rPr>
          <w:spacing w:val="-8"/>
        </w:rPr>
        <w:t xml:space="preserve"> </w:t>
      </w:r>
      <w:r>
        <w:t>ensure</w:t>
      </w:r>
      <w:r>
        <w:rPr>
          <w:spacing w:val="-6"/>
        </w:rPr>
        <w:t xml:space="preserve"> </w:t>
      </w:r>
      <w:r>
        <w:t>greater</w:t>
      </w:r>
      <w:r>
        <w:rPr>
          <w:spacing w:val="-9"/>
        </w:rPr>
        <w:t xml:space="preserve"> </w:t>
      </w:r>
      <w:r>
        <w:t>consistency</w:t>
      </w:r>
      <w:r>
        <w:rPr>
          <w:spacing w:val="-6"/>
        </w:rPr>
        <w:t xml:space="preserve"> </w:t>
      </w:r>
      <w:r>
        <w:t>in</w:t>
      </w:r>
      <w:r>
        <w:rPr>
          <w:spacing w:val="-7"/>
        </w:rPr>
        <w:t xml:space="preserve"> </w:t>
      </w:r>
      <w:r>
        <w:t>providing</w:t>
      </w:r>
      <w:r>
        <w:rPr>
          <w:spacing w:val="-10"/>
        </w:rPr>
        <w:t xml:space="preserve"> </w:t>
      </w:r>
      <w:r>
        <w:t>LGBTQ-affirming</w:t>
      </w:r>
      <w:r>
        <w:rPr>
          <w:spacing w:val="-7"/>
        </w:rPr>
        <w:t xml:space="preserve"> </w:t>
      </w:r>
      <w:r>
        <w:t>legal</w:t>
      </w:r>
      <w:r>
        <w:rPr>
          <w:spacing w:val="-7"/>
        </w:rPr>
        <w:t xml:space="preserve"> </w:t>
      </w:r>
      <w:r>
        <w:t>services.</w:t>
      </w:r>
      <w:r>
        <w:rPr>
          <w:spacing w:val="-10"/>
        </w:rPr>
        <w:t xml:space="preserve"> </w:t>
      </w:r>
      <w:r>
        <w:t>The</w:t>
      </w:r>
      <w:r>
        <w:rPr>
          <w:spacing w:val="-6"/>
        </w:rPr>
        <w:t xml:space="preserve"> </w:t>
      </w:r>
      <w:r>
        <w:t>Commission</w:t>
      </w:r>
      <w:r>
        <w:rPr>
          <w:spacing w:val="-10"/>
        </w:rPr>
        <w:t xml:space="preserve"> </w:t>
      </w:r>
      <w:r>
        <w:t>supports</w:t>
      </w:r>
      <w:r>
        <w:rPr>
          <w:spacing w:val="-9"/>
        </w:rPr>
        <w:t xml:space="preserve"> </w:t>
      </w:r>
      <w:r>
        <w:t>CAFL continuing to build on that work through the following recommendations.</w:t>
      </w:r>
    </w:p>
    <w:p w:rsidR="00200FDA" w:rsidRDefault="00200FDA">
      <w:pPr>
        <w:pStyle w:val="BodyText"/>
        <w:spacing w:before="7"/>
        <w:rPr>
          <w:sz w:val="19"/>
        </w:rPr>
      </w:pPr>
    </w:p>
    <w:p w:rsidR="00200FDA" w:rsidRDefault="00F76C4C">
      <w:pPr>
        <w:pStyle w:val="BodyText"/>
        <w:spacing w:line="276" w:lineRule="auto"/>
        <w:ind w:left="279" w:right="275"/>
        <w:jc w:val="both"/>
      </w:pPr>
      <w:r>
        <w:t>Given</w:t>
      </w:r>
      <w:r>
        <w:rPr>
          <w:spacing w:val="-8"/>
        </w:rPr>
        <w:t xml:space="preserve"> </w:t>
      </w:r>
      <w:r>
        <w:t>previous</w:t>
      </w:r>
      <w:r>
        <w:rPr>
          <w:spacing w:val="-10"/>
        </w:rPr>
        <w:t xml:space="preserve"> </w:t>
      </w:r>
      <w:r>
        <w:t>conversations</w:t>
      </w:r>
      <w:r>
        <w:rPr>
          <w:spacing w:val="-7"/>
        </w:rPr>
        <w:t xml:space="preserve"> </w:t>
      </w:r>
      <w:r>
        <w:t>between</w:t>
      </w:r>
      <w:r>
        <w:rPr>
          <w:spacing w:val="-11"/>
        </w:rPr>
        <w:t xml:space="preserve"> </w:t>
      </w:r>
      <w:r>
        <w:t>the</w:t>
      </w:r>
      <w:r>
        <w:rPr>
          <w:spacing w:val="-9"/>
        </w:rPr>
        <w:t xml:space="preserve"> </w:t>
      </w:r>
      <w:r>
        <w:t>Commission,</w:t>
      </w:r>
      <w:r>
        <w:rPr>
          <w:spacing w:val="-7"/>
        </w:rPr>
        <w:t xml:space="preserve"> </w:t>
      </w:r>
      <w:r>
        <w:t>advocates,</w:t>
      </w:r>
      <w:r>
        <w:rPr>
          <w:spacing w:val="-7"/>
        </w:rPr>
        <w:t xml:space="preserve"> </w:t>
      </w:r>
      <w:r>
        <w:t>and</w:t>
      </w:r>
      <w:r>
        <w:rPr>
          <w:spacing w:val="-11"/>
        </w:rPr>
        <w:t xml:space="preserve"> </w:t>
      </w:r>
      <w:r>
        <w:t>CAFL</w:t>
      </w:r>
      <w:r>
        <w:rPr>
          <w:spacing w:val="-9"/>
        </w:rPr>
        <w:t xml:space="preserve"> </w:t>
      </w:r>
      <w:r>
        <w:t>leadership,</w:t>
      </w:r>
      <w:r>
        <w:rPr>
          <w:spacing w:val="-8"/>
        </w:rPr>
        <w:t xml:space="preserve"> </w:t>
      </w:r>
      <w:r>
        <w:t>the</w:t>
      </w:r>
      <w:r>
        <w:rPr>
          <w:spacing w:val="-9"/>
        </w:rPr>
        <w:t xml:space="preserve"> </w:t>
      </w:r>
      <w:r>
        <w:t>Commission has</w:t>
      </w:r>
      <w:r>
        <w:rPr>
          <w:spacing w:val="-4"/>
        </w:rPr>
        <w:t xml:space="preserve"> </w:t>
      </w:r>
      <w:r>
        <w:t>focused</w:t>
      </w:r>
      <w:r>
        <w:rPr>
          <w:spacing w:val="-5"/>
        </w:rPr>
        <w:t xml:space="preserve"> </w:t>
      </w:r>
      <w:r>
        <w:t>its</w:t>
      </w:r>
      <w:r>
        <w:rPr>
          <w:spacing w:val="-4"/>
        </w:rPr>
        <w:t xml:space="preserve"> </w:t>
      </w:r>
      <w:r>
        <w:t>recommendations</w:t>
      </w:r>
      <w:r>
        <w:rPr>
          <w:spacing w:val="-7"/>
        </w:rPr>
        <w:t xml:space="preserve"> </w:t>
      </w:r>
      <w:r>
        <w:t>to</w:t>
      </w:r>
      <w:r>
        <w:rPr>
          <w:spacing w:val="-5"/>
        </w:rPr>
        <w:t xml:space="preserve"> </w:t>
      </w:r>
      <w:r>
        <w:t>CPCS</w:t>
      </w:r>
      <w:r>
        <w:rPr>
          <w:spacing w:val="-7"/>
        </w:rPr>
        <w:t xml:space="preserve"> </w:t>
      </w:r>
      <w:r>
        <w:t>this</w:t>
      </w:r>
      <w:r>
        <w:rPr>
          <w:spacing w:val="-7"/>
        </w:rPr>
        <w:t xml:space="preserve"> </w:t>
      </w:r>
      <w:r>
        <w:t>year</w:t>
      </w:r>
      <w:r>
        <w:rPr>
          <w:spacing w:val="-7"/>
        </w:rPr>
        <w:t xml:space="preserve"> </w:t>
      </w:r>
      <w:r>
        <w:t>on</w:t>
      </w:r>
      <w:r>
        <w:rPr>
          <w:spacing w:val="-10"/>
        </w:rPr>
        <w:t xml:space="preserve"> </w:t>
      </w:r>
      <w:r>
        <w:t>CAFL.</w:t>
      </w:r>
      <w:r>
        <w:rPr>
          <w:spacing w:val="-5"/>
        </w:rPr>
        <w:t xml:space="preserve"> </w:t>
      </w:r>
      <w:r>
        <w:t>However,</w:t>
      </w:r>
      <w:r>
        <w:rPr>
          <w:spacing w:val="-7"/>
        </w:rPr>
        <w:t xml:space="preserve"> </w:t>
      </w:r>
      <w:r>
        <w:t>the</w:t>
      </w:r>
      <w:r>
        <w:rPr>
          <w:spacing w:val="-6"/>
        </w:rPr>
        <w:t xml:space="preserve"> </w:t>
      </w:r>
      <w:r>
        <w:t>Commission</w:t>
      </w:r>
      <w:r>
        <w:rPr>
          <w:spacing w:val="-5"/>
        </w:rPr>
        <w:t xml:space="preserve"> </w:t>
      </w:r>
      <w:r>
        <w:t>notes</w:t>
      </w:r>
      <w:r>
        <w:rPr>
          <w:spacing w:val="-4"/>
        </w:rPr>
        <w:t xml:space="preserve"> </w:t>
      </w:r>
      <w:r>
        <w:t>that</w:t>
      </w:r>
      <w:r>
        <w:rPr>
          <w:spacing w:val="-6"/>
        </w:rPr>
        <w:t xml:space="preserve"> </w:t>
      </w:r>
      <w:r>
        <w:t>LGBTQ</w:t>
      </w:r>
    </w:p>
    <w:p w:rsidR="00200FDA" w:rsidRDefault="00200FDA">
      <w:pPr>
        <w:spacing w:line="276" w:lineRule="auto"/>
        <w:jc w:val="both"/>
        <w:sectPr w:rsidR="00200FDA">
          <w:headerReference w:type="default" r:id="rId820"/>
          <w:footerReference w:type="default" r:id="rId821"/>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right="274"/>
        <w:jc w:val="both"/>
      </w:pPr>
      <w:r>
        <w:t>issues are equally important in the work of the Youth Advocacy Division (YAD), and encourages YAD to consider</w:t>
      </w:r>
      <w:r>
        <w:rPr>
          <w:spacing w:val="-4"/>
        </w:rPr>
        <w:t xml:space="preserve"> </w:t>
      </w:r>
      <w:r>
        <w:t>how</w:t>
      </w:r>
      <w:r>
        <w:rPr>
          <w:spacing w:val="-6"/>
        </w:rPr>
        <w:t xml:space="preserve"> </w:t>
      </w:r>
      <w:r>
        <w:t>the</w:t>
      </w:r>
      <w:r>
        <w:rPr>
          <w:spacing w:val="-4"/>
        </w:rPr>
        <w:t xml:space="preserve"> </w:t>
      </w:r>
      <w:r>
        <w:t>recommendations</w:t>
      </w:r>
      <w:r>
        <w:rPr>
          <w:spacing w:val="-4"/>
        </w:rPr>
        <w:t xml:space="preserve"> </w:t>
      </w:r>
      <w:r>
        <w:t>to</w:t>
      </w:r>
      <w:r>
        <w:rPr>
          <w:spacing w:val="-3"/>
        </w:rPr>
        <w:t xml:space="preserve"> </w:t>
      </w:r>
      <w:r>
        <w:t>CAFL</w:t>
      </w:r>
      <w:r>
        <w:rPr>
          <w:spacing w:val="-6"/>
        </w:rPr>
        <w:t xml:space="preserve"> </w:t>
      </w:r>
      <w:r>
        <w:t>could</w:t>
      </w:r>
      <w:r>
        <w:rPr>
          <w:spacing w:val="-5"/>
        </w:rPr>
        <w:t xml:space="preserve"> </w:t>
      </w:r>
      <w:r>
        <w:t>inform</w:t>
      </w:r>
      <w:r>
        <w:rPr>
          <w:spacing w:val="-3"/>
        </w:rPr>
        <w:t xml:space="preserve"> </w:t>
      </w:r>
      <w:r>
        <w:t>its</w:t>
      </w:r>
      <w:r>
        <w:rPr>
          <w:spacing w:val="-7"/>
        </w:rPr>
        <w:t xml:space="preserve"> </w:t>
      </w:r>
      <w:r>
        <w:t>own</w:t>
      </w:r>
      <w:r>
        <w:rPr>
          <w:spacing w:val="-5"/>
        </w:rPr>
        <w:t xml:space="preserve"> </w:t>
      </w:r>
      <w:r>
        <w:t>policies</w:t>
      </w:r>
      <w:r>
        <w:rPr>
          <w:spacing w:val="-4"/>
        </w:rPr>
        <w:t xml:space="preserve"> </w:t>
      </w:r>
      <w:r>
        <w:t>and</w:t>
      </w:r>
      <w:r>
        <w:rPr>
          <w:spacing w:val="-5"/>
        </w:rPr>
        <w:t xml:space="preserve"> </w:t>
      </w:r>
      <w:r>
        <w:t>practices.</w:t>
      </w:r>
      <w:r>
        <w:rPr>
          <w:spacing w:val="-7"/>
        </w:rPr>
        <w:t xml:space="preserve"> </w:t>
      </w:r>
      <w:r>
        <w:t>The</w:t>
      </w:r>
      <w:r>
        <w:rPr>
          <w:spacing w:val="-4"/>
        </w:rPr>
        <w:t xml:space="preserve"> </w:t>
      </w:r>
      <w:r>
        <w:t>Commission looks</w:t>
      </w:r>
      <w:r>
        <w:rPr>
          <w:spacing w:val="-4"/>
        </w:rPr>
        <w:t xml:space="preserve"> </w:t>
      </w:r>
      <w:r>
        <w:t>forward</w:t>
      </w:r>
      <w:r>
        <w:rPr>
          <w:spacing w:val="-5"/>
        </w:rPr>
        <w:t xml:space="preserve"> </w:t>
      </w:r>
      <w:r>
        <w:t>to</w:t>
      </w:r>
      <w:r>
        <w:rPr>
          <w:spacing w:val="-5"/>
        </w:rPr>
        <w:t xml:space="preserve"> </w:t>
      </w:r>
      <w:r>
        <w:t>engaging</w:t>
      </w:r>
      <w:r>
        <w:rPr>
          <w:spacing w:val="-5"/>
        </w:rPr>
        <w:t xml:space="preserve"> </w:t>
      </w:r>
      <w:r>
        <w:t>with</w:t>
      </w:r>
      <w:r>
        <w:rPr>
          <w:spacing w:val="-5"/>
        </w:rPr>
        <w:t xml:space="preserve"> </w:t>
      </w:r>
      <w:r>
        <w:t>YAD</w:t>
      </w:r>
      <w:r>
        <w:rPr>
          <w:spacing w:val="-3"/>
        </w:rPr>
        <w:t xml:space="preserve"> </w:t>
      </w:r>
      <w:r>
        <w:t>and</w:t>
      </w:r>
      <w:r>
        <w:rPr>
          <w:spacing w:val="-8"/>
        </w:rPr>
        <w:t xml:space="preserve"> </w:t>
      </w:r>
      <w:r>
        <w:t>hopes</w:t>
      </w:r>
      <w:r>
        <w:rPr>
          <w:spacing w:val="-7"/>
        </w:rPr>
        <w:t xml:space="preserve"> </w:t>
      </w:r>
      <w:r>
        <w:t>to</w:t>
      </w:r>
      <w:r>
        <w:rPr>
          <w:spacing w:val="-3"/>
        </w:rPr>
        <w:t xml:space="preserve"> </w:t>
      </w:r>
      <w:r>
        <w:t>issue</w:t>
      </w:r>
      <w:r>
        <w:rPr>
          <w:spacing w:val="-4"/>
        </w:rPr>
        <w:t xml:space="preserve"> </w:t>
      </w:r>
      <w:r>
        <w:t>its</w:t>
      </w:r>
      <w:r>
        <w:rPr>
          <w:spacing w:val="-7"/>
        </w:rPr>
        <w:t xml:space="preserve"> </w:t>
      </w:r>
      <w:r>
        <w:t>first</w:t>
      </w:r>
      <w:r>
        <w:rPr>
          <w:spacing w:val="-6"/>
        </w:rPr>
        <w:t xml:space="preserve"> </w:t>
      </w:r>
      <w:r>
        <w:t>set</w:t>
      </w:r>
      <w:r>
        <w:rPr>
          <w:spacing w:val="-6"/>
        </w:rPr>
        <w:t xml:space="preserve"> </w:t>
      </w:r>
      <w:r>
        <w:t>of</w:t>
      </w:r>
      <w:r>
        <w:rPr>
          <w:spacing w:val="-5"/>
        </w:rPr>
        <w:t xml:space="preserve"> </w:t>
      </w:r>
      <w:r>
        <w:t>recommendations</w:t>
      </w:r>
      <w:r>
        <w:rPr>
          <w:spacing w:val="-7"/>
        </w:rPr>
        <w:t xml:space="preserve"> </w:t>
      </w:r>
      <w:r>
        <w:t>to</w:t>
      </w:r>
      <w:r>
        <w:rPr>
          <w:spacing w:val="-5"/>
        </w:rPr>
        <w:t xml:space="preserve"> </w:t>
      </w:r>
      <w:r>
        <w:t>YAD</w:t>
      </w:r>
      <w:r>
        <w:rPr>
          <w:spacing w:val="-3"/>
        </w:rPr>
        <w:t xml:space="preserve"> </w:t>
      </w:r>
      <w:r>
        <w:t>next</w:t>
      </w:r>
      <w:r>
        <w:rPr>
          <w:spacing w:val="-6"/>
        </w:rPr>
        <w:t xml:space="preserve"> </w:t>
      </w:r>
      <w:r>
        <w:t>year.</w:t>
      </w:r>
    </w:p>
    <w:p w:rsidR="00200FDA" w:rsidRDefault="00200FDA">
      <w:pPr>
        <w:pStyle w:val="BodyText"/>
        <w:spacing w:before="10"/>
        <w:rPr>
          <w:sz w:val="32"/>
        </w:rPr>
      </w:pPr>
    </w:p>
    <w:p w:rsidR="00200FDA" w:rsidRDefault="00F76C4C">
      <w:pPr>
        <w:pStyle w:val="Heading7"/>
        <w:jc w:val="both"/>
      </w:pPr>
      <w:r>
        <w:pict>
          <v:rect id="docshape541" o:spid="_x0000_s1087" style="position:absolute;left:0;text-align:left;margin-left:70.55pt;margin-top:18pt;width:470.9pt;height:.5pt;z-index:-15621120;mso-wrap-distance-left:0;mso-wrap-distance-right:0;mso-position-horizontal-relative:page" fillcolor="#4f81bc" stroked="f">
            <w10:wrap type="topAndBottom" anchorx="page"/>
          </v:rect>
        </w:pict>
      </w:r>
      <w:bookmarkStart w:id="1106" w:name="FY_2024_Expanded_CAFL_Recommendations"/>
      <w:bookmarkEnd w:id="1106"/>
      <w:r>
        <w:rPr>
          <w:color w:val="365F91"/>
        </w:rPr>
        <w:t>FY</w:t>
      </w:r>
      <w:r>
        <w:rPr>
          <w:color w:val="365F91"/>
          <w:spacing w:val="-4"/>
        </w:rPr>
        <w:t xml:space="preserve"> </w:t>
      </w:r>
      <w:r>
        <w:rPr>
          <w:color w:val="365F91"/>
        </w:rPr>
        <w:t>2024</w:t>
      </w:r>
      <w:r>
        <w:rPr>
          <w:color w:val="365F91"/>
          <w:spacing w:val="-4"/>
        </w:rPr>
        <w:t xml:space="preserve"> </w:t>
      </w:r>
      <w:r>
        <w:rPr>
          <w:color w:val="365F91"/>
        </w:rPr>
        <w:t>Expanded</w:t>
      </w:r>
      <w:r>
        <w:rPr>
          <w:color w:val="365F91"/>
          <w:spacing w:val="-3"/>
        </w:rPr>
        <w:t xml:space="preserve"> </w:t>
      </w:r>
      <w:r>
        <w:rPr>
          <w:color w:val="365F91"/>
        </w:rPr>
        <w:t>CAFL</w:t>
      </w:r>
      <w:r>
        <w:rPr>
          <w:color w:val="365F91"/>
          <w:spacing w:val="-4"/>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16"/>
        </w:numPr>
        <w:tabs>
          <w:tab w:val="left" w:pos="501"/>
        </w:tabs>
        <w:spacing w:before="56"/>
      </w:pPr>
      <w:r>
        <w:t>Address</w:t>
      </w:r>
      <w:r>
        <w:rPr>
          <w:spacing w:val="-7"/>
        </w:rPr>
        <w:t xml:space="preserve"> </w:t>
      </w:r>
      <w:r>
        <w:t>expectations</w:t>
      </w:r>
      <w:r>
        <w:rPr>
          <w:spacing w:val="-7"/>
        </w:rPr>
        <w:t xml:space="preserve"> </w:t>
      </w:r>
      <w:r>
        <w:t>for</w:t>
      </w:r>
      <w:r>
        <w:rPr>
          <w:spacing w:val="-4"/>
        </w:rPr>
        <w:t xml:space="preserve"> </w:t>
      </w:r>
      <w:r>
        <w:t>representing</w:t>
      </w:r>
      <w:r>
        <w:rPr>
          <w:spacing w:val="-6"/>
        </w:rPr>
        <w:t xml:space="preserve"> </w:t>
      </w:r>
      <w:r>
        <w:t>LGBTQ</w:t>
      </w:r>
      <w:r>
        <w:rPr>
          <w:spacing w:val="-5"/>
        </w:rPr>
        <w:t xml:space="preserve"> </w:t>
      </w:r>
      <w:r>
        <w:t>clients</w:t>
      </w:r>
      <w:r>
        <w:rPr>
          <w:spacing w:val="-7"/>
        </w:rPr>
        <w:t xml:space="preserve"> </w:t>
      </w:r>
      <w:r>
        <w:t>within</w:t>
      </w:r>
      <w:r>
        <w:rPr>
          <w:spacing w:val="-6"/>
        </w:rPr>
        <w:t xml:space="preserve"> </w:t>
      </w:r>
      <w:r>
        <w:t>the</w:t>
      </w:r>
      <w:r>
        <w:rPr>
          <w:spacing w:val="-5"/>
        </w:rPr>
        <w:t xml:space="preserve"> </w:t>
      </w:r>
      <w:r>
        <w:t>CAFL</w:t>
      </w:r>
      <w:r>
        <w:rPr>
          <w:spacing w:val="-5"/>
        </w:rPr>
        <w:t xml:space="preserve"> </w:t>
      </w:r>
      <w:r>
        <w:t>Performance</w:t>
      </w:r>
      <w:r>
        <w:rPr>
          <w:spacing w:val="-6"/>
        </w:rPr>
        <w:t xml:space="preserve"> </w:t>
      </w:r>
      <w:r>
        <w:rPr>
          <w:spacing w:val="-2"/>
        </w:rPr>
        <w:t>Standards.</w:t>
      </w:r>
    </w:p>
    <w:p w:rsidR="00200FDA" w:rsidRDefault="00200FDA">
      <w:pPr>
        <w:pStyle w:val="BodyText"/>
        <w:rPr>
          <w:b/>
          <w:sz w:val="23"/>
        </w:rPr>
      </w:pPr>
    </w:p>
    <w:p w:rsidR="00200FDA" w:rsidRDefault="00F76C4C">
      <w:pPr>
        <w:pStyle w:val="BodyText"/>
        <w:spacing w:before="1" w:line="276" w:lineRule="auto"/>
        <w:ind w:left="279" w:right="274"/>
        <w:jc w:val="both"/>
      </w:pPr>
      <w:r>
        <w:t>The Commission recommends that CAFL include in its Performance Standards expectations around providing services free from discrimination and bias on the basis of sexual orientation, gender identity, race, and ethnicity. The Commission encourag</w:t>
      </w:r>
      <w:r>
        <w:t>es CAFL to illustrate what such expectations include - for example, using the appropriate names and pronouns for clients, addressing needs such as name and gender marker changes, and engaging in training, continuing legal education programming, and other o</w:t>
      </w:r>
      <w:r>
        <w:t>pportunities to increase cultural</w:t>
      </w:r>
      <w:r>
        <w:rPr>
          <w:spacing w:val="-1"/>
        </w:rPr>
        <w:t xml:space="preserve"> </w:t>
      </w:r>
      <w:r>
        <w:t>competency.</w:t>
      </w:r>
      <w:r>
        <w:rPr>
          <w:spacing w:val="-1"/>
        </w:rPr>
        <w:t xml:space="preserve"> </w:t>
      </w:r>
      <w:r>
        <w:t>As part of</w:t>
      </w:r>
      <w:r>
        <w:rPr>
          <w:spacing w:val="-3"/>
        </w:rPr>
        <w:t xml:space="preserve"> </w:t>
      </w:r>
      <w:r>
        <w:t>this</w:t>
      </w:r>
      <w:r>
        <w:rPr>
          <w:spacing w:val="-3"/>
        </w:rPr>
        <w:t xml:space="preserve"> </w:t>
      </w:r>
      <w:r>
        <w:t>work,</w:t>
      </w:r>
      <w:r>
        <w:rPr>
          <w:spacing w:val="-3"/>
        </w:rPr>
        <w:t xml:space="preserve"> </w:t>
      </w:r>
      <w:r>
        <w:t>the Commission</w:t>
      </w:r>
      <w:r>
        <w:rPr>
          <w:spacing w:val="-1"/>
        </w:rPr>
        <w:t xml:space="preserve"> </w:t>
      </w:r>
      <w:r>
        <w:t>encourages</w:t>
      </w:r>
      <w:r>
        <w:rPr>
          <w:spacing w:val="-3"/>
        </w:rPr>
        <w:t xml:space="preserve"> </w:t>
      </w:r>
      <w:r>
        <w:t>CAFL</w:t>
      </w:r>
      <w:r>
        <w:rPr>
          <w:spacing w:val="-2"/>
        </w:rPr>
        <w:t xml:space="preserve"> </w:t>
      </w:r>
      <w:r>
        <w:t>to identify</w:t>
      </w:r>
      <w:r>
        <w:rPr>
          <w:spacing w:val="-8"/>
        </w:rPr>
        <w:t xml:space="preserve"> </w:t>
      </w:r>
      <w:r>
        <w:t>how</w:t>
      </w:r>
      <w:r>
        <w:rPr>
          <w:spacing w:val="-8"/>
        </w:rPr>
        <w:t xml:space="preserve"> </w:t>
      </w:r>
      <w:r>
        <w:t>it</w:t>
      </w:r>
      <w:r>
        <w:rPr>
          <w:spacing w:val="-11"/>
        </w:rPr>
        <w:t xml:space="preserve"> </w:t>
      </w:r>
      <w:r>
        <w:t>will</w:t>
      </w:r>
      <w:r>
        <w:rPr>
          <w:spacing w:val="-9"/>
        </w:rPr>
        <w:t xml:space="preserve"> </w:t>
      </w:r>
      <w:r>
        <w:t>evaluate</w:t>
      </w:r>
      <w:r>
        <w:rPr>
          <w:spacing w:val="-11"/>
        </w:rPr>
        <w:t xml:space="preserve"> </w:t>
      </w:r>
      <w:r>
        <w:t>attorney</w:t>
      </w:r>
      <w:r>
        <w:rPr>
          <w:spacing w:val="-8"/>
        </w:rPr>
        <w:t xml:space="preserve"> </w:t>
      </w:r>
      <w:r>
        <w:t>performance</w:t>
      </w:r>
      <w:r>
        <w:rPr>
          <w:spacing w:val="-8"/>
        </w:rPr>
        <w:t xml:space="preserve"> </w:t>
      </w:r>
      <w:r>
        <w:t>in</w:t>
      </w:r>
      <w:r>
        <w:rPr>
          <w:spacing w:val="-10"/>
        </w:rPr>
        <w:t xml:space="preserve"> </w:t>
      </w:r>
      <w:r>
        <w:t>this</w:t>
      </w:r>
      <w:r>
        <w:rPr>
          <w:spacing w:val="-9"/>
        </w:rPr>
        <w:t xml:space="preserve"> </w:t>
      </w:r>
      <w:r>
        <w:t>area</w:t>
      </w:r>
      <w:r>
        <w:rPr>
          <w:spacing w:val="-9"/>
        </w:rPr>
        <w:t xml:space="preserve"> </w:t>
      </w:r>
      <w:r>
        <w:t>and</w:t>
      </w:r>
      <w:r>
        <w:rPr>
          <w:spacing w:val="-10"/>
        </w:rPr>
        <w:t xml:space="preserve"> </w:t>
      </w:r>
      <w:r>
        <w:t>how</w:t>
      </w:r>
      <w:r>
        <w:rPr>
          <w:spacing w:val="-8"/>
        </w:rPr>
        <w:t xml:space="preserve"> </w:t>
      </w:r>
      <w:r>
        <w:t>it</w:t>
      </w:r>
      <w:r>
        <w:rPr>
          <w:spacing w:val="-11"/>
        </w:rPr>
        <w:t xml:space="preserve"> </w:t>
      </w:r>
      <w:r>
        <w:t>will</w:t>
      </w:r>
      <w:r>
        <w:rPr>
          <w:spacing w:val="-9"/>
        </w:rPr>
        <w:t xml:space="preserve"> </w:t>
      </w:r>
      <w:r>
        <w:t>respond</w:t>
      </w:r>
      <w:r>
        <w:rPr>
          <w:spacing w:val="-10"/>
        </w:rPr>
        <w:t xml:space="preserve"> </w:t>
      </w:r>
      <w:r>
        <w:t>when</w:t>
      </w:r>
      <w:r>
        <w:rPr>
          <w:spacing w:val="-10"/>
        </w:rPr>
        <w:t xml:space="preserve"> </w:t>
      </w:r>
      <w:r>
        <w:t>attorneys</w:t>
      </w:r>
      <w:r>
        <w:rPr>
          <w:spacing w:val="-11"/>
        </w:rPr>
        <w:t xml:space="preserve"> </w:t>
      </w:r>
      <w:r>
        <w:t>are not meeting expectations. That should include e</w:t>
      </w:r>
      <w:r>
        <w:t>nsuring youth clients (and their adult allies) have easy access</w:t>
      </w:r>
      <w:r>
        <w:rPr>
          <w:spacing w:val="-9"/>
        </w:rPr>
        <w:t xml:space="preserve"> </w:t>
      </w:r>
      <w:r>
        <w:t>to</w:t>
      </w:r>
      <w:r>
        <w:rPr>
          <w:spacing w:val="-5"/>
        </w:rPr>
        <w:t xml:space="preserve"> </w:t>
      </w:r>
      <w:r>
        <w:t>CAFL’s</w:t>
      </w:r>
      <w:r>
        <w:rPr>
          <w:spacing w:val="-7"/>
        </w:rPr>
        <w:t xml:space="preserve"> </w:t>
      </w:r>
      <w:r>
        <w:t>complaint</w:t>
      </w:r>
      <w:r>
        <w:rPr>
          <w:spacing w:val="-9"/>
        </w:rPr>
        <w:t xml:space="preserve"> </w:t>
      </w:r>
      <w:r>
        <w:t>forms</w:t>
      </w:r>
      <w:r>
        <w:rPr>
          <w:spacing w:val="-9"/>
        </w:rPr>
        <w:t xml:space="preserve"> </w:t>
      </w:r>
      <w:r>
        <w:t>or</w:t>
      </w:r>
      <w:r>
        <w:rPr>
          <w:spacing w:val="-9"/>
        </w:rPr>
        <w:t xml:space="preserve"> </w:t>
      </w:r>
      <w:r>
        <w:t>other</w:t>
      </w:r>
      <w:r>
        <w:rPr>
          <w:spacing w:val="-9"/>
        </w:rPr>
        <w:t xml:space="preserve"> </w:t>
      </w:r>
      <w:r>
        <w:t>mechanisms</w:t>
      </w:r>
      <w:r>
        <w:rPr>
          <w:spacing w:val="-9"/>
        </w:rPr>
        <w:t xml:space="preserve"> </w:t>
      </w:r>
      <w:r>
        <w:t>for</w:t>
      </w:r>
      <w:r>
        <w:rPr>
          <w:spacing w:val="-7"/>
        </w:rPr>
        <w:t xml:space="preserve"> </w:t>
      </w:r>
      <w:r>
        <w:t>reporting</w:t>
      </w:r>
      <w:r>
        <w:rPr>
          <w:spacing w:val="-7"/>
        </w:rPr>
        <w:t xml:space="preserve"> </w:t>
      </w:r>
      <w:r>
        <w:t>when</w:t>
      </w:r>
      <w:r>
        <w:rPr>
          <w:spacing w:val="-10"/>
        </w:rPr>
        <w:t xml:space="preserve"> </w:t>
      </w:r>
      <w:r>
        <w:t>attorneys</w:t>
      </w:r>
      <w:r>
        <w:rPr>
          <w:spacing w:val="-7"/>
        </w:rPr>
        <w:t xml:space="preserve"> </w:t>
      </w:r>
      <w:r>
        <w:t>contribute</w:t>
      </w:r>
      <w:r>
        <w:rPr>
          <w:spacing w:val="-8"/>
        </w:rPr>
        <w:t xml:space="preserve"> </w:t>
      </w:r>
      <w:r>
        <w:t>to</w:t>
      </w:r>
      <w:r>
        <w:rPr>
          <w:spacing w:val="-5"/>
        </w:rPr>
        <w:t xml:space="preserve"> </w:t>
      </w:r>
      <w:r>
        <w:t>bias</w:t>
      </w:r>
      <w:r>
        <w:rPr>
          <w:spacing w:val="-9"/>
        </w:rPr>
        <w:t xml:space="preserve"> </w:t>
      </w:r>
      <w:r>
        <w:t>or discrimination</w:t>
      </w:r>
      <w:r>
        <w:rPr>
          <w:spacing w:val="-7"/>
        </w:rPr>
        <w:t xml:space="preserve"> </w:t>
      </w:r>
      <w:r>
        <w:t>in</w:t>
      </w:r>
      <w:r>
        <w:rPr>
          <w:spacing w:val="-7"/>
        </w:rPr>
        <w:t xml:space="preserve"> </w:t>
      </w:r>
      <w:r>
        <w:t>the</w:t>
      </w:r>
      <w:r>
        <w:rPr>
          <w:spacing w:val="-8"/>
        </w:rPr>
        <w:t xml:space="preserve"> </w:t>
      </w:r>
      <w:r>
        <w:t>court</w:t>
      </w:r>
      <w:r>
        <w:rPr>
          <w:spacing w:val="-9"/>
        </w:rPr>
        <w:t xml:space="preserve"> </w:t>
      </w:r>
      <w:r>
        <w:t>system</w:t>
      </w:r>
      <w:r>
        <w:rPr>
          <w:spacing w:val="-8"/>
        </w:rPr>
        <w:t xml:space="preserve"> </w:t>
      </w:r>
      <w:r>
        <w:t>or</w:t>
      </w:r>
      <w:r>
        <w:rPr>
          <w:spacing w:val="-7"/>
        </w:rPr>
        <w:t xml:space="preserve"> </w:t>
      </w:r>
      <w:r>
        <w:t>fail</w:t>
      </w:r>
      <w:r>
        <w:rPr>
          <w:spacing w:val="-9"/>
        </w:rPr>
        <w:t xml:space="preserve"> </w:t>
      </w:r>
      <w:r>
        <w:t>to</w:t>
      </w:r>
      <w:r>
        <w:rPr>
          <w:spacing w:val="-8"/>
        </w:rPr>
        <w:t xml:space="preserve"> </w:t>
      </w:r>
      <w:r>
        <w:t>advocate</w:t>
      </w:r>
      <w:r>
        <w:rPr>
          <w:spacing w:val="-6"/>
        </w:rPr>
        <w:t xml:space="preserve"> </w:t>
      </w:r>
      <w:r>
        <w:t>for</w:t>
      </w:r>
      <w:r>
        <w:rPr>
          <w:spacing w:val="-7"/>
        </w:rPr>
        <w:t xml:space="preserve"> </w:t>
      </w:r>
      <w:r>
        <w:t>LGBTQ</w:t>
      </w:r>
      <w:r>
        <w:rPr>
          <w:spacing w:val="-9"/>
        </w:rPr>
        <w:t xml:space="preserve"> </w:t>
      </w:r>
      <w:r>
        <w:t>young</w:t>
      </w:r>
      <w:r>
        <w:rPr>
          <w:spacing w:val="-7"/>
        </w:rPr>
        <w:t xml:space="preserve"> </w:t>
      </w:r>
      <w:r>
        <w:t>people’s</w:t>
      </w:r>
      <w:r>
        <w:rPr>
          <w:spacing w:val="-7"/>
        </w:rPr>
        <w:t xml:space="preserve"> </w:t>
      </w:r>
      <w:r>
        <w:t>needs.</w:t>
      </w:r>
      <w:r>
        <w:rPr>
          <w:spacing w:val="-7"/>
        </w:rPr>
        <w:t xml:space="preserve"> </w:t>
      </w:r>
      <w:r>
        <w:t>To</w:t>
      </w:r>
      <w:r>
        <w:rPr>
          <w:spacing w:val="-5"/>
        </w:rPr>
        <w:t xml:space="preserve"> </w:t>
      </w:r>
      <w:r>
        <w:t>accomplish</w:t>
      </w:r>
      <w:r>
        <w:rPr>
          <w:spacing w:val="-7"/>
        </w:rPr>
        <w:t xml:space="preserve"> </w:t>
      </w:r>
      <w:r>
        <w:t>this goal, CAFL needs a strong,</w:t>
      </w:r>
      <w:r>
        <w:rPr>
          <w:spacing w:val="-2"/>
        </w:rPr>
        <w:t xml:space="preserve"> </w:t>
      </w:r>
      <w:r>
        <w:t>transparent, and consistent process for investigating</w:t>
      </w:r>
      <w:r>
        <w:rPr>
          <w:spacing w:val="-3"/>
        </w:rPr>
        <w:t xml:space="preserve"> </w:t>
      </w:r>
      <w:r>
        <w:t>and responding to those complaints,</w:t>
      </w:r>
      <w:r>
        <w:rPr>
          <w:spacing w:val="-7"/>
        </w:rPr>
        <w:t xml:space="preserve"> </w:t>
      </w:r>
      <w:r>
        <w:t>holding</w:t>
      </w:r>
      <w:r>
        <w:rPr>
          <w:spacing w:val="-7"/>
        </w:rPr>
        <w:t xml:space="preserve"> </w:t>
      </w:r>
      <w:r>
        <w:t>attorneys</w:t>
      </w:r>
      <w:r>
        <w:rPr>
          <w:spacing w:val="-7"/>
        </w:rPr>
        <w:t xml:space="preserve"> </w:t>
      </w:r>
      <w:r>
        <w:t>accountable</w:t>
      </w:r>
      <w:r>
        <w:rPr>
          <w:spacing w:val="-6"/>
        </w:rPr>
        <w:t xml:space="preserve"> </w:t>
      </w:r>
      <w:r>
        <w:t>for</w:t>
      </w:r>
      <w:r>
        <w:rPr>
          <w:spacing w:val="-7"/>
        </w:rPr>
        <w:t xml:space="preserve"> </w:t>
      </w:r>
      <w:r>
        <w:t>deficient</w:t>
      </w:r>
      <w:r>
        <w:rPr>
          <w:spacing w:val="-6"/>
        </w:rPr>
        <w:t xml:space="preserve"> </w:t>
      </w:r>
      <w:r>
        <w:t>representation</w:t>
      </w:r>
      <w:r>
        <w:rPr>
          <w:spacing w:val="-10"/>
        </w:rPr>
        <w:t xml:space="preserve"> </w:t>
      </w:r>
      <w:r>
        <w:t>of</w:t>
      </w:r>
      <w:r>
        <w:rPr>
          <w:spacing w:val="-7"/>
        </w:rPr>
        <w:t xml:space="preserve"> </w:t>
      </w:r>
      <w:r>
        <w:t>LGBTQ</w:t>
      </w:r>
      <w:r>
        <w:rPr>
          <w:spacing w:val="-9"/>
        </w:rPr>
        <w:t xml:space="preserve"> </w:t>
      </w:r>
      <w:r>
        <w:t>clients,</w:t>
      </w:r>
      <w:r>
        <w:rPr>
          <w:spacing w:val="-7"/>
        </w:rPr>
        <w:t xml:space="preserve"> </w:t>
      </w:r>
      <w:r>
        <w:t>and</w:t>
      </w:r>
      <w:r>
        <w:rPr>
          <w:spacing w:val="-7"/>
        </w:rPr>
        <w:t xml:space="preserve"> </w:t>
      </w:r>
      <w:r>
        <w:t>taking</w:t>
      </w:r>
      <w:r>
        <w:rPr>
          <w:spacing w:val="-7"/>
        </w:rPr>
        <w:t xml:space="preserve"> </w:t>
      </w:r>
      <w:r>
        <w:t>steps to resolve the unmet needs of</w:t>
      </w:r>
      <w:r>
        <w:t xml:space="preserve"> LGBTQ clients (e.g. by providing additional support or oversight, or assigning a new lawyer or co-counsel).</w:t>
      </w:r>
    </w:p>
    <w:p w:rsidR="00200FDA" w:rsidRDefault="00200FDA">
      <w:pPr>
        <w:pStyle w:val="BodyText"/>
      </w:pPr>
    </w:p>
    <w:p w:rsidR="00200FDA" w:rsidRDefault="00200FDA">
      <w:pPr>
        <w:pStyle w:val="BodyText"/>
        <w:spacing w:before="10"/>
      </w:pPr>
    </w:p>
    <w:p w:rsidR="00200FDA" w:rsidRDefault="00F76C4C">
      <w:pPr>
        <w:pStyle w:val="Heading9"/>
        <w:numPr>
          <w:ilvl w:val="0"/>
          <w:numId w:val="16"/>
        </w:numPr>
        <w:tabs>
          <w:tab w:val="left" w:pos="501"/>
        </w:tabs>
        <w:ind w:hanging="222"/>
      </w:pPr>
      <w:r>
        <w:t>Provide</w:t>
      </w:r>
      <w:r>
        <w:rPr>
          <w:spacing w:val="-7"/>
        </w:rPr>
        <w:t xml:space="preserve"> </w:t>
      </w:r>
      <w:r>
        <w:t>consistent</w:t>
      </w:r>
      <w:r>
        <w:rPr>
          <w:spacing w:val="-7"/>
        </w:rPr>
        <w:t xml:space="preserve"> </w:t>
      </w:r>
      <w:r>
        <w:t>and</w:t>
      </w:r>
      <w:r>
        <w:rPr>
          <w:spacing w:val="-5"/>
        </w:rPr>
        <w:t xml:space="preserve"> </w:t>
      </w:r>
      <w:r>
        <w:t>high-quality</w:t>
      </w:r>
      <w:r>
        <w:rPr>
          <w:spacing w:val="-4"/>
        </w:rPr>
        <w:t xml:space="preserve"> </w:t>
      </w:r>
      <w:r>
        <w:t>training</w:t>
      </w:r>
      <w:r>
        <w:rPr>
          <w:spacing w:val="-6"/>
        </w:rPr>
        <w:t xml:space="preserve"> </w:t>
      </w:r>
      <w:r>
        <w:t>on</w:t>
      </w:r>
      <w:r>
        <w:rPr>
          <w:spacing w:val="-6"/>
        </w:rPr>
        <w:t xml:space="preserve"> </w:t>
      </w:r>
      <w:r>
        <w:t>working</w:t>
      </w:r>
      <w:r>
        <w:rPr>
          <w:spacing w:val="-5"/>
        </w:rPr>
        <w:t xml:space="preserve"> </w:t>
      </w:r>
      <w:r>
        <w:t>with</w:t>
      </w:r>
      <w:r>
        <w:rPr>
          <w:spacing w:val="-6"/>
        </w:rPr>
        <w:t xml:space="preserve"> </w:t>
      </w:r>
      <w:r>
        <w:t>LGBTQ</w:t>
      </w:r>
      <w:r>
        <w:rPr>
          <w:spacing w:val="-7"/>
        </w:rPr>
        <w:t xml:space="preserve"> </w:t>
      </w:r>
      <w:r>
        <w:rPr>
          <w:spacing w:val="-2"/>
        </w:rPr>
        <w:t>clients.</w:t>
      </w:r>
    </w:p>
    <w:p w:rsidR="00200FDA" w:rsidRDefault="00200FDA">
      <w:pPr>
        <w:pStyle w:val="BodyText"/>
        <w:rPr>
          <w:b/>
          <w:sz w:val="23"/>
        </w:rPr>
      </w:pPr>
    </w:p>
    <w:p w:rsidR="00200FDA" w:rsidRDefault="00F76C4C">
      <w:pPr>
        <w:pStyle w:val="BodyText"/>
        <w:spacing w:line="276" w:lineRule="auto"/>
        <w:ind w:left="279" w:right="273"/>
        <w:jc w:val="both"/>
      </w:pPr>
      <w:r>
        <w:t xml:space="preserve">The Commission planned a training with CPCS in 2017. More recently, </w:t>
      </w:r>
      <w:r>
        <w:t>the Commission understands that CAFL</w:t>
      </w:r>
      <w:r>
        <w:rPr>
          <w:spacing w:val="-4"/>
        </w:rPr>
        <w:t xml:space="preserve"> </w:t>
      </w:r>
      <w:r>
        <w:t>has</w:t>
      </w:r>
      <w:r>
        <w:rPr>
          <w:spacing w:val="-7"/>
        </w:rPr>
        <w:t xml:space="preserve"> </w:t>
      </w:r>
      <w:r>
        <w:t>identified</w:t>
      </w:r>
      <w:r>
        <w:rPr>
          <w:spacing w:val="-9"/>
        </w:rPr>
        <w:t xml:space="preserve"> </w:t>
      </w:r>
      <w:r>
        <w:t>opportunities</w:t>
      </w:r>
      <w:r>
        <w:rPr>
          <w:spacing w:val="-4"/>
        </w:rPr>
        <w:t xml:space="preserve"> </w:t>
      </w:r>
      <w:r>
        <w:t>to</w:t>
      </w:r>
      <w:r>
        <w:rPr>
          <w:spacing w:val="-6"/>
        </w:rPr>
        <w:t xml:space="preserve"> </w:t>
      </w:r>
      <w:r>
        <w:t>address</w:t>
      </w:r>
      <w:r>
        <w:rPr>
          <w:spacing w:val="-7"/>
        </w:rPr>
        <w:t xml:space="preserve"> </w:t>
      </w:r>
      <w:r>
        <w:t>issues</w:t>
      </w:r>
      <w:r>
        <w:rPr>
          <w:spacing w:val="-7"/>
        </w:rPr>
        <w:t xml:space="preserve"> </w:t>
      </w:r>
      <w:r>
        <w:t>related</w:t>
      </w:r>
      <w:r>
        <w:rPr>
          <w:spacing w:val="-7"/>
        </w:rPr>
        <w:t xml:space="preserve"> </w:t>
      </w:r>
      <w:r>
        <w:t>to</w:t>
      </w:r>
      <w:r>
        <w:rPr>
          <w:spacing w:val="-6"/>
        </w:rPr>
        <w:t xml:space="preserve"> </w:t>
      </w:r>
      <w:r>
        <w:t>sexual</w:t>
      </w:r>
      <w:r>
        <w:rPr>
          <w:spacing w:val="-7"/>
        </w:rPr>
        <w:t xml:space="preserve"> </w:t>
      </w:r>
      <w:r>
        <w:t>orientation</w:t>
      </w:r>
      <w:r>
        <w:rPr>
          <w:spacing w:val="-8"/>
        </w:rPr>
        <w:t xml:space="preserve"> </w:t>
      </w:r>
      <w:r>
        <w:t>and</w:t>
      </w:r>
      <w:r>
        <w:rPr>
          <w:spacing w:val="-5"/>
        </w:rPr>
        <w:t xml:space="preserve"> </w:t>
      </w:r>
      <w:r>
        <w:t>gender</w:t>
      </w:r>
      <w:r>
        <w:rPr>
          <w:spacing w:val="-4"/>
        </w:rPr>
        <w:t xml:space="preserve"> </w:t>
      </w:r>
      <w:r>
        <w:t>identity</w:t>
      </w:r>
      <w:r>
        <w:rPr>
          <w:spacing w:val="-6"/>
        </w:rPr>
        <w:t xml:space="preserve"> </w:t>
      </w:r>
      <w:r>
        <w:t>in</w:t>
      </w:r>
      <w:r>
        <w:rPr>
          <w:spacing w:val="-8"/>
        </w:rPr>
        <w:t xml:space="preserve"> </w:t>
      </w:r>
      <w:r>
        <w:t>its certification training for new attorneys, as well as in specific trainings on representing youth and young adults. The Commission urges CAFL to continue expanding training for both CAFL staff and private attorneys on working with LGBTQ clients. Trainin</w:t>
      </w:r>
      <w:r>
        <w:t>g opportunities should include both introductory materials on working with LGBTQ communities as well as specialized training on topics such as name changes, gender-affirming healthcare, advocating for LGBTQ young people in schools, DCF policies and interna</w:t>
      </w:r>
      <w:r>
        <w:t>l</w:t>
      </w:r>
      <w:r>
        <w:rPr>
          <w:spacing w:val="-9"/>
        </w:rPr>
        <w:t xml:space="preserve"> </w:t>
      </w:r>
      <w:r>
        <w:t>resources</w:t>
      </w:r>
      <w:r>
        <w:rPr>
          <w:spacing w:val="-9"/>
        </w:rPr>
        <w:t xml:space="preserve"> </w:t>
      </w:r>
      <w:r>
        <w:t>for</w:t>
      </w:r>
      <w:r>
        <w:rPr>
          <w:spacing w:val="-9"/>
        </w:rPr>
        <w:t xml:space="preserve"> </w:t>
      </w:r>
      <w:r>
        <w:t>LGBTQ</w:t>
      </w:r>
      <w:r>
        <w:rPr>
          <w:spacing w:val="-9"/>
        </w:rPr>
        <w:t xml:space="preserve"> </w:t>
      </w:r>
      <w:r>
        <w:t>individuals,</w:t>
      </w:r>
      <w:r>
        <w:rPr>
          <w:spacing w:val="-9"/>
        </w:rPr>
        <w:t xml:space="preserve"> </w:t>
      </w:r>
      <w:r>
        <w:t>and</w:t>
      </w:r>
      <w:r>
        <w:rPr>
          <w:spacing w:val="-10"/>
        </w:rPr>
        <w:t xml:space="preserve"> </w:t>
      </w:r>
      <w:r>
        <w:t>resources</w:t>
      </w:r>
      <w:r>
        <w:rPr>
          <w:spacing w:val="-9"/>
        </w:rPr>
        <w:t xml:space="preserve"> </w:t>
      </w:r>
      <w:r>
        <w:t>to</w:t>
      </w:r>
      <w:r>
        <w:rPr>
          <w:spacing w:val="-9"/>
        </w:rPr>
        <w:t xml:space="preserve"> </w:t>
      </w:r>
      <w:r>
        <w:t>promote</w:t>
      </w:r>
      <w:r>
        <w:rPr>
          <w:spacing w:val="-9"/>
        </w:rPr>
        <w:t xml:space="preserve"> </w:t>
      </w:r>
      <w:r>
        <w:t>family</w:t>
      </w:r>
      <w:r>
        <w:rPr>
          <w:spacing w:val="-9"/>
        </w:rPr>
        <w:t xml:space="preserve"> </w:t>
      </w:r>
      <w:r>
        <w:t>acceptance.</w:t>
      </w:r>
      <w:r>
        <w:rPr>
          <w:spacing w:val="-9"/>
        </w:rPr>
        <w:t xml:space="preserve"> </w:t>
      </w:r>
      <w:r>
        <w:t>Importantly,</w:t>
      </w:r>
      <w:r>
        <w:rPr>
          <w:spacing w:val="-9"/>
        </w:rPr>
        <w:t xml:space="preserve"> </w:t>
      </w:r>
      <w:r>
        <w:t>there must</w:t>
      </w:r>
      <w:r>
        <w:rPr>
          <w:spacing w:val="-5"/>
        </w:rPr>
        <w:t xml:space="preserve"> </w:t>
      </w:r>
      <w:r>
        <w:t>be</w:t>
      </w:r>
      <w:r>
        <w:rPr>
          <w:spacing w:val="-5"/>
        </w:rPr>
        <w:t xml:space="preserve"> </w:t>
      </w:r>
      <w:r>
        <w:t>a</w:t>
      </w:r>
      <w:r>
        <w:rPr>
          <w:spacing w:val="-8"/>
        </w:rPr>
        <w:t xml:space="preserve"> </w:t>
      </w:r>
      <w:r>
        <w:t>mechanism</w:t>
      </w:r>
      <w:r>
        <w:rPr>
          <w:spacing w:val="-4"/>
        </w:rPr>
        <w:t xml:space="preserve"> </w:t>
      </w:r>
      <w:r>
        <w:t>to</w:t>
      </w:r>
      <w:r>
        <w:rPr>
          <w:spacing w:val="-4"/>
        </w:rPr>
        <w:t xml:space="preserve"> </w:t>
      </w:r>
      <w:r>
        <w:t>require</w:t>
      </w:r>
      <w:r>
        <w:rPr>
          <w:spacing w:val="-5"/>
        </w:rPr>
        <w:t xml:space="preserve"> </w:t>
      </w:r>
      <w:r>
        <w:t>that</w:t>
      </w:r>
      <w:r>
        <w:rPr>
          <w:spacing w:val="-5"/>
        </w:rPr>
        <w:t xml:space="preserve"> </w:t>
      </w:r>
      <w:r>
        <w:t>all</w:t>
      </w:r>
      <w:r>
        <w:rPr>
          <w:spacing w:val="-6"/>
        </w:rPr>
        <w:t xml:space="preserve"> </w:t>
      </w:r>
      <w:r>
        <w:t>CAFL</w:t>
      </w:r>
      <w:r>
        <w:rPr>
          <w:spacing w:val="-5"/>
        </w:rPr>
        <w:t xml:space="preserve"> </w:t>
      </w:r>
      <w:r>
        <w:t>attorneys</w:t>
      </w:r>
      <w:r>
        <w:rPr>
          <w:spacing w:val="-5"/>
        </w:rPr>
        <w:t xml:space="preserve"> </w:t>
      </w:r>
      <w:r>
        <w:t>-</w:t>
      </w:r>
      <w:r>
        <w:rPr>
          <w:spacing w:val="-6"/>
        </w:rPr>
        <w:t xml:space="preserve"> </w:t>
      </w:r>
      <w:r>
        <w:t>whether</w:t>
      </w:r>
      <w:r>
        <w:rPr>
          <w:spacing w:val="-6"/>
        </w:rPr>
        <w:t xml:space="preserve"> </w:t>
      </w:r>
      <w:r>
        <w:t>staff</w:t>
      </w:r>
      <w:r>
        <w:rPr>
          <w:spacing w:val="-8"/>
        </w:rPr>
        <w:t xml:space="preserve"> </w:t>
      </w:r>
      <w:r>
        <w:t>or</w:t>
      </w:r>
      <w:r>
        <w:rPr>
          <w:spacing w:val="-6"/>
        </w:rPr>
        <w:t xml:space="preserve"> </w:t>
      </w:r>
      <w:r>
        <w:t>private</w:t>
      </w:r>
      <w:r>
        <w:rPr>
          <w:spacing w:val="-8"/>
        </w:rPr>
        <w:t xml:space="preserve"> </w:t>
      </w:r>
      <w:r>
        <w:t>-</w:t>
      </w:r>
      <w:r>
        <w:rPr>
          <w:spacing w:val="-6"/>
        </w:rPr>
        <w:t xml:space="preserve"> </w:t>
      </w:r>
      <w:r>
        <w:t>receive</w:t>
      </w:r>
      <w:r>
        <w:rPr>
          <w:spacing w:val="-5"/>
        </w:rPr>
        <w:t xml:space="preserve"> </w:t>
      </w:r>
      <w:r>
        <w:t>regular,</w:t>
      </w:r>
      <w:r>
        <w:rPr>
          <w:spacing w:val="-6"/>
        </w:rPr>
        <w:t xml:space="preserve"> </w:t>
      </w:r>
      <w:r>
        <w:t>up-to- date training on the needs of LGBTQ youth clients.</w:t>
      </w:r>
      <w:r>
        <w:t xml:space="preserve"> The Commission is particularly concerned that attorneys who have been practicing long enough to have received no LGBTQ content in their initial certification training may not opt into voluntary LGBTQ trainings and may in fact </w:t>
      </w:r>
      <w:r>
        <w:rPr>
          <w:i/>
        </w:rPr>
        <w:t xml:space="preserve">never </w:t>
      </w:r>
      <w:r>
        <w:t xml:space="preserve">have received training </w:t>
      </w:r>
      <w:r>
        <w:t>on working with LGBTQ clients.</w:t>
      </w:r>
    </w:p>
    <w:p w:rsidR="00200FDA" w:rsidRDefault="00200FDA">
      <w:pPr>
        <w:pStyle w:val="BodyText"/>
      </w:pPr>
    </w:p>
    <w:p w:rsidR="00200FDA" w:rsidRDefault="00200FDA">
      <w:pPr>
        <w:pStyle w:val="BodyText"/>
        <w:spacing w:before="10"/>
      </w:pPr>
    </w:p>
    <w:p w:rsidR="00200FDA" w:rsidRDefault="00F76C4C">
      <w:pPr>
        <w:pStyle w:val="Heading9"/>
        <w:numPr>
          <w:ilvl w:val="0"/>
          <w:numId w:val="16"/>
        </w:numPr>
        <w:tabs>
          <w:tab w:val="left" w:pos="501"/>
        </w:tabs>
        <w:ind w:hanging="222"/>
        <w:rPr>
          <w:b w:val="0"/>
        </w:rPr>
      </w:pPr>
      <w:r>
        <w:t>Designate</w:t>
      </w:r>
      <w:r>
        <w:rPr>
          <w:spacing w:val="-4"/>
        </w:rPr>
        <w:t xml:space="preserve"> </w:t>
      </w:r>
      <w:r>
        <w:t>one</w:t>
      </w:r>
      <w:r>
        <w:rPr>
          <w:spacing w:val="-4"/>
        </w:rPr>
        <w:t xml:space="preserve"> </w:t>
      </w:r>
      <w:r>
        <w:t>or</w:t>
      </w:r>
      <w:r>
        <w:rPr>
          <w:spacing w:val="-2"/>
        </w:rPr>
        <w:t xml:space="preserve"> </w:t>
      </w:r>
      <w:r>
        <w:t>more</w:t>
      </w:r>
      <w:r>
        <w:rPr>
          <w:spacing w:val="-6"/>
        </w:rPr>
        <w:t xml:space="preserve"> </w:t>
      </w:r>
      <w:r>
        <w:t>point</w:t>
      </w:r>
      <w:r>
        <w:rPr>
          <w:spacing w:val="-3"/>
        </w:rPr>
        <w:t xml:space="preserve"> </w:t>
      </w:r>
      <w:r>
        <w:t>people</w:t>
      </w:r>
      <w:r>
        <w:rPr>
          <w:spacing w:val="-4"/>
        </w:rPr>
        <w:t xml:space="preserve"> </w:t>
      </w:r>
      <w:r>
        <w:t>on</w:t>
      </w:r>
      <w:r>
        <w:rPr>
          <w:spacing w:val="-4"/>
        </w:rPr>
        <w:t xml:space="preserve"> </w:t>
      </w:r>
      <w:r>
        <w:t>LGBTQ</w:t>
      </w:r>
      <w:r>
        <w:rPr>
          <w:spacing w:val="-4"/>
        </w:rPr>
        <w:t xml:space="preserve"> </w:t>
      </w:r>
      <w:r>
        <w:rPr>
          <w:spacing w:val="-2"/>
        </w:rPr>
        <w:t>issues</w:t>
      </w:r>
      <w:r>
        <w:rPr>
          <w:b w:val="0"/>
          <w:spacing w:val="-2"/>
        </w:rPr>
        <w:t>.</w:t>
      </w:r>
    </w:p>
    <w:p w:rsidR="00200FDA" w:rsidRDefault="00200FDA">
      <w:pPr>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79" w:right="272"/>
        <w:jc w:val="both"/>
      </w:pPr>
      <w:r>
        <w:t>Having</w:t>
      </w:r>
      <w:r>
        <w:rPr>
          <w:spacing w:val="-10"/>
        </w:rPr>
        <w:t xml:space="preserve"> </w:t>
      </w:r>
      <w:r>
        <w:t>at</w:t>
      </w:r>
      <w:r>
        <w:rPr>
          <w:spacing w:val="-11"/>
        </w:rPr>
        <w:t xml:space="preserve"> </w:t>
      </w:r>
      <w:r>
        <w:t>least</w:t>
      </w:r>
      <w:r>
        <w:rPr>
          <w:spacing w:val="-13"/>
        </w:rPr>
        <w:t xml:space="preserve"> </w:t>
      </w:r>
      <w:r>
        <w:t>one</w:t>
      </w:r>
      <w:r>
        <w:rPr>
          <w:spacing w:val="-8"/>
        </w:rPr>
        <w:t xml:space="preserve"> </w:t>
      </w:r>
      <w:r>
        <w:t>designated</w:t>
      </w:r>
      <w:r>
        <w:rPr>
          <w:spacing w:val="-10"/>
        </w:rPr>
        <w:t xml:space="preserve"> </w:t>
      </w:r>
      <w:r>
        <w:t>subject</w:t>
      </w:r>
      <w:r>
        <w:rPr>
          <w:spacing w:val="-11"/>
        </w:rPr>
        <w:t xml:space="preserve"> </w:t>
      </w:r>
      <w:r>
        <w:t>matter</w:t>
      </w:r>
      <w:r>
        <w:rPr>
          <w:spacing w:val="-12"/>
        </w:rPr>
        <w:t xml:space="preserve"> </w:t>
      </w:r>
      <w:r>
        <w:t>expert</w:t>
      </w:r>
      <w:r>
        <w:rPr>
          <w:spacing w:val="-8"/>
        </w:rPr>
        <w:t xml:space="preserve"> </w:t>
      </w:r>
      <w:r>
        <w:t>provides</w:t>
      </w:r>
      <w:r>
        <w:rPr>
          <w:spacing w:val="-9"/>
        </w:rPr>
        <w:t xml:space="preserve"> </w:t>
      </w:r>
      <w:r>
        <w:t>a</w:t>
      </w:r>
      <w:r>
        <w:rPr>
          <w:spacing w:val="-12"/>
        </w:rPr>
        <w:t xml:space="preserve"> </w:t>
      </w:r>
      <w:r>
        <w:t>consistent</w:t>
      </w:r>
      <w:r>
        <w:rPr>
          <w:spacing w:val="-8"/>
        </w:rPr>
        <w:t xml:space="preserve"> </w:t>
      </w:r>
      <w:r>
        <w:t>resource</w:t>
      </w:r>
      <w:r>
        <w:rPr>
          <w:spacing w:val="-8"/>
        </w:rPr>
        <w:t xml:space="preserve"> </w:t>
      </w:r>
      <w:r>
        <w:t>for</w:t>
      </w:r>
      <w:r>
        <w:rPr>
          <w:spacing w:val="-12"/>
        </w:rPr>
        <w:t xml:space="preserve"> </w:t>
      </w:r>
      <w:r>
        <w:t>colleagues</w:t>
      </w:r>
      <w:r>
        <w:rPr>
          <w:spacing w:val="-11"/>
        </w:rPr>
        <w:t xml:space="preserve"> </w:t>
      </w:r>
      <w:r>
        <w:t>to</w:t>
      </w:r>
      <w:r>
        <w:rPr>
          <w:spacing w:val="-10"/>
        </w:rPr>
        <w:t xml:space="preserve"> </w:t>
      </w:r>
      <w:r>
        <w:t>turn to for questions or advice on advocating for LGBTQ clients. The Commission has seen similar resources - such as DCF’s internal group of LGBTQ “liaisons” and dedicated LGBTQ outreach staff positions - be effective at other agencies. In order for such a</w:t>
      </w:r>
      <w:r>
        <w:t xml:space="preserve"> resource to be most impactful, the job description of a subject</w:t>
      </w:r>
      <w:r>
        <w:rPr>
          <w:spacing w:val="-7"/>
        </w:rPr>
        <w:t xml:space="preserve"> </w:t>
      </w:r>
      <w:r>
        <w:t>matter</w:t>
      </w:r>
      <w:r>
        <w:rPr>
          <w:spacing w:val="-11"/>
        </w:rPr>
        <w:t xml:space="preserve"> </w:t>
      </w:r>
      <w:r>
        <w:t>expert</w:t>
      </w:r>
      <w:r>
        <w:rPr>
          <w:spacing w:val="-7"/>
        </w:rPr>
        <w:t xml:space="preserve"> </w:t>
      </w:r>
      <w:r>
        <w:t>should</w:t>
      </w:r>
      <w:r>
        <w:rPr>
          <w:spacing w:val="-9"/>
        </w:rPr>
        <w:t xml:space="preserve"> </w:t>
      </w:r>
      <w:r>
        <w:t>explicitly</w:t>
      </w:r>
      <w:r>
        <w:rPr>
          <w:spacing w:val="-7"/>
        </w:rPr>
        <w:t xml:space="preserve"> </w:t>
      </w:r>
      <w:r>
        <w:t>include</w:t>
      </w:r>
      <w:r>
        <w:rPr>
          <w:spacing w:val="-7"/>
        </w:rPr>
        <w:t xml:space="preserve"> </w:t>
      </w:r>
      <w:r>
        <w:t>this</w:t>
      </w:r>
      <w:r>
        <w:rPr>
          <w:spacing w:val="-8"/>
        </w:rPr>
        <w:t xml:space="preserve"> </w:t>
      </w:r>
      <w:r>
        <w:t>work</w:t>
      </w:r>
      <w:r>
        <w:rPr>
          <w:spacing w:val="-8"/>
        </w:rPr>
        <w:t xml:space="preserve"> </w:t>
      </w:r>
      <w:r>
        <w:t>-</w:t>
      </w:r>
      <w:r>
        <w:rPr>
          <w:spacing w:val="-10"/>
        </w:rPr>
        <w:t xml:space="preserve"> </w:t>
      </w:r>
      <w:r>
        <w:t>for</w:t>
      </w:r>
      <w:r>
        <w:rPr>
          <w:spacing w:val="-8"/>
        </w:rPr>
        <w:t xml:space="preserve"> </w:t>
      </w:r>
      <w:r>
        <w:t>instance,</w:t>
      </w:r>
      <w:r>
        <w:rPr>
          <w:spacing w:val="-8"/>
        </w:rPr>
        <w:t xml:space="preserve"> </w:t>
      </w:r>
      <w:r>
        <w:t>by</w:t>
      </w:r>
      <w:r>
        <w:rPr>
          <w:spacing w:val="-10"/>
        </w:rPr>
        <w:t xml:space="preserve"> </w:t>
      </w:r>
      <w:r>
        <w:t>ensuring</w:t>
      </w:r>
      <w:r>
        <w:rPr>
          <w:spacing w:val="-9"/>
        </w:rPr>
        <w:t xml:space="preserve"> </w:t>
      </w:r>
      <w:r>
        <w:t>a</w:t>
      </w:r>
      <w:r>
        <w:rPr>
          <w:spacing w:val="-8"/>
        </w:rPr>
        <w:t xml:space="preserve"> </w:t>
      </w:r>
      <w:r>
        <w:t>low</w:t>
      </w:r>
      <w:r>
        <w:rPr>
          <w:spacing w:val="-7"/>
        </w:rPr>
        <w:t xml:space="preserve"> </w:t>
      </w:r>
      <w:r>
        <w:t>enough</w:t>
      </w:r>
      <w:r>
        <w:rPr>
          <w:spacing w:val="-9"/>
        </w:rPr>
        <w:t xml:space="preserve"> </w:t>
      </w:r>
      <w:r>
        <w:t>caseload to</w:t>
      </w:r>
      <w:r>
        <w:rPr>
          <w:spacing w:val="-3"/>
        </w:rPr>
        <w:t xml:space="preserve"> </w:t>
      </w:r>
      <w:r>
        <w:t>accommodate</w:t>
      </w:r>
      <w:r>
        <w:rPr>
          <w:spacing w:val="-4"/>
        </w:rPr>
        <w:t xml:space="preserve"> </w:t>
      </w:r>
      <w:r>
        <w:t>consultations</w:t>
      </w:r>
      <w:r>
        <w:rPr>
          <w:spacing w:val="-4"/>
        </w:rPr>
        <w:t xml:space="preserve"> </w:t>
      </w:r>
      <w:r>
        <w:t>with</w:t>
      </w:r>
      <w:r>
        <w:rPr>
          <w:spacing w:val="-5"/>
        </w:rPr>
        <w:t xml:space="preserve"> </w:t>
      </w:r>
      <w:r>
        <w:t>colleagues</w:t>
      </w:r>
      <w:r>
        <w:rPr>
          <w:spacing w:val="-4"/>
        </w:rPr>
        <w:t xml:space="preserve"> </w:t>
      </w:r>
      <w:r>
        <w:t>and</w:t>
      </w:r>
      <w:r>
        <w:rPr>
          <w:spacing w:val="-5"/>
        </w:rPr>
        <w:t xml:space="preserve"> </w:t>
      </w:r>
      <w:r>
        <w:t>participating</w:t>
      </w:r>
      <w:r>
        <w:rPr>
          <w:spacing w:val="-5"/>
        </w:rPr>
        <w:t xml:space="preserve"> </w:t>
      </w:r>
      <w:r>
        <w:t>in</w:t>
      </w:r>
      <w:r>
        <w:rPr>
          <w:spacing w:val="-5"/>
        </w:rPr>
        <w:t xml:space="preserve"> </w:t>
      </w:r>
      <w:r>
        <w:t>internal</w:t>
      </w:r>
      <w:r>
        <w:rPr>
          <w:spacing w:val="-5"/>
        </w:rPr>
        <w:t xml:space="preserve"> </w:t>
      </w:r>
      <w:r>
        <w:t>policy,</w:t>
      </w:r>
      <w:r>
        <w:rPr>
          <w:spacing w:val="-4"/>
        </w:rPr>
        <w:t xml:space="preserve"> </w:t>
      </w:r>
      <w:r>
        <w:t>training,</w:t>
      </w:r>
      <w:r>
        <w:rPr>
          <w:spacing w:val="-4"/>
        </w:rPr>
        <w:t xml:space="preserve"> </w:t>
      </w:r>
      <w:r>
        <w:t>and</w:t>
      </w:r>
      <w:r>
        <w:rPr>
          <w:spacing w:val="-5"/>
        </w:rPr>
        <w:t xml:space="preserve"> </w:t>
      </w:r>
      <w:r>
        <w:t>resource development work. The Commission recommends that CAFL create such a position and ensure that it is filled by someone with expertise in LGBTQ cultural competency. While such a position would ideally be occupied by someone with previou</w:t>
      </w:r>
      <w:r>
        <w:t>s experience representing children or parents, to the extent that funding</w:t>
      </w:r>
      <w:r>
        <w:rPr>
          <w:spacing w:val="-13"/>
        </w:rPr>
        <w:t xml:space="preserve"> </w:t>
      </w:r>
      <w:r>
        <w:t>is</w:t>
      </w:r>
      <w:r>
        <w:rPr>
          <w:spacing w:val="-12"/>
        </w:rPr>
        <w:t xml:space="preserve"> </w:t>
      </w:r>
      <w:r>
        <w:t>not</w:t>
      </w:r>
      <w:r>
        <w:rPr>
          <w:spacing w:val="-13"/>
        </w:rPr>
        <w:t xml:space="preserve"> </w:t>
      </w:r>
      <w:r>
        <w:t>immediately</w:t>
      </w:r>
      <w:r>
        <w:rPr>
          <w:spacing w:val="-12"/>
        </w:rPr>
        <w:t xml:space="preserve"> </w:t>
      </w:r>
      <w:r>
        <w:t>available,</w:t>
      </w:r>
      <w:r>
        <w:rPr>
          <w:spacing w:val="-13"/>
        </w:rPr>
        <w:t xml:space="preserve"> </w:t>
      </w:r>
      <w:r>
        <w:t>the</w:t>
      </w:r>
      <w:r>
        <w:rPr>
          <w:spacing w:val="-12"/>
        </w:rPr>
        <w:t xml:space="preserve"> </w:t>
      </w:r>
      <w:r>
        <w:t>Commission</w:t>
      </w:r>
      <w:r>
        <w:rPr>
          <w:spacing w:val="-13"/>
        </w:rPr>
        <w:t xml:space="preserve"> </w:t>
      </w:r>
      <w:r>
        <w:t>notes</w:t>
      </w:r>
      <w:r>
        <w:rPr>
          <w:spacing w:val="-12"/>
        </w:rPr>
        <w:t xml:space="preserve"> </w:t>
      </w:r>
      <w:r>
        <w:t>that</w:t>
      </w:r>
      <w:r>
        <w:rPr>
          <w:spacing w:val="-12"/>
        </w:rPr>
        <w:t xml:space="preserve"> </w:t>
      </w:r>
      <w:r>
        <w:t>CAFL</w:t>
      </w:r>
      <w:r>
        <w:rPr>
          <w:spacing w:val="-13"/>
        </w:rPr>
        <w:t xml:space="preserve"> </w:t>
      </w:r>
      <w:r>
        <w:t>may</w:t>
      </w:r>
      <w:r>
        <w:rPr>
          <w:spacing w:val="-12"/>
        </w:rPr>
        <w:t xml:space="preserve"> </w:t>
      </w:r>
      <w:r>
        <w:t>be</w:t>
      </w:r>
      <w:r>
        <w:rPr>
          <w:spacing w:val="-13"/>
        </w:rPr>
        <w:t xml:space="preserve"> </w:t>
      </w:r>
      <w:r>
        <w:t>eligible</w:t>
      </w:r>
      <w:r>
        <w:rPr>
          <w:spacing w:val="-12"/>
        </w:rPr>
        <w:t xml:space="preserve"> </w:t>
      </w:r>
      <w:r>
        <w:t>to</w:t>
      </w:r>
      <w:r>
        <w:rPr>
          <w:spacing w:val="-4"/>
        </w:rPr>
        <w:t xml:space="preserve"> </w:t>
      </w:r>
      <w:r>
        <w:t>host</w:t>
      </w:r>
      <w:r>
        <w:rPr>
          <w:spacing w:val="-13"/>
        </w:rPr>
        <w:t xml:space="preserve"> </w:t>
      </w:r>
      <w:r>
        <w:t>a</w:t>
      </w:r>
      <w:r>
        <w:rPr>
          <w:spacing w:val="-12"/>
        </w:rPr>
        <w:t xml:space="preserve"> </w:t>
      </w:r>
      <w:r>
        <w:t>legal</w:t>
      </w:r>
      <w:r>
        <w:rPr>
          <w:spacing w:val="-13"/>
        </w:rPr>
        <w:t xml:space="preserve"> </w:t>
      </w:r>
      <w:r>
        <w:t>fellow with an eye toward creating a permanent role after fellowship funding ends.</w:t>
      </w:r>
      <w:hyperlink w:anchor="_bookmark882" w:history="1">
        <w:r>
          <w:rPr>
            <w:vertAlign w:val="superscript"/>
          </w:rPr>
          <w:t>3</w:t>
        </w:r>
      </w:hyperlink>
    </w:p>
    <w:p w:rsidR="00200FDA" w:rsidRDefault="00200FDA">
      <w:pPr>
        <w:pStyle w:val="BodyText"/>
        <w:rPr>
          <w:sz w:val="24"/>
        </w:rPr>
      </w:pPr>
    </w:p>
    <w:p w:rsidR="00200FDA" w:rsidRDefault="00200FDA">
      <w:pPr>
        <w:pStyle w:val="BodyText"/>
        <w:spacing w:before="11"/>
        <w:rPr>
          <w:sz w:val="20"/>
        </w:rPr>
      </w:pPr>
    </w:p>
    <w:p w:rsidR="00200FDA" w:rsidRDefault="00F76C4C">
      <w:pPr>
        <w:pStyle w:val="Heading9"/>
        <w:numPr>
          <w:ilvl w:val="0"/>
          <w:numId w:val="16"/>
        </w:numPr>
        <w:tabs>
          <w:tab w:val="left" w:pos="525"/>
        </w:tabs>
        <w:spacing w:line="276" w:lineRule="auto"/>
        <w:ind w:left="279" w:right="272" w:firstLine="0"/>
      </w:pPr>
      <w:r>
        <w:t>Ensure that legal case management</w:t>
      </w:r>
      <w:r>
        <w:rPr>
          <w:spacing w:val="22"/>
        </w:rPr>
        <w:t xml:space="preserve"> </w:t>
      </w:r>
      <w:r>
        <w:t>systems include</w:t>
      </w:r>
      <w:r>
        <w:rPr>
          <w:spacing w:val="22"/>
        </w:rPr>
        <w:t xml:space="preserve"> </w:t>
      </w:r>
      <w:r>
        <w:t>a field for chosen names</w:t>
      </w:r>
      <w:r>
        <w:rPr>
          <w:spacing w:val="22"/>
        </w:rPr>
        <w:t xml:space="preserve"> </w:t>
      </w:r>
      <w:r>
        <w:t>and pronouns, and</w:t>
      </w:r>
      <w:r>
        <w:rPr>
          <w:spacing w:val="40"/>
        </w:rPr>
        <w:t xml:space="preserve"> </w:t>
      </w:r>
      <w:r>
        <w:t>provide support on collecting sexual orientation, gender identity (SOGI), and other demographics.</w:t>
      </w:r>
    </w:p>
    <w:p w:rsidR="00200FDA" w:rsidRDefault="00200FDA">
      <w:pPr>
        <w:pStyle w:val="BodyText"/>
        <w:spacing w:before="9"/>
        <w:rPr>
          <w:b/>
          <w:sz w:val="19"/>
        </w:rPr>
      </w:pPr>
    </w:p>
    <w:p w:rsidR="00200FDA" w:rsidRDefault="00F76C4C">
      <w:pPr>
        <w:pStyle w:val="BodyText"/>
        <w:spacing w:before="1" w:line="276" w:lineRule="auto"/>
        <w:ind w:left="279" w:right="272"/>
        <w:jc w:val="both"/>
      </w:pPr>
      <w:r>
        <w:t>As</w:t>
      </w:r>
      <w:r>
        <w:rPr>
          <w:spacing w:val="-13"/>
        </w:rPr>
        <w:t xml:space="preserve"> </w:t>
      </w:r>
      <w:r>
        <w:t>attorneys</w:t>
      </w:r>
      <w:r>
        <w:rPr>
          <w:spacing w:val="-12"/>
        </w:rPr>
        <w:t xml:space="preserve"> </w:t>
      </w:r>
      <w:r>
        <w:t>and</w:t>
      </w:r>
      <w:r>
        <w:rPr>
          <w:spacing w:val="-13"/>
        </w:rPr>
        <w:t xml:space="preserve"> </w:t>
      </w:r>
      <w:r>
        <w:t>other</w:t>
      </w:r>
      <w:r>
        <w:rPr>
          <w:spacing w:val="-12"/>
        </w:rPr>
        <w:t xml:space="preserve"> </w:t>
      </w:r>
      <w:r>
        <w:t>staff</w:t>
      </w:r>
      <w:r>
        <w:rPr>
          <w:spacing w:val="-13"/>
        </w:rPr>
        <w:t xml:space="preserve"> </w:t>
      </w:r>
      <w:r>
        <w:t>members</w:t>
      </w:r>
      <w:r>
        <w:rPr>
          <w:spacing w:val="-12"/>
        </w:rPr>
        <w:t xml:space="preserve"> </w:t>
      </w:r>
      <w:r>
        <w:t>periodically</w:t>
      </w:r>
      <w:r>
        <w:rPr>
          <w:spacing w:val="-13"/>
        </w:rPr>
        <w:t xml:space="preserve"> </w:t>
      </w:r>
      <w:r>
        <w:t>transfer</w:t>
      </w:r>
      <w:r>
        <w:rPr>
          <w:spacing w:val="-12"/>
        </w:rPr>
        <w:t xml:space="preserve"> </w:t>
      </w:r>
      <w:r>
        <w:t>on</w:t>
      </w:r>
      <w:r>
        <w:rPr>
          <w:spacing w:val="-12"/>
        </w:rPr>
        <w:t xml:space="preserve"> </w:t>
      </w:r>
      <w:r>
        <w:t>and</w:t>
      </w:r>
      <w:r>
        <w:rPr>
          <w:spacing w:val="-13"/>
        </w:rPr>
        <w:t xml:space="preserve"> </w:t>
      </w:r>
      <w:r>
        <w:t>off</w:t>
      </w:r>
      <w:r>
        <w:rPr>
          <w:spacing w:val="-12"/>
        </w:rPr>
        <w:t xml:space="preserve"> </w:t>
      </w:r>
      <w:r>
        <w:t>cases,</w:t>
      </w:r>
      <w:r>
        <w:rPr>
          <w:spacing w:val="-13"/>
        </w:rPr>
        <w:t xml:space="preserve"> </w:t>
      </w:r>
      <w:r>
        <w:t>the</w:t>
      </w:r>
      <w:r>
        <w:rPr>
          <w:spacing w:val="-11"/>
        </w:rPr>
        <w:t xml:space="preserve"> </w:t>
      </w:r>
      <w:r>
        <w:t>Commission</w:t>
      </w:r>
      <w:r>
        <w:rPr>
          <w:spacing w:val="-12"/>
        </w:rPr>
        <w:t xml:space="preserve"> </w:t>
      </w:r>
      <w:r>
        <w:t>recommends that CAFL provide space to indicate what the client’s pronouns are. To avoid unwanted disclosures, any such</w:t>
      </w:r>
      <w:r>
        <w:rPr>
          <w:spacing w:val="-5"/>
        </w:rPr>
        <w:t xml:space="preserve"> </w:t>
      </w:r>
      <w:r>
        <w:t>field</w:t>
      </w:r>
      <w:r>
        <w:rPr>
          <w:spacing w:val="-5"/>
        </w:rPr>
        <w:t xml:space="preserve"> </w:t>
      </w:r>
      <w:r>
        <w:t>should</w:t>
      </w:r>
      <w:r>
        <w:rPr>
          <w:spacing w:val="-5"/>
        </w:rPr>
        <w:t xml:space="preserve"> </w:t>
      </w:r>
      <w:r>
        <w:t>also</w:t>
      </w:r>
      <w:r>
        <w:rPr>
          <w:spacing w:val="-3"/>
        </w:rPr>
        <w:t xml:space="preserve"> </w:t>
      </w:r>
      <w:r>
        <w:t>include</w:t>
      </w:r>
      <w:r>
        <w:rPr>
          <w:spacing w:val="-4"/>
        </w:rPr>
        <w:t xml:space="preserve"> </w:t>
      </w:r>
      <w:r>
        <w:t>a</w:t>
      </w:r>
      <w:r>
        <w:rPr>
          <w:spacing w:val="-7"/>
        </w:rPr>
        <w:t xml:space="preserve"> </w:t>
      </w:r>
      <w:r>
        <w:t>mechanism</w:t>
      </w:r>
      <w:r>
        <w:rPr>
          <w:spacing w:val="-3"/>
        </w:rPr>
        <w:t xml:space="preserve"> </w:t>
      </w:r>
      <w:r>
        <w:t>to</w:t>
      </w:r>
      <w:r>
        <w:rPr>
          <w:spacing w:val="-3"/>
        </w:rPr>
        <w:t xml:space="preserve"> </w:t>
      </w:r>
      <w:r>
        <w:t>indicate</w:t>
      </w:r>
      <w:r>
        <w:rPr>
          <w:spacing w:val="-6"/>
        </w:rPr>
        <w:t xml:space="preserve"> </w:t>
      </w:r>
      <w:r>
        <w:t>whether</w:t>
      </w:r>
      <w:r>
        <w:rPr>
          <w:spacing w:val="-4"/>
        </w:rPr>
        <w:t xml:space="preserve"> </w:t>
      </w:r>
      <w:r>
        <w:t>there</w:t>
      </w:r>
      <w:r>
        <w:rPr>
          <w:spacing w:val="-4"/>
        </w:rPr>
        <w:t xml:space="preserve"> </w:t>
      </w:r>
      <w:r>
        <w:t>are</w:t>
      </w:r>
      <w:r>
        <w:rPr>
          <w:spacing w:val="-4"/>
        </w:rPr>
        <w:t xml:space="preserve"> </w:t>
      </w:r>
      <w:r>
        <w:t>spaces</w:t>
      </w:r>
      <w:r>
        <w:rPr>
          <w:spacing w:val="-4"/>
        </w:rPr>
        <w:t xml:space="preserve"> </w:t>
      </w:r>
      <w:r>
        <w:t>in</w:t>
      </w:r>
      <w:r>
        <w:rPr>
          <w:spacing w:val="-5"/>
        </w:rPr>
        <w:t xml:space="preserve"> </w:t>
      </w:r>
      <w:r>
        <w:t>which</w:t>
      </w:r>
      <w:r>
        <w:rPr>
          <w:spacing w:val="-5"/>
        </w:rPr>
        <w:t xml:space="preserve"> </w:t>
      </w:r>
      <w:r>
        <w:t>the</w:t>
      </w:r>
      <w:r>
        <w:rPr>
          <w:spacing w:val="-6"/>
        </w:rPr>
        <w:t xml:space="preserve"> </w:t>
      </w:r>
      <w:r>
        <w:t>client</w:t>
      </w:r>
      <w:r>
        <w:rPr>
          <w:spacing w:val="-4"/>
        </w:rPr>
        <w:t xml:space="preserve"> </w:t>
      </w:r>
      <w:r>
        <w:t>is</w:t>
      </w:r>
      <w:r>
        <w:rPr>
          <w:spacing w:val="-4"/>
        </w:rPr>
        <w:t xml:space="preserve"> </w:t>
      </w:r>
      <w:r>
        <w:t xml:space="preserve">not comfortable with their pronouns being used - e.g. with DCF staff, their judge, specific service providers, foster parents, or family members. The Commission also recommends that CAFL encourage private attorneys to adopt similar </w:t>
      </w:r>
      <w:r>
        <w:t>practices within their own law offices, particularly in offices where more than one attorney or other professional may interact with the case file.</w:t>
      </w:r>
      <w:r>
        <w:rPr>
          <w:spacing w:val="40"/>
        </w:rPr>
        <w:t xml:space="preserve"> </w:t>
      </w:r>
      <w:r>
        <w:t xml:space="preserve">Finally, the Commission notes the importance of collecting demographic data as part of evaluating the needs </w:t>
      </w:r>
      <w:r>
        <w:t>of, outcomes for, and service delivery to LGBTQ youth, including the needs of, outcomes for, and service delivery to LGBTQ youth of color</w:t>
      </w:r>
      <w:r>
        <w:rPr>
          <w:spacing w:val="-7"/>
        </w:rPr>
        <w:t xml:space="preserve"> </w:t>
      </w:r>
      <w:r>
        <w:t>and</w:t>
      </w:r>
      <w:r>
        <w:rPr>
          <w:spacing w:val="-7"/>
        </w:rPr>
        <w:t xml:space="preserve"> </w:t>
      </w:r>
      <w:r>
        <w:t>LGBTQ</w:t>
      </w:r>
      <w:r>
        <w:rPr>
          <w:spacing w:val="-9"/>
        </w:rPr>
        <w:t xml:space="preserve"> </w:t>
      </w:r>
      <w:r>
        <w:t>youth</w:t>
      </w:r>
      <w:r>
        <w:rPr>
          <w:spacing w:val="-7"/>
        </w:rPr>
        <w:t xml:space="preserve"> </w:t>
      </w:r>
      <w:r>
        <w:t>with</w:t>
      </w:r>
      <w:r>
        <w:rPr>
          <w:spacing w:val="-7"/>
        </w:rPr>
        <w:t xml:space="preserve"> </w:t>
      </w:r>
      <w:r>
        <w:t>disabilities.</w:t>
      </w:r>
      <w:r>
        <w:rPr>
          <w:spacing w:val="-7"/>
        </w:rPr>
        <w:t xml:space="preserve"> </w:t>
      </w:r>
      <w:r>
        <w:t>The</w:t>
      </w:r>
      <w:r>
        <w:rPr>
          <w:spacing w:val="-8"/>
        </w:rPr>
        <w:t xml:space="preserve"> </w:t>
      </w:r>
      <w:r>
        <w:t>Commission</w:t>
      </w:r>
      <w:r>
        <w:rPr>
          <w:spacing w:val="-7"/>
        </w:rPr>
        <w:t xml:space="preserve"> </w:t>
      </w:r>
      <w:r>
        <w:t>recommends</w:t>
      </w:r>
      <w:r>
        <w:rPr>
          <w:spacing w:val="-7"/>
        </w:rPr>
        <w:t xml:space="preserve"> </w:t>
      </w:r>
      <w:r>
        <w:t>CAFL</w:t>
      </w:r>
      <w:r>
        <w:rPr>
          <w:spacing w:val="-8"/>
        </w:rPr>
        <w:t xml:space="preserve"> </w:t>
      </w:r>
      <w:r>
        <w:t>provide</w:t>
      </w:r>
      <w:r>
        <w:rPr>
          <w:spacing w:val="-6"/>
        </w:rPr>
        <w:t xml:space="preserve"> </w:t>
      </w:r>
      <w:r>
        <w:t>support</w:t>
      </w:r>
      <w:r>
        <w:rPr>
          <w:spacing w:val="-9"/>
        </w:rPr>
        <w:t xml:space="preserve"> </w:t>
      </w:r>
      <w:r>
        <w:t>to</w:t>
      </w:r>
      <w:r>
        <w:rPr>
          <w:spacing w:val="-8"/>
        </w:rPr>
        <w:t xml:space="preserve"> </w:t>
      </w:r>
      <w:r>
        <w:t>attorneys on when and how to collect and report such data. The Commission has worked with a number of other agencies to improve SOGI data collection and is available as a resource to CAFL in designing and implementing data</w:t>
      </w:r>
      <w:r>
        <w:rPr>
          <w:spacing w:val="-1"/>
        </w:rPr>
        <w:t xml:space="preserve"> </w:t>
      </w:r>
      <w:r>
        <w:t xml:space="preserve">collection policies, procedures, </w:t>
      </w:r>
      <w:r>
        <w:t>and training that work for both attorneys</w:t>
      </w:r>
      <w:r>
        <w:rPr>
          <w:spacing w:val="-1"/>
        </w:rPr>
        <w:t xml:space="preserve"> </w:t>
      </w:r>
      <w:r>
        <w:t>and clients.</w:t>
      </w:r>
    </w:p>
    <w:p w:rsidR="00200FDA" w:rsidRDefault="00200FDA">
      <w:pPr>
        <w:pStyle w:val="BodyText"/>
      </w:pPr>
    </w:p>
    <w:p w:rsidR="00200FDA" w:rsidRDefault="00200FDA">
      <w:pPr>
        <w:pStyle w:val="BodyText"/>
      </w:pPr>
    </w:p>
    <w:p w:rsidR="00200FDA" w:rsidRDefault="00200FDA">
      <w:pPr>
        <w:pStyle w:val="BodyText"/>
        <w:spacing w:before="5"/>
        <w:rPr>
          <w:sz w:val="20"/>
        </w:rPr>
      </w:pPr>
    </w:p>
    <w:p w:rsidR="00200FDA" w:rsidRDefault="00F76C4C">
      <w:pPr>
        <w:ind w:left="280"/>
        <w:jc w:val="both"/>
        <w:rPr>
          <w:i/>
        </w:rPr>
      </w:pPr>
      <w:r>
        <w:rPr>
          <w:i/>
        </w:rPr>
        <w:t>Acknowledgments:</w:t>
      </w:r>
      <w:r>
        <w:rPr>
          <w:i/>
          <w:spacing w:val="-4"/>
        </w:rPr>
        <w:t xml:space="preserve"> </w:t>
      </w:r>
      <w:r>
        <w:rPr>
          <w:i/>
        </w:rPr>
        <w:t>Hannah</w:t>
      </w:r>
      <w:r>
        <w:rPr>
          <w:i/>
          <w:spacing w:val="-6"/>
        </w:rPr>
        <w:t xml:space="preserve"> </w:t>
      </w:r>
      <w:r>
        <w:rPr>
          <w:i/>
        </w:rPr>
        <w:t>Hussey,</w:t>
      </w:r>
      <w:r>
        <w:rPr>
          <w:i/>
          <w:spacing w:val="-4"/>
        </w:rPr>
        <w:t xml:space="preserve"> </w:t>
      </w:r>
      <w:r>
        <w:rPr>
          <w:i/>
        </w:rPr>
        <w:t>lead</w:t>
      </w:r>
      <w:r>
        <w:rPr>
          <w:i/>
          <w:spacing w:val="-5"/>
        </w:rPr>
        <w:t xml:space="preserve"> </w:t>
      </w:r>
      <w:r>
        <w:rPr>
          <w:i/>
        </w:rPr>
        <w:t>author</w:t>
      </w:r>
      <w:r>
        <w:rPr>
          <w:i/>
          <w:spacing w:val="-6"/>
        </w:rPr>
        <w:t xml:space="preserve"> </w:t>
      </w:r>
      <w:r>
        <w:rPr>
          <w:i/>
        </w:rPr>
        <w:t>&amp;</w:t>
      </w:r>
      <w:r>
        <w:rPr>
          <w:i/>
          <w:spacing w:val="-3"/>
        </w:rPr>
        <w:t xml:space="preserve"> </w:t>
      </w:r>
      <w:r>
        <w:rPr>
          <w:i/>
          <w:spacing w:val="-2"/>
        </w:rPr>
        <w:t>researcher</w:t>
      </w:r>
    </w:p>
    <w:p w:rsidR="00200FDA" w:rsidRDefault="00200FDA">
      <w:pPr>
        <w:pStyle w:val="BodyText"/>
        <w:spacing w:before="3"/>
        <w:rPr>
          <w:i/>
          <w:sz w:val="23"/>
        </w:rPr>
      </w:pPr>
    </w:p>
    <w:p w:rsidR="00200FDA" w:rsidRDefault="00F76C4C">
      <w:pPr>
        <w:spacing w:before="1" w:line="276" w:lineRule="auto"/>
        <w:ind w:left="279" w:right="278"/>
        <w:jc w:val="both"/>
        <w:rPr>
          <w:i/>
          <w:sz w:val="20"/>
        </w:rPr>
      </w:pPr>
      <w:r>
        <w:rPr>
          <w:i/>
          <w:sz w:val="20"/>
        </w:rPr>
        <w:t>Thank</w:t>
      </w:r>
      <w:r>
        <w:rPr>
          <w:i/>
          <w:spacing w:val="-3"/>
          <w:sz w:val="20"/>
        </w:rPr>
        <w:t xml:space="preserve"> </w:t>
      </w:r>
      <w:r>
        <w:rPr>
          <w:i/>
          <w:sz w:val="20"/>
        </w:rPr>
        <w:t>you</w:t>
      </w:r>
      <w:r>
        <w:rPr>
          <w:i/>
          <w:spacing w:val="-2"/>
          <w:sz w:val="20"/>
        </w:rPr>
        <w:t xml:space="preserve"> </w:t>
      </w:r>
      <w:r>
        <w:rPr>
          <w:i/>
          <w:sz w:val="20"/>
        </w:rPr>
        <w:t>to</w:t>
      </w:r>
      <w:r>
        <w:rPr>
          <w:i/>
          <w:spacing w:val="-2"/>
          <w:sz w:val="20"/>
        </w:rPr>
        <w:t xml:space="preserve"> </w:t>
      </w:r>
      <w:r>
        <w:rPr>
          <w:i/>
          <w:sz w:val="20"/>
        </w:rPr>
        <w:t>Tamar</w:t>
      </w:r>
      <w:r>
        <w:rPr>
          <w:i/>
          <w:spacing w:val="-4"/>
          <w:sz w:val="20"/>
        </w:rPr>
        <w:t xml:space="preserve"> </w:t>
      </w:r>
      <w:r>
        <w:rPr>
          <w:i/>
          <w:sz w:val="20"/>
        </w:rPr>
        <w:t>Alexanian</w:t>
      </w:r>
      <w:r>
        <w:rPr>
          <w:i/>
          <w:spacing w:val="-2"/>
          <w:sz w:val="20"/>
        </w:rPr>
        <w:t xml:space="preserve"> </w:t>
      </w:r>
      <w:r>
        <w:rPr>
          <w:i/>
          <w:sz w:val="20"/>
        </w:rPr>
        <w:t>for</w:t>
      </w:r>
      <w:r>
        <w:rPr>
          <w:i/>
          <w:spacing w:val="-4"/>
          <w:sz w:val="20"/>
        </w:rPr>
        <w:t xml:space="preserve"> </w:t>
      </w:r>
      <w:r>
        <w:rPr>
          <w:i/>
          <w:sz w:val="20"/>
        </w:rPr>
        <w:t>offering</w:t>
      </w:r>
      <w:r>
        <w:rPr>
          <w:i/>
          <w:spacing w:val="-2"/>
          <w:sz w:val="20"/>
        </w:rPr>
        <w:t xml:space="preserve"> </w:t>
      </w:r>
      <w:r>
        <w:rPr>
          <w:i/>
          <w:sz w:val="20"/>
        </w:rPr>
        <w:t>helpful</w:t>
      </w:r>
      <w:r>
        <w:rPr>
          <w:i/>
          <w:spacing w:val="-3"/>
          <w:sz w:val="20"/>
        </w:rPr>
        <w:t xml:space="preserve"> </w:t>
      </w:r>
      <w:r>
        <w:rPr>
          <w:i/>
          <w:sz w:val="20"/>
        </w:rPr>
        <w:t>insight</w:t>
      </w:r>
      <w:r>
        <w:rPr>
          <w:i/>
          <w:spacing w:val="-3"/>
          <w:sz w:val="20"/>
        </w:rPr>
        <w:t xml:space="preserve"> </w:t>
      </w:r>
      <w:r>
        <w:rPr>
          <w:i/>
          <w:sz w:val="20"/>
        </w:rPr>
        <w:t>into</w:t>
      </w:r>
      <w:r>
        <w:rPr>
          <w:i/>
          <w:spacing w:val="-2"/>
          <w:sz w:val="20"/>
        </w:rPr>
        <w:t xml:space="preserve"> </w:t>
      </w:r>
      <w:r>
        <w:rPr>
          <w:i/>
          <w:sz w:val="20"/>
        </w:rPr>
        <w:t>best</w:t>
      </w:r>
      <w:r>
        <w:rPr>
          <w:i/>
          <w:spacing w:val="-3"/>
          <w:sz w:val="20"/>
        </w:rPr>
        <w:t xml:space="preserve"> </w:t>
      </w:r>
      <w:r>
        <w:rPr>
          <w:i/>
          <w:sz w:val="20"/>
        </w:rPr>
        <w:t>practices</w:t>
      </w:r>
      <w:r>
        <w:rPr>
          <w:i/>
          <w:spacing w:val="-4"/>
          <w:sz w:val="20"/>
        </w:rPr>
        <w:t xml:space="preserve"> </w:t>
      </w:r>
      <w:r>
        <w:rPr>
          <w:i/>
          <w:sz w:val="20"/>
        </w:rPr>
        <w:t>for</w:t>
      </w:r>
      <w:r>
        <w:rPr>
          <w:i/>
          <w:spacing w:val="-4"/>
          <w:sz w:val="20"/>
        </w:rPr>
        <w:t xml:space="preserve"> </w:t>
      </w:r>
      <w:r>
        <w:rPr>
          <w:i/>
          <w:sz w:val="20"/>
        </w:rPr>
        <w:t>attorneys</w:t>
      </w:r>
      <w:r>
        <w:rPr>
          <w:i/>
          <w:spacing w:val="-4"/>
          <w:sz w:val="20"/>
        </w:rPr>
        <w:t xml:space="preserve"> </w:t>
      </w:r>
      <w:r>
        <w:rPr>
          <w:i/>
          <w:sz w:val="20"/>
        </w:rPr>
        <w:t>serving</w:t>
      </w:r>
      <w:r>
        <w:rPr>
          <w:i/>
          <w:spacing w:val="-2"/>
          <w:sz w:val="20"/>
        </w:rPr>
        <w:t xml:space="preserve"> </w:t>
      </w:r>
      <w:r>
        <w:rPr>
          <w:i/>
          <w:sz w:val="20"/>
        </w:rPr>
        <w:t>LGBTQ</w:t>
      </w:r>
      <w:r>
        <w:rPr>
          <w:i/>
          <w:spacing w:val="-3"/>
          <w:sz w:val="20"/>
        </w:rPr>
        <w:t xml:space="preserve"> </w:t>
      </w:r>
      <w:r>
        <w:rPr>
          <w:i/>
          <w:sz w:val="20"/>
        </w:rPr>
        <w:t>children</w:t>
      </w:r>
      <w:r>
        <w:rPr>
          <w:i/>
          <w:spacing w:val="-2"/>
          <w:sz w:val="20"/>
        </w:rPr>
        <w:t xml:space="preserve"> </w:t>
      </w:r>
      <w:r>
        <w:rPr>
          <w:i/>
          <w:sz w:val="20"/>
        </w:rPr>
        <w:t>in</w:t>
      </w:r>
      <w:r>
        <w:rPr>
          <w:i/>
          <w:sz w:val="20"/>
        </w:rPr>
        <w:t xml:space="preserve"> the child welfare system, and to contributors Kate Lowenstein and Polly Crozier.</w:t>
      </w:r>
    </w:p>
    <w:p w:rsidR="00200FDA" w:rsidRDefault="00200FDA">
      <w:pPr>
        <w:pStyle w:val="BodyText"/>
        <w:rPr>
          <w:i/>
          <w:sz w:val="20"/>
        </w:rPr>
      </w:pPr>
    </w:p>
    <w:p w:rsidR="00200FDA" w:rsidRDefault="00F76C4C">
      <w:pPr>
        <w:ind w:left="280" w:hanging="1"/>
        <w:rPr>
          <w:sz w:val="18"/>
        </w:rPr>
      </w:pPr>
      <w:bookmarkStart w:id="1107" w:name="_bookmark880"/>
      <w:bookmarkEnd w:id="1107"/>
      <w:r>
        <w:rPr>
          <w:position w:val="5"/>
          <w:sz w:val="12"/>
        </w:rPr>
        <w:t>1</w:t>
      </w:r>
      <w:r>
        <w:rPr>
          <w:spacing w:val="18"/>
          <w:position w:val="5"/>
          <w:sz w:val="12"/>
        </w:rPr>
        <w:t xml:space="preserve"> </w:t>
      </w:r>
      <w:r>
        <w:rPr>
          <w:sz w:val="18"/>
        </w:rPr>
        <w:t xml:space="preserve">Hannah Hussey. (2021). </w:t>
      </w:r>
      <w:r>
        <w:rPr>
          <w:i/>
          <w:sz w:val="18"/>
        </w:rPr>
        <w:t>LGBTQ Youth in the Massachusetts Child Welfare System: A Report on Pervasive Threats to Safety, Wellbeing,</w:t>
      </w:r>
      <w:r>
        <w:rPr>
          <w:i/>
          <w:spacing w:val="-5"/>
          <w:sz w:val="18"/>
        </w:rPr>
        <w:t xml:space="preserve"> </w:t>
      </w:r>
      <w:r>
        <w:rPr>
          <w:i/>
          <w:sz w:val="18"/>
        </w:rPr>
        <w:t>and</w:t>
      </w:r>
      <w:r>
        <w:rPr>
          <w:i/>
          <w:spacing w:val="-4"/>
          <w:sz w:val="18"/>
        </w:rPr>
        <w:t xml:space="preserve"> </w:t>
      </w:r>
      <w:r>
        <w:rPr>
          <w:i/>
          <w:sz w:val="18"/>
        </w:rPr>
        <w:t>Permanency</w:t>
      </w:r>
      <w:r>
        <w:rPr>
          <w:sz w:val="18"/>
        </w:rPr>
        <w:t>.</w:t>
      </w:r>
      <w:r>
        <w:rPr>
          <w:spacing w:val="-5"/>
          <w:sz w:val="18"/>
        </w:rPr>
        <w:t xml:space="preserve"> </w:t>
      </w:r>
      <w:r>
        <w:rPr>
          <w:sz w:val="18"/>
        </w:rPr>
        <w:t>Massachusetts</w:t>
      </w:r>
      <w:r>
        <w:rPr>
          <w:spacing w:val="-6"/>
          <w:sz w:val="18"/>
        </w:rPr>
        <w:t xml:space="preserve"> </w:t>
      </w:r>
      <w:r>
        <w:rPr>
          <w:sz w:val="18"/>
        </w:rPr>
        <w:t>Commission</w:t>
      </w:r>
      <w:r>
        <w:rPr>
          <w:spacing w:val="-6"/>
          <w:sz w:val="18"/>
        </w:rPr>
        <w:t xml:space="preserve"> </w:t>
      </w:r>
      <w:r>
        <w:rPr>
          <w:sz w:val="18"/>
        </w:rPr>
        <w:t>on</w:t>
      </w:r>
      <w:r>
        <w:rPr>
          <w:spacing w:val="-6"/>
          <w:sz w:val="18"/>
        </w:rPr>
        <w:t xml:space="preserve"> </w:t>
      </w:r>
      <w:r>
        <w:rPr>
          <w:sz w:val="18"/>
        </w:rPr>
        <w:t>LGBTQ</w:t>
      </w:r>
      <w:r>
        <w:rPr>
          <w:spacing w:val="-6"/>
          <w:sz w:val="18"/>
        </w:rPr>
        <w:t xml:space="preserve"> </w:t>
      </w:r>
      <w:r>
        <w:rPr>
          <w:sz w:val="18"/>
        </w:rPr>
        <w:t>Youth.</w:t>
      </w:r>
      <w:r>
        <w:rPr>
          <w:spacing w:val="-5"/>
          <w:sz w:val="18"/>
        </w:rPr>
        <w:t xml:space="preserve"> </w:t>
      </w:r>
      <w:r>
        <w:rPr>
          <w:sz w:val="18"/>
        </w:rPr>
        <w:t>https://</w:t>
      </w:r>
      <w:hyperlink r:id="rId822">
        <w:r>
          <w:rPr>
            <w:sz w:val="18"/>
          </w:rPr>
          <w:t>www.mass.gov/doc/commission-report-on-</w:t>
        </w:r>
      </w:hyperlink>
      <w:r>
        <w:rPr>
          <w:sz w:val="18"/>
        </w:rPr>
        <w:t xml:space="preserve"> </w:t>
      </w:r>
      <w:bookmarkStart w:id="1108" w:name="_bookmark881"/>
      <w:bookmarkEnd w:id="1108"/>
      <w:r>
        <w:rPr>
          <w:spacing w:val="-2"/>
          <w:sz w:val="18"/>
        </w:rPr>
        <w:t>dcf/download</w:t>
      </w:r>
    </w:p>
    <w:p w:rsidR="00200FDA" w:rsidRDefault="00F76C4C">
      <w:pPr>
        <w:spacing w:before="1" w:line="219" w:lineRule="exact"/>
        <w:ind w:left="280"/>
        <w:rPr>
          <w:sz w:val="18"/>
        </w:rPr>
      </w:pPr>
      <w:r>
        <w:rPr>
          <w:position w:val="5"/>
          <w:sz w:val="12"/>
        </w:rPr>
        <w:t>2</w:t>
      </w:r>
      <w:r>
        <w:rPr>
          <w:spacing w:val="10"/>
          <w:position w:val="5"/>
          <w:sz w:val="12"/>
        </w:rPr>
        <w:t xml:space="preserve"> </w:t>
      </w:r>
      <w:bookmarkStart w:id="1109" w:name="_bookmark882"/>
      <w:bookmarkEnd w:id="1109"/>
      <w:r>
        <w:rPr>
          <w:i/>
          <w:spacing w:val="-5"/>
          <w:sz w:val="18"/>
        </w:rPr>
        <w:t>Id</w:t>
      </w:r>
      <w:r>
        <w:rPr>
          <w:spacing w:val="-5"/>
          <w:sz w:val="18"/>
        </w:rPr>
        <w:t>.</w:t>
      </w:r>
    </w:p>
    <w:p w:rsidR="00200FDA" w:rsidRDefault="00F76C4C">
      <w:pPr>
        <w:spacing w:line="219" w:lineRule="exact"/>
        <w:ind w:left="280"/>
        <w:rPr>
          <w:i/>
          <w:sz w:val="18"/>
        </w:rPr>
      </w:pPr>
      <w:r>
        <w:rPr>
          <w:position w:val="5"/>
          <w:sz w:val="12"/>
        </w:rPr>
        <w:t>3</w:t>
      </w:r>
      <w:r>
        <w:rPr>
          <w:spacing w:val="8"/>
          <w:position w:val="5"/>
          <w:sz w:val="12"/>
        </w:rPr>
        <w:t xml:space="preserve"> </w:t>
      </w:r>
      <w:r>
        <w:rPr>
          <w:sz w:val="18"/>
        </w:rPr>
        <w:t>For</w:t>
      </w:r>
      <w:r>
        <w:rPr>
          <w:spacing w:val="-3"/>
          <w:sz w:val="18"/>
        </w:rPr>
        <w:t xml:space="preserve"> </w:t>
      </w:r>
      <w:r>
        <w:rPr>
          <w:sz w:val="18"/>
        </w:rPr>
        <w:t>example,</w:t>
      </w:r>
      <w:r>
        <w:rPr>
          <w:spacing w:val="-1"/>
          <w:sz w:val="18"/>
        </w:rPr>
        <w:t xml:space="preserve"> </w:t>
      </w:r>
      <w:r>
        <w:rPr>
          <w:sz w:val="18"/>
        </w:rPr>
        <w:t>the</w:t>
      </w:r>
      <w:r>
        <w:rPr>
          <w:spacing w:val="-3"/>
          <w:sz w:val="18"/>
        </w:rPr>
        <w:t xml:space="preserve"> </w:t>
      </w:r>
      <w:r>
        <w:rPr>
          <w:sz w:val="18"/>
        </w:rPr>
        <w:t>Justice</w:t>
      </w:r>
      <w:r>
        <w:rPr>
          <w:spacing w:val="-2"/>
          <w:sz w:val="18"/>
        </w:rPr>
        <w:t xml:space="preserve"> </w:t>
      </w:r>
      <w:r>
        <w:rPr>
          <w:sz w:val="18"/>
        </w:rPr>
        <w:t>Catalyst fellowship</w:t>
      </w:r>
      <w:r>
        <w:rPr>
          <w:spacing w:val="-2"/>
          <w:sz w:val="18"/>
        </w:rPr>
        <w:t xml:space="preserve"> </w:t>
      </w:r>
      <w:r>
        <w:rPr>
          <w:sz w:val="18"/>
        </w:rPr>
        <w:t>permits</w:t>
      </w:r>
      <w:r>
        <w:rPr>
          <w:spacing w:val="-3"/>
          <w:sz w:val="18"/>
        </w:rPr>
        <w:t xml:space="preserve"> </w:t>
      </w:r>
      <w:r>
        <w:rPr>
          <w:sz w:val="18"/>
        </w:rPr>
        <w:t>government agencies</w:t>
      </w:r>
      <w:r>
        <w:rPr>
          <w:spacing w:val="-2"/>
          <w:sz w:val="18"/>
        </w:rPr>
        <w:t xml:space="preserve"> </w:t>
      </w:r>
      <w:r>
        <w:rPr>
          <w:sz w:val="18"/>
        </w:rPr>
        <w:t>to</w:t>
      </w:r>
      <w:r>
        <w:rPr>
          <w:spacing w:val="-1"/>
          <w:sz w:val="18"/>
        </w:rPr>
        <w:t xml:space="preserve"> </w:t>
      </w:r>
      <w:r>
        <w:rPr>
          <w:sz w:val="18"/>
        </w:rPr>
        <w:t>serve</w:t>
      </w:r>
      <w:r>
        <w:rPr>
          <w:spacing w:val="-2"/>
          <w:sz w:val="18"/>
        </w:rPr>
        <w:t xml:space="preserve"> </w:t>
      </w:r>
      <w:r>
        <w:rPr>
          <w:sz w:val="18"/>
        </w:rPr>
        <w:t>as</w:t>
      </w:r>
      <w:r>
        <w:rPr>
          <w:spacing w:val="-1"/>
          <w:sz w:val="18"/>
        </w:rPr>
        <w:t xml:space="preserve"> </w:t>
      </w:r>
      <w:r>
        <w:rPr>
          <w:sz w:val="18"/>
        </w:rPr>
        <w:t>host</w:t>
      </w:r>
      <w:r>
        <w:rPr>
          <w:spacing w:val="-3"/>
          <w:sz w:val="18"/>
        </w:rPr>
        <w:t xml:space="preserve"> </w:t>
      </w:r>
      <w:r>
        <w:rPr>
          <w:sz w:val="18"/>
        </w:rPr>
        <w:t>organizations</w:t>
      </w:r>
      <w:r>
        <w:rPr>
          <w:spacing w:val="-2"/>
          <w:sz w:val="18"/>
        </w:rPr>
        <w:t xml:space="preserve"> </w:t>
      </w:r>
      <w:r>
        <w:rPr>
          <w:sz w:val="18"/>
        </w:rPr>
        <w:t>for</w:t>
      </w:r>
      <w:r>
        <w:rPr>
          <w:spacing w:val="-3"/>
          <w:sz w:val="18"/>
        </w:rPr>
        <w:t xml:space="preserve"> </w:t>
      </w:r>
      <w:r>
        <w:rPr>
          <w:sz w:val="18"/>
        </w:rPr>
        <w:t>a</w:t>
      </w:r>
      <w:r>
        <w:rPr>
          <w:spacing w:val="-1"/>
          <w:sz w:val="18"/>
        </w:rPr>
        <w:t xml:space="preserve"> </w:t>
      </w:r>
      <w:r>
        <w:rPr>
          <w:sz w:val="18"/>
        </w:rPr>
        <w:t>legal</w:t>
      </w:r>
      <w:r>
        <w:rPr>
          <w:spacing w:val="-3"/>
          <w:sz w:val="18"/>
        </w:rPr>
        <w:t xml:space="preserve"> </w:t>
      </w:r>
      <w:r>
        <w:rPr>
          <w:sz w:val="18"/>
        </w:rPr>
        <w:t>fellow.</w:t>
      </w:r>
      <w:r>
        <w:rPr>
          <w:spacing w:val="-1"/>
          <w:sz w:val="18"/>
        </w:rPr>
        <w:t xml:space="preserve"> </w:t>
      </w:r>
      <w:r>
        <w:rPr>
          <w:i/>
          <w:spacing w:val="-5"/>
          <w:sz w:val="18"/>
        </w:rPr>
        <w:t>See</w:t>
      </w:r>
    </w:p>
    <w:p w:rsidR="00200FDA" w:rsidRDefault="00F76C4C">
      <w:pPr>
        <w:spacing w:before="1"/>
        <w:ind w:left="280"/>
        <w:rPr>
          <w:sz w:val="18"/>
        </w:rPr>
      </w:pPr>
      <w:r>
        <w:rPr>
          <w:spacing w:val="-2"/>
          <w:sz w:val="18"/>
        </w:rPr>
        <w:t>https://catalystfellowships.org/fellowship/jc-fellowship/</w:t>
      </w:r>
    </w:p>
    <w:p w:rsidR="00200FDA" w:rsidRDefault="00200FDA">
      <w:pPr>
        <w:rPr>
          <w:sz w:val="18"/>
        </w:rPr>
        <w:sectPr w:rsidR="00200FDA">
          <w:pgSz w:w="12240" w:h="15840"/>
          <w:pgMar w:top="1260" w:right="1160" w:bottom="1240" w:left="1160" w:header="761" w:footer="1043" w:gutter="0"/>
          <w:cols w:space="720"/>
        </w:sectPr>
      </w:pPr>
    </w:p>
    <w:p w:rsidR="00200FDA" w:rsidRDefault="00200FDA">
      <w:pPr>
        <w:pStyle w:val="BodyText"/>
        <w:spacing w:before="10"/>
        <w:rPr>
          <w:sz w:val="10"/>
        </w:rPr>
      </w:pPr>
    </w:p>
    <w:p w:rsidR="00200FDA" w:rsidRDefault="00F76C4C">
      <w:pPr>
        <w:spacing w:before="35"/>
        <w:ind w:left="280"/>
        <w:rPr>
          <w:sz w:val="32"/>
        </w:rPr>
      </w:pPr>
      <w:r>
        <w:pict>
          <v:rect id="docshape545" o:spid="_x0000_s1086" style="position:absolute;left:0;text-align:left;margin-left:70.55pt;margin-top:22.25pt;width:470.9pt;height:.5pt;z-index:-15620608;mso-wrap-distance-left:0;mso-wrap-distance-right:0;mso-position-horizontal-relative:page" fillcolor="#4f81bc" stroked="f">
            <w10:wrap type="topAndBottom" anchorx="page"/>
          </v:rect>
        </w:pict>
      </w:r>
      <w:bookmarkStart w:id="1110" w:name="FY24_MCB_Recommendations_-_Final.pdf"/>
      <w:bookmarkStart w:id="1111" w:name="Commission_for_the_Blind"/>
      <w:bookmarkStart w:id="1112" w:name="_bookmark883"/>
      <w:bookmarkEnd w:id="1110"/>
      <w:bookmarkEnd w:id="1111"/>
      <w:bookmarkEnd w:id="1112"/>
      <w:r>
        <w:rPr>
          <w:color w:val="365F91"/>
          <w:sz w:val="32"/>
        </w:rPr>
        <w:t>Commission</w:t>
      </w:r>
      <w:r>
        <w:rPr>
          <w:color w:val="365F91"/>
          <w:spacing w:val="-8"/>
          <w:sz w:val="32"/>
        </w:rPr>
        <w:t xml:space="preserve"> </w:t>
      </w:r>
      <w:r>
        <w:rPr>
          <w:color w:val="365F91"/>
          <w:sz w:val="32"/>
        </w:rPr>
        <w:t>for</w:t>
      </w:r>
      <w:r>
        <w:rPr>
          <w:color w:val="365F91"/>
          <w:spacing w:val="-10"/>
          <w:sz w:val="32"/>
        </w:rPr>
        <w:t xml:space="preserve"> </w:t>
      </w:r>
      <w:r>
        <w:rPr>
          <w:color w:val="365F91"/>
          <w:sz w:val="32"/>
        </w:rPr>
        <w:t>the</w:t>
      </w:r>
      <w:r>
        <w:rPr>
          <w:color w:val="365F91"/>
          <w:spacing w:val="-8"/>
          <w:sz w:val="32"/>
        </w:rPr>
        <w:t xml:space="preserve"> </w:t>
      </w:r>
      <w:r>
        <w:rPr>
          <w:color w:val="365F91"/>
          <w:spacing w:val="-4"/>
          <w:sz w:val="32"/>
        </w:rPr>
        <w:t>Blind</w:t>
      </w:r>
    </w:p>
    <w:p w:rsidR="00200FDA" w:rsidRDefault="00200FDA">
      <w:pPr>
        <w:pStyle w:val="BodyText"/>
        <w:rPr>
          <w:sz w:val="20"/>
        </w:rPr>
      </w:pPr>
    </w:p>
    <w:p w:rsidR="00200FDA" w:rsidRDefault="00F76C4C">
      <w:pPr>
        <w:pStyle w:val="Heading7"/>
        <w:spacing w:before="187"/>
      </w:pPr>
      <w:r>
        <w:pict>
          <v:rect id="docshape546" o:spid="_x0000_s1085" style="position:absolute;left:0;text-align:left;margin-left:70.55pt;margin-top:27.35pt;width:470.9pt;height:.5pt;z-index:-15620096;mso-wrap-distance-left:0;mso-wrap-distance-right:0;mso-position-horizontal-relative:page" fillcolor="#4f81bc" stroked="f">
            <w10:wrap type="topAndBottom" anchorx="page"/>
          </v:rect>
        </w:pict>
      </w:r>
      <w:r>
        <w:rPr>
          <w:color w:val="365F91"/>
        </w:rPr>
        <w:t>FY</w:t>
      </w:r>
      <w:r>
        <w:rPr>
          <w:color w:val="365F91"/>
          <w:spacing w:val="-3"/>
        </w:rPr>
        <w:t xml:space="preserve"> </w:t>
      </w:r>
      <w:r>
        <w:rPr>
          <w:color w:val="365F91"/>
        </w:rPr>
        <w:t>2024</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rPr>
          <w:sz w:val="20"/>
        </w:rPr>
      </w:pPr>
    </w:p>
    <w:p w:rsidR="00200FDA" w:rsidRDefault="00F76C4C">
      <w:pPr>
        <w:pStyle w:val="ListParagraph"/>
        <w:numPr>
          <w:ilvl w:val="1"/>
          <w:numId w:val="16"/>
        </w:numPr>
        <w:tabs>
          <w:tab w:val="left" w:pos="1001"/>
        </w:tabs>
        <w:spacing w:before="180" w:line="357" w:lineRule="auto"/>
        <w:ind w:right="274"/>
        <w:jc w:val="both"/>
      </w:pPr>
      <w:r>
        <w:t>Provide LGBTQ cultural engagement and racial equity trainings to all staff and contracted providers on a mandated and recurring basis.</w:t>
      </w:r>
    </w:p>
    <w:p w:rsidR="00200FDA" w:rsidRDefault="00F76C4C">
      <w:pPr>
        <w:pStyle w:val="ListParagraph"/>
        <w:numPr>
          <w:ilvl w:val="1"/>
          <w:numId w:val="16"/>
        </w:numPr>
        <w:tabs>
          <w:tab w:val="left" w:pos="1001"/>
        </w:tabs>
        <w:spacing w:before="4" w:line="360" w:lineRule="auto"/>
        <w:ind w:right="274"/>
        <w:jc w:val="both"/>
      </w:pPr>
      <w:r>
        <w:t>Continue</w:t>
      </w:r>
      <w:r>
        <w:rPr>
          <w:spacing w:val="-13"/>
        </w:rPr>
        <w:t xml:space="preserve"> </w:t>
      </w:r>
      <w:r>
        <w:t>to</w:t>
      </w:r>
      <w:r>
        <w:rPr>
          <w:spacing w:val="-12"/>
        </w:rPr>
        <w:t xml:space="preserve"> </w:t>
      </w:r>
      <w:r>
        <w:t>advise</w:t>
      </w:r>
      <w:r>
        <w:rPr>
          <w:spacing w:val="-13"/>
        </w:rPr>
        <w:t xml:space="preserve"> </w:t>
      </w:r>
      <w:r>
        <w:t>staff</w:t>
      </w:r>
      <w:r>
        <w:rPr>
          <w:spacing w:val="-12"/>
        </w:rPr>
        <w:t xml:space="preserve"> </w:t>
      </w:r>
      <w:r>
        <w:t>and</w:t>
      </w:r>
      <w:r>
        <w:rPr>
          <w:spacing w:val="-13"/>
        </w:rPr>
        <w:t xml:space="preserve"> </w:t>
      </w:r>
      <w:r>
        <w:t>providers</w:t>
      </w:r>
      <w:r>
        <w:rPr>
          <w:spacing w:val="-12"/>
        </w:rPr>
        <w:t xml:space="preserve"> </w:t>
      </w:r>
      <w:r>
        <w:t>on</w:t>
      </w:r>
      <w:r>
        <w:rPr>
          <w:spacing w:val="-13"/>
        </w:rPr>
        <w:t xml:space="preserve"> </w:t>
      </w:r>
      <w:r>
        <w:t>how</w:t>
      </w:r>
      <w:r>
        <w:rPr>
          <w:spacing w:val="-12"/>
        </w:rPr>
        <w:t xml:space="preserve"> </w:t>
      </w:r>
      <w:r>
        <w:t>to</w:t>
      </w:r>
      <w:r>
        <w:rPr>
          <w:spacing w:val="-12"/>
        </w:rPr>
        <w:t xml:space="preserve"> </w:t>
      </w:r>
      <w:r>
        <w:t>collect</w:t>
      </w:r>
      <w:r>
        <w:rPr>
          <w:spacing w:val="-13"/>
        </w:rPr>
        <w:t xml:space="preserve"> </w:t>
      </w:r>
      <w:r>
        <w:t>information</w:t>
      </w:r>
      <w:r>
        <w:rPr>
          <w:spacing w:val="-12"/>
        </w:rPr>
        <w:t xml:space="preserve"> </w:t>
      </w:r>
      <w:r>
        <w:t>like</w:t>
      </w:r>
      <w:r>
        <w:rPr>
          <w:spacing w:val="-13"/>
        </w:rPr>
        <w:t xml:space="preserve"> </w:t>
      </w:r>
      <w:r>
        <w:t>gender</w:t>
      </w:r>
      <w:r>
        <w:rPr>
          <w:spacing w:val="-12"/>
        </w:rPr>
        <w:t xml:space="preserve"> </w:t>
      </w:r>
      <w:r>
        <w:t>pronouns</w:t>
      </w:r>
      <w:r>
        <w:rPr>
          <w:spacing w:val="-13"/>
        </w:rPr>
        <w:t xml:space="preserve"> </w:t>
      </w:r>
      <w:r>
        <w:t>in</w:t>
      </w:r>
      <w:r>
        <w:rPr>
          <w:spacing w:val="-12"/>
        </w:rPr>
        <w:t xml:space="preserve"> </w:t>
      </w:r>
      <w:r>
        <w:t>client notes and exploring options for increasing data collection relating to sexual orientation and gender identity.</w:t>
      </w:r>
    </w:p>
    <w:p w:rsidR="00200FDA" w:rsidRDefault="00200FDA">
      <w:pPr>
        <w:pStyle w:val="BodyText"/>
        <w:spacing w:before="12"/>
        <w:rPr>
          <w:sz w:val="32"/>
        </w:rPr>
      </w:pPr>
    </w:p>
    <w:p w:rsidR="00200FDA" w:rsidRDefault="00F76C4C">
      <w:pPr>
        <w:pStyle w:val="Heading7"/>
      </w:pPr>
      <w:r>
        <w:pict>
          <v:rect id="docshape547" o:spid="_x0000_s1084" style="position:absolute;left:0;text-align:left;margin-left:70.55pt;margin-top:18pt;width:470.9pt;height:.5pt;z-index:-15619584;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line="276" w:lineRule="auto"/>
        <w:ind w:left="280" w:right="272"/>
        <w:jc w:val="both"/>
      </w:pPr>
      <w:r>
        <w:t>The Massachusetts Commission for the Blind (MCB) is the principal agency in the Commonwealth that works on behalf of peopl</w:t>
      </w:r>
      <w:r>
        <w:t xml:space="preserve">e of all ages who are legally blind. MCB provides access to </w:t>
      </w:r>
      <w:hyperlink r:id="rId823">
        <w:r>
          <w:rPr>
            <w:color w:val="1154CC"/>
            <w:u w:val="single" w:color="1154CC"/>
          </w:rPr>
          <w:t>vocational</w:t>
        </w:r>
      </w:hyperlink>
      <w:r>
        <w:rPr>
          <w:color w:val="1154CC"/>
        </w:rPr>
        <w:t xml:space="preserve"> </w:t>
      </w:r>
      <w:hyperlink r:id="rId824">
        <w:r>
          <w:rPr>
            <w:color w:val="1154CC"/>
            <w:u w:val="single" w:color="1154CC"/>
          </w:rPr>
          <w:t>rehabilitation</w:t>
        </w:r>
      </w:hyperlink>
      <w:r>
        <w:rPr>
          <w:color w:val="1154CC"/>
        </w:rPr>
        <w:t xml:space="preserve"> </w:t>
      </w:r>
      <w:r>
        <w:t>and employment opportunities, as</w:t>
      </w:r>
      <w:r>
        <w:t xml:space="preserve"> well as </w:t>
      </w:r>
      <w:hyperlink r:id="rId825">
        <w:r>
          <w:rPr>
            <w:color w:val="1154CC"/>
            <w:u w:val="single" w:color="1154CC"/>
          </w:rPr>
          <w:t>social rehabilitation</w:t>
        </w:r>
      </w:hyperlink>
      <w:r>
        <w:rPr>
          <w:color w:val="1154CC"/>
        </w:rPr>
        <w:t xml:space="preserve"> </w:t>
      </w:r>
      <w:r>
        <w:t>to increase independence and self-empowerment. Regrettably, there exists very little research that examines the experiences of LGBTQ youth who are blind, or the</w:t>
      </w:r>
      <w:r>
        <w:t xml:space="preserve"> accessibility of needed services. The Commission hopes that future studies and state surveys can provide information on these critical intersections to ensure that the experiences of blind LGBTQ youth in Massachusetts are not being ignored.</w:t>
      </w:r>
    </w:p>
    <w:p w:rsidR="00200FDA" w:rsidRDefault="00200FDA">
      <w:pPr>
        <w:pStyle w:val="BodyText"/>
      </w:pPr>
    </w:p>
    <w:p w:rsidR="00200FDA" w:rsidRDefault="00F76C4C">
      <w:pPr>
        <w:pStyle w:val="Heading8"/>
        <w:spacing w:before="162"/>
        <w:ind w:left="280"/>
      </w:pPr>
      <w:r>
        <w:rPr>
          <w:color w:val="365F91"/>
        </w:rPr>
        <w:t>Past &amp;</w:t>
      </w:r>
      <w:r>
        <w:rPr>
          <w:color w:val="365F91"/>
          <w:spacing w:val="-1"/>
        </w:rPr>
        <w:t xml:space="preserve"> </w:t>
      </w:r>
      <w:r>
        <w:rPr>
          <w:color w:val="365F91"/>
        </w:rPr>
        <w:t>Ongoin</w:t>
      </w:r>
      <w:r>
        <w:rPr>
          <w:color w:val="365F91"/>
        </w:rPr>
        <w:t>g</w:t>
      </w:r>
      <w:r>
        <w:rPr>
          <w:color w:val="365F91"/>
          <w:spacing w:val="-2"/>
        </w:rPr>
        <w:t xml:space="preserve"> </w:t>
      </w:r>
      <w:r>
        <w:rPr>
          <w:color w:val="365F91"/>
          <w:spacing w:val="-4"/>
        </w:rPr>
        <w:t>Work</w:t>
      </w:r>
    </w:p>
    <w:p w:rsidR="00200FDA" w:rsidRDefault="00200FDA">
      <w:pPr>
        <w:pStyle w:val="BodyText"/>
        <w:spacing w:before="7"/>
        <w:rPr>
          <w:sz w:val="19"/>
        </w:rPr>
      </w:pPr>
    </w:p>
    <w:p w:rsidR="00200FDA" w:rsidRDefault="00F76C4C">
      <w:pPr>
        <w:pStyle w:val="BodyText"/>
        <w:spacing w:line="276" w:lineRule="auto"/>
        <w:ind w:left="280" w:right="275"/>
        <w:jc w:val="both"/>
      </w:pPr>
      <w:r>
        <w:t>The</w:t>
      </w:r>
      <w:r>
        <w:rPr>
          <w:spacing w:val="-13"/>
        </w:rPr>
        <w:t xml:space="preserve"> </w:t>
      </w:r>
      <w:r>
        <w:t>Commission</w:t>
      </w:r>
      <w:r>
        <w:rPr>
          <w:spacing w:val="-12"/>
        </w:rPr>
        <w:t xml:space="preserve"> </w:t>
      </w:r>
      <w:r>
        <w:t>and</w:t>
      </w:r>
      <w:r>
        <w:rPr>
          <w:spacing w:val="-13"/>
        </w:rPr>
        <w:t xml:space="preserve"> </w:t>
      </w:r>
      <w:r>
        <w:t>MCB</w:t>
      </w:r>
      <w:r>
        <w:rPr>
          <w:spacing w:val="-12"/>
        </w:rPr>
        <w:t xml:space="preserve"> </w:t>
      </w:r>
      <w:r>
        <w:t>have</w:t>
      </w:r>
      <w:r>
        <w:rPr>
          <w:spacing w:val="-13"/>
        </w:rPr>
        <w:t xml:space="preserve"> </w:t>
      </w:r>
      <w:r>
        <w:t>had</w:t>
      </w:r>
      <w:r>
        <w:rPr>
          <w:spacing w:val="-12"/>
        </w:rPr>
        <w:t xml:space="preserve"> </w:t>
      </w:r>
      <w:r>
        <w:t>an</w:t>
      </w:r>
      <w:r>
        <w:rPr>
          <w:spacing w:val="-13"/>
        </w:rPr>
        <w:t xml:space="preserve"> </w:t>
      </w:r>
      <w:r>
        <w:t>ongoing</w:t>
      </w:r>
      <w:r>
        <w:rPr>
          <w:spacing w:val="-12"/>
        </w:rPr>
        <w:t xml:space="preserve"> </w:t>
      </w:r>
      <w:r>
        <w:t>relationship</w:t>
      </w:r>
      <w:r>
        <w:rPr>
          <w:spacing w:val="-12"/>
        </w:rPr>
        <w:t xml:space="preserve"> </w:t>
      </w:r>
      <w:r>
        <w:t>since</w:t>
      </w:r>
      <w:r>
        <w:rPr>
          <w:spacing w:val="-13"/>
        </w:rPr>
        <w:t xml:space="preserve"> </w:t>
      </w:r>
      <w:r>
        <w:t>FY</w:t>
      </w:r>
      <w:r>
        <w:rPr>
          <w:spacing w:val="-12"/>
        </w:rPr>
        <w:t xml:space="preserve"> </w:t>
      </w:r>
      <w:r>
        <w:t>2018</w:t>
      </w:r>
      <w:r>
        <w:rPr>
          <w:spacing w:val="-13"/>
        </w:rPr>
        <w:t xml:space="preserve"> </w:t>
      </w:r>
      <w:r>
        <w:t>that</w:t>
      </w:r>
      <w:r>
        <w:rPr>
          <w:spacing w:val="-12"/>
        </w:rPr>
        <w:t xml:space="preserve"> </w:t>
      </w:r>
      <w:r>
        <w:t>has</w:t>
      </w:r>
      <w:r>
        <w:rPr>
          <w:spacing w:val="-13"/>
        </w:rPr>
        <w:t xml:space="preserve"> </w:t>
      </w:r>
      <w:r>
        <w:t>yielded</w:t>
      </w:r>
      <w:r>
        <w:rPr>
          <w:spacing w:val="-12"/>
        </w:rPr>
        <w:t xml:space="preserve"> </w:t>
      </w:r>
      <w:r>
        <w:t>several</w:t>
      </w:r>
      <w:r>
        <w:rPr>
          <w:spacing w:val="-12"/>
        </w:rPr>
        <w:t xml:space="preserve"> </w:t>
      </w:r>
      <w:r>
        <w:t>positive results. Since 2017, MCB has hosted nearly annual optional staff trainings on LGBTQ inclusivity, and in early</w:t>
      </w:r>
      <w:r>
        <w:rPr>
          <w:spacing w:val="-8"/>
        </w:rPr>
        <w:t xml:space="preserve"> </w:t>
      </w:r>
      <w:r>
        <w:t>FY</w:t>
      </w:r>
      <w:r>
        <w:rPr>
          <w:spacing w:val="-9"/>
        </w:rPr>
        <w:t xml:space="preserve"> </w:t>
      </w:r>
      <w:r>
        <w:t>2023</w:t>
      </w:r>
      <w:r>
        <w:rPr>
          <w:spacing w:val="-8"/>
        </w:rPr>
        <w:t xml:space="preserve"> </w:t>
      </w:r>
      <w:r>
        <w:t>was</w:t>
      </w:r>
      <w:r>
        <w:rPr>
          <w:spacing w:val="-9"/>
        </w:rPr>
        <w:t xml:space="preserve"> </w:t>
      </w:r>
      <w:r>
        <w:t>in</w:t>
      </w:r>
      <w:r>
        <w:rPr>
          <w:spacing w:val="-7"/>
        </w:rPr>
        <w:t xml:space="preserve"> </w:t>
      </w:r>
      <w:r>
        <w:t>conversations</w:t>
      </w:r>
      <w:r>
        <w:rPr>
          <w:spacing w:val="-9"/>
        </w:rPr>
        <w:t xml:space="preserve"> </w:t>
      </w:r>
      <w:r>
        <w:t>to</w:t>
      </w:r>
      <w:r>
        <w:rPr>
          <w:spacing w:val="-8"/>
        </w:rPr>
        <w:t xml:space="preserve"> </w:t>
      </w:r>
      <w:r>
        <w:t>continue</w:t>
      </w:r>
      <w:r>
        <w:rPr>
          <w:spacing w:val="-8"/>
        </w:rPr>
        <w:t xml:space="preserve"> </w:t>
      </w:r>
      <w:r>
        <w:t>these</w:t>
      </w:r>
      <w:r>
        <w:rPr>
          <w:spacing w:val="-8"/>
        </w:rPr>
        <w:t xml:space="preserve"> </w:t>
      </w:r>
      <w:r>
        <w:t>trainings</w:t>
      </w:r>
      <w:r>
        <w:rPr>
          <w:spacing w:val="-6"/>
        </w:rPr>
        <w:t xml:space="preserve"> </w:t>
      </w:r>
      <w:r>
        <w:t>for</w:t>
      </w:r>
      <w:r>
        <w:rPr>
          <w:spacing w:val="-9"/>
        </w:rPr>
        <w:t xml:space="preserve"> </w:t>
      </w:r>
      <w:r>
        <w:t>its</w:t>
      </w:r>
      <w:r>
        <w:rPr>
          <w:spacing w:val="-9"/>
        </w:rPr>
        <w:t xml:space="preserve"> </w:t>
      </w:r>
      <w:r>
        <w:t>child</w:t>
      </w:r>
      <w:r>
        <w:rPr>
          <w:spacing w:val="-7"/>
        </w:rPr>
        <w:t xml:space="preserve"> </w:t>
      </w:r>
      <w:r>
        <w:t>services</w:t>
      </w:r>
      <w:r>
        <w:rPr>
          <w:spacing w:val="-11"/>
        </w:rPr>
        <w:t xml:space="preserve"> </w:t>
      </w:r>
      <w:r>
        <w:t>departments.</w:t>
      </w:r>
      <w:r>
        <w:rPr>
          <w:spacing w:val="-9"/>
        </w:rPr>
        <w:t xml:space="preserve"> </w:t>
      </w:r>
      <w:r>
        <w:t>MCB</w:t>
      </w:r>
      <w:r>
        <w:rPr>
          <w:spacing w:val="-9"/>
        </w:rPr>
        <w:t xml:space="preserve"> </w:t>
      </w:r>
      <w:r>
        <w:t>has also worked to incorporate the collection of pronouns into case notes through its providers, though the Commission currently has no data on how this initiative has gone so far. The Commis</w:t>
      </w:r>
      <w:r>
        <w:t>sion hopes to continue these conversations around new initiatives with MCB in FY 2024.</w:t>
      </w:r>
    </w:p>
    <w:p w:rsidR="00200FDA" w:rsidRDefault="00200FDA">
      <w:pPr>
        <w:pStyle w:val="BodyText"/>
        <w:spacing w:before="8"/>
        <w:rPr>
          <w:sz w:val="19"/>
        </w:rPr>
      </w:pPr>
    </w:p>
    <w:p w:rsidR="00200FDA" w:rsidRDefault="00F76C4C">
      <w:pPr>
        <w:pStyle w:val="BodyText"/>
        <w:spacing w:line="276" w:lineRule="auto"/>
        <w:ind w:left="279" w:right="276"/>
        <w:jc w:val="both"/>
      </w:pPr>
      <w:r>
        <w:t>Furthermore,</w:t>
      </w:r>
      <w:r>
        <w:rPr>
          <w:spacing w:val="-13"/>
        </w:rPr>
        <w:t xml:space="preserve"> </w:t>
      </w:r>
      <w:r>
        <w:t>the</w:t>
      </w:r>
      <w:r>
        <w:rPr>
          <w:spacing w:val="-12"/>
        </w:rPr>
        <w:t xml:space="preserve"> </w:t>
      </w:r>
      <w:r>
        <w:t>Commission</w:t>
      </w:r>
      <w:r>
        <w:rPr>
          <w:spacing w:val="-13"/>
        </w:rPr>
        <w:t xml:space="preserve"> </w:t>
      </w:r>
      <w:r>
        <w:t>hopes</w:t>
      </w:r>
      <w:r>
        <w:rPr>
          <w:spacing w:val="-12"/>
        </w:rPr>
        <w:t xml:space="preserve"> </w:t>
      </w:r>
      <w:r>
        <w:t>to</w:t>
      </w:r>
      <w:r>
        <w:rPr>
          <w:spacing w:val="-13"/>
        </w:rPr>
        <w:t xml:space="preserve"> </w:t>
      </w:r>
      <w:r>
        <w:t>work</w:t>
      </w:r>
      <w:r>
        <w:rPr>
          <w:spacing w:val="-12"/>
        </w:rPr>
        <w:t xml:space="preserve"> </w:t>
      </w:r>
      <w:r>
        <w:t>more</w:t>
      </w:r>
      <w:r>
        <w:rPr>
          <w:spacing w:val="-13"/>
        </w:rPr>
        <w:t xml:space="preserve"> </w:t>
      </w:r>
      <w:r>
        <w:t>closely</w:t>
      </w:r>
      <w:r>
        <w:rPr>
          <w:spacing w:val="-12"/>
        </w:rPr>
        <w:t xml:space="preserve"> </w:t>
      </w:r>
      <w:r>
        <w:t>with</w:t>
      </w:r>
      <w:r>
        <w:rPr>
          <w:spacing w:val="-12"/>
        </w:rPr>
        <w:t xml:space="preserve"> </w:t>
      </w:r>
      <w:r>
        <w:t>MCB</w:t>
      </w:r>
      <w:r>
        <w:rPr>
          <w:spacing w:val="-13"/>
        </w:rPr>
        <w:t xml:space="preserve"> </w:t>
      </w:r>
      <w:r>
        <w:t>in</w:t>
      </w:r>
      <w:r>
        <w:rPr>
          <w:spacing w:val="-12"/>
        </w:rPr>
        <w:t xml:space="preserve"> </w:t>
      </w:r>
      <w:r>
        <w:t>the</w:t>
      </w:r>
      <w:r>
        <w:rPr>
          <w:spacing w:val="-13"/>
        </w:rPr>
        <w:t xml:space="preserve"> </w:t>
      </w:r>
      <w:r>
        <w:t>upcoming</w:t>
      </w:r>
      <w:r>
        <w:rPr>
          <w:spacing w:val="-12"/>
        </w:rPr>
        <w:t xml:space="preserve"> </w:t>
      </w:r>
      <w:r>
        <w:t>fiscal</w:t>
      </w:r>
      <w:r>
        <w:rPr>
          <w:spacing w:val="-13"/>
        </w:rPr>
        <w:t xml:space="preserve"> </w:t>
      </w:r>
      <w:r>
        <w:t>year</w:t>
      </w:r>
      <w:r>
        <w:rPr>
          <w:spacing w:val="-12"/>
        </w:rPr>
        <w:t xml:space="preserve"> </w:t>
      </w:r>
      <w:r>
        <w:t>to</w:t>
      </w:r>
      <w:r>
        <w:rPr>
          <w:spacing w:val="-12"/>
        </w:rPr>
        <w:t xml:space="preserve"> </w:t>
      </w:r>
      <w:r>
        <w:t>identify opportunities for resource</w:t>
      </w:r>
      <w:r>
        <w:rPr>
          <w:spacing w:val="-1"/>
        </w:rPr>
        <w:t xml:space="preserve"> </w:t>
      </w:r>
      <w:r>
        <w:t>development and support for blind LGBTQ youth, with particular attention to Deafblind communities.</w:t>
      </w:r>
    </w:p>
    <w:p w:rsidR="00200FDA" w:rsidRDefault="00200FDA">
      <w:pPr>
        <w:spacing w:line="276" w:lineRule="auto"/>
        <w:jc w:val="both"/>
        <w:sectPr w:rsidR="00200FDA">
          <w:headerReference w:type="default" r:id="rId826"/>
          <w:footerReference w:type="default" r:id="rId827"/>
          <w:pgSz w:w="12240" w:h="15840"/>
          <w:pgMar w:top="1260" w:right="1160" w:bottom="1240" w:left="1160" w:header="761" w:footer="1043" w:gutter="0"/>
          <w:cols w:space="720"/>
        </w:sectPr>
      </w:pPr>
    </w:p>
    <w:p w:rsidR="00200FDA" w:rsidRDefault="00200FDA">
      <w:pPr>
        <w:pStyle w:val="BodyText"/>
        <w:rPr>
          <w:sz w:val="10"/>
        </w:rPr>
      </w:pPr>
    </w:p>
    <w:p w:rsidR="00200FDA" w:rsidRDefault="00F76C4C">
      <w:pPr>
        <w:pStyle w:val="Heading7"/>
        <w:spacing w:before="44"/>
      </w:pPr>
      <w:r>
        <w:pict>
          <v:rect id="docshape548" o:spid="_x0000_s1083" style="position:absolute;left:0;text-align:left;margin-left:70.55pt;margin-top:20.35pt;width:470.9pt;height:.5pt;z-index:-15619072;mso-wrap-distance-left:0;mso-wrap-distance-right:0;mso-position-horizontal-relative:page" fillcolor="#4f81bc" stroked="f">
            <w10:wrap type="topAndBottom" anchorx="page"/>
          </v:rect>
        </w:pict>
      </w:r>
      <w:bookmarkStart w:id="1113" w:name="FY_2024_Expanded_MCB_Recommendations"/>
      <w:bookmarkEnd w:id="1113"/>
      <w:r>
        <w:rPr>
          <w:color w:val="365F91"/>
        </w:rPr>
        <w:t>FY</w:t>
      </w:r>
      <w:r>
        <w:rPr>
          <w:color w:val="365F91"/>
          <w:spacing w:val="-4"/>
        </w:rPr>
        <w:t xml:space="preserve"> </w:t>
      </w:r>
      <w:r>
        <w:rPr>
          <w:color w:val="365F91"/>
        </w:rPr>
        <w:t>2024</w:t>
      </w:r>
      <w:r>
        <w:rPr>
          <w:color w:val="365F91"/>
          <w:spacing w:val="-5"/>
        </w:rPr>
        <w:t xml:space="preserve"> </w:t>
      </w:r>
      <w:r>
        <w:rPr>
          <w:color w:val="365F91"/>
        </w:rPr>
        <w:t>Expanded</w:t>
      </w:r>
      <w:r>
        <w:rPr>
          <w:color w:val="365F91"/>
          <w:spacing w:val="-2"/>
        </w:rPr>
        <w:t xml:space="preserve"> </w:t>
      </w:r>
      <w:r>
        <w:rPr>
          <w:color w:val="365F91"/>
        </w:rPr>
        <w:t>MCB</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15"/>
        </w:numPr>
        <w:tabs>
          <w:tab w:val="left" w:pos="509"/>
        </w:tabs>
        <w:spacing w:before="56" w:line="273" w:lineRule="auto"/>
        <w:ind w:right="273" w:firstLine="0"/>
        <w:jc w:val="both"/>
      </w:pPr>
      <w:r>
        <w:t>Provide LGBTQ</w:t>
      </w:r>
      <w:r>
        <w:rPr>
          <w:spacing w:val="-1"/>
        </w:rPr>
        <w:t xml:space="preserve"> </w:t>
      </w:r>
      <w:r>
        <w:t>cultural engagement and racial equity trainings to all staff and contracted providers on a mandated and recurring basis.</w:t>
      </w:r>
    </w:p>
    <w:p w:rsidR="00200FDA" w:rsidRDefault="00200FDA">
      <w:pPr>
        <w:pStyle w:val="BodyText"/>
        <w:rPr>
          <w:b/>
          <w:sz w:val="20"/>
        </w:rPr>
      </w:pPr>
    </w:p>
    <w:p w:rsidR="00200FDA" w:rsidRDefault="00F76C4C">
      <w:pPr>
        <w:pStyle w:val="BodyText"/>
        <w:spacing w:before="1" w:line="276" w:lineRule="auto"/>
        <w:ind w:left="280" w:right="274"/>
        <w:jc w:val="both"/>
      </w:pPr>
      <w:r>
        <w:t>Since 2017,</w:t>
      </w:r>
      <w:r>
        <w:rPr>
          <w:spacing w:val="-1"/>
        </w:rPr>
        <w:t xml:space="preserve"> </w:t>
      </w:r>
      <w:r>
        <w:t>MCB has</w:t>
      </w:r>
      <w:r>
        <w:rPr>
          <w:spacing w:val="-1"/>
        </w:rPr>
        <w:t xml:space="preserve"> </w:t>
      </w:r>
      <w:r>
        <w:t>partnered</w:t>
      </w:r>
      <w:r>
        <w:rPr>
          <w:spacing w:val="-2"/>
        </w:rPr>
        <w:t xml:space="preserve"> </w:t>
      </w:r>
      <w:r>
        <w:t>with</w:t>
      </w:r>
      <w:r>
        <w:rPr>
          <w:spacing w:val="-2"/>
        </w:rPr>
        <w:t xml:space="preserve"> </w:t>
      </w:r>
      <w:r>
        <w:t>the Commission</w:t>
      </w:r>
      <w:r>
        <w:rPr>
          <w:spacing w:val="-4"/>
        </w:rPr>
        <w:t xml:space="preserve"> </w:t>
      </w:r>
      <w:r>
        <w:t>to organize trainings</w:t>
      </w:r>
      <w:r>
        <w:rPr>
          <w:spacing w:val="-1"/>
        </w:rPr>
        <w:t xml:space="preserve"> </w:t>
      </w:r>
      <w:r>
        <w:t>on</w:t>
      </w:r>
      <w:r>
        <w:rPr>
          <w:spacing w:val="-2"/>
        </w:rPr>
        <w:t xml:space="preserve"> </w:t>
      </w:r>
      <w:r>
        <w:t>LGBTQ</w:t>
      </w:r>
      <w:r>
        <w:rPr>
          <w:spacing w:val="-1"/>
        </w:rPr>
        <w:t xml:space="preserve"> </w:t>
      </w:r>
      <w:r>
        <w:t>communities</w:t>
      </w:r>
      <w:r>
        <w:rPr>
          <w:spacing w:val="-1"/>
        </w:rPr>
        <w:t xml:space="preserve"> </w:t>
      </w:r>
      <w:r>
        <w:t>for</w:t>
      </w:r>
      <w:r>
        <w:rPr>
          <w:spacing w:val="-1"/>
        </w:rPr>
        <w:t xml:space="preserve"> </w:t>
      </w:r>
      <w:r>
        <w:t>its staff almost annually, and trained staff on how to collect pronouns and SOGIE information from clients who</w:t>
      </w:r>
      <w:r>
        <w:rPr>
          <w:spacing w:val="-2"/>
        </w:rPr>
        <w:t xml:space="preserve"> </w:t>
      </w:r>
      <w:r>
        <w:t>self-identify.</w:t>
      </w:r>
      <w:r>
        <w:rPr>
          <w:spacing w:val="-2"/>
        </w:rPr>
        <w:t xml:space="preserve"> </w:t>
      </w:r>
      <w:r>
        <w:t>The</w:t>
      </w:r>
      <w:r>
        <w:rPr>
          <w:spacing w:val="-2"/>
        </w:rPr>
        <w:t xml:space="preserve"> </w:t>
      </w:r>
      <w:r>
        <w:t>Commission</w:t>
      </w:r>
      <w:r>
        <w:rPr>
          <w:spacing w:val="-1"/>
        </w:rPr>
        <w:t xml:space="preserve"> </w:t>
      </w:r>
      <w:r>
        <w:t>hopes</w:t>
      </w:r>
      <w:r>
        <w:rPr>
          <w:spacing w:val="-2"/>
        </w:rPr>
        <w:t xml:space="preserve"> </w:t>
      </w:r>
      <w:r>
        <w:t>to partner</w:t>
      </w:r>
      <w:r>
        <w:rPr>
          <w:spacing w:val="-2"/>
        </w:rPr>
        <w:t xml:space="preserve"> </w:t>
      </w:r>
      <w:r>
        <w:t>once</w:t>
      </w:r>
      <w:r>
        <w:rPr>
          <w:spacing w:val="-2"/>
        </w:rPr>
        <w:t xml:space="preserve"> </w:t>
      </w:r>
      <w:r>
        <w:t>more</w:t>
      </w:r>
      <w:r>
        <w:rPr>
          <w:spacing w:val="-2"/>
        </w:rPr>
        <w:t xml:space="preserve"> </w:t>
      </w:r>
      <w:r>
        <w:t>in</w:t>
      </w:r>
      <w:r>
        <w:rPr>
          <w:spacing w:val="-1"/>
        </w:rPr>
        <w:t xml:space="preserve"> </w:t>
      </w:r>
      <w:r>
        <w:t>FY</w:t>
      </w:r>
      <w:r>
        <w:rPr>
          <w:spacing w:val="-2"/>
        </w:rPr>
        <w:t xml:space="preserve"> </w:t>
      </w:r>
      <w:r>
        <w:t>2024</w:t>
      </w:r>
      <w:r>
        <w:rPr>
          <w:spacing w:val="-2"/>
        </w:rPr>
        <w:t xml:space="preserve"> </w:t>
      </w:r>
      <w:r>
        <w:t>to also</w:t>
      </w:r>
      <w:r>
        <w:rPr>
          <w:spacing w:val="-2"/>
        </w:rPr>
        <w:t xml:space="preserve"> </w:t>
      </w:r>
      <w:r>
        <w:t>examine</w:t>
      </w:r>
      <w:r>
        <w:rPr>
          <w:spacing w:val="-2"/>
        </w:rPr>
        <w:t xml:space="preserve"> </w:t>
      </w:r>
      <w:r>
        <w:t>opportunities for more intersectional approaches to MCB train</w:t>
      </w:r>
      <w:r>
        <w:t>ings on racial equity.</w:t>
      </w:r>
    </w:p>
    <w:p w:rsidR="00200FDA" w:rsidRDefault="00200FDA">
      <w:pPr>
        <w:pStyle w:val="BodyText"/>
      </w:pPr>
    </w:p>
    <w:p w:rsidR="00200FDA" w:rsidRDefault="00200FDA">
      <w:pPr>
        <w:pStyle w:val="BodyText"/>
        <w:spacing w:before="10"/>
      </w:pPr>
    </w:p>
    <w:p w:rsidR="00200FDA" w:rsidRDefault="00F76C4C">
      <w:pPr>
        <w:pStyle w:val="Heading9"/>
        <w:numPr>
          <w:ilvl w:val="0"/>
          <w:numId w:val="15"/>
        </w:numPr>
        <w:tabs>
          <w:tab w:val="left" w:pos="508"/>
        </w:tabs>
        <w:spacing w:line="276" w:lineRule="auto"/>
        <w:ind w:right="272" w:firstLine="0"/>
        <w:jc w:val="both"/>
      </w:pPr>
      <w:r>
        <w:t xml:space="preserve">Continue to advise staff and providers on how to collect information like gender pronouns in client notes and exploring options for increasing data collection relating to sexual orientation and gender </w:t>
      </w:r>
      <w:r>
        <w:rPr>
          <w:spacing w:val="-2"/>
        </w:rPr>
        <w:t>identity.</w:t>
      </w:r>
    </w:p>
    <w:p w:rsidR="00200FDA" w:rsidRDefault="00200FDA">
      <w:pPr>
        <w:pStyle w:val="BodyText"/>
        <w:spacing w:before="8"/>
        <w:rPr>
          <w:b/>
          <w:sz w:val="19"/>
        </w:rPr>
      </w:pPr>
    </w:p>
    <w:p w:rsidR="00200FDA" w:rsidRDefault="00F76C4C">
      <w:pPr>
        <w:pStyle w:val="BodyText"/>
        <w:spacing w:line="276" w:lineRule="auto"/>
        <w:ind w:left="280" w:right="275"/>
        <w:jc w:val="both"/>
      </w:pPr>
      <w:r>
        <w:t>Since the Commissio</w:t>
      </w:r>
      <w:r>
        <w:t>n first made this recommendation several years ago, MCB has made significant progress in collecting SOGIE data and training staff on how to appropriately ask questions to avoid incorrect</w:t>
      </w:r>
      <w:r>
        <w:rPr>
          <w:spacing w:val="-13"/>
        </w:rPr>
        <w:t xml:space="preserve"> </w:t>
      </w:r>
      <w:r>
        <w:t>assumptions</w:t>
      </w:r>
      <w:r>
        <w:rPr>
          <w:spacing w:val="-12"/>
        </w:rPr>
        <w:t xml:space="preserve"> </w:t>
      </w:r>
      <w:r>
        <w:t>of</w:t>
      </w:r>
      <w:r>
        <w:rPr>
          <w:spacing w:val="-13"/>
        </w:rPr>
        <w:t xml:space="preserve"> </w:t>
      </w:r>
      <w:r>
        <w:t>pronouns,</w:t>
      </w:r>
      <w:r>
        <w:rPr>
          <w:spacing w:val="-11"/>
        </w:rPr>
        <w:t xml:space="preserve"> </w:t>
      </w:r>
      <w:r>
        <w:t>as</w:t>
      </w:r>
      <w:r>
        <w:rPr>
          <w:spacing w:val="-11"/>
        </w:rPr>
        <w:t xml:space="preserve"> </w:t>
      </w:r>
      <w:r>
        <w:t>well</w:t>
      </w:r>
      <w:r>
        <w:rPr>
          <w:spacing w:val="-12"/>
        </w:rPr>
        <w:t xml:space="preserve"> </w:t>
      </w:r>
      <w:r>
        <w:t>as</w:t>
      </w:r>
      <w:r>
        <w:rPr>
          <w:spacing w:val="-13"/>
        </w:rPr>
        <w:t xml:space="preserve"> </w:t>
      </w:r>
      <w:r>
        <w:t>to</w:t>
      </w:r>
      <w:r>
        <w:rPr>
          <w:spacing w:val="-12"/>
        </w:rPr>
        <w:t xml:space="preserve"> </w:t>
      </w:r>
      <w:r>
        <w:t>be</w:t>
      </w:r>
      <w:r>
        <w:rPr>
          <w:spacing w:val="-11"/>
        </w:rPr>
        <w:t xml:space="preserve"> </w:t>
      </w:r>
      <w:r>
        <w:t>aware</w:t>
      </w:r>
      <w:r>
        <w:rPr>
          <w:spacing w:val="-11"/>
        </w:rPr>
        <w:t xml:space="preserve"> </w:t>
      </w:r>
      <w:r>
        <w:t>of</w:t>
      </w:r>
      <w:r>
        <w:rPr>
          <w:spacing w:val="-13"/>
        </w:rPr>
        <w:t xml:space="preserve"> </w:t>
      </w:r>
      <w:r>
        <w:t>potential</w:t>
      </w:r>
      <w:r>
        <w:rPr>
          <w:spacing w:val="-11"/>
        </w:rPr>
        <w:t xml:space="preserve"> </w:t>
      </w:r>
      <w:r>
        <w:t>services</w:t>
      </w:r>
      <w:r>
        <w:rPr>
          <w:spacing w:val="-13"/>
        </w:rPr>
        <w:t xml:space="preserve"> </w:t>
      </w:r>
      <w:r>
        <w:t>or</w:t>
      </w:r>
      <w:r>
        <w:rPr>
          <w:spacing w:val="-10"/>
        </w:rPr>
        <w:t xml:space="preserve"> </w:t>
      </w:r>
      <w:r>
        <w:t>issues</w:t>
      </w:r>
      <w:r>
        <w:rPr>
          <w:spacing w:val="-11"/>
        </w:rPr>
        <w:t xml:space="preserve"> </w:t>
      </w:r>
      <w:r>
        <w:t>that</w:t>
      </w:r>
      <w:r>
        <w:rPr>
          <w:spacing w:val="-13"/>
        </w:rPr>
        <w:t xml:space="preserve"> </w:t>
      </w:r>
      <w:r>
        <w:t>might</w:t>
      </w:r>
      <w:r>
        <w:rPr>
          <w:spacing w:val="-12"/>
        </w:rPr>
        <w:t xml:space="preserve"> </w:t>
      </w:r>
      <w:r>
        <w:t>impact clients; some of these issues may be around employment access or social support.</w:t>
      </w:r>
    </w:p>
    <w:p w:rsidR="00200FDA" w:rsidRDefault="00200FDA">
      <w:pPr>
        <w:pStyle w:val="BodyText"/>
        <w:spacing w:before="8"/>
        <w:rPr>
          <w:sz w:val="19"/>
        </w:rPr>
      </w:pPr>
    </w:p>
    <w:p w:rsidR="00200FDA" w:rsidRDefault="00F76C4C">
      <w:pPr>
        <w:pStyle w:val="BodyText"/>
        <w:spacing w:line="276" w:lineRule="auto"/>
        <w:ind w:left="279" w:right="276"/>
        <w:jc w:val="both"/>
      </w:pPr>
      <w:r>
        <w:t>Additionally, since 2021, MCB has provided an option for clients to select ‘other’ as a gender marker, rather than only ‘male’ or ‘female’, for those who might identify as gender expansive. The Commission understands that, like for many state agencies, upd</w:t>
      </w:r>
      <w:r>
        <w:t>ates to the data system to include more - or change existing</w:t>
      </w:r>
      <w:r>
        <w:rPr>
          <w:spacing w:val="-5"/>
        </w:rPr>
        <w:t xml:space="preserve"> </w:t>
      </w:r>
      <w:r>
        <w:t>-</w:t>
      </w:r>
      <w:r>
        <w:rPr>
          <w:spacing w:val="-5"/>
        </w:rPr>
        <w:t xml:space="preserve"> </w:t>
      </w:r>
      <w:r>
        <w:t>data</w:t>
      </w:r>
      <w:r>
        <w:rPr>
          <w:spacing w:val="-7"/>
        </w:rPr>
        <w:t xml:space="preserve"> </w:t>
      </w:r>
      <w:r>
        <w:t>fields</w:t>
      </w:r>
      <w:r>
        <w:rPr>
          <w:spacing w:val="-4"/>
        </w:rPr>
        <w:t xml:space="preserve"> </w:t>
      </w:r>
      <w:r>
        <w:t>is</w:t>
      </w:r>
      <w:r>
        <w:rPr>
          <w:spacing w:val="-7"/>
        </w:rPr>
        <w:t xml:space="preserve"> </w:t>
      </w:r>
      <w:r>
        <w:t>challenging,</w:t>
      </w:r>
      <w:r>
        <w:rPr>
          <w:spacing w:val="-4"/>
        </w:rPr>
        <w:t xml:space="preserve"> </w:t>
      </w:r>
      <w:r>
        <w:t>but</w:t>
      </w:r>
      <w:r>
        <w:rPr>
          <w:spacing w:val="-4"/>
        </w:rPr>
        <w:t xml:space="preserve"> </w:t>
      </w:r>
      <w:r>
        <w:t>hopes</w:t>
      </w:r>
      <w:r>
        <w:rPr>
          <w:spacing w:val="-7"/>
        </w:rPr>
        <w:t xml:space="preserve"> </w:t>
      </w:r>
      <w:r>
        <w:t>that</w:t>
      </w:r>
      <w:r>
        <w:rPr>
          <w:spacing w:val="-6"/>
        </w:rPr>
        <w:t xml:space="preserve"> </w:t>
      </w:r>
      <w:r>
        <w:t>MCB</w:t>
      </w:r>
      <w:r>
        <w:rPr>
          <w:spacing w:val="-4"/>
        </w:rPr>
        <w:t xml:space="preserve"> </w:t>
      </w:r>
      <w:r>
        <w:t>keeps</w:t>
      </w:r>
      <w:r>
        <w:rPr>
          <w:spacing w:val="-7"/>
        </w:rPr>
        <w:t xml:space="preserve"> </w:t>
      </w:r>
      <w:r>
        <w:t>these</w:t>
      </w:r>
      <w:r>
        <w:rPr>
          <w:spacing w:val="-4"/>
        </w:rPr>
        <w:t xml:space="preserve"> </w:t>
      </w:r>
      <w:r>
        <w:t>fields</w:t>
      </w:r>
      <w:r>
        <w:rPr>
          <w:spacing w:val="-4"/>
        </w:rPr>
        <w:t xml:space="preserve"> </w:t>
      </w:r>
      <w:r>
        <w:t>in</w:t>
      </w:r>
      <w:r>
        <w:rPr>
          <w:spacing w:val="-7"/>
        </w:rPr>
        <w:t xml:space="preserve"> </w:t>
      </w:r>
      <w:r>
        <w:t>mind</w:t>
      </w:r>
      <w:r>
        <w:rPr>
          <w:spacing w:val="-5"/>
        </w:rPr>
        <w:t xml:space="preserve"> </w:t>
      </w:r>
      <w:r>
        <w:t>as</w:t>
      </w:r>
      <w:r>
        <w:rPr>
          <w:spacing w:val="-4"/>
        </w:rPr>
        <w:t xml:space="preserve"> </w:t>
      </w:r>
      <w:r>
        <w:t>they</w:t>
      </w:r>
      <w:r>
        <w:rPr>
          <w:spacing w:val="-3"/>
        </w:rPr>
        <w:t xml:space="preserve"> </w:t>
      </w:r>
      <w:r>
        <w:t>consider</w:t>
      </w:r>
      <w:r>
        <w:rPr>
          <w:spacing w:val="-4"/>
        </w:rPr>
        <w:t xml:space="preserve"> </w:t>
      </w:r>
      <w:r>
        <w:t>future IT updates.</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spacing w:before="10"/>
        <w:rPr>
          <w:sz w:val="10"/>
        </w:rPr>
      </w:pPr>
    </w:p>
    <w:p w:rsidR="00200FDA" w:rsidRDefault="00F76C4C">
      <w:pPr>
        <w:spacing w:before="35"/>
        <w:ind w:left="280"/>
        <w:rPr>
          <w:sz w:val="32"/>
        </w:rPr>
      </w:pPr>
      <w:r>
        <w:pict>
          <v:rect id="docshape552" o:spid="_x0000_s1082" style="position:absolute;left:0;text-align:left;margin-left:70.55pt;margin-top:22.25pt;width:470.9pt;height:.5pt;z-index:-15618560;mso-wrap-distance-left:0;mso-wrap-distance-right:0;mso-position-horizontal-relative:page" fillcolor="#4f81bc" stroked="f">
            <w10:wrap type="topAndBottom" anchorx="page"/>
          </v:rect>
        </w:pict>
      </w:r>
      <w:bookmarkStart w:id="1114" w:name="FY24_MCDHH_Recommendations_-_Final.pdf"/>
      <w:bookmarkStart w:id="1115" w:name="Commission_for_the_Deaf_and_Hard_of_Hear"/>
      <w:bookmarkStart w:id="1116" w:name="_bookmark884"/>
      <w:bookmarkEnd w:id="1114"/>
      <w:bookmarkEnd w:id="1115"/>
      <w:bookmarkEnd w:id="1116"/>
      <w:r>
        <w:rPr>
          <w:color w:val="365F91"/>
          <w:sz w:val="32"/>
        </w:rPr>
        <w:t>Commission</w:t>
      </w:r>
      <w:r>
        <w:rPr>
          <w:color w:val="365F91"/>
          <w:spacing w:val="-8"/>
          <w:sz w:val="32"/>
        </w:rPr>
        <w:t xml:space="preserve"> </w:t>
      </w:r>
      <w:r>
        <w:rPr>
          <w:color w:val="365F91"/>
          <w:sz w:val="32"/>
        </w:rPr>
        <w:t>for</w:t>
      </w:r>
      <w:r>
        <w:rPr>
          <w:color w:val="365F91"/>
          <w:spacing w:val="-8"/>
          <w:sz w:val="32"/>
        </w:rPr>
        <w:t xml:space="preserve"> </w:t>
      </w:r>
      <w:r>
        <w:rPr>
          <w:color w:val="365F91"/>
          <w:sz w:val="32"/>
        </w:rPr>
        <w:t>the</w:t>
      </w:r>
      <w:r>
        <w:rPr>
          <w:color w:val="365F91"/>
          <w:spacing w:val="-8"/>
          <w:sz w:val="32"/>
        </w:rPr>
        <w:t xml:space="preserve"> </w:t>
      </w:r>
      <w:r>
        <w:rPr>
          <w:color w:val="365F91"/>
          <w:sz w:val="32"/>
        </w:rPr>
        <w:t>Deaf</w:t>
      </w:r>
      <w:r>
        <w:rPr>
          <w:color w:val="365F91"/>
          <w:spacing w:val="-7"/>
          <w:sz w:val="32"/>
        </w:rPr>
        <w:t xml:space="preserve"> </w:t>
      </w:r>
      <w:r>
        <w:rPr>
          <w:color w:val="365F91"/>
          <w:sz w:val="32"/>
        </w:rPr>
        <w:t>and</w:t>
      </w:r>
      <w:r>
        <w:rPr>
          <w:color w:val="365F91"/>
          <w:spacing w:val="-7"/>
          <w:sz w:val="32"/>
        </w:rPr>
        <w:t xml:space="preserve"> </w:t>
      </w:r>
      <w:r>
        <w:rPr>
          <w:color w:val="365F91"/>
          <w:sz w:val="32"/>
        </w:rPr>
        <w:t>Hard</w:t>
      </w:r>
      <w:r>
        <w:rPr>
          <w:color w:val="365F91"/>
          <w:spacing w:val="-5"/>
          <w:sz w:val="32"/>
        </w:rPr>
        <w:t xml:space="preserve"> </w:t>
      </w:r>
      <w:r>
        <w:rPr>
          <w:color w:val="365F91"/>
          <w:sz w:val="32"/>
        </w:rPr>
        <w:t>of</w:t>
      </w:r>
      <w:r>
        <w:rPr>
          <w:color w:val="365F91"/>
          <w:spacing w:val="-6"/>
          <w:sz w:val="32"/>
        </w:rPr>
        <w:t xml:space="preserve"> </w:t>
      </w:r>
      <w:r>
        <w:rPr>
          <w:color w:val="365F91"/>
          <w:spacing w:val="-2"/>
          <w:sz w:val="32"/>
        </w:rPr>
        <w:t>Hearing</w:t>
      </w:r>
    </w:p>
    <w:p w:rsidR="00200FDA" w:rsidRDefault="00200FDA">
      <w:pPr>
        <w:pStyle w:val="BodyText"/>
        <w:rPr>
          <w:sz w:val="20"/>
        </w:rPr>
      </w:pPr>
    </w:p>
    <w:p w:rsidR="00200FDA" w:rsidRDefault="00200FDA">
      <w:pPr>
        <w:pStyle w:val="BodyText"/>
        <w:spacing w:before="7"/>
        <w:rPr>
          <w:sz w:val="21"/>
        </w:rPr>
      </w:pPr>
    </w:p>
    <w:p w:rsidR="00200FDA" w:rsidRDefault="00F76C4C">
      <w:pPr>
        <w:pStyle w:val="Heading7"/>
        <w:spacing w:before="44"/>
      </w:pPr>
      <w:r>
        <w:pict>
          <v:rect id="docshape553" o:spid="_x0000_s1081" style="position:absolute;left:0;text-align:left;margin-left:70.55pt;margin-top:20.2pt;width:470.9pt;height:.5pt;z-index:-15618048;mso-wrap-distance-left:0;mso-wrap-distance-right:0;mso-position-horizontal-relative:page" fillcolor="#4f81bc" stroked="f">
            <w10:wrap type="topAndBottom" anchorx="page"/>
          </v:rect>
        </w:pict>
      </w:r>
      <w:r>
        <w:rPr>
          <w:color w:val="365F91"/>
        </w:rPr>
        <w:t>FY2024</w:t>
      </w:r>
      <w:r>
        <w:rPr>
          <w:color w:val="365F91"/>
          <w:spacing w:val="-6"/>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ListParagraph"/>
        <w:numPr>
          <w:ilvl w:val="1"/>
          <w:numId w:val="15"/>
        </w:numPr>
        <w:tabs>
          <w:tab w:val="left" w:pos="1001"/>
        </w:tabs>
        <w:spacing w:before="56"/>
        <w:ind w:hanging="362"/>
      </w:pPr>
      <w:r>
        <w:t>Review</w:t>
      </w:r>
      <w:r>
        <w:rPr>
          <w:spacing w:val="-6"/>
        </w:rPr>
        <w:t xml:space="preserve"> </w:t>
      </w:r>
      <w:r>
        <w:t>current</w:t>
      </w:r>
      <w:r>
        <w:rPr>
          <w:spacing w:val="-2"/>
        </w:rPr>
        <w:t xml:space="preserve"> </w:t>
      </w:r>
      <w:r>
        <w:t>SOGIE</w:t>
      </w:r>
      <w:r>
        <w:rPr>
          <w:spacing w:val="-4"/>
        </w:rPr>
        <w:t xml:space="preserve"> </w:t>
      </w:r>
      <w:r>
        <w:t>data</w:t>
      </w:r>
      <w:r>
        <w:rPr>
          <w:spacing w:val="-8"/>
        </w:rPr>
        <w:t xml:space="preserve"> </w:t>
      </w:r>
      <w:r>
        <w:t>collection</w:t>
      </w:r>
      <w:r>
        <w:rPr>
          <w:spacing w:val="-6"/>
        </w:rPr>
        <w:t xml:space="preserve"> </w:t>
      </w:r>
      <w:r>
        <w:t>and</w:t>
      </w:r>
      <w:r>
        <w:rPr>
          <w:spacing w:val="-4"/>
        </w:rPr>
        <w:t xml:space="preserve"> </w:t>
      </w:r>
      <w:r>
        <w:rPr>
          <w:spacing w:val="-2"/>
        </w:rPr>
        <w:t>management.</w:t>
      </w:r>
    </w:p>
    <w:p w:rsidR="00200FDA" w:rsidRDefault="00F76C4C">
      <w:pPr>
        <w:pStyle w:val="ListParagraph"/>
        <w:numPr>
          <w:ilvl w:val="1"/>
          <w:numId w:val="15"/>
        </w:numPr>
        <w:tabs>
          <w:tab w:val="left" w:pos="1001"/>
        </w:tabs>
        <w:spacing w:before="133"/>
      </w:pPr>
      <w:r>
        <w:t>Provide</w:t>
      </w:r>
      <w:r>
        <w:rPr>
          <w:spacing w:val="-9"/>
        </w:rPr>
        <w:t xml:space="preserve"> </w:t>
      </w:r>
      <w:r>
        <w:t>LGBTQ</w:t>
      </w:r>
      <w:r>
        <w:rPr>
          <w:spacing w:val="-5"/>
        </w:rPr>
        <w:t xml:space="preserve"> </w:t>
      </w:r>
      <w:r>
        <w:t>competency</w:t>
      </w:r>
      <w:r>
        <w:rPr>
          <w:spacing w:val="-3"/>
        </w:rPr>
        <w:t xml:space="preserve"> </w:t>
      </w:r>
      <w:r>
        <w:t>training</w:t>
      </w:r>
      <w:r>
        <w:rPr>
          <w:spacing w:val="-8"/>
        </w:rPr>
        <w:t xml:space="preserve"> </w:t>
      </w:r>
      <w:r>
        <w:t>opportunities</w:t>
      </w:r>
      <w:r>
        <w:rPr>
          <w:spacing w:val="-5"/>
        </w:rPr>
        <w:t xml:space="preserve"> </w:t>
      </w:r>
      <w:r>
        <w:t>to</w:t>
      </w:r>
      <w:r>
        <w:rPr>
          <w:spacing w:val="-5"/>
        </w:rPr>
        <w:t xml:space="preserve"> </w:t>
      </w:r>
      <w:r>
        <w:t>staff</w:t>
      </w:r>
      <w:r>
        <w:rPr>
          <w:spacing w:val="-5"/>
        </w:rPr>
        <w:t xml:space="preserve"> </w:t>
      </w:r>
      <w:r>
        <w:t>and</w:t>
      </w:r>
      <w:r>
        <w:rPr>
          <w:spacing w:val="-5"/>
        </w:rPr>
        <w:t xml:space="preserve"> </w:t>
      </w:r>
      <w:r>
        <w:rPr>
          <w:spacing w:val="-2"/>
        </w:rPr>
        <w:t>providers.</w:t>
      </w:r>
    </w:p>
    <w:p w:rsidR="00200FDA" w:rsidRDefault="00F76C4C">
      <w:pPr>
        <w:pStyle w:val="ListParagraph"/>
        <w:numPr>
          <w:ilvl w:val="1"/>
          <w:numId w:val="15"/>
        </w:numPr>
        <w:tabs>
          <w:tab w:val="left" w:pos="1001"/>
        </w:tabs>
        <w:spacing w:before="134"/>
      </w:pPr>
      <w:r>
        <w:t>Partner</w:t>
      </w:r>
      <w:r>
        <w:rPr>
          <w:spacing w:val="-8"/>
        </w:rPr>
        <w:t xml:space="preserve"> </w:t>
      </w:r>
      <w:r>
        <w:t>with</w:t>
      </w:r>
      <w:r>
        <w:rPr>
          <w:spacing w:val="-6"/>
        </w:rPr>
        <w:t xml:space="preserve"> </w:t>
      </w:r>
      <w:r>
        <w:t>the</w:t>
      </w:r>
      <w:r>
        <w:rPr>
          <w:spacing w:val="-3"/>
        </w:rPr>
        <w:t xml:space="preserve"> </w:t>
      </w:r>
      <w:r>
        <w:t>Commission</w:t>
      </w:r>
      <w:r>
        <w:rPr>
          <w:spacing w:val="-5"/>
        </w:rPr>
        <w:t xml:space="preserve"> </w:t>
      </w:r>
      <w:r>
        <w:t>to</w:t>
      </w:r>
      <w:r>
        <w:rPr>
          <w:spacing w:val="-3"/>
        </w:rPr>
        <w:t xml:space="preserve"> </w:t>
      </w:r>
      <w:r>
        <w:t>collaborate</w:t>
      </w:r>
      <w:r>
        <w:rPr>
          <w:spacing w:val="-5"/>
        </w:rPr>
        <w:t xml:space="preserve"> </w:t>
      </w:r>
      <w:r>
        <w:t>on</w:t>
      </w:r>
      <w:r>
        <w:rPr>
          <w:spacing w:val="-5"/>
        </w:rPr>
        <w:t xml:space="preserve"> </w:t>
      </w:r>
      <w:r>
        <w:t>resource</w:t>
      </w:r>
      <w:r>
        <w:rPr>
          <w:spacing w:val="-2"/>
        </w:rPr>
        <w:t xml:space="preserve"> development.</w:t>
      </w:r>
    </w:p>
    <w:p w:rsidR="00200FDA" w:rsidRDefault="00200FDA">
      <w:pPr>
        <w:pStyle w:val="BodyText"/>
      </w:pPr>
    </w:p>
    <w:p w:rsidR="00200FDA" w:rsidRDefault="00200FDA">
      <w:pPr>
        <w:pStyle w:val="BodyText"/>
        <w:spacing w:before="11"/>
        <w:rPr>
          <w:sz w:val="21"/>
        </w:rPr>
      </w:pPr>
    </w:p>
    <w:p w:rsidR="00200FDA" w:rsidRDefault="00F76C4C">
      <w:pPr>
        <w:pStyle w:val="Heading7"/>
      </w:pPr>
      <w:r>
        <w:pict>
          <v:rect id="docshape554" o:spid="_x0000_s1080" style="position:absolute;left:0;text-align:left;margin-left:70.55pt;margin-top:18pt;width:470.9pt;height:.5pt;z-index:-15617536;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line="276" w:lineRule="auto"/>
        <w:ind w:left="280" w:right="275"/>
        <w:jc w:val="both"/>
      </w:pPr>
      <w:r>
        <w:t>The Massachusetts Commission for the</w:t>
      </w:r>
      <w:r>
        <w:rPr>
          <w:spacing w:val="-1"/>
        </w:rPr>
        <w:t xml:space="preserve"> </w:t>
      </w:r>
      <w:r>
        <w:t>Deaf and Hard of Hearing (MCDHH) is the principal agency</w:t>
      </w:r>
      <w:r>
        <w:rPr>
          <w:spacing w:val="-1"/>
        </w:rPr>
        <w:t xml:space="preserve"> </w:t>
      </w:r>
      <w:r>
        <w:t>in the Commonwealth that works on behalf of people of all ages who are Deaf and hard of hearing. MCDHH works to provide accessible communication, education, and a</w:t>
      </w:r>
      <w:r>
        <w:t>dvocacy to consumers and private and public entities so that programs, services, and opportunities throughout Massachusetts are fully accessible to persons who are Deaf and hard of hearing.</w:t>
      </w:r>
    </w:p>
    <w:p w:rsidR="00200FDA" w:rsidRDefault="00200FDA">
      <w:pPr>
        <w:pStyle w:val="BodyText"/>
        <w:spacing w:before="9"/>
        <w:rPr>
          <w:sz w:val="19"/>
        </w:rPr>
      </w:pPr>
    </w:p>
    <w:p w:rsidR="00200FDA" w:rsidRDefault="00F76C4C">
      <w:pPr>
        <w:pStyle w:val="BodyText"/>
        <w:spacing w:line="276" w:lineRule="auto"/>
        <w:ind w:left="279" w:right="274"/>
        <w:jc w:val="both"/>
      </w:pPr>
      <w:r>
        <w:t>Although there</w:t>
      </w:r>
      <w:r>
        <w:rPr>
          <w:spacing w:val="-1"/>
        </w:rPr>
        <w:t xml:space="preserve"> </w:t>
      </w:r>
      <w:r>
        <w:t>is limited data and</w:t>
      </w:r>
      <w:r>
        <w:rPr>
          <w:spacing w:val="-3"/>
        </w:rPr>
        <w:t xml:space="preserve"> </w:t>
      </w:r>
      <w:r>
        <w:t>research</w:t>
      </w:r>
      <w:r>
        <w:rPr>
          <w:spacing w:val="-3"/>
        </w:rPr>
        <w:t xml:space="preserve"> </w:t>
      </w:r>
      <w:r>
        <w:t>available</w:t>
      </w:r>
      <w:r>
        <w:rPr>
          <w:spacing w:val="-1"/>
        </w:rPr>
        <w:t xml:space="preserve"> </w:t>
      </w:r>
      <w:r>
        <w:t>on</w:t>
      </w:r>
      <w:r>
        <w:rPr>
          <w:spacing w:val="-3"/>
        </w:rPr>
        <w:t xml:space="preserve"> </w:t>
      </w:r>
      <w:r>
        <w:t>the inte</w:t>
      </w:r>
      <w:r>
        <w:t>rsections</w:t>
      </w:r>
      <w:r>
        <w:rPr>
          <w:spacing w:val="-2"/>
        </w:rPr>
        <w:t xml:space="preserve"> </w:t>
      </w:r>
      <w:r>
        <w:t>of</w:t>
      </w:r>
      <w:r>
        <w:rPr>
          <w:spacing w:val="-2"/>
        </w:rPr>
        <w:t xml:space="preserve"> </w:t>
      </w:r>
      <w:r>
        <w:t>LGBTQ</w:t>
      </w:r>
      <w:r>
        <w:rPr>
          <w:spacing w:val="-2"/>
        </w:rPr>
        <w:t xml:space="preserve"> </w:t>
      </w:r>
      <w:r>
        <w:t>youth identities</w:t>
      </w:r>
      <w:r>
        <w:rPr>
          <w:spacing w:val="-4"/>
        </w:rPr>
        <w:t xml:space="preserve"> </w:t>
      </w:r>
      <w:r>
        <w:t>with Deaf</w:t>
      </w:r>
      <w:r>
        <w:rPr>
          <w:spacing w:val="-13"/>
        </w:rPr>
        <w:t xml:space="preserve"> </w:t>
      </w:r>
      <w:r>
        <w:t>and</w:t>
      </w:r>
      <w:r>
        <w:rPr>
          <w:spacing w:val="-11"/>
        </w:rPr>
        <w:t xml:space="preserve"> </w:t>
      </w:r>
      <w:r>
        <w:t>hard</w:t>
      </w:r>
      <w:r>
        <w:rPr>
          <w:spacing w:val="-12"/>
        </w:rPr>
        <w:t xml:space="preserve"> </w:t>
      </w:r>
      <w:r>
        <w:t>of</w:t>
      </w:r>
      <w:r>
        <w:rPr>
          <w:spacing w:val="-12"/>
        </w:rPr>
        <w:t xml:space="preserve"> </w:t>
      </w:r>
      <w:r>
        <w:t>hearing</w:t>
      </w:r>
      <w:r>
        <w:rPr>
          <w:spacing w:val="-12"/>
        </w:rPr>
        <w:t xml:space="preserve"> </w:t>
      </w:r>
      <w:r>
        <w:t>communities,</w:t>
      </w:r>
      <w:r>
        <w:rPr>
          <w:spacing w:val="-11"/>
        </w:rPr>
        <w:t xml:space="preserve"> </w:t>
      </w:r>
      <w:r>
        <w:t>the</w:t>
      </w:r>
      <w:r>
        <w:rPr>
          <w:spacing w:val="-11"/>
        </w:rPr>
        <w:t xml:space="preserve"> </w:t>
      </w:r>
      <w:r>
        <w:t>Commission</w:t>
      </w:r>
      <w:r>
        <w:rPr>
          <w:spacing w:val="-12"/>
        </w:rPr>
        <w:t xml:space="preserve"> </w:t>
      </w:r>
      <w:r>
        <w:t>understands</w:t>
      </w:r>
      <w:r>
        <w:rPr>
          <w:spacing w:val="-11"/>
        </w:rPr>
        <w:t xml:space="preserve"> </w:t>
      </w:r>
      <w:r>
        <w:t>that</w:t>
      </w:r>
      <w:r>
        <w:rPr>
          <w:spacing w:val="-11"/>
        </w:rPr>
        <w:t xml:space="preserve"> </w:t>
      </w:r>
      <w:r>
        <w:t>LGBTQ</w:t>
      </w:r>
      <w:r>
        <w:rPr>
          <w:spacing w:val="-13"/>
        </w:rPr>
        <w:t xml:space="preserve"> </w:t>
      </w:r>
      <w:r>
        <w:t>Deaf</w:t>
      </w:r>
      <w:r>
        <w:rPr>
          <w:spacing w:val="-11"/>
        </w:rPr>
        <w:t xml:space="preserve"> </w:t>
      </w:r>
      <w:r>
        <w:t>and</w:t>
      </w:r>
      <w:r>
        <w:rPr>
          <w:spacing w:val="-12"/>
        </w:rPr>
        <w:t xml:space="preserve"> </w:t>
      </w:r>
      <w:r>
        <w:t>hard</w:t>
      </w:r>
      <w:r>
        <w:rPr>
          <w:spacing w:val="-12"/>
        </w:rPr>
        <w:t xml:space="preserve"> </w:t>
      </w:r>
      <w:r>
        <w:t>of</w:t>
      </w:r>
      <w:r>
        <w:rPr>
          <w:spacing w:val="-12"/>
        </w:rPr>
        <w:t xml:space="preserve"> </w:t>
      </w:r>
      <w:r>
        <w:t>hearing youth</w:t>
      </w:r>
      <w:r>
        <w:rPr>
          <w:spacing w:val="-13"/>
        </w:rPr>
        <w:t xml:space="preserve"> </w:t>
      </w:r>
      <w:r>
        <w:t>experience</w:t>
      </w:r>
      <w:r>
        <w:rPr>
          <w:spacing w:val="-12"/>
        </w:rPr>
        <w:t xml:space="preserve"> </w:t>
      </w:r>
      <w:r>
        <w:t>unique</w:t>
      </w:r>
      <w:r>
        <w:rPr>
          <w:spacing w:val="-13"/>
        </w:rPr>
        <w:t xml:space="preserve"> </w:t>
      </w:r>
      <w:r>
        <w:t>challenges</w:t>
      </w:r>
      <w:r>
        <w:rPr>
          <w:spacing w:val="-12"/>
        </w:rPr>
        <w:t xml:space="preserve"> </w:t>
      </w:r>
      <w:r>
        <w:t>in</w:t>
      </w:r>
      <w:r>
        <w:rPr>
          <w:spacing w:val="-13"/>
        </w:rPr>
        <w:t xml:space="preserve"> </w:t>
      </w:r>
      <w:r>
        <w:t>schools,</w:t>
      </w:r>
      <w:r>
        <w:rPr>
          <w:spacing w:val="-12"/>
        </w:rPr>
        <w:t xml:space="preserve"> </w:t>
      </w:r>
      <w:r>
        <w:t>the</w:t>
      </w:r>
      <w:r>
        <w:rPr>
          <w:spacing w:val="-13"/>
        </w:rPr>
        <w:t xml:space="preserve"> </w:t>
      </w:r>
      <w:r>
        <w:t>work</w:t>
      </w:r>
      <w:r>
        <w:rPr>
          <w:spacing w:val="-12"/>
        </w:rPr>
        <w:t xml:space="preserve"> </w:t>
      </w:r>
      <w:r>
        <w:t>place,</w:t>
      </w:r>
      <w:r>
        <w:rPr>
          <w:spacing w:val="-12"/>
        </w:rPr>
        <w:t xml:space="preserve"> </w:t>
      </w:r>
      <w:r>
        <w:t>and</w:t>
      </w:r>
      <w:r>
        <w:rPr>
          <w:spacing w:val="-12"/>
        </w:rPr>
        <w:t xml:space="preserve"> </w:t>
      </w:r>
      <w:r>
        <w:t>in</w:t>
      </w:r>
      <w:r>
        <w:rPr>
          <w:spacing w:val="-12"/>
        </w:rPr>
        <w:t xml:space="preserve"> </w:t>
      </w:r>
      <w:r>
        <w:t>the</w:t>
      </w:r>
      <w:r>
        <w:rPr>
          <w:spacing w:val="-11"/>
        </w:rPr>
        <w:t xml:space="preserve"> </w:t>
      </w:r>
      <w:r>
        <w:t>general</w:t>
      </w:r>
      <w:r>
        <w:rPr>
          <w:spacing w:val="-12"/>
        </w:rPr>
        <w:t xml:space="preserve"> </w:t>
      </w:r>
      <w:r>
        <w:t>public.</w:t>
      </w:r>
      <w:r>
        <w:rPr>
          <w:spacing w:val="-12"/>
        </w:rPr>
        <w:t xml:space="preserve"> </w:t>
      </w:r>
      <w:r>
        <w:t>These</w:t>
      </w:r>
      <w:r>
        <w:rPr>
          <w:spacing w:val="-13"/>
        </w:rPr>
        <w:t xml:space="preserve"> </w:t>
      </w:r>
      <w:r>
        <w:t>challenges include a lack of accessible communication (such as sign language interpretation or closed caption devices)</w:t>
      </w:r>
      <w:r>
        <w:rPr>
          <w:spacing w:val="-13"/>
        </w:rPr>
        <w:t xml:space="preserve"> </w:t>
      </w:r>
      <w:r>
        <w:t>in</w:t>
      </w:r>
      <w:r>
        <w:rPr>
          <w:spacing w:val="-12"/>
        </w:rPr>
        <w:t xml:space="preserve"> </w:t>
      </w:r>
      <w:r>
        <w:t>LGBTQ</w:t>
      </w:r>
      <w:r>
        <w:rPr>
          <w:spacing w:val="-13"/>
        </w:rPr>
        <w:t xml:space="preserve"> </w:t>
      </w:r>
      <w:r>
        <w:t>spaces;</w:t>
      </w:r>
      <w:r>
        <w:rPr>
          <w:spacing w:val="-12"/>
        </w:rPr>
        <w:t xml:space="preserve"> </w:t>
      </w:r>
      <w:r>
        <w:t>and</w:t>
      </w:r>
      <w:r>
        <w:rPr>
          <w:spacing w:val="-13"/>
        </w:rPr>
        <w:t xml:space="preserve"> </w:t>
      </w:r>
      <w:r>
        <w:t>navigating</w:t>
      </w:r>
      <w:r>
        <w:rPr>
          <w:spacing w:val="-12"/>
        </w:rPr>
        <w:t xml:space="preserve"> </w:t>
      </w:r>
      <w:r>
        <w:t>being</w:t>
      </w:r>
      <w:r>
        <w:rPr>
          <w:spacing w:val="-13"/>
        </w:rPr>
        <w:t xml:space="preserve"> </w:t>
      </w:r>
      <w:r>
        <w:t>open</w:t>
      </w:r>
      <w:r>
        <w:rPr>
          <w:spacing w:val="-12"/>
        </w:rPr>
        <w:t xml:space="preserve"> </w:t>
      </w:r>
      <w:r>
        <w:t>about</w:t>
      </w:r>
      <w:r>
        <w:rPr>
          <w:spacing w:val="-12"/>
        </w:rPr>
        <w:t xml:space="preserve"> </w:t>
      </w:r>
      <w:r>
        <w:t>their</w:t>
      </w:r>
      <w:r>
        <w:rPr>
          <w:spacing w:val="-13"/>
        </w:rPr>
        <w:t xml:space="preserve"> </w:t>
      </w:r>
      <w:r>
        <w:t>sexual</w:t>
      </w:r>
      <w:r>
        <w:rPr>
          <w:spacing w:val="-12"/>
        </w:rPr>
        <w:t xml:space="preserve"> </w:t>
      </w:r>
      <w:r>
        <w:t>orientation</w:t>
      </w:r>
      <w:r>
        <w:rPr>
          <w:spacing w:val="-13"/>
        </w:rPr>
        <w:t xml:space="preserve"> </w:t>
      </w:r>
      <w:r>
        <w:t>and/or</w:t>
      </w:r>
      <w:r>
        <w:rPr>
          <w:spacing w:val="-12"/>
        </w:rPr>
        <w:t xml:space="preserve"> </w:t>
      </w:r>
      <w:r>
        <w:t>gender</w:t>
      </w:r>
      <w:r>
        <w:rPr>
          <w:spacing w:val="-13"/>
        </w:rPr>
        <w:t xml:space="preserve"> </w:t>
      </w:r>
      <w:r>
        <w:t>identity in</w:t>
      </w:r>
      <w:r>
        <w:rPr>
          <w:spacing w:val="-9"/>
        </w:rPr>
        <w:t xml:space="preserve"> </w:t>
      </w:r>
      <w:r>
        <w:t>an</w:t>
      </w:r>
      <w:r>
        <w:rPr>
          <w:spacing w:val="-9"/>
        </w:rPr>
        <w:t xml:space="preserve"> </w:t>
      </w:r>
      <w:r>
        <w:t>often</w:t>
      </w:r>
      <w:r>
        <w:rPr>
          <w:spacing w:val="-9"/>
        </w:rPr>
        <w:t xml:space="preserve"> </w:t>
      </w:r>
      <w:r>
        <w:t>close-knit</w:t>
      </w:r>
      <w:r>
        <w:rPr>
          <w:spacing w:val="-10"/>
        </w:rPr>
        <w:t xml:space="preserve"> </w:t>
      </w:r>
      <w:r>
        <w:t>Deaf</w:t>
      </w:r>
      <w:r>
        <w:rPr>
          <w:spacing w:val="-11"/>
        </w:rPr>
        <w:t xml:space="preserve"> </w:t>
      </w:r>
      <w:r>
        <w:t>community</w:t>
      </w:r>
      <w:r>
        <w:rPr>
          <w:spacing w:val="-10"/>
        </w:rPr>
        <w:t xml:space="preserve"> </w:t>
      </w:r>
      <w:r>
        <w:t>or</w:t>
      </w:r>
      <w:r>
        <w:rPr>
          <w:spacing w:val="-8"/>
        </w:rPr>
        <w:t xml:space="preserve"> </w:t>
      </w:r>
      <w:r>
        <w:t>with</w:t>
      </w:r>
      <w:r>
        <w:rPr>
          <w:spacing w:val="-11"/>
        </w:rPr>
        <w:t xml:space="preserve"> </w:t>
      </w:r>
      <w:r>
        <w:t>medical</w:t>
      </w:r>
      <w:r>
        <w:rPr>
          <w:spacing w:val="-13"/>
        </w:rPr>
        <w:t xml:space="preserve"> </w:t>
      </w:r>
      <w:r>
        <w:t>providers.</w:t>
      </w:r>
      <w:hyperlink w:anchor="_bookmark885" w:history="1">
        <w:r>
          <w:rPr>
            <w:vertAlign w:val="superscript"/>
          </w:rPr>
          <w:t>1</w:t>
        </w:r>
      </w:hyperlink>
      <w:r>
        <w:rPr>
          <w:spacing w:val="-1"/>
        </w:rPr>
        <w:t xml:space="preserve"> </w:t>
      </w:r>
      <w:r>
        <w:t>Additionally,</w:t>
      </w:r>
      <w:r>
        <w:rPr>
          <w:spacing w:val="-10"/>
        </w:rPr>
        <w:t xml:space="preserve"> </w:t>
      </w:r>
      <w:r>
        <w:t>finding</w:t>
      </w:r>
      <w:r>
        <w:rPr>
          <w:spacing w:val="-9"/>
        </w:rPr>
        <w:t xml:space="preserve"> </w:t>
      </w:r>
      <w:r>
        <w:t>LGBTQ</w:t>
      </w:r>
      <w:r>
        <w:rPr>
          <w:spacing w:val="-10"/>
        </w:rPr>
        <w:t xml:space="preserve"> </w:t>
      </w:r>
      <w:r>
        <w:t>community spaces</w:t>
      </w:r>
      <w:r>
        <w:rPr>
          <w:spacing w:val="-6"/>
        </w:rPr>
        <w:t xml:space="preserve"> </w:t>
      </w:r>
      <w:r>
        <w:t>within</w:t>
      </w:r>
      <w:r>
        <w:rPr>
          <w:spacing w:val="-6"/>
        </w:rPr>
        <w:t xml:space="preserve"> </w:t>
      </w:r>
      <w:r>
        <w:t>the</w:t>
      </w:r>
      <w:r>
        <w:rPr>
          <w:spacing w:val="-5"/>
        </w:rPr>
        <w:t xml:space="preserve"> </w:t>
      </w:r>
      <w:r>
        <w:t>Deaf</w:t>
      </w:r>
      <w:r>
        <w:rPr>
          <w:spacing w:val="-6"/>
        </w:rPr>
        <w:t xml:space="preserve"> </w:t>
      </w:r>
      <w:r>
        <w:t>community</w:t>
      </w:r>
      <w:r>
        <w:rPr>
          <w:spacing w:val="-5"/>
        </w:rPr>
        <w:t xml:space="preserve"> </w:t>
      </w:r>
      <w:r>
        <w:t>can</w:t>
      </w:r>
      <w:r>
        <w:rPr>
          <w:spacing w:val="-4"/>
        </w:rPr>
        <w:t xml:space="preserve"> </w:t>
      </w:r>
      <w:r>
        <w:t>be</w:t>
      </w:r>
      <w:r>
        <w:rPr>
          <w:spacing w:val="-3"/>
        </w:rPr>
        <w:t xml:space="preserve"> </w:t>
      </w:r>
      <w:r>
        <w:t>a</w:t>
      </w:r>
      <w:r>
        <w:rPr>
          <w:spacing w:val="-6"/>
        </w:rPr>
        <w:t xml:space="preserve"> </w:t>
      </w:r>
      <w:r>
        <w:t>challenge</w:t>
      </w:r>
      <w:hyperlink w:anchor="_bookmark886" w:history="1">
        <w:r>
          <w:rPr>
            <w:vertAlign w:val="superscript"/>
          </w:rPr>
          <w:t>2</w:t>
        </w:r>
      </w:hyperlink>
      <w:r>
        <w:rPr>
          <w:spacing w:val="-2"/>
        </w:rPr>
        <w:t xml:space="preserve"> </w:t>
      </w:r>
      <w:r>
        <w:t>-</w:t>
      </w:r>
      <w:r>
        <w:rPr>
          <w:spacing w:val="-4"/>
        </w:rPr>
        <w:t xml:space="preserve"> </w:t>
      </w:r>
      <w:r>
        <w:t>particularly</w:t>
      </w:r>
      <w:r>
        <w:rPr>
          <w:spacing w:val="-5"/>
        </w:rPr>
        <w:t xml:space="preserve"> </w:t>
      </w:r>
      <w:r>
        <w:t>for</w:t>
      </w:r>
      <w:r>
        <w:rPr>
          <w:spacing w:val="-3"/>
        </w:rPr>
        <w:t xml:space="preserve"> </w:t>
      </w:r>
      <w:r>
        <w:t>those</w:t>
      </w:r>
      <w:r>
        <w:rPr>
          <w:spacing w:val="-5"/>
        </w:rPr>
        <w:t xml:space="preserve"> </w:t>
      </w:r>
      <w:r>
        <w:t>who</w:t>
      </w:r>
      <w:r>
        <w:rPr>
          <w:spacing w:val="-7"/>
        </w:rPr>
        <w:t xml:space="preserve"> </w:t>
      </w:r>
      <w:r>
        <w:t>are</w:t>
      </w:r>
      <w:r>
        <w:rPr>
          <w:spacing w:val="-5"/>
        </w:rPr>
        <w:t xml:space="preserve"> </w:t>
      </w:r>
      <w:r>
        <w:t>Deafblind</w:t>
      </w:r>
      <w:r>
        <w:rPr>
          <w:spacing w:val="-3"/>
        </w:rPr>
        <w:t xml:space="preserve"> </w:t>
      </w:r>
      <w:r>
        <w:t>-</w:t>
      </w:r>
      <w:r>
        <w:rPr>
          <w:spacing w:val="-6"/>
        </w:rPr>
        <w:t xml:space="preserve"> </w:t>
      </w:r>
      <w:r>
        <w:t>though many Deaf LGBTQ people note that Deaf communities often feel more supportive and welcoming than hearing communities.</w:t>
      </w:r>
      <w:hyperlink w:anchor="_bookmark887" w:history="1">
        <w:r>
          <w:rPr>
            <w:vertAlign w:val="superscript"/>
          </w:rPr>
          <w:t>3</w:t>
        </w:r>
      </w:hyperlink>
    </w:p>
    <w:p w:rsidR="00200FDA" w:rsidRDefault="00200FDA">
      <w:pPr>
        <w:pStyle w:val="BodyText"/>
        <w:spacing w:before="8"/>
        <w:rPr>
          <w:sz w:val="19"/>
        </w:rPr>
      </w:pPr>
    </w:p>
    <w:p w:rsidR="00200FDA" w:rsidRDefault="00F76C4C">
      <w:pPr>
        <w:pStyle w:val="BodyText"/>
        <w:spacing w:line="276" w:lineRule="auto"/>
        <w:ind w:left="280" w:right="274"/>
        <w:jc w:val="both"/>
      </w:pPr>
      <w:r>
        <w:t>Massachusetts census data notes that approximately 1.2 million residents are Deaf and hard of hear</w:t>
      </w:r>
      <w:r>
        <w:t>ing, but there is currently no public information reflecting the number of Deaf and hard of hearing Massachusetts</w:t>
      </w:r>
      <w:r>
        <w:rPr>
          <w:spacing w:val="-1"/>
        </w:rPr>
        <w:t xml:space="preserve"> </w:t>
      </w:r>
      <w:r>
        <w:t>LGBTQ residents. In March</w:t>
      </w:r>
      <w:r>
        <w:rPr>
          <w:spacing w:val="-2"/>
        </w:rPr>
        <w:t xml:space="preserve"> </w:t>
      </w:r>
      <w:r>
        <w:t>of 2022,</w:t>
      </w:r>
      <w:r>
        <w:rPr>
          <w:spacing w:val="-1"/>
        </w:rPr>
        <w:t xml:space="preserve"> </w:t>
      </w:r>
      <w:r>
        <w:t>The Trevor</w:t>
      </w:r>
      <w:r>
        <w:rPr>
          <w:spacing w:val="-1"/>
        </w:rPr>
        <w:t xml:space="preserve"> </w:t>
      </w:r>
      <w:r>
        <w:t>Project released</w:t>
      </w:r>
      <w:r>
        <w:rPr>
          <w:spacing w:val="-2"/>
        </w:rPr>
        <w:t xml:space="preserve"> </w:t>
      </w:r>
      <w:r>
        <w:t>a briefing based</w:t>
      </w:r>
      <w:r>
        <w:rPr>
          <w:spacing w:val="-2"/>
        </w:rPr>
        <w:t xml:space="preserve"> </w:t>
      </w:r>
      <w:r>
        <w:t>off</w:t>
      </w:r>
      <w:r>
        <w:rPr>
          <w:spacing w:val="-1"/>
        </w:rPr>
        <w:t xml:space="preserve"> </w:t>
      </w:r>
      <w:r>
        <w:t>of its national</w:t>
      </w:r>
      <w:r>
        <w:rPr>
          <w:spacing w:val="-4"/>
        </w:rPr>
        <w:t xml:space="preserve"> </w:t>
      </w:r>
      <w:r>
        <w:t>2020</w:t>
      </w:r>
      <w:r>
        <w:rPr>
          <w:spacing w:val="-5"/>
        </w:rPr>
        <w:t xml:space="preserve"> </w:t>
      </w:r>
      <w:r>
        <w:t>Mental</w:t>
      </w:r>
      <w:r>
        <w:rPr>
          <w:spacing w:val="-4"/>
        </w:rPr>
        <w:t xml:space="preserve"> </w:t>
      </w:r>
      <w:r>
        <w:t>Health</w:t>
      </w:r>
      <w:r>
        <w:rPr>
          <w:spacing w:val="-4"/>
        </w:rPr>
        <w:t xml:space="preserve"> </w:t>
      </w:r>
      <w:r>
        <w:t>Survey</w:t>
      </w:r>
      <w:r>
        <w:rPr>
          <w:spacing w:val="-2"/>
        </w:rPr>
        <w:t xml:space="preserve"> </w:t>
      </w:r>
      <w:r>
        <w:t>that</w:t>
      </w:r>
      <w:r>
        <w:rPr>
          <w:spacing w:val="-3"/>
        </w:rPr>
        <w:t xml:space="preserve"> </w:t>
      </w:r>
      <w:r>
        <w:t>remains</w:t>
      </w:r>
      <w:r>
        <w:rPr>
          <w:spacing w:val="-6"/>
        </w:rPr>
        <w:t xml:space="preserve"> </w:t>
      </w:r>
      <w:r>
        <w:t>one</w:t>
      </w:r>
      <w:r>
        <w:rPr>
          <w:spacing w:val="-5"/>
        </w:rPr>
        <w:t xml:space="preserve"> </w:t>
      </w:r>
      <w:r>
        <w:t>of</w:t>
      </w:r>
      <w:r>
        <w:rPr>
          <w:spacing w:val="-4"/>
        </w:rPr>
        <w:t xml:space="preserve"> </w:t>
      </w:r>
      <w:r>
        <w:t>the</w:t>
      </w:r>
      <w:r>
        <w:rPr>
          <w:spacing w:val="-5"/>
        </w:rPr>
        <w:t xml:space="preserve"> </w:t>
      </w:r>
      <w:r>
        <w:t>most</w:t>
      </w:r>
      <w:r>
        <w:rPr>
          <w:spacing w:val="-3"/>
        </w:rPr>
        <w:t xml:space="preserve"> </w:t>
      </w:r>
      <w:r>
        <w:t>comprehensive</w:t>
      </w:r>
      <w:r>
        <w:rPr>
          <w:spacing w:val="-5"/>
        </w:rPr>
        <w:t xml:space="preserve"> </w:t>
      </w:r>
      <w:r>
        <w:t>studies</w:t>
      </w:r>
      <w:r>
        <w:rPr>
          <w:spacing w:val="-3"/>
        </w:rPr>
        <w:t xml:space="preserve"> </w:t>
      </w:r>
      <w:r>
        <w:t>on</w:t>
      </w:r>
      <w:r>
        <w:rPr>
          <w:spacing w:val="-6"/>
        </w:rPr>
        <w:t xml:space="preserve"> </w:t>
      </w:r>
      <w:r>
        <w:t>Deaf</w:t>
      </w:r>
      <w:r>
        <w:rPr>
          <w:spacing w:val="-6"/>
        </w:rPr>
        <w:t xml:space="preserve"> </w:t>
      </w:r>
      <w:r>
        <w:t>LGBTQ communities so far. Nationally, 5% of LGBTQ youth (out of a pool of 40,001) identified as experiencing deafness or hard of hearing. Within this percentage, 25% of Deaf LGBTQ youth reported that they struggled,</w:t>
      </w:r>
      <w:r>
        <w:rPr>
          <w:spacing w:val="-4"/>
        </w:rPr>
        <w:t xml:space="preserve"> </w:t>
      </w:r>
      <w:r>
        <w:t>or</w:t>
      </w:r>
      <w:r>
        <w:rPr>
          <w:spacing w:val="-4"/>
        </w:rPr>
        <w:t xml:space="preserve"> </w:t>
      </w:r>
      <w:r>
        <w:t>were</w:t>
      </w:r>
      <w:r>
        <w:rPr>
          <w:spacing w:val="-4"/>
        </w:rPr>
        <w:t xml:space="preserve"> </w:t>
      </w:r>
      <w:r>
        <w:t>unable</w:t>
      </w:r>
      <w:r>
        <w:rPr>
          <w:spacing w:val="-4"/>
        </w:rPr>
        <w:t xml:space="preserve"> </w:t>
      </w:r>
      <w:r>
        <w:t>to</w:t>
      </w:r>
      <w:r>
        <w:rPr>
          <w:spacing w:val="-3"/>
        </w:rPr>
        <w:t xml:space="preserve"> </w:t>
      </w:r>
      <w:r>
        <w:t>access,</w:t>
      </w:r>
      <w:r>
        <w:rPr>
          <w:spacing w:val="-4"/>
        </w:rPr>
        <w:t xml:space="preserve"> </w:t>
      </w:r>
      <w:r>
        <w:t>basic</w:t>
      </w:r>
      <w:r>
        <w:rPr>
          <w:spacing w:val="-4"/>
        </w:rPr>
        <w:t xml:space="preserve"> </w:t>
      </w:r>
      <w:r>
        <w:t>services</w:t>
      </w:r>
      <w:r>
        <w:rPr>
          <w:spacing w:val="-4"/>
        </w:rPr>
        <w:t xml:space="preserve"> </w:t>
      </w:r>
      <w:r>
        <w:t>to</w:t>
      </w:r>
      <w:r>
        <w:rPr>
          <w:spacing w:val="-5"/>
        </w:rPr>
        <w:t xml:space="preserve"> </w:t>
      </w:r>
      <w:r>
        <w:t>meet</w:t>
      </w:r>
      <w:r>
        <w:rPr>
          <w:spacing w:val="-4"/>
        </w:rPr>
        <w:t xml:space="preserve"> </w:t>
      </w:r>
      <w:r>
        <w:t>their</w:t>
      </w:r>
      <w:r>
        <w:rPr>
          <w:spacing w:val="-4"/>
        </w:rPr>
        <w:t xml:space="preserve"> </w:t>
      </w:r>
      <w:r>
        <w:t>needs.</w:t>
      </w:r>
      <w:r>
        <w:rPr>
          <w:spacing w:val="-5"/>
        </w:rPr>
        <w:t xml:space="preserve"> </w:t>
      </w:r>
      <w:r>
        <w:t>Furthermore,</w:t>
      </w:r>
      <w:r>
        <w:rPr>
          <w:spacing w:val="-4"/>
        </w:rPr>
        <w:t xml:space="preserve"> </w:t>
      </w:r>
      <w:r>
        <w:t>59%</w:t>
      </w:r>
      <w:r>
        <w:rPr>
          <w:spacing w:val="-6"/>
        </w:rPr>
        <w:t xml:space="preserve"> </w:t>
      </w:r>
      <w:r>
        <w:t>of</w:t>
      </w:r>
      <w:r>
        <w:rPr>
          <w:spacing w:val="-7"/>
        </w:rPr>
        <w:t xml:space="preserve"> </w:t>
      </w:r>
      <w:r>
        <w:t>Deaf</w:t>
      </w:r>
      <w:r>
        <w:rPr>
          <w:spacing w:val="-7"/>
        </w:rPr>
        <w:t xml:space="preserve"> </w:t>
      </w:r>
      <w:r>
        <w:t>LGBTQ youth reported incidents of discrimination based on their gender identity or sexual orientation which is nearly 20% more than hearing youth; 1 in 2 Deaf LGBTQ youth (55%) reported that they seriously con</w:t>
      </w:r>
      <w:r>
        <w:t>sidered suicide in the past year and 1 in 4 (26%) attempted suicide.</w:t>
      </w:r>
      <w:hyperlink w:anchor="_bookmark888" w:history="1">
        <w:r>
          <w:rPr>
            <w:vertAlign w:val="superscript"/>
          </w:rPr>
          <w:t>4</w:t>
        </w:r>
      </w:hyperlink>
    </w:p>
    <w:p w:rsidR="00200FDA" w:rsidRDefault="00200FDA">
      <w:pPr>
        <w:spacing w:line="276" w:lineRule="auto"/>
        <w:jc w:val="both"/>
        <w:sectPr w:rsidR="00200FDA">
          <w:headerReference w:type="default" r:id="rId828"/>
          <w:footerReference w:type="default" r:id="rId829"/>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79" w:right="277"/>
        <w:jc w:val="both"/>
      </w:pPr>
      <w:r>
        <w:t>Additionally, accurate, culturally competent, and accessible sexual health education and information is often lacking for Deaf and</w:t>
      </w:r>
      <w:r>
        <w:rPr>
          <w:spacing w:val="-2"/>
        </w:rPr>
        <w:t xml:space="preserve"> </w:t>
      </w:r>
      <w:r>
        <w:t>hard of hearing youth. The Commission hopes to work further</w:t>
      </w:r>
      <w:r>
        <w:rPr>
          <w:spacing w:val="-1"/>
        </w:rPr>
        <w:t xml:space="preserve"> </w:t>
      </w:r>
      <w:r>
        <w:t>on this issue as it prioritizes sexual health education in the co</w:t>
      </w:r>
      <w:r>
        <w:t>ming FY 2024 year.</w:t>
      </w:r>
    </w:p>
    <w:p w:rsidR="00200FDA" w:rsidRDefault="00200FDA">
      <w:pPr>
        <w:pStyle w:val="BodyText"/>
      </w:pPr>
    </w:p>
    <w:p w:rsidR="00200FDA" w:rsidRDefault="00200FDA">
      <w:pPr>
        <w:pStyle w:val="BodyText"/>
        <w:spacing w:before="1"/>
        <w:rPr>
          <w:sz w:val="19"/>
        </w:rPr>
      </w:pPr>
    </w:p>
    <w:p w:rsidR="00200FDA" w:rsidRDefault="00F76C4C">
      <w:pPr>
        <w:pStyle w:val="Heading8"/>
        <w:ind w:left="280"/>
      </w:pPr>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spacing w:before="8"/>
        <w:rPr>
          <w:sz w:val="19"/>
        </w:rPr>
      </w:pPr>
    </w:p>
    <w:p w:rsidR="00200FDA" w:rsidRDefault="00F76C4C">
      <w:pPr>
        <w:pStyle w:val="BodyText"/>
        <w:spacing w:line="276" w:lineRule="auto"/>
        <w:ind w:left="280" w:right="270"/>
        <w:jc w:val="both"/>
      </w:pPr>
      <w:r>
        <w:t>The Commission has been pleased to meet three times with MCDHH this past fiscal year to learn more about the essential services it provides with Deaf and hard of hearing youth in the Commonwealth. Commission</w:t>
      </w:r>
      <w:r>
        <w:rPr>
          <w:spacing w:val="-4"/>
        </w:rPr>
        <w:t xml:space="preserve"> </w:t>
      </w:r>
      <w:r>
        <w:t>staff</w:t>
      </w:r>
      <w:r>
        <w:rPr>
          <w:spacing w:val="-4"/>
        </w:rPr>
        <w:t xml:space="preserve"> </w:t>
      </w:r>
      <w:r>
        <w:t>were</w:t>
      </w:r>
      <w:r>
        <w:rPr>
          <w:spacing w:val="-3"/>
        </w:rPr>
        <w:t xml:space="preserve"> </w:t>
      </w:r>
      <w:r>
        <w:t>delighted</w:t>
      </w:r>
      <w:r>
        <w:rPr>
          <w:spacing w:val="-4"/>
        </w:rPr>
        <w:t xml:space="preserve"> </w:t>
      </w:r>
      <w:r>
        <w:t>by</w:t>
      </w:r>
      <w:r>
        <w:rPr>
          <w:spacing w:val="-2"/>
        </w:rPr>
        <w:t xml:space="preserve"> </w:t>
      </w:r>
      <w:r>
        <w:t>the</w:t>
      </w:r>
      <w:r>
        <w:rPr>
          <w:spacing w:val="-5"/>
        </w:rPr>
        <w:t xml:space="preserve"> </w:t>
      </w:r>
      <w:r>
        <w:t>opportunity</w:t>
      </w:r>
      <w:r>
        <w:rPr>
          <w:spacing w:val="-5"/>
        </w:rPr>
        <w:t xml:space="preserve"> </w:t>
      </w:r>
      <w:r>
        <w:t>to</w:t>
      </w:r>
      <w:r>
        <w:rPr>
          <w:spacing w:val="-4"/>
        </w:rPr>
        <w:t xml:space="preserve"> </w:t>
      </w:r>
      <w:r>
        <w:t>meet</w:t>
      </w:r>
      <w:r>
        <w:rPr>
          <w:spacing w:val="-3"/>
        </w:rPr>
        <w:t xml:space="preserve"> </w:t>
      </w:r>
      <w:r>
        <w:t>with</w:t>
      </w:r>
      <w:r>
        <w:rPr>
          <w:spacing w:val="-6"/>
        </w:rPr>
        <w:t xml:space="preserve"> </w:t>
      </w:r>
      <w:r>
        <w:t>MCDHH</w:t>
      </w:r>
      <w:r>
        <w:rPr>
          <w:spacing w:val="-4"/>
        </w:rPr>
        <w:t xml:space="preserve"> </w:t>
      </w:r>
      <w:r>
        <w:t>youth</w:t>
      </w:r>
      <w:r>
        <w:rPr>
          <w:spacing w:val="-6"/>
        </w:rPr>
        <w:t xml:space="preserve"> </w:t>
      </w:r>
      <w:r>
        <w:t>specialists</w:t>
      </w:r>
      <w:r>
        <w:rPr>
          <w:spacing w:val="-3"/>
        </w:rPr>
        <w:t xml:space="preserve"> </w:t>
      </w:r>
      <w:r>
        <w:t>in</w:t>
      </w:r>
      <w:r>
        <w:rPr>
          <w:spacing w:val="-6"/>
        </w:rPr>
        <w:t xml:space="preserve"> </w:t>
      </w:r>
      <w:r>
        <w:t>October</w:t>
      </w:r>
      <w:r>
        <w:rPr>
          <w:spacing w:val="-6"/>
        </w:rPr>
        <w:t xml:space="preserve"> </w:t>
      </w:r>
      <w:r>
        <w:t>of 2022 to learn more about the ongoing work and need for youth in their care. The specialists work to provide support around education and communication in schools and hospi</w:t>
      </w:r>
      <w:r>
        <w:t>tals for youth under the age of 23; MCDHH specialists also work to provide support to families and their youth. Overwhelmingly, the specialists noted that more resources and support for youth workers, families, and youth themselves is needed</w:t>
      </w:r>
      <w:r>
        <w:rPr>
          <w:spacing w:val="-10"/>
        </w:rPr>
        <w:t xml:space="preserve"> </w:t>
      </w:r>
      <w:r>
        <w:t>in</w:t>
      </w:r>
      <w:r>
        <w:rPr>
          <w:spacing w:val="-10"/>
        </w:rPr>
        <w:t xml:space="preserve"> </w:t>
      </w:r>
      <w:r>
        <w:t>the</w:t>
      </w:r>
      <w:r>
        <w:rPr>
          <w:spacing w:val="-8"/>
        </w:rPr>
        <w:t xml:space="preserve"> </w:t>
      </w:r>
      <w:r>
        <w:t>Commonwealth.</w:t>
      </w:r>
      <w:r>
        <w:rPr>
          <w:spacing w:val="-9"/>
        </w:rPr>
        <w:t xml:space="preserve"> </w:t>
      </w:r>
      <w:r>
        <w:t>One</w:t>
      </w:r>
      <w:r>
        <w:rPr>
          <w:spacing w:val="-8"/>
        </w:rPr>
        <w:t xml:space="preserve"> </w:t>
      </w:r>
      <w:r>
        <w:t>particular</w:t>
      </w:r>
      <w:r>
        <w:rPr>
          <w:spacing w:val="-9"/>
        </w:rPr>
        <w:t xml:space="preserve"> </w:t>
      </w:r>
      <w:r>
        <w:t>area</w:t>
      </w:r>
      <w:r>
        <w:rPr>
          <w:spacing w:val="-9"/>
        </w:rPr>
        <w:t xml:space="preserve"> </w:t>
      </w:r>
      <w:r>
        <w:t>that</w:t>
      </w:r>
      <w:r>
        <w:rPr>
          <w:spacing w:val="-9"/>
        </w:rPr>
        <w:t xml:space="preserve"> </w:t>
      </w:r>
      <w:r>
        <w:t>was</w:t>
      </w:r>
      <w:r>
        <w:rPr>
          <w:spacing w:val="-9"/>
        </w:rPr>
        <w:t xml:space="preserve"> </w:t>
      </w:r>
      <w:r>
        <w:t>noted</w:t>
      </w:r>
      <w:r>
        <w:rPr>
          <w:spacing w:val="-12"/>
        </w:rPr>
        <w:t xml:space="preserve"> </w:t>
      </w:r>
      <w:r>
        <w:t>was</w:t>
      </w:r>
      <w:r>
        <w:rPr>
          <w:spacing w:val="-9"/>
        </w:rPr>
        <w:t xml:space="preserve"> </w:t>
      </w:r>
      <w:r>
        <w:t>the</w:t>
      </w:r>
      <w:r>
        <w:rPr>
          <w:spacing w:val="-8"/>
        </w:rPr>
        <w:t xml:space="preserve"> </w:t>
      </w:r>
      <w:r>
        <w:t>need</w:t>
      </w:r>
      <w:r>
        <w:rPr>
          <w:spacing w:val="-12"/>
        </w:rPr>
        <w:t xml:space="preserve"> </w:t>
      </w:r>
      <w:r>
        <w:t>for</w:t>
      </w:r>
      <w:r>
        <w:rPr>
          <w:spacing w:val="-9"/>
        </w:rPr>
        <w:t xml:space="preserve"> </w:t>
      </w:r>
      <w:r>
        <w:t>LGBTQ</w:t>
      </w:r>
      <w:r>
        <w:rPr>
          <w:spacing w:val="-9"/>
        </w:rPr>
        <w:t xml:space="preserve"> </w:t>
      </w:r>
      <w:r>
        <w:t>resources</w:t>
      </w:r>
      <w:r>
        <w:rPr>
          <w:spacing w:val="-9"/>
        </w:rPr>
        <w:t xml:space="preserve"> </w:t>
      </w:r>
      <w:r>
        <w:t xml:space="preserve">and support for children of deaf adults (CODAs), who often feel as though they don’t fit in Deaf or hearing </w:t>
      </w:r>
      <w:r>
        <w:rPr>
          <w:spacing w:val="-2"/>
        </w:rPr>
        <w:t>communities.</w:t>
      </w:r>
    </w:p>
    <w:p w:rsidR="00200FDA" w:rsidRDefault="00200FDA">
      <w:pPr>
        <w:pStyle w:val="BodyText"/>
        <w:spacing w:before="8"/>
        <w:rPr>
          <w:sz w:val="19"/>
        </w:rPr>
      </w:pPr>
    </w:p>
    <w:p w:rsidR="00200FDA" w:rsidRDefault="00F76C4C">
      <w:pPr>
        <w:pStyle w:val="BodyText"/>
        <w:spacing w:line="276" w:lineRule="auto"/>
        <w:ind w:left="280" w:right="271"/>
        <w:jc w:val="both"/>
      </w:pPr>
      <w:r>
        <w:t>The</w:t>
      </w:r>
      <w:r>
        <w:rPr>
          <w:spacing w:val="-8"/>
        </w:rPr>
        <w:t xml:space="preserve"> </w:t>
      </w:r>
      <w:r>
        <w:t>Commission</w:t>
      </w:r>
      <w:r>
        <w:rPr>
          <w:spacing w:val="-10"/>
        </w:rPr>
        <w:t xml:space="preserve"> </w:t>
      </w:r>
      <w:r>
        <w:t>looks</w:t>
      </w:r>
      <w:r>
        <w:rPr>
          <w:spacing w:val="-9"/>
        </w:rPr>
        <w:t xml:space="preserve"> </w:t>
      </w:r>
      <w:r>
        <w:t>forward</w:t>
      </w:r>
      <w:r>
        <w:rPr>
          <w:spacing w:val="-10"/>
        </w:rPr>
        <w:t xml:space="preserve"> </w:t>
      </w:r>
      <w:r>
        <w:t>to</w:t>
      </w:r>
      <w:r>
        <w:rPr>
          <w:spacing w:val="-10"/>
        </w:rPr>
        <w:t xml:space="preserve"> </w:t>
      </w:r>
      <w:r>
        <w:t>working</w:t>
      </w:r>
      <w:r>
        <w:rPr>
          <w:spacing w:val="-10"/>
        </w:rPr>
        <w:t xml:space="preserve"> </w:t>
      </w:r>
      <w:r>
        <w:t>with</w:t>
      </w:r>
      <w:r>
        <w:rPr>
          <w:spacing w:val="-10"/>
        </w:rPr>
        <w:t xml:space="preserve"> </w:t>
      </w:r>
      <w:r>
        <w:t>MCDHH</w:t>
      </w:r>
      <w:r>
        <w:rPr>
          <w:spacing w:val="-10"/>
        </w:rPr>
        <w:t xml:space="preserve"> </w:t>
      </w:r>
      <w:r>
        <w:t>t</w:t>
      </w:r>
      <w:r>
        <w:t>o</w:t>
      </w:r>
      <w:r>
        <w:rPr>
          <w:spacing w:val="-8"/>
        </w:rPr>
        <w:t xml:space="preserve"> </w:t>
      </w:r>
      <w:r>
        <w:t>address</w:t>
      </w:r>
      <w:r>
        <w:rPr>
          <w:spacing w:val="-9"/>
        </w:rPr>
        <w:t xml:space="preserve"> </w:t>
      </w:r>
      <w:r>
        <w:t>these</w:t>
      </w:r>
      <w:r>
        <w:rPr>
          <w:spacing w:val="-11"/>
        </w:rPr>
        <w:t xml:space="preserve"> </w:t>
      </w:r>
      <w:r>
        <w:t>concerns</w:t>
      </w:r>
      <w:r>
        <w:rPr>
          <w:spacing w:val="-9"/>
        </w:rPr>
        <w:t xml:space="preserve"> </w:t>
      </w:r>
      <w:r>
        <w:t>and</w:t>
      </w:r>
      <w:r>
        <w:rPr>
          <w:spacing w:val="-10"/>
        </w:rPr>
        <w:t xml:space="preserve"> </w:t>
      </w:r>
      <w:r>
        <w:t>to</w:t>
      </w:r>
      <w:r>
        <w:rPr>
          <w:spacing w:val="-10"/>
        </w:rPr>
        <w:t xml:space="preserve"> </w:t>
      </w:r>
      <w:r>
        <w:t>improve</w:t>
      </w:r>
      <w:r>
        <w:rPr>
          <w:spacing w:val="-8"/>
        </w:rPr>
        <w:t xml:space="preserve"> </w:t>
      </w:r>
      <w:r>
        <w:t>its</w:t>
      </w:r>
      <w:r>
        <w:rPr>
          <w:spacing w:val="-11"/>
        </w:rPr>
        <w:t xml:space="preserve"> </w:t>
      </w:r>
      <w:r>
        <w:t>own work in becoming more accessible for all LGBTQ communities in the Commonwealth in FY 2024. Given the</w:t>
      </w:r>
      <w:r>
        <w:rPr>
          <w:spacing w:val="-4"/>
        </w:rPr>
        <w:t xml:space="preserve"> </w:t>
      </w:r>
      <w:r>
        <w:t>serious</w:t>
      </w:r>
      <w:r>
        <w:rPr>
          <w:spacing w:val="-4"/>
        </w:rPr>
        <w:t xml:space="preserve"> </w:t>
      </w:r>
      <w:r>
        <w:t>lack</w:t>
      </w:r>
      <w:r>
        <w:rPr>
          <w:spacing w:val="-5"/>
        </w:rPr>
        <w:t xml:space="preserve"> </w:t>
      </w:r>
      <w:r>
        <w:t>of</w:t>
      </w:r>
      <w:r>
        <w:rPr>
          <w:spacing w:val="-4"/>
        </w:rPr>
        <w:t xml:space="preserve"> </w:t>
      </w:r>
      <w:r>
        <w:t>available</w:t>
      </w:r>
      <w:r>
        <w:rPr>
          <w:spacing w:val="-5"/>
        </w:rPr>
        <w:t xml:space="preserve"> </w:t>
      </w:r>
      <w:r>
        <w:t>Massachusetts-specific</w:t>
      </w:r>
      <w:r>
        <w:rPr>
          <w:spacing w:val="-6"/>
        </w:rPr>
        <w:t xml:space="preserve"> </w:t>
      </w:r>
      <w:r>
        <w:t>data</w:t>
      </w:r>
      <w:r>
        <w:rPr>
          <w:spacing w:val="-4"/>
        </w:rPr>
        <w:t xml:space="preserve"> </w:t>
      </w:r>
      <w:r>
        <w:t>on</w:t>
      </w:r>
      <w:r>
        <w:rPr>
          <w:spacing w:val="-4"/>
        </w:rPr>
        <w:t xml:space="preserve"> </w:t>
      </w:r>
      <w:r>
        <w:t>the</w:t>
      </w:r>
      <w:r>
        <w:rPr>
          <w:spacing w:val="-4"/>
        </w:rPr>
        <w:t xml:space="preserve"> </w:t>
      </w:r>
      <w:r>
        <w:t>needs</w:t>
      </w:r>
      <w:r>
        <w:rPr>
          <w:spacing w:val="-4"/>
        </w:rPr>
        <w:t xml:space="preserve"> </w:t>
      </w:r>
      <w:r>
        <w:t>of</w:t>
      </w:r>
      <w:r>
        <w:rPr>
          <w:spacing w:val="-6"/>
        </w:rPr>
        <w:t xml:space="preserve"> </w:t>
      </w:r>
      <w:r>
        <w:t>Deaf</w:t>
      </w:r>
      <w:r>
        <w:rPr>
          <w:spacing w:val="-4"/>
        </w:rPr>
        <w:t xml:space="preserve"> </w:t>
      </w:r>
      <w:r>
        <w:t>and</w:t>
      </w:r>
      <w:r>
        <w:rPr>
          <w:spacing w:val="-6"/>
        </w:rPr>
        <w:t xml:space="preserve"> </w:t>
      </w:r>
      <w:r>
        <w:t>hard</w:t>
      </w:r>
      <w:r>
        <w:rPr>
          <w:spacing w:val="-4"/>
        </w:rPr>
        <w:t xml:space="preserve"> </w:t>
      </w:r>
      <w:r>
        <w:t>of</w:t>
      </w:r>
      <w:r>
        <w:rPr>
          <w:spacing w:val="-4"/>
        </w:rPr>
        <w:t xml:space="preserve"> </w:t>
      </w:r>
      <w:r>
        <w:t>hearing</w:t>
      </w:r>
      <w:r>
        <w:rPr>
          <w:spacing w:val="-6"/>
        </w:rPr>
        <w:t xml:space="preserve"> </w:t>
      </w:r>
      <w:r>
        <w:t>LGBTQ youth and families, the Commission hopes to partner with MCDHH, organizations, and policymakers to address significant gaps in service provision and support.</w:t>
      </w:r>
    </w:p>
    <w:p w:rsidR="00200FDA" w:rsidRDefault="00200FDA">
      <w:pPr>
        <w:pStyle w:val="BodyText"/>
        <w:spacing w:before="10"/>
        <w:rPr>
          <w:sz w:val="32"/>
        </w:rPr>
      </w:pPr>
    </w:p>
    <w:p w:rsidR="00200FDA" w:rsidRDefault="00F76C4C">
      <w:pPr>
        <w:pStyle w:val="Heading7"/>
        <w:jc w:val="both"/>
      </w:pPr>
      <w:r>
        <w:pict>
          <v:rect id="docshape555" o:spid="_x0000_s1079" style="position:absolute;left:0;text-align:left;margin-left:70.55pt;margin-top:18.15pt;width:470.9pt;height:.5pt;z-index:-15617024;mso-wrap-distance-left:0;mso-wrap-distance-right:0;mso-position-horizontal-relative:page" fillcolor="#4f81bc" stroked="f">
            <w10:wrap type="topAndBottom" anchorx="page"/>
          </v:rect>
        </w:pict>
      </w:r>
      <w:bookmarkStart w:id="1117" w:name="FY_2024_Expanded_MCDHH_Recommendations"/>
      <w:bookmarkEnd w:id="1117"/>
      <w:r>
        <w:rPr>
          <w:color w:val="365F91"/>
        </w:rPr>
        <w:t>FY</w:t>
      </w:r>
      <w:r>
        <w:rPr>
          <w:color w:val="365F91"/>
          <w:spacing w:val="-4"/>
        </w:rPr>
        <w:t xml:space="preserve"> </w:t>
      </w:r>
      <w:r>
        <w:rPr>
          <w:color w:val="365F91"/>
        </w:rPr>
        <w:t>2024</w:t>
      </w:r>
      <w:r>
        <w:rPr>
          <w:color w:val="365F91"/>
          <w:spacing w:val="-5"/>
        </w:rPr>
        <w:t xml:space="preserve"> </w:t>
      </w:r>
      <w:r>
        <w:rPr>
          <w:color w:val="365F91"/>
        </w:rPr>
        <w:t>Expanded</w:t>
      </w:r>
      <w:r>
        <w:rPr>
          <w:color w:val="365F91"/>
          <w:spacing w:val="-2"/>
        </w:rPr>
        <w:t xml:space="preserve"> </w:t>
      </w:r>
      <w:r>
        <w:rPr>
          <w:color w:val="365F91"/>
        </w:rPr>
        <w:t>MCDHH</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14"/>
        </w:numPr>
        <w:tabs>
          <w:tab w:val="left" w:pos="501"/>
        </w:tabs>
        <w:spacing w:before="56"/>
      </w:pPr>
      <w:r>
        <w:t>Review</w:t>
      </w:r>
      <w:r>
        <w:rPr>
          <w:spacing w:val="-5"/>
        </w:rPr>
        <w:t xml:space="preserve"> </w:t>
      </w:r>
      <w:r>
        <w:t>and</w:t>
      </w:r>
      <w:r>
        <w:rPr>
          <w:spacing w:val="-5"/>
        </w:rPr>
        <w:t xml:space="preserve"> </w:t>
      </w:r>
      <w:r>
        <w:t>continue</w:t>
      </w:r>
      <w:r>
        <w:rPr>
          <w:spacing w:val="-3"/>
        </w:rPr>
        <w:t xml:space="preserve"> </w:t>
      </w:r>
      <w:r>
        <w:t>to</w:t>
      </w:r>
      <w:r>
        <w:rPr>
          <w:spacing w:val="-6"/>
        </w:rPr>
        <w:t xml:space="preserve"> </w:t>
      </w:r>
      <w:r>
        <w:t>evaluate</w:t>
      </w:r>
      <w:r>
        <w:rPr>
          <w:spacing w:val="-4"/>
        </w:rPr>
        <w:t xml:space="preserve"> </w:t>
      </w:r>
      <w:r>
        <w:t>how</w:t>
      </w:r>
      <w:r>
        <w:rPr>
          <w:spacing w:val="-2"/>
        </w:rPr>
        <w:t xml:space="preserve"> </w:t>
      </w:r>
      <w:r>
        <w:t>to</w:t>
      </w:r>
      <w:r>
        <w:rPr>
          <w:spacing w:val="-4"/>
        </w:rPr>
        <w:t xml:space="preserve"> </w:t>
      </w:r>
      <w:r>
        <w:t>add</w:t>
      </w:r>
      <w:r>
        <w:rPr>
          <w:spacing w:val="-4"/>
        </w:rPr>
        <w:t xml:space="preserve"> </w:t>
      </w:r>
      <w:r>
        <w:t>to</w:t>
      </w:r>
      <w:r>
        <w:rPr>
          <w:spacing w:val="-4"/>
        </w:rPr>
        <w:t xml:space="preserve"> </w:t>
      </w:r>
      <w:r>
        <w:t>data</w:t>
      </w:r>
      <w:r>
        <w:rPr>
          <w:spacing w:val="-4"/>
        </w:rPr>
        <w:t xml:space="preserve"> </w:t>
      </w:r>
      <w:r>
        <w:t>on</w:t>
      </w:r>
      <w:r>
        <w:rPr>
          <w:spacing w:val="-4"/>
        </w:rPr>
        <w:t xml:space="preserve"> </w:t>
      </w:r>
      <w:r>
        <w:t>sexual</w:t>
      </w:r>
      <w:r>
        <w:rPr>
          <w:spacing w:val="-2"/>
        </w:rPr>
        <w:t xml:space="preserve"> </w:t>
      </w:r>
      <w:r>
        <w:t>orientation</w:t>
      </w:r>
      <w:r>
        <w:rPr>
          <w:spacing w:val="-4"/>
        </w:rPr>
        <w:t xml:space="preserve"> </w:t>
      </w:r>
      <w:r>
        <w:t>and</w:t>
      </w:r>
      <w:r>
        <w:rPr>
          <w:spacing w:val="-4"/>
        </w:rPr>
        <w:t xml:space="preserve"> </w:t>
      </w:r>
      <w:r>
        <w:t>gender</w:t>
      </w:r>
      <w:r>
        <w:rPr>
          <w:spacing w:val="-2"/>
        </w:rPr>
        <w:t xml:space="preserve"> identity.</w:t>
      </w:r>
    </w:p>
    <w:p w:rsidR="00200FDA" w:rsidRDefault="00200FDA">
      <w:pPr>
        <w:pStyle w:val="BodyText"/>
        <w:spacing w:before="10"/>
        <w:rPr>
          <w:b/>
        </w:rPr>
      </w:pPr>
    </w:p>
    <w:p w:rsidR="00200FDA" w:rsidRDefault="00F76C4C">
      <w:pPr>
        <w:pStyle w:val="BodyText"/>
        <w:spacing w:line="276" w:lineRule="auto"/>
        <w:ind w:left="279" w:right="276"/>
        <w:jc w:val="both"/>
      </w:pPr>
      <w:r>
        <w:t>In 2019, MCDHH included in its client management database a nonbinary gender marker option. Due to the significant lack of available data on Massachusetts Deaf LGBTQ youth, the Commission hopes to see some d</w:t>
      </w:r>
      <w:r>
        <w:t>ata publicly available to ensure that the needs of these youth are appropriately being met.</w:t>
      </w:r>
    </w:p>
    <w:p w:rsidR="00200FDA" w:rsidRDefault="00200FDA">
      <w:pPr>
        <w:pStyle w:val="BodyText"/>
      </w:pPr>
    </w:p>
    <w:p w:rsidR="00200FDA" w:rsidRDefault="00200FDA">
      <w:pPr>
        <w:pStyle w:val="BodyText"/>
        <w:rPr>
          <w:sz w:val="23"/>
        </w:rPr>
      </w:pPr>
    </w:p>
    <w:p w:rsidR="00200FDA" w:rsidRDefault="00F76C4C">
      <w:pPr>
        <w:pStyle w:val="Heading9"/>
        <w:numPr>
          <w:ilvl w:val="0"/>
          <w:numId w:val="14"/>
        </w:numPr>
        <w:tabs>
          <w:tab w:val="left" w:pos="501"/>
        </w:tabs>
        <w:ind w:hanging="222"/>
      </w:pPr>
      <w:r>
        <w:t>Provide</w:t>
      </w:r>
      <w:r>
        <w:rPr>
          <w:spacing w:val="-7"/>
        </w:rPr>
        <w:t xml:space="preserve"> </w:t>
      </w:r>
      <w:r>
        <w:t>LGBTQ</w:t>
      </w:r>
      <w:r>
        <w:rPr>
          <w:spacing w:val="-7"/>
        </w:rPr>
        <w:t xml:space="preserve"> </w:t>
      </w:r>
      <w:r>
        <w:t>competency</w:t>
      </w:r>
      <w:r>
        <w:rPr>
          <w:spacing w:val="-6"/>
        </w:rPr>
        <w:t xml:space="preserve"> </w:t>
      </w:r>
      <w:r>
        <w:t>training</w:t>
      </w:r>
      <w:r>
        <w:rPr>
          <w:spacing w:val="-4"/>
        </w:rPr>
        <w:t xml:space="preserve"> </w:t>
      </w:r>
      <w:r>
        <w:t>opportunities</w:t>
      </w:r>
      <w:r>
        <w:rPr>
          <w:spacing w:val="-6"/>
        </w:rPr>
        <w:t xml:space="preserve"> </w:t>
      </w:r>
      <w:r>
        <w:t>to</w:t>
      </w:r>
      <w:r>
        <w:rPr>
          <w:spacing w:val="-6"/>
        </w:rPr>
        <w:t xml:space="preserve"> </w:t>
      </w:r>
      <w:r>
        <w:t>staff</w:t>
      </w:r>
      <w:r>
        <w:rPr>
          <w:spacing w:val="-5"/>
        </w:rPr>
        <w:t xml:space="preserve"> </w:t>
      </w:r>
      <w:r>
        <w:t>and</w:t>
      </w:r>
      <w:r>
        <w:rPr>
          <w:spacing w:val="-5"/>
        </w:rPr>
        <w:t xml:space="preserve"> </w:t>
      </w:r>
      <w:r>
        <w:rPr>
          <w:spacing w:val="-2"/>
        </w:rPr>
        <w:t>providers.</w:t>
      </w:r>
    </w:p>
    <w:p w:rsidR="00200FDA" w:rsidRDefault="00200FDA">
      <w:pPr>
        <w:pStyle w:val="BodyText"/>
        <w:rPr>
          <w:b/>
          <w:sz w:val="23"/>
        </w:rPr>
      </w:pPr>
    </w:p>
    <w:p w:rsidR="00200FDA" w:rsidRDefault="00F76C4C">
      <w:pPr>
        <w:pStyle w:val="BodyText"/>
        <w:spacing w:before="1" w:line="276" w:lineRule="auto"/>
        <w:ind w:left="279" w:right="276"/>
        <w:jc w:val="both"/>
      </w:pPr>
      <w:r>
        <w:t>The Commission recommends that MCDHH develop opportunities for staff around LGBTQ cultural competency trainings. While MCDHH has previously noted that internal materials have been routinely circulated to staff, the last training opportunity for all staff w</w:t>
      </w:r>
      <w:r>
        <w:t>as in 2016.</w:t>
      </w:r>
    </w:p>
    <w:p w:rsidR="00200FDA" w:rsidRDefault="00200FDA">
      <w:pPr>
        <w:pStyle w:val="BodyText"/>
        <w:spacing w:before="7"/>
        <w:rPr>
          <w:sz w:val="19"/>
        </w:rPr>
      </w:pPr>
    </w:p>
    <w:p w:rsidR="00200FDA" w:rsidRDefault="00F76C4C">
      <w:pPr>
        <w:pStyle w:val="Heading9"/>
        <w:numPr>
          <w:ilvl w:val="0"/>
          <w:numId w:val="14"/>
        </w:numPr>
        <w:tabs>
          <w:tab w:val="left" w:pos="501"/>
        </w:tabs>
        <w:ind w:hanging="222"/>
      </w:pPr>
      <w:r>
        <w:t>Partner</w:t>
      </w:r>
      <w:r>
        <w:rPr>
          <w:spacing w:val="-8"/>
        </w:rPr>
        <w:t xml:space="preserve"> </w:t>
      </w:r>
      <w:r>
        <w:t>with</w:t>
      </w:r>
      <w:r>
        <w:rPr>
          <w:spacing w:val="-5"/>
        </w:rPr>
        <w:t xml:space="preserve"> </w:t>
      </w:r>
      <w:r>
        <w:t>the</w:t>
      </w:r>
      <w:r>
        <w:rPr>
          <w:spacing w:val="-3"/>
        </w:rPr>
        <w:t xml:space="preserve"> </w:t>
      </w:r>
      <w:r>
        <w:t>Commission</w:t>
      </w:r>
      <w:r>
        <w:rPr>
          <w:spacing w:val="-5"/>
        </w:rPr>
        <w:t xml:space="preserve"> </w:t>
      </w:r>
      <w:r>
        <w:t>to</w:t>
      </w:r>
      <w:r>
        <w:rPr>
          <w:spacing w:val="-7"/>
        </w:rPr>
        <w:t xml:space="preserve"> </w:t>
      </w:r>
      <w:r>
        <w:t>collaborate</w:t>
      </w:r>
      <w:r>
        <w:rPr>
          <w:spacing w:val="-4"/>
        </w:rPr>
        <w:t xml:space="preserve"> </w:t>
      </w:r>
      <w:r>
        <w:t>on</w:t>
      </w:r>
      <w:r>
        <w:rPr>
          <w:spacing w:val="-5"/>
        </w:rPr>
        <w:t xml:space="preserve"> </w:t>
      </w:r>
      <w:r>
        <w:t>resource</w:t>
      </w:r>
      <w:r>
        <w:rPr>
          <w:spacing w:val="-4"/>
        </w:rPr>
        <w:t xml:space="preserve"> </w:t>
      </w:r>
      <w:r>
        <w:rPr>
          <w:spacing w:val="-2"/>
        </w:rPr>
        <w:t>development.</w:t>
      </w:r>
    </w:p>
    <w:p w:rsidR="00200FDA" w:rsidRDefault="00200FDA">
      <w:pPr>
        <w:pStyle w:val="BodyText"/>
        <w:rPr>
          <w:b/>
          <w:sz w:val="23"/>
        </w:rPr>
      </w:pPr>
    </w:p>
    <w:p w:rsidR="00200FDA" w:rsidRDefault="00F76C4C">
      <w:pPr>
        <w:pStyle w:val="BodyText"/>
        <w:spacing w:before="1" w:line="273" w:lineRule="auto"/>
        <w:ind w:left="279" w:right="276"/>
        <w:jc w:val="both"/>
      </w:pPr>
      <w:r>
        <w:t>The Commission appreciates the broad range of resources that MCDHH provides for youth across the Commonwealth.</w:t>
      </w:r>
      <w:r>
        <w:rPr>
          <w:spacing w:val="-5"/>
        </w:rPr>
        <w:t xml:space="preserve"> </w:t>
      </w:r>
      <w:r>
        <w:t>In</w:t>
      </w:r>
      <w:r>
        <w:rPr>
          <w:spacing w:val="-7"/>
        </w:rPr>
        <w:t xml:space="preserve"> </w:t>
      </w:r>
      <w:r>
        <w:t>early</w:t>
      </w:r>
      <w:r>
        <w:rPr>
          <w:spacing w:val="-6"/>
        </w:rPr>
        <w:t xml:space="preserve"> </w:t>
      </w:r>
      <w:r>
        <w:t>FY</w:t>
      </w:r>
      <w:r>
        <w:rPr>
          <w:spacing w:val="-6"/>
        </w:rPr>
        <w:t xml:space="preserve"> </w:t>
      </w:r>
      <w:r>
        <w:t>2023</w:t>
      </w:r>
      <w:r>
        <w:rPr>
          <w:spacing w:val="-6"/>
        </w:rPr>
        <w:t xml:space="preserve"> </w:t>
      </w:r>
      <w:r>
        <w:t>meetings</w:t>
      </w:r>
      <w:r>
        <w:rPr>
          <w:spacing w:val="-7"/>
        </w:rPr>
        <w:t xml:space="preserve"> </w:t>
      </w:r>
      <w:r>
        <w:t>with</w:t>
      </w:r>
      <w:r>
        <w:rPr>
          <w:spacing w:val="-7"/>
        </w:rPr>
        <w:t xml:space="preserve"> </w:t>
      </w:r>
      <w:r>
        <w:t>youth</w:t>
      </w:r>
      <w:r>
        <w:rPr>
          <w:spacing w:val="-7"/>
        </w:rPr>
        <w:t xml:space="preserve"> </w:t>
      </w:r>
      <w:r>
        <w:t>specialists,</w:t>
      </w:r>
      <w:r>
        <w:rPr>
          <w:spacing w:val="-7"/>
        </w:rPr>
        <w:t xml:space="preserve"> </w:t>
      </w:r>
      <w:r>
        <w:t>the</w:t>
      </w:r>
      <w:r>
        <w:rPr>
          <w:spacing w:val="-6"/>
        </w:rPr>
        <w:t xml:space="preserve"> </w:t>
      </w:r>
      <w:r>
        <w:t>Commissio</w:t>
      </w:r>
      <w:r>
        <w:t>n</w:t>
      </w:r>
      <w:r>
        <w:rPr>
          <w:spacing w:val="-8"/>
        </w:rPr>
        <w:t xml:space="preserve"> </w:t>
      </w:r>
      <w:r>
        <w:t>and</w:t>
      </w:r>
      <w:r>
        <w:rPr>
          <w:spacing w:val="-5"/>
        </w:rPr>
        <w:t xml:space="preserve"> </w:t>
      </w:r>
      <w:r>
        <w:t>MCDHH</w:t>
      </w:r>
      <w:r>
        <w:rPr>
          <w:spacing w:val="-5"/>
        </w:rPr>
        <w:t xml:space="preserve"> </w:t>
      </w:r>
      <w:r>
        <w:t>discussed</w:t>
      </w:r>
    </w:p>
    <w:p w:rsidR="00200FDA" w:rsidRDefault="00200FDA">
      <w:pPr>
        <w:spacing w:line="273"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79"/>
      </w:pPr>
      <w:r>
        <w:t>potential</w:t>
      </w:r>
      <w:r>
        <w:rPr>
          <w:spacing w:val="33"/>
        </w:rPr>
        <w:t xml:space="preserve"> </w:t>
      </w:r>
      <w:r>
        <w:t>collaborations</w:t>
      </w:r>
      <w:r>
        <w:rPr>
          <w:spacing w:val="33"/>
        </w:rPr>
        <w:t xml:space="preserve"> </w:t>
      </w:r>
      <w:r>
        <w:t>on</w:t>
      </w:r>
      <w:r>
        <w:rPr>
          <w:spacing w:val="35"/>
        </w:rPr>
        <w:t xml:space="preserve"> </w:t>
      </w:r>
      <w:r>
        <w:t>resource</w:t>
      </w:r>
      <w:r>
        <w:rPr>
          <w:spacing w:val="36"/>
        </w:rPr>
        <w:t xml:space="preserve"> </w:t>
      </w:r>
      <w:r>
        <w:t>development</w:t>
      </w:r>
      <w:r>
        <w:rPr>
          <w:spacing w:val="36"/>
        </w:rPr>
        <w:t xml:space="preserve"> </w:t>
      </w:r>
      <w:r>
        <w:t>for</w:t>
      </w:r>
      <w:r>
        <w:rPr>
          <w:spacing w:val="36"/>
        </w:rPr>
        <w:t xml:space="preserve"> </w:t>
      </w:r>
      <w:r>
        <w:t>LGBTQ</w:t>
      </w:r>
      <w:r>
        <w:rPr>
          <w:spacing w:val="34"/>
        </w:rPr>
        <w:t xml:space="preserve"> </w:t>
      </w:r>
      <w:r>
        <w:t>Deaf</w:t>
      </w:r>
      <w:r>
        <w:rPr>
          <w:spacing w:val="36"/>
        </w:rPr>
        <w:t xml:space="preserve"> </w:t>
      </w:r>
      <w:r>
        <w:t>and</w:t>
      </w:r>
      <w:r>
        <w:rPr>
          <w:spacing w:val="35"/>
        </w:rPr>
        <w:t xml:space="preserve"> </w:t>
      </w:r>
      <w:r>
        <w:t>hard-of-hearing</w:t>
      </w:r>
      <w:r>
        <w:rPr>
          <w:spacing w:val="35"/>
        </w:rPr>
        <w:t xml:space="preserve"> </w:t>
      </w:r>
      <w:r>
        <w:t>youth</w:t>
      </w:r>
      <w:r>
        <w:rPr>
          <w:spacing w:val="35"/>
        </w:rPr>
        <w:t xml:space="preserve"> </w:t>
      </w:r>
      <w:r>
        <w:t>in</w:t>
      </w:r>
      <w:r>
        <w:rPr>
          <w:spacing w:val="35"/>
        </w:rPr>
        <w:t xml:space="preserve"> </w:t>
      </w:r>
      <w:r>
        <w:t>the Commonwealth. The Commission looks forward to continuing this conversation in FY 2024.</w:t>
      </w:r>
    </w:p>
    <w:p w:rsidR="00200FDA" w:rsidRDefault="00200FDA">
      <w:pPr>
        <w:pStyle w:val="BodyText"/>
      </w:pPr>
    </w:p>
    <w:p w:rsidR="00200FDA" w:rsidRDefault="00200FDA">
      <w:pPr>
        <w:pStyle w:val="BodyText"/>
      </w:pPr>
    </w:p>
    <w:p w:rsidR="00200FDA" w:rsidRDefault="00200FDA">
      <w:pPr>
        <w:pStyle w:val="BodyText"/>
        <w:spacing w:before="7"/>
        <w:rPr>
          <w:sz w:val="20"/>
        </w:rPr>
      </w:pPr>
    </w:p>
    <w:p w:rsidR="00200FDA" w:rsidRDefault="00F76C4C">
      <w:pPr>
        <w:ind w:left="279"/>
        <w:rPr>
          <w:i/>
        </w:rPr>
      </w:pPr>
      <w:r>
        <w:rPr>
          <w:i/>
        </w:rPr>
        <w:t>Acknowledgments:</w:t>
      </w:r>
      <w:r>
        <w:rPr>
          <w:i/>
          <w:spacing w:val="-8"/>
        </w:rPr>
        <w:t xml:space="preserve"> </w:t>
      </w:r>
      <w:r>
        <w:rPr>
          <w:i/>
        </w:rPr>
        <w:t>The</w:t>
      </w:r>
      <w:r>
        <w:rPr>
          <w:i/>
          <w:spacing w:val="-4"/>
        </w:rPr>
        <w:t xml:space="preserve"> </w:t>
      </w:r>
      <w:r>
        <w:rPr>
          <w:i/>
        </w:rPr>
        <w:t>Commission</w:t>
      </w:r>
      <w:r>
        <w:rPr>
          <w:i/>
          <w:spacing w:val="-6"/>
        </w:rPr>
        <w:t xml:space="preserve"> </w:t>
      </w:r>
      <w:r>
        <w:rPr>
          <w:i/>
        </w:rPr>
        <w:t>thanks</w:t>
      </w:r>
      <w:r>
        <w:rPr>
          <w:i/>
          <w:spacing w:val="-6"/>
        </w:rPr>
        <w:t xml:space="preserve"> </w:t>
      </w:r>
      <w:r>
        <w:rPr>
          <w:i/>
        </w:rPr>
        <w:t>the</w:t>
      </w:r>
      <w:r>
        <w:rPr>
          <w:i/>
          <w:spacing w:val="-5"/>
        </w:rPr>
        <w:t xml:space="preserve"> </w:t>
      </w:r>
      <w:r>
        <w:rPr>
          <w:i/>
        </w:rPr>
        <w:t>contributions</w:t>
      </w:r>
      <w:r>
        <w:rPr>
          <w:i/>
          <w:spacing w:val="-3"/>
        </w:rPr>
        <w:t xml:space="preserve"> </w:t>
      </w:r>
      <w:r>
        <w:rPr>
          <w:i/>
        </w:rPr>
        <w:t>of</w:t>
      </w:r>
      <w:r>
        <w:rPr>
          <w:i/>
          <w:spacing w:val="-5"/>
        </w:rPr>
        <w:t xml:space="preserve"> </w:t>
      </w:r>
      <w:r>
        <w:rPr>
          <w:i/>
        </w:rPr>
        <w:t>its</w:t>
      </w:r>
      <w:r>
        <w:rPr>
          <w:i/>
          <w:spacing w:val="-6"/>
        </w:rPr>
        <w:t xml:space="preserve"> </w:t>
      </w:r>
      <w:r>
        <w:rPr>
          <w:i/>
        </w:rPr>
        <w:t>MCDHH</w:t>
      </w:r>
      <w:r>
        <w:rPr>
          <w:i/>
          <w:spacing w:val="-5"/>
        </w:rPr>
        <w:t xml:space="preserve"> </w:t>
      </w:r>
      <w:r>
        <w:rPr>
          <w:i/>
        </w:rPr>
        <w:t>staff</w:t>
      </w:r>
      <w:r>
        <w:rPr>
          <w:i/>
          <w:spacing w:val="-9"/>
        </w:rPr>
        <w:t xml:space="preserve"> </w:t>
      </w:r>
      <w:r>
        <w:rPr>
          <w:i/>
          <w:spacing w:val="-2"/>
        </w:rPr>
        <w:t>liaisons.</w:t>
      </w:r>
    </w:p>
    <w:p w:rsidR="00200FDA" w:rsidRDefault="00200FDA">
      <w:pPr>
        <w:pStyle w:val="BodyText"/>
        <w:rPr>
          <w:i/>
        </w:rPr>
      </w:pPr>
    </w:p>
    <w:p w:rsidR="00200FDA" w:rsidRDefault="00200FDA">
      <w:pPr>
        <w:pStyle w:val="BodyText"/>
        <w:rPr>
          <w:i/>
        </w:rPr>
      </w:pPr>
    </w:p>
    <w:p w:rsidR="00200FDA" w:rsidRDefault="00200FDA">
      <w:pPr>
        <w:pStyle w:val="BodyText"/>
        <w:rPr>
          <w:i/>
        </w:rPr>
      </w:pPr>
    </w:p>
    <w:p w:rsidR="00200FDA" w:rsidRDefault="00F76C4C">
      <w:pPr>
        <w:spacing w:before="152"/>
        <w:ind w:left="280" w:hanging="1"/>
        <w:rPr>
          <w:sz w:val="18"/>
        </w:rPr>
      </w:pPr>
      <w:bookmarkStart w:id="1118" w:name="_bookmark885"/>
      <w:bookmarkEnd w:id="1118"/>
      <w:r>
        <w:rPr>
          <w:position w:val="5"/>
          <w:sz w:val="12"/>
        </w:rPr>
        <w:t>1</w:t>
      </w:r>
      <w:r>
        <w:rPr>
          <w:spacing w:val="9"/>
          <w:position w:val="5"/>
          <w:sz w:val="12"/>
        </w:rPr>
        <w:t xml:space="preserve"> </w:t>
      </w:r>
      <w:r>
        <w:rPr>
          <w:sz w:val="18"/>
        </w:rPr>
        <w:t>Cara</w:t>
      </w:r>
      <w:r>
        <w:rPr>
          <w:spacing w:val="-3"/>
          <w:sz w:val="18"/>
        </w:rPr>
        <w:t xml:space="preserve"> </w:t>
      </w:r>
      <w:r>
        <w:rPr>
          <w:sz w:val="18"/>
        </w:rPr>
        <w:t>A.</w:t>
      </w:r>
      <w:r>
        <w:rPr>
          <w:spacing w:val="-3"/>
          <w:sz w:val="18"/>
        </w:rPr>
        <w:t xml:space="preserve"> </w:t>
      </w:r>
      <w:r>
        <w:rPr>
          <w:sz w:val="18"/>
        </w:rPr>
        <w:t>Miller, Andrew</w:t>
      </w:r>
      <w:r>
        <w:rPr>
          <w:spacing w:val="-2"/>
          <w:sz w:val="18"/>
        </w:rPr>
        <w:t xml:space="preserve"> </w:t>
      </w:r>
      <w:r>
        <w:rPr>
          <w:sz w:val="18"/>
        </w:rPr>
        <w:t>Biskupiak,</w:t>
      </w:r>
      <w:r>
        <w:rPr>
          <w:spacing w:val="-3"/>
          <w:sz w:val="18"/>
        </w:rPr>
        <w:t xml:space="preserve"> </w:t>
      </w:r>
      <w:r>
        <w:rPr>
          <w:sz w:val="18"/>
        </w:rPr>
        <w:t>and</w:t>
      </w:r>
      <w:r>
        <w:rPr>
          <w:spacing w:val="-4"/>
          <w:sz w:val="18"/>
        </w:rPr>
        <w:t xml:space="preserve"> </w:t>
      </w:r>
      <w:r>
        <w:rPr>
          <w:sz w:val="18"/>
        </w:rPr>
        <w:t>Poorna</w:t>
      </w:r>
      <w:r>
        <w:rPr>
          <w:spacing w:val="-3"/>
          <w:sz w:val="18"/>
        </w:rPr>
        <w:t xml:space="preserve"> </w:t>
      </w:r>
      <w:r>
        <w:rPr>
          <w:sz w:val="18"/>
        </w:rPr>
        <w:t>Kushalnagar,</w:t>
      </w:r>
      <w:r>
        <w:rPr>
          <w:spacing w:val="-3"/>
          <w:sz w:val="18"/>
        </w:rPr>
        <w:t xml:space="preserve"> </w:t>
      </w:r>
      <w:r>
        <w:rPr>
          <w:sz w:val="18"/>
        </w:rPr>
        <w:t>“Deaf</w:t>
      </w:r>
      <w:r>
        <w:rPr>
          <w:spacing w:val="-1"/>
          <w:sz w:val="18"/>
        </w:rPr>
        <w:t xml:space="preserve"> </w:t>
      </w:r>
      <w:r>
        <w:rPr>
          <w:sz w:val="18"/>
        </w:rPr>
        <w:t>LGBTQ</w:t>
      </w:r>
      <w:r>
        <w:rPr>
          <w:spacing w:val="-4"/>
          <w:sz w:val="18"/>
        </w:rPr>
        <w:t xml:space="preserve"> </w:t>
      </w:r>
      <w:r>
        <w:rPr>
          <w:sz w:val="18"/>
        </w:rPr>
        <w:t>Patients’</w:t>
      </w:r>
      <w:r>
        <w:rPr>
          <w:spacing w:val="-3"/>
          <w:sz w:val="18"/>
        </w:rPr>
        <w:t xml:space="preserve"> </w:t>
      </w:r>
      <w:r>
        <w:rPr>
          <w:sz w:val="18"/>
        </w:rPr>
        <w:t>Disclosure</w:t>
      </w:r>
      <w:r>
        <w:rPr>
          <w:spacing w:val="-4"/>
          <w:sz w:val="18"/>
        </w:rPr>
        <w:t xml:space="preserve"> </w:t>
      </w:r>
      <w:r>
        <w:rPr>
          <w:sz w:val="18"/>
        </w:rPr>
        <w:t>of</w:t>
      </w:r>
      <w:r>
        <w:rPr>
          <w:spacing w:val="-3"/>
          <w:sz w:val="18"/>
        </w:rPr>
        <w:t xml:space="preserve"> </w:t>
      </w:r>
      <w:r>
        <w:rPr>
          <w:sz w:val="18"/>
        </w:rPr>
        <w:t>Sexual</w:t>
      </w:r>
      <w:r>
        <w:rPr>
          <w:spacing w:val="-4"/>
          <w:sz w:val="18"/>
        </w:rPr>
        <w:t xml:space="preserve"> </w:t>
      </w:r>
      <w:r>
        <w:rPr>
          <w:sz w:val="18"/>
        </w:rPr>
        <w:t>Orientation</w:t>
      </w:r>
      <w:r>
        <w:rPr>
          <w:spacing w:val="-4"/>
          <w:sz w:val="18"/>
        </w:rPr>
        <w:t xml:space="preserve"> </w:t>
      </w:r>
      <w:r>
        <w:rPr>
          <w:sz w:val="18"/>
        </w:rPr>
        <w:t>and</w:t>
      </w:r>
      <w:r>
        <w:rPr>
          <w:spacing w:val="-2"/>
          <w:sz w:val="18"/>
        </w:rPr>
        <w:t xml:space="preserve"> </w:t>
      </w:r>
      <w:r>
        <w:rPr>
          <w:sz w:val="18"/>
        </w:rPr>
        <w:t xml:space="preserve">Gender Identity to Health Care Providers,” </w:t>
      </w:r>
      <w:r>
        <w:rPr>
          <w:i/>
          <w:sz w:val="18"/>
        </w:rPr>
        <w:t xml:space="preserve">Psychology of Sexual Orientation and Gender Diversity </w:t>
      </w:r>
      <w:r>
        <w:rPr>
          <w:sz w:val="18"/>
        </w:rPr>
        <w:t xml:space="preserve">62, no. 2 (June 2019): 194–203, </w:t>
      </w:r>
      <w:r>
        <w:rPr>
          <w:spacing w:val="-2"/>
          <w:sz w:val="18"/>
        </w:rPr>
        <w:t>https://doi.org/10.1037/sgd0000319.</w:t>
      </w:r>
    </w:p>
    <w:p w:rsidR="00200FDA" w:rsidRDefault="00F76C4C">
      <w:pPr>
        <w:ind w:left="280" w:right="2068" w:hanging="1"/>
        <w:rPr>
          <w:sz w:val="18"/>
        </w:rPr>
      </w:pPr>
      <w:bookmarkStart w:id="1119" w:name="_bookmark886"/>
      <w:bookmarkEnd w:id="1119"/>
      <w:r>
        <w:rPr>
          <w:position w:val="5"/>
          <w:sz w:val="12"/>
        </w:rPr>
        <w:t>2</w:t>
      </w:r>
      <w:r>
        <w:rPr>
          <w:spacing w:val="10"/>
          <w:position w:val="5"/>
          <w:sz w:val="12"/>
        </w:rPr>
        <w:t xml:space="preserve"> </w:t>
      </w:r>
      <w:r>
        <w:rPr>
          <w:sz w:val="18"/>
        </w:rPr>
        <w:t>The</w:t>
      </w:r>
      <w:r>
        <w:rPr>
          <w:spacing w:val="-3"/>
          <w:sz w:val="18"/>
        </w:rPr>
        <w:t xml:space="preserve"> </w:t>
      </w:r>
      <w:r>
        <w:rPr>
          <w:sz w:val="18"/>
        </w:rPr>
        <w:t>Trevor</w:t>
      </w:r>
      <w:r>
        <w:rPr>
          <w:spacing w:val="-3"/>
          <w:sz w:val="18"/>
        </w:rPr>
        <w:t xml:space="preserve"> </w:t>
      </w:r>
      <w:r>
        <w:rPr>
          <w:sz w:val="18"/>
        </w:rPr>
        <w:t>Project,</w:t>
      </w:r>
      <w:r>
        <w:rPr>
          <w:spacing w:val="-2"/>
          <w:sz w:val="18"/>
        </w:rPr>
        <w:t xml:space="preserve"> </w:t>
      </w:r>
      <w:r>
        <w:rPr>
          <w:sz w:val="18"/>
        </w:rPr>
        <w:t>“Mental</w:t>
      </w:r>
      <w:r>
        <w:rPr>
          <w:spacing w:val="-3"/>
          <w:sz w:val="18"/>
        </w:rPr>
        <w:t xml:space="preserve"> </w:t>
      </w:r>
      <w:r>
        <w:rPr>
          <w:sz w:val="18"/>
        </w:rPr>
        <w:t>Health</w:t>
      </w:r>
      <w:r>
        <w:rPr>
          <w:spacing w:val="-3"/>
          <w:sz w:val="18"/>
        </w:rPr>
        <w:t xml:space="preserve"> </w:t>
      </w:r>
      <w:r>
        <w:rPr>
          <w:sz w:val="18"/>
        </w:rPr>
        <w:t>of</w:t>
      </w:r>
      <w:r>
        <w:rPr>
          <w:spacing w:val="-2"/>
          <w:sz w:val="18"/>
        </w:rPr>
        <w:t xml:space="preserve"> </w:t>
      </w:r>
      <w:r>
        <w:rPr>
          <w:sz w:val="18"/>
        </w:rPr>
        <w:t>Deaf*</w:t>
      </w:r>
      <w:r>
        <w:rPr>
          <w:spacing w:val="-3"/>
          <w:sz w:val="18"/>
        </w:rPr>
        <w:t xml:space="preserve"> </w:t>
      </w:r>
      <w:r>
        <w:rPr>
          <w:sz w:val="18"/>
        </w:rPr>
        <w:t>LGBTQ</w:t>
      </w:r>
      <w:r>
        <w:rPr>
          <w:spacing w:val="-3"/>
          <w:sz w:val="18"/>
        </w:rPr>
        <w:t xml:space="preserve"> </w:t>
      </w:r>
      <w:r>
        <w:rPr>
          <w:sz w:val="18"/>
        </w:rPr>
        <w:t>Youth,”</w:t>
      </w:r>
      <w:r>
        <w:rPr>
          <w:spacing w:val="-3"/>
          <w:sz w:val="18"/>
        </w:rPr>
        <w:t xml:space="preserve"> </w:t>
      </w:r>
      <w:r>
        <w:rPr>
          <w:i/>
          <w:sz w:val="18"/>
        </w:rPr>
        <w:t>The</w:t>
      </w:r>
      <w:r>
        <w:rPr>
          <w:i/>
          <w:spacing w:val="-2"/>
          <w:sz w:val="18"/>
        </w:rPr>
        <w:t xml:space="preserve"> </w:t>
      </w:r>
      <w:r>
        <w:rPr>
          <w:i/>
          <w:sz w:val="18"/>
        </w:rPr>
        <w:t>Trevor</w:t>
      </w:r>
      <w:r>
        <w:rPr>
          <w:i/>
          <w:spacing w:val="-2"/>
          <w:sz w:val="18"/>
        </w:rPr>
        <w:t xml:space="preserve"> </w:t>
      </w:r>
      <w:r>
        <w:rPr>
          <w:i/>
          <w:sz w:val="18"/>
        </w:rPr>
        <w:t>Project</w:t>
      </w:r>
      <w:r>
        <w:rPr>
          <w:i/>
          <w:spacing w:val="-3"/>
          <w:sz w:val="18"/>
        </w:rPr>
        <w:t xml:space="preserve"> </w:t>
      </w:r>
      <w:r>
        <w:rPr>
          <w:sz w:val="18"/>
        </w:rPr>
        <w:t>(blog),</w:t>
      </w:r>
      <w:r>
        <w:rPr>
          <w:spacing w:val="-2"/>
          <w:sz w:val="18"/>
        </w:rPr>
        <w:t xml:space="preserve"> </w:t>
      </w:r>
      <w:r>
        <w:rPr>
          <w:sz w:val="18"/>
        </w:rPr>
        <w:t>March</w:t>
      </w:r>
      <w:r>
        <w:rPr>
          <w:spacing w:val="-3"/>
          <w:sz w:val="18"/>
        </w:rPr>
        <w:t xml:space="preserve"> </w:t>
      </w:r>
      <w:r>
        <w:rPr>
          <w:sz w:val="18"/>
        </w:rPr>
        <w:t>28,</w:t>
      </w:r>
      <w:r>
        <w:rPr>
          <w:spacing w:val="-2"/>
          <w:sz w:val="18"/>
        </w:rPr>
        <w:t xml:space="preserve"> </w:t>
      </w:r>
      <w:r>
        <w:rPr>
          <w:sz w:val="18"/>
        </w:rPr>
        <w:t xml:space="preserve">2022, </w:t>
      </w:r>
      <w:r>
        <w:rPr>
          <w:spacing w:val="-2"/>
          <w:sz w:val="18"/>
        </w:rPr>
        <w:t>https://</w:t>
      </w:r>
      <w:hyperlink r:id="rId830">
        <w:r>
          <w:rPr>
            <w:spacing w:val="-2"/>
            <w:sz w:val="18"/>
          </w:rPr>
          <w:t>www.thetrevorproject.org/research-briefs/mental-health-of-deaf-lgbtq-youth-mar-2022/.</w:t>
        </w:r>
      </w:hyperlink>
    </w:p>
    <w:p w:rsidR="00200FDA" w:rsidRDefault="00F76C4C">
      <w:pPr>
        <w:spacing w:line="219" w:lineRule="exact"/>
        <w:ind w:left="280"/>
        <w:rPr>
          <w:sz w:val="18"/>
        </w:rPr>
      </w:pPr>
      <w:bookmarkStart w:id="1120" w:name="_bookmark887"/>
      <w:bookmarkEnd w:id="1120"/>
      <w:r>
        <w:rPr>
          <w:position w:val="5"/>
          <w:sz w:val="12"/>
        </w:rPr>
        <w:t>3</w:t>
      </w:r>
      <w:r>
        <w:rPr>
          <w:spacing w:val="12"/>
          <w:position w:val="5"/>
          <w:sz w:val="12"/>
        </w:rPr>
        <w:t xml:space="preserve"> </w:t>
      </w:r>
      <w:r>
        <w:rPr>
          <w:spacing w:val="-4"/>
          <w:sz w:val="18"/>
        </w:rPr>
        <w:t>Ibid</w:t>
      </w:r>
    </w:p>
    <w:p w:rsidR="00200FDA" w:rsidRDefault="00F76C4C">
      <w:pPr>
        <w:ind w:left="280"/>
        <w:rPr>
          <w:sz w:val="18"/>
        </w:rPr>
      </w:pPr>
      <w:bookmarkStart w:id="1121" w:name="_bookmark888"/>
      <w:bookmarkEnd w:id="1121"/>
      <w:r>
        <w:rPr>
          <w:position w:val="5"/>
          <w:sz w:val="12"/>
        </w:rPr>
        <w:t>4</w:t>
      </w:r>
      <w:r>
        <w:rPr>
          <w:spacing w:val="12"/>
          <w:position w:val="5"/>
          <w:sz w:val="12"/>
        </w:rPr>
        <w:t xml:space="preserve"> </w:t>
      </w:r>
      <w:r>
        <w:rPr>
          <w:spacing w:val="-4"/>
          <w:sz w:val="18"/>
        </w:rPr>
        <w:t>Ibid</w:t>
      </w:r>
    </w:p>
    <w:p w:rsidR="00200FDA" w:rsidRDefault="00200FDA">
      <w:pPr>
        <w:rPr>
          <w:sz w:val="18"/>
        </w:rPr>
        <w:sectPr w:rsidR="00200FDA">
          <w:pgSz w:w="12240" w:h="15840"/>
          <w:pgMar w:top="1260" w:right="1160" w:bottom="1240" w:left="1160" w:header="761" w:footer="1043" w:gutter="0"/>
          <w:cols w:space="720"/>
        </w:sectPr>
      </w:pPr>
    </w:p>
    <w:p w:rsidR="00200FDA" w:rsidRDefault="00200FDA">
      <w:pPr>
        <w:pStyle w:val="BodyText"/>
        <w:spacing w:before="10"/>
        <w:rPr>
          <w:sz w:val="10"/>
        </w:rPr>
      </w:pPr>
    </w:p>
    <w:p w:rsidR="00200FDA" w:rsidRDefault="00F76C4C">
      <w:pPr>
        <w:spacing w:before="35"/>
        <w:ind w:left="280"/>
        <w:rPr>
          <w:sz w:val="32"/>
        </w:rPr>
      </w:pPr>
      <w:r>
        <w:pict>
          <v:rect id="docshape559" o:spid="_x0000_s1078" style="position:absolute;left:0;text-align:left;margin-left:70.55pt;margin-top:22.25pt;width:470.9pt;height:.5pt;z-index:-15616512;mso-wrap-distance-left:0;mso-wrap-distance-right:0;mso-position-horizontal-relative:page" fillcolor="#4f81bc" stroked="f">
            <w10:wrap type="topAndBottom" anchorx="page"/>
          </v:rect>
        </w:pict>
      </w:r>
      <w:bookmarkStart w:id="1122" w:name="FY24_MRC_Recommendations_-_Final.pdf"/>
      <w:bookmarkStart w:id="1123" w:name="Massachusetts_Rehabilitation_Commission"/>
      <w:bookmarkStart w:id="1124" w:name="_bookmark889"/>
      <w:bookmarkEnd w:id="1122"/>
      <w:bookmarkEnd w:id="1123"/>
      <w:bookmarkEnd w:id="1124"/>
      <w:r>
        <w:rPr>
          <w:color w:val="365F91"/>
          <w:spacing w:val="-2"/>
          <w:sz w:val="32"/>
        </w:rPr>
        <w:t>Massachusetts</w:t>
      </w:r>
      <w:r>
        <w:rPr>
          <w:color w:val="365F91"/>
          <w:spacing w:val="6"/>
          <w:sz w:val="32"/>
        </w:rPr>
        <w:t xml:space="preserve"> </w:t>
      </w:r>
      <w:r>
        <w:rPr>
          <w:color w:val="365F91"/>
          <w:spacing w:val="-2"/>
          <w:sz w:val="32"/>
        </w:rPr>
        <w:t>Rehabilitation</w:t>
      </w:r>
      <w:r>
        <w:rPr>
          <w:color w:val="365F91"/>
          <w:spacing w:val="8"/>
          <w:sz w:val="32"/>
        </w:rPr>
        <w:t xml:space="preserve"> </w:t>
      </w:r>
      <w:r>
        <w:rPr>
          <w:color w:val="365F91"/>
          <w:spacing w:val="-2"/>
          <w:sz w:val="32"/>
        </w:rPr>
        <w:t>Commission</w:t>
      </w:r>
    </w:p>
    <w:p w:rsidR="00200FDA" w:rsidRDefault="00200FDA">
      <w:pPr>
        <w:pStyle w:val="BodyText"/>
        <w:rPr>
          <w:sz w:val="20"/>
        </w:rPr>
      </w:pPr>
    </w:p>
    <w:p w:rsidR="00200FDA" w:rsidRDefault="00200FDA">
      <w:pPr>
        <w:pStyle w:val="BodyText"/>
        <w:spacing w:before="3"/>
        <w:rPr>
          <w:sz w:val="18"/>
        </w:rPr>
      </w:pPr>
    </w:p>
    <w:p w:rsidR="00200FDA" w:rsidRDefault="00F76C4C">
      <w:pPr>
        <w:pStyle w:val="Heading7"/>
        <w:spacing w:before="44"/>
      </w:pPr>
      <w:r>
        <w:pict>
          <v:rect id="docshape560" o:spid="_x0000_s1077" style="position:absolute;left:0;text-align:left;margin-left:70.55pt;margin-top:20.2pt;width:470.9pt;height:.5pt;z-index:-15616000;mso-wrap-distance-left:0;mso-wrap-distance-right:0;mso-position-horizontal-relative:page" fillcolor="#4f81bc" stroked="f">
            <w10:wrap type="topAndBottom" anchorx="page"/>
          </v:rect>
        </w:pict>
      </w:r>
      <w:r>
        <w:rPr>
          <w:color w:val="365F91"/>
        </w:rPr>
        <w:t>FY2024</w:t>
      </w:r>
      <w:r>
        <w:rPr>
          <w:color w:val="365F91"/>
          <w:spacing w:val="-6"/>
        </w:rPr>
        <w:t xml:space="preserve"> </w:t>
      </w:r>
      <w:r>
        <w:rPr>
          <w:color w:val="365F91"/>
          <w:spacing w:val="-2"/>
        </w:rPr>
        <w:t>Recommendations</w:t>
      </w:r>
    </w:p>
    <w:p w:rsidR="00200FDA" w:rsidRDefault="00200FDA">
      <w:pPr>
        <w:pStyle w:val="BodyText"/>
        <w:rPr>
          <w:sz w:val="20"/>
        </w:rPr>
      </w:pPr>
    </w:p>
    <w:p w:rsidR="00200FDA" w:rsidRDefault="00200FDA">
      <w:pPr>
        <w:pStyle w:val="BodyText"/>
        <w:rPr>
          <w:sz w:val="17"/>
        </w:rPr>
      </w:pPr>
    </w:p>
    <w:p w:rsidR="00200FDA" w:rsidRDefault="00F76C4C">
      <w:pPr>
        <w:pStyle w:val="ListParagraph"/>
        <w:numPr>
          <w:ilvl w:val="1"/>
          <w:numId w:val="14"/>
        </w:numPr>
        <w:tabs>
          <w:tab w:val="left" w:pos="1001"/>
        </w:tabs>
        <w:spacing w:before="56"/>
        <w:ind w:hanging="362"/>
      </w:pPr>
      <w:r>
        <w:t>Create</w:t>
      </w:r>
      <w:r>
        <w:rPr>
          <w:spacing w:val="-8"/>
        </w:rPr>
        <w:t xml:space="preserve"> </w:t>
      </w:r>
      <w:r>
        <w:t>a</w:t>
      </w:r>
      <w:r>
        <w:rPr>
          <w:spacing w:val="-5"/>
        </w:rPr>
        <w:t xml:space="preserve"> </w:t>
      </w:r>
      <w:r>
        <w:t>comprehensive</w:t>
      </w:r>
      <w:r>
        <w:rPr>
          <w:spacing w:val="-5"/>
        </w:rPr>
        <w:t xml:space="preserve"> </w:t>
      </w:r>
      <w:r>
        <w:t>nondiscrimination</w:t>
      </w:r>
      <w:r>
        <w:rPr>
          <w:spacing w:val="-6"/>
        </w:rPr>
        <w:t xml:space="preserve"> </w:t>
      </w:r>
      <w:r>
        <w:t>and</w:t>
      </w:r>
      <w:r>
        <w:rPr>
          <w:spacing w:val="-6"/>
        </w:rPr>
        <w:t xml:space="preserve"> </w:t>
      </w:r>
      <w:r>
        <w:t>inclusion</w:t>
      </w:r>
      <w:r>
        <w:rPr>
          <w:spacing w:val="-6"/>
        </w:rPr>
        <w:t xml:space="preserve"> </w:t>
      </w:r>
      <w:r>
        <w:t>policy</w:t>
      </w:r>
      <w:r>
        <w:rPr>
          <w:spacing w:val="-5"/>
        </w:rPr>
        <w:t xml:space="preserve"> </w:t>
      </w:r>
      <w:r>
        <w:t>for</w:t>
      </w:r>
      <w:r>
        <w:rPr>
          <w:spacing w:val="-7"/>
        </w:rPr>
        <w:t xml:space="preserve"> </w:t>
      </w:r>
      <w:r>
        <w:t>LGBTQ</w:t>
      </w:r>
      <w:r>
        <w:rPr>
          <w:spacing w:val="-5"/>
        </w:rPr>
        <w:t xml:space="preserve"> </w:t>
      </w:r>
      <w:r>
        <w:rPr>
          <w:spacing w:val="-2"/>
        </w:rPr>
        <w:t>clients.</w:t>
      </w:r>
    </w:p>
    <w:p w:rsidR="00200FDA" w:rsidRDefault="00F76C4C">
      <w:pPr>
        <w:pStyle w:val="ListParagraph"/>
        <w:numPr>
          <w:ilvl w:val="1"/>
          <w:numId w:val="14"/>
        </w:numPr>
        <w:tabs>
          <w:tab w:val="left" w:pos="1001"/>
        </w:tabs>
        <w:spacing w:before="135"/>
      </w:pPr>
      <w:r>
        <w:t>Review</w:t>
      </w:r>
      <w:r>
        <w:rPr>
          <w:spacing w:val="-6"/>
        </w:rPr>
        <w:t xml:space="preserve"> </w:t>
      </w:r>
      <w:r>
        <w:t>intake</w:t>
      </w:r>
      <w:r>
        <w:rPr>
          <w:spacing w:val="-4"/>
        </w:rPr>
        <w:t xml:space="preserve"> </w:t>
      </w:r>
      <w:r>
        <w:t>forms</w:t>
      </w:r>
      <w:r>
        <w:rPr>
          <w:spacing w:val="-4"/>
        </w:rPr>
        <w:t xml:space="preserve"> </w:t>
      </w:r>
      <w:r>
        <w:t>and</w:t>
      </w:r>
      <w:r>
        <w:rPr>
          <w:spacing w:val="-6"/>
        </w:rPr>
        <w:t xml:space="preserve"> </w:t>
      </w:r>
      <w:r>
        <w:t>appropriately</w:t>
      </w:r>
      <w:r>
        <w:rPr>
          <w:spacing w:val="-6"/>
        </w:rPr>
        <w:t xml:space="preserve"> </w:t>
      </w:r>
      <w:r>
        <w:t>train</w:t>
      </w:r>
      <w:r>
        <w:rPr>
          <w:spacing w:val="-5"/>
        </w:rPr>
        <w:t xml:space="preserve"> </w:t>
      </w:r>
      <w:r>
        <w:t>staff</w:t>
      </w:r>
      <w:r>
        <w:rPr>
          <w:spacing w:val="-7"/>
        </w:rPr>
        <w:t xml:space="preserve"> </w:t>
      </w:r>
      <w:r>
        <w:t>on</w:t>
      </w:r>
      <w:r>
        <w:rPr>
          <w:spacing w:val="-5"/>
        </w:rPr>
        <w:t xml:space="preserve"> </w:t>
      </w:r>
      <w:r>
        <w:t>implementation</w:t>
      </w:r>
      <w:r>
        <w:rPr>
          <w:spacing w:val="-5"/>
        </w:rPr>
        <w:t xml:space="preserve"> </w:t>
      </w:r>
      <w:r>
        <w:rPr>
          <w:spacing w:val="-2"/>
        </w:rPr>
        <w:t>procedures.</w:t>
      </w:r>
    </w:p>
    <w:p w:rsidR="00200FDA" w:rsidRDefault="00F76C4C">
      <w:pPr>
        <w:pStyle w:val="ListParagraph"/>
        <w:numPr>
          <w:ilvl w:val="1"/>
          <w:numId w:val="14"/>
        </w:numPr>
        <w:tabs>
          <w:tab w:val="left" w:pos="1001"/>
        </w:tabs>
        <w:spacing w:before="134" w:line="360" w:lineRule="auto"/>
        <w:ind w:right="277"/>
      </w:pPr>
      <w:r>
        <w:t>Facilitate</w:t>
      </w:r>
      <w:r>
        <w:rPr>
          <w:spacing w:val="40"/>
        </w:rPr>
        <w:t xml:space="preserve"> </w:t>
      </w:r>
      <w:r>
        <w:t>mandatory</w:t>
      </w:r>
      <w:r>
        <w:rPr>
          <w:spacing w:val="40"/>
        </w:rPr>
        <w:t xml:space="preserve"> </w:t>
      </w:r>
      <w:r>
        <w:t>LGBTQ</w:t>
      </w:r>
      <w:r>
        <w:rPr>
          <w:spacing w:val="40"/>
        </w:rPr>
        <w:t xml:space="preserve"> </w:t>
      </w:r>
      <w:r>
        <w:t>cultural</w:t>
      </w:r>
      <w:r>
        <w:rPr>
          <w:spacing w:val="40"/>
        </w:rPr>
        <w:t xml:space="preserve"> </w:t>
      </w:r>
      <w:r>
        <w:t>awareness</w:t>
      </w:r>
      <w:r>
        <w:rPr>
          <w:spacing w:val="40"/>
        </w:rPr>
        <w:t xml:space="preserve"> </w:t>
      </w:r>
      <w:r>
        <w:t>trainings,</w:t>
      </w:r>
      <w:r>
        <w:rPr>
          <w:spacing w:val="40"/>
        </w:rPr>
        <w:t xml:space="preserve"> </w:t>
      </w:r>
      <w:r>
        <w:t>and</w:t>
      </w:r>
      <w:r>
        <w:rPr>
          <w:spacing w:val="40"/>
        </w:rPr>
        <w:t xml:space="preserve"> </w:t>
      </w:r>
      <w:r>
        <w:t>offer</w:t>
      </w:r>
      <w:r>
        <w:rPr>
          <w:spacing w:val="40"/>
        </w:rPr>
        <w:t xml:space="preserve"> </w:t>
      </w:r>
      <w:r>
        <w:t>recurring</w:t>
      </w:r>
      <w:r>
        <w:rPr>
          <w:spacing w:val="40"/>
        </w:rPr>
        <w:t xml:space="preserve"> </w:t>
      </w:r>
      <w:r>
        <w:t>skills</w:t>
      </w:r>
      <w:r>
        <w:rPr>
          <w:spacing w:val="40"/>
        </w:rPr>
        <w:t xml:space="preserve"> </w:t>
      </w:r>
      <w:r>
        <w:t>building opportunities for staff.</w:t>
      </w:r>
    </w:p>
    <w:p w:rsidR="00200FDA" w:rsidRDefault="00F76C4C">
      <w:pPr>
        <w:pStyle w:val="ListParagraph"/>
        <w:numPr>
          <w:ilvl w:val="1"/>
          <w:numId w:val="14"/>
        </w:numPr>
        <w:tabs>
          <w:tab w:val="left" w:pos="1001"/>
        </w:tabs>
        <w:spacing w:line="360" w:lineRule="auto"/>
        <w:ind w:right="275"/>
      </w:pPr>
      <w:r>
        <w:t>Partner</w:t>
      </w:r>
      <w:r>
        <w:rPr>
          <w:spacing w:val="40"/>
        </w:rPr>
        <w:t xml:space="preserve"> </w:t>
      </w:r>
      <w:r>
        <w:t>with</w:t>
      </w:r>
      <w:r>
        <w:rPr>
          <w:spacing w:val="40"/>
        </w:rPr>
        <w:t xml:space="preserve"> </w:t>
      </w:r>
      <w:r>
        <w:t>the</w:t>
      </w:r>
      <w:r>
        <w:rPr>
          <w:spacing w:val="40"/>
        </w:rPr>
        <w:t xml:space="preserve"> </w:t>
      </w:r>
      <w:r>
        <w:t>Commission</w:t>
      </w:r>
      <w:r>
        <w:rPr>
          <w:spacing w:val="40"/>
        </w:rPr>
        <w:t xml:space="preserve"> </w:t>
      </w:r>
      <w:r>
        <w:t>to</w:t>
      </w:r>
      <w:r>
        <w:rPr>
          <w:spacing w:val="40"/>
        </w:rPr>
        <w:t xml:space="preserve"> </w:t>
      </w:r>
      <w:r>
        <w:t>develop</w:t>
      </w:r>
      <w:r>
        <w:rPr>
          <w:spacing w:val="40"/>
        </w:rPr>
        <w:t xml:space="preserve"> </w:t>
      </w:r>
      <w:r>
        <w:t>an</w:t>
      </w:r>
      <w:r>
        <w:rPr>
          <w:spacing w:val="40"/>
        </w:rPr>
        <w:t xml:space="preserve"> </w:t>
      </w:r>
      <w:r>
        <w:t>outreach</w:t>
      </w:r>
      <w:r>
        <w:rPr>
          <w:spacing w:val="40"/>
        </w:rPr>
        <w:t xml:space="preserve"> </w:t>
      </w:r>
      <w:r>
        <w:t>plan</w:t>
      </w:r>
      <w:r>
        <w:rPr>
          <w:spacing w:val="40"/>
        </w:rPr>
        <w:t xml:space="preserve"> </w:t>
      </w:r>
      <w:r>
        <w:t>to</w:t>
      </w:r>
      <w:r>
        <w:rPr>
          <w:spacing w:val="40"/>
        </w:rPr>
        <w:t xml:space="preserve"> </w:t>
      </w:r>
      <w:r>
        <w:t>LGBTQ</w:t>
      </w:r>
      <w:r>
        <w:rPr>
          <w:spacing w:val="40"/>
        </w:rPr>
        <w:t xml:space="preserve"> </w:t>
      </w:r>
      <w:r>
        <w:t>youth</w:t>
      </w:r>
      <w:r>
        <w:rPr>
          <w:spacing w:val="40"/>
        </w:rPr>
        <w:t xml:space="preserve"> </w:t>
      </w:r>
      <w:r>
        <w:t>and</w:t>
      </w:r>
      <w:r>
        <w:rPr>
          <w:spacing w:val="40"/>
        </w:rPr>
        <w:t xml:space="preserve"> </w:t>
      </w:r>
      <w:r>
        <w:t>resource</w:t>
      </w:r>
      <w:r>
        <w:rPr>
          <w:spacing w:val="40"/>
        </w:rPr>
        <w:t xml:space="preserve"> </w:t>
      </w:r>
      <w:r>
        <w:rPr>
          <w:spacing w:val="-2"/>
        </w:rPr>
        <w:t>development.</w:t>
      </w:r>
    </w:p>
    <w:p w:rsidR="00200FDA" w:rsidRDefault="00F76C4C">
      <w:pPr>
        <w:pStyle w:val="ListParagraph"/>
        <w:numPr>
          <w:ilvl w:val="1"/>
          <w:numId w:val="14"/>
        </w:numPr>
        <w:tabs>
          <w:tab w:val="left" w:pos="1001"/>
        </w:tabs>
      </w:pPr>
      <w:r>
        <w:t>Review</w:t>
      </w:r>
      <w:r>
        <w:rPr>
          <w:spacing w:val="-6"/>
        </w:rPr>
        <w:t xml:space="preserve"> </w:t>
      </w:r>
      <w:r>
        <w:t>internal</w:t>
      </w:r>
      <w:r>
        <w:rPr>
          <w:spacing w:val="-4"/>
        </w:rPr>
        <w:t xml:space="preserve"> </w:t>
      </w:r>
      <w:r>
        <w:t>policies</w:t>
      </w:r>
      <w:r>
        <w:rPr>
          <w:spacing w:val="-6"/>
        </w:rPr>
        <w:t xml:space="preserve"> </w:t>
      </w:r>
      <w:r>
        <w:t>to</w:t>
      </w:r>
      <w:r>
        <w:rPr>
          <w:spacing w:val="-6"/>
        </w:rPr>
        <w:t xml:space="preserve"> </w:t>
      </w:r>
      <w:r>
        <w:t>identify</w:t>
      </w:r>
      <w:r>
        <w:rPr>
          <w:spacing w:val="-6"/>
        </w:rPr>
        <w:t xml:space="preserve"> </w:t>
      </w:r>
      <w:r>
        <w:t>opportunities</w:t>
      </w:r>
      <w:r>
        <w:rPr>
          <w:spacing w:val="-4"/>
        </w:rPr>
        <w:t xml:space="preserve"> </w:t>
      </w:r>
      <w:r>
        <w:t>for</w:t>
      </w:r>
      <w:r>
        <w:rPr>
          <w:spacing w:val="-4"/>
        </w:rPr>
        <w:t xml:space="preserve"> </w:t>
      </w:r>
      <w:r>
        <w:rPr>
          <w:spacing w:val="-2"/>
        </w:rPr>
        <w:t>improvement.</w:t>
      </w:r>
    </w:p>
    <w:p w:rsidR="00200FDA" w:rsidRDefault="00200FDA">
      <w:pPr>
        <w:pStyle w:val="BodyText"/>
      </w:pPr>
    </w:p>
    <w:p w:rsidR="00200FDA" w:rsidRDefault="00200FDA">
      <w:pPr>
        <w:pStyle w:val="BodyText"/>
        <w:spacing w:before="10"/>
        <w:rPr>
          <w:sz w:val="21"/>
        </w:rPr>
      </w:pPr>
    </w:p>
    <w:p w:rsidR="00200FDA" w:rsidRDefault="00F76C4C">
      <w:pPr>
        <w:pStyle w:val="Heading7"/>
        <w:spacing w:before="1"/>
      </w:pPr>
      <w:r>
        <w:pict>
          <v:rect id="docshape561" o:spid="_x0000_s1076" style="position:absolute;left:0;text-align:left;margin-left:70.55pt;margin-top:18.05pt;width:470.9pt;height:.5pt;z-index:-15615488;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ind w:left="280" w:right="273"/>
        <w:jc w:val="both"/>
      </w:pPr>
      <w:r>
        <w:t xml:space="preserve">The Massachusetts Rehabilitation </w:t>
      </w:r>
      <w:r>
        <w:t>Commission (MRC) promotes equality, empowerment, and independence for individuals with disabilities. MRC provides programs that assist individuals with employment opportunities and training, community living support, and assistance with determining federal</w:t>
      </w:r>
      <w:r>
        <w:t xml:space="preserve"> benefits eligibility. For youth 14 and older, MRC offers </w:t>
      </w:r>
      <w:hyperlink r:id="rId831">
        <w:r>
          <w:rPr>
            <w:color w:val="1154CC"/>
            <w:u w:val="single" w:color="1154CC"/>
          </w:rPr>
          <w:t>transition services</w:t>
        </w:r>
      </w:hyperlink>
      <w:r>
        <w:rPr>
          <w:color w:val="1154CC"/>
        </w:rPr>
        <w:t xml:space="preserve"> </w:t>
      </w:r>
      <w:r>
        <w:t>to support high school students with pre-employment support or support for further education after high school.</w:t>
      </w:r>
    </w:p>
    <w:p w:rsidR="00200FDA" w:rsidRDefault="00200FDA">
      <w:pPr>
        <w:pStyle w:val="BodyText"/>
        <w:spacing w:before="9"/>
        <w:rPr>
          <w:sz w:val="19"/>
        </w:rPr>
      </w:pPr>
    </w:p>
    <w:p w:rsidR="00200FDA" w:rsidRDefault="00F76C4C">
      <w:pPr>
        <w:pStyle w:val="BodyText"/>
        <w:ind w:left="279" w:right="273"/>
        <w:jc w:val="both"/>
      </w:pPr>
      <w:r>
        <w:t>Research suggests that LGBTQ youth are more likely than their heterosexual and cisgender peers to identify as having a physical disability, lon</w:t>
      </w:r>
      <w:r>
        <w:t xml:space="preserve">g-term health problems, or learning disabilities. LGBTQ youth are already disproportionately more likely to face discrimination and exclusion from services and employment; for youth with disabilities these experiences can be compounded by further ableism, </w:t>
      </w:r>
      <w:r>
        <w:t>discrimination, and stigma. Furthermore, as discussed previously in the MCDHH section, even LGBTQ community spaces are often inaccessible for youth with disabilities, particularly when lacking accessible bathrooms,</w:t>
      </w:r>
      <w:r>
        <w:rPr>
          <w:spacing w:val="-13"/>
        </w:rPr>
        <w:t xml:space="preserve"> </w:t>
      </w:r>
      <w:r>
        <w:t>translation</w:t>
      </w:r>
      <w:r>
        <w:rPr>
          <w:spacing w:val="-12"/>
        </w:rPr>
        <w:t xml:space="preserve"> </w:t>
      </w:r>
      <w:r>
        <w:t>and/or</w:t>
      </w:r>
      <w:r>
        <w:rPr>
          <w:spacing w:val="-11"/>
        </w:rPr>
        <w:t xml:space="preserve"> </w:t>
      </w:r>
      <w:r>
        <w:t>captioning</w:t>
      </w:r>
      <w:r>
        <w:rPr>
          <w:spacing w:val="-12"/>
        </w:rPr>
        <w:t xml:space="preserve"> </w:t>
      </w:r>
      <w:r>
        <w:t>services,</w:t>
      </w:r>
      <w:r>
        <w:rPr>
          <w:spacing w:val="-11"/>
        </w:rPr>
        <w:t xml:space="preserve"> </w:t>
      </w:r>
      <w:r>
        <w:t>a</w:t>
      </w:r>
      <w:r>
        <w:t>nd</w:t>
      </w:r>
      <w:r>
        <w:rPr>
          <w:spacing w:val="-12"/>
        </w:rPr>
        <w:t xml:space="preserve"> </w:t>
      </w:r>
      <w:r>
        <w:t>can</w:t>
      </w:r>
      <w:r>
        <w:rPr>
          <w:spacing w:val="-12"/>
        </w:rPr>
        <w:t xml:space="preserve"> </w:t>
      </w:r>
      <w:r>
        <w:t>be</w:t>
      </w:r>
      <w:r>
        <w:rPr>
          <w:spacing w:val="-11"/>
        </w:rPr>
        <w:t xml:space="preserve"> </w:t>
      </w:r>
      <w:r>
        <w:t>overly</w:t>
      </w:r>
      <w:r>
        <w:rPr>
          <w:spacing w:val="-11"/>
        </w:rPr>
        <w:t xml:space="preserve"> </w:t>
      </w:r>
      <w:r>
        <w:t>stimulating</w:t>
      </w:r>
      <w:r>
        <w:rPr>
          <w:spacing w:val="-12"/>
        </w:rPr>
        <w:t xml:space="preserve"> </w:t>
      </w:r>
      <w:r>
        <w:t>with</w:t>
      </w:r>
      <w:r>
        <w:rPr>
          <w:spacing w:val="-12"/>
        </w:rPr>
        <w:t xml:space="preserve"> </w:t>
      </w:r>
      <w:r>
        <w:t>little</w:t>
      </w:r>
      <w:r>
        <w:rPr>
          <w:spacing w:val="-11"/>
        </w:rPr>
        <w:t xml:space="preserve"> </w:t>
      </w:r>
      <w:r>
        <w:t>access</w:t>
      </w:r>
      <w:r>
        <w:rPr>
          <w:spacing w:val="-11"/>
        </w:rPr>
        <w:t xml:space="preserve"> </w:t>
      </w:r>
      <w:r>
        <w:t>to</w:t>
      </w:r>
      <w:r>
        <w:rPr>
          <w:spacing w:val="-10"/>
        </w:rPr>
        <w:t xml:space="preserve"> </w:t>
      </w:r>
      <w:r>
        <w:t xml:space="preserve">quiet </w:t>
      </w:r>
      <w:r>
        <w:rPr>
          <w:spacing w:val="-2"/>
        </w:rPr>
        <w:t>spaces.</w:t>
      </w:r>
      <w:hyperlink w:anchor="_bookmark890" w:history="1">
        <w:r>
          <w:rPr>
            <w:spacing w:val="-2"/>
            <w:vertAlign w:val="superscript"/>
          </w:rPr>
          <w:t>1</w:t>
        </w:r>
      </w:hyperlink>
    </w:p>
    <w:p w:rsidR="00200FDA" w:rsidRDefault="00200FDA">
      <w:pPr>
        <w:pStyle w:val="BodyText"/>
        <w:spacing w:before="8"/>
        <w:rPr>
          <w:sz w:val="19"/>
        </w:rPr>
      </w:pPr>
    </w:p>
    <w:p w:rsidR="00200FDA" w:rsidRDefault="00F76C4C">
      <w:pPr>
        <w:pStyle w:val="BodyText"/>
        <w:ind w:left="280" w:right="276"/>
        <w:jc w:val="both"/>
      </w:pPr>
      <w:r>
        <w:t>Ensuring that MRC services are appropriately inclusive and accessible is critical to making sure that all L</w:t>
      </w:r>
      <w:r>
        <w:t>GBTQ youth in the Commonwealth have the opportunity to thrive.</w:t>
      </w:r>
    </w:p>
    <w:p w:rsidR="00200FDA" w:rsidRDefault="00200FDA">
      <w:pPr>
        <w:pStyle w:val="BodyText"/>
      </w:pPr>
    </w:p>
    <w:p w:rsidR="00200FDA" w:rsidRDefault="00F76C4C">
      <w:pPr>
        <w:pStyle w:val="Heading8"/>
        <w:spacing w:before="162"/>
        <w:ind w:left="280"/>
      </w:pPr>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spacing w:before="5"/>
        <w:rPr>
          <w:sz w:val="19"/>
        </w:rPr>
      </w:pPr>
    </w:p>
    <w:p w:rsidR="00200FDA" w:rsidRDefault="00F76C4C">
      <w:pPr>
        <w:pStyle w:val="BodyText"/>
        <w:ind w:left="280" w:right="276"/>
        <w:jc w:val="both"/>
      </w:pPr>
      <w:r>
        <w:t>MRC has accomplished a significant amount of work in recent years to improve its approach to service provision for</w:t>
      </w:r>
      <w:r>
        <w:rPr>
          <w:spacing w:val="-2"/>
        </w:rPr>
        <w:t xml:space="preserve"> </w:t>
      </w:r>
      <w:r>
        <w:t>LGBTQ</w:t>
      </w:r>
      <w:r>
        <w:rPr>
          <w:spacing w:val="-2"/>
        </w:rPr>
        <w:t xml:space="preserve"> </w:t>
      </w:r>
      <w:r>
        <w:t>clients;</w:t>
      </w:r>
      <w:r>
        <w:rPr>
          <w:spacing w:val="-1"/>
        </w:rPr>
        <w:t xml:space="preserve"> </w:t>
      </w:r>
      <w:r>
        <w:t>MRC</w:t>
      </w:r>
      <w:r>
        <w:rPr>
          <w:spacing w:val="-2"/>
        </w:rPr>
        <w:t xml:space="preserve"> </w:t>
      </w:r>
      <w:r>
        <w:t>has</w:t>
      </w:r>
      <w:r>
        <w:rPr>
          <w:spacing w:val="-2"/>
        </w:rPr>
        <w:t xml:space="preserve"> </w:t>
      </w:r>
      <w:r>
        <w:t>offered</w:t>
      </w:r>
      <w:r>
        <w:rPr>
          <w:spacing w:val="-3"/>
        </w:rPr>
        <w:t xml:space="preserve"> </w:t>
      </w:r>
      <w:r>
        <w:t>multiple</w:t>
      </w:r>
      <w:r>
        <w:rPr>
          <w:spacing w:val="-4"/>
        </w:rPr>
        <w:t xml:space="preserve"> </w:t>
      </w:r>
      <w:r>
        <w:t>training opportu</w:t>
      </w:r>
      <w:r>
        <w:t>nities,</w:t>
      </w:r>
      <w:r>
        <w:rPr>
          <w:spacing w:val="-2"/>
        </w:rPr>
        <w:t xml:space="preserve"> </w:t>
      </w:r>
      <w:r>
        <w:t>conducted an internal</w:t>
      </w:r>
      <w:r>
        <w:rPr>
          <w:spacing w:val="-2"/>
        </w:rPr>
        <w:t xml:space="preserve"> </w:t>
      </w:r>
      <w:r>
        <w:t>staff climate survey related to LGBTQ issues, and created an internal LGBTQ working group. In 2020, MRC incorporated</w:t>
      </w:r>
      <w:r>
        <w:rPr>
          <w:spacing w:val="-13"/>
        </w:rPr>
        <w:t xml:space="preserve"> </w:t>
      </w:r>
      <w:r>
        <w:t>a</w:t>
      </w:r>
      <w:r>
        <w:rPr>
          <w:spacing w:val="-12"/>
        </w:rPr>
        <w:t xml:space="preserve"> </w:t>
      </w:r>
      <w:r>
        <w:t>nonbinary</w:t>
      </w:r>
      <w:r>
        <w:rPr>
          <w:spacing w:val="-13"/>
        </w:rPr>
        <w:t xml:space="preserve"> </w:t>
      </w:r>
      <w:r>
        <w:t>gender</w:t>
      </w:r>
      <w:r>
        <w:rPr>
          <w:spacing w:val="-12"/>
        </w:rPr>
        <w:t xml:space="preserve"> </w:t>
      </w:r>
      <w:r>
        <w:t>marker</w:t>
      </w:r>
      <w:r>
        <w:rPr>
          <w:spacing w:val="-13"/>
        </w:rPr>
        <w:t xml:space="preserve"> </w:t>
      </w:r>
      <w:r>
        <w:t>option</w:t>
      </w:r>
      <w:r>
        <w:rPr>
          <w:spacing w:val="-12"/>
        </w:rPr>
        <w:t xml:space="preserve"> </w:t>
      </w:r>
      <w:r>
        <w:t>into</w:t>
      </w:r>
      <w:r>
        <w:rPr>
          <w:spacing w:val="-13"/>
        </w:rPr>
        <w:t xml:space="preserve"> </w:t>
      </w:r>
      <w:r>
        <w:t>their</w:t>
      </w:r>
      <w:r>
        <w:rPr>
          <w:spacing w:val="-12"/>
        </w:rPr>
        <w:t xml:space="preserve"> </w:t>
      </w:r>
      <w:r>
        <w:t>MRC</w:t>
      </w:r>
      <w:r>
        <w:rPr>
          <w:spacing w:val="-12"/>
        </w:rPr>
        <w:t xml:space="preserve"> </w:t>
      </w:r>
      <w:r>
        <w:t>Connect</w:t>
      </w:r>
      <w:r>
        <w:rPr>
          <w:spacing w:val="-13"/>
        </w:rPr>
        <w:t xml:space="preserve"> </w:t>
      </w:r>
      <w:r>
        <w:t>online</w:t>
      </w:r>
      <w:r>
        <w:rPr>
          <w:spacing w:val="-12"/>
        </w:rPr>
        <w:t xml:space="preserve"> </w:t>
      </w:r>
      <w:r>
        <w:t>application.</w:t>
      </w:r>
      <w:r>
        <w:rPr>
          <w:spacing w:val="-13"/>
        </w:rPr>
        <w:t xml:space="preserve"> </w:t>
      </w:r>
      <w:r>
        <w:t>More</w:t>
      </w:r>
      <w:r>
        <w:rPr>
          <w:spacing w:val="-12"/>
        </w:rPr>
        <w:t xml:space="preserve"> </w:t>
      </w:r>
      <w:r>
        <w:t>recently, the internal working group developed and finalized a Unity Statement that the agency is looking at adapting into its more formal nondiscrimination policy.</w:t>
      </w:r>
    </w:p>
    <w:p w:rsidR="00200FDA" w:rsidRDefault="00200FDA">
      <w:pPr>
        <w:jc w:val="both"/>
        <w:sectPr w:rsidR="00200FDA">
          <w:headerReference w:type="default" r:id="rId832"/>
          <w:footerReference w:type="default" r:id="rId833"/>
          <w:pgSz w:w="12240" w:h="15840"/>
          <w:pgMar w:top="1260" w:right="1160" w:bottom="1240" w:left="1160" w:header="761" w:footer="1043" w:gutter="0"/>
          <w:cols w:space="720"/>
        </w:sectPr>
      </w:pPr>
    </w:p>
    <w:p w:rsidR="00200FDA" w:rsidRDefault="00200FDA">
      <w:pPr>
        <w:pStyle w:val="BodyText"/>
        <w:rPr>
          <w:sz w:val="10"/>
        </w:rPr>
      </w:pPr>
    </w:p>
    <w:p w:rsidR="00200FDA" w:rsidRDefault="00F76C4C">
      <w:pPr>
        <w:pStyle w:val="Heading7"/>
        <w:spacing w:before="44"/>
      </w:pPr>
      <w:r>
        <w:pict>
          <v:rect id="docshape562" o:spid="_x0000_s1075" style="position:absolute;left:0;text-align:left;margin-left:70.55pt;margin-top:20.35pt;width:470.9pt;height:.5pt;z-index:-15614976;mso-wrap-distance-left:0;mso-wrap-distance-right:0;mso-position-horizontal-relative:page" fillcolor="#4f81bc" stroked="f">
            <w10:wrap type="topAndBottom" anchorx="page"/>
          </v:rect>
        </w:pict>
      </w:r>
      <w:bookmarkStart w:id="1125" w:name="Expanded_Recommendations"/>
      <w:bookmarkEnd w:id="1125"/>
      <w:r>
        <w:rPr>
          <w:color w:val="365F91"/>
        </w:rPr>
        <w:t>Expanded</w:t>
      </w:r>
      <w:r>
        <w:rPr>
          <w:color w:val="365F91"/>
          <w:spacing w:val="-12"/>
        </w:rPr>
        <w:t xml:space="preserve"> </w:t>
      </w:r>
      <w:r>
        <w:rPr>
          <w:color w:val="365F91"/>
          <w:spacing w:val="-2"/>
        </w:rPr>
        <w:t>Recommendations</w:t>
      </w:r>
    </w:p>
    <w:p w:rsidR="00200FDA" w:rsidRDefault="00200FDA">
      <w:pPr>
        <w:pStyle w:val="BodyText"/>
        <w:rPr>
          <w:sz w:val="20"/>
        </w:rPr>
      </w:pPr>
    </w:p>
    <w:p w:rsidR="00200FDA" w:rsidRDefault="00200FDA">
      <w:pPr>
        <w:pStyle w:val="BodyText"/>
        <w:rPr>
          <w:sz w:val="17"/>
        </w:rPr>
      </w:pPr>
    </w:p>
    <w:p w:rsidR="00200FDA" w:rsidRDefault="00F76C4C">
      <w:pPr>
        <w:pStyle w:val="Heading9"/>
        <w:numPr>
          <w:ilvl w:val="0"/>
          <w:numId w:val="13"/>
        </w:numPr>
        <w:tabs>
          <w:tab w:val="left" w:pos="501"/>
        </w:tabs>
        <w:spacing w:before="56"/>
      </w:pPr>
      <w:r>
        <w:t>Create</w:t>
      </w:r>
      <w:r>
        <w:rPr>
          <w:spacing w:val="-8"/>
        </w:rPr>
        <w:t xml:space="preserve"> </w:t>
      </w:r>
      <w:r>
        <w:t>a</w:t>
      </w:r>
      <w:r>
        <w:rPr>
          <w:spacing w:val="-7"/>
        </w:rPr>
        <w:t xml:space="preserve"> </w:t>
      </w:r>
      <w:r>
        <w:t>comprehensive</w:t>
      </w:r>
      <w:r>
        <w:rPr>
          <w:spacing w:val="-8"/>
        </w:rPr>
        <w:t xml:space="preserve"> </w:t>
      </w:r>
      <w:r>
        <w:t>nondiscrimination</w:t>
      </w:r>
      <w:r>
        <w:rPr>
          <w:spacing w:val="-5"/>
        </w:rPr>
        <w:t xml:space="preserve"> </w:t>
      </w:r>
      <w:r>
        <w:t>and</w:t>
      </w:r>
      <w:r>
        <w:rPr>
          <w:spacing w:val="-6"/>
        </w:rPr>
        <w:t xml:space="preserve"> </w:t>
      </w:r>
      <w:r>
        <w:t>inclusion</w:t>
      </w:r>
      <w:r>
        <w:rPr>
          <w:spacing w:val="-6"/>
        </w:rPr>
        <w:t xml:space="preserve"> </w:t>
      </w:r>
      <w:r>
        <w:t>policy</w:t>
      </w:r>
      <w:r>
        <w:rPr>
          <w:spacing w:val="-3"/>
        </w:rPr>
        <w:t xml:space="preserve"> </w:t>
      </w:r>
      <w:r>
        <w:t>for</w:t>
      </w:r>
      <w:r>
        <w:rPr>
          <w:spacing w:val="-7"/>
        </w:rPr>
        <w:t xml:space="preserve"> </w:t>
      </w:r>
      <w:r>
        <w:t>LGBTQ</w:t>
      </w:r>
      <w:r>
        <w:rPr>
          <w:spacing w:val="-4"/>
        </w:rPr>
        <w:t xml:space="preserve"> </w:t>
      </w:r>
      <w:r>
        <w:rPr>
          <w:spacing w:val="-2"/>
        </w:rPr>
        <w:t>clients.</w:t>
      </w:r>
    </w:p>
    <w:p w:rsidR="00200FDA" w:rsidRDefault="00200FDA">
      <w:pPr>
        <w:pStyle w:val="BodyText"/>
        <w:spacing w:before="8"/>
        <w:rPr>
          <w:b/>
          <w:sz w:val="19"/>
        </w:rPr>
      </w:pPr>
    </w:p>
    <w:p w:rsidR="00200FDA" w:rsidRDefault="00F76C4C">
      <w:pPr>
        <w:pStyle w:val="BodyText"/>
        <w:ind w:left="279" w:right="275"/>
        <w:jc w:val="both"/>
      </w:pPr>
      <w:r>
        <w:t>The</w:t>
      </w:r>
      <w:r>
        <w:rPr>
          <w:spacing w:val="-5"/>
        </w:rPr>
        <w:t xml:space="preserve"> </w:t>
      </w:r>
      <w:r>
        <w:t>Commission</w:t>
      </w:r>
      <w:r>
        <w:rPr>
          <w:spacing w:val="-8"/>
        </w:rPr>
        <w:t xml:space="preserve"> </w:t>
      </w:r>
      <w:r>
        <w:t>commends</w:t>
      </w:r>
      <w:r>
        <w:rPr>
          <w:spacing w:val="-5"/>
        </w:rPr>
        <w:t xml:space="preserve"> </w:t>
      </w:r>
      <w:r>
        <w:t>the</w:t>
      </w:r>
      <w:r>
        <w:rPr>
          <w:spacing w:val="-7"/>
        </w:rPr>
        <w:t xml:space="preserve"> </w:t>
      </w:r>
      <w:r>
        <w:t>internal</w:t>
      </w:r>
      <w:r>
        <w:rPr>
          <w:spacing w:val="-7"/>
        </w:rPr>
        <w:t xml:space="preserve"> </w:t>
      </w:r>
      <w:r>
        <w:t>MRC</w:t>
      </w:r>
      <w:r>
        <w:rPr>
          <w:spacing w:val="-7"/>
        </w:rPr>
        <w:t xml:space="preserve"> </w:t>
      </w:r>
      <w:r>
        <w:t>Unity</w:t>
      </w:r>
      <w:r>
        <w:rPr>
          <w:spacing w:val="-7"/>
        </w:rPr>
        <w:t xml:space="preserve"> </w:t>
      </w:r>
      <w:r>
        <w:t>Group’s</w:t>
      </w:r>
      <w:r>
        <w:rPr>
          <w:spacing w:val="-5"/>
        </w:rPr>
        <w:t xml:space="preserve"> </w:t>
      </w:r>
      <w:r>
        <w:t>release</w:t>
      </w:r>
      <w:r>
        <w:rPr>
          <w:spacing w:val="-7"/>
        </w:rPr>
        <w:t xml:space="preserve"> </w:t>
      </w:r>
      <w:r>
        <w:t>of</w:t>
      </w:r>
      <w:r>
        <w:rPr>
          <w:spacing w:val="-7"/>
        </w:rPr>
        <w:t xml:space="preserve"> </w:t>
      </w:r>
      <w:r>
        <w:t>a</w:t>
      </w:r>
      <w:r>
        <w:rPr>
          <w:spacing w:val="-6"/>
        </w:rPr>
        <w:t xml:space="preserve"> </w:t>
      </w:r>
      <w:r>
        <w:t>nondiscrimination</w:t>
      </w:r>
      <w:r>
        <w:rPr>
          <w:spacing w:val="-6"/>
        </w:rPr>
        <w:t xml:space="preserve"> </w:t>
      </w:r>
      <w:r>
        <w:t>statement</w:t>
      </w:r>
      <w:r>
        <w:rPr>
          <w:spacing w:val="-7"/>
        </w:rPr>
        <w:t xml:space="preserve"> </w:t>
      </w:r>
      <w:r>
        <w:t>for its staff, providers, and clients. After the release of the statement, MRC noted to the Commission that they would begin using the statement to draft a formal nondiscrimination policy for the agency. The Commission looks forward to assisting in this po</w:t>
      </w:r>
      <w:r>
        <w:t>licy development in FY 2024.</w:t>
      </w:r>
    </w:p>
    <w:p w:rsidR="00200FDA" w:rsidRDefault="00200FDA">
      <w:pPr>
        <w:pStyle w:val="BodyText"/>
      </w:pPr>
    </w:p>
    <w:p w:rsidR="00200FDA" w:rsidRDefault="00200FDA">
      <w:pPr>
        <w:pStyle w:val="BodyText"/>
        <w:spacing w:before="7"/>
        <w:rPr>
          <w:sz w:val="19"/>
        </w:rPr>
      </w:pPr>
    </w:p>
    <w:p w:rsidR="00200FDA" w:rsidRDefault="00F76C4C">
      <w:pPr>
        <w:pStyle w:val="Heading9"/>
        <w:numPr>
          <w:ilvl w:val="0"/>
          <w:numId w:val="13"/>
        </w:numPr>
        <w:tabs>
          <w:tab w:val="left" w:pos="501"/>
        </w:tabs>
        <w:ind w:hanging="222"/>
      </w:pPr>
      <w:r>
        <w:t>Review</w:t>
      </w:r>
      <w:r>
        <w:rPr>
          <w:spacing w:val="-8"/>
        </w:rPr>
        <w:t xml:space="preserve"> </w:t>
      </w:r>
      <w:r>
        <w:t>intake</w:t>
      </w:r>
      <w:r>
        <w:rPr>
          <w:spacing w:val="-6"/>
        </w:rPr>
        <w:t xml:space="preserve"> </w:t>
      </w:r>
      <w:r>
        <w:t>forms</w:t>
      </w:r>
      <w:r>
        <w:rPr>
          <w:spacing w:val="-3"/>
        </w:rPr>
        <w:t xml:space="preserve"> </w:t>
      </w:r>
      <w:r>
        <w:t>and</w:t>
      </w:r>
      <w:r>
        <w:rPr>
          <w:spacing w:val="-6"/>
        </w:rPr>
        <w:t xml:space="preserve"> </w:t>
      </w:r>
      <w:r>
        <w:t>appropriately</w:t>
      </w:r>
      <w:r>
        <w:rPr>
          <w:spacing w:val="-6"/>
        </w:rPr>
        <w:t xml:space="preserve"> </w:t>
      </w:r>
      <w:r>
        <w:t>train</w:t>
      </w:r>
      <w:r>
        <w:rPr>
          <w:spacing w:val="-7"/>
        </w:rPr>
        <w:t xml:space="preserve"> </w:t>
      </w:r>
      <w:r>
        <w:t>staff</w:t>
      </w:r>
      <w:r>
        <w:rPr>
          <w:spacing w:val="-7"/>
        </w:rPr>
        <w:t xml:space="preserve"> </w:t>
      </w:r>
      <w:r>
        <w:t>on</w:t>
      </w:r>
      <w:r>
        <w:rPr>
          <w:spacing w:val="-6"/>
        </w:rPr>
        <w:t xml:space="preserve"> </w:t>
      </w:r>
      <w:r>
        <w:t>implementation</w:t>
      </w:r>
      <w:r>
        <w:rPr>
          <w:spacing w:val="-5"/>
        </w:rPr>
        <w:t xml:space="preserve"> </w:t>
      </w:r>
      <w:r>
        <w:rPr>
          <w:spacing w:val="-2"/>
        </w:rPr>
        <w:t>procedures.</w:t>
      </w:r>
    </w:p>
    <w:p w:rsidR="00200FDA" w:rsidRDefault="00200FDA">
      <w:pPr>
        <w:pStyle w:val="BodyText"/>
        <w:spacing w:before="8"/>
        <w:rPr>
          <w:b/>
          <w:sz w:val="19"/>
        </w:rPr>
      </w:pPr>
    </w:p>
    <w:p w:rsidR="00200FDA" w:rsidRDefault="00F76C4C">
      <w:pPr>
        <w:pStyle w:val="BodyText"/>
        <w:ind w:left="279" w:right="273"/>
        <w:jc w:val="both"/>
      </w:pPr>
      <w:r>
        <w:t>The</w:t>
      </w:r>
      <w:r>
        <w:rPr>
          <w:spacing w:val="-1"/>
        </w:rPr>
        <w:t xml:space="preserve"> </w:t>
      </w:r>
      <w:r>
        <w:t>Commission</w:t>
      </w:r>
      <w:r>
        <w:rPr>
          <w:spacing w:val="-3"/>
        </w:rPr>
        <w:t xml:space="preserve"> </w:t>
      </w:r>
      <w:r>
        <w:t>recommends</w:t>
      </w:r>
      <w:r>
        <w:rPr>
          <w:spacing w:val="-2"/>
        </w:rPr>
        <w:t xml:space="preserve"> </w:t>
      </w:r>
      <w:r>
        <w:t>that</w:t>
      </w:r>
      <w:r>
        <w:rPr>
          <w:spacing w:val="-4"/>
        </w:rPr>
        <w:t xml:space="preserve"> </w:t>
      </w:r>
      <w:r>
        <w:t>MRC</w:t>
      </w:r>
      <w:r>
        <w:rPr>
          <w:spacing w:val="-4"/>
        </w:rPr>
        <w:t xml:space="preserve"> </w:t>
      </w:r>
      <w:r>
        <w:t>review</w:t>
      </w:r>
      <w:r>
        <w:rPr>
          <w:spacing w:val="-4"/>
        </w:rPr>
        <w:t xml:space="preserve"> </w:t>
      </w:r>
      <w:r>
        <w:t>its</w:t>
      </w:r>
      <w:r>
        <w:rPr>
          <w:spacing w:val="-2"/>
        </w:rPr>
        <w:t xml:space="preserve"> </w:t>
      </w:r>
      <w:r>
        <w:t>intake</w:t>
      </w:r>
      <w:r>
        <w:rPr>
          <w:spacing w:val="-4"/>
        </w:rPr>
        <w:t xml:space="preserve"> </w:t>
      </w:r>
      <w:r>
        <w:t>forms</w:t>
      </w:r>
      <w:r>
        <w:rPr>
          <w:spacing w:val="-4"/>
        </w:rPr>
        <w:t xml:space="preserve"> </w:t>
      </w:r>
      <w:r>
        <w:t>to</w:t>
      </w:r>
      <w:r>
        <w:rPr>
          <w:spacing w:val="-3"/>
        </w:rPr>
        <w:t xml:space="preserve"> </w:t>
      </w:r>
      <w:r>
        <w:t>ensure</w:t>
      </w:r>
      <w:r>
        <w:rPr>
          <w:spacing w:val="-4"/>
        </w:rPr>
        <w:t xml:space="preserve"> </w:t>
      </w:r>
      <w:r>
        <w:t>that</w:t>
      </w:r>
      <w:r>
        <w:rPr>
          <w:spacing w:val="-1"/>
        </w:rPr>
        <w:t xml:space="preserve"> </w:t>
      </w:r>
      <w:r>
        <w:t>all</w:t>
      </w:r>
      <w:r>
        <w:rPr>
          <w:spacing w:val="-2"/>
        </w:rPr>
        <w:t xml:space="preserve"> </w:t>
      </w:r>
      <w:r>
        <w:t>forms</w:t>
      </w:r>
      <w:r>
        <w:rPr>
          <w:spacing w:val="-4"/>
        </w:rPr>
        <w:t xml:space="preserve"> </w:t>
      </w:r>
      <w:r>
        <w:t>used</w:t>
      </w:r>
      <w:r>
        <w:rPr>
          <w:spacing w:val="-3"/>
        </w:rPr>
        <w:t xml:space="preserve"> </w:t>
      </w:r>
      <w:r>
        <w:t>by</w:t>
      </w:r>
      <w:r>
        <w:rPr>
          <w:spacing w:val="-6"/>
        </w:rPr>
        <w:t xml:space="preserve"> </w:t>
      </w:r>
      <w:r>
        <w:t>MRC</w:t>
      </w:r>
      <w:r>
        <w:rPr>
          <w:spacing w:val="-4"/>
        </w:rPr>
        <w:t xml:space="preserve"> </w:t>
      </w:r>
      <w:r>
        <w:t xml:space="preserve">are inclusive of LGBTQ language wherever possible and follow SOGIE data collection best practices. Furthermore, MRC should ensure that all staff are appropriately being trained on the necessity of SOGIE data collection and understand how the data is being </w:t>
      </w:r>
      <w:r>
        <w:t>used to improve MRC services.</w:t>
      </w:r>
    </w:p>
    <w:p w:rsidR="00200FDA" w:rsidRDefault="00200FDA">
      <w:pPr>
        <w:pStyle w:val="BodyText"/>
      </w:pPr>
    </w:p>
    <w:p w:rsidR="00200FDA" w:rsidRDefault="00200FDA">
      <w:pPr>
        <w:pStyle w:val="BodyText"/>
        <w:spacing w:before="7"/>
        <w:rPr>
          <w:sz w:val="19"/>
        </w:rPr>
      </w:pPr>
    </w:p>
    <w:p w:rsidR="00200FDA" w:rsidRDefault="00F76C4C">
      <w:pPr>
        <w:pStyle w:val="Heading9"/>
        <w:numPr>
          <w:ilvl w:val="0"/>
          <w:numId w:val="13"/>
        </w:numPr>
        <w:tabs>
          <w:tab w:val="left" w:pos="581"/>
        </w:tabs>
        <w:ind w:left="279" w:right="277" w:firstLine="0"/>
      </w:pPr>
      <w:r>
        <w:t>Facilitate</w:t>
      </w:r>
      <w:r>
        <w:rPr>
          <w:spacing w:val="40"/>
        </w:rPr>
        <w:t xml:space="preserve"> </w:t>
      </w:r>
      <w:r>
        <w:t>mandatory</w:t>
      </w:r>
      <w:r>
        <w:rPr>
          <w:spacing w:val="72"/>
        </w:rPr>
        <w:t xml:space="preserve"> </w:t>
      </w:r>
      <w:r>
        <w:t>LGBTQ</w:t>
      </w:r>
      <w:r>
        <w:rPr>
          <w:spacing w:val="71"/>
        </w:rPr>
        <w:t xml:space="preserve"> </w:t>
      </w:r>
      <w:r>
        <w:t>cultural</w:t>
      </w:r>
      <w:r>
        <w:rPr>
          <w:spacing w:val="74"/>
        </w:rPr>
        <w:t xml:space="preserve"> </w:t>
      </w:r>
      <w:r>
        <w:t>awareness</w:t>
      </w:r>
      <w:r>
        <w:rPr>
          <w:spacing w:val="74"/>
        </w:rPr>
        <w:t xml:space="preserve"> </w:t>
      </w:r>
      <w:r>
        <w:t>trainings,</w:t>
      </w:r>
      <w:r>
        <w:rPr>
          <w:spacing w:val="74"/>
        </w:rPr>
        <w:t xml:space="preserve"> </w:t>
      </w:r>
      <w:r>
        <w:t>and</w:t>
      </w:r>
      <w:r>
        <w:rPr>
          <w:spacing w:val="73"/>
        </w:rPr>
        <w:t xml:space="preserve"> </w:t>
      </w:r>
      <w:r>
        <w:t>offer</w:t>
      </w:r>
      <w:r>
        <w:rPr>
          <w:spacing w:val="74"/>
        </w:rPr>
        <w:t xml:space="preserve"> </w:t>
      </w:r>
      <w:r>
        <w:t>recurring</w:t>
      </w:r>
      <w:r>
        <w:rPr>
          <w:spacing w:val="72"/>
        </w:rPr>
        <w:t xml:space="preserve"> </w:t>
      </w:r>
      <w:r>
        <w:t>skills</w:t>
      </w:r>
      <w:r>
        <w:rPr>
          <w:spacing w:val="74"/>
        </w:rPr>
        <w:t xml:space="preserve"> </w:t>
      </w:r>
      <w:r>
        <w:t>building opportunities for staff.</w:t>
      </w:r>
    </w:p>
    <w:p w:rsidR="00200FDA" w:rsidRDefault="00200FDA">
      <w:pPr>
        <w:pStyle w:val="BodyText"/>
        <w:spacing w:before="8"/>
        <w:rPr>
          <w:b/>
          <w:sz w:val="19"/>
        </w:rPr>
      </w:pPr>
    </w:p>
    <w:p w:rsidR="00200FDA" w:rsidRDefault="00F76C4C">
      <w:pPr>
        <w:pStyle w:val="BodyText"/>
        <w:ind w:left="280" w:right="275"/>
        <w:jc w:val="both"/>
      </w:pPr>
      <w:r>
        <w:t>In FY 2023, MRC committed to partnering with the Commission to participate in an EOHHS cross-agency train</w:t>
      </w:r>
      <w:r>
        <w:t>-the-trainer series that will continue into FY 2024 to build internal training capacity on LGBTQ trainings. The Commission looks forward to working with MRC on these trainings, and further exploring ways to offer skill-building opportunities for MRC employ</w:t>
      </w:r>
      <w:r>
        <w:t>ees and providers.</w:t>
      </w:r>
    </w:p>
    <w:p w:rsidR="00200FDA" w:rsidRDefault="00200FDA">
      <w:pPr>
        <w:pStyle w:val="BodyText"/>
      </w:pPr>
    </w:p>
    <w:p w:rsidR="00200FDA" w:rsidRDefault="00200FDA">
      <w:pPr>
        <w:pStyle w:val="BodyText"/>
        <w:spacing w:before="9"/>
        <w:rPr>
          <w:sz w:val="19"/>
        </w:rPr>
      </w:pPr>
    </w:p>
    <w:p w:rsidR="00200FDA" w:rsidRDefault="00F76C4C">
      <w:pPr>
        <w:pStyle w:val="Heading9"/>
        <w:numPr>
          <w:ilvl w:val="0"/>
          <w:numId w:val="13"/>
        </w:numPr>
        <w:tabs>
          <w:tab w:val="left" w:pos="583"/>
        </w:tabs>
        <w:ind w:left="280" w:right="271" w:firstLine="0"/>
      </w:pPr>
      <w:r>
        <w:t>Partner</w:t>
      </w:r>
      <w:r>
        <w:rPr>
          <w:spacing w:val="78"/>
        </w:rPr>
        <w:t xml:space="preserve"> </w:t>
      </w:r>
      <w:r>
        <w:t>with</w:t>
      </w:r>
      <w:r>
        <w:rPr>
          <w:spacing w:val="76"/>
        </w:rPr>
        <w:t xml:space="preserve"> </w:t>
      </w:r>
      <w:r>
        <w:t>the</w:t>
      </w:r>
      <w:r>
        <w:rPr>
          <w:spacing w:val="76"/>
        </w:rPr>
        <w:t xml:space="preserve"> </w:t>
      </w:r>
      <w:r>
        <w:t>Commission</w:t>
      </w:r>
      <w:r>
        <w:rPr>
          <w:spacing w:val="76"/>
        </w:rPr>
        <w:t xml:space="preserve"> </w:t>
      </w:r>
      <w:r>
        <w:t>to</w:t>
      </w:r>
      <w:r>
        <w:rPr>
          <w:spacing w:val="76"/>
        </w:rPr>
        <w:t xml:space="preserve"> </w:t>
      </w:r>
      <w:r>
        <w:t>develop</w:t>
      </w:r>
      <w:r>
        <w:rPr>
          <w:spacing w:val="76"/>
        </w:rPr>
        <w:t xml:space="preserve"> </w:t>
      </w:r>
      <w:r>
        <w:t>an</w:t>
      </w:r>
      <w:r>
        <w:rPr>
          <w:spacing w:val="76"/>
        </w:rPr>
        <w:t xml:space="preserve"> </w:t>
      </w:r>
      <w:r>
        <w:t>outreach</w:t>
      </w:r>
      <w:r>
        <w:rPr>
          <w:spacing w:val="76"/>
        </w:rPr>
        <w:t xml:space="preserve"> </w:t>
      </w:r>
      <w:r>
        <w:t>plan</w:t>
      </w:r>
      <w:r>
        <w:rPr>
          <w:spacing w:val="76"/>
        </w:rPr>
        <w:t xml:space="preserve"> </w:t>
      </w:r>
      <w:r>
        <w:t>to</w:t>
      </w:r>
      <w:r>
        <w:rPr>
          <w:spacing w:val="76"/>
        </w:rPr>
        <w:t xml:space="preserve"> </w:t>
      </w:r>
      <w:r>
        <w:t>LGBTQ</w:t>
      </w:r>
      <w:r>
        <w:rPr>
          <w:spacing w:val="77"/>
        </w:rPr>
        <w:t xml:space="preserve"> </w:t>
      </w:r>
      <w:r>
        <w:t>youth</w:t>
      </w:r>
      <w:r>
        <w:rPr>
          <w:spacing w:val="76"/>
        </w:rPr>
        <w:t xml:space="preserve"> </w:t>
      </w:r>
      <w:r>
        <w:t>and</w:t>
      </w:r>
      <w:r>
        <w:rPr>
          <w:spacing w:val="76"/>
        </w:rPr>
        <w:t xml:space="preserve"> </w:t>
      </w:r>
      <w:r>
        <w:t xml:space="preserve">resource </w:t>
      </w:r>
      <w:r>
        <w:rPr>
          <w:spacing w:val="-2"/>
        </w:rPr>
        <w:t>development.</w:t>
      </w:r>
    </w:p>
    <w:p w:rsidR="00200FDA" w:rsidRDefault="00200FDA">
      <w:pPr>
        <w:pStyle w:val="BodyText"/>
        <w:spacing w:before="8"/>
        <w:rPr>
          <w:b/>
          <w:sz w:val="19"/>
        </w:rPr>
      </w:pPr>
    </w:p>
    <w:p w:rsidR="00200FDA" w:rsidRDefault="00F76C4C">
      <w:pPr>
        <w:pStyle w:val="BodyText"/>
        <w:spacing w:before="1"/>
        <w:ind w:left="279" w:right="274"/>
        <w:jc w:val="both"/>
      </w:pPr>
      <w:r>
        <w:t>The</w:t>
      </w:r>
      <w:r>
        <w:rPr>
          <w:spacing w:val="-11"/>
        </w:rPr>
        <w:t xml:space="preserve"> </w:t>
      </w:r>
      <w:r>
        <w:t>Commission</w:t>
      </w:r>
      <w:r>
        <w:rPr>
          <w:spacing w:val="-12"/>
        </w:rPr>
        <w:t xml:space="preserve"> </w:t>
      </w:r>
      <w:r>
        <w:t>recommends</w:t>
      </w:r>
      <w:r>
        <w:rPr>
          <w:spacing w:val="-11"/>
        </w:rPr>
        <w:t xml:space="preserve"> </w:t>
      </w:r>
      <w:r>
        <w:t>that</w:t>
      </w:r>
      <w:r>
        <w:rPr>
          <w:spacing w:val="-11"/>
        </w:rPr>
        <w:t xml:space="preserve"> </w:t>
      </w:r>
      <w:r>
        <w:t>MRC</w:t>
      </w:r>
      <w:r>
        <w:rPr>
          <w:spacing w:val="-12"/>
        </w:rPr>
        <w:t xml:space="preserve"> </w:t>
      </w:r>
      <w:r>
        <w:t>develop</w:t>
      </w:r>
      <w:r>
        <w:rPr>
          <w:spacing w:val="-12"/>
        </w:rPr>
        <w:t xml:space="preserve"> </w:t>
      </w:r>
      <w:r>
        <w:t>an</w:t>
      </w:r>
      <w:r>
        <w:rPr>
          <w:spacing w:val="-12"/>
        </w:rPr>
        <w:t xml:space="preserve"> </w:t>
      </w:r>
      <w:r>
        <w:t>outreach</w:t>
      </w:r>
      <w:r>
        <w:rPr>
          <w:spacing w:val="-12"/>
        </w:rPr>
        <w:t xml:space="preserve"> </w:t>
      </w:r>
      <w:r>
        <w:t>plan</w:t>
      </w:r>
      <w:r>
        <w:rPr>
          <w:spacing w:val="-12"/>
        </w:rPr>
        <w:t xml:space="preserve"> </w:t>
      </w:r>
      <w:r>
        <w:t>to</w:t>
      </w:r>
      <w:r>
        <w:rPr>
          <w:spacing w:val="-13"/>
        </w:rPr>
        <w:t xml:space="preserve"> </w:t>
      </w:r>
      <w:r>
        <w:t>LGBTQ</w:t>
      </w:r>
      <w:r>
        <w:rPr>
          <w:spacing w:val="-10"/>
        </w:rPr>
        <w:t xml:space="preserve"> </w:t>
      </w:r>
      <w:r>
        <w:t>youth</w:t>
      </w:r>
      <w:r>
        <w:rPr>
          <w:spacing w:val="-12"/>
        </w:rPr>
        <w:t xml:space="preserve"> </w:t>
      </w:r>
      <w:r>
        <w:t>and</w:t>
      </w:r>
      <w:r>
        <w:rPr>
          <w:spacing w:val="-12"/>
        </w:rPr>
        <w:t xml:space="preserve"> </w:t>
      </w:r>
      <w:r>
        <w:t>to</w:t>
      </w:r>
      <w:r>
        <w:rPr>
          <w:spacing w:val="-10"/>
        </w:rPr>
        <w:t xml:space="preserve"> </w:t>
      </w:r>
      <w:r>
        <w:t>schools</w:t>
      </w:r>
      <w:r>
        <w:rPr>
          <w:spacing w:val="-11"/>
        </w:rPr>
        <w:t xml:space="preserve"> </w:t>
      </w:r>
      <w:r>
        <w:t>to</w:t>
      </w:r>
      <w:r>
        <w:rPr>
          <w:spacing w:val="-10"/>
        </w:rPr>
        <w:t xml:space="preserve"> </w:t>
      </w:r>
      <w:r>
        <w:t>share MRC resources, as well as to receive feedback on how to improve MRC services. MRC has noted the difficulty</w:t>
      </w:r>
      <w:r>
        <w:rPr>
          <w:spacing w:val="-13"/>
        </w:rPr>
        <w:t xml:space="preserve"> </w:t>
      </w:r>
      <w:r>
        <w:t>in</w:t>
      </w:r>
      <w:r>
        <w:rPr>
          <w:spacing w:val="-12"/>
        </w:rPr>
        <w:t xml:space="preserve"> </w:t>
      </w:r>
      <w:r>
        <w:t>reaching</w:t>
      </w:r>
      <w:r>
        <w:rPr>
          <w:spacing w:val="-13"/>
        </w:rPr>
        <w:t xml:space="preserve"> </w:t>
      </w:r>
      <w:r>
        <w:t>out</w:t>
      </w:r>
      <w:r>
        <w:rPr>
          <w:spacing w:val="-12"/>
        </w:rPr>
        <w:t xml:space="preserve"> </w:t>
      </w:r>
      <w:r>
        <w:t>to</w:t>
      </w:r>
      <w:r>
        <w:rPr>
          <w:spacing w:val="-13"/>
        </w:rPr>
        <w:t xml:space="preserve"> </w:t>
      </w:r>
      <w:r>
        <w:t>some</w:t>
      </w:r>
      <w:r>
        <w:rPr>
          <w:spacing w:val="-12"/>
        </w:rPr>
        <w:t xml:space="preserve"> </w:t>
      </w:r>
      <w:r>
        <w:t>regions,</w:t>
      </w:r>
      <w:r>
        <w:rPr>
          <w:spacing w:val="-13"/>
        </w:rPr>
        <w:t xml:space="preserve"> </w:t>
      </w:r>
      <w:r>
        <w:t>particularly</w:t>
      </w:r>
      <w:r>
        <w:rPr>
          <w:spacing w:val="-12"/>
        </w:rPr>
        <w:t xml:space="preserve"> </w:t>
      </w:r>
      <w:r>
        <w:t>the</w:t>
      </w:r>
      <w:r>
        <w:rPr>
          <w:spacing w:val="-12"/>
        </w:rPr>
        <w:t xml:space="preserve"> </w:t>
      </w:r>
      <w:r>
        <w:t>Cape,</w:t>
      </w:r>
      <w:r>
        <w:rPr>
          <w:spacing w:val="-13"/>
        </w:rPr>
        <w:t xml:space="preserve"> </w:t>
      </w:r>
      <w:r>
        <w:t>and</w:t>
      </w:r>
      <w:r>
        <w:rPr>
          <w:spacing w:val="-12"/>
        </w:rPr>
        <w:t xml:space="preserve"> </w:t>
      </w:r>
      <w:r>
        <w:t>intends</w:t>
      </w:r>
      <w:r>
        <w:rPr>
          <w:spacing w:val="-13"/>
        </w:rPr>
        <w:t xml:space="preserve"> </w:t>
      </w:r>
      <w:r>
        <w:t>to</w:t>
      </w:r>
      <w:r>
        <w:rPr>
          <w:spacing w:val="-12"/>
        </w:rPr>
        <w:t xml:space="preserve"> </w:t>
      </w:r>
      <w:r>
        <w:t>further</w:t>
      </w:r>
      <w:r>
        <w:rPr>
          <w:spacing w:val="-13"/>
        </w:rPr>
        <w:t xml:space="preserve"> </w:t>
      </w:r>
      <w:r>
        <w:t>explore</w:t>
      </w:r>
      <w:r>
        <w:rPr>
          <w:spacing w:val="-12"/>
        </w:rPr>
        <w:t xml:space="preserve"> </w:t>
      </w:r>
      <w:r>
        <w:t>these</w:t>
      </w:r>
      <w:r>
        <w:rPr>
          <w:spacing w:val="-12"/>
        </w:rPr>
        <w:t xml:space="preserve"> </w:t>
      </w:r>
      <w:r>
        <w:t>issues with the Commission in FY 2024. One upcomin</w:t>
      </w:r>
      <w:r>
        <w:t>g possibility for MRC to expand its outreach efforts is to participate in statewide Pride events, which the Commission has offered insight on to assist in MRC’s planning efforts.</w:t>
      </w:r>
    </w:p>
    <w:p w:rsidR="00200FDA" w:rsidRDefault="00200FDA">
      <w:pPr>
        <w:pStyle w:val="BodyText"/>
      </w:pPr>
    </w:p>
    <w:p w:rsidR="00200FDA" w:rsidRDefault="00200FDA">
      <w:pPr>
        <w:pStyle w:val="BodyText"/>
        <w:spacing w:before="6"/>
        <w:rPr>
          <w:sz w:val="19"/>
        </w:rPr>
      </w:pPr>
    </w:p>
    <w:p w:rsidR="00200FDA" w:rsidRDefault="00F76C4C">
      <w:pPr>
        <w:pStyle w:val="Heading9"/>
        <w:numPr>
          <w:ilvl w:val="0"/>
          <w:numId w:val="13"/>
        </w:numPr>
        <w:tabs>
          <w:tab w:val="left" w:pos="501"/>
        </w:tabs>
        <w:spacing w:before="1"/>
      </w:pPr>
      <w:r>
        <w:t>Review</w:t>
      </w:r>
      <w:r>
        <w:rPr>
          <w:spacing w:val="-8"/>
        </w:rPr>
        <w:t xml:space="preserve"> </w:t>
      </w:r>
      <w:r>
        <w:t>internal</w:t>
      </w:r>
      <w:r>
        <w:rPr>
          <w:spacing w:val="-5"/>
        </w:rPr>
        <w:t xml:space="preserve"> </w:t>
      </w:r>
      <w:r>
        <w:t>policies</w:t>
      </w:r>
      <w:r>
        <w:rPr>
          <w:spacing w:val="-9"/>
        </w:rPr>
        <w:t xml:space="preserve"> </w:t>
      </w:r>
      <w:r>
        <w:t>to</w:t>
      </w:r>
      <w:r>
        <w:rPr>
          <w:spacing w:val="-5"/>
        </w:rPr>
        <w:t xml:space="preserve"> </w:t>
      </w:r>
      <w:r>
        <w:t>identify</w:t>
      </w:r>
      <w:r>
        <w:rPr>
          <w:spacing w:val="-5"/>
        </w:rPr>
        <w:t xml:space="preserve"> </w:t>
      </w:r>
      <w:r>
        <w:t>opportunities</w:t>
      </w:r>
      <w:r>
        <w:rPr>
          <w:spacing w:val="-7"/>
        </w:rPr>
        <w:t xml:space="preserve"> </w:t>
      </w:r>
      <w:r>
        <w:t>for</w:t>
      </w:r>
      <w:r>
        <w:rPr>
          <w:spacing w:val="-3"/>
        </w:rPr>
        <w:t xml:space="preserve"> </w:t>
      </w:r>
      <w:r>
        <w:rPr>
          <w:spacing w:val="-2"/>
        </w:rPr>
        <w:t>improvement.</w:t>
      </w:r>
    </w:p>
    <w:p w:rsidR="00200FDA" w:rsidRDefault="00200FDA">
      <w:pPr>
        <w:pStyle w:val="BodyText"/>
        <w:spacing w:before="8"/>
        <w:rPr>
          <w:b/>
          <w:sz w:val="19"/>
        </w:rPr>
      </w:pPr>
    </w:p>
    <w:p w:rsidR="00200FDA" w:rsidRDefault="00F76C4C">
      <w:pPr>
        <w:pStyle w:val="BodyText"/>
        <w:ind w:left="279" w:right="273"/>
        <w:jc w:val="both"/>
      </w:pPr>
      <w:r>
        <w:t>Over the last fiscal year, MRC staff has been through a great deal of transition, which has put a hold on some of the ongoing projects that intersect with the Commission’s recommendations. One area of improvement that was noted in a January 2023 meeting wa</w:t>
      </w:r>
      <w:r>
        <w:t>s to uplift stronger collaboration with the policy department to ensure that all internal MRC policies are being considered in internal efforts to ensure LGBTQ-inclusivity. The Commission recommends that MRC work with the LGBTQ Allies Working Group</w:t>
      </w:r>
      <w:r>
        <w:rPr>
          <w:spacing w:val="-13"/>
        </w:rPr>
        <w:t xml:space="preserve"> </w:t>
      </w:r>
      <w:r>
        <w:t>to</w:t>
      </w:r>
      <w:r>
        <w:rPr>
          <w:spacing w:val="-12"/>
        </w:rPr>
        <w:t xml:space="preserve"> </w:t>
      </w:r>
      <w:r>
        <w:t>unde</w:t>
      </w:r>
      <w:r>
        <w:t>rtake</w:t>
      </w:r>
      <w:r>
        <w:rPr>
          <w:spacing w:val="-13"/>
        </w:rPr>
        <w:t xml:space="preserve"> </w:t>
      </w:r>
      <w:r>
        <w:t>an</w:t>
      </w:r>
      <w:r>
        <w:rPr>
          <w:spacing w:val="-12"/>
        </w:rPr>
        <w:t xml:space="preserve"> </w:t>
      </w:r>
      <w:r>
        <w:t>agency-wide</w:t>
      </w:r>
      <w:r>
        <w:rPr>
          <w:spacing w:val="-13"/>
        </w:rPr>
        <w:t xml:space="preserve"> </w:t>
      </w:r>
      <w:r>
        <w:t>policy</w:t>
      </w:r>
      <w:r>
        <w:rPr>
          <w:spacing w:val="-12"/>
        </w:rPr>
        <w:t xml:space="preserve"> </w:t>
      </w:r>
      <w:r>
        <w:t>review</w:t>
      </w:r>
      <w:r>
        <w:rPr>
          <w:spacing w:val="-13"/>
        </w:rPr>
        <w:t xml:space="preserve"> </w:t>
      </w:r>
      <w:r>
        <w:t>to</w:t>
      </w:r>
      <w:r>
        <w:rPr>
          <w:spacing w:val="-12"/>
        </w:rPr>
        <w:t xml:space="preserve"> </w:t>
      </w:r>
      <w:r>
        <w:t>ensure</w:t>
      </w:r>
      <w:r>
        <w:rPr>
          <w:spacing w:val="-12"/>
        </w:rPr>
        <w:t xml:space="preserve"> </w:t>
      </w:r>
      <w:r>
        <w:t>that</w:t>
      </w:r>
      <w:r>
        <w:rPr>
          <w:spacing w:val="-13"/>
        </w:rPr>
        <w:t xml:space="preserve"> </w:t>
      </w:r>
      <w:r>
        <w:t>all</w:t>
      </w:r>
      <w:r>
        <w:rPr>
          <w:spacing w:val="-12"/>
        </w:rPr>
        <w:t xml:space="preserve"> </w:t>
      </w:r>
      <w:r>
        <w:t>MRC</w:t>
      </w:r>
      <w:r>
        <w:rPr>
          <w:spacing w:val="-13"/>
        </w:rPr>
        <w:t xml:space="preserve"> </w:t>
      </w:r>
      <w:r>
        <w:t>policies</w:t>
      </w:r>
      <w:r>
        <w:rPr>
          <w:spacing w:val="-12"/>
        </w:rPr>
        <w:t xml:space="preserve"> </w:t>
      </w:r>
      <w:r>
        <w:t>are</w:t>
      </w:r>
      <w:r>
        <w:rPr>
          <w:spacing w:val="-13"/>
        </w:rPr>
        <w:t xml:space="preserve"> </w:t>
      </w:r>
      <w:r>
        <w:t>meeting</w:t>
      </w:r>
      <w:r>
        <w:rPr>
          <w:spacing w:val="-12"/>
        </w:rPr>
        <w:t xml:space="preserve"> </w:t>
      </w:r>
      <w:r>
        <w:t>best</w:t>
      </w:r>
      <w:r>
        <w:rPr>
          <w:spacing w:val="-12"/>
        </w:rPr>
        <w:t xml:space="preserve"> </w:t>
      </w:r>
      <w:r>
        <w:t>practice standards, particularly as it works to explore the creation of a nondiscrimination policy.</w:t>
      </w:r>
    </w:p>
    <w:p w:rsidR="00200FDA" w:rsidRDefault="00200FDA">
      <w:pPr>
        <w:jc w:val="both"/>
        <w:sectPr w:rsidR="00200FDA">
          <w:pgSz w:w="12240" w:h="15840"/>
          <w:pgMar w:top="1260" w:right="1160" w:bottom="1240" w:left="1160" w:header="761" w:footer="1043" w:gutter="0"/>
          <w:cols w:space="720"/>
        </w:sectPr>
      </w:pPr>
    </w:p>
    <w:p w:rsidR="00200FDA" w:rsidRDefault="00200FDA">
      <w:pPr>
        <w:pStyle w:val="BodyText"/>
        <w:rPr>
          <w:sz w:val="28"/>
        </w:rPr>
      </w:pPr>
    </w:p>
    <w:p w:rsidR="00200FDA" w:rsidRDefault="00F76C4C">
      <w:pPr>
        <w:spacing w:before="56"/>
        <w:ind w:left="253"/>
      </w:pPr>
      <w:bookmarkStart w:id="1126" w:name="_bookmark890"/>
      <w:bookmarkEnd w:id="1126"/>
      <w:r>
        <w:rPr>
          <w:i/>
        </w:rPr>
        <w:t>The</w:t>
      </w:r>
      <w:r>
        <w:rPr>
          <w:i/>
          <w:spacing w:val="-9"/>
        </w:rPr>
        <w:t xml:space="preserve"> </w:t>
      </w:r>
      <w:r>
        <w:rPr>
          <w:i/>
        </w:rPr>
        <w:t>Commission</w:t>
      </w:r>
      <w:r>
        <w:rPr>
          <w:i/>
          <w:spacing w:val="-10"/>
        </w:rPr>
        <w:t xml:space="preserve"> </w:t>
      </w:r>
      <w:r>
        <w:rPr>
          <w:i/>
        </w:rPr>
        <w:t>offers</w:t>
      </w:r>
      <w:r>
        <w:rPr>
          <w:i/>
          <w:spacing w:val="-11"/>
        </w:rPr>
        <w:t xml:space="preserve"> </w:t>
      </w:r>
      <w:r>
        <w:rPr>
          <w:i/>
        </w:rPr>
        <w:t>its</w:t>
      </w:r>
      <w:r>
        <w:rPr>
          <w:i/>
          <w:spacing w:val="-11"/>
        </w:rPr>
        <w:t xml:space="preserve"> </w:t>
      </w:r>
      <w:r>
        <w:rPr>
          <w:i/>
        </w:rPr>
        <w:t>sincere</w:t>
      </w:r>
      <w:r>
        <w:rPr>
          <w:i/>
          <w:spacing w:val="-9"/>
        </w:rPr>
        <w:t xml:space="preserve"> </w:t>
      </w:r>
      <w:r>
        <w:rPr>
          <w:i/>
        </w:rPr>
        <w:t>gratitude</w:t>
      </w:r>
      <w:r>
        <w:rPr>
          <w:i/>
          <w:spacing w:val="-9"/>
        </w:rPr>
        <w:t xml:space="preserve"> </w:t>
      </w:r>
      <w:r>
        <w:rPr>
          <w:i/>
        </w:rPr>
        <w:t>and</w:t>
      </w:r>
      <w:r>
        <w:rPr>
          <w:i/>
          <w:spacing w:val="-10"/>
        </w:rPr>
        <w:t xml:space="preserve"> </w:t>
      </w:r>
      <w:r>
        <w:rPr>
          <w:i/>
        </w:rPr>
        <w:t>appreciat</w:t>
      </w:r>
      <w:r>
        <w:rPr>
          <w:i/>
        </w:rPr>
        <w:t>ion</w:t>
      </w:r>
      <w:r>
        <w:rPr>
          <w:i/>
          <w:spacing w:val="-10"/>
        </w:rPr>
        <w:t xml:space="preserve"> </w:t>
      </w:r>
      <w:r>
        <w:rPr>
          <w:i/>
        </w:rPr>
        <w:t>for</w:t>
      </w:r>
      <w:r>
        <w:rPr>
          <w:i/>
          <w:spacing w:val="-8"/>
        </w:rPr>
        <w:t xml:space="preserve"> </w:t>
      </w:r>
      <w:r>
        <w:rPr>
          <w:i/>
        </w:rPr>
        <w:t>the</w:t>
      </w:r>
      <w:r>
        <w:rPr>
          <w:i/>
          <w:spacing w:val="-9"/>
        </w:rPr>
        <w:t xml:space="preserve"> </w:t>
      </w:r>
      <w:r>
        <w:rPr>
          <w:i/>
        </w:rPr>
        <w:t>ongoing</w:t>
      </w:r>
      <w:r>
        <w:rPr>
          <w:i/>
          <w:spacing w:val="-10"/>
        </w:rPr>
        <w:t xml:space="preserve"> </w:t>
      </w:r>
      <w:r>
        <w:rPr>
          <w:i/>
        </w:rPr>
        <w:t>collaboration</w:t>
      </w:r>
      <w:r>
        <w:rPr>
          <w:i/>
          <w:spacing w:val="-10"/>
        </w:rPr>
        <w:t xml:space="preserve"> </w:t>
      </w:r>
      <w:r>
        <w:rPr>
          <w:i/>
        </w:rPr>
        <w:t>from</w:t>
      </w:r>
      <w:r>
        <w:rPr>
          <w:i/>
          <w:spacing w:val="-11"/>
        </w:rPr>
        <w:t xml:space="preserve"> </w:t>
      </w:r>
      <w:r>
        <w:rPr>
          <w:i/>
        </w:rPr>
        <w:t>MRC</w:t>
      </w:r>
      <w:r>
        <w:rPr>
          <w:i/>
          <w:spacing w:val="-9"/>
        </w:rPr>
        <w:t xml:space="preserve"> </w:t>
      </w:r>
      <w:r>
        <w:rPr>
          <w:i/>
        </w:rPr>
        <w:t>staff liaisons: Caitlyn Folino, Kathleen Hammerstrom, Jenifer Harris, and Rob Arnau</w:t>
      </w:r>
      <w:r>
        <w:t>.</w:t>
      </w:r>
    </w:p>
    <w:p w:rsidR="00200FDA" w:rsidRDefault="00200FDA">
      <w:pPr>
        <w:pStyle w:val="BodyText"/>
      </w:pPr>
    </w:p>
    <w:p w:rsidR="00200FDA" w:rsidRDefault="00200FDA">
      <w:pPr>
        <w:pStyle w:val="BodyText"/>
        <w:spacing w:before="10"/>
      </w:pPr>
    </w:p>
    <w:p w:rsidR="00200FDA" w:rsidRDefault="00F76C4C">
      <w:pPr>
        <w:ind w:left="227"/>
        <w:rPr>
          <w:sz w:val="18"/>
        </w:rPr>
      </w:pPr>
      <w:r>
        <w:rPr>
          <w:position w:val="5"/>
          <w:sz w:val="12"/>
        </w:rPr>
        <w:t>1</w:t>
      </w:r>
      <w:r>
        <w:rPr>
          <w:spacing w:val="8"/>
          <w:position w:val="5"/>
          <w:sz w:val="12"/>
        </w:rPr>
        <w:t xml:space="preserve"> </w:t>
      </w:r>
      <w:r>
        <w:rPr>
          <w:sz w:val="18"/>
        </w:rPr>
        <w:t>Movement</w:t>
      </w:r>
      <w:r>
        <w:rPr>
          <w:spacing w:val="-5"/>
          <w:sz w:val="18"/>
        </w:rPr>
        <w:t xml:space="preserve"> </w:t>
      </w:r>
      <w:r>
        <w:rPr>
          <w:sz w:val="18"/>
        </w:rPr>
        <w:t>Advancement</w:t>
      </w:r>
      <w:r>
        <w:rPr>
          <w:spacing w:val="-4"/>
          <w:sz w:val="18"/>
        </w:rPr>
        <w:t xml:space="preserve"> </w:t>
      </w:r>
      <w:r>
        <w:rPr>
          <w:sz w:val="18"/>
        </w:rPr>
        <w:t>Project.</w:t>
      </w:r>
      <w:r>
        <w:rPr>
          <w:spacing w:val="-4"/>
          <w:sz w:val="18"/>
        </w:rPr>
        <w:t xml:space="preserve"> </w:t>
      </w:r>
      <w:r>
        <w:rPr>
          <w:sz w:val="18"/>
        </w:rPr>
        <w:t>July</w:t>
      </w:r>
      <w:r>
        <w:rPr>
          <w:spacing w:val="-4"/>
          <w:sz w:val="18"/>
        </w:rPr>
        <w:t xml:space="preserve"> </w:t>
      </w:r>
      <w:r>
        <w:rPr>
          <w:sz w:val="18"/>
        </w:rPr>
        <w:t>2019.</w:t>
      </w:r>
      <w:r>
        <w:rPr>
          <w:spacing w:val="-3"/>
          <w:sz w:val="18"/>
        </w:rPr>
        <w:t xml:space="preserve"> </w:t>
      </w:r>
      <w:r>
        <w:rPr>
          <w:i/>
          <w:sz w:val="18"/>
        </w:rPr>
        <w:t>LGBT</w:t>
      </w:r>
      <w:r>
        <w:rPr>
          <w:i/>
          <w:spacing w:val="-3"/>
          <w:sz w:val="18"/>
        </w:rPr>
        <w:t xml:space="preserve"> </w:t>
      </w:r>
      <w:r>
        <w:rPr>
          <w:i/>
          <w:sz w:val="18"/>
        </w:rPr>
        <w:t>People</w:t>
      </w:r>
      <w:r>
        <w:rPr>
          <w:i/>
          <w:spacing w:val="-4"/>
          <w:sz w:val="18"/>
        </w:rPr>
        <w:t xml:space="preserve"> </w:t>
      </w:r>
      <w:r>
        <w:rPr>
          <w:i/>
          <w:sz w:val="18"/>
        </w:rPr>
        <w:t>With</w:t>
      </w:r>
      <w:r>
        <w:rPr>
          <w:i/>
          <w:spacing w:val="-3"/>
          <w:sz w:val="18"/>
        </w:rPr>
        <w:t xml:space="preserve"> </w:t>
      </w:r>
      <w:r>
        <w:rPr>
          <w:i/>
          <w:sz w:val="18"/>
        </w:rPr>
        <w:t>Disabilities</w:t>
      </w:r>
      <w:r>
        <w:rPr>
          <w:sz w:val="18"/>
        </w:rPr>
        <w:t>.</w:t>
      </w:r>
      <w:r>
        <w:rPr>
          <w:spacing w:val="-3"/>
          <w:sz w:val="18"/>
        </w:rPr>
        <w:t xml:space="preserve"> </w:t>
      </w:r>
      <w:r>
        <w:rPr>
          <w:color w:val="0000FF"/>
          <w:sz w:val="18"/>
          <w:u w:val="single" w:color="0000FF"/>
        </w:rPr>
        <w:t>https://</w:t>
      </w:r>
      <w:hyperlink r:id="rId834">
        <w:r>
          <w:rPr>
            <w:color w:val="0000FF"/>
            <w:sz w:val="18"/>
            <w:u w:val="single" w:color="0000FF"/>
          </w:rPr>
          <w:t>www.lgbtmap.org/lgbt-people-</w:t>
        </w:r>
        <w:r>
          <w:rPr>
            <w:color w:val="0000FF"/>
            <w:spacing w:val="-2"/>
            <w:sz w:val="18"/>
            <w:u w:val="single" w:color="0000FF"/>
          </w:rPr>
          <w:t>disabilities</w:t>
        </w:r>
        <w:r>
          <w:rPr>
            <w:spacing w:val="-2"/>
            <w:sz w:val="18"/>
          </w:rPr>
          <w:t>.</w:t>
        </w:r>
      </w:hyperlink>
    </w:p>
    <w:p w:rsidR="00200FDA" w:rsidRDefault="00200FDA">
      <w:pPr>
        <w:rPr>
          <w:sz w:val="18"/>
        </w:rPr>
        <w:sectPr w:rsidR="00200FDA">
          <w:pgSz w:w="12240" w:h="15840"/>
          <w:pgMar w:top="1260" w:right="1160" w:bottom="1240" w:left="1160" w:header="761" w:footer="1043" w:gutter="0"/>
          <w:cols w:space="720"/>
        </w:sectPr>
      </w:pPr>
    </w:p>
    <w:p w:rsidR="00200FDA" w:rsidRDefault="00200FDA">
      <w:pPr>
        <w:pStyle w:val="BodyText"/>
        <w:spacing w:before="10"/>
        <w:rPr>
          <w:sz w:val="10"/>
        </w:rPr>
      </w:pPr>
    </w:p>
    <w:p w:rsidR="00200FDA" w:rsidRDefault="00F76C4C">
      <w:pPr>
        <w:spacing w:before="35"/>
        <w:ind w:left="280"/>
        <w:rPr>
          <w:sz w:val="32"/>
        </w:rPr>
      </w:pPr>
      <w:bookmarkStart w:id="1127" w:name="FY24_DMH_Recommendations_-_Final.pdf"/>
      <w:bookmarkStart w:id="1128" w:name="Department_of_Mental_Health"/>
      <w:bookmarkStart w:id="1129" w:name="_bookmark891"/>
      <w:bookmarkEnd w:id="1127"/>
      <w:bookmarkEnd w:id="1128"/>
      <w:bookmarkEnd w:id="1129"/>
      <w:r>
        <w:rPr>
          <w:color w:val="365F91"/>
          <w:sz w:val="32"/>
        </w:rPr>
        <w:t>Department</w:t>
      </w:r>
      <w:r>
        <w:rPr>
          <w:color w:val="365F91"/>
          <w:spacing w:val="-8"/>
          <w:sz w:val="32"/>
        </w:rPr>
        <w:t xml:space="preserve"> </w:t>
      </w:r>
      <w:r>
        <w:rPr>
          <w:color w:val="365F91"/>
          <w:sz w:val="32"/>
        </w:rPr>
        <w:t>of</w:t>
      </w:r>
      <w:r>
        <w:rPr>
          <w:color w:val="365F91"/>
          <w:spacing w:val="-10"/>
          <w:sz w:val="32"/>
        </w:rPr>
        <w:t xml:space="preserve"> </w:t>
      </w:r>
      <w:r>
        <w:rPr>
          <w:color w:val="365F91"/>
          <w:sz w:val="32"/>
        </w:rPr>
        <w:t>Mental</w:t>
      </w:r>
      <w:r>
        <w:rPr>
          <w:color w:val="365F91"/>
          <w:spacing w:val="-10"/>
          <w:sz w:val="32"/>
        </w:rPr>
        <w:t xml:space="preserve"> </w:t>
      </w:r>
      <w:r>
        <w:rPr>
          <w:color w:val="365F91"/>
          <w:spacing w:val="-2"/>
          <w:sz w:val="32"/>
        </w:rPr>
        <w:t>Health</w:t>
      </w:r>
    </w:p>
    <w:p w:rsidR="00200FDA" w:rsidRDefault="00F76C4C">
      <w:pPr>
        <w:pStyle w:val="BodyText"/>
        <w:spacing w:before="4"/>
        <w:rPr>
          <w:sz w:val="4"/>
        </w:rPr>
      </w:pPr>
      <w:r>
        <w:pict>
          <v:rect id="docshape566" o:spid="_x0000_s1074" style="position:absolute;margin-left:70.55pt;margin-top:3.85pt;width:470.9pt;height:.5pt;z-index:-15614464;mso-wrap-distance-left:0;mso-wrap-distance-right:0;mso-position-horizontal-relative:page" fillcolor="#4f81bc" stroked="f">
            <w10:wrap type="topAndBottom" anchorx="page"/>
          </v:rect>
        </w:pict>
      </w:r>
    </w:p>
    <w:p w:rsidR="00200FDA" w:rsidRDefault="00200FDA">
      <w:pPr>
        <w:pStyle w:val="BodyText"/>
        <w:rPr>
          <w:sz w:val="20"/>
        </w:rPr>
      </w:pPr>
    </w:p>
    <w:p w:rsidR="00200FDA" w:rsidRDefault="00200FDA">
      <w:pPr>
        <w:pStyle w:val="BodyText"/>
        <w:spacing w:before="1"/>
        <w:rPr>
          <w:sz w:val="15"/>
        </w:rPr>
      </w:pPr>
    </w:p>
    <w:p w:rsidR="00200FDA" w:rsidRDefault="00F76C4C">
      <w:pPr>
        <w:pStyle w:val="Heading7"/>
        <w:spacing w:before="44"/>
      </w:pPr>
      <w:r>
        <w:rPr>
          <w:color w:val="365F91"/>
        </w:rPr>
        <w:t>FY2024</w:t>
      </w:r>
      <w:r>
        <w:rPr>
          <w:color w:val="365F91"/>
          <w:spacing w:val="-6"/>
        </w:rPr>
        <w:t xml:space="preserve"> </w:t>
      </w:r>
      <w:r>
        <w:rPr>
          <w:color w:val="365F91"/>
          <w:spacing w:val="-2"/>
        </w:rPr>
        <w:t>Recommendations</w:t>
      </w:r>
    </w:p>
    <w:p w:rsidR="00200FDA" w:rsidRDefault="00F76C4C">
      <w:pPr>
        <w:pStyle w:val="BodyText"/>
        <w:spacing w:before="8"/>
        <w:rPr>
          <w:sz w:val="3"/>
        </w:rPr>
      </w:pPr>
      <w:r>
        <w:pict>
          <v:rect id="docshape567" o:spid="_x0000_s1073" style="position:absolute;margin-left:70.55pt;margin-top:3.45pt;width:470.9pt;height:.5pt;z-index:-15613952;mso-wrap-distance-left:0;mso-wrap-distance-right:0;mso-position-horizontal-relative:page" fillcolor="#4f81bc" stroked="f">
            <w10:wrap type="topAndBottom" anchorx="page"/>
          </v:rect>
        </w:pict>
      </w:r>
    </w:p>
    <w:p w:rsidR="00200FDA" w:rsidRDefault="00200FDA">
      <w:pPr>
        <w:pStyle w:val="BodyText"/>
        <w:rPr>
          <w:sz w:val="20"/>
        </w:rPr>
      </w:pPr>
    </w:p>
    <w:p w:rsidR="00200FDA" w:rsidRDefault="00200FDA">
      <w:pPr>
        <w:pStyle w:val="BodyText"/>
        <w:spacing w:before="5"/>
        <w:rPr>
          <w:sz w:val="18"/>
        </w:rPr>
      </w:pPr>
    </w:p>
    <w:p w:rsidR="00200FDA" w:rsidRDefault="00F76C4C">
      <w:pPr>
        <w:pStyle w:val="ListParagraph"/>
        <w:numPr>
          <w:ilvl w:val="1"/>
          <w:numId w:val="13"/>
        </w:numPr>
        <w:tabs>
          <w:tab w:val="left" w:pos="1001"/>
        </w:tabs>
        <w:spacing w:before="1" w:line="357" w:lineRule="auto"/>
        <w:ind w:right="276"/>
        <w:jc w:val="both"/>
      </w:pPr>
      <w:r>
        <w:t>Explore</w:t>
      </w:r>
      <w:r>
        <w:rPr>
          <w:spacing w:val="-1"/>
        </w:rPr>
        <w:t xml:space="preserve"> </w:t>
      </w:r>
      <w:r>
        <w:t>further</w:t>
      </w:r>
      <w:r>
        <w:rPr>
          <w:spacing w:val="-2"/>
        </w:rPr>
        <w:t xml:space="preserve"> </w:t>
      </w:r>
      <w:r>
        <w:t>SOGIE</w:t>
      </w:r>
      <w:r>
        <w:rPr>
          <w:spacing w:val="-2"/>
        </w:rPr>
        <w:t xml:space="preserve"> </w:t>
      </w:r>
      <w:r>
        <w:t>data</w:t>
      </w:r>
      <w:r>
        <w:rPr>
          <w:spacing w:val="-2"/>
        </w:rPr>
        <w:t xml:space="preserve"> </w:t>
      </w:r>
      <w:r>
        <w:t>collection</w:t>
      </w:r>
      <w:r>
        <w:rPr>
          <w:spacing w:val="-3"/>
        </w:rPr>
        <w:t xml:space="preserve"> </w:t>
      </w:r>
      <w:r>
        <w:t>&amp; IT</w:t>
      </w:r>
      <w:r>
        <w:rPr>
          <w:spacing w:val="-1"/>
        </w:rPr>
        <w:t xml:space="preserve"> </w:t>
      </w:r>
      <w:r>
        <w:t>changes</w:t>
      </w:r>
      <w:r>
        <w:rPr>
          <w:spacing w:val="-2"/>
        </w:rPr>
        <w:t xml:space="preserve"> </w:t>
      </w:r>
      <w:r>
        <w:t>needed to</w:t>
      </w:r>
      <w:r>
        <w:rPr>
          <w:spacing w:val="-1"/>
        </w:rPr>
        <w:t xml:space="preserve"> </w:t>
      </w:r>
      <w:r>
        <w:t>collect</w:t>
      </w:r>
      <w:r>
        <w:rPr>
          <w:spacing w:val="-1"/>
        </w:rPr>
        <w:t xml:space="preserve"> </w:t>
      </w:r>
      <w:r>
        <w:t>comprehensive</w:t>
      </w:r>
      <w:r>
        <w:rPr>
          <w:spacing w:val="-1"/>
        </w:rPr>
        <w:t xml:space="preserve"> </w:t>
      </w:r>
      <w:r>
        <w:t>data</w:t>
      </w:r>
      <w:r>
        <w:rPr>
          <w:spacing w:val="-2"/>
        </w:rPr>
        <w:t xml:space="preserve"> </w:t>
      </w:r>
      <w:r>
        <w:t>on</w:t>
      </w:r>
      <w:r>
        <w:rPr>
          <w:spacing w:val="-3"/>
        </w:rPr>
        <w:t xml:space="preserve"> </w:t>
      </w:r>
      <w:r>
        <w:t>the mental health needs of LGBTQ youth.</w:t>
      </w:r>
    </w:p>
    <w:p w:rsidR="00200FDA" w:rsidRDefault="00F76C4C">
      <w:pPr>
        <w:pStyle w:val="ListParagraph"/>
        <w:numPr>
          <w:ilvl w:val="1"/>
          <w:numId w:val="13"/>
        </w:numPr>
        <w:tabs>
          <w:tab w:val="left" w:pos="1001"/>
        </w:tabs>
        <w:spacing w:before="3" w:line="360" w:lineRule="auto"/>
        <w:ind w:right="278"/>
        <w:jc w:val="both"/>
      </w:pPr>
      <w:r>
        <w:t>Facilitate trainings on LGBTQ cultural awareness and racial equity, with particular attention to youth and access to affirming care.</w:t>
      </w:r>
    </w:p>
    <w:p w:rsidR="00200FDA" w:rsidRDefault="00F76C4C">
      <w:pPr>
        <w:pStyle w:val="ListParagraph"/>
        <w:numPr>
          <w:ilvl w:val="1"/>
          <w:numId w:val="13"/>
        </w:numPr>
        <w:tabs>
          <w:tab w:val="left" w:pos="1001"/>
        </w:tabs>
        <w:spacing w:before="1" w:line="360" w:lineRule="auto"/>
        <w:ind w:right="278"/>
        <w:jc w:val="both"/>
      </w:pPr>
      <w:r>
        <w:t>Explore</w:t>
      </w:r>
      <w:r>
        <w:rPr>
          <w:spacing w:val="-6"/>
        </w:rPr>
        <w:t xml:space="preserve"> </w:t>
      </w:r>
      <w:r>
        <w:t>and</w:t>
      </w:r>
      <w:r>
        <w:rPr>
          <w:spacing w:val="-5"/>
        </w:rPr>
        <w:t xml:space="preserve"> </w:t>
      </w:r>
      <w:r>
        <w:t>implement</w:t>
      </w:r>
      <w:r>
        <w:rPr>
          <w:spacing w:val="-6"/>
        </w:rPr>
        <w:t xml:space="preserve"> </w:t>
      </w:r>
      <w:r>
        <w:t>opportunities</w:t>
      </w:r>
      <w:r>
        <w:rPr>
          <w:spacing w:val="-6"/>
        </w:rPr>
        <w:t xml:space="preserve"> </w:t>
      </w:r>
      <w:r>
        <w:t>to</w:t>
      </w:r>
      <w:r>
        <w:rPr>
          <w:spacing w:val="-3"/>
        </w:rPr>
        <w:t xml:space="preserve"> </w:t>
      </w:r>
      <w:r>
        <w:t>improve</w:t>
      </w:r>
      <w:r>
        <w:rPr>
          <w:spacing w:val="-6"/>
        </w:rPr>
        <w:t xml:space="preserve"> </w:t>
      </w:r>
      <w:r>
        <w:t>education</w:t>
      </w:r>
      <w:r>
        <w:rPr>
          <w:spacing w:val="-7"/>
        </w:rPr>
        <w:t xml:space="preserve"> </w:t>
      </w:r>
      <w:r>
        <w:t>&amp;</w:t>
      </w:r>
      <w:r>
        <w:rPr>
          <w:spacing w:val="-4"/>
        </w:rPr>
        <w:t xml:space="preserve"> </w:t>
      </w:r>
      <w:r>
        <w:t>workplace</w:t>
      </w:r>
      <w:r>
        <w:rPr>
          <w:spacing w:val="-4"/>
        </w:rPr>
        <w:t xml:space="preserve"> </w:t>
      </w:r>
      <w:r>
        <w:t>training</w:t>
      </w:r>
      <w:r>
        <w:rPr>
          <w:spacing w:val="-5"/>
        </w:rPr>
        <w:t xml:space="preserve"> </w:t>
      </w:r>
      <w:r>
        <w:t>for</w:t>
      </w:r>
      <w:r>
        <w:rPr>
          <w:spacing w:val="-4"/>
        </w:rPr>
        <w:t xml:space="preserve"> </w:t>
      </w:r>
      <w:r>
        <w:t>new</w:t>
      </w:r>
      <w:r>
        <w:rPr>
          <w:spacing w:val="-6"/>
        </w:rPr>
        <w:t xml:space="preserve"> </w:t>
      </w:r>
      <w:r>
        <w:t>mental health workers in the areas of health equity for LGBTQ and QTBIPOC communities.</w:t>
      </w:r>
    </w:p>
    <w:p w:rsidR="00200FDA" w:rsidRDefault="00F76C4C">
      <w:pPr>
        <w:pStyle w:val="ListParagraph"/>
        <w:numPr>
          <w:ilvl w:val="1"/>
          <w:numId w:val="13"/>
        </w:numPr>
        <w:tabs>
          <w:tab w:val="left" w:pos="1001"/>
        </w:tabs>
        <w:spacing w:before="1" w:line="360" w:lineRule="auto"/>
        <w:ind w:right="276"/>
        <w:jc w:val="both"/>
      </w:pPr>
      <w:r>
        <w:t>Explore and implement solutions to navigate youth privacy concerns in cases of potentially unsupportive guardians.</w:t>
      </w:r>
    </w:p>
    <w:p w:rsidR="00200FDA" w:rsidRDefault="00F76C4C">
      <w:pPr>
        <w:pStyle w:val="ListParagraph"/>
        <w:numPr>
          <w:ilvl w:val="1"/>
          <w:numId w:val="13"/>
        </w:numPr>
        <w:tabs>
          <w:tab w:val="left" w:pos="1001"/>
        </w:tabs>
        <w:spacing w:line="360" w:lineRule="auto"/>
        <w:ind w:right="274"/>
        <w:jc w:val="both"/>
      </w:pPr>
      <w:r>
        <w:t>Develop accessible, trauma-</w:t>
      </w:r>
      <w:r>
        <w:t>informed mental health resources and programs for QTBIPOC youth and first-generation youth.</w:t>
      </w:r>
    </w:p>
    <w:p w:rsidR="00200FDA" w:rsidRDefault="00F76C4C">
      <w:pPr>
        <w:pStyle w:val="ListParagraph"/>
        <w:numPr>
          <w:ilvl w:val="1"/>
          <w:numId w:val="13"/>
        </w:numPr>
        <w:tabs>
          <w:tab w:val="left" w:pos="1001"/>
        </w:tabs>
        <w:spacing w:line="360" w:lineRule="auto"/>
        <w:ind w:right="275" w:hanging="360"/>
        <w:jc w:val="both"/>
      </w:pPr>
      <w:r>
        <w:t>Improve interagency work to support “warm hand-offs” for transition-aged</w:t>
      </w:r>
      <w:r>
        <w:rPr>
          <w:spacing w:val="-1"/>
        </w:rPr>
        <w:t xml:space="preserve"> </w:t>
      </w:r>
      <w:r>
        <w:t>youth attempting to access services, in partnership with the Department of Children and Fam</w:t>
      </w:r>
      <w:r>
        <w:t>ilies, Department of Youth Services, and MassHealth.</w:t>
      </w:r>
    </w:p>
    <w:p w:rsidR="00200FDA" w:rsidRDefault="00200FDA">
      <w:pPr>
        <w:pStyle w:val="BodyText"/>
        <w:spacing w:before="10"/>
        <w:rPr>
          <w:sz w:val="32"/>
        </w:rPr>
      </w:pPr>
    </w:p>
    <w:p w:rsidR="00200FDA" w:rsidRDefault="00F76C4C">
      <w:pPr>
        <w:pStyle w:val="Heading7"/>
        <w:spacing w:before="1"/>
      </w:pPr>
      <w:r>
        <w:pict>
          <v:rect id="docshape568" o:spid="_x0000_s1072" style="position:absolute;left:0;text-align:left;margin-left:70.55pt;margin-top:18.05pt;width:470.9pt;height:.5pt;z-index:-15613440;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20"/>
        </w:rPr>
      </w:pPr>
    </w:p>
    <w:p w:rsidR="00200FDA" w:rsidRDefault="00200FDA">
      <w:pPr>
        <w:pStyle w:val="BodyText"/>
        <w:spacing w:before="4"/>
        <w:rPr>
          <w:sz w:val="20"/>
        </w:rPr>
      </w:pPr>
    </w:p>
    <w:p w:rsidR="00200FDA" w:rsidRDefault="00F76C4C">
      <w:pPr>
        <w:pStyle w:val="BodyText"/>
        <w:spacing w:before="56" w:line="276" w:lineRule="auto"/>
        <w:ind w:left="280" w:right="274"/>
        <w:jc w:val="both"/>
      </w:pPr>
      <w:r>
        <w:t>The Department of Mental Health (DMH) is tasked with providing access to services and support for the mental</w:t>
      </w:r>
      <w:r>
        <w:rPr>
          <w:spacing w:val="-8"/>
        </w:rPr>
        <w:t xml:space="preserve"> </w:t>
      </w:r>
      <w:r>
        <w:t>health</w:t>
      </w:r>
      <w:r>
        <w:rPr>
          <w:spacing w:val="-7"/>
        </w:rPr>
        <w:t xml:space="preserve"> </w:t>
      </w:r>
      <w:r>
        <w:t>needs</w:t>
      </w:r>
      <w:r>
        <w:rPr>
          <w:spacing w:val="-8"/>
        </w:rPr>
        <w:t xml:space="preserve"> </w:t>
      </w:r>
      <w:r>
        <w:t>of</w:t>
      </w:r>
      <w:r>
        <w:rPr>
          <w:spacing w:val="-9"/>
        </w:rPr>
        <w:t xml:space="preserve"> </w:t>
      </w:r>
      <w:r>
        <w:t>individuals</w:t>
      </w:r>
      <w:r>
        <w:rPr>
          <w:spacing w:val="-8"/>
        </w:rPr>
        <w:t xml:space="preserve"> </w:t>
      </w:r>
      <w:r>
        <w:t>of</w:t>
      </w:r>
      <w:r>
        <w:rPr>
          <w:spacing w:val="-9"/>
        </w:rPr>
        <w:t xml:space="preserve"> </w:t>
      </w:r>
      <w:r>
        <w:t>all</w:t>
      </w:r>
      <w:r>
        <w:rPr>
          <w:spacing w:val="-7"/>
        </w:rPr>
        <w:t xml:space="preserve"> </w:t>
      </w:r>
      <w:r>
        <w:t>ages</w:t>
      </w:r>
      <w:r>
        <w:rPr>
          <w:spacing w:val="-7"/>
        </w:rPr>
        <w:t xml:space="preserve"> </w:t>
      </w:r>
      <w:r>
        <w:t>in</w:t>
      </w:r>
      <w:r>
        <w:rPr>
          <w:spacing w:val="-9"/>
        </w:rPr>
        <w:t xml:space="preserve"> </w:t>
      </w:r>
      <w:r>
        <w:t>Massachusetts.</w:t>
      </w:r>
      <w:r>
        <w:rPr>
          <w:spacing w:val="-8"/>
        </w:rPr>
        <w:t xml:space="preserve"> </w:t>
      </w:r>
      <w:r>
        <w:t>DMH</w:t>
      </w:r>
      <w:r>
        <w:rPr>
          <w:spacing w:val="-9"/>
        </w:rPr>
        <w:t xml:space="preserve"> </w:t>
      </w:r>
      <w:r>
        <w:t>oversees</w:t>
      </w:r>
      <w:r>
        <w:rPr>
          <w:spacing w:val="-8"/>
        </w:rPr>
        <w:t xml:space="preserve"> </w:t>
      </w:r>
      <w:r>
        <w:t>a</w:t>
      </w:r>
      <w:r>
        <w:rPr>
          <w:spacing w:val="-11"/>
        </w:rPr>
        <w:t xml:space="preserve"> </w:t>
      </w:r>
      <w:r>
        <w:t>number</w:t>
      </w:r>
      <w:r>
        <w:rPr>
          <w:spacing w:val="-8"/>
        </w:rPr>
        <w:t xml:space="preserve"> </w:t>
      </w:r>
      <w:r>
        <w:t>of</w:t>
      </w:r>
      <w:r>
        <w:rPr>
          <w:spacing w:val="-9"/>
        </w:rPr>
        <w:t xml:space="preserve"> </w:t>
      </w:r>
      <w:r>
        <w:t>programs</w:t>
      </w:r>
      <w:r>
        <w:rPr>
          <w:spacing w:val="-8"/>
        </w:rPr>
        <w:t xml:space="preserve"> </w:t>
      </w:r>
      <w:r>
        <w:t>and initiatives that directly and indirectly affect LGBTQ youth, including residential placements and the Transitional Age Youth (TAY) Initiative.</w:t>
      </w:r>
    </w:p>
    <w:p w:rsidR="00200FDA" w:rsidRDefault="00200FDA">
      <w:pPr>
        <w:pStyle w:val="BodyText"/>
        <w:spacing w:before="9"/>
        <w:rPr>
          <w:sz w:val="19"/>
        </w:rPr>
      </w:pPr>
    </w:p>
    <w:p w:rsidR="00200FDA" w:rsidRDefault="00F76C4C">
      <w:pPr>
        <w:pStyle w:val="BodyText"/>
        <w:spacing w:line="276" w:lineRule="auto"/>
        <w:ind w:left="279" w:right="275"/>
        <w:jc w:val="both"/>
      </w:pPr>
      <w:r>
        <w:t>As</w:t>
      </w:r>
      <w:r>
        <w:rPr>
          <w:spacing w:val="-13"/>
        </w:rPr>
        <w:t xml:space="preserve"> </w:t>
      </w:r>
      <w:r>
        <w:t>discussed</w:t>
      </w:r>
      <w:r>
        <w:rPr>
          <w:spacing w:val="-12"/>
        </w:rPr>
        <w:t xml:space="preserve"> </w:t>
      </w:r>
      <w:r>
        <w:t>in</w:t>
      </w:r>
      <w:r>
        <w:rPr>
          <w:spacing w:val="-13"/>
        </w:rPr>
        <w:t xml:space="preserve"> </w:t>
      </w:r>
      <w:r>
        <w:t>detail</w:t>
      </w:r>
      <w:r>
        <w:rPr>
          <w:spacing w:val="-12"/>
        </w:rPr>
        <w:t xml:space="preserve"> </w:t>
      </w:r>
      <w:r>
        <w:t>throughout</w:t>
      </w:r>
      <w:r>
        <w:rPr>
          <w:spacing w:val="-13"/>
        </w:rPr>
        <w:t xml:space="preserve"> </w:t>
      </w:r>
      <w:r>
        <w:t>this</w:t>
      </w:r>
      <w:r>
        <w:rPr>
          <w:spacing w:val="-12"/>
        </w:rPr>
        <w:t xml:space="preserve"> </w:t>
      </w:r>
      <w:r>
        <w:t>annual</w:t>
      </w:r>
      <w:r>
        <w:rPr>
          <w:spacing w:val="-13"/>
        </w:rPr>
        <w:t xml:space="preserve"> </w:t>
      </w:r>
      <w:r>
        <w:t>report,</w:t>
      </w:r>
      <w:r>
        <w:rPr>
          <w:spacing w:val="-12"/>
        </w:rPr>
        <w:t xml:space="preserve"> </w:t>
      </w:r>
      <w:r>
        <w:t>LGBTQ</w:t>
      </w:r>
      <w:r>
        <w:rPr>
          <w:spacing w:val="-12"/>
        </w:rPr>
        <w:t xml:space="preserve"> </w:t>
      </w:r>
      <w:r>
        <w:t>youth</w:t>
      </w:r>
      <w:r>
        <w:rPr>
          <w:spacing w:val="-13"/>
        </w:rPr>
        <w:t xml:space="preserve"> </w:t>
      </w:r>
      <w:r>
        <w:t>are</w:t>
      </w:r>
      <w:r>
        <w:rPr>
          <w:spacing w:val="-12"/>
        </w:rPr>
        <w:t xml:space="preserve"> </w:t>
      </w:r>
      <w:r>
        <w:t>in</w:t>
      </w:r>
      <w:r>
        <w:rPr>
          <w:spacing w:val="-13"/>
        </w:rPr>
        <w:t xml:space="preserve"> </w:t>
      </w:r>
      <w:r>
        <w:t>crisis.</w:t>
      </w:r>
      <w:r>
        <w:rPr>
          <w:spacing w:val="-12"/>
        </w:rPr>
        <w:t xml:space="preserve"> </w:t>
      </w:r>
      <w:r>
        <w:t>Across</w:t>
      </w:r>
      <w:r>
        <w:rPr>
          <w:spacing w:val="-13"/>
        </w:rPr>
        <w:t xml:space="preserve"> </w:t>
      </w:r>
      <w:r>
        <w:t>the</w:t>
      </w:r>
      <w:r>
        <w:rPr>
          <w:spacing w:val="-12"/>
        </w:rPr>
        <w:t xml:space="preserve"> </w:t>
      </w:r>
      <w:r>
        <w:t>nation,</w:t>
      </w:r>
      <w:r>
        <w:rPr>
          <w:spacing w:val="-12"/>
        </w:rPr>
        <w:t xml:space="preserve"> </w:t>
      </w:r>
      <w:r>
        <w:t>a</w:t>
      </w:r>
      <w:r>
        <w:rPr>
          <w:spacing w:val="-13"/>
        </w:rPr>
        <w:t xml:space="preserve"> </w:t>
      </w:r>
      <w:r>
        <w:t>barrage of anti-trans and racist policies have critically impacted youths’ well-being, with 90% of LGBTQ youth reporting that the anti-trans rhetoric is significantly impacting their mental health. Unfortunately, for years,</w:t>
      </w:r>
      <w:r>
        <w:rPr>
          <w:spacing w:val="-13"/>
        </w:rPr>
        <w:t xml:space="preserve"> </w:t>
      </w:r>
      <w:r>
        <w:t>access</w:t>
      </w:r>
      <w:r>
        <w:rPr>
          <w:spacing w:val="-12"/>
        </w:rPr>
        <w:t xml:space="preserve"> </w:t>
      </w:r>
      <w:r>
        <w:t>to</w:t>
      </w:r>
      <w:r>
        <w:rPr>
          <w:spacing w:val="-12"/>
        </w:rPr>
        <w:t xml:space="preserve"> </w:t>
      </w:r>
      <w:r>
        <w:t>affirmin</w:t>
      </w:r>
      <w:r>
        <w:t>g</w:t>
      </w:r>
      <w:r>
        <w:rPr>
          <w:spacing w:val="-11"/>
        </w:rPr>
        <w:t xml:space="preserve"> </w:t>
      </w:r>
      <w:r>
        <w:t>mental</w:t>
      </w:r>
      <w:r>
        <w:rPr>
          <w:spacing w:val="-12"/>
        </w:rPr>
        <w:t xml:space="preserve"> </w:t>
      </w:r>
      <w:r>
        <w:t>health</w:t>
      </w:r>
      <w:r>
        <w:rPr>
          <w:spacing w:val="-12"/>
        </w:rPr>
        <w:t xml:space="preserve"> </w:t>
      </w:r>
      <w:r>
        <w:t>care</w:t>
      </w:r>
      <w:r>
        <w:rPr>
          <w:spacing w:val="-11"/>
        </w:rPr>
        <w:t xml:space="preserve"> </w:t>
      </w:r>
      <w:r>
        <w:t>has</w:t>
      </w:r>
      <w:r>
        <w:rPr>
          <w:spacing w:val="-11"/>
        </w:rPr>
        <w:t xml:space="preserve"> </w:t>
      </w:r>
      <w:r>
        <w:t>been</w:t>
      </w:r>
      <w:r>
        <w:rPr>
          <w:spacing w:val="-12"/>
        </w:rPr>
        <w:t xml:space="preserve"> </w:t>
      </w:r>
      <w:r>
        <w:t>sparse,</w:t>
      </w:r>
      <w:r>
        <w:rPr>
          <w:spacing w:val="-11"/>
        </w:rPr>
        <w:t xml:space="preserve"> </w:t>
      </w:r>
      <w:r>
        <w:t>and</w:t>
      </w:r>
      <w:r>
        <w:rPr>
          <w:spacing w:val="-12"/>
        </w:rPr>
        <w:t xml:space="preserve"> </w:t>
      </w:r>
      <w:r>
        <w:t>1</w:t>
      </w:r>
      <w:r>
        <w:rPr>
          <w:spacing w:val="-10"/>
        </w:rPr>
        <w:t xml:space="preserve"> </w:t>
      </w:r>
      <w:r>
        <w:t>in</w:t>
      </w:r>
      <w:r>
        <w:rPr>
          <w:spacing w:val="-13"/>
        </w:rPr>
        <w:t xml:space="preserve"> </w:t>
      </w:r>
      <w:r>
        <w:t>2</w:t>
      </w:r>
      <w:r>
        <w:rPr>
          <w:spacing w:val="-9"/>
        </w:rPr>
        <w:t xml:space="preserve"> </w:t>
      </w:r>
      <w:r>
        <w:t>LGBTQ</w:t>
      </w:r>
      <w:r>
        <w:rPr>
          <w:spacing w:val="-13"/>
        </w:rPr>
        <w:t xml:space="preserve"> </w:t>
      </w:r>
      <w:r>
        <w:t>youth</w:t>
      </w:r>
      <w:r>
        <w:rPr>
          <w:spacing w:val="-11"/>
        </w:rPr>
        <w:t xml:space="preserve"> </w:t>
      </w:r>
      <w:r>
        <w:t>who</w:t>
      </w:r>
      <w:r>
        <w:rPr>
          <w:spacing w:val="-13"/>
        </w:rPr>
        <w:t xml:space="preserve"> </w:t>
      </w:r>
      <w:r>
        <w:t>wanted</w:t>
      </w:r>
      <w:r>
        <w:rPr>
          <w:spacing w:val="-12"/>
        </w:rPr>
        <w:t xml:space="preserve"> </w:t>
      </w:r>
      <w:r>
        <w:t>mental health care in Massachusetts in the past year were unable to access care.</w:t>
      </w:r>
      <w:hyperlink w:anchor="_bookmark892" w:history="1">
        <w:r>
          <w:rPr>
            <w:vertAlign w:val="superscript"/>
          </w:rPr>
          <w:t>1</w:t>
        </w:r>
      </w:hyperlink>
      <w:r>
        <w:rPr>
          <w:spacing w:val="-3"/>
        </w:rPr>
        <w:t xml:space="preserve"> </w:t>
      </w:r>
      <w:r>
        <w:t>The Commission is incredibly concerned about the state of well-being f</w:t>
      </w:r>
      <w:r>
        <w:t>or youth in the Commonwealth, particularly for often underserved QTBIPOC communities, and youth in state systems.</w:t>
      </w:r>
    </w:p>
    <w:p w:rsidR="00200FDA" w:rsidRDefault="00200FDA">
      <w:pPr>
        <w:spacing w:line="276" w:lineRule="auto"/>
        <w:jc w:val="both"/>
        <w:sectPr w:rsidR="00200FDA">
          <w:headerReference w:type="default" r:id="rId835"/>
          <w:footerReference w:type="default" r:id="rId836"/>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right="275"/>
        <w:jc w:val="both"/>
      </w:pPr>
      <w:r>
        <w:t>The</w:t>
      </w:r>
      <w:r>
        <w:rPr>
          <w:spacing w:val="-2"/>
        </w:rPr>
        <w:t xml:space="preserve"> </w:t>
      </w:r>
      <w:r>
        <w:t>Commission</w:t>
      </w:r>
      <w:r>
        <w:rPr>
          <w:spacing w:val="-4"/>
        </w:rPr>
        <w:t xml:space="preserve"> </w:t>
      </w:r>
      <w:r>
        <w:t>sincerely</w:t>
      </w:r>
      <w:r>
        <w:rPr>
          <w:spacing w:val="-4"/>
        </w:rPr>
        <w:t xml:space="preserve"> </w:t>
      </w:r>
      <w:r>
        <w:t>appreciates</w:t>
      </w:r>
      <w:r>
        <w:rPr>
          <w:spacing w:val="-5"/>
        </w:rPr>
        <w:t xml:space="preserve"> </w:t>
      </w:r>
      <w:r>
        <w:t>DMH’s</w:t>
      </w:r>
      <w:r>
        <w:rPr>
          <w:spacing w:val="-5"/>
        </w:rPr>
        <w:t xml:space="preserve"> </w:t>
      </w:r>
      <w:r>
        <w:t>ongoing</w:t>
      </w:r>
      <w:r>
        <w:rPr>
          <w:spacing w:val="-4"/>
        </w:rPr>
        <w:t xml:space="preserve"> </w:t>
      </w:r>
      <w:r>
        <w:t>commitment</w:t>
      </w:r>
      <w:r>
        <w:rPr>
          <w:spacing w:val="-5"/>
        </w:rPr>
        <w:t xml:space="preserve"> </w:t>
      </w:r>
      <w:r>
        <w:t>to</w:t>
      </w:r>
      <w:r>
        <w:rPr>
          <w:spacing w:val="-4"/>
        </w:rPr>
        <w:t xml:space="preserve"> </w:t>
      </w:r>
      <w:r>
        <w:t>offer</w:t>
      </w:r>
      <w:r>
        <w:rPr>
          <w:spacing w:val="-3"/>
        </w:rPr>
        <w:t xml:space="preserve"> </w:t>
      </w:r>
      <w:r>
        <w:t>greater</w:t>
      </w:r>
      <w:r>
        <w:rPr>
          <w:spacing w:val="-3"/>
        </w:rPr>
        <w:t xml:space="preserve"> </w:t>
      </w:r>
      <w:r>
        <w:t>support</w:t>
      </w:r>
      <w:r>
        <w:rPr>
          <w:spacing w:val="-2"/>
        </w:rPr>
        <w:t xml:space="preserve"> </w:t>
      </w:r>
      <w:r>
        <w:t>and</w:t>
      </w:r>
      <w:r>
        <w:rPr>
          <w:spacing w:val="-4"/>
        </w:rPr>
        <w:t xml:space="preserve"> </w:t>
      </w:r>
      <w:r>
        <w:t>services for LGBTQ communities across the state, and looks forward to continuing its collaboration in FY 2024.</w:t>
      </w:r>
    </w:p>
    <w:p w:rsidR="00200FDA" w:rsidRDefault="00200FDA">
      <w:pPr>
        <w:pStyle w:val="BodyText"/>
      </w:pPr>
    </w:p>
    <w:p w:rsidR="00200FDA" w:rsidRDefault="00200FDA">
      <w:pPr>
        <w:pStyle w:val="BodyText"/>
        <w:spacing w:before="7"/>
        <w:rPr>
          <w:sz w:val="21"/>
        </w:rPr>
      </w:pPr>
    </w:p>
    <w:p w:rsidR="00200FDA" w:rsidRDefault="00F76C4C">
      <w:pPr>
        <w:pStyle w:val="Heading8"/>
        <w:ind w:left="280"/>
      </w:pPr>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spacing w:before="10"/>
        <w:rPr>
          <w:sz w:val="19"/>
        </w:rPr>
      </w:pPr>
    </w:p>
    <w:p w:rsidR="00200FDA" w:rsidRDefault="00F76C4C">
      <w:pPr>
        <w:pStyle w:val="BodyText"/>
        <w:spacing w:line="276" w:lineRule="auto"/>
        <w:ind w:left="280" w:right="271"/>
        <w:jc w:val="both"/>
      </w:pPr>
      <w:r>
        <w:t>In</w:t>
      </w:r>
      <w:r>
        <w:rPr>
          <w:spacing w:val="-3"/>
        </w:rPr>
        <w:t xml:space="preserve"> </w:t>
      </w:r>
      <w:r>
        <w:t>2014,</w:t>
      </w:r>
      <w:r>
        <w:rPr>
          <w:spacing w:val="-2"/>
        </w:rPr>
        <w:t xml:space="preserve"> </w:t>
      </w:r>
      <w:r>
        <w:t>former</w:t>
      </w:r>
      <w:r>
        <w:rPr>
          <w:spacing w:val="-4"/>
        </w:rPr>
        <w:t xml:space="preserve"> </w:t>
      </w:r>
      <w:r>
        <w:t>DMH</w:t>
      </w:r>
      <w:r>
        <w:rPr>
          <w:spacing w:val="-3"/>
        </w:rPr>
        <w:t xml:space="preserve"> </w:t>
      </w:r>
      <w:r>
        <w:t>Commissioner</w:t>
      </w:r>
      <w:r>
        <w:rPr>
          <w:spacing w:val="-2"/>
        </w:rPr>
        <w:t xml:space="preserve"> </w:t>
      </w:r>
      <w:r>
        <w:t>Fowler</w:t>
      </w:r>
      <w:r>
        <w:rPr>
          <w:spacing w:val="-4"/>
        </w:rPr>
        <w:t xml:space="preserve"> </w:t>
      </w:r>
      <w:r>
        <w:t>identified</w:t>
      </w:r>
      <w:r>
        <w:rPr>
          <w:spacing w:val="-5"/>
        </w:rPr>
        <w:t xml:space="preserve"> </w:t>
      </w:r>
      <w:r>
        <w:t>LGBTQ</w:t>
      </w:r>
      <w:r>
        <w:rPr>
          <w:spacing w:val="-2"/>
        </w:rPr>
        <w:t xml:space="preserve"> </w:t>
      </w:r>
      <w:r>
        <w:t>individuals</w:t>
      </w:r>
      <w:r>
        <w:rPr>
          <w:spacing w:val="-2"/>
        </w:rPr>
        <w:t xml:space="preserve"> </w:t>
      </w:r>
      <w:r>
        <w:t>as</w:t>
      </w:r>
      <w:r>
        <w:rPr>
          <w:spacing w:val="-2"/>
        </w:rPr>
        <w:t xml:space="preserve"> </w:t>
      </w:r>
      <w:r>
        <w:t>a</w:t>
      </w:r>
      <w:r>
        <w:rPr>
          <w:spacing w:val="-4"/>
        </w:rPr>
        <w:t xml:space="preserve"> </w:t>
      </w:r>
      <w:r>
        <w:t>population</w:t>
      </w:r>
      <w:r>
        <w:rPr>
          <w:spacing w:val="-3"/>
        </w:rPr>
        <w:t xml:space="preserve"> </w:t>
      </w:r>
      <w:r>
        <w:t>needing</w:t>
      </w:r>
      <w:r>
        <w:rPr>
          <w:spacing w:val="-3"/>
        </w:rPr>
        <w:t xml:space="preserve"> </w:t>
      </w:r>
      <w:r>
        <w:t>priority attention, leading to a wide array of service improvements to address the unique needs often faced by LGBTQ</w:t>
      </w:r>
      <w:r>
        <w:rPr>
          <w:spacing w:val="-11"/>
        </w:rPr>
        <w:t xml:space="preserve"> </w:t>
      </w:r>
      <w:r>
        <w:t>youth.</w:t>
      </w:r>
      <w:r>
        <w:rPr>
          <w:spacing w:val="-9"/>
        </w:rPr>
        <w:t xml:space="preserve"> </w:t>
      </w:r>
      <w:r>
        <w:t>Over</w:t>
      </w:r>
      <w:r>
        <w:rPr>
          <w:spacing w:val="-12"/>
        </w:rPr>
        <w:t xml:space="preserve"> </w:t>
      </w:r>
      <w:r>
        <w:t>the</w:t>
      </w:r>
      <w:r>
        <w:rPr>
          <w:spacing w:val="-8"/>
        </w:rPr>
        <w:t xml:space="preserve"> </w:t>
      </w:r>
      <w:r>
        <w:t>past</w:t>
      </w:r>
      <w:r>
        <w:rPr>
          <w:spacing w:val="-8"/>
        </w:rPr>
        <w:t xml:space="preserve"> </w:t>
      </w:r>
      <w:r>
        <w:t>few</w:t>
      </w:r>
      <w:r>
        <w:rPr>
          <w:spacing w:val="-11"/>
        </w:rPr>
        <w:t xml:space="preserve"> </w:t>
      </w:r>
      <w:r>
        <w:t>years,</w:t>
      </w:r>
      <w:r>
        <w:rPr>
          <w:spacing w:val="-11"/>
        </w:rPr>
        <w:t xml:space="preserve"> </w:t>
      </w:r>
      <w:r>
        <w:t>DMH</w:t>
      </w:r>
      <w:r>
        <w:rPr>
          <w:spacing w:val="-10"/>
        </w:rPr>
        <w:t xml:space="preserve"> </w:t>
      </w:r>
      <w:r>
        <w:t>has</w:t>
      </w:r>
      <w:r>
        <w:rPr>
          <w:spacing w:val="-9"/>
        </w:rPr>
        <w:t xml:space="preserve"> </w:t>
      </w:r>
      <w:r>
        <w:t>conducted</w:t>
      </w:r>
      <w:r>
        <w:rPr>
          <w:spacing w:val="-10"/>
        </w:rPr>
        <w:t xml:space="preserve"> </w:t>
      </w:r>
      <w:r>
        <w:t>several</w:t>
      </w:r>
      <w:r>
        <w:rPr>
          <w:spacing w:val="-9"/>
        </w:rPr>
        <w:t xml:space="preserve"> </w:t>
      </w:r>
      <w:r>
        <w:t>needs</w:t>
      </w:r>
      <w:r>
        <w:rPr>
          <w:spacing w:val="-11"/>
        </w:rPr>
        <w:t xml:space="preserve"> </w:t>
      </w:r>
      <w:r>
        <w:t>assessments,</w:t>
      </w:r>
      <w:r>
        <w:rPr>
          <w:spacing w:val="-9"/>
        </w:rPr>
        <w:t xml:space="preserve"> </w:t>
      </w:r>
      <w:r>
        <w:t>and</w:t>
      </w:r>
      <w:r>
        <w:rPr>
          <w:spacing w:val="-10"/>
        </w:rPr>
        <w:t xml:space="preserve"> </w:t>
      </w:r>
      <w:r>
        <w:t>has</w:t>
      </w:r>
      <w:r>
        <w:rPr>
          <w:spacing w:val="-9"/>
        </w:rPr>
        <w:t xml:space="preserve"> </w:t>
      </w:r>
      <w:r>
        <w:t>identified areas where its services and support are st</w:t>
      </w:r>
      <w:r>
        <w:t>rongest and other areas where DMH employees need further training and assistance.</w:t>
      </w:r>
    </w:p>
    <w:p w:rsidR="00200FDA" w:rsidRDefault="00200FDA">
      <w:pPr>
        <w:pStyle w:val="BodyText"/>
        <w:spacing w:before="7"/>
        <w:rPr>
          <w:sz w:val="19"/>
        </w:rPr>
      </w:pPr>
    </w:p>
    <w:p w:rsidR="00200FDA" w:rsidRDefault="00F76C4C">
      <w:pPr>
        <w:pStyle w:val="BodyText"/>
        <w:spacing w:line="276" w:lineRule="auto"/>
        <w:ind w:left="279" w:right="273"/>
        <w:jc w:val="both"/>
      </w:pPr>
      <w:r>
        <w:t>In 2021, DMH released a comprehensive nondiscrimination policy and accompanying guidance, and has made significant progress in training their providers on LGBTQ cultural awa</w:t>
      </w:r>
      <w:r>
        <w:t>reness, fulfilling previous Commission recommendations. In FY 2023, the Commission and DMH have continued to engage in conversations around training - noting that DMH holds high compliance rates among its staff at all area levels,</w:t>
      </w:r>
      <w:r>
        <w:rPr>
          <w:spacing w:val="-7"/>
        </w:rPr>
        <w:t xml:space="preserve"> </w:t>
      </w:r>
      <w:r>
        <w:t>with</w:t>
      </w:r>
      <w:r>
        <w:rPr>
          <w:spacing w:val="-5"/>
        </w:rPr>
        <w:t xml:space="preserve"> </w:t>
      </w:r>
      <w:r>
        <w:t>exception</w:t>
      </w:r>
      <w:r>
        <w:rPr>
          <w:spacing w:val="-7"/>
        </w:rPr>
        <w:t xml:space="preserve"> </w:t>
      </w:r>
      <w:r>
        <w:t>of</w:t>
      </w:r>
      <w:r>
        <w:rPr>
          <w:spacing w:val="-8"/>
        </w:rPr>
        <w:t xml:space="preserve"> </w:t>
      </w:r>
      <w:r>
        <w:t>somewha</w:t>
      </w:r>
      <w:r>
        <w:t>t</w:t>
      </w:r>
      <w:r>
        <w:rPr>
          <w:spacing w:val="-4"/>
        </w:rPr>
        <w:t xml:space="preserve"> </w:t>
      </w:r>
      <w:r>
        <w:t>lower</w:t>
      </w:r>
      <w:r>
        <w:rPr>
          <w:spacing w:val="-7"/>
        </w:rPr>
        <w:t xml:space="preserve"> </w:t>
      </w:r>
      <w:r>
        <w:t>compliance</w:t>
      </w:r>
      <w:r>
        <w:rPr>
          <w:spacing w:val="-8"/>
        </w:rPr>
        <w:t xml:space="preserve"> </w:t>
      </w:r>
      <w:r>
        <w:t>rates</w:t>
      </w:r>
      <w:r>
        <w:rPr>
          <w:spacing w:val="-4"/>
        </w:rPr>
        <w:t xml:space="preserve"> </w:t>
      </w:r>
      <w:r>
        <w:t>for</w:t>
      </w:r>
      <w:r>
        <w:rPr>
          <w:spacing w:val="-7"/>
        </w:rPr>
        <w:t xml:space="preserve"> </w:t>
      </w:r>
      <w:r>
        <w:t>overnight</w:t>
      </w:r>
      <w:r>
        <w:rPr>
          <w:spacing w:val="-6"/>
        </w:rPr>
        <w:t xml:space="preserve"> </w:t>
      </w:r>
      <w:r>
        <w:t>staff.</w:t>
      </w:r>
      <w:r>
        <w:rPr>
          <w:spacing w:val="-7"/>
        </w:rPr>
        <w:t xml:space="preserve"> </w:t>
      </w:r>
      <w:r>
        <w:t>DMH</w:t>
      </w:r>
      <w:r>
        <w:rPr>
          <w:spacing w:val="-5"/>
        </w:rPr>
        <w:t xml:space="preserve"> </w:t>
      </w:r>
      <w:r>
        <w:t>and</w:t>
      </w:r>
      <w:r>
        <w:rPr>
          <w:spacing w:val="-7"/>
        </w:rPr>
        <w:t xml:space="preserve"> </w:t>
      </w:r>
      <w:r>
        <w:t>the</w:t>
      </w:r>
      <w:r>
        <w:rPr>
          <w:spacing w:val="-4"/>
        </w:rPr>
        <w:t xml:space="preserve"> </w:t>
      </w:r>
      <w:r>
        <w:t>Commission hope</w:t>
      </w:r>
      <w:r>
        <w:rPr>
          <w:spacing w:val="-4"/>
        </w:rPr>
        <w:t xml:space="preserve"> </w:t>
      </w:r>
      <w:r>
        <w:t>to</w:t>
      </w:r>
      <w:r>
        <w:rPr>
          <w:spacing w:val="-3"/>
        </w:rPr>
        <w:t xml:space="preserve"> </w:t>
      </w:r>
      <w:r>
        <w:t>partner</w:t>
      </w:r>
      <w:r>
        <w:rPr>
          <w:spacing w:val="-7"/>
        </w:rPr>
        <w:t xml:space="preserve"> </w:t>
      </w:r>
      <w:r>
        <w:t>through</w:t>
      </w:r>
      <w:r>
        <w:rPr>
          <w:spacing w:val="-5"/>
        </w:rPr>
        <w:t xml:space="preserve"> </w:t>
      </w:r>
      <w:r>
        <w:t>the</w:t>
      </w:r>
      <w:r>
        <w:rPr>
          <w:spacing w:val="-4"/>
        </w:rPr>
        <w:t xml:space="preserve"> </w:t>
      </w:r>
      <w:r>
        <w:t>Commission’s</w:t>
      </w:r>
      <w:r>
        <w:rPr>
          <w:spacing w:val="-4"/>
        </w:rPr>
        <w:t xml:space="preserve"> </w:t>
      </w:r>
      <w:r>
        <w:t>agency</w:t>
      </w:r>
      <w:r>
        <w:rPr>
          <w:spacing w:val="-3"/>
        </w:rPr>
        <w:t xml:space="preserve"> </w:t>
      </w:r>
      <w:r>
        <w:t>training</w:t>
      </w:r>
      <w:r>
        <w:rPr>
          <w:spacing w:val="-5"/>
        </w:rPr>
        <w:t xml:space="preserve"> </w:t>
      </w:r>
      <w:r>
        <w:t>system</w:t>
      </w:r>
      <w:r>
        <w:rPr>
          <w:spacing w:val="-3"/>
        </w:rPr>
        <w:t xml:space="preserve"> </w:t>
      </w:r>
      <w:r>
        <w:t>to</w:t>
      </w:r>
      <w:r>
        <w:rPr>
          <w:spacing w:val="-4"/>
        </w:rPr>
        <w:t xml:space="preserve"> </w:t>
      </w:r>
      <w:r>
        <w:t>help</w:t>
      </w:r>
      <w:r>
        <w:rPr>
          <w:spacing w:val="-5"/>
        </w:rPr>
        <w:t xml:space="preserve"> </w:t>
      </w:r>
      <w:r>
        <w:t>support</w:t>
      </w:r>
      <w:r>
        <w:rPr>
          <w:spacing w:val="-4"/>
        </w:rPr>
        <w:t xml:space="preserve"> </w:t>
      </w:r>
      <w:r>
        <w:t>trainings</w:t>
      </w:r>
      <w:r>
        <w:rPr>
          <w:spacing w:val="-4"/>
        </w:rPr>
        <w:t xml:space="preserve"> </w:t>
      </w:r>
      <w:r>
        <w:t>for</w:t>
      </w:r>
      <w:r>
        <w:rPr>
          <w:spacing w:val="-7"/>
        </w:rPr>
        <w:t xml:space="preserve"> </w:t>
      </w:r>
      <w:r>
        <w:t>overnight staff in FY 2024.</w:t>
      </w:r>
    </w:p>
    <w:p w:rsidR="00200FDA" w:rsidRDefault="00200FDA">
      <w:pPr>
        <w:pStyle w:val="BodyText"/>
        <w:spacing w:before="8"/>
        <w:rPr>
          <w:sz w:val="19"/>
        </w:rPr>
      </w:pPr>
    </w:p>
    <w:p w:rsidR="00200FDA" w:rsidRDefault="00F76C4C">
      <w:pPr>
        <w:pStyle w:val="BodyText"/>
        <w:spacing w:line="276" w:lineRule="auto"/>
        <w:ind w:left="280" w:right="274"/>
        <w:jc w:val="both"/>
      </w:pPr>
      <w:r>
        <w:t>In early 2023, DMH’s new</w:t>
      </w:r>
      <w:r>
        <w:rPr>
          <w:spacing w:val="-1"/>
        </w:rPr>
        <w:t xml:space="preserve"> </w:t>
      </w:r>
      <w:hyperlink r:id="rId837">
        <w:r>
          <w:rPr>
            <w:color w:val="1154CC"/>
            <w:u w:val="single" w:color="1154CC"/>
          </w:rPr>
          <w:t>24/7 behavioral health helpline</w:t>
        </w:r>
      </w:hyperlink>
      <w:r>
        <w:rPr>
          <w:color w:val="1154CC"/>
        </w:rPr>
        <w:t xml:space="preserve"> </w:t>
      </w:r>
      <w:r>
        <w:t>which works to provide free, confidential, and accessible support for individuals seeking clinical help. The Commission appreciates DMH’s explicit commitment to ensuring that th</w:t>
      </w:r>
      <w:r>
        <w:t>e helpline provides affirming services for individuals who identify as LGBTQ,</w:t>
      </w:r>
      <w:r>
        <w:rPr>
          <w:spacing w:val="-9"/>
        </w:rPr>
        <w:t xml:space="preserve"> </w:t>
      </w:r>
      <w:r>
        <w:t>BIPOC,</w:t>
      </w:r>
      <w:r>
        <w:rPr>
          <w:spacing w:val="-11"/>
        </w:rPr>
        <w:t xml:space="preserve"> </w:t>
      </w:r>
      <w:r>
        <w:t>and/or</w:t>
      </w:r>
      <w:r>
        <w:rPr>
          <w:spacing w:val="-11"/>
        </w:rPr>
        <w:t xml:space="preserve"> </w:t>
      </w:r>
      <w:r>
        <w:t>Deaf</w:t>
      </w:r>
      <w:r>
        <w:rPr>
          <w:spacing w:val="-11"/>
        </w:rPr>
        <w:t xml:space="preserve"> </w:t>
      </w:r>
      <w:r>
        <w:t>and</w:t>
      </w:r>
      <w:r>
        <w:rPr>
          <w:spacing w:val="-10"/>
        </w:rPr>
        <w:t xml:space="preserve"> </w:t>
      </w:r>
      <w:r>
        <w:t>hard</w:t>
      </w:r>
      <w:r>
        <w:rPr>
          <w:spacing w:val="-12"/>
        </w:rPr>
        <w:t xml:space="preserve"> </w:t>
      </w:r>
      <w:r>
        <w:t>of</w:t>
      </w:r>
      <w:r>
        <w:rPr>
          <w:spacing w:val="-9"/>
        </w:rPr>
        <w:t xml:space="preserve"> </w:t>
      </w:r>
      <w:r>
        <w:t>hearing,</w:t>
      </w:r>
      <w:r>
        <w:rPr>
          <w:spacing w:val="-9"/>
        </w:rPr>
        <w:t xml:space="preserve"> </w:t>
      </w:r>
      <w:r>
        <w:t>as</w:t>
      </w:r>
      <w:r>
        <w:rPr>
          <w:spacing w:val="-11"/>
        </w:rPr>
        <w:t xml:space="preserve"> </w:t>
      </w:r>
      <w:r>
        <w:t>well</w:t>
      </w:r>
      <w:r>
        <w:rPr>
          <w:spacing w:val="-9"/>
        </w:rPr>
        <w:t xml:space="preserve"> </w:t>
      </w:r>
      <w:r>
        <w:t>as</w:t>
      </w:r>
      <w:r>
        <w:rPr>
          <w:spacing w:val="-9"/>
        </w:rPr>
        <w:t xml:space="preserve"> </w:t>
      </w:r>
      <w:r>
        <w:t>individuals</w:t>
      </w:r>
      <w:r>
        <w:rPr>
          <w:spacing w:val="-11"/>
        </w:rPr>
        <w:t xml:space="preserve"> </w:t>
      </w:r>
      <w:r>
        <w:t>with</w:t>
      </w:r>
      <w:r>
        <w:rPr>
          <w:spacing w:val="-10"/>
        </w:rPr>
        <w:t xml:space="preserve"> </w:t>
      </w:r>
      <w:r>
        <w:t>disabilities</w:t>
      </w:r>
      <w:r>
        <w:rPr>
          <w:spacing w:val="-11"/>
        </w:rPr>
        <w:t xml:space="preserve"> </w:t>
      </w:r>
      <w:r>
        <w:t>or</w:t>
      </w:r>
      <w:r>
        <w:rPr>
          <w:spacing w:val="-12"/>
        </w:rPr>
        <w:t xml:space="preserve"> </w:t>
      </w:r>
      <w:r>
        <w:t>who</w:t>
      </w:r>
      <w:r>
        <w:rPr>
          <w:spacing w:val="-8"/>
        </w:rPr>
        <w:t xml:space="preserve"> </w:t>
      </w:r>
      <w:r>
        <w:t>have</w:t>
      </w:r>
      <w:r>
        <w:rPr>
          <w:spacing w:val="-11"/>
        </w:rPr>
        <w:t xml:space="preserve"> </w:t>
      </w:r>
      <w:r>
        <w:t>limited English</w:t>
      </w:r>
      <w:r>
        <w:rPr>
          <w:spacing w:val="-8"/>
        </w:rPr>
        <w:t xml:space="preserve"> </w:t>
      </w:r>
      <w:r>
        <w:t>proficiency.</w:t>
      </w:r>
      <w:r>
        <w:rPr>
          <w:spacing w:val="-10"/>
        </w:rPr>
        <w:t xml:space="preserve"> </w:t>
      </w:r>
      <w:r>
        <w:t>Additionally,</w:t>
      </w:r>
      <w:r>
        <w:rPr>
          <w:spacing w:val="-10"/>
        </w:rPr>
        <w:t xml:space="preserve"> </w:t>
      </w:r>
      <w:r>
        <w:t>DMH</w:t>
      </w:r>
      <w:r>
        <w:rPr>
          <w:spacing w:val="-10"/>
        </w:rPr>
        <w:t xml:space="preserve"> </w:t>
      </w:r>
      <w:r>
        <w:t>supports</w:t>
      </w:r>
      <w:r>
        <w:rPr>
          <w:spacing w:val="-10"/>
        </w:rPr>
        <w:t xml:space="preserve"> </w:t>
      </w:r>
      <w:r>
        <w:t>a</w:t>
      </w:r>
      <w:r>
        <w:rPr>
          <w:spacing w:val="-10"/>
        </w:rPr>
        <w:t xml:space="preserve"> </w:t>
      </w:r>
      <w:r>
        <w:t>wide</w:t>
      </w:r>
      <w:r>
        <w:rPr>
          <w:spacing w:val="-9"/>
        </w:rPr>
        <w:t xml:space="preserve"> </w:t>
      </w:r>
      <w:r>
        <w:t>array</w:t>
      </w:r>
      <w:r>
        <w:rPr>
          <w:spacing w:val="-9"/>
        </w:rPr>
        <w:t xml:space="preserve"> </w:t>
      </w:r>
      <w:r>
        <w:t>of</w:t>
      </w:r>
      <w:r>
        <w:rPr>
          <w:spacing w:val="-10"/>
        </w:rPr>
        <w:t xml:space="preserve"> </w:t>
      </w:r>
      <w:r>
        <w:t>community</w:t>
      </w:r>
      <w:r>
        <w:rPr>
          <w:spacing w:val="-7"/>
        </w:rPr>
        <w:t xml:space="preserve"> </w:t>
      </w:r>
      <w:r>
        <w:t>behavioral</w:t>
      </w:r>
      <w:r>
        <w:rPr>
          <w:spacing w:val="-8"/>
        </w:rPr>
        <w:t xml:space="preserve"> </w:t>
      </w:r>
      <w:r>
        <w:t>health</w:t>
      </w:r>
      <w:r>
        <w:rPr>
          <w:spacing w:val="-10"/>
        </w:rPr>
        <w:t xml:space="preserve"> </w:t>
      </w:r>
      <w:r>
        <w:t>centers</w:t>
      </w:r>
      <w:r>
        <w:rPr>
          <w:spacing w:val="-10"/>
        </w:rPr>
        <w:t xml:space="preserve"> </w:t>
      </w:r>
      <w:r>
        <w:t>that provide core clinic services, crisis services, and adult and youth community crisis stabilization services across the state.</w:t>
      </w:r>
    </w:p>
    <w:p w:rsidR="00200FDA" w:rsidRDefault="00200FDA">
      <w:pPr>
        <w:pStyle w:val="BodyText"/>
        <w:spacing w:before="7"/>
        <w:rPr>
          <w:sz w:val="19"/>
        </w:rPr>
      </w:pPr>
    </w:p>
    <w:p w:rsidR="00200FDA" w:rsidRDefault="00F76C4C">
      <w:pPr>
        <w:pStyle w:val="BodyText"/>
        <w:spacing w:line="276" w:lineRule="auto"/>
        <w:ind w:left="279" w:right="277"/>
        <w:jc w:val="both"/>
      </w:pPr>
      <w:r>
        <w:t>Furthermore,</w:t>
      </w:r>
      <w:r>
        <w:rPr>
          <w:spacing w:val="-11"/>
        </w:rPr>
        <w:t xml:space="preserve"> </w:t>
      </w:r>
      <w:r>
        <w:t>DMH</w:t>
      </w:r>
      <w:r>
        <w:rPr>
          <w:spacing w:val="-10"/>
        </w:rPr>
        <w:t xml:space="preserve"> </w:t>
      </w:r>
      <w:r>
        <w:t>further</w:t>
      </w:r>
      <w:r>
        <w:rPr>
          <w:spacing w:val="-13"/>
        </w:rPr>
        <w:t xml:space="preserve"> </w:t>
      </w:r>
      <w:r>
        <w:t>released</w:t>
      </w:r>
      <w:r>
        <w:rPr>
          <w:spacing w:val="-11"/>
        </w:rPr>
        <w:t xml:space="preserve"> </w:t>
      </w:r>
      <w:r>
        <w:t>guidance</w:t>
      </w:r>
      <w:r>
        <w:rPr>
          <w:spacing w:val="-8"/>
        </w:rPr>
        <w:t xml:space="preserve"> </w:t>
      </w:r>
      <w:r>
        <w:t>on</w:t>
      </w:r>
      <w:r>
        <w:rPr>
          <w:spacing w:val="-12"/>
        </w:rPr>
        <w:t xml:space="preserve"> </w:t>
      </w:r>
      <w:r>
        <w:t>pronouns</w:t>
      </w:r>
      <w:r>
        <w:rPr>
          <w:spacing w:val="-9"/>
        </w:rPr>
        <w:t xml:space="preserve"> </w:t>
      </w:r>
      <w:r>
        <w:t>in</w:t>
      </w:r>
      <w:r>
        <w:rPr>
          <w:spacing w:val="-10"/>
        </w:rPr>
        <w:t xml:space="preserve"> </w:t>
      </w:r>
      <w:r>
        <w:t>February</w:t>
      </w:r>
      <w:r>
        <w:rPr>
          <w:spacing w:val="-11"/>
        </w:rPr>
        <w:t xml:space="preserve"> </w:t>
      </w:r>
      <w:r>
        <w:t>of</w:t>
      </w:r>
      <w:r>
        <w:rPr>
          <w:spacing w:val="-12"/>
        </w:rPr>
        <w:t xml:space="preserve"> </w:t>
      </w:r>
      <w:r>
        <w:t>2023</w:t>
      </w:r>
      <w:r>
        <w:rPr>
          <w:spacing w:val="-11"/>
        </w:rPr>
        <w:t xml:space="preserve"> </w:t>
      </w:r>
      <w:r>
        <w:t>which</w:t>
      </w:r>
      <w:r>
        <w:rPr>
          <w:spacing w:val="-10"/>
        </w:rPr>
        <w:t xml:space="preserve"> </w:t>
      </w:r>
      <w:r>
        <w:t>provided</w:t>
      </w:r>
      <w:r>
        <w:rPr>
          <w:spacing w:val="-12"/>
        </w:rPr>
        <w:t xml:space="preserve"> </w:t>
      </w:r>
      <w:r>
        <w:t>resources</w:t>
      </w:r>
      <w:r>
        <w:t>, and encouraged DMH staff to uphold cultures of inclusion for LGBTQ employees and clients by openly sharing their pronouns wherever possible.</w:t>
      </w:r>
    </w:p>
    <w:p w:rsidR="00200FDA" w:rsidRDefault="00200FDA">
      <w:pPr>
        <w:pStyle w:val="BodyText"/>
        <w:spacing w:before="10"/>
        <w:rPr>
          <w:sz w:val="19"/>
        </w:rPr>
      </w:pPr>
    </w:p>
    <w:p w:rsidR="00200FDA" w:rsidRDefault="00F76C4C">
      <w:pPr>
        <w:pStyle w:val="BodyText"/>
        <w:spacing w:line="276" w:lineRule="auto"/>
        <w:ind w:left="279" w:right="273"/>
        <w:jc w:val="both"/>
      </w:pPr>
      <w:r>
        <w:t>Finally, the Commission was pleased to learn about the ten new Young Adult Access Centers that were opened in FY</w:t>
      </w:r>
      <w:r>
        <w:t xml:space="preserve"> 2022 and FY 2023; Commission staff had the pleasure to visit DMH’s first center in Boston and learn more from staff about their work creating low-barrier, safe, and affirming spaces for youth in their own communities. DMH notes that several of the access </w:t>
      </w:r>
      <w:r>
        <w:t>centers have begun their own LGBTQ support groups, and are designed to be peer-focused and trauma-informed, as well as have majority BIPOC, LGBTQ, and bilingual staff. The spaces work to connect youth with need services, promote leadership opportunities, a</w:t>
      </w:r>
      <w:r>
        <w:t>nd provide skills building and community support. The Commission looks forward</w:t>
      </w:r>
      <w:r>
        <w:rPr>
          <w:spacing w:val="-7"/>
        </w:rPr>
        <w:t xml:space="preserve"> </w:t>
      </w:r>
      <w:r>
        <w:t>to</w:t>
      </w:r>
      <w:r>
        <w:rPr>
          <w:spacing w:val="-5"/>
        </w:rPr>
        <w:t xml:space="preserve"> </w:t>
      </w:r>
      <w:r>
        <w:t>exploring</w:t>
      </w:r>
      <w:r>
        <w:rPr>
          <w:spacing w:val="-7"/>
        </w:rPr>
        <w:t xml:space="preserve"> </w:t>
      </w:r>
      <w:r>
        <w:t>ways</w:t>
      </w:r>
      <w:r>
        <w:rPr>
          <w:spacing w:val="-7"/>
        </w:rPr>
        <w:t xml:space="preserve"> </w:t>
      </w:r>
      <w:r>
        <w:t>to</w:t>
      </w:r>
      <w:r>
        <w:rPr>
          <w:spacing w:val="-5"/>
        </w:rPr>
        <w:t xml:space="preserve"> </w:t>
      </w:r>
      <w:r>
        <w:t>partner</w:t>
      </w:r>
      <w:r>
        <w:rPr>
          <w:spacing w:val="-7"/>
        </w:rPr>
        <w:t xml:space="preserve"> </w:t>
      </w:r>
      <w:r>
        <w:t>with</w:t>
      </w:r>
      <w:r>
        <w:rPr>
          <w:spacing w:val="-7"/>
        </w:rPr>
        <w:t xml:space="preserve"> </w:t>
      </w:r>
      <w:r>
        <w:t>DMH</w:t>
      </w:r>
      <w:r>
        <w:rPr>
          <w:spacing w:val="-7"/>
        </w:rPr>
        <w:t xml:space="preserve"> </w:t>
      </w:r>
      <w:r>
        <w:t>further</w:t>
      </w:r>
      <w:r>
        <w:rPr>
          <w:spacing w:val="-7"/>
        </w:rPr>
        <w:t xml:space="preserve"> </w:t>
      </w:r>
      <w:r>
        <w:t>to</w:t>
      </w:r>
      <w:r>
        <w:rPr>
          <w:spacing w:val="-5"/>
        </w:rPr>
        <w:t xml:space="preserve"> </w:t>
      </w:r>
      <w:r>
        <w:t>support</w:t>
      </w:r>
      <w:r>
        <w:rPr>
          <w:spacing w:val="-8"/>
        </w:rPr>
        <w:t xml:space="preserve"> </w:t>
      </w:r>
      <w:r>
        <w:t>these</w:t>
      </w:r>
      <w:r>
        <w:rPr>
          <w:spacing w:val="-7"/>
        </w:rPr>
        <w:t xml:space="preserve"> </w:t>
      </w:r>
      <w:r>
        <w:t>much</w:t>
      </w:r>
      <w:r>
        <w:rPr>
          <w:spacing w:val="-7"/>
        </w:rPr>
        <w:t xml:space="preserve"> </w:t>
      </w:r>
      <w:r>
        <w:t>needed</w:t>
      </w:r>
      <w:r>
        <w:rPr>
          <w:spacing w:val="-7"/>
        </w:rPr>
        <w:t xml:space="preserve"> </w:t>
      </w:r>
      <w:r>
        <w:t>centers</w:t>
      </w:r>
      <w:r>
        <w:rPr>
          <w:spacing w:val="-7"/>
        </w:rPr>
        <w:t xml:space="preserve"> </w:t>
      </w:r>
      <w:r>
        <w:t>across</w:t>
      </w:r>
      <w:r>
        <w:rPr>
          <w:spacing w:val="-7"/>
        </w:rPr>
        <w:t xml:space="preserve"> </w:t>
      </w:r>
      <w:r>
        <w:t xml:space="preserve">the </w:t>
      </w:r>
      <w:r>
        <w:rPr>
          <w:spacing w:val="-2"/>
        </w:rPr>
        <w:t>state.</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10"/>
        </w:rPr>
      </w:pPr>
    </w:p>
    <w:p w:rsidR="00200FDA" w:rsidRDefault="00F76C4C">
      <w:pPr>
        <w:pStyle w:val="Heading7"/>
        <w:spacing w:before="44"/>
      </w:pPr>
      <w:r>
        <w:pict>
          <v:rect id="docshape569" o:spid="_x0000_s1071" style="position:absolute;left:0;text-align:left;margin-left:70.55pt;margin-top:20.35pt;width:470.9pt;height:.5pt;z-index:-15612928;mso-wrap-distance-left:0;mso-wrap-distance-right:0;mso-position-horizontal-relative:page" fillcolor="#4f81bc" stroked="f">
            <w10:wrap type="topAndBottom" anchorx="page"/>
          </v:rect>
        </w:pict>
      </w:r>
      <w:bookmarkStart w:id="1130" w:name="FY_2024_Expanded_DMH_Recommendations"/>
      <w:bookmarkEnd w:id="1130"/>
      <w:r>
        <w:rPr>
          <w:color w:val="365F91"/>
        </w:rPr>
        <w:t>FY</w:t>
      </w:r>
      <w:r>
        <w:rPr>
          <w:color w:val="365F91"/>
          <w:spacing w:val="-4"/>
        </w:rPr>
        <w:t xml:space="preserve"> </w:t>
      </w:r>
      <w:r>
        <w:rPr>
          <w:color w:val="365F91"/>
        </w:rPr>
        <w:t>2024</w:t>
      </w:r>
      <w:r>
        <w:rPr>
          <w:color w:val="365F91"/>
          <w:spacing w:val="-4"/>
        </w:rPr>
        <w:t xml:space="preserve"> </w:t>
      </w:r>
      <w:r>
        <w:rPr>
          <w:color w:val="365F91"/>
        </w:rPr>
        <w:t>Expanded</w:t>
      </w:r>
      <w:r>
        <w:rPr>
          <w:color w:val="365F91"/>
          <w:spacing w:val="-2"/>
        </w:rPr>
        <w:t xml:space="preserve"> </w:t>
      </w:r>
      <w:r>
        <w:rPr>
          <w:color w:val="365F91"/>
        </w:rPr>
        <w:t>DMH</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6"/>
        <w:rPr>
          <w:sz w:val="23"/>
        </w:rPr>
      </w:pPr>
    </w:p>
    <w:p w:rsidR="00200FDA" w:rsidRDefault="00F76C4C">
      <w:pPr>
        <w:pStyle w:val="Heading9"/>
        <w:numPr>
          <w:ilvl w:val="0"/>
          <w:numId w:val="12"/>
        </w:numPr>
        <w:tabs>
          <w:tab w:val="left" w:pos="525"/>
        </w:tabs>
        <w:spacing w:before="56" w:line="276" w:lineRule="auto"/>
        <w:ind w:right="277" w:firstLine="0"/>
      </w:pPr>
      <w:r>
        <w:t>Explore further</w:t>
      </w:r>
      <w:r>
        <w:rPr>
          <w:spacing w:val="22"/>
        </w:rPr>
        <w:t xml:space="preserve"> </w:t>
      </w:r>
      <w:r>
        <w:t>SOGIE data collection &amp; IT changes</w:t>
      </w:r>
      <w:r>
        <w:rPr>
          <w:spacing w:val="22"/>
        </w:rPr>
        <w:t xml:space="preserve"> </w:t>
      </w:r>
      <w:r>
        <w:t>needed to collect comprehensive data on the</w:t>
      </w:r>
      <w:r>
        <w:rPr>
          <w:spacing w:val="80"/>
        </w:rPr>
        <w:t xml:space="preserve"> </w:t>
      </w:r>
      <w:r>
        <w:t>mental health needs of LGBTQ youth.</w:t>
      </w:r>
    </w:p>
    <w:p w:rsidR="00200FDA" w:rsidRDefault="00200FDA">
      <w:pPr>
        <w:pStyle w:val="BodyText"/>
        <w:spacing w:before="9"/>
        <w:rPr>
          <w:b/>
          <w:sz w:val="19"/>
        </w:rPr>
      </w:pPr>
    </w:p>
    <w:p w:rsidR="00200FDA" w:rsidRDefault="00F76C4C">
      <w:pPr>
        <w:pStyle w:val="BodyText"/>
        <w:spacing w:before="1" w:line="276" w:lineRule="auto"/>
        <w:ind w:left="280" w:right="272"/>
        <w:jc w:val="both"/>
      </w:pPr>
      <w:r>
        <w:t>For</w:t>
      </w:r>
      <w:r>
        <w:rPr>
          <w:spacing w:val="-8"/>
        </w:rPr>
        <w:t xml:space="preserve"> </w:t>
      </w:r>
      <w:r>
        <w:t>several</w:t>
      </w:r>
      <w:r>
        <w:rPr>
          <w:spacing w:val="-8"/>
        </w:rPr>
        <w:t xml:space="preserve"> </w:t>
      </w:r>
      <w:r>
        <w:t>years,</w:t>
      </w:r>
      <w:r>
        <w:rPr>
          <w:spacing w:val="-9"/>
        </w:rPr>
        <w:t xml:space="preserve"> </w:t>
      </w:r>
      <w:r>
        <w:t>DMH</w:t>
      </w:r>
      <w:r>
        <w:rPr>
          <w:spacing w:val="-8"/>
        </w:rPr>
        <w:t xml:space="preserve"> </w:t>
      </w:r>
      <w:r>
        <w:t>has</w:t>
      </w:r>
      <w:r>
        <w:rPr>
          <w:spacing w:val="-9"/>
        </w:rPr>
        <w:t xml:space="preserve"> </w:t>
      </w:r>
      <w:r>
        <w:t>been</w:t>
      </w:r>
      <w:r>
        <w:rPr>
          <w:spacing w:val="-8"/>
        </w:rPr>
        <w:t xml:space="preserve"> </w:t>
      </w:r>
      <w:r>
        <w:t>exploring</w:t>
      </w:r>
      <w:r>
        <w:rPr>
          <w:spacing w:val="-10"/>
        </w:rPr>
        <w:t xml:space="preserve"> </w:t>
      </w:r>
      <w:r>
        <w:t>opportunities</w:t>
      </w:r>
      <w:r>
        <w:rPr>
          <w:spacing w:val="-8"/>
        </w:rPr>
        <w:t xml:space="preserve"> </w:t>
      </w:r>
      <w:r>
        <w:t>to</w:t>
      </w:r>
      <w:r>
        <w:rPr>
          <w:spacing w:val="-6"/>
        </w:rPr>
        <w:t xml:space="preserve"> </w:t>
      </w:r>
      <w:r>
        <w:t>collect</w:t>
      </w:r>
      <w:r>
        <w:rPr>
          <w:spacing w:val="-9"/>
        </w:rPr>
        <w:t xml:space="preserve"> </w:t>
      </w:r>
      <w:r>
        <w:t>comprehensive</w:t>
      </w:r>
      <w:r>
        <w:rPr>
          <w:spacing w:val="-7"/>
        </w:rPr>
        <w:t xml:space="preserve"> </w:t>
      </w:r>
      <w:r>
        <w:t>sexual</w:t>
      </w:r>
      <w:r>
        <w:rPr>
          <w:spacing w:val="-8"/>
        </w:rPr>
        <w:t xml:space="preserve"> </w:t>
      </w:r>
      <w:r>
        <w:t>orientation</w:t>
      </w:r>
      <w:r>
        <w:rPr>
          <w:spacing w:val="-8"/>
        </w:rPr>
        <w:t xml:space="preserve"> </w:t>
      </w:r>
      <w:r>
        <w:t>and gender</w:t>
      </w:r>
      <w:r>
        <w:rPr>
          <w:spacing w:val="-6"/>
        </w:rPr>
        <w:t xml:space="preserve"> </w:t>
      </w:r>
      <w:r>
        <w:t>identity</w:t>
      </w:r>
      <w:r>
        <w:rPr>
          <w:spacing w:val="-5"/>
        </w:rPr>
        <w:t xml:space="preserve"> </w:t>
      </w:r>
      <w:r>
        <w:t>and</w:t>
      </w:r>
      <w:r>
        <w:rPr>
          <w:spacing w:val="-6"/>
        </w:rPr>
        <w:t xml:space="preserve"> </w:t>
      </w:r>
      <w:r>
        <w:t>expression</w:t>
      </w:r>
      <w:r>
        <w:rPr>
          <w:spacing w:val="-6"/>
        </w:rPr>
        <w:t xml:space="preserve"> </w:t>
      </w:r>
      <w:r>
        <w:t>data.</w:t>
      </w:r>
      <w:r>
        <w:rPr>
          <w:spacing w:val="-6"/>
        </w:rPr>
        <w:t xml:space="preserve"> </w:t>
      </w:r>
      <w:r>
        <w:t>In</w:t>
      </w:r>
      <w:r>
        <w:rPr>
          <w:spacing w:val="-6"/>
        </w:rPr>
        <w:t xml:space="preserve"> </w:t>
      </w:r>
      <w:r>
        <w:t>a</w:t>
      </w:r>
      <w:r>
        <w:rPr>
          <w:spacing w:val="-6"/>
        </w:rPr>
        <w:t xml:space="preserve"> </w:t>
      </w:r>
      <w:r>
        <w:t>2021</w:t>
      </w:r>
      <w:r>
        <w:rPr>
          <w:spacing w:val="-5"/>
        </w:rPr>
        <w:t xml:space="preserve"> </w:t>
      </w:r>
      <w:r>
        <w:t>audit</w:t>
      </w:r>
      <w:r>
        <w:rPr>
          <w:spacing w:val="-5"/>
        </w:rPr>
        <w:t xml:space="preserve"> </w:t>
      </w:r>
      <w:r>
        <w:t>of</w:t>
      </w:r>
      <w:r>
        <w:rPr>
          <w:spacing w:val="-6"/>
        </w:rPr>
        <w:t xml:space="preserve"> </w:t>
      </w:r>
      <w:r>
        <w:t>its</w:t>
      </w:r>
      <w:r>
        <w:rPr>
          <w:spacing w:val="-6"/>
        </w:rPr>
        <w:t xml:space="preserve"> </w:t>
      </w:r>
      <w:r>
        <w:t>current</w:t>
      </w:r>
      <w:r>
        <w:rPr>
          <w:spacing w:val="-5"/>
        </w:rPr>
        <w:t xml:space="preserve"> </w:t>
      </w:r>
      <w:r>
        <w:t>data</w:t>
      </w:r>
      <w:r>
        <w:rPr>
          <w:spacing w:val="-6"/>
        </w:rPr>
        <w:t xml:space="preserve"> </w:t>
      </w:r>
      <w:r>
        <w:t>collection</w:t>
      </w:r>
      <w:r>
        <w:rPr>
          <w:spacing w:val="-9"/>
        </w:rPr>
        <w:t xml:space="preserve"> </w:t>
      </w:r>
      <w:r>
        <w:t>measures,</w:t>
      </w:r>
      <w:r>
        <w:rPr>
          <w:spacing w:val="-6"/>
        </w:rPr>
        <w:t xml:space="preserve"> </w:t>
      </w:r>
      <w:r>
        <w:t>DMH</w:t>
      </w:r>
      <w:r>
        <w:rPr>
          <w:spacing w:val="-6"/>
        </w:rPr>
        <w:t xml:space="preserve"> </w:t>
      </w:r>
      <w:r>
        <w:t xml:space="preserve">relayed to the Commission that there are existing issues with the data collection field. These issues include the fields being difficult to find and not being mandatory; to resolve these issues </w:t>
      </w:r>
      <w:r>
        <w:t>would require a thorough technology</w:t>
      </w:r>
      <w:r>
        <w:rPr>
          <w:spacing w:val="-3"/>
        </w:rPr>
        <w:t xml:space="preserve"> </w:t>
      </w:r>
      <w:r>
        <w:t>update,</w:t>
      </w:r>
      <w:r>
        <w:rPr>
          <w:spacing w:val="-4"/>
        </w:rPr>
        <w:t xml:space="preserve"> </w:t>
      </w:r>
      <w:r>
        <w:t>which</w:t>
      </w:r>
      <w:r>
        <w:rPr>
          <w:spacing w:val="-5"/>
        </w:rPr>
        <w:t xml:space="preserve"> </w:t>
      </w:r>
      <w:r>
        <w:t>can</w:t>
      </w:r>
      <w:r>
        <w:rPr>
          <w:spacing w:val="-3"/>
        </w:rPr>
        <w:t xml:space="preserve"> </w:t>
      </w:r>
      <w:r>
        <w:t>typically</w:t>
      </w:r>
      <w:r>
        <w:rPr>
          <w:spacing w:val="-2"/>
        </w:rPr>
        <w:t xml:space="preserve"> </w:t>
      </w:r>
      <w:r>
        <w:t>be</w:t>
      </w:r>
      <w:r>
        <w:rPr>
          <w:spacing w:val="-2"/>
        </w:rPr>
        <w:t xml:space="preserve"> </w:t>
      </w:r>
      <w:r>
        <w:t>a</w:t>
      </w:r>
      <w:r>
        <w:rPr>
          <w:spacing w:val="-3"/>
        </w:rPr>
        <w:t xml:space="preserve"> </w:t>
      </w:r>
      <w:r>
        <w:t>large</w:t>
      </w:r>
      <w:r>
        <w:rPr>
          <w:spacing w:val="-2"/>
        </w:rPr>
        <w:t xml:space="preserve"> </w:t>
      </w:r>
      <w:r>
        <w:t>haul</w:t>
      </w:r>
      <w:r>
        <w:rPr>
          <w:spacing w:val="-3"/>
        </w:rPr>
        <w:t xml:space="preserve"> </w:t>
      </w:r>
      <w:r>
        <w:t>for</w:t>
      </w:r>
      <w:r>
        <w:rPr>
          <w:spacing w:val="-4"/>
        </w:rPr>
        <w:t xml:space="preserve"> </w:t>
      </w:r>
      <w:r>
        <w:t>any</w:t>
      </w:r>
      <w:r>
        <w:rPr>
          <w:spacing w:val="-2"/>
        </w:rPr>
        <w:t xml:space="preserve"> </w:t>
      </w:r>
      <w:r>
        <w:t>state</w:t>
      </w:r>
      <w:r>
        <w:rPr>
          <w:spacing w:val="-2"/>
        </w:rPr>
        <w:t xml:space="preserve"> </w:t>
      </w:r>
      <w:r>
        <w:t>agency’s</w:t>
      </w:r>
      <w:r>
        <w:rPr>
          <w:spacing w:val="-4"/>
        </w:rPr>
        <w:t xml:space="preserve"> </w:t>
      </w:r>
      <w:r>
        <w:t>IT</w:t>
      </w:r>
      <w:r>
        <w:rPr>
          <w:spacing w:val="-2"/>
        </w:rPr>
        <w:t xml:space="preserve"> </w:t>
      </w:r>
      <w:r>
        <w:t>departments.</w:t>
      </w:r>
      <w:r>
        <w:rPr>
          <w:spacing w:val="-5"/>
        </w:rPr>
        <w:t xml:space="preserve"> </w:t>
      </w:r>
      <w:r>
        <w:t>Regardless, the update is necessary and is needed more than ever as the mental health needs of LGBTQ youth continue</w:t>
      </w:r>
      <w:r>
        <w:rPr>
          <w:spacing w:val="-6"/>
        </w:rPr>
        <w:t xml:space="preserve"> </w:t>
      </w:r>
      <w:r>
        <w:t>to</w:t>
      </w:r>
      <w:r>
        <w:rPr>
          <w:spacing w:val="-6"/>
        </w:rPr>
        <w:t xml:space="preserve"> </w:t>
      </w:r>
      <w:r>
        <w:t>grow,</w:t>
      </w:r>
      <w:r>
        <w:rPr>
          <w:spacing w:val="-7"/>
        </w:rPr>
        <w:t xml:space="preserve"> </w:t>
      </w:r>
      <w:r>
        <w:t>as</w:t>
      </w:r>
      <w:r>
        <w:rPr>
          <w:spacing w:val="-4"/>
        </w:rPr>
        <w:t xml:space="preserve"> </w:t>
      </w:r>
      <w:r>
        <w:t>discussed</w:t>
      </w:r>
      <w:r>
        <w:rPr>
          <w:spacing w:val="-5"/>
        </w:rPr>
        <w:t xml:space="preserve"> </w:t>
      </w:r>
      <w:r>
        <w:t>in</w:t>
      </w:r>
      <w:r>
        <w:rPr>
          <w:spacing w:val="-5"/>
        </w:rPr>
        <w:t xml:space="preserve"> </w:t>
      </w:r>
      <w:r>
        <w:t>the</w:t>
      </w:r>
      <w:r>
        <w:rPr>
          <w:spacing w:val="-4"/>
        </w:rPr>
        <w:t xml:space="preserve"> </w:t>
      </w:r>
      <w:r>
        <w:t>research</w:t>
      </w:r>
      <w:r>
        <w:rPr>
          <w:spacing w:val="-5"/>
        </w:rPr>
        <w:t xml:space="preserve"> </w:t>
      </w:r>
      <w:r>
        <w:t>section</w:t>
      </w:r>
      <w:r>
        <w:rPr>
          <w:spacing w:val="-7"/>
        </w:rPr>
        <w:t xml:space="preserve"> </w:t>
      </w:r>
      <w:r>
        <w:t>above.</w:t>
      </w:r>
      <w:r>
        <w:rPr>
          <w:spacing w:val="-5"/>
        </w:rPr>
        <w:t xml:space="preserve"> </w:t>
      </w:r>
      <w:r>
        <w:t>The</w:t>
      </w:r>
      <w:r>
        <w:rPr>
          <w:spacing w:val="-6"/>
        </w:rPr>
        <w:t xml:space="preserve"> </w:t>
      </w:r>
      <w:r>
        <w:t>Commission</w:t>
      </w:r>
      <w:r>
        <w:rPr>
          <w:spacing w:val="-7"/>
        </w:rPr>
        <w:t xml:space="preserve"> </w:t>
      </w:r>
      <w:r>
        <w:t>strongly</w:t>
      </w:r>
      <w:r>
        <w:rPr>
          <w:spacing w:val="-4"/>
        </w:rPr>
        <w:t xml:space="preserve"> </w:t>
      </w:r>
      <w:r>
        <w:t>recommends</w:t>
      </w:r>
      <w:r>
        <w:rPr>
          <w:spacing w:val="-4"/>
        </w:rPr>
        <w:t xml:space="preserve"> </w:t>
      </w:r>
      <w:r>
        <w:t>that DMH make updating their data collection systems a priority in the coming 2024 fiscal year.</w:t>
      </w:r>
    </w:p>
    <w:p w:rsidR="00200FDA" w:rsidRDefault="00200FDA">
      <w:pPr>
        <w:pStyle w:val="BodyText"/>
        <w:spacing w:before="6"/>
        <w:rPr>
          <w:sz w:val="19"/>
        </w:rPr>
      </w:pPr>
    </w:p>
    <w:p w:rsidR="00200FDA" w:rsidRDefault="00F76C4C">
      <w:pPr>
        <w:pStyle w:val="BodyText"/>
        <w:spacing w:line="276" w:lineRule="auto"/>
        <w:ind w:left="279" w:right="275"/>
        <w:jc w:val="both"/>
      </w:pPr>
      <w:r>
        <w:t>Furthermore,</w:t>
      </w:r>
      <w:r>
        <w:rPr>
          <w:spacing w:val="-2"/>
        </w:rPr>
        <w:t xml:space="preserve"> </w:t>
      </w:r>
      <w:r>
        <w:t>DMH - along</w:t>
      </w:r>
      <w:r>
        <w:rPr>
          <w:spacing w:val="-2"/>
        </w:rPr>
        <w:t xml:space="preserve"> </w:t>
      </w:r>
      <w:r>
        <w:t>with a number</w:t>
      </w:r>
      <w:r>
        <w:rPr>
          <w:spacing w:val="-2"/>
        </w:rPr>
        <w:t xml:space="preserve"> </w:t>
      </w:r>
      <w:r>
        <w:t>of</w:t>
      </w:r>
      <w:r>
        <w:rPr>
          <w:spacing w:val="-2"/>
        </w:rPr>
        <w:t xml:space="preserve"> </w:t>
      </w:r>
      <w:r>
        <w:t>other agencies -</w:t>
      </w:r>
      <w:r>
        <w:rPr>
          <w:spacing w:val="-2"/>
        </w:rPr>
        <w:t xml:space="preserve"> </w:t>
      </w:r>
      <w:r>
        <w:t>have</w:t>
      </w:r>
      <w:r>
        <w:rPr>
          <w:spacing w:val="-1"/>
        </w:rPr>
        <w:t xml:space="preserve"> </w:t>
      </w:r>
      <w:r>
        <w:t>noted</w:t>
      </w:r>
      <w:r>
        <w:rPr>
          <w:spacing w:val="-2"/>
        </w:rPr>
        <w:t xml:space="preserve"> </w:t>
      </w:r>
      <w:r>
        <w:t>the difficulties</w:t>
      </w:r>
      <w:r>
        <w:rPr>
          <w:spacing w:val="-2"/>
        </w:rPr>
        <w:t xml:space="preserve"> </w:t>
      </w:r>
      <w:r>
        <w:t>of appropriately collecting SOGIE data, or ensuring that their forms and policies are inclusive, due to conflicting federal requirements.</w:t>
      </w:r>
      <w:r>
        <w:rPr>
          <w:spacing w:val="-11"/>
        </w:rPr>
        <w:t xml:space="preserve"> </w:t>
      </w:r>
      <w:r>
        <w:t>In</w:t>
      </w:r>
      <w:r>
        <w:rPr>
          <w:spacing w:val="-10"/>
        </w:rPr>
        <w:t xml:space="preserve"> </w:t>
      </w:r>
      <w:r>
        <w:t>particular,</w:t>
      </w:r>
      <w:r>
        <w:rPr>
          <w:spacing w:val="-11"/>
        </w:rPr>
        <w:t xml:space="preserve"> </w:t>
      </w:r>
      <w:r>
        <w:t>for</w:t>
      </w:r>
      <w:r>
        <w:rPr>
          <w:spacing w:val="-12"/>
        </w:rPr>
        <w:t xml:space="preserve"> </w:t>
      </w:r>
      <w:r>
        <w:t>DMH,</w:t>
      </w:r>
      <w:r>
        <w:rPr>
          <w:spacing w:val="-11"/>
        </w:rPr>
        <w:t xml:space="preserve"> </w:t>
      </w:r>
      <w:r>
        <w:t>MassHealth,</w:t>
      </w:r>
      <w:r>
        <w:rPr>
          <w:spacing w:val="-9"/>
        </w:rPr>
        <w:t xml:space="preserve"> </w:t>
      </w:r>
      <w:r>
        <w:t>and</w:t>
      </w:r>
      <w:r>
        <w:rPr>
          <w:spacing w:val="-13"/>
        </w:rPr>
        <w:t xml:space="preserve"> </w:t>
      </w:r>
      <w:r>
        <w:t>DPH,</w:t>
      </w:r>
      <w:r>
        <w:rPr>
          <w:spacing w:val="-10"/>
        </w:rPr>
        <w:t xml:space="preserve"> </w:t>
      </w:r>
      <w:r>
        <w:t>there</w:t>
      </w:r>
      <w:r>
        <w:rPr>
          <w:spacing w:val="-8"/>
        </w:rPr>
        <w:t xml:space="preserve"> </w:t>
      </w:r>
      <w:r>
        <w:t>are</w:t>
      </w:r>
      <w:r>
        <w:rPr>
          <w:spacing w:val="-11"/>
        </w:rPr>
        <w:t xml:space="preserve"> </w:t>
      </w:r>
      <w:r>
        <w:t>medical</w:t>
      </w:r>
      <w:r>
        <w:rPr>
          <w:spacing w:val="-12"/>
        </w:rPr>
        <w:t xml:space="preserve"> </w:t>
      </w:r>
      <w:r>
        <w:t>codes</w:t>
      </w:r>
      <w:r>
        <w:rPr>
          <w:spacing w:val="-9"/>
        </w:rPr>
        <w:t xml:space="preserve"> </w:t>
      </w:r>
      <w:r>
        <w:t>in</w:t>
      </w:r>
      <w:r>
        <w:rPr>
          <w:spacing w:val="-10"/>
        </w:rPr>
        <w:t xml:space="preserve"> </w:t>
      </w:r>
      <w:r>
        <w:t>place</w:t>
      </w:r>
      <w:r>
        <w:rPr>
          <w:spacing w:val="-11"/>
        </w:rPr>
        <w:t xml:space="preserve"> </w:t>
      </w:r>
      <w:r>
        <w:t>that</w:t>
      </w:r>
      <w:r>
        <w:rPr>
          <w:spacing w:val="-9"/>
        </w:rPr>
        <w:t xml:space="preserve"> </w:t>
      </w:r>
      <w:r>
        <w:t>prevent appropriate inclusive SOGIE</w:t>
      </w:r>
      <w:r>
        <w:t xml:space="preserve"> data collection. The Commission recommends that DMH, MassHealth, and DPH form a collaborative attempt to address these barriers at the federal level.</w:t>
      </w:r>
    </w:p>
    <w:p w:rsidR="00200FDA" w:rsidRDefault="00200FDA">
      <w:pPr>
        <w:pStyle w:val="BodyText"/>
      </w:pPr>
    </w:p>
    <w:p w:rsidR="00200FDA" w:rsidRDefault="00200FDA">
      <w:pPr>
        <w:pStyle w:val="BodyText"/>
        <w:spacing w:before="11"/>
      </w:pPr>
    </w:p>
    <w:p w:rsidR="00200FDA" w:rsidRDefault="00F76C4C">
      <w:pPr>
        <w:pStyle w:val="Heading9"/>
        <w:numPr>
          <w:ilvl w:val="0"/>
          <w:numId w:val="12"/>
        </w:numPr>
        <w:tabs>
          <w:tab w:val="left" w:pos="501"/>
        </w:tabs>
        <w:spacing w:line="276" w:lineRule="auto"/>
        <w:ind w:left="279" w:right="274" w:firstLine="0"/>
      </w:pPr>
      <w:r>
        <w:t>Facilitate</w:t>
      </w:r>
      <w:r>
        <w:rPr>
          <w:spacing w:val="-6"/>
        </w:rPr>
        <w:t xml:space="preserve"> </w:t>
      </w:r>
      <w:r>
        <w:t>trainings</w:t>
      </w:r>
      <w:r>
        <w:rPr>
          <w:spacing w:val="-5"/>
        </w:rPr>
        <w:t xml:space="preserve"> </w:t>
      </w:r>
      <w:r>
        <w:t>on</w:t>
      </w:r>
      <w:r>
        <w:rPr>
          <w:spacing w:val="-6"/>
        </w:rPr>
        <w:t xml:space="preserve"> </w:t>
      </w:r>
      <w:r>
        <w:t>LGBTQ</w:t>
      </w:r>
      <w:r>
        <w:rPr>
          <w:spacing w:val="-8"/>
        </w:rPr>
        <w:t xml:space="preserve"> </w:t>
      </w:r>
      <w:r>
        <w:t>cultural</w:t>
      </w:r>
      <w:r>
        <w:rPr>
          <w:spacing w:val="-4"/>
        </w:rPr>
        <w:t xml:space="preserve"> </w:t>
      </w:r>
      <w:r>
        <w:t>awareness</w:t>
      </w:r>
      <w:r>
        <w:rPr>
          <w:spacing w:val="-5"/>
        </w:rPr>
        <w:t xml:space="preserve"> </w:t>
      </w:r>
      <w:r>
        <w:t>and</w:t>
      </w:r>
      <w:r>
        <w:rPr>
          <w:spacing w:val="-6"/>
        </w:rPr>
        <w:t xml:space="preserve"> </w:t>
      </w:r>
      <w:r>
        <w:t>racial</w:t>
      </w:r>
      <w:r>
        <w:rPr>
          <w:spacing w:val="-4"/>
        </w:rPr>
        <w:t xml:space="preserve"> </w:t>
      </w:r>
      <w:r>
        <w:t>equity,</w:t>
      </w:r>
      <w:r>
        <w:rPr>
          <w:spacing w:val="-5"/>
        </w:rPr>
        <w:t xml:space="preserve"> </w:t>
      </w:r>
      <w:r>
        <w:t>with</w:t>
      </w:r>
      <w:r>
        <w:rPr>
          <w:spacing w:val="-6"/>
        </w:rPr>
        <w:t xml:space="preserve"> </w:t>
      </w:r>
      <w:r>
        <w:t>particular</w:t>
      </w:r>
      <w:r>
        <w:rPr>
          <w:spacing w:val="-5"/>
        </w:rPr>
        <w:t xml:space="preserve"> </w:t>
      </w:r>
      <w:r>
        <w:t>attention</w:t>
      </w:r>
      <w:r>
        <w:rPr>
          <w:spacing w:val="-6"/>
        </w:rPr>
        <w:t xml:space="preserve"> </w:t>
      </w:r>
      <w:r>
        <w:t>to</w:t>
      </w:r>
      <w:r>
        <w:rPr>
          <w:spacing w:val="-6"/>
        </w:rPr>
        <w:t xml:space="preserve"> </w:t>
      </w:r>
      <w:r>
        <w:t xml:space="preserve">youth </w:t>
      </w:r>
      <w:r>
        <w:t>and access to affirming care.</w:t>
      </w:r>
    </w:p>
    <w:p w:rsidR="00200FDA" w:rsidRDefault="00200FDA">
      <w:pPr>
        <w:pStyle w:val="BodyText"/>
        <w:spacing w:before="10"/>
        <w:rPr>
          <w:b/>
          <w:sz w:val="19"/>
        </w:rPr>
      </w:pPr>
    </w:p>
    <w:p w:rsidR="00200FDA" w:rsidRDefault="00F76C4C">
      <w:pPr>
        <w:pStyle w:val="BodyText"/>
        <w:spacing w:line="276" w:lineRule="auto"/>
        <w:ind w:left="279" w:right="273"/>
        <w:jc w:val="both"/>
      </w:pPr>
      <w:bookmarkStart w:id="1131" w:name="_bookmark892"/>
      <w:bookmarkEnd w:id="1131"/>
      <w:r>
        <w:t>For many years, the Commission has made a recommendation to DMH to continue to provide LGBTQ competency</w:t>
      </w:r>
      <w:r>
        <w:rPr>
          <w:spacing w:val="-13"/>
        </w:rPr>
        <w:t xml:space="preserve"> </w:t>
      </w:r>
      <w:r>
        <w:t>trainings</w:t>
      </w:r>
      <w:r>
        <w:rPr>
          <w:spacing w:val="-12"/>
        </w:rPr>
        <w:t xml:space="preserve"> </w:t>
      </w:r>
      <w:r>
        <w:t>to</w:t>
      </w:r>
      <w:r>
        <w:rPr>
          <w:spacing w:val="-13"/>
        </w:rPr>
        <w:t xml:space="preserve"> </w:t>
      </w:r>
      <w:r>
        <w:t>all</w:t>
      </w:r>
      <w:r>
        <w:rPr>
          <w:spacing w:val="-12"/>
        </w:rPr>
        <w:t xml:space="preserve"> </w:t>
      </w:r>
      <w:r>
        <w:t>DMH</w:t>
      </w:r>
      <w:r>
        <w:rPr>
          <w:spacing w:val="-13"/>
        </w:rPr>
        <w:t xml:space="preserve"> </w:t>
      </w:r>
      <w:r>
        <w:t>employees</w:t>
      </w:r>
      <w:r>
        <w:rPr>
          <w:spacing w:val="-12"/>
        </w:rPr>
        <w:t xml:space="preserve"> </w:t>
      </w:r>
      <w:r>
        <w:t>and</w:t>
      </w:r>
      <w:r>
        <w:rPr>
          <w:spacing w:val="-13"/>
        </w:rPr>
        <w:t xml:space="preserve"> </w:t>
      </w:r>
      <w:r>
        <w:t>providers.</w:t>
      </w:r>
      <w:r>
        <w:rPr>
          <w:spacing w:val="-12"/>
        </w:rPr>
        <w:t xml:space="preserve"> </w:t>
      </w:r>
      <w:r>
        <w:t>The</w:t>
      </w:r>
      <w:r>
        <w:rPr>
          <w:spacing w:val="-12"/>
        </w:rPr>
        <w:t xml:space="preserve"> </w:t>
      </w:r>
      <w:r>
        <w:t>Commission</w:t>
      </w:r>
      <w:r>
        <w:rPr>
          <w:spacing w:val="-13"/>
        </w:rPr>
        <w:t xml:space="preserve"> </w:t>
      </w:r>
      <w:r>
        <w:t>has</w:t>
      </w:r>
      <w:r>
        <w:rPr>
          <w:spacing w:val="-12"/>
        </w:rPr>
        <w:t xml:space="preserve"> </w:t>
      </w:r>
      <w:r>
        <w:t>been</w:t>
      </w:r>
      <w:r>
        <w:rPr>
          <w:spacing w:val="-13"/>
        </w:rPr>
        <w:t xml:space="preserve"> </w:t>
      </w:r>
      <w:r>
        <w:t>pleased</w:t>
      </w:r>
      <w:r>
        <w:rPr>
          <w:spacing w:val="-12"/>
        </w:rPr>
        <w:t xml:space="preserve"> </w:t>
      </w:r>
      <w:r>
        <w:t>with</w:t>
      </w:r>
      <w:r>
        <w:rPr>
          <w:spacing w:val="-13"/>
        </w:rPr>
        <w:t xml:space="preserve"> </w:t>
      </w:r>
      <w:r>
        <w:t>DMH’s progress in this</w:t>
      </w:r>
      <w:r>
        <w:rPr>
          <w:spacing w:val="-1"/>
        </w:rPr>
        <w:t xml:space="preserve"> </w:t>
      </w:r>
      <w:r>
        <w:t>area,</w:t>
      </w:r>
      <w:r>
        <w:rPr>
          <w:spacing w:val="-1"/>
        </w:rPr>
        <w:t xml:space="preserve"> </w:t>
      </w:r>
      <w:r>
        <w:t>with</w:t>
      </w:r>
      <w:r>
        <w:rPr>
          <w:spacing w:val="-2"/>
        </w:rPr>
        <w:t xml:space="preserve"> </w:t>
      </w:r>
      <w:r>
        <w:t>high compliance rates across most regions</w:t>
      </w:r>
      <w:r>
        <w:rPr>
          <w:spacing w:val="-1"/>
        </w:rPr>
        <w:t xml:space="preserve"> </w:t>
      </w:r>
      <w:r>
        <w:t>and areas.</w:t>
      </w:r>
      <w:r>
        <w:rPr>
          <w:spacing w:val="-1"/>
        </w:rPr>
        <w:t xml:space="preserve"> </w:t>
      </w:r>
      <w:r>
        <w:t>Additionally, in FY 2022, DMH embedded a section on LGBTQ service provision into their mandatory employee annual review training. With the understanding that gaining high compliance rates on training for</w:t>
      </w:r>
      <w:r>
        <w:t xml:space="preserve"> 24/7 program staff continues</w:t>
      </w:r>
      <w:r>
        <w:rPr>
          <w:spacing w:val="-7"/>
        </w:rPr>
        <w:t xml:space="preserve"> </w:t>
      </w:r>
      <w:r>
        <w:t>to</w:t>
      </w:r>
      <w:r>
        <w:rPr>
          <w:spacing w:val="-3"/>
        </w:rPr>
        <w:t xml:space="preserve"> </w:t>
      </w:r>
      <w:r>
        <w:t>be</w:t>
      </w:r>
      <w:r>
        <w:rPr>
          <w:spacing w:val="-6"/>
        </w:rPr>
        <w:t xml:space="preserve"> </w:t>
      </w:r>
      <w:r>
        <w:t>difficult,</w:t>
      </w:r>
      <w:r>
        <w:rPr>
          <w:spacing w:val="-7"/>
        </w:rPr>
        <w:t xml:space="preserve"> </w:t>
      </w:r>
      <w:r>
        <w:t>the</w:t>
      </w:r>
      <w:r>
        <w:rPr>
          <w:spacing w:val="-4"/>
        </w:rPr>
        <w:t xml:space="preserve"> </w:t>
      </w:r>
      <w:r>
        <w:t>Commission</w:t>
      </w:r>
      <w:r>
        <w:rPr>
          <w:spacing w:val="-8"/>
        </w:rPr>
        <w:t xml:space="preserve"> </w:t>
      </w:r>
      <w:r>
        <w:t>&amp;</w:t>
      </w:r>
      <w:r>
        <w:rPr>
          <w:spacing w:val="-6"/>
        </w:rPr>
        <w:t xml:space="preserve"> </w:t>
      </w:r>
      <w:r>
        <w:t>DMH</w:t>
      </w:r>
      <w:r>
        <w:rPr>
          <w:spacing w:val="-5"/>
        </w:rPr>
        <w:t xml:space="preserve"> </w:t>
      </w:r>
      <w:r>
        <w:t>are</w:t>
      </w:r>
      <w:r>
        <w:rPr>
          <w:spacing w:val="-6"/>
        </w:rPr>
        <w:t xml:space="preserve"> </w:t>
      </w:r>
      <w:r>
        <w:t>working</w:t>
      </w:r>
      <w:r>
        <w:rPr>
          <w:spacing w:val="-7"/>
        </w:rPr>
        <w:t xml:space="preserve"> </w:t>
      </w:r>
      <w:r>
        <w:t>to</w:t>
      </w:r>
      <w:r>
        <w:rPr>
          <w:spacing w:val="-3"/>
        </w:rPr>
        <w:t xml:space="preserve"> </w:t>
      </w:r>
      <w:r>
        <w:t>find</w:t>
      </w:r>
      <w:r>
        <w:rPr>
          <w:spacing w:val="-5"/>
        </w:rPr>
        <w:t xml:space="preserve"> </w:t>
      </w:r>
      <w:r>
        <w:t>flexible</w:t>
      </w:r>
      <w:r>
        <w:rPr>
          <w:spacing w:val="-6"/>
        </w:rPr>
        <w:t xml:space="preserve"> </w:t>
      </w:r>
      <w:r>
        <w:t>and</w:t>
      </w:r>
      <w:r>
        <w:rPr>
          <w:spacing w:val="-8"/>
        </w:rPr>
        <w:t xml:space="preserve"> </w:t>
      </w:r>
      <w:r>
        <w:t>considerate</w:t>
      </w:r>
      <w:r>
        <w:rPr>
          <w:spacing w:val="-6"/>
        </w:rPr>
        <w:t xml:space="preserve"> </w:t>
      </w:r>
      <w:r>
        <w:t>solutions</w:t>
      </w:r>
      <w:r>
        <w:rPr>
          <w:spacing w:val="-7"/>
        </w:rPr>
        <w:t xml:space="preserve"> </w:t>
      </w:r>
      <w:r>
        <w:t>to provide trainings to overnight staff.</w:t>
      </w:r>
    </w:p>
    <w:p w:rsidR="00200FDA" w:rsidRDefault="00200FDA">
      <w:pPr>
        <w:pStyle w:val="BodyText"/>
        <w:spacing w:before="6"/>
        <w:rPr>
          <w:sz w:val="19"/>
        </w:rPr>
      </w:pPr>
    </w:p>
    <w:p w:rsidR="00200FDA" w:rsidRDefault="00F76C4C">
      <w:pPr>
        <w:pStyle w:val="BodyText"/>
        <w:spacing w:line="276" w:lineRule="auto"/>
        <w:ind w:left="279" w:right="272"/>
        <w:jc w:val="both"/>
      </w:pPr>
      <w:r>
        <w:t>Further</w:t>
      </w:r>
      <w:r>
        <w:rPr>
          <w:spacing w:val="-2"/>
        </w:rPr>
        <w:t xml:space="preserve"> </w:t>
      </w:r>
      <w:r>
        <w:t>steps</w:t>
      </w:r>
      <w:r>
        <w:rPr>
          <w:spacing w:val="-2"/>
        </w:rPr>
        <w:t xml:space="preserve"> </w:t>
      </w:r>
      <w:r>
        <w:t>that</w:t>
      </w:r>
      <w:r>
        <w:rPr>
          <w:spacing w:val="-4"/>
        </w:rPr>
        <w:t xml:space="preserve"> </w:t>
      </w:r>
      <w:r>
        <w:t>DMH</w:t>
      </w:r>
      <w:r>
        <w:rPr>
          <w:spacing w:val="-4"/>
        </w:rPr>
        <w:t xml:space="preserve"> </w:t>
      </w:r>
      <w:r>
        <w:t>should</w:t>
      </w:r>
      <w:r>
        <w:rPr>
          <w:spacing w:val="-3"/>
        </w:rPr>
        <w:t xml:space="preserve"> </w:t>
      </w:r>
      <w:r>
        <w:t>take</w:t>
      </w:r>
      <w:r>
        <w:rPr>
          <w:spacing w:val="-1"/>
        </w:rPr>
        <w:t xml:space="preserve"> </w:t>
      </w:r>
      <w:r>
        <w:t>in</w:t>
      </w:r>
      <w:r>
        <w:rPr>
          <w:spacing w:val="-4"/>
        </w:rPr>
        <w:t xml:space="preserve"> </w:t>
      </w:r>
      <w:r>
        <w:t>the</w:t>
      </w:r>
      <w:r>
        <w:rPr>
          <w:spacing w:val="-4"/>
        </w:rPr>
        <w:t xml:space="preserve"> </w:t>
      </w:r>
      <w:r>
        <w:t>area</w:t>
      </w:r>
      <w:r>
        <w:rPr>
          <w:spacing w:val="-4"/>
        </w:rPr>
        <w:t xml:space="preserve"> </w:t>
      </w:r>
      <w:r>
        <w:t>of</w:t>
      </w:r>
      <w:r>
        <w:rPr>
          <w:spacing w:val="-4"/>
        </w:rPr>
        <w:t xml:space="preserve"> </w:t>
      </w:r>
      <w:r>
        <w:t>trainings</w:t>
      </w:r>
      <w:r>
        <w:rPr>
          <w:spacing w:val="-2"/>
        </w:rPr>
        <w:t xml:space="preserve"> </w:t>
      </w:r>
      <w:r>
        <w:t>are</w:t>
      </w:r>
      <w:r>
        <w:rPr>
          <w:spacing w:val="-1"/>
        </w:rPr>
        <w:t xml:space="preserve"> </w:t>
      </w:r>
      <w:r>
        <w:t>to</w:t>
      </w:r>
      <w:r>
        <w:rPr>
          <w:spacing w:val="-3"/>
        </w:rPr>
        <w:t xml:space="preserve"> </w:t>
      </w:r>
      <w:r>
        <w:t>offer</w:t>
      </w:r>
      <w:r>
        <w:rPr>
          <w:spacing w:val="-4"/>
        </w:rPr>
        <w:t xml:space="preserve"> </w:t>
      </w:r>
      <w:r>
        <w:t>more</w:t>
      </w:r>
      <w:r>
        <w:rPr>
          <w:spacing w:val="-4"/>
        </w:rPr>
        <w:t xml:space="preserve"> </w:t>
      </w:r>
      <w:r>
        <w:t>specific</w:t>
      </w:r>
      <w:r>
        <w:rPr>
          <w:spacing w:val="-2"/>
        </w:rPr>
        <w:t xml:space="preserve"> </w:t>
      </w:r>
      <w:r>
        <w:t>trainings</w:t>
      </w:r>
      <w:r>
        <w:rPr>
          <w:spacing w:val="-4"/>
        </w:rPr>
        <w:t xml:space="preserve"> </w:t>
      </w:r>
      <w:r>
        <w:t>on</w:t>
      </w:r>
      <w:r>
        <w:rPr>
          <w:spacing w:val="-3"/>
        </w:rPr>
        <w:t xml:space="preserve"> </w:t>
      </w:r>
      <w:r>
        <w:t>service provision</w:t>
      </w:r>
      <w:r>
        <w:rPr>
          <w:spacing w:val="-13"/>
        </w:rPr>
        <w:t xml:space="preserve"> </w:t>
      </w:r>
      <w:r>
        <w:t>for</w:t>
      </w:r>
      <w:r>
        <w:rPr>
          <w:spacing w:val="-12"/>
        </w:rPr>
        <w:t xml:space="preserve"> </w:t>
      </w:r>
      <w:r>
        <w:t>LGBTQ</w:t>
      </w:r>
      <w:r>
        <w:rPr>
          <w:spacing w:val="-13"/>
        </w:rPr>
        <w:t xml:space="preserve"> </w:t>
      </w:r>
      <w:r>
        <w:t>youth</w:t>
      </w:r>
      <w:r>
        <w:rPr>
          <w:spacing w:val="-12"/>
        </w:rPr>
        <w:t xml:space="preserve"> </w:t>
      </w:r>
      <w:r>
        <w:t>with</w:t>
      </w:r>
      <w:r>
        <w:rPr>
          <w:spacing w:val="-13"/>
        </w:rPr>
        <w:t xml:space="preserve"> </w:t>
      </w:r>
      <w:r>
        <w:t>staff</w:t>
      </w:r>
      <w:r>
        <w:rPr>
          <w:spacing w:val="-12"/>
        </w:rPr>
        <w:t xml:space="preserve"> </w:t>
      </w:r>
      <w:r>
        <w:t>who</w:t>
      </w:r>
      <w:r>
        <w:rPr>
          <w:spacing w:val="-13"/>
        </w:rPr>
        <w:t xml:space="preserve"> </w:t>
      </w:r>
      <w:r>
        <w:t>are</w:t>
      </w:r>
      <w:r>
        <w:rPr>
          <w:spacing w:val="-12"/>
        </w:rPr>
        <w:t xml:space="preserve"> </w:t>
      </w:r>
      <w:r>
        <w:t>most</w:t>
      </w:r>
      <w:r>
        <w:rPr>
          <w:spacing w:val="-12"/>
        </w:rPr>
        <w:t xml:space="preserve"> </w:t>
      </w:r>
      <w:r>
        <w:t>likely</w:t>
      </w:r>
      <w:r>
        <w:rPr>
          <w:spacing w:val="-13"/>
        </w:rPr>
        <w:t xml:space="preserve"> </w:t>
      </w:r>
      <w:r>
        <w:t>to</w:t>
      </w:r>
      <w:r>
        <w:rPr>
          <w:spacing w:val="-12"/>
        </w:rPr>
        <w:t xml:space="preserve"> </w:t>
      </w:r>
      <w:r>
        <w:t>directly</w:t>
      </w:r>
      <w:r>
        <w:rPr>
          <w:spacing w:val="-13"/>
        </w:rPr>
        <w:t xml:space="preserve"> </w:t>
      </w:r>
      <w:r>
        <w:t>interface</w:t>
      </w:r>
      <w:r>
        <w:rPr>
          <w:spacing w:val="-12"/>
        </w:rPr>
        <w:t xml:space="preserve"> </w:t>
      </w:r>
      <w:r>
        <w:t>with</w:t>
      </w:r>
      <w:r>
        <w:rPr>
          <w:spacing w:val="-13"/>
        </w:rPr>
        <w:t xml:space="preserve"> </w:t>
      </w:r>
      <w:r>
        <w:t>these</w:t>
      </w:r>
      <w:r>
        <w:rPr>
          <w:spacing w:val="-12"/>
        </w:rPr>
        <w:t xml:space="preserve"> </w:t>
      </w:r>
      <w:r>
        <w:t>populations;</w:t>
      </w:r>
      <w:r>
        <w:rPr>
          <w:spacing w:val="-12"/>
        </w:rPr>
        <w:t xml:space="preserve"> </w:t>
      </w:r>
      <w:r>
        <w:t>DMH has additionally noted a need for higher-level trainings for clinicians in regards to gender identity and expression,</w:t>
      </w:r>
      <w:r>
        <w:rPr>
          <w:spacing w:val="-11"/>
        </w:rPr>
        <w:t xml:space="preserve"> </w:t>
      </w:r>
      <w:r>
        <w:t>which</w:t>
      </w:r>
      <w:r>
        <w:rPr>
          <w:spacing w:val="-10"/>
        </w:rPr>
        <w:t xml:space="preserve"> </w:t>
      </w:r>
      <w:r>
        <w:t>the</w:t>
      </w:r>
      <w:r>
        <w:rPr>
          <w:spacing w:val="-11"/>
        </w:rPr>
        <w:t xml:space="preserve"> </w:t>
      </w:r>
      <w:r>
        <w:t>Commission</w:t>
      </w:r>
      <w:r>
        <w:rPr>
          <w:spacing w:val="-10"/>
        </w:rPr>
        <w:t xml:space="preserve"> </w:t>
      </w:r>
      <w:r>
        <w:t>is</w:t>
      </w:r>
      <w:r>
        <w:rPr>
          <w:spacing w:val="-9"/>
        </w:rPr>
        <w:t xml:space="preserve"> </w:t>
      </w:r>
      <w:r>
        <w:t>prepared</w:t>
      </w:r>
      <w:r>
        <w:rPr>
          <w:spacing w:val="-10"/>
        </w:rPr>
        <w:t xml:space="preserve"> </w:t>
      </w:r>
      <w:r>
        <w:t>to</w:t>
      </w:r>
      <w:r>
        <w:rPr>
          <w:spacing w:val="-8"/>
        </w:rPr>
        <w:t xml:space="preserve"> </w:t>
      </w:r>
      <w:r>
        <w:t>collaborate</w:t>
      </w:r>
      <w:r>
        <w:rPr>
          <w:spacing w:val="-11"/>
        </w:rPr>
        <w:t xml:space="preserve"> </w:t>
      </w:r>
      <w:r>
        <w:t>with</w:t>
      </w:r>
      <w:r>
        <w:rPr>
          <w:spacing w:val="-12"/>
        </w:rPr>
        <w:t xml:space="preserve"> </w:t>
      </w:r>
      <w:r>
        <w:t>the</w:t>
      </w:r>
      <w:r>
        <w:rPr>
          <w:spacing w:val="-8"/>
        </w:rPr>
        <w:t xml:space="preserve"> </w:t>
      </w:r>
      <w:r>
        <w:t>agency</w:t>
      </w:r>
      <w:r>
        <w:rPr>
          <w:spacing w:val="-11"/>
        </w:rPr>
        <w:t xml:space="preserve"> </w:t>
      </w:r>
      <w:r>
        <w:t>on.</w:t>
      </w:r>
      <w:r>
        <w:rPr>
          <w:spacing w:val="-12"/>
        </w:rPr>
        <w:t xml:space="preserve"> </w:t>
      </w:r>
      <w:r>
        <w:t>The</w:t>
      </w:r>
      <w:r>
        <w:rPr>
          <w:spacing w:val="-8"/>
        </w:rPr>
        <w:t xml:space="preserve"> </w:t>
      </w:r>
      <w:r>
        <w:t>Commission</w:t>
      </w:r>
      <w:r>
        <w:rPr>
          <w:spacing w:val="-10"/>
        </w:rPr>
        <w:t xml:space="preserve"> </w:t>
      </w:r>
      <w:r>
        <w:t>further recommends</w:t>
      </w:r>
      <w:r>
        <w:rPr>
          <w:spacing w:val="-11"/>
        </w:rPr>
        <w:t xml:space="preserve"> </w:t>
      </w:r>
      <w:r>
        <w:t>both</w:t>
      </w:r>
      <w:r>
        <w:rPr>
          <w:spacing w:val="-12"/>
        </w:rPr>
        <w:t xml:space="preserve"> </w:t>
      </w:r>
      <w:r>
        <w:t>DMH</w:t>
      </w:r>
      <w:r>
        <w:rPr>
          <w:spacing w:val="-12"/>
        </w:rPr>
        <w:t xml:space="preserve"> </w:t>
      </w:r>
      <w:r>
        <w:t>ensure</w:t>
      </w:r>
      <w:r>
        <w:rPr>
          <w:spacing w:val="-9"/>
        </w:rPr>
        <w:t xml:space="preserve"> </w:t>
      </w:r>
      <w:r>
        <w:t>that</w:t>
      </w:r>
      <w:r>
        <w:rPr>
          <w:spacing w:val="-9"/>
        </w:rPr>
        <w:t xml:space="preserve"> </w:t>
      </w:r>
      <w:r>
        <w:t>its</w:t>
      </w:r>
      <w:r>
        <w:rPr>
          <w:spacing w:val="-11"/>
        </w:rPr>
        <w:t xml:space="preserve"> </w:t>
      </w:r>
      <w:r>
        <w:t>trainings</w:t>
      </w:r>
      <w:r>
        <w:rPr>
          <w:spacing w:val="-11"/>
        </w:rPr>
        <w:t xml:space="preserve"> </w:t>
      </w:r>
      <w:r>
        <w:t>on</w:t>
      </w:r>
      <w:r>
        <w:rPr>
          <w:spacing w:val="-12"/>
        </w:rPr>
        <w:t xml:space="preserve"> </w:t>
      </w:r>
      <w:r>
        <w:t>LGBTQ</w:t>
      </w:r>
      <w:r>
        <w:rPr>
          <w:spacing w:val="-11"/>
        </w:rPr>
        <w:t xml:space="preserve"> </w:t>
      </w:r>
      <w:r>
        <w:t>cultural</w:t>
      </w:r>
      <w:r>
        <w:rPr>
          <w:spacing w:val="-10"/>
        </w:rPr>
        <w:t xml:space="preserve"> </w:t>
      </w:r>
      <w:r>
        <w:t>responsiveness</w:t>
      </w:r>
      <w:r>
        <w:rPr>
          <w:spacing w:val="-10"/>
        </w:rPr>
        <w:t xml:space="preserve"> </w:t>
      </w:r>
      <w:r>
        <w:t>are</w:t>
      </w:r>
      <w:r>
        <w:rPr>
          <w:spacing w:val="-11"/>
        </w:rPr>
        <w:t xml:space="preserve"> </w:t>
      </w:r>
      <w:r>
        <w:t>intersectional</w:t>
      </w:r>
      <w:r>
        <w:rPr>
          <w:spacing w:val="-12"/>
        </w:rPr>
        <w:t xml:space="preserve"> </w:t>
      </w:r>
      <w:r>
        <w:t>with attention</w:t>
      </w:r>
      <w:r>
        <w:rPr>
          <w:spacing w:val="-13"/>
        </w:rPr>
        <w:t xml:space="preserve"> </w:t>
      </w:r>
      <w:r>
        <w:t>to</w:t>
      </w:r>
      <w:r>
        <w:rPr>
          <w:spacing w:val="-12"/>
        </w:rPr>
        <w:t xml:space="preserve"> </w:t>
      </w:r>
      <w:r>
        <w:t>QTBIPOC</w:t>
      </w:r>
      <w:r>
        <w:rPr>
          <w:spacing w:val="-13"/>
        </w:rPr>
        <w:t xml:space="preserve"> </w:t>
      </w:r>
      <w:r>
        <w:t>youth,</w:t>
      </w:r>
      <w:r>
        <w:rPr>
          <w:spacing w:val="-12"/>
        </w:rPr>
        <w:t xml:space="preserve"> </w:t>
      </w:r>
      <w:r>
        <w:t>disabled</w:t>
      </w:r>
      <w:r>
        <w:rPr>
          <w:spacing w:val="-12"/>
        </w:rPr>
        <w:t xml:space="preserve"> </w:t>
      </w:r>
      <w:r>
        <w:t>youth,</w:t>
      </w:r>
      <w:r>
        <w:rPr>
          <w:spacing w:val="-11"/>
        </w:rPr>
        <w:t xml:space="preserve"> </w:t>
      </w:r>
      <w:r>
        <w:t>intersex</w:t>
      </w:r>
      <w:r>
        <w:rPr>
          <w:spacing w:val="-13"/>
        </w:rPr>
        <w:t xml:space="preserve"> </w:t>
      </w:r>
      <w:r>
        <w:t>youth,</w:t>
      </w:r>
      <w:r>
        <w:rPr>
          <w:spacing w:val="-12"/>
        </w:rPr>
        <w:t xml:space="preserve"> </w:t>
      </w:r>
      <w:r>
        <w:t>and</w:t>
      </w:r>
      <w:r>
        <w:rPr>
          <w:spacing w:val="-12"/>
        </w:rPr>
        <w:t xml:space="preserve"> </w:t>
      </w:r>
      <w:r>
        <w:t>immigrant</w:t>
      </w:r>
      <w:r>
        <w:rPr>
          <w:spacing w:val="-13"/>
        </w:rPr>
        <w:t xml:space="preserve"> </w:t>
      </w:r>
      <w:r>
        <w:t>youth;</w:t>
      </w:r>
      <w:r>
        <w:rPr>
          <w:spacing w:val="-10"/>
        </w:rPr>
        <w:t xml:space="preserve"> </w:t>
      </w:r>
      <w:r>
        <w:t>and</w:t>
      </w:r>
      <w:r>
        <w:rPr>
          <w:spacing w:val="-12"/>
        </w:rPr>
        <w:t xml:space="preserve"> </w:t>
      </w:r>
      <w:r>
        <w:t>that</w:t>
      </w:r>
      <w:r>
        <w:rPr>
          <w:spacing w:val="-13"/>
        </w:rPr>
        <w:t xml:space="preserve"> </w:t>
      </w:r>
      <w:r>
        <w:t>DMH</w:t>
      </w:r>
      <w:r>
        <w:rPr>
          <w:spacing w:val="-11"/>
        </w:rPr>
        <w:t xml:space="preserve"> </w:t>
      </w:r>
      <w:r>
        <w:t>provides specific trainings for its employees, providers, and vendors on racial cultural responsiveness and the unique needs of BIPOC communities in the mental health sphere.</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Heading9"/>
        <w:numPr>
          <w:ilvl w:val="0"/>
          <w:numId w:val="12"/>
        </w:numPr>
        <w:tabs>
          <w:tab w:val="left" w:pos="523"/>
        </w:tabs>
        <w:spacing w:before="56" w:line="276" w:lineRule="auto"/>
        <w:ind w:right="276" w:firstLine="0"/>
      </w:pPr>
      <w:r>
        <w:t>Explore and implement opportunities to improve education &amp; workplace training for new mental</w:t>
      </w:r>
      <w:r>
        <w:rPr>
          <w:spacing w:val="40"/>
        </w:rPr>
        <w:t xml:space="preserve"> </w:t>
      </w:r>
      <w:r>
        <w:t>health workers in the areas of health equity for LGBTQ and QTBIPOC communities.</w:t>
      </w:r>
    </w:p>
    <w:p w:rsidR="00200FDA" w:rsidRDefault="00200FDA">
      <w:pPr>
        <w:pStyle w:val="BodyText"/>
        <w:spacing w:before="7"/>
        <w:rPr>
          <w:b/>
          <w:sz w:val="19"/>
        </w:rPr>
      </w:pPr>
    </w:p>
    <w:p w:rsidR="00200FDA" w:rsidRDefault="00F76C4C">
      <w:pPr>
        <w:pStyle w:val="BodyText"/>
        <w:spacing w:line="276" w:lineRule="auto"/>
        <w:ind w:left="280" w:right="272"/>
        <w:jc w:val="both"/>
      </w:pPr>
      <w:r>
        <w:t>A</w:t>
      </w:r>
      <w:r>
        <w:rPr>
          <w:spacing w:val="-5"/>
        </w:rPr>
        <w:t xml:space="preserve"> </w:t>
      </w:r>
      <w:r>
        <w:t>comprehensive</w:t>
      </w:r>
      <w:r>
        <w:rPr>
          <w:spacing w:val="-6"/>
        </w:rPr>
        <w:t xml:space="preserve"> </w:t>
      </w:r>
      <w:r>
        <w:t>way</w:t>
      </w:r>
      <w:r>
        <w:rPr>
          <w:spacing w:val="-6"/>
        </w:rPr>
        <w:t xml:space="preserve"> </w:t>
      </w:r>
      <w:r>
        <w:t>to</w:t>
      </w:r>
      <w:r>
        <w:rPr>
          <w:spacing w:val="-3"/>
        </w:rPr>
        <w:t xml:space="preserve"> </w:t>
      </w:r>
      <w:r>
        <w:t>ensure</w:t>
      </w:r>
      <w:r>
        <w:rPr>
          <w:spacing w:val="-4"/>
        </w:rPr>
        <w:t xml:space="preserve"> </w:t>
      </w:r>
      <w:r>
        <w:t>the</w:t>
      </w:r>
      <w:r>
        <w:rPr>
          <w:spacing w:val="-6"/>
        </w:rPr>
        <w:t xml:space="preserve"> </w:t>
      </w:r>
      <w:r>
        <w:t>expansion</w:t>
      </w:r>
      <w:r>
        <w:rPr>
          <w:spacing w:val="-7"/>
        </w:rPr>
        <w:t xml:space="preserve"> </w:t>
      </w:r>
      <w:r>
        <w:t>of</w:t>
      </w:r>
      <w:r>
        <w:rPr>
          <w:spacing w:val="-4"/>
        </w:rPr>
        <w:t xml:space="preserve"> </w:t>
      </w:r>
      <w:r>
        <w:t>access</w:t>
      </w:r>
      <w:r>
        <w:rPr>
          <w:spacing w:val="-4"/>
        </w:rPr>
        <w:t xml:space="preserve"> </w:t>
      </w:r>
      <w:r>
        <w:t>to</w:t>
      </w:r>
      <w:r>
        <w:rPr>
          <w:spacing w:val="-3"/>
        </w:rPr>
        <w:t xml:space="preserve"> </w:t>
      </w:r>
      <w:r>
        <w:t>trauma-informed</w:t>
      </w:r>
      <w:r>
        <w:rPr>
          <w:spacing w:val="-7"/>
        </w:rPr>
        <w:t xml:space="preserve"> </w:t>
      </w:r>
      <w:r>
        <w:t>mental</w:t>
      </w:r>
      <w:r>
        <w:rPr>
          <w:spacing w:val="-5"/>
        </w:rPr>
        <w:t xml:space="preserve"> </w:t>
      </w:r>
      <w:r>
        <w:t>he</w:t>
      </w:r>
      <w:r>
        <w:t>alth</w:t>
      </w:r>
      <w:r>
        <w:rPr>
          <w:spacing w:val="-5"/>
        </w:rPr>
        <w:t xml:space="preserve"> </w:t>
      </w:r>
      <w:r>
        <w:t>resources</w:t>
      </w:r>
      <w:r>
        <w:rPr>
          <w:spacing w:val="-4"/>
        </w:rPr>
        <w:t xml:space="preserve"> </w:t>
      </w:r>
      <w:r>
        <w:t>for LGBTQ youth is to equip new mental health workers with the skills and knowledge they need to appropriately serve LGBTQ and BIPOC communities. The Commission recommends that DMH explore opportunities to improve education and workplace training for new m</w:t>
      </w:r>
      <w:r>
        <w:t>ental health workers, and collaborate with other agencies and education programs in this area.</w:t>
      </w:r>
    </w:p>
    <w:p w:rsidR="00200FDA" w:rsidRDefault="00200FDA">
      <w:pPr>
        <w:pStyle w:val="BodyText"/>
      </w:pPr>
    </w:p>
    <w:p w:rsidR="00200FDA" w:rsidRDefault="00200FDA">
      <w:pPr>
        <w:pStyle w:val="BodyText"/>
        <w:spacing w:before="11"/>
      </w:pPr>
    </w:p>
    <w:p w:rsidR="00200FDA" w:rsidRDefault="00F76C4C">
      <w:pPr>
        <w:pStyle w:val="Heading9"/>
        <w:numPr>
          <w:ilvl w:val="0"/>
          <w:numId w:val="12"/>
        </w:numPr>
        <w:tabs>
          <w:tab w:val="left" w:pos="569"/>
        </w:tabs>
        <w:spacing w:line="276" w:lineRule="auto"/>
        <w:ind w:right="273" w:firstLine="0"/>
      </w:pPr>
      <w:r>
        <w:t>Explore</w:t>
      </w:r>
      <w:r>
        <w:rPr>
          <w:spacing w:val="40"/>
        </w:rPr>
        <w:t xml:space="preserve"> </w:t>
      </w:r>
      <w:r>
        <w:t>and</w:t>
      </w:r>
      <w:r>
        <w:rPr>
          <w:spacing w:val="40"/>
        </w:rPr>
        <w:t xml:space="preserve"> </w:t>
      </w:r>
      <w:r>
        <w:t>implement</w:t>
      </w:r>
      <w:r>
        <w:rPr>
          <w:spacing w:val="40"/>
        </w:rPr>
        <w:t xml:space="preserve"> </w:t>
      </w:r>
      <w:r>
        <w:t>solutions</w:t>
      </w:r>
      <w:r>
        <w:rPr>
          <w:spacing w:val="40"/>
        </w:rPr>
        <w:t xml:space="preserve"> </w:t>
      </w:r>
      <w:r>
        <w:t>to</w:t>
      </w:r>
      <w:r>
        <w:rPr>
          <w:spacing w:val="40"/>
        </w:rPr>
        <w:t xml:space="preserve"> </w:t>
      </w:r>
      <w:r>
        <w:t>navigate</w:t>
      </w:r>
      <w:r>
        <w:rPr>
          <w:spacing w:val="40"/>
        </w:rPr>
        <w:t xml:space="preserve"> </w:t>
      </w:r>
      <w:r>
        <w:t>youth</w:t>
      </w:r>
      <w:r>
        <w:rPr>
          <w:spacing w:val="40"/>
        </w:rPr>
        <w:t xml:space="preserve"> </w:t>
      </w:r>
      <w:r>
        <w:t>privacy</w:t>
      </w:r>
      <w:r>
        <w:rPr>
          <w:spacing w:val="40"/>
        </w:rPr>
        <w:t xml:space="preserve"> </w:t>
      </w:r>
      <w:r>
        <w:t>concerns</w:t>
      </w:r>
      <w:r>
        <w:rPr>
          <w:spacing w:val="40"/>
        </w:rPr>
        <w:t xml:space="preserve"> </w:t>
      </w:r>
      <w:r>
        <w:t>in</w:t>
      </w:r>
      <w:r>
        <w:rPr>
          <w:spacing w:val="40"/>
        </w:rPr>
        <w:t xml:space="preserve"> </w:t>
      </w:r>
      <w:r>
        <w:t>cases</w:t>
      </w:r>
      <w:r>
        <w:rPr>
          <w:spacing w:val="40"/>
        </w:rPr>
        <w:t xml:space="preserve"> </w:t>
      </w:r>
      <w:r>
        <w:t>of</w:t>
      </w:r>
      <w:r>
        <w:rPr>
          <w:spacing w:val="40"/>
        </w:rPr>
        <w:t xml:space="preserve"> </w:t>
      </w:r>
      <w:r>
        <w:t>potentially</w:t>
      </w:r>
      <w:r>
        <w:rPr>
          <w:spacing w:val="80"/>
        </w:rPr>
        <w:t xml:space="preserve"> </w:t>
      </w:r>
      <w:r>
        <w:t>unsupportive guardians.</w:t>
      </w:r>
    </w:p>
    <w:p w:rsidR="00200FDA" w:rsidRDefault="00200FDA">
      <w:pPr>
        <w:pStyle w:val="BodyText"/>
        <w:spacing w:before="10"/>
        <w:rPr>
          <w:b/>
          <w:sz w:val="19"/>
        </w:rPr>
      </w:pPr>
    </w:p>
    <w:p w:rsidR="00200FDA" w:rsidRDefault="00F76C4C">
      <w:pPr>
        <w:pStyle w:val="BodyText"/>
        <w:spacing w:line="276" w:lineRule="auto"/>
        <w:ind w:left="279" w:right="272"/>
        <w:jc w:val="both"/>
      </w:pPr>
      <w:r>
        <w:t>LGBTQ</w:t>
      </w:r>
      <w:r>
        <w:rPr>
          <w:spacing w:val="-13"/>
        </w:rPr>
        <w:t xml:space="preserve"> </w:t>
      </w:r>
      <w:r>
        <w:t>youth</w:t>
      </w:r>
      <w:r>
        <w:rPr>
          <w:spacing w:val="-12"/>
        </w:rPr>
        <w:t xml:space="preserve"> </w:t>
      </w:r>
      <w:r>
        <w:t>in</w:t>
      </w:r>
      <w:r>
        <w:rPr>
          <w:spacing w:val="-10"/>
        </w:rPr>
        <w:t xml:space="preserve"> </w:t>
      </w:r>
      <w:r>
        <w:t>unsupportive</w:t>
      </w:r>
      <w:r>
        <w:rPr>
          <w:spacing w:val="-11"/>
        </w:rPr>
        <w:t xml:space="preserve"> </w:t>
      </w:r>
      <w:r>
        <w:t>households</w:t>
      </w:r>
      <w:r>
        <w:rPr>
          <w:spacing w:val="-11"/>
        </w:rPr>
        <w:t xml:space="preserve"> </w:t>
      </w:r>
      <w:r>
        <w:t>are</w:t>
      </w:r>
      <w:r>
        <w:rPr>
          <w:spacing w:val="-11"/>
        </w:rPr>
        <w:t xml:space="preserve"> </w:t>
      </w:r>
      <w:r>
        <w:t>much</w:t>
      </w:r>
      <w:r>
        <w:rPr>
          <w:spacing w:val="-13"/>
        </w:rPr>
        <w:t xml:space="preserve"> </w:t>
      </w:r>
      <w:r>
        <w:t>more</w:t>
      </w:r>
      <w:r>
        <w:rPr>
          <w:spacing w:val="-10"/>
        </w:rPr>
        <w:t xml:space="preserve"> </w:t>
      </w:r>
      <w:r>
        <w:t>likely</w:t>
      </w:r>
      <w:r>
        <w:rPr>
          <w:spacing w:val="-11"/>
        </w:rPr>
        <w:t xml:space="preserve"> </w:t>
      </w:r>
      <w:r>
        <w:t>to</w:t>
      </w:r>
      <w:r>
        <w:rPr>
          <w:spacing w:val="-10"/>
        </w:rPr>
        <w:t xml:space="preserve"> </w:t>
      </w:r>
      <w:r>
        <w:t>face</w:t>
      </w:r>
      <w:r>
        <w:rPr>
          <w:spacing w:val="-8"/>
        </w:rPr>
        <w:t xml:space="preserve"> </w:t>
      </w:r>
      <w:r>
        <w:t>significant</w:t>
      </w:r>
      <w:r>
        <w:rPr>
          <w:spacing w:val="-11"/>
        </w:rPr>
        <w:t xml:space="preserve"> </w:t>
      </w:r>
      <w:r>
        <w:t>mental</w:t>
      </w:r>
      <w:r>
        <w:rPr>
          <w:spacing w:val="-11"/>
        </w:rPr>
        <w:t xml:space="preserve"> </w:t>
      </w:r>
      <w:r>
        <w:t>health</w:t>
      </w:r>
      <w:r>
        <w:rPr>
          <w:spacing w:val="-10"/>
        </w:rPr>
        <w:t xml:space="preserve"> </w:t>
      </w:r>
      <w:r>
        <w:t>concerns, abuse, and housing instability. For youth receiving treatment for mental health needs, being ‘outed’ by providers or educators - whether intentionally or unintentionally - to unsupportive caregiv</w:t>
      </w:r>
      <w:r>
        <w:t>ers can often put</w:t>
      </w:r>
      <w:r>
        <w:rPr>
          <w:spacing w:val="-6"/>
        </w:rPr>
        <w:t xml:space="preserve"> </w:t>
      </w:r>
      <w:r>
        <w:t>LGBTQ</w:t>
      </w:r>
      <w:r>
        <w:rPr>
          <w:spacing w:val="-9"/>
        </w:rPr>
        <w:t xml:space="preserve"> </w:t>
      </w:r>
      <w:r>
        <w:t>youth</w:t>
      </w:r>
      <w:r>
        <w:rPr>
          <w:spacing w:val="-7"/>
        </w:rPr>
        <w:t xml:space="preserve"> </w:t>
      </w:r>
      <w:r>
        <w:t>in</w:t>
      </w:r>
      <w:r>
        <w:rPr>
          <w:spacing w:val="-7"/>
        </w:rPr>
        <w:t xml:space="preserve"> </w:t>
      </w:r>
      <w:r>
        <w:t>danger.</w:t>
      </w:r>
      <w:r>
        <w:rPr>
          <w:spacing w:val="-7"/>
        </w:rPr>
        <w:t xml:space="preserve"> </w:t>
      </w:r>
      <w:r>
        <w:t>However,</w:t>
      </w:r>
      <w:r>
        <w:rPr>
          <w:spacing w:val="-6"/>
        </w:rPr>
        <w:t xml:space="preserve"> </w:t>
      </w:r>
      <w:r>
        <w:t>the</w:t>
      </w:r>
      <w:r>
        <w:rPr>
          <w:spacing w:val="-6"/>
        </w:rPr>
        <w:t xml:space="preserve"> </w:t>
      </w:r>
      <w:r>
        <w:t>support</w:t>
      </w:r>
      <w:r>
        <w:rPr>
          <w:spacing w:val="-9"/>
        </w:rPr>
        <w:t xml:space="preserve"> </w:t>
      </w:r>
      <w:r>
        <w:t>of</w:t>
      </w:r>
      <w:r>
        <w:rPr>
          <w:spacing w:val="-9"/>
        </w:rPr>
        <w:t xml:space="preserve"> </w:t>
      </w:r>
      <w:r>
        <w:t>mental</w:t>
      </w:r>
      <w:r>
        <w:rPr>
          <w:spacing w:val="-7"/>
        </w:rPr>
        <w:t xml:space="preserve"> </w:t>
      </w:r>
      <w:r>
        <w:t>health</w:t>
      </w:r>
      <w:r>
        <w:rPr>
          <w:spacing w:val="-7"/>
        </w:rPr>
        <w:t xml:space="preserve"> </w:t>
      </w:r>
      <w:r>
        <w:t>providers</w:t>
      </w:r>
      <w:r>
        <w:rPr>
          <w:spacing w:val="-9"/>
        </w:rPr>
        <w:t xml:space="preserve"> </w:t>
      </w:r>
      <w:r>
        <w:t>and</w:t>
      </w:r>
      <w:r>
        <w:rPr>
          <w:spacing w:val="-7"/>
        </w:rPr>
        <w:t xml:space="preserve"> </w:t>
      </w:r>
      <w:r>
        <w:t>the</w:t>
      </w:r>
      <w:r>
        <w:rPr>
          <w:spacing w:val="-6"/>
        </w:rPr>
        <w:t xml:space="preserve"> </w:t>
      </w:r>
      <w:r>
        <w:t>space</w:t>
      </w:r>
      <w:r>
        <w:rPr>
          <w:spacing w:val="-8"/>
        </w:rPr>
        <w:t xml:space="preserve"> </w:t>
      </w:r>
      <w:r>
        <w:t>to</w:t>
      </w:r>
      <w:r>
        <w:rPr>
          <w:spacing w:val="-5"/>
        </w:rPr>
        <w:t xml:space="preserve"> </w:t>
      </w:r>
      <w:r>
        <w:t>bring</w:t>
      </w:r>
      <w:r>
        <w:rPr>
          <w:spacing w:val="-7"/>
        </w:rPr>
        <w:t xml:space="preserve"> </w:t>
      </w:r>
      <w:r>
        <w:t>their whole selves to their treatment is essential for LGBTQ youths’ wellbeing. Unfortunately, DMH has noted that</w:t>
      </w:r>
      <w:r>
        <w:rPr>
          <w:spacing w:val="-9"/>
        </w:rPr>
        <w:t xml:space="preserve"> </w:t>
      </w:r>
      <w:r>
        <w:t>privacy</w:t>
      </w:r>
      <w:r>
        <w:rPr>
          <w:spacing w:val="-10"/>
        </w:rPr>
        <w:t xml:space="preserve"> </w:t>
      </w:r>
      <w:r>
        <w:t>concerns</w:t>
      </w:r>
      <w:r>
        <w:rPr>
          <w:spacing w:val="-9"/>
        </w:rPr>
        <w:t xml:space="preserve"> </w:t>
      </w:r>
      <w:r>
        <w:t>can</w:t>
      </w:r>
      <w:r>
        <w:rPr>
          <w:spacing w:val="-10"/>
        </w:rPr>
        <w:t xml:space="preserve"> </w:t>
      </w:r>
      <w:r>
        <w:t>sometimes</w:t>
      </w:r>
      <w:r>
        <w:rPr>
          <w:spacing w:val="-11"/>
        </w:rPr>
        <w:t xml:space="preserve"> </w:t>
      </w:r>
      <w:r>
        <w:t>conflict</w:t>
      </w:r>
      <w:r>
        <w:rPr>
          <w:spacing w:val="-11"/>
        </w:rPr>
        <w:t xml:space="preserve"> </w:t>
      </w:r>
      <w:r>
        <w:t>with</w:t>
      </w:r>
      <w:r>
        <w:rPr>
          <w:spacing w:val="-10"/>
        </w:rPr>
        <w:t xml:space="preserve"> </w:t>
      </w:r>
      <w:r>
        <w:t>a</w:t>
      </w:r>
      <w:r>
        <w:rPr>
          <w:spacing w:val="-12"/>
        </w:rPr>
        <w:t xml:space="preserve"> </w:t>
      </w:r>
      <w:r>
        <w:t>guardian’s</w:t>
      </w:r>
      <w:r>
        <w:rPr>
          <w:spacing w:val="-9"/>
        </w:rPr>
        <w:t xml:space="preserve"> </w:t>
      </w:r>
      <w:r>
        <w:t>legal</w:t>
      </w:r>
      <w:r>
        <w:rPr>
          <w:spacing w:val="-12"/>
        </w:rPr>
        <w:t xml:space="preserve"> </w:t>
      </w:r>
      <w:r>
        <w:t>rights</w:t>
      </w:r>
      <w:r>
        <w:rPr>
          <w:spacing w:val="-11"/>
        </w:rPr>
        <w:t xml:space="preserve"> </w:t>
      </w:r>
      <w:r>
        <w:t>to</w:t>
      </w:r>
      <w:r>
        <w:rPr>
          <w:spacing w:val="-10"/>
        </w:rPr>
        <w:t xml:space="preserve"> </w:t>
      </w:r>
      <w:r>
        <w:t>their</w:t>
      </w:r>
      <w:r>
        <w:rPr>
          <w:spacing w:val="-12"/>
        </w:rPr>
        <w:t xml:space="preserve"> </w:t>
      </w:r>
      <w:r>
        <w:t>child’s</w:t>
      </w:r>
      <w:r>
        <w:rPr>
          <w:spacing w:val="-11"/>
        </w:rPr>
        <w:t xml:space="preserve"> </w:t>
      </w:r>
      <w:r>
        <w:t>medical</w:t>
      </w:r>
      <w:r>
        <w:rPr>
          <w:spacing w:val="-9"/>
        </w:rPr>
        <w:t xml:space="preserve"> </w:t>
      </w:r>
      <w:r>
        <w:t>records, which</w:t>
      </w:r>
      <w:r>
        <w:rPr>
          <w:spacing w:val="-10"/>
        </w:rPr>
        <w:t xml:space="preserve"> </w:t>
      </w:r>
      <w:r>
        <w:t>can</w:t>
      </w:r>
      <w:r>
        <w:rPr>
          <w:spacing w:val="-10"/>
        </w:rPr>
        <w:t xml:space="preserve"> </w:t>
      </w:r>
      <w:r>
        <w:t>contain</w:t>
      </w:r>
      <w:r>
        <w:rPr>
          <w:spacing w:val="-10"/>
        </w:rPr>
        <w:t xml:space="preserve"> </w:t>
      </w:r>
      <w:r>
        <w:t>information</w:t>
      </w:r>
      <w:r>
        <w:rPr>
          <w:spacing w:val="-10"/>
        </w:rPr>
        <w:t xml:space="preserve"> </w:t>
      </w:r>
      <w:r>
        <w:t>about</w:t>
      </w:r>
      <w:r>
        <w:rPr>
          <w:spacing w:val="-8"/>
        </w:rPr>
        <w:t xml:space="preserve"> </w:t>
      </w:r>
      <w:r>
        <w:t>chosen</w:t>
      </w:r>
      <w:r>
        <w:rPr>
          <w:spacing w:val="-10"/>
        </w:rPr>
        <w:t xml:space="preserve"> </w:t>
      </w:r>
      <w:r>
        <w:t>names,</w:t>
      </w:r>
      <w:r>
        <w:rPr>
          <w:spacing w:val="-9"/>
        </w:rPr>
        <w:t xml:space="preserve"> </w:t>
      </w:r>
      <w:r>
        <w:t>pronouns,</w:t>
      </w:r>
      <w:r>
        <w:rPr>
          <w:spacing w:val="-9"/>
        </w:rPr>
        <w:t xml:space="preserve"> </w:t>
      </w:r>
      <w:r>
        <w:t>sexual</w:t>
      </w:r>
      <w:r>
        <w:rPr>
          <w:spacing w:val="-12"/>
        </w:rPr>
        <w:t xml:space="preserve"> </w:t>
      </w:r>
      <w:r>
        <w:t>orientation,</w:t>
      </w:r>
      <w:r>
        <w:rPr>
          <w:spacing w:val="-11"/>
        </w:rPr>
        <w:t xml:space="preserve"> </w:t>
      </w:r>
      <w:r>
        <w:t>or</w:t>
      </w:r>
      <w:r>
        <w:rPr>
          <w:spacing w:val="-9"/>
        </w:rPr>
        <w:t xml:space="preserve"> </w:t>
      </w:r>
      <w:r>
        <w:t>gender</w:t>
      </w:r>
      <w:r>
        <w:rPr>
          <w:spacing w:val="-9"/>
        </w:rPr>
        <w:t xml:space="preserve"> </w:t>
      </w:r>
      <w:r>
        <w:t>identity</w:t>
      </w:r>
      <w:r>
        <w:rPr>
          <w:spacing w:val="-11"/>
        </w:rPr>
        <w:t xml:space="preserve"> </w:t>
      </w:r>
      <w:r>
        <w:t>that youth may not wish their caregivers to see. The Commission strongly recommend</w:t>
      </w:r>
      <w:r>
        <w:t>s that DMH explore solutions to navigate youth privacy concerns to ensure appropriate health care and safety.</w:t>
      </w:r>
    </w:p>
    <w:p w:rsidR="00200FDA" w:rsidRDefault="00200FDA">
      <w:pPr>
        <w:pStyle w:val="BodyText"/>
      </w:pPr>
    </w:p>
    <w:p w:rsidR="00200FDA" w:rsidRDefault="00200FDA">
      <w:pPr>
        <w:pStyle w:val="BodyText"/>
        <w:spacing w:before="11"/>
      </w:pPr>
    </w:p>
    <w:p w:rsidR="00200FDA" w:rsidRDefault="00F76C4C">
      <w:pPr>
        <w:pStyle w:val="Heading9"/>
        <w:numPr>
          <w:ilvl w:val="0"/>
          <w:numId w:val="12"/>
        </w:numPr>
        <w:tabs>
          <w:tab w:val="left" w:pos="502"/>
        </w:tabs>
        <w:spacing w:line="273" w:lineRule="auto"/>
        <w:ind w:right="275" w:firstLine="0"/>
      </w:pPr>
      <w:r>
        <w:t>Develop</w:t>
      </w:r>
      <w:r>
        <w:rPr>
          <w:spacing w:val="-6"/>
        </w:rPr>
        <w:t xml:space="preserve"> </w:t>
      </w:r>
      <w:r>
        <w:t>accessible,</w:t>
      </w:r>
      <w:r>
        <w:rPr>
          <w:spacing w:val="-5"/>
        </w:rPr>
        <w:t xml:space="preserve"> </w:t>
      </w:r>
      <w:r>
        <w:t>trauma-informed</w:t>
      </w:r>
      <w:r>
        <w:rPr>
          <w:spacing w:val="-6"/>
        </w:rPr>
        <w:t xml:space="preserve"> </w:t>
      </w:r>
      <w:r>
        <w:t>mental</w:t>
      </w:r>
      <w:r>
        <w:rPr>
          <w:spacing w:val="-4"/>
        </w:rPr>
        <w:t xml:space="preserve"> </w:t>
      </w:r>
      <w:r>
        <w:t>health</w:t>
      </w:r>
      <w:r>
        <w:rPr>
          <w:spacing w:val="-6"/>
        </w:rPr>
        <w:t xml:space="preserve"> </w:t>
      </w:r>
      <w:r>
        <w:t>resources</w:t>
      </w:r>
      <w:r>
        <w:rPr>
          <w:spacing w:val="-5"/>
        </w:rPr>
        <w:t xml:space="preserve"> </w:t>
      </w:r>
      <w:r>
        <w:t>and</w:t>
      </w:r>
      <w:r>
        <w:rPr>
          <w:spacing w:val="-6"/>
        </w:rPr>
        <w:t xml:space="preserve"> </w:t>
      </w:r>
      <w:r>
        <w:t>programs</w:t>
      </w:r>
      <w:r>
        <w:rPr>
          <w:spacing w:val="-7"/>
        </w:rPr>
        <w:t xml:space="preserve"> </w:t>
      </w:r>
      <w:r>
        <w:t>for</w:t>
      </w:r>
      <w:r>
        <w:rPr>
          <w:spacing w:val="-5"/>
        </w:rPr>
        <w:t xml:space="preserve"> </w:t>
      </w:r>
      <w:r>
        <w:t>QTBIPOC</w:t>
      </w:r>
      <w:r>
        <w:rPr>
          <w:spacing w:val="-5"/>
        </w:rPr>
        <w:t xml:space="preserve"> </w:t>
      </w:r>
      <w:r>
        <w:t>youth</w:t>
      </w:r>
      <w:r>
        <w:rPr>
          <w:spacing w:val="-6"/>
        </w:rPr>
        <w:t xml:space="preserve"> </w:t>
      </w:r>
      <w:r>
        <w:t>and LGBTQ foreign-born youth.</w:t>
      </w:r>
    </w:p>
    <w:p w:rsidR="00200FDA" w:rsidRDefault="00200FDA">
      <w:pPr>
        <w:pStyle w:val="BodyText"/>
        <w:spacing w:before="1"/>
        <w:rPr>
          <w:b/>
          <w:sz w:val="20"/>
        </w:rPr>
      </w:pPr>
    </w:p>
    <w:p w:rsidR="00200FDA" w:rsidRDefault="00F76C4C">
      <w:pPr>
        <w:pStyle w:val="BodyText"/>
        <w:spacing w:line="276" w:lineRule="auto"/>
        <w:ind w:left="280" w:right="273"/>
        <w:jc w:val="both"/>
      </w:pPr>
      <w:r>
        <w:t>As discussed in the Commission’s core sections above, the need for trauma-informed mental health resources</w:t>
      </w:r>
      <w:r>
        <w:rPr>
          <w:spacing w:val="-13"/>
        </w:rPr>
        <w:t xml:space="preserve"> </w:t>
      </w:r>
      <w:r>
        <w:t>and</w:t>
      </w:r>
      <w:r>
        <w:rPr>
          <w:spacing w:val="-12"/>
        </w:rPr>
        <w:t xml:space="preserve"> </w:t>
      </w:r>
      <w:r>
        <w:t>programs</w:t>
      </w:r>
      <w:r>
        <w:rPr>
          <w:spacing w:val="-13"/>
        </w:rPr>
        <w:t xml:space="preserve"> </w:t>
      </w:r>
      <w:r>
        <w:t>for</w:t>
      </w:r>
      <w:r>
        <w:rPr>
          <w:spacing w:val="-12"/>
        </w:rPr>
        <w:t xml:space="preserve"> </w:t>
      </w:r>
      <w:r>
        <w:t>LGBTQ</w:t>
      </w:r>
      <w:r>
        <w:rPr>
          <w:spacing w:val="-13"/>
        </w:rPr>
        <w:t xml:space="preserve"> </w:t>
      </w:r>
      <w:r>
        <w:t>foreign-born</w:t>
      </w:r>
      <w:r>
        <w:rPr>
          <w:spacing w:val="-12"/>
        </w:rPr>
        <w:t xml:space="preserve"> </w:t>
      </w:r>
      <w:r>
        <w:t>youth</w:t>
      </w:r>
      <w:r>
        <w:rPr>
          <w:spacing w:val="-13"/>
        </w:rPr>
        <w:t xml:space="preserve"> </w:t>
      </w:r>
      <w:r>
        <w:t>is</w:t>
      </w:r>
      <w:r>
        <w:rPr>
          <w:spacing w:val="-12"/>
        </w:rPr>
        <w:t xml:space="preserve"> </w:t>
      </w:r>
      <w:r>
        <w:t>immense.</w:t>
      </w:r>
      <w:r>
        <w:rPr>
          <w:spacing w:val="-12"/>
        </w:rPr>
        <w:t xml:space="preserve"> </w:t>
      </w:r>
      <w:r>
        <w:t>The</w:t>
      </w:r>
      <w:r>
        <w:rPr>
          <w:spacing w:val="-13"/>
        </w:rPr>
        <w:t xml:space="preserve"> </w:t>
      </w:r>
      <w:r>
        <w:t>Commission</w:t>
      </w:r>
      <w:r>
        <w:rPr>
          <w:spacing w:val="-12"/>
        </w:rPr>
        <w:t xml:space="preserve"> </w:t>
      </w:r>
      <w:r>
        <w:t>strongly</w:t>
      </w:r>
      <w:r>
        <w:rPr>
          <w:spacing w:val="-13"/>
        </w:rPr>
        <w:t xml:space="preserve"> </w:t>
      </w:r>
      <w:r>
        <w:t>recommends that DMH partners with ORI and community-based organizations</w:t>
      </w:r>
      <w:r>
        <w:t xml:space="preserve"> serving these populations of youth to address the significant gaps in service provision often seen for youth who do not have English as a first language, are undocumented, or do not overall have the same access to mental health resources.</w:t>
      </w:r>
    </w:p>
    <w:p w:rsidR="00200FDA" w:rsidRDefault="00200FDA">
      <w:pPr>
        <w:pStyle w:val="BodyText"/>
        <w:spacing w:before="6"/>
        <w:rPr>
          <w:sz w:val="19"/>
        </w:rPr>
      </w:pPr>
    </w:p>
    <w:p w:rsidR="00200FDA" w:rsidRDefault="00F76C4C">
      <w:pPr>
        <w:pStyle w:val="BodyText"/>
        <w:spacing w:before="1" w:line="276" w:lineRule="auto"/>
        <w:ind w:left="280" w:right="272"/>
        <w:jc w:val="both"/>
      </w:pPr>
      <w:r>
        <w:t>As previously established throughout this report, culturally competent mental health care for QTBIPOC youth</w:t>
      </w:r>
      <w:r>
        <w:rPr>
          <w:spacing w:val="-6"/>
        </w:rPr>
        <w:t xml:space="preserve"> </w:t>
      </w:r>
      <w:r>
        <w:t>is</w:t>
      </w:r>
      <w:r>
        <w:rPr>
          <w:spacing w:val="-6"/>
        </w:rPr>
        <w:t xml:space="preserve"> </w:t>
      </w:r>
      <w:r>
        <w:t>sparse.</w:t>
      </w:r>
      <w:r>
        <w:rPr>
          <w:spacing w:val="-6"/>
        </w:rPr>
        <w:t xml:space="preserve"> </w:t>
      </w:r>
      <w:r>
        <w:t>As</w:t>
      </w:r>
      <w:r>
        <w:rPr>
          <w:spacing w:val="-6"/>
        </w:rPr>
        <w:t xml:space="preserve"> </w:t>
      </w:r>
      <w:r>
        <w:t>of</w:t>
      </w:r>
      <w:r>
        <w:rPr>
          <w:spacing w:val="-8"/>
        </w:rPr>
        <w:t xml:space="preserve"> </w:t>
      </w:r>
      <w:r>
        <w:t>the</w:t>
      </w:r>
      <w:r>
        <w:rPr>
          <w:spacing w:val="-5"/>
        </w:rPr>
        <w:t xml:space="preserve"> </w:t>
      </w:r>
      <w:r>
        <w:t>spring</w:t>
      </w:r>
      <w:r>
        <w:rPr>
          <w:spacing w:val="-6"/>
        </w:rPr>
        <w:t xml:space="preserve"> </w:t>
      </w:r>
      <w:r>
        <w:t>of</w:t>
      </w:r>
      <w:r>
        <w:rPr>
          <w:spacing w:val="-6"/>
        </w:rPr>
        <w:t xml:space="preserve"> </w:t>
      </w:r>
      <w:r>
        <w:t>2023,</w:t>
      </w:r>
      <w:r>
        <w:rPr>
          <w:spacing w:val="-8"/>
        </w:rPr>
        <w:t xml:space="preserve"> </w:t>
      </w:r>
      <w:r>
        <w:t>DMH</w:t>
      </w:r>
      <w:r>
        <w:rPr>
          <w:spacing w:val="-6"/>
        </w:rPr>
        <w:t xml:space="preserve"> </w:t>
      </w:r>
      <w:r>
        <w:t>has</w:t>
      </w:r>
      <w:r>
        <w:rPr>
          <w:spacing w:val="-6"/>
        </w:rPr>
        <w:t xml:space="preserve"> </w:t>
      </w:r>
      <w:r>
        <w:t>made</w:t>
      </w:r>
      <w:r>
        <w:rPr>
          <w:spacing w:val="-5"/>
        </w:rPr>
        <w:t xml:space="preserve"> </w:t>
      </w:r>
      <w:r>
        <w:t>excellent</w:t>
      </w:r>
      <w:r>
        <w:rPr>
          <w:spacing w:val="-5"/>
        </w:rPr>
        <w:t xml:space="preserve"> </w:t>
      </w:r>
      <w:r>
        <w:t>strides</w:t>
      </w:r>
      <w:r>
        <w:rPr>
          <w:spacing w:val="-5"/>
        </w:rPr>
        <w:t xml:space="preserve"> </w:t>
      </w:r>
      <w:r>
        <w:t>in</w:t>
      </w:r>
      <w:r>
        <w:rPr>
          <w:spacing w:val="-6"/>
        </w:rPr>
        <w:t xml:space="preserve"> </w:t>
      </w:r>
      <w:r>
        <w:t>opening</w:t>
      </w:r>
      <w:r>
        <w:rPr>
          <w:spacing w:val="-6"/>
        </w:rPr>
        <w:t xml:space="preserve"> </w:t>
      </w:r>
      <w:r>
        <w:t>a</w:t>
      </w:r>
      <w:r>
        <w:rPr>
          <w:spacing w:val="-6"/>
        </w:rPr>
        <w:t xml:space="preserve"> </w:t>
      </w:r>
      <w:r>
        <w:t>series</w:t>
      </w:r>
      <w:r>
        <w:rPr>
          <w:spacing w:val="-5"/>
        </w:rPr>
        <w:t xml:space="preserve"> </w:t>
      </w:r>
      <w:r>
        <w:t>of</w:t>
      </w:r>
      <w:r>
        <w:rPr>
          <w:spacing w:val="-8"/>
        </w:rPr>
        <w:t xml:space="preserve"> </w:t>
      </w:r>
      <w:r>
        <w:t>ten</w:t>
      </w:r>
      <w:r>
        <w:rPr>
          <w:spacing w:val="-6"/>
        </w:rPr>
        <w:t xml:space="preserve"> </w:t>
      </w:r>
      <w:r>
        <w:t>young adult access centers designed to provide low-ba</w:t>
      </w:r>
      <w:r>
        <w:t>rrier spaces for LGBTQ &amp; BIPOC youth to receive access to</w:t>
      </w:r>
      <w:r>
        <w:rPr>
          <w:spacing w:val="-5"/>
        </w:rPr>
        <w:t xml:space="preserve"> </w:t>
      </w:r>
      <w:r>
        <w:t>community-based</w:t>
      </w:r>
      <w:r>
        <w:rPr>
          <w:spacing w:val="-10"/>
        </w:rPr>
        <w:t xml:space="preserve"> </w:t>
      </w:r>
      <w:r>
        <w:t>mental</w:t>
      </w:r>
      <w:r>
        <w:rPr>
          <w:spacing w:val="-7"/>
        </w:rPr>
        <w:t xml:space="preserve"> </w:t>
      </w:r>
      <w:r>
        <w:t>&amp;</w:t>
      </w:r>
      <w:r>
        <w:rPr>
          <w:spacing w:val="-6"/>
        </w:rPr>
        <w:t xml:space="preserve"> </w:t>
      </w:r>
      <w:r>
        <w:t>public</w:t>
      </w:r>
      <w:r>
        <w:rPr>
          <w:spacing w:val="-6"/>
        </w:rPr>
        <w:t xml:space="preserve"> </w:t>
      </w:r>
      <w:r>
        <w:t>health</w:t>
      </w:r>
      <w:r>
        <w:rPr>
          <w:spacing w:val="-7"/>
        </w:rPr>
        <w:t xml:space="preserve"> </w:t>
      </w:r>
      <w:r>
        <w:t>services,</w:t>
      </w:r>
      <w:r>
        <w:rPr>
          <w:spacing w:val="-9"/>
        </w:rPr>
        <w:t xml:space="preserve"> </w:t>
      </w:r>
      <w:r>
        <w:t>skill-building,</w:t>
      </w:r>
      <w:r>
        <w:rPr>
          <w:spacing w:val="-7"/>
        </w:rPr>
        <w:t xml:space="preserve"> </w:t>
      </w:r>
      <w:r>
        <w:t>and</w:t>
      </w:r>
      <w:r>
        <w:rPr>
          <w:spacing w:val="-7"/>
        </w:rPr>
        <w:t xml:space="preserve"> </w:t>
      </w:r>
      <w:r>
        <w:t>peer</w:t>
      </w:r>
      <w:r>
        <w:rPr>
          <w:spacing w:val="-7"/>
        </w:rPr>
        <w:t xml:space="preserve"> </w:t>
      </w:r>
      <w:r>
        <w:t>support.</w:t>
      </w:r>
      <w:r>
        <w:rPr>
          <w:spacing w:val="-7"/>
        </w:rPr>
        <w:t xml:space="preserve"> </w:t>
      </w:r>
      <w:r>
        <w:t>However,</w:t>
      </w:r>
      <w:r>
        <w:rPr>
          <w:spacing w:val="-6"/>
        </w:rPr>
        <w:t xml:space="preserve"> </w:t>
      </w:r>
      <w:r>
        <w:t>based</w:t>
      </w:r>
      <w:r>
        <w:rPr>
          <w:spacing w:val="-7"/>
        </w:rPr>
        <w:t xml:space="preserve"> </w:t>
      </w:r>
      <w:r>
        <w:t>on conversations with DMH liaisons, LGBTQ youth, and state-based surveys on mental health needs, the Commission recommends that DMH develop stronger partnerships and opportunities to engage on the ground with youth-serving organizations and youth themselve</w:t>
      </w:r>
      <w:r>
        <w:t>s to better understand the barriers to mental</w:t>
      </w:r>
      <w:r>
        <w:rPr>
          <w:spacing w:val="-13"/>
        </w:rPr>
        <w:t xml:space="preserve"> </w:t>
      </w:r>
      <w:r>
        <w:t>health</w:t>
      </w:r>
      <w:r>
        <w:rPr>
          <w:spacing w:val="-12"/>
        </w:rPr>
        <w:t xml:space="preserve"> </w:t>
      </w:r>
      <w:r>
        <w:t>care.</w:t>
      </w:r>
      <w:r>
        <w:rPr>
          <w:spacing w:val="-13"/>
        </w:rPr>
        <w:t xml:space="preserve"> </w:t>
      </w:r>
      <w:r>
        <w:t>Such</w:t>
      </w:r>
      <w:r>
        <w:rPr>
          <w:spacing w:val="-12"/>
        </w:rPr>
        <w:t xml:space="preserve"> </w:t>
      </w:r>
      <w:r>
        <w:t>engagement</w:t>
      </w:r>
      <w:r>
        <w:rPr>
          <w:spacing w:val="-13"/>
        </w:rPr>
        <w:t xml:space="preserve"> </w:t>
      </w:r>
      <w:r>
        <w:t>should</w:t>
      </w:r>
      <w:r>
        <w:rPr>
          <w:spacing w:val="-12"/>
        </w:rPr>
        <w:t xml:space="preserve"> </w:t>
      </w:r>
      <w:r>
        <w:t>take</w:t>
      </w:r>
      <w:r>
        <w:rPr>
          <w:spacing w:val="-13"/>
        </w:rPr>
        <w:t xml:space="preserve"> </w:t>
      </w:r>
      <w:r>
        <w:t>particular</w:t>
      </w:r>
      <w:r>
        <w:rPr>
          <w:spacing w:val="-12"/>
        </w:rPr>
        <w:t xml:space="preserve"> </w:t>
      </w:r>
      <w:r>
        <w:t>care</w:t>
      </w:r>
      <w:r>
        <w:rPr>
          <w:spacing w:val="-12"/>
        </w:rPr>
        <w:t xml:space="preserve"> </w:t>
      </w:r>
      <w:r>
        <w:t>to</w:t>
      </w:r>
      <w:r>
        <w:rPr>
          <w:spacing w:val="-13"/>
        </w:rPr>
        <w:t xml:space="preserve"> </w:t>
      </w:r>
      <w:r>
        <w:t>engage</w:t>
      </w:r>
      <w:r>
        <w:rPr>
          <w:spacing w:val="-12"/>
        </w:rPr>
        <w:t xml:space="preserve"> </w:t>
      </w:r>
      <w:r>
        <w:t>in</w:t>
      </w:r>
      <w:r>
        <w:rPr>
          <w:spacing w:val="-13"/>
        </w:rPr>
        <w:t xml:space="preserve"> </w:t>
      </w:r>
      <w:r>
        <w:t>the</w:t>
      </w:r>
      <w:r>
        <w:rPr>
          <w:spacing w:val="-12"/>
        </w:rPr>
        <w:t xml:space="preserve"> </w:t>
      </w:r>
      <w:r>
        <w:t>Western</w:t>
      </w:r>
      <w:r>
        <w:rPr>
          <w:spacing w:val="-13"/>
        </w:rPr>
        <w:t xml:space="preserve"> </w:t>
      </w:r>
      <w:r>
        <w:t xml:space="preserve">Massachusetts and Cape Cod regions as rural areas are even less likely to have appropriate access to mental health </w:t>
      </w:r>
      <w:r>
        <w:rPr>
          <w:spacing w:val="-2"/>
        </w:rPr>
        <w:t>services.</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Heading9"/>
        <w:numPr>
          <w:ilvl w:val="0"/>
          <w:numId w:val="12"/>
        </w:numPr>
        <w:tabs>
          <w:tab w:val="left" w:pos="533"/>
        </w:tabs>
        <w:spacing w:before="56" w:line="276" w:lineRule="auto"/>
        <w:ind w:right="272" w:firstLine="0"/>
        <w:jc w:val="both"/>
      </w:pPr>
      <w:r>
        <w:t>Improve interagency work to support “warm hand-offs” for transition-aged youth attempting to access services, in partnership with the Department of Children and Families, Department of Youth Services, and MassHealth.</w:t>
      </w:r>
    </w:p>
    <w:p w:rsidR="00200FDA" w:rsidRDefault="00200FDA">
      <w:pPr>
        <w:pStyle w:val="BodyText"/>
        <w:spacing w:before="8"/>
        <w:rPr>
          <w:b/>
          <w:sz w:val="19"/>
        </w:rPr>
      </w:pPr>
    </w:p>
    <w:p w:rsidR="00200FDA" w:rsidRDefault="00F76C4C">
      <w:pPr>
        <w:pStyle w:val="BodyText"/>
        <w:spacing w:line="276" w:lineRule="auto"/>
        <w:ind w:left="280" w:right="273"/>
        <w:jc w:val="both"/>
      </w:pPr>
      <w:r>
        <w:t>The Commission appreci</w:t>
      </w:r>
      <w:r>
        <w:t>ates DMH’s commitment to ensuring successful transitions for LGBTQ youth within</w:t>
      </w:r>
      <w:r>
        <w:rPr>
          <w:spacing w:val="-5"/>
        </w:rPr>
        <w:t xml:space="preserve"> </w:t>
      </w:r>
      <w:r>
        <w:t>and</w:t>
      </w:r>
      <w:r>
        <w:rPr>
          <w:spacing w:val="-5"/>
        </w:rPr>
        <w:t xml:space="preserve"> </w:t>
      </w:r>
      <w:r>
        <w:t>between</w:t>
      </w:r>
      <w:r>
        <w:rPr>
          <w:spacing w:val="-7"/>
        </w:rPr>
        <w:t xml:space="preserve"> </w:t>
      </w:r>
      <w:r>
        <w:t>agency</w:t>
      </w:r>
      <w:r>
        <w:rPr>
          <w:spacing w:val="-3"/>
        </w:rPr>
        <w:t xml:space="preserve"> </w:t>
      </w:r>
      <w:r>
        <w:t>services.</w:t>
      </w:r>
      <w:r>
        <w:rPr>
          <w:spacing w:val="-5"/>
        </w:rPr>
        <w:t xml:space="preserve"> </w:t>
      </w:r>
      <w:r>
        <w:t>The</w:t>
      </w:r>
      <w:r>
        <w:rPr>
          <w:spacing w:val="-6"/>
        </w:rPr>
        <w:t xml:space="preserve"> </w:t>
      </w:r>
      <w:r>
        <w:t>Commission</w:t>
      </w:r>
      <w:r>
        <w:rPr>
          <w:spacing w:val="-8"/>
        </w:rPr>
        <w:t xml:space="preserve"> </w:t>
      </w:r>
      <w:r>
        <w:t>understands</w:t>
      </w:r>
      <w:r>
        <w:rPr>
          <w:spacing w:val="-4"/>
        </w:rPr>
        <w:t xml:space="preserve"> </w:t>
      </w:r>
      <w:r>
        <w:t>that</w:t>
      </w:r>
      <w:r>
        <w:rPr>
          <w:spacing w:val="-6"/>
        </w:rPr>
        <w:t xml:space="preserve"> </w:t>
      </w:r>
      <w:r>
        <w:t>DMH</w:t>
      </w:r>
      <w:r>
        <w:rPr>
          <w:spacing w:val="-5"/>
        </w:rPr>
        <w:t xml:space="preserve"> </w:t>
      </w:r>
      <w:r>
        <w:t>implements</w:t>
      </w:r>
      <w:r>
        <w:rPr>
          <w:spacing w:val="-4"/>
        </w:rPr>
        <w:t xml:space="preserve"> </w:t>
      </w:r>
      <w:r>
        <w:t>a</w:t>
      </w:r>
      <w:r>
        <w:rPr>
          <w:spacing w:val="-7"/>
        </w:rPr>
        <w:t xml:space="preserve"> </w:t>
      </w:r>
      <w:r>
        <w:t>wide</w:t>
      </w:r>
      <w:r>
        <w:rPr>
          <w:spacing w:val="-4"/>
        </w:rPr>
        <w:t xml:space="preserve"> </w:t>
      </w:r>
      <w:r>
        <w:t>array</w:t>
      </w:r>
      <w:r>
        <w:rPr>
          <w:spacing w:val="-6"/>
        </w:rPr>
        <w:t xml:space="preserve"> </w:t>
      </w:r>
      <w:r>
        <w:t>of collaborations across the state to support youth and families; DMH notes that its ef</w:t>
      </w:r>
      <w:r>
        <w:t>forts include: participation</w:t>
      </w:r>
      <w:r>
        <w:rPr>
          <w:spacing w:val="-5"/>
        </w:rPr>
        <w:t xml:space="preserve"> </w:t>
      </w:r>
      <w:r>
        <w:t>in</w:t>
      </w:r>
      <w:r>
        <w:rPr>
          <w:spacing w:val="-3"/>
        </w:rPr>
        <w:t xml:space="preserve"> </w:t>
      </w:r>
      <w:r>
        <w:t>interagency</w:t>
      </w:r>
      <w:r>
        <w:rPr>
          <w:spacing w:val="-3"/>
        </w:rPr>
        <w:t xml:space="preserve"> </w:t>
      </w:r>
      <w:r>
        <w:t>working</w:t>
      </w:r>
      <w:r>
        <w:rPr>
          <w:spacing w:val="-3"/>
        </w:rPr>
        <w:t xml:space="preserve"> </w:t>
      </w:r>
      <w:r>
        <w:t>groups;</w:t>
      </w:r>
      <w:r>
        <w:rPr>
          <w:spacing w:val="-3"/>
        </w:rPr>
        <w:t xml:space="preserve"> </w:t>
      </w:r>
      <w:r>
        <w:t>cross-agency</w:t>
      </w:r>
      <w:r>
        <w:rPr>
          <w:spacing w:val="-3"/>
        </w:rPr>
        <w:t xml:space="preserve"> </w:t>
      </w:r>
      <w:r>
        <w:t>forums</w:t>
      </w:r>
      <w:r>
        <w:rPr>
          <w:spacing w:val="-4"/>
        </w:rPr>
        <w:t xml:space="preserve"> </w:t>
      </w:r>
      <w:r>
        <w:t>and</w:t>
      </w:r>
      <w:r>
        <w:rPr>
          <w:spacing w:val="-3"/>
        </w:rPr>
        <w:t xml:space="preserve"> </w:t>
      </w:r>
      <w:r>
        <w:t>individual</w:t>
      </w:r>
      <w:r>
        <w:rPr>
          <w:spacing w:val="-7"/>
        </w:rPr>
        <w:t xml:space="preserve"> </w:t>
      </w:r>
      <w:r>
        <w:t>transition</w:t>
      </w:r>
      <w:r>
        <w:rPr>
          <w:spacing w:val="-5"/>
        </w:rPr>
        <w:t xml:space="preserve"> </w:t>
      </w:r>
      <w:r>
        <w:t>plan</w:t>
      </w:r>
      <w:r>
        <w:rPr>
          <w:spacing w:val="-5"/>
        </w:rPr>
        <w:t xml:space="preserve"> </w:t>
      </w:r>
      <w:r>
        <w:t>meetings around specific youth, including area level consultations; and the creation of a new role in 2022 of the Director of Young Adult Transitional Services to review transition processes and identify gaps in systems and policies. Many of these processe</w:t>
      </w:r>
      <w:r>
        <w:t>s already involve other state agencies, including DYS, MassHealth, and</w:t>
      </w:r>
      <w:r>
        <w:rPr>
          <w:spacing w:val="-7"/>
        </w:rPr>
        <w:t xml:space="preserve"> </w:t>
      </w:r>
      <w:r>
        <w:t>DCF.</w:t>
      </w:r>
      <w:r>
        <w:rPr>
          <w:spacing w:val="-7"/>
        </w:rPr>
        <w:t xml:space="preserve"> </w:t>
      </w:r>
      <w:r>
        <w:t>However,</w:t>
      </w:r>
      <w:r>
        <w:rPr>
          <w:spacing w:val="-7"/>
        </w:rPr>
        <w:t xml:space="preserve"> </w:t>
      </w:r>
      <w:r>
        <w:t>the</w:t>
      </w:r>
      <w:r>
        <w:rPr>
          <w:spacing w:val="-6"/>
        </w:rPr>
        <w:t xml:space="preserve"> </w:t>
      </w:r>
      <w:r>
        <w:t>Commission</w:t>
      </w:r>
      <w:r>
        <w:rPr>
          <w:spacing w:val="-7"/>
        </w:rPr>
        <w:t xml:space="preserve"> </w:t>
      </w:r>
      <w:r>
        <w:t>and</w:t>
      </w:r>
      <w:r>
        <w:rPr>
          <w:spacing w:val="-7"/>
        </w:rPr>
        <w:t xml:space="preserve"> </w:t>
      </w:r>
      <w:r>
        <w:t>DMH</w:t>
      </w:r>
      <w:r>
        <w:rPr>
          <w:spacing w:val="-7"/>
        </w:rPr>
        <w:t xml:space="preserve"> </w:t>
      </w:r>
      <w:r>
        <w:t>agree</w:t>
      </w:r>
      <w:r>
        <w:rPr>
          <w:spacing w:val="-6"/>
        </w:rPr>
        <w:t xml:space="preserve"> </w:t>
      </w:r>
      <w:r>
        <w:t>that</w:t>
      </w:r>
      <w:r>
        <w:rPr>
          <w:spacing w:val="-6"/>
        </w:rPr>
        <w:t xml:space="preserve"> </w:t>
      </w:r>
      <w:r>
        <w:t>processes</w:t>
      </w:r>
      <w:r>
        <w:rPr>
          <w:spacing w:val="-7"/>
        </w:rPr>
        <w:t xml:space="preserve"> </w:t>
      </w:r>
      <w:r>
        <w:t>can</w:t>
      </w:r>
      <w:r>
        <w:rPr>
          <w:spacing w:val="-7"/>
        </w:rPr>
        <w:t xml:space="preserve"> </w:t>
      </w:r>
      <w:r>
        <w:t>be</w:t>
      </w:r>
      <w:r>
        <w:rPr>
          <w:spacing w:val="-6"/>
        </w:rPr>
        <w:t xml:space="preserve"> </w:t>
      </w:r>
      <w:r>
        <w:t>further</w:t>
      </w:r>
      <w:r>
        <w:rPr>
          <w:spacing w:val="-7"/>
        </w:rPr>
        <w:t xml:space="preserve"> </w:t>
      </w:r>
      <w:r>
        <w:t>strengthened</w:t>
      </w:r>
      <w:r>
        <w:rPr>
          <w:spacing w:val="-7"/>
        </w:rPr>
        <w:t xml:space="preserve"> </w:t>
      </w:r>
      <w:r>
        <w:t>to</w:t>
      </w:r>
      <w:r>
        <w:rPr>
          <w:spacing w:val="-5"/>
        </w:rPr>
        <w:t xml:space="preserve"> </w:t>
      </w:r>
      <w:r>
        <w:t>better support the needs of multisystem-involved youth.</w:t>
      </w:r>
    </w:p>
    <w:p w:rsidR="00200FDA" w:rsidRDefault="00200FDA">
      <w:pPr>
        <w:pStyle w:val="BodyText"/>
        <w:spacing w:before="7"/>
        <w:rPr>
          <w:sz w:val="19"/>
        </w:rPr>
      </w:pPr>
    </w:p>
    <w:p w:rsidR="00200FDA" w:rsidRDefault="00F76C4C">
      <w:pPr>
        <w:pStyle w:val="BodyText"/>
        <w:spacing w:line="276" w:lineRule="auto"/>
        <w:ind w:left="279" w:right="272"/>
        <w:jc w:val="both"/>
      </w:pPr>
      <w:r>
        <w:t>The Commission understands from youth a</w:t>
      </w:r>
      <w:r>
        <w:t>nd providers that there remain some critical gaps in service provision for transition-aged youth, and that QTBIPOC youth seem to be among the most underserved populations.</w:t>
      </w:r>
      <w:r>
        <w:rPr>
          <w:spacing w:val="-12"/>
        </w:rPr>
        <w:t xml:space="preserve"> </w:t>
      </w:r>
      <w:r>
        <w:t>DMH</w:t>
      </w:r>
      <w:r>
        <w:rPr>
          <w:spacing w:val="-10"/>
        </w:rPr>
        <w:t xml:space="preserve"> </w:t>
      </w:r>
      <w:r>
        <w:t>is</w:t>
      </w:r>
      <w:r>
        <w:rPr>
          <w:spacing w:val="-9"/>
        </w:rPr>
        <w:t xml:space="preserve"> </w:t>
      </w:r>
      <w:r>
        <w:t>not</w:t>
      </w:r>
      <w:r>
        <w:rPr>
          <w:spacing w:val="-11"/>
        </w:rPr>
        <w:t xml:space="preserve"> </w:t>
      </w:r>
      <w:r>
        <w:t>solely</w:t>
      </w:r>
      <w:r>
        <w:rPr>
          <w:spacing w:val="-8"/>
        </w:rPr>
        <w:t xml:space="preserve"> </w:t>
      </w:r>
      <w:r>
        <w:t>responsible</w:t>
      </w:r>
      <w:r>
        <w:rPr>
          <w:spacing w:val="-11"/>
        </w:rPr>
        <w:t xml:space="preserve"> </w:t>
      </w:r>
      <w:r>
        <w:t>for</w:t>
      </w:r>
      <w:r>
        <w:rPr>
          <w:spacing w:val="-9"/>
        </w:rPr>
        <w:t xml:space="preserve"> </w:t>
      </w:r>
      <w:r>
        <w:t>the</w:t>
      </w:r>
      <w:r>
        <w:rPr>
          <w:spacing w:val="-11"/>
        </w:rPr>
        <w:t xml:space="preserve"> </w:t>
      </w:r>
      <w:r>
        <w:t>failures</w:t>
      </w:r>
      <w:r>
        <w:rPr>
          <w:spacing w:val="-11"/>
        </w:rPr>
        <w:t xml:space="preserve"> </w:t>
      </w:r>
      <w:r>
        <w:t>of</w:t>
      </w:r>
      <w:r>
        <w:rPr>
          <w:spacing w:val="-9"/>
        </w:rPr>
        <w:t xml:space="preserve"> </w:t>
      </w:r>
      <w:r>
        <w:t>agencies</w:t>
      </w:r>
      <w:r>
        <w:rPr>
          <w:spacing w:val="-11"/>
        </w:rPr>
        <w:t xml:space="preserve"> </w:t>
      </w:r>
      <w:r>
        <w:t>to</w:t>
      </w:r>
      <w:r>
        <w:rPr>
          <w:spacing w:val="-10"/>
        </w:rPr>
        <w:t xml:space="preserve"> </w:t>
      </w:r>
      <w:r>
        <w:t>appropriately</w:t>
      </w:r>
      <w:r>
        <w:rPr>
          <w:spacing w:val="-11"/>
        </w:rPr>
        <w:t xml:space="preserve"> </w:t>
      </w:r>
      <w:r>
        <w:t>support</w:t>
      </w:r>
      <w:r>
        <w:rPr>
          <w:spacing w:val="-11"/>
        </w:rPr>
        <w:t xml:space="preserve"> </w:t>
      </w:r>
      <w:r>
        <w:t>transition- aged</w:t>
      </w:r>
      <w:r>
        <w:rPr>
          <w:spacing w:val="-2"/>
        </w:rPr>
        <w:t xml:space="preserve"> </w:t>
      </w:r>
      <w:r>
        <w:t>youth,</w:t>
      </w:r>
      <w:r>
        <w:rPr>
          <w:spacing w:val="-3"/>
        </w:rPr>
        <w:t xml:space="preserve"> </w:t>
      </w:r>
      <w:r>
        <w:t>and</w:t>
      </w:r>
      <w:r>
        <w:rPr>
          <w:spacing w:val="-4"/>
        </w:rPr>
        <w:t xml:space="preserve"> </w:t>
      </w:r>
      <w:r>
        <w:t>the</w:t>
      </w:r>
      <w:r>
        <w:rPr>
          <w:spacing w:val="-3"/>
        </w:rPr>
        <w:t xml:space="preserve"> </w:t>
      </w:r>
      <w:r>
        <w:t>Commission</w:t>
      </w:r>
      <w:r>
        <w:rPr>
          <w:spacing w:val="-2"/>
        </w:rPr>
        <w:t xml:space="preserve"> </w:t>
      </w:r>
      <w:r>
        <w:t>notes</w:t>
      </w:r>
      <w:r>
        <w:rPr>
          <w:spacing w:val="-3"/>
        </w:rPr>
        <w:t xml:space="preserve"> </w:t>
      </w:r>
      <w:r>
        <w:t>that</w:t>
      </w:r>
      <w:r>
        <w:rPr>
          <w:spacing w:val="-3"/>
        </w:rPr>
        <w:t xml:space="preserve"> </w:t>
      </w:r>
      <w:r>
        <w:t>the</w:t>
      </w:r>
      <w:r>
        <w:rPr>
          <w:spacing w:val="-5"/>
        </w:rPr>
        <w:t xml:space="preserve"> </w:t>
      </w:r>
      <w:r>
        <w:t>one</w:t>
      </w:r>
      <w:r>
        <w:rPr>
          <w:spacing w:val="-3"/>
        </w:rPr>
        <w:t xml:space="preserve"> </w:t>
      </w:r>
      <w:r>
        <w:t>of</w:t>
      </w:r>
      <w:r>
        <w:rPr>
          <w:spacing w:val="-3"/>
        </w:rPr>
        <w:t xml:space="preserve"> </w:t>
      </w:r>
      <w:r>
        <w:t>the</w:t>
      </w:r>
      <w:r>
        <w:rPr>
          <w:spacing w:val="-5"/>
        </w:rPr>
        <w:t xml:space="preserve"> </w:t>
      </w:r>
      <w:r>
        <w:t>only</w:t>
      </w:r>
      <w:r>
        <w:rPr>
          <w:spacing w:val="-2"/>
        </w:rPr>
        <w:t xml:space="preserve"> </w:t>
      </w:r>
      <w:r>
        <w:t>ways</w:t>
      </w:r>
      <w:r>
        <w:rPr>
          <w:spacing w:val="-3"/>
        </w:rPr>
        <w:t xml:space="preserve"> </w:t>
      </w:r>
      <w:r>
        <w:t>to</w:t>
      </w:r>
      <w:r>
        <w:rPr>
          <w:spacing w:val="-1"/>
        </w:rPr>
        <w:t xml:space="preserve"> </w:t>
      </w:r>
      <w:r>
        <w:t>fully</w:t>
      </w:r>
      <w:r>
        <w:rPr>
          <w:spacing w:val="-2"/>
        </w:rPr>
        <w:t xml:space="preserve"> </w:t>
      </w:r>
      <w:r>
        <w:t>address</w:t>
      </w:r>
      <w:r>
        <w:rPr>
          <w:spacing w:val="-3"/>
        </w:rPr>
        <w:t xml:space="preserve"> </w:t>
      </w:r>
      <w:r>
        <w:t>these</w:t>
      </w:r>
      <w:r>
        <w:rPr>
          <w:spacing w:val="-3"/>
        </w:rPr>
        <w:t xml:space="preserve"> </w:t>
      </w:r>
      <w:r>
        <w:t>inequities</w:t>
      </w:r>
      <w:r>
        <w:rPr>
          <w:spacing w:val="-3"/>
        </w:rPr>
        <w:t xml:space="preserve"> </w:t>
      </w:r>
      <w:r>
        <w:t>are to improve cross-agency collaboration among youth-serving agencies in partnership with community providers, families, and youth.</w:t>
      </w:r>
    </w:p>
    <w:p w:rsidR="00200FDA" w:rsidRDefault="00200FDA">
      <w:pPr>
        <w:pStyle w:val="BodyText"/>
      </w:pPr>
    </w:p>
    <w:p w:rsidR="00200FDA" w:rsidRDefault="00200FDA">
      <w:pPr>
        <w:pStyle w:val="BodyText"/>
      </w:pPr>
    </w:p>
    <w:p w:rsidR="00200FDA" w:rsidRDefault="00200FDA">
      <w:pPr>
        <w:pStyle w:val="BodyText"/>
        <w:spacing w:before="8"/>
        <w:rPr>
          <w:sz w:val="20"/>
        </w:rPr>
      </w:pPr>
    </w:p>
    <w:p w:rsidR="00200FDA" w:rsidRDefault="00F76C4C">
      <w:pPr>
        <w:ind w:left="279"/>
        <w:jc w:val="both"/>
        <w:rPr>
          <w:i/>
        </w:rPr>
      </w:pPr>
      <w:r>
        <w:rPr>
          <w:i/>
        </w:rPr>
        <w:t>Acknowledgments:</w:t>
      </w:r>
      <w:r>
        <w:rPr>
          <w:i/>
          <w:spacing w:val="-8"/>
        </w:rPr>
        <w:t xml:space="preserve"> </w:t>
      </w:r>
      <w:r>
        <w:rPr>
          <w:i/>
        </w:rPr>
        <w:t>The</w:t>
      </w:r>
      <w:r>
        <w:rPr>
          <w:i/>
          <w:spacing w:val="-4"/>
        </w:rPr>
        <w:t xml:space="preserve"> </w:t>
      </w:r>
      <w:r>
        <w:rPr>
          <w:i/>
        </w:rPr>
        <w:t>Commission</w:t>
      </w:r>
      <w:r>
        <w:rPr>
          <w:i/>
          <w:spacing w:val="-5"/>
        </w:rPr>
        <w:t xml:space="preserve"> </w:t>
      </w:r>
      <w:r>
        <w:rPr>
          <w:i/>
        </w:rPr>
        <w:t>thanks</w:t>
      </w:r>
      <w:r>
        <w:rPr>
          <w:i/>
          <w:spacing w:val="-7"/>
        </w:rPr>
        <w:t xml:space="preserve"> </w:t>
      </w:r>
      <w:r>
        <w:rPr>
          <w:i/>
        </w:rPr>
        <w:t>the</w:t>
      </w:r>
      <w:r>
        <w:rPr>
          <w:i/>
          <w:spacing w:val="-4"/>
        </w:rPr>
        <w:t xml:space="preserve"> </w:t>
      </w:r>
      <w:r>
        <w:rPr>
          <w:i/>
        </w:rPr>
        <w:t>contributions</w:t>
      </w:r>
      <w:r>
        <w:rPr>
          <w:i/>
          <w:spacing w:val="-3"/>
        </w:rPr>
        <w:t xml:space="preserve"> </w:t>
      </w:r>
      <w:r>
        <w:rPr>
          <w:i/>
        </w:rPr>
        <w:t>of</w:t>
      </w:r>
      <w:r>
        <w:rPr>
          <w:i/>
          <w:spacing w:val="-5"/>
        </w:rPr>
        <w:t xml:space="preserve"> </w:t>
      </w:r>
      <w:r>
        <w:rPr>
          <w:i/>
        </w:rPr>
        <w:t>its</w:t>
      </w:r>
      <w:r>
        <w:rPr>
          <w:i/>
          <w:spacing w:val="-6"/>
        </w:rPr>
        <w:t xml:space="preserve"> </w:t>
      </w:r>
      <w:r>
        <w:rPr>
          <w:i/>
        </w:rPr>
        <w:t>internal</w:t>
      </w:r>
      <w:r>
        <w:rPr>
          <w:i/>
          <w:spacing w:val="-6"/>
        </w:rPr>
        <w:t xml:space="preserve"> </w:t>
      </w:r>
      <w:r>
        <w:rPr>
          <w:i/>
        </w:rPr>
        <w:t>DMH</w:t>
      </w:r>
      <w:r>
        <w:rPr>
          <w:i/>
          <w:spacing w:val="-7"/>
        </w:rPr>
        <w:t xml:space="preserve"> </w:t>
      </w:r>
      <w:r>
        <w:rPr>
          <w:i/>
        </w:rPr>
        <w:t>agency</w:t>
      </w:r>
      <w:r>
        <w:rPr>
          <w:i/>
          <w:spacing w:val="-4"/>
        </w:rPr>
        <w:t xml:space="preserve"> </w:t>
      </w:r>
      <w:r>
        <w:rPr>
          <w:i/>
          <w:spacing w:val="-2"/>
        </w:rPr>
        <w:t>liaisons.</w:t>
      </w:r>
    </w:p>
    <w:p w:rsidR="00200FDA" w:rsidRDefault="00200FDA">
      <w:pPr>
        <w:pStyle w:val="BodyText"/>
        <w:rPr>
          <w:i/>
        </w:rPr>
      </w:pPr>
    </w:p>
    <w:p w:rsidR="00200FDA" w:rsidRDefault="00F76C4C">
      <w:pPr>
        <w:spacing w:before="141"/>
        <w:ind w:left="279" w:right="517"/>
        <w:rPr>
          <w:rFonts w:ascii="Cambria" w:hAnsi="Cambria"/>
          <w:sz w:val="20"/>
        </w:rPr>
      </w:pPr>
      <w:r>
        <w:rPr>
          <w:rFonts w:ascii="Cambria" w:hAnsi="Cambria"/>
          <w:position w:val="5"/>
          <w:sz w:val="13"/>
        </w:rPr>
        <w:t>1</w:t>
      </w:r>
      <w:r>
        <w:rPr>
          <w:rFonts w:ascii="Cambria" w:hAnsi="Cambria"/>
          <w:spacing w:val="22"/>
          <w:position w:val="5"/>
          <w:sz w:val="13"/>
        </w:rPr>
        <w:t xml:space="preserve"> </w:t>
      </w:r>
      <w:r>
        <w:rPr>
          <w:rFonts w:ascii="Cambria" w:hAnsi="Cambria"/>
          <w:sz w:val="20"/>
        </w:rPr>
        <w:t xml:space="preserve">The Trevor Project, “2022 National Survey on LGBTQ Youth Mental Health Massachusetts,” 2022, </w:t>
      </w:r>
      <w:r>
        <w:rPr>
          <w:rFonts w:ascii="Cambria" w:hAnsi="Cambria"/>
          <w:spacing w:val="-2"/>
          <w:sz w:val="20"/>
        </w:rPr>
        <w:t>https://</w:t>
      </w:r>
      <w:hyperlink r:id="rId838">
        <w:r>
          <w:rPr>
            <w:rFonts w:ascii="Cambria" w:hAnsi="Cambria"/>
            <w:spacing w:val="-2"/>
            <w:sz w:val="20"/>
          </w:rPr>
          <w:t>www.thetrevorproject.org/wp-content/uploads/2022/12/The-Trevor-Project-2022-National-</w:t>
        </w:r>
      </w:hyperlink>
      <w:r>
        <w:rPr>
          <w:rFonts w:ascii="Cambria" w:hAnsi="Cambria"/>
          <w:spacing w:val="-2"/>
          <w:sz w:val="20"/>
        </w:rPr>
        <w:t xml:space="preserve"> </w:t>
      </w:r>
      <w:r>
        <w:rPr>
          <w:rFonts w:ascii="Cambria" w:hAnsi="Cambria"/>
          <w:sz w:val="20"/>
        </w:rPr>
        <w:t>Survey-on-LGBTQ-Youth-Mental-Health-by-State-Massachusetts.p</w:t>
      </w:r>
      <w:r>
        <w:rPr>
          <w:rFonts w:ascii="Cambria" w:hAnsi="Cambria"/>
          <w:sz w:val="20"/>
        </w:rPr>
        <w:t>df2022</w:t>
      </w:r>
      <w:r>
        <w:rPr>
          <w:rFonts w:ascii="Cambria" w:hAnsi="Cambria"/>
          <w:spacing w:val="-8"/>
          <w:sz w:val="20"/>
        </w:rPr>
        <w:t xml:space="preserve"> </w:t>
      </w:r>
      <w:r>
        <w:rPr>
          <w:rFonts w:ascii="Cambria" w:hAnsi="Cambria"/>
          <w:sz w:val="20"/>
        </w:rPr>
        <w:t>National</w:t>
      </w:r>
      <w:r>
        <w:rPr>
          <w:rFonts w:ascii="Cambria" w:hAnsi="Cambria"/>
          <w:spacing w:val="-9"/>
          <w:sz w:val="20"/>
        </w:rPr>
        <w:t xml:space="preserve"> </w:t>
      </w:r>
      <w:r>
        <w:rPr>
          <w:rFonts w:ascii="Cambria" w:hAnsi="Cambria"/>
          <w:sz w:val="20"/>
        </w:rPr>
        <w:t>Survey</w:t>
      </w:r>
      <w:r>
        <w:rPr>
          <w:rFonts w:ascii="Cambria" w:hAnsi="Cambria"/>
          <w:spacing w:val="-7"/>
          <w:sz w:val="20"/>
        </w:rPr>
        <w:t xml:space="preserve"> </w:t>
      </w:r>
      <w:r>
        <w:rPr>
          <w:rFonts w:ascii="Cambria" w:hAnsi="Cambria"/>
          <w:sz w:val="20"/>
        </w:rPr>
        <w:t>on</w:t>
      </w:r>
      <w:r>
        <w:rPr>
          <w:rFonts w:ascii="Cambria" w:hAnsi="Cambria"/>
          <w:spacing w:val="-9"/>
          <w:sz w:val="20"/>
        </w:rPr>
        <w:t xml:space="preserve"> </w:t>
      </w:r>
      <w:r>
        <w:rPr>
          <w:rFonts w:ascii="Cambria" w:hAnsi="Cambria"/>
          <w:sz w:val="20"/>
        </w:rPr>
        <w:t>LGBTQ</w:t>
      </w:r>
      <w:r>
        <w:rPr>
          <w:rFonts w:ascii="Cambria" w:hAnsi="Cambria"/>
          <w:spacing w:val="-8"/>
          <w:sz w:val="20"/>
        </w:rPr>
        <w:t xml:space="preserve"> </w:t>
      </w:r>
      <w:r>
        <w:rPr>
          <w:rFonts w:ascii="Cambria" w:hAnsi="Cambria"/>
          <w:sz w:val="20"/>
        </w:rPr>
        <w:t>Youth Mental Health Massachusetts.</w:t>
      </w:r>
    </w:p>
    <w:p w:rsidR="00200FDA" w:rsidRDefault="00200FDA">
      <w:pPr>
        <w:rPr>
          <w:rFonts w:ascii="Cambria" w:hAnsi="Cambria"/>
          <w:sz w:val="20"/>
        </w:rPr>
        <w:sectPr w:rsidR="00200FDA">
          <w:pgSz w:w="12240" w:h="15840"/>
          <w:pgMar w:top="1260" w:right="1160" w:bottom="1240" w:left="1160" w:header="761" w:footer="1043" w:gutter="0"/>
          <w:cols w:space="720"/>
        </w:sectPr>
      </w:pPr>
    </w:p>
    <w:p w:rsidR="00200FDA" w:rsidRDefault="00200FDA">
      <w:pPr>
        <w:pStyle w:val="BodyText"/>
        <w:spacing w:before="3"/>
        <w:rPr>
          <w:rFonts w:ascii="Cambria"/>
          <w:sz w:val="11"/>
        </w:rPr>
      </w:pPr>
    </w:p>
    <w:p w:rsidR="00200FDA" w:rsidRDefault="00F76C4C">
      <w:pPr>
        <w:spacing w:before="35"/>
        <w:ind w:left="280"/>
        <w:rPr>
          <w:sz w:val="32"/>
        </w:rPr>
      </w:pPr>
      <w:bookmarkStart w:id="1132" w:name="FY24_DPH_Recommendations_-_Final.pdf"/>
      <w:bookmarkStart w:id="1133" w:name="Department_of_Public_Health"/>
      <w:bookmarkStart w:id="1134" w:name="_bookmark893"/>
      <w:bookmarkEnd w:id="1132"/>
      <w:bookmarkEnd w:id="1133"/>
      <w:bookmarkEnd w:id="1134"/>
      <w:r>
        <w:rPr>
          <w:color w:val="365F91"/>
          <w:sz w:val="32"/>
        </w:rPr>
        <w:t>Department</w:t>
      </w:r>
      <w:r>
        <w:rPr>
          <w:color w:val="365F91"/>
          <w:spacing w:val="-7"/>
          <w:sz w:val="32"/>
        </w:rPr>
        <w:t xml:space="preserve"> </w:t>
      </w:r>
      <w:r>
        <w:rPr>
          <w:color w:val="365F91"/>
          <w:sz w:val="32"/>
        </w:rPr>
        <w:t>of</w:t>
      </w:r>
      <w:r>
        <w:rPr>
          <w:color w:val="365F91"/>
          <w:spacing w:val="-10"/>
          <w:sz w:val="32"/>
        </w:rPr>
        <w:t xml:space="preserve"> </w:t>
      </w:r>
      <w:r>
        <w:rPr>
          <w:color w:val="365F91"/>
          <w:sz w:val="32"/>
        </w:rPr>
        <w:t>Public</w:t>
      </w:r>
      <w:r>
        <w:rPr>
          <w:color w:val="365F91"/>
          <w:spacing w:val="-10"/>
          <w:sz w:val="32"/>
        </w:rPr>
        <w:t xml:space="preserve"> </w:t>
      </w:r>
      <w:r>
        <w:rPr>
          <w:color w:val="365F91"/>
          <w:spacing w:val="-2"/>
          <w:sz w:val="32"/>
        </w:rPr>
        <w:t>Health</w:t>
      </w:r>
    </w:p>
    <w:p w:rsidR="00200FDA" w:rsidRDefault="00F76C4C">
      <w:pPr>
        <w:pStyle w:val="BodyText"/>
        <w:spacing w:before="4"/>
        <w:rPr>
          <w:sz w:val="4"/>
        </w:rPr>
      </w:pPr>
      <w:r>
        <w:pict>
          <v:rect id="docshape573" o:spid="_x0000_s1070" style="position:absolute;margin-left:70.55pt;margin-top:3.85pt;width:470.9pt;height:.5pt;z-index:-15612416;mso-wrap-distance-left:0;mso-wrap-distance-right:0;mso-position-horizontal-relative:page" fillcolor="#4f81bc" stroked="f">
            <w10:wrap type="topAndBottom" anchorx="page"/>
          </v:rect>
        </w:pict>
      </w:r>
    </w:p>
    <w:p w:rsidR="00200FDA" w:rsidRDefault="00200FDA">
      <w:pPr>
        <w:pStyle w:val="BodyText"/>
        <w:rPr>
          <w:sz w:val="20"/>
        </w:rPr>
      </w:pPr>
    </w:p>
    <w:p w:rsidR="00200FDA" w:rsidRDefault="00200FDA">
      <w:pPr>
        <w:pStyle w:val="BodyText"/>
        <w:spacing w:before="1"/>
        <w:rPr>
          <w:sz w:val="15"/>
        </w:rPr>
      </w:pPr>
    </w:p>
    <w:p w:rsidR="00200FDA" w:rsidRDefault="00F76C4C">
      <w:pPr>
        <w:pStyle w:val="Heading7"/>
        <w:spacing w:before="44"/>
      </w:pPr>
      <w:r>
        <w:rPr>
          <w:color w:val="365F91"/>
        </w:rPr>
        <w:t>FY</w:t>
      </w:r>
      <w:r>
        <w:rPr>
          <w:color w:val="365F91"/>
          <w:spacing w:val="-3"/>
        </w:rPr>
        <w:t xml:space="preserve"> </w:t>
      </w:r>
      <w:r>
        <w:rPr>
          <w:color w:val="365F91"/>
        </w:rPr>
        <w:t>2024</w:t>
      </w:r>
      <w:r>
        <w:rPr>
          <w:color w:val="365F91"/>
          <w:spacing w:val="-3"/>
        </w:rPr>
        <w:t xml:space="preserve"> </w:t>
      </w:r>
      <w:r>
        <w:rPr>
          <w:color w:val="365F91"/>
          <w:spacing w:val="-2"/>
        </w:rPr>
        <w:t>Recommendations</w:t>
      </w:r>
    </w:p>
    <w:p w:rsidR="00200FDA" w:rsidRDefault="00F76C4C">
      <w:pPr>
        <w:pStyle w:val="BodyText"/>
        <w:spacing w:before="8"/>
        <w:rPr>
          <w:sz w:val="3"/>
        </w:rPr>
      </w:pPr>
      <w:r>
        <w:pict>
          <v:rect id="docshape574" o:spid="_x0000_s1069" style="position:absolute;margin-left:70.55pt;margin-top:3.45pt;width:470.9pt;height:.5pt;z-index:-15611904;mso-wrap-distance-left:0;mso-wrap-distance-right:0;mso-position-horizontal-relative:page" fillcolor="#4f81bc" stroked="f">
            <w10:wrap type="topAndBottom" anchorx="page"/>
          </v:rect>
        </w:pict>
      </w:r>
    </w:p>
    <w:p w:rsidR="00200FDA" w:rsidRDefault="00200FDA">
      <w:pPr>
        <w:pStyle w:val="BodyText"/>
        <w:rPr>
          <w:sz w:val="20"/>
        </w:rPr>
      </w:pPr>
    </w:p>
    <w:p w:rsidR="00200FDA" w:rsidRDefault="00200FDA">
      <w:pPr>
        <w:pStyle w:val="BodyText"/>
        <w:spacing w:before="5"/>
        <w:rPr>
          <w:sz w:val="18"/>
        </w:rPr>
      </w:pPr>
    </w:p>
    <w:p w:rsidR="00200FDA" w:rsidRDefault="00F76C4C">
      <w:pPr>
        <w:pStyle w:val="ListParagraph"/>
        <w:numPr>
          <w:ilvl w:val="1"/>
          <w:numId w:val="12"/>
        </w:numPr>
        <w:tabs>
          <w:tab w:val="left" w:pos="1001"/>
        </w:tabs>
        <w:spacing w:before="1" w:line="357" w:lineRule="auto"/>
        <w:ind w:right="275"/>
        <w:jc w:val="both"/>
      </w:pPr>
      <w:r>
        <w:t>Expand training opportunities for staff and contracting organizations on LGBTQ cultural engagement, racial equity, and adultism.</w:t>
      </w:r>
    </w:p>
    <w:p w:rsidR="00200FDA" w:rsidRDefault="00F76C4C">
      <w:pPr>
        <w:pStyle w:val="ListParagraph"/>
        <w:numPr>
          <w:ilvl w:val="1"/>
          <w:numId w:val="12"/>
        </w:numPr>
        <w:tabs>
          <w:tab w:val="left" w:pos="1001"/>
        </w:tabs>
        <w:spacing w:before="3" w:line="360" w:lineRule="auto"/>
        <w:ind w:right="275"/>
        <w:jc w:val="both"/>
      </w:pPr>
      <w:r>
        <w:t xml:space="preserve">Develop new strategic partnerships to diversify connections and investment into LGBTQ </w:t>
      </w:r>
      <w:r>
        <w:rPr>
          <w:spacing w:val="-2"/>
        </w:rPr>
        <w:t>communities.</w:t>
      </w:r>
    </w:p>
    <w:p w:rsidR="00200FDA" w:rsidRDefault="00F76C4C">
      <w:pPr>
        <w:pStyle w:val="ListParagraph"/>
        <w:numPr>
          <w:ilvl w:val="1"/>
          <w:numId w:val="12"/>
        </w:numPr>
        <w:tabs>
          <w:tab w:val="left" w:pos="1001"/>
        </w:tabs>
        <w:spacing w:before="1" w:line="360" w:lineRule="auto"/>
        <w:ind w:right="275"/>
        <w:jc w:val="both"/>
      </w:pPr>
      <w:r>
        <w:t>Explore ways to expand SOGIE</w:t>
      </w:r>
      <w:r>
        <w:t xml:space="preserve"> data collection through DPH programs, with particular attention to pregnancy, parental mortality, and gender-affirming care services, and make data publicly </w:t>
      </w:r>
      <w:r>
        <w:rPr>
          <w:spacing w:val="-2"/>
        </w:rPr>
        <w:t>available.</w:t>
      </w:r>
    </w:p>
    <w:p w:rsidR="00200FDA" w:rsidRDefault="00F76C4C">
      <w:pPr>
        <w:pStyle w:val="ListParagraph"/>
        <w:numPr>
          <w:ilvl w:val="1"/>
          <w:numId w:val="12"/>
        </w:numPr>
        <w:tabs>
          <w:tab w:val="left" w:pos="1001"/>
        </w:tabs>
        <w:spacing w:before="1" w:line="357" w:lineRule="auto"/>
        <w:ind w:right="274" w:hanging="360"/>
        <w:jc w:val="both"/>
      </w:pPr>
      <w:r>
        <w:t xml:space="preserve">Partner with the Commission to research the needs of LGBTQ transition-aged youth with </w:t>
      </w:r>
      <w:r>
        <w:rPr>
          <w:spacing w:val="-2"/>
        </w:rPr>
        <w:t>m</w:t>
      </w:r>
      <w:r>
        <w:rPr>
          <w:spacing w:val="-2"/>
        </w:rPr>
        <w:t>ultisystem-involvement.</w:t>
      </w:r>
    </w:p>
    <w:p w:rsidR="00200FDA" w:rsidRDefault="00200FDA">
      <w:pPr>
        <w:pStyle w:val="BodyText"/>
      </w:pPr>
    </w:p>
    <w:p w:rsidR="00200FDA" w:rsidRDefault="00F76C4C">
      <w:pPr>
        <w:pStyle w:val="Heading7"/>
        <w:spacing w:before="137"/>
      </w:pPr>
      <w:r>
        <w:pict>
          <v:rect id="docshape575" o:spid="_x0000_s1068" style="position:absolute;left:0;text-align:left;margin-left:70.55pt;margin-top:25pt;width:470.9pt;height:.5pt;z-index:-15611392;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line="276" w:lineRule="auto"/>
        <w:ind w:left="280" w:right="274"/>
        <w:jc w:val="both"/>
      </w:pPr>
      <w:r>
        <w:t>The Massachusetts Department of Public Health (DPH) is a state agency dedicated to promoting and ensuring</w:t>
      </w:r>
      <w:r>
        <w:rPr>
          <w:spacing w:val="-7"/>
        </w:rPr>
        <w:t xml:space="preserve"> </w:t>
      </w:r>
      <w:r>
        <w:t>access</w:t>
      </w:r>
      <w:r>
        <w:rPr>
          <w:spacing w:val="-9"/>
        </w:rPr>
        <w:t xml:space="preserve"> </w:t>
      </w:r>
      <w:r>
        <w:t>to</w:t>
      </w:r>
      <w:r>
        <w:rPr>
          <w:spacing w:val="-5"/>
        </w:rPr>
        <w:t xml:space="preserve"> </w:t>
      </w:r>
      <w:r>
        <w:t>health</w:t>
      </w:r>
      <w:r>
        <w:rPr>
          <w:spacing w:val="-10"/>
        </w:rPr>
        <w:t xml:space="preserve"> </w:t>
      </w:r>
      <w:r>
        <w:t>services,</w:t>
      </w:r>
      <w:r>
        <w:rPr>
          <w:spacing w:val="-9"/>
        </w:rPr>
        <w:t xml:space="preserve"> </w:t>
      </w:r>
      <w:r>
        <w:t>with</w:t>
      </w:r>
      <w:r>
        <w:rPr>
          <w:spacing w:val="-7"/>
        </w:rPr>
        <w:t xml:space="preserve"> </w:t>
      </w:r>
      <w:r>
        <w:t>a</w:t>
      </w:r>
      <w:r>
        <w:rPr>
          <w:spacing w:val="-7"/>
        </w:rPr>
        <w:t xml:space="preserve"> </w:t>
      </w:r>
      <w:r>
        <w:t>specific</w:t>
      </w:r>
      <w:r>
        <w:rPr>
          <w:spacing w:val="-7"/>
        </w:rPr>
        <w:t xml:space="preserve"> </w:t>
      </w:r>
      <w:r>
        <w:t>focus</w:t>
      </w:r>
      <w:r>
        <w:rPr>
          <w:spacing w:val="-7"/>
        </w:rPr>
        <w:t xml:space="preserve"> </w:t>
      </w:r>
      <w:r>
        <w:t>on</w:t>
      </w:r>
      <w:r>
        <w:rPr>
          <w:spacing w:val="-7"/>
        </w:rPr>
        <w:t xml:space="preserve"> </w:t>
      </w:r>
      <w:r>
        <w:t>prevention,</w:t>
      </w:r>
      <w:r>
        <w:rPr>
          <w:spacing w:val="-9"/>
        </w:rPr>
        <w:t xml:space="preserve"> </w:t>
      </w:r>
      <w:r>
        <w:t>overall</w:t>
      </w:r>
      <w:r>
        <w:rPr>
          <w:spacing w:val="-9"/>
        </w:rPr>
        <w:t xml:space="preserve"> </w:t>
      </w:r>
      <w:r>
        <w:t>wellness,</w:t>
      </w:r>
      <w:r>
        <w:rPr>
          <w:spacing w:val="-7"/>
        </w:rPr>
        <w:t xml:space="preserve"> </w:t>
      </w:r>
      <w:r>
        <w:t>and</w:t>
      </w:r>
      <w:r>
        <w:rPr>
          <w:spacing w:val="-7"/>
        </w:rPr>
        <w:t xml:space="preserve"> </w:t>
      </w:r>
      <w:r>
        <w:t>health</w:t>
      </w:r>
      <w:r>
        <w:rPr>
          <w:spacing w:val="-10"/>
        </w:rPr>
        <w:t xml:space="preserve"> </w:t>
      </w:r>
      <w:r>
        <w:t>equity for all communities. The Commission and DPH have had a longstanding supportive relationship, and the Commission is grateful for DPH’s continued support and collaboration looking into FY 2024. Prior to the COVID pandemic, DPH provided vital administr</w:t>
      </w:r>
      <w:r>
        <w:t>ative and operational support, including housing its staff, and it has continued to offer support, including through funding and provision of meeting spaces. The Commission</w:t>
      </w:r>
      <w:r>
        <w:rPr>
          <w:spacing w:val="-11"/>
        </w:rPr>
        <w:t xml:space="preserve"> </w:t>
      </w:r>
      <w:r>
        <w:t>is</w:t>
      </w:r>
      <w:r>
        <w:rPr>
          <w:spacing w:val="-10"/>
        </w:rPr>
        <w:t xml:space="preserve"> </w:t>
      </w:r>
      <w:r>
        <w:t>confident</w:t>
      </w:r>
      <w:r>
        <w:rPr>
          <w:spacing w:val="-12"/>
        </w:rPr>
        <w:t xml:space="preserve"> </w:t>
      </w:r>
      <w:r>
        <w:t>that</w:t>
      </w:r>
      <w:r>
        <w:rPr>
          <w:spacing w:val="-9"/>
        </w:rPr>
        <w:t xml:space="preserve"> </w:t>
      </w:r>
      <w:r>
        <w:t>DPH</w:t>
      </w:r>
      <w:r>
        <w:rPr>
          <w:spacing w:val="-11"/>
        </w:rPr>
        <w:t xml:space="preserve"> </w:t>
      </w:r>
      <w:r>
        <w:t>recognizes</w:t>
      </w:r>
      <w:r>
        <w:rPr>
          <w:spacing w:val="-10"/>
        </w:rPr>
        <w:t xml:space="preserve"> </w:t>
      </w:r>
      <w:r>
        <w:t>the</w:t>
      </w:r>
      <w:r>
        <w:rPr>
          <w:spacing w:val="-9"/>
        </w:rPr>
        <w:t xml:space="preserve"> </w:t>
      </w:r>
      <w:r>
        <w:t>long-term</w:t>
      </w:r>
      <w:r>
        <w:rPr>
          <w:spacing w:val="-11"/>
        </w:rPr>
        <w:t xml:space="preserve"> </w:t>
      </w:r>
      <w:r>
        <w:t>health</w:t>
      </w:r>
      <w:r>
        <w:rPr>
          <w:spacing w:val="-13"/>
        </w:rPr>
        <w:t xml:space="preserve"> </w:t>
      </w:r>
      <w:r>
        <w:t>and</w:t>
      </w:r>
      <w:r>
        <w:rPr>
          <w:spacing w:val="-10"/>
        </w:rPr>
        <w:t xml:space="preserve"> </w:t>
      </w:r>
      <w:r>
        <w:t>economic</w:t>
      </w:r>
      <w:r>
        <w:rPr>
          <w:spacing w:val="-12"/>
        </w:rPr>
        <w:t xml:space="preserve"> </w:t>
      </w:r>
      <w:r>
        <w:t>benefits</w:t>
      </w:r>
      <w:r>
        <w:rPr>
          <w:spacing w:val="-12"/>
        </w:rPr>
        <w:t xml:space="preserve"> </w:t>
      </w:r>
      <w:r>
        <w:t>of</w:t>
      </w:r>
      <w:r>
        <w:rPr>
          <w:spacing w:val="-10"/>
        </w:rPr>
        <w:t xml:space="preserve"> </w:t>
      </w:r>
      <w:r>
        <w:t>public</w:t>
      </w:r>
      <w:r>
        <w:rPr>
          <w:spacing w:val="-10"/>
        </w:rPr>
        <w:t xml:space="preserve"> </w:t>
      </w:r>
      <w:r>
        <w:t>health interventions with youth. Additionally, the Commission appreciates the significant strides DPH has continued</w:t>
      </w:r>
      <w:r>
        <w:rPr>
          <w:spacing w:val="-3"/>
        </w:rPr>
        <w:t xml:space="preserve"> </w:t>
      </w:r>
      <w:r>
        <w:t>to</w:t>
      </w:r>
      <w:r>
        <w:rPr>
          <w:spacing w:val="-1"/>
        </w:rPr>
        <w:t xml:space="preserve"> </w:t>
      </w:r>
      <w:r>
        <w:t>take</w:t>
      </w:r>
      <w:r>
        <w:rPr>
          <w:spacing w:val="-1"/>
        </w:rPr>
        <w:t xml:space="preserve"> </w:t>
      </w:r>
      <w:r>
        <w:t>to</w:t>
      </w:r>
      <w:r>
        <w:rPr>
          <w:spacing w:val="-1"/>
        </w:rPr>
        <w:t xml:space="preserve"> </w:t>
      </w:r>
      <w:r>
        <w:t>impact</w:t>
      </w:r>
      <w:r>
        <w:rPr>
          <w:spacing w:val="-1"/>
        </w:rPr>
        <w:t xml:space="preserve"> </w:t>
      </w:r>
      <w:r>
        <w:t>the</w:t>
      </w:r>
      <w:r>
        <w:rPr>
          <w:spacing w:val="-1"/>
        </w:rPr>
        <w:t xml:space="preserve"> </w:t>
      </w:r>
      <w:r>
        <w:t>intersecting</w:t>
      </w:r>
      <w:r>
        <w:rPr>
          <w:spacing w:val="-3"/>
        </w:rPr>
        <w:t xml:space="preserve"> </w:t>
      </w:r>
      <w:r>
        <w:t>systems</w:t>
      </w:r>
      <w:r>
        <w:rPr>
          <w:spacing w:val="-4"/>
        </w:rPr>
        <w:t xml:space="preserve"> </w:t>
      </w:r>
      <w:r>
        <w:t>of</w:t>
      </w:r>
      <w:r>
        <w:rPr>
          <w:spacing w:val="-2"/>
        </w:rPr>
        <w:t xml:space="preserve"> </w:t>
      </w:r>
      <w:r>
        <w:t>oppression</w:t>
      </w:r>
      <w:r>
        <w:rPr>
          <w:spacing w:val="-5"/>
        </w:rPr>
        <w:t xml:space="preserve"> </w:t>
      </w:r>
      <w:r>
        <w:t>that</w:t>
      </w:r>
      <w:r>
        <w:rPr>
          <w:spacing w:val="-1"/>
        </w:rPr>
        <w:t xml:space="preserve"> </w:t>
      </w:r>
      <w:r>
        <w:t>provide</w:t>
      </w:r>
      <w:r>
        <w:rPr>
          <w:spacing w:val="-4"/>
        </w:rPr>
        <w:t xml:space="preserve"> </w:t>
      </w:r>
      <w:r>
        <w:t>and</w:t>
      </w:r>
      <w:r>
        <w:rPr>
          <w:spacing w:val="-3"/>
        </w:rPr>
        <w:t xml:space="preserve"> </w:t>
      </w:r>
      <w:r>
        <w:t>compound</w:t>
      </w:r>
      <w:r>
        <w:rPr>
          <w:spacing w:val="-3"/>
        </w:rPr>
        <w:t xml:space="preserve"> </w:t>
      </w:r>
      <w:r>
        <w:t>systemic barriers to health and wellness for QTBIP</w:t>
      </w:r>
      <w:r>
        <w:t>OC communities.</w:t>
      </w:r>
    </w:p>
    <w:p w:rsidR="00200FDA" w:rsidRDefault="00200FDA">
      <w:pPr>
        <w:pStyle w:val="BodyText"/>
        <w:spacing w:before="8"/>
        <w:rPr>
          <w:sz w:val="19"/>
        </w:rPr>
      </w:pPr>
    </w:p>
    <w:p w:rsidR="00200FDA" w:rsidRDefault="00F76C4C">
      <w:pPr>
        <w:pStyle w:val="BodyText"/>
        <w:spacing w:line="276" w:lineRule="auto"/>
        <w:ind w:left="280" w:right="272"/>
        <w:jc w:val="both"/>
      </w:pPr>
      <w:r>
        <w:t>As</w:t>
      </w:r>
      <w:r>
        <w:rPr>
          <w:spacing w:val="-11"/>
        </w:rPr>
        <w:t xml:space="preserve"> </w:t>
      </w:r>
      <w:r>
        <w:t>highlighted</w:t>
      </w:r>
      <w:r>
        <w:rPr>
          <w:spacing w:val="-11"/>
        </w:rPr>
        <w:t xml:space="preserve"> </w:t>
      </w:r>
      <w:r>
        <w:t>in</w:t>
      </w:r>
      <w:r>
        <w:rPr>
          <w:spacing w:val="-11"/>
        </w:rPr>
        <w:t xml:space="preserve"> </w:t>
      </w:r>
      <w:r>
        <w:t>the</w:t>
      </w:r>
      <w:r>
        <w:rPr>
          <w:spacing w:val="-10"/>
        </w:rPr>
        <w:t xml:space="preserve"> </w:t>
      </w:r>
      <w:r>
        <w:t>above</w:t>
      </w:r>
      <w:r>
        <w:rPr>
          <w:spacing w:val="-12"/>
        </w:rPr>
        <w:t xml:space="preserve"> </w:t>
      </w:r>
      <w:r>
        <w:t>public</w:t>
      </w:r>
      <w:r>
        <w:rPr>
          <w:spacing w:val="-10"/>
        </w:rPr>
        <w:t xml:space="preserve"> </w:t>
      </w:r>
      <w:r>
        <w:t>health</w:t>
      </w:r>
      <w:r>
        <w:rPr>
          <w:spacing w:val="-11"/>
        </w:rPr>
        <w:t xml:space="preserve"> </w:t>
      </w:r>
      <w:r>
        <w:t>section,</w:t>
      </w:r>
      <w:r>
        <w:rPr>
          <w:spacing w:val="-10"/>
        </w:rPr>
        <w:t xml:space="preserve"> </w:t>
      </w:r>
      <w:r>
        <w:t>a</w:t>
      </w:r>
      <w:r>
        <w:rPr>
          <w:spacing w:val="-11"/>
        </w:rPr>
        <w:t xml:space="preserve"> </w:t>
      </w:r>
      <w:r>
        <w:t>wide</w:t>
      </w:r>
      <w:r>
        <w:rPr>
          <w:spacing w:val="-10"/>
        </w:rPr>
        <w:t xml:space="preserve"> </w:t>
      </w:r>
      <w:r>
        <w:t>array</w:t>
      </w:r>
      <w:r>
        <w:rPr>
          <w:spacing w:val="-12"/>
        </w:rPr>
        <w:t xml:space="preserve"> </w:t>
      </w:r>
      <w:r>
        <w:t>of</w:t>
      </w:r>
      <w:r>
        <w:rPr>
          <w:spacing w:val="-11"/>
        </w:rPr>
        <w:t xml:space="preserve"> </w:t>
      </w:r>
      <w:r>
        <w:t>issues</w:t>
      </w:r>
      <w:r>
        <w:rPr>
          <w:spacing w:val="-13"/>
        </w:rPr>
        <w:t xml:space="preserve"> </w:t>
      </w:r>
      <w:r>
        <w:t>contribute</w:t>
      </w:r>
      <w:r>
        <w:rPr>
          <w:spacing w:val="-12"/>
        </w:rPr>
        <w:t xml:space="preserve"> </w:t>
      </w:r>
      <w:r>
        <w:t>to</w:t>
      </w:r>
      <w:r>
        <w:rPr>
          <w:spacing w:val="-9"/>
        </w:rPr>
        <w:t xml:space="preserve"> </w:t>
      </w:r>
      <w:r>
        <w:t>the</w:t>
      </w:r>
      <w:r>
        <w:rPr>
          <w:spacing w:val="-12"/>
        </w:rPr>
        <w:t xml:space="preserve"> </w:t>
      </w:r>
      <w:r>
        <w:t>significant</w:t>
      </w:r>
      <w:r>
        <w:rPr>
          <w:spacing w:val="-10"/>
        </w:rPr>
        <w:t xml:space="preserve"> </w:t>
      </w:r>
      <w:r>
        <w:t>health disparities affecting LGBTQ youth, families, and communities, including violence and abuse, sexually- transmitted infections, bu</w:t>
      </w:r>
      <w:r>
        <w:t>llying, and substance use. However, despite these disparities, LGBTQ youth consistently face barriers to accessing essential programs and services, such as transportation, cost, and fear</w:t>
      </w:r>
      <w:r>
        <w:rPr>
          <w:spacing w:val="-2"/>
        </w:rPr>
        <w:t xml:space="preserve"> </w:t>
      </w:r>
      <w:r>
        <w:t>of</w:t>
      </w:r>
      <w:r>
        <w:rPr>
          <w:spacing w:val="-2"/>
        </w:rPr>
        <w:t xml:space="preserve"> </w:t>
      </w:r>
      <w:r>
        <w:t>stigmatization and</w:t>
      </w:r>
      <w:r>
        <w:rPr>
          <w:spacing w:val="-5"/>
        </w:rPr>
        <w:t xml:space="preserve"> </w:t>
      </w:r>
      <w:r>
        <w:t>discrimination. The Commission looks</w:t>
      </w:r>
      <w:r>
        <w:rPr>
          <w:spacing w:val="-2"/>
        </w:rPr>
        <w:t xml:space="preserve"> </w:t>
      </w:r>
      <w:r>
        <w:t>forward</w:t>
      </w:r>
      <w:r>
        <w:rPr>
          <w:spacing w:val="-3"/>
        </w:rPr>
        <w:t xml:space="preserve"> </w:t>
      </w:r>
      <w:r>
        <w:t>to</w:t>
      </w:r>
      <w:r>
        <w:rPr>
          <w:spacing w:val="-1"/>
        </w:rPr>
        <w:t xml:space="preserve"> </w:t>
      </w:r>
      <w:r>
        <w:t>continuing to</w:t>
      </w:r>
      <w:r>
        <w:rPr>
          <w:spacing w:val="-1"/>
        </w:rPr>
        <w:t xml:space="preserve"> </w:t>
      </w:r>
      <w:r>
        <w:t>work</w:t>
      </w:r>
      <w:r>
        <w:rPr>
          <w:spacing w:val="-1"/>
        </w:rPr>
        <w:t xml:space="preserve"> </w:t>
      </w:r>
      <w:r>
        <w:t>with</w:t>
      </w:r>
      <w:r>
        <w:rPr>
          <w:spacing w:val="-5"/>
        </w:rPr>
        <w:t xml:space="preserve"> </w:t>
      </w:r>
      <w:r>
        <w:t>DPH on these issues, and understanding ways to create, improve, and broaden programs and services for LGBTQ communities across the state.</w:t>
      </w:r>
    </w:p>
    <w:p w:rsidR="00200FDA" w:rsidRDefault="00200FDA">
      <w:pPr>
        <w:spacing w:line="276" w:lineRule="auto"/>
        <w:jc w:val="both"/>
        <w:sectPr w:rsidR="00200FDA">
          <w:headerReference w:type="default" r:id="rId839"/>
          <w:footerReference w:type="default" r:id="rId840"/>
          <w:pgSz w:w="12240" w:h="15840"/>
          <w:pgMar w:top="1260" w:right="1160" w:bottom="1240" w:left="1160" w:header="761" w:footer="1043" w:gutter="0"/>
          <w:cols w:space="720"/>
        </w:sectPr>
      </w:pPr>
    </w:p>
    <w:p w:rsidR="00200FDA" w:rsidRDefault="00200FDA">
      <w:pPr>
        <w:pStyle w:val="BodyText"/>
        <w:spacing w:before="4"/>
        <w:rPr>
          <w:sz w:val="9"/>
        </w:rPr>
      </w:pPr>
    </w:p>
    <w:p w:rsidR="00200FDA" w:rsidRDefault="00F76C4C">
      <w:pPr>
        <w:pStyle w:val="Heading8"/>
        <w:spacing w:before="52"/>
        <w:ind w:left="280"/>
      </w:pPr>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spacing w:before="8"/>
        <w:rPr>
          <w:sz w:val="19"/>
        </w:rPr>
      </w:pPr>
    </w:p>
    <w:p w:rsidR="00200FDA" w:rsidRDefault="00F76C4C">
      <w:pPr>
        <w:pStyle w:val="BodyText"/>
        <w:spacing w:line="276" w:lineRule="auto"/>
        <w:ind w:left="279" w:right="274"/>
        <w:jc w:val="both"/>
      </w:pPr>
      <w:r>
        <w:t>DPH has long been committed to developing consistent policies and practices for working with LGBTQ populations, as well as expanding its services and support for effective programs across the Commonwealth.</w:t>
      </w:r>
      <w:r>
        <w:rPr>
          <w:spacing w:val="-13"/>
        </w:rPr>
        <w:t xml:space="preserve"> </w:t>
      </w:r>
      <w:r>
        <w:t>Notably,</w:t>
      </w:r>
      <w:r>
        <w:rPr>
          <w:spacing w:val="-10"/>
        </w:rPr>
        <w:t xml:space="preserve"> </w:t>
      </w:r>
      <w:r>
        <w:t>through</w:t>
      </w:r>
      <w:r>
        <w:rPr>
          <w:spacing w:val="-12"/>
        </w:rPr>
        <w:t xml:space="preserve"> </w:t>
      </w:r>
      <w:r>
        <w:t>its</w:t>
      </w:r>
      <w:r>
        <w:rPr>
          <w:spacing w:val="-11"/>
        </w:rPr>
        <w:t xml:space="preserve"> </w:t>
      </w:r>
      <w:r>
        <w:t>Division</w:t>
      </w:r>
      <w:r>
        <w:rPr>
          <w:spacing w:val="-12"/>
        </w:rPr>
        <w:t xml:space="preserve"> </w:t>
      </w:r>
      <w:r>
        <w:t>of</w:t>
      </w:r>
      <w:r>
        <w:rPr>
          <w:spacing w:val="-12"/>
        </w:rPr>
        <w:t xml:space="preserve"> </w:t>
      </w:r>
      <w:r>
        <w:t>Violence</w:t>
      </w:r>
      <w:r>
        <w:rPr>
          <w:spacing w:val="-11"/>
        </w:rPr>
        <w:t xml:space="preserve"> </w:t>
      </w:r>
      <w:r>
        <w:t>and</w:t>
      </w:r>
      <w:r>
        <w:rPr>
          <w:spacing w:val="-12"/>
        </w:rPr>
        <w:t xml:space="preserve"> </w:t>
      </w:r>
      <w:r>
        <w:t>Inju</w:t>
      </w:r>
      <w:r>
        <w:t>ry</w:t>
      </w:r>
      <w:r>
        <w:rPr>
          <w:spacing w:val="-11"/>
        </w:rPr>
        <w:t xml:space="preserve"> </w:t>
      </w:r>
      <w:r>
        <w:t>Prevention,</w:t>
      </w:r>
      <w:r>
        <w:rPr>
          <w:spacing w:val="-13"/>
        </w:rPr>
        <w:t xml:space="preserve"> </w:t>
      </w:r>
      <w:r>
        <w:t>DPH</w:t>
      </w:r>
      <w:r>
        <w:rPr>
          <w:spacing w:val="-11"/>
        </w:rPr>
        <w:t xml:space="preserve"> </w:t>
      </w:r>
      <w:r>
        <w:t>administers</w:t>
      </w:r>
      <w:r>
        <w:rPr>
          <w:spacing w:val="-13"/>
        </w:rPr>
        <w:t xml:space="preserve"> </w:t>
      </w:r>
      <w:r>
        <w:t>the</w:t>
      </w:r>
      <w:r>
        <w:rPr>
          <w:spacing w:val="-10"/>
        </w:rPr>
        <w:t xml:space="preserve"> </w:t>
      </w:r>
      <w:hyperlink r:id="rId841">
        <w:r>
          <w:rPr>
            <w:color w:val="1154CC"/>
            <w:u w:val="single" w:color="1154CC"/>
          </w:rPr>
          <w:t>Safe</w:t>
        </w:r>
      </w:hyperlink>
      <w:r>
        <w:rPr>
          <w:color w:val="1154CC"/>
        </w:rPr>
        <w:t xml:space="preserve"> </w:t>
      </w:r>
      <w:hyperlink r:id="rId842">
        <w:r>
          <w:rPr>
            <w:color w:val="1154CC"/>
            <w:u w:val="single" w:color="1154CC"/>
          </w:rPr>
          <w:t>Spaces for LGBTQIA+ Youth Programs</w:t>
        </w:r>
        <w:r>
          <w:t>,</w:t>
        </w:r>
      </w:hyperlink>
      <w:r>
        <w:t xml:space="preserve"> which provides a variety of services, including an accessible community drop-in space, peer-led, adult-supported support groups, and services for transition-aged LGBTQ youth.</w:t>
      </w:r>
    </w:p>
    <w:p w:rsidR="00200FDA" w:rsidRDefault="00200FDA">
      <w:pPr>
        <w:pStyle w:val="BodyText"/>
        <w:spacing w:before="7"/>
        <w:rPr>
          <w:sz w:val="19"/>
        </w:rPr>
      </w:pPr>
    </w:p>
    <w:p w:rsidR="00200FDA" w:rsidRDefault="00F76C4C">
      <w:pPr>
        <w:pStyle w:val="BodyText"/>
        <w:spacing w:before="1" w:line="276" w:lineRule="auto"/>
        <w:ind w:left="279" w:right="274"/>
        <w:jc w:val="both"/>
      </w:pPr>
      <w:r>
        <w:t>The</w:t>
      </w:r>
      <w:r>
        <w:rPr>
          <w:spacing w:val="-1"/>
        </w:rPr>
        <w:t xml:space="preserve"> </w:t>
      </w:r>
      <w:r>
        <w:t>Co</w:t>
      </w:r>
      <w:r>
        <w:t>mmission</w:t>
      </w:r>
      <w:r>
        <w:rPr>
          <w:spacing w:val="-5"/>
        </w:rPr>
        <w:t xml:space="preserve"> </w:t>
      </w:r>
      <w:r>
        <w:t>has</w:t>
      </w:r>
      <w:r>
        <w:rPr>
          <w:spacing w:val="-2"/>
        </w:rPr>
        <w:t xml:space="preserve"> </w:t>
      </w:r>
      <w:r>
        <w:t>been</w:t>
      </w:r>
      <w:r>
        <w:rPr>
          <w:spacing w:val="-5"/>
        </w:rPr>
        <w:t xml:space="preserve"> </w:t>
      </w:r>
      <w:r>
        <w:t>pleased</w:t>
      </w:r>
      <w:r>
        <w:rPr>
          <w:spacing w:val="-5"/>
        </w:rPr>
        <w:t xml:space="preserve"> </w:t>
      </w:r>
      <w:r>
        <w:t>to</w:t>
      </w:r>
      <w:r>
        <w:rPr>
          <w:spacing w:val="-3"/>
        </w:rPr>
        <w:t xml:space="preserve"> </w:t>
      </w:r>
      <w:r>
        <w:t>work</w:t>
      </w:r>
      <w:r>
        <w:rPr>
          <w:spacing w:val="-4"/>
        </w:rPr>
        <w:t xml:space="preserve"> </w:t>
      </w:r>
      <w:r>
        <w:t>with</w:t>
      </w:r>
      <w:r>
        <w:rPr>
          <w:spacing w:val="-5"/>
        </w:rPr>
        <w:t xml:space="preserve"> </w:t>
      </w:r>
      <w:r>
        <w:t>DPH’s</w:t>
      </w:r>
      <w:r>
        <w:rPr>
          <w:spacing w:val="-4"/>
        </w:rPr>
        <w:t xml:space="preserve"> </w:t>
      </w:r>
      <w:r>
        <w:t>Bureau</w:t>
      </w:r>
      <w:r>
        <w:rPr>
          <w:spacing w:val="-5"/>
        </w:rPr>
        <w:t xml:space="preserve"> </w:t>
      </w:r>
      <w:r>
        <w:t>of</w:t>
      </w:r>
      <w:r>
        <w:rPr>
          <w:spacing w:val="-4"/>
        </w:rPr>
        <w:t xml:space="preserve"> </w:t>
      </w:r>
      <w:r>
        <w:t>Substance</w:t>
      </w:r>
      <w:r>
        <w:rPr>
          <w:spacing w:val="-4"/>
        </w:rPr>
        <w:t xml:space="preserve"> </w:t>
      </w:r>
      <w:r>
        <w:t>Abuse</w:t>
      </w:r>
      <w:r>
        <w:rPr>
          <w:spacing w:val="-1"/>
        </w:rPr>
        <w:t xml:space="preserve"> </w:t>
      </w:r>
      <w:r>
        <w:t>Services</w:t>
      </w:r>
      <w:r>
        <w:rPr>
          <w:spacing w:val="-2"/>
        </w:rPr>
        <w:t xml:space="preserve"> </w:t>
      </w:r>
      <w:r>
        <w:t>(BSAS),</w:t>
      </w:r>
      <w:r>
        <w:rPr>
          <w:spacing w:val="-4"/>
        </w:rPr>
        <w:t xml:space="preserve"> </w:t>
      </w:r>
      <w:r>
        <w:t>which has extended efforts through its Office of Youth and Young Adult Services (OYYAS) to review documents and data collection standards to ensure that LGBTQ youth are</w:t>
      </w:r>
      <w:r>
        <w:t xml:space="preserve"> affirmed through DPH outreach and services. The Commission has further partnered with DPH’s SOGI Data Standards Working Group, and in April 2023 provided input on the agency’s upcoming COVID Community Impact Survey (CCIS) 2.0. The Commission looks forward</w:t>
      </w:r>
      <w:r>
        <w:t xml:space="preserve"> to continuing to collaborate with DPH on these data collection efforts in the upcoming fiscal year.</w:t>
      </w:r>
    </w:p>
    <w:p w:rsidR="00200FDA" w:rsidRDefault="00200FDA">
      <w:pPr>
        <w:pStyle w:val="BodyText"/>
        <w:spacing w:before="8"/>
        <w:rPr>
          <w:sz w:val="19"/>
        </w:rPr>
      </w:pPr>
    </w:p>
    <w:p w:rsidR="00200FDA" w:rsidRDefault="00F76C4C">
      <w:pPr>
        <w:pStyle w:val="BodyText"/>
        <w:spacing w:line="276" w:lineRule="auto"/>
        <w:ind w:left="279" w:right="274"/>
        <w:jc w:val="both"/>
      </w:pPr>
      <w:r>
        <w:t>The</w:t>
      </w:r>
      <w:r>
        <w:rPr>
          <w:spacing w:val="-7"/>
        </w:rPr>
        <w:t xml:space="preserve"> </w:t>
      </w:r>
      <w:r>
        <w:t>Commission</w:t>
      </w:r>
      <w:r>
        <w:rPr>
          <w:spacing w:val="-9"/>
        </w:rPr>
        <w:t xml:space="preserve"> </w:t>
      </w:r>
      <w:r>
        <w:t>commends</w:t>
      </w:r>
      <w:r>
        <w:rPr>
          <w:spacing w:val="-8"/>
        </w:rPr>
        <w:t xml:space="preserve"> </w:t>
      </w:r>
      <w:r>
        <w:t>DPH</w:t>
      </w:r>
      <w:r>
        <w:rPr>
          <w:spacing w:val="-9"/>
        </w:rPr>
        <w:t xml:space="preserve"> </w:t>
      </w:r>
      <w:r>
        <w:t>for</w:t>
      </w:r>
      <w:r>
        <w:rPr>
          <w:spacing w:val="-8"/>
        </w:rPr>
        <w:t xml:space="preserve"> </w:t>
      </w:r>
      <w:r>
        <w:t>its</w:t>
      </w:r>
      <w:r>
        <w:rPr>
          <w:spacing w:val="-10"/>
        </w:rPr>
        <w:t xml:space="preserve"> </w:t>
      </w:r>
      <w:r>
        <w:t>work</w:t>
      </w:r>
      <w:r>
        <w:rPr>
          <w:spacing w:val="-8"/>
        </w:rPr>
        <w:t xml:space="preserve"> </w:t>
      </w:r>
      <w:r>
        <w:t>on</w:t>
      </w:r>
      <w:r>
        <w:rPr>
          <w:spacing w:val="-9"/>
        </w:rPr>
        <w:t xml:space="preserve"> </w:t>
      </w:r>
      <w:r>
        <w:t>racial</w:t>
      </w:r>
      <w:r>
        <w:rPr>
          <w:spacing w:val="-11"/>
        </w:rPr>
        <w:t xml:space="preserve"> </w:t>
      </w:r>
      <w:r>
        <w:t>justice</w:t>
      </w:r>
      <w:r>
        <w:rPr>
          <w:spacing w:val="-7"/>
        </w:rPr>
        <w:t xml:space="preserve"> </w:t>
      </w:r>
      <w:r>
        <w:t>initiatives,</w:t>
      </w:r>
      <w:r>
        <w:rPr>
          <w:spacing w:val="-8"/>
        </w:rPr>
        <w:t xml:space="preserve"> </w:t>
      </w:r>
      <w:r>
        <w:t>including</w:t>
      </w:r>
      <w:r>
        <w:rPr>
          <w:spacing w:val="-9"/>
        </w:rPr>
        <w:t xml:space="preserve"> </w:t>
      </w:r>
      <w:r>
        <w:t>by</w:t>
      </w:r>
      <w:r>
        <w:rPr>
          <w:spacing w:val="-7"/>
        </w:rPr>
        <w:t xml:space="preserve"> </w:t>
      </w:r>
      <w:r>
        <w:t>its</w:t>
      </w:r>
      <w:r>
        <w:rPr>
          <w:spacing w:val="-8"/>
        </w:rPr>
        <w:t xml:space="preserve"> </w:t>
      </w:r>
      <w:r>
        <w:t>release</w:t>
      </w:r>
      <w:r>
        <w:rPr>
          <w:spacing w:val="-10"/>
        </w:rPr>
        <w:t xml:space="preserve"> </w:t>
      </w:r>
      <w:r>
        <w:t>of</w:t>
      </w:r>
      <w:r>
        <w:rPr>
          <w:spacing w:val="-8"/>
        </w:rPr>
        <w:t xml:space="preserve"> </w:t>
      </w:r>
      <w:r>
        <w:t>a</w:t>
      </w:r>
      <w:r>
        <w:rPr>
          <w:spacing w:val="-8"/>
        </w:rPr>
        <w:t xml:space="preserve"> </w:t>
      </w:r>
      <w:r>
        <w:t>Racial Equity Data Road Map in October of 2020 which provides “a suggested methodology for programs to assess their progress in addressing racial inequities in</w:t>
      </w:r>
      <w:r>
        <w:rPr>
          <w:spacing w:val="-1"/>
        </w:rPr>
        <w:t xml:space="preserve"> </w:t>
      </w:r>
      <w:r>
        <w:t>service delivery and health</w:t>
      </w:r>
      <w:r>
        <w:rPr>
          <w:spacing w:val="-1"/>
        </w:rPr>
        <w:t xml:space="preserve"> </w:t>
      </w:r>
      <w:r>
        <w:t>outcomes.”</w:t>
      </w:r>
      <w:hyperlink w:anchor="_bookmark894" w:history="1">
        <w:r>
          <w:rPr>
            <w:vertAlign w:val="superscript"/>
          </w:rPr>
          <w:t>1</w:t>
        </w:r>
      </w:hyperlink>
      <w:r>
        <w:rPr>
          <w:spacing w:val="40"/>
        </w:rPr>
        <w:t xml:space="preserve"> </w:t>
      </w:r>
      <w:r>
        <w:t>In May of 2022, DPH note</w:t>
      </w:r>
      <w:r>
        <w:t>d that the agency had secured The Racial Equity Institute to provide a two-day training session to DPH leaders and staff which focused on anti-racism and capacity-building, which it intends to continue to offer to staff as requested.</w:t>
      </w:r>
    </w:p>
    <w:p w:rsidR="00200FDA" w:rsidRDefault="00200FDA">
      <w:pPr>
        <w:pStyle w:val="BodyText"/>
        <w:spacing w:before="8"/>
        <w:rPr>
          <w:sz w:val="19"/>
        </w:rPr>
      </w:pPr>
    </w:p>
    <w:p w:rsidR="00200FDA" w:rsidRDefault="00F76C4C">
      <w:pPr>
        <w:pStyle w:val="BodyText"/>
        <w:spacing w:line="276" w:lineRule="auto"/>
        <w:ind w:left="279" w:right="276"/>
        <w:jc w:val="both"/>
      </w:pPr>
      <w:r>
        <w:t>Ongoing</w:t>
      </w:r>
      <w:r>
        <w:rPr>
          <w:spacing w:val="-12"/>
        </w:rPr>
        <w:t xml:space="preserve"> </w:t>
      </w:r>
      <w:r>
        <w:t>work</w:t>
      </w:r>
      <w:r>
        <w:rPr>
          <w:spacing w:val="-11"/>
        </w:rPr>
        <w:t xml:space="preserve"> </w:t>
      </w:r>
      <w:r>
        <w:t>from</w:t>
      </w:r>
      <w:r>
        <w:rPr>
          <w:spacing w:val="-13"/>
        </w:rPr>
        <w:t xml:space="preserve"> </w:t>
      </w:r>
      <w:r>
        <w:t>DPH</w:t>
      </w:r>
      <w:r>
        <w:rPr>
          <w:spacing w:val="-11"/>
        </w:rPr>
        <w:t xml:space="preserve"> </w:t>
      </w:r>
      <w:r>
        <w:t>further</w:t>
      </w:r>
      <w:r>
        <w:rPr>
          <w:spacing w:val="-11"/>
        </w:rPr>
        <w:t xml:space="preserve"> </w:t>
      </w:r>
      <w:r>
        <w:t>includes</w:t>
      </w:r>
      <w:r>
        <w:rPr>
          <w:spacing w:val="-11"/>
        </w:rPr>
        <w:t xml:space="preserve"> </w:t>
      </w:r>
      <w:r>
        <w:t>the</w:t>
      </w:r>
      <w:r>
        <w:rPr>
          <w:spacing w:val="-11"/>
        </w:rPr>
        <w:t xml:space="preserve"> </w:t>
      </w:r>
      <w:r>
        <w:t>prioritization</w:t>
      </w:r>
      <w:r>
        <w:rPr>
          <w:spacing w:val="-12"/>
        </w:rPr>
        <w:t xml:space="preserve"> </w:t>
      </w:r>
      <w:r>
        <w:t>of</w:t>
      </w:r>
      <w:r>
        <w:rPr>
          <w:spacing w:val="-12"/>
        </w:rPr>
        <w:t xml:space="preserve"> </w:t>
      </w:r>
      <w:r>
        <w:t>LGBTQ</w:t>
      </w:r>
      <w:r>
        <w:rPr>
          <w:spacing w:val="-13"/>
        </w:rPr>
        <w:t xml:space="preserve"> </w:t>
      </w:r>
      <w:r>
        <w:t>youth</w:t>
      </w:r>
      <w:r>
        <w:rPr>
          <w:spacing w:val="-11"/>
        </w:rPr>
        <w:t xml:space="preserve"> </w:t>
      </w:r>
      <w:r>
        <w:t>in</w:t>
      </w:r>
      <w:r>
        <w:rPr>
          <w:spacing w:val="-12"/>
        </w:rPr>
        <w:t xml:space="preserve"> </w:t>
      </w:r>
      <w:r>
        <w:t>its</w:t>
      </w:r>
      <w:r>
        <w:rPr>
          <w:spacing w:val="-11"/>
        </w:rPr>
        <w:t xml:space="preserve"> </w:t>
      </w:r>
      <w:r>
        <w:t>strategic</w:t>
      </w:r>
      <w:r>
        <w:rPr>
          <w:spacing w:val="-11"/>
        </w:rPr>
        <w:t xml:space="preserve"> </w:t>
      </w:r>
      <w:r>
        <w:t>plan</w:t>
      </w:r>
      <w:r>
        <w:rPr>
          <w:spacing w:val="-12"/>
        </w:rPr>
        <w:t xml:space="preserve"> </w:t>
      </w:r>
      <w:r>
        <w:t>for</w:t>
      </w:r>
      <w:r>
        <w:rPr>
          <w:spacing w:val="-11"/>
        </w:rPr>
        <w:t xml:space="preserve"> </w:t>
      </w:r>
      <w:r>
        <w:t>smoking prevention, and continued resource provision to programs focused on suicide prevention and HIV prevention.</w:t>
      </w:r>
      <w:r>
        <w:rPr>
          <w:spacing w:val="-7"/>
        </w:rPr>
        <w:t xml:space="preserve"> </w:t>
      </w:r>
      <w:r>
        <w:t>In</w:t>
      </w:r>
      <w:r>
        <w:rPr>
          <w:spacing w:val="-7"/>
        </w:rPr>
        <w:t xml:space="preserve"> </w:t>
      </w:r>
      <w:r>
        <w:t>FY</w:t>
      </w:r>
      <w:r>
        <w:rPr>
          <w:spacing w:val="-6"/>
        </w:rPr>
        <w:t xml:space="preserve"> </w:t>
      </w:r>
      <w:r>
        <w:t>2023,</w:t>
      </w:r>
      <w:r>
        <w:rPr>
          <w:spacing w:val="-7"/>
        </w:rPr>
        <w:t xml:space="preserve"> </w:t>
      </w:r>
      <w:r>
        <w:t>the</w:t>
      </w:r>
      <w:r>
        <w:rPr>
          <w:spacing w:val="-8"/>
        </w:rPr>
        <w:t xml:space="preserve"> </w:t>
      </w:r>
      <w:r>
        <w:t>Commission</w:t>
      </w:r>
      <w:r>
        <w:rPr>
          <w:spacing w:val="-7"/>
        </w:rPr>
        <w:t xml:space="preserve"> </w:t>
      </w:r>
      <w:r>
        <w:t>and</w:t>
      </w:r>
      <w:r>
        <w:rPr>
          <w:spacing w:val="-7"/>
        </w:rPr>
        <w:t xml:space="preserve"> </w:t>
      </w:r>
      <w:r>
        <w:t>DPH</w:t>
      </w:r>
      <w:r>
        <w:rPr>
          <w:spacing w:val="-7"/>
        </w:rPr>
        <w:t xml:space="preserve"> </w:t>
      </w:r>
      <w:r>
        <w:t>discussed</w:t>
      </w:r>
      <w:r>
        <w:rPr>
          <w:spacing w:val="-7"/>
        </w:rPr>
        <w:t xml:space="preserve"> </w:t>
      </w:r>
      <w:r>
        <w:t>further</w:t>
      </w:r>
      <w:r>
        <w:rPr>
          <w:spacing w:val="-7"/>
        </w:rPr>
        <w:t xml:space="preserve"> </w:t>
      </w:r>
      <w:r>
        <w:t>areas</w:t>
      </w:r>
      <w:r>
        <w:rPr>
          <w:spacing w:val="-9"/>
        </w:rPr>
        <w:t xml:space="preserve"> </w:t>
      </w:r>
      <w:r>
        <w:t>of</w:t>
      </w:r>
      <w:r>
        <w:rPr>
          <w:spacing w:val="-7"/>
        </w:rPr>
        <w:t xml:space="preserve"> </w:t>
      </w:r>
      <w:r>
        <w:t>collaboration</w:t>
      </w:r>
      <w:r>
        <w:rPr>
          <w:spacing w:val="-7"/>
        </w:rPr>
        <w:t xml:space="preserve"> </w:t>
      </w:r>
      <w:r>
        <w:t>and</w:t>
      </w:r>
      <w:r>
        <w:rPr>
          <w:spacing w:val="-7"/>
        </w:rPr>
        <w:t xml:space="preserve"> </w:t>
      </w:r>
      <w:r>
        <w:t>investment into community-based public health and advocacy programs to build capacity and education efforts in local communities. Additionally, in 2021, DPH’s Bureau of Infectious Disease and Laboratory Sciences (BIDLS) provided its partn</w:t>
      </w:r>
      <w:r>
        <w:t>er organizations with LGBTQ-inclusive guidance on using social media to promote health and disease prevention, as well as has continued to support innovative ways to engage LGBTQ communities in sexual health services.</w:t>
      </w:r>
    </w:p>
    <w:p w:rsidR="00200FDA" w:rsidRDefault="00200FDA">
      <w:pPr>
        <w:pStyle w:val="BodyText"/>
        <w:spacing w:before="9"/>
        <w:rPr>
          <w:sz w:val="32"/>
        </w:rPr>
      </w:pPr>
    </w:p>
    <w:p w:rsidR="00200FDA" w:rsidRDefault="00F76C4C">
      <w:pPr>
        <w:pStyle w:val="Heading7"/>
        <w:spacing w:before="1"/>
        <w:jc w:val="both"/>
      </w:pPr>
      <w:r>
        <w:pict>
          <v:rect id="docshape576" o:spid="_x0000_s1067" style="position:absolute;left:0;text-align:left;margin-left:70.55pt;margin-top:18.2pt;width:470.9pt;height:.5pt;z-index:-15610880;mso-wrap-distance-left:0;mso-wrap-distance-right:0;mso-position-horizontal-relative:page" fillcolor="#4f81bc" stroked="f">
            <w10:wrap type="topAndBottom" anchorx="page"/>
          </v:rect>
        </w:pict>
      </w:r>
      <w:bookmarkStart w:id="1135" w:name="FY_2024_Expanded_DPH_Recommendations"/>
      <w:bookmarkEnd w:id="1135"/>
      <w:r>
        <w:rPr>
          <w:color w:val="365F91"/>
        </w:rPr>
        <w:t>FY</w:t>
      </w:r>
      <w:r>
        <w:rPr>
          <w:color w:val="365F91"/>
          <w:spacing w:val="-4"/>
        </w:rPr>
        <w:t xml:space="preserve"> </w:t>
      </w:r>
      <w:r>
        <w:rPr>
          <w:color w:val="365F91"/>
        </w:rPr>
        <w:t>2024</w:t>
      </w:r>
      <w:r>
        <w:rPr>
          <w:color w:val="365F91"/>
          <w:spacing w:val="-5"/>
        </w:rPr>
        <w:t xml:space="preserve"> </w:t>
      </w:r>
      <w:r>
        <w:rPr>
          <w:color w:val="365F91"/>
        </w:rPr>
        <w:t>Expanded</w:t>
      </w:r>
      <w:r>
        <w:rPr>
          <w:color w:val="365F91"/>
          <w:spacing w:val="-3"/>
        </w:rPr>
        <w:t xml:space="preserve"> </w:t>
      </w:r>
      <w:r>
        <w:rPr>
          <w:color w:val="365F91"/>
        </w:rPr>
        <w:t>DPH</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11"/>
        </w:numPr>
        <w:tabs>
          <w:tab w:val="left" w:pos="497"/>
        </w:tabs>
        <w:spacing w:before="56" w:line="273" w:lineRule="auto"/>
        <w:ind w:right="273" w:firstLine="0"/>
      </w:pPr>
      <w:r>
        <w:t>Expand</w:t>
      </w:r>
      <w:r>
        <w:rPr>
          <w:spacing w:val="-11"/>
        </w:rPr>
        <w:t xml:space="preserve"> </w:t>
      </w:r>
      <w:r>
        <w:t>training</w:t>
      </w:r>
      <w:r>
        <w:rPr>
          <w:spacing w:val="-9"/>
        </w:rPr>
        <w:t xml:space="preserve"> </w:t>
      </w:r>
      <w:r>
        <w:t>opportunities</w:t>
      </w:r>
      <w:r>
        <w:rPr>
          <w:spacing w:val="-9"/>
        </w:rPr>
        <w:t xml:space="preserve"> </w:t>
      </w:r>
      <w:r>
        <w:t>for</w:t>
      </w:r>
      <w:r>
        <w:rPr>
          <w:spacing w:val="-12"/>
        </w:rPr>
        <w:t xml:space="preserve"> </w:t>
      </w:r>
      <w:r>
        <w:t>staff</w:t>
      </w:r>
      <w:r>
        <w:rPr>
          <w:spacing w:val="-10"/>
        </w:rPr>
        <w:t xml:space="preserve"> </w:t>
      </w:r>
      <w:r>
        <w:t>and</w:t>
      </w:r>
      <w:r>
        <w:rPr>
          <w:spacing w:val="-11"/>
        </w:rPr>
        <w:t xml:space="preserve"> </w:t>
      </w:r>
      <w:r>
        <w:t>contracting</w:t>
      </w:r>
      <w:r>
        <w:rPr>
          <w:spacing w:val="-9"/>
        </w:rPr>
        <w:t xml:space="preserve"> </w:t>
      </w:r>
      <w:r>
        <w:t>organizations</w:t>
      </w:r>
      <w:r>
        <w:rPr>
          <w:spacing w:val="-9"/>
        </w:rPr>
        <w:t xml:space="preserve"> </w:t>
      </w:r>
      <w:r>
        <w:t>on</w:t>
      </w:r>
      <w:r>
        <w:rPr>
          <w:spacing w:val="-11"/>
        </w:rPr>
        <w:t xml:space="preserve"> </w:t>
      </w:r>
      <w:r>
        <w:t>LGBTQ</w:t>
      </w:r>
      <w:r>
        <w:rPr>
          <w:spacing w:val="-10"/>
        </w:rPr>
        <w:t xml:space="preserve"> </w:t>
      </w:r>
      <w:r>
        <w:t>cultural</w:t>
      </w:r>
      <w:r>
        <w:rPr>
          <w:spacing w:val="-9"/>
        </w:rPr>
        <w:t xml:space="preserve"> </w:t>
      </w:r>
      <w:r>
        <w:t>engagement, racial equity, and adultism.</w:t>
      </w:r>
    </w:p>
    <w:p w:rsidR="00200FDA" w:rsidRDefault="00200FDA">
      <w:pPr>
        <w:pStyle w:val="BodyText"/>
        <w:rPr>
          <w:b/>
          <w:sz w:val="20"/>
        </w:rPr>
      </w:pPr>
    </w:p>
    <w:p w:rsidR="00200FDA" w:rsidRDefault="00F76C4C">
      <w:pPr>
        <w:pStyle w:val="BodyText"/>
        <w:spacing w:before="1" w:line="276" w:lineRule="auto"/>
        <w:ind w:left="279" w:right="274"/>
        <w:jc w:val="both"/>
      </w:pPr>
      <w:r>
        <w:t>The Commission has been</w:t>
      </w:r>
      <w:r>
        <w:rPr>
          <w:spacing w:val="-2"/>
        </w:rPr>
        <w:t xml:space="preserve"> </w:t>
      </w:r>
      <w:r>
        <w:t>pleased to work with DPH for many years in its</w:t>
      </w:r>
      <w:r>
        <w:rPr>
          <w:spacing w:val="-1"/>
        </w:rPr>
        <w:t xml:space="preserve"> </w:t>
      </w:r>
      <w:r>
        <w:t>training efforts. Currently, five DPH</w:t>
      </w:r>
      <w:r>
        <w:rPr>
          <w:spacing w:val="-3"/>
        </w:rPr>
        <w:t xml:space="preserve"> </w:t>
      </w:r>
      <w:r>
        <w:t>staff</w:t>
      </w:r>
      <w:r>
        <w:rPr>
          <w:spacing w:val="-4"/>
        </w:rPr>
        <w:t xml:space="preserve"> </w:t>
      </w:r>
      <w:r>
        <w:t>members</w:t>
      </w:r>
      <w:r>
        <w:rPr>
          <w:spacing w:val="-2"/>
        </w:rPr>
        <w:t xml:space="preserve"> </w:t>
      </w:r>
      <w:r>
        <w:t>are involved in</w:t>
      </w:r>
      <w:r>
        <w:rPr>
          <w:spacing w:val="-3"/>
        </w:rPr>
        <w:t xml:space="preserve"> </w:t>
      </w:r>
      <w:r>
        <w:t>a</w:t>
      </w:r>
      <w:r>
        <w:rPr>
          <w:spacing w:val="-2"/>
        </w:rPr>
        <w:t xml:space="preserve"> </w:t>
      </w:r>
      <w:r>
        <w:t>cross-agency</w:t>
      </w:r>
      <w:r>
        <w:rPr>
          <w:spacing w:val="-1"/>
        </w:rPr>
        <w:t xml:space="preserve"> </w:t>
      </w:r>
      <w:r>
        <w:t>train-the-trainer</w:t>
      </w:r>
      <w:r>
        <w:rPr>
          <w:spacing w:val="-2"/>
        </w:rPr>
        <w:t xml:space="preserve"> </w:t>
      </w:r>
      <w:r>
        <w:t>series hosted</w:t>
      </w:r>
      <w:r>
        <w:rPr>
          <w:spacing w:val="-3"/>
        </w:rPr>
        <w:t xml:space="preserve"> </w:t>
      </w:r>
      <w:r>
        <w:t>by the Commission</w:t>
      </w:r>
      <w:r>
        <w:rPr>
          <w:spacing w:val="-3"/>
        </w:rPr>
        <w:t xml:space="preserve"> </w:t>
      </w:r>
      <w:r>
        <w:t>and EOHHS that will cross into FY 2024. The curriculum used within this series was heavily contributed to by</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right="274"/>
        <w:jc w:val="both"/>
      </w:pPr>
      <w:r>
        <w:t>DPH, and the Commission is looking forward to future opportunities to develop new curriculum in partnership</w:t>
      </w:r>
      <w:r>
        <w:rPr>
          <w:spacing w:val="-13"/>
        </w:rPr>
        <w:t xml:space="preserve"> </w:t>
      </w:r>
      <w:r>
        <w:t>with</w:t>
      </w:r>
      <w:r>
        <w:rPr>
          <w:spacing w:val="-12"/>
        </w:rPr>
        <w:t xml:space="preserve"> </w:t>
      </w:r>
      <w:r>
        <w:t>DPH</w:t>
      </w:r>
      <w:r>
        <w:rPr>
          <w:spacing w:val="-13"/>
        </w:rPr>
        <w:t xml:space="preserve"> </w:t>
      </w:r>
      <w:r>
        <w:t>on</w:t>
      </w:r>
      <w:r>
        <w:rPr>
          <w:spacing w:val="-12"/>
        </w:rPr>
        <w:t xml:space="preserve"> </w:t>
      </w:r>
      <w:r>
        <w:t>other</w:t>
      </w:r>
      <w:r>
        <w:rPr>
          <w:spacing w:val="-13"/>
        </w:rPr>
        <w:t xml:space="preserve"> </w:t>
      </w:r>
      <w:r>
        <w:t>topics.</w:t>
      </w:r>
      <w:r>
        <w:rPr>
          <w:spacing w:val="-12"/>
        </w:rPr>
        <w:t xml:space="preserve"> </w:t>
      </w:r>
      <w:r>
        <w:t>In</w:t>
      </w:r>
      <w:r>
        <w:rPr>
          <w:spacing w:val="-13"/>
        </w:rPr>
        <w:t xml:space="preserve"> </w:t>
      </w:r>
      <w:r>
        <w:t>February</w:t>
      </w:r>
      <w:r>
        <w:rPr>
          <w:spacing w:val="-12"/>
        </w:rPr>
        <w:t xml:space="preserve"> </w:t>
      </w:r>
      <w:r>
        <w:t>of</w:t>
      </w:r>
      <w:r>
        <w:rPr>
          <w:spacing w:val="-12"/>
        </w:rPr>
        <w:t xml:space="preserve"> </w:t>
      </w:r>
      <w:r>
        <w:t>2023,</w:t>
      </w:r>
      <w:r>
        <w:rPr>
          <w:spacing w:val="-13"/>
        </w:rPr>
        <w:t xml:space="preserve"> </w:t>
      </w:r>
      <w:r>
        <w:t>the</w:t>
      </w:r>
      <w:r>
        <w:rPr>
          <w:spacing w:val="-12"/>
        </w:rPr>
        <w:t xml:space="preserve"> </w:t>
      </w:r>
      <w:r>
        <w:t>Commission</w:t>
      </w:r>
      <w:r>
        <w:rPr>
          <w:spacing w:val="-13"/>
        </w:rPr>
        <w:t xml:space="preserve"> </w:t>
      </w:r>
      <w:r>
        <w:t>met</w:t>
      </w:r>
      <w:r>
        <w:rPr>
          <w:spacing w:val="-12"/>
        </w:rPr>
        <w:t xml:space="preserve"> </w:t>
      </w:r>
      <w:r>
        <w:t>with</w:t>
      </w:r>
      <w:r>
        <w:rPr>
          <w:spacing w:val="-13"/>
        </w:rPr>
        <w:t xml:space="preserve"> </w:t>
      </w:r>
      <w:r>
        <w:t>representatives</w:t>
      </w:r>
      <w:r>
        <w:rPr>
          <w:spacing w:val="-12"/>
        </w:rPr>
        <w:t xml:space="preserve"> </w:t>
      </w:r>
      <w:r>
        <w:t>from DPH to discuss the possibility of developing a new LGBTQ</w:t>
      </w:r>
      <w:r>
        <w:t xml:space="preserve"> health-based curriculum to be delivered to medical providers and facilities across the state.</w:t>
      </w:r>
    </w:p>
    <w:p w:rsidR="00200FDA" w:rsidRDefault="00200FDA">
      <w:pPr>
        <w:pStyle w:val="BodyText"/>
        <w:spacing w:before="8"/>
        <w:rPr>
          <w:sz w:val="19"/>
        </w:rPr>
      </w:pPr>
    </w:p>
    <w:p w:rsidR="00200FDA" w:rsidRDefault="00F76C4C">
      <w:pPr>
        <w:pStyle w:val="BodyText"/>
        <w:spacing w:before="1" w:line="276" w:lineRule="auto"/>
        <w:ind w:left="280" w:right="273"/>
        <w:jc w:val="both"/>
      </w:pPr>
      <w:r>
        <w:t>The Commission recommends that DPH continue to examine its training efforts to ensure that all employees, particularly those directly interfacing with youth, ar</w:t>
      </w:r>
      <w:r>
        <w:t>e given the tools needed to build upon their base understanding of LGBTQ communities. Furthermore, the Commission recommends that DPH continue to review its training efforts to ensure that the intersections of LGBTQ youth are captured through racial equity</w:t>
      </w:r>
      <w:r>
        <w:t xml:space="preserve"> trainings, as well as trainings on adultism.</w:t>
      </w:r>
    </w:p>
    <w:p w:rsidR="00200FDA" w:rsidRDefault="00200FDA">
      <w:pPr>
        <w:pStyle w:val="BodyText"/>
      </w:pPr>
    </w:p>
    <w:p w:rsidR="00200FDA" w:rsidRDefault="00200FDA">
      <w:pPr>
        <w:pStyle w:val="BodyText"/>
        <w:spacing w:before="11"/>
      </w:pPr>
    </w:p>
    <w:p w:rsidR="00200FDA" w:rsidRDefault="00F76C4C">
      <w:pPr>
        <w:pStyle w:val="Heading9"/>
        <w:numPr>
          <w:ilvl w:val="0"/>
          <w:numId w:val="11"/>
        </w:numPr>
        <w:tabs>
          <w:tab w:val="left" w:pos="605"/>
        </w:tabs>
        <w:spacing w:line="276" w:lineRule="auto"/>
        <w:ind w:right="272" w:firstLine="0"/>
      </w:pPr>
      <w:bookmarkStart w:id="1136" w:name="_bookmark894"/>
      <w:bookmarkEnd w:id="1136"/>
      <w:r>
        <w:t>Develop</w:t>
      </w:r>
      <w:r>
        <w:rPr>
          <w:spacing w:val="80"/>
        </w:rPr>
        <w:t xml:space="preserve"> </w:t>
      </w:r>
      <w:r>
        <w:t>new</w:t>
      </w:r>
      <w:r>
        <w:rPr>
          <w:spacing w:val="80"/>
        </w:rPr>
        <w:t xml:space="preserve"> </w:t>
      </w:r>
      <w:r>
        <w:t>strategic</w:t>
      </w:r>
      <w:r>
        <w:rPr>
          <w:spacing w:val="80"/>
        </w:rPr>
        <w:t xml:space="preserve"> </w:t>
      </w:r>
      <w:r>
        <w:t>partnerships</w:t>
      </w:r>
      <w:r>
        <w:rPr>
          <w:spacing w:val="80"/>
        </w:rPr>
        <w:t xml:space="preserve"> </w:t>
      </w:r>
      <w:r>
        <w:t>to</w:t>
      </w:r>
      <w:r>
        <w:rPr>
          <w:spacing w:val="80"/>
        </w:rPr>
        <w:t xml:space="preserve"> </w:t>
      </w:r>
      <w:r>
        <w:t>diversify</w:t>
      </w:r>
      <w:r>
        <w:rPr>
          <w:spacing w:val="80"/>
        </w:rPr>
        <w:t xml:space="preserve"> </w:t>
      </w:r>
      <w:r>
        <w:t>connections</w:t>
      </w:r>
      <w:r>
        <w:rPr>
          <w:spacing w:val="80"/>
        </w:rPr>
        <w:t xml:space="preserve"> </w:t>
      </w:r>
      <w:r>
        <w:t>and</w:t>
      </w:r>
      <w:r>
        <w:rPr>
          <w:spacing w:val="80"/>
        </w:rPr>
        <w:t xml:space="preserve"> </w:t>
      </w:r>
      <w:r>
        <w:t>investment</w:t>
      </w:r>
      <w:r>
        <w:rPr>
          <w:spacing w:val="80"/>
        </w:rPr>
        <w:t xml:space="preserve"> </w:t>
      </w:r>
      <w:r>
        <w:t>into</w:t>
      </w:r>
      <w:r>
        <w:rPr>
          <w:spacing w:val="80"/>
        </w:rPr>
        <w:t xml:space="preserve"> </w:t>
      </w:r>
      <w:r>
        <w:t xml:space="preserve">LGBTQ </w:t>
      </w:r>
      <w:r>
        <w:rPr>
          <w:spacing w:val="-2"/>
        </w:rPr>
        <w:t>communities.</w:t>
      </w:r>
    </w:p>
    <w:p w:rsidR="00200FDA" w:rsidRDefault="00200FDA">
      <w:pPr>
        <w:pStyle w:val="BodyText"/>
        <w:spacing w:before="7"/>
        <w:rPr>
          <w:b/>
          <w:sz w:val="19"/>
        </w:rPr>
      </w:pPr>
    </w:p>
    <w:p w:rsidR="00200FDA" w:rsidRDefault="00F76C4C">
      <w:pPr>
        <w:pStyle w:val="BodyText"/>
        <w:spacing w:line="276" w:lineRule="auto"/>
        <w:ind w:left="280" w:right="274"/>
        <w:jc w:val="both"/>
      </w:pPr>
      <w:r>
        <w:t>Over</w:t>
      </w:r>
      <w:r>
        <w:rPr>
          <w:spacing w:val="-6"/>
        </w:rPr>
        <w:t xml:space="preserve"> </w:t>
      </w:r>
      <w:r>
        <w:t>the</w:t>
      </w:r>
      <w:r>
        <w:rPr>
          <w:spacing w:val="-3"/>
        </w:rPr>
        <w:t xml:space="preserve"> </w:t>
      </w:r>
      <w:r>
        <w:t>course</w:t>
      </w:r>
      <w:r>
        <w:rPr>
          <w:spacing w:val="-5"/>
        </w:rPr>
        <w:t xml:space="preserve"> </w:t>
      </w:r>
      <w:r>
        <w:t>of</w:t>
      </w:r>
      <w:r>
        <w:rPr>
          <w:spacing w:val="-4"/>
        </w:rPr>
        <w:t xml:space="preserve"> </w:t>
      </w:r>
      <w:r>
        <w:t>FY</w:t>
      </w:r>
      <w:r>
        <w:rPr>
          <w:spacing w:val="-3"/>
        </w:rPr>
        <w:t xml:space="preserve"> </w:t>
      </w:r>
      <w:r>
        <w:t>2023,</w:t>
      </w:r>
      <w:r>
        <w:rPr>
          <w:spacing w:val="-3"/>
        </w:rPr>
        <w:t xml:space="preserve"> </w:t>
      </w:r>
      <w:r>
        <w:t>the</w:t>
      </w:r>
      <w:r>
        <w:rPr>
          <w:spacing w:val="-3"/>
        </w:rPr>
        <w:t xml:space="preserve"> </w:t>
      </w:r>
      <w:r>
        <w:t>Commission</w:t>
      </w:r>
      <w:r>
        <w:rPr>
          <w:spacing w:val="-4"/>
        </w:rPr>
        <w:t xml:space="preserve"> </w:t>
      </w:r>
      <w:r>
        <w:t>has</w:t>
      </w:r>
      <w:r>
        <w:rPr>
          <w:spacing w:val="-3"/>
        </w:rPr>
        <w:t xml:space="preserve"> </w:t>
      </w:r>
      <w:r>
        <w:t>had</w:t>
      </w:r>
      <w:r>
        <w:rPr>
          <w:spacing w:val="-4"/>
        </w:rPr>
        <w:t xml:space="preserve"> </w:t>
      </w:r>
      <w:r>
        <w:t>several</w:t>
      </w:r>
      <w:r>
        <w:rPr>
          <w:spacing w:val="-6"/>
        </w:rPr>
        <w:t xml:space="preserve"> </w:t>
      </w:r>
      <w:r>
        <w:t>conversations</w:t>
      </w:r>
      <w:r>
        <w:rPr>
          <w:spacing w:val="-6"/>
        </w:rPr>
        <w:t xml:space="preserve"> </w:t>
      </w:r>
      <w:r>
        <w:t>with</w:t>
      </w:r>
      <w:r>
        <w:rPr>
          <w:spacing w:val="-6"/>
        </w:rPr>
        <w:t xml:space="preserve"> </w:t>
      </w:r>
      <w:r>
        <w:t>DPH</w:t>
      </w:r>
      <w:r>
        <w:rPr>
          <w:spacing w:val="-4"/>
        </w:rPr>
        <w:t xml:space="preserve"> </w:t>
      </w:r>
      <w:r>
        <w:t>partners</w:t>
      </w:r>
      <w:r>
        <w:rPr>
          <w:spacing w:val="-3"/>
        </w:rPr>
        <w:t xml:space="preserve"> </w:t>
      </w:r>
      <w:r>
        <w:t>on</w:t>
      </w:r>
      <w:r>
        <w:rPr>
          <w:spacing w:val="-6"/>
        </w:rPr>
        <w:t xml:space="preserve"> </w:t>
      </w:r>
      <w:r>
        <w:t>ways</w:t>
      </w:r>
      <w:r>
        <w:rPr>
          <w:spacing w:val="-6"/>
        </w:rPr>
        <w:t xml:space="preserve"> </w:t>
      </w:r>
      <w:r>
        <w:t>to continue to engage LGBTQ communities in public health education and health services. The Commission recommends that DPH develop new strategic outreach plans to diversify its connections within LGBTQ communities, with particular attention to QTBIPOC comm</w:t>
      </w:r>
      <w:r>
        <w:t>unities and organizations in underserved regions.</w:t>
      </w:r>
      <w:r>
        <w:rPr>
          <w:spacing w:val="-1"/>
        </w:rPr>
        <w:t xml:space="preserve"> </w:t>
      </w:r>
      <w:r>
        <w:t>While</w:t>
      </w:r>
      <w:r>
        <w:rPr>
          <w:spacing w:val="-2"/>
        </w:rPr>
        <w:t xml:space="preserve"> </w:t>
      </w:r>
      <w:r>
        <w:t>reviewing</w:t>
      </w:r>
      <w:r>
        <w:rPr>
          <w:spacing w:val="-1"/>
        </w:rPr>
        <w:t xml:space="preserve"> </w:t>
      </w:r>
      <w:r>
        <w:t>its current partnerships, DPH</w:t>
      </w:r>
      <w:r>
        <w:rPr>
          <w:spacing w:val="-1"/>
        </w:rPr>
        <w:t xml:space="preserve"> </w:t>
      </w:r>
      <w:r>
        <w:t>should</w:t>
      </w:r>
      <w:r>
        <w:rPr>
          <w:spacing w:val="-1"/>
        </w:rPr>
        <w:t xml:space="preserve"> </w:t>
      </w:r>
      <w:r>
        <w:t>connect with</w:t>
      </w:r>
      <w:r>
        <w:rPr>
          <w:spacing w:val="-1"/>
        </w:rPr>
        <w:t xml:space="preserve"> </w:t>
      </w:r>
      <w:r>
        <w:t>LGBTQ community members to</w:t>
      </w:r>
      <w:r>
        <w:rPr>
          <w:spacing w:val="-5"/>
        </w:rPr>
        <w:t xml:space="preserve"> </w:t>
      </w:r>
      <w:r>
        <w:t>identify</w:t>
      </w:r>
      <w:r>
        <w:rPr>
          <w:spacing w:val="-6"/>
        </w:rPr>
        <w:t xml:space="preserve"> </w:t>
      </w:r>
      <w:r>
        <w:t>gaps</w:t>
      </w:r>
      <w:r>
        <w:rPr>
          <w:spacing w:val="-7"/>
        </w:rPr>
        <w:t xml:space="preserve"> </w:t>
      </w:r>
      <w:r>
        <w:t>in</w:t>
      </w:r>
      <w:r>
        <w:rPr>
          <w:spacing w:val="-7"/>
        </w:rPr>
        <w:t xml:space="preserve"> </w:t>
      </w:r>
      <w:r>
        <w:t>its</w:t>
      </w:r>
      <w:r>
        <w:rPr>
          <w:spacing w:val="-9"/>
        </w:rPr>
        <w:t xml:space="preserve"> </w:t>
      </w:r>
      <w:r>
        <w:t>outreach,</w:t>
      </w:r>
      <w:r>
        <w:rPr>
          <w:spacing w:val="-6"/>
        </w:rPr>
        <w:t xml:space="preserve"> </w:t>
      </w:r>
      <w:r>
        <w:t>and</w:t>
      </w:r>
      <w:r>
        <w:rPr>
          <w:spacing w:val="-7"/>
        </w:rPr>
        <w:t xml:space="preserve"> </w:t>
      </w:r>
      <w:r>
        <w:t>also</w:t>
      </w:r>
      <w:r>
        <w:rPr>
          <w:spacing w:val="-8"/>
        </w:rPr>
        <w:t xml:space="preserve"> </w:t>
      </w:r>
      <w:r>
        <w:t>work</w:t>
      </w:r>
      <w:r>
        <w:rPr>
          <w:spacing w:val="-9"/>
        </w:rPr>
        <w:t xml:space="preserve"> </w:t>
      </w:r>
      <w:r>
        <w:t>to</w:t>
      </w:r>
      <w:r>
        <w:rPr>
          <w:spacing w:val="-5"/>
        </w:rPr>
        <w:t xml:space="preserve"> </w:t>
      </w:r>
      <w:r>
        <w:t>improve</w:t>
      </w:r>
      <w:r>
        <w:rPr>
          <w:spacing w:val="-6"/>
        </w:rPr>
        <w:t xml:space="preserve"> </w:t>
      </w:r>
      <w:r>
        <w:t>its</w:t>
      </w:r>
      <w:r>
        <w:rPr>
          <w:spacing w:val="-7"/>
        </w:rPr>
        <w:t xml:space="preserve"> </w:t>
      </w:r>
      <w:r>
        <w:t>internal</w:t>
      </w:r>
      <w:r>
        <w:rPr>
          <w:spacing w:val="-7"/>
        </w:rPr>
        <w:t xml:space="preserve"> </w:t>
      </w:r>
      <w:r>
        <w:t>collaboration</w:t>
      </w:r>
      <w:r>
        <w:rPr>
          <w:spacing w:val="-7"/>
        </w:rPr>
        <w:t xml:space="preserve"> </w:t>
      </w:r>
      <w:r>
        <w:t>to</w:t>
      </w:r>
      <w:r>
        <w:rPr>
          <w:spacing w:val="-8"/>
        </w:rPr>
        <w:t xml:space="preserve"> </w:t>
      </w:r>
      <w:r>
        <w:t>minimize</w:t>
      </w:r>
      <w:r>
        <w:rPr>
          <w:spacing w:val="-6"/>
        </w:rPr>
        <w:t xml:space="preserve"> </w:t>
      </w:r>
      <w:r>
        <w:t>duplicated efforts</w:t>
      </w:r>
      <w:r>
        <w:t xml:space="preserve"> across departments.</w:t>
      </w:r>
    </w:p>
    <w:p w:rsidR="00200FDA" w:rsidRDefault="00200FDA">
      <w:pPr>
        <w:pStyle w:val="BodyText"/>
      </w:pPr>
    </w:p>
    <w:p w:rsidR="00200FDA" w:rsidRDefault="00200FDA">
      <w:pPr>
        <w:pStyle w:val="BodyText"/>
        <w:rPr>
          <w:sz w:val="23"/>
        </w:rPr>
      </w:pPr>
    </w:p>
    <w:p w:rsidR="00200FDA" w:rsidRDefault="00F76C4C">
      <w:pPr>
        <w:pStyle w:val="Heading9"/>
        <w:numPr>
          <w:ilvl w:val="0"/>
          <w:numId w:val="11"/>
        </w:numPr>
        <w:tabs>
          <w:tab w:val="left" w:pos="518"/>
        </w:tabs>
        <w:spacing w:line="273" w:lineRule="auto"/>
        <w:ind w:right="273" w:firstLine="0"/>
      </w:pPr>
      <w:r>
        <w:t>Explore ways to expand SOGIE data collection through DPH programs, with particular attention to pregnancy, parental mortality, and gender-affirming care services, and make data publicly available.</w:t>
      </w:r>
    </w:p>
    <w:p w:rsidR="00200FDA" w:rsidRDefault="00200FDA">
      <w:pPr>
        <w:pStyle w:val="BodyText"/>
        <w:rPr>
          <w:b/>
          <w:sz w:val="20"/>
        </w:rPr>
      </w:pPr>
    </w:p>
    <w:p w:rsidR="00200FDA" w:rsidRDefault="00F76C4C">
      <w:pPr>
        <w:pStyle w:val="BodyText"/>
        <w:spacing w:before="1" w:line="276" w:lineRule="auto"/>
        <w:ind w:left="279" w:right="272"/>
        <w:jc w:val="both"/>
      </w:pPr>
      <w:r>
        <w:t>For several years, DPH has been inv</w:t>
      </w:r>
      <w:r>
        <w:t>olved in robust efforts to ensure that its SOGIE data collection standards appropriately capture the experiences of LGBTQ communities. The Commission looks forward to continuing to work with DPH to ensure that all areas the agency collects data are reflect</w:t>
      </w:r>
      <w:r>
        <w:t>ive of these standards. One possible area of improvement is to examine any and all data collection related to pregnancy, maternal/parental mortality, and gender-affirming care services to ensure that it is LGBTQ- inclusive.</w:t>
      </w:r>
      <w:r>
        <w:rPr>
          <w:spacing w:val="-2"/>
        </w:rPr>
        <w:t xml:space="preserve"> </w:t>
      </w:r>
      <w:r>
        <w:t>As</w:t>
      </w:r>
      <w:r>
        <w:rPr>
          <w:spacing w:val="-4"/>
        </w:rPr>
        <w:t xml:space="preserve"> </w:t>
      </w:r>
      <w:r>
        <w:t>discussed</w:t>
      </w:r>
      <w:r>
        <w:rPr>
          <w:spacing w:val="-3"/>
        </w:rPr>
        <w:t xml:space="preserve"> </w:t>
      </w:r>
      <w:r>
        <w:t>in</w:t>
      </w:r>
      <w:r>
        <w:rPr>
          <w:spacing w:val="-5"/>
        </w:rPr>
        <w:t xml:space="preserve"> </w:t>
      </w:r>
      <w:r>
        <w:t>the</w:t>
      </w:r>
      <w:r>
        <w:rPr>
          <w:spacing w:val="-1"/>
        </w:rPr>
        <w:t xml:space="preserve"> </w:t>
      </w:r>
      <w:r>
        <w:t>Commission’s</w:t>
      </w:r>
      <w:r>
        <w:rPr>
          <w:spacing w:val="-2"/>
        </w:rPr>
        <w:t xml:space="preserve"> </w:t>
      </w:r>
      <w:r>
        <w:t>FY</w:t>
      </w:r>
      <w:r>
        <w:rPr>
          <w:spacing w:val="-1"/>
        </w:rPr>
        <w:t xml:space="preserve"> </w:t>
      </w:r>
      <w:r>
        <w:t>2024</w:t>
      </w:r>
      <w:r>
        <w:rPr>
          <w:spacing w:val="-3"/>
        </w:rPr>
        <w:t xml:space="preserve"> </w:t>
      </w:r>
      <w:r>
        <w:t>Pregnancy</w:t>
      </w:r>
      <w:r>
        <w:rPr>
          <w:spacing w:val="-3"/>
        </w:rPr>
        <w:t xml:space="preserve"> </w:t>
      </w:r>
      <w:r>
        <w:t>&amp;</w:t>
      </w:r>
      <w:r>
        <w:rPr>
          <w:spacing w:val="-1"/>
        </w:rPr>
        <w:t xml:space="preserve"> </w:t>
      </w:r>
      <w:r>
        <w:t>Gynecological</w:t>
      </w:r>
      <w:r>
        <w:rPr>
          <w:spacing w:val="-4"/>
        </w:rPr>
        <w:t xml:space="preserve"> </w:t>
      </w:r>
      <w:r>
        <w:t>Health</w:t>
      </w:r>
      <w:r>
        <w:rPr>
          <w:spacing w:val="-3"/>
        </w:rPr>
        <w:t xml:space="preserve"> </w:t>
      </w:r>
      <w:r>
        <w:t>report,</w:t>
      </w:r>
      <w:r>
        <w:rPr>
          <w:spacing w:val="-4"/>
        </w:rPr>
        <w:t xml:space="preserve"> </w:t>
      </w:r>
      <w:r>
        <w:t>little</w:t>
      </w:r>
      <w:r>
        <w:rPr>
          <w:spacing w:val="-4"/>
        </w:rPr>
        <w:t xml:space="preserve"> </w:t>
      </w:r>
      <w:r>
        <w:t>to</w:t>
      </w:r>
      <w:r>
        <w:rPr>
          <w:spacing w:val="-1"/>
        </w:rPr>
        <w:t xml:space="preserve"> </w:t>
      </w:r>
      <w:r>
        <w:t>no state</w:t>
      </w:r>
      <w:r>
        <w:rPr>
          <w:spacing w:val="-7"/>
        </w:rPr>
        <w:t xml:space="preserve"> </w:t>
      </w:r>
      <w:r>
        <w:t>data</w:t>
      </w:r>
      <w:r>
        <w:rPr>
          <w:spacing w:val="-8"/>
        </w:rPr>
        <w:t xml:space="preserve"> </w:t>
      </w:r>
      <w:r>
        <w:t>exists</w:t>
      </w:r>
      <w:r>
        <w:rPr>
          <w:spacing w:val="-8"/>
        </w:rPr>
        <w:t xml:space="preserve"> </w:t>
      </w:r>
      <w:r>
        <w:t>that</w:t>
      </w:r>
      <w:r>
        <w:rPr>
          <w:spacing w:val="-8"/>
        </w:rPr>
        <w:t xml:space="preserve"> </w:t>
      </w:r>
      <w:r>
        <w:t>is</w:t>
      </w:r>
      <w:r>
        <w:rPr>
          <w:spacing w:val="-6"/>
        </w:rPr>
        <w:t xml:space="preserve"> </w:t>
      </w:r>
      <w:r>
        <w:t>inclusive</w:t>
      </w:r>
      <w:r>
        <w:rPr>
          <w:spacing w:val="-7"/>
        </w:rPr>
        <w:t xml:space="preserve"> </w:t>
      </w:r>
      <w:r>
        <w:t>of</w:t>
      </w:r>
      <w:r>
        <w:rPr>
          <w:spacing w:val="-8"/>
        </w:rPr>
        <w:t xml:space="preserve"> </w:t>
      </w:r>
      <w:r>
        <w:t>LGBTQ</w:t>
      </w:r>
      <w:r>
        <w:rPr>
          <w:spacing w:val="-5"/>
        </w:rPr>
        <w:t xml:space="preserve"> </w:t>
      </w:r>
      <w:r>
        <w:t>identities</w:t>
      </w:r>
      <w:r>
        <w:rPr>
          <w:spacing w:val="-6"/>
        </w:rPr>
        <w:t xml:space="preserve"> </w:t>
      </w:r>
      <w:r>
        <w:t>as</w:t>
      </w:r>
      <w:r>
        <w:rPr>
          <w:spacing w:val="-8"/>
        </w:rPr>
        <w:t xml:space="preserve"> </w:t>
      </w:r>
      <w:r>
        <w:t>it</w:t>
      </w:r>
      <w:r>
        <w:rPr>
          <w:spacing w:val="-5"/>
        </w:rPr>
        <w:t xml:space="preserve"> </w:t>
      </w:r>
      <w:r>
        <w:t>relates</w:t>
      </w:r>
      <w:r>
        <w:rPr>
          <w:spacing w:val="-8"/>
        </w:rPr>
        <w:t xml:space="preserve"> </w:t>
      </w:r>
      <w:r>
        <w:t>to</w:t>
      </w:r>
      <w:r>
        <w:rPr>
          <w:spacing w:val="-4"/>
        </w:rPr>
        <w:t xml:space="preserve"> </w:t>
      </w:r>
      <w:r>
        <w:t>pregnancy</w:t>
      </w:r>
      <w:r>
        <w:rPr>
          <w:spacing w:val="-7"/>
        </w:rPr>
        <w:t xml:space="preserve"> </w:t>
      </w:r>
      <w:r>
        <w:t>and</w:t>
      </w:r>
      <w:r>
        <w:rPr>
          <w:spacing w:val="-9"/>
        </w:rPr>
        <w:t xml:space="preserve"> </w:t>
      </w:r>
      <w:r>
        <w:t>parental</w:t>
      </w:r>
      <w:r>
        <w:rPr>
          <w:spacing w:val="-8"/>
        </w:rPr>
        <w:t xml:space="preserve"> </w:t>
      </w:r>
      <w:r>
        <w:t>mortality.</w:t>
      </w:r>
      <w:r>
        <w:rPr>
          <w:spacing w:val="-6"/>
        </w:rPr>
        <w:t xml:space="preserve"> </w:t>
      </w:r>
      <w:r>
        <w:t xml:space="preserve">The Commission hopes to work with DPH and other agency partners in FY 2024 to examine </w:t>
      </w:r>
      <w:r>
        <w:t>how to improve this data to capture disparities and experiences, including through the upcoming CCIS 2.0.</w:t>
      </w:r>
    </w:p>
    <w:p w:rsidR="00200FDA" w:rsidRDefault="00200FDA">
      <w:pPr>
        <w:pStyle w:val="BodyText"/>
      </w:pPr>
    </w:p>
    <w:p w:rsidR="00200FDA" w:rsidRDefault="00200FDA">
      <w:pPr>
        <w:pStyle w:val="BodyText"/>
        <w:spacing w:before="11"/>
      </w:pPr>
    </w:p>
    <w:p w:rsidR="00200FDA" w:rsidRDefault="00F76C4C">
      <w:pPr>
        <w:pStyle w:val="Heading9"/>
        <w:numPr>
          <w:ilvl w:val="0"/>
          <w:numId w:val="11"/>
        </w:numPr>
        <w:tabs>
          <w:tab w:val="left" w:pos="583"/>
        </w:tabs>
        <w:spacing w:line="276" w:lineRule="auto"/>
        <w:ind w:left="279" w:right="274" w:firstLine="0"/>
      </w:pPr>
      <w:r>
        <w:t>Partner</w:t>
      </w:r>
      <w:r>
        <w:rPr>
          <w:spacing w:val="75"/>
        </w:rPr>
        <w:t xml:space="preserve"> </w:t>
      </w:r>
      <w:r>
        <w:t>with</w:t>
      </w:r>
      <w:r>
        <w:rPr>
          <w:spacing w:val="79"/>
        </w:rPr>
        <w:t xml:space="preserve"> </w:t>
      </w:r>
      <w:r>
        <w:t>the</w:t>
      </w:r>
      <w:r>
        <w:rPr>
          <w:spacing w:val="76"/>
        </w:rPr>
        <w:t xml:space="preserve"> </w:t>
      </w:r>
      <w:r>
        <w:t>Commission</w:t>
      </w:r>
      <w:r>
        <w:rPr>
          <w:spacing w:val="79"/>
        </w:rPr>
        <w:t xml:space="preserve"> </w:t>
      </w:r>
      <w:r>
        <w:t>to</w:t>
      </w:r>
      <w:r>
        <w:rPr>
          <w:spacing w:val="76"/>
        </w:rPr>
        <w:t xml:space="preserve"> </w:t>
      </w:r>
      <w:r>
        <w:t>research</w:t>
      </w:r>
      <w:r>
        <w:rPr>
          <w:spacing w:val="76"/>
        </w:rPr>
        <w:t xml:space="preserve"> </w:t>
      </w:r>
      <w:r>
        <w:t>the</w:t>
      </w:r>
      <w:r>
        <w:rPr>
          <w:spacing w:val="79"/>
        </w:rPr>
        <w:t xml:space="preserve"> </w:t>
      </w:r>
      <w:r>
        <w:t>needs</w:t>
      </w:r>
      <w:r>
        <w:rPr>
          <w:spacing w:val="80"/>
        </w:rPr>
        <w:t xml:space="preserve"> </w:t>
      </w:r>
      <w:r>
        <w:t>of</w:t>
      </w:r>
      <w:r>
        <w:rPr>
          <w:spacing w:val="77"/>
        </w:rPr>
        <w:t xml:space="preserve"> </w:t>
      </w:r>
      <w:r>
        <w:t>LGBTQ</w:t>
      </w:r>
      <w:r>
        <w:rPr>
          <w:spacing w:val="77"/>
        </w:rPr>
        <w:t xml:space="preserve"> </w:t>
      </w:r>
      <w:r>
        <w:t>transition-aged</w:t>
      </w:r>
      <w:r>
        <w:rPr>
          <w:spacing w:val="76"/>
        </w:rPr>
        <w:t xml:space="preserve"> </w:t>
      </w:r>
      <w:r>
        <w:t>youth</w:t>
      </w:r>
      <w:r>
        <w:rPr>
          <w:spacing w:val="76"/>
        </w:rPr>
        <w:t xml:space="preserve"> </w:t>
      </w:r>
      <w:r>
        <w:t xml:space="preserve">with </w:t>
      </w:r>
      <w:r>
        <w:rPr>
          <w:spacing w:val="-2"/>
        </w:rPr>
        <w:t>multisystem-involvement.</w:t>
      </w:r>
    </w:p>
    <w:p w:rsidR="00200FDA" w:rsidRDefault="00200FDA">
      <w:pPr>
        <w:pStyle w:val="BodyText"/>
        <w:spacing w:before="7"/>
        <w:rPr>
          <w:b/>
          <w:sz w:val="19"/>
        </w:rPr>
      </w:pPr>
    </w:p>
    <w:p w:rsidR="00200FDA" w:rsidRDefault="00F76C4C">
      <w:pPr>
        <w:pStyle w:val="BodyText"/>
        <w:spacing w:line="276" w:lineRule="auto"/>
        <w:ind w:left="279" w:right="276"/>
        <w:jc w:val="both"/>
      </w:pPr>
      <w:r>
        <w:t>Over the course of this annual report, the Commission has detailed the necessity of youth-serving state entities</w:t>
      </w:r>
      <w:r>
        <w:rPr>
          <w:spacing w:val="28"/>
        </w:rPr>
        <w:t xml:space="preserve"> </w:t>
      </w:r>
      <w:r>
        <w:t>collaborating</w:t>
      </w:r>
      <w:r>
        <w:rPr>
          <w:spacing w:val="32"/>
        </w:rPr>
        <w:t xml:space="preserve"> </w:t>
      </w:r>
      <w:r>
        <w:t>on</w:t>
      </w:r>
      <w:r>
        <w:rPr>
          <w:spacing w:val="30"/>
        </w:rPr>
        <w:t xml:space="preserve"> </w:t>
      </w:r>
      <w:r>
        <w:t>a</w:t>
      </w:r>
      <w:r>
        <w:rPr>
          <w:spacing w:val="30"/>
        </w:rPr>
        <w:t xml:space="preserve"> </w:t>
      </w:r>
      <w:r>
        <w:t>macro-level</w:t>
      </w:r>
      <w:r>
        <w:rPr>
          <w:spacing w:val="32"/>
        </w:rPr>
        <w:t xml:space="preserve"> </w:t>
      </w:r>
      <w:r>
        <w:t>to</w:t>
      </w:r>
      <w:r>
        <w:rPr>
          <w:spacing w:val="32"/>
        </w:rPr>
        <w:t xml:space="preserve"> </w:t>
      </w:r>
      <w:r>
        <w:t>ensure</w:t>
      </w:r>
      <w:r>
        <w:rPr>
          <w:spacing w:val="31"/>
        </w:rPr>
        <w:t xml:space="preserve"> </w:t>
      </w:r>
      <w:r>
        <w:t>that</w:t>
      </w:r>
      <w:r>
        <w:rPr>
          <w:spacing w:val="34"/>
        </w:rPr>
        <w:t xml:space="preserve"> </w:t>
      </w:r>
      <w:r>
        <w:t>the</w:t>
      </w:r>
      <w:r>
        <w:rPr>
          <w:spacing w:val="31"/>
        </w:rPr>
        <w:t xml:space="preserve"> </w:t>
      </w:r>
      <w:r>
        <w:t>needs</w:t>
      </w:r>
      <w:r>
        <w:rPr>
          <w:spacing w:val="28"/>
        </w:rPr>
        <w:t xml:space="preserve"> </w:t>
      </w:r>
      <w:r>
        <w:t>of</w:t>
      </w:r>
      <w:r>
        <w:rPr>
          <w:spacing w:val="31"/>
        </w:rPr>
        <w:t xml:space="preserve"> </w:t>
      </w:r>
      <w:r>
        <w:t>youth</w:t>
      </w:r>
      <w:r>
        <w:rPr>
          <w:spacing w:val="29"/>
        </w:rPr>
        <w:t xml:space="preserve"> </w:t>
      </w:r>
      <w:r>
        <w:t>are</w:t>
      </w:r>
      <w:r>
        <w:rPr>
          <w:spacing w:val="32"/>
        </w:rPr>
        <w:t xml:space="preserve"> </w:t>
      </w:r>
      <w:r>
        <w:t>not</w:t>
      </w:r>
      <w:r>
        <w:rPr>
          <w:spacing w:val="30"/>
        </w:rPr>
        <w:t xml:space="preserve"> </w:t>
      </w:r>
      <w:r>
        <w:t>following</w:t>
      </w:r>
      <w:r>
        <w:rPr>
          <w:spacing w:val="30"/>
        </w:rPr>
        <w:t xml:space="preserve"> </w:t>
      </w:r>
      <w:r>
        <w:rPr>
          <w:spacing w:val="-2"/>
        </w:rPr>
        <w:t>through</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79" w:right="272"/>
        <w:jc w:val="both"/>
      </w:pPr>
      <w:r>
        <w:t>systemic cracks. However, little rese</w:t>
      </w:r>
      <w:r>
        <w:t>arch currently exists that examines the widespread experiences of transition-aged youth with multisystem-involvement in Massachusetts, which the Commission hopes to resolve in the upcoming fiscal year. The Commission hopes to collaborate with DPH on this r</w:t>
      </w:r>
      <w:r>
        <w:t xml:space="preserve">esearch initiative to better understand where gaps in state agency service provision are occurring, and potential </w:t>
      </w:r>
      <w:r>
        <w:rPr>
          <w:spacing w:val="-2"/>
        </w:rPr>
        <w:t>solutions.</w:t>
      </w:r>
    </w:p>
    <w:p w:rsidR="00200FDA" w:rsidRDefault="00200FDA">
      <w:pPr>
        <w:pStyle w:val="BodyText"/>
      </w:pPr>
    </w:p>
    <w:p w:rsidR="00200FDA" w:rsidRDefault="00200FDA">
      <w:pPr>
        <w:pStyle w:val="BodyText"/>
      </w:pPr>
    </w:p>
    <w:p w:rsidR="00200FDA" w:rsidRDefault="00200FDA">
      <w:pPr>
        <w:pStyle w:val="BodyText"/>
        <w:spacing w:before="7"/>
        <w:rPr>
          <w:sz w:val="20"/>
        </w:rPr>
      </w:pPr>
    </w:p>
    <w:p w:rsidR="00200FDA" w:rsidRDefault="00F76C4C">
      <w:pPr>
        <w:ind w:left="279"/>
        <w:jc w:val="both"/>
        <w:rPr>
          <w:i/>
        </w:rPr>
      </w:pPr>
      <w:r>
        <w:rPr>
          <w:i/>
        </w:rPr>
        <w:t>Acknowledgments:</w:t>
      </w:r>
      <w:r>
        <w:rPr>
          <w:i/>
          <w:spacing w:val="-6"/>
        </w:rPr>
        <w:t xml:space="preserve"> </w:t>
      </w:r>
      <w:r>
        <w:rPr>
          <w:i/>
        </w:rPr>
        <w:t>The</w:t>
      </w:r>
      <w:r>
        <w:rPr>
          <w:i/>
          <w:spacing w:val="-4"/>
        </w:rPr>
        <w:t xml:space="preserve"> </w:t>
      </w:r>
      <w:r>
        <w:rPr>
          <w:i/>
        </w:rPr>
        <w:t>Commission</w:t>
      </w:r>
      <w:r>
        <w:rPr>
          <w:i/>
          <w:spacing w:val="-5"/>
        </w:rPr>
        <w:t xml:space="preserve"> </w:t>
      </w:r>
      <w:r>
        <w:rPr>
          <w:i/>
        </w:rPr>
        <w:t>sincerely</w:t>
      </w:r>
      <w:r>
        <w:rPr>
          <w:i/>
          <w:spacing w:val="-5"/>
        </w:rPr>
        <w:t xml:space="preserve"> </w:t>
      </w:r>
      <w:r>
        <w:rPr>
          <w:i/>
        </w:rPr>
        <w:t>thanks</w:t>
      </w:r>
      <w:r>
        <w:rPr>
          <w:i/>
          <w:spacing w:val="-6"/>
        </w:rPr>
        <w:t xml:space="preserve"> </w:t>
      </w:r>
      <w:r>
        <w:rPr>
          <w:i/>
        </w:rPr>
        <w:t>the</w:t>
      </w:r>
      <w:r>
        <w:rPr>
          <w:i/>
          <w:spacing w:val="-4"/>
        </w:rPr>
        <w:t xml:space="preserve"> </w:t>
      </w:r>
      <w:r>
        <w:rPr>
          <w:i/>
        </w:rPr>
        <w:t>contributions</w:t>
      </w:r>
      <w:r>
        <w:rPr>
          <w:i/>
          <w:spacing w:val="-4"/>
        </w:rPr>
        <w:t xml:space="preserve"> </w:t>
      </w:r>
      <w:r>
        <w:rPr>
          <w:i/>
        </w:rPr>
        <w:t>of</w:t>
      </w:r>
      <w:r>
        <w:rPr>
          <w:i/>
          <w:spacing w:val="-6"/>
        </w:rPr>
        <w:t xml:space="preserve"> </w:t>
      </w:r>
      <w:r>
        <w:rPr>
          <w:i/>
        </w:rPr>
        <w:t>its</w:t>
      </w:r>
      <w:r>
        <w:rPr>
          <w:i/>
          <w:spacing w:val="-6"/>
        </w:rPr>
        <w:t xml:space="preserve"> </w:t>
      </w:r>
      <w:r>
        <w:rPr>
          <w:i/>
        </w:rPr>
        <w:t>DPH</w:t>
      </w:r>
      <w:r>
        <w:rPr>
          <w:i/>
          <w:spacing w:val="-7"/>
        </w:rPr>
        <w:t xml:space="preserve"> </w:t>
      </w:r>
      <w:r>
        <w:rPr>
          <w:i/>
        </w:rPr>
        <w:t>agency</w:t>
      </w:r>
      <w:r>
        <w:rPr>
          <w:i/>
          <w:spacing w:val="-4"/>
        </w:rPr>
        <w:t xml:space="preserve"> </w:t>
      </w:r>
      <w:r>
        <w:rPr>
          <w:i/>
          <w:spacing w:val="-2"/>
        </w:rPr>
        <w:t>liaisons.</w:t>
      </w:r>
    </w:p>
    <w:p w:rsidR="00200FDA" w:rsidRDefault="00200FDA">
      <w:pPr>
        <w:pStyle w:val="BodyText"/>
        <w:rPr>
          <w:i/>
        </w:rPr>
      </w:pPr>
    </w:p>
    <w:p w:rsidR="00200FDA" w:rsidRDefault="00F76C4C">
      <w:pPr>
        <w:spacing w:before="140"/>
        <w:ind w:left="280" w:right="308" w:hanging="1"/>
        <w:rPr>
          <w:sz w:val="18"/>
        </w:rPr>
      </w:pPr>
      <w:r>
        <w:rPr>
          <w:position w:val="5"/>
          <w:sz w:val="12"/>
        </w:rPr>
        <w:t>1</w:t>
      </w:r>
      <w:r>
        <w:rPr>
          <w:spacing w:val="10"/>
          <w:position w:val="5"/>
          <w:sz w:val="12"/>
        </w:rPr>
        <w:t xml:space="preserve"> </w:t>
      </w:r>
      <w:r>
        <w:rPr>
          <w:sz w:val="18"/>
        </w:rPr>
        <w:t>Department</w:t>
      </w:r>
      <w:r>
        <w:rPr>
          <w:spacing w:val="-3"/>
          <w:sz w:val="18"/>
        </w:rPr>
        <w:t xml:space="preserve"> </w:t>
      </w:r>
      <w:r>
        <w:rPr>
          <w:sz w:val="18"/>
        </w:rPr>
        <w:t>of</w:t>
      </w:r>
      <w:r>
        <w:rPr>
          <w:spacing w:val="-2"/>
          <w:sz w:val="18"/>
        </w:rPr>
        <w:t xml:space="preserve"> </w:t>
      </w:r>
      <w:r>
        <w:rPr>
          <w:sz w:val="18"/>
        </w:rPr>
        <w:t>Public</w:t>
      </w:r>
      <w:r>
        <w:rPr>
          <w:spacing w:val="-2"/>
          <w:sz w:val="18"/>
        </w:rPr>
        <w:t xml:space="preserve"> </w:t>
      </w:r>
      <w:r>
        <w:rPr>
          <w:sz w:val="18"/>
        </w:rPr>
        <w:t>Health,</w:t>
      </w:r>
      <w:r>
        <w:rPr>
          <w:spacing w:val="-2"/>
          <w:sz w:val="18"/>
        </w:rPr>
        <w:t xml:space="preserve"> </w:t>
      </w:r>
      <w:r>
        <w:rPr>
          <w:sz w:val="18"/>
        </w:rPr>
        <w:t>“Racial</w:t>
      </w:r>
      <w:r>
        <w:rPr>
          <w:spacing w:val="-3"/>
          <w:sz w:val="18"/>
        </w:rPr>
        <w:t xml:space="preserve"> </w:t>
      </w:r>
      <w:r>
        <w:rPr>
          <w:sz w:val="18"/>
        </w:rPr>
        <w:t>Equity</w:t>
      </w:r>
      <w:r>
        <w:rPr>
          <w:spacing w:val="-2"/>
          <w:sz w:val="18"/>
        </w:rPr>
        <w:t xml:space="preserve"> </w:t>
      </w:r>
      <w:r>
        <w:rPr>
          <w:sz w:val="18"/>
        </w:rPr>
        <w:t>Data</w:t>
      </w:r>
      <w:r>
        <w:rPr>
          <w:spacing w:val="-2"/>
          <w:sz w:val="18"/>
        </w:rPr>
        <w:t xml:space="preserve"> </w:t>
      </w:r>
      <w:r>
        <w:rPr>
          <w:sz w:val="18"/>
        </w:rPr>
        <w:t>Road</w:t>
      </w:r>
      <w:r>
        <w:rPr>
          <w:spacing w:val="-3"/>
          <w:sz w:val="18"/>
        </w:rPr>
        <w:t xml:space="preserve"> </w:t>
      </w:r>
      <w:r>
        <w:rPr>
          <w:sz w:val="18"/>
        </w:rPr>
        <w:t>Map:</w:t>
      </w:r>
      <w:r>
        <w:rPr>
          <w:spacing w:val="-3"/>
          <w:sz w:val="18"/>
        </w:rPr>
        <w:t xml:space="preserve"> </w:t>
      </w:r>
      <w:r>
        <w:rPr>
          <w:sz w:val="18"/>
        </w:rPr>
        <w:t>Data as</w:t>
      </w:r>
      <w:r>
        <w:rPr>
          <w:spacing w:val="-3"/>
          <w:sz w:val="18"/>
        </w:rPr>
        <w:t xml:space="preserve"> </w:t>
      </w:r>
      <w:r>
        <w:rPr>
          <w:sz w:val="18"/>
        </w:rPr>
        <w:t>a</w:t>
      </w:r>
      <w:r>
        <w:rPr>
          <w:spacing w:val="-2"/>
          <w:sz w:val="18"/>
        </w:rPr>
        <w:t xml:space="preserve"> </w:t>
      </w:r>
      <w:r>
        <w:rPr>
          <w:sz w:val="18"/>
        </w:rPr>
        <w:t>Tool</w:t>
      </w:r>
      <w:r>
        <w:rPr>
          <w:spacing w:val="-5"/>
          <w:sz w:val="18"/>
        </w:rPr>
        <w:t xml:space="preserve"> </w:t>
      </w:r>
      <w:r>
        <w:rPr>
          <w:sz w:val="18"/>
        </w:rPr>
        <w:t>Towards</w:t>
      </w:r>
      <w:r>
        <w:rPr>
          <w:spacing w:val="-3"/>
          <w:sz w:val="18"/>
        </w:rPr>
        <w:t xml:space="preserve"> </w:t>
      </w:r>
      <w:r>
        <w:rPr>
          <w:sz w:val="18"/>
        </w:rPr>
        <w:t>Ending</w:t>
      </w:r>
      <w:r>
        <w:rPr>
          <w:spacing w:val="-3"/>
          <w:sz w:val="18"/>
        </w:rPr>
        <w:t xml:space="preserve"> </w:t>
      </w:r>
      <w:r>
        <w:rPr>
          <w:sz w:val="18"/>
        </w:rPr>
        <w:t>Structural</w:t>
      </w:r>
      <w:r>
        <w:rPr>
          <w:spacing w:val="-3"/>
          <w:sz w:val="18"/>
        </w:rPr>
        <w:t xml:space="preserve"> </w:t>
      </w:r>
      <w:r>
        <w:rPr>
          <w:sz w:val="18"/>
        </w:rPr>
        <w:t>Racism,”</w:t>
      </w:r>
      <w:r>
        <w:rPr>
          <w:spacing w:val="-3"/>
          <w:sz w:val="18"/>
        </w:rPr>
        <w:t xml:space="preserve"> </w:t>
      </w:r>
      <w:r>
        <w:rPr>
          <w:sz w:val="18"/>
        </w:rPr>
        <w:t>October</w:t>
      </w:r>
      <w:r>
        <w:rPr>
          <w:spacing w:val="-3"/>
          <w:sz w:val="18"/>
        </w:rPr>
        <w:t xml:space="preserve"> </w:t>
      </w:r>
      <w:r>
        <w:rPr>
          <w:sz w:val="18"/>
        </w:rPr>
        <w:t>12, 2020, https://</w:t>
      </w:r>
      <w:hyperlink r:id="rId843">
        <w:r>
          <w:rPr>
            <w:sz w:val="18"/>
          </w:rPr>
          <w:t>www.mass.gov/doc/racial-equity-data-road-map-pdf/download.</w:t>
        </w:r>
      </w:hyperlink>
    </w:p>
    <w:p w:rsidR="00200FDA" w:rsidRDefault="00200FDA">
      <w:pPr>
        <w:rPr>
          <w:sz w:val="18"/>
        </w:rPr>
        <w:sectPr w:rsidR="00200FDA">
          <w:pgSz w:w="12240" w:h="15840"/>
          <w:pgMar w:top="1260" w:right="1160" w:bottom="1240" w:left="1160" w:header="761" w:footer="1043" w:gutter="0"/>
          <w:cols w:space="720"/>
        </w:sectPr>
      </w:pPr>
    </w:p>
    <w:p w:rsidR="00200FDA" w:rsidRDefault="00200FDA">
      <w:pPr>
        <w:pStyle w:val="BodyText"/>
        <w:spacing w:before="10"/>
        <w:rPr>
          <w:sz w:val="10"/>
        </w:rPr>
      </w:pPr>
    </w:p>
    <w:p w:rsidR="00200FDA" w:rsidRDefault="00F76C4C">
      <w:pPr>
        <w:spacing w:before="35"/>
        <w:ind w:left="280"/>
        <w:rPr>
          <w:sz w:val="32"/>
        </w:rPr>
      </w:pPr>
      <w:r>
        <w:pict>
          <v:rect id="docshape580" o:spid="_x0000_s1066" style="position:absolute;left:0;text-align:left;margin-left:70.55pt;margin-top:22.25pt;width:470.9pt;height:.5pt;z-index:-15610368;mso-wrap-distance-left:0;mso-wrap-distance-right:0;mso-position-horizontal-relative:page" fillcolor="#4f81bc" stroked="f">
            <w10:wrap type="topAndBottom" anchorx="page"/>
          </v:rect>
        </w:pict>
      </w:r>
      <w:bookmarkStart w:id="1137" w:name="FY24_MassHealth_Recommendations_-_Final."/>
      <w:bookmarkStart w:id="1138" w:name="MassHealth"/>
      <w:bookmarkStart w:id="1139" w:name="_bookmark895"/>
      <w:bookmarkEnd w:id="1137"/>
      <w:bookmarkEnd w:id="1138"/>
      <w:bookmarkEnd w:id="1139"/>
      <w:r>
        <w:rPr>
          <w:color w:val="365F91"/>
          <w:spacing w:val="-2"/>
          <w:sz w:val="32"/>
        </w:rPr>
        <w:t>MassHealth</w:t>
      </w:r>
    </w:p>
    <w:p w:rsidR="00200FDA" w:rsidRDefault="00200FDA">
      <w:pPr>
        <w:pStyle w:val="BodyText"/>
        <w:rPr>
          <w:sz w:val="20"/>
        </w:rPr>
      </w:pPr>
    </w:p>
    <w:p w:rsidR="00200FDA" w:rsidRDefault="00200FDA">
      <w:pPr>
        <w:pStyle w:val="BodyText"/>
        <w:spacing w:before="7"/>
        <w:rPr>
          <w:sz w:val="21"/>
        </w:rPr>
      </w:pPr>
    </w:p>
    <w:p w:rsidR="00200FDA" w:rsidRDefault="00F76C4C">
      <w:pPr>
        <w:pStyle w:val="Heading7"/>
        <w:spacing w:before="44"/>
      </w:pPr>
      <w:r>
        <w:pict>
          <v:rect id="docshape581" o:spid="_x0000_s1065" style="position:absolute;left:0;text-align:left;margin-left:70.55pt;margin-top:20.2pt;width:470.9pt;height:.5pt;z-index:-15609856;mso-wrap-distance-left:0;mso-wrap-distance-right:0;mso-position-horizontal-relative:page" fillcolor="#4f81bc" stroked="f">
            <w10:wrap type="topAndBottom" anchorx="page"/>
          </v:rect>
        </w:pict>
      </w:r>
      <w:r>
        <w:rPr>
          <w:color w:val="365F91"/>
        </w:rPr>
        <w:t>FY</w:t>
      </w:r>
      <w:r>
        <w:rPr>
          <w:color w:val="365F91"/>
          <w:spacing w:val="-3"/>
        </w:rPr>
        <w:t xml:space="preserve"> </w:t>
      </w:r>
      <w:r>
        <w:rPr>
          <w:color w:val="365F91"/>
        </w:rPr>
        <w:t>2024</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ListParagraph"/>
        <w:numPr>
          <w:ilvl w:val="1"/>
          <w:numId w:val="11"/>
        </w:numPr>
        <w:tabs>
          <w:tab w:val="left" w:pos="1001"/>
        </w:tabs>
        <w:spacing w:before="56" w:line="357" w:lineRule="auto"/>
        <w:ind w:right="276"/>
        <w:jc w:val="both"/>
      </w:pPr>
      <w:r>
        <w:t>Review</w:t>
      </w:r>
      <w:r>
        <w:rPr>
          <w:spacing w:val="-13"/>
        </w:rPr>
        <w:t xml:space="preserve"> </w:t>
      </w:r>
      <w:r>
        <w:t>MassHealth</w:t>
      </w:r>
      <w:r>
        <w:rPr>
          <w:spacing w:val="-12"/>
        </w:rPr>
        <w:t xml:space="preserve"> </w:t>
      </w:r>
      <w:r>
        <w:t>policies</w:t>
      </w:r>
      <w:r>
        <w:rPr>
          <w:spacing w:val="-13"/>
        </w:rPr>
        <w:t xml:space="preserve"> </w:t>
      </w:r>
      <w:r>
        <w:t>and</w:t>
      </w:r>
      <w:r>
        <w:rPr>
          <w:spacing w:val="-12"/>
        </w:rPr>
        <w:t xml:space="preserve"> </w:t>
      </w:r>
      <w:r>
        <w:t>guidelines</w:t>
      </w:r>
      <w:r>
        <w:rPr>
          <w:spacing w:val="-13"/>
        </w:rPr>
        <w:t xml:space="preserve"> </w:t>
      </w:r>
      <w:r>
        <w:t>to</w:t>
      </w:r>
      <w:r>
        <w:rPr>
          <w:spacing w:val="-12"/>
        </w:rPr>
        <w:t xml:space="preserve"> </w:t>
      </w:r>
      <w:r>
        <w:t>increase</w:t>
      </w:r>
      <w:r>
        <w:rPr>
          <w:spacing w:val="-13"/>
        </w:rPr>
        <w:t xml:space="preserve"> </w:t>
      </w:r>
      <w:r>
        <w:t>access</w:t>
      </w:r>
      <w:r>
        <w:rPr>
          <w:spacing w:val="-12"/>
        </w:rPr>
        <w:t xml:space="preserve"> </w:t>
      </w:r>
      <w:r>
        <w:t>to</w:t>
      </w:r>
      <w:r>
        <w:rPr>
          <w:spacing w:val="-12"/>
        </w:rPr>
        <w:t xml:space="preserve"> </w:t>
      </w:r>
      <w:r>
        <w:t>gender-affirming</w:t>
      </w:r>
      <w:r>
        <w:rPr>
          <w:spacing w:val="-13"/>
        </w:rPr>
        <w:t xml:space="preserve"> </w:t>
      </w:r>
      <w:r>
        <w:t>care</w:t>
      </w:r>
      <w:r>
        <w:rPr>
          <w:spacing w:val="-12"/>
        </w:rPr>
        <w:t xml:space="preserve"> </w:t>
      </w:r>
      <w:r>
        <w:t>and</w:t>
      </w:r>
      <w:r>
        <w:rPr>
          <w:spacing w:val="-13"/>
        </w:rPr>
        <w:t xml:space="preserve"> </w:t>
      </w:r>
      <w:r>
        <w:t>reduce health disparities among LGBTQ+ communities and communities of color.</w:t>
      </w:r>
    </w:p>
    <w:p w:rsidR="00200FDA" w:rsidRDefault="00F76C4C">
      <w:pPr>
        <w:pStyle w:val="ListParagraph"/>
        <w:numPr>
          <w:ilvl w:val="1"/>
          <w:numId w:val="11"/>
        </w:numPr>
        <w:tabs>
          <w:tab w:val="left" w:pos="1001"/>
        </w:tabs>
        <w:spacing w:before="4" w:line="360" w:lineRule="auto"/>
        <w:ind w:right="275"/>
        <w:jc w:val="both"/>
      </w:pPr>
      <w:r>
        <w:t>Expand</w:t>
      </w:r>
      <w:r>
        <w:rPr>
          <w:spacing w:val="-1"/>
        </w:rPr>
        <w:t xml:space="preserve"> </w:t>
      </w:r>
      <w:r>
        <w:t>data</w:t>
      </w:r>
      <w:r>
        <w:rPr>
          <w:spacing w:val="-1"/>
        </w:rPr>
        <w:t xml:space="preserve"> </w:t>
      </w:r>
      <w:r>
        <w:t>collection</w:t>
      </w:r>
      <w:r>
        <w:rPr>
          <w:spacing w:val="-4"/>
        </w:rPr>
        <w:t xml:space="preserve"> </w:t>
      </w:r>
      <w:r>
        <w:t>efforts beyond</w:t>
      </w:r>
      <w:r>
        <w:rPr>
          <w:spacing w:val="-1"/>
        </w:rPr>
        <w:t xml:space="preserve"> </w:t>
      </w:r>
      <w:r>
        <w:t>federal</w:t>
      </w:r>
      <w:r>
        <w:rPr>
          <w:spacing w:val="-1"/>
        </w:rPr>
        <w:t xml:space="preserve"> </w:t>
      </w:r>
      <w:r>
        <w:t>requirements</w:t>
      </w:r>
      <w:r>
        <w:rPr>
          <w:spacing w:val="-3"/>
        </w:rPr>
        <w:t xml:space="preserve"> </w:t>
      </w:r>
      <w:r>
        <w:t>to collect data</w:t>
      </w:r>
      <w:r>
        <w:rPr>
          <w:spacing w:val="-3"/>
        </w:rPr>
        <w:t xml:space="preserve"> </w:t>
      </w:r>
      <w:r>
        <w:t>on</w:t>
      </w:r>
      <w:r>
        <w:rPr>
          <w:spacing w:val="-1"/>
        </w:rPr>
        <w:t xml:space="preserve"> </w:t>
      </w:r>
      <w:r>
        <w:t>sexual</w:t>
      </w:r>
      <w:r>
        <w:rPr>
          <w:spacing w:val="-1"/>
        </w:rPr>
        <w:t xml:space="preserve"> </w:t>
      </w:r>
      <w:r>
        <w:t>orientation and gender identity and expression (SOGIE).</w:t>
      </w:r>
    </w:p>
    <w:p w:rsidR="00200FDA" w:rsidRDefault="00F76C4C">
      <w:pPr>
        <w:pStyle w:val="ListParagraph"/>
        <w:numPr>
          <w:ilvl w:val="1"/>
          <w:numId w:val="11"/>
        </w:numPr>
        <w:tabs>
          <w:tab w:val="left" w:pos="1001"/>
        </w:tabs>
        <w:spacing w:before="1" w:line="360" w:lineRule="auto"/>
        <w:ind w:right="273"/>
        <w:jc w:val="both"/>
      </w:pPr>
      <w:r>
        <w:t>Collaborate with the Commission to expand training programs to all workers and supervisors on issues that affect LGBTQ youth and young adu</w:t>
      </w:r>
      <w:r>
        <w:t>lts.</w:t>
      </w:r>
    </w:p>
    <w:p w:rsidR="00200FDA" w:rsidRDefault="00F76C4C">
      <w:pPr>
        <w:pStyle w:val="ListParagraph"/>
        <w:numPr>
          <w:ilvl w:val="1"/>
          <w:numId w:val="11"/>
        </w:numPr>
        <w:tabs>
          <w:tab w:val="left" w:pos="1001"/>
        </w:tabs>
        <w:spacing w:line="360" w:lineRule="auto"/>
        <w:ind w:right="273" w:hanging="360"/>
        <w:jc w:val="both"/>
      </w:pPr>
      <w:r>
        <w:t>Improve interagency work to support “warm hand-offs” for transition-aged youth attempting to access services in partnership with other youth-serving state agencies to ensure that the health needs of LGBTQ youth are being met.</w:t>
      </w:r>
    </w:p>
    <w:p w:rsidR="00200FDA" w:rsidRDefault="00200FDA">
      <w:pPr>
        <w:pStyle w:val="BodyText"/>
        <w:spacing w:before="10"/>
        <w:rPr>
          <w:sz w:val="32"/>
        </w:rPr>
      </w:pPr>
    </w:p>
    <w:p w:rsidR="00200FDA" w:rsidRDefault="00F76C4C">
      <w:pPr>
        <w:pStyle w:val="Heading7"/>
      </w:pPr>
      <w:r>
        <w:pict>
          <v:rect id="docshape582" o:spid="_x0000_s1064" style="position:absolute;left:0;text-align:left;margin-left:70.55pt;margin-top:18pt;width:470.9pt;height:.5pt;z-index:-15609344;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line="276" w:lineRule="auto"/>
        <w:ind w:left="280" w:right="274"/>
        <w:jc w:val="both"/>
      </w:pPr>
      <w:r>
        <w:t>MassHealt</w:t>
      </w:r>
      <w:r>
        <w:t>h works to provide health and dental benefits and financial support for Massachusetts residents, and combines Medicaid and the Children’s Health Insurance Program into one program. The Commission began issuing recommendations to MassHealth for the first ti</w:t>
      </w:r>
      <w:r>
        <w:t>me in FY 2022 on issues impacting LGBTQ youth in healthcare spaces. MassHealth provides vital resources to underserved communities, and the Commission is extremely grateful for its services, which continue to play an important part in supporting LGBTQ life</w:t>
      </w:r>
      <w:r>
        <w:t>. As discussed throughout this annual report, LGBTQ youth experience numerous health-related inequities, particularly including access to affirming-care.</w:t>
      </w:r>
    </w:p>
    <w:p w:rsidR="00200FDA" w:rsidRDefault="00200FDA">
      <w:pPr>
        <w:pStyle w:val="BodyText"/>
        <w:spacing w:before="10"/>
        <w:rPr>
          <w:sz w:val="19"/>
        </w:rPr>
      </w:pPr>
    </w:p>
    <w:p w:rsidR="00200FDA" w:rsidRDefault="00F76C4C">
      <w:pPr>
        <w:pStyle w:val="BodyText"/>
        <w:spacing w:before="1" w:line="276" w:lineRule="auto"/>
        <w:ind w:left="279" w:right="273"/>
        <w:jc w:val="both"/>
      </w:pPr>
      <w:r>
        <w:t>As MassHealth</w:t>
      </w:r>
      <w:r>
        <w:rPr>
          <w:spacing w:val="-3"/>
        </w:rPr>
        <w:t xml:space="preserve"> </w:t>
      </w:r>
      <w:r>
        <w:t>seeks</w:t>
      </w:r>
      <w:r>
        <w:rPr>
          <w:spacing w:val="-2"/>
        </w:rPr>
        <w:t xml:space="preserve"> </w:t>
      </w:r>
      <w:r>
        <w:t>to</w:t>
      </w:r>
      <w:r>
        <w:rPr>
          <w:spacing w:val="-1"/>
        </w:rPr>
        <w:t xml:space="preserve"> </w:t>
      </w:r>
      <w:r>
        <w:t>elevate</w:t>
      </w:r>
      <w:r>
        <w:rPr>
          <w:spacing w:val="-4"/>
        </w:rPr>
        <w:t xml:space="preserve"> </w:t>
      </w:r>
      <w:r>
        <w:t>LGBTQ</w:t>
      </w:r>
      <w:r>
        <w:rPr>
          <w:spacing w:val="-2"/>
        </w:rPr>
        <w:t xml:space="preserve"> </w:t>
      </w:r>
      <w:r>
        <w:t>health as</w:t>
      </w:r>
      <w:r>
        <w:rPr>
          <w:spacing w:val="-2"/>
        </w:rPr>
        <w:t xml:space="preserve"> </w:t>
      </w:r>
      <w:r>
        <w:t>a</w:t>
      </w:r>
      <w:r>
        <w:rPr>
          <w:spacing w:val="-2"/>
        </w:rPr>
        <w:t xml:space="preserve"> </w:t>
      </w:r>
      <w:r>
        <w:t>priority</w:t>
      </w:r>
      <w:r>
        <w:rPr>
          <w:spacing w:val="-3"/>
        </w:rPr>
        <w:t xml:space="preserve"> </w:t>
      </w:r>
      <w:r>
        <w:t>within the agency,</w:t>
      </w:r>
      <w:r>
        <w:rPr>
          <w:spacing w:val="-2"/>
        </w:rPr>
        <w:t xml:space="preserve"> </w:t>
      </w:r>
      <w:r>
        <w:t>the Commission</w:t>
      </w:r>
      <w:r>
        <w:rPr>
          <w:spacing w:val="-3"/>
        </w:rPr>
        <w:t xml:space="preserve"> </w:t>
      </w:r>
      <w:r>
        <w:t>notes</w:t>
      </w:r>
      <w:r>
        <w:rPr>
          <w:spacing w:val="-2"/>
        </w:rPr>
        <w:t xml:space="preserve"> </w:t>
      </w:r>
      <w:r>
        <w:t>that agency leadership must take steps to expand these services and understand the current landscape of LGBTQ</w:t>
      </w:r>
      <w:r>
        <w:rPr>
          <w:spacing w:val="-4"/>
        </w:rPr>
        <w:t xml:space="preserve"> </w:t>
      </w:r>
      <w:r>
        <w:t>health.</w:t>
      </w:r>
      <w:r>
        <w:rPr>
          <w:spacing w:val="-5"/>
        </w:rPr>
        <w:t xml:space="preserve"> </w:t>
      </w:r>
      <w:r>
        <w:t>The</w:t>
      </w:r>
      <w:r>
        <w:rPr>
          <w:spacing w:val="-4"/>
        </w:rPr>
        <w:t xml:space="preserve"> </w:t>
      </w:r>
      <w:r>
        <w:t>Commission</w:t>
      </w:r>
      <w:r>
        <w:rPr>
          <w:spacing w:val="-3"/>
        </w:rPr>
        <w:t xml:space="preserve"> </w:t>
      </w:r>
      <w:r>
        <w:t>recommends</w:t>
      </w:r>
      <w:r>
        <w:rPr>
          <w:spacing w:val="-4"/>
        </w:rPr>
        <w:t xml:space="preserve"> </w:t>
      </w:r>
      <w:r>
        <w:t>several</w:t>
      </w:r>
      <w:r>
        <w:rPr>
          <w:spacing w:val="-4"/>
        </w:rPr>
        <w:t xml:space="preserve"> </w:t>
      </w:r>
      <w:r>
        <w:t>initiatives</w:t>
      </w:r>
      <w:r>
        <w:rPr>
          <w:spacing w:val="-4"/>
        </w:rPr>
        <w:t xml:space="preserve"> </w:t>
      </w:r>
      <w:r>
        <w:t>that</w:t>
      </w:r>
      <w:r>
        <w:rPr>
          <w:spacing w:val="-4"/>
        </w:rPr>
        <w:t xml:space="preserve"> </w:t>
      </w:r>
      <w:r>
        <w:t>involve</w:t>
      </w:r>
      <w:r>
        <w:rPr>
          <w:spacing w:val="-4"/>
        </w:rPr>
        <w:t xml:space="preserve"> </w:t>
      </w:r>
      <w:r>
        <w:t>not</w:t>
      </w:r>
      <w:r>
        <w:rPr>
          <w:spacing w:val="-4"/>
        </w:rPr>
        <w:t xml:space="preserve"> </w:t>
      </w:r>
      <w:r>
        <w:t>just</w:t>
      </w:r>
      <w:r>
        <w:rPr>
          <w:spacing w:val="-2"/>
        </w:rPr>
        <w:t xml:space="preserve"> </w:t>
      </w:r>
      <w:r>
        <w:t>a</w:t>
      </w:r>
      <w:r>
        <w:rPr>
          <w:spacing w:val="-4"/>
        </w:rPr>
        <w:t xml:space="preserve"> </w:t>
      </w:r>
      <w:r>
        <w:t>systematic</w:t>
      </w:r>
      <w:r>
        <w:rPr>
          <w:spacing w:val="-4"/>
        </w:rPr>
        <w:t xml:space="preserve"> </w:t>
      </w:r>
      <w:r>
        <w:t>analysis and</w:t>
      </w:r>
      <w:r>
        <w:rPr>
          <w:spacing w:val="-13"/>
        </w:rPr>
        <w:t xml:space="preserve"> </w:t>
      </w:r>
      <w:r>
        <w:t>revamping</w:t>
      </w:r>
      <w:r>
        <w:rPr>
          <w:spacing w:val="-12"/>
        </w:rPr>
        <w:t xml:space="preserve"> </w:t>
      </w:r>
      <w:r>
        <w:t>of</w:t>
      </w:r>
      <w:r>
        <w:rPr>
          <w:spacing w:val="-13"/>
        </w:rPr>
        <w:t xml:space="preserve"> </w:t>
      </w:r>
      <w:r>
        <w:t>what</w:t>
      </w:r>
      <w:r>
        <w:rPr>
          <w:spacing w:val="-12"/>
        </w:rPr>
        <w:t xml:space="preserve"> </w:t>
      </w:r>
      <w:r>
        <w:t>MassHealth</w:t>
      </w:r>
      <w:r>
        <w:rPr>
          <w:spacing w:val="-13"/>
        </w:rPr>
        <w:t xml:space="preserve"> </w:t>
      </w:r>
      <w:r>
        <w:t>covers,</w:t>
      </w:r>
      <w:r>
        <w:rPr>
          <w:spacing w:val="-12"/>
        </w:rPr>
        <w:t xml:space="preserve"> </w:t>
      </w:r>
      <w:r>
        <w:t>but</w:t>
      </w:r>
      <w:r>
        <w:rPr>
          <w:spacing w:val="-13"/>
        </w:rPr>
        <w:t xml:space="preserve"> </w:t>
      </w:r>
      <w:r>
        <w:t>als</w:t>
      </w:r>
      <w:r>
        <w:t>o</w:t>
      </w:r>
      <w:r>
        <w:rPr>
          <w:spacing w:val="-12"/>
        </w:rPr>
        <w:t xml:space="preserve"> </w:t>
      </w:r>
      <w:r>
        <w:t>discerning</w:t>
      </w:r>
      <w:r>
        <w:rPr>
          <w:spacing w:val="-12"/>
        </w:rPr>
        <w:t xml:space="preserve"> </w:t>
      </w:r>
      <w:r>
        <w:t>how</w:t>
      </w:r>
      <w:r>
        <w:rPr>
          <w:spacing w:val="-13"/>
        </w:rPr>
        <w:t xml:space="preserve"> </w:t>
      </w:r>
      <w:r>
        <w:t>to</w:t>
      </w:r>
      <w:r>
        <w:rPr>
          <w:spacing w:val="-12"/>
        </w:rPr>
        <w:t xml:space="preserve"> </w:t>
      </w:r>
      <w:r>
        <w:t>make</w:t>
      </w:r>
      <w:r>
        <w:rPr>
          <w:spacing w:val="-13"/>
        </w:rPr>
        <w:t xml:space="preserve"> </w:t>
      </w:r>
      <w:r>
        <w:t>this</w:t>
      </w:r>
      <w:r>
        <w:rPr>
          <w:spacing w:val="-12"/>
        </w:rPr>
        <w:t xml:space="preserve"> </w:t>
      </w:r>
      <w:r>
        <w:t>coverage</w:t>
      </w:r>
      <w:r>
        <w:rPr>
          <w:spacing w:val="-13"/>
        </w:rPr>
        <w:t xml:space="preserve"> </w:t>
      </w:r>
      <w:r>
        <w:t>more</w:t>
      </w:r>
      <w:r>
        <w:rPr>
          <w:spacing w:val="-12"/>
        </w:rPr>
        <w:t xml:space="preserve"> </w:t>
      </w:r>
      <w:r>
        <w:t>accessible to all LGBTQ populations.</w:t>
      </w:r>
    </w:p>
    <w:p w:rsidR="00200FDA" w:rsidRDefault="00200FDA">
      <w:pPr>
        <w:pStyle w:val="BodyText"/>
      </w:pPr>
    </w:p>
    <w:p w:rsidR="00200FDA" w:rsidRDefault="00F76C4C">
      <w:pPr>
        <w:pStyle w:val="Heading8"/>
        <w:spacing w:before="158"/>
        <w:ind w:left="280"/>
      </w:pPr>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spacing w:before="10"/>
        <w:rPr>
          <w:sz w:val="19"/>
        </w:rPr>
      </w:pPr>
    </w:p>
    <w:p w:rsidR="00200FDA" w:rsidRDefault="00F76C4C">
      <w:pPr>
        <w:pStyle w:val="BodyText"/>
        <w:spacing w:line="276" w:lineRule="auto"/>
        <w:ind w:left="280" w:right="276"/>
        <w:jc w:val="both"/>
      </w:pPr>
      <w:r>
        <w:t>The Commission commends MassHealth for the steps it has took to fill the Commission’s FY 2022 recommendations,</w:t>
      </w:r>
      <w:r>
        <w:rPr>
          <w:spacing w:val="-5"/>
        </w:rPr>
        <w:t xml:space="preserve"> </w:t>
      </w:r>
      <w:r>
        <w:t>including</w:t>
      </w:r>
      <w:r>
        <w:rPr>
          <w:spacing w:val="-4"/>
        </w:rPr>
        <w:t xml:space="preserve"> </w:t>
      </w:r>
      <w:r>
        <w:t>establishing</w:t>
      </w:r>
      <w:r>
        <w:rPr>
          <w:spacing w:val="-6"/>
        </w:rPr>
        <w:t xml:space="preserve"> </w:t>
      </w:r>
      <w:r>
        <w:t>a</w:t>
      </w:r>
      <w:r>
        <w:rPr>
          <w:spacing w:val="-3"/>
        </w:rPr>
        <w:t xml:space="preserve"> </w:t>
      </w:r>
      <w:r>
        <w:t>permanent</w:t>
      </w:r>
      <w:r>
        <w:rPr>
          <w:spacing w:val="-5"/>
        </w:rPr>
        <w:t xml:space="preserve"> </w:t>
      </w:r>
      <w:r>
        <w:t>liaison</w:t>
      </w:r>
      <w:r>
        <w:rPr>
          <w:spacing w:val="-6"/>
        </w:rPr>
        <w:t xml:space="preserve"> </w:t>
      </w:r>
      <w:r>
        <w:t>to</w:t>
      </w:r>
      <w:r>
        <w:rPr>
          <w:spacing w:val="-4"/>
        </w:rPr>
        <w:t xml:space="preserve"> </w:t>
      </w:r>
      <w:r>
        <w:t>the</w:t>
      </w:r>
      <w:r>
        <w:rPr>
          <w:spacing w:val="-5"/>
        </w:rPr>
        <w:t xml:space="preserve"> </w:t>
      </w:r>
      <w:r>
        <w:t>Commission;</w:t>
      </w:r>
      <w:r>
        <w:rPr>
          <w:spacing w:val="-7"/>
        </w:rPr>
        <w:t xml:space="preserve"> </w:t>
      </w:r>
      <w:r>
        <w:t>expanding</w:t>
      </w:r>
      <w:r>
        <w:rPr>
          <w:spacing w:val="-4"/>
        </w:rPr>
        <w:t xml:space="preserve"> </w:t>
      </w:r>
      <w:r>
        <w:t>access</w:t>
      </w:r>
      <w:r>
        <w:rPr>
          <w:spacing w:val="-5"/>
        </w:rPr>
        <w:t xml:space="preserve"> </w:t>
      </w:r>
      <w:r>
        <w:t>to</w:t>
      </w:r>
      <w:r>
        <w:rPr>
          <w:spacing w:val="-2"/>
        </w:rPr>
        <w:t xml:space="preserve"> </w:t>
      </w:r>
      <w:r>
        <w:t>its gender-affirming services; and establishing a commitment to internal trainings on LGBTQ affirming-care in its facilities. The Commission looks forward to its continued work with MassHealth in FY 2024..</w:t>
      </w:r>
    </w:p>
    <w:p w:rsidR="00200FDA" w:rsidRDefault="00200FDA">
      <w:pPr>
        <w:spacing w:line="276" w:lineRule="auto"/>
        <w:jc w:val="both"/>
        <w:sectPr w:rsidR="00200FDA">
          <w:headerReference w:type="default" r:id="rId844"/>
          <w:footerReference w:type="default" r:id="rId845"/>
          <w:pgSz w:w="12240" w:h="15840"/>
          <w:pgMar w:top="1260" w:right="1160" w:bottom="1240" w:left="1160" w:header="761" w:footer="1043" w:gutter="0"/>
          <w:cols w:space="720"/>
        </w:sectPr>
      </w:pPr>
    </w:p>
    <w:p w:rsidR="00200FDA" w:rsidRDefault="00200FDA">
      <w:pPr>
        <w:pStyle w:val="BodyText"/>
        <w:rPr>
          <w:sz w:val="10"/>
        </w:rPr>
      </w:pPr>
    </w:p>
    <w:p w:rsidR="00200FDA" w:rsidRDefault="00F76C4C">
      <w:pPr>
        <w:pStyle w:val="Heading7"/>
        <w:spacing w:before="44"/>
      </w:pPr>
      <w:r>
        <w:pict>
          <v:rect id="docshape583" o:spid="_x0000_s1063" style="position:absolute;left:0;text-align:left;margin-left:70.55pt;margin-top:20.35pt;width:470.9pt;height:.5pt;z-index:-15608832;mso-wrap-distance-left:0;mso-wrap-distance-right:0;mso-position-horizontal-relative:page" fillcolor="#4f81bc" stroked="f">
            <w10:wrap type="topAndBottom" anchorx="page"/>
          </v:rect>
        </w:pict>
      </w:r>
      <w:bookmarkStart w:id="1140" w:name="FY_2024_Expanded_MassHealth_Recommendati"/>
      <w:bookmarkEnd w:id="1140"/>
      <w:r>
        <w:rPr>
          <w:color w:val="365F91"/>
        </w:rPr>
        <w:t>FY</w:t>
      </w:r>
      <w:r>
        <w:rPr>
          <w:color w:val="365F91"/>
          <w:spacing w:val="-5"/>
        </w:rPr>
        <w:t xml:space="preserve"> </w:t>
      </w:r>
      <w:r>
        <w:rPr>
          <w:color w:val="365F91"/>
        </w:rPr>
        <w:t>2024</w:t>
      </w:r>
      <w:r>
        <w:rPr>
          <w:color w:val="365F91"/>
          <w:spacing w:val="-5"/>
        </w:rPr>
        <w:t xml:space="preserve"> </w:t>
      </w:r>
      <w:r>
        <w:rPr>
          <w:color w:val="365F91"/>
        </w:rPr>
        <w:t>Expanded</w:t>
      </w:r>
      <w:r>
        <w:rPr>
          <w:color w:val="365F91"/>
          <w:spacing w:val="-2"/>
        </w:rPr>
        <w:t xml:space="preserve"> </w:t>
      </w:r>
      <w:r>
        <w:rPr>
          <w:color w:val="365F91"/>
        </w:rPr>
        <w:t>MassHealth</w:t>
      </w:r>
      <w:r>
        <w:rPr>
          <w:color w:val="365F91"/>
          <w:spacing w:val="-6"/>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10"/>
        </w:numPr>
        <w:tabs>
          <w:tab w:val="left" w:pos="518"/>
        </w:tabs>
        <w:spacing w:before="56" w:line="273" w:lineRule="auto"/>
        <w:ind w:left="279" w:right="276" w:firstLine="0"/>
      </w:pPr>
      <w:r>
        <w:t>Review MassHealth policies and guidelines to increase access to gender-affirming care and reduce health disparities among LGBTQ communities and communities of color.</w:t>
      </w:r>
    </w:p>
    <w:p w:rsidR="00200FDA" w:rsidRDefault="00200FDA">
      <w:pPr>
        <w:pStyle w:val="BodyText"/>
        <w:rPr>
          <w:b/>
          <w:sz w:val="20"/>
        </w:rPr>
      </w:pPr>
    </w:p>
    <w:p w:rsidR="00200FDA" w:rsidRDefault="00F76C4C">
      <w:pPr>
        <w:pStyle w:val="BodyText"/>
        <w:spacing w:before="1" w:line="276" w:lineRule="auto"/>
        <w:ind w:left="279" w:right="273"/>
        <w:jc w:val="both"/>
      </w:pPr>
      <w:r>
        <w:t>The Commission recommends that MassHealth continue to review policies and guidelines to i</w:t>
      </w:r>
      <w:r>
        <w:t>ncrease access</w:t>
      </w:r>
      <w:r>
        <w:rPr>
          <w:spacing w:val="-2"/>
        </w:rPr>
        <w:t xml:space="preserve"> </w:t>
      </w:r>
      <w:r>
        <w:t>to gender-affirming care, and to reduce health</w:t>
      </w:r>
      <w:r>
        <w:rPr>
          <w:spacing w:val="-3"/>
        </w:rPr>
        <w:t xml:space="preserve"> </w:t>
      </w:r>
      <w:r>
        <w:t>disparities among LGBTQ</w:t>
      </w:r>
      <w:r>
        <w:rPr>
          <w:spacing w:val="-2"/>
        </w:rPr>
        <w:t xml:space="preserve"> </w:t>
      </w:r>
      <w:r>
        <w:t>and BIPOC communities. Furthermore,</w:t>
      </w:r>
      <w:r>
        <w:rPr>
          <w:spacing w:val="-3"/>
        </w:rPr>
        <w:t xml:space="preserve"> </w:t>
      </w:r>
      <w:r>
        <w:t>the Commission</w:t>
      </w:r>
      <w:r>
        <w:rPr>
          <w:spacing w:val="-1"/>
        </w:rPr>
        <w:t xml:space="preserve"> </w:t>
      </w:r>
      <w:r>
        <w:t>continues to recommend</w:t>
      </w:r>
      <w:r>
        <w:rPr>
          <w:spacing w:val="-1"/>
        </w:rPr>
        <w:t xml:space="preserve"> </w:t>
      </w:r>
      <w:r>
        <w:t>that MassHealth</w:t>
      </w:r>
      <w:r>
        <w:rPr>
          <w:spacing w:val="-1"/>
        </w:rPr>
        <w:t xml:space="preserve"> </w:t>
      </w:r>
      <w:r>
        <w:t>adopts</w:t>
      </w:r>
      <w:r>
        <w:rPr>
          <w:spacing w:val="-3"/>
        </w:rPr>
        <w:t xml:space="preserve"> </w:t>
      </w:r>
      <w:r>
        <w:t>a</w:t>
      </w:r>
      <w:r>
        <w:rPr>
          <w:spacing w:val="-1"/>
        </w:rPr>
        <w:t xml:space="preserve"> </w:t>
      </w:r>
      <w:r>
        <w:t>comprehensive</w:t>
      </w:r>
      <w:r>
        <w:rPr>
          <w:spacing w:val="-2"/>
        </w:rPr>
        <w:t xml:space="preserve"> </w:t>
      </w:r>
      <w:r>
        <w:t>policy on</w:t>
      </w:r>
      <w:r>
        <w:rPr>
          <w:spacing w:val="-13"/>
        </w:rPr>
        <w:t xml:space="preserve"> </w:t>
      </w:r>
      <w:r>
        <w:t>expanding</w:t>
      </w:r>
      <w:r>
        <w:rPr>
          <w:spacing w:val="-12"/>
        </w:rPr>
        <w:t xml:space="preserve"> </w:t>
      </w:r>
      <w:r>
        <w:t>healthcare</w:t>
      </w:r>
      <w:r>
        <w:rPr>
          <w:spacing w:val="-13"/>
        </w:rPr>
        <w:t xml:space="preserve"> </w:t>
      </w:r>
      <w:r>
        <w:t>access</w:t>
      </w:r>
      <w:r>
        <w:rPr>
          <w:spacing w:val="-11"/>
        </w:rPr>
        <w:t xml:space="preserve"> </w:t>
      </w:r>
      <w:r>
        <w:t>and</w:t>
      </w:r>
      <w:r>
        <w:rPr>
          <w:spacing w:val="-12"/>
        </w:rPr>
        <w:t xml:space="preserve"> </w:t>
      </w:r>
      <w:r>
        <w:t>trauma-informed</w:t>
      </w:r>
      <w:r>
        <w:rPr>
          <w:spacing w:val="-13"/>
        </w:rPr>
        <w:t xml:space="preserve"> </w:t>
      </w:r>
      <w:r>
        <w:t>care</w:t>
      </w:r>
      <w:r>
        <w:rPr>
          <w:spacing w:val="-11"/>
        </w:rPr>
        <w:t xml:space="preserve"> </w:t>
      </w:r>
      <w:r>
        <w:t>to</w:t>
      </w:r>
      <w:r>
        <w:rPr>
          <w:spacing w:val="-11"/>
        </w:rPr>
        <w:t xml:space="preserve"> </w:t>
      </w:r>
      <w:r>
        <w:t>transgender</w:t>
      </w:r>
      <w:r>
        <w:rPr>
          <w:spacing w:val="-12"/>
        </w:rPr>
        <w:t xml:space="preserve"> </w:t>
      </w:r>
      <w:r>
        <w:t>communities.</w:t>
      </w:r>
      <w:r>
        <w:rPr>
          <w:spacing w:val="-12"/>
        </w:rPr>
        <w:t xml:space="preserve"> </w:t>
      </w:r>
      <w:r>
        <w:t>It</w:t>
      </w:r>
      <w:r>
        <w:rPr>
          <w:spacing w:val="-12"/>
        </w:rPr>
        <w:t xml:space="preserve"> </w:t>
      </w:r>
      <w:r>
        <w:t>should</w:t>
      </w:r>
      <w:r>
        <w:rPr>
          <w:spacing w:val="-12"/>
        </w:rPr>
        <w:t xml:space="preserve"> </w:t>
      </w:r>
      <w:r>
        <w:t xml:space="preserve">address eliminating anti- LGBTQ discrimination from healthcare and benefits practices, as well as mandate trainings for LGBTQ competency, and the creation of an employee handbook on LGBTQ resources and </w:t>
      </w:r>
      <w:r>
        <w:rPr>
          <w:spacing w:val="-2"/>
        </w:rPr>
        <w:t>topics.</w:t>
      </w:r>
    </w:p>
    <w:p w:rsidR="00200FDA" w:rsidRDefault="00200FDA">
      <w:pPr>
        <w:pStyle w:val="BodyText"/>
      </w:pPr>
    </w:p>
    <w:p w:rsidR="00200FDA" w:rsidRDefault="00200FDA">
      <w:pPr>
        <w:pStyle w:val="BodyText"/>
        <w:spacing w:before="10"/>
      </w:pPr>
    </w:p>
    <w:p w:rsidR="00200FDA" w:rsidRDefault="00F76C4C">
      <w:pPr>
        <w:pStyle w:val="Heading9"/>
        <w:numPr>
          <w:ilvl w:val="0"/>
          <w:numId w:val="10"/>
        </w:numPr>
        <w:tabs>
          <w:tab w:val="left" w:pos="499"/>
        </w:tabs>
        <w:spacing w:line="276" w:lineRule="auto"/>
        <w:ind w:left="279" w:right="275" w:firstLine="0"/>
      </w:pPr>
      <w:r>
        <w:t>Expand</w:t>
      </w:r>
      <w:r>
        <w:rPr>
          <w:spacing w:val="-8"/>
        </w:rPr>
        <w:t xml:space="preserve"> </w:t>
      </w:r>
      <w:r>
        <w:t>data</w:t>
      </w:r>
      <w:r>
        <w:rPr>
          <w:spacing w:val="-9"/>
        </w:rPr>
        <w:t xml:space="preserve"> </w:t>
      </w:r>
      <w:r>
        <w:t>collection</w:t>
      </w:r>
      <w:r>
        <w:rPr>
          <w:spacing w:val="-8"/>
        </w:rPr>
        <w:t xml:space="preserve"> </w:t>
      </w:r>
      <w:r>
        <w:t>efforts</w:t>
      </w:r>
      <w:r>
        <w:rPr>
          <w:spacing w:val="-7"/>
        </w:rPr>
        <w:t xml:space="preserve"> </w:t>
      </w:r>
      <w:r>
        <w:t>beyond</w:t>
      </w:r>
      <w:r>
        <w:rPr>
          <w:spacing w:val="-8"/>
        </w:rPr>
        <w:t xml:space="preserve"> </w:t>
      </w:r>
      <w:r>
        <w:t>federal</w:t>
      </w:r>
      <w:r>
        <w:rPr>
          <w:spacing w:val="-7"/>
        </w:rPr>
        <w:t xml:space="preserve"> </w:t>
      </w:r>
      <w:r>
        <w:t>requirements</w:t>
      </w:r>
      <w:r>
        <w:rPr>
          <w:spacing w:val="-7"/>
        </w:rPr>
        <w:t xml:space="preserve"> </w:t>
      </w:r>
      <w:r>
        <w:t>to</w:t>
      </w:r>
      <w:r>
        <w:rPr>
          <w:spacing w:val="-10"/>
        </w:rPr>
        <w:t xml:space="preserve"> </w:t>
      </w:r>
      <w:r>
        <w:t>collect</w:t>
      </w:r>
      <w:r>
        <w:rPr>
          <w:spacing w:val="-7"/>
        </w:rPr>
        <w:t xml:space="preserve"> </w:t>
      </w:r>
      <w:r>
        <w:t>data</w:t>
      </w:r>
      <w:r>
        <w:rPr>
          <w:spacing w:val="-9"/>
        </w:rPr>
        <w:t xml:space="preserve"> </w:t>
      </w:r>
      <w:r>
        <w:t>on</w:t>
      </w:r>
      <w:r>
        <w:rPr>
          <w:spacing w:val="-8"/>
        </w:rPr>
        <w:t xml:space="preserve"> </w:t>
      </w:r>
      <w:r>
        <w:t>sexual</w:t>
      </w:r>
      <w:r>
        <w:rPr>
          <w:spacing w:val="-7"/>
        </w:rPr>
        <w:t xml:space="preserve"> </w:t>
      </w:r>
      <w:r>
        <w:t>orientation</w:t>
      </w:r>
      <w:r>
        <w:rPr>
          <w:spacing w:val="-10"/>
        </w:rPr>
        <w:t xml:space="preserve"> </w:t>
      </w:r>
      <w:r>
        <w:t>and gender identity and expression (SOGIE).</w:t>
      </w:r>
    </w:p>
    <w:p w:rsidR="00200FDA" w:rsidRDefault="00200FDA">
      <w:pPr>
        <w:pStyle w:val="BodyText"/>
        <w:spacing w:before="9"/>
        <w:rPr>
          <w:b/>
          <w:sz w:val="19"/>
        </w:rPr>
      </w:pPr>
    </w:p>
    <w:p w:rsidR="00200FDA" w:rsidRDefault="00F76C4C">
      <w:pPr>
        <w:pStyle w:val="BodyText"/>
        <w:spacing w:line="276" w:lineRule="auto"/>
        <w:ind w:left="279" w:right="272"/>
        <w:jc w:val="both"/>
      </w:pPr>
      <w:r>
        <w:t>A majority of data at MassHealth is currently dependent on diagnoses of gender dysphoria, making comprehensive gender-affirming care difficult to come by for many transgender individuals, especially those who are not open about their identities. As SOGIE d</w:t>
      </w:r>
      <w:r>
        <w:t>ata is often collected only through community partner programs or member surveys, there is still a large gap in accurate information, which harms the efficient and inclusive provision of healthcare services. The Commission recommends the urgent application</w:t>
      </w:r>
      <w:r>
        <w:rPr>
          <w:spacing w:val="-9"/>
        </w:rPr>
        <w:t xml:space="preserve"> </w:t>
      </w:r>
      <w:r>
        <w:t>of</w:t>
      </w:r>
      <w:r>
        <w:rPr>
          <w:spacing w:val="-9"/>
        </w:rPr>
        <w:t xml:space="preserve"> </w:t>
      </w:r>
      <w:r>
        <w:t>data</w:t>
      </w:r>
      <w:r>
        <w:rPr>
          <w:spacing w:val="-9"/>
        </w:rPr>
        <w:t xml:space="preserve"> </w:t>
      </w:r>
      <w:r>
        <w:t>collection</w:t>
      </w:r>
      <w:r>
        <w:rPr>
          <w:spacing w:val="-9"/>
        </w:rPr>
        <w:t xml:space="preserve"> </w:t>
      </w:r>
      <w:r>
        <w:t>services</w:t>
      </w:r>
      <w:r>
        <w:rPr>
          <w:spacing w:val="-10"/>
        </w:rPr>
        <w:t xml:space="preserve"> </w:t>
      </w:r>
      <w:r>
        <w:t>that</w:t>
      </w:r>
      <w:r>
        <w:rPr>
          <w:spacing w:val="-9"/>
        </w:rPr>
        <w:t xml:space="preserve"> </w:t>
      </w:r>
      <w:r>
        <w:t>include</w:t>
      </w:r>
      <w:r>
        <w:rPr>
          <w:spacing w:val="-8"/>
        </w:rPr>
        <w:t xml:space="preserve"> </w:t>
      </w:r>
      <w:r>
        <w:t>questions</w:t>
      </w:r>
      <w:r>
        <w:rPr>
          <w:spacing w:val="-10"/>
        </w:rPr>
        <w:t xml:space="preserve"> </w:t>
      </w:r>
      <w:r>
        <w:t>on</w:t>
      </w:r>
      <w:r>
        <w:rPr>
          <w:spacing w:val="-9"/>
        </w:rPr>
        <w:t xml:space="preserve"> </w:t>
      </w:r>
      <w:r>
        <w:t>gender</w:t>
      </w:r>
      <w:r>
        <w:rPr>
          <w:spacing w:val="-9"/>
        </w:rPr>
        <w:t xml:space="preserve"> </w:t>
      </w:r>
      <w:r>
        <w:t>identity,</w:t>
      </w:r>
      <w:r>
        <w:rPr>
          <w:spacing w:val="-10"/>
        </w:rPr>
        <w:t xml:space="preserve"> </w:t>
      </w:r>
      <w:r>
        <w:t>sex</w:t>
      </w:r>
      <w:r>
        <w:rPr>
          <w:spacing w:val="-9"/>
        </w:rPr>
        <w:t xml:space="preserve"> </w:t>
      </w:r>
      <w:r>
        <w:t>assigned</w:t>
      </w:r>
      <w:r>
        <w:rPr>
          <w:spacing w:val="-9"/>
        </w:rPr>
        <w:t xml:space="preserve"> </w:t>
      </w:r>
      <w:r>
        <w:t>at</w:t>
      </w:r>
      <w:r>
        <w:rPr>
          <w:spacing w:val="-9"/>
        </w:rPr>
        <w:t xml:space="preserve"> </w:t>
      </w:r>
      <w:r>
        <w:t>birth,</w:t>
      </w:r>
      <w:r>
        <w:rPr>
          <w:spacing w:val="-9"/>
        </w:rPr>
        <w:t xml:space="preserve"> </w:t>
      </w:r>
      <w:r>
        <w:t>and sexual</w:t>
      </w:r>
      <w:r>
        <w:rPr>
          <w:spacing w:val="-4"/>
        </w:rPr>
        <w:t xml:space="preserve"> </w:t>
      </w:r>
      <w:r>
        <w:t>orientation</w:t>
      </w:r>
      <w:r>
        <w:rPr>
          <w:spacing w:val="-5"/>
        </w:rPr>
        <w:t xml:space="preserve"> </w:t>
      </w:r>
      <w:r>
        <w:t>which</w:t>
      </w:r>
      <w:r>
        <w:rPr>
          <w:spacing w:val="-3"/>
        </w:rPr>
        <w:t xml:space="preserve"> </w:t>
      </w:r>
      <w:r>
        <w:t>should</w:t>
      </w:r>
      <w:r>
        <w:rPr>
          <w:spacing w:val="-3"/>
        </w:rPr>
        <w:t xml:space="preserve"> </w:t>
      </w:r>
      <w:r>
        <w:t>be</w:t>
      </w:r>
      <w:r>
        <w:rPr>
          <w:spacing w:val="-1"/>
        </w:rPr>
        <w:t xml:space="preserve"> </w:t>
      </w:r>
      <w:r>
        <w:t>reinforced</w:t>
      </w:r>
      <w:r>
        <w:rPr>
          <w:spacing w:val="-3"/>
        </w:rPr>
        <w:t xml:space="preserve"> </w:t>
      </w:r>
      <w:r>
        <w:t>by</w:t>
      </w:r>
      <w:r>
        <w:rPr>
          <w:spacing w:val="-3"/>
        </w:rPr>
        <w:t xml:space="preserve"> </w:t>
      </w:r>
      <w:r>
        <w:t>proper</w:t>
      </w:r>
      <w:r>
        <w:rPr>
          <w:spacing w:val="-2"/>
        </w:rPr>
        <w:t xml:space="preserve"> </w:t>
      </w:r>
      <w:r>
        <w:t>training</w:t>
      </w:r>
      <w:r>
        <w:rPr>
          <w:spacing w:val="-4"/>
        </w:rPr>
        <w:t xml:space="preserve"> </w:t>
      </w:r>
      <w:r>
        <w:t>of</w:t>
      </w:r>
      <w:r>
        <w:rPr>
          <w:spacing w:val="-2"/>
        </w:rPr>
        <w:t xml:space="preserve"> </w:t>
      </w:r>
      <w:r>
        <w:t>healthcare</w:t>
      </w:r>
      <w:r>
        <w:rPr>
          <w:spacing w:val="-1"/>
        </w:rPr>
        <w:t xml:space="preserve"> </w:t>
      </w:r>
      <w:r>
        <w:t>providers</w:t>
      </w:r>
      <w:r>
        <w:rPr>
          <w:spacing w:val="-4"/>
        </w:rPr>
        <w:t xml:space="preserve"> </w:t>
      </w:r>
      <w:r>
        <w:t>on</w:t>
      </w:r>
      <w:r>
        <w:rPr>
          <w:spacing w:val="-3"/>
        </w:rPr>
        <w:t xml:space="preserve"> </w:t>
      </w:r>
      <w:r>
        <w:t>the</w:t>
      </w:r>
      <w:r>
        <w:rPr>
          <w:spacing w:val="-4"/>
        </w:rPr>
        <w:t xml:space="preserve"> </w:t>
      </w:r>
      <w:r>
        <w:t>uses</w:t>
      </w:r>
      <w:r>
        <w:rPr>
          <w:spacing w:val="-4"/>
        </w:rPr>
        <w:t xml:space="preserve"> </w:t>
      </w:r>
      <w:r>
        <w:t>and importance of these questions. The Commission also r</w:t>
      </w:r>
      <w:r>
        <w:t>ecommends updating MassHealth computer systems to include the option of ‘non-binary’ under ‘sex’.</w:t>
      </w:r>
    </w:p>
    <w:p w:rsidR="00200FDA" w:rsidRDefault="00200FDA">
      <w:pPr>
        <w:pStyle w:val="BodyText"/>
        <w:spacing w:before="7"/>
        <w:rPr>
          <w:sz w:val="19"/>
        </w:rPr>
      </w:pPr>
    </w:p>
    <w:p w:rsidR="00200FDA" w:rsidRDefault="00F76C4C">
      <w:pPr>
        <w:pStyle w:val="BodyText"/>
        <w:spacing w:before="1" w:line="276" w:lineRule="auto"/>
        <w:ind w:left="279" w:right="273"/>
        <w:jc w:val="both"/>
      </w:pPr>
      <w:r>
        <w:t>As</w:t>
      </w:r>
      <w:r>
        <w:rPr>
          <w:spacing w:val="-7"/>
        </w:rPr>
        <w:t xml:space="preserve"> </w:t>
      </w:r>
      <w:r>
        <w:t>reporting</w:t>
      </w:r>
      <w:r>
        <w:rPr>
          <w:spacing w:val="-7"/>
        </w:rPr>
        <w:t xml:space="preserve"> </w:t>
      </w:r>
      <w:r>
        <w:t>laws</w:t>
      </w:r>
      <w:r>
        <w:rPr>
          <w:spacing w:val="-9"/>
        </w:rPr>
        <w:t xml:space="preserve"> </w:t>
      </w:r>
      <w:r>
        <w:t>require</w:t>
      </w:r>
      <w:r>
        <w:rPr>
          <w:spacing w:val="-9"/>
        </w:rPr>
        <w:t xml:space="preserve"> </w:t>
      </w:r>
      <w:r>
        <w:t>data</w:t>
      </w:r>
      <w:r>
        <w:rPr>
          <w:spacing w:val="-7"/>
        </w:rPr>
        <w:t xml:space="preserve"> </w:t>
      </w:r>
      <w:r>
        <w:t>to</w:t>
      </w:r>
      <w:r>
        <w:rPr>
          <w:spacing w:val="-8"/>
        </w:rPr>
        <w:t xml:space="preserve"> </w:t>
      </w:r>
      <w:r>
        <w:t>be</w:t>
      </w:r>
      <w:r>
        <w:rPr>
          <w:spacing w:val="-8"/>
        </w:rPr>
        <w:t xml:space="preserve"> </w:t>
      </w:r>
      <w:r>
        <w:t>sent</w:t>
      </w:r>
      <w:r>
        <w:rPr>
          <w:spacing w:val="-9"/>
        </w:rPr>
        <w:t xml:space="preserve"> </w:t>
      </w:r>
      <w:r>
        <w:t>to</w:t>
      </w:r>
      <w:r>
        <w:rPr>
          <w:spacing w:val="-8"/>
        </w:rPr>
        <w:t xml:space="preserve"> </w:t>
      </w:r>
      <w:r>
        <w:t>the</w:t>
      </w:r>
      <w:r>
        <w:rPr>
          <w:spacing w:val="-8"/>
        </w:rPr>
        <w:t xml:space="preserve"> </w:t>
      </w:r>
      <w:r>
        <w:t>federal</w:t>
      </w:r>
      <w:r>
        <w:rPr>
          <w:spacing w:val="-7"/>
        </w:rPr>
        <w:t xml:space="preserve"> </w:t>
      </w:r>
      <w:r>
        <w:t>government,</w:t>
      </w:r>
      <w:r>
        <w:rPr>
          <w:spacing w:val="-9"/>
        </w:rPr>
        <w:t xml:space="preserve"> </w:t>
      </w:r>
      <w:r>
        <w:t>there</w:t>
      </w:r>
      <w:r>
        <w:rPr>
          <w:spacing w:val="-8"/>
        </w:rPr>
        <w:t xml:space="preserve"> </w:t>
      </w:r>
      <w:r>
        <w:t>is</w:t>
      </w:r>
      <w:r>
        <w:rPr>
          <w:spacing w:val="-9"/>
        </w:rPr>
        <w:t xml:space="preserve"> </w:t>
      </w:r>
      <w:r>
        <w:t>the</w:t>
      </w:r>
      <w:r>
        <w:rPr>
          <w:spacing w:val="-8"/>
        </w:rPr>
        <w:t xml:space="preserve"> </w:t>
      </w:r>
      <w:r>
        <w:t>challenge</w:t>
      </w:r>
      <w:r>
        <w:rPr>
          <w:spacing w:val="-8"/>
        </w:rPr>
        <w:t xml:space="preserve"> </w:t>
      </w:r>
      <w:r>
        <w:t>of</w:t>
      </w:r>
      <w:r>
        <w:rPr>
          <w:spacing w:val="-7"/>
        </w:rPr>
        <w:t xml:space="preserve"> </w:t>
      </w:r>
      <w:r>
        <w:t>federal</w:t>
      </w:r>
      <w:r>
        <w:rPr>
          <w:spacing w:val="-9"/>
        </w:rPr>
        <w:t xml:space="preserve"> </w:t>
      </w:r>
      <w:r>
        <w:t>laws that allow only binary Male/Female categorical selections for sex. In order to support the counting and inclusion of LGBTQ identities in the healthcare system, the Commission strongly recommends that MassHealth add a disclaimer or explanation to all d</w:t>
      </w:r>
      <w:r>
        <w:t>ata collection efforts</w:t>
      </w:r>
      <w:r>
        <w:rPr>
          <w:spacing w:val="-1"/>
        </w:rPr>
        <w:t xml:space="preserve"> </w:t>
      </w:r>
      <w:r>
        <w:t>to clarify that federal guidelines require</w:t>
      </w:r>
      <w:r>
        <w:rPr>
          <w:spacing w:val="-4"/>
        </w:rPr>
        <w:t xml:space="preserve"> </w:t>
      </w:r>
      <w:r>
        <w:t>this</w:t>
      </w:r>
      <w:r>
        <w:rPr>
          <w:spacing w:val="-4"/>
        </w:rPr>
        <w:t xml:space="preserve"> </w:t>
      </w:r>
      <w:r>
        <w:t>information</w:t>
      </w:r>
      <w:r>
        <w:rPr>
          <w:spacing w:val="-5"/>
        </w:rPr>
        <w:t xml:space="preserve"> </w:t>
      </w:r>
      <w:r>
        <w:t>and</w:t>
      </w:r>
      <w:r>
        <w:rPr>
          <w:spacing w:val="-5"/>
        </w:rPr>
        <w:t xml:space="preserve"> </w:t>
      </w:r>
      <w:r>
        <w:t>that</w:t>
      </w:r>
      <w:r>
        <w:rPr>
          <w:spacing w:val="-6"/>
        </w:rPr>
        <w:t xml:space="preserve"> </w:t>
      </w:r>
      <w:r>
        <w:t>MassHealth</w:t>
      </w:r>
      <w:r>
        <w:rPr>
          <w:spacing w:val="-5"/>
        </w:rPr>
        <w:t xml:space="preserve"> </w:t>
      </w:r>
      <w:r>
        <w:t>recognizes</w:t>
      </w:r>
      <w:r>
        <w:rPr>
          <w:spacing w:val="-4"/>
        </w:rPr>
        <w:t xml:space="preserve"> </w:t>
      </w:r>
      <w:r>
        <w:t>the</w:t>
      </w:r>
      <w:r>
        <w:rPr>
          <w:spacing w:val="-6"/>
        </w:rPr>
        <w:t xml:space="preserve"> </w:t>
      </w:r>
      <w:r>
        <w:t>need</w:t>
      </w:r>
      <w:r>
        <w:rPr>
          <w:spacing w:val="-8"/>
        </w:rPr>
        <w:t xml:space="preserve"> </w:t>
      </w:r>
      <w:r>
        <w:t>for</w:t>
      </w:r>
      <w:r>
        <w:rPr>
          <w:spacing w:val="-7"/>
        </w:rPr>
        <w:t xml:space="preserve"> </w:t>
      </w:r>
      <w:r>
        <w:t>better</w:t>
      </w:r>
      <w:r>
        <w:rPr>
          <w:spacing w:val="-4"/>
        </w:rPr>
        <w:t xml:space="preserve"> </w:t>
      </w:r>
      <w:r>
        <w:t>categorizations.</w:t>
      </w:r>
      <w:r>
        <w:rPr>
          <w:spacing w:val="-7"/>
        </w:rPr>
        <w:t xml:space="preserve"> </w:t>
      </w:r>
      <w:r>
        <w:t>MassHealth noted in its May 2022 report that additional challenges lie in determining applicable best pra</w:t>
      </w:r>
      <w:r>
        <w:t>ctices for SOGIE data collection and working with existing IT barriers. However, it additionally noted that this recommendation is a top priority for the MassHealth Health Equity Alignment Team.</w:t>
      </w:r>
    </w:p>
    <w:p w:rsidR="00200FDA" w:rsidRDefault="00200FDA">
      <w:pPr>
        <w:pStyle w:val="BodyText"/>
        <w:spacing w:before="6"/>
        <w:rPr>
          <w:sz w:val="19"/>
        </w:rPr>
      </w:pPr>
    </w:p>
    <w:p w:rsidR="00200FDA" w:rsidRDefault="00F76C4C">
      <w:pPr>
        <w:pStyle w:val="BodyText"/>
        <w:spacing w:line="276" w:lineRule="auto"/>
        <w:ind w:left="279" w:right="276"/>
        <w:jc w:val="both"/>
      </w:pPr>
      <w:r>
        <w:t>The Commission</w:t>
      </w:r>
      <w:r>
        <w:rPr>
          <w:spacing w:val="-1"/>
        </w:rPr>
        <w:t xml:space="preserve"> </w:t>
      </w:r>
      <w:r>
        <w:t>further</w:t>
      </w:r>
      <w:r>
        <w:rPr>
          <w:spacing w:val="-1"/>
        </w:rPr>
        <w:t xml:space="preserve"> </w:t>
      </w:r>
      <w:r>
        <w:t>recommends that MassHealth partner</w:t>
      </w:r>
      <w:r>
        <w:rPr>
          <w:spacing w:val="-1"/>
        </w:rPr>
        <w:t xml:space="preserve"> </w:t>
      </w:r>
      <w:r>
        <w:t>wi</w:t>
      </w:r>
      <w:r>
        <w:t>th</w:t>
      </w:r>
      <w:r>
        <w:rPr>
          <w:spacing w:val="-1"/>
        </w:rPr>
        <w:t xml:space="preserve"> </w:t>
      </w:r>
      <w:r>
        <w:t>community</w:t>
      </w:r>
      <w:r>
        <w:rPr>
          <w:spacing w:val="-2"/>
        </w:rPr>
        <w:t xml:space="preserve"> </w:t>
      </w:r>
      <w:r>
        <w:t>organizations and</w:t>
      </w:r>
      <w:r>
        <w:rPr>
          <w:spacing w:val="-1"/>
        </w:rPr>
        <w:t xml:space="preserve"> </w:t>
      </w:r>
      <w:r>
        <w:t>other state</w:t>
      </w:r>
      <w:r>
        <w:rPr>
          <w:spacing w:val="-1"/>
        </w:rPr>
        <w:t xml:space="preserve"> </w:t>
      </w:r>
      <w:r>
        <w:t>agencies -</w:t>
      </w:r>
      <w:r>
        <w:rPr>
          <w:spacing w:val="-2"/>
        </w:rPr>
        <w:t xml:space="preserve"> </w:t>
      </w:r>
      <w:r>
        <w:t>particularly</w:t>
      </w:r>
      <w:r>
        <w:rPr>
          <w:spacing w:val="-1"/>
        </w:rPr>
        <w:t xml:space="preserve"> </w:t>
      </w:r>
      <w:r>
        <w:t>DMH</w:t>
      </w:r>
      <w:r>
        <w:rPr>
          <w:spacing w:val="-2"/>
        </w:rPr>
        <w:t xml:space="preserve"> </w:t>
      </w:r>
      <w:r>
        <w:t>- to</w:t>
      </w:r>
      <w:r>
        <w:rPr>
          <w:spacing w:val="-1"/>
        </w:rPr>
        <w:t xml:space="preserve"> </w:t>
      </w:r>
      <w:r>
        <w:t>develop</w:t>
      </w:r>
      <w:r>
        <w:rPr>
          <w:spacing w:val="-3"/>
        </w:rPr>
        <w:t xml:space="preserve"> </w:t>
      </w:r>
      <w:r>
        <w:t>guidelines for pediatric providers</w:t>
      </w:r>
      <w:r>
        <w:rPr>
          <w:spacing w:val="-2"/>
        </w:rPr>
        <w:t xml:space="preserve"> </w:t>
      </w:r>
      <w:r>
        <w:t>on SOGIE</w:t>
      </w:r>
      <w:r>
        <w:rPr>
          <w:spacing w:val="-2"/>
        </w:rPr>
        <w:t xml:space="preserve"> </w:t>
      </w:r>
      <w:r>
        <w:t>data</w:t>
      </w:r>
      <w:r>
        <w:rPr>
          <w:spacing w:val="-2"/>
        </w:rPr>
        <w:t xml:space="preserve"> </w:t>
      </w:r>
      <w:r>
        <w:t>collection practices where there is a risk of outing youth, or caregivers are answering on behalf of youth.</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Heading9"/>
        <w:numPr>
          <w:ilvl w:val="0"/>
          <w:numId w:val="10"/>
        </w:numPr>
        <w:tabs>
          <w:tab w:val="left" w:pos="528"/>
        </w:tabs>
        <w:spacing w:before="56" w:line="276" w:lineRule="auto"/>
        <w:ind w:right="271" w:firstLine="0"/>
        <w:jc w:val="both"/>
      </w:pPr>
      <w:r>
        <w:t>Collaborate with the Commission to expand training programs to all workers and supervisors on issues that affect LGBTQ youth and young adults.</w:t>
      </w:r>
    </w:p>
    <w:p w:rsidR="00200FDA" w:rsidRDefault="00200FDA">
      <w:pPr>
        <w:pStyle w:val="BodyText"/>
        <w:spacing w:before="7"/>
        <w:rPr>
          <w:b/>
          <w:sz w:val="19"/>
        </w:rPr>
      </w:pPr>
    </w:p>
    <w:p w:rsidR="00200FDA" w:rsidRDefault="00F76C4C">
      <w:pPr>
        <w:pStyle w:val="BodyText"/>
        <w:spacing w:line="276" w:lineRule="auto"/>
        <w:ind w:left="280" w:right="274"/>
        <w:jc w:val="both"/>
      </w:pPr>
      <w:r>
        <w:t>The Commission strongly believes LGBTQ cultural humility trainings, especially concerning transgender and gender</w:t>
      </w:r>
      <w:r>
        <w:t xml:space="preserve"> expansive youth amidst rising violence and health disparities, would be highly beneficial for MassHealth to establish across the agency and all</w:t>
      </w:r>
      <w:r>
        <w:rPr>
          <w:spacing w:val="-2"/>
        </w:rPr>
        <w:t xml:space="preserve"> </w:t>
      </w:r>
      <w:r>
        <w:t>operational regions.</w:t>
      </w:r>
      <w:r>
        <w:rPr>
          <w:spacing w:val="-2"/>
        </w:rPr>
        <w:t xml:space="preserve"> </w:t>
      </w:r>
      <w:r>
        <w:t>Monthly staff meetings</w:t>
      </w:r>
      <w:r>
        <w:rPr>
          <w:spacing w:val="-2"/>
        </w:rPr>
        <w:t xml:space="preserve"> </w:t>
      </w:r>
      <w:r>
        <w:t>should be conducted</w:t>
      </w:r>
      <w:r>
        <w:rPr>
          <w:spacing w:val="-10"/>
        </w:rPr>
        <w:t xml:space="preserve"> </w:t>
      </w:r>
      <w:r>
        <w:t>to</w:t>
      </w:r>
      <w:r>
        <w:rPr>
          <w:spacing w:val="-5"/>
        </w:rPr>
        <w:t xml:space="preserve"> </w:t>
      </w:r>
      <w:r>
        <w:t>review</w:t>
      </w:r>
      <w:r>
        <w:rPr>
          <w:spacing w:val="-8"/>
        </w:rPr>
        <w:t xml:space="preserve"> </w:t>
      </w:r>
      <w:r>
        <w:t>LGBTQ</w:t>
      </w:r>
      <w:r>
        <w:rPr>
          <w:spacing w:val="-6"/>
        </w:rPr>
        <w:t xml:space="preserve"> </w:t>
      </w:r>
      <w:r>
        <w:t>content</w:t>
      </w:r>
      <w:r>
        <w:rPr>
          <w:spacing w:val="-6"/>
        </w:rPr>
        <w:t xml:space="preserve"> </w:t>
      </w:r>
      <w:r>
        <w:t>and</w:t>
      </w:r>
      <w:r>
        <w:rPr>
          <w:spacing w:val="-7"/>
        </w:rPr>
        <w:t xml:space="preserve"> </w:t>
      </w:r>
      <w:r>
        <w:t>knowledge</w:t>
      </w:r>
      <w:r>
        <w:rPr>
          <w:spacing w:val="-9"/>
        </w:rPr>
        <w:t xml:space="preserve"> </w:t>
      </w:r>
      <w:r>
        <w:t>of</w:t>
      </w:r>
      <w:r>
        <w:rPr>
          <w:spacing w:val="-7"/>
        </w:rPr>
        <w:t xml:space="preserve"> </w:t>
      </w:r>
      <w:r>
        <w:t>resour</w:t>
      </w:r>
      <w:r>
        <w:t>ce</w:t>
      </w:r>
      <w:r>
        <w:rPr>
          <w:spacing w:val="-6"/>
        </w:rPr>
        <w:t xml:space="preserve"> </w:t>
      </w:r>
      <w:r>
        <w:t>access,</w:t>
      </w:r>
      <w:r>
        <w:rPr>
          <w:spacing w:val="-7"/>
        </w:rPr>
        <w:t xml:space="preserve"> </w:t>
      </w:r>
      <w:r>
        <w:t>and</w:t>
      </w:r>
      <w:r>
        <w:rPr>
          <w:spacing w:val="-7"/>
        </w:rPr>
        <w:t xml:space="preserve"> </w:t>
      </w:r>
      <w:r>
        <w:t>training</w:t>
      </w:r>
      <w:r>
        <w:rPr>
          <w:spacing w:val="-7"/>
        </w:rPr>
        <w:t xml:space="preserve"> </w:t>
      </w:r>
      <w:r>
        <w:t>should</w:t>
      </w:r>
      <w:r>
        <w:rPr>
          <w:spacing w:val="-7"/>
        </w:rPr>
        <w:t xml:space="preserve"> </w:t>
      </w:r>
      <w:r>
        <w:t>be</w:t>
      </w:r>
      <w:r>
        <w:rPr>
          <w:spacing w:val="-6"/>
        </w:rPr>
        <w:t xml:space="preserve"> </w:t>
      </w:r>
      <w:r>
        <w:t>prioritized for both MassHealth staff and its affiliate provider agencies.</w:t>
      </w:r>
    </w:p>
    <w:p w:rsidR="00200FDA" w:rsidRDefault="00200FDA">
      <w:pPr>
        <w:pStyle w:val="BodyText"/>
        <w:spacing w:before="9"/>
        <w:rPr>
          <w:sz w:val="19"/>
        </w:rPr>
      </w:pPr>
    </w:p>
    <w:p w:rsidR="00200FDA" w:rsidRDefault="00F76C4C">
      <w:pPr>
        <w:pStyle w:val="BodyText"/>
        <w:spacing w:line="276" w:lineRule="auto"/>
        <w:ind w:left="280" w:right="270"/>
        <w:jc w:val="both"/>
      </w:pPr>
      <w:r>
        <w:t>When examining current healthcare provider practices, MassHealth should focus on a range of topics impacting LGBTQ students in the Commonwealth. F</w:t>
      </w:r>
      <w:r>
        <w:t>aculty, counselors, mental health providers, and school-based clinical staff should be required to complete competency training in LGBTQ health (and particularly trans</w:t>
      </w:r>
      <w:r>
        <w:rPr>
          <w:spacing w:val="-2"/>
        </w:rPr>
        <w:t xml:space="preserve"> </w:t>
      </w:r>
      <w:r>
        <w:t>health).</w:t>
      </w:r>
      <w:r>
        <w:rPr>
          <w:spacing w:val="-2"/>
        </w:rPr>
        <w:t xml:space="preserve"> </w:t>
      </w:r>
      <w:r>
        <w:t>MassHealth notes that it has been facilitating internal</w:t>
      </w:r>
      <w:r>
        <w:rPr>
          <w:spacing w:val="-2"/>
        </w:rPr>
        <w:t xml:space="preserve"> </w:t>
      </w:r>
      <w:r>
        <w:t>trainings for staff</w:t>
      </w:r>
      <w:r>
        <w:rPr>
          <w:spacing w:val="-2"/>
        </w:rPr>
        <w:t xml:space="preserve"> </w:t>
      </w:r>
      <w:r>
        <w:t xml:space="preserve">on </w:t>
      </w:r>
      <w:r>
        <w:t>the healthcare needs of LGBTQ communities. However, the Commission continues to recommend that MassHealth should work with the Commission to address how these trainings are currently, if at all, provided and whether they are administered at the state or lo</w:t>
      </w:r>
      <w:r>
        <w:t>cal level, through the Executive Office of Education, or another state agency.</w:t>
      </w:r>
    </w:p>
    <w:p w:rsidR="00200FDA" w:rsidRDefault="00200FDA">
      <w:pPr>
        <w:pStyle w:val="BodyText"/>
        <w:spacing w:before="7"/>
        <w:rPr>
          <w:sz w:val="19"/>
        </w:rPr>
      </w:pPr>
    </w:p>
    <w:p w:rsidR="00200FDA" w:rsidRDefault="00F76C4C">
      <w:pPr>
        <w:pStyle w:val="BodyText"/>
        <w:spacing w:line="276" w:lineRule="auto"/>
        <w:ind w:left="279" w:right="275"/>
        <w:jc w:val="both"/>
      </w:pPr>
      <w:r>
        <w:t>The</w:t>
      </w:r>
      <w:r>
        <w:rPr>
          <w:spacing w:val="-1"/>
        </w:rPr>
        <w:t xml:space="preserve"> </w:t>
      </w:r>
      <w:r>
        <w:t>Commission</w:t>
      </w:r>
      <w:r>
        <w:rPr>
          <w:spacing w:val="-2"/>
        </w:rPr>
        <w:t xml:space="preserve"> </w:t>
      </w:r>
      <w:r>
        <w:t>further</w:t>
      </w:r>
      <w:r>
        <w:rPr>
          <w:spacing w:val="-2"/>
        </w:rPr>
        <w:t xml:space="preserve"> </w:t>
      </w:r>
      <w:r>
        <w:t>recommends</w:t>
      </w:r>
      <w:r>
        <w:rPr>
          <w:spacing w:val="-1"/>
        </w:rPr>
        <w:t xml:space="preserve"> </w:t>
      </w:r>
      <w:r>
        <w:t>that</w:t>
      </w:r>
      <w:r>
        <w:rPr>
          <w:spacing w:val="-3"/>
        </w:rPr>
        <w:t xml:space="preserve"> </w:t>
      </w:r>
      <w:r>
        <w:t>MassHealth</w:t>
      </w:r>
      <w:r>
        <w:rPr>
          <w:spacing w:val="-2"/>
        </w:rPr>
        <w:t xml:space="preserve"> </w:t>
      </w:r>
      <w:r>
        <w:t>implement</w:t>
      </w:r>
      <w:r>
        <w:rPr>
          <w:spacing w:val="-3"/>
        </w:rPr>
        <w:t xml:space="preserve"> </w:t>
      </w:r>
      <w:r>
        <w:t>guidance</w:t>
      </w:r>
      <w:r>
        <w:rPr>
          <w:spacing w:val="-1"/>
        </w:rPr>
        <w:t xml:space="preserve"> </w:t>
      </w:r>
      <w:r>
        <w:t>for</w:t>
      </w:r>
      <w:r>
        <w:rPr>
          <w:spacing w:val="-4"/>
        </w:rPr>
        <w:t xml:space="preserve"> </w:t>
      </w:r>
      <w:r>
        <w:t>school-based</w:t>
      </w:r>
      <w:r>
        <w:rPr>
          <w:spacing w:val="-2"/>
        </w:rPr>
        <w:t xml:space="preserve"> </w:t>
      </w:r>
      <w:r>
        <w:t>counselors and mental health clinicians to provide support to students as well as their families, including on how to assist families in supporting their trans children. School-based providers can play a large role in creating safe school environments, and</w:t>
      </w:r>
      <w:r>
        <w:t xml:space="preserve"> they should be guided in best practices for referring children or making recommendations for gender-affirming care, depending on student needs. Additionally, there is ample room for MassHealth to spearhead and/or support initiatives around gender inclusiv</w:t>
      </w:r>
      <w:r>
        <w:t>ity and trans health awareness for students, staff, families, and communities.</w:t>
      </w:r>
    </w:p>
    <w:p w:rsidR="00200FDA" w:rsidRDefault="00200FDA">
      <w:pPr>
        <w:pStyle w:val="BodyText"/>
      </w:pPr>
    </w:p>
    <w:p w:rsidR="00200FDA" w:rsidRDefault="00200FDA">
      <w:pPr>
        <w:pStyle w:val="BodyText"/>
        <w:rPr>
          <w:sz w:val="23"/>
        </w:rPr>
      </w:pPr>
    </w:p>
    <w:p w:rsidR="00200FDA" w:rsidRDefault="00F76C4C">
      <w:pPr>
        <w:pStyle w:val="Heading9"/>
        <w:numPr>
          <w:ilvl w:val="0"/>
          <w:numId w:val="10"/>
        </w:numPr>
        <w:tabs>
          <w:tab w:val="left" w:pos="532"/>
        </w:tabs>
        <w:spacing w:line="276" w:lineRule="auto"/>
        <w:ind w:left="279" w:right="274" w:firstLine="0"/>
        <w:jc w:val="both"/>
      </w:pPr>
      <w:r>
        <w:t>Improve interagency work to support “warm hand-offs” for transition-aged youth attempting to access services in partnership with other youth-serving state agencies to ensure t</w:t>
      </w:r>
      <w:r>
        <w:t>hat the health needs of LGBTQ youth are being met.</w:t>
      </w:r>
    </w:p>
    <w:p w:rsidR="00200FDA" w:rsidRDefault="00200FDA">
      <w:pPr>
        <w:pStyle w:val="BodyText"/>
        <w:spacing w:before="8"/>
        <w:rPr>
          <w:b/>
          <w:sz w:val="19"/>
        </w:rPr>
      </w:pPr>
    </w:p>
    <w:p w:rsidR="00200FDA" w:rsidRDefault="00F76C4C">
      <w:pPr>
        <w:pStyle w:val="BodyText"/>
        <w:spacing w:line="276" w:lineRule="auto"/>
        <w:ind w:left="279" w:right="275"/>
        <w:jc w:val="both"/>
      </w:pPr>
      <w:r>
        <w:t xml:space="preserve">Over the course of this annual report, the Commission has detailed the necessity of youth-serving state entities collaborating on a macro-level to ensure that the needs of youth are not following through </w:t>
      </w:r>
      <w:r>
        <w:t>systemic</w:t>
      </w:r>
      <w:r>
        <w:rPr>
          <w:spacing w:val="-5"/>
        </w:rPr>
        <w:t xml:space="preserve"> </w:t>
      </w:r>
      <w:r>
        <w:t>cracks.</w:t>
      </w:r>
      <w:r>
        <w:rPr>
          <w:spacing w:val="-6"/>
        </w:rPr>
        <w:t xml:space="preserve"> </w:t>
      </w:r>
      <w:r>
        <w:t>MassHealth</w:t>
      </w:r>
      <w:r>
        <w:rPr>
          <w:spacing w:val="-4"/>
        </w:rPr>
        <w:t xml:space="preserve"> </w:t>
      </w:r>
      <w:r>
        <w:t>notes</w:t>
      </w:r>
      <w:r>
        <w:rPr>
          <w:spacing w:val="-5"/>
        </w:rPr>
        <w:t xml:space="preserve"> </w:t>
      </w:r>
      <w:r>
        <w:t>that</w:t>
      </w:r>
      <w:r>
        <w:rPr>
          <w:spacing w:val="-5"/>
        </w:rPr>
        <w:t xml:space="preserve"> </w:t>
      </w:r>
      <w:r>
        <w:t>it</w:t>
      </w:r>
      <w:r>
        <w:rPr>
          <w:spacing w:val="-3"/>
        </w:rPr>
        <w:t xml:space="preserve"> </w:t>
      </w:r>
      <w:r>
        <w:t>has</w:t>
      </w:r>
      <w:r>
        <w:rPr>
          <w:spacing w:val="-3"/>
        </w:rPr>
        <w:t xml:space="preserve"> </w:t>
      </w:r>
      <w:r>
        <w:t>previously</w:t>
      </w:r>
      <w:r>
        <w:rPr>
          <w:spacing w:val="-2"/>
        </w:rPr>
        <w:t xml:space="preserve"> </w:t>
      </w:r>
      <w:r>
        <w:t>collaborated</w:t>
      </w:r>
      <w:r>
        <w:rPr>
          <w:spacing w:val="-6"/>
        </w:rPr>
        <w:t xml:space="preserve"> </w:t>
      </w:r>
      <w:r>
        <w:t>with</w:t>
      </w:r>
      <w:r>
        <w:rPr>
          <w:spacing w:val="-4"/>
        </w:rPr>
        <w:t xml:space="preserve"> </w:t>
      </w:r>
      <w:r>
        <w:t>numerous</w:t>
      </w:r>
      <w:r>
        <w:rPr>
          <w:spacing w:val="-5"/>
        </w:rPr>
        <w:t xml:space="preserve"> </w:t>
      </w:r>
      <w:r>
        <w:t>youth-serving</w:t>
      </w:r>
      <w:r>
        <w:rPr>
          <w:spacing w:val="-6"/>
        </w:rPr>
        <w:t xml:space="preserve"> </w:t>
      </w:r>
      <w:r>
        <w:t>state agencies, including DCF, DMH, DTA, and DYS, to develop a Housing Stabilization and Support Program (HSSP) for DCF-Involved Youth and Young Adults, which</w:t>
      </w:r>
      <w:r>
        <w:t xml:space="preserve"> works to provide youth-centered strategies to support transition-aged youth gain access to services. Within this program, MassHealth notes that approximately 13-15% of the youth being served by the program so far have identified as LGBTQ.</w:t>
      </w:r>
    </w:p>
    <w:p w:rsidR="00200FDA" w:rsidRDefault="00200FDA">
      <w:pPr>
        <w:pStyle w:val="BodyText"/>
        <w:spacing w:before="8"/>
        <w:rPr>
          <w:sz w:val="19"/>
        </w:rPr>
      </w:pPr>
    </w:p>
    <w:p w:rsidR="00200FDA" w:rsidRDefault="00F76C4C">
      <w:pPr>
        <w:pStyle w:val="BodyText"/>
        <w:spacing w:line="276" w:lineRule="auto"/>
        <w:ind w:left="279" w:right="276"/>
        <w:jc w:val="both"/>
      </w:pPr>
      <w:r>
        <w:t>However, MassHe</w:t>
      </w:r>
      <w:r>
        <w:t>alth notes that it does not currently</w:t>
      </w:r>
      <w:r>
        <w:rPr>
          <w:spacing w:val="-1"/>
        </w:rPr>
        <w:t xml:space="preserve"> </w:t>
      </w:r>
      <w:r>
        <w:t>have any</w:t>
      </w:r>
      <w:r>
        <w:rPr>
          <w:spacing w:val="-1"/>
        </w:rPr>
        <w:t xml:space="preserve"> </w:t>
      </w:r>
      <w:r>
        <w:t>other cross-agency partnerships, though plans to coordinate further discussions in this area as part of the office’s equity and inclusion strategic planning.</w:t>
      </w:r>
      <w:r>
        <w:rPr>
          <w:spacing w:val="-8"/>
        </w:rPr>
        <w:t xml:space="preserve"> </w:t>
      </w:r>
      <w:r>
        <w:t>Overall,</w:t>
      </w:r>
      <w:r>
        <w:rPr>
          <w:spacing w:val="-10"/>
        </w:rPr>
        <w:t xml:space="preserve"> </w:t>
      </w:r>
      <w:r>
        <w:t>the</w:t>
      </w:r>
      <w:r>
        <w:rPr>
          <w:spacing w:val="-8"/>
        </w:rPr>
        <w:t xml:space="preserve"> </w:t>
      </w:r>
      <w:r>
        <w:t>Commission</w:t>
      </w:r>
      <w:r>
        <w:rPr>
          <w:spacing w:val="-8"/>
        </w:rPr>
        <w:t xml:space="preserve"> </w:t>
      </w:r>
      <w:r>
        <w:t>recommends</w:t>
      </w:r>
      <w:r>
        <w:rPr>
          <w:spacing w:val="-10"/>
        </w:rPr>
        <w:t xml:space="preserve"> </w:t>
      </w:r>
      <w:r>
        <w:t>that</w:t>
      </w:r>
      <w:r>
        <w:rPr>
          <w:spacing w:val="-10"/>
        </w:rPr>
        <w:t xml:space="preserve"> </w:t>
      </w:r>
      <w:r>
        <w:t>MassHealth</w:t>
      </w:r>
      <w:r>
        <w:rPr>
          <w:spacing w:val="-11"/>
        </w:rPr>
        <w:t xml:space="preserve"> </w:t>
      </w:r>
      <w:r>
        <w:t>explore</w:t>
      </w:r>
      <w:r>
        <w:rPr>
          <w:spacing w:val="-9"/>
        </w:rPr>
        <w:t xml:space="preserve"> </w:t>
      </w:r>
      <w:r>
        <w:t>increasing</w:t>
      </w:r>
      <w:r>
        <w:rPr>
          <w:spacing w:val="-8"/>
        </w:rPr>
        <w:t xml:space="preserve"> </w:t>
      </w:r>
      <w:r>
        <w:t>its</w:t>
      </w:r>
      <w:r>
        <w:rPr>
          <w:spacing w:val="-10"/>
        </w:rPr>
        <w:t xml:space="preserve"> </w:t>
      </w:r>
      <w:r>
        <w:t>collaboration</w:t>
      </w:r>
      <w:r>
        <w:rPr>
          <w:spacing w:val="-11"/>
        </w:rPr>
        <w:t xml:space="preserve"> </w:t>
      </w:r>
      <w:r>
        <w:t>with other</w:t>
      </w:r>
      <w:r>
        <w:rPr>
          <w:spacing w:val="30"/>
        </w:rPr>
        <w:t xml:space="preserve"> </w:t>
      </w:r>
      <w:r>
        <w:t>youth-serving</w:t>
      </w:r>
      <w:r>
        <w:rPr>
          <w:spacing w:val="31"/>
        </w:rPr>
        <w:t xml:space="preserve"> </w:t>
      </w:r>
      <w:r>
        <w:t>state</w:t>
      </w:r>
      <w:r>
        <w:rPr>
          <w:spacing w:val="30"/>
        </w:rPr>
        <w:t xml:space="preserve"> </w:t>
      </w:r>
      <w:r>
        <w:t>agencies</w:t>
      </w:r>
      <w:r>
        <w:rPr>
          <w:spacing w:val="32"/>
        </w:rPr>
        <w:t xml:space="preserve"> </w:t>
      </w:r>
      <w:r>
        <w:t>to</w:t>
      </w:r>
      <w:r>
        <w:rPr>
          <w:spacing w:val="33"/>
        </w:rPr>
        <w:t xml:space="preserve"> </w:t>
      </w:r>
      <w:r>
        <w:t>better</w:t>
      </w:r>
      <w:r>
        <w:rPr>
          <w:spacing w:val="32"/>
        </w:rPr>
        <w:t xml:space="preserve"> </w:t>
      </w:r>
      <w:r>
        <w:t>understand</w:t>
      </w:r>
      <w:r>
        <w:rPr>
          <w:spacing w:val="31"/>
        </w:rPr>
        <w:t xml:space="preserve"> </w:t>
      </w:r>
      <w:r>
        <w:t>the</w:t>
      </w:r>
      <w:r>
        <w:rPr>
          <w:spacing w:val="32"/>
        </w:rPr>
        <w:t xml:space="preserve"> </w:t>
      </w:r>
      <w:r>
        <w:t>needs</w:t>
      </w:r>
      <w:r>
        <w:rPr>
          <w:spacing w:val="32"/>
        </w:rPr>
        <w:t xml:space="preserve"> </w:t>
      </w:r>
      <w:r>
        <w:t>and</w:t>
      </w:r>
      <w:r>
        <w:rPr>
          <w:spacing w:val="31"/>
        </w:rPr>
        <w:t xml:space="preserve"> </w:t>
      </w:r>
      <w:r>
        <w:t>gaps</w:t>
      </w:r>
      <w:r>
        <w:rPr>
          <w:spacing w:val="32"/>
        </w:rPr>
        <w:t xml:space="preserve"> </w:t>
      </w:r>
      <w:r>
        <w:t>in</w:t>
      </w:r>
      <w:r>
        <w:rPr>
          <w:spacing w:val="31"/>
        </w:rPr>
        <w:t xml:space="preserve"> </w:t>
      </w:r>
      <w:r>
        <w:t>service</w:t>
      </w:r>
      <w:r>
        <w:rPr>
          <w:spacing w:val="32"/>
        </w:rPr>
        <w:t xml:space="preserve"> </w:t>
      </w:r>
      <w:r>
        <w:t>provision</w:t>
      </w:r>
      <w:r>
        <w:rPr>
          <w:spacing w:val="31"/>
        </w:rPr>
        <w:t xml:space="preserve"> </w:t>
      </w:r>
      <w:r>
        <w:t>for</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pPr>
      <w:r>
        <w:t>transition-aged</w:t>
      </w:r>
      <w:r>
        <w:rPr>
          <w:spacing w:val="-15"/>
        </w:rPr>
        <w:t xml:space="preserve"> </w:t>
      </w:r>
      <w:r>
        <w:t>youth</w:t>
      </w:r>
      <w:r>
        <w:rPr>
          <w:spacing w:val="-13"/>
        </w:rPr>
        <w:t xml:space="preserve"> </w:t>
      </w:r>
      <w:r>
        <w:t>in</w:t>
      </w:r>
      <w:r>
        <w:rPr>
          <w:spacing w:val="-13"/>
        </w:rPr>
        <w:t xml:space="preserve"> </w:t>
      </w:r>
      <w:r>
        <w:t>a</w:t>
      </w:r>
      <w:r>
        <w:rPr>
          <w:spacing w:val="-14"/>
        </w:rPr>
        <w:t xml:space="preserve"> </w:t>
      </w:r>
      <w:r>
        <w:t>way</w:t>
      </w:r>
      <w:r>
        <w:rPr>
          <w:spacing w:val="-13"/>
        </w:rPr>
        <w:t xml:space="preserve"> </w:t>
      </w:r>
      <w:r>
        <w:t>that</w:t>
      </w:r>
      <w:r>
        <w:rPr>
          <w:spacing w:val="-13"/>
        </w:rPr>
        <w:t xml:space="preserve"> </w:t>
      </w:r>
      <w:r>
        <w:t>solicits</w:t>
      </w:r>
      <w:r>
        <w:rPr>
          <w:spacing w:val="-14"/>
        </w:rPr>
        <w:t xml:space="preserve"> </w:t>
      </w:r>
      <w:r>
        <w:t>feedback</w:t>
      </w:r>
      <w:r>
        <w:rPr>
          <w:spacing w:val="-12"/>
        </w:rPr>
        <w:t xml:space="preserve"> </w:t>
      </w:r>
      <w:r>
        <w:t>and</w:t>
      </w:r>
      <w:r>
        <w:rPr>
          <w:spacing w:val="-13"/>
        </w:rPr>
        <w:t xml:space="preserve"> </w:t>
      </w:r>
      <w:r>
        <w:t>engages</w:t>
      </w:r>
      <w:r>
        <w:rPr>
          <w:spacing w:val="-13"/>
        </w:rPr>
        <w:t xml:space="preserve"> </w:t>
      </w:r>
      <w:r>
        <w:t>with</w:t>
      </w:r>
      <w:r>
        <w:rPr>
          <w:spacing w:val="-15"/>
        </w:rPr>
        <w:t xml:space="preserve"> </w:t>
      </w:r>
      <w:r>
        <w:t>youth</w:t>
      </w:r>
      <w:r>
        <w:rPr>
          <w:spacing w:val="-13"/>
        </w:rPr>
        <w:t xml:space="preserve"> </w:t>
      </w:r>
      <w:r>
        <w:t>and</w:t>
      </w:r>
      <w:r>
        <w:rPr>
          <w:spacing w:val="-15"/>
        </w:rPr>
        <w:t xml:space="preserve"> </w:t>
      </w:r>
      <w:r>
        <w:t>providers,</w:t>
      </w:r>
      <w:r>
        <w:rPr>
          <w:spacing w:val="-12"/>
        </w:rPr>
        <w:t xml:space="preserve"> </w:t>
      </w:r>
      <w:r>
        <w:t>with</w:t>
      </w:r>
      <w:r>
        <w:rPr>
          <w:spacing w:val="-13"/>
        </w:rPr>
        <w:t xml:space="preserve"> </w:t>
      </w:r>
      <w:r>
        <w:t>particular attention to Western Massachusetts and Cape regions.</w:t>
      </w:r>
    </w:p>
    <w:p w:rsidR="00200FDA" w:rsidRDefault="00200FDA">
      <w:pPr>
        <w:spacing w:line="276" w:lineRule="auto"/>
        <w:sectPr w:rsidR="00200FDA">
          <w:pgSz w:w="12240" w:h="15840"/>
          <w:pgMar w:top="1260" w:right="1160" w:bottom="1240" w:left="1160" w:header="761" w:footer="1043" w:gutter="0"/>
          <w:cols w:space="720"/>
        </w:sectPr>
      </w:pPr>
    </w:p>
    <w:p w:rsidR="00200FDA" w:rsidRDefault="00200FDA">
      <w:pPr>
        <w:pStyle w:val="BodyText"/>
        <w:spacing w:before="10"/>
        <w:rPr>
          <w:sz w:val="10"/>
        </w:rPr>
      </w:pPr>
    </w:p>
    <w:p w:rsidR="00200FDA" w:rsidRDefault="00F76C4C">
      <w:pPr>
        <w:spacing w:before="35"/>
        <w:ind w:left="280"/>
        <w:rPr>
          <w:sz w:val="32"/>
        </w:rPr>
      </w:pPr>
      <w:r>
        <w:pict>
          <v:rect id="docshape587" o:spid="_x0000_s1062" style="position:absolute;left:0;text-align:left;margin-left:70.55pt;margin-top:22.25pt;width:470.9pt;height:.5pt;z-index:-15608320;mso-wrap-distance-left:0;mso-wrap-distance-right:0;mso-position-horizontal-relative:page" fillcolor="#4f81bc" stroked="f">
            <w10:wrap type="topAndBottom" anchorx="page"/>
          </v:rect>
        </w:pict>
      </w:r>
      <w:bookmarkStart w:id="1141" w:name="FY24_ORI_Recommendations_-_Final.pdf"/>
      <w:bookmarkStart w:id="1142" w:name="Office_of_Refugees_&amp;_Immigrants"/>
      <w:bookmarkStart w:id="1143" w:name="_bookmark896"/>
      <w:bookmarkEnd w:id="1141"/>
      <w:bookmarkEnd w:id="1142"/>
      <w:bookmarkEnd w:id="1143"/>
      <w:r>
        <w:rPr>
          <w:color w:val="365F91"/>
          <w:sz w:val="32"/>
        </w:rPr>
        <w:t>Office</w:t>
      </w:r>
      <w:r>
        <w:rPr>
          <w:color w:val="365F91"/>
          <w:spacing w:val="-9"/>
          <w:sz w:val="32"/>
        </w:rPr>
        <w:t xml:space="preserve"> </w:t>
      </w:r>
      <w:r>
        <w:rPr>
          <w:color w:val="365F91"/>
          <w:sz w:val="32"/>
        </w:rPr>
        <w:t>of</w:t>
      </w:r>
      <w:r>
        <w:rPr>
          <w:color w:val="365F91"/>
          <w:spacing w:val="-7"/>
          <w:sz w:val="32"/>
        </w:rPr>
        <w:t xml:space="preserve"> </w:t>
      </w:r>
      <w:r>
        <w:rPr>
          <w:color w:val="365F91"/>
          <w:sz w:val="32"/>
        </w:rPr>
        <w:t>Refugees</w:t>
      </w:r>
      <w:r>
        <w:rPr>
          <w:color w:val="365F91"/>
          <w:spacing w:val="-4"/>
          <w:sz w:val="32"/>
        </w:rPr>
        <w:t xml:space="preserve"> </w:t>
      </w:r>
      <w:r>
        <w:rPr>
          <w:color w:val="365F91"/>
          <w:sz w:val="32"/>
        </w:rPr>
        <w:t>&amp;</w:t>
      </w:r>
      <w:r>
        <w:rPr>
          <w:color w:val="365F91"/>
          <w:spacing w:val="-7"/>
          <w:sz w:val="32"/>
        </w:rPr>
        <w:t xml:space="preserve"> </w:t>
      </w:r>
      <w:r>
        <w:rPr>
          <w:color w:val="365F91"/>
          <w:spacing w:val="-2"/>
          <w:sz w:val="32"/>
        </w:rPr>
        <w:t>Immigrants</w:t>
      </w:r>
    </w:p>
    <w:p w:rsidR="00200FDA" w:rsidRDefault="00200FDA">
      <w:pPr>
        <w:pStyle w:val="BodyText"/>
        <w:rPr>
          <w:sz w:val="20"/>
        </w:rPr>
      </w:pPr>
    </w:p>
    <w:p w:rsidR="00200FDA" w:rsidRDefault="00200FDA">
      <w:pPr>
        <w:pStyle w:val="BodyText"/>
        <w:spacing w:before="7"/>
        <w:rPr>
          <w:sz w:val="21"/>
        </w:rPr>
      </w:pPr>
    </w:p>
    <w:p w:rsidR="00200FDA" w:rsidRDefault="00F76C4C">
      <w:pPr>
        <w:pStyle w:val="Heading7"/>
        <w:spacing w:before="44"/>
      </w:pPr>
      <w:r>
        <w:pict>
          <v:rect id="docshape588" o:spid="_x0000_s1061" style="position:absolute;left:0;text-align:left;margin-left:70.55pt;margin-top:20.2pt;width:470.9pt;height:.5pt;z-index:-15607808;mso-wrap-distance-left:0;mso-wrap-distance-right:0;mso-position-horizontal-relative:page" fillcolor="#4f81bc" stroked="f">
            <w10:wrap type="topAndBottom" anchorx="page"/>
          </v:rect>
        </w:pict>
      </w:r>
      <w:r>
        <w:rPr>
          <w:color w:val="365F91"/>
        </w:rPr>
        <w:t>FY</w:t>
      </w:r>
      <w:r>
        <w:rPr>
          <w:color w:val="365F91"/>
          <w:spacing w:val="-3"/>
        </w:rPr>
        <w:t xml:space="preserve"> </w:t>
      </w:r>
      <w:r>
        <w:rPr>
          <w:color w:val="365F91"/>
        </w:rPr>
        <w:t>2024</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rPr>
          <w:sz w:val="20"/>
        </w:rPr>
      </w:pPr>
    </w:p>
    <w:p w:rsidR="00200FDA" w:rsidRDefault="00F76C4C">
      <w:pPr>
        <w:pStyle w:val="ListParagraph"/>
        <w:numPr>
          <w:ilvl w:val="1"/>
          <w:numId w:val="10"/>
        </w:numPr>
        <w:tabs>
          <w:tab w:val="left" w:pos="1001"/>
        </w:tabs>
        <w:spacing w:before="180"/>
        <w:ind w:hanging="362"/>
      </w:pPr>
      <w:r>
        <w:t>Ensure</w:t>
      </w:r>
      <w:r>
        <w:rPr>
          <w:spacing w:val="-5"/>
        </w:rPr>
        <w:t xml:space="preserve"> </w:t>
      </w:r>
      <w:r>
        <w:t>that</w:t>
      </w:r>
      <w:r>
        <w:rPr>
          <w:spacing w:val="-5"/>
        </w:rPr>
        <w:t xml:space="preserve"> </w:t>
      </w:r>
      <w:r>
        <w:t>all</w:t>
      </w:r>
      <w:r>
        <w:rPr>
          <w:spacing w:val="-3"/>
        </w:rPr>
        <w:t xml:space="preserve"> </w:t>
      </w:r>
      <w:r>
        <w:t>ORI</w:t>
      </w:r>
      <w:r>
        <w:rPr>
          <w:spacing w:val="-6"/>
        </w:rPr>
        <w:t xml:space="preserve"> </w:t>
      </w:r>
      <w:r>
        <w:t>service</w:t>
      </w:r>
      <w:r>
        <w:rPr>
          <w:spacing w:val="-7"/>
        </w:rPr>
        <w:t xml:space="preserve"> </w:t>
      </w:r>
      <w:r>
        <w:t>providers</w:t>
      </w:r>
      <w:r>
        <w:rPr>
          <w:spacing w:val="-5"/>
        </w:rPr>
        <w:t xml:space="preserve"> </w:t>
      </w:r>
      <w:r>
        <w:t>have</w:t>
      </w:r>
      <w:r>
        <w:rPr>
          <w:spacing w:val="-3"/>
        </w:rPr>
        <w:t xml:space="preserve"> </w:t>
      </w:r>
      <w:r>
        <w:t>information</w:t>
      </w:r>
      <w:r>
        <w:rPr>
          <w:spacing w:val="-6"/>
        </w:rPr>
        <w:t xml:space="preserve"> </w:t>
      </w:r>
      <w:r>
        <w:t>on</w:t>
      </w:r>
      <w:r>
        <w:rPr>
          <w:spacing w:val="-6"/>
        </w:rPr>
        <w:t xml:space="preserve"> </w:t>
      </w:r>
      <w:r>
        <w:t>LGBTQ</w:t>
      </w:r>
      <w:r>
        <w:rPr>
          <w:spacing w:val="-5"/>
        </w:rPr>
        <w:t xml:space="preserve"> </w:t>
      </w:r>
      <w:r>
        <w:t>resources</w:t>
      </w:r>
      <w:r>
        <w:rPr>
          <w:spacing w:val="-3"/>
        </w:rPr>
        <w:t xml:space="preserve"> </w:t>
      </w:r>
      <w:r>
        <w:t>available</w:t>
      </w:r>
      <w:r>
        <w:rPr>
          <w:spacing w:val="-3"/>
        </w:rPr>
        <w:t xml:space="preserve"> </w:t>
      </w:r>
      <w:r>
        <w:t>on</w:t>
      </w:r>
      <w:r>
        <w:rPr>
          <w:spacing w:val="-4"/>
        </w:rPr>
        <w:t xml:space="preserve"> </w:t>
      </w:r>
      <w:r>
        <w:rPr>
          <w:spacing w:val="-2"/>
        </w:rPr>
        <w:t>site.</w:t>
      </w:r>
    </w:p>
    <w:p w:rsidR="00200FDA" w:rsidRDefault="00F76C4C">
      <w:pPr>
        <w:pStyle w:val="ListParagraph"/>
        <w:numPr>
          <w:ilvl w:val="1"/>
          <w:numId w:val="10"/>
        </w:numPr>
        <w:tabs>
          <w:tab w:val="left" w:pos="1001"/>
        </w:tabs>
        <w:spacing w:before="133" w:line="360" w:lineRule="auto"/>
        <w:ind w:right="276"/>
      </w:pPr>
      <w:r>
        <w:t>Facilitate mandatory LGBTQ cultural awareness training, as well as trainings on racial equity, for all staff.</w:t>
      </w:r>
    </w:p>
    <w:p w:rsidR="00200FDA" w:rsidRDefault="00F76C4C">
      <w:pPr>
        <w:pStyle w:val="ListParagraph"/>
        <w:numPr>
          <w:ilvl w:val="1"/>
          <w:numId w:val="10"/>
        </w:numPr>
        <w:tabs>
          <w:tab w:val="left" w:pos="1001"/>
        </w:tabs>
        <w:ind w:hanging="362"/>
      </w:pPr>
      <w:r>
        <w:t>Draft</w:t>
      </w:r>
      <w:r>
        <w:rPr>
          <w:spacing w:val="-6"/>
        </w:rPr>
        <w:t xml:space="preserve"> </w:t>
      </w:r>
      <w:r>
        <w:t>and</w:t>
      </w:r>
      <w:r>
        <w:rPr>
          <w:spacing w:val="-6"/>
        </w:rPr>
        <w:t xml:space="preserve"> </w:t>
      </w:r>
      <w:r>
        <w:t>implement</w:t>
      </w:r>
      <w:r>
        <w:rPr>
          <w:spacing w:val="-4"/>
        </w:rPr>
        <w:t xml:space="preserve"> </w:t>
      </w:r>
      <w:r>
        <w:t>a</w:t>
      </w:r>
      <w:r>
        <w:rPr>
          <w:spacing w:val="-5"/>
        </w:rPr>
        <w:t xml:space="preserve"> </w:t>
      </w:r>
      <w:r>
        <w:t>nondiscrimination</w:t>
      </w:r>
      <w:r>
        <w:rPr>
          <w:spacing w:val="-6"/>
        </w:rPr>
        <w:t xml:space="preserve"> </w:t>
      </w:r>
      <w:r>
        <w:t>policy,</w:t>
      </w:r>
      <w:r>
        <w:rPr>
          <w:spacing w:val="-4"/>
        </w:rPr>
        <w:t xml:space="preserve"> </w:t>
      </w:r>
      <w:r>
        <w:t>and</w:t>
      </w:r>
      <w:r>
        <w:rPr>
          <w:spacing w:val="-8"/>
        </w:rPr>
        <w:t xml:space="preserve"> </w:t>
      </w:r>
      <w:r>
        <w:t>disseminate</w:t>
      </w:r>
      <w:r>
        <w:rPr>
          <w:spacing w:val="-4"/>
        </w:rPr>
        <w:t xml:space="preserve"> </w:t>
      </w:r>
      <w:r>
        <w:t>to</w:t>
      </w:r>
      <w:r>
        <w:rPr>
          <w:spacing w:val="-5"/>
        </w:rPr>
        <w:t xml:space="preserve"> </w:t>
      </w:r>
      <w:r>
        <w:t>employees</w:t>
      </w:r>
      <w:r>
        <w:rPr>
          <w:spacing w:val="-10"/>
        </w:rPr>
        <w:t xml:space="preserve"> </w:t>
      </w:r>
      <w:r>
        <w:t>and</w:t>
      </w:r>
      <w:r>
        <w:rPr>
          <w:spacing w:val="-5"/>
        </w:rPr>
        <w:t xml:space="preserve"> </w:t>
      </w:r>
      <w:r>
        <w:rPr>
          <w:spacing w:val="-2"/>
        </w:rPr>
        <w:t>clients.</w:t>
      </w:r>
    </w:p>
    <w:p w:rsidR="00200FDA" w:rsidRDefault="00F76C4C">
      <w:pPr>
        <w:pStyle w:val="ListParagraph"/>
        <w:numPr>
          <w:ilvl w:val="1"/>
          <w:numId w:val="10"/>
        </w:numPr>
        <w:tabs>
          <w:tab w:val="left" w:pos="1001"/>
        </w:tabs>
        <w:spacing w:before="135"/>
      </w:pPr>
      <w:r>
        <w:t>Examine</w:t>
      </w:r>
      <w:r>
        <w:rPr>
          <w:spacing w:val="-4"/>
        </w:rPr>
        <w:t xml:space="preserve"> </w:t>
      </w:r>
      <w:r>
        <w:t>and</w:t>
      </w:r>
      <w:r>
        <w:rPr>
          <w:spacing w:val="-6"/>
        </w:rPr>
        <w:t xml:space="preserve"> </w:t>
      </w:r>
      <w:r>
        <w:t>improve</w:t>
      </w:r>
      <w:r>
        <w:rPr>
          <w:spacing w:val="-4"/>
        </w:rPr>
        <w:t xml:space="preserve"> </w:t>
      </w:r>
      <w:r>
        <w:t>SOGIE</w:t>
      </w:r>
      <w:r>
        <w:rPr>
          <w:spacing w:val="-5"/>
        </w:rPr>
        <w:t xml:space="preserve"> </w:t>
      </w:r>
      <w:r>
        <w:t>data</w:t>
      </w:r>
      <w:r>
        <w:rPr>
          <w:spacing w:val="-5"/>
        </w:rPr>
        <w:t xml:space="preserve"> </w:t>
      </w:r>
      <w:r>
        <w:t>collection</w:t>
      </w:r>
      <w:r>
        <w:rPr>
          <w:spacing w:val="-7"/>
        </w:rPr>
        <w:t xml:space="preserve"> </w:t>
      </w:r>
      <w:r>
        <w:rPr>
          <w:spacing w:val="-2"/>
        </w:rPr>
        <w:t>efforts.</w:t>
      </w:r>
    </w:p>
    <w:p w:rsidR="00200FDA" w:rsidRDefault="00F76C4C">
      <w:pPr>
        <w:pStyle w:val="ListParagraph"/>
        <w:numPr>
          <w:ilvl w:val="1"/>
          <w:numId w:val="10"/>
        </w:numPr>
        <w:tabs>
          <w:tab w:val="left" w:pos="1001"/>
        </w:tabs>
        <w:spacing w:before="135" w:line="360" w:lineRule="auto"/>
        <w:ind w:right="275"/>
      </w:pPr>
      <w:r>
        <w:t>Establish an interagency collaboration to investigate and improve the availability of services and resources for LGBTQ refugee and immigrant youth.</w:t>
      </w:r>
    </w:p>
    <w:p w:rsidR="00200FDA" w:rsidRDefault="00F76C4C">
      <w:pPr>
        <w:pStyle w:val="ListParagraph"/>
        <w:numPr>
          <w:ilvl w:val="1"/>
          <w:numId w:val="10"/>
        </w:numPr>
        <w:tabs>
          <w:tab w:val="left" w:pos="1001"/>
        </w:tabs>
        <w:spacing w:line="267" w:lineRule="exact"/>
      </w:pPr>
      <w:r>
        <w:t>Conduct</w:t>
      </w:r>
      <w:r>
        <w:rPr>
          <w:spacing w:val="-5"/>
        </w:rPr>
        <w:t xml:space="preserve"> </w:t>
      </w:r>
      <w:r>
        <w:t>direct</w:t>
      </w:r>
      <w:r>
        <w:rPr>
          <w:spacing w:val="-6"/>
        </w:rPr>
        <w:t xml:space="preserve"> </w:t>
      </w:r>
      <w:r>
        <w:t>outreach</w:t>
      </w:r>
      <w:r>
        <w:rPr>
          <w:spacing w:val="-5"/>
        </w:rPr>
        <w:t xml:space="preserve"> </w:t>
      </w:r>
      <w:r>
        <w:t>to</w:t>
      </w:r>
      <w:r>
        <w:rPr>
          <w:spacing w:val="-4"/>
        </w:rPr>
        <w:t xml:space="preserve"> </w:t>
      </w:r>
      <w:r>
        <w:t>LGBTQ</w:t>
      </w:r>
      <w:r>
        <w:rPr>
          <w:spacing w:val="-4"/>
        </w:rPr>
        <w:t xml:space="preserve"> </w:t>
      </w:r>
      <w:r>
        <w:t>immigrants</w:t>
      </w:r>
      <w:r>
        <w:rPr>
          <w:spacing w:val="-4"/>
        </w:rPr>
        <w:t xml:space="preserve"> </w:t>
      </w:r>
      <w:r>
        <w:t>and</w:t>
      </w:r>
      <w:r>
        <w:rPr>
          <w:spacing w:val="-5"/>
        </w:rPr>
        <w:t xml:space="preserve"> </w:t>
      </w:r>
      <w:r>
        <w:t>refugees</w:t>
      </w:r>
      <w:r>
        <w:rPr>
          <w:spacing w:val="-3"/>
        </w:rPr>
        <w:t xml:space="preserve"> </w:t>
      </w:r>
      <w:r>
        <w:t>to</w:t>
      </w:r>
      <w:r>
        <w:rPr>
          <w:spacing w:val="-3"/>
        </w:rPr>
        <w:t xml:space="preserve"> </w:t>
      </w:r>
      <w:r>
        <w:t>uplift</w:t>
      </w:r>
      <w:r>
        <w:rPr>
          <w:spacing w:val="-6"/>
        </w:rPr>
        <w:t xml:space="preserve"> </w:t>
      </w:r>
      <w:r>
        <w:t>youth</w:t>
      </w:r>
      <w:r>
        <w:rPr>
          <w:spacing w:val="-4"/>
        </w:rPr>
        <w:t xml:space="preserve"> </w:t>
      </w:r>
      <w:r>
        <w:t>voice</w:t>
      </w:r>
      <w:r>
        <w:rPr>
          <w:spacing w:val="-6"/>
        </w:rPr>
        <w:t xml:space="preserve"> </w:t>
      </w:r>
      <w:r>
        <w:t>in</w:t>
      </w:r>
      <w:r>
        <w:rPr>
          <w:spacing w:val="-5"/>
        </w:rPr>
        <w:t xml:space="preserve"> </w:t>
      </w:r>
      <w:r>
        <w:t>ORI</w:t>
      </w:r>
      <w:r>
        <w:rPr>
          <w:spacing w:val="-3"/>
        </w:rPr>
        <w:t xml:space="preserve"> </w:t>
      </w:r>
      <w:r>
        <w:rPr>
          <w:spacing w:val="-2"/>
        </w:rPr>
        <w:t>work.</w:t>
      </w:r>
    </w:p>
    <w:p w:rsidR="00200FDA" w:rsidRDefault="00200FDA">
      <w:pPr>
        <w:pStyle w:val="BodyText"/>
      </w:pPr>
    </w:p>
    <w:p w:rsidR="00200FDA" w:rsidRDefault="00200FDA">
      <w:pPr>
        <w:pStyle w:val="BodyText"/>
        <w:spacing w:before="11"/>
        <w:rPr>
          <w:sz w:val="21"/>
        </w:rPr>
      </w:pPr>
    </w:p>
    <w:p w:rsidR="00200FDA" w:rsidRDefault="00F76C4C">
      <w:pPr>
        <w:pStyle w:val="Heading7"/>
      </w:pPr>
      <w:r>
        <w:pict>
          <v:rect id="docshape589" o:spid="_x0000_s1060" style="position:absolute;left:0;text-align:left;margin-left:70.55pt;margin-top:18.15pt;width:470.9pt;height:.5pt;z-index:-15607296;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line="276" w:lineRule="auto"/>
        <w:ind w:left="280" w:right="274"/>
        <w:jc w:val="both"/>
      </w:pPr>
      <w:r>
        <w:t>The</w:t>
      </w:r>
      <w:r>
        <w:rPr>
          <w:spacing w:val="-4"/>
        </w:rPr>
        <w:t xml:space="preserve"> </w:t>
      </w:r>
      <w:r>
        <w:t>Massachusetts</w:t>
      </w:r>
      <w:r>
        <w:rPr>
          <w:spacing w:val="-7"/>
        </w:rPr>
        <w:t xml:space="preserve"> </w:t>
      </w:r>
      <w:r>
        <w:t>Office</w:t>
      </w:r>
      <w:r>
        <w:rPr>
          <w:spacing w:val="-6"/>
        </w:rPr>
        <w:t xml:space="preserve"> </w:t>
      </w:r>
      <w:r>
        <w:t>for</w:t>
      </w:r>
      <w:r>
        <w:rPr>
          <w:spacing w:val="-4"/>
        </w:rPr>
        <w:t xml:space="preserve"> </w:t>
      </w:r>
      <w:r>
        <w:t>Refugees</w:t>
      </w:r>
      <w:r>
        <w:rPr>
          <w:spacing w:val="-6"/>
        </w:rPr>
        <w:t xml:space="preserve"> </w:t>
      </w:r>
      <w:r>
        <w:t>and</w:t>
      </w:r>
      <w:r>
        <w:rPr>
          <w:spacing w:val="-5"/>
        </w:rPr>
        <w:t xml:space="preserve"> </w:t>
      </w:r>
      <w:r>
        <w:t>Immigrants</w:t>
      </w:r>
      <w:r>
        <w:rPr>
          <w:spacing w:val="-4"/>
        </w:rPr>
        <w:t xml:space="preserve"> </w:t>
      </w:r>
      <w:r>
        <w:t>(ORI)</w:t>
      </w:r>
      <w:r>
        <w:rPr>
          <w:spacing w:val="-6"/>
        </w:rPr>
        <w:t xml:space="preserve"> </w:t>
      </w:r>
      <w:r>
        <w:t>operates</w:t>
      </w:r>
      <w:r>
        <w:rPr>
          <w:spacing w:val="-7"/>
        </w:rPr>
        <w:t xml:space="preserve"> </w:t>
      </w:r>
      <w:r>
        <w:t>to</w:t>
      </w:r>
      <w:r>
        <w:rPr>
          <w:spacing w:val="-3"/>
        </w:rPr>
        <w:t xml:space="preserve"> </w:t>
      </w:r>
      <w:r>
        <w:t>support</w:t>
      </w:r>
      <w:r>
        <w:rPr>
          <w:spacing w:val="-6"/>
        </w:rPr>
        <w:t xml:space="preserve"> </w:t>
      </w:r>
      <w:r>
        <w:t>“services</w:t>
      </w:r>
      <w:r>
        <w:rPr>
          <w:spacing w:val="-4"/>
        </w:rPr>
        <w:t xml:space="preserve"> </w:t>
      </w:r>
      <w:r>
        <w:t>that</w:t>
      </w:r>
      <w:r>
        <w:rPr>
          <w:spacing w:val="-6"/>
        </w:rPr>
        <w:t xml:space="preserve"> </w:t>
      </w:r>
      <w:r>
        <w:t>meet</w:t>
      </w:r>
      <w:r>
        <w:rPr>
          <w:spacing w:val="-4"/>
        </w:rPr>
        <w:t xml:space="preserve"> </w:t>
      </w:r>
      <w:r>
        <w:t>the cultural and linguistic needs of refugees and immigrants through a network of service providers in Massachusetts.”</w:t>
      </w:r>
      <w:r>
        <w:rPr>
          <w:spacing w:val="-13"/>
        </w:rPr>
        <w:t xml:space="preserve"> </w:t>
      </w:r>
      <w:r>
        <w:t>Largely</w:t>
      </w:r>
      <w:r>
        <w:rPr>
          <w:spacing w:val="-12"/>
        </w:rPr>
        <w:t xml:space="preserve"> </w:t>
      </w:r>
      <w:r>
        <w:t>funded</w:t>
      </w:r>
      <w:r>
        <w:rPr>
          <w:spacing w:val="-13"/>
        </w:rPr>
        <w:t xml:space="preserve"> </w:t>
      </w:r>
      <w:r>
        <w:t>through</w:t>
      </w:r>
      <w:r>
        <w:rPr>
          <w:spacing w:val="-12"/>
        </w:rPr>
        <w:t xml:space="preserve"> </w:t>
      </w:r>
      <w:r>
        <w:t>the</w:t>
      </w:r>
      <w:r>
        <w:rPr>
          <w:spacing w:val="-13"/>
        </w:rPr>
        <w:t xml:space="preserve"> </w:t>
      </w:r>
      <w:r>
        <w:t>federal</w:t>
      </w:r>
      <w:r>
        <w:rPr>
          <w:spacing w:val="-12"/>
        </w:rPr>
        <w:t xml:space="preserve"> </w:t>
      </w:r>
      <w:r>
        <w:t>Office</w:t>
      </w:r>
      <w:r>
        <w:rPr>
          <w:spacing w:val="-13"/>
        </w:rPr>
        <w:t xml:space="preserve"> </w:t>
      </w:r>
      <w:r>
        <w:t>of</w:t>
      </w:r>
      <w:r>
        <w:rPr>
          <w:spacing w:val="-12"/>
        </w:rPr>
        <w:t xml:space="preserve"> </w:t>
      </w:r>
      <w:r>
        <w:t>Refugee</w:t>
      </w:r>
      <w:r>
        <w:rPr>
          <w:spacing w:val="-12"/>
        </w:rPr>
        <w:t xml:space="preserve"> </w:t>
      </w:r>
      <w:r>
        <w:t>Resettlement,</w:t>
      </w:r>
      <w:r>
        <w:rPr>
          <w:spacing w:val="-13"/>
        </w:rPr>
        <w:t xml:space="preserve"> </w:t>
      </w:r>
      <w:r>
        <w:t>ORI</w:t>
      </w:r>
      <w:r>
        <w:rPr>
          <w:spacing w:val="-12"/>
        </w:rPr>
        <w:t xml:space="preserve"> </w:t>
      </w:r>
      <w:r>
        <w:t>provides</w:t>
      </w:r>
      <w:r>
        <w:rPr>
          <w:spacing w:val="-13"/>
        </w:rPr>
        <w:t xml:space="preserve"> </w:t>
      </w:r>
      <w:r>
        <w:t xml:space="preserve">funding </w:t>
      </w:r>
      <w:r>
        <w:rPr>
          <w:spacing w:val="-2"/>
        </w:rPr>
        <w:t>and</w:t>
      </w:r>
      <w:r>
        <w:rPr>
          <w:spacing w:val="-3"/>
        </w:rPr>
        <w:t xml:space="preserve"> </w:t>
      </w:r>
      <w:r>
        <w:rPr>
          <w:spacing w:val="-2"/>
        </w:rPr>
        <w:t>administers direct service programs</w:t>
      </w:r>
      <w:r>
        <w:rPr>
          <w:spacing w:val="-5"/>
        </w:rPr>
        <w:t xml:space="preserve"> </w:t>
      </w:r>
      <w:r>
        <w:rPr>
          <w:spacing w:val="-2"/>
        </w:rPr>
        <w:t>to support groups that include Afghan</w:t>
      </w:r>
      <w:r>
        <w:rPr>
          <w:spacing w:val="-3"/>
        </w:rPr>
        <w:t xml:space="preserve"> </w:t>
      </w:r>
      <w:r>
        <w:rPr>
          <w:spacing w:val="-2"/>
        </w:rPr>
        <w:t>and</w:t>
      </w:r>
      <w:r>
        <w:rPr>
          <w:spacing w:val="-4"/>
        </w:rPr>
        <w:t xml:space="preserve"> </w:t>
      </w:r>
      <w:r>
        <w:rPr>
          <w:spacing w:val="-2"/>
        </w:rPr>
        <w:t xml:space="preserve">Iraqi Special Immigrant </w:t>
      </w:r>
      <w:r>
        <w:t>Visa Holders, Amerasians, Cuban/Haitian Entrants, asylees, human trafficking victims, legal perma</w:t>
      </w:r>
      <w:r>
        <w:t>nent residents, and refugees.</w:t>
      </w:r>
    </w:p>
    <w:p w:rsidR="00200FDA" w:rsidRDefault="00200FDA">
      <w:pPr>
        <w:pStyle w:val="BodyText"/>
        <w:spacing w:before="7"/>
        <w:rPr>
          <w:sz w:val="19"/>
        </w:rPr>
      </w:pPr>
    </w:p>
    <w:p w:rsidR="00200FDA" w:rsidRDefault="00F76C4C">
      <w:pPr>
        <w:pStyle w:val="BodyText"/>
        <w:spacing w:line="276" w:lineRule="auto"/>
        <w:ind w:left="279" w:right="272"/>
        <w:jc w:val="both"/>
      </w:pPr>
      <w:r>
        <w:t>The Commission is concerned that ORI has yet to take public significant steps to better understand or meet the unique needs of LGBTQ immigrants, refugees, and asylees in Massachusetts. Little to no accessible data currently e</w:t>
      </w:r>
      <w:r>
        <w:t>xists on the number of LGBTQ immigrant, asylee, and refugee residents in Massachusetts, let alone youth populations. ORI’s most recent published FY 2021 annual report, it was reported that Massachusetts welcomed 1,018 new refugees in FY 2021, though none o</w:t>
      </w:r>
      <w:r>
        <w:t>f the reported information reflects any LGBTQ-specific services.</w:t>
      </w:r>
      <w:hyperlink w:anchor="_bookmark897" w:history="1">
        <w:r>
          <w:rPr>
            <w:vertAlign w:val="superscript"/>
          </w:rPr>
          <w:t>1</w:t>
        </w:r>
      </w:hyperlink>
      <w:r>
        <w:rPr>
          <w:spacing w:val="-3"/>
        </w:rPr>
        <w:t xml:space="preserve"> </w:t>
      </w:r>
      <w:r>
        <w:t>As discussed in the above Inclusive Service Provision section, research has indicated that the number of undocumented youth who identify as LGBTQ across the</w:t>
      </w:r>
      <w:r>
        <w:rPr>
          <w:spacing w:val="-2"/>
        </w:rPr>
        <w:t xml:space="preserve"> </w:t>
      </w:r>
      <w:r>
        <w:t>n</w:t>
      </w:r>
      <w:r>
        <w:t>ation</w:t>
      </w:r>
      <w:r>
        <w:rPr>
          <w:spacing w:val="-6"/>
        </w:rPr>
        <w:t xml:space="preserve"> </w:t>
      </w:r>
      <w:r>
        <w:t>is</w:t>
      </w:r>
      <w:r>
        <w:rPr>
          <w:spacing w:val="-5"/>
        </w:rPr>
        <w:t xml:space="preserve"> </w:t>
      </w:r>
      <w:r>
        <w:t>estimated</w:t>
      </w:r>
      <w:r>
        <w:rPr>
          <w:spacing w:val="-5"/>
        </w:rPr>
        <w:t xml:space="preserve"> </w:t>
      </w:r>
      <w:r>
        <w:t>as</w:t>
      </w:r>
      <w:r>
        <w:rPr>
          <w:spacing w:val="-5"/>
        </w:rPr>
        <w:t xml:space="preserve"> </w:t>
      </w:r>
      <w:r>
        <w:t>high</w:t>
      </w:r>
      <w:r>
        <w:rPr>
          <w:spacing w:val="-3"/>
        </w:rPr>
        <w:t xml:space="preserve"> </w:t>
      </w:r>
      <w:r>
        <w:t>as</w:t>
      </w:r>
      <w:r>
        <w:rPr>
          <w:spacing w:val="-5"/>
        </w:rPr>
        <w:t xml:space="preserve"> </w:t>
      </w:r>
      <w:r>
        <w:t>1</w:t>
      </w:r>
      <w:r>
        <w:rPr>
          <w:spacing w:val="-4"/>
        </w:rPr>
        <w:t xml:space="preserve"> </w:t>
      </w:r>
      <w:r>
        <w:t>in</w:t>
      </w:r>
      <w:r>
        <w:rPr>
          <w:spacing w:val="-5"/>
        </w:rPr>
        <w:t xml:space="preserve"> </w:t>
      </w:r>
      <w:r>
        <w:t>4.</w:t>
      </w:r>
      <w:hyperlink w:anchor="_bookmark898" w:history="1">
        <w:r>
          <w:rPr>
            <w:vertAlign w:val="superscript"/>
          </w:rPr>
          <w:t>2</w:t>
        </w:r>
      </w:hyperlink>
      <w:r>
        <w:rPr>
          <w:spacing w:val="-1"/>
        </w:rPr>
        <w:t xml:space="preserve"> </w:t>
      </w:r>
      <w:r>
        <w:t>The</w:t>
      </w:r>
      <w:r>
        <w:rPr>
          <w:spacing w:val="-4"/>
        </w:rPr>
        <w:t xml:space="preserve"> </w:t>
      </w:r>
      <w:r>
        <w:t>Commission</w:t>
      </w:r>
      <w:r>
        <w:rPr>
          <w:spacing w:val="-3"/>
        </w:rPr>
        <w:t xml:space="preserve"> </w:t>
      </w:r>
      <w:r>
        <w:t>hopes</w:t>
      </w:r>
      <w:r>
        <w:rPr>
          <w:spacing w:val="-5"/>
        </w:rPr>
        <w:t xml:space="preserve"> </w:t>
      </w:r>
      <w:r>
        <w:t>that</w:t>
      </w:r>
      <w:r>
        <w:rPr>
          <w:spacing w:val="-4"/>
        </w:rPr>
        <w:t xml:space="preserve"> </w:t>
      </w:r>
      <w:r>
        <w:t>ORI,</w:t>
      </w:r>
      <w:r>
        <w:rPr>
          <w:spacing w:val="-5"/>
        </w:rPr>
        <w:t xml:space="preserve"> </w:t>
      </w:r>
      <w:r>
        <w:t>as</w:t>
      </w:r>
      <w:r>
        <w:rPr>
          <w:spacing w:val="-5"/>
        </w:rPr>
        <w:t xml:space="preserve"> </w:t>
      </w:r>
      <w:r>
        <w:t>well</w:t>
      </w:r>
      <w:r>
        <w:rPr>
          <w:spacing w:val="-7"/>
        </w:rPr>
        <w:t xml:space="preserve"> </w:t>
      </w:r>
      <w:r>
        <w:t>as</w:t>
      </w:r>
      <w:r>
        <w:rPr>
          <w:spacing w:val="-5"/>
        </w:rPr>
        <w:t xml:space="preserve"> </w:t>
      </w:r>
      <w:r>
        <w:t>other</w:t>
      </w:r>
      <w:r>
        <w:rPr>
          <w:spacing w:val="-7"/>
        </w:rPr>
        <w:t xml:space="preserve"> </w:t>
      </w:r>
      <w:r>
        <w:t>Massachusetts agencies, narrows in on these potentially severely underserved communities in the upcoming FY 2024. LGBTQ</w:t>
      </w:r>
      <w:r>
        <w:rPr>
          <w:spacing w:val="-9"/>
        </w:rPr>
        <w:t xml:space="preserve"> </w:t>
      </w:r>
      <w:r>
        <w:t>refugees,</w:t>
      </w:r>
      <w:r>
        <w:rPr>
          <w:spacing w:val="-9"/>
        </w:rPr>
        <w:t xml:space="preserve"> </w:t>
      </w:r>
      <w:r>
        <w:t>asylees,</w:t>
      </w:r>
      <w:r>
        <w:rPr>
          <w:spacing w:val="-9"/>
        </w:rPr>
        <w:t xml:space="preserve"> </w:t>
      </w:r>
      <w:r>
        <w:t>and</w:t>
      </w:r>
      <w:r>
        <w:rPr>
          <w:spacing w:val="-7"/>
        </w:rPr>
        <w:t xml:space="preserve"> </w:t>
      </w:r>
      <w:r>
        <w:t>migrants</w:t>
      </w:r>
      <w:r>
        <w:rPr>
          <w:spacing w:val="-9"/>
        </w:rPr>
        <w:t xml:space="preserve"> </w:t>
      </w:r>
      <w:r>
        <w:t>face</w:t>
      </w:r>
      <w:r>
        <w:rPr>
          <w:spacing w:val="-8"/>
        </w:rPr>
        <w:t xml:space="preserve"> </w:t>
      </w:r>
      <w:r>
        <w:t>unique</w:t>
      </w:r>
      <w:r>
        <w:rPr>
          <w:spacing w:val="-6"/>
        </w:rPr>
        <w:t xml:space="preserve"> </w:t>
      </w:r>
      <w:r>
        <w:t>challenges</w:t>
      </w:r>
      <w:r>
        <w:rPr>
          <w:spacing w:val="-6"/>
        </w:rPr>
        <w:t xml:space="preserve"> </w:t>
      </w:r>
      <w:r>
        <w:t>as</w:t>
      </w:r>
      <w:r>
        <w:rPr>
          <w:spacing w:val="-9"/>
        </w:rPr>
        <w:t xml:space="preserve"> </w:t>
      </w:r>
      <w:r>
        <w:t>they</w:t>
      </w:r>
      <w:r>
        <w:rPr>
          <w:spacing w:val="-11"/>
        </w:rPr>
        <w:t xml:space="preserve"> </w:t>
      </w:r>
      <w:r>
        <w:t>work</w:t>
      </w:r>
      <w:r>
        <w:rPr>
          <w:spacing w:val="-9"/>
        </w:rPr>
        <w:t xml:space="preserve"> </w:t>
      </w:r>
      <w:r>
        <w:t>to</w:t>
      </w:r>
      <w:r>
        <w:rPr>
          <w:spacing w:val="-8"/>
        </w:rPr>
        <w:t xml:space="preserve"> </w:t>
      </w:r>
      <w:r>
        <w:t>establish</w:t>
      </w:r>
      <w:r>
        <w:rPr>
          <w:spacing w:val="-7"/>
        </w:rPr>
        <w:t xml:space="preserve"> </w:t>
      </w:r>
      <w:r>
        <w:t>themselves</w:t>
      </w:r>
      <w:r>
        <w:rPr>
          <w:spacing w:val="-9"/>
        </w:rPr>
        <w:t xml:space="preserve"> </w:t>
      </w:r>
      <w:r>
        <w:t>in</w:t>
      </w:r>
      <w:r>
        <w:rPr>
          <w:spacing w:val="-10"/>
        </w:rPr>
        <w:t xml:space="preserve"> </w:t>
      </w:r>
      <w:r>
        <w:t>the United States, often with few LGBTQ-specific resources.</w:t>
      </w:r>
    </w:p>
    <w:p w:rsidR="00200FDA" w:rsidRDefault="00200FDA">
      <w:pPr>
        <w:pStyle w:val="BodyText"/>
        <w:spacing w:before="7"/>
        <w:rPr>
          <w:sz w:val="19"/>
        </w:rPr>
      </w:pPr>
    </w:p>
    <w:p w:rsidR="00200FDA" w:rsidRDefault="00F76C4C">
      <w:pPr>
        <w:pStyle w:val="BodyText"/>
        <w:spacing w:line="276" w:lineRule="auto"/>
        <w:ind w:left="280" w:right="273"/>
        <w:jc w:val="both"/>
      </w:pPr>
      <w:r>
        <w:t>Sixty-nine countries around the world criminalize LGBTQ communities, and at least 11 countries have legalized</w:t>
      </w:r>
      <w:r>
        <w:rPr>
          <w:spacing w:val="-13"/>
        </w:rPr>
        <w:t xml:space="preserve"> </w:t>
      </w:r>
      <w:r>
        <w:t>the</w:t>
      </w:r>
      <w:r>
        <w:rPr>
          <w:spacing w:val="-12"/>
        </w:rPr>
        <w:t xml:space="preserve"> </w:t>
      </w:r>
      <w:r>
        <w:t>death</w:t>
      </w:r>
      <w:r>
        <w:rPr>
          <w:spacing w:val="-13"/>
        </w:rPr>
        <w:t xml:space="preserve"> </w:t>
      </w:r>
      <w:r>
        <w:t>penalty</w:t>
      </w:r>
      <w:r>
        <w:rPr>
          <w:spacing w:val="-12"/>
        </w:rPr>
        <w:t xml:space="preserve"> </w:t>
      </w:r>
      <w:r>
        <w:t>for</w:t>
      </w:r>
      <w:r>
        <w:rPr>
          <w:spacing w:val="-13"/>
        </w:rPr>
        <w:t xml:space="preserve"> </w:t>
      </w:r>
      <w:r>
        <w:t>homosexuality.</w:t>
      </w:r>
      <w:r>
        <w:rPr>
          <w:spacing w:val="-12"/>
        </w:rPr>
        <w:t xml:space="preserve"> </w:t>
      </w:r>
      <w:r>
        <w:t>In</w:t>
      </w:r>
      <w:r>
        <w:rPr>
          <w:spacing w:val="-13"/>
        </w:rPr>
        <w:t xml:space="preserve"> </w:t>
      </w:r>
      <w:r>
        <w:t>some</w:t>
      </w:r>
      <w:r>
        <w:rPr>
          <w:spacing w:val="-12"/>
        </w:rPr>
        <w:t xml:space="preserve"> </w:t>
      </w:r>
      <w:r>
        <w:t>instances,</w:t>
      </w:r>
      <w:r>
        <w:rPr>
          <w:spacing w:val="-12"/>
        </w:rPr>
        <w:t xml:space="preserve"> </w:t>
      </w:r>
      <w:r>
        <w:t>LGBTQ</w:t>
      </w:r>
      <w:r>
        <w:rPr>
          <w:spacing w:val="-13"/>
        </w:rPr>
        <w:t xml:space="preserve"> </w:t>
      </w:r>
      <w:r>
        <w:t>youth</w:t>
      </w:r>
      <w:r>
        <w:rPr>
          <w:spacing w:val="-12"/>
        </w:rPr>
        <w:t xml:space="preserve"> </w:t>
      </w:r>
      <w:r>
        <w:t>migrate</w:t>
      </w:r>
      <w:r>
        <w:rPr>
          <w:spacing w:val="-13"/>
        </w:rPr>
        <w:t xml:space="preserve"> </w:t>
      </w:r>
      <w:r>
        <w:t>to</w:t>
      </w:r>
      <w:r>
        <w:rPr>
          <w:spacing w:val="-12"/>
        </w:rPr>
        <w:t xml:space="preserve"> </w:t>
      </w:r>
      <w:r>
        <w:t>the</w:t>
      </w:r>
      <w:r>
        <w:rPr>
          <w:spacing w:val="-13"/>
        </w:rPr>
        <w:t xml:space="preserve"> </w:t>
      </w:r>
      <w:r>
        <w:t>U.S.</w:t>
      </w:r>
      <w:r>
        <w:rPr>
          <w:spacing w:val="-12"/>
        </w:rPr>
        <w:t xml:space="preserve"> </w:t>
      </w:r>
      <w:r>
        <w:t>seeking to</w:t>
      </w:r>
      <w:r>
        <w:rPr>
          <w:spacing w:val="-13"/>
        </w:rPr>
        <w:t xml:space="preserve"> </w:t>
      </w:r>
      <w:r>
        <w:t>escape</w:t>
      </w:r>
      <w:r>
        <w:rPr>
          <w:spacing w:val="-12"/>
        </w:rPr>
        <w:t xml:space="preserve"> </w:t>
      </w:r>
      <w:r>
        <w:t>persecution</w:t>
      </w:r>
      <w:r>
        <w:rPr>
          <w:spacing w:val="-13"/>
        </w:rPr>
        <w:t xml:space="preserve"> </w:t>
      </w:r>
      <w:r>
        <w:t>and</w:t>
      </w:r>
      <w:r>
        <w:rPr>
          <w:spacing w:val="-13"/>
        </w:rPr>
        <w:t xml:space="preserve"> </w:t>
      </w:r>
      <w:r>
        <w:t>violence</w:t>
      </w:r>
      <w:r>
        <w:rPr>
          <w:spacing w:val="-11"/>
        </w:rPr>
        <w:t xml:space="preserve"> </w:t>
      </w:r>
      <w:r>
        <w:t>based</w:t>
      </w:r>
      <w:r>
        <w:rPr>
          <w:spacing w:val="-13"/>
        </w:rPr>
        <w:t xml:space="preserve"> </w:t>
      </w:r>
      <w:r>
        <w:t>on</w:t>
      </w:r>
      <w:r>
        <w:rPr>
          <w:spacing w:val="-11"/>
        </w:rPr>
        <w:t xml:space="preserve"> </w:t>
      </w:r>
      <w:r>
        <w:t>their</w:t>
      </w:r>
      <w:r>
        <w:rPr>
          <w:spacing w:val="-13"/>
        </w:rPr>
        <w:t xml:space="preserve"> </w:t>
      </w:r>
      <w:r>
        <w:t>sexual</w:t>
      </w:r>
      <w:r>
        <w:rPr>
          <w:spacing w:val="-11"/>
        </w:rPr>
        <w:t xml:space="preserve"> </w:t>
      </w:r>
      <w:r>
        <w:t>orientation</w:t>
      </w:r>
      <w:r>
        <w:rPr>
          <w:spacing w:val="-13"/>
        </w:rPr>
        <w:t xml:space="preserve"> </w:t>
      </w:r>
      <w:r>
        <w:t>and/or</w:t>
      </w:r>
      <w:r>
        <w:rPr>
          <w:spacing w:val="-11"/>
        </w:rPr>
        <w:t xml:space="preserve"> </w:t>
      </w:r>
      <w:r>
        <w:t>gender</w:t>
      </w:r>
      <w:r>
        <w:rPr>
          <w:spacing w:val="-11"/>
        </w:rPr>
        <w:t xml:space="preserve"> </w:t>
      </w:r>
      <w:r>
        <w:t>identity.</w:t>
      </w:r>
      <w:r>
        <w:rPr>
          <w:spacing w:val="-11"/>
        </w:rPr>
        <w:t xml:space="preserve"> </w:t>
      </w:r>
      <w:r>
        <w:t>A</w:t>
      </w:r>
      <w:r>
        <w:rPr>
          <w:spacing w:val="-13"/>
        </w:rPr>
        <w:t xml:space="preserve"> </w:t>
      </w:r>
      <w:r>
        <w:t>2021</w:t>
      </w:r>
      <w:r>
        <w:rPr>
          <w:spacing w:val="-12"/>
        </w:rPr>
        <w:t xml:space="preserve"> </w:t>
      </w:r>
      <w:r>
        <w:t>study</w:t>
      </w:r>
    </w:p>
    <w:p w:rsidR="00200FDA" w:rsidRDefault="00200FDA">
      <w:pPr>
        <w:spacing w:line="276" w:lineRule="auto"/>
        <w:jc w:val="both"/>
        <w:sectPr w:rsidR="00200FDA">
          <w:headerReference w:type="default" r:id="rId846"/>
          <w:footerReference w:type="default" r:id="rId847"/>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right="273"/>
        <w:jc w:val="both"/>
      </w:pPr>
      <w:r>
        <w:t>on asylum claims in the U.S. between 2007 and 2017 yielded information that 4,385 asylum claims that lead to fear interviews (an interview that occurs with asylum officers when a migrant expresses fears of persecution or torture in their country of origin</w:t>
      </w:r>
      <w:r>
        <w:t>) were related to sexual orientation or gender identity.</w:t>
      </w:r>
      <w:hyperlink w:anchor="_bookmark899" w:history="1">
        <w:r>
          <w:rPr>
            <w:vertAlign w:val="superscript"/>
          </w:rPr>
          <w:t>3</w:t>
        </w:r>
      </w:hyperlink>
      <w:r>
        <w:t xml:space="preserve"> Other LGBTQ youth may migrate to the U.S. for unrelated reasons, but</w:t>
      </w:r>
      <w:r>
        <w:rPr>
          <w:spacing w:val="-1"/>
        </w:rPr>
        <w:t xml:space="preserve"> </w:t>
      </w:r>
      <w:r>
        <w:t xml:space="preserve">may have experiences in the U.S. related to their sexual orientation and/or gender identity that </w:t>
      </w:r>
      <w:r>
        <w:t xml:space="preserve">compounds their difficulty in accessing appropriate services. Dual-layer minority statuses often create obstacles to accessing resources and support; often LGBTQ immigrants report high rates of discrimination related to their sexual orientation and gender </w:t>
      </w:r>
      <w:r>
        <w:t>identity, as well as their immigration status or the immigration status of their families.</w:t>
      </w:r>
    </w:p>
    <w:p w:rsidR="00200FDA" w:rsidRDefault="00200FDA">
      <w:pPr>
        <w:pStyle w:val="BodyText"/>
        <w:spacing w:before="6"/>
        <w:rPr>
          <w:sz w:val="19"/>
        </w:rPr>
      </w:pPr>
    </w:p>
    <w:p w:rsidR="00200FDA" w:rsidRDefault="00F76C4C">
      <w:pPr>
        <w:pStyle w:val="BodyText"/>
        <w:spacing w:before="1" w:line="276" w:lineRule="auto"/>
        <w:ind w:left="280" w:right="273"/>
        <w:jc w:val="both"/>
      </w:pPr>
      <w:r>
        <w:t xml:space="preserve">A recent report posits that “in order to ensure that LGBTQ immigrants thrive, it is critical to invest in culturally competent immigrant integration resources that </w:t>
      </w:r>
      <w:r>
        <w:t>are responsive to the needs of diverse communities, enabling them to fully participate and contribute to American society.”</w:t>
      </w:r>
      <w:hyperlink w:anchor="_bookmark900" w:history="1">
        <w:r>
          <w:rPr>
            <w:vertAlign w:val="superscript"/>
          </w:rPr>
          <w:t>4</w:t>
        </w:r>
      </w:hyperlink>
    </w:p>
    <w:p w:rsidR="00200FDA" w:rsidRDefault="00200FDA">
      <w:pPr>
        <w:pStyle w:val="BodyText"/>
        <w:spacing w:before="2"/>
        <w:rPr>
          <w:sz w:val="35"/>
        </w:rPr>
      </w:pPr>
    </w:p>
    <w:p w:rsidR="00200FDA" w:rsidRDefault="00F76C4C">
      <w:pPr>
        <w:pStyle w:val="Heading8"/>
        <w:ind w:left="280"/>
      </w:pPr>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spacing w:before="8"/>
        <w:rPr>
          <w:sz w:val="19"/>
        </w:rPr>
      </w:pPr>
    </w:p>
    <w:p w:rsidR="00200FDA" w:rsidRDefault="00F76C4C">
      <w:pPr>
        <w:pStyle w:val="BodyText"/>
        <w:spacing w:line="276" w:lineRule="auto"/>
        <w:ind w:left="280" w:right="274"/>
        <w:jc w:val="both"/>
      </w:pPr>
      <w:r>
        <w:t>Very</w:t>
      </w:r>
      <w:r>
        <w:rPr>
          <w:spacing w:val="-8"/>
        </w:rPr>
        <w:t xml:space="preserve"> </w:t>
      </w:r>
      <w:r>
        <w:t>little</w:t>
      </w:r>
      <w:r>
        <w:rPr>
          <w:spacing w:val="-8"/>
        </w:rPr>
        <w:t xml:space="preserve"> </w:t>
      </w:r>
      <w:r>
        <w:t>has</w:t>
      </w:r>
      <w:r>
        <w:rPr>
          <w:spacing w:val="-9"/>
        </w:rPr>
        <w:t xml:space="preserve"> </w:t>
      </w:r>
      <w:r>
        <w:t>been</w:t>
      </w:r>
      <w:r>
        <w:rPr>
          <w:spacing w:val="-9"/>
        </w:rPr>
        <w:t xml:space="preserve"> </w:t>
      </w:r>
      <w:r>
        <w:t>accomplished</w:t>
      </w:r>
      <w:r>
        <w:rPr>
          <w:spacing w:val="-9"/>
        </w:rPr>
        <w:t xml:space="preserve"> </w:t>
      </w:r>
      <w:r>
        <w:t>by</w:t>
      </w:r>
      <w:r>
        <w:rPr>
          <w:spacing w:val="-8"/>
        </w:rPr>
        <w:t xml:space="preserve"> </w:t>
      </w:r>
      <w:r>
        <w:t>ORI</w:t>
      </w:r>
      <w:r>
        <w:rPr>
          <w:spacing w:val="-9"/>
        </w:rPr>
        <w:t xml:space="preserve"> </w:t>
      </w:r>
      <w:r>
        <w:t>in</w:t>
      </w:r>
      <w:r>
        <w:rPr>
          <w:spacing w:val="-9"/>
        </w:rPr>
        <w:t xml:space="preserve"> </w:t>
      </w:r>
      <w:r>
        <w:t>the</w:t>
      </w:r>
      <w:r>
        <w:rPr>
          <w:spacing w:val="-8"/>
        </w:rPr>
        <w:t xml:space="preserve"> </w:t>
      </w:r>
      <w:r>
        <w:t>past</w:t>
      </w:r>
      <w:r>
        <w:rPr>
          <w:spacing w:val="-8"/>
        </w:rPr>
        <w:t xml:space="preserve"> </w:t>
      </w:r>
      <w:r>
        <w:t>several</w:t>
      </w:r>
      <w:r>
        <w:rPr>
          <w:spacing w:val="-9"/>
        </w:rPr>
        <w:t xml:space="preserve"> </w:t>
      </w:r>
      <w:r>
        <w:t>years</w:t>
      </w:r>
      <w:r>
        <w:rPr>
          <w:spacing w:val="-9"/>
        </w:rPr>
        <w:t xml:space="preserve"> </w:t>
      </w:r>
      <w:r>
        <w:t>as</w:t>
      </w:r>
      <w:r>
        <w:rPr>
          <w:spacing w:val="-9"/>
        </w:rPr>
        <w:t xml:space="preserve"> </w:t>
      </w:r>
      <w:r>
        <w:t>it</w:t>
      </w:r>
      <w:r>
        <w:rPr>
          <w:spacing w:val="-9"/>
        </w:rPr>
        <w:t xml:space="preserve"> </w:t>
      </w:r>
      <w:r>
        <w:t>rela</w:t>
      </w:r>
      <w:r>
        <w:t>tes</w:t>
      </w:r>
      <w:r>
        <w:rPr>
          <w:spacing w:val="-10"/>
        </w:rPr>
        <w:t xml:space="preserve"> </w:t>
      </w:r>
      <w:r>
        <w:t>to</w:t>
      </w:r>
      <w:r>
        <w:rPr>
          <w:spacing w:val="-8"/>
        </w:rPr>
        <w:t xml:space="preserve"> </w:t>
      </w:r>
      <w:r>
        <w:t>examining</w:t>
      </w:r>
      <w:r>
        <w:rPr>
          <w:spacing w:val="-9"/>
        </w:rPr>
        <w:t xml:space="preserve"> </w:t>
      </w:r>
      <w:r>
        <w:t>and</w:t>
      </w:r>
      <w:r>
        <w:rPr>
          <w:spacing w:val="-9"/>
        </w:rPr>
        <w:t xml:space="preserve"> </w:t>
      </w:r>
      <w:r>
        <w:t>improving its services and programs for LGBTQ immigrants and refugees in the Commonwealth. Despite the Commission’s consistent recommendations around a nondiscrimination policy and trainings for the last several</w:t>
      </w:r>
      <w:r>
        <w:rPr>
          <w:spacing w:val="-8"/>
        </w:rPr>
        <w:t xml:space="preserve"> </w:t>
      </w:r>
      <w:r>
        <w:t>years,</w:t>
      </w:r>
      <w:r>
        <w:rPr>
          <w:spacing w:val="-8"/>
        </w:rPr>
        <w:t xml:space="preserve"> </w:t>
      </w:r>
      <w:r>
        <w:t>neither</w:t>
      </w:r>
      <w:r>
        <w:rPr>
          <w:spacing w:val="-8"/>
        </w:rPr>
        <w:t xml:space="preserve"> </w:t>
      </w:r>
      <w:r>
        <w:t>recommen</w:t>
      </w:r>
      <w:r>
        <w:t>dation</w:t>
      </w:r>
      <w:r>
        <w:rPr>
          <w:spacing w:val="-8"/>
        </w:rPr>
        <w:t xml:space="preserve"> </w:t>
      </w:r>
      <w:r>
        <w:t>has</w:t>
      </w:r>
      <w:r>
        <w:rPr>
          <w:spacing w:val="-8"/>
        </w:rPr>
        <w:t xml:space="preserve"> </w:t>
      </w:r>
      <w:r>
        <w:t>come</w:t>
      </w:r>
      <w:r>
        <w:rPr>
          <w:spacing w:val="-7"/>
        </w:rPr>
        <w:t xml:space="preserve"> </w:t>
      </w:r>
      <w:r>
        <w:t>to</w:t>
      </w:r>
      <w:r>
        <w:rPr>
          <w:spacing w:val="-6"/>
        </w:rPr>
        <w:t xml:space="preserve"> </w:t>
      </w:r>
      <w:r>
        <w:t>fruition.</w:t>
      </w:r>
      <w:r>
        <w:rPr>
          <w:spacing w:val="-8"/>
        </w:rPr>
        <w:t xml:space="preserve"> </w:t>
      </w:r>
      <w:r>
        <w:t>While</w:t>
      </w:r>
      <w:r>
        <w:rPr>
          <w:spacing w:val="-10"/>
        </w:rPr>
        <w:t xml:space="preserve"> </w:t>
      </w:r>
      <w:r>
        <w:t>ORI</w:t>
      </w:r>
      <w:r>
        <w:rPr>
          <w:spacing w:val="-8"/>
        </w:rPr>
        <w:t xml:space="preserve"> </w:t>
      </w:r>
      <w:r>
        <w:t>did</w:t>
      </w:r>
      <w:r>
        <w:rPr>
          <w:spacing w:val="-8"/>
        </w:rPr>
        <w:t xml:space="preserve"> </w:t>
      </w:r>
      <w:r>
        <w:t>internally</w:t>
      </w:r>
      <w:r>
        <w:rPr>
          <w:spacing w:val="-7"/>
        </w:rPr>
        <w:t xml:space="preserve"> </w:t>
      </w:r>
      <w:r>
        <w:t>draft</w:t>
      </w:r>
      <w:r>
        <w:rPr>
          <w:spacing w:val="-7"/>
        </w:rPr>
        <w:t xml:space="preserve"> </w:t>
      </w:r>
      <w:r>
        <w:t>and</w:t>
      </w:r>
      <w:r>
        <w:rPr>
          <w:spacing w:val="-8"/>
        </w:rPr>
        <w:t xml:space="preserve"> </w:t>
      </w:r>
      <w:r>
        <w:t>finalize</w:t>
      </w:r>
      <w:r>
        <w:rPr>
          <w:spacing w:val="-7"/>
        </w:rPr>
        <w:t xml:space="preserve"> </w:t>
      </w:r>
      <w:r>
        <w:t>an LGBTQ-inclusive nondiscrimination policy a couple</w:t>
      </w:r>
      <w:r>
        <w:rPr>
          <w:spacing w:val="-1"/>
        </w:rPr>
        <w:t xml:space="preserve"> </w:t>
      </w:r>
      <w:r>
        <w:t>of</w:t>
      </w:r>
      <w:r>
        <w:rPr>
          <w:spacing w:val="-2"/>
        </w:rPr>
        <w:t xml:space="preserve"> </w:t>
      </w:r>
      <w:r>
        <w:t>years</w:t>
      </w:r>
      <w:r>
        <w:rPr>
          <w:spacing w:val="-2"/>
        </w:rPr>
        <w:t xml:space="preserve"> </w:t>
      </w:r>
      <w:r>
        <w:t>ago,</w:t>
      </w:r>
      <w:r>
        <w:rPr>
          <w:spacing w:val="-2"/>
        </w:rPr>
        <w:t xml:space="preserve"> </w:t>
      </w:r>
      <w:r>
        <w:t>the policy</w:t>
      </w:r>
      <w:r>
        <w:rPr>
          <w:spacing w:val="-1"/>
        </w:rPr>
        <w:t xml:space="preserve"> </w:t>
      </w:r>
      <w:r>
        <w:t>has not</w:t>
      </w:r>
      <w:r>
        <w:rPr>
          <w:spacing w:val="-1"/>
        </w:rPr>
        <w:t xml:space="preserve"> </w:t>
      </w:r>
      <w:r>
        <w:t>yet</w:t>
      </w:r>
      <w:r>
        <w:rPr>
          <w:spacing w:val="-1"/>
        </w:rPr>
        <w:t xml:space="preserve"> </w:t>
      </w:r>
      <w:r>
        <w:t>been approved by EOHHS</w:t>
      </w:r>
      <w:r>
        <w:rPr>
          <w:spacing w:val="-5"/>
        </w:rPr>
        <w:t xml:space="preserve"> </w:t>
      </w:r>
      <w:r>
        <w:t>and</w:t>
      </w:r>
      <w:r>
        <w:rPr>
          <w:spacing w:val="-5"/>
        </w:rPr>
        <w:t xml:space="preserve"> </w:t>
      </w:r>
      <w:r>
        <w:t>published.</w:t>
      </w:r>
      <w:r>
        <w:rPr>
          <w:spacing w:val="-5"/>
        </w:rPr>
        <w:t xml:space="preserve"> </w:t>
      </w:r>
      <w:r>
        <w:t>The</w:t>
      </w:r>
      <w:r>
        <w:rPr>
          <w:spacing w:val="-8"/>
        </w:rPr>
        <w:t xml:space="preserve"> </w:t>
      </w:r>
      <w:r>
        <w:t>Commission</w:t>
      </w:r>
      <w:r>
        <w:rPr>
          <w:spacing w:val="-5"/>
        </w:rPr>
        <w:t xml:space="preserve"> </w:t>
      </w:r>
      <w:r>
        <w:t>recommends</w:t>
      </w:r>
      <w:r>
        <w:rPr>
          <w:spacing w:val="-4"/>
        </w:rPr>
        <w:t xml:space="preserve"> </w:t>
      </w:r>
      <w:r>
        <w:t>that</w:t>
      </w:r>
      <w:r>
        <w:rPr>
          <w:spacing w:val="-4"/>
        </w:rPr>
        <w:t xml:space="preserve"> </w:t>
      </w:r>
      <w:r>
        <w:t>this</w:t>
      </w:r>
      <w:r>
        <w:rPr>
          <w:spacing w:val="-4"/>
        </w:rPr>
        <w:t xml:space="preserve"> </w:t>
      </w:r>
      <w:r>
        <w:t>policy</w:t>
      </w:r>
      <w:r>
        <w:rPr>
          <w:spacing w:val="-6"/>
        </w:rPr>
        <w:t xml:space="preserve"> </w:t>
      </w:r>
      <w:r>
        <w:t>be</w:t>
      </w:r>
      <w:r>
        <w:rPr>
          <w:spacing w:val="-6"/>
        </w:rPr>
        <w:t xml:space="preserve"> </w:t>
      </w:r>
      <w:r>
        <w:t>reviewed</w:t>
      </w:r>
      <w:r>
        <w:rPr>
          <w:spacing w:val="-7"/>
        </w:rPr>
        <w:t xml:space="preserve"> </w:t>
      </w:r>
      <w:r>
        <w:t>once</w:t>
      </w:r>
      <w:r>
        <w:rPr>
          <w:spacing w:val="-6"/>
        </w:rPr>
        <w:t xml:space="preserve"> </w:t>
      </w:r>
      <w:r>
        <w:t>again</w:t>
      </w:r>
      <w:r>
        <w:rPr>
          <w:spacing w:val="-5"/>
        </w:rPr>
        <w:t xml:space="preserve"> </w:t>
      </w:r>
      <w:r>
        <w:t>with</w:t>
      </w:r>
      <w:r>
        <w:rPr>
          <w:spacing w:val="-8"/>
        </w:rPr>
        <w:t xml:space="preserve"> </w:t>
      </w:r>
      <w:r>
        <w:t>EOHHS to better understand why it has not yet seen approval.</w:t>
      </w:r>
    </w:p>
    <w:p w:rsidR="00200FDA" w:rsidRDefault="00200FDA">
      <w:pPr>
        <w:pStyle w:val="BodyText"/>
        <w:spacing w:before="8"/>
        <w:rPr>
          <w:sz w:val="19"/>
        </w:rPr>
      </w:pPr>
    </w:p>
    <w:p w:rsidR="00200FDA" w:rsidRDefault="00F76C4C">
      <w:pPr>
        <w:pStyle w:val="BodyText"/>
        <w:spacing w:line="276" w:lineRule="auto"/>
        <w:ind w:left="279" w:right="273"/>
        <w:jc w:val="both"/>
      </w:pPr>
      <w:r>
        <w:t>Once again, the Commission is providing a recommendation that ORI offers mandatory LGBTQ cultural engagement to all staff, and offers similar trainings for direct service provide</w:t>
      </w:r>
      <w:r>
        <w:t>rs - or examine the policies and</w:t>
      </w:r>
      <w:r>
        <w:rPr>
          <w:spacing w:val="-5"/>
        </w:rPr>
        <w:t xml:space="preserve"> </w:t>
      </w:r>
      <w:r>
        <w:t>practices</w:t>
      </w:r>
      <w:r>
        <w:rPr>
          <w:spacing w:val="-7"/>
        </w:rPr>
        <w:t xml:space="preserve"> </w:t>
      </w:r>
      <w:r>
        <w:t>of</w:t>
      </w:r>
      <w:r>
        <w:rPr>
          <w:spacing w:val="-5"/>
        </w:rPr>
        <w:t xml:space="preserve"> </w:t>
      </w:r>
      <w:r>
        <w:t>each</w:t>
      </w:r>
      <w:r>
        <w:rPr>
          <w:spacing w:val="-5"/>
        </w:rPr>
        <w:t xml:space="preserve"> </w:t>
      </w:r>
      <w:r>
        <w:t>program</w:t>
      </w:r>
      <w:r>
        <w:rPr>
          <w:spacing w:val="-3"/>
        </w:rPr>
        <w:t xml:space="preserve"> </w:t>
      </w:r>
      <w:r>
        <w:t>that</w:t>
      </w:r>
      <w:r>
        <w:rPr>
          <w:spacing w:val="-4"/>
        </w:rPr>
        <w:t xml:space="preserve"> </w:t>
      </w:r>
      <w:r>
        <w:t>ORI</w:t>
      </w:r>
      <w:r>
        <w:rPr>
          <w:spacing w:val="-5"/>
        </w:rPr>
        <w:t xml:space="preserve"> </w:t>
      </w:r>
      <w:r>
        <w:t>refers</w:t>
      </w:r>
      <w:r>
        <w:rPr>
          <w:spacing w:val="-4"/>
        </w:rPr>
        <w:t xml:space="preserve"> </w:t>
      </w:r>
      <w:r>
        <w:t>its</w:t>
      </w:r>
      <w:r>
        <w:rPr>
          <w:spacing w:val="-4"/>
        </w:rPr>
        <w:t xml:space="preserve"> </w:t>
      </w:r>
      <w:r>
        <w:t>clients</w:t>
      </w:r>
      <w:r>
        <w:rPr>
          <w:spacing w:val="-4"/>
        </w:rPr>
        <w:t xml:space="preserve"> </w:t>
      </w:r>
      <w:r>
        <w:t>to</w:t>
      </w:r>
      <w:r>
        <w:rPr>
          <w:spacing w:val="-3"/>
        </w:rPr>
        <w:t xml:space="preserve"> </w:t>
      </w:r>
      <w:r>
        <w:t>for</w:t>
      </w:r>
      <w:r>
        <w:rPr>
          <w:spacing w:val="-4"/>
        </w:rPr>
        <w:t xml:space="preserve"> </w:t>
      </w:r>
      <w:r>
        <w:t>services.</w:t>
      </w:r>
      <w:r>
        <w:rPr>
          <w:spacing w:val="-5"/>
        </w:rPr>
        <w:t xml:space="preserve"> </w:t>
      </w:r>
      <w:r>
        <w:t>ORI</w:t>
      </w:r>
      <w:r>
        <w:rPr>
          <w:spacing w:val="-5"/>
        </w:rPr>
        <w:t xml:space="preserve"> </w:t>
      </w:r>
      <w:r>
        <w:t>has</w:t>
      </w:r>
      <w:r>
        <w:rPr>
          <w:spacing w:val="-4"/>
        </w:rPr>
        <w:t xml:space="preserve"> </w:t>
      </w:r>
      <w:r>
        <w:t>not</w:t>
      </w:r>
      <w:r>
        <w:rPr>
          <w:spacing w:val="-4"/>
        </w:rPr>
        <w:t xml:space="preserve"> </w:t>
      </w:r>
      <w:r>
        <w:t>undertaken</w:t>
      </w:r>
      <w:r>
        <w:rPr>
          <w:spacing w:val="-7"/>
        </w:rPr>
        <w:t xml:space="preserve"> </w:t>
      </w:r>
      <w:r>
        <w:t>a</w:t>
      </w:r>
      <w:r>
        <w:rPr>
          <w:spacing w:val="-5"/>
        </w:rPr>
        <w:t xml:space="preserve"> </w:t>
      </w:r>
      <w:r>
        <w:t>training on</w:t>
      </w:r>
      <w:r>
        <w:rPr>
          <w:spacing w:val="-10"/>
        </w:rPr>
        <w:t xml:space="preserve"> </w:t>
      </w:r>
      <w:r>
        <w:t>LGBTQ</w:t>
      </w:r>
      <w:r>
        <w:rPr>
          <w:spacing w:val="-9"/>
        </w:rPr>
        <w:t xml:space="preserve"> </w:t>
      </w:r>
      <w:r>
        <w:t>cultural</w:t>
      </w:r>
      <w:r>
        <w:rPr>
          <w:spacing w:val="-9"/>
        </w:rPr>
        <w:t xml:space="preserve"> </w:t>
      </w:r>
      <w:r>
        <w:t>engagement</w:t>
      </w:r>
      <w:r>
        <w:rPr>
          <w:spacing w:val="-11"/>
        </w:rPr>
        <w:t xml:space="preserve"> </w:t>
      </w:r>
      <w:r>
        <w:t>since</w:t>
      </w:r>
      <w:r>
        <w:rPr>
          <w:spacing w:val="-11"/>
        </w:rPr>
        <w:t xml:space="preserve"> </w:t>
      </w:r>
      <w:r>
        <w:t>2016,</w:t>
      </w:r>
      <w:r>
        <w:rPr>
          <w:spacing w:val="-11"/>
        </w:rPr>
        <w:t xml:space="preserve"> </w:t>
      </w:r>
      <w:r>
        <w:t>and</w:t>
      </w:r>
      <w:r>
        <w:rPr>
          <w:spacing w:val="-10"/>
        </w:rPr>
        <w:t xml:space="preserve"> </w:t>
      </w:r>
      <w:r>
        <w:t>the</w:t>
      </w:r>
      <w:r>
        <w:rPr>
          <w:spacing w:val="-8"/>
        </w:rPr>
        <w:t xml:space="preserve"> </w:t>
      </w:r>
      <w:r>
        <w:t>Commission</w:t>
      </w:r>
      <w:r>
        <w:rPr>
          <w:spacing w:val="-10"/>
        </w:rPr>
        <w:t xml:space="preserve"> </w:t>
      </w:r>
      <w:r>
        <w:t>has</w:t>
      </w:r>
      <w:r>
        <w:rPr>
          <w:spacing w:val="-9"/>
        </w:rPr>
        <w:t xml:space="preserve"> </w:t>
      </w:r>
      <w:r>
        <w:t>strong</w:t>
      </w:r>
      <w:r>
        <w:rPr>
          <w:spacing w:val="-10"/>
        </w:rPr>
        <w:t xml:space="preserve"> </w:t>
      </w:r>
      <w:r>
        <w:t>concerns</w:t>
      </w:r>
      <w:r>
        <w:rPr>
          <w:spacing w:val="-9"/>
        </w:rPr>
        <w:t xml:space="preserve"> </w:t>
      </w:r>
      <w:r>
        <w:t>around</w:t>
      </w:r>
      <w:r>
        <w:rPr>
          <w:spacing w:val="-10"/>
        </w:rPr>
        <w:t xml:space="preserve"> </w:t>
      </w:r>
      <w:r>
        <w:t>its</w:t>
      </w:r>
      <w:r>
        <w:rPr>
          <w:spacing w:val="-11"/>
        </w:rPr>
        <w:t xml:space="preserve"> </w:t>
      </w:r>
      <w:r>
        <w:t>seemingly low prioritization of improving its service provision for these populations.</w:t>
      </w:r>
    </w:p>
    <w:p w:rsidR="00200FDA" w:rsidRDefault="00200FDA">
      <w:pPr>
        <w:pStyle w:val="BodyText"/>
        <w:spacing w:before="10"/>
        <w:rPr>
          <w:sz w:val="32"/>
        </w:rPr>
      </w:pPr>
    </w:p>
    <w:p w:rsidR="00200FDA" w:rsidRDefault="00F76C4C">
      <w:pPr>
        <w:pStyle w:val="Heading7"/>
        <w:jc w:val="both"/>
      </w:pPr>
      <w:r>
        <w:pict>
          <v:rect id="docshape590" o:spid="_x0000_s1059" style="position:absolute;left:0;text-align:left;margin-left:70.55pt;margin-top:18.15pt;width:470.9pt;height:.5pt;z-index:-15606784;mso-wrap-distance-left:0;mso-wrap-distance-right:0;mso-position-horizontal-relative:page" fillcolor="#4f81bc" stroked="f">
            <w10:wrap type="topAndBottom" anchorx="page"/>
          </v:rect>
        </w:pict>
      </w:r>
      <w:bookmarkStart w:id="1144" w:name="FY_2024_Expanded_ORI_Recommendations"/>
      <w:bookmarkEnd w:id="1144"/>
      <w:r>
        <w:rPr>
          <w:color w:val="365F91"/>
        </w:rPr>
        <w:t>FY</w:t>
      </w:r>
      <w:r>
        <w:rPr>
          <w:color w:val="365F91"/>
          <w:spacing w:val="-4"/>
        </w:rPr>
        <w:t xml:space="preserve"> </w:t>
      </w:r>
      <w:r>
        <w:rPr>
          <w:color w:val="365F91"/>
        </w:rPr>
        <w:t>2024</w:t>
      </w:r>
      <w:r>
        <w:rPr>
          <w:color w:val="365F91"/>
          <w:spacing w:val="-4"/>
        </w:rPr>
        <w:t xml:space="preserve"> </w:t>
      </w:r>
      <w:r>
        <w:rPr>
          <w:color w:val="365F91"/>
        </w:rPr>
        <w:t>Expanded</w:t>
      </w:r>
      <w:r>
        <w:rPr>
          <w:color w:val="365F91"/>
          <w:spacing w:val="-2"/>
        </w:rPr>
        <w:t xml:space="preserve"> </w:t>
      </w:r>
      <w:r>
        <w:rPr>
          <w:color w:val="365F91"/>
        </w:rPr>
        <w:t>ORI</w:t>
      </w:r>
      <w:r>
        <w:rPr>
          <w:color w:val="365F91"/>
          <w:spacing w:val="-4"/>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9"/>
        </w:numPr>
        <w:tabs>
          <w:tab w:val="left" w:pos="501"/>
        </w:tabs>
        <w:spacing w:before="56"/>
      </w:pPr>
      <w:r>
        <w:t>Ensure</w:t>
      </w:r>
      <w:r>
        <w:rPr>
          <w:spacing w:val="-7"/>
        </w:rPr>
        <w:t xml:space="preserve"> </w:t>
      </w:r>
      <w:r>
        <w:t>that</w:t>
      </w:r>
      <w:r>
        <w:rPr>
          <w:spacing w:val="-3"/>
        </w:rPr>
        <w:t xml:space="preserve"> </w:t>
      </w:r>
      <w:r>
        <w:t>all</w:t>
      </w:r>
      <w:r>
        <w:rPr>
          <w:spacing w:val="-3"/>
        </w:rPr>
        <w:t xml:space="preserve"> </w:t>
      </w:r>
      <w:r>
        <w:t>ORI</w:t>
      </w:r>
      <w:r>
        <w:rPr>
          <w:spacing w:val="-4"/>
        </w:rPr>
        <w:t xml:space="preserve"> </w:t>
      </w:r>
      <w:r>
        <w:t>service</w:t>
      </w:r>
      <w:r>
        <w:rPr>
          <w:spacing w:val="-5"/>
        </w:rPr>
        <w:t xml:space="preserve"> </w:t>
      </w:r>
      <w:r>
        <w:t>providers</w:t>
      </w:r>
      <w:r>
        <w:rPr>
          <w:spacing w:val="-5"/>
        </w:rPr>
        <w:t xml:space="preserve"> </w:t>
      </w:r>
      <w:r>
        <w:t>have</w:t>
      </w:r>
      <w:r>
        <w:rPr>
          <w:spacing w:val="-4"/>
        </w:rPr>
        <w:t xml:space="preserve"> </w:t>
      </w:r>
      <w:r>
        <w:t>information</w:t>
      </w:r>
      <w:r>
        <w:rPr>
          <w:spacing w:val="-5"/>
        </w:rPr>
        <w:t xml:space="preserve"> </w:t>
      </w:r>
      <w:r>
        <w:t>on</w:t>
      </w:r>
      <w:r>
        <w:rPr>
          <w:spacing w:val="-4"/>
        </w:rPr>
        <w:t xml:space="preserve"> </w:t>
      </w:r>
      <w:r>
        <w:t>LGBTQ</w:t>
      </w:r>
      <w:r>
        <w:rPr>
          <w:spacing w:val="-6"/>
        </w:rPr>
        <w:t xml:space="preserve"> </w:t>
      </w:r>
      <w:r>
        <w:t>resources</w:t>
      </w:r>
      <w:r>
        <w:rPr>
          <w:spacing w:val="-6"/>
        </w:rPr>
        <w:t xml:space="preserve"> </w:t>
      </w:r>
      <w:r>
        <w:t>available</w:t>
      </w:r>
      <w:r>
        <w:rPr>
          <w:spacing w:val="-4"/>
        </w:rPr>
        <w:t xml:space="preserve"> </w:t>
      </w:r>
      <w:r>
        <w:t>on</w:t>
      </w:r>
      <w:r>
        <w:rPr>
          <w:spacing w:val="-6"/>
        </w:rPr>
        <w:t xml:space="preserve"> </w:t>
      </w:r>
      <w:r>
        <w:rPr>
          <w:spacing w:val="-2"/>
        </w:rPr>
        <w:t>site.</w:t>
      </w:r>
    </w:p>
    <w:p w:rsidR="00200FDA" w:rsidRDefault="00200FDA">
      <w:pPr>
        <w:pStyle w:val="BodyText"/>
        <w:spacing w:before="10"/>
        <w:rPr>
          <w:b/>
        </w:rPr>
      </w:pPr>
    </w:p>
    <w:p w:rsidR="00200FDA" w:rsidRDefault="00F76C4C">
      <w:pPr>
        <w:pStyle w:val="BodyText"/>
        <w:spacing w:line="276" w:lineRule="auto"/>
        <w:ind w:left="280" w:right="275"/>
        <w:jc w:val="both"/>
      </w:pPr>
      <w:r>
        <w:t>The Commission has appreciated past opportunities to develop materials for ORI service providers to connect</w:t>
      </w:r>
      <w:r>
        <w:rPr>
          <w:spacing w:val="-9"/>
        </w:rPr>
        <w:t xml:space="preserve"> </w:t>
      </w:r>
      <w:r>
        <w:t>LGBTQ</w:t>
      </w:r>
      <w:r>
        <w:rPr>
          <w:spacing w:val="-6"/>
        </w:rPr>
        <w:t xml:space="preserve"> </w:t>
      </w:r>
      <w:r>
        <w:t>immigrants</w:t>
      </w:r>
      <w:r>
        <w:rPr>
          <w:spacing w:val="-9"/>
        </w:rPr>
        <w:t xml:space="preserve"> </w:t>
      </w:r>
      <w:r>
        <w:t>and</w:t>
      </w:r>
      <w:r>
        <w:rPr>
          <w:spacing w:val="-7"/>
        </w:rPr>
        <w:t xml:space="preserve"> </w:t>
      </w:r>
      <w:r>
        <w:t>refugees</w:t>
      </w:r>
      <w:r>
        <w:rPr>
          <w:spacing w:val="-9"/>
        </w:rPr>
        <w:t xml:space="preserve"> </w:t>
      </w:r>
      <w:r>
        <w:t>with</w:t>
      </w:r>
      <w:r>
        <w:rPr>
          <w:spacing w:val="-10"/>
        </w:rPr>
        <w:t xml:space="preserve"> </w:t>
      </w:r>
      <w:r>
        <w:t>resources.</w:t>
      </w:r>
      <w:r>
        <w:rPr>
          <w:spacing w:val="-7"/>
        </w:rPr>
        <w:t xml:space="preserve"> </w:t>
      </w:r>
      <w:r>
        <w:t>In</w:t>
      </w:r>
      <w:r>
        <w:rPr>
          <w:spacing w:val="-7"/>
        </w:rPr>
        <w:t xml:space="preserve"> </w:t>
      </w:r>
      <w:r>
        <w:t>FY</w:t>
      </w:r>
      <w:r>
        <w:rPr>
          <w:spacing w:val="-9"/>
        </w:rPr>
        <w:t xml:space="preserve"> </w:t>
      </w:r>
      <w:r>
        <w:t>2024,</w:t>
      </w:r>
      <w:r>
        <w:rPr>
          <w:spacing w:val="-6"/>
        </w:rPr>
        <w:t xml:space="preserve"> </w:t>
      </w:r>
      <w:r>
        <w:t>the</w:t>
      </w:r>
      <w:r>
        <w:rPr>
          <w:spacing w:val="-8"/>
        </w:rPr>
        <w:t xml:space="preserve"> </w:t>
      </w:r>
      <w:r>
        <w:t>Commission</w:t>
      </w:r>
      <w:r>
        <w:rPr>
          <w:spacing w:val="-7"/>
        </w:rPr>
        <w:t xml:space="preserve"> </w:t>
      </w:r>
      <w:r>
        <w:t>hopes</w:t>
      </w:r>
      <w:r>
        <w:rPr>
          <w:spacing w:val="-7"/>
        </w:rPr>
        <w:t xml:space="preserve"> </w:t>
      </w:r>
      <w:r>
        <w:t>to</w:t>
      </w:r>
      <w:r>
        <w:rPr>
          <w:spacing w:val="-8"/>
        </w:rPr>
        <w:t xml:space="preserve"> </w:t>
      </w:r>
      <w:r>
        <w:t>once</w:t>
      </w:r>
      <w:r>
        <w:rPr>
          <w:spacing w:val="-8"/>
        </w:rPr>
        <w:t xml:space="preserve"> </w:t>
      </w:r>
      <w:r>
        <w:t>again partner with ORI to understand the need for more recent</w:t>
      </w:r>
      <w:r>
        <w:t xml:space="preserve"> and tangible resource development for providers and communities.</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Heading9"/>
        <w:numPr>
          <w:ilvl w:val="0"/>
          <w:numId w:val="9"/>
        </w:numPr>
        <w:tabs>
          <w:tab w:val="left" w:pos="499"/>
        </w:tabs>
        <w:spacing w:before="56" w:line="276" w:lineRule="auto"/>
        <w:ind w:left="280" w:right="276" w:firstLine="0"/>
      </w:pPr>
      <w:r>
        <w:t>Facilitate</w:t>
      </w:r>
      <w:r>
        <w:rPr>
          <w:spacing w:val="-8"/>
        </w:rPr>
        <w:t xml:space="preserve"> </w:t>
      </w:r>
      <w:r>
        <w:t>mandatory</w:t>
      </w:r>
      <w:r>
        <w:rPr>
          <w:spacing w:val="-7"/>
        </w:rPr>
        <w:t xml:space="preserve"> </w:t>
      </w:r>
      <w:r>
        <w:t>LGBTQ</w:t>
      </w:r>
      <w:r>
        <w:rPr>
          <w:spacing w:val="-10"/>
        </w:rPr>
        <w:t xml:space="preserve"> </w:t>
      </w:r>
      <w:r>
        <w:t>cultural</w:t>
      </w:r>
      <w:r>
        <w:rPr>
          <w:spacing w:val="-5"/>
        </w:rPr>
        <w:t xml:space="preserve"> </w:t>
      </w:r>
      <w:r>
        <w:t>engagement</w:t>
      </w:r>
      <w:r>
        <w:rPr>
          <w:spacing w:val="-7"/>
        </w:rPr>
        <w:t xml:space="preserve"> </w:t>
      </w:r>
      <w:r>
        <w:t>training,</w:t>
      </w:r>
      <w:r>
        <w:rPr>
          <w:spacing w:val="-5"/>
        </w:rPr>
        <w:t xml:space="preserve"> </w:t>
      </w:r>
      <w:r>
        <w:t>as</w:t>
      </w:r>
      <w:r>
        <w:rPr>
          <w:spacing w:val="-7"/>
        </w:rPr>
        <w:t xml:space="preserve"> </w:t>
      </w:r>
      <w:r>
        <w:t>well</w:t>
      </w:r>
      <w:r>
        <w:rPr>
          <w:spacing w:val="-7"/>
        </w:rPr>
        <w:t xml:space="preserve"> </w:t>
      </w:r>
      <w:r>
        <w:t>as</w:t>
      </w:r>
      <w:r>
        <w:rPr>
          <w:spacing w:val="-7"/>
        </w:rPr>
        <w:t xml:space="preserve"> </w:t>
      </w:r>
      <w:r>
        <w:t>trainings</w:t>
      </w:r>
      <w:r>
        <w:rPr>
          <w:spacing w:val="-7"/>
        </w:rPr>
        <w:t xml:space="preserve"> </w:t>
      </w:r>
      <w:r>
        <w:t>on</w:t>
      </w:r>
      <w:r>
        <w:rPr>
          <w:spacing w:val="-6"/>
        </w:rPr>
        <w:t xml:space="preserve"> </w:t>
      </w:r>
      <w:r>
        <w:t>racial</w:t>
      </w:r>
      <w:r>
        <w:rPr>
          <w:spacing w:val="-4"/>
        </w:rPr>
        <w:t xml:space="preserve"> </w:t>
      </w:r>
      <w:r>
        <w:t>equity,</w:t>
      </w:r>
      <w:r>
        <w:rPr>
          <w:spacing w:val="-7"/>
        </w:rPr>
        <w:t xml:space="preserve"> </w:t>
      </w:r>
      <w:r>
        <w:t>for</w:t>
      </w:r>
      <w:r>
        <w:rPr>
          <w:spacing w:val="-7"/>
        </w:rPr>
        <w:t xml:space="preserve"> </w:t>
      </w:r>
      <w:r>
        <w:t xml:space="preserve">all </w:t>
      </w:r>
      <w:r>
        <w:rPr>
          <w:spacing w:val="-2"/>
        </w:rPr>
        <w:t>staff.</w:t>
      </w:r>
    </w:p>
    <w:p w:rsidR="00200FDA" w:rsidRDefault="00200FDA">
      <w:pPr>
        <w:pStyle w:val="BodyText"/>
        <w:spacing w:before="7"/>
        <w:rPr>
          <w:b/>
          <w:sz w:val="19"/>
        </w:rPr>
      </w:pPr>
    </w:p>
    <w:p w:rsidR="00200FDA" w:rsidRDefault="00F76C4C">
      <w:pPr>
        <w:pStyle w:val="BodyText"/>
        <w:spacing w:line="276" w:lineRule="auto"/>
        <w:ind w:left="279" w:right="275"/>
        <w:jc w:val="both"/>
      </w:pPr>
      <w:r>
        <w:t>The Commission recommends that ORI staff participate in a serie</w:t>
      </w:r>
      <w:r>
        <w:t>s of mandatory LGBTQ cultural engagement trainings, as well as trainings on racial equity. Furthermore, the Commission strongly encourages ORI to work with the Commission to offer mandatory trainings for all providers, particularly those who work closely w</w:t>
      </w:r>
      <w:r>
        <w:t>ith youth.</w:t>
      </w:r>
    </w:p>
    <w:p w:rsidR="00200FDA" w:rsidRDefault="00200FDA">
      <w:pPr>
        <w:pStyle w:val="BodyText"/>
      </w:pPr>
    </w:p>
    <w:p w:rsidR="00200FDA" w:rsidRDefault="00200FDA">
      <w:pPr>
        <w:pStyle w:val="BodyText"/>
        <w:spacing w:before="1"/>
        <w:rPr>
          <w:sz w:val="23"/>
        </w:rPr>
      </w:pPr>
    </w:p>
    <w:p w:rsidR="00200FDA" w:rsidRDefault="00F76C4C">
      <w:pPr>
        <w:pStyle w:val="Heading9"/>
        <w:numPr>
          <w:ilvl w:val="0"/>
          <w:numId w:val="9"/>
        </w:numPr>
        <w:tabs>
          <w:tab w:val="left" w:pos="501"/>
        </w:tabs>
        <w:ind w:hanging="222"/>
      </w:pPr>
      <w:r>
        <w:t>Implement</w:t>
      </w:r>
      <w:r>
        <w:rPr>
          <w:spacing w:val="-7"/>
        </w:rPr>
        <w:t xml:space="preserve"> </w:t>
      </w:r>
      <w:r>
        <w:t>a</w:t>
      </w:r>
      <w:r>
        <w:rPr>
          <w:spacing w:val="-6"/>
        </w:rPr>
        <w:t xml:space="preserve"> </w:t>
      </w:r>
      <w:r>
        <w:t>nondiscrimination</w:t>
      </w:r>
      <w:r>
        <w:rPr>
          <w:spacing w:val="-6"/>
        </w:rPr>
        <w:t xml:space="preserve"> </w:t>
      </w:r>
      <w:r>
        <w:t>policy,</w:t>
      </w:r>
      <w:r>
        <w:rPr>
          <w:spacing w:val="-4"/>
        </w:rPr>
        <w:t xml:space="preserve"> </w:t>
      </w:r>
      <w:r>
        <w:t>and</w:t>
      </w:r>
      <w:r>
        <w:rPr>
          <w:spacing w:val="-6"/>
        </w:rPr>
        <w:t xml:space="preserve"> </w:t>
      </w:r>
      <w:r>
        <w:t>disseminate</w:t>
      </w:r>
      <w:r>
        <w:rPr>
          <w:spacing w:val="-5"/>
        </w:rPr>
        <w:t xml:space="preserve"> </w:t>
      </w:r>
      <w:r>
        <w:t>to</w:t>
      </w:r>
      <w:r>
        <w:rPr>
          <w:spacing w:val="-6"/>
        </w:rPr>
        <w:t xml:space="preserve"> </w:t>
      </w:r>
      <w:r>
        <w:t>employees</w:t>
      </w:r>
      <w:r>
        <w:rPr>
          <w:spacing w:val="-4"/>
        </w:rPr>
        <w:t xml:space="preserve"> </w:t>
      </w:r>
      <w:r>
        <w:t>and</w:t>
      </w:r>
      <w:r>
        <w:rPr>
          <w:spacing w:val="-7"/>
        </w:rPr>
        <w:t xml:space="preserve"> </w:t>
      </w:r>
      <w:r>
        <w:rPr>
          <w:spacing w:val="-2"/>
        </w:rPr>
        <w:t>clients.</w:t>
      </w:r>
    </w:p>
    <w:p w:rsidR="00200FDA" w:rsidRDefault="00200FDA">
      <w:pPr>
        <w:pStyle w:val="BodyText"/>
        <w:spacing w:before="10"/>
        <w:rPr>
          <w:b/>
        </w:rPr>
      </w:pPr>
    </w:p>
    <w:p w:rsidR="00200FDA" w:rsidRDefault="00F76C4C">
      <w:pPr>
        <w:pStyle w:val="BodyText"/>
        <w:spacing w:line="276" w:lineRule="auto"/>
        <w:ind w:left="279" w:right="273"/>
        <w:jc w:val="both"/>
      </w:pPr>
      <w:r>
        <w:t>The</w:t>
      </w:r>
      <w:r>
        <w:rPr>
          <w:spacing w:val="-6"/>
        </w:rPr>
        <w:t xml:space="preserve"> </w:t>
      </w:r>
      <w:r>
        <w:t>Commission</w:t>
      </w:r>
      <w:r>
        <w:rPr>
          <w:spacing w:val="-7"/>
        </w:rPr>
        <w:t xml:space="preserve"> </w:t>
      </w:r>
      <w:r>
        <w:t>continues</w:t>
      </w:r>
      <w:r>
        <w:rPr>
          <w:spacing w:val="-9"/>
        </w:rPr>
        <w:t xml:space="preserve"> </w:t>
      </w:r>
      <w:r>
        <w:t>to</w:t>
      </w:r>
      <w:r>
        <w:rPr>
          <w:spacing w:val="-5"/>
        </w:rPr>
        <w:t xml:space="preserve"> </w:t>
      </w:r>
      <w:r>
        <w:t>recommend</w:t>
      </w:r>
      <w:r>
        <w:rPr>
          <w:spacing w:val="-7"/>
        </w:rPr>
        <w:t xml:space="preserve"> </w:t>
      </w:r>
      <w:r>
        <w:t>that</w:t>
      </w:r>
      <w:r>
        <w:rPr>
          <w:spacing w:val="-6"/>
        </w:rPr>
        <w:t xml:space="preserve"> </w:t>
      </w:r>
      <w:r>
        <w:t>ORI</w:t>
      </w:r>
      <w:r>
        <w:rPr>
          <w:spacing w:val="-7"/>
        </w:rPr>
        <w:t xml:space="preserve"> </w:t>
      </w:r>
      <w:r>
        <w:t>implement</w:t>
      </w:r>
      <w:r>
        <w:rPr>
          <w:spacing w:val="-9"/>
        </w:rPr>
        <w:t xml:space="preserve"> </w:t>
      </w:r>
      <w:r>
        <w:t>a</w:t>
      </w:r>
      <w:r>
        <w:rPr>
          <w:spacing w:val="-7"/>
        </w:rPr>
        <w:t xml:space="preserve"> </w:t>
      </w:r>
      <w:r>
        <w:t>nondiscrimination</w:t>
      </w:r>
      <w:r>
        <w:rPr>
          <w:spacing w:val="-7"/>
        </w:rPr>
        <w:t xml:space="preserve"> </w:t>
      </w:r>
      <w:r>
        <w:t>policy.</w:t>
      </w:r>
      <w:r>
        <w:rPr>
          <w:spacing w:val="-7"/>
        </w:rPr>
        <w:t xml:space="preserve"> </w:t>
      </w:r>
      <w:r>
        <w:t>In</w:t>
      </w:r>
      <w:r>
        <w:rPr>
          <w:spacing w:val="-7"/>
        </w:rPr>
        <w:t xml:space="preserve"> </w:t>
      </w:r>
      <w:r>
        <w:t>FY</w:t>
      </w:r>
      <w:r>
        <w:rPr>
          <w:spacing w:val="-9"/>
        </w:rPr>
        <w:t xml:space="preserve"> </w:t>
      </w:r>
      <w:r>
        <w:t>2022,</w:t>
      </w:r>
      <w:r>
        <w:rPr>
          <w:spacing w:val="-7"/>
        </w:rPr>
        <w:t xml:space="preserve"> </w:t>
      </w:r>
      <w:r>
        <w:t>the Commission was made aware of a delay within EOHHS’ approval system, and received notification that the EOHHS nondiscrimination policy should suffice. The Commission recommends that ORI pursue a publicly available nondiscrimination statement at minimum,</w:t>
      </w:r>
      <w:r>
        <w:t xml:space="preserve"> particularly given that many LGBTQ immigrants</w:t>
      </w:r>
      <w:r>
        <w:rPr>
          <w:spacing w:val="-7"/>
        </w:rPr>
        <w:t xml:space="preserve"> </w:t>
      </w:r>
      <w:r>
        <w:t>and</w:t>
      </w:r>
      <w:r>
        <w:rPr>
          <w:spacing w:val="-8"/>
        </w:rPr>
        <w:t xml:space="preserve"> </w:t>
      </w:r>
      <w:r>
        <w:t>refugees</w:t>
      </w:r>
      <w:r>
        <w:rPr>
          <w:spacing w:val="-7"/>
        </w:rPr>
        <w:t xml:space="preserve"> </w:t>
      </w:r>
      <w:r>
        <w:t>come</w:t>
      </w:r>
      <w:r>
        <w:rPr>
          <w:spacing w:val="-7"/>
        </w:rPr>
        <w:t xml:space="preserve"> </w:t>
      </w:r>
      <w:r>
        <w:t>to</w:t>
      </w:r>
      <w:r>
        <w:rPr>
          <w:spacing w:val="-6"/>
        </w:rPr>
        <w:t xml:space="preserve"> </w:t>
      </w:r>
      <w:r>
        <w:t>the</w:t>
      </w:r>
      <w:r>
        <w:rPr>
          <w:spacing w:val="-7"/>
        </w:rPr>
        <w:t xml:space="preserve"> </w:t>
      </w:r>
      <w:r>
        <w:t>United</w:t>
      </w:r>
      <w:r>
        <w:rPr>
          <w:spacing w:val="-8"/>
        </w:rPr>
        <w:t xml:space="preserve"> </w:t>
      </w:r>
      <w:r>
        <w:t>States</w:t>
      </w:r>
      <w:r>
        <w:rPr>
          <w:spacing w:val="-8"/>
        </w:rPr>
        <w:t xml:space="preserve"> </w:t>
      </w:r>
      <w:r>
        <w:t>due</w:t>
      </w:r>
      <w:r>
        <w:rPr>
          <w:spacing w:val="-7"/>
        </w:rPr>
        <w:t xml:space="preserve"> </w:t>
      </w:r>
      <w:r>
        <w:t>to</w:t>
      </w:r>
      <w:r>
        <w:rPr>
          <w:spacing w:val="-8"/>
        </w:rPr>
        <w:t xml:space="preserve"> </w:t>
      </w:r>
      <w:r>
        <w:t>anti-LGBTQ</w:t>
      </w:r>
      <w:r>
        <w:rPr>
          <w:spacing w:val="-9"/>
        </w:rPr>
        <w:t xml:space="preserve"> </w:t>
      </w:r>
      <w:r>
        <w:t>violence</w:t>
      </w:r>
      <w:r>
        <w:rPr>
          <w:spacing w:val="-7"/>
        </w:rPr>
        <w:t xml:space="preserve"> </w:t>
      </w:r>
      <w:r>
        <w:t>from</w:t>
      </w:r>
      <w:r>
        <w:rPr>
          <w:spacing w:val="-8"/>
        </w:rPr>
        <w:t xml:space="preserve"> </w:t>
      </w:r>
      <w:r>
        <w:t>their</w:t>
      </w:r>
      <w:r>
        <w:rPr>
          <w:spacing w:val="-8"/>
        </w:rPr>
        <w:t xml:space="preserve"> </w:t>
      </w:r>
      <w:r>
        <w:t>home</w:t>
      </w:r>
      <w:r>
        <w:rPr>
          <w:spacing w:val="-7"/>
        </w:rPr>
        <w:t xml:space="preserve"> </w:t>
      </w:r>
      <w:r>
        <w:t>country. Further, as noted above, the Commission recommends that ORI and EOHHS review the already drafted policy to better unde</w:t>
      </w:r>
      <w:r>
        <w:t>rstand why ORI - unlike many other state agencies - cannot have its own specific nondiscrimination policy.</w:t>
      </w:r>
    </w:p>
    <w:p w:rsidR="00200FDA" w:rsidRDefault="00200FDA">
      <w:pPr>
        <w:pStyle w:val="BodyText"/>
      </w:pPr>
    </w:p>
    <w:p w:rsidR="00200FDA" w:rsidRDefault="00200FDA">
      <w:pPr>
        <w:pStyle w:val="BodyText"/>
        <w:spacing w:before="1"/>
        <w:rPr>
          <w:sz w:val="23"/>
        </w:rPr>
      </w:pPr>
    </w:p>
    <w:p w:rsidR="00200FDA" w:rsidRDefault="00F76C4C">
      <w:pPr>
        <w:pStyle w:val="Heading9"/>
        <w:numPr>
          <w:ilvl w:val="0"/>
          <w:numId w:val="9"/>
        </w:numPr>
        <w:tabs>
          <w:tab w:val="left" w:pos="501"/>
        </w:tabs>
        <w:ind w:hanging="222"/>
      </w:pPr>
      <w:bookmarkStart w:id="1145" w:name="_bookmark897"/>
      <w:bookmarkStart w:id="1146" w:name="_bookmark898"/>
      <w:bookmarkEnd w:id="1145"/>
      <w:bookmarkEnd w:id="1146"/>
      <w:r>
        <w:t>Examine</w:t>
      </w:r>
      <w:r>
        <w:rPr>
          <w:spacing w:val="-4"/>
        </w:rPr>
        <w:t xml:space="preserve"> </w:t>
      </w:r>
      <w:r>
        <w:t>and</w:t>
      </w:r>
      <w:r>
        <w:rPr>
          <w:spacing w:val="-5"/>
        </w:rPr>
        <w:t xml:space="preserve"> </w:t>
      </w:r>
      <w:r>
        <w:t>improve</w:t>
      </w:r>
      <w:r>
        <w:rPr>
          <w:spacing w:val="-5"/>
        </w:rPr>
        <w:t xml:space="preserve"> </w:t>
      </w:r>
      <w:r>
        <w:t>SOGIE</w:t>
      </w:r>
      <w:r>
        <w:rPr>
          <w:spacing w:val="-6"/>
        </w:rPr>
        <w:t xml:space="preserve"> </w:t>
      </w:r>
      <w:r>
        <w:t>data</w:t>
      </w:r>
      <w:r>
        <w:rPr>
          <w:spacing w:val="-5"/>
        </w:rPr>
        <w:t xml:space="preserve"> </w:t>
      </w:r>
      <w:r>
        <w:t>collection</w:t>
      </w:r>
      <w:r>
        <w:rPr>
          <w:spacing w:val="-4"/>
        </w:rPr>
        <w:t xml:space="preserve"> </w:t>
      </w:r>
      <w:r>
        <w:rPr>
          <w:spacing w:val="-2"/>
        </w:rPr>
        <w:t>efforts.</w:t>
      </w:r>
    </w:p>
    <w:p w:rsidR="00200FDA" w:rsidRDefault="00200FDA">
      <w:pPr>
        <w:pStyle w:val="BodyText"/>
        <w:spacing w:before="10"/>
        <w:rPr>
          <w:b/>
        </w:rPr>
      </w:pPr>
    </w:p>
    <w:p w:rsidR="00200FDA" w:rsidRDefault="00F76C4C">
      <w:pPr>
        <w:pStyle w:val="BodyText"/>
        <w:spacing w:line="276" w:lineRule="auto"/>
        <w:ind w:left="279" w:right="274"/>
        <w:jc w:val="both"/>
      </w:pPr>
      <w:bookmarkStart w:id="1147" w:name="_bookmark899"/>
      <w:bookmarkEnd w:id="1147"/>
      <w:r>
        <w:t xml:space="preserve">The Commission recognizes that language differences and federal mandates provide barriers to </w:t>
      </w:r>
      <w:bookmarkStart w:id="1148" w:name="_bookmark900"/>
      <w:bookmarkEnd w:id="1148"/>
      <w:r>
        <w:t>st</w:t>
      </w:r>
      <w:r>
        <w:t xml:space="preserve">andardized SOGIE data collection practices. However, the Commission continues to recommend that ORI gather and publish SOGIE data in its annual reports so as to better serve its LGBTQ refugee and immigrant clients through LGBTQ-specific programs and youth </w:t>
      </w:r>
      <w:r>
        <w:t>services. Without LGBTQ-inclusive data collection, ORI is unable to comprehensively analyze its service provision and address the unique disparities faced by LGBTQ refugee and immigrant youth.</w:t>
      </w:r>
    </w:p>
    <w:p w:rsidR="00200FDA" w:rsidRDefault="00200FDA">
      <w:pPr>
        <w:pStyle w:val="BodyText"/>
      </w:pPr>
    </w:p>
    <w:p w:rsidR="00200FDA" w:rsidRDefault="00200FDA">
      <w:pPr>
        <w:pStyle w:val="BodyText"/>
        <w:rPr>
          <w:sz w:val="23"/>
        </w:rPr>
      </w:pPr>
    </w:p>
    <w:p w:rsidR="00200FDA" w:rsidRDefault="00F76C4C">
      <w:pPr>
        <w:pStyle w:val="Heading9"/>
        <w:numPr>
          <w:ilvl w:val="0"/>
          <w:numId w:val="9"/>
        </w:numPr>
        <w:tabs>
          <w:tab w:val="left" w:pos="527"/>
        </w:tabs>
        <w:spacing w:line="276" w:lineRule="auto"/>
        <w:ind w:left="279" w:right="273" w:firstLine="0"/>
      </w:pPr>
      <w:r>
        <w:t>Establish an interagency</w:t>
      </w:r>
      <w:r>
        <w:rPr>
          <w:spacing w:val="25"/>
        </w:rPr>
        <w:t xml:space="preserve"> </w:t>
      </w:r>
      <w:r>
        <w:t>collaboration to investigate and imp</w:t>
      </w:r>
      <w:r>
        <w:t>rove the availability</w:t>
      </w:r>
      <w:r>
        <w:rPr>
          <w:spacing w:val="25"/>
        </w:rPr>
        <w:t xml:space="preserve"> </w:t>
      </w:r>
      <w:r>
        <w:t>of services</w:t>
      </w:r>
      <w:r>
        <w:rPr>
          <w:spacing w:val="25"/>
        </w:rPr>
        <w:t xml:space="preserve"> </w:t>
      </w:r>
      <w:r>
        <w:t>and resources for LGBTQ refugee and immigrant youth.</w:t>
      </w:r>
    </w:p>
    <w:p w:rsidR="00200FDA" w:rsidRDefault="00200FDA">
      <w:pPr>
        <w:pStyle w:val="BodyText"/>
        <w:spacing w:before="7"/>
        <w:rPr>
          <w:b/>
          <w:sz w:val="19"/>
        </w:rPr>
      </w:pPr>
    </w:p>
    <w:p w:rsidR="00200FDA" w:rsidRDefault="00F76C4C">
      <w:pPr>
        <w:pStyle w:val="BodyText"/>
        <w:spacing w:line="276" w:lineRule="auto"/>
        <w:ind w:left="279" w:right="272"/>
        <w:jc w:val="both"/>
      </w:pPr>
      <w:r>
        <w:t>In</w:t>
      </w:r>
      <w:r>
        <w:rPr>
          <w:spacing w:val="-7"/>
        </w:rPr>
        <w:t xml:space="preserve"> </w:t>
      </w:r>
      <w:r>
        <w:t>order</w:t>
      </w:r>
      <w:r>
        <w:rPr>
          <w:spacing w:val="-12"/>
        </w:rPr>
        <w:t xml:space="preserve"> </w:t>
      </w:r>
      <w:r>
        <w:t>to</w:t>
      </w:r>
      <w:r>
        <w:rPr>
          <w:spacing w:val="-8"/>
        </w:rPr>
        <w:t xml:space="preserve"> </w:t>
      </w:r>
      <w:r>
        <w:t>better</w:t>
      </w:r>
      <w:r>
        <w:rPr>
          <w:spacing w:val="-9"/>
        </w:rPr>
        <w:t xml:space="preserve"> </w:t>
      </w:r>
      <w:r>
        <w:t>understand</w:t>
      </w:r>
      <w:r>
        <w:rPr>
          <w:spacing w:val="-7"/>
        </w:rPr>
        <w:t xml:space="preserve"> </w:t>
      </w:r>
      <w:r>
        <w:t>the</w:t>
      </w:r>
      <w:r>
        <w:rPr>
          <w:spacing w:val="-8"/>
        </w:rPr>
        <w:t xml:space="preserve"> </w:t>
      </w:r>
      <w:r>
        <w:t>specific</w:t>
      </w:r>
      <w:r>
        <w:rPr>
          <w:spacing w:val="-6"/>
        </w:rPr>
        <w:t xml:space="preserve"> </w:t>
      </w:r>
      <w:r>
        <w:t>needs</w:t>
      </w:r>
      <w:r>
        <w:rPr>
          <w:spacing w:val="-9"/>
        </w:rPr>
        <w:t xml:space="preserve"> </w:t>
      </w:r>
      <w:r>
        <w:t>of</w:t>
      </w:r>
      <w:r>
        <w:rPr>
          <w:spacing w:val="-12"/>
        </w:rPr>
        <w:t xml:space="preserve"> </w:t>
      </w:r>
      <w:r>
        <w:t>LGBTQ</w:t>
      </w:r>
      <w:r>
        <w:rPr>
          <w:spacing w:val="-9"/>
        </w:rPr>
        <w:t xml:space="preserve"> </w:t>
      </w:r>
      <w:r>
        <w:t>refugees</w:t>
      </w:r>
      <w:r>
        <w:rPr>
          <w:spacing w:val="-7"/>
        </w:rPr>
        <w:t xml:space="preserve"> </w:t>
      </w:r>
      <w:r>
        <w:t>and</w:t>
      </w:r>
      <w:r>
        <w:rPr>
          <w:spacing w:val="-10"/>
        </w:rPr>
        <w:t xml:space="preserve"> </w:t>
      </w:r>
      <w:r>
        <w:t>immigrants</w:t>
      </w:r>
      <w:r>
        <w:rPr>
          <w:spacing w:val="-7"/>
        </w:rPr>
        <w:t xml:space="preserve"> </w:t>
      </w:r>
      <w:r>
        <w:t>in</w:t>
      </w:r>
      <w:r>
        <w:rPr>
          <w:spacing w:val="-10"/>
        </w:rPr>
        <w:t xml:space="preserve"> </w:t>
      </w:r>
      <w:r>
        <w:t>Massachusetts,</w:t>
      </w:r>
      <w:r>
        <w:rPr>
          <w:spacing w:val="-9"/>
        </w:rPr>
        <w:t xml:space="preserve"> </w:t>
      </w:r>
      <w:r>
        <w:t>the Commission recommends that ORI establish an interagency collabor</w:t>
      </w:r>
      <w:r>
        <w:t>ation with youth-serving organizations and agencies. In a memo distributed to the Commission, ORI notes that it does engage in several interagency collaborations with DCF, DESE, and DPH that LGBTQ youth receive the services of through the Unaccompanied Ref</w:t>
      </w:r>
      <w:r>
        <w:t>ugee Minors Program (URMP); the Afghan Refugee School Impact: Support</w:t>
      </w:r>
      <w:r>
        <w:rPr>
          <w:spacing w:val="-2"/>
        </w:rPr>
        <w:t xml:space="preserve"> </w:t>
      </w:r>
      <w:r>
        <w:t>to</w:t>
      </w:r>
      <w:r>
        <w:rPr>
          <w:spacing w:val="-4"/>
        </w:rPr>
        <w:t xml:space="preserve"> </w:t>
      </w:r>
      <w:r>
        <w:t>Schools</w:t>
      </w:r>
      <w:r>
        <w:rPr>
          <w:spacing w:val="-3"/>
        </w:rPr>
        <w:t xml:space="preserve"> </w:t>
      </w:r>
      <w:r>
        <w:t>Initiative;</w:t>
      </w:r>
      <w:r>
        <w:rPr>
          <w:spacing w:val="-4"/>
        </w:rPr>
        <w:t xml:space="preserve"> </w:t>
      </w:r>
      <w:r>
        <w:t>the</w:t>
      </w:r>
      <w:r>
        <w:rPr>
          <w:spacing w:val="-5"/>
        </w:rPr>
        <w:t xml:space="preserve"> </w:t>
      </w:r>
      <w:r>
        <w:t>Refugee</w:t>
      </w:r>
      <w:r>
        <w:rPr>
          <w:spacing w:val="-5"/>
        </w:rPr>
        <w:t xml:space="preserve"> </w:t>
      </w:r>
      <w:r>
        <w:t>Medical</w:t>
      </w:r>
      <w:r>
        <w:rPr>
          <w:spacing w:val="-6"/>
        </w:rPr>
        <w:t xml:space="preserve"> </w:t>
      </w:r>
      <w:r>
        <w:t>Screening</w:t>
      </w:r>
      <w:r>
        <w:rPr>
          <w:spacing w:val="-4"/>
        </w:rPr>
        <w:t xml:space="preserve"> </w:t>
      </w:r>
      <w:r>
        <w:t>(RMS)/Refugee</w:t>
      </w:r>
      <w:r>
        <w:rPr>
          <w:spacing w:val="-2"/>
        </w:rPr>
        <w:t xml:space="preserve"> </w:t>
      </w:r>
      <w:r>
        <w:t>Health</w:t>
      </w:r>
      <w:r>
        <w:rPr>
          <w:spacing w:val="-4"/>
        </w:rPr>
        <w:t xml:space="preserve"> </w:t>
      </w:r>
      <w:r>
        <w:t>Assessment</w:t>
      </w:r>
      <w:r>
        <w:rPr>
          <w:spacing w:val="-5"/>
        </w:rPr>
        <w:t xml:space="preserve"> </w:t>
      </w:r>
      <w:r>
        <w:t>Program (RHAP); the MA Refugee Health Promotion Program (MRHPP); and the Refugee Mental Health Initia</w:t>
      </w:r>
      <w:r>
        <w:t xml:space="preserve">tive </w:t>
      </w:r>
      <w:r>
        <w:rPr>
          <w:spacing w:val="-2"/>
        </w:rPr>
        <w:t>(ReMHI).</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right="271"/>
        <w:jc w:val="both"/>
      </w:pPr>
      <w:r>
        <w:t>However, while the Commission appreciates the breadth of services offered by ORI for refugee populations, the Commission further notes that none of these programs appear to directly or explicitly address or incorporate the unique needs faced by LGBTQ refug</w:t>
      </w:r>
      <w:r>
        <w:t>ee or immigrant youth. Additionally, as noted above, ORI does not collect SOGIE data on its clients nor does it solicit feedback from LGBTQ communities, and therefore cannot definitively state that LGBTQ youth are appropriately receiving affirming services</w:t>
      </w:r>
      <w:r>
        <w:t>.</w:t>
      </w:r>
    </w:p>
    <w:p w:rsidR="00200FDA" w:rsidRDefault="00200FDA">
      <w:pPr>
        <w:pStyle w:val="BodyText"/>
      </w:pPr>
    </w:p>
    <w:p w:rsidR="00200FDA" w:rsidRDefault="00200FDA">
      <w:pPr>
        <w:pStyle w:val="BodyText"/>
        <w:rPr>
          <w:sz w:val="23"/>
        </w:rPr>
      </w:pPr>
    </w:p>
    <w:p w:rsidR="00200FDA" w:rsidRDefault="00F76C4C">
      <w:pPr>
        <w:pStyle w:val="Heading9"/>
        <w:numPr>
          <w:ilvl w:val="0"/>
          <w:numId w:val="9"/>
        </w:numPr>
        <w:tabs>
          <w:tab w:val="left" w:pos="501"/>
        </w:tabs>
      </w:pPr>
      <w:r>
        <w:t>Conduct</w:t>
      </w:r>
      <w:r>
        <w:rPr>
          <w:spacing w:val="-5"/>
        </w:rPr>
        <w:t xml:space="preserve"> </w:t>
      </w:r>
      <w:r>
        <w:t>direct</w:t>
      </w:r>
      <w:r>
        <w:rPr>
          <w:spacing w:val="-5"/>
        </w:rPr>
        <w:t xml:space="preserve"> </w:t>
      </w:r>
      <w:r>
        <w:t>outreach</w:t>
      </w:r>
      <w:r>
        <w:rPr>
          <w:spacing w:val="-6"/>
        </w:rPr>
        <w:t xml:space="preserve"> </w:t>
      </w:r>
      <w:r>
        <w:t>to</w:t>
      </w:r>
      <w:r>
        <w:rPr>
          <w:spacing w:val="-4"/>
        </w:rPr>
        <w:t xml:space="preserve"> </w:t>
      </w:r>
      <w:r>
        <w:t>LGBTQ</w:t>
      </w:r>
      <w:r>
        <w:rPr>
          <w:spacing w:val="-3"/>
        </w:rPr>
        <w:t xml:space="preserve"> </w:t>
      </w:r>
      <w:r>
        <w:t>immigrants</w:t>
      </w:r>
      <w:r>
        <w:rPr>
          <w:spacing w:val="-2"/>
        </w:rPr>
        <w:t xml:space="preserve"> </w:t>
      </w:r>
      <w:r>
        <w:t>and</w:t>
      </w:r>
      <w:r>
        <w:rPr>
          <w:spacing w:val="-5"/>
        </w:rPr>
        <w:t xml:space="preserve"> </w:t>
      </w:r>
      <w:r>
        <w:t>refugees</w:t>
      </w:r>
      <w:r>
        <w:rPr>
          <w:spacing w:val="-2"/>
        </w:rPr>
        <w:t xml:space="preserve"> </w:t>
      </w:r>
      <w:r>
        <w:t>to</w:t>
      </w:r>
      <w:r>
        <w:rPr>
          <w:spacing w:val="-4"/>
        </w:rPr>
        <w:t xml:space="preserve"> </w:t>
      </w:r>
      <w:r>
        <w:t>uplift</w:t>
      </w:r>
      <w:r>
        <w:rPr>
          <w:spacing w:val="-5"/>
        </w:rPr>
        <w:t xml:space="preserve"> </w:t>
      </w:r>
      <w:r>
        <w:t>youth</w:t>
      </w:r>
      <w:r>
        <w:rPr>
          <w:spacing w:val="-4"/>
        </w:rPr>
        <w:t xml:space="preserve"> </w:t>
      </w:r>
      <w:r>
        <w:t>voice</w:t>
      </w:r>
      <w:r>
        <w:rPr>
          <w:spacing w:val="-6"/>
        </w:rPr>
        <w:t xml:space="preserve"> </w:t>
      </w:r>
      <w:r>
        <w:t>in</w:t>
      </w:r>
      <w:r>
        <w:rPr>
          <w:spacing w:val="-4"/>
        </w:rPr>
        <w:t xml:space="preserve"> </w:t>
      </w:r>
      <w:r>
        <w:t>ORI</w:t>
      </w:r>
      <w:r>
        <w:rPr>
          <w:spacing w:val="-3"/>
        </w:rPr>
        <w:t xml:space="preserve"> </w:t>
      </w:r>
      <w:r>
        <w:rPr>
          <w:spacing w:val="-2"/>
        </w:rPr>
        <w:t>work.</w:t>
      </w:r>
    </w:p>
    <w:p w:rsidR="00200FDA" w:rsidRDefault="00200FDA">
      <w:pPr>
        <w:pStyle w:val="BodyText"/>
        <w:spacing w:before="10"/>
        <w:rPr>
          <w:b/>
        </w:rPr>
      </w:pPr>
    </w:p>
    <w:p w:rsidR="00200FDA" w:rsidRDefault="00F76C4C">
      <w:pPr>
        <w:pStyle w:val="BodyText"/>
        <w:spacing w:line="276" w:lineRule="auto"/>
        <w:ind w:left="280" w:right="275"/>
        <w:jc w:val="both"/>
      </w:pPr>
      <w:r>
        <w:t>Working in tandem with the above recommendations, the Commission further recommends that ORI conduct</w:t>
      </w:r>
      <w:r>
        <w:rPr>
          <w:spacing w:val="-1"/>
        </w:rPr>
        <w:t xml:space="preserve"> </w:t>
      </w:r>
      <w:r>
        <w:t>direct</w:t>
      </w:r>
      <w:r>
        <w:rPr>
          <w:spacing w:val="-4"/>
        </w:rPr>
        <w:t xml:space="preserve"> </w:t>
      </w:r>
      <w:r>
        <w:t>outreach</w:t>
      </w:r>
      <w:r>
        <w:rPr>
          <w:spacing w:val="-3"/>
        </w:rPr>
        <w:t xml:space="preserve"> </w:t>
      </w:r>
      <w:r>
        <w:t>to</w:t>
      </w:r>
      <w:r>
        <w:rPr>
          <w:spacing w:val="-3"/>
        </w:rPr>
        <w:t xml:space="preserve"> </w:t>
      </w:r>
      <w:r>
        <w:t>LGBTQ</w:t>
      </w:r>
      <w:r>
        <w:rPr>
          <w:spacing w:val="-2"/>
        </w:rPr>
        <w:t xml:space="preserve"> </w:t>
      </w:r>
      <w:r>
        <w:t>immigrant</w:t>
      </w:r>
      <w:r>
        <w:rPr>
          <w:spacing w:val="-1"/>
        </w:rPr>
        <w:t xml:space="preserve"> </w:t>
      </w:r>
      <w:r>
        <w:t>and refugee</w:t>
      </w:r>
      <w:r>
        <w:rPr>
          <w:spacing w:val="-1"/>
        </w:rPr>
        <w:t xml:space="preserve"> </w:t>
      </w:r>
      <w:r>
        <w:t>youth in</w:t>
      </w:r>
      <w:r>
        <w:rPr>
          <w:spacing w:val="-3"/>
        </w:rPr>
        <w:t xml:space="preserve"> </w:t>
      </w:r>
      <w:r>
        <w:t>partnership</w:t>
      </w:r>
      <w:r>
        <w:rPr>
          <w:spacing w:val="-3"/>
        </w:rPr>
        <w:t xml:space="preserve"> </w:t>
      </w:r>
      <w:r>
        <w:t>with community partners and</w:t>
      </w:r>
      <w:r>
        <w:rPr>
          <w:spacing w:val="-3"/>
        </w:rPr>
        <w:t xml:space="preserve"> </w:t>
      </w:r>
      <w:r>
        <w:t>providers,</w:t>
      </w:r>
      <w:r>
        <w:rPr>
          <w:spacing w:val="-4"/>
        </w:rPr>
        <w:t xml:space="preserve"> </w:t>
      </w:r>
      <w:r>
        <w:t>and</w:t>
      </w:r>
      <w:r>
        <w:rPr>
          <w:spacing w:val="-3"/>
        </w:rPr>
        <w:t xml:space="preserve"> </w:t>
      </w:r>
      <w:r>
        <w:t>come</w:t>
      </w:r>
      <w:r>
        <w:rPr>
          <w:spacing w:val="-4"/>
        </w:rPr>
        <w:t xml:space="preserve"> </w:t>
      </w:r>
      <w:r>
        <w:t>up</w:t>
      </w:r>
      <w:r>
        <w:rPr>
          <w:spacing w:val="-3"/>
        </w:rPr>
        <w:t xml:space="preserve"> </w:t>
      </w:r>
      <w:r>
        <w:t>with</w:t>
      </w:r>
      <w:r>
        <w:rPr>
          <w:spacing w:val="-5"/>
        </w:rPr>
        <w:t xml:space="preserve"> </w:t>
      </w:r>
      <w:r>
        <w:t>a</w:t>
      </w:r>
      <w:r>
        <w:rPr>
          <w:spacing w:val="-4"/>
        </w:rPr>
        <w:t xml:space="preserve"> </w:t>
      </w:r>
      <w:r>
        <w:t>strategic</w:t>
      </w:r>
      <w:r>
        <w:rPr>
          <w:spacing w:val="-2"/>
        </w:rPr>
        <w:t xml:space="preserve"> </w:t>
      </w:r>
      <w:r>
        <w:t>plan</w:t>
      </w:r>
      <w:r>
        <w:rPr>
          <w:spacing w:val="-5"/>
        </w:rPr>
        <w:t xml:space="preserve"> </w:t>
      </w:r>
      <w:r>
        <w:t>to</w:t>
      </w:r>
      <w:r>
        <w:rPr>
          <w:spacing w:val="-1"/>
        </w:rPr>
        <w:t xml:space="preserve"> </w:t>
      </w:r>
      <w:r>
        <w:t>address</w:t>
      </w:r>
      <w:r>
        <w:rPr>
          <w:spacing w:val="-2"/>
        </w:rPr>
        <w:t xml:space="preserve"> </w:t>
      </w:r>
      <w:r>
        <w:t>concerns</w:t>
      </w:r>
      <w:r>
        <w:rPr>
          <w:spacing w:val="-4"/>
        </w:rPr>
        <w:t xml:space="preserve"> </w:t>
      </w:r>
      <w:r>
        <w:t>and</w:t>
      </w:r>
      <w:r>
        <w:rPr>
          <w:spacing w:val="-3"/>
        </w:rPr>
        <w:t xml:space="preserve"> </w:t>
      </w:r>
      <w:r>
        <w:t>needs</w:t>
      </w:r>
      <w:r>
        <w:rPr>
          <w:spacing w:val="-4"/>
        </w:rPr>
        <w:t xml:space="preserve"> </w:t>
      </w:r>
      <w:r>
        <w:t>of</w:t>
      </w:r>
      <w:r>
        <w:rPr>
          <w:spacing w:val="-4"/>
        </w:rPr>
        <w:t xml:space="preserve"> </w:t>
      </w:r>
      <w:r>
        <w:t>these</w:t>
      </w:r>
      <w:r>
        <w:rPr>
          <w:spacing w:val="-4"/>
        </w:rPr>
        <w:t xml:space="preserve"> </w:t>
      </w:r>
      <w:r>
        <w:t>communities</w:t>
      </w:r>
      <w:r>
        <w:rPr>
          <w:spacing w:val="-4"/>
        </w:rPr>
        <w:t xml:space="preserve"> </w:t>
      </w:r>
      <w:r>
        <w:t>in FY 2024.</w:t>
      </w:r>
    </w:p>
    <w:p w:rsidR="00200FDA" w:rsidRDefault="00200FDA">
      <w:pPr>
        <w:pStyle w:val="BodyText"/>
      </w:pPr>
    </w:p>
    <w:p w:rsidR="00200FDA" w:rsidRDefault="00200FDA">
      <w:pPr>
        <w:pStyle w:val="BodyText"/>
      </w:pPr>
    </w:p>
    <w:p w:rsidR="00200FDA" w:rsidRDefault="00200FDA">
      <w:pPr>
        <w:pStyle w:val="BodyText"/>
        <w:spacing w:before="8"/>
        <w:rPr>
          <w:sz w:val="20"/>
        </w:rPr>
      </w:pPr>
    </w:p>
    <w:p w:rsidR="00200FDA" w:rsidRDefault="00F76C4C">
      <w:pPr>
        <w:spacing w:before="1"/>
        <w:ind w:left="280"/>
        <w:jc w:val="both"/>
      </w:pPr>
      <w:r>
        <w:rPr>
          <w:i/>
        </w:rPr>
        <w:t>Acknowledgments:</w:t>
      </w:r>
      <w:r>
        <w:rPr>
          <w:i/>
          <w:spacing w:val="-8"/>
        </w:rPr>
        <w:t xml:space="preserve"> </w:t>
      </w:r>
      <w:r>
        <w:rPr>
          <w:i/>
        </w:rPr>
        <w:t>The</w:t>
      </w:r>
      <w:r>
        <w:rPr>
          <w:i/>
          <w:spacing w:val="-4"/>
        </w:rPr>
        <w:t xml:space="preserve"> </w:t>
      </w:r>
      <w:r>
        <w:rPr>
          <w:i/>
        </w:rPr>
        <w:t>Commission</w:t>
      </w:r>
      <w:r>
        <w:rPr>
          <w:i/>
          <w:spacing w:val="-5"/>
        </w:rPr>
        <w:t xml:space="preserve"> </w:t>
      </w:r>
      <w:r>
        <w:rPr>
          <w:i/>
        </w:rPr>
        <w:t>thanks</w:t>
      </w:r>
      <w:r>
        <w:rPr>
          <w:i/>
          <w:spacing w:val="-7"/>
        </w:rPr>
        <w:t xml:space="preserve"> </w:t>
      </w:r>
      <w:r>
        <w:rPr>
          <w:i/>
        </w:rPr>
        <w:t>the</w:t>
      </w:r>
      <w:r>
        <w:rPr>
          <w:i/>
          <w:spacing w:val="-4"/>
        </w:rPr>
        <w:t xml:space="preserve"> </w:t>
      </w:r>
      <w:r>
        <w:rPr>
          <w:i/>
        </w:rPr>
        <w:t>contributions</w:t>
      </w:r>
      <w:r>
        <w:rPr>
          <w:i/>
          <w:spacing w:val="-3"/>
        </w:rPr>
        <w:t xml:space="preserve"> </w:t>
      </w:r>
      <w:r>
        <w:rPr>
          <w:i/>
        </w:rPr>
        <w:t>of</w:t>
      </w:r>
      <w:r>
        <w:rPr>
          <w:i/>
          <w:spacing w:val="-5"/>
        </w:rPr>
        <w:t xml:space="preserve"> </w:t>
      </w:r>
      <w:r>
        <w:rPr>
          <w:i/>
        </w:rPr>
        <w:t>its</w:t>
      </w:r>
      <w:r>
        <w:rPr>
          <w:i/>
          <w:spacing w:val="-6"/>
        </w:rPr>
        <w:t xml:space="preserve"> </w:t>
      </w:r>
      <w:r>
        <w:rPr>
          <w:i/>
        </w:rPr>
        <w:t>ORI</w:t>
      </w:r>
      <w:r>
        <w:rPr>
          <w:i/>
          <w:spacing w:val="-4"/>
        </w:rPr>
        <w:t xml:space="preserve"> </w:t>
      </w:r>
      <w:r>
        <w:rPr>
          <w:i/>
        </w:rPr>
        <w:t>staff</w:t>
      </w:r>
      <w:r>
        <w:rPr>
          <w:i/>
          <w:spacing w:val="-4"/>
        </w:rPr>
        <w:t xml:space="preserve"> </w:t>
      </w:r>
      <w:r>
        <w:rPr>
          <w:i/>
          <w:spacing w:val="-2"/>
        </w:rPr>
        <w:t>liaisons</w:t>
      </w:r>
      <w:r>
        <w:rPr>
          <w:spacing w:val="-2"/>
        </w:rPr>
        <w:t>.</w:t>
      </w:r>
    </w:p>
    <w:p w:rsidR="00200FDA" w:rsidRDefault="00200FDA">
      <w:pPr>
        <w:pStyle w:val="BodyText"/>
      </w:pPr>
    </w:p>
    <w:p w:rsidR="00200FDA" w:rsidRDefault="00200FDA">
      <w:pPr>
        <w:pStyle w:val="BodyText"/>
        <w:spacing w:before="3"/>
        <w:rPr>
          <w:sz w:val="21"/>
        </w:rPr>
      </w:pPr>
    </w:p>
    <w:p w:rsidR="00200FDA" w:rsidRDefault="00F76C4C">
      <w:pPr>
        <w:ind w:left="280" w:right="308" w:hanging="1"/>
        <w:rPr>
          <w:sz w:val="18"/>
        </w:rPr>
      </w:pPr>
      <w:r>
        <w:rPr>
          <w:position w:val="5"/>
          <w:sz w:val="12"/>
        </w:rPr>
        <w:t>1</w:t>
      </w:r>
      <w:r>
        <w:rPr>
          <w:spacing w:val="8"/>
          <w:position w:val="5"/>
          <w:sz w:val="12"/>
        </w:rPr>
        <w:t xml:space="preserve"> </w:t>
      </w:r>
      <w:r>
        <w:rPr>
          <w:sz w:val="18"/>
        </w:rPr>
        <w:t>Office</w:t>
      </w:r>
      <w:r>
        <w:rPr>
          <w:spacing w:val="-5"/>
          <w:sz w:val="18"/>
        </w:rPr>
        <w:t xml:space="preserve"> </w:t>
      </w:r>
      <w:r>
        <w:rPr>
          <w:sz w:val="18"/>
        </w:rPr>
        <w:t>of</w:t>
      </w:r>
      <w:r>
        <w:rPr>
          <w:spacing w:val="-4"/>
          <w:sz w:val="18"/>
        </w:rPr>
        <w:t xml:space="preserve"> </w:t>
      </w:r>
      <w:r>
        <w:rPr>
          <w:sz w:val="18"/>
        </w:rPr>
        <w:t>Refugees</w:t>
      </w:r>
      <w:r>
        <w:rPr>
          <w:spacing w:val="-5"/>
          <w:sz w:val="18"/>
        </w:rPr>
        <w:t xml:space="preserve"> </w:t>
      </w:r>
      <w:r>
        <w:rPr>
          <w:sz w:val="18"/>
        </w:rPr>
        <w:t>and</w:t>
      </w:r>
      <w:r>
        <w:rPr>
          <w:spacing w:val="-5"/>
          <w:sz w:val="18"/>
        </w:rPr>
        <w:t xml:space="preserve"> </w:t>
      </w:r>
      <w:r>
        <w:rPr>
          <w:sz w:val="18"/>
        </w:rPr>
        <w:t>Immigrants,</w:t>
      </w:r>
      <w:r>
        <w:rPr>
          <w:spacing w:val="-4"/>
          <w:sz w:val="18"/>
        </w:rPr>
        <w:t xml:space="preserve"> </w:t>
      </w:r>
      <w:r>
        <w:rPr>
          <w:sz w:val="18"/>
        </w:rPr>
        <w:t>“Annual</w:t>
      </w:r>
      <w:r>
        <w:rPr>
          <w:spacing w:val="-5"/>
          <w:sz w:val="18"/>
        </w:rPr>
        <w:t xml:space="preserve"> </w:t>
      </w:r>
      <w:r>
        <w:rPr>
          <w:sz w:val="18"/>
        </w:rPr>
        <w:t>Report</w:t>
      </w:r>
      <w:r>
        <w:rPr>
          <w:spacing w:val="-5"/>
          <w:sz w:val="18"/>
        </w:rPr>
        <w:t xml:space="preserve"> </w:t>
      </w:r>
      <w:r>
        <w:rPr>
          <w:sz w:val="18"/>
        </w:rPr>
        <w:t>2021,”</w:t>
      </w:r>
      <w:r>
        <w:rPr>
          <w:spacing w:val="-5"/>
          <w:sz w:val="18"/>
        </w:rPr>
        <w:t xml:space="preserve"> </w:t>
      </w:r>
      <w:r>
        <w:rPr>
          <w:sz w:val="18"/>
        </w:rPr>
        <w:t>2022,</w:t>
      </w:r>
      <w:r>
        <w:rPr>
          <w:spacing w:val="-4"/>
          <w:sz w:val="18"/>
        </w:rPr>
        <w:t xml:space="preserve"> </w:t>
      </w:r>
      <w:r>
        <w:rPr>
          <w:sz w:val="18"/>
        </w:rPr>
        <w:t>https://</w:t>
      </w:r>
      <w:hyperlink r:id="rId848">
        <w:r>
          <w:rPr>
            <w:sz w:val="18"/>
          </w:rPr>
          <w:t>www.mass.gov/doc/2021-ori-annual-</w:t>
        </w:r>
      </w:hyperlink>
      <w:r>
        <w:rPr>
          <w:sz w:val="18"/>
        </w:rPr>
        <w:t xml:space="preserve"> </w:t>
      </w:r>
      <w:r>
        <w:rPr>
          <w:spacing w:val="-2"/>
          <w:sz w:val="18"/>
        </w:rPr>
        <w:t>report/download.</w:t>
      </w:r>
    </w:p>
    <w:p w:rsidR="00200FDA" w:rsidRDefault="00F76C4C">
      <w:pPr>
        <w:ind w:left="280" w:right="773" w:hanging="1"/>
        <w:rPr>
          <w:sz w:val="18"/>
        </w:rPr>
      </w:pPr>
      <w:r>
        <w:rPr>
          <w:position w:val="5"/>
          <w:sz w:val="12"/>
        </w:rPr>
        <w:t>2</w:t>
      </w:r>
      <w:r>
        <w:rPr>
          <w:spacing w:val="10"/>
          <w:position w:val="5"/>
          <w:sz w:val="12"/>
        </w:rPr>
        <w:t xml:space="preserve"> </w:t>
      </w:r>
      <w:r>
        <w:rPr>
          <w:sz w:val="18"/>
        </w:rPr>
        <w:t>Shoshana</w:t>
      </w:r>
      <w:r>
        <w:rPr>
          <w:spacing w:val="-1"/>
          <w:sz w:val="18"/>
        </w:rPr>
        <w:t xml:space="preserve"> </w:t>
      </w:r>
      <w:r>
        <w:rPr>
          <w:sz w:val="18"/>
        </w:rPr>
        <w:t>Goldberg</w:t>
      </w:r>
      <w:r>
        <w:rPr>
          <w:spacing w:val="-3"/>
          <w:sz w:val="18"/>
        </w:rPr>
        <w:t xml:space="preserve"> </w:t>
      </w:r>
      <w:r>
        <w:rPr>
          <w:sz w:val="18"/>
        </w:rPr>
        <w:t>and</w:t>
      </w:r>
      <w:r>
        <w:rPr>
          <w:spacing w:val="-3"/>
          <w:sz w:val="18"/>
        </w:rPr>
        <w:t xml:space="preserve"> </w:t>
      </w:r>
      <w:r>
        <w:rPr>
          <w:sz w:val="18"/>
        </w:rPr>
        <w:t>Kerith</w:t>
      </w:r>
      <w:r>
        <w:rPr>
          <w:spacing w:val="-3"/>
          <w:sz w:val="18"/>
        </w:rPr>
        <w:t xml:space="preserve"> </w:t>
      </w:r>
      <w:r>
        <w:rPr>
          <w:sz w:val="18"/>
        </w:rPr>
        <w:t>Conron,</w:t>
      </w:r>
      <w:r>
        <w:rPr>
          <w:spacing w:val="-2"/>
          <w:sz w:val="18"/>
        </w:rPr>
        <w:t xml:space="preserve"> </w:t>
      </w:r>
      <w:r>
        <w:rPr>
          <w:sz w:val="18"/>
        </w:rPr>
        <w:t>“LGBT</w:t>
      </w:r>
      <w:r>
        <w:rPr>
          <w:spacing w:val="-2"/>
          <w:sz w:val="18"/>
        </w:rPr>
        <w:t xml:space="preserve"> </w:t>
      </w:r>
      <w:r>
        <w:rPr>
          <w:sz w:val="18"/>
        </w:rPr>
        <w:t>Adult</w:t>
      </w:r>
      <w:r>
        <w:rPr>
          <w:spacing w:val="-3"/>
          <w:sz w:val="18"/>
        </w:rPr>
        <w:t xml:space="preserve"> </w:t>
      </w:r>
      <w:r>
        <w:rPr>
          <w:sz w:val="18"/>
        </w:rPr>
        <w:t>Immigrants</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United</w:t>
      </w:r>
      <w:r>
        <w:rPr>
          <w:spacing w:val="-3"/>
          <w:sz w:val="18"/>
        </w:rPr>
        <w:t xml:space="preserve"> </w:t>
      </w:r>
      <w:r>
        <w:rPr>
          <w:sz w:val="18"/>
        </w:rPr>
        <w:t>States,”</w:t>
      </w:r>
      <w:r>
        <w:rPr>
          <w:spacing w:val="-3"/>
          <w:sz w:val="18"/>
        </w:rPr>
        <w:t xml:space="preserve"> </w:t>
      </w:r>
      <w:r>
        <w:rPr>
          <w:sz w:val="18"/>
        </w:rPr>
        <w:t>Williams</w:t>
      </w:r>
      <w:r>
        <w:rPr>
          <w:spacing w:val="-3"/>
          <w:sz w:val="18"/>
        </w:rPr>
        <w:t xml:space="preserve"> </w:t>
      </w:r>
      <w:r>
        <w:rPr>
          <w:sz w:val="18"/>
        </w:rPr>
        <w:t>Institute,</w:t>
      </w:r>
      <w:r>
        <w:rPr>
          <w:spacing w:val="-2"/>
          <w:sz w:val="18"/>
        </w:rPr>
        <w:t xml:space="preserve"> </w:t>
      </w:r>
      <w:r>
        <w:rPr>
          <w:sz w:val="18"/>
        </w:rPr>
        <w:t>February</w:t>
      </w:r>
      <w:r>
        <w:rPr>
          <w:spacing w:val="-2"/>
          <w:sz w:val="18"/>
        </w:rPr>
        <w:t xml:space="preserve"> </w:t>
      </w:r>
      <w:r>
        <w:rPr>
          <w:sz w:val="18"/>
        </w:rPr>
        <w:t xml:space="preserve">2021, </w:t>
      </w:r>
      <w:r>
        <w:rPr>
          <w:spacing w:val="-2"/>
          <w:sz w:val="18"/>
        </w:rPr>
        <w:t>https://williamsinstitute.law.ucla.edu/publications/lgbt-immigrants-in-the-us/.</w:t>
      </w:r>
    </w:p>
    <w:p w:rsidR="00200FDA" w:rsidRDefault="00F76C4C">
      <w:pPr>
        <w:ind w:left="280" w:right="2920" w:hanging="1"/>
        <w:rPr>
          <w:sz w:val="18"/>
        </w:rPr>
      </w:pPr>
      <w:r>
        <w:rPr>
          <w:position w:val="5"/>
          <w:sz w:val="12"/>
        </w:rPr>
        <w:t>3</w:t>
      </w:r>
      <w:r>
        <w:rPr>
          <w:spacing w:val="9"/>
          <w:position w:val="5"/>
          <w:sz w:val="12"/>
        </w:rPr>
        <w:t xml:space="preserve"> </w:t>
      </w:r>
      <w:r>
        <w:rPr>
          <w:sz w:val="18"/>
        </w:rPr>
        <w:t>Ari</w:t>
      </w:r>
      <w:r>
        <w:rPr>
          <w:spacing w:val="-4"/>
          <w:sz w:val="18"/>
        </w:rPr>
        <w:t xml:space="preserve"> </w:t>
      </w:r>
      <w:r>
        <w:rPr>
          <w:sz w:val="18"/>
        </w:rPr>
        <w:t>Shaw</w:t>
      </w:r>
      <w:r>
        <w:rPr>
          <w:spacing w:val="-2"/>
          <w:sz w:val="18"/>
        </w:rPr>
        <w:t xml:space="preserve"> </w:t>
      </w:r>
      <w:r>
        <w:rPr>
          <w:sz w:val="18"/>
        </w:rPr>
        <w:t>et</w:t>
      </w:r>
      <w:r>
        <w:rPr>
          <w:spacing w:val="-4"/>
          <w:sz w:val="18"/>
        </w:rPr>
        <w:t xml:space="preserve"> </w:t>
      </w:r>
      <w:r>
        <w:rPr>
          <w:sz w:val="18"/>
        </w:rPr>
        <w:t>al.,</w:t>
      </w:r>
      <w:r>
        <w:rPr>
          <w:spacing w:val="-3"/>
          <w:sz w:val="18"/>
        </w:rPr>
        <w:t xml:space="preserve"> </w:t>
      </w:r>
      <w:r>
        <w:rPr>
          <w:sz w:val="18"/>
        </w:rPr>
        <w:t>“LGBT</w:t>
      </w:r>
      <w:r>
        <w:rPr>
          <w:spacing w:val="-2"/>
          <w:sz w:val="18"/>
        </w:rPr>
        <w:t xml:space="preserve"> </w:t>
      </w:r>
      <w:r>
        <w:rPr>
          <w:sz w:val="18"/>
        </w:rPr>
        <w:t>Asylum</w:t>
      </w:r>
      <w:r>
        <w:rPr>
          <w:spacing w:val="-3"/>
          <w:sz w:val="18"/>
        </w:rPr>
        <w:t xml:space="preserve"> </w:t>
      </w:r>
      <w:r>
        <w:rPr>
          <w:sz w:val="18"/>
        </w:rPr>
        <w:t>Claims</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United</w:t>
      </w:r>
      <w:r>
        <w:rPr>
          <w:spacing w:val="-2"/>
          <w:sz w:val="18"/>
        </w:rPr>
        <w:t xml:space="preserve"> </w:t>
      </w:r>
      <w:r>
        <w:rPr>
          <w:sz w:val="18"/>
        </w:rPr>
        <w:t>States,”</w:t>
      </w:r>
      <w:r>
        <w:rPr>
          <w:spacing w:val="-4"/>
          <w:sz w:val="18"/>
        </w:rPr>
        <w:t xml:space="preserve"> </w:t>
      </w:r>
      <w:r>
        <w:rPr>
          <w:sz w:val="18"/>
        </w:rPr>
        <w:t>Williams</w:t>
      </w:r>
      <w:r>
        <w:rPr>
          <w:spacing w:val="-4"/>
          <w:sz w:val="18"/>
        </w:rPr>
        <w:t xml:space="preserve"> </w:t>
      </w:r>
      <w:r>
        <w:rPr>
          <w:sz w:val="18"/>
        </w:rPr>
        <w:t>Institute,</w:t>
      </w:r>
      <w:r>
        <w:rPr>
          <w:spacing w:val="-3"/>
          <w:sz w:val="18"/>
        </w:rPr>
        <w:t xml:space="preserve"> </w:t>
      </w:r>
      <w:r>
        <w:rPr>
          <w:sz w:val="18"/>
        </w:rPr>
        <w:t>March</w:t>
      </w:r>
      <w:r>
        <w:rPr>
          <w:spacing w:val="-4"/>
          <w:sz w:val="18"/>
        </w:rPr>
        <w:t xml:space="preserve"> </w:t>
      </w:r>
      <w:r>
        <w:rPr>
          <w:sz w:val="18"/>
        </w:rPr>
        <w:t xml:space="preserve">2021, </w:t>
      </w:r>
      <w:r>
        <w:rPr>
          <w:spacing w:val="-2"/>
          <w:sz w:val="18"/>
        </w:rPr>
        <w:t>https://williamsinstitute.law.ucla.edu/publica</w:t>
      </w:r>
      <w:r>
        <w:rPr>
          <w:spacing w:val="-2"/>
          <w:sz w:val="18"/>
        </w:rPr>
        <w:t>tions/lgbt-asylum-claims/.</w:t>
      </w:r>
    </w:p>
    <w:p w:rsidR="00200FDA" w:rsidRDefault="00F76C4C">
      <w:pPr>
        <w:ind w:left="280" w:right="544" w:hanging="1"/>
        <w:rPr>
          <w:sz w:val="18"/>
        </w:rPr>
      </w:pPr>
      <w:r>
        <w:rPr>
          <w:position w:val="5"/>
          <w:sz w:val="12"/>
        </w:rPr>
        <w:t>4</w:t>
      </w:r>
      <w:r>
        <w:rPr>
          <w:spacing w:val="15"/>
          <w:position w:val="5"/>
          <w:sz w:val="12"/>
        </w:rPr>
        <w:t xml:space="preserve"> </w:t>
      </w:r>
      <w:r>
        <w:rPr>
          <w:sz w:val="18"/>
        </w:rPr>
        <w:t xml:space="preserve">Sharita Gruberg, Caitlin Rooney, and Ashe McGovern, “Serving LGBTQ Immigrants and Building Welcoming Communities,” </w:t>
      </w:r>
      <w:r>
        <w:rPr>
          <w:i/>
          <w:sz w:val="18"/>
        </w:rPr>
        <w:t>Center</w:t>
      </w:r>
      <w:r>
        <w:rPr>
          <w:i/>
          <w:spacing w:val="-6"/>
          <w:sz w:val="18"/>
        </w:rPr>
        <w:t xml:space="preserve"> </w:t>
      </w:r>
      <w:r>
        <w:rPr>
          <w:i/>
          <w:sz w:val="18"/>
        </w:rPr>
        <w:t>for</w:t>
      </w:r>
      <w:r>
        <w:rPr>
          <w:i/>
          <w:spacing w:val="-6"/>
          <w:sz w:val="18"/>
        </w:rPr>
        <w:t xml:space="preserve"> </w:t>
      </w:r>
      <w:r>
        <w:rPr>
          <w:i/>
          <w:sz w:val="18"/>
        </w:rPr>
        <w:t>American</w:t>
      </w:r>
      <w:r>
        <w:rPr>
          <w:i/>
          <w:spacing w:val="-5"/>
          <w:sz w:val="18"/>
        </w:rPr>
        <w:t xml:space="preserve"> </w:t>
      </w:r>
      <w:r>
        <w:rPr>
          <w:i/>
          <w:sz w:val="18"/>
        </w:rPr>
        <w:t>Progress</w:t>
      </w:r>
      <w:r>
        <w:rPr>
          <w:i/>
          <w:spacing w:val="-6"/>
          <w:sz w:val="18"/>
        </w:rPr>
        <w:t xml:space="preserve"> </w:t>
      </w:r>
      <w:r>
        <w:rPr>
          <w:sz w:val="18"/>
        </w:rPr>
        <w:t>(blog),</w:t>
      </w:r>
      <w:r>
        <w:rPr>
          <w:spacing w:val="-6"/>
          <w:sz w:val="18"/>
        </w:rPr>
        <w:t xml:space="preserve"> </w:t>
      </w:r>
      <w:r>
        <w:rPr>
          <w:sz w:val="18"/>
        </w:rPr>
        <w:t>January</w:t>
      </w:r>
      <w:r>
        <w:rPr>
          <w:spacing w:val="-6"/>
          <w:sz w:val="18"/>
        </w:rPr>
        <w:t xml:space="preserve"> </w:t>
      </w:r>
      <w:r>
        <w:rPr>
          <w:sz w:val="18"/>
        </w:rPr>
        <w:t>24,</w:t>
      </w:r>
      <w:r>
        <w:rPr>
          <w:spacing w:val="-6"/>
          <w:sz w:val="18"/>
        </w:rPr>
        <w:t xml:space="preserve"> </w:t>
      </w:r>
      <w:r>
        <w:rPr>
          <w:sz w:val="18"/>
        </w:rPr>
        <w:t>2018,</w:t>
      </w:r>
      <w:r>
        <w:rPr>
          <w:spacing w:val="-6"/>
          <w:sz w:val="18"/>
        </w:rPr>
        <w:t xml:space="preserve"> </w:t>
      </w:r>
      <w:r>
        <w:rPr>
          <w:sz w:val="18"/>
        </w:rPr>
        <w:t>https://</w:t>
      </w:r>
      <w:hyperlink r:id="rId849">
        <w:r>
          <w:rPr>
            <w:sz w:val="18"/>
          </w:rPr>
          <w:t>www.americanprogress.org/article/serving-lgbtq-immigrants-</w:t>
        </w:r>
      </w:hyperlink>
      <w:r>
        <w:rPr>
          <w:sz w:val="18"/>
        </w:rPr>
        <w:t xml:space="preserve"> </w:t>
      </w:r>
      <w:r>
        <w:rPr>
          <w:spacing w:val="-2"/>
          <w:sz w:val="18"/>
        </w:rPr>
        <w:t>building-welcoming-communities/.</w:t>
      </w:r>
    </w:p>
    <w:p w:rsidR="00200FDA" w:rsidRDefault="00200FDA">
      <w:pPr>
        <w:rPr>
          <w:sz w:val="18"/>
        </w:rPr>
        <w:sectPr w:rsidR="00200FDA">
          <w:pgSz w:w="12240" w:h="15840"/>
          <w:pgMar w:top="1260" w:right="1160" w:bottom="1240" w:left="1160" w:header="761" w:footer="1043" w:gutter="0"/>
          <w:cols w:space="720"/>
        </w:sectPr>
      </w:pPr>
    </w:p>
    <w:p w:rsidR="00200FDA" w:rsidRDefault="00200FDA">
      <w:pPr>
        <w:pStyle w:val="BodyText"/>
        <w:spacing w:before="10"/>
        <w:rPr>
          <w:sz w:val="10"/>
        </w:rPr>
      </w:pPr>
    </w:p>
    <w:p w:rsidR="00200FDA" w:rsidRDefault="00F76C4C">
      <w:pPr>
        <w:spacing w:before="35"/>
        <w:ind w:left="280"/>
        <w:rPr>
          <w:sz w:val="32"/>
        </w:rPr>
      </w:pPr>
      <w:r>
        <w:pict>
          <v:rect id="docshape594" o:spid="_x0000_s1058" style="position:absolute;left:0;text-align:left;margin-left:70.55pt;margin-top:22.25pt;width:470.9pt;height:.5pt;z-index:-15606272;mso-wrap-distance-left:0;mso-wrap-distance-right:0;mso-position-horizontal-relative:page" fillcolor="#4f81bc" stroked="f">
            <w10:wrap type="topAndBottom" anchorx="page"/>
          </v:rect>
        </w:pict>
      </w:r>
      <w:bookmarkStart w:id="1149" w:name="FY24_DTA_Recommendations_-_Final.pdf"/>
      <w:bookmarkStart w:id="1150" w:name="Department_of_Transitional_Assistance"/>
      <w:bookmarkStart w:id="1151" w:name="_bookmark901"/>
      <w:bookmarkEnd w:id="1149"/>
      <w:bookmarkEnd w:id="1150"/>
      <w:bookmarkEnd w:id="1151"/>
      <w:r>
        <w:rPr>
          <w:color w:val="365F91"/>
          <w:sz w:val="32"/>
        </w:rPr>
        <w:t>Department</w:t>
      </w:r>
      <w:r>
        <w:rPr>
          <w:color w:val="365F91"/>
          <w:spacing w:val="-9"/>
          <w:sz w:val="32"/>
        </w:rPr>
        <w:t xml:space="preserve"> </w:t>
      </w:r>
      <w:r>
        <w:rPr>
          <w:color w:val="365F91"/>
          <w:sz w:val="32"/>
        </w:rPr>
        <w:t>of</w:t>
      </w:r>
      <w:r>
        <w:rPr>
          <w:color w:val="365F91"/>
          <w:spacing w:val="-12"/>
          <w:sz w:val="32"/>
        </w:rPr>
        <w:t xml:space="preserve"> </w:t>
      </w:r>
      <w:r>
        <w:rPr>
          <w:color w:val="365F91"/>
          <w:sz w:val="32"/>
        </w:rPr>
        <w:t>Transitional</w:t>
      </w:r>
      <w:r>
        <w:rPr>
          <w:color w:val="365F91"/>
          <w:spacing w:val="-11"/>
          <w:sz w:val="32"/>
        </w:rPr>
        <w:t xml:space="preserve"> </w:t>
      </w:r>
      <w:r>
        <w:rPr>
          <w:color w:val="365F91"/>
          <w:spacing w:val="-2"/>
          <w:sz w:val="32"/>
        </w:rPr>
        <w:t>Assistance</w:t>
      </w:r>
    </w:p>
    <w:p w:rsidR="00200FDA" w:rsidRDefault="00200FDA">
      <w:pPr>
        <w:pStyle w:val="BodyText"/>
        <w:rPr>
          <w:sz w:val="20"/>
        </w:rPr>
      </w:pPr>
    </w:p>
    <w:p w:rsidR="00200FDA" w:rsidRDefault="00200FDA">
      <w:pPr>
        <w:pStyle w:val="BodyText"/>
        <w:spacing w:before="7"/>
        <w:rPr>
          <w:sz w:val="21"/>
        </w:rPr>
      </w:pPr>
    </w:p>
    <w:p w:rsidR="00200FDA" w:rsidRDefault="00F76C4C">
      <w:pPr>
        <w:pStyle w:val="Heading7"/>
        <w:spacing w:before="44"/>
      </w:pPr>
      <w:r>
        <w:pict>
          <v:rect id="docshape595" o:spid="_x0000_s1057" style="position:absolute;left:0;text-align:left;margin-left:70.55pt;margin-top:20.2pt;width:470.9pt;height:.5pt;z-index:-15605760;mso-wrap-distance-left:0;mso-wrap-distance-right:0;mso-position-horizontal-relative:page" fillcolor="#4f81bc" stroked="f">
            <w10:wrap type="topAndBottom" anchorx="page"/>
          </v:rect>
        </w:pict>
      </w:r>
      <w:r>
        <w:rPr>
          <w:color w:val="365F91"/>
        </w:rPr>
        <w:t>FY2024</w:t>
      </w:r>
      <w:r>
        <w:rPr>
          <w:color w:val="365F91"/>
          <w:spacing w:val="-6"/>
        </w:rPr>
        <w:t xml:space="preserve"> </w:t>
      </w:r>
      <w:r>
        <w:rPr>
          <w:color w:val="365F91"/>
          <w:spacing w:val="-2"/>
        </w:rPr>
        <w:t>Recommendations</w:t>
      </w:r>
    </w:p>
    <w:p w:rsidR="00200FDA" w:rsidRDefault="00200FDA">
      <w:pPr>
        <w:pStyle w:val="BodyText"/>
        <w:rPr>
          <w:sz w:val="20"/>
        </w:rPr>
      </w:pPr>
    </w:p>
    <w:p w:rsidR="00200FDA" w:rsidRDefault="00200FDA">
      <w:pPr>
        <w:pStyle w:val="BodyText"/>
        <w:rPr>
          <w:sz w:val="20"/>
        </w:rPr>
      </w:pPr>
    </w:p>
    <w:p w:rsidR="00200FDA" w:rsidRDefault="00F76C4C">
      <w:pPr>
        <w:pStyle w:val="ListParagraph"/>
        <w:numPr>
          <w:ilvl w:val="1"/>
          <w:numId w:val="9"/>
        </w:numPr>
        <w:tabs>
          <w:tab w:val="left" w:pos="1001"/>
        </w:tabs>
        <w:spacing w:before="180"/>
        <w:ind w:hanging="362"/>
      </w:pPr>
      <w:r>
        <w:t>Explore</w:t>
      </w:r>
      <w:r>
        <w:rPr>
          <w:spacing w:val="-8"/>
        </w:rPr>
        <w:t xml:space="preserve"> </w:t>
      </w:r>
      <w:r>
        <w:t>the</w:t>
      </w:r>
      <w:r>
        <w:rPr>
          <w:spacing w:val="-6"/>
        </w:rPr>
        <w:t xml:space="preserve"> </w:t>
      </w:r>
      <w:r>
        <w:t>creation</w:t>
      </w:r>
      <w:r>
        <w:rPr>
          <w:spacing w:val="-6"/>
        </w:rPr>
        <w:t xml:space="preserve"> </w:t>
      </w:r>
      <w:r>
        <w:t>and</w:t>
      </w:r>
      <w:r>
        <w:rPr>
          <w:spacing w:val="-5"/>
        </w:rPr>
        <w:t xml:space="preserve"> </w:t>
      </w:r>
      <w:r>
        <w:t>hiring</w:t>
      </w:r>
      <w:r>
        <w:rPr>
          <w:spacing w:val="-5"/>
        </w:rPr>
        <w:t xml:space="preserve"> </w:t>
      </w:r>
      <w:r>
        <w:t>of</w:t>
      </w:r>
      <w:r>
        <w:rPr>
          <w:spacing w:val="-4"/>
        </w:rPr>
        <w:t xml:space="preserve"> </w:t>
      </w:r>
      <w:r>
        <w:t>a</w:t>
      </w:r>
      <w:r>
        <w:rPr>
          <w:spacing w:val="-4"/>
        </w:rPr>
        <w:t xml:space="preserve"> </w:t>
      </w:r>
      <w:r>
        <w:t>full-time</w:t>
      </w:r>
      <w:r>
        <w:rPr>
          <w:spacing w:val="-6"/>
        </w:rPr>
        <w:t xml:space="preserve"> </w:t>
      </w:r>
      <w:r>
        <w:t>DTA-specific</w:t>
      </w:r>
      <w:r>
        <w:rPr>
          <w:spacing w:val="-4"/>
        </w:rPr>
        <w:t xml:space="preserve"> </w:t>
      </w:r>
      <w:r>
        <w:t>LGBTQ</w:t>
      </w:r>
      <w:r>
        <w:rPr>
          <w:spacing w:val="-6"/>
        </w:rPr>
        <w:t xml:space="preserve"> </w:t>
      </w:r>
      <w:r>
        <w:t>outreach</w:t>
      </w:r>
      <w:r>
        <w:rPr>
          <w:spacing w:val="-5"/>
        </w:rPr>
        <w:t xml:space="preserve"> </w:t>
      </w:r>
      <w:r>
        <w:t>specialist</w:t>
      </w:r>
      <w:r>
        <w:rPr>
          <w:spacing w:val="-3"/>
        </w:rPr>
        <w:t xml:space="preserve"> </w:t>
      </w:r>
      <w:r>
        <w:rPr>
          <w:spacing w:val="-2"/>
        </w:rPr>
        <w:t>position.</w:t>
      </w:r>
    </w:p>
    <w:p w:rsidR="00200FDA" w:rsidRDefault="00F76C4C">
      <w:pPr>
        <w:pStyle w:val="ListParagraph"/>
        <w:numPr>
          <w:ilvl w:val="1"/>
          <w:numId w:val="9"/>
        </w:numPr>
        <w:tabs>
          <w:tab w:val="left" w:pos="1001"/>
        </w:tabs>
        <w:spacing w:before="133" w:line="360" w:lineRule="auto"/>
        <w:ind w:right="278"/>
      </w:pPr>
      <w:r>
        <w:t>Continue</w:t>
      </w:r>
      <w:r>
        <w:rPr>
          <w:spacing w:val="36"/>
        </w:rPr>
        <w:t xml:space="preserve"> </w:t>
      </w:r>
      <w:r>
        <w:t>to</w:t>
      </w:r>
      <w:r>
        <w:rPr>
          <w:spacing w:val="37"/>
        </w:rPr>
        <w:t xml:space="preserve"> </w:t>
      </w:r>
      <w:r>
        <w:t>review</w:t>
      </w:r>
      <w:r>
        <w:rPr>
          <w:spacing w:val="34"/>
        </w:rPr>
        <w:t xml:space="preserve"> </w:t>
      </w:r>
      <w:r>
        <w:t>opportunities</w:t>
      </w:r>
      <w:r>
        <w:rPr>
          <w:spacing w:val="36"/>
        </w:rPr>
        <w:t xml:space="preserve"> </w:t>
      </w:r>
      <w:r>
        <w:t>to</w:t>
      </w:r>
      <w:r>
        <w:rPr>
          <w:spacing w:val="37"/>
        </w:rPr>
        <w:t xml:space="preserve"> </w:t>
      </w:r>
      <w:r>
        <w:t>collect</w:t>
      </w:r>
      <w:r>
        <w:rPr>
          <w:spacing w:val="36"/>
        </w:rPr>
        <w:t xml:space="preserve"> </w:t>
      </w:r>
      <w:r>
        <w:t>inclusive</w:t>
      </w:r>
      <w:r>
        <w:rPr>
          <w:spacing w:val="36"/>
        </w:rPr>
        <w:t xml:space="preserve"> </w:t>
      </w:r>
      <w:r>
        <w:t>SOGIE</w:t>
      </w:r>
      <w:r>
        <w:rPr>
          <w:spacing w:val="36"/>
        </w:rPr>
        <w:t xml:space="preserve"> </w:t>
      </w:r>
      <w:r>
        <w:t>data</w:t>
      </w:r>
      <w:r>
        <w:rPr>
          <w:spacing w:val="36"/>
        </w:rPr>
        <w:t xml:space="preserve"> </w:t>
      </w:r>
      <w:r>
        <w:t>information,</w:t>
      </w:r>
      <w:r>
        <w:rPr>
          <w:spacing w:val="34"/>
        </w:rPr>
        <w:t xml:space="preserve"> </w:t>
      </w:r>
      <w:r>
        <w:t>and</w:t>
      </w:r>
      <w:r>
        <w:rPr>
          <w:spacing w:val="35"/>
        </w:rPr>
        <w:t xml:space="preserve"> </w:t>
      </w:r>
      <w:r>
        <w:t>update</w:t>
      </w:r>
      <w:r>
        <w:rPr>
          <w:spacing w:val="36"/>
        </w:rPr>
        <w:t xml:space="preserve"> </w:t>
      </w:r>
      <w:r>
        <w:t>IT systems to include new data fields where appropriate.</w:t>
      </w:r>
    </w:p>
    <w:p w:rsidR="00200FDA" w:rsidRDefault="00F76C4C">
      <w:pPr>
        <w:pStyle w:val="ListParagraph"/>
        <w:numPr>
          <w:ilvl w:val="1"/>
          <w:numId w:val="9"/>
        </w:numPr>
        <w:tabs>
          <w:tab w:val="left" w:pos="1001"/>
        </w:tabs>
        <w:spacing w:line="360" w:lineRule="auto"/>
        <w:ind w:right="275"/>
      </w:pPr>
      <w:r>
        <w:t>Expand</w:t>
      </w:r>
      <w:r>
        <w:rPr>
          <w:spacing w:val="35"/>
        </w:rPr>
        <w:t xml:space="preserve"> </w:t>
      </w:r>
      <w:r>
        <w:t>intersectional</w:t>
      </w:r>
      <w:r>
        <w:rPr>
          <w:spacing w:val="33"/>
        </w:rPr>
        <w:t xml:space="preserve"> </w:t>
      </w:r>
      <w:r>
        <w:t>LGBTQ</w:t>
      </w:r>
      <w:r>
        <w:rPr>
          <w:spacing w:val="36"/>
        </w:rPr>
        <w:t xml:space="preserve"> </w:t>
      </w:r>
      <w:r>
        <w:t>training</w:t>
      </w:r>
      <w:r>
        <w:rPr>
          <w:spacing w:val="35"/>
        </w:rPr>
        <w:t xml:space="preserve"> </w:t>
      </w:r>
      <w:r>
        <w:t>efforts</w:t>
      </w:r>
      <w:r>
        <w:rPr>
          <w:spacing w:val="33"/>
        </w:rPr>
        <w:t xml:space="preserve"> </w:t>
      </w:r>
      <w:r>
        <w:t>and</w:t>
      </w:r>
      <w:r>
        <w:rPr>
          <w:spacing w:val="33"/>
        </w:rPr>
        <w:t xml:space="preserve"> </w:t>
      </w:r>
      <w:r>
        <w:t>mandate</w:t>
      </w:r>
      <w:r>
        <w:rPr>
          <w:spacing w:val="36"/>
        </w:rPr>
        <w:t xml:space="preserve"> </w:t>
      </w:r>
      <w:r>
        <w:t>racial</w:t>
      </w:r>
      <w:r>
        <w:rPr>
          <w:spacing w:val="33"/>
        </w:rPr>
        <w:t xml:space="preserve"> </w:t>
      </w:r>
      <w:r>
        <w:t>justice</w:t>
      </w:r>
      <w:r>
        <w:rPr>
          <w:spacing w:val="34"/>
        </w:rPr>
        <w:t xml:space="preserve"> </w:t>
      </w:r>
      <w:r>
        <w:t>trainings</w:t>
      </w:r>
      <w:r>
        <w:rPr>
          <w:spacing w:val="36"/>
        </w:rPr>
        <w:t xml:space="preserve"> </w:t>
      </w:r>
      <w:r>
        <w:t>for</w:t>
      </w:r>
      <w:r>
        <w:rPr>
          <w:spacing w:val="33"/>
        </w:rPr>
        <w:t xml:space="preserve"> </w:t>
      </w:r>
      <w:r>
        <w:t>all</w:t>
      </w:r>
      <w:r>
        <w:rPr>
          <w:spacing w:val="33"/>
        </w:rPr>
        <w:t xml:space="preserve"> </w:t>
      </w:r>
      <w:r>
        <w:t xml:space="preserve">DTA </w:t>
      </w:r>
      <w:r>
        <w:rPr>
          <w:spacing w:val="-2"/>
        </w:rPr>
        <w:t>employees.</w:t>
      </w:r>
    </w:p>
    <w:p w:rsidR="00200FDA" w:rsidRDefault="00F76C4C">
      <w:pPr>
        <w:pStyle w:val="ListParagraph"/>
        <w:numPr>
          <w:ilvl w:val="1"/>
          <w:numId w:val="9"/>
        </w:numPr>
        <w:tabs>
          <w:tab w:val="left" w:pos="1001"/>
        </w:tabs>
        <w:spacing w:before="1" w:line="360" w:lineRule="auto"/>
        <w:ind w:right="276"/>
      </w:pPr>
      <w:r>
        <w:t>Support</w:t>
      </w:r>
      <w:r>
        <w:rPr>
          <w:spacing w:val="39"/>
        </w:rPr>
        <w:t xml:space="preserve"> </w:t>
      </w:r>
      <w:r>
        <w:t>internal</w:t>
      </w:r>
      <w:r>
        <w:rPr>
          <w:spacing w:val="38"/>
        </w:rPr>
        <w:t xml:space="preserve"> </w:t>
      </w:r>
      <w:r>
        <w:t>working</w:t>
      </w:r>
      <w:r>
        <w:rPr>
          <w:spacing w:val="37"/>
        </w:rPr>
        <w:t xml:space="preserve"> </w:t>
      </w:r>
      <w:r>
        <w:t>groups</w:t>
      </w:r>
      <w:r>
        <w:rPr>
          <w:spacing w:val="38"/>
        </w:rPr>
        <w:t xml:space="preserve"> </w:t>
      </w:r>
      <w:r>
        <w:t>to</w:t>
      </w:r>
      <w:r>
        <w:rPr>
          <w:spacing w:val="39"/>
        </w:rPr>
        <w:t xml:space="preserve"> </w:t>
      </w:r>
      <w:r>
        <w:t>uplift</w:t>
      </w:r>
      <w:r>
        <w:rPr>
          <w:spacing w:val="39"/>
        </w:rPr>
        <w:t xml:space="preserve"> </w:t>
      </w:r>
      <w:r>
        <w:t>conversations</w:t>
      </w:r>
      <w:r>
        <w:rPr>
          <w:spacing w:val="38"/>
        </w:rPr>
        <w:t xml:space="preserve"> </w:t>
      </w:r>
      <w:r>
        <w:t>&amp;</w:t>
      </w:r>
      <w:r>
        <w:rPr>
          <w:spacing w:val="39"/>
        </w:rPr>
        <w:t xml:space="preserve"> </w:t>
      </w:r>
      <w:r>
        <w:t>events</w:t>
      </w:r>
      <w:r>
        <w:rPr>
          <w:spacing w:val="36"/>
        </w:rPr>
        <w:t xml:space="preserve"> </w:t>
      </w:r>
      <w:r>
        <w:t>on</w:t>
      </w:r>
      <w:r>
        <w:rPr>
          <w:spacing w:val="37"/>
        </w:rPr>
        <w:t xml:space="preserve"> </w:t>
      </w:r>
      <w:r>
        <w:t>intersectionality</w:t>
      </w:r>
      <w:r>
        <w:rPr>
          <w:spacing w:val="39"/>
        </w:rPr>
        <w:t xml:space="preserve"> </w:t>
      </w:r>
      <w:r>
        <w:t>in</w:t>
      </w:r>
      <w:r>
        <w:rPr>
          <w:spacing w:val="37"/>
        </w:rPr>
        <w:t xml:space="preserve"> </w:t>
      </w:r>
      <w:r>
        <w:t xml:space="preserve">the </w:t>
      </w:r>
      <w:r>
        <w:rPr>
          <w:spacing w:val="-2"/>
        </w:rPr>
        <w:t>workplace.</w:t>
      </w:r>
    </w:p>
    <w:p w:rsidR="00200FDA" w:rsidRDefault="00F76C4C">
      <w:pPr>
        <w:pStyle w:val="ListParagraph"/>
        <w:numPr>
          <w:ilvl w:val="1"/>
          <w:numId w:val="9"/>
        </w:numPr>
        <w:tabs>
          <w:tab w:val="left" w:pos="1001"/>
        </w:tabs>
        <w:spacing w:line="360" w:lineRule="auto"/>
        <w:ind w:right="275"/>
      </w:pPr>
      <w:r>
        <w:t>Develop</w:t>
      </w:r>
      <w:r>
        <w:rPr>
          <w:spacing w:val="40"/>
        </w:rPr>
        <w:t xml:space="preserve"> </w:t>
      </w:r>
      <w:r>
        <w:t>resources</w:t>
      </w:r>
      <w:r>
        <w:rPr>
          <w:spacing w:val="40"/>
        </w:rPr>
        <w:t xml:space="preserve"> </w:t>
      </w:r>
      <w:r>
        <w:t>and</w:t>
      </w:r>
      <w:r>
        <w:rPr>
          <w:spacing w:val="38"/>
        </w:rPr>
        <w:t xml:space="preserve"> </w:t>
      </w:r>
      <w:r>
        <w:t>outreach</w:t>
      </w:r>
      <w:r>
        <w:rPr>
          <w:spacing w:val="38"/>
        </w:rPr>
        <w:t xml:space="preserve"> </w:t>
      </w:r>
      <w:r>
        <w:t>materials</w:t>
      </w:r>
      <w:r>
        <w:rPr>
          <w:spacing w:val="40"/>
        </w:rPr>
        <w:t xml:space="preserve"> </w:t>
      </w:r>
      <w:r>
        <w:t>targeted</w:t>
      </w:r>
      <w:r>
        <w:rPr>
          <w:spacing w:val="36"/>
        </w:rPr>
        <w:t xml:space="preserve"> </w:t>
      </w:r>
      <w:r>
        <w:t>towards</w:t>
      </w:r>
      <w:r>
        <w:rPr>
          <w:spacing w:val="40"/>
        </w:rPr>
        <w:t xml:space="preserve"> </w:t>
      </w:r>
      <w:r>
        <w:t>LGBTQ</w:t>
      </w:r>
      <w:r>
        <w:rPr>
          <w:spacing w:val="39"/>
        </w:rPr>
        <w:t xml:space="preserve"> </w:t>
      </w:r>
      <w:r>
        <w:t>&amp;</w:t>
      </w:r>
      <w:r>
        <w:rPr>
          <w:spacing w:val="40"/>
        </w:rPr>
        <w:t xml:space="preserve"> </w:t>
      </w:r>
      <w:r>
        <w:t>BIPOC</w:t>
      </w:r>
      <w:r>
        <w:rPr>
          <w:spacing w:val="37"/>
        </w:rPr>
        <w:t xml:space="preserve"> </w:t>
      </w:r>
      <w:r>
        <w:t>youth</w:t>
      </w:r>
      <w:r>
        <w:rPr>
          <w:spacing w:val="38"/>
        </w:rPr>
        <w:t xml:space="preserve"> </w:t>
      </w:r>
      <w:r>
        <w:t>to</w:t>
      </w:r>
      <w:r>
        <w:rPr>
          <w:spacing w:val="40"/>
        </w:rPr>
        <w:t xml:space="preserve"> </w:t>
      </w:r>
      <w:r>
        <w:t>raise awareness about services &amp; programs available.</w:t>
      </w:r>
    </w:p>
    <w:p w:rsidR="00200FDA" w:rsidRDefault="00200FDA">
      <w:pPr>
        <w:pStyle w:val="BodyText"/>
        <w:spacing w:before="10"/>
        <w:rPr>
          <w:sz w:val="32"/>
        </w:rPr>
      </w:pPr>
    </w:p>
    <w:p w:rsidR="00200FDA" w:rsidRDefault="00F76C4C">
      <w:pPr>
        <w:pStyle w:val="Heading7"/>
      </w:pPr>
      <w:r>
        <w:pict>
          <v:rect id="docshape596" o:spid="_x0000_s1056" style="position:absolute;left:0;text-align:left;margin-left:70.55pt;margin-top:18pt;width:470.9pt;height:.5pt;z-index:-15605248;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20"/>
        </w:rPr>
      </w:pPr>
    </w:p>
    <w:p w:rsidR="00200FDA" w:rsidRDefault="00200FDA">
      <w:pPr>
        <w:pStyle w:val="BodyText"/>
        <w:spacing w:before="4"/>
        <w:rPr>
          <w:sz w:val="20"/>
        </w:rPr>
      </w:pPr>
    </w:p>
    <w:p w:rsidR="00200FDA" w:rsidRDefault="00F76C4C">
      <w:pPr>
        <w:pStyle w:val="BodyText"/>
        <w:spacing w:before="56" w:line="276" w:lineRule="auto"/>
        <w:ind w:left="280" w:right="277"/>
        <w:jc w:val="both"/>
      </w:pPr>
      <w:r>
        <w:t>The</w:t>
      </w:r>
      <w:r>
        <w:rPr>
          <w:spacing w:val="-9"/>
        </w:rPr>
        <w:t xml:space="preserve"> </w:t>
      </w:r>
      <w:r>
        <w:t>Department</w:t>
      </w:r>
      <w:r>
        <w:rPr>
          <w:spacing w:val="-9"/>
        </w:rPr>
        <w:t xml:space="preserve"> </w:t>
      </w:r>
      <w:r>
        <w:t>of</w:t>
      </w:r>
      <w:r>
        <w:rPr>
          <w:spacing w:val="-10"/>
        </w:rPr>
        <w:t xml:space="preserve"> </w:t>
      </w:r>
      <w:r>
        <w:t>Transitional</w:t>
      </w:r>
      <w:r>
        <w:rPr>
          <w:spacing w:val="-10"/>
        </w:rPr>
        <w:t xml:space="preserve"> </w:t>
      </w:r>
      <w:r>
        <w:t>Assistance</w:t>
      </w:r>
      <w:r>
        <w:rPr>
          <w:spacing w:val="-9"/>
        </w:rPr>
        <w:t xml:space="preserve"> </w:t>
      </w:r>
      <w:r>
        <w:t>(DTA)</w:t>
      </w:r>
      <w:r>
        <w:rPr>
          <w:spacing w:val="-10"/>
        </w:rPr>
        <w:t xml:space="preserve"> </w:t>
      </w:r>
      <w:r>
        <w:t>assists</w:t>
      </w:r>
      <w:r>
        <w:rPr>
          <w:spacing w:val="-10"/>
        </w:rPr>
        <w:t xml:space="preserve"> </w:t>
      </w:r>
      <w:r>
        <w:t>low-income</w:t>
      </w:r>
      <w:r>
        <w:rPr>
          <w:spacing w:val="-9"/>
        </w:rPr>
        <w:t xml:space="preserve"> </w:t>
      </w:r>
      <w:r>
        <w:t>individuals</w:t>
      </w:r>
      <w:r>
        <w:rPr>
          <w:spacing w:val="-10"/>
        </w:rPr>
        <w:t xml:space="preserve"> </w:t>
      </w:r>
      <w:r>
        <w:t>and</w:t>
      </w:r>
      <w:r>
        <w:rPr>
          <w:spacing w:val="-11"/>
        </w:rPr>
        <w:t xml:space="preserve"> </w:t>
      </w:r>
      <w:r>
        <w:t>their</w:t>
      </w:r>
      <w:r>
        <w:rPr>
          <w:spacing w:val="-10"/>
        </w:rPr>
        <w:t xml:space="preserve"> </w:t>
      </w:r>
      <w:r>
        <w:t>families</w:t>
      </w:r>
      <w:r>
        <w:rPr>
          <w:spacing w:val="-10"/>
        </w:rPr>
        <w:t xml:space="preserve"> </w:t>
      </w:r>
      <w:r>
        <w:t>to</w:t>
      </w:r>
      <w:r>
        <w:rPr>
          <w:spacing w:val="-9"/>
        </w:rPr>
        <w:t xml:space="preserve"> </w:t>
      </w:r>
      <w:r>
        <w:t>meet their</w:t>
      </w:r>
      <w:r>
        <w:rPr>
          <w:spacing w:val="-13"/>
        </w:rPr>
        <w:t xml:space="preserve"> </w:t>
      </w:r>
      <w:r>
        <w:t>basic</w:t>
      </w:r>
      <w:r>
        <w:rPr>
          <w:spacing w:val="-12"/>
        </w:rPr>
        <w:t xml:space="preserve"> </w:t>
      </w:r>
      <w:r>
        <w:t>needs,</w:t>
      </w:r>
      <w:r>
        <w:rPr>
          <w:spacing w:val="-13"/>
        </w:rPr>
        <w:t xml:space="preserve"> </w:t>
      </w:r>
      <w:r>
        <w:t>increase</w:t>
      </w:r>
      <w:r>
        <w:rPr>
          <w:spacing w:val="-12"/>
        </w:rPr>
        <w:t xml:space="preserve"> </w:t>
      </w:r>
      <w:r>
        <w:t>their</w:t>
      </w:r>
      <w:r>
        <w:rPr>
          <w:spacing w:val="-13"/>
        </w:rPr>
        <w:t xml:space="preserve"> </w:t>
      </w:r>
      <w:r>
        <w:t>incomes,</w:t>
      </w:r>
      <w:r>
        <w:rPr>
          <w:spacing w:val="-12"/>
        </w:rPr>
        <w:t xml:space="preserve"> </w:t>
      </w:r>
      <w:r>
        <w:t>and</w:t>
      </w:r>
      <w:r>
        <w:rPr>
          <w:spacing w:val="-13"/>
        </w:rPr>
        <w:t xml:space="preserve"> </w:t>
      </w:r>
      <w:r>
        <w:t>improve</w:t>
      </w:r>
      <w:r>
        <w:rPr>
          <w:spacing w:val="-12"/>
        </w:rPr>
        <w:t xml:space="preserve"> </w:t>
      </w:r>
      <w:r>
        <w:t>overall</w:t>
      </w:r>
      <w:r>
        <w:rPr>
          <w:spacing w:val="-12"/>
        </w:rPr>
        <w:t xml:space="preserve"> </w:t>
      </w:r>
      <w:r>
        <w:t>quality</w:t>
      </w:r>
      <w:r>
        <w:rPr>
          <w:spacing w:val="-13"/>
        </w:rPr>
        <w:t xml:space="preserve"> </w:t>
      </w:r>
      <w:r>
        <w:t>of</w:t>
      </w:r>
      <w:r>
        <w:rPr>
          <w:spacing w:val="-12"/>
        </w:rPr>
        <w:t xml:space="preserve"> </w:t>
      </w:r>
      <w:r>
        <w:t>life.</w:t>
      </w:r>
      <w:r>
        <w:rPr>
          <w:spacing w:val="-13"/>
        </w:rPr>
        <w:t xml:space="preserve"> </w:t>
      </w:r>
      <w:r>
        <w:t>Per</w:t>
      </w:r>
      <w:r>
        <w:rPr>
          <w:spacing w:val="-12"/>
        </w:rPr>
        <w:t xml:space="preserve"> </w:t>
      </w:r>
      <w:r>
        <w:t>DTA’s</w:t>
      </w:r>
      <w:r>
        <w:rPr>
          <w:spacing w:val="-13"/>
        </w:rPr>
        <w:t xml:space="preserve"> </w:t>
      </w:r>
      <w:r>
        <w:t>website,</w:t>
      </w:r>
      <w:r>
        <w:rPr>
          <w:spacing w:val="-12"/>
        </w:rPr>
        <w:t xml:space="preserve"> </w:t>
      </w:r>
      <w:r>
        <w:t>the</w:t>
      </w:r>
      <w:r>
        <w:rPr>
          <w:spacing w:val="-12"/>
        </w:rPr>
        <w:t xml:space="preserve"> </w:t>
      </w:r>
      <w:r>
        <w:t>agency services 1 in 7 Massachusetts families every year with direct assistance through cash benefits, food assistance,</w:t>
      </w:r>
      <w:r>
        <w:rPr>
          <w:spacing w:val="-10"/>
        </w:rPr>
        <w:t xml:space="preserve"> </w:t>
      </w:r>
      <w:r>
        <w:t>and</w:t>
      </w:r>
      <w:r>
        <w:rPr>
          <w:spacing w:val="-11"/>
        </w:rPr>
        <w:t xml:space="preserve"> </w:t>
      </w:r>
      <w:r>
        <w:t>workplace</w:t>
      </w:r>
      <w:r>
        <w:rPr>
          <w:spacing w:val="-9"/>
        </w:rPr>
        <w:t xml:space="preserve"> </w:t>
      </w:r>
      <w:r>
        <w:t>training</w:t>
      </w:r>
      <w:r>
        <w:rPr>
          <w:spacing w:val="-8"/>
        </w:rPr>
        <w:t xml:space="preserve"> </w:t>
      </w:r>
      <w:r>
        <w:t>opportunities.</w:t>
      </w:r>
      <w:r>
        <w:rPr>
          <w:spacing w:val="-10"/>
        </w:rPr>
        <w:t xml:space="preserve"> </w:t>
      </w:r>
      <w:r>
        <w:t>Like</w:t>
      </w:r>
      <w:r>
        <w:rPr>
          <w:spacing w:val="-12"/>
        </w:rPr>
        <w:t xml:space="preserve"> </w:t>
      </w:r>
      <w:r>
        <w:t>many</w:t>
      </w:r>
      <w:r>
        <w:rPr>
          <w:spacing w:val="-9"/>
        </w:rPr>
        <w:t xml:space="preserve"> </w:t>
      </w:r>
      <w:r>
        <w:t>agencies</w:t>
      </w:r>
      <w:r>
        <w:rPr>
          <w:spacing w:val="-10"/>
        </w:rPr>
        <w:t xml:space="preserve"> </w:t>
      </w:r>
      <w:r>
        <w:t>and</w:t>
      </w:r>
      <w:r>
        <w:rPr>
          <w:spacing w:val="-8"/>
        </w:rPr>
        <w:t xml:space="preserve"> </w:t>
      </w:r>
      <w:r>
        <w:t>programs,</w:t>
      </w:r>
      <w:r>
        <w:rPr>
          <w:spacing w:val="-10"/>
        </w:rPr>
        <w:t xml:space="preserve"> </w:t>
      </w:r>
      <w:r>
        <w:t>DTA</w:t>
      </w:r>
      <w:r>
        <w:rPr>
          <w:spacing w:val="-8"/>
        </w:rPr>
        <w:t xml:space="preserve"> </w:t>
      </w:r>
      <w:r>
        <w:t>has</w:t>
      </w:r>
      <w:r>
        <w:rPr>
          <w:spacing w:val="-12"/>
        </w:rPr>
        <w:t xml:space="preserve"> </w:t>
      </w:r>
      <w:r>
        <w:t>e</w:t>
      </w:r>
      <w:r>
        <w:t>xperienced a significant growth in the demand for its services during the COVID pandemic.</w:t>
      </w:r>
    </w:p>
    <w:p w:rsidR="00200FDA" w:rsidRDefault="00200FDA">
      <w:pPr>
        <w:pStyle w:val="BodyText"/>
        <w:spacing w:before="9"/>
        <w:rPr>
          <w:sz w:val="19"/>
        </w:rPr>
      </w:pPr>
    </w:p>
    <w:p w:rsidR="00200FDA" w:rsidRDefault="00F76C4C">
      <w:pPr>
        <w:pStyle w:val="BodyText"/>
        <w:spacing w:before="1" w:line="276" w:lineRule="auto"/>
        <w:ind w:left="280" w:right="275"/>
        <w:jc w:val="both"/>
      </w:pPr>
      <w:r>
        <w:t>It</w:t>
      </w:r>
      <w:r>
        <w:rPr>
          <w:spacing w:val="-1"/>
        </w:rPr>
        <w:t xml:space="preserve"> </w:t>
      </w:r>
      <w:r>
        <w:t>is</w:t>
      </w:r>
      <w:r>
        <w:rPr>
          <w:spacing w:val="-2"/>
        </w:rPr>
        <w:t xml:space="preserve"> </w:t>
      </w:r>
      <w:r>
        <w:t>difficult</w:t>
      </w:r>
      <w:r>
        <w:rPr>
          <w:spacing w:val="-1"/>
        </w:rPr>
        <w:t xml:space="preserve"> </w:t>
      </w:r>
      <w:r>
        <w:t>to</w:t>
      </w:r>
      <w:r>
        <w:rPr>
          <w:spacing w:val="-3"/>
        </w:rPr>
        <w:t xml:space="preserve"> </w:t>
      </w:r>
      <w:r>
        <w:t>capture</w:t>
      </w:r>
      <w:r>
        <w:rPr>
          <w:spacing w:val="-1"/>
        </w:rPr>
        <w:t xml:space="preserve"> </w:t>
      </w:r>
      <w:r>
        <w:t>specific</w:t>
      </w:r>
      <w:r>
        <w:rPr>
          <w:spacing w:val="-2"/>
        </w:rPr>
        <w:t xml:space="preserve"> </w:t>
      </w:r>
      <w:r>
        <w:t>experiences</w:t>
      </w:r>
      <w:r>
        <w:rPr>
          <w:spacing w:val="-4"/>
        </w:rPr>
        <w:t xml:space="preserve"> </w:t>
      </w:r>
      <w:r>
        <w:t>of</w:t>
      </w:r>
      <w:r>
        <w:rPr>
          <w:spacing w:val="-4"/>
        </w:rPr>
        <w:t xml:space="preserve"> </w:t>
      </w:r>
      <w:r>
        <w:t>Massachusetts</w:t>
      </w:r>
      <w:r>
        <w:rPr>
          <w:spacing w:val="-2"/>
        </w:rPr>
        <w:t xml:space="preserve"> </w:t>
      </w:r>
      <w:r>
        <w:t>LGBTQ</w:t>
      </w:r>
      <w:r>
        <w:rPr>
          <w:spacing w:val="-2"/>
        </w:rPr>
        <w:t xml:space="preserve"> </w:t>
      </w:r>
      <w:r>
        <w:t>residents</w:t>
      </w:r>
      <w:r>
        <w:rPr>
          <w:spacing w:val="-4"/>
        </w:rPr>
        <w:t xml:space="preserve"> </w:t>
      </w:r>
      <w:r>
        <w:t>as</w:t>
      </w:r>
      <w:r>
        <w:rPr>
          <w:spacing w:val="-4"/>
        </w:rPr>
        <w:t xml:space="preserve"> </w:t>
      </w:r>
      <w:r>
        <w:t>DTA</w:t>
      </w:r>
      <w:r>
        <w:rPr>
          <w:spacing w:val="-3"/>
        </w:rPr>
        <w:t xml:space="preserve"> </w:t>
      </w:r>
      <w:r>
        <w:t>does</w:t>
      </w:r>
      <w:r>
        <w:rPr>
          <w:spacing w:val="-2"/>
        </w:rPr>
        <w:t xml:space="preserve"> </w:t>
      </w:r>
      <w:r>
        <w:t>not</w:t>
      </w:r>
      <w:r>
        <w:rPr>
          <w:spacing w:val="-1"/>
        </w:rPr>
        <w:t xml:space="preserve"> </w:t>
      </w:r>
      <w:r>
        <w:t>currently collect SOGIE data from clients. However, research indicates that LGBTQ youth are disproportionately food insecure as compared to their heterosexual and cisgender peers. To begin, the most recent Massachusetts 2021 Youth Count, noted that 36.2% o</w:t>
      </w:r>
      <w:r>
        <w:t>f youth experiencing homelessness identified as LGBTQ and 67% of all youth experiencing homelessness identified as BIPOC.</w:t>
      </w:r>
      <w:hyperlink w:anchor="_bookmark902" w:history="1">
        <w:r>
          <w:rPr>
            <w:vertAlign w:val="superscript"/>
          </w:rPr>
          <w:t>1</w:t>
        </w:r>
      </w:hyperlink>
    </w:p>
    <w:p w:rsidR="00200FDA" w:rsidRDefault="00200FDA">
      <w:pPr>
        <w:pStyle w:val="BodyText"/>
        <w:spacing w:before="7"/>
        <w:rPr>
          <w:sz w:val="19"/>
        </w:rPr>
      </w:pPr>
    </w:p>
    <w:p w:rsidR="00200FDA" w:rsidRDefault="00F76C4C">
      <w:pPr>
        <w:pStyle w:val="BodyText"/>
        <w:spacing w:line="276" w:lineRule="auto"/>
        <w:ind w:left="279" w:right="275"/>
        <w:jc w:val="both"/>
      </w:pPr>
      <w:r>
        <w:t>A national study in 2014 found that LGB adults raising children are nearly twice as likely to receiv</w:t>
      </w:r>
      <w:r>
        <w:t>e SNAP benefits</w:t>
      </w:r>
      <w:r>
        <w:rPr>
          <w:spacing w:val="-2"/>
        </w:rPr>
        <w:t xml:space="preserve"> </w:t>
      </w:r>
      <w:r>
        <w:t>as</w:t>
      </w:r>
      <w:r>
        <w:rPr>
          <w:spacing w:val="-2"/>
        </w:rPr>
        <w:t xml:space="preserve"> </w:t>
      </w:r>
      <w:r>
        <w:t>their</w:t>
      </w:r>
      <w:r>
        <w:rPr>
          <w:spacing w:val="-2"/>
        </w:rPr>
        <w:t xml:space="preserve"> </w:t>
      </w:r>
      <w:r>
        <w:t>heterosexual</w:t>
      </w:r>
      <w:r>
        <w:rPr>
          <w:spacing w:val="-2"/>
        </w:rPr>
        <w:t xml:space="preserve"> </w:t>
      </w:r>
      <w:r>
        <w:t>counterparts.</w:t>
      </w:r>
      <w:r>
        <w:rPr>
          <w:spacing w:val="-2"/>
        </w:rPr>
        <w:t xml:space="preserve"> </w:t>
      </w:r>
      <w:r>
        <w:t>Additionally,</w:t>
      </w:r>
      <w:r>
        <w:rPr>
          <w:spacing w:val="-2"/>
        </w:rPr>
        <w:t xml:space="preserve"> </w:t>
      </w:r>
      <w:r>
        <w:t>26%</w:t>
      </w:r>
      <w:r>
        <w:rPr>
          <w:spacing w:val="-1"/>
        </w:rPr>
        <w:t xml:space="preserve"> </w:t>
      </w:r>
      <w:r>
        <w:t>of</w:t>
      </w:r>
      <w:r>
        <w:rPr>
          <w:spacing w:val="-4"/>
        </w:rPr>
        <w:t xml:space="preserve"> </w:t>
      </w:r>
      <w:r>
        <w:t>LGB</w:t>
      </w:r>
      <w:r>
        <w:rPr>
          <w:spacing w:val="-2"/>
        </w:rPr>
        <w:t xml:space="preserve"> </w:t>
      </w:r>
      <w:r>
        <w:t>youth</w:t>
      </w:r>
      <w:r>
        <w:rPr>
          <w:spacing w:val="-3"/>
        </w:rPr>
        <w:t xml:space="preserve"> </w:t>
      </w:r>
      <w:r>
        <w:t>aged</w:t>
      </w:r>
      <w:r>
        <w:rPr>
          <w:spacing w:val="-4"/>
        </w:rPr>
        <w:t xml:space="preserve"> </w:t>
      </w:r>
      <w:r>
        <w:t>18</w:t>
      </w:r>
      <w:r>
        <w:rPr>
          <w:spacing w:val="-1"/>
        </w:rPr>
        <w:t xml:space="preserve"> </w:t>
      </w:r>
      <w:r>
        <w:t>to</w:t>
      </w:r>
      <w:r>
        <w:rPr>
          <w:spacing w:val="-1"/>
        </w:rPr>
        <w:t xml:space="preserve"> </w:t>
      </w:r>
      <w:r>
        <w:t>24</w:t>
      </w:r>
      <w:r>
        <w:rPr>
          <w:spacing w:val="-1"/>
        </w:rPr>
        <w:t xml:space="preserve"> </w:t>
      </w:r>
      <w:r>
        <w:t>received</w:t>
      </w:r>
      <w:r>
        <w:rPr>
          <w:spacing w:val="-3"/>
        </w:rPr>
        <w:t xml:space="preserve"> </w:t>
      </w:r>
      <w:r>
        <w:t>SNAP benefits</w:t>
      </w:r>
      <w:r>
        <w:rPr>
          <w:spacing w:val="-6"/>
        </w:rPr>
        <w:t xml:space="preserve"> </w:t>
      </w:r>
      <w:r>
        <w:t>compared</w:t>
      </w:r>
      <w:r>
        <w:rPr>
          <w:spacing w:val="-4"/>
        </w:rPr>
        <w:t xml:space="preserve"> </w:t>
      </w:r>
      <w:r>
        <w:t>to</w:t>
      </w:r>
      <w:r>
        <w:rPr>
          <w:spacing w:val="-5"/>
        </w:rPr>
        <w:t xml:space="preserve"> </w:t>
      </w:r>
      <w:r>
        <w:t>17%</w:t>
      </w:r>
      <w:r>
        <w:rPr>
          <w:spacing w:val="-7"/>
        </w:rPr>
        <w:t xml:space="preserve"> </w:t>
      </w:r>
      <w:r>
        <w:t>of</w:t>
      </w:r>
      <w:r>
        <w:rPr>
          <w:spacing w:val="-4"/>
        </w:rPr>
        <w:t xml:space="preserve"> </w:t>
      </w:r>
      <w:r>
        <w:t>heterosexual</w:t>
      </w:r>
      <w:r>
        <w:rPr>
          <w:spacing w:val="-6"/>
        </w:rPr>
        <w:t xml:space="preserve"> </w:t>
      </w:r>
      <w:r>
        <w:t>and</w:t>
      </w:r>
      <w:r>
        <w:rPr>
          <w:spacing w:val="-4"/>
        </w:rPr>
        <w:t xml:space="preserve"> </w:t>
      </w:r>
      <w:r>
        <w:t>cisgender</w:t>
      </w:r>
      <w:r>
        <w:rPr>
          <w:spacing w:val="-4"/>
        </w:rPr>
        <w:t xml:space="preserve"> </w:t>
      </w:r>
      <w:r>
        <w:t>youth.</w:t>
      </w:r>
      <w:hyperlink w:anchor="_bookmark903" w:history="1">
        <w:r>
          <w:rPr>
            <w:vertAlign w:val="superscript"/>
          </w:rPr>
          <w:t>2</w:t>
        </w:r>
      </w:hyperlink>
      <w:r>
        <w:rPr>
          <w:spacing w:val="-3"/>
        </w:rPr>
        <w:t xml:space="preserve"> </w:t>
      </w:r>
      <w:r>
        <w:t>In</w:t>
      </w:r>
      <w:r>
        <w:rPr>
          <w:spacing w:val="-4"/>
        </w:rPr>
        <w:t xml:space="preserve"> </w:t>
      </w:r>
      <w:r>
        <w:t>the</w:t>
      </w:r>
      <w:r>
        <w:rPr>
          <w:spacing w:val="-5"/>
        </w:rPr>
        <w:t xml:space="preserve"> </w:t>
      </w:r>
      <w:r>
        <w:t>first</w:t>
      </w:r>
      <w:r>
        <w:rPr>
          <w:spacing w:val="-5"/>
        </w:rPr>
        <w:t xml:space="preserve"> </w:t>
      </w:r>
      <w:r>
        <w:t>year</w:t>
      </w:r>
      <w:r>
        <w:rPr>
          <w:spacing w:val="-8"/>
        </w:rPr>
        <w:t xml:space="preserve"> </w:t>
      </w:r>
      <w:r>
        <w:t>of</w:t>
      </w:r>
      <w:r>
        <w:rPr>
          <w:spacing w:val="-6"/>
        </w:rPr>
        <w:t xml:space="preserve"> </w:t>
      </w:r>
      <w:r>
        <w:t>the</w:t>
      </w:r>
      <w:r>
        <w:rPr>
          <w:spacing w:val="-5"/>
        </w:rPr>
        <w:t xml:space="preserve"> </w:t>
      </w:r>
      <w:r>
        <w:t>COVID</w:t>
      </w:r>
      <w:r>
        <w:rPr>
          <w:spacing w:val="-3"/>
        </w:rPr>
        <w:t xml:space="preserve"> </w:t>
      </w:r>
      <w:r>
        <w:t>pandemic, a</w:t>
      </w:r>
      <w:r>
        <w:rPr>
          <w:spacing w:val="-4"/>
        </w:rPr>
        <w:t xml:space="preserve"> </w:t>
      </w:r>
      <w:r>
        <w:t>SNAP</w:t>
      </w:r>
      <w:r>
        <w:rPr>
          <w:spacing w:val="-3"/>
        </w:rPr>
        <w:t xml:space="preserve"> </w:t>
      </w:r>
      <w:r>
        <w:t>participation</w:t>
      </w:r>
      <w:r>
        <w:rPr>
          <w:spacing w:val="-5"/>
        </w:rPr>
        <w:t xml:space="preserve"> </w:t>
      </w:r>
      <w:r>
        <w:t>study</w:t>
      </w:r>
      <w:r>
        <w:rPr>
          <w:spacing w:val="-6"/>
        </w:rPr>
        <w:t xml:space="preserve"> </w:t>
      </w:r>
      <w:r>
        <w:t>noted</w:t>
      </w:r>
      <w:r>
        <w:rPr>
          <w:spacing w:val="-7"/>
        </w:rPr>
        <w:t xml:space="preserve"> </w:t>
      </w:r>
      <w:r>
        <w:t>that</w:t>
      </w:r>
      <w:r>
        <w:rPr>
          <w:spacing w:val="-4"/>
        </w:rPr>
        <w:t xml:space="preserve"> </w:t>
      </w:r>
      <w:r>
        <w:t>18%</w:t>
      </w:r>
      <w:r>
        <w:rPr>
          <w:spacing w:val="-6"/>
        </w:rPr>
        <w:t xml:space="preserve"> </w:t>
      </w:r>
      <w:r>
        <w:t>of</w:t>
      </w:r>
      <w:r>
        <w:rPr>
          <w:spacing w:val="-7"/>
        </w:rPr>
        <w:t xml:space="preserve"> </w:t>
      </w:r>
      <w:r>
        <w:t>LGBTQ</w:t>
      </w:r>
      <w:r>
        <w:rPr>
          <w:spacing w:val="-6"/>
        </w:rPr>
        <w:t xml:space="preserve"> </w:t>
      </w:r>
      <w:r>
        <w:t>women</w:t>
      </w:r>
      <w:r>
        <w:rPr>
          <w:spacing w:val="-5"/>
        </w:rPr>
        <w:t xml:space="preserve"> </w:t>
      </w:r>
      <w:r>
        <w:t>received</w:t>
      </w:r>
      <w:r>
        <w:rPr>
          <w:spacing w:val="-5"/>
        </w:rPr>
        <w:t xml:space="preserve"> </w:t>
      </w:r>
      <w:r>
        <w:t>SNAP</w:t>
      </w:r>
      <w:r>
        <w:rPr>
          <w:spacing w:val="-3"/>
        </w:rPr>
        <w:t xml:space="preserve"> </w:t>
      </w:r>
      <w:r>
        <w:t>benefits</w:t>
      </w:r>
      <w:r>
        <w:rPr>
          <w:spacing w:val="-4"/>
        </w:rPr>
        <w:t xml:space="preserve"> </w:t>
      </w:r>
      <w:r>
        <w:t>compared</w:t>
      </w:r>
      <w:r>
        <w:rPr>
          <w:spacing w:val="-5"/>
        </w:rPr>
        <w:t xml:space="preserve"> </w:t>
      </w:r>
      <w:r>
        <w:t>to</w:t>
      </w:r>
      <w:r>
        <w:rPr>
          <w:spacing w:val="-6"/>
        </w:rPr>
        <w:t xml:space="preserve"> </w:t>
      </w:r>
      <w:r>
        <w:t>10%</w:t>
      </w:r>
      <w:r>
        <w:rPr>
          <w:spacing w:val="-6"/>
        </w:rPr>
        <w:t xml:space="preserve"> </w:t>
      </w:r>
      <w:r>
        <w:t>of heterosexual</w:t>
      </w:r>
      <w:r>
        <w:rPr>
          <w:spacing w:val="-9"/>
        </w:rPr>
        <w:t xml:space="preserve"> </w:t>
      </w:r>
      <w:r>
        <w:t>and</w:t>
      </w:r>
      <w:r>
        <w:rPr>
          <w:spacing w:val="-7"/>
        </w:rPr>
        <w:t xml:space="preserve"> </w:t>
      </w:r>
      <w:r>
        <w:t>cisgender</w:t>
      </w:r>
      <w:r>
        <w:rPr>
          <w:spacing w:val="-9"/>
        </w:rPr>
        <w:t xml:space="preserve"> </w:t>
      </w:r>
      <w:r>
        <w:t>women.</w:t>
      </w:r>
      <w:hyperlink w:anchor="_bookmark904" w:history="1">
        <w:r>
          <w:rPr>
            <w:vertAlign w:val="superscript"/>
          </w:rPr>
          <w:t>3</w:t>
        </w:r>
      </w:hyperlink>
      <w:r>
        <w:rPr>
          <w:spacing w:val="-3"/>
        </w:rPr>
        <w:t xml:space="preserve"> </w:t>
      </w:r>
      <w:r>
        <w:t>Overall,</w:t>
      </w:r>
      <w:r>
        <w:rPr>
          <w:spacing w:val="-6"/>
        </w:rPr>
        <w:t xml:space="preserve"> </w:t>
      </w:r>
      <w:r>
        <w:t>as</w:t>
      </w:r>
      <w:r>
        <w:rPr>
          <w:spacing w:val="-7"/>
        </w:rPr>
        <w:t xml:space="preserve"> </w:t>
      </w:r>
      <w:r>
        <w:t>discussed</w:t>
      </w:r>
      <w:r>
        <w:rPr>
          <w:spacing w:val="-7"/>
        </w:rPr>
        <w:t xml:space="preserve"> </w:t>
      </w:r>
      <w:r>
        <w:t>in</w:t>
      </w:r>
      <w:r>
        <w:rPr>
          <w:spacing w:val="-7"/>
        </w:rPr>
        <w:t xml:space="preserve"> </w:t>
      </w:r>
      <w:r>
        <w:t>several</w:t>
      </w:r>
      <w:r>
        <w:rPr>
          <w:spacing w:val="-7"/>
        </w:rPr>
        <w:t xml:space="preserve"> </w:t>
      </w:r>
      <w:r>
        <w:t>above</w:t>
      </w:r>
      <w:r>
        <w:rPr>
          <w:spacing w:val="-6"/>
        </w:rPr>
        <w:t xml:space="preserve"> </w:t>
      </w:r>
      <w:r>
        <w:t>sections</w:t>
      </w:r>
      <w:r>
        <w:rPr>
          <w:spacing w:val="-7"/>
        </w:rPr>
        <w:t xml:space="preserve"> </w:t>
      </w:r>
      <w:r>
        <w:t>of</w:t>
      </w:r>
      <w:r>
        <w:rPr>
          <w:spacing w:val="-9"/>
        </w:rPr>
        <w:t xml:space="preserve"> </w:t>
      </w:r>
      <w:r>
        <w:t>this</w:t>
      </w:r>
      <w:r>
        <w:rPr>
          <w:spacing w:val="-7"/>
        </w:rPr>
        <w:t xml:space="preserve"> </w:t>
      </w:r>
      <w:r>
        <w:t>annual</w:t>
      </w:r>
      <w:r>
        <w:rPr>
          <w:spacing w:val="-9"/>
        </w:rPr>
        <w:t xml:space="preserve"> </w:t>
      </w:r>
      <w:r>
        <w:t>report, LGBTQ communities - especi</w:t>
      </w:r>
      <w:r>
        <w:t>ally QTBIPOC communities - are particularly vulnerable to poverty due to stigma, lack of accessibility, employment discrimination, systemic barriers, and more.</w:t>
      </w:r>
    </w:p>
    <w:p w:rsidR="00200FDA" w:rsidRDefault="00200FDA">
      <w:pPr>
        <w:spacing w:line="276" w:lineRule="auto"/>
        <w:jc w:val="both"/>
        <w:sectPr w:rsidR="00200FDA">
          <w:headerReference w:type="default" r:id="rId850"/>
          <w:footerReference w:type="default" r:id="rId851"/>
          <w:pgSz w:w="12240" w:h="15840"/>
          <w:pgMar w:top="1260" w:right="1160" w:bottom="1240" w:left="1160" w:header="761" w:footer="1043" w:gutter="0"/>
          <w:cols w:space="720"/>
        </w:sectPr>
      </w:pPr>
    </w:p>
    <w:p w:rsidR="00200FDA" w:rsidRDefault="00200FDA">
      <w:pPr>
        <w:pStyle w:val="BodyText"/>
        <w:spacing w:before="4"/>
        <w:rPr>
          <w:sz w:val="9"/>
        </w:rPr>
      </w:pPr>
    </w:p>
    <w:p w:rsidR="00200FDA" w:rsidRDefault="00F76C4C">
      <w:pPr>
        <w:pStyle w:val="Heading8"/>
        <w:spacing w:before="52"/>
        <w:ind w:left="280"/>
      </w:pPr>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spacing w:before="8"/>
        <w:rPr>
          <w:sz w:val="19"/>
        </w:rPr>
      </w:pPr>
    </w:p>
    <w:p w:rsidR="00200FDA" w:rsidRDefault="00F76C4C">
      <w:pPr>
        <w:pStyle w:val="BodyText"/>
        <w:spacing w:line="276" w:lineRule="auto"/>
        <w:ind w:left="280" w:right="275"/>
        <w:jc w:val="both"/>
      </w:pPr>
      <w:r>
        <w:t>For many years, the Commission has appreciated the opportunity to collaborate with DTA to support internal efforts to help offices become more affirming for LGBTQ youth, families, and employees. Recently,</w:t>
      </w:r>
      <w:r>
        <w:rPr>
          <w:spacing w:val="-9"/>
        </w:rPr>
        <w:t xml:space="preserve"> </w:t>
      </w:r>
      <w:r>
        <w:t>DTA</w:t>
      </w:r>
      <w:r>
        <w:rPr>
          <w:spacing w:val="-10"/>
        </w:rPr>
        <w:t xml:space="preserve"> </w:t>
      </w:r>
      <w:r>
        <w:t>released</w:t>
      </w:r>
      <w:r>
        <w:rPr>
          <w:spacing w:val="-10"/>
        </w:rPr>
        <w:t xml:space="preserve"> </w:t>
      </w:r>
      <w:r>
        <w:t>an</w:t>
      </w:r>
      <w:r>
        <w:rPr>
          <w:spacing w:val="-10"/>
        </w:rPr>
        <w:t xml:space="preserve"> </w:t>
      </w:r>
      <w:r>
        <w:t>LGBTQ-inclusive</w:t>
      </w:r>
      <w:r>
        <w:rPr>
          <w:spacing w:val="-8"/>
        </w:rPr>
        <w:t xml:space="preserve"> </w:t>
      </w:r>
      <w:r>
        <w:t>nondiscrimination</w:t>
      </w:r>
      <w:r>
        <w:rPr>
          <w:spacing w:val="-10"/>
        </w:rPr>
        <w:t xml:space="preserve"> </w:t>
      </w:r>
      <w:r>
        <w:t>p</w:t>
      </w:r>
      <w:r>
        <w:t>olicy</w:t>
      </w:r>
      <w:r>
        <w:rPr>
          <w:spacing w:val="-8"/>
        </w:rPr>
        <w:t xml:space="preserve"> </w:t>
      </w:r>
      <w:r>
        <w:t>and</w:t>
      </w:r>
      <w:r>
        <w:rPr>
          <w:spacing w:val="-10"/>
        </w:rPr>
        <w:t xml:space="preserve"> </w:t>
      </w:r>
      <w:r>
        <w:t>guidance</w:t>
      </w:r>
      <w:r>
        <w:rPr>
          <w:spacing w:val="-8"/>
        </w:rPr>
        <w:t xml:space="preserve"> </w:t>
      </w:r>
      <w:r>
        <w:t>that</w:t>
      </w:r>
      <w:r>
        <w:rPr>
          <w:spacing w:val="-9"/>
        </w:rPr>
        <w:t xml:space="preserve"> </w:t>
      </w:r>
      <w:r>
        <w:t>fulfilled</w:t>
      </w:r>
      <w:r>
        <w:rPr>
          <w:spacing w:val="-10"/>
        </w:rPr>
        <w:t xml:space="preserve"> </w:t>
      </w:r>
      <w:r>
        <w:t>a</w:t>
      </w:r>
      <w:r>
        <w:rPr>
          <w:spacing w:val="-9"/>
        </w:rPr>
        <w:t xml:space="preserve"> </w:t>
      </w:r>
      <w:r>
        <w:t>previous Commission recommendation.</w:t>
      </w:r>
    </w:p>
    <w:p w:rsidR="00200FDA" w:rsidRDefault="00200FDA">
      <w:pPr>
        <w:pStyle w:val="BodyText"/>
        <w:spacing w:before="8"/>
        <w:rPr>
          <w:sz w:val="19"/>
        </w:rPr>
      </w:pPr>
    </w:p>
    <w:p w:rsidR="00200FDA" w:rsidRDefault="00F76C4C">
      <w:pPr>
        <w:pStyle w:val="BodyText"/>
        <w:spacing w:line="276" w:lineRule="auto"/>
        <w:ind w:left="280" w:right="273"/>
        <w:jc w:val="both"/>
      </w:pPr>
      <w:r>
        <w:t>Additionally,</w:t>
      </w:r>
      <w:r>
        <w:rPr>
          <w:spacing w:val="-4"/>
        </w:rPr>
        <w:t xml:space="preserve"> </w:t>
      </w:r>
      <w:r>
        <w:t>the</w:t>
      </w:r>
      <w:r>
        <w:rPr>
          <w:spacing w:val="-4"/>
        </w:rPr>
        <w:t xml:space="preserve"> </w:t>
      </w:r>
      <w:r>
        <w:t>Commission</w:t>
      </w:r>
      <w:r>
        <w:rPr>
          <w:spacing w:val="-3"/>
        </w:rPr>
        <w:t xml:space="preserve"> </w:t>
      </w:r>
      <w:r>
        <w:t>and</w:t>
      </w:r>
      <w:r>
        <w:rPr>
          <w:spacing w:val="-5"/>
        </w:rPr>
        <w:t xml:space="preserve"> </w:t>
      </w:r>
      <w:r>
        <w:t>DTA</w:t>
      </w:r>
      <w:r>
        <w:rPr>
          <w:spacing w:val="-2"/>
        </w:rPr>
        <w:t xml:space="preserve"> </w:t>
      </w:r>
      <w:r>
        <w:t>have</w:t>
      </w:r>
      <w:r>
        <w:rPr>
          <w:spacing w:val="-4"/>
        </w:rPr>
        <w:t xml:space="preserve"> </w:t>
      </w:r>
      <w:r>
        <w:t>been</w:t>
      </w:r>
      <w:r>
        <w:rPr>
          <w:spacing w:val="-5"/>
        </w:rPr>
        <w:t xml:space="preserve"> </w:t>
      </w:r>
      <w:r>
        <w:t>engaged</w:t>
      </w:r>
      <w:r>
        <w:rPr>
          <w:spacing w:val="-3"/>
        </w:rPr>
        <w:t xml:space="preserve"> </w:t>
      </w:r>
      <w:r>
        <w:t>in</w:t>
      </w:r>
      <w:r>
        <w:rPr>
          <w:spacing w:val="-5"/>
        </w:rPr>
        <w:t xml:space="preserve"> </w:t>
      </w:r>
      <w:r>
        <w:t>conversations</w:t>
      </w:r>
      <w:r>
        <w:rPr>
          <w:spacing w:val="-4"/>
        </w:rPr>
        <w:t xml:space="preserve"> </w:t>
      </w:r>
      <w:r>
        <w:t>for</w:t>
      </w:r>
      <w:r>
        <w:rPr>
          <w:spacing w:val="-4"/>
        </w:rPr>
        <w:t xml:space="preserve"> </w:t>
      </w:r>
      <w:r>
        <w:t>several</w:t>
      </w:r>
      <w:r>
        <w:rPr>
          <w:spacing w:val="-7"/>
        </w:rPr>
        <w:t xml:space="preserve"> </w:t>
      </w:r>
      <w:r>
        <w:t>years</w:t>
      </w:r>
      <w:r>
        <w:rPr>
          <w:spacing w:val="-4"/>
        </w:rPr>
        <w:t xml:space="preserve"> </w:t>
      </w:r>
      <w:r>
        <w:t>around</w:t>
      </w:r>
      <w:r>
        <w:rPr>
          <w:spacing w:val="-3"/>
        </w:rPr>
        <w:t xml:space="preserve"> </w:t>
      </w:r>
      <w:r>
        <w:t>how to best capture SOGIE information; such an opportunity would likely be provided through the SNAP program and be added on to demographic information already collected (like biological sex, race, and ethnicity).</w:t>
      </w:r>
      <w:r>
        <w:rPr>
          <w:spacing w:val="-9"/>
        </w:rPr>
        <w:t xml:space="preserve"> </w:t>
      </w:r>
      <w:r>
        <w:t>Unfortunately,</w:t>
      </w:r>
      <w:r>
        <w:rPr>
          <w:spacing w:val="-9"/>
        </w:rPr>
        <w:t xml:space="preserve"> </w:t>
      </w:r>
      <w:r>
        <w:t>like</w:t>
      </w:r>
      <w:r>
        <w:rPr>
          <w:spacing w:val="-11"/>
        </w:rPr>
        <w:t xml:space="preserve"> </w:t>
      </w:r>
      <w:r>
        <w:t>many</w:t>
      </w:r>
      <w:r>
        <w:rPr>
          <w:spacing w:val="-11"/>
        </w:rPr>
        <w:t xml:space="preserve"> </w:t>
      </w:r>
      <w:r>
        <w:t>other</w:t>
      </w:r>
      <w:r>
        <w:rPr>
          <w:spacing w:val="-9"/>
        </w:rPr>
        <w:t xml:space="preserve"> </w:t>
      </w:r>
      <w:r>
        <w:t>agencies,</w:t>
      </w:r>
      <w:r>
        <w:rPr>
          <w:spacing w:val="-11"/>
        </w:rPr>
        <w:t xml:space="preserve"> </w:t>
      </w:r>
      <w:r>
        <w:t>D</w:t>
      </w:r>
      <w:r>
        <w:t>TA</w:t>
      </w:r>
      <w:r>
        <w:rPr>
          <w:spacing w:val="-10"/>
        </w:rPr>
        <w:t xml:space="preserve"> </w:t>
      </w:r>
      <w:r>
        <w:t>is</w:t>
      </w:r>
      <w:r>
        <w:rPr>
          <w:spacing w:val="-9"/>
        </w:rPr>
        <w:t xml:space="preserve"> </w:t>
      </w:r>
      <w:r>
        <w:t>unsure</w:t>
      </w:r>
      <w:r>
        <w:rPr>
          <w:spacing w:val="-11"/>
        </w:rPr>
        <w:t xml:space="preserve"> </w:t>
      </w:r>
      <w:r>
        <w:t>the</w:t>
      </w:r>
      <w:r>
        <w:rPr>
          <w:spacing w:val="-11"/>
        </w:rPr>
        <w:t xml:space="preserve"> </w:t>
      </w:r>
      <w:r>
        <w:t>extent</w:t>
      </w:r>
      <w:r>
        <w:rPr>
          <w:spacing w:val="-11"/>
        </w:rPr>
        <w:t xml:space="preserve"> </w:t>
      </w:r>
      <w:r>
        <w:t>to</w:t>
      </w:r>
      <w:r>
        <w:rPr>
          <w:spacing w:val="-10"/>
        </w:rPr>
        <w:t xml:space="preserve"> </w:t>
      </w:r>
      <w:r>
        <w:t>which</w:t>
      </w:r>
      <w:r>
        <w:rPr>
          <w:spacing w:val="-10"/>
        </w:rPr>
        <w:t xml:space="preserve"> </w:t>
      </w:r>
      <w:r>
        <w:t>it</w:t>
      </w:r>
      <w:r>
        <w:rPr>
          <w:spacing w:val="-8"/>
        </w:rPr>
        <w:t xml:space="preserve"> </w:t>
      </w:r>
      <w:r>
        <w:t>is</w:t>
      </w:r>
      <w:r>
        <w:rPr>
          <w:spacing w:val="-11"/>
        </w:rPr>
        <w:t xml:space="preserve"> </w:t>
      </w:r>
      <w:r>
        <w:t>able</w:t>
      </w:r>
      <w:r>
        <w:rPr>
          <w:spacing w:val="-8"/>
        </w:rPr>
        <w:t xml:space="preserve"> </w:t>
      </w:r>
      <w:r>
        <w:t>to</w:t>
      </w:r>
      <w:r>
        <w:rPr>
          <w:spacing w:val="-10"/>
        </w:rPr>
        <w:t xml:space="preserve"> </w:t>
      </w:r>
      <w:r>
        <w:t>improve its</w:t>
      </w:r>
      <w:r>
        <w:rPr>
          <w:spacing w:val="-6"/>
        </w:rPr>
        <w:t xml:space="preserve"> </w:t>
      </w:r>
      <w:r>
        <w:t>data</w:t>
      </w:r>
      <w:r>
        <w:rPr>
          <w:spacing w:val="-7"/>
        </w:rPr>
        <w:t xml:space="preserve"> </w:t>
      </w:r>
      <w:r>
        <w:t>collection</w:t>
      </w:r>
      <w:r>
        <w:rPr>
          <w:spacing w:val="-7"/>
        </w:rPr>
        <w:t xml:space="preserve"> </w:t>
      </w:r>
      <w:r>
        <w:t>as</w:t>
      </w:r>
      <w:r>
        <w:rPr>
          <w:spacing w:val="-7"/>
        </w:rPr>
        <w:t xml:space="preserve"> </w:t>
      </w:r>
      <w:r>
        <w:t>SNAP</w:t>
      </w:r>
      <w:r>
        <w:rPr>
          <w:spacing w:val="-8"/>
        </w:rPr>
        <w:t xml:space="preserve"> </w:t>
      </w:r>
      <w:r>
        <w:t>is</w:t>
      </w:r>
      <w:r>
        <w:rPr>
          <w:spacing w:val="-7"/>
        </w:rPr>
        <w:t xml:space="preserve"> </w:t>
      </w:r>
      <w:r>
        <w:t>heavily</w:t>
      </w:r>
      <w:r>
        <w:rPr>
          <w:spacing w:val="-6"/>
        </w:rPr>
        <w:t xml:space="preserve"> </w:t>
      </w:r>
      <w:r>
        <w:t>regulated</w:t>
      </w:r>
      <w:r>
        <w:rPr>
          <w:spacing w:val="-7"/>
        </w:rPr>
        <w:t xml:space="preserve"> </w:t>
      </w:r>
      <w:r>
        <w:t>by</w:t>
      </w:r>
      <w:r>
        <w:rPr>
          <w:spacing w:val="-8"/>
        </w:rPr>
        <w:t xml:space="preserve"> </w:t>
      </w:r>
      <w:r>
        <w:t>the</w:t>
      </w:r>
      <w:r>
        <w:rPr>
          <w:spacing w:val="-6"/>
        </w:rPr>
        <w:t xml:space="preserve"> </w:t>
      </w:r>
      <w:r>
        <w:t>federal</w:t>
      </w:r>
      <w:r>
        <w:rPr>
          <w:spacing w:val="-7"/>
        </w:rPr>
        <w:t xml:space="preserve"> </w:t>
      </w:r>
      <w:r>
        <w:t>government.</w:t>
      </w:r>
      <w:r>
        <w:rPr>
          <w:spacing w:val="-7"/>
        </w:rPr>
        <w:t xml:space="preserve"> </w:t>
      </w:r>
      <w:r>
        <w:t>The</w:t>
      </w:r>
      <w:r>
        <w:rPr>
          <w:spacing w:val="-8"/>
        </w:rPr>
        <w:t xml:space="preserve"> </w:t>
      </w:r>
      <w:r>
        <w:t>Commission</w:t>
      </w:r>
      <w:r>
        <w:rPr>
          <w:spacing w:val="-7"/>
        </w:rPr>
        <w:t xml:space="preserve"> </w:t>
      </w:r>
      <w:r>
        <w:t>looks</w:t>
      </w:r>
      <w:r>
        <w:rPr>
          <w:spacing w:val="-7"/>
        </w:rPr>
        <w:t xml:space="preserve"> </w:t>
      </w:r>
      <w:r>
        <w:t>forward to continuing this conversation with DTA in FY 2024.</w:t>
      </w:r>
    </w:p>
    <w:p w:rsidR="00200FDA" w:rsidRDefault="00200FDA">
      <w:pPr>
        <w:pStyle w:val="BodyText"/>
        <w:spacing w:before="11"/>
        <w:rPr>
          <w:sz w:val="32"/>
        </w:rPr>
      </w:pPr>
    </w:p>
    <w:p w:rsidR="00200FDA" w:rsidRDefault="00F76C4C">
      <w:pPr>
        <w:pStyle w:val="Heading7"/>
        <w:jc w:val="both"/>
      </w:pPr>
      <w:r>
        <w:pict>
          <v:rect id="docshape597" o:spid="_x0000_s1055" style="position:absolute;left:0;text-align:left;margin-left:70.55pt;margin-top:18pt;width:470.9pt;height:.5pt;z-index:-15604736;mso-wrap-distance-left:0;mso-wrap-distance-right:0;mso-position-horizontal-relative:page" fillcolor="#4f81bc" stroked="f">
            <w10:wrap type="topAndBottom" anchorx="page"/>
          </v:rect>
        </w:pict>
      </w:r>
      <w:bookmarkStart w:id="1152" w:name="FY_2024_Expanded_DTA_Recommendations"/>
      <w:bookmarkEnd w:id="1152"/>
      <w:r>
        <w:rPr>
          <w:color w:val="365F91"/>
        </w:rPr>
        <w:t>FY</w:t>
      </w:r>
      <w:r>
        <w:rPr>
          <w:color w:val="365F91"/>
          <w:spacing w:val="-5"/>
        </w:rPr>
        <w:t xml:space="preserve"> </w:t>
      </w:r>
      <w:r>
        <w:rPr>
          <w:color w:val="365F91"/>
        </w:rPr>
        <w:t>2024</w:t>
      </w:r>
      <w:r>
        <w:rPr>
          <w:color w:val="365F91"/>
          <w:spacing w:val="-5"/>
        </w:rPr>
        <w:t xml:space="preserve"> </w:t>
      </w:r>
      <w:r>
        <w:rPr>
          <w:color w:val="365F91"/>
        </w:rPr>
        <w:t>Expanded</w:t>
      </w:r>
      <w:r>
        <w:rPr>
          <w:color w:val="365F91"/>
          <w:spacing w:val="-3"/>
        </w:rPr>
        <w:t xml:space="preserve"> </w:t>
      </w:r>
      <w:r>
        <w:rPr>
          <w:color w:val="365F91"/>
        </w:rPr>
        <w:t>DTA</w:t>
      </w:r>
      <w:r>
        <w:rPr>
          <w:color w:val="365F91"/>
          <w:spacing w:val="-4"/>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8"/>
        </w:numPr>
        <w:tabs>
          <w:tab w:val="left" w:pos="502"/>
        </w:tabs>
        <w:spacing w:before="56"/>
      </w:pPr>
      <w:r>
        <w:t>Explore</w:t>
      </w:r>
      <w:r>
        <w:rPr>
          <w:spacing w:val="-8"/>
        </w:rPr>
        <w:t xml:space="preserve"> </w:t>
      </w:r>
      <w:r>
        <w:t>the</w:t>
      </w:r>
      <w:r>
        <w:rPr>
          <w:spacing w:val="-7"/>
        </w:rPr>
        <w:t xml:space="preserve"> </w:t>
      </w:r>
      <w:r>
        <w:t>creation</w:t>
      </w:r>
      <w:r>
        <w:rPr>
          <w:spacing w:val="-6"/>
        </w:rPr>
        <w:t xml:space="preserve"> </w:t>
      </w:r>
      <w:r>
        <w:t>and</w:t>
      </w:r>
      <w:r>
        <w:rPr>
          <w:spacing w:val="-5"/>
        </w:rPr>
        <w:t xml:space="preserve"> </w:t>
      </w:r>
      <w:r>
        <w:t>hiring</w:t>
      </w:r>
      <w:r>
        <w:rPr>
          <w:spacing w:val="-4"/>
        </w:rPr>
        <w:t xml:space="preserve"> </w:t>
      </w:r>
      <w:r>
        <w:t>of</w:t>
      </w:r>
      <w:r>
        <w:rPr>
          <w:spacing w:val="-5"/>
        </w:rPr>
        <w:t xml:space="preserve"> </w:t>
      </w:r>
      <w:r>
        <w:t>a</w:t>
      </w:r>
      <w:r>
        <w:rPr>
          <w:spacing w:val="-5"/>
        </w:rPr>
        <w:t xml:space="preserve"> </w:t>
      </w:r>
      <w:r>
        <w:t>full-time</w:t>
      </w:r>
      <w:r>
        <w:rPr>
          <w:spacing w:val="-6"/>
        </w:rPr>
        <w:t xml:space="preserve"> </w:t>
      </w:r>
      <w:r>
        <w:t>DTA-specific</w:t>
      </w:r>
      <w:r>
        <w:rPr>
          <w:spacing w:val="-5"/>
        </w:rPr>
        <w:t xml:space="preserve"> </w:t>
      </w:r>
      <w:r>
        <w:t>LGBTQ</w:t>
      </w:r>
      <w:r>
        <w:rPr>
          <w:spacing w:val="-5"/>
        </w:rPr>
        <w:t xml:space="preserve"> </w:t>
      </w:r>
      <w:r>
        <w:t>outreach</w:t>
      </w:r>
      <w:r>
        <w:rPr>
          <w:spacing w:val="-7"/>
        </w:rPr>
        <w:t xml:space="preserve"> </w:t>
      </w:r>
      <w:r>
        <w:t>specialist</w:t>
      </w:r>
      <w:r>
        <w:rPr>
          <w:spacing w:val="-4"/>
        </w:rPr>
        <w:t xml:space="preserve"> </w:t>
      </w:r>
      <w:r>
        <w:rPr>
          <w:spacing w:val="-2"/>
        </w:rPr>
        <w:t>position.</w:t>
      </w:r>
    </w:p>
    <w:p w:rsidR="00200FDA" w:rsidRDefault="00200FDA">
      <w:pPr>
        <w:pStyle w:val="BodyText"/>
        <w:rPr>
          <w:b/>
          <w:sz w:val="23"/>
        </w:rPr>
      </w:pPr>
    </w:p>
    <w:p w:rsidR="00200FDA" w:rsidRDefault="00F76C4C">
      <w:pPr>
        <w:pStyle w:val="BodyText"/>
        <w:spacing w:before="1" w:line="276" w:lineRule="auto"/>
        <w:ind w:left="279" w:right="273"/>
        <w:jc w:val="both"/>
      </w:pPr>
      <w:r>
        <w:t>Over</w:t>
      </w:r>
      <w:r>
        <w:rPr>
          <w:spacing w:val="-5"/>
        </w:rPr>
        <w:t xml:space="preserve"> </w:t>
      </w:r>
      <w:r>
        <w:t>the</w:t>
      </w:r>
      <w:r>
        <w:rPr>
          <w:spacing w:val="-1"/>
        </w:rPr>
        <w:t xml:space="preserve"> </w:t>
      </w:r>
      <w:r>
        <w:t>past</w:t>
      </w:r>
      <w:r>
        <w:rPr>
          <w:spacing w:val="-1"/>
        </w:rPr>
        <w:t xml:space="preserve"> </w:t>
      </w:r>
      <w:r>
        <w:t>year,</w:t>
      </w:r>
      <w:r>
        <w:rPr>
          <w:spacing w:val="-4"/>
        </w:rPr>
        <w:t xml:space="preserve"> </w:t>
      </w:r>
      <w:r>
        <w:t>the</w:t>
      </w:r>
      <w:r>
        <w:rPr>
          <w:spacing w:val="-1"/>
        </w:rPr>
        <w:t xml:space="preserve"> </w:t>
      </w:r>
      <w:r>
        <w:t>Commission</w:t>
      </w:r>
      <w:r>
        <w:rPr>
          <w:spacing w:val="-3"/>
        </w:rPr>
        <w:t xml:space="preserve"> </w:t>
      </w:r>
      <w:r>
        <w:t>has</w:t>
      </w:r>
      <w:r>
        <w:rPr>
          <w:spacing w:val="-2"/>
        </w:rPr>
        <w:t xml:space="preserve"> </w:t>
      </w:r>
      <w:r>
        <w:t>been</w:t>
      </w:r>
      <w:r>
        <w:rPr>
          <w:spacing w:val="-2"/>
        </w:rPr>
        <w:t xml:space="preserve"> </w:t>
      </w:r>
      <w:r>
        <w:t>pleased</w:t>
      </w:r>
      <w:r>
        <w:rPr>
          <w:spacing w:val="-5"/>
        </w:rPr>
        <w:t xml:space="preserve"> </w:t>
      </w:r>
      <w:r>
        <w:t>to</w:t>
      </w:r>
      <w:r>
        <w:rPr>
          <w:spacing w:val="-3"/>
        </w:rPr>
        <w:t xml:space="preserve"> </w:t>
      </w:r>
      <w:r>
        <w:t>see</w:t>
      </w:r>
      <w:r>
        <w:rPr>
          <w:spacing w:val="-4"/>
        </w:rPr>
        <w:t xml:space="preserve"> </w:t>
      </w:r>
      <w:r>
        <w:t>Massachusetts</w:t>
      </w:r>
      <w:r>
        <w:rPr>
          <w:spacing w:val="-2"/>
        </w:rPr>
        <w:t xml:space="preserve"> </w:t>
      </w:r>
      <w:r>
        <w:t>state</w:t>
      </w:r>
      <w:r>
        <w:rPr>
          <w:spacing w:val="-1"/>
        </w:rPr>
        <w:t xml:space="preserve"> </w:t>
      </w:r>
      <w:r>
        <w:t>agencies</w:t>
      </w:r>
      <w:r>
        <w:rPr>
          <w:spacing w:val="-2"/>
        </w:rPr>
        <w:t xml:space="preserve"> </w:t>
      </w:r>
      <w:r>
        <w:t>take</w:t>
      </w:r>
      <w:r>
        <w:rPr>
          <w:spacing w:val="-1"/>
        </w:rPr>
        <w:t xml:space="preserve"> </w:t>
      </w:r>
      <w:r>
        <w:t>seriously the</w:t>
      </w:r>
      <w:r>
        <w:rPr>
          <w:spacing w:val="-4"/>
        </w:rPr>
        <w:t xml:space="preserve"> </w:t>
      </w:r>
      <w:r>
        <w:t>unique</w:t>
      </w:r>
      <w:r>
        <w:rPr>
          <w:spacing w:val="-6"/>
        </w:rPr>
        <w:t xml:space="preserve"> </w:t>
      </w:r>
      <w:r>
        <w:t>needs</w:t>
      </w:r>
      <w:r>
        <w:rPr>
          <w:spacing w:val="-7"/>
        </w:rPr>
        <w:t xml:space="preserve"> </w:t>
      </w:r>
      <w:r>
        <w:t>of</w:t>
      </w:r>
      <w:r>
        <w:rPr>
          <w:spacing w:val="-9"/>
        </w:rPr>
        <w:t xml:space="preserve"> </w:t>
      </w:r>
      <w:r>
        <w:t>LGBTQ</w:t>
      </w:r>
      <w:r>
        <w:rPr>
          <w:spacing w:val="-6"/>
        </w:rPr>
        <w:t xml:space="preserve"> </w:t>
      </w:r>
      <w:r>
        <w:t>youth</w:t>
      </w:r>
      <w:r>
        <w:rPr>
          <w:spacing w:val="-5"/>
        </w:rPr>
        <w:t xml:space="preserve"> </w:t>
      </w:r>
      <w:r>
        <w:t>in</w:t>
      </w:r>
      <w:r>
        <w:rPr>
          <w:spacing w:val="-7"/>
        </w:rPr>
        <w:t xml:space="preserve"> </w:t>
      </w:r>
      <w:r>
        <w:t>the</w:t>
      </w:r>
      <w:r>
        <w:rPr>
          <w:spacing w:val="-6"/>
        </w:rPr>
        <w:t xml:space="preserve"> </w:t>
      </w:r>
      <w:r>
        <w:t>Commonwealth</w:t>
      </w:r>
      <w:r>
        <w:rPr>
          <w:spacing w:val="-5"/>
        </w:rPr>
        <w:t xml:space="preserve"> </w:t>
      </w:r>
      <w:r>
        <w:t>by</w:t>
      </w:r>
      <w:r>
        <w:rPr>
          <w:spacing w:val="-6"/>
        </w:rPr>
        <w:t xml:space="preserve"> </w:t>
      </w:r>
      <w:r>
        <w:t>creating</w:t>
      </w:r>
      <w:r>
        <w:rPr>
          <w:spacing w:val="-5"/>
        </w:rPr>
        <w:t xml:space="preserve"> </w:t>
      </w:r>
      <w:r>
        <w:t>specific</w:t>
      </w:r>
      <w:r>
        <w:rPr>
          <w:spacing w:val="-6"/>
        </w:rPr>
        <w:t xml:space="preserve"> </w:t>
      </w:r>
      <w:r>
        <w:t>LGBTQ-oriented</w:t>
      </w:r>
      <w:r>
        <w:rPr>
          <w:spacing w:val="-5"/>
        </w:rPr>
        <w:t xml:space="preserve"> </w:t>
      </w:r>
      <w:r>
        <w:t>positions</w:t>
      </w:r>
      <w:r>
        <w:rPr>
          <w:spacing w:val="-6"/>
        </w:rPr>
        <w:t xml:space="preserve"> </w:t>
      </w:r>
      <w:r>
        <w:t>as outreach &amp; community specialists, program directors, and more within their agencies. The Commission recommends that DTA create a specific position for LGBTQ internal and external work. These positions are often</w:t>
      </w:r>
      <w:r>
        <w:t xml:space="preserve"> tasked with overseeing DEI &amp; training work internally, external outreach, and resource development. While this is a great deal of work for one staff person to oversee, the Commission hopes that agencies continue to develop these offices internally to buil</w:t>
      </w:r>
      <w:r>
        <w:t>d capacity, and more community-based outreach efforts.</w:t>
      </w:r>
    </w:p>
    <w:p w:rsidR="00200FDA" w:rsidRDefault="00200FDA">
      <w:pPr>
        <w:pStyle w:val="BodyText"/>
        <w:spacing w:before="6"/>
        <w:rPr>
          <w:sz w:val="19"/>
        </w:rPr>
      </w:pPr>
    </w:p>
    <w:p w:rsidR="00200FDA" w:rsidRDefault="00F76C4C">
      <w:pPr>
        <w:pStyle w:val="Heading9"/>
        <w:numPr>
          <w:ilvl w:val="0"/>
          <w:numId w:val="8"/>
        </w:numPr>
        <w:tabs>
          <w:tab w:val="left" w:pos="502"/>
        </w:tabs>
        <w:spacing w:line="276" w:lineRule="auto"/>
        <w:ind w:left="279" w:right="275" w:firstLine="0"/>
      </w:pPr>
      <w:r>
        <w:t>Continue</w:t>
      </w:r>
      <w:r>
        <w:rPr>
          <w:spacing w:val="-3"/>
        </w:rPr>
        <w:t xml:space="preserve"> </w:t>
      </w:r>
      <w:r>
        <w:t>to</w:t>
      </w:r>
      <w:r>
        <w:rPr>
          <w:spacing w:val="-4"/>
        </w:rPr>
        <w:t xml:space="preserve"> </w:t>
      </w:r>
      <w:r>
        <w:t>review</w:t>
      </w:r>
      <w:r>
        <w:rPr>
          <w:spacing w:val="-2"/>
        </w:rPr>
        <w:t xml:space="preserve"> </w:t>
      </w:r>
      <w:r>
        <w:t>opportunities</w:t>
      </w:r>
      <w:r>
        <w:rPr>
          <w:spacing w:val="-5"/>
        </w:rPr>
        <w:t xml:space="preserve"> </w:t>
      </w:r>
      <w:r>
        <w:t>to</w:t>
      </w:r>
      <w:r>
        <w:rPr>
          <w:spacing w:val="-4"/>
        </w:rPr>
        <w:t xml:space="preserve"> </w:t>
      </w:r>
      <w:r>
        <w:t>collect</w:t>
      </w:r>
      <w:r>
        <w:rPr>
          <w:spacing w:val="-5"/>
        </w:rPr>
        <w:t xml:space="preserve"> </w:t>
      </w:r>
      <w:r>
        <w:t>inclusive</w:t>
      </w:r>
      <w:r>
        <w:rPr>
          <w:spacing w:val="-4"/>
        </w:rPr>
        <w:t xml:space="preserve"> </w:t>
      </w:r>
      <w:r>
        <w:t>SOGIE</w:t>
      </w:r>
      <w:r>
        <w:rPr>
          <w:spacing w:val="-3"/>
        </w:rPr>
        <w:t xml:space="preserve"> </w:t>
      </w:r>
      <w:r>
        <w:t>data</w:t>
      </w:r>
      <w:r>
        <w:rPr>
          <w:spacing w:val="-4"/>
        </w:rPr>
        <w:t xml:space="preserve"> </w:t>
      </w:r>
      <w:r>
        <w:t>information,</w:t>
      </w:r>
      <w:r>
        <w:rPr>
          <w:spacing w:val="-2"/>
        </w:rPr>
        <w:t xml:space="preserve"> </w:t>
      </w:r>
      <w:r>
        <w:t>and</w:t>
      </w:r>
      <w:r>
        <w:rPr>
          <w:spacing w:val="-4"/>
        </w:rPr>
        <w:t xml:space="preserve"> </w:t>
      </w:r>
      <w:r>
        <w:t>update</w:t>
      </w:r>
      <w:r>
        <w:rPr>
          <w:spacing w:val="-4"/>
        </w:rPr>
        <w:t xml:space="preserve"> </w:t>
      </w:r>
      <w:r>
        <w:t>IT</w:t>
      </w:r>
      <w:r>
        <w:rPr>
          <w:spacing w:val="-4"/>
        </w:rPr>
        <w:t xml:space="preserve"> </w:t>
      </w:r>
      <w:r>
        <w:t>systems to include new data fields where appropriate.</w:t>
      </w:r>
    </w:p>
    <w:p w:rsidR="00200FDA" w:rsidRDefault="00200FDA">
      <w:pPr>
        <w:pStyle w:val="BodyText"/>
        <w:spacing w:before="9"/>
        <w:rPr>
          <w:b/>
          <w:sz w:val="19"/>
        </w:rPr>
      </w:pPr>
    </w:p>
    <w:p w:rsidR="00200FDA" w:rsidRDefault="00F76C4C">
      <w:pPr>
        <w:pStyle w:val="BodyText"/>
        <w:spacing w:before="1" w:line="276" w:lineRule="auto"/>
        <w:ind w:left="279" w:right="165"/>
      </w:pPr>
      <w:r>
        <w:t>The Commission has been working with DTA over the las</w:t>
      </w:r>
      <w:r>
        <w:t>t fiscal year to examine areas where inclusive</w:t>
      </w:r>
      <w:r>
        <w:rPr>
          <w:spacing w:val="40"/>
        </w:rPr>
        <w:t xml:space="preserve"> </w:t>
      </w:r>
      <w:r>
        <w:t>data on SOGI can be collected. Currently,</w:t>
      </w:r>
      <w:r>
        <w:rPr>
          <w:spacing w:val="-3"/>
        </w:rPr>
        <w:t xml:space="preserve"> </w:t>
      </w:r>
      <w:r>
        <w:t>DTA’s data collection is limited to demographic info on race and biological sex. DTA notes that the vast majority of its data collection happens through the SNAP program which</w:t>
      </w:r>
      <w:r>
        <w:rPr>
          <w:spacing w:val="28"/>
        </w:rPr>
        <w:t xml:space="preserve"> </w:t>
      </w:r>
      <w:r>
        <w:t>is</w:t>
      </w:r>
      <w:r>
        <w:rPr>
          <w:spacing w:val="28"/>
        </w:rPr>
        <w:t xml:space="preserve"> </w:t>
      </w:r>
      <w:r>
        <w:t>heavily</w:t>
      </w:r>
      <w:r>
        <w:rPr>
          <w:spacing w:val="28"/>
        </w:rPr>
        <w:t xml:space="preserve"> </w:t>
      </w:r>
      <w:r>
        <w:t>regulated</w:t>
      </w:r>
      <w:r>
        <w:rPr>
          <w:spacing w:val="28"/>
        </w:rPr>
        <w:t xml:space="preserve"> </w:t>
      </w:r>
      <w:r>
        <w:t>by</w:t>
      </w:r>
      <w:r>
        <w:rPr>
          <w:spacing w:val="28"/>
        </w:rPr>
        <w:t xml:space="preserve"> </w:t>
      </w:r>
      <w:r>
        <w:t>the</w:t>
      </w:r>
      <w:r>
        <w:rPr>
          <w:spacing w:val="28"/>
        </w:rPr>
        <w:t xml:space="preserve"> </w:t>
      </w:r>
      <w:r>
        <w:t>federal</w:t>
      </w:r>
      <w:r>
        <w:rPr>
          <w:spacing w:val="28"/>
        </w:rPr>
        <w:t xml:space="preserve"> </w:t>
      </w:r>
      <w:r>
        <w:t>government;</w:t>
      </w:r>
      <w:r>
        <w:rPr>
          <w:spacing w:val="28"/>
        </w:rPr>
        <w:t xml:space="preserve"> </w:t>
      </w:r>
      <w:r>
        <w:t>as</w:t>
      </w:r>
      <w:r>
        <w:rPr>
          <w:spacing w:val="28"/>
        </w:rPr>
        <w:t xml:space="preserve"> </w:t>
      </w:r>
      <w:r>
        <w:t>noted</w:t>
      </w:r>
      <w:r>
        <w:rPr>
          <w:spacing w:val="28"/>
        </w:rPr>
        <w:t xml:space="preserve"> </w:t>
      </w:r>
      <w:r>
        <w:t>in</w:t>
      </w:r>
      <w:r>
        <w:rPr>
          <w:spacing w:val="27"/>
        </w:rPr>
        <w:t xml:space="preserve"> </w:t>
      </w:r>
      <w:r>
        <w:t>the</w:t>
      </w:r>
      <w:r>
        <w:rPr>
          <w:spacing w:val="27"/>
        </w:rPr>
        <w:t xml:space="preserve"> </w:t>
      </w:r>
      <w:r>
        <w:t>Eliminating</w:t>
      </w:r>
      <w:r>
        <w:rPr>
          <w:spacing w:val="27"/>
        </w:rPr>
        <w:t xml:space="preserve"> </w:t>
      </w:r>
      <w:r>
        <w:t>Barr</w:t>
      </w:r>
      <w:r>
        <w:t>iers</w:t>
      </w:r>
      <w:r>
        <w:rPr>
          <w:spacing w:val="27"/>
        </w:rPr>
        <w:t xml:space="preserve"> </w:t>
      </w:r>
      <w:r>
        <w:t>to</w:t>
      </w:r>
      <w:r>
        <w:rPr>
          <w:spacing w:val="27"/>
        </w:rPr>
        <w:t xml:space="preserve"> </w:t>
      </w:r>
      <w:r>
        <w:t>Services section,</w:t>
      </w:r>
      <w:r>
        <w:rPr>
          <w:spacing w:val="36"/>
        </w:rPr>
        <w:t xml:space="preserve"> </w:t>
      </w:r>
      <w:r>
        <w:t>federal</w:t>
      </w:r>
      <w:r>
        <w:rPr>
          <w:spacing w:val="36"/>
        </w:rPr>
        <w:t xml:space="preserve"> </w:t>
      </w:r>
      <w:r>
        <w:t>forms</w:t>
      </w:r>
      <w:r>
        <w:rPr>
          <w:spacing w:val="40"/>
        </w:rPr>
        <w:t xml:space="preserve"> </w:t>
      </w:r>
      <w:r>
        <w:t>often</w:t>
      </w:r>
      <w:r>
        <w:rPr>
          <w:spacing w:val="40"/>
        </w:rPr>
        <w:t xml:space="preserve"> </w:t>
      </w:r>
      <w:r>
        <w:t>inhibit</w:t>
      </w:r>
      <w:r>
        <w:rPr>
          <w:spacing w:val="40"/>
        </w:rPr>
        <w:t xml:space="preserve"> </w:t>
      </w:r>
      <w:r>
        <w:t>inclusive</w:t>
      </w:r>
      <w:r>
        <w:rPr>
          <w:spacing w:val="40"/>
        </w:rPr>
        <w:t xml:space="preserve"> </w:t>
      </w:r>
      <w:r>
        <w:t>data</w:t>
      </w:r>
      <w:r>
        <w:rPr>
          <w:spacing w:val="40"/>
        </w:rPr>
        <w:t xml:space="preserve"> </w:t>
      </w:r>
      <w:r>
        <w:t>collection</w:t>
      </w:r>
      <w:r>
        <w:rPr>
          <w:spacing w:val="40"/>
        </w:rPr>
        <w:t xml:space="preserve"> </w:t>
      </w:r>
      <w:r>
        <w:t>efforts</w:t>
      </w:r>
      <w:r>
        <w:rPr>
          <w:spacing w:val="40"/>
        </w:rPr>
        <w:t xml:space="preserve"> </w:t>
      </w:r>
      <w:r>
        <w:t>at</w:t>
      </w:r>
      <w:r>
        <w:rPr>
          <w:spacing w:val="40"/>
        </w:rPr>
        <w:t xml:space="preserve"> </w:t>
      </w:r>
      <w:r>
        <w:t>the</w:t>
      </w:r>
      <w:r>
        <w:rPr>
          <w:spacing w:val="40"/>
        </w:rPr>
        <w:t xml:space="preserve"> </w:t>
      </w:r>
      <w:r>
        <w:t>state</w:t>
      </w:r>
      <w:r>
        <w:rPr>
          <w:spacing w:val="40"/>
        </w:rPr>
        <w:t xml:space="preserve"> </w:t>
      </w:r>
      <w:r>
        <w:t>level.</w:t>
      </w:r>
      <w:r>
        <w:rPr>
          <w:spacing w:val="40"/>
        </w:rPr>
        <w:t xml:space="preserve"> </w:t>
      </w:r>
      <w:r>
        <w:t>Additionally, outdated</w:t>
      </w:r>
      <w:r>
        <w:rPr>
          <w:spacing w:val="34"/>
        </w:rPr>
        <w:t xml:space="preserve"> </w:t>
      </w:r>
      <w:r>
        <w:t>IT</w:t>
      </w:r>
      <w:r>
        <w:rPr>
          <w:spacing w:val="34"/>
        </w:rPr>
        <w:t xml:space="preserve"> </w:t>
      </w:r>
      <w:r>
        <w:t>systems</w:t>
      </w:r>
      <w:r>
        <w:rPr>
          <w:spacing w:val="35"/>
        </w:rPr>
        <w:t xml:space="preserve"> </w:t>
      </w:r>
      <w:r>
        <w:t>often</w:t>
      </w:r>
      <w:r>
        <w:rPr>
          <w:spacing w:val="34"/>
        </w:rPr>
        <w:t xml:space="preserve"> </w:t>
      </w:r>
      <w:r>
        <w:t>take</w:t>
      </w:r>
      <w:r>
        <w:rPr>
          <w:spacing w:val="35"/>
        </w:rPr>
        <w:t xml:space="preserve"> </w:t>
      </w:r>
      <w:r>
        <w:t>an</w:t>
      </w:r>
      <w:r>
        <w:rPr>
          <w:spacing w:val="35"/>
        </w:rPr>
        <w:t xml:space="preserve"> </w:t>
      </w:r>
      <w:r>
        <w:t>enormous</w:t>
      </w:r>
      <w:r>
        <w:rPr>
          <w:spacing w:val="35"/>
        </w:rPr>
        <w:t xml:space="preserve"> </w:t>
      </w:r>
      <w:r>
        <w:t>amount</w:t>
      </w:r>
      <w:r>
        <w:rPr>
          <w:spacing w:val="35"/>
        </w:rPr>
        <w:t xml:space="preserve"> </w:t>
      </w:r>
      <w:r>
        <w:t>of</w:t>
      </w:r>
      <w:r>
        <w:rPr>
          <w:spacing w:val="34"/>
        </w:rPr>
        <w:t xml:space="preserve"> </w:t>
      </w:r>
      <w:r>
        <w:t>effort</w:t>
      </w:r>
      <w:r>
        <w:rPr>
          <w:spacing w:val="35"/>
        </w:rPr>
        <w:t xml:space="preserve"> </w:t>
      </w:r>
      <w:r>
        <w:t>and</w:t>
      </w:r>
      <w:r>
        <w:rPr>
          <w:spacing w:val="35"/>
        </w:rPr>
        <w:t xml:space="preserve"> </w:t>
      </w:r>
      <w:r>
        <w:t>time</w:t>
      </w:r>
      <w:r>
        <w:rPr>
          <w:spacing w:val="35"/>
        </w:rPr>
        <w:t xml:space="preserve"> </w:t>
      </w:r>
      <w:r>
        <w:t>to</w:t>
      </w:r>
      <w:r>
        <w:rPr>
          <w:spacing w:val="35"/>
        </w:rPr>
        <w:t xml:space="preserve"> </w:t>
      </w:r>
      <w:r>
        <w:t>update</w:t>
      </w:r>
      <w:r>
        <w:rPr>
          <w:spacing w:val="34"/>
        </w:rPr>
        <w:t xml:space="preserve"> </w:t>
      </w:r>
      <w:r>
        <w:t>to</w:t>
      </w:r>
      <w:r>
        <w:rPr>
          <w:spacing w:val="35"/>
        </w:rPr>
        <w:t xml:space="preserve"> </w:t>
      </w:r>
      <w:r>
        <w:t>include</w:t>
      </w:r>
      <w:r>
        <w:rPr>
          <w:spacing w:val="34"/>
        </w:rPr>
        <w:t xml:space="preserve"> </w:t>
      </w:r>
      <w:r>
        <w:t>better data</w:t>
      </w:r>
      <w:r>
        <w:rPr>
          <w:spacing w:val="40"/>
        </w:rPr>
        <w:t xml:space="preserve"> </w:t>
      </w:r>
      <w:r>
        <w:t>fields</w:t>
      </w:r>
      <w:r>
        <w:rPr>
          <w:spacing w:val="40"/>
        </w:rPr>
        <w:t xml:space="preserve"> </w:t>
      </w:r>
      <w:r>
        <w:t>or</w:t>
      </w:r>
      <w:r>
        <w:rPr>
          <w:spacing w:val="40"/>
        </w:rPr>
        <w:t xml:space="preserve"> </w:t>
      </w:r>
      <w:r>
        <w:t>tracking.</w:t>
      </w:r>
      <w:r>
        <w:rPr>
          <w:spacing w:val="40"/>
        </w:rPr>
        <w:t xml:space="preserve"> </w:t>
      </w:r>
      <w:r>
        <w:t>However,</w:t>
      </w:r>
      <w:r>
        <w:rPr>
          <w:spacing w:val="40"/>
        </w:rPr>
        <w:t xml:space="preserve"> </w:t>
      </w:r>
      <w:r>
        <w:t>without</w:t>
      </w:r>
      <w:r>
        <w:rPr>
          <w:spacing w:val="40"/>
        </w:rPr>
        <w:t xml:space="preserve"> </w:t>
      </w:r>
      <w:r>
        <w:t>the</w:t>
      </w:r>
      <w:r>
        <w:rPr>
          <w:spacing w:val="40"/>
        </w:rPr>
        <w:t xml:space="preserve"> </w:t>
      </w:r>
      <w:r>
        <w:t>appropriate</w:t>
      </w:r>
      <w:r>
        <w:rPr>
          <w:spacing w:val="40"/>
        </w:rPr>
        <w:t xml:space="preserve"> </w:t>
      </w:r>
      <w:r>
        <w:t>information,</w:t>
      </w:r>
      <w:r>
        <w:rPr>
          <w:spacing w:val="40"/>
        </w:rPr>
        <w:t xml:space="preserve"> </w:t>
      </w:r>
      <w:r>
        <w:t>agencies</w:t>
      </w:r>
      <w:r>
        <w:rPr>
          <w:spacing w:val="40"/>
        </w:rPr>
        <w:t xml:space="preserve"> </w:t>
      </w:r>
      <w:r>
        <w:t>cannot</w:t>
      </w:r>
      <w:r>
        <w:rPr>
          <w:spacing w:val="40"/>
        </w:rPr>
        <w:t xml:space="preserve"> </w:t>
      </w:r>
      <w:r>
        <w:t>ensure</w:t>
      </w:r>
      <w:r>
        <w:rPr>
          <w:spacing w:val="40"/>
        </w:rPr>
        <w:t xml:space="preserve"> </w:t>
      </w:r>
      <w:r>
        <w:t>that their</w:t>
      </w:r>
      <w:r>
        <w:rPr>
          <w:spacing w:val="37"/>
        </w:rPr>
        <w:t xml:space="preserve"> </w:t>
      </w:r>
      <w:r>
        <w:t>services</w:t>
      </w:r>
      <w:r>
        <w:rPr>
          <w:spacing w:val="37"/>
        </w:rPr>
        <w:t xml:space="preserve"> </w:t>
      </w:r>
      <w:r>
        <w:t>are</w:t>
      </w:r>
      <w:r>
        <w:rPr>
          <w:spacing w:val="37"/>
        </w:rPr>
        <w:t xml:space="preserve"> </w:t>
      </w:r>
      <w:r>
        <w:t>reaching</w:t>
      </w:r>
      <w:r>
        <w:rPr>
          <w:spacing w:val="36"/>
        </w:rPr>
        <w:t xml:space="preserve"> </w:t>
      </w:r>
      <w:r>
        <w:t>target</w:t>
      </w:r>
      <w:r>
        <w:rPr>
          <w:spacing w:val="31"/>
        </w:rPr>
        <w:t xml:space="preserve"> </w:t>
      </w:r>
      <w:r>
        <w:t>populations,</w:t>
      </w:r>
      <w:r>
        <w:rPr>
          <w:spacing w:val="31"/>
        </w:rPr>
        <w:t xml:space="preserve"> </w:t>
      </w:r>
      <w:r>
        <w:t>like</w:t>
      </w:r>
      <w:r>
        <w:rPr>
          <w:spacing w:val="31"/>
        </w:rPr>
        <w:t xml:space="preserve"> </w:t>
      </w:r>
      <w:r>
        <w:t>LGBTQ</w:t>
      </w:r>
      <w:r>
        <w:rPr>
          <w:spacing w:val="31"/>
        </w:rPr>
        <w:t xml:space="preserve"> </w:t>
      </w:r>
      <w:r>
        <w:t>youth,</w:t>
      </w:r>
      <w:r>
        <w:rPr>
          <w:spacing w:val="32"/>
        </w:rPr>
        <w:t xml:space="preserve"> </w:t>
      </w:r>
      <w:r>
        <w:t>particularly</w:t>
      </w:r>
      <w:r>
        <w:rPr>
          <w:spacing w:val="32"/>
        </w:rPr>
        <w:t xml:space="preserve"> </w:t>
      </w:r>
      <w:r>
        <w:t>if</w:t>
      </w:r>
      <w:r>
        <w:rPr>
          <w:spacing w:val="31"/>
        </w:rPr>
        <w:t xml:space="preserve"> </w:t>
      </w:r>
      <w:r>
        <w:t>they</w:t>
      </w:r>
      <w:r>
        <w:rPr>
          <w:spacing w:val="31"/>
        </w:rPr>
        <w:t xml:space="preserve"> </w:t>
      </w:r>
      <w:r>
        <w:t>are</w:t>
      </w:r>
      <w:r>
        <w:rPr>
          <w:spacing w:val="31"/>
        </w:rPr>
        <w:t xml:space="preserve"> </w:t>
      </w:r>
      <w:r>
        <w:t>only</w:t>
      </w:r>
      <w:r>
        <w:rPr>
          <w:spacing w:val="32"/>
        </w:rPr>
        <w:t xml:space="preserve"> </w:t>
      </w:r>
      <w:r>
        <w:t>tracking sex-assigned-at-birth markers rather than gender identity/expression markers.</w:t>
      </w:r>
    </w:p>
    <w:p w:rsidR="00200FDA" w:rsidRDefault="00200FDA">
      <w:pPr>
        <w:pStyle w:val="BodyText"/>
        <w:spacing w:before="7"/>
        <w:rPr>
          <w:sz w:val="19"/>
        </w:rPr>
      </w:pPr>
    </w:p>
    <w:p w:rsidR="00200FDA" w:rsidRDefault="00F76C4C">
      <w:pPr>
        <w:pStyle w:val="Heading9"/>
        <w:numPr>
          <w:ilvl w:val="0"/>
          <w:numId w:val="8"/>
        </w:numPr>
        <w:tabs>
          <w:tab w:val="left" w:pos="555"/>
        </w:tabs>
        <w:spacing w:line="273" w:lineRule="auto"/>
        <w:ind w:left="279" w:right="275" w:firstLine="0"/>
        <w:rPr>
          <w:b w:val="0"/>
        </w:rPr>
      </w:pPr>
      <w:r>
        <w:t>Expand</w:t>
      </w:r>
      <w:r>
        <w:rPr>
          <w:spacing w:val="40"/>
        </w:rPr>
        <w:t xml:space="preserve"> </w:t>
      </w:r>
      <w:r>
        <w:t>intersectional</w:t>
      </w:r>
      <w:r>
        <w:rPr>
          <w:spacing w:val="40"/>
        </w:rPr>
        <w:t xml:space="preserve"> </w:t>
      </w:r>
      <w:r>
        <w:t>LGBTQ</w:t>
      </w:r>
      <w:r>
        <w:rPr>
          <w:spacing w:val="40"/>
        </w:rPr>
        <w:t xml:space="preserve"> </w:t>
      </w:r>
      <w:r>
        <w:t>training</w:t>
      </w:r>
      <w:r>
        <w:rPr>
          <w:spacing w:val="40"/>
        </w:rPr>
        <w:t xml:space="preserve"> </w:t>
      </w:r>
      <w:r>
        <w:t>efforts</w:t>
      </w:r>
      <w:r>
        <w:rPr>
          <w:spacing w:val="40"/>
        </w:rPr>
        <w:t xml:space="preserve"> </w:t>
      </w:r>
      <w:r>
        <w:t>and</w:t>
      </w:r>
      <w:r>
        <w:rPr>
          <w:spacing w:val="40"/>
        </w:rPr>
        <w:t xml:space="preserve"> </w:t>
      </w:r>
      <w:r>
        <w:t>mandate</w:t>
      </w:r>
      <w:r>
        <w:rPr>
          <w:spacing w:val="40"/>
        </w:rPr>
        <w:t xml:space="preserve"> </w:t>
      </w:r>
      <w:r>
        <w:t>racial</w:t>
      </w:r>
      <w:r>
        <w:rPr>
          <w:spacing w:val="40"/>
        </w:rPr>
        <w:t xml:space="preserve"> </w:t>
      </w:r>
      <w:r>
        <w:t>justice</w:t>
      </w:r>
      <w:r>
        <w:rPr>
          <w:spacing w:val="40"/>
        </w:rPr>
        <w:t xml:space="preserve"> </w:t>
      </w:r>
      <w:r>
        <w:t>trainings</w:t>
      </w:r>
      <w:r>
        <w:rPr>
          <w:spacing w:val="40"/>
        </w:rPr>
        <w:t xml:space="preserve"> </w:t>
      </w:r>
      <w:r>
        <w:t>for</w:t>
      </w:r>
      <w:r>
        <w:rPr>
          <w:spacing w:val="40"/>
        </w:rPr>
        <w:t xml:space="preserve"> </w:t>
      </w:r>
      <w:r>
        <w:t>all</w:t>
      </w:r>
      <w:r>
        <w:rPr>
          <w:spacing w:val="40"/>
        </w:rPr>
        <w:t xml:space="preserve"> </w:t>
      </w:r>
      <w:r>
        <w:t xml:space="preserve">DTA </w:t>
      </w:r>
      <w:r>
        <w:rPr>
          <w:spacing w:val="-2"/>
        </w:rPr>
        <w:t>employees.</w:t>
      </w:r>
    </w:p>
    <w:p w:rsidR="00200FDA" w:rsidRDefault="00200FDA">
      <w:pPr>
        <w:spacing w:line="273" w:lineRule="auto"/>
        <w:sectPr w:rsidR="00200FDA">
          <w:pgSz w:w="12240" w:h="15840"/>
          <w:pgMar w:top="1260" w:right="1160" w:bottom="1240" w:left="1160" w:header="761" w:footer="1043" w:gutter="0"/>
          <w:cols w:space="720"/>
        </w:sectPr>
      </w:pPr>
    </w:p>
    <w:p w:rsidR="00200FDA" w:rsidRDefault="00200FDA">
      <w:pPr>
        <w:pStyle w:val="BodyText"/>
        <w:rPr>
          <w:b/>
          <w:sz w:val="9"/>
        </w:rPr>
      </w:pPr>
    </w:p>
    <w:p w:rsidR="00200FDA" w:rsidRDefault="00F76C4C">
      <w:pPr>
        <w:pStyle w:val="BodyText"/>
        <w:spacing w:before="56" w:line="276" w:lineRule="auto"/>
        <w:ind w:left="279" w:right="272"/>
        <w:jc w:val="both"/>
      </w:pPr>
      <w:r>
        <w:t>Training</w:t>
      </w:r>
      <w:r>
        <w:rPr>
          <w:spacing w:val="-7"/>
        </w:rPr>
        <w:t xml:space="preserve"> </w:t>
      </w:r>
      <w:r>
        <w:t>on</w:t>
      </w:r>
      <w:r>
        <w:rPr>
          <w:spacing w:val="-10"/>
        </w:rPr>
        <w:t xml:space="preserve"> </w:t>
      </w:r>
      <w:r>
        <w:t>LGBTQ</w:t>
      </w:r>
      <w:r>
        <w:rPr>
          <w:spacing w:val="-9"/>
        </w:rPr>
        <w:t xml:space="preserve"> </w:t>
      </w:r>
      <w:r>
        <w:t>culture</w:t>
      </w:r>
      <w:r>
        <w:rPr>
          <w:spacing w:val="-8"/>
        </w:rPr>
        <w:t xml:space="preserve"> </w:t>
      </w:r>
      <w:r>
        <w:t>and</w:t>
      </w:r>
      <w:r>
        <w:rPr>
          <w:spacing w:val="-7"/>
        </w:rPr>
        <w:t xml:space="preserve"> </w:t>
      </w:r>
      <w:r>
        <w:t>experiences</w:t>
      </w:r>
      <w:r>
        <w:rPr>
          <w:spacing w:val="-9"/>
        </w:rPr>
        <w:t xml:space="preserve"> </w:t>
      </w:r>
      <w:r>
        <w:t>is</w:t>
      </w:r>
      <w:r>
        <w:rPr>
          <w:spacing w:val="-9"/>
        </w:rPr>
        <w:t xml:space="preserve"> </w:t>
      </w:r>
      <w:r>
        <w:t>essential</w:t>
      </w:r>
      <w:r>
        <w:rPr>
          <w:spacing w:val="-7"/>
        </w:rPr>
        <w:t xml:space="preserve"> </w:t>
      </w:r>
      <w:r>
        <w:t>for</w:t>
      </w:r>
      <w:r>
        <w:rPr>
          <w:spacing w:val="-9"/>
        </w:rPr>
        <w:t xml:space="preserve"> </w:t>
      </w:r>
      <w:r>
        <w:t>every</w:t>
      </w:r>
      <w:r>
        <w:rPr>
          <w:spacing w:val="-6"/>
        </w:rPr>
        <w:t xml:space="preserve"> </w:t>
      </w:r>
      <w:r>
        <w:t>state</w:t>
      </w:r>
      <w:r>
        <w:rPr>
          <w:spacing w:val="-9"/>
        </w:rPr>
        <w:t xml:space="preserve"> </w:t>
      </w:r>
      <w:r>
        <w:t>agency</w:t>
      </w:r>
      <w:r>
        <w:rPr>
          <w:spacing w:val="-8"/>
        </w:rPr>
        <w:t xml:space="preserve"> </w:t>
      </w:r>
      <w:r>
        <w:t>employee</w:t>
      </w:r>
      <w:r>
        <w:rPr>
          <w:spacing w:val="-7"/>
        </w:rPr>
        <w:t xml:space="preserve"> </w:t>
      </w:r>
      <w:r>
        <w:t>-</w:t>
      </w:r>
      <w:r>
        <w:rPr>
          <w:spacing w:val="-9"/>
        </w:rPr>
        <w:t xml:space="preserve"> </w:t>
      </w:r>
      <w:r>
        <w:t>those</w:t>
      </w:r>
      <w:r>
        <w:rPr>
          <w:spacing w:val="-8"/>
        </w:rPr>
        <w:t xml:space="preserve"> </w:t>
      </w:r>
      <w:r>
        <w:t>who</w:t>
      </w:r>
      <w:r>
        <w:rPr>
          <w:spacing w:val="-8"/>
        </w:rPr>
        <w:t xml:space="preserve"> </w:t>
      </w:r>
      <w:r>
        <w:t>work on the ground in direct contact with communities, and internal employees who create policies, procedures, and systems to serve communities. Over the latter half of the 2023 fiscal year, DTA has partnered</w:t>
      </w:r>
      <w:r>
        <w:rPr>
          <w:spacing w:val="-5"/>
        </w:rPr>
        <w:t xml:space="preserve"> </w:t>
      </w:r>
      <w:r>
        <w:t>with</w:t>
      </w:r>
      <w:r>
        <w:rPr>
          <w:spacing w:val="-5"/>
        </w:rPr>
        <w:t xml:space="preserve"> </w:t>
      </w:r>
      <w:r>
        <w:t>the</w:t>
      </w:r>
      <w:r>
        <w:rPr>
          <w:spacing w:val="-6"/>
        </w:rPr>
        <w:t xml:space="preserve"> </w:t>
      </w:r>
      <w:r>
        <w:t>Commission</w:t>
      </w:r>
      <w:r>
        <w:rPr>
          <w:spacing w:val="-5"/>
        </w:rPr>
        <w:t xml:space="preserve"> </w:t>
      </w:r>
      <w:r>
        <w:t>and</w:t>
      </w:r>
      <w:r>
        <w:rPr>
          <w:spacing w:val="-5"/>
        </w:rPr>
        <w:t xml:space="preserve"> </w:t>
      </w:r>
      <w:r>
        <w:t>EOHHS</w:t>
      </w:r>
      <w:r>
        <w:rPr>
          <w:spacing w:val="-5"/>
        </w:rPr>
        <w:t xml:space="preserve"> </w:t>
      </w:r>
      <w:r>
        <w:t>DEI</w:t>
      </w:r>
      <w:r>
        <w:rPr>
          <w:spacing w:val="-7"/>
        </w:rPr>
        <w:t xml:space="preserve"> </w:t>
      </w:r>
      <w:r>
        <w:t>staff</w:t>
      </w:r>
      <w:r>
        <w:rPr>
          <w:spacing w:val="-7"/>
        </w:rPr>
        <w:t xml:space="preserve"> </w:t>
      </w:r>
      <w:r>
        <w:t>to</w:t>
      </w:r>
      <w:r>
        <w:rPr>
          <w:spacing w:val="-3"/>
        </w:rPr>
        <w:t xml:space="preserve"> </w:t>
      </w:r>
      <w:r>
        <w:t>part</w:t>
      </w:r>
      <w:r>
        <w:t>icipate</w:t>
      </w:r>
      <w:r>
        <w:rPr>
          <w:spacing w:val="-4"/>
        </w:rPr>
        <w:t xml:space="preserve"> </w:t>
      </w:r>
      <w:r>
        <w:t>in</w:t>
      </w:r>
      <w:r>
        <w:rPr>
          <w:spacing w:val="-7"/>
        </w:rPr>
        <w:t xml:space="preserve"> </w:t>
      </w:r>
      <w:r>
        <w:t>the</w:t>
      </w:r>
      <w:r>
        <w:rPr>
          <w:spacing w:val="-4"/>
        </w:rPr>
        <w:t xml:space="preserve"> </w:t>
      </w:r>
      <w:r>
        <w:t>internal</w:t>
      </w:r>
      <w:r>
        <w:rPr>
          <w:spacing w:val="-7"/>
        </w:rPr>
        <w:t xml:space="preserve"> </w:t>
      </w:r>
      <w:r>
        <w:t>train-the-trainer</w:t>
      </w:r>
      <w:r>
        <w:rPr>
          <w:spacing w:val="-7"/>
        </w:rPr>
        <w:t xml:space="preserve"> </w:t>
      </w:r>
      <w:r>
        <w:t>model to</w:t>
      </w:r>
      <w:r>
        <w:rPr>
          <w:spacing w:val="-10"/>
        </w:rPr>
        <w:t xml:space="preserve"> </w:t>
      </w:r>
      <w:r>
        <w:t>develop</w:t>
      </w:r>
      <w:r>
        <w:rPr>
          <w:spacing w:val="-12"/>
        </w:rPr>
        <w:t xml:space="preserve"> </w:t>
      </w:r>
      <w:r>
        <w:t>cross-agency</w:t>
      </w:r>
      <w:r>
        <w:rPr>
          <w:spacing w:val="-11"/>
        </w:rPr>
        <w:t xml:space="preserve"> </w:t>
      </w:r>
      <w:r>
        <w:t>capacity,</w:t>
      </w:r>
      <w:r>
        <w:rPr>
          <w:spacing w:val="-11"/>
        </w:rPr>
        <w:t xml:space="preserve"> </w:t>
      </w:r>
      <w:r>
        <w:t>which</w:t>
      </w:r>
      <w:r>
        <w:rPr>
          <w:spacing w:val="-12"/>
        </w:rPr>
        <w:t xml:space="preserve"> </w:t>
      </w:r>
      <w:r>
        <w:t>is</w:t>
      </w:r>
      <w:r>
        <w:rPr>
          <w:spacing w:val="-11"/>
        </w:rPr>
        <w:t xml:space="preserve"> </w:t>
      </w:r>
      <w:r>
        <w:t>expected</w:t>
      </w:r>
      <w:r>
        <w:rPr>
          <w:spacing w:val="-12"/>
        </w:rPr>
        <w:t xml:space="preserve"> </w:t>
      </w:r>
      <w:r>
        <w:t>to</w:t>
      </w:r>
      <w:r>
        <w:rPr>
          <w:spacing w:val="-10"/>
        </w:rPr>
        <w:t xml:space="preserve"> </w:t>
      </w:r>
      <w:r>
        <w:t>continue</w:t>
      </w:r>
      <w:r>
        <w:rPr>
          <w:spacing w:val="-8"/>
        </w:rPr>
        <w:t xml:space="preserve"> </w:t>
      </w:r>
      <w:r>
        <w:t>into</w:t>
      </w:r>
      <w:r>
        <w:rPr>
          <w:spacing w:val="-10"/>
        </w:rPr>
        <w:t xml:space="preserve"> </w:t>
      </w:r>
      <w:r>
        <w:t>FY</w:t>
      </w:r>
      <w:r>
        <w:rPr>
          <w:spacing w:val="-11"/>
        </w:rPr>
        <w:t xml:space="preserve"> </w:t>
      </w:r>
      <w:r>
        <w:t>2024.</w:t>
      </w:r>
      <w:r>
        <w:rPr>
          <w:spacing w:val="-9"/>
        </w:rPr>
        <w:t xml:space="preserve"> </w:t>
      </w:r>
      <w:r>
        <w:t>As</w:t>
      </w:r>
      <w:r>
        <w:rPr>
          <w:spacing w:val="-11"/>
        </w:rPr>
        <w:t xml:space="preserve"> </w:t>
      </w:r>
      <w:r>
        <w:t>discussed</w:t>
      </w:r>
      <w:r>
        <w:rPr>
          <w:spacing w:val="-10"/>
        </w:rPr>
        <w:t xml:space="preserve"> </w:t>
      </w:r>
      <w:r>
        <w:t>in</w:t>
      </w:r>
      <w:r>
        <w:rPr>
          <w:spacing w:val="-12"/>
        </w:rPr>
        <w:t xml:space="preserve"> </w:t>
      </w:r>
      <w:r>
        <w:t>the</w:t>
      </w:r>
      <w:r>
        <w:rPr>
          <w:spacing w:val="-11"/>
        </w:rPr>
        <w:t xml:space="preserve"> </w:t>
      </w:r>
      <w:r>
        <w:t>research above,</w:t>
      </w:r>
      <w:r>
        <w:rPr>
          <w:spacing w:val="-9"/>
        </w:rPr>
        <w:t xml:space="preserve"> </w:t>
      </w:r>
      <w:r>
        <w:t>it</w:t>
      </w:r>
      <w:r>
        <w:rPr>
          <w:spacing w:val="-11"/>
        </w:rPr>
        <w:t xml:space="preserve"> </w:t>
      </w:r>
      <w:r>
        <w:t>is</w:t>
      </w:r>
      <w:r>
        <w:rPr>
          <w:spacing w:val="-11"/>
        </w:rPr>
        <w:t xml:space="preserve"> </w:t>
      </w:r>
      <w:r>
        <w:t>essential</w:t>
      </w:r>
      <w:r>
        <w:rPr>
          <w:spacing w:val="-9"/>
        </w:rPr>
        <w:t xml:space="preserve"> </w:t>
      </w:r>
      <w:r>
        <w:t>that</w:t>
      </w:r>
      <w:r>
        <w:rPr>
          <w:spacing w:val="-11"/>
        </w:rPr>
        <w:t xml:space="preserve"> </w:t>
      </w:r>
      <w:r>
        <w:t>trainings</w:t>
      </w:r>
      <w:r>
        <w:rPr>
          <w:spacing w:val="-9"/>
        </w:rPr>
        <w:t xml:space="preserve"> </w:t>
      </w:r>
      <w:r>
        <w:t>for</w:t>
      </w:r>
      <w:r>
        <w:rPr>
          <w:spacing w:val="-11"/>
        </w:rPr>
        <w:t xml:space="preserve"> </w:t>
      </w:r>
      <w:r>
        <w:t>employees</w:t>
      </w:r>
      <w:r>
        <w:rPr>
          <w:spacing w:val="-11"/>
        </w:rPr>
        <w:t xml:space="preserve"> </w:t>
      </w:r>
      <w:r>
        <w:t>incorporate</w:t>
      </w:r>
      <w:r>
        <w:rPr>
          <w:spacing w:val="-11"/>
        </w:rPr>
        <w:t xml:space="preserve"> </w:t>
      </w:r>
      <w:r>
        <w:t>an</w:t>
      </w:r>
      <w:r>
        <w:rPr>
          <w:spacing w:val="-10"/>
        </w:rPr>
        <w:t xml:space="preserve"> </w:t>
      </w:r>
      <w:r>
        <w:t>intersectional</w:t>
      </w:r>
      <w:r>
        <w:rPr>
          <w:spacing w:val="-11"/>
        </w:rPr>
        <w:t xml:space="preserve"> </w:t>
      </w:r>
      <w:r>
        <w:t>approach;</w:t>
      </w:r>
      <w:r>
        <w:rPr>
          <w:spacing w:val="-10"/>
        </w:rPr>
        <w:t xml:space="preserve"> </w:t>
      </w:r>
      <w:r>
        <w:t>the</w:t>
      </w:r>
      <w:r>
        <w:rPr>
          <w:spacing w:val="-11"/>
        </w:rPr>
        <w:t xml:space="preserve"> </w:t>
      </w:r>
      <w:r>
        <w:t>Commission recommends that DTA further include trainings on racial equity that are mandated for all employees, which</w:t>
      </w:r>
      <w:r>
        <w:rPr>
          <w:spacing w:val="-5"/>
        </w:rPr>
        <w:t xml:space="preserve"> </w:t>
      </w:r>
      <w:r>
        <w:t>has</w:t>
      </w:r>
      <w:r>
        <w:rPr>
          <w:spacing w:val="-4"/>
        </w:rPr>
        <w:t xml:space="preserve"> </w:t>
      </w:r>
      <w:r>
        <w:t>similarly</w:t>
      </w:r>
      <w:r>
        <w:rPr>
          <w:spacing w:val="-3"/>
        </w:rPr>
        <w:t xml:space="preserve"> </w:t>
      </w:r>
      <w:r>
        <w:t>been</w:t>
      </w:r>
      <w:r>
        <w:rPr>
          <w:spacing w:val="-5"/>
        </w:rPr>
        <w:t xml:space="preserve"> </w:t>
      </w:r>
      <w:r>
        <w:t>recommended</w:t>
      </w:r>
      <w:r>
        <w:rPr>
          <w:spacing w:val="-5"/>
        </w:rPr>
        <w:t xml:space="preserve"> </w:t>
      </w:r>
      <w:r>
        <w:t>by</w:t>
      </w:r>
      <w:r>
        <w:rPr>
          <w:spacing w:val="-6"/>
        </w:rPr>
        <w:t xml:space="preserve"> </w:t>
      </w:r>
      <w:r>
        <w:t>DTA’s</w:t>
      </w:r>
      <w:r>
        <w:rPr>
          <w:spacing w:val="-4"/>
        </w:rPr>
        <w:t xml:space="preserve"> </w:t>
      </w:r>
      <w:r>
        <w:t>Diversity</w:t>
      </w:r>
      <w:r>
        <w:rPr>
          <w:spacing w:val="-3"/>
        </w:rPr>
        <w:t xml:space="preserve"> </w:t>
      </w:r>
      <w:r>
        <w:t>Council.</w:t>
      </w:r>
      <w:r>
        <w:rPr>
          <w:spacing w:val="-5"/>
        </w:rPr>
        <w:t xml:space="preserve"> </w:t>
      </w:r>
      <w:r>
        <w:t>In</w:t>
      </w:r>
      <w:r>
        <w:rPr>
          <w:spacing w:val="-5"/>
        </w:rPr>
        <w:t xml:space="preserve"> </w:t>
      </w:r>
      <w:r>
        <w:t>FY</w:t>
      </w:r>
      <w:r>
        <w:rPr>
          <w:spacing w:val="-6"/>
        </w:rPr>
        <w:t xml:space="preserve"> </w:t>
      </w:r>
      <w:r>
        <w:t>2023,</w:t>
      </w:r>
      <w:r>
        <w:rPr>
          <w:spacing w:val="-7"/>
        </w:rPr>
        <w:t xml:space="preserve"> </w:t>
      </w:r>
      <w:r>
        <w:t>managers</w:t>
      </w:r>
      <w:r>
        <w:rPr>
          <w:spacing w:val="-4"/>
        </w:rPr>
        <w:t xml:space="preserve"> </w:t>
      </w:r>
      <w:r>
        <w:t>were</w:t>
      </w:r>
      <w:r>
        <w:rPr>
          <w:spacing w:val="-6"/>
        </w:rPr>
        <w:t xml:space="preserve"> </w:t>
      </w:r>
      <w:r>
        <w:t>mandated to</w:t>
      </w:r>
      <w:r>
        <w:rPr>
          <w:spacing w:val="-1"/>
        </w:rPr>
        <w:t xml:space="preserve"> </w:t>
      </w:r>
      <w:r>
        <w:t>attend</w:t>
      </w:r>
      <w:r>
        <w:rPr>
          <w:spacing w:val="-3"/>
        </w:rPr>
        <w:t xml:space="preserve"> </w:t>
      </w:r>
      <w:r>
        <w:t>a</w:t>
      </w:r>
      <w:r>
        <w:rPr>
          <w:spacing w:val="-3"/>
        </w:rPr>
        <w:t xml:space="preserve"> </w:t>
      </w:r>
      <w:r>
        <w:t>two-day</w:t>
      </w:r>
      <w:r>
        <w:rPr>
          <w:spacing w:val="-1"/>
        </w:rPr>
        <w:t xml:space="preserve"> </w:t>
      </w:r>
      <w:r>
        <w:t>intensive</w:t>
      </w:r>
      <w:r>
        <w:rPr>
          <w:spacing w:val="-1"/>
        </w:rPr>
        <w:t xml:space="preserve"> </w:t>
      </w:r>
      <w:r>
        <w:t>racial</w:t>
      </w:r>
      <w:r>
        <w:rPr>
          <w:spacing w:val="-2"/>
        </w:rPr>
        <w:t xml:space="preserve"> </w:t>
      </w:r>
      <w:r>
        <w:t>equity</w:t>
      </w:r>
      <w:r>
        <w:rPr>
          <w:spacing w:val="-3"/>
        </w:rPr>
        <w:t xml:space="preserve"> </w:t>
      </w:r>
      <w:r>
        <w:t>t</w:t>
      </w:r>
      <w:r>
        <w:t>raining,</w:t>
      </w:r>
      <w:r>
        <w:rPr>
          <w:spacing w:val="-2"/>
        </w:rPr>
        <w:t xml:space="preserve"> </w:t>
      </w:r>
      <w:r>
        <w:t>which</w:t>
      </w:r>
      <w:r>
        <w:rPr>
          <w:spacing w:val="-3"/>
        </w:rPr>
        <w:t xml:space="preserve"> </w:t>
      </w:r>
      <w:r>
        <w:t>DTA</w:t>
      </w:r>
      <w:r>
        <w:rPr>
          <w:spacing w:val="-2"/>
        </w:rPr>
        <w:t xml:space="preserve"> </w:t>
      </w:r>
      <w:r>
        <w:t>is</w:t>
      </w:r>
      <w:r>
        <w:rPr>
          <w:spacing w:val="-2"/>
        </w:rPr>
        <w:t xml:space="preserve"> </w:t>
      </w:r>
      <w:r>
        <w:t>beginning</w:t>
      </w:r>
      <w:r>
        <w:rPr>
          <w:spacing w:val="-3"/>
        </w:rPr>
        <w:t xml:space="preserve"> </w:t>
      </w:r>
      <w:r>
        <w:t>to</w:t>
      </w:r>
      <w:r>
        <w:rPr>
          <w:spacing w:val="-1"/>
        </w:rPr>
        <w:t xml:space="preserve"> </w:t>
      </w:r>
      <w:r>
        <w:t>roll</w:t>
      </w:r>
      <w:r>
        <w:rPr>
          <w:spacing w:val="-2"/>
        </w:rPr>
        <w:t xml:space="preserve"> </w:t>
      </w:r>
      <w:r>
        <w:t>out</w:t>
      </w:r>
      <w:r>
        <w:rPr>
          <w:spacing w:val="-1"/>
        </w:rPr>
        <w:t xml:space="preserve"> </w:t>
      </w:r>
      <w:r>
        <w:t>in</w:t>
      </w:r>
      <w:r>
        <w:rPr>
          <w:spacing w:val="-3"/>
        </w:rPr>
        <w:t xml:space="preserve"> </w:t>
      </w:r>
      <w:r>
        <w:t>June</w:t>
      </w:r>
      <w:r>
        <w:rPr>
          <w:spacing w:val="-3"/>
        </w:rPr>
        <w:t xml:space="preserve"> </w:t>
      </w:r>
      <w:r>
        <w:t>of</w:t>
      </w:r>
      <w:r>
        <w:rPr>
          <w:spacing w:val="-2"/>
        </w:rPr>
        <w:t xml:space="preserve"> </w:t>
      </w:r>
      <w:r>
        <w:t>this</w:t>
      </w:r>
      <w:r>
        <w:rPr>
          <w:spacing w:val="-3"/>
        </w:rPr>
        <w:t xml:space="preserve"> </w:t>
      </w:r>
      <w:r>
        <w:t>year and continue through the upcoming fiscal year.</w:t>
      </w:r>
    </w:p>
    <w:p w:rsidR="00200FDA" w:rsidRDefault="00200FDA">
      <w:pPr>
        <w:pStyle w:val="BodyText"/>
        <w:spacing w:before="8"/>
        <w:rPr>
          <w:sz w:val="19"/>
        </w:rPr>
      </w:pPr>
    </w:p>
    <w:p w:rsidR="00200FDA" w:rsidRDefault="00F76C4C">
      <w:pPr>
        <w:pStyle w:val="Heading9"/>
        <w:numPr>
          <w:ilvl w:val="0"/>
          <w:numId w:val="8"/>
        </w:numPr>
        <w:tabs>
          <w:tab w:val="left" w:pos="561"/>
        </w:tabs>
        <w:spacing w:line="276" w:lineRule="auto"/>
        <w:ind w:left="279" w:right="275" w:firstLine="0"/>
        <w:rPr>
          <w:b w:val="0"/>
        </w:rPr>
      </w:pPr>
      <w:r>
        <w:t>Support</w:t>
      </w:r>
      <w:r>
        <w:rPr>
          <w:spacing w:val="40"/>
        </w:rPr>
        <w:t xml:space="preserve"> </w:t>
      </w:r>
      <w:r>
        <w:t>internal</w:t>
      </w:r>
      <w:r>
        <w:rPr>
          <w:spacing w:val="40"/>
        </w:rPr>
        <w:t xml:space="preserve"> </w:t>
      </w:r>
      <w:r>
        <w:t>working</w:t>
      </w:r>
      <w:r>
        <w:rPr>
          <w:spacing w:val="40"/>
        </w:rPr>
        <w:t xml:space="preserve"> </w:t>
      </w:r>
      <w:r>
        <w:t>groups</w:t>
      </w:r>
      <w:r>
        <w:rPr>
          <w:spacing w:val="40"/>
        </w:rPr>
        <w:t xml:space="preserve"> </w:t>
      </w:r>
      <w:r>
        <w:t>to</w:t>
      </w:r>
      <w:r>
        <w:rPr>
          <w:spacing w:val="40"/>
        </w:rPr>
        <w:t xml:space="preserve"> </w:t>
      </w:r>
      <w:r>
        <w:t>uplift</w:t>
      </w:r>
      <w:r>
        <w:rPr>
          <w:spacing w:val="40"/>
        </w:rPr>
        <w:t xml:space="preserve"> </w:t>
      </w:r>
      <w:r>
        <w:t>conversations</w:t>
      </w:r>
      <w:r>
        <w:rPr>
          <w:spacing w:val="40"/>
        </w:rPr>
        <w:t xml:space="preserve"> </w:t>
      </w:r>
      <w:r>
        <w:t>&amp;</w:t>
      </w:r>
      <w:r>
        <w:rPr>
          <w:spacing w:val="40"/>
        </w:rPr>
        <w:t xml:space="preserve"> </w:t>
      </w:r>
      <w:r>
        <w:t>events</w:t>
      </w:r>
      <w:r>
        <w:rPr>
          <w:spacing w:val="40"/>
        </w:rPr>
        <w:t xml:space="preserve"> </w:t>
      </w:r>
      <w:r>
        <w:t>on</w:t>
      </w:r>
      <w:r>
        <w:rPr>
          <w:spacing w:val="40"/>
        </w:rPr>
        <w:t xml:space="preserve"> </w:t>
      </w:r>
      <w:r>
        <w:t>intersectionality</w:t>
      </w:r>
      <w:r>
        <w:rPr>
          <w:spacing w:val="40"/>
        </w:rPr>
        <w:t xml:space="preserve"> </w:t>
      </w:r>
      <w:r>
        <w:t>in</w:t>
      </w:r>
      <w:r>
        <w:rPr>
          <w:spacing w:val="40"/>
        </w:rPr>
        <w:t xml:space="preserve"> </w:t>
      </w:r>
      <w:r>
        <w:t>the</w:t>
      </w:r>
      <w:r>
        <w:rPr>
          <w:spacing w:val="40"/>
        </w:rPr>
        <w:t xml:space="preserve"> </w:t>
      </w:r>
      <w:r>
        <w:rPr>
          <w:spacing w:val="-2"/>
        </w:rPr>
        <w:t>workplace.</w:t>
      </w:r>
    </w:p>
    <w:p w:rsidR="00200FDA" w:rsidRDefault="00200FDA">
      <w:pPr>
        <w:pStyle w:val="BodyText"/>
        <w:spacing w:before="7"/>
        <w:rPr>
          <w:b/>
          <w:sz w:val="19"/>
        </w:rPr>
      </w:pPr>
    </w:p>
    <w:p w:rsidR="00200FDA" w:rsidRDefault="00F76C4C">
      <w:pPr>
        <w:pStyle w:val="BodyText"/>
        <w:spacing w:line="276" w:lineRule="auto"/>
        <w:ind w:left="279" w:right="272"/>
        <w:jc w:val="both"/>
      </w:pPr>
      <w:r>
        <w:t>Over the last year, DTA internal working groups within the Diversity Council have made great strides in extending</w:t>
      </w:r>
      <w:r>
        <w:rPr>
          <w:spacing w:val="-1"/>
        </w:rPr>
        <w:t xml:space="preserve"> </w:t>
      </w:r>
      <w:r>
        <w:t>internal</w:t>
      </w:r>
      <w:r>
        <w:rPr>
          <w:spacing w:val="-1"/>
        </w:rPr>
        <w:t xml:space="preserve"> </w:t>
      </w:r>
      <w:r>
        <w:t>conversations</w:t>
      </w:r>
      <w:r>
        <w:rPr>
          <w:spacing w:val="-3"/>
        </w:rPr>
        <w:t xml:space="preserve"> </w:t>
      </w:r>
      <w:r>
        <w:t>on</w:t>
      </w:r>
      <w:r>
        <w:rPr>
          <w:spacing w:val="-1"/>
        </w:rPr>
        <w:t xml:space="preserve"> </w:t>
      </w:r>
      <w:r>
        <w:t>intersectionality</w:t>
      </w:r>
      <w:r>
        <w:rPr>
          <w:spacing w:val="-2"/>
        </w:rPr>
        <w:t xml:space="preserve"> </w:t>
      </w:r>
      <w:r>
        <w:t>and</w:t>
      </w:r>
      <w:r>
        <w:rPr>
          <w:spacing w:val="-1"/>
        </w:rPr>
        <w:t xml:space="preserve"> </w:t>
      </w:r>
      <w:r>
        <w:t>LGBTQ resources.</w:t>
      </w:r>
      <w:r>
        <w:rPr>
          <w:spacing w:val="-1"/>
        </w:rPr>
        <w:t xml:space="preserve"> </w:t>
      </w:r>
      <w:r>
        <w:t>The</w:t>
      </w:r>
      <w:r>
        <w:rPr>
          <w:spacing w:val="-2"/>
        </w:rPr>
        <w:t xml:space="preserve"> </w:t>
      </w:r>
      <w:r>
        <w:t>Commission</w:t>
      </w:r>
      <w:r>
        <w:rPr>
          <w:spacing w:val="-1"/>
        </w:rPr>
        <w:t xml:space="preserve"> </w:t>
      </w:r>
      <w:r>
        <w:t>appreciates the dedication that DTA has shown in uplifting the</w:t>
      </w:r>
      <w:r>
        <w:t xml:space="preserve"> voices and experiences of LGBTQ and BIPOC staff members internally. Recently, in March of 2023, DTA hosted a panel discussion titled “Who We Are: Elevating the Voices &amp; Experiences of LGBTQI+ Staff”, in support of Transgender Day of Visibility, and Gender</w:t>
      </w:r>
      <w:r>
        <w:t xml:space="preserve"> Equality Month, attended by 80 DTA staff members. The panel featured three DTA employees, and was moderated by the agency’s Diversity, Equity, &amp; Inclusion Manager. The event featured a thoughtful and engaging discussion that highlighted challenges faced b</w:t>
      </w:r>
      <w:r>
        <w:t>y members of the LGBTQI+ community, as well as queer joy, and provided a venue that demonstrated the agency’s commitment to ensuring that staff who identify as a member of the community feel seen, valued, and celebrated.</w:t>
      </w:r>
    </w:p>
    <w:p w:rsidR="00200FDA" w:rsidRDefault="00200FDA">
      <w:pPr>
        <w:pStyle w:val="BodyText"/>
        <w:spacing w:before="8"/>
        <w:rPr>
          <w:sz w:val="19"/>
        </w:rPr>
      </w:pPr>
    </w:p>
    <w:p w:rsidR="00200FDA" w:rsidRDefault="00F76C4C">
      <w:pPr>
        <w:pStyle w:val="BodyText"/>
        <w:spacing w:line="276" w:lineRule="auto"/>
        <w:ind w:left="279" w:right="274"/>
        <w:jc w:val="both"/>
      </w:pPr>
      <w:r>
        <w:t>The</w:t>
      </w:r>
      <w:r>
        <w:rPr>
          <w:spacing w:val="-6"/>
        </w:rPr>
        <w:t xml:space="preserve"> </w:t>
      </w:r>
      <w:r>
        <w:t>Commission</w:t>
      </w:r>
      <w:r>
        <w:rPr>
          <w:spacing w:val="-7"/>
        </w:rPr>
        <w:t xml:space="preserve"> </w:t>
      </w:r>
      <w:r>
        <w:t>recommends</w:t>
      </w:r>
      <w:r>
        <w:rPr>
          <w:spacing w:val="-6"/>
        </w:rPr>
        <w:t xml:space="preserve"> </w:t>
      </w:r>
      <w:r>
        <w:t>that</w:t>
      </w:r>
      <w:r>
        <w:rPr>
          <w:spacing w:val="-6"/>
        </w:rPr>
        <w:t xml:space="preserve"> </w:t>
      </w:r>
      <w:r>
        <w:t>DTA</w:t>
      </w:r>
      <w:r>
        <w:rPr>
          <w:spacing w:val="-7"/>
        </w:rPr>
        <w:t xml:space="preserve"> </w:t>
      </w:r>
      <w:r>
        <w:t>continue</w:t>
      </w:r>
      <w:r>
        <w:rPr>
          <w:spacing w:val="-6"/>
        </w:rPr>
        <w:t xml:space="preserve"> </w:t>
      </w:r>
      <w:r>
        <w:t>to</w:t>
      </w:r>
      <w:r>
        <w:rPr>
          <w:spacing w:val="-8"/>
        </w:rPr>
        <w:t xml:space="preserve"> </w:t>
      </w:r>
      <w:r>
        <w:t>expand</w:t>
      </w:r>
      <w:r>
        <w:rPr>
          <w:spacing w:val="-7"/>
        </w:rPr>
        <w:t xml:space="preserve"> </w:t>
      </w:r>
      <w:r>
        <w:t>efforts</w:t>
      </w:r>
      <w:r>
        <w:rPr>
          <w:spacing w:val="-7"/>
        </w:rPr>
        <w:t xml:space="preserve"> </w:t>
      </w:r>
      <w:r>
        <w:t>to</w:t>
      </w:r>
      <w:r>
        <w:rPr>
          <w:spacing w:val="-5"/>
        </w:rPr>
        <w:t xml:space="preserve"> </w:t>
      </w:r>
      <w:r>
        <w:t>uplift</w:t>
      </w:r>
      <w:r>
        <w:rPr>
          <w:spacing w:val="-6"/>
        </w:rPr>
        <w:t xml:space="preserve"> </w:t>
      </w:r>
      <w:r>
        <w:t>conversations</w:t>
      </w:r>
      <w:r>
        <w:rPr>
          <w:spacing w:val="-7"/>
        </w:rPr>
        <w:t xml:space="preserve"> </w:t>
      </w:r>
      <w:r>
        <w:t>on</w:t>
      </w:r>
      <w:r>
        <w:rPr>
          <w:spacing w:val="-7"/>
        </w:rPr>
        <w:t xml:space="preserve"> </w:t>
      </w:r>
      <w:r>
        <w:t>intersecting identities within the workplace, particularly around LGBTQ &amp; BIPOC-inclusive workplace environments. The Commission further recommends that DTA examine its own internal demographics to ens</w:t>
      </w:r>
      <w:r>
        <w:t>ure that LGBTQ and BIPOC employees feel supported in the workplace.</w:t>
      </w:r>
    </w:p>
    <w:p w:rsidR="00200FDA" w:rsidRDefault="00200FDA">
      <w:pPr>
        <w:pStyle w:val="BodyText"/>
        <w:spacing w:before="8"/>
        <w:rPr>
          <w:sz w:val="19"/>
        </w:rPr>
      </w:pPr>
    </w:p>
    <w:p w:rsidR="00200FDA" w:rsidRDefault="00F76C4C">
      <w:pPr>
        <w:pStyle w:val="Heading9"/>
        <w:numPr>
          <w:ilvl w:val="0"/>
          <w:numId w:val="8"/>
        </w:numPr>
        <w:tabs>
          <w:tab w:val="left" w:pos="568"/>
        </w:tabs>
        <w:spacing w:before="1" w:line="273" w:lineRule="auto"/>
        <w:ind w:left="279" w:right="273" w:firstLine="0"/>
      </w:pPr>
      <w:r>
        <w:t>Develop</w:t>
      </w:r>
      <w:r>
        <w:rPr>
          <w:spacing w:val="40"/>
        </w:rPr>
        <w:t xml:space="preserve"> </w:t>
      </w:r>
      <w:r>
        <w:t>resources</w:t>
      </w:r>
      <w:r>
        <w:rPr>
          <w:spacing w:val="40"/>
        </w:rPr>
        <w:t xml:space="preserve"> </w:t>
      </w:r>
      <w:r>
        <w:t>and</w:t>
      </w:r>
      <w:r>
        <w:rPr>
          <w:spacing w:val="40"/>
        </w:rPr>
        <w:t xml:space="preserve"> </w:t>
      </w:r>
      <w:r>
        <w:t>outreach</w:t>
      </w:r>
      <w:r>
        <w:rPr>
          <w:spacing w:val="40"/>
        </w:rPr>
        <w:t xml:space="preserve"> </w:t>
      </w:r>
      <w:r>
        <w:t>materials</w:t>
      </w:r>
      <w:r>
        <w:rPr>
          <w:spacing w:val="40"/>
        </w:rPr>
        <w:t xml:space="preserve"> </w:t>
      </w:r>
      <w:r>
        <w:t>targeted</w:t>
      </w:r>
      <w:r>
        <w:rPr>
          <w:spacing w:val="40"/>
        </w:rPr>
        <w:t xml:space="preserve"> </w:t>
      </w:r>
      <w:r>
        <w:t>towards</w:t>
      </w:r>
      <w:r>
        <w:rPr>
          <w:spacing w:val="40"/>
        </w:rPr>
        <w:t xml:space="preserve"> </w:t>
      </w:r>
      <w:r>
        <w:t>LGBTQ</w:t>
      </w:r>
      <w:r>
        <w:rPr>
          <w:spacing w:val="40"/>
        </w:rPr>
        <w:t xml:space="preserve"> </w:t>
      </w:r>
      <w:r>
        <w:t>&amp;</w:t>
      </w:r>
      <w:r>
        <w:rPr>
          <w:spacing w:val="40"/>
        </w:rPr>
        <w:t xml:space="preserve"> </w:t>
      </w:r>
      <w:r>
        <w:t>BIPOC</w:t>
      </w:r>
      <w:r>
        <w:rPr>
          <w:spacing w:val="40"/>
        </w:rPr>
        <w:t xml:space="preserve"> </w:t>
      </w:r>
      <w:r>
        <w:t>youth</w:t>
      </w:r>
      <w:r>
        <w:rPr>
          <w:spacing w:val="40"/>
        </w:rPr>
        <w:t xml:space="preserve"> </w:t>
      </w:r>
      <w:r>
        <w:t>to</w:t>
      </w:r>
      <w:r>
        <w:rPr>
          <w:spacing w:val="40"/>
        </w:rPr>
        <w:t xml:space="preserve"> </w:t>
      </w:r>
      <w:r>
        <w:t>raise</w:t>
      </w:r>
      <w:r>
        <w:rPr>
          <w:spacing w:val="80"/>
        </w:rPr>
        <w:t xml:space="preserve"> </w:t>
      </w:r>
      <w:r>
        <w:t>awareness about services &amp; programs available.</w:t>
      </w:r>
    </w:p>
    <w:p w:rsidR="00200FDA" w:rsidRDefault="00200FDA">
      <w:pPr>
        <w:pStyle w:val="BodyText"/>
        <w:rPr>
          <w:b/>
          <w:sz w:val="20"/>
        </w:rPr>
      </w:pPr>
    </w:p>
    <w:p w:rsidR="00200FDA" w:rsidRDefault="00F76C4C">
      <w:pPr>
        <w:pStyle w:val="BodyText"/>
        <w:spacing w:line="276" w:lineRule="auto"/>
        <w:ind w:left="279" w:right="275"/>
        <w:jc w:val="both"/>
      </w:pPr>
      <w:r>
        <w:t>As</w:t>
      </w:r>
      <w:r>
        <w:rPr>
          <w:spacing w:val="-4"/>
        </w:rPr>
        <w:t xml:space="preserve"> </w:t>
      </w:r>
      <w:r>
        <w:t>noted</w:t>
      </w:r>
      <w:r>
        <w:rPr>
          <w:spacing w:val="-7"/>
        </w:rPr>
        <w:t xml:space="preserve"> </w:t>
      </w:r>
      <w:r>
        <w:t>in</w:t>
      </w:r>
      <w:r>
        <w:rPr>
          <w:spacing w:val="-5"/>
        </w:rPr>
        <w:t xml:space="preserve"> </w:t>
      </w:r>
      <w:r>
        <w:t>the</w:t>
      </w:r>
      <w:r>
        <w:rPr>
          <w:spacing w:val="-4"/>
        </w:rPr>
        <w:t xml:space="preserve"> </w:t>
      </w:r>
      <w:r>
        <w:t>above</w:t>
      </w:r>
      <w:r>
        <w:rPr>
          <w:spacing w:val="-6"/>
        </w:rPr>
        <w:t xml:space="preserve"> </w:t>
      </w:r>
      <w:r>
        <w:t>research</w:t>
      </w:r>
      <w:r>
        <w:rPr>
          <w:spacing w:val="-5"/>
        </w:rPr>
        <w:t xml:space="preserve"> </w:t>
      </w:r>
      <w:r>
        <w:t>section,</w:t>
      </w:r>
      <w:r>
        <w:rPr>
          <w:spacing w:val="-7"/>
        </w:rPr>
        <w:t xml:space="preserve"> </w:t>
      </w:r>
      <w:r>
        <w:t>QTBIPOC</w:t>
      </w:r>
      <w:r>
        <w:rPr>
          <w:spacing w:val="-7"/>
        </w:rPr>
        <w:t xml:space="preserve"> </w:t>
      </w:r>
      <w:r>
        <w:t>youth</w:t>
      </w:r>
      <w:r>
        <w:rPr>
          <w:spacing w:val="-5"/>
        </w:rPr>
        <w:t xml:space="preserve"> </w:t>
      </w:r>
      <w:r>
        <w:t>are</w:t>
      </w:r>
      <w:r>
        <w:rPr>
          <w:spacing w:val="-8"/>
        </w:rPr>
        <w:t xml:space="preserve"> </w:t>
      </w:r>
      <w:r>
        <w:t>more</w:t>
      </w:r>
      <w:r>
        <w:rPr>
          <w:spacing w:val="-4"/>
        </w:rPr>
        <w:t xml:space="preserve"> </w:t>
      </w:r>
      <w:r>
        <w:t>likely</w:t>
      </w:r>
      <w:r>
        <w:rPr>
          <w:spacing w:val="-6"/>
        </w:rPr>
        <w:t xml:space="preserve"> </w:t>
      </w:r>
      <w:r>
        <w:t>to</w:t>
      </w:r>
      <w:r>
        <w:rPr>
          <w:spacing w:val="-6"/>
        </w:rPr>
        <w:t xml:space="preserve"> </w:t>
      </w:r>
      <w:r>
        <w:t>need</w:t>
      </w:r>
      <w:r>
        <w:rPr>
          <w:spacing w:val="-7"/>
        </w:rPr>
        <w:t xml:space="preserve"> </w:t>
      </w:r>
      <w:r>
        <w:t>services</w:t>
      </w:r>
      <w:r>
        <w:rPr>
          <w:spacing w:val="-4"/>
        </w:rPr>
        <w:t xml:space="preserve"> </w:t>
      </w:r>
      <w:r>
        <w:t>provided</w:t>
      </w:r>
      <w:r>
        <w:rPr>
          <w:spacing w:val="-5"/>
        </w:rPr>
        <w:t xml:space="preserve"> </w:t>
      </w:r>
      <w:r>
        <w:t>by</w:t>
      </w:r>
      <w:r>
        <w:rPr>
          <w:spacing w:val="-6"/>
        </w:rPr>
        <w:t xml:space="preserve"> </w:t>
      </w:r>
      <w:r>
        <w:t>DTA. However, government systems are often difficult to navigate, or not visible in some communities. The Commission recommends that DTA develop resources and do targeted outreach to LGBTQ &amp; BIPOC communit</w:t>
      </w:r>
      <w:r>
        <w:t>ies to raise awareness about DTA services.</w:t>
      </w:r>
    </w:p>
    <w:p w:rsidR="00200FDA" w:rsidRDefault="00200FDA">
      <w:pPr>
        <w:pStyle w:val="BodyText"/>
        <w:spacing w:before="8"/>
        <w:rPr>
          <w:sz w:val="19"/>
        </w:rPr>
      </w:pPr>
    </w:p>
    <w:p w:rsidR="00200FDA" w:rsidRDefault="00F76C4C">
      <w:pPr>
        <w:ind w:left="279"/>
        <w:jc w:val="both"/>
      </w:pPr>
      <w:r>
        <w:rPr>
          <w:i/>
        </w:rPr>
        <w:t>Acknowledgments:</w:t>
      </w:r>
      <w:r>
        <w:rPr>
          <w:i/>
          <w:spacing w:val="-8"/>
        </w:rPr>
        <w:t xml:space="preserve"> </w:t>
      </w:r>
      <w:r>
        <w:rPr>
          <w:i/>
        </w:rPr>
        <w:t>The</w:t>
      </w:r>
      <w:r>
        <w:rPr>
          <w:i/>
          <w:spacing w:val="-4"/>
        </w:rPr>
        <w:t xml:space="preserve"> </w:t>
      </w:r>
      <w:r>
        <w:rPr>
          <w:i/>
        </w:rPr>
        <w:t>Commission</w:t>
      </w:r>
      <w:r>
        <w:rPr>
          <w:i/>
          <w:spacing w:val="-5"/>
        </w:rPr>
        <w:t xml:space="preserve"> </w:t>
      </w:r>
      <w:r>
        <w:rPr>
          <w:i/>
        </w:rPr>
        <w:t>sincerely</w:t>
      </w:r>
      <w:r>
        <w:rPr>
          <w:i/>
          <w:spacing w:val="-4"/>
        </w:rPr>
        <w:t xml:space="preserve"> </w:t>
      </w:r>
      <w:r>
        <w:rPr>
          <w:i/>
        </w:rPr>
        <w:t>thanks</w:t>
      </w:r>
      <w:r>
        <w:rPr>
          <w:i/>
          <w:spacing w:val="-7"/>
        </w:rPr>
        <w:t xml:space="preserve"> </w:t>
      </w:r>
      <w:r>
        <w:rPr>
          <w:i/>
        </w:rPr>
        <w:t>the</w:t>
      </w:r>
      <w:r>
        <w:rPr>
          <w:i/>
          <w:spacing w:val="-4"/>
        </w:rPr>
        <w:t xml:space="preserve"> </w:t>
      </w:r>
      <w:r>
        <w:rPr>
          <w:i/>
        </w:rPr>
        <w:t>contributions</w:t>
      </w:r>
      <w:r>
        <w:rPr>
          <w:i/>
          <w:spacing w:val="-3"/>
        </w:rPr>
        <w:t xml:space="preserve"> </w:t>
      </w:r>
      <w:r>
        <w:rPr>
          <w:i/>
        </w:rPr>
        <w:t>of</w:t>
      </w:r>
      <w:r>
        <w:rPr>
          <w:i/>
          <w:spacing w:val="-6"/>
        </w:rPr>
        <w:t xml:space="preserve"> </w:t>
      </w:r>
      <w:r>
        <w:rPr>
          <w:i/>
        </w:rPr>
        <w:t>its</w:t>
      </w:r>
      <w:r>
        <w:rPr>
          <w:i/>
          <w:spacing w:val="-6"/>
        </w:rPr>
        <w:t xml:space="preserve"> </w:t>
      </w:r>
      <w:r>
        <w:rPr>
          <w:i/>
        </w:rPr>
        <w:t>DTA</w:t>
      </w:r>
      <w:r>
        <w:rPr>
          <w:i/>
          <w:spacing w:val="-9"/>
        </w:rPr>
        <w:t xml:space="preserve"> </w:t>
      </w:r>
      <w:r>
        <w:rPr>
          <w:i/>
        </w:rPr>
        <w:t>agency</w:t>
      </w:r>
      <w:r>
        <w:rPr>
          <w:i/>
          <w:spacing w:val="-4"/>
        </w:rPr>
        <w:t xml:space="preserve"> </w:t>
      </w:r>
      <w:r>
        <w:rPr>
          <w:i/>
          <w:spacing w:val="-2"/>
        </w:rPr>
        <w:t>liaisons</w:t>
      </w:r>
      <w:r>
        <w:rPr>
          <w:spacing w:val="-2"/>
        </w:rPr>
        <w:t>.</w:t>
      </w:r>
    </w:p>
    <w:p w:rsidR="00200FDA" w:rsidRDefault="00200FDA">
      <w:pPr>
        <w:pStyle w:val="BodyText"/>
      </w:pPr>
    </w:p>
    <w:p w:rsidR="00200FDA" w:rsidRDefault="00200FDA">
      <w:pPr>
        <w:pStyle w:val="BodyText"/>
        <w:spacing w:before="5"/>
        <w:rPr>
          <w:sz w:val="21"/>
        </w:rPr>
      </w:pPr>
    </w:p>
    <w:p w:rsidR="00200FDA" w:rsidRDefault="00F76C4C">
      <w:pPr>
        <w:spacing w:line="219" w:lineRule="exact"/>
        <w:ind w:left="280"/>
        <w:rPr>
          <w:sz w:val="18"/>
        </w:rPr>
      </w:pPr>
      <w:bookmarkStart w:id="1153" w:name="_bookmark902"/>
      <w:bookmarkEnd w:id="1153"/>
      <w:r>
        <w:rPr>
          <w:position w:val="5"/>
          <w:sz w:val="12"/>
        </w:rPr>
        <w:t>1</w:t>
      </w:r>
      <w:r>
        <w:rPr>
          <w:spacing w:val="7"/>
          <w:position w:val="5"/>
          <w:sz w:val="12"/>
        </w:rPr>
        <w:t xml:space="preserve"> </w:t>
      </w:r>
      <w:r>
        <w:rPr>
          <w:sz w:val="18"/>
        </w:rPr>
        <w:t>Laurie</w:t>
      </w:r>
      <w:r>
        <w:rPr>
          <w:spacing w:val="-4"/>
          <w:sz w:val="18"/>
        </w:rPr>
        <w:t xml:space="preserve"> </w:t>
      </w:r>
      <w:r>
        <w:rPr>
          <w:sz w:val="18"/>
        </w:rPr>
        <w:t>Ross,</w:t>
      </w:r>
      <w:r>
        <w:rPr>
          <w:spacing w:val="-3"/>
          <w:sz w:val="18"/>
        </w:rPr>
        <w:t xml:space="preserve"> </w:t>
      </w:r>
      <w:r>
        <w:rPr>
          <w:sz w:val="18"/>
        </w:rPr>
        <w:t>“Massachusetts</w:t>
      </w:r>
      <w:r>
        <w:rPr>
          <w:spacing w:val="-3"/>
          <w:sz w:val="18"/>
        </w:rPr>
        <w:t xml:space="preserve"> </w:t>
      </w:r>
      <w:r>
        <w:rPr>
          <w:sz w:val="18"/>
        </w:rPr>
        <w:t>2022</w:t>
      </w:r>
      <w:r>
        <w:rPr>
          <w:spacing w:val="-3"/>
          <w:sz w:val="18"/>
        </w:rPr>
        <w:t xml:space="preserve"> </w:t>
      </w:r>
      <w:r>
        <w:rPr>
          <w:sz w:val="18"/>
        </w:rPr>
        <w:t>Youth</w:t>
      </w:r>
      <w:r>
        <w:rPr>
          <w:spacing w:val="-4"/>
          <w:sz w:val="18"/>
        </w:rPr>
        <w:t xml:space="preserve"> </w:t>
      </w:r>
      <w:r>
        <w:rPr>
          <w:sz w:val="18"/>
        </w:rPr>
        <w:t>Count,”</w:t>
      </w:r>
      <w:r>
        <w:rPr>
          <w:spacing w:val="-4"/>
          <w:sz w:val="18"/>
        </w:rPr>
        <w:t xml:space="preserve"> </w:t>
      </w:r>
      <w:r>
        <w:rPr>
          <w:sz w:val="18"/>
        </w:rPr>
        <w:t>2022,</w:t>
      </w:r>
      <w:r>
        <w:rPr>
          <w:spacing w:val="-2"/>
          <w:sz w:val="18"/>
        </w:rPr>
        <w:t xml:space="preserve"> </w:t>
      </w:r>
      <w:r>
        <w:rPr>
          <w:sz w:val="18"/>
        </w:rPr>
        <w:t>https://</w:t>
      </w:r>
      <w:hyperlink r:id="rId852">
        <w:r>
          <w:rPr>
            <w:sz w:val="18"/>
          </w:rPr>
          <w:t>www.mass.gov/doc/2022-youth-count-</w:t>
        </w:r>
        <w:r>
          <w:rPr>
            <w:spacing w:val="-2"/>
            <w:sz w:val="18"/>
          </w:rPr>
          <w:t>report/download.</w:t>
        </w:r>
      </w:hyperlink>
    </w:p>
    <w:p w:rsidR="00200FDA" w:rsidRDefault="00F76C4C">
      <w:pPr>
        <w:ind w:left="280" w:right="308" w:hanging="1"/>
        <w:rPr>
          <w:sz w:val="18"/>
        </w:rPr>
      </w:pPr>
      <w:bookmarkStart w:id="1154" w:name="_bookmark903"/>
      <w:bookmarkEnd w:id="1154"/>
      <w:r>
        <w:rPr>
          <w:position w:val="5"/>
          <w:sz w:val="12"/>
        </w:rPr>
        <w:t>2</w:t>
      </w:r>
      <w:r>
        <w:rPr>
          <w:spacing w:val="10"/>
          <w:position w:val="5"/>
          <w:sz w:val="12"/>
        </w:rPr>
        <w:t xml:space="preserve"> </w:t>
      </w:r>
      <w:r>
        <w:rPr>
          <w:sz w:val="18"/>
        </w:rPr>
        <w:t>Taylor</w:t>
      </w:r>
      <w:r>
        <w:rPr>
          <w:spacing w:val="-3"/>
          <w:sz w:val="18"/>
        </w:rPr>
        <w:t xml:space="preserve"> </w:t>
      </w:r>
      <w:r>
        <w:rPr>
          <w:sz w:val="18"/>
        </w:rPr>
        <w:t>N.T.</w:t>
      </w:r>
      <w:r>
        <w:rPr>
          <w:spacing w:val="-2"/>
          <w:sz w:val="18"/>
        </w:rPr>
        <w:t xml:space="preserve"> </w:t>
      </w:r>
      <w:r>
        <w:rPr>
          <w:sz w:val="18"/>
        </w:rPr>
        <w:t>Brown,</w:t>
      </w:r>
      <w:r>
        <w:rPr>
          <w:spacing w:val="-2"/>
          <w:sz w:val="18"/>
        </w:rPr>
        <w:t xml:space="preserve"> </w:t>
      </w:r>
      <w:r>
        <w:rPr>
          <w:sz w:val="18"/>
        </w:rPr>
        <w:t>Adam</w:t>
      </w:r>
      <w:r>
        <w:rPr>
          <w:spacing w:val="-2"/>
          <w:sz w:val="18"/>
        </w:rPr>
        <w:t xml:space="preserve"> </w:t>
      </w:r>
      <w:r>
        <w:rPr>
          <w:sz w:val="18"/>
        </w:rPr>
        <w:t>P.</w:t>
      </w:r>
      <w:r>
        <w:rPr>
          <w:spacing w:val="-2"/>
          <w:sz w:val="18"/>
        </w:rPr>
        <w:t xml:space="preserve"> </w:t>
      </w:r>
      <w:r>
        <w:rPr>
          <w:sz w:val="18"/>
        </w:rPr>
        <w:t>Romero,</w:t>
      </w:r>
      <w:r>
        <w:rPr>
          <w:spacing w:val="-2"/>
          <w:sz w:val="18"/>
        </w:rPr>
        <w:t xml:space="preserve"> </w:t>
      </w:r>
      <w:r>
        <w:rPr>
          <w:sz w:val="18"/>
        </w:rPr>
        <w:t>and</w:t>
      </w:r>
      <w:r>
        <w:rPr>
          <w:spacing w:val="-3"/>
          <w:sz w:val="18"/>
        </w:rPr>
        <w:t xml:space="preserve"> </w:t>
      </w:r>
      <w:r>
        <w:rPr>
          <w:sz w:val="18"/>
        </w:rPr>
        <w:t>Gary</w:t>
      </w:r>
      <w:r>
        <w:rPr>
          <w:spacing w:val="-2"/>
          <w:sz w:val="18"/>
        </w:rPr>
        <w:t xml:space="preserve"> </w:t>
      </w:r>
      <w:r>
        <w:rPr>
          <w:sz w:val="18"/>
        </w:rPr>
        <w:t>J.</w:t>
      </w:r>
      <w:r>
        <w:rPr>
          <w:spacing w:val="-2"/>
          <w:sz w:val="18"/>
        </w:rPr>
        <w:t xml:space="preserve"> </w:t>
      </w:r>
      <w:r>
        <w:rPr>
          <w:sz w:val="18"/>
        </w:rPr>
        <w:t>Gates,</w:t>
      </w:r>
      <w:r>
        <w:rPr>
          <w:spacing w:val="-2"/>
          <w:sz w:val="18"/>
        </w:rPr>
        <w:t xml:space="preserve"> </w:t>
      </w:r>
      <w:r>
        <w:rPr>
          <w:sz w:val="18"/>
        </w:rPr>
        <w:t>“Food</w:t>
      </w:r>
      <w:r>
        <w:rPr>
          <w:spacing w:val="-3"/>
          <w:sz w:val="18"/>
        </w:rPr>
        <w:t xml:space="preserve"> </w:t>
      </w:r>
      <w:r>
        <w:rPr>
          <w:sz w:val="18"/>
        </w:rPr>
        <w:t>Insecurity</w:t>
      </w:r>
      <w:r>
        <w:rPr>
          <w:spacing w:val="-2"/>
          <w:sz w:val="18"/>
        </w:rPr>
        <w:t xml:space="preserve"> </w:t>
      </w:r>
      <w:r>
        <w:rPr>
          <w:sz w:val="18"/>
        </w:rPr>
        <w:t>and</w:t>
      </w:r>
      <w:r>
        <w:rPr>
          <w:spacing w:val="-3"/>
          <w:sz w:val="18"/>
        </w:rPr>
        <w:t xml:space="preserve"> </w:t>
      </w:r>
      <w:r>
        <w:rPr>
          <w:sz w:val="18"/>
        </w:rPr>
        <w:t>SNAP</w:t>
      </w:r>
      <w:r>
        <w:rPr>
          <w:spacing w:val="-2"/>
          <w:sz w:val="18"/>
        </w:rPr>
        <w:t xml:space="preserve"> </w:t>
      </w:r>
      <w:r>
        <w:rPr>
          <w:sz w:val="18"/>
        </w:rPr>
        <w:t>Participation</w:t>
      </w:r>
      <w:r>
        <w:rPr>
          <w:spacing w:val="-3"/>
          <w:sz w:val="18"/>
        </w:rPr>
        <w:t xml:space="preserve"> </w:t>
      </w:r>
      <w:r>
        <w:rPr>
          <w:sz w:val="18"/>
        </w:rPr>
        <w:t>in</w:t>
      </w:r>
      <w:r>
        <w:rPr>
          <w:spacing w:val="-1"/>
          <w:sz w:val="18"/>
        </w:rPr>
        <w:t xml:space="preserve"> </w:t>
      </w:r>
      <w:r>
        <w:rPr>
          <w:sz w:val="18"/>
        </w:rPr>
        <w:t>the</w:t>
      </w:r>
      <w:r>
        <w:rPr>
          <w:spacing w:val="-3"/>
          <w:sz w:val="18"/>
        </w:rPr>
        <w:t xml:space="preserve"> </w:t>
      </w:r>
      <w:r>
        <w:rPr>
          <w:sz w:val="18"/>
        </w:rPr>
        <w:t>LGBT</w:t>
      </w:r>
      <w:r>
        <w:rPr>
          <w:spacing w:val="-1"/>
          <w:sz w:val="18"/>
        </w:rPr>
        <w:t xml:space="preserve"> </w:t>
      </w:r>
      <w:r>
        <w:rPr>
          <w:sz w:val="18"/>
        </w:rPr>
        <w:t>Community,” Williams Institute, July 2016, https://williamsinstitute.law.ucla.edu/publications/lgbt-food-insecurity-snap/.</w:t>
      </w:r>
    </w:p>
    <w:p w:rsidR="00200FDA" w:rsidRDefault="00F76C4C">
      <w:pPr>
        <w:spacing w:line="219" w:lineRule="exact"/>
        <w:ind w:left="280"/>
        <w:rPr>
          <w:sz w:val="18"/>
        </w:rPr>
      </w:pPr>
      <w:bookmarkStart w:id="1155" w:name="_bookmark904"/>
      <w:bookmarkEnd w:id="1155"/>
      <w:r>
        <w:rPr>
          <w:position w:val="5"/>
          <w:sz w:val="12"/>
        </w:rPr>
        <w:t>3</w:t>
      </w:r>
      <w:r>
        <w:rPr>
          <w:spacing w:val="8"/>
          <w:position w:val="5"/>
          <w:sz w:val="12"/>
        </w:rPr>
        <w:t xml:space="preserve"> </w:t>
      </w:r>
      <w:r>
        <w:rPr>
          <w:sz w:val="18"/>
        </w:rPr>
        <w:t>Margaux</w:t>
      </w:r>
      <w:r>
        <w:rPr>
          <w:spacing w:val="-2"/>
          <w:sz w:val="18"/>
        </w:rPr>
        <w:t xml:space="preserve"> </w:t>
      </w:r>
      <w:r>
        <w:rPr>
          <w:sz w:val="18"/>
        </w:rPr>
        <w:t>Johnson-Green</w:t>
      </w:r>
      <w:r>
        <w:rPr>
          <w:spacing w:val="-2"/>
          <w:sz w:val="18"/>
        </w:rPr>
        <w:t xml:space="preserve"> </w:t>
      </w:r>
      <w:r>
        <w:rPr>
          <w:sz w:val="18"/>
        </w:rPr>
        <w:t>and</w:t>
      </w:r>
      <w:r>
        <w:rPr>
          <w:spacing w:val="-3"/>
          <w:sz w:val="18"/>
        </w:rPr>
        <w:t xml:space="preserve"> </w:t>
      </w:r>
      <w:r>
        <w:rPr>
          <w:sz w:val="18"/>
        </w:rPr>
        <w:t>Cara</w:t>
      </w:r>
      <w:r>
        <w:rPr>
          <w:spacing w:val="-1"/>
          <w:sz w:val="18"/>
        </w:rPr>
        <w:t xml:space="preserve"> </w:t>
      </w:r>
      <w:r>
        <w:rPr>
          <w:sz w:val="18"/>
        </w:rPr>
        <w:t>Claflin,</w:t>
      </w:r>
      <w:r>
        <w:rPr>
          <w:spacing w:val="-1"/>
          <w:sz w:val="18"/>
        </w:rPr>
        <w:t xml:space="preserve"> </w:t>
      </w:r>
      <w:r>
        <w:rPr>
          <w:sz w:val="18"/>
        </w:rPr>
        <w:t>“Gender</w:t>
      </w:r>
      <w:r>
        <w:rPr>
          <w:spacing w:val="-2"/>
          <w:sz w:val="18"/>
        </w:rPr>
        <w:t xml:space="preserve"> </w:t>
      </w:r>
      <w:r>
        <w:rPr>
          <w:sz w:val="18"/>
        </w:rPr>
        <w:t>and</w:t>
      </w:r>
      <w:r>
        <w:rPr>
          <w:spacing w:val="-3"/>
          <w:sz w:val="18"/>
        </w:rPr>
        <w:t xml:space="preserve"> </w:t>
      </w:r>
      <w:r>
        <w:rPr>
          <w:sz w:val="18"/>
        </w:rPr>
        <w:t>Racial</w:t>
      </w:r>
      <w:r>
        <w:rPr>
          <w:spacing w:val="-2"/>
          <w:sz w:val="18"/>
        </w:rPr>
        <w:t xml:space="preserve"> </w:t>
      </w:r>
      <w:r>
        <w:rPr>
          <w:sz w:val="18"/>
        </w:rPr>
        <w:t>Justice</w:t>
      </w:r>
      <w:r>
        <w:rPr>
          <w:spacing w:val="-2"/>
          <w:sz w:val="18"/>
        </w:rPr>
        <w:t xml:space="preserve"> </w:t>
      </w:r>
      <w:r>
        <w:rPr>
          <w:sz w:val="18"/>
        </w:rPr>
        <w:t>in</w:t>
      </w:r>
      <w:r>
        <w:rPr>
          <w:spacing w:val="-2"/>
          <w:sz w:val="18"/>
        </w:rPr>
        <w:t xml:space="preserve"> </w:t>
      </w:r>
      <w:r>
        <w:rPr>
          <w:sz w:val="18"/>
        </w:rPr>
        <w:t>SNAP,”</w:t>
      </w:r>
      <w:r>
        <w:rPr>
          <w:spacing w:val="-3"/>
          <w:sz w:val="18"/>
        </w:rPr>
        <w:t xml:space="preserve"> </w:t>
      </w:r>
      <w:r>
        <w:rPr>
          <w:i/>
          <w:sz w:val="18"/>
        </w:rPr>
        <w:t>National</w:t>
      </w:r>
      <w:r>
        <w:rPr>
          <w:i/>
          <w:spacing w:val="-2"/>
          <w:sz w:val="18"/>
        </w:rPr>
        <w:t xml:space="preserve"> </w:t>
      </w:r>
      <w:r>
        <w:rPr>
          <w:i/>
          <w:sz w:val="18"/>
        </w:rPr>
        <w:t>Women’s</w:t>
      </w:r>
      <w:r>
        <w:rPr>
          <w:i/>
          <w:spacing w:val="-2"/>
          <w:sz w:val="18"/>
        </w:rPr>
        <w:t xml:space="preserve"> </w:t>
      </w:r>
      <w:r>
        <w:rPr>
          <w:i/>
          <w:sz w:val="18"/>
        </w:rPr>
        <w:t>Law</w:t>
      </w:r>
      <w:r>
        <w:rPr>
          <w:i/>
          <w:spacing w:val="-1"/>
          <w:sz w:val="18"/>
        </w:rPr>
        <w:t xml:space="preserve"> </w:t>
      </w:r>
      <w:r>
        <w:rPr>
          <w:i/>
          <w:sz w:val="18"/>
        </w:rPr>
        <w:t>Center</w:t>
      </w:r>
      <w:r>
        <w:rPr>
          <w:sz w:val="18"/>
        </w:rPr>
        <w:t>,</w:t>
      </w:r>
      <w:r>
        <w:rPr>
          <w:spacing w:val="-1"/>
          <w:sz w:val="18"/>
        </w:rPr>
        <w:t xml:space="preserve"> </w:t>
      </w:r>
      <w:r>
        <w:rPr>
          <w:sz w:val="18"/>
        </w:rPr>
        <w:t>July</w:t>
      </w:r>
      <w:r>
        <w:rPr>
          <w:spacing w:val="-1"/>
          <w:sz w:val="18"/>
        </w:rPr>
        <w:t xml:space="preserve"> </w:t>
      </w:r>
      <w:r>
        <w:rPr>
          <w:sz w:val="18"/>
        </w:rPr>
        <w:t>2021,</w:t>
      </w:r>
      <w:r>
        <w:rPr>
          <w:spacing w:val="-1"/>
          <w:sz w:val="18"/>
        </w:rPr>
        <w:t xml:space="preserve"> </w:t>
      </w:r>
      <w:r>
        <w:rPr>
          <w:spacing w:val="-5"/>
          <w:sz w:val="18"/>
        </w:rPr>
        <w:t>14.</w:t>
      </w:r>
    </w:p>
    <w:p w:rsidR="00200FDA" w:rsidRDefault="00200FDA">
      <w:pPr>
        <w:spacing w:line="219" w:lineRule="exact"/>
        <w:rPr>
          <w:sz w:val="18"/>
        </w:rPr>
        <w:sectPr w:rsidR="00200FDA">
          <w:pgSz w:w="12240" w:h="15840"/>
          <w:pgMar w:top="1260" w:right="1160" w:bottom="1240" w:left="1160" w:header="761" w:footer="1043" w:gutter="0"/>
          <w:cols w:space="720"/>
        </w:sectPr>
      </w:pPr>
    </w:p>
    <w:p w:rsidR="00200FDA" w:rsidRDefault="00200FDA">
      <w:pPr>
        <w:pStyle w:val="BodyText"/>
        <w:spacing w:before="10"/>
        <w:rPr>
          <w:sz w:val="10"/>
        </w:rPr>
      </w:pPr>
    </w:p>
    <w:p w:rsidR="00200FDA" w:rsidRDefault="00F76C4C">
      <w:pPr>
        <w:spacing w:before="35"/>
        <w:ind w:left="280"/>
        <w:rPr>
          <w:sz w:val="32"/>
        </w:rPr>
      </w:pPr>
      <w:r>
        <w:pict>
          <v:rect id="docshape601" o:spid="_x0000_s1054" style="position:absolute;left:0;text-align:left;margin-left:70.55pt;margin-top:22.25pt;width:470.9pt;height:.5pt;z-index:-15604224;mso-wrap-distance-left:0;mso-wrap-distance-right:0;mso-position-horizontal-relative:page" fillcolor="#4f81bc" stroked="f">
            <w10:wrap type="topAndBottom" anchorx="page"/>
          </v:rect>
        </w:pict>
      </w:r>
      <w:bookmarkStart w:id="1156" w:name="FY24_DYS_Recommendations_-_Final.pdf"/>
      <w:bookmarkStart w:id="1157" w:name="Department_of_Youth_Services"/>
      <w:bookmarkStart w:id="1158" w:name="_bookmark905"/>
      <w:bookmarkEnd w:id="1156"/>
      <w:bookmarkEnd w:id="1157"/>
      <w:bookmarkEnd w:id="1158"/>
      <w:r>
        <w:rPr>
          <w:color w:val="365F91"/>
          <w:sz w:val="32"/>
        </w:rPr>
        <w:t>Department</w:t>
      </w:r>
      <w:r>
        <w:rPr>
          <w:color w:val="365F91"/>
          <w:spacing w:val="-7"/>
          <w:sz w:val="32"/>
        </w:rPr>
        <w:t xml:space="preserve"> </w:t>
      </w:r>
      <w:r>
        <w:rPr>
          <w:color w:val="365F91"/>
          <w:sz w:val="32"/>
        </w:rPr>
        <w:t>of</w:t>
      </w:r>
      <w:r>
        <w:rPr>
          <w:color w:val="365F91"/>
          <w:spacing w:val="-9"/>
          <w:sz w:val="32"/>
        </w:rPr>
        <w:t xml:space="preserve"> </w:t>
      </w:r>
      <w:r>
        <w:rPr>
          <w:color w:val="365F91"/>
          <w:sz w:val="32"/>
        </w:rPr>
        <w:t>Youth</w:t>
      </w:r>
      <w:r>
        <w:rPr>
          <w:color w:val="365F91"/>
          <w:spacing w:val="-9"/>
          <w:sz w:val="32"/>
        </w:rPr>
        <w:t xml:space="preserve"> </w:t>
      </w:r>
      <w:r>
        <w:rPr>
          <w:color w:val="365F91"/>
          <w:spacing w:val="-2"/>
          <w:sz w:val="32"/>
        </w:rPr>
        <w:t>Services</w:t>
      </w:r>
    </w:p>
    <w:p w:rsidR="00200FDA" w:rsidRDefault="00200FDA">
      <w:pPr>
        <w:pStyle w:val="BodyText"/>
        <w:rPr>
          <w:sz w:val="20"/>
        </w:rPr>
      </w:pPr>
    </w:p>
    <w:p w:rsidR="00200FDA" w:rsidRDefault="00F76C4C">
      <w:pPr>
        <w:pStyle w:val="Heading7"/>
        <w:spacing w:before="214"/>
      </w:pPr>
      <w:r>
        <w:pict>
          <v:rect id="docshape602" o:spid="_x0000_s1053" style="position:absolute;left:0;text-align:left;margin-left:70.55pt;margin-top:28.7pt;width:470.9pt;height:.5pt;z-index:-15603712;mso-wrap-distance-left:0;mso-wrap-distance-right:0;mso-position-horizontal-relative:page" fillcolor="#4f81bc" stroked="f">
            <w10:wrap type="topAndBottom" anchorx="page"/>
          </v:rect>
        </w:pict>
      </w:r>
      <w:r>
        <w:rPr>
          <w:color w:val="365F91"/>
        </w:rPr>
        <w:t>FY</w:t>
      </w:r>
      <w:r>
        <w:rPr>
          <w:color w:val="365F91"/>
          <w:spacing w:val="-3"/>
        </w:rPr>
        <w:t xml:space="preserve"> </w:t>
      </w:r>
      <w:r>
        <w:rPr>
          <w:color w:val="365F91"/>
        </w:rPr>
        <w:t>2024</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3"/>
        <w:rPr>
          <w:sz w:val="17"/>
        </w:rPr>
      </w:pPr>
    </w:p>
    <w:p w:rsidR="00200FDA" w:rsidRDefault="00F76C4C">
      <w:pPr>
        <w:pStyle w:val="ListParagraph"/>
        <w:numPr>
          <w:ilvl w:val="1"/>
          <w:numId w:val="8"/>
        </w:numPr>
        <w:tabs>
          <w:tab w:val="left" w:pos="1001"/>
        </w:tabs>
        <w:spacing w:line="360" w:lineRule="auto"/>
        <w:ind w:right="274"/>
        <w:jc w:val="both"/>
      </w:pPr>
      <w:r>
        <w:t>Update</w:t>
      </w:r>
      <w:r>
        <w:rPr>
          <w:spacing w:val="-1"/>
        </w:rPr>
        <w:t xml:space="preserve"> </w:t>
      </w:r>
      <w:r>
        <w:t>DYS SOGIE data</w:t>
      </w:r>
      <w:r>
        <w:rPr>
          <w:spacing w:val="-2"/>
        </w:rPr>
        <w:t xml:space="preserve"> </w:t>
      </w:r>
      <w:r>
        <w:t>collection</w:t>
      </w:r>
      <w:r>
        <w:rPr>
          <w:spacing w:val="-3"/>
        </w:rPr>
        <w:t xml:space="preserve"> </w:t>
      </w:r>
      <w:r>
        <w:t>standards,</w:t>
      </w:r>
      <w:r>
        <w:rPr>
          <w:spacing w:val="-2"/>
        </w:rPr>
        <w:t xml:space="preserve"> </w:t>
      </w:r>
      <w:r>
        <w:t>and publish more in-depth information on</w:t>
      </w:r>
      <w:r>
        <w:rPr>
          <w:spacing w:val="-3"/>
        </w:rPr>
        <w:t xml:space="preserve"> </w:t>
      </w:r>
      <w:r>
        <w:t>youth in DYS services.</w:t>
      </w:r>
    </w:p>
    <w:p w:rsidR="00200FDA" w:rsidRDefault="00F76C4C">
      <w:pPr>
        <w:pStyle w:val="ListParagraph"/>
        <w:numPr>
          <w:ilvl w:val="1"/>
          <w:numId w:val="8"/>
        </w:numPr>
        <w:tabs>
          <w:tab w:val="left" w:pos="1001"/>
        </w:tabs>
        <w:spacing w:line="267" w:lineRule="exact"/>
        <w:jc w:val="both"/>
      </w:pPr>
      <w:r>
        <w:t>Provide</w:t>
      </w:r>
      <w:r>
        <w:rPr>
          <w:spacing w:val="-4"/>
        </w:rPr>
        <w:t xml:space="preserve"> </w:t>
      </w:r>
      <w:r>
        <w:t>annual</w:t>
      </w:r>
      <w:r>
        <w:rPr>
          <w:spacing w:val="-6"/>
        </w:rPr>
        <w:t xml:space="preserve"> </w:t>
      </w:r>
      <w:r>
        <w:t>mandatory</w:t>
      </w:r>
      <w:r>
        <w:rPr>
          <w:spacing w:val="-7"/>
        </w:rPr>
        <w:t xml:space="preserve"> </w:t>
      </w:r>
      <w:r>
        <w:t>trainings</w:t>
      </w:r>
      <w:r>
        <w:rPr>
          <w:spacing w:val="-4"/>
        </w:rPr>
        <w:t xml:space="preserve"> </w:t>
      </w:r>
      <w:r>
        <w:t>to</w:t>
      </w:r>
      <w:r>
        <w:rPr>
          <w:spacing w:val="-5"/>
        </w:rPr>
        <w:t xml:space="preserve"> </w:t>
      </w:r>
      <w:r>
        <w:t>all</w:t>
      </w:r>
      <w:r>
        <w:rPr>
          <w:spacing w:val="-4"/>
        </w:rPr>
        <w:t xml:space="preserve"> </w:t>
      </w:r>
      <w:r>
        <w:t>DYS</w:t>
      </w:r>
      <w:r>
        <w:rPr>
          <w:spacing w:val="-5"/>
        </w:rPr>
        <w:t xml:space="preserve"> </w:t>
      </w:r>
      <w:r>
        <w:t>state</w:t>
      </w:r>
      <w:r>
        <w:rPr>
          <w:spacing w:val="-3"/>
        </w:rPr>
        <w:t xml:space="preserve"> </w:t>
      </w:r>
      <w:r>
        <w:t>and</w:t>
      </w:r>
      <w:r>
        <w:rPr>
          <w:spacing w:val="-5"/>
        </w:rPr>
        <w:t xml:space="preserve"> </w:t>
      </w:r>
      <w:r>
        <w:t>contracted</w:t>
      </w:r>
      <w:r>
        <w:rPr>
          <w:spacing w:val="-5"/>
        </w:rPr>
        <w:t xml:space="preserve"> </w:t>
      </w:r>
      <w:r>
        <w:t>provider</w:t>
      </w:r>
      <w:r>
        <w:rPr>
          <w:spacing w:val="-4"/>
        </w:rPr>
        <w:t xml:space="preserve"> </w:t>
      </w:r>
      <w:r>
        <w:rPr>
          <w:spacing w:val="-2"/>
        </w:rPr>
        <w:t>staff.</w:t>
      </w:r>
    </w:p>
    <w:p w:rsidR="00200FDA" w:rsidRDefault="00F76C4C">
      <w:pPr>
        <w:pStyle w:val="ListParagraph"/>
        <w:numPr>
          <w:ilvl w:val="1"/>
          <w:numId w:val="8"/>
        </w:numPr>
        <w:tabs>
          <w:tab w:val="left" w:pos="1001"/>
        </w:tabs>
        <w:spacing w:before="135" w:line="360" w:lineRule="auto"/>
        <w:ind w:right="277"/>
        <w:jc w:val="both"/>
      </w:pPr>
      <w:r>
        <w:t>Ensure implementation of LGBTQ-affirming material into existing curricula and programming provided to youth and families in its services.</w:t>
      </w:r>
    </w:p>
    <w:p w:rsidR="00200FDA" w:rsidRDefault="00F76C4C">
      <w:pPr>
        <w:pStyle w:val="ListParagraph"/>
        <w:numPr>
          <w:ilvl w:val="1"/>
          <w:numId w:val="8"/>
        </w:numPr>
        <w:tabs>
          <w:tab w:val="left" w:pos="1001"/>
        </w:tabs>
        <w:spacing w:before="1" w:line="360" w:lineRule="auto"/>
        <w:ind w:right="274" w:hanging="360"/>
        <w:jc w:val="both"/>
      </w:pPr>
      <w:r>
        <w:t>Improve interagency work to support “warm hand-offs” for transition-aged</w:t>
      </w:r>
      <w:r>
        <w:rPr>
          <w:spacing w:val="-1"/>
        </w:rPr>
        <w:t xml:space="preserve"> </w:t>
      </w:r>
      <w:r>
        <w:t>youth attempting to access services, in partnership with the Department of Children &amp; Families, the Department of Mental Health, and MassHealth.</w:t>
      </w:r>
    </w:p>
    <w:p w:rsidR="00200FDA" w:rsidRDefault="00F76C4C">
      <w:pPr>
        <w:pStyle w:val="ListParagraph"/>
        <w:numPr>
          <w:ilvl w:val="1"/>
          <w:numId w:val="8"/>
        </w:numPr>
        <w:tabs>
          <w:tab w:val="left" w:pos="1001"/>
        </w:tabs>
        <w:spacing w:line="360" w:lineRule="auto"/>
        <w:ind w:right="275"/>
        <w:jc w:val="both"/>
      </w:pPr>
      <w:r>
        <w:t>Collaborate with the Commission to establish an LGBTQ parent education curriculum within juvenile diversion pro</w:t>
      </w:r>
      <w:r>
        <w:t>grams.</w:t>
      </w:r>
    </w:p>
    <w:p w:rsidR="00200FDA" w:rsidRDefault="00200FDA">
      <w:pPr>
        <w:pStyle w:val="BodyText"/>
      </w:pPr>
    </w:p>
    <w:p w:rsidR="00200FDA" w:rsidRDefault="00200FDA">
      <w:pPr>
        <w:pStyle w:val="BodyText"/>
      </w:pPr>
    </w:p>
    <w:p w:rsidR="00200FDA" w:rsidRDefault="00F76C4C">
      <w:pPr>
        <w:pStyle w:val="Heading7"/>
        <w:spacing w:before="159"/>
      </w:pPr>
      <w:r>
        <w:pict>
          <v:rect id="docshape603" o:spid="_x0000_s1052" style="position:absolute;left:0;text-align:left;margin-left:70.55pt;margin-top:25.95pt;width:470.9pt;height:.5pt;z-index:-15603200;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23"/>
        </w:rPr>
      </w:pPr>
    </w:p>
    <w:p w:rsidR="00200FDA" w:rsidRDefault="00F76C4C">
      <w:pPr>
        <w:pStyle w:val="BodyText"/>
        <w:spacing w:before="57" w:line="264" w:lineRule="auto"/>
        <w:ind w:left="280" w:right="273"/>
        <w:jc w:val="both"/>
      </w:pPr>
      <w:r>
        <w:t>The Department of Youth Services (DYS) is the state agency charged with serving youth in pre-trial detention or youth committed as juvenile delinquents or youthful offenders. For a decade, DYS has led the nation in developing and im</w:t>
      </w:r>
      <w:r>
        <w:t>plementing policies and guidelines to prohibit discrimination and harassment against LGBTQ youth. The DYS policy and guidelines, which became effective in July 2014, were developed through collaboration with community advocates, including members of the Co</w:t>
      </w:r>
      <w:r>
        <w:t>mmission.</w:t>
      </w:r>
      <w:r>
        <w:rPr>
          <w:spacing w:val="-13"/>
        </w:rPr>
        <w:t xml:space="preserve"> </w:t>
      </w:r>
      <w:r>
        <w:t>DYS</w:t>
      </w:r>
      <w:r>
        <w:rPr>
          <w:spacing w:val="-12"/>
        </w:rPr>
        <w:t xml:space="preserve"> </w:t>
      </w:r>
      <w:r>
        <w:t>has</w:t>
      </w:r>
      <w:r>
        <w:rPr>
          <w:spacing w:val="-13"/>
        </w:rPr>
        <w:t xml:space="preserve"> </w:t>
      </w:r>
      <w:r>
        <w:t>received</w:t>
      </w:r>
      <w:r>
        <w:rPr>
          <w:spacing w:val="-12"/>
        </w:rPr>
        <w:t xml:space="preserve"> </w:t>
      </w:r>
      <w:r>
        <w:t>state</w:t>
      </w:r>
      <w:r>
        <w:rPr>
          <w:spacing w:val="-13"/>
        </w:rPr>
        <w:t xml:space="preserve"> </w:t>
      </w:r>
      <w:r>
        <w:t>and</w:t>
      </w:r>
      <w:r>
        <w:rPr>
          <w:spacing w:val="-12"/>
        </w:rPr>
        <w:t xml:space="preserve"> </w:t>
      </w:r>
      <w:r>
        <w:t>national</w:t>
      </w:r>
      <w:r>
        <w:rPr>
          <w:spacing w:val="-13"/>
        </w:rPr>
        <w:t xml:space="preserve"> </w:t>
      </w:r>
      <w:r>
        <w:t>recognition</w:t>
      </w:r>
      <w:r>
        <w:rPr>
          <w:spacing w:val="-12"/>
        </w:rPr>
        <w:t xml:space="preserve"> </w:t>
      </w:r>
      <w:r>
        <w:t>for</w:t>
      </w:r>
      <w:r>
        <w:rPr>
          <w:spacing w:val="-11"/>
        </w:rPr>
        <w:t xml:space="preserve"> </w:t>
      </w:r>
      <w:r>
        <w:t>its</w:t>
      </w:r>
      <w:r>
        <w:rPr>
          <w:spacing w:val="-10"/>
        </w:rPr>
        <w:t xml:space="preserve"> </w:t>
      </w:r>
      <w:r>
        <w:t>work</w:t>
      </w:r>
      <w:r>
        <w:rPr>
          <w:spacing w:val="-13"/>
        </w:rPr>
        <w:t xml:space="preserve"> </w:t>
      </w:r>
      <w:r>
        <w:t>on</w:t>
      </w:r>
      <w:r>
        <w:rPr>
          <w:spacing w:val="-11"/>
        </w:rPr>
        <w:t xml:space="preserve"> </w:t>
      </w:r>
      <w:r>
        <w:t>behalf</w:t>
      </w:r>
      <w:r>
        <w:rPr>
          <w:spacing w:val="-13"/>
        </w:rPr>
        <w:t xml:space="preserve"> </w:t>
      </w:r>
      <w:r>
        <w:t>of</w:t>
      </w:r>
      <w:r>
        <w:rPr>
          <w:spacing w:val="-12"/>
        </w:rPr>
        <w:t xml:space="preserve"> </w:t>
      </w:r>
      <w:r>
        <w:t>youth</w:t>
      </w:r>
      <w:r>
        <w:rPr>
          <w:spacing w:val="-12"/>
        </w:rPr>
        <w:t xml:space="preserve"> </w:t>
      </w:r>
      <w:r>
        <w:t>in</w:t>
      </w:r>
      <w:r>
        <w:rPr>
          <w:spacing w:val="-12"/>
        </w:rPr>
        <w:t xml:space="preserve"> </w:t>
      </w:r>
      <w:r>
        <w:t>the</w:t>
      </w:r>
      <w:r>
        <w:rPr>
          <w:spacing w:val="-11"/>
        </w:rPr>
        <w:t xml:space="preserve"> </w:t>
      </w:r>
      <w:r>
        <w:t>juvenile justice system.</w:t>
      </w:r>
    </w:p>
    <w:p w:rsidR="00200FDA" w:rsidRDefault="00200FDA">
      <w:pPr>
        <w:pStyle w:val="BodyText"/>
      </w:pPr>
    </w:p>
    <w:p w:rsidR="00200FDA" w:rsidRDefault="00200FDA">
      <w:pPr>
        <w:pStyle w:val="BodyText"/>
        <w:rPr>
          <w:sz w:val="25"/>
        </w:rPr>
      </w:pPr>
    </w:p>
    <w:p w:rsidR="00200FDA" w:rsidRDefault="00F76C4C">
      <w:pPr>
        <w:pStyle w:val="Heading8"/>
        <w:spacing w:before="1"/>
        <w:ind w:left="280"/>
      </w:pPr>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spacing w:before="11"/>
        <w:rPr>
          <w:sz w:val="33"/>
        </w:rPr>
      </w:pPr>
    </w:p>
    <w:p w:rsidR="00200FDA" w:rsidRDefault="00F76C4C">
      <w:pPr>
        <w:pStyle w:val="BodyText"/>
        <w:spacing w:before="1" w:line="264" w:lineRule="auto"/>
        <w:ind w:left="280" w:right="391" w:hanging="1"/>
        <w:jc w:val="both"/>
      </w:pPr>
      <w:r>
        <w:t>For many years, national research has suggested that LGBTQ youth - particularly QTBIPOC youth - are overrepresented</w:t>
      </w:r>
      <w:r>
        <w:rPr>
          <w:spacing w:val="-7"/>
        </w:rPr>
        <w:t xml:space="preserve"> </w:t>
      </w:r>
      <w:r>
        <w:t>within</w:t>
      </w:r>
      <w:r>
        <w:rPr>
          <w:spacing w:val="-5"/>
        </w:rPr>
        <w:t xml:space="preserve"> </w:t>
      </w:r>
      <w:r>
        <w:t>the</w:t>
      </w:r>
      <w:r>
        <w:rPr>
          <w:spacing w:val="-4"/>
        </w:rPr>
        <w:t xml:space="preserve"> </w:t>
      </w:r>
      <w:r>
        <w:t>juvenile</w:t>
      </w:r>
      <w:r>
        <w:rPr>
          <w:spacing w:val="-4"/>
        </w:rPr>
        <w:t xml:space="preserve"> </w:t>
      </w:r>
      <w:r>
        <w:t>justice</w:t>
      </w:r>
      <w:r>
        <w:rPr>
          <w:spacing w:val="-4"/>
        </w:rPr>
        <w:t xml:space="preserve"> </w:t>
      </w:r>
      <w:r>
        <w:t>system,</w:t>
      </w:r>
      <w:r>
        <w:rPr>
          <w:spacing w:val="-4"/>
        </w:rPr>
        <w:t xml:space="preserve"> </w:t>
      </w:r>
      <w:r>
        <w:t>as</w:t>
      </w:r>
      <w:r>
        <w:rPr>
          <w:spacing w:val="-4"/>
        </w:rPr>
        <w:t xml:space="preserve"> </w:t>
      </w:r>
      <w:r>
        <w:t>discussed</w:t>
      </w:r>
      <w:r>
        <w:rPr>
          <w:spacing w:val="-5"/>
        </w:rPr>
        <w:t xml:space="preserve"> </w:t>
      </w:r>
      <w:r>
        <w:t>in</w:t>
      </w:r>
      <w:r>
        <w:rPr>
          <w:spacing w:val="-5"/>
        </w:rPr>
        <w:t xml:space="preserve"> </w:t>
      </w:r>
      <w:r>
        <w:t>the</w:t>
      </w:r>
      <w:r>
        <w:rPr>
          <w:spacing w:val="-4"/>
        </w:rPr>
        <w:t xml:space="preserve"> </w:t>
      </w:r>
      <w:r>
        <w:t>above</w:t>
      </w:r>
      <w:r>
        <w:rPr>
          <w:spacing w:val="-4"/>
        </w:rPr>
        <w:t xml:space="preserve"> </w:t>
      </w:r>
      <w:r>
        <w:t>Advancing</w:t>
      </w:r>
      <w:r>
        <w:rPr>
          <w:spacing w:val="-5"/>
        </w:rPr>
        <w:t xml:space="preserve"> </w:t>
      </w:r>
      <w:r>
        <w:t>Justice</w:t>
      </w:r>
      <w:r>
        <w:rPr>
          <w:spacing w:val="-4"/>
        </w:rPr>
        <w:t xml:space="preserve"> </w:t>
      </w:r>
      <w:r>
        <w:t>section. However, DYS data indicates that only 7.1% of youth in DYS services identify as LGBTQ, though 83% of youth in its service identify as BIPOC. The Commission has worked with DYS for many years to explore ways to improve DYS services through policy d</w:t>
      </w:r>
      <w:r>
        <w:t>evelopment, trainings, and data collection. The Commission looks forward to continuing this work in FY 2024.</w:t>
      </w:r>
    </w:p>
    <w:p w:rsidR="00200FDA" w:rsidRDefault="00200FDA">
      <w:pPr>
        <w:spacing w:line="264" w:lineRule="auto"/>
        <w:jc w:val="both"/>
        <w:sectPr w:rsidR="00200FDA">
          <w:headerReference w:type="default" r:id="rId853"/>
          <w:footerReference w:type="default" r:id="rId854"/>
          <w:pgSz w:w="12240" w:h="15840"/>
          <w:pgMar w:top="1260" w:right="1160" w:bottom="1240" w:left="1160" w:header="761" w:footer="1043" w:gutter="0"/>
          <w:cols w:space="720"/>
        </w:sectPr>
      </w:pPr>
    </w:p>
    <w:p w:rsidR="00200FDA" w:rsidRDefault="00200FDA">
      <w:pPr>
        <w:pStyle w:val="BodyText"/>
        <w:rPr>
          <w:sz w:val="10"/>
        </w:rPr>
      </w:pPr>
    </w:p>
    <w:p w:rsidR="00200FDA" w:rsidRDefault="00F76C4C">
      <w:pPr>
        <w:pStyle w:val="Heading7"/>
        <w:spacing w:before="44"/>
      </w:pPr>
      <w:r>
        <w:pict>
          <v:rect id="docshape604" o:spid="_x0000_s1051" style="position:absolute;left:0;text-align:left;margin-left:70.55pt;margin-top:20.35pt;width:470.9pt;height:.5pt;z-index:-15602688;mso-wrap-distance-left:0;mso-wrap-distance-right:0;mso-position-horizontal-relative:page" fillcolor="#4f81bc" stroked="f">
            <w10:wrap type="topAndBottom" anchorx="page"/>
          </v:rect>
        </w:pict>
      </w:r>
      <w:bookmarkStart w:id="1159" w:name="FY_2024_Expanded_DYS_Recommendations"/>
      <w:bookmarkEnd w:id="1159"/>
      <w:r>
        <w:rPr>
          <w:color w:val="365F91"/>
        </w:rPr>
        <w:t>FY</w:t>
      </w:r>
      <w:r>
        <w:rPr>
          <w:color w:val="365F91"/>
          <w:spacing w:val="-5"/>
        </w:rPr>
        <w:t xml:space="preserve"> </w:t>
      </w:r>
      <w:r>
        <w:rPr>
          <w:color w:val="365F91"/>
        </w:rPr>
        <w:t>2024</w:t>
      </w:r>
      <w:r>
        <w:rPr>
          <w:color w:val="365F91"/>
          <w:spacing w:val="-5"/>
        </w:rPr>
        <w:t xml:space="preserve"> </w:t>
      </w:r>
      <w:r>
        <w:rPr>
          <w:color w:val="365F91"/>
        </w:rPr>
        <w:t>Expanded</w:t>
      </w:r>
      <w:r>
        <w:rPr>
          <w:color w:val="365F91"/>
          <w:spacing w:val="-4"/>
        </w:rPr>
        <w:t xml:space="preserve"> </w:t>
      </w:r>
      <w:r>
        <w:rPr>
          <w:color w:val="365F91"/>
        </w:rPr>
        <w:t>DYS</w:t>
      </w:r>
      <w:r>
        <w:rPr>
          <w:color w:val="365F91"/>
          <w:spacing w:val="-4"/>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6"/>
      </w:pPr>
    </w:p>
    <w:p w:rsidR="00200FDA" w:rsidRDefault="00F76C4C">
      <w:pPr>
        <w:pStyle w:val="Heading9"/>
        <w:numPr>
          <w:ilvl w:val="0"/>
          <w:numId w:val="7"/>
        </w:numPr>
        <w:tabs>
          <w:tab w:val="left" w:pos="496"/>
        </w:tabs>
        <w:spacing w:before="56" w:line="264" w:lineRule="auto"/>
        <w:ind w:right="275" w:firstLine="0"/>
      </w:pPr>
      <w:r>
        <w:t>Update</w:t>
      </w:r>
      <w:r>
        <w:rPr>
          <w:spacing w:val="-7"/>
        </w:rPr>
        <w:t xml:space="preserve"> </w:t>
      </w:r>
      <w:r>
        <w:t>DYS</w:t>
      </w:r>
      <w:r>
        <w:rPr>
          <w:spacing w:val="-8"/>
        </w:rPr>
        <w:t xml:space="preserve"> </w:t>
      </w:r>
      <w:r>
        <w:t>SOGIE</w:t>
      </w:r>
      <w:r>
        <w:rPr>
          <w:spacing w:val="-9"/>
        </w:rPr>
        <w:t xml:space="preserve"> </w:t>
      </w:r>
      <w:r>
        <w:t>data</w:t>
      </w:r>
      <w:r>
        <w:rPr>
          <w:spacing w:val="-10"/>
        </w:rPr>
        <w:t xml:space="preserve"> </w:t>
      </w:r>
      <w:r>
        <w:t>collection</w:t>
      </w:r>
      <w:r>
        <w:rPr>
          <w:spacing w:val="-7"/>
        </w:rPr>
        <w:t xml:space="preserve"> </w:t>
      </w:r>
      <w:r>
        <w:t>standards,</w:t>
      </w:r>
      <w:r>
        <w:rPr>
          <w:spacing w:val="-8"/>
        </w:rPr>
        <w:t xml:space="preserve"> </w:t>
      </w:r>
      <w:r>
        <w:t>and</w:t>
      </w:r>
      <w:r>
        <w:rPr>
          <w:spacing w:val="-7"/>
        </w:rPr>
        <w:t xml:space="preserve"> </w:t>
      </w:r>
      <w:r>
        <w:t>publish</w:t>
      </w:r>
      <w:r>
        <w:rPr>
          <w:spacing w:val="-10"/>
        </w:rPr>
        <w:t xml:space="preserve"> </w:t>
      </w:r>
      <w:r>
        <w:t>more</w:t>
      </w:r>
      <w:r>
        <w:rPr>
          <w:spacing w:val="-10"/>
        </w:rPr>
        <w:t xml:space="preserve"> </w:t>
      </w:r>
      <w:r>
        <w:t>in-depth</w:t>
      </w:r>
      <w:r>
        <w:rPr>
          <w:spacing w:val="-8"/>
        </w:rPr>
        <w:t xml:space="preserve"> </w:t>
      </w:r>
      <w:r>
        <w:t>information</w:t>
      </w:r>
      <w:r>
        <w:rPr>
          <w:spacing w:val="-7"/>
        </w:rPr>
        <w:t xml:space="preserve"> </w:t>
      </w:r>
      <w:r>
        <w:t>on</w:t>
      </w:r>
      <w:r>
        <w:rPr>
          <w:spacing w:val="-7"/>
        </w:rPr>
        <w:t xml:space="preserve"> </w:t>
      </w:r>
      <w:r>
        <w:t>youth</w:t>
      </w:r>
      <w:r>
        <w:rPr>
          <w:spacing w:val="-10"/>
        </w:rPr>
        <w:t xml:space="preserve"> </w:t>
      </w:r>
      <w:r>
        <w:t>in</w:t>
      </w:r>
      <w:r>
        <w:rPr>
          <w:spacing w:val="-7"/>
        </w:rPr>
        <w:t xml:space="preserve"> </w:t>
      </w:r>
      <w:r>
        <w:t xml:space="preserve">DYS </w:t>
      </w:r>
      <w:r>
        <w:rPr>
          <w:spacing w:val="-2"/>
        </w:rPr>
        <w:t>services.</w:t>
      </w:r>
    </w:p>
    <w:p w:rsidR="00200FDA" w:rsidRDefault="00200FDA">
      <w:pPr>
        <w:pStyle w:val="BodyText"/>
        <w:spacing w:before="8"/>
        <w:rPr>
          <w:b/>
          <w:sz w:val="19"/>
        </w:rPr>
      </w:pPr>
    </w:p>
    <w:p w:rsidR="00200FDA" w:rsidRDefault="00F76C4C">
      <w:pPr>
        <w:pStyle w:val="BodyText"/>
        <w:spacing w:line="264" w:lineRule="auto"/>
        <w:ind w:left="279" w:right="273"/>
        <w:jc w:val="both"/>
      </w:pPr>
      <w:r>
        <w:t>In FY 2022, DYS has noted that it established a task force to review its SOGIE data collection practices as part</w:t>
      </w:r>
      <w:r>
        <w:rPr>
          <w:spacing w:val="-1"/>
        </w:rPr>
        <w:t xml:space="preserve"> </w:t>
      </w:r>
      <w:r>
        <w:t>of</w:t>
      </w:r>
      <w:r>
        <w:rPr>
          <w:spacing w:val="-2"/>
        </w:rPr>
        <w:t xml:space="preserve"> </w:t>
      </w:r>
      <w:r>
        <w:t>its</w:t>
      </w:r>
      <w:r>
        <w:rPr>
          <w:spacing w:val="-4"/>
        </w:rPr>
        <w:t xml:space="preserve"> </w:t>
      </w:r>
      <w:r>
        <w:t>Strategic</w:t>
      </w:r>
      <w:r>
        <w:rPr>
          <w:spacing w:val="-4"/>
        </w:rPr>
        <w:t xml:space="preserve"> </w:t>
      </w:r>
      <w:r>
        <w:t>Plan</w:t>
      </w:r>
      <w:r>
        <w:rPr>
          <w:spacing w:val="-5"/>
        </w:rPr>
        <w:t xml:space="preserve"> </w:t>
      </w:r>
      <w:r>
        <w:t>equity</w:t>
      </w:r>
      <w:r>
        <w:rPr>
          <w:spacing w:val="-3"/>
        </w:rPr>
        <w:t xml:space="preserve"> </w:t>
      </w:r>
      <w:r>
        <w:t>work.</w:t>
      </w:r>
      <w:r>
        <w:rPr>
          <w:spacing w:val="-2"/>
        </w:rPr>
        <w:t xml:space="preserve"> </w:t>
      </w:r>
      <w:r>
        <w:t>The</w:t>
      </w:r>
      <w:r>
        <w:rPr>
          <w:spacing w:val="-1"/>
        </w:rPr>
        <w:t xml:space="preserve"> </w:t>
      </w:r>
      <w:r>
        <w:t>review</w:t>
      </w:r>
      <w:r>
        <w:rPr>
          <w:spacing w:val="-4"/>
        </w:rPr>
        <w:t xml:space="preserve"> </w:t>
      </w:r>
      <w:r>
        <w:t>has</w:t>
      </w:r>
      <w:r>
        <w:rPr>
          <w:spacing w:val="-2"/>
        </w:rPr>
        <w:t xml:space="preserve"> </w:t>
      </w:r>
      <w:r>
        <w:t>since</w:t>
      </w:r>
      <w:r>
        <w:rPr>
          <w:spacing w:val="-1"/>
        </w:rPr>
        <w:t xml:space="preserve"> </w:t>
      </w:r>
      <w:r>
        <w:t>led</w:t>
      </w:r>
      <w:r>
        <w:rPr>
          <w:spacing w:val="-5"/>
        </w:rPr>
        <w:t xml:space="preserve"> </w:t>
      </w:r>
      <w:r>
        <w:t>to</w:t>
      </w:r>
      <w:r>
        <w:rPr>
          <w:spacing w:val="-3"/>
        </w:rPr>
        <w:t xml:space="preserve"> </w:t>
      </w:r>
      <w:r>
        <w:t>DYS’</w:t>
      </w:r>
      <w:r>
        <w:rPr>
          <w:spacing w:val="-4"/>
        </w:rPr>
        <w:t xml:space="preserve"> </w:t>
      </w:r>
      <w:r>
        <w:t>commitment</w:t>
      </w:r>
      <w:r>
        <w:rPr>
          <w:spacing w:val="-1"/>
        </w:rPr>
        <w:t xml:space="preserve"> </w:t>
      </w:r>
      <w:r>
        <w:t>to</w:t>
      </w:r>
      <w:r>
        <w:rPr>
          <w:spacing w:val="-1"/>
        </w:rPr>
        <w:t xml:space="preserve"> </w:t>
      </w:r>
      <w:r>
        <w:t>update</w:t>
      </w:r>
      <w:r>
        <w:rPr>
          <w:spacing w:val="-4"/>
        </w:rPr>
        <w:t xml:space="preserve"> </w:t>
      </w:r>
      <w:r>
        <w:t>its</w:t>
      </w:r>
      <w:r>
        <w:rPr>
          <w:spacing w:val="-4"/>
        </w:rPr>
        <w:t xml:space="preserve"> </w:t>
      </w:r>
      <w:r>
        <w:t>LGBTQ+ Guidelines</w:t>
      </w:r>
      <w:r>
        <w:rPr>
          <w:spacing w:val="-9"/>
        </w:rPr>
        <w:t xml:space="preserve"> </w:t>
      </w:r>
      <w:r>
        <w:t>to</w:t>
      </w:r>
      <w:r>
        <w:rPr>
          <w:spacing w:val="-10"/>
        </w:rPr>
        <w:t xml:space="preserve"> </w:t>
      </w:r>
      <w:r>
        <w:t>ensure</w:t>
      </w:r>
      <w:r>
        <w:rPr>
          <w:spacing w:val="-11"/>
        </w:rPr>
        <w:t xml:space="preserve"> </w:t>
      </w:r>
      <w:r>
        <w:t>that</w:t>
      </w:r>
      <w:r>
        <w:rPr>
          <w:spacing w:val="-11"/>
        </w:rPr>
        <w:t xml:space="preserve"> </w:t>
      </w:r>
      <w:r>
        <w:t>youth</w:t>
      </w:r>
      <w:r>
        <w:rPr>
          <w:spacing w:val="-10"/>
        </w:rPr>
        <w:t xml:space="preserve"> </w:t>
      </w:r>
      <w:r>
        <w:t>are</w:t>
      </w:r>
      <w:r>
        <w:rPr>
          <w:spacing w:val="-8"/>
        </w:rPr>
        <w:t xml:space="preserve"> </w:t>
      </w:r>
      <w:r>
        <w:t>given</w:t>
      </w:r>
      <w:r>
        <w:rPr>
          <w:spacing w:val="-10"/>
        </w:rPr>
        <w:t xml:space="preserve"> </w:t>
      </w:r>
      <w:r>
        <w:t>appropriate</w:t>
      </w:r>
      <w:r>
        <w:rPr>
          <w:spacing w:val="-13"/>
        </w:rPr>
        <w:t xml:space="preserve"> </w:t>
      </w:r>
      <w:r>
        <w:t>spaces</w:t>
      </w:r>
      <w:r>
        <w:rPr>
          <w:spacing w:val="-9"/>
        </w:rPr>
        <w:t xml:space="preserve"> </w:t>
      </w:r>
      <w:r>
        <w:t>for</w:t>
      </w:r>
      <w:r>
        <w:rPr>
          <w:spacing w:val="-9"/>
        </w:rPr>
        <w:t xml:space="preserve"> </w:t>
      </w:r>
      <w:r>
        <w:t>privacy</w:t>
      </w:r>
      <w:r>
        <w:rPr>
          <w:spacing w:val="-8"/>
        </w:rPr>
        <w:t xml:space="preserve"> </w:t>
      </w:r>
      <w:r>
        <w:t>upon</w:t>
      </w:r>
      <w:r>
        <w:rPr>
          <w:spacing w:val="-12"/>
        </w:rPr>
        <w:t xml:space="preserve"> </w:t>
      </w:r>
      <w:r>
        <w:t>intake,</w:t>
      </w:r>
      <w:r>
        <w:rPr>
          <w:spacing w:val="-9"/>
        </w:rPr>
        <w:t xml:space="preserve"> </w:t>
      </w:r>
      <w:r>
        <w:t>and</w:t>
      </w:r>
      <w:r>
        <w:rPr>
          <w:spacing w:val="-12"/>
        </w:rPr>
        <w:t xml:space="preserve"> </w:t>
      </w:r>
      <w:r>
        <w:t>that</w:t>
      </w:r>
      <w:r>
        <w:rPr>
          <w:spacing w:val="-9"/>
        </w:rPr>
        <w:t xml:space="preserve"> </w:t>
      </w:r>
      <w:r>
        <w:t>SOGIE</w:t>
      </w:r>
      <w:r>
        <w:rPr>
          <w:spacing w:val="-9"/>
        </w:rPr>
        <w:t xml:space="preserve"> </w:t>
      </w:r>
      <w:r>
        <w:t>data fields</w:t>
      </w:r>
      <w:r>
        <w:rPr>
          <w:spacing w:val="-13"/>
        </w:rPr>
        <w:t xml:space="preserve"> </w:t>
      </w:r>
      <w:r>
        <w:t>are</w:t>
      </w:r>
      <w:r>
        <w:rPr>
          <w:spacing w:val="-12"/>
        </w:rPr>
        <w:t xml:space="preserve"> </w:t>
      </w:r>
      <w:r>
        <w:t>reviewed</w:t>
      </w:r>
      <w:r>
        <w:rPr>
          <w:spacing w:val="-13"/>
        </w:rPr>
        <w:t xml:space="preserve"> </w:t>
      </w:r>
      <w:r>
        <w:t>frequently</w:t>
      </w:r>
      <w:r>
        <w:rPr>
          <w:spacing w:val="-12"/>
        </w:rPr>
        <w:t xml:space="preserve"> </w:t>
      </w:r>
      <w:r>
        <w:t>throughout</w:t>
      </w:r>
      <w:r>
        <w:rPr>
          <w:spacing w:val="-13"/>
        </w:rPr>
        <w:t xml:space="preserve"> </w:t>
      </w:r>
      <w:r>
        <w:t>a</w:t>
      </w:r>
      <w:r>
        <w:rPr>
          <w:spacing w:val="-12"/>
        </w:rPr>
        <w:t xml:space="preserve"> </w:t>
      </w:r>
      <w:r>
        <w:t>youth’s</w:t>
      </w:r>
      <w:r>
        <w:rPr>
          <w:spacing w:val="-13"/>
        </w:rPr>
        <w:t xml:space="preserve"> </w:t>
      </w:r>
      <w:r>
        <w:t>care</w:t>
      </w:r>
      <w:r>
        <w:rPr>
          <w:spacing w:val="-12"/>
        </w:rPr>
        <w:t xml:space="preserve"> </w:t>
      </w:r>
      <w:r>
        <w:t>or</w:t>
      </w:r>
      <w:r>
        <w:rPr>
          <w:spacing w:val="-12"/>
        </w:rPr>
        <w:t xml:space="preserve"> </w:t>
      </w:r>
      <w:r>
        <w:t>custody.</w:t>
      </w:r>
      <w:r>
        <w:rPr>
          <w:spacing w:val="-13"/>
        </w:rPr>
        <w:t xml:space="preserve"> </w:t>
      </w:r>
      <w:r>
        <w:t>The</w:t>
      </w:r>
      <w:r>
        <w:rPr>
          <w:spacing w:val="-12"/>
        </w:rPr>
        <w:t xml:space="preserve"> </w:t>
      </w:r>
      <w:r>
        <w:t>Commission</w:t>
      </w:r>
      <w:r>
        <w:rPr>
          <w:spacing w:val="-13"/>
        </w:rPr>
        <w:t xml:space="preserve"> </w:t>
      </w:r>
      <w:r>
        <w:t>has</w:t>
      </w:r>
      <w:r>
        <w:rPr>
          <w:spacing w:val="-12"/>
        </w:rPr>
        <w:t xml:space="preserve"> </w:t>
      </w:r>
      <w:r>
        <w:t>previously</w:t>
      </w:r>
      <w:r>
        <w:rPr>
          <w:spacing w:val="-13"/>
        </w:rPr>
        <w:t xml:space="preserve"> </w:t>
      </w:r>
      <w:r>
        <w:t>noted the need</w:t>
      </w:r>
      <w:r>
        <w:rPr>
          <w:spacing w:val="-1"/>
        </w:rPr>
        <w:t xml:space="preserve"> </w:t>
      </w:r>
      <w:r>
        <w:t>for</w:t>
      </w:r>
      <w:r>
        <w:rPr>
          <w:spacing w:val="-1"/>
        </w:rPr>
        <w:t xml:space="preserve"> </w:t>
      </w:r>
      <w:r>
        <w:t>DYS</w:t>
      </w:r>
      <w:r>
        <w:rPr>
          <w:spacing w:val="-4"/>
        </w:rPr>
        <w:t xml:space="preserve"> </w:t>
      </w:r>
      <w:r>
        <w:t>to establish</w:t>
      </w:r>
      <w:r>
        <w:rPr>
          <w:spacing w:val="-2"/>
        </w:rPr>
        <w:t xml:space="preserve"> </w:t>
      </w:r>
      <w:r>
        <w:t>a</w:t>
      </w:r>
      <w:r>
        <w:rPr>
          <w:spacing w:val="-1"/>
        </w:rPr>
        <w:t xml:space="preserve"> </w:t>
      </w:r>
      <w:r>
        <w:t>more formal</w:t>
      </w:r>
      <w:r>
        <w:rPr>
          <w:spacing w:val="-1"/>
        </w:rPr>
        <w:t xml:space="preserve"> </w:t>
      </w:r>
      <w:r>
        <w:t>process</w:t>
      </w:r>
      <w:r>
        <w:rPr>
          <w:spacing w:val="-1"/>
        </w:rPr>
        <w:t xml:space="preserve"> </w:t>
      </w:r>
      <w:r>
        <w:t>for</w:t>
      </w:r>
      <w:r>
        <w:rPr>
          <w:spacing w:val="-1"/>
        </w:rPr>
        <w:t xml:space="preserve"> </w:t>
      </w:r>
      <w:r>
        <w:t>ensuring</w:t>
      </w:r>
      <w:r>
        <w:rPr>
          <w:spacing w:val="-2"/>
        </w:rPr>
        <w:t xml:space="preserve"> </w:t>
      </w:r>
      <w:r>
        <w:t>that its</w:t>
      </w:r>
      <w:r>
        <w:rPr>
          <w:spacing w:val="-1"/>
        </w:rPr>
        <w:t xml:space="preserve"> </w:t>
      </w:r>
      <w:r>
        <w:t>SOGIE</w:t>
      </w:r>
      <w:r>
        <w:rPr>
          <w:spacing w:val="-3"/>
        </w:rPr>
        <w:t xml:space="preserve"> </w:t>
      </w:r>
      <w:r>
        <w:t>data</w:t>
      </w:r>
      <w:r>
        <w:rPr>
          <w:spacing w:val="-1"/>
        </w:rPr>
        <w:t xml:space="preserve"> </w:t>
      </w:r>
      <w:r>
        <w:t>collection</w:t>
      </w:r>
      <w:r>
        <w:rPr>
          <w:spacing w:val="-2"/>
        </w:rPr>
        <w:t xml:space="preserve"> </w:t>
      </w:r>
      <w:r>
        <w:t>standards are</w:t>
      </w:r>
      <w:r>
        <w:rPr>
          <w:spacing w:val="-8"/>
        </w:rPr>
        <w:t xml:space="preserve"> </w:t>
      </w:r>
      <w:r>
        <w:t>routinely</w:t>
      </w:r>
      <w:r>
        <w:rPr>
          <w:spacing w:val="-8"/>
        </w:rPr>
        <w:t xml:space="preserve"> </w:t>
      </w:r>
      <w:r>
        <w:t>reviewed,</w:t>
      </w:r>
      <w:r>
        <w:rPr>
          <w:spacing w:val="-11"/>
        </w:rPr>
        <w:t xml:space="preserve"> </w:t>
      </w:r>
      <w:r>
        <w:t>which</w:t>
      </w:r>
      <w:r>
        <w:rPr>
          <w:spacing w:val="-10"/>
        </w:rPr>
        <w:t xml:space="preserve"> </w:t>
      </w:r>
      <w:r>
        <w:t>DYS</w:t>
      </w:r>
      <w:r>
        <w:rPr>
          <w:spacing w:val="-10"/>
        </w:rPr>
        <w:t xml:space="preserve"> </w:t>
      </w:r>
      <w:r>
        <w:t>has</w:t>
      </w:r>
      <w:r>
        <w:rPr>
          <w:spacing w:val="-9"/>
        </w:rPr>
        <w:t xml:space="preserve"> </w:t>
      </w:r>
      <w:r>
        <w:t>committed</w:t>
      </w:r>
      <w:r>
        <w:rPr>
          <w:spacing w:val="-10"/>
        </w:rPr>
        <w:t xml:space="preserve"> </w:t>
      </w:r>
      <w:r>
        <w:t>to</w:t>
      </w:r>
      <w:r>
        <w:rPr>
          <w:spacing w:val="-8"/>
        </w:rPr>
        <w:t xml:space="preserve"> </w:t>
      </w:r>
      <w:r>
        <w:t>doing,</w:t>
      </w:r>
      <w:r>
        <w:rPr>
          <w:spacing w:val="-9"/>
        </w:rPr>
        <w:t xml:space="preserve"> </w:t>
      </w:r>
      <w:r>
        <w:t>to</w:t>
      </w:r>
      <w:r>
        <w:rPr>
          <w:spacing w:val="-10"/>
        </w:rPr>
        <w:t xml:space="preserve"> </w:t>
      </w:r>
      <w:r>
        <w:t>better</w:t>
      </w:r>
      <w:r>
        <w:rPr>
          <w:spacing w:val="-9"/>
        </w:rPr>
        <w:t xml:space="preserve"> </w:t>
      </w:r>
      <w:r>
        <w:t>capture</w:t>
      </w:r>
      <w:r>
        <w:rPr>
          <w:spacing w:val="-8"/>
        </w:rPr>
        <w:t xml:space="preserve"> </w:t>
      </w:r>
      <w:r>
        <w:t>the</w:t>
      </w:r>
      <w:r>
        <w:rPr>
          <w:spacing w:val="-11"/>
        </w:rPr>
        <w:t xml:space="preserve"> </w:t>
      </w:r>
      <w:r>
        <w:t>actual</w:t>
      </w:r>
      <w:r>
        <w:rPr>
          <w:spacing w:val="-9"/>
        </w:rPr>
        <w:t xml:space="preserve"> </w:t>
      </w:r>
      <w:r>
        <w:t>number</w:t>
      </w:r>
      <w:r>
        <w:rPr>
          <w:spacing w:val="-12"/>
        </w:rPr>
        <w:t xml:space="preserve"> </w:t>
      </w:r>
      <w:r>
        <w:t>of</w:t>
      </w:r>
      <w:r>
        <w:rPr>
          <w:spacing w:val="-12"/>
        </w:rPr>
        <w:t xml:space="preserve"> </w:t>
      </w:r>
      <w:r>
        <w:t>LGBTQ youth within DYS programs and their experiences.</w:t>
      </w:r>
    </w:p>
    <w:p w:rsidR="00200FDA" w:rsidRDefault="00200FDA">
      <w:pPr>
        <w:pStyle w:val="BodyText"/>
        <w:spacing w:before="7"/>
        <w:rPr>
          <w:sz w:val="19"/>
        </w:rPr>
      </w:pPr>
    </w:p>
    <w:p w:rsidR="00200FDA" w:rsidRDefault="00F76C4C">
      <w:pPr>
        <w:pStyle w:val="BodyText"/>
        <w:spacing w:line="264" w:lineRule="auto"/>
        <w:ind w:left="279" w:right="272"/>
        <w:jc w:val="both"/>
      </w:pPr>
      <w:r>
        <w:t>The Commission further advises that DYS review the information it publishes publicly, including age of discharge from services and experiences of youth in DYS services. The Commission was disappointed to see</w:t>
      </w:r>
      <w:r>
        <w:rPr>
          <w:spacing w:val="-13"/>
        </w:rPr>
        <w:t xml:space="preserve"> </w:t>
      </w:r>
      <w:r>
        <w:t>a</w:t>
      </w:r>
      <w:r>
        <w:rPr>
          <w:spacing w:val="-12"/>
        </w:rPr>
        <w:t xml:space="preserve"> </w:t>
      </w:r>
      <w:r>
        <w:t>concerning</w:t>
      </w:r>
      <w:r>
        <w:rPr>
          <w:spacing w:val="-13"/>
        </w:rPr>
        <w:t xml:space="preserve"> </w:t>
      </w:r>
      <w:r>
        <w:t>lack</w:t>
      </w:r>
      <w:r>
        <w:rPr>
          <w:spacing w:val="-12"/>
        </w:rPr>
        <w:t xml:space="preserve"> </w:t>
      </w:r>
      <w:r>
        <w:t>of</w:t>
      </w:r>
      <w:r>
        <w:rPr>
          <w:spacing w:val="-13"/>
        </w:rPr>
        <w:t xml:space="preserve"> </w:t>
      </w:r>
      <w:r>
        <w:t>SOGIE</w:t>
      </w:r>
      <w:r>
        <w:rPr>
          <w:spacing w:val="-12"/>
        </w:rPr>
        <w:t xml:space="preserve"> </w:t>
      </w:r>
      <w:r>
        <w:t>data</w:t>
      </w:r>
      <w:r>
        <w:rPr>
          <w:spacing w:val="-13"/>
        </w:rPr>
        <w:t xml:space="preserve"> </w:t>
      </w:r>
      <w:r>
        <w:t>analysis</w:t>
      </w:r>
      <w:r>
        <w:rPr>
          <w:spacing w:val="-12"/>
        </w:rPr>
        <w:t xml:space="preserve"> </w:t>
      </w:r>
      <w:r>
        <w:t>in</w:t>
      </w:r>
      <w:r>
        <w:rPr>
          <w:spacing w:val="-12"/>
        </w:rPr>
        <w:t xml:space="preserve"> </w:t>
      </w:r>
      <w:r>
        <w:t>the</w:t>
      </w:r>
      <w:r>
        <w:rPr>
          <w:spacing w:val="-13"/>
        </w:rPr>
        <w:t xml:space="preserve"> </w:t>
      </w:r>
      <w:r>
        <w:t>agency’s</w:t>
      </w:r>
      <w:r>
        <w:rPr>
          <w:spacing w:val="-11"/>
        </w:rPr>
        <w:t xml:space="preserve"> </w:t>
      </w:r>
      <w:r>
        <w:t>FY</w:t>
      </w:r>
      <w:r>
        <w:rPr>
          <w:spacing w:val="-12"/>
        </w:rPr>
        <w:t xml:space="preserve"> </w:t>
      </w:r>
      <w:r>
        <w:t>2022</w:t>
      </w:r>
      <w:r>
        <w:rPr>
          <w:spacing w:val="-12"/>
        </w:rPr>
        <w:t xml:space="preserve"> </w:t>
      </w:r>
      <w:r>
        <w:t>end-of-year</w:t>
      </w:r>
      <w:r>
        <w:rPr>
          <w:spacing w:val="-12"/>
        </w:rPr>
        <w:t xml:space="preserve"> </w:t>
      </w:r>
      <w:r>
        <w:t>reports,</w:t>
      </w:r>
      <w:r>
        <w:rPr>
          <w:spacing w:val="-12"/>
        </w:rPr>
        <w:t xml:space="preserve"> </w:t>
      </w:r>
      <w:r>
        <w:t>and</w:t>
      </w:r>
      <w:r>
        <w:rPr>
          <w:spacing w:val="-13"/>
        </w:rPr>
        <w:t xml:space="preserve"> </w:t>
      </w:r>
      <w:r>
        <w:t>the</w:t>
      </w:r>
      <w:r>
        <w:rPr>
          <w:spacing w:val="-12"/>
        </w:rPr>
        <w:t xml:space="preserve"> </w:t>
      </w:r>
      <w:r>
        <w:t>exclusion of any explicit LGBTQ-related commitments in the text of DYS’ 2022-2024 Strategic Plan; DYS has noted to the Commission that it has flagged this gap in critical information in its Annual Report, and p</w:t>
      </w:r>
      <w:r>
        <w:t>lans to update its report format for FY 2023.</w:t>
      </w:r>
    </w:p>
    <w:p w:rsidR="00200FDA" w:rsidRDefault="00200FDA">
      <w:pPr>
        <w:pStyle w:val="BodyText"/>
        <w:spacing w:before="9"/>
        <w:rPr>
          <w:sz w:val="19"/>
        </w:rPr>
      </w:pPr>
    </w:p>
    <w:p w:rsidR="00200FDA" w:rsidRDefault="00F76C4C">
      <w:pPr>
        <w:pStyle w:val="BodyText"/>
        <w:spacing w:line="264" w:lineRule="auto"/>
        <w:ind w:left="279" w:right="277"/>
        <w:jc w:val="both"/>
      </w:pPr>
      <w:r>
        <w:t>The Commission advises that, moving forward, DYS should be more explicit and transparent in its public facing documents regarding its internal commitments to supporting LGBTQ youth and staff involved in DYS se</w:t>
      </w:r>
      <w:r>
        <w:t>rvices.</w:t>
      </w:r>
    </w:p>
    <w:p w:rsidR="00200FDA" w:rsidRDefault="00200FDA">
      <w:pPr>
        <w:pStyle w:val="BodyText"/>
      </w:pPr>
    </w:p>
    <w:p w:rsidR="00200FDA" w:rsidRDefault="00200FDA">
      <w:pPr>
        <w:pStyle w:val="BodyText"/>
        <w:spacing w:before="10"/>
        <w:rPr>
          <w:sz w:val="21"/>
        </w:rPr>
      </w:pPr>
    </w:p>
    <w:p w:rsidR="00200FDA" w:rsidRDefault="00F76C4C">
      <w:pPr>
        <w:pStyle w:val="Heading9"/>
        <w:numPr>
          <w:ilvl w:val="0"/>
          <w:numId w:val="7"/>
        </w:numPr>
        <w:tabs>
          <w:tab w:val="left" w:pos="501"/>
        </w:tabs>
        <w:ind w:left="500" w:hanging="222"/>
      </w:pPr>
      <w:r>
        <w:t>Provide</w:t>
      </w:r>
      <w:r>
        <w:rPr>
          <w:spacing w:val="-6"/>
        </w:rPr>
        <w:t xml:space="preserve"> </w:t>
      </w:r>
      <w:r>
        <w:t>annual</w:t>
      </w:r>
      <w:r>
        <w:rPr>
          <w:spacing w:val="-3"/>
        </w:rPr>
        <w:t xml:space="preserve"> </w:t>
      </w:r>
      <w:r>
        <w:t>mandatory</w:t>
      </w:r>
      <w:r>
        <w:rPr>
          <w:spacing w:val="-3"/>
        </w:rPr>
        <w:t xml:space="preserve"> </w:t>
      </w:r>
      <w:r>
        <w:t>trainings</w:t>
      </w:r>
      <w:r>
        <w:rPr>
          <w:spacing w:val="-4"/>
        </w:rPr>
        <w:t xml:space="preserve"> </w:t>
      </w:r>
      <w:r>
        <w:t>to</w:t>
      </w:r>
      <w:r>
        <w:rPr>
          <w:spacing w:val="-4"/>
        </w:rPr>
        <w:t xml:space="preserve"> </w:t>
      </w:r>
      <w:r>
        <w:t>all</w:t>
      </w:r>
      <w:r>
        <w:rPr>
          <w:spacing w:val="-5"/>
        </w:rPr>
        <w:t xml:space="preserve"> </w:t>
      </w:r>
      <w:r>
        <w:t>DYS</w:t>
      </w:r>
      <w:r>
        <w:rPr>
          <w:spacing w:val="-5"/>
        </w:rPr>
        <w:t xml:space="preserve"> </w:t>
      </w:r>
      <w:r>
        <w:t>state</w:t>
      </w:r>
      <w:r>
        <w:rPr>
          <w:spacing w:val="-5"/>
        </w:rPr>
        <w:t xml:space="preserve"> </w:t>
      </w:r>
      <w:r>
        <w:t>and</w:t>
      </w:r>
      <w:r>
        <w:rPr>
          <w:spacing w:val="-5"/>
        </w:rPr>
        <w:t xml:space="preserve"> </w:t>
      </w:r>
      <w:r>
        <w:t>contracted</w:t>
      </w:r>
      <w:r>
        <w:rPr>
          <w:spacing w:val="-5"/>
        </w:rPr>
        <w:t xml:space="preserve"> </w:t>
      </w:r>
      <w:r>
        <w:t>provider</w:t>
      </w:r>
      <w:r>
        <w:rPr>
          <w:spacing w:val="-5"/>
        </w:rPr>
        <w:t xml:space="preserve"> </w:t>
      </w:r>
      <w:r>
        <w:rPr>
          <w:spacing w:val="-2"/>
        </w:rPr>
        <w:t>staff.</w:t>
      </w:r>
    </w:p>
    <w:p w:rsidR="00200FDA" w:rsidRDefault="00200FDA">
      <w:pPr>
        <w:pStyle w:val="BodyText"/>
        <w:spacing w:before="10"/>
        <w:rPr>
          <w:b/>
          <w:sz w:val="21"/>
        </w:rPr>
      </w:pPr>
    </w:p>
    <w:p w:rsidR="00200FDA" w:rsidRDefault="00F76C4C">
      <w:pPr>
        <w:pStyle w:val="BodyText"/>
        <w:spacing w:line="264" w:lineRule="auto"/>
        <w:ind w:left="279" w:right="275"/>
        <w:jc w:val="both"/>
      </w:pPr>
      <w:r>
        <w:t>DYS’ has previously noted to the Commission that all DYS staff are engaged in basic LGBTQ cultural awareness</w:t>
      </w:r>
      <w:r>
        <w:rPr>
          <w:spacing w:val="-1"/>
        </w:rPr>
        <w:t xml:space="preserve"> </w:t>
      </w:r>
      <w:r>
        <w:t>trainings</w:t>
      </w:r>
      <w:r>
        <w:rPr>
          <w:spacing w:val="-1"/>
        </w:rPr>
        <w:t xml:space="preserve"> </w:t>
      </w:r>
      <w:r>
        <w:t>at the</w:t>
      </w:r>
      <w:r>
        <w:rPr>
          <w:spacing w:val="-3"/>
        </w:rPr>
        <w:t xml:space="preserve"> </w:t>
      </w:r>
      <w:r>
        <w:t>time</w:t>
      </w:r>
      <w:r>
        <w:rPr>
          <w:spacing w:val="-3"/>
        </w:rPr>
        <w:t xml:space="preserve"> </w:t>
      </w:r>
      <w:r>
        <w:t>of</w:t>
      </w:r>
      <w:r>
        <w:rPr>
          <w:spacing w:val="-1"/>
        </w:rPr>
        <w:t xml:space="preserve"> </w:t>
      </w:r>
      <w:r>
        <w:t>onboarding,</w:t>
      </w:r>
      <w:r>
        <w:rPr>
          <w:spacing w:val="-1"/>
        </w:rPr>
        <w:t xml:space="preserve"> </w:t>
      </w:r>
      <w:r>
        <w:t>and</w:t>
      </w:r>
      <w:r>
        <w:rPr>
          <w:spacing w:val="-2"/>
        </w:rPr>
        <w:t xml:space="preserve"> </w:t>
      </w:r>
      <w:r>
        <w:t>that it</w:t>
      </w:r>
      <w:r>
        <w:rPr>
          <w:spacing w:val="-1"/>
        </w:rPr>
        <w:t xml:space="preserve"> </w:t>
      </w:r>
      <w:r>
        <w:t>includes</w:t>
      </w:r>
      <w:r>
        <w:rPr>
          <w:spacing w:val="-1"/>
        </w:rPr>
        <w:t xml:space="preserve"> </w:t>
      </w:r>
      <w:r>
        <w:t>guidelines</w:t>
      </w:r>
      <w:r>
        <w:rPr>
          <w:spacing w:val="-1"/>
        </w:rPr>
        <w:t xml:space="preserve"> </w:t>
      </w:r>
      <w:r>
        <w:t>on</w:t>
      </w:r>
      <w:r>
        <w:rPr>
          <w:spacing w:val="-4"/>
        </w:rPr>
        <w:t xml:space="preserve"> </w:t>
      </w:r>
      <w:r>
        <w:t>LGBTQ</w:t>
      </w:r>
      <w:r>
        <w:rPr>
          <w:spacing w:val="-1"/>
        </w:rPr>
        <w:t xml:space="preserve"> </w:t>
      </w:r>
      <w:r>
        <w:t>best practices</w:t>
      </w:r>
      <w:r>
        <w:rPr>
          <w:spacing w:val="-1"/>
        </w:rPr>
        <w:t xml:space="preserve"> </w:t>
      </w:r>
      <w:r>
        <w:t>in its annual review trainings with all direct care state and contracted provider employees. However, the Commission and DYS have discussed the need for all employees and contracted providers to engage in mandate</w:t>
      </w:r>
      <w:r>
        <w:t>d and recurring in-person trainings to better provide support to staff, providers, and LGBTQ youth. The Commission, with its free, in-depth agency training model, would be</w:t>
      </w:r>
      <w:r>
        <w:rPr>
          <w:spacing w:val="-1"/>
        </w:rPr>
        <w:t xml:space="preserve"> </w:t>
      </w:r>
      <w:r>
        <w:t>happy to work with DYS in FY 2024 on this initiative.</w:t>
      </w:r>
    </w:p>
    <w:p w:rsidR="00200FDA" w:rsidRDefault="00200FDA">
      <w:pPr>
        <w:pStyle w:val="BodyText"/>
      </w:pPr>
    </w:p>
    <w:p w:rsidR="00200FDA" w:rsidRDefault="00200FDA">
      <w:pPr>
        <w:pStyle w:val="BodyText"/>
        <w:spacing w:before="11"/>
        <w:rPr>
          <w:sz w:val="21"/>
        </w:rPr>
      </w:pPr>
    </w:p>
    <w:p w:rsidR="00200FDA" w:rsidRDefault="00F76C4C">
      <w:pPr>
        <w:pStyle w:val="Heading9"/>
        <w:numPr>
          <w:ilvl w:val="0"/>
          <w:numId w:val="7"/>
        </w:numPr>
        <w:tabs>
          <w:tab w:val="left" w:pos="568"/>
        </w:tabs>
        <w:spacing w:line="264" w:lineRule="auto"/>
        <w:ind w:left="279" w:right="276" w:firstLine="0"/>
      </w:pPr>
      <w:r>
        <w:t>Ensure</w:t>
      </w:r>
      <w:r>
        <w:rPr>
          <w:spacing w:val="40"/>
        </w:rPr>
        <w:t xml:space="preserve"> </w:t>
      </w:r>
      <w:r>
        <w:t>implementation</w:t>
      </w:r>
      <w:r>
        <w:rPr>
          <w:spacing w:val="40"/>
        </w:rPr>
        <w:t xml:space="preserve"> </w:t>
      </w:r>
      <w:r>
        <w:t>of</w:t>
      </w:r>
      <w:r>
        <w:rPr>
          <w:spacing w:val="40"/>
        </w:rPr>
        <w:t xml:space="preserve"> </w:t>
      </w:r>
      <w:r>
        <w:t>LGB</w:t>
      </w:r>
      <w:r>
        <w:t>TQ-affirming</w:t>
      </w:r>
      <w:r>
        <w:rPr>
          <w:spacing w:val="40"/>
        </w:rPr>
        <w:t xml:space="preserve"> </w:t>
      </w:r>
      <w:r>
        <w:t>material</w:t>
      </w:r>
      <w:r>
        <w:rPr>
          <w:spacing w:val="40"/>
        </w:rPr>
        <w:t xml:space="preserve"> </w:t>
      </w:r>
      <w:r>
        <w:t>into</w:t>
      </w:r>
      <w:r>
        <w:rPr>
          <w:spacing w:val="40"/>
        </w:rPr>
        <w:t xml:space="preserve"> </w:t>
      </w:r>
      <w:r>
        <w:t>existing</w:t>
      </w:r>
      <w:r>
        <w:rPr>
          <w:spacing w:val="40"/>
        </w:rPr>
        <w:t xml:space="preserve"> </w:t>
      </w:r>
      <w:r>
        <w:t>curricula</w:t>
      </w:r>
      <w:r>
        <w:rPr>
          <w:spacing w:val="40"/>
        </w:rPr>
        <w:t xml:space="preserve"> </w:t>
      </w:r>
      <w:r>
        <w:t>and</w:t>
      </w:r>
      <w:r>
        <w:rPr>
          <w:spacing w:val="40"/>
        </w:rPr>
        <w:t xml:space="preserve"> </w:t>
      </w:r>
      <w:r>
        <w:t>programming provided to youth and families in its services.</w:t>
      </w:r>
    </w:p>
    <w:p w:rsidR="00200FDA" w:rsidRDefault="00200FDA">
      <w:pPr>
        <w:pStyle w:val="BodyText"/>
        <w:spacing w:before="8"/>
        <w:rPr>
          <w:b/>
          <w:sz w:val="19"/>
        </w:rPr>
      </w:pPr>
    </w:p>
    <w:p w:rsidR="00200FDA" w:rsidRDefault="00F76C4C">
      <w:pPr>
        <w:pStyle w:val="BodyText"/>
        <w:spacing w:line="264" w:lineRule="auto"/>
        <w:ind w:left="279" w:right="274"/>
        <w:jc w:val="both"/>
      </w:pPr>
      <w:r>
        <w:t>DYS provides a wide array of services to youth and their families across the Commonwealth, including educational</w:t>
      </w:r>
      <w:r>
        <w:rPr>
          <w:spacing w:val="-3"/>
        </w:rPr>
        <w:t xml:space="preserve"> </w:t>
      </w:r>
      <w:r>
        <w:t>programming.</w:t>
      </w:r>
      <w:r>
        <w:rPr>
          <w:spacing w:val="-6"/>
        </w:rPr>
        <w:t xml:space="preserve"> </w:t>
      </w:r>
      <w:r>
        <w:t>The</w:t>
      </w:r>
      <w:r>
        <w:rPr>
          <w:spacing w:val="-2"/>
        </w:rPr>
        <w:t xml:space="preserve"> </w:t>
      </w:r>
      <w:r>
        <w:t>Commission</w:t>
      </w:r>
      <w:r>
        <w:rPr>
          <w:spacing w:val="-4"/>
        </w:rPr>
        <w:t xml:space="preserve"> </w:t>
      </w:r>
      <w:r>
        <w:t>reco</w:t>
      </w:r>
      <w:r>
        <w:t>mmends</w:t>
      </w:r>
      <w:r>
        <w:rPr>
          <w:spacing w:val="-3"/>
        </w:rPr>
        <w:t xml:space="preserve"> </w:t>
      </w:r>
      <w:r>
        <w:t>that</w:t>
      </w:r>
      <w:r>
        <w:rPr>
          <w:spacing w:val="-2"/>
        </w:rPr>
        <w:t xml:space="preserve"> </w:t>
      </w:r>
      <w:r>
        <w:t>DYS</w:t>
      </w:r>
      <w:r>
        <w:rPr>
          <w:spacing w:val="-4"/>
        </w:rPr>
        <w:t xml:space="preserve"> </w:t>
      </w:r>
      <w:r>
        <w:t>review</w:t>
      </w:r>
      <w:r>
        <w:rPr>
          <w:spacing w:val="-2"/>
        </w:rPr>
        <w:t xml:space="preserve"> </w:t>
      </w:r>
      <w:r>
        <w:t>all</w:t>
      </w:r>
      <w:r>
        <w:rPr>
          <w:spacing w:val="-3"/>
        </w:rPr>
        <w:t xml:space="preserve"> </w:t>
      </w:r>
      <w:r>
        <w:t>curriculum</w:t>
      </w:r>
      <w:r>
        <w:rPr>
          <w:spacing w:val="-2"/>
        </w:rPr>
        <w:t xml:space="preserve"> </w:t>
      </w:r>
      <w:r>
        <w:t>being</w:t>
      </w:r>
      <w:r>
        <w:rPr>
          <w:spacing w:val="-4"/>
        </w:rPr>
        <w:t xml:space="preserve"> </w:t>
      </w:r>
      <w:r>
        <w:t>presented to youth and families in its services to ensure that LGBTQ-affirming material is appropriately embedded into all areas. In particular, the Commission understands that DYS residential programs provide se</w:t>
      </w:r>
      <w:r>
        <w:t>xual health education</w:t>
      </w:r>
      <w:r>
        <w:rPr>
          <w:spacing w:val="-3"/>
        </w:rPr>
        <w:t xml:space="preserve"> </w:t>
      </w:r>
      <w:r>
        <w:t>to</w:t>
      </w:r>
      <w:r>
        <w:rPr>
          <w:spacing w:val="-1"/>
        </w:rPr>
        <w:t xml:space="preserve"> </w:t>
      </w:r>
      <w:r>
        <w:t>youth</w:t>
      </w:r>
      <w:r>
        <w:rPr>
          <w:spacing w:val="-3"/>
        </w:rPr>
        <w:t xml:space="preserve"> </w:t>
      </w:r>
      <w:r>
        <w:t>within their</w:t>
      </w:r>
      <w:r>
        <w:rPr>
          <w:spacing w:val="-2"/>
        </w:rPr>
        <w:t xml:space="preserve"> </w:t>
      </w:r>
      <w:r>
        <w:t>custody,</w:t>
      </w:r>
      <w:r>
        <w:rPr>
          <w:spacing w:val="-2"/>
        </w:rPr>
        <w:t xml:space="preserve"> </w:t>
      </w:r>
      <w:r>
        <w:t>but has been</w:t>
      </w:r>
      <w:r>
        <w:rPr>
          <w:spacing w:val="-3"/>
        </w:rPr>
        <w:t xml:space="preserve"> </w:t>
      </w:r>
      <w:r>
        <w:t>notified by</w:t>
      </w:r>
      <w:r>
        <w:rPr>
          <w:spacing w:val="-1"/>
        </w:rPr>
        <w:t xml:space="preserve"> </w:t>
      </w:r>
      <w:r>
        <w:t>DYS that the</w:t>
      </w:r>
      <w:r>
        <w:rPr>
          <w:spacing w:val="-1"/>
        </w:rPr>
        <w:t xml:space="preserve"> </w:t>
      </w:r>
      <w:r>
        <w:t>curriculum</w:t>
      </w:r>
      <w:r>
        <w:rPr>
          <w:spacing w:val="-1"/>
        </w:rPr>
        <w:t xml:space="preserve"> </w:t>
      </w:r>
      <w:r>
        <w:t>has not</w:t>
      </w:r>
    </w:p>
    <w:p w:rsidR="00200FDA" w:rsidRDefault="00200FDA">
      <w:pPr>
        <w:spacing w:line="264"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64" w:lineRule="auto"/>
        <w:ind w:left="280" w:right="275"/>
        <w:jc w:val="both"/>
      </w:pPr>
      <w:r>
        <w:t>been updated or reviewed in at least seven years. The Commission strongly recommends that DYS immediately reviews its current sexual</w:t>
      </w:r>
      <w:r>
        <w:rPr>
          <w:spacing w:val="-1"/>
        </w:rPr>
        <w:t xml:space="preserve"> </w:t>
      </w:r>
      <w:r>
        <w:t>health</w:t>
      </w:r>
      <w:r>
        <w:rPr>
          <w:spacing w:val="-1"/>
        </w:rPr>
        <w:t xml:space="preserve"> </w:t>
      </w:r>
      <w:r>
        <w:t>education</w:t>
      </w:r>
      <w:r>
        <w:rPr>
          <w:spacing w:val="-1"/>
        </w:rPr>
        <w:t xml:space="preserve"> </w:t>
      </w:r>
      <w:r>
        <w:t>curriculum</w:t>
      </w:r>
      <w:r>
        <w:rPr>
          <w:spacing w:val="-2"/>
        </w:rPr>
        <w:t xml:space="preserve"> </w:t>
      </w:r>
      <w:r>
        <w:t>across the</w:t>
      </w:r>
      <w:r>
        <w:rPr>
          <w:spacing w:val="-2"/>
        </w:rPr>
        <w:t xml:space="preserve"> </w:t>
      </w:r>
      <w:r>
        <w:t>agency to ensure that</w:t>
      </w:r>
      <w:r>
        <w:rPr>
          <w:spacing w:val="-2"/>
        </w:rPr>
        <w:t xml:space="preserve"> </w:t>
      </w:r>
      <w:r>
        <w:t>the curriculum is LGBTQ-inclusive, culturally appropriate, and</w:t>
      </w:r>
      <w:r>
        <w:t xml:space="preserve"> medically accurate.</w:t>
      </w:r>
    </w:p>
    <w:p w:rsidR="00200FDA" w:rsidRDefault="00200FDA">
      <w:pPr>
        <w:pStyle w:val="BodyText"/>
      </w:pPr>
    </w:p>
    <w:p w:rsidR="00200FDA" w:rsidRDefault="00200FDA">
      <w:pPr>
        <w:pStyle w:val="BodyText"/>
        <w:spacing w:before="9"/>
        <w:rPr>
          <w:sz w:val="21"/>
        </w:rPr>
      </w:pPr>
    </w:p>
    <w:p w:rsidR="00200FDA" w:rsidRDefault="00F76C4C">
      <w:pPr>
        <w:pStyle w:val="Heading9"/>
        <w:numPr>
          <w:ilvl w:val="0"/>
          <w:numId w:val="7"/>
        </w:numPr>
        <w:tabs>
          <w:tab w:val="left" w:pos="532"/>
        </w:tabs>
        <w:spacing w:before="1" w:line="264" w:lineRule="auto"/>
        <w:ind w:left="279" w:right="274" w:firstLine="0"/>
        <w:jc w:val="both"/>
      </w:pPr>
      <w:r>
        <w:t>Improve interagency work to support “warm hand-offs” for transition-aged youth attempting to access services, in partnership with the Department of Children &amp; Families, the</w:t>
      </w:r>
      <w:r>
        <w:rPr>
          <w:spacing w:val="-2"/>
        </w:rPr>
        <w:t xml:space="preserve"> </w:t>
      </w:r>
      <w:r>
        <w:t>Department of Mental Health, and MassHealth.</w:t>
      </w:r>
    </w:p>
    <w:p w:rsidR="00200FDA" w:rsidRDefault="00200FDA">
      <w:pPr>
        <w:pStyle w:val="BodyText"/>
        <w:spacing w:before="9"/>
        <w:rPr>
          <w:b/>
          <w:sz w:val="19"/>
        </w:rPr>
      </w:pPr>
    </w:p>
    <w:p w:rsidR="00200FDA" w:rsidRDefault="00F76C4C">
      <w:pPr>
        <w:pStyle w:val="BodyText"/>
        <w:spacing w:before="1" w:line="264" w:lineRule="auto"/>
        <w:ind w:left="279" w:right="274"/>
        <w:jc w:val="both"/>
      </w:pPr>
      <w:r>
        <w:t>As discussed</w:t>
      </w:r>
      <w:r>
        <w:rPr>
          <w:spacing w:val="-4"/>
        </w:rPr>
        <w:t xml:space="preserve"> </w:t>
      </w:r>
      <w:r>
        <w:t>t</w:t>
      </w:r>
      <w:r>
        <w:t>hroughout</w:t>
      </w:r>
      <w:r>
        <w:rPr>
          <w:spacing w:val="-2"/>
        </w:rPr>
        <w:t xml:space="preserve"> </w:t>
      </w:r>
      <w:r>
        <w:t>the Commission’s</w:t>
      </w:r>
      <w:r>
        <w:rPr>
          <w:spacing w:val="-3"/>
        </w:rPr>
        <w:t xml:space="preserve"> </w:t>
      </w:r>
      <w:r>
        <w:t>FY</w:t>
      </w:r>
      <w:r>
        <w:rPr>
          <w:spacing w:val="-2"/>
        </w:rPr>
        <w:t xml:space="preserve"> </w:t>
      </w:r>
      <w:r>
        <w:t>2024 annual</w:t>
      </w:r>
      <w:r>
        <w:rPr>
          <w:spacing w:val="-1"/>
        </w:rPr>
        <w:t xml:space="preserve"> </w:t>
      </w:r>
      <w:r>
        <w:t>report,</w:t>
      </w:r>
      <w:r>
        <w:rPr>
          <w:spacing w:val="-3"/>
        </w:rPr>
        <w:t xml:space="preserve"> </w:t>
      </w:r>
      <w:r>
        <w:t>multi-system</w:t>
      </w:r>
      <w:r>
        <w:rPr>
          <w:spacing w:val="-2"/>
        </w:rPr>
        <w:t xml:space="preserve"> </w:t>
      </w:r>
      <w:r>
        <w:t>involved</w:t>
      </w:r>
      <w:r>
        <w:rPr>
          <w:spacing w:val="-3"/>
        </w:rPr>
        <w:t xml:space="preserve"> </w:t>
      </w:r>
      <w:r>
        <w:t xml:space="preserve">transition-aged youth are often the most marginalized and underserved youth across the Commonwealth. Often, when youth transition between agency systems, such as going from DYS to DCF </w:t>
      </w:r>
      <w:r>
        <w:t>or vice versa, some youth are experiencing</w:t>
      </w:r>
      <w:r>
        <w:rPr>
          <w:spacing w:val="-7"/>
        </w:rPr>
        <w:t xml:space="preserve"> </w:t>
      </w:r>
      <w:r>
        <w:t>little</w:t>
      </w:r>
      <w:r>
        <w:rPr>
          <w:spacing w:val="-6"/>
        </w:rPr>
        <w:t xml:space="preserve"> </w:t>
      </w:r>
      <w:r>
        <w:t>to</w:t>
      </w:r>
      <w:r>
        <w:rPr>
          <w:spacing w:val="-5"/>
        </w:rPr>
        <w:t xml:space="preserve"> </w:t>
      </w:r>
      <w:r>
        <w:t>no</w:t>
      </w:r>
      <w:r>
        <w:rPr>
          <w:spacing w:val="-5"/>
        </w:rPr>
        <w:t xml:space="preserve"> </w:t>
      </w:r>
      <w:r>
        <w:t>direct</w:t>
      </w:r>
      <w:r>
        <w:rPr>
          <w:spacing w:val="-6"/>
        </w:rPr>
        <w:t xml:space="preserve"> </w:t>
      </w:r>
      <w:r>
        <w:t>handoffs</w:t>
      </w:r>
      <w:r>
        <w:rPr>
          <w:spacing w:val="-7"/>
        </w:rPr>
        <w:t xml:space="preserve"> </w:t>
      </w:r>
      <w:r>
        <w:t>between</w:t>
      </w:r>
      <w:r>
        <w:rPr>
          <w:spacing w:val="-7"/>
        </w:rPr>
        <w:t xml:space="preserve"> </w:t>
      </w:r>
      <w:r>
        <w:t>services.</w:t>
      </w:r>
      <w:r>
        <w:rPr>
          <w:spacing w:val="-7"/>
        </w:rPr>
        <w:t xml:space="preserve"> </w:t>
      </w:r>
      <w:r>
        <w:t>Unfortunately,</w:t>
      </w:r>
      <w:r>
        <w:rPr>
          <w:spacing w:val="-7"/>
        </w:rPr>
        <w:t xml:space="preserve"> </w:t>
      </w:r>
      <w:r>
        <w:t>this</w:t>
      </w:r>
      <w:r>
        <w:rPr>
          <w:spacing w:val="-7"/>
        </w:rPr>
        <w:t xml:space="preserve"> </w:t>
      </w:r>
      <w:r>
        <w:t>means</w:t>
      </w:r>
      <w:r>
        <w:rPr>
          <w:spacing w:val="-7"/>
        </w:rPr>
        <w:t xml:space="preserve"> </w:t>
      </w:r>
      <w:r>
        <w:t>that</w:t>
      </w:r>
      <w:r>
        <w:rPr>
          <w:spacing w:val="-6"/>
        </w:rPr>
        <w:t xml:space="preserve"> </w:t>
      </w:r>
      <w:r>
        <w:t>youth</w:t>
      </w:r>
      <w:r>
        <w:rPr>
          <w:spacing w:val="-7"/>
        </w:rPr>
        <w:t xml:space="preserve"> </w:t>
      </w:r>
      <w:r>
        <w:t>often</w:t>
      </w:r>
      <w:r>
        <w:rPr>
          <w:spacing w:val="-7"/>
        </w:rPr>
        <w:t xml:space="preserve"> </w:t>
      </w:r>
      <w:r>
        <w:t>fall between systemic cracks as agencies fail to collaborate and sometimes can even fail to transfer official custody of a youth between systems, leaving youth and their families without any clear guidance or direction for assistance.</w:t>
      </w:r>
    </w:p>
    <w:p w:rsidR="00200FDA" w:rsidRDefault="00200FDA">
      <w:pPr>
        <w:pStyle w:val="BodyText"/>
        <w:spacing w:before="6"/>
        <w:rPr>
          <w:sz w:val="19"/>
        </w:rPr>
      </w:pPr>
    </w:p>
    <w:p w:rsidR="00200FDA" w:rsidRDefault="00F76C4C">
      <w:pPr>
        <w:pStyle w:val="BodyText"/>
        <w:spacing w:line="264" w:lineRule="auto"/>
        <w:ind w:left="279" w:right="272"/>
        <w:jc w:val="both"/>
      </w:pPr>
      <w:r>
        <w:t>The Commission has e</w:t>
      </w:r>
      <w:r>
        <w:t>ven received notice from some DCF social workers that agencies have failed to notify</w:t>
      </w:r>
      <w:r>
        <w:rPr>
          <w:spacing w:val="-13"/>
        </w:rPr>
        <w:t xml:space="preserve"> </w:t>
      </w:r>
      <w:r>
        <w:t>them</w:t>
      </w:r>
      <w:r>
        <w:rPr>
          <w:spacing w:val="-12"/>
        </w:rPr>
        <w:t xml:space="preserve"> </w:t>
      </w:r>
      <w:r>
        <w:t>when</w:t>
      </w:r>
      <w:r>
        <w:rPr>
          <w:spacing w:val="-13"/>
        </w:rPr>
        <w:t xml:space="preserve"> </w:t>
      </w:r>
      <w:r>
        <w:t>their</w:t>
      </w:r>
      <w:r>
        <w:rPr>
          <w:spacing w:val="-12"/>
        </w:rPr>
        <w:t xml:space="preserve"> </w:t>
      </w:r>
      <w:r>
        <w:t>youth</w:t>
      </w:r>
      <w:r>
        <w:rPr>
          <w:spacing w:val="-13"/>
        </w:rPr>
        <w:t xml:space="preserve"> </w:t>
      </w:r>
      <w:r>
        <w:t>have</w:t>
      </w:r>
      <w:r>
        <w:rPr>
          <w:spacing w:val="-12"/>
        </w:rPr>
        <w:t xml:space="preserve"> </w:t>
      </w:r>
      <w:r>
        <w:t>been</w:t>
      </w:r>
      <w:r>
        <w:rPr>
          <w:spacing w:val="-13"/>
        </w:rPr>
        <w:t xml:space="preserve"> </w:t>
      </w:r>
      <w:r>
        <w:t>transferred</w:t>
      </w:r>
      <w:r>
        <w:rPr>
          <w:spacing w:val="-12"/>
        </w:rPr>
        <w:t xml:space="preserve"> </w:t>
      </w:r>
      <w:r>
        <w:t>into</w:t>
      </w:r>
      <w:r>
        <w:rPr>
          <w:spacing w:val="-12"/>
        </w:rPr>
        <w:t xml:space="preserve"> </w:t>
      </w:r>
      <w:r>
        <w:t>DYS</w:t>
      </w:r>
      <w:r>
        <w:rPr>
          <w:spacing w:val="-13"/>
        </w:rPr>
        <w:t xml:space="preserve"> </w:t>
      </w:r>
      <w:r>
        <w:t>custody.</w:t>
      </w:r>
      <w:r>
        <w:rPr>
          <w:spacing w:val="-12"/>
        </w:rPr>
        <w:t xml:space="preserve"> </w:t>
      </w:r>
      <w:r>
        <w:t>This</w:t>
      </w:r>
      <w:r>
        <w:rPr>
          <w:spacing w:val="-11"/>
        </w:rPr>
        <w:t xml:space="preserve"> </w:t>
      </w:r>
      <w:r>
        <w:t>is</w:t>
      </w:r>
      <w:r>
        <w:rPr>
          <w:spacing w:val="-13"/>
        </w:rPr>
        <w:t xml:space="preserve"> </w:t>
      </w:r>
      <w:r>
        <w:t>particularly</w:t>
      </w:r>
      <w:r>
        <w:rPr>
          <w:spacing w:val="-10"/>
        </w:rPr>
        <w:t xml:space="preserve"> </w:t>
      </w:r>
      <w:r>
        <w:t>concerning</w:t>
      </w:r>
      <w:r>
        <w:rPr>
          <w:spacing w:val="-12"/>
        </w:rPr>
        <w:t xml:space="preserve"> </w:t>
      </w:r>
      <w:r>
        <w:t>given that cases being monitored by DCF for abuse and neglect are closed if y</w:t>
      </w:r>
      <w:r>
        <w:t>outh are committed by DYS, and also in cases where DCF has custody and care of the youth, which makes DYS the ‘parent’ of the youth. Once</w:t>
      </w:r>
      <w:r>
        <w:rPr>
          <w:spacing w:val="-13"/>
        </w:rPr>
        <w:t xml:space="preserve"> </w:t>
      </w:r>
      <w:r>
        <w:t>they</w:t>
      </w:r>
      <w:r>
        <w:rPr>
          <w:spacing w:val="-12"/>
        </w:rPr>
        <w:t xml:space="preserve"> </w:t>
      </w:r>
      <w:r>
        <w:t>leave</w:t>
      </w:r>
      <w:r>
        <w:rPr>
          <w:spacing w:val="-13"/>
        </w:rPr>
        <w:t xml:space="preserve"> </w:t>
      </w:r>
      <w:r>
        <w:t>DYS</w:t>
      </w:r>
      <w:r>
        <w:rPr>
          <w:spacing w:val="-12"/>
        </w:rPr>
        <w:t xml:space="preserve"> </w:t>
      </w:r>
      <w:r>
        <w:t>custody,</w:t>
      </w:r>
      <w:r>
        <w:rPr>
          <w:spacing w:val="-11"/>
        </w:rPr>
        <w:t xml:space="preserve"> </w:t>
      </w:r>
      <w:r>
        <w:t>the</w:t>
      </w:r>
      <w:r>
        <w:rPr>
          <w:spacing w:val="-11"/>
        </w:rPr>
        <w:t xml:space="preserve"> </w:t>
      </w:r>
      <w:r>
        <w:t>Commission</w:t>
      </w:r>
      <w:r>
        <w:rPr>
          <w:spacing w:val="-12"/>
        </w:rPr>
        <w:t xml:space="preserve"> </w:t>
      </w:r>
      <w:r>
        <w:t>understands</w:t>
      </w:r>
      <w:r>
        <w:rPr>
          <w:spacing w:val="-11"/>
        </w:rPr>
        <w:t xml:space="preserve"> </w:t>
      </w:r>
      <w:r>
        <w:t>that</w:t>
      </w:r>
      <w:r>
        <w:rPr>
          <w:spacing w:val="-11"/>
        </w:rPr>
        <w:t xml:space="preserve"> </w:t>
      </w:r>
      <w:r>
        <w:t>the</w:t>
      </w:r>
      <w:r>
        <w:rPr>
          <w:spacing w:val="-13"/>
        </w:rPr>
        <w:t xml:space="preserve"> </w:t>
      </w:r>
      <w:r>
        <w:t>youth</w:t>
      </w:r>
      <w:r>
        <w:rPr>
          <w:spacing w:val="-12"/>
        </w:rPr>
        <w:t xml:space="preserve"> </w:t>
      </w:r>
      <w:r>
        <w:t>are</w:t>
      </w:r>
      <w:r>
        <w:rPr>
          <w:spacing w:val="-13"/>
        </w:rPr>
        <w:t xml:space="preserve"> </w:t>
      </w:r>
      <w:r>
        <w:t>often</w:t>
      </w:r>
      <w:r>
        <w:rPr>
          <w:spacing w:val="-11"/>
        </w:rPr>
        <w:t xml:space="preserve"> </w:t>
      </w:r>
      <w:r>
        <w:t>then</w:t>
      </w:r>
      <w:r>
        <w:rPr>
          <w:spacing w:val="-12"/>
        </w:rPr>
        <w:t xml:space="preserve"> </w:t>
      </w:r>
      <w:r>
        <w:t>returned</w:t>
      </w:r>
      <w:r>
        <w:rPr>
          <w:spacing w:val="-13"/>
        </w:rPr>
        <w:t xml:space="preserve"> </w:t>
      </w:r>
      <w:r>
        <w:t>to</w:t>
      </w:r>
      <w:r>
        <w:rPr>
          <w:spacing w:val="-12"/>
        </w:rPr>
        <w:t xml:space="preserve"> </w:t>
      </w:r>
      <w:r>
        <w:t>their family of origin wi</w:t>
      </w:r>
      <w:r>
        <w:t>thout any further monitoring by DYS or DCF to assess for safety. The Commission is concerned by this process as it does not believe that DYS is equipped with the tools or structures to investigate for safety, permanency, or wellbeing to reunify and reconci</w:t>
      </w:r>
      <w:r>
        <w:t xml:space="preserve">le family systems that have been </w:t>
      </w:r>
      <w:r>
        <w:rPr>
          <w:spacing w:val="-2"/>
        </w:rPr>
        <w:t>disrupted.</w:t>
      </w:r>
    </w:p>
    <w:p w:rsidR="00200FDA" w:rsidRDefault="00200FDA">
      <w:pPr>
        <w:pStyle w:val="BodyText"/>
        <w:spacing w:before="9"/>
        <w:rPr>
          <w:sz w:val="19"/>
        </w:rPr>
      </w:pPr>
    </w:p>
    <w:p w:rsidR="00200FDA" w:rsidRDefault="00F76C4C">
      <w:pPr>
        <w:pStyle w:val="BodyText"/>
        <w:spacing w:line="264" w:lineRule="auto"/>
        <w:ind w:left="279" w:right="275"/>
        <w:jc w:val="both"/>
      </w:pPr>
      <w:r>
        <w:t>DYS notes</w:t>
      </w:r>
      <w:r>
        <w:rPr>
          <w:spacing w:val="-2"/>
        </w:rPr>
        <w:t xml:space="preserve"> </w:t>
      </w:r>
      <w:r>
        <w:t>that</w:t>
      </w:r>
      <w:r>
        <w:rPr>
          <w:spacing w:val="-1"/>
        </w:rPr>
        <w:t xml:space="preserve"> </w:t>
      </w:r>
      <w:r>
        <w:t>there are</w:t>
      </w:r>
      <w:r>
        <w:rPr>
          <w:spacing w:val="-1"/>
        </w:rPr>
        <w:t xml:space="preserve"> </w:t>
      </w:r>
      <w:r>
        <w:t>multiple existing points</w:t>
      </w:r>
      <w:r>
        <w:rPr>
          <w:spacing w:val="-2"/>
        </w:rPr>
        <w:t xml:space="preserve"> </w:t>
      </w:r>
      <w:r>
        <w:t>of collaboration between</w:t>
      </w:r>
      <w:r>
        <w:rPr>
          <w:spacing w:val="-3"/>
        </w:rPr>
        <w:t xml:space="preserve"> </w:t>
      </w:r>
      <w:r>
        <w:t>other</w:t>
      </w:r>
      <w:r>
        <w:rPr>
          <w:spacing w:val="-2"/>
        </w:rPr>
        <w:t xml:space="preserve"> </w:t>
      </w:r>
      <w:r>
        <w:t>youth-serving agencies, including</w:t>
      </w:r>
      <w:r>
        <w:rPr>
          <w:spacing w:val="-13"/>
        </w:rPr>
        <w:t xml:space="preserve"> </w:t>
      </w:r>
      <w:r>
        <w:t>with</w:t>
      </w:r>
      <w:r>
        <w:rPr>
          <w:spacing w:val="-12"/>
        </w:rPr>
        <w:t xml:space="preserve"> </w:t>
      </w:r>
      <w:r>
        <w:t>DCF:</w:t>
      </w:r>
      <w:r>
        <w:rPr>
          <w:spacing w:val="-13"/>
        </w:rPr>
        <w:t xml:space="preserve"> </w:t>
      </w:r>
      <w:r>
        <w:t>an</w:t>
      </w:r>
      <w:r>
        <w:rPr>
          <w:spacing w:val="-12"/>
        </w:rPr>
        <w:t xml:space="preserve"> </w:t>
      </w:r>
      <w:r>
        <w:t>expedited</w:t>
      </w:r>
      <w:r>
        <w:rPr>
          <w:spacing w:val="-13"/>
        </w:rPr>
        <w:t xml:space="preserve"> </w:t>
      </w:r>
      <w:r>
        <w:t>medical</w:t>
      </w:r>
      <w:r>
        <w:rPr>
          <w:spacing w:val="-12"/>
        </w:rPr>
        <w:t xml:space="preserve"> </w:t>
      </w:r>
      <w:r>
        <w:t>record</w:t>
      </w:r>
      <w:r>
        <w:rPr>
          <w:spacing w:val="-13"/>
        </w:rPr>
        <w:t xml:space="preserve"> </w:t>
      </w:r>
      <w:r>
        <w:t>request</w:t>
      </w:r>
      <w:r>
        <w:rPr>
          <w:spacing w:val="-12"/>
        </w:rPr>
        <w:t xml:space="preserve"> </w:t>
      </w:r>
      <w:r>
        <w:t>and</w:t>
      </w:r>
      <w:r>
        <w:rPr>
          <w:spacing w:val="-12"/>
        </w:rPr>
        <w:t xml:space="preserve"> </w:t>
      </w:r>
      <w:r>
        <w:t>review</w:t>
      </w:r>
      <w:r>
        <w:rPr>
          <w:spacing w:val="-13"/>
        </w:rPr>
        <w:t xml:space="preserve"> </w:t>
      </w:r>
      <w:r>
        <w:t>process;</w:t>
      </w:r>
      <w:r>
        <w:rPr>
          <w:spacing w:val="-12"/>
        </w:rPr>
        <w:t xml:space="preserve"> </w:t>
      </w:r>
      <w:r>
        <w:t>a</w:t>
      </w:r>
      <w:r>
        <w:rPr>
          <w:spacing w:val="-13"/>
        </w:rPr>
        <w:t xml:space="preserve"> </w:t>
      </w:r>
      <w:r>
        <w:t>Data</w:t>
      </w:r>
      <w:r>
        <w:rPr>
          <w:spacing w:val="-12"/>
        </w:rPr>
        <w:t xml:space="preserve"> </w:t>
      </w:r>
      <w:r>
        <w:t>Utilization</w:t>
      </w:r>
      <w:r>
        <w:rPr>
          <w:spacing w:val="-13"/>
        </w:rPr>
        <w:t xml:space="preserve"> </w:t>
      </w:r>
      <w:r>
        <w:t>Agreement since 2018</w:t>
      </w:r>
      <w:r>
        <w:rPr>
          <w:spacing w:val="-1"/>
        </w:rPr>
        <w:t xml:space="preserve"> </w:t>
      </w:r>
      <w:r>
        <w:t>to notify agencies of</w:t>
      </w:r>
      <w:r>
        <w:rPr>
          <w:spacing w:val="-2"/>
        </w:rPr>
        <w:t xml:space="preserve"> </w:t>
      </w:r>
      <w:r>
        <w:t>overnight</w:t>
      </w:r>
      <w:r>
        <w:rPr>
          <w:spacing w:val="-1"/>
        </w:rPr>
        <w:t xml:space="preserve"> </w:t>
      </w:r>
      <w:r>
        <w:t>arrests of</w:t>
      </w:r>
      <w:r>
        <w:rPr>
          <w:spacing w:val="-2"/>
        </w:rPr>
        <w:t xml:space="preserve"> </w:t>
      </w:r>
      <w:r>
        <w:t>youth in</w:t>
      </w:r>
      <w:r>
        <w:rPr>
          <w:spacing w:val="-2"/>
        </w:rPr>
        <w:t xml:space="preserve"> </w:t>
      </w:r>
      <w:r>
        <w:t>DCF custody; a</w:t>
      </w:r>
      <w:r>
        <w:rPr>
          <w:spacing w:val="-2"/>
        </w:rPr>
        <w:t xml:space="preserve"> </w:t>
      </w:r>
      <w:r>
        <w:t xml:space="preserve">2019 MOU to facilitate data </w:t>
      </w:r>
      <w:r>
        <w:rPr>
          <w:spacing w:val="-2"/>
        </w:rPr>
        <w:t xml:space="preserve">exchange, streamlined notification processes, collaboration between clinical staff, and weekly interagency </w:t>
      </w:r>
      <w:r>
        <w:t>meetings around individual cases.</w:t>
      </w:r>
    </w:p>
    <w:p w:rsidR="00200FDA" w:rsidRDefault="00200FDA">
      <w:pPr>
        <w:pStyle w:val="BodyText"/>
        <w:spacing w:before="7"/>
        <w:rPr>
          <w:sz w:val="19"/>
        </w:rPr>
      </w:pPr>
    </w:p>
    <w:p w:rsidR="00200FDA" w:rsidRDefault="00F76C4C">
      <w:pPr>
        <w:pStyle w:val="BodyText"/>
        <w:spacing w:line="264" w:lineRule="auto"/>
        <w:ind w:left="279" w:right="275"/>
        <w:jc w:val="both"/>
      </w:pPr>
      <w:r>
        <w:t>And with DMH: routine coordination communications around DMH-involved youth; family and youth support</w:t>
      </w:r>
      <w:r>
        <w:rPr>
          <w:spacing w:val="-7"/>
        </w:rPr>
        <w:t xml:space="preserve"> </w:t>
      </w:r>
      <w:r>
        <w:t>with</w:t>
      </w:r>
      <w:r>
        <w:rPr>
          <w:spacing w:val="-8"/>
        </w:rPr>
        <w:t xml:space="preserve"> </w:t>
      </w:r>
      <w:r>
        <w:t>DMH</w:t>
      </w:r>
      <w:r>
        <w:rPr>
          <w:spacing w:val="-8"/>
        </w:rPr>
        <w:t xml:space="preserve"> </w:t>
      </w:r>
      <w:r>
        <w:t>referrals,</w:t>
      </w:r>
      <w:r>
        <w:rPr>
          <w:spacing w:val="-7"/>
        </w:rPr>
        <w:t xml:space="preserve"> </w:t>
      </w:r>
      <w:r>
        <w:t>applications</w:t>
      </w:r>
      <w:r>
        <w:rPr>
          <w:spacing w:val="-10"/>
        </w:rPr>
        <w:t xml:space="preserve"> </w:t>
      </w:r>
      <w:r>
        <w:t>and</w:t>
      </w:r>
      <w:r>
        <w:rPr>
          <w:spacing w:val="-8"/>
        </w:rPr>
        <w:t xml:space="preserve"> </w:t>
      </w:r>
      <w:r>
        <w:t>appeals;</w:t>
      </w:r>
      <w:r>
        <w:rPr>
          <w:spacing w:val="-11"/>
        </w:rPr>
        <w:t xml:space="preserve"> </w:t>
      </w:r>
      <w:r>
        <w:t>cross-agency</w:t>
      </w:r>
      <w:r>
        <w:rPr>
          <w:spacing w:val="-9"/>
        </w:rPr>
        <w:t xml:space="preserve"> </w:t>
      </w:r>
      <w:r>
        <w:t>meetings;</w:t>
      </w:r>
      <w:r>
        <w:rPr>
          <w:spacing w:val="-9"/>
        </w:rPr>
        <w:t xml:space="preserve"> </w:t>
      </w:r>
      <w:r>
        <w:t>behavioral</w:t>
      </w:r>
      <w:r>
        <w:rPr>
          <w:spacing w:val="-8"/>
        </w:rPr>
        <w:t xml:space="preserve"> </w:t>
      </w:r>
      <w:r>
        <w:t>health</w:t>
      </w:r>
      <w:r>
        <w:rPr>
          <w:spacing w:val="-8"/>
        </w:rPr>
        <w:t xml:space="preserve"> </w:t>
      </w:r>
      <w:r>
        <w:t>supports for individual youth in crisis; and an MOU to support re</w:t>
      </w:r>
      <w:r>
        <w:t>ferral of DYS youth for behavioral health services through the Intensive Residential Treatment Program.</w:t>
      </w:r>
    </w:p>
    <w:p w:rsidR="00200FDA" w:rsidRDefault="00200FDA">
      <w:pPr>
        <w:pStyle w:val="BodyText"/>
        <w:spacing w:before="10"/>
        <w:rPr>
          <w:sz w:val="19"/>
        </w:rPr>
      </w:pPr>
    </w:p>
    <w:p w:rsidR="00200FDA" w:rsidRDefault="00F76C4C">
      <w:pPr>
        <w:pStyle w:val="BodyText"/>
        <w:spacing w:line="264" w:lineRule="auto"/>
        <w:ind w:left="279" w:right="275"/>
        <w:jc w:val="both"/>
      </w:pPr>
      <w:r>
        <w:t>While the Commission appreciates the wide array of ongoing collaboration between agencies targeted towards supporting transition-aged youth in the Commonwealth, the Commission has received and is investigating</w:t>
      </w:r>
      <w:r>
        <w:rPr>
          <w:spacing w:val="-7"/>
        </w:rPr>
        <w:t xml:space="preserve"> </w:t>
      </w:r>
      <w:r>
        <w:t>feedback</w:t>
      </w:r>
      <w:r>
        <w:rPr>
          <w:spacing w:val="-9"/>
        </w:rPr>
        <w:t xml:space="preserve"> </w:t>
      </w:r>
      <w:r>
        <w:t>from</w:t>
      </w:r>
      <w:r>
        <w:rPr>
          <w:spacing w:val="-8"/>
        </w:rPr>
        <w:t xml:space="preserve"> </w:t>
      </w:r>
      <w:r>
        <w:t>youth,</w:t>
      </w:r>
      <w:r>
        <w:rPr>
          <w:spacing w:val="-9"/>
        </w:rPr>
        <w:t xml:space="preserve"> </w:t>
      </w:r>
      <w:r>
        <w:t>staff,</w:t>
      </w:r>
      <w:r>
        <w:rPr>
          <w:spacing w:val="-9"/>
        </w:rPr>
        <w:t xml:space="preserve"> </w:t>
      </w:r>
      <w:r>
        <w:t>and</w:t>
      </w:r>
      <w:r>
        <w:rPr>
          <w:spacing w:val="-7"/>
        </w:rPr>
        <w:t xml:space="preserve"> </w:t>
      </w:r>
      <w:r>
        <w:t>providers</w:t>
      </w:r>
      <w:r>
        <w:rPr>
          <w:spacing w:val="-6"/>
        </w:rPr>
        <w:t xml:space="preserve"> </w:t>
      </w:r>
      <w:r>
        <w:t>that</w:t>
      </w:r>
      <w:r>
        <w:rPr>
          <w:spacing w:val="-9"/>
        </w:rPr>
        <w:t xml:space="preserve"> </w:t>
      </w:r>
      <w:r>
        <w:t>there</w:t>
      </w:r>
      <w:r>
        <w:rPr>
          <w:spacing w:val="-8"/>
        </w:rPr>
        <w:t xml:space="preserve"> </w:t>
      </w:r>
      <w:r>
        <w:t>continue</w:t>
      </w:r>
      <w:r>
        <w:rPr>
          <w:spacing w:val="-8"/>
        </w:rPr>
        <w:t xml:space="preserve"> </w:t>
      </w:r>
      <w:r>
        <w:t>to</w:t>
      </w:r>
      <w:r>
        <w:rPr>
          <w:spacing w:val="-5"/>
        </w:rPr>
        <w:t xml:space="preserve"> </w:t>
      </w:r>
      <w:r>
        <w:t>be</w:t>
      </w:r>
      <w:r>
        <w:rPr>
          <w:spacing w:val="-8"/>
        </w:rPr>
        <w:t xml:space="preserve"> </w:t>
      </w:r>
      <w:r>
        <w:t>gaps</w:t>
      </w:r>
      <w:r>
        <w:rPr>
          <w:spacing w:val="-6"/>
        </w:rPr>
        <w:t xml:space="preserve"> </w:t>
      </w:r>
      <w:r>
        <w:t>in</w:t>
      </w:r>
      <w:r>
        <w:rPr>
          <w:spacing w:val="-7"/>
        </w:rPr>
        <w:t xml:space="preserve"> </w:t>
      </w:r>
      <w:r>
        <w:t>service</w:t>
      </w:r>
      <w:r>
        <w:rPr>
          <w:spacing w:val="-8"/>
        </w:rPr>
        <w:t xml:space="preserve"> </w:t>
      </w:r>
      <w:r>
        <w:t>provision that</w:t>
      </w:r>
      <w:r>
        <w:rPr>
          <w:spacing w:val="-7"/>
        </w:rPr>
        <w:t xml:space="preserve"> </w:t>
      </w:r>
      <w:r>
        <w:t>appear</w:t>
      </w:r>
      <w:r>
        <w:rPr>
          <w:spacing w:val="-8"/>
        </w:rPr>
        <w:t xml:space="preserve"> </w:t>
      </w:r>
      <w:r>
        <w:t>to</w:t>
      </w:r>
      <w:r>
        <w:rPr>
          <w:spacing w:val="-6"/>
        </w:rPr>
        <w:t xml:space="preserve"> </w:t>
      </w:r>
      <w:r>
        <w:t>be</w:t>
      </w:r>
      <w:r>
        <w:rPr>
          <w:spacing w:val="-7"/>
        </w:rPr>
        <w:t xml:space="preserve"> </w:t>
      </w:r>
      <w:r>
        <w:t>disproportionately</w:t>
      </w:r>
      <w:r>
        <w:rPr>
          <w:spacing w:val="-7"/>
        </w:rPr>
        <w:t xml:space="preserve"> </w:t>
      </w:r>
      <w:r>
        <w:t>affecting</w:t>
      </w:r>
      <w:r>
        <w:rPr>
          <w:spacing w:val="-8"/>
        </w:rPr>
        <w:t xml:space="preserve"> </w:t>
      </w:r>
      <w:r>
        <w:t>LGBTQ</w:t>
      </w:r>
      <w:r>
        <w:rPr>
          <w:spacing w:val="-9"/>
        </w:rPr>
        <w:t xml:space="preserve"> </w:t>
      </w:r>
      <w:r>
        <w:t>and</w:t>
      </w:r>
      <w:r>
        <w:rPr>
          <w:spacing w:val="-8"/>
        </w:rPr>
        <w:t xml:space="preserve"> </w:t>
      </w:r>
      <w:r>
        <w:t>BIPOC</w:t>
      </w:r>
      <w:r>
        <w:rPr>
          <w:spacing w:val="-9"/>
        </w:rPr>
        <w:t xml:space="preserve"> </w:t>
      </w:r>
      <w:r>
        <w:t>youth.</w:t>
      </w:r>
      <w:r>
        <w:rPr>
          <w:spacing w:val="-8"/>
        </w:rPr>
        <w:t xml:space="preserve"> </w:t>
      </w:r>
      <w:r>
        <w:t>The</w:t>
      </w:r>
      <w:r>
        <w:rPr>
          <w:spacing w:val="-7"/>
        </w:rPr>
        <w:t xml:space="preserve"> </w:t>
      </w:r>
      <w:r>
        <w:t>Commission</w:t>
      </w:r>
      <w:r>
        <w:rPr>
          <w:spacing w:val="-8"/>
        </w:rPr>
        <w:t xml:space="preserve"> </w:t>
      </w:r>
      <w:r>
        <w:t>looks</w:t>
      </w:r>
      <w:r>
        <w:rPr>
          <w:spacing w:val="-7"/>
        </w:rPr>
        <w:t xml:space="preserve"> </w:t>
      </w:r>
      <w:r>
        <w:t>forward</w:t>
      </w:r>
      <w:r>
        <w:rPr>
          <w:spacing w:val="-8"/>
        </w:rPr>
        <w:t xml:space="preserve"> </w:t>
      </w:r>
      <w:r>
        <w:t>to continuing to work with DYS and other youth-serving agencies in FY 2024 to better understand where these gaps are occurring.</w:t>
      </w:r>
    </w:p>
    <w:p w:rsidR="00200FDA" w:rsidRDefault="00200FDA">
      <w:pPr>
        <w:spacing w:line="264"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Heading9"/>
        <w:numPr>
          <w:ilvl w:val="0"/>
          <w:numId w:val="7"/>
        </w:numPr>
        <w:tabs>
          <w:tab w:val="left" w:pos="501"/>
        </w:tabs>
        <w:spacing w:before="56" w:line="264" w:lineRule="auto"/>
        <w:ind w:right="273" w:firstLine="0"/>
      </w:pPr>
      <w:r>
        <w:t>Collaborate</w:t>
      </w:r>
      <w:r>
        <w:rPr>
          <w:spacing w:val="-5"/>
        </w:rPr>
        <w:t xml:space="preserve"> </w:t>
      </w:r>
      <w:r>
        <w:t>with</w:t>
      </w:r>
      <w:r>
        <w:rPr>
          <w:spacing w:val="-5"/>
        </w:rPr>
        <w:t xml:space="preserve"> </w:t>
      </w:r>
      <w:r>
        <w:t>the</w:t>
      </w:r>
      <w:r>
        <w:rPr>
          <w:spacing w:val="-5"/>
        </w:rPr>
        <w:t xml:space="preserve"> </w:t>
      </w:r>
      <w:r>
        <w:t>Commission</w:t>
      </w:r>
      <w:r>
        <w:rPr>
          <w:spacing w:val="-5"/>
        </w:rPr>
        <w:t xml:space="preserve"> </w:t>
      </w:r>
      <w:r>
        <w:t>to</w:t>
      </w:r>
      <w:r>
        <w:rPr>
          <w:spacing w:val="-5"/>
        </w:rPr>
        <w:t xml:space="preserve"> </w:t>
      </w:r>
      <w:r>
        <w:t>establish</w:t>
      </w:r>
      <w:r>
        <w:rPr>
          <w:spacing w:val="-5"/>
        </w:rPr>
        <w:t xml:space="preserve"> </w:t>
      </w:r>
      <w:r>
        <w:t>an</w:t>
      </w:r>
      <w:r>
        <w:rPr>
          <w:spacing w:val="-5"/>
        </w:rPr>
        <w:t xml:space="preserve"> </w:t>
      </w:r>
      <w:r>
        <w:t>LGBTQ</w:t>
      </w:r>
      <w:r>
        <w:rPr>
          <w:spacing w:val="-5"/>
        </w:rPr>
        <w:t xml:space="preserve"> </w:t>
      </w:r>
      <w:r>
        <w:t>parent</w:t>
      </w:r>
      <w:r>
        <w:rPr>
          <w:spacing w:val="-4"/>
        </w:rPr>
        <w:t xml:space="preserve"> </w:t>
      </w:r>
      <w:r>
        <w:t>education</w:t>
      </w:r>
      <w:r>
        <w:rPr>
          <w:spacing w:val="-5"/>
        </w:rPr>
        <w:t xml:space="preserve"> </w:t>
      </w:r>
      <w:r>
        <w:t>curriculum</w:t>
      </w:r>
      <w:r>
        <w:rPr>
          <w:spacing w:val="-6"/>
        </w:rPr>
        <w:t xml:space="preserve"> </w:t>
      </w:r>
      <w:r>
        <w:t>within</w:t>
      </w:r>
      <w:r>
        <w:rPr>
          <w:spacing w:val="-5"/>
        </w:rPr>
        <w:t xml:space="preserve"> </w:t>
      </w:r>
      <w:r>
        <w:t>juvenile diversion progr</w:t>
      </w:r>
      <w:r>
        <w:t>ams.</w:t>
      </w:r>
    </w:p>
    <w:p w:rsidR="00200FDA" w:rsidRDefault="00200FDA">
      <w:pPr>
        <w:pStyle w:val="BodyText"/>
        <w:spacing w:before="7"/>
        <w:rPr>
          <w:b/>
          <w:sz w:val="19"/>
        </w:rPr>
      </w:pPr>
    </w:p>
    <w:p w:rsidR="00200FDA" w:rsidRDefault="00F76C4C">
      <w:pPr>
        <w:pStyle w:val="BodyText"/>
        <w:spacing w:before="1" w:line="264" w:lineRule="auto"/>
        <w:ind w:left="280" w:right="274"/>
        <w:jc w:val="both"/>
      </w:pPr>
      <w:r>
        <w:t>Part</w:t>
      </w:r>
      <w:r>
        <w:rPr>
          <w:spacing w:val="-8"/>
        </w:rPr>
        <w:t xml:space="preserve"> </w:t>
      </w:r>
      <w:r>
        <w:t>of</w:t>
      </w:r>
      <w:r>
        <w:rPr>
          <w:spacing w:val="-6"/>
        </w:rPr>
        <w:t xml:space="preserve"> </w:t>
      </w:r>
      <w:r>
        <w:t>the</w:t>
      </w:r>
      <w:r>
        <w:rPr>
          <w:spacing w:val="-7"/>
        </w:rPr>
        <w:t xml:space="preserve"> </w:t>
      </w:r>
      <w:r>
        <w:t>work</w:t>
      </w:r>
      <w:r>
        <w:rPr>
          <w:spacing w:val="-8"/>
        </w:rPr>
        <w:t xml:space="preserve"> </w:t>
      </w:r>
      <w:r>
        <w:t>of</w:t>
      </w:r>
      <w:r>
        <w:rPr>
          <w:spacing w:val="-6"/>
        </w:rPr>
        <w:t xml:space="preserve"> </w:t>
      </w:r>
      <w:r>
        <w:t>DYS</w:t>
      </w:r>
      <w:r>
        <w:rPr>
          <w:spacing w:val="-6"/>
        </w:rPr>
        <w:t xml:space="preserve"> </w:t>
      </w:r>
      <w:r>
        <w:t>is</w:t>
      </w:r>
      <w:r>
        <w:rPr>
          <w:spacing w:val="-6"/>
        </w:rPr>
        <w:t xml:space="preserve"> </w:t>
      </w:r>
      <w:r>
        <w:t>to</w:t>
      </w:r>
      <w:r>
        <w:rPr>
          <w:spacing w:val="-4"/>
        </w:rPr>
        <w:t xml:space="preserve"> </w:t>
      </w:r>
      <w:r>
        <w:t>support</w:t>
      </w:r>
      <w:r>
        <w:rPr>
          <w:spacing w:val="-8"/>
        </w:rPr>
        <w:t xml:space="preserve"> </w:t>
      </w:r>
      <w:r>
        <w:t>juvenile</w:t>
      </w:r>
      <w:r>
        <w:rPr>
          <w:spacing w:val="-8"/>
        </w:rPr>
        <w:t xml:space="preserve"> </w:t>
      </w:r>
      <w:r>
        <w:t>diversion,</w:t>
      </w:r>
      <w:r>
        <w:rPr>
          <w:spacing w:val="-6"/>
        </w:rPr>
        <w:t xml:space="preserve"> </w:t>
      </w:r>
      <w:r>
        <w:t>and</w:t>
      </w:r>
      <w:r>
        <w:rPr>
          <w:spacing w:val="-6"/>
        </w:rPr>
        <w:t xml:space="preserve"> </w:t>
      </w:r>
      <w:r>
        <w:t>in</w:t>
      </w:r>
      <w:r>
        <w:rPr>
          <w:spacing w:val="-6"/>
        </w:rPr>
        <w:t xml:space="preserve"> </w:t>
      </w:r>
      <w:r>
        <w:t>2021,</w:t>
      </w:r>
      <w:r>
        <w:rPr>
          <w:spacing w:val="-8"/>
        </w:rPr>
        <w:t xml:space="preserve"> </w:t>
      </w:r>
      <w:r>
        <w:t>DYS</w:t>
      </w:r>
      <w:r>
        <w:rPr>
          <w:spacing w:val="-6"/>
        </w:rPr>
        <w:t xml:space="preserve"> </w:t>
      </w:r>
      <w:r>
        <w:t>and</w:t>
      </w:r>
      <w:r>
        <w:rPr>
          <w:spacing w:val="-6"/>
        </w:rPr>
        <w:t xml:space="preserve"> </w:t>
      </w:r>
      <w:r>
        <w:t>the</w:t>
      </w:r>
      <w:r>
        <w:rPr>
          <w:spacing w:val="-7"/>
        </w:rPr>
        <w:t xml:space="preserve"> </w:t>
      </w:r>
      <w:r>
        <w:t>OCA</w:t>
      </w:r>
      <w:r>
        <w:rPr>
          <w:spacing w:val="-6"/>
        </w:rPr>
        <w:t xml:space="preserve"> </w:t>
      </w:r>
      <w:r>
        <w:t>launched</w:t>
      </w:r>
      <w:r>
        <w:rPr>
          <w:spacing w:val="-6"/>
        </w:rPr>
        <w:t xml:space="preserve"> </w:t>
      </w:r>
      <w:r>
        <w:t>the</w:t>
      </w:r>
      <w:r>
        <w:rPr>
          <w:spacing w:val="-7"/>
        </w:rPr>
        <w:t xml:space="preserve"> </w:t>
      </w:r>
      <w:r>
        <w:t>Youth Diversion Initiative which works to support positive and equitable youth development. Within these diversion</w:t>
      </w:r>
      <w:r>
        <w:rPr>
          <w:spacing w:val="-6"/>
        </w:rPr>
        <w:t xml:space="preserve"> </w:t>
      </w:r>
      <w:r>
        <w:t>programs,</w:t>
      </w:r>
      <w:r>
        <w:rPr>
          <w:spacing w:val="-6"/>
        </w:rPr>
        <w:t xml:space="preserve"> </w:t>
      </w:r>
      <w:r>
        <w:t>DYS</w:t>
      </w:r>
      <w:r>
        <w:rPr>
          <w:spacing w:val="-6"/>
        </w:rPr>
        <w:t xml:space="preserve"> </w:t>
      </w:r>
      <w:r>
        <w:t>partners</w:t>
      </w:r>
      <w:r>
        <w:rPr>
          <w:spacing w:val="-5"/>
        </w:rPr>
        <w:t xml:space="preserve"> </w:t>
      </w:r>
      <w:r>
        <w:t>with</w:t>
      </w:r>
      <w:r>
        <w:rPr>
          <w:spacing w:val="-6"/>
        </w:rPr>
        <w:t xml:space="preserve"> </w:t>
      </w:r>
      <w:r>
        <w:t>referred</w:t>
      </w:r>
      <w:r>
        <w:rPr>
          <w:spacing w:val="-9"/>
        </w:rPr>
        <w:t xml:space="preserve"> </w:t>
      </w:r>
      <w:r>
        <w:t>youth</w:t>
      </w:r>
      <w:r>
        <w:rPr>
          <w:spacing w:val="-6"/>
        </w:rPr>
        <w:t xml:space="preserve"> </w:t>
      </w:r>
      <w:r>
        <w:t>and</w:t>
      </w:r>
      <w:r>
        <w:rPr>
          <w:spacing w:val="-6"/>
        </w:rPr>
        <w:t xml:space="preserve"> </w:t>
      </w:r>
      <w:r>
        <w:t>their</w:t>
      </w:r>
      <w:r>
        <w:rPr>
          <w:spacing w:val="-6"/>
        </w:rPr>
        <w:t xml:space="preserve"> </w:t>
      </w:r>
      <w:r>
        <w:t>families</w:t>
      </w:r>
      <w:r>
        <w:rPr>
          <w:spacing w:val="-8"/>
        </w:rPr>
        <w:t xml:space="preserve"> </w:t>
      </w:r>
      <w:r>
        <w:t>to</w:t>
      </w:r>
      <w:r>
        <w:rPr>
          <w:spacing w:val="-4"/>
        </w:rPr>
        <w:t xml:space="preserve"> </w:t>
      </w:r>
      <w:r>
        <w:t>reduce</w:t>
      </w:r>
      <w:r>
        <w:rPr>
          <w:spacing w:val="-7"/>
        </w:rPr>
        <w:t xml:space="preserve"> </w:t>
      </w:r>
      <w:r>
        <w:t>the</w:t>
      </w:r>
      <w:r>
        <w:rPr>
          <w:spacing w:val="-5"/>
        </w:rPr>
        <w:t xml:space="preserve"> </w:t>
      </w:r>
      <w:r>
        <w:t>likelihood</w:t>
      </w:r>
      <w:r>
        <w:rPr>
          <w:spacing w:val="-9"/>
        </w:rPr>
        <w:t xml:space="preserve"> </w:t>
      </w:r>
      <w:r>
        <w:t>of</w:t>
      </w:r>
      <w:r>
        <w:rPr>
          <w:spacing w:val="-6"/>
        </w:rPr>
        <w:t xml:space="preserve"> </w:t>
      </w:r>
      <w:r>
        <w:t>future contact with the juvenile justice system. However, in cases where families fail to support the youth’s sexual orientation and/or gender identity, this may lead to further strife and incre</w:t>
      </w:r>
      <w:r>
        <w:t>ase the likelihood of some youths continued interaction with the juvenile justice system. In FY 2024, DYS and the OCA should partner with the Commission to discuss providing a parent education curriculum that works to uplift, educate, and support parents w</w:t>
      </w:r>
      <w:r>
        <w:t>ith LGBTQ youth.</w:t>
      </w:r>
    </w:p>
    <w:p w:rsidR="00200FDA" w:rsidRDefault="00200FDA">
      <w:pPr>
        <w:pStyle w:val="BodyText"/>
      </w:pPr>
    </w:p>
    <w:p w:rsidR="00200FDA" w:rsidRDefault="00200FDA">
      <w:pPr>
        <w:pStyle w:val="BodyText"/>
      </w:pPr>
    </w:p>
    <w:p w:rsidR="00200FDA" w:rsidRDefault="00200FDA">
      <w:pPr>
        <w:pStyle w:val="BodyText"/>
        <w:spacing w:before="6"/>
        <w:rPr>
          <w:sz w:val="19"/>
        </w:rPr>
      </w:pPr>
    </w:p>
    <w:p w:rsidR="00200FDA" w:rsidRDefault="00F76C4C">
      <w:pPr>
        <w:spacing w:before="1"/>
        <w:ind w:left="280"/>
        <w:jc w:val="both"/>
        <w:rPr>
          <w:i/>
        </w:rPr>
      </w:pPr>
      <w:r>
        <w:rPr>
          <w:i/>
        </w:rPr>
        <w:t>Acknowledgments:</w:t>
      </w:r>
      <w:r>
        <w:rPr>
          <w:i/>
          <w:spacing w:val="-6"/>
        </w:rPr>
        <w:t xml:space="preserve"> </w:t>
      </w:r>
      <w:r>
        <w:rPr>
          <w:i/>
        </w:rPr>
        <w:t>The</w:t>
      </w:r>
      <w:r>
        <w:rPr>
          <w:i/>
          <w:spacing w:val="-6"/>
        </w:rPr>
        <w:t xml:space="preserve"> </w:t>
      </w:r>
      <w:r>
        <w:rPr>
          <w:i/>
        </w:rPr>
        <w:t>Commission</w:t>
      </w:r>
      <w:r>
        <w:rPr>
          <w:i/>
          <w:spacing w:val="-6"/>
        </w:rPr>
        <w:t xml:space="preserve"> </w:t>
      </w:r>
      <w:r>
        <w:rPr>
          <w:i/>
        </w:rPr>
        <w:t>appreciates</w:t>
      </w:r>
      <w:r>
        <w:rPr>
          <w:i/>
          <w:spacing w:val="-4"/>
        </w:rPr>
        <w:t xml:space="preserve"> </w:t>
      </w:r>
      <w:r>
        <w:rPr>
          <w:i/>
        </w:rPr>
        <w:t>the</w:t>
      </w:r>
      <w:r>
        <w:rPr>
          <w:i/>
          <w:spacing w:val="-5"/>
        </w:rPr>
        <w:t xml:space="preserve"> </w:t>
      </w:r>
      <w:r>
        <w:rPr>
          <w:i/>
        </w:rPr>
        <w:t>contributions</w:t>
      </w:r>
      <w:r>
        <w:rPr>
          <w:i/>
          <w:spacing w:val="-4"/>
        </w:rPr>
        <w:t xml:space="preserve"> </w:t>
      </w:r>
      <w:r>
        <w:rPr>
          <w:i/>
        </w:rPr>
        <w:t>of</w:t>
      </w:r>
      <w:r>
        <w:rPr>
          <w:i/>
          <w:spacing w:val="-5"/>
        </w:rPr>
        <w:t xml:space="preserve"> </w:t>
      </w:r>
      <w:r>
        <w:rPr>
          <w:i/>
        </w:rPr>
        <w:t>its</w:t>
      </w:r>
      <w:r>
        <w:rPr>
          <w:i/>
          <w:spacing w:val="-7"/>
        </w:rPr>
        <w:t xml:space="preserve"> </w:t>
      </w:r>
      <w:r>
        <w:rPr>
          <w:i/>
        </w:rPr>
        <w:t>DYS</w:t>
      </w:r>
      <w:r>
        <w:rPr>
          <w:i/>
          <w:spacing w:val="-4"/>
        </w:rPr>
        <w:t xml:space="preserve"> </w:t>
      </w:r>
      <w:r>
        <w:rPr>
          <w:i/>
        </w:rPr>
        <w:t>staff</w:t>
      </w:r>
      <w:r>
        <w:rPr>
          <w:i/>
          <w:spacing w:val="-5"/>
        </w:rPr>
        <w:t xml:space="preserve"> </w:t>
      </w:r>
      <w:r>
        <w:rPr>
          <w:i/>
          <w:spacing w:val="-2"/>
        </w:rPr>
        <w:t>liaisons.</w:t>
      </w:r>
    </w:p>
    <w:p w:rsidR="00200FDA" w:rsidRDefault="00200FDA">
      <w:pPr>
        <w:jc w:val="both"/>
        <w:sectPr w:rsidR="00200FDA">
          <w:pgSz w:w="12240" w:h="15840"/>
          <w:pgMar w:top="1260" w:right="1160" w:bottom="1240" w:left="1160" w:header="761" w:footer="1043" w:gutter="0"/>
          <w:cols w:space="720"/>
        </w:sectPr>
      </w:pPr>
    </w:p>
    <w:p w:rsidR="00200FDA" w:rsidRDefault="00200FDA">
      <w:pPr>
        <w:pStyle w:val="BodyText"/>
        <w:spacing w:before="10"/>
        <w:rPr>
          <w:i/>
          <w:sz w:val="10"/>
        </w:rPr>
      </w:pPr>
    </w:p>
    <w:p w:rsidR="00200FDA" w:rsidRDefault="00F76C4C">
      <w:pPr>
        <w:spacing w:before="35"/>
        <w:ind w:left="280"/>
        <w:rPr>
          <w:b/>
          <w:sz w:val="32"/>
        </w:rPr>
      </w:pPr>
      <w:r>
        <w:pict>
          <v:rect id="docshape608" o:spid="_x0000_s1050" style="position:absolute;left:0;text-align:left;margin-left:70.55pt;margin-top:22.25pt;width:470.9pt;height:.5pt;z-index:-15602176;mso-wrap-distance-left:0;mso-wrap-distance-right:0;mso-position-horizontal-relative:page" fillcolor="#4f81bc" stroked="f">
            <w10:wrap type="topAndBottom" anchorx="page"/>
          </v:rect>
        </w:pict>
      </w:r>
      <w:bookmarkStart w:id="1160" w:name="FY24_EOPSS_Recommendations_-_Final.pdf"/>
      <w:bookmarkStart w:id="1161" w:name="Additional_State_Entities"/>
      <w:bookmarkStart w:id="1162" w:name="_bookmark906"/>
      <w:bookmarkEnd w:id="1160"/>
      <w:bookmarkEnd w:id="1161"/>
      <w:bookmarkEnd w:id="1162"/>
      <w:r>
        <w:rPr>
          <w:b/>
          <w:color w:val="365F91"/>
          <w:sz w:val="32"/>
        </w:rPr>
        <w:t>Additional</w:t>
      </w:r>
      <w:r>
        <w:rPr>
          <w:b/>
          <w:color w:val="365F91"/>
          <w:spacing w:val="-13"/>
          <w:sz w:val="32"/>
        </w:rPr>
        <w:t xml:space="preserve"> </w:t>
      </w:r>
      <w:r>
        <w:rPr>
          <w:b/>
          <w:color w:val="365F91"/>
          <w:sz w:val="32"/>
        </w:rPr>
        <w:t>State</w:t>
      </w:r>
      <w:r>
        <w:rPr>
          <w:b/>
          <w:color w:val="365F91"/>
          <w:spacing w:val="-14"/>
          <w:sz w:val="32"/>
        </w:rPr>
        <w:t xml:space="preserve"> </w:t>
      </w:r>
      <w:r>
        <w:rPr>
          <w:b/>
          <w:color w:val="365F91"/>
          <w:spacing w:val="-2"/>
          <w:sz w:val="32"/>
        </w:rPr>
        <w:t>Entities</w:t>
      </w:r>
    </w:p>
    <w:p w:rsidR="00200FDA" w:rsidRDefault="00200FDA">
      <w:pPr>
        <w:pStyle w:val="BodyText"/>
        <w:spacing w:before="2"/>
        <w:rPr>
          <w:b/>
          <w:sz w:val="29"/>
        </w:rPr>
      </w:pPr>
    </w:p>
    <w:p w:rsidR="00200FDA" w:rsidRDefault="00F76C4C">
      <w:pPr>
        <w:spacing w:before="35"/>
        <w:ind w:left="280"/>
        <w:rPr>
          <w:sz w:val="32"/>
        </w:rPr>
      </w:pPr>
      <w:r>
        <w:pict>
          <v:rect id="docshape609" o:spid="_x0000_s1049" style="position:absolute;left:0;text-align:left;margin-left:70.55pt;margin-top:22.25pt;width:470.9pt;height:.5pt;z-index:-15601664;mso-wrap-distance-left:0;mso-wrap-distance-right:0;mso-position-horizontal-relative:page" fillcolor="#4f81bc" stroked="f">
            <w10:wrap type="topAndBottom" anchorx="page"/>
          </v:rect>
        </w:pict>
      </w:r>
      <w:bookmarkStart w:id="1163" w:name="Executive_Office_of_Public_Safety_and_Se"/>
      <w:bookmarkEnd w:id="1163"/>
      <w:r>
        <w:rPr>
          <w:color w:val="365F91"/>
          <w:sz w:val="32"/>
        </w:rPr>
        <w:t>Executive</w:t>
      </w:r>
      <w:r>
        <w:rPr>
          <w:color w:val="365F91"/>
          <w:spacing w:val="-9"/>
          <w:sz w:val="32"/>
        </w:rPr>
        <w:t xml:space="preserve"> </w:t>
      </w:r>
      <w:r>
        <w:rPr>
          <w:color w:val="365F91"/>
          <w:sz w:val="32"/>
        </w:rPr>
        <w:t>Office</w:t>
      </w:r>
      <w:r>
        <w:rPr>
          <w:color w:val="365F91"/>
          <w:spacing w:val="-8"/>
          <w:sz w:val="32"/>
        </w:rPr>
        <w:t xml:space="preserve"> </w:t>
      </w:r>
      <w:r>
        <w:rPr>
          <w:color w:val="365F91"/>
          <w:sz w:val="32"/>
        </w:rPr>
        <w:t>of</w:t>
      </w:r>
      <w:r>
        <w:rPr>
          <w:color w:val="365F91"/>
          <w:spacing w:val="-4"/>
          <w:sz w:val="32"/>
        </w:rPr>
        <w:t xml:space="preserve"> </w:t>
      </w:r>
      <w:r>
        <w:rPr>
          <w:color w:val="365F91"/>
          <w:sz w:val="32"/>
        </w:rPr>
        <w:t>Public</w:t>
      </w:r>
      <w:r>
        <w:rPr>
          <w:color w:val="365F91"/>
          <w:spacing w:val="-8"/>
          <w:sz w:val="32"/>
        </w:rPr>
        <w:t xml:space="preserve"> </w:t>
      </w:r>
      <w:r>
        <w:rPr>
          <w:color w:val="365F91"/>
          <w:sz w:val="32"/>
        </w:rPr>
        <w:t>Safety</w:t>
      </w:r>
      <w:r>
        <w:rPr>
          <w:color w:val="365F91"/>
          <w:spacing w:val="-8"/>
          <w:sz w:val="32"/>
        </w:rPr>
        <w:t xml:space="preserve"> </w:t>
      </w:r>
      <w:r>
        <w:rPr>
          <w:color w:val="365F91"/>
          <w:sz w:val="32"/>
        </w:rPr>
        <w:t>and</w:t>
      </w:r>
      <w:r>
        <w:rPr>
          <w:color w:val="365F91"/>
          <w:spacing w:val="-8"/>
          <w:sz w:val="32"/>
        </w:rPr>
        <w:t xml:space="preserve"> </w:t>
      </w:r>
      <w:r>
        <w:rPr>
          <w:color w:val="365F91"/>
          <w:spacing w:val="-2"/>
          <w:sz w:val="32"/>
        </w:rPr>
        <w:t>Security</w:t>
      </w:r>
    </w:p>
    <w:p w:rsidR="00200FDA" w:rsidRDefault="00200FDA">
      <w:pPr>
        <w:pStyle w:val="BodyText"/>
        <w:rPr>
          <w:sz w:val="20"/>
        </w:rPr>
      </w:pPr>
    </w:p>
    <w:p w:rsidR="00200FDA" w:rsidRDefault="00200FDA">
      <w:pPr>
        <w:pStyle w:val="BodyText"/>
        <w:rPr>
          <w:sz w:val="20"/>
        </w:rPr>
      </w:pPr>
    </w:p>
    <w:p w:rsidR="00200FDA" w:rsidRDefault="00F76C4C">
      <w:pPr>
        <w:pStyle w:val="Heading7"/>
        <w:spacing w:before="207"/>
      </w:pPr>
      <w:r>
        <w:pict>
          <v:rect id="docshape610" o:spid="_x0000_s1048" style="position:absolute;left:0;text-align:left;margin-left:70.55pt;margin-top:28.5pt;width:470.9pt;height:.5pt;z-index:-15601152;mso-wrap-distance-left:0;mso-wrap-distance-right:0;mso-position-horizontal-relative:page" fillcolor="#4f81bc" stroked="f">
            <w10:wrap type="topAndBottom" anchorx="page"/>
          </v:rect>
        </w:pict>
      </w:r>
      <w:r>
        <w:rPr>
          <w:color w:val="365F91"/>
        </w:rPr>
        <w:t>FY</w:t>
      </w:r>
      <w:r>
        <w:rPr>
          <w:color w:val="365F91"/>
          <w:spacing w:val="-3"/>
        </w:rPr>
        <w:t xml:space="preserve"> </w:t>
      </w:r>
      <w:r>
        <w:rPr>
          <w:color w:val="365F91"/>
        </w:rPr>
        <w:t>2024</w:t>
      </w:r>
      <w:r>
        <w:rPr>
          <w:color w:val="365F91"/>
          <w:spacing w:val="-3"/>
        </w:rPr>
        <w:t xml:space="preserve"> </w:t>
      </w:r>
      <w:r>
        <w:rPr>
          <w:color w:val="365F91"/>
          <w:spacing w:val="-2"/>
        </w:rPr>
        <w:t>Recommendations</w:t>
      </w:r>
    </w:p>
    <w:p w:rsidR="00200FDA" w:rsidRDefault="00200FDA">
      <w:pPr>
        <w:pStyle w:val="BodyText"/>
        <w:rPr>
          <w:sz w:val="20"/>
        </w:rPr>
      </w:pPr>
    </w:p>
    <w:p w:rsidR="00200FDA" w:rsidRDefault="00F76C4C">
      <w:pPr>
        <w:pStyle w:val="ListParagraph"/>
        <w:numPr>
          <w:ilvl w:val="1"/>
          <w:numId w:val="7"/>
        </w:numPr>
        <w:tabs>
          <w:tab w:val="left" w:pos="1001"/>
        </w:tabs>
        <w:spacing w:before="187" w:line="264" w:lineRule="auto"/>
        <w:ind w:right="275"/>
        <w:jc w:val="both"/>
      </w:pPr>
      <w:r>
        <w:t>Convene an interagency committee to discuss the needs of LGBTQ young people encountering EOPSS agencies, and explore options for improving data collection, training, and policies.</w:t>
      </w:r>
    </w:p>
    <w:p w:rsidR="00200FDA" w:rsidRDefault="00F76C4C">
      <w:pPr>
        <w:pStyle w:val="ListParagraph"/>
        <w:numPr>
          <w:ilvl w:val="1"/>
          <w:numId w:val="7"/>
        </w:numPr>
        <w:tabs>
          <w:tab w:val="left" w:pos="1001"/>
        </w:tabs>
        <w:spacing w:before="119" w:line="264" w:lineRule="auto"/>
        <w:ind w:right="276"/>
        <w:jc w:val="both"/>
      </w:pPr>
      <w:r>
        <w:t>Connect the Commission with direct liaisons for the Municipal Police Trainin</w:t>
      </w:r>
      <w:r>
        <w:t>g Committee, Massachusetts</w:t>
      </w:r>
      <w:r>
        <w:rPr>
          <w:spacing w:val="-5"/>
        </w:rPr>
        <w:t xml:space="preserve"> </w:t>
      </w:r>
      <w:r>
        <w:t>State</w:t>
      </w:r>
      <w:r>
        <w:rPr>
          <w:spacing w:val="-7"/>
        </w:rPr>
        <w:t xml:space="preserve"> </w:t>
      </w:r>
      <w:r>
        <w:t>Police,</w:t>
      </w:r>
      <w:r>
        <w:rPr>
          <w:spacing w:val="-5"/>
        </w:rPr>
        <w:t xml:space="preserve"> </w:t>
      </w:r>
      <w:r>
        <w:t>Department</w:t>
      </w:r>
      <w:r>
        <w:rPr>
          <w:spacing w:val="-5"/>
        </w:rPr>
        <w:t xml:space="preserve"> </w:t>
      </w:r>
      <w:r>
        <w:t>of</w:t>
      </w:r>
      <w:r>
        <w:rPr>
          <w:spacing w:val="-6"/>
        </w:rPr>
        <w:t xml:space="preserve"> </w:t>
      </w:r>
      <w:r>
        <w:t>Correction,</w:t>
      </w:r>
      <w:r>
        <w:rPr>
          <w:spacing w:val="-5"/>
        </w:rPr>
        <w:t xml:space="preserve"> </w:t>
      </w:r>
      <w:r>
        <w:t>Office</w:t>
      </w:r>
      <w:r>
        <w:rPr>
          <w:spacing w:val="-7"/>
        </w:rPr>
        <w:t xml:space="preserve"> </w:t>
      </w:r>
      <w:r>
        <w:t>of</w:t>
      </w:r>
      <w:r>
        <w:rPr>
          <w:spacing w:val="-6"/>
        </w:rPr>
        <w:t xml:space="preserve"> </w:t>
      </w:r>
      <w:r>
        <w:t>the</w:t>
      </w:r>
      <w:r>
        <w:rPr>
          <w:spacing w:val="-5"/>
        </w:rPr>
        <w:t xml:space="preserve"> </w:t>
      </w:r>
      <w:r>
        <w:t>Chief</w:t>
      </w:r>
      <w:r>
        <w:rPr>
          <w:spacing w:val="-6"/>
        </w:rPr>
        <w:t xml:space="preserve"> </w:t>
      </w:r>
      <w:r>
        <w:t>Medical</w:t>
      </w:r>
      <w:r>
        <w:rPr>
          <w:spacing w:val="-6"/>
        </w:rPr>
        <w:t xml:space="preserve"> </w:t>
      </w:r>
      <w:r>
        <w:t>Examiner,</w:t>
      </w:r>
      <w:r>
        <w:rPr>
          <w:spacing w:val="-5"/>
        </w:rPr>
        <w:t xml:space="preserve"> </w:t>
      </w:r>
      <w:r>
        <w:t>and Office of Grants and Research.</w:t>
      </w:r>
    </w:p>
    <w:p w:rsidR="00200FDA" w:rsidRDefault="00F76C4C">
      <w:pPr>
        <w:pStyle w:val="ListParagraph"/>
        <w:numPr>
          <w:ilvl w:val="1"/>
          <w:numId w:val="7"/>
        </w:numPr>
        <w:tabs>
          <w:tab w:val="left" w:pos="1001"/>
        </w:tabs>
        <w:spacing w:before="120"/>
        <w:jc w:val="both"/>
      </w:pPr>
      <w:r>
        <w:t>Provide</w:t>
      </w:r>
      <w:r>
        <w:rPr>
          <w:spacing w:val="-8"/>
        </w:rPr>
        <w:t xml:space="preserve"> </w:t>
      </w:r>
      <w:r>
        <w:t>LGBTQ</w:t>
      </w:r>
      <w:r>
        <w:rPr>
          <w:spacing w:val="-5"/>
        </w:rPr>
        <w:t xml:space="preserve"> </w:t>
      </w:r>
      <w:r>
        <w:t>cultural</w:t>
      </w:r>
      <w:r>
        <w:rPr>
          <w:spacing w:val="-6"/>
        </w:rPr>
        <w:t xml:space="preserve"> </w:t>
      </w:r>
      <w:r>
        <w:t>awareness</w:t>
      </w:r>
      <w:r>
        <w:rPr>
          <w:spacing w:val="-6"/>
        </w:rPr>
        <w:t xml:space="preserve"> </w:t>
      </w:r>
      <w:r>
        <w:t>trainings</w:t>
      </w:r>
      <w:r>
        <w:rPr>
          <w:spacing w:val="-4"/>
        </w:rPr>
        <w:t xml:space="preserve"> </w:t>
      </w:r>
      <w:r>
        <w:t>to</w:t>
      </w:r>
      <w:r>
        <w:rPr>
          <w:spacing w:val="-3"/>
        </w:rPr>
        <w:t xml:space="preserve"> </w:t>
      </w:r>
      <w:r>
        <w:t>all</w:t>
      </w:r>
      <w:r>
        <w:rPr>
          <w:spacing w:val="-4"/>
        </w:rPr>
        <w:t xml:space="preserve"> </w:t>
      </w:r>
      <w:r>
        <w:t>EOPSS</w:t>
      </w:r>
      <w:r>
        <w:rPr>
          <w:spacing w:val="-5"/>
        </w:rPr>
        <w:t xml:space="preserve"> </w:t>
      </w:r>
      <w:r>
        <w:t>agency</w:t>
      </w:r>
      <w:r>
        <w:rPr>
          <w:spacing w:val="-3"/>
        </w:rPr>
        <w:t xml:space="preserve"> </w:t>
      </w:r>
      <w:r>
        <w:t>staff</w:t>
      </w:r>
      <w:r>
        <w:rPr>
          <w:spacing w:val="-4"/>
        </w:rPr>
        <w:t xml:space="preserve"> </w:t>
      </w:r>
      <w:r>
        <w:t>and</w:t>
      </w:r>
      <w:r>
        <w:rPr>
          <w:spacing w:val="-5"/>
        </w:rPr>
        <w:t xml:space="preserve"> </w:t>
      </w:r>
      <w:r>
        <w:rPr>
          <w:spacing w:val="-2"/>
        </w:rPr>
        <w:t>providers.</w:t>
      </w:r>
    </w:p>
    <w:p w:rsidR="00200FDA" w:rsidRDefault="00200FDA">
      <w:pPr>
        <w:pStyle w:val="BodyText"/>
      </w:pPr>
    </w:p>
    <w:p w:rsidR="00200FDA" w:rsidRDefault="00F76C4C">
      <w:pPr>
        <w:pStyle w:val="Heading7"/>
        <w:spacing w:before="159"/>
      </w:pPr>
      <w:r>
        <w:pict>
          <v:rect id="docshape611" o:spid="_x0000_s1047" style="position:absolute;left:0;text-align:left;margin-left:70.55pt;margin-top:25.95pt;width:470.9pt;height:.5pt;z-index:-15600640;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20"/>
        </w:rPr>
      </w:pPr>
    </w:p>
    <w:p w:rsidR="00200FDA" w:rsidRDefault="00200FDA">
      <w:pPr>
        <w:pStyle w:val="BodyText"/>
        <w:spacing w:before="6"/>
      </w:pPr>
    </w:p>
    <w:p w:rsidR="00200FDA" w:rsidRDefault="00F76C4C">
      <w:pPr>
        <w:pStyle w:val="BodyText"/>
        <w:spacing w:before="56" w:line="264" w:lineRule="auto"/>
        <w:ind w:left="280" w:right="270"/>
        <w:jc w:val="both"/>
      </w:pPr>
      <w:r>
        <w:t>The Executive O</w:t>
      </w:r>
      <w:r>
        <w:t>ffice of Public Safety and Security (EOPSS) provides oversight and development for agencies, boards, and commissions in the areas of criminal justice, law enforcement, homeland security, and emergency preparedness and response. These agencies include the M</w:t>
      </w:r>
      <w:r>
        <w:t>assachusetts State Police, Sex Offender Registry Board, Department of Correction (DOC), and the Municipal Police Training Committee (MPTC). The Commission began issuing recommendations to EOPSS in FY 2018 in order to address the needs of LGBTQ youth, parti</w:t>
      </w:r>
      <w:r>
        <w:t>cularly QTBIPOC youth, who are impacted by these agencies.</w:t>
      </w:r>
    </w:p>
    <w:p w:rsidR="00200FDA" w:rsidRDefault="00200FDA">
      <w:pPr>
        <w:pStyle w:val="BodyText"/>
        <w:spacing w:before="9"/>
        <w:rPr>
          <w:sz w:val="19"/>
        </w:rPr>
      </w:pPr>
    </w:p>
    <w:p w:rsidR="00200FDA" w:rsidRDefault="00F76C4C">
      <w:pPr>
        <w:pStyle w:val="BodyText"/>
        <w:spacing w:before="1" w:line="264" w:lineRule="auto"/>
        <w:ind w:left="280" w:right="273"/>
        <w:jc w:val="both"/>
      </w:pPr>
      <w:r>
        <w:t>As</w:t>
      </w:r>
      <w:r>
        <w:rPr>
          <w:spacing w:val="-11"/>
        </w:rPr>
        <w:t xml:space="preserve"> </w:t>
      </w:r>
      <w:r>
        <w:t>discussed</w:t>
      </w:r>
      <w:r>
        <w:rPr>
          <w:spacing w:val="-12"/>
        </w:rPr>
        <w:t xml:space="preserve"> </w:t>
      </w:r>
      <w:r>
        <w:t>throughout</w:t>
      </w:r>
      <w:r>
        <w:rPr>
          <w:spacing w:val="-11"/>
        </w:rPr>
        <w:t xml:space="preserve"> </w:t>
      </w:r>
      <w:r>
        <w:t>this</w:t>
      </w:r>
      <w:r>
        <w:rPr>
          <w:spacing w:val="-11"/>
        </w:rPr>
        <w:t xml:space="preserve"> </w:t>
      </w:r>
      <w:r>
        <w:t>annual</w:t>
      </w:r>
      <w:r>
        <w:rPr>
          <w:spacing w:val="-12"/>
        </w:rPr>
        <w:t xml:space="preserve"> </w:t>
      </w:r>
      <w:r>
        <w:t>report,</w:t>
      </w:r>
      <w:r>
        <w:rPr>
          <w:spacing w:val="-11"/>
        </w:rPr>
        <w:t xml:space="preserve"> </w:t>
      </w:r>
      <w:r>
        <w:t>there</w:t>
      </w:r>
      <w:r>
        <w:rPr>
          <w:spacing w:val="-11"/>
        </w:rPr>
        <w:t xml:space="preserve"> </w:t>
      </w:r>
      <w:r>
        <w:t>are</w:t>
      </w:r>
      <w:r>
        <w:rPr>
          <w:spacing w:val="-11"/>
        </w:rPr>
        <w:t xml:space="preserve"> </w:t>
      </w:r>
      <w:r>
        <w:t>numerous</w:t>
      </w:r>
      <w:r>
        <w:rPr>
          <w:spacing w:val="-11"/>
        </w:rPr>
        <w:t xml:space="preserve"> </w:t>
      </w:r>
      <w:r>
        <w:t>factors</w:t>
      </w:r>
      <w:r>
        <w:rPr>
          <w:spacing w:val="-11"/>
        </w:rPr>
        <w:t xml:space="preserve"> </w:t>
      </w:r>
      <w:r>
        <w:t>that</w:t>
      </w:r>
      <w:r>
        <w:rPr>
          <w:spacing w:val="-11"/>
        </w:rPr>
        <w:t xml:space="preserve"> </w:t>
      </w:r>
      <w:r>
        <w:t>impact</w:t>
      </w:r>
      <w:r>
        <w:rPr>
          <w:spacing w:val="-11"/>
        </w:rPr>
        <w:t xml:space="preserve"> </w:t>
      </w:r>
      <w:r>
        <w:t>LGBTQ</w:t>
      </w:r>
      <w:r>
        <w:rPr>
          <w:spacing w:val="-11"/>
        </w:rPr>
        <w:t xml:space="preserve"> </w:t>
      </w:r>
      <w:r>
        <w:t>youth</w:t>
      </w:r>
      <w:r>
        <w:rPr>
          <w:spacing w:val="-12"/>
        </w:rPr>
        <w:t xml:space="preserve"> </w:t>
      </w:r>
      <w:r>
        <w:t>to</w:t>
      </w:r>
      <w:r>
        <w:rPr>
          <w:spacing w:val="-13"/>
        </w:rPr>
        <w:t xml:space="preserve"> </w:t>
      </w:r>
      <w:r>
        <w:t>make them more likely to come into contact with the public safety and criminal legal systems, such as homelessness, financial insecurity, family rejection, and poor school climates. While Massachusetts has accomplished</w:t>
      </w:r>
      <w:r>
        <w:rPr>
          <w:spacing w:val="-2"/>
        </w:rPr>
        <w:t xml:space="preserve"> </w:t>
      </w:r>
      <w:r>
        <w:t>much</w:t>
      </w:r>
      <w:r>
        <w:rPr>
          <w:spacing w:val="-2"/>
        </w:rPr>
        <w:t xml:space="preserve"> </w:t>
      </w:r>
      <w:r>
        <w:t>in improving</w:t>
      </w:r>
      <w:r>
        <w:rPr>
          <w:spacing w:val="-2"/>
        </w:rPr>
        <w:t xml:space="preserve"> </w:t>
      </w:r>
      <w:r>
        <w:t>the experiences</w:t>
      </w:r>
      <w:r>
        <w:rPr>
          <w:spacing w:val="-1"/>
        </w:rPr>
        <w:t xml:space="preserve"> </w:t>
      </w:r>
      <w:r>
        <w:t>of</w:t>
      </w:r>
      <w:r>
        <w:rPr>
          <w:spacing w:val="-1"/>
        </w:rPr>
        <w:t xml:space="preserve"> </w:t>
      </w:r>
      <w:r>
        <w:t>youth in</w:t>
      </w:r>
      <w:r>
        <w:rPr>
          <w:spacing w:val="-2"/>
        </w:rPr>
        <w:t xml:space="preserve"> </w:t>
      </w:r>
      <w:r>
        <w:t>the juvenile justice system overseen</w:t>
      </w:r>
      <w:r>
        <w:rPr>
          <w:spacing w:val="-1"/>
        </w:rPr>
        <w:t xml:space="preserve"> </w:t>
      </w:r>
      <w:r>
        <w:t>by the Department</w:t>
      </w:r>
      <w:r>
        <w:rPr>
          <w:spacing w:val="-4"/>
        </w:rPr>
        <w:t xml:space="preserve"> </w:t>
      </w:r>
      <w:r>
        <w:t>of</w:t>
      </w:r>
      <w:r>
        <w:rPr>
          <w:spacing w:val="-4"/>
        </w:rPr>
        <w:t xml:space="preserve"> </w:t>
      </w:r>
      <w:r>
        <w:t>Youth</w:t>
      </w:r>
      <w:r>
        <w:rPr>
          <w:spacing w:val="-3"/>
        </w:rPr>
        <w:t xml:space="preserve"> </w:t>
      </w:r>
      <w:r>
        <w:t>Services</w:t>
      </w:r>
      <w:r>
        <w:rPr>
          <w:spacing w:val="-2"/>
        </w:rPr>
        <w:t xml:space="preserve"> </w:t>
      </w:r>
      <w:r>
        <w:t>under</w:t>
      </w:r>
      <w:r>
        <w:rPr>
          <w:spacing w:val="-4"/>
        </w:rPr>
        <w:t xml:space="preserve"> </w:t>
      </w:r>
      <w:r>
        <w:t>the</w:t>
      </w:r>
      <w:r>
        <w:rPr>
          <w:spacing w:val="-4"/>
        </w:rPr>
        <w:t xml:space="preserve"> </w:t>
      </w:r>
      <w:r>
        <w:t>Executive</w:t>
      </w:r>
      <w:r>
        <w:rPr>
          <w:spacing w:val="-4"/>
        </w:rPr>
        <w:t xml:space="preserve"> </w:t>
      </w:r>
      <w:r>
        <w:t>Office</w:t>
      </w:r>
      <w:r>
        <w:rPr>
          <w:spacing w:val="-4"/>
        </w:rPr>
        <w:t xml:space="preserve"> </w:t>
      </w:r>
      <w:r>
        <w:t>of</w:t>
      </w:r>
      <w:r>
        <w:rPr>
          <w:spacing w:val="-4"/>
        </w:rPr>
        <w:t xml:space="preserve"> </w:t>
      </w:r>
      <w:r>
        <w:t>Health</w:t>
      </w:r>
      <w:r>
        <w:rPr>
          <w:spacing w:val="-5"/>
        </w:rPr>
        <w:t xml:space="preserve"> </w:t>
      </w:r>
      <w:r>
        <w:t>and</w:t>
      </w:r>
      <w:r>
        <w:rPr>
          <w:spacing w:val="-3"/>
        </w:rPr>
        <w:t xml:space="preserve"> </w:t>
      </w:r>
      <w:r>
        <w:t>Human</w:t>
      </w:r>
      <w:r>
        <w:rPr>
          <w:spacing w:val="-3"/>
        </w:rPr>
        <w:t xml:space="preserve"> </w:t>
      </w:r>
      <w:r>
        <w:t>Services,</w:t>
      </w:r>
      <w:r>
        <w:rPr>
          <w:spacing w:val="-4"/>
        </w:rPr>
        <w:t xml:space="preserve"> </w:t>
      </w:r>
      <w:r>
        <w:t>the</w:t>
      </w:r>
      <w:r>
        <w:rPr>
          <w:spacing w:val="-4"/>
        </w:rPr>
        <w:t xml:space="preserve"> </w:t>
      </w:r>
      <w:r>
        <w:t>Commission is concerned and unclear about the specific efforts being taken by EOPSS to improve the experiences of</w:t>
      </w:r>
      <w:r>
        <w:t xml:space="preserve"> LGBTQ individuals in the adult legal system, and also those interacting with the public safety system.</w:t>
      </w:r>
    </w:p>
    <w:p w:rsidR="00200FDA" w:rsidRDefault="00200FDA">
      <w:pPr>
        <w:pStyle w:val="BodyText"/>
        <w:spacing w:before="11"/>
        <w:rPr>
          <w:sz w:val="32"/>
        </w:rPr>
      </w:pPr>
    </w:p>
    <w:p w:rsidR="00200FDA" w:rsidRDefault="00F76C4C">
      <w:pPr>
        <w:pStyle w:val="Heading7"/>
        <w:jc w:val="both"/>
      </w:pPr>
      <w:r>
        <w:pict>
          <v:rect id="docshape612" o:spid="_x0000_s1046" style="position:absolute;left:0;text-align:left;margin-left:70.55pt;margin-top:18pt;width:470.9pt;height:.5pt;z-index:-15600128;mso-wrap-distance-left:0;mso-wrap-distance-right:0;mso-position-horizontal-relative:page" fillcolor="#4f81bc" stroked="f">
            <w10:wrap type="topAndBottom" anchorx="page"/>
          </v:rect>
        </w:pict>
      </w:r>
      <w:bookmarkStart w:id="1164" w:name="FY_2024_Expanded_EOPSS_Recommendations"/>
      <w:bookmarkEnd w:id="1164"/>
      <w:r>
        <w:rPr>
          <w:color w:val="365F91"/>
        </w:rPr>
        <w:t>FY</w:t>
      </w:r>
      <w:r>
        <w:rPr>
          <w:color w:val="365F91"/>
          <w:spacing w:val="-5"/>
        </w:rPr>
        <w:t xml:space="preserve"> </w:t>
      </w:r>
      <w:r>
        <w:rPr>
          <w:color w:val="365F91"/>
        </w:rPr>
        <w:t>2024</w:t>
      </w:r>
      <w:r>
        <w:rPr>
          <w:color w:val="365F91"/>
          <w:spacing w:val="-5"/>
        </w:rPr>
        <w:t xml:space="preserve"> </w:t>
      </w:r>
      <w:r>
        <w:rPr>
          <w:color w:val="365F91"/>
        </w:rPr>
        <w:t>Expanded</w:t>
      </w:r>
      <w:r>
        <w:rPr>
          <w:color w:val="365F91"/>
          <w:spacing w:val="-3"/>
        </w:rPr>
        <w:t xml:space="preserve"> </w:t>
      </w:r>
      <w:r>
        <w:rPr>
          <w:color w:val="365F91"/>
        </w:rPr>
        <w:t>EOPSS</w:t>
      </w:r>
      <w:r>
        <w:rPr>
          <w:color w:val="365F91"/>
          <w:spacing w:val="-4"/>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2"/>
        <w:rPr>
          <w:sz w:val="19"/>
        </w:rPr>
      </w:pPr>
    </w:p>
    <w:p w:rsidR="00200FDA" w:rsidRDefault="00F76C4C">
      <w:pPr>
        <w:pStyle w:val="Heading9"/>
        <w:numPr>
          <w:ilvl w:val="0"/>
          <w:numId w:val="6"/>
        </w:numPr>
        <w:tabs>
          <w:tab w:val="left" w:pos="497"/>
        </w:tabs>
        <w:spacing w:before="56" w:line="264" w:lineRule="auto"/>
        <w:ind w:right="270" w:firstLine="0"/>
      </w:pPr>
      <w:r>
        <w:t>Convene</w:t>
      </w:r>
      <w:r>
        <w:rPr>
          <w:spacing w:val="-10"/>
        </w:rPr>
        <w:t xml:space="preserve"> </w:t>
      </w:r>
      <w:r>
        <w:t>an</w:t>
      </w:r>
      <w:r>
        <w:rPr>
          <w:spacing w:val="-10"/>
        </w:rPr>
        <w:t xml:space="preserve"> </w:t>
      </w:r>
      <w:r>
        <w:t>interagency</w:t>
      </w:r>
      <w:r>
        <w:rPr>
          <w:spacing w:val="-10"/>
        </w:rPr>
        <w:t xml:space="preserve"> </w:t>
      </w:r>
      <w:r>
        <w:t>committee</w:t>
      </w:r>
      <w:r>
        <w:rPr>
          <w:spacing w:val="-10"/>
        </w:rPr>
        <w:t xml:space="preserve"> </w:t>
      </w:r>
      <w:r>
        <w:t>to</w:t>
      </w:r>
      <w:r>
        <w:rPr>
          <w:spacing w:val="-10"/>
        </w:rPr>
        <w:t xml:space="preserve"> </w:t>
      </w:r>
      <w:r>
        <w:t>discuss</w:t>
      </w:r>
      <w:r>
        <w:rPr>
          <w:spacing w:val="-8"/>
        </w:rPr>
        <w:t xml:space="preserve"> </w:t>
      </w:r>
      <w:r>
        <w:t>the</w:t>
      </w:r>
      <w:r>
        <w:rPr>
          <w:spacing w:val="-10"/>
        </w:rPr>
        <w:t xml:space="preserve"> </w:t>
      </w:r>
      <w:r>
        <w:t>needs</w:t>
      </w:r>
      <w:r>
        <w:rPr>
          <w:spacing w:val="-8"/>
        </w:rPr>
        <w:t xml:space="preserve"> </w:t>
      </w:r>
      <w:r>
        <w:t>of</w:t>
      </w:r>
      <w:r>
        <w:rPr>
          <w:spacing w:val="-9"/>
        </w:rPr>
        <w:t xml:space="preserve"> </w:t>
      </w:r>
      <w:r>
        <w:t>LGBTQ</w:t>
      </w:r>
      <w:r>
        <w:rPr>
          <w:spacing w:val="-9"/>
        </w:rPr>
        <w:t xml:space="preserve"> </w:t>
      </w:r>
      <w:r>
        <w:t>young</w:t>
      </w:r>
      <w:r>
        <w:rPr>
          <w:spacing w:val="-8"/>
        </w:rPr>
        <w:t xml:space="preserve"> </w:t>
      </w:r>
      <w:r>
        <w:t>people</w:t>
      </w:r>
      <w:r>
        <w:rPr>
          <w:spacing w:val="-10"/>
        </w:rPr>
        <w:t xml:space="preserve"> </w:t>
      </w:r>
      <w:r>
        <w:t>encountering</w:t>
      </w:r>
      <w:r>
        <w:rPr>
          <w:spacing w:val="-8"/>
        </w:rPr>
        <w:t xml:space="preserve"> </w:t>
      </w:r>
      <w:r>
        <w:t>EOPSS agencies, and explore options for improving data collection, training, and policies.</w:t>
      </w:r>
    </w:p>
    <w:p w:rsidR="00200FDA" w:rsidRDefault="00200FDA">
      <w:pPr>
        <w:pStyle w:val="BodyText"/>
        <w:spacing w:before="8"/>
        <w:rPr>
          <w:b/>
          <w:sz w:val="19"/>
        </w:rPr>
      </w:pPr>
    </w:p>
    <w:p w:rsidR="00200FDA" w:rsidRDefault="00F76C4C">
      <w:pPr>
        <w:pStyle w:val="BodyText"/>
        <w:spacing w:line="264" w:lineRule="auto"/>
        <w:ind w:left="280" w:right="139"/>
      </w:pPr>
      <w:r>
        <w:t>The Commission continues to recommend that EOPSS explore the creation of an interagency committee model</w:t>
      </w:r>
      <w:r>
        <w:rPr>
          <w:spacing w:val="51"/>
        </w:rPr>
        <w:t xml:space="preserve"> </w:t>
      </w:r>
      <w:r>
        <w:t>to</w:t>
      </w:r>
      <w:r>
        <w:rPr>
          <w:spacing w:val="55"/>
        </w:rPr>
        <w:t xml:space="preserve"> </w:t>
      </w:r>
      <w:r>
        <w:t>better</w:t>
      </w:r>
      <w:r>
        <w:rPr>
          <w:spacing w:val="53"/>
        </w:rPr>
        <w:t xml:space="preserve"> </w:t>
      </w:r>
      <w:r>
        <w:t>support</w:t>
      </w:r>
      <w:r>
        <w:rPr>
          <w:spacing w:val="54"/>
        </w:rPr>
        <w:t xml:space="preserve"> </w:t>
      </w:r>
      <w:r>
        <w:t>and</w:t>
      </w:r>
      <w:r>
        <w:rPr>
          <w:spacing w:val="56"/>
        </w:rPr>
        <w:t xml:space="preserve"> </w:t>
      </w:r>
      <w:r>
        <w:t>coordinate</w:t>
      </w:r>
      <w:r>
        <w:rPr>
          <w:spacing w:val="54"/>
        </w:rPr>
        <w:t xml:space="preserve"> </w:t>
      </w:r>
      <w:r>
        <w:t>its</w:t>
      </w:r>
      <w:r>
        <w:rPr>
          <w:spacing w:val="54"/>
        </w:rPr>
        <w:t xml:space="preserve"> </w:t>
      </w:r>
      <w:r>
        <w:t>efforts</w:t>
      </w:r>
      <w:r>
        <w:rPr>
          <w:spacing w:val="53"/>
        </w:rPr>
        <w:t xml:space="preserve"> </w:t>
      </w:r>
      <w:r>
        <w:t>to</w:t>
      </w:r>
      <w:r>
        <w:rPr>
          <w:spacing w:val="58"/>
        </w:rPr>
        <w:t xml:space="preserve"> </w:t>
      </w:r>
      <w:r>
        <w:t>be</w:t>
      </w:r>
      <w:r>
        <w:rPr>
          <w:spacing w:val="54"/>
        </w:rPr>
        <w:t xml:space="preserve"> </w:t>
      </w:r>
      <w:r>
        <w:t>more</w:t>
      </w:r>
      <w:r>
        <w:rPr>
          <w:spacing w:val="55"/>
        </w:rPr>
        <w:t xml:space="preserve"> </w:t>
      </w:r>
      <w:r>
        <w:t>incl</w:t>
      </w:r>
      <w:r>
        <w:t>usive</w:t>
      </w:r>
      <w:r>
        <w:rPr>
          <w:spacing w:val="55"/>
        </w:rPr>
        <w:t xml:space="preserve"> </w:t>
      </w:r>
      <w:r>
        <w:t>and</w:t>
      </w:r>
      <w:r>
        <w:rPr>
          <w:spacing w:val="55"/>
        </w:rPr>
        <w:t xml:space="preserve"> </w:t>
      </w:r>
      <w:r>
        <w:t>affirming</w:t>
      </w:r>
      <w:r>
        <w:rPr>
          <w:spacing w:val="51"/>
        </w:rPr>
        <w:t xml:space="preserve"> </w:t>
      </w:r>
      <w:r>
        <w:t>of</w:t>
      </w:r>
      <w:r>
        <w:rPr>
          <w:spacing w:val="54"/>
        </w:rPr>
        <w:t xml:space="preserve"> </w:t>
      </w:r>
      <w:r>
        <w:rPr>
          <w:spacing w:val="-2"/>
        </w:rPr>
        <w:t>LGBTQ</w:t>
      </w:r>
    </w:p>
    <w:p w:rsidR="00200FDA" w:rsidRDefault="00200FDA">
      <w:pPr>
        <w:spacing w:line="264" w:lineRule="auto"/>
        <w:sectPr w:rsidR="00200FDA">
          <w:headerReference w:type="default" r:id="rId855"/>
          <w:footerReference w:type="default" r:id="rId856"/>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64" w:lineRule="auto"/>
        <w:ind w:left="280" w:right="273"/>
        <w:jc w:val="both"/>
      </w:pPr>
      <w:r>
        <w:t>communities, particularly given that topics like data collection and nondiscrimination policies may not function well in isolation within the larger EOPSS system. The Commission further recommends that EOPSS</w:t>
      </w:r>
      <w:r>
        <w:rPr>
          <w:spacing w:val="-1"/>
        </w:rPr>
        <w:t xml:space="preserve"> </w:t>
      </w:r>
      <w:r>
        <w:t>continue</w:t>
      </w:r>
      <w:r>
        <w:rPr>
          <w:spacing w:val="-3"/>
        </w:rPr>
        <w:t xml:space="preserve"> </w:t>
      </w:r>
      <w:r>
        <w:t>to</w:t>
      </w:r>
      <w:r>
        <w:rPr>
          <w:spacing w:val="-2"/>
        </w:rPr>
        <w:t xml:space="preserve"> </w:t>
      </w:r>
      <w:r>
        <w:t>explore</w:t>
      </w:r>
      <w:r>
        <w:rPr>
          <w:spacing w:val="-3"/>
        </w:rPr>
        <w:t xml:space="preserve"> </w:t>
      </w:r>
      <w:r>
        <w:t>areas</w:t>
      </w:r>
      <w:r>
        <w:rPr>
          <w:spacing w:val="-1"/>
        </w:rPr>
        <w:t xml:space="preserve"> </w:t>
      </w:r>
      <w:r>
        <w:t>in</w:t>
      </w:r>
      <w:r>
        <w:rPr>
          <w:spacing w:val="-2"/>
        </w:rPr>
        <w:t xml:space="preserve"> </w:t>
      </w:r>
      <w:r>
        <w:t>which</w:t>
      </w:r>
      <w:r>
        <w:rPr>
          <w:spacing w:val="-4"/>
        </w:rPr>
        <w:t xml:space="preserve"> </w:t>
      </w:r>
      <w:r>
        <w:t>its</w:t>
      </w:r>
      <w:r>
        <w:rPr>
          <w:spacing w:val="-1"/>
        </w:rPr>
        <w:t xml:space="preserve"> </w:t>
      </w:r>
      <w:r>
        <w:t>agencies</w:t>
      </w:r>
      <w:r>
        <w:rPr>
          <w:spacing w:val="-3"/>
        </w:rPr>
        <w:t xml:space="preserve"> </w:t>
      </w:r>
      <w:r>
        <w:t>can</w:t>
      </w:r>
      <w:r>
        <w:rPr>
          <w:spacing w:val="-2"/>
        </w:rPr>
        <w:t xml:space="preserve"> </w:t>
      </w:r>
      <w:r>
        <w:t>expand</w:t>
      </w:r>
      <w:r>
        <w:rPr>
          <w:spacing w:val="-2"/>
        </w:rPr>
        <w:t xml:space="preserve"> </w:t>
      </w:r>
      <w:r>
        <w:t>the</w:t>
      </w:r>
      <w:r>
        <w:rPr>
          <w:spacing w:val="-3"/>
        </w:rPr>
        <w:t xml:space="preserve"> </w:t>
      </w:r>
      <w:r>
        <w:t>collection</w:t>
      </w:r>
      <w:r>
        <w:rPr>
          <w:spacing w:val="-2"/>
        </w:rPr>
        <w:t xml:space="preserve"> </w:t>
      </w:r>
      <w:r>
        <w:t>and</w:t>
      </w:r>
      <w:r>
        <w:rPr>
          <w:spacing w:val="-2"/>
        </w:rPr>
        <w:t xml:space="preserve"> </w:t>
      </w:r>
      <w:r>
        <w:t>reporting</w:t>
      </w:r>
      <w:r>
        <w:rPr>
          <w:spacing w:val="-4"/>
        </w:rPr>
        <w:t xml:space="preserve"> </w:t>
      </w:r>
      <w:r>
        <w:t>of</w:t>
      </w:r>
      <w:r>
        <w:rPr>
          <w:spacing w:val="-1"/>
        </w:rPr>
        <w:t xml:space="preserve"> </w:t>
      </w:r>
      <w:r>
        <w:t>data</w:t>
      </w:r>
      <w:r>
        <w:rPr>
          <w:spacing w:val="-3"/>
        </w:rPr>
        <w:t xml:space="preserve"> </w:t>
      </w:r>
      <w:r>
        <w:t>on sexual orientation and gender identity (SOGI) to address disparities facing LGBTQ youth across the multiple systems overseen by EOPSS.</w:t>
      </w:r>
    </w:p>
    <w:p w:rsidR="00200FDA" w:rsidRDefault="00200FDA">
      <w:pPr>
        <w:pStyle w:val="BodyText"/>
        <w:spacing w:before="7"/>
        <w:rPr>
          <w:sz w:val="19"/>
        </w:rPr>
      </w:pPr>
    </w:p>
    <w:p w:rsidR="00200FDA" w:rsidRDefault="00F76C4C">
      <w:pPr>
        <w:pStyle w:val="Heading9"/>
        <w:numPr>
          <w:ilvl w:val="0"/>
          <w:numId w:val="6"/>
        </w:numPr>
        <w:tabs>
          <w:tab w:val="left" w:pos="580"/>
        </w:tabs>
        <w:spacing w:line="264" w:lineRule="auto"/>
        <w:ind w:left="279" w:right="271" w:firstLine="0"/>
        <w:jc w:val="both"/>
      </w:pPr>
      <w:r>
        <w:t>Connect the Commission with direct liaisons for the Municipal Police Training Committee, Massachusetts</w:t>
      </w:r>
      <w:r>
        <w:rPr>
          <w:spacing w:val="-7"/>
        </w:rPr>
        <w:t xml:space="preserve"> </w:t>
      </w:r>
      <w:r>
        <w:t>State</w:t>
      </w:r>
      <w:r>
        <w:rPr>
          <w:spacing w:val="-11"/>
        </w:rPr>
        <w:t xml:space="preserve"> </w:t>
      </w:r>
      <w:r>
        <w:t>Police,</w:t>
      </w:r>
      <w:r>
        <w:rPr>
          <w:spacing w:val="-7"/>
        </w:rPr>
        <w:t xml:space="preserve"> </w:t>
      </w:r>
      <w:r>
        <w:t>Department</w:t>
      </w:r>
      <w:r>
        <w:rPr>
          <w:spacing w:val="-7"/>
        </w:rPr>
        <w:t xml:space="preserve"> </w:t>
      </w:r>
      <w:r>
        <w:t>of</w:t>
      </w:r>
      <w:r>
        <w:rPr>
          <w:spacing w:val="-10"/>
        </w:rPr>
        <w:t xml:space="preserve"> </w:t>
      </w:r>
      <w:r>
        <w:t>Correction,</w:t>
      </w:r>
      <w:r>
        <w:rPr>
          <w:spacing w:val="-7"/>
        </w:rPr>
        <w:t xml:space="preserve"> </w:t>
      </w:r>
      <w:r>
        <w:t>Office</w:t>
      </w:r>
      <w:r>
        <w:rPr>
          <w:spacing w:val="-11"/>
        </w:rPr>
        <w:t xml:space="preserve"> </w:t>
      </w:r>
      <w:r>
        <w:t>of</w:t>
      </w:r>
      <w:r>
        <w:rPr>
          <w:spacing w:val="-8"/>
        </w:rPr>
        <w:t xml:space="preserve"> </w:t>
      </w:r>
      <w:r>
        <w:t>the</w:t>
      </w:r>
      <w:r>
        <w:rPr>
          <w:spacing w:val="-11"/>
        </w:rPr>
        <w:t xml:space="preserve"> </w:t>
      </w:r>
      <w:r>
        <w:t>Chief</w:t>
      </w:r>
      <w:r>
        <w:rPr>
          <w:spacing w:val="-10"/>
        </w:rPr>
        <w:t xml:space="preserve"> </w:t>
      </w:r>
      <w:r>
        <w:t>Medical</w:t>
      </w:r>
      <w:r>
        <w:rPr>
          <w:spacing w:val="-9"/>
        </w:rPr>
        <w:t xml:space="preserve"> </w:t>
      </w:r>
      <w:r>
        <w:t>Examiner,</w:t>
      </w:r>
      <w:r>
        <w:rPr>
          <w:spacing w:val="-9"/>
        </w:rPr>
        <w:t xml:space="preserve"> </w:t>
      </w:r>
      <w:r>
        <w:t>and</w:t>
      </w:r>
      <w:r>
        <w:rPr>
          <w:spacing w:val="-8"/>
        </w:rPr>
        <w:t xml:space="preserve"> </w:t>
      </w:r>
      <w:r>
        <w:t>Office of Grants and Research.</w:t>
      </w:r>
    </w:p>
    <w:p w:rsidR="00200FDA" w:rsidRDefault="00200FDA">
      <w:pPr>
        <w:pStyle w:val="BodyText"/>
        <w:spacing w:before="10"/>
        <w:rPr>
          <w:b/>
          <w:sz w:val="19"/>
        </w:rPr>
      </w:pPr>
    </w:p>
    <w:p w:rsidR="00200FDA" w:rsidRDefault="00F76C4C">
      <w:pPr>
        <w:pStyle w:val="BodyText"/>
        <w:spacing w:line="264" w:lineRule="auto"/>
        <w:ind w:left="279" w:right="270"/>
        <w:jc w:val="both"/>
      </w:pPr>
      <w:r>
        <w:t>The</w:t>
      </w:r>
      <w:r>
        <w:rPr>
          <w:spacing w:val="-7"/>
        </w:rPr>
        <w:t xml:space="preserve"> </w:t>
      </w:r>
      <w:r>
        <w:t>Commission</w:t>
      </w:r>
      <w:r>
        <w:rPr>
          <w:spacing w:val="-8"/>
        </w:rPr>
        <w:t xml:space="preserve"> </w:t>
      </w:r>
      <w:r>
        <w:t>hopes</w:t>
      </w:r>
      <w:r>
        <w:rPr>
          <w:spacing w:val="-7"/>
        </w:rPr>
        <w:t xml:space="preserve"> </w:t>
      </w:r>
      <w:r>
        <w:t>to</w:t>
      </w:r>
      <w:r>
        <w:rPr>
          <w:spacing w:val="-6"/>
        </w:rPr>
        <w:t xml:space="preserve"> </w:t>
      </w:r>
      <w:r>
        <w:t>build</w:t>
      </w:r>
      <w:r>
        <w:rPr>
          <w:spacing w:val="-8"/>
        </w:rPr>
        <w:t xml:space="preserve"> </w:t>
      </w:r>
      <w:r>
        <w:t>more</w:t>
      </w:r>
      <w:r>
        <w:rPr>
          <w:spacing w:val="-7"/>
        </w:rPr>
        <w:t xml:space="preserve"> </w:t>
      </w:r>
      <w:r>
        <w:t>dire</w:t>
      </w:r>
      <w:r>
        <w:t>ct</w:t>
      </w:r>
      <w:r>
        <w:rPr>
          <w:spacing w:val="-7"/>
        </w:rPr>
        <w:t xml:space="preserve"> </w:t>
      </w:r>
      <w:r>
        <w:t>relationships</w:t>
      </w:r>
      <w:r>
        <w:rPr>
          <w:spacing w:val="-7"/>
        </w:rPr>
        <w:t xml:space="preserve"> </w:t>
      </w:r>
      <w:r>
        <w:t>with</w:t>
      </w:r>
      <w:r>
        <w:rPr>
          <w:spacing w:val="-8"/>
        </w:rPr>
        <w:t xml:space="preserve"> </w:t>
      </w:r>
      <w:r>
        <w:t>EOPSS</w:t>
      </w:r>
      <w:r>
        <w:rPr>
          <w:spacing w:val="-8"/>
        </w:rPr>
        <w:t xml:space="preserve"> </w:t>
      </w:r>
      <w:r>
        <w:t>agencies</w:t>
      </w:r>
      <w:r>
        <w:rPr>
          <w:spacing w:val="-7"/>
        </w:rPr>
        <w:t xml:space="preserve"> </w:t>
      </w:r>
      <w:r>
        <w:t>in</w:t>
      </w:r>
      <w:r>
        <w:rPr>
          <w:spacing w:val="-8"/>
        </w:rPr>
        <w:t xml:space="preserve"> </w:t>
      </w:r>
      <w:r>
        <w:t>the</w:t>
      </w:r>
      <w:r>
        <w:rPr>
          <w:spacing w:val="-7"/>
        </w:rPr>
        <w:t xml:space="preserve"> </w:t>
      </w:r>
      <w:r>
        <w:t>upcoming</w:t>
      </w:r>
      <w:r>
        <w:rPr>
          <w:spacing w:val="-8"/>
        </w:rPr>
        <w:t xml:space="preserve"> </w:t>
      </w:r>
      <w:r>
        <w:t>fiscal</w:t>
      </w:r>
      <w:r>
        <w:rPr>
          <w:spacing w:val="-9"/>
        </w:rPr>
        <w:t xml:space="preserve"> </w:t>
      </w:r>
      <w:r>
        <w:t xml:space="preserve">year to better understand the cross-agency efforts to be more culturally aware and inclusive of LGBTQ communities. The Commission asks EOPSS to facilitate connections with direct liaisons for the </w:t>
      </w:r>
      <w:r>
        <w:t>Municipal Police Training Committee, Massachusetts State Police, Department of Correction, Office of the Chief Medical Examiner, and Office of Grants and Research in early FY 2024.</w:t>
      </w:r>
    </w:p>
    <w:p w:rsidR="00200FDA" w:rsidRDefault="00200FDA">
      <w:pPr>
        <w:pStyle w:val="BodyText"/>
      </w:pPr>
    </w:p>
    <w:p w:rsidR="00200FDA" w:rsidRDefault="00200FDA">
      <w:pPr>
        <w:pStyle w:val="BodyText"/>
        <w:spacing w:before="9"/>
        <w:rPr>
          <w:sz w:val="21"/>
        </w:rPr>
      </w:pPr>
    </w:p>
    <w:p w:rsidR="00200FDA" w:rsidRDefault="00F76C4C">
      <w:pPr>
        <w:pStyle w:val="Heading9"/>
        <w:numPr>
          <w:ilvl w:val="0"/>
          <w:numId w:val="6"/>
        </w:numPr>
        <w:tabs>
          <w:tab w:val="left" w:pos="500"/>
        </w:tabs>
        <w:ind w:left="499" w:hanging="221"/>
        <w:jc w:val="both"/>
      </w:pPr>
      <w:r>
        <w:t>Provide</w:t>
      </w:r>
      <w:r>
        <w:rPr>
          <w:spacing w:val="-6"/>
        </w:rPr>
        <w:t xml:space="preserve"> </w:t>
      </w:r>
      <w:r>
        <w:t>LGBTQ</w:t>
      </w:r>
      <w:r>
        <w:rPr>
          <w:spacing w:val="-6"/>
        </w:rPr>
        <w:t xml:space="preserve"> </w:t>
      </w:r>
      <w:r>
        <w:t>cultural</w:t>
      </w:r>
      <w:r>
        <w:rPr>
          <w:spacing w:val="-5"/>
        </w:rPr>
        <w:t xml:space="preserve"> </w:t>
      </w:r>
      <w:r>
        <w:t>awareness</w:t>
      </w:r>
      <w:r>
        <w:rPr>
          <w:spacing w:val="-3"/>
        </w:rPr>
        <w:t xml:space="preserve"> </w:t>
      </w:r>
      <w:r>
        <w:t>trainings</w:t>
      </w:r>
      <w:r>
        <w:rPr>
          <w:spacing w:val="-5"/>
        </w:rPr>
        <w:t xml:space="preserve"> </w:t>
      </w:r>
      <w:r>
        <w:t>to</w:t>
      </w:r>
      <w:r>
        <w:rPr>
          <w:spacing w:val="-5"/>
        </w:rPr>
        <w:t xml:space="preserve"> </w:t>
      </w:r>
      <w:r>
        <w:t>all</w:t>
      </w:r>
      <w:r>
        <w:rPr>
          <w:spacing w:val="-7"/>
        </w:rPr>
        <w:t xml:space="preserve"> </w:t>
      </w:r>
      <w:r>
        <w:t>EOPSS</w:t>
      </w:r>
      <w:r>
        <w:rPr>
          <w:spacing w:val="-5"/>
        </w:rPr>
        <w:t xml:space="preserve"> </w:t>
      </w:r>
      <w:r>
        <w:t>agency</w:t>
      </w:r>
      <w:r>
        <w:rPr>
          <w:spacing w:val="-5"/>
        </w:rPr>
        <w:t xml:space="preserve"> </w:t>
      </w:r>
      <w:r>
        <w:t>staff</w:t>
      </w:r>
      <w:r>
        <w:rPr>
          <w:spacing w:val="-4"/>
        </w:rPr>
        <w:t xml:space="preserve"> </w:t>
      </w:r>
      <w:r>
        <w:t>and</w:t>
      </w:r>
      <w:r>
        <w:rPr>
          <w:spacing w:val="-4"/>
        </w:rPr>
        <w:t xml:space="preserve"> </w:t>
      </w:r>
      <w:r>
        <w:rPr>
          <w:spacing w:val="-2"/>
        </w:rPr>
        <w:t>providers.</w:t>
      </w:r>
    </w:p>
    <w:p w:rsidR="00200FDA" w:rsidRDefault="00200FDA">
      <w:pPr>
        <w:pStyle w:val="BodyText"/>
        <w:spacing w:before="10"/>
        <w:rPr>
          <w:b/>
          <w:sz w:val="21"/>
        </w:rPr>
      </w:pPr>
    </w:p>
    <w:p w:rsidR="00200FDA" w:rsidRDefault="00F76C4C">
      <w:pPr>
        <w:pStyle w:val="BodyText"/>
        <w:spacing w:line="264" w:lineRule="auto"/>
        <w:ind w:left="279"/>
      </w:pPr>
      <w:r>
        <w:t>For</w:t>
      </w:r>
      <w:r>
        <w:rPr>
          <w:spacing w:val="40"/>
        </w:rPr>
        <w:t xml:space="preserve"> </w:t>
      </w:r>
      <w:r>
        <w:t>several</w:t>
      </w:r>
      <w:r>
        <w:rPr>
          <w:spacing w:val="39"/>
        </w:rPr>
        <w:t xml:space="preserve"> </w:t>
      </w:r>
      <w:r>
        <w:t>years,</w:t>
      </w:r>
      <w:r>
        <w:rPr>
          <w:spacing w:val="39"/>
        </w:rPr>
        <w:t xml:space="preserve"> </w:t>
      </w:r>
      <w:r>
        <w:t>the</w:t>
      </w:r>
      <w:r>
        <w:rPr>
          <w:spacing w:val="40"/>
        </w:rPr>
        <w:t xml:space="preserve"> </w:t>
      </w:r>
      <w:r>
        <w:t>Commission</w:t>
      </w:r>
      <w:r>
        <w:rPr>
          <w:spacing w:val="40"/>
        </w:rPr>
        <w:t xml:space="preserve"> </w:t>
      </w:r>
      <w:r>
        <w:t>has</w:t>
      </w:r>
      <w:r>
        <w:rPr>
          <w:spacing w:val="40"/>
        </w:rPr>
        <w:t xml:space="preserve"> </w:t>
      </w:r>
      <w:r>
        <w:t>been</w:t>
      </w:r>
      <w:r>
        <w:rPr>
          <w:spacing w:val="40"/>
        </w:rPr>
        <w:t xml:space="preserve"> </w:t>
      </w:r>
      <w:r>
        <w:t>engaged</w:t>
      </w:r>
      <w:r>
        <w:rPr>
          <w:spacing w:val="40"/>
        </w:rPr>
        <w:t xml:space="preserve"> </w:t>
      </w:r>
      <w:r>
        <w:t>in</w:t>
      </w:r>
      <w:r>
        <w:rPr>
          <w:spacing w:val="40"/>
        </w:rPr>
        <w:t xml:space="preserve"> </w:t>
      </w:r>
      <w:r>
        <w:t>conversations</w:t>
      </w:r>
      <w:r>
        <w:rPr>
          <w:spacing w:val="40"/>
        </w:rPr>
        <w:t xml:space="preserve"> </w:t>
      </w:r>
      <w:r>
        <w:t>with</w:t>
      </w:r>
      <w:r>
        <w:rPr>
          <w:spacing w:val="38"/>
        </w:rPr>
        <w:t xml:space="preserve"> </w:t>
      </w:r>
      <w:r>
        <w:t>EOPSS</w:t>
      </w:r>
      <w:r>
        <w:rPr>
          <w:spacing w:val="40"/>
        </w:rPr>
        <w:t xml:space="preserve"> </w:t>
      </w:r>
      <w:r>
        <w:t>around</w:t>
      </w:r>
      <w:r>
        <w:rPr>
          <w:spacing w:val="40"/>
        </w:rPr>
        <w:t xml:space="preserve"> </w:t>
      </w:r>
      <w:r>
        <w:t>providing LGBTQ cultural awareness trainings, and identified MPTC, DOC, the State Police, and the Massachusetts National Guard as key agencies to begin this p</w:t>
      </w:r>
      <w:r>
        <w:t>rocess with. However, the Commission’s relationship with EOPSS lapsed between FY 2021 and the end of FY 2022. In FY 2023, the Commission began conversations with a new EOPSS liaison, and has scheduled conversations for the spring of 2023, beginning in Apri</w:t>
      </w:r>
      <w:r>
        <w:t>l, to discuss future trainings through the Commission’s agency training system with DOC and MPTC.</w:t>
      </w:r>
    </w:p>
    <w:p w:rsidR="00200FDA" w:rsidRDefault="00200FDA">
      <w:pPr>
        <w:pStyle w:val="BodyText"/>
        <w:spacing w:before="5"/>
        <w:rPr>
          <w:sz w:val="24"/>
        </w:rPr>
      </w:pPr>
    </w:p>
    <w:p w:rsidR="00200FDA" w:rsidRDefault="00F76C4C">
      <w:pPr>
        <w:ind w:left="279"/>
        <w:rPr>
          <w:i/>
        </w:rPr>
      </w:pPr>
      <w:r>
        <w:rPr>
          <w:i/>
        </w:rPr>
        <w:t>Acknowledgments:</w:t>
      </w:r>
      <w:r>
        <w:rPr>
          <w:i/>
          <w:spacing w:val="-4"/>
        </w:rPr>
        <w:t xml:space="preserve"> </w:t>
      </w:r>
      <w:r>
        <w:rPr>
          <w:i/>
        </w:rPr>
        <w:t>The</w:t>
      </w:r>
      <w:r>
        <w:rPr>
          <w:i/>
          <w:spacing w:val="-3"/>
        </w:rPr>
        <w:t xml:space="preserve"> </w:t>
      </w:r>
      <w:r>
        <w:rPr>
          <w:i/>
        </w:rPr>
        <w:t>Commission</w:t>
      </w:r>
      <w:r>
        <w:rPr>
          <w:i/>
          <w:spacing w:val="-4"/>
        </w:rPr>
        <w:t xml:space="preserve"> </w:t>
      </w:r>
      <w:r>
        <w:rPr>
          <w:i/>
        </w:rPr>
        <w:t>thanks</w:t>
      </w:r>
      <w:r>
        <w:rPr>
          <w:i/>
          <w:spacing w:val="-3"/>
        </w:rPr>
        <w:t xml:space="preserve"> </w:t>
      </w:r>
      <w:r>
        <w:rPr>
          <w:i/>
        </w:rPr>
        <w:t>its</w:t>
      </w:r>
      <w:r>
        <w:rPr>
          <w:i/>
          <w:spacing w:val="-5"/>
        </w:rPr>
        <w:t xml:space="preserve"> </w:t>
      </w:r>
      <w:r>
        <w:rPr>
          <w:i/>
        </w:rPr>
        <w:t>EOPSS</w:t>
      </w:r>
      <w:r>
        <w:rPr>
          <w:i/>
          <w:spacing w:val="-3"/>
        </w:rPr>
        <w:t xml:space="preserve"> </w:t>
      </w:r>
      <w:r>
        <w:rPr>
          <w:i/>
        </w:rPr>
        <w:t>agency</w:t>
      </w:r>
      <w:r>
        <w:rPr>
          <w:i/>
          <w:spacing w:val="-3"/>
        </w:rPr>
        <w:t xml:space="preserve"> </w:t>
      </w:r>
      <w:r>
        <w:rPr>
          <w:i/>
        </w:rPr>
        <w:t>staff</w:t>
      </w:r>
      <w:r>
        <w:rPr>
          <w:i/>
          <w:spacing w:val="-3"/>
        </w:rPr>
        <w:t xml:space="preserve"> </w:t>
      </w:r>
      <w:r>
        <w:rPr>
          <w:i/>
          <w:spacing w:val="-2"/>
        </w:rPr>
        <w:t>liaisons.</w:t>
      </w:r>
    </w:p>
    <w:p w:rsidR="00200FDA" w:rsidRDefault="00200FDA">
      <w:pPr>
        <w:sectPr w:rsidR="00200FDA">
          <w:pgSz w:w="12240" w:h="15840"/>
          <w:pgMar w:top="1260" w:right="1160" w:bottom="1240" w:left="1160" w:header="761" w:footer="1043" w:gutter="0"/>
          <w:cols w:space="720"/>
        </w:sectPr>
      </w:pPr>
    </w:p>
    <w:p w:rsidR="00200FDA" w:rsidRDefault="00200FDA">
      <w:pPr>
        <w:pStyle w:val="BodyText"/>
        <w:spacing w:before="10"/>
        <w:rPr>
          <w:i/>
          <w:sz w:val="10"/>
        </w:rPr>
      </w:pPr>
    </w:p>
    <w:p w:rsidR="00200FDA" w:rsidRDefault="00F76C4C">
      <w:pPr>
        <w:spacing w:before="35"/>
        <w:ind w:left="280"/>
        <w:rPr>
          <w:sz w:val="32"/>
        </w:rPr>
      </w:pPr>
      <w:r>
        <w:pict>
          <v:rect id="docshape616" o:spid="_x0000_s1045" style="position:absolute;left:0;text-align:left;margin-left:70.55pt;margin-top:22.25pt;width:470.9pt;height:.5pt;z-index:-15599616;mso-wrap-distance-left:0;mso-wrap-distance-right:0;mso-position-horizontal-relative:page" fillcolor="#4f81bc" stroked="f">
            <w10:wrap type="topAndBottom" anchorx="page"/>
          </v:rect>
        </w:pict>
      </w:r>
      <w:bookmarkStart w:id="1165" w:name="FY24_RMV_Recommendations_-_Final.pdf"/>
      <w:bookmarkStart w:id="1166" w:name="Registry_of_Motor_Vehicles"/>
      <w:bookmarkStart w:id="1167" w:name="_bookmark907"/>
      <w:bookmarkEnd w:id="1165"/>
      <w:bookmarkEnd w:id="1166"/>
      <w:bookmarkEnd w:id="1167"/>
      <w:r>
        <w:rPr>
          <w:color w:val="365F91"/>
          <w:sz w:val="32"/>
        </w:rPr>
        <w:t>Registry</w:t>
      </w:r>
      <w:r>
        <w:rPr>
          <w:color w:val="365F91"/>
          <w:spacing w:val="-9"/>
          <w:sz w:val="32"/>
        </w:rPr>
        <w:t xml:space="preserve"> </w:t>
      </w:r>
      <w:r>
        <w:rPr>
          <w:color w:val="365F91"/>
          <w:sz w:val="32"/>
        </w:rPr>
        <w:t>of</w:t>
      </w:r>
      <w:r>
        <w:rPr>
          <w:color w:val="365F91"/>
          <w:spacing w:val="-8"/>
          <w:sz w:val="32"/>
        </w:rPr>
        <w:t xml:space="preserve"> </w:t>
      </w:r>
      <w:r>
        <w:rPr>
          <w:color w:val="365F91"/>
          <w:sz w:val="32"/>
        </w:rPr>
        <w:t>Motor</w:t>
      </w:r>
      <w:r>
        <w:rPr>
          <w:color w:val="365F91"/>
          <w:spacing w:val="-7"/>
          <w:sz w:val="32"/>
        </w:rPr>
        <w:t xml:space="preserve"> </w:t>
      </w:r>
      <w:r>
        <w:rPr>
          <w:color w:val="365F91"/>
          <w:spacing w:val="-2"/>
          <w:sz w:val="32"/>
        </w:rPr>
        <w:t>Vehicles</w:t>
      </w:r>
    </w:p>
    <w:p w:rsidR="00200FDA" w:rsidRDefault="00200FDA">
      <w:pPr>
        <w:pStyle w:val="BodyText"/>
        <w:rPr>
          <w:sz w:val="20"/>
        </w:rPr>
      </w:pPr>
    </w:p>
    <w:p w:rsidR="00200FDA" w:rsidRDefault="00200FDA">
      <w:pPr>
        <w:pStyle w:val="BodyText"/>
        <w:spacing w:before="7"/>
        <w:rPr>
          <w:sz w:val="21"/>
        </w:rPr>
      </w:pPr>
    </w:p>
    <w:p w:rsidR="00200FDA" w:rsidRDefault="00F76C4C">
      <w:pPr>
        <w:pStyle w:val="Heading7"/>
        <w:spacing w:before="44"/>
      </w:pPr>
      <w:r>
        <w:pict>
          <v:rect id="docshape617" o:spid="_x0000_s1044" style="position:absolute;left:0;text-align:left;margin-left:70.55pt;margin-top:20.2pt;width:470.9pt;height:.5pt;z-index:-15599104;mso-wrap-distance-left:0;mso-wrap-distance-right:0;mso-position-horizontal-relative:page" fillcolor="#4f81bc" stroked="f">
            <w10:wrap type="topAndBottom" anchorx="page"/>
          </v:rect>
        </w:pict>
      </w:r>
      <w:r>
        <w:rPr>
          <w:color w:val="365F91"/>
        </w:rPr>
        <w:t>FY</w:t>
      </w:r>
      <w:r>
        <w:rPr>
          <w:color w:val="365F91"/>
          <w:spacing w:val="-3"/>
        </w:rPr>
        <w:t xml:space="preserve"> </w:t>
      </w:r>
      <w:r>
        <w:rPr>
          <w:color w:val="365F91"/>
        </w:rPr>
        <w:t>2024</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rPr>
          <w:sz w:val="20"/>
        </w:rPr>
      </w:pPr>
    </w:p>
    <w:p w:rsidR="00200FDA" w:rsidRDefault="00F76C4C">
      <w:pPr>
        <w:pStyle w:val="ListParagraph"/>
        <w:numPr>
          <w:ilvl w:val="1"/>
          <w:numId w:val="6"/>
        </w:numPr>
        <w:tabs>
          <w:tab w:val="left" w:pos="1001"/>
        </w:tabs>
        <w:spacing w:before="180"/>
        <w:ind w:hanging="362"/>
      </w:pPr>
      <w:r>
        <w:t>Provide</w:t>
      </w:r>
      <w:r>
        <w:rPr>
          <w:spacing w:val="-6"/>
        </w:rPr>
        <w:t xml:space="preserve"> </w:t>
      </w:r>
      <w:r>
        <w:t>LGBTQ</w:t>
      </w:r>
      <w:r>
        <w:rPr>
          <w:spacing w:val="-5"/>
        </w:rPr>
        <w:t xml:space="preserve"> </w:t>
      </w:r>
      <w:r>
        <w:t>cultural</w:t>
      </w:r>
      <w:r>
        <w:rPr>
          <w:spacing w:val="-6"/>
        </w:rPr>
        <w:t xml:space="preserve"> </w:t>
      </w:r>
      <w:r>
        <w:t>engagement</w:t>
      </w:r>
      <w:r>
        <w:rPr>
          <w:spacing w:val="-3"/>
        </w:rPr>
        <w:t xml:space="preserve"> </w:t>
      </w:r>
      <w:r>
        <w:t>and</w:t>
      </w:r>
      <w:r>
        <w:rPr>
          <w:spacing w:val="-5"/>
        </w:rPr>
        <w:t xml:space="preserve"> </w:t>
      </w:r>
      <w:r>
        <w:t>racial</w:t>
      </w:r>
      <w:r>
        <w:rPr>
          <w:spacing w:val="-7"/>
        </w:rPr>
        <w:t xml:space="preserve"> </w:t>
      </w:r>
      <w:r>
        <w:t>equity</w:t>
      </w:r>
      <w:r>
        <w:rPr>
          <w:spacing w:val="-5"/>
        </w:rPr>
        <w:t xml:space="preserve"> </w:t>
      </w:r>
      <w:r>
        <w:t>training</w:t>
      </w:r>
      <w:r>
        <w:rPr>
          <w:spacing w:val="-5"/>
        </w:rPr>
        <w:t xml:space="preserve"> </w:t>
      </w:r>
      <w:r>
        <w:t>for</w:t>
      </w:r>
      <w:r>
        <w:rPr>
          <w:spacing w:val="-4"/>
        </w:rPr>
        <w:t xml:space="preserve"> </w:t>
      </w:r>
      <w:r>
        <w:t>all</w:t>
      </w:r>
      <w:r>
        <w:rPr>
          <w:spacing w:val="-4"/>
        </w:rPr>
        <w:t xml:space="preserve"> </w:t>
      </w:r>
      <w:r>
        <w:rPr>
          <w:spacing w:val="-2"/>
        </w:rPr>
        <w:t>staff.</w:t>
      </w:r>
    </w:p>
    <w:p w:rsidR="00200FDA" w:rsidRDefault="00200FDA">
      <w:pPr>
        <w:pStyle w:val="BodyText"/>
      </w:pPr>
    </w:p>
    <w:p w:rsidR="00200FDA" w:rsidRDefault="00F76C4C">
      <w:pPr>
        <w:pStyle w:val="Heading7"/>
        <w:spacing w:before="172"/>
      </w:pPr>
      <w:r>
        <w:pict>
          <v:rect id="docshape618" o:spid="_x0000_s1043" style="position:absolute;left:0;text-align:left;margin-left:70.55pt;margin-top:26.6pt;width:470.9pt;height:.5pt;z-index:-15598592;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line="276" w:lineRule="auto"/>
        <w:ind w:left="280" w:right="415"/>
        <w:jc w:val="both"/>
      </w:pPr>
      <w:r>
        <w:t>The</w:t>
      </w:r>
      <w:r>
        <w:rPr>
          <w:spacing w:val="-6"/>
        </w:rPr>
        <w:t xml:space="preserve"> </w:t>
      </w:r>
      <w:r>
        <w:t>Massachusetts</w:t>
      </w:r>
      <w:r>
        <w:rPr>
          <w:spacing w:val="-6"/>
        </w:rPr>
        <w:t xml:space="preserve"> </w:t>
      </w:r>
      <w:r>
        <w:t>Commission</w:t>
      </w:r>
      <w:r>
        <w:rPr>
          <w:spacing w:val="-10"/>
        </w:rPr>
        <w:t xml:space="preserve"> </w:t>
      </w:r>
      <w:r>
        <w:t>on</w:t>
      </w:r>
      <w:r>
        <w:rPr>
          <w:spacing w:val="-7"/>
        </w:rPr>
        <w:t xml:space="preserve"> </w:t>
      </w:r>
      <w:r>
        <w:t>LGBTQ</w:t>
      </w:r>
      <w:r>
        <w:rPr>
          <w:spacing w:val="-6"/>
        </w:rPr>
        <w:t xml:space="preserve"> </w:t>
      </w:r>
      <w:r>
        <w:t>Youth</w:t>
      </w:r>
      <w:r>
        <w:rPr>
          <w:spacing w:val="-7"/>
        </w:rPr>
        <w:t xml:space="preserve"> </w:t>
      </w:r>
      <w:r>
        <w:t>has</w:t>
      </w:r>
      <w:r>
        <w:rPr>
          <w:spacing w:val="-9"/>
        </w:rPr>
        <w:t xml:space="preserve"> </w:t>
      </w:r>
      <w:r>
        <w:t>been</w:t>
      </w:r>
      <w:r>
        <w:rPr>
          <w:spacing w:val="-7"/>
        </w:rPr>
        <w:t xml:space="preserve"> </w:t>
      </w:r>
      <w:r>
        <w:t>pleased</w:t>
      </w:r>
      <w:r>
        <w:rPr>
          <w:spacing w:val="-10"/>
        </w:rPr>
        <w:t xml:space="preserve"> </w:t>
      </w:r>
      <w:r>
        <w:t>to</w:t>
      </w:r>
      <w:r>
        <w:rPr>
          <w:spacing w:val="-5"/>
        </w:rPr>
        <w:t xml:space="preserve"> </w:t>
      </w:r>
      <w:r>
        <w:t>have</w:t>
      </w:r>
      <w:r>
        <w:rPr>
          <w:spacing w:val="-8"/>
        </w:rPr>
        <w:t xml:space="preserve"> </w:t>
      </w:r>
      <w:r>
        <w:t>an</w:t>
      </w:r>
      <w:r>
        <w:rPr>
          <w:spacing w:val="-7"/>
        </w:rPr>
        <w:t xml:space="preserve"> </w:t>
      </w:r>
      <w:r>
        <w:t>ongoing</w:t>
      </w:r>
      <w:r>
        <w:rPr>
          <w:spacing w:val="-7"/>
        </w:rPr>
        <w:t xml:space="preserve"> </w:t>
      </w:r>
      <w:r>
        <w:t>relationship</w:t>
      </w:r>
      <w:r>
        <w:rPr>
          <w:spacing w:val="-7"/>
        </w:rPr>
        <w:t xml:space="preserve"> </w:t>
      </w:r>
      <w:r>
        <w:t>with the</w:t>
      </w:r>
      <w:r>
        <w:rPr>
          <w:spacing w:val="-1"/>
        </w:rPr>
        <w:t xml:space="preserve"> </w:t>
      </w:r>
      <w:r>
        <w:t>Registry</w:t>
      </w:r>
      <w:r>
        <w:rPr>
          <w:spacing w:val="-3"/>
        </w:rPr>
        <w:t xml:space="preserve"> </w:t>
      </w:r>
      <w:r>
        <w:t>of</w:t>
      </w:r>
      <w:r>
        <w:rPr>
          <w:spacing w:val="-5"/>
        </w:rPr>
        <w:t xml:space="preserve"> </w:t>
      </w:r>
      <w:r>
        <w:t>Motor</w:t>
      </w:r>
      <w:r>
        <w:rPr>
          <w:spacing w:val="-2"/>
        </w:rPr>
        <w:t xml:space="preserve"> </w:t>
      </w:r>
      <w:r>
        <w:t>Vehicles</w:t>
      </w:r>
      <w:r>
        <w:rPr>
          <w:spacing w:val="-4"/>
        </w:rPr>
        <w:t xml:space="preserve"> </w:t>
      </w:r>
      <w:r>
        <w:t>(RMV)</w:t>
      </w:r>
      <w:r>
        <w:rPr>
          <w:spacing w:val="-2"/>
        </w:rPr>
        <w:t xml:space="preserve"> </w:t>
      </w:r>
      <w:r>
        <w:t>for</w:t>
      </w:r>
      <w:r>
        <w:rPr>
          <w:spacing w:val="-4"/>
        </w:rPr>
        <w:t xml:space="preserve"> </w:t>
      </w:r>
      <w:r>
        <w:t>the</w:t>
      </w:r>
      <w:r>
        <w:rPr>
          <w:spacing w:val="-4"/>
        </w:rPr>
        <w:t xml:space="preserve"> </w:t>
      </w:r>
      <w:r>
        <w:t>last</w:t>
      </w:r>
      <w:r>
        <w:rPr>
          <w:spacing w:val="-4"/>
        </w:rPr>
        <w:t xml:space="preserve"> </w:t>
      </w:r>
      <w:r>
        <w:t>several</w:t>
      </w:r>
      <w:r>
        <w:rPr>
          <w:spacing w:val="-2"/>
        </w:rPr>
        <w:t xml:space="preserve"> </w:t>
      </w:r>
      <w:r>
        <w:t>years.</w:t>
      </w:r>
      <w:r>
        <w:rPr>
          <w:spacing w:val="-5"/>
        </w:rPr>
        <w:t xml:space="preserve"> </w:t>
      </w:r>
      <w:r>
        <w:t>Due</w:t>
      </w:r>
      <w:r>
        <w:rPr>
          <w:spacing w:val="-4"/>
        </w:rPr>
        <w:t xml:space="preserve"> </w:t>
      </w:r>
      <w:r>
        <w:t>to</w:t>
      </w:r>
      <w:r>
        <w:rPr>
          <w:spacing w:val="-3"/>
        </w:rPr>
        <w:t xml:space="preserve"> </w:t>
      </w:r>
      <w:r>
        <w:t>the</w:t>
      </w:r>
      <w:r>
        <w:rPr>
          <w:spacing w:val="-4"/>
        </w:rPr>
        <w:t xml:space="preserve"> </w:t>
      </w:r>
      <w:r>
        <w:t>RMV’s</w:t>
      </w:r>
      <w:r>
        <w:rPr>
          <w:spacing w:val="-4"/>
        </w:rPr>
        <w:t xml:space="preserve"> </w:t>
      </w:r>
      <w:r>
        <w:t>oversight</w:t>
      </w:r>
      <w:r>
        <w:rPr>
          <w:spacing w:val="-6"/>
        </w:rPr>
        <w:t xml:space="preserve"> </w:t>
      </w:r>
      <w:r>
        <w:t>of</w:t>
      </w:r>
      <w:r>
        <w:rPr>
          <w:spacing w:val="-2"/>
        </w:rPr>
        <w:t xml:space="preserve"> </w:t>
      </w:r>
      <w:r>
        <w:t>state</w:t>
      </w:r>
      <w:r>
        <w:rPr>
          <w:spacing w:val="-4"/>
        </w:rPr>
        <w:t xml:space="preserve"> </w:t>
      </w:r>
      <w:r>
        <w:t>IDs, the</w:t>
      </w:r>
      <w:r>
        <w:rPr>
          <w:spacing w:val="-4"/>
        </w:rPr>
        <w:t xml:space="preserve"> </w:t>
      </w:r>
      <w:r>
        <w:t>Commission</w:t>
      </w:r>
      <w:r>
        <w:rPr>
          <w:spacing w:val="-5"/>
        </w:rPr>
        <w:t xml:space="preserve"> </w:t>
      </w:r>
      <w:r>
        <w:t>and</w:t>
      </w:r>
      <w:r>
        <w:rPr>
          <w:spacing w:val="-5"/>
        </w:rPr>
        <w:t xml:space="preserve"> </w:t>
      </w:r>
      <w:r>
        <w:t>the</w:t>
      </w:r>
      <w:r>
        <w:rPr>
          <w:spacing w:val="-4"/>
        </w:rPr>
        <w:t xml:space="preserve"> </w:t>
      </w:r>
      <w:r>
        <w:t>RMV</w:t>
      </w:r>
      <w:r>
        <w:rPr>
          <w:spacing w:val="-5"/>
        </w:rPr>
        <w:t xml:space="preserve"> </w:t>
      </w:r>
      <w:r>
        <w:t>have</w:t>
      </w:r>
      <w:r>
        <w:rPr>
          <w:spacing w:val="-6"/>
        </w:rPr>
        <w:t xml:space="preserve"> </w:t>
      </w:r>
      <w:r>
        <w:t>worked</w:t>
      </w:r>
      <w:r>
        <w:rPr>
          <w:spacing w:val="-5"/>
        </w:rPr>
        <w:t xml:space="preserve"> </w:t>
      </w:r>
      <w:r>
        <w:t>to</w:t>
      </w:r>
      <w:r>
        <w:rPr>
          <w:spacing w:val="-3"/>
        </w:rPr>
        <w:t xml:space="preserve"> </w:t>
      </w:r>
      <w:r>
        <w:t>promote</w:t>
      </w:r>
      <w:r>
        <w:rPr>
          <w:spacing w:val="-4"/>
        </w:rPr>
        <w:t xml:space="preserve"> </w:t>
      </w:r>
      <w:r>
        <w:t>better</w:t>
      </w:r>
      <w:r>
        <w:rPr>
          <w:spacing w:val="-4"/>
        </w:rPr>
        <w:t xml:space="preserve"> </w:t>
      </w:r>
      <w:r>
        <w:t>access</w:t>
      </w:r>
      <w:r>
        <w:rPr>
          <w:spacing w:val="-4"/>
        </w:rPr>
        <w:t xml:space="preserve"> </w:t>
      </w:r>
      <w:r>
        <w:t>to</w:t>
      </w:r>
      <w:r>
        <w:rPr>
          <w:spacing w:val="-3"/>
        </w:rPr>
        <w:t xml:space="preserve"> </w:t>
      </w:r>
      <w:r>
        <w:t>identity</w:t>
      </w:r>
      <w:r>
        <w:rPr>
          <w:spacing w:val="-6"/>
        </w:rPr>
        <w:t xml:space="preserve"> </w:t>
      </w:r>
      <w:r>
        <w:t>documents</w:t>
      </w:r>
      <w:r>
        <w:rPr>
          <w:spacing w:val="-4"/>
        </w:rPr>
        <w:t xml:space="preserve"> </w:t>
      </w:r>
      <w:r>
        <w:t>and</w:t>
      </w:r>
      <w:r>
        <w:rPr>
          <w:spacing w:val="-5"/>
        </w:rPr>
        <w:t xml:space="preserve"> </w:t>
      </w:r>
      <w:r>
        <w:t>ensure that staff are appropriately trained in LGBTQ cultural competency to improve service. As noted in the throughout this annual repo</w:t>
      </w:r>
      <w:r>
        <w:t>rt, access to accurate and up-to-date identity documents are critical for LGBTQ youth. Without accurate identity documents, youth struggle to appropriately access education, employment, and financial services, as well as face a higher risk of adverse encou</w:t>
      </w:r>
      <w:r>
        <w:t>nters with law enforcement. Additionally,</w:t>
      </w:r>
      <w:r>
        <w:rPr>
          <w:spacing w:val="-1"/>
        </w:rPr>
        <w:t xml:space="preserve"> </w:t>
      </w:r>
      <w:r>
        <w:t>it is the right of all youth to be able to hold appropriate identity documents that correspond with their name and gender marker.</w:t>
      </w:r>
    </w:p>
    <w:p w:rsidR="00200FDA" w:rsidRDefault="00200FDA">
      <w:pPr>
        <w:pStyle w:val="BodyText"/>
        <w:spacing w:before="9"/>
        <w:rPr>
          <w:sz w:val="19"/>
        </w:rPr>
      </w:pPr>
    </w:p>
    <w:p w:rsidR="00200FDA" w:rsidRDefault="00F76C4C">
      <w:pPr>
        <w:pStyle w:val="BodyText"/>
        <w:spacing w:before="1" w:line="276" w:lineRule="auto"/>
        <w:ind w:left="279" w:right="414"/>
        <w:jc w:val="both"/>
      </w:pPr>
      <w:r>
        <w:t>ID</w:t>
      </w:r>
      <w:r>
        <w:rPr>
          <w:spacing w:val="-13"/>
        </w:rPr>
        <w:t xml:space="preserve"> </w:t>
      </w:r>
      <w:r>
        <w:t>access</w:t>
      </w:r>
      <w:r>
        <w:rPr>
          <w:spacing w:val="-12"/>
        </w:rPr>
        <w:t xml:space="preserve"> </w:t>
      </w:r>
      <w:r>
        <w:t>is</w:t>
      </w:r>
      <w:r>
        <w:rPr>
          <w:spacing w:val="-13"/>
        </w:rPr>
        <w:t xml:space="preserve"> </w:t>
      </w:r>
      <w:r>
        <w:t>critical</w:t>
      </w:r>
      <w:r>
        <w:rPr>
          <w:spacing w:val="-12"/>
        </w:rPr>
        <w:t xml:space="preserve"> </w:t>
      </w:r>
      <w:r>
        <w:t>for</w:t>
      </w:r>
      <w:r>
        <w:rPr>
          <w:spacing w:val="-13"/>
        </w:rPr>
        <w:t xml:space="preserve"> </w:t>
      </w:r>
      <w:r>
        <w:t>LGBTQ</w:t>
      </w:r>
      <w:r>
        <w:rPr>
          <w:spacing w:val="-12"/>
        </w:rPr>
        <w:t xml:space="preserve"> </w:t>
      </w:r>
      <w:r>
        <w:t>youth.</w:t>
      </w:r>
      <w:r>
        <w:rPr>
          <w:spacing w:val="-13"/>
        </w:rPr>
        <w:t xml:space="preserve"> </w:t>
      </w:r>
      <w:r>
        <w:t>Research</w:t>
      </w:r>
      <w:r>
        <w:rPr>
          <w:spacing w:val="-12"/>
        </w:rPr>
        <w:t xml:space="preserve"> </w:t>
      </w:r>
      <w:r>
        <w:t>has</w:t>
      </w:r>
      <w:r>
        <w:rPr>
          <w:spacing w:val="-12"/>
        </w:rPr>
        <w:t xml:space="preserve"> </w:t>
      </w:r>
      <w:r>
        <w:t>shown</w:t>
      </w:r>
      <w:r>
        <w:rPr>
          <w:spacing w:val="-13"/>
        </w:rPr>
        <w:t xml:space="preserve"> </w:t>
      </w:r>
      <w:r>
        <w:t>that</w:t>
      </w:r>
      <w:r>
        <w:rPr>
          <w:spacing w:val="-12"/>
        </w:rPr>
        <w:t xml:space="preserve"> </w:t>
      </w:r>
      <w:r>
        <w:t>nearly</w:t>
      </w:r>
      <w:r>
        <w:rPr>
          <w:spacing w:val="-13"/>
        </w:rPr>
        <w:t xml:space="preserve"> </w:t>
      </w:r>
      <w:r>
        <w:t>one-third</w:t>
      </w:r>
      <w:r>
        <w:rPr>
          <w:spacing w:val="-12"/>
        </w:rPr>
        <w:t xml:space="preserve"> </w:t>
      </w:r>
      <w:r>
        <w:t>of</w:t>
      </w:r>
      <w:r>
        <w:rPr>
          <w:spacing w:val="-13"/>
        </w:rPr>
        <w:t xml:space="preserve"> </w:t>
      </w:r>
      <w:r>
        <w:t>transgender</w:t>
      </w:r>
      <w:r>
        <w:rPr>
          <w:spacing w:val="-12"/>
        </w:rPr>
        <w:t xml:space="preserve"> </w:t>
      </w:r>
      <w:r>
        <w:t>individuals who</w:t>
      </w:r>
      <w:r>
        <w:rPr>
          <w:spacing w:val="-11"/>
        </w:rPr>
        <w:t xml:space="preserve"> </w:t>
      </w:r>
      <w:r>
        <w:t>showed</w:t>
      </w:r>
      <w:r>
        <w:rPr>
          <w:spacing w:val="-12"/>
        </w:rPr>
        <w:t xml:space="preserve"> </w:t>
      </w:r>
      <w:r>
        <w:t>an</w:t>
      </w:r>
      <w:r>
        <w:rPr>
          <w:spacing w:val="-10"/>
        </w:rPr>
        <w:t xml:space="preserve"> </w:t>
      </w:r>
      <w:r>
        <w:t>ID</w:t>
      </w:r>
      <w:r>
        <w:rPr>
          <w:spacing w:val="-10"/>
        </w:rPr>
        <w:t xml:space="preserve"> </w:t>
      </w:r>
      <w:r>
        <w:t>that</w:t>
      </w:r>
      <w:r>
        <w:rPr>
          <w:spacing w:val="-9"/>
        </w:rPr>
        <w:t xml:space="preserve"> </w:t>
      </w:r>
      <w:r>
        <w:t>did</w:t>
      </w:r>
      <w:r>
        <w:rPr>
          <w:spacing w:val="-13"/>
        </w:rPr>
        <w:t xml:space="preserve"> </w:t>
      </w:r>
      <w:r>
        <w:t>not</w:t>
      </w:r>
      <w:r>
        <w:rPr>
          <w:spacing w:val="-10"/>
        </w:rPr>
        <w:t xml:space="preserve"> </w:t>
      </w:r>
      <w:r>
        <w:t>match</w:t>
      </w:r>
      <w:r>
        <w:rPr>
          <w:spacing w:val="-10"/>
        </w:rPr>
        <w:t xml:space="preserve"> </w:t>
      </w:r>
      <w:r>
        <w:t>up</w:t>
      </w:r>
      <w:r>
        <w:rPr>
          <w:spacing w:val="-12"/>
        </w:rPr>
        <w:t xml:space="preserve"> </w:t>
      </w:r>
      <w:r>
        <w:t>with</w:t>
      </w:r>
      <w:r>
        <w:rPr>
          <w:spacing w:val="-12"/>
        </w:rPr>
        <w:t xml:space="preserve"> </w:t>
      </w:r>
      <w:r>
        <w:t>their</w:t>
      </w:r>
      <w:r>
        <w:rPr>
          <w:spacing w:val="-12"/>
        </w:rPr>
        <w:t xml:space="preserve"> </w:t>
      </w:r>
      <w:r>
        <w:t>gender</w:t>
      </w:r>
      <w:r>
        <w:rPr>
          <w:spacing w:val="-9"/>
        </w:rPr>
        <w:t xml:space="preserve"> </w:t>
      </w:r>
      <w:r>
        <w:t>presentation</w:t>
      </w:r>
      <w:r>
        <w:rPr>
          <w:spacing w:val="-10"/>
        </w:rPr>
        <w:t xml:space="preserve"> </w:t>
      </w:r>
      <w:r>
        <w:t>had</w:t>
      </w:r>
      <w:r>
        <w:rPr>
          <w:spacing w:val="-12"/>
        </w:rPr>
        <w:t xml:space="preserve"> </w:t>
      </w:r>
      <w:r>
        <w:t>a</w:t>
      </w:r>
      <w:r>
        <w:rPr>
          <w:spacing w:val="-9"/>
        </w:rPr>
        <w:t xml:space="preserve"> </w:t>
      </w:r>
      <w:r>
        <w:t>negative</w:t>
      </w:r>
      <w:r>
        <w:rPr>
          <w:spacing w:val="-11"/>
        </w:rPr>
        <w:t xml:space="preserve"> </w:t>
      </w:r>
      <w:r>
        <w:t>experience,</w:t>
      </w:r>
      <w:r>
        <w:rPr>
          <w:spacing w:val="-9"/>
        </w:rPr>
        <w:t xml:space="preserve"> </w:t>
      </w:r>
      <w:r>
        <w:t>such as being harassed, denied services, or attacked.</w:t>
      </w:r>
      <w:hyperlink w:anchor="_bookmark908" w:history="1">
        <w:r>
          <w:rPr>
            <w:vertAlign w:val="superscript"/>
          </w:rPr>
          <w:t>1</w:t>
        </w:r>
      </w:hyperlink>
      <w:r>
        <w:rPr>
          <w:spacing w:val="-2"/>
        </w:rPr>
        <w:t xml:space="preserve"> </w:t>
      </w:r>
      <w:r>
        <w:t xml:space="preserve">For youth experiencing homelessness, not having </w:t>
      </w:r>
      <w:r>
        <w:t>a proper</w:t>
      </w:r>
      <w:r>
        <w:rPr>
          <w:spacing w:val="-4"/>
        </w:rPr>
        <w:t xml:space="preserve"> </w:t>
      </w:r>
      <w:r>
        <w:t>ID</w:t>
      </w:r>
      <w:r>
        <w:rPr>
          <w:spacing w:val="-3"/>
        </w:rPr>
        <w:t xml:space="preserve"> </w:t>
      </w:r>
      <w:r>
        <w:t>can</w:t>
      </w:r>
      <w:r>
        <w:rPr>
          <w:spacing w:val="-7"/>
        </w:rPr>
        <w:t xml:space="preserve"> </w:t>
      </w:r>
      <w:r>
        <w:t>often</w:t>
      </w:r>
      <w:r>
        <w:rPr>
          <w:spacing w:val="-5"/>
        </w:rPr>
        <w:t xml:space="preserve"> </w:t>
      </w:r>
      <w:r>
        <w:t>bar</w:t>
      </w:r>
      <w:r>
        <w:rPr>
          <w:spacing w:val="-7"/>
        </w:rPr>
        <w:t xml:space="preserve"> </w:t>
      </w:r>
      <w:r>
        <w:t>youth</w:t>
      </w:r>
      <w:r>
        <w:rPr>
          <w:spacing w:val="-5"/>
        </w:rPr>
        <w:t xml:space="preserve"> </w:t>
      </w:r>
      <w:r>
        <w:t>from</w:t>
      </w:r>
      <w:r>
        <w:rPr>
          <w:spacing w:val="-3"/>
        </w:rPr>
        <w:t xml:space="preserve"> </w:t>
      </w:r>
      <w:r>
        <w:t>receiving</w:t>
      </w:r>
      <w:r>
        <w:rPr>
          <w:spacing w:val="-5"/>
        </w:rPr>
        <w:t xml:space="preserve"> </w:t>
      </w:r>
      <w:r>
        <w:t>access</w:t>
      </w:r>
      <w:r>
        <w:rPr>
          <w:spacing w:val="-7"/>
        </w:rPr>
        <w:t xml:space="preserve"> </w:t>
      </w:r>
      <w:r>
        <w:t>to</w:t>
      </w:r>
      <w:r>
        <w:rPr>
          <w:spacing w:val="-5"/>
        </w:rPr>
        <w:t xml:space="preserve"> </w:t>
      </w:r>
      <w:r>
        <w:t>much-needed</w:t>
      </w:r>
      <w:r>
        <w:rPr>
          <w:spacing w:val="-7"/>
        </w:rPr>
        <w:t xml:space="preserve"> </w:t>
      </w:r>
      <w:r>
        <w:t>services</w:t>
      </w:r>
      <w:r>
        <w:rPr>
          <w:spacing w:val="-4"/>
        </w:rPr>
        <w:t xml:space="preserve"> </w:t>
      </w:r>
      <w:r>
        <w:t>-</w:t>
      </w:r>
      <w:r>
        <w:rPr>
          <w:spacing w:val="-5"/>
        </w:rPr>
        <w:t xml:space="preserve"> </w:t>
      </w:r>
      <w:r>
        <w:t>the</w:t>
      </w:r>
      <w:r>
        <w:rPr>
          <w:spacing w:val="-4"/>
        </w:rPr>
        <w:t xml:space="preserve"> </w:t>
      </w:r>
      <w:r>
        <w:t>2021</w:t>
      </w:r>
      <w:r>
        <w:rPr>
          <w:spacing w:val="-6"/>
        </w:rPr>
        <w:t xml:space="preserve"> </w:t>
      </w:r>
      <w:r>
        <w:t>Massachusetts Youth Count indicated that 28% of youth experiencing homelessness had difficulty accessing services due to lack of an ID or other identification documents.</w:t>
      </w:r>
      <w:hyperlink w:anchor="_bookmark909" w:history="1">
        <w:r>
          <w:rPr>
            <w:vertAlign w:val="superscript"/>
          </w:rPr>
          <w:t>2</w:t>
        </w:r>
      </w:hyperlink>
    </w:p>
    <w:p w:rsidR="00200FDA" w:rsidRDefault="00200FDA">
      <w:pPr>
        <w:pStyle w:val="BodyText"/>
        <w:spacing w:before="8"/>
        <w:rPr>
          <w:sz w:val="19"/>
        </w:rPr>
      </w:pPr>
    </w:p>
    <w:p w:rsidR="00200FDA" w:rsidRDefault="00F76C4C">
      <w:pPr>
        <w:pStyle w:val="BodyText"/>
        <w:spacing w:line="276" w:lineRule="auto"/>
        <w:ind w:left="280" w:right="414"/>
        <w:jc w:val="both"/>
      </w:pPr>
      <w:r>
        <w:t>If ID cards are lost, stolen,</w:t>
      </w:r>
      <w:r>
        <w:rPr>
          <w:spacing w:val="-2"/>
        </w:rPr>
        <w:t xml:space="preserve"> </w:t>
      </w:r>
      <w:r>
        <w:t>or confiscated by yout</w:t>
      </w:r>
      <w:r>
        <w:t>h experiencing homelessness, obtaining their ID cards once more can often be challenging. The Commission is pleased to know that the RMV has a system in place to help address these barriers by working with youth and providers to provide residency documenta</w:t>
      </w:r>
      <w:r>
        <w:t>tion</w:t>
      </w:r>
      <w:r>
        <w:rPr>
          <w:spacing w:val="-13"/>
        </w:rPr>
        <w:t xml:space="preserve"> </w:t>
      </w:r>
      <w:r>
        <w:t>for</w:t>
      </w:r>
      <w:r>
        <w:rPr>
          <w:spacing w:val="-12"/>
        </w:rPr>
        <w:t xml:space="preserve"> </w:t>
      </w:r>
      <w:r>
        <w:t>the</w:t>
      </w:r>
      <w:r>
        <w:rPr>
          <w:spacing w:val="-13"/>
        </w:rPr>
        <w:t xml:space="preserve"> </w:t>
      </w:r>
      <w:r>
        <w:t>ID</w:t>
      </w:r>
      <w:r>
        <w:rPr>
          <w:spacing w:val="-12"/>
        </w:rPr>
        <w:t xml:space="preserve"> </w:t>
      </w:r>
      <w:r>
        <w:t>applications</w:t>
      </w:r>
      <w:r>
        <w:rPr>
          <w:spacing w:val="-13"/>
        </w:rPr>
        <w:t xml:space="preserve"> </w:t>
      </w:r>
      <w:r>
        <w:t>if</w:t>
      </w:r>
      <w:r>
        <w:rPr>
          <w:spacing w:val="-12"/>
        </w:rPr>
        <w:t xml:space="preserve"> </w:t>
      </w:r>
      <w:r>
        <w:t>a</w:t>
      </w:r>
      <w:r>
        <w:rPr>
          <w:spacing w:val="-13"/>
        </w:rPr>
        <w:t xml:space="preserve"> </w:t>
      </w:r>
      <w:r>
        <w:t>youth</w:t>
      </w:r>
      <w:r>
        <w:rPr>
          <w:spacing w:val="-12"/>
        </w:rPr>
        <w:t xml:space="preserve"> </w:t>
      </w:r>
      <w:r>
        <w:t>is</w:t>
      </w:r>
      <w:r>
        <w:rPr>
          <w:spacing w:val="-12"/>
        </w:rPr>
        <w:t xml:space="preserve"> </w:t>
      </w:r>
      <w:r>
        <w:t>experiencing</w:t>
      </w:r>
      <w:r>
        <w:rPr>
          <w:spacing w:val="-13"/>
        </w:rPr>
        <w:t xml:space="preserve"> </w:t>
      </w:r>
      <w:r>
        <w:t>homelessness.</w:t>
      </w:r>
      <w:r>
        <w:rPr>
          <w:spacing w:val="-12"/>
        </w:rPr>
        <w:t xml:space="preserve"> </w:t>
      </w:r>
      <w:r>
        <w:t>In</w:t>
      </w:r>
      <w:r>
        <w:rPr>
          <w:spacing w:val="-13"/>
        </w:rPr>
        <w:t xml:space="preserve"> </w:t>
      </w:r>
      <w:r>
        <w:t>the</w:t>
      </w:r>
      <w:r>
        <w:rPr>
          <w:spacing w:val="-12"/>
        </w:rPr>
        <w:t xml:space="preserve"> </w:t>
      </w:r>
      <w:r>
        <w:t>case</w:t>
      </w:r>
      <w:r>
        <w:rPr>
          <w:spacing w:val="-13"/>
        </w:rPr>
        <w:t xml:space="preserve"> </w:t>
      </w:r>
      <w:r>
        <w:t>where</w:t>
      </w:r>
      <w:r>
        <w:rPr>
          <w:spacing w:val="-10"/>
        </w:rPr>
        <w:t xml:space="preserve"> </w:t>
      </w:r>
      <w:r>
        <w:t>a</w:t>
      </w:r>
      <w:r>
        <w:rPr>
          <w:spacing w:val="-13"/>
        </w:rPr>
        <w:t xml:space="preserve"> </w:t>
      </w:r>
      <w:r>
        <w:t>youth may</w:t>
      </w:r>
      <w:r>
        <w:rPr>
          <w:spacing w:val="-13"/>
        </w:rPr>
        <w:t xml:space="preserve"> </w:t>
      </w:r>
      <w:r>
        <w:t>have</w:t>
      </w:r>
      <w:r>
        <w:rPr>
          <w:spacing w:val="-12"/>
        </w:rPr>
        <w:t xml:space="preserve"> </w:t>
      </w:r>
      <w:r>
        <w:t>previously</w:t>
      </w:r>
      <w:r>
        <w:rPr>
          <w:spacing w:val="-13"/>
        </w:rPr>
        <w:t xml:space="preserve"> </w:t>
      </w:r>
      <w:r>
        <w:t>had</w:t>
      </w:r>
      <w:r>
        <w:rPr>
          <w:spacing w:val="-12"/>
        </w:rPr>
        <w:t xml:space="preserve"> </w:t>
      </w:r>
      <w:r>
        <w:t>an</w:t>
      </w:r>
      <w:r>
        <w:rPr>
          <w:spacing w:val="-13"/>
        </w:rPr>
        <w:t xml:space="preserve"> </w:t>
      </w:r>
      <w:r>
        <w:t>ID,</w:t>
      </w:r>
      <w:r>
        <w:rPr>
          <w:spacing w:val="-12"/>
        </w:rPr>
        <w:t xml:space="preserve"> </w:t>
      </w:r>
      <w:r>
        <w:t>the</w:t>
      </w:r>
      <w:r>
        <w:rPr>
          <w:spacing w:val="-13"/>
        </w:rPr>
        <w:t xml:space="preserve"> </w:t>
      </w:r>
      <w:r>
        <w:t>RMV</w:t>
      </w:r>
      <w:r>
        <w:rPr>
          <w:spacing w:val="-12"/>
        </w:rPr>
        <w:t xml:space="preserve"> </w:t>
      </w:r>
      <w:r>
        <w:t>can</w:t>
      </w:r>
      <w:r>
        <w:rPr>
          <w:spacing w:val="-12"/>
        </w:rPr>
        <w:t xml:space="preserve"> </w:t>
      </w:r>
      <w:r>
        <w:t>reissue</w:t>
      </w:r>
      <w:r>
        <w:rPr>
          <w:spacing w:val="-13"/>
        </w:rPr>
        <w:t xml:space="preserve"> </w:t>
      </w:r>
      <w:r>
        <w:t>a</w:t>
      </w:r>
      <w:r>
        <w:rPr>
          <w:spacing w:val="-12"/>
        </w:rPr>
        <w:t xml:space="preserve"> </w:t>
      </w:r>
      <w:r>
        <w:t>duplicate</w:t>
      </w:r>
      <w:r>
        <w:rPr>
          <w:spacing w:val="-13"/>
        </w:rPr>
        <w:t xml:space="preserve"> </w:t>
      </w:r>
      <w:r>
        <w:t>card</w:t>
      </w:r>
      <w:r>
        <w:rPr>
          <w:spacing w:val="-12"/>
        </w:rPr>
        <w:t xml:space="preserve"> </w:t>
      </w:r>
      <w:r>
        <w:t>-</w:t>
      </w:r>
      <w:r>
        <w:rPr>
          <w:spacing w:val="-13"/>
        </w:rPr>
        <w:t xml:space="preserve"> </w:t>
      </w:r>
      <w:r>
        <w:t>which</w:t>
      </w:r>
      <w:r>
        <w:rPr>
          <w:spacing w:val="-12"/>
        </w:rPr>
        <w:t xml:space="preserve"> </w:t>
      </w:r>
      <w:r>
        <w:t>happens</w:t>
      </w:r>
      <w:r>
        <w:rPr>
          <w:spacing w:val="-12"/>
        </w:rPr>
        <w:t xml:space="preserve"> </w:t>
      </w:r>
      <w:r>
        <w:t>in</w:t>
      </w:r>
      <w:r>
        <w:rPr>
          <w:spacing w:val="-13"/>
        </w:rPr>
        <w:t xml:space="preserve"> </w:t>
      </w:r>
      <w:r>
        <w:t>the</w:t>
      </w:r>
      <w:r>
        <w:rPr>
          <w:spacing w:val="-12"/>
        </w:rPr>
        <w:t xml:space="preserve"> </w:t>
      </w:r>
      <w:r>
        <w:t>vast</w:t>
      </w:r>
      <w:r>
        <w:rPr>
          <w:spacing w:val="-13"/>
        </w:rPr>
        <w:t xml:space="preserve"> </w:t>
      </w:r>
      <w:r>
        <w:t xml:space="preserve">majority of cases. Unfortunately, there remain barriers for unaccompanied youth under 18 who must provide a </w:t>
      </w:r>
      <w:hyperlink r:id="rId857">
        <w:r>
          <w:rPr>
            <w:color w:val="0000FF"/>
            <w:u w:val="single" w:color="0000FF"/>
          </w:rPr>
          <w:t>notarized affidavit</w:t>
        </w:r>
      </w:hyperlink>
      <w:r>
        <w:rPr>
          <w:color w:val="0000FF"/>
        </w:rPr>
        <w:t xml:space="preserve"> </w:t>
      </w:r>
      <w:r>
        <w:t>and a parent or guardian to sign off on t</w:t>
      </w:r>
      <w:r>
        <w:t>he identification card application. The Commission and the RMV hope to continue to work together to identify further barriers and solutions in the coming fiscal year.</w:t>
      </w:r>
    </w:p>
    <w:p w:rsidR="00200FDA" w:rsidRDefault="00200FDA">
      <w:pPr>
        <w:pStyle w:val="BodyText"/>
      </w:pPr>
    </w:p>
    <w:p w:rsidR="00200FDA" w:rsidRDefault="00F76C4C">
      <w:pPr>
        <w:pStyle w:val="Heading8"/>
        <w:spacing w:before="161"/>
        <w:ind w:left="280"/>
      </w:pPr>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spacing w:before="7"/>
        <w:rPr>
          <w:sz w:val="19"/>
        </w:rPr>
      </w:pPr>
    </w:p>
    <w:p w:rsidR="00200FDA" w:rsidRDefault="00F76C4C">
      <w:pPr>
        <w:pStyle w:val="BodyText"/>
        <w:spacing w:line="276" w:lineRule="auto"/>
        <w:ind w:left="280" w:right="414"/>
        <w:jc w:val="both"/>
      </w:pPr>
      <w:r>
        <w:t>Since</w:t>
      </w:r>
      <w:r>
        <w:rPr>
          <w:spacing w:val="-8"/>
        </w:rPr>
        <w:t xml:space="preserve"> </w:t>
      </w:r>
      <w:r>
        <w:t>2019,</w:t>
      </w:r>
      <w:r>
        <w:rPr>
          <w:spacing w:val="-11"/>
        </w:rPr>
        <w:t xml:space="preserve"> </w:t>
      </w:r>
      <w:r>
        <w:t>Massachusetts</w:t>
      </w:r>
      <w:r>
        <w:rPr>
          <w:spacing w:val="-11"/>
        </w:rPr>
        <w:t xml:space="preserve"> </w:t>
      </w:r>
      <w:r>
        <w:t>has</w:t>
      </w:r>
      <w:r>
        <w:rPr>
          <w:spacing w:val="-9"/>
        </w:rPr>
        <w:t xml:space="preserve"> </w:t>
      </w:r>
      <w:r>
        <w:t>allowed</w:t>
      </w:r>
      <w:r>
        <w:rPr>
          <w:spacing w:val="-10"/>
        </w:rPr>
        <w:t xml:space="preserve"> </w:t>
      </w:r>
      <w:r>
        <w:t>for</w:t>
      </w:r>
      <w:r>
        <w:rPr>
          <w:spacing w:val="-12"/>
        </w:rPr>
        <w:t xml:space="preserve"> </w:t>
      </w:r>
      <w:r>
        <w:t>residents</w:t>
      </w:r>
      <w:r>
        <w:rPr>
          <w:spacing w:val="-9"/>
        </w:rPr>
        <w:t xml:space="preserve"> </w:t>
      </w:r>
      <w:r>
        <w:t>to</w:t>
      </w:r>
      <w:r>
        <w:rPr>
          <w:spacing w:val="-10"/>
        </w:rPr>
        <w:t xml:space="preserve"> </w:t>
      </w:r>
      <w:r>
        <w:t>select</w:t>
      </w:r>
      <w:r>
        <w:rPr>
          <w:spacing w:val="-8"/>
        </w:rPr>
        <w:t xml:space="preserve"> </w:t>
      </w:r>
      <w:r>
        <w:t>a</w:t>
      </w:r>
      <w:r>
        <w:rPr>
          <w:spacing w:val="-12"/>
        </w:rPr>
        <w:t xml:space="preserve"> </w:t>
      </w:r>
      <w:r>
        <w:t>non</w:t>
      </w:r>
      <w:r>
        <w:t>binary</w:t>
      </w:r>
      <w:r>
        <w:rPr>
          <w:spacing w:val="-11"/>
        </w:rPr>
        <w:t xml:space="preserve"> </w:t>
      </w:r>
      <w:r>
        <w:t>‘X’</w:t>
      </w:r>
      <w:r>
        <w:rPr>
          <w:spacing w:val="-11"/>
        </w:rPr>
        <w:t xml:space="preserve"> </w:t>
      </w:r>
      <w:r>
        <w:t>marker</w:t>
      </w:r>
      <w:r>
        <w:rPr>
          <w:spacing w:val="-11"/>
        </w:rPr>
        <w:t xml:space="preserve"> </w:t>
      </w:r>
      <w:r>
        <w:t>on</w:t>
      </w:r>
      <w:r>
        <w:rPr>
          <w:spacing w:val="-10"/>
        </w:rPr>
        <w:t xml:space="preserve"> </w:t>
      </w:r>
      <w:r>
        <w:t>driver’s</w:t>
      </w:r>
      <w:r>
        <w:rPr>
          <w:spacing w:val="-9"/>
        </w:rPr>
        <w:t xml:space="preserve"> </w:t>
      </w:r>
      <w:r>
        <w:t>licenses and</w:t>
      </w:r>
      <w:r>
        <w:rPr>
          <w:spacing w:val="40"/>
        </w:rPr>
        <w:t xml:space="preserve"> </w:t>
      </w:r>
      <w:r>
        <w:t>non-driver</w:t>
      </w:r>
      <w:r>
        <w:rPr>
          <w:spacing w:val="40"/>
        </w:rPr>
        <w:t xml:space="preserve"> </w:t>
      </w:r>
      <w:r>
        <w:t>state</w:t>
      </w:r>
      <w:r>
        <w:rPr>
          <w:spacing w:val="40"/>
        </w:rPr>
        <w:t xml:space="preserve"> </w:t>
      </w:r>
      <w:r>
        <w:t>IDs,</w:t>
      </w:r>
      <w:r>
        <w:rPr>
          <w:spacing w:val="40"/>
        </w:rPr>
        <w:t xml:space="preserve"> </w:t>
      </w:r>
      <w:r>
        <w:t>while</w:t>
      </w:r>
      <w:r>
        <w:rPr>
          <w:spacing w:val="40"/>
        </w:rPr>
        <w:t xml:space="preserve"> </w:t>
      </w:r>
      <w:r>
        <w:t>still</w:t>
      </w:r>
      <w:r>
        <w:rPr>
          <w:spacing w:val="40"/>
        </w:rPr>
        <w:t xml:space="preserve"> </w:t>
      </w:r>
      <w:r>
        <w:t>being</w:t>
      </w:r>
      <w:r>
        <w:rPr>
          <w:spacing w:val="40"/>
        </w:rPr>
        <w:t xml:space="preserve"> </w:t>
      </w:r>
      <w:r>
        <w:t>fully</w:t>
      </w:r>
      <w:r>
        <w:rPr>
          <w:spacing w:val="40"/>
        </w:rPr>
        <w:t xml:space="preserve"> </w:t>
      </w:r>
      <w:r>
        <w:t>compliant</w:t>
      </w:r>
      <w:r>
        <w:rPr>
          <w:spacing w:val="40"/>
        </w:rPr>
        <w:t xml:space="preserve"> </w:t>
      </w:r>
      <w:r>
        <w:t>with</w:t>
      </w:r>
      <w:r>
        <w:rPr>
          <w:spacing w:val="40"/>
        </w:rPr>
        <w:t xml:space="preserve"> </w:t>
      </w:r>
      <w:r>
        <w:t>federal</w:t>
      </w:r>
      <w:r>
        <w:rPr>
          <w:spacing w:val="40"/>
        </w:rPr>
        <w:t xml:space="preserve"> </w:t>
      </w:r>
      <w:r>
        <w:t>REAL</w:t>
      </w:r>
      <w:r>
        <w:rPr>
          <w:spacing w:val="40"/>
        </w:rPr>
        <w:t xml:space="preserve"> </w:t>
      </w:r>
      <w:r>
        <w:t>ID</w:t>
      </w:r>
      <w:r>
        <w:rPr>
          <w:spacing w:val="40"/>
        </w:rPr>
        <w:t xml:space="preserve"> </w:t>
      </w:r>
      <w:r>
        <w:t>requirements.</w:t>
      </w:r>
      <w:r>
        <w:rPr>
          <w:spacing w:val="40"/>
        </w:rPr>
        <w:t xml:space="preserve"> </w:t>
      </w:r>
      <w:r>
        <w:t>No</w:t>
      </w:r>
    </w:p>
    <w:p w:rsidR="00200FDA" w:rsidRDefault="00200FDA">
      <w:pPr>
        <w:spacing w:line="276" w:lineRule="auto"/>
        <w:jc w:val="both"/>
        <w:sectPr w:rsidR="00200FDA">
          <w:headerReference w:type="default" r:id="rId858"/>
          <w:footerReference w:type="default" r:id="rId859"/>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79" w:right="416"/>
        <w:jc w:val="both"/>
      </w:pPr>
      <w:r>
        <w:t>documentation is required, and prior to this policy change in 2018, the RMV had also enacted policy changes</w:t>
      </w:r>
      <w:r>
        <w:rPr>
          <w:spacing w:val="-6"/>
        </w:rPr>
        <w:t xml:space="preserve"> </w:t>
      </w:r>
      <w:r>
        <w:t>to</w:t>
      </w:r>
      <w:r>
        <w:rPr>
          <w:spacing w:val="-8"/>
        </w:rPr>
        <w:t xml:space="preserve"> </w:t>
      </w:r>
      <w:r>
        <w:t>ensure</w:t>
      </w:r>
      <w:r>
        <w:rPr>
          <w:spacing w:val="-6"/>
        </w:rPr>
        <w:t xml:space="preserve"> </w:t>
      </w:r>
      <w:r>
        <w:t>that</w:t>
      </w:r>
      <w:r>
        <w:rPr>
          <w:spacing w:val="-6"/>
        </w:rPr>
        <w:t xml:space="preserve"> </w:t>
      </w:r>
      <w:r>
        <w:t>transgender</w:t>
      </w:r>
      <w:r>
        <w:rPr>
          <w:spacing w:val="-7"/>
        </w:rPr>
        <w:t xml:space="preserve"> </w:t>
      </w:r>
      <w:r>
        <w:t>residents</w:t>
      </w:r>
      <w:r>
        <w:rPr>
          <w:spacing w:val="-7"/>
        </w:rPr>
        <w:t xml:space="preserve"> </w:t>
      </w:r>
      <w:r>
        <w:t>who</w:t>
      </w:r>
      <w:r>
        <w:rPr>
          <w:spacing w:val="-5"/>
        </w:rPr>
        <w:t xml:space="preserve"> </w:t>
      </w:r>
      <w:r>
        <w:t>wished</w:t>
      </w:r>
      <w:r>
        <w:rPr>
          <w:spacing w:val="-7"/>
        </w:rPr>
        <w:t xml:space="preserve"> </w:t>
      </w:r>
      <w:r>
        <w:t>to</w:t>
      </w:r>
      <w:r>
        <w:rPr>
          <w:spacing w:val="-5"/>
        </w:rPr>
        <w:t xml:space="preserve"> </w:t>
      </w:r>
      <w:r>
        <w:t>update</w:t>
      </w:r>
      <w:r>
        <w:rPr>
          <w:spacing w:val="-9"/>
        </w:rPr>
        <w:t xml:space="preserve"> </w:t>
      </w:r>
      <w:r>
        <w:t>their</w:t>
      </w:r>
      <w:r>
        <w:rPr>
          <w:spacing w:val="-7"/>
        </w:rPr>
        <w:t xml:space="preserve"> </w:t>
      </w:r>
      <w:r>
        <w:t>gender</w:t>
      </w:r>
      <w:r>
        <w:rPr>
          <w:spacing w:val="-9"/>
        </w:rPr>
        <w:t xml:space="preserve"> </w:t>
      </w:r>
      <w:r>
        <w:t>marker</w:t>
      </w:r>
      <w:r>
        <w:rPr>
          <w:spacing w:val="-7"/>
        </w:rPr>
        <w:t xml:space="preserve"> </w:t>
      </w:r>
      <w:r>
        <w:t>from</w:t>
      </w:r>
      <w:r>
        <w:rPr>
          <w:spacing w:val="-5"/>
        </w:rPr>
        <w:t xml:space="preserve"> </w:t>
      </w:r>
      <w:r>
        <w:t>‘male’</w:t>
      </w:r>
      <w:r>
        <w:rPr>
          <w:spacing w:val="-7"/>
        </w:rPr>
        <w:t xml:space="preserve"> </w:t>
      </w:r>
      <w:r>
        <w:t>to ‘female’ or vice versa did not have to provide documentation.</w:t>
      </w:r>
      <w:hyperlink w:anchor="_bookmark910" w:history="1">
        <w:r>
          <w:rPr>
            <w:vertAlign w:val="superscript"/>
          </w:rPr>
          <w:t>3</w:t>
        </w:r>
      </w:hyperlink>
      <w:r>
        <w:rPr>
          <w:spacing w:val="-2"/>
        </w:rPr>
        <w:t xml:space="preserve"> </w:t>
      </w:r>
      <w:r>
        <w:t>These changes have helped to remove many of the barriers that LGBTQ youth have faced in obtaining appropriate identity documents.</w:t>
      </w:r>
    </w:p>
    <w:p w:rsidR="00200FDA" w:rsidRDefault="00200FDA">
      <w:pPr>
        <w:pStyle w:val="BodyText"/>
        <w:spacing w:before="8"/>
        <w:rPr>
          <w:sz w:val="19"/>
        </w:rPr>
      </w:pPr>
    </w:p>
    <w:p w:rsidR="00200FDA" w:rsidRDefault="00F76C4C">
      <w:pPr>
        <w:pStyle w:val="BodyText"/>
        <w:spacing w:before="1" w:line="276" w:lineRule="auto"/>
        <w:ind w:left="279" w:right="414"/>
        <w:jc w:val="both"/>
      </w:pPr>
      <w:r>
        <w:t>Still further changes could</w:t>
      </w:r>
      <w:r>
        <w:t xml:space="preserve"> be made at the state level to continue to address barriers in access. As detailed</w:t>
      </w:r>
      <w:r>
        <w:rPr>
          <w:spacing w:val="-7"/>
        </w:rPr>
        <w:t xml:space="preserve"> </w:t>
      </w:r>
      <w:r>
        <w:t>in</w:t>
      </w:r>
      <w:r>
        <w:rPr>
          <w:spacing w:val="-10"/>
        </w:rPr>
        <w:t xml:space="preserve"> </w:t>
      </w:r>
      <w:r>
        <w:t>previous</w:t>
      </w:r>
      <w:r>
        <w:rPr>
          <w:spacing w:val="-9"/>
        </w:rPr>
        <w:t xml:space="preserve"> </w:t>
      </w:r>
      <w:r>
        <w:t>annual</w:t>
      </w:r>
      <w:r>
        <w:rPr>
          <w:spacing w:val="-9"/>
        </w:rPr>
        <w:t xml:space="preserve"> </w:t>
      </w:r>
      <w:r>
        <w:t>reports,</w:t>
      </w:r>
      <w:r>
        <w:rPr>
          <w:spacing w:val="-6"/>
        </w:rPr>
        <w:t xml:space="preserve"> </w:t>
      </w:r>
      <w:r>
        <w:t>the</w:t>
      </w:r>
      <w:r>
        <w:rPr>
          <w:spacing w:val="-8"/>
        </w:rPr>
        <w:t xml:space="preserve"> </w:t>
      </w:r>
      <w:r>
        <w:t>RMV</w:t>
      </w:r>
      <w:r>
        <w:rPr>
          <w:spacing w:val="-9"/>
        </w:rPr>
        <w:t xml:space="preserve"> </w:t>
      </w:r>
      <w:r>
        <w:t>has</w:t>
      </w:r>
      <w:r>
        <w:rPr>
          <w:spacing w:val="-9"/>
        </w:rPr>
        <w:t xml:space="preserve"> </w:t>
      </w:r>
      <w:r>
        <w:t>continued</w:t>
      </w:r>
      <w:r>
        <w:rPr>
          <w:spacing w:val="-7"/>
        </w:rPr>
        <w:t xml:space="preserve"> </w:t>
      </w:r>
      <w:r>
        <w:t>to</w:t>
      </w:r>
      <w:r>
        <w:rPr>
          <w:spacing w:val="-8"/>
        </w:rPr>
        <w:t xml:space="preserve"> </w:t>
      </w:r>
      <w:r>
        <w:t>share</w:t>
      </w:r>
      <w:r>
        <w:rPr>
          <w:spacing w:val="-6"/>
        </w:rPr>
        <w:t xml:space="preserve"> </w:t>
      </w:r>
      <w:r>
        <w:t>data</w:t>
      </w:r>
      <w:r>
        <w:rPr>
          <w:spacing w:val="-7"/>
        </w:rPr>
        <w:t xml:space="preserve"> </w:t>
      </w:r>
      <w:r>
        <w:t>relating</w:t>
      </w:r>
      <w:r>
        <w:rPr>
          <w:spacing w:val="-10"/>
        </w:rPr>
        <w:t xml:space="preserve"> </w:t>
      </w:r>
      <w:r>
        <w:t>to</w:t>
      </w:r>
      <w:r>
        <w:rPr>
          <w:spacing w:val="-8"/>
        </w:rPr>
        <w:t xml:space="preserve"> </w:t>
      </w:r>
      <w:r>
        <w:t>the</w:t>
      </w:r>
      <w:r>
        <w:rPr>
          <w:spacing w:val="-8"/>
        </w:rPr>
        <w:t xml:space="preserve"> </w:t>
      </w:r>
      <w:r>
        <w:t>selection</w:t>
      </w:r>
      <w:r>
        <w:rPr>
          <w:spacing w:val="-10"/>
        </w:rPr>
        <w:t xml:space="preserve"> </w:t>
      </w:r>
      <w:r>
        <w:t>of</w:t>
      </w:r>
      <w:r>
        <w:rPr>
          <w:spacing w:val="-9"/>
        </w:rPr>
        <w:t xml:space="preserve"> </w:t>
      </w:r>
      <w:r>
        <w:t>the ‘X’</w:t>
      </w:r>
      <w:r>
        <w:rPr>
          <w:spacing w:val="-11"/>
        </w:rPr>
        <w:t xml:space="preserve"> </w:t>
      </w:r>
      <w:r>
        <w:t>marker</w:t>
      </w:r>
      <w:r>
        <w:rPr>
          <w:spacing w:val="-11"/>
        </w:rPr>
        <w:t xml:space="preserve"> </w:t>
      </w:r>
      <w:r>
        <w:t>for</w:t>
      </w:r>
      <w:r>
        <w:rPr>
          <w:spacing w:val="-11"/>
        </w:rPr>
        <w:t xml:space="preserve"> </w:t>
      </w:r>
      <w:r>
        <w:t>Massachusetts</w:t>
      </w:r>
      <w:r>
        <w:rPr>
          <w:spacing w:val="-11"/>
        </w:rPr>
        <w:t xml:space="preserve"> </w:t>
      </w:r>
      <w:r>
        <w:t>residents.</w:t>
      </w:r>
      <w:r>
        <w:rPr>
          <w:spacing w:val="-12"/>
        </w:rPr>
        <w:t xml:space="preserve"> </w:t>
      </w:r>
      <w:r>
        <w:t>The</w:t>
      </w:r>
      <w:r>
        <w:rPr>
          <w:spacing w:val="-11"/>
        </w:rPr>
        <w:t xml:space="preserve"> </w:t>
      </w:r>
      <w:r>
        <w:t>Commission</w:t>
      </w:r>
      <w:r>
        <w:rPr>
          <w:spacing w:val="-12"/>
        </w:rPr>
        <w:t xml:space="preserve"> </w:t>
      </w:r>
      <w:r>
        <w:t>has</w:t>
      </w:r>
      <w:r>
        <w:rPr>
          <w:spacing w:val="-11"/>
        </w:rPr>
        <w:t xml:space="preserve"> </w:t>
      </w:r>
      <w:r>
        <w:t>heard</w:t>
      </w:r>
      <w:r>
        <w:rPr>
          <w:spacing w:val="-12"/>
        </w:rPr>
        <w:t xml:space="preserve"> </w:t>
      </w:r>
      <w:r>
        <w:t>from</w:t>
      </w:r>
      <w:r>
        <w:rPr>
          <w:spacing w:val="-10"/>
        </w:rPr>
        <w:t xml:space="preserve"> </w:t>
      </w:r>
      <w:r>
        <w:t>youth</w:t>
      </w:r>
      <w:r>
        <w:rPr>
          <w:spacing w:val="-12"/>
        </w:rPr>
        <w:t xml:space="preserve"> </w:t>
      </w:r>
      <w:r>
        <w:t>and</w:t>
      </w:r>
      <w:r>
        <w:rPr>
          <w:spacing w:val="-12"/>
        </w:rPr>
        <w:t xml:space="preserve"> </w:t>
      </w:r>
      <w:r>
        <w:t>advocates</w:t>
      </w:r>
      <w:r>
        <w:rPr>
          <w:spacing w:val="-11"/>
        </w:rPr>
        <w:t xml:space="preserve"> </w:t>
      </w:r>
      <w:r>
        <w:t>that</w:t>
      </w:r>
      <w:r>
        <w:rPr>
          <w:spacing w:val="-13"/>
        </w:rPr>
        <w:t xml:space="preserve"> </w:t>
      </w:r>
      <w:r>
        <w:t>many QTBIPOC youth, particularly Black youth, do not use the ‘X’ marker on their documentation for fear of inspiring further discrimination from law enforcement. As detailed in the above ‘Advancing Justice’ section,</w:t>
      </w:r>
      <w:r>
        <w:rPr>
          <w:spacing w:val="-2"/>
        </w:rPr>
        <w:t xml:space="preserve"> </w:t>
      </w:r>
      <w:r>
        <w:t>QTBIPOC</w:t>
      </w:r>
      <w:r>
        <w:rPr>
          <w:spacing w:val="-4"/>
        </w:rPr>
        <w:t xml:space="preserve"> </w:t>
      </w:r>
      <w:r>
        <w:t>youth</w:t>
      </w:r>
      <w:r>
        <w:rPr>
          <w:spacing w:val="-3"/>
        </w:rPr>
        <w:t xml:space="preserve"> </w:t>
      </w:r>
      <w:r>
        <w:t>face</w:t>
      </w:r>
      <w:r>
        <w:rPr>
          <w:spacing w:val="-2"/>
        </w:rPr>
        <w:t xml:space="preserve"> </w:t>
      </w:r>
      <w:r>
        <w:t>di</w:t>
      </w:r>
      <w:r>
        <w:t>sproportionate</w:t>
      </w:r>
      <w:r>
        <w:rPr>
          <w:spacing w:val="-4"/>
        </w:rPr>
        <w:t xml:space="preserve"> </w:t>
      </w:r>
      <w:r>
        <w:t>attention</w:t>
      </w:r>
      <w:r>
        <w:rPr>
          <w:spacing w:val="-3"/>
        </w:rPr>
        <w:t xml:space="preserve"> </w:t>
      </w:r>
      <w:r>
        <w:t>from</w:t>
      </w:r>
      <w:r>
        <w:rPr>
          <w:spacing w:val="-2"/>
        </w:rPr>
        <w:t xml:space="preserve"> </w:t>
      </w:r>
      <w:r>
        <w:t>police,</w:t>
      </w:r>
      <w:r>
        <w:rPr>
          <w:spacing w:val="-2"/>
        </w:rPr>
        <w:t xml:space="preserve"> </w:t>
      </w:r>
      <w:r>
        <w:t>and</w:t>
      </w:r>
      <w:r>
        <w:rPr>
          <w:spacing w:val="-3"/>
        </w:rPr>
        <w:t xml:space="preserve"> </w:t>
      </w:r>
      <w:r>
        <w:t>are</w:t>
      </w:r>
      <w:r>
        <w:rPr>
          <w:spacing w:val="-4"/>
        </w:rPr>
        <w:t xml:space="preserve"> </w:t>
      </w:r>
      <w:r>
        <w:t>often</w:t>
      </w:r>
      <w:r>
        <w:rPr>
          <w:spacing w:val="-3"/>
        </w:rPr>
        <w:t xml:space="preserve"> </w:t>
      </w:r>
      <w:r>
        <w:t>the</w:t>
      </w:r>
      <w:r>
        <w:rPr>
          <w:spacing w:val="-4"/>
        </w:rPr>
        <w:t xml:space="preserve"> </w:t>
      </w:r>
      <w:r>
        <w:t>victims</w:t>
      </w:r>
      <w:r>
        <w:rPr>
          <w:spacing w:val="-4"/>
        </w:rPr>
        <w:t xml:space="preserve"> </w:t>
      </w:r>
      <w:r>
        <w:t>of</w:t>
      </w:r>
      <w:r>
        <w:rPr>
          <w:spacing w:val="-2"/>
        </w:rPr>
        <w:t xml:space="preserve"> </w:t>
      </w:r>
      <w:r>
        <w:t>police harassment and violence, some of which is instigated during traffic stops. While the Commission understands that the RMV does not currently collect race &amp; ethnicity data on license a</w:t>
      </w:r>
      <w:r>
        <w:t>pplications, the Commission hopes to work with the RMV and advocates for solutions to addressing these barriers.</w:t>
      </w:r>
    </w:p>
    <w:p w:rsidR="00200FDA" w:rsidRDefault="00200FDA">
      <w:pPr>
        <w:pStyle w:val="BodyText"/>
        <w:spacing w:before="10"/>
        <w:rPr>
          <w:sz w:val="32"/>
        </w:rPr>
      </w:pPr>
    </w:p>
    <w:p w:rsidR="00200FDA" w:rsidRDefault="00F76C4C">
      <w:pPr>
        <w:pStyle w:val="Heading7"/>
        <w:jc w:val="both"/>
      </w:pPr>
      <w:r>
        <w:pict>
          <v:rect id="docshape619" o:spid="_x0000_s1042" style="position:absolute;left:0;text-align:left;margin-left:70.55pt;margin-top:18pt;width:470.9pt;height:.5pt;z-index:-15598080;mso-wrap-distance-left:0;mso-wrap-distance-right:0;mso-position-horizontal-relative:page" fillcolor="#4f81bc" stroked="f">
            <w10:wrap type="topAndBottom" anchorx="page"/>
          </v:rect>
        </w:pict>
      </w:r>
      <w:bookmarkStart w:id="1168" w:name="FY_2024_Expanded_RMV_Recommendations"/>
      <w:bookmarkEnd w:id="1168"/>
      <w:r>
        <w:rPr>
          <w:color w:val="365F91"/>
        </w:rPr>
        <w:t>FY</w:t>
      </w:r>
      <w:r>
        <w:rPr>
          <w:color w:val="365F91"/>
          <w:spacing w:val="-4"/>
        </w:rPr>
        <w:t xml:space="preserve"> </w:t>
      </w:r>
      <w:r>
        <w:rPr>
          <w:color w:val="365F91"/>
        </w:rPr>
        <w:t>2024</w:t>
      </w:r>
      <w:r>
        <w:rPr>
          <w:color w:val="365F91"/>
          <w:spacing w:val="-5"/>
        </w:rPr>
        <w:t xml:space="preserve"> </w:t>
      </w:r>
      <w:r>
        <w:rPr>
          <w:color w:val="365F91"/>
        </w:rPr>
        <w:t>Expanded</w:t>
      </w:r>
      <w:r>
        <w:rPr>
          <w:color w:val="365F91"/>
          <w:spacing w:val="-3"/>
        </w:rPr>
        <w:t xml:space="preserve"> </w:t>
      </w:r>
      <w:r>
        <w:rPr>
          <w:color w:val="365F91"/>
        </w:rPr>
        <w:t>RMV</w:t>
      </w:r>
      <w:r>
        <w:rPr>
          <w:color w:val="365F91"/>
          <w:spacing w:val="-4"/>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5"/>
        </w:numPr>
        <w:tabs>
          <w:tab w:val="left" w:pos="501"/>
        </w:tabs>
        <w:spacing w:before="56"/>
      </w:pPr>
      <w:r>
        <w:t>Provide</w:t>
      </w:r>
      <w:r>
        <w:rPr>
          <w:spacing w:val="-7"/>
        </w:rPr>
        <w:t xml:space="preserve"> </w:t>
      </w:r>
      <w:r>
        <w:t>LGBTQ</w:t>
      </w:r>
      <w:r>
        <w:rPr>
          <w:spacing w:val="-6"/>
        </w:rPr>
        <w:t xml:space="preserve"> </w:t>
      </w:r>
      <w:r>
        <w:t>cultural</w:t>
      </w:r>
      <w:r>
        <w:rPr>
          <w:spacing w:val="-5"/>
        </w:rPr>
        <w:t xml:space="preserve"> </w:t>
      </w:r>
      <w:r>
        <w:t>engagement</w:t>
      </w:r>
      <w:r>
        <w:rPr>
          <w:spacing w:val="-4"/>
        </w:rPr>
        <w:t xml:space="preserve"> </w:t>
      </w:r>
      <w:r>
        <w:t>and</w:t>
      </w:r>
      <w:r>
        <w:rPr>
          <w:spacing w:val="-5"/>
        </w:rPr>
        <w:t xml:space="preserve"> </w:t>
      </w:r>
      <w:r>
        <w:t>racial</w:t>
      </w:r>
      <w:r>
        <w:rPr>
          <w:spacing w:val="-3"/>
        </w:rPr>
        <w:t xml:space="preserve"> </w:t>
      </w:r>
      <w:r>
        <w:t>equity</w:t>
      </w:r>
      <w:r>
        <w:rPr>
          <w:spacing w:val="-5"/>
        </w:rPr>
        <w:t xml:space="preserve"> </w:t>
      </w:r>
      <w:r>
        <w:t>training</w:t>
      </w:r>
      <w:r>
        <w:rPr>
          <w:spacing w:val="-3"/>
        </w:rPr>
        <w:t xml:space="preserve"> </w:t>
      </w:r>
      <w:r>
        <w:t>for</w:t>
      </w:r>
      <w:r>
        <w:rPr>
          <w:spacing w:val="-6"/>
        </w:rPr>
        <w:t xml:space="preserve"> </w:t>
      </w:r>
      <w:r>
        <w:t>all</w:t>
      </w:r>
      <w:r>
        <w:rPr>
          <w:spacing w:val="-5"/>
        </w:rPr>
        <w:t xml:space="preserve"> </w:t>
      </w:r>
      <w:r>
        <w:rPr>
          <w:spacing w:val="-2"/>
        </w:rPr>
        <w:t>staff.</w:t>
      </w:r>
    </w:p>
    <w:p w:rsidR="00200FDA" w:rsidRDefault="00200FDA">
      <w:pPr>
        <w:pStyle w:val="BodyText"/>
        <w:rPr>
          <w:b/>
          <w:sz w:val="23"/>
        </w:rPr>
      </w:pPr>
    </w:p>
    <w:p w:rsidR="00200FDA" w:rsidRDefault="00F76C4C">
      <w:pPr>
        <w:pStyle w:val="BodyText"/>
        <w:spacing w:before="1" w:line="276" w:lineRule="auto"/>
        <w:ind w:left="280" w:right="415"/>
        <w:jc w:val="both"/>
      </w:pPr>
      <w:r>
        <w:t>The Commission is pleased to offer this one recommendation to the RMV this upcoming fiscal year, as it recognizes the significant progress being made in Massachusetts to improve access to identification documents for LGBTQ youth. Throughout the 2023 fiscal</w:t>
      </w:r>
      <w:r>
        <w:t xml:space="preserve"> year, the Commission has been engaged in conversations with the RMV to explore ways to provide trainings to all staff. The RMV is interested in participating in the Commission’s agency training curriculum, and the Commission looks forward to facilitating </w:t>
      </w:r>
      <w:r>
        <w:t>these trainings in FY 2024.</w:t>
      </w:r>
    </w:p>
    <w:p w:rsidR="00200FDA" w:rsidRDefault="00200FDA">
      <w:pPr>
        <w:pStyle w:val="BodyText"/>
      </w:pPr>
    </w:p>
    <w:p w:rsidR="00200FDA" w:rsidRDefault="00200FDA">
      <w:pPr>
        <w:pStyle w:val="BodyText"/>
      </w:pPr>
    </w:p>
    <w:p w:rsidR="00200FDA" w:rsidRDefault="00200FDA">
      <w:pPr>
        <w:pStyle w:val="BodyText"/>
        <w:spacing w:before="7"/>
        <w:rPr>
          <w:sz w:val="20"/>
        </w:rPr>
      </w:pPr>
    </w:p>
    <w:p w:rsidR="00200FDA" w:rsidRDefault="00F76C4C">
      <w:pPr>
        <w:ind w:left="280"/>
        <w:jc w:val="both"/>
      </w:pPr>
      <w:r>
        <w:rPr>
          <w:i/>
        </w:rPr>
        <w:t>Acknowledgments:</w:t>
      </w:r>
      <w:r>
        <w:rPr>
          <w:i/>
          <w:spacing w:val="-7"/>
        </w:rPr>
        <w:t xml:space="preserve"> </w:t>
      </w:r>
      <w:r>
        <w:rPr>
          <w:i/>
        </w:rPr>
        <w:t>The</w:t>
      </w:r>
      <w:r>
        <w:rPr>
          <w:i/>
          <w:spacing w:val="-5"/>
        </w:rPr>
        <w:t xml:space="preserve"> </w:t>
      </w:r>
      <w:r>
        <w:rPr>
          <w:i/>
        </w:rPr>
        <w:t>Commission</w:t>
      </w:r>
      <w:r>
        <w:rPr>
          <w:i/>
          <w:spacing w:val="-5"/>
        </w:rPr>
        <w:t xml:space="preserve"> </w:t>
      </w:r>
      <w:r>
        <w:rPr>
          <w:i/>
        </w:rPr>
        <w:t>thanks</w:t>
      </w:r>
      <w:r>
        <w:rPr>
          <w:i/>
          <w:spacing w:val="-5"/>
        </w:rPr>
        <w:t xml:space="preserve"> </w:t>
      </w:r>
      <w:r>
        <w:rPr>
          <w:i/>
        </w:rPr>
        <w:t>the</w:t>
      </w:r>
      <w:r>
        <w:rPr>
          <w:i/>
          <w:spacing w:val="-4"/>
        </w:rPr>
        <w:t xml:space="preserve"> </w:t>
      </w:r>
      <w:r>
        <w:rPr>
          <w:i/>
        </w:rPr>
        <w:t>contributions</w:t>
      </w:r>
      <w:r>
        <w:rPr>
          <w:i/>
          <w:spacing w:val="-4"/>
        </w:rPr>
        <w:t xml:space="preserve"> </w:t>
      </w:r>
      <w:r>
        <w:rPr>
          <w:i/>
        </w:rPr>
        <w:t>of</w:t>
      </w:r>
      <w:r>
        <w:rPr>
          <w:i/>
          <w:spacing w:val="-4"/>
        </w:rPr>
        <w:t xml:space="preserve"> </w:t>
      </w:r>
      <w:r>
        <w:rPr>
          <w:i/>
        </w:rPr>
        <w:t>its</w:t>
      </w:r>
      <w:r>
        <w:rPr>
          <w:i/>
          <w:spacing w:val="-6"/>
        </w:rPr>
        <w:t xml:space="preserve"> </w:t>
      </w:r>
      <w:r>
        <w:rPr>
          <w:i/>
        </w:rPr>
        <w:t>RMV</w:t>
      </w:r>
      <w:r>
        <w:rPr>
          <w:i/>
          <w:spacing w:val="-6"/>
        </w:rPr>
        <w:t xml:space="preserve"> </w:t>
      </w:r>
      <w:r>
        <w:rPr>
          <w:i/>
        </w:rPr>
        <w:t>staff</w:t>
      </w:r>
      <w:r>
        <w:rPr>
          <w:i/>
          <w:spacing w:val="-4"/>
        </w:rPr>
        <w:t xml:space="preserve"> </w:t>
      </w:r>
      <w:r>
        <w:rPr>
          <w:i/>
          <w:spacing w:val="-2"/>
        </w:rPr>
        <w:t>liaisons</w:t>
      </w:r>
      <w:r>
        <w:rPr>
          <w:spacing w:val="-2"/>
        </w:rPr>
        <w:t>.</w:t>
      </w:r>
    </w:p>
    <w:p w:rsidR="00200FDA" w:rsidRDefault="00200FDA">
      <w:pPr>
        <w:pStyle w:val="BodyText"/>
      </w:pPr>
    </w:p>
    <w:p w:rsidR="00200FDA" w:rsidRDefault="00200FDA">
      <w:pPr>
        <w:pStyle w:val="BodyText"/>
      </w:pPr>
    </w:p>
    <w:p w:rsidR="00200FDA" w:rsidRDefault="00200FDA">
      <w:pPr>
        <w:pStyle w:val="BodyText"/>
      </w:pPr>
    </w:p>
    <w:p w:rsidR="00200FDA" w:rsidRDefault="00200FDA">
      <w:pPr>
        <w:pStyle w:val="BodyText"/>
        <w:spacing w:before="1"/>
      </w:pPr>
    </w:p>
    <w:p w:rsidR="00200FDA" w:rsidRDefault="00F76C4C">
      <w:pPr>
        <w:spacing w:before="1"/>
        <w:ind w:left="280" w:right="681" w:hanging="1"/>
        <w:rPr>
          <w:sz w:val="18"/>
        </w:rPr>
      </w:pPr>
      <w:bookmarkStart w:id="1169" w:name="_bookmark908"/>
      <w:bookmarkEnd w:id="1169"/>
      <w:r>
        <w:rPr>
          <w:position w:val="5"/>
          <w:sz w:val="12"/>
        </w:rPr>
        <w:t>1</w:t>
      </w:r>
      <w:r>
        <w:rPr>
          <w:spacing w:val="15"/>
          <w:position w:val="5"/>
          <w:sz w:val="12"/>
        </w:rPr>
        <w:t xml:space="preserve"> </w:t>
      </w:r>
      <w:r>
        <w:rPr>
          <w:sz w:val="18"/>
        </w:rPr>
        <w:t>S. E. James et al., “The Report of the 2015 U.S. Transgender Survey” (Washington, D.C.: National Center for Transgender Equality</w:t>
      </w:r>
      <w:r>
        <w:rPr>
          <w:spacing w:val="-5"/>
          <w:sz w:val="18"/>
        </w:rPr>
        <w:t xml:space="preserve"> </w:t>
      </w:r>
      <w:r>
        <w:rPr>
          <w:sz w:val="18"/>
        </w:rPr>
        <w:t>and</w:t>
      </w:r>
      <w:r>
        <w:rPr>
          <w:spacing w:val="-6"/>
          <w:sz w:val="18"/>
        </w:rPr>
        <w:t xml:space="preserve"> </w:t>
      </w:r>
      <w:r>
        <w:rPr>
          <w:sz w:val="18"/>
        </w:rPr>
        <w:t>Na</w:t>
      </w:r>
      <w:r>
        <w:rPr>
          <w:sz w:val="18"/>
        </w:rPr>
        <w:t>tional</w:t>
      </w:r>
      <w:r>
        <w:rPr>
          <w:spacing w:val="-3"/>
          <w:sz w:val="18"/>
        </w:rPr>
        <w:t xml:space="preserve"> </w:t>
      </w:r>
      <w:r>
        <w:rPr>
          <w:sz w:val="18"/>
        </w:rPr>
        <w:t>Gay</w:t>
      </w:r>
      <w:r>
        <w:rPr>
          <w:spacing w:val="-5"/>
          <w:sz w:val="18"/>
        </w:rPr>
        <w:t xml:space="preserve"> </w:t>
      </w:r>
      <w:r>
        <w:rPr>
          <w:sz w:val="18"/>
        </w:rPr>
        <w:t>and</w:t>
      </w:r>
      <w:r>
        <w:rPr>
          <w:spacing w:val="-6"/>
          <w:sz w:val="18"/>
        </w:rPr>
        <w:t xml:space="preserve"> </w:t>
      </w:r>
      <w:r>
        <w:rPr>
          <w:sz w:val="18"/>
        </w:rPr>
        <w:t>Lesbian</w:t>
      </w:r>
      <w:r>
        <w:rPr>
          <w:spacing w:val="-6"/>
          <w:sz w:val="18"/>
        </w:rPr>
        <w:t xml:space="preserve"> </w:t>
      </w:r>
      <w:r>
        <w:rPr>
          <w:sz w:val="18"/>
        </w:rPr>
        <w:t>Task</w:t>
      </w:r>
      <w:r>
        <w:rPr>
          <w:spacing w:val="-3"/>
          <w:sz w:val="18"/>
        </w:rPr>
        <w:t xml:space="preserve"> </w:t>
      </w:r>
      <w:r>
        <w:rPr>
          <w:sz w:val="18"/>
        </w:rPr>
        <w:t>Force,</w:t>
      </w:r>
      <w:r>
        <w:rPr>
          <w:spacing w:val="-5"/>
          <w:sz w:val="18"/>
        </w:rPr>
        <w:t xml:space="preserve"> </w:t>
      </w:r>
      <w:r>
        <w:rPr>
          <w:sz w:val="18"/>
        </w:rPr>
        <w:t>2016),</w:t>
      </w:r>
      <w:r>
        <w:rPr>
          <w:spacing w:val="-5"/>
          <w:sz w:val="18"/>
        </w:rPr>
        <w:t xml:space="preserve"> </w:t>
      </w:r>
      <w:r>
        <w:rPr>
          <w:sz w:val="18"/>
        </w:rPr>
        <w:t xml:space="preserve">https://transequality.org/sites/default/files/docs/usts/USTS-Full- </w:t>
      </w:r>
      <w:r>
        <w:rPr>
          <w:spacing w:val="-2"/>
          <w:sz w:val="18"/>
        </w:rPr>
        <w:t>Report-Dec17.pdf.</w:t>
      </w:r>
    </w:p>
    <w:p w:rsidR="00200FDA" w:rsidRDefault="00F76C4C">
      <w:pPr>
        <w:spacing w:line="219" w:lineRule="exact"/>
        <w:ind w:left="280"/>
        <w:rPr>
          <w:sz w:val="18"/>
        </w:rPr>
      </w:pPr>
      <w:bookmarkStart w:id="1170" w:name="_bookmark909"/>
      <w:bookmarkEnd w:id="1170"/>
      <w:r>
        <w:rPr>
          <w:position w:val="5"/>
          <w:sz w:val="12"/>
        </w:rPr>
        <w:t>2</w:t>
      </w:r>
      <w:r>
        <w:rPr>
          <w:spacing w:val="6"/>
          <w:position w:val="5"/>
          <w:sz w:val="12"/>
        </w:rPr>
        <w:t xml:space="preserve"> </w:t>
      </w:r>
      <w:r>
        <w:rPr>
          <w:sz w:val="18"/>
        </w:rPr>
        <w:t>Laurie</w:t>
      </w:r>
      <w:r>
        <w:rPr>
          <w:spacing w:val="-4"/>
          <w:sz w:val="18"/>
        </w:rPr>
        <w:t xml:space="preserve"> </w:t>
      </w:r>
      <w:r>
        <w:rPr>
          <w:sz w:val="18"/>
        </w:rPr>
        <w:t>Ross,</w:t>
      </w:r>
      <w:r>
        <w:rPr>
          <w:spacing w:val="-4"/>
          <w:sz w:val="18"/>
        </w:rPr>
        <w:t xml:space="preserve"> </w:t>
      </w:r>
      <w:r>
        <w:rPr>
          <w:sz w:val="18"/>
        </w:rPr>
        <w:t>“Massachusetts</w:t>
      </w:r>
      <w:r>
        <w:rPr>
          <w:spacing w:val="-4"/>
          <w:sz w:val="18"/>
        </w:rPr>
        <w:t xml:space="preserve"> </w:t>
      </w:r>
      <w:r>
        <w:rPr>
          <w:sz w:val="18"/>
        </w:rPr>
        <w:t>2021</w:t>
      </w:r>
      <w:r>
        <w:rPr>
          <w:spacing w:val="-3"/>
          <w:sz w:val="18"/>
        </w:rPr>
        <w:t xml:space="preserve"> </w:t>
      </w:r>
      <w:r>
        <w:rPr>
          <w:sz w:val="18"/>
        </w:rPr>
        <w:t>Youth</w:t>
      </w:r>
      <w:r>
        <w:rPr>
          <w:spacing w:val="-5"/>
          <w:sz w:val="18"/>
        </w:rPr>
        <w:t xml:space="preserve"> </w:t>
      </w:r>
      <w:r>
        <w:rPr>
          <w:sz w:val="18"/>
        </w:rPr>
        <w:t>Count,”</w:t>
      </w:r>
      <w:r>
        <w:rPr>
          <w:spacing w:val="-4"/>
          <w:sz w:val="18"/>
        </w:rPr>
        <w:t xml:space="preserve"> </w:t>
      </w:r>
      <w:r>
        <w:rPr>
          <w:sz w:val="18"/>
        </w:rPr>
        <w:t>2021,</w:t>
      </w:r>
      <w:r>
        <w:rPr>
          <w:spacing w:val="-3"/>
          <w:sz w:val="18"/>
        </w:rPr>
        <w:t xml:space="preserve"> </w:t>
      </w:r>
      <w:r>
        <w:rPr>
          <w:sz w:val="18"/>
        </w:rPr>
        <w:t>https://</w:t>
      </w:r>
      <w:hyperlink r:id="rId860">
        <w:r>
          <w:rPr>
            <w:sz w:val="18"/>
          </w:rPr>
          <w:t>www.mass.gov/doc/2021-youth-count-</w:t>
        </w:r>
        <w:r>
          <w:rPr>
            <w:spacing w:val="-2"/>
            <w:sz w:val="18"/>
          </w:rPr>
          <w:t>report/download.</w:t>
        </w:r>
      </w:hyperlink>
    </w:p>
    <w:p w:rsidR="00200FDA" w:rsidRDefault="00F76C4C">
      <w:pPr>
        <w:ind w:left="280" w:right="453" w:hanging="1"/>
        <w:rPr>
          <w:sz w:val="18"/>
        </w:rPr>
      </w:pPr>
      <w:bookmarkStart w:id="1171" w:name="_bookmark910"/>
      <w:bookmarkEnd w:id="1171"/>
      <w:r>
        <w:rPr>
          <w:position w:val="5"/>
          <w:sz w:val="12"/>
        </w:rPr>
        <w:t>3</w:t>
      </w:r>
      <w:r>
        <w:rPr>
          <w:spacing w:val="10"/>
          <w:position w:val="5"/>
          <w:sz w:val="12"/>
        </w:rPr>
        <w:t xml:space="preserve"> </w:t>
      </w:r>
      <w:r>
        <w:rPr>
          <w:sz w:val="18"/>
        </w:rPr>
        <w:t>Commission</w:t>
      </w:r>
      <w:r>
        <w:rPr>
          <w:spacing w:val="-3"/>
          <w:sz w:val="18"/>
        </w:rPr>
        <w:t xml:space="preserve"> </w:t>
      </w:r>
      <w:r>
        <w:rPr>
          <w:sz w:val="18"/>
        </w:rPr>
        <w:t>on</w:t>
      </w:r>
      <w:r>
        <w:rPr>
          <w:spacing w:val="-3"/>
          <w:sz w:val="18"/>
        </w:rPr>
        <w:t xml:space="preserve"> </w:t>
      </w:r>
      <w:r>
        <w:rPr>
          <w:sz w:val="18"/>
        </w:rPr>
        <w:t>LGBTQ</w:t>
      </w:r>
      <w:r>
        <w:rPr>
          <w:spacing w:val="-3"/>
          <w:sz w:val="18"/>
        </w:rPr>
        <w:t xml:space="preserve"> </w:t>
      </w:r>
      <w:r>
        <w:rPr>
          <w:sz w:val="18"/>
        </w:rPr>
        <w:t>Youth,</w:t>
      </w:r>
      <w:r>
        <w:rPr>
          <w:spacing w:val="-2"/>
          <w:sz w:val="18"/>
        </w:rPr>
        <w:t xml:space="preserve"> </w:t>
      </w:r>
      <w:r>
        <w:rPr>
          <w:sz w:val="18"/>
        </w:rPr>
        <w:t>“Massachusetts</w:t>
      </w:r>
      <w:r>
        <w:rPr>
          <w:spacing w:val="-1"/>
          <w:sz w:val="18"/>
        </w:rPr>
        <w:t xml:space="preserve"> </w:t>
      </w:r>
      <w:r>
        <w:rPr>
          <w:sz w:val="18"/>
        </w:rPr>
        <w:t>Allows</w:t>
      </w:r>
      <w:r>
        <w:rPr>
          <w:spacing w:val="-3"/>
          <w:sz w:val="18"/>
        </w:rPr>
        <w:t xml:space="preserve"> </w:t>
      </w:r>
      <w:r>
        <w:rPr>
          <w:sz w:val="18"/>
        </w:rPr>
        <w:t>Nonbinary</w:t>
      </w:r>
      <w:r>
        <w:rPr>
          <w:spacing w:val="-1"/>
          <w:sz w:val="18"/>
        </w:rPr>
        <w:t xml:space="preserve"> </w:t>
      </w:r>
      <w:r>
        <w:rPr>
          <w:sz w:val="18"/>
        </w:rPr>
        <w:t>Marker</w:t>
      </w:r>
      <w:r>
        <w:rPr>
          <w:spacing w:val="-3"/>
          <w:sz w:val="18"/>
        </w:rPr>
        <w:t xml:space="preserve"> </w:t>
      </w:r>
      <w:r>
        <w:rPr>
          <w:sz w:val="18"/>
        </w:rPr>
        <w:t>on</w:t>
      </w:r>
      <w:r>
        <w:rPr>
          <w:spacing w:val="-3"/>
          <w:sz w:val="18"/>
        </w:rPr>
        <w:t xml:space="preserve"> </w:t>
      </w:r>
      <w:r>
        <w:rPr>
          <w:sz w:val="18"/>
        </w:rPr>
        <w:t>Licenses,</w:t>
      </w:r>
      <w:r>
        <w:rPr>
          <w:spacing w:val="-2"/>
          <w:sz w:val="18"/>
        </w:rPr>
        <w:t xml:space="preserve"> </w:t>
      </w:r>
      <w:r>
        <w:rPr>
          <w:sz w:val="18"/>
        </w:rPr>
        <w:t>IDs</w:t>
      </w:r>
      <w:r>
        <w:rPr>
          <w:spacing w:val="-3"/>
          <w:sz w:val="18"/>
        </w:rPr>
        <w:t xml:space="preserve"> </w:t>
      </w:r>
      <w:r>
        <w:rPr>
          <w:sz w:val="18"/>
        </w:rPr>
        <w:t>|</w:t>
      </w:r>
      <w:r>
        <w:rPr>
          <w:spacing w:val="-1"/>
          <w:sz w:val="18"/>
        </w:rPr>
        <w:t xml:space="preserve"> </w:t>
      </w:r>
      <w:r>
        <w:rPr>
          <w:sz w:val="18"/>
        </w:rPr>
        <w:t>Mass.Gov,”</w:t>
      </w:r>
      <w:r>
        <w:rPr>
          <w:spacing w:val="-3"/>
          <w:sz w:val="18"/>
        </w:rPr>
        <w:t xml:space="preserve"> </w:t>
      </w:r>
      <w:r>
        <w:rPr>
          <w:sz w:val="18"/>
        </w:rPr>
        <w:t>accessed</w:t>
      </w:r>
      <w:r>
        <w:rPr>
          <w:spacing w:val="-3"/>
          <w:sz w:val="18"/>
        </w:rPr>
        <w:t xml:space="preserve"> </w:t>
      </w:r>
      <w:r>
        <w:rPr>
          <w:sz w:val="18"/>
        </w:rPr>
        <w:t>April</w:t>
      </w:r>
      <w:r>
        <w:rPr>
          <w:spacing w:val="-3"/>
          <w:sz w:val="18"/>
        </w:rPr>
        <w:t xml:space="preserve"> </w:t>
      </w:r>
      <w:r>
        <w:rPr>
          <w:sz w:val="18"/>
        </w:rPr>
        <w:t>25, 2023, https://</w:t>
      </w:r>
      <w:hyperlink r:id="rId861">
        <w:r>
          <w:rPr>
            <w:sz w:val="18"/>
          </w:rPr>
          <w:t>www.mass.gov/news/massachusetts-allows-nonbinary-marker-on-licenses-ids.</w:t>
        </w:r>
      </w:hyperlink>
    </w:p>
    <w:p w:rsidR="00200FDA" w:rsidRDefault="00200FDA">
      <w:pPr>
        <w:rPr>
          <w:sz w:val="18"/>
        </w:rPr>
        <w:sectPr w:rsidR="00200FDA">
          <w:pgSz w:w="12240" w:h="15840"/>
          <w:pgMar w:top="1260" w:right="1160" w:bottom="1240" w:left="1160" w:header="761" w:footer="1043" w:gutter="0"/>
          <w:cols w:space="720"/>
        </w:sectPr>
      </w:pPr>
    </w:p>
    <w:p w:rsidR="00200FDA" w:rsidRDefault="00200FDA">
      <w:pPr>
        <w:pStyle w:val="BodyText"/>
        <w:spacing w:before="10"/>
        <w:rPr>
          <w:sz w:val="10"/>
        </w:rPr>
      </w:pPr>
    </w:p>
    <w:p w:rsidR="00200FDA" w:rsidRDefault="00F76C4C">
      <w:pPr>
        <w:spacing w:before="35"/>
        <w:ind w:left="280"/>
        <w:rPr>
          <w:sz w:val="32"/>
        </w:rPr>
      </w:pPr>
      <w:r>
        <w:pict>
          <v:rect id="docshape623" o:spid="_x0000_s1041" style="position:absolute;left:0;text-align:left;margin-left:70.55pt;margin-top:22.25pt;width:470.9pt;height:.5pt;z-index:-15597568;mso-wrap-distance-left:0;mso-wrap-distance-right:0;mso-position-horizontal-relative:page" fillcolor="#4f81bc" stroked="f">
            <w10:wrap type="topAndBottom" anchorx="page"/>
          </v:rect>
        </w:pict>
      </w:r>
      <w:bookmarkStart w:id="1172" w:name="FY24_MBLC_Recommendations_-_Final.pdf"/>
      <w:bookmarkStart w:id="1173" w:name="Board_of_Library_Commissioners"/>
      <w:bookmarkStart w:id="1174" w:name="_bookmark911"/>
      <w:bookmarkEnd w:id="1172"/>
      <w:bookmarkEnd w:id="1173"/>
      <w:bookmarkEnd w:id="1174"/>
      <w:r>
        <w:rPr>
          <w:color w:val="365F91"/>
          <w:sz w:val="32"/>
        </w:rPr>
        <w:t>Board</w:t>
      </w:r>
      <w:r>
        <w:rPr>
          <w:color w:val="365F91"/>
          <w:spacing w:val="-7"/>
          <w:sz w:val="32"/>
        </w:rPr>
        <w:t xml:space="preserve"> </w:t>
      </w:r>
      <w:r>
        <w:rPr>
          <w:color w:val="365F91"/>
          <w:sz w:val="32"/>
        </w:rPr>
        <w:t>of</w:t>
      </w:r>
      <w:r>
        <w:rPr>
          <w:color w:val="365F91"/>
          <w:spacing w:val="-8"/>
          <w:sz w:val="32"/>
        </w:rPr>
        <w:t xml:space="preserve"> </w:t>
      </w:r>
      <w:r>
        <w:rPr>
          <w:color w:val="365F91"/>
          <w:sz w:val="32"/>
        </w:rPr>
        <w:t>Library</w:t>
      </w:r>
      <w:r>
        <w:rPr>
          <w:color w:val="365F91"/>
          <w:spacing w:val="-7"/>
          <w:sz w:val="32"/>
        </w:rPr>
        <w:t xml:space="preserve"> </w:t>
      </w:r>
      <w:r>
        <w:rPr>
          <w:color w:val="365F91"/>
          <w:spacing w:val="-2"/>
          <w:sz w:val="32"/>
        </w:rPr>
        <w:t>Commissioners</w:t>
      </w:r>
    </w:p>
    <w:p w:rsidR="00200FDA" w:rsidRDefault="00200FDA">
      <w:pPr>
        <w:pStyle w:val="BodyText"/>
        <w:rPr>
          <w:sz w:val="20"/>
        </w:rPr>
      </w:pPr>
    </w:p>
    <w:p w:rsidR="00200FDA" w:rsidRDefault="00200FDA">
      <w:pPr>
        <w:pStyle w:val="BodyText"/>
        <w:spacing w:before="7"/>
        <w:rPr>
          <w:sz w:val="21"/>
        </w:rPr>
      </w:pPr>
    </w:p>
    <w:p w:rsidR="00200FDA" w:rsidRDefault="00F76C4C">
      <w:pPr>
        <w:pStyle w:val="Heading7"/>
        <w:spacing w:before="44"/>
      </w:pPr>
      <w:r>
        <w:pict>
          <v:rect id="docshape624" o:spid="_x0000_s1040" style="position:absolute;left:0;text-align:left;margin-left:70.55pt;margin-top:20.2pt;width:470.9pt;height:.5pt;z-index:-15597056;mso-wrap-distance-left:0;mso-wrap-distance-right:0;mso-position-horizontal-relative:page" fillcolor="#4f81bc" stroked="f">
            <w10:wrap type="topAndBottom" anchorx="page"/>
          </v:rect>
        </w:pict>
      </w:r>
      <w:r>
        <w:rPr>
          <w:color w:val="365F91"/>
        </w:rPr>
        <w:t>FY</w:t>
      </w:r>
      <w:r>
        <w:rPr>
          <w:color w:val="365F91"/>
          <w:spacing w:val="-3"/>
        </w:rPr>
        <w:t xml:space="preserve"> </w:t>
      </w:r>
      <w:r>
        <w:rPr>
          <w:color w:val="365F91"/>
        </w:rPr>
        <w:t>2024</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ListParagraph"/>
        <w:numPr>
          <w:ilvl w:val="1"/>
          <w:numId w:val="5"/>
        </w:numPr>
        <w:tabs>
          <w:tab w:val="left" w:pos="1001"/>
        </w:tabs>
        <w:spacing w:before="56" w:line="357" w:lineRule="auto"/>
        <w:ind w:right="276"/>
        <w:jc w:val="both"/>
      </w:pPr>
      <w:r>
        <w:t>Develop and disseminate a new recommended LGBTQ book list in partnership with the Safe Schools Program for all libraries in Massachusetts.</w:t>
      </w:r>
    </w:p>
    <w:p w:rsidR="00200FDA" w:rsidRDefault="00F76C4C">
      <w:pPr>
        <w:pStyle w:val="ListParagraph"/>
        <w:numPr>
          <w:ilvl w:val="1"/>
          <w:numId w:val="5"/>
        </w:numPr>
        <w:tabs>
          <w:tab w:val="left" w:pos="1001"/>
        </w:tabs>
        <w:spacing w:before="4" w:line="360" w:lineRule="auto"/>
        <w:ind w:right="275"/>
        <w:jc w:val="both"/>
      </w:pPr>
      <w:r>
        <w:t>Partner with the Commission and communities to equip Massachusetts librarians with conflict resolution skills, talkin</w:t>
      </w:r>
      <w:r>
        <w:t>g points, and protection to handle anti-LGBTQ protests against programs and book challenges.</w:t>
      </w:r>
    </w:p>
    <w:p w:rsidR="00200FDA" w:rsidRDefault="00F76C4C">
      <w:pPr>
        <w:pStyle w:val="ListParagraph"/>
        <w:numPr>
          <w:ilvl w:val="1"/>
          <w:numId w:val="5"/>
        </w:numPr>
        <w:tabs>
          <w:tab w:val="left" w:pos="1001"/>
        </w:tabs>
        <w:spacing w:before="1"/>
        <w:jc w:val="both"/>
      </w:pPr>
      <w:r>
        <w:t>Support</w:t>
      </w:r>
      <w:r>
        <w:rPr>
          <w:spacing w:val="-5"/>
        </w:rPr>
        <w:t xml:space="preserve"> </w:t>
      </w:r>
      <w:r>
        <w:t>libraries</w:t>
      </w:r>
      <w:r>
        <w:rPr>
          <w:spacing w:val="-8"/>
        </w:rPr>
        <w:t xml:space="preserve"> </w:t>
      </w:r>
      <w:r>
        <w:t>with</w:t>
      </w:r>
      <w:r>
        <w:rPr>
          <w:spacing w:val="-8"/>
        </w:rPr>
        <w:t xml:space="preserve"> </w:t>
      </w:r>
      <w:r>
        <w:t>LGBTQ-inclusive</w:t>
      </w:r>
      <w:r>
        <w:rPr>
          <w:spacing w:val="-4"/>
        </w:rPr>
        <w:t xml:space="preserve"> </w:t>
      </w:r>
      <w:r>
        <w:rPr>
          <w:spacing w:val="-2"/>
        </w:rPr>
        <w:t>programming.</w:t>
      </w:r>
    </w:p>
    <w:p w:rsidR="00200FDA" w:rsidRDefault="00F76C4C">
      <w:pPr>
        <w:pStyle w:val="ListParagraph"/>
        <w:numPr>
          <w:ilvl w:val="1"/>
          <w:numId w:val="5"/>
        </w:numPr>
        <w:tabs>
          <w:tab w:val="left" w:pos="1001"/>
        </w:tabs>
        <w:spacing w:before="135" w:line="357" w:lineRule="auto"/>
        <w:ind w:right="274"/>
        <w:jc w:val="both"/>
      </w:pPr>
      <w:r>
        <w:t>Collaborate with the Department of Elementary and Secondary Education to align efforts on addressing</w:t>
      </w:r>
      <w:r>
        <w:rPr>
          <w:spacing w:val="-7"/>
        </w:rPr>
        <w:t xml:space="preserve"> </w:t>
      </w:r>
      <w:r>
        <w:t>book</w:t>
      </w:r>
      <w:r>
        <w:rPr>
          <w:spacing w:val="-6"/>
        </w:rPr>
        <w:t xml:space="preserve"> </w:t>
      </w:r>
      <w:r>
        <w:t>chall</w:t>
      </w:r>
      <w:r>
        <w:t>enges,</w:t>
      </w:r>
      <w:r>
        <w:rPr>
          <w:spacing w:val="-7"/>
        </w:rPr>
        <w:t xml:space="preserve"> </w:t>
      </w:r>
      <w:r>
        <w:t>protests,</w:t>
      </w:r>
      <w:r>
        <w:rPr>
          <w:spacing w:val="-6"/>
        </w:rPr>
        <w:t xml:space="preserve"> </w:t>
      </w:r>
      <w:r>
        <w:t>and</w:t>
      </w:r>
      <w:r>
        <w:rPr>
          <w:spacing w:val="-7"/>
        </w:rPr>
        <w:t xml:space="preserve"> </w:t>
      </w:r>
      <w:r>
        <w:t>hate</w:t>
      </w:r>
      <w:r>
        <w:rPr>
          <w:spacing w:val="-6"/>
        </w:rPr>
        <w:t xml:space="preserve"> </w:t>
      </w:r>
      <w:r>
        <w:t>crimes</w:t>
      </w:r>
      <w:r>
        <w:rPr>
          <w:spacing w:val="-9"/>
        </w:rPr>
        <w:t xml:space="preserve"> </w:t>
      </w:r>
      <w:r>
        <w:t>against</w:t>
      </w:r>
      <w:r>
        <w:rPr>
          <w:spacing w:val="-6"/>
        </w:rPr>
        <w:t xml:space="preserve"> </w:t>
      </w:r>
      <w:r>
        <w:t>state</w:t>
      </w:r>
      <w:r>
        <w:rPr>
          <w:spacing w:val="-6"/>
        </w:rPr>
        <w:t xml:space="preserve"> </w:t>
      </w:r>
      <w:r>
        <w:t>and</w:t>
      </w:r>
      <w:r>
        <w:rPr>
          <w:spacing w:val="-7"/>
        </w:rPr>
        <w:t xml:space="preserve"> </w:t>
      </w:r>
      <w:r>
        <w:t>school</w:t>
      </w:r>
      <w:r>
        <w:rPr>
          <w:spacing w:val="-7"/>
        </w:rPr>
        <w:t xml:space="preserve"> </w:t>
      </w:r>
      <w:r>
        <w:t>libraries</w:t>
      </w:r>
      <w:r>
        <w:rPr>
          <w:spacing w:val="-7"/>
        </w:rPr>
        <w:t xml:space="preserve"> </w:t>
      </w:r>
      <w:r>
        <w:t>and</w:t>
      </w:r>
      <w:r>
        <w:rPr>
          <w:spacing w:val="-7"/>
        </w:rPr>
        <w:t xml:space="preserve"> </w:t>
      </w:r>
      <w:r>
        <w:t>staff.</w:t>
      </w:r>
    </w:p>
    <w:p w:rsidR="00200FDA" w:rsidRDefault="00200FDA">
      <w:pPr>
        <w:pStyle w:val="BodyText"/>
      </w:pPr>
    </w:p>
    <w:p w:rsidR="00200FDA" w:rsidRDefault="00F76C4C">
      <w:pPr>
        <w:pStyle w:val="Heading7"/>
        <w:spacing w:before="136"/>
      </w:pPr>
      <w:r>
        <w:pict>
          <v:rect id="docshape625" o:spid="_x0000_s1039" style="position:absolute;left:0;text-align:left;margin-left:70.55pt;margin-top:24.95pt;width:470.9pt;height:.5pt;z-index:-15596544;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line="276" w:lineRule="auto"/>
        <w:ind w:left="280" w:right="274"/>
        <w:jc w:val="both"/>
      </w:pPr>
      <w:r>
        <w:t>The</w:t>
      </w:r>
      <w:r>
        <w:rPr>
          <w:spacing w:val="-9"/>
        </w:rPr>
        <w:t xml:space="preserve"> </w:t>
      </w:r>
      <w:r>
        <w:t>Massachusetts</w:t>
      </w:r>
      <w:r>
        <w:rPr>
          <w:spacing w:val="-10"/>
        </w:rPr>
        <w:t xml:space="preserve"> </w:t>
      </w:r>
      <w:r>
        <w:t>Board</w:t>
      </w:r>
      <w:r>
        <w:rPr>
          <w:spacing w:val="-11"/>
        </w:rPr>
        <w:t xml:space="preserve"> </w:t>
      </w:r>
      <w:r>
        <w:t>of</w:t>
      </w:r>
      <w:r>
        <w:rPr>
          <w:spacing w:val="-8"/>
        </w:rPr>
        <w:t xml:space="preserve"> </w:t>
      </w:r>
      <w:r>
        <w:t>Library</w:t>
      </w:r>
      <w:r>
        <w:rPr>
          <w:spacing w:val="-9"/>
        </w:rPr>
        <w:t xml:space="preserve"> </w:t>
      </w:r>
      <w:r>
        <w:t>Commissioners</w:t>
      </w:r>
      <w:r>
        <w:rPr>
          <w:spacing w:val="-8"/>
        </w:rPr>
        <w:t xml:space="preserve"> </w:t>
      </w:r>
      <w:r>
        <w:t>(MBLC)</w:t>
      </w:r>
      <w:r>
        <w:rPr>
          <w:spacing w:val="-7"/>
        </w:rPr>
        <w:t xml:space="preserve"> </w:t>
      </w:r>
      <w:r>
        <w:t>is</w:t>
      </w:r>
      <w:r>
        <w:rPr>
          <w:spacing w:val="-7"/>
        </w:rPr>
        <w:t xml:space="preserve"> </w:t>
      </w:r>
      <w:r>
        <w:t>the</w:t>
      </w:r>
      <w:r>
        <w:rPr>
          <w:spacing w:val="-7"/>
        </w:rPr>
        <w:t xml:space="preserve"> </w:t>
      </w:r>
      <w:r>
        <w:t>state</w:t>
      </w:r>
      <w:r>
        <w:rPr>
          <w:spacing w:val="-9"/>
        </w:rPr>
        <w:t xml:space="preserve"> </w:t>
      </w:r>
      <w:r>
        <w:t>agency</w:t>
      </w:r>
      <w:r>
        <w:rPr>
          <w:spacing w:val="-7"/>
        </w:rPr>
        <w:t xml:space="preserve"> </w:t>
      </w:r>
      <w:r>
        <w:t>responsible</w:t>
      </w:r>
      <w:r>
        <w:rPr>
          <w:spacing w:val="-7"/>
        </w:rPr>
        <w:t xml:space="preserve"> </w:t>
      </w:r>
      <w:r>
        <w:t>for</w:t>
      </w:r>
      <w:r>
        <w:rPr>
          <w:spacing w:val="-10"/>
        </w:rPr>
        <w:t xml:space="preserve"> </w:t>
      </w:r>
      <w:r>
        <w:t>organizing, developing, coordinating, and improving library services throughout the Commonwealth. Its commissioners and staff work to develop policy, and provide local and statewide programming and services for libraries and residents. Libraries are a vita</w:t>
      </w:r>
      <w:r>
        <w:t>l resource for LGBTQ youth, caregivers, and educators</w:t>
      </w:r>
      <w:r>
        <w:rPr>
          <w:spacing w:val="-13"/>
        </w:rPr>
        <w:t xml:space="preserve"> </w:t>
      </w:r>
      <w:r>
        <w:t>for</w:t>
      </w:r>
      <w:r>
        <w:rPr>
          <w:spacing w:val="-12"/>
        </w:rPr>
        <w:t xml:space="preserve"> </w:t>
      </w:r>
      <w:r>
        <w:t>culturally-inclusive</w:t>
      </w:r>
      <w:r>
        <w:rPr>
          <w:spacing w:val="-13"/>
        </w:rPr>
        <w:t xml:space="preserve"> </w:t>
      </w:r>
      <w:r>
        <w:t>books,</w:t>
      </w:r>
      <w:r>
        <w:rPr>
          <w:spacing w:val="-12"/>
        </w:rPr>
        <w:t xml:space="preserve"> </w:t>
      </w:r>
      <w:r>
        <w:t>community</w:t>
      </w:r>
      <w:r>
        <w:rPr>
          <w:spacing w:val="-13"/>
        </w:rPr>
        <w:t xml:space="preserve"> </w:t>
      </w:r>
      <w:r>
        <w:t>programming,</w:t>
      </w:r>
      <w:r>
        <w:rPr>
          <w:spacing w:val="-12"/>
        </w:rPr>
        <w:t xml:space="preserve"> </w:t>
      </w:r>
      <w:r>
        <w:t>and</w:t>
      </w:r>
      <w:r>
        <w:rPr>
          <w:spacing w:val="-13"/>
        </w:rPr>
        <w:t xml:space="preserve"> </w:t>
      </w:r>
      <w:r>
        <w:t>information</w:t>
      </w:r>
      <w:r>
        <w:rPr>
          <w:spacing w:val="-12"/>
        </w:rPr>
        <w:t xml:space="preserve"> </w:t>
      </w:r>
      <w:r>
        <w:t>technology.</w:t>
      </w:r>
      <w:r>
        <w:rPr>
          <w:spacing w:val="-12"/>
        </w:rPr>
        <w:t xml:space="preserve"> </w:t>
      </w:r>
      <w:r>
        <w:t>While</w:t>
      </w:r>
      <w:r>
        <w:rPr>
          <w:spacing w:val="-13"/>
        </w:rPr>
        <w:t xml:space="preserve"> </w:t>
      </w:r>
      <w:r>
        <w:t>the number of LGBTQ youth accessing library services is difficult to capture, libraries often cultivate a wide ar</w:t>
      </w:r>
      <w:r>
        <w:t>ray of diverse books that center queer joy and belonging.</w:t>
      </w:r>
    </w:p>
    <w:p w:rsidR="00200FDA" w:rsidRDefault="00200FDA">
      <w:pPr>
        <w:pStyle w:val="BodyText"/>
        <w:spacing w:before="8"/>
        <w:rPr>
          <w:sz w:val="19"/>
        </w:rPr>
      </w:pPr>
    </w:p>
    <w:p w:rsidR="00200FDA" w:rsidRDefault="00F76C4C">
      <w:pPr>
        <w:pStyle w:val="BodyText"/>
        <w:spacing w:line="276" w:lineRule="auto"/>
        <w:ind w:left="279" w:right="272"/>
        <w:jc w:val="both"/>
      </w:pPr>
      <w:r>
        <w:t>Libraries</w:t>
      </w:r>
      <w:r>
        <w:rPr>
          <w:spacing w:val="-3"/>
        </w:rPr>
        <w:t xml:space="preserve"> </w:t>
      </w:r>
      <w:r>
        <w:t>provide</w:t>
      </w:r>
      <w:r>
        <w:rPr>
          <w:spacing w:val="-3"/>
        </w:rPr>
        <w:t xml:space="preserve"> </w:t>
      </w:r>
      <w:r>
        <w:t>essential</w:t>
      </w:r>
      <w:r>
        <w:rPr>
          <w:spacing w:val="-6"/>
        </w:rPr>
        <w:t xml:space="preserve"> </w:t>
      </w:r>
      <w:r>
        <w:t>access</w:t>
      </w:r>
      <w:r>
        <w:rPr>
          <w:spacing w:val="-3"/>
        </w:rPr>
        <w:t xml:space="preserve"> </w:t>
      </w:r>
      <w:r>
        <w:t>to</w:t>
      </w:r>
      <w:r>
        <w:rPr>
          <w:spacing w:val="-2"/>
        </w:rPr>
        <w:t xml:space="preserve"> </w:t>
      </w:r>
      <w:r>
        <w:t>knowledge,</w:t>
      </w:r>
      <w:r>
        <w:rPr>
          <w:spacing w:val="-3"/>
        </w:rPr>
        <w:t xml:space="preserve"> </w:t>
      </w:r>
      <w:r>
        <w:t>and</w:t>
      </w:r>
      <w:r>
        <w:rPr>
          <w:spacing w:val="-4"/>
        </w:rPr>
        <w:t xml:space="preserve"> </w:t>
      </w:r>
      <w:r>
        <w:t>often</w:t>
      </w:r>
      <w:r>
        <w:rPr>
          <w:spacing w:val="-4"/>
        </w:rPr>
        <w:t xml:space="preserve"> </w:t>
      </w:r>
      <w:r>
        <w:t>act</w:t>
      </w:r>
      <w:r>
        <w:rPr>
          <w:spacing w:val="-3"/>
        </w:rPr>
        <w:t xml:space="preserve"> </w:t>
      </w:r>
      <w:r>
        <w:t>as</w:t>
      </w:r>
      <w:r>
        <w:rPr>
          <w:spacing w:val="-3"/>
        </w:rPr>
        <w:t xml:space="preserve"> </w:t>
      </w:r>
      <w:r>
        <w:t>a</w:t>
      </w:r>
      <w:r>
        <w:rPr>
          <w:spacing w:val="-4"/>
        </w:rPr>
        <w:t xml:space="preserve"> </w:t>
      </w:r>
      <w:r>
        <w:t>safe</w:t>
      </w:r>
      <w:r>
        <w:rPr>
          <w:spacing w:val="-3"/>
        </w:rPr>
        <w:t xml:space="preserve"> </w:t>
      </w:r>
      <w:r>
        <w:t>haven</w:t>
      </w:r>
      <w:r>
        <w:rPr>
          <w:spacing w:val="-4"/>
        </w:rPr>
        <w:t xml:space="preserve"> </w:t>
      </w:r>
      <w:r>
        <w:t>for</w:t>
      </w:r>
      <w:r>
        <w:rPr>
          <w:spacing w:val="-6"/>
        </w:rPr>
        <w:t xml:space="preserve"> </w:t>
      </w:r>
      <w:r>
        <w:t>LGBTQ</w:t>
      </w:r>
      <w:r>
        <w:rPr>
          <w:spacing w:val="-5"/>
        </w:rPr>
        <w:t xml:space="preserve"> </w:t>
      </w:r>
      <w:r>
        <w:t>youth</w:t>
      </w:r>
      <w:r>
        <w:rPr>
          <w:spacing w:val="-4"/>
        </w:rPr>
        <w:t xml:space="preserve"> </w:t>
      </w:r>
      <w:r>
        <w:t>-</w:t>
      </w:r>
      <w:r>
        <w:rPr>
          <w:spacing w:val="-2"/>
        </w:rPr>
        <w:t xml:space="preserve"> </w:t>
      </w:r>
      <w:r>
        <w:t>whether it be a school or public library - and a place of community. By providing a space where youth can find LGBTQ-themed books or materials, librarians facilitate a learning environment where LGBTQ youth feel affirmed and welcome, and straight, cisgende</w:t>
      </w:r>
      <w:r>
        <w:t>r youth can find literature to better understand LGBTQ history and culture.</w:t>
      </w:r>
      <w:hyperlink w:anchor="_bookmark912" w:history="1">
        <w:r>
          <w:rPr>
            <w:vertAlign w:val="superscript"/>
          </w:rPr>
          <w:t>1</w:t>
        </w:r>
      </w:hyperlink>
      <w:r>
        <w:rPr>
          <w:spacing w:val="40"/>
        </w:rPr>
        <w:t xml:space="preserve"> </w:t>
      </w:r>
      <w:r>
        <w:t>Programs, like drag queen story hours or Pride celebrations, are increasingly being offered</w:t>
      </w:r>
      <w:r>
        <w:rPr>
          <w:spacing w:val="-10"/>
        </w:rPr>
        <w:t xml:space="preserve"> </w:t>
      </w:r>
      <w:r>
        <w:t>across</w:t>
      </w:r>
      <w:r>
        <w:rPr>
          <w:spacing w:val="-9"/>
        </w:rPr>
        <w:t xml:space="preserve"> </w:t>
      </w:r>
      <w:r>
        <w:t>the</w:t>
      </w:r>
      <w:r>
        <w:rPr>
          <w:spacing w:val="-8"/>
        </w:rPr>
        <w:t xml:space="preserve"> </w:t>
      </w:r>
      <w:r>
        <w:t>state,</w:t>
      </w:r>
      <w:r>
        <w:rPr>
          <w:spacing w:val="-9"/>
        </w:rPr>
        <w:t xml:space="preserve"> </w:t>
      </w:r>
      <w:r>
        <w:t>and</w:t>
      </w:r>
      <w:r>
        <w:rPr>
          <w:spacing w:val="-10"/>
        </w:rPr>
        <w:t xml:space="preserve"> </w:t>
      </w:r>
      <w:r>
        <w:t>can</w:t>
      </w:r>
      <w:r>
        <w:rPr>
          <w:spacing w:val="-10"/>
        </w:rPr>
        <w:t xml:space="preserve"> </w:t>
      </w:r>
      <w:r>
        <w:t>further</w:t>
      </w:r>
      <w:r>
        <w:rPr>
          <w:spacing w:val="-9"/>
        </w:rPr>
        <w:t xml:space="preserve"> </w:t>
      </w:r>
      <w:r>
        <w:t>provide</w:t>
      </w:r>
      <w:r>
        <w:rPr>
          <w:spacing w:val="-8"/>
        </w:rPr>
        <w:t xml:space="preserve"> </w:t>
      </w:r>
      <w:r>
        <w:t>a</w:t>
      </w:r>
      <w:r>
        <w:rPr>
          <w:spacing w:val="-9"/>
        </w:rPr>
        <w:t xml:space="preserve"> </w:t>
      </w:r>
      <w:r>
        <w:t>space</w:t>
      </w:r>
      <w:r>
        <w:rPr>
          <w:spacing w:val="-8"/>
        </w:rPr>
        <w:t xml:space="preserve"> </w:t>
      </w:r>
      <w:r>
        <w:t>for</w:t>
      </w:r>
      <w:r>
        <w:rPr>
          <w:spacing w:val="-11"/>
        </w:rPr>
        <w:t xml:space="preserve"> </w:t>
      </w:r>
      <w:r>
        <w:t>L</w:t>
      </w:r>
      <w:r>
        <w:t>GBTQ</w:t>
      </w:r>
      <w:r>
        <w:rPr>
          <w:spacing w:val="-9"/>
        </w:rPr>
        <w:t xml:space="preserve"> </w:t>
      </w:r>
      <w:r>
        <w:t>community</w:t>
      </w:r>
      <w:r>
        <w:rPr>
          <w:spacing w:val="-8"/>
        </w:rPr>
        <w:t xml:space="preserve"> </w:t>
      </w:r>
      <w:r>
        <w:t>for</w:t>
      </w:r>
      <w:r>
        <w:rPr>
          <w:spacing w:val="-9"/>
        </w:rPr>
        <w:t xml:space="preserve"> </w:t>
      </w:r>
      <w:r>
        <w:t>youth</w:t>
      </w:r>
      <w:r>
        <w:rPr>
          <w:spacing w:val="-10"/>
        </w:rPr>
        <w:t xml:space="preserve"> </w:t>
      </w:r>
      <w:r>
        <w:t>to</w:t>
      </w:r>
      <w:r>
        <w:rPr>
          <w:spacing w:val="-8"/>
        </w:rPr>
        <w:t xml:space="preserve"> </w:t>
      </w:r>
      <w:r>
        <w:t>feel</w:t>
      </w:r>
      <w:r>
        <w:rPr>
          <w:spacing w:val="-9"/>
        </w:rPr>
        <w:t xml:space="preserve"> </w:t>
      </w:r>
      <w:r>
        <w:t>affirmed.</w:t>
      </w:r>
    </w:p>
    <w:p w:rsidR="00200FDA" w:rsidRDefault="00200FDA">
      <w:pPr>
        <w:pStyle w:val="BodyText"/>
        <w:spacing w:before="8"/>
        <w:rPr>
          <w:sz w:val="19"/>
        </w:rPr>
      </w:pPr>
    </w:p>
    <w:p w:rsidR="00200FDA" w:rsidRDefault="00F76C4C">
      <w:pPr>
        <w:pStyle w:val="BodyText"/>
        <w:spacing w:line="276" w:lineRule="auto"/>
        <w:ind w:left="279" w:right="273"/>
        <w:jc w:val="both"/>
      </w:pPr>
      <w:r>
        <w:t>Additionally,</w:t>
      </w:r>
      <w:r>
        <w:rPr>
          <w:spacing w:val="-2"/>
        </w:rPr>
        <w:t xml:space="preserve"> </w:t>
      </w:r>
      <w:r>
        <w:t>public libraries can</w:t>
      </w:r>
      <w:r>
        <w:rPr>
          <w:spacing w:val="-3"/>
        </w:rPr>
        <w:t xml:space="preserve"> </w:t>
      </w:r>
      <w:r>
        <w:t>also</w:t>
      </w:r>
      <w:r>
        <w:rPr>
          <w:spacing w:val="-1"/>
        </w:rPr>
        <w:t xml:space="preserve"> </w:t>
      </w:r>
      <w:r>
        <w:t>be</w:t>
      </w:r>
      <w:r>
        <w:rPr>
          <w:spacing w:val="-1"/>
        </w:rPr>
        <w:t xml:space="preserve"> </w:t>
      </w:r>
      <w:r>
        <w:t>a</w:t>
      </w:r>
      <w:r>
        <w:rPr>
          <w:spacing w:val="-2"/>
        </w:rPr>
        <w:t xml:space="preserve"> </w:t>
      </w:r>
      <w:r>
        <w:t>key resource for</w:t>
      </w:r>
      <w:r>
        <w:rPr>
          <w:spacing w:val="-2"/>
        </w:rPr>
        <w:t xml:space="preserve"> </w:t>
      </w:r>
      <w:r>
        <w:t>youth experiencing</w:t>
      </w:r>
      <w:r>
        <w:rPr>
          <w:spacing w:val="-3"/>
        </w:rPr>
        <w:t xml:space="preserve"> </w:t>
      </w:r>
      <w:r>
        <w:t>homelessness,</w:t>
      </w:r>
      <w:r>
        <w:rPr>
          <w:spacing w:val="-2"/>
        </w:rPr>
        <w:t xml:space="preserve"> </w:t>
      </w:r>
      <w:r>
        <w:t>as</w:t>
      </w:r>
      <w:r>
        <w:rPr>
          <w:spacing w:val="-2"/>
        </w:rPr>
        <w:t xml:space="preserve"> </w:t>
      </w:r>
      <w:r>
        <w:t>they are open during the day when shelters are often closed, and may provide free and accessible programming for underserved populations. For example, the American Library Association (ALA) notes that library programming</w:t>
      </w:r>
      <w:r>
        <w:rPr>
          <w:spacing w:val="-13"/>
        </w:rPr>
        <w:t xml:space="preserve"> </w:t>
      </w:r>
      <w:r>
        <w:t>including</w:t>
      </w:r>
      <w:r>
        <w:rPr>
          <w:spacing w:val="-12"/>
        </w:rPr>
        <w:t xml:space="preserve"> </w:t>
      </w:r>
      <w:r>
        <w:t>computer</w:t>
      </w:r>
      <w:r>
        <w:rPr>
          <w:spacing w:val="-13"/>
        </w:rPr>
        <w:t xml:space="preserve"> </w:t>
      </w:r>
      <w:r>
        <w:t>courses,</w:t>
      </w:r>
      <w:r>
        <w:rPr>
          <w:spacing w:val="-12"/>
        </w:rPr>
        <w:t xml:space="preserve"> </w:t>
      </w:r>
      <w:r>
        <w:t>arts</w:t>
      </w:r>
      <w:r>
        <w:rPr>
          <w:spacing w:val="-13"/>
        </w:rPr>
        <w:t xml:space="preserve"> </w:t>
      </w:r>
      <w:r>
        <w:t>an</w:t>
      </w:r>
      <w:r>
        <w:t>d</w:t>
      </w:r>
      <w:r>
        <w:rPr>
          <w:spacing w:val="-12"/>
        </w:rPr>
        <w:t xml:space="preserve"> </w:t>
      </w:r>
      <w:r>
        <w:t>crafts,</w:t>
      </w:r>
      <w:r>
        <w:rPr>
          <w:spacing w:val="-13"/>
        </w:rPr>
        <w:t xml:space="preserve"> </w:t>
      </w:r>
      <w:r>
        <w:t>and</w:t>
      </w:r>
      <w:r>
        <w:rPr>
          <w:spacing w:val="-12"/>
        </w:rPr>
        <w:t xml:space="preserve"> </w:t>
      </w:r>
      <w:r>
        <w:t>educational</w:t>
      </w:r>
      <w:r>
        <w:rPr>
          <w:spacing w:val="-12"/>
        </w:rPr>
        <w:t xml:space="preserve"> </w:t>
      </w:r>
      <w:r>
        <w:t>workshops</w:t>
      </w:r>
      <w:r>
        <w:rPr>
          <w:spacing w:val="-13"/>
        </w:rPr>
        <w:t xml:space="preserve"> </w:t>
      </w:r>
      <w:r>
        <w:t>on</w:t>
      </w:r>
      <w:r>
        <w:rPr>
          <w:spacing w:val="-12"/>
        </w:rPr>
        <w:t xml:space="preserve"> </w:t>
      </w:r>
      <w:r>
        <w:t>rental</w:t>
      </w:r>
      <w:r>
        <w:rPr>
          <w:spacing w:val="-13"/>
        </w:rPr>
        <w:t xml:space="preserve"> </w:t>
      </w:r>
      <w:r>
        <w:t>assistance and applying for government benefits can be beneficial to people experiencing homelessness.</w:t>
      </w:r>
      <w:hyperlink w:anchor="_bookmark913" w:history="1">
        <w:r>
          <w:rPr>
            <w:vertAlign w:val="superscript"/>
          </w:rPr>
          <w:t>2</w:t>
        </w:r>
      </w:hyperlink>
      <w:r>
        <w:rPr>
          <w:spacing w:val="-3"/>
        </w:rPr>
        <w:t xml:space="preserve"> </w:t>
      </w:r>
      <w:r>
        <w:t>Libraries can also connect youth experiencing homelessness or housing inst</w:t>
      </w:r>
      <w:r>
        <w:t>ability with local resources or opportunities through flyer handouts or online.</w:t>
      </w:r>
      <w:hyperlink w:anchor="_bookmark914" w:history="1">
        <w:r>
          <w:rPr>
            <w:vertAlign w:val="superscript"/>
          </w:rPr>
          <w:t>3</w:t>
        </w:r>
      </w:hyperlink>
    </w:p>
    <w:p w:rsidR="00200FDA" w:rsidRDefault="00200FDA">
      <w:pPr>
        <w:spacing w:line="276" w:lineRule="auto"/>
        <w:jc w:val="both"/>
        <w:sectPr w:rsidR="00200FDA">
          <w:headerReference w:type="default" r:id="rId862"/>
          <w:footerReference w:type="default" r:id="rId863"/>
          <w:pgSz w:w="12240" w:h="15840"/>
          <w:pgMar w:top="1260" w:right="1160" w:bottom="1240" w:left="1160" w:header="761" w:footer="1041" w:gutter="0"/>
          <w:cols w:space="720"/>
        </w:sectPr>
      </w:pPr>
    </w:p>
    <w:p w:rsidR="00200FDA" w:rsidRDefault="00200FDA">
      <w:pPr>
        <w:pStyle w:val="BodyText"/>
        <w:rPr>
          <w:sz w:val="9"/>
        </w:rPr>
      </w:pPr>
    </w:p>
    <w:p w:rsidR="00200FDA" w:rsidRDefault="00F76C4C">
      <w:pPr>
        <w:pStyle w:val="BodyText"/>
        <w:spacing w:before="56" w:line="276" w:lineRule="auto"/>
        <w:ind w:left="279" w:right="273"/>
        <w:jc w:val="both"/>
      </w:pPr>
      <w:r>
        <w:t>Over</w:t>
      </w:r>
      <w:r>
        <w:rPr>
          <w:spacing w:val="-8"/>
        </w:rPr>
        <w:t xml:space="preserve"> </w:t>
      </w:r>
      <w:r>
        <w:t>the</w:t>
      </w:r>
      <w:r>
        <w:rPr>
          <w:spacing w:val="-7"/>
        </w:rPr>
        <w:t xml:space="preserve"> </w:t>
      </w:r>
      <w:r>
        <w:t>last</w:t>
      </w:r>
      <w:r>
        <w:rPr>
          <w:spacing w:val="-7"/>
        </w:rPr>
        <w:t xml:space="preserve"> </w:t>
      </w:r>
      <w:r>
        <w:t>several</w:t>
      </w:r>
      <w:r>
        <w:rPr>
          <w:spacing w:val="-8"/>
        </w:rPr>
        <w:t xml:space="preserve"> </w:t>
      </w:r>
      <w:r>
        <w:t>years,</w:t>
      </w:r>
      <w:r>
        <w:rPr>
          <w:spacing w:val="-10"/>
        </w:rPr>
        <w:t xml:space="preserve"> </w:t>
      </w:r>
      <w:r>
        <w:t>school</w:t>
      </w:r>
      <w:r>
        <w:rPr>
          <w:spacing w:val="-7"/>
        </w:rPr>
        <w:t xml:space="preserve"> </w:t>
      </w:r>
      <w:r>
        <w:t>and</w:t>
      </w:r>
      <w:r>
        <w:rPr>
          <w:spacing w:val="-7"/>
        </w:rPr>
        <w:t xml:space="preserve"> </w:t>
      </w:r>
      <w:r>
        <w:t>public</w:t>
      </w:r>
      <w:r>
        <w:rPr>
          <w:spacing w:val="-7"/>
        </w:rPr>
        <w:t xml:space="preserve"> </w:t>
      </w:r>
      <w:r>
        <w:t>libraries</w:t>
      </w:r>
      <w:r>
        <w:rPr>
          <w:spacing w:val="-8"/>
        </w:rPr>
        <w:t xml:space="preserve"> </w:t>
      </w:r>
      <w:r>
        <w:t>have</w:t>
      </w:r>
      <w:r>
        <w:rPr>
          <w:spacing w:val="-7"/>
        </w:rPr>
        <w:t xml:space="preserve"> </w:t>
      </w:r>
      <w:r>
        <w:t>seen</w:t>
      </w:r>
      <w:r>
        <w:rPr>
          <w:spacing w:val="-9"/>
        </w:rPr>
        <w:t xml:space="preserve"> </w:t>
      </w:r>
      <w:r>
        <w:t>a</w:t>
      </w:r>
      <w:r>
        <w:rPr>
          <w:spacing w:val="-7"/>
        </w:rPr>
        <w:t xml:space="preserve"> </w:t>
      </w:r>
      <w:r>
        <w:t>significant</w:t>
      </w:r>
      <w:r>
        <w:rPr>
          <w:spacing w:val="-8"/>
        </w:rPr>
        <w:t xml:space="preserve"> </w:t>
      </w:r>
      <w:r>
        <w:t>rise</w:t>
      </w:r>
      <w:r>
        <w:rPr>
          <w:spacing w:val="-10"/>
        </w:rPr>
        <w:t xml:space="preserve"> </w:t>
      </w:r>
      <w:r>
        <w:t>in</w:t>
      </w:r>
      <w:r>
        <w:rPr>
          <w:spacing w:val="-7"/>
        </w:rPr>
        <w:t xml:space="preserve"> </w:t>
      </w:r>
      <w:r>
        <w:t>censorship</w:t>
      </w:r>
      <w:r>
        <w:rPr>
          <w:spacing w:val="-7"/>
        </w:rPr>
        <w:t xml:space="preserve"> </w:t>
      </w:r>
      <w:r>
        <w:t>challenges against LGBTQ</w:t>
      </w:r>
      <w:r>
        <w:rPr>
          <w:spacing w:val="-1"/>
        </w:rPr>
        <w:t xml:space="preserve"> </w:t>
      </w:r>
      <w:r>
        <w:t>and</w:t>
      </w:r>
      <w:r>
        <w:rPr>
          <w:spacing w:val="-2"/>
        </w:rPr>
        <w:t xml:space="preserve"> </w:t>
      </w:r>
      <w:r>
        <w:t>BIPOC</w:t>
      </w:r>
      <w:r>
        <w:rPr>
          <w:spacing w:val="-1"/>
        </w:rPr>
        <w:t xml:space="preserve"> </w:t>
      </w:r>
      <w:r>
        <w:t>books</w:t>
      </w:r>
      <w:r>
        <w:rPr>
          <w:spacing w:val="-1"/>
        </w:rPr>
        <w:t xml:space="preserve"> </w:t>
      </w:r>
      <w:r>
        <w:t>and</w:t>
      </w:r>
      <w:r>
        <w:rPr>
          <w:spacing w:val="-2"/>
        </w:rPr>
        <w:t xml:space="preserve"> </w:t>
      </w:r>
      <w:r>
        <w:t>materials.</w:t>
      </w:r>
      <w:r>
        <w:rPr>
          <w:spacing w:val="-1"/>
        </w:rPr>
        <w:t xml:space="preserve"> </w:t>
      </w:r>
      <w:r>
        <w:t>In</w:t>
      </w:r>
      <w:r>
        <w:rPr>
          <w:spacing w:val="-2"/>
        </w:rPr>
        <w:t xml:space="preserve"> </w:t>
      </w:r>
      <w:r>
        <w:t>March</w:t>
      </w:r>
      <w:r>
        <w:rPr>
          <w:spacing w:val="-2"/>
        </w:rPr>
        <w:t xml:space="preserve"> </w:t>
      </w:r>
      <w:r>
        <w:t>of</w:t>
      </w:r>
      <w:r>
        <w:rPr>
          <w:spacing w:val="-1"/>
        </w:rPr>
        <w:t xml:space="preserve"> </w:t>
      </w:r>
      <w:r>
        <w:t>2023,</w:t>
      </w:r>
      <w:r>
        <w:rPr>
          <w:spacing w:val="-1"/>
        </w:rPr>
        <w:t xml:space="preserve"> </w:t>
      </w:r>
      <w:r>
        <w:t>the ALA</w:t>
      </w:r>
      <w:r>
        <w:rPr>
          <w:spacing w:val="-1"/>
        </w:rPr>
        <w:t xml:space="preserve"> </w:t>
      </w:r>
      <w:r>
        <w:t>noted</w:t>
      </w:r>
      <w:r>
        <w:rPr>
          <w:spacing w:val="-4"/>
        </w:rPr>
        <w:t xml:space="preserve"> </w:t>
      </w:r>
      <w:r>
        <w:t>an</w:t>
      </w:r>
      <w:r>
        <w:rPr>
          <w:spacing w:val="-2"/>
        </w:rPr>
        <w:t xml:space="preserve"> </w:t>
      </w:r>
      <w:r>
        <w:t>unparalleled</w:t>
      </w:r>
      <w:r>
        <w:rPr>
          <w:spacing w:val="-2"/>
        </w:rPr>
        <w:t xml:space="preserve"> </w:t>
      </w:r>
      <w:r>
        <w:t>number of</w:t>
      </w:r>
      <w:r>
        <w:rPr>
          <w:spacing w:val="-13"/>
        </w:rPr>
        <w:t xml:space="preserve"> </w:t>
      </w:r>
      <w:r>
        <w:t>reported</w:t>
      </w:r>
      <w:r>
        <w:rPr>
          <w:spacing w:val="-12"/>
        </w:rPr>
        <w:t xml:space="preserve"> </w:t>
      </w:r>
      <w:r>
        <w:t>book</w:t>
      </w:r>
      <w:r>
        <w:rPr>
          <w:spacing w:val="-13"/>
        </w:rPr>
        <w:t xml:space="preserve"> </w:t>
      </w:r>
      <w:r>
        <w:t>challenges</w:t>
      </w:r>
      <w:r>
        <w:rPr>
          <w:spacing w:val="-12"/>
        </w:rPr>
        <w:t xml:space="preserve"> </w:t>
      </w:r>
      <w:r>
        <w:t>in</w:t>
      </w:r>
      <w:r>
        <w:rPr>
          <w:spacing w:val="-13"/>
        </w:rPr>
        <w:t xml:space="preserve"> </w:t>
      </w:r>
      <w:r>
        <w:t>2022</w:t>
      </w:r>
      <w:r>
        <w:rPr>
          <w:spacing w:val="-12"/>
        </w:rPr>
        <w:t xml:space="preserve"> </w:t>
      </w:r>
      <w:r>
        <w:t>reached</w:t>
      </w:r>
      <w:r>
        <w:rPr>
          <w:spacing w:val="-13"/>
        </w:rPr>
        <w:t xml:space="preserve"> </w:t>
      </w:r>
      <w:r>
        <w:t>1,269,</w:t>
      </w:r>
      <w:r>
        <w:rPr>
          <w:spacing w:val="-12"/>
        </w:rPr>
        <w:t xml:space="preserve"> </w:t>
      </w:r>
      <w:r>
        <w:t>with</w:t>
      </w:r>
      <w:r>
        <w:rPr>
          <w:spacing w:val="-12"/>
        </w:rPr>
        <w:t xml:space="preserve"> </w:t>
      </w:r>
      <w:r>
        <w:t>2,571</w:t>
      </w:r>
      <w:r>
        <w:rPr>
          <w:spacing w:val="-12"/>
        </w:rPr>
        <w:t xml:space="preserve"> </w:t>
      </w:r>
      <w:r>
        <w:t>unique</w:t>
      </w:r>
      <w:r>
        <w:rPr>
          <w:spacing w:val="-12"/>
        </w:rPr>
        <w:t xml:space="preserve"> </w:t>
      </w:r>
      <w:r>
        <w:t>titles</w:t>
      </w:r>
      <w:r>
        <w:rPr>
          <w:spacing w:val="-11"/>
        </w:rPr>
        <w:t xml:space="preserve"> </w:t>
      </w:r>
      <w:r>
        <w:t>being</w:t>
      </w:r>
      <w:r>
        <w:rPr>
          <w:spacing w:val="-13"/>
        </w:rPr>
        <w:t xml:space="preserve"> </w:t>
      </w:r>
      <w:r>
        <w:t>targeted</w:t>
      </w:r>
      <w:r>
        <w:rPr>
          <w:spacing w:val="-12"/>
        </w:rPr>
        <w:t xml:space="preserve"> </w:t>
      </w:r>
      <w:r>
        <w:t>for</w:t>
      </w:r>
      <w:r>
        <w:rPr>
          <w:spacing w:val="-13"/>
        </w:rPr>
        <w:t xml:space="preserve"> </w:t>
      </w:r>
      <w:r>
        <w:t>censorship; the</w:t>
      </w:r>
      <w:r>
        <w:rPr>
          <w:spacing w:val="-1"/>
        </w:rPr>
        <w:t xml:space="preserve"> </w:t>
      </w:r>
      <w:r>
        <w:t>vast</w:t>
      </w:r>
      <w:r>
        <w:rPr>
          <w:spacing w:val="-4"/>
        </w:rPr>
        <w:t xml:space="preserve"> </w:t>
      </w:r>
      <w:r>
        <w:t>majority</w:t>
      </w:r>
      <w:r>
        <w:rPr>
          <w:spacing w:val="-4"/>
        </w:rPr>
        <w:t xml:space="preserve"> </w:t>
      </w:r>
      <w:r>
        <w:t>of</w:t>
      </w:r>
      <w:r>
        <w:rPr>
          <w:spacing w:val="-4"/>
        </w:rPr>
        <w:t xml:space="preserve"> </w:t>
      </w:r>
      <w:r>
        <w:t>these</w:t>
      </w:r>
      <w:r>
        <w:rPr>
          <w:spacing w:val="-1"/>
        </w:rPr>
        <w:t xml:space="preserve"> </w:t>
      </w:r>
      <w:r>
        <w:t>titles</w:t>
      </w:r>
      <w:r>
        <w:rPr>
          <w:spacing w:val="-2"/>
        </w:rPr>
        <w:t xml:space="preserve"> </w:t>
      </w:r>
      <w:r>
        <w:t>being</w:t>
      </w:r>
      <w:r>
        <w:rPr>
          <w:spacing w:val="-3"/>
        </w:rPr>
        <w:t xml:space="preserve"> </w:t>
      </w:r>
      <w:r>
        <w:t>challenged</w:t>
      </w:r>
      <w:r>
        <w:rPr>
          <w:spacing w:val="-3"/>
        </w:rPr>
        <w:t xml:space="preserve"> </w:t>
      </w:r>
      <w:r>
        <w:t>centered</w:t>
      </w:r>
      <w:r>
        <w:rPr>
          <w:spacing w:val="-2"/>
        </w:rPr>
        <w:t xml:space="preserve"> </w:t>
      </w:r>
      <w:r>
        <w:t>around</w:t>
      </w:r>
      <w:r>
        <w:rPr>
          <w:spacing w:val="-3"/>
        </w:rPr>
        <w:t xml:space="preserve"> </w:t>
      </w:r>
      <w:r>
        <w:t>LGBTQ</w:t>
      </w:r>
      <w:r>
        <w:rPr>
          <w:spacing w:val="-2"/>
        </w:rPr>
        <w:t xml:space="preserve"> </w:t>
      </w:r>
      <w:r>
        <w:t>communities</w:t>
      </w:r>
      <w:r>
        <w:rPr>
          <w:spacing w:val="-2"/>
        </w:rPr>
        <w:t xml:space="preserve"> </w:t>
      </w:r>
      <w:r>
        <w:t>and</w:t>
      </w:r>
      <w:r>
        <w:rPr>
          <w:spacing w:val="-3"/>
        </w:rPr>
        <w:t xml:space="preserve"> </w:t>
      </w:r>
      <w:r>
        <w:t>communities of color, with 90% of the challenges attempts to censor multiple titles at one time.</w:t>
      </w:r>
      <w:hyperlink w:anchor="_bookmark915" w:history="1">
        <w:r>
          <w:rPr>
            <w:vertAlign w:val="superscript"/>
          </w:rPr>
          <w:t>4</w:t>
        </w:r>
      </w:hyperlink>
      <w:r>
        <w:rPr>
          <w:spacing w:val="-1"/>
        </w:rPr>
        <w:t xml:space="preserve"> </w:t>
      </w:r>
      <w:r>
        <w:t>In the ALA’s list of “Top 10 Most Challenged Books of 2022</w:t>
      </w:r>
      <w:r>
        <w:t xml:space="preserve">” 7 of the books were challenged due to LGBTQ content, with </w:t>
      </w:r>
      <w:r>
        <w:rPr>
          <w:i/>
        </w:rPr>
        <w:t>Gender</w:t>
      </w:r>
      <w:r>
        <w:rPr>
          <w:i/>
          <w:spacing w:val="-1"/>
        </w:rPr>
        <w:t xml:space="preserve"> </w:t>
      </w:r>
      <w:r>
        <w:rPr>
          <w:i/>
        </w:rPr>
        <w:t>Queer</w:t>
      </w:r>
      <w:r>
        <w:rPr>
          <w:i/>
          <w:spacing w:val="-1"/>
        </w:rPr>
        <w:t xml:space="preserve"> </w:t>
      </w:r>
      <w:r>
        <w:t>by</w:t>
      </w:r>
      <w:r>
        <w:rPr>
          <w:spacing w:val="-4"/>
        </w:rPr>
        <w:t xml:space="preserve"> </w:t>
      </w:r>
      <w:r>
        <w:t>Maia</w:t>
      </w:r>
      <w:r>
        <w:rPr>
          <w:spacing w:val="-2"/>
        </w:rPr>
        <w:t xml:space="preserve"> </w:t>
      </w:r>
      <w:r>
        <w:t>Kobabe being</w:t>
      </w:r>
      <w:r>
        <w:rPr>
          <w:spacing w:val="-3"/>
        </w:rPr>
        <w:t xml:space="preserve"> </w:t>
      </w:r>
      <w:r>
        <w:t>the</w:t>
      </w:r>
      <w:r>
        <w:rPr>
          <w:spacing w:val="-2"/>
        </w:rPr>
        <w:t xml:space="preserve"> </w:t>
      </w:r>
      <w:r>
        <w:t>most</w:t>
      </w:r>
      <w:r>
        <w:rPr>
          <w:spacing w:val="-2"/>
        </w:rPr>
        <w:t xml:space="preserve"> </w:t>
      </w:r>
      <w:r>
        <w:t>banned</w:t>
      </w:r>
      <w:r>
        <w:rPr>
          <w:spacing w:val="-3"/>
        </w:rPr>
        <w:t xml:space="preserve"> </w:t>
      </w:r>
      <w:r>
        <w:t>book</w:t>
      </w:r>
      <w:r>
        <w:rPr>
          <w:spacing w:val="-2"/>
        </w:rPr>
        <w:t xml:space="preserve"> </w:t>
      </w:r>
      <w:r>
        <w:t>in</w:t>
      </w:r>
      <w:r>
        <w:rPr>
          <w:spacing w:val="-1"/>
        </w:rPr>
        <w:t xml:space="preserve"> </w:t>
      </w:r>
      <w:r>
        <w:t>the</w:t>
      </w:r>
      <w:r>
        <w:rPr>
          <w:spacing w:val="-2"/>
        </w:rPr>
        <w:t xml:space="preserve"> </w:t>
      </w:r>
      <w:r>
        <w:t>U.S.</w:t>
      </w:r>
      <w:hyperlink w:anchor="_bookmark916" w:history="1">
        <w:r>
          <w:rPr>
            <w:vertAlign w:val="superscript"/>
          </w:rPr>
          <w:t>5</w:t>
        </w:r>
      </w:hyperlink>
      <w:r>
        <w:rPr>
          <w:spacing w:val="-1"/>
        </w:rPr>
        <w:t xml:space="preserve"> </w:t>
      </w:r>
      <w:r>
        <w:t>The</w:t>
      </w:r>
      <w:r>
        <w:rPr>
          <w:spacing w:val="-2"/>
        </w:rPr>
        <w:t xml:space="preserve"> </w:t>
      </w:r>
      <w:r>
        <w:t>Commonwealth</w:t>
      </w:r>
      <w:r>
        <w:rPr>
          <w:spacing w:val="-3"/>
        </w:rPr>
        <w:t xml:space="preserve"> </w:t>
      </w:r>
      <w:r>
        <w:t>has</w:t>
      </w:r>
      <w:r>
        <w:rPr>
          <w:spacing w:val="-2"/>
        </w:rPr>
        <w:t xml:space="preserve"> </w:t>
      </w:r>
      <w:r>
        <w:t>seen</w:t>
      </w:r>
      <w:r>
        <w:rPr>
          <w:spacing w:val="-3"/>
        </w:rPr>
        <w:t xml:space="preserve"> </w:t>
      </w:r>
      <w:r>
        <w:t>no exceptions</w:t>
      </w:r>
      <w:r>
        <w:rPr>
          <w:spacing w:val="-6"/>
        </w:rPr>
        <w:t xml:space="preserve"> </w:t>
      </w:r>
      <w:r>
        <w:t>to</w:t>
      </w:r>
      <w:r>
        <w:rPr>
          <w:spacing w:val="-3"/>
        </w:rPr>
        <w:t xml:space="preserve"> </w:t>
      </w:r>
      <w:r>
        <w:t>these</w:t>
      </w:r>
      <w:r>
        <w:rPr>
          <w:spacing w:val="-5"/>
        </w:rPr>
        <w:t xml:space="preserve"> </w:t>
      </w:r>
      <w:r>
        <w:t>challenges,</w:t>
      </w:r>
      <w:r>
        <w:rPr>
          <w:spacing w:val="-6"/>
        </w:rPr>
        <w:t xml:space="preserve"> </w:t>
      </w:r>
      <w:r>
        <w:t>with</w:t>
      </w:r>
      <w:r>
        <w:rPr>
          <w:spacing w:val="-6"/>
        </w:rPr>
        <w:t xml:space="preserve"> </w:t>
      </w:r>
      <w:r>
        <w:t>the</w:t>
      </w:r>
      <w:r>
        <w:rPr>
          <w:spacing w:val="-3"/>
        </w:rPr>
        <w:t xml:space="preserve"> </w:t>
      </w:r>
      <w:r>
        <w:t>ACLU</w:t>
      </w:r>
      <w:r>
        <w:rPr>
          <w:spacing w:val="-6"/>
        </w:rPr>
        <w:t xml:space="preserve"> </w:t>
      </w:r>
      <w:r>
        <w:t>&amp;</w:t>
      </w:r>
      <w:r>
        <w:rPr>
          <w:spacing w:val="-5"/>
        </w:rPr>
        <w:t xml:space="preserve"> </w:t>
      </w:r>
      <w:r>
        <w:t>GLAD</w:t>
      </w:r>
      <w:r>
        <w:rPr>
          <w:spacing w:val="-5"/>
        </w:rPr>
        <w:t xml:space="preserve"> </w:t>
      </w:r>
      <w:r>
        <w:t>releasing</w:t>
      </w:r>
      <w:r>
        <w:rPr>
          <w:spacing w:val="-4"/>
        </w:rPr>
        <w:t xml:space="preserve"> </w:t>
      </w:r>
      <w:r>
        <w:t>a</w:t>
      </w:r>
      <w:r>
        <w:rPr>
          <w:spacing w:val="-6"/>
        </w:rPr>
        <w:t xml:space="preserve"> </w:t>
      </w:r>
      <w:r>
        <w:t>letter</w:t>
      </w:r>
      <w:r>
        <w:rPr>
          <w:spacing w:val="-6"/>
        </w:rPr>
        <w:t xml:space="preserve"> </w:t>
      </w:r>
      <w:r>
        <w:t>in</w:t>
      </w:r>
      <w:r>
        <w:rPr>
          <w:spacing w:val="-4"/>
        </w:rPr>
        <w:t xml:space="preserve"> </w:t>
      </w:r>
      <w:r>
        <w:t>January</w:t>
      </w:r>
      <w:r>
        <w:rPr>
          <w:spacing w:val="-5"/>
        </w:rPr>
        <w:t xml:space="preserve"> </w:t>
      </w:r>
      <w:r>
        <w:t>of</w:t>
      </w:r>
      <w:r>
        <w:rPr>
          <w:spacing w:val="-6"/>
        </w:rPr>
        <w:t xml:space="preserve"> </w:t>
      </w:r>
      <w:r>
        <w:t>2023</w:t>
      </w:r>
      <w:r>
        <w:rPr>
          <w:spacing w:val="-5"/>
        </w:rPr>
        <w:t xml:space="preserve"> </w:t>
      </w:r>
      <w:r>
        <w:t>in</w:t>
      </w:r>
      <w:r>
        <w:rPr>
          <w:spacing w:val="-4"/>
        </w:rPr>
        <w:t xml:space="preserve"> </w:t>
      </w:r>
      <w:r>
        <w:t>response</w:t>
      </w:r>
      <w:r>
        <w:rPr>
          <w:spacing w:val="-5"/>
        </w:rPr>
        <w:t xml:space="preserve"> </w:t>
      </w:r>
      <w:r>
        <w:t>to the continued attacks seen by LGBTQ youth, families, and advocates across the state.</w:t>
      </w:r>
      <w:hyperlink w:anchor="_bookmark917" w:history="1">
        <w:r>
          <w:rPr>
            <w:vertAlign w:val="superscript"/>
          </w:rPr>
          <w:t>6</w:t>
        </w:r>
      </w:hyperlink>
    </w:p>
    <w:p w:rsidR="00200FDA" w:rsidRDefault="00200FDA">
      <w:pPr>
        <w:pStyle w:val="BodyText"/>
        <w:spacing w:before="2"/>
        <w:rPr>
          <w:sz w:val="35"/>
        </w:rPr>
      </w:pPr>
    </w:p>
    <w:p w:rsidR="00200FDA" w:rsidRDefault="00F76C4C">
      <w:pPr>
        <w:pStyle w:val="Heading8"/>
        <w:ind w:left="280"/>
      </w:pPr>
      <w:bookmarkStart w:id="1175" w:name="Past_&amp;_Future_Work"/>
      <w:bookmarkEnd w:id="1175"/>
      <w:r>
        <w:rPr>
          <w:color w:val="365F91"/>
        </w:rPr>
        <w:t>Past</w:t>
      </w:r>
      <w:r>
        <w:rPr>
          <w:color w:val="365F91"/>
          <w:spacing w:val="-2"/>
        </w:rPr>
        <w:t xml:space="preserve"> </w:t>
      </w:r>
      <w:r>
        <w:rPr>
          <w:color w:val="365F91"/>
        </w:rPr>
        <w:t>&amp;</w:t>
      </w:r>
      <w:r>
        <w:rPr>
          <w:color w:val="365F91"/>
          <w:spacing w:val="-1"/>
        </w:rPr>
        <w:t xml:space="preserve"> </w:t>
      </w:r>
      <w:r>
        <w:rPr>
          <w:color w:val="365F91"/>
        </w:rPr>
        <w:t>Future</w:t>
      </w:r>
      <w:r>
        <w:rPr>
          <w:color w:val="365F91"/>
          <w:spacing w:val="-2"/>
        </w:rPr>
        <w:t xml:space="preserve"> </w:t>
      </w:r>
      <w:r>
        <w:rPr>
          <w:color w:val="365F91"/>
          <w:spacing w:val="-4"/>
        </w:rPr>
        <w:t>Work</w:t>
      </w:r>
    </w:p>
    <w:p w:rsidR="00200FDA" w:rsidRDefault="00200FDA">
      <w:pPr>
        <w:pStyle w:val="BodyText"/>
        <w:spacing w:before="8"/>
        <w:rPr>
          <w:sz w:val="19"/>
        </w:rPr>
      </w:pPr>
    </w:p>
    <w:p w:rsidR="00200FDA" w:rsidRDefault="00F76C4C">
      <w:pPr>
        <w:pStyle w:val="BodyText"/>
        <w:spacing w:line="276" w:lineRule="auto"/>
        <w:ind w:left="280" w:right="274"/>
        <w:jc w:val="both"/>
      </w:pPr>
      <w:r>
        <w:t>The Commission has been pleased to work with MBLC for several years to colla</w:t>
      </w:r>
      <w:r>
        <w:t>borate on supporting librarians and LGBTQ youth receiving Massachusetts library services. Over the last fiscal year, the Commission</w:t>
      </w:r>
      <w:r>
        <w:rPr>
          <w:spacing w:val="-2"/>
        </w:rPr>
        <w:t xml:space="preserve"> </w:t>
      </w:r>
      <w:r>
        <w:t>has</w:t>
      </w:r>
      <w:r>
        <w:rPr>
          <w:spacing w:val="-1"/>
        </w:rPr>
        <w:t xml:space="preserve"> </w:t>
      </w:r>
      <w:r>
        <w:t>been</w:t>
      </w:r>
      <w:r>
        <w:rPr>
          <w:spacing w:val="-2"/>
        </w:rPr>
        <w:t xml:space="preserve"> </w:t>
      </w:r>
      <w:r>
        <w:t>involved</w:t>
      </w:r>
      <w:r>
        <w:rPr>
          <w:spacing w:val="-2"/>
        </w:rPr>
        <w:t xml:space="preserve"> </w:t>
      </w:r>
      <w:r>
        <w:t>in</w:t>
      </w:r>
      <w:r>
        <w:rPr>
          <w:spacing w:val="-2"/>
        </w:rPr>
        <w:t xml:space="preserve"> </w:t>
      </w:r>
      <w:r>
        <w:t>numerous</w:t>
      </w:r>
      <w:r>
        <w:rPr>
          <w:spacing w:val="-1"/>
        </w:rPr>
        <w:t xml:space="preserve"> </w:t>
      </w:r>
      <w:r>
        <w:t>conversations</w:t>
      </w:r>
      <w:r>
        <w:rPr>
          <w:spacing w:val="-1"/>
        </w:rPr>
        <w:t xml:space="preserve"> </w:t>
      </w:r>
      <w:r>
        <w:t>with</w:t>
      </w:r>
      <w:r>
        <w:rPr>
          <w:spacing w:val="-4"/>
        </w:rPr>
        <w:t xml:space="preserve"> </w:t>
      </w:r>
      <w:r>
        <w:t>MBLC</w:t>
      </w:r>
      <w:r>
        <w:rPr>
          <w:spacing w:val="-1"/>
        </w:rPr>
        <w:t xml:space="preserve"> </w:t>
      </w:r>
      <w:r>
        <w:t>staff</w:t>
      </w:r>
      <w:r>
        <w:rPr>
          <w:spacing w:val="-1"/>
        </w:rPr>
        <w:t xml:space="preserve"> </w:t>
      </w:r>
      <w:r>
        <w:t>and</w:t>
      </w:r>
      <w:r>
        <w:rPr>
          <w:spacing w:val="-2"/>
        </w:rPr>
        <w:t xml:space="preserve"> </w:t>
      </w:r>
      <w:r>
        <w:t>librarians</w:t>
      </w:r>
      <w:r>
        <w:rPr>
          <w:spacing w:val="-1"/>
        </w:rPr>
        <w:t xml:space="preserve"> </w:t>
      </w:r>
      <w:r>
        <w:t>on</w:t>
      </w:r>
      <w:r>
        <w:rPr>
          <w:spacing w:val="-2"/>
        </w:rPr>
        <w:t xml:space="preserve"> </w:t>
      </w:r>
      <w:r>
        <w:t>how</w:t>
      </w:r>
      <w:r>
        <w:rPr>
          <w:spacing w:val="-1"/>
        </w:rPr>
        <w:t xml:space="preserve"> </w:t>
      </w:r>
      <w:r>
        <w:t>best</w:t>
      </w:r>
      <w:r>
        <w:rPr>
          <w:spacing w:val="-1"/>
        </w:rPr>
        <w:t xml:space="preserve"> </w:t>
      </w:r>
      <w:r>
        <w:t>to support libraries seeing an influx of book challenges and protests across the state. The Commission anticipates continuing these conversations in FY 2024 and implementing events and actionable items to help support library communities.</w:t>
      </w:r>
    </w:p>
    <w:p w:rsidR="00200FDA" w:rsidRDefault="00200FDA">
      <w:pPr>
        <w:pStyle w:val="BodyText"/>
        <w:spacing w:before="10"/>
        <w:rPr>
          <w:sz w:val="32"/>
        </w:rPr>
      </w:pPr>
    </w:p>
    <w:p w:rsidR="00200FDA" w:rsidRDefault="00F76C4C">
      <w:pPr>
        <w:pStyle w:val="Heading7"/>
        <w:jc w:val="both"/>
      </w:pPr>
      <w:r>
        <w:pict>
          <v:rect id="docshape626" o:spid="_x0000_s1038" style="position:absolute;left:0;text-align:left;margin-left:70.55pt;margin-top:18pt;width:470.9pt;height:.5pt;z-index:-15596032;mso-wrap-distance-left:0;mso-wrap-distance-right:0;mso-position-horizontal-relative:page" fillcolor="#4f81bc" stroked="f">
            <w10:wrap type="topAndBottom" anchorx="page"/>
          </v:rect>
        </w:pict>
      </w:r>
      <w:bookmarkStart w:id="1176" w:name="FY_2024_Expanded_MBLC_Recommendations"/>
      <w:bookmarkEnd w:id="1176"/>
      <w:r>
        <w:rPr>
          <w:color w:val="365F91"/>
        </w:rPr>
        <w:t>FY</w:t>
      </w:r>
      <w:r>
        <w:rPr>
          <w:color w:val="365F91"/>
          <w:spacing w:val="-4"/>
        </w:rPr>
        <w:t xml:space="preserve"> </w:t>
      </w:r>
      <w:r>
        <w:rPr>
          <w:color w:val="365F91"/>
        </w:rPr>
        <w:t>2024</w:t>
      </w:r>
      <w:r>
        <w:rPr>
          <w:color w:val="365F91"/>
          <w:spacing w:val="-5"/>
        </w:rPr>
        <w:t xml:space="preserve"> </w:t>
      </w:r>
      <w:r>
        <w:rPr>
          <w:color w:val="365F91"/>
        </w:rPr>
        <w:t>Expanded</w:t>
      </w:r>
      <w:r>
        <w:rPr>
          <w:color w:val="365F91"/>
          <w:spacing w:val="-2"/>
        </w:rPr>
        <w:t xml:space="preserve"> </w:t>
      </w:r>
      <w:r>
        <w:rPr>
          <w:color w:val="365F91"/>
        </w:rPr>
        <w:t>MBLC</w:t>
      </w:r>
      <w:r>
        <w:rPr>
          <w:color w:val="365F91"/>
          <w:spacing w:val="-4"/>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4"/>
        </w:numPr>
        <w:tabs>
          <w:tab w:val="left" w:pos="504"/>
        </w:tabs>
        <w:spacing w:before="56" w:line="276" w:lineRule="auto"/>
        <w:ind w:right="276" w:firstLine="0"/>
        <w:jc w:val="both"/>
      </w:pPr>
      <w:r>
        <w:t>Develop</w:t>
      </w:r>
      <w:r>
        <w:rPr>
          <w:spacing w:val="-3"/>
        </w:rPr>
        <w:t xml:space="preserve"> </w:t>
      </w:r>
      <w:r>
        <w:t>and</w:t>
      </w:r>
      <w:r>
        <w:rPr>
          <w:spacing w:val="-3"/>
        </w:rPr>
        <w:t xml:space="preserve"> </w:t>
      </w:r>
      <w:r>
        <w:t>disseminate</w:t>
      </w:r>
      <w:r>
        <w:rPr>
          <w:spacing w:val="-3"/>
        </w:rPr>
        <w:t xml:space="preserve"> </w:t>
      </w:r>
      <w:r>
        <w:t>a</w:t>
      </w:r>
      <w:r>
        <w:rPr>
          <w:spacing w:val="-3"/>
        </w:rPr>
        <w:t xml:space="preserve"> </w:t>
      </w:r>
      <w:r>
        <w:t>new</w:t>
      </w:r>
      <w:r>
        <w:rPr>
          <w:spacing w:val="-1"/>
        </w:rPr>
        <w:t xml:space="preserve"> </w:t>
      </w:r>
      <w:r>
        <w:t>recommended</w:t>
      </w:r>
      <w:r>
        <w:rPr>
          <w:spacing w:val="-3"/>
        </w:rPr>
        <w:t xml:space="preserve"> </w:t>
      </w:r>
      <w:r>
        <w:t>LGBTQ</w:t>
      </w:r>
      <w:r>
        <w:rPr>
          <w:spacing w:val="-2"/>
        </w:rPr>
        <w:t xml:space="preserve"> </w:t>
      </w:r>
      <w:r>
        <w:t>book</w:t>
      </w:r>
      <w:r>
        <w:rPr>
          <w:spacing w:val="-2"/>
        </w:rPr>
        <w:t xml:space="preserve"> </w:t>
      </w:r>
      <w:r>
        <w:t>list</w:t>
      </w:r>
      <w:r>
        <w:rPr>
          <w:spacing w:val="-2"/>
        </w:rPr>
        <w:t xml:space="preserve"> </w:t>
      </w:r>
      <w:r>
        <w:t>in</w:t>
      </w:r>
      <w:r>
        <w:rPr>
          <w:spacing w:val="-3"/>
        </w:rPr>
        <w:t xml:space="preserve"> </w:t>
      </w:r>
      <w:r>
        <w:t>partnership</w:t>
      </w:r>
      <w:r>
        <w:rPr>
          <w:spacing w:val="-3"/>
        </w:rPr>
        <w:t xml:space="preserve"> </w:t>
      </w:r>
      <w:r>
        <w:t>with</w:t>
      </w:r>
      <w:r>
        <w:rPr>
          <w:spacing w:val="-3"/>
        </w:rPr>
        <w:t xml:space="preserve"> </w:t>
      </w:r>
      <w:r>
        <w:t>the</w:t>
      </w:r>
      <w:r>
        <w:rPr>
          <w:spacing w:val="-2"/>
        </w:rPr>
        <w:t xml:space="preserve"> </w:t>
      </w:r>
      <w:r>
        <w:t>Safe</w:t>
      </w:r>
      <w:r>
        <w:rPr>
          <w:spacing w:val="-3"/>
        </w:rPr>
        <w:t xml:space="preserve"> </w:t>
      </w:r>
      <w:r>
        <w:t>Schools Program for all libraries in Massachusetts.</w:t>
      </w:r>
    </w:p>
    <w:p w:rsidR="00200FDA" w:rsidRDefault="00200FDA">
      <w:pPr>
        <w:pStyle w:val="BodyText"/>
        <w:spacing w:before="10"/>
        <w:rPr>
          <w:b/>
          <w:sz w:val="19"/>
        </w:rPr>
      </w:pPr>
    </w:p>
    <w:p w:rsidR="00200FDA" w:rsidRDefault="00F76C4C">
      <w:pPr>
        <w:pStyle w:val="BodyText"/>
        <w:spacing w:line="276" w:lineRule="auto"/>
        <w:ind w:left="279" w:right="275"/>
        <w:jc w:val="both"/>
      </w:pPr>
      <w:r>
        <w:t>In 2019,</w:t>
      </w:r>
      <w:r>
        <w:rPr>
          <w:spacing w:val="-2"/>
        </w:rPr>
        <w:t xml:space="preserve"> </w:t>
      </w:r>
      <w:r>
        <w:t>the Commission developed a</w:t>
      </w:r>
      <w:r>
        <w:rPr>
          <w:spacing w:val="-2"/>
        </w:rPr>
        <w:t xml:space="preserve"> </w:t>
      </w:r>
      <w:r>
        <w:t>recommended</w:t>
      </w:r>
      <w:r>
        <w:rPr>
          <w:spacing w:val="-2"/>
        </w:rPr>
        <w:t xml:space="preserve"> </w:t>
      </w:r>
      <w:r>
        <w:t>LGBTQ</w:t>
      </w:r>
      <w:r>
        <w:rPr>
          <w:spacing w:val="-2"/>
        </w:rPr>
        <w:t xml:space="preserve"> </w:t>
      </w:r>
      <w:r>
        <w:t>book list which has</w:t>
      </w:r>
      <w:r>
        <w:rPr>
          <w:spacing w:val="-4"/>
        </w:rPr>
        <w:t xml:space="preserve"> </w:t>
      </w:r>
      <w:r>
        <w:t>since become</w:t>
      </w:r>
      <w:r>
        <w:rPr>
          <w:spacing w:val="-1"/>
        </w:rPr>
        <w:t xml:space="preserve"> </w:t>
      </w:r>
      <w:r>
        <w:t>outdated. As</w:t>
      </w:r>
      <w:r>
        <w:rPr>
          <w:spacing w:val="-3"/>
        </w:rPr>
        <w:t xml:space="preserve"> </w:t>
      </w:r>
      <w:r>
        <w:t>of</w:t>
      </w:r>
      <w:r>
        <w:rPr>
          <w:spacing w:val="-6"/>
        </w:rPr>
        <w:t xml:space="preserve"> </w:t>
      </w:r>
      <w:r>
        <w:t>spring</w:t>
      </w:r>
      <w:r>
        <w:rPr>
          <w:spacing w:val="-4"/>
        </w:rPr>
        <w:t xml:space="preserve"> </w:t>
      </w:r>
      <w:r>
        <w:t>of</w:t>
      </w:r>
      <w:r>
        <w:rPr>
          <w:spacing w:val="-6"/>
        </w:rPr>
        <w:t xml:space="preserve"> </w:t>
      </w:r>
      <w:r>
        <w:t>2023,</w:t>
      </w:r>
      <w:r>
        <w:rPr>
          <w:spacing w:val="-3"/>
        </w:rPr>
        <w:t xml:space="preserve"> </w:t>
      </w:r>
      <w:r>
        <w:t>the</w:t>
      </w:r>
      <w:r>
        <w:rPr>
          <w:spacing w:val="-3"/>
        </w:rPr>
        <w:t xml:space="preserve"> </w:t>
      </w:r>
      <w:r>
        <w:t>Commission</w:t>
      </w:r>
      <w:r>
        <w:rPr>
          <w:spacing w:val="-7"/>
        </w:rPr>
        <w:t xml:space="preserve"> </w:t>
      </w:r>
      <w:r>
        <w:t>is</w:t>
      </w:r>
      <w:r>
        <w:rPr>
          <w:spacing w:val="-3"/>
        </w:rPr>
        <w:t xml:space="preserve"> </w:t>
      </w:r>
      <w:r>
        <w:t>in</w:t>
      </w:r>
      <w:r>
        <w:rPr>
          <w:spacing w:val="-4"/>
        </w:rPr>
        <w:t xml:space="preserve"> </w:t>
      </w:r>
      <w:r>
        <w:t>the</w:t>
      </w:r>
      <w:r>
        <w:rPr>
          <w:spacing w:val="-3"/>
        </w:rPr>
        <w:t xml:space="preserve"> </w:t>
      </w:r>
      <w:r>
        <w:t>process</w:t>
      </w:r>
      <w:r>
        <w:rPr>
          <w:spacing w:val="-8"/>
        </w:rPr>
        <w:t xml:space="preserve"> </w:t>
      </w:r>
      <w:r>
        <w:t>of</w:t>
      </w:r>
      <w:r>
        <w:rPr>
          <w:spacing w:val="-4"/>
        </w:rPr>
        <w:t xml:space="preserve"> </w:t>
      </w:r>
      <w:r>
        <w:t>developing</w:t>
      </w:r>
      <w:r>
        <w:rPr>
          <w:spacing w:val="-4"/>
        </w:rPr>
        <w:t xml:space="preserve"> </w:t>
      </w:r>
      <w:r>
        <w:t>a</w:t>
      </w:r>
      <w:r>
        <w:rPr>
          <w:spacing w:val="-4"/>
        </w:rPr>
        <w:t xml:space="preserve"> </w:t>
      </w:r>
      <w:r>
        <w:t>new</w:t>
      </w:r>
      <w:r>
        <w:rPr>
          <w:spacing w:val="-5"/>
        </w:rPr>
        <w:t xml:space="preserve"> </w:t>
      </w:r>
      <w:r>
        <w:t>LGBTQ</w:t>
      </w:r>
      <w:r>
        <w:rPr>
          <w:spacing w:val="-5"/>
        </w:rPr>
        <w:t xml:space="preserve"> </w:t>
      </w:r>
      <w:r>
        <w:t>book</w:t>
      </w:r>
      <w:r>
        <w:rPr>
          <w:spacing w:val="-3"/>
        </w:rPr>
        <w:t xml:space="preserve"> </w:t>
      </w:r>
      <w:r>
        <w:t>list</w:t>
      </w:r>
      <w:r>
        <w:rPr>
          <w:spacing w:val="-5"/>
        </w:rPr>
        <w:t xml:space="preserve"> </w:t>
      </w:r>
      <w:r>
        <w:t>with</w:t>
      </w:r>
      <w:r>
        <w:rPr>
          <w:spacing w:val="-4"/>
        </w:rPr>
        <w:t xml:space="preserve"> </w:t>
      </w:r>
      <w:r>
        <w:t>the</w:t>
      </w:r>
      <w:r>
        <w:rPr>
          <w:spacing w:val="-5"/>
        </w:rPr>
        <w:t xml:space="preserve"> </w:t>
      </w:r>
      <w:r>
        <w:t>state library system to be made widely available to educators, parents, librarians, and youth. The Commission hopes</w:t>
      </w:r>
      <w:r>
        <w:rPr>
          <w:spacing w:val="-2"/>
        </w:rPr>
        <w:t xml:space="preserve"> </w:t>
      </w:r>
      <w:r>
        <w:t>to</w:t>
      </w:r>
      <w:r>
        <w:rPr>
          <w:spacing w:val="-1"/>
        </w:rPr>
        <w:t xml:space="preserve"> </w:t>
      </w:r>
      <w:r>
        <w:t>continue to pa</w:t>
      </w:r>
      <w:r>
        <w:t>rtner with MBLC</w:t>
      </w:r>
      <w:r>
        <w:rPr>
          <w:spacing w:val="-2"/>
        </w:rPr>
        <w:t xml:space="preserve"> </w:t>
      </w:r>
      <w:r>
        <w:t>and librarians across</w:t>
      </w:r>
      <w:r>
        <w:rPr>
          <w:spacing w:val="-2"/>
        </w:rPr>
        <w:t xml:space="preserve"> </w:t>
      </w:r>
      <w:r>
        <w:t>the state</w:t>
      </w:r>
      <w:r>
        <w:rPr>
          <w:spacing w:val="-1"/>
        </w:rPr>
        <w:t xml:space="preserve"> </w:t>
      </w:r>
      <w:r>
        <w:t>to</w:t>
      </w:r>
      <w:r>
        <w:rPr>
          <w:spacing w:val="-1"/>
        </w:rPr>
        <w:t xml:space="preserve"> </w:t>
      </w:r>
      <w:r>
        <w:t>ensure</w:t>
      </w:r>
      <w:r>
        <w:rPr>
          <w:spacing w:val="-1"/>
        </w:rPr>
        <w:t xml:space="preserve"> </w:t>
      </w:r>
      <w:r>
        <w:t>more frequent reviews and updates to the list as more LGBTQ titles are released over the coming years.</w:t>
      </w:r>
    </w:p>
    <w:p w:rsidR="00200FDA" w:rsidRDefault="00200FDA">
      <w:pPr>
        <w:pStyle w:val="BodyText"/>
        <w:spacing w:before="6"/>
        <w:rPr>
          <w:sz w:val="19"/>
        </w:rPr>
      </w:pPr>
    </w:p>
    <w:p w:rsidR="00200FDA" w:rsidRDefault="00F76C4C">
      <w:pPr>
        <w:pStyle w:val="BodyText"/>
        <w:spacing w:before="1" w:line="276" w:lineRule="auto"/>
        <w:ind w:left="279" w:right="271"/>
        <w:jc w:val="both"/>
      </w:pPr>
      <w:r>
        <w:t>With the significant rise in anti-LGBTQ &amp; racist book challenges, the Commission recognizes th</w:t>
      </w:r>
      <w:r>
        <w:t>e importance</w:t>
      </w:r>
      <w:r>
        <w:rPr>
          <w:spacing w:val="-6"/>
        </w:rPr>
        <w:t xml:space="preserve"> </w:t>
      </w:r>
      <w:r>
        <w:t>of</w:t>
      </w:r>
      <w:r>
        <w:rPr>
          <w:spacing w:val="-7"/>
        </w:rPr>
        <w:t xml:space="preserve"> </w:t>
      </w:r>
      <w:r>
        <w:t>ensuring</w:t>
      </w:r>
      <w:r>
        <w:rPr>
          <w:spacing w:val="-5"/>
        </w:rPr>
        <w:t xml:space="preserve"> </w:t>
      </w:r>
      <w:r>
        <w:t>equitable</w:t>
      </w:r>
      <w:r>
        <w:rPr>
          <w:spacing w:val="-4"/>
        </w:rPr>
        <w:t xml:space="preserve"> </w:t>
      </w:r>
      <w:r>
        <w:t>access</w:t>
      </w:r>
      <w:r>
        <w:rPr>
          <w:spacing w:val="-4"/>
        </w:rPr>
        <w:t xml:space="preserve"> </w:t>
      </w:r>
      <w:r>
        <w:t>across</w:t>
      </w:r>
      <w:r>
        <w:rPr>
          <w:spacing w:val="-4"/>
        </w:rPr>
        <w:t xml:space="preserve"> </w:t>
      </w:r>
      <w:r>
        <w:t>the</w:t>
      </w:r>
      <w:r>
        <w:rPr>
          <w:spacing w:val="-4"/>
        </w:rPr>
        <w:t xml:space="preserve"> </w:t>
      </w:r>
      <w:r>
        <w:t>Commonwealth</w:t>
      </w:r>
      <w:r>
        <w:rPr>
          <w:spacing w:val="-5"/>
        </w:rPr>
        <w:t xml:space="preserve"> </w:t>
      </w:r>
      <w:r>
        <w:t>to</w:t>
      </w:r>
      <w:r>
        <w:rPr>
          <w:spacing w:val="-5"/>
        </w:rPr>
        <w:t xml:space="preserve"> </w:t>
      </w:r>
      <w:r>
        <w:t>these</w:t>
      </w:r>
      <w:r>
        <w:rPr>
          <w:spacing w:val="-6"/>
        </w:rPr>
        <w:t xml:space="preserve"> </w:t>
      </w:r>
      <w:r>
        <w:t>titles.</w:t>
      </w:r>
      <w:r>
        <w:rPr>
          <w:spacing w:val="-5"/>
        </w:rPr>
        <w:t xml:space="preserve"> </w:t>
      </w:r>
      <w:r>
        <w:t>Thus,</w:t>
      </w:r>
      <w:r>
        <w:rPr>
          <w:spacing w:val="-7"/>
        </w:rPr>
        <w:t xml:space="preserve"> </w:t>
      </w:r>
      <w:r>
        <w:t>the</w:t>
      </w:r>
      <w:r>
        <w:rPr>
          <w:spacing w:val="-4"/>
        </w:rPr>
        <w:t xml:space="preserve"> </w:t>
      </w:r>
      <w:r>
        <w:t>Commission recommends that MBLC work with libraries, the Massachusetts Library Association, and the Massachusetts</w:t>
      </w:r>
      <w:r>
        <w:rPr>
          <w:spacing w:val="-13"/>
        </w:rPr>
        <w:t xml:space="preserve"> </w:t>
      </w:r>
      <w:r>
        <w:t>Library</w:t>
      </w:r>
      <w:r>
        <w:rPr>
          <w:spacing w:val="-11"/>
        </w:rPr>
        <w:t xml:space="preserve"> </w:t>
      </w:r>
      <w:r>
        <w:t>System</w:t>
      </w:r>
      <w:r>
        <w:rPr>
          <w:spacing w:val="-12"/>
        </w:rPr>
        <w:t xml:space="preserve"> </w:t>
      </w:r>
      <w:r>
        <w:t>to</w:t>
      </w:r>
      <w:r>
        <w:rPr>
          <w:spacing w:val="-12"/>
        </w:rPr>
        <w:t xml:space="preserve"> </w:t>
      </w:r>
      <w:r>
        <w:t>ensure</w:t>
      </w:r>
      <w:r>
        <w:rPr>
          <w:spacing w:val="-10"/>
        </w:rPr>
        <w:t xml:space="preserve"> </w:t>
      </w:r>
      <w:r>
        <w:t>that</w:t>
      </w:r>
      <w:r>
        <w:rPr>
          <w:spacing w:val="-12"/>
        </w:rPr>
        <w:t xml:space="preserve"> </w:t>
      </w:r>
      <w:r>
        <w:t>youth</w:t>
      </w:r>
      <w:r>
        <w:rPr>
          <w:spacing w:val="-11"/>
        </w:rPr>
        <w:t xml:space="preserve"> </w:t>
      </w:r>
      <w:r>
        <w:t>consistently</w:t>
      </w:r>
      <w:r>
        <w:rPr>
          <w:spacing w:val="-12"/>
        </w:rPr>
        <w:t xml:space="preserve"> </w:t>
      </w:r>
      <w:r>
        <w:t>are</w:t>
      </w:r>
      <w:r>
        <w:rPr>
          <w:spacing w:val="-10"/>
        </w:rPr>
        <w:t xml:space="preserve"> </w:t>
      </w:r>
      <w:r>
        <w:t>able</w:t>
      </w:r>
      <w:r>
        <w:rPr>
          <w:spacing w:val="-12"/>
        </w:rPr>
        <w:t xml:space="preserve"> </w:t>
      </w:r>
      <w:r>
        <w:t>to</w:t>
      </w:r>
      <w:r>
        <w:rPr>
          <w:spacing w:val="-9"/>
        </w:rPr>
        <w:t xml:space="preserve"> </w:t>
      </w:r>
      <w:r>
        <w:t>gain</w:t>
      </w:r>
      <w:r>
        <w:rPr>
          <w:spacing w:val="-11"/>
        </w:rPr>
        <w:t xml:space="preserve"> </w:t>
      </w:r>
      <w:r>
        <w:t>access</w:t>
      </w:r>
      <w:r>
        <w:rPr>
          <w:spacing w:val="-13"/>
        </w:rPr>
        <w:t xml:space="preserve"> </w:t>
      </w:r>
      <w:r>
        <w:t>to</w:t>
      </w:r>
      <w:r>
        <w:rPr>
          <w:spacing w:val="-12"/>
        </w:rPr>
        <w:t xml:space="preserve"> </w:t>
      </w:r>
      <w:r>
        <w:t>LGBTQ-inclusive and anti-racist books.</w:t>
      </w:r>
    </w:p>
    <w:p w:rsidR="00200FDA" w:rsidRDefault="00200FDA">
      <w:pPr>
        <w:pStyle w:val="BodyText"/>
        <w:spacing w:before="6"/>
        <w:rPr>
          <w:sz w:val="19"/>
        </w:rPr>
      </w:pPr>
    </w:p>
    <w:p w:rsidR="00200FDA" w:rsidRDefault="00F76C4C">
      <w:pPr>
        <w:pStyle w:val="Heading9"/>
        <w:numPr>
          <w:ilvl w:val="0"/>
          <w:numId w:val="4"/>
        </w:numPr>
        <w:tabs>
          <w:tab w:val="left" w:pos="546"/>
        </w:tabs>
        <w:spacing w:before="1" w:line="276" w:lineRule="auto"/>
        <w:ind w:left="279" w:right="275" w:firstLine="0"/>
        <w:jc w:val="both"/>
      </w:pPr>
      <w:r>
        <w:t xml:space="preserve">Partner with the Commission and communities to equip Massachusetts librarians with conflict resolution skills, talking points, and protection to handle anti-LGBTQ protests against programs </w:t>
      </w:r>
      <w:r>
        <w:t>and book challenges.</w:t>
      </w:r>
    </w:p>
    <w:p w:rsidR="00200FDA" w:rsidRDefault="00200FDA">
      <w:pPr>
        <w:pStyle w:val="BodyText"/>
        <w:spacing w:before="7"/>
        <w:rPr>
          <w:b/>
          <w:sz w:val="19"/>
        </w:rPr>
      </w:pPr>
    </w:p>
    <w:p w:rsidR="00200FDA" w:rsidRDefault="00F76C4C">
      <w:pPr>
        <w:pStyle w:val="BodyText"/>
        <w:spacing w:line="276" w:lineRule="auto"/>
        <w:ind w:left="279" w:right="276"/>
        <w:jc w:val="both"/>
      </w:pPr>
      <w:r>
        <w:t>As discussed</w:t>
      </w:r>
      <w:r>
        <w:rPr>
          <w:spacing w:val="-1"/>
        </w:rPr>
        <w:t xml:space="preserve"> </w:t>
      </w:r>
      <w:r>
        <w:t>in</w:t>
      </w:r>
      <w:r>
        <w:rPr>
          <w:spacing w:val="-1"/>
        </w:rPr>
        <w:t xml:space="preserve"> </w:t>
      </w:r>
      <w:r>
        <w:t>above sections, the Commission</w:t>
      </w:r>
      <w:r>
        <w:rPr>
          <w:spacing w:val="-1"/>
        </w:rPr>
        <w:t xml:space="preserve"> </w:t>
      </w:r>
      <w:r>
        <w:t>is actively</w:t>
      </w:r>
      <w:r>
        <w:rPr>
          <w:spacing w:val="-2"/>
        </w:rPr>
        <w:t xml:space="preserve"> </w:t>
      </w:r>
      <w:r>
        <w:t>working</w:t>
      </w:r>
      <w:r>
        <w:rPr>
          <w:spacing w:val="-4"/>
        </w:rPr>
        <w:t xml:space="preserve"> </w:t>
      </w:r>
      <w:r>
        <w:t>with</w:t>
      </w:r>
      <w:r>
        <w:rPr>
          <w:spacing w:val="-1"/>
        </w:rPr>
        <w:t xml:space="preserve"> </w:t>
      </w:r>
      <w:r>
        <w:t>community and</w:t>
      </w:r>
      <w:r>
        <w:rPr>
          <w:spacing w:val="-1"/>
        </w:rPr>
        <w:t xml:space="preserve"> </w:t>
      </w:r>
      <w:r>
        <w:t>agency partners to</w:t>
      </w:r>
      <w:r>
        <w:rPr>
          <w:spacing w:val="14"/>
        </w:rPr>
        <w:t xml:space="preserve"> </w:t>
      </w:r>
      <w:r>
        <w:t>address the alarming rise in anti-LGBTQ and racist attacks across the Commonwealth in schools and</w:t>
      </w:r>
    </w:p>
    <w:p w:rsidR="00200FDA" w:rsidRDefault="00200FDA">
      <w:pPr>
        <w:spacing w:line="276" w:lineRule="auto"/>
        <w:jc w:val="both"/>
        <w:sectPr w:rsidR="00200FDA">
          <w:pgSz w:w="12240" w:h="15840"/>
          <w:pgMar w:top="1260" w:right="1160" w:bottom="1240" w:left="1160" w:header="761" w:footer="1041" w:gutter="0"/>
          <w:cols w:space="720"/>
        </w:sectPr>
      </w:pPr>
    </w:p>
    <w:p w:rsidR="00200FDA" w:rsidRDefault="00200FDA">
      <w:pPr>
        <w:pStyle w:val="BodyText"/>
        <w:rPr>
          <w:sz w:val="9"/>
        </w:rPr>
      </w:pPr>
    </w:p>
    <w:p w:rsidR="00200FDA" w:rsidRDefault="00F76C4C">
      <w:pPr>
        <w:pStyle w:val="BodyText"/>
        <w:spacing w:before="56" w:line="276" w:lineRule="auto"/>
        <w:ind w:left="279" w:right="274"/>
        <w:jc w:val="both"/>
      </w:pPr>
      <w:r>
        <w:t>libraries.</w:t>
      </w:r>
      <w:r>
        <w:rPr>
          <w:spacing w:val="-7"/>
        </w:rPr>
        <w:t xml:space="preserve"> </w:t>
      </w:r>
      <w:r>
        <w:t>Unfortunately,</w:t>
      </w:r>
      <w:r>
        <w:rPr>
          <w:spacing w:val="-9"/>
        </w:rPr>
        <w:t xml:space="preserve"> </w:t>
      </w:r>
      <w:r>
        <w:t>the</w:t>
      </w:r>
      <w:r>
        <w:rPr>
          <w:spacing w:val="-6"/>
        </w:rPr>
        <w:t xml:space="preserve"> </w:t>
      </w:r>
      <w:r>
        <w:t>rise</w:t>
      </w:r>
      <w:r>
        <w:rPr>
          <w:spacing w:val="-6"/>
        </w:rPr>
        <w:t xml:space="preserve"> </w:t>
      </w:r>
      <w:r>
        <w:t>in</w:t>
      </w:r>
      <w:r>
        <w:rPr>
          <w:spacing w:val="-10"/>
        </w:rPr>
        <w:t xml:space="preserve"> </w:t>
      </w:r>
      <w:r>
        <w:t>violent</w:t>
      </w:r>
      <w:r>
        <w:rPr>
          <w:spacing w:val="-9"/>
        </w:rPr>
        <w:t xml:space="preserve"> </w:t>
      </w:r>
      <w:r>
        <w:t>attacks</w:t>
      </w:r>
      <w:r>
        <w:rPr>
          <w:spacing w:val="-10"/>
        </w:rPr>
        <w:t xml:space="preserve"> </w:t>
      </w:r>
      <w:r>
        <w:t>-</w:t>
      </w:r>
      <w:r>
        <w:rPr>
          <w:spacing w:val="-9"/>
        </w:rPr>
        <w:t xml:space="preserve"> </w:t>
      </w:r>
      <w:r>
        <w:t>verbal</w:t>
      </w:r>
      <w:r>
        <w:rPr>
          <w:spacing w:val="-7"/>
        </w:rPr>
        <w:t xml:space="preserve"> </w:t>
      </w:r>
      <w:r>
        <w:t>and</w:t>
      </w:r>
      <w:r>
        <w:rPr>
          <w:spacing w:val="-7"/>
        </w:rPr>
        <w:t xml:space="preserve"> </w:t>
      </w:r>
      <w:r>
        <w:t>physical</w:t>
      </w:r>
      <w:r>
        <w:rPr>
          <w:spacing w:val="-7"/>
        </w:rPr>
        <w:t xml:space="preserve"> </w:t>
      </w:r>
      <w:r>
        <w:t>-</w:t>
      </w:r>
      <w:r>
        <w:rPr>
          <w:spacing w:val="-10"/>
        </w:rPr>
        <w:t xml:space="preserve"> </w:t>
      </w:r>
      <w:r>
        <w:t>has</w:t>
      </w:r>
      <w:r>
        <w:rPr>
          <w:spacing w:val="-6"/>
        </w:rPr>
        <w:t xml:space="preserve"> </w:t>
      </w:r>
      <w:r>
        <w:t>left</w:t>
      </w:r>
      <w:r>
        <w:rPr>
          <w:spacing w:val="-9"/>
        </w:rPr>
        <w:t xml:space="preserve"> </w:t>
      </w:r>
      <w:r>
        <w:t>educators,</w:t>
      </w:r>
      <w:r>
        <w:rPr>
          <w:spacing w:val="-9"/>
        </w:rPr>
        <w:t xml:space="preserve"> </w:t>
      </w:r>
      <w:r>
        <w:t>librarians,</w:t>
      </w:r>
      <w:r>
        <w:rPr>
          <w:spacing w:val="-9"/>
        </w:rPr>
        <w:t xml:space="preserve"> </w:t>
      </w:r>
      <w:r>
        <w:t>and advocates</w:t>
      </w:r>
      <w:r>
        <w:rPr>
          <w:spacing w:val="-10"/>
        </w:rPr>
        <w:t xml:space="preserve"> </w:t>
      </w:r>
      <w:r>
        <w:t>in</w:t>
      </w:r>
      <w:r>
        <w:rPr>
          <w:spacing w:val="-11"/>
        </w:rPr>
        <w:t xml:space="preserve"> </w:t>
      </w:r>
      <w:r>
        <w:t>need</w:t>
      </w:r>
      <w:r>
        <w:rPr>
          <w:spacing w:val="-11"/>
        </w:rPr>
        <w:t xml:space="preserve"> </w:t>
      </w:r>
      <w:r>
        <w:t>of</w:t>
      </w:r>
      <w:r>
        <w:rPr>
          <w:spacing w:val="-10"/>
        </w:rPr>
        <w:t xml:space="preserve"> </w:t>
      </w:r>
      <w:r>
        <w:t>significant</w:t>
      </w:r>
      <w:r>
        <w:rPr>
          <w:spacing w:val="-9"/>
        </w:rPr>
        <w:t xml:space="preserve"> </w:t>
      </w:r>
      <w:r>
        <w:t>support</w:t>
      </w:r>
      <w:r>
        <w:rPr>
          <w:spacing w:val="-10"/>
        </w:rPr>
        <w:t xml:space="preserve"> </w:t>
      </w:r>
      <w:r>
        <w:t>from</w:t>
      </w:r>
      <w:r>
        <w:rPr>
          <w:spacing w:val="-9"/>
        </w:rPr>
        <w:t xml:space="preserve"> </w:t>
      </w:r>
      <w:r>
        <w:t>the</w:t>
      </w:r>
      <w:r>
        <w:rPr>
          <w:spacing w:val="-9"/>
        </w:rPr>
        <w:t xml:space="preserve"> </w:t>
      </w:r>
      <w:r>
        <w:t>state.</w:t>
      </w:r>
      <w:r>
        <w:rPr>
          <w:spacing w:val="-10"/>
        </w:rPr>
        <w:t xml:space="preserve"> </w:t>
      </w:r>
      <w:r>
        <w:t>The</w:t>
      </w:r>
      <w:r>
        <w:rPr>
          <w:spacing w:val="-9"/>
        </w:rPr>
        <w:t xml:space="preserve"> </w:t>
      </w:r>
      <w:r>
        <w:t>Commission</w:t>
      </w:r>
      <w:r>
        <w:rPr>
          <w:spacing w:val="-11"/>
        </w:rPr>
        <w:t xml:space="preserve"> </w:t>
      </w:r>
      <w:r>
        <w:t>strongly</w:t>
      </w:r>
      <w:r>
        <w:rPr>
          <w:spacing w:val="-9"/>
        </w:rPr>
        <w:t xml:space="preserve"> </w:t>
      </w:r>
      <w:r>
        <w:t>recommends</w:t>
      </w:r>
      <w:r>
        <w:rPr>
          <w:spacing w:val="-10"/>
        </w:rPr>
        <w:t xml:space="preserve"> </w:t>
      </w:r>
      <w:r>
        <w:t>that</w:t>
      </w:r>
      <w:r>
        <w:rPr>
          <w:spacing w:val="-9"/>
        </w:rPr>
        <w:t xml:space="preserve"> </w:t>
      </w:r>
      <w:r>
        <w:t>MBLC continue</w:t>
      </w:r>
      <w:r>
        <w:rPr>
          <w:spacing w:val="-4"/>
        </w:rPr>
        <w:t xml:space="preserve"> </w:t>
      </w:r>
      <w:r>
        <w:t>to</w:t>
      </w:r>
      <w:r>
        <w:rPr>
          <w:spacing w:val="-3"/>
        </w:rPr>
        <w:t xml:space="preserve"> </w:t>
      </w:r>
      <w:r>
        <w:t>partner</w:t>
      </w:r>
      <w:r>
        <w:rPr>
          <w:spacing w:val="-4"/>
        </w:rPr>
        <w:t xml:space="preserve"> </w:t>
      </w:r>
      <w:r>
        <w:t>with</w:t>
      </w:r>
      <w:r>
        <w:rPr>
          <w:spacing w:val="-5"/>
        </w:rPr>
        <w:t xml:space="preserve"> </w:t>
      </w:r>
      <w:r>
        <w:t>the</w:t>
      </w:r>
      <w:r>
        <w:rPr>
          <w:spacing w:val="-1"/>
        </w:rPr>
        <w:t xml:space="preserve"> </w:t>
      </w:r>
      <w:r>
        <w:t>Commission</w:t>
      </w:r>
      <w:r>
        <w:rPr>
          <w:spacing w:val="-3"/>
        </w:rPr>
        <w:t xml:space="preserve"> </w:t>
      </w:r>
      <w:r>
        <w:t>to</w:t>
      </w:r>
      <w:r>
        <w:rPr>
          <w:spacing w:val="-3"/>
        </w:rPr>
        <w:t xml:space="preserve"> </w:t>
      </w:r>
      <w:r>
        <w:t>identify</w:t>
      </w:r>
      <w:r>
        <w:rPr>
          <w:spacing w:val="-3"/>
        </w:rPr>
        <w:t xml:space="preserve"> </w:t>
      </w:r>
      <w:r>
        <w:t>ways</w:t>
      </w:r>
      <w:r>
        <w:rPr>
          <w:spacing w:val="-2"/>
        </w:rPr>
        <w:t xml:space="preserve"> </w:t>
      </w:r>
      <w:r>
        <w:t>to</w:t>
      </w:r>
      <w:r>
        <w:rPr>
          <w:spacing w:val="-3"/>
        </w:rPr>
        <w:t xml:space="preserve"> </w:t>
      </w:r>
      <w:r>
        <w:t>equip</w:t>
      </w:r>
      <w:r>
        <w:rPr>
          <w:spacing w:val="-3"/>
        </w:rPr>
        <w:t xml:space="preserve"> </w:t>
      </w:r>
      <w:r>
        <w:t>Massachusetts</w:t>
      </w:r>
      <w:r>
        <w:rPr>
          <w:spacing w:val="-2"/>
        </w:rPr>
        <w:t xml:space="preserve"> </w:t>
      </w:r>
      <w:r>
        <w:t>librarians</w:t>
      </w:r>
      <w:r>
        <w:rPr>
          <w:spacing w:val="-2"/>
        </w:rPr>
        <w:t xml:space="preserve"> </w:t>
      </w:r>
      <w:r>
        <w:t>with</w:t>
      </w:r>
      <w:r>
        <w:rPr>
          <w:spacing w:val="-3"/>
        </w:rPr>
        <w:t xml:space="preserve"> </w:t>
      </w:r>
      <w:r>
        <w:t>conflict resolution</w:t>
      </w:r>
      <w:r>
        <w:rPr>
          <w:spacing w:val="-4"/>
        </w:rPr>
        <w:t xml:space="preserve"> </w:t>
      </w:r>
      <w:r>
        <w:t>skills,</w:t>
      </w:r>
      <w:r>
        <w:rPr>
          <w:spacing w:val="-3"/>
        </w:rPr>
        <w:t xml:space="preserve"> </w:t>
      </w:r>
      <w:r>
        <w:t>talking</w:t>
      </w:r>
      <w:r>
        <w:rPr>
          <w:spacing w:val="-4"/>
        </w:rPr>
        <w:t xml:space="preserve"> </w:t>
      </w:r>
      <w:r>
        <w:t>points,</w:t>
      </w:r>
      <w:r>
        <w:rPr>
          <w:spacing w:val="-3"/>
        </w:rPr>
        <w:t xml:space="preserve"> </w:t>
      </w:r>
      <w:r>
        <w:t>and</w:t>
      </w:r>
      <w:r>
        <w:rPr>
          <w:spacing w:val="-4"/>
        </w:rPr>
        <w:t xml:space="preserve"> </w:t>
      </w:r>
      <w:r>
        <w:t>protection</w:t>
      </w:r>
      <w:r>
        <w:rPr>
          <w:spacing w:val="-5"/>
        </w:rPr>
        <w:t xml:space="preserve"> </w:t>
      </w:r>
      <w:r>
        <w:t>to</w:t>
      </w:r>
      <w:r>
        <w:rPr>
          <w:spacing w:val="-4"/>
        </w:rPr>
        <w:t xml:space="preserve"> </w:t>
      </w:r>
      <w:r>
        <w:t>handle</w:t>
      </w:r>
      <w:r>
        <w:rPr>
          <w:spacing w:val="-2"/>
        </w:rPr>
        <w:t xml:space="preserve"> </w:t>
      </w:r>
      <w:r>
        <w:t>anti-LGBTQ</w:t>
      </w:r>
      <w:r>
        <w:rPr>
          <w:spacing w:val="-3"/>
        </w:rPr>
        <w:t xml:space="preserve"> </w:t>
      </w:r>
      <w:r>
        <w:t>protests</w:t>
      </w:r>
      <w:r>
        <w:rPr>
          <w:spacing w:val="-4"/>
        </w:rPr>
        <w:t xml:space="preserve"> </w:t>
      </w:r>
      <w:r>
        <w:t>against</w:t>
      </w:r>
      <w:r>
        <w:rPr>
          <w:spacing w:val="-2"/>
        </w:rPr>
        <w:t xml:space="preserve"> </w:t>
      </w:r>
      <w:r>
        <w:t>programs</w:t>
      </w:r>
      <w:r>
        <w:rPr>
          <w:spacing w:val="-3"/>
        </w:rPr>
        <w:t xml:space="preserve"> </w:t>
      </w:r>
      <w:r>
        <w:t>and</w:t>
      </w:r>
      <w:r>
        <w:rPr>
          <w:spacing w:val="-4"/>
        </w:rPr>
        <w:t xml:space="preserve"> </w:t>
      </w:r>
      <w:r>
        <w:t xml:space="preserve">book </w:t>
      </w:r>
      <w:r>
        <w:rPr>
          <w:spacing w:val="-2"/>
        </w:rPr>
        <w:t>challenges.</w:t>
      </w:r>
    </w:p>
    <w:p w:rsidR="00200FDA" w:rsidRDefault="00200FDA">
      <w:pPr>
        <w:pStyle w:val="BodyText"/>
      </w:pPr>
    </w:p>
    <w:p w:rsidR="00200FDA" w:rsidRDefault="00200FDA">
      <w:pPr>
        <w:pStyle w:val="BodyText"/>
        <w:spacing w:before="11"/>
      </w:pPr>
    </w:p>
    <w:p w:rsidR="00200FDA" w:rsidRDefault="00F76C4C">
      <w:pPr>
        <w:pStyle w:val="Heading9"/>
        <w:numPr>
          <w:ilvl w:val="0"/>
          <w:numId w:val="4"/>
        </w:numPr>
        <w:tabs>
          <w:tab w:val="left" w:pos="641"/>
        </w:tabs>
        <w:ind w:left="640" w:hanging="362"/>
      </w:pPr>
      <w:r>
        <w:t>Support</w:t>
      </w:r>
      <w:r>
        <w:rPr>
          <w:spacing w:val="-6"/>
        </w:rPr>
        <w:t xml:space="preserve"> </w:t>
      </w:r>
      <w:r>
        <w:t>libraries</w:t>
      </w:r>
      <w:r>
        <w:rPr>
          <w:spacing w:val="-7"/>
        </w:rPr>
        <w:t xml:space="preserve"> </w:t>
      </w:r>
      <w:r>
        <w:t>with</w:t>
      </w:r>
      <w:r>
        <w:rPr>
          <w:spacing w:val="-8"/>
        </w:rPr>
        <w:t xml:space="preserve"> </w:t>
      </w:r>
      <w:r>
        <w:t>LGBTQ-inclusive</w:t>
      </w:r>
      <w:r>
        <w:rPr>
          <w:spacing w:val="-8"/>
        </w:rPr>
        <w:t xml:space="preserve"> </w:t>
      </w:r>
      <w:r>
        <w:rPr>
          <w:spacing w:val="-2"/>
        </w:rPr>
        <w:t>programming.</w:t>
      </w:r>
    </w:p>
    <w:p w:rsidR="00200FDA" w:rsidRDefault="00200FDA">
      <w:pPr>
        <w:pStyle w:val="BodyText"/>
        <w:rPr>
          <w:b/>
          <w:sz w:val="23"/>
        </w:rPr>
      </w:pPr>
    </w:p>
    <w:p w:rsidR="00200FDA" w:rsidRDefault="00F76C4C">
      <w:pPr>
        <w:pStyle w:val="BodyText"/>
        <w:spacing w:line="276" w:lineRule="auto"/>
        <w:ind w:left="280" w:right="273"/>
        <w:jc w:val="both"/>
      </w:pPr>
      <w:r>
        <w:t>Now</w:t>
      </w:r>
      <w:r>
        <w:rPr>
          <w:spacing w:val="-9"/>
        </w:rPr>
        <w:t xml:space="preserve"> </w:t>
      </w:r>
      <w:r>
        <w:t>more</w:t>
      </w:r>
      <w:r>
        <w:rPr>
          <w:spacing w:val="-8"/>
        </w:rPr>
        <w:t xml:space="preserve"> </w:t>
      </w:r>
      <w:r>
        <w:t>than</w:t>
      </w:r>
      <w:r>
        <w:rPr>
          <w:spacing w:val="-7"/>
        </w:rPr>
        <w:t xml:space="preserve"> </w:t>
      </w:r>
      <w:r>
        <w:t>ever,</w:t>
      </w:r>
      <w:r>
        <w:rPr>
          <w:spacing w:val="-7"/>
        </w:rPr>
        <w:t xml:space="preserve"> </w:t>
      </w:r>
      <w:r>
        <w:t>it</w:t>
      </w:r>
      <w:r>
        <w:rPr>
          <w:spacing w:val="-6"/>
        </w:rPr>
        <w:t xml:space="preserve"> </w:t>
      </w:r>
      <w:r>
        <w:t>is</w:t>
      </w:r>
      <w:r>
        <w:rPr>
          <w:spacing w:val="-9"/>
        </w:rPr>
        <w:t xml:space="preserve"> </w:t>
      </w:r>
      <w:r>
        <w:t>essential</w:t>
      </w:r>
      <w:r>
        <w:rPr>
          <w:spacing w:val="-7"/>
        </w:rPr>
        <w:t xml:space="preserve"> </w:t>
      </w:r>
      <w:r>
        <w:t>that</w:t>
      </w:r>
      <w:r>
        <w:rPr>
          <w:spacing w:val="-7"/>
        </w:rPr>
        <w:t xml:space="preserve"> </w:t>
      </w:r>
      <w:r>
        <w:t>youth</w:t>
      </w:r>
      <w:r>
        <w:rPr>
          <w:spacing w:val="-7"/>
        </w:rPr>
        <w:t xml:space="preserve"> </w:t>
      </w:r>
      <w:r>
        <w:t>have</w:t>
      </w:r>
      <w:r>
        <w:rPr>
          <w:spacing w:val="-8"/>
        </w:rPr>
        <w:t xml:space="preserve"> </w:t>
      </w:r>
      <w:r>
        <w:t>visible</w:t>
      </w:r>
      <w:r>
        <w:rPr>
          <w:spacing w:val="-6"/>
        </w:rPr>
        <w:t xml:space="preserve"> </w:t>
      </w:r>
      <w:r>
        <w:t>and</w:t>
      </w:r>
      <w:r>
        <w:rPr>
          <w:spacing w:val="-7"/>
        </w:rPr>
        <w:t xml:space="preserve"> </w:t>
      </w:r>
      <w:r>
        <w:t>safe</w:t>
      </w:r>
      <w:r>
        <w:rPr>
          <w:spacing w:val="-8"/>
        </w:rPr>
        <w:t xml:space="preserve"> </w:t>
      </w:r>
      <w:r>
        <w:t>opportunities</w:t>
      </w:r>
      <w:r>
        <w:rPr>
          <w:spacing w:val="-9"/>
        </w:rPr>
        <w:t xml:space="preserve"> </w:t>
      </w:r>
      <w:r>
        <w:t>to</w:t>
      </w:r>
      <w:r>
        <w:rPr>
          <w:spacing w:val="-5"/>
        </w:rPr>
        <w:t xml:space="preserve"> </w:t>
      </w:r>
      <w:r>
        <w:t>learn</w:t>
      </w:r>
      <w:r>
        <w:rPr>
          <w:spacing w:val="-10"/>
        </w:rPr>
        <w:t xml:space="preserve"> </w:t>
      </w:r>
      <w:r>
        <w:t>more</w:t>
      </w:r>
      <w:r>
        <w:rPr>
          <w:spacing w:val="-6"/>
        </w:rPr>
        <w:t xml:space="preserve"> </w:t>
      </w:r>
      <w:r>
        <w:t>about</w:t>
      </w:r>
      <w:r>
        <w:rPr>
          <w:spacing w:val="-6"/>
        </w:rPr>
        <w:t xml:space="preserve"> </w:t>
      </w:r>
      <w:r>
        <w:t>the LGBTQ community, and for LGBTQ youth to have spaces to connect with other LGBTQ youth in their communities. The Commission recommends that MBLC continue to support libraries a</w:t>
      </w:r>
      <w:r>
        <w:t>cross the Commonwealth to hold safe and accessible programs for LGBTQ youth.</w:t>
      </w:r>
    </w:p>
    <w:p w:rsidR="00200FDA" w:rsidRDefault="00200FDA">
      <w:pPr>
        <w:pStyle w:val="BodyText"/>
      </w:pPr>
    </w:p>
    <w:p w:rsidR="00200FDA" w:rsidRDefault="00200FDA">
      <w:pPr>
        <w:pStyle w:val="BodyText"/>
        <w:spacing w:before="11"/>
      </w:pPr>
    </w:p>
    <w:p w:rsidR="00200FDA" w:rsidRDefault="00F76C4C">
      <w:pPr>
        <w:pStyle w:val="Heading9"/>
        <w:numPr>
          <w:ilvl w:val="0"/>
          <w:numId w:val="4"/>
        </w:numPr>
        <w:tabs>
          <w:tab w:val="left" w:pos="557"/>
        </w:tabs>
        <w:spacing w:line="276" w:lineRule="auto"/>
        <w:ind w:right="275" w:firstLine="0"/>
      </w:pPr>
      <w:r>
        <w:t>Collaborate</w:t>
      </w:r>
      <w:r>
        <w:rPr>
          <w:spacing w:val="40"/>
        </w:rPr>
        <w:t xml:space="preserve"> </w:t>
      </w:r>
      <w:r>
        <w:t>with</w:t>
      </w:r>
      <w:r>
        <w:rPr>
          <w:spacing w:val="40"/>
        </w:rPr>
        <w:t xml:space="preserve"> </w:t>
      </w:r>
      <w:r>
        <w:t>the</w:t>
      </w:r>
      <w:r>
        <w:rPr>
          <w:spacing w:val="40"/>
        </w:rPr>
        <w:t xml:space="preserve"> </w:t>
      </w:r>
      <w:r>
        <w:t>Department</w:t>
      </w:r>
      <w:r>
        <w:rPr>
          <w:spacing w:val="40"/>
        </w:rPr>
        <w:t xml:space="preserve"> </w:t>
      </w:r>
      <w:r>
        <w:t>of</w:t>
      </w:r>
      <w:r>
        <w:rPr>
          <w:spacing w:val="40"/>
        </w:rPr>
        <w:t xml:space="preserve"> </w:t>
      </w:r>
      <w:r>
        <w:t>Elementary</w:t>
      </w:r>
      <w:r>
        <w:rPr>
          <w:spacing w:val="40"/>
        </w:rPr>
        <w:t xml:space="preserve"> </w:t>
      </w:r>
      <w:r>
        <w:t>and</w:t>
      </w:r>
      <w:r>
        <w:rPr>
          <w:spacing w:val="40"/>
        </w:rPr>
        <w:t xml:space="preserve"> </w:t>
      </w:r>
      <w:r>
        <w:t>Secondary</w:t>
      </w:r>
      <w:r>
        <w:rPr>
          <w:spacing w:val="40"/>
        </w:rPr>
        <w:t xml:space="preserve"> </w:t>
      </w:r>
      <w:r>
        <w:t>Education</w:t>
      </w:r>
      <w:r>
        <w:rPr>
          <w:spacing w:val="40"/>
        </w:rPr>
        <w:t xml:space="preserve"> </w:t>
      </w:r>
      <w:r>
        <w:t>to</w:t>
      </w:r>
      <w:r>
        <w:rPr>
          <w:spacing w:val="40"/>
        </w:rPr>
        <w:t xml:space="preserve"> </w:t>
      </w:r>
      <w:r>
        <w:t>align</w:t>
      </w:r>
      <w:r>
        <w:rPr>
          <w:spacing w:val="40"/>
        </w:rPr>
        <w:t xml:space="preserve"> </w:t>
      </w:r>
      <w:r>
        <w:t>efforts</w:t>
      </w:r>
      <w:r>
        <w:rPr>
          <w:spacing w:val="40"/>
        </w:rPr>
        <w:t xml:space="preserve"> </w:t>
      </w:r>
      <w:r>
        <w:t>on addressing book challenges, protests, and hate crimes against state and school librarie</w:t>
      </w:r>
      <w:r>
        <w:t>s and staff.</w:t>
      </w:r>
    </w:p>
    <w:p w:rsidR="00200FDA" w:rsidRDefault="00200FDA">
      <w:pPr>
        <w:pStyle w:val="BodyText"/>
        <w:spacing w:before="9"/>
        <w:rPr>
          <w:b/>
          <w:sz w:val="19"/>
        </w:rPr>
      </w:pPr>
    </w:p>
    <w:p w:rsidR="00200FDA" w:rsidRDefault="00F76C4C">
      <w:pPr>
        <w:pStyle w:val="BodyText"/>
        <w:spacing w:line="276" w:lineRule="auto"/>
        <w:ind w:left="279" w:right="274"/>
        <w:jc w:val="both"/>
      </w:pPr>
      <w:r>
        <w:t>One of the major problems with addressing anti-LGBTQ attacks across the state of Massachusetts is the lack of collaboration between state agencies and community organizations to support ongoing work across institutions. In particular, as both</w:t>
      </w:r>
      <w:r>
        <w:t xml:space="preserve"> schools and libraries are attacked, collaboration between the Department of Elementary and Secondary Education (DESE), the Massachusetts School Library Association, and MBLC is essential to align on efforts</w:t>
      </w:r>
      <w:r>
        <w:rPr>
          <w:spacing w:val="-2"/>
        </w:rPr>
        <w:t xml:space="preserve"> </w:t>
      </w:r>
      <w:r>
        <w:t>to address book challenges, and support educator</w:t>
      </w:r>
      <w:r>
        <w:t>s and librarians.</w:t>
      </w:r>
    </w:p>
    <w:p w:rsidR="00200FDA" w:rsidRDefault="00200FDA">
      <w:pPr>
        <w:pStyle w:val="BodyText"/>
      </w:pPr>
    </w:p>
    <w:p w:rsidR="00200FDA" w:rsidRDefault="00200FDA">
      <w:pPr>
        <w:pStyle w:val="BodyText"/>
      </w:pPr>
    </w:p>
    <w:p w:rsidR="00200FDA" w:rsidRDefault="00200FDA">
      <w:pPr>
        <w:pStyle w:val="BodyText"/>
        <w:spacing w:before="6"/>
        <w:rPr>
          <w:sz w:val="20"/>
        </w:rPr>
      </w:pPr>
    </w:p>
    <w:p w:rsidR="00200FDA" w:rsidRDefault="00F76C4C">
      <w:pPr>
        <w:ind w:left="279"/>
        <w:jc w:val="both"/>
        <w:rPr>
          <w:i/>
        </w:rPr>
      </w:pPr>
      <w:r>
        <w:rPr>
          <w:i/>
        </w:rPr>
        <w:t>Acknowledgments:</w:t>
      </w:r>
      <w:r>
        <w:rPr>
          <w:i/>
          <w:spacing w:val="-8"/>
        </w:rPr>
        <w:t xml:space="preserve"> </w:t>
      </w:r>
      <w:r>
        <w:rPr>
          <w:i/>
        </w:rPr>
        <w:t>The</w:t>
      </w:r>
      <w:r>
        <w:rPr>
          <w:i/>
          <w:spacing w:val="-5"/>
        </w:rPr>
        <w:t xml:space="preserve"> </w:t>
      </w:r>
      <w:r>
        <w:rPr>
          <w:i/>
        </w:rPr>
        <w:t>Commission</w:t>
      </w:r>
      <w:r>
        <w:rPr>
          <w:i/>
          <w:spacing w:val="-5"/>
        </w:rPr>
        <w:t xml:space="preserve"> </w:t>
      </w:r>
      <w:r>
        <w:rPr>
          <w:i/>
        </w:rPr>
        <w:t>appreciates</w:t>
      </w:r>
      <w:r>
        <w:rPr>
          <w:i/>
          <w:spacing w:val="-4"/>
        </w:rPr>
        <w:t xml:space="preserve"> </w:t>
      </w:r>
      <w:r>
        <w:rPr>
          <w:i/>
        </w:rPr>
        <w:t>the</w:t>
      </w:r>
      <w:r>
        <w:rPr>
          <w:i/>
          <w:spacing w:val="-5"/>
        </w:rPr>
        <w:t xml:space="preserve"> </w:t>
      </w:r>
      <w:r>
        <w:rPr>
          <w:i/>
        </w:rPr>
        <w:t>contributions</w:t>
      </w:r>
      <w:r>
        <w:rPr>
          <w:i/>
          <w:spacing w:val="-4"/>
        </w:rPr>
        <w:t xml:space="preserve"> </w:t>
      </w:r>
      <w:r>
        <w:rPr>
          <w:i/>
        </w:rPr>
        <w:t>of</w:t>
      </w:r>
      <w:r>
        <w:rPr>
          <w:i/>
          <w:spacing w:val="-4"/>
        </w:rPr>
        <w:t xml:space="preserve"> </w:t>
      </w:r>
      <w:r>
        <w:rPr>
          <w:i/>
        </w:rPr>
        <w:t>its</w:t>
      </w:r>
      <w:r>
        <w:rPr>
          <w:i/>
          <w:spacing w:val="-4"/>
        </w:rPr>
        <w:t xml:space="preserve"> </w:t>
      </w:r>
      <w:r>
        <w:rPr>
          <w:i/>
        </w:rPr>
        <w:t>librarian</w:t>
      </w:r>
      <w:r>
        <w:rPr>
          <w:i/>
          <w:spacing w:val="-8"/>
        </w:rPr>
        <w:t xml:space="preserve"> </w:t>
      </w:r>
      <w:r>
        <w:rPr>
          <w:i/>
        </w:rPr>
        <w:t>and</w:t>
      </w:r>
      <w:r>
        <w:rPr>
          <w:i/>
          <w:spacing w:val="-5"/>
        </w:rPr>
        <w:t xml:space="preserve"> </w:t>
      </w:r>
      <w:r>
        <w:rPr>
          <w:i/>
        </w:rPr>
        <w:t>MBLC</w:t>
      </w:r>
      <w:r>
        <w:rPr>
          <w:i/>
          <w:spacing w:val="-7"/>
        </w:rPr>
        <w:t xml:space="preserve"> </w:t>
      </w:r>
      <w:r>
        <w:rPr>
          <w:i/>
        </w:rPr>
        <w:t>staff</w:t>
      </w:r>
      <w:r>
        <w:rPr>
          <w:i/>
          <w:spacing w:val="-4"/>
        </w:rPr>
        <w:t xml:space="preserve"> </w:t>
      </w:r>
      <w:r>
        <w:rPr>
          <w:i/>
          <w:spacing w:val="-2"/>
        </w:rPr>
        <w:t>liaisons.</w:t>
      </w:r>
    </w:p>
    <w:p w:rsidR="00200FDA" w:rsidRDefault="00200FDA">
      <w:pPr>
        <w:pStyle w:val="BodyText"/>
        <w:rPr>
          <w:i/>
        </w:rPr>
      </w:pPr>
    </w:p>
    <w:p w:rsidR="00200FDA" w:rsidRDefault="00200FDA">
      <w:pPr>
        <w:pStyle w:val="BodyText"/>
        <w:spacing w:before="4"/>
        <w:rPr>
          <w:i/>
          <w:sz w:val="21"/>
        </w:rPr>
      </w:pPr>
    </w:p>
    <w:p w:rsidR="00200FDA" w:rsidRDefault="00F76C4C">
      <w:pPr>
        <w:ind w:left="280" w:right="505" w:hanging="1"/>
        <w:rPr>
          <w:sz w:val="18"/>
        </w:rPr>
      </w:pPr>
      <w:bookmarkStart w:id="1177" w:name="_bookmark912"/>
      <w:bookmarkEnd w:id="1177"/>
      <w:r>
        <w:rPr>
          <w:position w:val="5"/>
          <w:sz w:val="12"/>
        </w:rPr>
        <w:t>1</w:t>
      </w:r>
      <w:r>
        <w:rPr>
          <w:spacing w:val="18"/>
          <w:position w:val="5"/>
          <w:sz w:val="12"/>
        </w:rPr>
        <w:t xml:space="preserve"> </w:t>
      </w:r>
      <w:r>
        <w:rPr>
          <w:sz w:val="18"/>
        </w:rPr>
        <w:t xml:space="preserve">Yalsa Projects, “‘They Kind of Rely on the Library’: School Librarians Serving LGBT Students,” </w:t>
      </w:r>
      <w:r>
        <w:rPr>
          <w:i/>
          <w:sz w:val="18"/>
        </w:rPr>
        <w:t>The Journal of Research on</w:t>
      </w:r>
      <w:r>
        <w:rPr>
          <w:i/>
          <w:sz w:val="18"/>
        </w:rPr>
        <w:t xml:space="preserve"> Libraries</w:t>
      </w:r>
      <w:r>
        <w:rPr>
          <w:i/>
          <w:spacing w:val="-6"/>
          <w:sz w:val="18"/>
        </w:rPr>
        <w:t xml:space="preserve"> </w:t>
      </w:r>
      <w:r>
        <w:rPr>
          <w:i/>
          <w:sz w:val="18"/>
        </w:rPr>
        <w:t>and</w:t>
      </w:r>
      <w:r>
        <w:rPr>
          <w:i/>
          <w:spacing w:val="-4"/>
          <w:sz w:val="18"/>
        </w:rPr>
        <w:t xml:space="preserve"> </w:t>
      </w:r>
      <w:r>
        <w:rPr>
          <w:i/>
          <w:sz w:val="18"/>
        </w:rPr>
        <w:t>Young</w:t>
      </w:r>
      <w:r>
        <w:rPr>
          <w:i/>
          <w:spacing w:val="-4"/>
          <w:sz w:val="18"/>
        </w:rPr>
        <w:t xml:space="preserve"> </w:t>
      </w:r>
      <w:r>
        <w:rPr>
          <w:i/>
          <w:sz w:val="18"/>
        </w:rPr>
        <w:t>Adults</w:t>
      </w:r>
      <w:r>
        <w:rPr>
          <w:i/>
          <w:spacing w:val="-6"/>
          <w:sz w:val="18"/>
        </w:rPr>
        <w:t xml:space="preserve"> </w:t>
      </w:r>
      <w:r>
        <w:rPr>
          <w:sz w:val="18"/>
        </w:rPr>
        <w:t>(blog),</w:t>
      </w:r>
      <w:r>
        <w:rPr>
          <w:spacing w:val="-5"/>
          <w:sz w:val="18"/>
        </w:rPr>
        <w:t xml:space="preserve"> </w:t>
      </w:r>
      <w:r>
        <w:rPr>
          <w:sz w:val="18"/>
        </w:rPr>
        <w:t>March</w:t>
      </w:r>
      <w:r>
        <w:rPr>
          <w:spacing w:val="-6"/>
          <w:sz w:val="18"/>
        </w:rPr>
        <w:t xml:space="preserve"> </w:t>
      </w:r>
      <w:r>
        <w:rPr>
          <w:sz w:val="18"/>
        </w:rPr>
        <w:t>18,</w:t>
      </w:r>
      <w:r>
        <w:rPr>
          <w:spacing w:val="-5"/>
          <w:sz w:val="18"/>
        </w:rPr>
        <w:t xml:space="preserve"> </w:t>
      </w:r>
      <w:r>
        <w:rPr>
          <w:sz w:val="18"/>
        </w:rPr>
        <w:t>2016,</w:t>
      </w:r>
      <w:r>
        <w:rPr>
          <w:spacing w:val="-5"/>
          <w:sz w:val="18"/>
        </w:rPr>
        <w:t xml:space="preserve"> </w:t>
      </w:r>
      <w:r>
        <w:rPr>
          <w:sz w:val="18"/>
        </w:rPr>
        <w:t>https://</w:t>
      </w:r>
      <w:hyperlink r:id="rId864">
        <w:r>
          <w:rPr>
            <w:sz w:val="18"/>
          </w:rPr>
          <w:t>www.yalsa.ala.org/jrlya/2016/03/they-kind-of-rely-on-the-library-</w:t>
        </w:r>
      </w:hyperlink>
      <w:r>
        <w:rPr>
          <w:sz w:val="18"/>
        </w:rPr>
        <w:t xml:space="preserve"> </w:t>
      </w:r>
      <w:r>
        <w:rPr>
          <w:spacing w:val="-2"/>
          <w:sz w:val="18"/>
        </w:rPr>
        <w:t>school-librarians-serving-lgbt-student</w:t>
      </w:r>
      <w:r>
        <w:rPr>
          <w:spacing w:val="-2"/>
          <w:sz w:val="18"/>
        </w:rPr>
        <w:t>s/.</w:t>
      </w:r>
    </w:p>
    <w:p w:rsidR="00200FDA" w:rsidRDefault="00F76C4C">
      <w:pPr>
        <w:spacing w:before="1"/>
        <w:ind w:left="280" w:right="353" w:hanging="1"/>
        <w:rPr>
          <w:sz w:val="18"/>
        </w:rPr>
      </w:pPr>
      <w:bookmarkStart w:id="1178" w:name="_bookmark913"/>
      <w:bookmarkEnd w:id="1178"/>
      <w:r>
        <w:rPr>
          <w:position w:val="5"/>
          <w:sz w:val="12"/>
        </w:rPr>
        <w:t>2</w:t>
      </w:r>
      <w:r>
        <w:rPr>
          <w:spacing w:val="9"/>
          <w:position w:val="5"/>
          <w:sz w:val="12"/>
        </w:rPr>
        <w:t xml:space="preserve"> </w:t>
      </w:r>
      <w:r>
        <w:rPr>
          <w:sz w:val="18"/>
        </w:rPr>
        <w:t>American</w:t>
      </w:r>
      <w:r>
        <w:rPr>
          <w:spacing w:val="-4"/>
          <w:sz w:val="18"/>
        </w:rPr>
        <w:t xml:space="preserve"> </w:t>
      </w:r>
      <w:r>
        <w:rPr>
          <w:sz w:val="18"/>
        </w:rPr>
        <w:t>Library</w:t>
      </w:r>
      <w:r>
        <w:rPr>
          <w:spacing w:val="-1"/>
          <w:sz w:val="18"/>
        </w:rPr>
        <w:t xml:space="preserve"> </w:t>
      </w:r>
      <w:r>
        <w:rPr>
          <w:sz w:val="18"/>
        </w:rPr>
        <w:t>Association,</w:t>
      </w:r>
      <w:r>
        <w:rPr>
          <w:spacing w:val="-3"/>
          <w:sz w:val="18"/>
        </w:rPr>
        <w:t xml:space="preserve"> </w:t>
      </w:r>
      <w:r>
        <w:rPr>
          <w:sz w:val="18"/>
        </w:rPr>
        <w:t>“Extending</w:t>
      </w:r>
      <w:r>
        <w:rPr>
          <w:spacing w:val="-4"/>
          <w:sz w:val="18"/>
        </w:rPr>
        <w:t xml:space="preserve"> </w:t>
      </w:r>
      <w:r>
        <w:rPr>
          <w:sz w:val="18"/>
        </w:rPr>
        <w:t>Our</w:t>
      </w:r>
      <w:r>
        <w:rPr>
          <w:spacing w:val="-4"/>
          <w:sz w:val="18"/>
        </w:rPr>
        <w:t xml:space="preserve"> </w:t>
      </w:r>
      <w:r>
        <w:rPr>
          <w:sz w:val="18"/>
        </w:rPr>
        <w:t>Reach:</w:t>
      </w:r>
      <w:r>
        <w:rPr>
          <w:spacing w:val="-4"/>
          <w:sz w:val="18"/>
        </w:rPr>
        <w:t xml:space="preserve"> </w:t>
      </w:r>
      <w:r>
        <w:rPr>
          <w:sz w:val="18"/>
        </w:rPr>
        <w:t>Reducing</w:t>
      </w:r>
      <w:r>
        <w:rPr>
          <w:spacing w:val="-4"/>
          <w:sz w:val="18"/>
        </w:rPr>
        <w:t xml:space="preserve"> </w:t>
      </w:r>
      <w:r>
        <w:rPr>
          <w:sz w:val="18"/>
        </w:rPr>
        <w:t>Homelessness</w:t>
      </w:r>
      <w:r>
        <w:rPr>
          <w:spacing w:val="-4"/>
          <w:sz w:val="18"/>
        </w:rPr>
        <w:t xml:space="preserve"> </w:t>
      </w:r>
      <w:r>
        <w:rPr>
          <w:sz w:val="18"/>
        </w:rPr>
        <w:t>Through</w:t>
      </w:r>
      <w:r>
        <w:rPr>
          <w:spacing w:val="-4"/>
          <w:sz w:val="18"/>
        </w:rPr>
        <w:t xml:space="preserve"> </w:t>
      </w:r>
      <w:r>
        <w:rPr>
          <w:sz w:val="18"/>
        </w:rPr>
        <w:t>Library</w:t>
      </w:r>
      <w:r>
        <w:rPr>
          <w:spacing w:val="-3"/>
          <w:sz w:val="18"/>
        </w:rPr>
        <w:t xml:space="preserve"> </w:t>
      </w:r>
      <w:r>
        <w:rPr>
          <w:sz w:val="18"/>
        </w:rPr>
        <w:t>Engagement,”</w:t>
      </w:r>
      <w:r>
        <w:rPr>
          <w:spacing w:val="-4"/>
          <w:sz w:val="18"/>
        </w:rPr>
        <w:t xml:space="preserve"> </w:t>
      </w:r>
      <w:r>
        <w:rPr>
          <w:sz w:val="18"/>
        </w:rPr>
        <w:t>Text,</w:t>
      </w:r>
      <w:r>
        <w:rPr>
          <w:spacing w:val="-3"/>
          <w:sz w:val="18"/>
        </w:rPr>
        <w:t xml:space="preserve"> </w:t>
      </w:r>
      <w:r>
        <w:rPr>
          <w:sz w:val="18"/>
        </w:rPr>
        <w:t>About</w:t>
      </w:r>
      <w:r>
        <w:rPr>
          <w:spacing w:val="-1"/>
          <w:sz w:val="18"/>
        </w:rPr>
        <w:t xml:space="preserve"> </w:t>
      </w:r>
      <w:r>
        <w:rPr>
          <w:sz w:val="18"/>
        </w:rPr>
        <w:t>ALA, October 8, 2012, https://</w:t>
      </w:r>
      <w:hyperlink r:id="rId865">
        <w:r>
          <w:rPr>
            <w:sz w:val="18"/>
          </w:rPr>
          <w:t>www.ala.org/aboutala/offices/extending-our-reach-reducing-homelessness-through-library-</w:t>
        </w:r>
      </w:hyperlink>
      <w:r>
        <w:rPr>
          <w:sz w:val="18"/>
        </w:rPr>
        <w:t xml:space="preserve"> </w:t>
      </w:r>
      <w:r>
        <w:rPr>
          <w:spacing w:val="-2"/>
          <w:sz w:val="18"/>
        </w:rPr>
        <w:t>engagement-3.</w:t>
      </w:r>
    </w:p>
    <w:p w:rsidR="00200FDA" w:rsidRDefault="00F76C4C">
      <w:pPr>
        <w:ind w:left="280" w:right="2081" w:hanging="1"/>
        <w:rPr>
          <w:sz w:val="18"/>
        </w:rPr>
      </w:pPr>
      <w:bookmarkStart w:id="1179" w:name="_bookmark914"/>
      <w:bookmarkEnd w:id="1179"/>
      <w:r>
        <w:rPr>
          <w:position w:val="5"/>
          <w:sz w:val="12"/>
        </w:rPr>
        <w:t>3</w:t>
      </w:r>
      <w:r>
        <w:rPr>
          <w:spacing w:val="9"/>
          <w:position w:val="5"/>
          <w:sz w:val="12"/>
        </w:rPr>
        <w:t xml:space="preserve"> </w:t>
      </w:r>
      <w:r>
        <w:rPr>
          <w:sz w:val="18"/>
        </w:rPr>
        <w:t>Boston</w:t>
      </w:r>
      <w:r>
        <w:rPr>
          <w:spacing w:val="-4"/>
          <w:sz w:val="18"/>
        </w:rPr>
        <w:t xml:space="preserve"> </w:t>
      </w:r>
      <w:r>
        <w:rPr>
          <w:sz w:val="18"/>
        </w:rPr>
        <w:t>Public</w:t>
      </w:r>
      <w:r>
        <w:rPr>
          <w:spacing w:val="-3"/>
          <w:sz w:val="18"/>
        </w:rPr>
        <w:t xml:space="preserve"> </w:t>
      </w:r>
      <w:r>
        <w:rPr>
          <w:sz w:val="18"/>
        </w:rPr>
        <w:t>Library,</w:t>
      </w:r>
      <w:r>
        <w:rPr>
          <w:spacing w:val="-3"/>
          <w:sz w:val="18"/>
        </w:rPr>
        <w:t xml:space="preserve"> </w:t>
      </w:r>
      <w:r>
        <w:rPr>
          <w:sz w:val="18"/>
        </w:rPr>
        <w:t>“Resources</w:t>
      </w:r>
      <w:r>
        <w:rPr>
          <w:spacing w:val="-4"/>
          <w:sz w:val="18"/>
        </w:rPr>
        <w:t xml:space="preserve"> </w:t>
      </w:r>
      <w:r>
        <w:rPr>
          <w:sz w:val="18"/>
        </w:rPr>
        <w:t>for</w:t>
      </w:r>
      <w:r>
        <w:rPr>
          <w:spacing w:val="-4"/>
          <w:sz w:val="18"/>
        </w:rPr>
        <w:t xml:space="preserve"> </w:t>
      </w:r>
      <w:r>
        <w:rPr>
          <w:sz w:val="18"/>
        </w:rPr>
        <w:t>Yo</w:t>
      </w:r>
      <w:r>
        <w:rPr>
          <w:sz w:val="18"/>
        </w:rPr>
        <w:t>uth</w:t>
      </w:r>
      <w:r>
        <w:rPr>
          <w:spacing w:val="-4"/>
          <w:sz w:val="18"/>
        </w:rPr>
        <w:t xml:space="preserve"> </w:t>
      </w:r>
      <w:r>
        <w:rPr>
          <w:sz w:val="18"/>
        </w:rPr>
        <w:t>Experiencing</w:t>
      </w:r>
      <w:r>
        <w:rPr>
          <w:spacing w:val="-4"/>
          <w:sz w:val="18"/>
        </w:rPr>
        <w:t xml:space="preserve"> </w:t>
      </w:r>
      <w:r>
        <w:rPr>
          <w:sz w:val="18"/>
        </w:rPr>
        <w:t>Housing</w:t>
      </w:r>
      <w:r>
        <w:rPr>
          <w:spacing w:val="-2"/>
          <w:sz w:val="18"/>
        </w:rPr>
        <w:t xml:space="preserve"> </w:t>
      </w:r>
      <w:r>
        <w:rPr>
          <w:sz w:val="18"/>
        </w:rPr>
        <w:t>Insecurity,”</w:t>
      </w:r>
      <w:r>
        <w:rPr>
          <w:spacing w:val="-4"/>
          <w:sz w:val="18"/>
        </w:rPr>
        <w:t xml:space="preserve"> </w:t>
      </w:r>
      <w:r>
        <w:rPr>
          <w:sz w:val="18"/>
        </w:rPr>
        <w:t>accessed</w:t>
      </w:r>
      <w:r>
        <w:rPr>
          <w:spacing w:val="-4"/>
          <w:sz w:val="18"/>
        </w:rPr>
        <w:t xml:space="preserve"> </w:t>
      </w:r>
      <w:r>
        <w:rPr>
          <w:sz w:val="18"/>
        </w:rPr>
        <w:t>April</w:t>
      </w:r>
      <w:r>
        <w:rPr>
          <w:spacing w:val="-4"/>
          <w:sz w:val="18"/>
        </w:rPr>
        <w:t xml:space="preserve"> </w:t>
      </w:r>
      <w:r>
        <w:rPr>
          <w:sz w:val="18"/>
        </w:rPr>
        <w:t>25,</w:t>
      </w:r>
      <w:r>
        <w:rPr>
          <w:spacing w:val="-3"/>
          <w:sz w:val="18"/>
        </w:rPr>
        <w:t xml:space="preserve"> </w:t>
      </w:r>
      <w:r>
        <w:rPr>
          <w:sz w:val="18"/>
        </w:rPr>
        <w:t xml:space="preserve">2023, </w:t>
      </w:r>
      <w:r>
        <w:rPr>
          <w:spacing w:val="-2"/>
          <w:sz w:val="18"/>
        </w:rPr>
        <w:t>https://</w:t>
      </w:r>
      <w:hyperlink r:id="rId866">
        <w:r>
          <w:rPr>
            <w:spacing w:val="-2"/>
            <w:sz w:val="18"/>
          </w:rPr>
          <w:t>www.bpl.org/resources-for-youth-experiencing-housing-insecurity.</w:t>
        </w:r>
      </w:hyperlink>
    </w:p>
    <w:p w:rsidR="00200FDA" w:rsidRDefault="00F76C4C">
      <w:pPr>
        <w:ind w:left="280" w:right="321" w:hanging="1"/>
        <w:rPr>
          <w:sz w:val="18"/>
        </w:rPr>
      </w:pPr>
      <w:bookmarkStart w:id="1180" w:name="_bookmark915"/>
      <w:bookmarkEnd w:id="1180"/>
      <w:r>
        <w:rPr>
          <w:position w:val="5"/>
          <w:sz w:val="12"/>
        </w:rPr>
        <w:t>4</w:t>
      </w:r>
      <w:r>
        <w:rPr>
          <w:spacing w:val="10"/>
          <w:position w:val="5"/>
          <w:sz w:val="12"/>
        </w:rPr>
        <w:t xml:space="preserve"> </w:t>
      </w:r>
      <w:r>
        <w:rPr>
          <w:sz w:val="18"/>
        </w:rPr>
        <w:t>American</w:t>
      </w:r>
      <w:r>
        <w:rPr>
          <w:spacing w:val="-3"/>
          <w:sz w:val="18"/>
        </w:rPr>
        <w:t xml:space="preserve"> </w:t>
      </w:r>
      <w:r>
        <w:rPr>
          <w:sz w:val="18"/>
        </w:rPr>
        <w:t>Library</w:t>
      </w:r>
      <w:r>
        <w:rPr>
          <w:spacing w:val="-1"/>
          <w:sz w:val="18"/>
        </w:rPr>
        <w:t xml:space="preserve"> </w:t>
      </w:r>
      <w:r>
        <w:rPr>
          <w:sz w:val="18"/>
        </w:rPr>
        <w:t>Association</w:t>
      </w:r>
      <w:r>
        <w:rPr>
          <w:sz w:val="18"/>
        </w:rPr>
        <w:t>,</w:t>
      </w:r>
      <w:r>
        <w:rPr>
          <w:spacing w:val="-2"/>
          <w:sz w:val="18"/>
        </w:rPr>
        <w:t xml:space="preserve"> </w:t>
      </w:r>
      <w:r>
        <w:rPr>
          <w:sz w:val="18"/>
        </w:rPr>
        <w:t>“American</w:t>
      </w:r>
      <w:r>
        <w:rPr>
          <w:spacing w:val="-3"/>
          <w:sz w:val="18"/>
        </w:rPr>
        <w:t xml:space="preserve"> </w:t>
      </w:r>
      <w:r>
        <w:rPr>
          <w:sz w:val="18"/>
        </w:rPr>
        <w:t>Library</w:t>
      </w:r>
      <w:r>
        <w:rPr>
          <w:spacing w:val="-2"/>
          <w:sz w:val="18"/>
        </w:rPr>
        <w:t xml:space="preserve"> </w:t>
      </w:r>
      <w:r>
        <w:rPr>
          <w:sz w:val="18"/>
        </w:rPr>
        <w:t>Association</w:t>
      </w:r>
      <w:r>
        <w:rPr>
          <w:spacing w:val="-3"/>
          <w:sz w:val="18"/>
        </w:rPr>
        <w:t xml:space="preserve"> </w:t>
      </w:r>
      <w:r>
        <w:rPr>
          <w:sz w:val="18"/>
        </w:rPr>
        <w:t>Reports</w:t>
      </w:r>
      <w:r>
        <w:rPr>
          <w:spacing w:val="-3"/>
          <w:sz w:val="18"/>
        </w:rPr>
        <w:t xml:space="preserve"> </w:t>
      </w:r>
      <w:r>
        <w:rPr>
          <w:sz w:val="18"/>
        </w:rPr>
        <w:t>Record</w:t>
      </w:r>
      <w:r>
        <w:rPr>
          <w:spacing w:val="-3"/>
          <w:sz w:val="18"/>
        </w:rPr>
        <w:t xml:space="preserve"> </w:t>
      </w:r>
      <w:r>
        <w:rPr>
          <w:sz w:val="18"/>
        </w:rPr>
        <w:t>Number</w:t>
      </w:r>
      <w:r>
        <w:rPr>
          <w:spacing w:val="-3"/>
          <w:sz w:val="18"/>
        </w:rPr>
        <w:t xml:space="preserve"> </w:t>
      </w:r>
      <w:r>
        <w:rPr>
          <w:sz w:val="18"/>
        </w:rPr>
        <w:t>of</w:t>
      </w:r>
      <w:r>
        <w:rPr>
          <w:spacing w:val="-2"/>
          <w:sz w:val="18"/>
        </w:rPr>
        <w:t xml:space="preserve"> </w:t>
      </w:r>
      <w:r>
        <w:rPr>
          <w:sz w:val="18"/>
        </w:rPr>
        <w:t>Demands</w:t>
      </w:r>
      <w:r>
        <w:rPr>
          <w:spacing w:val="-3"/>
          <w:sz w:val="18"/>
        </w:rPr>
        <w:t xml:space="preserve"> </w:t>
      </w:r>
      <w:r>
        <w:rPr>
          <w:sz w:val="18"/>
        </w:rPr>
        <w:t>to</w:t>
      </w:r>
      <w:r>
        <w:rPr>
          <w:spacing w:val="-1"/>
          <w:sz w:val="18"/>
        </w:rPr>
        <w:t xml:space="preserve"> </w:t>
      </w:r>
      <w:r>
        <w:rPr>
          <w:sz w:val="18"/>
        </w:rPr>
        <w:t>Censor</w:t>
      </w:r>
      <w:r>
        <w:rPr>
          <w:spacing w:val="-3"/>
          <w:sz w:val="18"/>
        </w:rPr>
        <w:t xml:space="preserve"> </w:t>
      </w:r>
      <w:r>
        <w:rPr>
          <w:sz w:val="18"/>
        </w:rPr>
        <w:t>Library</w:t>
      </w:r>
      <w:r>
        <w:rPr>
          <w:spacing w:val="-2"/>
          <w:sz w:val="18"/>
        </w:rPr>
        <w:t xml:space="preserve"> </w:t>
      </w:r>
      <w:r>
        <w:rPr>
          <w:sz w:val="18"/>
        </w:rPr>
        <w:t>Books</w:t>
      </w:r>
      <w:r>
        <w:rPr>
          <w:spacing w:val="-3"/>
          <w:sz w:val="18"/>
        </w:rPr>
        <w:t xml:space="preserve"> </w:t>
      </w:r>
      <w:r>
        <w:rPr>
          <w:sz w:val="18"/>
        </w:rPr>
        <w:t>and Materials in 2022,” Text, News and Press Center, March 22, 2023, https://</w:t>
      </w:r>
      <w:hyperlink r:id="rId867">
        <w:r>
          <w:rPr>
            <w:sz w:val="18"/>
          </w:rPr>
          <w:t>www.ala.org/news/press-releases/2023/03/record-</w:t>
        </w:r>
      </w:hyperlink>
      <w:r>
        <w:rPr>
          <w:sz w:val="18"/>
        </w:rPr>
        <w:t xml:space="preserve"> </w:t>
      </w:r>
      <w:r>
        <w:rPr>
          <w:spacing w:val="-2"/>
          <w:sz w:val="18"/>
        </w:rPr>
        <w:t>book-bans-2022.</w:t>
      </w:r>
    </w:p>
    <w:p w:rsidR="00200FDA" w:rsidRDefault="00F76C4C">
      <w:pPr>
        <w:ind w:left="280" w:hanging="1"/>
        <w:rPr>
          <w:sz w:val="18"/>
        </w:rPr>
      </w:pPr>
      <w:bookmarkStart w:id="1181" w:name="_bookmark916"/>
      <w:bookmarkEnd w:id="1181"/>
      <w:r>
        <w:rPr>
          <w:position w:val="5"/>
          <w:sz w:val="12"/>
        </w:rPr>
        <w:t>5</w:t>
      </w:r>
      <w:r>
        <w:rPr>
          <w:spacing w:val="10"/>
          <w:position w:val="5"/>
          <w:sz w:val="12"/>
        </w:rPr>
        <w:t xml:space="preserve"> </w:t>
      </w:r>
      <w:r>
        <w:rPr>
          <w:sz w:val="18"/>
        </w:rPr>
        <w:t>American</w:t>
      </w:r>
      <w:r>
        <w:rPr>
          <w:spacing w:val="-3"/>
          <w:sz w:val="18"/>
        </w:rPr>
        <w:t xml:space="preserve"> </w:t>
      </w:r>
      <w:r>
        <w:rPr>
          <w:sz w:val="18"/>
        </w:rPr>
        <w:t>Library Association,</w:t>
      </w:r>
      <w:r>
        <w:rPr>
          <w:spacing w:val="-2"/>
          <w:sz w:val="18"/>
        </w:rPr>
        <w:t xml:space="preserve"> </w:t>
      </w:r>
      <w:r>
        <w:rPr>
          <w:sz w:val="18"/>
        </w:rPr>
        <w:t>“Top</w:t>
      </w:r>
      <w:r>
        <w:rPr>
          <w:spacing w:val="-3"/>
          <w:sz w:val="18"/>
        </w:rPr>
        <w:t xml:space="preserve"> </w:t>
      </w:r>
      <w:r>
        <w:rPr>
          <w:sz w:val="18"/>
        </w:rPr>
        <w:t>13</w:t>
      </w:r>
      <w:r>
        <w:rPr>
          <w:spacing w:val="-2"/>
          <w:sz w:val="18"/>
        </w:rPr>
        <w:t xml:space="preserve"> </w:t>
      </w:r>
      <w:r>
        <w:rPr>
          <w:sz w:val="18"/>
        </w:rPr>
        <w:t>Most</w:t>
      </w:r>
      <w:r>
        <w:rPr>
          <w:spacing w:val="-3"/>
          <w:sz w:val="18"/>
        </w:rPr>
        <w:t xml:space="preserve"> </w:t>
      </w:r>
      <w:r>
        <w:rPr>
          <w:sz w:val="18"/>
        </w:rPr>
        <w:t>Challenged</w:t>
      </w:r>
      <w:r>
        <w:rPr>
          <w:spacing w:val="-3"/>
          <w:sz w:val="18"/>
        </w:rPr>
        <w:t xml:space="preserve"> </w:t>
      </w:r>
      <w:r>
        <w:rPr>
          <w:sz w:val="18"/>
        </w:rPr>
        <w:t>Books</w:t>
      </w:r>
      <w:r>
        <w:rPr>
          <w:spacing w:val="-3"/>
          <w:sz w:val="18"/>
        </w:rPr>
        <w:t xml:space="preserve"> </w:t>
      </w:r>
      <w:r>
        <w:rPr>
          <w:sz w:val="18"/>
        </w:rPr>
        <w:t>of</w:t>
      </w:r>
      <w:r>
        <w:rPr>
          <w:spacing w:val="-5"/>
          <w:sz w:val="18"/>
        </w:rPr>
        <w:t xml:space="preserve"> </w:t>
      </w:r>
      <w:r>
        <w:rPr>
          <w:sz w:val="18"/>
        </w:rPr>
        <w:t>2022,”</w:t>
      </w:r>
      <w:r>
        <w:rPr>
          <w:spacing w:val="-3"/>
          <w:sz w:val="18"/>
        </w:rPr>
        <w:t xml:space="preserve"> </w:t>
      </w:r>
      <w:r>
        <w:rPr>
          <w:sz w:val="18"/>
        </w:rPr>
        <w:t>Text,</w:t>
      </w:r>
      <w:r>
        <w:rPr>
          <w:spacing w:val="-2"/>
          <w:sz w:val="18"/>
        </w:rPr>
        <w:t xml:space="preserve"> </w:t>
      </w:r>
      <w:r>
        <w:rPr>
          <w:sz w:val="18"/>
        </w:rPr>
        <w:t>Advocacy,</w:t>
      </w:r>
      <w:r>
        <w:rPr>
          <w:spacing w:val="-2"/>
          <w:sz w:val="18"/>
        </w:rPr>
        <w:t xml:space="preserve"> </w:t>
      </w:r>
      <w:r>
        <w:rPr>
          <w:sz w:val="18"/>
        </w:rPr>
        <w:t>Legislation</w:t>
      </w:r>
      <w:r>
        <w:rPr>
          <w:spacing w:val="-3"/>
          <w:sz w:val="18"/>
        </w:rPr>
        <w:t xml:space="preserve"> </w:t>
      </w:r>
      <w:r>
        <w:rPr>
          <w:sz w:val="18"/>
        </w:rPr>
        <w:t>&amp;</w:t>
      </w:r>
      <w:r>
        <w:rPr>
          <w:spacing w:val="-3"/>
          <w:sz w:val="18"/>
        </w:rPr>
        <w:t xml:space="preserve"> </w:t>
      </w:r>
      <w:r>
        <w:rPr>
          <w:sz w:val="18"/>
        </w:rPr>
        <w:t>Issues,</w:t>
      </w:r>
      <w:r>
        <w:rPr>
          <w:spacing w:val="-2"/>
          <w:sz w:val="18"/>
        </w:rPr>
        <w:t xml:space="preserve"> </w:t>
      </w:r>
      <w:r>
        <w:rPr>
          <w:sz w:val="18"/>
        </w:rPr>
        <w:t>April</w:t>
      </w:r>
      <w:r>
        <w:rPr>
          <w:spacing w:val="-3"/>
          <w:sz w:val="18"/>
        </w:rPr>
        <w:t xml:space="preserve"> </w:t>
      </w:r>
      <w:r>
        <w:rPr>
          <w:sz w:val="18"/>
        </w:rPr>
        <w:t>21,</w:t>
      </w:r>
      <w:r>
        <w:rPr>
          <w:spacing w:val="-2"/>
          <w:sz w:val="18"/>
        </w:rPr>
        <w:t xml:space="preserve"> </w:t>
      </w:r>
      <w:r>
        <w:rPr>
          <w:sz w:val="18"/>
        </w:rPr>
        <w:t xml:space="preserve">2023, </w:t>
      </w:r>
      <w:r>
        <w:rPr>
          <w:spacing w:val="-2"/>
          <w:sz w:val="18"/>
        </w:rPr>
        <w:t>https://</w:t>
      </w:r>
      <w:hyperlink r:id="rId868">
        <w:r>
          <w:rPr>
            <w:spacing w:val="-2"/>
            <w:sz w:val="18"/>
          </w:rPr>
          <w:t>www.ala.org/advocacy/bbooks/frequentlychallengedbooks/top10.</w:t>
        </w:r>
      </w:hyperlink>
    </w:p>
    <w:p w:rsidR="00200FDA" w:rsidRDefault="00F76C4C">
      <w:pPr>
        <w:ind w:left="280" w:right="308" w:hanging="1"/>
        <w:rPr>
          <w:sz w:val="18"/>
        </w:rPr>
      </w:pPr>
      <w:bookmarkStart w:id="1182" w:name="_bookmark917"/>
      <w:bookmarkEnd w:id="1182"/>
      <w:r>
        <w:rPr>
          <w:position w:val="5"/>
          <w:sz w:val="12"/>
        </w:rPr>
        <w:t>6</w:t>
      </w:r>
      <w:r>
        <w:rPr>
          <w:spacing w:val="19"/>
          <w:position w:val="5"/>
          <w:sz w:val="12"/>
        </w:rPr>
        <w:t xml:space="preserve"> </w:t>
      </w:r>
      <w:r>
        <w:rPr>
          <w:sz w:val="18"/>
        </w:rPr>
        <w:t>GLAD and ACLU Massachusetts, “ACLU, GLAD Urge Massachusetts Schools to Reject Calls for Book Bans | ACLU Massachusetts,”</w:t>
      </w:r>
      <w:r>
        <w:rPr>
          <w:spacing w:val="-11"/>
          <w:sz w:val="18"/>
        </w:rPr>
        <w:t xml:space="preserve"> </w:t>
      </w:r>
      <w:r>
        <w:rPr>
          <w:sz w:val="18"/>
        </w:rPr>
        <w:t>January</w:t>
      </w:r>
      <w:r>
        <w:rPr>
          <w:spacing w:val="-10"/>
          <w:sz w:val="18"/>
        </w:rPr>
        <w:t xml:space="preserve"> </w:t>
      </w:r>
      <w:r>
        <w:rPr>
          <w:sz w:val="18"/>
        </w:rPr>
        <w:t>23,</w:t>
      </w:r>
      <w:r>
        <w:rPr>
          <w:spacing w:val="-10"/>
          <w:sz w:val="18"/>
        </w:rPr>
        <w:t xml:space="preserve"> </w:t>
      </w:r>
      <w:r>
        <w:rPr>
          <w:sz w:val="18"/>
        </w:rPr>
        <w:t>2023,</w:t>
      </w:r>
      <w:r>
        <w:rPr>
          <w:spacing w:val="-10"/>
          <w:sz w:val="18"/>
        </w:rPr>
        <w:t xml:space="preserve"> </w:t>
      </w:r>
      <w:r>
        <w:rPr>
          <w:sz w:val="18"/>
        </w:rPr>
        <w:t>https:</w:t>
      </w:r>
      <w:hyperlink r:id="rId869">
        <w:r>
          <w:rPr>
            <w:sz w:val="18"/>
          </w:rPr>
          <w:t>//w</w:t>
        </w:r>
      </w:hyperlink>
      <w:r>
        <w:rPr>
          <w:sz w:val="18"/>
        </w:rPr>
        <w:t>ww</w:t>
      </w:r>
      <w:hyperlink r:id="rId870">
        <w:r>
          <w:rPr>
            <w:sz w:val="18"/>
          </w:rPr>
          <w:t>.aclum.org/en/news/aclu-glad-urge-massachuset</w:t>
        </w:r>
        <w:r>
          <w:rPr>
            <w:sz w:val="18"/>
          </w:rPr>
          <w:t>ts-schools-reject-calls-book-</w:t>
        </w:r>
      </w:hyperlink>
      <w:r>
        <w:rPr>
          <w:sz w:val="18"/>
        </w:rPr>
        <w:t xml:space="preserve"> </w:t>
      </w:r>
      <w:r>
        <w:rPr>
          <w:spacing w:val="-2"/>
          <w:sz w:val="18"/>
        </w:rPr>
        <w:t>bans.</w:t>
      </w:r>
    </w:p>
    <w:p w:rsidR="00200FDA" w:rsidRDefault="00200FDA">
      <w:pPr>
        <w:rPr>
          <w:sz w:val="18"/>
        </w:rPr>
        <w:sectPr w:rsidR="00200FDA">
          <w:pgSz w:w="12240" w:h="15840"/>
          <w:pgMar w:top="1260" w:right="1160" w:bottom="1240" w:left="1160" w:header="761" w:footer="1041" w:gutter="0"/>
          <w:cols w:space="720"/>
        </w:sectPr>
      </w:pPr>
    </w:p>
    <w:p w:rsidR="00200FDA" w:rsidRDefault="00200FDA">
      <w:pPr>
        <w:pStyle w:val="BodyText"/>
        <w:spacing w:before="10"/>
        <w:rPr>
          <w:sz w:val="10"/>
        </w:rPr>
      </w:pPr>
    </w:p>
    <w:p w:rsidR="00200FDA" w:rsidRDefault="00F76C4C">
      <w:pPr>
        <w:spacing w:before="35"/>
        <w:ind w:left="280"/>
        <w:rPr>
          <w:sz w:val="32"/>
        </w:rPr>
      </w:pPr>
      <w:r>
        <w:pict>
          <v:rect id="docshape630" o:spid="_x0000_s1037" style="position:absolute;left:0;text-align:left;margin-left:70.55pt;margin-top:22.25pt;width:470.9pt;height:.5pt;z-index:-15595520;mso-wrap-distance-left:0;mso-wrap-distance-right:0;mso-position-horizontal-relative:page" fillcolor="#4f81bc" stroked="f">
            <w10:wrap type="topAndBottom" anchorx="page"/>
          </v:rect>
        </w:pict>
      </w:r>
      <w:bookmarkStart w:id="1183" w:name="FY24_DHCD_Recommendations_-_Final.pdf"/>
      <w:bookmarkStart w:id="1184" w:name="Department_of_Housing_and_Community_Deve"/>
      <w:bookmarkStart w:id="1185" w:name="_bookmark918"/>
      <w:bookmarkEnd w:id="1183"/>
      <w:bookmarkEnd w:id="1184"/>
      <w:bookmarkEnd w:id="1185"/>
      <w:r>
        <w:rPr>
          <w:color w:val="365F91"/>
          <w:sz w:val="32"/>
        </w:rPr>
        <w:t>Department</w:t>
      </w:r>
      <w:r>
        <w:rPr>
          <w:color w:val="365F91"/>
          <w:spacing w:val="-8"/>
          <w:sz w:val="32"/>
        </w:rPr>
        <w:t xml:space="preserve"> </w:t>
      </w:r>
      <w:r>
        <w:rPr>
          <w:color w:val="365F91"/>
          <w:sz w:val="32"/>
        </w:rPr>
        <w:t>of</w:t>
      </w:r>
      <w:r>
        <w:rPr>
          <w:color w:val="365F91"/>
          <w:spacing w:val="-10"/>
          <w:sz w:val="32"/>
        </w:rPr>
        <w:t xml:space="preserve"> </w:t>
      </w:r>
      <w:r>
        <w:rPr>
          <w:color w:val="365F91"/>
          <w:sz w:val="32"/>
        </w:rPr>
        <w:t>Housing</w:t>
      </w:r>
      <w:r>
        <w:rPr>
          <w:color w:val="365F91"/>
          <w:spacing w:val="-10"/>
          <w:sz w:val="32"/>
        </w:rPr>
        <w:t xml:space="preserve"> </w:t>
      </w:r>
      <w:r>
        <w:rPr>
          <w:color w:val="365F91"/>
          <w:sz w:val="32"/>
        </w:rPr>
        <w:t>and</w:t>
      </w:r>
      <w:r>
        <w:rPr>
          <w:color w:val="365F91"/>
          <w:spacing w:val="-11"/>
          <w:sz w:val="32"/>
        </w:rPr>
        <w:t xml:space="preserve"> </w:t>
      </w:r>
      <w:r>
        <w:rPr>
          <w:color w:val="365F91"/>
          <w:sz w:val="32"/>
        </w:rPr>
        <w:t>Community</w:t>
      </w:r>
      <w:r>
        <w:rPr>
          <w:color w:val="365F91"/>
          <w:spacing w:val="-11"/>
          <w:sz w:val="32"/>
        </w:rPr>
        <w:t xml:space="preserve"> </w:t>
      </w:r>
      <w:r>
        <w:rPr>
          <w:color w:val="365F91"/>
          <w:spacing w:val="-2"/>
          <w:sz w:val="32"/>
        </w:rPr>
        <w:t>Development</w:t>
      </w:r>
    </w:p>
    <w:p w:rsidR="00200FDA" w:rsidRDefault="00200FDA">
      <w:pPr>
        <w:pStyle w:val="BodyText"/>
        <w:rPr>
          <w:sz w:val="20"/>
        </w:rPr>
      </w:pPr>
    </w:p>
    <w:p w:rsidR="00200FDA" w:rsidRDefault="00200FDA">
      <w:pPr>
        <w:pStyle w:val="BodyText"/>
        <w:spacing w:before="7"/>
        <w:rPr>
          <w:sz w:val="21"/>
        </w:rPr>
      </w:pPr>
    </w:p>
    <w:p w:rsidR="00200FDA" w:rsidRDefault="00F76C4C">
      <w:pPr>
        <w:pStyle w:val="Heading7"/>
        <w:spacing w:before="44"/>
      </w:pPr>
      <w:r>
        <w:pict>
          <v:rect id="docshape631" o:spid="_x0000_s1036" style="position:absolute;left:0;text-align:left;margin-left:70.55pt;margin-top:20.2pt;width:470.9pt;height:.5pt;z-index:-15595008;mso-wrap-distance-left:0;mso-wrap-distance-right:0;mso-position-horizontal-relative:page" fillcolor="#4f81bc" stroked="f">
            <w10:wrap type="topAndBottom" anchorx="page"/>
          </v:rect>
        </w:pict>
      </w:r>
      <w:bookmarkStart w:id="1186" w:name="FY2024_Recommendations"/>
      <w:bookmarkEnd w:id="1186"/>
      <w:r>
        <w:rPr>
          <w:color w:val="365F91"/>
        </w:rPr>
        <w:t>FY2024</w:t>
      </w:r>
      <w:r>
        <w:rPr>
          <w:color w:val="365F91"/>
          <w:spacing w:val="-6"/>
        </w:rPr>
        <w:t xml:space="preserve"> </w:t>
      </w:r>
      <w:r>
        <w:rPr>
          <w:color w:val="365F91"/>
          <w:spacing w:val="-2"/>
        </w:rPr>
        <w:t>Recommendations</w:t>
      </w:r>
    </w:p>
    <w:p w:rsidR="00200FDA" w:rsidRDefault="00200FDA">
      <w:pPr>
        <w:pStyle w:val="BodyText"/>
        <w:rPr>
          <w:sz w:val="20"/>
        </w:rPr>
      </w:pPr>
    </w:p>
    <w:p w:rsidR="00200FDA" w:rsidRDefault="00200FDA">
      <w:pPr>
        <w:pStyle w:val="BodyText"/>
        <w:rPr>
          <w:sz w:val="20"/>
        </w:rPr>
      </w:pPr>
    </w:p>
    <w:p w:rsidR="00200FDA" w:rsidRDefault="00F76C4C">
      <w:pPr>
        <w:pStyle w:val="ListParagraph"/>
        <w:numPr>
          <w:ilvl w:val="1"/>
          <w:numId w:val="4"/>
        </w:numPr>
        <w:tabs>
          <w:tab w:val="left" w:pos="1001"/>
        </w:tabs>
        <w:spacing w:before="180"/>
        <w:ind w:hanging="362"/>
      </w:pPr>
      <w:r>
        <w:t>Develop</w:t>
      </w:r>
      <w:r>
        <w:rPr>
          <w:spacing w:val="-7"/>
        </w:rPr>
        <w:t xml:space="preserve"> </w:t>
      </w:r>
      <w:r>
        <w:t>and</w:t>
      </w:r>
      <w:r>
        <w:rPr>
          <w:spacing w:val="-7"/>
        </w:rPr>
        <w:t xml:space="preserve"> </w:t>
      </w:r>
      <w:r>
        <w:t>implement</w:t>
      </w:r>
      <w:r>
        <w:rPr>
          <w:spacing w:val="-5"/>
        </w:rPr>
        <w:t xml:space="preserve"> </w:t>
      </w:r>
      <w:r>
        <w:t>an</w:t>
      </w:r>
      <w:r>
        <w:rPr>
          <w:spacing w:val="-8"/>
        </w:rPr>
        <w:t xml:space="preserve"> </w:t>
      </w:r>
      <w:r>
        <w:t>agency-wide</w:t>
      </w:r>
      <w:r>
        <w:rPr>
          <w:spacing w:val="-5"/>
        </w:rPr>
        <w:t xml:space="preserve"> </w:t>
      </w:r>
      <w:r>
        <w:t>nondiscrimination</w:t>
      </w:r>
      <w:r>
        <w:rPr>
          <w:spacing w:val="-6"/>
        </w:rPr>
        <w:t xml:space="preserve"> </w:t>
      </w:r>
      <w:r>
        <w:rPr>
          <w:spacing w:val="-2"/>
        </w:rPr>
        <w:t>policy.</w:t>
      </w:r>
    </w:p>
    <w:p w:rsidR="00200FDA" w:rsidRDefault="00F76C4C">
      <w:pPr>
        <w:pStyle w:val="ListParagraph"/>
        <w:numPr>
          <w:ilvl w:val="1"/>
          <w:numId w:val="4"/>
        </w:numPr>
        <w:tabs>
          <w:tab w:val="left" w:pos="1001"/>
        </w:tabs>
        <w:spacing w:before="133"/>
        <w:ind w:hanging="362"/>
      </w:pPr>
      <w:r>
        <w:t>Continue</w:t>
      </w:r>
      <w:r>
        <w:rPr>
          <w:spacing w:val="-6"/>
        </w:rPr>
        <w:t xml:space="preserve"> </w:t>
      </w:r>
      <w:r>
        <w:t>to</w:t>
      </w:r>
      <w:r>
        <w:rPr>
          <w:spacing w:val="-5"/>
        </w:rPr>
        <w:t xml:space="preserve"> </w:t>
      </w:r>
      <w:r>
        <w:t>explore</w:t>
      </w:r>
      <w:r>
        <w:rPr>
          <w:spacing w:val="-3"/>
        </w:rPr>
        <w:t xml:space="preserve"> </w:t>
      </w:r>
      <w:r>
        <w:t>areas</w:t>
      </w:r>
      <w:r>
        <w:rPr>
          <w:spacing w:val="-6"/>
        </w:rPr>
        <w:t xml:space="preserve"> </w:t>
      </w:r>
      <w:r>
        <w:t>to</w:t>
      </w:r>
      <w:r>
        <w:rPr>
          <w:spacing w:val="-3"/>
        </w:rPr>
        <w:t xml:space="preserve"> </w:t>
      </w:r>
      <w:r>
        <w:t>improve</w:t>
      </w:r>
      <w:r>
        <w:rPr>
          <w:spacing w:val="-3"/>
        </w:rPr>
        <w:t xml:space="preserve"> </w:t>
      </w:r>
      <w:r>
        <w:t>SOGIE</w:t>
      </w:r>
      <w:r>
        <w:rPr>
          <w:spacing w:val="-4"/>
        </w:rPr>
        <w:t xml:space="preserve"> </w:t>
      </w:r>
      <w:r>
        <w:t>data</w:t>
      </w:r>
      <w:r>
        <w:rPr>
          <w:spacing w:val="-4"/>
        </w:rPr>
        <w:t xml:space="preserve"> </w:t>
      </w:r>
      <w:r>
        <w:t>collection</w:t>
      </w:r>
      <w:r>
        <w:rPr>
          <w:spacing w:val="-5"/>
        </w:rPr>
        <w:t xml:space="preserve"> </w:t>
      </w:r>
      <w:r>
        <w:t>and</w:t>
      </w:r>
      <w:r>
        <w:rPr>
          <w:spacing w:val="-5"/>
        </w:rPr>
        <w:t xml:space="preserve"> </w:t>
      </w:r>
      <w:r>
        <w:t>intake</w:t>
      </w:r>
      <w:r>
        <w:rPr>
          <w:spacing w:val="-3"/>
        </w:rPr>
        <w:t xml:space="preserve"> </w:t>
      </w:r>
      <w:r>
        <w:t>for</w:t>
      </w:r>
      <w:r>
        <w:rPr>
          <w:spacing w:val="-6"/>
        </w:rPr>
        <w:t xml:space="preserve"> </w:t>
      </w:r>
      <w:r>
        <w:t>LGBTQ</w:t>
      </w:r>
      <w:r>
        <w:rPr>
          <w:spacing w:val="-5"/>
        </w:rPr>
        <w:t xml:space="preserve"> </w:t>
      </w:r>
      <w:r>
        <w:rPr>
          <w:spacing w:val="-2"/>
        </w:rPr>
        <w:t>youth.</w:t>
      </w:r>
    </w:p>
    <w:p w:rsidR="00200FDA" w:rsidRDefault="00F76C4C">
      <w:pPr>
        <w:pStyle w:val="ListParagraph"/>
        <w:numPr>
          <w:ilvl w:val="1"/>
          <w:numId w:val="4"/>
        </w:numPr>
        <w:tabs>
          <w:tab w:val="left" w:pos="1001"/>
        </w:tabs>
        <w:spacing w:before="134"/>
        <w:ind w:hanging="362"/>
        <w:jc w:val="both"/>
      </w:pPr>
      <w:r>
        <w:t>Review</w:t>
      </w:r>
      <w:r>
        <w:rPr>
          <w:spacing w:val="-10"/>
        </w:rPr>
        <w:t xml:space="preserve"> </w:t>
      </w:r>
      <w:r>
        <w:t>guidance</w:t>
      </w:r>
      <w:r>
        <w:rPr>
          <w:spacing w:val="-7"/>
        </w:rPr>
        <w:t xml:space="preserve"> </w:t>
      </w:r>
      <w:r>
        <w:t>to</w:t>
      </w:r>
      <w:r>
        <w:rPr>
          <w:spacing w:val="-5"/>
        </w:rPr>
        <w:t xml:space="preserve"> </w:t>
      </w:r>
      <w:r>
        <w:t>all</w:t>
      </w:r>
      <w:r>
        <w:rPr>
          <w:spacing w:val="-10"/>
        </w:rPr>
        <w:t xml:space="preserve"> </w:t>
      </w:r>
      <w:r>
        <w:t>Massachusetts</w:t>
      </w:r>
      <w:r>
        <w:rPr>
          <w:spacing w:val="-8"/>
        </w:rPr>
        <w:t xml:space="preserve"> </w:t>
      </w:r>
      <w:r>
        <w:t>shelters</w:t>
      </w:r>
      <w:r>
        <w:rPr>
          <w:spacing w:val="-10"/>
        </w:rPr>
        <w:t xml:space="preserve"> </w:t>
      </w:r>
      <w:r>
        <w:t>on</w:t>
      </w:r>
      <w:r>
        <w:rPr>
          <w:spacing w:val="-6"/>
        </w:rPr>
        <w:t xml:space="preserve"> </w:t>
      </w:r>
      <w:r>
        <w:t>best</w:t>
      </w:r>
      <w:r>
        <w:rPr>
          <w:spacing w:val="-10"/>
        </w:rPr>
        <w:t xml:space="preserve"> </w:t>
      </w:r>
      <w:r>
        <w:t>practices</w:t>
      </w:r>
      <w:r>
        <w:rPr>
          <w:spacing w:val="-9"/>
        </w:rPr>
        <w:t xml:space="preserve"> </w:t>
      </w:r>
      <w:r>
        <w:t>for</w:t>
      </w:r>
      <w:r>
        <w:rPr>
          <w:spacing w:val="-8"/>
        </w:rPr>
        <w:t xml:space="preserve"> </w:t>
      </w:r>
      <w:r>
        <w:t>LGBTQ</w:t>
      </w:r>
      <w:r>
        <w:rPr>
          <w:spacing w:val="-8"/>
        </w:rPr>
        <w:t xml:space="preserve"> </w:t>
      </w:r>
      <w:r>
        <w:t>youth</w:t>
      </w:r>
      <w:r>
        <w:rPr>
          <w:spacing w:val="-8"/>
        </w:rPr>
        <w:t xml:space="preserve"> </w:t>
      </w:r>
      <w:r>
        <w:t>seeking</w:t>
      </w:r>
      <w:r>
        <w:rPr>
          <w:spacing w:val="-8"/>
        </w:rPr>
        <w:t xml:space="preserve"> </w:t>
      </w:r>
      <w:r>
        <w:rPr>
          <w:spacing w:val="-2"/>
        </w:rPr>
        <w:t>shelter.</w:t>
      </w:r>
    </w:p>
    <w:p w:rsidR="00200FDA" w:rsidRDefault="00F76C4C">
      <w:pPr>
        <w:pStyle w:val="ListParagraph"/>
        <w:numPr>
          <w:ilvl w:val="1"/>
          <w:numId w:val="4"/>
        </w:numPr>
        <w:tabs>
          <w:tab w:val="left" w:pos="1001"/>
        </w:tabs>
        <w:spacing w:before="135" w:line="360" w:lineRule="auto"/>
        <w:ind w:right="272"/>
        <w:jc w:val="both"/>
      </w:pPr>
      <w:r>
        <w:t>Continue</w:t>
      </w:r>
      <w:r>
        <w:rPr>
          <w:spacing w:val="-13"/>
        </w:rPr>
        <w:t xml:space="preserve"> </w:t>
      </w:r>
      <w:r>
        <w:t>to</w:t>
      </w:r>
      <w:r>
        <w:rPr>
          <w:spacing w:val="-12"/>
        </w:rPr>
        <w:t xml:space="preserve"> </w:t>
      </w:r>
      <w:r>
        <w:t>work</w:t>
      </w:r>
      <w:r>
        <w:rPr>
          <w:spacing w:val="-13"/>
        </w:rPr>
        <w:t xml:space="preserve"> </w:t>
      </w:r>
      <w:r>
        <w:t>with</w:t>
      </w:r>
      <w:r>
        <w:rPr>
          <w:spacing w:val="-12"/>
        </w:rPr>
        <w:t xml:space="preserve"> </w:t>
      </w:r>
      <w:r>
        <w:t>the</w:t>
      </w:r>
      <w:r>
        <w:rPr>
          <w:spacing w:val="-13"/>
        </w:rPr>
        <w:t xml:space="preserve"> </w:t>
      </w:r>
      <w:r>
        <w:t>Interagency</w:t>
      </w:r>
      <w:r>
        <w:rPr>
          <w:spacing w:val="-12"/>
        </w:rPr>
        <w:t xml:space="preserve"> </w:t>
      </w:r>
      <w:r>
        <w:t>Council</w:t>
      </w:r>
      <w:r>
        <w:rPr>
          <w:spacing w:val="-13"/>
        </w:rPr>
        <w:t xml:space="preserve"> </w:t>
      </w:r>
      <w:r>
        <w:t>on</w:t>
      </w:r>
      <w:r>
        <w:rPr>
          <w:spacing w:val="-12"/>
        </w:rPr>
        <w:t xml:space="preserve"> </w:t>
      </w:r>
      <w:r>
        <w:t>Housing</w:t>
      </w:r>
      <w:r>
        <w:rPr>
          <w:spacing w:val="-12"/>
        </w:rPr>
        <w:t xml:space="preserve"> </w:t>
      </w:r>
      <w:r>
        <w:t>and</w:t>
      </w:r>
      <w:r>
        <w:rPr>
          <w:spacing w:val="-13"/>
        </w:rPr>
        <w:t xml:space="preserve"> </w:t>
      </w:r>
      <w:r>
        <w:t>Homelessness</w:t>
      </w:r>
      <w:r>
        <w:rPr>
          <w:spacing w:val="-12"/>
        </w:rPr>
        <w:t xml:space="preserve"> </w:t>
      </w:r>
      <w:r>
        <w:t>and</w:t>
      </w:r>
      <w:r>
        <w:rPr>
          <w:spacing w:val="-13"/>
        </w:rPr>
        <w:t xml:space="preserve"> </w:t>
      </w:r>
      <w:r>
        <w:t>the</w:t>
      </w:r>
      <w:r>
        <w:rPr>
          <w:spacing w:val="-12"/>
        </w:rPr>
        <w:t xml:space="preserve"> </w:t>
      </w:r>
      <w:r>
        <w:t>Commission on Unaccompanied Homeless Youth to ensure that LGBTQ youth needs are met in the areas of housing access.</w:t>
      </w:r>
    </w:p>
    <w:p w:rsidR="00200FDA" w:rsidRDefault="00F76C4C">
      <w:pPr>
        <w:pStyle w:val="ListParagraph"/>
        <w:numPr>
          <w:ilvl w:val="1"/>
          <w:numId w:val="4"/>
        </w:numPr>
        <w:tabs>
          <w:tab w:val="left" w:pos="1001"/>
        </w:tabs>
        <w:spacing w:before="1" w:line="357" w:lineRule="auto"/>
        <w:ind w:right="275"/>
        <w:jc w:val="both"/>
      </w:pPr>
      <w:r>
        <w:t>Investigate</w:t>
      </w:r>
      <w:r>
        <w:rPr>
          <w:spacing w:val="-7"/>
        </w:rPr>
        <w:t xml:space="preserve"> </w:t>
      </w:r>
      <w:r>
        <w:t>and</w:t>
      </w:r>
      <w:r>
        <w:rPr>
          <w:spacing w:val="-11"/>
        </w:rPr>
        <w:t xml:space="preserve"> </w:t>
      </w:r>
      <w:r>
        <w:t>explore</w:t>
      </w:r>
      <w:r>
        <w:rPr>
          <w:spacing w:val="-9"/>
        </w:rPr>
        <w:t xml:space="preserve"> </w:t>
      </w:r>
      <w:r>
        <w:t>solutions</w:t>
      </w:r>
      <w:r>
        <w:rPr>
          <w:spacing w:val="-8"/>
        </w:rPr>
        <w:t xml:space="preserve"> </w:t>
      </w:r>
      <w:r>
        <w:t>to</w:t>
      </w:r>
      <w:r>
        <w:rPr>
          <w:spacing w:val="-9"/>
        </w:rPr>
        <w:t xml:space="preserve"> </w:t>
      </w:r>
      <w:r>
        <w:t>addressing</w:t>
      </w:r>
      <w:r>
        <w:rPr>
          <w:spacing w:val="-11"/>
        </w:rPr>
        <w:t xml:space="preserve"> </w:t>
      </w:r>
      <w:r>
        <w:t>the</w:t>
      </w:r>
      <w:r>
        <w:rPr>
          <w:spacing w:val="-7"/>
        </w:rPr>
        <w:t xml:space="preserve"> </w:t>
      </w:r>
      <w:r>
        <w:t>inequities</w:t>
      </w:r>
      <w:r>
        <w:rPr>
          <w:spacing w:val="-10"/>
        </w:rPr>
        <w:t xml:space="preserve"> </w:t>
      </w:r>
      <w:r>
        <w:t>of</w:t>
      </w:r>
      <w:r>
        <w:rPr>
          <w:spacing w:val="-10"/>
        </w:rPr>
        <w:t xml:space="preserve"> </w:t>
      </w:r>
      <w:r>
        <w:t>the</w:t>
      </w:r>
      <w:r>
        <w:rPr>
          <w:spacing w:val="-7"/>
        </w:rPr>
        <w:t xml:space="preserve"> </w:t>
      </w:r>
      <w:r>
        <w:t>homelessness</w:t>
      </w:r>
      <w:r>
        <w:rPr>
          <w:spacing w:val="-8"/>
        </w:rPr>
        <w:t xml:space="preserve"> </w:t>
      </w:r>
      <w:r>
        <w:t>day</w:t>
      </w:r>
      <w:r>
        <w:rPr>
          <w:spacing w:val="-9"/>
        </w:rPr>
        <w:t xml:space="preserve"> </w:t>
      </w:r>
      <w:r>
        <w:t>count</w:t>
      </w:r>
      <w:r>
        <w:rPr>
          <w:spacing w:val="-7"/>
        </w:rPr>
        <w:t xml:space="preserve"> </w:t>
      </w:r>
      <w:r>
        <w:t>that are occurring when youth travel between so</w:t>
      </w:r>
      <w:r>
        <w:t>me continuums of care in Massachusetts.</w:t>
      </w:r>
    </w:p>
    <w:p w:rsidR="00200FDA" w:rsidRDefault="00F76C4C">
      <w:pPr>
        <w:pStyle w:val="ListParagraph"/>
        <w:numPr>
          <w:ilvl w:val="1"/>
          <w:numId w:val="4"/>
        </w:numPr>
        <w:tabs>
          <w:tab w:val="left" w:pos="1001"/>
        </w:tabs>
        <w:spacing w:before="4" w:line="360" w:lineRule="auto"/>
        <w:ind w:right="275" w:hanging="360"/>
        <w:jc w:val="both"/>
      </w:pPr>
      <w:r>
        <w:t>Explore</w:t>
      </w:r>
      <w:r>
        <w:rPr>
          <w:spacing w:val="-2"/>
        </w:rPr>
        <w:t xml:space="preserve"> </w:t>
      </w:r>
      <w:r>
        <w:t>ways to encourage</w:t>
      </w:r>
      <w:r>
        <w:rPr>
          <w:spacing w:val="-2"/>
        </w:rPr>
        <w:t xml:space="preserve"> </w:t>
      </w:r>
      <w:r>
        <w:t>the development and</w:t>
      </w:r>
      <w:r>
        <w:rPr>
          <w:spacing w:val="-1"/>
        </w:rPr>
        <w:t xml:space="preserve"> </w:t>
      </w:r>
      <w:r>
        <w:t>funding</w:t>
      </w:r>
      <w:r>
        <w:rPr>
          <w:spacing w:val="-1"/>
        </w:rPr>
        <w:t xml:space="preserve"> </w:t>
      </w:r>
      <w:r>
        <w:t>of</w:t>
      </w:r>
      <w:r>
        <w:rPr>
          <w:spacing w:val="-1"/>
        </w:rPr>
        <w:t xml:space="preserve"> </w:t>
      </w:r>
      <w:r>
        <w:t>LGBTQ-specific and</w:t>
      </w:r>
      <w:r>
        <w:rPr>
          <w:spacing w:val="-1"/>
        </w:rPr>
        <w:t xml:space="preserve"> </w:t>
      </w:r>
      <w:r>
        <w:t>safe shelters for youth, and alternative ways to address the housing crisis for youth.</w:t>
      </w:r>
    </w:p>
    <w:p w:rsidR="00200FDA" w:rsidRDefault="00F76C4C">
      <w:pPr>
        <w:pStyle w:val="ListParagraph"/>
        <w:numPr>
          <w:ilvl w:val="1"/>
          <w:numId w:val="4"/>
        </w:numPr>
        <w:tabs>
          <w:tab w:val="left" w:pos="1001"/>
        </w:tabs>
        <w:spacing w:line="360" w:lineRule="auto"/>
        <w:ind w:left="999" w:right="277" w:hanging="360"/>
        <w:jc w:val="both"/>
      </w:pPr>
      <w:r>
        <w:t>Explore and examine further collaborations with DCF a</w:t>
      </w:r>
      <w:r>
        <w:t>nd DYS to support transition-aged youth leaving care.</w:t>
      </w:r>
    </w:p>
    <w:p w:rsidR="00200FDA" w:rsidRDefault="00F76C4C">
      <w:pPr>
        <w:pStyle w:val="ListParagraph"/>
        <w:numPr>
          <w:ilvl w:val="1"/>
          <w:numId w:val="4"/>
        </w:numPr>
        <w:tabs>
          <w:tab w:val="left" w:pos="1001"/>
        </w:tabs>
        <w:spacing w:before="1" w:line="360" w:lineRule="auto"/>
        <w:ind w:right="275"/>
        <w:jc w:val="both"/>
      </w:pPr>
      <w:r>
        <w:t xml:space="preserve">Provide LGBTQ cultural engagement and racial equity trainings for DHCD employees and shelter </w:t>
      </w:r>
      <w:r>
        <w:rPr>
          <w:spacing w:val="-2"/>
        </w:rPr>
        <w:t>providers.</w:t>
      </w:r>
    </w:p>
    <w:p w:rsidR="00200FDA" w:rsidRDefault="00200FDA">
      <w:pPr>
        <w:pStyle w:val="BodyText"/>
        <w:spacing w:before="9"/>
        <w:rPr>
          <w:sz w:val="32"/>
        </w:rPr>
      </w:pPr>
    </w:p>
    <w:p w:rsidR="00200FDA" w:rsidRDefault="00F76C4C">
      <w:pPr>
        <w:pStyle w:val="Heading7"/>
      </w:pPr>
      <w:r>
        <w:pict>
          <v:rect id="docshape632" o:spid="_x0000_s1035" style="position:absolute;left:0;text-align:left;margin-left:70.55pt;margin-top:18.15pt;width:470.9pt;height:.5pt;z-index:-15594496;mso-wrap-distance-left:0;mso-wrap-distance-right:0;mso-position-horizontal-relative:page" fillcolor="#4f81bc" stroked="f">
            <w10:wrap type="topAndBottom" anchorx="page"/>
          </v:rect>
        </w:pict>
      </w:r>
      <w:r>
        <w:rPr>
          <w:color w:val="365F91"/>
          <w:spacing w:val="-2"/>
        </w:rPr>
        <w:t>Introduction</w:t>
      </w:r>
    </w:p>
    <w:p w:rsidR="00200FDA" w:rsidRDefault="00200FDA">
      <w:pPr>
        <w:pStyle w:val="BodyText"/>
        <w:rPr>
          <w:sz w:val="15"/>
        </w:rPr>
      </w:pPr>
    </w:p>
    <w:p w:rsidR="00200FDA" w:rsidRDefault="00F76C4C">
      <w:pPr>
        <w:pStyle w:val="BodyText"/>
        <w:spacing w:before="56" w:line="276" w:lineRule="auto"/>
        <w:ind w:left="280" w:right="273"/>
        <w:jc w:val="both"/>
      </w:pPr>
      <w:r>
        <w:t>The Department of Housing and Community Development (DHCD) is responsible for providing safe and affordable housing options for Massachusetts residents, including oversight of regional networks of shelter agencies and partners, as well as housing stabiliza</w:t>
      </w:r>
      <w:r>
        <w:t>tion and emergency assistance programs. Numerous constituencies within and outside of state government have raised the issue of the critical housing needs of LGBTQ youth and young adults.</w:t>
      </w:r>
    </w:p>
    <w:p w:rsidR="00200FDA" w:rsidRDefault="00200FDA">
      <w:pPr>
        <w:pStyle w:val="BodyText"/>
        <w:spacing w:before="7"/>
        <w:rPr>
          <w:sz w:val="19"/>
        </w:rPr>
      </w:pPr>
    </w:p>
    <w:p w:rsidR="00200FDA" w:rsidRDefault="00F76C4C">
      <w:pPr>
        <w:pStyle w:val="BodyText"/>
        <w:spacing w:line="276" w:lineRule="auto"/>
        <w:ind w:left="279" w:right="274"/>
        <w:jc w:val="both"/>
      </w:pPr>
      <w:r>
        <w:t>As discussed in-depth throughout this report, LGBTQ youth are more likely to experience homelessness or housing instability. The 2022 Massachusetts Youth Count noted that 30% of unaccompanied youth respondents identified as LGBTQ, and 5.6% identified as tr</w:t>
      </w:r>
      <w:r>
        <w:t xml:space="preserve">ansgender, nonbinary, or Two-Spirit. Of these youth, 52.9% reported being in a shelter the night before, 35.1% couch-surfing, and 12% being unsheltered. </w:t>
      </w:r>
      <w:hyperlink w:anchor="_bookmark919" w:history="1">
        <w:r>
          <w:rPr>
            <w:vertAlign w:val="superscript"/>
          </w:rPr>
          <w:t>i</w:t>
        </w:r>
      </w:hyperlink>
      <w:r>
        <w:t xml:space="preserve"> This data clearly indicates the critical need of LGBTQ-affirming serv</w:t>
      </w:r>
      <w:r>
        <w:t>ices for youth experiencing homelessness or housing instability in the Commonwealth for shelter spaces and housing services. Additionally, homelessness does not only impact unaccompanied LGBTQ youth, but also youth who</w:t>
      </w:r>
      <w:r>
        <w:rPr>
          <w:spacing w:val="23"/>
        </w:rPr>
        <w:t xml:space="preserve"> </w:t>
      </w:r>
      <w:r>
        <w:t>are</w:t>
      </w:r>
      <w:r>
        <w:rPr>
          <w:spacing w:val="22"/>
        </w:rPr>
        <w:t xml:space="preserve"> </w:t>
      </w:r>
      <w:r>
        <w:t>living</w:t>
      </w:r>
      <w:r>
        <w:rPr>
          <w:spacing w:val="23"/>
        </w:rPr>
        <w:t xml:space="preserve"> </w:t>
      </w:r>
      <w:r>
        <w:t>with</w:t>
      </w:r>
      <w:r>
        <w:rPr>
          <w:spacing w:val="21"/>
        </w:rPr>
        <w:t xml:space="preserve"> </w:t>
      </w:r>
      <w:r>
        <w:t>their</w:t>
      </w:r>
      <w:r>
        <w:rPr>
          <w:spacing w:val="22"/>
        </w:rPr>
        <w:t xml:space="preserve"> </w:t>
      </w:r>
      <w:r>
        <w:t>families</w:t>
      </w:r>
      <w:r>
        <w:rPr>
          <w:spacing w:val="22"/>
        </w:rPr>
        <w:t xml:space="preserve"> </w:t>
      </w:r>
      <w:r>
        <w:t>in</w:t>
      </w:r>
      <w:r>
        <w:rPr>
          <w:spacing w:val="21"/>
        </w:rPr>
        <w:t xml:space="preserve"> </w:t>
      </w:r>
      <w:r>
        <w:t>uns</w:t>
      </w:r>
      <w:r>
        <w:t>table</w:t>
      </w:r>
      <w:r>
        <w:rPr>
          <w:spacing w:val="22"/>
        </w:rPr>
        <w:t xml:space="preserve"> </w:t>
      </w:r>
      <w:r>
        <w:t>or</w:t>
      </w:r>
      <w:r>
        <w:rPr>
          <w:spacing w:val="22"/>
        </w:rPr>
        <w:t xml:space="preserve"> </w:t>
      </w:r>
      <w:r>
        <w:t>unsheltered</w:t>
      </w:r>
      <w:r>
        <w:rPr>
          <w:spacing w:val="21"/>
        </w:rPr>
        <w:t xml:space="preserve"> </w:t>
      </w:r>
      <w:r>
        <w:t>situations.</w:t>
      </w:r>
      <w:r>
        <w:rPr>
          <w:spacing w:val="22"/>
        </w:rPr>
        <w:t xml:space="preserve"> </w:t>
      </w:r>
      <w:r>
        <w:t>Parents</w:t>
      </w:r>
      <w:r>
        <w:rPr>
          <w:spacing w:val="24"/>
        </w:rPr>
        <w:t xml:space="preserve"> </w:t>
      </w:r>
      <w:r>
        <w:t>who</w:t>
      </w:r>
      <w:r>
        <w:rPr>
          <w:spacing w:val="23"/>
        </w:rPr>
        <w:t xml:space="preserve"> </w:t>
      </w:r>
      <w:r>
        <w:t>are</w:t>
      </w:r>
      <w:r>
        <w:rPr>
          <w:spacing w:val="22"/>
        </w:rPr>
        <w:t xml:space="preserve"> </w:t>
      </w:r>
      <w:r>
        <w:t>struggling</w:t>
      </w:r>
      <w:r>
        <w:rPr>
          <w:spacing w:val="21"/>
        </w:rPr>
        <w:t xml:space="preserve"> </w:t>
      </w:r>
      <w:r>
        <w:t>to</w:t>
      </w:r>
    </w:p>
    <w:p w:rsidR="00200FDA" w:rsidRDefault="00200FDA">
      <w:pPr>
        <w:spacing w:line="276" w:lineRule="auto"/>
        <w:jc w:val="both"/>
        <w:sectPr w:rsidR="00200FDA">
          <w:headerReference w:type="default" r:id="rId871"/>
          <w:footerReference w:type="default" r:id="rId872"/>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right="277"/>
        <w:jc w:val="both"/>
      </w:pPr>
      <w:r>
        <w:t>navigate</w:t>
      </w:r>
      <w:r>
        <w:rPr>
          <w:spacing w:val="-9"/>
        </w:rPr>
        <w:t xml:space="preserve"> </w:t>
      </w:r>
      <w:r>
        <w:t>homelessness</w:t>
      </w:r>
      <w:r>
        <w:rPr>
          <w:spacing w:val="-12"/>
        </w:rPr>
        <w:t xml:space="preserve"> </w:t>
      </w:r>
      <w:r>
        <w:t>or</w:t>
      </w:r>
      <w:r>
        <w:rPr>
          <w:spacing w:val="-10"/>
        </w:rPr>
        <w:t xml:space="preserve"> </w:t>
      </w:r>
      <w:r>
        <w:t>housing</w:t>
      </w:r>
      <w:r>
        <w:rPr>
          <w:spacing w:val="-11"/>
        </w:rPr>
        <w:t xml:space="preserve"> </w:t>
      </w:r>
      <w:r>
        <w:t>instability</w:t>
      </w:r>
      <w:r>
        <w:rPr>
          <w:spacing w:val="-11"/>
        </w:rPr>
        <w:t xml:space="preserve"> </w:t>
      </w:r>
      <w:r>
        <w:t>may</w:t>
      </w:r>
      <w:r>
        <w:rPr>
          <w:spacing w:val="-9"/>
        </w:rPr>
        <w:t xml:space="preserve"> </w:t>
      </w:r>
      <w:r>
        <w:t>be</w:t>
      </w:r>
      <w:r>
        <w:rPr>
          <w:spacing w:val="-12"/>
        </w:rPr>
        <w:t xml:space="preserve"> </w:t>
      </w:r>
      <w:r>
        <w:t>particularly</w:t>
      </w:r>
      <w:r>
        <w:rPr>
          <w:spacing w:val="-9"/>
        </w:rPr>
        <w:t xml:space="preserve"> </w:t>
      </w:r>
      <w:r>
        <w:t>in</w:t>
      </w:r>
      <w:r>
        <w:rPr>
          <w:spacing w:val="-11"/>
        </w:rPr>
        <w:t xml:space="preserve"> </w:t>
      </w:r>
      <w:r>
        <w:t>need</w:t>
      </w:r>
      <w:r>
        <w:rPr>
          <w:spacing w:val="-13"/>
        </w:rPr>
        <w:t xml:space="preserve"> </w:t>
      </w:r>
      <w:r>
        <w:t>of</w:t>
      </w:r>
      <w:r>
        <w:rPr>
          <w:spacing w:val="-9"/>
        </w:rPr>
        <w:t xml:space="preserve"> </w:t>
      </w:r>
      <w:r>
        <w:t>assistance</w:t>
      </w:r>
      <w:r>
        <w:rPr>
          <w:spacing w:val="-9"/>
        </w:rPr>
        <w:t xml:space="preserve"> </w:t>
      </w:r>
      <w:r>
        <w:t>from</w:t>
      </w:r>
      <w:r>
        <w:rPr>
          <w:spacing w:val="-11"/>
        </w:rPr>
        <w:t xml:space="preserve"> </w:t>
      </w:r>
      <w:r>
        <w:t>state</w:t>
      </w:r>
      <w:r>
        <w:rPr>
          <w:spacing w:val="-9"/>
        </w:rPr>
        <w:t xml:space="preserve"> </w:t>
      </w:r>
      <w:r>
        <w:t>agencies or providers in locating resources for their LGBTQ children.</w:t>
      </w:r>
    </w:p>
    <w:p w:rsidR="00200FDA" w:rsidRDefault="00200FDA">
      <w:pPr>
        <w:pStyle w:val="BodyText"/>
      </w:pPr>
    </w:p>
    <w:p w:rsidR="00200FDA" w:rsidRDefault="00200FDA">
      <w:pPr>
        <w:pStyle w:val="BodyText"/>
        <w:rPr>
          <w:sz w:val="19"/>
        </w:rPr>
      </w:pPr>
    </w:p>
    <w:p w:rsidR="00200FDA" w:rsidRDefault="00F76C4C">
      <w:pPr>
        <w:pStyle w:val="Heading8"/>
        <w:ind w:left="280"/>
      </w:pPr>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spacing w:before="10"/>
        <w:rPr>
          <w:sz w:val="19"/>
        </w:rPr>
      </w:pPr>
    </w:p>
    <w:p w:rsidR="00200FDA" w:rsidRDefault="00F76C4C">
      <w:pPr>
        <w:pStyle w:val="BodyText"/>
        <w:spacing w:line="276" w:lineRule="auto"/>
        <w:ind w:left="280" w:right="275"/>
        <w:jc w:val="both"/>
      </w:pPr>
      <w:r>
        <w:t>The</w:t>
      </w:r>
      <w:r>
        <w:rPr>
          <w:spacing w:val="-10"/>
        </w:rPr>
        <w:t xml:space="preserve"> </w:t>
      </w:r>
      <w:r>
        <w:t>Commission</w:t>
      </w:r>
      <w:r>
        <w:rPr>
          <w:spacing w:val="-13"/>
        </w:rPr>
        <w:t xml:space="preserve"> </w:t>
      </w:r>
      <w:r>
        <w:t>appreciates</w:t>
      </w:r>
      <w:r>
        <w:rPr>
          <w:spacing w:val="-10"/>
        </w:rPr>
        <w:t xml:space="preserve"> </w:t>
      </w:r>
      <w:r>
        <w:t>the</w:t>
      </w:r>
      <w:r>
        <w:rPr>
          <w:spacing w:val="-12"/>
        </w:rPr>
        <w:t xml:space="preserve"> </w:t>
      </w:r>
      <w:r>
        <w:t>ongoing</w:t>
      </w:r>
      <w:r>
        <w:rPr>
          <w:spacing w:val="-13"/>
        </w:rPr>
        <w:t xml:space="preserve"> </w:t>
      </w:r>
      <w:r>
        <w:t>collaboration</w:t>
      </w:r>
      <w:r>
        <w:rPr>
          <w:spacing w:val="-11"/>
        </w:rPr>
        <w:t xml:space="preserve"> </w:t>
      </w:r>
      <w:r>
        <w:t>from</w:t>
      </w:r>
      <w:r>
        <w:rPr>
          <w:spacing w:val="-11"/>
        </w:rPr>
        <w:t xml:space="preserve"> </w:t>
      </w:r>
      <w:r>
        <w:t>DHCD</w:t>
      </w:r>
      <w:r>
        <w:rPr>
          <w:spacing w:val="-11"/>
        </w:rPr>
        <w:t xml:space="preserve"> </w:t>
      </w:r>
      <w:r>
        <w:t>to</w:t>
      </w:r>
      <w:r>
        <w:rPr>
          <w:spacing w:val="-11"/>
        </w:rPr>
        <w:t xml:space="preserve"> </w:t>
      </w:r>
      <w:r>
        <w:t>address</w:t>
      </w:r>
      <w:r>
        <w:rPr>
          <w:spacing w:val="-12"/>
        </w:rPr>
        <w:t xml:space="preserve"> </w:t>
      </w:r>
      <w:r>
        <w:t>improving</w:t>
      </w:r>
      <w:r>
        <w:rPr>
          <w:spacing w:val="-13"/>
        </w:rPr>
        <w:t xml:space="preserve"> </w:t>
      </w:r>
      <w:r>
        <w:t>LGBTQ-affirming housing and shelter services across the Commonwealth. The Commission understands that DHCD is limited in its ability to address all aspects of the Commission’s recommendations over the years due to state and federal requirements.</w:t>
      </w:r>
    </w:p>
    <w:p w:rsidR="00200FDA" w:rsidRDefault="00200FDA">
      <w:pPr>
        <w:pStyle w:val="BodyText"/>
        <w:spacing w:before="6"/>
        <w:rPr>
          <w:sz w:val="19"/>
        </w:rPr>
      </w:pPr>
    </w:p>
    <w:p w:rsidR="00200FDA" w:rsidRDefault="00F76C4C">
      <w:pPr>
        <w:pStyle w:val="BodyText"/>
        <w:spacing w:before="1" w:line="276" w:lineRule="auto"/>
        <w:ind w:left="280" w:right="274"/>
        <w:jc w:val="both"/>
      </w:pPr>
      <w:r>
        <w:t xml:space="preserve">DHCD has </w:t>
      </w:r>
      <w:r>
        <w:t>made progress in a few areas since the Commission began issuing recommendations to its agency. In FY 2022, the Commission noted that DHCD’s Common Housing Application for Massachusetts Public</w:t>
      </w:r>
      <w:r>
        <w:rPr>
          <w:spacing w:val="-4"/>
        </w:rPr>
        <w:t xml:space="preserve"> </w:t>
      </w:r>
      <w:r>
        <w:t>Housing</w:t>
      </w:r>
      <w:r>
        <w:rPr>
          <w:spacing w:val="-5"/>
        </w:rPr>
        <w:t xml:space="preserve"> </w:t>
      </w:r>
      <w:r>
        <w:t>(CHAMP)</w:t>
      </w:r>
      <w:r>
        <w:rPr>
          <w:spacing w:val="-4"/>
        </w:rPr>
        <w:t xml:space="preserve"> </w:t>
      </w:r>
      <w:r>
        <w:t>is</w:t>
      </w:r>
      <w:r>
        <w:rPr>
          <w:spacing w:val="-7"/>
        </w:rPr>
        <w:t xml:space="preserve"> </w:t>
      </w:r>
      <w:r>
        <w:t>inclusive</w:t>
      </w:r>
      <w:r>
        <w:rPr>
          <w:spacing w:val="-4"/>
        </w:rPr>
        <w:t xml:space="preserve"> </w:t>
      </w:r>
      <w:r>
        <w:t>of</w:t>
      </w:r>
      <w:r>
        <w:rPr>
          <w:spacing w:val="-5"/>
        </w:rPr>
        <w:t xml:space="preserve"> </w:t>
      </w:r>
      <w:r>
        <w:t>transgender</w:t>
      </w:r>
      <w:r>
        <w:rPr>
          <w:spacing w:val="-4"/>
        </w:rPr>
        <w:t xml:space="preserve"> </w:t>
      </w:r>
      <w:r>
        <w:t>and</w:t>
      </w:r>
      <w:r>
        <w:rPr>
          <w:spacing w:val="-5"/>
        </w:rPr>
        <w:t xml:space="preserve"> </w:t>
      </w:r>
      <w:r>
        <w:t>nonbinary</w:t>
      </w:r>
      <w:r>
        <w:rPr>
          <w:spacing w:val="-4"/>
        </w:rPr>
        <w:t xml:space="preserve"> </w:t>
      </w:r>
      <w:r>
        <w:t>youth</w:t>
      </w:r>
      <w:r>
        <w:rPr>
          <w:spacing w:val="-5"/>
        </w:rPr>
        <w:t xml:space="preserve"> </w:t>
      </w:r>
      <w:r>
        <w:t>gender</w:t>
      </w:r>
      <w:r>
        <w:rPr>
          <w:spacing w:val="-7"/>
        </w:rPr>
        <w:t xml:space="preserve"> </w:t>
      </w:r>
      <w:r>
        <w:t>markers.</w:t>
      </w:r>
      <w:r>
        <w:rPr>
          <w:spacing w:val="-5"/>
        </w:rPr>
        <w:t xml:space="preserve"> </w:t>
      </w:r>
      <w:r>
        <w:t>Additionally,</w:t>
      </w:r>
      <w:r>
        <w:rPr>
          <w:spacing w:val="-4"/>
        </w:rPr>
        <w:t xml:space="preserve"> </w:t>
      </w:r>
      <w:r>
        <w:t>in FY</w:t>
      </w:r>
      <w:r>
        <w:rPr>
          <w:spacing w:val="-4"/>
        </w:rPr>
        <w:t xml:space="preserve"> </w:t>
      </w:r>
      <w:r>
        <w:t>2019,</w:t>
      </w:r>
      <w:r>
        <w:rPr>
          <w:spacing w:val="-7"/>
        </w:rPr>
        <w:t xml:space="preserve"> </w:t>
      </w:r>
      <w:r>
        <w:t>DHCD</w:t>
      </w:r>
      <w:r>
        <w:rPr>
          <w:spacing w:val="-6"/>
        </w:rPr>
        <w:t xml:space="preserve"> </w:t>
      </w:r>
      <w:r>
        <w:t>drafted</w:t>
      </w:r>
      <w:r>
        <w:rPr>
          <w:spacing w:val="-8"/>
        </w:rPr>
        <w:t xml:space="preserve"> </w:t>
      </w:r>
      <w:r>
        <w:t>shelter</w:t>
      </w:r>
      <w:r>
        <w:rPr>
          <w:spacing w:val="-4"/>
        </w:rPr>
        <w:t xml:space="preserve"> </w:t>
      </w:r>
      <w:r>
        <w:t>guidance</w:t>
      </w:r>
      <w:r>
        <w:rPr>
          <w:spacing w:val="-6"/>
        </w:rPr>
        <w:t xml:space="preserve"> </w:t>
      </w:r>
      <w:r>
        <w:t>to</w:t>
      </w:r>
      <w:r>
        <w:rPr>
          <w:spacing w:val="-6"/>
        </w:rPr>
        <w:t xml:space="preserve"> </w:t>
      </w:r>
      <w:r>
        <w:t>direct</w:t>
      </w:r>
      <w:r>
        <w:rPr>
          <w:spacing w:val="-4"/>
        </w:rPr>
        <w:t xml:space="preserve"> </w:t>
      </w:r>
      <w:r>
        <w:t>staff</w:t>
      </w:r>
      <w:r>
        <w:rPr>
          <w:spacing w:val="-7"/>
        </w:rPr>
        <w:t xml:space="preserve"> </w:t>
      </w:r>
      <w:r>
        <w:t>on</w:t>
      </w:r>
      <w:r>
        <w:rPr>
          <w:spacing w:val="-5"/>
        </w:rPr>
        <w:t xml:space="preserve"> </w:t>
      </w:r>
      <w:r>
        <w:t>best</w:t>
      </w:r>
      <w:r>
        <w:rPr>
          <w:spacing w:val="-6"/>
        </w:rPr>
        <w:t xml:space="preserve"> </w:t>
      </w:r>
      <w:r>
        <w:t>practices</w:t>
      </w:r>
      <w:r>
        <w:rPr>
          <w:spacing w:val="-7"/>
        </w:rPr>
        <w:t xml:space="preserve"> </w:t>
      </w:r>
      <w:r>
        <w:t>to</w:t>
      </w:r>
      <w:r>
        <w:rPr>
          <w:spacing w:val="-6"/>
        </w:rPr>
        <w:t xml:space="preserve"> </w:t>
      </w:r>
      <w:r>
        <w:t>affirm</w:t>
      </w:r>
      <w:r>
        <w:rPr>
          <w:spacing w:val="-8"/>
        </w:rPr>
        <w:t xml:space="preserve"> </w:t>
      </w:r>
      <w:r>
        <w:t>transgender</w:t>
      </w:r>
      <w:r>
        <w:rPr>
          <w:spacing w:val="-7"/>
        </w:rPr>
        <w:t xml:space="preserve"> </w:t>
      </w:r>
      <w:r>
        <w:t>and</w:t>
      </w:r>
      <w:r>
        <w:rPr>
          <w:spacing w:val="-5"/>
        </w:rPr>
        <w:t xml:space="preserve"> </w:t>
      </w:r>
      <w:r>
        <w:t>LGBTQ youth clients, as well as has been engaged with shelters on how to improve privacy and safety practices for youth.</w:t>
      </w:r>
    </w:p>
    <w:p w:rsidR="00200FDA" w:rsidRDefault="00200FDA">
      <w:pPr>
        <w:pStyle w:val="BodyText"/>
        <w:spacing w:before="7"/>
        <w:rPr>
          <w:sz w:val="19"/>
        </w:rPr>
      </w:pPr>
    </w:p>
    <w:p w:rsidR="00200FDA" w:rsidRDefault="00F76C4C">
      <w:pPr>
        <w:pStyle w:val="BodyText"/>
        <w:spacing w:line="276" w:lineRule="auto"/>
        <w:ind w:left="280" w:right="274"/>
        <w:jc w:val="both"/>
      </w:pPr>
      <w:r>
        <w:t>DH</w:t>
      </w:r>
      <w:r>
        <w:t>CD</w:t>
      </w:r>
      <w:r>
        <w:rPr>
          <w:spacing w:val="-3"/>
        </w:rPr>
        <w:t xml:space="preserve"> </w:t>
      </w:r>
      <w:r>
        <w:t>has</w:t>
      </w:r>
      <w:r>
        <w:rPr>
          <w:spacing w:val="-7"/>
        </w:rPr>
        <w:t xml:space="preserve"> </w:t>
      </w:r>
      <w:r>
        <w:t>noted</w:t>
      </w:r>
      <w:r>
        <w:rPr>
          <w:spacing w:val="-5"/>
        </w:rPr>
        <w:t xml:space="preserve"> </w:t>
      </w:r>
      <w:r>
        <w:t>that</w:t>
      </w:r>
      <w:r>
        <w:rPr>
          <w:spacing w:val="-4"/>
        </w:rPr>
        <w:t xml:space="preserve"> </w:t>
      </w:r>
      <w:r>
        <w:t>its</w:t>
      </w:r>
      <w:r>
        <w:rPr>
          <w:spacing w:val="-4"/>
        </w:rPr>
        <w:t xml:space="preserve"> </w:t>
      </w:r>
      <w:r>
        <w:t>current</w:t>
      </w:r>
      <w:r>
        <w:rPr>
          <w:spacing w:val="-4"/>
        </w:rPr>
        <w:t xml:space="preserve"> </w:t>
      </w:r>
      <w:r>
        <w:t>data</w:t>
      </w:r>
      <w:r>
        <w:rPr>
          <w:spacing w:val="-5"/>
        </w:rPr>
        <w:t xml:space="preserve"> </w:t>
      </w:r>
      <w:r>
        <w:t>collection</w:t>
      </w:r>
      <w:r>
        <w:rPr>
          <w:spacing w:val="-5"/>
        </w:rPr>
        <w:t xml:space="preserve"> </w:t>
      </w:r>
      <w:r>
        <w:t>is</w:t>
      </w:r>
      <w:r>
        <w:rPr>
          <w:spacing w:val="-4"/>
        </w:rPr>
        <w:t xml:space="preserve"> </w:t>
      </w:r>
      <w:r>
        <w:t>driven</w:t>
      </w:r>
      <w:r>
        <w:rPr>
          <w:spacing w:val="-5"/>
        </w:rPr>
        <w:t xml:space="preserve"> </w:t>
      </w:r>
      <w:r>
        <w:t>by</w:t>
      </w:r>
      <w:r>
        <w:rPr>
          <w:spacing w:val="-3"/>
        </w:rPr>
        <w:t xml:space="preserve"> </w:t>
      </w:r>
      <w:r>
        <w:t>two</w:t>
      </w:r>
      <w:r>
        <w:rPr>
          <w:spacing w:val="-5"/>
        </w:rPr>
        <w:t xml:space="preserve"> </w:t>
      </w:r>
      <w:r>
        <w:t>external</w:t>
      </w:r>
      <w:r>
        <w:rPr>
          <w:spacing w:val="-5"/>
        </w:rPr>
        <w:t xml:space="preserve"> </w:t>
      </w:r>
      <w:r>
        <w:t>forces</w:t>
      </w:r>
      <w:r>
        <w:rPr>
          <w:spacing w:val="-7"/>
        </w:rPr>
        <w:t xml:space="preserve"> </w:t>
      </w:r>
      <w:r>
        <w:t>-</w:t>
      </w:r>
      <w:r>
        <w:rPr>
          <w:spacing w:val="-6"/>
        </w:rPr>
        <w:t xml:space="preserve"> </w:t>
      </w:r>
      <w:r>
        <w:t>the</w:t>
      </w:r>
      <w:r>
        <w:rPr>
          <w:spacing w:val="-4"/>
        </w:rPr>
        <w:t xml:space="preserve"> </w:t>
      </w:r>
      <w:r>
        <w:t>state</w:t>
      </w:r>
      <w:r>
        <w:rPr>
          <w:spacing w:val="-4"/>
        </w:rPr>
        <w:t xml:space="preserve"> </w:t>
      </w:r>
      <w:r>
        <w:t>legislature</w:t>
      </w:r>
      <w:r>
        <w:rPr>
          <w:spacing w:val="-4"/>
        </w:rPr>
        <w:t xml:space="preserve"> </w:t>
      </w:r>
      <w:r>
        <w:t>and the Department of Housing and Urban Development (HUD) requirements. In FY 2022, HUD’s Homeless Management Information System (HMIS) standards were revised to ensure that questions regarding gender</w:t>
      </w:r>
      <w:r>
        <w:rPr>
          <w:spacing w:val="-13"/>
        </w:rPr>
        <w:t xml:space="preserve"> </w:t>
      </w:r>
      <w:r>
        <w:t>were</w:t>
      </w:r>
      <w:r>
        <w:rPr>
          <w:spacing w:val="-12"/>
        </w:rPr>
        <w:t xml:space="preserve"> </w:t>
      </w:r>
      <w:r>
        <w:t>not</w:t>
      </w:r>
      <w:r>
        <w:rPr>
          <w:spacing w:val="-13"/>
        </w:rPr>
        <w:t xml:space="preserve"> </w:t>
      </w:r>
      <w:r>
        <w:t>binary</w:t>
      </w:r>
      <w:r>
        <w:rPr>
          <w:spacing w:val="-12"/>
        </w:rPr>
        <w:t xml:space="preserve"> </w:t>
      </w:r>
      <w:r>
        <w:t>and</w:t>
      </w:r>
      <w:r>
        <w:rPr>
          <w:spacing w:val="-13"/>
        </w:rPr>
        <w:t xml:space="preserve"> </w:t>
      </w:r>
      <w:r>
        <w:t>provided</w:t>
      </w:r>
      <w:r>
        <w:rPr>
          <w:spacing w:val="-12"/>
        </w:rPr>
        <w:t xml:space="preserve"> </w:t>
      </w:r>
      <w:r>
        <w:t>a</w:t>
      </w:r>
      <w:r>
        <w:rPr>
          <w:spacing w:val="-13"/>
        </w:rPr>
        <w:t xml:space="preserve"> </w:t>
      </w:r>
      <w:r>
        <w:t>drop-down</w:t>
      </w:r>
      <w:r>
        <w:rPr>
          <w:spacing w:val="-12"/>
        </w:rPr>
        <w:t xml:space="preserve"> </w:t>
      </w:r>
      <w:r>
        <w:t>list</w:t>
      </w:r>
      <w:r>
        <w:rPr>
          <w:spacing w:val="-12"/>
        </w:rPr>
        <w:t xml:space="preserve"> </w:t>
      </w:r>
      <w:r>
        <w:t>for</w:t>
      </w:r>
      <w:r>
        <w:rPr>
          <w:spacing w:val="-13"/>
        </w:rPr>
        <w:t xml:space="preserve"> </w:t>
      </w:r>
      <w:r>
        <w:t>indiv</w:t>
      </w:r>
      <w:r>
        <w:t>iduals</w:t>
      </w:r>
      <w:r>
        <w:rPr>
          <w:spacing w:val="-12"/>
        </w:rPr>
        <w:t xml:space="preserve"> </w:t>
      </w:r>
      <w:r>
        <w:t>to</w:t>
      </w:r>
      <w:r>
        <w:rPr>
          <w:spacing w:val="-13"/>
        </w:rPr>
        <w:t xml:space="preserve"> </w:t>
      </w:r>
      <w:r>
        <w:t>choose</w:t>
      </w:r>
      <w:r>
        <w:rPr>
          <w:spacing w:val="-12"/>
        </w:rPr>
        <w:t xml:space="preserve"> </w:t>
      </w:r>
      <w:r>
        <w:t>from;</w:t>
      </w:r>
      <w:r>
        <w:rPr>
          <w:spacing w:val="-13"/>
        </w:rPr>
        <w:t xml:space="preserve"> </w:t>
      </w:r>
      <w:r>
        <w:t>shelters</w:t>
      </w:r>
      <w:r>
        <w:rPr>
          <w:spacing w:val="-12"/>
        </w:rPr>
        <w:t xml:space="preserve"> </w:t>
      </w:r>
      <w:r>
        <w:t>are</w:t>
      </w:r>
      <w:r>
        <w:rPr>
          <w:spacing w:val="-12"/>
        </w:rPr>
        <w:t xml:space="preserve"> </w:t>
      </w:r>
      <w:r>
        <w:t>required to use HMIS, meaning that DHCD is not able to address individual shelter data collection practices.</w:t>
      </w:r>
    </w:p>
    <w:p w:rsidR="00200FDA" w:rsidRDefault="00200FDA">
      <w:pPr>
        <w:pStyle w:val="BodyText"/>
      </w:pPr>
    </w:p>
    <w:p w:rsidR="00200FDA" w:rsidRDefault="00F76C4C">
      <w:pPr>
        <w:pStyle w:val="Heading7"/>
        <w:spacing w:before="135"/>
        <w:jc w:val="both"/>
      </w:pPr>
      <w:r>
        <w:pict>
          <v:rect id="docshape633" o:spid="_x0000_s1034" style="position:absolute;left:0;text-align:left;margin-left:70.55pt;margin-top:24.75pt;width:470.9pt;height:.5pt;z-index:-15593984;mso-wrap-distance-left:0;mso-wrap-distance-right:0;mso-position-horizontal-relative:page" fillcolor="#4f81bc" stroked="f">
            <w10:wrap type="topAndBottom" anchorx="page"/>
          </v:rect>
        </w:pict>
      </w:r>
      <w:bookmarkStart w:id="1187" w:name="FY_2024_Expanded_DHCD_Recommendations"/>
      <w:bookmarkEnd w:id="1187"/>
      <w:r>
        <w:rPr>
          <w:color w:val="365F91"/>
        </w:rPr>
        <w:t>FY</w:t>
      </w:r>
      <w:r>
        <w:rPr>
          <w:color w:val="365F91"/>
          <w:spacing w:val="-4"/>
        </w:rPr>
        <w:t xml:space="preserve"> </w:t>
      </w:r>
      <w:r>
        <w:rPr>
          <w:color w:val="365F91"/>
        </w:rPr>
        <w:t>2024</w:t>
      </w:r>
      <w:r>
        <w:rPr>
          <w:color w:val="365F91"/>
          <w:spacing w:val="-5"/>
        </w:rPr>
        <w:t xml:space="preserve"> </w:t>
      </w:r>
      <w:r>
        <w:rPr>
          <w:color w:val="365F91"/>
        </w:rPr>
        <w:t>Expanded</w:t>
      </w:r>
      <w:r>
        <w:rPr>
          <w:color w:val="365F91"/>
          <w:spacing w:val="-2"/>
        </w:rPr>
        <w:t xml:space="preserve"> </w:t>
      </w:r>
      <w:r>
        <w:rPr>
          <w:color w:val="365F91"/>
        </w:rPr>
        <w:t>DHCD</w:t>
      </w:r>
      <w:r>
        <w:rPr>
          <w:color w:val="365F91"/>
          <w:spacing w:val="-3"/>
        </w:rPr>
        <w:t xml:space="preserve"> </w:t>
      </w:r>
      <w:r>
        <w:rPr>
          <w:color w:val="365F91"/>
          <w:spacing w:val="-2"/>
        </w:rPr>
        <w:t>Recommendations</w:t>
      </w:r>
    </w:p>
    <w:p w:rsidR="00200FDA" w:rsidRDefault="00200FDA">
      <w:pPr>
        <w:pStyle w:val="BodyText"/>
        <w:rPr>
          <w:sz w:val="20"/>
        </w:rPr>
      </w:pPr>
    </w:p>
    <w:p w:rsidR="00200FDA" w:rsidRDefault="00200FDA">
      <w:pPr>
        <w:pStyle w:val="BodyText"/>
        <w:spacing w:before="4"/>
        <w:rPr>
          <w:sz w:val="20"/>
        </w:rPr>
      </w:pPr>
    </w:p>
    <w:p w:rsidR="00200FDA" w:rsidRDefault="00F76C4C">
      <w:pPr>
        <w:pStyle w:val="Heading9"/>
        <w:numPr>
          <w:ilvl w:val="0"/>
          <w:numId w:val="3"/>
        </w:numPr>
        <w:tabs>
          <w:tab w:val="left" w:pos="501"/>
        </w:tabs>
        <w:spacing w:before="56"/>
      </w:pPr>
      <w:r>
        <w:t>Develop</w:t>
      </w:r>
      <w:r>
        <w:rPr>
          <w:spacing w:val="-9"/>
        </w:rPr>
        <w:t xml:space="preserve"> </w:t>
      </w:r>
      <w:r>
        <w:t>and</w:t>
      </w:r>
      <w:r>
        <w:rPr>
          <w:spacing w:val="-6"/>
        </w:rPr>
        <w:t xml:space="preserve"> </w:t>
      </w:r>
      <w:r>
        <w:t>implement</w:t>
      </w:r>
      <w:r>
        <w:rPr>
          <w:spacing w:val="-7"/>
        </w:rPr>
        <w:t xml:space="preserve"> </w:t>
      </w:r>
      <w:r>
        <w:t>an</w:t>
      </w:r>
      <w:r>
        <w:rPr>
          <w:spacing w:val="-6"/>
        </w:rPr>
        <w:t xml:space="preserve"> </w:t>
      </w:r>
      <w:r>
        <w:t>agency-wide</w:t>
      </w:r>
      <w:r>
        <w:rPr>
          <w:spacing w:val="-5"/>
        </w:rPr>
        <w:t xml:space="preserve"> </w:t>
      </w:r>
      <w:r>
        <w:t>nondiscrimination</w:t>
      </w:r>
      <w:r>
        <w:rPr>
          <w:spacing w:val="-6"/>
        </w:rPr>
        <w:t xml:space="preserve"> </w:t>
      </w:r>
      <w:r>
        <w:rPr>
          <w:spacing w:val="-2"/>
        </w:rPr>
        <w:t>policy.</w:t>
      </w:r>
    </w:p>
    <w:p w:rsidR="00200FDA" w:rsidRDefault="00200FDA">
      <w:pPr>
        <w:pStyle w:val="BodyText"/>
        <w:rPr>
          <w:b/>
          <w:sz w:val="23"/>
        </w:rPr>
      </w:pPr>
    </w:p>
    <w:p w:rsidR="00200FDA" w:rsidRDefault="00F76C4C">
      <w:pPr>
        <w:pStyle w:val="BodyText"/>
        <w:spacing w:before="1" w:line="276" w:lineRule="auto"/>
        <w:ind w:left="279" w:right="276"/>
        <w:jc w:val="both"/>
      </w:pPr>
      <w:r>
        <w:t>The Commission continues to recommend that DHCD finalize and implement an agency-wide nondiscrimination policy</w:t>
      </w:r>
      <w:r>
        <w:rPr>
          <w:spacing w:val="-1"/>
        </w:rPr>
        <w:t xml:space="preserve"> </w:t>
      </w:r>
      <w:r>
        <w:t>to incorporate gender identity and LGBTQ-affirming language. The Commission understands that DHCD has been engaged in the development of this pol</w:t>
      </w:r>
      <w:r>
        <w:t>icy for a couple of years, and looks forward to continuing conversations around implementation.</w:t>
      </w:r>
    </w:p>
    <w:p w:rsidR="00200FDA" w:rsidRDefault="00200FDA">
      <w:pPr>
        <w:pStyle w:val="BodyText"/>
        <w:spacing w:before="5"/>
        <w:rPr>
          <w:sz w:val="19"/>
        </w:rPr>
      </w:pPr>
    </w:p>
    <w:p w:rsidR="00200FDA" w:rsidRDefault="00F76C4C">
      <w:pPr>
        <w:pStyle w:val="Heading9"/>
        <w:numPr>
          <w:ilvl w:val="0"/>
          <w:numId w:val="3"/>
        </w:numPr>
        <w:tabs>
          <w:tab w:val="left" w:pos="501"/>
        </w:tabs>
        <w:spacing w:before="1"/>
        <w:ind w:hanging="222"/>
      </w:pPr>
      <w:r>
        <w:t>Continue</w:t>
      </w:r>
      <w:r>
        <w:rPr>
          <w:spacing w:val="-6"/>
        </w:rPr>
        <w:t xml:space="preserve"> </w:t>
      </w:r>
      <w:r>
        <w:t>to</w:t>
      </w:r>
      <w:r>
        <w:rPr>
          <w:spacing w:val="-5"/>
        </w:rPr>
        <w:t xml:space="preserve"> </w:t>
      </w:r>
      <w:r>
        <w:t>explore</w:t>
      </w:r>
      <w:r>
        <w:rPr>
          <w:spacing w:val="-4"/>
        </w:rPr>
        <w:t xml:space="preserve"> </w:t>
      </w:r>
      <w:r>
        <w:t>areas</w:t>
      </w:r>
      <w:r>
        <w:rPr>
          <w:spacing w:val="-3"/>
        </w:rPr>
        <w:t xml:space="preserve"> </w:t>
      </w:r>
      <w:r>
        <w:t>to</w:t>
      </w:r>
      <w:r>
        <w:rPr>
          <w:spacing w:val="-5"/>
        </w:rPr>
        <w:t xml:space="preserve"> </w:t>
      </w:r>
      <w:r>
        <w:t>improve</w:t>
      </w:r>
      <w:r>
        <w:rPr>
          <w:spacing w:val="-4"/>
        </w:rPr>
        <w:t xml:space="preserve"> </w:t>
      </w:r>
      <w:r>
        <w:t>SOGIE</w:t>
      </w:r>
      <w:r>
        <w:rPr>
          <w:spacing w:val="-6"/>
        </w:rPr>
        <w:t xml:space="preserve"> </w:t>
      </w:r>
      <w:r>
        <w:t>data</w:t>
      </w:r>
      <w:r>
        <w:rPr>
          <w:spacing w:val="-4"/>
        </w:rPr>
        <w:t xml:space="preserve"> </w:t>
      </w:r>
      <w:r>
        <w:t>collection</w:t>
      </w:r>
      <w:r>
        <w:rPr>
          <w:spacing w:val="-5"/>
        </w:rPr>
        <w:t xml:space="preserve"> </w:t>
      </w:r>
      <w:r>
        <w:t>and</w:t>
      </w:r>
      <w:r>
        <w:rPr>
          <w:spacing w:val="-5"/>
        </w:rPr>
        <w:t xml:space="preserve"> </w:t>
      </w:r>
      <w:r>
        <w:t>intake</w:t>
      </w:r>
      <w:r>
        <w:rPr>
          <w:spacing w:val="-4"/>
        </w:rPr>
        <w:t xml:space="preserve"> </w:t>
      </w:r>
      <w:r>
        <w:t>for</w:t>
      </w:r>
      <w:r>
        <w:rPr>
          <w:spacing w:val="-3"/>
        </w:rPr>
        <w:t xml:space="preserve"> </w:t>
      </w:r>
      <w:r>
        <w:t>LGBTQ</w:t>
      </w:r>
      <w:r>
        <w:rPr>
          <w:spacing w:val="-5"/>
        </w:rPr>
        <w:t xml:space="preserve"> </w:t>
      </w:r>
      <w:r>
        <w:rPr>
          <w:spacing w:val="-2"/>
        </w:rPr>
        <w:t>youth.</w:t>
      </w:r>
    </w:p>
    <w:p w:rsidR="00200FDA" w:rsidRDefault="00200FDA">
      <w:pPr>
        <w:pStyle w:val="BodyText"/>
        <w:rPr>
          <w:b/>
          <w:sz w:val="23"/>
        </w:rPr>
      </w:pPr>
    </w:p>
    <w:p w:rsidR="00200FDA" w:rsidRDefault="00F76C4C">
      <w:pPr>
        <w:pStyle w:val="BodyText"/>
        <w:spacing w:line="276" w:lineRule="auto"/>
        <w:ind w:left="279" w:right="277"/>
        <w:jc w:val="both"/>
      </w:pPr>
      <w:r>
        <w:t>The Commission recommends that DHCD continue to explore areas of data collection to capture information on gender identity of youth using DHCD-funded services consistent with applicable HUD requirements, while also ensuring the protection and understanding</w:t>
      </w:r>
      <w:r>
        <w:t xml:space="preserve"> of privacy. Furthermore, the Commission recommends that DHCD continues to review its current SOGIE data collection standards to meet best practices, and allow individuals to self-attest where applicable.</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Heading9"/>
        <w:numPr>
          <w:ilvl w:val="0"/>
          <w:numId w:val="3"/>
        </w:numPr>
        <w:tabs>
          <w:tab w:val="left" w:pos="501"/>
        </w:tabs>
        <w:spacing w:before="56"/>
        <w:jc w:val="both"/>
      </w:pPr>
      <w:r>
        <w:t>Review</w:t>
      </w:r>
      <w:r>
        <w:rPr>
          <w:spacing w:val="-7"/>
        </w:rPr>
        <w:t xml:space="preserve"> </w:t>
      </w:r>
      <w:r>
        <w:t>guidance</w:t>
      </w:r>
      <w:r>
        <w:rPr>
          <w:spacing w:val="-7"/>
        </w:rPr>
        <w:t xml:space="preserve"> </w:t>
      </w:r>
      <w:r>
        <w:t>to</w:t>
      </w:r>
      <w:r>
        <w:rPr>
          <w:spacing w:val="-4"/>
        </w:rPr>
        <w:t xml:space="preserve"> </w:t>
      </w:r>
      <w:r>
        <w:t>all</w:t>
      </w:r>
      <w:r>
        <w:rPr>
          <w:spacing w:val="-8"/>
        </w:rPr>
        <w:t xml:space="preserve"> </w:t>
      </w:r>
      <w:r>
        <w:t>Massachusetts</w:t>
      </w:r>
      <w:r>
        <w:rPr>
          <w:spacing w:val="-3"/>
        </w:rPr>
        <w:t xml:space="preserve"> </w:t>
      </w:r>
      <w:r>
        <w:t>shelters</w:t>
      </w:r>
      <w:r>
        <w:rPr>
          <w:spacing w:val="-5"/>
        </w:rPr>
        <w:t xml:space="preserve"> </w:t>
      </w:r>
      <w:r>
        <w:t>on</w:t>
      </w:r>
      <w:r>
        <w:rPr>
          <w:spacing w:val="-5"/>
        </w:rPr>
        <w:t xml:space="preserve"> </w:t>
      </w:r>
      <w:r>
        <w:t>best</w:t>
      </w:r>
      <w:r>
        <w:rPr>
          <w:spacing w:val="-4"/>
        </w:rPr>
        <w:t xml:space="preserve"> </w:t>
      </w:r>
      <w:r>
        <w:t>practices</w:t>
      </w:r>
      <w:r>
        <w:rPr>
          <w:spacing w:val="-3"/>
        </w:rPr>
        <w:t xml:space="preserve"> </w:t>
      </w:r>
      <w:r>
        <w:t>for</w:t>
      </w:r>
      <w:r>
        <w:rPr>
          <w:spacing w:val="-5"/>
        </w:rPr>
        <w:t xml:space="preserve"> </w:t>
      </w:r>
      <w:r>
        <w:t>LGBTQ</w:t>
      </w:r>
      <w:r>
        <w:rPr>
          <w:spacing w:val="-6"/>
        </w:rPr>
        <w:t xml:space="preserve"> </w:t>
      </w:r>
      <w:r>
        <w:t>youth</w:t>
      </w:r>
      <w:r>
        <w:rPr>
          <w:spacing w:val="-5"/>
        </w:rPr>
        <w:t xml:space="preserve"> </w:t>
      </w:r>
      <w:r>
        <w:t>seeking</w:t>
      </w:r>
      <w:r>
        <w:rPr>
          <w:spacing w:val="-2"/>
        </w:rPr>
        <w:t xml:space="preserve"> shelter.</w:t>
      </w:r>
    </w:p>
    <w:p w:rsidR="00200FDA" w:rsidRDefault="00200FDA">
      <w:pPr>
        <w:pStyle w:val="BodyText"/>
        <w:rPr>
          <w:b/>
          <w:sz w:val="23"/>
        </w:rPr>
      </w:pPr>
    </w:p>
    <w:p w:rsidR="00200FDA" w:rsidRDefault="00F76C4C">
      <w:pPr>
        <w:pStyle w:val="BodyText"/>
        <w:spacing w:line="276" w:lineRule="auto"/>
        <w:ind w:left="279" w:right="274"/>
        <w:jc w:val="both"/>
      </w:pPr>
      <w:r>
        <w:t>As DHCD elevates to a secretariat-level agency, the Commission recommends that DHCD review its policies and guidance relevant to LGBTQ youth seeking shelter in DHCD-funded services to ensure tha</w:t>
      </w:r>
      <w:r>
        <w:t>t policies</w:t>
      </w:r>
      <w:r>
        <w:rPr>
          <w:spacing w:val="-7"/>
        </w:rPr>
        <w:t xml:space="preserve"> </w:t>
      </w:r>
      <w:r>
        <w:t>are</w:t>
      </w:r>
      <w:r>
        <w:rPr>
          <w:spacing w:val="-6"/>
        </w:rPr>
        <w:t xml:space="preserve"> </w:t>
      </w:r>
      <w:r>
        <w:t>up-to-date</w:t>
      </w:r>
      <w:r>
        <w:rPr>
          <w:spacing w:val="-4"/>
        </w:rPr>
        <w:t xml:space="preserve"> </w:t>
      </w:r>
      <w:r>
        <w:t>and</w:t>
      </w:r>
      <w:r>
        <w:rPr>
          <w:spacing w:val="-10"/>
        </w:rPr>
        <w:t xml:space="preserve"> </w:t>
      </w:r>
      <w:r>
        <w:t>follow</w:t>
      </w:r>
      <w:r>
        <w:rPr>
          <w:spacing w:val="-4"/>
        </w:rPr>
        <w:t xml:space="preserve"> </w:t>
      </w:r>
      <w:r>
        <w:t>best</w:t>
      </w:r>
      <w:r>
        <w:rPr>
          <w:spacing w:val="-4"/>
        </w:rPr>
        <w:t xml:space="preserve"> </w:t>
      </w:r>
      <w:r>
        <w:t>practices.</w:t>
      </w:r>
      <w:r>
        <w:rPr>
          <w:spacing w:val="-7"/>
        </w:rPr>
        <w:t xml:space="preserve"> </w:t>
      </w:r>
      <w:r>
        <w:t>DHCD</w:t>
      </w:r>
      <w:r>
        <w:rPr>
          <w:spacing w:val="-3"/>
        </w:rPr>
        <w:t xml:space="preserve"> </w:t>
      </w:r>
      <w:r>
        <w:t>has</w:t>
      </w:r>
      <w:r>
        <w:rPr>
          <w:spacing w:val="-7"/>
        </w:rPr>
        <w:t xml:space="preserve"> </w:t>
      </w:r>
      <w:r>
        <w:t>noted</w:t>
      </w:r>
      <w:r>
        <w:rPr>
          <w:spacing w:val="-7"/>
        </w:rPr>
        <w:t xml:space="preserve"> </w:t>
      </w:r>
      <w:r>
        <w:t>to</w:t>
      </w:r>
      <w:r>
        <w:rPr>
          <w:spacing w:val="-5"/>
        </w:rPr>
        <w:t xml:space="preserve"> </w:t>
      </w:r>
      <w:r>
        <w:t>the</w:t>
      </w:r>
      <w:r>
        <w:rPr>
          <w:spacing w:val="-6"/>
        </w:rPr>
        <w:t xml:space="preserve"> </w:t>
      </w:r>
      <w:r>
        <w:t>Commission</w:t>
      </w:r>
      <w:r>
        <w:rPr>
          <w:spacing w:val="-5"/>
        </w:rPr>
        <w:t xml:space="preserve"> </w:t>
      </w:r>
      <w:r>
        <w:t>the</w:t>
      </w:r>
      <w:r>
        <w:rPr>
          <w:spacing w:val="-4"/>
        </w:rPr>
        <w:t xml:space="preserve"> </w:t>
      </w:r>
      <w:r>
        <w:t>need</w:t>
      </w:r>
      <w:r>
        <w:rPr>
          <w:spacing w:val="-5"/>
        </w:rPr>
        <w:t xml:space="preserve"> </w:t>
      </w:r>
      <w:r>
        <w:t>to</w:t>
      </w:r>
      <w:r>
        <w:rPr>
          <w:spacing w:val="-6"/>
        </w:rPr>
        <w:t xml:space="preserve"> </w:t>
      </w:r>
      <w:r>
        <w:t>explore additional resources provided by HUD and alternative sources, which the Commission looks forward to working on in FY 2024.</w:t>
      </w:r>
    </w:p>
    <w:p w:rsidR="00200FDA" w:rsidRDefault="00200FDA">
      <w:pPr>
        <w:pStyle w:val="BodyText"/>
        <w:spacing w:before="7"/>
        <w:rPr>
          <w:sz w:val="19"/>
        </w:rPr>
      </w:pPr>
    </w:p>
    <w:p w:rsidR="00200FDA" w:rsidRDefault="00F76C4C">
      <w:pPr>
        <w:pStyle w:val="Heading9"/>
        <w:numPr>
          <w:ilvl w:val="0"/>
          <w:numId w:val="3"/>
        </w:numPr>
        <w:tabs>
          <w:tab w:val="left" w:pos="513"/>
        </w:tabs>
        <w:spacing w:line="276" w:lineRule="auto"/>
        <w:ind w:left="279" w:right="271" w:firstLine="0"/>
        <w:jc w:val="both"/>
      </w:pPr>
      <w:r>
        <w:t>Continue to work with the Interagency Council on Housing and Homelessness and the Commission on</w:t>
      </w:r>
      <w:r>
        <w:rPr>
          <w:spacing w:val="-3"/>
        </w:rPr>
        <w:t xml:space="preserve"> </w:t>
      </w:r>
      <w:r>
        <w:t>Unaccompanied</w:t>
      </w:r>
      <w:r>
        <w:rPr>
          <w:spacing w:val="-5"/>
        </w:rPr>
        <w:t xml:space="preserve"> </w:t>
      </w:r>
      <w:r>
        <w:t>Homeless</w:t>
      </w:r>
      <w:r>
        <w:rPr>
          <w:spacing w:val="-4"/>
        </w:rPr>
        <w:t xml:space="preserve"> </w:t>
      </w:r>
      <w:r>
        <w:t>Youth</w:t>
      </w:r>
      <w:r>
        <w:rPr>
          <w:spacing w:val="-3"/>
        </w:rPr>
        <w:t xml:space="preserve"> </w:t>
      </w:r>
      <w:r>
        <w:t>to</w:t>
      </w:r>
      <w:r>
        <w:rPr>
          <w:spacing w:val="-5"/>
        </w:rPr>
        <w:t xml:space="preserve"> </w:t>
      </w:r>
      <w:r>
        <w:t>ensure</w:t>
      </w:r>
      <w:r>
        <w:rPr>
          <w:spacing w:val="-5"/>
        </w:rPr>
        <w:t xml:space="preserve"> </w:t>
      </w:r>
      <w:r>
        <w:t>that</w:t>
      </w:r>
      <w:r>
        <w:rPr>
          <w:spacing w:val="-4"/>
        </w:rPr>
        <w:t xml:space="preserve"> </w:t>
      </w:r>
      <w:r>
        <w:t>LGBTQ</w:t>
      </w:r>
      <w:r>
        <w:rPr>
          <w:spacing w:val="-5"/>
        </w:rPr>
        <w:t xml:space="preserve"> </w:t>
      </w:r>
      <w:r>
        <w:t>youth</w:t>
      </w:r>
      <w:r>
        <w:rPr>
          <w:spacing w:val="-5"/>
        </w:rPr>
        <w:t xml:space="preserve"> </w:t>
      </w:r>
      <w:r>
        <w:t>needs</w:t>
      </w:r>
      <w:r>
        <w:rPr>
          <w:spacing w:val="-1"/>
        </w:rPr>
        <w:t xml:space="preserve"> </w:t>
      </w:r>
      <w:r>
        <w:t>are</w:t>
      </w:r>
      <w:r>
        <w:rPr>
          <w:spacing w:val="-5"/>
        </w:rPr>
        <w:t xml:space="preserve"> </w:t>
      </w:r>
      <w:r>
        <w:t>met</w:t>
      </w:r>
      <w:r>
        <w:rPr>
          <w:spacing w:val="-2"/>
        </w:rPr>
        <w:t xml:space="preserve"> </w:t>
      </w:r>
      <w:r>
        <w:t>in</w:t>
      </w:r>
      <w:r>
        <w:rPr>
          <w:spacing w:val="-5"/>
        </w:rPr>
        <w:t xml:space="preserve"> </w:t>
      </w:r>
      <w:r>
        <w:t>the</w:t>
      </w:r>
      <w:r>
        <w:rPr>
          <w:spacing w:val="-5"/>
        </w:rPr>
        <w:t xml:space="preserve"> </w:t>
      </w:r>
      <w:r>
        <w:t>areas</w:t>
      </w:r>
      <w:r>
        <w:rPr>
          <w:spacing w:val="-4"/>
        </w:rPr>
        <w:t xml:space="preserve"> </w:t>
      </w:r>
      <w:r>
        <w:t>of</w:t>
      </w:r>
      <w:r>
        <w:rPr>
          <w:spacing w:val="-2"/>
        </w:rPr>
        <w:t xml:space="preserve"> </w:t>
      </w:r>
      <w:r>
        <w:t xml:space="preserve">housing </w:t>
      </w:r>
      <w:r>
        <w:rPr>
          <w:spacing w:val="-2"/>
        </w:rPr>
        <w:t>access.</w:t>
      </w:r>
    </w:p>
    <w:p w:rsidR="00200FDA" w:rsidRDefault="00200FDA">
      <w:pPr>
        <w:pStyle w:val="BodyText"/>
        <w:spacing w:before="8"/>
        <w:rPr>
          <w:b/>
          <w:sz w:val="19"/>
        </w:rPr>
      </w:pPr>
    </w:p>
    <w:p w:rsidR="00200FDA" w:rsidRDefault="00F76C4C">
      <w:pPr>
        <w:pStyle w:val="BodyText"/>
        <w:spacing w:line="276" w:lineRule="auto"/>
        <w:ind w:left="279" w:right="275"/>
        <w:jc w:val="both"/>
      </w:pPr>
      <w:r>
        <w:t xml:space="preserve">The Commission looks forward to working with DHCD, ICHH, </w:t>
      </w:r>
      <w:r>
        <w:t>and UHYC to further expand efforts to support affordable housing and safe shelters for LGBTQ youth in Massachusetts, and ensuring that the State</w:t>
      </w:r>
      <w:r>
        <w:rPr>
          <w:spacing w:val="-9"/>
        </w:rPr>
        <w:t xml:space="preserve"> </w:t>
      </w:r>
      <w:r>
        <w:t>is</w:t>
      </w:r>
      <w:r>
        <w:rPr>
          <w:spacing w:val="-12"/>
        </w:rPr>
        <w:t xml:space="preserve"> </w:t>
      </w:r>
      <w:r>
        <w:t>appropriately</w:t>
      </w:r>
      <w:r>
        <w:rPr>
          <w:spacing w:val="-11"/>
        </w:rPr>
        <w:t xml:space="preserve"> </w:t>
      </w:r>
      <w:r>
        <w:t>serving</w:t>
      </w:r>
      <w:r>
        <w:rPr>
          <w:spacing w:val="-11"/>
        </w:rPr>
        <w:t xml:space="preserve"> </w:t>
      </w:r>
      <w:r>
        <w:t>these</w:t>
      </w:r>
      <w:r>
        <w:rPr>
          <w:spacing w:val="-12"/>
        </w:rPr>
        <w:t xml:space="preserve"> </w:t>
      </w:r>
      <w:r>
        <w:t>youth.</w:t>
      </w:r>
      <w:r>
        <w:rPr>
          <w:spacing w:val="-10"/>
        </w:rPr>
        <w:t xml:space="preserve"> </w:t>
      </w:r>
      <w:r>
        <w:t>Furthermore,</w:t>
      </w:r>
      <w:r>
        <w:rPr>
          <w:spacing w:val="-10"/>
        </w:rPr>
        <w:t xml:space="preserve"> </w:t>
      </w:r>
      <w:r>
        <w:t>the</w:t>
      </w:r>
      <w:r>
        <w:rPr>
          <w:spacing w:val="-12"/>
        </w:rPr>
        <w:t xml:space="preserve"> </w:t>
      </w:r>
      <w:r>
        <w:t>Commission</w:t>
      </w:r>
      <w:r>
        <w:rPr>
          <w:spacing w:val="-11"/>
        </w:rPr>
        <w:t xml:space="preserve"> </w:t>
      </w:r>
      <w:r>
        <w:t>recommends</w:t>
      </w:r>
      <w:r>
        <w:rPr>
          <w:spacing w:val="-10"/>
        </w:rPr>
        <w:t xml:space="preserve"> </w:t>
      </w:r>
      <w:r>
        <w:t>that</w:t>
      </w:r>
      <w:r>
        <w:rPr>
          <w:spacing w:val="-12"/>
        </w:rPr>
        <w:t xml:space="preserve"> </w:t>
      </w:r>
      <w:r>
        <w:t>DHCD</w:t>
      </w:r>
      <w:r>
        <w:rPr>
          <w:spacing w:val="-9"/>
        </w:rPr>
        <w:t xml:space="preserve"> </w:t>
      </w:r>
      <w:r>
        <w:t>partner with the Commission to explore connections with LGBTQ-youth-serving organizations to create and disseminate inclusive housing resources.</w:t>
      </w:r>
    </w:p>
    <w:p w:rsidR="00200FDA" w:rsidRDefault="00200FDA">
      <w:pPr>
        <w:pStyle w:val="BodyText"/>
        <w:spacing w:before="9"/>
        <w:rPr>
          <w:sz w:val="19"/>
        </w:rPr>
      </w:pPr>
    </w:p>
    <w:p w:rsidR="00200FDA" w:rsidRDefault="00F76C4C">
      <w:pPr>
        <w:pStyle w:val="Heading9"/>
        <w:numPr>
          <w:ilvl w:val="0"/>
          <w:numId w:val="3"/>
        </w:numPr>
        <w:tabs>
          <w:tab w:val="left" w:pos="494"/>
        </w:tabs>
        <w:spacing w:line="273" w:lineRule="auto"/>
        <w:ind w:left="279" w:right="277" w:firstLine="0"/>
        <w:jc w:val="both"/>
      </w:pPr>
      <w:r>
        <w:t>Investigate</w:t>
      </w:r>
      <w:r>
        <w:rPr>
          <w:spacing w:val="-13"/>
        </w:rPr>
        <w:t xml:space="preserve"> </w:t>
      </w:r>
      <w:r>
        <w:t>and</w:t>
      </w:r>
      <w:r>
        <w:rPr>
          <w:spacing w:val="-10"/>
        </w:rPr>
        <w:t xml:space="preserve"> </w:t>
      </w:r>
      <w:r>
        <w:t>explore</w:t>
      </w:r>
      <w:r>
        <w:rPr>
          <w:spacing w:val="-13"/>
        </w:rPr>
        <w:t xml:space="preserve"> </w:t>
      </w:r>
      <w:r>
        <w:t>solutions</w:t>
      </w:r>
      <w:r>
        <w:rPr>
          <w:spacing w:val="-11"/>
        </w:rPr>
        <w:t xml:space="preserve"> </w:t>
      </w:r>
      <w:r>
        <w:t>to</w:t>
      </w:r>
      <w:r>
        <w:rPr>
          <w:spacing w:val="-11"/>
        </w:rPr>
        <w:t xml:space="preserve"> </w:t>
      </w:r>
      <w:r>
        <w:t>addressing</w:t>
      </w:r>
      <w:r>
        <w:rPr>
          <w:spacing w:val="-11"/>
        </w:rPr>
        <w:t xml:space="preserve"> </w:t>
      </w:r>
      <w:r>
        <w:t>the</w:t>
      </w:r>
      <w:r>
        <w:rPr>
          <w:spacing w:val="-12"/>
        </w:rPr>
        <w:t xml:space="preserve"> </w:t>
      </w:r>
      <w:r>
        <w:t>inequities</w:t>
      </w:r>
      <w:r>
        <w:rPr>
          <w:spacing w:val="-9"/>
        </w:rPr>
        <w:t xml:space="preserve"> </w:t>
      </w:r>
      <w:r>
        <w:t>of</w:t>
      </w:r>
      <w:r>
        <w:rPr>
          <w:spacing w:val="-12"/>
        </w:rPr>
        <w:t xml:space="preserve"> </w:t>
      </w:r>
      <w:r>
        <w:t>the</w:t>
      </w:r>
      <w:r>
        <w:rPr>
          <w:spacing w:val="-11"/>
        </w:rPr>
        <w:t xml:space="preserve"> </w:t>
      </w:r>
      <w:r>
        <w:t>homelessness</w:t>
      </w:r>
      <w:r>
        <w:rPr>
          <w:spacing w:val="-9"/>
        </w:rPr>
        <w:t xml:space="preserve"> </w:t>
      </w:r>
      <w:r>
        <w:t>day</w:t>
      </w:r>
      <w:r>
        <w:rPr>
          <w:spacing w:val="-11"/>
        </w:rPr>
        <w:t xml:space="preserve"> </w:t>
      </w:r>
      <w:r>
        <w:t>count</w:t>
      </w:r>
      <w:r>
        <w:rPr>
          <w:spacing w:val="-10"/>
        </w:rPr>
        <w:t xml:space="preserve"> </w:t>
      </w:r>
      <w:r>
        <w:t>that</w:t>
      </w:r>
      <w:r>
        <w:rPr>
          <w:spacing w:val="-11"/>
        </w:rPr>
        <w:t xml:space="preserve"> </w:t>
      </w:r>
      <w:r>
        <w:t>are occurring when youth travel between some Continuums of Care in Massachusetts.</w:t>
      </w:r>
    </w:p>
    <w:p w:rsidR="00200FDA" w:rsidRDefault="00200FDA">
      <w:pPr>
        <w:pStyle w:val="BodyText"/>
        <w:rPr>
          <w:b/>
          <w:sz w:val="20"/>
        </w:rPr>
      </w:pPr>
    </w:p>
    <w:p w:rsidR="00200FDA" w:rsidRDefault="00F76C4C">
      <w:pPr>
        <w:pStyle w:val="BodyText"/>
        <w:spacing w:line="276" w:lineRule="auto"/>
        <w:ind w:left="279" w:right="274"/>
        <w:jc w:val="both"/>
      </w:pPr>
      <w:r>
        <w:t xml:space="preserve">Until relatively recently, couch-surfing did not count as an instance of homelessness, which severely limited access to shelter services for youth. In several conversations </w:t>
      </w:r>
      <w:r>
        <w:t>with community providers and advocates, the Commission has become aware of what seems to be a gap in service provision as youth travel between shelters in different Massachusetts cities - and thus, Continuums of Care (CoC).</w:t>
      </w:r>
    </w:p>
    <w:p w:rsidR="00200FDA" w:rsidRDefault="00200FDA">
      <w:pPr>
        <w:pStyle w:val="BodyText"/>
        <w:spacing w:before="9"/>
        <w:rPr>
          <w:sz w:val="19"/>
        </w:rPr>
      </w:pPr>
    </w:p>
    <w:p w:rsidR="00200FDA" w:rsidRDefault="00F76C4C">
      <w:pPr>
        <w:pStyle w:val="BodyText"/>
        <w:spacing w:line="276" w:lineRule="auto"/>
        <w:ind w:left="278" w:right="274"/>
        <w:jc w:val="both"/>
      </w:pPr>
      <w:r>
        <w:t>An</w:t>
      </w:r>
      <w:r>
        <w:rPr>
          <w:spacing w:val="-13"/>
        </w:rPr>
        <w:t xml:space="preserve"> </w:t>
      </w:r>
      <w:r>
        <w:t>example</w:t>
      </w:r>
      <w:r>
        <w:rPr>
          <w:spacing w:val="-12"/>
        </w:rPr>
        <w:t xml:space="preserve"> </w:t>
      </w:r>
      <w:r>
        <w:t>of</w:t>
      </w:r>
      <w:r>
        <w:rPr>
          <w:spacing w:val="-12"/>
        </w:rPr>
        <w:t xml:space="preserve"> </w:t>
      </w:r>
      <w:r>
        <w:t>these</w:t>
      </w:r>
      <w:r>
        <w:rPr>
          <w:spacing w:val="-10"/>
        </w:rPr>
        <w:t xml:space="preserve"> </w:t>
      </w:r>
      <w:r>
        <w:t>critical</w:t>
      </w:r>
      <w:r>
        <w:rPr>
          <w:spacing w:val="-13"/>
        </w:rPr>
        <w:t xml:space="preserve"> </w:t>
      </w:r>
      <w:r>
        <w:t>is</w:t>
      </w:r>
      <w:r>
        <w:t>sues</w:t>
      </w:r>
      <w:r>
        <w:rPr>
          <w:spacing w:val="-10"/>
        </w:rPr>
        <w:t xml:space="preserve"> </w:t>
      </w:r>
      <w:r>
        <w:t>could</w:t>
      </w:r>
      <w:r>
        <w:rPr>
          <w:spacing w:val="-11"/>
        </w:rPr>
        <w:t xml:space="preserve"> </w:t>
      </w:r>
      <w:r>
        <w:t>be</w:t>
      </w:r>
      <w:r>
        <w:rPr>
          <w:spacing w:val="-10"/>
        </w:rPr>
        <w:t xml:space="preserve"> </w:t>
      </w:r>
      <w:r>
        <w:t>described</w:t>
      </w:r>
      <w:r>
        <w:rPr>
          <w:spacing w:val="-11"/>
        </w:rPr>
        <w:t xml:space="preserve"> </w:t>
      </w:r>
      <w:r>
        <w:t>as</w:t>
      </w:r>
      <w:r>
        <w:rPr>
          <w:spacing w:val="-10"/>
        </w:rPr>
        <w:t xml:space="preserve"> </w:t>
      </w:r>
      <w:r>
        <w:t>such:</w:t>
      </w:r>
      <w:r>
        <w:rPr>
          <w:spacing w:val="-9"/>
        </w:rPr>
        <w:t xml:space="preserve"> </w:t>
      </w:r>
      <w:r>
        <w:t>if</w:t>
      </w:r>
      <w:r>
        <w:rPr>
          <w:spacing w:val="-11"/>
        </w:rPr>
        <w:t xml:space="preserve"> </w:t>
      </w:r>
      <w:r>
        <w:t>an</w:t>
      </w:r>
      <w:r>
        <w:rPr>
          <w:spacing w:val="-13"/>
        </w:rPr>
        <w:t xml:space="preserve"> </w:t>
      </w:r>
      <w:r>
        <w:t>LGBTQ</w:t>
      </w:r>
      <w:r>
        <w:rPr>
          <w:spacing w:val="-10"/>
        </w:rPr>
        <w:t xml:space="preserve"> </w:t>
      </w:r>
      <w:r>
        <w:t>youth</w:t>
      </w:r>
      <w:r>
        <w:rPr>
          <w:spacing w:val="-11"/>
        </w:rPr>
        <w:t xml:space="preserve"> </w:t>
      </w:r>
      <w:r>
        <w:t>is</w:t>
      </w:r>
      <w:r>
        <w:rPr>
          <w:spacing w:val="-13"/>
        </w:rPr>
        <w:t xml:space="preserve"> </w:t>
      </w:r>
      <w:r>
        <w:t>staying</w:t>
      </w:r>
      <w:r>
        <w:rPr>
          <w:spacing w:val="-11"/>
        </w:rPr>
        <w:t xml:space="preserve"> </w:t>
      </w:r>
      <w:r>
        <w:t>at</w:t>
      </w:r>
      <w:r>
        <w:rPr>
          <w:spacing w:val="-10"/>
        </w:rPr>
        <w:t xml:space="preserve"> </w:t>
      </w:r>
      <w:r>
        <w:t>a</w:t>
      </w:r>
      <w:r>
        <w:rPr>
          <w:spacing w:val="-13"/>
        </w:rPr>
        <w:t xml:space="preserve"> </w:t>
      </w:r>
      <w:r>
        <w:t>community housing</w:t>
      </w:r>
      <w:r>
        <w:rPr>
          <w:spacing w:val="-7"/>
        </w:rPr>
        <w:t xml:space="preserve"> </w:t>
      </w:r>
      <w:r>
        <w:t>program</w:t>
      </w:r>
      <w:r>
        <w:rPr>
          <w:spacing w:val="-8"/>
        </w:rPr>
        <w:t xml:space="preserve"> </w:t>
      </w:r>
      <w:r>
        <w:t>or</w:t>
      </w:r>
      <w:r>
        <w:rPr>
          <w:spacing w:val="-9"/>
        </w:rPr>
        <w:t xml:space="preserve"> </w:t>
      </w:r>
      <w:r>
        <w:t>shelter</w:t>
      </w:r>
      <w:r>
        <w:rPr>
          <w:spacing w:val="-9"/>
        </w:rPr>
        <w:t xml:space="preserve"> </w:t>
      </w:r>
      <w:r>
        <w:t>and</w:t>
      </w:r>
      <w:r>
        <w:rPr>
          <w:spacing w:val="-7"/>
        </w:rPr>
        <w:t xml:space="preserve"> </w:t>
      </w:r>
      <w:r>
        <w:t>feels</w:t>
      </w:r>
      <w:r>
        <w:rPr>
          <w:spacing w:val="-7"/>
        </w:rPr>
        <w:t xml:space="preserve"> </w:t>
      </w:r>
      <w:r>
        <w:t>unsafe</w:t>
      </w:r>
      <w:r>
        <w:rPr>
          <w:spacing w:val="-8"/>
        </w:rPr>
        <w:t xml:space="preserve"> </w:t>
      </w:r>
      <w:r>
        <w:t>or</w:t>
      </w:r>
      <w:r>
        <w:rPr>
          <w:spacing w:val="-7"/>
        </w:rPr>
        <w:t xml:space="preserve"> </w:t>
      </w:r>
      <w:r>
        <w:t>unsupported,</w:t>
      </w:r>
      <w:r>
        <w:rPr>
          <w:spacing w:val="-9"/>
        </w:rPr>
        <w:t xml:space="preserve"> </w:t>
      </w:r>
      <w:r>
        <w:t>or</w:t>
      </w:r>
      <w:r>
        <w:rPr>
          <w:spacing w:val="-9"/>
        </w:rPr>
        <w:t xml:space="preserve"> </w:t>
      </w:r>
      <w:r>
        <w:t>are</w:t>
      </w:r>
      <w:r>
        <w:rPr>
          <w:spacing w:val="-8"/>
        </w:rPr>
        <w:t xml:space="preserve"> </w:t>
      </w:r>
      <w:r>
        <w:t>asked</w:t>
      </w:r>
      <w:r>
        <w:rPr>
          <w:spacing w:val="-7"/>
        </w:rPr>
        <w:t xml:space="preserve"> </w:t>
      </w:r>
      <w:r>
        <w:t>to</w:t>
      </w:r>
      <w:r>
        <w:rPr>
          <w:spacing w:val="-8"/>
        </w:rPr>
        <w:t xml:space="preserve"> </w:t>
      </w:r>
      <w:r>
        <w:t>leave,</w:t>
      </w:r>
      <w:r>
        <w:rPr>
          <w:spacing w:val="-6"/>
        </w:rPr>
        <w:t xml:space="preserve"> </w:t>
      </w:r>
      <w:r>
        <w:t>for</w:t>
      </w:r>
      <w:r>
        <w:rPr>
          <w:spacing w:val="-9"/>
        </w:rPr>
        <w:t xml:space="preserve"> </w:t>
      </w:r>
      <w:r>
        <w:t>14</w:t>
      </w:r>
      <w:r>
        <w:rPr>
          <w:spacing w:val="-6"/>
        </w:rPr>
        <w:t xml:space="preserve"> </w:t>
      </w:r>
      <w:r>
        <w:t>days</w:t>
      </w:r>
      <w:r>
        <w:rPr>
          <w:spacing w:val="-7"/>
        </w:rPr>
        <w:t xml:space="preserve"> </w:t>
      </w:r>
      <w:r>
        <w:t>in</w:t>
      </w:r>
      <w:r>
        <w:rPr>
          <w:spacing w:val="-10"/>
        </w:rPr>
        <w:t xml:space="preserve"> </w:t>
      </w:r>
      <w:r>
        <w:t>one</w:t>
      </w:r>
      <w:r>
        <w:rPr>
          <w:spacing w:val="-8"/>
        </w:rPr>
        <w:t xml:space="preserve"> </w:t>
      </w:r>
      <w:r>
        <w:t>CoC jurisdiction (Boston), and they move into a different shelter in a different CoC jurisdiction (Cambridge), the</w:t>
      </w:r>
      <w:r>
        <w:rPr>
          <w:spacing w:val="-6"/>
        </w:rPr>
        <w:t xml:space="preserve"> </w:t>
      </w:r>
      <w:r>
        <w:t>numbers</w:t>
      </w:r>
      <w:r>
        <w:rPr>
          <w:spacing w:val="-7"/>
        </w:rPr>
        <w:t xml:space="preserve"> </w:t>
      </w:r>
      <w:r>
        <w:t>of</w:t>
      </w:r>
      <w:r>
        <w:rPr>
          <w:spacing w:val="-9"/>
        </w:rPr>
        <w:t xml:space="preserve"> </w:t>
      </w:r>
      <w:r>
        <w:t>days</w:t>
      </w:r>
      <w:r>
        <w:rPr>
          <w:spacing w:val="-9"/>
        </w:rPr>
        <w:t xml:space="preserve"> </w:t>
      </w:r>
      <w:r>
        <w:t>that</w:t>
      </w:r>
      <w:r>
        <w:rPr>
          <w:spacing w:val="-6"/>
        </w:rPr>
        <w:t xml:space="preserve"> </w:t>
      </w:r>
      <w:r>
        <w:t>they</w:t>
      </w:r>
      <w:r>
        <w:rPr>
          <w:spacing w:val="-6"/>
        </w:rPr>
        <w:t xml:space="preserve"> </w:t>
      </w:r>
      <w:r>
        <w:t>are</w:t>
      </w:r>
      <w:r>
        <w:rPr>
          <w:spacing w:val="-8"/>
        </w:rPr>
        <w:t xml:space="preserve"> </w:t>
      </w:r>
      <w:r>
        <w:t>considered</w:t>
      </w:r>
      <w:r>
        <w:rPr>
          <w:spacing w:val="-7"/>
        </w:rPr>
        <w:t xml:space="preserve"> </w:t>
      </w:r>
      <w:r>
        <w:t>to</w:t>
      </w:r>
      <w:r>
        <w:rPr>
          <w:spacing w:val="-5"/>
        </w:rPr>
        <w:t xml:space="preserve"> </w:t>
      </w:r>
      <w:r>
        <w:t>be</w:t>
      </w:r>
      <w:r>
        <w:rPr>
          <w:spacing w:val="-6"/>
        </w:rPr>
        <w:t xml:space="preserve"> </w:t>
      </w:r>
      <w:r>
        <w:t>‘imminently</w:t>
      </w:r>
      <w:r>
        <w:rPr>
          <w:spacing w:val="-8"/>
        </w:rPr>
        <w:t xml:space="preserve"> </w:t>
      </w:r>
      <w:r>
        <w:t>homeless’</w:t>
      </w:r>
      <w:r>
        <w:rPr>
          <w:spacing w:val="-7"/>
        </w:rPr>
        <w:t xml:space="preserve"> </w:t>
      </w:r>
      <w:r>
        <w:t>resets</w:t>
      </w:r>
      <w:r>
        <w:rPr>
          <w:spacing w:val="-7"/>
        </w:rPr>
        <w:t xml:space="preserve"> </w:t>
      </w:r>
      <w:r>
        <w:t>and</w:t>
      </w:r>
      <w:r>
        <w:rPr>
          <w:spacing w:val="-7"/>
        </w:rPr>
        <w:t xml:space="preserve"> </w:t>
      </w:r>
      <w:r>
        <w:t>begins</w:t>
      </w:r>
      <w:r>
        <w:rPr>
          <w:spacing w:val="-6"/>
        </w:rPr>
        <w:t xml:space="preserve"> </w:t>
      </w:r>
      <w:r>
        <w:t>again</w:t>
      </w:r>
      <w:r>
        <w:rPr>
          <w:spacing w:val="-7"/>
        </w:rPr>
        <w:t xml:space="preserve"> </w:t>
      </w:r>
      <w:r>
        <w:t>in</w:t>
      </w:r>
      <w:r>
        <w:rPr>
          <w:spacing w:val="-7"/>
        </w:rPr>
        <w:t xml:space="preserve"> </w:t>
      </w:r>
      <w:r>
        <w:t>that new CoC jurisdiction. The consequence of</w:t>
      </w:r>
      <w:r>
        <w:t xml:space="preserve"> this resetting is that youth who are experiencing chronic homelessness,</w:t>
      </w:r>
      <w:r>
        <w:rPr>
          <w:spacing w:val="-11"/>
        </w:rPr>
        <w:t xml:space="preserve"> </w:t>
      </w:r>
      <w:r>
        <w:t>or</w:t>
      </w:r>
      <w:r>
        <w:rPr>
          <w:spacing w:val="-9"/>
        </w:rPr>
        <w:t xml:space="preserve"> </w:t>
      </w:r>
      <w:r>
        <w:t>who</w:t>
      </w:r>
      <w:r>
        <w:rPr>
          <w:spacing w:val="-8"/>
        </w:rPr>
        <w:t xml:space="preserve"> </w:t>
      </w:r>
      <w:r>
        <w:t>are</w:t>
      </w:r>
      <w:r>
        <w:rPr>
          <w:spacing w:val="-11"/>
        </w:rPr>
        <w:t xml:space="preserve"> </w:t>
      </w:r>
      <w:r>
        <w:t>imminently</w:t>
      </w:r>
      <w:r>
        <w:rPr>
          <w:spacing w:val="-8"/>
        </w:rPr>
        <w:t xml:space="preserve"> </w:t>
      </w:r>
      <w:r>
        <w:t>homeless,</w:t>
      </w:r>
      <w:r>
        <w:rPr>
          <w:spacing w:val="-9"/>
        </w:rPr>
        <w:t xml:space="preserve"> </w:t>
      </w:r>
      <w:r>
        <w:t>have</w:t>
      </w:r>
      <w:r>
        <w:rPr>
          <w:spacing w:val="-11"/>
        </w:rPr>
        <w:t xml:space="preserve"> </w:t>
      </w:r>
      <w:r>
        <w:t>a</w:t>
      </w:r>
      <w:r>
        <w:rPr>
          <w:spacing w:val="-9"/>
        </w:rPr>
        <w:t xml:space="preserve"> </w:t>
      </w:r>
      <w:r>
        <w:t>lower</w:t>
      </w:r>
      <w:r>
        <w:rPr>
          <w:spacing w:val="-9"/>
        </w:rPr>
        <w:t xml:space="preserve"> </w:t>
      </w:r>
      <w:r>
        <w:t>priority</w:t>
      </w:r>
      <w:r>
        <w:rPr>
          <w:spacing w:val="-11"/>
        </w:rPr>
        <w:t xml:space="preserve"> </w:t>
      </w:r>
      <w:r>
        <w:t>on</w:t>
      </w:r>
      <w:r>
        <w:rPr>
          <w:spacing w:val="-10"/>
        </w:rPr>
        <w:t xml:space="preserve"> </w:t>
      </w:r>
      <w:r>
        <w:t>that</w:t>
      </w:r>
      <w:r>
        <w:rPr>
          <w:spacing w:val="-11"/>
        </w:rPr>
        <w:t xml:space="preserve"> </w:t>
      </w:r>
      <w:r>
        <w:t>jurisdiction’s</w:t>
      </w:r>
      <w:r>
        <w:rPr>
          <w:spacing w:val="-9"/>
        </w:rPr>
        <w:t xml:space="preserve"> </w:t>
      </w:r>
      <w:r>
        <w:t>priority</w:t>
      </w:r>
      <w:r>
        <w:rPr>
          <w:spacing w:val="-8"/>
        </w:rPr>
        <w:t xml:space="preserve"> </w:t>
      </w:r>
      <w:r>
        <w:t>list</w:t>
      </w:r>
      <w:r>
        <w:rPr>
          <w:spacing w:val="-8"/>
        </w:rPr>
        <w:t xml:space="preserve"> </w:t>
      </w:r>
      <w:r>
        <w:t>for a housing voucher, or other services, even though they would be higher on the list in a different jurisdiction.</w:t>
      </w:r>
      <w:r>
        <w:rPr>
          <w:spacing w:val="-8"/>
        </w:rPr>
        <w:t xml:space="preserve"> </w:t>
      </w:r>
      <w:r>
        <w:t>To</w:t>
      </w:r>
      <w:r>
        <w:rPr>
          <w:spacing w:val="-9"/>
        </w:rPr>
        <w:t xml:space="preserve"> </w:t>
      </w:r>
      <w:r>
        <w:t>compound</w:t>
      </w:r>
      <w:r>
        <w:rPr>
          <w:spacing w:val="-8"/>
        </w:rPr>
        <w:t xml:space="preserve"> </w:t>
      </w:r>
      <w:r>
        <w:t>the</w:t>
      </w:r>
      <w:r>
        <w:rPr>
          <w:spacing w:val="-7"/>
        </w:rPr>
        <w:t xml:space="preserve"> </w:t>
      </w:r>
      <w:r>
        <w:t>issue</w:t>
      </w:r>
      <w:r>
        <w:rPr>
          <w:spacing w:val="-9"/>
        </w:rPr>
        <w:t xml:space="preserve"> </w:t>
      </w:r>
      <w:r>
        <w:t>further,</w:t>
      </w:r>
      <w:r>
        <w:rPr>
          <w:spacing w:val="-10"/>
        </w:rPr>
        <w:t xml:space="preserve"> </w:t>
      </w:r>
      <w:r>
        <w:t>there</w:t>
      </w:r>
      <w:r>
        <w:rPr>
          <w:spacing w:val="-9"/>
        </w:rPr>
        <w:t xml:space="preserve"> </w:t>
      </w:r>
      <w:r>
        <w:t>appears</w:t>
      </w:r>
      <w:r>
        <w:rPr>
          <w:spacing w:val="-8"/>
        </w:rPr>
        <w:t xml:space="preserve"> </w:t>
      </w:r>
      <w:r>
        <w:t>to</w:t>
      </w:r>
      <w:r>
        <w:rPr>
          <w:spacing w:val="-6"/>
        </w:rPr>
        <w:t xml:space="preserve"> </w:t>
      </w:r>
      <w:r>
        <w:t>be</w:t>
      </w:r>
      <w:r>
        <w:rPr>
          <w:spacing w:val="-7"/>
        </w:rPr>
        <w:t xml:space="preserve"> </w:t>
      </w:r>
      <w:r>
        <w:t>no</w:t>
      </w:r>
      <w:r>
        <w:rPr>
          <w:spacing w:val="-6"/>
        </w:rPr>
        <w:t xml:space="preserve"> </w:t>
      </w:r>
      <w:r>
        <w:t>clear</w:t>
      </w:r>
      <w:r>
        <w:rPr>
          <w:spacing w:val="-8"/>
        </w:rPr>
        <w:t xml:space="preserve"> </w:t>
      </w:r>
      <w:r>
        <w:t>information</w:t>
      </w:r>
      <w:r>
        <w:rPr>
          <w:spacing w:val="-8"/>
        </w:rPr>
        <w:t xml:space="preserve"> </w:t>
      </w:r>
      <w:r>
        <w:t>publicly</w:t>
      </w:r>
      <w:r>
        <w:rPr>
          <w:spacing w:val="-9"/>
        </w:rPr>
        <w:t xml:space="preserve"> </w:t>
      </w:r>
      <w:r>
        <w:t>available</w:t>
      </w:r>
      <w:r>
        <w:rPr>
          <w:spacing w:val="-7"/>
        </w:rPr>
        <w:t xml:space="preserve"> </w:t>
      </w:r>
      <w:r>
        <w:t>to youth -</w:t>
      </w:r>
      <w:r>
        <w:rPr>
          <w:spacing w:val="-1"/>
        </w:rPr>
        <w:t xml:space="preserve"> </w:t>
      </w:r>
      <w:r>
        <w:t>or adults</w:t>
      </w:r>
      <w:r>
        <w:rPr>
          <w:spacing w:val="-1"/>
        </w:rPr>
        <w:t xml:space="preserve"> </w:t>
      </w:r>
      <w:r>
        <w:t>- that clarifies for</w:t>
      </w:r>
      <w:r>
        <w:rPr>
          <w:spacing w:val="-1"/>
        </w:rPr>
        <w:t xml:space="preserve"> </w:t>
      </w:r>
      <w:r>
        <w:t>youth t</w:t>
      </w:r>
      <w:r>
        <w:t>hat they must remain in one Continuum of Care jurisdiction to remain on the housing voucher list. The same is true if they are able to remain at two different friends’ houses for 7 days each; their homelessness day count will reset because they were not re</w:t>
      </w:r>
      <w:r>
        <w:t>corded at a shelter and, though couch-surfing is now considered to be an instance of homelessness, it appears that this may not be common knowledge among providers.</w:t>
      </w:r>
    </w:p>
    <w:p w:rsidR="00200FDA" w:rsidRDefault="00200FDA">
      <w:pPr>
        <w:pStyle w:val="BodyText"/>
        <w:spacing w:before="8"/>
        <w:rPr>
          <w:sz w:val="19"/>
        </w:rPr>
      </w:pPr>
    </w:p>
    <w:p w:rsidR="00200FDA" w:rsidRDefault="00F76C4C">
      <w:pPr>
        <w:pStyle w:val="BodyText"/>
        <w:spacing w:line="276" w:lineRule="auto"/>
        <w:ind w:left="278" w:right="273"/>
        <w:jc w:val="both"/>
      </w:pPr>
      <w:r>
        <w:t>The Commission understands that the only caveat to this process is that youth who move bet</w:t>
      </w:r>
      <w:r>
        <w:t>ween continuums</w:t>
      </w:r>
      <w:r>
        <w:rPr>
          <w:spacing w:val="-13"/>
        </w:rPr>
        <w:t xml:space="preserve"> </w:t>
      </w:r>
      <w:r>
        <w:t>of</w:t>
      </w:r>
      <w:r>
        <w:rPr>
          <w:spacing w:val="-10"/>
        </w:rPr>
        <w:t xml:space="preserve"> </w:t>
      </w:r>
      <w:r>
        <w:t>care</w:t>
      </w:r>
      <w:r>
        <w:rPr>
          <w:spacing w:val="-10"/>
        </w:rPr>
        <w:t xml:space="preserve"> </w:t>
      </w:r>
      <w:r>
        <w:t>due</w:t>
      </w:r>
      <w:r>
        <w:rPr>
          <w:spacing w:val="-10"/>
        </w:rPr>
        <w:t xml:space="preserve"> </w:t>
      </w:r>
      <w:r>
        <w:t>to</w:t>
      </w:r>
      <w:r>
        <w:rPr>
          <w:spacing w:val="-12"/>
        </w:rPr>
        <w:t xml:space="preserve"> </w:t>
      </w:r>
      <w:r>
        <w:t>domestic</w:t>
      </w:r>
      <w:r>
        <w:rPr>
          <w:spacing w:val="-13"/>
        </w:rPr>
        <w:t xml:space="preserve"> </w:t>
      </w:r>
      <w:r>
        <w:t>violence</w:t>
      </w:r>
      <w:r>
        <w:rPr>
          <w:spacing w:val="-9"/>
        </w:rPr>
        <w:t xml:space="preserve"> </w:t>
      </w:r>
      <w:r>
        <w:t>are</w:t>
      </w:r>
      <w:r>
        <w:rPr>
          <w:spacing w:val="-10"/>
        </w:rPr>
        <w:t xml:space="preserve"> </w:t>
      </w:r>
      <w:r>
        <w:t>automatically</w:t>
      </w:r>
      <w:r>
        <w:rPr>
          <w:spacing w:val="-9"/>
        </w:rPr>
        <w:t xml:space="preserve"> </w:t>
      </w:r>
      <w:r>
        <w:t>placed</w:t>
      </w:r>
      <w:r>
        <w:rPr>
          <w:spacing w:val="-11"/>
        </w:rPr>
        <w:t xml:space="preserve"> </w:t>
      </w:r>
      <w:r>
        <w:t>once</w:t>
      </w:r>
      <w:r>
        <w:rPr>
          <w:spacing w:val="-10"/>
        </w:rPr>
        <w:t xml:space="preserve"> </w:t>
      </w:r>
      <w:r>
        <w:t>more</w:t>
      </w:r>
      <w:r>
        <w:rPr>
          <w:spacing w:val="-10"/>
        </w:rPr>
        <w:t xml:space="preserve"> </w:t>
      </w:r>
      <w:r>
        <w:t>at</w:t>
      </w:r>
      <w:r>
        <w:rPr>
          <w:spacing w:val="-10"/>
        </w:rPr>
        <w:t xml:space="preserve"> </w:t>
      </w:r>
      <w:r>
        <w:t>the</w:t>
      </w:r>
      <w:r>
        <w:rPr>
          <w:spacing w:val="-10"/>
        </w:rPr>
        <w:t xml:space="preserve"> </w:t>
      </w:r>
      <w:r>
        <w:t>top</w:t>
      </w:r>
      <w:r>
        <w:rPr>
          <w:spacing w:val="-11"/>
        </w:rPr>
        <w:t xml:space="preserve"> </w:t>
      </w:r>
      <w:r>
        <w:t>of</w:t>
      </w:r>
      <w:r>
        <w:rPr>
          <w:spacing w:val="-11"/>
        </w:rPr>
        <w:t xml:space="preserve"> </w:t>
      </w:r>
      <w:r>
        <w:t>the</w:t>
      </w:r>
      <w:r>
        <w:rPr>
          <w:spacing w:val="-10"/>
        </w:rPr>
        <w:t xml:space="preserve"> </w:t>
      </w:r>
      <w:r>
        <w:t xml:space="preserve">priority list, due to the domestic violence situation. While typically understood to be intimate partner violence, the domestic violence youth experience </w:t>
      </w:r>
      <w:r>
        <w:t>could be violence from parents, friends, roommates, or shelter</w:t>
      </w:r>
    </w:p>
    <w:p w:rsidR="00200FDA" w:rsidRDefault="00200FDA">
      <w:pPr>
        <w:spacing w:line="276" w:lineRule="auto"/>
        <w:jc w:val="both"/>
        <w:sectPr w:rsidR="00200FDA">
          <w:pgSz w:w="12240" w:h="15840"/>
          <w:pgMar w:top="1260" w:right="1160" w:bottom="1240" w:left="1160" w:header="761" w:footer="1043" w:gutter="0"/>
          <w:cols w:space="720"/>
        </w:sectPr>
      </w:pPr>
    </w:p>
    <w:p w:rsidR="00200FDA" w:rsidRDefault="00200FDA">
      <w:pPr>
        <w:pStyle w:val="BodyText"/>
        <w:rPr>
          <w:sz w:val="9"/>
        </w:rPr>
      </w:pPr>
    </w:p>
    <w:p w:rsidR="00200FDA" w:rsidRDefault="00F76C4C">
      <w:pPr>
        <w:pStyle w:val="BodyText"/>
        <w:spacing w:before="56" w:line="276" w:lineRule="auto"/>
        <w:ind w:left="280" w:right="273"/>
        <w:jc w:val="both"/>
      </w:pPr>
      <w:r>
        <w:t>staff,</w:t>
      </w:r>
      <w:r>
        <w:rPr>
          <w:spacing w:val="-9"/>
        </w:rPr>
        <w:t xml:space="preserve"> </w:t>
      </w:r>
      <w:r>
        <w:t>but</w:t>
      </w:r>
      <w:r>
        <w:rPr>
          <w:spacing w:val="-8"/>
        </w:rPr>
        <w:t xml:space="preserve"> </w:t>
      </w:r>
      <w:r>
        <w:t>this</w:t>
      </w:r>
      <w:r>
        <w:rPr>
          <w:spacing w:val="-9"/>
        </w:rPr>
        <w:t xml:space="preserve"> </w:t>
      </w:r>
      <w:r>
        <w:t>is</w:t>
      </w:r>
      <w:r>
        <w:rPr>
          <w:spacing w:val="-9"/>
        </w:rPr>
        <w:t xml:space="preserve"> </w:t>
      </w:r>
      <w:r>
        <w:t>not</w:t>
      </w:r>
      <w:r>
        <w:rPr>
          <w:spacing w:val="-8"/>
        </w:rPr>
        <w:t xml:space="preserve"> </w:t>
      </w:r>
      <w:r>
        <w:t>widely</w:t>
      </w:r>
      <w:r>
        <w:rPr>
          <w:spacing w:val="-11"/>
        </w:rPr>
        <w:t xml:space="preserve"> </w:t>
      </w:r>
      <w:r>
        <w:t>understood</w:t>
      </w:r>
      <w:r>
        <w:rPr>
          <w:spacing w:val="-10"/>
        </w:rPr>
        <w:t xml:space="preserve"> </w:t>
      </w:r>
      <w:r>
        <w:t>or</w:t>
      </w:r>
      <w:r>
        <w:rPr>
          <w:spacing w:val="-12"/>
        </w:rPr>
        <w:t xml:space="preserve"> </w:t>
      </w:r>
      <w:r>
        <w:t>explained</w:t>
      </w:r>
      <w:r>
        <w:rPr>
          <w:spacing w:val="-10"/>
        </w:rPr>
        <w:t xml:space="preserve"> </w:t>
      </w:r>
      <w:r>
        <w:t>to</w:t>
      </w:r>
      <w:r>
        <w:rPr>
          <w:spacing w:val="-10"/>
        </w:rPr>
        <w:t xml:space="preserve"> </w:t>
      </w:r>
      <w:r>
        <w:t>youth.</w:t>
      </w:r>
      <w:r>
        <w:rPr>
          <w:spacing w:val="-9"/>
        </w:rPr>
        <w:t xml:space="preserve"> </w:t>
      </w:r>
      <w:r>
        <w:t>Furthermore,</w:t>
      </w:r>
      <w:r>
        <w:rPr>
          <w:spacing w:val="-9"/>
        </w:rPr>
        <w:t xml:space="preserve"> </w:t>
      </w:r>
      <w:r>
        <w:t>as</w:t>
      </w:r>
      <w:r>
        <w:rPr>
          <w:spacing w:val="-9"/>
        </w:rPr>
        <w:t xml:space="preserve"> </w:t>
      </w:r>
      <w:r>
        <w:t>discussed</w:t>
      </w:r>
      <w:r>
        <w:rPr>
          <w:spacing w:val="-10"/>
        </w:rPr>
        <w:t xml:space="preserve"> </w:t>
      </w:r>
      <w:r>
        <w:t>in</w:t>
      </w:r>
      <w:r>
        <w:rPr>
          <w:spacing w:val="-10"/>
        </w:rPr>
        <w:t xml:space="preserve"> </w:t>
      </w:r>
      <w:r>
        <w:t>above</w:t>
      </w:r>
      <w:r>
        <w:rPr>
          <w:spacing w:val="-8"/>
        </w:rPr>
        <w:t xml:space="preserve"> </w:t>
      </w:r>
      <w:r>
        <w:t>sections of the Commission’s recommendations, LGBTQ youth do not often report domestic violence to police or shelter staff for fear of being discriminated against or not being believed. Without this clear process and evidence, youth are at risk of being lo</w:t>
      </w:r>
      <w:r>
        <w:t>wer on the priority list for housing assistance.</w:t>
      </w:r>
    </w:p>
    <w:p w:rsidR="00200FDA" w:rsidRDefault="00200FDA">
      <w:pPr>
        <w:pStyle w:val="BodyText"/>
        <w:spacing w:before="8"/>
        <w:rPr>
          <w:sz w:val="19"/>
        </w:rPr>
      </w:pPr>
    </w:p>
    <w:p w:rsidR="00200FDA" w:rsidRDefault="00F76C4C">
      <w:pPr>
        <w:pStyle w:val="BodyText"/>
        <w:spacing w:before="1" w:line="276" w:lineRule="auto"/>
        <w:ind w:left="279" w:right="272"/>
        <w:jc w:val="both"/>
      </w:pPr>
      <w:r>
        <w:t>While there is legislation that has been filed to address some of these issues and some can only be determined at the federal level, the Commission recommends that DHCD work with the ICHH and community part</w:t>
      </w:r>
      <w:r>
        <w:t>ners to explore potential state solutions to address the inequities faced by youth experiencing homelessness who travel between continuums of care, and to make more information available to the public about the process and guidelines youth must follow.</w:t>
      </w:r>
    </w:p>
    <w:p w:rsidR="00200FDA" w:rsidRDefault="00200FDA">
      <w:pPr>
        <w:pStyle w:val="BodyText"/>
        <w:spacing w:before="6"/>
        <w:rPr>
          <w:sz w:val="19"/>
        </w:rPr>
      </w:pPr>
    </w:p>
    <w:p w:rsidR="00200FDA" w:rsidRDefault="00F76C4C">
      <w:pPr>
        <w:pStyle w:val="Heading9"/>
        <w:numPr>
          <w:ilvl w:val="0"/>
          <w:numId w:val="3"/>
        </w:numPr>
        <w:tabs>
          <w:tab w:val="left" w:pos="528"/>
        </w:tabs>
        <w:spacing w:line="276" w:lineRule="auto"/>
        <w:ind w:left="279" w:right="277" w:firstLine="0"/>
      </w:pPr>
      <w:r>
        <w:t>Explore ways to encourage the development and funding</w:t>
      </w:r>
      <w:r>
        <w:rPr>
          <w:spacing w:val="24"/>
        </w:rPr>
        <w:t xml:space="preserve"> </w:t>
      </w:r>
      <w:r>
        <w:t>of LGBTQ-specific</w:t>
      </w:r>
      <w:r>
        <w:rPr>
          <w:spacing w:val="24"/>
        </w:rPr>
        <w:t xml:space="preserve"> </w:t>
      </w:r>
      <w:r>
        <w:t>and safe shelters for</w:t>
      </w:r>
      <w:r>
        <w:rPr>
          <w:spacing w:val="40"/>
        </w:rPr>
        <w:t xml:space="preserve"> </w:t>
      </w:r>
      <w:r>
        <w:t>youth, and alternative ways to address the housing crisis for youth.</w:t>
      </w:r>
    </w:p>
    <w:p w:rsidR="00200FDA" w:rsidRDefault="00200FDA">
      <w:pPr>
        <w:pStyle w:val="BodyText"/>
        <w:spacing w:before="10"/>
        <w:rPr>
          <w:b/>
          <w:sz w:val="19"/>
        </w:rPr>
      </w:pPr>
    </w:p>
    <w:p w:rsidR="00200FDA" w:rsidRDefault="00F76C4C">
      <w:pPr>
        <w:pStyle w:val="BodyText"/>
        <w:spacing w:line="276" w:lineRule="auto"/>
        <w:ind w:left="279" w:right="273"/>
        <w:jc w:val="both"/>
      </w:pPr>
      <w:r>
        <w:t xml:space="preserve">Massachusetts is in the midst of a severe housing crisis, but for LGBTQ youth the situation </w:t>
      </w:r>
      <w:r>
        <w:t>is even more severe due to the distinct lack of youth shelters and beds within existing shelters. The Commission understands</w:t>
      </w:r>
      <w:r>
        <w:rPr>
          <w:spacing w:val="-7"/>
        </w:rPr>
        <w:t xml:space="preserve"> </w:t>
      </w:r>
      <w:r>
        <w:t>that</w:t>
      </w:r>
      <w:r>
        <w:rPr>
          <w:spacing w:val="-6"/>
        </w:rPr>
        <w:t xml:space="preserve"> </w:t>
      </w:r>
      <w:r>
        <w:t>DHCD</w:t>
      </w:r>
      <w:r>
        <w:rPr>
          <w:spacing w:val="-6"/>
        </w:rPr>
        <w:t xml:space="preserve"> </w:t>
      </w:r>
      <w:r>
        <w:t>is</w:t>
      </w:r>
      <w:r>
        <w:rPr>
          <w:spacing w:val="-7"/>
        </w:rPr>
        <w:t xml:space="preserve"> </w:t>
      </w:r>
      <w:r>
        <w:t>limited</w:t>
      </w:r>
      <w:r>
        <w:rPr>
          <w:spacing w:val="-7"/>
        </w:rPr>
        <w:t xml:space="preserve"> </w:t>
      </w:r>
      <w:r>
        <w:t>in</w:t>
      </w:r>
      <w:r>
        <w:rPr>
          <w:spacing w:val="-7"/>
        </w:rPr>
        <w:t xml:space="preserve"> </w:t>
      </w:r>
      <w:r>
        <w:t>its</w:t>
      </w:r>
      <w:r>
        <w:rPr>
          <w:spacing w:val="-7"/>
        </w:rPr>
        <w:t xml:space="preserve"> </w:t>
      </w:r>
      <w:r>
        <w:t>ability</w:t>
      </w:r>
      <w:r>
        <w:rPr>
          <w:spacing w:val="-6"/>
        </w:rPr>
        <w:t xml:space="preserve"> </w:t>
      </w:r>
      <w:r>
        <w:t>to</w:t>
      </w:r>
      <w:r>
        <w:rPr>
          <w:spacing w:val="-5"/>
        </w:rPr>
        <w:t xml:space="preserve"> </w:t>
      </w:r>
      <w:r>
        <w:t>encourage</w:t>
      </w:r>
      <w:r>
        <w:rPr>
          <w:spacing w:val="-6"/>
        </w:rPr>
        <w:t xml:space="preserve"> </w:t>
      </w:r>
      <w:r>
        <w:t>the</w:t>
      </w:r>
      <w:r>
        <w:rPr>
          <w:spacing w:val="-6"/>
        </w:rPr>
        <w:t xml:space="preserve"> </w:t>
      </w:r>
      <w:r>
        <w:t>development</w:t>
      </w:r>
      <w:r>
        <w:rPr>
          <w:spacing w:val="-6"/>
        </w:rPr>
        <w:t xml:space="preserve"> </w:t>
      </w:r>
      <w:r>
        <w:t>of</w:t>
      </w:r>
      <w:r>
        <w:rPr>
          <w:spacing w:val="-7"/>
        </w:rPr>
        <w:t xml:space="preserve"> </w:t>
      </w:r>
      <w:r>
        <w:t>new</w:t>
      </w:r>
      <w:r>
        <w:rPr>
          <w:spacing w:val="-6"/>
        </w:rPr>
        <w:t xml:space="preserve"> </w:t>
      </w:r>
      <w:r>
        <w:t>shelters</w:t>
      </w:r>
      <w:r>
        <w:rPr>
          <w:spacing w:val="-7"/>
        </w:rPr>
        <w:t xml:space="preserve"> </w:t>
      </w:r>
      <w:r>
        <w:t>and</w:t>
      </w:r>
      <w:r>
        <w:rPr>
          <w:spacing w:val="-7"/>
        </w:rPr>
        <w:t xml:space="preserve"> </w:t>
      </w:r>
      <w:r>
        <w:t>housing projects, but encourages the agency to</w:t>
      </w:r>
      <w:r>
        <w:t xml:space="preserve"> explore solutions in partnership with external stakeholders and youth. Furthermore, the Commission recommends that DHCD partner with state agencies and community-centered organizations to explore systems for temporary emergency shelter options for </w:t>
      </w:r>
      <w:r>
        <w:rPr>
          <w:spacing w:val="-2"/>
        </w:rPr>
        <w:t>youth.</w:t>
      </w:r>
    </w:p>
    <w:p w:rsidR="00200FDA" w:rsidRDefault="00200FDA">
      <w:pPr>
        <w:pStyle w:val="BodyText"/>
        <w:spacing w:before="6"/>
        <w:rPr>
          <w:sz w:val="19"/>
        </w:rPr>
      </w:pPr>
    </w:p>
    <w:p w:rsidR="00200FDA" w:rsidRDefault="00F76C4C">
      <w:pPr>
        <w:pStyle w:val="Heading9"/>
        <w:numPr>
          <w:ilvl w:val="0"/>
          <w:numId w:val="3"/>
        </w:numPr>
        <w:tabs>
          <w:tab w:val="left" w:pos="537"/>
        </w:tabs>
        <w:spacing w:line="276" w:lineRule="auto"/>
        <w:ind w:left="279" w:right="274" w:firstLine="0"/>
      </w:pPr>
      <w:r>
        <w:t>Explore</w:t>
      </w:r>
      <w:r>
        <w:rPr>
          <w:spacing w:val="33"/>
        </w:rPr>
        <w:t xml:space="preserve"> </w:t>
      </w:r>
      <w:r>
        <w:t>and</w:t>
      </w:r>
      <w:r>
        <w:rPr>
          <w:spacing w:val="33"/>
        </w:rPr>
        <w:t xml:space="preserve"> </w:t>
      </w:r>
      <w:r>
        <w:t>examine</w:t>
      </w:r>
      <w:r>
        <w:rPr>
          <w:spacing w:val="33"/>
        </w:rPr>
        <w:t xml:space="preserve"> </w:t>
      </w:r>
      <w:r>
        <w:t>further</w:t>
      </w:r>
      <w:r>
        <w:rPr>
          <w:spacing w:val="32"/>
        </w:rPr>
        <w:t xml:space="preserve"> </w:t>
      </w:r>
      <w:r>
        <w:t>collaborations</w:t>
      </w:r>
      <w:r>
        <w:rPr>
          <w:spacing w:val="29"/>
        </w:rPr>
        <w:t xml:space="preserve"> </w:t>
      </w:r>
      <w:r>
        <w:t>with</w:t>
      </w:r>
      <w:r>
        <w:rPr>
          <w:spacing w:val="33"/>
        </w:rPr>
        <w:t xml:space="preserve"> </w:t>
      </w:r>
      <w:r>
        <w:t>DCF</w:t>
      </w:r>
      <w:r>
        <w:rPr>
          <w:spacing w:val="33"/>
        </w:rPr>
        <w:t xml:space="preserve"> </w:t>
      </w:r>
      <w:r>
        <w:t>and</w:t>
      </w:r>
      <w:r>
        <w:rPr>
          <w:spacing w:val="33"/>
        </w:rPr>
        <w:t xml:space="preserve"> </w:t>
      </w:r>
      <w:r>
        <w:t>DYS</w:t>
      </w:r>
      <w:r>
        <w:rPr>
          <w:spacing w:val="32"/>
        </w:rPr>
        <w:t xml:space="preserve"> </w:t>
      </w:r>
      <w:r>
        <w:t>to</w:t>
      </w:r>
      <w:r>
        <w:rPr>
          <w:spacing w:val="30"/>
        </w:rPr>
        <w:t xml:space="preserve"> </w:t>
      </w:r>
      <w:r>
        <w:t>support</w:t>
      </w:r>
      <w:r>
        <w:rPr>
          <w:spacing w:val="34"/>
        </w:rPr>
        <w:t xml:space="preserve"> </w:t>
      </w:r>
      <w:r>
        <w:t>transition-aged</w:t>
      </w:r>
      <w:r>
        <w:rPr>
          <w:spacing w:val="30"/>
        </w:rPr>
        <w:t xml:space="preserve"> </w:t>
      </w:r>
      <w:r>
        <w:t>youth leaving care.</w:t>
      </w:r>
    </w:p>
    <w:p w:rsidR="00200FDA" w:rsidRDefault="00200FDA">
      <w:pPr>
        <w:pStyle w:val="BodyText"/>
        <w:spacing w:before="9"/>
        <w:rPr>
          <w:b/>
          <w:sz w:val="19"/>
        </w:rPr>
      </w:pPr>
    </w:p>
    <w:p w:rsidR="00200FDA" w:rsidRDefault="00F76C4C">
      <w:pPr>
        <w:pStyle w:val="BodyText"/>
        <w:spacing w:line="276" w:lineRule="auto"/>
        <w:ind w:left="279" w:right="275"/>
        <w:jc w:val="both"/>
      </w:pPr>
      <w:r>
        <w:t>The Commission recommends that</w:t>
      </w:r>
      <w:r>
        <w:rPr>
          <w:spacing w:val="-1"/>
        </w:rPr>
        <w:t xml:space="preserve"> </w:t>
      </w:r>
      <w:r>
        <w:t>DHCD</w:t>
      </w:r>
      <w:r>
        <w:rPr>
          <w:spacing w:val="-1"/>
        </w:rPr>
        <w:t xml:space="preserve"> </w:t>
      </w:r>
      <w:r>
        <w:t>examine</w:t>
      </w:r>
      <w:r>
        <w:rPr>
          <w:spacing w:val="-1"/>
        </w:rPr>
        <w:t xml:space="preserve"> </w:t>
      </w:r>
      <w:r>
        <w:t>current relationships</w:t>
      </w:r>
      <w:r>
        <w:rPr>
          <w:spacing w:val="-2"/>
        </w:rPr>
        <w:t xml:space="preserve"> </w:t>
      </w:r>
      <w:r>
        <w:t>and programs</w:t>
      </w:r>
      <w:r>
        <w:rPr>
          <w:spacing w:val="-2"/>
        </w:rPr>
        <w:t xml:space="preserve"> </w:t>
      </w:r>
      <w:r>
        <w:t>with</w:t>
      </w:r>
      <w:r>
        <w:rPr>
          <w:spacing w:val="-3"/>
        </w:rPr>
        <w:t xml:space="preserve"> </w:t>
      </w:r>
      <w:r>
        <w:t>DCF and</w:t>
      </w:r>
      <w:r>
        <w:rPr>
          <w:spacing w:val="-3"/>
        </w:rPr>
        <w:t xml:space="preserve"> </w:t>
      </w:r>
      <w:r>
        <w:t>DYS to ensure that the needs of LGBTQ transition-aged youth leaving care are being met, and partner with LGBTQ youth and providers to better understand the needs of these underserved youth populations.</w:t>
      </w:r>
    </w:p>
    <w:p w:rsidR="00200FDA" w:rsidRDefault="00200FDA">
      <w:pPr>
        <w:pStyle w:val="BodyText"/>
        <w:spacing w:before="8"/>
        <w:rPr>
          <w:sz w:val="19"/>
        </w:rPr>
      </w:pPr>
    </w:p>
    <w:p w:rsidR="00200FDA" w:rsidRDefault="00F76C4C">
      <w:pPr>
        <w:pStyle w:val="Heading9"/>
        <w:numPr>
          <w:ilvl w:val="0"/>
          <w:numId w:val="3"/>
        </w:numPr>
        <w:tabs>
          <w:tab w:val="left" w:pos="533"/>
        </w:tabs>
        <w:spacing w:line="273" w:lineRule="auto"/>
        <w:ind w:left="279" w:right="276" w:firstLine="0"/>
      </w:pPr>
      <w:r>
        <w:t>Provide</w:t>
      </w:r>
      <w:r>
        <w:rPr>
          <w:spacing w:val="25"/>
        </w:rPr>
        <w:t xml:space="preserve"> </w:t>
      </w:r>
      <w:r>
        <w:t>LGBTQ</w:t>
      </w:r>
      <w:r>
        <w:rPr>
          <w:spacing w:val="25"/>
        </w:rPr>
        <w:t xml:space="preserve"> </w:t>
      </w:r>
      <w:r>
        <w:t>cultural</w:t>
      </w:r>
      <w:r>
        <w:rPr>
          <w:spacing w:val="26"/>
        </w:rPr>
        <w:t xml:space="preserve"> </w:t>
      </w:r>
      <w:r>
        <w:t>engagement</w:t>
      </w:r>
      <w:r>
        <w:rPr>
          <w:spacing w:val="25"/>
        </w:rPr>
        <w:t xml:space="preserve"> </w:t>
      </w:r>
      <w:r>
        <w:t>and</w:t>
      </w:r>
      <w:r>
        <w:rPr>
          <w:spacing w:val="27"/>
        </w:rPr>
        <w:t xml:space="preserve"> </w:t>
      </w:r>
      <w:r>
        <w:t>racial</w:t>
      </w:r>
      <w:r>
        <w:rPr>
          <w:spacing w:val="29"/>
        </w:rPr>
        <w:t xml:space="preserve"> </w:t>
      </w:r>
      <w:r>
        <w:t>equity</w:t>
      </w:r>
      <w:r>
        <w:rPr>
          <w:spacing w:val="26"/>
        </w:rPr>
        <w:t xml:space="preserve"> </w:t>
      </w:r>
      <w:r>
        <w:t>t</w:t>
      </w:r>
      <w:r>
        <w:t>rainings</w:t>
      </w:r>
      <w:r>
        <w:rPr>
          <w:spacing w:val="28"/>
        </w:rPr>
        <w:t xml:space="preserve"> </w:t>
      </w:r>
      <w:r>
        <w:t>for</w:t>
      </w:r>
      <w:r>
        <w:rPr>
          <w:spacing w:val="26"/>
        </w:rPr>
        <w:t xml:space="preserve"> </w:t>
      </w:r>
      <w:r>
        <w:t>DHCD employees</w:t>
      </w:r>
      <w:r>
        <w:rPr>
          <w:spacing w:val="26"/>
        </w:rPr>
        <w:t xml:space="preserve"> </w:t>
      </w:r>
      <w:r>
        <w:t>and</w:t>
      </w:r>
      <w:r>
        <w:rPr>
          <w:spacing w:val="27"/>
        </w:rPr>
        <w:t xml:space="preserve"> </w:t>
      </w:r>
      <w:r>
        <w:t xml:space="preserve">shelter </w:t>
      </w:r>
      <w:r>
        <w:rPr>
          <w:spacing w:val="-2"/>
        </w:rPr>
        <w:t>providers.</w:t>
      </w:r>
    </w:p>
    <w:p w:rsidR="00200FDA" w:rsidRDefault="00200FDA">
      <w:pPr>
        <w:pStyle w:val="BodyText"/>
        <w:rPr>
          <w:b/>
          <w:sz w:val="20"/>
        </w:rPr>
      </w:pPr>
    </w:p>
    <w:p w:rsidR="00200FDA" w:rsidRDefault="00F76C4C">
      <w:pPr>
        <w:pStyle w:val="BodyText"/>
        <w:spacing w:line="276" w:lineRule="auto"/>
        <w:ind w:left="279" w:right="274"/>
        <w:jc w:val="both"/>
      </w:pPr>
      <w:r>
        <w:t>Having informed and knowledgeable staff working with homeless or unstably housed LGBTQ youth is essential,</w:t>
      </w:r>
      <w:r>
        <w:rPr>
          <w:spacing w:val="-4"/>
        </w:rPr>
        <w:t xml:space="preserve"> </w:t>
      </w:r>
      <w:r>
        <w:t>particularly</w:t>
      </w:r>
      <w:r>
        <w:rPr>
          <w:spacing w:val="-3"/>
        </w:rPr>
        <w:t xml:space="preserve"> </w:t>
      </w:r>
      <w:r>
        <w:t>with</w:t>
      </w:r>
      <w:r>
        <w:rPr>
          <w:spacing w:val="-5"/>
        </w:rPr>
        <w:t xml:space="preserve"> </w:t>
      </w:r>
      <w:r>
        <w:t>attention</w:t>
      </w:r>
      <w:r>
        <w:rPr>
          <w:spacing w:val="-3"/>
        </w:rPr>
        <w:t xml:space="preserve"> </w:t>
      </w:r>
      <w:r>
        <w:t>to</w:t>
      </w:r>
      <w:r>
        <w:rPr>
          <w:spacing w:val="-3"/>
        </w:rPr>
        <w:t xml:space="preserve"> </w:t>
      </w:r>
      <w:r>
        <w:t>intersections</w:t>
      </w:r>
      <w:r>
        <w:rPr>
          <w:spacing w:val="-4"/>
        </w:rPr>
        <w:t xml:space="preserve"> </w:t>
      </w:r>
      <w:r>
        <w:t>of</w:t>
      </w:r>
      <w:r>
        <w:rPr>
          <w:spacing w:val="-2"/>
        </w:rPr>
        <w:t xml:space="preserve"> </w:t>
      </w:r>
      <w:r>
        <w:t>race,</w:t>
      </w:r>
      <w:r>
        <w:rPr>
          <w:spacing w:val="-4"/>
        </w:rPr>
        <w:t xml:space="preserve"> </w:t>
      </w:r>
      <w:r>
        <w:t>ethnicity,</w:t>
      </w:r>
      <w:r>
        <w:rPr>
          <w:spacing w:val="-4"/>
        </w:rPr>
        <w:t xml:space="preserve"> </w:t>
      </w:r>
      <w:r>
        <w:t>immigration</w:t>
      </w:r>
      <w:r>
        <w:rPr>
          <w:spacing w:val="-3"/>
        </w:rPr>
        <w:t xml:space="preserve"> </w:t>
      </w:r>
      <w:r>
        <w:t>status,</w:t>
      </w:r>
      <w:r>
        <w:rPr>
          <w:spacing w:val="-2"/>
        </w:rPr>
        <w:t xml:space="preserve"> </w:t>
      </w:r>
      <w:r>
        <w:t>and</w:t>
      </w:r>
      <w:r>
        <w:rPr>
          <w:spacing w:val="-5"/>
        </w:rPr>
        <w:t xml:space="preserve"> </w:t>
      </w:r>
      <w:r>
        <w:t>disability. The Commission looks forward to partnering with DHCD in FY 2024 to facilitate widespread agency and shelter trainings on LGBTQ communities, and collaborate on racial equity trainings.</w:t>
      </w:r>
    </w:p>
    <w:p w:rsidR="00200FDA" w:rsidRDefault="00200FDA">
      <w:pPr>
        <w:pStyle w:val="BodyText"/>
      </w:pPr>
    </w:p>
    <w:p w:rsidR="00200FDA" w:rsidRDefault="00200FDA">
      <w:pPr>
        <w:pStyle w:val="BodyText"/>
      </w:pPr>
    </w:p>
    <w:p w:rsidR="00200FDA" w:rsidRDefault="00200FDA">
      <w:pPr>
        <w:pStyle w:val="BodyText"/>
        <w:spacing w:before="7"/>
        <w:rPr>
          <w:sz w:val="20"/>
        </w:rPr>
      </w:pPr>
    </w:p>
    <w:p w:rsidR="00200FDA" w:rsidRDefault="00F76C4C">
      <w:pPr>
        <w:ind w:left="279"/>
        <w:jc w:val="both"/>
        <w:rPr>
          <w:i/>
        </w:rPr>
      </w:pPr>
      <w:r>
        <w:rPr>
          <w:i/>
        </w:rPr>
        <w:t>Acknowledgments:</w:t>
      </w:r>
      <w:r>
        <w:rPr>
          <w:i/>
          <w:spacing w:val="-6"/>
        </w:rPr>
        <w:t xml:space="preserve"> </w:t>
      </w:r>
      <w:r>
        <w:rPr>
          <w:i/>
        </w:rPr>
        <w:t>The</w:t>
      </w:r>
      <w:r>
        <w:rPr>
          <w:i/>
          <w:spacing w:val="-5"/>
        </w:rPr>
        <w:t xml:space="preserve"> </w:t>
      </w:r>
      <w:r>
        <w:rPr>
          <w:i/>
        </w:rPr>
        <w:t>Commission</w:t>
      </w:r>
      <w:r>
        <w:rPr>
          <w:i/>
          <w:spacing w:val="-5"/>
        </w:rPr>
        <w:t xml:space="preserve"> </w:t>
      </w:r>
      <w:r>
        <w:rPr>
          <w:i/>
        </w:rPr>
        <w:t>thanks</w:t>
      </w:r>
      <w:r>
        <w:rPr>
          <w:i/>
          <w:spacing w:val="-7"/>
        </w:rPr>
        <w:t xml:space="preserve"> </w:t>
      </w:r>
      <w:r>
        <w:rPr>
          <w:i/>
        </w:rPr>
        <w:t>the</w:t>
      </w:r>
      <w:r>
        <w:rPr>
          <w:i/>
          <w:spacing w:val="-4"/>
        </w:rPr>
        <w:t xml:space="preserve"> </w:t>
      </w:r>
      <w:r>
        <w:rPr>
          <w:i/>
        </w:rPr>
        <w:t>contributions</w:t>
      </w:r>
      <w:r>
        <w:rPr>
          <w:i/>
          <w:spacing w:val="-4"/>
        </w:rPr>
        <w:t xml:space="preserve"> </w:t>
      </w:r>
      <w:r>
        <w:rPr>
          <w:i/>
        </w:rPr>
        <w:t>of</w:t>
      </w:r>
      <w:r>
        <w:rPr>
          <w:i/>
          <w:spacing w:val="-5"/>
        </w:rPr>
        <w:t xml:space="preserve"> </w:t>
      </w:r>
      <w:r>
        <w:rPr>
          <w:i/>
        </w:rPr>
        <w:t>its</w:t>
      </w:r>
      <w:r>
        <w:rPr>
          <w:i/>
          <w:spacing w:val="-6"/>
        </w:rPr>
        <w:t xml:space="preserve"> </w:t>
      </w:r>
      <w:r>
        <w:rPr>
          <w:i/>
        </w:rPr>
        <w:t>DHCD</w:t>
      </w:r>
      <w:r>
        <w:rPr>
          <w:i/>
          <w:spacing w:val="-4"/>
        </w:rPr>
        <w:t xml:space="preserve"> </w:t>
      </w:r>
      <w:r>
        <w:rPr>
          <w:i/>
        </w:rPr>
        <w:t>agency</w:t>
      </w:r>
      <w:r>
        <w:rPr>
          <w:i/>
          <w:spacing w:val="-7"/>
        </w:rPr>
        <w:t xml:space="preserve"> </w:t>
      </w:r>
      <w:r>
        <w:rPr>
          <w:i/>
          <w:spacing w:val="-2"/>
        </w:rPr>
        <w:t>liaisons.</w:t>
      </w:r>
    </w:p>
    <w:p w:rsidR="00200FDA" w:rsidRDefault="00200FDA">
      <w:pPr>
        <w:pStyle w:val="BodyText"/>
        <w:rPr>
          <w:i/>
        </w:rPr>
      </w:pPr>
    </w:p>
    <w:p w:rsidR="00200FDA" w:rsidRDefault="00200FDA">
      <w:pPr>
        <w:pStyle w:val="BodyText"/>
        <w:spacing w:before="6"/>
        <w:rPr>
          <w:i/>
          <w:sz w:val="21"/>
        </w:rPr>
      </w:pPr>
    </w:p>
    <w:p w:rsidR="00200FDA" w:rsidRDefault="00F76C4C">
      <w:pPr>
        <w:ind w:left="280"/>
        <w:jc w:val="both"/>
        <w:rPr>
          <w:sz w:val="18"/>
        </w:rPr>
      </w:pPr>
      <w:bookmarkStart w:id="1188" w:name="_bookmark919"/>
      <w:bookmarkEnd w:id="1188"/>
      <w:r>
        <w:rPr>
          <w:position w:val="5"/>
          <w:sz w:val="12"/>
        </w:rPr>
        <w:t>i</w:t>
      </w:r>
      <w:r>
        <w:rPr>
          <w:spacing w:val="7"/>
          <w:position w:val="5"/>
          <w:sz w:val="12"/>
        </w:rPr>
        <w:t xml:space="preserve"> </w:t>
      </w:r>
      <w:r>
        <w:rPr>
          <w:sz w:val="18"/>
        </w:rPr>
        <w:t>Laurie</w:t>
      </w:r>
      <w:r>
        <w:rPr>
          <w:spacing w:val="-4"/>
          <w:sz w:val="18"/>
        </w:rPr>
        <w:t xml:space="preserve"> </w:t>
      </w:r>
      <w:r>
        <w:rPr>
          <w:sz w:val="18"/>
        </w:rPr>
        <w:t>Ross,</w:t>
      </w:r>
      <w:r>
        <w:rPr>
          <w:spacing w:val="-3"/>
          <w:sz w:val="18"/>
        </w:rPr>
        <w:t xml:space="preserve"> </w:t>
      </w:r>
      <w:r>
        <w:rPr>
          <w:sz w:val="18"/>
        </w:rPr>
        <w:t>“Massachusetts</w:t>
      </w:r>
      <w:r>
        <w:rPr>
          <w:spacing w:val="-3"/>
          <w:sz w:val="18"/>
        </w:rPr>
        <w:t xml:space="preserve"> </w:t>
      </w:r>
      <w:r>
        <w:rPr>
          <w:sz w:val="18"/>
        </w:rPr>
        <w:t>2022</w:t>
      </w:r>
      <w:r>
        <w:rPr>
          <w:spacing w:val="-3"/>
          <w:sz w:val="18"/>
        </w:rPr>
        <w:t xml:space="preserve"> </w:t>
      </w:r>
      <w:r>
        <w:rPr>
          <w:sz w:val="18"/>
        </w:rPr>
        <w:t>Youth</w:t>
      </w:r>
      <w:r>
        <w:rPr>
          <w:spacing w:val="-4"/>
          <w:sz w:val="18"/>
        </w:rPr>
        <w:t xml:space="preserve"> </w:t>
      </w:r>
      <w:r>
        <w:rPr>
          <w:sz w:val="18"/>
        </w:rPr>
        <w:t>Count,”</w:t>
      </w:r>
      <w:r>
        <w:rPr>
          <w:spacing w:val="-4"/>
          <w:sz w:val="18"/>
        </w:rPr>
        <w:t xml:space="preserve"> </w:t>
      </w:r>
      <w:r>
        <w:rPr>
          <w:sz w:val="18"/>
        </w:rPr>
        <w:t>2022,</w:t>
      </w:r>
      <w:r>
        <w:rPr>
          <w:spacing w:val="-2"/>
          <w:sz w:val="18"/>
        </w:rPr>
        <w:t xml:space="preserve"> </w:t>
      </w:r>
      <w:r>
        <w:rPr>
          <w:sz w:val="18"/>
        </w:rPr>
        <w:t>https://</w:t>
      </w:r>
      <w:hyperlink r:id="rId873">
        <w:r>
          <w:rPr>
            <w:sz w:val="18"/>
          </w:rPr>
          <w:t>www.mass.gov/doc/2022-youth-count-</w:t>
        </w:r>
        <w:r>
          <w:rPr>
            <w:spacing w:val="-2"/>
            <w:sz w:val="18"/>
          </w:rPr>
          <w:t>report/download.</w:t>
        </w:r>
      </w:hyperlink>
    </w:p>
    <w:p w:rsidR="00200FDA" w:rsidRDefault="00200FDA">
      <w:pPr>
        <w:jc w:val="both"/>
        <w:rPr>
          <w:sz w:val="18"/>
        </w:rPr>
        <w:sectPr w:rsidR="00200FDA">
          <w:pgSz w:w="12240" w:h="15840"/>
          <w:pgMar w:top="1260" w:right="1160" w:bottom="1240" w:left="1160" w:header="761" w:footer="1043" w:gutter="0"/>
          <w:cols w:space="720"/>
        </w:sectPr>
      </w:pPr>
    </w:p>
    <w:p w:rsidR="00200FDA" w:rsidRDefault="00200FDA">
      <w:pPr>
        <w:pStyle w:val="BodyText"/>
        <w:spacing w:before="2"/>
        <w:rPr>
          <w:sz w:val="10"/>
        </w:rPr>
      </w:pPr>
    </w:p>
    <w:p w:rsidR="00200FDA" w:rsidRDefault="00F76C4C">
      <w:pPr>
        <w:pStyle w:val="Heading7"/>
        <w:spacing w:before="45"/>
      </w:pPr>
      <w:bookmarkStart w:id="1189" w:name="FY24_MassHire_Recommendations_-_Final.pd"/>
      <w:bookmarkStart w:id="1190" w:name="Department_of_Career_Services_–_MassHire"/>
      <w:bookmarkStart w:id="1191" w:name="_bookmark920"/>
      <w:bookmarkEnd w:id="1189"/>
      <w:bookmarkEnd w:id="1190"/>
      <w:bookmarkEnd w:id="1191"/>
      <w:r>
        <w:rPr>
          <w:color w:val="365F91"/>
        </w:rPr>
        <w:t>Department</w:t>
      </w:r>
      <w:r>
        <w:rPr>
          <w:color w:val="365F91"/>
          <w:spacing w:val="-6"/>
        </w:rPr>
        <w:t xml:space="preserve"> </w:t>
      </w:r>
      <w:r>
        <w:rPr>
          <w:color w:val="365F91"/>
        </w:rPr>
        <w:t>of</w:t>
      </w:r>
      <w:r>
        <w:rPr>
          <w:color w:val="365F91"/>
          <w:spacing w:val="-4"/>
        </w:rPr>
        <w:t xml:space="preserve"> </w:t>
      </w:r>
      <w:r>
        <w:rPr>
          <w:color w:val="365F91"/>
        </w:rPr>
        <w:t>Career</w:t>
      </w:r>
      <w:r>
        <w:rPr>
          <w:color w:val="365F91"/>
          <w:spacing w:val="-4"/>
        </w:rPr>
        <w:t xml:space="preserve"> </w:t>
      </w:r>
      <w:r>
        <w:rPr>
          <w:color w:val="365F91"/>
        </w:rPr>
        <w:t>Services</w:t>
      </w:r>
      <w:r>
        <w:rPr>
          <w:color w:val="365F91"/>
          <w:spacing w:val="-4"/>
        </w:rPr>
        <w:t xml:space="preserve"> </w:t>
      </w:r>
      <w:r>
        <w:rPr>
          <w:color w:val="365F91"/>
        </w:rPr>
        <w:t>–</w:t>
      </w:r>
      <w:r>
        <w:rPr>
          <w:color w:val="365F91"/>
          <w:spacing w:val="-5"/>
        </w:rPr>
        <w:t xml:space="preserve"> </w:t>
      </w:r>
      <w:r>
        <w:rPr>
          <w:color w:val="365F91"/>
          <w:spacing w:val="-2"/>
        </w:rPr>
        <w:t>MassHire</w:t>
      </w:r>
    </w:p>
    <w:p w:rsidR="00200FDA" w:rsidRDefault="00F76C4C">
      <w:pPr>
        <w:pStyle w:val="BodyText"/>
        <w:spacing w:before="8"/>
        <w:rPr>
          <w:sz w:val="3"/>
        </w:rPr>
      </w:pPr>
      <w:r>
        <w:pict>
          <v:rect id="docshape637" o:spid="_x0000_s1033" style="position:absolute;margin-left:70.55pt;margin-top:3.45pt;width:470.9pt;height:.5pt;z-index:-15593472;mso-wrap-distance-left:0;mso-wrap-distance-right:0;mso-position-horizontal-relative:page" fillcolor="#4f81bc" stroked="f">
            <w10:wrap type="topAndBottom" anchorx="page"/>
          </v:rect>
        </w:pict>
      </w:r>
    </w:p>
    <w:p w:rsidR="00200FDA" w:rsidRDefault="00200FDA">
      <w:pPr>
        <w:pStyle w:val="BodyText"/>
        <w:rPr>
          <w:sz w:val="20"/>
        </w:rPr>
      </w:pPr>
    </w:p>
    <w:p w:rsidR="00200FDA" w:rsidRDefault="00F76C4C">
      <w:pPr>
        <w:spacing w:before="187"/>
        <w:ind w:left="280"/>
        <w:rPr>
          <w:sz w:val="28"/>
        </w:rPr>
      </w:pPr>
      <w:r>
        <w:pict>
          <v:rect id="docshape638" o:spid="_x0000_s1032" style="position:absolute;left:0;text-align:left;margin-left:70.55pt;margin-top:27.35pt;width:470.9pt;height:.5pt;z-index:-15592960;mso-wrap-distance-left:0;mso-wrap-distance-right:0;mso-position-horizontal-relative:page" fillcolor="#4f81bc" stroked="f">
            <w10:wrap type="topAndBottom" anchorx="page"/>
          </v:rect>
        </w:pict>
      </w:r>
      <w:bookmarkStart w:id="1192" w:name="FY_2024_Recommendations"/>
      <w:bookmarkEnd w:id="1192"/>
      <w:r>
        <w:rPr>
          <w:color w:val="365F91"/>
          <w:sz w:val="28"/>
        </w:rPr>
        <w:t>FY</w:t>
      </w:r>
      <w:r>
        <w:rPr>
          <w:color w:val="365F91"/>
          <w:spacing w:val="-3"/>
          <w:sz w:val="28"/>
        </w:rPr>
        <w:t xml:space="preserve"> </w:t>
      </w:r>
      <w:r>
        <w:rPr>
          <w:color w:val="365F91"/>
          <w:sz w:val="28"/>
        </w:rPr>
        <w:t>2024</w:t>
      </w:r>
      <w:r>
        <w:rPr>
          <w:color w:val="365F91"/>
          <w:spacing w:val="-3"/>
          <w:sz w:val="28"/>
        </w:rPr>
        <w:t xml:space="preserve"> </w:t>
      </w:r>
      <w:r>
        <w:rPr>
          <w:color w:val="365F91"/>
          <w:spacing w:val="-2"/>
          <w:sz w:val="28"/>
        </w:rPr>
        <w:t>Recommendations</w:t>
      </w:r>
    </w:p>
    <w:p w:rsidR="00200FDA" w:rsidRDefault="00200FDA">
      <w:pPr>
        <w:pStyle w:val="BodyText"/>
        <w:rPr>
          <w:sz w:val="20"/>
        </w:rPr>
      </w:pPr>
    </w:p>
    <w:p w:rsidR="00200FDA" w:rsidRDefault="00F76C4C">
      <w:pPr>
        <w:pStyle w:val="ListParagraph"/>
        <w:numPr>
          <w:ilvl w:val="1"/>
          <w:numId w:val="3"/>
        </w:numPr>
        <w:tabs>
          <w:tab w:val="left" w:pos="1001"/>
        </w:tabs>
        <w:spacing w:before="196"/>
      </w:pPr>
      <w:r>
        <w:t>Promote</w:t>
      </w:r>
      <w:r>
        <w:rPr>
          <w:spacing w:val="-8"/>
        </w:rPr>
        <w:t xml:space="preserve"> </w:t>
      </w:r>
      <w:r>
        <w:t>job</w:t>
      </w:r>
      <w:r>
        <w:rPr>
          <w:spacing w:val="-6"/>
        </w:rPr>
        <w:t xml:space="preserve"> </w:t>
      </w:r>
      <w:r>
        <w:t>opportunities</w:t>
      </w:r>
      <w:r>
        <w:rPr>
          <w:spacing w:val="-8"/>
        </w:rPr>
        <w:t xml:space="preserve"> </w:t>
      </w:r>
      <w:r>
        <w:t>to</w:t>
      </w:r>
      <w:r>
        <w:rPr>
          <w:spacing w:val="-4"/>
        </w:rPr>
        <w:t xml:space="preserve"> </w:t>
      </w:r>
      <w:r>
        <w:t>LGBTQ</w:t>
      </w:r>
      <w:r>
        <w:rPr>
          <w:spacing w:val="-3"/>
        </w:rPr>
        <w:t xml:space="preserve"> </w:t>
      </w:r>
      <w:r>
        <w:rPr>
          <w:spacing w:val="-2"/>
        </w:rPr>
        <w:t>youth.</w:t>
      </w:r>
    </w:p>
    <w:p w:rsidR="00200FDA" w:rsidRDefault="00F76C4C">
      <w:pPr>
        <w:pStyle w:val="ListParagraph"/>
        <w:numPr>
          <w:ilvl w:val="1"/>
          <w:numId w:val="3"/>
        </w:numPr>
        <w:tabs>
          <w:tab w:val="left" w:pos="1001"/>
        </w:tabs>
        <w:spacing w:before="135" w:line="360" w:lineRule="auto"/>
        <w:ind w:right="274"/>
      </w:pPr>
      <w:r>
        <w:t>Review</w:t>
      </w:r>
      <w:r>
        <w:rPr>
          <w:spacing w:val="40"/>
        </w:rPr>
        <w:t xml:space="preserve"> </w:t>
      </w:r>
      <w:r>
        <w:t>SOGIE</w:t>
      </w:r>
      <w:r>
        <w:rPr>
          <w:spacing w:val="40"/>
        </w:rPr>
        <w:t xml:space="preserve"> </w:t>
      </w:r>
      <w:r>
        <w:t>data</w:t>
      </w:r>
      <w:r>
        <w:rPr>
          <w:spacing w:val="40"/>
        </w:rPr>
        <w:t xml:space="preserve"> </w:t>
      </w:r>
      <w:r>
        <w:t>collection</w:t>
      </w:r>
      <w:r>
        <w:rPr>
          <w:spacing w:val="40"/>
        </w:rPr>
        <w:t xml:space="preserve"> </w:t>
      </w:r>
      <w:r>
        <w:t>methods</w:t>
      </w:r>
      <w:r>
        <w:rPr>
          <w:spacing w:val="40"/>
        </w:rPr>
        <w:t xml:space="preserve"> </w:t>
      </w:r>
      <w:r>
        <w:t>to</w:t>
      </w:r>
      <w:r>
        <w:rPr>
          <w:spacing w:val="40"/>
        </w:rPr>
        <w:t xml:space="preserve"> </w:t>
      </w:r>
      <w:r>
        <w:t>reflect</w:t>
      </w:r>
      <w:r>
        <w:rPr>
          <w:spacing w:val="40"/>
        </w:rPr>
        <w:t xml:space="preserve"> </w:t>
      </w:r>
      <w:r>
        <w:t>best</w:t>
      </w:r>
      <w:r>
        <w:rPr>
          <w:spacing w:val="40"/>
        </w:rPr>
        <w:t xml:space="preserve"> </w:t>
      </w:r>
      <w:r>
        <w:t>practices</w:t>
      </w:r>
      <w:r>
        <w:rPr>
          <w:spacing w:val="40"/>
        </w:rPr>
        <w:t xml:space="preserve"> </w:t>
      </w:r>
      <w:r>
        <w:t>on</w:t>
      </w:r>
      <w:r>
        <w:rPr>
          <w:spacing w:val="40"/>
        </w:rPr>
        <w:t xml:space="preserve"> </w:t>
      </w:r>
      <w:r>
        <w:t>LGBTQ-related</w:t>
      </w:r>
      <w:r>
        <w:rPr>
          <w:spacing w:val="40"/>
        </w:rPr>
        <w:t xml:space="preserve"> </w:t>
      </w:r>
      <w:r>
        <w:t>data</w:t>
      </w:r>
      <w:r>
        <w:rPr>
          <w:spacing w:val="40"/>
        </w:rPr>
        <w:t xml:space="preserve"> </w:t>
      </w:r>
      <w:r>
        <w:t>and evaluate that data to improve LGBTQ client experiences.</w:t>
      </w:r>
    </w:p>
    <w:p w:rsidR="00200FDA" w:rsidRDefault="00F76C4C">
      <w:pPr>
        <w:pStyle w:val="ListParagraph"/>
        <w:numPr>
          <w:ilvl w:val="1"/>
          <w:numId w:val="3"/>
        </w:numPr>
        <w:tabs>
          <w:tab w:val="left" w:pos="1001"/>
        </w:tabs>
        <w:spacing w:before="1"/>
      </w:pPr>
      <w:r>
        <w:t>Facilitate</w:t>
      </w:r>
      <w:r>
        <w:rPr>
          <w:spacing w:val="-7"/>
        </w:rPr>
        <w:t xml:space="preserve"> </w:t>
      </w:r>
      <w:r>
        <w:t>mandatory</w:t>
      </w:r>
      <w:r>
        <w:rPr>
          <w:spacing w:val="-4"/>
        </w:rPr>
        <w:t xml:space="preserve"> </w:t>
      </w:r>
      <w:r>
        <w:t>LGBTQ</w:t>
      </w:r>
      <w:r>
        <w:rPr>
          <w:spacing w:val="-5"/>
        </w:rPr>
        <w:t xml:space="preserve"> </w:t>
      </w:r>
      <w:r>
        <w:t>cultural</w:t>
      </w:r>
      <w:r>
        <w:rPr>
          <w:spacing w:val="-5"/>
        </w:rPr>
        <w:t xml:space="preserve"> </w:t>
      </w:r>
      <w:r>
        <w:t>awareness</w:t>
      </w:r>
      <w:r>
        <w:rPr>
          <w:spacing w:val="-4"/>
        </w:rPr>
        <w:t xml:space="preserve"> </w:t>
      </w:r>
      <w:r>
        <w:t>and</w:t>
      </w:r>
      <w:r>
        <w:rPr>
          <w:spacing w:val="-6"/>
        </w:rPr>
        <w:t xml:space="preserve"> </w:t>
      </w:r>
      <w:r>
        <w:t>racial</w:t>
      </w:r>
      <w:r>
        <w:rPr>
          <w:spacing w:val="-5"/>
        </w:rPr>
        <w:t xml:space="preserve"> </w:t>
      </w:r>
      <w:r>
        <w:t>equity</w:t>
      </w:r>
      <w:r>
        <w:rPr>
          <w:spacing w:val="-6"/>
        </w:rPr>
        <w:t xml:space="preserve"> </w:t>
      </w:r>
      <w:r>
        <w:t>trainings</w:t>
      </w:r>
      <w:r>
        <w:rPr>
          <w:spacing w:val="-5"/>
        </w:rPr>
        <w:t xml:space="preserve"> </w:t>
      </w:r>
      <w:r>
        <w:t>for</w:t>
      </w:r>
      <w:r>
        <w:rPr>
          <w:spacing w:val="-5"/>
        </w:rPr>
        <w:t xml:space="preserve"> </w:t>
      </w:r>
      <w:r>
        <w:t>all</w:t>
      </w:r>
      <w:r>
        <w:rPr>
          <w:spacing w:val="-6"/>
        </w:rPr>
        <w:t xml:space="preserve"> </w:t>
      </w:r>
      <w:r>
        <w:rPr>
          <w:spacing w:val="-2"/>
        </w:rPr>
        <w:t>staff.</w:t>
      </w:r>
    </w:p>
    <w:p w:rsidR="00200FDA" w:rsidRDefault="00F76C4C">
      <w:pPr>
        <w:pStyle w:val="ListParagraph"/>
        <w:numPr>
          <w:ilvl w:val="1"/>
          <w:numId w:val="3"/>
        </w:numPr>
        <w:tabs>
          <w:tab w:val="left" w:pos="1001"/>
        </w:tabs>
        <w:spacing w:before="134"/>
      </w:pPr>
      <w:r>
        <w:t>Create</w:t>
      </w:r>
      <w:r>
        <w:rPr>
          <w:spacing w:val="-7"/>
        </w:rPr>
        <w:t xml:space="preserve"> </w:t>
      </w:r>
      <w:r>
        <w:t>and</w:t>
      </w:r>
      <w:r>
        <w:rPr>
          <w:spacing w:val="-5"/>
        </w:rPr>
        <w:t xml:space="preserve"> </w:t>
      </w:r>
      <w:r>
        <w:t>hire</w:t>
      </w:r>
      <w:r>
        <w:rPr>
          <w:spacing w:val="-4"/>
        </w:rPr>
        <w:t xml:space="preserve"> </w:t>
      </w:r>
      <w:r>
        <w:t>a</w:t>
      </w:r>
      <w:r>
        <w:rPr>
          <w:spacing w:val="-4"/>
        </w:rPr>
        <w:t xml:space="preserve"> </w:t>
      </w:r>
      <w:r>
        <w:t>dedicated</w:t>
      </w:r>
      <w:r>
        <w:rPr>
          <w:spacing w:val="-5"/>
        </w:rPr>
        <w:t xml:space="preserve"> </w:t>
      </w:r>
      <w:r>
        <w:t>LGBTQ-specific</w:t>
      </w:r>
      <w:r>
        <w:rPr>
          <w:spacing w:val="-6"/>
        </w:rPr>
        <w:t xml:space="preserve"> </w:t>
      </w:r>
      <w:r>
        <w:t>staff</w:t>
      </w:r>
      <w:r>
        <w:rPr>
          <w:spacing w:val="-4"/>
        </w:rPr>
        <w:t xml:space="preserve"> </w:t>
      </w:r>
      <w:r>
        <w:rPr>
          <w:spacing w:val="-2"/>
        </w:rPr>
        <w:t>person.</w:t>
      </w:r>
    </w:p>
    <w:p w:rsidR="00200FDA" w:rsidRDefault="00200FDA">
      <w:pPr>
        <w:pStyle w:val="BodyText"/>
      </w:pPr>
    </w:p>
    <w:p w:rsidR="00200FDA" w:rsidRDefault="00200FDA">
      <w:pPr>
        <w:pStyle w:val="BodyText"/>
        <w:spacing w:before="11"/>
        <w:rPr>
          <w:sz w:val="21"/>
        </w:rPr>
      </w:pPr>
    </w:p>
    <w:p w:rsidR="00200FDA" w:rsidRDefault="00F76C4C">
      <w:pPr>
        <w:pStyle w:val="Heading7"/>
        <w:spacing w:before="1"/>
      </w:pPr>
      <w:r>
        <w:pict>
          <v:rect id="docshape639" o:spid="_x0000_s1031" style="position:absolute;left:0;text-align:left;margin-left:70.55pt;margin-top:18.05pt;width:470.9pt;height:.5pt;z-index:-15592448;mso-wrap-distance-left:0;mso-wrap-distance-right:0;mso-position-horizontal-relative:page" fillcolor="#4f81bc" stroked="f">
            <w10:wrap type="topAndBottom" anchorx="page"/>
          </v:rect>
        </w:pict>
      </w:r>
      <w:bookmarkStart w:id="1193" w:name="Introduction"/>
      <w:bookmarkEnd w:id="1193"/>
      <w:r>
        <w:rPr>
          <w:color w:val="365F91"/>
          <w:spacing w:val="-2"/>
        </w:rPr>
        <w:t>Introduction</w:t>
      </w:r>
    </w:p>
    <w:p w:rsidR="00200FDA" w:rsidRDefault="00200FDA">
      <w:pPr>
        <w:pStyle w:val="BodyText"/>
        <w:spacing w:before="2"/>
        <w:rPr>
          <w:sz w:val="28"/>
        </w:rPr>
      </w:pPr>
    </w:p>
    <w:p w:rsidR="00200FDA" w:rsidRDefault="00F76C4C">
      <w:pPr>
        <w:pStyle w:val="BodyText"/>
        <w:spacing w:before="56" w:line="276" w:lineRule="auto"/>
        <w:ind w:left="280" w:right="276"/>
        <w:jc w:val="both"/>
      </w:pPr>
      <w:r>
        <w:t>The MassHire Department</w:t>
      </w:r>
      <w:r>
        <w:rPr>
          <w:spacing w:val="-1"/>
        </w:rPr>
        <w:t xml:space="preserve"> </w:t>
      </w:r>
      <w:r>
        <w:t>of Career Services</w:t>
      </w:r>
      <w:r>
        <w:rPr>
          <w:spacing w:val="-2"/>
        </w:rPr>
        <w:t xml:space="preserve"> </w:t>
      </w:r>
      <w:r>
        <w:t>oversees</w:t>
      </w:r>
      <w:r>
        <w:rPr>
          <w:spacing w:val="-2"/>
        </w:rPr>
        <w:t xml:space="preserve"> </w:t>
      </w:r>
      <w:r>
        <w:t xml:space="preserve">workforce development activities, which includes providing access to quality education, skills training, and employment opportunities for job seekers. Through its statewide network of 29 </w:t>
      </w:r>
      <w:hyperlink r:id="rId874">
        <w:r>
          <w:rPr>
            <w:color w:val="1154CC"/>
            <w:u w:val="single" w:color="1154CC"/>
          </w:rPr>
          <w:t>MassH</w:t>
        </w:r>
        <w:r>
          <w:rPr>
            <w:color w:val="1154CC"/>
            <w:u w:val="single" w:color="1154CC"/>
          </w:rPr>
          <w:t>ire Career Centers</w:t>
        </w:r>
      </w:hyperlink>
      <w:r>
        <w:rPr>
          <w:color w:val="1154CC"/>
        </w:rPr>
        <w:t xml:space="preserve"> </w:t>
      </w:r>
      <w:r>
        <w:t xml:space="preserve">and </w:t>
      </w:r>
      <w:hyperlink r:id="rId875">
        <w:r>
          <w:rPr>
            <w:color w:val="1154CC"/>
            <w:u w:val="single" w:color="1154CC"/>
          </w:rPr>
          <w:t>17 MassHire Workforce Boards</w:t>
        </w:r>
        <w:r>
          <w:t>,</w:t>
        </w:r>
      </w:hyperlink>
      <w:r>
        <w:t xml:space="preserve"> MassHire works to build connections between businesses and job seekers by helping residents and em</w:t>
      </w:r>
      <w:r>
        <w:t>ployers with resources, job matching, tax credit programs, and labor market information.</w:t>
      </w:r>
    </w:p>
    <w:p w:rsidR="00200FDA" w:rsidRDefault="00200FDA">
      <w:pPr>
        <w:pStyle w:val="BodyText"/>
        <w:spacing w:before="7"/>
        <w:rPr>
          <w:sz w:val="32"/>
        </w:rPr>
      </w:pPr>
    </w:p>
    <w:p w:rsidR="00200FDA" w:rsidRDefault="00F76C4C">
      <w:pPr>
        <w:pStyle w:val="BodyText"/>
        <w:spacing w:line="276" w:lineRule="auto"/>
        <w:ind w:left="280" w:right="273"/>
        <w:jc w:val="both"/>
      </w:pPr>
      <w:r>
        <w:t>Despite Massachusetts’ nondiscrimination protections, LGBTQ youth continue to experience systemic barriers</w:t>
      </w:r>
      <w:r>
        <w:rPr>
          <w:spacing w:val="-1"/>
        </w:rPr>
        <w:t xml:space="preserve"> </w:t>
      </w:r>
      <w:r>
        <w:t>that</w:t>
      </w:r>
      <w:r>
        <w:rPr>
          <w:spacing w:val="-3"/>
        </w:rPr>
        <w:t xml:space="preserve"> </w:t>
      </w:r>
      <w:r>
        <w:t>make</w:t>
      </w:r>
      <w:r>
        <w:rPr>
          <w:spacing w:val="-3"/>
        </w:rPr>
        <w:t xml:space="preserve"> </w:t>
      </w:r>
      <w:r>
        <w:t>obtaining</w:t>
      </w:r>
      <w:r>
        <w:rPr>
          <w:spacing w:val="-2"/>
        </w:rPr>
        <w:t xml:space="preserve"> </w:t>
      </w:r>
      <w:r>
        <w:t>employment</w:t>
      </w:r>
      <w:r>
        <w:rPr>
          <w:spacing w:val="-3"/>
        </w:rPr>
        <w:t xml:space="preserve"> </w:t>
      </w:r>
      <w:r>
        <w:t>more</w:t>
      </w:r>
      <w:r>
        <w:rPr>
          <w:spacing w:val="-3"/>
        </w:rPr>
        <w:t xml:space="preserve"> </w:t>
      </w:r>
      <w:r>
        <w:t>difficult,</w:t>
      </w:r>
      <w:r>
        <w:rPr>
          <w:spacing w:val="-1"/>
        </w:rPr>
        <w:t xml:space="preserve"> </w:t>
      </w:r>
      <w:r>
        <w:t>including</w:t>
      </w:r>
      <w:r>
        <w:rPr>
          <w:spacing w:val="-2"/>
        </w:rPr>
        <w:t xml:space="preserve"> </w:t>
      </w:r>
      <w:r>
        <w:t>di</w:t>
      </w:r>
      <w:r>
        <w:t>scrimination,</w:t>
      </w:r>
      <w:r>
        <w:rPr>
          <w:spacing w:val="-3"/>
        </w:rPr>
        <w:t xml:space="preserve"> </w:t>
      </w:r>
      <w:r>
        <w:t>low</w:t>
      </w:r>
      <w:r>
        <w:rPr>
          <w:spacing w:val="-3"/>
        </w:rPr>
        <w:t xml:space="preserve"> </w:t>
      </w:r>
      <w:r>
        <w:t>wages,</w:t>
      </w:r>
      <w:r>
        <w:rPr>
          <w:spacing w:val="-3"/>
        </w:rPr>
        <w:t xml:space="preserve"> </w:t>
      </w:r>
      <w:r>
        <w:t>and</w:t>
      </w:r>
      <w:r>
        <w:rPr>
          <w:spacing w:val="-2"/>
        </w:rPr>
        <w:t xml:space="preserve"> </w:t>
      </w:r>
      <w:r>
        <w:t>lack</w:t>
      </w:r>
      <w:r>
        <w:rPr>
          <w:spacing w:val="-3"/>
        </w:rPr>
        <w:t xml:space="preserve"> </w:t>
      </w:r>
      <w:r>
        <w:t>of appropriate professional development opportunities. Additionally, as discussed throughout this annual report,</w:t>
      </w:r>
      <w:r>
        <w:rPr>
          <w:spacing w:val="-13"/>
        </w:rPr>
        <w:t xml:space="preserve"> </w:t>
      </w:r>
      <w:r>
        <w:t>LGBTQ</w:t>
      </w:r>
      <w:r>
        <w:rPr>
          <w:spacing w:val="-12"/>
        </w:rPr>
        <w:t xml:space="preserve"> </w:t>
      </w:r>
      <w:r>
        <w:t>youth</w:t>
      </w:r>
      <w:r>
        <w:rPr>
          <w:spacing w:val="-13"/>
        </w:rPr>
        <w:t xml:space="preserve"> </w:t>
      </w:r>
      <w:r>
        <w:t>are</w:t>
      </w:r>
      <w:r>
        <w:rPr>
          <w:spacing w:val="-12"/>
        </w:rPr>
        <w:t xml:space="preserve"> </w:t>
      </w:r>
      <w:r>
        <w:t>more</w:t>
      </w:r>
      <w:r>
        <w:rPr>
          <w:spacing w:val="-13"/>
        </w:rPr>
        <w:t xml:space="preserve"> </w:t>
      </w:r>
      <w:r>
        <w:t>likely</w:t>
      </w:r>
      <w:r>
        <w:rPr>
          <w:spacing w:val="-12"/>
        </w:rPr>
        <w:t xml:space="preserve"> </w:t>
      </w:r>
      <w:r>
        <w:t>to</w:t>
      </w:r>
      <w:r>
        <w:rPr>
          <w:spacing w:val="-13"/>
        </w:rPr>
        <w:t xml:space="preserve"> </w:t>
      </w:r>
      <w:r>
        <w:t>experience</w:t>
      </w:r>
      <w:r>
        <w:rPr>
          <w:spacing w:val="-12"/>
        </w:rPr>
        <w:t xml:space="preserve"> </w:t>
      </w:r>
      <w:r>
        <w:t>housing</w:t>
      </w:r>
      <w:r>
        <w:rPr>
          <w:spacing w:val="-12"/>
        </w:rPr>
        <w:t xml:space="preserve"> </w:t>
      </w:r>
      <w:r>
        <w:t>insecurity</w:t>
      </w:r>
      <w:r>
        <w:rPr>
          <w:spacing w:val="-13"/>
        </w:rPr>
        <w:t xml:space="preserve"> </w:t>
      </w:r>
      <w:r>
        <w:t>or</w:t>
      </w:r>
      <w:r>
        <w:rPr>
          <w:spacing w:val="-12"/>
        </w:rPr>
        <w:t xml:space="preserve"> </w:t>
      </w:r>
      <w:r>
        <w:t>homelessness,</w:t>
      </w:r>
      <w:r>
        <w:rPr>
          <w:spacing w:val="-13"/>
        </w:rPr>
        <w:t xml:space="preserve"> </w:t>
      </w:r>
      <w:r>
        <w:t>unsafe</w:t>
      </w:r>
      <w:r>
        <w:rPr>
          <w:spacing w:val="-12"/>
        </w:rPr>
        <w:t xml:space="preserve"> </w:t>
      </w:r>
      <w:r>
        <w:t>educational environments</w:t>
      </w:r>
      <w:r>
        <w:t>,</w:t>
      </w:r>
      <w:r>
        <w:rPr>
          <w:spacing w:val="-7"/>
        </w:rPr>
        <w:t xml:space="preserve"> </w:t>
      </w:r>
      <w:r>
        <w:t>lack</w:t>
      </w:r>
      <w:r>
        <w:rPr>
          <w:spacing w:val="-9"/>
        </w:rPr>
        <w:t xml:space="preserve"> </w:t>
      </w:r>
      <w:r>
        <w:t>of</w:t>
      </w:r>
      <w:r>
        <w:rPr>
          <w:spacing w:val="-7"/>
        </w:rPr>
        <w:t xml:space="preserve"> </w:t>
      </w:r>
      <w:r>
        <w:t>proper</w:t>
      </w:r>
      <w:r>
        <w:rPr>
          <w:spacing w:val="-7"/>
        </w:rPr>
        <w:t xml:space="preserve"> </w:t>
      </w:r>
      <w:r>
        <w:t>identification</w:t>
      </w:r>
      <w:r>
        <w:rPr>
          <w:spacing w:val="-7"/>
        </w:rPr>
        <w:t xml:space="preserve"> </w:t>
      </w:r>
      <w:r>
        <w:t>documents</w:t>
      </w:r>
      <w:r>
        <w:rPr>
          <w:spacing w:val="-6"/>
        </w:rPr>
        <w:t xml:space="preserve"> </w:t>
      </w:r>
      <w:r>
        <w:t>(like</w:t>
      </w:r>
      <w:r>
        <w:rPr>
          <w:spacing w:val="-8"/>
        </w:rPr>
        <w:t xml:space="preserve"> </w:t>
      </w:r>
      <w:r>
        <w:t>social</w:t>
      </w:r>
      <w:r>
        <w:rPr>
          <w:spacing w:val="-7"/>
        </w:rPr>
        <w:t xml:space="preserve"> </w:t>
      </w:r>
      <w:r>
        <w:t>security</w:t>
      </w:r>
      <w:r>
        <w:rPr>
          <w:spacing w:val="-8"/>
        </w:rPr>
        <w:t xml:space="preserve"> </w:t>
      </w:r>
      <w:r>
        <w:t>cards</w:t>
      </w:r>
      <w:r>
        <w:rPr>
          <w:spacing w:val="-9"/>
        </w:rPr>
        <w:t xml:space="preserve"> </w:t>
      </w:r>
      <w:r>
        <w:t>with</w:t>
      </w:r>
      <w:r>
        <w:rPr>
          <w:spacing w:val="-7"/>
        </w:rPr>
        <w:t xml:space="preserve"> </w:t>
      </w:r>
      <w:r>
        <w:t>their</w:t>
      </w:r>
      <w:r>
        <w:rPr>
          <w:spacing w:val="-9"/>
        </w:rPr>
        <w:t xml:space="preserve"> </w:t>
      </w:r>
      <w:r>
        <w:t>chosen</w:t>
      </w:r>
      <w:r>
        <w:rPr>
          <w:spacing w:val="-7"/>
        </w:rPr>
        <w:t xml:space="preserve"> </w:t>
      </w:r>
      <w:r>
        <w:t>name), and involvement in the criminal legal system. QTBIPOC youth are more likely to attend unsafe or underserved</w:t>
      </w:r>
      <w:r>
        <w:rPr>
          <w:spacing w:val="-7"/>
        </w:rPr>
        <w:t xml:space="preserve"> </w:t>
      </w:r>
      <w:r>
        <w:t>schools,</w:t>
      </w:r>
      <w:r>
        <w:rPr>
          <w:spacing w:val="-7"/>
        </w:rPr>
        <w:t xml:space="preserve"> </w:t>
      </w:r>
      <w:r>
        <w:t>as</w:t>
      </w:r>
      <w:r>
        <w:rPr>
          <w:spacing w:val="-9"/>
        </w:rPr>
        <w:t xml:space="preserve"> </w:t>
      </w:r>
      <w:r>
        <w:t>well</w:t>
      </w:r>
      <w:r>
        <w:rPr>
          <w:spacing w:val="-7"/>
        </w:rPr>
        <w:t xml:space="preserve"> </w:t>
      </w:r>
      <w:r>
        <w:t>as</w:t>
      </w:r>
      <w:r>
        <w:rPr>
          <w:spacing w:val="-7"/>
        </w:rPr>
        <w:t xml:space="preserve"> </w:t>
      </w:r>
      <w:r>
        <w:t>disproportionate</w:t>
      </w:r>
      <w:r>
        <w:rPr>
          <w:spacing w:val="-6"/>
        </w:rPr>
        <w:t xml:space="preserve"> </w:t>
      </w:r>
      <w:r>
        <w:t>rates</w:t>
      </w:r>
      <w:r>
        <w:rPr>
          <w:spacing w:val="-9"/>
        </w:rPr>
        <w:t xml:space="preserve"> </w:t>
      </w:r>
      <w:r>
        <w:t>of</w:t>
      </w:r>
      <w:r>
        <w:rPr>
          <w:spacing w:val="-7"/>
        </w:rPr>
        <w:t xml:space="preserve"> </w:t>
      </w:r>
      <w:r>
        <w:t>school</w:t>
      </w:r>
      <w:r>
        <w:rPr>
          <w:spacing w:val="-7"/>
        </w:rPr>
        <w:t xml:space="preserve"> </w:t>
      </w:r>
      <w:r>
        <w:t>suspensions</w:t>
      </w:r>
      <w:r>
        <w:rPr>
          <w:spacing w:val="-6"/>
        </w:rPr>
        <w:t xml:space="preserve"> </w:t>
      </w:r>
      <w:r>
        <w:t>and</w:t>
      </w:r>
      <w:r>
        <w:rPr>
          <w:spacing w:val="-10"/>
        </w:rPr>
        <w:t xml:space="preserve"> </w:t>
      </w:r>
      <w:r>
        <w:t>arrests,</w:t>
      </w:r>
      <w:r>
        <w:rPr>
          <w:spacing w:val="-9"/>
        </w:rPr>
        <w:t xml:space="preserve"> </w:t>
      </w:r>
      <w:r>
        <w:t>which</w:t>
      </w:r>
      <w:r>
        <w:rPr>
          <w:spacing w:val="-7"/>
        </w:rPr>
        <w:t xml:space="preserve"> </w:t>
      </w:r>
      <w:r>
        <w:t>put</w:t>
      </w:r>
      <w:r>
        <w:rPr>
          <w:spacing w:val="-6"/>
        </w:rPr>
        <w:t xml:space="preserve"> </w:t>
      </w:r>
      <w:r>
        <w:t>them at a distinct disadvantage when entering the workforce. It is essential to note that QTBIPOC youth face the additional burdens of social stigma and discrimination on the basis of race, ethnicity, and language.</w:t>
      </w:r>
      <w:hyperlink w:anchor="_bookmark921" w:history="1">
        <w:r>
          <w:rPr>
            <w:vertAlign w:val="superscript"/>
          </w:rPr>
          <w:t>i</w:t>
        </w:r>
      </w:hyperlink>
      <w:r>
        <w:t xml:space="preserve"> Furthermore,</w:t>
      </w:r>
      <w:r>
        <w:rPr>
          <w:spacing w:val="-10"/>
        </w:rPr>
        <w:t xml:space="preserve"> </w:t>
      </w:r>
      <w:r>
        <w:t>QTBIPOC</w:t>
      </w:r>
      <w:r>
        <w:rPr>
          <w:spacing w:val="-8"/>
        </w:rPr>
        <w:t xml:space="preserve"> </w:t>
      </w:r>
      <w:r>
        <w:t>adults</w:t>
      </w:r>
      <w:r>
        <w:rPr>
          <w:spacing w:val="-8"/>
        </w:rPr>
        <w:t xml:space="preserve"> </w:t>
      </w:r>
      <w:r>
        <w:t>have</w:t>
      </w:r>
      <w:r>
        <w:rPr>
          <w:spacing w:val="-9"/>
        </w:rPr>
        <w:t xml:space="preserve"> </w:t>
      </w:r>
      <w:r>
        <w:t>significantly</w:t>
      </w:r>
      <w:r>
        <w:rPr>
          <w:spacing w:val="-9"/>
        </w:rPr>
        <w:t xml:space="preserve"> </w:t>
      </w:r>
      <w:r>
        <w:t>higher</w:t>
      </w:r>
      <w:r>
        <w:rPr>
          <w:spacing w:val="-10"/>
        </w:rPr>
        <w:t xml:space="preserve"> </w:t>
      </w:r>
      <w:r>
        <w:t>rates</w:t>
      </w:r>
      <w:r>
        <w:rPr>
          <w:spacing w:val="-10"/>
        </w:rPr>
        <w:t xml:space="preserve"> </w:t>
      </w:r>
      <w:r>
        <w:t>of</w:t>
      </w:r>
      <w:r>
        <w:rPr>
          <w:spacing w:val="-10"/>
        </w:rPr>
        <w:t xml:space="preserve"> </w:t>
      </w:r>
      <w:r>
        <w:t>unemployment</w:t>
      </w:r>
      <w:r>
        <w:rPr>
          <w:spacing w:val="-10"/>
        </w:rPr>
        <w:t xml:space="preserve"> </w:t>
      </w:r>
      <w:r>
        <w:t>than</w:t>
      </w:r>
      <w:r>
        <w:rPr>
          <w:spacing w:val="-8"/>
        </w:rPr>
        <w:t xml:space="preserve"> </w:t>
      </w:r>
      <w:r>
        <w:t>the</w:t>
      </w:r>
      <w:r>
        <w:rPr>
          <w:spacing w:val="-9"/>
        </w:rPr>
        <w:t xml:space="preserve"> </w:t>
      </w:r>
      <w:r>
        <w:t>national</w:t>
      </w:r>
      <w:r>
        <w:rPr>
          <w:spacing w:val="-10"/>
        </w:rPr>
        <w:t xml:space="preserve"> </w:t>
      </w:r>
      <w:r>
        <w:t>average, suggesting that the obstacles QTBIPOC youth face continue to follow them throughout their lifespans.</w:t>
      </w:r>
      <w:hyperlink w:anchor="_bookmark922" w:history="1">
        <w:r>
          <w:rPr>
            <w:vertAlign w:val="superscript"/>
          </w:rPr>
          <w:t>ii</w:t>
        </w:r>
      </w:hyperlink>
    </w:p>
    <w:p w:rsidR="00200FDA" w:rsidRDefault="00200FDA">
      <w:pPr>
        <w:pStyle w:val="BodyText"/>
        <w:rPr>
          <w:sz w:val="24"/>
        </w:rPr>
      </w:pPr>
    </w:p>
    <w:p w:rsidR="00200FDA" w:rsidRDefault="00200FDA">
      <w:pPr>
        <w:pStyle w:val="BodyText"/>
        <w:spacing w:before="5"/>
        <w:rPr>
          <w:sz w:val="26"/>
        </w:rPr>
      </w:pPr>
    </w:p>
    <w:p w:rsidR="00200FDA" w:rsidRDefault="00F76C4C">
      <w:pPr>
        <w:pStyle w:val="Heading8"/>
        <w:ind w:left="280"/>
      </w:pPr>
      <w:bookmarkStart w:id="1194" w:name="Past_&amp;_Ongoing_Work"/>
      <w:bookmarkEnd w:id="1194"/>
      <w:r>
        <w:rPr>
          <w:color w:val="365F91"/>
        </w:rPr>
        <w:t>Past &amp;</w:t>
      </w:r>
      <w:r>
        <w:rPr>
          <w:color w:val="365F91"/>
          <w:spacing w:val="-1"/>
        </w:rPr>
        <w:t xml:space="preserve"> </w:t>
      </w:r>
      <w:r>
        <w:rPr>
          <w:color w:val="365F91"/>
        </w:rPr>
        <w:t>Ongoing</w:t>
      </w:r>
      <w:r>
        <w:rPr>
          <w:color w:val="365F91"/>
          <w:spacing w:val="-2"/>
        </w:rPr>
        <w:t xml:space="preserve"> </w:t>
      </w:r>
      <w:r>
        <w:rPr>
          <w:color w:val="365F91"/>
          <w:spacing w:val="-4"/>
        </w:rPr>
        <w:t>Work</w:t>
      </w:r>
    </w:p>
    <w:p w:rsidR="00200FDA" w:rsidRDefault="00200FDA">
      <w:pPr>
        <w:pStyle w:val="BodyText"/>
        <w:spacing w:before="7"/>
        <w:rPr>
          <w:sz w:val="32"/>
        </w:rPr>
      </w:pPr>
    </w:p>
    <w:p w:rsidR="00200FDA" w:rsidRDefault="00F76C4C">
      <w:pPr>
        <w:pStyle w:val="BodyText"/>
        <w:spacing w:before="1" w:line="276" w:lineRule="auto"/>
        <w:ind w:left="280" w:right="275"/>
        <w:jc w:val="both"/>
      </w:pPr>
      <w:r>
        <w:t>Since</w:t>
      </w:r>
      <w:r>
        <w:rPr>
          <w:spacing w:val="-4"/>
        </w:rPr>
        <w:t xml:space="preserve"> </w:t>
      </w:r>
      <w:r>
        <w:t>the</w:t>
      </w:r>
      <w:r>
        <w:rPr>
          <w:spacing w:val="-4"/>
        </w:rPr>
        <w:t xml:space="preserve"> </w:t>
      </w:r>
      <w:r>
        <w:t>Commission</w:t>
      </w:r>
      <w:r>
        <w:rPr>
          <w:spacing w:val="-5"/>
        </w:rPr>
        <w:t xml:space="preserve"> </w:t>
      </w:r>
      <w:r>
        <w:t>has</w:t>
      </w:r>
      <w:r>
        <w:rPr>
          <w:spacing w:val="-7"/>
        </w:rPr>
        <w:t xml:space="preserve"> </w:t>
      </w:r>
      <w:r>
        <w:t>begun</w:t>
      </w:r>
      <w:r>
        <w:rPr>
          <w:spacing w:val="-5"/>
        </w:rPr>
        <w:t xml:space="preserve"> </w:t>
      </w:r>
      <w:r>
        <w:t>working</w:t>
      </w:r>
      <w:r>
        <w:rPr>
          <w:spacing w:val="-7"/>
        </w:rPr>
        <w:t xml:space="preserve"> </w:t>
      </w:r>
      <w:r>
        <w:t>with</w:t>
      </w:r>
      <w:r>
        <w:rPr>
          <w:spacing w:val="-5"/>
        </w:rPr>
        <w:t xml:space="preserve"> </w:t>
      </w:r>
      <w:r>
        <w:t>MassHire,</w:t>
      </w:r>
      <w:r>
        <w:rPr>
          <w:spacing w:val="-4"/>
        </w:rPr>
        <w:t xml:space="preserve"> </w:t>
      </w:r>
      <w:r>
        <w:t>the</w:t>
      </w:r>
      <w:r>
        <w:rPr>
          <w:spacing w:val="-4"/>
        </w:rPr>
        <w:t xml:space="preserve"> </w:t>
      </w:r>
      <w:r>
        <w:t>agency</w:t>
      </w:r>
      <w:r>
        <w:rPr>
          <w:spacing w:val="-3"/>
        </w:rPr>
        <w:t xml:space="preserve"> </w:t>
      </w:r>
      <w:r>
        <w:t>has</w:t>
      </w:r>
      <w:r>
        <w:rPr>
          <w:spacing w:val="-7"/>
        </w:rPr>
        <w:t xml:space="preserve"> </w:t>
      </w:r>
      <w:r>
        <w:t>made</w:t>
      </w:r>
      <w:r>
        <w:rPr>
          <w:spacing w:val="-4"/>
        </w:rPr>
        <w:t xml:space="preserve"> </w:t>
      </w:r>
      <w:r>
        <w:t>commendable</w:t>
      </w:r>
      <w:r>
        <w:rPr>
          <w:spacing w:val="-4"/>
        </w:rPr>
        <w:t xml:space="preserve"> </w:t>
      </w:r>
      <w:r>
        <w:t>progress</w:t>
      </w:r>
      <w:r>
        <w:rPr>
          <w:spacing w:val="-4"/>
        </w:rPr>
        <w:t xml:space="preserve"> </w:t>
      </w:r>
      <w:r>
        <w:t>in a few areas of the Commission’s recommendations. In 2021, MassHire updated its intake and data collection procedures to include a nonbinary gender marker, and further allows clients to self-select whether</w:t>
      </w:r>
      <w:r>
        <w:rPr>
          <w:spacing w:val="14"/>
        </w:rPr>
        <w:t xml:space="preserve"> </w:t>
      </w:r>
      <w:r>
        <w:t>they</w:t>
      </w:r>
      <w:r>
        <w:rPr>
          <w:spacing w:val="17"/>
        </w:rPr>
        <w:t xml:space="preserve"> </w:t>
      </w:r>
      <w:r>
        <w:t>had</w:t>
      </w:r>
      <w:r>
        <w:rPr>
          <w:spacing w:val="16"/>
        </w:rPr>
        <w:t xml:space="preserve"> </w:t>
      </w:r>
      <w:r>
        <w:t>registered</w:t>
      </w:r>
      <w:r>
        <w:rPr>
          <w:spacing w:val="16"/>
        </w:rPr>
        <w:t xml:space="preserve"> </w:t>
      </w:r>
      <w:r>
        <w:t>with the</w:t>
      </w:r>
      <w:r>
        <w:rPr>
          <w:spacing w:val="14"/>
        </w:rPr>
        <w:t xml:space="preserve"> </w:t>
      </w:r>
      <w:r>
        <w:t>selective</w:t>
      </w:r>
      <w:r>
        <w:rPr>
          <w:spacing w:val="15"/>
        </w:rPr>
        <w:t xml:space="preserve"> </w:t>
      </w:r>
      <w:r>
        <w:t>service</w:t>
      </w:r>
      <w:r>
        <w:rPr>
          <w:spacing w:val="17"/>
        </w:rPr>
        <w:t xml:space="preserve"> </w:t>
      </w:r>
      <w:r>
        <w:t>(</w:t>
      </w:r>
      <w:r>
        <w:t>more</w:t>
      </w:r>
      <w:r>
        <w:rPr>
          <w:spacing w:val="14"/>
        </w:rPr>
        <w:t xml:space="preserve"> </w:t>
      </w:r>
      <w:r>
        <w:t>colloquially</w:t>
      </w:r>
      <w:r>
        <w:rPr>
          <w:spacing w:val="15"/>
        </w:rPr>
        <w:t xml:space="preserve"> </w:t>
      </w:r>
      <w:r>
        <w:t>known</w:t>
      </w:r>
      <w:r>
        <w:rPr>
          <w:spacing w:val="16"/>
        </w:rPr>
        <w:t xml:space="preserve"> </w:t>
      </w:r>
      <w:r>
        <w:t>as</w:t>
      </w:r>
      <w:r>
        <w:rPr>
          <w:spacing w:val="16"/>
        </w:rPr>
        <w:t xml:space="preserve"> </w:t>
      </w:r>
      <w:r>
        <w:t>the</w:t>
      </w:r>
      <w:r>
        <w:rPr>
          <w:spacing w:val="15"/>
        </w:rPr>
        <w:t xml:space="preserve"> </w:t>
      </w:r>
      <w:r>
        <w:t>military</w:t>
      </w:r>
      <w:r>
        <w:rPr>
          <w:spacing w:val="17"/>
        </w:rPr>
        <w:t xml:space="preserve"> </w:t>
      </w:r>
      <w:r>
        <w:t>draft),</w:t>
      </w:r>
    </w:p>
    <w:p w:rsidR="00200FDA" w:rsidRDefault="00200FDA">
      <w:pPr>
        <w:spacing w:line="276" w:lineRule="auto"/>
        <w:jc w:val="both"/>
        <w:sectPr w:rsidR="00200FDA">
          <w:headerReference w:type="default" r:id="rId876"/>
          <w:footerReference w:type="default" r:id="rId877"/>
          <w:pgSz w:w="12240" w:h="15840"/>
          <w:pgMar w:top="1260" w:right="1160" w:bottom="1240" w:left="1160" w:header="762" w:footer="1043" w:gutter="0"/>
          <w:cols w:space="720"/>
        </w:sectPr>
      </w:pPr>
    </w:p>
    <w:p w:rsidR="00200FDA" w:rsidRDefault="00200FDA">
      <w:pPr>
        <w:pStyle w:val="BodyText"/>
        <w:rPr>
          <w:sz w:val="9"/>
        </w:rPr>
      </w:pPr>
    </w:p>
    <w:p w:rsidR="00200FDA" w:rsidRDefault="00F76C4C">
      <w:pPr>
        <w:pStyle w:val="BodyText"/>
        <w:spacing w:before="56" w:line="276" w:lineRule="auto"/>
        <w:ind w:left="279" w:right="275"/>
        <w:jc w:val="both"/>
      </w:pPr>
      <w:r>
        <w:t>which is a federal requirement only for those assigned-male-at-birth. Additionally, the Commission worked with MassHire in 2017 to update and revise its nondiscrimination policy to be LGBTQ-inclusive. The Commission looks forward to continuing its collabor</w:t>
      </w:r>
      <w:r>
        <w:t>ations with MassHire in FY 2024, including through an upcoming meeting with DCS youth specialists.</w:t>
      </w:r>
    </w:p>
    <w:p w:rsidR="00200FDA" w:rsidRDefault="00200FDA">
      <w:pPr>
        <w:pStyle w:val="BodyText"/>
        <w:spacing w:before="11"/>
        <w:rPr>
          <w:sz w:val="32"/>
        </w:rPr>
      </w:pPr>
    </w:p>
    <w:p w:rsidR="00200FDA" w:rsidRDefault="00F76C4C">
      <w:pPr>
        <w:pStyle w:val="Heading7"/>
        <w:jc w:val="both"/>
      </w:pPr>
      <w:r>
        <w:pict>
          <v:rect id="docshape640" o:spid="_x0000_s1030" style="position:absolute;left:0;text-align:left;margin-left:70.55pt;margin-top:18pt;width:470.9pt;height:.5pt;z-index:-15591936;mso-wrap-distance-left:0;mso-wrap-distance-right:0;mso-position-horizontal-relative:page" fillcolor="#4f81bc" stroked="f">
            <w10:wrap type="topAndBottom" anchorx="page"/>
          </v:rect>
        </w:pict>
      </w:r>
      <w:bookmarkStart w:id="1195" w:name="FY_2024_Expanded_MassHire_Recommendation"/>
      <w:bookmarkEnd w:id="1195"/>
      <w:r>
        <w:rPr>
          <w:color w:val="365F91"/>
        </w:rPr>
        <w:t>FY</w:t>
      </w:r>
      <w:r>
        <w:rPr>
          <w:color w:val="365F91"/>
          <w:spacing w:val="-5"/>
        </w:rPr>
        <w:t xml:space="preserve"> </w:t>
      </w:r>
      <w:r>
        <w:rPr>
          <w:color w:val="365F91"/>
        </w:rPr>
        <w:t>2024</w:t>
      </w:r>
      <w:r>
        <w:rPr>
          <w:color w:val="365F91"/>
          <w:spacing w:val="-5"/>
        </w:rPr>
        <w:t xml:space="preserve"> </w:t>
      </w:r>
      <w:r>
        <w:rPr>
          <w:color w:val="365F91"/>
        </w:rPr>
        <w:t>Expanded</w:t>
      </w:r>
      <w:r>
        <w:rPr>
          <w:color w:val="365F91"/>
          <w:spacing w:val="-3"/>
        </w:rPr>
        <w:t xml:space="preserve"> </w:t>
      </w:r>
      <w:r>
        <w:rPr>
          <w:color w:val="365F91"/>
        </w:rPr>
        <w:t>MassHire</w:t>
      </w:r>
      <w:r>
        <w:rPr>
          <w:color w:val="365F91"/>
          <w:spacing w:val="-5"/>
        </w:rPr>
        <w:t xml:space="preserve"> </w:t>
      </w:r>
      <w:r>
        <w:rPr>
          <w:color w:val="365F91"/>
          <w:spacing w:val="-2"/>
        </w:rPr>
        <w:t>Recommendations</w:t>
      </w:r>
    </w:p>
    <w:p w:rsidR="00200FDA" w:rsidRDefault="00200FDA">
      <w:pPr>
        <w:pStyle w:val="BodyText"/>
        <w:spacing w:before="2"/>
        <w:rPr>
          <w:sz w:val="28"/>
        </w:rPr>
      </w:pPr>
    </w:p>
    <w:p w:rsidR="00200FDA" w:rsidRDefault="00F76C4C">
      <w:pPr>
        <w:pStyle w:val="Heading9"/>
        <w:numPr>
          <w:ilvl w:val="0"/>
          <w:numId w:val="2"/>
        </w:numPr>
        <w:tabs>
          <w:tab w:val="left" w:pos="501"/>
        </w:tabs>
        <w:spacing w:before="56"/>
      </w:pPr>
      <w:r>
        <w:t>Promote</w:t>
      </w:r>
      <w:r>
        <w:rPr>
          <w:spacing w:val="-7"/>
        </w:rPr>
        <w:t xml:space="preserve"> </w:t>
      </w:r>
      <w:r>
        <w:t>job</w:t>
      </w:r>
      <w:r>
        <w:rPr>
          <w:spacing w:val="-5"/>
        </w:rPr>
        <w:t xml:space="preserve"> </w:t>
      </w:r>
      <w:r>
        <w:t>opportunities</w:t>
      </w:r>
      <w:r>
        <w:rPr>
          <w:spacing w:val="-4"/>
        </w:rPr>
        <w:t xml:space="preserve"> </w:t>
      </w:r>
      <w:r>
        <w:t>to</w:t>
      </w:r>
      <w:r>
        <w:rPr>
          <w:spacing w:val="-6"/>
        </w:rPr>
        <w:t xml:space="preserve"> </w:t>
      </w:r>
      <w:r>
        <w:t>LGBTQ</w:t>
      </w:r>
      <w:r>
        <w:rPr>
          <w:spacing w:val="-6"/>
        </w:rPr>
        <w:t xml:space="preserve"> </w:t>
      </w:r>
      <w:r>
        <w:rPr>
          <w:spacing w:val="-2"/>
        </w:rPr>
        <w:t>youth.</w:t>
      </w:r>
    </w:p>
    <w:p w:rsidR="00200FDA" w:rsidRDefault="00200FDA">
      <w:pPr>
        <w:pStyle w:val="BodyText"/>
        <w:rPr>
          <w:b/>
        </w:rPr>
      </w:pPr>
    </w:p>
    <w:p w:rsidR="00200FDA" w:rsidRDefault="00F76C4C">
      <w:pPr>
        <w:pStyle w:val="BodyText"/>
        <w:spacing w:before="171" w:line="276" w:lineRule="auto"/>
        <w:ind w:left="280" w:right="275"/>
        <w:jc w:val="both"/>
      </w:pPr>
      <w:r>
        <w:t>In the fall of 2023, the Safe Schools Program and Commission staff hosted a panel for LGBTQ youth on being ‘out’ in the workplace and career readiness. One of the standout questions that staff members received</w:t>
      </w:r>
      <w:r>
        <w:rPr>
          <w:spacing w:val="-2"/>
        </w:rPr>
        <w:t xml:space="preserve"> </w:t>
      </w:r>
      <w:r>
        <w:t>was how</w:t>
      </w:r>
      <w:r>
        <w:rPr>
          <w:spacing w:val="-1"/>
        </w:rPr>
        <w:t xml:space="preserve"> </w:t>
      </w:r>
      <w:r>
        <w:t>they</w:t>
      </w:r>
      <w:r>
        <w:rPr>
          <w:spacing w:val="-1"/>
        </w:rPr>
        <w:t xml:space="preserve"> </w:t>
      </w:r>
      <w:r>
        <w:t>found LGBTQ-inclusive</w:t>
      </w:r>
      <w:r>
        <w:rPr>
          <w:spacing w:val="-1"/>
        </w:rPr>
        <w:t xml:space="preserve"> </w:t>
      </w:r>
      <w:r>
        <w:t>jobs,</w:t>
      </w:r>
      <w:r>
        <w:rPr>
          <w:spacing w:val="-2"/>
        </w:rPr>
        <w:t xml:space="preserve"> </w:t>
      </w:r>
      <w:r>
        <w:t>and w</w:t>
      </w:r>
      <w:r>
        <w:t>hether</w:t>
      </w:r>
      <w:r>
        <w:rPr>
          <w:spacing w:val="-2"/>
        </w:rPr>
        <w:t xml:space="preserve"> </w:t>
      </w:r>
      <w:r>
        <w:t>they</w:t>
      </w:r>
      <w:r>
        <w:rPr>
          <w:spacing w:val="-1"/>
        </w:rPr>
        <w:t xml:space="preserve"> </w:t>
      </w:r>
      <w:r>
        <w:t>had experienced discrimination at work in the last several years.</w:t>
      </w:r>
    </w:p>
    <w:p w:rsidR="00200FDA" w:rsidRDefault="00200FDA">
      <w:pPr>
        <w:pStyle w:val="BodyText"/>
        <w:spacing w:before="8"/>
        <w:rPr>
          <w:sz w:val="32"/>
        </w:rPr>
      </w:pPr>
    </w:p>
    <w:p w:rsidR="00200FDA" w:rsidRDefault="00F76C4C">
      <w:pPr>
        <w:pStyle w:val="BodyText"/>
        <w:spacing w:line="276" w:lineRule="auto"/>
        <w:ind w:left="280" w:right="274"/>
        <w:jc w:val="both"/>
      </w:pPr>
      <w:r>
        <w:t>Overwhelmingly, LGBTQ youth are beginning to make up large factions of the workforce as nearly a quarter of youth identify within the LGBTQ communities. However, dedicated resou</w:t>
      </w:r>
      <w:r>
        <w:t>rces to promoting LGBTQ-inclusive</w:t>
      </w:r>
      <w:r>
        <w:rPr>
          <w:spacing w:val="-11"/>
        </w:rPr>
        <w:t xml:space="preserve"> </w:t>
      </w:r>
      <w:r>
        <w:t>job</w:t>
      </w:r>
      <w:r>
        <w:rPr>
          <w:spacing w:val="-12"/>
        </w:rPr>
        <w:t xml:space="preserve"> </w:t>
      </w:r>
      <w:r>
        <w:t>opportunities</w:t>
      </w:r>
      <w:r>
        <w:rPr>
          <w:spacing w:val="-9"/>
        </w:rPr>
        <w:t xml:space="preserve"> </w:t>
      </w:r>
      <w:r>
        <w:t>are</w:t>
      </w:r>
      <w:r>
        <w:rPr>
          <w:spacing w:val="-11"/>
        </w:rPr>
        <w:t xml:space="preserve"> </w:t>
      </w:r>
      <w:r>
        <w:t>scarce,</w:t>
      </w:r>
      <w:r>
        <w:rPr>
          <w:spacing w:val="-9"/>
        </w:rPr>
        <w:t xml:space="preserve"> </w:t>
      </w:r>
      <w:r>
        <w:t>and</w:t>
      </w:r>
      <w:r>
        <w:rPr>
          <w:spacing w:val="-12"/>
        </w:rPr>
        <w:t xml:space="preserve"> </w:t>
      </w:r>
      <w:r>
        <w:t>few</w:t>
      </w:r>
      <w:r>
        <w:rPr>
          <w:spacing w:val="-11"/>
        </w:rPr>
        <w:t xml:space="preserve"> </w:t>
      </w:r>
      <w:r>
        <w:t>companies</w:t>
      </w:r>
      <w:r>
        <w:rPr>
          <w:spacing w:val="-11"/>
        </w:rPr>
        <w:t xml:space="preserve"> </w:t>
      </w:r>
      <w:r>
        <w:t>make</w:t>
      </w:r>
      <w:r>
        <w:rPr>
          <w:spacing w:val="-11"/>
        </w:rPr>
        <w:t xml:space="preserve"> </w:t>
      </w:r>
      <w:r>
        <w:t>clear</w:t>
      </w:r>
      <w:r>
        <w:rPr>
          <w:spacing w:val="-12"/>
        </w:rPr>
        <w:t xml:space="preserve"> </w:t>
      </w:r>
      <w:r>
        <w:t>their</w:t>
      </w:r>
      <w:r>
        <w:rPr>
          <w:spacing w:val="-12"/>
        </w:rPr>
        <w:t xml:space="preserve"> </w:t>
      </w:r>
      <w:r>
        <w:t>dedication</w:t>
      </w:r>
      <w:r>
        <w:rPr>
          <w:spacing w:val="-12"/>
        </w:rPr>
        <w:t xml:space="preserve"> </w:t>
      </w:r>
      <w:r>
        <w:t>to</w:t>
      </w:r>
      <w:r>
        <w:rPr>
          <w:spacing w:val="-10"/>
        </w:rPr>
        <w:t xml:space="preserve"> </w:t>
      </w:r>
      <w:r>
        <w:t>providing a</w:t>
      </w:r>
      <w:r>
        <w:rPr>
          <w:spacing w:val="-2"/>
        </w:rPr>
        <w:t xml:space="preserve"> </w:t>
      </w:r>
      <w:r>
        <w:t>safe</w:t>
      </w:r>
      <w:r>
        <w:rPr>
          <w:spacing w:val="-4"/>
        </w:rPr>
        <w:t xml:space="preserve"> </w:t>
      </w:r>
      <w:r>
        <w:t>and</w:t>
      </w:r>
      <w:r>
        <w:rPr>
          <w:spacing w:val="-3"/>
        </w:rPr>
        <w:t xml:space="preserve"> </w:t>
      </w:r>
      <w:r>
        <w:t>inclusive</w:t>
      </w:r>
      <w:r>
        <w:rPr>
          <w:spacing w:val="-4"/>
        </w:rPr>
        <w:t xml:space="preserve"> </w:t>
      </w:r>
      <w:r>
        <w:t>work</w:t>
      </w:r>
      <w:r>
        <w:rPr>
          <w:spacing w:val="-4"/>
        </w:rPr>
        <w:t xml:space="preserve"> </w:t>
      </w:r>
      <w:r>
        <w:t>environment.</w:t>
      </w:r>
      <w:r>
        <w:rPr>
          <w:spacing w:val="-2"/>
        </w:rPr>
        <w:t xml:space="preserve"> </w:t>
      </w:r>
      <w:r>
        <w:t>As</w:t>
      </w:r>
      <w:r>
        <w:rPr>
          <w:spacing w:val="-2"/>
        </w:rPr>
        <w:t xml:space="preserve"> </w:t>
      </w:r>
      <w:r>
        <w:t>MassHire</w:t>
      </w:r>
      <w:r>
        <w:rPr>
          <w:spacing w:val="-4"/>
        </w:rPr>
        <w:t xml:space="preserve"> </w:t>
      </w:r>
      <w:r>
        <w:t>connects</w:t>
      </w:r>
      <w:r>
        <w:rPr>
          <w:spacing w:val="-4"/>
        </w:rPr>
        <w:t xml:space="preserve"> </w:t>
      </w:r>
      <w:r>
        <w:t>LGBTQ</w:t>
      </w:r>
      <w:r>
        <w:rPr>
          <w:spacing w:val="-4"/>
        </w:rPr>
        <w:t xml:space="preserve"> </w:t>
      </w:r>
      <w:r>
        <w:t>youth</w:t>
      </w:r>
      <w:r>
        <w:rPr>
          <w:spacing w:val="-3"/>
        </w:rPr>
        <w:t xml:space="preserve"> </w:t>
      </w:r>
      <w:r>
        <w:t>to</w:t>
      </w:r>
      <w:r>
        <w:rPr>
          <w:spacing w:val="-1"/>
        </w:rPr>
        <w:t xml:space="preserve"> </w:t>
      </w:r>
      <w:r>
        <w:t>jobs</w:t>
      </w:r>
      <w:r>
        <w:rPr>
          <w:spacing w:val="-2"/>
        </w:rPr>
        <w:t xml:space="preserve"> </w:t>
      </w:r>
      <w:r>
        <w:t>and</w:t>
      </w:r>
      <w:r>
        <w:rPr>
          <w:spacing w:val="-3"/>
        </w:rPr>
        <w:t xml:space="preserve"> </w:t>
      </w:r>
      <w:r>
        <w:t>career</w:t>
      </w:r>
      <w:r>
        <w:rPr>
          <w:spacing w:val="-2"/>
        </w:rPr>
        <w:t xml:space="preserve"> </w:t>
      </w:r>
      <w:r>
        <w:t>resources, it is essential</w:t>
      </w:r>
      <w:r>
        <w:rPr>
          <w:spacing w:val="-1"/>
        </w:rPr>
        <w:t xml:space="preserve"> </w:t>
      </w:r>
      <w:r>
        <w:t>that it keeps i</w:t>
      </w:r>
      <w:r>
        <w:t>n mind the unique fears many LGBTQ youth face in their workplace. One way to improve career services for LGBTQ youth is by planning and creating career fairs specifically targeted toward</w:t>
      </w:r>
      <w:r>
        <w:rPr>
          <w:spacing w:val="-6"/>
        </w:rPr>
        <w:t xml:space="preserve"> </w:t>
      </w:r>
      <w:r>
        <w:t>LGBTQ</w:t>
      </w:r>
      <w:r>
        <w:rPr>
          <w:spacing w:val="-6"/>
        </w:rPr>
        <w:t xml:space="preserve"> </w:t>
      </w:r>
      <w:r>
        <w:t>youth,</w:t>
      </w:r>
      <w:r>
        <w:rPr>
          <w:spacing w:val="-6"/>
        </w:rPr>
        <w:t xml:space="preserve"> </w:t>
      </w:r>
      <w:r>
        <w:t>such</w:t>
      </w:r>
      <w:r>
        <w:rPr>
          <w:spacing w:val="-6"/>
        </w:rPr>
        <w:t xml:space="preserve"> </w:t>
      </w:r>
      <w:r>
        <w:t>as</w:t>
      </w:r>
      <w:r>
        <w:rPr>
          <w:spacing w:val="-6"/>
        </w:rPr>
        <w:t xml:space="preserve"> </w:t>
      </w:r>
      <w:r>
        <w:t>the</w:t>
      </w:r>
      <w:r>
        <w:rPr>
          <w:spacing w:val="-6"/>
        </w:rPr>
        <w:t xml:space="preserve"> </w:t>
      </w:r>
      <w:r>
        <w:t>career</w:t>
      </w:r>
      <w:r>
        <w:rPr>
          <w:spacing w:val="-6"/>
        </w:rPr>
        <w:t xml:space="preserve"> </w:t>
      </w:r>
      <w:r>
        <w:t>fairs</w:t>
      </w:r>
      <w:r>
        <w:rPr>
          <w:spacing w:val="-6"/>
        </w:rPr>
        <w:t xml:space="preserve"> </w:t>
      </w:r>
      <w:r>
        <w:t>offered</w:t>
      </w:r>
      <w:r>
        <w:rPr>
          <w:spacing w:val="-6"/>
        </w:rPr>
        <w:t xml:space="preserve"> </w:t>
      </w:r>
      <w:r>
        <w:t>by</w:t>
      </w:r>
      <w:r>
        <w:rPr>
          <w:spacing w:val="-6"/>
        </w:rPr>
        <w:t xml:space="preserve"> </w:t>
      </w:r>
      <w:r>
        <w:t>the</w:t>
      </w:r>
      <w:r>
        <w:rPr>
          <w:spacing w:val="-6"/>
        </w:rPr>
        <w:t xml:space="preserve"> </w:t>
      </w:r>
      <w:r>
        <w:t>Massachusetts</w:t>
      </w:r>
      <w:r>
        <w:rPr>
          <w:spacing w:val="-6"/>
        </w:rPr>
        <w:t xml:space="preserve"> </w:t>
      </w:r>
      <w:r>
        <w:t>LGBT</w:t>
      </w:r>
      <w:r>
        <w:rPr>
          <w:spacing w:val="-8"/>
        </w:rPr>
        <w:t xml:space="preserve"> </w:t>
      </w:r>
      <w:r>
        <w:t>Chamber</w:t>
      </w:r>
      <w:r>
        <w:rPr>
          <w:spacing w:val="-8"/>
        </w:rPr>
        <w:t xml:space="preserve"> </w:t>
      </w:r>
      <w:r>
        <w:t>of</w:t>
      </w:r>
      <w:r>
        <w:rPr>
          <w:spacing w:val="-6"/>
        </w:rPr>
        <w:t xml:space="preserve"> </w:t>
      </w:r>
      <w:r>
        <w:t>Commerce.</w:t>
      </w:r>
    </w:p>
    <w:p w:rsidR="00200FDA" w:rsidRDefault="00200FDA">
      <w:pPr>
        <w:pStyle w:val="BodyText"/>
        <w:spacing w:before="11"/>
        <w:rPr>
          <w:sz w:val="32"/>
        </w:rPr>
      </w:pPr>
    </w:p>
    <w:p w:rsidR="00200FDA" w:rsidRDefault="00F76C4C">
      <w:pPr>
        <w:pStyle w:val="BodyText"/>
        <w:spacing w:line="276" w:lineRule="auto"/>
        <w:ind w:left="280" w:right="274"/>
        <w:jc w:val="both"/>
      </w:pPr>
      <w:r>
        <w:t>The</w:t>
      </w:r>
      <w:r>
        <w:rPr>
          <w:spacing w:val="-13"/>
        </w:rPr>
        <w:t xml:space="preserve"> </w:t>
      </w:r>
      <w:r>
        <w:t>Commission</w:t>
      </w:r>
      <w:r>
        <w:rPr>
          <w:spacing w:val="-12"/>
        </w:rPr>
        <w:t xml:space="preserve"> </w:t>
      </w:r>
      <w:r>
        <w:t>strongly</w:t>
      </w:r>
      <w:r>
        <w:rPr>
          <w:spacing w:val="-13"/>
        </w:rPr>
        <w:t xml:space="preserve"> </w:t>
      </w:r>
      <w:r>
        <w:t>recommends</w:t>
      </w:r>
      <w:r>
        <w:rPr>
          <w:spacing w:val="-12"/>
        </w:rPr>
        <w:t xml:space="preserve"> </w:t>
      </w:r>
      <w:r>
        <w:t>that</w:t>
      </w:r>
      <w:r>
        <w:rPr>
          <w:spacing w:val="-13"/>
        </w:rPr>
        <w:t xml:space="preserve"> </w:t>
      </w:r>
      <w:r>
        <w:t>MassHire</w:t>
      </w:r>
      <w:r>
        <w:rPr>
          <w:spacing w:val="-12"/>
        </w:rPr>
        <w:t xml:space="preserve"> </w:t>
      </w:r>
      <w:r>
        <w:t>work</w:t>
      </w:r>
      <w:r>
        <w:rPr>
          <w:spacing w:val="-13"/>
        </w:rPr>
        <w:t xml:space="preserve"> </w:t>
      </w:r>
      <w:r>
        <w:t>to</w:t>
      </w:r>
      <w:r>
        <w:rPr>
          <w:spacing w:val="-12"/>
        </w:rPr>
        <w:t xml:space="preserve"> </w:t>
      </w:r>
      <w:r>
        <w:t>establish</w:t>
      </w:r>
      <w:r>
        <w:rPr>
          <w:spacing w:val="-12"/>
        </w:rPr>
        <w:t xml:space="preserve"> </w:t>
      </w:r>
      <w:r>
        <w:t>a</w:t>
      </w:r>
      <w:r>
        <w:rPr>
          <w:spacing w:val="-13"/>
        </w:rPr>
        <w:t xml:space="preserve"> </w:t>
      </w:r>
      <w:r>
        <w:t>review</w:t>
      </w:r>
      <w:r>
        <w:rPr>
          <w:spacing w:val="-12"/>
        </w:rPr>
        <w:t xml:space="preserve"> </w:t>
      </w:r>
      <w:r>
        <w:t>system</w:t>
      </w:r>
      <w:r>
        <w:rPr>
          <w:spacing w:val="-13"/>
        </w:rPr>
        <w:t xml:space="preserve"> </w:t>
      </w:r>
      <w:r>
        <w:t>to</w:t>
      </w:r>
      <w:r>
        <w:rPr>
          <w:spacing w:val="-12"/>
        </w:rPr>
        <w:t xml:space="preserve"> </w:t>
      </w:r>
      <w:r>
        <w:t>connect</w:t>
      </w:r>
      <w:r>
        <w:rPr>
          <w:spacing w:val="-13"/>
        </w:rPr>
        <w:t xml:space="preserve"> </w:t>
      </w:r>
      <w:r>
        <w:t>LGBTQ youth with LGBTQ-inclusive workplaces; partnering with community organizations such as the Massachusetts LGBT Chamber of Commerce</w:t>
      </w:r>
      <w:r>
        <w:t xml:space="preserve"> will likely aid such an endeavor.</w:t>
      </w:r>
    </w:p>
    <w:p w:rsidR="00200FDA" w:rsidRDefault="00200FDA">
      <w:pPr>
        <w:pStyle w:val="BodyText"/>
        <w:spacing w:before="7"/>
        <w:rPr>
          <w:sz w:val="32"/>
        </w:rPr>
      </w:pPr>
    </w:p>
    <w:p w:rsidR="00200FDA" w:rsidRDefault="00F76C4C">
      <w:pPr>
        <w:pStyle w:val="Heading9"/>
        <w:numPr>
          <w:ilvl w:val="0"/>
          <w:numId w:val="2"/>
        </w:numPr>
        <w:tabs>
          <w:tab w:val="left" w:pos="518"/>
        </w:tabs>
        <w:spacing w:before="1" w:line="278" w:lineRule="auto"/>
        <w:ind w:left="280" w:right="277" w:firstLine="0"/>
      </w:pPr>
      <w:r>
        <w:t>Review data collection methods to reflect best practices on LGBTQ-related data and evaluate that data to improve LGBTQ client experiences.</w:t>
      </w:r>
    </w:p>
    <w:p w:rsidR="00200FDA" w:rsidRDefault="00200FDA">
      <w:pPr>
        <w:pStyle w:val="BodyText"/>
        <w:spacing w:before="3"/>
        <w:rPr>
          <w:b/>
          <w:sz w:val="32"/>
        </w:rPr>
      </w:pPr>
    </w:p>
    <w:p w:rsidR="00200FDA" w:rsidRDefault="00F76C4C">
      <w:pPr>
        <w:pStyle w:val="BodyText"/>
        <w:spacing w:before="1" w:line="276" w:lineRule="auto"/>
        <w:ind w:left="280" w:right="275"/>
        <w:jc w:val="both"/>
      </w:pPr>
      <w:r>
        <w:t>The Commission recommends that MassHire review their SOGIE data collection methods to ensure that they reflect current best practices on LGBTQ-related data, and that they continue to evaluate the data already</w:t>
      </w:r>
      <w:r>
        <w:rPr>
          <w:spacing w:val="-2"/>
        </w:rPr>
        <w:t xml:space="preserve"> </w:t>
      </w:r>
      <w:r>
        <w:t>received</w:t>
      </w:r>
      <w:r>
        <w:rPr>
          <w:spacing w:val="-3"/>
        </w:rPr>
        <w:t xml:space="preserve"> </w:t>
      </w:r>
      <w:r>
        <w:t>to</w:t>
      </w:r>
      <w:r>
        <w:rPr>
          <w:spacing w:val="-2"/>
        </w:rPr>
        <w:t xml:space="preserve"> </w:t>
      </w:r>
      <w:r>
        <w:t>adjust</w:t>
      </w:r>
      <w:r>
        <w:rPr>
          <w:spacing w:val="-2"/>
        </w:rPr>
        <w:t xml:space="preserve"> </w:t>
      </w:r>
      <w:r>
        <w:t>services</w:t>
      </w:r>
      <w:r>
        <w:rPr>
          <w:spacing w:val="-3"/>
        </w:rPr>
        <w:t xml:space="preserve"> </w:t>
      </w:r>
      <w:r>
        <w:t>as</w:t>
      </w:r>
      <w:r>
        <w:rPr>
          <w:spacing w:val="-3"/>
        </w:rPr>
        <w:t xml:space="preserve"> </w:t>
      </w:r>
      <w:r>
        <w:t>needed.</w:t>
      </w:r>
      <w:r>
        <w:rPr>
          <w:spacing w:val="-3"/>
        </w:rPr>
        <w:t xml:space="preserve"> </w:t>
      </w:r>
      <w:r>
        <w:t>Furtherm</w:t>
      </w:r>
      <w:r>
        <w:t>ore,</w:t>
      </w:r>
      <w:r>
        <w:rPr>
          <w:spacing w:val="-3"/>
        </w:rPr>
        <w:t xml:space="preserve"> </w:t>
      </w:r>
      <w:r>
        <w:t>MassHire</w:t>
      </w:r>
      <w:r>
        <w:rPr>
          <w:spacing w:val="-2"/>
        </w:rPr>
        <w:t xml:space="preserve"> </w:t>
      </w:r>
      <w:r>
        <w:t>should</w:t>
      </w:r>
      <w:r>
        <w:rPr>
          <w:spacing w:val="-4"/>
        </w:rPr>
        <w:t xml:space="preserve"> </w:t>
      </w:r>
      <w:r>
        <w:t>ensure</w:t>
      </w:r>
      <w:r>
        <w:rPr>
          <w:spacing w:val="-2"/>
        </w:rPr>
        <w:t xml:space="preserve"> </w:t>
      </w:r>
      <w:r>
        <w:t>that</w:t>
      </w:r>
      <w:r>
        <w:rPr>
          <w:spacing w:val="-2"/>
        </w:rPr>
        <w:t xml:space="preserve"> </w:t>
      </w:r>
      <w:r>
        <w:t>the</w:t>
      </w:r>
      <w:r>
        <w:rPr>
          <w:spacing w:val="-2"/>
        </w:rPr>
        <w:t xml:space="preserve"> </w:t>
      </w:r>
      <w:r>
        <w:t>complaints system</w:t>
      </w:r>
      <w:r>
        <w:rPr>
          <w:spacing w:val="-8"/>
        </w:rPr>
        <w:t xml:space="preserve"> </w:t>
      </w:r>
      <w:r>
        <w:t>provided</w:t>
      </w:r>
      <w:r>
        <w:rPr>
          <w:spacing w:val="-10"/>
        </w:rPr>
        <w:t xml:space="preserve"> </w:t>
      </w:r>
      <w:r>
        <w:t>by</w:t>
      </w:r>
      <w:r>
        <w:rPr>
          <w:spacing w:val="-8"/>
        </w:rPr>
        <w:t xml:space="preserve"> </w:t>
      </w:r>
      <w:r>
        <w:t>MassHire</w:t>
      </w:r>
      <w:r>
        <w:rPr>
          <w:spacing w:val="-9"/>
        </w:rPr>
        <w:t xml:space="preserve"> </w:t>
      </w:r>
      <w:r>
        <w:t>career</w:t>
      </w:r>
      <w:r>
        <w:rPr>
          <w:spacing w:val="-9"/>
        </w:rPr>
        <w:t xml:space="preserve"> </w:t>
      </w:r>
      <w:r>
        <w:t>centers</w:t>
      </w:r>
      <w:r>
        <w:rPr>
          <w:spacing w:val="-9"/>
        </w:rPr>
        <w:t xml:space="preserve"> </w:t>
      </w:r>
      <w:r>
        <w:t>is</w:t>
      </w:r>
      <w:r>
        <w:rPr>
          <w:spacing w:val="-9"/>
        </w:rPr>
        <w:t xml:space="preserve"> </w:t>
      </w:r>
      <w:r>
        <w:t>inclusive</w:t>
      </w:r>
      <w:r>
        <w:rPr>
          <w:spacing w:val="-8"/>
        </w:rPr>
        <w:t xml:space="preserve"> </w:t>
      </w:r>
      <w:r>
        <w:t>of</w:t>
      </w:r>
      <w:r>
        <w:rPr>
          <w:spacing w:val="-9"/>
        </w:rPr>
        <w:t xml:space="preserve"> </w:t>
      </w:r>
      <w:r>
        <w:t>SOGIE</w:t>
      </w:r>
      <w:r>
        <w:rPr>
          <w:spacing w:val="-9"/>
        </w:rPr>
        <w:t xml:space="preserve"> </w:t>
      </w:r>
      <w:r>
        <w:t>data</w:t>
      </w:r>
      <w:r>
        <w:rPr>
          <w:spacing w:val="-9"/>
        </w:rPr>
        <w:t xml:space="preserve"> </w:t>
      </w:r>
      <w:r>
        <w:t>collection</w:t>
      </w:r>
      <w:r>
        <w:rPr>
          <w:spacing w:val="-10"/>
        </w:rPr>
        <w:t xml:space="preserve"> </w:t>
      </w:r>
      <w:r>
        <w:t>to</w:t>
      </w:r>
      <w:r>
        <w:rPr>
          <w:spacing w:val="-8"/>
        </w:rPr>
        <w:t xml:space="preserve"> </w:t>
      </w:r>
      <w:r>
        <w:t>ensure</w:t>
      </w:r>
      <w:r>
        <w:rPr>
          <w:spacing w:val="-8"/>
        </w:rPr>
        <w:t xml:space="preserve"> </w:t>
      </w:r>
      <w:r>
        <w:t>that</w:t>
      </w:r>
      <w:r>
        <w:rPr>
          <w:spacing w:val="-9"/>
        </w:rPr>
        <w:t xml:space="preserve"> </w:t>
      </w:r>
      <w:r>
        <w:t>clients</w:t>
      </w:r>
      <w:r>
        <w:rPr>
          <w:spacing w:val="-9"/>
        </w:rPr>
        <w:t xml:space="preserve"> </w:t>
      </w:r>
      <w:r>
        <w:t>are not disproportionately facing discrimination in MassHire services.</w:t>
      </w:r>
    </w:p>
    <w:p w:rsidR="00200FDA" w:rsidRDefault="00200FDA">
      <w:pPr>
        <w:pStyle w:val="BodyText"/>
        <w:spacing w:before="9"/>
        <w:rPr>
          <w:sz w:val="32"/>
        </w:rPr>
      </w:pPr>
    </w:p>
    <w:p w:rsidR="00200FDA" w:rsidRDefault="00F76C4C">
      <w:pPr>
        <w:pStyle w:val="Heading9"/>
        <w:numPr>
          <w:ilvl w:val="0"/>
          <w:numId w:val="2"/>
        </w:numPr>
        <w:tabs>
          <w:tab w:val="left" w:pos="504"/>
        </w:tabs>
        <w:ind w:left="503" w:hanging="224"/>
      </w:pPr>
      <w:r>
        <w:t>Facilitate</w:t>
      </w:r>
      <w:r>
        <w:rPr>
          <w:spacing w:val="-10"/>
        </w:rPr>
        <w:t xml:space="preserve"> </w:t>
      </w:r>
      <w:r>
        <w:t>mandatory</w:t>
      </w:r>
      <w:r>
        <w:rPr>
          <w:spacing w:val="-4"/>
        </w:rPr>
        <w:t xml:space="preserve"> </w:t>
      </w:r>
      <w:r>
        <w:t>LGBTQ</w:t>
      </w:r>
      <w:r>
        <w:rPr>
          <w:spacing w:val="-8"/>
        </w:rPr>
        <w:t xml:space="preserve"> </w:t>
      </w:r>
      <w:r>
        <w:t>cultural</w:t>
      </w:r>
      <w:r>
        <w:rPr>
          <w:spacing w:val="-4"/>
        </w:rPr>
        <w:t xml:space="preserve"> </w:t>
      </w:r>
      <w:r>
        <w:t>awareness</w:t>
      </w:r>
      <w:r>
        <w:rPr>
          <w:spacing w:val="-7"/>
        </w:rPr>
        <w:t xml:space="preserve"> </w:t>
      </w:r>
      <w:r>
        <w:t>and</w:t>
      </w:r>
      <w:r>
        <w:rPr>
          <w:spacing w:val="-5"/>
        </w:rPr>
        <w:t xml:space="preserve"> </w:t>
      </w:r>
      <w:r>
        <w:t>racial</w:t>
      </w:r>
      <w:r>
        <w:rPr>
          <w:spacing w:val="-5"/>
        </w:rPr>
        <w:t xml:space="preserve"> </w:t>
      </w:r>
      <w:r>
        <w:t>equity</w:t>
      </w:r>
      <w:r>
        <w:rPr>
          <w:spacing w:val="-4"/>
        </w:rPr>
        <w:t xml:space="preserve"> </w:t>
      </w:r>
      <w:r>
        <w:t>trainings</w:t>
      </w:r>
      <w:r>
        <w:rPr>
          <w:spacing w:val="-4"/>
        </w:rPr>
        <w:t xml:space="preserve"> </w:t>
      </w:r>
      <w:r>
        <w:t>for</w:t>
      </w:r>
      <w:r>
        <w:rPr>
          <w:spacing w:val="-4"/>
        </w:rPr>
        <w:t xml:space="preserve"> </w:t>
      </w:r>
      <w:r>
        <w:t>all</w:t>
      </w:r>
      <w:r>
        <w:rPr>
          <w:spacing w:val="-5"/>
        </w:rPr>
        <w:t xml:space="preserve"> </w:t>
      </w:r>
      <w:r>
        <w:rPr>
          <w:spacing w:val="-2"/>
        </w:rPr>
        <w:t>staff.</w:t>
      </w:r>
    </w:p>
    <w:p w:rsidR="00200FDA" w:rsidRDefault="00200FDA">
      <w:pPr>
        <w:pStyle w:val="BodyText"/>
        <w:rPr>
          <w:b/>
        </w:rPr>
      </w:pPr>
    </w:p>
    <w:p w:rsidR="00200FDA" w:rsidRDefault="00F76C4C">
      <w:pPr>
        <w:pStyle w:val="BodyText"/>
        <w:spacing w:before="173" w:line="276" w:lineRule="auto"/>
        <w:ind w:left="279" w:right="274"/>
        <w:jc w:val="both"/>
      </w:pPr>
      <w:r>
        <w:t>For several years, the Commission has engaged in conversations with MassHire on offering trainings on LGBTQ cultural engagement to uplift the unique needs of LGBTQ youth in MassHire services. I</w:t>
      </w:r>
      <w:r>
        <w:t>n FY 2022,</w:t>
      </w:r>
    </w:p>
    <w:p w:rsidR="00200FDA" w:rsidRDefault="00200FDA">
      <w:pPr>
        <w:spacing w:line="276" w:lineRule="auto"/>
        <w:jc w:val="both"/>
        <w:sectPr w:rsidR="00200FDA">
          <w:pgSz w:w="12240" w:h="15840"/>
          <w:pgMar w:top="1260" w:right="1160" w:bottom="1240" w:left="1160" w:header="762" w:footer="1043" w:gutter="0"/>
          <w:cols w:space="720"/>
        </w:sectPr>
      </w:pPr>
    </w:p>
    <w:p w:rsidR="00200FDA" w:rsidRDefault="00200FDA">
      <w:pPr>
        <w:pStyle w:val="BodyText"/>
        <w:rPr>
          <w:sz w:val="9"/>
        </w:rPr>
      </w:pPr>
    </w:p>
    <w:p w:rsidR="00200FDA" w:rsidRDefault="00F76C4C">
      <w:pPr>
        <w:pStyle w:val="BodyText"/>
        <w:spacing w:before="56" w:line="276" w:lineRule="auto"/>
        <w:ind w:left="280" w:right="274"/>
        <w:jc w:val="both"/>
      </w:pPr>
      <w:r>
        <w:t>MassHire staff participated in a training offered by PFLAG on how to be more inclusive in its service provision. The Commission has offered to partner with MassHire through its agency training curriculum, and hopes to set up a ser</w:t>
      </w:r>
      <w:r>
        <w:t>ies of trainings for all MassHire staff in the coming fiscal year. The Commission additionally recommends that MassHire ensure that racial equity trainings are provided to all staff that highlights the intersectional identities LGBTQ youth often carry with</w:t>
      </w:r>
      <w:r>
        <w:t xml:space="preserve"> them in the workplace.</w:t>
      </w:r>
    </w:p>
    <w:p w:rsidR="00200FDA" w:rsidRDefault="00200FDA">
      <w:pPr>
        <w:pStyle w:val="BodyText"/>
        <w:spacing w:before="6"/>
        <w:rPr>
          <w:sz w:val="32"/>
        </w:rPr>
      </w:pPr>
    </w:p>
    <w:p w:rsidR="00200FDA" w:rsidRDefault="00F76C4C">
      <w:pPr>
        <w:pStyle w:val="Heading9"/>
        <w:numPr>
          <w:ilvl w:val="0"/>
          <w:numId w:val="2"/>
        </w:numPr>
        <w:tabs>
          <w:tab w:val="left" w:pos="501"/>
        </w:tabs>
        <w:spacing w:before="1"/>
      </w:pPr>
      <w:r>
        <w:t>Create</w:t>
      </w:r>
      <w:r>
        <w:rPr>
          <w:spacing w:val="-5"/>
        </w:rPr>
        <w:t xml:space="preserve"> </w:t>
      </w:r>
      <w:r>
        <w:t>and</w:t>
      </w:r>
      <w:r>
        <w:rPr>
          <w:spacing w:val="-5"/>
        </w:rPr>
        <w:t xml:space="preserve"> </w:t>
      </w:r>
      <w:r>
        <w:t>hire</w:t>
      </w:r>
      <w:r>
        <w:rPr>
          <w:spacing w:val="-6"/>
        </w:rPr>
        <w:t xml:space="preserve"> </w:t>
      </w:r>
      <w:r>
        <w:t>a</w:t>
      </w:r>
      <w:r>
        <w:rPr>
          <w:spacing w:val="-5"/>
        </w:rPr>
        <w:t xml:space="preserve"> </w:t>
      </w:r>
      <w:r>
        <w:t>dedicated</w:t>
      </w:r>
      <w:r>
        <w:rPr>
          <w:spacing w:val="-4"/>
        </w:rPr>
        <w:t xml:space="preserve"> </w:t>
      </w:r>
      <w:r>
        <w:t>LGBTQ-specific</w:t>
      </w:r>
      <w:r>
        <w:rPr>
          <w:spacing w:val="-3"/>
        </w:rPr>
        <w:t xml:space="preserve"> </w:t>
      </w:r>
      <w:r>
        <w:t>staff</w:t>
      </w:r>
      <w:r>
        <w:rPr>
          <w:spacing w:val="-3"/>
        </w:rPr>
        <w:t xml:space="preserve"> </w:t>
      </w:r>
      <w:r>
        <w:rPr>
          <w:spacing w:val="-2"/>
        </w:rPr>
        <w:t>person.</w:t>
      </w:r>
    </w:p>
    <w:p w:rsidR="00200FDA" w:rsidRDefault="00200FDA">
      <w:pPr>
        <w:pStyle w:val="BodyText"/>
        <w:rPr>
          <w:b/>
        </w:rPr>
      </w:pPr>
    </w:p>
    <w:p w:rsidR="00200FDA" w:rsidRDefault="00F76C4C">
      <w:pPr>
        <w:pStyle w:val="BodyText"/>
        <w:spacing w:before="173" w:line="276" w:lineRule="auto"/>
        <w:ind w:left="280" w:right="274"/>
        <w:jc w:val="both"/>
      </w:pPr>
      <w:r>
        <w:t xml:space="preserve">Over the last couple of years, the Commission has been pleased to see a number of state agencies, such as the Department of Children &amp; Families and the Department of Public Health, create LGBTQ-specific staff positions dedicated to ensuring that the needs </w:t>
      </w:r>
      <w:r>
        <w:t>of LGBTQ youth are being met by the agency. The Commission strongly recommends that MassHire follow this model to create positions dedicated to overseeing the outreach &amp; resource development to LGBTQ youth.</w:t>
      </w:r>
    </w:p>
    <w:p w:rsidR="00200FDA" w:rsidRDefault="00200FDA">
      <w:pPr>
        <w:pStyle w:val="BodyText"/>
        <w:spacing w:before="9"/>
        <w:rPr>
          <w:sz w:val="32"/>
        </w:rPr>
      </w:pPr>
    </w:p>
    <w:p w:rsidR="00200FDA" w:rsidRDefault="00F76C4C">
      <w:pPr>
        <w:ind w:left="280"/>
        <w:jc w:val="both"/>
        <w:rPr>
          <w:i/>
        </w:rPr>
      </w:pPr>
      <w:r>
        <w:rPr>
          <w:i/>
        </w:rPr>
        <w:t>Acknowledgments:</w:t>
      </w:r>
      <w:r>
        <w:rPr>
          <w:i/>
          <w:spacing w:val="-8"/>
        </w:rPr>
        <w:t xml:space="preserve"> </w:t>
      </w:r>
      <w:r>
        <w:rPr>
          <w:i/>
        </w:rPr>
        <w:t>The</w:t>
      </w:r>
      <w:r>
        <w:rPr>
          <w:i/>
          <w:spacing w:val="-5"/>
        </w:rPr>
        <w:t xml:space="preserve"> </w:t>
      </w:r>
      <w:r>
        <w:rPr>
          <w:i/>
        </w:rPr>
        <w:t>Commission</w:t>
      </w:r>
      <w:r>
        <w:rPr>
          <w:i/>
          <w:spacing w:val="-6"/>
        </w:rPr>
        <w:t xml:space="preserve"> </w:t>
      </w:r>
      <w:r>
        <w:rPr>
          <w:i/>
        </w:rPr>
        <w:t>thanks</w:t>
      </w:r>
      <w:r>
        <w:rPr>
          <w:i/>
          <w:spacing w:val="-7"/>
        </w:rPr>
        <w:t xml:space="preserve"> </w:t>
      </w:r>
      <w:r>
        <w:rPr>
          <w:i/>
        </w:rPr>
        <w:t>the</w:t>
      </w:r>
      <w:r>
        <w:rPr>
          <w:i/>
          <w:spacing w:val="-5"/>
        </w:rPr>
        <w:t xml:space="preserve"> </w:t>
      </w:r>
      <w:r>
        <w:rPr>
          <w:i/>
        </w:rPr>
        <w:t>contr</w:t>
      </w:r>
      <w:r>
        <w:rPr>
          <w:i/>
        </w:rPr>
        <w:t>ibutions</w:t>
      </w:r>
      <w:r>
        <w:rPr>
          <w:i/>
          <w:spacing w:val="-4"/>
        </w:rPr>
        <w:t xml:space="preserve"> </w:t>
      </w:r>
      <w:r>
        <w:rPr>
          <w:i/>
        </w:rPr>
        <w:t>of</w:t>
      </w:r>
      <w:r>
        <w:rPr>
          <w:i/>
          <w:spacing w:val="-5"/>
        </w:rPr>
        <w:t xml:space="preserve"> </w:t>
      </w:r>
      <w:r>
        <w:rPr>
          <w:i/>
        </w:rPr>
        <w:t>its</w:t>
      </w:r>
      <w:r>
        <w:rPr>
          <w:i/>
          <w:spacing w:val="-7"/>
        </w:rPr>
        <w:t xml:space="preserve"> </w:t>
      </w:r>
      <w:r>
        <w:rPr>
          <w:i/>
        </w:rPr>
        <w:t>MassHire</w:t>
      </w:r>
      <w:r>
        <w:rPr>
          <w:i/>
          <w:spacing w:val="-7"/>
        </w:rPr>
        <w:t xml:space="preserve"> </w:t>
      </w:r>
      <w:r>
        <w:rPr>
          <w:i/>
        </w:rPr>
        <w:t>agency</w:t>
      </w:r>
      <w:r>
        <w:rPr>
          <w:i/>
          <w:spacing w:val="-4"/>
        </w:rPr>
        <w:t xml:space="preserve"> </w:t>
      </w:r>
      <w:r>
        <w:rPr>
          <w:i/>
          <w:spacing w:val="-2"/>
        </w:rPr>
        <w:t>liaison.</w:t>
      </w:r>
    </w:p>
    <w:p w:rsidR="00200FDA" w:rsidRDefault="00200FDA">
      <w:pPr>
        <w:pStyle w:val="BodyText"/>
        <w:rPr>
          <w:i/>
        </w:rPr>
      </w:pPr>
    </w:p>
    <w:p w:rsidR="00200FDA" w:rsidRDefault="00200FDA">
      <w:pPr>
        <w:pStyle w:val="BodyText"/>
        <w:spacing w:before="3"/>
        <w:rPr>
          <w:i/>
          <w:sz w:val="21"/>
        </w:rPr>
      </w:pPr>
    </w:p>
    <w:p w:rsidR="00200FDA" w:rsidRDefault="00F76C4C">
      <w:pPr>
        <w:ind w:left="279" w:right="414"/>
        <w:rPr>
          <w:sz w:val="18"/>
        </w:rPr>
      </w:pPr>
      <w:bookmarkStart w:id="1196" w:name="_bookmark921"/>
      <w:bookmarkEnd w:id="1196"/>
      <w:r>
        <w:rPr>
          <w:position w:val="5"/>
          <w:sz w:val="12"/>
        </w:rPr>
        <w:t>i</w:t>
      </w:r>
      <w:r>
        <w:rPr>
          <w:spacing w:val="21"/>
          <w:position w:val="5"/>
          <w:sz w:val="12"/>
        </w:rPr>
        <w:t xml:space="preserve"> </w:t>
      </w:r>
      <w:r>
        <w:rPr>
          <w:sz w:val="18"/>
        </w:rPr>
        <w:t>Movement Advancement Project, “Movement Advancement Project | LGBT Workers of Color Are Among the Most Disadvantaged</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U.S.</w:t>
      </w:r>
      <w:r>
        <w:rPr>
          <w:spacing w:val="-4"/>
          <w:sz w:val="18"/>
        </w:rPr>
        <w:t xml:space="preserve"> </w:t>
      </w:r>
      <w:r>
        <w:rPr>
          <w:sz w:val="18"/>
        </w:rPr>
        <w:t>Workforce,”</w:t>
      </w:r>
      <w:r>
        <w:rPr>
          <w:spacing w:val="-5"/>
          <w:sz w:val="18"/>
        </w:rPr>
        <w:t xml:space="preserve"> </w:t>
      </w:r>
      <w:r>
        <w:rPr>
          <w:sz w:val="18"/>
        </w:rPr>
        <w:t>accessed</w:t>
      </w:r>
      <w:r>
        <w:rPr>
          <w:spacing w:val="-5"/>
          <w:sz w:val="18"/>
        </w:rPr>
        <w:t xml:space="preserve"> </w:t>
      </w:r>
      <w:r>
        <w:rPr>
          <w:sz w:val="18"/>
        </w:rPr>
        <w:t>April</w:t>
      </w:r>
      <w:r>
        <w:rPr>
          <w:spacing w:val="-5"/>
          <w:sz w:val="18"/>
        </w:rPr>
        <w:t xml:space="preserve"> </w:t>
      </w:r>
      <w:r>
        <w:rPr>
          <w:sz w:val="18"/>
        </w:rPr>
        <w:t>25,</w:t>
      </w:r>
      <w:r>
        <w:rPr>
          <w:spacing w:val="-4"/>
          <w:sz w:val="18"/>
        </w:rPr>
        <w:t xml:space="preserve"> </w:t>
      </w:r>
      <w:r>
        <w:rPr>
          <w:sz w:val="18"/>
        </w:rPr>
        <w:t>2023,</w:t>
      </w:r>
      <w:r>
        <w:rPr>
          <w:spacing w:val="-4"/>
          <w:sz w:val="18"/>
        </w:rPr>
        <w:t xml:space="preserve"> </w:t>
      </w:r>
      <w:r>
        <w:rPr>
          <w:sz w:val="18"/>
        </w:rPr>
        <w:t>https://</w:t>
      </w:r>
      <w:hyperlink r:id="rId878">
        <w:r>
          <w:rPr>
            <w:sz w:val="18"/>
          </w:rPr>
          <w:t>www.lgbtmap.org/news/broken-bargain-lgbt-workers-</w:t>
        </w:r>
      </w:hyperlink>
      <w:r>
        <w:rPr>
          <w:sz w:val="18"/>
        </w:rPr>
        <w:t xml:space="preserve"> </w:t>
      </w:r>
      <w:r>
        <w:rPr>
          <w:spacing w:val="-2"/>
          <w:sz w:val="18"/>
        </w:rPr>
        <w:t>of-color-release.</w:t>
      </w:r>
    </w:p>
    <w:p w:rsidR="00200FDA" w:rsidRDefault="00F76C4C">
      <w:pPr>
        <w:spacing w:before="1"/>
        <w:ind w:left="280"/>
        <w:rPr>
          <w:sz w:val="18"/>
        </w:rPr>
      </w:pPr>
      <w:bookmarkStart w:id="1197" w:name="_bookmark922"/>
      <w:bookmarkEnd w:id="1197"/>
      <w:r>
        <w:rPr>
          <w:position w:val="5"/>
          <w:sz w:val="12"/>
        </w:rPr>
        <w:t>ii</w:t>
      </w:r>
      <w:r>
        <w:rPr>
          <w:spacing w:val="10"/>
          <w:position w:val="5"/>
          <w:sz w:val="12"/>
        </w:rPr>
        <w:t xml:space="preserve"> </w:t>
      </w:r>
      <w:r>
        <w:rPr>
          <w:spacing w:val="-2"/>
          <w:sz w:val="18"/>
        </w:rPr>
        <w:t>Ibid.</w:t>
      </w:r>
    </w:p>
    <w:p w:rsidR="00200FDA" w:rsidRDefault="00200FDA">
      <w:pPr>
        <w:rPr>
          <w:sz w:val="18"/>
        </w:rPr>
        <w:sectPr w:rsidR="00200FDA">
          <w:pgSz w:w="12240" w:h="15840"/>
          <w:pgMar w:top="1260" w:right="1160" w:bottom="1240" w:left="1160" w:header="762" w:footer="1043" w:gutter="0"/>
          <w:cols w:space="720"/>
        </w:sectPr>
      </w:pPr>
    </w:p>
    <w:p w:rsidR="00200FDA" w:rsidRDefault="00200FDA">
      <w:pPr>
        <w:pStyle w:val="BodyText"/>
        <w:rPr>
          <w:sz w:val="20"/>
        </w:rPr>
      </w:pPr>
    </w:p>
    <w:p w:rsidR="00200FDA" w:rsidRDefault="00F76C4C">
      <w:pPr>
        <w:spacing w:before="203"/>
        <w:ind w:left="428"/>
        <w:rPr>
          <w:sz w:val="32"/>
        </w:rPr>
      </w:pPr>
      <w:r>
        <w:pict>
          <v:rect id="docshape643" o:spid="_x0000_s1029" style="position:absolute;left:0;text-align:left;margin-left:78pt;margin-top:30.65pt;width:456.1pt;height:.5pt;z-index:-15591424;mso-wrap-distance-left:0;mso-wrap-distance-right:0;mso-position-horizontal-relative:page" fillcolor="#0f6ec5" stroked="f">
            <w10:wrap type="topAndBottom" anchorx="page"/>
          </v:rect>
        </w:pict>
      </w:r>
      <w:bookmarkStart w:id="1198" w:name="FY_2024_Glossary.pdf"/>
      <w:bookmarkStart w:id="1199" w:name="Appendix_A:_Glossary_of_Terms"/>
      <w:bookmarkStart w:id="1200" w:name="_bookmark923"/>
      <w:bookmarkEnd w:id="1198"/>
      <w:bookmarkEnd w:id="1199"/>
      <w:bookmarkEnd w:id="1200"/>
      <w:r>
        <w:rPr>
          <w:color w:val="0A5293"/>
          <w:sz w:val="32"/>
        </w:rPr>
        <w:t>Appendix</w:t>
      </w:r>
      <w:r>
        <w:rPr>
          <w:color w:val="0A5293"/>
          <w:spacing w:val="-8"/>
          <w:sz w:val="32"/>
        </w:rPr>
        <w:t xml:space="preserve"> </w:t>
      </w:r>
      <w:r>
        <w:rPr>
          <w:color w:val="0A5293"/>
          <w:sz w:val="32"/>
        </w:rPr>
        <w:t>A:</w:t>
      </w:r>
      <w:r>
        <w:rPr>
          <w:color w:val="0A5293"/>
          <w:spacing w:val="-7"/>
          <w:sz w:val="32"/>
        </w:rPr>
        <w:t xml:space="preserve"> </w:t>
      </w:r>
      <w:r>
        <w:rPr>
          <w:color w:val="0A5293"/>
          <w:sz w:val="32"/>
        </w:rPr>
        <w:t>Glossary</w:t>
      </w:r>
      <w:r>
        <w:rPr>
          <w:color w:val="0A5293"/>
          <w:spacing w:val="-9"/>
          <w:sz w:val="32"/>
        </w:rPr>
        <w:t xml:space="preserve"> </w:t>
      </w:r>
      <w:r>
        <w:rPr>
          <w:color w:val="0A5293"/>
          <w:sz w:val="32"/>
        </w:rPr>
        <w:t>of</w:t>
      </w:r>
      <w:r>
        <w:rPr>
          <w:color w:val="0A5293"/>
          <w:spacing w:val="-7"/>
          <w:sz w:val="32"/>
        </w:rPr>
        <w:t xml:space="preserve"> </w:t>
      </w:r>
      <w:r>
        <w:rPr>
          <w:color w:val="0A5293"/>
          <w:spacing w:val="-4"/>
          <w:sz w:val="32"/>
        </w:rPr>
        <w:t>Terms</w:t>
      </w:r>
    </w:p>
    <w:p w:rsidR="00200FDA" w:rsidRDefault="00200FDA">
      <w:pPr>
        <w:pStyle w:val="BodyText"/>
        <w:spacing w:before="2"/>
        <w:rPr>
          <w:sz w:val="28"/>
        </w:rPr>
      </w:pPr>
    </w:p>
    <w:p w:rsidR="00200FDA" w:rsidRDefault="00F76C4C">
      <w:pPr>
        <w:pStyle w:val="BodyText"/>
        <w:spacing w:before="56" w:line="247" w:lineRule="auto"/>
        <w:ind w:left="424" w:right="426"/>
        <w:jc w:val="both"/>
      </w:pPr>
      <w:r>
        <w:rPr>
          <w:b/>
        </w:rPr>
        <w:t>Agender:</w:t>
      </w:r>
      <w:r>
        <w:rPr>
          <w:b/>
          <w:spacing w:val="-13"/>
        </w:rPr>
        <w:t xml:space="preserve"> </w:t>
      </w:r>
      <w:r>
        <w:t>literally</w:t>
      </w:r>
      <w:r>
        <w:rPr>
          <w:spacing w:val="-12"/>
        </w:rPr>
        <w:t xml:space="preserve"> </w:t>
      </w:r>
      <w:r>
        <w:t>“without</w:t>
      </w:r>
      <w:r>
        <w:rPr>
          <w:spacing w:val="-13"/>
        </w:rPr>
        <w:t xml:space="preserve"> </w:t>
      </w:r>
      <w:r>
        <w:t>gender”;</w:t>
      </w:r>
      <w:r>
        <w:rPr>
          <w:spacing w:val="-12"/>
        </w:rPr>
        <w:t xml:space="preserve"> </w:t>
      </w:r>
      <w:r>
        <w:t>used</w:t>
      </w:r>
      <w:r>
        <w:rPr>
          <w:spacing w:val="-13"/>
        </w:rPr>
        <w:t xml:space="preserve"> </w:t>
      </w:r>
      <w:r>
        <w:t>by</w:t>
      </w:r>
      <w:r>
        <w:rPr>
          <w:spacing w:val="-12"/>
        </w:rPr>
        <w:t xml:space="preserve"> </w:t>
      </w:r>
      <w:r>
        <w:t>people</w:t>
      </w:r>
      <w:r>
        <w:rPr>
          <w:spacing w:val="-13"/>
        </w:rPr>
        <w:t xml:space="preserve"> </w:t>
      </w:r>
      <w:r>
        <w:t>who</w:t>
      </w:r>
      <w:r>
        <w:rPr>
          <w:spacing w:val="-12"/>
        </w:rPr>
        <w:t xml:space="preserve"> </w:t>
      </w:r>
      <w:r>
        <w:t>understand</w:t>
      </w:r>
      <w:r>
        <w:rPr>
          <w:spacing w:val="-12"/>
        </w:rPr>
        <w:t xml:space="preserve"> </w:t>
      </w:r>
      <w:r>
        <w:t>themselves</w:t>
      </w:r>
      <w:r>
        <w:rPr>
          <w:spacing w:val="-13"/>
        </w:rPr>
        <w:t xml:space="preserve"> </w:t>
      </w:r>
      <w:r>
        <w:t>as</w:t>
      </w:r>
      <w:r>
        <w:rPr>
          <w:spacing w:val="-12"/>
        </w:rPr>
        <w:t xml:space="preserve"> </w:t>
      </w:r>
      <w:r>
        <w:t>genderless,</w:t>
      </w:r>
      <w:r>
        <w:rPr>
          <w:spacing w:val="-13"/>
        </w:rPr>
        <w:t xml:space="preserve"> </w:t>
      </w:r>
      <w:r>
        <w:t>gender neutral, unaligned with a specific gender, and/or having a gender that defies terminology</w:t>
      </w:r>
    </w:p>
    <w:p w:rsidR="00200FDA" w:rsidRDefault="00200FDA">
      <w:pPr>
        <w:pStyle w:val="BodyText"/>
        <w:spacing w:before="9"/>
        <w:rPr>
          <w:sz w:val="32"/>
        </w:rPr>
      </w:pPr>
    </w:p>
    <w:p w:rsidR="00200FDA" w:rsidRDefault="00F76C4C">
      <w:pPr>
        <w:pStyle w:val="BodyText"/>
        <w:spacing w:line="247" w:lineRule="auto"/>
        <w:ind w:left="429" w:right="424" w:hanging="6"/>
        <w:jc w:val="both"/>
      </w:pPr>
      <w:r>
        <w:rPr>
          <w:b/>
        </w:rPr>
        <w:t>Asexual/Ace:</w:t>
      </w:r>
      <w:r>
        <w:rPr>
          <w:b/>
          <w:spacing w:val="-6"/>
        </w:rPr>
        <w:t xml:space="preserve"> </w:t>
      </w:r>
      <w:r>
        <w:t>an</w:t>
      </w:r>
      <w:r>
        <w:rPr>
          <w:spacing w:val="-7"/>
        </w:rPr>
        <w:t xml:space="preserve"> </w:t>
      </w:r>
      <w:r>
        <w:t>umbrella</w:t>
      </w:r>
      <w:r>
        <w:rPr>
          <w:spacing w:val="-5"/>
        </w:rPr>
        <w:t xml:space="preserve"> </w:t>
      </w:r>
      <w:r>
        <w:t>term</w:t>
      </w:r>
      <w:r>
        <w:rPr>
          <w:spacing w:val="-8"/>
        </w:rPr>
        <w:t xml:space="preserve"> </w:t>
      </w:r>
      <w:r>
        <w:t>used</w:t>
      </w:r>
      <w:r>
        <w:rPr>
          <w:spacing w:val="-7"/>
        </w:rPr>
        <w:t xml:space="preserve"> </w:t>
      </w:r>
      <w:r>
        <w:t>to</w:t>
      </w:r>
      <w:r>
        <w:rPr>
          <w:spacing w:val="-6"/>
        </w:rPr>
        <w:t xml:space="preserve"> </w:t>
      </w:r>
      <w:r>
        <w:t>describe</w:t>
      </w:r>
      <w:r>
        <w:rPr>
          <w:spacing w:val="-7"/>
        </w:rPr>
        <w:t xml:space="preserve"> </w:t>
      </w:r>
      <w:r>
        <w:t>a</w:t>
      </w:r>
      <w:r>
        <w:rPr>
          <w:spacing w:val="-9"/>
        </w:rPr>
        <w:t xml:space="preserve"> </w:t>
      </w:r>
      <w:r>
        <w:t>spectrum</w:t>
      </w:r>
      <w:r>
        <w:rPr>
          <w:spacing w:val="-8"/>
        </w:rPr>
        <w:t xml:space="preserve"> </w:t>
      </w:r>
      <w:r>
        <w:t>of</w:t>
      </w:r>
      <w:r>
        <w:rPr>
          <w:spacing w:val="-9"/>
        </w:rPr>
        <w:t xml:space="preserve"> </w:t>
      </w:r>
      <w:r>
        <w:t>identities</w:t>
      </w:r>
      <w:r>
        <w:rPr>
          <w:spacing w:val="-6"/>
        </w:rPr>
        <w:t xml:space="preserve"> </w:t>
      </w:r>
      <w:r>
        <w:t>characterized</w:t>
      </w:r>
      <w:r>
        <w:rPr>
          <w:spacing w:val="-7"/>
        </w:rPr>
        <w:t xml:space="preserve"> </w:t>
      </w:r>
      <w:r>
        <w:t>by</w:t>
      </w:r>
      <w:r>
        <w:rPr>
          <w:spacing w:val="-7"/>
        </w:rPr>
        <w:t xml:space="preserve"> </w:t>
      </w:r>
      <w:r>
        <w:t>having</w:t>
      </w:r>
      <w:r>
        <w:rPr>
          <w:spacing w:val="-6"/>
        </w:rPr>
        <w:t xml:space="preserve"> </w:t>
      </w:r>
      <w:r>
        <w:t>little or no interest in sex, and/or little or no interest in romantic relationships.</w:t>
      </w:r>
    </w:p>
    <w:p w:rsidR="00200FDA" w:rsidRDefault="00200FDA">
      <w:pPr>
        <w:pStyle w:val="BodyText"/>
        <w:spacing w:before="9"/>
        <w:rPr>
          <w:sz w:val="32"/>
        </w:rPr>
      </w:pPr>
    </w:p>
    <w:p w:rsidR="00200FDA" w:rsidRDefault="00F76C4C">
      <w:pPr>
        <w:pStyle w:val="BodyText"/>
        <w:spacing w:line="247" w:lineRule="auto"/>
        <w:ind w:left="429" w:right="419" w:hanging="5"/>
        <w:jc w:val="both"/>
      </w:pPr>
      <w:r>
        <w:rPr>
          <w:b/>
        </w:rPr>
        <w:t xml:space="preserve">Assigned sex/sex assigned at birth: </w:t>
      </w:r>
      <w:r>
        <w:t>the sex (e.g. “male” or “female”) that is noted on an individual's birth certificate issued at birth. This is also referred to as sex assigned at birth, birth sex, and/or sex recorded at birth. Some individuals may opt to change the sex assigned to them on</w:t>
      </w:r>
      <w:r>
        <w:t xml:space="preserve"> their birth certificate to better reflect their gender identity.</w:t>
      </w:r>
    </w:p>
    <w:p w:rsidR="00200FDA" w:rsidRDefault="00200FDA">
      <w:pPr>
        <w:pStyle w:val="BodyText"/>
        <w:spacing w:before="7"/>
        <w:rPr>
          <w:sz w:val="32"/>
        </w:rPr>
      </w:pPr>
    </w:p>
    <w:p w:rsidR="00200FDA" w:rsidRDefault="00F76C4C">
      <w:pPr>
        <w:pStyle w:val="BodyText"/>
        <w:spacing w:before="1" w:line="247" w:lineRule="auto"/>
        <w:ind w:left="429" w:right="422" w:hanging="5"/>
        <w:jc w:val="both"/>
      </w:pPr>
      <w:r>
        <w:rPr>
          <w:b/>
        </w:rPr>
        <w:t xml:space="preserve">Binary sex/gender system: </w:t>
      </w:r>
      <w:r>
        <w:t xml:space="preserve">the idea that there are only two sexes/genders (male and female, or masculine and feminine) and that they are distinct, opposite forms of each other. This view is </w:t>
      </w:r>
      <w:r>
        <w:t>increasingly being challenged by the idea that both sex and gender are social constructions that operate along continuums, are fluid, and not necessarily congruent.</w:t>
      </w:r>
    </w:p>
    <w:p w:rsidR="00200FDA" w:rsidRDefault="00200FDA">
      <w:pPr>
        <w:pStyle w:val="BodyText"/>
        <w:spacing w:before="7"/>
        <w:rPr>
          <w:sz w:val="32"/>
        </w:rPr>
      </w:pPr>
    </w:p>
    <w:p w:rsidR="00200FDA" w:rsidRDefault="00F76C4C">
      <w:pPr>
        <w:pStyle w:val="BodyText"/>
        <w:ind w:left="429" w:right="423"/>
        <w:jc w:val="both"/>
      </w:pPr>
      <w:r>
        <w:rPr>
          <w:b/>
        </w:rPr>
        <w:t>Bisexual:</w:t>
      </w:r>
      <w:r>
        <w:rPr>
          <w:b/>
          <w:spacing w:val="-9"/>
        </w:rPr>
        <w:t xml:space="preserve"> </w:t>
      </w:r>
      <w:r>
        <w:t>a</w:t>
      </w:r>
      <w:r>
        <w:rPr>
          <w:spacing w:val="-8"/>
        </w:rPr>
        <w:t xml:space="preserve"> </w:t>
      </w:r>
      <w:r>
        <w:t>person</w:t>
      </w:r>
      <w:r>
        <w:rPr>
          <w:spacing w:val="-8"/>
        </w:rPr>
        <w:t xml:space="preserve"> </w:t>
      </w:r>
      <w:r>
        <w:t>who</w:t>
      </w:r>
      <w:r>
        <w:rPr>
          <w:spacing w:val="-6"/>
        </w:rPr>
        <w:t xml:space="preserve"> </w:t>
      </w:r>
      <w:r>
        <w:t>identifies</w:t>
      </w:r>
      <w:r>
        <w:rPr>
          <w:spacing w:val="-8"/>
        </w:rPr>
        <w:t xml:space="preserve"> </w:t>
      </w:r>
      <w:r>
        <w:t>as</w:t>
      </w:r>
      <w:r>
        <w:rPr>
          <w:spacing w:val="-7"/>
        </w:rPr>
        <w:t xml:space="preserve"> </w:t>
      </w:r>
      <w:r>
        <w:t>having</w:t>
      </w:r>
      <w:r>
        <w:rPr>
          <w:spacing w:val="-8"/>
        </w:rPr>
        <w:t xml:space="preserve"> </w:t>
      </w:r>
      <w:r>
        <w:t>an</w:t>
      </w:r>
      <w:r>
        <w:rPr>
          <w:spacing w:val="-8"/>
        </w:rPr>
        <w:t xml:space="preserve"> </w:t>
      </w:r>
      <w:r>
        <w:t>emotional,</w:t>
      </w:r>
      <w:r>
        <w:rPr>
          <w:spacing w:val="-8"/>
        </w:rPr>
        <w:t xml:space="preserve"> </w:t>
      </w:r>
      <w:r>
        <w:t>sexual,</w:t>
      </w:r>
      <w:r>
        <w:rPr>
          <w:spacing w:val="-8"/>
        </w:rPr>
        <w:t xml:space="preserve"> </w:t>
      </w:r>
      <w:r>
        <w:t>spiritual,</w:t>
      </w:r>
      <w:r>
        <w:rPr>
          <w:spacing w:val="-8"/>
        </w:rPr>
        <w:t xml:space="preserve"> </w:t>
      </w:r>
      <w:r>
        <w:t>and/or</w:t>
      </w:r>
      <w:r>
        <w:rPr>
          <w:spacing w:val="-8"/>
        </w:rPr>
        <w:t xml:space="preserve"> </w:t>
      </w:r>
      <w:r>
        <w:t>relati</w:t>
      </w:r>
      <w:r>
        <w:t>onal</w:t>
      </w:r>
      <w:r>
        <w:rPr>
          <w:spacing w:val="-8"/>
        </w:rPr>
        <w:t xml:space="preserve"> </w:t>
      </w:r>
      <w:r>
        <w:t>attraction to people of more than one gender.</w:t>
      </w:r>
    </w:p>
    <w:p w:rsidR="00200FDA" w:rsidRDefault="00200FDA">
      <w:pPr>
        <w:pStyle w:val="BodyText"/>
      </w:pPr>
    </w:p>
    <w:p w:rsidR="00200FDA" w:rsidRDefault="00F76C4C">
      <w:pPr>
        <w:pStyle w:val="BodyText"/>
        <w:spacing w:before="135" w:line="237" w:lineRule="auto"/>
        <w:ind w:left="429" w:right="425"/>
        <w:jc w:val="both"/>
      </w:pPr>
      <w:r>
        <w:rPr>
          <w:b/>
          <w:spacing w:val="-2"/>
        </w:rPr>
        <w:t>Cisgender:</w:t>
      </w:r>
      <w:r>
        <w:rPr>
          <w:b/>
          <w:spacing w:val="-10"/>
        </w:rPr>
        <w:t xml:space="preserve"> </w:t>
      </w:r>
      <w:r>
        <w:rPr>
          <w:spacing w:val="-2"/>
        </w:rPr>
        <w:t>a</w:t>
      </w:r>
      <w:r>
        <w:rPr>
          <w:spacing w:val="-7"/>
        </w:rPr>
        <w:t xml:space="preserve"> </w:t>
      </w:r>
      <w:r>
        <w:rPr>
          <w:spacing w:val="-2"/>
        </w:rPr>
        <w:t>term</w:t>
      </w:r>
      <w:r>
        <w:rPr>
          <w:spacing w:val="-8"/>
        </w:rPr>
        <w:t xml:space="preserve"> </w:t>
      </w:r>
      <w:r>
        <w:rPr>
          <w:spacing w:val="-2"/>
        </w:rPr>
        <w:t>used</w:t>
      </w:r>
      <w:r>
        <w:rPr>
          <w:spacing w:val="-6"/>
        </w:rPr>
        <w:t xml:space="preserve"> </w:t>
      </w:r>
      <w:r>
        <w:rPr>
          <w:spacing w:val="-2"/>
        </w:rPr>
        <w:t>for</w:t>
      </w:r>
      <w:r>
        <w:rPr>
          <w:spacing w:val="-5"/>
        </w:rPr>
        <w:t xml:space="preserve"> </w:t>
      </w:r>
      <w:r>
        <w:rPr>
          <w:spacing w:val="-2"/>
        </w:rPr>
        <w:t>someone</w:t>
      </w:r>
      <w:r>
        <w:rPr>
          <w:spacing w:val="-4"/>
        </w:rPr>
        <w:t xml:space="preserve"> </w:t>
      </w:r>
      <w:r>
        <w:rPr>
          <w:spacing w:val="-2"/>
        </w:rPr>
        <w:t>whose</w:t>
      </w:r>
      <w:r>
        <w:rPr>
          <w:spacing w:val="-4"/>
        </w:rPr>
        <w:t xml:space="preserve"> </w:t>
      </w:r>
      <w:r>
        <w:rPr>
          <w:spacing w:val="-2"/>
        </w:rPr>
        <w:t>gender</w:t>
      </w:r>
      <w:r>
        <w:rPr>
          <w:spacing w:val="-5"/>
        </w:rPr>
        <w:t xml:space="preserve"> </w:t>
      </w:r>
      <w:r>
        <w:rPr>
          <w:spacing w:val="-2"/>
        </w:rPr>
        <w:t>identity matches</w:t>
      </w:r>
      <w:r>
        <w:rPr>
          <w:spacing w:val="-5"/>
        </w:rPr>
        <w:t xml:space="preserve"> </w:t>
      </w:r>
      <w:r>
        <w:rPr>
          <w:spacing w:val="-2"/>
        </w:rPr>
        <w:t>their</w:t>
      </w:r>
      <w:r>
        <w:rPr>
          <w:spacing w:val="-7"/>
        </w:rPr>
        <w:t xml:space="preserve"> </w:t>
      </w:r>
      <w:r>
        <w:rPr>
          <w:spacing w:val="-2"/>
        </w:rPr>
        <w:t>sex</w:t>
      </w:r>
      <w:r>
        <w:rPr>
          <w:spacing w:val="-6"/>
        </w:rPr>
        <w:t xml:space="preserve"> </w:t>
      </w:r>
      <w:r>
        <w:rPr>
          <w:spacing w:val="-2"/>
        </w:rPr>
        <w:t>assigned</w:t>
      </w:r>
      <w:r>
        <w:rPr>
          <w:spacing w:val="-8"/>
        </w:rPr>
        <w:t xml:space="preserve"> </w:t>
      </w:r>
      <w:r>
        <w:rPr>
          <w:spacing w:val="-2"/>
        </w:rPr>
        <w:t>at</w:t>
      </w:r>
      <w:r>
        <w:rPr>
          <w:spacing w:val="-4"/>
        </w:rPr>
        <w:t xml:space="preserve"> </w:t>
      </w:r>
      <w:r>
        <w:rPr>
          <w:spacing w:val="-2"/>
        </w:rPr>
        <w:t>birth, i.e.</w:t>
      </w:r>
      <w:r>
        <w:rPr>
          <w:spacing w:val="-11"/>
        </w:rPr>
        <w:t xml:space="preserve"> </w:t>
      </w:r>
      <w:r>
        <w:rPr>
          <w:spacing w:val="-2"/>
        </w:rPr>
        <w:t xml:space="preserve">who </w:t>
      </w:r>
      <w:r>
        <w:t>is</w:t>
      </w:r>
      <w:r>
        <w:rPr>
          <w:spacing w:val="-8"/>
        </w:rPr>
        <w:t xml:space="preserve"> </w:t>
      </w:r>
      <w:r>
        <w:t>not</w:t>
      </w:r>
      <w:r>
        <w:rPr>
          <w:spacing w:val="-10"/>
        </w:rPr>
        <w:t xml:space="preserve"> </w:t>
      </w:r>
      <w:r>
        <w:t>transgender</w:t>
      </w:r>
      <w:r>
        <w:rPr>
          <w:spacing w:val="-18"/>
        </w:rPr>
        <w:t xml:space="preserve"> </w:t>
      </w:r>
      <w:r>
        <w:t>or</w:t>
      </w:r>
      <w:r>
        <w:rPr>
          <w:spacing w:val="-18"/>
        </w:rPr>
        <w:t xml:space="preserve"> </w:t>
      </w:r>
      <w:r>
        <w:t>gender expansive.</w:t>
      </w:r>
    </w:p>
    <w:p w:rsidR="00200FDA" w:rsidRDefault="00200FDA">
      <w:pPr>
        <w:pStyle w:val="BodyText"/>
        <w:spacing w:before="12"/>
        <w:rPr>
          <w:sz w:val="32"/>
        </w:rPr>
      </w:pPr>
    </w:p>
    <w:p w:rsidR="00200FDA" w:rsidRDefault="00F76C4C">
      <w:pPr>
        <w:pStyle w:val="BodyText"/>
        <w:ind w:left="430" w:right="419"/>
        <w:jc w:val="both"/>
      </w:pPr>
      <w:r>
        <w:rPr>
          <w:b/>
        </w:rPr>
        <w:t>Cisnormativity</w:t>
      </w:r>
      <w:r>
        <w:t>:</w:t>
      </w:r>
      <w:r>
        <w:rPr>
          <w:spacing w:val="-4"/>
        </w:rPr>
        <w:t xml:space="preserve"> </w:t>
      </w:r>
      <w:r>
        <w:t>Cisnormativity</w:t>
      </w:r>
      <w:r>
        <w:rPr>
          <w:spacing w:val="-6"/>
        </w:rPr>
        <w:t xml:space="preserve"> </w:t>
      </w:r>
      <w:r>
        <w:t>refers</w:t>
      </w:r>
      <w:r>
        <w:rPr>
          <w:spacing w:val="-7"/>
        </w:rPr>
        <w:t xml:space="preserve"> </w:t>
      </w:r>
      <w:r>
        <w:t>to</w:t>
      </w:r>
      <w:r>
        <w:rPr>
          <w:spacing w:val="-6"/>
        </w:rPr>
        <w:t xml:space="preserve"> </w:t>
      </w:r>
      <w:r>
        <w:t>the</w:t>
      </w:r>
      <w:r>
        <w:rPr>
          <w:spacing w:val="-5"/>
        </w:rPr>
        <w:t xml:space="preserve"> </w:t>
      </w:r>
      <w:r>
        <w:t>societal</w:t>
      </w:r>
      <w:r>
        <w:rPr>
          <w:spacing w:val="-6"/>
        </w:rPr>
        <w:t xml:space="preserve"> </w:t>
      </w:r>
      <w:r>
        <w:t>assumption</w:t>
      </w:r>
      <w:r>
        <w:rPr>
          <w:spacing w:val="-8"/>
        </w:rPr>
        <w:t xml:space="preserve"> </w:t>
      </w:r>
      <w:r>
        <w:t>that</w:t>
      </w:r>
      <w:r>
        <w:rPr>
          <w:spacing w:val="-6"/>
        </w:rPr>
        <w:t xml:space="preserve"> </w:t>
      </w:r>
      <w:r>
        <w:t>gender</w:t>
      </w:r>
      <w:r>
        <w:rPr>
          <w:spacing w:val="-7"/>
        </w:rPr>
        <w:t xml:space="preserve"> </w:t>
      </w:r>
      <w:r>
        <w:t>identity</w:t>
      </w:r>
      <w:r>
        <w:rPr>
          <w:spacing w:val="-5"/>
        </w:rPr>
        <w:t xml:space="preserve"> </w:t>
      </w:r>
      <w:r>
        <w:t>and</w:t>
      </w:r>
      <w:r>
        <w:rPr>
          <w:spacing w:val="-8"/>
        </w:rPr>
        <w:t xml:space="preserve"> </w:t>
      </w:r>
      <w:r>
        <w:t>assigned</w:t>
      </w:r>
      <w:r>
        <w:rPr>
          <w:spacing w:val="-7"/>
        </w:rPr>
        <w:t xml:space="preserve"> </w:t>
      </w:r>
      <w:r>
        <w:t>sex at birth align for the majority of people, and that cisgender identities are the norm or default. Cisnormativity reinforces the gender binary and traditional gender roles, with the assumption that individual</w:t>
      </w:r>
      <w:r>
        <w:t>s are either male or female based on their assigned sex at birth. Cisnormativity operates through</w:t>
      </w:r>
      <w:r>
        <w:rPr>
          <w:spacing w:val="-13"/>
        </w:rPr>
        <w:t xml:space="preserve"> </w:t>
      </w:r>
      <w:r>
        <w:t>various</w:t>
      </w:r>
      <w:r>
        <w:rPr>
          <w:spacing w:val="-12"/>
        </w:rPr>
        <w:t xml:space="preserve"> </w:t>
      </w:r>
      <w:r>
        <w:t>forms</w:t>
      </w:r>
      <w:r>
        <w:rPr>
          <w:spacing w:val="-13"/>
        </w:rPr>
        <w:t xml:space="preserve"> </w:t>
      </w:r>
      <w:r>
        <w:t>of</w:t>
      </w:r>
      <w:r>
        <w:rPr>
          <w:spacing w:val="-12"/>
        </w:rPr>
        <w:t xml:space="preserve"> </w:t>
      </w:r>
      <w:r>
        <w:t>discrimination,</w:t>
      </w:r>
      <w:r>
        <w:rPr>
          <w:spacing w:val="-13"/>
        </w:rPr>
        <w:t xml:space="preserve"> </w:t>
      </w:r>
      <w:r>
        <w:t>including</w:t>
      </w:r>
      <w:r>
        <w:rPr>
          <w:spacing w:val="-12"/>
        </w:rPr>
        <w:t xml:space="preserve"> </w:t>
      </w:r>
      <w:r>
        <w:t>but</w:t>
      </w:r>
      <w:r>
        <w:rPr>
          <w:spacing w:val="-13"/>
        </w:rPr>
        <w:t xml:space="preserve"> </w:t>
      </w:r>
      <w:r>
        <w:t>not</w:t>
      </w:r>
      <w:r>
        <w:rPr>
          <w:spacing w:val="-12"/>
        </w:rPr>
        <w:t xml:space="preserve"> </w:t>
      </w:r>
      <w:r>
        <w:t>limited</w:t>
      </w:r>
      <w:r>
        <w:rPr>
          <w:spacing w:val="-12"/>
        </w:rPr>
        <w:t xml:space="preserve"> </w:t>
      </w:r>
      <w:r>
        <w:t>to,</w:t>
      </w:r>
      <w:r>
        <w:rPr>
          <w:spacing w:val="-11"/>
        </w:rPr>
        <w:t xml:space="preserve"> </w:t>
      </w:r>
      <w:r>
        <w:t>exclusion</w:t>
      </w:r>
      <w:r>
        <w:rPr>
          <w:spacing w:val="-13"/>
        </w:rPr>
        <w:t xml:space="preserve"> </w:t>
      </w:r>
      <w:r>
        <w:t>from</w:t>
      </w:r>
      <w:r>
        <w:rPr>
          <w:spacing w:val="-10"/>
        </w:rPr>
        <w:t xml:space="preserve"> </w:t>
      </w:r>
      <w:r>
        <w:t>social</w:t>
      </w:r>
      <w:r>
        <w:rPr>
          <w:spacing w:val="-13"/>
        </w:rPr>
        <w:t xml:space="preserve"> </w:t>
      </w:r>
      <w:r>
        <w:t>and</w:t>
      </w:r>
      <w:r>
        <w:rPr>
          <w:spacing w:val="-11"/>
        </w:rPr>
        <w:t xml:space="preserve"> </w:t>
      </w:r>
      <w:r>
        <w:t>political power, lack of legal protections, and limited access to hea</w:t>
      </w:r>
      <w:r>
        <w:t>lthcare.</w:t>
      </w:r>
    </w:p>
    <w:p w:rsidR="00200FDA" w:rsidRDefault="00200FDA">
      <w:pPr>
        <w:pStyle w:val="BodyText"/>
        <w:spacing w:before="11"/>
        <w:rPr>
          <w:sz w:val="32"/>
        </w:rPr>
      </w:pPr>
    </w:p>
    <w:p w:rsidR="00200FDA" w:rsidRDefault="00F76C4C">
      <w:pPr>
        <w:pStyle w:val="BodyText"/>
        <w:spacing w:line="247" w:lineRule="auto"/>
        <w:ind w:left="430" w:right="417" w:hanging="5"/>
        <w:jc w:val="both"/>
      </w:pPr>
      <w:r>
        <w:rPr>
          <w:b/>
        </w:rPr>
        <w:t>Cissexism</w:t>
      </w:r>
      <w:r>
        <w:t>:</w:t>
      </w:r>
      <w:r>
        <w:rPr>
          <w:spacing w:val="-8"/>
        </w:rPr>
        <w:t xml:space="preserve"> </w:t>
      </w:r>
      <w:r>
        <w:t>Cissexism</w:t>
      </w:r>
      <w:r>
        <w:rPr>
          <w:spacing w:val="-8"/>
        </w:rPr>
        <w:t xml:space="preserve"> </w:t>
      </w:r>
      <w:r>
        <w:t>refers</w:t>
      </w:r>
      <w:r>
        <w:rPr>
          <w:spacing w:val="-11"/>
        </w:rPr>
        <w:t xml:space="preserve"> </w:t>
      </w:r>
      <w:r>
        <w:t>to</w:t>
      </w:r>
      <w:r>
        <w:rPr>
          <w:spacing w:val="-8"/>
        </w:rPr>
        <w:t xml:space="preserve"> </w:t>
      </w:r>
      <w:r>
        <w:t>the</w:t>
      </w:r>
      <w:r>
        <w:rPr>
          <w:spacing w:val="-8"/>
        </w:rPr>
        <w:t xml:space="preserve"> </w:t>
      </w:r>
      <w:r>
        <w:t>systemic</w:t>
      </w:r>
      <w:r>
        <w:rPr>
          <w:spacing w:val="-9"/>
        </w:rPr>
        <w:t xml:space="preserve"> </w:t>
      </w:r>
      <w:r>
        <w:t>and</w:t>
      </w:r>
      <w:r>
        <w:rPr>
          <w:spacing w:val="-10"/>
        </w:rPr>
        <w:t xml:space="preserve"> </w:t>
      </w:r>
      <w:r>
        <w:t>individual</w:t>
      </w:r>
      <w:r>
        <w:rPr>
          <w:spacing w:val="-9"/>
        </w:rPr>
        <w:t xml:space="preserve"> </w:t>
      </w:r>
      <w:r>
        <w:t>practices</w:t>
      </w:r>
      <w:r>
        <w:rPr>
          <w:spacing w:val="-9"/>
        </w:rPr>
        <w:t xml:space="preserve"> </w:t>
      </w:r>
      <w:r>
        <w:t>that</w:t>
      </w:r>
      <w:r>
        <w:rPr>
          <w:spacing w:val="-9"/>
        </w:rPr>
        <w:t xml:space="preserve"> </w:t>
      </w:r>
      <w:r>
        <w:t>privilege</w:t>
      </w:r>
      <w:r>
        <w:rPr>
          <w:spacing w:val="-11"/>
        </w:rPr>
        <w:t xml:space="preserve"> </w:t>
      </w:r>
      <w:r>
        <w:t>and</w:t>
      </w:r>
      <w:r>
        <w:rPr>
          <w:spacing w:val="-10"/>
        </w:rPr>
        <w:t xml:space="preserve"> </w:t>
      </w:r>
      <w:r>
        <w:t>center</w:t>
      </w:r>
      <w:r>
        <w:rPr>
          <w:spacing w:val="-9"/>
        </w:rPr>
        <w:t xml:space="preserve"> </w:t>
      </w:r>
      <w:r>
        <w:t>cisgender individuals and experiences, while marginalizing and devaluing transgender and gender non- conforming</w:t>
      </w:r>
      <w:r>
        <w:rPr>
          <w:spacing w:val="-4"/>
        </w:rPr>
        <w:t xml:space="preserve"> </w:t>
      </w:r>
      <w:r>
        <w:t>individuals.</w:t>
      </w:r>
      <w:r>
        <w:rPr>
          <w:spacing w:val="-3"/>
        </w:rPr>
        <w:t xml:space="preserve"> </w:t>
      </w:r>
      <w:r>
        <w:t>Cissexism</w:t>
      </w:r>
      <w:r>
        <w:rPr>
          <w:spacing w:val="-2"/>
        </w:rPr>
        <w:t xml:space="preserve"> </w:t>
      </w:r>
      <w:r>
        <w:t>operates</w:t>
      </w:r>
      <w:r>
        <w:rPr>
          <w:spacing w:val="-3"/>
        </w:rPr>
        <w:t xml:space="preserve"> </w:t>
      </w:r>
      <w:r>
        <w:t>through</w:t>
      </w:r>
      <w:r>
        <w:rPr>
          <w:spacing w:val="-4"/>
        </w:rPr>
        <w:t xml:space="preserve"> </w:t>
      </w:r>
      <w:r>
        <w:t>various</w:t>
      </w:r>
      <w:r>
        <w:rPr>
          <w:spacing w:val="-3"/>
        </w:rPr>
        <w:t xml:space="preserve"> </w:t>
      </w:r>
      <w:r>
        <w:t>forms</w:t>
      </w:r>
      <w:r>
        <w:rPr>
          <w:spacing w:val="-4"/>
        </w:rPr>
        <w:t xml:space="preserve"> </w:t>
      </w:r>
      <w:r>
        <w:t>of</w:t>
      </w:r>
      <w:r>
        <w:rPr>
          <w:spacing w:val="-3"/>
        </w:rPr>
        <w:t xml:space="preserve"> </w:t>
      </w:r>
      <w:r>
        <w:t>discrimination,</w:t>
      </w:r>
      <w:r>
        <w:rPr>
          <w:spacing w:val="-3"/>
        </w:rPr>
        <w:t xml:space="preserve"> </w:t>
      </w:r>
      <w:r>
        <w:t>including</w:t>
      </w:r>
      <w:r>
        <w:rPr>
          <w:spacing w:val="-4"/>
        </w:rPr>
        <w:t xml:space="preserve"> </w:t>
      </w:r>
      <w:r>
        <w:t>but</w:t>
      </w:r>
      <w:r>
        <w:rPr>
          <w:spacing w:val="-2"/>
        </w:rPr>
        <w:t xml:space="preserve"> </w:t>
      </w:r>
      <w:r>
        <w:t>not limited to, exclusion from social and political power, lack of legal protections, and limited access to healthcare.</w:t>
      </w:r>
      <w:r>
        <w:rPr>
          <w:spacing w:val="-13"/>
        </w:rPr>
        <w:t xml:space="preserve"> </w:t>
      </w:r>
      <w:r>
        <w:t>Cissexism</w:t>
      </w:r>
      <w:r>
        <w:rPr>
          <w:spacing w:val="-12"/>
        </w:rPr>
        <w:t xml:space="preserve"> </w:t>
      </w:r>
      <w:r>
        <w:t>reinforces</w:t>
      </w:r>
      <w:r>
        <w:rPr>
          <w:spacing w:val="-13"/>
        </w:rPr>
        <w:t xml:space="preserve"> </w:t>
      </w:r>
      <w:r>
        <w:t>gender</w:t>
      </w:r>
      <w:r>
        <w:rPr>
          <w:spacing w:val="-12"/>
        </w:rPr>
        <w:t xml:space="preserve"> </w:t>
      </w:r>
      <w:r>
        <w:t>binary</w:t>
      </w:r>
      <w:r>
        <w:rPr>
          <w:spacing w:val="-13"/>
        </w:rPr>
        <w:t xml:space="preserve"> </w:t>
      </w:r>
      <w:r>
        <w:t>norms,</w:t>
      </w:r>
      <w:r>
        <w:rPr>
          <w:spacing w:val="-12"/>
        </w:rPr>
        <w:t xml:space="preserve"> </w:t>
      </w:r>
      <w:r>
        <w:t>assumptions,</w:t>
      </w:r>
      <w:r>
        <w:rPr>
          <w:spacing w:val="-13"/>
        </w:rPr>
        <w:t xml:space="preserve"> </w:t>
      </w:r>
      <w:r>
        <w:t>and</w:t>
      </w:r>
      <w:r>
        <w:rPr>
          <w:spacing w:val="-12"/>
        </w:rPr>
        <w:t xml:space="preserve"> </w:t>
      </w:r>
      <w:r>
        <w:t>expectations,</w:t>
      </w:r>
      <w:r>
        <w:rPr>
          <w:spacing w:val="-12"/>
        </w:rPr>
        <w:t xml:space="preserve"> </w:t>
      </w:r>
      <w:r>
        <w:t>and</w:t>
      </w:r>
      <w:r>
        <w:rPr>
          <w:spacing w:val="-13"/>
        </w:rPr>
        <w:t xml:space="preserve"> </w:t>
      </w:r>
      <w:r>
        <w:t>contributes</w:t>
      </w:r>
      <w:r>
        <w:t xml:space="preserve"> to the perpetuation of transphobia and discrimination against transgender and gender non- conforming individuals.</w:t>
      </w:r>
    </w:p>
    <w:p w:rsidR="00200FDA" w:rsidRDefault="00200FDA">
      <w:pPr>
        <w:pStyle w:val="BodyText"/>
        <w:spacing w:before="6"/>
        <w:rPr>
          <w:sz w:val="32"/>
        </w:rPr>
      </w:pPr>
    </w:p>
    <w:p w:rsidR="00200FDA" w:rsidRDefault="00F76C4C">
      <w:pPr>
        <w:pStyle w:val="BodyText"/>
        <w:spacing w:line="247" w:lineRule="auto"/>
        <w:ind w:left="430" w:right="423" w:hanging="5"/>
        <w:jc w:val="both"/>
      </w:pPr>
      <w:r>
        <w:rPr>
          <w:b/>
        </w:rPr>
        <w:t xml:space="preserve">Consent: </w:t>
      </w:r>
      <w:r>
        <w:t>In a sexual context, consent means an agreement to participate in sexual activity by lawful adults. Consent must be freely given, meaning it was not obtained by force or coercion, under the influence</w:t>
      </w:r>
      <w:r>
        <w:rPr>
          <w:spacing w:val="25"/>
        </w:rPr>
        <w:t xml:space="preserve"> </w:t>
      </w:r>
      <w:r>
        <w:t>of</w:t>
      </w:r>
      <w:r>
        <w:rPr>
          <w:spacing w:val="27"/>
        </w:rPr>
        <w:t xml:space="preserve"> </w:t>
      </w:r>
      <w:r>
        <w:t>drugs</w:t>
      </w:r>
      <w:r>
        <w:rPr>
          <w:spacing w:val="27"/>
        </w:rPr>
        <w:t xml:space="preserve"> </w:t>
      </w:r>
      <w:r>
        <w:t>or</w:t>
      </w:r>
      <w:r>
        <w:rPr>
          <w:spacing w:val="27"/>
        </w:rPr>
        <w:t xml:space="preserve"> </w:t>
      </w:r>
      <w:r>
        <w:t>alcohol,</w:t>
      </w:r>
      <w:r>
        <w:rPr>
          <w:spacing w:val="27"/>
        </w:rPr>
        <w:t xml:space="preserve"> </w:t>
      </w:r>
      <w:r>
        <w:t>or</w:t>
      </w:r>
      <w:r>
        <w:rPr>
          <w:spacing w:val="27"/>
        </w:rPr>
        <w:t xml:space="preserve"> </w:t>
      </w:r>
      <w:r>
        <w:t>while</w:t>
      </w:r>
      <w:r>
        <w:rPr>
          <w:spacing w:val="28"/>
        </w:rPr>
        <w:t xml:space="preserve"> </w:t>
      </w:r>
      <w:r>
        <w:t>unconscious</w:t>
      </w:r>
      <w:r>
        <w:rPr>
          <w:spacing w:val="27"/>
        </w:rPr>
        <w:t xml:space="preserve"> </w:t>
      </w:r>
      <w:r>
        <w:t>or</w:t>
      </w:r>
      <w:r>
        <w:rPr>
          <w:spacing w:val="30"/>
        </w:rPr>
        <w:t xml:space="preserve"> </w:t>
      </w:r>
      <w:r>
        <w:t>incapacitated,</w:t>
      </w:r>
      <w:r>
        <w:rPr>
          <w:spacing w:val="27"/>
        </w:rPr>
        <w:t xml:space="preserve"> </w:t>
      </w:r>
      <w:r>
        <w:t>and</w:t>
      </w:r>
      <w:r>
        <w:rPr>
          <w:spacing w:val="27"/>
        </w:rPr>
        <w:t xml:space="preserve"> </w:t>
      </w:r>
      <w:r>
        <w:t>must</w:t>
      </w:r>
      <w:r>
        <w:rPr>
          <w:spacing w:val="29"/>
        </w:rPr>
        <w:t xml:space="preserve"> </w:t>
      </w:r>
      <w:r>
        <w:t>be</w:t>
      </w:r>
      <w:r>
        <w:rPr>
          <w:spacing w:val="28"/>
        </w:rPr>
        <w:t xml:space="preserve"> </w:t>
      </w:r>
      <w:r>
        <w:t>fully</w:t>
      </w:r>
      <w:r>
        <w:rPr>
          <w:spacing w:val="28"/>
        </w:rPr>
        <w:t xml:space="preserve"> </w:t>
      </w:r>
      <w:r>
        <w:rPr>
          <w:spacing w:val="-2"/>
        </w:rPr>
        <w:t>informed.</w:t>
      </w:r>
    </w:p>
    <w:p w:rsidR="00200FDA" w:rsidRDefault="00F76C4C">
      <w:pPr>
        <w:pStyle w:val="BodyText"/>
        <w:spacing w:line="267" w:lineRule="exact"/>
        <w:ind w:left="112"/>
        <w:jc w:val="both"/>
      </w:pPr>
      <w:r>
        <w:rPr>
          <w:spacing w:val="75"/>
          <w:w w:val="150"/>
          <w:u w:val="single" w:color="D9D9D9"/>
        </w:rPr>
        <w:t xml:space="preserve">  </w:t>
      </w:r>
      <w:r>
        <w:rPr>
          <w:u w:val="single" w:color="D9D9D9"/>
        </w:rPr>
        <w:t>Consent</w:t>
      </w:r>
      <w:r>
        <w:rPr>
          <w:spacing w:val="-7"/>
          <w:u w:val="single" w:color="D9D9D9"/>
        </w:rPr>
        <w:t xml:space="preserve"> </w:t>
      </w:r>
      <w:r>
        <w:rPr>
          <w:u w:val="single" w:color="D9D9D9"/>
        </w:rPr>
        <w:t>also</w:t>
      </w:r>
      <w:r>
        <w:rPr>
          <w:spacing w:val="-8"/>
          <w:u w:val="single" w:color="D9D9D9"/>
        </w:rPr>
        <w:t xml:space="preserve"> </w:t>
      </w:r>
      <w:r>
        <w:rPr>
          <w:u w:val="single" w:color="D9D9D9"/>
        </w:rPr>
        <w:t>must</w:t>
      </w:r>
      <w:r>
        <w:rPr>
          <w:spacing w:val="-7"/>
          <w:u w:val="single" w:color="D9D9D9"/>
        </w:rPr>
        <w:t xml:space="preserve"> </w:t>
      </w:r>
      <w:r>
        <w:rPr>
          <w:u w:val="single" w:color="D9D9D9"/>
        </w:rPr>
        <w:t>be</w:t>
      </w:r>
      <w:r>
        <w:rPr>
          <w:spacing w:val="-8"/>
          <w:u w:val="single" w:color="D9D9D9"/>
        </w:rPr>
        <w:t xml:space="preserve"> </w:t>
      </w:r>
      <w:r>
        <w:rPr>
          <w:u w:val="single" w:color="D9D9D9"/>
        </w:rPr>
        <w:t>specific</w:t>
      </w:r>
      <w:r>
        <w:rPr>
          <w:spacing w:val="-6"/>
          <w:u w:val="single" w:color="D9D9D9"/>
        </w:rPr>
        <w:t xml:space="preserve"> </w:t>
      </w:r>
      <w:r>
        <w:rPr>
          <w:u w:val="single" w:color="D9D9D9"/>
        </w:rPr>
        <w:t>and</w:t>
      </w:r>
      <w:r>
        <w:rPr>
          <w:spacing w:val="-7"/>
          <w:u w:val="single" w:color="D9D9D9"/>
        </w:rPr>
        <w:t xml:space="preserve"> </w:t>
      </w:r>
      <w:r>
        <w:rPr>
          <w:u w:val="single" w:color="D9D9D9"/>
        </w:rPr>
        <w:t>reversible,</w:t>
      </w:r>
      <w:r>
        <w:rPr>
          <w:spacing w:val="-9"/>
          <w:u w:val="single" w:color="D9D9D9"/>
        </w:rPr>
        <w:t xml:space="preserve"> </w:t>
      </w:r>
      <w:r>
        <w:rPr>
          <w:u w:val="single" w:color="D9D9D9"/>
        </w:rPr>
        <w:t>so</w:t>
      </w:r>
      <w:r>
        <w:rPr>
          <w:spacing w:val="-8"/>
          <w:u w:val="single" w:color="D9D9D9"/>
        </w:rPr>
        <w:t xml:space="preserve"> </w:t>
      </w:r>
      <w:r>
        <w:rPr>
          <w:u w:val="single" w:color="D9D9D9"/>
        </w:rPr>
        <w:t>it</w:t>
      </w:r>
      <w:r>
        <w:rPr>
          <w:spacing w:val="-9"/>
          <w:u w:val="single" w:color="D9D9D9"/>
        </w:rPr>
        <w:t xml:space="preserve"> </w:t>
      </w:r>
      <w:r>
        <w:rPr>
          <w:u w:val="single" w:color="D9D9D9"/>
        </w:rPr>
        <w:t>only</w:t>
      </w:r>
      <w:r>
        <w:rPr>
          <w:spacing w:val="-8"/>
          <w:u w:val="single" w:color="D9D9D9"/>
        </w:rPr>
        <w:t xml:space="preserve"> </w:t>
      </w:r>
      <w:r>
        <w:rPr>
          <w:u w:val="single" w:color="D9D9D9"/>
        </w:rPr>
        <w:t>applies</w:t>
      </w:r>
      <w:r>
        <w:rPr>
          <w:spacing w:val="-7"/>
          <w:u w:val="single" w:color="D9D9D9"/>
        </w:rPr>
        <w:t xml:space="preserve"> </w:t>
      </w:r>
      <w:r>
        <w:rPr>
          <w:u w:val="single" w:color="D9D9D9"/>
        </w:rPr>
        <w:t>to</w:t>
      </w:r>
      <w:r>
        <w:rPr>
          <w:spacing w:val="-5"/>
          <w:u w:val="single" w:color="D9D9D9"/>
        </w:rPr>
        <w:t xml:space="preserve"> </w:t>
      </w:r>
      <w:r>
        <w:rPr>
          <w:u w:val="single" w:color="D9D9D9"/>
        </w:rPr>
        <w:t>activities</w:t>
      </w:r>
      <w:r>
        <w:rPr>
          <w:spacing w:val="-5"/>
          <w:u w:val="single" w:color="D9D9D9"/>
        </w:rPr>
        <w:t xml:space="preserve"> </w:t>
      </w:r>
      <w:r>
        <w:rPr>
          <w:u w:val="single" w:color="D9D9D9"/>
        </w:rPr>
        <w:t>that</w:t>
      </w:r>
      <w:r>
        <w:rPr>
          <w:spacing w:val="-6"/>
          <w:u w:val="single" w:color="D9D9D9"/>
        </w:rPr>
        <w:t xml:space="preserve"> </w:t>
      </w:r>
      <w:r>
        <w:rPr>
          <w:u w:val="single" w:color="D9D9D9"/>
        </w:rPr>
        <w:t>are</w:t>
      </w:r>
      <w:r>
        <w:rPr>
          <w:spacing w:val="-7"/>
          <w:u w:val="single" w:color="D9D9D9"/>
        </w:rPr>
        <w:t xml:space="preserve"> </w:t>
      </w:r>
      <w:r>
        <w:rPr>
          <w:u w:val="single" w:color="D9D9D9"/>
        </w:rPr>
        <w:t>wanted</w:t>
      </w:r>
      <w:r>
        <w:rPr>
          <w:spacing w:val="-7"/>
          <w:u w:val="single" w:color="D9D9D9"/>
        </w:rPr>
        <w:t xml:space="preserve"> </w:t>
      </w:r>
      <w:r>
        <w:rPr>
          <w:u w:val="single" w:color="D9D9D9"/>
        </w:rPr>
        <w:t>at</w:t>
      </w:r>
      <w:r>
        <w:rPr>
          <w:spacing w:val="-9"/>
          <w:u w:val="single" w:color="D9D9D9"/>
        </w:rPr>
        <w:t xml:space="preserve"> </w:t>
      </w:r>
      <w:r>
        <w:rPr>
          <w:u w:val="single" w:color="D9D9D9"/>
        </w:rPr>
        <w:t>the</w:t>
      </w:r>
      <w:r>
        <w:rPr>
          <w:spacing w:val="-8"/>
          <w:u w:val="single" w:color="D9D9D9"/>
        </w:rPr>
        <w:t xml:space="preserve"> </w:t>
      </w:r>
      <w:r>
        <w:rPr>
          <w:spacing w:val="-4"/>
          <w:u w:val="single" w:color="D9D9D9"/>
        </w:rPr>
        <w:t>time</w:t>
      </w:r>
      <w:r>
        <w:rPr>
          <w:spacing w:val="80"/>
          <w:u w:val="single" w:color="D9D9D9"/>
        </w:rPr>
        <w:t xml:space="preserve">  </w:t>
      </w:r>
    </w:p>
    <w:p w:rsidR="00200FDA" w:rsidRDefault="00200FDA">
      <w:pPr>
        <w:spacing w:line="267" w:lineRule="exact"/>
        <w:jc w:val="both"/>
        <w:sectPr w:rsidR="00200FDA">
          <w:headerReference w:type="default" r:id="rId879"/>
          <w:footerReference w:type="default" r:id="rId880"/>
          <w:pgSz w:w="12240" w:h="15840"/>
          <w:pgMar w:top="1260" w:right="1160" w:bottom="980" w:left="1160" w:header="859" w:footer="791" w:gutter="0"/>
          <w:cols w:space="720"/>
        </w:sectPr>
      </w:pPr>
    </w:p>
    <w:p w:rsidR="00200FDA" w:rsidRDefault="00F76C4C">
      <w:pPr>
        <w:pStyle w:val="BodyText"/>
        <w:spacing w:before="46" w:line="247" w:lineRule="auto"/>
        <w:ind w:left="428" w:right="419"/>
        <w:jc w:val="both"/>
      </w:pPr>
      <w:r>
        <w:lastRenderedPageBreak/>
        <w:t>they occur. Some models of consent require that it also be both explicit and enthusiastic. All sexual activities,</w:t>
      </w:r>
      <w:r>
        <w:rPr>
          <w:spacing w:val="-6"/>
        </w:rPr>
        <w:t xml:space="preserve"> </w:t>
      </w:r>
      <w:r>
        <w:t>not</w:t>
      </w:r>
      <w:r>
        <w:rPr>
          <w:spacing w:val="-6"/>
        </w:rPr>
        <w:t xml:space="preserve"> </w:t>
      </w:r>
      <w:r>
        <w:t>just</w:t>
      </w:r>
      <w:r>
        <w:rPr>
          <w:spacing w:val="-6"/>
        </w:rPr>
        <w:t xml:space="preserve"> </w:t>
      </w:r>
      <w:r>
        <w:t>heterosexual</w:t>
      </w:r>
      <w:r>
        <w:rPr>
          <w:spacing w:val="-7"/>
        </w:rPr>
        <w:t xml:space="preserve"> </w:t>
      </w:r>
      <w:r>
        <w:t>sex</w:t>
      </w:r>
      <w:r>
        <w:rPr>
          <w:spacing w:val="-8"/>
        </w:rPr>
        <w:t xml:space="preserve"> </w:t>
      </w:r>
      <w:r>
        <w:t>or</w:t>
      </w:r>
      <w:r>
        <w:rPr>
          <w:spacing w:val="-7"/>
        </w:rPr>
        <w:t xml:space="preserve"> </w:t>
      </w:r>
      <w:r>
        <w:t>sex</w:t>
      </w:r>
      <w:r>
        <w:rPr>
          <w:spacing w:val="-6"/>
        </w:rPr>
        <w:t xml:space="preserve"> </w:t>
      </w:r>
      <w:r>
        <w:t>involving</w:t>
      </w:r>
      <w:r>
        <w:rPr>
          <w:spacing w:val="-7"/>
        </w:rPr>
        <w:t xml:space="preserve"> </w:t>
      </w:r>
      <w:r>
        <w:t>intercourse,</w:t>
      </w:r>
      <w:r>
        <w:rPr>
          <w:spacing w:val="-7"/>
        </w:rPr>
        <w:t xml:space="preserve"> </w:t>
      </w:r>
      <w:r>
        <w:t>can</w:t>
      </w:r>
      <w:r>
        <w:rPr>
          <w:spacing w:val="-7"/>
        </w:rPr>
        <w:t xml:space="preserve"> </w:t>
      </w:r>
      <w:r>
        <w:t>be</w:t>
      </w:r>
      <w:r>
        <w:rPr>
          <w:spacing w:val="-6"/>
        </w:rPr>
        <w:t xml:space="preserve"> </w:t>
      </w:r>
      <w:r>
        <w:t>characterized</w:t>
      </w:r>
      <w:r>
        <w:rPr>
          <w:spacing w:val="-7"/>
        </w:rPr>
        <w:t xml:space="preserve"> </w:t>
      </w:r>
      <w:r>
        <w:t>as</w:t>
      </w:r>
      <w:r>
        <w:rPr>
          <w:spacing w:val="-7"/>
        </w:rPr>
        <w:t xml:space="preserve"> </w:t>
      </w:r>
      <w:r>
        <w:t>consensual</w:t>
      </w:r>
      <w:r>
        <w:rPr>
          <w:spacing w:val="-9"/>
        </w:rPr>
        <w:t xml:space="preserve"> </w:t>
      </w:r>
      <w:r>
        <w:t xml:space="preserve">or </w:t>
      </w:r>
      <w:r>
        <w:rPr>
          <w:spacing w:val="-4"/>
        </w:rPr>
        <w:t>not.</w:t>
      </w:r>
    </w:p>
    <w:p w:rsidR="00200FDA" w:rsidRDefault="00200FDA">
      <w:pPr>
        <w:pStyle w:val="BodyText"/>
        <w:spacing w:before="8"/>
        <w:rPr>
          <w:sz w:val="32"/>
        </w:rPr>
      </w:pPr>
    </w:p>
    <w:p w:rsidR="00200FDA" w:rsidRDefault="00F76C4C">
      <w:pPr>
        <w:pStyle w:val="BodyText"/>
        <w:ind w:left="428" w:right="423"/>
        <w:jc w:val="both"/>
      </w:pPr>
      <w:r>
        <w:rPr>
          <w:b/>
        </w:rPr>
        <w:t>Deadnaming</w:t>
      </w:r>
      <w:r>
        <w:t>:</w:t>
      </w:r>
      <w:r>
        <w:rPr>
          <w:spacing w:val="-3"/>
        </w:rPr>
        <w:t xml:space="preserve"> </w:t>
      </w:r>
      <w:r>
        <w:t>Deadnaming</w:t>
      </w:r>
      <w:r>
        <w:rPr>
          <w:spacing w:val="-3"/>
        </w:rPr>
        <w:t xml:space="preserve"> </w:t>
      </w:r>
      <w:r>
        <w:t>refers</w:t>
      </w:r>
      <w:r>
        <w:rPr>
          <w:spacing w:val="-2"/>
        </w:rPr>
        <w:t xml:space="preserve"> </w:t>
      </w:r>
      <w:r>
        <w:t>to</w:t>
      </w:r>
      <w:r>
        <w:rPr>
          <w:spacing w:val="-1"/>
        </w:rPr>
        <w:t xml:space="preserve"> </w:t>
      </w:r>
      <w:r>
        <w:t>the</w:t>
      </w:r>
      <w:r>
        <w:rPr>
          <w:spacing w:val="-1"/>
        </w:rPr>
        <w:t xml:space="preserve"> </w:t>
      </w:r>
      <w:r>
        <w:t>act</w:t>
      </w:r>
      <w:r>
        <w:rPr>
          <w:spacing w:val="-4"/>
        </w:rPr>
        <w:t xml:space="preserve"> </w:t>
      </w:r>
      <w:r>
        <w:t>of</w:t>
      </w:r>
      <w:r>
        <w:rPr>
          <w:spacing w:val="-2"/>
        </w:rPr>
        <w:t xml:space="preserve"> </w:t>
      </w:r>
      <w:r>
        <w:t>referring</w:t>
      </w:r>
      <w:r>
        <w:rPr>
          <w:spacing w:val="-3"/>
        </w:rPr>
        <w:t xml:space="preserve"> </w:t>
      </w:r>
      <w:r>
        <w:t>to</w:t>
      </w:r>
      <w:r>
        <w:rPr>
          <w:spacing w:val="-1"/>
        </w:rPr>
        <w:t xml:space="preserve"> </w:t>
      </w:r>
      <w:r>
        <w:t>a</w:t>
      </w:r>
      <w:r>
        <w:rPr>
          <w:spacing w:val="-2"/>
        </w:rPr>
        <w:t xml:space="preserve"> </w:t>
      </w:r>
      <w:r>
        <w:t>transgender</w:t>
      </w:r>
      <w:r>
        <w:rPr>
          <w:spacing w:val="-2"/>
        </w:rPr>
        <w:t xml:space="preserve"> </w:t>
      </w:r>
      <w:r>
        <w:t>individual</w:t>
      </w:r>
      <w:r>
        <w:rPr>
          <w:spacing w:val="-2"/>
        </w:rPr>
        <w:t xml:space="preserve"> </w:t>
      </w:r>
      <w:r>
        <w:t>by</w:t>
      </w:r>
      <w:r>
        <w:rPr>
          <w:spacing w:val="-1"/>
        </w:rPr>
        <w:t xml:space="preserve"> </w:t>
      </w:r>
      <w:r>
        <w:t>their</w:t>
      </w:r>
      <w:r>
        <w:rPr>
          <w:spacing w:val="-2"/>
        </w:rPr>
        <w:t xml:space="preserve"> </w:t>
      </w:r>
      <w:r>
        <w:t>former</w:t>
      </w:r>
      <w:r>
        <w:rPr>
          <w:spacing w:val="-4"/>
        </w:rPr>
        <w:t xml:space="preserve"> </w:t>
      </w:r>
      <w:r>
        <w:t>or birth name, rather than their chosen name that reflects their gender identity. Deadnaming is a form of disrespect and invalidation of an individual's gender identity and can be emotionally harmful</w:t>
      </w:r>
      <w:r>
        <w:t>.</w:t>
      </w:r>
    </w:p>
    <w:p w:rsidR="00200FDA" w:rsidRDefault="00200FDA">
      <w:pPr>
        <w:pStyle w:val="BodyText"/>
        <w:spacing w:before="8"/>
        <w:rPr>
          <w:sz w:val="32"/>
        </w:rPr>
      </w:pPr>
    </w:p>
    <w:p w:rsidR="00200FDA" w:rsidRDefault="00F76C4C">
      <w:pPr>
        <w:pStyle w:val="BodyText"/>
        <w:spacing w:before="1"/>
        <w:ind w:left="428" w:right="425"/>
        <w:jc w:val="both"/>
      </w:pPr>
      <w:r>
        <w:rPr>
          <w:b/>
        </w:rPr>
        <w:t xml:space="preserve">Demisexual: </w:t>
      </w:r>
      <w:r>
        <w:t>an individual experiences sexual attraction only after forming a strong emotional connectiong with someone</w:t>
      </w:r>
    </w:p>
    <w:p w:rsidR="00200FDA" w:rsidRDefault="00200FDA">
      <w:pPr>
        <w:pStyle w:val="BodyText"/>
        <w:spacing w:before="10"/>
        <w:rPr>
          <w:sz w:val="32"/>
        </w:rPr>
      </w:pPr>
    </w:p>
    <w:p w:rsidR="00200FDA" w:rsidRDefault="00F76C4C">
      <w:pPr>
        <w:ind w:left="424"/>
        <w:jc w:val="both"/>
      </w:pPr>
      <w:r>
        <w:rPr>
          <w:b/>
        </w:rPr>
        <w:t>First-generation</w:t>
      </w:r>
      <w:r>
        <w:rPr>
          <w:b/>
          <w:spacing w:val="4"/>
        </w:rPr>
        <w:t xml:space="preserve"> </w:t>
      </w:r>
      <w:r>
        <w:rPr>
          <w:b/>
        </w:rPr>
        <w:t>youth</w:t>
      </w:r>
      <w:r>
        <w:t>:</w:t>
      </w:r>
      <w:r>
        <w:rPr>
          <w:spacing w:val="5"/>
        </w:rPr>
        <w:t xml:space="preserve"> </w:t>
      </w:r>
      <w:r>
        <w:t>a</w:t>
      </w:r>
      <w:r>
        <w:rPr>
          <w:spacing w:val="4"/>
        </w:rPr>
        <w:t xml:space="preserve"> </w:t>
      </w:r>
      <w:r>
        <w:t>youth</w:t>
      </w:r>
      <w:r>
        <w:rPr>
          <w:spacing w:val="6"/>
        </w:rPr>
        <w:t xml:space="preserve"> </w:t>
      </w:r>
      <w:r>
        <w:t>born</w:t>
      </w:r>
      <w:r>
        <w:rPr>
          <w:spacing w:val="4"/>
        </w:rPr>
        <w:t xml:space="preserve"> </w:t>
      </w:r>
      <w:r>
        <w:t>outside</w:t>
      </w:r>
      <w:r>
        <w:rPr>
          <w:spacing w:val="3"/>
        </w:rPr>
        <w:t xml:space="preserve"> </w:t>
      </w:r>
      <w:r>
        <w:t>of</w:t>
      </w:r>
      <w:r>
        <w:rPr>
          <w:spacing w:val="4"/>
        </w:rPr>
        <w:t xml:space="preserve"> </w:t>
      </w:r>
      <w:r>
        <w:t>the</w:t>
      </w:r>
      <w:r>
        <w:rPr>
          <w:spacing w:val="5"/>
        </w:rPr>
        <w:t xml:space="preserve"> </w:t>
      </w:r>
      <w:r>
        <w:t>United</w:t>
      </w:r>
      <w:r>
        <w:rPr>
          <w:spacing w:val="6"/>
        </w:rPr>
        <w:t xml:space="preserve"> </w:t>
      </w:r>
      <w:r>
        <w:t>States</w:t>
      </w:r>
      <w:r>
        <w:rPr>
          <w:spacing w:val="4"/>
        </w:rPr>
        <w:t xml:space="preserve"> </w:t>
      </w:r>
      <w:r>
        <w:t>to</w:t>
      </w:r>
      <w:r>
        <w:rPr>
          <w:spacing w:val="8"/>
        </w:rPr>
        <w:t xml:space="preserve"> </w:t>
      </w:r>
      <w:r>
        <w:t>parents</w:t>
      </w:r>
      <w:r>
        <w:rPr>
          <w:spacing w:val="5"/>
        </w:rPr>
        <w:t xml:space="preserve"> </w:t>
      </w:r>
      <w:r>
        <w:t>neither</w:t>
      </w:r>
      <w:r>
        <w:rPr>
          <w:spacing w:val="4"/>
        </w:rPr>
        <w:t xml:space="preserve"> </w:t>
      </w:r>
      <w:r>
        <w:t>of</w:t>
      </w:r>
      <w:r>
        <w:rPr>
          <w:spacing w:val="4"/>
        </w:rPr>
        <w:t xml:space="preserve"> </w:t>
      </w:r>
      <w:r>
        <w:t>whom</w:t>
      </w:r>
      <w:r>
        <w:rPr>
          <w:spacing w:val="6"/>
        </w:rPr>
        <w:t xml:space="preserve"> </w:t>
      </w:r>
      <w:r>
        <w:t>was</w:t>
      </w:r>
      <w:r>
        <w:rPr>
          <w:spacing w:val="7"/>
        </w:rPr>
        <w:t xml:space="preserve"> </w:t>
      </w:r>
      <w:r>
        <w:rPr>
          <w:spacing w:val="-10"/>
        </w:rPr>
        <w:t>a</w:t>
      </w:r>
    </w:p>
    <w:p w:rsidR="00200FDA" w:rsidRDefault="00F76C4C">
      <w:pPr>
        <w:pStyle w:val="BodyText"/>
        <w:spacing w:before="10"/>
        <w:ind w:left="428"/>
      </w:pPr>
      <w:r>
        <w:t>U.S.</w:t>
      </w:r>
      <w:r>
        <w:rPr>
          <w:spacing w:val="-5"/>
        </w:rPr>
        <w:t xml:space="preserve"> </w:t>
      </w:r>
      <w:r>
        <w:rPr>
          <w:spacing w:val="-2"/>
        </w:rPr>
        <w:t>citizen</w:t>
      </w:r>
    </w:p>
    <w:p w:rsidR="00200FDA" w:rsidRDefault="00200FDA">
      <w:pPr>
        <w:pStyle w:val="BodyText"/>
      </w:pPr>
    </w:p>
    <w:p w:rsidR="00200FDA" w:rsidRDefault="00F76C4C">
      <w:pPr>
        <w:pStyle w:val="BodyText"/>
        <w:spacing w:before="142" w:line="249" w:lineRule="auto"/>
        <w:ind w:left="429" w:right="422" w:hanging="5"/>
        <w:jc w:val="both"/>
      </w:pPr>
      <w:r>
        <w:rPr>
          <w:b/>
        </w:rPr>
        <w:t>Foreign-born</w:t>
      </w:r>
      <w:r>
        <w:rPr>
          <w:b/>
          <w:spacing w:val="-1"/>
        </w:rPr>
        <w:t xml:space="preserve"> </w:t>
      </w:r>
      <w:r>
        <w:rPr>
          <w:b/>
        </w:rPr>
        <w:t>youth</w:t>
      </w:r>
      <w:r>
        <w:t>: a</w:t>
      </w:r>
      <w:r>
        <w:rPr>
          <w:spacing w:val="-1"/>
        </w:rPr>
        <w:t xml:space="preserve"> </w:t>
      </w:r>
      <w:r>
        <w:t>group of</w:t>
      </w:r>
      <w:r>
        <w:rPr>
          <w:spacing w:val="-1"/>
        </w:rPr>
        <w:t xml:space="preserve"> </w:t>
      </w:r>
      <w:r>
        <w:t>youth</w:t>
      </w:r>
      <w:r>
        <w:rPr>
          <w:spacing w:val="-1"/>
        </w:rPr>
        <w:t xml:space="preserve"> </w:t>
      </w:r>
      <w:r>
        <w:t>including naturalized U.S. citizens, lawful</w:t>
      </w:r>
      <w:r>
        <w:rPr>
          <w:spacing w:val="-1"/>
        </w:rPr>
        <w:t xml:space="preserve"> </w:t>
      </w:r>
      <w:r>
        <w:t xml:space="preserve">permanent residents, refugees, asylees, legal nonimmigrants (holders of temporary visas), and those who are </w:t>
      </w:r>
      <w:r>
        <w:rPr>
          <w:spacing w:val="-2"/>
        </w:rPr>
        <w:t>undocumented</w:t>
      </w:r>
    </w:p>
    <w:p w:rsidR="00200FDA" w:rsidRDefault="00200FDA">
      <w:pPr>
        <w:pStyle w:val="BodyText"/>
        <w:spacing w:before="7"/>
        <w:rPr>
          <w:sz w:val="32"/>
        </w:rPr>
      </w:pPr>
    </w:p>
    <w:p w:rsidR="00200FDA" w:rsidRDefault="00F76C4C">
      <w:pPr>
        <w:pStyle w:val="BodyText"/>
        <w:spacing w:before="1" w:line="247" w:lineRule="auto"/>
        <w:ind w:left="429" w:right="420" w:hanging="5"/>
        <w:jc w:val="both"/>
      </w:pPr>
      <w:r>
        <w:rPr>
          <w:b/>
        </w:rPr>
        <w:t xml:space="preserve">Gay: </w:t>
      </w:r>
      <w:r>
        <w:t>an overarching term to refer to a broad array of sexual orientatio</w:t>
      </w:r>
      <w:r>
        <w:t>n identities other than heterosexual.</w:t>
      </w:r>
      <w:r>
        <w:rPr>
          <w:spacing w:val="-15"/>
        </w:rPr>
        <w:t xml:space="preserve"> </w:t>
      </w:r>
      <w:r>
        <w:t>Can</w:t>
      </w:r>
      <w:r>
        <w:rPr>
          <w:spacing w:val="-15"/>
        </w:rPr>
        <w:t xml:space="preserve"> </w:t>
      </w:r>
      <w:r>
        <w:t>also</w:t>
      </w:r>
      <w:r>
        <w:rPr>
          <w:spacing w:val="-13"/>
        </w:rPr>
        <w:t xml:space="preserve"> </w:t>
      </w:r>
      <w:r>
        <w:t>refer</w:t>
      </w:r>
      <w:r>
        <w:rPr>
          <w:spacing w:val="-13"/>
        </w:rPr>
        <w:t xml:space="preserve"> </w:t>
      </w:r>
      <w:r>
        <w:t>more</w:t>
      </w:r>
      <w:r>
        <w:rPr>
          <w:spacing w:val="-14"/>
        </w:rPr>
        <w:t xml:space="preserve"> </w:t>
      </w:r>
      <w:r>
        <w:t>specifically</w:t>
      </w:r>
      <w:r>
        <w:rPr>
          <w:spacing w:val="-12"/>
        </w:rPr>
        <w:t xml:space="preserve"> </w:t>
      </w:r>
      <w:r>
        <w:t>to</w:t>
      </w:r>
      <w:r>
        <w:rPr>
          <w:spacing w:val="-13"/>
        </w:rPr>
        <w:t xml:space="preserve"> </w:t>
      </w:r>
      <w:r>
        <w:t>the</w:t>
      </w:r>
      <w:r>
        <w:rPr>
          <w:spacing w:val="-12"/>
        </w:rPr>
        <w:t xml:space="preserve"> </w:t>
      </w:r>
      <w:r>
        <w:t>identity</w:t>
      </w:r>
      <w:r>
        <w:rPr>
          <w:spacing w:val="-13"/>
        </w:rPr>
        <w:t xml:space="preserve"> </w:t>
      </w:r>
      <w:r>
        <w:t>of</w:t>
      </w:r>
      <w:r>
        <w:rPr>
          <w:spacing w:val="-13"/>
        </w:rPr>
        <w:t xml:space="preserve"> </w:t>
      </w:r>
      <w:r>
        <w:t>attraction</w:t>
      </w:r>
      <w:r>
        <w:rPr>
          <w:spacing w:val="-13"/>
        </w:rPr>
        <w:t xml:space="preserve"> </w:t>
      </w:r>
      <w:r>
        <w:t>to</w:t>
      </w:r>
      <w:r>
        <w:rPr>
          <w:spacing w:val="-13"/>
        </w:rPr>
        <w:t xml:space="preserve"> </w:t>
      </w:r>
      <w:r>
        <w:t>others</w:t>
      </w:r>
      <w:r>
        <w:rPr>
          <w:spacing w:val="-14"/>
        </w:rPr>
        <w:t xml:space="preserve"> </w:t>
      </w:r>
      <w:r>
        <w:t>of</w:t>
      </w:r>
      <w:r>
        <w:rPr>
          <w:spacing w:val="-12"/>
        </w:rPr>
        <w:t xml:space="preserve"> </w:t>
      </w:r>
      <w:r>
        <w:t>the</w:t>
      </w:r>
      <w:r>
        <w:rPr>
          <w:spacing w:val="-13"/>
        </w:rPr>
        <w:t xml:space="preserve"> </w:t>
      </w:r>
      <w:r>
        <w:t>same</w:t>
      </w:r>
      <w:r>
        <w:rPr>
          <w:spacing w:val="-14"/>
        </w:rPr>
        <w:t xml:space="preserve"> </w:t>
      </w:r>
      <w:r>
        <w:t>gender.</w:t>
      </w:r>
    </w:p>
    <w:p w:rsidR="00200FDA" w:rsidRDefault="00200FDA">
      <w:pPr>
        <w:pStyle w:val="BodyText"/>
        <w:spacing w:before="8"/>
        <w:rPr>
          <w:sz w:val="32"/>
        </w:rPr>
      </w:pPr>
    </w:p>
    <w:p w:rsidR="00200FDA" w:rsidRDefault="00F76C4C">
      <w:pPr>
        <w:pStyle w:val="BodyText"/>
        <w:spacing w:before="1" w:line="247" w:lineRule="auto"/>
        <w:ind w:left="429" w:right="419" w:hanging="5"/>
        <w:jc w:val="both"/>
      </w:pPr>
      <w:r>
        <w:rPr>
          <w:b/>
        </w:rPr>
        <w:t>Gender</w:t>
      </w:r>
      <w:r>
        <w:rPr>
          <w:b/>
          <w:spacing w:val="-13"/>
        </w:rPr>
        <w:t xml:space="preserve"> </w:t>
      </w:r>
      <w:r>
        <w:rPr>
          <w:b/>
        </w:rPr>
        <w:t>diverse</w:t>
      </w:r>
      <w:r>
        <w:t>:</w:t>
      </w:r>
      <w:r>
        <w:rPr>
          <w:spacing w:val="-12"/>
        </w:rPr>
        <w:t xml:space="preserve"> </w:t>
      </w:r>
      <w:r>
        <w:t>Gender</w:t>
      </w:r>
      <w:r>
        <w:rPr>
          <w:spacing w:val="-13"/>
        </w:rPr>
        <w:t xml:space="preserve"> </w:t>
      </w:r>
      <w:r>
        <w:t>diverse</w:t>
      </w:r>
      <w:r>
        <w:rPr>
          <w:spacing w:val="-12"/>
        </w:rPr>
        <w:t xml:space="preserve"> </w:t>
      </w:r>
      <w:r>
        <w:t>refers</w:t>
      </w:r>
      <w:r>
        <w:rPr>
          <w:spacing w:val="-13"/>
        </w:rPr>
        <w:t xml:space="preserve"> </w:t>
      </w:r>
      <w:r>
        <w:t>to</w:t>
      </w:r>
      <w:r>
        <w:rPr>
          <w:spacing w:val="-12"/>
        </w:rPr>
        <w:t xml:space="preserve"> </w:t>
      </w:r>
      <w:r>
        <w:t>the</w:t>
      </w:r>
      <w:r>
        <w:rPr>
          <w:spacing w:val="-13"/>
        </w:rPr>
        <w:t xml:space="preserve"> </w:t>
      </w:r>
      <w:r>
        <w:t>wide</w:t>
      </w:r>
      <w:r>
        <w:rPr>
          <w:spacing w:val="-12"/>
        </w:rPr>
        <w:t xml:space="preserve"> </w:t>
      </w:r>
      <w:r>
        <w:t>range</w:t>
      </w:r>
      <w:r>
        <w:rPr>
          <w:spacing w:val="-12"/>
        </w:rPr>
        <w:t xml:space="preserve"> </w:t>
      </w:r>
      <w:r>
        <w:t>of</w:t>
      </w:r>
      <w:r>
        <w:rPr>
          <w:spacing w:val="-13"/>
        </w:rPr>
        <w:t xml:space="preserve"> </w:t>
      </w:r>
      <w:r>
        <w:t>gender</w:t>
      </w:r>
      <w:r>
        <w:rPr>
          <w:spacing w:val="-12"/>
        </w:rPr>
        <w:t xml:space="preserve"> </w:t>
      </w:r>
      <w:r>
        <w:t>identities</w:t>
      </w:r>
      <w:r>
        <w:rPr>
          <w:spacing w:val="-13"/>
        </w:rPr>
        <w:t xml:space="preserve"> </w:t>
      </w:r>
      <w:r>
        <w:t>and</w:t>
      </w:r>
      <w:r>
        <w:rPr>
          <w:spacing w:val="-12"/>
        </w:rPr>
        <w:t xml:space="preserve"> </w:t>
      </w:r>
      <w:r>
        <w:t>expressions</w:t>
      </w:r>
      <w:r>
        <w:rPr>
          <w:spacing w:val="-13"/>
        </w:rPr>
        <w:t xml:space="preserve"> </w:t>
      </w:r>
      <w:r>
        <w:t>that</w:t>
      </w:r>
      <w:r>
        <w:rPr>
          <w:spacing w:val="-12"/>
        </w:rPr>
        <w:t xml:space="preserve"> </w:t>
      </w:r>
      <w:r>
        <w:t>exist beyond the binary ca</w:t>
      </w:r>
      <w:r>
        <w:t>tegories of male and female. It includes individuals who identify as non-binary, genderqueer, genderfluid, as well as those who identify as transgender or cisgender. Gender diverse individuals may express their gender in a variety of ways, and their experi</w:t>
      </w:r>
      <w:r>
        <w:t>ences may be shaped by intersecting identities, such as race, ethnicity, class, and disability.</w:t>
      </w:r>
    </w:p>
    <w:p w:rsidR="00200FDA" w:rsidRDefault="00200FDA">
      <w:pPr>
        <w:pStyle w:val="BodyText"/>
        <w:spacing w:before="9"/>
        <w:rPr>
          <w:sz w:val="32"/>
        </w:rPr>
      </w:pPr>
    </w:p>
    <w:p w:rsidR="00200FDA" w:rsidRDefault="00F76C4C">
      <w:pPr>
        <w:pStyle w:val="BodyText"/>
        <w:spacing w:line="247" w:lineRule="auto"/>
        <w:ind w:left="429" w:right="419"/>
        <w:jc w:val="both"/>
      </w:pPr>
      <w:r>
        <w:rPr>
          <w:b/>
        </w:rPr>
        <w:t xml:space="preserve">Gender dysphoria: </w:t>
      </w:r>
      <w:r>
        <w:t>formerly known as Gender Identity Disorder (GID), and described as the extreme discomfort</w:t>
      </w:r>
      <w:r>
        <w:rPr>
          <w:spacing w:val="-11"/>
        </w:rPr>
        <w:t xml:space="preserve"> </w:t>
      </w:r>
      <w:r>
        <w:t>or</w:t>
      </w:r>
      <w:r>
        <w:rPr>
          <w:spacing w:val="-9"/>
        </w:rPr>
        <w:t xml:space="preserve"> </w:t>
      </w:r>
      <w:r>
        <w:t>distress</w:t>
      </w:r>
      <w:r>
        <w:rPr>
          <w:spacing w:val="-11"/>
        </w:rPr>
        <w:t xml:space="preserve"> </w:t>
      </w:r>
      <w:r>
        <w:t>resulting</w:t>
      </w:r>
      <w:r>
        <w:rPr>
          <w:spacing w:val="-10"/>
        </w:rPr>
        <w:t xml:space="preserve"> </w:t>
      </w:r>
      <w:r>
        <w:t>from</w:t>
      </w:r>
      <w:r>
        <w:rPr>
          <w:spacing w:val="-10"/>
        </w:rPr>
        <w:t xml:space="preserve"> </w:t>
      </w:r>
      <w:r>
        <w:t>a</w:t>
      </w:r>
      <w:r>
        <w:rPr>
          <w:spacing w:val="-12"/>
        </w:rPr>
        <w:t xml:space="preserve"> </w:t>
      </w:r>
      <w:r>
        <w:t>mismatch</w:t>
      </w:r>
      <w:r>
        <w:rPr>
          <w:spacing w:val="-12"/>
        </w:rPr>
        <w:t xml:space="preserve"> </w:t>
      </w:r>
      <w:r>
        <w:t>between</w:t>
      </w:r>
      <w:r>
        <w:rPr>
          <w:spacing w:val="-12"/>
        </w:rPr>
        <w:t xml:space="preserve"> </w:t>
      </w:r>
      <w:r>
        <w:t>one's</w:t>
      </w:r>
      <w:r>
        <w:rPr>
          <w:spacing w:val="-11"/>
        </w:rPr>
        <w:t xml:space="preserve"> </w:t>
      </w:r>
      <w:r>
        <w:t>sex</w:t>
      </w:r>
      <w:r>
        <w:rPr>
          <w:spacing w:val="-11"/>
        </w:rPr>
        <w:t xml:space="preserve"> </w:t>
      </w:r>
      <w:r>
        <w:t>assigned</w:t>
      </w:r>
      <w:r>
        <w:rPr>
          <w:spacing w:val="-12"/>
        </w:rPr>
        <w:t xml:space="preserve"> </w:t>
      </w:r>
      <w:r>
        <w:t>at</w:t>
      </w:r>
      <w:r>
        <w:rPr>
          <w:spacing w:val="-9"/>
        </w:rPr>
        <w:t xml:space="preserve"> </w:t>
      </w:r>
      <w:r>
        <w:t>birth</w:t>
      </w:r>
      <w:r>
        <w:rPr>
          <w:spacing w:val="-10"/>
        </w:rPr>
        <w:t xml:space="preserve"> </w:t>
      </w:r>
      <w:r>
        <w:t>and</w:t>
      </w:r>
      <w:r>
        <w:rPr>
          <w:spacing w:val="-12"/>
        </w:rPr>
        <w:t xml:space="preserve"> </w:t>
      </w:r>
      <w:r>
        <w:t>one’s</w:t>
      </w:r>
      <w:r>
        <w:rPr>
          <w:spacing w:val="-11"/>
        </w:rPr>
        <w:t xml:space="preserve"> </w:t>
      </w:r>
      <w:r>
        <w:t>gender identity. Gender dysphoria is also the formal diagnosis for transgender identity in the Diagnostic and Statistical Manual, fifth edition (DSM 5). In order to be diagnosed with gender dysphoria, one must have</w:t>
      </w:r>
      <w:r>
        <w:rPr>
          <w:spacing w:val="-13"/>
        </w:rPr>
        <w:t xml:space="preserve"> </w:t>
      </w:r>
      <w:r>
        <w:t>a</w:t>
      </w:r>
      <w:r>
        <w:rPr>
          <w:spacing w:val="-12"/>
        </w:rPr>
        <w:t xml:space="preserve"> </w:t>
      </w:r>
      <w:r>
        <w:t>marked</w:t>
      </w:r>
      <w:r>
        <w:rPr>
          <w:spacing w:val="-13"/>
        </w:rPr>
        <w:t xml:space="preserve"> </w:t>
      </w:r>
      <w:r>
        <w:t>incongruence</w:t>
      </w:r>
      <w:r>
        <w:rPr>
          <w:spacing w:val="-12"/>
        </w:rPr>
        <w:t xml:space="preserve"> </w:t>
      </w:r>
      <w:r>
        <w:t>between</w:t>
      </w:r>
      <w:r>
        <w:rPr>
          <w:spacing w:val="-13"/>
        </w:rPr>
        <w:t xml:space="preserve"> </w:t>
      </w:r>
      <w:r>
        <w:t>one's</w:t>
      </w:r>
      <w:r>
        <w:rPr>
          <w:spacing w:val="-12"/>
        </w:rPr>
        <w:t xml:space="preserve"> </w:t>
      </w:r>
      <w:r>
        <w:t>experienced/expressed</w:t>
      </w:r>
      <w:r>
        <w:rPr>
          <w:spacing w:val="-13"/>
        </w:rPr>
        <w:t xml:space="preserve"> </w:t>
      </w:r>
      <w:r>
        <w:t>gender</w:t>
      </w:r>
      <w:r>
        <w:rPr>
          <w:spacing w:val="-12"/>
        </w:rPr>
        <w:t xml:space="preserve"> </w:t>
      </w:r>
      <w:r>
        <w:t>and</w:t>
      </w:r>
      <w:r>
        <w:rPr>
          <w:spacing w:val="-12"/>
        </w:rPr>
        <w:t xml:space="preserve"> </w:t>
      </w:r>
      <w:r>
        <w:t>assigned</w:t>
      </w:r>
      <w:r>
        <w:rPr>
          <w:spacing w:val="-13"/>
        </w:rPr>
        <w:t xml:space="preserve"> </w:t>
      </w:r>
      <w:r>
        <w:t>gender</w:t>
      </w:r>
      <w:r>
        <w:rPr>
          <w:spacing w:val="-12"/>
        </w:rPr>
        <w:t xml:space="preserve"> </w:t>
      </w:r>
      <w:r>
        <w:t>for</w:t>
      </w:r>
      <w:r>
        <w:rPr>
          <w:spacing w:val="-13"/>
        </w:rPr>
        <w:t xml:space="preserve"> </w:t>
      </w:r>
      <w:r>
        <w:t>at least</w:t>
      </w:r>
      <w:r>
        <w:rPr>
          <w:spacing w:val="-13"/>
        </w:rPr>
        <w:t xml:space="preserve"> </w:t>
      </w:r>
      <w:r>
        <w:t>six</w:t>
      </w:r>
      <w:r>
        <w:rPr>
          <w:spacing w:val="-7"/>
        </w:rPr>
        <w:t xml:space="preserve"> </w:t>
      </w:r>
      <w:r>
        <w:t>months.</w:t>
      </w:r>
      <w:r>
        <w:rPr>
          <w:spacing w:val="-5"/>
        </w:rPr>
        <w:t xml:space="preserve"> </w:t>
      </w:r>
      <w:r>
        <w:t>In</w:t>
      </w:r>
      <w:r>
        <w:rPr>
          <w:spacing w:val="-5"/>
        </w:rPr>
        <w:t xml:space="preserve"> </w:t>
      </w:r>
      <w:r>
        <w:t>children,</w:t>
      </w:r>
      <w:r>
        <w:rPr>
          <w:spacing w:val="-4"/>
        </w:rPr>
        <w:t xml:space="preserve"> </w:t>
      </w:r>
      <w:r>
        <w:t>identification</w:t>
      </w:r>
      <w:r>
        <w:rPr>
          <w:spacing w:val="-5"/>
        </w:rPr>
        <w:t xml:space="preserve"> </w:t>
      </w:r>
      <w:r>
        <w:t>with</w:t>
      </w:r>
      <w:r>
        <w:rPr>
          <w:spacing w:val="-8"/>
        </w:rPr>
        <w:t xml:space="preserve"> </w:t>
      </w:r>
      <w:r>
        <w:t>a</w:t>
      </w:r>
      <w:r>
        <w:rPr>
          <w:spacing w:val="-5"/>
        </w:rPr>
        <w:t xml:space="preserve"> </w:t>
      </w:r>
      <w:r>
        <w:t>gender</w:t>
      </w:r>
      <w:r>
        <w:rPr>
          <w:spacing w:val="-4"/>
        </w:rPr>
        <w:t xml:space="preserve"> </w:t>
      </w:r>
      <w:r>
        <w:t>other</w:t>
      </w:r>
      <w:r>
        <w:rPr>
          <w:spacing w:val="-4"/>
        </w:rPr>
        <w:t xml:space="preserve"> </w:t>
      </w:r>
      <w:r>
        <w:t>than</w:t>
      </w:r>
      <w:r>
        <w:rPr>
          <w:spacing w:val="-5"/>
        </w:rPr>
        <w:t xml:space="preserve"> </w:t>
      </w:r>
      <w:r>
        <w:t>the</w:t>
      </w:r>
      <w:r>
        <w:rPr>
          <w:spacing w:val="-6"/>
        </w:rPr>
        <w:t xml:space="preserve"> </w:t>
      </w:r>
      <w:r>
        <w:t>one</w:t>
      </w:r>
      <w:r>
        <w:rPr>
          <w:spacing w:val="-4"/>
        </w:rPr>
        <w:t xml:space="preserve"> </w:t>
      </w:r>
      <w:r>
        <w:t>assigned</w:t>
      </w:r>
      <w:r>
        <w:rPr>
          <w:spacing w:val="-5"/>
        </w:rPr>
        <w:t xml:space="preserve"> </w:t>
      </w:r>
      <w:r>
        <w:t>at</w:t>
      </w:r>
      <w:r>
        <w:rPr>
          <w:spacing w:val="-4"/>
        </w:rPr>
        <w:t xml:space="preserve"> </w:t>
      </w:r>
      <w:r>
        <w:t>birth</w:t>
      </w:r>
      <w:r>
        <w:rPr>
          <w:spacing w:val="-7"/>
        </w:rPr>
        <w:t xml:space="preserve"> </w:t>
      </w:r>
      <w:r>
        <w:t>must</w:t>
      </w:r>
      <w:r>
        <w:rPr>
          <w:spacing w:val="-4"/>
        </w:rPr>
        <w:t xml:space="preserve"> </w:t>
      </w:r>
      <w:r>
        <w:t>be present</w:t>
      </w:r>
      <w:r>
        <w:rPr>
          <w:spacing w:val="-1"/>
        </w:rPr>
        <w:t xml:space="preserve"> </w:t>
      </w:r>
      <w:r>
        <w:t>and</w:t>
      </w:r>
      <w:r>
        <w:rPr>
          <w:spacing w:val="-5"/>
        </w:rPr>
        <w:t xml:space="preserve"> </w:t>
      </w:r>
      <w:r>
        <w:t>verbalized.</w:t>
      </w:r>
      <w:r>
        <w:rPr>
          <w:spacing w:val="-2"/>
        </w:rPr>
        <w:t xml:space="preserve"> </w:t>
      </w:r>
      <w:r>
        <w:t>The</w:t>
      </w:r>
      <w:r>
        <w:rPr>
          <w:spacing w:val="-1"/>
        </w:rPr>
        <w:t xml:space="preserve"> </w:t>
      </w:r>
      <w:r>
        <w:t>condition</w:t>
      </w:r>
      <w:r>
        <w:rPr>
          <w:spacing w:val="-3"/>
        </w:rPr>
        <w:t xml:space="preserve"> </w:t>
      </w:r>
      <w:r>
        <w:t>is</w:t>
      </w:r>
      <w:r>
        <w:rPr>
          <w:spacing w:val="-2"/>
        </w:rPr>
        <w:t xml:space="preserve"> </w:t>
      </w:r>
      <w:r>
        <w:t>associated</w:t>
      </w:r>
      <w:r>
        <w:rPr>
          <w:spacing w:val="-5"/>
        </w:rPr>
        <w:t xml:space="preserve"> </w:t>
      </w:r>
      <w:r>
        <w:t>with</w:t>
      </w:r>
      <w:r>
        <w:rPr>
          <w:spacing w:val="-3"/>
        </w:rPr>
        <w:t xml:space="preserve"> </w:t>
      </w:r>
      <w:r>
        <w:t>clinically</w:t>
      </w:r>
      <w:r>
        <w:rPr>
          <w:spacing w:val="-1"/>
        </w:rPr>
        <w:t xml:space="preserve"> </w:t>
      </w:r>
      <w:r>
        <w:t>significant</w:t>
      </w:r>
      <w:r>
        <w:rPr>
          <w:spacing w:val="-2"/>
        </w:rPr>
        <w:t xml:space="preserve"> </w:t>
      </w:r>
      <w:r>
        <w:t>distress</w:t>
      </w:r>
      <w:r>
        <w:rPr>
          <w:spacing w:val="-2"/>
        </w:rPr>
        <w:t xml:space="preserve"> </w:t>
      </w:r>
      <w:r>
        <w:t>or</w:t>
      </w:r>
      <w:r>
        <w:rPr>
          <w:spacing w:val="-2"/>
        </w:rPr>
        <w:t xml:space="preserve"> </w:t>
      </w:r>
      <w:r>
        <w:t>impairment</w:t>
      </w:r>
      <w:r>
        <w:rPr>
          <w:spacing w:val="-1"/>
        </w:rPr>
        <w:t xml:space="preserve"> </w:t>
      </w:r>
      <w:r>
        <w:t>in social, school, occupational, or other important areas of functioning. Not all members of the transgender</w:t>
      </w:r>
      <w:r>
        <w:rPr>
          <w:spacing w:val="-13"/>
        </w:rPr>
        <w:t xml:space="preserve"> </w:t>
      </w:r>
      <w:r>
        <w:t>community</w:t>
      </w:r>
      <w:r>
        <w:rPr>
          <w:spacing w:val="-12"/>
        </w:rPr>
        <w:t xml:space="preserve"> </w:t>
      </w:r>
      <w:r>
        <w:t>choose</w:t>
      </w:r>
      <w:r>
        <w:rPr>
          <w:spacing w:val="-13"/>
        </w:rPr>
        <w:t xml:space="preserve"> </w:t>
      </w:r>
      <w:r>
        <w:t>to</w:t>
      </w:r>
      <w:r>
        <w:rPr>
          <w:spacing w:val="-12"/>
        </w:rPr>
        <w:t xml:space="preserve"> </w:t>
      </w:r>
      <w:r>
        <w:t>take</w:t>
      </w:r>
      <w:r>
        <w:rPr>
          <w:spacing w:val="-13"/>
        </w:rPr>
        <w:t xml:space="preserve"> </w:t>
      </w:r>
      <w:r>
        <w:t>on</w:t>
      </w:r>
      <w:r>
        <w:rPr>
          <w:spacing w:val="-12"/>
        </w:rPr>
        <w:t xml:space="preserve"> </w:t>
      </w:r>
      <w:r>
        <w:t>the</w:t>
      </w:r>
      <w:r>
        <w:rPr>
          <w:spacing w:val="-13"/>
        </w:rPr>
        <w:t xml:space="preserve"> </w:t>
      </w:r>
      <w:r>
        <w:t>formal</w:t>
      </w:r>
      <w:r>
        <w:rPr>
          <w:spacing w:val="-12"/>
        </w:rPr>
        <w:t xml:space="preserve"> </w:t>
      </w:r>
      <w:r>
        <w:t>diagnosis,</w:t>
      </w:r>
      <w:r>
        <w:rPr>
          <w:spacing w:val="-12"/>
        </w:rPr>
        <w:t xml:space="preserve"> </w:t>
      </w:r>
      <w:r>
        <w:t>as</w:t>
      </w:r>
      <w:r>
        <w:rPr>
          <w:spacing w:val="-13"/>
        </w:rPr>
        <w:t xml:space="preserve"> </w:t>
      </w:r>
      <w:r>
        <w:t>there</w:t>
      </w:r>
      <w:r>
        <w:rPr>
          <w:spacing w:val="-12"/>
        </w:rPr>
        <w:t xml:space="preserve"> </w:t>
      </w:r>
      <w:r>
        <w:t>is</w:t>
      </w:r>
      <w:r>
        <w:rPr>
          <w:spacing w:val="-12"/>
        </w:rPr>
        <w:t xml:space="preserve"> </w:t>
      </w:r>
      <w:r>
        <w:t>still</w:t>
      </w:r>
      <w:r>
        <w:rPr>
          <w:spacing w:val="-13"/>
        </w:rPr>
        <w:t xml:space="preserve"> </w:t>
      </w:r>
      <w:r>
        <w:t>some</w:t>
      </w:r>
      <w:r>
        <w:rPr>
          <w:spacing w:val="-12"/>
        </w:rPr>
        <w:t xml:space="preserve"> </w:t>
      </w:r>
      <w:r>
        <w:t>stigma</w:t>
      </w:r>
      <w:r>
        <w:rPr>
          <w:spacing w:val="-12"/>
        </w:rPr>
        <w:t xml:space="preserve"> </w:t>
      </w:r>
      <w:r>
        <w:t>associated with a formal diagno</w:t>
      </w:r>
      <w:r>
        <w:t>sis.</w:t>
      </w:r>
    </w:p>
    <w:p w:rsidR="00200FDA" w:rsidRDefault="00200FDA">
      <w:pPr>
        <w:pStyle w:val="BodyText"/>
        <w:spacing w:before="6"/>
        <w:rPr>
          <w:sz w:val="32"/>
        </w:rPr>
      </w:pPr>
    </w:p>
    <w:p w:rsidR="00200FDA" w:rsidRDefault="00F76C4C">
      <w:pPr>
        <w:pStyle w:val="BodyText"/>
        <w:spacing w:line="247" w:lineRule="auto"/>
        <w:ind w:left="429" w:right="420" w:hanging="5"/>
        <w:jc w:val="both"/>
      </w:pPr>
      <w:r>
        <w:rPr>
          <w:b/>
        </w:rPr>
        <w:t>Gender expansive</w:t>
      </w:r>
      <w:r>
        <w:t>: Gender expansive refers to a wide range of gender identities and expressions beyond the binary categories of male and female. Gender expansive individuals may identify as non- binary, genderqueer, genderfluid, or any other gender id</w:t>
      </w:r>
      <w:r>
        <w:t>entity outside of the binary. It can also refer to</w:t>
      </w:r>
      <w:r>
        <w:rPr>
          <w:spacing w:val="-3"/>
        </w:rPr>
        <w:t xml:space="preserve"> </w:t>
      </w:r>
      <w:r>
        <w:t>individuals</w:t>
      </w:r>
      <w:r>
        <w:rPr>
          <w:spacing w:val="-7"/>
        </w:rPr>
        <w:t xml:space="preserve"> </w:t>
      </w:r>
      <w:r>
        <w:t>who</w:t>
      </w:r>
      <w:r>
        <w:rPr>
          <w:spacing w:val="-6"/>
        </w:rPr>
        <w:t xml:space="preserve"> </w:t>
      </w:r>
      <w:r>
        <w:t>express</w:t>
      </w:r>
      <w:r>
        <w:rPr>
          <w:spacing w:val="-7"/>
        </w:rPr>
        <w:t xml:space="preserve"> </w:t>
      </w:r>
      <w:r>
        <w:t>their</w:t>
      </w:r>
      <w:r>
        <w:rPr>
          <w:spacing w:val="-4"/>
        </w:rPr>
        <w:t xml:space="preserve"> </w:t>
      </w:r>
      <w:r>
        <w:t>gender</w:t>
      </w:r>
      <w:r>
        <w:rPr>
          <w:spacing w:val="-4"/>
        </w:rPr>
        <w:t xml:space="preserve"> </w:t>
      </w:r>
      <w:r>
        <w:t>in</w:t>
      </w:r>
      <w:r>
        <w:rPr>
          <w:spacing w:val="-7"/>
        </w:rPr>
        <w:t xml:space="preserve"> </w:t>
      </w:r>
      <w:r>
        <w:t>a</w:t>
      </w:r>
      <w:r>
        <w:rPr>
          <w:spacing w:val="-4"/>
        </w:rPr>
        <w:t xml:space="preserve"> </w:t>
      </w:r>
      <w:r>
        <w:t>non-conforming</w:t>
      </w:r>
      <w:r>
        <w:rPr>
          <w:spacing w:val="-5"/>
        </w:rPr>
        <w:t xml:space="preserve"> </w:t>
      </w:r>
      <w:r>
        <w:t>way,</w:t>
      </w:r>
      <w:r>
        <w:rPr>
          <w:spacing w:val="-4"/>
        </w:rPr>
        <w:t xml:space="preserve"> </w:t>
      </w:r>
      <w:r>
        <w:t>such</w:t>
      </w:r>
      <w:r>
        <w:rPr>
          <w:spacing w:val="-8"/>
        </w:rPr>
        <w:t xml:space="preserve"> </w:t>
      </w:r>
      <w:r>
        <w:t>as</w:t>
      </w:r>
      <w:r>
        <w:rPr>
          <w:spacing w:val="-4"/>
        </w:rPr>
        <w:t xml:space="preserve"> </w:t>
      </w:r>
      <w:r>
        <w:t>through</w:t>
      </w:r>
      <w:r>
        <w:rPr>
          <w:spacing w:val="-5"/>
        </w:rPr>
        <w:t xml:space="preserve"> </w:t>
      </w:r>
      <w:r>
        <w:t>clothing,</w:t>
      </w:r>
      <w:r>
        <w:rPr>
          <w:spacing w:val="-4"/>
        </w:rPr>
        <w:t xml:space="preserve"> </w:t>
      </w:r>
      <w:r>
        <w:t>hairstyles, or mannerisms that are not traditionally associated with their gender.</w:t>
      </w:r>
    </w:p>
    <w:p w:rsidR="00200FDA" w:rsidRDefault="00200FDA">
      <w:pPr>
        <w:spacing w:line="247" w:lineRule="auto"/>
        <w:jc w:val="both"/>
        <w:sectPr w:rsidR="00200FDA">
          <w:headerReference w:type="default" r:id="rId881"/>
          <w:footerReference w:type="default" r:id="rId882"/>
          <w:pgSz w:w="12240" w:h="15840"/>
          <w:pgMar w:top="1260" w:right="1160" w:bottom="1020" w:left="1160" w:header="859" w:footer="836" w:gutter="0"/>
          <w:cols w:space="720"/>
        </w:sectPr>
      </w:pPr>
    </w:p>
    <w:p w:rsidR="00200FDA" w:rsidRDefault="00F76C4C">
      <w:pPr>
        <w:pStyle w:val="BodyText"/>
        <w:spacing w:before="46" w:line="247" w:lineRule="auto"/>
        <w:ind w:left="428" w:right="419" w:hanging="5"/>
        <w:jc w:val="both"/>
      </w:pPr>
      <w:r>
        <w:rPr>
          <w:b/>
        </w:rPr>
        <w:lastRenderedPageBreak/>
        <w:t xml:space="preserve">Gender expression: </w:t>
      </w:r>
      <w:r>
        <w:t>how a person publicly presents or expresses their gender identity to others. This includes</w:t>
      </w:r>
      <w:r>
        <w:rPr>
          <w:spacing w:val="-6"/>
        </w:rPr>
        <w:t xml:space="preserve"> </w:t>
      </w:r>
      <w:r>
        <w:t>how</w:t>
      </w:r>
      <w:r>
        <w:rPr>
          <w:spacing w:val="-8"/>
        </w:rPr>
        <w:t xml:space="preserve"> </w:t>
      </w:r>
      <w:r>
        <w:t>they</w:t>
      </w:r>
      <w:r>
        <w:rPr>
          <w:spacing w:val="-8"/>
        </w:rPr>
        <w:t xml:space="preserve"> </w:t>
      </w:r>
      <w:r>
        <w:t>speak</w:t>
      </w:r>
      <w:r>
        <w:rPr>
          <w:spacing w:val="-9"/>
        </w:rPr>
        <w:t xml:space="preserve"> </w:t>
      </w:r>
      <w:r>
        <w:t>or</w:t>
      </w:r>
      <w:r>
        <w:rPr>
          <w:spacing w:val="-12"/>
        </w:rPr>
        <w:t xml:space="preserve"> </w:t>
      </w:r>
      <w:r>
        <w:t>act,</w:t>
      </w:r>
      <w:r>
        <w:rPr>
          <w:spacing w:val="-9"/>
        </w:rPr>
        <w:t xml:space="preserve"> </w:t>
      </w:r>
      <w:r>
        <w:t>wear</w:t>
      </w:r>
      <w:r>
        <w:rPr>
          <w:spacing w:val="-9"/>
        </w:rPr>
        <w:t xml:space="preserve"> </w:t>
      </w:r>
      <w:r>
        <w:t>their</w:t>
      </w:r>
      <w:r>
        <w:rPr>
          <w:spacing w:val="-7"/>
        </w:rPr>
        <w:t xml:space="preserve"> </w:t>
      </w:r>
      <w:r>
        <w:t>hair,</w:t>
      </w:r>
      <w:r>
        <w:rPr>
          <w:spacing w:val="-9"/>
        </w:rPr>
        <w:t xml:space="preserve"> </w:t>
      </w:r>
      <w:r>
        <w:t>dress,</w:t>
      </w:r>
      <w:r>
        <w:rPr>
          <w:spacing w:val="-9"/>
        </w:rPr>
        <w:t xml:space="preserve"> </w:t>
      </w:r>
      <w:r>
        <w:t>and</w:t>
      </w:r>
      <w:r>
        <w:rPr>
          <w:spacing w:val="-7"/>
        </w:rPr>
        <w:t xml:space="preserve"> </w:t>
      </w:r>
      <w:r>
        <w:t>otherwise</w:t>
      </w:r>
      <w:r>
        <w:rPr>
          <w:spacing w:val="-6"/>
        </w:rPr>
        <w:t xml:space="preserve"> </w:t>
      </w:r>
      <w:r>
        <w:t>present</w:t>
      </w:r>
      <w:r>
        <w:rPr>
          <w:spacing w:val="-9"/>
        </w:rPr>
        <w:t xml:space="preserve"> </w:t>
      </w:r>
      <w:r>
        <w:t>themselves</w:t>
      </w:r>
      <w:r>
        <w:rPr>
          <w:spacing w:val="-9"/>
        </w:rPr>
        <w:t xml:space="preserve"> </w:t>
      </w:r>
      <w:r>
        <w:t>to</w:t>
      </w:r>
      <w:r>
        <w:rPr>
          <w:spacing w:val="-8"/>
        </w:rPr>
        <w:t xml:space="preserve"> </w:t>
      </w:r>
      <w:r>
        <w:t>the</w:t>
      </w:r>
      <w:r>
        <w:rPr>
          <w:spacing w:val="-8"/>
        </w:rPr>
        <w:t xml:space="preserve"> </w:t>
      </w:r>
      <w:r>
        <w:t>world. Gender expression is n</w:t>
      </w:r>
      <w:r>
        <w:t>ot necessarily indicative of sexual orientation or gender identity.</w:t>
      </w:r>
    </w:p>
    <w:p w:rsidR="00200FDA" w:rsidRDefault="00200FDA">
      <w:pPr>
        <w:pStyle w:val="BodyText"/>
        <w:spacing w:before="8"/>
        <w:rPr>
          <w:sz w:val="32"/>
        </w:rPr>
      </w:pPr>
    </w:p>
    <w:p w:rsidR="00200FDA" w:rsidRDefault="00F76C4C">
      <w:pPr>
        <w:pStyle w:val="BodyText"/>
        <w:spacing w:line="247" w:lineRule="auto"/>
        <w:ind w:left="428" w:right="421" w:hanging="5"/>
        <w:jc w:val="both"/>
      </w:pPr>
      <w:r>
        <w:rPr>
          <w:b/>
        </w:rPr>
        <w:t xml:space="preserve">Gender identity: </w:t>
      </w:r>
      <w:r>
        <w:t>The gender a person experiences and accepts as descriptive of themselves. Traditionally gender identities have been limited to man or woman. Currently there are many other additional</w:t>
      </w:r>
      <w:r>
        <w:rPr>
          <w:spacing w:val="-11"/>
        </w:rPr>
        <w:t xml:space="preserve"> </w:t>
      </w:r>
      <w:r>
        <w:t>gender</w:t>
      </w:r>
      <w:r>
        <w:rPr>
          <w:spacing w:val="-12"/>
        </w:rPr>
        <w:t xml:space="preserve"> </w:t>
      </w:r>
      <w:r>
        <w:t>identities,</w:t>
      </w:r>
      <w:r>
        <w:rPr>
          <w:spacing w:val="-10"/>
        </w:rPr>
        <w:t xml:space="preserve"> </w:t>
      </w:r>
      <w:r>
        <w:t>such</w:t>
      </w:r>
      <w:r>
        <w:rPr>
          <w:spacing w:val="-11"/>
        </w:rPr>
        <w:t xml:space="preserve"> </w:t>
      </w:r>
      <w:r>
        <w:t>genderqueer</w:t>
      </w:r>
      <w:r>
        <w:rPr>
          <w:spacing w:val="-10"/>
        </w:rPr>
        <w:t xml:space="preserve"> </w:t>
      </w:r>
      <w:r>
        <w:t>and</w:t>
      </w:r>
      <w:r>
        <w:rPr>
          <w:spacing w:val="-12"/>
        </w:rPr>
        <w:t xml:space="preserve"> </w:t>
      </w:r>
      <w:r>
        <w:t>nonbinary.</w:t>
      </w:r>
      <w:r>
        <w:rPr>
          <w:spacing w:val="-10"/>
        </w:rPr>
        <w:t xml:space="preserve"> </w:t>
      </w:r>
      <w:r>
        <w:t>Gender</w:t>
      </w:r>
      <w:r>
        <w:rPr>
          <w:spacing w:val="-12"/>
        </w:rPr>
        <w:t xml:space="preserve"> </w:t>
      </w:r>
      <w:r>
        <w:t>identity</w:t>
      </w:r>
      <w:r>
        <w:rPr>
          <w:spacing w:val="-9"/>
        </w:rPr>
        <w:t xml:space="preserve"> </w:t>
      </w:r>
      <w:r>
        <w:t>is</w:t>
      </w:r>
      <w:r>
        <w:rPr>
          <w:spacing w:val="-13"/>
        </w:rPr>
        <w:t xml:space="preserve"> </w:t>
      </w:r>
      <w:r>
        <w:t>sep</w:t>
      </w:r>
      <w:r>
        <w:t>arate</w:t>
      </w:r>
      <w:r>
        <w:rPr>
          <w:spacing w:val="-11"/>
        </w:rPr>
        <w:t xml:space="preserve"> </w:t>
      </w:r>
      <w:r>
        <w:t>from</w:t>
      </w:r>
      <w:r>
        <w:rPr>
          <w:spacing w:val="-11"/>
        </w:rPr>
        <w:t xml:space="preserve"> </w:t>
      </w:r>
      <w:r>
        <w:t xml:space="preserve">sexual </w:t>
      </w:r>
      <w:r>
        <w:rPr>
          <w:spacing w:val="-2"/>
        </w:rPr>
        <w:t>orientation.</w:t>
      </w:r>
    </w:p>
    <w:p w:rsidR="00200FDA" w:rsidRDefault="00200FDA">
      <w:pPr>
        <w:pStyle w:val="BodyText"/>
        <w:spacing w:before="10"/>
        <w:rPr>
          <w:sz w:val="32"/>
        </w:rPr>
      </w:pPr>
    </w:p>
    <w:p w:rsidR="00200FDA" w:rsidRDefault="00F76C4C">
      <w:pPr>
        <w:pStyle w:val="BodyText"/>
        <w:spacing w:line="249" w:lineRule="auto"/>
        <w:ind w:left="428" w:right="421" w:hanging="5"/>
        <w:jc w:val="both"/>
      </w:pPr>
      <w:r>
        <w:rPr>
          <w:b/>
        </w:rPr>
        <w:t xml:space="preserve">Gender-neutral: </w:t>
      </w:r>
      <w:r>
        <w:t>a term that describes something, many times a space (like a bathroom) or a thing (such as clothing), that is not segregated by sex or gender.</w:t>
      </w:r>
    </w:p>
    <w:p w:rsidR="00200FDA" w:rsidRDefault="00200FDA">
      <w:pPr>
        <w:pStyle w:val="BodyText"/>
        <w:spacing w:before="8"/>
        <w:rPr>
          <w:sz w:val="32"/>
        </w:rPr>
      </w:pPr>
    </w:p>
    <w:p w:rsidR="00200FDA" w:rsidRDefault="00F76C4C">
      <w:pPr>
        <w:pStyle w:val="BodyText"/>
        <w:spacing w:before="1" w:line="247" w:lineRule="auto"/>
        <w:ind w:left="428" w:right="423" w:hanging="5"/>
        <w:jc w:val="both"/>
      </w:pPr>
      <w:r>
        <w:rPr>
          <w:b/>
        </w:rPr>
        <w:t>Gender-nonconforming</w:t>
      </w:r>
      <w:r>
        <w:rPr>
          <w:b/>
          <w:spacing w:val="-2"/>
        </w:rPr>
        <w:t xml:space="preserve"> </w:t>
      </w:r>
      <w:r>
        <w:rPr>
          <w:b/>
        </w:rPr>
        <w:t>(GNC):</w:t>
      </w:r>
      <w:r>
        <w:rPr>
          <w:b/>
          <w:spacing w:val="-3"/>
        </w:rPr>
        <w:t xml:space="preserve"> </w:t>
      </w:r>
      <w:r>
        <w:t>a</w:t>
      </w:r>
      <w:r>
        <w:rPr>
          <w:spacing w:val="-2"/>
        </w:rPr>
        <w:t xml:space="preserve"> </w:t>
      </w:r>
      <w:r>
        <w:t>term</w:t>
      </w:r>
      <w:r>
        <w:rPr>
          <w:spacing w:val="-2"/>
        </w:rPr>
        <w:t xml:space="preserve"> </w:t>
      </w:r>
      <w:r>
        <w:t>used</w:t>
      </w:r>
      <w:r>
        <w:rPr>
          <w:spacing w:val="-3"/>
        </w:rPr>
        <w:t xml:space="preserve"> </w:t>
      </w:r>
      <w:r>
        <w:t>to</w:t>
      </w:r>
      <w:r>
        <w:rPr>
          <w:spacing w:val="-2"/>
        </w:rPr>
        <w:t xml:space="preserve"> </w:t>
      </w:r>
      <w:r>
        <w:t>describe</w:t>
      </w:r>
      <w:r>
        <w:rPr>
          <w:spacing w:val="-2"/>
        </w:rPr>
        <w:t xml:space="preserve"> </w:t>
      </w:r>
      <w:r>
        <w:t>people</w:t>
      </w:r>
      <w:r>
        <w:rPr>
          <w:spacing w:val="-4"/>
        </w:rPr>
        <w:t xml:space="preserve"> </w:t>
      </w:r>
      <w:r>
        <w:t>whose</w:t>
      </w:r>
      <w:r>
        <w:rPr>
          <w:spacing w:val="-2"/>
        </w:rPr>
        <w:t xml:space="preserve"> </w:t>
      </w:r>
      <w:r>
        <w:t>gender</w:t>
      </w:r>
      <w:r>
        <w:rPr>
          <w:spacing w:val="-2"/>
        </w:rPr>
        <w:t xml:space="preserve"> </w:t>
      </w:r>
      <w:r>
        <w:t>expression</w:t>
      </w:r>
      <w:r>
        <w:rPr>
          <w:spacing w:val="-3"/>
        </w:rPr>
        <w:t xml:space="preserve"> </w:t>
      </w:r>
      <w:r>
        <w:t>differs</w:t>
      </w:r>
      <w:r>
        <w:rPr>
          <w:spacing w:val="-2"/>
        </w:rPr>
        <w:t xml:space="preserve"> </w:t>
      </w:r>
      <w:r>
        <w:t>from stereotypical expectations of gender appropriate behavior or ways men and women are expected to act. Not all gender non-conforming people identify as LGBTQ. This may also be referred to as gender variance or gender expansive.</w:t>
      </w:r>
    </w:p>
    <w:p w:rsidR="00200FDA" w:rsidRDefault="00200FDA">
      <w:pPr>
        <w:pStyle w:val="BodyText"/>
        <w:spacing w:before="7"/>
        <w:rPr>
          <w:sz w:val="32"/>
        </w:rPr>
      </w:pPr>
    </w:p>
    <w:p w:rsidR="00200FDA" w:rsidRDefault="00F76C4C">
      <w:pPr>
        <w:pStyle w:val="BodyText"/>
        <w:spacing w:line="247" w:lineRule="auto"/>
        <w:ind w:left="427" w:right="425" w:hanging="4"/>
        <w:jc w:val="both"/>
      </w:pPr>
      <w:r>
        <w:rPr>
          <w:b/>
        </w:rPr>
        <w:t xml:space="preserve">Gender role: </w:t>
      </w:r>
      <w:r>
        <w:t>Duties associated with a person’s social function; traditionally based on the sexual division of</w:t>
      </w:r>
      <w:r>
        <w:rPr>
          <w:spacing w:val="-4"/>
        </w:rPr>
        <w:t xml:space="preserve"> </w:t>
      </w:r>
      <w:r>
        <w:t>labor</w:t>
      </w:r>
      <w:r>
        <w:rPr>
          <w:spacing w:val="-4"/>
        </w:rPr>
        <w:t xml:space="preserve"> </w:t>
      </w:r>
      <w:r>
        <w:t>e.g.</w:t>
      </w:r>
      <w:r>
        <w:rPr>
          <w:spacing w:val="-3"/>
        </w:rPr>
        <w:t xml:space="preserve"> </w:t>
      </w:r>
      <w:r>
        <w:t>traditional</w:t>
      </w:r>
      <w:r>
        <w:rPr>
          <w:spacing w:val="-5"/>
        </w:rPr>
        <w:t xml:space="preserve"> </w:t>
      </w:r>
      <w:r>
        <w:t>woman</w:t>
      </w:r>
      <w:r>
        <w:rPr>
          <w:spacing w:val="-5"/>
        </w:rPr>
        <w:t xml:space="preserve"> </w:t>
      </w:r>
      <w:r>
        <w:t>–</w:t>
      </w:r>
      <w:r>
        <w:rPr>
          <w:spacing w:val="-4"/>
        </w:rPr>
        <w:t xml:space="preserve"> </w:t>
      </w:r>
      <w:r>
        <w:t>wife,</w:t>
      </w:r>
      <w:r>
        <w:rPr>
          <w:spacing w:val="-4"/>
        </w:rPr>
        <w:t xml:space="preserve"> </w:t>
      </w:r>
      <w:r>
        <w:t>mother,</w:t>
      </w:r>
      <w:r>
        <w:rPr>
          <w:spacing w:val="-2"/>
        </w:rPr>
        <w:t xml:space="preserve"> </w:t>
      </w:r>
      <w:r>
        <w:t>caregiver,</w:t>
      </w:r>
      <w:r>
        <w:rPr>
          <w:spacing w:val="-1"/>
        </w:rPr>
        <w:t xml:space="preserve"> </w:t>
      </w:r>
      <w:r>
        <w:t>emotional</w:t>
      </w:r>
      <w:r>
        <w:rPr>
          <w:spacing w:val="-2"/>
        </w:rPr>
        <w:t xml:space="preserve"> </w:t>
      </w:r>
      <w:r>
        <w:t>support;</w:t>
      </w:r>
      <w:r>
        <w:rPr>
          <w:spacing w:val="-3"/>
        </w:rPr>
        <w:t xml:space="preserve"> </w:t>
      </w:r>
      <w:r>
        <w:t>traditional</w:t>
      </w:r>
      <w:r>
        <w:rPr>
          <w:spacing w:val="-2"/>
        </w:rPr>
        <w:t xml:space="preserve"> </w:t>
      </w:r>
      <w:r>
        <w:t>man – husband, father, protector, financial provider.</w:t>
      </w:r>
    </w:p>
    <w:p w:rsidR="00200FDA" w:rsidRDefault="00200FDA">
      <w:pPr>
        <w:pStyle w:val="BodyText"/>
        <w:spacing w:before="8"/>
        <w:rPr>
          <w:sz w:val="32"/>
        </w:rPr>
      </w:pPr>
    </w:p>
    <w:p w:rsidR="00200FDA" w:rsidRDefault="00F76C4C">
      <w:pPr>
        <w:pStyle w:val="BodyText"/>
        <w:spacing w:before="1" w:line="247" w:lineRule="auto"/>
        <w:ind w:left="427" w:right="421" w:hanging="5"/>
        <w:jc w:val="both"/>
      </w:pPr>
      <w:r>
        <w:rPr>
          <w:b/>
        </w:rPr>
        <w:t xml:space="preserve">Genderqueer: </w:t>
      </w:r>
      <w:r>
        <w:t>a term for people who identify outside the confines of the binary definition of gender (male/female). Genderqueer people may consider themselves to be two or more genders, without a gender, a third gender, and/or fluid.</w:t>
      </w:r>
    </w:p>
    <w:p w:rsidR="00200FDA" w:rsidRDefault="00200FDA">
      <w:pPr>
        <w:pStyle w:val="BodyText"/>
        <w:spacing w:before="8"/>
        <w:rPr>
          <w:sz w:val="32"/>
        </w:rPr>
      </w:pPr>
    </w:p>
    <w:p w:rsidR="00200FDA" w:rsidRDefault="00F76C4C">
      <w:pPr>
        <w:pStyle w:val="BodyText"/>
        <w:spacing w:line="247" w:lineRule="auto"/>
        <w:ind w:left="427" w:right="422" w:hanging="5"/>
        <w:jc w:val="both"/>
      </w:pPr>
      <w:r>
        <w:rPr>
          <w:b/>
        </w:rPr>
        <w:t>Heteronormativity</w:t>
      </w:r>
      <w:r>
        <w:t>: Het</w:t>
      </w:r>
      <w:r>
        <w:t>eronormativity refers to the societal assumption that heterosexuality is the norm</w:t>
      </w:r>
      <w:r>
        <w:rPr>
          <w:spacing w:val="-11"/>
        </w:rPr>
        <w:t xml:space="preserve"> </w:t>
      </w:r>
      <w:r>
        <w:t>or</w:t>
      </w:r>
      <w:r>
        <w:rPr>
          <w:spacing w:val="-8"/>
        </w:rPr>
        <w:t xml:space="preserve"> </w:t>
      </w:r>
      <w:r>
        <w:t>default</w:t>
      </w:r>
      <w:r>
        <w:rPr>
          <w:spacing w:val="-7"/>
        </w:rPr>
        <w:t xml:space="preserve"> </w:t>
      </w:r>
      <w:r>
        <w:t>sexual</w:t>
      </w:r>
      <w:r>
        <w:rPr>
          <w:spacing w:val="-10"/>
        </w:rPr>
        <w:t xml:space="preserve"> </w:t>
      </w:r>
      <w:r>
        <w:t>orientation,</w:t>
      </w:r>
      <w:r>
        <w:rPr>
          <w:spacing w:val="-10"/>
        </w:rPr>
        <w:t xml:space="preserve"> </w:t>
      </w:r>
      <w:r>
        <w:t>and</w:t>
      </w:r>
      <w:r>
        <w:rPr>
          <w:spacing w:val="-8"/>
        </w:rPr>
        <w:t xml:space="preserve"> </w:t>
      </w:r>
      <w:r>
        <w:t>that</w:t>
      </w:r>
      <w:r>
        <w:rPr>
          <w:spacing w:val="-7"/>
        </w:rPr>
        <w:t xml:space="preserve"> </w:t>
      </w:r>
      <w:r>
        <w:t>relationships</w:t>
      </w:r>
      <w:r>
        <w:rPr>
          <w:spacing w:val="-7"/>
        </w:rPr>
        <w:t xml:space="preserve"> </w:t>
      </w:r>
      <w:r>
        <w:t>and</w:t>
      </w:r>
      <w:r>
        <w:rPr>
          <w:spacing w:val="-8"/>
        </w:rPr>
        <w:t xml:space="preserve"> </w:t>
      </w:r>
      <w:r>
        <w:t>identities</w:t>
      </w:r>
      <w:r>
        <w:rPr>
          <w:spacing w:val="-10"/>
        </w:rPr>
        <w:t xml:space="preserve"> </w:t>
      </w:r>
      <w:r>
        <w:t>outside</w:t>
      </w:r>
      <w:r>
        <w:rPr>
          <w:spacing w:val="-9"/>
        </w:rPr>
        <w:t xml:space="preserve"> </w:t>
      </w:r>
      <w:r>
        <w:t>of</w:t>
      </w:r>
      <w:r>
        <w:rPr>
          <w:spacing w:val="-10"/>
        </w:rPr>
        <w:t xml:space="preserve"> </w:t>
      </w:r>
      <w:r>
        <w:t>heterosexuality</w:t>
      </w:r>
      <w:r>
        <w:rPr>
          <w:spacing w:val="-7"/>
        </w:rPr>
        <w:t xml:space="preserve"> </w:t>
      </w:r>
      <w:r>
        <w:t>are abnormal or deviant. Heteronormativity reinforces the gender binary and tr</w:t>
      </w:r>
      <w:r>
        <w:t>aditional gender roles, with the assumption that men are attracted to women and vice versa. It is a system of beliefs and practices</w:t>
      </w:r>
      <w:r>
        <w:rPr>
          <w:spacing w:val="-7"/>
        </w:rPr>
        <w:t xml:space="preserve"> </w:t>
      </w:r>
      <w:r>
        <w:t>that</w:t>
      </w:r>
      <w:r>
        <w:rPr>
          <w:spacing w:val="-7"/>
        </w:rPr>
        <w:t xml:space="preserve"> </w:t>
      </w:r>
      <w:r>
        <w:t>privileges</w:t>
      </w:r>
      <w:r>
        <w:rPr>
          <w:spacing w:val="-8"/>
        </w:rPr>
        <w:t xml:space="preserve"> </w:t>
      </w:r>
      <w:r>
        <w:t>and</w:t>
      </w:r>
      <w:r>
        <w:rPr>
          <w:spacing w:val="-8"/>
        </w:rPr>
        <w:t xml:space="preserve"> </w:t>
      </w:r>
      <w:r>
        <w:t>centers</w:t>
      </w:r>
      <w:r>
        <w:rPr>
          <w:spacing w:val="-7"/>
        </w:rPr>
        <w:t xml:space="preserve"> </w:t>
      </w:r>
      <w:r>
        <w:t>heterosexual</w:t>
      </w:r>
      <w:r>
        <w:rPr>
          <w:spacing w:val="-8"/>
        </w:rPr>
        <w:t xml:space="preserve"> </w:t>
      </w:r>
      <w:r>
        <w:t>individuals</w:t>
      </w:r>
      <w:r>
        <w:rPr>
          <w:spacing w:val="-8"/>
        </w:rPr>
        <w:t xml:space="preserve"> </w:t>
      </w:r>
      <w:r>
        <w:t>and</w:t>
      </w:r>
      <w:r>
        <w:rPr>
          <w:spacing w:val="-8"/>
        </w:rPr>
        <w:t xml:space="preserve"> </w:t>
      </w:r>
      <w:r>
        <w:t>experiences</w:t>
      </w:r>
      <w:r>
        <w:rPr>
          <w:spacing w:val="-8"/>
        </w:rPr>
        <w:t xml:space="preserve"> </w:t>
      </w:r>
      <w:r>
        <w:t>while</w:t>
      </w:r>
      <w:r>
        <w:rPr>
          <w:spacing w:val="-7"/>
        </w:rPr>
        <w:t xml:space="preserve"> </w:t>
      </w:r>
      <w:r>
        <w:t>marginalizing</w:t>
      </w:r>
      <w:r>
        <w:rPr>
          <w:spacing w:val="-8"/>
        </w:rPr>
        <w:t xml:space="preserve"> </w:t>
      </w:r>
      <w:r>
        <w:t>and excluding non-heterosexual iden</w:t>
      </w:r>
      <w:r>
        <w:t>tities and relationships.</w:t>
      </w:r>
    </w:p>
    <w:p w:rsidR="00200FDA" w:rsidRDefault="00200FDA">
      <w:pPr>
        <w:pStyle w:val="BodyText"/>
        <w:spacing w:before="9"/>
        <w:rPr>
          <w:sz w:val="32"/>
        </w:rPr>
      </w:pPr>
    </w:p>
    <w:p w:rsidR="00200FDA" w:rsidRDefault="00F76C4C">
      <w:pPr>
        <w:pStyle w:val="BodyText"/>
        <w:spacing w:line="247" w:lineRule="auto"/>
        <w:ind w:left="427" w:right="422" w:hanging="5"/>
        <w:jc w:val="both"/>
      </w:pPr>
      <w:r>
        <w:rPr>
          <w:b/>
        </w:rPr>
        <w:t>Heterosexism</w:t>
      </w:r>
      <w:r>
        <w:t>: Heterosexism is a systemic and individual set of beliefs, attitudes, and practices that privilege and normalize heterosexual relationships, while marginalizing and stigmatizing non- heterosexual identities and relat</w:t>
      </w:r>
      <w:r>
        <w:t>ionships. Heterosexism reinforces the notion that heterosexuality is the</w:t>
      </w:r>
      <w:r>
        <w:rPr>
          <w:spacing w:val="-13"/>
        </w:rPr>
        <w:t xml:space="preserve"> </w:t>
      </w:r>
      <w:r>
        <w:t>norm</w:t>
      </w:r>
      <w:r>
        <w:rPr>
          <w:spacing w:val="-12"/>
        </w:rPr>
        <w:t xml:space="preserve"> </w:t>
      </w:r>
      <w:r>
        <w:t>and</w:t>
      </w:r>
      <w:r>
        <w:rPr>
          <w:spacing w:val="-13"/>
        </w:rPr>
        <w:t xml:space="preserve"> </w:t>
      </w:r>
      <w:r>
        <w:t>ideal,</w:t>
      </w:r>
      <w:r>
        <w:rPr>
          <w:spacing w:val="-12"/>
        </w:rPr>
        <w:t xml:space="preserve"> </w:t>
      </w:r>
      <w:r>
        <w:t>and</w:t>
      </w:r>
      <w:r>
        <w:rPr>
          <w:spacing w:val="-13"/>
        </w:rPr>
        <w:t xml:space="preserve"> </w:t>
      </w:r>
      <w:r>
        <w:t>that</w:t>
      </w:r>
      <w:r>
        <w:rPr>
          <w:spacing w:val="-12"/>
        </w:rPr>
        <w:t xml:space="preserve"> </w:t>
      </w:r>
      <w:r>
        <w:t>other</w:t>
      </w:r>
      <w:r>
        <w:rPr>
          <w:spacing w:val="-13"/>
        </w:rPr>
        <w:t xml:space="preserve"> </w:t>
      </w:r>
      <w:r>
        <w:t>sexual</w:t>
      </w:r>
      <w:r>
        <w:rPr>
          <w:spacing w:val="-12"/>
        </w:rPr>
        <w:t xml:space="preserve"> </w:t>
      </w:r>
      <w:r>
        <w:t>orientations</w:t>
      </w:r>
      <w:r>
        <w:rPr>
          <w:spacing w:val="-12"/>
        </w:rPr>
        <w:t xml:space="preserve"> </w:t>
      </w:r>
      <w:r>
        <w:t>are</w:t>
      </w:r>
      <w:r>
        <w:rPr>
          <w:spacing w:val="-13"/>
        </w:rPr>
        <w:t xml:space="preserve"> </w:t>
      </w:r>
      <w:r>
        <w:t>deviant,</w:t>
      </w:r>
      <w:r>
        <w:rPr>
          <w:spacing w:val="-12"/>
        </w:rPr>
        <w:t xml:space="preserve"> </w:t>
      </w:r>
      <w:r>
        <w:t>abnormal,</w:t>
      </w:r>
      <w:r>
        <w:rPr>
          <w:spacing w:val="-13"/>
        </w:rPr>
        <w:t xml:space="preserve"> </w:t>
      </w:r>
      <w:r>
        <w:t>or</w:t>
      </w:r>
      <w:r>
        <w:rPr>
          <w:spacing w:val="-12"/>
        </w:rPr>
        <w:t xml:space="preserve"> </w:t>
      </w:r>
      <w:r>
        <w:t>inferior.</w:t>
      </w:r>
      <w:r>
        <w:rPr>
          <w:spacing w:val="-13"/>
        </w:rPr>
        <w:t xml:space="preserve"> </w:t>
      </w:r>
      <w:r>
        <w:t>Heterosexism operates through various forms of discrimination, including but not limited to, exclusion from social and political power, lack of legal protections, and limited access to healthcare.</w:t>
      </w:r>
    </w:p>
    <w:p w:rsidR="00200FDA" w:rsidRDefault="00200FDA">
      <w:pPr>
        <w:pStyle w:val="BodyText"/>
        <w:spacing w:before="8"/>
        <w:rPr>
          <w:sz w:val="32"/>
        </w:rPr>
      </w:pPr>
    </w:p>
    <w:p w:rsidR="00200FDA" w:rsidRDefault="00F76C4C">
      <w:pPr>
        <w:pStyle w:val="BodyText"/>
        <w:spacing w:before="1" w:line="247" w:lineRule="auto"/>
        <w:ind w:left="427" w:right="427" w:hanging="5"/>
        <w:jc w:val="both"/>
      </w:pPr>
      <w:r>
        <w:rPr>
          <w:b/>
        </w:rPr>
        <w:t>Homophobia:</w:t>
      </w:r>
      <w:r>
        <w:rPr>
          <w:b/>
          <w:spacing w:val="-5"/>
        </w:rPr>
        <w:t xml:space="preserve"> </w:t>
      </w:r>
      <w:r>
        <w:t>fear,</w:t>
      </w:r>
      <w:r>
        <w:rPr>
          <w:spacing w:val="-4"/>
        </w:rPr>
        <w:t xml:space="preserve"> </w:t>
      </w:r>
      <w:r>
        <w:t>hatred</w:t>
      </w:r>
      <w:r>
        <w:rPr>
          <w:spacing w:val="-7"/>
        </w:rPr>
        <w:t xml:space="preserve"> </w:t>
      </w:r>
      <w:r>
        <w:t>or</w:t>
      </w:r>
      <w:r>
        <w:rPr>
          <w:spacing w:val="-4"/>
        </w:rPr>
        <w:t xml:space="preserve"> </w:t>
      </w:r>
      <w:r>
        <w:t>discriminatory</w:t>
      </w:r>
      <w:r>
        <w:rPr>
          <w:spacing w:val="-3"/>
        </w:rPr>
        <w:t xml:space="preserve"> </w:t>
      </w:r>
      <w:r>
        <w:t>response</w:t>
      </w:r>
      <w:r>
        <w:rPr>
          <w:spacing w:val="-6"/>
        </w:rPr>
        <w:t xml:space="preserve"> </w:t>
      </w:r>
      <w:r>
        <w:t>to</w:t>
      </w:r>
      <w:r>
        <w:rPr>
          <w:spacing w:val="-3"/>
        </w:rPr>
        <w:t xml:space="preserve"> </w:t>
      </w:r>
      <w:r>
        <w:t>a</w:t>
      </w:r>
      <w:r>
        <w:rPr>
          <w:spacing w:val="-5"/>
        </w:rPr>
        <w:t xml:space="preserve"> </w:t>
      </w:r>
      <w:r>
        <w:t>p</w:t>
      </w:r>
      <w:r>
        <w:t>erson</w:t>
      </w:r>
      <w:r>
        <w:rPr>
          <w:spacing w:val="-7"/>
        </w:rPr>
        <w:t xml:space="preserve"> </w:t>
      </w:r>
      <w:r>
        <w:t>who</w:t>
      </w:r>
      <w:r>
        <w:rPr>
          <w:spacing w:val="-3"/>
        </w:rPr>
        <w:t xml:space="preserve"> </w:t>
      </w:r>
      <w:r>
        <w:t>is</w:t>
      </w:r>
      <w:r>
        <w:rPr>
          <w:spacing w:val="-7"/>
        </w:rPr>
        <w:t xml:space="preserve"> </w:t>
      </w:r>
      <w:r>
        <w:t>or</w:t>
      </w:r>
      <w:r>
        <w:rPr>
          <w:spacing w:val="-4"/>
        </w:rPr>
        <w:t xml:space="preserve"> </w:t>
      </w:r>
      <w:r>
        <w:t>is</w:t>
      </w:r>
      <w:r>
        <w:rPr>
          <w:spacing w:val="-7"/>
        </w:rPr>
        <w:t xml:space="preserve"> </w:t>
      </w:r>
      <w:r>
        <w:t>perceived</w:t>
      </w:r>
      <w:r>
        <w:rPr>
          <w:spacing w:val="-5"/>
        </w:rPr>
        <w:t xml:space="preserve"> </w:t>
      </w:r>
      <w:r>
        <w:t>to</w:t>
      </w:r>
      <w:r>
        <w:rPr>
          <w:spacing w:val="-6"/>
        </w:rPr>
        <w:t xml:space="preserve"> </w:t>
      </w:r>
      <w:r>
        <w:t>be</w:t>
      </w:r>
      <w:r>
        <w:rPr>
          <w:spacing w:val="-4"/>
        </w:rPr>
        <w:t xml:space="preserve"> </w:t>
      </w:r>
      <w:r>
        <w:t>lesbian, gay, bisexual, or queer.</w:t>
      </w:r>
    </w:p>
    <w:p w:rsidR="00200FDA" w:rsidRDefault="00200FDA">
      <w:pPr>
        <w:pStyle w:val="BodyText"/>
        <w:spacing w:before="11"/>
        <w:rPr>
          <w:sz w:val="32"/>
        </w:rPr>
      </w:pPr>
    </w:p>
    <w:p w:rsidR="00200FDA" w:rsidRDefault="00F76C4C">
      <w:pPr>
        <w:pStyle w:val="BodyText"/>
        <w:spacing w:line="247" w:lineRule="auto"/>
        <w:ind w:left="427" w:right="423" w:hanging="5"/>
        <w:jc w:val="both"/>
      </w:pPr>
      <w:r>
        <w:rPr>
          <w:b/>
        </w:rPr>
        <w:t xml:space="preserve">Intersex: </w:t>
      </w:r>
      <w:r>
        <w:t>a person born with a combination of chromosomes, hormones, and primary and secondary sex characteristics that do not place them into either one of the two accepted sex categori</w:t>
      </w:r>
      <w:r>
        <w:t>es (male /</w:t>
      </w:r>
    </w:p>
    <w:p w:rsidR="00200FDA" w:rsidRDefault="00200FDA">
      <w:pPr>
        <w:spacing w:line="247" w:lineRule="auto"/>
        <w:jc w:val="both"/>
        <w:sectPr w:rsidR="00200FDA">
          <w:pgSz w:w="12240" w:h="15840"/>
          <w:pgMar w:top="1260" w:right="1160" w:bottom="1060" w:left="1160" w:header="859" w:footer="836" w:gutter="0"/>
          <w:cols w:space="720"/>
        </w:sectPr>
      </w:pPr>
    </w:p>
    <w:p w:rsidR="00200FDA" w:rsidRDefault="00F76C4C">
      <w:pPr>
        <w:pStyle w:val="BodyText"/>
        <w:spacing w:before="46"/>
        <w:ind w:left="428"/>
      </w:pPr>
      <w:r>
        <w:lastRenderedPageBreak/>
        <w:t>female)</w:t>
      </w:r>
      <w:r>
        <w:rPr>
          <w:spacing w:val="-3"/>
        </w:rPr>
        <w:t xml:space="preserve"> </w:t>
      </w:r>
      <w:r>
        <w:t>as</w:t>
      </w:r>
      <w:r>
        <w:rPr>
          <w:spacing w:val="-5"/>
        </w:rPr>
        <w:t xml:space="preserve"> </w:t>
      </w:r>
      <w:r>
        <w:t>defined</w:t>
      </w:r>
      <w:r>
        <w:rPr>
          <w:spacing w:val="-4"/>
        </w:rPr>
        <w:t xml:space="preserve"> </w:t>
      </w:r>
      <w:r>
        <w:t>by</w:t>
      </w:r>
      <w:r>
        <w:rPr>
          <w:spacing w:val="-4"/>
        </w:rPr>
        <w:t xml:space="preserve"> </w:t>
      </w:r>
      <w:r>
        <w:t>the</w:t>
      </w:r>
      <w:r>
        <w:rPr>
          <w:spacing w:val="-7"/>
        </w:rPr>
        <w:t xml:space="preserve"> </w:t>
      </w:r>
      <w:r>
        <w:t>medical</w:t>
      </w:r>
      <w:r>
        <w:rPr>
          <w:spacing w:val="-5"/>
        </w:rPr>
        <w:t xml:space="preserve"> </w:t>
      </w:r>
      <w:r>
        <w:t>establishment</w:t>
      </w:r>
      <w:r>
        <w:rPr>
          <w:spacing w:val="-5"/>
        </w:rPr>
        <w:t xml:space="preserve"> </w:t>
      </w:r>
      <w:r>
        <w:t>in</w:t>
      </w:r>
      <w:r>
        <w:rPr>
          <w:spacing w:val="-4"/>
        </w:rPr>
        <w:t xml:space="preserve"> </w:t>
      </w:r>
      <w:r>
        <w:t>our</w:t>
      </w:r>
      <w:r>
        <w:rPr>
          <w:spacing w:val="-2"/>
        </w:rPr>
        <w:t xml:space="preserve"> society.</w:t>
      </w:r>
    </w:p>
    <w:p w:rsidR="00200FDA" w:rsidRDefault="00200FDA">
      <w:pPr>
        <w:pStyle w:val="BodyText"/>
      </w:pPr>
    </w:p>
    <w:p w:rsidR="00200FDA" w:rsidRDefault="00F76C4C">
      <w:pPr>
        <w:pStyle w:val="BodyText"/>
        <w:spacing w:before="139" w:line="247" w:lineRule="auto"/>
        <w:ind w:left="423" w:right="425"/>
        <w:jc w:val="both"/>
      </w:pPr>
      <w:r>
        <w:rPr>
          <w:b/>
        </w:rPr>
        <w:t xml:space="preserve">Lesbian: </w:t>
      </w:r>
      <w:r>
        <w:t>a woman who self-identifies as having an emotional, sexual, spiritual, and/or relational attraction to other women.</w:t>
      </w:r>
    </w:p>
    <w:p w:rsidR="00200FDA" w:rsidRDefault="00200FDA">
      <w:pPr>
        <w:pStyle w:val="BodyText"/>
        <w:spacing w:before="9"/>
        <w:rPr>
          <w:sz w:val="32"/>
        </w:rPr>
      </w:pPr>
    </w:p>
    <w:p w:rsidR="00200FDA" w:rsidRDefault="00F76C4C">
      <w:pPr>
        <w:pStyle w:val="BodyText"/>
        <w:spacing w:line="247" w:lineRule="auto"/>
        <w:ind w:left="423" w:right="424"/>
        <w:jc w:val="both"/>
      </w:pPr>
      <w:r>
        <w:rPr>
          <w:b/>
        </w:rPr>
        <w:t>Misgendering</w:t>
      </w:r>
      <w:r>
        <w:t>:</w:t>
      </w:r>
      <w:r>
        <w:rPr>
          <w:spacing w:val="-13"/>
        </w:rPr>
        <w:t xml:space="preserve"> </w:t>
      </w:r>
      <w:r>
        <w:t>Misgendering</w:t>
      </w:r>
      <w:r>
        <w:rPr>
          <w:spacing w:val="-12"/>
        </w:rPr>
        <w:t xml:space="preserve"> </w:t>
      </w:r>
      <w:r>
        <w:t>is</w:t>
      </w:r>
      <w:r>
        <w:rPr>
          <w:spacing w:val="-13"/>
        </w:rPr>
        <w:t xml:space="preserve"> </w:t>
      </w:r>
      <w:r>
        <w:t>the</w:t>
      </w:r>
      <w:r>
        <w:rPr>
          <w:spacing w:val="-12"/>
        </w:rPr>
        <w:t xml:space="preserve"> </w:t>
      </w:r>
      <w:r>
        <w:t>act</w:t>
      </w:r>
      <w:r>
        <w:rPr>
          <w:spacing w:val="-13"/>
        </w:rPr>
        <w:t xml:space="preserve"> </w:t>
      </w:r>
      <w:r>
        <w:t>of</w:t>
      </w:r>
      <w:r>
        <w:rPr>
          <w:spacing w:val="-12"/>
        </w:rPr>
        <w:t xml:space="preserve"> </w:t>
      </w:r>
      <w:r>
        <w:t>using</w:t>
      </w:r>
      <w:r>
        <w:rPr>
          <w:spacing w:val="-13"/>
        </w:rPr>
        <w:t xml:space="preserve"> </w:t>
      </w:r>
      <w:r>
        <w:t>language</w:t>
      </w:r>
      <w:r>
        <w:rPr>
          <w:spacing w:val="-12"/>
        </w:rPr>
        <w:t xml:space="preserve"> </w:t>
      </w:r>
      <w:r>
        <w:t>that</w:t>
      </w:r>
      <w:r>
        <w:rPr>
          <w:spacing w:val="-12"/>
        </w:rPr>
        <w:t xml:space="preserve"> </w:t>
      </w:r>
      <w:r>
        <w:t>does</w:t>
      </w:r>
      <w:r>
        <w:rPr>
          <w:spacing w:val="-13"/>
        </w:rPr>
        <w:t xml:space="preserve"> </w:t>
      </w:r>
      <w:r>
        <w:t>not</w:t>
      </w:r>
      <w:r>
        <w:rPr>
          <w:spacing w:val="-12"/>
        </w:rPr>
        <w:t xml:space="preserve"> </w:t>
      </w:r>
      <w:r>
        <w:t>accurately</w:t>
      </w:r>
      <w:r>
        <w:rPr>
          <w:spacing w:val="-13"/>
        </w:rPr>
        <w:t xml:space="preserve"> </w:t>
      </w:r>
      <w:r>
        <w:t>reflect</w:t>
      </w:r>
      <w:r>
        <w:rPr>
          <w:spacing w:val="-12"/>
        </w:rPr>
        <w:t xml:space="preserve"> </w:t>
      </w:r>
      <w:r>
        <w:t>an</w:t>
      </w:r>
      <w:r>
        <w:rPr>
          <w:spacing w:val="-13"/>
        </w:rPr>
        <w:t xml:space="preserve"> </w:t>
      </w:r>
      <w:r>
        <w:t>individual's gender</w:t>
      </w:r>
      <w:r>
        <w:rPr>
          <w:spacing w:val="-2"/>
        </w:rPr>
        <w:t xml:space="preserve"> </w:t>
      </w:r>
      <w:r>
        <w:t>identity.</w:t>
      </w:r>
      <w:r>
        <w:rPr>
          <w:spacing w:val="-2"/>
        </w:rPr>
        <w:t xml:space="preserve"> </w:t>
      </w:r>
      <w:r>
        <w:t>This</w:t>
      </w:r>
      <w:r>
        <w:rPr>
          <w:spacing w:val="-2"/>
        </w:rPr>
        <w:t xml:space="preserve"> </w:t>
      </w:r>
      <w:r>
        <w:t>can</w:t>
      </w:r>
      <w:r>
        <w:rPr>
          <w:spacing w:val="-3"/>
        </w:rPr>
        <w:t xml:space="preserve"> </w:t>
      </w:r>
      <w:r>
        <w:t>include</w:t>
      </w:r>
      <w:r>
        <w:rPr>
          <w:spacing w:val="-1"/>
        </w:rPr>
        <w:t xml:space="preserve"> </w:t>
      </w:r>
      <w:r>
        <w:t>using</w:t>
      </w:r>
      <w:r>
        <w:rPr>
          <w:spacing w:val="-3"/>
        </w:rPr>
        <w:t xml:space="preserve"> </w:t>
      </w:r>
      <w:r>
        <w:t>incorrect</w:t>
      </w:r>
      <w:r>
        <w:rPr>
          <w:spacing w:val="-1"/>
        </w:rPr>
        <w:t xml:space="preserve"> </w:t>
      </w:r>
      <w:r>
        <w:t>pronouns,</w:t>
      </w:r>
      <w:r>
        <w:rPr>
          <w:spacing w:val="-2"/>
        </w:rPr>
        <w:t xml:space="preserve"> </w:t>
      </w:r>
      <w:r>
        <w:t>titles,</w:t>
      </w:r>
      <w:r>
        <w:rPr>
          <w:spacing w:val="-2"/>
        </w:rPr>
        <w:t xml:space="preserve"> </w:t>
      </w:r>
      <w:r>
        <w:t>or</w:t>
      </w:r>
      <w:r>
        <w:rPr>
          <w:spacing w:val="-2"/>
        </w:rPr>
        <w:t xml:space="preserve"> </w:t>
      </w:r>
      <w:r>
        <w:t>descriptors</w:t>
      </w:r>
      <w:r>
        <w:rPr>
          <w:spacing w:val="-2"/>
        </w:rPr>
        <w:t xml:space="preserve"> </w:t>
      </w:r>
      <w:r>
        <w:t>that</w:t>
      </w:r>
      <w:r>
        <w:rPr>
          <w:spacing w:val="-1"/>
        </w:rPr>
        <w:t xml:space="preserve"> </w:t>
      </w:r>
      <w:r>
        <w:t>do</w:t>
      </w:r>
      <w:r>
        <w:rPr>
          <w:spacing w:val="-1"/>
        </w:rPr>
        <w:t xml:space="preserve"> </w:t>
      </w:r>
      <w:r>
        <w:t>not</w:t>
      </w:r>
      <w:r>
        <w:rPr>
          <w:spacing w:val="-1"/>
        </w:rPr>
        <w:t xml:space="preserve"> </w:t>
      </w:r>
      <w:r>
        <w:t>align</w:t>
      </w:r>
      <w:r>
        <w:rPr>
          <w:spacing w:val="-3"/>
        </w:rPr>
        <w:t xml:space="preserve"> </w:t>
      </w:r>
      <w:r>
        <w:t>with an individual's gender identity.</w:t>
      </w:r>
    </w:p>
    <w:p w:rsidR="00200FDA" w:rsidRDefault="00200FDA">
      <w:pPr>
        <w:pStyle w:val="BodyText"/>
        <w:spacing w:before="8"/>
        <w:rPr>
          <w:sz w:val="32"/>
        </w:rPr>
      </w:pPr>
    </w:p>
    <w:p w:rsidR="00200FDA" w:rsidRDefault="00F76C4C">
      <w:pPr>
        <w:pStyle w:val="BodyText"/>
        <w:spacing w:before="1" w:line="247" w:lineRule="auto"/>
        <w:ind w:left="423" w:right="422"/>
        <w:jc w:val="both"/>
      </w:pPr>
      <w:r>
        <w:rPr>
          <w:b/>
        </w:rPr>
        <w:t xml:space="preserve">Neopronouns: </w:t>
      </w:r>
      <w:r>
        <w:t>non-traditional pronouns that individuals may use to refer to themselves or others, particular those who do not feel comfortable using gendered pronouns like he/him or she/her. Neopronouns can include words like they/them, ze/hir, and xe/xem, as well as ot</w:t>
      </w:r>
      <w:r>
        <w:t xml:space="preserve">her custom-made </w:t>
      </w:r>
      <w:r>
        <w:rPr>
          <w:spacing w:val="-2"/>
        </w:rPr>
        <w:t>pronouns</w:t>
      </w:r>
    </w:p>
    <w:p w:rsidR="00200FDA" w:rsidRDefault="00200FDA">
      <w:pPr>
        <w:pStyle w:val="BodyText"/>
        <w:spacing w:before="10"/>
        <w:rPr>
          <w:sz w:val="32"/>
        </w:rPr>
      </w:pPr>
    </w:p>
    <w:p w:rsidR="00200FDA" w:rsidRDefault="00F76C4C">
      <w:pPr>
        <w:pStyle w:val="BodyText"/>
        <w:spacing w:line="249" w:lineRule="auto"/>
        <w:ind w:left="428" w:right="421" w:hanging="5"/>
        <w:jc w:val="both"/>
      </w:pPr>
      <w:r>
        <w:rPr>
          <w:b/>
        </w:rPr>
        <w:t xml:space="preserve">Nonbinary: </w:t>
      </w:r>
      <w:r>
        <w:t>describes any gender identity which does</w:t>
      </w:r>
      <w:r>
        <w:rPr>
          <w:spacing w:val="-2"/>
        </w:rPr>
        <w:t xml:space="preserve"> </w:t>
      </w:r>
      <w:r>
        <w:t xml:space="preserve">not fit the male and female binary spectrum. A </w:t>
      </w:r>
      <w:r>
        <w:rPr>
          <w:spacing w:val="-4"/>
        </w:rPr>
        <w:t>person</w:t>
      </w:r>
      <w:r>
        <w:rPr>
          <w:spacing w:val="-9"/>
        </w:rPr>
        <w:t xml:space="preserve"> </w:t>
      </w:r>
      <w:r>
        <w:rPr>
          <w:spacing w:val="-4"/>
        </w:rPr>
        <w:t>who</w:t>
      </w:r>
      <w:r>
        <w:rPr>
          <w:spacing w:val="-8"/>
        </w:rPr>
        <w:t xml:space="preserve"> </w:t>
      </w:r>
      <w:r>
        <w:rPr>
          <w:spacing w:val="-4"/>
        </w:rPr>
        <w:t>identifies</w:t>
      </w:r>
      <w:r>
        <w:rPr>
          <w:spacing w:val="-9"/>
        </w:rPr>
        <w:t xml:space="preserve"> </w:t>
      </w:r>
      <w:r>
        <w:rPr>
          <w:spacing w:val="-4"/>
        </w:rPr>
        <w:t>as</w:t>
      </w:r>
      <w:r>
        <w:rPr>
          <w:spacing w:val="-8"/>
        </w:rPr>
        <w:t xml:space="preserve"> </w:t>
      </w:r>
      <w:r>
        <w:rPr>
          <w:spacing w:val="-4"/>
        </w:rPr>
        <w:t>gender</w:t>
      </w:r>
      <w:r>
        <w:rPr>
          <w:spacing w:val="-9"/>
        </w:rPr>
        <w:t xml:space="preserve"> </w:t>
      </w:r>
      <w:r>
        <w:rPr>
          <w:spacing w:val="-4"/>
        </w:rPr>
        <w:t>nonbinary</w:t>
      </w:r>
      <w:r>
        <w:rPr>
          <w:spacing w:val="-8"/>
        </w:rPr>
        <w:t xml:space="preserve"> </w:t>
      </w:r>
      <w:r>
        <w:rPr>
          <w:spacing w:val="-4"/>
        </w:rPr>
        <w:t>may</w:t>
      </w:r>
      <w:r>
        <w:rPr>
          <w:spacing w:val="-9"/>
        </w:rPr>
        <w:t xml:space="preserve"> </w:t>
      </w:r>
      <w:r>
        <w:rPr>
          <w:spacing w:val="-4"/>
        </w:rPr>
        <w:t>identify</w:t>
      </w:r>
      <w:r>
        <w:rPr>
          <w:spacing w:val="-8"/>
        </w:rPr>
        <w:t xml:space="preserve"> </w:t>
      </w:r>
      <w:r>
        <w:rPr>
          <w:spacing w:val="-4"/>
        </w:rPr>
        <w:t>as</w:t>
      </w:r>
      <w:r>
        <w:rPr>
          <w:spacing w:val="-8"/>
        </w:rPr>
        <w:t xml:space="preserve"> </w:t>
      </w:r>
      <w:r>
        <w:rPr>
          <w:spacing w:val="-4"/>
        </w:rPr>
        <w:t>both</w:t>
      </w:r>
      <w:r>
        <w:rPr>
          <w:spacing w:val="-9"/>
        </w:rPr>
        <w:t xml:space="preserve"> </w:t>
      </w:r>
      <w:r>
        <w:rPr>
          <w:spacing w:val="-4"/>
        </w:rPr>
        <w:t>male</w:t>
      </w:r>
      <w:r>
        <w:rPr>
          <w:spacing w:val="-8"/>
        </w:rPr>
        <w:t xml:space="preserve"> </w:t>
      </w:r>
      <w:r>
        <w:rPr>
          <w:spacing w:val="-4"/>
        </w:rPr>
        <w:t>and</w:t>
      </w:r>
      <w:r>
        <w:rPr>
          <w:spacing w:val="-9"/>
        </w:rPr>
        <w:t xml:space="preserve"> </w:t>
      </w:r>
      <w:r>
        <w:rPr>
          <w:spacing w:val="-4"/>
        </w:rPr>
        <w:t>female,</w:t>
      </w:r>
      <w:r>
        <w:rPr>
          <w:spacing w:val="-8"/>
        </w:rPr>
        <w:t xml:space="preserve"> </w:t>
      </w:r>
      <w:r>
        <w:rPr>
          <w:spacing w:val="-4"/>
        </w:rPr>
        <w:t>somewhere</w:t>
      </w:r>
      <w:r>
        <w:rPr>
          <w:spacing w:val="-9"/>
        </w:rPr>
        <w:t xml:space="preserve"> </w:t>
      </w:r>
      <w:r>
        <w:rPr>
          <w:spacing w:val="-4"/>
        </w:rPr>
        <w:t>in</w:t>
      </w:r>
      <w:r>
        <w:rPr>
          <w:spacing w:val="-8"/>
        </w:rPr>
        <w:t xml:space="preserve"> </w:t>
      </w:r>
      <w:r>
        <w:rPr>
          <w:spacing w:val="-4"/>
        </w:rPr>
        <w:t xml:space="preserve">between, </w:t>
      </w:r>
      <w:r>
        <w:t>have multiple genders, have a third gender entirely, or no gender at all, and may reject this binary construct altogether. A nonbinary gender marker on an ID would be one that is neither male nor female, but instead might be represented by an X or an N.</w:t>
      </w:r>
    </w:p>
    <w:p w:rsidR="00200FDA" w:rsidRDefault="00200FDA">
      <w:pPr>
        <w:pStyle w:val="BodyText"/>
        <w:spacing w:before="3"/>
        <w:rPr>
          <w:sz w:val="32"/>
        </w:rPr>
      </w:pPr>
    </w:p>
    <w:p w:rsidR="00200FDA" w:rsidRDefault="00F76C4C">
      <w:pPr>
        <w:pStyle w:val="BodyText"/>
        <w:ind w:left="428"/>
      </w:pPr>
      <w:r>
        <w:rPr>
          <w:b/>
          <w:spacing w:val="-2"/>
        </w:rPr>
        <w:t>P</w:t>
      </w:r>
      <w:r>
        <w:rPr>
          <w:b/>
          <w:spacing w:val="-2"/>
        </w:rPr>
        <w:t>ansexual:</w:t>
      </w:r>
      <w:r>
        <w:rPr>
          <w:b/>
          <w:spacing w:val="-13"/>
        </w:rPr>
        <w:t xml:space="preserve"> </w:t>
      </w:r>
      <w:r>
        <w:rPr>
          <w:spacing w:val="-2"/>
        </w:rPr>
        <w:t>attracted</w:t>
      </w:r>
      <w:r>
        <w:rPr>
          <w:spacing w:val="-11"/>
        </w:rPr>
        <w:t xml:space="preserve"> </w:t>
      </w:r>
      <w:r>
        <w:rPr>
          <w:spacing w:val="-2"/>
        </w:rPr>
        <w:t>to</w:t>
      </w:r>
      <w:r>
        <w:rPr>
          <w:spacing w:val="-7"/>
        </w:rPr>
        <w:t xml:space="preserve"> </w:t>
      </w:r>
      <w:r>
        <w:rPr>
          <w:spacing w:val="-2"/>
        </w:rPr>
        <w:t>others</w:t>
      </w:r>
      <w:r>
        <w:rPr>
          <w:spacing w:val="-10"/>
        </w:rPr>
        <w:t xml:space="preserve"> </w:t>
      </w:r>
      <w:r>
        <w:rPr>
          <w:spacing w:val="-2"/>
        </w:rPr>
        <w:t>regardless</w:t>
      </w:r>
      <w:r>
        <w:rPr>
          <w:spacing w:val="-11"/>
        </w:rPr>
        <w:t xml:space="preserve"> </w:t>
      </w:r>
      <w:r>
        <w:rPr>
          <w:spacing w:val="-2"/>
        </w:rPr>
        <w:t>of</w:t>
      </w:r>
      <w:r>
        <w:rPr>
          <w:spacing w:val="-9"/>
        </w:rPr>
        <w:t xml:space="preserve"> </w:t>
      </w:r>
      <w:r>
        <w:rPr>
          <w:spacing w:val="-2"/>
        </w:rPr>
        <w:t>gender</w:t>
      </w:r>
      <w:r>
        <w:rPr>
          <w:spacing w:val="-8"/>
        </w:rPr>
        <w:t xml:space="preserve"> </w:t>
      </w:r>
      <w:r>
        <w:rPr>
          <w:spacing w:val="-2"/>
        </w:rPr>
        <w:t>identity</w:t>
      </w:r>
      <w:r>
        <w:rPr>
          <w:spacing w:val="-7"/>
        </w:rPr>
        <w:t xml:space="preserve"> </w:t>
      </w:r>
      <w:r>
        <w:rPr>
          <w:spacing w:val="-2"/>
        </w:rPr>
        <w:t>or</w:t>
      </w:r>
      <w:r>
        <w:rPr>
          <w:spacing w:val="-7"/>
        </w:rPr>
        <w:t xml:space="preserve"> </w:t>
      </w:r>
      <w:r>
        <w:rPr>
          <w:spacing w:val="-2"/>
        </w:rPr>
        <w:t>expression</w:t>
      </w:r>
    </w:p>
    <w:p w:rsidR="00200FDA" w:rsidRDefault="00200FDA">
      <w:pPr>
        <w:pStyle w:val="BodyText"/>
        <w:spacing w:before="10"/>
        <w:rPr>
          <w:sz w:val="32"/>
        </w:rPr>
      </w:pPr>
    </w:p>
    <w:p w:rsidR="00200FDA" w:rsidRDefault="00F76C4C">
      <w:pPr>
        <w:pStyle w:val="BodyText"/>
        <w:spacing w:before="1" w:line="247" w:lineRule="auto"/>
        <w:ind w:left="427" w:right="419" w:hanging="5"/>
        <w:jc w:val="both"/>
      </w:pPr>
      <w:r>
        <w:rPr>
          <w:b/>
        </w:rPr>
        <w:t>PrEP:</w:t>
      </w:r>
      <w:r>
        <w:rPr>
          <w:b/>
          <w:spacing w:val="-8"/>
        </w:rPr>
        <w:t xml:space="preserve"> </w:t>
      </w:r>
      <w:r>
        <w:t>pre-exposure</w:t>
      </w:r>
      <w:r>
        <w:rPr>
          <w:spacing w:val="-6"/>
        </w:rPr>
        <w:t xml:space="preserve"> </w:t>
      </w:r>
      <w:r>
        <w:t>prophylaxis,</w:t>
      </w:r>
      <w:r>
        <w:rPr>
          <w:spacing w:val="-9"/>
        </w:rPr>
        <w:t xml:space="preserve"> </w:t>
      </w:r>
      <w:r>
        <w:t>or</w:t>
      </w:r>
      <w:r>
        <w:rPr>
          <w:spacing w:val="-7"/>
        </w:rPr>
        <w:t xml:space="preserve"> </w:t>
      </w:r>
      <w:r>
        <w:t>a</w:t>
      </w:r>
      <w:r>
        <w:rPr>
          <w:spacing w:val="-9"/>
        </w:rPr>
        <w:t xml:space="preserve"> </w:t>
      </w:r>
      <w:r>
        <w:t>medication</w:t>
      </w:r>
      <w:r>
        <w:rPr>
          <w:spacing w:val="-7"/>
        </w:rPr>
        <w:t xml:space="preserve"> </w:t>
      </w:r>
      <w:r>
        <w:t>taken</w:t>
      </w:r>
      <w:r>
        <w:rPr>
          <w:spacing w:val="-10"/>
        </w:rPr>
        <w:t xml:space="preserve"> </w:t>
      </w:r>
      <w:r>
        <w:t>daily</w:t>
      </w:r>
      <w:r>
        <w:rPr>
          <w:spacing w:val="-6"/>
        </w:rPr>
        <w:t xml:space="preserve"> </w:t>
      </w:r>
      <w:r>
        <w:t>to</w:t>
      </w:r>
      <w:r>
        <w:rPr>
          <w:spacing w:val="-5"/>
        </w:rPr>
        <w:t xml:space="preserve"> </w:t>
      </w:r>
      <w:r>
        <w:t>reduce</w:t>
      </w:r>
      <w:r>
        <w:rPr>
          <w:spacing w:val="-8"/>
        </w:rPr>
        <w:t xml:space="preserve"> </w:t>
      </w:r>
      <w:r>
        <w:t>one’s</w:t>
      </w:r>
      <w:r>
        <w:rPr>
          <w:spacing w:val="-9"/>
        </w:rPr>
        <w:t xml:space="preserve"> </w:t>
      </w:r>
      <w:r>
        <w:t>risk</w:t>
      </w:r>
      <w:r>
        <w:rPr>
          <w:spacing w:val="-9"/>
        </w:rPr>
        <w:t xml:space="preserve"> </w:t>
      </w:r>
      <w:r>
        <w:t>of</w:t>
      </w:r>
      <w:r>
        <w:rPr>
          <w:spacing w:val="-9"/>
        </w:rPr>
        <w:t xml:space="preserve"> </w:t>
      </w:r>
      <w:r>
        <w:t>being</w:t>
      </w:r>
      <w:r>
        <w:rPr>
          <w:spacing w:val="-7"/>
        </w:rPr>
        <w:t xml:space="preserve"> </w:t>
      </w:r>
      <w:r>
        <w:t>infected</w:t>
      </w:r>
      <w:r>
        <w:rPr>
          <w:spacing w:val="-10"/>
        </w:rPr>
        <w:t xml:space="preserve"> </w:t>
      </w:r>
      <w:r>
        <w:t xml:space="preserve">with </w:t>
      </w:r>
      <w:r>
        <w:rPr>
          <w:spacing w:val="-4"/>
        </w:rPr>
        <w:t>HIV.</w:t>
      </w:r>
    </w:p>
    <w:p w:rsidR="00200FDA" w:rsidRDefault="00200FDA">
      <w:pPr>
        <w:pStyle w:val="BodyText"/>
        <w:spacing w:before="8"/>
        <w:rPr>
          <w:sz w:val="32"/>
        </w:rPr>
      </w:pPr>
    </w:p>
    <w:p w:rsidR="00200FDA" w:rsidRDefault="00F76C4C">
      <w:pPr>
        <w:pStyle w:val="BodyText"/>
        <w:spacing w:before="1" w:line="247" w:lineRule="auto"/>
        <w:ind w:left="428" w:right="422" w:hanging="5"/>
        <w:jc w:val="both"/>
      </w:pPr>
      <w:r>
        <w:rPr>
          <w:b/>
        </w:rPr>
        <w:t xml:space="preserve">Pubertal suppression: </w:t>
      </w:r>
      <w:r>
        <w:t>a medical process that pauses hormonal changes that initiate puberty in adolescents, resulting in a purposeful delay in the development of secondary sex characteristics (e.g. breast</w:t>
      </w:r>
      <w:r>
        <w:rPr>
          <w:spacing w:val="-13"/>
        </w:rPr>
        <w:t xml:space="preserve"> </w:t>
      </w:r>
      <w:r>
        <w:t>growth,</w:t>
      </w:r>
      <w:r>
        <w:rPr>
          <w:spacing w:val="-12"/>
        </w:rPr>
        <w:t xml:space="preserve"> </w:t>
      </w:r>
      <w:r>
        <w:t>facial</w:t>
      </w:r>
      <w:r>
        <w:rPr>
          <w:spacing w:val="-13"/>
        </w:rPr>
        <w:t xml:space="preserve"> </w:t>
      </w:r>
      <w:r>
        <w:t>hair,</w:t>
      </w:r>
      <w:r>
        <w:rPr>
          <w:spacing w:val="-12"/>
        </w:rPr>
        <w:t xml:space="preserve"> </w:t>
      </w:r>
      <w:r>
        <w:t>body</w:t>
      </w:r>
      <w:r>
        <w:rPr>
          <w:spacing w:val="-13"/>
        </w:rPr>
        <w:t xml:space="preserve"> </w:t>
      </w:r>
      <w:r>
        <w:t>fat</w:t>
      </w:r>
      <w:r>
        <w:rPr>
          <w:spacing w:val="-12"/>
        </w:rPr>
        <w:t xml:space="preserve"> </w:t>
      </w:r>
      <w:r>
        <w:t>redistribution,</w:t>
      </w:r>
      <w:r>
        <w:rPr>
          <w:spacing w:val="-13"/>
        </w:rPr>
        <w:t xml:space="preserve"> </w:t>
      </w:r>
      <w:r>
        <w:t>voice</w:t>
      </w:r>
      <w:r>
        <w:rPr>
          <w:spacing w:val="-12"/>
        </w:rPr>
        <w:t xml:space="preserve"> </w:t>
      </w:r>
      <w:r>
        <w:t>changes,</w:t>
      </w:r>
      <w:r>
        <w:rPr>
          <w:spacing w:val="-12"/>
        </w:rPr>
        <w:t xml:space="preserve"> </w:t>
      </w:r>
      <w:r>
        <w:t>etc.).</w:t>
      </w:r>
      <w:r>
        <w:rPr>
          <w:spacing w:val="-13"/>
        </w:rPr>
        <w:t xml:space="preserve"> </w:t>
      </w:r>
      <w:r>
        <w:t>Suppression</w:t>
      </w:r>
      <w:r>
        <w:rPr>
          <w:spacing w:val="-12"/>
        </w:rPr>
        <w:t xml:space="preserve"> </w:t>
      </w:r>
      <w:r>
        <w:t>can</w:t>
      </w:r>
      <w:r>
        <w:rPr>
          <w:spacing w:val="-13"/>
        </w:rPr>
        <w:t xml:space="preserve"> </w:t>
      </w:r>
      <w:r>
        <w:t>prevent</w:t>
      </w:r>
      <w:r>
        <w:rPr>
          <w:spacing w:val="-12"/>
        </w:rPr>
        <w:t xml:space="preserve"> </w:t>
      </w:r>
      <w:r>
        <w:t>gender dysphoria that often accompanies puberty for transgender or gender- nonconforming youth, and is not permanent.</w:t>
      </w:r>
    </w:p>
    <w:p w:rsidR="00200FDA" w:rsidRDefault="00200FDA">
      <w:pPr>
        <w:pStyle w:val="BodyText"/>
        <w:spacing w:before="9"/>
        <w:rPr>
          <w:sz w:val="32"/>
        </w:rPr>
      </w:pPr>
    </w:p>
    <w:p w:rsidR="00200FDA" w:rsidRDefault="00F76C4C">
      <w:pPr>
        <w:pStyle w:val="BodyText"/>
        <w:spacing w:line="247" w:lineRule="auto"/>
        <w:ind w:left="428" w:right="420" w:hanging="5"/>
        <w:jc w:val="both"/>
      </w:pPr>
      <w:r>
        <w:rPr>
          <w:b/>
        </w:rPr>
        <w:t xml:space="preserve">Queer: </w:t>
      </w:r>
      <w:r>
        <w:t>The term “queer” was reclaimed in the early 90’s as an umbrella term for those who do not conform to rigid</w:t>
      </w:r>
      <w:r>
        <w:t xml:space="preserve"> (heteropatriarchal) notions of gender identity and expression or sexual orientation. Because this term has historically been used derogatorily, some older people find its reclamation to be controversial. It is the preferred identity term for many younger </w:t>
      </w:r>
      <w:r>
        <w:t>people.</w:t>
      </w:r>
    </w:p>
    <w:p w:rsidR="00200FDA" w:rsidRDefault="00200FDA">
      <w:pPr>
        <w:pStyle w:val="BodyText"/>
        <w:spacing w:before="8"/>
        <w:rPr>
          <w:sz w:val="32"/>
        </w:rPr>
      </w:pPr>
    </w:p>
    <w:p w:rsidR="00200FDA" w:rsidRDefault="00F76C4C">
      <w:pPr>
        <w:pStyle w:val="BodyText"/>
        <w:spacing w:line="247" w:lineRule="auto"/>
        <w:ind w:left="427" w:right="426" w:hanging="5"/>
        <w:jc w:val="both"/>
      </w:pPr>
      <w:r>
        <w:rPr>
          <w:b/>
        </w:rPr>
        <w:t>Questioning:</w:t>
      </w:r>
      <w:r>
        <w:rPr>
          <w:b/>
          <w:spacing w:val="-10"/>
        </w:rPr>
        <w:t xml:space="preserve"> </w:t>
      </w:r>
      <w:r>
        <w:t>a</w:t>
      </w:r>
      <w:r>
        <w:rPr>
          <w:spacing w:val="-7"/>
        </w:rPr>
        <w:t xml:space="preserve"> </w:t>
      </w:r>
      <w:r>
        <w:t>term</w:t>
      </w:r>
      <w:r>
        <w:rPr>
          <w:spacing w:val="-6"/>
        </w:rPr>
        <w:t xml:space="preserve"> </w:t>
      </w:r>
      <w:r>
        <w:t>used</w:t>
      </w:r>
      <w:r>
        <w:rPr>
          <w:spacing w:val="-7"/>
        </w:rPr>
        <w:t xml:space="preserve"> </w:t>
      </w:r>
      <w:r>
        <w:t>to</w:t>
      </w:r>
      <w:r>
        <w:rPr>
          <w:spacing w:val="-6"/>
        </w:rPr>
        <w:t xml:space="preserve"> </w:t>
      </w:r>
      <w:r>
        <w:t>describe</w:t>
      </w:r>
      <w:r>
        <w:rPr>
          <w:spacing w:val="-8"/>
        </w:rPr>
        <w:t xml:space="preserve"> </w:t>
      </w:r>
      <w:r>
        <w:t>a</w:t>
      </w:r>
      <w:r>
        <w:rPr>
          <w:spacing w:val="-7"/>
        </w:rPr>
        <w:t xml:space="preserve"> </w:t>
      </w:r>
      <w:r>
        <w:t>person</w:t>
      </w:r>
      <w:r>
        <w:rPr>
          <w:spacing w:val="-10"/>
        </w:rPr>
        <w:t xml:space="preserve"> </w:t>
      </w:r>
      <w:r>
        <w:t>who</w:t>
      </w:r>
      <w:r>
        <w:rPr>
          <w:spacing w:val="-6"/>
        </w:rPr>
        <w:t xml:space="preserve"> </w:t>
      </w:r>
      <w:r>
        <w:t>is</w:t>
      </w:r>
      <w:r>
        <w:rPr>
          <w:spacing w:val="-11"/>
        </w:rPr>
        <w:t xml:space="preserve"> </w:t>
      </w:r>
      <w:r>
        <w:t>exploring</w:t>
      </w:r>
      <w:r>
        <w:rPr>
          <w:spacing w:val="-10"/>
        </w:rPr>
        <w:t xml:space="preserve"> </w:t>
      </w:r>
      <w:r>
        <w:t>their</w:t>
      </w:r>
      <w:r>
        <w:rPr>
          <w:spacing w:val="-9"/>
        </w:rPr>
        <w:t xml:space="preserve"> </w:t>
      </w:r>
      <w:r>
        <w:t>sexual</w:t>
      </w:r>
      <w:r>
        <w:rPr>
          <w:spacing w:val="-9"/>
        </w:rPr>
        <w:t xml:space="preserve"> </w:t>
      </w:r>
      <w:r>
        <w:t>orientation</w:t>
      </w:r>
      <w:r>
        <w:rPr>
          <w:spacing w:val="-10"/>
        </w:rPr>
        <w:t xml:space="preserve"> </w:t>
      </w:r>
      <w:r>
        <w:t>and/or</w:t>
      </w:r>
      <w:r>
        <w:rPr>
          <w:spacing w:val="-7"/>
        </w:rPr>
        <w:t xml:space="preserve"> </w:t>
      </w:r>
      <w:r>
        <w:t xml:space="preserve">gender </w:t>
      </w:r>
      <w:r>
        <w:rPr>
          <w:spacing w:val="-2"/>
        </w:rPr>
        <w:t>identity</w:t>
      </w:r>
    </w:p>
    <w:p w:rsidR="00200FDA" w:rsidRDefault="00200FDA">
      <w:pPr>
        <w:pStyle w:val="BodyText"/>
        <w:spacing w:before="8"/>
        <w:rPr>
          <w:sz w:val="32"/>
        </w:rPr>
      </w:pPr>
    </w:p>
    <w:p w:rsidR="00200FDA" w:rsidRDefault="00F76C4C">
      <w:pPr>
        <w:pStyle w:val="BodyText"/>
        <w:spacing w:before="1" w:line="247" w:lineRule="auto"/>
        <w:ind w:left="427" w:right="427" w:hanging="5"/>
        <w:jc w:val="both"/>
      </w:pPr>
      <w:r>
        <w:rPr>
          <w:b/>
        </w:rPr>
        <w:t>Reproductive</w:t>
      </w:r>
      <w:r>
        <w:rPr>
          <w:b/>
          <w:spacing w:val="-4"/>
        </w:rPr>
        <w:t xml:space="preserve"> </w:t>
      </w:r>
      <w:r>
        <w:rPr>
          <w:b/>
        </w:rPr>
        <w:t>health:</w:t>
      </w:r>
      <w:r>
        <w:rPr>
          <w:b/>
          <w:spacing w:val="-7"/>
        </w:rPr>
        <w:t xml:space="preserve"> </w:t>
      </w:r>
      <w:r>
        <w:t>a</w:t>
      </w:r>
      <w:r>
        <w:rPr>
          <w:spacing w:val="-7"/>
        </w:rPr>
        <w:t xml:space="preserve"> </w:t>
      </w:r>
      <w:r>
        <w:t>health</w:t>
      </w:r>
      <w:r>
        <w:rPr>
          <w:spacing w:val="-8"/>
        </w:rPr>
        <w:t xml:space="preserve"> </w:t>
      </w:r>
      <w:r>
        <w:t>focus</w:t>
      </w:r>
      <w:r>
        <w:rPr>
          <w:spacing w:val="-7"/>
        </w:rPr>
        <w:t xml:space="preserve"> </w:t>
      </w:r>
      <w:r>
        <w:t>on</w:t>
      </w:r>
      <w:r>
        <w:rPr>
          <w:spacing w:val="-8"/>
        </w:rPr>
        <w:t xml:space="preserve"> </w:t>
      </w:r>
      <w:r>
        <w:t>the</w:t>
      </w:r>
      <w:r>
        <w:rPr>
          <w:spacing w:val="-6"/>
        </w:rPr>
        <w:t xml:space="preserve"> </w:t>
      </w:r>
      <w:r>
        <w:t>provision</w:t>
      </w:r>
      <w:r>
        <w:rPr>
          <w:spacing w:val="-9"/>
        </w:rPr>
        <w:t xml:space="preserve"> </w:t>
      </w:r>
      <w:r>
        <w:t>of</w:t>
      </w:r>
      <w:r>
        <w:rPr>
          <w:spacing w:val="-7"/>
        </w:rPr>
        <w:t xml:space="preserve"> </w:t>
      </w:r>
      <w:r>
        <w:t>healthcare</w:t>
      </w:r>
      <w:r>
        <w:rPr>
          <w:spacing w:val="-7"/>
        </w:rPr>
        <w:t xml:space="preserve"> </w:t>
      </w:r>
      <w:r>
        <w:t>services,</w:t>
      </w:r>
      <w:r>
        <w:rPr>
          <w:spacing w:val="-7"/>
        </w:rPr>
        <w:t xml:space="preserve"> </w:t>
      </w:r>
      <w:r>
        <w:t>health</w:t>
      </w:r>
      <w:r>
        <w:rPr>
          <w:spacing w:val="-8"/>
        </w:rPr>
        <w:t xml:space="preserve"> </w:t>
      </w:r>
      <w:r>
        <w:t>facilities,</w:t>
      </w:r>
      <w:r>
        <w:rPr>
          <w:spacing w:val="-7"/>
        </w:rPr>
        <w:t xml:space="preserve"> </w:t>
      </w:r>
      <w:r>
        <w:t>research, and a person’s relationship w</w:t>
      </w:r>
      <w:r>
        <w:t>ith their provider</w:t>
      </w:r>
    </w:p>
    <w:p w:rsidR="00200FDA" w:rsidRDefault="00200FDA">
      <w:pPr>
        <w:pStyle w:val="BodyText"/>
        <w:spacing w:before="8"/>
        <w:rPr>
          <w:sz w:val="32"/>
        </w:rPr>
      </w:pPr>
    </w:p>
    <w:p w:rsidR="00200FDA" w:rsidRDefault="00F76C4C">
      <w:pPr>
        <w:spacing w:before="1"/>
        <w:ind w:left="423"/>
      </w:pPr>
      <w:r>
        <w:rPr>
          <w:b/>
          <w:spacing w:val="-2"/>
        </w:rPr>
        <w:t>Reproductive</w:t>
      </w:r>
      <w:r>
        <w:rPr>
          <w:b/>
          <w:spacing w:val="-15"/>
        </w:rPr>
        <w:t xml:space="preserve"> </w:t>
      </w:r>
      <w:r>
        <w:rPr>
          <w:b/>
          <w:spacing w:val="-2"/>
        </w:rPr>
        <w:t>justice:</w:t>
      </w:r>
      <w:r>
        <w:rPr>
          <w:b/>
          <w:spacing w:val="-15"/>
        </w:rPr>
        <w:t xml:space="preserve"> </w:t>
      </w:r>
      <w:r>
        <w:rPr>
          <w:spacing w:val="-2"/>
        </w:rPr>
        <w:t>a</w:t>
      </w:r>
      <w:r>
        <w:rPr>
          <w:spacing w:val="-16"/>
        </w:rPr>
        <w:t xml:space="preserve"> </w:t>
      </w:r>
      <w:r>
        <w:rPr>
          <w:spacing w:val="-2"/>
        </w:rPr>
        <w:t>contemporary</w:t>
      </w:r>
      <w:r>
        <w:rPr>
          <w:spacing w:val="-15"/>
        </w:rPr>
        <w:t xml:space="preserve"> </w:t>
      </w:r>
      <w:r>
        <w:rPr>
          <w:spacing w:val="-2"/>
        </w:rPr>
        <w:t>and</w:t>
      </w:r>
      <w:r>
        <w:rPr>
          <w:spacing w:val="-16"/>
        </w:rPr>
        <w:t xml:space="preserve"> </w:t>
      </w:r>
      <w:r>
        <w:rPr>
          <w:spacing w:val="-2"/>
        </w:rPr>
        <w:t>political</w:t>
      </w:r>
      <w:r>
        <w:rPr>
          <w:spacing w:val="-16"/>
        </w:rPr>
        <w:t xml:space="preserve"> </w:t>
      </w:r>
      <w:r>
        <w:rPr>
          <w:spacing w:val="-2"/>
        </w:rPr>
        <w:t>approach</w:t>
      </w:r>
      <w:r>
        <w:rPr>
          <w:spacing w:val="-17"/>
        </w:rPr>
        <w:t xml:space="preserve"> </w:t>
      </w:r>
      <w:r>
        <w:rPr>
          <w:spacing w:val="-2"/>
        </w:rPr>
        <w:t>in</w:t>
      </w:r>
      <w:r>
        <w:rPr>
          <w:spacing w:val="-16"/>
        </w:rPr>
        <w:t xml:space="preserve"> </w:t>
      </w:r>
      <w:r>
        <w:rPr>
          <w:spacing w:val="-2"/>
        </w:rPr>
        <w:t>activism</w:t>
      </w:r>
      <w:r>
        <w:rPr>
          <w:spacing w:val="-14"/>
        </w:rPr>
        <w:t xml:space="preserve"> </w:t>
      </w:r>
      <w:r>
        <w:rPr>
          <w:spacing w:val="-2"/>
        </w:rPr>
        <w:t>using</w:t>
      </w:r>
      <w:r>
        <w:rPr>
          <w:spacing w:val="-16"/>
        </w:rPr>
        <w:t xml:space="preserve"> </w:t>
      </w:r>
      <w:r>
        <w:rPr>
          <w:spacing w:val="-2"/>
        </w:rPr>
        <w:t>a</w:t>
      </w:r>
      <w:r>
        <w:rPr>
          <w:spacing w:val="-16"/>
        </w:rPr>
        <w:t xml:space="preserve"> </w:t>
      </w:r>
      <w:r>
        <w:rPr>
          <w:spacing w:val="-2"/>
        </w:rPr>
        <w:t>human</w:t>
      </w:r>
      <w:r>
        <w:rPr>
          <w:spacing w:val="-16"/>
        </w:rPr>
        <w:t xml:space="preserve"> </w:t>
      </w:r>
      <w:r>
        <w:rPr>
          <w:spacing w:val="-2"/>
        </w:rPr>
        <w:t>rights</w:t>
      </w:r>
      <w:r>
        <w:rPr>
          <w:spacing w:val="-16"/>
        </w:rPr>
        <w:t xml:space="preserve"> </w:t>
      </w:r>
      <w:r>
        <w:rPr>
          <w:spacing w:val="-2"/>
        </w:rPr>
        <w:t>framework</w:t>
      </w:r>
    </w:p>
    <w:p w:rsidR="00200FDA" w:rsidRDefault="00200FDA">
      <w:pPr>
        <w:sectPr w:rsidR="00200FDA">
          <w:pgSz w:w="12240" w:h="15840"/>
          <w:pgMar w:top="1260" w:right="1160" w:bottom="1060" w:left="1160" w:header="859" w:footer="836" w:gutter="0"/>
          <w:cols w:space="720"/>
        </w:sectPr>
      </w:pPr>
    </w:p>
    <w:p w:rsidR="00200FDA" w:rsidRDefault="00F76C4C">
      <w:pPr>
        <w:pStyle w:val="BodyText"/>
        <w:spacing w:before="46" w:line="247" w:lineRule="auto"/>
        <w:ind w:left="428" w:right="428"/>
        <w:jc w:val="both"/>
      </w:pPr>
      <w:r>
        <w:lastRenderedPageBreak/>
        <w:t>to draw attention to and resist laws, public, and corporate policies based on racial, gender, and class oppression,</w:t>
      </w:r>
      <w:r>
        <w:rPr>
          <w:spacing w:val="-7"/>
        </w:rPr>
        <w:t xml:space="preserve"> </w:t>
      </w:r>
      <w:r>
        <w:t>noting</w:t>
      </w:r>
      <w:r>
        <w:rPr>
          <w:spacing w:val="-8"/>
        </w:rPr>
        <w:t xml:space="preserve"> </w:t>
      </w:r>
      <w:r>
        <w:t>that</w:t>
      </w:r>
      <w:r>
        <w:rPr>
          <w:spacing w:val="-6"/>
        </w:rPr>
        <w:t xml:space="preserve"> </w:t>
      </w:r>
      <w:r>
        <w:t>people</w:t>
      </w:r>
      <w:r>
        <w:rPr>
          <w:spacing w:val="-6"/>
        </w:rPr>
        <w:t xml:space="preserve"> </w:t>
      </w:r>
      <w:r>
        <w:t>have</w:t>
      </w:r>
      <w:r>
        <w:rPr>
          <w:spacing w:val="-6"/>
        </w:rPr>
        <w:t xml:space="preserve"> </w:t>
      </w:r>
      <w:r>
        <w:t>the</w:t>
      </w:r>
      <w:r>
        <w:rPr>
          <w:spacing w:val="-6"/>
        </w:rPr>
        <w:t xml:space="preserve"> </w:t>
      </w:r>
      <w:r>
        <w:t>right</w:t>
      </w:r>
      <w:r>
        <w:rPr>
          <w:spacing w:val="-6"/>
        </w:rPr>
        <w:t xml:space="preserve"> </w:t>
      </w:r>
      <w:r>
        <w:t>to</w:t>
      </w:r>
      <w:r>
        <w:rPr>
          <w:spacing w:val="-6"/>
        </w:rPr>
        <w:t xml:space="preserve"> </w:t>
      </w:r>
      <w:r>
        <w:t>have</w:t>
      </w:r>
      <w:r>
        <w:rPr>
          <w:spacing w:val="-6"/>
        </w:rPr>
        <w:t xml:space="preserve"> </w:t>
      </w:r>
      <w:r>
        <w:t>safe</w:t>
      </w:r>
      <w:r>
        <w:rPr>
          <w:spacing w:val="-6"/>
        </w:rPr>
        <w:t xml:space="preserve"> </w:t>
      </w:r>
      <w:r>
        <w:t>and</w:t>
      </w:r>
      <w:r>
        <w:rPr>
          <w:spacing w:val="-8"/>
        </w:rPr>
        <w:t xml:space="preserve"> </w:t>
      </w:r>
      <w:r>
        <w:t>healthy</w:t>
      </w:r>
      <w:r>
        <w:rPr>
          <w:spacing w:val="-6"/>
        </w:rPr>
        <w:t xml:space="preserve"> </w:t>
      </w:r>
      <w:r>
        <w:t>autonomy</w:t>
      </w:r>
      <w:r>
        <w:rPr>
          <w:spacing w:val="-8"/>
        </w:rPr>
        <w:t xml:space="preserve"> </w:t>
      </w:r>
      <w:r>
        <w:t>over</w:t>
      </w:r>
      <w:r>
        <w:rPr>
          <w:spacing w:val="-7"/>
        </w:rPr>
        <w:t xml:space="preserve"> </w:t>
      </w:r>
      <w:r>
        <w:t>their</w:t>
      </w:r>
      <w:r>
        <w:rPr>
          <w:spacing w:val="-7"/>
        </w:rPr>
        <w:t xml:space="preserve"> </w:t>
      </w:r>
      <w:r>
        <w:t>own</w:t>
      </w:r>
      <w:r>
        <w:rPr>
          <w:spacing w:val="-8"/>
        </w:rPr>
        <w:t xml:space="preserve"> </w:t>
      </w:r>
      <w:r>
        <w:t>body</w:t>
      </w:r>
    </w:p>
    <w:p w:rsidR="00200FDA" w:rsidRDefault="00200FDA">
      <w:pPr>
        <w:pStyle w:val="BodyText"/>
        <w:spacing w:before="9"/>
        <w:rPr>
          <w:sz w:val="32"/>
        </w:rPr>
      </w:pPr>
    </w:p>
    <w:p w:rsidR="00200FDA" w:rsidRDefault="00F76C4C">
      <w:pPr>
        <w:pStyle w:val="BodyText"/>
        <w:spacing w:line="247" w:lineRule="auto"/>
        <w:ind w:left="428" w:right="423" w:hanging="5"/>
        <w:jc w:val="both"/>
      </w:pPr>
      <w:r>
        <w:rPr>
          <w:b/>
          <w:spacing w:val="-2"/>
        </w:rPr>
        <w:t>Reproductive</w:t>
      </w:r>
      <w:r>
        <w:rPr>
          <w:b/>
          <w:spacing w:val="-5"/>
        </w:rPr>
        <w:t xml:space="preserve"> </w:t>
      </w:r>
      <w:r>
        <w:rPr>
          <w:b/>
          <w:spacing w:val="-2"/>
        </w:rPr>
        <w:t>rights:</w:t>
      </w:r>
      <w:r>
        <w:rPr>
          <w:b/>
          <w:spacing w:val="-8"/>
        </w:rPr>
        <w:t xml:space="preserve"> </w:t>
      </w:r>
      <w:r>
        <w:rPr>
          <w:spacing w:val="-2"/>
        </w:rPr>
        <w:t>the</w:t>
      </w:r>
      <w:r>
        <w:rPr>
          <w:spacing w:val="-8"/>
        </w:rPr>
        <w:t xml:space="preserve"> </w:t>
      </w:r>
      <w:r>
        <w:rPr>
          <w:spacing w:val="-2"/>
        </w:rPr>
        <w:t>centering</w:t>
      </w:r>
      <w:r>
        <w:rPr>
          <w:spacing w:val="-10"/>
        </w:rPr>
        <w:t xml:space="preserve"> </w:t>
      </w:r>
      <w:r>
        <w:rPr>
          <w:spacing w:val="-2"/>
        </w:rPr>
        <w:t>and</w:t>
      </w:r>
      <w:r>
        <w:rPr>
          <w:spacing w:val="-10"/>
        </w:rPr>
        <w:t xml:space="preserve"> </w:t>
      </w:r>
      <w:r>
        <w:rPr>
          <w:spacing w:val="-2"/>
        </w:rPr>
        <w:t>protections</w:t>
      </w:r>
      <w:r>
        <w:rPr>
          <w:spacing w:val="-9"/>
        </w:rPr>
        <w:t xml:space="preserve"> </w:t>
      </w:r>
      <w:r>
        <w:rPr>
          <w:spacing w:val="-2"/>
        </w:rPr>
        <w:t>of</w:t>
      </w:r>
      <w:r>
        <w:rPr>
          <w:spacing w:val="-9"/>
        </w:rPr>
        <w:t xml:space="preserve"> </w:t>
      </w:r>
      <w:r>
        <w:rPr>
          <w:spacing w:val="-2"/>
        </w:rPr>
        <w:t>a</w:t>
      </w:r>
      <w:r>
        <w:rPr>
          <w:spacing w:val="-7"/>
        </w:rPr>
        <w:t xml:space="preserve"> </w:t>
      </w:r>
      <w:r>
        <w:rPr>
          <w:spacing w:val="-2"/>
        </w:rPr>
        <w:t>person’s</w:t>
      </w:r>
      <w:r>
        <w:rPr>
          <w:spacing w:val="-9"/>
        </w:rPr>
        <w:t xml:space="preserve"> </w:t>
      </w:r>
      <w:r>
        <w:rPr>
          <w:spacing w:val="-2"/>
        </w:rPr>
        <w:t>legal</w:t>
      </w:r>
      <w:r>
        <w:rPr>
          <w:spacing w:val="-9"/>
        </w:rPr>
        <w:t xml:space="preserve"> </w:t>
      </w:r>
      <w:r>
        <w:rPr>
          <w:spacing w:val="-2"/>
        </w:rPr>
        <w:t>rights</w:t>
      </w:r>
      <w:r>
        <w:rPr>
          <w:spacing w:val="-9"/>
        </w:rPr>
        <w:t xml:space="preserve"> </w:t>
      </w:r>
      <w:r>
        <w:rPr>
          <w:spacing w:val="-2"/>
        </w:rPr>
        <w:t>to</w:t>
      </w:r>
      <w:r>
        <w:rPr>
          <w:spacing w:val="-8"/>
        </w:rPr>
        <w:t xml:space="preserve"> </w:t>
      </w:r>
      <w:r>
        <w:rPr>
          <w:spacing w:val="-2"/>
        </w:rPr>
        <w:t>reproductive</w:t>
      </w:r>
      <w:r>
        <w:rPr>
          <w:spacing w:val="-8"/>
        </w:rPr>
        <w:t xml:space="preserve"> </w:t>
      </w:r>
      <w:r>
        <w:rPr>
          <w:spacing w:val="-2"/>
        </w:rPr>
        <w:t>health</w:t>
      </w:r>
      <w:r>
        <w:rPr>
          <w:spacing w:val="-10"/>
        </w:rPr>
        <w:t xml:space="preserve"> </w:t>
      </w:r>
      <w:r>
        <w:rPr>
          <w:spacing w:val="-2"/>
        </w:rPr>
        <w:t>care, including</w:t>
      </w:r>
      <w:r>
        <w:rPr>
          <w:spacing w:val="-8"/>
        </w:rPr>
        <w:t xml:space="preserve"> </w:t>
      </w:r>
      <w:r>
        <w:rPr>
          <w:spacing w:val="-2"/>
        </w:rPr>
        <w:t>the</w:t>
      </w:r>
      <w:r>
        <w:rPr>
          <w:spacing w:val="-9"/>
        </w:rPr>
        <w:t xml:space="preserve"> </w:t>
      </w:r>
      <w:r>
        <w:rPr>
          <w:spacing w:val="-2"/>
        </w:rPr>
        <w:t>right</w:t>
      </w:r>
      <w:r>
        <w:rPr>
          <w:spacing w:val="-9"/>
        </w:rPr>
        <w:t xml:space="preserve"> </w:t>
      </w:r>
      <w:r>
        <w:rPr>
          <w:spacing w:val="-2"/>
        </w:rPr>
        <w:t>to</w:t>
      </w:r>
      <w:r>
        <w:rPr>
          <w:spacing w:val="-8"/>
        </w:rPr>
        <w:t xml:space="preserve"> </w:t>
      </w:r>
      <w:r>
        <w:rPr>
          <w:spacing w:val="-2"/>
        </w:rPr>
        <w:t>an</w:t>
      </w:r>
      <w:r>
        <w:rPr>
          <w:spacing w:val="-8"/>
        </w:rPr>
        <w:t xml:space="preserve"> </w:t>
      </w:r>
      <w:r>
        <w:rPr>
          <w:spacing w:val="-2"/>
        </w:rPr>
        <w:t>abortion,</w:t>
      </w:r>
      <w:r>
        <w:rPr>
          <w:spacing w:val="-9"/>
        </w:rPr>
        <w:t xml:space="preserve"> </w:t>
      </w:r>
      <w:r>
        <w:rPr>
          <w:spacing w:val="-2"/>
        </w:rPr>
        <w:t>birth</w:t>
      </w:r>
      <w:r>
        <w:rPr>
          <w:spacing w:val="-8"/>
        </w:rPr>
        <w:t xml:space="preserve"> </w:t>
      </w:r>
      <w:r>
        <w:rPr>
          <w:spacing w:val="-2"/>
        </w:rPr>
        <w:t>control,</w:t>
      </w:r>
      <w:r>
        <w:rPr>
          <w:spacing w:val="-9"/>
        </w:rPr>
        <w:t xml:space="preserve"> </w:t>
      </w:r>
      <w:r>
        <w:rPr>
          <w:spacing w:val="-2"/>
        </w:rPr>
        <w:t>affordable</w:t>
      </w:r>
      <w:r>
        <w:rPr>
          <w:spacing w:val="-9"/>
        </w:rPr>
        <w:t xml:space="preserve"> </w:t>
      </w:r>
      <w:r>
        <w:rPr>
          <w:spacing w:val="-2"/>
        </w:rPr>
        <w:t>healthcare,</w:t>
      </w:r>
      <w:r>
        <w:rPr>
          <w:spacing w:val="-7"/>
        </w:rPr>
        <w:t xml:space="preserve"> </w:t>
      </w:r>
      <w:r>
        <w:rPr>
          <w:spacing w:val="-2"/>
        </w:rPr>
        <w:t>prenatal</w:t>
      </w:r>
      <w:r>
        <w:rPr>
          <w:spacing w:val="-7"/>
        </w:rPr>
        <w:t xml:space="preserve"> </w:t>
      </w:r>
      <w:r>
        <w:rPr>
          <w:spacing w:val="-2"/>
        </w:rPr>
        <w:t>and</w:t>
      </w:r>
      <w:r>
        <w:rPr>
          <w:spacing w:val="-10"/>
        </w:rPr>
        <w:t xml:space="preserve"> </w:t>
      </w:r>
      <w:r>
        <w:rPr>
          <w:spacing w:val="-2"/>
        </w:rPr>
        <w:t>pregnancy</w:t>
      </w:r>
      <w:r>
        <w:rPr>
          <w:spacing w:val="-9"/>
        </w:rPr>
        <w:t xml:space="preserve"> </w:t>
      </w:r>
      <w:r>
        <w:rPr>
          <w:spacing w:val="-2"/>
        </w:rPr>
        <w:t>care,</w:t>
      </w:r>
      <w:r>
        <w:rPr>
          <w:spacing w:val="-9"/>
        </w:rPr>
        <w:t xml:space="preserve"> </w:t>
      </w:r>
      <w:r>
        <w:rPr>
          <w:spacing w:val="-2"/>
        </w:rPr>
        <w:t xml:space="preserve">and </w:t>
      </w:r>
      <w:r>
        <w:t>sexual health education</w:t>
      </w:r>
    </w:p>
    <w:p w:rsidR="00200FDA" w:rsidRDefault="00200FDA">
      <w:pPr>
        <w:pStyle w:val="BodyText"/>
        <w:spacing w:before="8"/>
        <w:rPr>
          <w:sz w:val="32"/>
        </w:rPr>
      </w:pPr>
    </w:p>
    <w:p w:rsidR="00200FDA" w:rsidRDefault="00F76C4C">
      <w:pPr>
        <w:ind w:left="423"/>
        <w:jc w:val="both"/>
      </w:pPr>
      <w:r>
        <w:rPr>
          <w:b/>
        </w:rPr>
        <w:t>Second-generation</w:t>
      </w:r>
      <w:r>
        <w:rPr>
          <w:b/>
          <w:spacing w:val="-8"/>
        </w:rPr>
        <w:t xml:space="preserve"> </w:t>
      </w:r>
      <w:r>
        <w:rPr>
          <w:b/>
        </w:rPr>
        <w:t>youth</w:t>
      </w:r>
      <w:r>
        <w:t>:</w:t>
      </w:r>
      <w:r>
        <w:rPr>
          <w:spacing w:val="-5"/>
        </w:rPr>
        <w:t xml:space="preserve"> </w:t>
      </w:r>
      <w:r>
        <w:t>youth</w:t>
      </w:r>
      <w:r>
        <w:rPr>
          <w:spacing w:val="-5"/>
        </w:rPr>
        <w:t xml:space="preserve"> </w:t>
      </w:r>
      <w:r>
        <w:t>born</w:t>
      </w:r>
      <w:r>
        <w:rPr>
          <w:spacing w:val="-5"/>
        </w:rPr>
        <w:t xml:space="preserve"> </w:t>
      </w:r>
      <w:r>
        <w:t>in</w:t>
      </w:r>
      <w:r>
        <w:rPr>
          <w:spacing w:val="-5"/>
        </w:rPr>
        <w:t xml:space="preserve"> </w:t>
      </w:r>
      <w:r>
        <w:t>the</w:t>
      </w:r>
      <w:r>
        <w:rPr>
          <w:spacing w:val="-3"/>
        </w:rPr>
        <w:t xml:space="preserve"> </w:t>
      </w:r>
      <w:r>
        <w:t>United</w:t>
      </w:r>
      <w:r>
        <w:rPr>
          <w:spacing w:val="-5"/>
        </w:rPr>
        <w:t xml:space="preserve"> </w:t>
      </w:r>
      <w:r>
        <w:t>States</w:t>
      </w:r>
      <w:r>
        <w:rPr>
          <w:spacing w:val="-6"/>
        </w:rPr>
        <w:t xml:space="preserve"> </w:t>
      </w:r>
      <w:r>
        <w:t>with</w:t>
      </w:r>
      <w:r>
        <w:rPr>
          <w:spacing w:val="-5"/>
        </w:rPr>
        <w:t xml:space="preserve"> </w:t>
      </w:r>
      <w:r>
        <w:t>at</w:t>
      </w:r>
      <w:r>
        <w:rPr>
          <w:spacing w:val="-6"/>
        </w:rPr>
        <w:t xml:space="preserve"> </w:t>
      </w:r>
      <w:r>
        <w:t>least</w:t>
      </w:r>
      <w:r>
        <w:rPr>
          <w:spacing w:val="-3"/>
        </w:rPr>
        <w:t xml:space="preserve"> </w:t>
      </w:r>
      <w:r>
        <w:t>one</w:t>
      </w:r>
      <w:r>
        <w:rPr>
          <w:spacing w:val="-4"/>
        </w:rPr>
        <w:t xml:space="preserve"> </w:t>
      </w:r>
      <w:r>
        <w:t>first-generation</w:t>
      </w:r>
      <w:r>
        <w:rPr>
          <w:spacing w:val="-6"/>
        </w:rPr>
        <w:t xml:space="preserve"> </w:t>
      </w:r>
      <w:r>
        <w:rPr>
          <w:spacing w:val="-2"/>
        </w:rPr>
        <w:t>parent</w:t>
      </w:r>
    </w:p>
    <w:p w:rsidR="00200FDA" w:rsidRDefault="00200FDA">
      <w:pPr>
        <w:pStyle w:val="BodyText"/>
      </w:pPr>
    </w:p>
    <w:p w:rsidR="00200FDA" w:rsidRDefault="00F76C4C">
      <w:pPr>
        <w:pStyle w:val="BodyText"/>
        <w:spacing w:before="140" w:line="247" w:lineRule="auto"/>
        <w:ind w:left="428" w:right="422" w:hanging="5"/>
        <w:jc w:val="both"/>
      </w:pPr>
      <w:r>
        <w:rPr>
          <w:b/>
        </w:rPr>
        <w:t xml:space="preserve">Sexual orientation: </w:t>
      </w:r>
      <w:r>
        <w:t>refers to a person's emotional, sexual, spiritual, and/or relational attraction, or lack thereof, towards other people with respect to their gender. Some common sexual orientations include lesbian, gay, bisexual, heterosexual, queer, pansexual, and asexual</w:t>
      </w:r>
      <w:r>
        <w:t>. There are many other terms that people may use to identify their sexual orientation.</w:t>
      </w:r>
    </w:p>
    <w:p w:rsidR="00200FDA" w:rsidRDefault="00200FDA">
      <w:pPr>
        <w:pStyle w:val="BodyText"/>
        <w:spacing w:before="10"/>
        <w:rPr>
          <w:sz w:val="32"/>
        </w:rPr>
      </w:pPr>
    </w:p>
    <w:p w:rsidR="00200FDA" w:rsidRDefault="00F76C4C">
      <w:pPr>
        <w:pStyle w:val="BodyText"/>
        <w:spacing w:line="247" w:lineRule="auto"/>
        <w:ind w:left="428" w:right="421" w:hanging="5"/>
        <w:jc w:val="both"/>
      </w:pPr>
      <w:r>
        <w:rPr>
          <w:b/>
        </w:rPr>
        <w:t>Transgender:</w:t>
      </w:r>
      <w:r>
        <w:rPr>
          <w:b/>
          <w:spacing w:val="-8"/>
        </w:rPr>
        <w:t xml:space="preserve"> </w:t>
      </w:r>
      <w:r>
        <w:t>an</w:t>
      </w:r>
      <w:r>
        <w:rPr>
          <w:spacing w:val="-7"/>
        </w:rPr>
        <w:t xml:space="preserve"> </w:t>
      </w:r>
      <w:r>
        <w:t>umbrella</w:t>
      </w:r>
      <w:r>
        <w:rPr>
          <w:spacing w:val="-7"/>
        </w:rPr>
        <w:t xml:space="preserve"> </w:t>
      </w:r>
      <w:r>
        <w:t>term</w:t>
      </w:r>
      <w:r>
        <w:rPr>
          <w:spacing w:val="-5"/>
        </w:rPr>
        <w:t xml:space="preserve"> </w:t>
      </w:r>
      <w:r>
        <w:t>used</w:t>
      </w:r>
      <w:r>
        <w:rPr>
          <w:spacing w:val="-7"/>
        </w:rPr>
        <w:t xml:space="preserve"> </w:t>
      </w:r>
      <w:r>
        <w:t>to</w:t>
      </w:r>
      <w:r>
        <w:rPr>
          <w:spacing w:val="-5"/>
        </w:rPr>
        <w:t xml:space="preserve"> </w:t>
      </w:r>
      <w:r>
        <w:t>describe</w:t>
      </w:r>
      <w:r>
        <w:rPr>
          <w:spacing w:val="-6"/>
        </w:rPr>
        <w:t xml:space="preserve"> </w:t>
      </w:r>
      <w:r>
        <w:t>a</w:t>
      </w:r>
      <w:r>
        <w:rPr>
          <w:spacing w:val="-7"/>
        </w:rPr>
        <w:t xml:space="preserve"> </w:t>
      </w:r>
      <w:r>
        <w:t>person</w:t>
      </w:r>
      <w:r>
        <w:rPr>
          <w:spacing w:val="-7"/>
        </w:rPr>
        <w:t xml:space="preserve"> </w:t>
      </w:r>
      <w:r>
        <w:t>whose</w:t>
      </w:r>
      <w:r>
        <w:rPr>
          <w:spacing w:val="-6"/>
        </w:rPr>
        <w:t xml:space="preserve"> </w:t>
      </w:r>
      <w:r>
        <w:t>gender</w:t>
      </w:r>
      <w:r>
        <w:rPr>
          <w:spacing w:val="-7"/>
        </w:rPr>
        <w:t xml:space="preserve"> </w:t>
      </w:r>
      <w:r>
        <w:t>identity</w:t>
      </w:r>
      <w:r>
        <w:rPr>
          <w:spacing w:val="-6"/>
        </w:rPr>
        <w:t xml:space="preserve"> </w:t>
      </w:r>
      <w:r>
        <w:t>is</w:t>
      </w:r>
      <w:r>
        <w:rPr>
          <w:spacing w:val="-9"/>
        </w:rPr>
        <w:t xml:space="preserve"> </w:t>
      </w:r>
      <w:r>
        <w:t>different</w:t>
      </w:r>
      <w:r>
        <w:rPr>
          <w:spacing w:val="-6"/>
        </w:rPr>
        <w:t xml:space="preserve"> </w:t>
      </w:r>
      <w:r>
        <w:t>from</w:t>
      </w:r>
      <w:r>
        <w:rPr>
          <w:spacing w:val="-8"/>
        </w:rPr>
        <w:t xml:space="preserve"> </w:t>
      </w:r>
      <w:r>
        <w:t>that traditionally associated with their assigned sex at birth. A transg</w:t>
      </w:r>
      <w:r>
        <w:t>ender person may identify as heterosexual, lesbian, gay, bisexual, queer, questioning, pansexual, or something else.</w:t>
      </w:r>
    </w:p>
    <w:p w:rsidR="00200FDA" w:rsidRDefault="00200FDA">
      <w:pPr>
        <w:pStyle w:val="BodyText"/>
        <w:spacing w:before="8"/>
        <w:rPr>
          <w:sz w:val="32"/>
        </w:rPr>
      </w:pPr>
    </w:p>
    <w:p w:rsidR="00200FDA" w:rsidRDefault="00F76C4C">
      <w:pPr>
        <w:ind w:left="428"/>
        <w:jc w:val="both"/>
      </w:pPr>
      <w:r>
        <w:rPr>
          <w:b/>
          <w:spacing w:val="-4"/>
        </w:rPr>
        <w:t>Transitioning:</w:t>
      </w:r>
      <w:r>
        <w:rPr>
          <w:b/>
          <w:spacing w:val="-6"/>
        </w:rPr>
        <w:t xml:space="preserve"> </w:t>
      </w:r>
      <w:r>
        <w:rPr>
          <w:spacing w:val="-4"/>
        </w:rPr>
        <w:t>a</w:t>
      </w:r>
      <w:r>
        <w:rPr>
          <w:spacing w:val="-1"/>
        </w:rPr>
        <w:t xml:space="preserve"> </w:t>
      </w:r>
      <w:r>
        <w:rPr>
          <w:spacing w:val="-4"/>
        </w:rPr>
        <w:t>process</w:t>
      </w:r>
      <w:r>
        <w:rPr>
          <w:spacing w:val="-1"/>
        </w:rPr>
        <w:t xml:space="preserve"> </w:t>
      </w:r>
      <w:r>
        <w:rPr>
          <w:spacing w:val="-4"/>
        </w:rPr>
        <w:t>of</w:t>
      </w:r>
      <w:r>
        <w:rPr>
          <w:spacing w:val="5"/>
        </w:rPr>
        <w:t xml:space="preserve"> </w:t>
      </w:r>
      <w:r>
        <w:rPr>
          <w:spacing w:val="-4"/>
        </w:rPr>
        <w:t>changing</w:t>
      </w:r>
      <w:r>
        <w:rPr>
          <w:spacing w:val="-5"/>
        </w:rPr>
        <w:t xml:space="preserve"> </w:t>
      </w:r>
      <w:r>
        <w:rPr>
          <w:spacing w:val="-4"/>
        </w:rPr>
        <w:t>one’s</w:t>
      </w:r>
      <w:r>
        <w:t xml:space="preserve"> </w:t>
      </w:r>
      <w:r>
        <w:rPr>
          <w:spacing w:val="-4"/>
        </w:rPr>
        <w:t>gender</w:t>
      </w:r>
      <w:r>
        <w:rPr>
          <w:spacing w:val="-1"/>
        </w:rPr>
        <w:t xml:space="preserve"> </w:t>
      </w:r>
      <w:r>
        <w:rPr>
          <w:spacing w:val="-4"/>
        </w:rPr>
        <w:t>or</w:t>
      </w:r>
      <w:r>
        <w:t xml:space="preserve"> </w:t>
      </w:r>
      <w:r>
        <w:rPr>
          <w:spacing w:val="-4"/>
        </w:rPr>
        <w:t>sex</w:t>
      </w:r>
      <w:r>
        <w:rPr>
          <w:spacing w:val="-6"/>
        </w:rPr>
        <w:t xml:space="preserve"> </w:t>
      </w:r>
      <w:r>
        <w:rPr>
          <w:spacing w:val="-4"/>
        </w:rPr>
        <w:t>to</w:t>
      </w:r>
      <w:r>
        <w:t xml:space="preserve"> </w:t>
      </w:r>
      <w:r>
        <w:rPr>
          <w:spacing w:val="-4"/>
        </w:rPr>
        <w:t>another</w:t>
      </w:r>
      <w:r>
        <w:rPr>
          <w:spacing w:val="3"/>
        </w:rPr>
        <w:t xml:space="preserve"> </w:t>
      </w:r>
      <w:r>
        <w:rPr>
          <w:spacing w:val="-4"/>
        </w:rPr>
        <w:t>one.</w:t>
      </w:r>
    </w:p>
    <w:p w:rsidR="00200FDA" w:rsidRDefault="00200FDA">
      <w:pPr>
        <w:pStyle w:val="BodyText"/>
      </w:pPr>
    </w:p>
    <w:p w:rsidR="00200FDA" w:rsidRDefault="00F76C4C">
      <w:pPr>
        <w:pStyle w:val="BodyText"/>
        <w:spacing w:before="159" w:line="247" w:lineRule="auto"/>
        <w:ind w:left="428" w:right="421"/>
        <w:jc w:val="both"/>
      </w:pPr>
      <w:r>
        <w:rPr>
          <w:b/>
        </w:rPr>
        <w:t xml:space="preserve">Social transitioning </w:t>
      </w:r>
      <w:r>
        <w:t>refers to the process of disclosing oneself</w:t>
      </w:r>
      <w:r>
        <w:t xml:space="preserve"> as transgender to friends, family, co- workers, and/or classmates. This often includes asking that others use a name, pronouns, or gender that</w:t>
      </w:r>
      <w:r>
        <w:rPr>
          <w:spacing w:val="-1"/>
        </w:rPr>
        <w:t xml:space="preserve"> </w:t>
      </w:r>
      <w:r>
        <w:t>reflects</w:t>
      </w:r>
      <w:r>
        <w:rPr>
          <w:spacing w:val="-4"/>
        </w:rPr>
        <w:t xml:space="preserve"> </w:t>
      </w:r>
      <w:r>
        <w:t>that</w:t>
      </w:r>
      <w:r>
        <w:rPr>
          <w:spacing w:val="-1"/>
        </w:rPr>
        <w:t xml:space="preserve"> </w:t>
      </w:r>
      <w:r>
        <w:t>person's</w:t>
      </w:r>
      <w:r>
        <w:rPr>
          <w:spacing w:val="-4"/>
        </w:rPr>
        <w:t xml:space="preserve"> </w:t>
      </w:r>
      <w:r>
        <w:t>gender</w:t>
      </w:r>
      <w:r>
        <w:rPr>
          <w:spacing w:val="-2"/>
        </w:rPr>
        <w:t xml:space="preserve"> </w:t>
      </w:r>
      <w:r>
        <w:t>identity.</w:t>
      </w:r>
      <w:r>
        <w:rPr>
          <w:spacing w:val="-2"/>
        </w:rPr>
        <w:t xml:space="preserve"> </w:t>
      </w:r>
      <w:r>
        <w:t>Additionally,</w:t>
      </w:r>
      <w:r>
        <w:rPr>
          <w:spacing w:val="-2"/>
        </w:rPr>
        <w:t xml:space="preserve"> </w:t>
      </w:r>
      <w:r>
        <w:t>this</w:t>
      </w:r>
      <w:r>
        <w:rPr>
          <w:spacing w:val="-2"/>
        </w:rPr>
        <w:t xml:space="preserve"> </w:t>
      </w:r>
      <w:r>
        <w:t>person</w:t>
      </w:r>
      <w:r>
        <w:rPr>
          <w:spacing w:val="-5"/>
        </w:rPr>
        <w:t xml:space="preserve"> </w:t>
      </w:r>
      <w:r>
        <w:t>may</w:t>
      </w:r>
      <w:r>
        <w:rPr>
          <w:spacing w:val="-1"/>
        </w:rPr>
        <w:t xml:space="preserve"> </w:t>
      </w:r>
      <w:r>
        <w:t>begin</w:t>
      </w:r>
      <w:r>
        <w:rPr>
          <w:spacing w:val="-3"/>
        </w:rPr>
        <w:t xml:space="preserve"> </w:t>
      </w:r>
      <w:r>
        <w:t>to</w:t>
      </w:r>
      <w:r>
        <w:rPr>
          <w:spacing w:val="-3"/>
        </w:rPr>
        <w:t xml:space="preserve"> </w:t>
      </w:r>
      <w:r>
        <w:t>use</w:t>
      </w:r>
      <w:r>
        <w:rPr>
          <w:spacing w:val="-1"/>
        </w:rPr>
        <w:t xml:space="preserve"> </w:t>
      </w:r>
      <w:r>
        <w:t>facilities</w:t>
      </w:r>
      <w:r>
        <w:rPr>
          <w:spacing w:val="-2"/>
        </w:rPr>
        <w:t xml:space="preserve"> </w:t>
      </w:r>
      <w:r>
        <w:t>such</w:t>
      </w:r>
      <w:r>
        <w:rPr>
          <w:spacing w:val="-3"/>
        </w:rPr>
        <w:t xml:space="preserve"> </w:t>
      </w:r>
      <w:r>
        <w:t>as bathrooms, locker rooms, or dormitories associated with their gender identity.</w:t>
      </w:r>
    </w:p>
    <w:p w:rsidR="00200FDA" w:rsidRDefault="00200FDA">
      <w:pPr>
        <w:pStyle w:val="BodyText"/>
        <w:spacing w:before="8"/>
        <w:rPr>
          <w:sz w:val="32"/>
        </w:rPr>
      </w:pPr>
    </w:p>
    <w:p w:rsidR="00200FDA" w:rsidRDefault="00F76C4C">
      <w:pPr>
        <w:pStyle w:val="BodyText"/>
        <w:spacing w:line="247" w:lineRule="auto"/>
        <w:ind w:left="429" w:right="421" w:hanging="1"/>
        <w:jc w:val="both"/>
      </w:pPr>
      <w:r>
        <w:rPr>
          <w:b/>
        </w:rPr>
        <w:t xml:space="preserve">Medical transition </w:t>
      </w:r>
      <w:r>
        <w:t>refers to a process that utilizes hormonal treatments and/or affirming surgical interventions</w:t>
      </w:r>
      <w:r>
        <w:rPr>
          <w:spacing w:val="-2"/>
        </w:rPr>
        <w:t xml:space="preserve"> </w:t>
      </w:r>
      <w:r>
        <w:t>in</w:t>
      </w:r>
      <w:r>
        <w:rPr>
          <w:spacing w:val="-3"/>
        </w:rPr>
        <w:t xml:space="preserve"> </w:t>
      </w:r>
      <w:r>
        <w:t>affirmation</w:t>
      </w:r>
      <w:r>
        <w:rPr>
          <w:spacing w:val="-3"/>
        </w:rPr>
        <w:t xml:space="preserve"> </w:t>
      </w:r>
      <w:r>
        <w:t>of</w:t>
      </w:r>
      <w:r>
        <w:rPr>
          <w:spacing w:val="-2"/>
        </w:rPr>
        <w:t xml:space="preserve"> </w:t>
      </w:r>
      <w:r>
        <w:t>a</w:t>
      </w:r>
      <w:r>
        <w:rPr>
          <w:spacing w:val="-2"/>
        </w:rPr>
        <w:t xml:space="preserve"> </w:t>
      </w:r>
      <w:r>
        <w:t>person's</w:t>
      </w:r>
      <w:r>
        <w:rPr>
          <w:spacing w:val="-2"/>
        </w:rPr>
        <w:t xml:space="preserve"> </w:t>
      </w:r>
      <w:r>
        <w:t>gender</w:t>
      </w:r>
      <w:r>
        <w:rPr>
          <w:spacing w:val="-4"/>
        </w:rPr>
        <w:t xml:space="preserve"> </w:t>
      </w:r>
      <w:r>
        <w:t>identity.</w:t>
      </w:r>
      <w:r>
        <w:rPr>
          <w:spacing w:val="-2"/>
        </w:rPr>
        <w:t xml:space="preserve"> </w:t>
      </w:r>
      <w:r>
        <w:t>Such</w:t>
      </w:r>
      <w:r>
        <w:rPr>
          <w:spacing w:val="-3"/>
        </w:rPr>
        <w:t xml:space="preserve"> </w:t>
      </w:r>
      <w:r>
        <w:t>procedure</w:t>
      </w:r>
      <w:r>
        <w:t>s</w:t>
      </w:r>
      <w:r>
        <w:rPr>
          <w:spacing w:val="-4"/>
        </w:rPr>
        <w:t xml:space="preserve"> </w:t>
      </w:r>
      <w:r>
        <w:t>are</w:t>
      </w:r>
      <w:r>
        <w:rPr>
          <w:spacing w:val="-1"/>
        </w:rPr>
        <w:t xml:space="preserve"> </w:t>
      </w:r>
      <w:r>
        <w:t>referred</w:t>
      </w:r>
      <w:r>
        <w:rPr>
          <w:spacing w:val="-5"/>
        </w:rPr>
        <w:t xml:space="preserve"> </w:t>
      </w:r>
      <w:r>
        <w:t>to</w:t>
      </w:r>
      <w:r>
        <w:rPr>
          <w:spacing w:val="-1"/>
        </w:rPr>
        <w:t xml:space="preserve"> </w:t>
      </w:r>
      <w:r>
        <w:t>as</w:t>
      </w:r>
      <w:r>
        <w:rPr>
          <w:spacing w:val="-2"/>
        </w:rPr>
        <w:t xml:space="preserve"> </w:t>
      </w:r>
      <w:r>
        <w:t>“</w:t>
      </w:r>
      <w:r>
        <w:rPr>
          <w:b/>
        </w:rPr>
        <w:t>gender affirming</w:t>
      </w:r>
      <w:r>
        <w:t>”. Not all transgender people desire to transition medically, due to various medical, social, financial, and/or safety reasons.</w:t>
      </w:r>
    </w:p>
    <w:p w:rsidR="00200FDA" w:rsidRDefault="00200FDA">
      <w:pPr>
        <w:pStyle w:val="BodyText"/>
        <w:spacing w:before="7"/>
        <w:rPr>
          <w:sz w:val="32"/>
        </w:rPr>
      </w:pPr>
    </w:p>
    <w:p w:rsidR="00200FDA" w:rsidRDefault="00F76C4C">
      <w:pPr>
        <w:pStyle w:val="BodyText"/>
        <w:spacing w:before="1" w:line="247" w:lineRule="auto"/>
        <w:ind w:left="429" w:right="419"/>
        <w:jc w:val="both"/>
      </w:pPr>
      <w:r>
        <w:rPr>
          <w:b/>
        </w:rPr>
        <w:t>Transgender</w:t>
      </w:r>
      <w:r>
        <w:rPr>
          <w:b/>
          <w:spacing w:val="-5"/>
        </w:rPr>
        <w:t xml:space="preserve"> </w:t>
      </w:r>
      <w:r>
        <w:rPr>
          <w:b/>
        </w:rPr>
        <w:t>man/FTM/Female-to-male:</w:t>
      </w:r>
      <w:r>
        <w:rPr>
          <w:b/>
          <w:spacing w:val="-6"/>
        </w:rPr>
        <w:t xml:space="preserve"> </w:t>
      </w:r>
      <w:r>
        <w:t>a</w:t>
      </w:r>
      <w:r>
        <w:rPr>
          <w:spacing w:val="-5"/>
        </w:rPr>
        <w:t xml:space="preserve"> </w:t>
      </w:r>
      <w:r>
        <w:t>person</w:t>
      </w:r>
      <w:r>
        <w:rPr>
          <w:spacing w:val="-8"/>
        </w:rPr>
        <w:t xml:space="preserve"> </w:t>
      </w:r>
      <w:r>
        <w:t>who</w:t>
      </w:r>
      <w:r>
        <w:rPr>
          <w:spacing w:val="-4"/>
        </w:rPr>
        <w:t xml:space="preserve"> </w:t>
      </w:r>
      <w:r>
        <w:t>identifies</w:t>
      </w:r>
      <w:r>
        <w:rPr>
          <w:spacing w:val="-5"/>
        </w:rPr>
        <w:t xml:space="preserve"> </w:t>
      </w:r>
      <w:r>
        <w:t>as</w:t>
      </w:r>
      <w:r>
        <w:rPr>
          <w:spacing w:val="-8"/>
        </w:rPr>
        <w:t xml:space="preserve"> </w:t>
      </w:r>
      <w:r>
        <w:t>male,</w:t>
      </w:r>
      <w:r>
        <w:rPr>
          <w:spacing w:val="-5"/>
        </w:rPr>
        <w:t xml:space="preserve"> </w:t>
      </w:r>
      <w:r>
        <w:t>but</w:t>
      </w:r>
      <w:r>
        <w:rPr>
          <w:spacing w:val="-7"/>
        </w:rPr>
        <w:t xml:space="preserve"> </w:t>
      </w:r>
      <w:r>
        <w:t>was</w:t>
      </w:r>
      <w:r>
        <w:rPr>
          <w:spacing w:val="-5"/>
        </w:rPr>
        <w:t xml:space="preserve"> </w:t>
      </w:r>
      <w:r>
        <w:t>assigned</w:t>
      </w:r>
      <w:r>
        <w:rPr>
          <w:spacing w:val="-6"/>
        </w:rPr>
        <w:t xml:space="preserve"> </w:t>
      </w:r>
      <w:r>
        <w:t>female</w:t>
      </w:r>
      <w:r>
        <w:rPr>
          <w:spacing w:val="-5"/>
        </w:rPr>
        <w:t xml:space="preserve"> </w:t>
      </w:r>
      <w:r>
        <w:t xml:space="preserve">at birth. Note that the terms FTM and female-to-male are often used in literature and sometimes used as a self-identification, but should be generally avoided as they can be interpreted as not respecting the validity of someone’s gender identity. A </w:t>
      </w:r>
      <w:r>
        <w:t>“transgender man,” or simply “man,” is the appropriate way to refer to such an individual</w:t>
      </w:r>
    </w:p>
    <w:p w:rsidR="00200FDA" w:rsidRDefault="00200FDA">
      <w:pPr>
        <w:pStyle w:val="BodyText"/>
        <w:spacing w:before="9"/>
        <w:rPr>
          <w:sz w:val="32"/>
        </w:rPr>
      </w:pPr>
    </w:p>
    <w:p w:rsidR="00200FDA" w:rsidRDefault="00F76C4C">
      <w:pPr>
        <w:pStyle w:val="BodyText"/>
        <w:spacing w:line="247" w:lineRule="auto"/>
        <w:ind w:left="424" w:right="421" w:hanging="1"/>
        <w:jc w:val="both"/>
      </w:pPr>
      <w:r>
        <w:rPr>
          <w:b/>
        </w:rPr>
        <w:t>Transgender</w:t>
      </w:r>
      <w:r>
        <w:rPr>
          <w:b/>
          <w:spacing w:val="-7"/>
        </w:rPr>
        <w:t xml:space="preserve"> </w:t>
      </w:r>
      <w:r>
        <w:rPr>
          <w:b/>
        </w:rPr>
        <w:t>woman/MTF/Male-to-female:</w:t>
      </w:r>
      <w:r>
        <w:rPr>
          <w:b/>
          <w:spacing w:val="-9"/>
        </w:rPr>
        <w:t xml:space="preserve"> </w:t>
      </w:r>
      <w:r>
        <w:t>a</w:t>
      </w:r>
      <w:r>
        <w:rPr>
          <w:spacing w:val="-8"/>
        </w:rPr>
        <w:t xml:space="preserve"> </w:t>
      </w:r>
      <w:r>
        <w:t>person</w:t>
      </w:r>
      <w:r>
        <w:rPr>
          <w:spacing w:val="-13"/>
        </w:rPr>
        <w:t xml:space="preserve"> </w:t>
      </w:r>
      <w:r>
        <w:t>who</w:t>
      </w:r>
      <w:r>
        <w:rPr>
          <w:spacing w:val="-6"/>
        </w:rPr>
        <w:t xml:space="preserve"> </w:t>
      </w:r>
      <w:r>
        <w:t>identifies</w:t>
      </w:r>
      <w:r>
        <w:rPr>
          <w:spacing w:val="-9"/>
        </w:rPr>
        <w:t xml:space="preserve"> </w:t>
      </w:r>
      <w:r>
        <w:t>as</w:t>
      </w:r>
      <w:r>
        <w:rPr>
          <w:spacing w:val="-12"/>
        </w:rPr>
        <w:t xml:space="preserve"> </w:t>
      </w:r>
      <w:r>
        <w:t>female,</w:t>
      </w:r>
      <w:r>
        <w:rPr>
          <w:spacing w:val="-7"/>
        </w:rPr>
        <w:t xml:space="preserve"> </w:t>
      </w:r>
      <w:r>
        <w:t>but</w:t>
      </w:r>
      <w:r>
        <w:rPr>
          <w:spacing w:val="-7"/>
        </w:rPr>
        <w:t xml:space="preserve"> </w:t>
      </w:r>
      <w:r>
        <w:t>was</w:t>
      </w:r>
      <w:r>
        <w:rPr>
          <w:spacing w:val="-10"/>
        </w:rPr>
        <w:t xml:space="preserve"> </w:t>
      </w:r>
      <w:r>
        <w:t>assigned</w:t>
      </w:r>
      <w:r>
        <w:rPr>
          <w:spacing w:val="-10"/>
        </w:rPr>
        <w:t xml:space="preserve"> </w:t>
      </w:r>
      <w:r>
        <w:t>male at</w:t>
      </w:r>
      <w:r>
        <w:rPr>
          <w:spacing w:val="-6"/>
        </w:rPr>
        <w:t xml:space="preserve"> </w:t>
      </w:r>
      <w:r>
        <w:t>birth.</w:t>
      </w:r>
      <w:r>
        <w:rPr>
          <w:spacing w:val="-10"/>
        </w:rPr>
        <w:t xml:space="preserve"> </w:t>
      </w:r>
      <w:r>
        <w:t>Note</w:t>
      </w:r>
      <w:r>
        <w:rPr>
          <w:spacing w:val="-8"/>
        </w:rPr>
        <w:t xml:space="preserve"> </w:t>
      </w:r>
      <w:r>
        <w:t>that</w:t>
      </w:r>
      <w:r>
        <w:rPr>
          <w:spacing w:val="-9"/>
        </w:rPr>
        <w:t xml:space="preserve"> </w:t>
      </w:r>
      <w:r>
        <w:t>the</w:t>
      </w:r>
      <w:r>
        <w:rPr>
          <w:spacing w:val="-8"/>
        </w:rPr>
        <w:t xml:space="preserve"> </w:t>
      </w:r>
      <w:r>
        <w:t>terms</w:t>
      </w:r>
      <w:r>
        <w:rPr>
          <w:spacing w:val="-7"/>
        </w:rPr>
        <w:t xml:space="preserve"> </w:t>
      </w:r>
      <w:r>
        <w:t>MTF</w:t>
      </w:r>
      <w:r>
        <w:rPr>
          <w:spacing w:val="-10"/>
        </w:rPr>
        <w:t xml:space="preserve"> </w:t>
      </w:r>
      <w:r>
        <w:t>and</w:t>
      </w:r>
      <w:r>
        <w:rPr>
          <w:spacing w:val="-10"/>
        </w:rPr>
        <w:t xml:space="preserve"> </w:t>
      </w:r>
      <w:r>
        <w:t>male-to-female</w:t>
      </w:r>
      <w:r>
        <w:rPr>
          <w:spacing w:val="-8"/>
        </w:rPr>
        <w:t xml:space="preserve"> </w:t>
      </w:r>
      <w:r>
        <w:t>are</w:t>
      </w:r>
      <w:r>
        <w:rPr>
          <w:spacing w:val="-9"/>
        </w:rPr>
        <w:t xml:space="preserve"> </w:t>
      </w:r>
      <w:r>
        <w:t>often</w:t>
      </w:r>
      <w:r>
        <w:rPr>
          <w:spacing w:val="-7"/>
        </w:rPr>
        <w:t xml:space="preserve"> </w:t>
      </w:r>
      <w:r>
        <w:t>used</w:t>
      </w:r>
      <w:r>
        <w:rPr>
          <w:spacing w:val="-7"/>
        </w:rPr>
        <w:t xml:space="preserve"> </w:t>
      </w:r>
      <w:r>
        <w:t>in</w:t>
      </w:r>
      <w:r>
        <w:rPr>
          <w:spacing w:val="-10"/>
        </w:rPr>
        <w:t xml:space="preserve"> </w:t>
      </w:r>
      <w:r>
        <w:t>literature</w:t>
      </w:r>
      <w:r>
        <w:rPr>
          <w:spacing w:val="-11"/>
        </w:rPr>
        <w:t xml:space="preserve"> </w:t>
      </w:r>
      <w:r>
        <w:t>and</w:t>
      </w:r>
      <w:r>
        <w:rPr>
          <w:spacing w:val="-7"/>
        </w:rPr>
        <w:t xml:space="preserve"> </w:t>
      </w:r>
      <w:r>
        <w:t>sometimes</w:t>
      </w:r>
      <w:r>
        <w:rPr>
          <w:spacing w:val="-9"/>
        </w:rPr>
        <w:t xml:space="preserve"> </w:t>
      </w:r>
      <w:r>
        <w:t>used as</w:t>
      </w:r>
      <w:r>
        <w:rPr>
          <w:spacing w:val="-5"/>
        </w:rPr>
        <w:t xml:space="preserve"> </w:t>
      </w:r>
      <w:r>
        <w:t>self-identification,</w:t>
      </w:r>
      <w:r>
        <w:rPr>
          <w:spacing w:val="-5"/>
        </w:rPr>
        <w:t xml:space="preserve"> </w:t>
      </w:r>
      <w:r>
        <w:t>but</w:t>
      </w:r>
      <w:r>
        <w:rPr>
          <w:spacing w:val="-5"/>
        </w:rPr>
        <w:t xml:space="preserve"> </w:t>
      </w:r>
      <w:r>
        <w:t>should</w:t>
      </w:r>
      <w:r>
        <w:rPr>
          <w:spacing w:val="-6"/>
        </w:rPr>
        <w:t xml:space="preserve"> </w:t>
      </w:r>
      <w:r>
        <w:t>be</w:t>
      </w:r>
      <w:r>
        <w:rPr>
          <w:spacing w:val="-5"/>
        </w:rPr>
        <w:t xml:space="preserve"> </w:t>
      </w:r>
      <w:r>
        <w:t>generally</w:t>
      </w:r>
      <w:r>
        <w:rPr>
          <w:spacing w:val="-4"/>
        </w:rPr>
        <w:t xml:space="preserve"> </w:t>
      </w:r>
      <w:r>
        <w:t>avoided</w:t>
      </w:r>
      <w:r>
        <w:rPr>
          <w:spacing w:val="-8"/>
        </w:rPr>
        <w:t xml:space="preserve"> </w:t>
      </w:r>
      <w:r>
        <w:t>as</w:t>
      </w:r>
      <w:r>
        <w:rPr>
          <w:spacing w:val="-5"/>
        </w:rPr>
        <w:t xml:space="preserve"> </w:t>
      </w:r>
      <w:r>
        <w:t>they</w:t>
      </w:r>
      <w:r>
        <w:rPr>
          <w:spacing w:val="-4"/>
        </w:rPr>
        <w:t xml:space="preserve"> </w:t>
      </w:r>
      <w:r>
        <w:t>can</w:t>
      </w:r>
      <w:r>
        <w:rPr>
          <w:spacing w:val="-6"/>
        </w:rPr>
        <w:t xml:space="preserve"> </w:t>
      </w:r>
      <w:r>
        <w:t>be</w:t>
      </w:r>
      <w:r>
        <w:rPr>
          <w:spacing w:val="-5"/>
        </w:rPr>
        <w:t xml:space="preserve"> </w:t>
      </w:r>
      <w:r>
        <w:t>interpreted</w:t>
      </w:r>
      <w:r>
        <w:rPr>
          <w:spacing w:val="-7"/>
        </w:rPr>
        <w:t xml:space="preserve"> </w:t>
      </w:r>
      <w:r>
        <w:t>as</w:t>
      </w:r>
      <w:r>
        <w:rPr>
          <w:spacing w:val="-5"/>
        </w:rPr>
        <w:t xml:space="preserve"> </w:t>
      </w:r>
      <w:r>
        <w:t>not</w:t>
      </w:r>
      <w:r>
        <w:rPr>
          <w:spacing w:val="-7"/>
        </w:rPr>
        <w:t xml:space="preserve"> </w:t>
      </w:r>
      <w:r>
        <w:t>respecting</w:t>
      </w:r>
      <w:r>
        <w:rPr>
          <w:spacing w:val="-6"/>
        </w:rPr>
        <w:t xml:space="preserve"> </w:t>
      </w:r>
      <w:r>
        <w:t>the validity</w:t>
      </w:r>
      <w:r>
        <w:rPr>
          <w:spacing w:val="-8"/>
        </w:rPr>
        <w:t xml:space="preserve"> </w:t>
      </w:r>
      <w:r>
        <w:t>of</w:t>
      </w:r>
      <w:r>
        <w:rPr>
          <w:spacing w:val="-7"/>
        </w:rPr>
        <w:t xml:space="preserve"> </w:t>
      </w:r>
      <w:r>
        <w:t>someone’s</w:t>
      </w:r>
      <w:r>
        <w:rPr>
          <w:spacing w:val="-7"/>
        </w:rPr>
        <w:t xml:space="preserve"> </w:t>
      </w:r>
      <w:r>
        <w:t>gender</w:t>
      </w:r>
      <w:r>
        <w:rPr>
          <w:spacing w:val="-7"/>
        </w:rPr>
        <w:t xml:space="preserve"> </w:t>
      </w:r>
      <w:r>
        <w:t>identity.</w:t>
      </w:r>
      <w:r>
        <w:rPr>
          <w:spacing w:val="-7"/>
        </w:rPr>
        <w:t xml:space="preserve"> </w:t>
      </w:r>
      <w:r>
        <w:t>A</w:t>
      </w:r>
      <w:r>
        <w:rPr>
          <w:spacing w:val="-10"/>
        </w:rPr>
        <w:t xml:space="preserve"> </w:t>
      </w:r>
      <w:r>
        <w:t>“transgender</w:t>
      </w:r>
      <w:r>
        <w:rPr>
          <w:spacing w:val="-9"/>
        </w:rPr>
        <w:t xml:space="preserve"> </w:t>
      </w:r>
      <w:r>
        <w:t>woman,”</w:t>
      </w:r>
      <w:r>
        <w:rPr>
          <w:spacing w:val="-5"/>
        </w:rPr>
        <w:t xml:space="preserve"> </w:t>
      </w:r>
      <w:r>
        <w:t>or</w:t>
      </w:r>
      <w:r>
        <w:rPr>
          <w:spacing w:val="-7"/>
        </w:rPr>
        <w:t xml:space="preserve"> </w:t>
      </w:r>
      <w:r>
        <w:t>simply</w:t>
      </w:r>
      <w:r>
        <w:rPr>
          <w:spacing w:val="-8"/>
        </w:rPr>
        <w:t xml:space="preserve"> </w:t>
      </w:r>
      <w:r>
        <w:t>“woman,”</w:t>
      </w:r>
      <w:r>
        <w:rPr>
          <w:spacing w:val="-5"/>
        </w:rPr>
        <w:t xml:space="preserve"> </w:t>
      </w:r>
      <w:r>
        <w:t>is</w:t>
      </w:r>
      <w:r>
        <w:rPr>
          <w:spacing w:val="-7"/>
        </w:rPr>
        <w:t xml:space="preserve"> </w:t>
      </w:r>
      <w:r>
        <w:t>the</w:t>
      </w:r>
      <w:r>
        <w:rPr>
          <w:spacing w:val="-6"/>
        </w:rPr>
        <w:t xml:space="preserve"> </w:t>
      </w:r>
      <w:r>
        <w:t>appropriate way to refer to such an individual.</w:t>
      </w:r>
    </w:p>
    <w:p w:rsidR="00200FDA" w:rsidRDefault="00200FDA">
      <w:pPr>
        <w:pStyle w:val="BodyText"/>
        <w:spacing w:before="7"/>
        <w:rPr>
          <w:sz w:val="32"/>
        </w:rPr>
      </w:pPr>
    </w:p>
    <w:p w:rsidR="00200FDA" w:rsidRDefault="00F76C4C">
      <w:pPr>
        <w:pStyle w:val="BodyText"/>
        <w:spacing w:line="247" w:lineRule="auto"/>
        <w:ind w:left="429" w:right="423" w:hanging="5"/>
        <w:jc w:val="both"/>
      </w:pPr>
      <w:r>
        <w:rPr>
          <w:b/>
        </w:rPr>
        <w:t xml:space="preserve">Transphobia: </w:t>
      </w:r>
      <w:r>
        <w:t>fear, hatred, or discriminatory response to a person who is or is perceived to be transgender or gender-nonconforming.</w:t>
      </w:r>
    </w:p>
    <w:p w:rsidR="00200FDA" w:rsidRDefault="00200FDA">
      <w:pPr>
        <w:spacing w:line="247" w:lineRule="auto"/>
        <w:jc w:val="both"/>
        <w:sectPr w:rsidR="00200FDA">
          <w:pgSz w:w="12240" w:h="15840"/>
          <w:pgMar w:top="1260" w:right="1160" w:bottom="1020" w:left="1160" w:header="859" w:footer="836" w:gutter="0"/>
          <w:cols w:space="720"/>
        </w:sectPr>
      </w:pPr>
    </w:p>
    <w:p w:rsidR="00200FDA" w:rsidRDefault="00F76C4C">
      <w:pPr>
        <w:pStyle w:val="BodyText"/>
        <w:spacing w:before="46" w:line="249" w:lineRule="auto"/>
        <w:ind w:left="428" w:right="421" w:hanging="5"/>
        <w:jc w:val="both"/>
      </w:pPr>
      <w:r>
        <w:rPr>
          <w:b/>
        </w:rPr>
        <w:lastRenderedPageBreak/>
        <w:t>Transsexual</w:t>
      </w:r>
      <w:r>
        <w:t>:</w:t>
      </w:r>
      <w:r>
        <w:rPr>
          <w:spacing w:val="-1"/>
        </w:rPr>
        <w:t xml:space="preserve"> </w:t>
      </w:r>
      <w:r>
        <w:t>a</w:t>
      </w:r>
      <w:r>
        <w:rPr>
          <w:spacing w:val="-4"/>
        </w:rPr>
        <w:t xml:space="preserve"> </w:t>
      </w:r>
      <w:r>
        <w:t>term</w:t>
      </w:r>
      <w:r>
        <w:rPr>
          <w:spacing w:val="-3"/>
        </w:rPr>
        <w:t xml:space="preserve"> </w:t>
      </w:r>
      <w:r>
        <w:t>describing</w:t>
      </w:r>
      <w:r>
        <w:rPr>
          <w:spacing w:val="-3"/>
        </w:rPr>
        <w:t xml:space="preserve"> </w:t>
      </w:r>
      <w:r>
        <w:t>someone</w:t>
      </w:r>
      <w:r>
        <w:rPr>
          <w:spacing w:val="-4"/>
        </w:rPr>
        <w:t xml:space="preserve"> </w:t>
      </w:r>
      <w:r>
        <w:t>who</w:t>
      </w:r>
      <w:r>
        <w:rPr>
          <w:spacing w:val="-3"/>
        </w:rPr>
        <w:t xml:space="preserve"> </w:t>
      </w:r>
      <w:r>
        <w:t>undergoes</w:t>
      </w:r>
      <w:r>
        <w:rPr>
          <w:spacing w:val="-4"/>
        </w:rPr>
        <w:t xml:space="preserve"> </w:t>
      </w:r>
      <w:r>
        <w:t>the</w:t>
      </w:r>
      <w:r>
        <w:rPr>
          <w:spacing w:val="-4"/>
        </w:rPr>
        <w:t xml:space="preserve"> </w:t>
      </w:r>
      <w:r>
        <w:t>proc</w:t>
      </w:r>
      <w:r>
        <w:t>ess</w:t>
      </w:r>
      <w:r>
        <w:rPr>
          <w:spacing w:val="-4"/>
        </w:rPr>
        <w:t xml:space="preserve"> </w:t>
      </w:r>
      <w:r>
        <w:t>of</w:t>
      </w:r>
      <w:r>
        <w:rPr>
          <w:spacing w:val="-4"/>
        </w:rPr>
        <w:t xml:space="preserve"> </w:t>
      </w:r>
      <w:r>
        <w:t>changing</w:t>
      </w:r>
      <w:r>
        <w:rPr>
          <w:spacing w:val="-3"/>
        </w:rPr>
        <w:t xml:space="preserve"> </w:t>
      </w:r>
      <w:r>
        <w:t>their</w:t>
      </w:r>
      <w:r>
        <w:rPr>
          <w:spacing w:val="-2"/>
        </w:rPr>
        <w:t xml:space="preserve"> </w:t>
      </w:r>
      <w:r>
        <w:t>birth-</w:t>
      </w:r>
      <w:r>
        <w:rPr>
          <w:spacing w:val="-5"/>
        </w:rPr>
        <w:t xml:space="preserve"> </w:t>
      </w:r>
      <w:r>
        <w:t>assigned sex, usually through a medical transition. Today, many consider the term outdated and offensive, preferring to use “transgender” as a more inclusive and affirming term.</w:t>
      </w:r>
    </w:p>
    <w:p w:rsidR="00200FDA" w:rsidRDefault="00200FDA">
      <w:pPr>
        <w:pStyle w:val="BodyText"/>
        <w:spacing w:before="7"/>
        <w:rPr>
          <w:sz w:val="32"/>
        </w:rPr>
      </w:pPr>
    </w:p>
    <w:p w:rsidR="00200FDA" w:rsidRDefault="00F76C4C">
      <w:pPr>
        <w:pStyle w:val="BodyText"/>
        <w:spacing w:line="249" w:lineRule="auto"/>
        <w:ind w:left="428" w:right="421" w:hanging="5"/>
        <w:jc w:val="both"/>
      </w:pPr>
      <w:r>
        <w:rPr>
          <w:b/>
        </w:rPr>
        <w:t>Transvestite</w:t>
      </w:r>
      <w:r>
        <w:t>:</w:t>
      </w:r>
      <w:r>
        <w:rPr>
          <w:spacing w:val="-8"/>
        </w:rPr>
        <w:t xml:space="preserve"> </w:t>
      </w:r>
      <w:r>
        <w:t>outdated</w:t>
      </w:r>
      <w:r>
        <w:rPr>
          <w:spacing w:val="-7"/>
        </w:rPr>
        <w:t xml:space="preserve"> </w:t>
      </w:r>
      <w:r>
        <w:t>term</w:t>
      </w:r>
      <w:r>
        <w:rPr>
          <w:spacing w:val="-5"/>
        </w:rPr>
        <w:t xml:space="preserve"> </w:t>
      </w:r>
      <w:r>
        <w:t>to</w:t>
      </w:r>
      <w:r>
        <w:rPr>
          <w:spacing w:val="-5"/>
        </w:rPr>
        <w:t xml:space="preserve"> </w:t>
      </w:r>
      <w:r>
        <w:t>describe</w:t>
      </w:r>
      <w:r>
        <w:rPr>
          <w:spacing w:val="-6"/>
        </w:rPr>
        <w:t xml:space="preserve"> </w:t>
      </w:r>
      <w:r>
        <w:t>someone</w:t>
      </w:r>
      <w:r>
        <w:rPr>
          <w:spacing w:val="-8"/>
        </w:rPr>
        <w:t xml:space="preserve"> </w:t>
      </w:r>
      <w:r>
        <w:t>who</w:t>
      </w:r>
      <w:r>
        <w:rPr>
          <w:spacing w:val="-5"/>
        </w:rPr>
        <w:t xml:space="preserve"> </w:t>
      </w:r>
      <w:r>
        <w:t>wears</w:t>
      </w:r>
      <w:r>
        <w:rPr>
          <w:spacing w:val="-7"/>
        </w:rPr>
        <w:t xml:space="preserve"> </w:t>
      </w:r>
      <w:r>
        <w:t>the</w:t>
      </w:r>
      <w:r>
        <w:rPr>
          <w:spacing w:val="-6"/>
        </w:rPr>
        <w:t xml:space="preserve"> </w:t>
      </w:r>
      <w:r>
        <w:t>clothes</w:t>
      </w:r>
      <w:r>
        <w:rPr>
          <w:spacing w:val="-7"/>
        </w:rPr>
        <w:t xml:space="preserve"> </w:t>
      </w:r>
      <w:r>
        <w:t>of</w:t>
      </w:r>
      <w:r>
        <w:rPr>
          <w:spacing w:val="-7"/>
        </w:rPr>
        <w:t xml:space="preserve"> </w:t>
      </w:r>
      <w:r>
        <w:t>the</w:t>
      </w:r>
      <w:r>
        <w:rPr>
          <w:spacing w:val="-6"/>
        </w:rPr>
        <w:t xml:space="preserve"> </w:t>
      </w:r>
      <w:r>
        <w:t>“opposite”</w:t>
      </w:r>
      <w:r>
        <w:rPr>
          <w:spacing w:val="-5"/>
        </w:rPr>
        <w:t xml:space="preserve"> </w:t>
      </w:r>
      <w:r>
        <w:t>sex.</w:t>
      </w:r>
      <w:r>
        <w:rPr>
          <w:spacing w:val="-7"/>
        </w:rPr>
        <w:t xml:space="preserve"> </w:t>
      </w:r>
      <w:r>
        <w:t>Cross- dresser is currently the preferred term.</w:t>
      </w:r>
    </w:p>
    <w:p w:rsidR="00200FDA" w:rsidRDefault="00200FDA">
      <w:pPr>
        <w:spacing w:line="249" w:lineRule="auto"/>
        <w:jc w:val="both"/>
        <w:sectPr w:rsidR="00200FDA">
          <w:pgSz w:w="12240" w:h="15840"/>
          <w:pgMar w:top="1260" w:right="1160" w:bottom="1060" w:left="1160" w:header="859" w:footer="836" w:gutter="0"/>
          <w:cols w:space="720"/>
        </w:sectPr>
      </w:pPr>
    </w:p>
    <w:p w:rsidR="00200FDA" w:rsidRDefault="00200FDA">
      <w:pPr>
        <w:pStyle w:val="BodyText"/>
        <w:rPr>
          <w:sz w:val="20"/>
        </w:rPr>
      </w:pPr>
    </w:p>
    <w:p w:rsidR="00200FDA" w:rsidRDefault="00200FDA">
      <w:pPr>
        <w:pStyle w:val="BodyText"/>
        <w:spacing w:before="8"/>
        <w:rPr>
          <w:sz w:val="23"/>
        </w:rPr>
      </w:pPr>
    </w:p>
    <w:p w:rsidR="00200FDA" w:rsidRDefault="00F76C4C">
      <w:pPr>
        <w:spacing w:before="35"/>
        <w:ind w:left="280"/>
        <w:rPr>
          <w:sz w:val="32"/>
        </w:rPr>
      </w:pPr>
      <w:r>
        <w:pict>
          <v:rect id="docshape648" o:spid="_x0000_s1028" style="position:absolute;left:0;text-align:left;margin-left:70.55pt;margin-top:22.25pt;width:470.9pt;height:.5pt;z-index:-15590912;mso-wrap-distance-left:0;mso-wrap-distance-right:0;mso-position-horizontal-relative:page" fillcolor="#4f81bc" stroked="f">
            <w10:wrap type="topAndBottom" anchorx="page"/>
          </v:rect>
        </w:pict>
      </w:r>
      <w:bookmarkStart w:id="1201" w:name="Member_List_for_FY24_Rec_Report.pdf"/>
      <w:bookmarkStart w:id="1202" w:name="Appendix_B:_FY_2024_Commission_Member_Li"/>
      <w:bookmarkStart w:id="1203" w:name="_bookmark924"/>
      <w:bookmarkEnd w:id="1201"/>
      <w:bookmarkEnd w:id="1202"/>
      <w:bookmarkEnd w:id="1203"/>
      <w:r>
        <w:rPr>
          <w:color w:val="365F91"/>
          <w:sz w:val="32"/>
        </w:rPr>
        <w:t>Appendix</w:t>
      </w:r>
      <w:r>
        <w:rPr>
          <w:color w:val="365F91"/>
          <w:spacing w:val="-9"/>
          <w:sz w:val="32"/>
        </w:rPr>
        <w:t xml:space="preserve"> </w:t>
      </w:r>
      <w:r>
        <w:rPr>
          <w:color w:val="365F91"/>
          <w:sz w:val="32"/>
        </w:rPr>
        <w:t>B:</w:t>
      </w:r>
      <w:r>
        <w:rPr>
          <w:color w:val="365F91"/>
          <w:spacing w:val="-9"/>
          <w:sz w:val="32"/>
        </w:rPr>
        <w:t xml:space="preserve"> </w:t>
      </w:r>
      <w:r>
        <w:rPr>
          <w:color w:val="365F91"/>
          <w:sz w:val="32"/>
        </w:rPr>
        <w:t>FY</w:t>
      </w:r>
      <w:r>
        <w:rPr>
          <w:color w:val="365F91"/>
          <w:spacing w:val="-7"/>
          <w:sz w:val="32"/>
        </w:rPr>
        <w:t xml:space="preserve"> </w:t>
      </w:r>
      <w:r>
        <w:rPr>
          <w:color w:val="365F91"/>
          <w:sz w:val="32"/>
        </w:rPr>
        <w:t>2024</w:t>
      </w:r>
      <w:r>
        <w:rPr>
          <w:color w:val="365F91"/>
          <w:spacing w:val="-10"/>
          <w:sz w:val="32"/>
        </w:rPr>
        <w:t xml:space="preserve"> </w:t>
      </w:r>
      <w:r>
        <w:rPr>
          <w:color w:val="365F91"/>
          <w:sz w:val="32"/>
        </w:rPr>
        <w:t>Commission</w:t>
      </w:r>
      <w:r>
        <w:rPr>
          <w:color w:val="365F91"/>
          <w:spacing w:val="-9"/>
          <w:sz w:val="32"/>
        </w:rPr>
        <w:t xml:space="preserve"> </w:t>
      </w:r>
      <w:r>
        <w:rPr>
          <w:color w:val="365F91"/>
          <w:sz w:val="32"/>
        </w:rPr>
        <w:t>Member</w:t>
      </w:r>
      <w:r>
        <w:rPr>
          <w:color w:val="365F91"/>
          <w:spacing w:val="-9"/>
          <w:sz w:val="32"/>
        </w:rPr>
        <w:t xml:space="preserve"> </w:t>
      </w:r>
      <w:r>
        <w:rPr>
          <w:color w:val="365F91"/>
          <w:spacing w:val="-4"/>
          <w:sz w:val="32"/>
        </w:rPr>
        <w:t>List</w:t>
      </w:r>
    </w:p>
    <w:p w:rsidR="00200FDA" w:rsidRDefault="00200FDA">
      <w:pPr>
        <w:pStyle w:val="BodyText"/>
        <w:spacing w:before="2"/>
        <w:rPr>
          <w:sz w:val="16"/>
        </w:rPr>
      </w:pPr>
    </w:p>
    <w:p w:rsidR="00200FDA" w:rsidRDefault="00200FDA">
      <w:pPr>
        <w:rPr>
          <w:sz w:val="16"/>
        </w:rPr>
        <w:sectPr w:rsidR="00200FDA">
          <w:headerReference w:type="default" r:id="rId883"/>
          <w:footerReference w:type="default" r:id="rId884"/>
          <w:pgSz w:w="12240" w:h="15840"/>
          <w:pgMar w:top="1260" w:right="1160" w:bottom="280" w:left="1160" w:header="761" w:footer="0" w:gutter="0"/>
          <w:cols w:space="720"/>
        </w:sectPr>
      </w:pPr>
    </w:p>
    <w:p w:rsidR="00200FDA" w:rsidRDefault="00F76C4C">
      <w:pPr>
        <w:pStyle w:val="Heading9"/>
        <w:spacing w:before="70"/>
        <w:ind w:left="280"/>
      </w:pPr>
      <w:bookmarkStart w:id="1204" w:name="ELECTED_MEMBERS"/>
      <w:bookmarkEnd w:id="1204"/>
      <w:r>
        <w:t>ELECTED</w:t>
      </w:r>
      <w:r>
        <w:rPr>
          <w:spacing w:val="-3"/>
        </w:rPr>
        <w:t xml:space="preserve"> </w:t>
      </w:r>
      <w:r>
        <w:rPr>
          <w:spacing w:val="-2"/>
        </w:rPr>
        <w:t>MEMBERS</w:t>
      </w:r>
    </w:p>
    <w:p w:rsidR="00200FDA" w:rsidRDefault="00200FDA">
      <w:pPr>
        <w:pStyle w:val="BodyText"/>
        <w:spacing w:before="11"/>
        <w:rPr>
          <w:b/>
          <w:sz w:val="20"/>
        </w:rPr>
      </w:pPr>
    </w:p>
    <w:p w:rsidR="00200FDA" w:rsidRDefault="00F76C4C">
      <w:pPr>
        <w:ind w:left="280" w:right="2592"/>
        <w:rPr>
          <w:sz w:val="21"/>
        </w:rPr>
      </w:pPr>
      <w:r>
        <w:rPr>
          <w:sz w:val="21"/>
        </w:rPr>
        <w:t>Alyssa</w:t>
      </w:r>
      <w:r>
        <w:rPr>
          <w:spacing w:val="-12"/>
          <w:sz w:val="21"/>
        </w:rPr>
        <w:t xml:space="preserve"> </w:t>
      </w:r>
      <w:r>
        <w:rPr>
          <w:sz w:val="21"/>
        </w:rPr>
        <w:t>Rayman-Read Amanda Shabowich Amy Zhou</w:t>
      </w:r>
    </w:p>
    <w:p w:rsidR="00200FDA" w:rsidRDefault="00F76C4C">
      <w:pPr>
        <w:spacing w:before="1"/>
        <w:ind w:left="280" w:right="2793"/>
        <w:rPr>
          <w:sz w:val="21"/>
        </w:rPr>
      </w:pPr>
      <w:r>
        <w:rPr>
          <w:sz w:val="21"/>
        </w:rPr>
        <w:t>Avery Selk Bethany</w:t>
      </w:r>
      <w:r>
        <w:rPr>
          <w:spacing w:val="-12"/>
          <w:sz w:val="21"/>
        </w:rPr>
        <w:t xml:space="preserve"> </w:t>
      </w:r>
      <w:r>
        <w:rPr>
          <w:sz w:val="21"/>
        </w:rPr>
        <w:t>M</w:t>
      </w:r>
      <w:r>
        <w:rPr>
          <w:spacing w:val="-12"/>
          <w:sz w:val="21"/>
        </w:rPr>
        <w:t xml:space="preserve"> </w:t>
      </w:r>
      <w:r>
        <w:rPr>
          <w:sz w:val="21"/>
        </w:rPr>
        <w:t>Allen</w:t>
      </w:r>
    </w:p>
    <w:p w:rsidR="00200FDA" w:rsidRDefault="00F76C4C">
      <w:pPr>
        <w:ind w:left="280" w:right="1934"/>
        <w:rPr>
          <w:sz w:val="21"/>
        </w:rPr>
      </w:pPr>
      <w:r>
        <w:rPr>
          <w:sz w:val="21"/>
        </w:rPr>
        <w:t>Lezlie</w:t>
      </w:r>
      <w:r>
        <w:rPr>
          <w:spacing w:val="-12"/>
          <w:sz w:val="21"/>
        </w:rPr>
        <w:t xml:space="preserve"> </w:t>
      </w:r>
      <w:r>
        <w:rPr>
          <w:sz w:val="21"/>
        </w:rPr>
        <w:t>Braxton</w:t>
      </w:r>
      <w:r>
        <w:rPr>
          <w:spacing w:val="-12"/>
          <w:sz w:val="21"/>
        </w:rPr>
        <w:t xml:space="preserve"> </w:t>
      </w:r>
      <w:r>
        <w:rPr>
          <w:sz w:val="21"/>
        </w:rPr>
        <w:t>Campbell Chris Martinez</w:t>
      </w:r>
    </w:p>
    <w:p w:rsidR="00200FDA" w:rsidRDefault="00F76C4C">
      <w:pPr>
        <w:ind w:left="280" w:right="2592"/>
        <w:rPr>
          <w:sz w:val="21"/>
        </w:rPr>
      </w:pPr>
      <w:r>
        <w:rPr>
          <w:sz w:val="21"/>
        </w:rPr>
        <w:t>Clarence</w:t>
      </w:r>
      <w:r>
        <w:rPr>
          <w:spacing w:val="-12"/>
          <w:sz w:val="21"/>
        </w:rPr>
        <w:t xml:space="preserve"> </w:t>
      </w:r>
      <w:r>
        <w:rPr>
          <w:sz w:val="21"/>
        </w:rPr>
        <w:t>Morse</w:t>
      </w:r>
      <w:r>
        <w:rPr>
          <w:spacing w:val="-12"/>
          <w:sz w:val="21"/>
        </w:rPr>
        <w:t xml:space="preserve"> </w:t>
      </w:r>
      <w:r>
        <w:rPr>
          <w:sz w:val="21"/>
        </w:rPr>
        <w:t>Jr. Courtney Chelo</w:t>
      </w:r>
    </w:p>
    <w:p w:rsidR="00200FDA" w:rsidRDefault="00F76C4C">
      <w:pPr>
        <w:spacing w:before="1"/>
        <w:ind w:left="280" w:right="1934" w:hanging="1"/>
        <w:rPr>
          <w:sz w:val="21"/>
        </w:rPr>
      </w:pPr>
      <w:r>
        <w:rPr>
          <w:sz w:val="21"/>
        </w:rPr>
        <w:t>Craig</w:t>
      </w:r>
      <w:r>
        <w:rPr>
          <w:spacing w:val="-12"/>
          <w:sz w:val="21"/>
        </w:rPr>
        <w:t xml:space="preserve"> </w:t>
      </w:r>
      <w:r>
        <w:rPr>
          <w:sz w:val="21"/>
        </w:rPr>
        <w:t>C</w:t>
      </w:r>
      <w:r>
        <w:rPr>
          <w:spacing w:val="-12"/>
          <w:sz w:val="21"/>
        </w:rPr>
        <w:t xml:space="preserve"> </w:t>
      </w:r>
      <w:r>
        <w:rPr>
          <w:sz w:val="21"/>
        </w:rPr>
        <w:t>Martin</w:t>
      </w:r>
      <w:r>
        <w:rPr>
          <w:spacing w:val="-11"/>
          <w:sz w:val="21"/>
        </w:rPr>
        <w:t xml:space="preserve"> </w:t>
      </w:r>
      <w:r>
        <w:rPr>
          <w:sz w:val="21"/>
        </w:rPr>
        <w:t>(Co-Chair) Cristian Morales</w:t>
      </w:r>
    </w:p>
    <w:p w:rsidR="00200FDA" w:rsidRDefault="00F76C4C">
      <w:pPr>
        <w:ind w:left="280" w:right="2981"/>
        <w:rPr>
          <w:sz w:val="21"/>
        </w:rPr>
      </w:pPr>
      <w:r>
        <w:rPr>
          <w:sz w:val="21"/>
        </w:rPr>
        <w:t>Defne Olgun Eunice</w:t>
      </w:r>
      <w:r>
        <w:rPr>
          <w:spacing w:val="-12"/>
          <w:sz w:val="21"/>
        </w:rPr>
        <w:t xml:space="preserve"> </w:t>
      </w:r>
      <w:r>
        <w:rPr>
          <w:sz w:val="21"/>
        </w:rPr>
        <w:t>Innocent Frankie Walsh Mason J. Dunn</w:t>
      </w:r>
    </w:p>
    <w:p w:rsidR="00200FDA" w:rsidRDefault="00F76C4C">
      <w:pPr>
        <w:ind w:left="280" w:right="1934"/>
        <w:rPr>
          <w:sz w:val="21"/>
        </w:rPr>
      </w:pPr>
      <w:r>
        <w:rPr>
          <w:sz w:val="21"/>
        </w:rPr>
        <w:t>Monica</w:t>
      </w:r>
      <w:r>
        <w:rPr>
          <w:spacing w:val="-12"/>
          <w:sz w:val="21"/>
        </w:rPr>
        <w:t xml:space="preserve"> </w:t>
      </w:r>
      <w:r>
        <w:rPr>
          <w:sz w:val="21"/>
        </w:rPr>
        <w:t>Johnson</w:t>
      </w:r>
      <w:r>
        <w:rPr>
          <w:spacing w:val="-12"/>
          <w:sz w:val="21"/>
        </w:rPr>
        <w:t xml:space="preserve"> </w:t>
      </w:r>
      <w:r>
        <w:rPr>
          <w:sz w:val="21"/>
        </w:rPr>
        <w:t>(Vice</w:t>
      </w:r>
      <w:r>
        <w:rPr>
          <w:spacing w:val="-12"/>
          <w:sz w:val="21"/>
        </w:rPr>
        <w:t xml:space="preserve"> </w:t>
      </w:r>
      <w:r>
        <w:rPr>
          <w:sz w:val="21"/>
        </w:rPr>
        <w:t>Chair) Muhammad Salman Khan Noemi Ur</w:t>
      </w:r>
      <w:r>
        <w:rPr>
          <w:sz w:val="21"/>
        </w:rPr>
        <w:t>ibe (Co-Chair)</w:t>
      </w:r>
    </w:p>
    <w:p w:rsidR="00200FDA" w:rsidRDefault="00F76C4C">
      <w:pPr>
        <w:ind w:left="280" w:right="3031"/>
        <w:rPr>
          <w:sz w:val="21"/>
        </w:rPr>
      </w:pPr>
      <w:r>
        <w:rPr>
          <w:sz w:val="21"/>
        </w:rPr>
        <w:t>Olly Kelly Paulette</w:t>
      </w:r>
      <w:r>
        <w:rPr>
          <w:spacing w:val="-12"/>
          <w:sz w:val="21"/>
        </w:rPr>
        <w:t xml:space="preserve"> </w:t>
      </w:r>
      <w:r>
        <w:rPr>
          <w:sz w:val="21"/>
        </w:rPr>
        <w:t>Piñero Ray Winig Stacey Lee</w:t>
      </w:r>
    </w:p>
    <w:p w:rsidR="00200FDA" w:rsidRDefault="00200FDA">
      <w:pPr>
        <w:pStyle w:val="BodyText"/>
        <w:spacing w:before="12"/>
        <w:rPr>
          <w:sz w:val="20"/>
        </w:rPr>
      </w:pPr>
    </w:p>
    <w:p w:rsidR="00200FDA" w:rsidRDefault="00F76C4C">
      <w:pPr>
        <w:ind w:left="280"/>
        <w:rPr>
          <w:b/>
          <w:sz w:val="21"/>
        </w:rPr>
      </w:pPr>
      <w:r>
        <w:rPr>
          <w:b/>
          <w:sz w:val="21"/>
        </w:rPr>
        <w:t>APPOINTED</w:t>
      </w:r>
      <w:r>
        <w:rPr>
          <w:b/>
          <w:spacing w:val="-7"/>
          <w:sz w:val="21"/>
        </w:rPr>
        <w:t xml:space="preserve"> </w:t>
      </w:r>
      <w:r>
        <w:rPr>
          <w:b/>
          <w:spacing w:val="-2"/>
          <w:sz w:val="21"/>
        </w:rPr>
        <w:t>MEMBERS</w:t>
      </w:r>
    </w:p>
    <w:p w:rsidR="00200FDA" w:rsidRDefault="00200FDA">
      <w:pPr>
        <w:pStyle w:val="BodyText"/>
        <w:spacing w:before="12"/>
        <w:rPr>
          <w:b/>
          <w:sz w:val="21"/>
        </w:rPr>
      </w:pPr>
    </w:p>
    <w:p w:rsidR="00200FDA" w:rsidRDefault="00F76C4C">
      <w:pPr>
        <w:pStyle w:val="BodyText"/>
        <w:ind w:left="280"/>
      </w:pPr>
      <w:bookmarkStart w:id="1205" w:name="American_Academy_of_Pediatrics,_Massachu"/>
      <w:bookmarkEnd w:id="1205"/>
      <w:r>
        <w:rPr>
          <w:color w:val="212121"/>
          <w:u w:val="single" w:color="212121"/>
        </w:rPr>
        <w:t>American</w:t>
      </w:r>
      <w:r>
        <w:rPr>
          <w:color w:val="212121"/>
          <w:spacing w:val="-10"/>
          <w:u w:val="single" w:color="212121"/>
        </w:rPr>
        <w:t xml:space="preserve"> </w:t>
      </w:r>
      <w:r>
        <w:rPr>
          <w:color w:val="212121"/>
          <w:u w:val="single" w:color="212121"/>
        </w:rPr>
        <w:t>Academy</w:t>
      </w:r>
      <w:r>
        <w:rPr>
          <w:color w:val="212121"/>
          <w:spacing w:val="-8"/>
          <w:u w:val="single" w:color="212121"/>
        </w:rPr>
        <w:t xml:space="preserve"> </w:t>
      </w:r>
      <w:r>
        <w:rPr>
          <w:color w:val="212121"/>
          <w:u w:val="single" w:color="212121"/>
        </w:rPr>
        <w:t>of</w:t>
      </w:r>
      <w:r>
        <w:rPr>
          <w:color w:val="212121"/>
          <w:spacing w:val="-9"/>
          <w:u w:val="single" w:color="212121"/>
        </w:rPr>
        <w:t xml:space="preserve"> </w:t>
      </w:r>
      <w:r>
        <w:rPr>
          <w:color w:val="212121"/>
          <w:u w:val="single" w:color="212121"/>
        </w:rPr>
        <w:t>Pediatrics,</w:t>
      </w:r>
      <w:r>
        <w:rPr>
          <w:color w:val="212121"/>
          <w:spacing w:val="-9"/>
          <w:u w:val="single" w:color="212121"/>
        </w:rPr>
        <w:t xml:space="preserve"> </w:t>
      </w:r>
      <w:r>
        <w:rPr>
          <w:color w:val="212121"/>
          <w:u w:val="single" w:color="212121"/>
        </w:rPr>
        <w:t>Massachusetts</w:t>
      </w:r>
      <w:r>
        <w:rPr>
          <w:color w:val="212121"/>
        </w:rPr>
        <w:t xml:space="preserve"> </w:t>
      </w:r>
      <w:r>
        <w:rPr>
          <w:color w:val="212121"/>
          <w:spacing w:val="-2"/>
          <w:u w:val="single" w:color="212121"/>
        </w:rPr>
        <w:t>Chapter</w:t>
      </w:r>
    </w:p>
    <w:p w:rsidR="00200FDA" w:rsidRDefault="00200FDA">
      <w:pPr>
        <w:pStyle w:val="BodyText"/>
        <w:spacing w:before="11"/>
        <w:rPr>
          <w:sz w:val="20"/>
        </w:rPr>
      </w:pPr>
    </w:p>
    <w:p w:rsidR="00200FDA" w:rsidRDefault="00F76C4C">
      <w:pPr>
        <w:ind w:left="280" w:right="1934"/>
        <w:rPr>
          <w:sz w:val="21"/>
        </w:rPr>
      </w:pPr>
      <w:r>
        <w:rPr>
          <w:sz w:val="21"/>
        </w:rPr>
        <w:t>Andrew</w:t>
      </w:r>
      <w:r>
        <w:rPr>
          <w:spacing w:val="-12"/>
          <w:sz w:val="21"/>
        </w:rPr>
        <w:t xml:space="preserve"> </w:t>
      </w:r>
      <w:r>
        <w:rPr>
          <w:sz w:val="21"/>
        </w:rPr>
        <w:t>Cronyn,</w:t>
      </w:r>
      <w:r>
        <w:rPr>
          <w:spacing w:val="-12"/>
          <w:sz w:val="21"/>
        </w:rPr>
        <w:t xml:space="preserve"> </w:t>
      </w:r>
      <w:r>
        <w:rPr>
          <w:sz w:val="21"/>
        </w:rPr>
        <w:t>MD,</w:t>
      </w:r>
      <w:r>
        <w:rPr>
          <w:spacing w:val="-11"/>
          <w:sz w:val="21"/>
        </w:rPr>
        <w:t xml:space="preserve"> </w:t>
      </w:r>
      <w:r>
        <w:rPr>
          <w:sz w:val="21"/>
        </w:rPr>
        <w:t>FAAP David P. Norton, MD</w:t>
      </w:r>
    </w:p>
    <w:p w:rsidR="00200FDA" w:rsidRDefault="00F76C4C">
      <w:pPr>
        <w:spacing w:before="1"/>
        <w:ind w:left="280"/>
        <w:rPr>
          <w:sz w:val="21"/>
        </w:rPr>
      </w:pPr>
      <w:r>
        <w:rPr>
          <w:sz w:val="21"/>
        </w:rPr>
        <w:t>Em</w:t>
      </w:r>
      <w:r>
        <w:rPr>
          <w:spacing w:val="-1"/>
          <w:sz w:val="21"/>
        </w:rPr>
        <w:t xml:space="preserve"> </w:t>
      </w:r>
      <w:r>
        <w:rPr>
          <w:spacing w:val="-2"/>
          <w:sz w:val="21"/>
        </w:rPr>
        <w:t>Grybko</w:t>
      </w:r>
    </w:p>
    <w:p w:rsidR="00200FDA" w:rsidRDefault="00200FDA">
      <w:pPr>
        <w:pStyle w:val="BodyText"/>
        <w:spacing w:before="2"/>
        <w:rPr>
          <w:sz w:val="21"/>
        </w:rPr>
      </w:pPr>
    </w:p>
    <w:p w:rsidR="00200FDA" w:rsidRDefault="00F76C4C">
      <w:pPr>
        <w:spacing w:before="1" w:line="237" w:lineRule="auto"/>
        <w:ind w:left="280"/>
        <w:rPr>
          <w:sz w:val="21"/>
        </w:rPr>
      </w:pPr>
      <w:r>
        <w:rPr>
          <w:sz w:val="21"/>
          <w:u w:val="single"/>
        </w:rPr>
        <w:t>American</w:t>
      </w:r>
      <w:r>
        <w:rPr>
          <w:spacing w:val="-11"/>
          <w:sz w:val="21"/>
          <w:u w:val="single"/>
        </w:rPr>
        <w:t xml:space="preserve"> </w:t>
      </w:r>
      <w:r>
        <w:rPr>
          <w:sz w:val="21"/>
          <w:u w:val="single"/>
        </w:rPr>
        <w:t>Federation</w:t>
      </w:r>
      <w:r>
        <w:rPr>
          <w:spacing w:val="-9"/>
          <w:sz w:val="21"/>
          <w:u w:val="single"/>
        </w:rPr>
        <w:t xml:space="preserve"> </w:t>
      </w:r>
      <w:r>
        <w:rPr>
          <w:sz w:val="21"/>
          <w:u w:val="single"/>
        </w:rPr>
        <w:t>of</w:t>
      </w:r>
      <w:r>
        <w:rPr>
          <w:spacing w:val="-9"/>
          <w:sz w:val="21"/>
          <w:u w:val="single"/>
        </w:rPr>
        <w:t xml:space="preserve"> </w:t>
      </w:r>
      <w:r>
        <w:rPr>
          <w:sz w:val="21"/>
          <w:u w:val="single"/>
        </w:rPr>
        <w:t>Teachers</w:t>
      </w:r>
      <w:r>
        <w:rPr>
          <w:spacing w:val="-9"/>
          <w:sz w:val="21"/>
          <w:u w:val="single"/>
        </w:rPr>
        <w:t xml:space="preserve"> </w:t>
      </w:r>
      <w:r>
        <w:rPr>
          <w:sz w:val="21"/>
          <w:u w:val="single"/>
        </w:rPr>
        <w:t>Massachusetts</w:t>
      </w:r>
      <w:r>
        <w:rPr>
          <w:sz w:val="21"/>
        </w:rPr>
        <w:t xml:space="preserve"> Masha Stine</w:t>
      </w:r>
    </w:p>
    <w:p w:rsidR="00200FDA" w:rsidRDefault="00200FDA">
      <w:pPr>
        <w:pStyle w:val="BodyText"/>
        <w:spacing w:before="1"/>
        <w:rPr>
          <w:sz w:val="21"/>
        </w:rPr>
      </w:pPr>
    </w:p>
    <w:p w:rsidR="00200FDA" w:rsidRDefault="00F76C4C">
      <w:pPr>
        <w:spacing w:before="1"/>
        <w:ind w:left="280" w:right="2592"/>
        <w:rPr>
          <w:sz w:val="21"/>
        </w:rPr>
      </w:pPr>
      <w:r>
        <w:rPr>
          <w:sz w:val="21"/>
          <w:u w:val="single"/>
        </w:rPr>
        <w:t>Fenway Health</w:t>
      </w:r>
      <w:r>
        <w:rPr>
          <w:sz w:val="21"/>
        </w:rPr>
        <w:t xml:space="preserve"> Lauren</w:t>
      </w:r>
      <w:r>
        <w:rPr>
          <w:spacing w:val="-12"/>
          <w:sz w:val="21"/>
        </w:rPr>
        <w:t xml:space="preserve"> </w:t>
      </w:r>
      <w:r>
        <w:rPr>
          <w:sz w:val="21"/>
        </w:rPr>
        <w:t>Doty</w:t>
      </w:r>
      <w:r>
        <w:rPr>
          <w:spacing w:val="-12"/>
          <w:sz w:val="21"/>
        </w:rPr>
        <w:t xml:space="preserve"> </w:t>
      </w:r>
      <w:r>
        <w:rPr>
          <w:sz w:val="21"/>
        </w:rPr>
        <w:t>Brown</w:t>
      </w:r>
    </w:p>
    <w:p w:rsidR="00200FDA" w:rsidRDefault="00F76C4C">
      <w:pPr>
        <w:spacing w:before="58"/>
        <w:ind w:left="280"/>
        <w:rPr>
          <w:sz w:val="21"/>
        </w:rPr>
      </w:pPr>
      <w:r>
        <w:br w:type="column"/>
      </w:r>
      <w:r>
        <w:rPr>
          <w:sz w:val="21"/>
        </w:rPr>
        <w:t>Matthew</w:t>
      </w:r>
      <w:r>
        <w:rPr>
          <w:spacing w:val="-7"/>
          <w:sz w:val="21"/>
        </w:rPr>
        <w:t xml:space="preserve"> </w:t>
      </w:r>
      <w:r>
        <w:rPr>
          <w:spacing w:val="-2"/>
          <w:sz w:val="21"/>
        </w:rPr>
        <w:t>Palmer</w:t>
      </w:r>
    </w:p>
    <w:p w:rsidR="00200FDA" w:rsidRDefault="00200FDA">
      <w:pPr>
        <w:pStyle w:val="BodyText"/>
        <w:spacing w:before="11"/>
        <w:rPr>
          <w:sz w:val="20"/>
        </w:rPr>
      </w:pPr>
    </w:p>
    <w:p w:rsidR="00200FDA" w:rsidRDefault="00F76C4C">
      <w:pPr>
        <w:ind w:left="280" w:right="2726" w:hanging="1"/>
        <w:rPr>
          <w:sz w:val="21"/>
        </w:rPr>
      </w:pPr>
      <w:r>
        <w:rPr>
          <w:sz w:val="21"/>
          <w:u w:val="single"/>
        </w:rPr>
        <w:t>GLSEN</w:t>
      </w:r>
      <w:r>
        <w:rPr>
          <w:spacing w:val="-12"/>
          <w:sz w:val="21"/>
          <w:u w:val="single"/>
        </w:rPr>
        <w:t xml:space="preserve"> </w:t>
      </w:r>
      <w:r>
        <w:rPr>
          <w:sz w:val="21"/>
          <w:u w:val="single"/>
        </w:rPr>
        <w:t>Massachusetts</w:t>
      </w:r>
      <w:r>
        <w:rPr>
          <w:sz w:val="21"/>
        </w:rPr>
        <w:t xml:space="preserve"> Carm Chamblain</w:t>
      </w:r>
    </w:p>
    <w:p w:rsidR="00200FDA" w:rsidRDefault="00F76C4C">
      <w:pPr>
        <w:spacing w:before="1"/>
        <w:ind w:left="280"/>
        <w:rPr>
          <w:sz w:val="21"/>
        </w:rPr>
      </w:pPr>
      <w:r>
        <w:rPr>
          <w:sz w:val="21"/>
        </w:rPr>
        <w:t>Kelly</w:t>
      </w:r>
      <w:r>
        <w:rPr>
          <w:spacing w:val="-2"/>
          <w:sz w:val="21"/>
        </w:rPr>
        <w:t xml:space="preserve"> Simon</w:t>
      </w:r>
    </w:p>
    <w:p w:rsidR="00200FDA" w:rsidRDefault="00200FDA">
      <w:pPr>
        <w:pStyle w:val="BodyText"/>
        <w:spacing w:before="11"/>
        <w:rPr>
          <w:sz w:val="20"/>
        </w:rPr>
      </w:pPr>
    </w:p>
    <w:p w:rsidR="00200FDA" w:rsidRDefault="00F76C4C">
      <w:pPr>
        <w:ind w:left="280" w:right="2696"/>
        <w:jc w:val="both"/>
        <w:rPr>
          <w:sz w:val="21"/>
        </w:rPr>
      </w:pPr>
      <w:r>
        <w:rPr>
          <w:sz w:val="21"/>
          <w:u w:val="single"/>
        </w:rPr>
        <w:t>Greater</w:t>
      </w:r>
      <w:r>
        <w:rPr>
          <w:spacing w:val="-12"/>
          <w:sz w:val="21"/>
          <w:u w:val="single"/>
        </w:rPr>
        <w:t xml:space="preserve"> </w:t>
      </w:r>
      <w:r>
        <w:rPr>
          <w:sz w:val="21"/>
          <w:u w:val="single"/>
        </w:rPr>
        <w:t>Boston</w:t>
      </w:r>
      <w:r>
        <w:rPr>
          <w:spacing w:val="-12"/>
          <w:sz w:val="21"/>
          <w:u w:val="single"/>
        </w:rPr>
        <w:t xml:space="preserve"> </w:t>
      </w:r>
      <w:r>
        <w:rPr>
          <w:sz w:val="21"/>
          <w:u w:val="single"/>
        </w:rPr>
        <w:t>PFLAG</w:t>
      </w:r>
      <w:r>
        <w:rPr>
          <w:sz w:val="21"/>
        </w:rPr>
        <w:t xml:space="preserve"> Aude Henin</w:t>
      </w:r>
    </w:p>
    <w:p w:rsidR="00200FDA" w:rsidRDefault="00F76C4C">
      <w:pPr>
        <w:spacing w:before="1"/>
        <w:ind w:left="280" w:right="3412"/>
        <w:jc w:val="both"/>
        <w:rPr>
          <w:sz w:val="21"/>
        </w:rPr>
      </w:pPr>
      <w:r>
        <w:rPr>
          <w:sz w:val="21"/>
        </w:rPr>
        <w:t>Julia</w:t>
      </w:r>
      <w:r>
        <w:rPr>
          <w:spacing w:val="-12"/>
          <w:sz w:val="21"/>
        </w:rPr>
        <w:t xml:space="preserve"> </w:t>
      </w:r>
      <w:r>
        <w:rPr>
          <w:sz w:val="21"/>
        </w:rPr>
        <w:t>M.</w:t>
      </w:r>
      <w:r>
        <w:rPr>
          <w:spacing w:val="-12"/>
          <w:sz w:val="21"/>
        </w:rPr>
        <w:t xml:space="preserve"> </w:t>
      </w:r>
      <w:r>
        <w:rPr>
          <w:sz w:val="21"/>
        </w:rPr>
        <w:t>Paget Rebecca Bact René Rives</w:t>
      </w:r>
    </w:p>
    <w:p w:rsidR="00200FDA" w:rsidRDefault="00200FDA">
      <w:pPr>
        <w:pStyle w:val="BodyText"/>
        <w:spacing w:before="11"/>
        <w:rPr>
          <w:sz w:val="20"/>
        </w:rPr>
      </w:pPr>
    </w:p>
    <w:p w:rsidR="00200FDA" w:rsidRDefault="00F76C4C">
      <w:pPr>
        <w:ind w:left="280" w:right="543"/>
        <w:rPr>
          <w:sz w:val="21"/>
        </w:rPr>
      </w:pPr>
      <w:r>
        <w:rPr>
          <w:sz w:val="21"/>
          <w:u w:val="single"/>
        </w:rPr>
        <w:t>Massachusetts</w:t>
      </w:r>
      <w:r>
        <w:rPr>
          <w:spacing w:val="-12"/>
          <w:sz w:val="21"/>
          <w:u w:val="single"/>
        </w:rPr>
        <w:t xml:space="preserve"> </w:t>
      </w:r>
      <w:r>
        <w:rPr>
          <w:sz w:val="21"/>
          <w:u w:val="single"/>
        </w:rPr>
        <w:t>Association</w:t>
      </w:r>
      <w:r>
        <w:rPr>
          <w:spacing w:val="-12"/>
          <w:sz w:val="21"/>
          <w:u w:val="single"/>
        </w:rPr>
        <w:t xml:space="preserve"> </w:t>
      </w:r>
      <w:r>
        <w:rPr>
          <w:sz w:val="21"/>
          <w:u w:val="single"/>
        </w:rPr>
        <w:t>of</w:t>
      </w:r>
      <w:r>
        <w:rPr>
          <w:spacing w:val="-12"/>
          <w:sz w:val="21"/>
          <w:u w:val="single"/>
        </w:rPr>
        <w:t xml:space="preserve"> </w:t>
      </w:r>
      <w:r>
        <w:rPr>
          <w:sz w:val="21"/>
          <w:u w:val="single"/>
        </w:rPr>
        <w:t>School</w:t>
      </w:r>
      <w:r>
        <w:rPr>
          <w:sz w:val="21"/>
        </w:rPr>
        <w:t xml:space="preserve"> </w:t>
      </w:r>
      <w:r>
        <w:rPr>
          <w:spacing w:val="-2"/>
          <w:sz w:val="21"/>
          <w:u w:val="single"/>
        </w:rPr>
        <w:t>Superintendents</w:t>
      </w:r>
    </w:p>
    <w:p w:rsidR="00200FDA" w:rsidRDefault="00F76C4C">
      <w:pPr>
        <w:spacing w:before="1"/>
        <w:ind w:left="280" w:right="2775"/>
        <w:rPr>
          <w:sz w:val="21"/>
        </w:rPr>
      </w:pPr>
      <w:r>
        <w:rPr>
          <w:sz w:val="21"/>
        </w:rPr>
        <w:t>Sara</w:t>
      </w:r>
      <w:r>
        <w:rPr>
          <w:spacing w:val="-12"/>
          <w:sz w:val="21"/>
        </w:rPr>
        <w:t xml:space="preserve"> </w:t>
      </w:r>
      <w:r>
        <w:rPr>
          <w:sz w:val="21"/>
        </w:rPr>
        <w:t>E.</w:t>
      </w:r>
      <w:r>
        <w:rPr>
          <w:spacing w:val="-12"/>
          <w:sz w:val="21"/>
        </w:rPr>
        <w:t xml:space="preserve"> </w:t>
      </w:r>
      <w:r>
        <w:rPr>
          <w:sz w:val="21"/>
        </w:rPr>
        <w:t>Ahern,</w:t>
      </w:r>
      <w:r>
        <w:rPr>
          <w:spacing w:val="-11"/>
          <w:sz w:val="21"/>
        </w:rPr>
        <w:t xml:space="preserve"> </w:t>
      </w:r>
      <w:r>
        <w:rPr>
          <w:sz w:val="21"/>
        </w:rPr>
        <w:t>Ed.D. Sean Precious Victoria Greer</w:t>
      </w:r>
    </w:p>
    <w:p w:rsidR="00200FDA" w:rsidRDefault="00200FDA">
      <w:pPr>
        <w:pStyle w:val="BodyText"/>
        <w:rPr>
          <w:sz w:val="21"/>
        </w:rPr>
      </w:pPr>
    </w:p>
    <w:p w:rsidR="00200FDA" w:rsidRDefault="00F76C4C">
      <w:pPr>
        <w:ind w:left="280" w:right="185"/>
        <w:rPr>
          <w:sz w:val="21"/>
        </w:rPr>
      </w:pPr>
      <w:r>
        <w:rPr>
          <w:sz w:val="21"/>
          <w:u w:val="single"/>
        </w:rPr>
        <w:t>Massachusetts</w:t>
      </w:r>
      <w:r>
        <w:rPr>
          <w:spacing w:val="-10"/>
          <w:sz w:val="21"/>
          <w:u w:val="single"/>
        </w:rPr>
        <w:t xml:space="preserve"> </w:t>
      </w:r>
      <w:r>
        <w:rPr>
          <w:sz w:val="21"/>
          <w:u w:val="single"/>
        </w:rPr>
        <w:t>Coalition</w:t>
      </w:r>
      <w:r>
        <w:rPr>
          <w:spacing w:val="-10"/>
          <w:sz w:val="21"/>
          <w:u w:val="single"/>
        </w:rPr>
        <w:t xml:space="preserve"> </w:t>
      </w:r>
      <w:r>
        <w:rPr>
          <w:sz w:val="21"/>
          <w:u w:val="single"/>
        </w:rPr>
        <w:t>for</w:t>
      </w:r>
      <w:r>
        <w:rPr>
          <w:spacing w:val="-8"/>
          <w:sz w:val="21"/>
          <w:u w:val="single"/>
        </w:rPr>
        <w:t xml:space="preserve"> </w:t>
      </w:r>
      <w:r>
        <w:rPr>
          <w:sz w:val="21"/>
          <w:u w:val="single"/>
        </w:rPr>
        <w:t>Suicide</w:t>
      </w:r>
      <w:r>
        <w:rPr>
          <w:spacing w:val="-9"/>
          <w:sz w:val="21"/>
          <w:u w:val="single"/>
        </w:rPr>
        <w:t xml:space="preserve"> </w:t>
      </w:r>
      <w:r>
        <w:rPr>
          <w:sz w:val="21"/>
          <w:u w:val="single"/>
        </w:rPr>
        <w:t>Prevention</w:t>
      </w:r>
      <w:r>
        <w:rPr>
          <w:sz w:val="21"/>
        </w:rPr>
        <w:t xml:space="preserve"> Paula Tessier</w:t>
      </w:r>
    </w:p>
    <w:p w:rsidR="00200FDA" w:rsidRDefault="00F76C4C">
      <w:pPr>
        <w:spacing w:before="1"/>
        <w:ind w:left="280" w:right="3232"/>
        <w:rPr>
          <w:sz w:val="21"/>
        </w:rPr>
      </w:pPr>
      <w:r>
        <w:rPr>
          <w:sz w:val="21"/>
        </w:rPr>
        <w:t>Elliott Marrow Fahmina</w:t>
      </w:r>
      <w:r>
        <w:rPr>
          <w:spacing w:val="-12"/>
          <w:sz w:val="21"/>
        </w:rPr>
        <w:t xml:space="preserve"> </w:t>
      </w:r>
      <w:r>
        <w:rPr>
          <w:sz w:val="21"/>
        </w:rPr>
        <w:t>Zaman</w:t>
      </w:r>
    </w:p>
    <w:p w:rsidR="00200FDA" w:rsidRDefault="00200FDA">
      <w:pPr>
        <w:pStyle w:val="BodyText"/>
        <w:spacing w:before="11"/>
        <w:rPr>
          <w:sz w:val="20"/>
        </w:rPr>
      </w:pPr>
    </w:p>
    <w:p w:rsidR="00200FDA" w:rsidRDefault="00F76C4C">
      <w:pPr>
        <w:ind w:left="280" w:right="543"/>
        <w:rPr>
          <w:sz w:val="21"/>
        </w:rPr>
      </w:pPr>
      <w:r>
        <w:rPr>
          <w:sz w:val="21"/>
          <w:u w:val="single"/>
        </w:rPr>
        <w:t>Massachusetts</w:t>
      </w:r>
      <w:r>
        <w:rPr>
          <w:spacing w:val="-8"/>
          <w:sz w:val="21"/>
          <w:u w:val="single"/>
        </w:rPr>
        <w:t xml:space="preserve"> </w:t>
      </w:r>
      <w:r>
        <w:rPr>
          <w:sz w:val="21"/>
          <w:u w:val="single"/>
        </w:rPr>
        <w:t>Gay</w:t>
      </w:r>
      <w:r>
        <w:rPr>
          <w:spacing w:val="-7"/>
          <w:sz w:val="21"/>
          <w:u w:val="single"/>
        </w:rPr>
        <w:t xml:space="preserve"> </w:t>
      </w:r>
      <w:r>
        <w:rPr>
          <w:sz w:val="21"/>
          <w:u w:val="single"/>
        </w:rPr>
        <w:t>&amp;</w:t>
      </w:r>
      <w:r>
        <w:rPr>
          <w:spacing w:val="-10"/>
          <w:sz w:val="21"/>
          <w:u w:val="single"/>
        </w:rPr>
        <w:t xml:space="preserve"> </w:t>
      </w:r>
      <w:r>
        <w:rPr>
          <w:sz w:val="21"/>
          <w:u w:val="single"/>
        </w:rPr>
        <w:t>Lesbian</w:t>
      </w:r>
      <w:r>
        <w:rPr>
          <w:spacing w:val="-8"/>
          <w:sz w:val="21"/>
          <w:u w:val="single"/>
        </w:rPr>
        <w:t xml:space="preserve"> </w:t>
      </w:r>
      <w:r>
        <w:rPr>
          <w:sz w:val="21"/>
          <w:u w:val="single"/>
        </w:rPr>
        <w:t>Political</w:t>
      </w:r>
      <w:r>
        <w:rPr>
          <w:spacing w:val="-7"/>
          <w:sz w:val="21"/>
          <w:u w:val="single"/>
        </w:rPr>
        <w:t xml:space="preserve"> </w:t>
      </w:r>
      <w:r>
        <w:rPr>
          <w:sz w:val="21"/>
          <w:u w:val="single"/>
        </w:rPr>
        <w:t>Caucus</w:t>
      </w:r>
      <w:r>
        <w:rPr>
          <w:sz w:val="21"/>
        </w:rPr>
        <w:t xml:space="preserve"> Grace Sterling Stowell</w:t>
      </w:r>
    </w:p>
    <w:p w:rsidR="00200FDA" w:rsidRDefault="00F76C4C">
      <w:pPr>
        <w:spacing w:before="1"/>
        <w:ind w:left="280"/>
        <w:jc w:val="both"/>
        <w:rPr>
          <w:sz w:val="21"/>
        </w:rPr>
      </w:pPr>
      <w:r>
        <w:rPr>
          <w:sz w:val="21"/>
        </w:rPr>
        <w:t>Sasha</w:t>
      </w:r>
      <w:r>
        <w:rPr>
          <w:spacing w:val="-6"/>
          <w:sz w:val="21"/>
        </w:rPr>
        <w:t xml:space="preserve"> </w:t>
      </w:r>
      <w:r>
        <w:rPr>
          <w:spacing w:val="-2"/>
          <w:sz w:val="21"/>
        </w:rPr>
        <w:t>Goodfriend</w:t>
      </w:r>
    </w:p>
    <w:p w:rsidR="00200FDA" w:rsidRDefault="00200FDA">
      <w:pPr>
        <w:pStyle w:val="BodyText"/>
        <w:spacing w:before="10"/>
        <w:rPr>
          <w:sz w:val="20"/>
        </w:rPr>
      </w:pPr>
    </w:p>
    <w:p w:rsidR="00200FDA" w:rsidRDefault="00F76C4C">
      <w:pPr>
        <w:ind w:left="280" w:right="543"/>
        <w:rPr>
          <w:sz w:val="21"/>
        </w:rPr>
      </w:pPr>
      <w:r>
        <w:rPr>
          <w:sz w:val="21"/>
          <w:u w:val="single"/>
        </w:rPr>
        <w:t>Massachusetts</w:t>
      </w:r>
      <w:r>
        <w:rPr>
          <w:spacing w:val="-12"/>
          <w:sz w:val="21"/>
          <w:u w:val="single"/>
        </w:rPr>
        <w:t xml:space="preserve"> </w:t>
      </w:r>
      <w:r>
        <w:rPr>
          <w:sz w:val="21"/>
          <w:u w:val="single"/>
        </w:rPr>
        <w:t>Public</w:t>
      </w:r>
      <w:r>
        <w:rPr>
          <w:spacing w:val="-12"/>
          <w:sz w:val="21"/>
          <w:u w:val="single"/>
        </w:rPr>
        <w:t xml:space="preserve"> </w:t>
      </w:r>
      <w:r>
        <w:rPr>
          <w:sz w:val="21"/>
          <w:u w:val="single"/>
        </w:rPr>
        <w:t>Health</w:t>
      </w:r>
      <w:r>
        <w:rPr>
          <w:spacing w:val="-12"/>
          <w:sz w:val="21"/>
          <w:u w:val="single"/>
        </w:rPr>
        <w:t xml:space="preserve"> </w:t>
      </w:r>
      <w:r>
        <w:rPr>
          <w:sz w:val="21"/>
          <w:u w:val="single"/>
        </w:rPr>
        <w:t>Association</w:t>
      </w:r>
      <w:r>
        <w:rPr>
          <w:sz w:val="21"/>
        </w:rPr>
        <w:t xml:space="preserve"> Carlene Pavlos</w:t>
      </w:r>
    </w:p>
    <w:p w:rsidR="00200FDA" w:rsidRDefault="00F76C4C">
      <w:pPr>
        <w:spacing w:before="1"/>
        <w:ind w:left="280"/>
        <w:jc w:val="both"/>
        <w:rPr>
          <w:sz w:val="21"/>
        </w:rPr>
      </w:pPr>
      <w:r>
        <w:rPr>
          <w:sz w:val="21"/>
        </w:rPr>
        <w:t>Chastity</w:t>
      </w:r>
      <w:r>
        <w:rPr>
          <w:spacing w:val="-9"/>
          <w:sz w:val="21"/>
        </w:rPr>
        <w:t xml:space="preserve"> </w:t>
      </w:r>
      <w:r>
        <w:rPr>
          <w:spacing w:val="-2"/>
          <w:sz w:val="21"/>
        </w:rPr>
        <w:t>Bowick</w:t>
      </w:r>
    </w:p>
    <w:p w:rsidR="00200FDA" w:rsidRDefault="00200FDA">
      <w:pPr>
        <w:pStyle w:val="BodyText"/>
        <w:spacing w:before="1"/>
        <w:rPr>
          <w:sz w:val="21"/>
        </w:rPr>
      </w:pPr>
    </w:p>
    <w:p w:rsidR="00200FDA" w:rsidRDefault="00F76C4C">
      <w:pPr>
        <w:ind w:left="280" w:right="3005"/>
        <w:rPr>
          <w:sz w:val="21"/>
        </w:rPr>
      </w:pPr>
      <w:r>
        <w:rPr>
          <w:spacing w:val="-2"/>
          <w:sz w:val="21"/>
          <w:u w:val="single"/>
        </w:rPr>
        <w:t>MassEquality</w:t>
      </w:r>
      <w:r>
        <w:rPr>
          <w:spacing w:val="-2"/>
          <w:sz w:val="21"/>
        </w:rPr>
        <w:t xml:space="preserve"> </w:t>
      </w:r>
      <w:r>
        <w:rPr>
          <w:sz w:val="21"/>
        </w:rPr>
        <w:t>Tanya</w:t>
      </w:r>
      <w:r>
        <w:rPr>
          <w:spacing w:val="-12"/>
          <w:sz w:val="21"/>
        </w:rPr>
        <w:t xml:space="preserve"> </w:t>
      </w:r>
      <w:r>
        <w:rPr>
          <w:sz w:val="21"/>
        </w:rPr>
        <w:t>V.</w:t>
      </w:r>
      <w:r>
        <w:rPr>
          <w:spacing w:val="-12"/>
          <w:sz w:val="21"/>
        </w:rPr>
        <w:t xml:space="preserve"> </w:t>
      </w:r>
      <w:r>
        <w:rPr>
          <w:sz w:val="21"/>
        </w:rPr>
        <w:t>Neslusan</w:t>
      </w:r>
    </w:p>
    <w:p w:rsidR="00200FDA" w:rsidRDefault="00200FDA">
      <w:pPr>
        <w:pStyle w:val="BodyText"/>
        <w:spacing w:before="11"/>
        <w:rPr>
          <w:sz w:val="20"/>
        </w:rPr>
      </w:pPr>
    </w:p>
    <w:p w:rsidR="00200FDA" w:rsidRDefault="00F76C4C">
      <w:pPr>
        <w:ind w:left="280" w:right="543"/>
        <w:rPr>
          <w:sz w:val="21"/>
        </w:rPr>
      </w:pPr>
      <w:r>
        <w:rPr>
          <w:sz w:val="21"/>
          <w:u w:val="single"/>
        </w:rPr>
        <w:t>National</w:t>
      </w:r>
      <w:r>
        <w:rPr>
          <w:spacing w:val="-10"/>
          <w:sz w:val="21"/>
          <w:u w:val="single"/>
        </w:rPr>
        <w:t xml:space="preserve"> </w:t>
      </w:r>
      <w:r>
        <w:rPr>
          <w:sz w:val="21"/>
          <w:u w:val="single"/>
        </w:rPr>
        <w:t>Association</w:t>
      </w:r>
      <w:r>
        <w:rPr>
          <w:spacing w:val="-11"/>
          <w:sz w:val="21"/>
          <w:u w:val="single"/>
        </w:rPr>
        <w:t xml:space="preserve"> </w:t>
      </w:r>
      <w:r>
        <w:rPr>
          <w:sz w:val="21"/>
          <w:u w:val="single"/>
        </w:rPr>
        <w:t>of</w:t>
      </w:r>
      <w:r>
        <w:rPr>
          <w:spacing w:val="-10"/>
          <w:sz w:val="21"/>
          <w:u w:val="single"/>
        </w:rPr>
        <w:t xml:space="preserve"> </w:t>
      </w:r>
      <w:r>
        <w:rPr>
          <w:sz w:val="21"/>
          <w:u w:val="single"/>
        </w:rPr>
        <w:t>Social</w:t>
      </w:r>
      <w:r>
        <w:rPr>
          <w:spacing w:val="-10"/>
          <w:sz w:val="21"/>
          <w:u w:val="single"/>
        </w:rPr>
        <w:t xml:space="preserve"> </w:t>
      </w:r>
      <w:r>
        <w:rPr>
          <w:sz w:val="21"/>
          <w:u w:val="single"/>
        </w:rPr>
        <w:t>Workers,</w:t>
      </w:r>
      <w:r>
        <w:rPr>
          <w:sz w:val="21"/>
        </w:rPr>
        <w:t xml:space="preserve"> </w:t>
      </w:r>
      <w:r>
        <w:rPr>
          <w:sz w:val="21"/>
          <w:u w:val="single"/>
        </w:rPr>
        <w:t>Massachusetts Chapter</w:t>
      </w:r>
    </w:p>
    <w:p w:rsidR="00200FDA" w:rsidRDefault="00F76C4C">
      <w:pPr>
        <w:spacing w:before="1"/>
        <w:ind w:left="280" w:right="3060"/>
        <w:rPr>
          <w:sz w:val="21"/>
        </w:rPr>
      </w:pPr>
      <w:r>
        <w:rPr>
          <w:sz w:val="21"/>
        </w:rPr>
        <w:t>Ashley</w:t>
      </w:r>
      <w:r>
        <w:rPr>
          <w:spacing w:val="-12"/>
          <w:sz w:val="21"/>
        </w:rPr>
        <w:t xml:space="preserve"> </w:t>
      </w:r>
      <w:r>
        <w:rPr>
          <w:sz w:val="21"/>
        </w:rPr>
        <w:t>Waterberg Gary Bailey</w:t>
      </w:r>
    </w:p>
    <w:p w:rsidR="00200FDA" w:rsidRDefault="00F76C4C">
      <w:pPr>
        <w:spacing w:line="255" w:lineRule="exact"/>
        <w:ind w:left="280"/>
        <w:rPr>
          <w:sz w:val="21"/>
        </w:rPr>
      </w:pPr>
      <w:r>
        <w:rPr>
          <w:sz w:val="21"/>
        </w:rPr>
        <w:t>Ricky</w:t>
      </w:r>
      <w:r>
        <w:rPr>
          <w:spacing w:val="-3"/>
          <w:sz w:val="21"/>
        </w:rPr>
        <w:t xml:space="preserve"> </w:t>
      </w:r>
      <w:r>
        <w:rPr>
          <w:spacing w:val="-2"/>
          <w:sz w:val="21"/>
        </w:rPr>
        <w:t>Saucedo</w:t>
      </w:r>
    </w:p>
    <w:p w:rsidR="00200FDA" w:rsidRDefault="00200FDA">
      <w:pPr>
        <w:spacing w:line="255" w:lineRule="exact"/>
        <w:rPr>
          <w:sz w:val="21"/>
        </w:rPr>
        <w:sectPr w:rsidR="00200FDA">
          <w:type w:val="continuous"/>
          <w:pgSz w:w="12240" w:h="15840"/>
          <w:pgMar w:top="720" w:right="1160" w:bottom="280" w:left="1160" w:header="761" w:footer="0" w:gutter="0"/>
          <w:cols w:num="2" w:space="720" w:equalWidth="0">
            <w:col w:w="4640" w:space="400"/>
            <w:col w:w="4880"/>
          </w:cols>
        </w:sect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0"/>
        </w:rPr>
      </w:pPr>
    </w:p>
    <w:p w:rsidR="00200FDA" w:rsidRDefault="00200FDA">
      <w:pPr>
        <w:pStyle w:val="BodyText"/>
        <w:rPr>
          <w:sz w:val="26"/>
        </w:rPr>
      </w:pPr>
    </w:p>
    <w:p w:rsidR="00200FDA" w:rsidRDefault="00F76C4C">
      <w:pPr>
        <w:pStyle w:val="BodyText"/>
        <w:spacing w:line="20" w:lineRule="exact"/>
        <w:ind w:left="251"/>
        <w:rPr>
          <w:sz w:val="2"/>
        </w:rPr>
      </w:pPr>
      <w:r>
        <w:rPr>
          <w:sz w:val="2"/>
        </w:rPr>
      </w:r>
      <w:r>
        <w:rPr>
          <w:sz w:val="2"/>
        </w:rPr>
        <w:pict>
          <v:group id="docshapegroup649" o:spid="_x0000_s1026" style="width:470.9pt;height:.5pt;mso-position-horizontal-relative:char;mso-position-vertical-relative:line" coordsize="9418,10">
            <v:rect id="docshape650" o:spid="_x0000_s1027" style="position:absolute;width:9418;height:10" fillcolor="#d9d9d9" stroked="f"/>
            <w10:anchorlock/>
          </v:group>
        </w:pict>
      </w:r>
    </w:p>
    <w:p w:rsidR="00200FDA" w:rsidRDefault="00F76C4C">
      <w:pPr>
        <w:spacing w:before="8"/>
        <w:ind w:right="275"/>
        <w:jc w:val="right"/>
        <w:rPr>
          <w:rFonts w:ascii="Cambria"/>
          <w:sz w:val="21"/>
        </w:rPr>
      </w:pPr>
      <w:r>
        <w:rPr>
          <w:rFonts w:ascii="Cambria"/>
          <w:sz w:val="21"/>
        </w:rPr>
        <w:t>277</w:t>
      </w:r>
      <w:r>
        <w:rPr>
          <w:rFonts w:ascii="Cambria"/>
          <w:spacing w:val="-2"/>
          <w:sz w:val="21"/>
        </w:rPr>
        <w:t xml:space="preserve"> </w:t>
      </w:r>
      <w:r>
        <w:rPr>
          <w:rFonts w:ascii="Cambria"/>
          <w:spacing w:val="-10"/>
          <w:sz w:val="21"/>
        </w:rPr>
        <w:t>|</w:t>
      </w:r>
    </w:p>
    <w:sectPr w:rsidR="00200FDA">
      <w:type w:val="continuous"/>
      <w:pgSz w:w="12240" w:h="15840"/>
      <w:pgMar w:top="720" w:right="1160" w:bottom="280" w:left="1160" w:header="76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C4C" w:rsidRDefault="00F76C4C">
      <w:r>
        <w:separator/>
      </w:r>
    </w:p>
  </w:endnote>
  <w:endnote w:type="continuationSeparator" w:id="0">
    <w:p w:rsidR="00F76C4C" w:rsidRDefault="00F76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Segoe Script">
    <w:altName w:val="Segoe Script"/>
    <w:panose1 w:val="030B0504020000000003"/>
    <w:charset w:val="00"/>
    <w:family w:val="script"/>
    <w:pitch w:val="variable"/>
    <w:sig w:usb0="0000028F"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15" o:spid="_x0000_s2193" type="#_x0000_t202" style="position:absolute;margin-left:417.75pt;margin-top:726pt;width:144.2pt;height:17.95pt;z-index:-21338112;mso-position-horizontal-relative:page;mso-position-vertical-relative:page" filled="f" stroked="f">
          <v:textbox inset="0,0,0,0">
            <w:txbxContent>
              <w:p w:rsidR="00200FDA" w:rsidRDefault="00F76C4C">
                <w:pPr>
                  <w:spacing w:before="16"/>
                  <w:ind w:left="20"/>
                  <w:rPr>
                    <w:rFonts w:ascii="Georgia"/>
                    <w:sz w:val="28"/>
                  </w:rPr>
                </w:pPr>
                <w:r>
                  <w:rPr>
                    <w:rFonts w:ascii="Georgia"/>
                    <w:spacing w:val="-10"/>
                    <w:sz w:val="28"/>
                  </w:rPr>
                  <w:t>FY</w:t>
                </w:r>
                <w:r>
                  <w:rPr>
                    <w:rFonts w:ascii="Georgia"/>
                    <w:spacing w:val="-3"/>
                    <w:sz w:val="28"/>
                  </w:rPr>
                  <w:t xml:space="preserve"> </w:t>
                </w:r>
                <w:r>
                  <w:rPr>
                    <w:rFonts w:ascii="Georgia"/>
                    <w:spacing w:val="-10"/>
                    <w:sz w:val="28"/>
                  </w:rPr>
                  <w:t>2024</w:t>
                </w:r>
                <w:r>
                  <w:rPr>
                    <w:rFonts w:ascii="Georgia"/>
                    <w:spacing w:val="-3"/>
                    <w:sz w:val="28"/>
                  </w:rPr>
                  <w:t xml:space="preserve"> </w:t>
                </w:r>
                <w:r>
                  <w:rPr>
                    <w:rFonts w:ascii="Georgia"/>
                    <w:spacing w:val="-10"/>
                    <w:sz w:val="28"/>
                  </w:rPr>
                  <w:t>Annual</w:t>
                </w:r>
                <w:r>
                  <w:rPr>
                    <w:rFonts w:ascii="Georgia"/>
                    <w:spacing w:val="-3"/>
                    <w:sz w:val="28"/>
                  </w:rPr>
                  <w:t xml:space="preserve"> </w:t>
                </w:r>
                <w:r>
                  <w:rPr>
                    <w:rFonts w:ascii="Georgia"/>
                    <w:spacing w:val="-10"/>
                    <w:sz w:val="28"/>
                  </w:rPr>
                  <w:t>Report</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225" o:spid="_x0000_s2176" style="position:absolute;margin-left:70.55pt;margin-top:778.8pt;width:454.2pt;height:.5pt;z-index:-2132940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26" o:spid="_x0000_s2175" type="#_x0000_t202" style="position:absolute;margin-left:502.45pt;margin-top:781.3pt;width:21.95pt;height:12.6pt;z-index:-21328896;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52</w:t>
                </w:r>
                <w:r>
                  <w:rPr>
                    <w:sz w:val="21"/>
                  </w:rPr>
                  <w:fldChar w:fldCharType="end"/>
                </w:r>
                <w:r>
                  <w:rPr>
                    <w:spacing w:val="-2"/>
                    <w:sz w:val="21"/>
                  </w:rPr>
                  <w:t xml:space="preserve"> </w:t>
                </w:r>
                <w:r>
                  <w:rPr>
                    <w:spacing w:val="-10"/>
                    <w:sz w:val="21"/>
                  </w:rPr>
                  <w:t>|</w:t>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34" o:spid="_x0000_s2173" type="#_x0000_t202" style="position:absolute;margin-left:502.45pt;margin-top:781.3pt;width:21.95pt;height:12.6pt;z-index:-21327872;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54</w:t>
                </w:r>
                <w:r>
                  <w:rPr>
                    <w:sz w:val="21"/>
                  </w:rPr>
                  <w:fldChar w:fldCharType="end"/>
                </w:r>
                <w:r>
                  <w:rPr>
                    <w:spacing w:val="-2"/>
                    <w:sz w:val="21"/>
                  </w:rPr>
                  <w:t xml:space="preserve"> </w:t>
                </w:r>
                <w:r>
                  <w:rPr>
                    <w:spacing w:val="-10"/>
                    <w:sz w:val="21"/>
                  </w:rPr>
                  <w:t>|</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236" o:spid="_x0000_s2171" style="position:absolute;margin-left:70.55pt;margin-top:778.8pt;width:454.2pt;height:.5pt;z-index:-2132684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37" o:spid="_x0000_s2170" type="#_x0000_t202" style="position:absolute;margin-left:502.45pt;margin-top:781.3pt;width:21.95pt;height:12.6pt;z-index:-21326336;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55</w:t>
                </w:r>
                <w:r>
                  <w:rPr>
                    <w:sz w:val="21"/>
                  </w:rPr>
                  <w:fldChar w:fldCharType="end"/>
                </w:r>
                <w:r>
                  <w:rPr>
                    <w:spacing w:val="-2"/>
                    <w:sz w:val="21"/>
                  </w:rPr>
                  <w:t xml:space="preserve"> </w:t>
                </w:r>
                <w:r>
                  <w:rPr>
                    <w:spacing w:val="-10"/>
                    <w:sz w:val="21"/>
                  </w:rPr>
                  <w:t>|</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39" o:spid="_x0000_s2168" type="#_x0000_t202" style="position:absolute;margin-left:502.45pt;margin-top:781.3pt;width:21.95pt;height:12.6pt;z-index:-21325312;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56</w:t>
                </w:r>
                <w:r>
                  <w:rPr>
                    <w:sz w:val="21"/>
                  </w:rPr>
                  <w:fldChar w:fldCharType="end"/>
                </w:r>
                <w:r>
                  <w:rPr>
                    <w:spacing w:val="-2"/>
                    <w:sz w:val="21"/>
                  </w:rPr>
                  <w:t xml:space="preserve"> </w:t>
                </w:r>
                <w:r>
                  <w:rPr>
                    <w:spacing w:val="-10"/>
                    <w:sz w:val="21"/>
                  </w:rPr>
                  <w:t>|</w:t>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242" o:spid="_x0000_s2166" style="position:absolute;margin-left:70.55pt;margin-top:778.8pt;width:454.2pt;height:.5pt;z-index:-2132428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43" o:spid="_x0000_s2165" type="#_x0000_t202" style="position:absolute;margin-left:502.45pt;margin-top:781.3pt;width:21.95pt;height:12.6pt;z-index:-21323776;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57</w:t>
                </w:r>
                <w:r>
                  <w:rPr>
                    <w:sz w:val="21"/>
                  </w:rPr>
                  <w:fldChar w:fldCharType="end"/>
                </w:r>
                <w:r>
                  <w:rPr>
                    <w:spacing w:val="-2"/>
                    <w:sz w:val="21"/>
                  </w:rPr>
                  <w:t xml:space="preserve"> </w:t>
                </w:r>
                <w:r>
                  <w:rPr>
                    <w:spacing w:val="-10"/>
                    <w:sz w:val="21"/>
                  </w:rPr>
                  <w:t>|</w:t>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270" o:spid="_x0000_s2163" style="position:absolute;margin-left:70.55pt;margin-top:717.85pt;width:470.9pt;height:.5pt;z-index:-2132275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71" o:spid="_x0000_s2162" type="#_x0000_t202" style="position:absolute;margin-left:519.7pt;margin-top:718.2pt;width:21.4pt;height:14.4pt;z-index:-21322240;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61</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78" o:spid="_x0000_s2160" type="#_x0000_t202" style="position:absolute;margin-left:519.7pt;margin-top:718.2pt;width:21.4pt;height:14.4pt;z-index:-21321216;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62</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280" o:spid="_x0000_s2158" style="position:absolute;margin-left:70.55pt;margin-top:717.85pt;width:470.9pt;height:.5pt;z-index:-2132019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81" o:spid="_x0000_s2157" type="#_x0000_t202" style="position:absolute;margin-left:519.7pt;margin-top:718.2pt;width:21.4pt;height:14.4pt;z-index:-21319680;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78</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18" o:spid="_x0000_s2191" type="#_x0000_t202" style="position:absolute;margin-left:417.75pt;margin-top:726pt;width:144.2pt;height:17.95pt;z-index:-21337088;mso-position-horizontal-relative:page;mso-position-vertical-relative:page" filled="f" stroked="f">
          <v:textbox inset="0,0,0,0">
            <w:txbxContent>
              <w:p w:rsidR="00200FDA" w:rsidRDefault="00F76C4C">
                <w:pPr>
                  <w:spacing w:before="16"/>
                  <w:ind w:left="20"/>
                  <w:rPr>
                    <w:rFonts w:ascii="Georgia"/>
                    <w:sz w:val="28"/>
                  </w:rPr>
                </w:pPr>
                <w:r>
                  <w:rPr>
                    <w:rFonts w:ascii="Georgia"/>
                    <w:spacing w:val="-10"/>
                    <w:sz w:val="28"/>
                  </w:rPr>
                  <w:t>FY</w:t>
                </w:r>
                <w:r>
                  <w:rPr>
                    <w:rFonts w:ascii="Georgia"/>
                    <w:spacing w:val="-3"/>
                    <w:sz w:val="28"/>
                  </w:rPr>
                  <w:t xml:space="preserve"> </w:t>
                </w:r>
                <w:r>
                  <w:rPr>
                    <w:rFonts w:ascii="Georgia"/>
                    <w:spacing w:val="-10"/>
                    <w:sz w:val="28"/>
                  </w:rPr>
                  <w:t>2024</w:t>
                </w:r>
                <w:r>
                  <w:rPr>
                    <w:rFonts w:ascii="Georgia"/>
                    <w:spacing w:val="-3"/>
                    <w:sz w:val="28"/>
                  </w:rPr>
                  <w:t xml:space="preserve"> </w:t>
                </w:r>
                <w:r>
                  <w:rPr>
                    <w:rFonts w:ascii="Georgia"/>
                    <w:spacing w:val="-10"/>
                    <w:sz w:val="28"/>
                  </w:rPr>
                  <w:t>Annual</w:t>
                </w:r>
                <w:r>
                  <w:rPr>
                    <w:rFonts w:ascii="Georgia"/>
                    <w:spacing w:val="-3"/>
                    <w:sz w:val="28"/>
                  </w:rPr>
                  <w:t xml:space="preserve"> </w:t>
                </w:r>
                <w:r>
                  <w:rPr>
                    <w:rFonts w:ascii="Georgia"/>
                    <w:spacing w:val="-10"/>
                    <w:sz w:val="28"/>
                  </w:rPr>
                  <w:t>Report</w:t>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86" o:spid="_x0000_s2154" type="#_x0000_t202" style="position:absolute;margin-left:519.7pt;margin-top:718.2pt;width:21.4pt;height:14.4pt;z-index:-21318144;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81</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299" o:spid="_x0000_s2152" style="position:absolute;margin-left:70.55pt;margin-top:722.75pt;width:470.9pt;height:.5pt;z-index:-2131712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00" o:spid="_x0000_s2151" type="#_x0000_t202" style="position:absolute;margin-left:518.9pt;margin-top:723.25pt;width:22.15pt;height:14.95pt;z-index:-21316608;mso-position-horizontal-relative:page;mso-position-vertical-relative:page" filled="f" stroked="f">
          <v:textbox inset="0,0,0,0">
            <w:txbxContent>
              <w:p w:rsidR="00200FDA" w:rsidRDefault="00F76C4C">
                <w:pPr>
                  <w:pStyle w:val="BodyText"/>
                  <w:spacing w:before="20"/>
                  <w:ind w:left="60"/>
                  <w:rPr>
                    <w:rFonts w:ascii="Cambria"/>
                  </w:rPr>
                </w:pPr>
                <w:r>
                  <w:rPr>
                    <w:rFonts w:ascii="Cambria"/>
                  </w:rPr>
                  <w:fldChar w:fldCharType="begin"/>
                </w:r>
                <w:r>
                  <w:rPr>
                    <w:rFonts w:ascii="Cambria"/>
                  </w:rPr>
                  <w:instrText xml:space="preserve"> PAGE </w:instrText>
                </w:r>
                <w:r>
                  <w:rPr>
                    <w:rFonts w:ascii="Cambria"/>
                  </w:rPr>
                  <w:fldChar w:fldCharType="separate"/>
                </w:r>
                <w:r w:rsidR="00340860">
                  <w:rPr>
                    <w:rFonts w:ascii="Cambria"/>
                    <w:noProof/>
                  </w:rPr>
                  <w:t>96</w:t>
                </w:r>
                <w:r>
                  <w:rPr>
                    <w:rFonts w:ascii="Cambria"/>
                  </w:rPr>
                  <w:fldChar w:fldCharType="end"/>
                </w:r>
                <w:r>
                  <w:rPr>
                    <w:rFonts w:ascii="Cambria"/>
                    <w:spacing w:val="-1"/>
                  </w:rPr>
                  <w:t xml:space="preserve"> </w:t>
                </w:r>
                <w:r>
                  <w:rPr>
                    <w:rFonts w:ascii="Cambria"/>
                    <w:spacing w:val="-10"/>
                  </w:rPr>
                  <w:t>|</w:t>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319" o:spid="_x0000_s2149" style="position:absolute;margin-left:70.55pt;margin-top:714.35pt;width:470.9pt;height:.5pt;z-index:-2131558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20" o:spid="_x0000_s2148" type="#_x0000_t202" style="position:absolute;margin-left:513.85pt;margin-top:716.85pt;width:27.25pt;height:12.6pt;z-index:-21315072;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109</w:t>
                </w:r>
                <w:r>
                  <w:rPr>
                    <w:sz w:val="21"/>
                  </w:rPr>
                  <w:fldChar w:fldCharType="end"/>
                </w:r>
                <w:r>
                  <w:rPr>
                    <w:spacing w:val="-1"/>
                    <w:sz w:val="21"/>
                  </w:rPr>
                  <w:t xml:space="preserve"> </w:t>
                </w:r>
                <w:r>
                  <w:rPr>
                    <w:spacing w:val="-10"/>
                    <w:sz w:val="21"/>
                  </w:rPr>
                  <w:t>|</w:t>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326" o:spid="_x0000_s2146" style="position:absolute;margin-left:70.55pt;margin-top:714.35pt;width:470.9pt;height:.5pt;z-index:-2131404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27" o:spid="_x0000_s2145" type="#_x0000_t202" style="position:absolute;margin-left:513.85pt;margin-top:716.85pt;width:27.25pt;height:12.6pt;z-index:-21313536;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115</w:t>
                </w:r>
                <w:r>
                  <w:rPr>
                    <w:sz w:val="21"/>
                  </w:rPr>
                  <w:fldChar w:fldCharType="end"/>
                </w:r>
                <w:r>
                  <w:rPr>
                    <w:spacing w:val="-1"/>
                    <w:sz w:val="21"/>
                  </w:rPr>
                  <w:t xml:space="preserve"> </w:t>
                </w:r>
                <w:r>
                  <w:rPr>
                    <w:spacing w:val="-10"/>
                    <w:sz w:val="21"/>
                  </w:rPr>
                  <w:t>|</w:t>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343" o:spid="_x0000_s2143" style="position:absolute;margin-left:70.55pt;margin-top:717.85pt;width:470.9pt;height:.5pt;z-index:-2131251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44" o:spid="_x0000_s2142" type="#_x0000_t202" style="position:absolute;margin-left:513.95pt;margin-top:718.2pt;width:27.15pt;height:14.4pt;z-index:-21312000;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128</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352" o:spid="_x0000_s2140" style="position:absolute;margin-left:70.55pt;margin-top:717.85pt;width:470.9pt;height:.5pt;z-index:-21310976;mso-position-horizontal-relative:page;mso-position-vertical-relative:page" fillcolor="#d9d9d9" stroked="f">
          <w10:wrap anchorx="page" anchory="page"/>
        </v:rect>
      </w:pict>
    </w:r>
    <w:r>
      <w:pict>
        <v:rect id="docshape353" o:spid="_x0000_s2139" style="position:absolute;margin-left:154.7pt;margin-top:687.1pt;width:2.3pt;height:.6pt;z-index:-21310464;mso-position-horizontal-relative:page;mso-position-vertical-relative:page" fillcolor="#1154cc" stroked="f">
          <w10:wrap anchorx="page" anchory="page"/>
        </v:rect>
      </w:pict>
    </w:r>
    <w:r>
      <w:pict>
        <v:rect id="docshape354" o:spid="_x0000_s2138" style="position:absolute;margin-left:468.25pt;margin-top:665.15pt;width:2.3pt;height:.6pt;z-index:-21309952;mso-position-horizontal-relative:page;mso-position-vertical-relative:page" fillcolor="#1154cc" stroked="f">
          <w10:wrap anchorx="page" anchory="page"/>
        </v:rect>
      </w:pict>
    </w:r>
    <w:r>
      <w:pict>
        <v:rect id="docshape355" o:spid="_x0000_s2137" style="position:absolute;margin-left:268.3pt;margin-top:588.25pt;width:2.3pt;height:.6pt;z-index:-21309440;mso-position-horizontal-relative:page;mso-position-vertical-relative:page" fillcolor="#1154cc" stroked="f">
          <w10:wrap anchorx="page" anchory="page"/>
        </v:rect>
      </w:pict>
    </w:r>
    <w:r>
      <w:pict>
        <v:shapetype id="_x0000_t202" coordsize="21600,21600" o:spt="202" path="m,l,21600r21600,l21600,xe">
          <v:stroke joinstyle="miter"/>
          <v:path gradientshapeok="t" o:connecttype="rect"/>
        </v:shapetype>
        <v:shape id="docshape356" o:spid="_x0000_s2136" type="#_x0000_t202" style="position:absolute;margin-left:513.95pt;margin-top:718.2pt;width:27.15pt;height:14.4pt;z-index:-21308928;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129</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359" o:spid="_x0000_s2134" style="position:absolute;margin-left:70.55pt;margin-top:717.85pt;width:470.9pt;height:.5pt;z-index:-2130790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60" o:spid="_x0000_s2133" type="#_x0000_t202" style="position:absolute;margin-left:513.95pt;margin-top:718.2pt;width:27.15pt;height:14.4pt;z-index:-21307392;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130</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22" o:spid="_x0000_s2189" style="position:absolute;margin-left:70.55pt;margin-top:728.9pt;width:470.9pt;height:.5pt;z-index:-2133606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23" o:spid="_x0000_s2188" type="#_x0000_t202" style="position:absolute;margin-left:524.5pt;margin-top:731.35pt;width:16.55pt;height:12.6pt;z-index:-21335552;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8</w:t>
                </w:r>
                <w:r>
                  <w:rPr>
                    <w:sz w:val="21"/>
                  </w:rPr>
                  <w:fldChar w:fldCharType="end"/>
                </w:r>
                <w:r>
                  <w:rPr>
                    <w:spacing w:val="-1"/>
                    <w:sz w:val="21"/>
                  </w:rPr>
                  <w:t xml:space="preserve"> </w:t>
                </w:r>
                <w:r>
                  <w:rPr>
                    <w:spacing w:val="-10"/>
                    <w:sz w:val="21"/>
                  </w:rPr>
                  <w:t>|</w:t>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382" o:spid="_x0000_s2131" style="position:absolute;margin-left:70.55pt;margin-top:729.85pt;width:470.9pt;height:.5pt;z-index:-2130636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383" o:spid="_x0000_s2130" type="#_x0000_t202" style="position:absolute;margin-left:513.95pt;margin-top:730.2pt;width:27.15pt;height:14.4pt;z-index:-21305856;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143</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404" o:spid="_x0000_s2128" style="position:absolute;margin-left:70.55pt;margin-top:729.85pt;width:470.9pt;height:.5pt;z-index:-2130483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05" o:spid="_x0000_s2127" type="#_x0000_t202" style="position:absolute;margin-left:513.95pt;margin-top:730.2pt;width:27.15pt;height:14.4pt;z-index:-21304320;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155</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430" o:spid="_x0000_s2125" style="position:absolute;margin-left:70.55pt;margin-top:729.85pt;width:470.9pt;height:.5pt;z-index:-2130329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31" o:spid="_x0000_s2124" type="#_x0000_t202" style="position:absolute;margin-left:513.95pt;margin-top:730.2pt;width:27.15pt;height:14.4pt;z-index:-21302784;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171</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471" o:spid="_x0000_s2122" style="position:absolute;margin-left:70.55pt;margin-top:714.35pt;width:470.9pt;height:.5pt;z-index:-2130176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72" o:spid="_x0000_s2121" type="#_x0000_t202" style="position:absolute;margin-left:513.85pt;margin-top:716.85pt;width:27.25pt;height:12.6pt;z-index:-21301248;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184</w:t>
                </w:r>
                <w:r>
                  <w:rPr>
                    <w:sz w:val="21"/>
                  </w:rPr>
                  <w:fldChar w:fldCharType="end"/>
                </w:r>
                <w:r>
                  <w:rPr>
                    <w:spacing w:val="-1"/>
                    <w:sz w:val="21"/>
                  </w:rPr>
                  <w:t xml:space="preserve"> </w:t>
                </w:r>
                <w:r>
                  <w:rPr>
                    <w:spacing w:val="-10"/>
                    <w:sz w:val="21"/>
                  </w:rPr>
                  <w:t>|</w:t>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490" o:spid="_x0000_s2119" style="position:absolute;margin-left:70.55pt;margin-top:728.9pt;width:470.9pt;height:.5pt;z-index:-2130022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91" o:spid="_x0000_s2118" type="#_x0000_t202" style="position:absolute;margin-left:513.85pt;margin-top:731.35pt;width:27.25pt;height:12.6pt;z-index:-21299712;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189</w:t>
                </w:r>
                <w:r>
                  <w:rPr>
                    <w:sz w:val="21"/>
                  </w:rPr>
                  <w:fldChar w:fldCharType="end"/>
                </w:r>
                <w:r>
                  <w:rPr>
                    <w:spacing w:val="-1"/>
                    <w:sz w:val="21"/>
                  </w:rPr>
                  <w:t xml:space="preserve"> </w:t>
                </w:r>
                <w:r>
                  <w:rPr>
                    <w:spacing w:val="-10"/>
                    <w:sz w:val="21"/>
                  </w:rPr>
                  <w:t>|</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140" o:spid="_x0000_s2187" style="position:absolute;margin-left:70.55pt;margin-top:729.85pt;width:470.9pt;height:.5pt;z-index:-2133504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141" o:spid="_x0000_s2186" type="#_x0000_t202" style="position:absolute;margin-left:519.6pt;margin-top:730.2pt;width:21.4pt;height:14.4pt;z-index:-21334528;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10</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496" o:spid="_x0000_s2116" style="position:absolute;margin-left:70.55pt;margin-top:729.85pt;width:470.9pt;height:.5pt;z-index:-2129868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497" o:spid="_x0000_s2115" type="#_x0000_t202" style="position:absolute;margin-left:513.95pt;margin-top:730.2pt;width:27.15pt;height:14.4pt;z-index:-21298176;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193</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04" o:spid="_x0000_s2113" style="position:absolute;margin-left:70.55pt;margin-top:729.85pt;width:470.9pt;height:.5pt;z-index:-2129715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05" o:spid="_x0000_s2112" type="#_x0000_t202" style="position:absolute;margin-left:513.95pt;margin-top:730.2pt;width:27.15pt;height:14.4pt;z-index:-21296640;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197</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11" o:spid="_x0000_s2110" style="position:absolute;margin-left:70.55pt;margin-top:729.85pt;width:470.9pt;height:.5pt;z-index:-2129561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12" o:spid="_x0000_s2109" type="#_x0000_t202" style="position:absolute;margin-left:513.95pt;margin-top:730.2pt;width:27.15pt;height:14.4pt;z-index:-21295104;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204</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18" o:spid="_x0000_s2107" style="position:absolute;margin-left:70.55pt;margin-top:728.9pt;width:470.9pt;height:.5pt;z-index:-2129408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19" o:spid="_x0000_s2106" type="#_x0000_t202" style="position:absolute;margin-left:513.85pt;margin-top:731.35pt;width:27.25pt;height:12.6pt;z-index:-21293568;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205</w:t>
                </w:r>
                <w:r>
                  <w:rPr>
                    <w:sz w:val="21"/>
                  </w:rPr>
                  <w:fldChar w:fldCharType="end"/>
                </w:r>
                <w:r>
                  <w:rPr>
                    <w:spacing w:val="-1"/>
                    <w:sz w:val="21"/>
                  </w:rPr>
                  <w:t xml:space="preserve"> </w:t>
                </w:r>
                <w:r>
                  <w:rPr>
                    <w:spacing w:val="-10"/>
                    <w:sz w:val="21"/>
                  </w:rPr>
                  <w:t>|</w:t>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22" o:spid="_x0000_s2104" style="position:absolute;margin-left:70.55pt;margin-top:729.85pt;width:470.9pt;height:.5pt;z-index:-2129254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23" o:spid="_x0000_s2103" type="#_x0000_t202" style="position:absolute;margin-left:513.95pt;margin-top:730.2pt;width:27.15pt;height:14.4pt;z-index:-21292032;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212</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29" o:spid="_x0000_s2101" style="position:absolute;margin-left:70.55pt;margin-top:728.9pt;width:470.9pt;height:.5pt;z-index:-2129100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30" o:spid="_x0000_s2100" type="#_x0000_t202" style="position:absolute;margin-left:513.85pt;margin-top:731.35pt;width:27.25pt;height:12.6pt;z-index:-21290496;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221</w:t>
                </w:r>
                <w:r>
                  <w:rPr>
                    <w:sz w:val="21"/>
                  </w:rPr>
                  <w:fldChar w:fldCharType="end"/>
                </w:r>
                <w:r>
                  <w:rPr>
                    <w:spacing w:val="-1"/>
                    <w:sz w:val="21"/>
                  </w:rPr>
                  <w:t xml:space="preserve"> </w:t>
                </w:r>
                <w:r>
                  <w:rPr>
                    <w:spacing w:val="-10"/>
                    <w:sz w:val="21"/>
                  </w:rPr>
                  <w:t>|</w:t>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36" o:spid="_x0000_s2098" style="position:absolute;margin-left:70.55pt;margin-top:729.85pt;width:470.9pt;height:.5pt;z-index:-2128947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37" o:spid="_x0000_s2097" type="#_x0000_t202" style="position:absolute;margin-left:513.95pt;margin-top:730.2pt;width:27.15pt;height:14.4pt;z-index:-21288960;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224</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43" o:spid="_x0000_s2095" style="position:absolute;margin-left:70.55pt;margin-top:729.85pt;width:470.9pt;height:.5pt;z-index:-2128793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44" o:spid="_x0000_s2094" type="#_x0000_t202" style="position:absolute;margin-left:513.95pt;margin-top:730.2pt;width:27.15pt;height:14.4pt;z-index:-21287424;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226</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50" o:spid="_x0000_s2092" style="position:absolute;margin-left:70.55pt;margin-top:729.85pt;width:470.9pt;height:.5pt;z-index:-2128640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51" o:spid="_x0000_s2091" type="#_x0000_t202" style="position:absolute;margin-left:513.95pt;margin-top:730.2pt;width:27.15pt;height:14.4pt;z-index:-21285888;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229</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57" o:spid="_x0000_s2089" style="position:absolute;margin-left:70.55pt;margin-top:729.85pt;width:470.9pt;height:.5pt;z-index:-2128486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58" o:spid="_x0000_s2088" type="#_x0000_t202" style="position:absolute;margin-left:513.95pt;margin-top:730.2pt;width:27.15pt;height:14.4pt;z-index:-21284352;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232</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144" o:spid="_x0000_s2184" style="position:absolute;margin-left:70.55pt;margin-top:729.85pt;width:470.9pt;height:.5pt;z-index:-2133350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145" o:spid="_x0000_s2183" type="#_x0000_t202" style="position:absolute;margin-left:519.7pt;margin-top:730.2pt;width:21.4pt;height:14.4pt;z-index:-21332992;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13</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64" o:spid="_x0000_s2086" style="position:absolute;margin-left:70.55pt;margin-top:729.85pt;width:470.9pt;height:.5pt;z-index:-2128332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65" o:spid="_x0000_s2085" type="#_x0000_t202" style="position:absolute;margin-left:513.95pt;margin-top:730.2pt;width:27.15pt;height:14.4pt;z-index:-21282816;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237</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71" o:spid="_x0000_s2083" style="position:absolute;margin-left:70.55pt;margin-top:729.85pt;width:470.9pt;height:.5pt;z-index:-2128179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72" o:spid="_x0000_s2082" type="#_x0000_t202" style="position:absolute;margin-left:513.95pt;margin-top:730.2pt;width:27.15pt;height:14.4pt;z-index:-21281280;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241</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78" o:spid="_x0000_s2080" style="position:absolute;margin-left:70.55pt;margin-top:729.85pt;width:470.9pt;height:.5pt;z-index:-2128025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79" o:spid="_x0000_s2079" type="#_x0000_t202" style="position:absolute;margin-left:513.95pt;margin-top:730.2pt;width:27.15pt;height:14.4pt;z-index:-21279744;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245</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85" o:spid="_x0000_s2077" style="position:absolute;margin-left:70.55pt;margin-top:729.85pt;width:470.9pt;height:.5pt;z-index:-2127872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86" o:spid="_x0000_s2076" type="#_x0000_t202" style="position:absolute;margin-left:513.95pt;margin-top:730.2pt;width:27.15pt;height:14.4pt;z-index:-21278208;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249</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92" o:spid="_x0000_s2074" style="position:absolute;margin-left:70.55pt;margin-top:729.85pt;width:470.9pt;height:.5pt;z-index:-2127718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593" o:spid="_x0000_s2073" type="#_x0000_t202" style="position:absolute;margin-left:513.95pt;margin-top:730.2pt;width:27.15pt;height:14.4pt;z-index:-21276672;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252</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599" o:spid="_x0000_s2071" style="position:absolute;margin-left:70.55pt;margin-top:729.85pt;width:470.9pt;height:.5pt;z-index:-2127564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600" o:spid="_x0000_s2070" type="#_x0000_t202" style="position:absolute;margin-left:513.95pt;margin-top:730.2pt;width:27.15pt;height:14.4pt;z-index:-21275136;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256</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606" o:spid="_x0000_s2068" style="position:absolute;margin-left:70.55pt;margin-top:729.85pt;width:470.9pt;height:.5pt;z-index:-21274112;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607" o:spid="_x0000_s2067" type="#_x0000_t202" style="position:absolute;margin-left:513.95pt;margin-top:730.2pt;width:27.15pt;height:14.4pt;z-index:-21273600;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258</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614" o:spid="_x0000_s2065" style="position:absolute;margin-left:70.55pt;margin-top:729.85pt;width:470.9pt;height:.5pt;z-index:-21272576;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615" o:spid="_x0000_s2064" type="#_x0000_t202" style="position:absolute;margin-left:513.95pt;margin-top:730.2pt;width:27.15pt;height:14.4pt;z-index:-21272064;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260</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621" o:spid="_x0000_s2062" style="position:absolute;margin-left:70.55pt;margin-top:729.85pt;width:470.9pt;height:.5pt;z-index:-21271040;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622" o:spid="_x0000_s2061" type="#_x0000_t202" style="position:absolute;margin-left:513.95pt;margin-top:730.2pt;width:27.15pt;height:14.4pt;z-index:-21270528;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263</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628" o:spid="_x0000_s2059" style="position:absolute;margin-left:70.55pt;margin-top:729.85pt;width:470.9pt;height:.5pt;z-index:-2126950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629" o:spid="_x0000_s2058" type="#_x0000_t202" style="position:absolute;margin-left:513.95pt;margin-top:730.2pt;width:27.15pt;height:14.4pt;z-index:-21268992;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267</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153" o:spid="_x0000_s2181" type="#_x0000_t202" style="position:absolute;margin-left:519.7pt;margin-top:730.2pt;width:21.4pt;height:14.4pt;z-index:-21331968;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21</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635" o:spid="_x0000_s2056" style="position:absolute;margin-left:70.55pt;margin-top:729.85pt;width:470.9pt;height:.5pt;z-index:-2126796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636" o:spid="_x0000_s2055" type="#_x0000_t202" style="position:absolute;margin-left:513.85pt;margin-top:730.2pt;width:27.15pt;height:14.4pt;z-index:-21267456;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270</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642" o:spid="_x0000_s2053" type="#_x0000_t202" style="position:absolute;margin-left:520.9pt;margin-top:741.3pt;width:27.25pt;height:12.6pt;z-index:-21266432;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271</w:t>
                </w:r>
                <w:r>
                  <w:rPr>
                    <w:sz w:val="21"/>
                  </w:rPr>
                  <w:fldChar w:fldCharType="end"/>
                </w:r>
                <w:r>
                  <w:rPr>
                    <w:spacing w:val="-1"/>
                    <w:sz w:val="21"/>
                  </w:rPr>
                  <w:t xml:space="preserve"> </w:t>
                </w:r>
                <w:r>
                  <w:rPr>
                    <w:spacing w:val="-10"/>
                    <w:sz w:val="21"/>
                  </w:rPr>
                  <w:t>|</w:t>
                </w:r>
              </w:p>
            </w:txbxContent>
          </v:textbox>
          <w10:wrap anchorx="page" anchory="page"/>
        </v:shape>
      </w:pict>
    </w: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645" o:spid="_x0000_s2051" style="position:absolute;margin-left:63.6pt;margin-top:738.85pt;width:484.9pt;height:.5pt;z-index:-21265408;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646" o:spid="_x0000_s2050" type="#_x0000_t202" style="position:absolute;margin-left:520.9pt;margin-top:741.3pt;width:27.25pt;height:12.6pt;z-index:-21264896;mso-position-horizontal-relative:page;mso-position-vertical-relative:page" filled="f" stroked="f">
          <v:textbox inset="0,0,0,0">
            <w:txbxContent>
              <w:p w:rsidR="00200FDA" w:rsidRDefault="00F76C4C">
                <w:pPr>
                  <w:spacing w:line="235" w:lineRule="exact"/>
                  <w:ind w:left="60"/>
                  <w:rPr>
                    <w:sz w:val="21"/>
                  </w:rPr>
                </w:pPr>
                <w:r>
                  <w:rPr>
                    <w:sz w:val="21"/>
                  </w:rPr>
                  <w:fldChar w:fldCharType="begin"/>
                </w:r>
                <w:r>
                  <w:rPr>
                    <w:sz w:val="21"/>
                  </w:rPr>
                  <w:instrText xml:space="preserve"> PAGE </w:instrText>
                </w:r>
                <w:r>
                  <w:rPr>
                    <w:sz w:val="21"/>
                  </w:rPr>
                  <w:fldChar w:fldCharType="separate"/>
                </w:r>
                <w:r w:rsidR="00340860">
                  <w:rPr>
                    <w:noProof/>
                    <w:sz w:val="21"/>
                  </w:rPr>
                  <w:t>276</w:t>
                </w:r>
                <w:r>
                  <w:rPr>
                    <w:sz w:val="21"/>
                  </w:rPr>
                  <w:fldChar w:fldCharType="end"/>
                </w:r>
                <w:r>
                  <w:rPr>
                    <w:spacing w:val="-1"/>
                    <w:sz w:val="21"/>
                  </w:rPr>
                  <w:t xml:space="preserve"> </w:t>
                </w:r>
                <w:r>
                  <w:rPr>
                    <w:spacing w:val="-10"/>
                    <w:sz w:val="21"/>
                  </w:rPr>
                  <w:t>|</w:t>
                </w:r>
              </w:p>
            </w:txbxContent>
          </v:textbox>
          <w10:wrap anchorx="page" anchory="page"/>
        </v:shape>
      </w:pict>
    </w: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rect id="docshape186" o:spid="_x0000_s2179" style="position:absolute;margin-left:70.55pt;margin-top:722.65pt;width:470.9pt;height:.5pt;z-index:-21330944;mso-position-horizontal-relative:page;mso-position-vertical-relative:page" fillcolor="#d9d9d9" stroked="f">
          <w10:wrap anchorx="page" anchory="page"/>
        </v:rect>
      </w:pict>
    </w:r>
    <w:r>
      <w:pict>
        <v:shapetype id="_x0000_t202" coordsize="21600,21600" o:spt="202" path="m,l,21600r21600,l21600,xe">
          <v:stroke joinstyle="miter"/>
          <v:path gradientshapeok="t" o:connecttype="rect"/>
        </v:shapetype>
        <v:shape id="docshape187" o:spid="_x0000_s2178" type="#_x0000_t202" style="position:absolute;margin-left:519.7pt;margin-top:723pt;width:21.4pt;height:14.4pt;z-index:-21330432;mso-position-horizontal-relative:page;mso-position-vertical-relative:page" filled="f" stroked="f">
          <v:textbox inset="0,0,0,0">
            <w:txbxContent>
              <w:p w:rsidR="00200FDA" w:rsidRDefault="00F76C4C">
                <w:pPr>
                  <w:spacing w:before="21"/>
                  <w:ind w:left="60"/>
                  <w:rPr>
                    <w:rFonts w:ascii="Cambria"/>
                    <w:sz w:val="21"/>
                  </w:rPr>
                </w:pPr>
                <w:r>
                  <w:rPr>
                    <w:rFonts w:ascii="Cambria"/>
                    <w:sz w:val="21"/>
                  </w:rPr>
                  <w:fldChar w:fldCharType="begin"/>
                </w:r>
                <w:r>
                  <w:rPr>
                    <w:rFonts w:ascii="Cambria"/>
                    <w:sz w:val="21"/>
                  </w:rPr>
                  <w:instrText xml:space="preserve"> PAGE </w:instrText>
                </w:r>
                <w:r>
                  <w:rPr>
                    <w:rFonts w:ascii="Cambria"/>
                    <w:sz w:val="21"/>
                  </w:rPr>
                  <w:fldChar w:fldCharType="separate"/>
                </w:r>
                <w:r w:rsidR="00340860">
                  <w:rPr>
                    <w:rFonts w:ascii="Cambria"/>
                    <w:noProof/>
                    <w:sz w:val="21"/>
                  </w:rPr>
                  <w:t>35</w:t>
                </w:r>
                <w:r>
                  <w:rPr>
                    <w:rFonts w:ascii="Cambria"/>
                    <w:sz w:val="21"/>
                  </w:rPr>
                  <w:fldChar w:fldCharType="end"/>
                </w:r>
                <w:r>
                  <w:rPr>
                    <w:rFonts w:ascii="Cambria"/>
                    <w:sz w:val="21"/>
                  </w:rPr>
                  <w:t xml:space="preserve"> </w:t>
                </w:r>
                <w:r>
                  <w:rPr>
                    <w:rFonts w:ascii="Cambria"/>
                    <w:spacing w:val="-10"/>
                    <w:sz w:val="21"/>
                  </w:rPr>
                  <w:t>|</w:t>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C4C" w:rsidRDefault="00F76C4C">
      <w:r>
        <w:separator/>
      </w:r>
    </w:p>
  </w:footnote>
  <w:footnote w:type="continuationSeparator" w:id="0">
    <w:p w:rsidR="00F76C4C" w:rsidRDefault="00F76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13" o:spid="_x0000_s2194" type="#_x0000_t202" style="position:absolute;margin-left:71pt;margin-top:37.05pt;width:68.7pt;height:12.6pt;z-index:-21338624;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3"/>
                    <w:sz w:val="21"/>
                  </w:rPr>
                  <w:t xml:space="preserve"> </w:t>
                </w:r>
                <w:r>
                  <w:rPr>
                    <w:sz w:val="21"/>
                  </w:rPr>
                  <w:t>2024</w:t>
                </w:r>
                <w:r>
                  <w:rPr>
                    <w:spacing w:val="-2"/>
                    <w:sz w:val="21"/>
                  </w:rPr>
                  <w:t xml:space="preserve"> LETTER</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24" o:spid="_x0000_s2177" type="#_x0000_t202" style="position:absolute;margin-left:71pt;margin-top:37.05pt;width:68.85pt;height:12.6pt;z-index:-21329920;mso-position-horizontal-relative:page;mso-position-vertical-relative:page" filled="f" stroked="f">
          <v:textbox inset="0,0,0,0">
            <w:txbxContent>
              <w:p w:rsidR="00200FDA" w:rsidRDefault="00F76C4C">
                <w:pPr>
                  <w:spacing w:line="235" w:lineRule="exact"/>
                  <w:ind w:left="20"/>
                  <w:rPr>
                    <w:sz w:val="21"/>
                  </w:rPr>
                </w:pPr>
                <w:r>
                  <w:rPr>
                    <w:sz w:val="21"/>
                  </w:rPr>
                  <w:t>PUBLIC</w:t>
                </w:r>
                <w:r>
                  <w:rPr>
                    <w:spacing w:val="-5"/>
                    <w:sz w:val="21"/>
                  </w:rPr>
                  <w:t xml:space="preserve"> </w:t>
                </w:r>
                <w:r>
                  <w:rPr>
                    <w:spacing w:val="-2"/>
                    <w:sz w:val="21"/>
                  </w:rPr>
                  <w:t>HEALTH</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33" o:spid="_x0000_s2174" type="#_x0000_t202" style="position:absolute;margin-left:71pt;margin-top:37.05pt;width:68.85pt;height:12.6pt;z-index:-21328384;mso-position-horizontal-relative:page;mso-position-vertical-relative:page" filled="f" stroked="f">
          <v:textbox inset="0,0,0,0">
            <w:txbxContent>
              <w:p w:rsidR="00200FDA" w:rsidRDefault="00F76C4C">
                <w:pPr>
                  <w:spacing w:line="235" w:lineRule="exact"/>
                  <w:ind w:left="20"/>
                  <w:rPr>
                    <w:sz w:val="21"/>
                  </w:rPr>
                </w:pPr>
                <w:r>
                  <w:rPr>
                    <w:sz w:val="21"/>
                  </w:rPr>
                  <w:t>PUBLIC</w:t>
                </w:r>
                <w:r>
                  <w:rPr>
                    <w:spacing w:val="-5"/>
                    <w:sz w:val="21"/>
                  </w:rPr>
                  <w:t xml:space="preserve"> </w:t>
                </w:r>
                <w:r>
                  <w:rPr>
                    <w:spacing w:val="-2"/>
                    <w:sz w:val="21"/>
                  </w:rPr>
                  <w:t>HEALTH</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35" o:spid="_x0000_s2172" type="#_x0000_t202" style="position:absolute;margin-left:71pt;margin-top:37.05pt;width:68.85pt;height:12.6pt;z-index:-21327360;mso-position-horizontal-relative:page;mso-position-vertical-relative:page" filled="f" stroked="f">
          <v:textbox inset="0,0,0,0">
            <w:txbxContent>
              <w:p w:rsidR="00200FDA" w:rsidRDefault="00F76C4C">
                <w:pPr>
                  <w:spacing w:line="235" w:lineRule="exact"/>
                  <w:ind w:left="20"/>
                  <w:rPr>
                    <w:sz w:val="21"/>
                  </w:rPr>
                </w:pPr>
                <w:r>
                  <w:rPr>
                    <w:sz w:val="21"/>
                  </w:rPr>
                  <w:t>PUBLIC</w:t>
                </w:r>
                <w:r>
                  <w:rPr>
                    <w:spacing w:val="-5"/>
                    <w:sz w:val="21"/>
                  </w:rPr>
                  <w:t xml:space="preserve"> </w:t>
                </w:r>
                <w:r>
                  <w:rPr>
                    <w:spacing w:val="-2"/>
                    <w:sz w:val="21"/>
                  </w:rPr>
                  <w:t>HEALTH</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38" o:spid="_x0000_s2169" type="#_x0000_t202" style="position:absolute;margin-left:71pt;margin-top:37.05pt;width:68.85pt;height:12.6pt;z-index:-21325824;mso-position-horizontal-relative:page;mso-position-vertical-relative:page" filled="f" stroked="f">
          <v:textbox inset="0,0,0,0">
            <w:txbxContent>
              <w:p w:rsidR="00200FDA" w:rsidRDefault="00F76C4C">
                <w:pPr>
                  <w:spacing w:line="235" w:lineRule="exact"/>
                  <w:ind w:left="20"/>
                  <w:rPr>
                    <w:sz w:val="21"/>
                  </w:rPr>
                </w:pPr>
                <w:r>
                  <w:rPr>
                    <w:sz w:val="21"/>
                  </w:rPr>
                  <w:t>PUBLIC</w:t>
                </w:r>
                <w:r>
                  <w:rPr>
                    <w:spacing w:val="-5"/>
                    <w:sz w:val="21"/>
                  </w:rPr>
                  <w:t xml:space="preserve"> </w:t>
                </w:r>
                <w:r>
                  <w:rPr>
                    <w:spacing w:val="-2"/>
                    <w:sz w:val="21"/>
                  </w:rPr>
                  <w:t>HEALTH</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41" o:spid="_x0000_s2167" type="#_x0000_t202" style="position:absolute;margin-left:71pt;margin-top:37.05pt;width:68.85pt;height:12.6pt;z-index:-21324800;mso-position-horizontal-relative:page;mso-position-vertical-relative:page" filled="f" stroked="f">
          <v:textbox inset="0,0,0,0">
            <w:txbxContent>
              <w:p w:rsidR="00200FDA" w:rsidRDefault="00F76C4C">
                <w:pPr>
                  <w:spacing w:line="235" w:lineRule="exact"/>
                  <w:ind w:left="20"/>
                  <w:rPr>
                    <w:sz w:val="21"/>
                  </w:rPr>
                </w:pPr>
                <w:r>
                  <w:rPr>
                    <w:sz w:val="21"/>
                  </w:rPr>
                  <w:t>PUBLIC</w:t>
                </w:r>
                <w:r>
                  <w:rPr>
                    <w:spacing w:val="-5"/>
                    <w:sz w:val="21"/>
                  </w:rPr>
                  <w:t xml:space="preserve"> </w:t>
                </w:r>
                <w:r>
                  <w:rPr>
                    <w:spacing w:val="-2"/>
                    <w:sz w:val="21"/>
                  </w:rPr>
                  <w:t>HEALTH</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69" o:spid="_x0000_s2164" type="#_x0000_t202" style="position:absolute;margin-left:71pt;margin-top:37.05pt;width:74.85pt;height:12.6pt;z-index:-21323264;mso-position-horizontal-relative:page;mso-position-vertical-relative:page" filled="f" stroked="f">
          <v:textbox inset="0,0,0,0">
            <w:txbxContent>
              <w:p w:rsidR="00200FDA" w:rsidRDefault="00F76C4C">
                <w:pPr>
                  <w:spacing w:line="235" w:lineRule="exact"/>
                  <w:ind w:left="20"/>
                  <w:rPr>
                    <w:sz w:val="21"/>
                  </w:rPr>
                </w:pPr>
                <w:r>
                  <w:rPr>
                    <w:sz w:val="21"/>
                  </w:rPr>
                  <w:t>MENTAL</w:t>
                </w:r>
                <w:r>
                  <w:rPr>
                    <w:spacing w:val="-7"/>
                    <w:sz w:val="21"/>
                  </w:rPr>
                  <w:t xml:space="preserve"> </w:t>
                </w:r>
                <w:r>
                  <w:rPr>
                    <w:spacing w:val="-2"/>
                    <w:sz w:val="21"/>
                  </w:rPr>
                  <w:t>HEALTH</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77" o:spid="_x0000_s2161" type="#_x0000_t202" style="position:absolute;margin-left:71pt;margin-top:37.05pt;width:74.85pt;height:12.6pt;z-index:-21321728;mso-position-horizontal-relative:page;mso-position-vertical-relative:page" filled="f" stroked="f">
          <v:textbox inset="0,0,0,0">
            <w:txbxContent>
              <w:p w:rsidR="00200FDA" w:rsidRDefault="00F76C4C">
                <w:pPr>
                  <w:spacing w:line="235" w:lineRule="exact"/>
                  <w:ind w:left="20"/>
                  <w:rPr>
                    <w:sz w:val="21"/>
                  </w:rPr>
                </w:pPr>
                <w:r>
                  <w:rPr>
                    <w:sz w:val="21"/>
                  </w:rPr>
                  <w:t>MENTAL</w:t>
                </w:r>
                <w:r>
                  <w:rPr>
                    <w:spacing w:val="-7"/>
                    <w:sz w:val="21"/>
                  </w:rPr>
                  <w:t xml:space="preserve"> </w:t>
                </w:r>
                <w:r>
                  <w:rPr>
                    <w:spacing w:val="-2"/>
                    <w:sz w:val="21"/>
                  </w:rPr>
                  <w:t>HEALTH</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79" o:spid="_x0000_s2159" type="#_x0000_t202" style="position:absolute;margin-left:71pt;margin-top:37.05pt;width:74.85pt;height:12.6pt;z-index:-21320704;mso-position-horizontal-relative:page;mso-position-vertical-relative:page" filled="f" stroked="f">
          <v:textbox inset="0,0,0,0">
            <w:txbxContent>
              <w:p w:rsidR="00200FDA" w:rsidRDefault="00F76C4C">
                <w:pPr>
                  <w:spacing w:line="235" w:lineRule="exact"/>
                  <w:ind w:left="20"/>
                  <w:rPr>
                    <w:sz w:val="21"/>
                  </w:rPr>
                </w:pPr>
                <w:r>
                  <w:rPr>
                    <w:sz w:val="21"/>
                  </w:rPr>
                  <w:t>MENTAL</w:t>
                </w:r>
                <w:r>
                  <w:rPr>
                    <w:spacing w:val="-7"/>
                    <w:sz w:val="21"/>
                  </w:rPr>
                  <w:t xml:space="preserve"> </w:t>
                </w:r>
                <w:r>
                  <w:rPr>
                    <w:spacing w:val="-2"/>
                    <w:sz w:val="21"/>
                  </w:rPr>
                  <w:t>HEALTH</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84" o:spid="_x0000_s2156" type="#_x0000_t202" style="position:absolute;margin-left:71pt;margin-top:37.05pt;width:74.85pt;height:12.6pt;z-index:-21319168;mso-position-horizontal-relative:page;mso-position-vertical-relative:page" filled="f" stroked="f">
          <v:textbox inset="0,0,0,0">
            <w:txbxContent>
              <w:p w:rsidR="00200FDA" w:rsidRDefault="00F76C4C">
                <w:pPr>
                  <w:spacing w:line="235" w:lineRule="exact"/>
                  <w:ind w:left="20"/>
                  <w:rPr>
                    <w:sz w:val="21"/>
                  </w:rPr>
                </w:pPr>
                <w:r>
                  <w:rPr>
                    <w:sz w:val="21"/>
                  </w:rPr>
                  <w:t>MENTAL</w:t>
                </w:r>
                <w:r>
                  <w:rPr>
                    <w:spacing w:val="-7"/>
                    <w:sz w:val="21"/>
                  </w:rPr>
                  <w:t xml:space="preserve"> </w:t>
                </w:r>
                <w:r>
                  <w:rPr>
                    <w:spacing w:val="-2"/>
                    <w:sz w:val="21"/>
                  </w:rPr>
                  <w:t>HEALTH</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85" o:spid="_x0000_s2155" type="#_x0000_t202" style="position:absolute;margin-left:71pt;margin-top:37.05pt;width:74.85pt;height:12.6pt;z-index:-21318656;mso-position-horizontal-relative:page;mso-position-vertical-relative:page" filled="f" stroked="f">
          <v:textbox inset="0,0,0,0">
            <w:txbxContent>
              <w:p w:rsidR="00200FDA" w:rsidRDefault="00F76C4C">
                <w:pPr>
                  <w:spacing w:line="235" w:lineRule="exact"/>
                  <w:ind w:left="20"/>
                  <w:rPr>
                    <w:sz w:val="21"/>
                  </w:rPr>
                </w:pPr>
                <w:r>
                  <w:rPr>
                    <w:sz w:val="21"/>
                  </w:rPr>
                  <w:t>MENTAL</w:t>
                </w:r>
                <w:r>
                  <w:rPr>
                    <w:spacing w:val="-7"/>
                    <w:sz w:val="21"/>
                  </w:rPr>
                  <w:t xml:space="preserve"> </w:t>
                </w:r>
                <w:r>
                  <w:rPr>
                    <w:spacing w:val="-2"/>
                    <w:sz w:val="21"/>
                  </w:rPr>
                  <w:t>HEALTH</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98" o:spid="_x0000_s2153" type="#_x0000_t202" style="position:absolute;margin-left:71pt;margin-top:37.05pt;width:83.1pt;height:12.6pt;z-index:-21317632;mso-position-horizontal-relative:page;mso-position-vertical-relative:page" filled="f" stroked="f">
          <v:textbox inset="0,0,0,0">
            <w:txbxContent>
              <w:p w:rsidR="00200FDA" w:rsidRDefault="00F76C4C">
                <w:pPr>
                  <w:spacing w:line="235" w:lineRule="exact"/>
                  <w:ind w:left="20"/>
                  <w:rPr>
                    <w:sz w:val="21"/>
                  </w:rPr>
                </w:pPr>
                <w:r>
                  <w:rPr>
                    <w:sz w:val="21"/>
                  </w:rPr>
                  <w:t>PEDIATRIC</w:t>
                </w:r>
                <w:r>
                  <w:rPr>
                    <w:spacing w:val="-7"/>
                    <w:sz w:val="21"/>
                  </w:rPr>
                  <w:t xml:space="preserve"> </w:t>
                </w:r>
                <w:r>
                  <w:rPr>
                    <w:spacing w:val="-2"/>
                    <w:sz w:val="21"/>
                  </w:rPr>
                  <w:t>HEALTH</w:t>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318" o:spid="_x0000_s2150" type="#_x0000_t202" style="position:absolute;margin-left:71pt;margin-top:36.9pt;width:176.35pt;height:12.6pt;z-index:-21316096;mso-position-horizontal-relative:page;mso-position-vertical-relative:page" filled="f" stroked="f">
          <v:textbox inset="0,0,0,0">
            <w:txbxContent>
              <w:p w:rsidR="00200FDA" w:rsidRDefault="00F76C4C">
                <w:pPr>
                  <w:spacing w:line="235" w:lineRule="exact"/>
                  <w:ind w:left="20"/>
                  <w:rPr>
                    <w:sz w:val="21"/>
                  </w:rPr>
                </w:pPr>
                <w:r>
                  <w:rPr>
                    <w:sz w:val="21"/>
                  </w:rPr>
                  <w:t>PREGNANCY</w:t>
                </w:r>
                <w:r>
                  <w:rPr>
                    <w:spacing w:val="-11"/>
                    <w:sz w:val="21"/>
                  </w:rPr>
                  <w:t xml:space="preserve"> </w:t>
                </w:r>
                <w:r>
                  <w:rPr>
                    <w:sz w:val="21"/>
                  </w:rPr>
                  <w:t>&amp;</w:t>
                </w:r>
                <w:r>
                  <w:rPr>
                    <w:spacing w:val="-9"/>
                    <w:sz w:val="21"/>
                  </w:rPr>
                  <w:t xml:space="preserve"> </w:t>
                </w:r>
                <w:r>
                  <w:rPr>
                    <w:sz w:val="21"/>
                  </w:rPr>
                  <w:t>GYNECOLOGICAL</w:t>
                </w:r>
                <w:r>
                  <w:rPr>
                    <w:spacing w:val="-9"/>
                    <w:sz w:val="21"/>
                  </w:rPr>
                  <w:t xml:space="preserve"> </w:t>
                </w:r>
                <w:r>
                  <w:rPr>
                    <w:spacing w:val="-2"/>
                    <w:sz w:val="21"/>
                  </w:rPr>
                  <w:t>HEALTH</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325" o:spid="_x0000_s2147" type="#_x0000_t202" style="position:absolute;margin-left:71pt;margin-top:36.9pt;width:176.35pt;height:12.6pt;z-index:-21314560;mso-position-horizontal-relative:page;mso-position-vertical-relative:page" filled="f" stroked="f">
          <v:textbox inset="0,0,0,0">
            <w:txbxContent>
              <w:p w:rsidR="00200FDA" w:rsidRDefault="00F76C4C">
                <w:pPr>
                  <w:spacing w:line="235" w:lineRule="exact"/>
                  <w:ind w:left="20"/>
                  <w:rPr>
                    <w:sz w:val="21"/>
                  </w:rPr>
                </w:pPr>
                <w:r>
                  <w:rPr>
                    <w:sz w:val="21"/>
                  </w:rPr>
                  <w:t>PREGNANCY</w:t>
                </w:r>
                <w:r>
                  <w:rPr>
                    <w:spacing w:val="-11"/>
                    <w:sz w:val="21"/>
                  </w:rPr>
                  <w:t xml:space="preserve"> </w:t>
                </w:r>
                <w:r>
                  <w:rPr>
                    <w:sz w:val="21"/>
                  </w:rPr>
                  <w:t>&amp;</w:t>
                </w:r>
                <w:r>
                  <w:rPr>
                    <w:spacing w:val="-9"/>
                    <w:sz w:val="21"/>
                  </w:rPr>
                  <w:t xml:space="preserve"> </w:t>
                </w:r>
                <w:r>
                  <w:rPr>
                    <w:sz w:val="21"/>
                  </w:rPr>
                  <w:t>GYNECOLOGICAL</w:t>
                </w:r>
                <w:r>
                  <w:rPr>
                    <w:spacing w:val="-9"/>
                    <w:sz w:val="21"/>
                  </w:rPr>
                  <w:t xml:space="preserve"> </w:t>
                </w:r>
                <w:r>
                  <w:rPr>
                    <w:spacing w:val="-2"/>
                    <w:sz w:val="21"/>
                  </w:rPr>
                  <w:t>HEALTH</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342" o:spid="_x0000_s2144" type="#_x0000_t202" style="position:absolute;margin-left:71pt;margin-top:37.05pt;width:125pt;height:12.6pt;z-index:-21313024;mso-position-horizontal-relative:page;mso-position-vertical-relative:page" filled="f" stroked="f">
          <v:textbox inset="0,0,0,0">
            <w:txbxContent>
              <w:p w:rsidR="00200FDA" w:rsidRDefault="00F76C4C">
                <w:pPr>
                  <w:spacing w:line="235" w:lineRule="exact"/>
                  <w:ind w:left="20"/>
                  <w:rPr>
                    <w:sz w:val="21"/>
                  </w:rPr>
                </w:pPr>
                <w:r>
                  <w:rPr>
                    <w:sz w:val="21"/>
                  </w:rPr>
                  <w:t>IMPROVING</w:t>
                </w:r>
                <w:r>
                  <w:rPr>
                    <w:spacing w:val="-7"/>
                    <w:sz w:val="21"/>
                  </w:rPr>
                  <w:t xml:space="preserve"> </w:t>
                </w:r>
                <w:r>
                  <w:rPr>
                    <w:sz w:val="21"/>
                  </w:rPr>
                  <w:t>SEXUAL</w:t>
                </w:r>
                <w:r>
                  <w:rPr>
                    <w:spacing w:val="-10"/>
                    <w:sz w:val="21"/>
                  </w:rPr>
                  <w:t xml:space="preserve"> </w:t>
                </w:r>
                <w:r>
                  <w:rPr>
                    <w:spacing w:val="-2"/>
                    <w:sz w:val="21"/>
                  </w:rPr>
                  <w:t>HEALTH</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351" o:spid="_x0000_s2141" type="#_x0000_t202" style="position:absolute;margin-left:71pt;margin-top:37.05pt;width:125pt;height:12.6pt;z-index:-21311488;mso-position-horizontal-relative:page;mso-position-vertical-relative:page" filled="f" stroked="f">
          <v:textbox inset="0,0,0,0">
            <w:txbxContent>
              <w:p w:rsidR="00200FDA" w:rsidRDefault="00F76C4C">
                <w:pPr>
                  <w:spacing w:line="235" w:lineRule="exact"/>
                  <w:ind w:left="20"/>
                  <w:rPr>
                    <w:sz w:val="21"/>
                  </w:rPr>
                </w:pPr>
                <w:r>
                  <w:rPr>
                    <w:sz w:val="21"/>
                  </w:rPr>
                  <w:t>IMPROVING</w:t>
                </w:r>
                <w:r>
                  <w:rPr>
                    <w:spacing w:val="-7"/>
                    <w:sz w:val="21"/>
                  </w:rPr>
                  <w:t xml:space="preserve"> </w:t>
                </w:r>
                <w:r>
                  <w:rPr>
                    <w:sz w:val="21"/>
                  </w:rPr>
                  <w:t>SEXUAL</w:t>
                </w:r>
                <w:r>
                  <w:rPr>
                    <w:spacing w:val="-10"/>
                    <w:sz w:val="21"/>
                  </w:rPr>
                  <w:t xml:space="preserve"> </w:t>
                </w:r>
                <w:r>
                  <w:rPr>
                    <w:spacing w:val="-2"/>
                    <w:sz w:val="21"/>
                  </w:rPr>
                  <w:t>HEALTH</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17" o:spid="_x0000_s2192" type="#_x0000_t202" style="position:absolute;margin-left:179.85pt;margin-top:55.25pt;width:318.9pt;height:43.75pt;z-index:-21337600;mso-position-horizontal-relative:page;mso-position-vertical-relative:page" filled="f" stroked="f">
          <v:textbox inset="0,0,0,0">
            <w:txbxContent>
              <w:p w:rsidR="00200FDA" w:rsidRDefault="00F76C4C">
                <w:pPr>
                  <w:spacing w:before="14"/>
                  <w:ind w:left="20"/>
                  <w:rPr>
                    <w:rFonts w:ascii="Georgia"/>
                    <w:sz w:val="73"/>
                  </w:rPr>
                </w:pPr>
                <w:r>
                  <w:rPr>
                    <w:rFonts w:ascii="Georgia"/>
                    <w:spacing w:val="-22"/>
                    <w:sz w:val="73"/>
                  </w:rPr>
                  <w:t>AGENCY</w:t>
                </w:r>
                <w:r>
                  <w:rPr>
                    <w:rFonts w:ascii="Georgia"/>
                    <w:spacing w:val="-19"/>
                    <w:sz w:val="73"/>
                  </w:rPr>
                  <w:t xml:space="preserve"> </w:t>
                </w:r>
                <w:r>
                  <w:rPr>
                    <w:rFonts w:ascii="Georgia"/>
                    <w:spacing w:val="-22"/>
                    <w:sz w:val="73"/>
                  </w:rPr>
                  <w:t>TABLE</w:t>
                </w:r>
                <w:r>
                  <w:rPr>
                    <w:rFonts w:ascii="Georgia"/>
                    <w:spacing w:val="-19"/>
                    <w:sz w:val="73"/>
                  </w:rPr>
                  <w:t xml:space="preserve"> </w:t>
                </w:r>
                <w:r>
                  <w:rPr>
                    <w:rFonts w:ascii="Georgia"/>
                    <w:spacing w:val="-22"/>
                    <w:sz w:val="73"/>
                  </w:rPr>
                  <w:t>OF</w:t>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358" o:spid="_x0000_s2135" type="#_x0000_t202" style="position:absolute;margin-left:71pt;margin-top:37.05pt;width:125pt;height:12.6pt;z-index:-21308416;mso-position-horizontal-relative:page;mso-position-vertical-relative:page" filled="f" stroked="f">
          <v:textbox inset="0,0,0,0">
            <w:txbxContent>
              <w:p w:rsidR="00200FDA" w:rsidRDefault="00F76C4C">
                <w:pPr>
                  <w:spacing w:line="235" w:lineRule="exact"/>
                  <w:ind w:left="20"/>
                  <w:rPr>
                    <w:sz w:val="21"/>
                  </w:rPr>
                </w:pPr>
                <w:r>
                  <w:rPr>
                    <w:sz w:val="21"/>
                  </w:rPr>
                  <w:t>IMPROVING</w:t>
                </w:r>
                <w:r>
                  <w:rPr>
                    <w:spacing w:val="-7"/>
                    <w:sz w:val="21"/>
                  </w:rPr>
                  <w:t xml:space="preserve"> </w:t>
                </w:r>
                <w:r>
                  <w:rPr>
                    <w:sz w:val="21"/>
                  </w:rPr>
                  <w:t>SEXUAL</w:t>
                </w:r>
                <w:r>
                  <w:rPr>
                    <w:spacing w:val="-10"/>
                    <w:sz w:val="21"/>
                  </w:rPr>
                  <w:t xml:space="preserve"> </w:t>
                </w:r>
                <w:r>
                  <w:rPr>
                    <w:spacing w:val="-2"/>
                    <w:sz w:val="21"/>
                  </w:rPr>
                  <w:t>HEALTH</w:t>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381" o:spid="_x0000_s2132" type="#_x0000_t202" style="position:absolute;margin-left:71pt;margin-top:36.9pt;width:70.45pt;height:12.6pt;z-index:-21306880;mso-position-horizontal-relative:page;mso-position-vertical-relative:page" filled="f" stroked="f">
          <v:textbox inset="0,0,0,0">
            <w:txbxContent>
              <w:p w:rsidR="00200FDA" w:rsidRDefault="00F76C4C">
                <w:pPr>
                  <w:spacing w:line="235" w:lineRule="exact"/>
                  <w:ind w:left="20"/>
                  <w:rPr>
                    <w:sz w:val="21"/>
                  </w:rPr>
                </w:pPr>
                <w:r>
                  <w:rPr>
                    <w:spacing w:val="-2"/>
                    <w:sz w:val="21"/>
                  </w:rPr>
                  <w:t>HOMELESSNESS</w:t>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403" o:spid="_x0000_s2129" type="#_x0000_t202" style="position:absolute;margin-left:71pt;margin-top:26.6pt;width:90.95pt;height:12.6pt;z-index:-21305344;mso-position-horizontal-relative:page;mso-position-vertical-relative:page" filled="f" stroked="f">
          <v:textbox inset="0,0,0,0">
            <w:txbxContent>
              <w:p w:rsidR="00200FDA" w:rsidRDefault="00F76C4C">
                <w:pPr>
                  <w:spacing w:line="235" w:lineRule="exact"/>
                  <w:ind w:left="20"/>
                  <w:rPr>
                    <w:sz w:val="21"/>
                  </w:rPr>
                </w:pPr>
                <w:r>
                  <w:rPr>
                    <w:sz w:val="21"/>
                  </w:rPr>
                  <w:t>ADVANCING</w:t>
                </w:r>
                <w:r>
                  <w:rPr>
                    <w:spacing w:val="-8"/>
                    <w:sz w:val="21"/>
                  </w:rPr>
                  <w:t xml:space="preserve"> </w:t>
                </w:r>
                <w:r>
                  <w:rPr>
                    <w:spacing w:val="-2"/>
                    <w:sz w:val="21"/>
                  </w:rPr>
                  <w:t>JUSTICE</w:t>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429" o:spid="_x0000_s2126" type="#_x0000_t202" style="position:absolute;margin-left:71pt;margin-top:37.15pt;width:131.55pt;height:13.05pt;z-index:-21303808;mso-position-horizontal-relative:page;mso-position-vertical-relative:page" filled="f" stroked="f">
          <v:textbox inset="0,0,0,0">
            <w:txbxContent>
              <w:p w:rsidR="00200FDA" w:rsidRDefault="00F76C4C">
                <w:pPr>
                  <w:pStyle w:val="BodyText"/>
                  <w:spacing w:line="245" w:lineRule="exact"/>
                  <w:ind w:left="20"/>
                </w:pPr>
                <w:r>
                  <w:rPr>
                    <w:spacing w:val="-8"/>
                  </w:rPr>
                  <w:t>INCLUSIVE SERVICE</w:t>
                </w:r>
                <w:r>
                  <w:rPr>
                    <w:spacing w:val="-6"/>
                  </w:rPr>
                  <w:t xml:space="preserve"> </w:t>
                </w:r>
                <w:r>
                  <w:rPr>
                    <w:spacing w:val="-8"/>
                  </w:rPr>
                  <w:t>PROVISION</w:t>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470" o:spid="_x0000_s2123" type="#_x0000_t202" style="position:absolute;margin-left:71pt;margin-top:36.9pt;width:114.35pt;height:12.6pt;z-index:-21302272;mso-position-horizontal-relative:page;mso-position-vertical-relative:page" filled="f" stroked="f">
          <v:textbox inset="0,0,0,0">
            <w:txbxContent>
              <w:p w:rsidR="00200FDA" w:rsidRDefault="00F76C4C">
                <w:pPr>
                  <w:spacing w:line="235" w:lineRule="exact"/>
                  <w:ind w:left="20"/>
                  <w:rPr>
                    <w:sz w:val="21"/>
                  </w:rPr>
                </w:pPr>
                <w:r>
                  <w:rPr>
                    <w:sz w:val="21"/>
                  </w:rPr>
                  <w:t>ENVIRONMENTAL</w:t>
                </w:r>
                <w:r>
                  <w:rPr>
                    <w:spacing w:val="-10"/>
                    <w:sz w:val="21"/>
                  </w:rPr>
                  <w:t xml:space="preserve"> </w:t>
                </w:r>
                <w:r>
                  <w:rPr>
                    <w:spacing w:val="-2"/>
                    <w:sz w:val="21"/>
                  </w:rPr>
                  <w:t>JUSTICE</w:t>
                </w:r>
              </w:p>
            </w:txbxContent>
          </v:textbox>
          <w10:wrap anchorx="page" anchory="page"/>
        </v:shape>
      </w:pic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21" o:spid="_x0000_s2190" type="#_x0000_t202" style="position:absolute;margin-left:71pt;margin-top:37.05pt;width:99.25pt;height:12.6pt;z-index:-21336576;mso-position-horizontal-relative:page;mso-position-vertical-relative:page" filled="f" stroked="f">
          <v:textbox inset="0,0,0,0">
            <w:txbxContent>
              <w:p w:rsidR="00200FDA" w:rsidRDefault="00F76C4C">
                <w:pPr>
                  <w:spacing w:line="235" w:lineRule="exact"/>
                  <w:ind w:left="20"/>
                  <w:rPr>
                    <w:sz w:val="21"/>
                  </w:rPr>
                </w:pPr>
                <w:r>
                  <w:rPr>
                    <w:sz w:val="21"/>
                  </w:rPr>
                  <w:t>2021</w:t>
                </w:r>
                <w:r>
                  <w:rPr>
                    <w:spacing w:val="-4"/>
                    <w:sz w:val="21"/>
                  </w:rPr>
                  <w:t xml:space="preserve"> </w:t>
                </w:r>
                <w:r>
                  <w:rPr>
                    <w:sz w:val="21"/>
                  </w:rPr>
                  <w:t>MYRBS</w:t>
                </w:r>
                <w:r>
                  <w:rPr>
                    <w:spacing w:val="-6"/>
                    <w:sz w:val="21"/>
                  </w:rPr>
                  <w:t xml:space="preserve"> </w:t>
                </w:r>
                <w:r>
                  <w:rPr>
                    <w:spacing w:val="-2"/>
                    <w:sz w:val="21"/>
                  </w:rPr>
                  <w:t>ANALYSIS</w:t>
                </w:r>
              </w:p>
            </w:txbxContent>
          </v:textbox>
          <w10:wrap anchorx="page" anchory="page"/>
        </v:shape>
      </w:pic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489" o:spid="_x0000_s2120" type="#_x0000_t202" style="position:absolute;margin-left:71pt;margin-top:37.05pt;width:155.75pt;height:12.6pt;z-index:-21300736;mso-position-horizontal-relative:page;mso-position-vertical-relative:page" filled="f" stroked="f">
          <v:textbox inset="0,0,0,0">
            <w:txbxContent>
              <w:p w:rsidR="00200FDA" w:rsidRDefault="00F76C4C">
                <w:pPr>
                  <w:spacing w:line="235" w:lineRule="exact"/>
                  <w:ind w:left="20"/>
                  <w:rPr>
                    <w:sz w:val="21"/>
                  </w:rPr>
                </w:pPr>
                <w:r>
                  <w:rPr>
                    <w:sz w:val="21"/>
                  </w:rPr>
                  <w:t>ELIMINATING</w:t>
                </w:r>
                <w:r>
                  <w:rPr>
                    <w:spacing w:val="-7"/>
                    <w:sz w:val="21"/>
                  </w:rPr>
                  <w:t xml:space="preserve"> </w:t>
                </w:r>
                <w:r>
                  <w:rPr>
                    <w:sz w:val="21"/>
                  </w:rPr>
                  <w:t>BARRIERS</w:t>
                </w:r>
                <w:r>
                  <w:rPr>
                    <w:spacing w:val="-7"/>
                    <w:sz w:val="21"/>
                  </w:rPr>
                  <w:t xml:space="preserve"> </w:t>
                </w:r>
                <w:r>
                  <w:rPr>
                    <w:sz w:val="21"/>
                  </w:rPr>
                  <w:t>TO</w:t>
                </w:r>
                <w:r>
                  <w:rPr>
                    <w:spacing w:val="-8"/>
                    <w:sz w:val="21"/>
                  </w:rPr>
                  <w:t xml:space="preserve"> </w:t>
                </w:r>
                <w:r>
                  <w:rPr>
                    <w:spacing w:val="-2"/>
                    <w:sz w:val="21"/>
                  </w:rPr>
                  <w:t>SERVICE</w:t>
                </w:r>
              </w:p>
            </w:txbxContent>
          </v:textbox>
          <w10:wrap anchorx="page" anchory="page"/>
        </v:shape>
      </w:pict>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495" o:spid="_x0000_s2117" type="#_x0000_t202" style="position:absolute;margin-left:71pt;margin-top:37.05pt;width:59.6pt;height:12.6pt;z-index:-21299200;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EEC</w:t>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03" o:spid="_x0000_s2114" type="#_x0000_t202" style="position:absolute;margin-left:71pt;margin-top:37.05pt;width:61.7pt;height:12.6pt;z-index:-21297664;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DHE</w:t>
                </w:r>
              </w:p>
            </w:txbxContent>
          </v:textbox>
          <w10:wrap anchorx="page" anchory="page"/>
        </v:shape>
      </w:pict>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10" o:spid="_x0000_s2111" type="#_x0000_t202" style="position:absolute;margin-left:71pt;margin-top:37.05pt;width:65.2pt;height:12.6pt;z-index:-21296128;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4"/>
                    <w:sz w:val="21"/>
                  </w:rPr>
                  <w:t>DESE</w:t>
                </w:r>
              </w:p>
            </w:txbxContent>
          </v:textbox>
          <w10:wrap anchorx="page" anchory="page"/>
        </v:shape>
      </w:pic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17" o:spid="_x0000_s2108" type="#_x0000_t202" style="position:absolute;margin-left:71pt;margin-top:37.05pt;width:32.2pt;height:12.6pt;z-index:-21294592;mso-position-horizontal-relative:page;mso-position-vertical-relative:page" filled="f" stroked="f">
          <v:textbox inset="0,0,0,0">
            <w:txbxContent>
              <w:p w:rsidR="00200FDA" w:rsidRDefault="00F76C4C">
                <w:pPr>
                  <w:spacing w:line="235" w:lineRule="exact"/>
                  <w:ind w:left="20"/>
                  <w:rPr>
                    <w:sz w:val="21"/>
                  </w:rPr>
                </w:pPr>
                <w:r>
                  <w:rPr>
                    <w:spacing w:val="-4"/>
                    <w:sz w:val="21"/>
                  </w:rPr>
                  <w:t>EOHHS</w:t>
                </w:r>
              </w:p>
            </w:txbxContent>
          </v:textbox>
          <w10:wrap anchorx="page" anchory="page"/>
        </v:shape>
      </w:pict>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21" o:spid="_x0000_s2105" type="#_x0000_t202" style="position:absolute;margin-left:71pt;margin-top:37.05pt;width:60.65pt;height:12.6pt;z-index:-21293056;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DCF</w:t>
                </w:r>
              </w:p>
            </w:txbxContent>
          </v:textbox>
          <w10:wrap anchorx="page" anchory="page"/>
        </v:shape>
      </w:pict>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28" o:spid="_x0000_s2102" type="#_x0000_t202" style="position:absolute;margin-left:71pt;margin-top:37.05pt;width:62.35pt;height:12.6pt;z-index:-21291520;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OCA</w:t>
                </w:r>
              </w:p>
            </w:txbxContent>
          </v:textbox>
          <w10:wrap anchorx="page" anchory="page"/>
        </v:shape>
      </w:pict>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35" o:spid="_x0000_s2099" type="#_x0000_t202" style="position:absolute;margin-left:71pt;margin-top:37.05pt;width:65.2pt;height:12.6pt;z-index:-21289984;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4"/>
                    <w:sz w:val="21"/>
                  </w:rPr>
                  <w:t>CPCS</w:t>
                </w:r>
              </w:p>
            </w:txbxContent>
          </v:textbox>
          <w10:wrap anchorx="page" anchory="page"/>
        </v:shape>
      </w:pict>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42" o:spid="_x0000_s2096" type="#_x0000_t202" style="position:absolute;margin-left:71pt;margin-top:37.05pt;width:63.8pt;height:12.6pt;z-index:-21288448;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MCB</w:t>
                </w:r>
              </w:p>
            </w:txbxContent>
          </v:textbox>
          <w10:wrap anchorx="page" anchory="page"/>
        </v:shape>
      </w:pict>
    </w: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49" o:spid="_x0000_s2093" type="#_x0000_t202" style="position:absolute;margin-left:71pt;margin-top:37.05pt;width:77.85pt;height:12.6pt;z-index:-21286912;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3"/>
                    <w:sz w:val="21"/>
                  </w:rPr>
                  <w:t xml:space="preserve"> </w:t>
                </w:r>
                <w:r>
                  <w:rPr>
                    <w:sz w:val="21"/>
                  </w:rPr>
                  <w:t>2024</w:t>
                </w:r>
                <w:r>
                  <w:rPr>
                    <w:spacing w:val="-1"/>
                    <w:sz w:val="21"/>
                  </w:rPr>
                  <w:t xml:space="preserve"> </w:t>
                </w:r>
                <w:r>
                  <w:rPr>
                    <w:sz w:val="21"/>
                  </w:rPr>
                  <w:t>-</w:t>
                </w:r>
                <w:r>
                  <w:rPr>
                    <w:spacing w:val="-3"/>
                    <w:sz w:val="21"/>
                  </w:rPr>
                  <w:t xml:space="preserve"> </w:t>
                </w:r>
                <w:r>
                  <w:rPr>
                    <w:spacing w:val="-2"/>
                    <w:sz w:val="21"/>
                  </w:rPr>
                  <w:t>MCDHH</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56" o:spid="_x0000_s2090" type="#_x0000_t202" style="position:absolute;margin-left:71pt;margin-top:37.05pt;width:63.85pt;height:12.6pt;z-index:-21285376;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MRC</w:t>
                </w:r>
              </w:p>
            </w:txbxContent>
          </v:textbox>
          <w10:wrap anchorx="page" anchory="page"/>
        </v:shape>
      </w:pict>
    </w: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63" o:spid="_x0000_s2087" type="#_x0000_t202" style="position:absolute;margin-left:71pt;margin-top:37.05pt;width:65.7pt;height:12.6pt;z-index:-21283840;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DMH</w:t>
                </w:r>
              </w:p>
            </w:txbxContent>
          </v:textbox>
          <w10:wrap anchorx="page" anchory="page"/>
        </v:shape>
      </w:pict>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70" o:spid="_x0000_s2084" type="#_x0000_t202" style="position:absolute;margin-left:71pt;margin-top:37.05pt;width:62.1pt;height:12.6pt;z-index:-21282304;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DPH</w:t>
                </w:r>
              </w:p>
            </w:txbxContent>
          </v:textbox>
          <w10:wrap anchorx="page" anchory="page"/>
        </v:shape>
      </w:pict>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77" o:spid="_x0000_s2081" type="#_x0000_t202" style="position:absolute;margin-left:71pt;margin-top:37.05pt;width:91.8pt;height:12.6pt;z-index:-21280768;mso-position-horizontal-relative:page;mso-position-vertical-relative:page" filled="f" stroked="f">
          <v:textbox inset="0,0,0,0">
            <w:txbxContent>
              <w:p w:rsidR="00200FDA" w:rsidRDefault="00F76C4C">
                <w:pPr>
                  <w:spacing w:line="235" w:lineRule="exact"/>
                  <w:ind w:left="20"/>
                  <w:rPr>
                    <w:sz w:val="21"/>
                  </w:rPr>
                </w:pPr>
                <w:r>
                  <w:rPr>
                    <w:sz w:val="21"/>
                  </w:rPr>
                  <w:t>FY2024</w:t>
                </w:r>
                <w:r>
                  <w:rPr>
                    <w:spacing w:val="-3"/>
                    <w:sz w:val="21"/>
                  </w:rPr>
                  <w:t xml:space="preserve"> </w:t>
                </w:r>
                <w:r>
                  <w:rPr>
                    <w:sz w:val="21"/>
                  </w:rPr>
                  <w:t>-</w:t>
                </w:r>
                <w:r>
                  <w:rPr>
                    <w:spacing w:val="-4"/>
                    <w:sz w:val="21"/>
                  </w:rPr>
                  <w:t xml:space="preserve"> </w:t>
                </w:r>
                <w:r>
                  <w:rPr>
                    <w:spacing w:val="-2"/>
                    <w:sz w:val="21"/>
                  </w:rPr>
                  <w:t>MassHealth</w:t>
                </w:r>
              </w:p>
            </w:txbxContent>
          </v:textbox>
          <w10:wrap anchorx="page" anchory="page"/>
        </v:shape>
      </w:pict>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84" o:spid="_x0000_s2078" type="#_x0000_t202" style="position:absolute;margin-left:71pt;margin-top:37.05pt;width:59.05pt;height:12.6pt;z-index:-21279232;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ORI</w:t>
                </w:r>
              </w:p>
            </w:txbxContent>
          </v:textbox>
          <w10:wrap anchorx="page" anchory="page"/>
        </v:shape>
      </w:pict>
    </w: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91" o:spid="_x0000_s2075" type="#_x0000_t202" style="position:absolute;margin-left:71pt;margin-top:37.05pt;width:61.4pt;height:12.6pt;z-index:-21277696;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DTA</w:t>
                </w:r>
              </w:p>
            </w:txbxContent>
          </v:textbox>
          <w10:wrap anchorx="page" anchory="page"/>
        </v:shape>
      </w:pict>
    </w: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598" o:spid="_x0000_s2072" type="#_x0000_t202" style="position:absolute;margin-left:71pt;margin-top:37.05pt;width:60.15pt;height:12.6pt;z-index:-21276160;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DYS</w:t>
                </w:r>
              </w:p>
            </w:txbxContent>
          </v:textbox>
          <w10:wrap anchorx="page" anchory="page"/>
        </v:shape>
      </w:pict>
    </w: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605" o:spid="_x0000_s2069" type="#_x0000_t202" style="position:absolute;margin-left:71pt;margin-top:37.05pt;width:70.85pt;height:12.6pt;z-index:-21274624;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3"/>
                    <w:sz w:val="21"/>
                  </w:rPr>
                  <w:t xml:space="preserve"> </w:t>
                </w:r>
                <w:r>
                  <w:rPr>
                    <w:sz w:val="21"/>
                  </w:rPr>
                  <w:t>2024</w:t>
                </w:r>
                <w:r>
                  <w:rPr>
                    <w:spacing w:val="-1"/>
                    <w:sz w:val="21"/>
                  </w:rPr>
                  <w:t xml:space="preserve"> </w:t>
                </w:r>
                <w:r>
                  <w:rPr>
                    <w:sz w:val="21"/>
                  </w:rPr>
                  <w:t>-</w:t>
                </w:r>
                <w:r>
                  <w:rPr>
                    <w:spacing w:val="-3"/>
                    <w:sz w:val="21"/>
                  </w:rPr>
                  <w:t xml:space="preserve"> </w:t>
                </w:r>
                <w:r>
                  <w:rPr>
                    <w:spacing w:val="-2"/>
                    <w:sz w:val="21"/>
                  </w:rPr>
                  <w:t>EOPSS</w:t>
                </w:r>
              </w:p>
            </w:txbxContent>
          </v:textbox>
          <w10:wrap anchorx="page" anchory="page"/>
        </v:shape>
      </w:pict>
    </w: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613" o:spid="_x0000_s2066" type="#_x0000_t202" style="position:absolute;margin-left:71pt;margin-top:37.05pt;width:64.15pt;height:12.6pt;z-index:-21273088;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5"/>
                    <w:sz w:val="21"/>
                  </w:rPr>
                  <w:t>RMV</w:t>
                </w:r>
              </w:p>
            </w:txbxContent>
          </v:textbox>
          <w10:wrap anchorx="page" anchory="page"/>
        </v:shape>
      </w:pict>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620" o:spid="_x0000_s2063" type="#_x0000_t202" style="position:absolute;margin-left:71pt;margin-top:37.05pt;width:68.25pt;height:12.6pt;z-index:-21271552;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4"/>
                    <w:sz w:val="21"/>
                  </w:rPr>
                  <w:t>MBLC</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143" o:spid="_x0000_s2185" type="#_x0000_t202" style="position:absolute;margin-left:71pt;margin-top:37.05pt;width:102.1pt;height:12.6pt;z-index:-21334016;mso-position-horizontal-relative:page;mso-position-vertical-relative:page" filled="f" stroked="f">
          <v:textbox inset="0,0,0,0">
            <w:txbxContent>
              <w:p w:rsidR="00200FDA" w:rsidRDefault="00F76C4C">
                <w:pPr>
                  <w:spacing w:line="235" w:lineRule="exact"/>
                  <w:ind w:left="20"/>
                  <w:rPr>
                    <w:sz w:val="21"/>
                  </w:rPr>
                </w:pPr>
                <w:r>
                  <w:rPr>
                    <w:sz w:val="21"/>
                  </w:rPr>
                  <w:t>LGBTQ</w:t>
                </w:r>
                <w:r>
                  <w:rPr>
                    <w:spacing w:val="-5"/>
                    <w:sz w:val="21"/>
                  </w:rPr>
                  <w:t xml:space="preserve"> </w:t>
                </w:r>
                <w:r>
                  <w:rPr>
                    <w:sz w:val="21"/>
                  </w:rPr>
                  <w:t>CHILD</w:t>
                </w:r>
                <w:r>
                  <w:rPr>
                    <w:spacing w:val="-5"/>
                    <w:sz w:val="21"/>
                  </w:rPr>
                  <w:t xml:space="preserve"> </w:t>
                </w:r>
                <w:r>
                  <w:rPr>
                    <w:spacing w:val="-2"/>
                    <w:sz w:val="21"/>
                  </w:rPr>
                  <w:t>WELFARE</w:t>
                </w:r>
              </w:p>
            </w:txbxContent>
          </v:textbox>
          <w10:wrap anchorx="page" anchory="page"/>
        </v:shape>
      </w:pict>
    </w: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627" o:spid="_x0000_s2060" type="#_x0000_t202" style="position:absolute;margin-left:71pt;margin-top:37.05pt;width:68.75pt;height:12.6pt;z-index:-21270016;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4"/>
                    <w:sz w:val="21"/>
                  </w:rPr>
                  <w:t>DHCD</w:t>
                </w:r>
              </w:p>
            </w:txbxContent>
          </v:textbox>
          <w10:wrap anchorx="page" anchory="page"/>
        </v:shape>
      </w:pict>
    </w: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634" o:spid="_x0000_s2057" type="#_x0000_t202" style="position:absolute;margin-left:71pt;margin-top:37.15pt;width:79.7pt;height:12pt;z-index:-21268480;mso-position-horizontal-relative:page;mso-position-vertical-relative:page" filled="f" stroked="f">
          <v:textbox inset="0,0,0,0">
            <w:txbxContent>
              <w:p w:rsidR="00200FDA" w:rsidRDefault="00F76C4C">
                <w:pPr>
                  <w:spacing w:line="223" w:lineRule="exact"/>
                  <w:ind w:left="20"/>
                  <w:rPr>
                    <w:sz w:val="20"/>
                  </w:rPr>
                </w:pPr>
                <w:r>
                  <w:rPr>
                    <w:sz w:val="20"/>
                  </w:rPr>
                  <w:t>FY</w:t>
                </w:r>
                <w:r>
                  <w:rPr>
                    <w:spacing w:val="-4"/>
                    <w:sz w:val="20"/>
                  </w:rPr>
                  <w:t xml:space="preserve"> </w:t>
                </w:r>
                <w:r>
                  <w:rPr>
                    <w:sz w:val="20"/>
                  </w:rPr>
                  <w:t>2024</w:t>
                </w:r>
                <w:r>
                  <w:rPr>
                    <w:spacing w:val="-3"/>
                    <w:sz w:val="20"/>
                  </w:rPr>
                  <w:t xml:space="preserve"> </w:t>
                </w:r>
                <w:r>
                  <w:rPr>
                    <w:sz w:val="20"/>
                  </w:rPr>
                  <w:t>-</w:t>
                </w:r>
                <w:r>
                  <w:rPr>
                    <w:spacing w:val="-3"/>
                    <w:sz w:val="20"/>
                  </w:rPr>
                  <w:t xml:space="preserve"> </w:t>
                </w:r>
                <w:r>
                  <w:rPr>
                    <w:spacing w:val="-2"/>
                    <w:sz w:val="20"/>
                  </w:rPr>
                  <w:t>MassHire</w:t>
                </w:r>
              </w:p>
            </w:txbxContent>
          </v:textbox>
          <w10:wrap anchorx="page" anchory="page"/>
        </v:shape>
      </w:pict>
    </w: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641" o:spid="_x0000_s2054" type="#_x0000_t202" style="position:absolute;margin-left:64.05pt;margin-top:41.95pt;width:88.3pt;height:12.6pt;z-index:-21266944;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2"/>
                    <w:sz w:val="21"/>
                  </w:rPr>
                  <w:t>GLOSSARY</w:t>
                </w:r>
              </w:p>
            </w:txbxContent>
          </v:textbox>
          <w10:wrap anchorx="page" anchory="page"/>
        </v:shape>
      </w:pict>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644" o:spid="_x0000_s2052" type="#_x0000_t202" style="position:absolute;margin-left:64.05pt;margin-top:41.95pt;width:88.3pt;height:12.6pt;z-index:-21265920;mso-position-horizontal-relative:page;mso-position-vertical-relative:page" filled="f" stroked="f">
          <v:textbox inset="0,0,0,0">
            <w:txbxContent>
              <w:p w:rsidR="00200FDA" w:rsidRDefault="00F76C4C">
                <w:pPr>
                  <w:spacing w:line="235" w:lineRule="exact"/>
                  <w:ind w:left="20"/>
                  <w:rPr>
                    <w:sz w:val="21"/>
                  </w:rPr>
                </w:pPr>
                <w:r>
                  <w:rPr>
                    <w:sz w:val="21"/>
                  </w:rPr>
                  <w:t>FY</w:t>
                </w:r>
                <w:r>
                  <w:rPr>
                    <w:spacing w:val="-5"/>
                    <w:sz w:val="21"/>
                  </w:rPr>
                  <w:t xml:space="preserve"> </w:t>
                </w:r>
                <w:r>
                  <w:rPr>
                    <w:sz w:val="21"/>
                  </w:rPr>
                  <w:t>2024</w:t>
                </w:r>
                <w:r>
                  <w:rPr>
                    <w:spacing w:val="-1"/>
                    <w:sz w:val="21"/>
                  </w:rPr>
                  <w:t xml:space="preserve"> </w:t>
                </w:r>
                <w:r>
                  <w:rPr>
                    <w:sz w:val="21"/>
                  </w:rPr>
                  <w:t>-</w:t>
                </w:r>
                <w:r>
                  <w:rPr>
                    <w:spacing w:val="-3"/>
                    <w:sz w:val="21"/>
                  </w:rPr>
                  <w:t xml:space="preserve"> </w:t>
                </w:r>
                <w:r>
                  <w:rPr>
                    <w:spacing w:val="-2"/>
                    <w:sz w:val="21"/>
                  </w:rPr>
                  <w:t>GLOSSARY</w:t>
                </w:r>
              </w:p>
            </w:txbxContent>
          </v:textbox>
          <w10:wrap anchorx="page" anchory="page"/>
        </v:shape>
      </w:pict>
    </w: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647" o:spid="_x0000_s2049" type="#_x0000_t202" style="position:absolute;margin-left:71pt;margin-top:37.05pt;width:78.8pt;height:12.6pt;z-index:-21264384;mso-position-horizontal-relative:page;mso-position-vertical-relative:page" filled="f" stroked="f">
          <v:textbox inset="0,0,0,0">
            <w:txbxContent>
              <w:p w:rsidR="00200FDA" w:rsidRDefault="00F76C4C">
                <w:pPr>
                  <w:spacing w:line="235" w:lineRule="exact"/>
                  <w:ind w:left="20"/>
                  <w:rPr>
                    <w:sz w:val="21"/>
                  </w:rPr>
                </w:pPr>
                <w:r>
                  <w:rPr>
                    <w:sz w:val="21"/>
                  </w:rPr>
                  <w:t>FY24</w:t>
                </w:r>
                <w:r>
                  <w:rPr>
                    <w:spacing w:val="-7"/>
                    <w:sz w:val="21"/>
                  </w:rPr>
                  <w:t xml:space="preserve"> </w:t>
                </w:r>
                <w:r>
                  <w:rPr>
                    <w:sz w:val="21"/>
                  </w:rPr>
                  <w:t>Member</w:t>
                </w:r>
                <w:r>
                  <w:rPr>
                    <w:spacing w:val="-5"/>
                    <w:sz w:val="21"/>
                  </w:rPr>
                  <w:t xml:space="preserve"> </w:t>
                </w:r>
                <w:r>
                  <w:rPr>
                    <w:spacing w:val="-4"/>
                    <w:sz w:val="21"/>
                  </w:rPr>
                  <w:t>List</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152" o:spid="_x0000_s2182" type="#_x0000_t202" style="position:absolute;margin-left:71pt;margin-top:37.05pt;width:102.1pt;height:12.6pt;z-index:-21332480;mso-position-horizontal-relative:page;mso-position-vertical-relative:page" filled="f" stroked="f">
          <v:textbox inset="0,0,0,0">
            <w:txbxContent>
              <w:p w:rsidR="00200FDA" w:rsidRDefault="00F76C4C">
                <w:pPr>
                  <w:spacing w:line="235" w:lineRule="exact"/>
                  <w:ind w:left="20"/>
                  <w:rPr>
                    <w:sz w:val="21"/>
                  </w:rPr>
                </w:pPr>
                <w:r>
                  <w:rPr>
                    <w:sz w:val="21"/>
                  </w:rPr>
                  <w:t>LGBTQ</w:t>
                </w:r>
                <w:r>
                  <w:rPr>
                    <w:spacing w:val="-5"/>
                    <w:sz w:val="21"/>
                  </w:rPr>
                  <w:t xml:space="preserve"> </w:t>
                </w:r>
                <w:r>
                  <w:rPr>
                    <w:sz w:val="21"/>
                  </w:rPr>
                  <w:t>CHILD</w:t>
                </w:r>
                <w:r>
                  <w:rPr>
                    <w:spacing w:val="-5"/>
                    <w:sz w:val="21"/>
                  </w:rPr>
                  <w:t xml:space="preserve"> </w:t>
                </w:r>
                <w:r>
                  <w:rPr>
                    <w:spacing w:val="-2"/>
                    <w:sz w:val="21"/>
                  </w:rPr>
                  <w:t>WELFARE</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200FD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FDA" w:rsidRDefault="00F76C4C">
    <w:pPr>
      <w:pStyle w:val="BodyText"/>
      <w:spacing w:line="14" w:lineRule="auto"/>
      <w:rPr>
        <w:sz w:val="20"/>
      </w:rPr>
    </w:pPr>
    <w:r>
      <w:pict>
        <v:shapetype id="_x0000_t202" coordsize="21600,21600" o:spt="202" path="m,l,21600r21600,l21600,xe">
          <v:stroke joinstyle="miter"/>
          <v:path gradientshapeok="t" o:connecttype="rect"/>
        </v:shapetype>
        <v:shape id="docshape185" o:spid="_x0000_s2180" type="#_x0000_t202" style="position:absolute;margin-left:71pt;margin-top:37.05pt;width:101.25pt;height:12.6pt;z-index:-21331456;mso-position-horizontal-relative:page;mso-position-vertical-relative:page" filled="f" stroked="f">
          <v:textbox inset="0,0,0,0">
            <w:txbxContent>
              <w:p w:rsidR="00200FDA" w:rsidRDefault="00F76C4C">
                <w:pPr>
                  <w:spacing w:line="235" w:lineRule="exact"/>
                  <w:ind w:left="20"/>
                  <w:rPr>
                    <w:sz w:val="21"/>
                  </w:rPr>
                </w:pPr>
                <w:r>
                  <w:rPr>
                    <w:sz w:val="21"/>
                  </w:rPr>
                  <w:t>UPLIFTING</w:t>
                </w:r>
                <w:r>
                  <w:rPr>
                    <w:spacing w:val="-9"/>
                    <w:sz w:val="21"/>
                  </w:rPr>
                  <w:t xml:space="preserve"> </w:t>
                </w:r>
                <w:r>
                  <w:rPr>
                    <w:spacing w:val="-2"/>
                    <w:sz w:val="21"/>
                  </w:rPr>
                  <w:t>EDUCATION</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6141"/>
    <w:multiLevelType w:val="hybridMultilevel"/>
    <w:tmpl w:val="A18CE5CE"/>
    <w:lvl w:ilvl="0" w:tplc="BDA27CB0">
      <w:start w:val="1"/>
      <w:numFmt w:val="decimal"/>
      <w:lvlText w:val="%1."/>
      <w:lvlJc w:val="left"/>
      <w:pPr>
        <w:ind w:left="280" w:hanging="228"/>
        <w:jc w:val="left"/>
      </w:pPr>
      <w:rPr>
        <w:rFonts w:ascii="Calibri" w:eastAsia="Calibri" w:hAnsi="Calibri" w:cs="Calibri" w:hint="default"/>
        <w:b/>
        <w:bCs/>
        <w:i w:val="0"/>
        <w:iCs w:val="0"/>
        <w:w w:val="100"/>
        <w:sz w:val="22"/>
        <w:szCs w:val="22"/>
        <w:lang w:val="en-US" w:eastAsia="en-US" w:bidi="ar-SA"/>
      </w:rPr>
    </w:lvl>
    <w:lvl w:ilvl="1" w:tplc="105606A0">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6FA81172">
      <w:numFmt w:val="bullet"/>
      <w:lvlText w:val="•"/>
      <w:lvlJc w:val="left"/>
      <w:pPr>
        <w:ind w:left="1991" w:hanging="361"/>
      </w:pPr>
      <w:rPr>
        <w:rFonts w:hint="default"/>
        <w:lang w:val="en-US" w:eastAsia="en-US" w:bidi="ar-SA"/>
      </w:rPr>
    </w:lvl>
    <w:lvl w:ilvl="3" w:tplc="9DF676C4">
      <w:numFmt w:val="bullet"/>
      <w:lvlText w:val="•"/>
      <w:lvlJc w:val="left"/>
      <w:pPr>
        <w:ind w:left="2982" w:hanging="361"/>
      </w:pPr>
      <w:rPr>
        <w:rFonts w:hint="default"/>
        <w:lang w:val="en-US" w:eastAsia="en-US" w:bidi="ar-SA"/>
      </w:rPr>
    </w:lvl>
    <w:lvl w:ilvl="4" w:tplc="B74460C6">
      <w:numFmt w:val="bullet"/>
      <w:lvlText w:val="•"/>
      <w:lvlJc w:val="left"/>
      <w:pPr>
        <w:ind w:left="3973" w:hanging="361"/>
      </w:pPr>
      <w:rPr>
        <w:rFonts w:hint="default"/>
        <w:lang w:val="en-US" w:eastAsia="en-US" w:bidi="ar-SA"/>
      </w:rPr>
    </w:lvl>
    <w:lvl w:ilvl="5" w:tplc="1460F0E2">
      <w:numFmt w:val="bullet"/>
      <w:lvlText w:val="•"/>
      <w:lvlJc w:val="left"/>
      <w:pPr>
        <w:ind w:left="4964" w:hanging="361"/>
      </w:pPr>
      <w:rPr>
        <w:rFonts w:hint="default"/>
        <w:lang w:val="en-US" w:eastAsia="en-US" w:bidi="ar-SA"/>
      </w:rPr>
    </w:lvl>
    <w:lvl w:ilvl="6" w:tplc="C4A69810">
      <w:numFmt w:val="bullet"/>
      <w:lvlText w:val="•"/>
      <w:lvlJc w:val="left"/>
      <w:pPr>
        <w:ind w:left="5955" w:hanging="361"/>
      </w:pPr>
      <w:rPr>
        <w:rFonts w:hint="default"/>
        <w:lang w:val="en-US" w:eastAsia="en-US" w:bidi="ar-SA"/>
      </w:rPr>
    </w:lvl>
    <w:lvl w:ilvl="7" w:tplc="22B83208">
      <w:numFmt w:val="bullet"/>
      <w:lvlText w:val="•"/>
      <w:lvlJc w:val="left"/>
      <w:pPr>
        <w:ind w:left="6946" w:hanging="361"/>
      </w:pPr>
      <w:rPr>
        <w:rFonts w:hint="default"/>
        <w:lang w:val="en-US" w:eastAsia="en-US" w:bidi="ar-SA"/>
      </w:rPr>
    </w:lvl>
    <w:lvl w:ilvl="8" w:tplc="BBF2CC5A">
      <w:numFmt w:val="bullet"/>
      <w:lvlText w:val="•"/>
      <w:lvlJc w:val="left"/>
      <w:pPr>
        <w:ind w:left="7937" w:hanging="361"/>
      </w:pPr>
      <w:rPr>
        <w:rFonts w:hint="default"/>
        <w:lang w:val="en-US" w:eastAsia="en-US" w:bidi="ar-SA"/>
      </w:rPr>
    </w:lvl>
  </w:abstractNum>
  <w:abstractNum w:abstractNumId="1" w15:restartNumberingAfterBreak="0">
    <w:nsid w:val="01CE722E"/>
    <w:multiLevelType w:val="hybridMultilevel"/>
    <w:tmpl w:val="30FCA1BC"/>
    <w:lvl w:ilvl="0" w:tplc="17BCDE02">
      <w:start w:val="1"/>
      <w:numFmt w:val="decimal"/>
      <w:lvlText w:val="%1."/>
      <w:lvlJc w:val="left"/>
      <w:pPr>
        <w:ind w:left="500" w:hanging="221"/>
        <w:jc w:val="left"/>
      </w:pPr>
      <w:rPr>
        <w:rFonts w:ascii="Calibri" w:eastAsia="Calibri" w:hAnsi="Calibri" w:cs="Calibri" w:hint="default"/>
        <w:b/>
        <w:bCs/>
        <w:i w:val="0"/>
        <w:iCs w:val="0"/>
        <w:w w:val="100"/>
        <w:sz w:val="22"/>
        <w:szCs w:val="22"/>
        <w:lang w:val="en-US" w:eastAsia="en-US" w:bidi="ar-SA"/>
      </w:rPr>
    </w:lvl>
    <w:lvl w:ilvl="1" w:tplc="908CB896">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F5BA8F34">
      <w:numFmt w:val="bullet"/>
      <w:lvlText w:val="•"/>
      <w:lvlJc w:val="left"/>
      <w:pPr>
        <w:ind w:left="1991" w:hanging="361"/>
      </w:pPr>
      <w:rPr>
        <w:rFonts w:hint="default"/>
        <w:lang w:val="en-US" w:eastAsia="en-US" w:bidi="ar-SA"/>
      </w:rPr>
    </w:lvl>
    <w:lvl w:ilvl="3" w:tplc="21DC387E">
      <w:numFmt w:val="bullet"/>
      <w:lvlText w:val="•"/>
      <w:lvlJc w:val="left"/>
      <w:pPr>
        <w:ind w:left="2982" w:hanging="361"/>
      </w:pPr>
      <w:rPr>
        <w:rFonts w:hint="default"/>
        <w:lang w:val="en-US" w:eastAsia="en-US" w:bidi="ar-SA"/>
      </w:rPr>
    </w:lvl>
    <w:lvl w:ilvl="4" w:tplc="A8BE0AF2">
      <w:numFmt w:val="bullet"/>
      <w:lvlText w:val="•"/>
      <w:lvlJc w:val="left"/>
      <w:pPr>
        <w:ind w:left="3973" w:hanging="361"/>
      </w:pPr>
      <w:rPr>
        <w:rFonts w:hint="default"/>
        <w:lang w:val="en-US" w:eastAsia="en-US" w:bidi="ar-SA"/>
      </w:rPr>
    </w:lvl>
    <w:lvl w:ilvl="5" w:tplc="5246E24A">
      <w:numFmt w:val="bullet"/>
      <w:lvlText w:val="•"/>
      <w:lvlJc w:val="left"/>
      <w:pPr>
        <w:ind w:left="4964" w:hanging="361"/>
      </w:pPr>
      <w:rPr>
        <w:rFonts w:hint="default"/>
        <w:lang w:val="en-US" w:eastAsia="en-US" w:bidi="ar-SA"/>
      </w:rPr>
    </w:lvl>
    <w:lvl w:ilvl="6" w:tplc="DE8EA138">
      <w:numFmt w:val="bullet"/>
      <w:lvlText w:val="•"/>
      <w:lvlJc w:val="left"/>
      <w:pPr>
        <w:ind w:left="5955" w:hanging="361"/>
      </w:pPr>
      <w:rPr>
        <w:rFonts w:hint="default"/>
        <w:lang w:val="en-US" w:eastAsia="en-US" w:bidi="ar-SA"/>
      </w:rPr>
    </w:lvl>
    <w:lvl w:ilvl="7" w:tplc="85360660">
      <w:numFmt w:val="bullet"/>
      <w:lvlText w:val="•"/>
      <w:lvlJc w:val="left"/>
      <w:pPr>
        <w:ind w:left="6946" w:hanging="361"/>
      </w:pPr>
      <w:rPr>
        <w:rFonts w:hint="default"/>
        <w:lang w:val="en-US" w:eastAsia="en-US" w:bidi="ar-SA"/>
      </w:rPr>
    </w:lvl>
    <w:lvl w:ilvl="8" w:tplc="CA90AB16">
      <w:numFmt w:val="bullet"/>
      <w:lvlText w:val="•"/>
      <w:lvlJc w:val="left"/>
      <w:pPr>
        <w:ind w:left="7937" w:hanging="361"/>
      </w:pPr>
      <w:rPr>
        <w:rFonts w:hint="default"/>
        <w:lang w:val="en-US" w:eastAsia="en-US" w:bidi="ar-SA"/>
      </w:rPr>
    </w:lvl>
  </w:abstractNum>
  <w:abstractNum w:abstractNumId="2" w15:restartNumberingAfterBreak="0">
    <w:nsid w:val="020930F3"/>
    <w:multiLevelType w:val="hybridMultilevel"/>
    <w:tmpl w:val="44223C62"/>
    <w:lvl w:ilvl="0" w:tplc="FA960FFA">
      <w:start w:val="1"/>
      <w:numFmt w:val="decimal"/>
      <w:lvlText w:val="%1."/>
      <w:lvlJc w:val="left"/>
      <w:pPr>
        <w:ind w:left="280" w:hanging="216"/>
        <w:jc w:val="left"/>
      </w:pPr>
      <w:rPr>
        <w:rFonts w:ascii="Calibri" w:eastAsia="Calibri" w:hAnsi="Calibri" w:cs="Calibri" w:hint="default"/>
        <w:b/>
        <w:bCs/>
        <w:i w:val="0"/>
        <w:iCs w:val="0"/>
        <w:w w:val="100"/>
        <w:sz w:val="22"/>
        <w:szCs w:val="22"/>
        <w:lang w:val="en-US" w:eastAsia="en-US" w:bidi="ar-SA"/>
      </w:rPr>
    </w:lvl>
    <w:lvl w:ilvl="1" w:tplc="62D279EC">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C642584E">
      <w:numFmt w:val="bullet"/>
      <w:lvlText w:val="•"/>
      <w:lvlJc w:val="left"/>
      <w:pPr>
        <w:ind w:left="1991" w:hanging="361"/>
      </w:pPr>
      <w:rPr>
        <w:rFonts w:hint="default"/>
        <w:lang w:val="en-US" w:eastAsia="en-US" w:bidi="ar-SA"/>
      </w:rPr>
    </w:lvl>
    <w:lvl w:ilvl="3" w:tplc="1A80F494">
      <w:numFmt w:val="bullet"/>
      <w:lvlText w:val="•"/>
      <w:lvlJc w:val="left"/>
      <w:pPr>
        <w:ind w:left="2982" w:hanging="361"/>
      </w:pPr>
      <w:rPr>
        <w:rFonts w:hint="default"/>
        <w:lang w:val="en-US" w:eastAsia="en-US" w:bidi="ar-SA"/>
      </w:rPr>
    </w:lvl>
    <w:lvl w:ilvl="4" w:tplc="538C75FC">
      <w:numFmt w:val="bullet"/>
      <w:lvlText w:val="•"/>
      <w:lvlJc w:val="left"/>
      <w:pPr>
        <w:ind w:left="3973" w:hanging="361"/>
      </w:pPr>
      <w:rPr>
        <w:rFonts w:hint="default"/>
        <w:lang w:val="en-US" w:eastAsia="en-US" w:bidi="ar-SA"/>
      </w:rPr>
    </w:lvl>
    <w:lvl w:ilvl="5" w:tplc="9EC80BAA">
      <w:numFmt w:val="bullet"/>
      <w:lvlText w:val="•"/>
      <w:lvlJc w:val="left"/>
      <w:pPr>
        <w:ind w:left="4964" w:hanging="361"/>
      </w:pPr>
      <w:rPr>
        <w:rFonts w:hint="default"/>
        <w:lang w:val="en-US" w:eastAsia="en-US" w:bidi="ar-SA"/>
      </w:rPr>
    </w:lvl>
    <w:lvl w:ilvl="6" w:tplc="DBB42E22">
      <w:numFmt w:val="bullet"/>
      <w:lvlText w:val="•"/>
      <w:lvlJc w:val="left"/>
      <w:pPr>
        <w:ind w:left="5955" w:hanging="361"/>
      </w:pPr>
      <w:rPr>
        <w:rFonts w:hint="default"/>
        <w:lang w:val="en-US" w:eastAsia="en-US" w:bidi="ar-SA"/>
      </w:rPr>
    </w:lvl>
    <w:lvl w:ilvl="7" w:tplc="523062BE">
      <w:numFmt w:val="bullet"/>
      <w:lvlText w:val="•"/>
      <w:lvlJc w:val="left"/>
      <w:pPr>
        <w:ind w:left="6946" w:hanging="361"/>
      </w:pPr>
      <w:rPr>
        <w:rFonts w:hint="default"/>
        <w:lang w:val="en-US" w:eastAsia="en-US" w:bidi="ar-SA"/>
      </w:rPr>
    </w:lvl>
    <w:lvl w:ilvl="8" w:tplc="775A1E16">
      <w:numFmt w:val="bullet"/>
      <w:lvlText w:val="•"/>
      <w:lvlJc w:val="left"/>
      <w:pPr>
        <w:ind w:left="7937" w:hanging="361"/>
      </w:pPr>
      <w:rPr>
        <w:rFonts w:hint="default"/>
        <w:lang w:val="en-US" w:eastAsia="en-US" w:bidi="ar-SA"/>
      </w:rPr>
    </w:lvl>
  </w:abstractNum>
  <w:abstractNum w:abstractNumId="3" w15:restartNumberingAfterBreak="0">
    <w:nsid w:val="03A04C44"/>
    <w:multiLevelType w:val="hybridMultilevel"/>
    <w:tmpl w:val="0CE04486"/>
    <w:lvl w:ilvl="0" w:tplc="4F6C58AA">
      <w:start w:val="1"/>
      <w:numFmt w:val="decimal"/>
      <w:lvlText w:val="%1."/>
      <w:lvlJc w:val="left"/>
      <w:pPr>
        <w:ind w:left="280" w:hanging="224"/>
        <w:jc w:val="left"/>
      </w:pPr>
      <w:rPr>
        <w:rFonts w:ascii="Calibri" w:eastAsia="Calibri" w:hAnsi="Calibri" w:cs="Calibri" w:hint="default"/>
        <w:b/>
        <w:bCs/>
        <w:i w:val="0"/>
        <w:iCs w:val="0"/>
        <w:w w:val="100"/>
        <w:sz w:val="22"/>
        <w:szCs w:val="22"/>
        <w:lang w:val="en-US" w:eastAsia="en-US" w:bidi="ar-SA"/>
      </w:rPr>
    </w:lvl>
    <w:lvl w:ilvl="1" w:tplc="F9B671CC">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15D84714">
      <w:numFmt w:val="bullet"/>
      <w:lvlText w:val="•"/>
      <w:lvlJc w:val="left"/>
      <w:pPr>
        <w:ind w:left="1991" w:hanging="361"/>
      </w:pPr>
      <w:rPr>
        <w:rFonts w:hint="default"/>
        <w:lang w:val="en-US" w:eastAsia="en-US" w:bidi="ar-SA"/>
      </w:rPr>
    </w:lvl>
    <w:lvl w:ilvl="3" w:tplc="51AA3FA6">
      <w:numFmt w:val="bullet"/>
      <w:lvlText w:val="•"/>
      <w:lvlJc w:val="left"/>
      <w:pPr>
        <w:ind w:left="2982" w:hanging="361"/>
      </w:pPr>
      <w:rPr>
        <w:rFonts w:hint="default"/>
        <w:lang w:val="en-US" w:eastAsia="en-US" w:bidi="ar-SA"/>
      </w:rPr>
    </w:lvl>
    <w:lvl w:ilvl="4" w:tplc="3C6094DC">
      <w:numFmt w:val="bullet"/>
      <w:lvlText w:val="•"/>
      <w:lvlJc w:val="left"/>
      <w:pPr>
        <w:ind w:left="3973" w:hanging="361"/>
      </w:pPr>
      <w:rPr>
        <w:rFonts w:hint="default"/>
        <w:lang w:val="en-US" w:eastAsia="en-US" w:bidi="ar-SA"/>
      </w:rPr>
    </w:lvl>
    <w:lvl w:ilvl="5" w:tplc="2FB0E0AE">
      <w:numFmt w:val="bullet"/>
      <w:lvlText w:val="•"/>
      <w:lvlJc w:val="left"/>
      <w:pPr>
        <w:ind w:left="4964" w:hanging="361"/>
      </w:pPr>
      <w:rPr>
        <w:rFonts w:hint="default"/>
        <w:lang w:val="en-US" w:eastAsia="en-US" w:bidi="ar-SA"/>
      </w:rPr>
    </w:lvl>
    <w:lvl w:ilvl="6" w:tplc="0F5A57F2">
      <w:numFmt w:val="bullet"/>
      <w:lvlText w:val="•"/>
      <w:lvlJc w:val="left"/>
      <w:pPr>
        <w:ind w:left="5955" w:hanging="361"/>
      </w:pPr>
      <w:rPr>
        <w:rFonts w:hint="default"/>
        <w:lang w:val="en-US" w:eastAsia="en-US" w:bidi="ar-SA"/>
      </w:rPr>
    </w:lvl>
    <w:lvl w:ilvl="7" w:tplc="75B0526E">
      <w:numFmt w:val="bullet"/>
      <w:lvlText w:val="•"/>
      <w:lvlJc w:val="left"/>
      <w:pPr>
        <w:ind w:left="6946" w:hanging="361"/>
      </w:pPr>
      <w:rPr>
        <w:rFonts w:hint="default"/>
        <w:lang w:val="en-US" w:eastAsia="en-US" w:bidi="ar-SA"/>
      </w:rPr>
    </w:lvl>
    <w:lvl w:ilvl="8" w:tplc="C3D8CA0E">
      <w:numFmt w:val="bullet"/>
      <w:lvlText w:val="•"/>
      <w:lvlJc w:val="left"/>
      <w:pPr>
        <w:ind w:left="7937" w:hanging="361"/>
      </w:pPr>
      <w:rPr>
        <w:rFonts w:hint="default"/>
        <w:lang w:val="en-US" w:eastAsia="en-US" w:bidi="ar-SA"/>
      </w:rPr>
    </w:lvl>
  </w:abstractNum>
  <w:abstractNum w:abstractNumId="4" w15:restartNumberingAfterBreak="0">
    <w:nsid w:val="07032BCE"/>
    <w:multiLevelType w:val="hybridMultilevel"/>
    <w:tmpl w:val="78C2278E"/>
    <w:lvl w:ilvl="0" w:tplc="D9A89A6A">
      <w:start w:val="1"/>
      <w:numFmt w:val="decimal"/>
      <w:lvlText w:val="%1."/>
      <w:lvlJc w:val="left"/>
      <w:pPr>
        <w:ind w:left="280" w:hanging="238"/>
        <w:jc w:val="left"/>
      </w:pPr>
      <w:rPr>
        <w:rFonts w:ascii="Calibri" w:eastAsia="Calibri" w:hAnsi="Calibri" w:cs="Calibri" w:hint="default"/>
        <w:b/>
        <w:bCs/>
        <w:i w:val="0"/>
        <w:iCs w:val="0"/>
        <w:w w:val="100"/>
        <w:sz w:val="22"/>
        <w:szCs w:val="22"/>
        <w:lang w:val="en-US" w:eastAsia="en-US" w:bidi="ar-SA"/>
      </w:rPr>
    </w:lvl>
    <w:lvl w:ilvl="1" w:tplc="43403CBC">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82A69DFA">
      <w:numFmt w:val="bullet"/>
      <w:lvlText w:val="•"/>
      <w:lvlJc w:val="left"/>
      <w:pPr>
        <w:ind w:left="1991" w:hanging="361"/>
      </w:pPr>
      <w:rPr>
        <w:rFonts w:hint="default"/>
        <w:lang w:val="en-US" w:eastAsia="en-US" w:bidi="ar-SA"/>
      </w:rPr>
    </w:lvl>
    <w:lvl w:ilvl="3" w:tplc="01707910">
      <w:numFmt w:val="bullet"/>
      <w:lvlText w:val="•"/>
      <w:lvlJc w:val="left"/>
      <w:pPr>
        <w:ind w:left="2982" w:hanging="361"/>
      </w:pPr>
      <w:rPr>
        <w:rFonts w:hint="default"/>
        <w:lang w:val="en-US" w:eastAsia="en-US" w:bidi="ar-SA"/>
      </w:rPr>
    </w:lvl>
    <w:lvl w:ilvl="4" w:tplc="B602F520">
      <w:numFmt w:val="bullet"/>
      <w:lvlText w:val="•"/>
      <w:lvlJc w:val="left"/>
      <w:pPr>
        <w:ind w:left="3973" w:hanging="361"/>
      </w:pPr>
      <w:rPr>
        <w:rFonts w:hint="default"/>
        <w:lang w:val="en-US" w:eastAsia="en-US" w:bidi="ar-SA"/>
      </w:rPr>
    </w:lvl>
    <w:lvl w:ilvl="5" w:tplc="74B0F828">
      <w:numFmt w:val="bullet"/>
      <w:lvlText w:val="•"/>
      <w:lvlJc w:val="left"/>
      <w:pPr>
        <w:ind w:left="4964" w:hanging="361"/>
      </w:pPr>
      <w:rPr>
        <w:rFonts w:hint="default"/>
        <w:lang w:val="en-US" w:eastAsia="en-US" w:bidi="ar-SA"/>
      </w:rPr>
    </w:lvl>
    <w:lvl w:ilvl="6" w:tplc="9918D732">
      <w:numFmt w:val="bullet"/>
      <w:lvlText w:val="•"/>
      <w:lvlJc w:val="left"/>
      <w:pPr>
        <w:ind w:left="5955" w:hanging="361"/>
      </w:pPr>
      <w:rPr>
        <w:rFonts w:hint="default"/>
        <w:lang w:val="en-US" w:eastAsia="en-US" w:bidi="ar-SA"/>
      </w:rPr>
    </w:lvl>
    <w:lvl w:ilvl="7" w:tplc="350EA90E">
      <w:numFmt w:val="bullet"/>
      <w:lvlText w:val="•"/>
      <w:lvlJc w:val="left"/>
      <w:pPr>
        <w:ind w:left="6946" w:hanging="361"/>
      </w:pPr>
      <w:rPr>
        <w:rFonts w:hint="default"/>
        <w:lang w:val="en-US" w:eastAsia="en-US" w:bidi="ar-SA"/>
      </w:rPr>
    </w:lvl>
    <w:lvl w:ilvl="8" w:tplc="0F2C788C">
      <w:numFmt w:val="bullet"/>
      <w:lvlText w:val="•"/>
      <w:lvlJc w:val="left"/>
      <w:pPr>
        <w:ind w:left="7937" w:hanging="361"/>
      </w:pPr>
      <w:rPr>
        <w:rFonts w:hint="default"/>
        <w:lang w:val="en-US" w:eastAsia="en-US" w:bidi="ar-SA"/>
      </w:rPr>
    </w:lvl>
  </w:abstractNum>
  <w:abstractNum w:abstractNumId="5" w15:restartNumberingAfterBreak="0">
    <w:nsid w:val="08D33687"/>
    <w:multiLevelType w:val="hybridMultilevel"/>
    <w:tmpl w:val="4190B998"/>
    <w:lvl w:ilvl="0" w:tplc="6C1029EE">
      <w:start w:val="1"/>
      <w:numFmt w:val="decimal"/>
      <w:lvlText w:val="%1."/>
      <w:lvlJc w:val="left"/>
      <w:pPr>
        <w:ind w:left="353" w:hanging="214"/>
        <w:jc w:val="left"/>
      </w:pPr>
      <w:rPr>
        <w:rFonts w:ascii="Calibri" w:eastAsia="Calibri" w:hAnsi="Calibri" w:cs="Calibri" w:hint="default"/>
        <w:b/>
        <w:bCs/>
        <w:i w:val="0"/>
        <w:iCs w:val="0"/>
        <w:w w:val="100"/>
        <w:sz w:val="21"/>
        <w:szCs w:val="21"/>
        <w:lang w:val="en-US" w:eastAsia="en-US" w:bidi="ar-SA"/>
      </w:rPr>
    </w:lvl>
    <w:lvl w:ilvl="1" w:tplc="16FE6D34">
      <w:numFmt w:val="bullet"/>
      <w:lvlText w:val="•"/>
      <w:lvlJc w:val="left"/>
      <w:pPr>
        <w:ind w:left="1288" w:hanging="214"/>
      </w:pPr>
      <w:rPr>
        <w:rFonts w:hint="default"/>
        <w:lang w:val="en-US" w:eastAsia="en-US" w:bidi="ar-SA"/>
      </w:rPr>
    </w:lvl>
    <w:lvl w:ilvl="2" w:tplc="C1E4FD8E">
      <w:numFmt w:val="bullet"/>
      <w:lvlText w:val="•"/>
      <w:lvlJc w:val="left"/>
      <w:pPr>
        <w:ind w:left="2216" w:hanging="214"/>
      </w:pPr>
      <w:rPr>
        <w:rFonts w:hint="default"/>
        <w:lang w:val="en-US" w:eastAsia="en-US" w:bidi="ar-SA"/>
      </w:rPr>
    </w:lvl>
    <w:lvl w:ilvl="3" w:tplc="E9C4B190">
      <w:numFmt w:val="bullet"/>
      <w:lvlText w:val="•"/>
      <w:lvlJc w:val="left"/>
      <w:pPr>
        <w:ind w:left="3144" w:hanging="214"/>
      </w:pPr>
      <w:rPr>
        <w:rFonts w:hint="default"/>
        <w:lang w:val="en-US" w:eastAsia="en-US" w:bidi="ar-SA"/>
      </w:rPr>
    </w:lvl>
    <w:lvl w:ilvl="4" w:tplc="8EC0E702">
      <w:numFmt w:val="bullet"/>
      <w:lvlText w:val="•"/>
      <w:lvlJc w:val="left"/>
      <w:pPr>
        <w:ind w:left="4072" w:hanging="214"/>
      </w:pPr>
      <w:rPr>
        <w:rFonts w:hint="default"/>
        <w:lang w:val="en-US" w:eastAsia="en-US" w:bidi="ar-SA"/>
      </w:rPr>
    </w:lvl>
    <w:lvl w:ilvl="5" w:tplc="C3A636EC">
      <w:numFmt w:val="bullet"/>
      <w:lvlText w:val="•"/>
      <w:lvlJc w:val="left"/>
      <w:pPr>
        <w:ind w:left="5000" w:hanging="214"/>
      </w:pPr>
      <w:rPr>
        <w:rFonts w:hint="default"/>
        <w:lang w:val="en-US" w:eastAsia="en-US" w:bidi="ar-SA"/>
      </w:rPr>
    </w:lvl>
    <w:lvl w:ilvl="6" w:tplc="63C295CA">
      <w:numFmt w:val="bullet"/>
      <w:lvlText w:val="•"/>
      <w:lvlJc w:val="left"/>
      <w:pPr>
        <w:ind w:left="5928" w:hanging="214"/>
      </w:pPr>
      <w:rPr>
        <w:rFonts w:hint="default"/>
        <w:lang w:val="en-US" w:eastAsia="en-US" w:bidi="ar-SA"/>
      </w:rPr>
    </w:lvl>
    <w:lvl w:ilvl="7" w:tplc="0AD4D85C">
      <w:numFmt w:val="bullet"/>
      <w:lvlText w:val="•"/>
      <w:lvlJc w:val="left"/>
      <w:pPr>
        <w:ind w:left="6856" w:hanging="214"/>
      </w:pPr>
      <w:rPr>
        <w:rFonts w:hint="default"/>
        <w:lang w:val="en-US" w:eastAsia="en-US" w:bidi="ar-SA"/>
      </w:rPr>
    </w:lvl>
    <w:lvl w:ilvl="8" w:tplc="C0309B0C">
      <w:numFmt w:val="bullet"/>
      <w:lvlText w:val="•"/>
      <w:lvlJc w:val="left"/>
      <w:pPr>
        <w:ind w:left="7784" w:hanging="214"/>
      </w:pPr>
      <w:rPr>
        <w:rFonts w:hint="default"/>
        <w:lang w:val="en-US" w:eastAsia="en-US" w:bidi="ar-SA"/>
      </w:rPr>
    </w:lvl>
  </w:abstractNum>
  <w:abstractNum w:abstractNumId="6" w15:restartNumberingAfterBreak="0">
    <w:nsid w:val="0CB53220"/>
    <w:multiLevelType w:val="hybridMultilevel"/>
    <w:tmpl w:val="448E6820"/>
    <w:lvl w:ilvl="0" w:tplc="241E1CEE">
      <w:start w:val="1"/>
      <w:numFmt w:val="decimal"/>
      <w:lvlText w:val="%1."/>
      <w:lvlJc w:val="left"/>
      <w:pPr>
        <w:ind w:left="280" w:hanging="217"/>
        <w:jc w:val="left"/>
      </w:pPr>
      <w:rPr>
        <w:rFonts w:ascii="Calibri" w:eastAsia="Calibri" w:hAnsi="Calibri" w:cs="Calibri" w:hint="default"/>
        <w:b/>
        <w:bCs/>
        <w:i w:val="0"/>
        <w:iCs w:val="0"/>
        <w:w w:val="100"/>
        <w:sz w:val="22"/>
        <w:szCs w:val="22"/>
        <w:lang w:val="en-US" w:eastAsia="en-US" w:bidi="ar-SA"/>
      </w:rPr>
    </w:lvl>
    <w:lvl w:ilvl="1" w:tplc="4C8ABE0E">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D568AD92">
      <w:numFmt w:val="bullet"/>
      <w:lvlText w:val="•"/>
      <w:lvlJc w:val="left"/>
      <w:pPr>
        <w:ind w:left="1991" w:hanging="361"/>
      </w:pPr>
      <w:rPr>
        <w:rFonts w:hint="default"/>
        <w:lang w:val="en-US" w:eastAsia="en-US" w:bidi="ar-SA"/>
      </w:rPr>
    </w:lvl>
    <w:lvl w:ilvl="3" w:tplc="414A1F1C">
      <w:numFmt w:val="bullet"/>
      <w:lvlText w:val="•"/>
      <w:lvlJc w:val="left"/>
      <w:pPr>
        <w:ind w:left="2982" w:hanging="361"/>
      </w:pPr>
      <w:rPr>
        <w:rFonts w:hint="default"/>
        <w:lang w:val="en-US" w:eastAsia="en-US" w:bidi="ar-SA"/>
      </w:rPr>
    </w:lvl>
    <w:lvl w:ilvl="4" w:tplc="DB8E5A0E">
      <w:numFmt w:val="bullet"/>
      <w:lvlText w:val="•"/>
      <w:lvlJc w:val="left"/>
      <w:pPr>
        <w:ind w:left="3973" w:hanging="361"/>
      </w:pPr>
      <w:rPr>
        <w:rFonts w:hint="default"/>
        <w:lang w:val="en-US" w:eastAsia="en-US" w:bidi="ar-SA"/>
      </w:rPr>
    </w:lvl>
    <w:lvl w:ilvl="5" w:tplc="554A893E">
      <w:numFmt w:val="bullet"/>
      <w:lvlText w:val="•"/>
      <w:lvlJc w:val="left"/>
      <w:pPr>
        <w:ind w:left="4964" w:hanging="361"/>
      </w:pPr>
      <w:rPr>
        <w:rFonts w:hint="default"/>
        <w:lang w:val="en-US" w:eastAsia="en-US" w:bidi="ar-SA"/>
      </w:rPr>
    </w:lvl>
    <w:lvl w:ilvl="6" w:tplc="7CE277EC">
      <w:numFmt w:val="bullet"/>
      <w:lvlText w:val="•"/>
      <w:lvlJc w:val="left"/>
      <w:pPr>
        <w:ind w:left="5955" w:hanging="361"/>
      </w:pPr>
      <w:rPr>
        <w:rFonts w:hint="default"/>
        <w:lang w:val="en-US" w:eastAsia="en-US" w:bidi="ar-SA"/>
      </w:rPr>
    </w:lvl>
    <w:lvl w:ilvl="7" w:tplc="15C6A2FE">
      <w:numFmt w:val="bullet"/>
      <w:lvlText w:val="•"/>
      <w:lvlJc w:val="left"/>
      <w:pPr>
        <w:ind w:left="6946" w:hanging="361"/>
      </w:pPr>
      <w:rPr>
        <w:rFonts w:hint="default"/>
        <w:lang w:val="en-US" w:eastAsia="en-US" w:bidi="ar-SA"/>
      </w:rPr>
    </w:lvl>
    <w:lvl w:ilvl="8" w:tplc="6212B958">
      <w:numFmt w:val="bullet"/>
      <w:lvlText w:val="•"/>
      <w:lvlJc w:val="left"/>
      <w:pPr>
        <w:ind w:left="7937" w:hanging="361"/>
      </w:pPr>
      <w:rPr>
        <w:rFonts w:hint="default"/>
        <w:lang w:val="en-US" w:eastAsia="en-US" w:bidi="ar-SA"/>
      </w:rPr>
    </w:lvl>
  </w:abstractNum>
  <w:abstractNum w:abstractNumId="7" w15:restartNumberingAfterBreak="0">
    <w:nsid w:val="0D453FFB"/>
    <w:multiLevelType w:val="hybridMultilevel"/>
    <w:tmpl w:val="A2DE8EEC"/>
    <w:lvl w:ilvl="0" w:tplc="92DEED62">
      <w:start w:val="1"/>
      <w:numFmt w:val="decimal"/>
      <w:lvlText w:val="%1."/>
      <w:lvlJc w:val="left"/>
      <w:pPr>
        <w:ind w:left="500" w:hanging="221"/>
        <w:jc w:val="left"/>
      </w:pPr>
      <w:rPr>
        <w:rFonts w:ascii="Calibri" w:eastAsia="Calibri" w:hAnsi="Calibri" w:cs="Calibri" w:hint="default"/>
        <w:b/>
        <w:bCs/>
        <w:i w:val="0"/>
        <w:iCs w:val="0"/>
        <w:w w:val="100"/>
        <w:sz w:val="22"/>
        <w:szCs w:val="22"/>
        <w:lang w:val="en-US" w:eastAsia="en-US" w:bidi="ar-SA"/>
      </w:rPr>
    </w:lvl>
    <w:lvl w:ilvl="1" w:tplc="49BCFE00">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E72AC492">
      <w:numFmt w:val="bullet"/>
      <w:lvlText w:val="•"/>
      <w:lvlJc w:val="left"/>
      <w:pPr>
        <w:ind w:left="1991" w:hanging="361"/>
      </w:pPr>
      <w:rPr>
        <w:rFonts w:hint="default"/>
        <w:lang w:val="en-US" w:eastAsia="en-US" w:bidi="ar-SA"/>
      </w:rPr>
    </w:lvl>
    <w:lvl w:ilvl="3" w:tplc="BB6C9766">
      <w:numFmt w:val="bullet"/>
      <w:lvlText w:val="•"/>
      <w:lvlJc w:val="left"/>
      <w:pPr>
        <w:ind w:left="2982" w:hanging="361"/>
      </w:pPr>
      <w:rPr>
        <w:rFonts w:hint="default"/>
        <w:lang w:val="en-US" w:eastAsia="en-US" w:bidi="ar-SA"/>
      </w:rPr>
    </w:lvl>
    <w:lvl w:ilvl="4" w:tplc="88268A2A">
      <w:numFmt w:val="bullet"/>
      <w:lvlText w:val="•"/>
      <w:lvlJc w:val="left"/>
      <w:pPr>
        <w:ind w:left="3973" w:hanging="361"/>
      </w:pPr>
      <w:rPr>
        <w:rFonts w:hint="default"/>
        <w:lang w:val="en-US" w:eastAsia="en-US" w:bidi="ar-SA"/>
      </w:rPr>
    </w:lvl>
    <w:lvl w:ilvl="5" w:tplc="D2C0C652">
      <w:numFmt w:val="bullet"/>
      <w:lvlText w:val="•"/>
      <w:lvlJc w:val="left"/>
      <w:pPr>
        <w:ind w:left="4964" w:hanging="361"/>
      </w:pPr>
      <w:rPr>
        <w:rFonts w:hint="default"/>
        <w:lang w:val="en-US" w:eastAsia="en-US" w:bidi="ar-SA"/>
      </w:rPr>
    </w:lvl>
    <w:lvl w:ilvl="6" w:tplc="ADF661CE">
      <w:numFmt w:val="bullet"/>
      <w:lvlText w:val="•"/>
      <w:lvlJc w:val="left"/>
      <w:pPr>
        <w:ind w:left="5955" w:hanging="361"/>
      </w:pPr>
      <w:rPr>
        <w:rFonts w:hint="default"/>
        <w:lang w:val="en-US" w:eastAsia="en-US" w:bidi="ar-SA"/>
      </w:rPr>
    </w:lvl>
    <w:lvl w:ilvl="7" w:tplc="920C4B84">
      <w:numFmt w:val="bullet"/>
      <w:lvlText w:val="•"/>
      <w:lvlJc w:val="left"/>
      <w:pPr>
        <w:ind w:left="6946" w:hanging="361"/>
      </w:pPr>
      <w:rPr>
        <w:rFonts w:hint="default"/>
        <w:lang w:val="en-US" w:eastAsia="en-US" w:bidi="ar-SA"/>
      </w:rPr>
    </w:lvl>
    <w:lvl w:ilvl="8" w:tplc="97540396">
      <w:numFmt w:val="bullet"/>
      <w:lvlText w:val="•"/>
      <w:lvlJc w:val="left"/>
      <w:pPr>
        <w:ind w:left="7937" w:hanging="361"/>
      </w:pPr>
      <w:rPr>
        <w:rFonts w:hint="default"/>
        <w:lang w:val="en-US" w:eastAsia="en-US" w:bidi="ar-SA"/>
      </w:rPr>
    </w:lvl>
  </w:abstractNum>
  <w:abstractNum w:abstractNumId="8" w15:restartNumberingAfterBreak="0">
    <w:nsid w:val="124C1194"/>
    <w:multiLevelType w:val="hybridMultilevel"/>
    <w:tmpl w:val="0BDC320E"/>
    <w:lvl w:ilvl="0" w:tplc="A0FEDD62">
      <w:start w:val="6"/>
      <w:numFmt w:val="decimal"/>
      <w:lvlText w:val="%1."/>
      <w:lvlJc w:val="left"/>
      <w:pPr>
        <w:ind w:left="139" w:hanging="214"/>
        <w:jc w:val="left"/>
      </w:pPr>
      <w:rPr>
        <w:rFonts w:ascii="Calibri" w:eastAsia="Calibri" w:hAnsi="Calibri" w:cs="Calibri" w:hint="default"/>
        <w:b/>
        <w:bCs/>
        <w:i w:val="0"/>
        <w:iCs w:val="0"/>
        <w:w w:val="100"/>
        <w:sz w:val="22"/>
        <w:szCs w:val="22"/>
        <w:lang w:val="en-US" w:eastAsia="en-US" w:bidi="ar-SA"/>
      </w:rPr>
    </w:lvl>
    <w:lvl w:ilvl="1" w:tplc="A0F8D318">
      <w:numFmt w:val="bullet"/>
      <w:lvlText w:val="•"/>
      <w:lvlJc w:val="left"/>
      <w:pPr>
        <w:ind w:left="1090" w:hanging="214"/>
      </w:pPr>
      <w:rPr>
        <w:rFonts w:hint="default"/>
        <w:lang w:val="en-US" w:eastAsia="en-US" w:bidi="ar-SA"/>
      </w:rPr>
    </w:lvl>
    <w:lvl w:ilvl="2" w:tplc="EFDA0742">
      <w:numFmt w:val="bullet"/>
      <w:lvlText w:val="•"/>
      <w:lvlJc w:val="left"/>
      <w:pPr>
        <w:ind w:left="2040" w:hanging="214"/>
      </w:pPr>
      <w:rPr>
        <w:rFonts w:hint="default"/>
        <w:lang w:val="en-US" w:eastAsia="en-US" w:bidi="ar-SA"/>
      </w:rPr>
    </w:lvl>
    <w:lvl w:ilvl="3" w:tplc="AACE54C0">
      <w:numFmt w:val="bullet"/>
      <w:lvlText w:val="•"/>
      <w:lvlJc w:val="left"/>
      <w:pPr>
        <w:ind w:left="2990" w:hanging="214"/>
      </w:pPr>
      <w:rPr>
        <w:rFonts w:hint="default"/>
        <w:lang w:val="en-US" w:eastAsia="en-US" w:bidi="ar-SA"/>
      </w:rPr>
    </w:lvl>
    <w:lvl w:ilvl="4" w:tplc="B00890A8">
      <w:numFmt w:val="bullet"/>
      <w:lvlText w:val="•"/>
      <w:lvlJc w:val="left"/>
      <w:pPr>
        <w:ind w:left="3940" w:hanging="214"/>
      </w:pPr>
      <w:rPr>
        <w:rFonts w:hint="default"/>
        <w:lang w:val="en-US" w:eastAsia="en-US" w:bidi="ar-SA"/>
      </w:rPr>
    </w:lvl>
    <w:lvl w:ilvl="5" w:tplc="F802F4DE">
      <w:numFmt w:val="bullet"/>
      <w:lvlText w:val="•"/>
      <w:lvlJc w:val="left"/>
      <w:pPr>
        <w:ind w:left="4890" w:hanging="214"/>
      </w:pPr>
      <w:rPr>
        <w:rFonts w:hint="default"/>
        <w:lang w:val="en-US" w:eastAsia="en-US" w:bidi="ar-SA"/>
      </w:rPr>
    </w:lvl>
    <w:lvl w:ilvl="6" w:tplc="A2225D26">
      <w:numFmt w:val="bullet"/>
      <w:lvlText w:val="•"/>
      <w:lvlJc w:val="left"/>
      <w:pPr>
        <w:ind w:left="5840" w:hanging="214"/>
      </w:pPr>
      <w:rPr>
        <w:rFonts w:hint="default"/>
        <w:lang w:val="en-US" w:eastAsia="en-US" w:bidi="ar-SA"/>
      </w:rPr>
    </w:lvl>
    <w:lvl w:ilvl="7" w:tplc="CCDCC842">
      <w:numFmt w:val="bullet"/>
      <w:lvlText w:val="•"/>
      <w:lvlJc w:val="left"/>
      <w:pPr>
        <w:ind w:left="6790" w:hanging="214"/>
      </w:pPr>
      <w:rPr>
        <w:rFonts w:hint="default"/>
        <w:lang w:val="en-US" w:eastAsia="en-US" w:bidi="ar-SA"/>
      </w:rPr>
    </w:lvl>
    <w:lvl w:ilvl="8" w:tplc="24CC29AC">
      <w:numFmt w:val="bullet"/>
      <w:lvlText w:val="•"/>
      <w:lvlJc w:val="left"/>
      <w:pPr>
        <w:ind w:left="7740" w:hanging="214"/>
      </w:pPr>
      <w:rPr>
        <w:rFonts w:hint="default"/>
        <w:lang w:val="en-US" w:eastAsia="en-US" w:bidi="ar-SA"/>
      </w:rPr>
    </w:lvl>
  </w:abstractNum>
  <w:abstractNum w:abstractNumId="9" w15:restartNumberingAfterBreak="0">
    <w:nsid w:val="18CB5632"/>
    <w:multiLevelType w:val="hybridMultilevel"/>
    <w:tmpl w:val="0C5A4B40"/>
    <w:lvl w:ilvl="0" w:tplc="562A084A">
      <w:start w:val="1"/>
      <w:numFmt w:val="decimal"/>
      <w:lvlText w:val="%1."/>
      <w:lvlJc w:val="left"/>
      <w:pPr>
        <w:ind w:left="280" w:hanging="231"/>
        <w:jc w:val="left"/>
      </w:pPr>
      <w:rPr>
        <w:rFonts w:ascii="Calibri" w:eastAsia="Calibri" w:hAnsi="Calibri" w:cs="Calibri" w:hint="default"/>
        <w:b/>
        <w:bCs/>
        <w:i w:val="0"/>
        <w:iCs w:val="0"/>
        <w:w w:val="100"/>
        <w:sz w:val="22"/>
        <w:szCs w:val="22"/>
        <w:lang w:val="en-US" w:eastAsia="en-US" w:bidi="ar-SA"/>
      </w:rPr>
    </w:lvl>
    <w:lvl w:ilvl="1" w:tplc="3FFE5EFE">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9ABA6C7E">
      <w:numFmt w:val="bullet"/>
      <w:lvlText w:val="•"/>
      <w:lvlJc w:val="left"/>
      <w:pPr>
        <w:ind w:left="1991" w:hanging="361"/>
      </w:pPr>
      <w:rPr>
        <w:rFonts w:hint="default"/>
        <w:lang w:val="en-US" w:eastAsia="en-US" w:bidi="ar-SA"/>
      </w:rPr>
    </w:lvl>
    <w:lvl w:ilvl="3" w:tplc="981E4202">
      <w:numFmt w:val="bullet"/>
      <w:lvlText w:val="•"/>
      <w:lvlJc w:val="left"/>
      <w:pPr>
        <w:ind w:left="2982" w:hanging="361"/>
      </w:pPr>
      <w:rPr>
        <w:rFonts w:hint="default"/>
        <w:lang w:val="en-US" w:eastAsia="en-US" w:bidi="ar-SA"/>
      </w:rPr>
    </w:lvl>
    <w:lvl w:ilvl="4" w:tplc="B6DA728E">
      <w:numFmt w:val="bullet"/>
      <w:lvlText w:val="•"/>
      <w:lvlJc w:val="left"/>
      <w:pPr>
        <w:ind w:left="3973" w:hanging="361"/>
      </w:pPr>
      <w:rPr>
        <w:rFonts w:hint="default"/>
        <w:lang w:val="en-US" w:eastAsia="en-US" w:bidi="ar-SA"/>
      </w:rPr>
    </w:lvl>
    <w:lvl w:ilvl="5" w:tplc="5538CB38">
      <w:numFmt w:val="bullet"/>
      <w:lvlText w:val="•"/>
      <w:lvlJc w:val="left"/>
      <w:pPr>
        <w:ind w:left="4964" w:hanging="361"/>
      </w:pPr>
      <w:rPr>
        <w:rFonts w:hint="default"/>
        <w:lang w:val="en-US" w:eastAsia="en-US" w:bidi="ar-SA"/>
      </w:rPr>
    </w:lvl>
    <w:lvl w:ilvl="6" w:tplc="CBAAC77A">
      <w:numFmt w:val="bullet"/>
      <w:lvlText w:val="•"/>
      <w:lvlJc w:val="left"/>
      <w:pPr>
        <w:ind w:left="5955" w:hanging="361"/>
      </w:pPr>
      <w:rPr>
        <w:rFonts w:hint="default"/>
        <w:lang w:val="en-US" w:eastAsia="en-US" w:bidi="ar-SA"/>
      </w:rPr>
    </w:lvl>
    <w:lvl w:ilvl="7" w:tplc="381ACC64">
      <w:numFmt w:val="bullet"/>
      <w:lvlText w:val="•"/>
      <w:lvlJc w:val="left"/>
      <w:pPr>
        <w:ind w:left="6946" w:hanging="361"/>
      </w:pPr>
      <w:rPr>
        <w:rFonts w:hint="default"/>
        <w:lang w:val="en-US" w:eastAsia="en-US" w:bidi="ar-SA"/>
      </w:rPr>
    </w:lvl>
    <w:lvl w:ilvl="8" w:tplc="A004634C">
      <w:numFmt w:val="bullet"/>
      <w:lvlText w:val="•"/>
      <w:lvlJc w:val="left"/>
      <w:pPr>
        <w:ind w:left="7937" w:hanging="361"/>
      </w:pPr>
      <w:rPr>
        <w:rFonts w:hint="default"/>
        <w:lang w:val="en-US" w:eastAsia="en-US" w:bidi="ar-SA"/>
      </w:rPr>
    </w:lvl>
  </w:abstractNum>
  <w:abstractNum w:abstractNumId="10" w15:restartNumberingAfterBreak="0">
    <w:nsid w:val="19C7167F"/>
    <w:multiLevelType w:val="hybridMultilevel"/>
    <w:tmpl w:val="50D2EE90"/>
    <w:lvl w:ilvl="0" w:tplc="B6764D64">
      <w:start w:val="1"/>
      <w:numFmt w:val="decimal"/>
      <w:lvlText w:val="%1."/>
      <w:lvlJc w:val="left"/>
      <w:pPr>
        <w:ind w:left="140" w:hanging="252"/>
        <w:jc w:val="left"/>
      </w:pPr>
      <w:rPr>
        <w:rFonts w:ascii="Calibri" w:eastAsia="Calibri" w:hAnsi="Calibri" w:cs="Calibri" w:hint="default"/>
        <w:b/>
        <w:bCs/>
        <w:i w:val="0"/>
        <w:iCs w:val="0"/>
        <w:w w:val="100"/>
        <w:sz w:val="22"/>
        <w:szCs w:val="22"/>
        <w:lang w:val="en-US" w:eastAsia="en-US" w:bidi="ar-SA"/>
      </w:rPr>
    </w:lvl>
    <w:lvl w:ilvl="1" w:tplc="8D3EE632">
      <w:numFmt w:val="bullet"/>
      <w:lvlText w:val="•"/>
      <w:lvlJc w:val="left"/>
      <w:pPr>
        <w:ind w:left="1090" w:hanging="252"/>
      </w:pPr>
      <w:rPr>
        <w:rFonts w:hint="default"/>
        <w:lang w:val="en-US" w:eastAsia="en-US" w:bidi="ar-SA"/>
      </w:rPr>
    </w:lvl>
    <w:lvl w:ilvl="2" w:tplc="CA56EE4C">
      <w:numFmt w:val="bullet"/>
      <w:lvlText w:val="•"/>
      <w:lvlJc w:val="left"/>
      <w:pPr>
        <w:ind w:left="2040" w:hanging="252"/>
      </w:pPr>
      <w:rPr>
        <w:rFonts w:hint="default"/>
        <w:lang w:val="en-US" w:eastAsia="en-US" w:bidi="ar-SA"/>
      </w:rPr>
    </w:lvl>
    <w:lvl w:ilvl="3" w:tplc="954E45C4">
      <w:numFmt w:val="bullet"/>
      <w:lvlText w:val="•"/>
      <w:lvlJc w:val="left"/>
      <w:pPr>
        <w:ind w:left="2990" w:hanging="252"/>
      </w:pPr>
      <w:rPr>
        <w:rFonts w:hint="default"/>
        <w:lang w:val="en-US" w:eastAsia="en-US" w:bidi="ar-SA"/>
      </w:rPr>
    </w:lvl>
    <w:lvl w:ilvl="4" w:tplc="E4EE11A6">
      <w:numFmt w:val="bullet"/>
      <w:lvlText w:val="•"/>
      <w:lvlJc w:val="left"/>
      <w:pPr>
        <w:ind w:left="3940" w:hanging="252"/>
      </w:pPr>
      <w:rPr>
        <w:rFonts w:hint="default"/>
        <w:lang w:val="en-US" w:eastAsia="en-US" w:bidi="ar-SA"/>
      </w:rPr>
    </w:lvl>
    <w:lvl w:ilvl="5" w:tplc="6EC63082">
      <w:numFmt w:val="bullet"/>
      <w:lvlText w:val="•"/>
      <w:lvlJc w:val="left"/>
      <w:pPr>
        <w:ind w:left="4890" w:hanging="252"/>
      </w:pPr>
      <w:rPr>
        <w:rFonts w:hint="default"/>
        <w:lang w:val="en-US" w:eastAsia="en-US" w:bidi="ar-SA"/>
      </w:rPr>
    </w:lvl>
    <w:lvl w:ilvl="6" w:tplc="6442C154">
      <w:numFmt w:val="bullet"/>
      <w:lvlText w:val="•"/>
      <w:lvlJc w:val="left"/>
      <w:pPr>
        <w:ind w:left="5840" w:hanging="252"/>
      </w:pPr>
      <w:rPr>
        <w:rFonts w:hint="default"/>
        <w:lang w:val="en-US" w:eastAsia="en-US" w:bidi="ar-SA"/>
      </w:rPr>
    </w:lvl>
    <w:lvl w:ilvl="7" w:tplc="40EE7276">
      <w:numFmt w:val="bullet"/>
      <w:lvlText w:val="•"/>
      <w:lvlJc w:val="left"/>
      <w:pPr>
        <w:ind w:left="6790" w:hanging="252"/>
      </w:pPr>
      <w:rPr>
        <w:rFonts w:hint="default"/>
        <w:lang w:val="en-US" w:eastAsia="en-US" w:bidi="ar-SA"/>
      </w:rPr>
    </w:lvl>
    <w:lvl w:ilvl="8" w:tplc="8C18F7D4">
      <w:numFmt w:val="bullet"/>
      <w:lvlText w:val="•"/>
      <w:lvlJc w:val="left"/>
      <w:pPr>
        <w:ind w:left="7740" w:hanging="252"/>
      </w:pPr>
      <w:rPr>
        <w:rFonts w:hint="default"/>
        <w:lang w:val="en-US" w:eastAsia="en-US" w:bidi="ar-SA"/>
      </w:rPr>
    </w:lvl>
  </w:abstractNum>
  <w:abstractNum w:abstractNumId="11" w15:restartNumberingAfterBreak="0">
    <w:nsid w:val="1E1955C0"/>
    <w:multiLevelType w:val="hybridMultilevel"/>
    <w:tmpl w:val="C19AD520"/>
    <w:lvl w:ilvl="0" w:tplc="E05CB6CA">
      <w:start w:val="1"/>
      <w:numFmt w:val="decimal"/>
      <w:lvlText w:val="%1."/>
      <w:lvlJc w:val="left"/>
      <w:pPr>
        <w:ind w:left="500" w:hanging="221"/>
        <w:jc w:val="left"/>
      </w:pPr>
      <w:rPr>
        <w:rFonts w:ascii="Calibri" w:eastAsia="Calibri" w:hAnsi="Calibri" w:cs="Calibri" w:hint="default"/>
        <w:b/>
        <w:bCs/>
        <w:i w:val="0"/>
        <w:iCs w:val="0"/>
        <w:w w:val="100"/>
        <w:sz w:val="22"/>
        <w:szCs w:val="22"/>
        <w:lang w:val="en-US" w:eastAsia="en-US" w:bidi="ar-SA"/>
      </w:rPr>
    </w:lvl>
    <w:lvl w:ilvl="1" w:tplc="19869888">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42808692">
      <w:numFmt w:val="bullet"/>
      <w:lvlText w:val="•"/>
      <w:lvlJc w:val="left"/>
      <w:pPr>
        <w:ind w:left="1991" w:hanging="361"/>
      </w:pPr>
      <w:rPr>
        <w:rFonts w:hint="default"/>
        <w:lang w:val="en-US" w:eastAsia="en-US" w:bidi="ar-SA"/>
      </w:rPr>
    </w:lvl>
    <w:lvl w:ilvl="3" w:tplc="14D21902">
      <w:numFmt w:val="bullet"/>
      <w:lvlText w:val="•"/>
      <w:lvlJc w:val="left"/>
      <w:pPr>
        <w:ind w:left="2982" w:hanging="361"/>
      </w:pPr>
      <w:rPr>
        <w:rFonts w:hint="default"/>
        <w:lang w:val="en-US" w:eastAsia="en-US" w:bidi="ar-SA"/>
      </w:rPr>
    </w:lvl>
    <w:lvl w:ilvl="4" w:tplc="B03691AE">
      <w:numFmt w:val="bullet"/>
      <w:lvlText w:val="•"/>
      <w:lvlJc w:val="left"/>
      <w:pPr>
        <w:ind w:left="3973" w:hanging="361"/>
      </w:pPr>
      <w:rPr>
        <w:rFonts w:hint="default"/>
        <w:lang w:val="en-US" w:eastAsia="en-US" w:bidi="ar-SA"/>
      </w:rPr>
    </w:lvl>
    <w:lvl w:ilvl="5" w:tplc="279E3D12">
      <w:numFmt w:val="bullet"/>
      <w:lvlText w:val="•"/>
      <w:lvlJc w:val="left"/>
      <w:pPr>
        <w:ind w:left="4964" w:hanging="361"/>
      </w:pPr>
      <w:rPr>
        <w:rFonts w:hint="default"/>
        <w:lang w:val="en-US" w:eastAsia="en-US" w:bidi="ar-SA"/>
      </w:rPr>
    </w:lvl>
    <w:lvl w:ilvl="6" w:tplc="2954DB90">
      <w:numFmt w:val="bullet"/>
      <w:lvlText w:val="•"/>
      <w:lvlJc w:val="left"/>
      <w:pPr>
        <w:ind w:left="5955" w:hanging="361"/>
      </w:pPr>
      <w:rPr>
        <w:rFonts w:hint="default"/>
        <w:lang w:val="en-US" w:eastAsia="en-US" w:bidi="ar-SA"/>
      </w:rPr>
    </w:lvl>
    <w:lvl w:ilvl="7" w:tplc="DBEEF0AA">
      <w:numFmt w:val="bullet"/>
      <w:lvlText w:val="•"/>
      <w:lvlJc w:val="left"/>
      <w:pPr>
        <w:ind w:left="6946" w:hanging="361"/>
      </w:pPr>
      <w:rPr>
        <w:rFonts w:hint="default"/>
        <w:lang w:val="en-US" w:eastAsia="en-US" w:bidi="ar-SA"/>
      </w:rPr>
    </w:lvl>
    <w:lvl w:ilvl="8" w:tplc="3E4EB2B2">
      <w:numFmt w:val="bullet"/>
      <w:lvlText w:val="•"/>
      <w:lvlJc w:val="left"/>
      <w:pPr>
        <w:ind w:left="7937" w:hanging="361"/>
      </w:pPr>
      <w:rPr>
        <w:rFonts w:hint="default"/>
        <w:lang w:val="en-US" w:eastAsia="en-US" w:bidi="ar-SA"/>
      </w:rPr>
    </w:lvl>
  </w:abstractNum>
  <w:abstractNum w:abstractNumId="12" w15:restartNumberingAfterBreak="0">
    <w:nsid w:val="381C5070"/>
    <w:multiLevelType w:val="hybridMultilevel"/>
    <w:tmpl w:val="25688294"/>
    <w:lvl w:ilvl="0" w:tplc="CA5E0522">
      <w:start w:val="1"/>
      <w:numFmt w:val="decimal"/>
      <w:lvlText w:val="%1."/>
      <w:lvlJc w:val="left"/>
      <w:pPr>
        <w:ind w:left="280" w:hanging="219"/>
        <w:jc w:val="left"/>
      </w:pPr>
      <w:rPr>
        <w:rFonts w:ascii="Calibri" w:eastAsia="Calibri" w:hAnsi="Calibri" w:cs="Calibri" w:hint="default"/>
        <w:b/>
        <w:bCs/>
        <w:i w:val="0"/>
        <w:iCs w:val="0"/>
        <w:w w:val="100"/>
        <w:sz w:val="22"/>
        <w:szCs w:val="22"/>
        <w:lang w:val="en-US" w:eastAsia="en-US" w:bidi="ar-SA"/>
      </w:rPr>
    </w:lvl>
    <w:lvl w:ilvl="1" w:tplc="507ABBC4">
      <w:start w:val="1"/>
      <w:numFmt w:val="decimal"/>
      <w:lvlText w:val="%2)"/>
      <w:lvlJc w:val="left"/>
      <w:pPr>
        <w:ind w:left="999" w:hanging="360"/>
        <w:jc w:val="left"/>
      </w:pPr>
      <w:rPr>
        <w:rFonts w:ascii="Calibri" w:eastAsia="Calibri" w:hAnsi="Calibri" w:cs="Calibri" w:hint="default"/>
        <w:b w:val="0"/>
        <w:bCs w:val="0"/>
        <w:i w:val="0"/>
        <w:iCs w:val="0"/>
        <w:w w:val="100"/>
        <w:sz w:val="22"/>
        <w:szCs w:val="22"/>
        <w:lang w:val="en-US" w:eastAsia="en-US" w:bidi="ar-SA"/>
      </w:rPr>
    </w:lvl>
    <w:lvl w:ilvl="2" w:tplc="CEE234DC">
      <w:numFmt w:val="bullet"/>
      <w:lvlText w:val="•"/>
      <w:lvlJc w:val="left"/>
      <w:pPr>
        <w:ind w:left="1991" w:hanging="360"/>
      </w:pPr>
      <w:rPr>
        <w:rFonts w:hint="default"/>
        <w:lang w:val="en-US" w:eastAsia="en-US" w:bidi="ar-SA"/>
      </w:rPr>
    </w:lvl>
    <w:lvl w:ilvl="3" w:tplc="5B729BB6">
      <w:numFmt w:val="bullet"/>
      <w:lvlText w:val="•"/>
      <w:lvlJc w:val="left"/>
      <w:pPr>
        <w:ind w:left="2982" w:hanging="360"/>
      </w:pPr>
      <w:rPr>
        <w:rFonts w:hint="default"/>
        <w:lang w:val="en-US" w:eastAsia="en-US" w:bidi="ar-SA"/>
      </w:rPr>
    </w:lvl>
    <w:lvl w:ilvl="4" w:tplc="341A51D2">
      <w:numFmt w:val="bullet"/>
      <w:lvlText w:val="•"/>
      <w:lvlJc w:val="left"/>
      <w:pPr>
        <w:ind w:left="3973" w:hanging="360"/>
      </w:pPr>
      <w:rPr>
        <w:rFonts w:hint="default"/>
        <w:lang w:val="en-US" w:eastAsia="en-US" w:bidi="ar-SA"/>
      </w:rPr>
    </w:lvl>
    <w:lvl w:ilvl="5" w:tplc="739A6AF0">
      <w:numFmt w:val="bullet"/>
      <w:lvlText w:val="•"/>
      <w:lvlJc w:val="left"/>
      <w:pPr>
        <w:ind w:left="4964" w:hanging="360"/>
      </w:pPr>
      <w:rPr>
        <w:rFonts w:hint="default"/>
        <w:lang w:val="en-US" w:eastAsia="en-US" w:bidi="ar-SA"/>
      </w:rPr>
    </w:lvl>
    <w:lvl w:ilvl="6" w:tplc="FC32A658">
      <w:numFmt w:val="bullet"/>
      <w:lvlText w:val="•"/>
      <w:lvlJc w:val="left"/>
      <w:pPr>
        <w:ind w:left="5955" w:hanging="360"/>
      </w:pPr>
      <w:rPr>
        <w:rFonts w:hint="default"/>
        <w:lang w:val="en-US" w:eastAsia="en-US" w:bidi="ar-SA"/>
      </w:rPr>
    </w:lvl>
    <w:lvl w:ilvl="7" w:tplc="004CC368">
      <w:numFmt w:val="bullet"/>
      <w:lvlText w:val="•"/>
      <w:lvlJc w:val="left"/>
      <w:pPr>
        <w:ind w:left="6946" w:hanging="360"/>
      </w:pPr>
      <w:rPr>
        <w:rFonts w:hint="default"/>
        <w:lang w:val="en-US" w:eastAsia="en-US" w:bidi="ar-SA"/>
      </w:rPr>
    </w:lvl>
    <w:lvl w:ilvl="8" w:tplc="FA38E9F4">
      <w:numFmt w:val="bullet"/>
      <w:lvlText w:val="•"/>
      <w:lvlJc w:val="left"/>
      <w:pPr>
        <w:ind w:left="7937" w:hanging="360"/>
      </w:pPr>
      <w:rPr>
        <w:rFonts w:hint="default"/>
        <w:lang w:val="en-US" w:eastAsia="en-US" w:bidi="ar-SA"/>
      </w:rPr>
    </w:lvl>
  </w:abstractNum>
  <w:abstractNum w:abstractNumId="13" w15:restartNumberingAfterBreak="0">
    <w:nsid w:val="39A0729E"/>
    <w:multiLevelType w:val="hybridMultilevel"/>
    <w:tmpl w:val="AEE4F46C"/>
    <w:lvl w:ilvl="0" w:tplc="8E549356">
      <w:start w:val="1"/>
      <w:numFmt w:val="decimal"/>
      <w:lvlText w:val="%1."/>
      <w:lvlJc w:val="left"/>
      <w:pPr>
        <w:ind w:left="280" w:hanging="229"/>
        <w:jc w:val="left"/>
      </w:pPr>
      <w:rPr>
        <w:rFonts w:ascii="Calibri" w:eastAsia="Calibri" w:hAnsi="Calibri" w:cs="Calibri" w:hint="default"/>
        <w:b/>
        <w:bCs/>
        <w:i w:val="0"/>
        <w:iCs w:val="0"/>
        <w:w w:val="100"/>
        <w:sz w:val="22"/>
        <w:szCs w:val="22"/>
        <w:lang w:val="en-US" w:eastAsia="en-US" w:bidi="ar-SA"/>
      </w:rPr>
    </w:lvl>
    <w:lvl w:ilvl="1" w:tplc="F544C200">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2054A40C">
      <w:numFmt w:val="bullet"/>
      <w:lvlText w:val="•"/>
      <w:lvlJc w:val="left"/>
      <w:pPr>
        <w:ind w:left="1991" w:hanging="361"/>
      </w:pPr>
      <w:rPr>
        <w:rFonts w:hint="default"/>
        <w:lang w:val="en-US" w:eastAsia="en-US" w:bidi="ar-SA"/>
      </w:rPr>
    </w:lvl>
    <w:lvl w:ilvl="3" w:tplc="F1FE1F7A">
      <w:numFmt w:val="bullet"/>
      <w:lvlText w:val="•"/>
      <w:lvlJc w:val="left"/>
      <w:pPr>
        <w:ind w:left="2982" w:hanging="361"/>
      </w:pPr>
      <w:rPr>
        <w:rFonts w:hint="default"/>
        <w:lang w:val="en-US" w:eastAsia="en-US" w:bidi="ar-SA"/>
      </w:rPr>
    </w:lvl>
    <w:lvl w:ilvl="4" w:tplc="F27E8560">
      <w:numFmt w:val="bullet"/>
      <w:lvlText w:val="•"/>
      <w:lvlJc w:val="left"/>
      <w:pPr>
        <w:ind w:left="3973" w:hanging="361"/>
      </w:pPr>
      <w:rPr>
        <w:rFonts w:hint="default"/>
        <w:lang w:val="en-US" w:eastAsia="en-US" w:bidi="ar-SA"/>
      </w:rPr>
    </w:lvl>
    <w:lvl w:ilvl="5" w:tplc="1DFE24EC">
      <w:numFmt w:val="bullet"/>
      <w:lvlText w:val="•"/>
      <w:lvlJc w:val="left"/>
      <w:pPr>
        <w:ind w:left="4964" w:hanging="361"/>
      </w:pPr>
      <w:rPr>
        <w:rFonts w:hint="default"/>
        <w:lang w:val="en-US" w:eastAsia="en-US" w:bidi="ar-SA"/>
      </w:rPr>
    </w:lvl>
    <w:lvl w:ilvl="6" w:tplc="CF14C4E8">
      <w:numFmt w:val="bullet"/>
      <w:lvlText w:val="•"/>
      <w:lvlJc w:val="left"/>
      <w:pPr>
        <w:ind w:left="5955" w:hanging="361"/>
      </w:pPr>
      <w:rPr>
        <w:rFonts w:hint="default"/>
        <w:lang w:val="en-US" w:eastAsia="en-US" w:bidi="ar-SA"/>
      </w:rPr>
    </w:lvl>
    <w:lvl w:ilvl="7" w:tplc="8346A3CC">
      <w:numFmt w:val="bullet"/>
      <w:lvlText w:val="•"/>
      <w:lvlJc w:val="left"/>
      <w:pPr>
        <w:ind w:left="6946" w:hanging="361"/>
      </w:pPr>
      <w:rPr>
        <w:rFonts w:hint="default"/>
        <w:lang w:val="en-US" w:eastAsia="en-US" w:bidi="ar-SA"/>
      </w:rPr>
    </w:lvl>
    <w:lvl w:ilvl="8" w:tplc="474C82EA">
      <w:numFmt w:val="bullet"/>
      <w:lvlText w:val="•"/>
      <w:lvlJc w:val="left"/>
      <w:pPr>
        <w:ind w:left="7937" w:hanging="361"/>
      </w:pPr>
      <w:rPr>
        <w:rFonts w:hint="default"/>
        <w:lang w:val="en-US" w:eastAsia="en-US" w:bidi="ar-SA"/>
      </w:rPr>
    </w:lvl>
  </w:abstractNum>
  <w:abstractNum w:abstractNumId="14" w15:restartNumberingAfterBreak="0">
    <w:nsid w:val="400660C1"/>
    <w:multiLevelType w:val="hybridMultilevel"/>
    <w:tmpl w:val="44B09A0E"/>
    <w:lvl w:ilvl="0" w:tplc="8CA883E0">
      <w:start w:val="1"/>
      <w:numFmt w:val="decimal"/>
      <w:lvlText w:val="%1."/>
      <w:lvlJc w:val="left"/>
      <w:pPr>
        <w:ind w:left="501" w:hanging="222"/>
        <w:jc w:val="left"/>
      </w:pPr>
      <w:rPr>
        <w:rFonts w:hint="default"/>
        <w:w w:val="100"/>
        <w:lang w:val="en-US" w:eastAsia="en-US" w:bidi="ar-SA"/>
      </w:rPr>
    </w:lvl>
    <w:lvl w:ilvl="1" w:tplc="944EE384">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F91428A6">
      <w:numFmt w:val="bullet"/>
      <w:lvlText w:val="•"/>
      <w:lvlJc w:val="left"/>
      <w:pPr>
        <w:ind w:left="1991" w:hanging="361"/>
      </w:pPr>
      <w:rPr>
        <w:rFonts w:hint="default"/>
        <w:lang w:val="en-US" w:eastAsia="en-US" w:bidi="ar-SA"/>
      </w:rPr>
    </w:lvl>
    <w:lvl w:ilvl="3" w:tplc="BF3294DC">
      <w:numFmt w:val="bullet"/>
      <w:lvlText w:val="•"/>
      <w:lvlJc w:val="left"/>
      <w:pPr>
        <w:ind w:left="2982" w:hanging="361"/>
      </w:pPr>
      <w:rPr>
        <w:rFonts w:hint="default"/>
        <w:lang w:val="en-US" w:eastAsia="en-US" w:bidi="ar-SA"/>
      </w:rPr>
    </w:lvl>
    <w:lvl w:ilvl="4" w:tplc="4170C9DE">
      <w:numFmt w:val="bullet"/>
      <w:lvlText w:val="•"/>
      <w:lvlJc w:val="left"/>
      <w:pPr>
        <w:ind w:left="3973" w:hanging="361"/>
      </w:pPr>
      <w:rPr>
        <w:rFonts w:hint="default"/>
        <w:lang w:val="en-US" w:eastAsia="en-US" w:bidi="ar-SA"/>
      </w:rPr>
    </w:lvl>
    <w:lvl w:ilvl="5" w:tplc="BFB86F54">
      <w:numFmt w:val="bullet"/>
      <w:lvlText w:val="•"/>
      <w:lvlJc w:val="left"/>
      <w:pPr>
        <w:ind w:left="4964" w:hanging="361"/>
      </w:pPr>
      <w:rPr>
        <w:rFonts w:hint="default"/>
        <w:lang w:val="en-US" w:eastAsia="en-US" w:bidi="ar-SA"/>
      </w:rPr>
    </w:lvl>
    <w:lvl w:ilvl="6" w:tplc="8AD0C628">
      <w:numFmt w:val="bullet"/>
      <w:lvlText w:val="•"/>
      <w:lvlJc w:val="left"/>
      <w:pPr>
        <w:ind w:left="5955" w:hanging="361"/>
      </w:pPr>
      <w:rPr>
        <w:rFonts w:hint="default"/>
        <w:lang w:val="en-US" w:eastAsia="en-US" w:bidi="ar-SA"/>
      </w:rPr>
    </w:lvl>
    <w:lvl w:ilvl="7" w:tplc="81668EC6">
      <w:numFmt w:val="bullet"/>
      <w:lvlText w:val="•"/>
      <w:lvlJc w:val="left"/>
      <w:pPr>
        <w:ind w:left="6946" w:hanging="361"/>
      </w:pPr>
      <w:rPr>
        <w:rFonts w:hint="default"/>
        <w:lang w:val="en-US" w:eastAsia="en-US" w:bidi="ar-SA"/>
      </w:rPr>
    </w:lvl>
    <w:lvl w:ilvl="8" w:tplc="E38042E8">
      <w:numFmt w:val="bullet"/>
      <w:lvlText w:val="•"/>
      <w:lvlJc w:val="left"/>
      <w:pPr>
        <w:ind w:left="7937" w:hanging="361"/>
      </w:pPr>
      <w:rPr>
        <w:rFonts w:hint="default"/>
        <w:lang w:val="en-US" w:eastAsia="en-US" w:bidi="ar-SA"/>
      </w:rPr>
    </w:lvl>
  </w:abstractNum>
  <w:abstractNum w:abstractNumId="15" w15:restartNumberingAfterBreak="0">
    <w:nsid w:val="406E6D86"/>
    <w:multiLevelType w:val="hybridMultilevel"/>
    <w:tmpl w:val="06FEA8C2"/>
    <w:lvl w:ilvl="0" w:tplc="B52A7FD8">
      <w:start w:val="1"/>
      <w:numFmt w:val="decimal"/>
      <w:lvlText w:val="%1."/>
      <w:lvlJc w:val="left"/>
      <w:pPr>
        <w:ind w:left="140" w:hanging="221"/>
        <w:jc w:val="left"/>
      </w:pPr>
      <w:rPr>
        <w:rFonts w:ascii="Calibri" w:eastAsia="Calibri" w:hAnsi="Calibri" w:cs="Calibri" w:hint="default"/>
        <w:b/>
        <w:bCs/>
        <w:i w:val="0"/>
        <w:iCs w:val="0"/>
        <w:w w:val="100"/>
        <w:sz w:val="22"/>
        <w:szCs w:val="22"/>
        <w:lang w:val="en-US" w:eastAsia="en-US" w:bidi="ar-SA"/>
      </w:rPr>
    </w:lvl>
    <w:lvl w:ilvl="1" w:tplc="FDC2A0DE">
      <w:numFmt w:val="bullet"/>
      <w:lvlText w:val="•"/>
      <w:lvlJc w:val="left"/>
      <w:pPr>
        <w:ind w:left="1082" w:hanging="221"/>
      </w:pPr>
      <w:rPr>
        <w:rFonts w:hint="default"/>
        <w:lang w:val="en-US" w:eastAsia="en-US" w:bidi="ar-SA"/>
      </w:rPr>
    </w:lvl>
    <w:lvl w:ilvl="2" w:tplc="0592F42C">
      <w:numFmt w:val="bullet"/>
      <w:lvlText w:val="•"/>
      <w:lvlJc w:val="left"/>
      <w:pPr>
        <w:ind w:left="2025" w:hanging="221"/>
      </w:pPr>
      <w:rPr>
        <w:rFonts w:hint="default"/>
        <w:lang w:val="en-US" w:eastAsia="en-US" w:bidi="ar-SA"/>
      </w:rPr>
    </w:lvl>
    <w:lvl w:ilvl="3" w:tplc="C3426E0C">
      <w:numFmt w:val="bullet"/>
      <w:lvlText w:val="•"/>
      <w:lvlJc w:val="left"/>
      <w:pPr>
        <w:ind w:left="2967" w:hanging="221"/>
      </w:pPr>
      <w:rPr>
        <w:rFonts w:hint="default"/>
        <w:lang w:val="en-US" w:eastAsia="en-US" w:bidi="ar-SA"/>
      </w:rPr>
    </w:lvl>
    <w:lvl w:ilvl="4" w:tplc="35D8F8EC">
      <w:numFmt w:val="bullet"/>
      <w:lvlText w:val="•"/>
      <w:lvlJc w:val="left"/>
      <w:pPr>
        <w:ind w:left="3910" w:hanging="221"/>
      </w:pPr>
      <w:rPr>
        <w:rFonts w:hint="default"/>
        <w:lang w:val="en-US" w:eastAsia="en-US" w:bidi="ar-SA"/>
      </w:rPr>
    </w:lvl>
    <w:lvl w:ilvl="5" w:tplc="228A7CA8">
      <w:numFmt w:val="bullet"/>
      <w:lvlText w:val="•"/>
      <w:lvlJc w:val="left"/>
      <w:pPr>
        <w:ind w:left="4853" w:hanging="221"/>
      </w:pPr>
      <w:rPr>
        <w:rFonts w:hint="default"/>
        <w:lang w:val="en-US" w:eastAsia="en-US" w:bidi="ar-SA"/>
      </w:rPr>
    </w:lvl>
    <w:lvl w:ilvl="6" w:tplc="C08C6A14">
      <w:numFmt w:val="bullet"/>
      <w:lvlText w:val="•"/>
      <w:lvlJc w:val="left"/>
      <w:pPr>
        <w:ind w:left="5795" w:hanging="221"/>
      </w:pPr>
      <w:rPr>
        <w:rFonts w:hint="default"/>
        <w:lang w:val="en-US" w:eastAsia="en-US" w:bidi="ar-SA"/>
      </w:rPr>
    </w:lvl>
    <w:lvl w:ilvl="7" w:tplc="D7486B00">
      <w:numFmt w:val="bullet"/>
      <w:lvlText w:val="•"/>
      <w:lvlJc w:val="left"/>
      <w:pPr>
        <w:ind w:left="6738" w:hanging="221"/>
      </w:pPr>
      <w:rPr>
        <w:rFonts w:hint="default"/>
        <w:lang w:val="en-US" w:eastAsia="en-US" w:bidi="ar-SA"/>
      </w:rPr>
    </w:lvl>
    <w:lvl w:ilvl="8" w:tplc="620E1AE2">
      <w:numFmt w:val="bullet"/>
      <w:lvlText w:val="•"/>
      <w:lvlJc w:val="left"/>
      <w:pPr>
        <w:ind w:left="7681" w:hanging="221"/>
      </w:pPr>
      <w:rPr>
        <w:rFonts w:hint="default"/>
        <w:lang w:val="en-US" w:eastAsia="en-US" w:bidi="ar-SA"/>
      </w:rPr>
    </w:lvl>
  </w:abstractNum>
  <w:abstractNum w:abstractNumId="16" w15:restartNumberingAfterBreak="0">
    <w:nsid w:val="479F6B15"/>
    <w:multiLevelType w:val="hybridMultilevel"/>
    <w:tmpl w:val="B7DE3C8E"/>
    <w:lvl w:ilvl="0" w:tplc="A3465614">
      <w:start w:val="1"/>
      <w:numFmt w:val="decimal"/>
      <w:lvlText w:val="%1."/>
      <w:lvlJc w:val="left"/>
      <w:pPr>
        <w:ind w:left="140" w:hanging="226"/>
        <w:jc w:val="left"/>
      </w:pPr>
      <w:rPr>
        <w:rFonts w:ascii="Calibri" w:eastAsia="Calibri" w:hAnsi="Calibri" w:cs="Calibri" w:hint="default"/>
        <w:b/>
        <w:bCs/>
        <w:i w:val="0"/>
        <w:iCs w:val="0"/>
        <w:w w:val="100"/>
        <w:sz w:val="22"/>
        <w:szCs w:val="22"/>
        <w:lang w:val="en-US" w:eastAsia="en-US" w:bidi="ar-SA"/>
      </w:rPr>
    </w:lvl>
    <w:lvl w:ilvl="1" w:tplc="D968152C">
      <w:numFmt w:val="bullet"/>
      <w:lvlText w:val="•"/>
      <w:lvlJc w:val="left"/>
      <w:pPr>
        <w:ind w:left="1090" w:hanging="226"/>
      </w:pPr>
      <w:rPr>
        <w:rFonts w:hint="default"/>
        <w:lang w:val="en-US" w:eastAsia="en-US" w:bidi="ar-SA"/>
      </w:rPr>
    </w:lvl>
    <w:lvl w:ilvl="2" w:tplc="A0B839FA">
      <w:numFmt w:val="bullet"/>
      <w:lvlText w:val="•"/>
      <w:lvlJc w:val="left"/>
      <w:pPr>
        <w:ind w:left="2040" w:hanging="226"/>
      </w:pPr>
      <w:rPr>
        <w:rFonts w:hint="default"/>
        <w:lang w:val="en-US" w:eastAsia="en-US" w:bidi="ar-SA"/>
      </w:rPr>
    </w:lvl>
    <w:lvl w:ilvl="3" w:tplc="B1D6DB2A">
      <w:numFmt w:val="bullet"/>
      <w:lvlText w:val="•"/>
      <w:lvlJc w:val="left"/>
      <w:pPr>
        <w:ind w:left="2990" w:hanging="226"/>
      </w:pPr>
      <w:rPr>
        <w:rFonts w:hint="default"/>
        <w:lang w:val="en-US" w:eastAsia="en-US" w:bidi="ar-SA"/>
      </w:rPr>
    </w:lvl>
    <w:lvl w:ilvl="4" w:tplc="62D0447A">
      <w:numFmt w:val="bullet"/>
      <w:lvlText w:val="•"/>
      <w:lvlJc w:val="left"/>
      <w:pPr>
        <w:ind w:left="3940" w:hanging="226"/>
      </w:pPr>
      <w:rPr>
        <w:rFonts w:hint="default"/>
        <w:lang w:val="en-US" w:eastAsia="en-US" w:bidi="ar-SA"/>
      </w:rPr>
    </w:lvl>
    <w:lvl w:ilvl="5" w:tplc="715EC638">
      <w:numFmt w:val="bullet"/>
      <w:lvlText w:val="•"/>
      <w:lvlJc w:val="left"/>
      <w:pPr>
        <w:ind w:left="4890" w:hanging="226"/>
      </w:pPr>
      <w:rPr>
        <w:rFonts w:hint="default"/>
        <w:lang w:val="en-US" w:eastAsia="en-US" w:bidi="ar-SA"/>
      </w:rPr>
    </w:lvl>
    <w:lvl w:ilvl="6" w:tplc="D0BAF688">
      <w:numFmt w:val="bullet"/>
      <w:lvlText w:val="•"/>
      <w:lvlJc w:val="left"/>
      <w:pPr>
        <w:ind w:left="5840" w:hanging="226"/>
      </w:pPr>
      <w:rPr>
        <w:rFonts w:hint="default"/>
        <w:lang w:val="en-US" w:eastAsia="en-US" w:bidi="ar-SA"/>
      </w:rPr>
    </w:lvl>
    <w:lvl w:ilvl="7" w:tplc="7C8A186A">
      <w:numFmt w:val="bullet"/>
      <w:lvlText w:val="•"/>
      <w:lvlJc w:val="left"/>
      <w:pPr>
        <w:ind w:left="6790" w:hanging="226"/>
      </w:pPr>
      <w:rPr>
        <w:rFonts w:hint="default"/>
        <w:lang w:val="en-US" w:eastAsia="en-US" w:bidi="ar-SA"/>
      </w:rPr>
    </w:lvl>
    <w:lvl w:ilvl="8" w:tplc="E25EACC8">
      <w:numFmt w:val="bullet"/>
      <w:lvlText w:val="•"/>
      <w:lvlJc w:val="left"/>
      <w:pPr>
        <w:ind w:left="7740" w:hanging="226"/>
      </w:pPr>
      <w:rPr>
        <w:rFonts w:hint="default"/>
        <w:lang w:val="en-US" w:eastAsia="en-US" w:bidi="ar-SA"/>
      </w:rPr>
    </w:lvl>
  </w:abstractNum>
  <w:abstractNum w:abstractNumId="17" w15:restartNumberingAfterBreak="0">
    <w:nsid w:val="49075E6B"/>
    <w:multiLevelType w:val="hybridMultilevel"/>
    <w:tmpl w:val="EBF6CD66"/>
    <w:lvl w:ilvl="0" w:tplc="36C46A88">
      <w:start w:val="1"/>
      <w:numFmt w:val="decimal"/>
      <w:lvlText w:val="%1."/>
      <w:lvlJc w:val="left"/>
      <w:pPr>
        <w:ind w:left="280" w:hanging="217"/>
        <w:jc w:val="left"/>
      </w:pPr>
      <w:rPr>
        <w:rFonts w:ascii="Calibri" w:eastAsia="Calibri" w:hAnsi="Calibri" w:cs="Calibri" w:hint="default"/>
        <w:b/>
        <w:bCs/>
        <w:i w:val="0"/>
        <w:iCs w:val="0"/>
        <w:w w:val="100"/>
        <w:sz w:val="22"/>
        <w:szCs w:val="22"/>
        <w:lang w:val="en-US" w:eastAsia="en-US" w:bidi="ar-SA"/>
      </w:rPr>
    </w:lvl>
    <w:lvl w:ilvl="1" w:tplc="529698BC">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EBF01396">
      <w:numFmt w:val="bullet"/>
      <w:lvlText w:val="•"/>
      <w:lvlJc w:val="left"/>
      <w:pPr>
        <w:ind w:left="1991" w:hanging="361"/>
      </w:pPr>
      <w:rPr>
        <w:rFonts w:hint="default"/>
        <w:lang w:val="en-US" w:eastAsia="en-US" w:bidi="ar-SA"/>
      </w:rPr>
    </w:lvl>
    <w:lvl w:ilvl="3" w:tplc="B2EA3150">
      <w:numFmt w:val="bullet"/>
      <w:lvlText w:val="•"/>
      <w:lvlJc w:val="left"/>
      <w:pPr>
        <w:ind w:left="2982" w:hanging="361"/>
      </w:pPr>
      <w:rPr>
        <w:rFonts w:hint="default"/>
        <w:lang w:val="en-US" w:eastAsia="en-US" w:bidi="ar-SA"/>
      </w:rPr>
    </w:lvl>
    <w:lvl w:ilvl="4" w:tplc="425C47B6">
      <w:numFmt w:val="bullet"/>
      <w:lvlText w:val="•"/>
      <w:lvlJc w:val="left"/>
      <w:pPr>
        <w:ind w:left="3973" w:hanging="361"/>
      </w:pPr>
      <w:rPr>
        <w:rFonts w:hint="default"/>
        <w:lang w:val="en-US" w:eastAsia="en-US" w:bidi="ar-SA"/>
      </w:rPr>
    </w:lvl>
    <w:lvl w:ilvl="5" w:tplc="806A0716">
      <w:numFmt w:val="bullet"/>
      <w:lvlText w:val="•"/>
      <w:lvlJc w:val="left"/>
      <w:pPr>
        <w:ind w:left="4964" w:hanging="361"/>
      </w:pPr>
      <w:rPr>
        <w:rFonts w:hint="default"/>
        <w:lang w:val="en-US" w:eastAsia="en-US" w:bidi="ar-SA"/>
      </w:rPr>
    </w:lvl>
    <w:lvl w:ilvl="6" w:tplc="15FCD344">
      <w:numFmt w:val="bullet"/>
      <w:lvlText w:val="•"/>
      <w:lvlJc w:val="left"/>
      <w:pPr>
        <w:ind w:left="5955" w:hanging="361"/>
      </w:pPr>
      <w:rPr>
        <w:rFonts w:hint="default"/>
        <w:lang w:val="en-US" w:eastAsia="en-US" w:bidi="ar-SA"/>
      </w:rPr>
    </w:lvl>
    <w:lvl w:ilvl="7" w:tplc="5358E42C">
      <w:numFmt w:val="bullet"/>
      <w:lvlText w:val="•"/>
      <w:lvlJc w:val="left"/>
      <w:pPr>
        <w:ind w:left="6946" w:hanging="361"/>
      </w:pPr>
      <w:rPr>
        <w:rFonts w:hint="default"/>
        <w:lang w:val="en-US" w:eastAsia="en-US" w:bidi="ar-SA"/>
      </w:rPr>
    </w:lvl>
    <w:lvl w:ilvl="8" w:tplc="F418FAB2">
      <w:numFmt w:val="bullet"/>
      <w:lvlText w:val="•"/>
      <w:lvlJc w:val="left"/>
      <w:pPr>
        <w:ind w:left="7937" w:hanging="361"/>
      </w:pPr>
      <w:rPr>
        <w:rFonts w:hint="default"/>
        <w:lang w:val="en-US" w:eastAsia="en-US" w:bidi="ar-SA"/>
      </w:rPr>
    </w:lvl>
  </w:abstractNum>
  <w:abstractNum w:abstractNumId="18" w15:restartNumberingAfterBreak="0">
    <w:nsid w:val="4B85637B"/>
    <w:multiLevelType w:val="hybridMultilevel"/>
    <w:tmpl w:val="3F20FEFC"/>
    <w:lvl w:ilvl="0" w:tplc="A69AF622">
      <w:start w:val="1"/>
      <w:numFmt w:val="decimal"/>
      <w:lvlText w:val="%1."/>
      <w:lvlJc w:val="left"/>
      <w:pPr>
        <w:ind w:left="139" w:hanging="248"/>
        <w:jc w:val="left"/>
      </w:pPr>
      <w:rPr>
        <w:rFonts w:ascii="Calibri" w:eastAsia="Calibri" w:hAnsi="Calibri" w:cs="Calibri" w:hint="default"/>
        <w:b/>
        <w:bCs/>
        <w:i w:val="0"/>
        <w:iCs w:val="0"/>
        <w:w w:val="100"/>
        <w:sz w:val="22"/>
        <w:szCs w:val="22"/>
        <w:lang w:val="en-US" w:eastAsia="en-US" w:bidi="ar-SA"/>
      </w:rPr>
    </w:lvl>
    <w:lvl w:ilvl="1" w:tplc="427AA4A2">
      <w:numFmt w:val="bullet"/>
      <w:lvlText w:val="•"/>
      <w:lvlJc w:val="left"/>
      <w:pPr>
        <w:ind w:left="1096" w:hanging="248"/>
      </w:pPr>
      <w:rPr>
        <w:rFonts w:hint="default"/>
        <w:lang w:val="en-US" w:eastAsia="en-US" w:bidi="ar-SA"/>
      </w:rPr>
    </w:lvl>
    <w:lvl w:ilvl="2" w:tplc="80A2321E">
      <w:numFmt w:val="bullet"/>
      <w:lvlText w:val="•"/>
      <w:lvlJc w:val="left"/>
      <w:pPr>
        <w:ind w:left="2052" w:hanging="248"/>
      </w:pPr>
      <w:rPr>
        <w:rFonts w:hint="default"/>
        <w:lang w:val="en-US" w:eastAsia="en-US" w:bidi="ar-SA"/>
      </w:rPr>
    </w:lvl>
    <w:lvl w:ilvl="3" w:tplc="270661B6">
      <w:numFmt w:val="bullet"/>
      <w:lvlText w:val="•"/>
      <w:lvlJc w:val="left"/>
      <w:pPr>
        <w:ind w:left="3008" w:hanging="248"/>
      </w:pPr>
      <w:rPr>
        <w:rFonts w:hint="default"/>
        <w:lang w:val="en-US" w:eastAsia="en-US" w:bidi="ar-SA"/>
      </w:rPr>
    </w:lvl>
    <w:lvl w:ilvl="4" w:tplc="DB2827EA">
      <w:numFmt w:val="bullet"/>
      <w:lvlText w:val="•"/>
      <w:lvlJc w:val="left"/>
      <w:pPr>
        <w:ind w:left="3964" w:hanging="248"/>
      </w:pPr>
      <w:rPr>
        <w:rFonts w:hint="default"/>
        <w:lang w:val="en-US" w:eastAsia="en-US" w:bidi="ar-SA"/>
      </w:rPr>
    </w:lvl>
    <w:lvl w:ilvl="5" w:tplc="AC48B050">
      <w:numFmt w:val="bullet"/>
      <w:lvlText w:val="•"/>
      <w:lvlJc w:val="left"/>
      <w:pPr>
        <w:ind w:left="4920" w:hanging="248"/>
      </w:pPr>
      <w:rPr>
        <w:rFonts w:hint="default"/>
        <w:lang w:val="en-US" w:eastAsia="en-US" w:bidi="ar-SA"/>
      </w:rPr>
    </w:lvl>
    <w:lvl w:ilvl="6" w:tplc="90EAF418">
      <w:numFmt w:val="bullet"/>
      <w:lvlText w:val="•"/>
      <w:lvlJc w:val="left"/>
      <w:pPr>
        <w:ind w:left="5876" w:hanging="248"/>
      </w:pPr>
      <w:rPr>
        <w:rFonts w:hint="default"/>
        <w:lang w:val="en-US" w:eastAsia="en-US" w:bidi="ar-SA"/>
      </w:rPr>
    </w:lvl>
    <w:lvl w:ilvl="7" w:tplc="D1DA58AC">
      <w:numFmt w:val="bullet"/>
      <w:lvlText w:val="•"/>
      <w:lvlJc w:val="left"/>
      <w:pPr>
        <w:ind w:left="6832" w:hanging="248"/>
      </w:pPr>
      <w:rPr>
        <w:rFonts w:hint="default"/>
        <w:lang w:val="en-US" w:eastAsia="en-US" w:bidi="ar-SA"/>
      </w:rPr>
    </w:lvl>
    <w:lvl w:ilvl="8" w:tplc="2D9C0308">
      <w:numFmt w:val="bullet"/>
      <w:lvlText w:val="•"/>
      <w:lvlJc w:val="left"/>
      <w:pPr>
        <w:ind w:left="7788" w:hanging="248"/>
      </w:pPr>
      <w:rPr>
        <w:rFonts w:hint="default"/>
        <w:lang w:val="en-US" w:eastAsia="en-US" w:bidi="ar-SA"/>
      </w:rPr>
    </w:lvl>
  </w:abstractNum>
  <w:abstractNum w:abstractNumId="19" w15:restartNumberingAfterBreak="0">
    <w:nsid w:val="50353AAD"/>
    <w:multiLevelType w:val="hybridMultilevel"/>
    <w:tmpl w:val="6862F5E8"/>
    <w:lvl w:ilvl="0" w:tplc="735E6AB4">
      <w:start w:val="1"/>
      <w:numFmt w:val="decimal"/>
      <w:lvlText w:val="%1."/>
      <w:lvlJc w:val="left"/>
      <w:pPr>
        <w:ind w:left="140" w:hanging="238"/>
        <w:jc w:val="left"/>
      </w:pPr>
      <w:rPr>
        <w:rFonts w:ascii="Calibri" w:eastAsia="Calibri" w:hAnsi="Calibri" w:cs="Calibri" w:hint="default"/>
        <w:b/>
        <w:bCs/>
        <w:i w:val="0"/>
        <w:iCs w:val="0"/>
        <w:w w:val="100"/>
        <w:sz w:val="21"/>
        <w:szCs w:val="21"/>
        <w:lang w:val="en-US" w:eastAsia="en-US" w:bidi="ar-SA"/>
      </w:rPr>
    </w:lvl>
    <w:lvl w:ilvl="1" w:tplc="EF9AB0A6">
      <w:numFmt w:val="bullet"/>
      <w:lvlText w:val="•"/>
      <w:lvlJc w:val="left"/>
      <w:pPr>
        <w:ind w:left="1102" w:hanging="238"/>
      </w:pPr>
      <w:rPr>
        <w:rFonts w:hint="default"/>
        <w:lang w:val="en-US" w:eastAsia="en-US" w:bidi="ar-SA"/>
      </w:rPr>
    </w:lvl>
    <w:lvl w:ilvl="2" w:tplc="404E3FD8">
      <w:numFmt w:val="bullet"/>
      <w:lvlText w:val="•"/>
      <w:lvlJc w:val="left"/>
      <w:pPr>
        <w:ind w:left="2064" w:hanging="238"/>
      </w:pPr>
      <w:rPr>
        <w:rFonts w:hint="default"/>
        <w:lang w:val="en-US" w:eastAsia="en-US" w:bidi="ar-SA"/>
      </w:rPr>
    </w:lvl>
    <w:lvl w:ilvl="3" w:tplc="995277FE">
      <w:numFmt w:val="bullet"/>
      <w:lvlText w:val="•"/>
      <w:lvlJc w:val="left"/>
      <w:pPr>
        <w:ind w:left="3026" w:hanging="238"/>
      </w:pPr>
      <w:rPr>
        <w:rFonts w:hint="default"/>
        <w:lang w:val="en-US" w:eastAsia="en-US" w:bidi="ar-SA"/>
      </w:rPr>
    </w:lvl>
    <w:lvl w:ilvl="4" w:tplc="AE268F72">
      <w:numFmt w:val="bullet"/>
      <w:lvlText w:val="•"/>
      <w:lvlJc w:val="left"/>
      <w:pPr>
        <w:ind w:left="3988" w:hanging="238"/>
      </w:pPr>
      <w:rPr>
        <w:rFonts w:hint="default"/>
        <w:lang w:val="en-US" w:eastAsia="en-US" w:bidi="ar-SA"/>
      </w:rPr>
    </w:lvl>
    <w:lvl w:ilvl="5" w:tplc="6ED07EE6">
      <w:numFmt w:val="bullet"/>
      <w:lvlText w:val="•"/>
      <w:lvlJc w:val="left"/>
      <w:pPr>
        <w:ind w:left="4950" w:hanging="238"/>
      </w:pPr>
      <w:rPr>
        <w:rFonts w:hint="default"/>
        <w:lang w:val="en-US" w:eastAsia="en-US" w:bidi="ar-SA"/>
      </w:rPr>
    </w:lvl>
    <w:lvl w:ilvl="6" w:tplc="A3C428E8">
      <w:numFmt w:val="bullet"/>
      <w:lvlText w:val="•"/>
      <w:lvlJc w:val="left"/>
      <w:pPr>
        <w:ind w:left="5912" w:hanging="238"/>
      </w:pPr>
      <w:rPr>
        <w:rFonts w:hint="default"/>
        <w:lang w:val="en-US" w:eastAsia="en-US" w:bidi="ar-SA"/>
      </w:rPr>
    </w:lvl>
    <w:lvl w:ilvl="7" w:tplc="B074C028">
      <w:numFmt w:val="bullet"/>
      <w:lvlText w:val="•"/>
      <w:lvlJc w:val="left"/>
      <w:pPr>
        <w:ind w:left="6874" w:hanging="238"/>
      </w:pPr>
      <w:rPr>
        <w:rFonts w:hint="default"/>
        <w:lang w:val="en-US" w:eastAsia="en-US" w:bidi="ar-SA"/>
      </w:rPr>
    </w:lvl>
    <w:lvl w:ilvl="8" w:tplc="74068722">
      <w:numFmt w:val="bullet"/>
      <w:lvlText w:val="•"/>
      <w:lvlJc w:val="left"/>
      <w:pPr>
        <w:ind w:left="7836" w:hanging="238"/>
      </w:pPr>
      <w:rPr>
        <w:rFonts w:hint="default"/>
        <w:lang w:val="en-US" w:eastAsia="en-US" w:bidi="ar-SA"/>
      </w:rPr>
    </w:lvl>
  </w:abstractNum>
  <w:abstractNum w:abstractNumId="20" w15:restartNumberingAfterBreak="0">
    <w:nsid w:val="53BF2094"/>
    <w:multiLevelType w:val="hybridMultilevel"/>
    <w:tmpl w:val="089EFFD8"/>
    <w:lvl w:ilvl="0" w:tplc="B4A22E1E">
      <w:start w:val="1"/>
      <w:numFmt w:val="decimal"/>
      <w:lvlText w:val="%1."/>
      <w:lvlJc w:val="left"/>
      <w:pPr>
        <w:ind w:left="140" w:hanging="214"/>
        <w:jc w:val="left"/>
      </w:pPr>
      <w:rPr>
        <w:rFonts w:ascii="Calibri" w:eastAsia="Calibri" w:hAnsi="Calibri" w:cs="Calibri" w:hint="default"/>
        <w:b/>
        <w:bCs/>
        <w:i w:val="0"/>
        <w:iCs w:val="0"/>
        <w:w w:val="100"/>
        <w:sz w:val="22"/>
        <w:szCs w:val="22"/>
        <w:lang w:val="en-US" w:eastAsia="en-US" w:bidi="ar-SA"/>
      </w:rPr>
    </w:lvl>
    <w:lvl w:ilvl="1" w:tplc="9C6C522E">
      <w:numFmt w:val="bullet"/>
      <w:lvlText w:val="•"/>
      <w:lvlJc w:val="left"/>
      <w:pPr>
        <w:ind w:left="1110" w:hanging="214"/>
      </w:pPr>
      <w:rPr>
        <w:rFonts w:hint="default"/>
        <w:lang w:val="en-US" w:eastAsia="en-US" w:bidi="ar-SA"/>
      </w:rPr>
    </w:lvl>
    <w:lvl w:ilvl="2" w:tplc="3BB61CD8">
      <w:numFmt w:val="bullet"/>
      <w:lvlText w:val="•"/>
      <w:lvlJc w:val="left"/>
      <w:pPr>
        <w:ind w:left="2080" w:hanging="214"/>
      </w:pPr>
      <w:rPr>
        <w:rFonts w:hint="default"/>
        <w:lang w:val="en-US" w:eastAsia="en-US" w:bidi="ar-SA"/>
      </w:rPr>
    </w:lvl>
    <w:lvl w:ilvl="3" w:tplc="F08E219C">
      <w:numFmt w:val="bullet"/>
      <w:lvlText w:val="•"/>
      <w:lvlJc w:val="left"/>
      <w:pPr>
        <w:ind w:left="3050" w:hanging="214"/>
      </w:pPr>
      <w:rPr>
        <w:rFonts w:hint="default"/>
        <w:lang w:val="en-US" w:eastAsia="en-US" w:bidi="ar-SA"/>
      </w:rPr>
    </w:lvl>
    <w:lvl w:ilvl="4" w:tplc="E59C4A78">
      <w:numFmt w:val="bullet"/>
      <w:lvlText w:val="•"/>
      <w:lvlJc w:val="left"/>
      <w:pPr>
        <w:ind w:left="4020" w:hanging="214"/>
      </w:pPr>
      <w:rPr>
        <w:rFonts w:hint="default"/>
        <w:lang w:val="en-US" w:eastAsia="en-US" w:bidi="ar-SA"/>
      </w:rPr>
    </w:lvl>
    <w:lvl w:ilvl="5" w:tplc="43660EDA">
      <w:numFmt w:val="bullet"/>
      <w:lvlText w:val="•"/>
      <w:lvlJc w:val="left"/>
      <w:pPr>
        <w:ind w:left="4990" w:hanging="214"/>
      </w:pPr>
      <w:rPr>
        <w:rFonts w:hint="default"/>
        <w:lang w:val="en-US" w:eastAsia="en-US" w:bidi="ar-SA"/>
      </w:rPr>
    </w:lvl>
    <w:lvl w:ilvl="6" w:tplc="3D1CC0C8">
      <w:numFmt w:val="bullet"/>
      <w:lvlText w:val="•"/>
      <w:lvlJc w:val="left"/>
      <w:pPr>
        <w:ind w:left="5960" w:hanging="214"/>
      </w:pPr>
      <w:rPr>
        <w:rFonts w:hint="default"/>
        <w:lang w:val="en-US" w:eastAsia="en-US" w:bidi="ar-SA"/>
      </w:rPr>
    </w:lvl>
    <w:lvl w:ilvl="7" w:tplc="527CB8F6">
      <w:numFmt w:val="bullet"/>
      <w:lvlText w:val="•"/>
      <w:lvlJc w:val="left"/>
      <w:pPr>
        <w:ind w:left="6930" w:hanging="214"/>
      </w:pPr>
      <w:rPr>
        <w:rFonts w:hint="default"/>
        <w:lang w:val="en-US" w:eastAsia="en-US" w:bidi="ar-SA"/>
      </w:rPr>
    </w:lvl>
    <w:lvl w:ilvl="8" w:tplc="5CC685C2">
      <w:numFmt w:val="bullet"/>
      <w:lvlText w:val="•"/>
      <w:lvlJc w:val="left"/>
      <w:pPr>
        <w:ind w:left="7900" w:hanging="214"/>
      </w:pPr>
      <w:rPr>
        <w:rFonts w:hint="default"/>
        <w:lang w:val="en-US" w:eastAsia="en-US" w:bidi="ar-SA"/>
      </w:rPr>
    </w:lvl>
  </w:abstractNum>
  <w:abstractNum w:abstractNumId="21" w15:restartNumberingAfterBreak="0">
    <w:nsid w:val="563325F5"/>
    <w:multiLevelType w:val="hybridMultilevel"/>
    <w:tmpl w:val="E498444C"/>
    <w:lvl w:ilvl="0" w:tplc="7AE625E0">
      <w:start w:val="1"/>
      <w:numFmt w:val="decimal"/>
      <w:lvlText w:val="%1."/>
      <w:lvlJc w:val="left"/>
      <w:pPr>
        <w:ind w:left="140" w:hanging="236"/>
        <w:jc w:val="left"/>
      </w:pPr>
      <w:rPr>
        <w:rFonts w:ascii="Calibri" w:eastAsia="Calibri" w:hAnsi="Calibri" w:cs="Calibri" w:hint="default"/>
        <w:b/>
        <w:bCs/>
        <w:i w:val="0"/>
        <w:iCs w:val="0"/>
        <w:w w:val="100"/>
        <w:sz w:val="22"/>
        <w:szCs w:val="22"/>
        <w:lang w:val="en-US" w:eastAsia="en-US" w:bidi="ar-SA"/>
      </w:rPr>
    </w:lvl>
    <w:lvl w:ilvl="1" w:tplc="8C900864">
      <w:numFmt w:val="bullet"/>
      <w:lvlText w:val="•"/>
      <w:lvlJc w:val="left"/>
      <w:pPr>
        <w:ind w:left="1090" w:hanging="236"/>
      </w:pPr>
      <w:rPr>
        <w:rFonts w:hint="default"/>
        <w:lang w:val="en-US" w:eastAsia="en-US" w:bidi="ar-SA"/>
      </w:rPr>
    </w:lvl>
    <w:lvl w:ilvl="2" w:tplc="559800D0">
      <w:numFmt w:val="bullet"/>
      <w:lvlText w:val="•"/>
      <w:lvlJc w:val="left"/>
      <w:pPr>
        <w:ind w:left="2040" w:hanging="236"/>
      </w:pPr>
      <w:rPr>
        <w:rFonts w:hint="default"/>
        <w:lang w:val="en-US" w:eastAsia="en-US" w:bidi="ar-SA"/>
      </w:rPr>
    </w:lvl>
    <w:lvl w:ilvl="3" w:tplc="A4BC6660">
      <w:numFmt w:val="bullet"/>
      <w:lvlText w:val="•"/>
      <w:lvlJc w:val="left"/>
      <w:pPr>
        <w:ind w:left="2990" w:hanging="236"/>
      </w:pPr>
      <w:rPr>
        <w:rFonts w:hint="default"/>
        <w:lang w:val="en-US" w:eastAsia="en-US" w:bidi="ar-SA"/>
      </w:rPr>
    </w:lvl>
    <w:lvl w:ilvl="4" w:tplc="010C788C">
      <w:numFmt w:val="bullet"/>
      <w:lvlText w:val="•"/>
      <w:lvlJc w:val="left"/>
      <w:pPr>
        <w:ind w:left="3940" w:hanging="236"/>
      </w:pPr>
      <w:rPr>
        <w:rFonts w:hint="default"/>
        <w:lang w:val="en-US" w:eastAsia="en-US" w:bidi="ar-SA"/>
      </w:rPr>
    </w:lvl>
    <w:lvl w:ilvl="5" w:tplc="F3082C52">
      <w:numFmt w:val="bullet"/>
      <w:lvlText w:val="•"/>
      <w:lvlJc w:val="left"/>
      <w:pPr>
        <w:ind w:left="4890" w:hanging="236"/>
      </w:pPr>
      <w:rPr>
        <w:rFonts w:hint="default"/>
        <w:lang w:val="en-US" w:eastAsia="en-US" w:bidi="ar-SA"/>
      </w:rPr>
    </w:lvl>
    <w:lvl w:ilvl="6" w:tplc="ABF0ABC8">
      <w:numFmt w:val="bullet"/>
      <w:lvlText w:val="•"/>
      <w:lvlJc w:val="left"/>
      <w:pPr>
        <w:ind w:left="5840" w:hanging="236"/>
      </w:pPr>
      <w:rPr>
        <w:rFonts w:hint="default"/>
        <w:lang w:val="en-US" w:eastAsia="en-US" w:bidi="ar-SA"/>
      </w:rPr>
    </w:lvl>
    <w:lvl w:ilvl="7" w:tplc="8E76D660">
      <w:numFmt w:val="bullet"/>
      <w:lvlText w:val="•"/>
      <w:lvlJc w:val="left"/>
      <w:pPr>
        <w:ind w:left="6790" w:hanging="236"/>
      </w:pPr>
      <w:rPr>
        <w:rFonts w:hint="default"/>
        <w:lang w:val="en-US" w:eastAsia="en-US" w:bidi="ar-SA"/>
      </w:rPr>
    </w:lvl>
    <w:lvl w:ilvl="8" w:tplc="993610F4">
      <w:numFmt w:val="bullet"/>
      <w:lvlText w:val="•"/>
      <w:lvlJc w:val="left"/>
      <w:pPr>
        <w:ind w:left="7740" w:hanging="236"/>
      </w:pPr>
      <w:rPr>
        <w:rFonts w:hint="default"/>
        <w:lang w:val="en-US" w:eastAsia="en-US" w:bidi="ar-SA"/>
      </w:rPr>
    </w:lvl>
  </w:abstractNum>
  <w:abstractNum w:abstractNumId="22" w15:restartNumberingAfterBreak="0">
    <w:nsid w:val="577612CA"/>
    <w:multiLevelType w:val="hybridMultilevel"/>
    <w:tmpl w:val="24AC29DE"/>
    <w:lvl w:ilvl="0" w:tplc="AC9C6DE8">
      <w:start w:val="1"/>
      <w:numFmt w:val="decimal"/>
      <w:lvlText w:val="%1."/>
      <w:lvlJc w:val="left"/>
      <w:pPr>
        <w:ind w:left="500" w:hanging="221"/>
        <w:jc w:val="left"/>
      </w:pPr>
      <w:rPr>
        <w:rFonts w:ascii="Calibri" w:eastAsia="Calibri" w:hAnsi="Calibri" w:cs="Calibri" w:hint="default"/>
        <w:b/>
        <w:bCs/>
        <w:i w:val="0"/>
        <w:iCs w:val="0"/>
        <w:w w:val="100"/>
        <w:sz w:val="22"/>
        <w:szCs w:val="22"/>
        <w:lang w:val="en-US" w:eastAsia="en-US" w:bidi="ar-SA"/>
      </w:rPr>
    </w:lvl>
    <w:lvl w:ilvl="1" w:tplc="DDDAA34A">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E05239C8">
      <w:numFmt w:val="bullet"/>
      <w:lvlText w:val="•"/>
      <w:lvlJc w:val="left"/>
      <w:pPr>
        <w:ind w:left="1991" w:hanging="361"/>
      </w:pPr>
      <w:rPr>
        <w:rFonts w:hint="default"/>
        <w:lang w:val="en-US" w:eastAsia="en-US" w:bidi="ar-SA"/>
      </w:rPr>
    </w:lvl>
    <w:lvl w:ilvl="3" w:tplc="34761EF4">
      <w:numFmt w:val="bullet"/>
      <w:lvlText w:val="•"/>
      <w:lvlJc w:val="left"/>
      <w:pPr>
        <w:ind w:left="2982" w:hanging="361"/>
      </w:pPr>
      <w:rPr>
        <w:rFonts w:hint="default"/>
        <w:lang w:val="en-US" w:eastAsia="en-US" w:bidi="ar-SA"/>
      </w:rPr>
    </w:lvl>
    <w:lvl w:ilvl="4" w:tplc="DE5E5748">
      <w:numFmt w:val="bullet"/>
      <w:lvlText w:val="•"/>
      <w:lvlJc w:val="left"/>
      <w:pPr>
        <w:ind w:left="3973" w:hanging="361"/>
      </w:pPr>
      <w:rPr>
        <w:rFonts w:hint="default"/>
        <w:lang w:val="en-US" w:eastAsia="en-US" w:bidi="ar-SA"/>
      </w:rPr>
    </w:lvl>
    <w:lvl w:ilvl="5" w:tplc="ED2C3974">
      <w:numFmt w:val="bullet"/>
      <w:lvlText w:val="•"/>
      <w:lvlJc w:val="left"/>
      <w:pPr>
        <w:ind w:left="4964" w:hanging="361"/>
      </w:pPr>
      <w:rPr>
        <w:rFonts w:hint="default"/>
        <w:lang w:val="en-US" w:eastAsia="en-US" w:bidi="ar-SA"/>
      </w:rPr>
    </w:lvl>
    <w:lvl w:ilvl="6" w:tplc="82DEF6FC">
      <w:numFmt w:val="bullet"/>
      <w:lvlText w:val="•"/>
      <w:lvlJc w:val="left"/>
      <w:pPr>
        <w:ind w:left="5955" w:hanging="361"/>
      </w:pPr>
      <w:rPr>
        <w:rFonts w:hint="default"/>
        <w:lang w:val="en-US" w:eastAsia="en-US" w:bidi="ar-SA"/>
      </w:rPr>
    </w:lvl>
    <w:lvl w:ilvl="7" w:tplc="C25A944C">
      <w:numFmt w:val="bullet"/>
      <w:lvlText w:val="•"/>
      <w:lvlJc w:val="left"/>
      <w:pPr>
        <w:ind w:left="6946" w:hanging="361"/>
      </w:pPr>
      <w:rPr>
        <w:rFonts w:hint="default"/>
        <w:lang w:val="en-US" w:eastAsia="en-US" w:bidi="ar-SA"/>
      </w:rPr>
    </w:lvl>
    <w:lvl w:ilvl="8" w:tplc="A20C1CE0">
      <w:numFmt w:val="bullet"/>
      <w:lvlText w:val="•"/>
      <w:lvlJc w:val="left"/>
      <w:pPr>
        <w:ind w:left="7937" w:hanging="361"/>
      </w:pPr>
      <w:rPr>
        <w:rFonts w:hint="default"/>
        <w:lang w:val="en-US" w:eastAsia="en-US" w:bidi="ar-SA"/>
      </w:rPr>
    </w:lvl>
  </w:abstractNum>
  <w:abstractNum w:abstractNumId="23" w15:restartNumberingAfterBreak="0">
    <w:nsid w:val="58364B13"/>
    <w:multiLevelType w:val="hybridMultilevel"/>
    <w:tmpl w:val="9A509E1E"/>
    <w:lvl w:ilvl="0" w:tplc="912A6F32">
      <w:start w:val="1"/>
      <w:numFmt w:val="decimal"/>
      <w:lvlText w:val="%1."/>
      <w:lvlJc w:val="left"/>
      <w:pPr>
        <w:ind w:left="139" w:hanging="253"/>
        <w:jc w:val="left"/>
      </w:pPr>
      <w:rPr>
        <w:rFonts w:ascii="Calibri" w:eastAsia="Calibri" w:hAnsi="Calibri" w:cs="Calibri" w:hint="default"/>
        <w:b/>
        <w:bCs/>
        <w:i w:val="0"/>
        <w:iCs w:val="0"/>
        <w:w w:val="100"/>
        <w:sz w:val="22"/>
        <w:szCs w:val="22"/>
        <w:lang w:val="en-US" w:eastAsia="en-US" w:bidi="ar-SA"/>
      </w:rPr>
    </w:lvl>
    <w:lvl w:ilvl="1" w:tplc="487C21FC">
      <w:numFmt w:val="bullet"/>
      <w:lvlText w:val="•"/>
      <w:lvlJc w:val="left"/>
      <w:pPr>
        <w:ind w:left="1090" w:hanging="253"/>
      </w:pPr>
      <w:rPr>
        <w:rFonts w:hint="default"/>
        <w:lang w:val="en-US" w:eastAsia="en-US" w:bidi="ar-SA"/>
      </w:rPr>
    </w:lvl>
    <w:lvl w:ilvl="2" w:tplc="49245336">
      <w:numFmt w:val="bullet"/>
      <w:lvlText w:val="•"/>
      <w:lvlJc w:val="left"/>
      <w:pPr>
        <w:ind w:left="2040" w:hanging="253"/>
      </w:pPr>
      <w:rPr>
        <w:rFonts w:hint="default"/>
        <w:lang w:val="en-US" w:eastAsia="en-US" w:bidi="ar-SA"/>
      </w:rPr>
    </w:lvl>
    <w:lvl w:ilvl="3" w:tplc="9F5065A6">
      <w:numFmt w:val="bullet"/>
      <w:lvlText w:val="•"/>
      <w:lvlJc w:val="left"/>
      <w:pPr>
        <w:ind w:left="2990" w:hanging="253"/>
      </w:pPr>
      <w:rPr>
        <w:rFonts w:hint="default"/>
        <w:lang w:val="en-US" w:eastAsia="en-US" w:bidi="ar-SA"/>
      </w:rPr>
    </w:lvl>
    <w:lvl w:ilvl="4" w:tplc="F5B24CBC">
      <w:numFmt w:val="bullet"/>
      <w:lvlText w:val="•"/>
      <w:lvlJc w:val="left"/>
      <w:pPr>
        <w:ind w:left="3940" w:hanging="253"/>
      </w:pPr>
      <w:rPr>
        <w:rFonts w:hint="default"/>
        <w:lang w:val="en-US" w:eastAsia="en-US" w:bidi="ar-SA"/>
      </w:rPr>
    </w:lvl>
    <w:lvl w:ilvl="5" w:tplc="531CC79C">
      <w:numFmt w:val="bullet"/>
      <w:lvlText w:val="•"/>
      <w:lvlJc w:val="left"/>
      <w:pPr>
        <w:ind w:left="4890" w:hanging="253"/>
      </w:pPr>
      <w:rPr>
        <w:rFonts w:hint="default"/>
        <w:lang w:val="en-US" w:eastAsia="en-US" w:bidi="ar-SA"/>
      </w:rPr>
    </w:lvl>
    <w:lvl w:ilvl="6" w:tplc="4B822692">
      <w:numFmt w:val="bullet"/>
      <w:lvlText w:val="•"/>
      <w:lvlJc w:val="left"/>
      <w:pPr>
        <w:ind w:left="5840" w:hanging="253"/>
      </w:pPr>
      <w:rPr>
        <w:rFonts w:hint="default"/>
        <w:lang w:val="en-US" w:eastAsia="en-US" w:bidi="ar-SA"/>
      </w:rPr>
    </w:lvl>
    <w:lvl w:ilvl="7" w:tplc="0D304702">
      <w:numFmt w:val="bullet"/>
      <w:lvlText w:val="•"/>
      <w:lvlJc w:val="left"/>
      <w:pPr>
        <w:ind w:left="6790" w:hanging="253"/>
      </w:pPr>
      <w:rPr>
        <w:rFonts w:hint="default"/>
        <w:lang w:val="en-US" w:eastAsia="en-US" w:bidi="ar-SA"/>
      </w:rPr>
    </w:lvl>
    <w:lvl w:ilvl="8" w:tplc="8ADA2E92">
      <w:numFmt w:val="bullet"/>
      <w:lvlText w:val="•"/>
      <w:lvlJc w:val="left"/>
      <w:pPr>
        <w:ind w:left="7740" w:hanging="253"/>
      </w:pPr>
      <w:rPr>
        <w:rFonts w:hint="default"/>
        <w:lang w:val="en-US" w:eastAsia="en-US" w:bidi="ar-SA"/>
      </w:rPr>
    </w:lvl>
  </w:abstractNum>
  <w:abstractNum w:abstractNumId="24" w15:restartNumberingAfterBreak="0">
    <w:nsid w:val="5A58321A"/>
    <w:multiLevelType w:val="hybridMultilevel"/>
    <w:tmpl w:val="A5A4FDAA"/>
    <w:lvl w:ilvl="0" w:tplc="04BE6668">
      <w:start w:val="1"/>
      <w:numFmt w:val="decimal"/>
      <w:lvlText w:val="%1."/>
      <w:lvlJc w:val="left"/>
      <w:pPr>
        <w:ind w:left="500" w:hanging="221"/>
        <w:jc w:val="left"/>
      </w:pPr>
      <w:rPr>
        <w:rFonts w:ascii="Calibri" w:eastAsia="Calibri" w:hAnsi="Calibri" w:cs="Calibri" w:hint="default"/>
        <w:b/>
        <w:bCs/>
        <w:i w:val="0"/>
        <w:iCs w:val="0"/>
        <w:w w:val="100"/>
        <w:sz w:val="22"/>
        <w:szCs w:val="22"/>
        <w:lang w:val="en-US" w:eastAsia="en-US" w:bidi="ar-SA"/>
      </w:rPr>
    </w:lvl>
    <w:lvl w:ilvl="1" w:tplc="3FEE13C6">
      <w:numFmt w:val="bullet"/>
      <w:lvlText w:val="•"/>
      <w:lvlJc w:val="left"/>
      <w:pPr>
        <w:ind w:left="1442" w:hanging="221"/>
      </w:pPr>
      <w:rPr>
        <w:rFonts w:hint="default"/>
        <w:lang w:val="en-US" w:eastAsia="en-US" w:bidi="ar-SA"/>
      </w:rPr>
    </w:lvl>
    <w:lvl w:ilvl="2" w:tplc="F4F27A88">
      <w:numFmt w:val="bullet"/>
      <w:lvlText w:val="•"/>
      <w:lvlJc w:val="left"/>
      <w:pPr>
        <w:ind w:left="2384" w:hanging="221"/>
      </w:pPr>
      <w:rPr>
        <w:rFonts w:hint="default"/>
        <w:lang w:val="en-US" w:eastAsia="en-US" w:bidi="ar-SA"/>
      </w:rPr>
    </w:lvl>
    <w:lvl w:ilvl="3" w:tplc="467C58A0">
      <w:numFmt w:val="bullet"/>
      <w:lvlText w:val="•"/>
      <w:lvlJc w:val="left"/>
      <w:pPr>
        <w:ind w:left="3326" w:hanging="221"/>
      </w:pPr>
      <w:rPr>
        <w:rFonts w:hint="default"/>
        <w:lang w:val="en-US" w:eastAsia="en-US" w:bidi="ar-SA"/>
      </w:rPr>
    </w:lvl>
    <w:lvl w:ilvl="4" w:tplc="683E8320">
      <w:numFmt w:val="bullet"/>
      <w:lvlText w:val="•"/>
      <w:lvlJc w:val="left"/>
      <w:pPr>
        <w:ind w:left="4268" w:hanging="221"/>
      </w:pPr>
      <w:rPr>
        <w:rFonts w:hint="default"/>
        <w:lang w:val="en-US" w:eastAsia="en-US" w:bidi="ar-SA"/>
      </w:rPr>
    </w:lvl>
    <w:lvl w:ilvl="5" w:tplc="F7F06280">
      <w:numFmt w:val="bullet"/>
      <w:lvlText w:val="•"/>
      <w:lvlJc w:val="left"/>
      <w:pPr>
        <w:ind w:left="5210" w:hanging="221"/>
      </w:pPr>
      <w:rPr>
        <w:rFonts w:hint="default"/>
        <w:lang w:val="en-US" w:eastAsia="en-US" w:bidi="ar-SA"/>
      </w:rPr>
    </w:lvl>
    <w:lvl w:ilvl="6" w:tplc="31225D32">
      <w:numFmt w:val="bullet"/>
      <w:lvlText w:val="•"/>
      <w:lvlJc w:val="left"/>
      <w:pPr>
        <w:ind w:left="6152" w:hanging="221"/>
      </w:pPr>
      <w:rPr>
        <w:rFonts w:hint="default"/>
        <w:lang w:val="en-US" w:eastAsia="en-US" w:bidi="ar-SA"/>
      </w:rPr>
    </w:lvl>
    <w:lvl w:ilvl="7" w:tplc="9BA81622">
      <w:numFmt w:val="bullet"/>
      <w:lvlText w:val="•"/>
      <w:lvlJc w:val="left"/>
      <w:pPr>
        <w:ind w:left="7094" w:hanging="221"/>
      </w:pPr>
      <w:rPr>
        <w:rFonts w:hint="default"/>
        <w:lang w:val="en-US" w:eastAsia="en-US" w:bidi="ar-SA"/>
      </w:rPr>
    </w:lvl>
    <w:lvl w:ilvl="8" w:tplc="98825F3A">
      <w:numFmt w:val="bullet"/>
      <w:lvlText w:val="•"/>
      <w:lvlJc w:val="left"/>
      <w:pPr>
        <w:ind w:left="8036" w:hanging="221"/>
      </w:pPr>
      <w:rPr>
        <w:rFonts w:hint="default"/>
        <w:lang w:val="en-US" w:eastAsia="en-US" w:bidi="ar-SA"/>
      </w:rPr>
    </w:lvl>
  </w:abstractNum>
  <w:abstractNum w:abstractNumId="25" w15:restartNumberingAfterBreak="0">
    <w:nsid w:val="5C405A5A"/>
    <w:multiLevelType w:val="hybridMultilevel"/>
    <w:tmpl w:val="DB28123E"/>
    <w:lvl w:ilvl="0" w:tplc="3D98732A">
      <w:start w:val="1"/>
      <w:numFmt w:val="decimal"/>
      <w:lvlText w:val="%1."/>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1" w:tplc="6E029F42">
      <w:numFmt w:val="bullet"/>
      <w:lvlText w:val="•"/>
      <w:lvlJc w:val="left"/>
      <w:pPr>
        <w:ind w:left="1892" w:hanging="361"/>
      </w:pPr>
      <w:rPr>
        <w:rFonts w:hint="default"/>
        <w:lang w:val="en-US" w:eastAsia="en-US" w:bidi="ar-SA"/>
      </w:rPr>
    </w:lvl>
    <w:lvl w:ilvl="2" w:tplc="24308C34">
      <w:numFmt w:val="bullet"/>
      <w:lvlText w:val="•"/>
      <w:lvlJc w:val="left"/>
      <w:pPr>
        <w:ind w:left="2784" w:hanging="361"/>
      </w:pPr>
      <w:rPr>
        <w:rFonts w:hint="default"/>
        <w:lang w:val="en-US" w:eastAsia="en-US" w:bidi="ar-SA"/>
      </w:rPr>
    </w:lvl>
    <w:lvl w:ilvl="3" w:tplc="14E29FBC">
      <w:numFmt w:val="bullet"/>
      <w:lvlText w:val="•"/>
      <w:lvlJc w:val="left"/>
      <w:pPr>
        <w:ind w:left="3676" w:hanging="361"/>
      </w:pPr>
      <w:rPr>
        <w:rFonts w:hint="default"/>
        <w:lang w:val="en-US" w:eastAsia="en-US" w:bidi="ar-SA"/>
      </w:rPr>
    </w:lvl>
    <w:lvl w:ilvl="4" w:tplc="972E2CAC">
      <w:numFmt w:val="bullet"/>
      <w:lvlText w:val="•"/>
      <w:lvlJc w:val="left"/>
      <w:pPr>
        <w:ind w:left="4568" w:hanging="361"/>
      </w:pPr>
      <w:rPr>
        <w:rFonts w:hint="default"/>
        <w:lang w:val="en-US" w:eastAsia="en-US" w:bidi="ar-SA"/>
      </w:rPr>
    </w:lvl>
    <w:lvl w:ilvl="5" w:tplc="43FECB96">
      <w:numFmt w:val="bullet"/>
      <w:lvlText w:val="•"/>
      <w:lvlJc w:val="left"/>
      <w:pPr>
        <w:ind w:left="5460" w:hanging="361"/>
      </w:pPr>
      <w:rPr>
        <w:rFonts w:hint="default"/>
        <w:lang w:val="en-US" w:eastAsia="en-US" w:bidi="ar-SA"/>
      </w:rPr>
    </w:lvl>
    <w:lvl w:ilvl="6" w:tplc="BD920AAA">
      <w:numFmt w:val="bullet"/>
      <w:lvlText w:val="•"/>
      <w:lvlJc w:val="left"/>
      <w:pPr>
        <w:ind w:left="6352" w:hanging="361"/>
      </w:pPr>
      <w:rPr>
        <w:rFonts w:hint="default"/>
        <w:lang w:val="en-US" w:eastAsia="en-US" w:bidi="ar-SA"/>
      </w:rPr>
    </w:lvl>
    <w:lvl w:ilvl="7" w:tplc="671E6BF8">
      <w:numFmt w:val="bullet"/>
      <w:lvlText w:val="•"/>
      <w:lvlJc w:val="left"/>
      <w:pPr>
        <w:ind w:left="7244" w:hanging="361"/>
      </w:pPr>
      <w:rPr>
        <w:rFonts w:hint="default"/>
        <w:lang w:val="en-US" w:eastAsia="en-US" w:bidi="ar-SA"/>
      </w:rPr>
    </w:lvl>
    <w:lvl w:ilvl="8" w:tplc="767A8F7E">
      <w:numFmt w:val="bullet"/>
      <w:lvlText w:val="•"/>
      <w:lvlJc w:val="left"/>
      <w:pPr>
        <w:ind w:left="8136" w:hanging="361"/>
      </w:pPr>
      <w:rPr>
        <w:rFonts w:hint="default"/>
        <w:lang w:val="en-US" w:eastAsia="en-US" w:bidi="ar-SA"/>
      </w:rPr>
    </w:lvl>
  </w:abstractNum>
  <w:abstractNum w:abstractNumId="26" w15:restartNumberingAfterBreak="0">
    <w:nsid w:val="64044980"/>
    <w:multiLevelType w:val="hybridMultilevel"/>
    <w:tmpl w:val="CB5E4D4C"/>
    <w:lvl w:ilvl="0" w:tplc="E1F041D6">
      <w:start w:val="1"/>
      <w:numFmt w:val="decimal"/>
      <w:lvlText w:val="%1."/>
      <w:lvlJc w:val="left"/>
      <w:pPr>
        <w:ind w:left="500" w:hanging="221"/>
        <w:jc w:val="left"/>
      </w:pPr>
      <w:rPr>
        <w:rFonts w:ascii="Calibri" w:eastAsia="Calibri" w:hAnsi="Calibri" w:cs="Calibri" w:hint="default"/>
        <w:b/>
        <w:bCs/>
        <w:i w:val="0"/>
        <w:iCs w:val="0"/>
        <w:w w:val="100"/>
        <w:sz w:val="22"/>
        <w:szCs w:val="22"/>
        <w:lang w:val="en-US" w:eastAsia="en-US" w:bidi="ar-SA"/>
      </w:rPr>
    </w:lvl>
    <w:lvl w:ilvl="1" w:tplc="FDC4D862">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B6CC338E">
      <w:numFmt w:val="bullet"/>
      <w:lvlText w:val="•"/>
      <w:lvlJc w:val="left"/>
      <w:pPr>
        <w:ind w:left="1991" w:hanging="361"/>
      </w:pPr>
      <w:rPr>
        <w:rFonts w:hint="default"/>
        <w:lang w:val="en-US" w:eastAsia="en-US" w:bidi="ar-SA"/>
      </w:rPr>
    </w:lvl>
    <w:lvl w:ilvl="3" w:tplc="3474B0C4">
      <w:numFmt w:val="bullet"/>
      <w:lvlText w:val="•"/>
      <w:lvlJc w:val="left"/>
      <w:pPr>
        <w:ind w:left="2982" w:hanging="361"/>
      </w:pPr>
      <w:rPr>
        <w:rFonts w:hint="default"/>
        <w:lang w:val="en-US" w:eastAsia="en-US" w:bidi="ar-SA"/>
      </w:rPr>
    </w:lvl>
    <w:lvl w:ilvl="4" w:tplc="C44660B8">
      <w:numFmt w:val="bullet"/>
      <w:lvlText w:val="•"/>
      <w:lvlJc w:val="left"/>
      <w:pPr>
        <w:ind w:left="3973" w:hanging="361"/>
      </w:pPr>
      <w:rPr>
        <w:rFonts w:hint="default"/>
        <w:lang w:val="en-US" w:eastAsia="en-US" w:bidi="ar-SA"/>
      </w:rPr>
    </w:lvl>
    <w:lvl w:ilvl="5" w:tplc="08064450">
      <w:numFmt w:val="bullet"/>
      <w:lvlText w:val="•"/>
      <w:lvlJc w:val="left"/>
      <w:pPr>
        <w:ind w:left="4964" w:hanging="361"/>
      </w:pPr>
      <w:rPr>
        <w:rFonts w:hint="default"/>
        <w:lang w:val="en-US" w:eastAsia="en-US" w:bidi="ar-SA"/>
      </w:rPr>
    </w:lvl>
    <w:lvl w:ilvl="6" w:tplc="087E1B26">
      <w:numFmt w:val="bullet"/>
      <w:lvlText w:val="•"/>
      <w:lvlJc w:val="left"/>
      <w:pPr>
        <w:ind w:left="5955" w:hanging="361"/>
      </w:pPr>
      <w:rPr>
        <w:rFonts w:hint="default"/>
        <w:lang w:val="en-US" w:eastAsia="en-US" w:bidi="ar-SA"/>
      </w:rPr>
    </w:lvl>
    <w:lvl w:ilvl="7" w:tplc="CC40441C">
      <w:numFmt w:val="bullet"/>
      <w:lvlText w:val="•"/>
      <w:lvlJc w:val="left"/>
      <w:pPr>
        <w:ind w:left="6946" w:hanging="361"/>
      </w:pPr>
      <w:rPr>
        <w:rFonts w:hint="default"/>
        <w:lang w:val="en-US" w:eastAsia="en-US" w:bidi="ar-SA"/>
      </w:rPr>
    </w:lvl>
    <w:lvl w:ilvl="8" w:tplc="31863DEC">
      <w:numFmt w:val="bullet"/>
      <w:lvlText w:val="•"/>
      <w:lvlJc w:val="left"/>
      <w:pPr>
        <w:ind w:left="7937" w:hanging="361"/>
      </w:pPr>
      <w:rPr>
        <w:rFonts w:hint="default"/>
        <w:lang w:val="en-US" w:eastAsia="en-US" w:bidi="ar-SA"/>
      </w:rPr>
    </w:lvl>
  </w:abstractNum>
  <w:abstractNum w:abstractNumId="27" w15:restartNumberingAfterBreak="0">
    <w:nsid w:val="67322CC9"/>
    <w:multiLevelType w:val="hybridMultilevel"/>
    <w:tmpl w:val="ACA486D8"/>
    <w:lvl w:ilvl="0" w:tplc="A8903F14">
      <w:numFmt w:val="bullet"/>
      <w:lvlText w:val="●"/>
      <w:lvlJc w:val="left"/>
      <w:pPr>
        <w:ind w:left="859" w:hanging="361"/>
      </w:pPr>
      <w:rPr>
        <w:rFonts w:ascii="Calibri" w:eastAsia="Calibri" w:hAnsi="Calibri" w:cs="Calibri" w:hint="default"/>
        <w:b w:val="0"/>
        <w:bCs w:val="0"/>
        <w:i w:val="0"/>
        <w:iCs w:val="0"/>
        <w:w w:val="100"/>
        <w:sz w:val="22"/>
        <w:szCs w:val="22"/>
        <w:lang w:val="en-US" w:eastAsia="en-US" w:bidi="ar-SA"/>
      </w:rPr>
    </w:lvl>
    <w:lvl w:ilvl="1" w:tplc="68E0F3CE">
      <w:numFmt w:val="bullet"/>
      <w:lvlText w:val="•"/>
      <w:lvlJc w:val="left"/>
      <w:pPr>
        <w:ind w:left="1738" w:hanging="361"/>
      </w:pPr>
      <w:rPr>
        <w:rFonts w:hint="default"/>
        <w:lang w:val="en-US" w:eastAsia="en-US" w:bidi="ar-SA"/>
      </w:rPr>
    </w:lvl>
    <w:lvl w:ilvl="2" w:tplc="CD06DF14">
      <w:numFmt w:val="bullet"/>
      <w:lvlText w:val="•"/>
      <w:lvlJc w:val="left"/>
      <w:pPr>
        <w:ind w:left="2616" w:hanging="361"/>
      </w:pPr>
      <w:rPr>
        <w:rFonts w:hint="default"/>
        <w:lang w:val="en-US" w:eastAsia="en-US" w:bidi="ar-SA"/>
      </w:rPr>
    </w:lvl>
    <w:lvl w:ilvl="3" w:tplc="A55C4974">
      <w:numFmt w:val="bullet"/>
      <w:lvlText w:val="•"/>
      <w:lvlJc w:val="left"/>
      <w:pPr>
        <w:ind w:left="3494" w:hanging="361"/>
      </w:pPr>
      <w:rPr>
        <w:rFonts w:hint="default"/>
        <w:lang w:val="en-US" w:eastAsia="en-US" w:bidi="ar-SA"/>
      </w:rPr>
    </w:lvl>
    <w:lvl w:ilvl="4" w:tplc="4D507AEE">
      <w:numFmt w:val="bullet"/>
      <w:lvlText w:val="•"/>
      <w:lvlJc w:val="left"/>
      <w:pPr>
        <w:ind w:left="4372" w:hanging="361"/>
      </w:pPr>
      <w:rPr>
        <w:rFonts w:hint="default"/>
        <w:lang w:val="en-US" w:eastAsia="en-US" w:bidi="ar-SA"/>
      </w:rPr>
    </w:lvl>
    <w:lvl w:ilvl="5" w:tplc="78E435FE">
      <w:numFmt w:val="bullet"/>
      <w:lvlText w:val="•"/>
      <w:lvlJc w:val="left"/>
      <w:pPr>
        <w:ind w:left="5250" w:hanging="361"/>
      </w:pPr>
      <w:rPr>
        <w:rFonts w:hint="default"/>
        <w:lang w:val="en-US" w:eastAsia="en-US" w:bidi="ar-SA"/>
      </w:rPr>
    </w:lvl>
    <w:lvl w:ilvl="6" w:tplc="BD68C2F8">
      <w:numFmt w:val="bullet"/>
      <w:lvlText w:val="•"/>
      <w:lvlJc w:val="left"/>
      <w:pPr>
        <w:ind w:left="6128" w:hanging="361"/>
      </w:pPr>
      <w:rPr>
        <w:rFonts w:hint="default"/>
        <w:lang w:val="en-US" w:eastAsia="en-US" w:bidi="ar-SA"/>
      </w:rPr>
    </w:lvl>
    <w:lvl w:ilvl="7" w:tplc="4D169E02">
      <w:numFmt w:val="bullet"/>
      <w:lvlText w:val="•"/>
      <w:lvlJc w:val="left"/>
      <w:pPr>
        <w:ind w:left="7006" w:hanging="361"/>
      </w:pPr>
      <w:rPr>
        <w:rFonts w:hint="default"/>
        <w:lang w:val="en-US" w:eastAsia="en-US" w:bidi="ar-SA"/>
      </w:rPr>
    </w:lvl>
    <w:lvl w:ilvl="8" w:tplc="1FB49196">
      <w:numFmt w:val="bullet"/>
      <w:lvlText w:val="•"/>
      <w:lvlJc w:val="left"/>
      <w:pPr>
        <w:ind w:left="7884" w:hanging="361"/>
      </w:pPr>
      <w:rPr>
        <w:rFonts w:hint="default"/>
        <w:lang w:val="en-US" w:eastAsia="en-US" w:bidi="ar-SA"/>
      </w:rPr>
    </w:lvl>
  </w:abstractNum>
  <w:abstractNum w:abstractNumId="28" w15:restartNumberingAfterBreak="0">
    <w:nsid w:val="679E5D17"/>
    <w:multiLevelType w:val="hybridMultilevel"/>
    <w:tmpl w:val="310E57DC"/>
    <w:lvl w:ilvl="0" w:tplc="26D4E3FE">
      <w:start w:val="1"/>
      <w:numFmt w:val="decimal"/>
      <w:lvlText w:val="%1."/>
      <w:lvlJc w:val="left"/>
      <w:pPr>
        <w:ind w:left="279" w:hanging="228"/>
        <w:jc w:val="left"/>
      </w:pPr>
      <w:rPr>
        <w:rFonts w:ascii="Calibri" w:eastAsia="Calibri" w:hAnsi="Calibri" w:cs="Calibri" w:hint="default"/>
        <w:b/>
        <w:bCs/>
        <w:i w:val="0"/>
        <w:iCs w:val="0"/>
        <w:w w:val="100"/>
        <w:sz w:val="22"/>
        <w:szCs w:val="22"/>
        <w:lang w:val="en-US" w:eastAsia="en-US" w:bidi="ar-SA"/>
      </w:rPr>
    </w:lvl>
    <w:lvl w:ilvl="1" w:tplc="38B04768">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D96C83A4">
      <w:numFmt w:val="bullet"/>
      <w:lvlText w:val="•"/>
      <w:lvlJc w:val="left"/>
      <w:pPr>
        <w:ind w:left="1991" w:hanging="361"/>
      </w:pPr>
      <w:rPr>
        <w:rFonts w:hint="default"/>
        <w:lang w:val="en-US" w:eastAsia="en-US" w:bidi="ar-SA"/>
      </w:rPr>
    </w:lvl>
    <w:lvl w:ilvl="3" w:tplc="9D0697B4">
      <w:numFmt w:val="bullet"/>
      <w:lvlText w:val="•"/>
      <w:lvlJc w:val="left"/>
      <w:pPr>
        <w:ind w:left="2982" w:hanging="361"/>
      </w:pPr>
      <w:rPr>
        <w:rFonts w:hint="default"/>
        <w:lang w:val="en-US" w:eastAsia="en-US" w:bidi="ar-SA"/>
      </w:rPr>
    </w:lvl>
    <w:lvl w:ilvl="4" w:tplc="66A08A02">
      <w:numFmt w:val="bullet"/>
      <w:lvlText w:val="•"/>
      <w:lvlJc w:val="left"/>
      <w:pPr>
        <w:ind w:left="3973" w:hanging="361"/>
      </w:pPr>
      <w:rPr>
        <w:rFonts w:hint="default"/>
        <w:lang w:val="en-US" w:eastAsia="en-US" w:bidi="ar-SA"/>
      </w:rPr>
    </w:lvl>
    <w:lvl w:ilvl="5" w:tplc="DE003F9C">
      <w:numFmt w:val="bullet"/>
      <w:lvlText w:val="•"/>
      <w:lvlJc w:val="left"/>
      <w:pPr>
        <w:ind w:left="4964" w:hanging="361"/>
      </w:pPr>
      <w:rPr>
        <w:rFonts w:hint="default"/>
        <w:lang w:val="en-US" w:eastAsia="en-US" w:bidi="ar-SA"/>
      </w:rPr>
    </w:lvl>
    <w:lvl w:ilvl="6" w:tplc="B66CD956">
      <w:numFmt w:val="bullet"/>
      <w:lvlText w:val="•"/>
      <w:lvlJc w:val="left"/>
      <w:pPr>
        <w:ind w:left="5955" w:hanging="361"/>
      </w:pPr>
      <w:rPr>
        <w:rFonts w:hint="default"/>
        <w:lang w:val="en-US" w:eastAsia="en-US" w:bidi="ar-SA"/>
      </w:rPr>
    </w:lvl>
    <w:lvl w:ilvl="7" w:tplc="76A07AD4">
      <w:numFmt w:val="bullet"/>
      <w:lvlText w:val="•"/>
      <w:lvlJc w:val="left"/>
      <w:pPr>
        <w:ind w:left="6946" w:hanging="361"/>
      </w:pPr>
      <w:rPr>
        <w:rFonts w:hint="default"/>
        <w:lang w:val="en-US" w:eastAsia="en-US" w:bidi="ar-SA"/>
      </w:rPr>
    </w:lvl>
    <w:lvl w:ilvl="8" w:tplc="7F94BA04">
      <w:numFmt w:val="bullet"/>
      <w:lvlText w:val="•"/>
      <w:lvlJc w:val="left"/>
      <w:pPr>
        <w:ind w:left="7937" w:hanging="361"/>
      </w:pPr>
      <w:rPr>
        <w:rFonts w:hint="default"/>
        <w:lang w:val="en-US" w:eastAsia="en-US" w:bidi="ar-SA"/>
      </w:rPr>
    </w:lvl>
  </w:abstractNum>
  <w:abstractNum w:abstractNumId="29" w15:restartNumberingAfterBreak="0">
    <w:nsid w:val="731C56EE"/>
    <w:multiLevelType w:val="hybridMultilevel"/>
    <w:tmpl w:val="5B38F7DE"/>
    <w:lvl w:ilvl="0" w:tplc="BF9C742E">
      <w:start w:val="1"/>
      <w:numFmt w:val="decimal"/>
      <w:lvlText w:val="%1."/>
      <w:lvlJc w:val="left"/>
      <w:pPr>
        <w:ind w:left="360" w:hanging="221"/>
        <w:jc w:val="left"/>
      </w:pPr>
      <w:rPr>
        <w:rFonts w:ascii="Calibri" w:eastAsia="Calibri" w:hAnsi="Calibri" w:cs="Calibri" w:hint="default"/>
        <w:b/>
        <w:bCs/>
        <w:i w:val="0"/>
        <w:iCs w:val="0"/>
        <w:w w:val="100"/>
        <w:sz w:val="22"/>
        <w:szCs w:val="22"/>
        <w:lang w:val="en-US" w:eastAsia="en-US" w:bidi="ar-SA"/>
      </w:rPr>
    </w:lvl>
    <w:lvl w:ilvl="1" w:tplc="7438F944">
      <w:numFmt w:val="bullet"/>
      <w:lvlText w:val="•"/>
      <w:lvlJc w:val="left"/>
      <w:pPr>
        <w:ind w:left="1288" w:hanging="221"/>
      </w:pPr>
      <w:rPr>
        <w:rFonts w:hint="default"/>
        <w:lang w:val="en-US" w:eastAsia="en-US" w:bidi="ar-SA"/>
      </w:rPr>
    </w:lvl>
    <w:lvl w:ilvl="2" w:tplc="3C84EA28">
      <w:numFmt w:val="bullet"/>
      <w:lvlText w:val="•"/>
      <w:lvlJc w:val="left"/>
      <w:pPr>
        <w:ind w:left="2216" w:hanging="221"/>
      </w:pPr>
      <w:rPr>
        <w:rFonts w:hint="default"/>
        <w:lang w:val="en-US" w:eastAsia="en-US" w:bidi="ar-SA"/>
      </w:rPr>
    </w:lvl>
    <w:lvl w:ilvl="3" w:tplc="A3941190">
      <w:numFmt w:val="bullet"/>
      <w:lvlText w:val="•"/>
      <w:lvlJc w:val="left"/>
      <w:pPr>
        <w:ind w:left="3144" w:hanging="221"/>
      </w:pPr>
      <w:rPr>
        <w:rFonts w:hint="default"/>
        <w:lang w:val="en-US" w:eastAsia="en-US" w:bidi="ar-SA"/>
      </w:rPr>
    </w:lvl>
    <w:lvl w:ilvl="4" w:tplc="49023FDE">
      <w:numFmt w:val="bullet"/>
      <w:lvlText w:val="•"/>
      <w:lvlJc w:val="left"/>
      <w:pPr>
        <w:ind w:left="4072" w:hanging="221"/>
      </w:pPr>
      <w:rPr>
        <w:rFonts w:hint="default"/>
        <w:lang w:val="en-US" w:eastAsia="en-US" w:bidi="ar-SA"/>
      </w:rPr>
    </w:lvl>
    <w:lvl w:ilvl="5" w:tplc="92146F06">
      <w:numFmt w:val="bullet"/>
      <w:lvlText w:val="•"/>
      <w:lvlJc w:val="left"/>
      <w:pPr>
        <w:ind w:left="5000" w:hanging="221"/>
      </w:pPr>
      <w:rPr>
        <w:rFonts w:hint="default"/>
        <w:lang w:val="en-US" w:eastAsia="en-US" w:bidi="ar-SA"/>
      </w:rPr>
    </w:lvl>
    <w:lvl w:ilvl="6" w:tplc="CB4496BC">
      <w:numFmt w:val="bullet"/>
      <w:lvlText w:val="•"/>
      <w:lvlJc w:val="left"/>
      <w:pPr>
        <w:ind w:left="5928" w:hanging="221"/>
      </w:pPr>
      <w:rPr>
        <w:rFonts w:hint="default"/>
        <w:lang w:val="en-US" w:eastAsia="en-US" w:bidi="ar-SA"/>
      </w:rPr>
    </w:lvl>
    <w:lvl w:ilvl="7" w:tplc="46520580">
      <w:numFmt w:val="bullet"/>
      <w:lvlText w:val="•"/>
      <w:lvlJc w:val="left"/>
      <w:pPr>
        <w:ind w:left="6856" w:hanging="221"/>
      </w:pPr>
      <w:rPr>
        <w:rFonts w:hint="default"/>
        <w:lang w:val="en-US" w:eastAsia="en-US" w:bidi="ar-SA"/>
      </w:rPr>
    </w:lvl>
    <w:lvl w:ilvl="8" w:tplc="654EC412">
      <w:numFmt w:val="bullet"/>
      <w:lvlText w:val="•"/>
      <w:lvlJc w:val="left"/>
      <w:pPr>
        <w:ind w:left="7784" w:hanging="221"/>
      </w:pPr>
      <w:rPr>
        <w:rFonts w:hint="default"/>
        <w:lang w:val="en-US" w:eastAsia="en-US" w:bidi="ar-SA"/>
      </w:rPr>
    </w:lvl>
  </w:abstractNum>
  <w:abstractNum w:abstractNumId="30" w15:restartNumberingAfterBreak="0">
    <w:nsid w:val="76D9224F"/>
    <w:multiLevelType w:val="hybridMultilevel"/>
    <w:tmpl w:val="F8C8BB3C"/>
    <w:lvl w:ilvl="0" w:tplc="8E3653BC">
      <w:start w:val="1"/>
      <w:numFmt w:val="decimal"/>
      <w:lvlText w:val="%1."/>
      <w:lvlJc w:val="left"/>
      <w:pPr>
        <w:ind w:left="280" w:hanging="209"/>
        <w:jc w:val="left"/>
      </w:pPr>
      <w:rPr>
        <w:rFonts w:ascii="Calibri" w:eastAsia="Calibri" w:hAnsi="Calibri" w:cs="Calibri" w:hint="default"/>
        <w:b/>
        <w:bCs/>
        <w:i w:val="0"/>
        <w:iCs w:val="0"/>
        <w:w w:val="100"/>
        <w:sz w:val="22"/>
        <w:szCs w:val="22"/>
        <w:lang w:val="en-US" w:eastAsia="en-US" w:bidi="ar-SA"/>
      </w:rPr>
    </w:lvl>
    <w:lvl w:ilvl="1" w:tplc="C8669A34">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5A722FA8">
      <w:numFmt w:val="bullet"/>
      <w:lvlText w:val="•"/>
      <w:lvlJc w:val="left"/>
      <w:pPr>
        <w:ind w:left="1991" w:hanging="361"/>
      </w:pPr>
      <w:rPr>
        <w:rFonts w:hint="default"/>
        <w:lang w:val="en-US" w:eastAsia="en-US" w:bidi="ar-SA"/>
      </w:rPr>
    </w:lvl>
    <w:lvl w:ilvl="3" w:tplc="915CE140">
      <w:numFmt w:val="bullet"/>
      <w:lvlText w:val="•"/>
      <w:lvlJc w:val="left"/>
      <w:pPr>
        <w:ind w:left="2982" w:hanging="361"/>
      </w:pPr>
      <w:rPr>
        <w:rFonts w:hint="default"/>
        <w:lang w:val="en-US" w:eastAsia="en-US" w:bidi="ar-SA"/>
      </w:rPr>
    </w:lvl>
    <w:lvl w:ilvl="4" w:tplc="03CAE03E">
      <w:numFmt w:val="bullet"/>
      <w:lvlText w:val="•"/>
      <w:lvlJc w:val="left"/>
      <w:pPr>
        <w:ind w:left="3973" w:hanging="361"/>
      </w:pPr>
      <w:rPr>
        <w:rFonts w:hint="default"/>
        <w:lang w:val="en-US" w:eastAsia="en-US" w:bidi="ar-SA"/>
      </w:rPr>
    </w:lvl>
    <w:lvl w:ilvl="5" w:tplc="2CC8565A">
      <w:numFmt w:val="bullet"/>
      <w:lvlText w:val="•"/>
      <w:lvlJc w:val="left"/>
      <w:pPr>
        <w:ind w:left="4964" w:hanging="361"/>
      </w:pPr>
      <w:rPr>
        <w:rFonts w:hint="default"/>
        <w:lang w:val="en-US" w:eastAsia="en-US" w:bidi="ar-SA"/>
      </w:rPr>
    </w:lvl>
    <w:lvl w:ilvl="6" w:tplc="319EF1C2">
      <w:numFmt w:val="bullet"/>
      <w:lvlText w:val="•"/>
      <w:lvlJc w:val="left"/>
      <w:pPr>
        <w:ind w:left="5955" w:hanging="361"/>
      </w:pPr>
      <w:rPr>
        <w:rFonts w:hint="default"/>
        <w:lang w:val="en-US" w:eastAsia="en-US" w:bidi="ar-SA"/>
      </w:rPr>
    </w:lvl>
    <w:lvl w:ilvl="7" w:tplc="6A2692B2">
      <w:numFmt w:val="bullet"/>
      <w:lvlText w:val="•"/>
      <w:lvlJc w:val="left"/>
      <w:pPr>
        <w:ind w:left="6946" w:hanging="361"/>
      </w:pPr>
      <w:rPr>
        <w:rFonts w:hint="default"/>
        <w:lang w:val="en-US" w:eastAsia="en-US" w:bidi="ar-SA"/>
      </w:rPr>
    </w:lvl>
    <w:lvl w:ilvl="8" w:tplc="650CD8B4">
      <w:numFmt w:val="bullet"/>
      <w:lvlText w:val="•"/>
      <w:lvlJc w:val="left"/>
      <w:pPr>
        <w:ind w:left="7937" w:hanging="361"/>
      </w:pPr>
      <w:rPr>
        <w:rFonts w:hint="default"/>
        <w:lang w:val="en-US" w:eastAsia="en-US" w:bidi="ar-SA"/>
      </w:rPr>
    </w:lvl>
  </w:abstractNum>
  <w:abstractNum w:abstractNumId="31" w15:restartNumberingAfterBreak="0">
    <w:nsid w:val="792F626C"/>
    <w:multiLevelType w:val="hybridMultilevel"/>
    <w:tmpl w:val="0916041A"/>
    <w:lvl w:ilvl="0" w:tplc="DA0A48C0">
      <w:start w:val="1"/>
      <w:numFmt w:val="decimal"/>
      <w:lvlText w:val="%1."/>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1" w:tplc="626093C2">
      <w:numFmt w:val="bullet"/>
      <w:lvlText w:val="•"/>
      <w:lvlJc w:val="left"/>
      <w:pPr>
        <w:ind w:left="1892" w:hanging="361"/>
      </w:pPr>
      <w:rPr>
        <w:rFonts w:hint="default"/>
        <w:lang w:val="en-US" w:eastAsia="en-US" w:bidi="ar-SA"/>
      </w:rPr>
    </w:lvl>
    <w:lvl w:ilvl="2" w:tplc="12F0D3E0">
      <w:numFmt w:val="bullet"/>
      <w:lvlText w:val="•"/>
      <w:lvlJc w:val="left"/>
      <w:pPr>
        <w:ind w:left="2784" w:hanging="361"/>
      </w:pPr>
      <w:rPr>
        <w:rFonts w:hint="default"/>
        <w:lang w:val="en-US" w:eastAsia="en-US" w:bidi="ar-SA"/>
      </w:rPr>
    </w:lvl>
    <w:lvl w:ilvl="3" w:tplc="E26A7C7A">
      <w:numFmt w:val="bullet"/>
      <w:lvlText w:val="•"/>
      <w:lvlJc w:val="left"/>
      <w:pPr>
        <w:ind w:left="3676" w:hanging="361"/>
      </w:pPr>
      <w:rPr>
        <w:rFonts w:hint="default"/>
        <w:lang w:val="en-US" w:eastAsia="en-US" w:bidi="ar-SA"/>
      </w:rPr>
    </w:lvl>
    <w:lvl w:ilvl="4" w:tplc="BEA2E500">
      <w:numFmt w:val="bullet"/>
      <w:lvlText w:val="•"/>
      <w:lvlJc w:val="left"/>
      <w:pPr>
        <w:ind w:left="4568" w:hanging="361"/>
      </w:pPr>
      <w:rPr>
        <w:rFonts w:hint="default"/>
        <w:lang w:val="en-US" w:eastAsia="en-US" w:bidi="ar-SA"/>
      </w:rPr>
    </w:lvl>
    <w:lvl w:ilvl="5" w:tplc="E0582770">
      <w:numFmt w:val="bullet"/>
      <w:lvlText w:val="•"/>
      <w:lvlJc w:val="left"/>
      <w:pPr>
        <w:ind w:left="5460" w:hanging="361"/>
      </w:pPr>
      <w:rPr>
        <w:rFonts w:hint="default"/>
        <w:lang w:val="en-US" w:eastAsia="en-US" w:bidi="ar-SA"/>
      </w:rPr>
    </w:lvl>
    <w:lvl w:ilvl="6" w:tplc="4C6C4E62">
      <w:numFmt w:val="bullet"/>
      <w:lvlText w:val="•"/>
      <w:lvlJc w:val="left"/>
      <w:pPr>
        <w:ind w:left="6352" w:hanging="361"/>
      </w:pPr>
      <w:rPr>
        <w:rFonts w:hint="default"/>
        <w:lang w:val="en-US" w:eastAsia="en-US" w:bidi="ar-SA"/>
      </w:rPr>
    </w:lvl>
    <w:lvl w:ilvl="7" w:tplc="9ED846A8">
      <w:numFmt w:val="bullet"/>
      <w:lvlText w:val="•"/>
      <w:lvlJc w:val="left"/>
      <w:pPr>
        <w:ind w:left="7244" w:hanging="361"/>
      </w:pPr>
      <w:rPr>
        <w:rFonts w:hint="default"/>
        <w:lang w:val="en-US" w:eastAsia="en-US" w:bidi="ar-SA"/>
      </w:rPr>
    </w:lvl>
    <w:lvl w:ilvl="8" w:tplc="F912C6D0">
      <w:numFmt w:val="bullet"/>
      <w:lvlText w:val="•"/>
      <w:lvlJc w:val="left"/>
      <w:pPr>
        <w:ind w:left="8136" w:hanging="361"/>
      </w:pPr>
      <w:rPr>
        <w:rFonts w:hint="default"/>
        <w:lang w:val="en-US" w:eastAsia="en-US" w:bidi="ar-SA"/>
      </w:rPr>
    </w:lvl>
  </w:abstractNum>
  <w:abstractNum w:abstractNumId="32" w15:restartNumberingAfterBreak="0">
    <w:nsid w:val="7A586672"/>
    <w:multiLevelType w:val="hybridMultilevel"/>
    <w:tmpl w:val="C7020A3C"/>
    <w:lvl w:ilvl="0" w:tplc="185CF87E">
      <w:start w:val="1"/>
      <w:numFmt w:val="decimal"/>
      <w:lvlText w:val="%1."/>
      <w:lvlJc w:val="left"/>
      <w:pPr>
        <w:ind w:left="140" w:hanging="245"/>
        <w:jc w:val="left"/>
      </w:pPr>
      <w:rPr>
        <w:rFonts w:ascii="Calibri" w:eastAsia="Calibri" w:hAnsi="Calibri" w:cs="Calibri" w:hint="default"/>
        <w:b/>
        <w:bCs/>
        <w:i w:val="0"/>
        <w:iCs w:val="0"/>
        <w:w w:val="100"/>
        <w:sz w:val="22"/>
        <w:szCs w:val="22"/>
        <w:lang w:val="en-US" w:eastAsia="en-US" w:bidi="ar-SA"/>
      </w:rPr>
    </w:lvl>
    <w:lvl w:ilvl="1" w:tplc="98240DE4">
      <w:numFmt w:val="bullet"/>
      <w:lvlText w:val="•"/>
      <w:lvlJc w:val="left"/>
      <w:pPr>
        <w:ind w:left="1090" w:hanging="245"/>
      </w:pPr>
      <w:rPr>
        <w:rFonts w:hint="default"/>
        <w:lang w:val="en-US" w:eastAsia="en-US" w:bidi="ar-SA"/>
      </w:rPr>
    </w:lvl>
    <w:lvl w:ilvl="2" w:tplc="261ECE78">
      <w:numFmt w:val="bullet"/>
      <w:lvlText w:val="•"/>
      <w:lvlJc w:val="left"/>
      <w:pPr>
        <w:ind w:left="2040" w:hanging="245"/>
      </w:pPr>
      <w:rPr>
        <w:rFonts w:hint="default"/>
        <w:lang w:val="en-US" w:eastAsia="en-US" w:bidi="ar-SA"/>
      </w:rPr>
    </w:lvl>
    <w:lvl w:ilvl="3" w:tplc="79CC17D6">
      <w:numFmt w:val="bullet"/>
      <w:lvlText w:val="•"/>
      <w:lvlJc w:val="left"/>
      <w:pPr>
        <w:ind w:left="2990" w:hanging="245"/>
      </w:pPr>
      <w:rPr>
        <w:rFonts w:hint="default"/>
        <w:lang w:val="en-US" w:eastAsia="en-US" w:bidi="ar-SA"/>
      </w:rPr>
    </w:lvl>
    <w:lvl w:ilvl="4" w:tplc="B8E6FE2C">
      <w:numFmt w:val="bullet"/>
      <w:lvlText w:val="•"/>
      <w:lvlJc w:val="left"/>
      <w:pPr>
        <w:ind w:left="3940" w:hanging="245"/>
      </w:pPr>
      <w:rPr>
        <w:rFonts w:hint="default"/>
        <w:lang w:val="en-US" w:eastAsia="en-US" w:bidi="ar-SA"/>
      </w:rPr>
    </w:lvl>
    <w:lvl w:ilvl="5" w:tplc="64048BF6">
      <w:numFmt w:val="bullet"/>
      <w:lvlText w:val="•"/>
      <w:lvlJc w:val="left"/>
      <w:pPr>
        <w:ind w:left="4890" w:hanging="245"/>
      </w:pPr>
      <w:rPr>
        <w:rFonts w:hint="default"/>
        <w:lang w:val="en-US" w:eastAsia="en-US" w:bidi="ar-SA"/>
      </w:rPr>
    </w:lvl>
    <w:lvl w:ilvl="6" w:tplc="DDBABC24">
      <w:numFmt w:val="bullet"/>
      <w:lvlText w:val="•"/>
      <w:lvlJc w:val="left"/>
      <w:pPr>
        <w:ind w:left="5840" w:hanging="245"/>
      </w:pPr>
      <w:rPr>
        <w:rFonts w:hint="default"/>
        <w:lang w:val="en-US" w:eastAsia="en-US" w:bidi="ar-SA"/>
      </w:rPr>
    </w:lvl>
    <w:lvl w:ilvl="7" w:tplc="3D463254">
      <w:numFmt w:val="bullet"/>
      <w:lvlText w:val="•"/>
      <w:lvlJc w:val="left"/>
      <w:pPr>
        <w:ind w:left="6790" w:hanging="245"/>
      </w:pPr>
      <w:rPr>
        <w:rFonts w:hint="default"/>
        <w:lang w:val="en-US" w:eastAsia="en-US" w:bidi="ar-SA"/>
      </w:rPr>
    </w:lvl>
    <w:lvl w:ilvl="8" w:tplc="409AAC06">
      <w:numFmt w:val="bullet"/>
      <w:lvlText w:val="•"/>
      <w:lvlJc w:val="left"/>
      <w:pPr>
        <w:ind w:left="7740" w:hanging="245"/>
      </w:pPr>
      <w:rPr>
        <w:rFonts w:hint="default"/>
        <w:lang w:val="en-US" w:eastAsia="en-US" w:bidi="ar-SA"/>
      </w:rPr>
    </w:lvl>
  </w:abstractNum>
  <w:abstractNum w:abstractNumId="33" w15:restartNumberingAfterBreak="0">
    <w:nsid w:val="7BC76304"/>
    <w:multiLevelType w:val="hybridMultilevel"/>
    <w:tmpl w:val="A522845E"/>
    <w:lvl w:ilvl="0" w:tplc="A888F6C0">
      <w:start w:val="1"/>
      <w:numFmt w:val="decimal"/>
      <w:lvlText w:val="%1."/>
      <w:lvlJc w:val="left"/>
      <w:pPr>
        <w:ind w:left="500" w:hanging="221"/>
        <w:jc w:val="left"/>
      </w:pPr>
      <w:rPr>
        <w:rFonts w:ascii="Calibri" w:eastAsia="Calibri" w:hAnsi="Calibri" w:cs="Calibri" w:hint="default"/>
        <w:b/>
        <w:bCs/>
        <w:i w:val="0"/>
        <w:iCs w:val="0"/>
        <w:w w:val="100"/>
        <w:sz w:val="22"/>
        <w:szCs w:val="22"/>
        <w:lang w:val="en-US" w:eastAsia="en-US" w:bidi="ar-SA"/>
      </w:rPr>
    </w:lvl>
    <w:lvl w:ilvl="1" w:tplc="AB881362">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18DE5A6C">
      <w:numFmt w:val="bullet"/>
      <w:lvlText w:val="•"/>
      <w:lvlJc w:val="left"/>
      <w:pPr>
        <w:ind w:left="1991" w:hanging="361"/>
      </w:pPr>
      <w:rPr>
        <w:rFonts w:hint="default"/>
        <w:lang w:val="en-US" w:eastAsia="en-US" w:bidi="ar-SA"/>
      </w:rPr>
    </w:lvl>
    <w:lvl w:ilvl="3" w:tplc="59DA5D98">
      <w:numFmt w:val="bullet"/>
      <w:lvlText w:val="•"/>
      <w:lvlJc w:val="left"/>
      <w:pPr>
        <w:ind w:left="2982" w:hanging="361"/>
      </w:pPr>
      <w:rPr>
        <w:rFonts w:hint="default"/>
        <w:lang w:val="en-US" w:eastAsia="en-US" w:bidi="ar-SA"/>
      </w:rPr>
    </w:lvl>
    <w:lvl w:ilvl="4" w:tplc="24A89C48">
      <w:numFmt w:val="bullet"/>
      <w:lvlText w:val="•"/>
      <w:lvlJc w:val="left"/>
      <w:pPr>
        <w:ind w:left="3973" w:hanging="361"/>
      </w:pPr>
      <w:rPr>
        <w:rFonts w:hint="default"/>
        <w:lang w:val="en-US" w:eastAsia="en-US" w:bidi="ar-SA"/>
      </w:rPr>
    </w:lvl>
    <w:lvl w:ilvl="5" w:tplc="E674A858">
      <w:numFmt w:val="bullet"/>
      <w:lvlText w:val="•"/>
      <w:lvlJc w:val="left"/>
      <w:pPr>
        <w:ind w:left="4964" w:hanging="361"/>
      </w:pPr>
      <w:rPr>
        <w:rFonts w:hint="default"/>
        <w:lang w:val="en-US" w:eastAsia="en-US" w:bidi="ar-SA"/>
      </w:rPr>
    </w:lvl>
    <w:lvl w:ilvl="6" w:tplc="B0F66BAC">
      <w:numFmt w:val="bullet"/>
      <w:lvlText w:val="•"/>
      <w:lvlJc w:val="left"/>
      <w:pPr>
        <w:ind w:left="5955" w:hanging="361"/>
      </w:pPr>
      <w:rPr>
        <w:rFonts w:hint="default"/>
        <w:lang w:val="en-US" w:eastAsia="en-US" w:bidi="ar-SA"/>
      </w:rPr>
    </w:lvl>
    <w:lvl w:ilvl="7" w:tplc="2BE44194">
      <w:numFmt w:val="bullet"/>
      <w:lvlText w:val="•"/>
      <w:lvlJc w:val="left"/>
      <w:pPr>
        <w:ind w:left="6946" w:hanging="361"/>
      </w:pPr>
      <w:rPr>
        <w:rFonts w:hint="default"/>
        <w:lang w:val="en-US" w:eastAsia="en-US" w:bidi="ar-SA"/>
      </w:rPr>
    </w:lvl>
    <w:lvl w:ilvl="8" w:tplc="5790C538">
      <w:numFmt w:val="bullet"/>
      <w:lvlText w:val="•"/>
      <w:lvlJc w:val="left"/>
      <w:pPr>
        <w:ind w:left="7937" w:hanging="361"/>
      </w:pPr>
      <w:rPr>
        <w:rFonts w:hint="default"/>
        <w:lang w:val="en-US" w:eastAsia="en-US" w:bidi="ar-SA"/>
      </w:rPr>
    </w:lvl>
  </w:abstractNum>
  <w:abstractNum w:abstractNumId="34" w15:restartNumberingAfterBreak="0">
    <w:nsid w:val="7D016160"/>
    <w:multiLevelType w:val="hybridMultilevel"/>
    <w:tmpl w:val="DD06E4E2"/>
    <w:lvl w:ilvl="0" w:tplc="47F6FD5C">
      <w:start w:val="1"/>
      <w:numFmt w:val="decimal"/>
      <w:lvlText w:val="%1."/>
      <w:lvlJc w:val="left"/>
      <w:pPr>
        <w:ind w:left="280" w:hanging="245"/>
        <w:jc w:val="left"/>
      </w:pPr>
      <w:rPr>
        <w:rFonts w:ascii="Calibri" w:eastAsia="Calibri" w:hAnsi="Calibri" w:cs="Calibri" w:hint="default"/>
        <w:b/>
        <w:bCs/>
        <w:i w:val="0"/>
        <w:iCs w:val="0"/>
        <w:w w:val="100"/>
        <w:sz w:val="22"/>
        <w:szCs w:val="22"/>
        <w:lang w:val="en-US" w:eastAsia="en-US" w:bidi="ar-SA"/>
      </w:rPr>
    </w:lvl>
    <w:lvl w:ilvl="1" w:tplc="79CAAAC0">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F8FA2964">
      <w:numFmt w:val="bullet"/>
      <w:lvlText w:val="•"/>
      <w:lvlJc w:val="left"/>
      <w:pPr>
        <w:ind w:left="1991" w:hanging="361"/>
      </w:pPr>
      <w:rPr>
        <w:rFonts w:hint="default"/>
        <w:lang w:val="en-US" w:eastAsia="en-US" w:bidi="ar-SA"/>
      </w:rPr>
    </w:lvl>
    <w:lvl w:ilvl="3" w:tplc="6F48804C">
      <w:numFmt w:val="bullet"/>
      <w:lvlText w:val="•"/>
      <w:lvlJc w:val="left"/>
      <w:pPr>
        <w:ind w:left="2982" w:hanging="361"/>
      </w:pPr>
      <w:rPr>
        <w:rFonts w:hint="default"/>
        <w:lang w:val="en-US" w:eastAsia="en-US" w:bidi="ar-SA"/>
      </w:rPr>
    </w:lvl>
    <w:lvl w:ilvl="4" w:tplc="428C6122">
      <w:numFmt w:val="bullet"/>
      <w:lvlText w:val="•"/>
      <w:lvlJc w:val="left"/>
      <w:pPr>
        <w:ind w:left="3973" w:hanging="361"/>
      </w:pPr>
      <w:rPr>
        <w:rFonts w:hint="default"/>
        <w:lang w:val="en-US" w:eastAsia="en-US" w:bidi="ar-SA"/>
      </w:rPr>
    </w:lvl>
    <w:lvl w:ilvl="5" w:tplc="E11CAC3E">
      <w:numFmt w:val="bullet"/>
      <w:lvlText w:val="•"/>
      <w:lvlJc w:val="left"/>
      <w:pPr>
        <w:ind w:left="4964" w:hanging="361"/>
      </w:pPr>
      <w:rPr>
        <w:rFonts w:hint="default"/>
        <w:lang w:val="en-US" w:eastAsia="en-US" w:bidi="ar-SA"/>
      </w:rPr>
    </w:lvl>
    <w:lvl w:ilvl="6" w:tplc="4A6A1C96">
      <w:numFmt w:val="bullet"/>
      <w:lvlText w:val="•"/>
      <w:lvlJc w:val="left"/>
      <w:pPr>
        <w:ind w:left="5955" w:hanging="361"/>
      </w:pPr>
      <w:rPr>
        <w:rFonts w:hint="default"/>
        <w:lang w:val="en-US" w:eastAsia="en-US" w:bidi="ar-SA"/>
      </w:rPr>
    </w:lvl>
    <w:lvl w:ilvl="7" w:tplc="E5441962">
      <w:numFmt w:val="bullet"/>
      <w:lvlText w:val="•"/>
      <w:lvlJc w:val="left"/>
      <w:pPr>
        <w:ind w:left="6946" w:hanging="361"/>
      </w:pPr>
      <w:rPr>
        <w:rFonts w:hint="default"/>
        <w:lang w:val="en-US" w:eastAsia="en-US" w:bidi="ar-SA"/>
      </w:rPr>
    </w:lvl>
    <w:lvl w:ilvl="8" w:tplc="2834B77A">
      <w:numFmt w:val="bullet"/>
      <w:lvlText w:val="•"/>
      <w:lvlJc w:val="left"/>
      <w:pPr>
        <w:ind w:left="7937" w:hanging="361"/>
      </w:pPr>
      <w:rPr>
        <w:rFonts w:hint="default"/>
        <w:lang w:val="en-US" w:eastAsia="en-US" w:bidi="ar-SA"/>
      </w:rPr>
    </w:lvl>
  </w:abstractNum>
  <w:abstractNum w:abstractNumId="35" w15:restartNumberingAfterBreak="0">
    <w:nsid w:val="7EF725A7"/>
    <w:multiLevelType w:val="hybridMultilevel"/>
    <w:tmpl w:val="610C85E0"/>
    <w:lvl w:ilvl="0" w:tplc="86864E6E">
      <w:start w:val="1"/>
      <w:numFmt w:val="decimal"/>
      <w:lvlText w:val="%1."/>
      <w:lvlJc w:val="left"/>
      <w:pPr>
        <w:ind w:left="500" w:hanging="221"/>
        <w:jc w:val="left"/>
      </w:pPr>
      <w:rPr>
        <w:rFonts w:ascii="Calibri" w:eastAsia="Calibri" w:hAnsi="Calibri" w:cs="Calibri" w:hint="default"/>
        <w:b/>
        <w:bCs/>
        <w:i w:val="0"/>
        <w:iCs w:val="0"/>
        <w:w w:val="100"/>
        <w:sz w:val="22"/>
        <w:szCs w:val="22"/>
        <w:lang w:val="en-US" w:eastAsia="en-US" w:bidi="ar-SA"/>
      </w:rPr>
    </w:lvl>
    <w:lvl w:ilvl="1" w:tplc="46AA7D34">
      <w:start w:val="1"/>
      <w:numFmt w:val="decimal"/>
      <w:lvlText w:val="%2."/>
      <w:lvlJc w:val="left"/>
      <w:pPr>
        <w:ind w:left="1000" w:hanging="361"/>
        <w:jc w:val="left"/>
      </w:pPr>
      <w:rPr>
        <w:rFonts w:ascii="Calibri" w:eastAsia="Calibri" w:hAnsi="Calibri" w:cs="Calibri" w:hint="default"/>
        <w:b w:val="0"/>
        <w:bCs w:val="0"/>
        <w:i w:val="0"/>
        <w:iCs w:val="0"/>
        <w:w w:val="100"/>
        <w:sz w:val="22"/>
        <w:szCs w:val="22"/>
        <w:lang w:val="en-US" w:eastAsia="en-US" w:bidi="ar-SA"/>
      </w:rPr>
    </w:lvl>
    <w:lvl w:ilvl="2" w:tplc="CF102878">
      <w:numFmt w:val="bullet"/>
      <w:lvlText w:val="•"/>
      <w:lvlJc w:val="left"/>
      <w:pPr>
        <w:ind w:left="1991" w:hanging="361"/>
      </w:pPr>
      <w:rPr>
        <w:rFonts w:hint="default"/>
        <w:lang w:val="en-US" w:eastAsia="en-US" w:bidi="ar-SA"/>
      </w:rPr>
    </w:lvl>
    <w:lvl w:ilvl="3" w:tplc="D8223722">
      <w:numFmt w:val="bullet"/>
      <w:lvlText w:val="•"/>
      <w:lvlJc w:val="left"/>
      <w:pPr>
        <w:ind w:left="2982" w:hanging="361"/>
      </w:pPr>
      <w:rPr>
        <w:rFonts w:hint="default"/>
        <w:lang w:val="en-US" w:eastAsia="en-US" w:bidi="ar-SA"/>
      </w:rPr>
    </w:lvl>
    <w:lvl w:ilvl="4" w:tplc="64523BAE">
      <w:numFmt w:val="bullet"/>
      <w:lvlText w:val="•"/>
      <w:lvlJc w:val="left"/>
      <w:pPr>
        <w:ind w:left="3973" w:hanging="361"/>
      </w:pPr>
      <w:rPr>
        <w:rFonts w:hint="default"/>
        <w:lang w:val="en-US" w:eastAsia="en-US" w:bidi="ar-SA"/>
      </w:rPr>
    </w:lvl>
    <w:lvl w:ilvl="5" w:tplc="0B2C1BCE">
      <w:numFmt w:val="bullet"/>
      <w:lvlText w:val="•"/>
      <w:lvlJc w:val="left"/>
      <w:pPr>
        <w:ind w:left="4964" w:hanging="361"/>
      </w:pPr>
      <w:rPr>
        <w:rFonts w:hint="default"/>
        <w:lang w:val="en-US" w:eastAsia="en-US" w:bidi="ar-SA"/>
      </w:rPr>
    </w:lvl>
    <w:lvl w:ilvl="6" w:tplc="F22E547E">
      <w:numFmt w:val="bullet"/>
      <w:lvlText w:val="•"/>
      <w:lvlJc w:val="left"/>
      <w:pPr>
        <w:ind w:left="5955" w:hanging="361"/>
      </w:pPr>
      <w:rPr>
        <w:rFonts w:hint="default"/>
        <w:lang w:val="en-US" w:eastAsia="en-US" w:bidi="ar-SA"/>
      </w:rPr>
    </w:lvl>
    <w:lvl w:ilvl="7" w:tplc="B5423A4A">
      <w:numFmt w:val="bullet"/>
      <w:lvlText w:val="•"/>
      <w:lvlJc w:val="left"/>
      <w:pPr>
        <w:ind w:left="6946" w:hanging="361"/>
      </w:pPr>
      <w:rPr>
        <w:rFonts w:hint="default"/>
        <w:lang w:val="en-US" w:eastAsia="en-US" w:bidi="ar-SA"/>
      </w:rPr>
    </w:lvl>
    <w:lvl w:ilvl="8" w:tplc="BBFAE41A">
      <w:numFmt w:val="bullet"/>
      <w:lvlText w:val="•"/>
      <w:lvlJc w:val="left"/>
      <w:pPr>
        <w:ind w:left="7937" w:hanging="361"/>
      </w:pPr>
      <w:rPr>
        <w:rFonts w:hint="default"/>
        <w:lang w:val="en-US" w:eastAsia="en-US" w:bidi="ar-SA"/>
      </w:rPr>
    </w:lvl>
  </w:abstractNum>
  <w:num w:numId="1">
    <w:abstractNumId w:val="19"/>
  </w:num>
  <w:num w:numId="2">
    <w:abstractNumId w:val="24"/>
  </w:num>
  <w:num w:numId="3">
    <w:abstractNumId w:val="22"/>
  </w:num>
  <w:num w:numId="4">
    <w:abstractNumId w:val="3"/>
  </w:num>
  <w:num w:numId="5">
    <w:abstractNumId w:val="33"/>
  </w:num>
  <w:num w:numId="6">
    <w:abstractNumId w:val="17"/>
  </w:num>
  <w:num w:numId="7">
    <w:abstractNumId w:val="2"/>
  </w:num>
  <w:num w:numId="8">
    <w:abstractNumId w:val="14"/>
  </w:num>
  <w:num w:numId="9">
    <w:abstractNumId w:val="7"/>
  </w:num>
  <w:num w:numId="10">
    <w:abstractNumId w:val="4"/>
  </w:num>
  <w:num w:numId="11">
    <w:abstractNumId w:val="6"/>
  </w:num>
  <w:num w:numId="12">
    <w:abstractNumId w:val="34"/>
  </w:num>
  <w:num w:numId="13">
    <w:abstractNumId w:val="11"/>
  </w:num>
  <w:num w:numId="14">
    <w:abstractNumId w:val="35"/>
  </w:num>
  <w:num w:numId="15">
    <w:abstractNumId w:val="13"/>
  </w:num>
  <w:num w:numId="16">
    <w:abstractNumId w:val="26"/>
  </w:num>
  <w:num w:numId="17">
    <w:abstractNumId w:val="1"/>
  </w:num>
  <w:num w:numId="18">
    <w:abstractNumId w:val="0"/>
  </w:num>
  <w:num w:numId="19">
    <w:abstractNumId w:val="9"/>
  </w:num>
  <w:num w:numId="20">
    <w:abstractNumId w:val="28"/>
  </w:num>
  <w:num w:numId="21">
    <w:abstractNumId w:val="25"/>
  </w:num>
  <w:num w:numId="22">
    <w:abstractNumId w:val="12"/>
  </w:num>
  <w:num w:numId="23">
    <w:abstractNumId w:val="30"/>
  </w:num>
  <w:num w:numId="24">
    <w:abstractNumId w:val="31"/>
  </w:num>
  <w:num w:numId="25">
    <w:abstractNumId w:val="21"/>
  </w:num>
  <w:num w:numId="26">
    <w:abstractNumId w:val="23"/>
  </w:num>
  <w:num w:numId="27">
    <w:abstractNumId w:val="8"/>
  </w:num>
  <w:num w:numId="28">
    <w:abstractNumId w:val="10"/>
  </w:num>
  <w:num w:numId="29">
    <w:abstractNumId w:val="5"/>
  </w:num>
  <w:num w:numId="30">
    <w:abstractNumId w:val="18"/>
  </w:num>
  <w:num w:numId="31">
    <w:abstractNumId w:val="20"/>
  </w:num>
  <w:num w:numId="32">
    <w:abstractNumId w:val="29"/>
  </w:num>
  <w:num w:numId="33">
    <w:abstractNumId w:val="15"/>
  </w:num>
  <w:num w:numId="34">
    <w:abstractNumId w:val="27"/>
  </w:num>
  <w:num w:numId="35">
    <w:abstractNumId w:val="16"/>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19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00FDA"/>
    <w:rsid w:val="00200FDA"/>
    <w:rsid w:val="00340860"/>
    <w:rsid w:val="00F7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5"/>
    <o:shapelayout v:ext="edit">
      <o:idmap v:ext="edit" data="1"/>
    </o:shapelayout>
  </w:shapeDefaults>
  <w:decimalSymbol w:val="."/>
  <w:listSeparator w:val=","/>
  <w14:docId w14:val="76EB2BB2"/>
  <w15:docId w15:val="{7CDBC0F7-132E-4D90-A9F3-8CAC0B1FC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90"/>
      <w:ind w:left="474"/>
      <w:outlineLvl w:val="0"/>
    </w:pPr>
    <w:rPr>
      <w:b/>
      <w:bCs/>
      <w:sz w:val="83"/>
      <w:szCs w:val="83"/>
    </w:rPr>
  </w:style>
  <w:style w:type="paragraph" w:styleId="Heading2">
    <w:name w:val="heading 2"/>
    <w:basedOn w:val="Normal"/>
    <w:uiPriority w:val="1"/>
    <w:qFormat/>
    <w:pPr>
      <w:ind w:left="323"/>
      <w:outlineLvl w:val="1"/>
    </w:pPr>
    <w:rPr>
      <w:b/>
      <w:bCs/>
      <w:sz w:val="77"/>
      <w:szCs w:val="77"/>
    </w:rPr>
  </w:style>
  <w:style w:type="paragraph" w:styleId="Heading3">
    <w:name w:val="heading 3"/>
    <w:basedOn w:val="Normal"/>
    <w:uiPriority w:val="1"/>
    <w:qFormat/>
    <w:pPr>
      <w:ind w:left="133"/>
      <w:outlineLvl w:val="2"/>
    </w:pPr>
    <w:rPr>
      <w:b/>
      <w:bCs/>
      <w:sz w:val="75"/>
      <w:szCs w:val="75"/>
    </w:rPr>
  </w:style>
  <w:style w:type="paragraph" w:styleId="Heading4">
    <w:name w:val="heading 4"/>
    <w:basedOn w:val="Normal"/>
    <w:uiPriority w:val="1"/>
    <w:qFormat/>
    <w:pPr>
      <w:spacing w:before="126" w:line="738" w:lineRule="exact"/>
      <w:ind w:left="656" w:right="962"/>
      <w:jc w:val="center"/>
      <w:outlineLvl w:val="3"/>
    </w:pPr>
    <w:rPr>
      <w:b/>
      <w:bCs/>
      <w:sz w:val="61"/>
      <w:szCs w:val="61"/>
    </w:rPr>
  </w:style>
  <w:style w:type="paragraph" w:styleId="Heading5">
    <w:name w:val="heading 5"/>
    <w:basedOn w:val="Normal"/>
    <w:uiPriority w:val="1"/>
    <w:qFormat/>
    <w:pPr>
      <w:spacing w:before="36"/>
      <w:ind w:left="107"/>
      <w:outlineLvl w:val="4"/>
    </w:pPr>
    <w:rPr>
      <w:b/>
      <w:bCs/>
      <w:sz w:val="59"/>
      <w:szCs w:val="59"/>
    </w:rPr>
  </w:style>
  <w:style w:type="paragraph" w:styleId="Heading6">
    <w:name w:val="heading 6"/>
    <w:basedOn w:val="Normal"/>
    <w:uiPriority w:val="1"/>
    <w:qFormat/>
    <w:pPr>
      <w:spacing w:before="107"/>
      <w:ind w:left="323"/>
      <w:jc w:val="both"/>
      <w:outlineLvl w:val="5"/>
    </w:pPr>
    <w:rPr>
      <w:b/>
      <w:bCs/>
      <w:i/>
      <w:iCs/>
      <w:sz w:val="34"/>
      <w:szCs w:val="34"/>
    </w:rPr>
  </w:style>
  <w:style w:type="paragraph" w:styleId="Heading7">
    <w:name w:val="heading 7"/>
    <w:basedOn w:val="Normal"/>
    <w:uiPriority w:val="1"/>
    <w:qFormat/>
    <w:pPr>
      <w:ind w:left="280"/>
      <w:outlineLvl w:val="6"/>
    </w:pPr>
    <w:rPr>
      <w:sz w:val="28"/>
      <w:szCs w:val="28"/>
    </w:rPr>
  </w:style>
  <w:style w:type="paragraph" w:styleId="Heading8">
    <w:name w:val="heading 8"/>
    <w:basedOn w:val="Normal"/>
    <w:uiPriority w:val="1"/>
    <w:qFormat/>
    <w:pPr>
      <w:ind w:left="140"/>
      <w:jc w:val="both"/>
      <w:outlineLvl w:val="7"/>
    </w:pPr>
    <w:rPr>
      <w:sz w:val="24"/>
      <w:szCs w:val="24"/>
    </w:rPr>
  </w:style>
  <w:style w:type="paragraph" w:styleId="Heading9">
    <w:name w:val="heading 9"/>
    <w:basedOn w:val="Normal"/>
    <w:uiPriority w:val="1"/>
    <w:qFormat/>
    <w:pPr>
      <w:ind w:left="279"/>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00"/>
    </w:pPr>
  </w:style>
  <w:style w:type="paragraph" w:customStyle="1" w:styleId="TableParagraph">
    <w:name w:val="Table Paragraph"/>
    <w:basedOn w:val="Normal"/>
    <w:uiPriority w:val="1"/>
    <w:qFormat/>
    <w:pPr>
      <w:spacing w:line="268" w:lineRule="exact"/>
      <w:ind w:left="309"/>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zotero.org/google-docs/?XocvTS" TargetMode="External"/><Relationship Id="rId671" Type="http://schemas.openxmlformats.org/officeDocument/2006/relationships/header" Target="header36.xml"/><Relationship Id="rId769" Type="http://schemas.openxmlformats.org/officeDocument/2006/relationships/hyperlink" Target="https://www.doe.mass.edu/sfs/family-engagement-framework.pdf" TargetMode="External"/><Relationship Id="rId21" Type="http://schemas.openxmlformats.org/officeDocument/2006/relationships/image" Target="media/image7.png"/><Relationship Id="rId324" Type="http://schemas.openxmlformats.org/officeDocument/2006/relationships/hyperlink" Target="https://doi.org/10.1186/s12939-021-01488-1" TargetMode="External"/><Relationship Id="rId531" Type="http://schemas.openxmlformats.org/officeDocument/2006/relationships/hyperlink" Target="http://www.aclu.org/news/racial-justice/legal-system-has-" TargetMode="External"/><Relationship Id="rId629" Type="http://schemas.openxmlformats.org/officeDocument/2006/relationships/hyperlink" Target="https://malegislature.gov/Bills/193/H1495" TargetMode="External"/><Relationship Id="rId170" Type="http://schemas.openxmlformats.org/officeDocument/2006/relationships/hyperlink" Target="https://malegislature.gov/Bills/193/H1981" TargetMode="External"/><Relationship Id="rId836" Type="http://schemas.openxmlformats.org/officeDocument/2006/relationships/footer" Target="footer50.xml"/><Relationship Id="rId268" Type="http://schemas.openxmlformats.org/officeDocument/2006/relationships/hyperlink" Target="https://doi.org/10.1016/j.jadohealth.2018.08.020" TargetMode="External"/><Relationship Id="rId475" Type="http://schemas.openxmlformats.org/officeDocument/2006/relationships/hyperlink" Target="https://www.mass.gov/service-details/birth-equity-and-support-through-the-inclusion-of-doula-expertise-beside-investment-program" TargetMode="External"/><Relationship Id="rId682" Type="http://schemas.openxmlformats.org/officeDocument/2006/relationships/image" Target="media/image128.jpeg"/><Relationship Id="rId32" Type="http://schemas.openxmlformats.org/officeDocument/2006/relationships/footer" Target="footer3.xml"/><Relationship Id="rId128" Type="http://schemas.openxmlformats.org/officeDocument/2006/relationships/hyperlink" Target="https://www.zotero.org/google-docs/?rieokJ" TargetMode="External"/><Relationship Id="rId335" Type="http://schemas.openxmlformats.org/officeDocument/2006/relationships/hyperlink" Target="https://doi.org/10.1037/cou0000429" TargetMode="External"/><Relationship Id="rId542" Type="http://schemas.openxmlformats.org/officeDocument/2006/relationships/hyperlink" Target="https://hrc-prod-requests.s3-us-west-2.amazonaws.com/Call-to-Action-LGBTQ-Sex-Ed-Report-2021.pdf" TargetMode="External"/><Relationship Id="rId181" Type="http://schemas.openxmlformats.org/officeDocument/2006/relationships/hyperlink" Target="https://malegislature.gov/Laws/GeneralLaws/PartIV/TitleI/Chapter265/Section23" TargetMode="External"/><Relationship Id="rId402" Type="http://schemas.openxmlformats.org/officeDocument/2006/relationships/footer" Target="footer23.xml"/><Relationship Id="rId847" Type="http://schemas.openxmlformats.org/officeDocument/2006/relationships/footer" Target="footer53.xml"/><Relationship Id="rId279" Type="http://schemas.openxmlformats.org/officeDocument/2006/relationships/hyperlink" Target="https://doi.org/10.1007/978-3-030-70060-7_12" TargetMode="External"/><Relationship Id="rId486" Type="http://schemas.openxmlformats.org/officeDocument/2006/relationships/hyperlink" Target="https://www.wgbh.org/news/local-news/2022/08/01/new-law-ensures-medication-abortion-access-for-public-university-students-in-mass" TargetMode="External"/><Relationship Id="rId693" Type="http://schemas.openxmlformats.org/officeDocument/2006/relationships/hyperlink" Target="https://cambridgecf.org/united-legal-defense-fund-for-immigrants/" TargetMode="External"/><Relationship Id="rId707" Type="http://schemas.openxmlformats.org/officeDocument/2006/relationships/hyperlink" Target="http://www.americanprogress.org/article/police-entanglement-immigration-enforcement-" TargetMode="External"/><Relationship Id="rId43" Type="http://schemas.openxmlformats.org/officeDocument/2006/relationships/image" Target="media/image27.png"/><Relationship Id="rId139" Type="http://schemas.openxmlformats.org/officeDocument/2006/relationships/footer" Target="footer6.xml"/><Relationship Id="rId346" Type="http://schemas.openxmlformats.org/officeDocument/2006/relationships/hyperlink" Target="https://doi.org/10.1080/15374416.2020.1815207" TargetMode="External"/><Relationship Id="rId553" Type="http://schemas.openxmlformats.org/officeDocument/2006/relationships/hyperlink" Target="https://www.ncbi.nlm.nih.gov/pmc/articles/PMC2742657/" TargetMode="External"/><Relationship Id="rId760" Type="http://schemas.openxmlformats.org/officeDocument/2006/relationships/hyperlink" Target="https://malegislature.gov/Bills/193/HD3507" TargetMode="External"/><Relationship Id="rId192" Type="http://schemas.openxmlformats.org/officeDocument/2006/relationships/hyperlink" Target="http://www.cdc.gov/std/life-stages-populations/adolescents-youngadults.htm" TargetMode="External"/><Relationship Id="rId206" Type="http://schemas.openxmlformats.org/officeDocument/2006/relationships/footer" Target="footer12.xml"/><Relationship Id="rId413" Type="http://schemas.openxmlformats.org/officeDocument/2006/relationships/image" Target="media/image88.jpeg"/><Relationship Id="rId858" Type="http://schemas.openxmlformats.org/officeDocument/2006/relationships/header" Target="header58.xml"/><Relationship Id="rId497" Type="http://schemas.openxmlformats.org/officeDocument/2006/relationships/hyperlink" Target="https://doi.org/10.1016/j.ajog.2019.08.057" TargetMode="External"/><Relationship Id="rId620" Type="http://schemas.openxmlformats.org/officeDocument/2006/relationships/hyperlink" Target="https://malegislature.gov/Bills/193/SD1623" TargetMode="External"/><Relationship Id="rId718" Type="http://schemas.openxmlformats.org/officeDocument/2006/relationships/footer" Target="footer36.xml"/><Relationship Id="rId357" Type="http://schemas.openxmlformats.org/officeDocument/2006/relationships/header" Target="header22.xml"/><Relationship Id="rId54" Type="http://schemas.openxmlformats.org/officeDocument/2006/relationships/image" Target="media/image38.png"/><Relationship Id="rId217" Type="http://schemas.openxmlformats.org/officeDocument/2006/relationships/header" Target="header15.xml"/><Relationship Id="rId564" Type="http://schemas.openxmlformats.org/officeDocument/2006/relationships/hyperlink" Target="https://evawintl.org/wp-content/uploads/YoungAdultsWhoExperienceHomelessnessandSexualViolenceMay2017.pdf" TargetMode="External"/><Relationship Id="rId771" Type="http://schemas.openxmlformats.org/officeDocument/2006/relationships/hyperlink" Target="https://www.doe.mass.edu/sfs/?section=family&amp;%3A%7E%3Atext=The%20Massachusetts%20Department%20of%20Elementary%20and%20Secondary%20Education%27s%2C-%20from%20the%20earliest%20ages%20into%20young%20adulthood" TargetMode="External"/><Relationship Id="rId869" Type="http://schemas.openxmlformats.org/officeDocument/2006/relationships/hyperlink" Target="http://www.aclum.org/en/news/aclu-glad-urge-massachusetts-schools-reject-calls-book-" TargetMode="External"/><Relationship Id="rId424" Type="http://schemas.openxmlformats.org/officeDocument/2006/relationships/hyperlink" Target="http://www.aamchealthjustice.org/news/polling/lgbtq-birth" TargetMode="External"/><Relationship Id="rId631" Type="http://schemas.openxmlformats.org/officeDocument/2006/relationships/image" Target="media/image121.jpeg"/><Relationship Id="rId729" Type="http://schemas.openxmlformats.org/officeDocument/2006/relationships/hyperlink" Target="http://www.epa.gov/environmentaljustice/environmental-justice-timeline" TargetMode="External"/><Relationship Id="rId270" Type="http://schemas.openxmlformats.org/officeDocument/2006/relationships/hyperlink" Target="https://www.glsen.org/sites/default/files/2022-10/NSCS-2021-Full-Report.pdf" TargetMode="External"/><Relationship Id="rId65" Type="http://schemas.openxmlformats.org/officeDocument/2006/relationships/hyperlink" Target="https://malegislature.gov/Bills/193/H157" TargetMode="External"/><Relationship Id="rId130" Type="http://schemas.openxmlformats.org/officeDocument/2006/relationships/hyperlink" Target="https://www.zotero.org/google-docs/?cp5FaT" TargetMode="External"/><Relationship Id="rId368" Type="http://schemas.openxmlformats.org/officeDocument/2006/relationships/hyperlink" Target="http://www.sageusa.org/news-" TargetMode="External"/><Relationship Id="rId575" Type="http://schemas.openxmlformats.org/officeDocument/2006/relationships/hyperlink" Target="https://www.youthstateindex.com/" TargetMode="External"/><Relationship Id="rId782" Type="http://schemas.openxmlformats.org/officeDocument/2006/relationships/hyperlink" Target="https://www.doe.mass.edu/sfs/lgbtq/genderidentity.html" TargetMode="External"/><Relationship Id="rId228" Type="http://schemas.openxmlformats.org/officeDocument/2006/relationships/header" Target="header18.xml"/><Relationship Id="rId435" Type="http://schemas.openxmlformats.org/officeDocument/2006/relationships/hyperlink" Target="https://www.frontiersin.org/articles/10.3389/frph.2021.670919" TargetMode="External"/><Relationship Id="rId642" Type="http://schemas.openxmlformats.org/officeDocument/2006/relationships/hyperlink" Target="http://www.lambdalegal.org/node/30521" TargetMode="External"/><Relationship Id="rId281" Type="http://schemas.openxmlformats.org/officeDocument/2006/relationships/hyperlink" Target="https://doi.org/10.1007/s10903-021-01162-2" TargetMode="External"/><Relationship Id="rId502" Type="http://schemas.openxmlformats.org/officeDocument/2006/relationships/image" Target="media/image95.png"/><Relationship Id="rId76" Type="http://schemas.openxmlformats.org/officeDocument/2006/relationships/image" Target="media/image40.png"/><Relationship Id="rId141" Type="http://schemas.openxmlformats.org/officeDocument/2006/relationships/footer" Target="footer7.xml"/><Relationship Id="rId379" Type="http://schemas.openxmlformats.org/officeDocument/2006/relationships/hyperlink" Target="https://doi.org/10.1080/26410397.2020.1731298" TargetMode="External"/><Relationship Id="rId586" Type="http://schemas.openxmlformats.org/officeDocument/2006/relationships/image" Target="media/image114.jpeg"/><Relationship Id="rId793" Type="http://schemas.openxmlformats.org/officeDocument/2006/relationships/header" Target="header44.xml"/><Relationship Id="rId807" Type="http://schemas.openxmlformats.org/officeDocument/2006/relationships/hyperlink" Target="http://www.mass.gov/doc/commission-report-on-" TargetMode="External"/><Relationship Id="rId7" Type="http://schemas.openxmlformats.org/officeDocument/2006/relationships/image" Target="media/image1.png"/><Relationship Id="rId239" Type="http://schemas.openxmlformats.org/officeDocument/2006/relationships/image" Target="media/image68.jpeg"/><Relationship Id="rId446" Type="http://schemas.openxmlformats.org/officeDocument/2006/relationships/hyperlink" Target="https://www.mass.gov/lists/annual-recommendations-commission-on-lgbtq-youth" TargetMode="External"/><Relationship Id="rId653" Type="http://schemas.openxmlformats.org/officeDocument/2006/relationships/hyperlink" Target="http://www.glsen.org/activity/civil-rights-school-" TargetMode="External"/><Relationship Id="rId292" Type="http://schemas.openxmlformats.org/officeDocument/2006/relationships/hyperlink" Target="https://www.hrc.org/resources/understanding-disabled-lgbtq-people" TargetMode="External"/><Relationship Id="rId306" Type="http://schemas.openxmlformats.org/officeDocument/2006/relationships/hyperlink" Target="https://doi.org/10.31234/osf.io/9wu42" TargetMode="External"/><Relationship Id="rId860" Type="http://schemas.openxmlformats.org/officeDocument/2006/relationships/hyperlink" Target="http://www.mass.gov/doc/2021-youth-count-report/download" TargetMode="External"/><Relationship Id="rId45" Type="http://schemas.openxmlformats.org/officeDocument/2006/relationships/image" Target="media/image29.png"/><Relationship Id="rId87" Type="http://schemas.openxmlformats.org/officeDocument/2006/relationships/hyperlink" Target="http://www.glad.org/mpa-overview/" TargetMode="External"/><Relationship Id="rId110" Type="http://schemas.openxmlformats.org/officeDocument/2006/relationships/hyperlink" Target="https://www.zotero.org/google-docs/?j0AacR" TargetMode="External"/><Relationship Id="rId348" Type="http://schemas.openxmlformats.org/officeDocument/2006/relationships/header" Target="header21.xml"/><Relationship Id="rId513" Type="http://schemas.openxmlformats.org/officeDocument/2006/relationships/hyperlink" Target="https://malegislature.gov/Bills/193/HD2263" TargetMode="External"/><Relationship Id="rId555" Type="http://schemas.openxmlformats.org/officeDocument/2006/relationships/hyperlink" Target="https://doi.org/10.1542/9781610025409-teen" TargetMode="External"/><Relationship Id="rId597" Type="http://schemas.openxmlformats.org/officeDocument/2006/relationships/hyperlink" Target="http://www.proquest.com/openview/5021cba1f9f2d595a7592f4d1544ebd3/1?pq-origsite=gscholar&amp;cbl=40853" TargetMode="External"/><Relationship Id="rId720" Type="http://schemas.openxmlformats.org/officeDocument/2006/relationships/image" Target="media/image133.png"/><Relationship Id="rId762" Type="http://schemas.openxmlformats.org/officeDocument/2006/relationships/hyperlink" Target="https://malegislature.gov/Bills/193/HD3513" TargetMode="External"/><Relationship Id="rId818" Type="http://schemas.openxmlformats.org/officeDocument/2006/relationships/hyperlink" Target="http://www.mass.gov/doc/jjpad-2022-annual-report/download" TargetMode="External"/><Relationship Id="rId152" Type="http://schemas.openxmlformats.org/officeDocument/2006/relationships/hyperlink" Target="http://www.doe.mass.edu/sfs/lgbtq/Principles-SafeEnvironment.html" TargetMode="External"/><Relationship Id="rId194" Type="http://schemas.openxmlformats.org/officeDocument/2006/relationships/header" Target="header12.xml"/><Relationship Id="rId208" Type="http://schemas.openxmlformats.org/officeDocument/2006/relationships/hyperlink" Target="http://www.justice.gov/criminal-" TargetMode="External"/><Relationship Id="rId415" Type="http://schemas.openxmlformats.org/officeDocument/2006/relationships/hyperlink" Target="https://malegislature.gov/Bills/193/S782" TargetMode="External"/><Relationship Id="rId457" Type="http://schemas.openxmlformats.org/officeDocument/2006/relationships/hyperlink" Target="https://doi.org/10.1097/AOG.0000000000001556" TargetMode="External"/><Relationship Id="rId622" Type="http://schemas.openxmlformats.org/officeDocument/2006/relationships/hyperlink" Target="https://malegislature.gov/Bills/193/SD447" TargetMode="External"/><Relationship Id="rId261" Type="http://schemas.openxmlformats.org/officeDocument/2006/relationships/hyperlink" Target="https://www.thetrevorproject.org/wp-content/uploads/2022/12/The-Trevor-Project-2022-National-Survey-on-LGBTQ-Youth-Mental-Health-by-State-Massachusetts.pdf" TargetMode="External"/><Relationship Id="rId499" Type="http://schemas.openxmlformats.org/officeDocument/2006/relationships/footer" Target="footer26.xml"/><Relationship Id="rId664" Type="http://schemas.openxmlformats.org/officeDocument/2006/relationships/header" Target="header35.xml"/><Relationship Id="rId871" Type="http://schemas.openxmlformats.org/officeDocument/2006/relationships/header" Target="header60.xml"/><Relationship Id="rId14" Type="http://schemas.openxmlformats.org/officeDocument/2006/relationships/header" Target="header2.xml"/><Relationship Id="rId56" Type="http://schemas.openxmlformats.org/officeDocument/2006/relationships/footer" Target="footer4.xml"/><Relationship Id="rId317" Type="http://schemas.openxmlformats.org/officeDocument/2006/relationships/hyperlink" Target="https://doi.org/10.1007/s11121-021-01291-y" TargetMode="External"/><Relationship Id="rId359" Type="http://schemas.openxmlformats.org/officeDocument/2006/relationships/image" Target="media/image75.png"/><Relationship Id="rId524" Type="http://schemas.openxmlformats.org/officeDocument/2006/relationships/hyperlink" Target="http://www.aap.org/en/patient-" TargetMode="External"/><Relationship Id="rId566" Type="http://schemas.openxmlformats.org/officeDocument/2006/relationships/hyperlink" Target="https://scholarworks.calstate.edu/downloads/2v23w095f" TargetMode="External"/><Relationship Id="rId731" Type="http://schemas.openxmlformats.org/officeDocument/2006/relationships/hyperlink" Target="http://www.npr.org/2022/06/29/1106404838/on-marthas-vineyard-tribal-elders-work-to-restore-land-to-its-pre-" TargetMode="External"/><Relationship Id="rId773" Type="http://schemas.openxmlformats.org/officeDocument/2006/relationships/footer" Target="footer41.xml"/><Relationship Id="rId98" Type="http://schemas.openxmlformats.org/officeDocument/2006/relationships/hyperlink" Target="https://www.zotero.org/google-docs/?tdiEB6" TargetMode="External"/><Relationship Id="rId121" Type="http://schemas.openxmlformats.org/officeDocument/2006/relationships/hyperlink" Target="https://www.zotero.org/google-docs/?jBPUHJ" TargetMode="External"/><Relationship Id="rId163" Type="http://schemas.openxmlformats.org/officeDocument/2006/relationships/hyperlink" Target="http://www.glsen.org/sites/default/files/2020-04/Playgrounds_Prejudice.pdf%3B" TargetMode="External"/><Relationship Id="rId219" Type="http://schemas.openxmlformats.org/officeDocument/2006/relationships/header" Target="header16.xml"/><Relationship Id="rId370" Type="http://schemas.openxmlformats.org/officeDocument/2006/relationships/hyperlink" Target="https://www.whitehouse.gov/ostp/news-updates/2023/01/24/fact-sheet-biden-harris-administration-releases-first-ever-federal-evidence-agenda-on-lgbtqi-equity/" TargetMode="External"/><Relationship Id="rId426" Type="http://schemas.openxmlformats.org/officeDocument/2006/relationships/hyperlink" Target="https://healthlaw.org/meeting-the-health-care-needs-of-lgbtq-immigrants/" TargetMode="External"/><Relationship Id="rId633" Type="http://schemas.openxmlformats.org/officeDocument/2006/relationships/hyperlink" Target="http://www.juvjustice.org/sites/default/files/ckfinder/files/LGBTQ%20youth%20report%20Final.pdf" TargetMode="External"/><Relationship Id="rId829" Type="http://schemas.openxmlformats.org/officeDocument/2006/relationships/footer" Target="footer48.xml"/><Relationship Id="rId230" Type="http://schemas.openxmlformats.org/officeDocument/2006/relationships/header" Target="header19.xml"/><Relationship Id="rId468" Type="http://schemas.openxmlformats.org/officeDocument/2006/relationships/hyperlink" Target="https://www.mass.gov/news/masshealths-extended-12-month-postpartum-coverage-approved-by-the-federal-centers-for-medicare-medicaid-services" TargetMode="External"/><Relationship Id="rId675" Type="http://schemas.openxmlformats.org/officeDocument/2006/relationships/hyperlink" Target="https://malegislature.gov/Bills/193/H2288" TargetMode="External"/><Relationship Id="rId840" Type="http://schemas.openxmlformats.org/officeDocument/2006/relationships/footer" Target="footer51.xml"/><Relationship Id="rId882" Type="http://schemas.openxmlformats.org/officeDocument/2006/relationships/footer" Target="footer62.xml"/><Relationship Id="rId25" Type="http://schemas.openxmlformats.org/officeDocument/2006/relationships/image" Target="media/image11.png"/><Relationship Id="rId67" Type="http://schemas.openxmlformats.org/officeDocument/2006/relationships/hyperlink" Target="https://malegislature.gov/Bills/193/H1713" TargetMode="External"/><Relationship Id="rId272" Type="http://schemas.openxmlformats.org/officeDocument/2006/relationships/hyperlink" Target="https://doi.org/10.1007/s40596-019-01127-6" TargetMode="External"/><Relationship Id="rId328" Type="http://schemas.openxmlformats.org/officeDocument/2006/relationships/hyperlink" Target="https://doi.org/10.1080/17482631.2021.1961572" TargetMode="External"/><Relationship Id="rId535" Type="http://schemas.openxmlformats.org/officeDocument/2006/relationships/hyperlink" Target="https://www.ncbi.nlm.nih.gov/pmc/articles/PMC7073269/" TargetMode="External"/><Relationship Id="rId577" Type="http://schemas.openxmlformats.org/officeDocument/2006/relationships/footer" Target="footer31.xml"/><Relationship Id="rId700" Type="http://schemas.openxmlformats.org/officeDocument/2006/relationships/hyperlink" Target="http://www.americanprogress.org/article/serving-lgbtq-immigrants-" TargetMode="External"/><Relationship Id="rId742" Type="http://schemas.openxmlformats.org/officeDocument/2006/relationships/hyperlink" Target="http://www.cdc.gov/healthyyouth/data/yrbs/index.htm" TargetMode="External"/><Relationship Id="rId132" Type="http://schemas.openxmlformats.org/officeDocument/2006/relationships/hyperlink" Target="https://www.zotero.org/google-docs/?VbP7s2" TargetMode="External"/><Relationship Id="rId174" Type="http://schemas.openxmlformats.org/officeDocument/2006/relationships/hyperlink" Target="https://malegislature.gov/Bills/193/SD2199" TargetMode="External"/><Relationship Id="rId381" Type="http://schemas.openxmlformats.org/officeDocument/2006/relationships/hyperlink" Target="http://www.thetrevorproject.org/wp-" TargetMode="External"/><Relationship Id="rId602" Type="http://schemas.openxmlformats.org/officeDocument/2006/relationships/hyperlink" Target="http://www.transequality.org/sites/default/files/docs/usts/USTSMAStateReport%281017%29.pdf" TargetMode="External"/><Relationship Id="rId784" Type="http://schemas.openxmlformats.org/officeDocument/2006/relationships/hyperlink" Target="https://www.doe.mass.edu/sfs/lgbtq/Principles-SafeEnvironment.html" TargetMode="External"/><Relationship Id="rId241" Type="http://schemas.openxmlformats.org/officeDocument/2006/relationships/image" Target="media/image70.png"/><Relationship Id="rId437" Type="http://schemas.openxmlformats.org/officeDocument/2006/relationships/hyperlink" Target="https://doi.org/10.1097/GRF.0000000000000398" TargetMode="External"/><Relationship Id="rId479" Type="http://schemas.openxmlformats.org/officeDocument/2006/relationships/hyperlink" Target="https://www.guttmacher.org/fact-sheet/state-facts-about-abortion-massachusetts" TargetMode="External"/><Relationship Id="rId644" Type="http://schemas.openxmlformats.org/officeDocument/2006/relationships/hyperlink" Target="http://www.mass.gov/doc/2022-youth-count-report/download" TargetMode="External"/><Relationship Id="rId686" Type="http://schemas.openxmlformats.org/officeDocument/2006/relationships/image" Target="media/image130.jpeg"/><Relationship Id="rId851" Type="http://schemas.openxmlformats.org/officeDocument/2006/relationships/footer" Target="footer54.xml"/><Relationship Id="rId36" Type="http://schemas.openxmlformats.org/officeDocument/2006/relationships/image" Target="media/image20.png"/><Relationship Id="rId283" Type="http://schemas.openxmlformats.org/officeDocument/2006/relationships/hyperlink" Target="https://doi.org/10.1108/EIHSC-09-2013-0018" TargetMode="External"/><Relationship Id="rId339" Type="http://schemas.openxmlformats.org/officeDocument/2006/relationships/hyperlink" Target="https://www.nbcnews.com/think/opinion/covid-s-mental-health-toll-makes-therapists-hard-find-insurance-ncna1286502" TargetMode="External"/><Relationship Id="rId490" Type="http://schemas.openxmlformats.org/officeDocument/2006/relationships/hyperlink" Target="https://www.mass.gov/info-details/talk-to-your-clinician-or-pharmacist-about-the-access-law" TargetMode="External"/><Relationship Id="rId504" Type="http://schemas.openxmlformats.org/officeDocument/2006/relationships/image" Target="media/image97.png"/><Relationship Id="rId546" Type="http://schemas.openxmlformats.org/officeDocument/2006/relationships/footer" Target="footer28.xml"/><Relationship Id="rId711" Type="http://schemas.openxmlformats.org/officeDocument/2006/relationships/hyperlink" Target="http://www.mass.gov/service-details/information-for-immigrant-patients-and-their-health-care-providers-on-" TargetMode="External"/><Relationship Id="rId753" Type="http://schemas.openxmlformats.org/officeDocument/2006/relationships/image" Target="media/image140.png"/><Relationship Id="rId78" Type="http://schemas.openxmlformats.org/officeDocument/2006/relationships/hyperlink" Target="https://friendsofchildreninc.org/child-welfare-oversight-myths/" TargetMode="External"/><Relationship Id="rId101" Type="http://schemas.openxmlformats.org/officeDocument/2006/relationships/hyperlink" Target="https://www.zotero.org/google-docs/?NNpBpm" TargetMode="External"/><Relationship Id="rId143" Type="http://schemas.openxmlformats.org/officeDocument/2006/relationships/image" Target="media/image42.png"/><Relationship Id="rId185" Type="http://schemas.openxmlformats.org/officeDocument/2006/relationships/hyperlink" Target="http://assets2.hrc.org/files/assets/resources/HRC_ACAF_SOGIE_Data_Collection_Guide.pdf" TargetMode="External"/><Relationship Id="rId350" Type="http://schemas.openxmlformats.org/officeDocument/2006/relationships/hyperlink" Target="https://www.thetrevorproject.org/wp-content/uploads/2022/01/TrevorProject_Public1.pdf" TargetMode="External"/><Relationship Id="rId406" Type="http://schemas.openxmlformats.org/officeDocument/2006/relationships/header" Target="header25.xml"/><Relationship Id="rId588" Type="http://schemas.openxmlformats.org/officeDocument/2006/relationships/hyperlink" Target="http://www.mass.gov/doc/furthering-the-work-2019/download" TargetMode="External"/><Relationship Id="rId795" Type="http://schemas.openxmlformats.org/officeDocument/2006/relationships/hyperlink" Target="https://www.mass.gov/orgs/massachusetts-department-of-children-families" TargetMode="External"/><Relationship Id="rId809" Type="http://schemas.openxmlformats.org/officeDocument/2006/relationships/hyperlink" Target="http://www.thetrevorproject.org/wp-content/uploads/2022/12/The-Trevor-Project-2022-National-Survey-on-LGBTQ-Youth-" TargetMode="External"/><Relationship Id="rId9" Type="http://schemas.openxmlformats.org/officeDocument/2006/relationships/image" Target="media/image3.png"/><Relationship Id="rId210" Type="http://schemas.openxmlformats.org/officeDocument/2006/relationships/hyperlink" Target="http://www.lgbtqiahealtheducation.org/wp-content/uploads/2021/09/Supporting-LGBTQIA-Youth-Who-Have-" TargetMode="External"/><Relationship Id="rId392" Type="http://schemas.openxmlformats.org/officeDocument/2006/relationships/hyperlink" Target="http://www.latimes.com/california/story/2022-09-29/with-new-law-" TargetMode="External"/><Relationship Id="rId448" Type="http://schemas.openxmlformats.org/officeDocument/2006/relationships/hyperlink" Target="https://doi.org/10.1177/0022146521997811" TargetMode="External"/><Relationship Id="rId613" Type="http://schemas.openxmlformats.org/officeDocument/2006/relationships/hyperlink" Target="https://malegislature.gov/Bills/193/HD3099" TargetMode="External"/><Relationship Id="rId655" Type="http://schemas.openxmlformats.org/officeDocument/2006/relationships/hyperlink" Target="https://immigrantjustice.org/stop-abuse-detained-lgbt-immigrants" TargetMode="External"/><Relationship Id="rId697" Type="http://schemas.openxmlformats.org/officeDocument/2006/relationships/hyperlink" Target="http://www.boundless.com/blog/a-short-history-lgbtq-immigration-policy/" TargetMode="External"/><Relationship Id="rId820" Type="http://schemas.openxmlformats.org/officeDocument/2006/relationships/header" Target="header47.xml"/><Relationship Id="rId862" Type="http://schemas.openxmlformats.org/officeDocument/2006/relationships/header" Target="header59.xml"/><Relationship Id="rId252" Type="http://schemas.openxmlformats.org/officeDocument/2006/relationships/hyperlink" Target="https://www.thetrevorproject.org/wp-content/uploads/2022/12/The-Trevor-Project-2022-National-Survey-on-LGBTQ-Youth-Mental-Health-by-State-Massachusetts.pdf" TargetMode="External"/><Relationship Id="rId294" Type="http://schemas.openxmlformats.org/officeDocument/2006/relationships/hyperlink" Target="https://www.glsen.org/sites/default/files/2022-10/NSCS-2021-Full-Report.pdf" TargetMode="External"/><Relationship Id="rId308" Type="http://schemas.openxmlformats.org/officeDocument/2006/relationships/hyperlink" Target="https://doi.org/10.1007/s12671-021-01787-2" TargetMode="External"/><Relationship Id="rId515" Type="http://schemas.openxmlformats.org/officeDocument/2006/relationships/hyperlink" Target="https://malegislature.gov/Bills/193/HD1783" TargetMode="External"/><Relationship Id="rId722" Type="http://schemas.openxmlformats.org/officeDocument/2006/relationships/image" Target="media/image135.png"/><Relationship Id="rId47" Type="http://schemas.openxmlformats.org/officeDocument/2006/relationships/image" Target="media/image31.png"/><Relationship Id="rId89" Type="http://schemas.openxmlformats.org/officeDocument/2006/relationships/hyperlink" Target="https://www.zotero.org/google-docs/?qu2vFq" TargetMode="External"/><Relationship Id="rId112" Type="http://schemas.openxmlformats.org/officeDocument/2006/relationships/hyperlink" Target="https://www.zotero.org/google-docs/?j0AacR" TargetMode="External"/><Relationship Id="rId154" Type="http://schemas.openxmlformats.org/officeDocument/2006/relationships/hyperlink" Target="http://www.thetrevorproject.org/blog/new-poll-illustrates-the-impacts-of-social-political-issues-on-lgbtq-youth/" TargetMode="External"/><Relationship Id="rId361" Type="http://schemas.openxmlformats.org/officeDocument/2006/relationships/image" Target="media/image77.png"/><Relationship Id="rId557" Type="http://schemas.openxmlformats.org/officeDocument/2006/relationships/hyperlink" Target="https://www.guttmacher.org/article/2019/12/sexual-orientation-differences-pregnancy-and-abortion-across-lifecourse" TargetMode="External"/><Relationship Id="rId599" Type="http://schemas.openxmlformats.org/officeDocument/2006/relationships/hyperlink" Target="http://www.safeschoolscoalition.org/LGBTQhomelessFactSheetbyNAEH.pdf" TargetMode="External"/><Relationship Id="rId764" Type="http://schemas.openxmlformats.org/officeDocument/2006/relationships/hyperlink" Target="http://www.thetrevorproject.org/research-briefs/bullying-and-suicide-risk-among-lgbtq-youth/" TargetMode="External"/><Relationship Id="rId196" Type="http://schemas.openxmlformats.org/officeDocument/2006/relationships/hyperlink" Target="http://www.guttmacher.org/state-" TargetMode="External"/><Relationship Id="rId417" Type="http://schemas.openxmlformats.org/officeDocument/2006/relationships/image" Target="media/image90.jpeg"/><Relationship Id="rId459" Type="http://schemas.openxmlformats.org/officeDocument/2006/relationships/hyperlink" Target="http://www.mass.gov/doc/2014-" TargetMode="External"/><Relationship Id="rId624" Type="http://schemas.openxmlformats.org/officeDocument/2006/relationships/hyperlink" Target="https://malegislature.gov/Bills/193/SD428" TargetMode="External"/><Relationship Id="rId666" Type="http://schemas.openxmlformats.org/officeDocument/2006/relationships/image" Target="media/image123.png"/><Relationship Id="rId831" Type="http://schemas.openxmlformats.org/officeDocument/2006/relationships/hyperlink" Target="https://www.mass.gov/mrc-transition-services-for-students-and-youth" TargetMode="External"/><Relationship Id="rId873" Type="http://schemas.openxmlformats.org/officeDocument/2006/relationships/hyperlink" Target="http://www.mass.gov/doc/2022-youth-count-report/download" TargetMode="External"/><Relationship Id="rId16" Type="http://schemas.openxmlformats.org/officeDocument/2006/relationships/image" Target="media/image4.png"/><Relationship Id="rId221" Type="http://schemas.openxmlformats.org/officeDocument/2006/relationships/image" Target="media/image56.png"/><Relationship Id="rId263" Type="http://schemas.openxmlformats.org/officeDocument/2006/relationships/hyperlink" Target="https://doi.org/10.2105/AJPH.2009.168815" TargetMode="External"/><Relationship Id="rId319" Type="http://schemas.openxmlformats.org/officeDocument/2006/relationships/hyperlink" Target="https://www.glsen.org/sites/default/files/2021-12/GLSEN_ResearchInstitute_GSAStudy_12012021.pdf" TargetMode="External"/><Relationship Id="rId470" Type="http://schemas.openxmlformats.org/officeDocument/2006/relationships/hyperlink" Target="https://www.dona.org/what-is-a-doula/" TargetMode="External"/><Relationship Id="rId526" Type="http://schemas.openxmlformats.org/officeDocument/2006/relationships/hyperlink" Target="http://www.glsen.org/sites/default/files/2019-12/No_Promo_Homo_2018.pdf" TargetMode="External"/><Relationship Id="rId58" Type="http://schemas.openxmlformats.org/officeDocument/2006/relationships/header" Target="header6.xml"/><Relationship Id="rId123" Type="http://schemas.openxmlformats.org/officeDocument/2006/relationships/hyperlink" Target="https://www.zotero.org/google-docs/?oMA58k" TargetMode="External"/><Relationship Id="rId330" Type="http://schemas.openxmlformats.org/officeDocument/2006/relationships/hyperlink" Target="https://www.traumainformedweightlifting.com/research" TargetMode="External"/><Relationship Id="rId568" Type="http://schemas.openxmlformats.org/officeDocument/2006/relationships/footer" Target="footer29.xml"/><Relationship Id="rId733" Type="http://schemas.openxmlformats.org/officeDocument/2006/relationships/hyperlink" Target="http://www.mass.gov/service-details/environmental-" TargetMode="External"/><Relationship Id="rId775" Type="http://schemas.openxmlformats.org/officeDocument/2006/relationships/hyperlink" Target="http://www.bhs.umn.edu/surveys/survey-results/2007-2011_LGB_CSHSReport.pdf" TargetMode="External"/><Relationship Id="rId165" Type="http://schemas.openxmlformats.org/officeDocument/2006/relationships/footer" Target="footer9.xml"/><Relationship Id="rId372" Type="http://schemas.openxmlformats.org/officeDocument/2006/relationships/hyperlink" Target="https://doi.org/10.1080/19361653.2022.2119188" TargetMode="External"/><Relationship Id="rId428" Type="http://schemas.openxmlformats.org/officeDocument/2006/relationships/hyperlink" Target="https://doi.org/10.1177/0009922816673306" TargetMode="External"/><Relationship Id="rId635" Type="http://schemas.openxmlformats.org/officeDocument/2006/relationships/hyperlink" Target="http://www.mass.gov/service-details/dys-reports-and-" TargetMode="External"/><Relationship Id="rId677" Type="http://schemas.openxmlformats.org/officeDocument/2006/relationships/hyperlink" Target="https://malegislature.gov/Bills/193/H1281" TargetMode="External"/><Relationship Id="rId800" Type="http://schemas.openxmlformats.org/officeDocument/2006/relationships/hyperlink" Target="https://www.mass.gov/doc/safe-and-supported-placement-policy/download" TargetMode="External"/><Relationship Id="rId842" Type="http://schemas.openxmlformats.org/officeDocument/2006/relationships/hyperlink" Target="https://www.mass.gov/service-details/the-safe-spaces-for-lgbtqia-youth-program-engage-youth-who-are-lgbtqia" TargetMode="External"/><Relationship Id="rId232" Type="http://schemas.openxmlformats.org/officeDocument/2006/relationships/image" Target="media/image61.jpeg"/><Relationship Id="rId274" Type="http://schemas.openxmlformats.org/officeDocument/2006/relationships/hyperlink" Target="http://www.colorado.edu/journal/assembly/2019/06/30/necessity-intentionally-closed-spaces-lgbtq-youth-color" TargetMode="External"/><Relationship Id="rId481" Type="http://schemas.openxmlformats.org/officeDocument/2006/relationships/hyperlink" Target="https://www.mass.gov/info-details/massachusetts-law-about-abortion" TargetMode="External"/><Relationship Id="rId702" Type="http://schemas.openxmlformats.org/officeDocument/2006/relationships/hyperlink" Target="http://www.thetrevorproject.org/research-briefs/lgbtq-youth-from-immigrant-families-2/" TargetMode="External"/><Relationship Id="rId884" Type="http://schemas.openxmlformats.org/officeDocument/2006/relationships/footer" Target="footer63.xml"/><Relationship Id="rId27" Type="http://schemas.openxmlformats.org/officeDocument/2006/relationships/image" Target="media/image13.png"/><Relationship Id="rId69" Type="http://schemas.openxmlformats.org/officeDocument/2006/relationships/hyperlink" Target="https://docs.google.com/document/d/1UcEU8Y6eldxBguk7XRQkxMK0vcPJf9kB/edit" TargetMode="External"/><Relationship Id="rId134" Type="http://schemas.openxmlformats.org/officeDocument/2006/relationships/hyperlink" Target="https://www.zotero.org/google-docs/?XtZHp1" TargetMode="External"/><Relationship Id="rId537" Type="http://schemas.openxmlformats.org/officeDocument/2006/relationships/hyperlink" Target="http://www.aafp.org/about/policies/all/genital-" TargetMode="External"/><Relationship Id="rId579" Type="http://schemas.openxmlformats.org/officeDocument/2006/relationships/hyperlink" Target="https://malegislature.gov/Bills/193/HD107" TargetMode="External"/><Relationship Id="rId744" Type="http://schemas.openxmlformats.org/officeDocument/2006/relationships/hyperlink" Target="http://www.hrc.org/press-releases/cdc-releases-report-confirming-lesbian-gay-and-bisexual-people-at-greater-risk-of-covid-" TargetMode="External"/><Relationship Id="rId786" Type="http://schemas.openxmlformats.org/officeDocument/2006/relationships/hyperlink" Target="https://www.doe.mass.edu/sfs/lgbtq/Principles-SafeEnvironment.html" TargetMode="External"/><Relationship Id="rId80" Type="http://schemas.openxmlformats.org/officeDocument/2006/relationships/hyperlink" Target="https://docs.google.com/document/d/1UcEU8Y6eldxBguk7XRQkxMK0vcPJf9kB/edit" TargetMode="External"/><Relationship Id="rId176" Type="http://schemas.openxmlformats.org/officeDocument/2006/relationships/image" Target="media/image51.jpeg"/><Relationship Id="rId341" Type="http://schemas.openxmlformats.org/officeDocument/2006/relationships/hyperlink" Target="https://doi.org/10.1080/19359705.2016.1166469" TargetMode="External"/><Relationship Id="rId383" Type="http://schemas.openxmlformats.org/officeDocument/2006/relationships/hyperlink" Target="http://www.americanprogress.org/article/protecting-advancing-health-care-transgender-adult-communities/" TargetMode="External"/><Relationship Id="rId439" Type="http://schemas.openxmlformats.org/officeDocument/2006/relationships/hyperlink" Target="https://www.aclu.org/news/lgbtq-rights/menstruation-related-discrimination-is-sex-discrimination-we-dont-need-to-erase-trans-or-non-binary-people-to-make-that-point" TargetMode="External"/><Relationship Id="rId590" Type="http://schemas.openxmlformats.org/officeDocument/2006/relationships/hyperlink" Target="http://www.thetrevorproject.org/research-briefs/homelessness-and-housing-instability-among-lgbtq-youth-feb-2022/" TargetMode="External"/><Relationship Id="rId604" Type="http://schemas.openxmlformats.org/officeDocument/2006/relationships/header" Target="header33.xml"/><Relationship Id="rId646" Type="http://schemas.openxmlformats.org/officeDocument/2006/relationships/hyperlink" Target="http://www.nclrights.org/our-work/racial-economic-justice/criminalization-incarceration" TargetMode="External"/><Relationship Id="rId811" Type="http://schemas.openxmlformats.org/officeDocument/2006/relationships/hyperlink" Target="http://www.boston.com/news/schools/2023/01/11/stoughton-" TargetMode="External"/><Relationship Id="rId201" Type="http://schemas.openxmlformats.org/officeDocument/2006/relationships/hyperlink" Target="http://www.doe.mass.edu/sfs/lgbtq/" TargetMode="External"/><Relationship Id="rId243" Type="http://schemas.openxmlformats.org/officeDocument/2006/relationships/image" Target="media/image72.jpeg"/><Relationship Id="rId285" Type="http://schemas.openxmlformats.org/officeDocument/2006/relationships/hyperlink" Target="https://www.thetrevorproject.org/survey-2022/assets/static/trevor01_2022survey_final.pdf" TargetMode="External"/><Relationship Id="rId450" Type="http://schemas.openxmlformats.org/officeDocument/2006/relationships/hyperlink" Target="https://www.rutgers.edu/news/pregnant-transgender-men-risk-depression-and-lack-care-rutgers-study-finds" TargetMode="External"/><Relationship Id="rId506" Type="http://schemas.openxmlformats.org/officeDocument/2006/relationships/footer" Target="footer27.xml"/><Relationship Id="rId688" Type="http://schemas.openxmlformats.org/officeDocument/2006/relationships/hyperlink" Target="https://www.mass.gov/orgs/office-for-refugees-and-immigrants" TargetMode="External"/><Relationship Id="rId853" Type="http://schemas.openxmlformats.org/officeDocument/2006/relationships/header" Target="header56.xml"/><Relationship Id="rId38" Type="http://schemas.openxmlformats.org/officeDocument/2006/relationships/image" Target="media/image22.png"/><Relationship Id="rId103" Type="http://schemas.openxmlformats.org/officeDocument/2006/relationships/hyperlink" Target="https://www.zotero.org/google-docs/?uPJj8h" TargetMode="External"/><Relationship Id="rId310" Type="http://schemas.openxmlformats.org/officeDocument/2006/relationships/hyperlink" Target="https://doi.org/10.1080/14779757.2020.1717986" TargetMode="External"/><Relationship Id="rId492" Type="http://schemas.openxmlformats.org/officeDocument/2006/relationships/hyperlink" Target="https://www.mass.gov/info-details/dph-funded-family-planning-programs" TargetMode="External"/><Relationship Id="rId548" Type="http://schemas.openxmlformats.org/officeDocument/2006/relationships/hyperlink" Target="https://evawintl.org/wp-content/uploads/YoungAdultsWhoExperienceHomelessnessandSexualViolenceMay2017.pdf" TargetMode="External"/><Relationship Id="rId713" Type="http://schemas.openxmlformats.org/officeDocument/2006/relationships/hyperlink" Target="http://www.bostonindicators.org/reports/report-website-pages/growing-wave-of-restrictions" TargetMode="External"/><Relationship Id="rId755" Type="http://schemas.openxmlformats.org/officeDocument/2006/relationships/image" Target="media/image142.png"/><Relationship Id="rId797" Type="http://schemas.openxmlformats.org/officeDocument/2006/relationships/footer" Target="footer44.xml"/><Relationship Id="rId91" Type="http://schemas.openxmlformats.org/officeDocument/2006/relationships/hyperlink" Target="https://www.zotero.org/google-docs/?R8ZSPG" TargetMode="External"/><Relationship Id="rId145" Type="http://schemas.openxmlformats.org/officeDocument/2006/relationships/image" Target="media/image44.png"/><Relationship Id="rId187" Type="http://schemas.openxmlformats.org/officeDocument/2006/relationships/hyperlink" Target="http://www.cdc.gov/violenceprevention/intimatepartnerviolence/teendatingviolence/fastfact.html" TargetMode="External"/><Relationship Id="rId352" Type="http://schemas.openxmlformats.org/officeDocument/2006/relationships/hyperlink" Target="https://doi.org/10.1007/s10964-020-01354-3" TargetMode="External"/><Relationship Id="rId394" Type="http://schemas.openxmlformats.org/officeDocument/2006/relationships/hyperlink" Target="http://www.mass.gov/lists/hivaids-epidemiologic-profiles" TargetMode="External"/><Relationship Id="rId408" Type="http://schemas.openxmlformats.org/officeDocument/2006/relationships/hyperlink" Target="https://sevensistersmidwifery.com/" TargetMode="External"/><Relationship Id="rId615" Type="http://schemas.openxmlformats.org/officeDocument/2006/relationships/hyperlink" Target="https://malegislature.gov/Bills/193/HD1707" TargetMode="External"/><Relationship Id="rId822" Type="http://schemas.openxmlformats.org/officeDocument/2006/relationships/hyperlink" Target="http://www.mass.gov/doc/commission-report-on-" TargetMode="External"/><Relationship Id="rId212" Type="http://schemas.openxmlformats.org/officeDocument/2006/relationships/footer" Target="footer13.xml"/><Relationship Id="rId254" Type="http://schemas.openxmlformats.org/officeDocument/2006/relationships/hyperlink" Target="https://www.census.gov/library/stories/2022/12/lgbt-adults-report-anxiety-depression-at-all-ages.html" TargetMode="External"/><Relationship Id="rId657" Type="http://schemas.openxmlformats.org/officeDocument/2006/relationships/hyperlink" Target="https://www.americanprogress.org/wp-content/uploads/2013/04/LGBTUndocumentedReport-6.pdf" TargetMode="External"/><Relationship Id="rId699" Type="http://schemas.openxmlformats.org/officeDocument/2006/relationships/hyperlink" Target="http://www.thetrevorproject.org/survey-2020/" TargetMode="External"/><Relationship Id="rId864" Type="http://schemas.openxmlformats.org/officeDocument/2006/relationships/hyperlink" Target="http://www.yalsa.ala.org/jrlya/2016/03/they-kind-of-rely-on-the-library-" TargetMode="External"/><Relationship Id="rId49" Type="http://schemas.openxmlformats.org/officeDocument/2006/relationships/image" Target="media/image33.png"/><Relationship Id="rId114" Type="http://schemas.openxmlformats.org/officeDocument/2006/relationships/hyperlink" Target="https://www.zotero.org/google-docs/?54iKTD" TargetMode="External"/><Relationship Id="rId296" Type="http://schemas.openxmlformats.org/officeDocument/2006/relationships/hyperlink" Target="https://doi.org/10.1080/1536710X.2017.1299661" TargetMode="External"/><Relationship Id="rId461" Type="http://schemas.openxmlformats.org/officeDocument/2006/relationships/hyperlink" Target="https://doi.org/10.2105/AJPH.2005.072975" TargetMode="External"/><Relationship Id="rId517" Type="http://schemas.openxmlformats.org/officeDocument/2006/relationships/image" Target="media/image99.jpeg"/><Relationship Id="rId559" Type="http://schemas.openxmlformats.org/officeDocument/2006/relationships/hyperlink" Target="https://pubmed.ncbi.nlm.nih.gov/34226247/" TargetMode="External"/><Relationship Id="rId724" Type="http://schemas.openxmlformats.org/officeDocument/2006/relationships/image" Target="media/image137.png"/><Relationship Id="rId766" Type="http://schemas.openxmlformats.org/officeDocument/2006/relationships/footer" Target="footer40.xml"/><Relationship Id="rId60" Type="http://schemas.openxmlformats.org/officeDocument/2006/relationships/hyperlink" Target="https://malegislature.gov/Bills/193/S66" TargetMode="External"/><Relationship Id="rId156" Type="http://schemas.openxmlformats.org/officeDocument/2006/relationships/hyperlink" Target="http://www.glsen.org/research/2021-" TargetMode="External"/><Relationship Id="rId198" Type="http://schemas.openxmlformats.org/officeDocument/2006/relationships/hyperlink" Target="http://www.glsen.org/sites/default/files/2021-01/Massachusetts-Snapshot-2019_1.pdf" TargetMode="External"/><Relationship Id="rId321" Type="http://schemas.openxmlformats.org/officeDocument/2006/relationships/hyperlink" Target="https://files.eric.ed.gov/fulltext/ED511993.pdf" TargetMode="External"/><Relationship Id="rId363" Type="http://schemas.openxmlformats.org/officeDocument/2006/relationships/header" Target="header23.xml"/><Relationship Id="rId419" Type="http://schemas.openxmlformats.org/officeDocument/2006/relationships/header" Target="header26.xml"/><Relationship Id="rId570" Type="http://schemas.openxmlformats.org/officeDocument/2006/relationships/footer" Target="footer30.xml"/><Relationship Id="rId626" Type="http://schemas.openxmlformats.org/officeDocument/2006/relationships/hyperlink" Target="https://malegislature.gov/Bills/193/S979" TargetMode="External"/><Relationship Id="rId223" Type="http://schemas.openxmlformats.org/officeDocument/2006/relationships/image" Target="media/image58.png"/><Relationship Id="rId430" Type="http://schemas.openxmlformats.org/officeDocument/2006/relationships/hyperlink" Target="https://doi.org/10.1177/10497323211050051" TargetMode="External"/><Relationship Id="rId668" Type="http://schemas.openxmlformats.org/officeDocument/2006/relationships/image" Target="media/image125.png"/><Relationship Id="rId833" Type="http://schemas.openxmlformats.org/officeDocument/2006/relationships/footer" Target="footer49.xml"/><Relationship Id="rId875" Type="http://schemas.openxmlformats.org/officeDocument/2006/relationships/hyperlink" Target="https://www.mass.gov/service-details/connect-with-your-local-masshire-workforce-board" TargetMode="External"/><Relationship Id="rId18" Type="http://schemas.openxmlformats.org/officeDocument/2006/relationships/footer" Target="footer2.xml"/><Relationship Id="rId265" Type="http://schemas.openxmlformats.org/officeDocument/2006/relationships/hyperlink" Target="https://doi.org/10.1007/s10964-020-01354-3" TargetMode="External"/><Relationship Id="rId472" Type="http://schemas.openxmlformats.org/officeDocument/2006/relationships/hyperlink" Target="https://www.dhcs.ca.gov/provgovpart/Pages/Doula-Services.aspx" TargetMode="External"/><Relationship Id="rId528" Type="http://schemas.openxmlformats.org/officeDocument/2006/relationships/hyperlink" Target="http://www.guttmacher.org/report/demystifying-data-workshop-toolkit" TargetMode="External"/><Relationship Id="rId735" Type="http://schemas.openxmlformats.org/officeDocument/2006/relationships/hyperlink" Target="http://www.mass.gov/info-" TargetMode="External"/><Relationship Id="rId125" Type="http://schemas.openxmlformats.org/officeDocument/2006/relationships/hyperlink" Target="https://www.zotero.org/google-docs/?rieokJ" TargetMode="External"/><Relationship Id="rId167" Type="http://schemas.openxmlformats.org/officeDocument/2006/relationships/image" Target="media/image48.png"/><Relationship Id="rId332" Type="http://schemas.openxmlformats.org/officeDocument/2006/relationships/hyperlink" Target="https://doi.org/10.1177/0011000018787261" TargetMode="External"/><Relationship Id="rId374" Type="http://schemas.openxmlformats.org/officeDocument/2006/relationships/hyperlink" Target="http://www.mass.gov/doc/commission-report-on-dcf/download" TargetMode="External"/><Relationship Id="rId581" Type="http://schemas.openxmlformats.org/officeDocument/2006/relationships/hyperlink" Target="https://malegislature.gov/Bills/193/HD1964" TargetMode="External"/><Relationship Id="rId777" Type="http://schemas.openxmlformats.org/officeDocument/2006/relationships/hyperlink" Target="http://www.campusprideindex.org/" TargetMode="External"/><Relationship Id="rId71" Type="http://schemas.openxmlformats.org/officeDocument/2006/relationships/hyperlink" Target="https://docs.google.com/document/d/1UcEU8Y6eldxBguk7XRQkxMK0vcPJf9kB/edit" TargetMode="External"/><Relationship Id="rId234" Type="http://schemas.openxmlformats.org/officeDocument/2006/relationships/image" Target="media/image63.jpeg"/><Relationship Id="rId637" Type="http://schemas.openxmlformats.org/officeDocument/2006/relationships/hyperlink" Target="http://www.mass.gov/doc/doc-653-identification-treatment-and-" TargetMode="External"/><Relationship Id="rId679" Type="http://schemas.openxmlformats.org/officeDocument/2006/relationships/hyperlink" Target="https://malegislature.gov/Bills/193/H1237" TargetMode="External"/><Relationship Id="rId802" Type="http://schemas.openxmlformats.org/officeDocument/2006/relationships/hyperlink" Target="https://www.mass.gov/doc/licensing-of-foster-pre-adoptive-and-kinship-families/download" TargetMode="External"/><Relationship Id="rId844" Type="http://schemas.openxmlformats.org/officeDocument/2006/relationships/header" Target="header53.xml"/><Relationship Id="rId886"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5.png"/><Relationship Id="rId276" Type="http://schemas.openxmlformats.org/officeDocument/2006/relationships/hyperlink" Target="https://doi.org/10.1080/1550428X.2020.1724133" TargetMode="External"/><Relationship Id="rId441" Type="http://schemas.openxmlformats.org/officeDocument/2006/relationships/hyperlink" Target="https://doi.org/10.1016/j.cppeds.2019.100684" TargetMode="External"/><Relationship Id="rId483" Type="http://schemas.openxmlformats.org/officeDocument/2006/relationships/hyperlink" Target="https://www.plannedparenthoodaction.org/planned-parenthood-advocacy-fund-massachusetts-inc/pressroom/new-study-finds-massachusetts-judicial-bypass-process-delays-access-to-abortion" TargetMode="External"/><Relationship Id="rId539" Type="http://schemas.openxmlformats.org/officeDocument/2006/relationships/hyperlink" Target="http://www.hrw.org/report/2017/07/25/i-want-be-nature-made-me/medically-unnecessary-surgeries-intersex-children-us" TargetMode="External"/><Relationship Id="rId690" Type="http://schemas.openxmlformats.org/officeDocument/2006/relationships/hyperlink" Target="https://www.mass.gov/doc/printable-dmh-multicultural-resource-directory-complete/download" TargetMode="External"/><Relationship Id="rId704" Type="http://schemas.openxmlformats.org/officeDocument/2006/relationships/hyperlink" Target="http://www.lgbtmap.org/policy-and-issue-analysis/criminal-" TargetMode="External"/><Relationship Id="rId746" Type="http://schemas.openxmlformats.org/officeDocument/2006/relationships/hyperlink" Target="http://www.bcpp.org/resource/safer-beauty-and-cosmetics-state-laws/" TargetMode="External"/><Relationship Id="rId40" Type="http://schemas.openxmlformats.org/officeDocument/2006/relationships/image" Target="media/image24.png"/><Relationship Id="rId136" Type="http://schemas.openxmlformats.org/officeDocument/2006/relationships/hyperlink" Target="https://www.zotero.org/google-docs/?cChUxE" TargetMode="External"/><Relationship Id="rId178" Type="http://schemas.openxmlformats.org/officeDocument/2006/relationships/image" Target="media/image53.jpeg"/><Relationship Id="rId301" Type="http://schemas.openxmlformats.org/officeDocument/2006/relationships/hyperlink" Target="https://doi.org/10.1080/15548732.2016.1221368" TargetMode="External"/><Relationship Id="rId343" Type="http://schemas.openxmlformats.org/officeDocument/2006/relationships/hyperlink" Target="https://doi.org/10.1007/s10578-021-01250-2" TargetMode="External"/><Relationship Id="rId550" Type="http://schemas.openxmlformats.org/officeDocument/2006/relationships/hyperlink" Target="https://transequality.org/sites/default/files/docs/usts/USTSMAStateReport(1017).pdf" TargetMode="External"/><Relationship Id="rId788" Type="http://schemas.openxmlformats.org/officeDocument/2006/relationships/hyperlink" Target="https://www.doe.mass.edu/news/news.aspx?id=26699" TargetMode="External"/><Relationship Id="rId82" Type="http://schemas.openxmlformats.org/officeDocument/2006/relationships/hyperlink" Target="https://www.zotero.org/google-docs/?Ss1PY8" TargetMode="External"/><Relationship Id="rId203" Type="http://schemas.openxmlformats.org/officeDocument/2006/relationships/hyperlink" Target="http://www.mass.gov/doc/results-" TargetMode="External"/><Relationship Id="rId385" Type="http://schemas.openxmlformats.org/officeDocument/2006/relationships/hyperlink" Target="http://www.psychiatry.org/File%20Library/About-APA/Organization-Documents-Policies/Policies/Position-" TargetMode="External"/><Relationship Id="rId592" Type="http://schemas.openxmlformats.org/officeDocument/2006/relationships/hyperlink" Target="http://www.mass.gov/doc/2020-special-report-to-" TargetMode="External"/><Relationship Id="rId606" Type="http://schemas.openxmlformats.org/officeDocument/2006/relationships/image" Target="media/image116.png"/><Relationship Id="rId648" Type="http://schemas.openxmlformats.org/officeDocument/2006/relationships/hyperlink" Target="http://www.mass.gov/doc/quarter-2/download" TargetMode="External"/><Relationship Id="rId813" Type="http://schemas.openxmlformats.org/officeDocument/2006/relationships/hyperlink" Target="https://www.mass.gov/doc/oca-annual-report-fiscal-year-2022/download" TargetMode="External"/><Relationship Id="rId855" Type="http://schemas.openxmlformats.org/officeDocument/2006/relationships/header" Target="header57.xml"/><Relationship Id="rId245" Type="http://schemas.openxmlformats.org/officeDocument/2006/relationships/image" Target="media/image74.jpeg"/><Relationship Id="rId287" Type="http://schemas.openxmlformats.org/officeDocument/2006/relationships/hyperlink" Target="https://www.samhsa.gov/blog/one-size-does-not-fit-all-appreciating-diversity-asian-americans-native-hawaiians-pacific" TargetMode="External"/><Relationship Id="rId410" Type="http://schemas.openxmlformats.org/officeDocument/2006/relationships/image" Target="media/image85.jpeg"/><Relationship Id="rId452" Type="http://schemas.openxmlformats.org/officeDocument/2006/relationships/hyperlink" Target="http://theconversation.com/transgender-men-and-nonbinary-people-are-asked-to-stop-testosterone-therapy-during-pregnancy-but-the-evidence-for-this-guidance-is-still-murky-187672" TargetMode="External"/><Relationship Id="rId494" Type="http://schemas.openxmlformats.org/officeDocument/2006/relationships/hyperlink" Target="https://www.illinoissenatedemocrats.com/caucus-news/72-senator-karina-villa-news/2886-menstrual-hygiene-products-can-be-purchased-with-snap-and-wic-benefits-under-villa-law" TargetMode="External"/><Relationship Id="rId508" Type="http://schemas.openxmlformats.org/officeDocument/2006/relationships/hyperlink" Target="https://malegislature.gov/Bills/193/HD3874" TargetMode="External"/><Relationship Id="rId715" Type="http://schemas.openxmlformats.org/officeDocument/2006/relationships/hyperlink" Target="http://www.americanprogress.org/article/ending-daca-means-lgbtq-dreamers/" TargetMode="External"/><Relationship Id="rId105" Type="http://schemas.openxmlformats.org/officeDocument/2006/relationships/hyperlink" Target="https://www.zotero.org/google-docs/?bqqAOu" TargetMode="External"/><Relationship Id="rId147" Type="http://schemas.openxmlformats.org/officeDocument/2006/relationships/footer" Target="footer8.xml"/><Relationship Id="rId312" Type="http://schemas.openxmlformats.org/officeDocument/2006/relationships/hyperlink" Target="https://doi.org/10.1111/famp.12770" TargetMode="External"/><Relationship Id="rId354" Type="http://schemas.openxmlformats.org/officeDocument/2006/relationships/hyperlink" Target="https://doi.org/10.1080/23794925.2021.1950079" TargetMode="External"/><Relationship Id="rId757" Type="http://schemas.openxmlformats.org/officeDocument/2006/relationships/footer" Target="footer39.xml"/><Relationship Id="rId799" Type="http://schemas.openxmlformats.org/officeDocument/2006/relationships/hyperlink" Target="https://www.mass.gov/doc/lgbtqia-nondiscrimination-policy/download" TargetMode="External"/><Relationship Id="rId51" Type="http://schemas.openxmlformats.org/officeDocument/2006/relationships/image" Target="media/image35.png"/><Relationship Id="rId93" Type="http://schemas.openxmlformats.org/officeDocument/2006/relationships/hyperlink" Target="https://www.zotero.org/google-docs/?R8ZSPG" TargetMode="External"/><Relationship Id="rId189" Type="http://schemas.openxmlformats.org/officeDocument/2006/relationships/hyperlink" Target="http://www.thehotline.org/resources/types-of-abuse/" TargetMode="External"/><Relationship Id="rId396" Type="http://schemas.openxmlformats.org/officeDocument/2006/relationships/hyperlink" Target="http://www.thetrevorproject.org/survey-2021/?section=Introduction" TargetMode="External"/><Relationship Id="rId561" Type="http://schemas.openxmlformats.org/officeDocument/2006/relationships/hyperlink" Target="https://ovc.ojp.gov/sites/g/files/xyckuh226/files/pubs/forge/sexual_numbers.html" TargetMode="External"/><Relationship Id="rId617" Type="http://schemas.openxmlformats.org/officeDocument/2006/relationships/hyperlink" Target="https://malegislature.gov/Bills/193/H1728" TargetMode="External"/><Relationship Id="rId659" Type="http://schemas.openxmlformats.org/officeDocument/2006/relationships/hyperlink" Target="https://immigrantjustice.org/sites/immigrantjustice.org/files/Invisible%20in%20Isolation-The%20Use%20of%20Segregation%20and%20Solitary%20Confinement%20in%20Immigration%20Detention.September%202012_7.pdf" TargetMode="External"/><Relationship Id="rId824" Type="http://schemas.openxmlformats.org/officeDocument/2006/relationships/hyperlink" Target="https://www.mass.gov/vocational-rehabilitation-vr" TargetMode="External"/><Relationship Id="rId866" Type="http://schemas.openxmlformats.org/officeDocument/2006/relationships/hyperlink" Target="http://www.bpl.org/resources-for-youth-experiencing-housing-insecurity" TargetMode="External"/><Relationship Id="rId214" Type="http://schemas.openxmlformats.org/officeDocument/2006/relationships/hyperlink" Target="http://www.advocatesforyouth.org/" TargetMode="External"/><Relationship Id="rId256" Type="http://schemas.openxmlformats.org/officeDocument/2006/relationships/hyperlink" Target="https://www.hrc.org/press-releases/human-rights-campaign-working-to-defeat-340-anti-lgbtq-bills-at-state-level-already-150-of-which-target-transgender-people-highest-number-on-record" TargetMode="External"/><Relationship Id="rId298" Type="http://schemas.openxmlformats.org/officeDocument/2006/relationships/hyperlink" Target="https://www.hrc.org/resources/understanding-disabled-lgbtq-people" TargetMode="External"/><Relationship Id="rId421" Type="http://schemas.openxmlformats.org/officeDocument/2006/relationships/hyperlink" Target="https://malegislature.gov/Bills/193/SD1171" TargetMode="External"/><Relationship Id="rId463" Type="http://schemas.openxmlformats.org/officeDocument/2006/relationships/hyperlink" Target="https://doi.org/10.1016/j.conx.2020.100019" TargetMode="External"/><Relationship Id="rId519" Type="http://schemas.openxmlformats.org/officeDocument/2006/relationships/image" Target="media/image101.jpeg"/><Relationship Id="rId670" Type="http://schemas.openxmlformats.org/officeDocument/2006/relationships/hyperlink" Target="https://malegislature.gov/Bills/193/H3084" TargetMode="External"/><Relationship Id="rId116" Type="http://schemas.openxmlformats.org/officeDocument/2006/relationships/hyperlink" Target="https://www.zotero.org/google-docs/?XocvTS" TargetMode="External"/><Relationship Id="rId158" Type="http://schemas.openxmlformats.org/officeDocument/2006/relationships/hyperlink" Target="http://www.glsen.org/research" TargetMode="External"/><Relationship Id="rId323" Type="http://schemas.openxmlformats.org/officeDocument/2006/relationships/hyperlink" Target="https://doi.org/10.1080/10410236.2021.1958983" TargetMode="External"/><Relationship Id="rId530" Type="http://schemas.openxmlformats.org/officeDocument/2006/relationships/hyperlink" Target="http://www.apa.org/pi/about/newsletter/2020/02/black-women-sexual-assault" TargetMode="External"/><Relationship Id="rId726" Type="http://schemas.openxmlformats.org/officeDocument/2006/relationships/image" Target="media/image139.png"/><Relationship Id="rId768" Type="http://schemas.openxmlformats.org/officeDocument/2006/relationships/hyperlink" Target="https://www.doe.mass.edu/sfs/family-engagement-framework.pdf" TargetMode="External"/><Relationship Id="rId20" Type="http://schemas.openxmlformats.org/officeDocument/2006/relationships/image" Target="media/image6.png"/><Relationship Id="rId62" Type="http://schemas.openxmlformats.org/officeDocument/2006/relationships/hyperlink" Target="https://malegislature.gov/Bills/193/S68" TargetMode="External"/><Relationship Id="rId365" Type="http://schemas.openxmlformats.org/officeDocument/2006/relationships/image" Target="media/image79.jpeg"/><Relationship Id="rId572" Type="http://schemas.openxmlformats.org/officeDocument/2006/relationships/image" Target="media/image107.png"/><Relationship Id="rId628" Type="http://schemas.openxmlformats.org/officeDocument/2006/relationships/hyperlink" Target="https://malegislature.gov/Bills/193/SD1907" TargetMode="External"/><Relationship Id="rId835" Type="http://schemas.openxmlformats.org/officeDocument/2006/relationships/header" Target="header51.xml"/><Relationship Id="rId225" Type="http://schemas.openxmlformats.org/officeDocument/2006/relationships/footer" Target="footer16.xml"/><Relationship Id="rId267" Type="http://schemas.openxmlformats.org/officeDocument/2006/relationships/hyperlink" Target="https://lgbtqequity.org/wp-content/uploads/2021/06/Trauma-InformedCare-Final.pdf" TargetMode="External"/><Relationship Id="rId432" Type="http://schemas.openxmlformats.org/officeDocument/2006/relationships/hyperlink" Target="https://www.lgbtqiahealtheducation.org/publication/affirming-primary-care-for-intersex-people-2020/" TargetMode="External"/><Relationship Id="rId474" Type="http://schemas.openxmlformats.org/officeDocument/2006/relationships/hyperlink" Target="https://www.mass.gov/service-details/birth-equity-and-support-through-the-inclusion-of-doula-expertise-beside-investment-program" TargetMode="External"/><Relationship Id="rId877" Type="http://schemas.openxmlformats.org/officeDocument/2006/relationships/footer" Target="footer60.xml"/><Relationship Id="rId127" Type="http://schemas.openxmlformats.org/officeDocument/2006/relationships/hyperlink" Target="https://www.zotero.org/google-docs/?rieokJ" TargetMode="External"/><Relationship Id="rId681" Type="http://schemas.openxmlformats.org/officeDocument/2006/relationships/image" Target="media/image127.jpeg"/><Relationship Id="rId737" Type="http://schemas.openxmlformats.org/officeDocument/2006/relationships/hyperlink" Target="http://www.epa.gov/sciencematters/epa-researchers-release-" TargetMode="External"/><Relationship Id="rId779" Type="http://schemas.openxmlformats.org/officeDocument/2006/relationships/hyperlink" Target="http://www.bu.edu/articles/2023/boston-university-new-lgbtqia-student-resource-center/" TargetMode="External"/><Relationship Id="rId31" Type="http://schemas.openxmlformats.org/officeDocument/2006/relationships/header" Target="header4.xml"/><Relationship Id="rId73" Type="http://schemas.openxmlformats.org/officeDocument/2006/relationships/hyperlink" Target="https://docs.google.com/document/d/1UcEU8Y6eldxBguk7XRQkxMK0vcPJf9kB/edit" TargetMode="External"/><Relationship Id="rId169" Type="http://schemas.openxmlformats.org/officeDocument/2006/relationships/hyperlink" Target="https://malegislature.gov/Bills/193/SD430" TargetMode="External"/><Relationship Id="rId334" Type="http://schemas.openxmlformats.org/officeDocument/2006/relationships/hyperlink" Target="https://doi.org/10.1177/0361684313493252" TargetMode="External"/><Relationship Id="rId376" Type="http://schemas.openxmlformats.org/officeDocument/2006/relationships/hyperlink" Target="https://doi.org/10.1080/26410397.2020.1731298" TargetMode="External"/><Relationship Id="rId541" Type="http://schemas.openxmlformats.org/officeDocument/2006/relationships/hyperlink" Target="https://hrc-prod-requests.s3-us-west-2.amazonaws.com/Call-to-Action-LGBTQ-Sex-Ed-Report-2021.pdf" TargetMode="External"/><Relationship Id="rId583" Type="http://schemas.openxmlformats.org/officeDocument/2006/relationships/image" Target="media/image111.jpeg"/><Relationship Id="rId639" Type="http://schemas.openxmlformats.org/officeDocument/2006/relationships/hyperlink" Target="http://www.aclu.org/report/sex-work-decriminalization-answer-what-research-" TargetMode="External"/><Relationship Id="rId790" Type="http://schemas.openxmlformats.org/officeDocument/2006/relationships/hyperlink" Target="https://www.doe.mass.edu/sfs/lgbtq/GenderIdentity.html" TargetMode="External"/><Relationship Id="rId804" Type="http://schemas.openxmlformats.org/officeDocument/2006/relationships/hyperlink" Target="https://www.mass.gov/doc/quarter-2/download" TargetMode="External"/><Relationship Id="rId4" Type="http://schemas.openxmlformats.org/officeDocument/2006/relationships/webSettings" Target="webSettings.xml"/><Relationship Id="rId180" Type="http://schemas.openxmlformats.org/officeDocument/2006/relationships/image" Target="media/image55.jpeg"/><Relationship Id="rId236" Type="http://schemas.openxmlformats.org/officeDocument/2006/relationships/image" Target="media/image65.jpeg"/><Relationship Id="rId278" Type="http://schemas.openxmlformats.org/officeDocument/2006/relationships/hyperlink" Target="https://www.glsen.org/sites/default/files/2022-10/NSCS-2021-Full-Report.pdf" TargetMode="External"/><Relationship Id="rId401" Type="http://schemas.openxmlformats.org/officeDocument/2006/relationships/header" Target="header24.xml"/><Relationship Id="rId443" Type="http://schemas.openxmlformats.org/officeDocument/2006/relationships/hyperlink" Target="https://birthcontrolpharmacist.com/2020/04/23/contraception-for-your-transgender-patients/" TargetMode="External"/><Relationship Id="rId650" Type="http://schemas.openxmlformats.org/officeDocument/2006/relationships/hyperlink" Target="http://www.gao.gov/products/gao-12-201" TargetMode="External"/><Relationship Id="rId846" Type="http://schemas.openxmlformats.org/officeDocument/2006/relationships/header" Target="header54.xml"/><Relationship Id="rId303" Type="http://schemas.openxmlformats.org/officeDocument/2006/relationships/hyperlink" Target="https://doi.org/10.1542/peds.2018-3367" TargetMode="External"/><Relationship Id="rId485" Type="http://schemas.openxmlformats.org/officeDocument/2006/relationships/hyperlink" Target="https://www.wgbh.org/news/local-news/2022/08/01/new-law-ensures-medication-abortion-access-for-public-university-students-in-mass" TargetMode="External"/><Relationship Id="rId692" Type="http://schemas.openxmlformats.org/officeDocument/2006/relationships/hyperlink" Target="https://mlac.org/funding/immigrantsrightsfund/faq/" TargetMode="External"/><Relationship Id="rId706" Type="http://schemas.openxmlformats.org/officeDocument/2006/relationships/hyperlink" Target="https://www.mass.gov/doc/2021-massachusetts-hate-crime-report/download" TargetMode="External"/><Relationship Id="rId748" Type="http://schemas.openxmlformats.org/officeDocument/2006/relationships/hyperlink" Target="http://www.lgbtqiahealtheducation.org/publication/health-care-considerations-for-two-spirit-and-lgbtqia-indigenous-" TargetMode="External"/><Relationship Id="rId42" Type="http://schemas.openxmlformats.org/officeDocument/2006/relationships/image" Target="media/image26.png"/><Relationship Id="rId84" Type="http://schemas.openxmlformats.org/officeDocument/2006/relationships/hyperlink" Target="http://www.childwelfare.gov/pubPDFs/div-x/product7-direct-financial-assistance.pdf" TargetMode="External"/><Relationship Id="rId138" Type="http://schemas.openxmlformats.org/officeDocument/2006/relationships/header" Target="header7.xml"/><Relationship Id="rId345" Type="http://schemas.openxmlformats.org/officeDocument/2006/relationships/hyperlink" Target="https://doi.org/10.1002/pits.22717" TargetMode="External"/><Relationship Id="rId387" Type="http://schemas.openxmlformats.org/officeDocument/2006/relationships/hyperlink" Target="http://www.bostonglobe.com/2022/12/03/metro/boston-childrens-faced-" TargetMode="External"/><Relationship Id="rId510" Type="http://schemas.openxmlformats.org/officeDocument/2006/relationships/hyperlink" Target="https://malegislature.gov/Bills/193/H1085" TargetMode="External"/><Relationship Id="rId552" Type="http://schemas.openxmlformats.org/officeDocument/2006/relationships/hyperlink" Target="https://www.cdc.gov/teenpregnancy/about/index.htm" TargetMode="External"/><Relationship Id="rId594" Type="http://schemas.openxmlformats.org/officeDocument/2006/relationships/hyperlink" Target="http://www.tribal-institute.org/2014/INCTwo-SpiritBooklet.pdf" TargetMode="External"/><Relationship Id="rId608" Type="http://schemas.openxmlformats.org/officeDocument/2006/relationships/image" Target="media/image118.png"/><Relationship Id="rId815" Type="http://schemas.openxmlformats.org/officeDocument/2006/relationships/hyperlink" Target="https://www.cfsrportal.acf.hhs.gov/resources/round-4-resources/cfsr-round-4-process/advancing-equity-and-inclusion-through-cfsrs" TargetMode="External"/><Relationship Id="rId191" Type="http://schemas.openxmlformats.org/officeDocument/2006/relationships/hyperlink" Target="http://www.tnlr.org/wp-content/uploads/CNA-w-cover-Final.pdf" TargetMode="External"/><Relationship Id="rId205" Type="http://schemas.openxmlformats.org/officeDocument/2006/relationships/header" Target="header13.xml"/><Relationship Id="rId247" Type="http://schemas.openxmlformats.org/officeDocument/2006/relationships/hyperlink" Target="https://www.thetrevorproject.org/survey-2022/assets/static/trevor01_2022survey_final.pdf" TargetMode="External"/><Relationship Id="rId412" Type="http://schemas.openxmlformats.org/officeDocument/2006/relationships/image" Target="media/image87.jpeg"/><Relationship Id="rId857" Type="http://schemas.openxmlformats.org/officeDocument/2006/relationships/hyperlink" Target="https://www.mass.gov/doc/alternative-residency-affidavit-0/download" TargetMode="External"/><Relationship Id="rId107" Type="http://schemas.openxmlformats.org/officeDocument/2006/relationships/hyperlink" Target="https://www.zotero.org/google-docs/?bqqAOu" TargetMode="External"/><Relationship Id="rId289" Type="http://schemas.openxmlformats.org/officeDocument/2006/relationships/hyperlink" Target="https://www.bostonglobe.com/2021/09/06/metro/schools-are-increasing-mental-health-support-this-year-experts-fear-its-still-not-enough/" TargetMode="External"/><Relationship Id="rId454" Type="http://schemas.openxmlformats.org/officeDocument/2006/relationships/hyperlink" Target="https://www.who.int/news-room/fact-sheets/detail/infertility" TargetMode="External"/><Relationship Id="rId496" Type="http://schemas.openxmlformats.org/officeDocument/2006/relationships/hyperlink" Target="https://www.mass.gov/service-details/maternal-mortality-and-morbidity-initiative" TargetMode="External"/><Relationship Id="rId661" Type="http://schemas.openxmlformats.org/officeDocument/2006/relationships/hyperlink" Target="https://transequality.org/sites/default/files/docs/resources/OurMoment_CIR_en.pdf" TargetMode="External"/><Relationship Id="rId717" Type="http://schemas.openxmlformats.org/officeDocument/2006/relationships/header" Target="header37.xml"/><Relationship Id="rId759" Type="http://schemas.openxmlformats.org/officeDocument/2006/relationships/hyperlink" Target="https://malegislature.gov/Bills/193/SD1415" TargetMode="External"/><Relationship Id="rId11" Type="http://schemas.openxmlformats.org/officeDocument/2006/relationships/hyperlink" Target="http://www.mass.gov/annual-recommendations" TargetMode="External"/><Relationship Id="rId53" Type="http://schemas.openxmlformats.org/officeDocument/2006/relationships/image" Target="media/image37.png"/><Relationship Id="rId149" Type="http://schemas.openxmlformats.org/officeDocument/2006/relationships/hyperlink" Target="https://malegislature.gov/Bills/193/HD746" TargetMode="External"/><Relationship Id="rId314" Type="http://schemas.openxmlformats.org/officeDocument/2006/relationships/hyperlink" Target="https://www.thetrevorproject.org/survey-2022/assets/static/trevor01_2022survey_final.pdf" TargetMode="External"/><Relationship Id="rId356" Type="http://schemas.openxmlformats.org/officeDocument/2006/relationships/hyperlink" Target="https://www.glsen.org/sites/default/files/2022-10/NSCS-2021-Full-Report.pdf" TargetMode="External"/><Relationship Id="rId398" Type="http://schemas.openxmlformats.org/officeDocument/2006/relationships/hyperlink" Target="http://www.cigna.com/individuals-families/health-" TargetMode="External"/><Relationship Id="rId521" Type="http://schemas.openxmlformats.org/officeDocument/2006/relationships/image" Target="media/image103.png"/><Relationship Id="rId563" Type="http://schemas.openxmlformats.org/officeDocument/2006/relationships/hyperlink" Target="https://evawintl.org/wp-content/uploads/YoungAdultsWhoExperienceHomelessnessandSexualViolenceMay2017.pdf" TargetMode="External"/><Relationship Id="rId619" Type="http://schemas.openxmlformats.org/officeDocument/2006/relationships/hyperlink" Target="https://malegislature.gov/Bills/193/H1757" TargetMode="External"/><Relationship Id="rId770" Type="http://schemas.openxmlformats.org/officeDocument/2006/relationships/hyperlink" Target="https://www.doe.mass.edu/sfs/family-engagement-framework.pdf" TargetMode="External"/><Relationship Id="rId95" Type="http://schemas.openxmlformats.org/officeDocument/2006/relationships/hyperlink" Target="https://www.zotero.org/google-docs/?OZMUVT" TargetMode="External"/><Relationship Id="rId160" Type="http://schemas.openxmlformats.org/officeDocument/2006/relationships/hyperlink" Target="https://www.doe.mass.edu/sfs/discipline/updated-expectations.docx" TargetMode="External"/><Relationship Id="rId216" Type="http://schemas.openxmlformats.org/officeDocument/2006/relationships/hyperlink" Target="http://www.winthropcasa.org/" TargetMode="External"/><Relationship Id="rId423" Type="http://schemas.openxmlformats.org/officeDocument/2006/relationships/image" Target="media/image92.jpeg"/><Relationship Id="rId826" Type="http://schemas.openxmlformats.org/officeDocument/2006/relationships/header" Target="header48.xml"/><Relationship Id="rId868" Type="http://schemas.openxmlformats.org/officeDocument/2006/relationships/hyperlink" Target="http://www.ala.org/advocacy/bbooks/frequentlychallengedbooks/top10" TargetMode="External"/><Relationship Id="rId258" Type="http://schemas.openxmlformats.org/officeDocument/2006/relationships/hyperlink" Target="https://www.hrc.org/press-releases/human-rights-campaign-working-to-defeat-340-anti-lgbtq-bills-at-state-level-already-150-of-which-target-transgender-people-highest-number-on-record" TargetMode="External"/><Relationship Id="rId465" Type="http://schemas.openxmlformats.org/officeDocument/2006/relationships/hyperlink" Target="https://www.bostonglobe.com/2022/10/09/metro/massachusetts-has-expanded-abortion-rights-even-metro-region-clinics-can-be-distant/" TargetMode="External"/><Relationship Id="rId630" Type="http://schemas.openxmlformats.org/officeDocument/2006/relationships/image" Target="media/image120.jpeg"/><Relationship Id="rId672" Type="http://schemas.openxmlformats.org/officeDocument/2006/relationships/footer" Target="footer35.xml"/><Relationship Id="rId728" Type="http://schemas.openxmlformats.org/officeDocument/2006/relationships/footer" Target="footer37.xml"/><Relationship Id="rId22" Type="http://schemas.openxmlformats.org/officeDocument/2006/relationships/image" Target="media/image8.png"/><Relationship Id="rId64" Type="http://schemas.openxmlformats.org/officeDocument/2006/relationships/hyperlink" Target="https://malegislature.gov/Bills/193/S65" TargetMode="External"/><Relationship Id="rId118" Type="http://schemas.openxmlformats.org/officeDocument/2006/relationships/hyperlink" Target="https://www.zotero.org/google-docs/?ubJ4oC" TargetMode="External"/><Relationship Id="rId325" Type="http://schemas.openxmlformats.org/officeDocument/2006/relationships/hyperlink" Target="https://doi.org/10.1186/s12939-021-01488-1" TargetMode="External"/><Relationship Id="rId367" Type="http://schemas.openxmlformats.org/officeDocument/2006/relationships/image" Target="media/image81.jpeg"/><Relationship Id="rId532" Type="http://schemas.openxmlformats.org/officeDocument/2006/relationships/hyperlink" Target="https://transequality.org/sites/default/files/docs/usts/USTSMAStateReport(1017).pdf" TargetMode="External"/><Relationship Id="rId574" Type="http://schemas.openxmlformats.org/officeDocument/2006/relationships/image" Target="media/image109.png"/><Relationship Id="rId171" Type="http://schemas.openxmlformats.org/officeDocument/2006/relationships/header" Target="header11.xml"/><Relationship Id="rId227" Type="http://schemas.openxmlformats.org/officeDocument/2006/relationships/image" Target="media/image60.jpeg"/><Relationship Id="rId781" Type="http://schemas.openxmlformats.org/officeDocument/2006/relationships/footer" Target="footer42.xml"/><Relationship Id="rId837" Type="http://schemas.openxmlformats.org/officeDocument/2006/relationships/hyperlink" Target="https://www.masshelpline.com/" TargetMode="External"/><Relationship Id="rId879" Type="http://schemas.openxmlformats.org/officeDocument/2006/relationships/header" Target="header62.xml"/><Relationship Id="rId269" Type="http://schemas.openxmlformats.org/officeDocument/2006/relationships/hyperlink" Target="https://doi.org/10.22329/csw.v13i2.5861" TargetMode="External"/><Relationship Id="rId434" Type="http://schemas.openxmlformats.org/officeDocument/2006/relationships/hyperlink" Target="https://fenwayhealth.org/new-study-finds-significant-barriers-to-gender-affirming-primary-care-among-transgender-people-living-in-rural-areas/" TargetMode="External"/><Relationship Id="rId476" Type="http://schemas.openxmlformats.org/officeDocument/2006/relationships/hyperlink" Target="https://www.pewresearch.org/fact-tank/2022/06/24/what-the-data-says-about-abortion-in-the-u-s-2/" TargetMode="External"/><Relationship Id="rId641" Type="http://schemas.openxmlformats.org/officeDocument/2006/relationships/hyperlink" Target="http://www.americanprogress.org/issues/poverty/reports/2014/12/02/102308/one-strike-and-youre-out" TargetMode="External"/><Relationship Id="rId683" Type="http://schemas.openxmlformats.org/officeDocument/2006/relationships/image" Target="media/image129.jpeg"/><Relationship Id="rId739" Type="http://schemas.openxmlformats.org/officeDocument/2006/relationships/hyperlink" Target="http://www.lung.org/clean-air/outdoors/who-is-at-risk/disparities" TargetMode="External"/><Relationship Id="rId33" Type="http://schemas.openxmlformats.org/officeDocument/2006/relationships/image" Target="media/image17.png"/><Relationship Id="rId129" Type="http://schemas.openxmlformats.org/officeDocument/2006/relationships/hyperlink" Target="https://www.zotero.org/google-docs/?cp5FaT" TargetMode="External"/><Relationship Id="rId280" Type="http://schemas.openxmlformats.org/officeDocument/2006/relationships/hyperlink" Target="https://doi.org/10.1007/s10903-021-01162-2" TargetMode="External"/><Relationship Id="rId336" Type="http://schemas.openxmlformats.org/officeDocument/2006/relationships/hyperlink" Target="https://doi.org/10.1111/cdev.13345" TargetMode="External"/><Relationship Id="rId501" Type="http://schemas.openxmlformats.org/officeDocument/2006/relationships/image" Target="media/image94.png"/><Relationship Id="rId543" Type="http://schemas.openxmlformats.org/officeDocument/2006/relationships/hyperlink" Target="https://medlineplus.gov/ency/article/004002.htm" TargetMode="External"/><Relationship Id="rId75" Type="http://schemas.openxmlformats.org/officeDocument/2006/relationships/hyperlink" Target="https://malegislature.gov/Laws/GeneralLaws/PartII/TitleIII/Chapter207/Section7" TargetMode="External"/><Relationship Id="rId140" Type="http://schemas.openxmlformats.org/officeDocument/2006/relationships/header" Target="header8.xml"/><Relationship Id="rId182" Type="http://schemas.openxmlformats.org/officeDocument/2006/relationships/hyperlink" Target="http://www.wbur.org/news/2022/07/29/massachusetts-supervised-drug-site-somerville-plan" TargetMode="External"/><Relationship Id="rId378" Type="http://schemas.openxmlformats.org/officeDocument/2006/relationships/hyperlink" Target="http://www.americanprogress.org/article/key-issues-facing-people-intersex-traits/" TargetMode="External"/><Relationship Id="rId403" Type="http://schemas.openxmlformats.org/officeDocument/2006/relationships/image" Target="media/image82.png"/><Relationship Id="rId585" Type="http://schemas.openxmlformats.org/officeDocument/2006/relationships/image" Target="media/image113.jpeg"/><Relationship Id="rId750" Type="http://schemas.openxmlformats.org/officeDocument/2006/relationships/hyperlink" Target="http://www.chron.com/news/hurricanes/article/Transgender-evacuee-survives-all-obstacles-1931933.php" TargetMode="External"/><Relationship Id="rId792" Type="http://schemas.openxmlformats.org/officeDocument/2006/relationships/hyperlink" Target="https://www.doe.mass.edu/sfs/lgbtq/Principles-SafeEnvironment.html" TargetMode="External"/><Relationship Id="rId806" Type="http://schemas.openxmlformats.org/officeDocument/2006/relationships/footer" Target="footer45.xml"/><Relationship Id="rId848" Type="http://schemas.openxmlformats.org/officeDocument/2006/relationships/hyperlink" Target="http://www.mass.gov/doc/2021-ori-annual-" TargetMode="External"/><Relationship Id="rId6" Type="http://schemas.openxmlformats.org/officeDocument/2006/relationships/endnotes" Target="endnotes.xml"/><Relationship Id="rId238" Type="http://schemas.openxmlformats.org/officeDocument/2006/relationships/image" Target="media/image67.png"/><Relationship Id="rId445" Type="http://schemas.openxmlformats.org/officeDocument/2006/relationships/hyperlink" Target="https://doi.org/10.1016/j.whi.2019.10.007" TargetMode="External"/><Relationship Id="rId487" Type="http://schemas.openxmlformats.org/officeDocument/2006/relationships/hyperlink" Target="http://www.mass.gov/news/governor-healey-announces-immediate-action-to-protect-access-to-" TargetMode="External"/><Relationship Id="rId610" Type="http://schemas.openxmlformats.org/officeDocument/2006/relationships/header" Target="header34.xml"/><Relationship Id="rId652" Type="http://schemas.openxmlformats.org/officeDocument/2006/relationships/hyperlink" Target="http://www.lambdalegal.org/node/30521" TargetMode="External"/><Relationship Id="rId694" Type="http://schemas.openxmlformats.org/officeDocument/2006/relationships/hyperlink" Target="http://www.wgbh.org/news/local-news/2023/01/05/massachusetts-sheriff-ends-enforcement-agreement-with-ice" TargetMode="External"/><Relationship Id="rId708" Type="http://schemas.openxmlformats.org/officeDocument/2006/relationships/hyperlink" Target="http://www.wbur.org/news/2020/04/07/coronavirus-translation-problems" TargetMode="External"/><Relationship Id="rId291" Type="http://schemas.openxmlformats.org/officeDocument/2006/relationships/hyperlink" Target="https://doi.org/10.1007/s10464-011-9424-3" TargetMode="External"/><Relationship Id="rId305" Type="http://schemas.openxmlformats.org/officeDocument/2006/relationships/hyperlink" Target="https://doi.org/10.1080/15374416.2020.1815207" TargetMode="External"/><Relationship Id="rId347" Type="http://schemas.openxmlformats.org/officeDocument/2006/relationships/hyperlink" Target="https://fenwayhealth.org/wp-content/uploads/Anti-trans-legislation-policy-brief-FINAL.pdf" TargetMode="External"/><Relationship Id="rId512" Type="http://schemas.openxmlformats.org/officeDocument/2006/relationships/hyperlink" Target="https://malegislature.gov/Bills/193/HD3254" TargetMode="External"/><Relationship Id="rId44" Type="http://schemas.openxmlformats.org/officeDocument/2006/relationships/image" Target="media/image28.png"/><Relationship Id="rId86" Type="http://schemas.openxmlformats.org/officeDocument/2006/relationships/hyperlink" Target="http://www.npr.org/2021/04/22/988806806/state-foster-care-agencies-take-millions-of-dollars-owed-to-children-in-their-ca" TargetMode="External"/><Relationship Id="rId151" Type="http://schemas.openxmlformats.org/officeDocument/2006/relationships/image" Target="media/image46.jpeg"/><Relationship Id="rId389" Type="http://schemas.openxmlformats.org/officeDocument/2006/relationships/hyperlink" Target="http://www.npr.org/2022/11/28/1138396067/transgender-youth-" TargetMode="External"/><Relationship Id="rId554" Type="http://schemas.openxmlformats.org/officeDocument/2006/relationships/hyperlink" Target="https://instrc.indiana.edu/pdf/resources/Fact_Sheet_Teen_Pregnancy_with_Disability.pdf" TargetMode="External"/><Relationship Id="rId596" Type="http://schemas.openxmlformats.org/officeDocument/2006/relationships/hyperlink" Target="http://www.mass.gov/doc/2019-massachusetts-youth-count/download" TargetMode="External"/><Relationship Id="rId761" Type="http://schemas.openxmlformats.org/officeDocument/2006/relationships/hyperlink" Target="https://malegislature.gov/Bills/193/SD316" TargetMode="External"/><Relationship Id="rId817" Type="http://schemas.openxmlformats.org/officeDocument/2006/relationships/hyperlink" Target="https://www.mass.gov/doc/oca-annual-report-fiscal-year-2022/download" TargetMode="External"/><Relationship Id="rId859" Type="http://schemas.openxmlformats.org/officeDocument/2006/relationships/footer" Target="footer57.xml"/><Relationship Id="rId193" Type="http://schemas.openxmlformats.org/officeDocument/2006/relationships/hyperlink" Target="http://www.urban.org/research/publication/access-safety-health-outcomes-substance-use-and-abuse-and-service-" TargetMode="External"/><Relationship Id="rId207" Type="http://schemas.openxmlformats.org/officeDocument/2006/relationships/hyperlink" Target="http://www.mass.gov/info-" TargetMode="External"/><Relationship Id="rId249" Type="http://schemas.openxmlformats.org/officeDocument/2006/relationships/hyperlink" Target="https://www.thetrevorproject.org/wp-content/uploads/2022/12/The-Trevor-Project-2022-National-Survey-on-LGBTQ-Youth-Mental-Health-by-State-Massachusetts.pdf" TargetMode="External"/><Relationship Id="rId414" Type="http://schemas.openxmlformats.org/officeDocument/2006/relationships/image" Target="media/image89.jpeg"/><Relationship Id="rId456" Type="http://schemas.openxmlformats.org/officeDocument/2006/relationships/hyperlink" Target="https://doi.org/10.1016/j.xfre.2020.11.001" TargetMode="External"/><Relationship Id="rId498" Type="http://schemas.openxmlformats.org/officeDocument/2006/relationships/header" Target="header27.xml"/><Relationship Id="rId621" Type="http://schemas.openxmlformats.org/officeDocument/2006/relationships/hyperlink" Target="https://malegislature.gov/Bills/193/H1758" TargetMode="External"/><Relationship Id="rId663" Type="http://schemas.openxmlformats.org/officeDocument/2006/relationships/hyperlink" Target="http://www.nclrights.org/wp-" TargetMode="External"/><Relationship Id="rId870" Type="http://schemas.openxmlformats.org/officeDocument/2006/relationships/hyperlink" Target="http://www.aclum.org/en/news/aclu-glad-urge-massachusetts-schools-reject-calls-book-" TargetMode="External"/><Relationship Id="rId13" Type="http://schemas.openxmlformats.org/officeDocument/2006/relationships/header" Target="header1.xml"/><Relationship Id="rId109" Type="http://schemas.openxmlformats.org/officeDocument/2006/relationships/hyperlink" Target="https://www.zotero.org/google-docs/?j0AacR" TargetMode="External"/><Relationship Id="rId260" Type="http://schemas.openxmlformats.org/officeDocument/2006/relationships/hyperlink" Target="https://www.thetrevorproject.org/survey-2022/assets/static/trevor01_2022survey_final.pdf" TargetMode="External"/><Relationship Id="rId316" Type="http://schemas.openxmlformats.org/officeDocument/2006/relationships/hyperlink" Target="https://doi.org/10.1007/s11121-021-01291-y" TargetMode="External"/><Relationship Id="rId523" Type="http://schemas.openxmlformats.org/officeDocument/2006/relationships/image" Target="media/image105.jpeg"/><Relationship Id="rId719" Type="http://schemas.openxmlformats.org/officeDocument/2006/relationships/image" Target="media/image132.png"/><Relationship Id="rId55" Type="http://schemas.openxmlformats.org/officeDocument/2006/relationships/header" Target="header5.xml"/><Relationship Id="rId97" Type="http://schemas.openxmlformats.org/officeDocument/2006/relationships/hyperlink" Target="https://www.zotero.org/google-docs/?tdiEB6" TargetMode="External"/><Relationship Id="rId120" Type="http://schemas.openxmlformats.org/officeDocument/2006/relationships/hyperlink" Target="https://www.zotero.org/google-docs/?jBPUHJ" TargetMode="External"/><Relationship Id="rId358" Type="http://schemas.openxmlformats.org/officeDocument/2006/relationships/footer" Target="footer21.xml"/><Relationship Id="rId565" Type="http://schemas.openxmlformats.org/officeDocument/2006/relationships/hyperlink" Target="https://transequality.org/blog/federal-survey-40-of-transgender-prisoners-are-sexually-abused-each-year" TargetMode="External"/><Relationship Id="rId730" Type="http://schemas.openxmlformats.org/officeDocument/2006/relationships/hyperlink" Target="http://www.ienearth.org/about/" TargetMode="External"/><Relationship Id="rId772" Type="http://schemas.openxmlformats.org/officeDocument/2006/relationships/header" Target="header42.xml"/><Relationship Id="rId828" Type="http://schemas.openxmlformats.org/officeDocument/2006/relationships/header" Target="header49.xml"/><Relationship Id="rId162" Type="http://schemas.openxmlformats.org/officeDocument/2006/relationships/hyperlink" Target="http://www.welcomingschools.org/" TargetMode="External"/><Relationship Id="rId218" Type="http://schemas.openxmlformats.org/officeDocument/2006/relationships/footer" Target="footer14.xml"/><Relationship Id="rId425" Type="http://schemas.openxmlformats.org/officeDocument/2006/relationships/hyperlink" Target="https://doi.org/10.1037/ort0000306" TargetMode="External"/><Relationship Id="rId467" Type="http://schemas.openxmlformats.org/officeDocument/2006/relationships/hyperlink" Target="https://www.mass.gov/news/masshealths-extended-12-month-postpartum-coverage-approved-by-the-federal-centers-for-medicare-medicaid-services" TargetMode="External"/><Relationship Id="rId632" Type="http://schemas.openxmlformats.org/officeDocument/2006/relationships/image" Target="media/image122.jpeg"/><Relationship Id="rId271" Type="http://schemas.openxmlformats.org/officeDocument/2006/relationships/hyperlink" Target="https://doi.org/10.1080/15374416.2021.1941058" TargetMode="External"/><Relationship Id="rId674" Type="http://schemas.openxmlformats.org/officeDocument/2006/relationships/hyperlink" Target="https://malegislature.gov/Bills/193/S1510" TargetMode="External"/><Relationship Id="rId881" Type="http://schemas.openxmlformats.org/officeDocument/2006/relationships/header" Target="header63.xml"/><Relationship Id="rId24" Type="http://schemas.openxmlformats.org/officeDocument/2006/relationships/image" Target="media/image10.png"/><Relationship Id="rId66" Type="http://schemas.openxmlformats.org/officeDocument/2006/relationships/hyperlink" Target="https://malegislature.gov/Bills/193/SD1088" TargetMode="External"/><Relationship Id="rId131" Type="http://schemas.openxmlformats.org/officeDocument/2006/relationships/hyperlink" Target="https://www.zotero.org/google-docs/?cp5FaT" TargetMode="External"/><Relationship Id="rId327" Type="http://schemas.openxmlformats.org/officeDocument/2006/relationships/footer" Target="footer19.xml"/><Relationship Id="rId369" Type="http://schemas.openxmlformats.org/officeDocument/2006/relationships/hyperlink" Target="https://www.whitehouse.gov/ostp/news-updates/2023/01/24/fact-sheet-biden-harris-administration-releases-first-ever-federal-evidence-agenda-on-lgbtqi-equity/" TargetMode="External"/><Relationship Id="rId534" Type="http://schemas.openxmlformats.org/officeDocument/2006/relationships/hyperlink" Target="http://www.lgbtmap.org/2021-spotlight-health-care-bans-infographics" TargetMode="External"/><Relationship Id="rId576" Type="http://schemas.openxmlformats.org/officeDocument/2006/relationships/header" Target="header32.xml"/><Relationship Id="rId741" Type="http://schemas.openxmlformats.org/officeDocument/2006/relationships/hyperlink" Target="http://www.cdc.gov/tobacco/health-equity/lgbtq/index.html" TargetMode="External"/><Relationship Id="rId783" Type="http://schemas.openxmlformats.org/officeDocument/2006/relationships/hyperlink" Target="https://www.doe.mass.edu/sfs/lgbtq/genderidentity.html" TargetMode="External"/><Relationship Id="rId839" Type="http://schemas.openxmlformats.org/officeDocument/2006/relationships/header" Target="header52.xml"/><Relationship Id="rId173" Type="http://schemas.openxmlformats.org/officeDocument/2006/relationships/image" Target="media/image50.jpeg"/><Relationship Id="rId229" Type="http://schemas.openxmlformats.org/officeDocument/2006/relationships/footer" Target="footer17.xml"/><Relationship Id="rId380" Type="http://schemas.openxmlformats.org/officeDocument/2006/relationships/hyperlink" Target="http://www.massmed.org/News/Press-Releases/Massachusetts-Medical-Society-announces-policies-on-opioid-use-disorder" TargetMode="External"/><Relationship Id="rId436" Type="http://schemas.openxmlformats.org/officeDocument/2006/relationships/hyperlink" Target="https://doi.org/10.1016/j.jpag.2022.01.015" TargetMode="External"/><Relationship Id="rId601" Type="http://schemas.openxmlformats.org/officeDocument/2006/relationships/hyperlink" Target="http://www.americanprogress.org/article/expanding-id-card-access-for-lgbt-homeless-youth/" TargetMode="External"/><Relationship Id="rId643" Type="http://schemas.openxmlformats.org/officeDocument/2006/relationships/hyperlink" Target="http://avp.org/wp-" TargetMode="External"/><Relationship Id="rId240" Type="http://schemas.openxmlformats.org/officeDocument/2006/relationships/image" Target="media/image69.png"/><Relationship Id="rId478" Type="http://schemas.openxmlformats.org/officeDocument/2006/relationships/hyperlink" Target="https://www.guttmacher.org/fact-sheet/state-facts-about-abortion-massachusetts" TargetMode="External"/><Relationship Id="rId685" Type="http://schemas.openxmlformats.org/officeDocument/2006/relationships/hyperlink" Target="https://malegislature.gov/Bills/193/HD1964" TargetMode="External"/><Relationship Id="rId850" Type="http://schemas.openxmlformats.org/officeDocument/2006/relationships/header" Target="header55.xml"/><Relationship Id="rId35" Type="http://schemas.openxmlformats.org/officeDocument/2006/relationships/image" Target="media/image19.png"/><Relationship Id="rId77" Type="http://schemas.openxmlformats.org/officeDocument/2006/relationships/hyperlink" Target="https://friendsofchildreninc.org/child-welfare-oversight-myths/" TargetMode="External"/><Relationship Id="rId100" Type="http://schemas.openxmlformats.org/officeDocument/2006/relationships/hyperlink" Target="https://www.zotero.org/google-docs/?NNpBpm" TargetMode="External"/><Relationship Id="rId282" Type="http://schemas.openxmlformats.org/officeDocument/2006/relationships/hyperlink" Target="https://www.thetrevorproject.org/wp-content/uploads/2021/07/Trevor-Project-First-Generation-Research-Brief.pdf" TargetMode="External"/><Relationship Id="rId338" Type="http://schemas.openxmlformats.org/officeDocument/2006/relationships/hyperlink" Target="https://www.nbcnews.com/think/opinion/covid-s-mental-health-toll-makes-therapists-hard-find-insurance-ncna1286502" TargetMode="External"/><Relationship Id="rId503" Type="http://schemas.openxmlformats.org/officeDocument/2006/relationships/image" Target="media/image96.png"/><Relationship Id="rId545" Type="http://schemas.openxmlformats.org/officeDocument/2006/relationships/header" Target="header29.xml"/><Relationship Id="rId587" Type="http://schemas.openxmlformats.org/officeDocument/2006/relationships/image" Target="media/image115.jpeg"/><Relationship Id="rId710" Type="http://schemas.openxmlformats.org/officeDocument/2006/relationships/hyperlink" Target="http://www.nilc.org/issues/economic-support/quick-guide-aca-means-tested-programs/" TargetMode="External"/><Relationship Id="rId752" Type="http://schemas.openxmlformats.org/officeDocument/2006/relationships/footer" Target="footer38.xml"/><Relationship Id="rId808" Type="http://schemas.openxmlformats.org/officeDocument/2006/relationships/hyperlink" Target="http://www.mapresearch.org/file/Under%20Fire%20report_MAP%202023.pdf" TargetMode="External"/><Relationship Id="rId8" Type="http://schemas.openxmlformats.org/officeDocument/2006/relationships/image" Target="media/image2.png"/><Relationship Id="rId142" Type="http://schemas.openxmlformats.org/officeDocument/2006/relationships/image" Target="media/image41.png"/><Relationship Id="rId184" Type="http://schemas.openxmlformats.org/officeDocument/2006/relationships/hyperlink" Target="http://www.acha.org/HealthyCampus/HealthyCampus/Ecological_Model.aspx" TargetMode="External"/><Relationship Id="rId391" Type="http://schemas.openxmlformats.org/officeDocument/2006/relationships/hyperlink" Target="http://www.glad.org/post/advocates-praise-ma-protection-for-abortion-gender-affirming-care/" TargetMode="External"/><Relationship Id="rId405" Type="http://schemas.openxmlformats.org/officeDocument/2006/relationships/image" Target="media/image84.png"/><Relationship Id="rId447" Type="http://schemas.openxmlformats.org/officeDocument/2006/relationships/hyperlink" Target="https://doi.org/10.1007/s10995-018-2595-x" TargetMode="External"/><Relationship Id="rId612" Type="http://schemas.openxmlformats.org/officeDocument/2006/relationships/hyperlink" Target="https://malegislature.gov/Bills/193/SD447" TargetMode="External"/><Relationship Id="rId794" Type="http://schemas.openxmlformats.org/officeDocument/2006/relationships/footer" Target="footer43.xml"/><Relationship Id="rId251" Type="http://schemas.openxmlformats.org/officeDocument/2006/relationships/hyperlink" Target="https://www.thetrevorproject.org/wp-content/uploads/2022/12/The-Trevor-Project-2022-National-Survey-on-LGBTQ-Youth-Mental-Health-by-State-Massachusetts.pdf" TargetMode="External"/><Relationship Id="rId489" Type="http://schemas.openxmlformats.org/officeDocument/2006/relationships/hyperlink" Target="https://www.mass.gov/info-details/access-to-birth-control-and-emergency-contraception" TargetMode="External"/><Relationship Id="rId654" Type="http://schemas.openxmlformats.org/officeDocument/2006/relationships/hyperlink" Target="http://www.hivlawandpolicy.org/sites/default/files/TS%20LRM%20Dec.%202010.pdf" TargetMode="External"/><Relationship Id="rId696" Type="http://schemas.openxmlformats.org/officeDocument/2006/relationships/hyperlink" Target="http://www.lirs.org/causes-of-immigration/" TargetMode="External"/><Relationship Id="rId861" Type="http://schemas.openxmlformats.org/officeDocument/2006/relationships/hyperlink" Target="http://www.mass.gov/news/massachusetts-allows-nonbinary-marker-on-licenses-ids" TargetMode="External"/><Relationship Id="rId46" Type="http://schemas.openxmlformats.org/officeDocument/2006/relationships/image" Target="media/image30.png"/><Relationship Id="rId293" Type="http://schemas.openxmlformats.org/officeDocument/2006/relationships/hyperlink" Target="https://doi.org/10.1007/s10803-022-05517-y" TargetMode="External"/><Relationship Id="rId307" Type="http://schemas.openxmlformats.org/officeDocument/2006/relationships/hyperlink" Target="https://doi.org/10.1080/10538720.2020.1836704" TargetMode="External"/><Relationship Id="rId349" Type="http://schemas.openxmlformats.org/officeDocument/2006/relationships/footer" Target="footer20.xml"/><Relationship Id="rId514" Type="http://schemas.openxmlformats.org/officeDocument/2006/relationships/hyperlink" Target="https://malegislature.gov/Bills/193/SD1171" TargetMode="External"/><Relationship Id="rId556" Type="http://schemas.openxmlformats.org/officeDocument/2006/relationships/hyperlink" Target="https://www.guttmacher.org/article/2019/12/sexual-orientation-differences-pregnancy-and-abortion-across-lifecourse" TargetMode="External"/><Relationship Id="rId721" Type="http://schemas.openxmlformats.org/officeDocument/2006/relationships/image" Target="media/image134.png"/><Relationship Id="rId763" Type="http://schemas.openxmlformats.org/officeDocument/2006/relationships/hyperlink" Target="http://www.whitehouse.gov/ostp/news-updates/2023/01/24/fact-sheet-biden-harris-" TargetMode="External"/><Relationship Id="rId88" Type="http://schemas.openxmlformats.org/officeDocument/2006/relationships/hyperlink" Target="https://www.zotero.org/google-docs/?qu2vFq" TargetMode="External"/><Relationship Id="rId111" Type="http://schemas.openxmlformats.org/officeDocument/2006/relationships/hyperlink" Target="https://www.zotero.org/google-docs/?j0AacR" TargetMode="External"/><Relationship Id="rId153" Type="http://schemas.openxmlformats.org/officeDocument/2006/relationships/hyperlink" Target="http://www.aclu.org/legislative-attacks-on-lgbtq-rights" TargetMode="External"/><Relationship Id="rId195" Type="http://schemas.openxmlformats.org/officeDocument/2006/relationships/footer" Target="footer11.xml"/><Relationship Id="rId209" Type="http://schemas.openxmlformats.org/officeDocument/2006/relationships/hyperlink" Target="http://www.mass.gov/info-" TargetMode="External"/><Relationship Id="rId360" Type="http://schemas.openxmlformats.org/officeDocument/2006/relationships/image" Target="media/image76.png"/><Relationship Id="rId416" Type="http://schemas.openxmlformats.org/officeDocument/2006/relationships/hyperlink" Target="https://malegislature.gov/Bills/193/H1240" TargetMode="External"/><Relationship Id="rId598" Type="http://schemas.openxmlformats.org/officeDocument/2006/relationships/hyperlink" Target="http://www.mass.gov/doc/quarter-2/download" TargetMode="External"/><Relationship Id="rId819" Type="http://schemas.openxmlformats.org/officeDocument/2006/relationships/hyperlink" Target="http://www.mass.gov/doc/mclgbtqy-annual-recommendations-fy-2023/download" TargetMode="External"/><Relationship Id="rId220" Type="http://schemas.openxmlformats.org/officeDocument/2006/relationships/footer" Target="footer15.xml"/><Relationship Id="rId458" Type="http://schemas.openxmlformats.org/officeDocument/2006/relationships/hyperlink" Target="https://www.advisory.com/Daily-Briefing/2018/11/09/maternal-mortality" TargetMode="External"/><Relationship Id="rId623" Type="http://schemas.openxmlformats.org/officeDocument/2006/relationships/hyperlink" Target="https://malegislature.gov/Bills/193/HD3099" TargetMode="External"/><Relationship Id="rId665" Type="http://schemas.openxmlformats.org/officeDocument/2006/relationships/footer" Target="footer34.xml"/><Relationship Id="rId830" Type="http://schemas.openxmlformats.org/officeDocument/2006/relationships/hyperlink" Target="http://www.thetrevorproject.org/research-briefs/mental-health-of-deaf-lgbtq-youth-mar-2022/" TargetMode="External"/><Relationship Id="rId872" Type="http://schemas.openxmlformats.org/officeDocument/2006/relationships/footer" Target="footer59.xml"/><Relationship Id="rId15" Type="http://schemas.openxmlformats.org/officeDocument/2006/relationships/footer" Target="footer1.xml"/><Relationship Id="rId57" Type="http://schemas.openxmlformats.org/officeDocument/2006/relationships/hyperlink" Target="https://malegislature.gov/Bills/192/H3954" TargetMode="External"/><Relationship Id="rId262" Type="http://schemas.openxmlformats.org/officeDocument/2006/relationships/hyperlink" Target="https://doi.org/10.1007/s10865-013-9523-8" TargetMode="External"/><Relationship Id="rId318" Type="http://schemas.openxmlformats.org/officeDocument/2006/relationships/hyperlink" Target="https://doi.org/10.1111/cdev.13345" TargetMode="External"/><Relationship Id="rId525" Type="http://schemas.openxmlformats.org/officeDocument/2006/relationships/hyperlink" Target="http://www.who.int/health-topics/sexual-health" TargetMode="External"/><Relationship Id="rId567" Type="http://schemas.openxmlformats.org/officeDocument/2006/relationships/header" Target="header30.xml"/><Relationship Id="rId732" Type="http://schemas.openxmlformats.org/officeDocument/2006/relationships/hyperlink" Target="http://www.hcn.org/issues/54.7/indigenous-affairs-perspective-environmental-justice-is-only-the-beginning" TargetMode="External"/><Relationship Id="rId99" Type="http://schemas.openxmlformats.org/officeDocument/2006/relationships/hyperlink" Target="https://www.zotero.org/google-docs/?NNpBpm" TargetMode="External"/><Relationship Id="rId122" Type="http://schemas.openxmlformats.org/officeDocument/2006/relationships/hyperlink" Target="https://www.zotero.org/google-docs/?oMA58k" TargetMode="External"/><Relationship Id="rId164" Type="http://schemas.openxmlformats.org/officeDocument/2006/relationships/header" Target="header10.xml"/><Relationship Id="rId371" Type="http://schemas.openxmlformats.org/officeDocument/2006/relationships/hyperlink" Target="http://www.who.int/standards/classifications/frequently-asked-questions/gender-incongruence-and-transgender-health-in-" TargetMode="External"/><Relationship Id="rId774" Type="http://schemas.openxmlformats.org/officeDocument/2006/relationships/hyperlink" Target="http://www.campuspride.org/" TargetMode="External"/><Relationship Id="rId427" Type="http://schemas.openxmlformats.org/officeDocument/2006/relationships/hyperlink" Target="https://doi.org/10.1016/j.whi.2018.03.002" TargetMode="External"/><Relationship Id="rId469" Type="http://schemas.openxmlformats.org/officeDocument/2006/relationships/hyperlink" Target="https://doi.org/10.3389/fpubh.2021.664659" TargetMode="External"/><Relationship Id="rId634" Type="http://schemas.openxmlformats.org/officeDocument/2006/relationships/hyperlink" Target="http://www.lgbtmap.org/file/lgbtq-incarcerated-youth.pdf" TargetMode="External"/><Relationship Id="rId676" Type="http://schemas.openxmlformats.org/officeDocument/2006/relationships/hyperlink" Target="https://malegislature.gov/Bills/193/S817" TargetMode="External"/><Relationship Id="rId841" Type="http://schemas.openxmlformats.org/officeDocument/2006/relationships/hyperlink" Target="https://www.mass.gov/service-details/the-safe-spaces-for-lgbtqia-youth-program-engage-youth-who-are-lgbtqia" TargetMode="External"/><Relationship Id="rId883" Type="http://schemas.openxmlformats.org/officeDocument/2006/relationships/header" Target="header64.xml"/><Relationship Id="rId26" Type="http://schemas.openxmlformats.org/officeDocument/2006/relationships/image" Target="media/image12.png"/><Relationship Id="rId231" Type="http://schemas.openxmlformats.org/officeDocument/2006/relationships/footer" Target="footer18.xml"/><Relationship Id="rId273" Type="http://schemas.openxmlformats.org/officeDocument/2006/relationships/hyperlink" Target="http://www.colorado.edu/journal/assembly/2019/06/30/necessity-intentionally-closed-spaces-lgbtq-youth-color" TargetMode="External"/><Relationship Id="rId329" Type="http://schemas.openxmlformats.org/officeDocument/2006/relationships/hyperlink" Target="https://www.rescriptedjri.org/" TargetMode="External"/><Relationship Id="rId480" Type="http://schemas.openxmlformats.org/officeDocument/2006/relationships/hyperlink" Target="https://www.mass.gov/info-details/massachusetts-law-about-abortion" TargetMode="External"/><Relationship Id="rId536" Type="http://schemas.openxmlformats.org/officeDocument/2006/relationships/hyperlink" Target="https://doi.org/10.1016/S2352-4642(22)00254-1" TargetMode="External"/><Relationship Id="rId701" Type="http://schemas.openxmlformats.org/officeDocument/2006/relationships/hyperlink" Target="https://psycnet.apa.org/doi/10.1037/lat0000001" TargetMode="External"/><Relationship Id="rId68" Type="http://schemas.openxmlformats.org/officeDocument/2006/relationships/hyperlink" Target="https://malegislature.gov/Bills/193/S78/BillHistory" TargetMode="External"/><Relationship Id="rId133" Type="http://schemas.openxmlformats.org/officeDocument/2006/relationships/hyperlink" Target="https://www.zotero.org/google-docs/?VbP7s2" TargetMode="External"/><Relationship Id="rId175" Type="http://schemas.openxmlformats.org/officeDocument/2006/relationships/hyperlink" Target="https://malegislature.gov/Bills/193/HD3874" TargetMode="External"/><Relationship Id="rId340" Type="http://schemas.openxmlformats.org/officeDocument/2006/relationships/hyperlink" Target="https://doi.org/10.1111/jcpp.12937" TargetMode="External"/><Relationship Id="rId578" Type="http://schemas.openxmlformats.org/officeDocument/2006/relationships/hyperlink" Target="https://malegislature.gov/Bills/193/SD1332" TargetMode="External"/><Relationship Id="rId743" Type="http://schemas.openxmlformats.org/officeDocument/2006/relationships/hyperlink" Target="http://www.cdc.gov/healthyyouth/data/yrbs/index.htm" TargetMode="External"/><Relationship Id="rId785" Type="http://schemas.openxmlformats.org/officeDocument/2006/relationships/hyperlink" Target="https://www.doe.mass.edu/sfs/lgbtq/Principles-SafeEnvironment.html" TargetMode="External"/><Relationship Id="rId200" Type="http://schemas.openxmlformats.org/officeDocument/2006/relationships/hyperlink" Target="http://www.thetrevorproject.org/wp-content/uploads/2021/05/The-Trevor-Project-National-Survey-Results-2021.pdf" TargetMode="External"/><Relationship Id="rId382" Type="http://schemas.openxmlformats.org/officeDocument/2006/relationships/hyperlink" Target="http://www.who.int/health-topics/social-determinants-of-health" TargetMode="External"/><Relationship Id="rId438" Type="http://schemas.openxmlformats.org/officeDocument/2006/relationships/hyperlink" Target="https://ywcasema.org/menstrual-access-advocacy-project/" TargetMode="External"/><Relationship Id="rId603" Type="http://schemas.openxmlformats.org/officeDocument/2006/relationships/hyperlink" Target="http://www.tandfonline.com/doi/abs/10.1080/10999922.2018.1446629?journalCode=mpin20" TargetMode="External"/><Relationship Id="rId645" Type="http://schemas.openxmlformats.org/officeDocument/2006/relationships/hyperlink" Target="http://www.nclrights.org/our-work/racial-economic-justice/criminalization-incarceration" TargetMode="External"/><Relationship Id="rId687" Type="http://schemas.openxmlformats.org/officeDocument/2006/relationships/image" Target="media/image131.jpeg"/><Relationship Id="rId810" Type="http://schemas.openxmlformats.org/officeDocument/2006/relationships/hyperlink" Target="http://www.masslive.com/news/2022/04/parents-file-federal-lawsuit-against-ludlow-school-" TargetMode="External"/><Relationship Id="rId852" Type="http://schemas.openxmlformats.org/officeDocument/2006/relationships/hyperlink" Target="http://www.mass.gov/doc/2022-youth-count-report/download" TargetMode="External"/><Relationship Id="rId242" Type="http://schemas.openxmlformats.org/officeDocument/2006/relationships/image" Target="media/image71.png"/><Relationship Id="rId284" Type="http://schemas.openxmlformats.org/officeDocument/2006/relationships/hyperlink" Target="https://doi.org/10.1007/s13524-019-00770-w" TargetMode="External"/><Relationship Id="rId491" Type="http://schemas.openxmlformats.org/officeDocument/2006/relationships/hyperlink" Target="https://www.mass.gov/info-details/dph-funded-family-planning-programs" TargetMode="External"/><Relationship Id="rId505" Type="http://schemas.openxmlformats.org/officeDocument/2006/relationships/header" Target="header28.xml"/><Relationship Id="rId712" Type="http://schemas.openxmlformats.org/officeDocument/2006/relationships/hyperlink" Target="http://www.kff.org/racial-equity-and-" TargetMode="External"/><Relationship Id="rId37" Type="http://schemas.openxmlformats.org/officeDocument/2006/relationships/image" Target="media/image21.png"/><Relationship Id="rId79" Type="http://schemas.openxmlformats.org/officeDocument/2006/relationships/hyperlink" Target="https://docs.google.com/document/d/1UcEU8Y6eldxBguk7XRQkxMK0vcPJf9kB/edit" TargetMode="External"/><Relationship Id="rId102" Type="http://schemas.openxmlformats.org/officeDocument/2006/relationships/hyperlink" Target="https://www.zotero.org/google-docs/?uPJj8h" TargetMode="External"/><Relationship Id="rId144" Type="http://schemas.openxmlformats.org/officeDocument/2006/relationships/image" Target="media/image43.png"/><Relationship Id="rId547" Type="http://schemas.openxmlformats.org/officeDocument/2006/relationships/hyperlink" Target="https://evawintl.org/wp-content/uploads/YoungAdultsWhoExperienceHomelessnessandSexualViolenceMay2017.pdf" TargetMode="External"/><Relationship Id="rId589" Type="http://schemas.openxmlformats.org/officeDocument/2006/relationships/hyperlink" Target="http://www.americanbar.org/groups/litigation/committees/childrens-rights/articles/2017/fall2017-proving-i-exist-" TargetMode="External"/><Relationship Id="rId754" Type="http://schemas.openxmlformats.org/officeDocument/2006/relationships/image" Target="media/image141.png"/><Relationship Id="rId796" Type="http://schemas.openxmlformats.org/officeDocument/2006/relationships/header" Target="header45.xml"/><Relationship Id="rId90" Type="http://schemas.openxmlformats.org/officeDocument/2006/relationships/hyperlink" Target="https://www.zotero.org/google-docs/?R8ZSPG" TargetMode="External"/><Relationship Id="rId186" Type="http://schemas.openxmlformats.org/officeDocument/2006/relationships/hyperlink" Target="http://www.lgbtqiahealtheducation.org/publication/ready-set-go-a-guide-for-collecting-data-on-sexual-" TargetMode="External"/><Relationship Id="rId351" Type="http://schemas.openxmlformats.org/officeDocument/2006/relationships/hyperlink" Target="https://www.thetrevorproject.org/wp-content/uploads/2022/01/TrevorProject_Public1.pdf" TargetMode="External"/><Relationship Id="rId393" Type="http://schemas.openxmlformats.org/officeDocument/2006/relationships/hyperlink" Target="http://www.bostonglobe.com/2022/07/04/opinion/gender-affirming-health-care-is-simply-good-health-care/" TargetMode="External"/><Relationship Id="rId407" Type="http://schemas.openxmlformats.org/officeDocument/2006/relationships/footer" Target="footer24.xml"/><Relationship Id="rId449" Type="http://schemas.openxmlformats.org/officeDocument/2006/relationships/hyperlink" Target="https://doi.org/10.1089/jwh.2020.8880" TargetMode="External"/><Relationship Id="rId614" Type="http://schemas.openxmlformats.org/officeDocument/2006/relationships/hyperlink" Target="https://malegislature.gov/Bills/193/SD815" TargetMode="External"/><Relationship Id="rId656" Type="http://schemas.openxmlformats.org/officeDocument/2006/relationships/hyperlink" Target="https://www.prearesourcecenter.org/sites/default/files/library/55-preapresentationpreareportucijennessetal.pdf" TargetMode="External"/><Relationship Id="rId821" Type="http://schemas.openxmlformats.org/officeDocument/2006/relationships/footer" Target="footer46.xml"/><Relationship Id="rId863" Type="http://schemas.openxmlformats.org/officeDocument/2006/relationships/footer" Target="footer58.xml"/><Relationship Id="rId211" Type="http://schemas.openxmlformats.org/officeDocument/2006/relationships/header" Target="header14.xml"/><Relationship Id="rId253" Type="http://schemas.openxmlformats.org/officeDocument/2006/relationships/hyperlink" Target="https://www.thetrevorproject.org/research-briefs/trauma-and-suicide-risk-among-lgbtq-youth-july-2022/" TargetMode="External"/><Relationship Id="rId295" Type="http://schemas.openxmlformats.org/officeDocument/2006/relationships/hyperlink" Target="https://doi.org/10.1080/19361653.2019.1706686" TargetMode="External"/><Relationship Id="rId309" Type="http://schemas.openxmlformats.org/officeDocument/2006/relationships/hyperlink" Target="https://doi.org/10.1521/jsyt.2020.39.4.13" TargetMode="External"/><Relationship Id="rId460" Type="http://schemas.openxmlformats.org/officeDocument/2006/relationships/hyperlink" Target="http://www.mass.gov/doc/2014-" TargetMode="External"/><Relationship Id="rId516" Type="http://schemas.openxmlformats.org/officeDocument/2006/relationships/image" Target="media/image98.jpeg"/><Relationship Id="rId698" Type="http://schemas.openxmlformats.org/officeDocument/2006/relationships/hyperlink" Target="http://www.americanprogress.org/article/on-the-50th-anniversary-of-the-immigration-and-nationality-act-changes-are-" TargetMode="External"/><Relationship Id="rId48" Type="http://schemas.openxmlformats.org/officeDocument/2006/relationships/image" Target="media/image32.png"/><Relationship Id="rId113" Type="http://schemas.openxmlformats.org/officeDocument/2006/relationships/hyperlink" Target="https://www.zotero.org/google-docs/?54iKTD" TargetMode="External"/><Relationship Id="rId320" Type="http://schemas.openxmlformats.org/officeDocument/2006/relationships/hyperlink" Target="https://doi.org/10.1177/1524839916654461" TargetMode="External"/><Relationship Id="rId558" Type="http://schemas.openxmlformats.org/officeDocument/2006/relationships/hyperlink" Target="https://doi.org/10.1016/j.ajog.2020.09.035" TargetMode="External"/><Relationship Id="rId723" Type="http://schemas.openxmlformats.org/officeDocument/2006/relationships/image" Target="media/image136.png"/><Relationship Id="rId765" Type="http://schemas.openxmlformats.org/officeDocument/2006/relationships/header" Target="header41.xml"/><Relationship Id="rId155" Type="http://schemas.openxmlformats.org/officeDocument/2006/relationships/hyperlink" Target="https://doi.org/10.1111/jora.12487" TargetMode="External"/><Relationship Id="rId197" Type="http://schemas.openxmlformats.org/officeDocument/2006/relationships/hyperlink" Target="http://www.cdc.gov/violenceprevention/youthviolence/bullyingresearch/fastfact.html" TargetMode="External"/><Relationship Id="rId362" Type="http://schemas.openxmlformats.org/officeDocument/2006/relationships/image" Target="media/image78.png"/><Relationship Id="rId418" Type="http://schemas.openxmlformats.org/officeDocument/2006/relationships/image" Target="media/image91.jpeg"/><Relationship Id="rId625" Type="http://schemas.openxmlformats.org/officeDocument/2006/relationships/hyperlink" Target="https://malegislature.gov/Bills/193/HD3510" TargetMode="External"/><Relationship Id="rId832" Type="http://schemas.openxmlformats.org/officeDocument/2006/relationships/header" Target="header50.xml"/><Relationship Id="rId222" Type="http://schemas.openxmlformats.org/officeDocument/2006/relationships/image" Target="media/image57.png"/><Relationship Id="rId264" Type="http://schemas.openxmlformats.org/officeDocument/2006/relationships/hyperlink" Target="https://doi.org/10.1089/lgbt.2020.0279" TargetMode="External"/><Relationship Id="rId471" Type="http://schemas.openxmlformats.org/officeDocument/2006/relationships/hyperlink" Target="https://www.them.us/story/lgbtq-doulas" TargetMode="External"/><Relationship Id="rId667" Type="http://schemas.openxmlformats.org/officeDocument/2006/relationships/image" Target="media/image124.png"/><Relationship Id="rId874" Type="http://schemas.openxmlformats.org/officeDocument/2006/relationships/hyperlink" Target="https://www.mass.gov/masshire-career-centers" TargetMode="External"/><Relationship Id="rId17" Type="http://schemas.openxmlformats.org/officeDocument/2006/relationships/header" Target="header3.xml"/><Relationship Id="rId59" Type="http://schemas.openxmlformats.org/officeDocument/2006/relationships/footer" Target="footer5.xml"/><Relationship Id="rId124" Type="http://schemas.openxmlformats.org/officeDocument/2006/relationships/hyperlink" Target="https://www.zotero.org/google-docs/?sm0djm" TargetMode="External"/><Relationship Id="rId527" Type="http://schemas.openxmlformats.org/officeDocument/2006/relationships/hyperlink" Target="http://www.cdc.gov/healthyyouth/index.htm" TargetMode="External"/><Relationship Id="rId569" Type="http://schemas.openxmlformats.org/officeDocument/2006/relationships/header" Target="header31.xml"/><Relationship Id="rId734" Type="http://schemas.openxmlformats.org/officeDocument/2006/relationships/hyperlink" Target="http://www.mass.gov/service-" TargetMode="External"/><Relationship Id="rId776" Type="http://schemas.openxmlformats.org/officeDocument/2006/relationships/hyperlink" Target="http://www.mass.edu/strategic/csvp.asp" TargetMode="External"/><Relationship Id="rId70" Type="http://schemas.openxmlformats.org/officeDocument/2006/relationships/hyperlink" Target="https://docs.google.com/document/d/1UcEU8Y6eldxBguk7XRQkxMK0vcPJf9kB/edit" TargetMode="External"/><Relationship Id="rId166" Type="http://schemas.openxmlformats.org/officeDocument/2006/relationships/image" Target="media/image47.png"/><Relationship Id="rId331" Type="http://schemas.openxmlformats.org/officeDocument/2006/relationships/hyperlink" Target="https://doi.org/10.1007/s10560-016-0435-7" TargetMode="External"/><Relationship Id="rId373" Type="http://schemas.openxmlformats.org/officeDocument/2006/relationships/hyperlink" Target="https://doi.org/10.1080/15548732.2016.1221368" TargetMode="External"/><Relationship Id="rId429" Type="http://schemas.openxmlformats.org/officeDocument/2006/relationships/hyperlink" Target="https://www.americanprogress.org/article/discrimination-prevents-lgbtq-people-accessing-health-care/" TargetMode="External"/><Relationship Id="rId580" Type="http://schemas.openxmlformats.org/officeDocument/2006/relationships/hyperlink" Target="https://malegislature.gov/Bills/193/SD1169" TargetMode="External"/><Relationship Id="rId636" Type="http://schemas.openxmlformats.org/officeDocument/2006/relationships/hyperlink" Target="http://www.lambdalegal.org/node/30521" TargetMode="External"/><Relationship Id="rId801" Type="http://schemas.openxmlformats.org/officeDocument/2006/relationships/hyperlink" Target="https://www.mass.gov/doc/licensing-of-foster-pre-adoptive-and-kinship-families/download" TargetMode="External"/><Relationship Id="rId1" Type="http://schemas.openxmlformats.org/officeDocument/2006/relationships/numbering" Target="numbering.xml"/><Relationship Id="rId233" Type="http://schemas.openxmlformats.org/officeDocument/2006/relationships/image" Target="media/image62.jpeg"/><Relationship Id="rId440" Type="http://schemas.openxmlformats.org/officeDocument/2006/relationships/hyperlink" Target="https://www.aclu.org/news/lgbtq-rights/menstruation-related-discrimination-is-sex-discrimination-we-dont-need-to-erase-trans-or-non-binary-people-to-make-that-point" TargetMode="External"/><Relationship Id="rId678" Type="http://schemas.openxmlformats.org/officeDocument/2006/relationships/hyperlink" Target="https://malegislature.gov/Bills/193/S740" TargetMode="External"/><Relationship Id="rId843" Type="http://schemas.openxmlformats.org/officeDocument/2006/relationships/hyperlink" Target="http://www.mass.gov/doc/racial-equity-data-road-map-pdf/download" TargetMode="External"/><Relationship Id="rId885" Type="http://schemas.openxmlformats.org/officeDocument/2006/relationships/fontTable" Target="fontTable.xml"/><Relationship Id="rId28" Type="http://schemas.openxmlformats.org/officeDocument/2006/relationships/image" Target="media/image14.png"/><Relationship Id="rId275" Type="http://schemas.openxmlformats.org/officeDocument/2006/relationships/hyperlink" Target="https://doi.org/10.1037/vio0000204" TargetMode="External"/><Relationship Id="rId300" Type="http://schemas.openxmlformats.org/officeDocument/2006/relationships/hyperlink" Target="https://doi.org/10.1016/j.childyouth.2022.106682" TargetMode="External"/><Relationship Id="rId482" Type="http://schemas.openxmlformats.org/officeDocument/2006/relationships/hyperlink" Target="https://www.plannedparenthoodaction.org/planned-parenthood-advocacy-fund-massachusetts-inc/pressroom/new-study-finds-massachusetts-judicial-bypass-process-delays-access-to-abortion" TargetMode="External"/><Relationship Id="rId538" Type="http://schemas.openxmlformats.org/officeDocument/2006/relationships/hyperlink" Target="http://www.amnesty.org/en/latest/campaigns/2017/05/intersex-rights/" TargetMode="External"/><Relationship Id="rId703" Type="http://schemas.openxmlformats.org/officeDocument/2006/relationships/hyperlink" Target="http://www.americanprogress.org/article/we-the-people-2/" TargetMode="External"/><Relationship Id="rId745" Type="http://schemas.openxmlformats.org/officeDocument/2006/relationships/hyperlink" Target="http://www.youtube.com/watch?v=1jgchaRTc_Y" TargetMode="External"/><Relationship Id="rId81" Type="http://schemas.openxmlformats.org/officeDocument/2006/relationships/hyperlink" Target="https://www.zotero.org/google-docs/?Ss1PY8" TargetMode="External"/><Relationship Id="rId135" Type="http://schemas.openxmlformats.org/officeDocument/2006/relationships/hyperlink" Target="https://www.zotero.org/google-docs/?cChUxE" TargetMode="External"/><Relationship Id="rId177" Type="http://schemas.openxmlformats.org/officeDocument/2006/relationships/image" Target="media/image52.jpeg"/><Relationship Id="rId342" Type="http://schemas.openxmlformats.org/officeDocument/2006/relationships/hyperlink" Target="https://doi.org/10.1111/hsc.14061" TargetMode="External"/><Relationship Id="rId384" Type="http://schemas.openxmlformats.org/officeDocument/2006/relationships/hyperlink" Target="http://www.psychiatry.org/File%20Library/About-APA/Organization-Documents-Policies/Policies/Position-" TargetMode="External"/><Relationship Id="rId591" Type="http://schemas.openxmlformats.org/officeDocument/2006/relationships/hyperlink" Target="http://www.mass.gov/doc/2022-youth-count-report/download" TargetMode="External"/><Relationship Id="rId605" Type="http://schemas.openxmlformats.org/officeDocument/2006/relationships/footer" Target="footer32.xml"/><Relationship Id="rId787" Type="http://schemas.openxmlformats.org/officeDocument/2006/relationships/hyperlink" Target="https://www.doe.mass.edu/news/news.aspx?id=26699" TargetMode="External"/><Relationship Id="rId812" Type="http://schemas.openxmlformats.org/officeDocument/2006/relationships/hyperlink" Target="http://www.bostonglobe.com/2022/12/03/metro/boston-childrens-faced-months-death-threats-hate-mail-heres-how-staff-" TargetMode="External"/><Relationship Id="rId202" Type="http://schemas.openxmlformats.org/officeDocument/2006/relationships/hyperlink" Target="http://www.mass.gov/doc/opioid-related-overdose-deaths-" TargetMode="External"/><Relationship Id="rId244" Type="http://schemas.openxmlformats.org/officeDocument/2006/relationships/image" Target="media/image73.jpeg"/><Relationship Id="rId647" Type="http://schemas.openxmlformats.org/officeDocument/2006/relationships/hyperlink" Target="http://www.urban.org/features/five-charts-explain-homelessness-jail-cycle-and-how-break-it" TargetMode="External"/><Relationship Id="rId689" Type="http://schemas.openxmlformats.org/officeDocument/2006/relationships/hyperlink" Target="https://www.denovo.org/immigration" TargetMode="External"/><Relationship Id="rId854" Type="http://schemas.openxmlformats.org/officeDocument/2006/relationships/footer" Target="footer55.xml"/><Relationship Id="rId39" Type="http://schemas.openxmlformats.org/officeDocument/2006/relationships/image" Target="media/image23.png"/><Relationship Id="rId286" Type="http://schemas.openxmlformats.org/officeDocument/2006/relationships/hyperlink" Target="http://www.arianalife.com/topics/lgbt/roots-run-deep-how-history-and-culture-impact-lgbt-acceptance-in-asia/" TargetMode="External"/><Relationship Id="rId451" Type="http://schemas.openxmlformats.org/officeDocument/2006/relationships/hyperlink" Target="https://williamsinstitute.law.ucla.edu/publications/suicidality-transgender-adults/" TargetMode="External"/><Relationship Id="rId493" Type="http://schemas.openxmlformats.org/officeDocument/2006/relationships/hyperlink" Target="https://www.illinoissenatedemocrats.com/caucus-news/72-senator-karina-villa-news/2886-menstrual-hygiene-products-can-be-purchased-with-snap-and-wic-benefits-under-villa-law" TargetMode="External"/><Relationship Id="rId507" Type="http://schemas.openxmlformats.org/officeDocument/2006/relationships/hyperlink" Target="https://malegislature.gov/Bills/193/SD2199" TargetMode="External"/><Relationship Id="rId549" Type="http://schemas.openxmlformats.org/officeDocument/2006/relationships/hyperlink" Target="https://transequality.org/sites/default/files/docs/usts/USTSMAStateReport(1017).pdf" TargetMode="External"/><Relationship Id="rId714" Type="http://schemas.openxmlformats.org/officeDocument/2006/relationships/hyperlink" Target="http://www.migrationpolicy.org/research/untapped-talent-costs-brain-waste-among-highly-skilled-immigrants-united-states" TargetMode="External"/><Relationship Id="rId756" Type="http://schemas.openxmlformats.org/officeDocument/2006/relationships/header" Target="header40.xml"/><Relationship Id="rId50" Type="http://schemas.openxmlformats.org/officeDocument/2006/relationships/image" Target="media/image34.png"/><Relationship Id="rId104" Type="http://schemas.openxmlformats.org/officeDocument/2006/relationships/hyperlink" Target="https://www.zotero.org/google-docs/?uPJj8h" TargetMode="External"/><Relationship Id="rId146" Type="http://schemas.openxmlformats.org/officeDocument/2006/relationships/header" Target="header9.xml"/><Relationship Id="rId188" Type="http://schemas.openxmlformats.org/officeDocument/2006/relationships/hyperlink" Target="http://www.acha.org/documents/ncha/NCHA-" TargetMode="External"/><Relationship Id="rId311" Type="http://schemas.openxmlformats.org/officeDocument/2006/relationships/hyperlink" Target="https://doi.org/10.1037/pri0000126" TargetMode="External"/><Relationship Id="rId353" Type="http://schemas.openxmlformats.org/officeDocument/2006/relationships/hyperlink" Target="https://doi.org/10.1111/cdev.13345" TargetMode="External"/><Relationship Id="rId395" Type="http://schemas.openxmlformats.org/officeDocument/2006/relationships/hyperlink" Target="http://www.glad.org/prep-for-minors-in-" TargetMode="External"/><Relationship Id="rId409" Type="http://schemas.openxmlformats.org/officeDocument/2006/relationships/hyperlink" Target="https://malegislature.gov/Bills/193/SD2401" TargetMode="External"/><Relationship Id="rId560" Type="http://schemas.openxmlformats.org/officeDocument/2006/relationships/hyperlink" Target="https://pubmed.ncbi.nlm.nih.gov/34226247/" TargetMode="External"/><Relationship Id="rId798" Type="http://schemas.openxmlformats.org/officeDocument/2006/relationships/hyperlink" Target="https://www.mass.gov/doc/gender-affirming-medication-consent-policy/download" TargetMode="External"/><Relationship Id="rId92" Type="http://schemas.openxmlformats.org/officeDocument/2006/relationships/hyperlink" Target="https://www.zotero.org/google-docs/?R8ZSPG" TargetMode="External"/><Relationship Id="rId213" Type="http://schemas.openxmlformats.org/officeDocument/2006/relationships/hyperlink" Target="http://www.thehallsboston.com/" TargetMode="External"/><Relationship Id="rId420" Type="http://schemas.openxmlformats.org/officeDocument/2006/relationships/footer" Target="footer25.xml"/><Relationship Id="rId616" Type="http://schemas.openxmlformats.org/officeDocument/2006/relationships/hyperlink" Target="https://malegislature.gov/Bills/193/S927" TargetMode="External"/><Relationship Id="rId658" Type="http://schemas.openxmlformats.org/officeDocument/2006/relationships/hyperlink" Target="https://immigrantjustice.org/sites/immigrantjustice.org/files/Invisible%20in%20Isolation-The%20Use%20of%20Segregation%20and%20Solitary%20Confinement%20in%20Immigration%20Detention.September%202012_7.pdf" TargetMode="External"/><Relationship Id="rId823" Type="http://schemas.openxmlformats.org/officeDocument/2006/relationships/hyperlink" Target="https://www.mass.gov/vocational-rehabilitation-vr" TargetMode="External"/><Relationship Id="rId865" Type="http://schemas.openxmlformats.org/officeDocument/2006/relationships/hyperlink" Target="http://www.ala.org/aboutala/offices/extending-our-reach-reducing-homelessness-through-library-" TargetMode="External"/><Relationship Id="rId255" Type="http://schemas.openxmlformats.org/officeDocument/2006/relationships/hyperlink" Target="https://www.census.gov/library/stories/2022/12/lgbt-adults-report-anxiety-depression-at-all-ages.html" TargetMode="External"/><Relationship Id="rId297" Type="http://schemas.openxmlformats.org/officeDocument/2006/relationships/hyperlink" Target="https://doi.org/10.1080/10538720.2021.1911902" TargetMode="External"/><Relationship Id="rId462" Type="http://schemas.openxmlformats.org/officeDocument/2006/relationships/hyperlink" Target="https://www.americanprogress.org/article/protecting-basic-living-standards-lgbtq-people/" TargetMode="External"/><Relationship Id="rId518" Type="http://schemas.openxmlformats.org/officeDocument/2006/relationships/image" Target="media/image100.png"/><Relationship Id="rId725" Type="http://schemas.openxmlformats.org/officeDocument/2006/relationships/image" Target="media/image138.png"/><Relationship Id="rId115" Type="http://schemas.openxmlformats.org/officeDocument/2006/relationships/hyperlink" Target="https://www.zotero.org/google-docs/?XocvTS" TargetMode="External"/><Relationship Id="rId157" Type="http://schemas.openxmlformats.org/officeDocument/2006/relationships/hyperlink" Target="http://www.bostonglobe.com/2022/09/16/metro/stoughton-high-school-faculty-told-not-display-items-deemed-" TargetMode="External"/><Relationship Id="rId322" Type="http://schemas.openxmlformats.org/officeDocument/2006/relationships/hyperlink" Target="https://doi.org/10.1080/00918369.2017.1411693" TargetMode="External"/><Relationship Id="rId364" Type="http://schemas.openxmlformats.org/officeDocument/2006/relationships/footer" Target="footer22.xml"/><Relationship Id="rId767" Type="http://schemas.openxmlformats.org/officeDocument/2006/relationships/hyperlink" Target="https://www.doe.mass.edu/sfs/family-engagement-framework.pdf" TargetMode="External"/><Relationship Id="rId61" Type="http://schemas.openxmlformats.org/officeDocument/2006/relationships/hyperlink" Target="https://malegislature.gov/Bills/193/HD1429" TargetMode="External"/><Relationship Id="rId199" Type="http://schemas.openxmlformats.org/officeDocument/2006/relationships/hyperlink" Target="http://www.glsen.org/sites/default/files/2022-" TargetMode="External"/><Relationship Id="rId571" Type="http://schemas.openxmlformats.org/officeDocument/2006/relationships/image" Target="media/image106.png"/><Relationship Id="rId627" Type="http://schemas.openxmlformats.org/officeDocument/2006/relationships/hyperlink" Target="https://malegislature.gov/Bills/193/H1598" TargetMode="External"/><Relationship Id="rId669" Type="http://schemas.openxmlformats.org/officeDocument/2006/relationships/hyperlink" Target="https://malegislature.gov/Bills/193/S1990" TargetMode="External"/><Relationship Id="rId834" Type="http://schemas.openxmlformats.org/officeDocument/2006/relationships/hyperlink" Target="http://www.lgbtmap.org/lgbt-people-disabilities" TargetMode="External"/><Relationship Id="rId876" Type="http://schemas.openxmlformats.org/officeDocument/2006/relationships/header" Target="header61.xml"/><Relationship Id="rId19" Type="http://schemas.openxmlformats.org/officeDocument/2006/relationships/image" Target="media/image5.png"/><Relationship Id="rId224" Type="http://schemas.openxmlformats.org/officeDocument/2006/relationships/header" Target="header17.xml"/><Relationship Id="rId266" Type="http://schemas.openxmlformats.org/officeDocument/2006/relationships/hyperlink" Target="https://doi.org/10.2105/AJPH.2011.300382" TargetMode="External"/><Relationship Id="rId431" Type="http://schemas.openxmlformats.org/officeDocument/2006/relationships/hyperlink" Target="https://doi.org/10.1177/0009922816673306" TargetMode="External"/><Relationship Id="rId473" Type="http://schemas.openxmlformats.org/officeDocument/2006/relationships/hyperlink" Target="https://healthlaw.org/medicaid-coverage-for-doula-care-state-implementation-efforts/" TargetMode="External"/><Relationship Id="rId529" Type="http://schemas.openxmlformats.org/officeDocument/2006/relationships/hyperlink" Target="http://www.apa.org/" TargetMode="External"/><Relationship Id="rId680" Type="http://schemas.openxmlformats.org/officeDocument/2006/relationships/image" Target="media/image126.jpeg"/><Relationship Id="rId736" Type="http://schemas.openxmlformats.org/officeDocument/2006/relationships/hyperlink" Target="http://www.ted.com/talks/kimberle_crenshaw_the_urgency_of_intersectionality" TargetMode="External"/><Relationship Id="rId30" Type="http://schemas.openxmlformats.org/officeDocument/2006/relationships/image" Target="media/image16.png"/><Relationship Id="rId126" Type="http://schemas.openxmlformats.org/officeDocument/2006/relationships/hyperlink" Target="https://www.zotero.org/google-docs/?rieokJ" TargetMode="External"/><Relationship Id="rId168" Type="http://schemas.openxmlformats.org/officeDocument/2006/relationships/image" Target="media/image49.png"/><Relationship Id="rId333" Type="http://schemas.openxmlformats.org/officeDocument/2006/relationships/hyperlink" Target="https://doi.org/10.1080/19361653.2021.2020703" TargetMode="External"/><Relationship Id="rId540" Type="http://schemas.openxmlformats.org/officeDocument/2006/relationships/hyperlink" Target="http://www.thetrevorproject.org/blog/intersex-not-" TargetMode="External"/><Relationship Id="rId778" Type="http://schemas.openxmlformats.org/officeDocument/2006/relationships/hyperlink" Target="http://www.bu.edu/articles/2023/lgbtqia-student-task-force-report-inclusive-bu/" TargetMode="External"/><Relationship Id="rId72" Type="http://schemas.openxmlformats.org/officeDocument/2006/relationships/hyperlink" Target="https://docs.google.com/document/d/1UcEU8Y6eldxBguk7XRQkxMK0vcPJf9kB/edit" TargetMode="External"/><Relationship Id="rId375" Type="http://schemas.openxmlformats.org/officeDocument/2006/relationships/hyperlink" Target="http://www.thetrevorproject.org/wp-" TargetMode="External"/><Relationship Id="rId582" Type="http://schemas.openxmlformats.org/officeDocument/2006/relationships/image" Target="media/image110.jpeg"/><Relationship Id="rId638" Type="http://schemas.openxmlformats.org/officeDocument/2006/relationships/hyperlink" Target="http://www.wgbh.org/news/local-news/2023/02/24/independent-investigation-begins-in-fatal-cambridge-police-shooting" TargetMode="External"/><Relationship Id="rId803" Type="http://schemas.openxmlformats.org/officeDocument/2006/relationships/hyperlink" Target="https://www.mass.gov/doc/quarter-2/download" TargetMode="External"/><Relationship Id="rId845" Type="http://schemas.openxmlformats.org/officeDocument/2006/relationships/footer" Target="footer52.xml"/><Relationship Id="rId3" Type="http://schemas.openxmlformats.org/officeDocument/2006/relationships/settings" Target="settings.xml"/><Relationship Id="rId235" Type="http://schemas.openxmlformats.org/officeDocument/2006/relationships/image" Target="media/image64.jpeg"/><Relationship Id="rId277" Type="http://schemas.openxmlformats.org/officeDocument/2006/relationships/hyperlink" Target="https://doi.org/10.1177/0192513X18783807" TargetMode="External"/><Relationship Id="rId400" Type="http://schemas.openxmlformats.org/officeDocument/2006/relationships/hyperlink" Target="https://williamsinstitute.law.ucla.edu/wp-content/uploads/National-LGBT-Poverty-Oct-2019.pdf" TargetMode="External"/><Relationship Id="rId442" Type="http://schemas.openxmlformats.org/officeDocument/2006/relationships/hyperlink" Target="https://doi.org/10.1111/jmwh.12962" TargetMode="External"/><Relationship Id="rId484" Type="http://schemas.openxmlformats.org/officeDocument/2006/relationships/hyperlink" Target="https://doi.org/10.1097/AOG.0000000000003190" TargetMode="External"/><Relationship Id="rId705" Type="http://schemas.openxmlformats.org/officeDocument/2006/relationships/hyperlink" Target="http://www.protectedandserved.org/2022-report-executive-summary" TargetMode="External"/><Relationship Id="rId137" Type="http://schemas.openxmlformats.org/officeDocument/2006/relationships/hyperlink" Target="http://www.mass.gov/doc/quarter-2/download" TargetMode="External"/><Relationship Id="rId302" Type="http://schemas.openxmlformats.org/officeDocument/2006/relationships/hyperlink" Target="https://doi.org/10.1080/19361653.2020.1766393" TargetMode="External"/><Relationship Id="rId344" Type="http://schemas.openxmlformats.org/officeDocument/2006/relationships/hyperlink" Target="https://doi.org/10.1007/s11414-019-09667-3" TargetMode="External"/><Relationship Id="rId691" Type="http://schemas.openxmlformats.org/officeDocument/2006/relationships/hyperlink" Target="https://www.lgbtasylum.org/" TargetMode="External"/><Relationship Id="rId747" Type="http://schemas.openxmlformats.org/officeDocument/2006/relationships/hyperlink" Target="http://www.ncai.org/policy-research-center/research-data/prc-" TargetMode="External"/><Relationship Id="rId789" Type="http://schemas.openxmlformats.org/officeDocument/2006/relationships/hyperlink" Target="https://www.doe.mass.edu/sfs/lgbtq/GenderIdentity.html" TargetMode="External"/><Relationship Id="rId41" Type="http://schemas.openxmlformats.org/officeDocument/2006/relationships/image" Target="media/image25.png"/><Relationship Id="rId83" Type="http://schemas.openxmlformats.org/officeDocument/2006/relationships/hyperlink" Target="https://www.zotero.org/google-docs/?Ss1PY8" TargetMode="External"/><Relationship Id="rId179" Type="http://schemas.openxmlformats.org/officeDocument/2006/relationships/image" Target="media/image54.jpeg"/><Relationship Id="rId386" Type="http://schemas.openxmlformats.org/officeDocument/2006/relationships/hyperlink" Target="http://www.psychiatry.org/File%20Library/About-APA/Organization-Documents-Policies/Policies/Position-" TargetMode="External"/><Relationship Id="rId551" Type="http://schemas.openxmlformats.org/officeDocument/2006/relationships/hyperlink" Target="https://doi.org/10.1542/9781610025409-teen" TargetMode="External"/><Relationship Id="rId593" Type="http://schemas.openxmlformats.org/officeDocument/2006/relationships/hyperlink" Target="http://www.boston.gov/sites/default/files/embed/t/the_state-of-the-system-a-brief-on-the-status-of-youth-and-" TargetMode="External"/><Relationship Id="rId607" Type="http://schemas.openxmlformats.org/officeDocument/2006/relationships/image" Target="media/image117.png"/><Relationship Id="rId649" Type="http://schemas.openxmlformats.org/officeDocument/2006/relationships/hyperlink" Target="http://www.mass.gov/doc/commission-report-on-" TargetMode="External"/><Relationship Id="rId814" Type="http://schemas.openxmlformats.org/officeDocument/2006/relationships/hyperlink" Target="https://www.cfsrportal.acf.hhs.gov/resources/round-4-resources/cfsr-round-4-process/advancing-equity-and-inclusion-through-cfsrs" TargetMode="External"/><Relationship Id="rId856" Type="http://schemas.openxmlformats.org/officeDocument/2006/relationships/footer" Target="footer56.xml"/><Relationship Id="rId190" Type="http://schemas.openxmlformats.org/officeDocument/2006/relationships/hyperlink" Target="http://www.healthyyouthact.org/" TargetMode="External"/><Relationship Id="rId204" Type="http://schemas.openxmlformats.org/officeDocument/2006/relationships/hyperlink" Target="http://www.hivlawandpolicy.org/sites/default/files/Syringe%20Access%20LGBT%20Fact%20Sheet.pdf" TargetMode="External"/><Relationship Id="rId246" Type="http://schemas.openxmlformats.org/officeDocument/2006/relationships/hyperlink" Target="https://doi.org/10.1016/j.jaac.2016.12.015" TargetMode="External"/><Relationship Id="rId288" Type="http://schemas.openxmlformats.org/officeDocument/2006/relationships/hyperlink" Target="https://www.samhsa.gov/blog/one-size-does-not-fit-all-appreciating-diversity-asian-americans-native-hawaiians-pacific" TargetMode="External"/><Relationship Id="rId411" Type="http://schemas.openxmlformats.org/officeDocument/2006/relationships/image" Target="media/image86.jpeg"/><Relationship Id="rId453" Type="http://schemas.openxmlformats.org/officeDocument/2006/relationships/hyperlink" Target="http://theconversation.com/transgender-men-and-nonbinary-people-are-asked-to-stop-testosterone-therapy-during-pregnancy-but-the-evidence-for-this-guidance-is-still-murky-187672" TargetMode="External"/><Relationship Id="rId509" Type="http://schemas.openxmlformats.org/officeDocument/2006/relationships/hyperlink" Target="https://malegislature.gov/Bills/193/SD704" TargetMode="External"/><Relationship Id="rId660" Type="http://schemas.openxmlformats.org/officeDocument/2006/relationships/hyperlink" Target="https://immigrantjustice.org/sites/immigrantjustice.org/files/Invisible%20in%20Isolation-The%20Use%20of%20Segregation%20and%20Solitary%20Confinement%20in%20Immigration%20Detention.September%202012_7.pdf" TargetMode="External"/><Relationship Id="rId106" Type="http://schemas.openxmlformats.org/officeDocument/2006/relationships/hyperlink" Target="https://www.zotero.org/google-docs/?bqqAOu" TargetMode="External"/><Relationship Id="rId313" Type="http://schemas.openxmlformats.org/officeDocument/2006/relationships/hyperlink" Target="https://doi.org/10.1080/19361653.2019.1591322" TargetMode="External"/><Relationship Id="rId495" Type="http://schemas.openxmlformats.org/officeDocument/2006/relationships/hyperlink" Target="https://www.mass.gov/service-details/maternal-mortality-and-morbidity-initiative" TargetMode="External"/><Relationship Id="rId716" Type="http://schemas.openxmlformats.org/officeDocument/2006/relationships/hyperlink" Target="http://www.americanprogress.org/article/daca-recipients-" TargetMode="External"/><Relationship Id="rId758" Type="http://schemas.openxmlformats.org/officeDocument/2006/relationships/hyperlink" Target="https://malegislature.gov/Bills/193/SD1674" TargetMode="External"/><Relationship Id="rId10" Type="http://schemas.openxmlformats.org/officeDocument/2006/relationships/hyperlink" Target="http://www.mass.gov/annual-recommendations" TargetMode="External"/><Relationship Id="rId52" Type="http://schemas.openxmlformats.org/officeDocument/2006/relationships/image" Target="media/image36.png"/><Relationship Id="rId94" Type="http://schemas.openxmlformats.org/officeDocument/2006/relationships/hyperlink" Target="https://www.zotero.org/google-docs/?R8ZSPG" TargetMode="External"/><Relationship Id="rId148" Type="http://schemas.openxmlformats.org/officeDocument/2006/relationships/hyperlink" Target="https://malegislature.gov/Bills/193/SD443" TargetMode="External"/><Relationship Id="rId355" Type="http://schemas.openxmlformats.org/officeDocument/2006/relationships/hyperlink" Target="https://www.thetrevorproject.org/research-briefs/trauma-and-suicide-risk-among-lgbtq-youth-july-2022/" TargetMode="External"/><Relationship Id="rId397" Type="http://schemas.openxmlformats.org/officeDocument/2006/relationships/hyperlink" Target="http://www.thetrevorproject.org/survey-2021/?section=Introduction" TargetMode="External"/><Relationship Id="rId520" Type="http://schemas.openxmlformats.org/officeDocument/2006/relationships/image" Target="media/image102.jpeg"/><Relationship Id="rId562" Type="http://schemas.openxmlformats.org/officeDocument/2006/relationships/hyperlink" Target="https://www.cdc.gov/violenceprevention/pdf/cdc_nisvs_victimization_final-a.pdf" TargetMode="External"/><Relationship Id="rId618" Type="http://schemas.openxmlformats.org/officeDocument/2006/relationships/hyperlink" Target="https://malegislature.gov/Bills/193/HD124" TargetMode="External"/><Relationship Id="rId825" Type="http://schemas.openxmlformats.org/officeDocument/2006/relationships/hyperlink" Target="https://www.mass.gov/social-rehabilitation-sr" TargetMode="External"/><Relationship Id="rId215" Type="http://schemas.openxmlformats.org/officeDocument/2006/relationships/hyperlink" Target="http://www.winthropcasa.org/" TargetMode="External"/><Relationship Id="rId257" Type="http://schemas.openxmlformats.org/officeDocument/2006/relationships/hyperlink" Target="https://www.hrc.org/press-releases/human-rights-campaign-working-to-defeat-340-anti-lgbtq-bills-at-state-level-already-150-of-which-target-transgender-people-highest-number-on-record" TargetMode="External"/><Relationship Id="rId422" Type="http://schemas.openxmlformats.org/officeDocument/2006/relationships/hyperlink" Target="https://malegislature.gov/Bills/193/HD1783" TargetMode="External"/><Relationship Id="rId464" Type="http://schemas.openxmlformats.org/officeDocument/2006/relationships/hyperlink" Target="https://www.thetrevorproject.org/blog/new-poll-illustrates-the-impacts-of-social-political-issues-on-lgbtq-youth/" TargetMode="External"/><Relationship Id="rId867" Type="http://schemas.openxmlformats.org/officeDocument/2006/relationships/hyperlink" Target="http://www.ala.org/news/press-releases/2023/03/record-" TargetMode="External"/><Relationship Id="rId299" Type="http://schemas.openxmlformats.org/officeDocument/2006/relationships/hyperlink" Target="http://www.mass.gov/service-details/dys-reports-and-" TargetMode="External"/><Relationship Id="rId727" Type="http://schemas.openxmlformats.org/officeDocument/2006/relationships/header" Target="header38.xml"/><Relationship Id="rId63" Type="http://schemas.openxmlformats.org/officeDocument/2006/relationships/hyperlink" Target="https://malegislature.gov/Bills/193/H164" TargetMode="External"/><Relationship Id="rId159" Type="http://schemas.openxmlformats.org/officeDocument/2006/relationships/hyperlink" Target="https://doi.org/10.1002/pits.22500" TargetMode="External"/><Relationship Id="rId366" Type="http://schemas.openxmlformats.org/officeDocument/2006/relationships/image" Target="media/image80.jpeg"/><Relationship Id="rId573" Type="http://schemas.openxmlformats.org/officeDocument/2006/relationships/image" Target="media/image108.png"/><Relationship Id="rId780" Type="http://schemas.openxmlformats.org/officeDocument/2006/relationships/header" Target="header43.xml"/><Relationship Id="rId226" Type="http://schemas.openxmlformats.org/officeDocument/2006/relationships/image" Target="media/image59.jpeg"/><Relationship Id="rId433" Type="http://schemas.openxmlformats.org/officeDocument/2006/relationships/hyperlink" Target="https://fenwayhealth.org/new-study-finds-significant-barriers-to-gender-affirming-primary-care-among-transgender-people-living-in-rural-areas/" TargetMode="External"/><Relationship Id="rId878" Type="http://schemas.openxmlformats.org/officeDocument/2006/relationships/hyperlink" Target="http://www.lgbtmap.org/news/broken-bargain-lgbt-workers-" TargetMode="External"/><Relationship Id="rId640" Type="http://schemas.openxmlformats.org/officeDocument/2006/relationships/hyperlink" Target="http://www.blackandpinkma.org/our-" TargetMode="External"/><Relationship Id="rId738" Type="http://schemas.openxmlformats.org/officeDocument/2006/relationships/hyperlink" Target="http://www.epa.gov/environmentaljustice/ej-2020-" TargetMode="External"/><Relationship Id="rId74" Type="http://schemas.openxmlformats.org/officeDocument/2006/relationships/image" Target="media/image39.jpeg"/><Relationship Id="rId377" Type="http://schemas.openxmlformats.org/officeDocument/2006/relationships/hyperlink" Target="https://doi.org/10.1371/journal.pone.0240088" TargetMode="External"/><Relationship Id="rId500" Type="http://schemas.openxmlformats.org/officeDocument/2006/relationships/image" Target="media/image93.png"/><Relationship Id="rId584" Type="http://schemas.openxmlformats.org/officeDocument/2006/relationships/image" Target="media/image112.jpeg"/><Relationship Id="rId805" Type="http://schemas.openxmlformats.org/officeDocument/2006/relationships/header" Target="header46.xml"/><Relationship Id="rId5" Type="http://schemas.openxmlformats.org/officeDocument/2006/relationships/footnotes" Target="footnotes.xml"/><Relationship Id="rId237" Type="http://schemas.openxmlformats.org/officeDocument/2006/relationships/image" Target="media/image66.jpeg"/><Relationship Id="rId791" Type="http://schemas.openxmlformats.org/officeDocument/2006/relationships/hyperlink" Target="https://www.doe.mass.edu/sfs/lgbtq/Principles-SafeEnvironment.html" TargetMode="External"/><Relationship Id="rId444" Type="http://schemas.openxmlformats.org/officeDocument/2006/relationships/hyperlink" Target="https://doi.org/10.1016/j.cppeds.2019.100684" TargetMode="External"/><Relationship Id="rId651" Type="http://schemas.openxmlformats.org/officeDocument/2006/relationships/hyperlink" Target="http://www.lgbtqiahealtheducation.org/wp-content/uploads/2021/09/Supporting-LGBTQIA-Youth-Who-Have-Experienced-" TargetMode="External"/><Relationship Id="rId749" Type="http://schemas.openxmlformats.org/officeDocument/2006/relationships/hyperlink" Target="http://www.mass.gov/news/governor-healey-signs-executive-order-creating-massachusetts-first-ever-climate-chief" TargetMode="External"/><Relationship Id="rId290" Type="http://schemas.openxmlformats.org/officeDocument/2006/relationships/hyperlink" Target="https://www.bostonglobe.com/2021/09/06/metro/schools-are-increasing-mental-health-support-this-year-experts-fear-its-still-not-enough/" TargetMode="External"/><Relationship Id="rId304" Type="http://schemas.openxmlformats.org/officeDocument/2006/relationships/hyperlink" Target="https://doi.org/10.1177/1044389418768550" TargetMode="External"/><Relationship Id="rId388" Type="http://schemas.openxmlformats.org/officeDocument/2006/relationships/hyperlink" Target="http://www.usatoday.com/story/news/nation/2023/01/09/bills-targeting-transgender-healthcare-2023/11012864002/" TargetMode="External"/><Relationship Id="rId511" Type="http://schemas.openxmlformats.org/officeDocument/2006/relationships/hyperlink" Target="https://malegislature.gov/Bills/193/S1333" TargetMode="External"/><Relationship Id="rId609" Type="http://schemas.openxmlformats.org/officeDocument/2006/relationships/image" Target="media/image119.png"/><Relationship Id="rId85" Type="http://schemas.openxmlformats.org/officeDocument/2006/relationships/hyperlink" Target="http://www.themarshallproject.org/2021/05/17/these-states-take-money-meant-for-foster-children" TargetMode="External"/><Relationship Id="rId150" Type="http://schemas.openxmlformats.org/officeDocument/2006/relationships/image" Target="media/image45.jpeg"/><Relationship Id="rId595" Type="http://schemas.openxmlformats.org/officeDocument/2006/relationships/hyperlink" Target="http://www.mass.gov/files/documents/2018/05/01/Massachusetts%20State%20Plan%20to%20End%20Youth%252" TargetMode="External"/><Relationship Id="rId816" Type="http://schemas.openxmlformats.org/officeDocument/2006/relationships/hyperlink" Target="http://www.mass.gov/doc/a-housing-stabilization-and-" TargetMode="External"/><Relationship Id="rId248" Type="http://schemas.openxmlformats.org/officeDocument/2006/relationships/hyperlink" Target="https://www.thetrevorproject.org/survey-2022/assets/static/trevor01_2022survey_final.pdf" TargetMode="External"/><Relationship Id="rId455" Type="http://schemas.openxmlformats.org/officeDocument/2006/relationships/hyperlink" Target="https://doi.org/10.1016/j.ajog.2019.04.019" TargetMode="External"/><Relationship Id="rId662" Type="http://schemas.openxmlformats.org/officeDocument/2006/relationships/hyperlink" Target="http://www.ojjdp.gov/ojstatbb/structure_process/qa04306.asp?qaDate=2014" TargetMode="External"/><Relationship Id="rId12" Type="http://schemas.openxmlformats.org/officeDocument/2006/relationships/hyperlink" Target="mailto:commission@ma-lgbtq.org" TargetMode="External"/><Relationship Id="rId108" Type="http://schemas.openxmlformats.org/officeDocument/2006/relationships/hyperlink" Target="https://www.zotero.org/google-docs/?bqqAOu" TargetMode="External"/><Relationship Id="rId315" Type="http://schemas.openxmlformats.org/officeDocument/2006/relationships/hyperlink" Target="https://www.thetrevorproject.org/survey-2022/assets/static/trevor01_2022survey_final.pdf" TargetMode="External"/><Relationship Id="rId522" Type="http://schemas.openxmlformats.org/officeDocument/2006/relationships/image" Target="media/image104.jpeg"/><Relationship Id="rId96" Type="http://schemas.openxmlformats.org/officeDocument/2006/relationships/hyperlink" Target="http://www.ohchr.org/en/instruments-" TargetMode="External"/><Relationship Id="rId161" Type="http://schemas.openxmlformats.org/officeDocument/2006/relationships/hyperlink" Target="http://www.hrc.org/press-" TargetMode="External"/><Relationship Id="rId399" Type="http://schemas.openxmlformats.org/officeDocument/2006/relationships/hyperlink" Target="http://www.cdc.gov/coronavirus/2019-ncov/need-extra-precautions/people-with-medical-conditions.html" TargetMode="External"/><Relationship Id="rId827" Type="http://schemas.openxmlformats.org/officeDocument/2006/relationships/footer" Target="footer47.xml"/><Relationship Id="rId259" Type="http://schemas.openxmlformats.org/officeDocument/2006/relationships/hyperlink" Target="https://www.thetrevorproject.org/survey-2022/assets/static/trevor01_2022survey_final.pdf" TargetMode="External"/><Relationship Id="rId466" Type="http://schemas.openxmlformats.org/officeDocument/2006/relationships/hyperlink" Target="https://www.bostonglobe.com/2022/10/09/metro/massachusetts-has-expanded-abortion-rights-even-metro-region-clinics-can-be-distant/" TargetMode="External"/><Relationship Id="rId673" Type="http://schemas.openxmlformats.org/officeDocument/2006/relationships/hyperlink" Target="https://malegislature.gov/Bills/193/S1510" TargetMode="External"/><Relationship Id="rId880" Type="http://schemas.openxmlformats.org/officeDocument/2006/relationships/footer" Target="footer61.xml"/><Relationship Id="rId23" Type="http://schemas.openxmlformats.org/officeDocument/2006/relationships/image" Target="media/image9.png"/><Relationship Id="rId119" Type="http://schemas.openxmlformats.org/officeDocument/2006/relationships/hyperlink" Target="https://www.zotero.org/google-docs/?ubJ4oC" TargetMode="External"/><Relationship Id="rId326" Type="http://schemas.openxmlformats.org/officeDocument/2006/relationships/header" Target="header20.xml"/><Relationship Id="rId533" Type="http://schemas.openxmlformats.org/officeDocument/2006/relationships/hyperlink" Target="http://www.doe.mass.edu/sfs/?section=family" TargetMode="External"/><Relationship Id="rId740" Type="http://schemas.openxmlformats.org/officeDocument/2006/relationships/hyperlink" Target="http://www.mass.gov/doc/2022-massachusetts-youth-count/download" TargetMode="External"/><Relationship Id="rId838" Type="http://schemas.openxmlformats.org/officeDocument/2006/relationships/hyperlink" Target="http://www.thetrevorproject.org/wp-content/uploads/2022/12/The-Trevor-Project-2022-National-" TargetMode="External"/><Relationship Id="rId172" Type="http://schemas.openxmlformats.org/officeDocument/2006/relationships/footer" Target="footer10.xml"/><Relationship Id="rId477" Type="http://schemas.openxmlformats.org/officeDocument/2006/relationships/hyperlink" Target="https://doi.org/10.1363/2022.33571" TargetMode="External"/><Relationship Id="rId600" Type="http://schemas.openxmlformats.org/officeDocument/2006/relationships/hyperlink" Target="http://www.urban.org/research/publication/locked-" TargetMode="External"/><Relationship Id="rId684" Type="http://schemas.openxmlformats.org/officeDocument/2006/relationships/hyperlink" Target="https://malegislature.gov/Bills/193/SD1169" TargetMode="External"/><Relationship Id="rId337" Type="http://schemas.openxmlformats.org/officeDocument/2006/relationships/hyperlink" Target="https://senatorjocomerford.org/addressing-barriers-to-care-whats-in-the-legislatures-final-mental-health-bill/" TargetMode="External"/><Relationship Id="rId34" Type="http://schemas.openxmlformats.org/officeDocument/2006/relationships/image" Target="media/image18.png"/><Relationship Id="rId544" Type="http://schemas.openxmlformats.org/officeDocument/2006/relationships/hyperlink" Target="https://www.plannedparenthood.org/learn/birth-control/condom/how-effective-are-condoms" TargetMode="External"/><Relationship Id="rId751" Type="http://schemas.openxmlformats.org/officeDocument/2006/relationships/header" Target="header39.xml"/><Relationship Id="rId849" Type="http://schemas.openxmlformats.org/officeDocument/2006/relationships/hyperlink" Target="http://www.americanprogress.org/article/serving-lgbtq-immigrants-" TargetMode="External"/><Relationship Id="rId183" Type="http://schemas.openxmlformats.org/officeDocument/2006/relationships/hyperlink" Target="http://www.acha.org/HealthyCampus/HealthyCampus/Ecological_Model.aspx" TargetMode="External"/><Relationship Id="rId390" Type="http://schemas.openxmlformats.org/officeDocument/2006/relationships/hyperlink" Target="http://www.aclu.org/legislative-attacks-on-lgbtq-rights" TargetMode="External"/><Relationship Id="rId404" Type="http://schemas.openxmlformats.org/officeDocument/2006/relationships/image" Target="media/image83.png"/><Relationship Id="rId611" Type="http://schemas.openxmlformats.org/officeDocument/2006/relationships/footer" Target="footer33.xml"/><Relationship Id="rId250" Type="http://schemas.openxmlformats.org/officeDocument/2006/relationships/hyperlink" Target="https://www.thetrevorproject.org/wp-content/uploads/2022/12/The-Trevor-Project-2022-National-Survey-on-LGBTQ-Youth-Mental-Health-by-State-Massachusetts.pdf" TargetMode="External"/><Relationship Id="rId488" Type="http://schemas.openxmlformats.org/officeDocument/2006/relationships/hyperlink" Target="https://commonwealthmagazine.org/health/2017-birth-control-provision-fell-through-the-cracks/" TargetMode="External"/><Relationship Id="rId695" Type="http://schemas.openxmlformats.org/officeDocument/2006/relationships/hyperlink" Target="http://www.bostonherald.com/2023/01/09/boston-police-say-they-received-ignored-12-ice-immigration-detainer-requests/" TargetMode="External"/><Relationship Id="rId709" Type="http://schemas.openxmlformats.org/officeDocument/2006/relationships/hyperlink" Target="http://www.mass.gov/doc/2021-youth-count-report/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145465</Words>
  <Characters>829157</Characters>
  <Application>Microsoft Office Word</Application>
  <DocSecurity>0</DocSecurity>
  <Lines>6909</Lines>
  <Paragraphs>1945</Paragraphs>
  <ScaleCrop>false</ScaleCrop>
  <Company/>
  <LinksUpToDate>false</LinksUpToDate>
  <CharactersWithSpaces>972677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and White Simply Neutral Table of Contents Book Page</dc:title>
  <dc:creator>MCLGBTQY</dc:creator>
  <cp:lastModifiedBy>Molly Wexler-Romig</cp:lastModifiedBy>
  <cp:revision>3</cp:revision>
  <dcterms:created xsi:type="dcterms:W3CDTF">2023-04-26T15:47:00Z</dcterms:created>
  <dcterms:modified xsi:type="dcterms:W3CDTF">2023-04-26T16:08:00Z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Creator">
    <vt:lpwstr>Adobe Acrobat Pro (32-bit) 23.1.20143</vt:lpwstr>
  </property>
  <property fmtid="{D5CDD505-2E9C-101B-9397-08002B2CF9AE}" pid="4" name="LastSaved">
    <vt:filetime>2023-04-26T00:00:00Z</vt:filetime>
  </property>
  <property fmtid="{D5CDD505-2E9C-101B-9397-08002B2CF9AE}" pid="5" name="Producer">
    <vt:lpwstr>Adobe Acrobat Pro (32-bit) 23.1.20143</vt:lpwstr>
  </property>
</Properties>
</file>